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footer28.xml" ContentType="application/vnd.openxmlformats-officedocument.wordprocessingml.footer+xml"/>
  <Default Extension="jpeg" ContentType="image/jpeg"/>
  <Override PartName="/word/header21.xml" ContentType="application/vnd.openxmlformats-officedocument.wordprocessingml.header+xml"/>
  <Override PartName="/word/footer29.xml" ContentType="application/vnd.openxmlformats-officedocument.wordprocessingml.footer+xml"/>
  <Override PartName="/word/header22.xml" ContentType="application/vnd.openxmlformats-officedocument.wordprocessingml.header+xml"/>
  <Override PartName="/word/footer30.xml" ContentType="application/vnd.openxmlformats-officedocument.wordprocessingml.footer+xml"/>
  <Override PartName="/word/header23.xml" ContentType="application/vnd.openxmlformats-officedocument.wordprocessingml.header+xml"/>
  <Override PartName="/word/footer3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3.xml" ContentType="application/vnd.openxmlformats-officedocument.wordprocessingml.footer+xml"/>
  <Override PartName="/word/header28.xml" ContentType="application/vnd.openxmlformats-officedocument.wordprocessingml.header+xml"/>
  <Override PartName="/word/footer34.xml" ContentType="application/vnd.openxmlformats-officedocument.wordprocessingml.footer+xml"/>
  <Override PartName="/word/header29.xml" ContentType="application/vnd.openxmlformats-officedocument.wordprocessingml.header+xml"/>
  <Override PartName="/word/footer35.xml" ContentType="application/vnd.openxmlformats-officedocument.wordprocessingml.footer+xml"/>
  <Override PartName="/word/header30.xml" ContentType="application/vnd.openxmlformats-officedocument.wordprocessingml.header+xml"/>
  <Override PartName="/word/footer36.xml" ContentType="application/vnd.openxmlformats-officedocument.wordprocessingml.footer+xml"/>
  <Override PartName="/word/header31.xml" ContentType="application/vnd.openxmlformats-officedocument.wordprocessingml.header+xml"/>
  <Override PartName="/word/footer37.xml" ContentType="application/vnd.openxmlformats-officedocument.wordprocessingml.footer+xml"/>
  <Override PartName="/word/header32.xml" ContentType="application/vnd.openxmlformats-officedocument.wordprocessingml.header+xml"/>
  <Override PartName="/word/footer38.xml" ContentType="application/vnd.openxmlformats-officedocument.wordprocessingml.footer+xml"/>
  <Override PartName="/word/header33.xml" ContentType="application/vnd.openxmlformats-officedocument.wordprocessingml.header+xml"/>
  <Override PartName="/word/footer3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0.xml" ContentType="application/vnd.openxmlformats-officedocument.wordprocessingml.footer+xml"/>
  <Override PartName="/word/header36.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7.xml" ContentType="application/vnd.openxmlformats-officedocument.wordprocessingml.header+xml"/>
  <Override PartName="/word/footer43.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41.xml" ContentType="application/vnd.openxmlformats-officedocument.wordprocessingml.header+xml"/>
  <Override PartName="/word/footer4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43.xml" ContentType="application/vnd.openxmlformats-officedocument.wordprocessingml.header+xml"/>
  <Override PartName="/word/footer48.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45.xml" ContentType="application/vnd.openxmlformats-officedocument.wordprocessingml.header+xml"/>
  <Override PartName="/word/footer50.xml" ContentType="application/vnd.openxmlformats-officedocument.wordprocessingml.footer+xml"/>
  <Override PartName="/word/header46.xml" ContentType="application/vnd.openxmlformats-officedocument.wordprocessingml.header+xml"/>
  <Override PartName="/word/footer51.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header50.xml" ContentType="application/vnd.openxmlformats-officedocument.wordprocessingml.header+xml"/>
  <Override PartName="/word/footer54.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5.xml" ContentType="application/vnd.openxmlformats-officedocument.wordprocessingml.footer+xml"/>
  <Override PartName="/word/header53.xml" ContentType="application/vnd.openxmlformats-officedocument.wordprocessingml.header+xml"/>
  <Override PartName="/word/footer56.xml" ContentType="application/vnd.openxmlformats-officedocument.wordprocessingml.footer+xml"/>
  <Override PartName="/word/header54.xml" ContentType="application/vnd.openxmlformats-officedocument.wordprocessingml.header+xml"/>
  <Override PartName="/word/footer57.xml" ContentType="application/vnd.openxmlformats-officedocument.wordprocessingml.footer+xml"/>
  <Override PartName="/word/header55.xml" ContentType="application/vnd.openxmlformats-officedocument.wordprocessingml.header+xml"/>
  <Override PartName="/word/footer58.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3.xml" ContentType="application/vnd.openxmlformats-officedocument.wordprocessingml.footer+xml"/>
  <Override PartName="/word/header76.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7.xml" ContentType="application/vnd.openxmlformats-officedocument.wordprocessingml.header+xml"/>
  <Override PartName="/word/footer76.xml" ContentType="application/vnd.openxmlformats-officedocument.wordprocessingml.footer+xml"/>
  <Override PartName="/word/header78.xml" ContentType="application/vnd.openxmlformats-officedocument.wordprocessingml.header+xml"/>
  <Override PartName="/word/footer77.xml" ContentType="application/vnd.openxmlformats-officedocument.wordprocessingml.footer+xml"/>
  <Override PartName="/word/header79.xml" ContentType="application/vnd.openxmlformats-officedocument.wordprocessingml.header+xml"/>
  <Override PartName="/word/footer78.xml" ContentType="application/vnd.openxmlformats-officedocument.wordprocessingml.footer+xml"/>
  <Override PartName="/word/header80.xml" ContentType="application/vnd.openxmlformats-officedocument.wordprocessingml.header+xml"/>
  <Override PartName="/word/footer79.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0.xml" ContentType="application/vnd.openxmlformats-officedocument.wordprocessingml.footer+xml"/>
  <Override PartName="/word/header83.xml" ContentType="application/vnd.openxmlformats-officedocument.wordprocessingml.header+xml"/>
  <Override PartName="/word/footer81.xml" ContentType="application/vnd.openxmlformats-officedocument.wordprocessingml.footer+xml"/>
  <Override PartName="/word/header84.xml" ContentType="application/vnd.openxmlformats-officedocument.wordprocessingml.header+xml"/>
  <Override PartName="/word/footer82.xml" ContentType="application/vnd.openxmlformats-officedocument.wordprocessingml.footer+xml"/>
  <Override PartName="/word/header85.xml" ContentType="application/vnd.openxmlformats-officedocument.wordprocessingml.header+xml"/>
  <Override PartName="/word/footer83.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4.xml" ContentType="application/vnd.openxmlformats-officedocument.wordprocessingml.footer+xml"/>
  <Override PartName="/word/header88.xml" ContentType="application/vnd.openxmlformats-officedocument.wordprocessingml.header+xml"/>
  <Override PartName="/word/footer85.xml" ContentType="application/vnd.openxmlformats-officedocument.wordprocessingml.footer+xml"/>
  <Override PartName="/word/header89.xml" ContentType="application/vnd.openxmlformats-officedocument.wordprocessingml.header+xml"/>
  <Override PartName="/word/footer86.xml" ContentType="application/vnd.openxmlformats-officedocument.wordprocessingml.footer+xml"/>
  <Override PartName="/word/header90.xml" ContentType="application/vnd.openxmlformats-officedocument.wordprocessingml.header+xml"/>
  <Override PartName="/word/footer87.xml" ContentType="application/vnd.openxmlformats-officedocument.wordprocessingml.footer+xml"/>
  <Override PartName="/word/header91.xml" ContentType="application/vnd.openxmlformats-officedocument.wordprocessingml.header+xml"/>
  <Override PartName="/word/footer88.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89.xml" ContentType="application/vnd.openxmlformats-officedocument.wordprocessingml.footer+xml"/>
  <Override PartName="/word/header94.xml" ContentType="application/vnd.openxmlformats-officedocument.wordprocessingml.header+xml"/>
  <Override PartName="/word/footer90.xml" ContentType="application/vnd.openxmlformats-officedocument.wordprocessingml.footer+xml"/>
  <Override PartName="/word/header95.xml" ContentType="application/vnd.openxmlformats-officedocument.wordprocessingml.header+xml"/>
  <Override PartName="/word/footer91.xml" ContentType="application/vnd.openxmlformats-officedocument.wordprocessingml.footer+xml"/>
  <Override PartName="/word/header96.xml" ContentType="application/vnd.openxmlformats-officedocument.wordprocessingml.header+xml"/>
  <Override PartName="/word/footer92.xml" ContentType="application/vnd.openxmlformats-officedocument.wordprocessingml.footer+xml"/>
  <Override PartName="/word/header97.xml" ContentType="application/vnd.openxmlformats-officedocument.wordprocessingml.header+xml"/>
  <Override PartName="/word/footer93.xml" ContentType="application/vnd.openxmlformats-officedocument.wordprocessingml.footer+xml"/>
  <Override PartName="/word/header98.xml" ContentType="application/vnd.openxmlformats-officedocument.wordprocessingml.header+xml"/>
  <Override PartName="/word/footer94.xml" ContentType="application/vnd.openxmlformats-officedocument.wordprocessingml.footer+xml"/>
  <Override PartName="/word/header99.xml" ContentType="application/vnd.openxmlformats-officedocument.wordprocessingml.header+xml"/>
  <Override PartName="/word/footer95.xml" ContentType="application/vnd.openxmlformats-officedocument.wordprocessingml.footer+xml"/>
  <Override PartName="/word/header100.xml" ContentType="application/vnd.openxmlformats-officedocument.wordprocessingml.header+xml"/>
  <Override PartName="/word/footer9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41.588001pt;margin-top:38.962013pt;width:281.6pt;height:762.55pt;mso-position-horizontal-relative:page;mso-position-vertical-relative:page;z-index:-1313128" coordorigin="832,779" coordsize="5632,15251">
            <v:shape style="position:absolute;left:869;top:5142;width:1869;height:2168" type="#_x0000_t75" stroked="false">
              <v:imagedata r:id="rId6" o:title=""/>
            </v:shape>
            <v:rect style="position:absolute;left:869;top:5142;width:1869;height:2168" filled="false" stroked="true" strokeweight="3.071pt" strokecolor="#414042"/>
            <v:shape style="position:absolute;left:869;top:2969;width:1869;height:2168" type="#_x0000_t75" stroked="false">
              <v:imagedata r:id="rId7" o:title=""/>
            </v:shape>
            <v:rect style="position:absolute;left:869;top:2969;width:1869;height:2168" filled="false" stroked="true" strokeweight="3.071pt" strokecolor="#414042"/>
            <v:shape style="position:absolute;left:4580;top:2969;width:1853;height:2168" type="#_x0000_t75" stroked="false">
              <v:imagedata r:id="rId8" o:title=""/>
            </v:shape>
            <v:rect style="position:absolute;left:4580;top:2969;width:1853;height:2168" filled="false" stroked="true" strokeweight="3.071pt" strokecolor="#414042"/>
            <v:shape style="position:absolute;left:2736;top:2969;width:1843;height:2168" type="#_x0000_t75" stroked="false">
              <v:imagedata r:id="rId9" o:title=""/>
            </v:shape>
            <v:rect style="position:absolute;left:2736;top:2969;width:1848;height:2168" filled="false" stroked="true" strokeweight="3.071pt" strokecolor="#414042"/>
            <v:shape style="position:absolute;left:2736;top:5142;width:1848;height:2168" type="#_x0000_t75" stroked="false">
              <v:imagedata r:id="rId10" o:title=""/>
            </v:shape>
            <v:rect style="position:absolute;left:2736;top:5142;width:1848;height:2168" filled="false" stroked="true" strokeweight="3.071pt" strokecolor="#414042"/>
            <v:shape style="position:absolute;left:4584;top:5142;width:1848;height:2142" type="#_x0000_t75" stroked="false">
              <v:imagedata r:id="rId11" o:title=""/>
            </v:shape>
            <v:rect style="position:absolute;left:4584;top:5142;width:1848;height:2168" filled="false" stroked="true" strokeweight="3.071pt" strokecolor="#414042"/>
            <v:shape style="position:absolute;left:4584;top:7315;width:1848;height:2168" type="#_x0000_t75" stroked="false">
              <v:imagedata r:id="rId12" o:title=""/>
            </v:shape>
            <v:rect style="position:absolute;left:4584;top:7315;width:1848;height:2168" filled="false" stroked="true" strokeweight="3.071pt" strokecolor="#414042"/>
            <v:shape style="position:absolute;left:4584;top:810;width:1848;height:2164" type="#_x0000_t75" stroked="false">
              <v:imagedata r:id="rId13" o:title=""/>
            </v:shape>
            <v:rect style="position:absolute;left:4584;top:810;width:1848;height:2168" filled="false" stroked="true" strokeweight="3.071pt" strokecolor="#414042"/>
            <v:shape style="position:absolute;left:869;top:9487;width:1869;height:2168" type="#_x0000_t75" stroked="false">
              <v:imagedata r:id="rId14" o:title=""/>
            </v:shape>
            <v:rect style="position:absolute;left:869;top:9487;width:1869;height:2168" filled="false" stroked="true" strokeweight="3.071pt" strokecolor="#414042"/>
            <v:shape style="position:absolute;left:4584;top:13831;width:1848;height:2168" type="#_x0000_t75" stroked="false">
              <v:imagedata r:id="rId15" o:title=""/>
            </v:shape>
            <v:rect style="position:absolute;left:4584;top:13831;width:1848;height:2168" filled="false" stroked="true" strokeweight="3.071pt" strokecolor="#414042"/>
            <v:shape style="position:absolute;left:2738;top:9485;width:3695;height:4341" type="#_x0000_t75" stroked="false">
              <v:imagedata r:id="rId16" o:title=""/>
            </v:shape>
            <v:rect style="position:absolute;left:2738;top:9485;width:3695;height:4341" filled="false" stroked="true" strokeweight="3.071pt" strokecolor="#414042"/>
            <v:shape style="position:absolute;left:896;top:810;width:3689;height:2168" type="#_x0000_t75" stroked="false">
              <v:imagedata r:id="rId17" o:title=""/>
            </v:shape>
            <v:rect style="position:absolute;left:869;top:810;width:3715;height:2168" filled="false" stroked="true" strokeweight="3.071pt" strokecolor="#414042"/>
            <v:shape style="position:absolute;left:896;top:13831;width:3709;height:2168" type="#_x0000_t75" stroked="false">
              <v:imagedata r:id="rId18" o:title=""/>
            </v:shape>
            <v:rect style="position:absolute;left:896;top:13831;width:3709;height:2168" filled="false" stroked="true" strokeweight="3.071pt" strokecolor="#414042"/>
            <v:shape style="position:absolute;left:864;top:11658;width:1874;height:2168" type="#_x0000_t75" stroked="false">
              <v:imagedata r:id="rId19" o:title=""/>
            </v:shape>
            <v:rect style="position:absolute;left:864;top:11658;width:1874;height:2168" filled="false" stroked="true" strokeweight="3.071pt" strokecolor="#414042"/>
            <v:shape style="position:absolute;left:863;top:7315;width:3722;height:2166" type="#_x0000_t75" stroked="false">
              <v:imagedata r:id="rId20" o:title=""/>
            </v:shape>
            <v:rect style="position:absolute;left:863;top:7315;width:3722;height:2166" filled="false" stroked="true" strokeweight="3.071pt" strokecolor="#414042"/>
            <w10:wrap type="none"/>
          </v:group>
        </w:pict>
      </w:r>
    </w:p>
    <w:p>
      <w:pPr>
        <w:pStyle w:val="BodyText"/>
        <w:rPr>
          <w:rFonts w:ascii="Times New Roman"/>
          <w:sz w:val="20"/>
        </w:rPr>
      </w:pPr>
    </w:p>
    <w:p>
      <w:pPr>
        <w:pStyle w:val="BodyText"/>
        <w:rPr>
          <w:rFonts w:ascii="Times New Roman"/>
          <w:sz w:val="20"/>
        </w:rPr>
      </w:pPr>
    </w:p>
    <w:p>
      <w:pPr>
        <w:pStyle w:val="BodyText"/>
        <w:spacing w:before="8"/>
        <w:rPr>
          <w:rFonts w:ascii="Times New Roman"/>
          <w:sz w:val="10"/>
        </w:rPr>
      </w:pPr>
    </w:p>
    <w:p>
      <w:pPr>
        <w:pStyle w:val="BodyText"/>
        <w:ind w:left="6760"/>
        <w:rPr>
          <w:rFonts w:ascii="Times New Roman"/>
          <w:sz w:val="20"/>
        </w:rPr>
      </w:pPr>
      <w:r>
        <w:rPr>
          <w:rFonts w:ascii="Times New Roman"/>
          <w:sz w:val="20"/>
        </w:rPr>
        <w:pict>
          <v:group style="width:182.35pt;height:90.2pt;mso-position-horizontal-relative:char;mso-position-vertical-relative:line" coordorigin="0,0" coordsize="3647,1804">
            <v:shape style="position:absolute;left:0;top:969;width:253;height:332" type="#_x0000_t75" stroked="false">
              <v:imagedata r:id="rId21" o:title=""/>
            </v:shape>
            <v:shape style="position:absolute;left:296;top:1053;width:191;height:242" type="#_x0000_t75" stroked="false">
              <v:imagedata r:id="rId22" o:title=""/>
            </v:shape>
            <v:line style="position:absolute" from="537,992" to="565,992" stroked="true" strokeweight="2.299pt" strokecolor="#ffffff"/>
            <v:shape style="position:absolute;left:537;top:1045;width:483;height:264" type="#_x0000_t75" stroked="false">
              <v:imagedata r:id="rId23" o:title=""/>
            </v:shape>
            <v:shape style="position:absolute;left:1054;top:1053;width:316;height:249" type="#_x0000_t75" stroked="false">
              <v:imagedata r:id="rId24" o:title=""/>
            </v:shape>
            <v:shape style="position:absolute;left:1385;top:969;width:415;height:412" type="#_x0000_t75" stroked="false">
              <v:imagedata r:id="rId25" o:title=""/>
            </v:shape>
            <v:shape style="position:absolute;left:0;top:1392;width:412;height:326" coordorigin="0,1392" coordsize="412,326" path="m33,1392l0,1392,90,1717,124,1717,135,1676,107,1676,33,1392xm235,1426l207,1426,289,1717,322,1717,333,1676,306,1676,235,1426xm226,1392l187,1392,108,1676,135,1676,206,1426,235,1426,226,1392xm412,1392l381,1392,306,1676,333,1676,412,1392xe" filled="true" fillcolor="#ffffff" stroked="false">
              <v:path arrowok="t"/>
              <v:fill type="solid"/>
            </v:shape>
            <v:shape style="position:absolute;left:406;top:1411;width:777;height:312" type="#_x0000_t75" stroked="false">
              <v:imagedata r:id="rId26" o:title=""/>
            </v:shape>
            <v:shape style="position:absolute;left:1216;top:1475;width:329;height:242" type="#_x0000_t75" stroked="false">
              <v:imagedata r:id="rId27" o:title=""/>
            </v:shape>
            <v:shape style="position:absolute;left:1697;top:1385;width:689;height:419" type="#_x0000_t75" stroked="false">
              <v:imagedata r:id="rId28" o:title=""/>
            </v:shape>
            <v:shape style="position:absolute;left:2424;top:1475;width:646;height:329" type="#_x0000_t75" stroked="false">
              <v:imagedata r:id="rId29" o:title=""/>
            </v:shape>
            <v:shape style="position:absolute;left:1888;top:969;width:348;height:332" type="#_x0000_t75" stroked="false">
              <v:imagedata r:id="rId30" o:title=""/>
            </v:shape>
            <v:shape style="position:absolute;left:1923;top:0;width:1724;height:1328" coordorigin="1923,0" coordsize="1724,1328" path="m1925,0l1923,2,1930,8,1931,9,2001,66,2066,125,2126,187,2182,250,2233,316,2280,382,2322,450,2360,519,2395,588,2425,658,2452,727,2476,797,2496,866,2513,934,2526,1001,2537,1067,2545,1132,2551,1195,2554,1256,2555,1314,2555,1314,2554,1320,2554,1328,2558,1321,2558,1321,2605,1255,2653,1191,2702,1128,2753,1065,2805,1005,2859,945,2914,887,2971,830,3028,775,3073,734,2818,734,2773,642,2733,562,2696,492,2661,432,2627,380,2592,335,2554,294,2512,258,2464,225,2410,194,2346,162,2273,130,2189,96,1979,15,1947,5,1935,2,1925,0xm2993,613l2941,642,2848,712,2828,726,2818,734,3073,734,3087,721,3148,668,3182,639,3096,639,3038,615,2993,613xm3352,507l2943,507,2989,511,3036,533,3065,588,3087,598,3097,606,3099,619,3096,639,3182,639,3210,617,3273,567,3337,518,3352,507xm3646,318l3531,325,3441,332,3367,339,3303,348,3247,360,3193,377,3138,399,3076,428,3004,464,2917,509,2943,507,3352,507,3402,472,3469,426,3536,383,3605,341,3637,325,3642,322,3646,320,3646,318xe" filled="true" fillcolor="#ffffff" stroked="false">
              <v:path arrowok="t"/>
              <v:fill type="solid"/>
            </v:shape>
          </v:group>
        </w:pict>
      </w:r>
      <w:r>
        <w:rPr>
          <w:rFonts w:ascii="Times New Roman"/>
          <w:sz w:val="20"/>
        </w:rPr>
      </w:r>
    </w:p>
    <w:p>
      <w:pPr>
        <w:pStyle w:val="BodyText"/>
        <w:spacing w:before="9"/>
        <w:rPr>
          <w:rFonts w:ascii="Times New Roman"/>
          <w:sz w:val="6"/>
        </w:rPr>
      </w:pPr>
    </w:p>
    <w:p>
      <w:pPr>
        <w:pStyle w:val="Heading8"/>
        <w:ind w:left="6761"/>
        <w:jc w:val="left"/>
        <w:rPr>
          <w:rFonts w:ascii="Times New Roman"/>
        </w:rPr>
      </w:pPr>
      <w:r>
        <w:rPr>
          <w:rFonts w:ascii="Times New Roman"/>
        </w:rPr>
        <w:pict>
          <v:group style="width:48.2pt;height:13.05pt;mso-position-horizontal-relative:char;mso-position-vertical-relative:line" coordorigin="0,0" coordsize="964,261">
            <v:shape style="position:absolute;left:0;top:0;width:158;height:202" type="#_x0000_t75" stroked="false">
              <v:imagedata r:id="rId31" o:title=""/>
            </v:shape>
            <v:shape style="position:absolute;left:190;top:54;width:73;height:148" coordorigin="190,54" coordsize="73,148" path="m206,56l190,56,190,202,207,202,207,124,211,103,220,90,206,90,206,56xm262,54l243,56,228,63,215,74,207,90,220,90,222,86,240,75,262,72,262,54xe" filled="true" fillcolor="#ffffff" stroked="false">
              <v:path arrowok="t"/>
              <v:fill type="solid"/>
            </v:shape>
            <v:shape style="position:absolute;left:271;top:0;width:338;height:260" type="#_x0000_t75" stroked="false">
              <v:imagedata r:id="rId32" o:title=""/>
            </v:shape>
            <v:shape style="position:absolute;left:626;top:0;width:338;height:260" type="#_x0000_t75" stroked="false">
              <v:imagedata r:id="rId33" o:title=""/>
            </v:shape>
          </v:group>
        </w:pict>
      </w:r>
      <w:r>
        <w:rPr>
          <w:rFonts w:ascii="Times New Roman"/>
        </w:rPr>
      </w:r>
      <w:r>
        <w:rPr>
          <w:rFonts w:ascii="Times New Roman"/>
          <w:spacing w:val="32"/>
        </w:rPr>
        <w:t> </w:t>
      </w:r>
      <w:r>
        <w:rPr>
          <w:rFonts w:ascii="Times New Roman"/>
          <w:spacing w:val="32"/>
        </w:rPr>
        <w:pict>
          <v:group style="width:80.4pt;height:13.45pt;mso-position-horizontal-relative:char;mso-position-vertical-relative:line" coordorigin="0,0" coordsize="1608,269">
            <v:shape style="position:absolute;left:0;top:9;width:643;height:206" type="#_x0000_t75" stroked="false">
              <v:imagedata r:id="rId34" o:title=""/>
            </v:shape>
            <v:shape style="position:absolute;left:667;top:0;width:330;height:220" type="#_x0000_t75" stroked="false">
              <v:imagedata r:id="rId35" o:title=""/>
            </v:shape>
            <v:shape style="position:absolute;left:1028;top:61;width:131;height:208" type="#_x0000_t75" stroked="false">
              <v:imagedata r:id="rId36" o:title=""/>
            </v:shape>
            <v:shape style="position:absolute;left:1190;top:61;width:130;height:154" type="#_x0000_t75" stroked="false">
              <v:imagedata r:id="rId37" o:title=""/>
            </v:shape>
            <v:shape style="position:absolute;left:1380;top:21;width:228;height:194" type="#_x0000_t75" stroked="false">
              <v:imagedata r:id="rId38" o:title=""/>
            </v:shape>
          </v:group>
        </w:pict>
      </w:r>
      <w:r>
        <w:rPr>
          <w:rFonts w:ascii="Times New Roman"/>
          <w:spacing w:val="32"/>
        </w:rPr>
      </w:r>
      <w:r>
        <w:rPr>
          <w:rFonts w:ascii="Times New Roman"/>
          <w:spacing w:val="17"/>
        </w:rPr>
        <w:t> </w:t>
      </w:r>
      <w:r>
        <w:rPr>
          <w:rFonts w:ascii="Times New Roman"/>
          <w:spacing w:val="17"/>
          <w:position w:val="5"/>
        </w:rPr>
        <w:drawing>
          <wp:inline distT="0" distB="0" distL="0" distR="0">
            <wp:extent cx="195500" cy="140017"/>
            <wp:effectExtent l="0" t="0" r="0" b="0"/>
            <wp:docPr id="1" name="image34.png" descr=""/>
            <wp:cNvGraphicFramePr>
              <a:graphicFrameLocks noChangeAspect="1"/>
            </wp:cNvGraphicFramePr>
            <a:graphic>
              <a:graphicData uri="http://schemas.openxmlformats.org/drawingml/2006/picture">
                <pic:pic>
                  <pic:nvPicPr>
                    <pic:cNvPr id="2" name="image34.png"/>
                    <pic:cNvPicPr/>
                  </pic:nvPicPr>
                  <pic:blipFill>
                    <a:blip r:embed="rId39" cstate="print"/>
                    <a:stretch>
                      <a:fillRect/>
                    </a:stretch>
                  </pic:blipFill>
                  <pic:spPr>
                    <a:xfrm>
                      <a:off x="0" y="0"/>
                      <a:ext cx="195500" cy="140017"/>
                    </a:xfrm>
                    <a:prstGeom prst="rect">
                      <a:avLst/>
                    </a:prstGeom>
                  </pic:spPr>
                </pic:pic>
              </a:graphicData>
            </a:graphic>
          </wp:inline>
        </w:drawing>
      </w:r>
      <w:r>
        <w:rPr>
          <w:rFonts w:ascii="Times New Roman"/>
          <w:spacing w:val="17"/>
          <w:position w:val="5"/>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5"/>
        </w:rPr>
      </w:pPr>
    </w:p>
    <w:p>
      <w:pPr>
        <w:spacing w:line="249" w:lineRule="auto" w:before="9"/>
        <w:ind w:left="6656" w:right="119" w:firstLine="1460"/>
        <w:jc w:val="right"/>
        <w:rPr>
          <w:b/>
          <w:sz w:val="72"/>
        </w:rPr>
      </w:pPr>
      <w:r>
        <w:rPr>
          <w:b/>
          <w:color w:val="FFFFFF"/>
          <w:w w:val="87"/>
          <w:sz w:val="72"/>
        </w:rPr>
        <w:t>Annu</w:t>
      </w:r>
      <w:r>
        <w:rPr>
          <w:b/>
          <w:color w:val="FFFFFF"/>
          <w:w w:val="76"/>
          <w:sz w:val="72"/>
        </w:rPr>
        <w:t>A</w:t>
      </w:r>
      <w:r>
        <w:rPr>
          <w:b/>
          <w:color w:val="FFFFFF"/>
          <w:w w:val="166"/>
          <w:sz w:val="72"/>
        </w:rPr>
        <w:t>l </w:t>
      </w:r>
      <w:r>
        <w:rPr>
          <w:b/>
          <w:color w:val="FFFFFF"/>
          <w:spacing w:val="-3"/>
          <w:w w:val="90"/>
          <w:sz w:val="72"/>
        </w:rPr>
        <w:t>RepoRt</w:t>
      </w:r>
      <w:r>
        <w:rPr>
          <w:b/>
          <w:color w:val="FFFFFF"/>
          <w:spacing w:val="-100"/>
          <w:w w:val="90"/>
          <w:sz w:val="72"/>
        </w:rPr>
        <w:t> </w:t>
      </w:r>
      <w:r>
        <w:rPr>
          <w:b/>
          <w:color w:val="FFFFFF"/>
          <w:w w:val="90"/>
          <w:sz w:val="72"/>
        </w:rPr>
        <w:t>2012</w:t>
      </w:r>
    </w:p>
    <w:p>
      <w:pPr>
        <w:spacing w:line="249" w:lineRule="auto" w:before="634"/>
        <w:ind w:left="7960" w:right="117" w:firstLine="468"/>
        <w:jc w:val="right"/>
        <w:rPr>
          <w:sz w:val="56"/>
        </w:rPr>
      </w:pPr>
      <w:r>
        <w:rPr>
          <w:color w:val="FFFFFF"/>
          <w:w w:val="85"/>
          <w:sz w:val="56"/>
        </w:rPr>
        <w:t>Volume 2</w:t>
      </w:r>
      <w:r>
        <w:rPr>
          <w:color w:val="FFFFFF"/>
          <w:w w:val="86"/>
          <w:sz w:val="56"/>
        </w:rPr>
        <w:t> </w:t>
      </w:r>
      <w:r>
        <w:rPr>
          <w:color w:val="FFFFFF"/>
          <w:w w:val="85"/>
          <w:sz w:val="56"/>
        </w:rPr>
        <w:t>Financial Statements</w:t>
      </w:r>
    </w:p>
    <w:p>
      <w:pPr>
        <w:spacing w:after="0" w:line="249" w:lineRule="auto"/>
        <w:jc w:val="right"/>
        <w:rPr>
          <w:sz w:val="56"/>
        </w:rPr>
        <w:sectPr>
          <w:headerReference w:type="default" r:id="rId5"/>
          <w:type w:val="continuous"/>
          <w:pgSz w:w="11910" w:h="16840"/>
          <w:pgMar w:header="0" w:top="0" w:bottom="280" w:left="720" w:right="600"/>
        </w:sectPr>
      </w:pPr>
    </w:p>
    <w:p>
      <w:pPr>
        <w:pStyle w:val="BodyText"/>
        <w:spacing w:before="7"/>
        <w:rPr>
          <w:sz w:val="22"/>
        </w:rPr>
      </w:pPr>
    </w:p>
    <w:p>
      <w:pPr>
        <w:tabs>
          <w:tab w:pos="8554" w:val="left" w:leader="none"/>
        </w:tabs>
        <w:spacing w:before="69"/>
        <w:ind w:left="100" w:right="0" w:firstLine="0"/>
        <w:jc w:val="left"/>
        <w:rPr>
          <w:b/>
          <w:sz w:val="24"/>
        </w:rPr>
      </w:pPr>
      <w:bookmarkStart w:name="Blank Page" w:id="1"/>
      <w:bookmarkEnd w:id="1"/>
      <w:r>
        <w:rPr/>
      </w:r>
      <w:r>
        <w:rPr>
          <w:b/>
          <w:sz w:val="24"/>
        </w:rPr>
        <w:t>Financial Statements and Independent</w:t>
      </w:r>
      <w:r>
        <w:rPr>
          <w:b/>
          <w:spacing w:val="-8"/>
          <w:sz w:val="24"/>
        </w:rPr>
        <w:t> </w:t>
      </w:r>
      <w:r>
        <w:rPr>
          <w:b/>
          <w:sz w:val="24"/>
        </w:rPr>
        <w:t>Audit</w:t>
      </w:r>
      <w:r>
        <w:rPr>
          <w:b/>
          <w:spacing w:val="-2"/>
          <w:sz w:val="24"/>
        </w:rPr>
        <w:t> </w:t>
      </w:r>
      <w:r>
        <w:rPr>
          <w:b/>
          <w:sz w:val="24"/>
        </w:rPr>
        <w:t>Reports</w:t>
        <w:tab/>
        <w:t>Page</w:t>
      </w:r>
    </w:p>
    <w:p>
      <w:pPr>
        <w:pStyle w:val="Heading8"/>
        <w:tabs>
          <w:tab w:pos="9129" w:val="right" w:leader="none"/>
        </w:tabs>
        <w:spacing w:before="229"/>
        <w:ind w:left="100"/>
        <w:jc w:val="left"/>
      </w:pPr>
      <w:r>
        <w:rPr/>
        <w:t>University of</w:t>
      </w:r>
      <w:r>
        <w:rPr>
          <w:spacing w:val="-8"/>
        </w:rPr>
        <w:t> </w:t>
      </w:r>
      <w:r>
        <w:rPr/>
        <w:t>Western</w:t>
      </w:r>
      <w:r>
        <w:rPr>
          <w:spacing w:val="-1"/>
        </w:rPr>
        <w:t> </w:t>
      </w:r>
      <w:r>
        <w:rPr/>
        <w:t>Sydney</w:t>
      </w:r>
      <w:r>
        <w:rPr>
          <w:rFonts w:ascii="Times New Roman"/>
        </w:rPr>
        <w:tab/>
      </w:r>
      <w:r>
        <w:rPr/>
        <w:t>3</w:t>
      </w:r>
    </w:p>
    <w:p>
      <w:pPr>
        <w:pStyle w:val="Heading8"/>
        <w:tabs>
          <w:tab w:pos="9126" w:val="right" w:leader="none"/>
        </w:tabs>
        <w:spacing w:before="231"/>
        <w:ind w:left="100"/>
        <w:jc w:val="left"/>
      </w:pPr>
      <w:r>
        <w:rPr/>
        <w:t>Television Sydney</w:t>
      </w:r>
      <w:r>
        <w:rPr>
          <w:spacing w:val="-4"/>
        </w:rPr>
        <w:t> </w:t>
      </w:r>
      <w:r>
        <w:rPr/>
        <w:t>(TVS)</w:t>
      </w:r>
      <w:r>
        <w:rPr>
          <w:spacing w:val="1"/>
        </w:rPr>
        <w:t> </w:t>
      </w:r>
      <w:r>
        <w:rPr/>
        <w:t>Ltd</w:t>
      </w:r>
      <w:r>
        <w:rPr>
          <w:rFonts w:ascii="Times New Roman"/>
        </w:rPr>
        <w:tab/>
      </w:r>
      <w:r>
        <w:rPr/>
        <w:t>85</w:t>
      </w:r>
    </w:p>
    <w:p>
      <w:pPr>
        <w:pStyle w:val="Heading8"/>
        <w:tabs>
          <w:tab w:pos="9125" w:val="right" w:leader="none"/>
        </w:tabs>
        <w:spacing w:before="231"/>
        <w:ind w:left="100"/>
        <w:jc w:val="left"/>
      </w:pPr>
      <w:r>
        <w:rPr/>
        <w:t>University of Western Sydney</w:t>
      </w:r>
      <w:r>
        <w:rPr>
          <w:spacing w:val="-14"/>
        </w:rPr>
        <w:t> </w:t>
      </w:r>
      <w:r>
        <w:rPr/>
        <w:t>Foundation Limited</w:t>
      </w:r>
      <w:r>
        <w:rPr>
          <w:rFonts w:ascii="Times New Roman"/>
        </w:rPr>
        <w:tab/>
      </w:r>
      <w:r>
        <w:rPr/>
        <w:t>119</w:t>
      </w:r>
    </w:p>
    <w:p>
      <w:pPr>
        <w:pStyle w:val="Heading8"/>
        <w:tabs>
          <w:tab w:pos="9125" w:val="right" w:leader="none"/>
        </w:tabs>
        <w:spacing w:before="228"/>
        <w:ind w:left="100"/>
        <w:jc w:val="left"/>
      </w:pPr>
      <w:r>
        <w:rPr/>
        <w:t>University of Western Sydney</w:t>
      </w:r>
      <w:r>
        <w:rPr>
          <w:spacing w:val="-14"/>
        </w:rPr>
        <w:t> </w:t>
      </w:r>
      <w:r>
        <w:rPr/>
        <w:t>Foundation</w:t>
      </w:r>
      <w:r>
        <w:rPr>
          <w:spacing w:val="-2"/>
        </w:rPr>
        <w:t> </w:t>
      </w:r>
      <w:r>
        <w:rPr/>
        <w:t>Trust</w:t>
      </w:r>
      <w:r>
        <w:rPr>
          <w:rFonts w:ascii="Times New Roman"/>
        </w:rPr>
        <w:tab/>
      </w:r>
      <w:r>
        <w:rPr/>
        <w:t>137</w:t>
      </w:r>
    </w:p>
    <w:p>
      <w:pPr>
        <w:pStyle w:val="Heading8"/>
        <w:tabs>
          <w:tab w:pos="9125" w:val="right" w:leader="none"/>
        </w:tabs>
        <w:spacing w:before="231"/>
        <w:ind w:left="100"/>
        <w:jc w:val="left"/>
      </w:pPr>
      <w:r>
        <w:rPr/>
        <w:t>UWS College</w:t>
      </w:r>
      <w:r>
        <w:rPr>
          <w:spacing w:val="-1"/>
        </w:rPr>
        <w:t> </w:t>
      </w:r>
      <w:r>
        <w:rPr/>
        <w:t>Pty</w:t>
      </w:r>
      <w:r>
        <w:rPr>
          <w:spacing w:val="-5"/>
        </w:rPr>
        <w:t> </w:t>
      </w:r>
      <w:r>
        <w:rPr/>
        <w:t>Limited</w:t>
      </w:r>
      <w:r>
        <w:rPr>
          <w:rFonts w:ascii="Times New Roman"/>
        </w:rPr>
        <w:tab/>
      </w:r>
      <w:r>
        <w:rPr/>
        <w:t>161</w:t>
      </w:r>
    </w:p>
    <w:p>
      <w:pPr>
        <w:pStyle w:val="Heading8"/>
        <w:tabs>
          <w:tab w:pos="9125" w:val="right" w:leader="none"/>
        </w:tabs>
        <w:spacing w:before="231"/>
        <w:ind w:left="100"/>
        <w:jc w:val="left"/>
      </w:pPr>
      <w:r>
        <w:rPr/>
        <w:t>Uwsconnect</w:t>
      </w:r>
      <w:r>
        <w:rPr>
          <w:spacing w:val="-2"/>
        </w:rPr>
        <w:t> </w:t>
      </w:r>
      <w:r>
        <w:rPr/>
        <w:t>Limited</w:t>
      </w:r>
      <w:r>
        <w:rPr>
          <w:rFonts w:ascii="Times New Roman"/>
        </w:rPr>
        <w:tab/>
      </w:r>
      <w:r>
        <w:rPr/>
        <w:t>197</w:t>
      </w:r>
    </w:p>
    <w:p>
      <w:pPr>
        <w:pStyle w:val="Heading8"/>
        <w:tabs>
          <w:tab w:pos="9125" w:val="right" w:leader="none"/>
        </w:tabs>
        <w:spacing w:before="228"/>
        <w:ind w:left="100"/>
        <w:jc w:val="left"/>
      </w:pPr>
      <w:r>
        <w:rPr/>
        <w:t>UWS Early</w:t>
      </w:r>
      <w:r>
        <w:rPr>
          <w:spacing w:val="-4"/>
        </w:rPr>
        <w:t> </w:t>
      </w:r>
      <w:r>
        <w:rPr/>
        <w:t>Learning</w:t>
      </w:r>
      <w:r>
        <w:rPr>
          <w:spacing w:val="-2"/>
        </w:rPr>
        <w:t> </w:t>
      </w:r>
      <w:r>
        <w:rPr/>
        <w:t>Limited</w:t>
      </w:r>
      <w:r>
        <w:rPr>
          <w:rFonts w:ascii="Times New Roman"/>
        </w:rPr>
        <w:tab/>
      </w:r>
      <w:r>
        <w:rPr/>
        <w:t>227</w:t>
      </w:r>
    </w:p>
    <w:p>
      <w:pPr>
        <w:pStyle w:val="Heading8"/>
        <w:tabs>
          <w:tab w:pos="9125" w:val="right" w:leader="none"/>
        </w:tabs>
        <w:spacing w:before="231"/>
        <w:ind w:left="100"/>
        <w:jc w:val="left"/>
      </w:pPr>
      <w:r>
        <w:rPr/>
        <w:t>Whitlam Institute within the University of Western</w:t>
      </w:r>
      <w:r>
        <w:rPr>
          <w:spacing w:val="-5"/>
        </w:rPr>
        <w:t> </w:t>
      </w:r>
      <w:r>
        <w:rPr/>
        <w:t>Sydney</w:t>
      </w:r>
      <w:r>
        <w:rPr>
          <w:spacing w:val="-3"/>
        </w:rPr>
        <w:t> </w:t>
      </w:r>
      <w:r>
        <w:rPr/>
        <w:t>Limited</w:t>
      </w:r>
      <w:r>
        <w:rPr>
          <w:rFonts w:ascii="Times New Roman"/>
        </w:rPr>
        <w:tab/>
      </w:r>
      <w:r>
        <w:rPr/>
        <w:t>253</w:t>
      </w:r>
    </w:p>
    <w:p>
      <w:pPr>
        <w:pStyle w:val="Heading8"/>
        <w:tabs>
          <w:tab w:pos="9125" w:val="right" w:leader="none"/>
        </w:tabs>
        <w:spacing w:before="231"/>
        <w:ind w:left="100"/>
        <w:jc w:val="left"/>
      </w:pPr>
      <w:r>
        <w:rPr/>
        <w:t>Whitlam Institute within the University of Western</w:t>
      </w:r>
      <w:r>
        <w:rPr>
          <w:spacing w:val="-4"/>
        </w:rPr>
        <w:t> </w:t>
      </w:r>
      <w:r>
        <w:rPr/>
        <w:t>Sydney</w:t>
      </w:r>
      <w:r>
        <w:rPr>
          <w:spacing w:val="-5"/>
        </w:rPr>
        <w:t> </w:t>
      </w:r>
      <w:r>
        <w:rPr/>
        <w:t>Trust</w:t>
      </w:r>
      <w:r>
        <w:rPr>
          <w:rFonts w:ascii="Times New Roman"/>
        </w:rPr>
        <w:tab/>
      </w:r>
      <w:r>
        <w:rPr/>
        <w:t>271</w:t>
      </w:r>
    </w:p>
    <w:p>
      <w:pPr>
        <w:spacing w:before="457"/>
        <w:ind w:left="100" w:right="0" w:firstLine="0"/>
        <w:jc w:val="left"/>
        <w:rPr>
          <w:b/>
          <w:sz w:val="24"/>
        </w:rPr>
      </w:pPr>
      <w:r>
        <w:rPr>
          <w:b/>
          <w:sz w:val="24"/>
        </w:rPr>
        <w:t>Supporting Data</w:t>
      </w:r>
    </w:p>
    <w:p>
      <w:pPr>
        <w:pStyle w:val="Heading8"/>
        <w:tabs>
          <w:tab w:pos="9125" w:val="right" w:leader="none"/>
        </w:tabs>
        <w:spacing w:before="232"/>
        <w:ind w:left="100"/>
        <w:jc w:val="left"/>
      </w:pPr>
      <w:r>
        <w:rPr/>
        <w:t>Budget and</w:t>
      </w:r>
      <w:r>
        <w:rPr>
          <w:spacing w:val="2"/>
        </w:rPr>
        <w:t> </w:t>
      </w:r>
      <w:r>
        <w:rPr/>
        <w:t>Performance</w:t>
      </w:r>
      <w:r>
        <w:rPr>
          <w:spacing w:val="-2"/>
        </w:rPr>
        <w:t> </w:t>
      </w:r>
      <w:r>
        <w:rPr/>
        <w:t>Indicators</w:t>
      </w:r>
      <w:r>
        <w:rPr>
          <w:rFonts w:ascii="Times New Roman"/>
        </w:rPr>
        <w:tab/>
      </w:r>
      <w:r>
        <w:rPr/>
        <w:t>291</w:t>
      </w:r>
    </w:p>
    <w:p>
      <w:pPr>
        <w:spacing w:after="0"/>
        <w:jc w:val="left"/>
        <w:sectPr>
          <w:headerReference w:type="default" r:id="rId40"/>
          <w:footerReference w:type="default" r:id="rId41"/>
          <w:pgSz w:w="11910" w:h="16840"/>
          <w:pgMar w:header="0" w:footer="507" w:top="1580" w:bottom="700" w:left="1340" w:right="1320"/>
          <w:pgNumType w:start="1"/>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rPr>
          <w:sz w:val="32"/>
        </w:rPr>
      </w:pPr>
    </w:p>
    <w:p>
      <w:pPr>
        <w:pStyle w:val="Heading7"/>
        <w:spacing w:before="1"/>
      </w:pPr>
      <w:bookmarkStart w:name="Blank Page" w:id="2"/>
      <w:bookmarkEnd w:id="2"/>
      <w:r>
        <w:rPr/>
      </w:r>
      <w:r>
        <w:rPr/>
        <w:t>This page is intentionally blank</w:t>
      </w:r>
    </w:p>
    <w:p>
      <w:pPr>
        <w:spacing w:after="0"/>
        <w:sectPr>
          <w:headerReference w:type="default" r:id="rId42"/>
          <w:footerReference w:type="default" r:id="rId43"/>
          <w:pgSz w:w="11910" w:h="16840"/>
          <w:pgMar w:header="0" w:footer="507" w:top="1580" w:bottom="700" w:left="1680" w:right="1680"/>
          <w:pgNumType w:start="2"/>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9"/>
        <w:rPr>
          <w:rFonts w:ascii="Calibri"/>
          <w:sz w:val="26"/>
        </w:rPr>
      </w:pPr>
    </w:p>
    <w:p>
      <w:pPr>
        <w:pStyle w:val="Heading1"/>
      </w:pPr>
      <w:r>
        <w:rPr/>
        <w:t>University of Western Sydney</w:t>
      </w:r>
    </w:p>
    <w:p>
      <w:pPr>
        <w:pStyle w:val="BodyText"/>
        <w:spacing w:before="2"/>
        <w:rPr>
          <w:b/>
          <w:sz w:val="49"/>
        </w:rPr>
      </w:pPr>
    </w:p>
    <w:p>
      <w:pPr>
        <w:spacing w:before="1"/>
        <w:ind w:left="107" w:right="0" w:firstLine="0"/>
        <w:jc w:val="left"/>
        <w:rPr>
          <w:b/>
          <w:sz w:val="32"/>
        </w:rPr>
      </w:pPr>
      <w:r>
        <w:rPr>
          <w:b/>
          <w:sz w:val="32"/>
        </w:rPr>
        <w:t>Consolidated Financial Statements</w:t>
      </w:r>
    </w:p>
    <w:p>
      <w:pPr>
        <w:pStyle w:val="Heading6"/>
        <w:spacing w:before="284"/>
        <w:ind w:right="0"/>
      </w:pPr>
      <w:r>
        <w:rPr/>
        <w:t>for the year ended 31 December 2012</w:t>
      </w:r>
    </w:p>
    <w:p>
      <w:pPr>
        <w:spacing w:after="0"/>
        <w:sectPr>
          <w:headerReference w:type="default" r:id="rId44"/>
          <w:footerReference w:type="default" r:id="rId45"/>
          <w:pgSz w:w="11910" w:h="16840"/>
          <w:pgMar w:header="0" w:footer="507" w:top="1600" w:bottom="700" w:left="900" w:right="1680"/>
          <w:pgNumType w:start="3"/>
        </w:sectPr>
      </w:pPr>
    </w:p>
    <w:p>
      <w:pPr>
        <w:pStyle w:val="Heading6"/>
        <w:spacing w:before="47"/>
        <w:ind w:right="0"/>
        <w:jc w:val="both"/>
      </w:pPr>
      <w:r>
        <w:rPr/>
        <w:t>University of Western Sydney</w:t>
      </w:r>
    </w:p>
    <w:p>
      <w:pPr>
        <w:pStyle w:val="BodyText"/>
        <w:spacing w:before="5"/>
        <w:rPr>
          <w:b/>
          <w:sz w:val="29"/>
        </w:rPr>
      </w:pPr>
    </w:p>
    <w:p>
      <w:pPr>
        <w:spacing w:before="0"/>
        <w:ind w:left="107" w:right="0" w:firstLine="0"/>
        <w:jc w:val="both"/>
        <w:rPr>
          <w:b/>
          <w:sz w:val="28"/>
        </w:rPr>
      </w:pPr>
      <w:r>
        <w:rPr>
          <w:b/>
          <w:sz w:val="28"/>
        </w:rPr>
        <w:t>Statement by the Members of the Board of Trustees</w:t>
      </w:r>
    </w:p>
    <w:p>
      <w:pPr>
        <w:spacing w:before="56"/>
        <w:ind w:left="107" w:right="0" w:firstLine="0"/>
        <w:jc w:val="both"/>
        <w:rPr>
          <w:b/>
          <w:sz w:val="22"/>
        </w:rPr>
      </w:pPr>
      <w:r>
        <w:rPr>
          <w:b/>
          <w:sz w:val="22"/>
        </w:rPr>
        <w:t>31 December 2012</w:t>
      </w:r>
    </w:p>
    <w:p>
      <w:pPr>
        <w:pStyle w:val="BodyText"/>
        <w:rPr>
          <w:b/>
          <w:sz w:val="22"/>
        </w:rPr>
      </w:pPr>
    </w:p>
    <w:p>
      <w:pPr>
        <w:pStyle w:val="BodyText"/>
        <w:rPr>
          <w:b/>
          <w:sz w:val="22"/>
        </w:rPr>
      </w:pPr>
    </w:p>
    <w:p>
      <w:pPr>
        <w:pStyle w:val="BodyText"/>
        <w:spacing w:before="2"/>
        <w:rPr>
          <w:b/>
          <w:sz w:val="25"/>
        </w:rPr>
      </w:pPr>
    </w:p>
    <w:p>
      <w:pPr>
        <w:pStyle w:val="BodyText"/>
        <w:spacing w:line="204" w:lineRule="exact"/>
        <w:ind w:left="107" w:right="644"/>
        <w:jc w:val="both"/>
      </w:pPr>
      <w:r>
        <w:rPr/>
        <w:t>In accordance with a resolution of the Board of Trustees of the University of Western Sydney dated and pursuant to Section 41C (1B) and (1C) of the </w:t>
      </w:r>
      <w:r>
        <w:rPr>
          <w:i/>
        </w:rPr>
        <w:t>Public Finance and Audit Act 1983</w:t>
      </w:r>
      <w:r>
        <w:rPr/>
        <w:t>, we state that to the best of our knowledge and belief:</w:t>
      </w:r>
    </w:p>
    <w:p>
      <w:pPr>
        <w:pStyle w:val="BodyText"/>
        <w:spacing w:before="2"/>
        <w:rPr>
          <w:sz w:val="25"/>
        </w:rPr>
      </w:pPr>
    </w:p>
    <w:p>
      <w:pPr>
        <w:pStyle w:val="ListParagraph"/>
        <w:numPr>
          <w:ilvl w:val="0"/>
          <w:numId w:val="1"/>
        </w:numPr>
        <w:tabs>
          <w:tab w:pos="384" w:val="left" w:leader="none"/>
        </w:tabs>
        <w:spacing w:line="240" w:lineRule="auto" w:before="0" w:after="0"/>
        <w:ind w:left="108" w:right="645" w:firstLine="0"/>
        <w:jc w:val="both"/>
        <w:rPr>
          <w:sz w:val="18"/>
        </w:rPr>
      </w:pPr>
      <w:r>
        <w:rPr>
          <w:sz w:val="18"/>
        </w:rPr>
        <w:t>The financial statements present a true and fair view of the financial position of the University of Western Sydney and its controlled entities (the Group) at 31 December 2012 and the Income Statement and Statement of Comprehensive Income of the Group for the year then</w:t>
      </w:r>
      <w:r>
        <w:rPr>
          <w:spacing w:val="-12"/>
          <w:sz w:val="18"/>
        </w:rPr>
        <w:t> </w:t>
      </w:r>
      <w:r>
        <w:rPr>
          <w:sz w:val="18"/>
        </w:rPr>
        <w:t>ended.</w:t>
      </w:r>
    </w:p>
    <w:p>
      <w:pPr>
        <w:pStyle w:val="BodyText"/>
        <w:rPr>
          <w:sz w:val="25"/>
        </w:rPr>
      </w:pPr>
    </w:p>
    <w:p>
      <w:pPr>
        <w:pStyle w:val="ListParagraph"/>
        <w:numPr>
          <w:ilvl w:val="0"/>
          <w:numId w:val="1"/>
        </w:numPr>
        <w:tabs>
          <w:tab w:pos="408" w:val="left" w:leader="none"/>
        </w:tabs>
        <w:spacing w:line="242" w:lineRule="auto" w:before="0" w:after="0"/>
        <w:ind w:left="108" w:right="645" w:firstLine="0"/>
        <w:jc w:val="both"/>
        <w:rPr>
          <w:sz w:val="18"/>
        </w:rPr>
      </w:pPr>
      <w:r>
        <w:rPr>
          <w:sz w:val="18"/>
        </w:rPr>
        <w:t>The financial statements have been prepared in accordance with the provisions of the </w:t>
      </w:r>
      <w:r>
        <w:rPr>
          <w:i/>
          <w:sz w:val="18"/>
        </w:rPr>
        <w:t>Public Finance and Audit Act  </w:t>
      </w:r>
      <w:r>
        <w:rPr>
          <w:i/>
          <w:sz w:val="18"/>
        </w:rPr>
        <w:t>1983</w:t>
      </w:r>
      <w:r>
        <w:rPr>
          <w:sz w:val="18"/>
        </w:rPr>
        <w:t>, the </w:t>
      </w:r>
      <w:r>
        <w:rPr>
          <w:i/>
          <w:sz w:val="18"/>
        </w:rPr>
        <w:t>Public Finance and Audit Regulation 2010 </w:t>
      </w:r>
      <w:r>
        <w:rPr>
          <w:sz w:val="18"/>
        </w:rPr>
        <w:t>and the Financial Statement Guidelines for the Australian Higher Education Providers for 2012 Reporting Period issued by the Australian Government Department of Industry, Innovation, Science, Research and Tertiary Education</w:t>
      </w:r>
      <w:r>
        <w:rPr>
          <w:spacing w:val="-18"/>
          <w:sz w:val="18"/>
        </w:rPr>
        <w:t> </w:t>
      </w:r>
      <w:r>
        <w:rPr>
          <w:sz w:val="18"/>
        </w:rPr>
        <w:t>(DIISRTE).</w:t>
      </w:r>
    </w:p>
    <w:p>
      <w:pPr>
        <w:pStyle w:val="BodyText"/>
        <w:spacing w:before="9"/>
        <w:rPr>
          <w:sz w:val="24"/>
        </w:rPr>
      </w:pPr>
    </w:p>
    <w:p>
      <w:pPr>
        <w:pStyle w:val="ListParagraph"/>
        <w:numPr>
          <w:ilvl w:val="0"/>
          <w:numId w:val="1"/>
        </w:numPr>
        <w:tabs>
          <w:tab w:pos="382" w:val="left" w:leader="none"/>
        </w:tabs>
        <w:spacing w:line="240" w:lineRule="auto" w:before="0" w:after="0"/>
        <w:ind w:left="108" w:right="645" w:firstLine="0"/>
        <w:jc w:val="both"/>
        <w:rPr>
          <w:sz w:val="18"/>
        </w:rPr>
      </w:pPr>
      <w:r>
        <w:rPr>
          <w:sz w:val="18"/>
        </w:rPr>
        <w:t>The financial statements have been prepared in accordance with applicable Australian Accounting Standards and other mandatory authoritative pronouncements and interpretations of the Australian Accounting Standards Board, some of which contain</w:t>
      </w:r>
      <w:r>
        <w:rPr>
          <w:spacing w:val="-4"/>
          <w:sz w:val="18"/>
        </w:rPr>
        <w:t> </w:t>
      </w:r>
      <w:r>
        <w:rPr>
          <w:sz w:val="18"/>
        </w:rPr>
        <w:t>requirements</w:t>
      </w:r>
      <w:r>
        <w:rPr>
          <w:spacing w:val="-4"/>
          <w:sz w:val="18"/>
        </w:rPr>
        <w:t> </w:t>
      </w:r>
      <w:r>
        <w:rPr>
          <w:sz w:val="18"/>
        </w:rPr>
        <w:t>specific</w:t>
      </w:r>
      <w:r>
        <w:rPr>
          <w:spacing w:val="-4"/>
          <w:sz w:val="18"/>
        </w:rPr>
        <w:t> </w:t>
      </w:r>
      <w:r>
        <w:rPr>
          <w:sz w:val="18"/>
        </w:rPr>
        <w:t>to</w:t>
      </w:r>
      <w:r>
        <w:rPr>
          <w:spacing w:val="-4"/>
          <w:sz w:val="18"/>
        </w:rPr>
        <w:t> </w:t>
      </w:r>
      <w:r>
        <w:rPr>
          <w:sz w:val="18"/>
        </w:rPr>
        <w:t>not-for-profit</w:t>
      </w:r>
      <w:r>
        <w:rPr>
          <w:spacing w:val="-5"/>
          <w:sz w:val="18"/>
        </w:rPr>
        <w:t> </w:t>
      </w:r>
      <w:r>
        <w:rPr>
          <w:sz w:val="18"/>
        </w:rPr>
        <w:t>entities</w:t>
      </w:r>
      <w:r>
        <w:rPr>
          <w:spacing w:val="-5"/>
          <w:sz w:val="18"/>
        </w:rPr>
        <w:t> </w:t>
      </w:r>
      <w:r>
        <w:rPr>
          <w:sz w:val="18"/>
        </w:rPr>
        <w:t>that</w:t>
      </w:r>
      <w:r>
        <w:rPr>
          <w:spacing w:val="-5"/>
          <w:sz w:val="18"/>
        </w:rPr>
        <w:t> </w:t>
      </w:r>
      <w:r>
        <w:rPr>
          <w:sz w:val="18"/>
        </w:rPr>
        <w:t>are</w:t>
      </w:r>
      <w:r>
        <w:rPr>
          <w:spacing w:val="-6"/>
          <w:sz w:val="18"/>
        </w:rPr>
        <w:t> </w:t>
      </w:r>
      <w:r>
        <w:rPr>
          <w:sz w:val="18"/>
        </w:rPr>
        <w:t>inconsistent</w:t>
      </w:r>
      <w:r>
        <w:rPr>
          <w:spacing w:val="-5"/>
          <w:sz w:val="18"/>
        </w:rPr>
        <w:t> </w:t>
      </w:r>
      <w:r>
        <w:rPr>
          <w:sz w:val="18"/>
        </w:rPr>
        <w:t>with</w:t>
      </w:r>
      <w:r>
        <w:rPr>
          <w:spacing w:val="-4"/>
          <w:sz w:val="18"/>
        </w:rPr>
        <w:t> </w:t>
      </w:r>
      <w:r>
        <w:rPr>
          <w:sz w:val="18"/>
        </w:rPr>
        <w:t>IFRS</w:t>
      </w:r>
      <w:r>
        <w:rPr>
          <w:spacing w:val="-5"/>
          <w:sz w:val="18"/>
        </w:rPr>
        <w:t> </w:t>
      </w:r>
      <w:r>
        <w:rPr>
          <w:sz w:val="18"/>
        </w:rPr>
        <w:t>requirements.</w:t>
      </w:r>
    </w:p>
    <w:p>
      <w:pPr>
        <w:pStyle w:val="BodyText"/>
        <w:rPr>
          <w:sz w:val="25"/>
        </w:rPr>
      </w:pPr>
    </w:p>
    <w:p>
      <w:pPr>
        <w:pStyle w:val="ListParagraph"/>
        <w:numPr>
          <w:ilvl w:val="0"/>
          <w:numId w:val="1"/>
        </w:numPr>
        <w:tabs>
          <w:tab w:pos="394" w:val="left" w:leader="none"/>
        </w:tabs>
        <w:spacing w:line="240" w:lineRule="auto" w:before="0" w:after="0"/>
        <w:ind w:left="108" w:right="643" w:firstLine="0"/>
        <w:jc w:val="both"/>
        <w:rPr>
          <w:sz w:val="18"/>
        </w:rPr>
      </w:pPr>
      <w:r>
        <w:rPr>
          <w:spacing w:val="3"/>
          <w:sz w:val="18"/>
        </w:rPr>
        <w:t>We </w:t>
      </w:r>
      <w:r>
        <w:rPr>
          <w:sz w:val="18"/>
        </w:rPr>
        <w:t>are not aware of any circumstances which would render any particulars included in the financial statements to be misleading or</w:t>
      </w:r>
      <w:r>
        <w:rPr>
          <w:spacing w:val="-12"/>
          <w:sz w:val="18"/>
        </w:rPr>
        <w:t> </w:t>
      </w:r>
      <w:r>
        <w:rPr>
          <w:sz w:val="18"/>
        </w:rPr>
        <w:t>inaccurate.</w:t>
      </w:r>
    </w:p>
    <w:p>
      <w:pPr>
        <w:pStyle w:val="BodyText"/>
        <w:rPr>
          <w:sz w:val="25"/>
        </w:rPr>
      </w:pPr>
    </w:p>
    <w:p>
      <w:pPr>
        <w:pStyle w:val="ListParagraph"/>
        <w:numPr>
          <w:ilvl w:val="0"/>
          <w:numId w:val="1"/>
        </w:numPr>
        <w:tabs>
          <w:tab w:pos="380" w:val="left" w:leader="none"/>
        </w:tabs>
        <w:spacing w:line="240" w:lineRule="auto" w:before="0" w:after="0"/>
        <w:ind w:left="379" w:right="0" w:hanging="271"/>
        <w:jc w:val="both"/>
        <w:rPr>
          <w:sz w:val="18"/>
        </w:rPr>
      </w:pPr>
      <w:r>
        <w:rPr>
          <w:sz w:val="18"/>
        </w:rPr>
        <w:t>There</w:t>
      </w:r>
      <w:r>
        <w:rPr>
          <w:spacing w:val="-2"/>
          <w:sz w:val="18"/>
        </w:rPr>
        <w:t> </w:t>
      </w:r>
      <w:r>
        <w:rPr>
          <w:sz w:val="18"/>
        </w:rPr>
        <w:t>are</w:t>
      </w:r>
      <w:r>
        <w:rPr>
          <w:spacing w:val="-2"/>
          <w:sz w:val="18"/>
        </w:rPr>
        <w:t> </w:t>
      </w:r>
      <w:r>
        <w:rPr>
          <w:sz w:val="18"/>
        </w:rPr>
        <w:t>reasonable</w:t>
      </w:r>
      <w:r>
        <w:rPr>
          <w:spacing w:val="-4"/>
          <w:sz w:val="18"/>
        </w:rPr>
        <w:t> </w:t>
      </w:r>
      <w:r>
        <w:rPr>
          <w:sz w:val="18"/>
        </w:rPr>
        <w:t>grounds</w:t>
      </w:r>
      <w:r>
        <w:rPr>
          <w:spacing w:val="-2"/>
          <w:sz w:val="18"/>
        </w:rPr>
        <w:t> </w:t>
      </w:r>
      <w:r>
        <w:rPr>
          <w:sz w:val="18"/>
        </w:rPr>
        <w:t>to</w:t>
      </w:r>
      <w:r>
        <w:rPr>
          <w:spacing w:val="-2"/>
          <w:sz w:val="18"/>
        </w:rPr>
        <w:t> </w:t>
      </w:r>
      <w:r>
        <w:rPr>
          <w:sz w:val="18"/>
        </w:rPr>
        <w:t>believe</w:t>
      </w:r>
      <w:r>
        <w:rPr>
          <w:spacing w:val="-2"/>
          <w:sz w:val="18"/>
        </w:rPr>
        <w:t> </w:t>
      </w:r>
      <w:r>
        <w:rPr>
          <w:sz w:val="18"/>
        </w:rPr>
        <w:t>that</w:t>
      </w:r>
      <w:r>
        <w:rPr>
          <w:spacing w:val="-4"/>
          <w:sz w:val="18"/>
        </w:rPr>
        <w:t> </w:t>
      </w:r>
      <w:r>
        <w:rPr>
          <w:sz w:val="18"/>
        </w:rPr>
        <w:t>the</w:t>
      </w:r>
      <w:r>
        <w:rPr>
          <w:spacing w:val="-2"/>
          <w:sz w:val="18"/>
        </w:rPr>
        <w:t> </w:t>
      </w:r>
      <w:r>
        <w:rPr>
          <w:sz w:val="18"/>
        </w:rPr>
        <w:t>Group</w:t>
      </w:r>
      <w:r>
        <w:rPr>
          <w:spacing w:val="-4"/>
          <w:sz w:val="18"/>
        </w:rPr>
        <w:t> </w:t>
      </w:r>
      <w:r>
        <w:rPr>
          <w:sz w:val="18"/>
        </w:rPr>
        <w:t>will</w:t>
      </w:r>
      <w:r>
        <w:rPr>
          <w:spacing w:val="-2"/>
          <w:sz w:val="18"/>
        </w:rPr>
        <w:t> </w:t>
      </w:r>
      <w:r>
        <w:rPr>
          <w:sz w:val="18"/>
        </w:rPr>
        <w:t>be</w:t>
      </w:r>
      <w:r>
        <w:rPr>
          <w:spacing w:val="-2"/>
          <w:sz w:val="18"/>
        </w:rPr>
        <w:t> </w:t>
      </w:r>
      <w:r>
        <w:rPr>
          <w:sz w:val="18"/>
        </w:rPr>
        <w:t>able</w:t>
      </w:r>
      <w:r>
        <w:rPr>
          <w:spacing w:val="-2"/>
          <w:sz w:val="18"/>
        </w:rPr>
        <w:t> </w:t>
      </w:r>
      <w:r>
        <w:rPr>
          <w:sz w:val="18"/>
        </w:rPr>
        <w:t>to</w:t>
      </w:r>
      <w:r>
        <w:rPr>
          <w:spacing w:val="-2"/>
          <w:sz w:val="18"/>
        </w:rPr>
        <w:t> </w:t>
      </w:r>
      <w:r>
        <w:rPr>
          <w:sz w:val="18"/>
        </w:rPr>
        <w:t>pay</w:t>
      </w:r>
      <w:r>
        <w:rPr>
          <w:spacing w:val="-4"/>
          <w:sz w:val="18"/>
        </w:rPr>
        <w:t> </w:t>
      </w:r>
      <w:r>
        <w:rPr>
          <w:sz w:val="18"/>
        </w:rPr>
        <w:t>its</w:t>
      </w:r>
      <w:r>
        <w:rPr>
          <w:spacing w:val="-2"/>
          <w:sz w:val="18"/>
        </w:rPr>
        <w:t> </w:t>
      </w:r>
      <w:r>
        <w:rPr>
          <w:sz w:val="18"/>
        </w:rPr>
        <w:t>debts</w:t>
      </w:r>
      <w:r>
        <w:rPr>
          <w:spacing w:val="-2"/>
          <w:sz w:val="18"/>
        </w:rPr>
        <w:t> </w:t>
      </w:r>
      <w:r>
        <w:rPr>
          <w:sz w:val="18"/>
        </w:rPr>
        <w:t>as</w:t>
      </w:r>
      <w:r>
        <w:rPr>
          <w:spacing w:val="-4"/>
          <w:sz w:val="18"/>
        </w:rPr>
        <w:t> </w:t>
      </w:r>
      <w:r>
        <w:rPr>
          <w:sz w:val="18"/>
        </w:rPr>
        <w:t>and</w:t>
      </w:r>
      <w:r>
        <w:rPr>
          <w:spacing w:val="-2"/>
          <w:sz w:val="18"/>
        </w:rPr>
        <w:t> </w:t>
      </w:r>
      <w:r>
        <w:rPr>
          <w:sz w:val="18"/>
        </w:rPr>
        <w:t>when</w:t>
      </w:r>
      <w:r>
        <w:rPr>
          <w:spacing w:val="-2"/>
          <w:sz w:val="18"/>
        </w:rPr>
        <w:t> </w:t>
      </w:r>
      <w:r>
        <w:rPr>
          <w:sz w:val="18"/>
        </w:rPr>
        <w:t>they</w:t>
      </w:r>
      <w:r>
        <w:rPr>
          <w:spacing w:val="-4"/>
          <w:sz w:val="18"/>
        </w:rPr>
        <w:t> </w:t>
      </w:r>
      <w:r>
        <w:rPr>
          <w:sz w:val="18"/>
        </w:rPr>
        <w:t>fall</w:t>
      </w:r>
      <w:r>
        <w:rPr>
          <w:spacing w:val="-4"/>
          <w:sz w:val="18"/>
        </w:rPr>
        <w:t> </w:t>
      </w:r>
      <w:r>
        <w:rPr>
          <w:sz w:val="18"/>
        </w:rPr>
        <w:t>due.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4"/>
        </w:rPr>
      </w:pPr>
      <w:r>
        <w:rPr/>
        <w:drawing>
          <wp:anchor distT="0" distB="0" distL="0" distR="0" allowOverlap="1" layoutInCell="1" locked="0" behindDoc="0" simplePos="0" relativeHeight="1120">
            <wp:simplePos x="0" y="0"/>
            <wp:positionH relativeFrom="page">
              <wp:posOffset>645271</wp:posOffset>
            </wp:positionH>
            <wp:positionV relativeFrom="paragraph">
              <wp:posOffset>134190</wp:posOffset>
            </wp:positionV>
            <wp:extent cx="6646083" cy="1318545"/>
            <wp:effectExtent l="0" t="0" r="0" b="0"/>
            <wp:wrapTopAndBottom/>
            <wp:docPr id="3" name="image35.png" descr=""/>
            <wp:cNvGraphicFramePr>
              <a:graphicFrameLocks noChangeAspect="1"/>
            </wp:cNvGraphicFramePr>
            <a:graphic>
              <a:graphicData uri="http://schemas.openxmlformats.org/drawingml/2006/picture">
                <pic:pic>
                  <pic:nvPicPr>
                    <pic:cNvPr id="4" name="image35.png"/>
                    <pic:cNvPicPr/>
                  </pic:nvPicPr>
                  <pic:blipFill>
                    <a:blip r:embed="rId48" cstate="print"/>
                    <a:stretch>
                      <a:fillRect/>
                    </a:stretch>
                  </pic:blipFill>
                  <pic:spPr>
                    <a:xfrm>
                      <a:off x="0" y="0"/>
                      <a:ext cx="6646083" cy="1318545"/>
                    </a:xfrm>
                    <a:prstGeom prst="rect">
                      <a:avLst/>
                    </a:prstGeom>
                  </pic:spPr>
                </pic:pic>
              </a:graphicData>
            </a:graphic>
          </wp:anchor>
        </w:drawing>
      </w:r>
    </w:p>
    <w:p>
      <w:pPr>
        <w:pStyle w:val="BodyText"/>
        <w:rPr>
          <w:sz w:val="20"/>
        </w:rPr>
      </w:pPr>
    </w:p>
    <w:p>
      <w:pPr>
        <w:pStyle w:val="BodyText"/>
        <w:spacing w:before="1"/>
      </w:pPr>
    </w:p>
    <w:p>
      <w:pPr>
        <w:pStyle w:val="BodyText"/>
        <w:spacing w:before="77"/>
        <w:ind w:left="107"/>
      </w:pPr>
      <w:r>
        <w:rPr/>
        <w:t>Dated at Sydney 10 April 2013</w:t>
      </w:r>
    </w:p>
    <w:p>
      <w:pPr>
        <w:spacing w:after="0"/>
        <w:sectPr>
          <w:headerReference w:type="default" r:id="rId46"/>
          <w:footerReference w:type="default" r:id="rId47"/>
          <w:pgSz w:w="11960" w:h="16850"/>
          <w:pgMar w:header="0" w:footer="507" w:top="660" w:bottom="700" w:left="900" w:right="360"/>
          <w:pgNumType w:start="4"/>
        </w:sectPr>
      </w:pPr>
    </w:p>
    <w:p>
      <w:pPr>
        <w:pStyle w:val="Heading6"/>
        <w:spacing w:before="47"/>
        <w:ind w:right="646"/>
      </w:pPr>
      <w:r>
        <w:rPr/>
        <w:t>University of Western Sydney</w:t>
      </w:r>
    </w:p>
    <w:p>
      <w:pPr>
        <w:pStyle w:val="BodyText"/>
        <w:spacing w:before="5"/>
        <w:rPr>
          <w:b/>
          <w:sz w:val="29"/>
        </w:rPr>
      </w:pPr>
    </w:p>
    <w:p>
      <w:pPr>
        <w:spacing w:before="0"/>
        <w:ind w:left="107" w:right="646" w:firstLine="0"/>
        <w:jc w:val="left"/>
        <w:rPr>
          <w:b/>
          <w:sz w:val="28"/>
        </w:rPr>
      </w:pPr>
      <w:r>
        <w:rPr>
          <w:b/>
          <w:sz w:val="28"/>
        </w:rPr>
        <w:t>Certifications Statement</w:t>
      </w:r>
    </w:p>
    <w:p>
      <w:pPr>
        <w:spacing w:before="56"/>
        <w:ind w:left="107" w:right="646" w:firstLine="0"/>
        <w:jc w:val="left"/>
        <w:rPr>
          <w:b/>
          <w:sz w:val="22"/>
        </w:rPr>
      </w:pPr>
      <w:r>
        <w:rPr>
          <w:b/>
          <w:sz w:val="22"/>
        </w:rPr>
        <w:t>31 December 2012</w:t>
      </w:r>
    </w:p>
    <w:p>
      <w:pPr>
        <w:pStyle w:val="BodyText"/>
        <w:rPr>
          <w:b/>
          <w:sz w:val="22"/>
        </w:rPr>
      </w:pPr>
    </w:p>
    <w:p>
      <w:pPr>
        <w:pStyle w:val="BodyText"/>
        <w:rPr>
          <w:b/>
          <w:sz w:val="22"/>
        </w:rPr>
      </w:pPr>
    </w:p>
    <w:p>
      <w:pPr>
        <w:pStyle w:val="BodyText"/>
        <w:rPr>
          <w:b/>
          <w:sz w:val="22"/>
        </w:rPr>
      </w:pPr>
    </w:p>
    <w:p>
      <w:pPr>
        <w:pStyle w:val="BodyText"/>
        <w:spacing w:before="8"/>
        <w:rPr>
          <w:b/>
          <w:sz w:val="22"/>
        </w:rPr>
      </w:pPr>
    </w:p>
    <w:p>
      <w:pPr>
        <w:pStyle w:val="BodyText"/>
        <w:ind w:left="108" w:right="646"/>
      </w:pPr>
      <w:r>
        <w:rPr/>
        <w:t>The amount of Australian Government financial assistance expended during the reporting period was for the purposes for which it was intended and the University of Western Sydney has complied with applicable legislation, contracts, agreements and program guidelines in making expenditure.</w:t>
      </w:r>
    </w:p>
    <w:p>
      <w:pPr>
        <w:pStyle w:val="BodyText"/>
      </w:pPr>
    </w:p>
    <w:p>
      <w:pPr>
        <w:pStyle w:val="BodyText"/>
        <w:spacing w:before="3"/>
        <w:rPr>
          <w:sz w:val="15"/>
        </w:rPr>
      </w:pPr>
    </w:p>
    <w:p>
      <w:pPr>
        <w:pStyle w:val="BodyText"/>
        <w:spacing w:before="1"/>
        <w:ind w:left="108" w:right="646"/>
      </w:pPr>
      <w:r>
        <w:rPr/>
        <w:t>The University of Western Sydney charged Student Services and Amenities Fees strictly in accordance with the </w:t>
      </w:r>
      <w:r>
        <w:rPr>
          <w:i/>
        </w:rPr>
        <w:t>Higher </w:t>
      </w:r>
      <w:r>
        <w:rPr>
          <w:i/>
        </w:rPr>
        <w:t>Education Support Act 2003 </w:t>
      </w:r>
      <w:r>
        <w:rPr/>
        <w:t>(the Act) and the Administration Guidelines made under the Act. Revenue from the fee was spent strictly in accordance with the Act and only on services and amenities specified in subsection 19-38(4) of the Act.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r>
        <w:rPr/>
        <w:drawing>
          <wp:anchor distT="0" distB="0" distL="0" distR="0" allowOverlap="1" layoutInCell="1" locked="0" behindDoc="0" simplePos="0" relativeHeight="1144">
            <wp:simplePos x="0" y="0"/>
            <wp:positionH relativeFrom="page">
              <wp:posOffset>643991</wp:posOffset>
            </wp:positionH>
            <wp:positionV relativeFrom="paragraph">
              <wp:posOffset>177797</wp:posOffset>
            </wp:positionV>
            <wp:extent cx="6517452" cy="1597342"/>
            <wp:effectExtent l="0" t="0" r="0" b="0"/>
            <wp:wrapTopAndBottom/>
            <wp:docPr id="5" name="image36.png" descr=""/>
            <wp:cNvGraphicFramePr>
              <a:graphicFrameLocks noChangeAspect="1"/>
            </wp:cNvGraphicFramePr>
            <a:graphic>
              <a:graphicData uri="http://schemas.openxmlformats.org/drawingml/2006/picture">
                <pic:pic>
                  <pic:nvPicPr>
                    <pic:cNvPr id="6" name="image36.png"/>
                    <pic:cNvPicPr/>
                  </pic:nvPicPr>
                  <pic:blipFill>
                    <a:blip r:embed="rId51" cstate="print"/>
                    <a:stretch>
                      <a:fillRect/>
                    </a:stretch>
                  </pic:blipFill>
                  <pic:spPr>
                    <a:xfrm>
                      <a:off x="0" y="0"/>
                      <a:ext cx="6517452" cy="1597342"/>
                    </a:xfrm>
                    <a:prstGeom prst="rect">
                      <a:avLst/>
                    </a:prstGeom>
                  </pic:spPr>
                </pic:pic>
              </a:graphicData>
            </a:graphic>
          </wp:anchor>
        </w:drawing>
      </w:r>
    </w:p>
    <w:p>
      <w:pPr>
        <w:spacing w:after="0"/>
        <w:rPr>
          <w:sz w:val="20"/>
        </w:rPr>
        <w:sectPr>
          <w:headerReference w:type="default" r:id="rId49"/>
          <w:footerReference w:type="default" r:id="rId50"/>
          <w:pgSz w:w="11960" w:h="16850"/>
          <w:pgMar w:header="0" w:footer="507" w:top="660" w:bottom="700" w:left="900" w:right="440"/>
          <w:pgNumType w:start="5"/>
        </w:sectPr>
      </w:pPr>
    </w:p>
    <w:p>
      <w:pPr>
        <w:pStyle w:val="Heading6"/>
        <w:spacing w:before="49"/>
      </w:pPr>
      <w:r>
        <w:rPr/>
        <w:t>University of Western Sydney</w:t>
      </w:r>
    </w:p>
    <w:p>
      <w:pPr>
        <w:pStyle w:val="BodyText"/>
        <w:spacing w:before="5"/>
        <w:rPr>
          <w:b/>
          <w:sz w:val="29"/>
        </w:rPr>
      </w:pPr>
    </w:p>
    <w:p>
      <w:pPr>
        <w:spacing w:before="0"/>
        <w:ind w:left="107" w:right="125" w:firstLine="0"/>
        <w:jc w:val="left"/>
        <w:rPr>
          <w:b/>
          <w:sz w:val="28"/>
        </w:rPr>
      </w:pPr>
      <w:r>
        <w:rPr>
          <w:b/>
          <w:sz w:val="28"/>
        </w:rPr>
        <w:t>Income Statement</w:t>
      </w:r>
    </w:p>
    <w:p>
      <w:pPr>
        <w:spacing w:before="57"/>
        <w:ind w:left="107" w:right="125" w:firstLine="0"/>
        <w:jc w:val="left"/>
        <w:rPr>
          <w:b/>
          <w:sz w:val="22"/>
        </w:rPr>
      </w:pPr>
      <w:r>
        <w:rPr>
          <w:b/>
          <w:sz w:val="22"/>
        </w:rPr>
        <w:t>For the Year Ended 31 December 2012</w:t>
      </w:r>
    </w:p>
    <w:p>
      <w:pPr>
        <w:pStyle w:val="BodyText"/>
        <w:spacing w:before="1"/>
        <w:rPr>
          <w:b/>
          <w:sz w:val="29"/>
        </w:rPr>
      </w:pPr>
    </w:p>
    <w:p>
      <w:pPr>
        <w:pStyle w:val="Heading9"/>
        <w:tabs>
          <w:tab w:pos="7257" w:val="left" w:leader="none"/>
        </w:tabs>
        <w:spacing w:before="77"/>
        <w:ind w:left="4494" w:right="125"/>
      </w:pPr>
      <w:r>
        <w:rPr/>
        <w:t>Consolidated</w:t>
        <w:tab/>
        <w:t>Parent</w:t>
      </w:r>
    </w:p>
    <w:p>
      <w:pPr>
        <w:spacing w:after="0"/>
        <w:sectPr>
          <w:headerReference w:type="default" r:id="rId52"/>
          <w:footerReference w:type="default" r:id="rId53"/>
          <w:pgSz w:w="11910" w:h="16840"/>
          <w:pgMar w:header="0" w:footer="507" w:top="960" w:bottom="700" w:left="900" w:right="860"/>
          <w:pgNumType w:start="6"/>
        </w:sectPr>
      </w:pPr>
    </w:p>
    <w:p>
      <w:pPr>
        <w:pStyle w:val="BodyText"/>
        <w:rPr>
          <w:b/>
        </w:rPr>
      </w:pPr>
    </w:p>
    <w:p>
      <w:pPr>
        <w:pStyle w:val="BodyText"/>
        <w:rPr>
          <w:b/>
        </w:rPr>
      </w:pPr>
    </w:p>
    <w:p>
      <w:pPr>
        <w:pStyle w:val="BodyText"/>
        <w:spacing w:before="8"/>
        <w:rPr>
          <w:b/>
          <w:sz w:val="26"/>
        </w:rPr>
      </w:pPr>
    </w:p>
    <w:p>
      <w:pPr>
        <w:spacing w:before="1"/>
        <w:ind w:left="152" w:right="-20" w:firstLine="0"/>
        <w:jc w:val="left"/>
        <w:rPr>
          <w:b/>
          <w:sz w:val="18"/>
        </w:rPr>
      </w:pPr>
      <w:r>
        <w:rPr>
          <w:b/>
          <w:sz w:val="18"/>
        </w:rPr>
        <w:t>Income from continuing operations</w:t>
      </w:r>
    </w:p>
    <w:p>
      <w:pPr>
        <w:pStyle w:val="BodyText"/>
        <w:spacing w:before="112"/>
        <w:ind w:left="294" w:right="-20"/>
      </w:pPr>
      <w:r>
        <w:rPr/>
        <w:t>Australian Government financial assistance</w:t>
      </w:r>
    </w:p>
    <w:p>
      <w:pPr>
        <w:pStyle w:val="BodyText"/>
      </w:pPr>
      <w:r>
        <w:rPr/>
        <w:br w:type="column"/>
      </w:r>
      <w:r>
        <w:rPr/>
      </w:r>
    </w:p>
    <w:p>
      <w:pPr>
        <w:pStyle w:val="BodyText"/>
        <w:spacing w:before="1"/>
        <w:rPr>
          <w:sz w:val="14"/>
        </w:rPr>
      </w:pPr>
    </w:p>
    <w:p>
      <w:pPr>
        <w:pStyle w:val="Heading9"/>
        <w:ind w:left="152" w:right="-20"/>
      </w:pPr>
      <w:r>
        <w:rPr/>
        <w:t>Notes</w:t>
      </w:r>
    </w:p>
    <w:p>
      <w:pPr>
        <w:pStyle w:val="Heading9"/>
        <w:spacing w:before="95"/>
        <w:ind w:left="152" w:right="-20"/>
      </w:pPr>
      <w:bookmarkStart w:name="_TOC_250003" w:id="3"/>
      <w:r>
        <w:rPr>
          <w:b w:val="0"/>
        </w:rPr>
        <w:br w:type="column"/>
      </w:r>
      <w:bookmarkEnd w:id="3"/>
      <w:r>
        <w:rPr/>
        <w:t>2012</w:t>
      </w:r>
    </w:p>
    <w:p>
      <w:pPr>
        <w:pStyle w:val="Heading9"/>
        <w:spacing w:before="66"/>
        <w:ind w:left="152" w:right="-20"/>
      </w:pPr>
      <w:bookmarkStart w:name="_TOC_250002" w:id="4"/>
      <w:bookmarkEnd w:id="4"/>
      <w:r>
        <w:rPr/>
        <w:t>$'000</w:t>
      </w:r>
    </w:p>
    <w:p>
      <w:pPr>
        <w:pStyle w:val="Heading9"/>
        <w:spacing w:before="95"/>
        <w:ind w:left="152" w:right="-20"/>
      </w:pPr>
      <w:bookmarkStart w:name="_TOC_250001" w:id="5"/>
      <w:r>
        <w:rPr>
          <w:b w:val="0"/>
        </w:rPr>
        <w:br w:type="column"/>
      </w:r>
      <w:bookmarkEnd w:id="5"/>
      <w:r>
        <w:rPr/>
        <w:t>2011</w:t>
      </w:r>
    </w:p>
    <w:p>
      <w:pPr>
        <w:pStyle w:val="Heading9"/>
        <w:spacing w:before="66"/>
        <w:ind w:left="152" w:right="-20"/>
      </w:pPr>
      <w:bookmarkStart w:name="_TOC_250000" w:id="6"/>
      <w:bookmarkEnd w:id="6"/>
      <w:r>
        <w:rPr/>
        <w:t>$'000</w:t>
      </w:r>
    </w:p>
    <w:p>
      <w:pPr>
        <w:spacing w:before="66"/>
        <w:ind w:left="152" w:right="-20" w:firstLine="0"/>
        <w:jc w:val="left"/>
        <w:rPr>
          <w:b/>
          <w:sz w:val="18"/>
        </w:rPr>
      </w:pPr>
      <w:r>
        <w:rPr/>
        <w:br w:type="column"/>
      </w:r>
      <w:r>
        <w:rPr>
          <w:b/>
          <w:sz w:val="18"/>
        </w:rPr>
        <w:t>2012</w:t>
      </w:r>
    </w:p>
    <w:p>
      <w:pPr>
        <w:spacing w:before="65"/>
        <w:ind w:left="152" w:right="-20" w:firstLine="0"/>
        <w:jc w:val="left"/>
        <w:rPr>
          <w:b/>
          <w:sz w:val="18"/>
        </w:rPr>
      </w:pPr>
      <w:r>
        <w:rPr>
          <w:b/>
          <w:sz w:val="18"/>
        </w:rPr>
        <w:t>$'000</w:t>
      </w:r>
    </w:p>
    <w:p>
      <w:pPr>
        <w:spacing w:before="66"/>
        <w:ind w:left="152" w:right="-19" w:firstLine="0"/>
        <w:jc w:val="left"/>
        <w:rPr>
          <w:b/>
          <w:sz w:val="18"/>
        </w:rPr>
      </w:pPr>
      <w:r>
        <w:rPr/>
        <w:br w:type="column"/>
      </w:r>
      <w:r>
        <w:rPr>
          <w:b/>
          <w:sz w:val="18"/>
        </w:rPr>
        <w:t>2011</w:t>
      </w:r>
    </w:p>
    <w:p>
      <w:pPr>
        <w:spacing w:before="65"/>
        <w:ind w:left="152" w:right="-19" w:firstLine="0"/>
        <w:jc w:val="left"/>
        <w:rPr>
          <w:b/>
          <w:sz w:val="18"/>
        </w:rPr>
      </w:pPr>
      <w:r>
        <w:rPr>
          <w:b/>
          <w:sz w:val="18"/>
        </w:rPr>
        <w:t>$'000</w:t>
      </w:r>
    </w:p>
    <w:p>
      <w:pPr>
        <w:spacing w:after="0"/>
        <w:jc w:val="left"/>
        <w:rPr>
          <w:sz w:val="18"/>
        </w:rPr>
        <w:sectPr>
          <w:type w:val="continuous"/>
          <w:pgSz w:w="11910" w:h="16840"/>
          <w:pgMar w:top="0" w:bottom="280" w:left="900" w:right="860"/>
          <w:cols w:num="6" w:equalWidth="0">
            <w:col w:w="3746" w:space="62"/>
            <w:col w:w="653" w:space="122"/>
            <w:col w:w="596" w:space="672"/>
            <w:col w:w="596" w:space="899"/>
            <w:col w:w="596" w:space="672"/>
            <w:col w:w="1536"/>
          </w:cols>
        </w:sectPr>
      </w:pPr>
    </w:p>
    <w:p>
      <w:pPr>
        <w:pStyle w:val="BodyText"/>
        <w:spacing w:before="1"/>
        <w:rPr>
          <w:b/>
          <w:sz w:val="3"/>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19"/>
        <w:gridCol w:w="657"/>
        <w:gridCol w:w="1733"/>
        <w:gridCol w:w="1382"/>
        <w:gridCol w:w="1382"/>
        <w:gridCol w:w="1051"/>
      </w:tblGrid>
      <w:tr>
        <w:trPr>
          <w:trHeight w:val="237" w:hRule="exact"/>
        </w:trPr>
        <w:tc>
          <w:tcPr>
            <w:tcW w:w="3719" w:type="dxa"/>
          </w:tcPr>
          <w:p>
            <w:pPr>
              <w:pStyle w:val="TableParagraph"/>
              <w:spacing w:line="198" w:lineRule="exact"/>
              <w:ind w:left="318"/>
              <w:rPr>
                <w:sz w:val="18"/>
              </w:rPr>
            </w:pPr>
            <w:r>
              <w:rPr>
                <w:sz w:val="18"/>
              </w:rPr>
              <w:t>Australian Government grants</w:t>
            </w:r>
          </w:p>
        </w:tc>
        <w:tc>
          <w:tcPr>
            <w:tcW w:w="657" w:type="dxa"/>
          </w:tcPr>
          <w:p>
            <w:pPr>
              <w:pStyle w:val="TableParagraph"/>
              <w:spacing w:line="199" w:lineRule="exact"/>
              <w:ind w:left="124"/>
              <w:rPr>
                <w:sz w:val="18"/>
              </w:rPr>
            </w:pPr>
            <w:r>
              <w:rPr>
                <w:w w:val="99"/>
                <w:sz w:val="18"/>
              </w:rPr>
              <w:t>2</w:t>
            </w:r>
          </w:p>
        </w:tc>
        <w:tc>
          <w:tcPr>
            <w:tcW w:w="1733" w:type="dxa"/>
          </w:tcPr>
          <w:p>
            <w:pPr>
              <w:pStyle w:val="TableParagraph"/>
              <w:spacing w:line="199" w:lineRule="exact"/>
              <w:ind w:right="350"/>
              <w:jc w:val="right"/>
              <w:rPr>
                <w:b/>
                <w:sz w:val="18"/>
              </w:rPr>
            </w:pPr>
            <w:r>
              <w:rPr>
                <w:b/>
                <w:w w:val="95"/>
                <w:sz w:val="18"/>
              </w:rPr>
              <w:t>325,866</w:t>
            </w:r>
          </w:p>
        </w:tc>
        <w:tc>
          <w:tcPr>
            <w:tcW w:w="1382" w:type="dxa"/>
          </w:tcPr>
          <w:p>
            <w:pPr>
              <w:pStyle w:val="TableParagraph"/>
              <w:spacing w:line="199" w:lineRule="exact"/>
              <w:ind w:left="293"/>
              <w:rPr>
                <w:sz w:val="18"/>
              </w:rPr>
            </w:pPr>
            <w:r>
              <w:rPr>
                <w:sz w:val="18"/>
              </w:rPr>
              <w:t>246,195</w:t>
            </w:r>
          </w:p>
        </w:tc>
        <w:tc>
          <w:tcPr>
            <w:tcW w:w="1382" w:type="dxa"/>
          </w:tcPr>
          <w:p>
            <w:pPr>
              <w:pStyle w:val="TableParagraph"/>
              <w:spacing w:line="199" w:lineRule="exact"/>
              <w:ind w:right="350"/>
              <w:jc w:val="right"/>
              <w:rPr>
                <w:b/>
                <w:sz w:val="18"/>
              </w:rPr>
            </w:pPr>
            <w:r>
              <w:rPr>
                <w:b/>
                <w:w w:val="95"/>
                <w:sz w:val="18"/>
              </w:rPr>
              <w:t>325,841</w:t>
            </w:r>
          </w:p>
        </w:tc>
        <w:tc>
          <w:tcPr>
            <w:tcW w:w="1051" w:type="dxa"/>
          </w:tcPr>
          <w:p>
            <w:pPr>
              <w:pStyle w:val="TableParagraph"/>
              <w:spacing w:line="199" w:lineRule="exact"/>
              <w:ind w:left="293"/>
              <w:rPr>
                <w:sz w:val="18"/>
              </w:rPr>
            </w:pPr>
            <w:r>
              <w:rPr>
                <w:sz w:val="18"/>
              </w:rPr>
              <w:t>246,128</w:t>
            </w:r>
          </w:p>
        </w:tc>
      </w:tr>
      <w:tr>
        <w:trPr>
          <w:trHeight w:val="264" w:hRule="exact"/>
        </w:trPr>
        <w:tc>
          <w:tcPr>
            <w:tcW w:w="3719" w:type="dxa"/>
          </w:tcPr>
          <w:p>
            <w:pPr>
              <w:pStyle w:val="TableParagraph"/>
              <w:spacing w:before="18"/>
              <w:ind w:left="318"/>
              <w:rPr>
                <w:sz w:val="18"/>
              </w:rPr>
            </w:pPr>
            <w:r>
              <w:rPr>
                <w:sz w:val="18"/>
              </w:rPr>
              <w:t>HELP - Australian Government payment</w:t>
            </w:r>
          </w:p>
        </w:tc>
        <w:tc>
          <w:tcPr>
            <w:tcW w:w="657" w:type="dxa"/>
          </w:tcPr>
          <w:p>
            <w:pPr>
              <w:pStyle w:val="TableParagraph"/>
              <w:spacing w:before="19"/>
              <w:ind w:left="124"/>
              <w:rPr>
                <w:sz w:val="18"/>
              </w:rPr>
            </w:pPr>
            <w:r>
              <w:rPr>
                <w:w w:val="99"/>
                <w:sz w:val="18"/>
              </w:rPr>
              <w:t>2</w:t>
            </w:r>
          </w:p>
        </w:tc>
        <w:tc>
          <w:tcPr>
            <w:tcW w:w="1733" w:type="dxa"/>
          </w:tcPr>
          <w:p>
            <w:pPr>
              <w:pStyle w:val="TableParagraph"/>
              <w:spacing w:before="19"/>
              <w:ind w:right="350"/>
              <w:jc w:val="right"/>
              <w:rPr>
                <w:b/>
                <w:sz w:val="18"/>
              </w:rPr>
            </w:pPr>
            <w:r>
              <w:rPr>
                <w:b/>
                <w:w w:val="95"/>
                <w:sz w:val="18"/>
              </w:rPr>
              <w:t>171,077</w:t>
            </w:r>
          </w:p>
        </w:tc>
        <w:tc>
          <w:tcPr>
            <w:tcW w:w="1382" w:type="dxa"/>
          </w:tcPr>
          <w:p>
            <w:pPr>
              <w:pStyle w:val="TableParagraph"/>
              <w:spacing w:before="19"/>
              <w:ind w:left="293"/>
              <w:rPr>
                <w:sz w:val="18"/>
              </w:rPr>
            </w:pPr>
            <w:r>
              <w:rPr>
                <w:sz w:val="18"/>
              </w:rPr>
              <w:t>154,808</w:t>
            </w:r>
          </w:p>
        </w:tc>
        <w:tc>
          <w:tcPr>
            <w:tcW w:w="1382" w:type="dxa"/>
          </w:tcPr>
          <w:p>
            <w:pPr>
              <w:pStyle w:val="TableParagraph"/>
              <w:spacing w:before="19"/>
              <w:ind w:right="350"/>
              <w:jc w:val="right"/>
              <w:rPr>
                <w:b/>
                <w:sz w:val="18"/>
              </w:rPr>
            </w:pPr>
            <w:r>
              <w:rPr>
                <w:b/>
                <w:w w:val="95"/>
                <w:sz w:val="18"/>
              </w:rPr>
              <w:t>169,893</w:t>
            </w:r>
          </w:p>
        </w:tc>
        <w:tc>
          <w:tcPr>
            <w:tcW w:w="1051" w:type="dxa"/>
          </w:tcPr>
          <w:p>
            <w:pPr>
              <w:pStyle w:val="TableParagraph"/>
              <w:spacing w:before="19"/>
              <w:ind w:left="293"/>
              <w:rPr>
                <w:sz w:val="18"/>
              </w:rPr>
            </w:pPr>
            <w:r>
              <w:rPr>
                <w:sz w:val="18"/>
              </w:rPr>
              <w:t>153,345</w:t>
            </w:r>
          </w:p>
        </w:tc>
      </w:tr>
      <w:tr>
        <w:trPr>
          <w:trHeight w:val="469" w:hRule="exact"/>
        </w:trPr>
        <w:tc>
          <w:tcPr>
            <w:tcW w:w="3719" w:type="dxa"/>
          </w:tcPr>
          <w:p>
            <w:pPr>
              <w:pStyle w:val="TableParagraph"/>
              <w:spacing w:before="18"/>
              <w:ind w:left="176" w:right="521"/>
              <w:rPr>
                <w:sz w:val="18"/>
              </w:rPr>
            </w:pPr>
            <w:r>
              <w:rPr>
                <w:sz w:val="18"/>
              </w:rPr>
              <w:t>State and Local Government financial assistance</w:t>
            </w:r>
          </w:p>
        </w:tc>
        <w:tc>
          <w:tcPr>
            <w:tcW w:w="657" w:type="dxa"/>
          </w:tcPr>
          <w:p>
            <w:pPr>
              <w:pStyle w:val="TableParagraph"/>
              <w:spacing w:before="19"/>
              <w:ind w:left="124"/>
              <w:rPr>
                <w:sz w:val="18"/>
              </w:rPr>
            </w:pPr>
            <w:r>
              <w:rPr>
                <w:w w:val="99"/>
                <w:sz w:val="18"/>
              </w:rPr>
              <w:t>3</w:t>
            </w:r>
          </w:p>
        </w:tc>
        <w:tc>
          <w:tcPr>
            <w:tcW w:w="1733" w:type="dxa"/>
          </w:tcPr>
          <w:p>
            <w:pPr>
              <w:pStyle w:val="TableParagraph"/>
              <w:spacing w:before="5"/>
              <w:rPr>
                <w:b/>
                <w:sz w:val="19"/>
              </w:rPr>
            </w:pPr>
          </w:p>
          <w:p>
            <w:pPr>
              <w:pStyle w:val="TableParagraph"/>
              <w:ind w:right="351"/>
              <w:jc w:val="right"/>
              <w:rPr>
                <w:b/>
                <w:sz w:val="18"/>
              </w:rPr>
            </w:pPr>
            <w:r>
              <w:rPr>
                <w:b/>
                <w:w w:val="95"/>
                <w:sz w:val="18"/>
              </w:rPr>
              <w:t>459</w:t>
            </w:r>
          </w:p>
        </w:tc>
        <w:tc>
          <w:tcPr>
            <w:tcW w:w="1382" w:type="dxa"/>
          </w:tcPr>
          <w:p>
            <w:pPr>
              <w:pStyle w:val="TableParagraph"/>
              <w:spacing w:before="5"/>
              <w:rPr>
                <w:b/>
                <w:sz w:val="19"/>
              </w:rPr>
            </w:pPr>
          </w:p>
          <w:p>
            <w:pPr>
              <w:pStyle w:val="TableParagraph"/>
              <w:ind w:left="642"/>
              <w:rPr>
                <w:sz w:val="18"/>
              </w:rPr>
            </w:pPr>
            <w:r>
              <w:rPr>
                <w:sz w:val="18"/>
              </w:rPr>
              <w:t>482</w:t>
            </w:r>
          </w:p>
        </w:tc>
        <w:tc>
          <w:tcPr>
            <w:tcW w:w="1382" w:type="dxa"/>
          </w:tcPr>
          <w:p>
            <w:pPr>
              <w:pStyle w:val="TableParagraph"/>
              <w:spacing w:before="5"/>
              <w:rPr>
                <w:b/>
                <w:sz w:val="19"/>
              </w:rPr>
            </w:pPr>
          </w:p>
          <w:p>
            <w:pPr>
              <w:pStyle w:val="TableParagraph"/>
              <w:ind w:right="351"/>
              <w:jc w:val="right"/>
              <w:rPr>
                <w:b/>
                <w:sz w:val="18"/>
              </w:rPr>
            </w:pPr>
            <w:r>
              <w:rPr>
                <w:b/>
                <w:w w:val="95"/>
                <w:sz w:val="18"/>
              </w:rPr>
              <w:t>459</w:t>
            </w:r>
          </w:p>
        </w:tc>
        <w:tc>
          <w:tcPr>
            <w:tcW w:w="1051" w:type="dxa"/>
          </w:tcPr>
          <w:p>
            <w:pPr>
              <w:pStyle w:val="TableParagraph"/>
              <w:spacing w:before="5"/>
              <w:rPr>
                <w:b/>
                <w:sz w:val="19"/>
              </w:rPr>
            </w:pPr>
          </w:p>
          <w:p>
            <w:pPr>
              <w:pStyle w:val="TableParagraph"/>
              <w:ind w:right="106"/>
              <w:jc w:val="right"/>
              <w:rPr>
                <w:sz w:val="18"/>
              </w:rPr>
            </w:pPr>
            <w:r>
              <w:rPr>
                <w:w w:val="95"/>
                <w:sz w:val="18"/>
              </w:rPr>
              <w:t>482</w:t>
            </w:r>
          </w:p>
        </w:tc>
      </w:tr>
      <w:tr>
        <w:trPr>
          <w:trHeight w:val="263" w:hRule="exact"/>
        </w:trPr>
        <w:tc>
          <w:tcPr>
            <w:tcW w:w="3719" w:type="dxa"/>
          </w:tcPr>
          <w:p>
            <w:pPr>
              <w:pStyle w:val="TableParagraph"/>
              <w:spacing w:before="17"/>
              <w:ind w:left="176"/>
              <w:rPr>
                <w:sz w:val="18"/>
              </w:rPr>
            </w:pPr>
            <w:r>
              <w:rPr>
                <w:sz w:val="18"/>
              </w:rPr>
              <w:t>HECS-HELP - student payments</w:t>
            </w:r>
          </w:p>
        </w:tc>
        <w:tc>
          <w:tcPr>
            <w:tcW w:w="657" w:type="dxa"/>
          </w:tcPr>
          <w:p>
            <w:pPr/>
          </w:p>
        </w:tc>
        <w:tc>
          <w:tcPr>
            <w:tcW w:w="1733" w:type="dxa"/>
          </w:tcPr>
          <w:p>
            <w:pPr>
              <w:pStyle w:val="TableParagraph"/>
              <w:spacing w:before="19"/>
              <w:ind w:right="350"/>
              <w:jc w:val="right"/>
              <w:rPr>
                <w:b/>
                <w:sz w:val="18"/>
              </w:rPr>
            </w:pPr>
            <w:r>
              <w:rPr>
                <w:b/>
                <w:w w:val="95"/>
                <w:sz w:val="18"/>
              </w:rPr>
              <w:t>17,494</w:t>
            </w:r>
          </w:p>
        </w:tc>
        <w:tc>
          <w:tcPr>
            <w:tcW w:w="1382" w:type="dxa"/>
          </w:tcPr>
          <w:p>
            <w:pPr>
              <w:pStyle w:val="TableParagraph"/>
              <w:spacing w:before="19"/>
              <w:ind w:left="392"/>
              <w:rPr>
                <w:sz w:val="18"/>
              </w:rPr>
            </w:pPr>
            <w:r>
              <w:rPr>
                <w:sz w:val="18"/>
              </w:rPr>
              <w:t>17,967</w:t>
            </w:r>
          </w:p>
        </w:tc>
        <w:tc>
          <w:tcPr>
            <w:tcW w:w="1382" w:type="dxa"/>
          </w:tcPr>
          <w:p>
            <w:pPr>
              <w:pStyle w:val="TableParagraph"/>
              <w:spacing w:before="19"/>
              <w:ind w:right="350"/>
              <w:jc w:val="right"/>
              <w:rPr>
                <w:b/>
                <w:sz w:val="18"/>
              </w:rPr>
            </w:pPr>
            <w:r>
              <w:rPr>
                <w:b/>
                <w:w w:val="95"/>
                <w:sz w:val="18"/>
              </w:rPr>
              <w:t>17,494</w:t>
            </w:r>
          </w:p>
        </w:tc>
        <w:tc>
          <w:tcPr>
            <w:tcW w:w="1051" w:type="dxa"/>
          </w:tcPr>
          <w:p>
            <w:pPr>
              <w:pStyle w:val="TableParagraph"/>
              <w:spacing w:before="19"/>
              <w:ind w:left="392"/>
              <w:rPr>
                <w:sz w:val="18"/>
              </w:rPr>
            </w:pPr>
            <w:r>
              <w:rPr>
                <w:sz w:val="18"/>
              </w:rPr>
              <w:t>17,967</w:t>
            </w:r>
          </w:p>
        </w:tc>
      </w:tr>
      <w:tr>
        <w:trPr>
          <w:trHeight w:val="264" w:hRule="exact"/>
        </w:trPr>
        <w:tc>
          <w:tcPr>
            <w:tcW w:w="3719" w:type="dxa"/>
          </w:tcPr>
          <w:p>
            <w:pPr>
              <w:pStyle w:val="TableParagraph"/>
              <w:spacing w:before="18"/>
              <w:ind w:left="176"/>
              <w:rPr>
                <w:sz w:val="18"/>
              </w:rPr>
            </w:pPr>
            <w:r>
              <w:rPr>
                <w:sz w:val="18"/>
              </w:rPr>
              <w:t>Fees and charges</w:t>
            </w:r>
          </w:p>
        </w:tc>
        <w:tc>
          <w:tcPr>
            <w:tcW w:w="657" w:type="dxa"/>
          </w:tcPr>
          <w:p>
            <w:pPr>
              <w:pStyle w:val="TableParagraph"/>
              <w:spacing w:before="19"/>
              <w:ind w:left="124"/>
              <w:rPr>
                <w:sz w:val="18"/>
              </w:rPr>
            </w:pPr>
            <w:r>
              <w:rPr>
                <w:w w:val="99"/>
                <w:sz w:val="18"/>
              </w:rPr>
              <w:t>4</w:t>
            </w:r>
          </w:p>
        </w:tc>
        <w:tc>
          <w:tcPr>
            <w:tcW w:w="1733" w:type="dxa"/>
          </w:tcPr>
          <w:p>
            <w:pPr>
              <w:pStyle w:val="TableParagraph"/>
              <w:spacing w:before="19"/>
              <w:ind w:right="350"/>
              <w:jc w:val="right"/>
              <w:rPr>
                <w:b/>
                <w:sz w:val="18"/>
              </w:rPr>
            </w:pPr>
            <w:r>
              <w:rPr>
                <w:b/>
                <w:w w:val="95"/>
                <w:sz w:val="18"/>
              </w:rPr>
              <w:t>82,569</w:t>
            </w:r>
          </w:p>
        </w:tc>
        <w:tc>
          <w:tcPr>
            <w:tcW w:w="1382" w:type="dxa"/>
          </w:tcPr>
          <w:p>
            <w:pPr>
              <w:pStyle w:val="TableParagraph"/>
              <w:spacing w:before="19"/>
              <w:ind w:left="392"/>
              <w:rPr>
                <w:sz w:val="18"/>
              </w:rPr>
            </w:pPr>
            <w:r>
              <w:rPr>
                <w:sz w:val="18"/>
              </w:rPr>
              <w:t>81,157</w:t>
            </w:r>
          </w:p>
        </w:tc>
        <w:tc>
          <w:tcPr>
            <w:tcW w:w="1382" w:type="dxa"/>
          </w:tcPr>
          <w:p>
            <w:pPr>
              <w:pStyle w:val="TableParagraph"/>
              <w:spacing w:before="19"/>
              <w:ind w:right="352"/>
              <w:jc w:val="right"/>
              <w:rPr>
                <w:b/>
                <w:sz w:val="18"/>
              </w:rPr>
            </w:pPr>
            <w:r>
              <w:rPr>
                <w:b/>
                <w:w w:val="95"/>
                <w:sz w:val="18"/>
              </w:rPr>
              <w:t>73,415</w:t>
            </w:r>
          </w:p>
        </w:tc>
        <w:tc>
          <w:tcPr>
            <w:tcW w:w="1051" w:type="dxa"/>
          </w:tcPr>
          <w:p>
            <w:pPr>
              <w:pStyle w:val="TableParagraph"/>
              <w:spacing w:before="19"/>
              <w:ind w:left="392"/>
              <w:rPr>
                <w:sz w:val="18"/>
              </w:rPr>
            </w:pPr>
            <w:r>
              <w:rPr>
                <w:sz w:val="18"/>
              </w:rPr>
              <w:t>69,951</w:t>
            </w:r>
          </w:p>
        </w:tc>
      </w:tr>
      <w:tr>
        <w:trPr>
          <w:trHeight w:val="264" w:hRule="exact"/>
        </w:trPr>
        <w:tc>
          <w:tcPr>
            <w:tcW w:w="3719" w:type="dxa"/>
          </w:tcPr>
          <w:p>
            <w:pPr>
              <w:pStyle w:val="TableParagraph"/>
              <w:spacing w:before="18"/>
              <w:ind w:left="176"/>
              <w:rPr>
                <w:sz w:val="18"/>
              </w:rPr>
            </w:pPr>
            <w:r>
              <w:rPr>
                <w:sz w:val="18"/>
              </w:rPr>
              <w:t>Consultancy and contracts</w:t>
            </w:r>
          </w:p>
        </w:tc>
        <w:tc>
          <w:tcPr>
            <w:tcW w:w="657" w:type="dxa"/>
          </w:tcPr>
          <w:p>
            <w:pPr>
              <w:pStyle w:val="TableParagraph"/>
              <w:spacing w:before="19"/>
              <w:ind w:left="124"/>
              <w:rPr>
                <w:sz w:val="18"/>
              </w:rPr>
            </w:pPr>
            <w:r>
              <w:rPr>
                <w:w w:val="99"/>
                <w:sz w:val="18"/>
              </w:rPr>
              <w:t>7</w:t>
            </w:r>
          </w:p>
        </w:tc>
        <w:tc>
          <w:tcPr>
            <w:tcW w:w="1733" w:type="dxa"/>
          </w:tcPr>
          <w:p>
            <w:pPr>
              <w:pStyle w:val="TableParagraph"/>
              <w:spacing w:before="19"/>
              <w:ind w:right="351"/>
              <w:jc w:val="right"/>
              <w:rPr>
                <w:b/>
                <w:sz w:val="18"/>
              </w:rPr>
            </w:pPr>
            <w:r>
              <w:rPr>
                <w:b/>
                <w:w w:val="95"/>
                <w:sz w:val="18"/>
              </w:rPr>
              <w:t>11,287</w:t>
            </w:r>
          </w:p>
        </w:tc>
        <w:tc>
          <w:tcPr>
            <w:tcW w:w="1382" w:type="dxa"/>
          </w:tcPr>
          <w:p>
            <w:pPr>
              <w:pStyle w:val="TableParagraph"/>
              <w:spacing w:before="19"/>
              <w:ind w:left="392"/>
              <w:rPr>
                <w:sz w:val="18"/>
              </w:rPr>
            </w:pPr>
            <w:r>
              <w:rPr>
                <w:sz w:val="18"/>
              </w:rPr>
              <w:t>10,486</w:t>
            </w:r>
          </w:p>
        </w:tc>
        <w:tc>
          <w:tcPr>
            <w:tcW w:w="1382" w:type="dxa"/>
          </w:tcPr>
          <w:p>
            <w:pPr>
              <w:pStyle w:val="TableParagraph"/>
              <w:spacing w:before="19"/>
              <w:ind w:right="351"/>
              <w:jc w:val="right"/>
              <w:rPr>
                <w:b/>
                <w:sz w:val="18"/>
              </w:rPr>
            </w:pPr>
            <w:r>
              <w:rPr>
                <w:b/>
                <w:w w:val="95"/>
                <w:sz w:val="18"/>
              </w:rPr>
              <w:t>11,259</w:t>
            </w:r>
          </w:p>
        </w:tc>
        <w:tc>
          <w:tcPr>
            <w:tcW w:w="1051" w:type="dxa"/>
          </w:tcPr>
          <w:p>
            <w:pPr>
              <w:pStyle w:val="TableParagraph"/>
              <w:spacing w:before="19"/>
              <w:ind w:left="392"/>
              <w:rPr>
                <w:sz w:val="18"/>
              </w:rPr>
            </w:pPr>
            <w:r>
              <w:rPr>
                <w:sz w:val="18"/>
              </w:rPr>
              <w:t>10,458</w:t>
            </w:r>
          </w:p>
        </w:tc>
      </w:tr>
      <w:tr>
        <w:trPr>
          <w:trHeight w:val="264" w:hRule="exact"/>
        </w:trPr>
        <w:tc>
          <w:tcPr>
            <w:tcW w:w="3719" w:type="dxa"/>
          </w:tcPr>
          <w:p>
            <w:pPr>
              <w:pStyle w:val="TableParagraph"/>
              <w:spacing w:before="18"/>
              <w:ind w:left="175"/>
              <w:rPr>
                <w:sz w:val="18"/>
              </w:rPr>
            </w:pPr>
            <w:r>
              <w:rPr>
                <w:sz w:val="18"/>
              </w:rPr>
              <w:t>Investment revenue</w:t>
            </w:r>
          </w:p>
        </w:tc>
        <w:tc>
          <w:tcPr>
            <w:tcW w:w="657" w:type="dxa"/>
          </w:tcPr>
          <w:p>
            <w:pPr>
              <w:pStyle w:val="TableParagraph"/>
              <w:spacing w:before="19"/>
              <w:ind w:left="123"/>
              <w:rPr>
                <w:sz w:val="18"/>
              </w:rPr>
            </w:pPr>
            <w:r>
              <w:rPr>
                <w:w w:val="99"/>
                <w:sz w:val="18"/>
              </w:rPr>
              <w:t>5</w:t>
            </w:r>
          </w:p>
        </w:tc>
        <w:tc>
          <w:tcPr>
            <w:tcW w:w="1733" w:type="dxa"/>
          </w:tcPr>
          <w:p>
            <w:pPr>
              <w:pStyle w:val="TableParagraph"/>
              <w:spacing w:before="19"/>
              <w:ind w:right="351"/>
              <w:jc w:val="right"/>
              <w:rPr>
                <w:b/>
                <w:sz w:val="18"/>
              </w:rPr>
            </w:pPr>
            <w:r>
              <w:rPr>
                <w:b/>
                <w:w w:val="95"/>
                <w:sz w:val="18"/>
              </w:rPr>
              <w:t>3,699</w:t>
            </w:r>
          </w:p>
        </w:tc>
        <w:tc>
          <w:tcPr>
            <w:tcW w:w="1382" w:type="dxa"/>
          </w:tcPr>
          <w:p>
            <w:pPr>
              <w:pStyle w:val="TableParagraph"/>
              <w:spacing w:before="19"/>
              <w:ind w:left="491"/>
              <w:rPr>
                <w:sz w:val="18"/>
              </w:rPr>
            </w:pPr>
            <w:r>
              <w:rPr>
                <w:sz w:val="18"/>
              </w:rPr>
              <w:t>4,953</w:t>
            </w:r>
          </w:p>
        </w:tc>
        <w:tc>
          <w:tcPr>
            <w:tcW w:w="1382" w:type="dxa"/>
          </w:tcPr>
          <w:p>
            <w:pPr>
              <w:pStyle w:val="TableParagraph"/>
              <w:spacing w:before="19"/>
              <w:ind w:right="351"/>
              <w:jc w:val="right"/>
              <w:rPr>
                <w:b/>
                <w:sz w:val="18"/>
              </w:rPr>
            </w:pPr>
            <w:r>
              <w:rPr>
                <w:b/>
                <w:w w:val="95"/>
                <w:sz w:val="18"/>
              </w:rPr>
              <w:t>2,276</w:t>
            </w:r>
          </w:p>
        </w:tc>
        <w:tc>
          <w:tcPr>
            <w:tcW w:w="1051" w:type="dxa"/>
          </w:tcPr>
          <w:p>
            <w:pPr>
              <w:pStyle w:val="TableParagraph"/>
              <w:spacing w:before="19"/>
              <w:ind w:left="491"/>
              <w:rPr>
                <w:sz w:val="18"/>
              </w:rPr>
            </w:pPr>
            <w:r>
              <w:rPr>
                <w:sz w:val="18"/>
              </w:rPr>
              <w:t>3,054</w:t>
            </w:r>
          </w:p>
        </w:tc>
      </w:tr>
      <w:tr>
        <w:trPr>
          <w:trHeight w:val="264" w:hRule="exact"/>
        </w:trPr>
        <w:tc>
          <w:tcPr>
            <w:tcW w:w="3719" w:type="dxa"/>
          </w:tcPr>
          <w:p>
            <w:pPr>
              <w:pStyle w:val="TableParagraph"/>
              <w:spacing w:before="18"/>
              <w:ind w:left="175"/>
              <w:rPr>
                <w:sz w:val="18"/>
              </w:rPr>
            </w:pPr>
            <w:r>
              <w:rPr>
                <w:sz w:val="18"/>
              </w:rPr>
              <w:t>Royalties, trademarks and licences</w:t>
            </w:r>
          </w:p>
        </w:tc>
        <w:tc>
          <w:tcPr>
            <w:tcW w:w="657" w:type="dxa"/>
          </w:tcPr>
          <w:p>
            <w:pPr>
              <w:pStyle w:val="TableParagraph"/>
              <w:spacing w:before="19"/>
              <w:ind w:left="123"/>
              <w:rPr>
                <w:sz w:val="18"/>
              </w:rPr>
            </w:pPr>
            <w:r>
              <w:rPr>
                <w:w w:val="99"/>
                <w:sz w:val="18"/>
              </w:rPr>
              <w:t>6</w:t>
            </w:r>
          </w:p>
        </w:tc>
        <w:tc>
          <w:tcPr>
            <w:tcW w:w="1733" w:type="dxa"/>
          </w:tcPr>
          <w:p>
            <w:pPr>
              <w:pStyle w:val="TableParagraph"/>
              <w:spacing w:before="19"/>
              <w:ind w:right="351"/>
              <w:jc w:val="right"/>
              <w:rPr>
                <w:b/>
                <w:sz w:val="18"/>
              </w:rPr>
            </w:pPr>
            <w:r>
              <w:rPr>
                <w:b/>
                <w:w w:val="95"/>
                <w:sz w:val="18"/>
              </w:rPr>
              <w:t>185</w:t>
            </w:r>
          </w:p>
        </w:tc>
        <w:tc>
          <w:tcPr>
            <w:tcW w:w="1382" w:type="dxa"/>
          </w:tcPr>
          <w:p>
            <w:pPr>
              <w:pStyle w:val="TableParagraph"/>
              <w:spacing w:before="19"/>
              <w:ind w:left="641"/>
              <w:rPr>
                <w:sz w:val="18"/>
              </w:rPr>
            </w:pPr>
            <w:r>
              <w:rPr>
                <w:sz w:val="18"/>
              </w:rPr>
              <w:t>237</w:t>
            </w:r>
          </w:p>
        </w:tc>
        <w:tc>
          <w:tcPr>
            <w:tcW w:w="1382" w:type="dxa"/>
          </w:tcPr>
          <w:p>
            <w:pPr>
              <w:pStyle w:val="TableParagraph"/>
              <w:spacing w:before="19"/>
              <w:ind w:right="351"/>
              <w:jc w:val="right"/>
              <w:rPr>
                <w:b/>
                <w:sz w:val="18"/>
              </w:rPr>
            </w:pPr>
            <w:r>
              <w:rPr>
                <w:b/>
                <w:w w:val="95"/>
                <w:sz w:val="18"/>
              </w:rPr>
              <w:t>185</w:t>
            </w:r>
          </w:p>
        </w:tc>
        <w:tc>
          <w:tcPr>
            <w:tcW w:w="1051" w:type="dxa"/>
          </w:tcPr>
          <w:p>
            <w:pPr>
              <w:pStyle w:val="TableParagraph"/>
              <w:spacing w:before="19"/>
              <w:ind w:right="107"/>
              <w:jc w:val="right"/>
              <w:rPr>
                <w:sz w:val="18"/>
              </w:rPr>
            </w:pPr>
            <w:r>
              <w:rPr>
                <w:w w:val="95"/>
                <w:sz w:val="18"/>
              </w:rPr>
              <w:t>236</w:t>
            </w:r>
          </w:p>
        </w:tc>
      </w:tr>
      <w:tr>
        <w:trPr>
          <w:trHeight w:val="263" w:hRule="exact"/>
        </w:trPr>
        <w:tc>
          <w:tcPr>
            <w:tcW w:w="3719" w:type="dxa"/>
          </w:tcPr>
          <w:p>
            <w:pPr>
              <w:pStyle w:val="TableParagraph"/>
              <w:spacing w:before="18"/>
              <w:ind w:left="175"/>
              <w:rPr>
                <w:sz w:val="18"/>
              </w:rPr>
            </w:pPr>
            <w:r>
              <w:rPr>
                <w:sz w:val="18"/>
              </w:rPr>
              <w:t>Other revenue</w:t>
            </w:r>
          </w:p>
        </w:tc>
        <w:tc>
          <w:tcPr>
            <w:tcW w:w="657" w:type="dxa"/>
          </w:tcPr>
          <w:p>
            <w:pPr>
              <w:pStyle w:val="TableParagraph"/>
              <w:spacing w:before="19"/>
              <w:ind w:left="123"/>
              <w:rPr>
                <w:sz w:val="18"/>
              </w:rPr>
            </w:pPr>
            <w:r>
              <w:rPr>
                <w:w w:val="99"/>
                <w:sz w:val="18"/>
              </w:rPr>
              <w:t>8</w:t>
            </w:r>
          </w:p>
        </w:tc>
        <w:tc>
          <w:tcPr>
            <w:tcW w:w="1733" w:type="dxa"/>
            <w:tcBorders>
              <w:bottom w:val="single" w:sz="0" w:space="0" w:color="000000"/>
            </w:tcBorders>
          </w:tcPr>
          <w:p>
            <w:pPr>
              <w:pStyle w:val="TableParagraph"/>
              <w:spacing w:before="19"/>
              <w:ind w:right="351"/>
              <w:jc w:val="right"/>
              <w:rPr>
                <w:b/>
                <w:sz w:val="18"/>
              </w:rPr>
            </w:pPr>
            <w:r>
              <w:rPr>
                <w:b/>
                <w:w w:val="95"/>
                <w:sz w:val="18"/>
              </w:rPr>
              <w:t>50,184</w:t>
            </w:r>
          </w:p>
        </w:tc>
        <w:tc>
          <w:tcPr>
            <w:tcW w:w="1382" w:type="dxa"/>
            <w:tcBorders>
              <w:bottom w:val="single" w:sz="0" w:space="0" w:color="000000"/>
            </w:tcBorders>
          </w:tcPr>
          <w:p>
            <w:pPr>
              <w:pStyle w:val="TableParagraph"/>
              <w:spacing w:before="19"/>
              <w:ind w:left="392"/>
              <w:rPr>
                <w:sz w:val="18"/>
              </w:rPr>
            </w:pPr>
            <w:r>
              <w:rPr>
                <w:sz w:val="18"/>
              </w:rPr>
              <w:t>44,644</w:t>
            </w:r>
          </w:p>
        </w:tc>
        <w:tc>
          <w:tcPr>
            <w:tcW w:w="1382" w:type="dxa"/>
            <w:tcBorders>
              <w:bottom w:val="single" w:sz="0" w:space="0" w:color="000000"/>
            </w:tcBorders>
          </w:tcPr>
          <w:p>
            <w:pPr>
              <w:pStyle w:val="TableParagraph"/>
              <w:spacing w:before="19"/>
              <w:ind w:right="351"/>
              <w:jc w:val="right"/>
              <w:rPr>
                <w:b/>
                <w:sz w:val="18"/>
              </w:rPr>
            </w:pPr>
            <w:r>
              <w:rPr>
                <w:b/>
                <w:w w:val="95"/>
                <w:sz w:val="18"/>
              </w:rPr>
              <w:t>29,451</w:t>
            </w:r>
          </w:p>
        </w:tc>
        <w:tc>
          <w:tcPr>
            <w:tcW w:w="1051" w:type="dxa"/>
            <w:tcBorders>
              <w:bottom w:val="single" w:sz="0" w:space="0" w:color="000000"/>
            </w:tcBorders>
          </w:tcPr>
          <w:p>
            <w:pPr>
              <w:pStyle w:val="TableParagraph"/>
              <w:spacing w:before="19"/>
              <w:ind w:left="392"/>
              <w:rPr>
                <w:sz w:val="18"/>
              </w:rPr>
            </w:pPr>
            <w:r>
              <w:rPr>
                <w:sz w:val="18"/>
              </w:rPr>
              <w:t>25,097</w:t>
            </w:r>
          </w:p>
        </w:tc>
      </w:tr>
      <w:tr>
        <w:trPr>
          <w:trHeight w:val="353" w:hRule="exact"/>
        </w:trPr>
        <w:tc>
          <w:tcPr>
            <w:tcW w:w="3719" w:type="dxa"/>
          </w:tcPr>
          <w:p>
            <w:pPr>
              <w:pStyle w:val="TableParagraph"/>
              <w:spacing w:before="113"/>
              <w:ind w:left="35"/>
              <w:rPr>
                <w:b/>
                <w:sz w:val="18"/>
              </w:rPr>
            </w:pPr>
            <w:r>
              <w:rPr>
                <w:b/>
                <w:sz w:val="18"/>
              </w:rPr>
              <w:t>Total revenue from continuing operations</w:t>
            </w:r>
          </w:p>
        </w:tc>
        <w:tc>
          <w:tcPr>
            <w:tcW w:w="657" w:type="dxa"/>
          </w:tcPr>
          <w:p>
            <w:pPr/>
          </w:p>
        </w:tc>
        <w:tc>
          <w:tcPr>
            <w:tcW w:w="1733" w:type="dxa"/>
          </w:tcPr>
          <w:p>
            <w:pPr>
              <w:pStyle w:val="TableParagraph"/>
              <w:spacing w:before="113"/>
              <w:ind w:right="350"/>
              <w:jc w:val="right"/>
              <w:rPr>
                <w:b/>
                <w:sz w:val="18"/>
              </w:rPr>
            </w:pPr>
            <w:r>
              <w:rPr>
                <w:b/>
                <w:w w:val="95"/>
                <w:sz w:val="18"/>
              </w:rPr>
              <w:t>662,820</w:t>
            </w:r>
          </w:p>
        </w:tc>
        <w:tc>
          <w:tcPr>
            <w:tcW w:w="1382" w:type="dxa"/>
          </w:tcPr>
          <w:p>
            <w:pPr>
              <w:pStyle w:val="TableParagraph"/>
              <w:spacing w:before="113"/>
              <w:ind w:left="293"/>
              <w:rPr>
                <w:sz w:val="18"/>
              </w:rPr>
            </w:pPr>
            <w:r>
              <w:rPr>
                <w:sz w:val="18"/>
              </w:rPr>
              <w:t>560,929</w:t>
            </w:r>
          </w:p>
        </w:tc>
        <w:tc>
          <w:tcPr>
            <w:tcW w:w="1382" w:type="dxa"/>
          </w:tcPr>
          <w:p>
            <w:pPr>
              <w:pStyle w:val="TableParagraph"/>
              <w:spacing w:before="113"/>
              <w:ind w:right="350"/>
              <w:jc w:val="right"/>
              <w:rPr>
                <w:b/>
                <w:sz w:val="18"/>
              </w:rPr>
            </w:pPr>
            <w:r>
              <w:rPr>
                <w:b/>
                <w:w w:val="95"/>
                <w:sz w:val="18"/>
              </w:rPr>
              <w:t>630,273</w:t>
            </w:r>
          </w:p>
        </w:tc>
        <w:tc>
          <w:tcPr>
            <w:tcW w:w="1051" w:type="dxa"/>
          </w:tcPr>
          <w:p>
            <w:pPr>
              <w:pStyle w:val="TableParagraph"/>
              <w:spacing w:before="113"/>
              <w:ind w:left="293"/>
              <w:rPr>
                <w:sz w:val="18"/>
              </w:rPr>
            </w:pPr>
            <w:r>
              <w:rPr>
                <w:sz w:val="18"/>
              </w:rPr>
              <w:t>526,718</w:t>
            </w:r>
          </w:p>
        </w:tc>
      </w:tr>
      <w:tr>
        <w:trPr>
          <w:trHeight w:val="308" w:hRule="exact"/>
        </w:trPr>
        <w:tc>
          <w:tcPr>
            <w:tcW w:w="3719" w:type="dxa"/>
          </w:tcPr>
          <w:p>
            <w:pPr>
              <w:pStyle w:val="TableParagraph"/>
              <w:spacing w:before="4"/>
              <w:ind w:left="176"/>
              <w:rPr>
                <w:sz w:val="18"/>
              </w:rPr>
            </w:pPr>
            <w:r>
              <w:rPr>
                <w:sz w:val="18"/>
              </w:rPr>
              <w:t>Net gains/(losses) on disposal of assets</w:t>
            </w:r>
          </w:p>
        </w:tc>
        <w:tc>
          <w:tcPr>
            <w:tcW w:w="657" w:type="dxa"/>
          </w:tcPr>
          <w:p>
            <w:pPr>
              <w:pStyle w:val="TableParagraph"/>
              <w:spacing w:before="5"/>
              <w:ind w:left="124"/>
              <w:rPr>
                <w:sz w:val="18"/>
              </w:rPr>
            </w:pPr>
            <w:r>
              <w:rPr>
                <w:w w:val="99"/>
                <w:sz w:val="18"/>
              </w:rPr>
              <w:t>9</w:t>
            </w:r>
          </w:p>
        </w:tc>
        <w:tc>
          <w:tcPr>
            <w:tcW w:w="1733" w:type="dxa"/>
          </w:tcPr>
          <w:p>
            <w:pPr>
              <w:pStyle w:val="TableParagraph"/>
              <w:spacing w:before="5"/>
              <w:ind w:right="291"/>
              <w:jc w:val="right"/>
              <w:rPr>
                <w:b/>
                <w:sz w:val="18"/>
              </w:rPr>
            </w:pPr>
            <w:r>
              <w:rPr>
                <w:b/>
                <w:w w:val="95"/>
                <w:sz w:val="18"/>
              </w:rPr>
              <w:t>(3,130)</w:t>
            </w:r>
          </w:p>
        </w:tc>
        <w:tc>
          <w:tcPr>
            <w:tcW w:w="1382" w:type="dxa"/>
          </w:tcPr>
          <w:p>
            <w:pPr>
              <w:pStyle w:val="TableParagraph"/>
              <w:spacing w:before="5"/>
              <w:ind w:left="432"/>
              <w:rPr>
                <w:sz w:val="18"/>
              </w:rPr>
            </w:pPr>
            <w:r>
              <w:rPr>
                <w:sz w:val="18"/>
              </w:rPr>
              <w:t>(2,073)</w:t>
            </w:r>
          </w:p>
        </w:tc>
        <w:tc>
          <w:tcPr>
            <w:tcW w:w="1382" w:type="dxa"/>
          </w:tcPr>
          <w:p>
            <w:pPr>
              <w:pStyle w:val="TableParagraph"/>
              <w:spacing w:before="5"/>
              <w:ind w:right="291"/>
              <w:jc w:val="right"/>
              <w:rPr>
                <w:b/>
                <w:sz w:val="18"/>
              </w:rPr>
            </w:pPr>
            <w:r>
              <w:rPr>
                <w:b/>
                <w:w w:val="95"/>
                <w:sz w:val="18"/>
              </w:rPr>
              <w:t>(3,126)</w:t>
            </w:r>
          </w:p>
        </w:tc>
        <w:tc>
          <w:tcPr>
            <w:tcW w:w="1051" w:type="dxa"/>
          </w:tcPr>
          <w:p>
            <w:pPr>
              <w:pStyle w:val="TableParagraph"/>
              <w:spacing w:before="5"/>
              <w:ind w:right="46"/>
              <w:jc w:val="right"/>
              <w:rPr>
                <w:sz w:val="18"/>
              </w:rPr>
            </w:pPr>
            <w:r>
              <w:rPr>
                <w:w w:val="95"/>
                <w:sz w:val="18"/>
              </w:rPr>
              <w:t>(2,052)</w:t>
            </w:r>
          </w:p>
        </w:tc>
      </w:tr>
    </w:tbl>
    <w:p>
      <w:pPr>
        <w:tabs>
          <w:tab w:pos="4493" w:val="left" w:leader="none"/>
          <w:tab w:pos="5224" w:val="left" w:leader="none"/>
          <w:tab w:pos="6520" w:val="left" w:leader="none"/>
          <w:tab w:pos="7988" w:val="left" w:leader="none"/>
          <w:tab w:pos="9284" w:val="left" w:leader="none"/>
        </w:tabs>
        <w:spacing w:line="391" w:lineRule="auto" w:before="45"/>
        <w:ind w:left="152" w:right="207" w:hanging="1"/>
        <w:jc w:val="left"/>
        <w:rPr>
          <w:b/>
          <w:sz w:val="18"/>
        </w:rPr>
      </w:pPr>
      <w:r>
        <w:rPr/>
        <w:pict>
          <v:shape style="position:absolute;margin-left:50.852001pt;margin-top:31.319075pt;width:495.25pt;height:173.3pt;mso-position-horizontal-relative:page;mso-position-vertical-relative:paragraph;z-index:116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85"/>
                    <w:gridCol w:w="692"/>
                    <w:gridCol w:w="1733"/>
                    <w:gridCol w:w="1353"/>
                    <w:gridCol w:w="1411"/>
                    <w:gridCol w:w="1031"/>
                  </w:tblGrid>
                  <w:tr>
                    <w:trPr>
                      <w:trHeight w:val="237" w:hRule="exact"/>
                    </w:trPr>
                    <w:tc>
                      <w:tcPr>
                        <w:tcW w:w="3685" w:type="dxa"/>
                      </w:tcPr>
                      <w:p>
                        <w:pPr>
                          <w:pStyle w:val="TableParagraph"/>
                          <w:spacing w:line="198" w:lineRule="exact"/>
                          <w:ind w:left="35" w:right="1098"/>
                          <w:rPr>
                            <w:sz w:val="18"/>
                          </w:rPr>
                        </w:pPr>
                        <w:r>
                          <w:rPr>
                            <w:sz w:val="18"/>
                          </w:rPr>
                          <w:t>Employee related expenses</w:t>
                        </w:r>
                      </w:p>
                    </w:tc>
                    <w:tc>
                      <w:tcPr>
                        <w:tcW w:w="692" w:type="dxa"/>
                      </w:tcPr>
                      <w:p>
                        <w:pPr>
                          <w:pStyle w:val="TableParagraph"/>
                          <w:spacing w:line="199" w:lineRule="exact"/>
                          <w:ind w:left="159"/>
                          <w:rPr>
                            <w:sz w:val="18"/>
                          </w:rPr>
                        </w:pPr>
                        <w:r>
                          <w:rPr>
                            <w:sz w:val="18"/>
                          </w:rPr>
                          <w:t>10</w:t>
                        </w:r>
                      </w:p>
                    </w:tc>
                    <w:tc>
                      <w:tcPr>
                        <w:tcW w:w="1733" w:type="dxa"/>
                      </w:tcPr>
                      <w:p>
                        <w:pPr>
                          <w:pStyle w:val="TableParagraph"/>
                          <w:spacing w:line="199" w:lineRule="exact"/>
                          <w:ind w:right="349"/>
                          <w:jc w:val="right"/>
                          <w:rPr>
                            <w:b/>
                            <w:sz w:val="18"/>
                          </w:rPr>
                        </w:pPr>
                        <w:r>
                          <w:rPr>
                            <w:b/>
                            <w:w w:val="95"/>
                            <w:sz w:val="18"/>
                          </w:rPr>
                          <w:t>365,679</w:t>
                        </w:r>
                      </w:p>
                    </w:tc>
                    <w:tc>
                      <w:tcPr>
                        <w:tcW w:w="1353" w:type="dxa"/>
                      </w:tcPr>
                      <w:p>
                        <w:pPr>
                          <w:pStyle w:val="TableParagraph"/>
                          <w:spacing w:line="199" w:lineRule="exact"/>
                          <w:ind w:right="406"/>
                          <w:jc w:val="right"/>
                          <w:rPr>
                            <w:sz w:val="18"/>
                          </w:rPr>
                        </w:pPr>
                        <w:r>
                          <w:rPr>
                            <w:w w:val="95"/>
                            <w:sz w:val="18"/>
                          </w:rPr>
                          <w:t>338,690</w:t>
                        </w:r>
                      </w:p>
                    </w:tc>
                    <w:tc>
                      <w:tcPr>
                        <w:tcW w:w="1411" w:type="dxa"/>
                      </w:tcPr>
                      <w:p>
                        <w:pPr>
                          <w:pStyle w:val="TableParagraph"/>
                          <w:spacing w:line="199" w:lineRule="exact"/>
                          <w:ind w:right="349"/>
                          <w:jc w:val="right"/>
                          <w:rPr>
                            <w:b/>
                            <w:sz w:val="18"/>
                          </w:rPr>
                        </w:pPr>
                        <w:r>
                          <w:rPr>
                            <w:b/>
                            <w:w w:val="95"/>
                            <w:sz w:val="18"/>
                          </w:rPr>
                          <w:t>338,598</w:t>
                        </w:r>
                      </w:p>
                    </w:tc>
                    <w:tc>
                      <w:tcPr>
                        <w:tcW w:w="1031" w:type="dxa"/>
                      </w:tcPr>
                      <w:p>
                        <w:pPr>
                          <w:pStyle w:val="TableParagraph"/>
                          <w:spacing w:line="199" w:lineRule="exact"/>
                          <w:ind w:right="84"/>
                          <w:jc w:val="right"/>
                          <w:rPr>
                            <w:sz w:val="18"/>
                          </w:rPr>
                        </w:pPr>
                        <w:r>
                          <w:rPr>
                            <w:w w:val="95"/>
                            <w:sz w:val="18"/>
                          </w:rPr>
                          <w:t>310,383</w:t>
                        </w:r>
                      </w:p>
                    </w:tc>
                  </w:tr>
                  <w:tr>
                    <w:trPr>
                      <w:trHeight w:val="469" w:hRule="exact"/>
                    </w:trPr>
                    <w:tc>
                      <w:tcPr>
                        <w:tcW w:w="3685" w:type="dxa"/>
                      </w:tcPr>
                      <w:p>
                        <w:pPr>
                          <w:pStyle w:val="TableParagraph"/>
                          <w:spacing w:before="18"/>
                          <w:ind w:left="35" w:right="1098"/>
                          <w:rPr>
                            <w:sz w:val="18"/>
                          </w:rPr>
                        </w:pPr>
                        <w:r>
                          <w:rPr>
                            <w:sz w:val="18"/>
                          </w:rPr>
                          <w:t>Deferred government employee superannuation expense</w:t>
                        </w:r>
                      </w:p>
                    </w:tc>
                    <w:tc>
                      <w:tcPr>
                        <w:tcW w:w="692" w:type="dxa"/>
                      </w:tcPr>
                      <w:p>
                        <w:pPr>
                          <w:pStyle w:val="TableParagraph"/>
                          <w:spacing w:before="19"/>
                          <w:ind w:left="159"/>
                          <w:rPr>
                            <w:sz w:val="18"/>
                          </w:rPr>
                        </w:pPr>
                        <w:r>
                          <w:rPr>
                            <w:sz w:val="18"/>
                          </w:rPr>
                          <w:t>10</w:t>
                        </w:r>
                      </w:p>
                    </w:tc>
                    <w:tc>
                      <w:tcPr>
                        <w:tcW w:w="1733" w:type="dxa"/>
                      </w:tcPr>
                      <w:p>
                        <w:pPr>
                          <w:pStyle w:val="TableParagraph"/>
                          <w:spacing w:before="5"/>
                          <w:rPr>
                            <w:sz w:val="19"/>
                          </w:rPr>
                        </w:pPr>
                      </w:p>
                      <w:p>
                        <w:pPr>
                          <w:pStyle w:val="TableParagraph"/>
                          <w:ind w:right="291"/>
                          <w:jc w:val="right"/>
                          <w:rPr>
                            <w:b/>
                            <w:sz w:val="18"/>
                          </w:rPr>
                        </w:pPr>
                        <w:r>
                          <w:rPr>
                            <w:b/>
                            <w:w w:val="95"/>
                            <w:sz w:val="18"/>
                          </w:rPr>
                          <w:t>(69)</w:t>
                        </w:r>
                      </w:p>
                    </w:tc>
                    <w:tc>
                      <w:tcPr>
                        <w:tcW w:w="1353" w:type="dxa"/>
                      </w:tcPr>
                      <w:p>
                        <w:pPr>
                          <w:pStyle w:val="TableParagraph"/>
                          <w:spacing w:before="5"/>
                          <w:rPr>
                            <w:sz w:val="19"/>
                          </w:rPr>
                        </w:pPr>
                      </w:p>
                      <w:p>
                        <w:pPr>
                          <w:pStyle w:val="TableParagraph"/>
                          <w:ind w:right="407"/>
                          <w:jc w:val="right"/>
                          <w:rPr>
                            <w:sz w:val="18"/>
                          </w:rPr>
                        </w:pPr>
                        <w:r>
                          <w:rPr>
                            <w:w w:val="95"/>
                            <w:sz w:val="18"/>
                          </w:rPr>
                          <w:t>218</w:t>
                        </w:r>
                      </w:p>
                    </w:tc>
                    <w:tc>
                      <w:tcPr>
                        <w:tcW w:w="1411" w:type="dxa"/>
                      </w:tcPr>
                      <w:p>
                        <w:pPr>
                          <w:pStyle w:val="TableParagraph"/>
                          <w:spacing w:before="5"/>
                          <w:rPr>
                            <w:sz w:val="19"/>
                          </w:rPr>
                        </w:pPr>
                      </w:p>
                      <w:p>
                        <w:pPr>
                          <w:pStyle w:val="TableParagraph"/>
                          <w:ind w:right="291"/>
                          <w:jc w:val="right"/>
                          <w:rPr>
                            <w:b/>
                            <w:sz w:val="18"/>
                          </w:rPr>
                        </w:pPr>
                        <w:r>
                          <w:rPr>
                            <w:b/>
                            <w:w w:val="95"/>
                            <w:sz w:val="18"/>
                          </w:rPr>
                          <w:t>(69)</w:t>
                        </w:r>
                      </w:p>
                    </w:tc>
                    <w:tc>
                      <w:tcPr>
                        <w:tcW w:w="1031" w:type="dxa"/>
                      </w:tcPr>
                      <w:p>
                        <w:pPr>
                          <w:pStyle w:val="TableParagraph"/>
                          <w:spacing w:before="5"/>
                          <w:rPr>
                            <w:sz w:val="19"/>
                          </w:rPr>
                        </w:pPr>
                      </w:p>
                      <w:p>
                        <w:pPr>
                          <w:pStyle w:val="TableParagraph"/>
                          <w:ind w:right="85"/>
                          <w:jc w:val="right"/>
                          <w:rPr>
                            <w:sz w:val="18"/>
                          </w:rPr>
                        </w:pPr>
                        <w:r>
                          <w:rPr>
                            <w:w w:val="95"/>
                            <w:sz w:val="18"/>
                          </w:rPr>
                          <w:t>218</w:t>
                        </w:r>
                      </w:p>
                    </w:tc>
                  </w:tr>
                  <w:tr>
                    <w:trPr>
                      <w:trHeight w:val="263" w:hRule="exact"/>
                    </w:trPr>
                    <w:tc>
                      <w:tcPr>
                        <w:tcW w:w="3685" w:type="dxa"/>
                      </w:tcPr>
                      <w:p>
                        <w:pPr>
                          <w:pStyle w:val="TableParagraph"/>
                          <w:spacing w:before="17"/>
                          <w:ind w:left="35" w:right="1098"/>
                          <w:rPr>
                            <w:sz w:val="18"/>
                          </w:rPr>
                        </w:pPr>
                        <w:r>
                          <w:rPr>
                            <w:sz w:val="18"/>
                          </w:rPr>
                          <w:t>Depreciation and amortisation</w:t>
                        </w:r>
                      </w:p>
                    </w:tc>
                    <w:tc>
                      <w:tcPr>
                        <w:tcW w:w="692" w:type="dxa"/>
                      </w:tcPr>
                      <w:p>
                        <w:pPr>
                          <w:pStyle w:val="TableParagraph"/>
                          <w:spacing w:before="19"/>
                          <w:ind w:left="159"/>
                          <w:rPr>
                            <w:sz w:val="18"/>
                          </w:rPr>
                        </w:pPr>
                        <w:r>
                          <w:rPr>
                            <w:sz w:val="18"/>
                          </w:rPr>
                          <w:t>11</w:t>
                        </w:r>
                      </w:p>
                    </w:tc>
                    <w:tc>
                      <w:tcPr>
                        <w:tcW w:w="1733" w:type="dxa"/>
                      </w:tcPr>
                      <w:p>
                        <w:pPr>
                          <w:pStyle w:val="TableParagraph"/>
                          <w:spacing w:before="19"/>
                          <w:ind w:right="350"/>
                          <w:jc w:val="right"/>
                          <w:rPr>
                            <w:b/>
                            <w:sz w:val="18"/>
                          </w:rPr>
                        </w:pPr>
                        <w:r>
                          <w:rPr>
                            <w:b/>
                            <w:w w:val="95"/>
                            <w:sz w:val="18"/>
                          </w:rPr>
                          <w:t>35,288</w:t>
                        </w:r>
                      </w:p>
                    </w:tc>
                    <w:tc>
                      <w:tcPr>
                        <w:tcW w:w="1353" w:type="dxa"/>
                      </w:tcPr>
                      <w:p>
                        <w:pPr>
                          <w:pStyle w:val="TableParagraph"/>
                          <w:spacing w:before="19"/>
                          <w:ind w:right="406"/>
                          <w:jc w:val="right"/>
                          <w:rPr>
                            <w:sz w:val="18"/>
                          </w:rPr>
                        </w:pPr>
                        <w:r>
                          <w:rPr>
                            <w:w w:val="95"/>
                            <w:sz w:val="18"/>
                          </w:rPr>
                          <w:t>31,942</w:t>
                        </w:r>
                      </w:p>
                    </w:tc>
                    <w:tc>
                      <w:tcPr>
                        <w:tcW w:w="1411" w:type="dxa"/>
                      </w:tcPr>
                      <w:p>
                        <w:pPr>
                          <w:pStyle w:val="TableParagraph"/>
                          <w:spacing w:before="19"/>
                          <w:ind w:right="350"/>
                          <w:jc w:val="right"/>
                          <w:rPr>
                            <w:b/>
                            <w:sz w:val="18"/>
                          </w:rPr>
                        </w:pPr>
                        <w:r>
                          <w:rPr>
                            <w:b/>
                            <w:w w:val="95"/>
                            <w:sz w:val="18"/>
                          </w:rPr>
                          <w:t>34,242</w:t>
                        </w:r>
                      </w:p>
                    </w:tc>
                    <w:tc>
                      <w:tcPr>
                        <w:tcW w:w="1031" w:type="dxa"/>
                      </w:tcPr>
                      <w:p>
                        <w:pPr>
                          <w:pStyle w:val="TableParagraph"/>
                          <w:spacing w:before="19"/>
                          <w:ind w:right="84"/>
                          <w:jc w:val="right"/>
                          <w:rPr>
                            <w:sz w:val="18"/>
                          </w:rPr>
                        </w:pPr>
                        <w:r>
                          <w:rPr>
                            <w:w w:val="95"/>
                            <w:sz w:val="18"/>
                          </w:rPr>
                          <w:t>31,195</w:t>
                        </w:r>
                      </w:p>
                    </w:tc>
                  </w:tr>
                  <w:tr>
                    <w:trPr>
                      <w:trHeight w:val="264" w:hRule="exact"/>
                    </w:trPr>
                    <w:tc>
                      <w:tcPr>
                        <w:tcW w:w="3685" w:type="dxa"/>
                      </w:tcPr>
                      <w:p>
                        <w:pPr>
                          <w:pStyle w:val="TableParagraph"/>
                          <w:spacing w:before="18"/>
                          <w:ind w:left="35" w:right="1098"/>
                          <w:rPr>
                            <w:sz w:val="18"/>
                          </w:rPr>
                        </w:pPr>
                        <w:r>
                          <w:rPr>
                            <w:sz w:val="18"/>
                          </w:rPr>
                          <w:t>Repairs and maintenance</w:t>
                        </w:r>
                      </w:p>
                    </w:tc>
                    <w:tc>
                      <w:tcPr>
                        <w:tcW w:w="692" w:type="dxa"/>
                      </w:tcPr>
                      <w:p>
                        <w:pPr>
                          <w:pStyle w:val="TableParagraph"/>
                          <w:spacing w:before="19"/>
                          <w:ind w:left="159"/>
                          <w:rPr>
                            <w:sz w:val="18"/>
                          </w:rPr>
                        </w:pPr>
                        <w:r>
                          <w:rPr>
                            <w:sz w:val="18"/>
                          </w:rPr>
                          <w:t>12</w:t>
                        </w:r>
                      </w:p>
                    </w:tc>
                    <w:tc>
                      <w:tcPr>
                        <w:tcW w:w="1733" w:type="dxa"/>
                      </w:tcPr>
                      <w:p>
                        <w:pPr>
                          <w:pStyle w:val="TableParagraph"/>
                          <w:spacing w:before="19"/>
                          <w:ind w:right="350"/>
                          <w:jc w:val="right"/>
                          <w:rPr>
                            <w:b/>
                            <w:sz w:val="18"/>
                          </w:rPr>
                        </w:pPr>
                        <w:r>
                          <w:rPr>
                            <w:b/>
                            <w:w w:val="95"/>
                            <w:sz w:val="18"/>
                          </w:rPr>
                          <w:t>25,370</w:t>
                        </w:r>
                      </w:p>
                    </w:tc>
                    <w:tc>
                      <w:tcPr>
                        <w:tcW w:w="1353" w:type="dxa"/>
                      </w:tcPr>
                      <w:p>
                        <w:pPr>
                          <w:pStyle w:val="TableParagraph"/>
                          <w:spacing w:before="19"/>
                          <w:ind w:right="407"/>
                          <w:jc w:val="right"/>
                          <w:rPr>
                            <w:sz w:val="18"/>
                          </w:rPr>
                        </w:pPr>
                        <w:r>
                          <w:rPr>
                            <w:w w:val="95"/>
                            <w:sz w:val="18"/>
                          </w:rPr>
                          <w:t>23,949</w:t>
                        </w:r>
                      </w:p>
                    </w:tc>
                    <w:tc>
                      <w:tcPr>
                        <w:tcW w:w="1411" w:type="dxa"/>
                      </w:tcPr>
                      <w:p>
                        <w:pPr>
                          <w:pStyle w:val="TableParagraph"/>
                          <w:spacing w:before="19"/>
                          <w:ind w:right="350"/>
                          <w:jc w:val="right"/>
                          <w:rPr>
                            <w:b/>
                            <w:sz w:val="18"/>
                          </w:rPr>
                        </w:pPr>
                        <w:r>
                          <w:rPr>
                            <w:b/>
                            <w:w w:val="95"/>
                            <w:sz w:val="18"/>
                          </w:rPr>
                          <w:t>25,018</w:t>
                        </w:r>
                      </w:p>
                    </w:tc>
                    <w:tc>
                      <w:tcPr>
                        <w:tcW w:w="1031" w:type="dxa"/>
                      </w:tcPr>
                      <w:p>
                        <w:pPr>
                          <w:pStyle w:val="TableParagraph"/>
                          <w:spacing w:before="19"/>
                          <w:ind w:right="85"/>
                          <w:jc w:val="right"/>
                          <w:rPr>
                            <w:sz w:val="18"/>
                          </w:rPr>
                        </w:pPr>
                        <w:r>
                          <w:rPr>
                            <w:w w:val="95"/>
                            <w:sz w:val="18"/>
                          </w:rPr>
                          <w:t>23,684</w:t>
                        </w:r>
                      </w:p>
                    </w:tc>
                  </w:tr>
                  <w:tr>
                    <w:trPr>
                      <w:trHeight w:val="264" w:hRule="exact"/>
                    </w:trPr>
                    <w:tc>
                      <w:tcPr>
                        <w:tcW w:w="3685" w:type="dxa"/>
                      </w:tcPr>
                      <w:p>
                        <w:pPr>
                          <w:pStyle w:val="TableParagraph"/>
                          <w:spacing w:before="18"/>
                          <w:ind w:left="35" w:right="1098"/>
                          <w:rPr>
                            <w:sz w:val="18"/>
                          </w:rPr>
                        </w:pPr>
                        <w:r>
                          <w:rPr>
                            <w:sz w:val="18"/>
                          </w:rPr>
                          <w:t>Borrowing costs</w:t>
                        </w:r>
                      </w:p>
                    </w:tc>
                    <w:tc>
                      <w:tcPr>
                        <w:tcW w:w="692" w:type="dxa"/>
                      </w:tcPr>
                      <w:p>
                        <w:pPr/>
                      </w:p>
                    </w:tc>
                    <w:tc>
                      <w:tcPr>
                        <w:tcW w:w="1733" w:type="dxa"/>
                      </w:tcPr>
                      <w:p>
                        <w:pPr>
                          <w:pStyle w:val="TableParagraph"/>
                          <w:spacing w:before="19"/>
                          <w:ind w:right="350"/>
                          <w:jc w:val="right"/>
                          <w:rPr>
                            <w:b/>
                            <w:sz w:val="18"/>
                          </w:rPr>
                        </w:pPr>
                        <w:r>
                          <w:rPr>
                            <w:b/>
                            <w:w w:val="95"/>
                            <w:sz w:val="18"/>
                          </w:rPr>
                          <w:t>2,395</w:t>
                        </w:r>
                      </w:p>
                    </w:tc>
                    <w:tc>
                      <w:tcPr>
                        <w:tcW w:w="1353" w:type="dxa"/>
                      </w:tcPr>
                      <w:p>
                        <w:pPr>
                          <w:pStyle w:val="TableParagraph"/>
                          <w:spacing w:before="19"/>
                          <w:ind w:right="407"/>
                          <w:jc w:val="right"/>
                          <w:rPr>
                            <w:sz w:val="18"/>
                          </w:rPr>
                        </w:pPr>
                        <w:r>
                          <w:rPr>
                            <w:w w:val="95"/>
                            <w:sz w:val="18"/>
                          </w:rPr>
                          <w:t>938</w:t>
                        </w:r>
                      </w:p>
                    </w:tc>
                    <w:tc>
                      <w:tcPr>
                        <w:tcW w:w="1411" w:type="dxa"/>
                      </w:tcPr>
                      <w:p>
                        <w:pPr>
                          <w:pStyle w:val="TableParagraph"/>
                          <w:spacing w:before="19"/>
                          <w:ind w:right="350"/>
                          <w:jc w:val="right"/>
                          <w:rPr>
                            <w:b/>
                            <w:sz w:val="18"/>
                          </w:rPr>
                        </w:pPr>
                        <w:r>
                          <w:rPr>
                            <w:b/>
                            <w:w w:val="95"/>
                            <w:sz w:val="18"/>
                          </w:rPr>
                          <w:t>2,395</w:t>
                        </w:r>
                      </w:p>
                    </w:tc>
                    <w:tc>
                      <w:tcPr>
                        <w:tcW w:w="1031" w:type="dxa"/>
                      </w:tcPr>
                      <w:p>
                        <w:pPr>
                          <w:pStyle w:val="TableParagraph"/>
                          <w:spacing w:before="19"/>
                          <w:ind w:right="85"/>
                          <w:jc w:val="right"/>
                          <w:rPr>
                            <w:sz w:val="18"/>
                          </w:rPr>
                        </w:pPr>
                        <w:r>
                          <w:rPr>
                            <w:w w:val="95"/>
                            <w:sz w:val="18"/>
                          </w:rPr>
                          <w:t>938</w:t>
                        </w:r>
                      </w:p>
                    </w:tc>
                  </w:tr>
                  <w:tr>
                    <w:trPr>
                      <w:trHeight w:val="264" w:hRule="exact"/>
                    </w:trPr>
                    <w:tc>
                      <w:tcPr>
                        <w:tcW w:w="3685" w:type="dxa"/>
                      </w:tcPr>
                      <w:p>
                        <w:pPr>
                          <w:pStyle w:val="TableParagraph"/>
                          <w:spacing w:before="18"/>
                          <w:ind w:left="35" w:right="1098"/>
                          <w:rPr>
                            <w:sz w:val="18"/>
                          </w:rPr>
                        </w:pPr>
                        <w:r>
                          <w:rPr>
                            <w:sz w:val="18"/>
                          </w:rPr>
                          <w:t>Impairment of assets</w:t>
                        </w:r>
                      </w:p>
                    </w:tc>
                    <w:tc>
                      <w:tcPr>
                        <w:tcW w:w="692" w:type="dxa"/>
                      </w:tcPr>
                      <w:p>
                        <w:pPr>
                          <w:pStyle w:val="TableParagraph"/>
                          <w:spacing w:before="19"/>
                          <w:ind w:left="158"/>
                          <w:rPr>
                            <w:sz w:val="18"/>
                          </w:rPr>
                        </w:pPr>
                        <w:r>
                          <w:rPr>
                            <w:sz w:val="18"/>
                          </w:rPr>
                          <w:t>13</w:t>
                        </w:r>
                      </w:p>
                    </w:tc>
                    <w:tc>
                      <w:tcPr>
                        <w:tcW w:w="1733" w:type="dxa"/>
                      </w:tcPr>
                      <w:p>
                        <w:pPr>
                          <w:pStyle w:val="TableParagraph"/>
                          <w:spacing w:before="19"/>
                          <w:ind w:right="350"/>
                          <w:jc w:val="right"/>
                          <w:rPr>
                            <w:b/>
                            <w:sz w:val="18"/>
                          </w:rPr>
                        </w:pPr>
                        <w:r>
                          <w:rPr>
                            <w:b/>
                            <w:w w:val="95"/>
                            <w:sz w:val="18"/>
                          </w:rPr>
                          <w:t>4,606</w:t>
                        </w:r>
                      </w:p>
                    </w:tc>
                    <w:tc>
                      <w:tcPr>
                        <w:tcW w:w="1353" w:type="dxa"/>
                      </w:tcPr>
                      <w:p>
                        <w:pPr>
                          <w:pStyle w:val="TableParagraph"/>
                          <w:spacing w:before="19"/>
                          <w:ind w:right="407"/>
                          <w:jc w:val="right"/>
                          <w:rPr>
                            <w:sz w:val="18"/>
                          </w:rPr>
                        </w:pPr>
                        <w:r>
                          <w:rPr>
                            <w:w w:val="95"/>
                            <w:sz w:val="18"/>
                          </w:rPr>
                          <w:t>1,432</w:t>
                        </w:r>
                      </w:p>
                    </w:tc>
                    <w:tc>
                      <w:tcPr>
                        <w:tcW w:w="1411" w:type="dxa"/>
                      </w:tcPr>
                      <w:p>
                        <w:pPr>
                          <w:pStyle w:val="TableParagraph"/>
                          <w:spacing w:before="19"/>
                          <w:ind w:right="350"/>
                          <w:jc w:val="right"/>
                          <w:rPr>
                            <w:b/>
                            <w:sz w:val="18"/>
                          </w:rPr>
                        </w:pPr>
                        <w:r>
                          <w:rPr>
                            <w:b/>
                            <w:w w:val="95"/>
                            <w:sz w:val="18"/>
                          </w:rPr>
                          <w:t>4,804</w:t>
                        </w:r>
                      </w:p>
                    </w:tc>
                    <w:tc>
                      <w:tcPr>
                        <w:tcW w:w="1031" w:type="dxa"/>
                      </w:tcPr>
                      <w:p>
                        <w:pPr>
                          <w:pStyle w:val="TableParagraph"/>
                          <w:spacing w:before="19"/>
                          <w:ind w:right="85"/>
                          <w:jc w:val="right"/>
                          <w:rPr>
                            <w:sz w:val="18"/>
                          </w:rPr>
                        </w:pPr>
                        <w:r>
                          <w:rPr>
                            <w:w w:val="95"/>
                            <w:sz w:val="18"/>
                          </w:rPr>
                          <w:t>2,257</w:t>
                        </w:r>
                      </w:p>
                    </w:tc>
                  </w:tr>
                  <w:tr>
                    <w:trPr>
                      <w:trHeight w:val="264" w:hRule="exact"/>
                    </w:trPr>
                    <w:tc>
                      <w:tcPr>
                        <w:tcW w:w="3685" w:type="dxa"/>
                      </w:tcPr>
                      <w:p>
                        <w:pPr>
                          <w:pStyle w:val="TableParagraph"/>
                          <w:spacing w:before="18"/>
                          <w:ind w:left="35" w:right="1098"/>
                          <w:rPr>
                            <w:sz w:val="18"/>
                          </w:rPr>
                        </w:pPr>
                        <w:r>
                          <w:rPr>
                            <w:sz w:val="18"/>
                          </w:rPr>
                          <w:t>Investment losses</w:t>
                        </w:r>
                      </w:p>
                    </w:tc>
                    <w:tc>
                      <w:tcPr>
                        <w:tcW w:w="692" w:type="dxa"/>
                      </w:tcPr>
                      <w:p>
                        <w:pPr>
                          <w:pStyle w:val="TableParagraph"/>
                          <w:spacing w:before="19"/>
                          <w:ind w:left="158"/>
                          <w:rPr>
                            <w:sz w:val="18"/>
                          </w:rPr>
                        </w:pPr>
                        <w:r>
                          <w:rPr>
                            <w:w w:val="99"/>
                            <w:sz w:val="18"/>
                          </w:rPr>
                          <w:t>5</w:t>
                        </w:r>
                      </w:p>
                    </w:tc>
                    <w:tc>
                      <w:tcPr>
                        <w:tcW w:w="1733" w:type="dxa"/>
                      </w:tcPr>
                      <w:p>
                        <w:pPr>
                          <w:pStyle w:val="TableParagraph"/>
                          <w:spacing w:before="19"/>
                          <w:ind w:right="350"/>
                          <w:jc w:val="right"/>
                          <w:rPr>
                            <w:b/>
                            <w:sz w:val="18"/>
                          </w:rPr>
                        </w:pPr>
                        <w:r>
                          <w:rPr>
                            <w:b/>
                            <w:w w:val="95"/>
                            <w:sz w:val="18"/>
                          </w:rPr>
                          <w:t>8,411</w:t>
                        </w:r>
                      </w:p>
                    </w:tc>
                    <w:tc>
                      <w:tcPr>
                        <w:tcW w:w="1353" w:type="dxa"/>
                      </w:tcPr>
                      <w:p>
                        <w:pPr>
                          <w:pStyle w:val="TableParagraph"/>
                          <w:spacing w:before="19"/>
                          <w:ind w:right="407"/>
                          <w:jc w:val="right"/>
                          <w:rPr>
                            <w:sz w:val="18"/>
                          </w:rPr>
                        </w:pPr>
                        <w:r>
                          <w:rPr>
                            <w:w w:val="95"/>
                            <w:sz w:val="18"/>
                          </w:rPr>
                          <w:t>1,285</w:t>
                        </w:r>
                      </w:p>
                    </w:tc>
                    <w:tc>
                      <w:tcPr>
                        <w:tcW w:w="1411" w:type="dxa"/>
                      </w:tcPr>
                      <w:p>
                        <w:pPr>
                          <w:pStyle w:val="TableParagraph"/>
                          <w:spacing w:before="19"/>
                          <w:ind w:right="350"/>
                          <w:jc w:val="right"/>
                          <w:rPr>
                            <w:b/>
                            <w:sz w:val="18"/>
                          </w:rPr>
                        </w:pPr>
                        <w:r>
                          <w:rPr>
                            <w:b/>
                            <w:w w:val="95"/>
                            <w:sz w:val="18"/>
                          </w:rPr>
                          <w:t>8,867</w:t>
                        </w:r>
                      </w:p>
                    </w:tc>
                    <w:tc>
                      <w:tcPr>
                        <w:tcW w:w="1031" w:type="dxa"/>
                      </w:tcPr>
                      <w:p>
                        <w:pPr>
                          <w:pStyle w:val="TableParagraph"/>
                          <w:spacing w:before="19"/>
                          <w:ind w:right="85"/>
                          <w:jc w:val="right"/>
                          <w:rPr>
                            <w:sz w:val="18"/>
                          </w:rPr>
                        </w:pPr>
                        <w:r>
                          <w:rPr>
                            <w:w w:val="95"/>
                            <w:sz w:val="18"/>
                          </w:rPr>
                          <w:t>101</w:t>
                        </w:r>
                      </w:p>
                    </w:tc>
                  </w:tr>
                  <w:tr>
                    <w:trPr>
                      <w:trHeight w:val="263" w:hRule="exact"/>
                    </w:trPr>
                    <w:tc>
                      <w:tcPr>
                        <w:tcW w:w="3685" w:type="dxa"/>
                      </w:tcPr>
                      <w:p>
                        <w:pPr>
                          <w:pStyle w:val="TableParagraph"/>
                          <w:spacing w:before="18"/>
                          <w:ind w:left="35" w:right="1098"/>
                          <w:rPr>
                            <w:sz w:val="18"/>
                          </w:rPr>
                        </w:pPr>
                        <w:r>
                          <w:rPr>
                            <w:sz w:val="18"/>
                          </w:rPr>
                          <w:t>Other expenses</w:t>
                        </w:r>
                      </w:p>
                    </w:tc>
                    <w:tc>
                      <w:tcPr>
                        <w:tcW w:w="692" w:type="dxa"/>
                      </w:tcPr>
                      <w:p>
                        <w:pPr>
                          <w:pStyle w:val="TableParagraph"/>
                          <w:spacing w:before="19"/>
                          <w:ind w:left="158"/>
                          <w:rPr>
                            <w:sz w:val="18"/>
                          </w:rPr>
                        </w:pPr>
                        <w:r>
                          <w:rPr>
                            <w:sz w:val="18"/>
                          </w:rPr>
                          <w:t>14</w:t>
                        </w:r>
                      </w:p>
                    </w:tc>
                    <w:tc>
                      <w:tcPr>
                        <w:tcW w:w="1733" w:type="dxa"/>
                        <w:tcBorders>
                          <w:bottom w:val="single" w:sz="0" w:space="0" w:color="000000"/>
                        </w:tcBorders>
                      </w:tcPr>
                      <w:p>
                        <w:pPr>
                          <w:pStyle w:val="TableParagraph"/>
                          <w:spacing w:before="19"/>
                          <w:ind w:right="350"/>
                          <w:jc w:val="right"/>
                          <w:rPr>
                            <w:b/>
                            <w:sz w:val="18"/>
                          </w:rPr>
                        </w:pPr>
                        <w:r>
                          <w:rPr>
                            <w:b/>
                            <w:w w:val="95"/>
                            <w:sz w:val="18"/>
                          </w:rPr>
                          <w:t>157,038</w:t>
                        </w:r>
                      </w:p>
                    </w:tc>
                    <w:tc>
                      <w:tcPr>
                        <w:tcW w:w="1353" w:type="dxa"/>
                        <w:tcBorders>
                          <w:bottom w:val="single" w:sz="0" w:space="0" w:color="000000"/>
                        </w:tcBorders>
                      </w:tcPr>
                      <w:p>
                        <w:pPr>
                          <w:pStyle w:val="TableParagraph"/>
                          <w:spacing w:before="19"/>
                          <w:ind w:right="406"/>
                          <w:jc w:val="right"/>
                          <w:rPr>
                            <w:sz w:val="18"/>
                          </w:rPr>
                        </w:pPr>
                        <w:r>
                          <w:rPr>
                            <w:w w:val="95"/>
                            <w:sz w:val="18"/>
                          </w:rPr>
                          <w:t>147,879</w:t>
                        </w:r>
                      </w:p>
                    </w:tc>
                    <w:tc>
                      <w:tcPr>
                        <w:tcW w:w="1411" w:type="dxa"/>
                        <w:tcBorders>
                          <w:bottom w:val="single" w:sz="0" w:space="0" w:color="000000"/>
                        </w:tcBorders>
                      </w:tcPr>
                      <w:p>
                        <w:pPr>
                          <w:pStyle w:val="TableParagraph"/>
                          <w:spacing w:before="19"/>
                          <w:ind w:right="350"/>
                          <w:jc w:val="right"/>
                          <w:rPr>
                            <w:b/>
                            <w:sz w:val="18"/>
                          </w:rPr>
                        </w:pPr>
                        <w:r>
                          <w:rPr>
                            <w:b/>
                            <w:w w:val="95"/>
                            <w:sz w:val="18"/>
                          </w:rPr>
                          <w:t>158,112</w:t>
                        </w:r>
                      </w:p>
                    </w:tc>
                    <w:tc>
                      <w:tcPr>
                        <w:tcW w:w="1031" w:type="dxa"/>
                        <w:tcBorders>
                          <w:bottom w:val="single" w:sz="0" w:space="0" w:color="000000"/>
                        </w:tcBorders>
                      </w:tcPr>
                      <w:p>
                        <w:pPr>
                          <w:pStyle w:val="TableParagraph"/>
                          <w:spacing w:before="19"/>
                          <w:ind w:right="84"/>
                          <w:jc w:val="right"/>
                          <w:rPr>
                            <w:sz w:val="18"/>
                          </w:rPr>
                        </w:pPr>
                        <w:r>
                          <w:rPr>
                            <w:w w:val="95"/>
                            <w:sz w:val="18"/>
                          </w:rPr>
                          <w:t>140,959</w:t>
                        </w:r>
                      </w:p>
                    </w:tc>
                  </w:tr>
                  <w:tr>
                    <w:trPr>
                      <w:trHeight w:val="340" w:hRule="exact"/>
                    </w:trPr>
                    <w:tc>
                      <w:tcPr>
                        <w:tcW w:w="3685" w:type="dxa"/>
                      </w:tcPr>
                      <w:p>
                        <w:pPr>
                          <w:pStyle w:val="TableParagraph"/>
                          <w:spacing w:before="123"/>
                          <w:ind w:left="35"/>
                          <w:rPr>
                            <w:b/>
                            <w:sz w:val="18"/>
                          </w:rPr>
                        </w:pPr>
                        <w:r>
                          <w:rPr>
                            <w:b/>
                            <w:sz w:val="18"/>
                          </w:rPr>
                          <w:t>Total expenses from continuing</w:t>
                        </w:r>
                      </w:p>
                    </w:tc>
                    <w:tc>
                      <w:tcPr>
                        <w:tcW w:w="692" w:type="dxa"/>
                      </w:tcPr>
                      <w:p>
                        <w:pPr/>
                      </w:p>
                    </w:tc>
                    <w:tc>
                      <w:tcPr>
                        <w:tcW w:w="1733" w:type="dxa"/>
                        <w:tcBorders>
                          <w:top w:val="single" w:sz="0" w:space="0" w:color="000000"/>
                        </w:tcBorders>
                      </w:tcPr>
                      <w:p>
                        <w:pPr/>
                      </w:p>
                    </w:tc>
                    <w:tc>
                      <w:tcPr>
                        <w:tcW w:w="1353" w:type="dxa"/>
                        <w:tcBorders>
                          <w:top w:val="single" w:sz="0" w:space="0" w:color="000000"/>
                        </w:tcBorders>
                      </w:tcPr>
                      <w:p>
                        <w:pPr/>
                      </w:p>
                    </w:tc>
                    <w:tc>
                      <w:tcPr>
                        <w:tcW w:w="1411" w:type="dxa"/>
                        <w:tcBorders>
                          <w:top w:val="single" w:sz="0" w:space="0" w:color="000000"/>
                        </w:tcBorders>
                      </w:tcPr>
                      <w:p>
                        <w:pPr/>
                      </w:p>
                    </w:tc>
                    <w:tc>
                      <w:tcPr>
                        <w:tcW w:w="1031" w:type="dxa"/>
                        <w:tcBorders>
                          <w:top w:val="single" w:sz="0" w:space="0" w:color="000000"/>
                        </w:tcBorders>
                      </w:tcPr>
                      <w:p>
                        <w:pPr/>
                      </w:p>
                    </w:tc>
                  </w:tr>
                  <w:tr>
                    <w:trPr>
                      <w:trHeight w:val="272" w:hRule="exact"/>
                    </w:trPr>
                    <w:tc>
                      <w:tcPr>
                        <w:tcW w:w="3685" w:type="dxa"/>
                      </w:tcPr>
                      <w:p>
                        <w:pPr>
                          <w:pStyle w:val="TableParagraph"/>
                          <w:spacing w:line="184" w:lineRule="exact"/>
                          <w:ind w:left="35" w:right="1098"/>
                          <w:rPr>
                            <w:b/>
                            <w:sz w:val="18"/>
                          </w:rPr>
                        </w:pPr>
                        <w:r>
                          <w:rPr>
                            <w:b/>
                            <w:sz w:val="18"/>
                          </w:rPr>
                          <w:t>operations</w:t>
                        </w:r>
                      </w:p>
                    </w:tc>
                    <w:tc>
                      <w:tcPr>
                        <w:tcW w:w="6219" w:type="dxa"/>
                        <w:gridSpan w:val="5"/>
                      </w:tcPr>
                      <w:p>
                        <w:pPr>
                          <w:pStyle w:val="TableParagraph"/>
                          <w:tabs>
                            <w:tab w:pos="1422" w:val="left" w:leader="none"/>
                            <w:tab w:pos="2718" w:val="left" w:leader="none"/>
                            <w:tab w:pos="4186" w:val="left" w:leader="none"/>
                            <w:tab w:pos="5482" w:val="left" w:leader="none"/>
                          </w:tabs>
                          <w:spacing w:line="184" w:lineRule="exact"/>
                          <w:ind w:left="692"/>
                          <w:rPr>
                            <w:sz w:val="18"/>
                          </w:rPr>
                        </w:pPr>
                        <w:r>
                          <w:rPr>
                            <w:b/>
                            <w:w w:val="100"/>
                            <w:sz w:val="18"/>
                            <w:u w:val="single"/>
                          </w:rPr>
                          <w:t> </w:t>
                        </w:r>
                        <w:r>
                          <w:rPr>
                            <w:b/>
                            <w:sz w:val="18"/>
                            <w:u w:val="single"/>
                          </w:rPr>
                          <w:tab/>
                          <w:t>598,718</w:t>
                          <w:tab/>
                        </w:r>
                        <w:r>
                          <w:rPr>
                            <w:sz w:val="18"/>
                            <w:u w:val="single"/>
                          </w:rPr>
                          <w:t>546,333</w:t>
                          <w:tab/>
                        </w:r>
                        <w:r>
                          <w:rPr>
                            <w:b/>
                            <w:sz w:val="18"/>
                            <w:u w:val="single"/>
                          </w:rPr>
                          <w:t>571,967</w:t>
                          <w:tab/>
                        </w:r>
                        <w:r>
                          <w:rPr>
                            <w:sz w:val="18"/>
                            <w:u w:val="single"/>
                          </w:rPr>
                          <w:t>509,735</w:t>
                        </w:r>
                      </w:p>
                    </w:tc>
                  </w:tr>
                  <w:tr>
                    <w:trPr>
                      <w:trHeight w:val="272" w:hRule="exact"/>
                    </w:trPr>
                    <w:tc>
                      <w:tcPr>
                        <w:tcW w:w="3685" w:type="dxa"/>
                      </w:tcPr>
                      <w:p>
                        <w:pPr>
                          <w:pStyle w:val="TableParagraph"/>
                          <w:spacing w:before="56"/>
                          <w:ind w:left="35"/>
                          <w:rPr>
                            <w:b/>
                            <w:sz w:val="18"/>
                          </w:rPr>
                        </w:pPr>
                        <w:r>
                          <w:rPr>
                            <w:b/>
                            <w:sz w:val="18"/>
                          </w:rPr>
                          <w:t>Operating result attributable to members</w:t>
                        </w:r>
                      </w:p>
                    </w:tc>
                    <w:tc>
                      <w:tcPr>
                        <w:tcW w:w="6219" w:type="dxa"/>
                        <w:gridSpan w:val="5"/>
                      </w:tcPr>
                      <w:p>
                        <w:pPr/>
                      </w:p>
                    </w:tc>
                  </w:tr>
                  <w:tr>
                    <w:trPr>
                      <w:trHeight w:val="293" w:hRule="exact"/>
                    </w:trPr>
                    <w:tc>
                      <w:tcPr>
                        <w:tcW w:w="3685" w:type="dxa"/>
                      </w:tcPr>
                      <w:p>
                        <w:pPr>
                          <w:pStyle w:val="TableParagraph"/>
                          <w:spacing w:line="197" w:lineRule="exact"/>
                          <w:ind w:left="35"/>
                          <w:rPr>
                            <w:b/>
                            <w:sz w:val="18"/>
                          </w:rPr>
                        </w:pPr>
                        <w:r>
                          <w:rPr>
                            <w:b/>
                            <w:sz w:val="18"/>
                          </w:rPr>
                          <w:t>of University of Western Sydney</w:t>
                        </w:r>
                      </w:p>
                    </w:tc>
                    <w:tc>
                      <w:tcPr>
                        <w:tcW w:w="6219" w:type="dxa"/>
                        <w:gridSpan w:val="5"/>
                      </w:tcPr>
                      <w:p>
                        <w:pPr>
                          <w:pStyle w:val="TableParagraph"/>
                          <w:tabs>
                            <w:tab w:pos="1522" w:val="left" w:leader="none"/>
                            <w:tab w:pos="2818" w:val="left" w:leader="none"/>
                            <w:tab w:pos="4285" w:val="left" w:leader="none"/>
                            <w:tab w:pos="5581" w:val="left" w:leader="none"/>
                          </w:tabs>
                          <w:spacing w:line="197" w:lineRule="exact"/>
                          <w:ind w:left="692"/>
                          <w:rPr>
                            <w:sz w:val="18"/>
                          </w:rPr>
                        </w:pPr>
                        <w:r>
                          <w:rPr>
                            <w:b/>
                            <w:w w:val="100"/>
                            <w:sz w:val="18"/>
                            <w:u w:val="single"/>
                          </w:rPr>
                          <w:t> </w:t>
                        </w:r>
                        <w:r>
                          <w:rPr>
                            <w:b/>
                            <w:sz w:val="18"/>
                            <w:u w:val="single"/>
                          </w:rPr>
                          <w:tab/>
                          <w:t>60,972</w:t>
                          <w:tab/>
                        </w:r>
                        <w:r>
                          <w:rPr>
                            <w:sz w:val="18"/>
                            <w:u w:val="single"/>
                          </w:rPr>
                          <w:t>12,523</w:t>
                          <w:tab/>
                        </w:r>
                        <w:r>
                          <w:rPr>
                            <w:b/>
                            <w:sz w:val="18"/>
                            <w:u w:val="single"/>
                          </w:rPr>
                          <w:t>55,180</w:t>
                          <w:tab/>
                        </w:r>
                        <w:r>
                          <w:rPr>
                            <w:sz w:val="18"/>
                            <w:u w:val="single"/>
                          </w:rPr>
                          <w:t>14,931</w:t>
                        </w:r>
                      </w:p>
                    </w:tc>
                  </w:tr>
                </w:tbl>
                <w:p>
                  <w:pPr>
                    <w:pStyle w:val="BodyText"/>
                  </w:pPr>
                </w:p>
              </w:txbxContent>
            </v:textbox>
            <w10:wrap type="none"/>
          </v:shape>
        </w:pict>
      </w:r>
      <w:r>
        <w:rPr>
          <w:b/>
          <w:sz w:val="18"/>
        </w:rPr>
        <w:t>Total income from continuing operations</w:t>
        <w:tab/>
      </w:r>
      <w:r>
        <w:rPr>
          <w:b/>
          <w:sz w:val="18"/>
          <w:u w:val="single"/>
        </w:rPr>
        <w:t> </w:t>
        <w:tab/>
        <w:t>659,690</w:t>
        <w:tab/>
      </w:r>
      <w:r>
        <w:rPr>
          <w:sz w:val="18"/>
          <w:u w:val="single"/>
        </w:rPr>
        <w:t>558,856</w:t>
        <w:tab/>
      </w:r>
      <w:r>
        <w:rPr>
          <w:b/>
          <w:sz w:val="18"/>
          <w:u w:val="single"/>
        </w:rPr>
        <w:t>627,147</w:t>
        <w:tab/>
      </w:r>
      <w:r>
        <w:rPr>
          <w:sz w:val="18"/>
          <w:u w:val="single"/>
        </w:rPr>
        <w:t>524,666 </w:t>
      </w:r>
      <w:r>
        <w:rPr>
          <w:b/>
          <w:sz w:val="18"/>
        </w:rPr>
        <w:t>Expenses from continuing</w:t>
      </w:r>
      <w:r>
        <w:rPr>
          <w:b/>
          <w:spacing w:val="-1"/>
          <w:sz w:val="18"/>
        </w:rPr>
        <w:t> </w:t>
      </w:r>
      <w:r>
        <w:rPr>
          <w:b/>
          <w:sz w:val="18"/>
        </w:rPr>
        <w:t>operations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9"/>
        </w:rPr>
      </w:pPr>
    </w:p>
    <w:p>
      <w:pPr>
        <w:pStyle w:val="BodyText"/>
        <w:ind w:left="107" w:right="125"/>
      </w:pPr>
      <w:r>
        <w:rPr/>
        <w:t>The accompanying notes form part of these financial statements.</w:t>
      </w:r>
    </w:p>
    <w:p>
      <w:pPr>
        <w:spacing w:after="0"/>
        <w:sectPr>
          <w:type w:val="continuous"/>
          <w:pgSz w:w="11910" w:h="16840"/>
          <w:pgMar w:top="0" w:bottom="280" w:left="900" w:right="860"/>
        </w:sectPr>
      </w:pPr>
    </w:p>
    <w:p>
      <w:pPr>
        <w:pStyle w:val="Heading6"/>
        <w:spacing w:before="49"/>
        <w:ind w:right="128"/>
      </w:pPr>
      <w:r>
        <w:rPr/>
        <w:t>University of Western Sydney</w:t>
      </w:r>
    </w:p>
    <w:p>
      <w:pPr>
        <w:pStyle w:val="BodyText"/>
        <w:spacing w:before="5"/>
        <w:rPr>
          <w:b/>
          <w:sz w:val="29"/>
        </w:rPr>
      </w:pPr>
    </w:p>
    <w:p>
      <w:pPr>
        <w:spacing w:before="0"/>
        <w:ind w:left="107" w:right="128" w:firstLine="0"/>
        <w:jc w:val="left"/>
        <w:rPr>
          <w:b/>
          <w:sz w:val="28"/>
        </w:rPr>
      </w:pPr>
      <w:r>
        <w:rPr>
          <w:b/>
          <w:sz w:val="28"/>
        </w:rPr>
        <w:t>Statement of Comprehensive Income</w:t>
      </w:r>
    </w:p>
    <w:p>
      <w:pPr>
        <w:spacing w:before="57"/>
        <w:ind w:left="107" w:right="128" w:firstLine="0"/>
        <w:jc w:val="left"/>
        <w:rPr>
          <w:b/>
          <w:sz w:val="22"/>
        </w:rPr>
      </w:pPr>
      <w:r>
        <w:rPr>
          <w:b/>
          <w:sz w:val="22"/>
        </w:rPr>
        <w:t>For the Year Ended 31 December 2012</w:t>
      </w:r>
    </w:p>
    <w:p>
      <w:pPr>
        <w:pStyle w:val="BodyText"/>
        <w:rPr>
          <w:b/>
          <w:sz w:val="22"/>
        </w:rPr>
      </w:pPr>
    </w:p>
    <w:p>
      <w:pPr>
        <w:pStyle w:val="Heading9"/>
        <w:tabs>
          <w:tab w:pos="7258" w:val="left" w:leader="none"/>
        </w:tabs>
        <w:spacing w:before="159"/>
        <w:ind w:left="4495" w:right="128"/>
      </w:pPr>
      <w:r>
        <w:rPr/>
        <w:t>Consolidated</w:t>
        <w:tab/>
        <w:t>Parent</w:t>
      </w:r>
    </w:p>
    <w:p>
      <w:pPr>
        <w:spacing w:after="0"/>
        <w:sectPr>
          <w:headerReference w:type="default" r:id="rId54"/>
          <w:footerReference w:type="default" r:id="rId55"/>
          <w:pgSz w:w="11910" w:h="16840"/>
          <w:pgMar w:header="0" w:footer="507" w:top="960" w:bottom="700" w:left="900" w:right="880"/>
          <w:pgNumType w:start="7"/>
        </w:sectPr>
      </w:pPr>
    </w:p>
    <w:p>
      <w:pPr>
        <w:pStyle w:val="BodyText"/>
        <w:rPr>
          <w:b/>
        </w:rPr>
      </w:pPr>
    </w:p>
    <w:p>
      <w:pPr>
        <w:pStyle w:val="BodyText"/>
        <w:spacing w:before="1"/>
        <w:rPr>
          <w:b/>
          <w:sz w:val="14"/>
        </w:rPr>
      </w:pPr>
    </w:p>
    <w:p>
      <w:pPr>
        <w:spacing w:before="0"/>
        <w:ind w:left="0" w:right="0" w:firstLine="0"/>
        <w:jc w:val="right"/>
        <w:rPr>
          <w:b/>
          <w:sz w:val="18"/>
        </w:rPr>
      </w:pPr>
      <w:r>
        <w:rPr>
          <w:b/>
          <w:sz w:val="18"/>
        </w:rPr>
        <w:t>Notes</w:t>
      </w:r>
    </w:p>
    <w:p>
      <w:pPr>
        <w:spacing w:before="95"/>
        <w:ind w:left="320" w:right="-20" w:firstLine="0"/>
        <w:jc w:val="left"/>
        <w:rPr>
          <w:b/>
          <w:sz w:val="18"/>
        </w:rPr>
      </w:pPr>
      <w:r>
        <w:rPr/>
        <w:br w:type="column"/>
      </w:r>
      <w:r>
        <w:rPr>
          <w:b/>
          <w:sz w:val="18"/>
        </w:rPr>
        <w:t>2012</w:t>
      </w:r>
    </w:p>
    <w:p>
      <w:pPr>
        <w:spacing w:before="66"/>
        <w:ind w:left="320" w:right="-20" w:firstLine="0"/>
        <w:jc w:val="left"/>
        <w:rPr>
          <w:b/>
          <w:sz w:val="18"/>
        </w:rPr>
      </w:pPr>
      <w:r>
        <w:rPr>
          <w:b/>
          <w:sz w:val="18"/>
        </w:rPr>
        <w:t>$'000</w:t>
      </w:r>
    </w:p>
    <w:p>
      <w:pPr>
        <w:spacing w:before="95"/>
        <w:ind w:left="814" w:right="-20" w:firstLine="0"/>
        <w:jc w:val="left"/>
        <w:rPr>
          <w:b/>
          <w:sz w:val="18"/>
        </w:rPr>
      </w:pPr>
      <w:r>
        <w:rPr/>
        <w:br w:type="column"/>
      </w:r>
      <w:r>
        <w:rPr>
          <w:b/>
          <w:sz w:val="18"/>
        </w:rPr>
        <w:t>2011</w:t>
      </w:r>
    </w:p>
    <w:p>
      <w:pPr>
        <w:spacing w:before="66"/>
        <w:ind w:left="814" w:right="-20" w:firstLine="0"/>
        <w:jc w:val="left"/>
        <w:rPr>
          <w:b/>
          <w:sz w:val="18"/>
        </w:rPr>
      </w:pPr>
      <w:r>
        <w:rPr>
          <w:b/>
          <w:sz w:val="18"/>
        </w:rPr>
        <w:t>$'000</w:t>
      </w:r>
    </w:p>
    <w:p>
      <w:pPr>
        <w:spacing w:before="66"/>
        <w:ind w:left="0" w:right="40" w:firstLine="0"/>
        <w:jc w:val="right"/>
        <w:rPr>
          <w:b/>
          <w:sz w:val="18"/>
        </w:rPr>
      </w:pPr>
      <w:r>
        <w:rPr/>
        <w:br w:type="column"/>
      </w:r>
      <w:r>
        <w:rPr>
          <w:b/>
          <w:sz w:val="18"/>
        </w:rPr>
        <w:t>2012</w:t>
      </w:r>
    </w:p>
    <w:p>
      <w:pPr>
        <w:spacing w:before="65"/>
        <w:ind w:left="0" w:right="0" w:firstLine="0"/>
        <w:jc w:val="right"/>
        <w:rPr>
          <w:b/>
          <w:sz w:val="18"/>
        </w:rPr>
      </w:pPr>
      <w:r>
        <w:rPr>
          <w:b/>
          <w:w w:val="95"/>
          <w:sz w:val="18"/>
        </w:rPr>
        <w:t>$'000</w:t>
      </w:r>
    </w:p>
    <w:p>
      <w:pPr>
        <w:spacing w:before="66"/>
        <w:ind w:left="753" w:right="909" w:firstLine="0"/>
        <w:jc w:val="center"/>
        <w:rPr>
          <w:b/>
          <w:sz w:val="18"/>
        </w:rPr>
      </w:pPr>
      <w:r>
        <w:rPr/>
        <w:br w:type="column"/>
      </w:r>
      <w:r>
        <w:rPr>
          <w:b/>
          <w:sz w:val="18"/>
        </w:rPr>
        <w:t>2011</w:t>
      </w:r>
    </w:p>
    <w:p>
      <w:pPr>
        <w:spacing w:before="65"/>
        <w:ind w:left="769" w:right="882" w:firstLine="0"/>
        <w:jc w:val="center"/>
        <w:rPr>
          <w:b/>
          <w:sz w:val="18"/>
        </w:rPr>
      </w:pPr>
      <w:r>
        <w:rPr>
          <w:b/>
          <w:sz w:val="18"/>
        </w:rPr>
        <w:t>$'000</w:t>
      </w:r>
    </w:p>
    <w:p>
      <w:pPr>
        <w:spacing w:after="0"/>
        <w:jc w:val="center"/>
        <w:rPr>
          <w:sz w:val="18"/>
        </w:rPr>
        <w:sectPr>
          <w:type w:val="continuous"/>
          <w:pgSz w:w="11910" w:h="16840"/>
          <w:pgMar w:top="0" w:bottom="280" w:left="900" w:right="880"/>
          <w:cols w:num="5" w:equalWidth="0">
            <w:col w:w="4331" w:space="40"/>
            <w:col w:w="764" w:space="40"/>
            <w:col w:w="1258" w:space="40"/>
            <w:col w:w="1427" w:space="40"/>
            <w:col w:w="2190"/>
          </w:cols>
        </w:sectPr>
      </w:pPr>
    </w:p>
    <w:p>
      <w:pPr>
        <w:tabs>
          <w:tab w:pos="5323" w:val="left" w:leader="none"/>
          <w:tab w:pos="6620" w:val="left" w:leader="none"/>
          <w:tab w:pos="8086" w:val="left" w:leader="none"/>
          <w:tab w:pos="9384" w:val="left" w:leader="none"/>
        </w:tabs>
        <w:spacing w:before="116"/>
        <w:ind w:left="135" w:right="128" w:firstLine="0"/>
        <w:jc w:val="left"/>
        <w:rPr>
          <w:sz w:val="18"/>
        </w:rPr>
      </w:pPr>
      <w:r>
        <w:rPr>
          <w:b/>
          <w:sz w:val="18"/>
        </w:rPr>
        <w:t>Operating result for</w:t>
      </w:r>
      <w:r>
        <w:rPr>
          <w:b/>
          <w:spacing w:val="-1"/>
          <w:sz w:val="18"/>
        </w:rPr>
        <w:t> </w:t>
      </w:r>
      <w:r>
        <w:rPr>
          <w:b/>
          <w:sz w:val="18"/>
        </w:rPr>
        <w:t>the</w:t>
      </w:r>
      <w:r>
        <w:rPr>
          <w:b/>
          <w:spacing w:val="-1"/>
          <w:sz w:val="18"/>
        </w:rPr>
        <w:t> </w:t>
      </w:r>
      <w:r>
        <w:rPr>
          <w:b/>
          <w:sz w:val="18"/>
        </w:rPr>
        <w:t>period</w:t>
        <w:tab/>
      </w:r>
      <w:r>
        <w:rPr>
          <w:b/>
          <w:position w:val="3"/>
          <w:sz w:val="18"/>
        </w:rPr>
        <w:t>60,972</w:t>
        <w:tab/>
      </w:r>
      <w:r>
        <w:rPr>
          <w:position w:val="3"/>
          <w:sz w:val="18"/>
        </w:rPr>
        <w:t>12,523</w:t>
        <w:tab/>
      </w:r>
      <w:r>
        <w:rPr>
          <w:b/>
          <w:position w:val="3"/>
          <w:sz w:val="18"/>
        </w:rPr>
        <w:t>55,180</w:t>
        <w:tab/>
      </w:r>
      <w:r>
        <w:rPr>
          <w:position w:val="3"/>
          <w:sz w:val="18"/>
        </w:rPr>
        <w:t>14,931</w:t>
      </w:r>
    </w:p>
    <w:p>
      <w:pPr>
        <w:spacing w:after="0"/>
        <w:jc w:val="left"/>
        <w:rPr>
          <w:sz w:val="18"/>
        </w:rPr>
        <w:sectPr>
          <w:type w:val="continuous"/>
          <w:pgSz w:w="11910" w:h="16840"/>
          <w:pgMar w:top="0" w:bottom="280" w:left="900" w:right="880"/>
        </w:sectPr>
      </w:pPr>
    </w:p>
    <w:p>
      <w:pPr>
        <w:pStyle w:val="BodyText"/>
        <w:spacing w:before="46"/>
        <w:ind w:left="135" w:right="-19"/>
      </w:pPr>
      <w:r>
        <w:rPr/>
        <w:t>Gain/(loss) on revaluation property, plant and equipment</w:t>
      </w:r>
    </w:p>
    <w:p>
      <w:pPr>
        <w:pStyle w:val="BodyText"/>
        <w:spacing w:before="54"/>
        <w:ind w:left="135" w:right="32" w:hanging="1"/>
      </w:pPr>
      <w:r>
        <w:rPr/>
        <w:t>Gain/(loss) on value of available for sale financial assets</w:t>
      </w:r>
    </w:p>
    <w:p>
      <w:pPr>
        <w:pStyle w:val="BodyText"/>
        <w:spacing w:before="47"/>
        <w:ind w:left="135" w:right="-20"/>
      </w:pPr>
      <w:r>
        <w:rPr/>
        <w:br w:type="column"/>
      </w:r>
      <w:r>
        <w:rPr/>
        <w:t>27(a)</w:t>
      </w:r>
    </w:p>
    <w:p>
      <w:pPr>
        <w:pStyle w:val="BodyText"/>
        <w:spacing w:before="8"/>
        <w:rPr>
          <w:sz w:val="22"/>
        </w:rPr>
      </w:pPr>
    </w:p>
    <w:p>
      <w:pPr>
        <w:pStyle w:val="BodyText"/>
        <w:ind w:left="135" w:right="-20"/>
      </w:pPr>
      <w:r>
        <w:rPr/>
        <w:t>27(a)</w:t>
      </w:r>
    </w:p>
    <w:p>
      <w:pPr>
        <w:pStyle w:val="BodyText"/>
        <w:spacing w:before="9"/>
        <w:rPr>
          <w:sz w:val="21"/>
        </w:rPr>
      </w:pPr>
      <w:r>
        <w:rPr/>
        <w:br w:type="column"/>
      </w:r>
      <w:r>
        <w:rPr>
          <w:sz w:val="21"/>
        </w:rPr>
      </w:r>
    </w:p>
    <w:p>
      <w:pPr>
        <w:tabs>
          <w:tab w:pos="1372" w:val="left" w:leader="none"/>
          <w:tab w:pos="2898" w:val="left" w:leader="none"/>
          <w:tab w:pos="4136" w:val="left" w:leader="none"/>
        </w:tabs>
        <w:spacing w:before="1"/>
        <w:ind w:left="135" w:right="0" w:firstLine="0"/>
        <w:jc w:val="left"/>
        <w:rPr>
          <w:sz w:val="18"/>
        </w:rPr>
      </w:pPr>
      <w:r>
        <w:rPr>
          <w:b/>
          <w:sz w:val="18"/>
        </w:rPr>
        <w:t>14,004</w:t>
        <w:tab/>
      </w:r>
      <w:r>
        <w:rPr>
          <w:sz w:val="18"/>
        </w:rPr>
        <w:t>(28,395)</w:t>
        <w:tab/>
      </w:r>
      <w:r>
        <w:rPr>
          <w:b/>
          <w:sz w:val="18"/>
        </w:rPr>
        <w:t>14,004</w:t>
        <w:tab/>
      </w:r>
      <w:r>
        <w:rPr>
          <w:sz w:val="18"/>
        </w:rPr>
        <w:t>(28,395)</w:t>
      </w:r>
    </w:p>
    <w:p>
      <w:pPr>
        <w:pStyle w:val="BodyText"/>
        <w:spacing w:before="8"/>
        <w:rPr>
          <w:sz w:val="22"/>
        </w:rPr>
      </w:pPr>
    </w:p>
    <w:p>
      <w:pPr>
        <w:tabs>
          <w:tab w:pos="1472" w:val="left" w:leader="none"/>
          <w:tab w:pos="2899" w:val="left" w:leader="none"/>
          <w:tab w:pos="4236" w:val="left" w:leader="none"/>
        </w:tabs>
        <w:spacing w:before="0"/>
        <w:ind w:left="135" w:right="0" w:firstLine="0"/>
        <w:jc w:val="left"/>
        <w:rPr>
          <w:sz w:val="18"/>
        </w:rPr>
      </w:pPr>
      <w:r>
        <w:rPr>
          <w:b/>
          <w:sz w:val="18"/>
        </w:rPr>
        <w:t>12,018</w:t>
        <w:tab/>
      </w:r>
      <w:r>
        <w:rPr>
          <w:sz w:val="18"/>
        </w:rPr>
        <w:t>(4,873)</w:t>
        <w:tab/>
      </w:r>
      <w:r>
        <w:rPr>
          <w:b/>
          <w:sz w:val="18"/>
        </w:rPr>
        <w:t>10,746</w:t>
        <w:tab/>
      </w:r>
      <w:r>
        <w:rPr>
          <w:sz w:val="18"/>
        </w:rPr>
        <w:t>(4,873)</w:t>
      </w:r>
    </w:p>
    <w:p>
      <w:pPr>
        <w:spacing w:after="0"/>
        <w:jc w:val="left"/>
        <w:rPr>
          <w:sz w:val="18"/>
        </w:rPr>
        <w:sectPr>
          <w:type w:val="continuous"/>
          <w:pgSz w:w="11910" w:h="16840"/>
          <w:pgMar w:top="0" w:bottom="280" w:left="900" w:right="880"/>
          <w:cols w:num="3" w:equalWidth="0">
            <w:col w:w="3388" w:space="307"/>
            <w:col w:w="556" w:space="937"/>
            <w:col w:w="4942"/>
          </w:cols>
        </w:sectPr>
      </w:pPr>
    </w:p>
    <w:p>
      <w:pPr>
        <w:pStyle w:val="BodyText"/>
        <w:tabs>
          <w:tab w:pos="3830" w:val="left" w:leader="none"/>
          <w:tab w:pos="5612" w:val="left" w:leader="none"/>
          <w:tab w:pos="5811" w:val="left" w:leader="none"/>
          <w:tab w:pos="6870" w:val="left" w:leader="none"/>
          <w:tab w:pos="8376" w:val="left" w:leader="none"/>
          <w:tab w:pos="8575" w:val="left" w:leader="none"/>
          <w:tab w:pos="9673" w:val="left" w:leader="none"/>
          <w:tab w:pos="9934" w:val="right" w:leader="none"/>
        </w:tabs>
        <w:spacing w:line="307" w:lineRule="auto" w:before="56"/>
        <w:ind w:left="135" w:right="128"/>
      </w:pPr>
      <w:r>
        <w:rPr/>
        <w:t>Gain/(loss) on revaluation of</w:t>
      </w:r>
      <w:r>
        <w:rPr>
          <w:spacing w:val="-1"/>
        </w:rPr>
        <w:t> </w:t>
      </w:r>
      <w:r>
        <w:rPr/>
        <w:t>art</w:t>
      </w:r>
      <w:r>
        <w:rPr>
          <w:spacing w:val="-1"/>
        </w:rPr>
        <w:t> </w:t>
      </w:r>
      <w:r>
        <w:rPr/>
        <w:t>collection</w:t>
        <w:tab/>
        <w:t>27(a)</w:t>
        <w:tab/>
        <w:tab/>
      </w:r>
      <w:r>
        <w:rPr>
          <w:b/>
        </w:rPr>
        <w:t>-</w:t>
        <w:tab/>
      </w:r>
      <w:r>
        <w:rPr/>
        <w:t>(13)</w:t>
        <w:tab/>
        <w:tab/>
      </w:r>
      <w:r>
        <w:rPr>
          <w:b/>
        </w:rPr>
        <w:t>-</w:t>
        <w:tab/>
      </w:r>
      <w:r>
        <w:rPr/>
        <w:t>(13) Gain/(loss) on revaluation</w:t>
      </w:r>
      <w:r>
        <w:rPr>
          <w:spacing w:val="-1"/>
        </w:rPr>
        <w:t> </w:t>
      </w:r>
      <w:r>
        <w:rPr/>
        <w:t>of</w:t>
      </w:r>
      <w:r>
        <w:rPr>
          <w:spacing w:val="-1"/>
        </w:rPr>
        <w:t> </w:t>
      </w:r>
      <w:r>
        <w:rPr/>
        <w:t>livestock</w:t>
        <w:tab/>
        <w:t>27(a)</w:t>
        <w:tab/>
      </w:r>
      <w:r>
        <w:rPr>
          <w:b/>
        </w:rPr>
        <w:t>(69)</w:t>
        <w:tab/>
      </w:r>
      <w:r>
        <w:rPr/>
        <w:t>133</w:t>
        <w:tab/>
      </w:r>
      <w:r>
        <w:rPr>
          <w:b/>
        </w:rPr>
        <w:t>(69)</w:t>
      </w:r>
      <w:r>
        <w:rPr>
          <w:rFonts w:ascii="Times New Roman"/>
        </w:rPr>
        <w:tab/>
        <w:tab/>
      </w:r>
      <w:r>
        <w:rPr/>
        <w:t>133</w:t>
      </w:r>
    </w:p>
    <w:p>
      <w:pPr>
        <w:spacing w:after="0" w:line="307" w:lineRule="auto"/>
        <w:sectPr>
          <w:type w:val="continuous"/>
          <w:pgSz w:w="11910" w:h="16840"/>
          <w:pgMar w:top="0" w:bottom="280" w:left="900" w:right="880"/>
        </w:sectPr>
      </w:pPr>
    </w:p>
    <w:p>
      <w:pPr>
        <w:pStyle w:val="BodyText"/>
        <w:ind w:left="135" w:right="-19"/>
      </w:pPr>
      <w:r>
        <w:rPr/>
        <w:t>Net actuarial (losses)/gains recognised in respect of Defined Benefit Plans</w:t>
      </w:r>
    </w:p>
    <w:p>
      <w:pPr>
        <w:pStyle w:val="BodyText"/>
        <w:spacing w:line="207" w:lineRule="exact"/>
        <w:ind w:left="135"/>
      </w:pPr>
      <w:r>
        <w:rPr/>
        <w:br w:type="column"/>
      </w:r>
      <w:r>
        <w:rPr/>
        <w:t>27(b),</w:t>
      </w:r>
    </w:p>
    <w:p>
      <w:pPr>
        <w:tabs>
          <w:tab w:pos="1818" w:val="left" w:leader="none"/>
          <w:tab w:pos="2965" w:val="left" w:leader="none"/>
          <w:tab w:pos="4581" w:val="left" w:leader="none"/>
          <w:tab w:pos="5728" w:val="left" w:leader="none"/>
        </w:tabs>
        <w:spacing w:line="207" w:lineRule="exact" w:before="0"/>
        <w:ind w:left="135" w:right="0" w:firstLine="0"/>
        <w:jc w:val="left"/>
        <w:rPr>
          <w:sz w:val="18"/>
        </w:rPr>
      </w:pPr>
      <w:r>
        <w:rPr>
          <w:sz w:val="18"/>
        </w:rPr>
        <w:t>36</w:t>
        <w:tab/>
      </w:r>
      <w:r>
        <w:rPr>
          <w:b/>
          <w:sz w:val="18"/>
        </w:rPr>
        <w:t>(299)</w:t>
        <w:tab/>
      </w:r>
      <w:r>
        <w:rPr>
          <w:sz w:val="18"/>
        </w:rPr>
        <w:t>(1,083)</w:t>
        <w:tab/>
      </w:r>
      <w:r>
        <w:rPr>
          <w:b/>
          <w:sz w:val="18"/>
        </w:rPr>
        <w:t>(299)</w:t>
        <w:tab/>
      </w:r>
      <w:r>
        <w:rPr>
          <w:sz w:val="18"/>
        </w:rPr>
        <w:t>(1,083)</w:t>
      </w:r>
    </w:p>
    <w:p>
      <w:pPr>
        <w:spacing w:after="0" w:line="207" w:lineRule="exact"/>
        <w:jc w:val="left"/>
        <w:rPr>
          <w:sz w:val="18"/>
        </w:rPr>
        <w:sectPr>
          <w:type w:val="continuous"/>
          <w:pgSz w:w="11910" w:h="16840"/>
          <w:pgMar w:top="0" w:bottom="280" w:left="900" w:right="880"/>
          <w:cols w:num="2" w:equalWidth="0">
            <w:col w:w="3428" w:space="267"/>
            <w:col w:w="6435"/>
          </w:cols>
        </w:sectPr>
      </w:pPr>
    </w:p>
    <w:p>
      <w:pPr>
        <w:pStyle w:val="BodyText"/>
        <w:spacing w:before="3"/>
        <w:rPr>
          <w:sz w:val="2"/>
        </w:rPr>
      </w:pPr>
    </w:p>
    <w:p>
      <w:pPr>
        <w:pStyle w:val="BodyText"/>
        <w:spacing w:line="20" w:lineRule="exact"/>
        <w:ind w:left="4493"/>
        <w:rPr>
          <w:sz w:val="2"/>
        </w:rPr>
      </w:pPr>
      <w:r>
        <w:rPr>
          <w:sz w:val="2"/>
        </w:rPr>
        <w:pict>
          <v:group style="width:276.5pt;height:1pt;mso-position-horizontal-relative:char;mso-position-vertical-relative:line" coordorigin="0,0" coordsize="5530,2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17" to="170,17" stroked="true" strokeweight=".06pt" strokecolor="#000000"/>
            <v:line style="position:absolute" from="1,18" to="170,18" stroked="true" strokeweight=".06pt" strokecolor="#000000"/>
            <v:line style="position:absolute" from="1,19" to="170,19" stroked="true" strokeweight=".06pt" strokecolor="#000000"/>
            <v:line style="position:absolute" from="170,1" to="1467,1" stroked="true" strokeweight=".06pt" strokecolor="#000000"/>
            <v:line style="position:absolute" from="170,2" to="1467,2" stroked="true" strokeweight=".06pt" strokecolor="#000000"/>
            <v:line style="position:absolute" from="170,3" to="1467,3" stroked="true" strokeweight=".06pt" strokecolor="#000000"/>
            <v:line style="position:absolute" from="170,5" to="1467,5" stroked="true" strokeweight=".06pt" strokecolor="#000000"/>
            <v:line style="position:absolute" from="170,6" to="1467,6" stroked="true" strokeweight=".06pt" strokecolor="#000000"/>
            <v:line style="position:absolute" from="170,7" to="1467,7" stroked="true" strokeweight=".06pt" strokecolor="#000000"/>
            <v:line style="position:absolute" from="170,8" to="1467,8" stroked="true" strokeweight=".06pt" strokecolor="#000000"/>
            <v:line style="position:absolute" from="170,9" to="1467,9" stroked="true" strokeweight=".06pt" strokecolor="#000000"/>
            <v:line style="position:absolute" from="170,11" to="1467,11" stroked="true" strokeweight=".06pt" strokecolor="#000000"/>
            <v:line style="position:absolute" from="170,12" to="1467,12" stroked="true" strokeweight=".06pt" strokecolor="#000000"/>
            <v:line style="position:absolute" from="170,13" to="1467,13" stroked="true" strokeweight=".06pt" strokecolor="#000000"/>
            <v:line style="position:absolute" from="170,14" to="1467,14" stroked="true" strokeweight=".06pt" strokecolor="#000000"/>
            <v:line style="position:absolute" from="170,15" to="1467,15" stroked="true" strokeweight=".06pt" strokecolor="#000000"/>
            <v:line style="position:absolute" from="170,17" to="1467,17" stroked="true" strokeweight=".06pt" strokecolor="#000000"/>
            <v:line style="position:absolute" from="170,18" to="1467,18" stroked="true" strokeweight=".06pt" strokecolor="#000000"/>
            <v:line style="position:absolute" from="170,19" to="1467,19" stroked="true" strokeweight=".06pt" strokecolor="#000000"/>
            <v:line style="position:absolute" from="1467,1" to="2765,1" stroked="true" strokeweight=".06pt" strokecolor="#000000"/>
            <v:line style="position:absolute" from="1467,2" to="2765,2" stroked="true" strokeweight=".06pt" strokecolor="#000000"/>
            <v:line style="position:absolute" from="1467,3" to="2765,3" stroked="true" strokeweight=".06pt" strokecolor="#000000"/>
            <v:line style="position:absolute" from="1467,5" to="2765,5" stroked="true" strokeweight=".06pt" strokecolor="#000000"/>
            <v:line style="position:absolute" from="1467,6" to="2765,6" stroked="true" strokeweight=".06pt" strokecolor="#000000"/>
            <v:line style="position:absolute" from="1467,7" to="2765,7" stroked="true" strokeweight=".06pt" strokecolor="#000000"/>
            <v:line style="position:absolute" from="1467,8" to="2765,8" stroked="true" strokeweight=".06pt" strokecolor="#000000"/>
            <v:line style="position:absolute" from="1467,9" to="2765,9" stroked="true" strokeweight=".06pt" strokecolor="#000000"/>
            <v:line style="position:absolute" from="1467,11" to="2765,11" stroked="true" strokeweight=".06pt" strokecolor="#000000"/>
            <v:line style="position:absolute" from="1467,12" to="2765,12" stroked="true" strokeweight=".06pt" strokecolor="#000000"/>
            <v:line style="position:absolute" from="1467,13" to="2765,13" stroked="true" strokeweight=".06pt" strokecolor="#000000"/>
            <v:line style="position:absolute" from="1467,14" to="2765,14" stroked="true" strokeweight=".06pt" strokecolor="#000000"/>
            <v:line style="position:absolute" from="1467,15" to="2765,15" stroked="true" strokeweight=".06pt" strokecolor="#000000"/>
            <v:line style="position:absolute" from="1467,17" to="2765,17" stroked="true" strokeweight=".06pt" strokecolor="#000000"/>
            <v:line style="position:absolute" from="1467,18" to="2765,18" stroked="true" strokeweight=".06pt" strokecolor="#000000"/>
            <v:line style="position:absolute" from="1467,19" to="2765,19" stroked="true" strokeweight=".06pt" strokecolor="#000000"/>
            <v:line style="position:absolute" from="2765,1" to="2934,1" stroked="true" strokeweight=".06pt" strokecolor="#000000"/>
            <v:line style="position:absolute" from="2765,2" to="2934,2" stroked="true" strokeweight=".06pt" strokecolor="#000000"/>
            <v:line style="position:absolute" from="2765,3" to="2934,3" stroked="true" strokeweight=".06pt" strokecolor="#000000"/>
            <v:line style="position:absolute" from="2765,5" to="2934,5" stroked="true" strokeweight=".06pt" strokecolor="#000000"/>
            <v:line style="position:absolute" from="2765,6" to="2934,6" stroked="true" strokeweight=".06pt" strokecolor="#000000"/>
            <v:line style="position:absolute" from="2765,7" to="2934,7" stroked="true" strokeweight=".06pt" strokecolor="#000000"/>
            <v:line style="position:absolute" from="2765,8" to="2934,8" stroked="true" strokeweight=".06pt" strokecolor="#000000"/>
            <v:line style="position:absolute" from="2765,9" to="2934,9" stroked="true" strokeweight=".06pt" strokecolor="#000000"/>
            <v:line style="position:absolute" from="2765,11" to="2934,11" stroked="true" strokeweight=".06pt" strokecolor="#000000"/>
            <v:line style="position:absolute" from="2765,12" to="2934,12" stroked="true" strokeweight=".06pt" strokecolor="#000000"/>
            <v:line style="position:absolute" from="2765,13" to="2934,13" stroked="true" strokeweight=".06pt" strokecolor="#000000"/>
            <v:line style="position:absolute" from="2765,14" to="2934,14" stroked="true" strokeweight=".06pt" strokecolor="#000000"/>
            <v:line style="position:absolute" from="2765,15" to="2934,15" stroked="true" strokeweight=".06pt" strokecolor="#000000"/>
            <v:line style="position:absolute" from="2765,17" to="2934,17" stroked="true" strokeweight=".06pt" strokecolor="#000000"/>
            <v:line style="position:absolute" from="2765,18" to="2934,18" stroked="true" strokeweight=".06pt" strokecolor="#000000"/>
            <v:line style="position:absolute" from="2765,19" to="2934,19" stroked="true" strokeweight=".06pt" strokecolor="#000000"/>
            <v:line style="position:absolute" from="2934,1" to="4231,1" stroked="true" strokeweight=".06pt" strokecolor="#000000"/>
            <v:line style="position:absolute" from="2934,2" to="4231,2" stroked="true" strokeweight=".06pt" strokecolor="#000000"/>
            <v:line style="position:absolute" from="2934,3" to="4231,3" stroked="true" strokeweight=".06pt" strokecolor="#000000"/>
            <v:line style="position:absolute" from="2934,5" to="4231,5" stroked="true" strokeweight=".06pt" strokecolor="#000000"/>
            <v:line style="position:absolute" from="2934,6" to="4231,6" stroked="true" strokeweight=".06pt" strokecolor="#000000"/>
            <v:line style="position:absolute" from="2934,7" to="4231,7" stroked="true" strokeweight=".06pt" strokecolor="#000000"/>
            <v:line style="position:absolute" from="2934,8" to="4231,8" stroked="true" strokeweight=".06pt" strokecolor="#000000"/>
            <v:line style="position:absolute" from="2934,9" to="4231,9" stroked="true" strokeweight=".06pt" strokecolor="#000000"/>
            <v:line style="position:absolute" from="2934,11" to="4231,11" stroked="true" strokeweight=".06pt" strokecolor="#000000"/>
            <v:line style="position:absolute" from="2934,12" to="4231,12" stroked="true" strokeweight=".06pt" strokecolor="#000000"/>
            <v:line style="position:absolute" from="2934,13" to="4231,13" stroked="true" strokeweight=".06pt" strokecolor="#000000"/>
            <v:line style="position:absolute" from="2934,14" to="4231,14" stroked="true" strokeweight=".06pt" strokecolor="#000000"/>
            <v:line style="position:absolute" from="2934,15" to="4231,15" stroked="true" strokeweight=".06pt" strokecolor="#000000"/>
            <v:line style="position:absolute" from="2934,17" to="4231,17" stroked="true" strokeweight=".06pt" strokecolor="#000000"/>
            <v:line style="position:absolute" from="2934,18" to="4231,18" stroked="true" strokeweight=".06pt" strokecolor="#000000"/>
            <v:line style="position:absolute" from="2934,19" to="4231,19" stroked="true" strokeweight=".06pt" strokecolor="#000000"/>
            <v:line style="position:absolute" from="4231,1" to="5528,1" stroked="true" strokeweight=".06pt" strokecolor="#000000"/>
            <v:line style="position:absolute" from="4231,2" to="5528,2" stroked="true" strokeweight=".06pt" strokecolor="#000000"/>
            <v:line style="position:absolute" from="4231,3" to="5528,3" stroked="true" strokeweight=".06pt" strokecolor="#000000"/>
            <v:line style="position:absolute" from="4231,5" to="5528,5" stroked="true" strokeweight=".06pt" strokecolor="#000000"/>
            <v:line style="position:absolute" from="4231,6" to="5528,6" stroked="true" strokeweight=".06pt" strokecolor="#000000"/>
            <v:line style="position:absolute" from="4231,7" to="5528,7" stroked="true" strokeweight=".06pt" strokecolor="#000000"/>
            <v:line style="position:absolute" from="4231,8" to="5528,8" stroked="true" strokeweight=".06pt" strokecolor="#000000"/>
            <v:line style="position:absolute" from="4231,9" to="5528,9" stroked="true" strokeweight=".06pt" strokecolor="#000000"/>
            <v:line style="position:absolute" from="4231,11" to="5528,11" stroked="true" strokeweight=".06pt" strokecolor="#000000"/>
            <v:line style="position:absolute" from="4231,12" to="5528,12" stroked="true" strokeweight=".06pt" strokecolor="#000000"/>
            <v:line style="position:absolute" from="4231,13" to="5528,13" stroked="true" strokeweight=".06pt" strokecolor="#000000"/>
            <v:line style="position:absolute" from="4231,14" to="5528,14" stroked="true" strokeweight=".06pt" strokecolor="#000000"/>
            <v:line style="position:absolute" from="4231,15" to="5528,15" stroked="true" strokeweight=".06pt" strokecolor="#000000"/>
            <v:line style="position:absolute" from="4231,17" to="5528,17" stroked="true" strokeweight=".06pt" strokecolor="#000000"/>
            <v:line style="position:absolute" from="4231,18" to="5528,18" stroked="true" strokeweight=".06pt" strokecolor="#000000"/>
            <v:line style="position:absolute" from="4231,19" to="5528,19" stroked="true" strokeweight=".06pt" strokecolor="#000000"/>
          </v:group>
        </w:pict>
      </w:r>
      <w:r>
        <w:rPr>
          <w:sz w:val="2"/>
        </w:rPr>
      </w:r>
    </w:p>
    <w:p>
      <w:pPr>
        <w:pStyle w:val="Heading9"/>
        <w:spacing w:line="207" w:lineRule="exact" w:before="114"/>
        <w:ind w:left="135" w:right="128"/>
      </w:pPr>
      <w:r>
        <w:rPr/>
        <w:t>Total comprehensive income for the</w:t>
      </w:r>
    </w:p>
    <w:p>
      <w:pPr>
        <w:tabs>
          <w:tab w:pos="4493" w:val="left" w:leader="none"/>
          <w:tab w:pos="5323" w:val="left" w:leader="none"/>
          <w:tab w:pos="6560" w:val="left" w:leader="none"/>
          <w:tab w:pos="8086" w:val="left" w:leader="none"/>
          <w:tab w:pos="9323" w:val="left" w:leader="none"/>
        </w:tabs>
        <w:spacing w:line="207" w:lineRule="exact" w:before="0"/>
        <w:ind w:left="135" w:right="0" w:firstLine="0"/>
        <w:jc w:val="left"/>
        <w:rPr>
          <w:sz w:val="18"/>
        </w:rPr>
      </w:pPr>
      <w:r>
        <w:rPr>
          <w:b/>
          <w:sz w:val="18"/>
        </w:rPr>
        <w:t>year</w:t>
        <w:tab/>
      </w:r>
      <w:r>
        <w:rPr>
          <w:b/>
          <w:sz w:val="18"/>
          <w:u w:val="single"/>
        </w:rPr>
        <w:t> </w:t>
        <w:tab/>
        <w:t>25,654</w:t>
        <w:tab/>
      </w:r>
      <w:r>
        <w:rPr>
          <w:sz w:val="18"/>
          <w:u w:val="single"/>
        </w:rPr>
        <w:t>(34,231)</w:t>
        <w:tab/>
      </w:r>
      <w:r>
        <w:rPr>
          <w:b/>
          <w:sz w:val="18"/>
          <w:u w:val="single"/>
        </w:rPr>
        <w:t>24,382</w:t>
        <w:tab/>
      </w:r>
      <w:r>
        <w:rPr>
          <w:sz w:val="18"/>
          <w:u w:val="single"/>
        </w:rPr>
        <w:t>(34,231)</w:t>
      </w:r>
    </w:p>
    <w:p>
      <w:pPr>
        <w:pStyle w:val="Heading9"/>
        <w:spacing w:before="131"/>
        <w:ind w:left="135" w:right="6784"/>
      </w:pPr>
      <w:r>
        <w:rPr/>
        <w:t>Total comprehensive income attributable to members of University</w:t>
      </w:r>
    </w:p>
    <w:p>
      <w:pPr>
        <w:tabs>
          <w:tab w:pos="5323" w:val="left" w:leader="none"/>
          <w:tab w:pos="6560" w:val="left" w:leader="none"/>
          <w:tab w:pos="8086" w:val="left" w:leader="none"/>
          <w:tab w:pos="9323" w:val="left" w:leader="none"/>
        </w:tabs>
        <w:spacing w:line="206" w:lineRule="exact" w:before="0"/>
        <w:ind w:left="135" w:right="0" w:firstLine="0"/>
        <w:jc w:val="left"/>
        <w:rPr>
          <w:sz w:val="18"/>
        </w:rPr>
      </w:pPr>
      <w:r>
        <w:rPr>
          <w:b/>
          <w:sz w:val="18"/>
        </w:rPr>
        <w:t>of</w:t>
      </w:r>
      <w:r>
        <w:rPr>
          <w:b/>
          <w:spacing w:val="-1"/>
          <w:sz w:val="18"/>
        </w:rPr>
        <w:t> </w:t>
      </w:r>
      <w:r>
        <w:rPr>
          <w:b/>
          <w:sz w:val="18"/>
        </w:rPr>
        <w:t>Western</w:t>
      </w:r>
      <w:r>
        <w:rPr>
          <w:b/>
          <w:spacing w:val="-1"/>
          <w:sz w:val="18"/>
        </w:rPr>
        <w:t> </w:t>
      </w:r>
      <w:r>
        <w:rPr>
          <w:b/>
          <w:sz w:val="18"/>
        </w:rPr>
        <w:t>Sydney</w:t>
        <w:tab/>
        <w:t>86,626</w:t>
        <w:tab/>
      </w:r>
      <w:r>
        <w:rPr>
          <w:sz w:val="18"/>
        </w:rPr>
        <w:t>(21,708)</w:t>
        <w:tab/>
      </w:r>
      <w:r>
        <w:rPr>
          <w:b/>
          <w:sz w:val="18"/>
        </w:rPr>
        <w:t>79,562</w:t>
        <w:tab/>
      </w:r>
      <w:r>
        <w:rPr>
          <w:sz w:val="18"/>
        </w:rPr>
        <w:t>(19,300)</w:t>
      </w:r>
    </w:p>
    <w:p>
      <w:pPr>
        <w:pStyle w:val="BodyText"/>
        <w:spacing w:line="50" w:lineRule="exact"/>
        <w:ind w:left="4493"/>
        <w:rPr>
          <w:sz w:val="5"/>
        </w:rPr>
      </w:pPr>
      <w:r>
        <w:rPr>
          <w:position w:val="0"/>
          <w:sz w:val="5"/>
        </w:rPr>
        <w:pict>
          <v:group style="width:276.5pt;height:2.5pt;mso-position-horizontal-relative:char;mso-position-vertical-relative:line" coordorigin="0,0" coordsize="5530,5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35" to="170,35" stroked="true" strokeweight=".06pt" strokecolor="#000000"/>
            <v:line style="position:absolute" from="1,36" to="170,36" stroked="true" strokeweight=".06pt" strokecolor="#000000"/>
            <v:line style="position:absolute" from="1,37" to="170,37" stroked="true" strokeweight=".06pt" strokecolor="#000000"/>
            <v:line style="position:absolute" from="1,38" to="170,38" stroked="true" strokeweight=".06pt" strokecolor="#000000"/>
            <v:line style="position:absolute" from="1,39" to="170,39" stroked="true" strokeweight=".06pt" strokecolor="#000000"/>
            <v:line style="position:absolute" from="1,41" to="170,41" stroked="true" strokeweight=".06pt" strokecolor="#000000"/>
            <v:line style="position:absolute" from="1,42" to="170,42" stroked="true" strokeweight=".06pt" strokecolor="#000000"/>
            <v:line style="position:absolute" from="1,43" to="170,43" stroked="true" strokeweight=".06pt" strokecolor="#000000"/>
            <v:line style="position:absolute" from="1,44" to="170,44" stroked="true" strokeweight=".06pt" strokecolor="#000000"/>
            <v:line style="position:absolute" from="1,45" to="170,45" stroked="true" strokeweight=".06pt" strokecolor="#000000"/>
            <v:line style="position:absolute" from="1,47" to="170,47" stroked="true" strokeweight=".06pt" strokecolor="#000000"/>
            <v:line style="position:absolute" from="1,48" to="170,48" stroked="true" strokeweight=".06pt" strokecolor="#000000"/>
            <v:line style="position:absolute" from="1,49" to="170,49" stroked="true" strokeweight=".06pt" strokecolor="#000000"/>
            <v:line style="position:absolute" from="170,1" to="1467,1" stroked="true" strokeweight=".06pt" strokecolor="#000000"/>
            <v:line style="position:absolute" from="170,2" to="1467,2" stroked="true" strokeweight=".06pt" strokecolor="#000000"/>
            <v:line style="position:absolute" from="170,3" to="1467,3" stroked="true" strokeweight=".06pt" strokecolor="#000000"/>
            <v:line style="position:absolute" from="170,5" to="1467,5" stroked="true" strokeweight=".06pt" strokecolor="#000000"/>
            <v:line style="position:absolute" from="170,6" to="1467,6" stroked="true" strokeweight=".06pt" strokecolor="#000000"/>
            <v:line style="position:absolute" from="170,7" to="1467,7" stroked="true" strokeweight=".06pt" strokecolor="#000000"/>
            <v:line style="position:absolute" from="170,8" to="1467,8" stroked="true" strokeweight=".06pt" strokecolor="#000000"/>
            <v:line style="position:absolute" from="170,9" to="1467,9" stroked="true" strokeweight=".06pt" strokecolor="#000000"/>
            <v:line style="position:absolute" from="170,11" to="1467,11" stroked="true" strokeweight=".06pt" strokecolor="#000000"/>
            <v:line style="position:absolute" from="170,12" to="1467,12" stroked="true" strokeweight=".06pt" strokecolor="#000000"/>
            <v:line style="position:absolute" from="170,13" to="1467,13" stroked="true" strokeweight=".06pt" strokecolor="#000000"/>
            <v:line style="position:absolute" from="170,14" to="1467,14" stroked="true" strokeweight=".06pt" strokecolor="#000000"/>
            <v:line style="position:absolute" from="170,15" to="1467,15" stroked="true" strokeweight=".06pt" strokecolor="#000000"/>
            <v:line style="position:absolute" from="170,35" to="1467,35" stroked="true" strokeweight=".06pt" strokecolor="#000000"/>
            <v:line style="position:absolute" from="170,36" to="1467,36" stroked="true" strokeweight=".06pt" strokecolor="#000000"/>
            <v:line style="position:absolute" from="170,37" to="1467,37" stroked="true" strokeweight=".06pt" strokecolor="#000000"/>
            <v:line style="position:absolute" from="170,38" to="1467,38" stroked="true" strokeweight=".06pt" strokecolor="#000000"/>
            <v:line style="position:absolute" from="170,39" to="1467,39" stroked="true" strokeweight=".06pt" strokecolor="#000000"/>
            <v:line style="position:absolute" from="170,41" to="1467,41" stroked="true" strokeweight=".06pt" strokecolor="#000000"/>
            <v:line style="position:absolute" from="170,42" to="1467,42" stroked="true" strokeweight=".06pt" strokecolor="#000000"/>
            <v:line style="position:absolute" from="170,43" to="1467,43" stroked="true" strokeweight=".06pt" strokecolor="#000000"/>
            <v:line style="position:absolute" from="170,44" to="1467,44" stroked="true" strokeweight=".06pt" strokecolor="#000000"/>
            <v:line style="position:absolute" from="170,45" to="1467,45" stroked="true" strokeweight=".06pt" strokecolor="#000000"/>
            <v:line style="position:absolute" from="170,47" to="1467,47" stroked="true" strokeweight=".06pt" strokecolor="#000000"/>
            <v:line style="position:absolute" from="170,48" to="1467,48" stroked="true" strokeweight=".06pt" strokecolor="#000000"/>
            <v:line style="position:absolute" from="170,49" to="1467,49" stroked="true" strokeweight=".06pt" strokecolor="#000000"/>
            <v:line style="position:absolute" from="1467,1" to="2765,1" stroked="true" strokeweight=".06pt" strokecolor="#000000"/>
            <v:line style="position:absolute" from="1467,2" to="2765,2" stroked="true" strokeweight=".06pt" strokecolor="#000000"/>
            <v:line style="position:absolute" from="1467,3" to="2765,3" stroked="true" strokeweight=".06pt" strokecolor="#000000"/>
            <v:line style="position:absolute" from="1467,5" to="2765,5" stroked="true" strokeweight=".06pt" strokecolor="#000000"/>
            <v:line style="position:absolute" from="1467,6" to="2765,6" stroked="true" strokeweight=".06pt" strokecolor="#000000"/>
            <v:line style="position:absolute" from="1467,7" to="2765,7" stroked="true" strokeweight=".06pt" strokecolor="#000000"/>
            <v:line style="position:absolute" from="1467,8" to="2765,8" stroked="true" strokeweight=".06pt" strokecolor="#000000"/>
            <v:line style="position:absolute" from="1467,9" to="2765,9" stroked="true" strokeweight=".06pt" strokecolor="#000000"/>
            <v:line style="position:absolute" from="1467,11" to="2765,11" stroked="true" strokeweight=".06pt" strokecolor="#000000"/>
            <v:line style="position:absolute" from="1467,12" to="2765,12" stroked="true" strokeweight=".06pt" strokecolor="#000000"/>
            <v:line style="position:absolute" from="1467,13" to="2765,13" stroked="true" strokeweight=".06pt" strokecolor="#000000"/>
            <v:line style="position:absolute" from="1467,14" to="2765,14" stroked="true" strokeweight=".06pt" strokecolor="#000000"/>
            <v:line style="position:absolute" from="1467,15" to="2765,15" stroked="true" strokeweight=".06pt" strokecolor="#000000"/>
            <v:line style="position:absolute" from="1467,35" to="2765,35" stroked="true" strokeweight=".06pt" strokecolor="#000000"/>
            <v:line style="position:absolute" from="1467,36" to="2765,36" stroked="true" strokeweight=".06pt" strokecolor="#000000"/>
            <v:line style="position:absolute" from="1467,37" to="2765,37" stroked="true" strokeweight=".06pt" strokecolor="#000000"/>
            <v:line style="position:absolute" from="1467,38" to="2765,38" stroked="true" strokeweight=".06pt" strokecolor="#000000"/>
            <v:line style="position:absolute" from="1467,39" to="2765,39" stroked="true" strokeweight=".06pt" strokecolor="#000000"/>
            <v:line style="position:absolute" from="1467,41" to="2765,41" stroked="true" strokeweight=".06pt" strokecolor="#000000"/>
            <v:line style="position:absolute" from="1467,42" to="2765,42" stroked="true" strokeweight=".06pt" strokecolor="#000000"/>
            <v:line style="position:absolute" from="1467,43" to="2765,43" stroked="true" strokeweight=".06pt" strokecolor="#000000"/>
            <v:line style="position:absolute" from="1467,44" to="2765,44" stroked="true" strokeweight=".06pt" strokecolor="#000000"/>
            <v:line style="position:absolute" from="1467,45" to="2765,45" stroked="true" strokeweight=".06pt" strokecolor="#000000"/>
            <v:line style="position:absolute" from="1467,47" to="2765,47" stroked="true" strokeweight=".06pt" strokecolor="#000000"/>
            <v:line style="position:absolute" from="1467,48" to="2765,48" stroked="true" strokeweight=".06pt" strokecolor="#000000"/>
            <v:line style="position:absolute" from="1467,49" to="2765,49" stroked="true" strokeweight=".06pt" strokecolor="#000000"/>
            <v:line style="position:absolute" from="2765,1" to="2934,1" stroked="true" strokeweight=".06pt" strokecolor="#000000"/>
            <v:line style="position:absolute" from="2765,2" to="2934,2" stroked="true" strokeweight=".06pt" strokecolor="#000000"/>
            <v:line style="position:absolute" from="2765,3" to="2934,3" stroked="true" strokeweight=".06pt" strokecolor="#000000"/>
            <v:line style="position:absolute" from="2765,5" to="2934,5" stroked="true" strokeweight=".06pt" strokecolor="#000000"/>
            <v:line style="position:absolute" from="2765,6" to="2934,6" stroked="true" strokeweight=".06pt" strokecolor="#000000"/>
            <v:line style="position:absolute" from="2765,7" to="2934,7" stroked="true" strokeweight=".06pt" strokecolor="#000000"/>
            <v:line style="position:absolute" from="2765,8" to="2934,8" stroked="true" strokeweight=".06pt" strokecolor="#000000"/>
            <v:line style="position:absolute" from="2765,9" to="2934,9" stroked="true" strokeweight=".06pt" strokecolor="#000000"/>
            <v:line style="position:absolute" from="2765,11" to="2934,11" stroked="true" strokeweight=".06pt" strokecolor="#000000"/>
            <v:line style="position:absolute" from="2765,12" to="2934,12" stroked="true" strokeweight=".06pt" strokecolor="#000000"/>
            <v:line style="position:absolute" from="2765,13" to="2934,13" stroked="true" strokeweight=".06pt" strokecolor="#000000"/>
            <v:line style="position:absolute" from="2765,14" to="2934,14" stroked="true" strokeweight=".06pt" strokecolor="#000000"/>
            <v:line style="position:absolute" from="2765,15" to="2934,15" stroked="true" strokeweight=".06pt" strokecolor="#000000"/>
            <v:line style="position:absolute" from="2765,35" to="2934,35" stroked="true" strokeweight=".06pt" strokecolor="#000000"/>
            <v:line style="position:absolute" from="2765,36" to="2934,36" stroked="true" strokeweight=".06pt" strokecolor="#000000"/>
            <v:line style="position:absolute" from="2765,37" to="2934,37" stroked="true" strokeweight=".06pt" strokecolor="#000000"/>
            <v:line style="position:absolute" from="2765,38" to="2934,38" stroked="true" strokeweight=".06pt" strokecolor="#000000"/>
            <v:line style="position:absolute" from="2765,39" to="2934,39" stroked="true" strokeweight=".06pt" strokecolor="#000000"/>
            <v:line style="position:absolute" from="2765,41" to="2934,41" stroked="true" strokeweight=".06pt" strokecolor="#000000"/>
            <v:line style="position:absolute" from="2765,42" to="2934,42" stroked="true" strokeweight=".06pt" strokecolor="#000000"/>
            <v:line style="position:absolute" from="2765,43" to="2934,43" stroked="true" strokeweight=".06pt" strokecolor="#000000"/>
            <v:line style="position:absolute" from="2765,44" to="2934,44" stroked="true" strokeweight=".06pt" strokecolor="#000000"/>
            <v:line style="position:absolute" from="2765,45" to="2934,45" stroked="true" strokeweight=".06pt" strokecolor="#000000"/>
            <v:line style="position:absolute" from="2765,47" to="2934,47" stroked="true" strokeweight=".06pt" strokecolor="#000000"/>
            <v:line style="position:absolute" from="2765,48" to="2934,48" stroked="true" strokeweight=".06pt" strokecolor="#000000"/>
            <v:line style="position:absolute" from="2765,49" to="2934,49" stroked="true" strokeweight=".06pt" strokecolor="#000000"/>
            <v:line style="position:absolute" from="2934,1" to="4231,1" stroked="true" strokeweight=".06pt" strokecolor="#000000"/>
            <v:line style="position:absolute" from="2934,2" to="4231,2" stroked="true" strokeweight=".06pt" strokecolor="#000000"/>
            <v:line style="position:absolute" from="2934,3" to="4231,3" stroked="true" strokeweight=".06pt" strokecolor="#000000"/>
            <v:line style="position:absolute" from="2934,5" to="4231,5" stroked="true" strokeweight=".06pt" strokecolor="#000000"/>
            <v:line style="position:absolute" from="2934,6" to="4231,6" stroked="true" strokeweight=".06pt" strokecolor="#000000"/>
            <v:line style="position:absolute" from="2934,7" to="4231,7" stroked="true" strokeweight=".06pt" strokecolor="#000000"/>
            <v:line style="position:absolute" from="2934,8" to="4231,8" stroked="true" strokeweight=".06pt" strokecolor="#000000"/>
            <v:line style="position:absolute" from="2934,9" to="4231,9" stroked="true" strokeweight=".06pt" strokecolor="#000000"/>
            <v:line style="position:absolute" from="2934,11" to="4231,11" stroked="true" strokeweight=".06pt" strokecolor="#000000"/>
            <v:line style="position:absolute" from="2934,12" to="4231,12" stroked="true" strokeweight=".06pt" strokecolor="#000000"/>
            <v:line style="position:absolute" from="2934,13" to="4231,13" stroked="true" strokeweight=".06pt" strokecolor="#000000"/>
            <v:line style="position:absolute" from="2934,14" to="4231,14" stroked="true" strokeweight=".06pt" strokecolor="#000000"/>
            <v:line style="position:absolute" from="2934,15" to="4231,15" stroked="true" strokeweight=".06pt" strokecolor="#000000"/>
            <v:line style="position:absolute" from="2934,35" to="4231,35" stroked="true" strokeweight=".06pt" strokecolor="#000000"/>
            <v:line style="position:absolute" from="2934,36" to="4231,36" stroked="true" strokeweight=".06pt" strokecolor="#000000"/>
            <v:line style="position:absolute" from="2934,37" to="4231,37" stroked="true" strokeweight=".06pt" strokecolor="#000000"/>
            <v:line style="position:absolute" from="2934,38" to="4231,38" stroked="true" strokeweight=".06pt" strokecolor="#000000"/>
            <v:line style="position:absolute" from="2934,39" to="4231,39" stroked="true" strokeweight=".06pt" strokecolor="#000000"/>
            <v:line style="position:absolute" from="2934,41" to="4231,41" stroked="true" strokeweight=".06pt" strokecolor="#000000"/>
            <v:line style="position:absolute" from="2934,42" to="4231,42" stroked="true" strokeweight=".06pt" strokecolor="#000000"/>
            <v:line style="position:absolute" from="2934,43" to="4231,43" stroked="true" strokeweight=".06pt" strokecolor="#000000"/>
            <v:line style="position:absolute" from="2934,44" to="4231,44" stroked="true" strokeweight=".06pt" strokecolor="#000000"/>
            <v:line style="position:absolute" from="2934,45" to="4231,45" stroked="true" strokeweight=".06pt" strokecolor="#000000"/>
            <v:line style="position:absolute" from="2934,47" to="4231,47" stroked="true" strokeweight=".06pt" strokecolor="#000000"/>
            <v:line style="position:absolute" from="2934,48" to="4231,48" stroked="true" strokeweight=".06pt" strokecolor="#000000"/>
            <v:line style="position:absolute" from="2934,49" to="4231,49" stroked="true" strokeweight=".06pt" strokecolor="#000000"/>
            <v:line style="position:absolute" from="4231,1" to="5528,1" stroked="true" strokeweight=".06pt" strokecolor="#000000"/>
            <v:line style="position:absolute" from="4231,2" to="5528,2" stroked="true" strokeweight=".06pt" strokecolor="#000000"/>
            <v:line style="position:absolute" from="4231,3" to="5528,3" stroked="true" strokeweight=".06pt" strokecolor="#000000"/>
            <v:line style="position:absolute" from="4231,5" to="5528,5" stroked="true" strokeweight=".06pt" strokecolor="#000000"/>
            <v:line style="position:absolute" from="4231,6" to="5528,6" stroked="true" strokeweight=".06pt" strokecolor="#000000"/>
            <v:line style="position:absolute" from="4231,7" to="5528,7" stroked="true" strokeweight=".06pt" strokecolor="#000000"/>
            <v:line style="position:absolute" from="4231,8" to="5528,8" stroked="true" strokeweight=".06pt" strokecolor="#000000"/>
            <v:line style="position:absolute" from="4231,9" to="5528,9" stroked="true" strokeweight=".06pt" strokecolor="#000000"/>
            <v:line style="position:absolute" from="4231,11" to="5528,11" stroked="true" strokeweight=".06pt" strokecolor="#000000"/>
            <v:line style="position:absolute" from="4231,12" to="5528,12" stroked="true" strokeweight=".06pt" strokecolor="#000000"/>
            <v:line style="position:absolute" from="4231,13" to="5528,13" stroked="true" strokeweight=".06pt" strokecolor="#000000"/>
            <v:line style="position:absolute" from="4231,14" to="5528,14" stroked="true" strokeweight=".06pt" strokecolor="#000000"/>
            <v:line style="position:absolute" from="4231,15" to="5528,15" stroked="true" strokeweight=".06pt" strokecolor="#000000"/>
            <v:line style="position:absolute" from="4231,35" to="5528,35" stroked="true" strokeweight=".06pt" strokecolor="#000000"/>
            <v:line style="position:absolute" from="4231,36" to="5528,36" stroked="true" strokeweight=".06pt" strokecolor="#000000"/>
            <v:line style="position:absolute" from="4231,37" to="5528,37" stroked="true" strokeweight=".06pt" strokecolor="#000000"/>
            <v:line style="position:absolute" from="4231,38" to="5528,38" stroked="true" strokeweight=".06pt" strokecolor="#000000"/>
            <v:line style="position:absolute" from="4231,39" to="5528,39" stroked="true" strokeweight=".06pt" strokecolor="#000000"/>
            <v:line style="position:absolute" from="4231,41" to="5528,41" stroked="true" strokeweight=".06pt" strokecolor="#000000"/>
            <v:line style="position:absolute" from="4231,42" to="5528,42" stroked="true" strokeweight=".06pt" strokecolor="#000000"/>
            <v:line style="position:absolute" from="4231,43" to="5528,43" stroked="true" strokeweight=".06pt" strokecolor="#000000"/>
            <v:line style="position:absolute" from="4231,44" to="5528,44" stroked="true" strokeweight=".06pt" strokecolor="#000000"/>
            <v:line style="position:absolute" from="4231,45" to="5528,45" stroked="true" strokeweight=".06pt" strokecolor="#000000"/>
            <v:line style="position:absolute" from="4231,47" to="5528,47" stroked="true" strokeweight=".06pt" strokecolor="#000000"/>
            <v:line style="position:absolute" from="4231,48" to="5528,48" stroked="true" strokeweight=".06pt" strokecolor="#000000"/>
            <v:line style="position:absolute" from="4231,49" to="5528,49" stroked="true" strokeweight=".06pt" strokecolor="#000000"/>
          </v:group>
        </w:pict>
      </w:r>
      <w:r>
        <w:rPr>
          <w:position w:val="0"/>
          <w:sz w:val="5"/>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pPr>
    </w:p>
    <w:p>
      <w:pPr>
        <w:pStyle w:val="BodyText"/>
        <w:spacing w:before="77"/>
        <w:ind w:left="107" w:right="128"/>
      </w:pPr>
      <w:r>
        <w:rPr/>
        <w:t>The accompanying notes form part of these financial statements.</w:t>
      </w:r>
    </w:p>
    <w:p>
      <w:pPr>
        <w:spacing w:after="0"/>
        <w:sectPr>
          <w:type w:val="continuous"/>
          <w:pgSz w:w="11910" w:h="16840"/>
          <w:pgMar w:top="0" w:bottom="280" w:left="900" w:right="880"/>
        </w:sectPr>
      </w:pPr>
    </w:p>
    <w:p>
      <w:pPr>
        <w:pStyle w:val="Heading6"/>
        <w:spacing w:before="49"/>
        <w:ind w:right="128"/>
      </w:pPr>
      <w:r>
        <w:rPr/>
        <w:t>University of Western Sydney</w:t>
      </w:r>
    </w:p>
    <w:p>
      <w:pPr>
        <w:pStyle w:val="BodyText"/>
        <w:spacing w:before="5"/>
        <w:rPr>
          <w:b/>
          <w:sz w:val="29"/>
        </w:rPr>
      </w:pPr>
    </w:p>
    <w:p>
      <w:pPr>
        <w:spacing w:before="0"/>
        <w:ind w:left="107" w:right="128" w:firstLine="0"/>
        <w:jc w:val="left"/>
        <w:rPr>
          <w:b/>
          <w:sz w:val="28"/>
        </w:rPr>
      </w:pPr>
      <w:r>
        <w:rPr>
          <w:b/>
          <w:sz w:val="28"/>
        </w:rPr>
        <w:t>Statement of Financial Position</w:t>
      </w:r>
    </w:p>
    <w:p>
      <w:pPr>
        <w:spacing w:before="57"/>
        <w:ind w:left="107" w:right="128" w:firstLine="0"/>
        <w:jc w:val="left"/>
        <w:rPr>
          <w:b/>
          <w:sz w:val="22"/>
        </w:rPr>
      </w:pPr>
      <w:r>
        <w:rPr>
          <w:b/>
          <w:sz w:val="22"/>
        </w:rPr>
        <w:t>As at 31 December 2012</w:t>
      </w:r>
    </w:p>
    <w:p>
      <w:pPr>
        <w:pStyle w:val="BodyText"/>
        <w:spacing w:before="1"/>
        <w:rPr>
          <w:b/>
          <w:sz w:val="29"/>
        </w:rPr>
      </w:pPr>
    </w:p>
    <w:p>
      <w:pPr>
        <w:pStyle w:val="Heading9"/>
        <w:tabs>
          <w:tab w:pos="7302" w:val="left" w:leader="none"/>
        </w:tabs>
        <w:spacing w:before="77"/>
        <w:ind w:left="4537" w:right="128"/>
      </w:pPr>
      <w:r>
        <w:rPr/>
        <w:t>Consolidated</w:t>
        <w:tab/>
        <w:t>Parent</w:t>
      </w:r>
    </w:p>
    <w:p>
      <w:pPr>
        <w:spacing w:after="0"/>
        <w:sectPr>
          <w:headerReference w:type="default" r:id="rId56"/>
          <w:footerReference w:type="default" r:id="rId57"/>
          <w:pgSz w:w="11910" w:h="16840"/>
          <w:pgMar w:header="0" w:footer="507" w:top="960" w:bottom="700" w:left="900" w:right="880"/>
          <w:pgNumType w:start="8"/>
        </w:sectPr>
      </w:pPr>
    </w:p>
    <w:p>
      <w:pPr>
        <w:pStyle w:val="BodyText"/>
        <w:rPr>
          <w:b/>
        </w:rPr>
      </w:pPr>
    </w:p>
    <w:p>
      <w:pPr>
        <w:pStyle w:val="BodyText"/>
        <w:spacing w:before="1"/>
        <w:rPr>
          <w:b/>
          <w:sz w:val="14"/>
        </w:rPr>
      </w:pPr>
    </w:p>
    <w:p>
      <w:pPr>
        <w:spacing w:before="0"/>
        <w:ind w:left="0" w:right="0" w:firstLine="0"/>
        <w:jc w:val="right"/>
        <w:rPr>
          <w:b/>
          <w:sz w:val="18"/>
        </w:rPr>
      </w:pPr>
      <w:r>
        <w:rPr>
          <w:b/>
          <w:sz w:val="18"/>
        </w:rPr>
        <w:t>Notes</w:t>
      </w:r>
    </w:p>
    <w:p>
      <w:pPr>
        <w:spacing w:before="95"/>
        <w:ind w:left="235" w:right="-20" w:firstLine="0"/>
        <w:jc w:val="left"/>
        <w:rPr>
          <w:b/>
          <w:sz w:val="18"/>
        </w:rPr>
      </w:pPr>
      <w:r>
        <w:rPr/>
        <w:br w:type="column"/>
      </w:r>
      <w:r>
        <w:rPr>
          <w:b/>
          <w:sz w:val="18"/>
        </w:rPr>
        <w:t>2012</w:t>
      </w:r>
    </w:p>
    <w:p>
      <w:pPr>
        <w:spacing w:before="66"/>
        <w:ind w:left="235" w:right="-20" w:firstLine="0"/>
        <w:jc w:val="left"/>
        <w:rPr>
          <w:b/>
          <w:sz w:val="18"/>
        </w:rPr>
      </w:pPr>
      <w:r>
        <w:rPr>
          <w:b/>
          <w:sz w:val="18"/>
        </w:rPr>
        <w:t>$'000</w:t>
      </w:r>
    </w:p>
    <w:p>
      <w:pPr>
        <w:spacing w:before="95"/>
        <w:ind w:left="786" w:right="-20" w:firstLine="0"/>
        <w:jc w:val="left"/>
        <w:rPr>
          <w:b/>
          <w:sz w:val="18"/>
        </w:rPr>
      </w:pPr>
      <w:r>
        <w:rPr/>
        <w:br w:type="column"/>
      </w:r>
      <w:r>
        <w:rPr>
          <w:b/>
          <w:sz w:val="18"/>
        </w:rPr>
        <w:t>2011</w:t>
      </w:r>
    </w:p>
    <w:p>
      <w:pPr>
        <w:spacing w:before="66"/>
        <w:ind w:left="786" w:right="-20" w:firstLine="0"/>
        <w:jc w:val="left"/>
        <w:rPr>
          <w:b/>
          <w:sz w:val="18"/>
        </w:rPr>
      </w:pPr>
      <w:r>
        <w:rPr>
          <w:b/>
          <w:sz w:val="18"/>
        </w:rPr>
        <w:t>$'000</w:t>
      </w:r>
    </w:p>
    <w:p>
      <w:pPr>
        <w:spacing w:before="66"/>
        <w:ind w:left="0" w:right="40" w:firstLine="0"/>
        <w:jc w:val="right"/>
        <w:rPr>
          <w:b/>
          <w:sz w:val="18"/>
        </w:rPr>
      </w:pPr>
      <w:r>
        <w:rPr/>
        <w:br w:type="column"/>
      </w:r>
      <w:r>
        <w:rPr>
          <w:b/>
          <w:sz w:val="18"/>
        </w:rPr>
        <w:t>2012</w:t>
      </w:r>
    </w:p>
    <w:p>
      <w:pPr>
        <w:spacing w:before="65"/>
        <w:ind w:left="0" w:right="0" w:firstLine="0"/>
        <w:jc w:val="right"/>
        <w:rPr>
          <w:b/>
          <w:sz w:val="18"/>
        </w:rPr>
      </w:pPr>
      <w:r>
        <w:rPr>
          <w:b/>
          <w:w w:val="95"/>
          <w:sz w:val="18"/>
        </w:rPr>
        <w:t>$'000</w:t>
      </w:r>
    </w:p>
    <w:p>
      <w:pPr>
        <w:spacing w:before="66"/>
        <w:ind w:left="725" w:right="892" w:firstLine="0"/>
        <w:jc w:val="center"/>
        <w:rPr>
          <w:b/>
          <w:sz w:val="18"/>
        </w:rPr>
      </w:pPr>
      <w:r>
        <w:rPr/>
        <w:br w:type="column"/>
      </w:r>
      <w:r>
        <w:rPr>
          <w:b/>
          <w:sz w:val="18"/>
        </w:rPr>
        <w:t>2011</w:t>
      </w:r>
    </w:p>
    <w:p>
      <w:pPr>
        <w:spacing w:before="65"/>
        <w:ind w:left="763" w:right="887" w:firstLine="0"/>
        <w:jc w:val="center"/>
        <w:rPr>
          <w:b/>
          <w:sz w:val="18"/>
        </w:rPr>
      </w:pPr>
      <w:r>
        <w:rPr>
          <w:b/>
          <w:sz w:val="18"/>
        </w:rPr>
        <w:t>$'000</w:t>
      </w:r>
    </w:p>
    <w:p>
      <w:pPr>
        <w:spacing w:after="0"/>
        <w:jc w:val="center"/>
        <w:rPr>
          <w:sz w:val="18"/>
        </w:rPr>
        <w:sectPr>
          <w:type w:val="continuous"/>
          <w:pgSz w:w="11910" w:h="16840"/>
          <w:pgMar w:top="0" w:bottom="280" w:left="900" w:right="880"/>
          <w:cols w:num="5" w:equalWidth="0">
            <w:col w:w="4461" w:space="40"/>
            <w:col w:w="679" w:space="40"/>
            <w:col w:w="1230" w:space="40"/>
            <w:col w:w="1454" w:space="40"/>
            <w:col w:w="2146"/>
          </w:cols>
        </w:sectPr>
      </w:pPr>
    </w:p>
    <w:p>
      <w:pPr>
        <w:pStyle w:val="BodyText"/>
        <w:spacing w:before="11"/>
        <w:rPr>
          <w:b/>
          <w:sz w:val="5"/>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45"/>
        <w:gridCol w:w="1232"/>
        <w:gridCol w:w="1629"/>
        <w:gridCol w:w="1382"/>
        <w:gridCol w:w="1382"/>
        <w:gridCol w:w="1135"/>
      </w:tblGrid>
      <w:tr>
        <w:trPr>
          <w:trHeight w:val="626" w:hRule="exact"/>
        </w:trPr>
        <w:tc>
          <w:tcPr>
            <w:tcW w:w="3145" w:type="dxa"/>
          </w:tcPr>
          <w:p>
            <w:pPr>
              <w:pStyle w:val="TableParagraph"/>
              <w:spacing w:before="77"/>
              <w:ind w:left="35"/>
              <w:rPr>
                <w:b/>
                <w:sz w:val="18"/>
              </w:rPr>
            </w:pPr>
            <w:r>
              <w:rPr>
                <w:b/>
                <w:sz w:val="18"/>
              </w:rPr>
              <w:t>ASSETS</w:t>
            </w:r>
          </w:p>
          <w:p>
            <w:pPr>
              <w:pStyle w:val="TableParagraph"/>
              <w:spacing w:before="112"/>
              <w:ind w:left="35"/>
              <w:rPr>
                <w:b/>
                <w:sz w:val="18"/>
              </w:rPr>
            </w:pPr>
            <w:r>
              <w:rPr>
                <w:b/>
                <w:sz w:val="18"/>
              </w:rPr>
              <w:t>Current assets</w:t>
            </w:r>
          </w:p>
        </w:tc>
        <w:tc>
          <w:tcPr>
            <w:tcW w:w="6759" w:type="dxa"/>
            <w:gridSpan w:val="5"/>
          </w:tcPr>
          <w:p>
            <w:pPr/>
          </w:p>
        </w:tc>
      </w:tr>
      <w:tr>
        <w:trPr>
          <w:trHeight w:val="250" w:hRule="exact"/>
        </w:trPr>
        <w:tc>
          <w:tcPr>
            <w:tcW w:w="3145" w:type="dxa"/>
          </w:tcPr>
          <w:p>
            <w:pPr>
              <w:pStyle w:val="TableParagraph"/>
              <w:spacing w:before="4"/>
              <w:ind w:left="35"/>
              <w:rPr>
                <w:sz w:val="18"/>
              </w:rPr>
            </w:pPr>
            <w:r>
              <w:rPr>
                <w:sz w:val="18"/>
              </w:rPr>
              <w:t>Cash and cash equivalents</w:t>
            </w:r>
          </w:p>
        </w:tc>
        <w:tc>
          <w:tcPr>
            <w:tcW w:w="1232" w:type="dxa"/>
          </w:tcPr>
          <w:p>
            <w:pPr>
              <w:pStyle w:val="TableParagraph"/>
              <w:spacing w:before="5"/>
              <w:ind w:right="331"/>
              <w:jc w:val="right"/>
              <w:rPr>
                <w:sz w:val="18"/>
              </w:rPr>
            </w:pPr>
            <w:r>
              <w:rPr>
                <w:sz w:val="18"/>
              </w:rPr>
              <w:t>15</w:t>
            </w:r>
          </w:p>
        </w:tc>
        <w:tc>
          <w:tcPr>
            <w:tcW w:w="1629" w:type="dxa"/>
          </w:tcPr>
          <w:p>
            <w:pPr>
              <w:pStyle w:val="TableParagraph"/>
              <w:spacing w:before="5"/>
              <w:ind w:right="247"/>
              <w:jc w:val="right"/>
              <w:rPr>
                <w:b/>
                <w:sz w:val="18"/>
              </w:rPr>
            </w:pPr>
            <w:r>
              <w:rPr>
                <w:b/>
                <w:w w:val="95"/>
                <w:sz w:val="18"/>
              </w:rPr>
              <w:t>75,577</w:t>
            </w:r>
          </w:p>
        </w:tc>
        <w:tc>
          <w:tcPr>
            <w:tcW w:w="1382" w:type="dxa"/>
          </w:tcPr>
          <w:p>
            <w:pPr>
              <w:pStyle w:val="TableParagraph"/>
              <w:spacing w:before="5"/>
              <w:ind w:right="331"/>
              <w:jc w:val="right"/>
              <w:rPr>
                <w:sz w:val="18"/>
              </w:rPr>
            </w:pPr>
            <w:r>
              <w:rPr>
                <w:w w:val="95"/>
                <w:sz w:val="18"/>
              </w:rPr>
              <w:t>29,852</w:t>
            </w:r>
          </w:p>
        </w:tc>
        <w:tc>
          <w:tcPr>
            <w:tcW w:w="1382" w:type="dxa"/>
          </w:tcPr>
          <w:p>
            <w:pPr>
              <w:pStyle w:val="TableParagraph"/>
              <w:spacing w:before="5"/>
              <w:ind w:right="247"/>
              <w:jc w:val="right"/>
              <w:rPr>
                <w:b/>
                <w:sz w:val="18"/>
              </w:rPr>
            </w:pPr>
            <w:r>
              <w:rPr>
                <w:b/>
                <w:w w:val="95"/>
                <w:sz w:val="18"/>
              </w:rPr>
              <w:t>63,680</w:t>
            </w:r>
          </w:p>
        </w:tc>
        <w:tc>
          <w:tcPr>
            <w:tcW w:w="1135" w:type="dxa"/>
          </w:tcPr>
          <w:p>
            <w:pPr>
              <w:pStyle w:val="TableParagraph"/>
              <w:spacing w:before="5"/>
              <w:ind w:right="85"/>
              <w:jc w:val="right"/>
              <w:rPr>
                <w:sz w:val="18"/>
              </w:rPr>
            </w:pPr>
            <w:r>
              <w:rPr>
                <w:w w:val="95"/>
                <w:sz w:val="18"/>
              </w:rPr>
              <w:t>6,067</w:t>
            </w:r>
          </w:p>
        </w:tc>
      </w:tr>
      <w:tr>
        <w:trPr>
          <w:trHeight w:val="264" w:hRule="exact"/>
        </w:trPr>
        <w:tc>
          <w:tcPr>
            <w:tcW w:w="3145" w:type="dxa"/>
          </w:tcPr>
          <w:p>
            <w:pPr>
              <w:pStyle w:val="TableParagraph"/>
              <w:spacing w:before="18"/>
              <w:ind w:left="35"/>
              <w:rPr>
                <w:sz w:val="18"/>
              </w:rPr>
            </w:pPr>
            <w:r>
              <w:rPr>
                <w:sz w:val="18"/>
              </w:rPr>
              <w:t>Receivables</w:t>
            </w:r>
          </w:p>
        </w:tc>
        <w:tc>
          <w:tcPr>
            <w:tcW w:w="1232" w:type="dxa"/>
          </w:tcPr>
          <w:p>
            <w:pPr>
              <w:pStyle w:val="TableParagraph"/>
              <w:spacing w:before="19"/>
              <w:ind w:right="331"/>
              <w:jc w:val="right"/>
              <w:rPr>
                <w:sz w:val="18"/>
              </w:rPr>
            </w:pPr>
            <w:r>
              <w:rPr>
                <w:sz w:val="18"/>
              </w:rPr>
              <w:t>16</w:t>
            </w:r>
          </w:p>
        </w:tc>
        <w:tc>
          <w:tcPr>
            <w:tcW w:w="1629" w:type="dxa"/>
          </w:tcPr>
          <w:p>
            <w:pPr>
              <w:pStyle w:val="TableParagraph"/>
              <w:spacing w:before="19"/>
              <w:ind w:right="247"/>
              <w:jc w:val="right"/>
              <w:rPr>
                <w:b/>
                <w:sz w:val="18"/>
              </w:rPr>
            </w:pPr>
            <w:r>
              <w:rPr>
                <w:b/>
                <w:w w:val="95"/>
                <w:sz w:val="18"/>
              </w:rPr>
              <w:t>26,254</w:t>
            </w:r>
          </w:p>
        </w:tc>
        <w:tc>
          <w:tcPr>
            <w:tcW w:w="1382" w:type="dxa"/>
          </w:tcPr>
          <w:p>
            <w:pPr>
              <w:pStyle w:val="TableParagraph"/>
              <w:spacing w:before="19"/>
              <w:ind w:right="331"/>
              <w:jc w:val="right"/>
              <w:rPr>
                <w:sz w:val="18"/>
              </w:rPr>
            </w:pPr>
            <w:r>
              <w:rPr>
                <w:w w:val="95"/>
                <w:sz w:val="18"/>
              </w:rPr>
              <w:t>21,725</w:t>
            </w:r>
          </w:p>
        </w:tc>
        <w:tc>
          <w:tcPr>
            <w:tcW w:w="1382" w:type="dxa"/>
          </w:tcPr>
          <w:p>
            <w:pPr>
              <w:pStyle w:val="TableParagraph"/>
              <w:spacing w:before="19"/>
              <w:ind w:right="247"/>
              <w:jc w:val="right"/>
              <w:rPr>
                <w:b/>
                <w:sz w:val="18"/>
              </w:rPr>
            </w:pPr>
            <w:r>
              <w:rPr>
                <w:b/>
                <w:w w:val="95"/>
                <w:sz w:val="18"/>
              </w:rPr>
              <w:t>26,896</w:t>
            </w:r>
          </w:p>
        </w:tc>
        <w:tc>
          <w:tcPr>
            <w:tcW w:w="1135" w:type="dxa"/>
          </w:tcPr>
          <w:p>
            <w:pPr>
              <w:pStyle w:val="TableParagraph"/>
              <w:spacing w:before="19"/>
              <w:ind w:right="84"/>
              <w:jc w:val="right"/>
              <w:rPr>
                <w:sz w:val="18"/>
              </w:rPr>
            </w:pPr>
            <w:r>
              <w:rPr>
                <w:w w:val="95"/>
                <w:sz w:val="18"/>
              </w:rPr>
              <w:t>20,941</w:t>
            </w:r>
          </w:p>
        </w:tc>
      </w:tr>
      <w:tr>
        <w:trPr>
          <w:trHeight w:val="264" w:hRule="exact"/>
        </w:trPr>
        <w:tc>
          <w:tcPr>
            <w:tcW w:w="3145" w:type="dxa"/>
          </w:tcPr>
          <w:p>
            <w:pPr>
              <w:pStyle w:val="TableParagraph"/>
              <w:spacing w:before="18"/>
              <w:ind w:left="35"/>
              <w:rPr>
                <w:sz w:val="18"/>
              </w:rPr>
            </w:pPr>
            <w:r>
              <w:rPr>
                <w:sz w:val="18"/>
              </w:rPr>
              <w:t>Inventories</w:t>
            </w:r>
          </w:p>
        </w:tc>
        <w:tc>
          <w:tcPr>
            <w:tcW w:w="1232" w:type="dxa"/>
          </w:tcPr>
          <w:p>
            <w:pPr>
              <w:pStyle w:val="TableParagraph"/>
              <w:spacing w:before="19"/>
              <w:ind w:right="331"/>
              <w:jc w:val="right"/>
              <w:rPr>
                <w:sz w:val="18"/>
              </w:rPr>
            </w:pPr>
            <w:r>
              <w:rPr>
                <w:sz w:val="18"/>
              </w:rPr>
              <w:t>17</w:t>
            </w:r>
          </w:p>
        </w:tc>
        <w:tc>
          <w:tcPr>
            <w:tcW w:w="1629" w:type="dxa"/>
          </w:tcPr>
          <w:p>
            <w:pPr>
              <w:pStyle w:val="TableParagraph"/>
              <w:spacing w:before="19"/>
              <w:ind w:right="247"/>
              <w:jc w:val="right"/>
              <w:rPr>
                <w:b/>
                <w:sz w:val="18"/>
              </w:rPr>
            </w:pPr>
            <w:r>
              <w:rPr>
                <w:b/>
                <w:w w:val="95"/>
                <w:sz w:val="18"/>
              </w:rPr>
              <w:t>5,531</w:t>
            </w:r>
          </w:p>
        </w:tc>
        <w:tc>
          <w:tcPr>
            <w:tcW w:w="1382" w:type="dxa"/>
          </w:tcPr>
          <w:p>
            <w:pPr>
              <w:pStyle w:val="TableParagraph"/>
              <w:spacing w:before="19"/>
              <w:ind w:right="332"/>
              <w:jc w:val="right"/>
              <w:rPr>
                <w:sz w:val="18"/>
              </w:rPr>
            </w:pPr>
            <w:r>
              <w:rPr>
                <w:w w:val="95"/>
                <w:sz w:val="18"/>
              </w:rPr>
              <w:t>5,131</w:t>
            </w:r>
          </w:p>
        </w:tc>
        <w:tc>
          <w:tcPr>
            <w:tcW w:w="1382" w:type="dxa"/>
          </w:tcPr>
          <w:p>
            <w:pPr>
              <w:pStyle w:val="TableParagraph"/>
              <w:spacing w:before="19"/>
              <w:ind w:right="249"/>
              <w:jc w:val="right"/>
              <w:rPr>
                <w:b/>
                <w:sz w:val="18"/>
              </w:rPr>
            </w:pPr>
            <w:r>
              <w:rPr>
                <w:b/>
                <w:w w:val="99"/>
                <w:sz w:val="18"/>
              </w:rPr>
              <w:t>-</w:t>
            </w:r>
          </w:p>
        </w:tc>
        <w:tc>
          <w:tcPr>
            <w:tcW w:w="1135" w:type="dxa"/>
          </w:tcPr>
          <w:p>
            <w:pPr>
              <w:pStyle w:val="TableParagraph"/>
              <w:spacing w:before="19"/>
              <w:ind w:right="86"/>
              <w:jc w:val="right"/>
              <w:rPr>
                <w:sz w:val="18"/>
              </w:rPr>
            </w:pPr>
            <w:r>
              <w:rPr>
                <w:w w:val="99"/>
                <w:sz w:val="18"/>
              </w:rPr>
              <w:t>-</w:t>
            </w:r>
          </w:p>
        </w:tc>
      </w:tr>
      <w:tr>
        <w:trPr>
          <w:trHeight w:val="263" w:hRule="exact"/>
        </w:trPr>
        <w:tc>
          <w:tcPr>
            <w:tcW w:w="3145" w:type="dxa"/>
          </w:tcPr>
          <w:p>
            <w:pPr>
              <w:pStyle w:val="TableParagraph"/>
              <w:spacing w:before="18"/>
              <w:ind w:left="35"/>
              <w:rPr>
                <w:sz w:val="18"/>
              </w:rPr>
            </w:pPr>
            <w:r>
              <w:rPr>
                <w:sz w:val="18"/>
              </w:rPr>
              <w:t>Other financial assets</w:t>
            </w:r>
          </w:p>
        </w:tc>
        <w:tc>
          <w:tcPr>
            <w:tcW w:w="1232" w:type="dxa"/>
          </w:tcPr>
          <w:p>
            <w:pPr>
              <w:pStyle w:val="TableParagraph"/>
              <w:spacing w:before="19"/>
              <w:ind w:right="331"/>
              <w:jc w:val="right"/>
              <w:rPr>
                <w:sz w:val="18"/>
              </w:rPr>
            </w:pPr>
            <w:r>
              <w:rPr>
                <w:sz w:val="18"/>
              </w:rPr>
              <w:t>20</w:t>
            </w:r>
          </w:p>
        </w:tc>
        <w:tc>
          <w:tcPr>
            <w:tcW w:w="1629" w:type="dxa"/>
            <w:tcBorders>
              <w:bottom w:val="single" w:sz="0" w:space="0" w:color="000000"/>
            </w:tcBorders>
          </w:tcPr>
          <w:p>
            <w:pPr>
              <w:pStyle w:val="TableParagraph"/>
              <w:spacing w:before="19"/>
              <w:ind w:right="248"/>
              <w:jc w:val="right"/>
              <w:rPr>
                <w:b/>
                <w:sz w:val="18"/>
              </w:rPr>
            </w:pPr>
            <w:r>
              <w:rPr>
                <w:b/>
                <w:w w:val="99"/>
                <w:sz w:val="18"/>
              </w:rPr>
              <w:t>-</w:t>
            </w:r>
          </w:p>
        </w:tc>
        <w:tc>
          <w:tcPr>
            <w:tcW w:w="1382" w:type="dxa"/>
            <w:tcBorders>
              <w:bottom w:val="single" w:sz="0" w:space="0" w:color="000000"/>
            </w:tcBorders>
          </w:tcPr>
          <w:p>
            <w:pPr>
              <w:pStyle w:val="TableParagraph"/>
              <w:spacing w:before="19"/>
              <w:ind w:right="331"/>
              <w:jc w:val="right"/>
              <w:rPr>
                <w:sz w:val="18"/>
              </w:rPr>
            </w:pPr>
            <w:r>
              <w:rPr>
                <w:w w:val="95"/>
                <w:sz w:val="18"/>
              </w:rPr>
              <w:t>21,743</w:t>
            </w:r>
          </w:p>
        </w:tc>
        <w:tc>
          <w:tcPr>
            <w:tcW w:w="1382" w:type="dxa"/>
            <w:tcBorders>
              <w:bottom w:val="single" w:sz="0" w:space="0" w:color="000000"/>
            </w:tcBorders>
          </w:tcPr>
          <w:p>
            <w:pPr>
              <w:pStyle w:val="TableParagraph"/>
              <w:spacing w:before="19"/>
              <w:ind w:right="249"/>
              <w:jc w:val="right"/>
              <w:rPr>
                <w:b/>
                <w:sz w:val="18"/>
              </w:rPr>
            </w:pPr>
            <w:r>
              <w:rPr>
                <w:b/>
                <w:w w:val="99"/>
                <w:sz w:val="18"/>
              </w:rPr>
              <w:t>-</w:t>
            </w:r>
          </w:p>
        </w:tc>
        <w:tc>
          <w:tcPr>
            <w:tcW w:w="1135" w:type="dxa"/>
            <w:tcBorders>
              <w:bottom w:val="single" w:sz="0" w:space="0" w:color="000000"/>
            </w:tcBorders>
          </w:tcPr>
          <w:p>
            <w:pPr>
              <w:pStyle w:val="TableParagraph"/>
              <w:spacing w:before="19"/>
              <w:ind w:right="84"/>
              <w:jc w:val="right"/>
              <w:rPr>
                <w:sz w:val="18"/>
              </w:rPr>
            </w:pPr>
            <w:r>
              <w:rPr>
                <w:w w:val="95"/>
                <w:sz w:val="18"/>
              </w:rPr>
              <w:t>12,092</w:t>
            </w:r>
          </w:p>
        </w:tc>
      </w:tr>
      <w:tr>
        <w:trPr>
          <w:trHeight w:val="338" w:hRule="exact"/>
        </w:trPr>
        <w:tc>
          <w:tcPr>
            <w:tcW w:w="3145" w:type="dxa"/>
          </w:tcPr>
          <w:p>
            <w:pPr>
              <w:pStyle w:val="TableParagraph"/>
              <w:spacing w:before="123"/>
              <w:ind w:left="35"/>
              <w:rPr>
                <w:b/>
                <w:sz w:val="18"/>
              </w:rPr>
            </w:pPr>
            <w:r>
              <w:rPr>
                <w:b/>
                <w:sz w:val="18"/>
              </w:rPr>
              <w:t>TOTAL CURRENT ASSETS</w:t>
            </w:r>
          </w:p>
        </w:tc>
        <w:tc>
          <w:tcPr>
            <w:tcW w:w="1232" w:type="dxa"/>
          </w:tcPr>
          <w:p>
            <w:pPr/>
          </w:p>
        </w:tc>
        <w:tc>
          <w:tcPr>
            <w:tcW w:w="1629" w:type="dxa"/>
            <w:tcBorders>
              <w:top w:val="single" w:sz="0" w:space="0" w:color="000000"/>
              <w:bottom w:val="single" w:sz="0" w:space="0" w:color="000000"/>
            </w:tcBorders>
          </w:tcPr>
          <w:p>
            <w:pPr>
              <w:pStyle w:val="TableParagraph"/>
              <w:spacing w:before="122"/>
              <w:ind w:right="246"/>
              <w:jc w:val="right"/>
              <w:rPr>
                <w:b/>
                <w:sz w:val="18"/>
              </w:rPr>
            </w:pPr>
            <w:r>
              <w:rPr>
                <w:b/>
                <w:w w:val="95"/>
                <w:sz w:val="18"/>
              </w:rPr>
              <w:t>107,362</w:t>
            </w:r>
          </w:p>
        </w:tc>
        <w:tc>
          <w:tcPr>
            <w:tcW w:w="1382" w:type="dxa"/>
            <w:tcBorders>
              <w:top w:val="single" w:sz="0" w:space="0" w:color="000000"/>
              <w:bottom w:val="single" w:sz="0" w:space="0" w:color="000000"/>
            </w:tcBorders>
          </w:tcPr>
          <w:p>
            <w:pPr>
              <w:pStyle w:val="TableParagraph"/>
              <w:spacing w:before="122"/>
              <w:ind w:right="331"/>
              <w:jc w:val="right"/>
              <w:rPr>
                <w:sz w:val="18"/>
              </w:rPr>
            </w:pPr>
            <w:r>
              <w:rPr>
                <w:w w:val="95"/>
                <w:sz w:val="18"/>
              </w:rPr>
              <w:t>78,451</w:t>
            </w:r>
          </w:p>
        </w:tc>
        <w:tc>
          <w:tcPr>
            <w:tcW w:w="1382" w:type="dxa"/>
            <w:tcBorders>
              <w:top w:val="single" w:sz="0" w:space="0" w:color="000000"/>
              <w:bottom w:val="single" w:sz="0" w:space="0" w:color="000000"/>
            </w:tcBorders>
          </w:tcPr>
          <w:p>
            <w:pPr>
              <w:pStyle w:val="TableParagraph"/>
              <w:spacing w:before="122"/>
              <w:ind w:right="247"/>
              <w:jc w:val="right"/>
              <w:rPr>
                <w:b/>
                <w:sz w:val="18"/>
              </w:rPr>
            </w:pPr>
            <w:r>
              <w:rPr>
                <w:b/>
                <w:w w:val="95"/>
                <w:sz w:val="18"/>
              </w:rPr>
              <w:t>90,576</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39,100</w:t>
            </w:r>
          </w:p>
        </w:tc>
      </w:tr>
      <w:tr>
        <w:trPr>
          <w:trHeight w:val="603" w:hRule="exact"/>
        </w:trPr>
        <w:tc>
          <w:tcPr>
            <w:tcW w:w="3145" w:type="dxa"/>
          </w:tcPr>
          <w:p>
            <w:pPr>
              <w:pStyle w:val="TableParagraph"/>
              <w:spacing w:before="123"/>
              <w:ind w:left="35"/>
              <w:rPr>
                <w:b/>
                <w:sz w:val="18"/>
              </w:rPr>
            </w:pPr>
            <w:r>
              <w:rPr>
                <w:b/>
                <w:sz w:val="18"/>
              </w:rPr>
              <w:t>Non-current assets</w:t>
            </w:r>
          </w:p>
          <w:p>
            <w:pPr>
              <w:pStyle w:val="TableParagraph"/>
              <w:spacing w:before="27"/>
              <w:ind w:left="35"/>
              <w:rPr>
                <w:sz w:val="18"/>
              </w:rPr>
            </w:pPr>
            <w:r>
              <w:rPr>
                <w:sz w:val="18"/>
              </w:rPr>
              <w:t>Receivables</w:t>
            </w:r>
          </w:p>
        </w:tc>
        <w:tc>
          <w:tcPr>
            <w:tcW w:w="1232" w:type="dxa"/>
          </w:tcPr>
          <w:p>
            <w:pPr>
              <w:pStyle w:val="TableParagraph"/>
              <w:rPr>
                <w:b/>
                <w:sz w:val="18"/>
              </w:rPr>
            </w:pPr>
          </w:p>
          <w:p>
            <w:pPr>
              <w:pStyle w:val="TableParagraph"/>
              <w:spacing w:before="151"/>
              <w:ind w:right="331"/>
              <w:jc w:val="right"/>
              <w:rPr>
                <w:sz w:val="18"/>
              </w:rPr>
            </w:pPr>
            <w:r>
              <w:rPr>
                <w:sz w:val="18"/>
              </w:rPr>
              <w:t>16</w:t>
            </w:r>
          </w:p>
        </w:tc>
        <w:tc>
          <w:tcPr>
            <w:tcW w:w="1629" w:type="dxa"/>
            <w:tcBorders>
              <w:top w:val="single" w:sz="0" w:space="0" w:color="000000"/>
            </w:tcBorders>
          </w:tcPr>
          <w:p>
            <w:pPr>
              <w:pStyle w:val="TableParagraph"/>
              <w:rPr>
                <w:b/>
                <w:sz w:val="18"/>
              </w:rPr>
            </w:pPr>
          </w:p>
          <w:p>
            <w:pPr>
              <w:pStyle w:val="TableParagraph"/>
              <w:spacing w:before="151"/>
              <w:ind w:right="246"/>
              <w:jc w:val="right"/>
              <w:rPr>
                <w:b/>
                <w:sz w:val="18"/>
              </w:rPr>
            </w:pPr>
            <w:r>
              <w:rPr>
                <w:b/>
                <w:w w:val="95"/>
                <w:sz w:val="18"/>
              </w:rPr>
              <w:t>256,187</w:t>
            </w:r>
          </w:p>
        </w:tc>
        <w:tc>
          <w:tcPr>
            <w:tcW w:w="1382" w:type="dxa"/>
            <w:tcBorders>
              <w:top w:val="single" w:sz="0" w:space="0" w:color="000000"/>
            </w:tcBorders>
          </w:tcPr>
          <w:p>
            <w:pPr>
              <w:pStyle w:val="TableParagraph"/>
              <w:rPr>
                <w:b/>
                <w:sz w:val="18"/>
              </w:rPr>
            </w:pPr>
          </w:p>
          <w:p>
            <w:pPr>
              <w:pStyle w:val="TableParagraph"/>
              <w:spacing w:before="151"/>
              <w:ind w:right="331"/>
              <w:jc w:val="right"/>
              <w:rPr>
                <w:sz w:val="18"/>
              </w:rPr>
            </w:pPr>
            <w:r>
              <w:rPr>
                <w:w w:val="95"/>
                <w:sz w:val="18"/>
              </w:rPr>
              <w:t>231,810</w:t>
            </w:r>
          </w:p>
        </w:tc>
        <w:tc>
          <w:tcPr>
            <w:tcW w:w="1382" w:type="dxa"/>
            <w:tcBorders>
              <w:top w:val="single" w:sz="0" w:space="0" w:color="000000"/>
            </w:tcBorders>
          </w:tcPr>
          <w:p>
            <w:pPr>
              <w:pStyle w:val="TableParagraph"/>
              <w:rPr>
                <w:b/>
                <w:sz w:val="18"/>
              </w:rPr>
            </w:pPr>
          </w:p>
          <w:p>
            <w:pPr>
              <w:pStyle w:val="TableParagraph"/>
              <w:spacing w:before="151"/>
              <w:ind w:right="246"/>
              <w:jc w:val="right"/>
              <w:rPr>
                <w:b/>
                <w:sz w:val="18"/>
              </w:rPr>
            </w:pPr>
            <w:r>
              <w:rPr>
                <w:b/>
                <w:w w:val="95"/>
                <w:sz w:val="18"/>
              </w:rPr>
              <w:t>256,265</w:t>
            </w:r>
          </w:p>
        </w:tc>
        <w:tc>
          <w:tcPr>
            <w:tcW w:w="1135" w:type="dxa"/>
            <w:tcBorders>
              <w:top w:val="single" w:sz="0" w:space="0" w:color="000000"/>
            </w:tcBorders>
          </w:tcPr>
          <w:p>
            <w:pPr>
              <w:pStyle w:val="TableParagraph"/>
              <w:rPr>
                <w:b/>
                <w:sz w:val="18"/>
              </w:rPr>
            </w:pPr>
          </w:p>
          <w:p>
            <w:pPr>
              <w:pStyle w:val="TableParagraph"/>
              <w:spacing w:before="151"/>
              <w:ind w:right="84"/>
              <w:jc w:val="right"/>
              <w:rPr>
                <w:sz w:val="18"/>
              </w:rPr>
            </w:pPr>
            <w:r>
              <w:rPr>
                <w:w w:val="95"/>
                <w:sz w:val="18"/>
              </w:rPr>
              <w:t>231,810</w:t>
            </w:r>
          </w:p>
        </w:tc>
      </w:tr>
      <w:tr>
        <w:trPr>
          <w:trHeight w:val="264" w:hRule="exact"/>
        </w:trPr>
        <w:tc>
          <w:tcPr>
            <w:tcW w:w="3145" w:type="dxa"/>
          </w:tcPr>
          <w:p>
            <w:pPr>
              <w:pStyle w:val="TableParagraph"/>
              <w:spacing w:before="18"/>
              <w:ind w:left="35"/>
              <w:rPr>
                <w:sz w:val="18"/>
              </w:rPr>
            </w:pPr>
            <w:r>
              <w:rPr>
                <w:sz w:val="18"/>
              </w:rPr>
              <w:t>Property, plant and equipment</w:t>
            </w:r>
          </w:p>
        </w:tc>
        <w:tc>
          <w:tcPr>
            <w:tcW w:w="1232" w:type="dxa"/>
          </w:tcPr>
          <w:p>
            <w:pPr>
              <w:pStyle w:val="TableParagraph"/>
              <w:spacing w:before="19"/>
              <w:ind w:right="331"/>
              <w:jc w:val="right"/>
              <w:rPr>
                <w:sz w:val="18"/>
              </w:rPr>
            </w:pPr>
            <w:r>
              <w:rPr>
                <w:sz w:val="18"/>
              </w:rPr>
              <w:t>18</w:t>
            </w:r>
          </w:p>
        </w:tc>
        <w:tc>
          <w:tcPr>
            <w:tcW w:w="1629" w:type="dxa"/>
          </w:tcPr>
          <w:p>
            <w:pPr>
              <w:pStyle w:val="TableParagraph"/>
              <w:spacing w:before="19"/>
              <w:ind w:right="246"/>
              <w:jc w:val="right"/>
              <w:rPr>
                <w:b/>
                <w:sz w:val="18"/>
              </w:rPr>
            </w:pPr>
            <w:r>
              <w:rPr>
                <w:b/>
                <w:w w:val="95"/>
                <w:sz w:val="18"/>
              </w:rPr>
              <w:t>1,390,306</w:t>
            </w:r>
          </w:p>
        </w:tc>
        <w:tc>
          <w:tcPr>
            <w:tcW w:w="1382" w:type="dxa"/>
          </w:tcPr>
          <w:p>
            <w:pPr>
              <w:pStyle w:val="TableParagraph"/>
              <w:spacing w:before="19"/>
              <w:ind w:right="330"/>
              <w:jc w:val="right"/>
              <w:rPr>
                <w:sz w:val="18"/>
              </w:rPr>
            </w:pPr>
            <w:r>
              <w:rPr>
                <w:w w:val="95"/>
                <w:sz w:val="18"/>
              </w:rPr>
              <w:t>1,308,755</w:t>
            </w:r>
          </w:p>
        </w:tc>
        <w:tc>
          <w:tcPr>
            <w:tcW w:w="1382" w:type="dxa"/>
          </w:tcPr>
          <w:p>
            <w:pPr>
              <w:pStyle w:val="TableParagraph"/>
              <w:spacing w:before="19"/>
              <w:ind w:right="246"/>
              <w:jc w:val="right"/>
              <w:rPr>
                <w:b/>
                <w:sz w:val="18"/>
              </w:rPr>
            </w:pPr>
            <w:r>
              <w:rPr>
                <w:b/>
                <w:w w:val="95"/>
                <w:sz w:val="18"/>
              </w:rPr>
              <w:t>1,387,146</w:t>
            </w:r>
          </w:p>
        </w:tc>
        <w:tc>
          <w:tcPr>
            <w:tcW w:w="1135" w:type="dxa"/>
          </w:tcPr>
          <w:p>
            <w:pPr>
              <w:pStyle w:val="TableParagraph"/>
              <w:spacing w:before="19"/>
              <w:ind w:right="83"/>
              <w:jc w:val="right"/>
              <w:rPr>
                <w:sz w:val="18"/>
              </w:rPr>
            </w:pPr>
            <w:r>
              <w:rPr>
                <w:w w:val="95"/>
                <w:sz w:val="18"/>
              </w:rPr>
              <w:t>1,305,565</w:t>
            </w:r>
          </w:p>
        </w:tc>
      </w:tr>
      <w:tr>
        <w:trPr>
          <w:trHeight w:val="264" w:hRule="exact"/>
        </w:trPr>
        <w:tc>
          <w:tcPr>
            <w:tcW w:w="3145" w:type="dxa"/>
          </w:tcPr>
          <w:p>
            <w:pPr>
              <w:pStyle w:val="TableParagraph"/>
              <w:spacing w:before="18"/>
              <w:ind w:left="35"/>
              <w:rPr>
                <w:sz w:val="18"/>
              </w:rPr>
            </w:pPr>
            <w:r>
              <w:rPr>
                <w:sz w:val="18"/>
              </w:rPr>
              <w:t>Intangible assets</w:t>
            </w:r>
          </w:p>
        </w:tc>
        <w:tc>
          <w:tcPr>
            <w:tcW w:w="1232" w:type="dxa"/>
          </w:tcPr>
          <w:p>
            <w:pPr>
              <w:pStyle w:val="TableParagraph"/>
              <w:spacing w:before="19"/>
              <w:ind w:right="331"/>
              <w:jc w:val="right"/>
              <w:rPr>
                <w:sz w:val="18"/>
              </w:rPr>
            </w:pPr>
            <w:r>
              <w:rPr>
                <w:sz w:val="18"/>
              </w:rPr>
              <w:t>19</w:t>
            </w:r>
          </w:p>
        </w:tc>
        <w:tc>
          <w:tcPr>
            <w:tcW w:w="1629" w:type="dxa"/>
          </w:tcPr>
          <w:p>
            <w:pPr>
              <w:pStyle w:val="TableParagraph"/>
              <w:spacing w:before="19"/>
              <w:ind w:right="247"/>
              <w:jc w:val="right"/>
              <w:rPr>
                <w:b/>
                <w:sz w:val="18"/>
              </w:rPr>
            </w:pPr>
            <w:r>
              <w:rPr>
                <w:b/>
                <w:w w:val="95"/>
                <w:sz w:val="18"/>
              </w:rPr>
              <w:t>208</w:t>
            </w:r>
          </w:p>
        </w:tc>
        <w:tc>
          <w:tcPr>
            <w:tcW w:w="1382" w:type="dxa"/>
          </w:tcPr>
          <w:p>
            <w:pPr>
              <w:pStyle w:val="TableParagraph"/>
              <w:spacing w:before="19"/>
              <w:ind w:right="331"/>
              <w:jc w:val="right"/>
              <w:rPr>
                <w:sz w:val="18"/>
              </w:rPr>
            </w:pPr>
            <w:r>
              <w:rPr>
                <w:w w:val="95"/>
                <w:sz w:val="18"/>
              </w:rPr>
              <w:t>323</w:t>
            </w:r>
          </w:p>
        </w:tc>
        <w:tc>
          <w:tcPr>
            <w:tcW w:w="1382" w:type="dxa"/>
          </w:tcPr>
          <w:p>
            <w:pPr>
              <w:pStyle w:val="TableParagraph"/>
              <w:spacing w:before="19"/>
              <w:ind w:right="247"/>
              <w:jc w:val="right"/>
              <w:rPr>
                <w:b/>
                <w:sz w:val="18"/>
              </w:rPr>
            </w:pPr>
            <w:r>
              <w:rPr>
                <w:b/>
                <w:sz w:val="18"/>
              </w:rPr>
              <w:t>76</w:t>
            </w:r>
          </w:p>
        </w:tc>
        <w:tc>
          <w:tcPr>
            <w:tcW w:w="1135" w:type="dxa"/>
          </w:tcPr>
          <w:p>
            <w:pPr>
              <w:pStyle w:val="TableParagraph"/>
              <w:spacing w:before="19"/>
              <w:ind w:right="85"/>
              <w:jc w:val="right"/>
              <w:rPr>
                <w:sz w:val="18"/>
              </w:rPr>
            </w:pPr>
            <w:r>
              <w:rPr>
                <w:w w:val="95"/>
                <w:sz w:val="18"/>
              </w:rPr>
              <w:t>131</w:t>
            </w:r>
          </w:p>
        </w:tc>
      </w:tr>
      <w:tr>
        <w:trPr>
          <w:trHeight w:val="264" w:hRule="exact"/>
        </w:trPr>
        <w:tc>
          <w:tcPr>
            <w:tcW w:w="3145" w:type="dxa"/>
          </w:tcPr>
          <w:p>
            <w:pPr>
              <w:pStyle w:val="TableParagraph"/>
              <w:spacing w:before="18"/>
              <w:ind w:left="35"/>
              <w:rPr>
                <w:sz w:val="18"/>
              </w:rPr>
            </w:pPr>
            <w:r>
              <w:rPr>
                <w:sz w:val="18"/>
              </w:rPr>
              <w:t>Other financial assets</w:t>
            </w:r>
          </w:p>
        </w:tc>
        <w:tc>
          <w:tcPr>
            <w:tcW w:w="1232" w:type="dxa"/>
          </w:tcPr>
          <w:p>
            <w:pPr>
              <w:pStyle w:val="TableParagraph"/>
              <w:spacing w:before="19"/>
              <w:ind w:right="331"/>
              <w:jc w:val="right"/>
              <w:rPr>
                <w:sz w:val="18"/>
              </w:rPr>
            </w:pPr>
            <w:r>
              <w:rPr>
                <w:sz w:val="18"/>
              </w:rPr>
              <w:t>20</w:t>
            </w:r>
          </w:p>
        </w:tc>
        <w:tc>
          <w:tcPr>
            <w:tcW w:w="1629" w:type="dxa"/>
          </w:tcPr>
          <w:p>
            <w:pPr>
              <w:pStyle w:val="TableParagraph"/>
              <w:spacing w:before="19"/>
              <w:ind w:right="246"/>
              <w:jc w:val="right"/>
              <w:rPr>
                <w:b/>
                <w:sz w:val="18"/>
              </w:rPr>
            </w:pPr>
            <w:r>
              <w:rPr>
                <w:b/>
                <w:w w:val="95"/>
                <w:sz w:val="18"/>
              </w:rPr>
              <w:t>35,156</w:t>
            </w:r>
          </w:p>
        </w:tc>
        <w:tc>
          <w:tcPr>
            <w:tcW w:w="1382" w:type="dxa"/>
          </w:tcPr>
          <w:p>
            <w:pPr>
              <w:pStyle w:val="TableParagraph"/>
              <w:spacing w:before="19"/>
              <w:ind w:right="331"/>
              <w:jc w:val="right"/>
              <w:rPr>
                <w:sz w:val="18"/>
              </w:rPr>
            </w:pPr>
            <w:r>
              <w:rPr>
                <w:w w:val="95"/>
                <w:sz w:val="18"/>
              </w:rPr>
              <w:t>28,175</w:t>
            </w:r>
          </w:p>
        </w:tc>
        <w:tc>
          <w:tcPr>
            <w:tcW w:w="1382" w:type="dxa"/>
          </w:tcPr>
          <w:p>
            <w:pPr>
              <w:pStyle w:val="TableParagraph"/>
              <w:spacing w:before="19"/>
              <w:ind w:right="247"/>
              <w:jc w:val="right"/>
              <w:rPr>
                <w:b/>
                <w:sz w:val="18"/>
              </w:rPr>
            </w:pPr>
            <w:r>
              <w:rPr>
                <w:b/>
                <w:w w:val="95"/>
                <w:sz w:val="18"/>
              </w:rPr>
              <w:t>9,577</w:t>
            </w:r>
          </w:p>
        </w:tc>
        <w:tc>
          <w:tcPr>
            <w:tcW w:w="1135" w:type="dxa"/>
          </w:tcPr>
          <w:p>
            <w:pPr>
              <w:pStyle w:val="TableParagraph"/>
              <w:spacing w:before="19"/>
              <w:ind w:right="84"/>
              <w:jc w:val="right"/>
              <w:rPr>
                <w:sz w:val="18"/>
              </w:rPr>
            </w:pPr>
            <w:r>
              <w:rPr>
                <w:w w:val="95"/>
                <w:sz w:val="18"/>
              </w:rPr>
              <w:t>28,175</w:t>
            </w:r>
          </w:p>
        </w:tc>
      </w:tr>
      <w:tr>
        <w:trPr>
          <w:trHeight w:val="263" w:hRule="exact"/>
        </w:trPr>
        <w:tc>
          <w:tcPr>
            <w:tcW w:w="3145" w:type="dxa"/>
          </w:tcPr>
          <w:p>
            <w:pPr>
              <w:pStyle w:val="TableParagraph"/>
              <w:spacing w:before="18"/>
              <w:ind w:left="35"/>
              <w:rPr>
                <w:sz w:val="18"/>
              </w:rPr>
            </w:pPr>
            <w:r>
              <w:rPr>
                <w:sz w:val="18"/>
              </w:rPr>
              <w:t>Other non-financial assets</w:t>
            </w:r>
          </w:p>
        </w:tc>
        <w:tc>
          <w:tcPr>
            <w:tcW w:w="1232" w:type="dxa"/>
          </w:tcPr>
          <w:p>
            <w:pPr>
              <w:pStyle w:val="TableParagraph"/>
              <w:spacing w:before="19"/>
              <w:ind w:right="331"/>
              <w:jc w:val="right"/>
              <w:rPr>
                <w:sz w:val="18"/>
              </w:rPr>
            </w:pPr>
            <w:r>
              <w:rPr>
                <w:sz w:val="18"/>
              </w:rPr>
              <w:t>21</w:t>
            </w:r>
          </w:p>
        </w:tc>
        <w:tc>
          <w:tcPr>
            <w:tcW w:w="1629" w:type="dxa"/>
            <w:tcBorders>
              <w:bottom w:val="single" w:sz="0" w:space="0" w:color="000000"/>
            </w:tcBorders>
          </w:tcPr>
          <w:p>
            <w:pPr>
              <w:pStyle w:val="TableParagraph"/>
              <w:spacing w:before="19"/>
              <w:ind w:right="247"/>
              <w:jc w:val="right"/>
              <w:rPr>
                <w:b/>
                <w:sz w:val="18"/>
              </w:rPr>
            </w:pPr>
            <w:r>
              <w:rPr>
                <w:b/>
                <w:w w:val="95"/>
                <w:sz w:val="18"/>
              </w:rPr>
              <w:t>358</w:t>
            </w:r>
          </w:p>
        </w:tc>
        <w:tc>
          <w:tcPr>
            <w:tcW w:w="1382" w:type="dxa"/>
            <w:tcBorders>
              <w:bottom w:val="single" w:sz="0" w:space="0" w:color="000000"/>
            </w:tcBorders>
          </w:tcPr>
          <w:p>
            <w:pPr>
              <w:pStyle w:val="TableParagraph"/>
              <w:spacing w:before="19"/>
              <w:ind w:right="332"/>
              <w:jc w:val="right"/>
              <w:rPr>
                <w:sz w:val="18"/>
              </w:rPr>
            </w:pPr>
            <w:r>
              <w:rPr>
                <w:w w:val="95"/>
                <w:sz w:val="18"/>
              </w:rPr>
              <w:t>455</w:t>
            </w:r>
          </w:p>
        </w:tc>
        <w:tc>
          <w:tcPr>
            <w:tcW w:w="1382" w:type="dxa"/>
            <w:tcBorders>
              <w:bottom w:val="single" w:sz="0" w:space="0" w:color="000000"/>
            </w:tcBorders>
          </w:tcPr>
          <w:p>
            <w:pPr>
              <w:pStyle w:val="TableParagraph"/>
              <w:spacing w:before="19"/>
              <w:ind w:right="247"/>
              <w:jc w:val="right"/>
              <w:rPr>
                <w:b/>
                <w:sz w:val="18"/>
              </w:rPr>
            </w:pPr>
            <w:r>
              <w:rPr>
                <w:b/>
                <w:w w:val="95"/>
                <w:sz w:val="18"/>
              </w:rPr>
              <w:t>358</w:t>
            </w:r>
          </w:p>
        </w:tc>
        <w:tc>
          <w:tcPr>
            <w:tcW w:w="1135" w:type="dxa"/>
            <w:tcBorders>
              <w:bottom w:val="single" w:sz="0" w:space="0" w:color="000000"/>
            </w:tcBorders>
          </w:tcPr>
          <w:p>
            <w:pPr>
              <w:pStyle w:val="TableParagraph"/>
              <w:spacing w:before="19"/>
              <w:ind w:right="85"/>
              <w:jc w:val="right"/>
              <w:rPr>
                <w:sz w:val="18"/>
              </w:rPr>
            </w:pPr>
            <w:r>
              <w:rPr>
                <w:w w:val="95"/>
                <w:sz w:val="18"/>
              </w:rPr>
              <w:t>363</w:t>
            </w:r>
          </w:p>
        </w:tc>
      </w:tr>
      <w:tr>
        <w:trPr>
          <w:trHeight w:val="338" w:hRule="exact"/>
        </w:trPr>
        <w:tc>
          <w:tcPr>
            <w:tcW w:w="3145" w:type="dxa"/>
          </w:tcPr>
          <w:p>
            <w:pPr>
              <w:pStyle w:val="TableParagraph"/>
              <w:spacing w:before="123"/>
              <w:ind w:left="35"/>
              <w:rPr>
                <w:b/>
                <w:sz w:val="18"/>
              </w:rPr>
            </w:pPr>
            <w:r>
              <w:rPr>
                <w:b/>
                <w:sz w:val="18"/>
              </w:rPr>
              <w:t>Total non-current assets</w:t>
            </w:r>
          </w:p>
        </w:tc>
        <w:tc>
          <w:tcPr>
            <w:tcW w:w="1232" w:type="dxa"/>
          </w:tcPr>
          <w:p>
            <w:pPr/>
          </w:p>
        </w:tc>
        <w:tc>
          <w:tcPr>
            <w:tcW w:w="1629" w:type="dxa"/>
            <w:tcBorders>
              <w:top w:val="single" w:sz="0" w:space="0" w:color="000000"/>
              <w:bottom w:val="single" w:sz="0" w:space="0" w:color="000000"/>
            </w:tcBorders>
          </w:tcPr>
          <w:p>
            <w:pPr>
              <w:pStyle w:val="TableParagraph"/>
              <w:spacing w:before="122"/>
              <w:ind w:right="246"/>
              <w:jc w:val="right"/>
              <w:rPr>
                <w:b/>
                <w:sz w:val="18"/>
              </w:rPr>
            </w:pPr>
            <w:r>
              <w:rPr>
                <w:b/>
                <w:w w:val="95"/>
                <w:sz w:val="18"/>
              </w:rPr>
              <w:t>1,682,215</w:t>
            </w:r>
          </w:p>
        </w:tc>
        <w:tc>
          <w:tcPr>
            <w:tcW w:w="1382" w:type="dxa"/>
            <w:tcBorders>
              <w:top w:val="single" w:sz="0" w:space="0" w:color="000000"/>
              <w:bottom w:val="single" w:sz="0" w:space="0" w:color="000000"/>
            </w:tcBorders>
          </w:tcPr>
          <w:p>
            <w:pPr>
              <w:pStyle w:val="TableParagraph"/>
              <w:spacing w:before="122"/>
              <w:ind w:right="332"/>
              <w:jc w:val="right"/>
              <w:rPr>
                <w:sz w:val="18"/>
              </w:rPr>
            </w:pPr>
            <w:r>
              <w:rPr>
                <w:w w:val="95"/>
                <w:sz w:val="18"/>
              </w:rPr>
              <w:t>1,569,518</w:t>
            </w:r>
          </w:p>
        </w:tc>
        <w:tc>
          <w:tcPr>
            <w:tcW w:w="1382" w:type="dxa"/>
            <w:tcBorders>
              <w:top w:val="single" w:sz="0" w:space="0" w:color="000000"/>
              <w:bottom w:val="single" w:sz="0" w:space="0" w:color="000000"/>
            </w:tcBorders>
          </w:tcPr>
          <w:p>
            <w:pPr>
              <w:pStyle w:val="TableParagraph"/>
              <w:spacing w:before="122"/>
              <w:ind w:right="246"/>
              <w:jc w:val="right"/>
              <w:rPr>
                <w:b/>
                <w:sz w:val="18"/>
              </w:rPr>
            </w:pPr>
            <w:r>
              <w:rPr>
                <w:b/>
                <w:w w:val="95"/>
                <w:sz w:val="18"/>
              </w:rPr>
              <w:t>1,653,422</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1,566,044</w:t>
            </w:r>
          </w:p>
        </w:tc>
      </w:tr>
      <w:tr>
        <w:trPr>
          <w:trHeight w:val="338" w:hRule="exact"/>
        </w:trPr>
        <w:tc>
          <w:tcPr>
            <w:tcW w:w="3145" w:type="dxa"/>
          </w:tcPr>
          <w:p>
            <w:pPr>
              <w:pStyle w:val="TableParagraph"/>
              <w:spacing w:before="123"/>
              <w:ind w:left="35"/>
              <w:rPr>
                <w:b/>
                <w:sz w:val="18"/>
              </w:rPr>
            </w:pPr>
            <w:r>
              <w:rPr>
                <w:b/>
                <w:sz w:val="18"/>
              </w:rPr>
              <w:t>Total assets</w:t>
            </w:r>
          </w:p>
        </w:tc>
        <w:tc>
          <w:tcPr>
            <w:tcW w:w="1232" w:type="dxa"/>
          </w:tcPr>
          <w:p>
            <w:pPr/>
          </w:p>
        </w:tc>
        <w:tc>
          <w:tcPr>
            <w:tcW w:w="1629" w:type="dxa"/>
            <w:tcBorders>
              <w:top w:val="single" w:sz="0" w:space="0" w:color="000000"/>
              <w:bottom w:val="single" w:sz="0" w:space="0" w:color="000000"/>
            </w:tcBorders>
          </w:tcPr>
          <w:p>
            <w:pPr>
              <w:pStyle w:val="TableParagraph"/>
              <w:spacing w:before="122"/>
              <w:ind w:right="246"/>
              <w:jc w:val="right"/>
              <w:rPr>
                <w:b/>
                <w:sz w:val="18"/>
              </w:rPr>
            </w:pPr>
            <w:r>
              <w:rPr>
                <w:b/>
                <w:w w:val="95"/>
                <w:sz w:val="18"/>
              </w:rPr>
              <w:t>1,789,577</w:t>
            </w:r>
          </w:p>
        </w:tc>
        <w:tc>
          <w:tcPr>
            <w:tcW w:w="1382" w:type="dxa"/>
            <w:tcBorders>
              <w:top w:val="single" w:sz="0" w:space="0" w:color="000000"/>
              <w:bottom w:val="single" w:sz="0" w:space="0" w:color="000000"/>
            </w:tcBorders>
          </w:tcPr>
          <w:p>
            <w:pPr>
              <w:pStyle w:val="TableParagraph"/>
              <w:spacing w:before="122"/>
              <w:ind w:right="332"/>
              <w:jc w:val="right"/>
              <w:rPr>
                <w:sz w:val="18"/>
              </w:rPr>
            </w:pPr>
            <w:r>
              <w:rPr>
                <w:w w:val="95"/>
                <w:sz w:val="18"/>
              </w:rPr>
              <w:t>1,647,969</w:t>
            </w:r>
          </w:p>
        </w:tc>
        <w:tc>
          <w:tcPr>
            <w:tcW w:w="1382" w:type="dxa"/>
            <w:tcBorders>
              <w:top w:val="single" w:sz="0" w:space="0" w:color="000000"/>
              <w:bottom w:val="single" w:sz="0" w:space="0" w:color="000000"/>
            </w:tcBorders>
          </w:tcPr>
          <w:p>
            <w:pPr>
              <w:pStyle w:val="TableParagraph"/>
              <w:spacing w:before="122"/>
              <w:ind w:right="246"/>
              <w:jc w:val="right"/>
              <w:rPr>
                <w:b/>
                <w:sz w:val="18"/>
              </w:rPr>
            </w:pPr>
            <w:r>
              <w:rPr>
                <w:b/>
                <w:w w:val="95"/>
                <w:sz w:val="18"/>
              </w:rPr>
              <w:t>1,743,998</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1,605,144</w:t>
            </w:r>
          </w:p>
        </w:tc>
      </w:tr>
      <w:tr>
        <w:trPr>
          <w:trHeight w:val="396" w:hRule="exact"/>
        </w:trPr>
        <w:tc>
          <w:tcPr>
            <w:tcW w:w="3145" w:type="dxa"/>
          </w:tcPr>
          <w:p>
            <w:pPr>
              <w:pStyle w:val="TableParagraph"/>
              <w:spacing w:before="123"/>
              <w:ind w:left="35"/>
              <w:rPr>
                <w:b/>
                <w:sz w:val="18"/>
              </w:rPr>
            </w:pPr>
            <w:r>
              <w:rPr>
                <w:b/>
                <w:sz w:val="18"/>
              </w:rPr>
              <w:t>LIABILITIES</w:t>
            </w:r>
          </w:p>
        </w:tc>
        <w:tc>
          <w:tcPr>
            <w:tcW w:w="1232" w:type="dxa"/>
          </w:tcPr>
          <w:p>
            <w:pPr/>
          </w:p>
        </w:tc>
        <w:tc>
          <w:tcPr>
            <w:tcW w:w="1629"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135" w:type="dxa"/>
            <w:tcBorders>
              <w:top w:val="single" w:sz="0" w:space="0" w:color="000000"/>
            </w:tcBorders>
          </w:tcPr>
          <w:p>
            <w:pPr/>
          </w:p>
        </w:tc>
      </w:tr>
      <w:tr>
        <w:trPr>
          <w:trHeight w:val="526" w:hRule="exact"/>
        </w:trPr>
        <w:tc>
          <w:tcPr>
            <w:tcW w:w="3145" w:type="dxa"/>
          </w:tcPr>
          <w:p>
            <w:pPr>
              <w:pStyle w:val="TableParagraph"/>
              <w:spacing w:before="46"/>
              <w:ind w:left="35"/>
              <w:rPr>
                <w:b/>
                <w:sz w:val="18"/>
              </w:rPr>
            </w:pPr>
            <w:r>
              <w:rPr>
                <w:b/>
                <w:sz w:val="18"/>
              </w:rPr>
              <w:t>Current liabilities</w:t>
            </w:r>
          </w:p>
          <w:p>
            <w:pPr>
              <w:pStyle w:val="TableParagraph"/>
              <w:spacing w:before="27"/>
              <w:ind w:left="35"/>
              <w:rPr>
                <w:sz w:val="18"/>
              </w:rPr>
            </w:pPr>
            <w:r>
              <w:rPr>
                <w:sz w:val="18"/>
              </w:rPr>
              <w:t>Trade and other payables</w:t>
            </w:r>
          </w:p>
        </w:tc>
        <w:tc>
          <w:tcPr>
            <w:tcW w:w="1232" w:type="dxa"/>
          </w:tcPr>
          <w:p>
            <w:pPr>
              <w:pStyle w:val="TableParagraph"/>
              <w:spacing w:before="5"/>
              <w:rPr>
                <w:b/>
                <w:sz w:val="24"/>
              </w:rPr>
            </w:pPr>
          </w:p>
          <w:p>
            <w:pPr>
              <w:pStyle w:val="TableParagraph"/>
              <w:spacing w:before="1"/>
              <w:ind w:right="331"/>
              <w:jc w:val="right"/>
              <w:rPr>
                <w:sz w:val="18"/>
              </w:rPr>
            </w:pPr>
            <w:r>
              <w:rPr>
                <w:sz w:val="18"/>
              </w:rPr>
              <w:t>22</w:t>
            </w:r>
          </w:p>
        </w:tc>
        <w:tc>
          <w:tcPr>
            <w:tcW w:w="1629" w:type="dxa"/>
          </w:tcPr>
          <w:p>
            <w:pPr>
              <w:pStyle w:val="TableParagraph"/>
              <w:spacing w:before="5"/>
              <w:rPr>
                <w:b/>
                <w:sz w:val="24"/>
              </w:rPr>
            </w:pPr>
          </w:p>
          <w:p>
            <w:pPr>
              <w:pStyle w:val="TableParagraph"/>
              <w:spacing w:before="1"/>
              <w:ind w:right="247"/>
              <w:jc w:val="right"/>
              <w:rPr>
                <w:b/>
                <w:sz w:val="18"/>
              </w:rPr>
            </w:pPr>
            <w:r>
              <w:rPr>
                <w:b/>
                <w:w w:val="95"/>
                <w:sz w:val="18"/>
              </w:rPr>
              <w:t>50,317</w:t>
            </w:r>
          </w:p>
        </w:tc>
        <w:tc>
          <w:tcPr>
            <w:tcW w:w="1382" w:type="dxa"/>
          </w:tcPr>
          <w:p>
            <w:pPr>
              <w:pStyle w:val="TableParagraph"/>
              <w:spacing w:before="5"/>
              <w:rPr>
                <w:b/>
                <w:sz w:val="24"/>
              </w:rPr>
            </w:pPr>
          </w:p>
          <w:p>
            <w:pPr>
              <w:pStyle w:val="TableParagraph"/>
              <w:spacing w:before="1"/>
              <w:ind w:right="331"/>
              <w:jc w:val="right"/>
              <w:rPr>
                <w:sz w:val="18"/>
              </w:rPr>
            </w:pPr>
            <w:r>
              <w:rPr>
                <w:w w:val="95"/>
                <w:sz w:val="18"/>
              </w:rPr>
              <w:t>42,255</w:t>
            </w:r>
          </w:p>
        </w:tc>
        <w:tc>
          <w:tcPr>
            <w:tcW w:w="1382" w:type="dxa"/>
          </w:tcPr>
          <w:p>
            <w:pPr>
              <w:pStyle w:val="TableParagraph"/>
              <w:spacing w:before="5"/>
              <w:rPr>
                <w:b/>
                <w:sz w:val="24"/>
              </w:rPr>
            </w:pPr>
          </w:p>
          <w:p>
            <w:pPr>
              <w:pStyle w:val="TableParagraph"/>
              <w:spacing w:before="1"/>
              <w:ind w:right="247"/>
              <w:jc w:val="right"/>
              <w:rPr>
                <w:b/>
                <w:sz w:val="18"/>
              </w:rPr>
            </w:pPr>
            <w:r>
              <w:rPr>
                <w:b/>
                <w:w w:val="95"/>
                <w:sz w:val="18"/>
              </w:rPr>
              <w:t>46,976</w:t>
            </w:r>
          </w:p>
        </w:tc>
        <w:tc>
          <w:tcPr>
            <w:tcW w:w="1135" w:type="dxa"/>
          </w:tcPr>
          <w:p>
            <w:pPr>
              <w:pStyle w:val="TableParagraph"/>
              <w:spacing w:before="5"/>
              <w:rPr>
                <w:b/>
                <w:sz w:val="24"/>
              </w:rPr>
            </w:pPr>
          </w:p>
          <w:p>
            <w:pPr>
              <w:pStyle w:val="TableParagraph"/>
              <w:spacing w:before="1"/>
              <w:ind w:right="84"/>
              <w:jc w:val="right"/>
              <w:rPr>
                <w:sz w:val="18"/>
              </w:rPr>
            </w:pPr>
            <w:r>
              <w:rPr>
                <w:w w:val="95"/>
                <w:sz w:val="18"/>
              </w:rPr>
              <w:t>40,396</w:t>
            </w:r>
          </w:p>
        </w:tc>
      </w:tr>
      <w:tr>
        <w:trPr>
          <w:trHeight w:val="264" w:hRule="exact"/>
        </w:trPr>
        <w:tc>
          <w:tcPr>
            <w:tcW w:w="3145" w:type="dxa"/>
          </w:tcPr>
          <w:p>
            <w:pPr>
              <w:pStyle w:val="TableParagraph"/>
              <w:spacing w:before="18"/>
              <w:ind w:left="35"/>
              <w:rPr>
                <w:sz w:val="18"/>
              </w:rPr>
            </w:pPr>
            <w:r>
              <w:rPr>
                <w:sz w:val="18"/>
              </w:rPr>
              <w:t>Borrowings</w:t>
            </w:r>
          </w:p>
        </w:tc>
        <w:tc>
          <w:tcPr>
            <w:tcW w:w="1232" w:type="dxa"/>
          </w:tcPr>
          <w:p>
            <w:pPr>
              <w:pStyle w:val="TableParagraph"/>
              <w:spacing w:before="19"/>
              <w:ind w:right="331"/>
              <w:jc w:val="right"/>
              <w:rPr>
                <w:sz w:val="18"/>
              </w:rPr>
            </w:pPr>
            <w:r>
              <w:rPr>
                <w:sz w:val="18"/>
              </w:rPr>
              <w:t>23</w:t>
            </w:r>
          </w:p>
        </w:tc>
        <w:tc>
          <w:tcPr>
            <w:tcW w:w="1629" w:type="dxa"/>
          </w:tcPr>
          <w:p>
            <w:pPr>
              <w:pStyle w:val="TableParagraph"/>
              <w:spacing w:before="19"/>
              <w:ind w:right="247"/>
              <w:jc w:val="right"/>
              <w:rPr>
                <w:b/>
                <w:sz w:val="18"/>
              </w:rPr>
            </w:pPr>
            <w:r>
              <w:rPr>
                <w:b/>
                <w:w w:val="95"/>
                <w:sz w:val="18"/>
              </w:rPr>
              <w:t>6,000</w:t>
            </w:r>
          </w:p>
        </w:tc>
        <w:tc>
          <w:tcPr>
            <w:tcW w:w="1382" w:type="dxa"/>
          </w:tcPr>
          <w:p>
            <w:pPr>
              <w:pStyle w:val="TableParagraph"/>
              <w:spacing w:before="19"/>
              <w:ind w:right="332"/>
              <w:jc w:val="right"/>
              <w:rPr>
                <w:sz w:val="18"/>
              </w:rPr>
            </w:pPr>
            <w:r>
              <w:rPr>
                <w:w w:val="95"/>
                <w:sz w:val="18"/>
              </w:rPr>
              <w:t>7,000</w:t>
            </w:r>
          </w:p>
        </w:tc>
        <w:tc>
          <w:tcPr>
            <w:tcW w:w="1382" w:type="dxa"/>
          </w:tcPr>
          <w:p>
            <w:pPr>
              <w:pStyle w:val="TableParagraph"/>
              <w:spacing w:before="19"/>
              <w:ind w:right="247"/>
              <w:jc w:val="right"/>
              <w:rPr>
                <w:b/>
                <w:sz w:val="18"/>
              </w:rPr>
            </w:pPr>
            <w:r>
              <w:rPr>
                <w:b/>
                <w:w w:val="95"/>
                <w:sz w:val="18"/>
              </w:rPr>
              <w:t>12,164</w:t>
            </w:r>
          </w:p>
        </w:tc>
        <w:tc>
          <w:tcPr>
            <w:tcW w:w="1135" w:type="dxa"/>
          </w:tcPr>
          <w:p>
            <w:pPr>
              <w:pStyle w:val="TableParagraph"/>
              <w:spacing w:before="19"/>
              <w:ind w:right="85"/>
              <w:jc w:val="right"/>
              <w:rPr>
                <w:sz w:val="18"/>
              </w:rPr>
            </w:pPr>
            <w:r>
              <w:rPr>
                <w:w w:val="95"/>
                <w:sz w:val="18"/>
              </w:rPr>
              <w:t>7,000</w:t>
            </w:r>
          </w:p>
        </w:tc>
      </w:tr>
      <w:tr>
        <w:trPr>
          <w:trHeight w:val="264" w:hRule="exact"/>
        </w:trPr>
        <w:tc>
          <w:tcPr>
            <w:tcW w:w="3145" w:type="dxa"/>
          </w:tcPr>
          <w:p>
            <w:pPr>
              <w:pStyle w:val="TableParagraph"/>
              <w:spacing w:before="18"/>
              <w:ind w:left="35"/>
              <w:rPr>
                <w:sz w:val="18"/>
              </w:rPr>
            </w:pPr>
            <w:r>
              <w:rPr>
                <w:sz w:val="18"/>
              </w:rPr>
              <w:t>Provisions</w:t>
            </w:r>
          </w:p>
        </w:tc>
        <w:tc>
          <w:tcPr>
            <w:tcW w:w="1232" w:type="dxa"/>
          </w:tcPr>
          <w:p>
            <w:pPr>
              <w:pStyle w:val="TableParagraph"/>
              <w:spacing w:before="19"/>
              <w:ind w:right="331"/>
              <w:jc w:val="right"/>
              <w:rPr>
                <w:sz w:val="18"/>
              </w:rPr>
            </w:pPr>
            <w:r>
              <w:rPr>
                <w:sz w:val="18"/>
              </w:rPr>
              <w:t>24</w:t>
            </w:r>
          </w:p>
        </w:tc>
        <w:tc>
          <w:tcPr>
            <w:tcW w:w="1629" w:type="dxa"/>
          </w:tcPr>
          <w:p>
            <w:pPr>
              <w:pStyle w:val="TableParagraph"/>
              <w:spacing w:before="19"/>
              <w:ind w:right="247"/>
              <w:jc w:val="right"/>
              <w:rPr>
                <w:b/>
                <w:sz w:val="18"/>
              </w:rPr>
            </w:pPr>
            <w:r>
              <w:rPr>
                <w:b/>
                <w:w w:val="95"/>
                <w:sz w:val="18"/>
              </w:rPr>
              <w:t>61,764</w:t>
            </w:r>
          </w:p>
        </w:tc>
        <w:tc>
          <w:tcPr>
            <w:tcW w:w="1382" w:type="dxa"/>
          </w:tcPr>
          <w:p>
            <w:pPr>
              <w:pStyle w:val="TableParagraph"/>
              <w:spacing w:before="19"/>
              <w:ind w:right="331"/>
              <w:jc w:val="right"/>
              <w:rPr>
                <w:sz w:val="18"/>
              </w:rPr>
            </w:pPr>
            <w:r>
              <w:rPr>
                <w:w w:val="95"/>
                <w:sz w:val="18"/>
              </w:rPr>
              <w:t>61,286</w:t>
            </w:r>
          </w:p>
        </w:tc>
        <w:tc>
          <w:tcPr>
            <w:tcW w:w="1382" w:type="dxa"/>
          </w:tcPr>
          <w:p>
            <w:pPr>
              <w:pStyle w:val="TableParagraph"/>
              <w:spacing w:before="19"/>
              <w:ind w:right="247"/>
              <w:jc w:val="right"/>
              <w:rPr>
                <w:b/>
                <w:sz w:val="18"/>
              </w:rPr>
            </w:pPr>
            <w:r>
              <w:rPr>
                <w:b/>
                <w:w w:val="95"/>
                <w:sz w:val="18"/>
              </w:rPr>
              <w:t>59,616</w:t>
            </w:r>
          </w:p>
        </w:tc>
        <w:tc>
          <w:tcPr>
            <w:tcW w:w="1135" w:type="dxa"/>
          </w:tcPr>
          <w:p>
            <w:pPr>
              <w:pStyle w:val="TableParagraph"/>
              <w:spacing w:before="19"/>
              <w:ind w:right="84"/>
              <w:jc w:val="right"/>
              <w:rPr>
                <w:sz w:val="18"/>
              </w:rPr>
            </w:pPr>
            <w:r>
              <w:rPr>
                <w:w w:val="95"/>
                <w:sz w:val="18"/>
              </w:rPr>
              <w:t>59,012</w:t>
            </w:r>
          </w:p>
        </w:tc>
      </w:tr>
      <w:tr>
        <w:trPr>
          <w:trHeight w:val="263" w:hRule="exact"/>
        </w:trPr>
        <w:tc>
          <w:tcPr>
            <w:tcW w:w="3145" w:type="dxa"/>
          </w:tcPr>
          <w:p>
            <w:pPr>
              <w:pStyle w:val="TableParagraph"/>
              <w:spacing w:before="18"/>
              <w:ind w:left="35"/>
              <w:rPr>
                <w:sz w:val="18"/>
              </w:rPr>
            </w:pPr>
            <w:r>
              <w:rPr>
                <w:sz w:val="18"/>
              </w:rPr>
              <w:t>Other liabilities</w:t>
            </w:r>
          </w:p>
        </w:tc>
        <w:tc>
          <w:tcPr>
            <w:tcW w:w="1232" w:type="dxa"/>
          </w:tcPr>
          <w:p>
            <w:pPr>
              <w:pStyle w:val="TableParagraph"/>
              <w:spacing w:before="19"/>
              <w:ind w:right="331"/>
              <w:jc w:val="right"/>
              <w:rPr>
                <w:sz w:val="18"/>
              </w:rPr>
            </w:pPr>
            <w:r>
              <w:rPr>
                <w:sz w:val="18"/>
              </w:rPr>
              <w:t>25</w:t>
            </w:r>
          </w:p>
        </w:tc>
        <w:tc>
          <w:tcPr>
            <w:tcW w:w="1629" w:type="dxa"/>
            <w:tcBorders>
              <w:bottom w:val="single" w:sz="0" w:space="0" w:color="000000"/>
            </w:tcBorders>
          </w:tcPr>
          <w:p>
            <w:pPr>
              <w:pStyle w:val="TableParagraph"/>
              <w:spacing w:before="19"/>
              <w:ind w:right="247"/>
              <w:jc w:val="right"/>
              <w:rPr>
                <w:b/>
                <w:sz w:val="18"/>
              </w:rPr>
            </w:pPr>
            <w:r>
              <w:rPr>
                <w:b/>
                <w:w w:val="95"/>
                <w:sz w:val="18"/>
              </w:rPr>
              <w:t>27,052</w:t>
            </w:r>
          </w:p>
        </w:tc>
        <w:tc>
          <w:tcPr>
            <w:tcW w:w="1382" w:type="dxa"/>
            <w:tcBorders>
              <w:bottom w:val="single" w:sz="0" w:space="0" w:color="000000"/>
            </w:tcBorders>
          </w:tcPr>
          <w:p>
            <w:pPr>
              <w:pStyle w:val="TableParagraph"/>
              <w:spacing w:before="19"/>
              <w:ind w:right="331"/>
              <w:jc w:val="right"/>
              <w:rPr>
                <w:sz w:val="18"/>
              </w:rPr>
            </w:pPr>
            <w:r>
              <w:rPr>
                <w:w w:val="95"/>
                <w:sz w:val="18"/>
              </w:rPr>
              <w:t>23,302</w:t>
            </w:r>
          </w:p>
        </w:tc>
        <w:tc>
          <w:tcPr>
            <w:tcW w:w="1382" w:type="dxa"/>
            <w:tcBorders>
              <w:bottom w:val="single" w:sz="0" w:space="0" w:color="000000"/>
            </w:tcBorders>
          </w:tcPr>
          <w:p>
            <w:pPr>
              <w:pStyle w:val="TableParagraph"/>
              <w:spacing w:before="19"/>
              <w:ind w:right="247"/>
              <w:jc w:val="right"/>
              <w:rPr>
                <w:b/>
                <w:sz w:val="18"/>
              </w:rPr>
            </w:pPr>
            <w:r>
              <w:rPr>
                <w:b/>
                <w:w w:val="95"/>
                <w:sz w:val="18"/>
              </w:rPr>
              <w:t>25,586</w:t>
            </w:r>
          </w:p>
        </w:tc>
        <w:tc>
          <w:tcPr>
            <w:tcW w:w="1135" w:type="dxa"/>
            <w:tcBorders>
              <w:bottom w:val="single" w:sz="0" w:space="0" w:color="000000"/>
            </w:tcBorders>
          </w:tcPr>
          <w:p>
            <w:pPr>
              <w:pStyle w:val="TableParagraph"/>
              <w:spacing w:before="19"/>
              <w:ind w:right="84"/>
              <w:jc w:val="right"/>
              <w:rPr>
                <w:sz w:val="18"/>
              </w:rPr>
            </w:pPr>
            <w:r>
              <w:rPr>
                <w:w w:val="95"/>
                <w:sz w:val="18"/>
              </w:rPr>
              <w:t>22,076</w:t>
            </w:r>
          </w:p>
        </w:tc>
      </w:tr>
      <w:tr>
        <w:trPr>
          <w:trHeight w:val="338" w:hRule="exact"/>
        </w:trPr>
        <w:tc>
          <w:tcPr>
            <w:tcW w:w="3145" w:type="dxa"/>
          </w:tcPr>
          <w:p>
            <w:pPr>
              <w:pStyle w:val="TableParagraph"/>
              <w:spacing w:before="123"/>
              <w:ind w:left="35"/>
              <w:rPr>
                <w:b/>
                <w:sz w:val="18"/>
              </w:rPr>
            </w:pPr>
            <w:r>
              <w:rPr>
                <w:b/>
                <w:sz w:val="18"/>
              </w:rPr>
              <w:t>Total current liabilities</w:t>
            </w:r>
          </w:p>
        </w:tc>
        <w:tc>
          <w:tcPr>
            <w:tcW w:w="1232" w:type="dxa"/>
          </w:tcPr>
          <w:p>
            <w:pPr/>
          </w:p>
        </w:tc>
        <w:tc>
          <w:tcPr>
            <w:tcW w:w="1629" w:type="dxa"/>
            <w:tcBorders>
              <w:top w:val="single" w:sz="0" w:space="0" w:color="000000"/>
              <w:bottom w:val="single" w:sz="0" w:space="0" w:color="000000"/>
            </w:tcBorders>
          </w:tcPr>
          <w:p>
            <w:pPr>
              <w:pStyle w:val="TableParagraph"/>
              <w:spacing w:before="122"/>
              <w:ind w:right="246"/>
              <w:jc w:val="right"/>
              <w:rPr>
                <w:b/>
                <w:sz w:val="18"/>
              </w:rPr>
            </w:pPr>
            <w:r>
              <w:rPr>
                <w:b/>
                <w:w w:val="95"/>
                <w:sz w:val="18"/>
              </w:rPr>
              <w:t>145,133</w:t>
            </w:r>
          </w:p>
        </w:tc>
        <w:tc>
          <w:tcPr>
            <w:tcW w:w="1382" w:type="dxa"/>
            <w:tcBorders>
              <w:top w:val="single" w:sz="0" w:space="0" w:color="000000"/>
              <w:bottom w:val="single" w:sz="0" w:space="0" w:color="000000"/>
            </w:tcBorders>
          </w:tcPr>
          <w:p>
            <w:pPr>
              <w:pStyle w:val="TableParagraph"/>
              <w:spacing w:before="122"/>
              <w:ind w:right="331"/>
              <w:jc w:val="right"/>
              <w:rPr>
                <w:sz w:val="18"/>
              </w:rPr>
            </w:pPr>
            <w:r>
              <w:rPr>
                <w:w w:val="95"/>
                <w:sz w:val="18"/>
              </w:rPr>
              <w:t>133,843</w:t>
            </w:r>
          </w:p>
        </w:tc>
        <w:tc>
          <w:tcPr>
            <w:tcW w:w="1382" w:type="dxa"/>
            <w:tcBorders>
              <w:top w:val="single" w:sz="0" w:space="0" w:color="000000"/>
              <w:bottom w:val="single" w:sz="0" w:space="0" w:color="000000"/>
            </w:tcBorders>
          </w:tcPr>
          <w:p>
            <w:pPr>
              <w:pStyle w:val="TableParagraph"/>
              <w:spacing w:before="122"/>
              <w:ind w:right="246"/>
              <w:jc w:val="right"/>
              <w:rPr>
                <w:b/>
                <w:sz w:val="18"/>
              </w:rPr>
            </w:pPr>
            <w:r>
              <w:rPr>
                <w:b/>
                <w:w w:val="95"/>
                <w:sz w:val="18"/>
              </w:rPr>
              <w:t>144,342</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128,484</w:t>
            </w:r>
          </w:p>
        </w:tc>
      </w:tr>
      <w:tr>
        <w:trPr>
          <w:trHeight w:val="603" w:hRule="exact"/>
        </w:trPr>
        <w:tc>
          <w:tcPr>
            <w:tcW w:w="3145" w:type="dxa"/>
          </w:tcPr>
          <w:p>
            <w:pPr>
              <w:pStyle w:val="TableParagraph"/>
              <w:spacing w:before="123"/>
              <w:ind w:left="35"/>
              <w:rPr>
                <w:b/>
                <w:sz w:val="18"/>
              </w:rPr>
            </w:pPr>
            <w:r>
              <w:rPr>
                <w:b/>
                <w:sz w:val="18"/>
              </w:rPr>
              <w:t>Non-current liabilities</w:t>
            </w:r>
          </w:p>
          <w:p>
            <w:pPr>
              <w:pStyle w:val="TableParagraph"/>
              <w:spacing w:before="27"/>
              <w:ind w:left="35"/>
              <w:rPr>
                <w:sz w:val="18"/>
              </w:rPr>
            </w:pPr>
            <w:r>
              <w:rPr>
                <w:sz w:val="18"/>
              </w:rPr>
              <w:t>Borrowings</w:t>
            </w:r>
          </w:p>
        </w:tc>
        <w:tc>
          <w:tcPr>
            <w:tcW w:w="1232" w:type="dxa"/>
          </w:tcPr>
          <w:p>
            <w:pPr>
              <w:pStyle w:val="TableParagraph"/>
              <w:rPr>
                <w:b/>
                <w:sz w:val="18"/>
              </w:rPr>
            </w:pPr>
          </w:p>
          <w:p>
            <w:pPr>
              <w:pStyle w:val="TableParagraph"/>
              <w:spacing w:before="151"/>
              <w:ind w:right="331"/>
              <w:jc w:val="right"/>
              <w:rPr>
                <w:sz w:val="18"/>
              </w:rPr>
            </w:pPr>
            <w:r>
              <w:rPr>
                <w:sz w:val="18"/>
              </w:rPr>
              <w:t>23</w:t>
            </w:r>
          </w:p>
        </w:tc>
        <w:tc>
          <w:tcPr>
            <w:tcW w:w="1629" w:type="dxa"/>
            <w:tcBorders>
              <w:top w:val="single" w:sz="0" w:space="0" w:color="000000"/>
            </w:tcBorders>
          </w:tcPr>
          <w:p>
            <w:pPr>
              <w:pStyle w:val="TableParagraph"/>
              <w:rPr>
                <w:b/>
                <w:sz w:val="18"/>
              </w:rPr>
            </w:pPr>
          </w:p>
          <w:p>
            <w:pPr>
              <w:pStyle w:val="TableParagraph"/>
              <w:spacing w:before="151"/>
              <w:ind w:right="247"/>
              <w:jc w:val="right"/>
              <w:rPr>
                <w:b/>
                <w:sz w:val="18"/>
              </w:rPr>
            </w:pPr>
            <w:r>
              <w:rPr>
                <w:b/>
                <w:w w:val="95"/>
                <w:sz w:val="18"/>
              </w:rPr>
              <w:t>49,500</w:t>
            </w:r>
          </w:p>
        </w:tc>
        <w:tc>
          <w:tcPr>
            <w:tcW w:w="1382" w:type="dxa"/>
            <w:tcBorders>
              <w:top w:val="single" w:sz="0" w:space="0" w:color="000000"/>
            </w:tcBorders>
          </w:tcPr>
          <w:p>
            <w:pPr>
              <w:pStyle w:val="TableParagraph"/>
              <w:rPr>
                <w:b/>
                <w:sz w:val="18"/>
              </w:rPr>
            </w:pPr>
          </w:p>
          <w:p>
            <w:pPr>
              <w:pStyle w:val="TableParagraph"/>
              <w:spacing w:before="151"/>
              <w:ind w:right="331"/>
              <w:jc w:val="right"/>
              <w:rPr>
                <w:sz w:val="18"/>
              </w:rPr>
            </w:pPr>
            <w:r>
              <w:rPr>
                <w:w w:val="95"/>
                <w:sz w:val="18"/>
              </w:rPr>
              <w:t>37,000</w:t>
            </w:r>
          </w:p>
        </w:tc>
        <w:tc>
          <w:tcPr>
            <w:tcW w:w="1382" w:type="dxa"/>
            <w:tcBorders>
              <w:top w:val="single" w:sz="0" w:space="0" w:color="000000"/>
            </w:tcBorders>
          </w:tcPr>
          <w:p>
            <w:pPr>
              <w:pStyle w:val="TableParagraph"/>
              <w:rPr>
                <w:b/>
                <w:sz w:val="18"/>
              </w:rPr>
            </w:pPr>
          </w:p>
          <w:p>
            <w:pPr>
              <w:pStyle w:val="TableParagraph"/>
              <w:spacing w:before="151"/>
              <w:ind w:right="247"/>
              <w:jc w:val="right"/>
              <w:rPr>
                <w:b/>
                <w:sz w:val="18"/>
              </w:rPr>
            </w:pPr>
            <w:r>
              <w:rPr>
                <w:b/>
                <w:w w:val="95"/>
                <w:sz w:val="18"/>
              </w:rPr>
              <w:t>49,500</w:t>
            </w:r>
          </w:p>
        </w:tc>
        <w:tc>
          <w:tcPr>
            <w:tcW w:w="1135" w:type="dxa"/>
            <w:tcBorders>
              <w:top w:val="single" w:sz="0" w:space="0" w:color="000000"/>
            </w:tcBorders>
          </w:tcPr>
          <w:p>
            <w:pPr>
              <w:pStyle w:val="TableParagraph"/>
              <w:rPr>
                <w:b/>
                <w:sz w:val="18"/>
              </w:rPr>
            </w:pPr>
          </w:p>
          <w:p>
            <w:pPr>
              <w:pStyle w:val="TableParagraph"/>
              <w:spacing w:before="151"/>
              <w:ind w:right="84"/>
              <w:jc w:val="right"/>
              <w:rPr>
                <w:sz w:val="18"/>
              </w:rPr>
            </w:pPr>
            <w:r>
              <w:rPr>
                <w:w w:val="95"/>
                <w:sz w:val="18"/>
              </w:rPr>
              <w:t>37,000</w:t>
            </w:r>
          </w:p>
        </w:tc>
      </w:tr>
      <w:tr>
        <w:trPr>
          <w:trHeight w:val="263" w:hRule="exact"/>
        </w:trPr>
        <w:tc>
          <w:tcPr>
            <w:tcW w:w="3145" w:type="dxa"/>
          </w:tcPr>
          <w:p>
            <w:pPr>
              <w:pStyle w:val="TableParagraph"/>
              <w:spacing w:before="18"/>
              <w:ind w:left="35"/>
              <w:rPr>
                <w:sz w:val="18"/>
              </w:rPr>
            </w:pPr>
            <w:r>
              <w:rPr>
                <w:sz w:val="18"/>
              </w:rPr>
              <w:t>Provisions</w:t>
            </w:r>
          </w:p>
        </w:tc>
        <w:tc>
          <w:tcPr>
            <w:tcW w:w="1232" w:type="dxa"/>
          </w:tcPr>
          <w:p>
            <w:pPr>
              <w:pStyle w:val="TableParagraph"/>
              <w:spacing w:before="19"/>
              <w:ind w:right="331"/>
              <w:jc w:val="right"/>
              <w:rPr>
                <w:sz w:val="18"/>
              </w:rPr>
            </w:pPr>
            <w:r>
              <w:rPr>
                <w:sz w:val="18"/>
              </w:rPr>
              <w:t>24</w:t>
            </w:r>
          </w:p>
        </w:tc>
        <w:tc>
          <w:tcPr>
            <w:tcW w:w="1629" w:type="dxa"/>
            <w:tcBorders>
              <w:bottom w:val="single" w:sz="0" w:space="0" w:color="000000"/>
            </w:tcBorders>
          </w:tcPr>
          <w:p>
            <w:pPr>
              <w:pStyle w:val="TableParagraph"/>
              <w:spacing w:before="19"/>
              <w:ind w:right="246"/>
              <w:jc w:val="right"/>
              <w:rPr>
                <w:b/>
                <w:sz w:val="18"/>
              </w:rPr>
            </w:pPr>
            <w:r>
              <w:rPr>
                <w:b/>
                <w:w w:val="95"/>
                <w:sz w:val="18"/>
              </w:rPr>
              <w:t>273,921</w:t>
            </w:r>
          </w:p>
        </w:tc>
        <w:tc>
          <w:tcPr>
            <w:tcW w:w="1382" w:type="dxa"/>
            <w:tcBorders>
              <w:bottom w:val="single" w:sz="0" w:space="0" w:color="000000"/>
            </w:tcBorders>
          </w:tcPr>
          <w:p>
            <w:pPr>
              <w:pStyle w:val="TableParagraph"/>
              <w:spacing w:before="19"/>
              <w:ind w:right="331"/>
              <w:jc w:val="right"/>
              <w:rPr>
                <w:sz w:val="18"/>
              </w:rPr>
            </w:pPr>
            <w:r>
              <w:rPr>
                <w:w w:val="95"/>
                <w:sz w:val="18"/>
              </w:rPr>
              <w:t>242,729</w:t>
            </w:r>
          </w:p>
        </w:tc>
        <w:tc>
          <w:tcPr>
            <w:tcW w:w="1382" w:type="dxa"/>
            <w:tcBorders>
              <w:bottom w:val="single" w:sz="0" w:space="0" w:color="000000"/>
            </w:tcBorders>
          </w:tcPr>
          <w:p>
            <w:pPr>
              <w:pStyle w:val="TableParagraph"/>
              <w:spacing w:before="19"/>
              <w:ind w:right="246"/>
              <w:jc w:val="right"/>
              <w:rPr>
                <w:b/>
                <w:sz w:val="18"/>
              </w:rPr>
            </w:pPr>
            <w:r>
              <w:rPr>
                <w:b/>
                <w:w w:val="95"/>
                <w:sz w:val="18"/>
              </w:rPr>
              <w:t>273,314</w:t>
            </w:r>
          </w:p>
        </w:tc>
        <w:tc>
          <w:tcPr>
            <w:tcW w:w="1135" w:type="dxa"/>
            <w:tcBorders>
              <w:bottom w:val="single" w:sz="0" w:space="0" w:color="000000"/>
            </w:tcBorders>
          </w:tcPr>
          <w:p>
            <w:pPr>
              <w:pStyle w:val="TableParagraph"/>
              <w:spacing w:before="19"/>
              <w:ind w:right="84"/>
              <w:jc w:val="right"/>
              <w:rPr>
                <w:sz w:val="18"/>
              </w:rPr>
            </w:pPr>
            <w:r>
              <w:rPr>
                <w:w w:val="95"/>
                <w:sz w:val="18"/>
              </w:rPr>
              <w:t>242,380</w:t>
            </w:r>
          </w:p>
        </w:tc>
      </w:tr>
      <w:tr>
        <w:trPr>
          <w:trHeight w:val="338" w:hRule="exact"/>
        </w:trPr>
        <w:tc>
          <w:tcPr>
            <w:tcW w:w="3145" w:type="dxa"/>
          </w:tcPr>
          <w:p>
            <w:pPr>
              <w:pStyle w:val="TableParagraph"/>
              <w:spacing w:before="123"/>
              <w:ind w:left="35"/>
              <w:rPr>
                <w:b/>
                <w:sz w:val="18"/>
              </w:rPr>
            </w:pPr>
            <w:r>
              <w:rPr>
                <w:b/>
                <w:sz w:val="18"/>
              </w:rPr>
              <w:t>Total non-current liabilities</w:t>
            </w:r>
          </w:p>
        </w:tc>
        <w:tc>
          <w:tcPr>
            <w:tcW w:w="1232" w:type="dxa"/>
          </w:tcPr>
          <w:p>
            <w:pPr/>
          </w:p>
        </w:tc>
        <w:tc>
          <w:tcPr>
            <w:tcW w:w="1629" w:type="dxa"/>
            <w:tcBorders>
              <w:top w:val="single" w:sz="0" w:space="0" w:color="000000"/>
              <w:bottom w:val="single" w:sz="0" w:space="0" w:color="000000"/>
            </w:tcBorders>
          </w:tcPr>
          <w:p>
            <w:pPr>
              <w:pStyle w:val="TableParagraph"/>
              <w:spacing w:before="122"/>
              <w:ind w:right="246"/>
              <w:jc w:val="right"/>
              <w:rPr>
                <w:b/>
                <w:sz w:val="18"/>
              </w:rPr>
            </w:pPr>
            <w:r>
              <w:rPr>
                <w:b/>
                <w:w w:val="95"/>
                <w:sz w:val="18"/>
              </w:rPr>
              <w:t>323,421</w:t>
            </w:r>
          </w:p>
        </w:tc>
        <w:tc>
          <w:tcPr>
            <w:tcW w:w="1382" w:type="dxa"/>
            <w:tcBorders>
              <w:top w:val="single" w:sz="0" w:space="0" w:color="000000"/>
              <w:bottom w:val="single" w:sz="0" w:space="0" w:color="000000"/>
            </w:tcBorders>
          </w:tcPr>
          <w:p>
            <w:pPr>
              <w:pStyle w:val="TableParagraph"/>
              <w:spacing w:before="122"/>
              <w:ind w:right="331"/>
              <w:jc w:val="right"/>
              <w:rPr>
                <w:sz w:val="18"/>
              </w:rPr>
            </w:pPr>
            <w:r>
              <w:rPr>
                <w:w w:val="95"/>
                <w:sz w:val="18"/>
              </w:rPr>
              <w:t>279,729</w:t>
            </w:r>
          </w:p>
        </w:tc>
        <w:tc>
          <w:tcPr>
            <w:tcW w:w="1382" w:type="dxa"/>
            <w:tcBorders>
              <w:top w:val="single" w:sz="0" w:space="0" w:color="000000"/>
              <w:bottom w:val="single" w:sz="0" w:space="0" w:color="000000"/>
            </w:tcBorders>
          </w:tcPr>
          <w:p>
            <w:pPr>
              <w:pStyle w:val="TableParagraph"/>
              <w:spacing w:before="122"/>
              <w:ind w:right="246"/>
              <w:jc w:val="right"/>
              <w:rPr>
                <w:b/>
                <w:sz w:val="18"/>
              </w:rPr>
            </w:pPr>
            <w:r>
              <w:rPr>
                <w:b/>
                <w:w w:val="95"/>
                <w:sz w:val="18"/>
              </w:rPr>
              <w:t>322,814</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279,380</w:t>
            </w:r>
          </w:p>
        </w:tc>
      </w:tr>
      <w:tr>
        <w:trPr>
          <w:trHeight w:val="338" w:hRule="exact"/>
        </w:trPr>
        <w:tc>
          <w:tcPr>
            <w:tcW w:w="3145" w:type="dxa"/>
          </w:tcPr>
          <w:p>
            <w:pPr>
              <w:pStyle w:val="TableParagraph"/>
              <w:spacing w:before="123"/>
              <w:ind w:left="35"/>
              <w:rPr>
                <w:b/>
                <w:sz w:val="18"/>
              </w:rPr>
            </w:pPr>
            <w:r>
              <w:rPr>
                <w:b/>
                <w:sz w:val="18"/>
              </w:rPr>
              <w:t>Total liabilities</w:t>
            </w:r>
          </w:p>
        </w:tc>
        <w:tc>
          <w:tcPr>
            <w:tcW w:w="1232" w:type="dxa"/>
          </w:tcPr>
          <w:p>
            <w:pPr/>
          </w:p>
        </w:tc>
        <w:tc>
          <w:tcPr>
            <w:tcW w:w="1629" w:type="dxa"/>
            <w:tcBorders>
              <w:top w:val="single" w:sz="0" w:space="0" w:color="000000"/>
              <w:bottom w:val="single" w:sz="0" w:space="0" w:color="000000"/>
            </w:tcBorders>
          </w:tcPr>
          <w:p>
            <w:pPr>
              <w:pStyle w:val="TableParagraph"/>
              <w:spacing w:before="122"/>
              <w:ind w:right="246"/>
              <w:jc w:val="right"/>
              <w:rPr>
                <w:b/>
                <w:sz w:val="18"/>
              </w:rPr>
            </w:pPr>
            <w:r>
              <w:rPr>
                <w:b/>
                <w:w w:val="95"/>
                <w:sz w:val="18"/>
              </w:rPr>
              <w:t>468,554</w:t>
            </w:r>
          </w:p>
        </w:tc>
        <w:tc>
          <w:tcPr>
            <w:tcW w:w="1382" w:type="dxa"/>
            <w:tcBorders>
              <w:top w:val="single" w:sz="0" w:space="0" w:color="000000"/>
              <w:bottom w:val="single" w:sz="0" w:space="0" w:color="000000"/>
            </w:tcBorders>
          </w:tcPr>
          <w:p>
            <w:pPr>
              <w:pStyle w:val="TableParagraph"/>
              <w:spacing w:before="122"/>
              <w:ind w:right="331"/>
              <w:jc w:val="right"/>
              <w:rPr>
                <w:sz w:val="18"/>
              </w:rPr>
            </w:pPr>
            <w:r>
              <w:rPr>
                <w:w w:val="95"/>
                <w:sz w:val="18"/>
              </w:rPr>
              <w:t>413,572</w:t>
            </w:r>
          </w:p>
        </w:tc>
        <w:tc>
          <w:tcPr>
            <w:tcW w:w="1382" w:type="dxa"/>
            <w:tcBorders>
              <w:top w:val="single" w:sz="0" w:space="0" w:color="000000"/>
              <w:bottom w:val="single" w:sz="0" w:space="0" w:color="000000"/>
            </w:tcBorders>
          </w:tcPr>
          <w:p>
            <w:pPr>
              <w:pStyle w:val="TableParagraph"/>
              <w:spacing w:before="122"/>
              <w:ind w:right="246"/>
              <w:jc w:val="right"/>
              <w:rPr>
                <w:b/>
                <w:sz w:val="18"/>
              </w:rPr>
            </w:pPr>
            <w:r>
              <w:rPr>
                <w:b/>
                <w:w w:val="95"/>
                <w:sz w:val="18"/>
              </w:rPr>
              <w:t>467,156</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407,864</w:t>
            </w:r>
          </w:p>
        </w:tc>
      </w:tr>
      <w:tr>
        <w:trPr>
          <w:trHeight w:val="778" w:hRule="exact"/>
        </w:trPr>
        <w:tc>
          <w:tcPr>
            <w:tcW w:w="3145" w:type="dxa"/>
          </w:tcPr>
          <w:p>
            <w:pPr>
              <w:pStyle w:val="TableParagraph"/>
              <w:rPr>
                <w:b/>
                <w:sz w:val="18"/>
              </w:rPr>
            </w:pPr>
          </w:p>
          <w:p>
            <w:pPr>
              <w:pStyle w:val="TableParagraph"/>
              <w:rPr>
                <w:b/>
                <w:sz w:val="18"/>
              </w:rPr>
            </w:pPr>
          </w:p>
          <w:p>
            <w:pPr>
              <w:pStyle w:val="TableParagraph"/>
              <w:spacing w:before="134"/>
              <w:ind w:left="35"/>
              <w:rPr>
                <w:b/>
                <w:sz w:val="18"/>
              </w:rPr>
            </w:pPr>
            <w:r>
              <w:rPr>
                <w:b/>
                <w:sz w:val="18"/>
              </w:rPr>
              <w:t>Net assets</w:t>
            </w:r>
          </w:p>
        </w:tc>
        <w:tc>
          <w:tcPr>
            <w:tcW w:w="1232" w:type="dxa"/>
          </w:tcPr>
          <w:p>
            <w:pPr/>
          </w:p>
        </w:tc>
        <w:tc>
          <w:tcPr>
            <w:tcW w:w="1629" w:type="dxa"/>
            <w:tcBorders>
              <w:top w:val="single" w:sz="0" w:space="0" w:color="000000"/>
              <w:bottom w:val="single" w:sz="0" w:space="0" w:color="000000"/>
            </w:tcBorders>
          </w:tcPr>
          <w:p>
            <w:pPr>
              <w:pStyle w:val="TableParagraph"/>
              <w:rPr>
                <w:b/>
                <w:sz w:val="18"/>
              </w:rPr>
            </w:pPr>
          </w:p>
          <w:p>
            <w:pPr>
              <w:pStyle w:val="TableParagraph"/>
              <w:rPr>
                <w:b/>
                <w:sz w:val="18"/>
              </w:rPr>
            </w:pPr>
          </w:p>
          <w:p>
            <w:pPr>
              <w:pStyle w:val="TableParagraph"/>
              <w:spacing w:before="133"/>
              <w:ind w:right="246"/>
              <w:jc w:val="right"/>
              <w:rPr>
                <w:b/>
                <w:sz w:val="18"/>
              </w:rPr>
            </w:pPr>
            <w:r>
              <w:rPr>
                <w:b/>
                <w:w w:val="95"/>
                <w:sz w:val="18"/>
              </w:rPr>
              <w:t>1,321,023</w:t>
            </w:r>
          </w:p>
        </w:tc>
        <w:tc>
          <w:tcPr>
            <w:tcW w:w="1382" w:type="dxa"/>
            <w:tcBorders>
              <w:top w:val="single" w:sz="0" w:space="0" w:color="000000"/>
              <w:bottom w:val="single" w:sz="0" w:space="0" w:color="000000"/>
            </w:tcBorders>
          </w:tcPr>
          <w:p>
            <w:pPr>
              <w:pStyle w:val="TableParagraph"/>
              <w:rPr>
                <w:b/>
                <w:sz w:val="18"/>
              </w:rPr>
            </w:pPr>
          </w:p>
          <w:p>
            <w:pPr>
              <w:pStyle w:val="TableParagraph"/>
              <w:rPr>
                <w:b/>
                <w:sz w:val="18"/>
              </w:rPr>
            </w:pPr>
          </w:p>
          <w:p>
            <w:pPr>
              <w:pStyle w:val="TableParagraph"/>
              <w:spacing w:before="133"/>
              <w:ind w:right="332"/>
              <w:jc w:val="right"/>
              <w:rPr>
                <w:sz w:val="18"/>
              </w:rPr>
            </w:pPr>
            <w:r>
              <w:rPr>
                <w:w w:val="95"/>
                <w:sz w:val="18"/>
              </w:rPr>
              <w:t>1,234,397</w:t>
            </w:r>
          </w:p>
        </w:tc>
        <w:tc>
          <w:tcPr>
            <w:tcW w:w="1382" w:type="dxa"/>
            <w:tcBorders>
              <w:top w:val="single" w:sz="0" w:space="0" w:color="000000"/>
              <w:bottom w:val="single" w:sz="0" w:space="0" w:color="000000"/>
            </w:tcBorders>
          </w:tcPr>
          <w:p>
            <w:pPr>
              <w:pStyle w:val="TableParagraph"/>
              <w:rPr>
                <w:b/>
                <w:sz w:val="18"/>
              </w:rPr>
            </w:pPr>
          </w:p>
          <w:p>
            <w:pPr>
              <w:pStyle w:val="TableParagraph"/>
              <w:rPr>
                <w:b/>
                <w:sz w:val="18"/>
              </w:rPr>
            </w:pPr>
          </w:p>
          <w:p>
            <w:pPr>
              <w:pStyle w:val="TableParagraph"/>
              <w:spacing w:before="133"/>
              <w:ind w:right="246"/>
              <w:jc w:val="right"/>
              <w:rPr>
                <w:b/>
                <w:sz w:val="18"/>
              </w:rPr>
            </w:pPr>
            <w:r>
              <w:rPr>
                <w:b/>
                <w:w w:val="95"/>
                <w:sz w:val="18"/>
              </w:rPr>
              <w:t>1,276,842</w:t>
            </w:r>
          </w:p>
        </w:tc>
        <w:tc>
          <w:tcPr>
            <w:tcW w:w="1135" w:type="dxa"/>
            <w:tcBorders>
              <w:top w:val="single" w:sz="0" w:space="0" w:color="000000"/>
              <w:bottom w:val="single" w:sz="0" w:space="0" w:color="000000"/>
            </w:tcBorders>
          </w:tcPr>
          <w:p>
            <w:pPr>
              <w:pStyle w:val="TableParagraph"/>
              <w:rPr>
                <w:b/>
                <w:sz w:val="18"/>
              </w:rPr>
            </w:pPr>
          </w:p>
          <w:p>
            <w:pPr>
              <w:pStyle w:val="TableParagraph"/>
              <w:rPr>
                <w:b/>
                <w:sz w:val="18"/>
              </w:rPr>
            </w:pPr>
          </w:p>
          <w:p>
            <w:pPr>
              <w:pStyle w:val="TableParagraph"/>
              <w:spacing w:before="133"/>
              <w:ind w:right="84"/>
              <w:jc w:val="right"/>
              <w:rPr>
                <w:sz w:val="18"/>
              </w:rPr>
            </w:pPr>
            <w:r>
              <w:rPr>
                <w:w w:val="95"/>
                <w:sz w:val="18"/>
              </w:rPr>
              <w:t>1,197,280</w:t>
            </w:r>
          </w:p>
        </w:tc>
      </w:tr>
      <w:tr>
        <w:trPr>
          <w:trHeight w:val="913" w:hRule="exact"/>
        </w:trPr>
        <w:tc>
          <w:tcPr>
            <w:tcW w:w="3145" w:type="dxa"/>
          </w:tcPr>
          <w:p>
            <w:pPr>
              <w:pStyle w:val="TableParagraph"/>
              <w:rPr>
                <w:b/>
                <w:sz w:val="18"/>
              </w:rPr>
            </w:pPr>
          </w:p>
          <w:p>
            <w:pPr>
              <w:pStyle w:val="TableParagraph"/>
              <w:spacing w:before="8"/>
              <w:rPr>
                <w:b/>
                <w:sz w:val="19"/>
              </w:rPr>
            </w:pPr>
          </w:p>
          <w:p>
            <w:pPr>
              <w:pStyle w:val="TableParagraph"/>
              <w:ind w:left="35"/>
              <w:rPr>
                <w:b/>
                <w:sz w:val="18"/>
              </w:rPr>
            </w:pPr>
            <w:r>
              <w:rPr>
                <w:b/>
                <w:sz w:val="18"/>
              </w:rPr>
              <w:t>EQUITY</w:t>
            </w:r>
          </w:p>
          <w:p>
            <w:pPr>
              <w:pStyle w:val="TableParagraph"/>
              <w:spacing w:before="27"/>
              <w:ind w:left="35"/>
              <w:rPr>
                <w:sz w:val="18"/>
              </w:rPr>
            </w:pPr>
            <w:r>
              <w:rPr>
                <w:sz w:val="18"/>
              </w:rPr>
              <w:t>Reserves</w:t>
            </w:r>
          </w:p>
        </w:tc>
        <w:tc>
          <w:tcPr>
            <w:tcW w:w="1232" w:type="dxa"/>
          </w:tcPr>
          <w:p>
            <w:pPr>
              <w:pStyle w:val="TableParagraph"/>
              <w:rPr>
                <w:b/>
                <w:sz w:val="18"/>
              </w:rPr>
            </w:pPr>
          </w:p>
          <w:p>
            <w:pPr>
              <w:pStyle w:val="TableParagraph"/>
              <w:rPr>
                <w:b/>
                <w:sz w:val="18"/>
              </w:rPr>
            </w:pPr>
          </w:p>
          <w:p>
            <w:pPr>
              <w:pStyle w:val="TableParagraph"/>
              <w:spacing w:before="1"/>
              <w:rPr>
                <w:b/>
                <w:sz w:val="22"/>
              </w:rPr>
            </w:pPr>
          </w:p>
          <w:p>
            <w:pPr>
              <w:pStyle w:val="TableParagraph"/>
              <w:spacing w:before="1"/>
              <w:ind w:right="330"/>
              <w:jc w:val="right"/>
              <w:rPr>
                <w:sz w:val="18"/>
              </w:rPr>
            </w:pPr>
            <w:r>
              <w:rPr>
                <w:sz w:val="18"/>
              </w:rPr>
              <w:t>27</w:t>
            </w:r>
          </w:p>
        </w:tc>
        <w:tc>
          <w:tcPr>
            <w:tcW w:w="1629" w:type="dxa"/>
            <w:tcBorders>
              <w:top w:val="single" w:sz="0" w:space="0" w:color="000000"/>
            </w:tcBorders>
          </w:tcPr>
          <w:p>
            <w:pPr>
              <w:pStyle w:val="TableParagraph"/>
              <w:rPr>
                <w:b/>
                <w:sz w:val="18"/>
              </w:rPr>
            </w:pPr>
          </w:p>
          <w:p>
            <w:pPr>
              <w:pStyle w:val="TableParagraph"/>
              <w:rPr>
                <w:b/>
                <w:sz w:val="18"/>
              </w:rPr>
            </w:pPr>
          </w:p>
          <w:p>
            <w:pPr>
              <w:pStyle w:val="TableParagraph"/>
              <w:spacing w:before="1"/>
              <w:rPr>
                <w:b/>
                <w:sz w:val="22"/>
              </w:rPr>
            </w:pPr>
          </w:p>
          <w:p>
            <w:pPr>
              <w:pStyle w:val="TableParagraph"/>
              <w:ind w:right="246"/>
              <w:jc w:val="right"/>
              <w:rPr>
                <w:b/>
                <w:sz w:val="18"/>
              </w:rPr>
            </w:pPr>
            <w:r>
              <w:rPr>
                <w:b/>
                <w:w w:val="95"/>
                <w:sz w:val="18"/>
              </w:rPr>
              <w:t>526,713</w:t>
            </w:r>
          </w:p>
        </w:tc>
        <w:tc>
          <w:tcPr>
            <w:tcW w:w="1382" w:type="dxa"/>
            <w:tcBorders>
              <w:top w:val="single" w:sz="0" w:space="0" w:color="000000"/>
            </w:tcBorders>
          </w:tcPr>
          <w:p>
            <w:pPr>
              <w:pStyle w:val="TableParagraph"/>
              <w:rPr>
                <w:b/>
                <w:sz w:val="18"/>
              </w:rPr>
            </w:pPr>
          </w:p>
          <w:p>
            <w:pPr>
              <w:pStyle w:val="TableParagraph"/>
              <w:rPr>
                <w:b/>
                <w:sz w:val="18"/>
              </w:rPr>
            </w:pPr>
          </w:p>
          <w:p>
            <w:pPr>
              <w:pStyle w:val="TableParagraph"/>
              <w:spacing w:before="1"/>
              <w:rPr>
                <w:b/>
                <w:sz w:val="22"/>
              </w:rPr>
            </w:pPr>
          </w:p>
          <w:p>
            <w:pPr>
              <w:pStyle w:val="TableParagraph"/>
              <w:ind w:right="331"/>
              <w:jc w:val="right"/>
              <w:rPr>
                <w:sz w:val="18"/>
              </w:rPr>
            </w:pPr>
            <w:r>
              <w:rPr>
                <w:w w:val="95"/>
                <w:sz w:val="18"/>
              </w:rPr>
              <w:t>500,760</w:t>
            </w:r>
          </w:p>
        </w:tc>
        <w:tc>
          <w:tcPr>
            <w:tcW w:w="1382" w:type="dxa"/>
            <w:tcBorders>
              <w:top w:val="single" w:sz="0" w:space="0" w:color="000000"/>
            </w:tcBorders>
          </w:tcPr>
          <w:p>
            <w:pPr>
              <w:pStyle w:val="TableParagraph"/>
              <w:rPr>
                <w:b/>
                <w:sz w:val="18"/>
              </w:rPr>
            </w:pPr>
          </w:p>
          <w:p>
            <w:pPr>
              <w:pStyle w:val="TableParagraph"/>
              <w:rPr>
                <w:b/>
                <w:sz w:val="18"/>
              </w:rPr>
            </w:pPr>
          </w:p>
          <w:p>
            <w:pPr>
              <w:pStyle w:val="TableParagraph"/>
              <w:spacing w:before="1"/>
              <w:rPr>
                <w:b/>
                <w:sz w:val="22"/>
              </w:rPr>
            </w:pPr>
          </w:p>
          <w:p>
            <w:pPr>
              <w:pStyle w:val="TableParagraph"/>
              <w:ind w:right="246"/>
              <w:jc w:val="right"/>
              <w:rPr>
                <w:b/>
                <w:sz w:val="18"/>
              </w:rPr>
            </w:pPr>
            <w:r>
              <w:rPr>
                <w:b/>
                <w:w w:val="95"/>
                <w:sz w:val="18"/>
              </w:rPr>
              <w:t>525,428</w:t>
            </w:r>
          </w:p>
        </w:tc>
        <w:tc>
          <w:tcPr>
            <w:tcW w:w="1135" w:type="dxa"/>
            <w:tcBorders>
              <w:top w:val="single" w:sz="0" w:space="0" w:color="000000"/>
            </w:tcBorders>
          </w:tcPr>
          <w:p>
            <w:pPr>
              <w:pStyle w:val="TableParagraph"/>
              <w:rPr>
                <w:b/>
                <w:sz w:val="18"/>
              </w:rPr>
            </w:pPr>
          </w:p>
          <w:p>
            <w:pPr>
              <w:pStyle w:val="TableParagraph"/>
              <w:rPr>
                <w:b/>
                <w:sz w:val="18"/>
              </w:rPr>
            </w:pPr>
          </w:p>
          <w:p>
            <w:pPr>
              <w:pStyle w:val="TableParagraph"/>
              <w:spacing w:before="1"/>
              <w:rPr>
                <w:b/>
                <w:sz w:val="22"/>
              </w:rPr>
            </w:pPr>
          </w:p>
          <w:p>
            <w:pPr>
              <w:pStyle w:val="TableParagraph"/>
              <w:ind w:right="84"/>
              <w:jc w:val="right"/>
              <w:rPr>
                <w:sz w:val="18"/>
              </w:rPr>
            </w:pPr>
            <w:r>
              <w:rPr>
                <w:w w:val="95"/>
                <w:sz w:val="18"/>
              </w:rPr>
              <w:t>500,747</w:t>
            </w:r>
          </w:p>
        </w:tc>
      </w:tr>
      <w:tr>
        <w:trPr>
          <w:trHeight w:val="263" w:hRule="exact"/>
        </w:trPr>
        <w:tc>
          <w:tcPr>
            <w:tcW w:w="3145" w:type="dxa"/>
          </w:tcPr>
          <w:p>
            <w:pPr>
              <w:pStyle w:val="TableParagraph"/>
              <w:spacing w:before="18"/>
              <w:ind w:left="35"/>
              <w:rPr>
                <w:sz w:val="18"/>
              </w:rPr>
            </w:pPr>
            <w:r>
              <w:rPr>
                <w:sz w:val="18"/>
              </w:rPr>
              <w:t>Retained earnings</w:t>
            </w:r>
          </w:p>
        </w:tc>
        <w:tc>
          <w:tcPr>
            <w:tcW w:w="1232" w:type="dxa"/>
          </w:tcPr>
          <w:p>
            <w:pPr>
              <w:pStyle w:val="TableParagraph"/>
              <w:spacing w:before="19"/>
              <w:ind w:right="330"/>
              <w:jc w:val="right"/>
              <w:rPr>
                <w:sz w:val="18"/>
              </w:rPr>
            </w:pPr>
            <w:r>
              <w:rPr>
                <w:sz w:val="18"/>
              </w:rPr>
              <w:t>27</w:t>
            </w:r>
          </w:p>
        </w:tc>
        <w:tc>
          <w:tcPr>
            <w:tcW w:w="1629" w:type="dxa"/>
            <w:tcBorders>
              <w:bottom w:val="single" w:sz="0" w:space="0" w:color="000000"/>
            </w:tcBorders>
          </w:tcPr>
          <w:p>
            <w:pPr>
              <w:pStyle w:val="TableParagraph"/>
              <w:spacing w:before="19"/>
              <w:ind w:right="246"/>
              <w:jc w:val="right"/>
              <w:rPr>
                <w:b/>
                <w:sz w:val="18"/>
              </w:rPr>
            </w:pPr>
            <w:r>
              <w:rPr>
                <w:b/>
                <w:w w:val="95"/>
                <w:sz w:val="18"/>
              </w:rPr>
              <w:t>794,310</w:t>
            </w:r>
          </w:p>
        </w:tc>
        <w:tc>
          <w:tcPr>
            <w:tcW w:w="1382" w:type="dxa"/>
            <w:tcBorders>
              <w:bottom w:val="single" w:sz="0" w:space="0" w:color="000000"/>
            </w:tcBorders>
          </w:tcPr>
          <w:p>
            <w:pPr>
              <w:pStyle w:val="TableParagraph"/>
              <w:spacing w:before="19"/>
              <w:ind w:right="330"/>
              <w:jc w:val="right"/>
              <w:rPr>
                <w:sz w:val="18"/>
              </w:rPr>
            </w:pPr>
            <w:r>
              <w:rPr>
                <w:w w:val="95"/>
                <w:sz w:val="18"/>
              </w:rPr>
              <w:t>733,637</w:t>
            </w:r>
          </w:p>
        </w:tc>
        <w:tc>
          <w:tcPr>
            <w:tcW w:w="1382" w:type="dxa"/>
            <w:tcBorders>
              <w:bottom w:val="single" w:sz="0" w:space="0" w:color="000000"/>
            </w:tcBorders>
          </w:tcPr>
          <w:p>
            <w:pPr>
              <w:pStyle w:val="TableParagraph"/>
              <w:spacing w:before="19"/>
              <w:ind w:right="246"/>
              <w:jc w:val="right"/>
              <w:rPr>
                <w:b/>
                <w:sz w:val="18"/>
              </w:rPr>
            </w:pPr>
            <w:r>
              <w:rPr>
                <w:b/>
                <w:w w:val="95"/>
                <w:sz w:val="18"/>
              </w:rPr>
              <w:t>751,414</w:t>
            </w:r>
          </w:p>
        </w:tc>
        <w:tc>
          <w:tcPr>
            <w:tcW w:w="1135" w:type="dxa"/>
            <w:tcBorders>
              <w:bottom w:val="single" w:sz="0" w:space="0" w:color="000000"/>
            </w:tcBorders>
          </w:tcPr>
          <w:p>
            <w:pPr>
              <w:pStyle w:val="TableParagraph"/>
              <w:spacing w:before="19"/>
              <w:ind w:right="83"/>
              <w:jc w:val="right"/>
              <w:rPr>
                <w:sz w:val="18"/>
              </w:rPr>
            </w:pPr>
            <w:r>
              <w:rPr>
                <w:w w:val="95"/>
                <w:sz w:val="18"/>
              </w:rPr>
              <w:t>696,533</w:t>
            </w:r>
          </w:p>
        </w:tc>
      </w:tr>
      <w:tr>
        <w:trPr>
          <w:trHeight w:val="353" w:hRule="exact"/>
        </w:trPr>
        <w:tc>
          <w:tcPr>
            <w:tcW w:w="3145" w:type="dxa"/>
          </w:tcPr>
          <w:p>
            <w:pPr>
              <w:pStyle w:val="TableParagraph"/>
              <w:spacing w:before="123"/>
              <w:ind w:left="35"/>
              <w:rPr>
                <w:b/>
                <w:sz w:val="18"/>
              </w:rPr>
            </w:pPr>
            <w:r>
              <w:rPr>
                <w:b/>
                <w:sz w:val="18"/>
              </w:rPr>
              <w:t>Total equity</w:t>
            </w:r>
          </w:p>
        </w:tc>
        <w:tc>
          <w:tcPr>
            <w:tcW w:w="1232" w:type="dxa"/>
          </w:tcPr>
          <w:p>
            <w:pPr/>
          </w:p>
        </w:tc>
        <w:tc>
          <w:tcPr>
            <w:tcW w:w="1629" w:type="dxa"/>
            <w:tcBorders>
              <w:top w:val="single" w:sz="0" w:space="0" w:color="000000"/>
              <w:bottom w:val="single" w:sz="0" w:space="0" w:color="000000"/>
            </w:tcBorders>
          </w:tcPr>
          <w:p>
            <w:pPr>
              <w:pStyle w:val="TableParagraph"/>
              <w:spacing w:before="122"/>
              <w:ind w:right="246"/>
              <w:jc w:val="right"/>
              <w:rPr>
                <w:b/>
                <w:sz w:val="18"/>
              </w:rPr>
            </w:pPr>
            <w:r>
              <w:rPr>
                <w:b/>
                <w:w w:val="95"/>
                <w:sz w:val="18"/>
              </w:rPr>
              <w:t>1,321,023</w:t>
            </w:r>
          </w:p>
        </w:tc>
        <w:tc>
          <w:tcPr>
            <w:tcW w:w="1382" w:type="dxa"/>
            <w:tcBorders>
              <w:top w:val="single" w:sz="0" w:space="0" w:color="000000"/>
              <w:bottom w:val="single" w:sz="0" w:space="0" w:color="000000"/>
            </w:tcBorders>
          </w:tcPr>
          <w:p>
            <w:pPr>
              <w:pStyle w:val="TableParagraph"/>
              <w:spacing w:before="122"/>
              <w:ind w:right="332"/>
              <w:jc w:val="right"/>
              <w:rPr>
                <w:sz w:val="18"/>
              </w:rPr>
            </w:pPr>
            <w:r>
              <w:rPr>
                <w:w w:val="95"/>
                <w:sz w:val="18"/>
              </w:rPr>
              <w:t>1,234,397</w:t>
            </w:r>
          </w:p>
        </w:tc>
        <w:tc>
          <w:tcPr>
            <w:tcW w:w="1382" w:type="dxa"/>
            <w:tcBorders>
              <w:top w:val="single" w:sz="0" w:space="0" w:color="000000"/>
              <w:bottom w:val="single" w:sz="0" w:space="0" w:color="000000"/>
            </w:tcBorders>
          </w:tcPr>
          <w:p>
            <w:pPr>
              <w:pStyle w:val="TableParagraph"/>
              <w:spacing w:before="122"/>
              <w:ind w:right="246"/>
              <w:jc w:val="right"/>
              <w:rPr>
                <w:b/>
                <w:sz w:val="18"/>
              </w:rPr>
            </w:pPr>
            <w:r>
              <w:rPr>
                <w:b/>
                <w:w w:val="95"/>
                <w:sz w:val="18"/>
              </w:rPr>
              <w:t>1,276,842</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1,197,280</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9"/>
        </w:rPr>
      </w:pPr>
    </w:p>
    <w:p>
      <w:pPr>
        <w:pStyle w:val="BodyText"/>
        <w:spacing w:before="78"/>
        <w:ind w:left="107" w:right="128"/>
      </w:pPr>
      <w:r>
        <w:rPr/>
        <w:t>The accompanying notes form part of these financial statements.</w:t>
      </w:r>
    </w:p>
    <w:p>
      <w:pPr>
        <w:spacing w:after="0"/>
        <w:sectPr>
          <w:type w:val="continuous"/>
          <w:pgSz w:w="11910" w:h="16840"/>
          <w:pgMar w:top="0" w:bottom="280" w:left="900" w:right="880"/>
        </w:sectPr>
      </w:pPr>
    </w:p>
    <w:p>
      <w:pPr>
        <w:tabs>
          <w:tab w:pos="4958" w:val="left" w:leader="none"/>
          <w:tab w:pos="6182" w:val="left" w:leader="none"/>
          <w:tab w:pos="7256" w:val="left" w:leader="none"/>
        </w:tabs>
        <w:spacing w:before="39"/>
        <w:ind w:left="135" w:right="0" w:firstLine="0"/>
        <w:jc w:val="left"/>
        <w:rPr>
          <w:b/>
          <w:sz w:val="18"/>
        </w:rPr>
      </w:pPr>
      <w:r>
        <w:rPr>
          <w:b/>
          <w:sz w:val="18"/>
        </w:rPr>
        <w:t>Balance at 1</w:t>
      </w:r>
      <w:r>
        <w:rPr>
          <w:b/>
          <w:spacing w:val="-3"/>
          <w:sz w:val="18"/>
        </w:rPr>
        <w:t> </w:t>
      </w:r>
      <w:r>
        <w:rPr>
          <w:b/>
          <w:sz w:val="18"/>
        </w:rPr>
        <w:t>January</w:t>
      </w:r>
      <w:r>
        <w:rPr>
          <w:b/>
          <w:spacing w:val="-1"/>
          <w:sz w:val="18"/>
        </w:rPr>
        <w:t> </w:t>
      </w:r>
      <w:r>
        <w:rPr>
          <w:b/>
          <w:sz w:val="18"/>
        </w:rPr>
        <w:t>2012</w:t>
        <w:tab/>
        <w:t>500,747</w:t>
        <w:tab/>
        <w:t>696,533</w:t>
        <w:tab/>
        <w:t>1,197,280</w:t>
      </w:r>
    </w:p>
    <w:p>
      <w:pPr>
        <w:tabs>
          <w:tab w:pos="5546" w:val="left" w:leader="none"/>
          <w:tab w:pos="6281" w:val="left" w:leader="none"/>
          <w:tab w:pos="7505" w:val="left" w:leader="none"/>
        </w:tabs>
        <w:spacing w:before="58"/>
        <w:ind w:left="135" w:right="0" w:firstLine="0"/>
        <w:jc w:val="left"/>
        <w:rPr>
          <w:b/>
          <w:sz w:val="18"/>
        </w:rPr>
      </w:pPr>
      <w:r>
        <w:rPr>
          <w:sz w:val="18"/>
        </w:rPr>
        <w:t>Operating result for</w:t>
      </w:r>
      <w:r>
        <w:rPr>
          <w:spacing w:val="-1"/>
          <w:sz w:val="18"/>
        </w:rPr>
        <w:t> </w:t>
      </w:r>
      <w:r>
        <w:rPr>
          <w:sz w:val="18"/>
        </w:rPr>
        <w:t>the</w:t>
      </w:r>
      <w:r>
        <w:rPr>
          <w:spacing w:val="-1"/>
          <w:sz w:val="18"/>
        </w:rPr>
        <w:t> </w:t>
      </w:r>
      <w:r>
        <w:rPr>
          <w:sz w:val="18"/>
        </w:rPr>
        <w:t>year</w:t>
        <w:tab/>
      </w:r>
      <w:r>
        <w:rPr>
          <w:b/>
          <w:sz w:val="18"/>
        </w:rPr>
        <w:t>-</w:t>
        <w:tab/>
        <w:t>55,180</w:t>
        <w:tab/>
        <w:t>55,180</w:t>
      </w:r>
    </w:p>
    <w:p>
      <w:pPr>
        <w:pStyle w:val="BodyText"/>
        <w:spacing w:line="207" w:lineRule="exact" w:before="54"/>
        <w:ind w:left="135"/>
      </w:pPr>
      <w:r>
        <w:rPr/>
        <w:t>Revaluation of property, plant and</w:t>
      </w:r>
    </w:p>
    <w:p>
      <w:pPr>
        <w:tabs>
          <w:tab w:pos="5058" w:val="left" w:leader="none"/>
          <w:tab w:pos="6770" w:val="left" w:leader="none"/>
          <w:tab w:pos="7506" w:val="left" w:leader="none"/>
        </w:tabs>
        <w:spacing w:line="207" w:lineRule="exact" w:before="0"/>
        <w:ind w:left="135" w:right="0" w:firstLine="0"/>
        <w:jc w:val="left"/>
        <w:rPr>
          <w:b/>
          <w:sz w:val="18"/>
        </w:rPr>
      </w:pPr>
      <w:r>
        <w:rPr>
          <w:sz w:val="18"/>
        </w:rPr>
        <w:t>equipment</w:t>
        <w:tab/>
      </w:r>
      <w:r>
        <w:rPr>
          <w:b/>
          <w:sz w:val="18"/>
        </w:rPr>
        <w:t>14,004</w:t>
        <w:tab/>
        <w:t>-</w:t>
        <w:tab/>
        <w:t>14,004</w:t>
      </w:r>
    </w:p>
    <w:p>
      <w:pPr>
        <w:tabs>
          <w:tab w:pos="5058" w:val="left" w:leader="none"/>
          <w:tab w:pos="6770" w:val="left" w:leader="none"/>
          <w:tab w:pos="7506" w:val="left" w:leader="none"/>
        </w:tabs>
        <w:spacing w:before="57"/>
        <w:ind w:left="135" w:right="0" w:firstLine="0"/>
        <w:jc w:val="left"/>
        <w:rPr>
          <w:b/>
          <w:sz w:val="18"/>
        </w:rPr>
      </w:pPr>
      <w:r>
        <w:rPr>
          <w:sz w:val="18"/>
        </w:rPr>
        <w:t>Gain on available for sale</w:t>
      </w:r>
      <w:r>
        <w:rPr>
          <w:spacing w:val="-1"/>
          <w:sz w:val="18"/>
        </w:rPr>
        <w:t> </w:t>
      </w:r>
      <w:r>
        <w:rPr>
          <w:sz w:val="18"/>
        </w:rPr>
        <w:t>financial</w:t>
      </w:r>
      <w:r>
        <w:rPr>
          <w:spacing w:val="-1"/>
          <w:sz w:val="18"/>
        </w:rPr>
        <w:t> </w:t>
      </w:r>
      <w:r>
        <w:rPr>
          <w:sz w:val="18"/>
        </w:rPr>
        <w:t>assets</w:t>
        <w:tab/>
      </w:r>
      <w:r>
        <w:rPr>
          <w:b/>
          <w:sz w:val="18"/>
        </w:rPr>
        <w:t>10,746</w:t>
        <w:tab/>
        <w:t>-</w:t>
        <w:tab/>
        <w:t>10,746</w:t>
      </w:r>
    </w:p>
    <w:p>
      <w:pPr>
        <w:tabs>
          <w:tab w:pos="5347" w:val="left" w:leader="none"/>
          <w:tab w:pos="6770" w:val="left" w:leader="none"/>
          <w:tab w:pos="7794" w:val="left" w:leader="none"/>
        </w:tabs>
        <w:spacing w:before="57"/>
        <w:ind w:left="135" w:right="0" w:firstLine="0"/>
        <w:jc w:val="left"/>
        <w:rPr>
          <w:b/>
          <w:sz w:val="18"/>
        </w:rPr>
      </w:pPr>
      <w:r>
        <w:rPr>
          <w:sz w:val="18"/>
        </w:rPr>
        <w:t>Revaluation</w:t>
      </w:r>
      <w:r>
        <w:rPr>
          <w:spacing w:val="-1"/>
          <w:sz w:val="18"/>
        </w:rPr>
        <w:t> </w:t>
      </w:r>
      <w:r>
        <w:rPr>
          <w:sz w:val="18"/>
        </w:rPr>
        <w:t>of</w:t>
      </w:r>
      <w:r>
        <w:rPr>
          <w:spacing w:val="-1"/>
          <w:sz w:val="18"/>
        </w:rPr>
        <w:t> </w:t>
      </w:r>
      <w:r>
        <w:rPr>
          <w:sz w:val="18"/>
        </w:rPr>
        <w:t>livestock</w:t>
        <w:tab/>
      </w:r>
      <w:r>
        <w:rPr>
          <w:b/>
          <w:sz w:val="18"/>
        </w:rPr>
        <w:t>(69)</w:t>
        <w:tab/>
        <w:t>-</w:t>
        <w:tab/>
        <w:t>(69)</w:t>
      </w:r>
    </w:p>
    <w:p>
      <w:pPr>
        <w:pStyle w:val="BodyText"/>
        <w:spacing w:line="207" w:lineRule="exact" w:before="54"/>
        <w:ind w:left="135"/>
      </w:pPr>
      <w:r>
        <w:rPr/>
        <w:t>Net actuarial gains / (losses) recognised in</w:t>
      </w:r>
    </w:p>
    <w:p>
      <w:pPr>
        <w:tabs>
          <w:tab w:pos="5546" w:val="left" w:leader="none"/>
          <w:tab w:pos="6471" w:val="left" w:leader="none"/>
          <w:tab w:pos="7695" w:val="left" w:leader="none"/>
        </w:tabs>
        <w:spacing w:line="207" w:lineRule="exact" w:before="0"/>
        <w:ind w:left="135" w:right="0" w:firstLine="0"/>
        <w:jc w:val="left"/>
        <w:rPr>
          <w:b/>
          <w:sz w:val="18"/>
        </w:rPr>
      </w:pPr>
      <w:r>
        <w:rPr/>
        <w:pict>
          <v:group style="position:absolute;margin-left:260.049988pt;margin-top:11.616116pt;width:192.2pt;height:1pt;mso-position-horizontal-relative:page;mso-position-vertical-relative:paragraph;z-index:1240;mso-wrap-distance-left:0;mso-wrap-distance-right:0" coordorigin="5201,232" coordsize="3844,20">
            <v:line style="position:absolute" from="5202,233" to="5371,233" stroked="true" strokeweight=".06pt" strokecolor="#000000"/>
            <v:line style="position:absolute" from="5202,235" to="5371,235" stroked="true" strokeweight=".06pt" strokecolor="#000000"/>
            <v:line style="position:absolute" from="5202,236" to="5371,236" stroked="true" strokeweight=".06pt" strokecolor="#000000"/>
            <v:line style="position:absolute" from="5202,237" to="5371,237" stroked="true" strokeweight=".06pt" strokecolor="#000000"/>
            <v:line style="position:absolute" from="5202,238" to="5371,238" stroked="true" strokeweight=".06pt" strokecolor="#000000"/>
            <v:line style="position:absolute" from="5202,239" to="5371,239" stroked="true" strokeweight=".06pt" strokecolor="#000000"/>
            <v:line style="position:absolute" from="5202,241" to="5371,241" stroked="true" strokeweight=".06pt" strokecolor="#000000"/>
            <v:line style="position:absolute" from="5202,242" to="5371,242" stroked="true" strokeweight=".06pt" strokecolor="#000000"/>
            <v:line style="position:absolute" from="5202,243" to="5371,243" stroked="true" strokeweight=".06pt" strokecolor="#000000"/>
            <v:line style="position:absolute" from="5202,244" to="5371,244" stroked="true" strokeweight=".06pt" strokecolor="#000000"/>
            <v:line style="position:absolute" from="5202,245" to="5371,245" stroked="true" strokeweight=".06pt" strokecolor="#000000"/>
            <v:line style="position:absolute" from="5202,247" to="5371,247" stroked="true" strokeweight=".06pt" strokecolor="#000000"/>
            <v:line style="position:absolute" from="5202,248" to="5371,248" stroked="true" strokeweight=".06pt" strokecolor="#000000"/>
            <v:line style="position:absolute" from="5202,249" to="5371,249" stroked="true" strokeweight=".06pt" strokecolor="#000000"/>
            <v:line style="position:absolute" from="5202,250" to="5371,250" stroked="true" strokeweight=".06pt" strokecolor="#000000"/>
            <v:line style="position:absolute" from="5202,251" to="5371,251" stroked="true" strokeweight=".06pt" strokecolor="#000000"/>
            <v:line style="position:absolute" from="5371,233" to="6595,233" stroked="true" strokeweight=".06pt" strokecolor="#000000"/>
            <v:line style="position:absolute" from="5371,235" to="6595,235" stroked="true" strokeweight=".06pt" strokecolor="#000000"/>
            <v:line style="position:absolute" from="5371,236" to="6595,236" stroked="true" strokeweight=".06pt" strokecolor="#000000"/>
            <v:line style="position:absolute" from="5371,237" to="6595,237" stroked="true" strokeweight=".06pt" strokecolor="#000000"/>
            <v:line style="position:absolute" from="5371,238" to="6595,238" stroked="true" strokeweight=".06pt" strokecolor="#000000"/>
            <v:line style="position:absolute" from="5371,239" to="6595,239" stroked="true" strokeweight=".06pt" strokecolor="#000000"/>
            <v:line style="position:absolute" from="5371,241" to="6595,241" stroked="true" strokeweight=".06pt" strokecolor="#000000"/>
            <v:line style="position:absolute" from="5371,242" to="6595,242" stroked="true" strokeweight=".06pt" strokecolor="#000000"/>
            <v:line style="position:absolute" from="5371,243" to="6595,243" stroked="true" strokeweight=".06pt" strokecolor="#000000"/>
            <v:line style="position:absolute" from="5371,244" to="6595,244" stroked="true" strokeweight=".06pt" strokecolor="#000000"/>
            <v:line style="position:absolute" from="5371,245" to="6595,245" stroked="true" strokeweight=".06pt" strokecolor="#000000"/>
            <v:line style="position:absolute" from="5371,247" to="6595,247" stroked="true" strokeweight=".06pt" strokecolor="#000000"/>
            <v:line style="position:absolute" from="5371,248" to="6595,248" stroked="true" strokeweight=".06pt" strokecolor="#000000"/>
            <v:line style="position:absolute" from="5371,249" to="6595,249" stroked="true" strokeweight=".06pt" strokecolor="#000000"/>
            <v:line style="position:absolute" from="5371,250" to="6595,250" stroked="true" strokeweight=".06pt" strokecolor="#000000"/>
            <v:line style="position:absolute" from="5371,251" to="6595,251" stroked="true" strokeweight=".06pt" strokecolor="#000000"/>
            <v:line style="position:absolute" from="6595,233" to="7819,233" stroked="true" strokeweight=".06pt" strokecolor="#000000"/>
            <v:line style="position:absolute" from="6595,235" to="7819,235" stroked="true" strokeweight=".06pt" strokecolor="#000000"/>
            <v:line style="position:absolute" from="6595,236" to="7819,236" stroked="true" strokeweight=".06pt" strokecolor="#000000"/>
            <v:line style="position:absolute" from="6595,237" to="7819,237" stroked="true" strokeweight=".06pt" strokecolor="#000000"/>
            <v:line style="position:absolute" from="6595,238" to="7819,238" stroked="true" strokeweight=".06pt" strokecolor="#000000"/>
            <v:line style="position:absolute" from="6595,239" to="7819,239" stroked="true" strokeweight=".06pt" strokecolor="#000000"/>
            <v:line style="position:absolute" from="6595,241" to="7819,241" stroked="true" strokeweight=".06pt" strokecolor="#000000"/>
            <v:line style="position:absolute" from="6595,242" to="7819,242" stroked="true" strokeweight=".06pt" strokecolor="#000000"/>
            <v:line style="position:absolute" from="6595,243" to="7819,243" stroked="true" strokeweight=".06pt" strokecolor="#000000"/>
            <v:line style="position:absolute" from="6595,244" to="7819,244" stroked="true" strokeweight=".06pt" strokecolor="#000000"/>
            <v:line style="position:absolute" from="6595,245" to="7819,245" stroked="true" strokeweight=".06pt" strokecolor="#000000"/>
            <v:line style="position:absolute" from="6595,247" to="7819,247" stroked="true" strokeweight=".06pt" strokecolor="#000000"/>
            <v:line style="position:absolute" from="6595,248" to="7819,248" stroked="true" strokeweight=".06pt" strokecolor="#000000"/>
            <v:line style="position:absolute" from="6595,249" to="7819,249" stroked="true" strokeweight=".06pt" strokecolor="#000000"/>
            <v:line style="position:absolute" from="6595,250" to="7819,250" stroked="true" strokeweight=".06pt" strokecolor="#000000"/>
            <v:line style="position:absolute" from="6595,251" to="7819,251" stroked="true" strokeweight=".06pt" strokecolor="#000000"/>
            <v:line style="position:absolute" from="7819,233" to="9043,233" stroked="true" strokeweight=".06pt" strokecolor="#000000"/>
            <v:line style="position:absolute" from="7819,235" to="9043,235" stroked="true" strokeweight=".06pt" strokecolor="#000000"/>
            <v:line style="position:absolute" from="7819,236" to="9043,236" stroked="true" strokeweight=".06pt" strokecolor="#000000"/>
            <v:line style="position:absolute" from="7819,237" to="9043,237" stroked="true" strokeweight=".06pt" strokecolor="#000000"/>
            <v:line style="position:absolute" from="7819,238" to="9043,238" stroked="true" strokeweight=".06pt" strokecolor="#000000"/>
            <v:line style="position:absolute" from="7819,239" to="9043,239" stroked="true" strokeweight=".06pt" strokecolor="#000000"/>
            <v:line style="position:absolute" from="7819,241" to="9043,241" stroked="true" strokeweight=".06pt" strokecolor="#000000"/>
            <v:line style="position:absolute" from="7819,242" to="9043,242" stroked="true" strokeweight=".06pt" strokecolor="#000000"/>
            <v:line style="position:absolute" from="7819,243" to="9043,243" stroked="true" strokeweight=".06pt" strokecolor="#000000"/>
            <v:line style="position:absolute" from="7819,244" to="9043,244" stroked="true" strokeweight=".06pt" strokecolor="#000000"/>
            <v:line style="position:absolute" from="7819,245" to="9043,245" stroked="true" strokeweight=".06pt" strokecolor="#000000"/>
            <v:line style="position:absolute" from="7819,247" to="9043,247" stroked="true" strokeweight=".06pt" strokecolor="#000000"/>
            <v:line style="position:absolute" from="7819,248" to="9043,248" stroked="true" strokeweight=".06pt" strokecolor="#000000"/>
            <v:line style="position:absolute" from="7819,249" to="9043,249" stroked="true" strokeweight=".06pt" strokecolor="#000000"/>
            <v:line style="position:absolute" from="7819,250" to="9043,250" stroked="true" strokeweight=".06pt" strokecolor="#000000"/>
            <v:line style="position:absolute" from="7819,251" to="9043,251" stroked="true" strokeweight=".06pt" strokecolor="#000000"/>
            <w10:wrap type="topAndBottom"/>
          </v:group>
        </w:pict>
      </w:r>
      <w:r>
        <w:rPr>
          <w:sz w:val="18"/>
        </w:rPr>
        <w:t>respect of Defined</w:t>
      </w:r>
      <w:r>
        <w:rPr>
          <w:spacing w:val="-1"/>
          <w:sz w:val="18"/>
        </w:rPr>
        <w:t> </w:t>
      </w:r>
      <w:r>
        <w:rPr>
          <w:sz w:val="18"/>
        </w:rPr>
        <w:t>Benefit</w:t>
      </w:r>
      <w:r>
        <w:rPr>
          <w:spacing w:val="-1"/>
          <w:sz w:val="18"/>
        </w:rPr>
        <w:t> </w:t>
      </w:r>
      <w:r>
        <w:rPr>
          <w:sz w:val="18"/>
        </w:rPr>
        <w:t>Plans</w:t>
        <w:tab/>
      </w:r>
      <w:r>
        <w:rPr>
          <w:b/>
          <w:sz w:val="18"/>
        </w:rPr>
        <w:t>-</w:t>
        <w:tab/>
        <w:t>(299)</w:t>
        <w:tab/>
        <w:t>(299)</w:t>
      </w:r>
    </w:p>
    <w:p>
      <w:pPr>
        <w:pStyle w:val="Heading9"/>
        <w:tabs>
          <w:tab w:pos="5057" w:val="left" w:leader="none"/>
          <w:tab w:pos="6281" w:val="left" w:leader="none"/>
          <w:tab w:pos="7505" w:val="left" w:leader="none"/>
        </w:tabs>
        <w:spacing w:before="84"/>
        <w:ind w:left="135"/>
      </w:pPr>
      <w:r>
        <w:rPr/>
        <w:t>Total comprehensive income</w:t>
        <w:tab/>
        <w:t>24,681</w:t>
        <w:tab/>
        <w:t>54,881</w:t>
        <w:tab/>
        <w:t>79,562</w:t>
      </w:r>
    </w:p>
    <w:p>
      <w:pPr>
        <w:pStyle w:val="BodyText"/>
        <w:spacing w:line="20" w:lineRule="exact"/>
        <w:ind w:left="4301"/>
        <w:rPr>
          <w:sz w:val="2"/>
        </w:rPr>
      </w:pPr>
      <w:r>
        <w:rPr>
          <w:sz w:val="2"/>
        </w:rPr>
        <w:pict>
          <v:group style="width:192.2pt;height:1pt;mso-position-horizontal-relative:char;mso-position-vertical-relative:line" coordorigin="0,0" coordsize="3844,2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17" to="170,17" stroked="true" strokeweight=".06pt" strokecolor="#000000"/>
            <v:line style="position:absolute" from="1,18" to="170,18" stroked="true" strokeweight=".06pt" strokecolor="#000000"/>
            <v:line style="position:absolute" from="1,19" to="170,19" stroked="true" strokeweight=".06pt" strokecolor="#000000"/>
            <v:line style="position:absolute" from="170,1" to="1394,1" stroked="true" strokeweight=".06pt" strokecolor="#000000"/>
            <v:line style="position:absolute" from="170,2" to="1394,2" stroked="true" strokeweight=".06pt" strokecolor="#000000"/>
            <v:line style="position:absolute" from="170,3" to="1394,3" stroked="true" strokeweight=".06pt" strokecolor="#000000"/>
            <v:line style="position:absolute" from="170,5" to="1394,5" stroked="true" strokeweight=".06pt" strokecolor="#000000"/>
            <v:line style="position:absolute" from="170,6" to="1394,6" stroked="true" strokeweight=".06pt" strokecolor="#000000"/>
            <v:line style="position:absolute" from="170,7" to="1394,7" stroked="true" strokeweight=".06pt" strokecolor="#000000"/>
            <v:line style="position:absolute" from="170,8" to="1394,8" stroked="true" strokeweight=".06pt" strokecolor="#000000"/>
            <v:line style="position:absolute" from="170,9" to="1394,9" stroked="true" strokeweight=".06pt" strokecolor="#000000"/>
            <v:line style="position:absolute" from="170,11" to="1394,11" stroked="true" strokeweight=".06pt" strokecolor="#000000"/>
            <v:line style="position:absolute" from="170,12" to="1394,12" stroked="true" strokeweight=".06pt" strokecolor="#000000"/>
            <v:line style="position:absolute" from="170,13" to="1394,13" stroked="true" strokeweight=".06pt" strokecolor="#000000"/>
            <v:line style="position:absolute" from="170,14" to="1394,14" stroked="true" strokeweight=".06pt" strokecolor="#000000"/>
            <v:line style="position:absolute" from="170,15" to="1394,15" stroked="true" strokeweight=".06pt" strokecolor="#000000"/>
            <v:line style="position:absolute" from="170,17" to="1394,17" stroked="true" strokeweight=".06pt" strokecolor="#000000"/>
            <v:line style="position:absolute" from="170,18" to="1394,18" stroked="true" strokeweight=".06pt" strokecolor="#000000"/>
            <v:line style="position:absolute" from="170,19" to="1394,19" stroked="true" strokeweight=".06pt" strokecolor="#000000"/>
            <v:line style="position:absolute" from="1394,1" to="2618,1" stroked="true" strokeweight=".06pt" strokecolor="#000000"/>
            <v:line style="position:absolute" from="1394,2" to="2618,2" stroked="true" strokeweight=".06pt" strokecolor="#000000"/>
            <v:line style="position:absolute" from="1394,3" to="2618,3" stroked="true" strokeweight=".06pt" strokecolor="#000000"/>
            <v:line style="position:absolute" from="1394,5" to="2618,5" stroked="true" strokeweight=".06pt" strokecolor="#000000"/>
            <v:line style="position:absolute" from="1394,6" to="2618,6" stroked="true" strokeweight=".06pt" strokecolor="#000000"/>
            <v:line style="position:absolute" from="1394,7" to="2618,7" stroked="true" strokeweight=".06pt" strokecolor="#000000"/>
            <v:line style="position:absolute" from="1394,8" to="2618,8" stroked="true" strokeweight=".06pt" strokecolor="#000000"/>
            <v:line style="position:absolute" from="1394,9" to="2618,9" stroked="true" strokeweight=".06pt" strokecolor="#000000"/>
            <v:line style="position:absolute" from="1394,11" to="2618,11" stroked="true" strokeweight=".06pt" strokecolor="#000000"/>
            <v:line style="position:absolute" from="1394,12" to="2618,12" stroked="true" strokeweight=".06pt" strokecolor="#000000"/>
            <v:line style="position:absolute" from="1394,13" to="2618,13" stroked="true" strokeweight=".06pt" strokecolor="#000000"/>
            <v:line style="position:absolute" from="1394,14" to="2618,14" stroked="true" strokeweight=".06pt" strokecolor="#000000"/>
            <v:line style="position:absolute" from="1394,15" to="2618,15" stroked="true" strokeweight=".06pt" strokecolor="#000000"/>
            <v:line style="position:absolute" from="1394,17" to="2618,17" stroked="true" strokeweight=".06pt" strokecolor="#000000"/>
            <v:line style="position:absolute" from="1394,18" to="2618,18" stroked="true" strokeweight=".06pt" strokecolor="#000000"/>
            <v:line style="position:absolute" from="1394,19" to="2618,19" stroked="true" strokeweight=".06pt" strokecolor="#000000"/>
            <v:line style="position:absolute" from="2618,1" to="3842,1" stroked="true" strokeweight=".06pt" strokecolor="#000000"/>
            <v:line style="position:absolute" from="2618,2" to="3842,2" stroked="true" strokeweight=".06pt" strokecolor="#000000"/>
            <v:line style="position:absolute" from="2618,3" to="3842,3" stroked="true" strokeweight=".06pt" strokecolor="#000000"/>
            <v:line style="position:absolute" from="2618,5" to="3842,5" stroked="true" strokeweight=".06pt" strokecolor="#000000"/>
            <v:line style="position:absolute" from="2618,6" to="3842,6" stroked="true" strokeweight=".06pt" strokecolor="#000000"/>
            <v:line style="position:absolute" from="2618,7" to="3842,7" stroked="true" strokeweight=".06pt" strokecolor="#000000"/>
            <v:line style="position:absolute" from="2618,8" to="3842,8" stroked="true" strokeweight=".06pt" strokecolor="#000000"/>
            <v:line style="position:absolute" from="2618,9" to="3842,9" stroked="true" strokeweight=".06pt" strokecolor="#000000"/>
            <v:line style="position:absolute" from="2618,11" to="3842,11" stroked="true" strokeweight=".06pt" strokecolor="#000000"/>
            <v:line style="position:absolute" from="2618,12" to="3842,12" stroked="true" strokeweight=".06pt" strokecolor="#000000"/>
            <v:line style="position:absolute" from="2618,13" to="3842,13" stroked="true" strokeweight=".06pt" strokecolor="#000000"/>
            <v:line style="position:absolute" from="2618,14" to="3842,14" stroked="true" strokeweight=".06pt" strokecolor="#000000"/>
            <v:line style="position:absolute" from="2618,15" to="3842,15" stroked="true" strokeweight=".06pt" strokecolor="#000000"/>
            <v:line style="position:absolute" from="2618,17" to="3842,17" stroked="true" strokeweight=".06pt" strokecolor="#000000"/>
            <v:line style="position:absolute" from="2618,18" to="3842,18" stroked="true" strokeweight=".06pt" strokecolor="#000000"/>
            <v:line style="position:absolute" from="2618,19" to="3842,19" stroked="true" strokeweight=".06pt" strokecolor="#000000"/>
          </v:group>
        </w:pict>
      </w:r>
      <w:r>
        <w:rPr>
          <w:sz w:val="2"/>
        </w:rPr>
      </w:r>
    </w:p>
    <w:p>
      <w:pPr>
        <w:tabs>
          <w:tab w:pos="4957" w:val="left" w:leader="none"/>
          <w:tab w:pos="6181" w:val="left" w:leader="none"/>
          <w:tab w:pos="7255" w:val="left" w:leader="none"/>
        </w:tabs>
        <w:spacing w:before="111"/>
        <w:ind w:left="135" w:right="0" w:firstLine="0"/>
        <w:jc w:val="left"/>
        <w:rPr>
          <w:b/>
          <w:sz w:val="18"/>
        </w:rPr>
      </w:pPr>
      <w:r>
        <w:rPr>
          <w:b/>
          <w:sz w:val="18"/>
        </w:rPr>
        <w:t>Balance at 31</w:t>
      </w:r>
      <w:r>
        <w:rPr>
          <w:b/>
          <w:spacing w:val="-3"/>
          <w:sz w:val="18"/>
        </w:rPr>
        <w:t> </w:t>
      </w:r>
      <w:r>
        <w:rPr>
          <w:b/>
          <w:sz w:val="18"/>
        </w:rPr>
        <w:t>December</w:t>
      </w:r>
      <w:r>
        <w:rPr>
          <w:b/>
          <w:spacing w:val="-1"/>
          <w:sz w:val="18"/>
        </w:rPr>
        <w:t> </w:t>
      </w:r>
      <w:r>
        <w:rPr>
          <w:b/>
          <w:sz w:val="18"/>
        </w:rPr>
        <w:t>2012</w:t>
        <w:tab/>
        <w:t>525,428</w:t>
        <w:tab/>
        <w:t>751,414</w:t>
        <w:tab/>
        <w:t>1,276,842</w:t>
      </w:r>
    </w:p>
    <w:p>
      <w:pPr>
        <w:pStyle w:val="BodyText"/>
        <w:spacing w:line="20" w:lineRule="exact"/>
        <w:ind w:left="4301"/>
        <w:rPr>
          <w:sz w:val="2"/>
        </w:rPr>
      </w:pPr>
      <w:r>
        <w:rPr>
          <w:sz w:val="2"/>
        </w:rPr>
        <w:pict>
          <v:group style="width:192.2pt;height:1pt;mso-position-horizontal-relative:char;mso-position-vertical-relative:line" coordorigin="0,0" coordsize="3844,2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17" to="170,17" stroked="true" strokeweight=".06pt" strokecolor="#000000"/>
            <v:line style="position:absolute" from="1,18" to="170,18" stroked="true" strokeweight=".06pt" strokecolor="#000000"/>
            <v:line style="position:absolute" from="1,19" to="170,19" stroked="true" strokeweight=".06pt" strokecolor="#000000"/>
            <v:line style="position:absolute" from="170,1" to="1394,1" stroked="true" strokeweight=".06pt" strokecolor="#000000"/>
            <v:line style="position:absolute" from="170,2" to="1394,2" stroked="true" strokeweight=".06pt" strokecolor="#000000"/>
            <v:line style="position:absolute" from="170,3" to="1394,3" stroked="true" strokeweight=".06pt" strokecolor="#000000"/>
            <v:line style="position:absolute" from="170,5" to="1394,5" stroked="true" strokeweight=".06pt" strokecolor="#000000"/>
            <v:line style="position:absolute" from="170,6" to="1394,6" stroked="true" strokeweight=".06pt" strokecolor="#000000"/>
            <v:line style="position:absolute" from="170,7" to="1394,7" stroked="true" strokeweight=".06pt" strokecolor="#000000"/>
            <v:line style="position:absolute" from="170,8" to="1394,8" stroked="true" strokeweight=".06pt" strokecolor="#000000"/>
            <v:line style="position:absolute" from="170,9" to="1394,9" stroked="true" strokeweight=".06pt" strokecolor="#000000"/>
            <v:line style="position:absolute" from="170,11" to="1394,11" stroked="true" strokeweight=".06pt" strokecolor="#000000"/>
            <v:line style="position:absolute" from="170,12" to="1394,12" stroked="true" strokeweight=".06pt" strokecolor="#000000"/>
            <v:line style="position:absolute" from="170,13" to="1394,13" stroked="true" strokeweight=".06pt" strokecolor="#000000"/>
            <v:line style="position:absolute" from="170,14" to="1394,14" stroked="true" strokeweight=".06pt" strokecolor="#000000"/>
            <v:line style="position:absolute" from="170,15" to="1394,15" stroked="true" strokeweight=".06pt" strokecolor="#000000"/>
            <v:line style="position:absolute" from="170,17" to="1394,17" stroked="true" strokeweight=".06pt" strokecolor="#000000"/>
            <v:line style="position:absolute" from="170,18" to="1394,18" stroked="true" strokeweight=".06pt" strokecolor="#000000"/>
            <v:line style="position:absolute" from="170,19" to="1394,19" stroked="true" strokeweight=".06pt" strokecolor="#000000"/>
            <v:line style="position:absolute" from="1394,1" to="2618,1" stroked="true" strokeweight=".06pt" strokecolor="#000000"/>
            <v:line style="position:absolute" from="1394,2" to="2618,2" stroked="true" strokeweight=".06pt" strokecolor="#000000"/>
            <v:line style="position:absolute" from="1394,3" to="2618,3" stroked="true" strokeweight=".06pt" strokecolor="#000000"/>
            <v:line style="position:absolute" from="1394,5" to="2618,5" stroked="true" strokeweight=".06pt" strokecolor="#000000"/>
            <v:line style="position:absolute" from="1394,6" to="2618,6" stroked="true" strokeweight=".06pt" strokecolor="#000000"/>
            <v:line style="position:absolute" from="1394,7" to="2618,7" stroked="true" strokeweight=".06pt" strokecolor="#000000"/>
            <v:line style="position:absolute" from="1394,8" to="2618,8" stroked="true" strokeweight=".06pt" strokecolor="#000000"/>
            <v:line style="position:absolute" from="1394,9" to="2618,9" stroked="true" strokeweight=".06pt" strokecolor="#000000"/>
            <v:line style="position:absolute" from="1394,11" to="2618,11" stroked="true" strokeweight=".06pt" strokecolor="#000000"/>
            <v:line style="position:absolute" from="1394,12" to="2618,12" stroked="true" strokeweight=".06pt" strokecolor="#000000"/>
            <v:line style="position:absolute" from="1394,13" to="2618,13" stroked="true" strokeweight=".06pt" strokecolor="#000000"/>
            <v:line style="position:absolute" from="1394,14" to="2618,14" stroked="true" strokeweight=".06pt" strokecolor="#000000"/>
            <v:line style="position:absolute" from="1394,15" to="2618,15" stroked="true" strokeweight=".06pt" strokecolor="#000000"/>
            <v:line style="position:absolute" from="1394,17" to="2618,17" stroked="true" strokeweight=".06pt" strokecolor="#000000"/>
            <v:line style="position:absolute" from="1394,18" to="2618,18" stroked="true" strokeweight=".06pt" strokecolor="#000000"/>
            <v:line style="position:absolute" from="1394,19" to="2618,19" stroked="true" strokeweight=".06pt" strokecolor="#000000"/>
            <v:line style="position:absolute" from="2618,1" to="3842,1" stroked="true" strokeweight=".06pt" strokecolor="#000000"/>
            <v:line style="position:absolute" from="2618,2" to="3842,2" stroked="true" strokeweight=".06pt" strokecolor="#000000"/>
            <v:line style="position:absolute" from="2618,3" to="3842,3" stroked="true" strokeweight=".06pt" strokecolor="#000000"/>
            <v:line style="position:absolute" from="2618,5" to="3842,5" stroked="true" strokeweight=".06pt" strokecolor="#000000"/>
            <v:line style="position:absolute" from="2618,6" to="3842,6" stroked="true" strokeweight=".06pt" strokecolor="#000000"/>
            <v:line style="position:absolute" from="2618,7" to="3842,7" stroked="true" strokeweight=".06pt" strokecolor="#000000"/>
            <v:line style="position:absolute" from="2618,8" to="3842,8" stroked="true" strokeweight=".06pt" strokecolor="#000000"/>
            <v:line style="position:absolute" from="2618,9" to="3842,9" stroked="true" strokeweight=".06pt" strokecolor="#000000"/>
            <v:line style="position:absolute" from="2618,11" to="3842,11" stroked="true" strokeweight=".06pt" strokecolor="#000000"/>
            <v:line style="position:absolute" from="2618,12" to="3842,12" stroked="true" strokeweight=".06pt" strokecolor="#000000"/>
            <v:line style="position:absolute" from="2618,13" to="3842,13" stroked="true" strokeweight=".06pt" strokecolor="#000000"/>
            <v:line style="position:absolute" from="2618,14" to="3842,14" stroked="true" strokeweight=".06pt" strokecolor="#000000"/>
            <v:line style="position:absolute" from="2618,15" to="3842,15" stroked="true" strokeweight=".06pt" strokecolor="#000000"/>
            <v:line style="position:absolute" from="2618,17" to="3842,17" stroked="true" strokeweight=".06pt" strokecolor="#000000"/>
            <v:line style="position:absolute" from="2618,18" to="3842,18" stroked="true" strokeweight=".06pt" strokecolor="#000000"/>
            <v:line style="position:absolute" from="2618,19" to="3842,19" stroked="true" strokeweight=".06pt" strokecolor="#000000"/>
          </v:group>
        </w:pict>
      </w:r>
      <w:r>
        <w:rPr>
          <w:sz w:val="2"/>
        </w:rPr>
      </w:r>
    </w:p>
    <w:p>
      <w:pPr>
        <w:pStyle w:val="BodyText"/>
        <w:spacing w:before="8"/>
        <w:rPr>
          <w:b/>
          <w:sz w:val="21"/>
        </w:rPr>
      </w:pPr>
    </w:p>
    <w:p>
      <w:pPr>
        <w:spacing w:after="0"/>
        <w:rPr>
          <w:sz w:val="21"/>
        </w:rPr>
        <w:sectPr>
          <w:headerReference w:type="default" r:id="rId58"/>
          <w:pgSz w:w="11910" w:h="16840"/>
          <w:pgMar w:header="1038" w:footer="507" w:top="3640" w:bottom="700" w:left="900" w:right="1680"/>
        </w:sectPr>
      </w:pPr>
    </w:p>
    <w:p>
      <w:pPr>
        <w:spacing w:before="78"/>
        <w:ind w:left="0" w:right="435" w:firstLine="0"/>
        <w:jc w:val="right"/>
        <w:rPr>
          <w:b/>
          <w:sz w:val="18"/>
        </w:rPr>
      </w:pPr>
      <w:r>
        <w:rPr>
          <w:b/>
          <w:sz w:val="18"/>
        </w:rPr>
        <w:t>Parent</w:t>
      </w:r>
    </w:p>
    <w:p>
      <w:pPr>
        <w:pStyle w:val="BodyText"/>
        <w:spacing w:before="8"/>
        <w:rPr>
          <w:b/>
          <w:sz w:val="23"/>
        </w:rPr>
      </w:pPr>
    </w:p>
    <w:p>
      <w:pPr>
        <w:spacing w:before="0"/>
        <w:ind w:left="0" w:right="0" w:firstLine="0"/>
        <w:jc w:val="right"/>
        <w:rPr>
          <w:b/>
          <w:sz w:val="18"/>
        </w:rPr>
      </w:pPr>
      <w:r>
        <w:rPr>
          <w:b/>
          <w:w w:val="95"/>
          <w:sz w:val="18"/>
        </w:rPr>
        <w:t>Reserves</w:t>
      </w:r>
    </w:p>
    <w:p>
      <w:pPr>
        <w:spacing w:before="66"/>
        <w:ind w:left="0" w:right="355" w:firstLine="0"/>
        <w:jc w:val="right"/>
        <w:rPr>
          <w:b/>
          <w:sz w:val="18"/>
        </w:rPr>
      </w:pPr>
      <w:r>
        <w:rPr>
          <w:b/>
          <w:sz w:val="18"/>
        </w:rPr>
        <w:t>$'000</w:t>
      </w:r>
    </w:p>
    <w:p>
      <w:pPr>
        <w:pStyle w:val="BodyText"/>
        <w:rPr>
          <w:b/>
        </w:rPr>
      </w:pPr>
      <w:r>
        <w:rPr/>
        <w:br w:type="column"/>
      </w:r>
      <w:r>
        <w:rPr>
          <w:b/>
        </w:rPr>
      </w:r>
    </w:p>
    <w:p>
      <w:pPr>
        <w:spacing w:before="144"/>
        <w:ind w:left="383" w:right="-20" w:firstLine="0"/>
        <w:jc w:val="left"/>
        <w:rPr>
          <w:b/>
          <w:sz w:val="18"/>
        </w:rPr>
      </w:pPr>
      <w:r>
        <w:rPr>
          <w:b/>
          <w:sz w:val="18"/>
        </w:rPr>
        <w:t>Retained Earnings</w:t>
      </w:r>
    </w:p>
    <w:p>
      <w:pPr>
        <w:spacing w:before="66"/>
        <w:ind w:left="383" w:right="-20" w:firstLine="0"/>
        <w:jc w:val="left"/>
        <w:rPr>
          <w:b/>
          <w:sz w:val="18"/>
        </w:rPr>
      </w:pPr>
      <w:r>
        <w:rPr>
          <w:b/>
          <w:sz w:val="18"/>
        </w:rPr>
        <w:t>$'000</w:t>
      </w:r>
    </w:p>
    <w:p>
      <w:pPr>
        <w:pStyle w:val="BodyText"/>
        <w:rPr>
          <w:b/>
        </w:rPr>
      </w:pPr>
      <w:r>
        <w:rPr/>
        <w:br w:type="column"/>
      </w:r>
      <w:r>
        <w:rPr>
          <w:b/>
        </w:rPr>
      </w:r>
    </w:p>
    <w:p>
      <w:pPr>
        <w:pStyle w:val="BodyText"/>
        <w:rPr>
          <w:b/>
        </w:rPr>
      </w:pPr>
    </w:p>
    <w:p>
      <w:pPr>
        <w:spacing w:before="144"/>
        <w:ind w:left="386" w:right="0" w:firstLine="0"/>
        <w:jc w:val="left"/>
        <w:rPr>
          <w:b/>
          <w:sz w:val="18"/>
        </w:rPr>
      </w:pPr>
      <w:r>
        <w:rPr>
          <w:b/>
          <w:sz w:val="18"/>
        </w:rPr>
        <w:t>Total</w:t>
      </w:r>
    </w:p>
    <w:p>
      <w:pPr>
        <w:spacing w:before="66"/>
        <w:ind w:left="386" w:right="0" w:firstLine="0"/>
        <w:jc w:val="left"/>
        <w:rPr>
          <w:b/>
          <w:sz w:val="18"/>
        </w:rPr>
      </w:pPr>
      <w:r>
        <w:rPr>
          <w:b/>
          <w:sz w:val="18"/>
        </w:rPr>
        <w:t>$'000</w:t>
      </w:r>
    </w:p>
    <w:p>
      <w:pPr>
        <w:spacing w:after="0"/>
        <w:jc w:val="left"/>
        <w:rPr>
          <w:sz w:val="18"/>
        </w:rPr>
        <w:sectPr>
          <w:type w:val="continuous"/>
          <w:pgSz w:w="11910" w:h="16840"/>
          <w:pgMar w:top="0" w:bottom="280" w:left="900" w:right="1680"/>
          <w:cols w:num="3" w:equalWidth="0">
            <w:col w:w="5300" w:space="40"/>
            <w:col w:w="1154" w:space="40"/>
            <w:col w:w="2796"/>
          </w:cols>
        </w:sectPr>
      </w:pPr>
    </w:p>
    <w:p>
      <w:pPr>
        <w:pStyle w:val="BodyText"/>
        <w:spacing w:before="8"/>
        <w:rPr>
          <w:b/>
          <w:sz w:val="2"/>
        </w:rPr>
      </w:pPr>
    </w:p>
    <w:p>
      <w:pPr>
        <w:pStyle w:val="BodyText"/>
        <w:spacing w:line="20" w:lineRule="exact"/>
        <w:ind w:left="4301"/>
        <w:rPr>
          <w:sz w:val="2"/>
        </w:rPr>
      </w:pPr>
      <w:r>
        <w:rPr>
          <w:sz w:val="2"/>
        </w:rPr>
        <w:pict>
          <v:group style="width:192.2pt;height:1pt;mso-position-horizontal-relative:char;mso-position-vertical-relative:line" coordorigin="0,0" coordsize="3844,2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17" to="170,17" stroked="true" strokeweight=".06pt" strokecolor="#000000"/>
            <v:line style="position:absolute" from="1,18" to="170,18" stroked="true" strokeweight=".06pt" strokecolor="#000000"/>
            <v:line style="position:absolute" from="1,19" to="170,19" stroked="true" strokeweight=".06pt" strokecolor="#000000"/>
            <v:line style="position:absolute" from="170,1" to="1394,1" stroked="true" strokeweight=".06pt" strokecolor="#000000"/>
            <v:line style="position:absolute" from="170,2" to="1394,2" stroked="true" strokeweight=".06pt" strokecolor="#000000"/>
            <v:line style="position:absolute" from="170,3" to="1394,3" stroked="true" strokeweight=".06pt" strokecolor="#000000"/>
            <v:line style="position:absolute" from="170,5" to="1394,5" stroked="true" strokeweight=".06pt" strokecolor="#000000"/>
            <v:line style="position:absolute" from="170,6" to="1394,6" stroked="true" strokeweight=".06pt" strokecolor="#000000"/>
            <v:line style="position:absolute" from="170,7" to="1394,7" stroked="true" strokeweight=".06pt" strokecolor="#000000"/>
            <v:line style="position:absolute" from="170,8" to="1394,8" stroked="true" strokeweight=".06pt" strokecolor="#000000"/>
            <v:line style="position:absolute" from="170,9" to="1394,9" stroked="true" strokeweight=".06pt" strokecolor="#000000"/>
            <v:line style="position:absolute" from="170,11" to="1394,11" stroked="true" strokeweight=".06pt" strokecolor="#000000"/>
            <v:line style="position:absolute" from="170,12" to="1394,12" stroked="true" strokeweight=".06pt" strokecolor="#000000"/>
            <v:line style="position:absolute" from="170,13" to="1394,13" stroked="true" strokeweight=".06pt" strokecolor="#000000"/>
            <v:line style="position:absolute" from="170,14" to="1394,14" stroked="true" strokeweight=".06pt" strokecolor="#000000"/>
            <v:line style="position:absolute" from="170,15" to="1394,15" stroked="true" strokeweight=".06pt" strokecolor="#000000"/>
            <v:line style="position:absolute" from="170,17" to="1394,17" stroked="true" strokeweight=".06pt" strokecolor="#000000"/>
            <v:line style="position:absolute" from="170,18" to="1394,18" stroked="true" strokeweight=".06pt" strokecolor="#000000"/>
            <v:line style="position:absolute" from="170,19" to="1394,19" stroked="true" strokeweight=".06pt" strokecolor="#000000"/>
            <v:line style="position:absolute" from="1394,1" to="2618,1" stroked="true" strokeweight=".06pt" strokecolor="#000000"/>
            <v:line style="position:absolute" from="1394,2" to="2618,2" stroked="true" strokeweight=".06pt" strokecolor="#000000"/>
            <v:line style="position:absolute" from="1394,3" to="2618,3" stroked="true" strokeweight=".06pt" strokecolor="#000000"/>
            <v:line style="position:absolute" from="1394,5" to="2618,5" stroked="true" strokeweight=".06pt" strokecolor="#000000"/>
            <v:line style="position:absolute" from="1394,6" to="2618,6" stroked="true" strokeweight=".06pt" strokecolor="#000000"/>
            <v:line style="position:absolute" from="1394,7" to="2618,7" stroked="true" strokeweight=".06pt" strokecolor="#000000"/>
            <v:line style="position:absolute" from="1394,8" to="2618,8" stroked="true" strokeweight=".06pt" strokecolor="#000000"/>
            <v:line style="position:absolute" from="1394,9" to="2618,9" stroked="true" strokeweight=".06pt" strokecolor="#000000"/>
            <v:line style="position:absolute" from="1394,11" to="2618,11" stroked="true" strokeweight=".06pt" strokecolor="#000000"/>
            <v:line style="position:absolute" from="1394,12" to="2618,12" stroked="true" strokeweight=".06pt" strokecolor="#000000"/>
            <v:line style="position:absolute" from="1394,13" to="2618,13" stroked="true" strokeweight=".06pt" strokecolor="#000000"/>
            <v:line style="position:absolute" from="1394,14" to="2618,14" stroked="true" strokeweight=".06pt" strokecolor="#000000"/>
            <v:line style="position:absolute" from="1394,15" to="2618,15" stroked="true" strokeweight=".06pt" strokecolor="#000000"/>
            <v:line style="position:absolute" from="1394,17" to="2618,17" stroked="true" strokeweight=".06pt" strokecolor="#000000"/>
            <v:line style="position:absolute" from="1394,18" to="2618,18" stroked="true" strokeweight=".06pt" strokecolor="#000000"/>
            <v:line style="position:absolute" from="1394,19" to="2618,19" stroked="true" strokeweight=".06pt" strokecolor="#000000"/>
            <v:line style="position:absolute" from="2618,1" to="3842,1" stroked="true" strokeweight=".06pt" strokecolor="#000000"/>
            <v:line style="position:absolute" from="2618,2" to="3842,2" stroked="true" strokeweight=".06pt" strokecolor="#000000"/>
            <v:line style="position:absolute" from="2618,3" to="3842,3" stroked="true" strokeweight=".06pt" strokecolor="#000000"/>
            <v:line style="position:absolute" from="2618,5" to="3842,5" stroked="true" strokeweight=".06pt" strokecolor="#000000"/>
            <v:line style="position:absolute" from="2618,6" to="3842,6" stroked="true" strokeweight=".06pt" strokecolor="#000000"/>
            <v:line style="position:absolute" from="2618,7" to="3842,7" stroked="true" strokeweight=".06pt" strokecolor="#000000"/>
            <v:line style="position:absolute" from="2618,8" to="3842,8" stroked="true" strokeweight=".06pt" strokecolor="#000000"/>
            <v:line style="position:absolute" from="2618,9" to="3842,9" stroked="true" strokeweight=".06pt" strokecolor="#000000"/>
            <v:line style="position:absolute" from="2618,11" to="3842,11" stroked="true" strokeweight=".06pt" strokecolor="#000000"/>
            <v:line style="position:absolute" from="2618,12" to="3842,12" stroked="true" strokeweight=".06pt" strokecolor="#000000"/>
            <v:line style="position:absolute" from="2618,13" to="3842,13" stroked="true" strokeweight=".06pt" strokecolor="#000000"/>
            <v:line style="position:absolute" from="2618,14" to="3842,14" stroked="true" strokeweight=".06pt" strokecolor="#000000"/>
            <v:line style="position:absolute" from="2618,15" to="3842,15" stroked="true" strokeweight=".06pt" strokecolor="#000000"/>
            <v:line style="position:absolute" from="2618,17" to="3842,17" stroked="true" strokeweight=".06pt" strokecolor="#000000"/>
            <v:line style="position:absolute" from="2618,18" to="3842,18" stroked="true" strokeweight=".06pt" strokecolor="#000000"/>
            <v:line style="position:absolute" from="2618,19" to="3842,19" stroked="true" strokeweight=".06pt" strokecolor="#00000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17" to="170,17" stroked="true" strokeweight=".06pt" strokecolor="#000000"/>
            <v:line style="position:absolute" from="1,18" to="170,18" stroked="true" strokeweight=".06pt" strokecolor="#000000"/>
            <v:line style="position:absolute" from="1,19" to="170,19" stroked="true" strokeweight=".06pt" strokecolor="#000000"/>
            <v:line style="position:absolute" from="170,1" to="1394,1" stroked="true" strokeweight=".06pt" strokecolor="#000000"/>
            <v:line style="position:absolute" from="170,2" to="1394,2" stroked="true" strokeweight=".06pt" strokecolor="#000000"/>
            <v:line style="position:absolute" from="170,3" to="1394,3" stroked="true" strokeweight=".06pt" strokecolor="#000000"/>
            <v:line style="position:absolute" from="170,5" to="1394,5" stroked="true" strokeweight=".06pt" strokecolor="#000000"/>
            <v:line style="position:absolute" from="170,6" to="1394,6" stroked="true" strokeweight=".06pt" strokecolor="#000000"/>
            <v:line style="position:absolute" from="170,7" to="1394,7" stroked="true" strokeweight=".06pt" strokecolor="#000000"/>
            <v:line style="position:absolute" from="170,8" to="1394,8" stroked="true" strokeweight=".06pt" strokecolor="#000000"/>
            <v:line style="position:absolute" from="170,9" to="1394,9" stroked="true" strokeweight=".06pt" strokecolor="#000000"/>
            <v:line style="position:absolute" from="170,11" to="1394,11" stroked="true" strokeweight=".06pt" strokecolor="#000000"/>
            <v:line style="position:absolute" from="170,12" to="1394,12" stroked="true" strokeweight=".06pt" strokecolor="#000000"/>
            <v:line style="position:absolute" from="170,13" to="1394,13" stroked="true" strokeweight=".06pt" strokecolor="#000000"/>
            <v:line style="position:absolute" from="170,14" to="1394,14" stroked="true" strokeweight=".06pt" strokecolor="#000000"/>
            <v:line style="position:absolute" from="170,15" to="1394,15" stroked="true" strokeweight=".06pt" strokecolor="#000000"/>
            <v:line style="position:absolute" from="170,17" to="1394,17" stroked="true" strokeweight=".06pt" strokecolor="#000000"/>
            <v:line style="position:absolute" from="170,18" to="1394,18" stroked="true" strokeweight=".06pt" strokecolor="#000000"/>
            <v:line style="position:absolute" from="170,19" to="1394,19" stroked="true" strokeweight=".06pt" strokecolor="#000000"/>
            <v:line style="position:absolute" from="1394,1" to="2618,1" stroked="true" strokeweight=".06pt" strokecolor="#000000"/>
            <v:line style="position:absolute" from="1394,2" to="2618,2" stroked="true" strokeweight=".06pt" strokecolor="#000000"/>
            <v:line style="position:absolute" from="1394,3" to="2618,3" stroked="true" strokeweight=".06pt" strokecolor="#000000"/>
            <v:line style="position:absolute" from="1394,5" to="2618,5" stroked="true" strokeweight=".06pt" strokecolor="#000000"/>
            <v:line style="position:absolute" from="1394,6" to="2618,6" stroked="true" strokeweight=".06pt" strokecolor="#000000"/>
            <v:line style="position:absolute" from="1394,7" to="2618,7" stroked="true" strokeweight=".06pt" strokecolor="#000000"/>
            <v:line style="position:absolute" from="1394,8" to="2618,8" stroked="true" strokeweight=".06pt" strokecolor="#000000"/>
            <v:line style="position:absolute" from="1394,9" to="2618,9" stroked="true" strokeweight=".06pt" strokecolor="#000000"/>
            <v:line style="position:absolute" from="1394,11" to="2618,11" stroked="true" strokeweight=".06pt" strokecolor="#000000"/>
            <v:line style="position:absolute" from="1394,12" to="2618,12" stroked="true" strokeweight=".06pt" strokecolor="#000000"/>
            <v:line style="position:absolute" from="1394,13" to="2618,13" stroked="true" strokeweight=".06pt" strokecolor="#000000"/>
            <v:line style="position:absolute" from="1394,14" to="2618,14" stroked="true" strokeweight=".06pt" strokecolor="#000000"/>
            <v:line style="position:absolute" from="1394,15" to="2618,15" stroked="true" strokeweight=".06pt" strokecolor="#000000"/>
            <v:line style="position:absolute" from="1394,17" to="2618,17" stroked="true" strokeweight=".06pt" strokecolor="#000000"/>
            <v:line style="position:absolute" from="1394,18" to="2618,18" stroked="true" strokeweight=".06pt" strokecolor="#000000"/>
            <v:line style="position:absolute" from="1394,19" to="2618,19" stroked="true" strokeweight=".06pt" strokecolor="#000000"/>
            <v:line style="position:absolute" from="2618,1" to="3842,1" stroked="true" strokeweight=".06pt" strokecolor="#000000"/>
            <v:line style="position:absolute" from="2618,2" to="3842,2" stroked="true" strokeweight=".06pt" strokecolor="#000000"/>
            <v:line style="position:absolute" from="2618,3" to="3842,3" stroked="true" strokeweight=".06pt" strokecolor="#000000"/>
            <v:line style="position:absolute" from="2618,5" to="3842,5" stroked="true" strokeweight=".06pt" strokecolor="#000000"/>
            <v:line style="position:absolute" from="2618,6" to="3842,6" stroked="true" strokeweight=".06pt" strokecolor="#000000"/>
            <v:line style="position:absolute" from="2618,7" to="3842,7" stroked="true" strokeweight=".06pt" strokecolor="#000000"/>
            <v:line style="position:absolute" from="2618,8" to="3842,8" stroked="true" strokeweight=".06pt" strokecolor="#000000"/>
            <v:line style="position:absolute" from="2618,9" to="3842,9" stroked="true" strokeweight=".06pt" strokecolor="#000000"/>
            <v:line style="position:absolute" from="2618,11" to="3842,11" stroked="true" strokeweight=".06pt" strokecolor="#000000"/>
            <v:line style="position:absolute" from="2618,12" to="3842,12" stroked="true" strokeweight=".06pt" strokecolor="#000000"/>
            <v:line style="position:absolute" from="2618,13" to="3842,13" stroked="true" strokeweight=".06pt" strokecolor="#000000"/>
            <v:line style="position:absolute" from="2618,14" to="3842,14" stroked="true" strokeweight=".06pt" strokecolor="#000000"/>
            <v:line style="position:absolute" from="2618,15" to="3842,15" stroked="true" strokeweight=".06pt" strokecolor="#000000"/>
            <v:line style="position:absolute" from="2618,17" to="3842,17" stroked="true" strokeweight=".06pt" strokecolor="#000000"/>
            <v:line style="position:absolute" from="2618,18" to="3842,18" stroked="true" strokeweight=".06pt" strokecolor="#000000"/>
            <v:line style="position:absolute" from="2618,19" to="3842,19" stroked="true" strokeweight=".06pt" strokecolor="#000000"/>
          </v:group>
        </w:pict>
      </w:r>
      <w:r>
        <w:rPr>
          <w:sz w:val="2"/>
        </w:rPr>
      </w:r>
    </w:p>
    <w:p>
      <w:pPr>
        <w:tabs>
          <w:tab w:pos="4958" w:val="left" w:leader="none"/>
          <w:tab w:pos="6182" w:val="left" w:leader="none"/>
          <w:tab w:pos="7256" w:val="left" w:leader="none"/>
        </w:tabs>
        <w:spacing w:before="39"/>
        <w:ind w:left="135" w:right="0" w:firstLine="0"/>
        <w:jc w:val="left"/>
        <w:rPr>
          <w:sz w:val="18"/>
        </w:rPr>
      </w:pPr>
      <w:r>
        <w:rPr>
          <w:b/>
          <w:sz w:val="18"/>
        </w:rPr>
        <w:t>Balance at 1</w:t>
      </w:r>
      <w:r>
        <w:rPr>
          <w:b/>
          <w:spacing w:val="-3"/>
          <w:sz w:val="18"/>
        </w:rPr>
        <w:t> </w:t>
      </w:r>
      <w:r>
        <w:rPr>
          <w:b/>
          <w:sz w:val="18"/>
        </w:rPr>
        <w:t>January</w:t>
      </w:r>
      <w:r>
        <w:rPr>
          <w:b/>
          <w:spacing w:val="-1"/>
          <w:sz w:val="18"/>
        </w:rPr>
        <w:t> </w:t>
      </w:r>
      <w:r>
        <w:rPr>
          <w:b/>
          <w:sz w:val="18"/>
        </w:rPr>
        <w:t>2011</w:t>
        <w:tab/>
      </w:r>
      <w:r>
        <w:rPr>
          <w:sz w:val="18"/>
        </w:rPr>
        <w:t>533,895</w:t>
        <w:tab/>
        <w:t>682,685</w:t>
        <w:tab/>
        <w:t>1,216,580</w:t>
      </w:r>
    </w:p>
    <w:p>
      <w:pPr>
        <w:pStyle w:val="BodyText"/>
        <w:tabs>
          <w:tab w:pos="5546" w:val="left" w:leader="none"/>
          <w:tab w:pos="6281" w:val="left" w:leader="none"/>
          <w:tab w:pos="7505" w:val="left" w:leader="none"/>
        </w:tabs>
        <w:spacing w:line="302" w:lineRule="auto" w:before="58"/>
        <w:ind w:left="135" w:right="1266"/>
      </w:pPr>
      <w:r>
        <w:rPr/>
        <w:t>Operating result for</w:t>
      </w:r>
      <w:r>
        <w:rPr>
          <w:spacing w:val="-1"/>
        </w:rPr>
        <w:t> </w:t>
      </w:r>
      <w:r>
        <w:rPr/>
        <w:t>the</w:t>
      </w:r>
      <w:r>
        <w:rPr>
          <w:spacing w:val="-1"/>
        </w:rPr>
        <w:t> </w:t>
      </w:r>
      <w:r>
        <w:rPr/>
        <w:t>year</w:t>
        <w:tab/>
        <w:t>-</w:t>
        <w:tab/>
        <w:t>14,931</w:t>
        <w:tab/>
        <w:t>14,931 Revaluation of property, plant</w:t>
      </w:r>
      <w:r>
        <w:rPr>
          <w:spacing w:val="-1"/>
        </w:rPr>
        <w:t> </w:t>
      </w:r>
      <w:r>
        <w:rPr/>
        <w:t>and</w:t>
      </w:r>
    </w:p>
    <w:p>
      <w:pPr>
        <w:pStyle w:val="BodyText"/>
        <w:tabs>
          <w:tab w:pos="4997" w:val="left" w:leader="none"/>
          <w:tab w:pos="6770" w:val="left" w:leader="none"/>
          <w:tab w:pos="7445" w:val="left" w:leader="none"/>
        </w:tabs>
        <w:spacing w:line="154" w:lineRule="exact"/>
        <w:ind w:left="135"/>
      </w:pPr>
      <w:r>
        <w:rPr/>
        <w:t>equipment</w:t>
        <w:tab/>
        <w:t>(28,395)</w:t>
        <w:tab/>
        <w:t>-</w:t>
        <w:tab/>
        <w:t>(28,395)</w:t>
      </w:r>
    </w:p>
    <w:p>
      <w:pPr>
        <w:pStyle w:val="BodyText"/>
        <w:tabs>
          <w:tab w:pos="5097" w:val="left" w:leader="none"/>
          <w:tab w:pos="5347" w:val="left" w:leader="none"/>
          <w:tab w:pos="6770" w:val="left" w:leader="none"/>
          <w:tab w:pos="7545" w:val="left" w:leader="none"/>
          <w:tab w:pos="7794" w:val="left" w:leader="none"/>
        </w:tabs>
        <w:spacing w:line="304" w:lineRule="auto" w:before="57"/>
        <w:ind w:left="135" w:right="1206"/>
      </w:pPr>
      <w:r>
        <w:rPr/>
        <w:t>Gain on available for sale</w:t>
      </w:r>
      <w:r>
        <w:rPr>
          <w:spacing w:val="-1"/>
        </w:rPr>
        <w:t> </w:t>
      </w:r>
      <w:r>
        <w:rPr/>
        <w:t>financial</w:t>
      </w:r>
      <w:r>
        <w:rPr>
          <w:spacing w:val="-1"/>
        </w:rPr>
        <w:t> </w:t>
      </w:r>
      <w:r>
        <w:rPr/>
        <w:t>assets</w:t>
        <w:tab/>
        <w:t>(4,873)</w:t>
        <w:tab/>
        <w:t>-</w:t>
        <w:tab/>
        <w:t>(4,873) Revaluation of</w:t>
      </w:r>
      <w:r>
        <w:rPr>
          <w:spacing w:val="-1"/>
        </w:rPr>
        <w:t> </w:t>
      </w:r>
      <w:r>
        <w:rPr/>
        <w:t>art</w:t>
      </w:r>
      <w:r>
        <w:rPr>
          <w:spacing w:val="-1"/>
        </w:rPr>
        <w:t> </w:t>
      </w:r>
      <w:r>
        <w:rPr/>
        <w:t>collection</w:t>
        <w:tab/>
        <w:tab/>
        <w:t>(13)</w:t>
        <w:tab/>
        <w:t>-</w:t>
        <w:tab/>
        <w:tab/>
        <w:t>(13)</w:t>
      </w:r>
    </w:p>
    <w:p>
      <w:pPr>
        <w:pStyle w:val="BodyText"/>
        <w:tabs>
          <w:tab w:pos="5307" w:val="left" w:leader="none"/>
          <w:tab w:pos="6770" w:val="left" w:leader="none"/>
          <w:tab w:pos="8055" w:val="right" w:leader="none"/>
        </w:tabs>
        <w:spacing w:before="2"/>
        <w:ind w:left="135"/>
      </w:pPr>
      <w:r>
        <w:rPr/>
        <w:t>Revaluation</w:t>
      </w:r>
      <w:r>
        <w:rPr>
          <w:spacing w:val="-1"/>
        </w:rPr>
        <w:t> </w:t>
      </w:r>
      <w:r>
        <w:rPr/>
        <w:t>of</w:t>
      </w:r>
      <w:r>
        <w:rPr>
          <w:spacing w:val="-1"/>
        </w:rPr>
        <w:t> </w:t>
      </w:r>
      <w:r>
        <w:rPr/>
        <w:t>livestock</w:t>
        <w:tab/>
        <w:t>133</w:t>
        <w:tab/>
        <w:t>-</w:t>
      </w:r>
      <w:r>
        <w:rPr>
          <w:rFonts w:ascii="Times New Roman"/>
        </w:rPr>
        <w:tab/>
      </w:r>
      <w:r>
        <w:rPr/>
        <w:t>133</w:t>
      </w:r>
    </w:p>
    <w:p>
      <w:pPr>
        <w:pStyle w:val="BodyText"/>
        <w:spacing w:line="207" w:lineRule="exact" w:before="55"/>
        <w:ind w:left="135"/>
      </w:pPr>
      <w:r>
        <w:rPr/>
        <w:t>Net actuarial gains / (losses) recognised in</w:t>
      </w:r>
    </w:p>
    <w:p>
      <w:pPr>
        <w:pStyle w:val="BodyText"/>
        <w:tabs>
          <w:tab w:pos="5546" w:val="left" w:leader="none"/>
          <w:tab w:pos="6321" w:val="left" w:leader="none"/>
          <w:tab w:pos="7545" w:val="left" w:leader="none"/>
        </w:tabs>
        <w:spacing w:line="207" w:lineRule="exact"/>
        <w:ind w:left="135"/>
      </w:pPr>
      <w:r>
        <w:rPr/>
        <w:pict>
          <v:group style="position:absolute;margin-left:260.049988pt;margin-top:11.616142pt;width:192.2pt;height:1pt;mso-position-horizontal-relative:page;mso-position-vertical-relative:paragraph;z-index:1336;mso-wrap-distance-left:0;mso-wrap-distance-right:0" coordorigin="5201,232" coordsize="3844,20">
            <v:line style="position:absolute" from="5202,233" to="5371,233" stroked="true" strokeweight=".06pt" strokecolor="#000000"/>
            <v:line style="position:absolute" from="5202,235" to="5371,235" stroked="true" strokeweight=".06pt" strokecolor="#000000"/>
            <v:line style="position:absolute" from="5202,236" to="5371,236" stroked="true" strokeweight=".06pt" strokecolor="#000000"/>
            <v:line style="position:absolute" from="5202,237" to="5371,237" stroked="true" strokeweight=".06pt" strokecolor="#000000"/>
            <v:line style="position:absolute" from="5202,238" to="5371,238" stroked="true" strokeweight=".06pt" strokecolor="#000000"/>
            <v:line style="position:absolute" from="5202,239" to="5371,239" stroked="true" strokeweight=".06pt" strokecolor="#000000"/>
            <v:line style="position:absolute" from="5202,241" to="5371,241" stroked="true" strokeweight=".06pt" strokecolor="#000000"/>
            <v:line style="position:absolute" from="5202,242" to="5371,242" stroked="true" strokeweight=".06pt" strokecolor="#000000"/>
            <v:line style="position:absolute" from="5202,243" to="5371,243" stroked="true" strokeweight=".06pt" strokecolor="#000000"/>
            <v:line style="position:absolute" from="5202,244" to="5371,244" stroked="true" strokeweight=".06pt" strokecolor="#000000"/>
            <v:line style="position:absolute" from="5202,245" to="5371,245" stroked="true" strokeweight=".06pt" strokecolor="#000000"/>
            <v:line style="position:absolute" from="5202,247" to="5371,247" stroked="true" strokeweight=".06pt" strokecolor="#000000"/>
            <v:line style="position:absolute" from="5202,248" to="5371,248" stroked="true" strokeweight=".06pt" strokecolor="#000000"/>
            <v:line style="position:absolute" from="5202,249" to="5371,249" stroked="true" strokeweight=".06pt" strokecolor="#000000"/>
            <v:line style="position:absolute" from="5202,250" to="5371,250" stroked="true" strokeweight=".06pt" strokecolor="#000000"/>
            <v:line style="position:absolute" from="5202,251" to="5371,251" stroked="true" strokeweight=".06pt" strokecolor="#000000"/>
            <v:line style="position:absolute" from="5371,233" to="6595,233" stroked="true" strokeweight=".06pt" strokecolor="#000000"/>
            <v:line style="position:absolute" from="5371,235" to="6595,235" stroked="true" strokeweight=".06pt" strokecolor="#000000"/>
            <v:line style="position:absolute" from="5371,236" to="6595,236" stroked="true" strokeweight=".06pt" strokecolor="#000000"/>
            <v:line style="position:absolute" from="5371,237" to="6595,237" stroked="true" strokeweight=".06pt" strokecolor="#000000"/>
            <v:line style="position:absolute" from="5371,238" to="6595,238" stroked="true" strokeweight=".06pt" strokecolor="#000000"/>
            <v:line style="position:absolute" from="5371,239" to="6595,239" stroked="true" strokeweight=".06pt" strokecolor="#000000"/>
            <v:line style="position:absolute" from="5371,241" to="6595,241" stroked="true" strokeweight=".06pt" strokecolor="#000000"/>
            <v:line style="position:absolute" from="5371,242" to="6595,242" stroked="true" strokeweight=".06pt" strokecolor="#000000"/>
            <v:line style="position:absolute" from="5371,243" to="6595,243" stroked="true" strokeweight=".06pt" strokecolor="#000000"/>
            <v:line style="position:absolute" from="5371,244" to="6595,244" stroked="true" strokeweight=".06pt" strokecolor="#000000"/>
            <v:line style="position:absolute" from="5371,245" to="6595,245" stroked="true" strokeweight=".06pt" strokecolor="#000000"/>
            <v:line style="position:absolute" from="5371,247" to="6595,247" stroked="true" strokeweight=".06pt" strokecolor="#000000"/>
            <v:line style="position:absolute" from="5371,248" to="6595,248" stroked="true" strokeweight=".06pt" strokecolor="#000000"/>
            <v:line style="position:absolute" from="5371,249" to="6595,249" stroked="true" strokeweight=".06pt" strokecolor="#000000"/>
            <v:line style="position:absolute" from="5371,250" to="6595,250" stroked="true" strokeweight=".06pt" strokecolor="#000000"/>
            <v:line style="position:absolute" from="5371,251" to="6595,251" stroked="true" strokeweight=".06pt" strokecolor="#000000"/>
            <v:line style="position:absolute" from="6595,233" to="7819,233" stroked="true" strokeweight=".06pt" strokecolor="#000000"/>
            <v:line style="position:absolute" from="6595,235" to="7819,235" stroked="true" strokeweight=".06pt" strokecolor="#000000"/>
            <v:line style="position:absolute" from="6595,236" to="7819,236" stroked="true" strokeweight=".06pt" strokecolor="#000000"/>
            <v:line style="position:absolute" from="6595,237" to="7819,237" stroked="true" strokeweight=".06pt" strokecolor="#000000"/>
            <v:line style="position:absolute" from="6595,238" to="7819,238" stroked="true" strokeweight=".06pt" strokecolor="#000000"/>
            <v:line style="position:absolute" from="6595,239" to="7819,239" stroked="true" strokeweight=".06pt" strokecolor="#000000"/>
            <v:line style="position:absolute" from="6595,241" to="7819,241" stroked="true" strokeweight=".06pt" strokecolor="#000000"/>
            <v:line style="position:absolute" from="6595,242" to="7819,242" stroked="true" strokeweight=".06pt" strokecolor="#000000"/>
            <v:line style="position:absolute" from="6595,243" to="7819,243" stroked="true" strokeweight=".06pt" strokecolor="#000000"/>
            <v:line style="position:absolute" from="6595,244" to="7819,244" stroked="true" strokeweight=".06pt" strokecolor="#000000"/>
            <v:line style="position:absolute" from="6595,245" to="7819,245" stroked="true" strokeweight=".06pt" strokecolor="#000000"/>
            <v:line style="position:absolute" from="6595,247" to="7819,247" stroked="true" strokeweight=".06pt" strokecolor="#000000"/>
            <v:line style="position:absolute" from="6595,248" to="7819,248" stroked="true" strokeweight=".06pt" strokecolor="#000000"/>
            <v:line style="position:absolute" from="6595,249" to="7819,249" stroked="true" strokeweight=".06pt" strokecolor="#000000"/>
            <v:line style="position:absolute" from="6595,250" to="7819,250" stroked="true" strokeweight=".06pt" strokecolor="#000000"/>
            <v:line style="position:absolute" from="6595,251" to="7819,251" stroked="true" strokeweight=".06pt" strokecolor="#000000"/>
            <v:line style="position:absolute" from="7819,233" to="9043,233" stroked="true" strokeweight=".06pt" strokecolor="#000000"/>
            <v:line style="position:absolute" from="7819,235" to="9043,235" stroked="true" strokeweight=".06pt" strokecolor="#000000"/>
            <v:line style="position:absolute" from="7819,236" to="9043,236" stroked="true" strokeweight=".06pt" strokecolor="#000000"/>
            <v:line style="position:absolute" from="7819,237" to="9043,237" stroked="true" strokeweight=".06pt" strokecolor="#000000"/>
            <v:line style="position:absolute" from="7819,238" to="9043,238" stroked="true" strokeweight=".06pt" strokecolor="#000000"/>
            <v:line style="position:absolute" from="7819,239" to="9043,239" stroked="true" strokeweight=".06pt" strokecolor="#000000"/>
            <v:line style="position:absolute" from="7819,241" to="9043,241" stroked="true" strokeweight=".06pt" strokecolor="#000000"/>
            <v:line style="position:absolute" from="7819,242" to="9043,242" stroked="true" strokeweight=".06pt" strokecolor="#000000"/>
            <v:line style="position:absolute" from="7819,243" to="9043,243" stroked="true" strokeweight=".06pt" strokecolor="#000000"/>
            <v:line style="position:absolute" from="7819,244" to="9043,244" stroked="true" strokeweight=".06pt" strokecolor="#000000"/>
            <v:line style="position:absolute" from="7819,245" to="9043,245" stroked="true" strokeweight=".06pt" strokecolor="#000000"/>
            <v:line style="position:absolute" from="7819,247" to="9043,247" stroked="true" strokeweight=".06pt" strokecolor="#000000"/>
            <v:line style="position:absolute" from="7819,248" to="9043,248" stroked="true" strokeweight=".06pt" strokecolor="#000000"/>
            <v:line style="position:absolute" from="7819,249" to="9043,249" stroked="true" strokeweight=".06pt" strokecolor="#000000"/>
            <v:line style="position:absolute" from="7819,250" to="9043,250" stroked="true" strokeweight=".06pt" strokecolor="#000000"/>
            <v:line style="position:absolute" from="7819,251" to="9043,251" stroked="true" strokeweight=".06pt" strokecolor="#000000"/>
            <w10:wrap type="topAndBottom"/>
          </v:group>
        </w:pict>
      </w:r>
      <w:r>
        <w:rPr/>
        <w:t>respect of Defined</w:t>
      </w:r>
      <w:r>
        <w:rPr>
          <w:spacing w:val="-1"/>
        </w:rPr>
        <w:t> </w:t>
      </w:r>
      <w:r>
        <w:rPr/>
        <w:t>Benefit</w:t>
      </w:r>
      <w:r>
        <w:rPr>
          <w:spacing w:val="-1"/>
        </w:rPr>
        <w:t> </w:t>
      </w:r>
      <w:r>
        <w:rPr/>
        <w:t>Plans</w:t>
        <w:tab/>
        <w:t>-</w:t>
        <w:tab/>
        <w:t>(1,083)</w:t>
        <w:tab/>
        <w:t>(1,083)</w:t>
      </w:r>
    </w:p>
    <w:p>
      <w:pPr>
        <w:tabs>
          <w:tab w:pos="4997" w:val="left" w:leader="none"/>
          <w:tab w:pos="6281" w:val="left" w:leader="none"/>
          <w:tab w:pos="7445" w:val="left" w:leader="none"/>
        </w:tabs>
        <w:spacing w:before="84"/>
        <w:ind w:left="135" w:right="0" w:firstLine="0"/>
        <w:jc w:val="left"/>
        <w:rPr>
          <w:sz w:val="18"/>
        </w:rPr>
      </w:pPr>
      <w:r>
        <w:rPr>
          <w:b/>
          <w:sz w:val="18"/>
        </w:rPr>
        <w:t>Total comprehensive income</w:t>
        <w:tab/>
      </w:r>
      <w:r>
        <w:rPr>
          <w:sz w:val="18"/>
        </w:rPr>
        <w:t>(33,148)</w:t>
        <w:tab/>
        <w:t>13,848</w:t>
        <w:tab/>
        <w:t>(19,300)</w:t>
      </w:r>
    </w:p>
    <w:p>
      <w:pPr>
        <w:pStyle w:val="BodyText"/>
        <w:spacing w:line="20" w:lineRule="exact"/>
        <w:ind w:left="4301"/>
        <w:rPr>
          <w:sz w:val="2"/>
        </w:rPr>
      </w:pPr>
      <w:r>
        <w:rPr>
          <w:sz w:val="2"/>
        </w:rPr>
        <w:pict>
          <v:group style="width:192.2pt;height:1pt;mso-position-horizontal-relative:char;mso-position-vertical-relative:line" coordorigin="0,0" coordsize="3844,2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17" to="170,17" stroked="true" strokeweight=".06pt" strokecolor="#000000"/>
            <v:line style="position:absolute" from="1,18" to="170,18" stroked="true" strokeweight=".06pt" strokecolor="#000000"/>
            <v:line style="position:absolute" from="1,19" to="170,19" stroked="true" strokeweight=".06pt" strokecolor="#000000"/>
            <v:line style="position:absolute" from="170,1" to="1394,1" stroked="true" strokeweight=".06pt" strokecolor="#000000"/>
            <v:line style="position:absolute" from="170,2" to="1394,2" stroked="true" strokeweight=".06pt" strokecolor="#000000"/>
            <v:line style="position:absolute" from="170,3" to="1394,3" stroked="true" strokeweight=".06pt" strokecolor="#000000"/>
            <v:line style="position:absolute" from="170,5" to="1394,5" stroked="true" strokeweight=".06pt" strokecolor="#000000"/>
            <v:line style="position:absolute" from="170,6" to="1394,6" stroked="true" strokeweight=".06pt" strokecolor="#000000"/>
            <v:line style="position:absolute" from="170,7" to="1394,7" stroked="true" strokeweight=".06pt" strokecolor="#000000"/>
            <v:line style="position:absolute" from="170,8" to="1394,8" stroked="true" strokeweight=".06pt" strokecolor="#000000"/>
            <v:line style="position:absolute" from="170,9" to="1394,9" stroked="true" strokeweight=".06pt" strokecolor="#000000"/>
            <v:line style="position:absolute" from="170,11" to="1394,11" stroked="true" strokeweight=".06pt" strokecolor="#000000"/>
            <v:line style="position:absolute" from="170,12" to="1394,12" stroked="true" strokeweight=".06pt" strokecolor="#000000"/>
            <v:line style="position:absolute" from="170,13" to="1394,13" stroked="true" strokeweight=".06pt" strokecolor="#000000"/>
            <v:line style="position:absolute" from="170,14" to="1394,14" stroked="true" strokeweight=".06pt" strokecolor="#000000"/>
            <v:line style="position:absolute" from="170,15" to="1394,15" stroked="true" strokeweight=".06pt" strokecolor="#000000"/>
            <v:line style="position:absolute" from="170,17" to="1394,17" stroked="true" strokeweight=".06pt" strokecolor="#000000"/>
            <v:line style="position:absolute" from="170,18" to="1394,18" stroked="true" strokeweight=".06pt" strokecolor="#000000"/>
            <v:line style="position:absolute" from="170,19" to="1394,19" stroked="true" strokeweight=".06pt" strokecolor="#000000"/>
            <v:line style="position:absolute" from="1394,1" to="2618,1" stroked="true" strokeweight=".06pt" strokecolor="#000000"/>
            <v:line style="position:absolute" from="1394,2" to="2618,2" stroked="true" strokeweight=".06pt" strokecolor="#000000"/>
            <v:line style="position:absolute" from="1394,3" to="2618,3" stroked="true" strokeweight=".06pt" strokecolor="#000000"/>
            <v:line style="position:absolute" from="1394,5" to="2618,5" stroked="true" strokeweight=".06pt" strokecolor="#000000"/>
            <v:line style="position:absolute" from="1394,6" to="2618,6" stroked="true" strokeweight=".06pt" strokecolor="#000000"/>
            <v:line style="position:absolute" from="1394,7" to="2618,7" stroked="true" strokeweight=".06pt" strokecolor="#000000"/>
            <v:line style="position:absolute" from="1394,8" to="2618,8" stroked="true" strokeweight=".06pt" strokecolor="#000000"/>
            <v:line style="position:absolute" from="1394,9" to="2618,9" stroked="true" strokeweight=".06pt" strokecolor="#000000"/>
            <v:line style="position:absolute" from="1394,11" to="2618,11" stroked="true" strokeweight=".06pt" strokecolor="#000000"/>
            <v:line style="position:absolute" from="1394,12" to="2618,12" stroked="true" strokeweight=".06pt" strokecolor="#000000"/>
            <v:line style="position:absolute" from="1394,13" to="2618,13" stroked="true" strokeweight=".06pt" strokecolor="#000000"/>
            <v:line style="position:absolute" from="1394,14" to="2618,14" stroked="true" strokeweight=".06pt" strokecolor="#000000"/>
            <v:line style="position:absolute" from="1394,15" to="2618,15" stroked="true" strokeweight=".06pt" strokecolor="#000000"/>
            <v:line style="position:absolute" from="1394,17" to="2618,17" stroked="true" strokeweight=".06pt" strokecolor="#000000"/>
            <v:line style="position:absolute" from="1394,18" to="2618,18" stroked="true" strokeweight=".06pt" strokecolor="#000000"/>
            <v:line style="position:absolute" from="1394,19" to="2618,19" stroked="true" strokeweight=".06pt" strokecolor="#000000"/>
            <v:line style="position:absolute" from="2618,1" to="3842,1" stroked="true" strokeweight=".06pt" strokecolor="#000000"/>
            <v:line style="position:absolute" from="2618,2" to="3842,2" stroked="true" strokeweight=".06pt" strokecolor="#000000"/>
            <v:line style="position:absolute" from="2618,3" to="3842,3" stroked="true" strokeweight=".06pt" strokecolor="#000000"/>
            <v:line style="position:absolute" from="2618,5" to="3842,5" stroked="true" strokeweight=".06pt" strokecolor="#000000"/>
            <v:line style="position:absolute" from="2618,6" to="3842,6" stroked="true" strokeweight=".06pt" strokecolor="#000000"/>
            <v:line style="position:absolute" from="2618,7" to="3842,7" stroked="true" strokeweight=".06pt" strokecolor="#000000"/>
            <v:line style="position:absolute" from="2618,8" to="3842,8" stroked="true" strokeweight=".06pt" strokecolor="#000000"/>
            <v:line style="position:absolute" from="2618,9" to="3842,9" stroked="true" strokeweight=".06pt" strokecolor="#000000"/>
            <v:line style="position:absolute" from="2618,11" to="3842,11" stroked="true" strokeweight=".06pt" strokecolor="#000000"/>
            <v:line style="position:absolute" from="2618,12" to="3842,12" stroked="true" strokeweight=".06pt" strokecolor="#000000"/>
            <v:line style="position:absolute" from="2618,13" to="3842,13" stroked="true" strokeweight=".06pt" strokecolor="#000000"/>
            <v:line style="position:absolute" from="2618,14" to="3842,14" stroked="true" strokeweight=".06pt" strokecolor="#000000"/>
            <v:line style="position:absolute" from="2618,15" to="3842,15" stroked="true" strokeweight=".06pt" strokecolor="#000000"/>
            <v:line style="position:absolute" from="2618,17" to="3842,17" stroked="true" strokeweight=".06pt" strokecolor="#000000"/>
            <v:line style="position:absolute" from="2618,18" to="3842,18" stroked="true" strokeweight=".06pt" strokecolor="#000000"/>
            <v:line style="position:absolute" from="2618,19" to="3842,19" stroked="true" strokeweight=".06pt" strokecolor="#00000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17" to="170,17" stroked="true" strokeweight=".06pt" strokecolor="#000000"/>
            <v:line style="position:absolute" from="1,18" to="170,18" stroked="true" strokeweight=".06pt" strokecolor="#000000"/>
            <v:line style="position:absolute" from="1,19" to="170,19" stroked="true" strokeweight=".06pt" strokecolor="#000000"/>
            <v:line style="position:absolute" from="170,1" to="1394,1" stroked="true" strokeweight=".06pt" strokecolor="#000000"/>
            <v:line style="position:absolute" from="170,2" to="1394,2" stroked="true" strokeweight=".06pt" strokecolor="#000000"/>
            <v:line style="position:absolute" from="170,3" to="1394,3" stroked="true" strokeweight=".06pt" strokecolor="#000000"/>
            <v:line style="position:absolute" from="170,5" to="1394,5" stroked="true" strokeweight=".06pt" strokecolor="#000000"/>
            <v:line style="position:absolute" from="170,6" to="1394,6" stroked="true" strokeweight=".06pt" strokecolor="#000000"/>
            <v:line style="position:absolute" from="170,7" to="1394,7" stroked="true" strokeweight=".06pt" strokecolor="#000000"/>
            <v:line style="position:absolute" from="170,8" to="1394,8" stroked="true" strokeweight=".06pt" strokecolor="#000000"/>
            <v:line style="position:absolute" from="170,9" to="1394,9" stroked="true" strokeweight=".06pt" strokecolor="#000000"/>
            <v:line style="position:absolute" from="170,11" to="1394,11" stroked="true" strokeweight=".06pt" strokecolor="#000000"/>
            <v:line style="position:absolute" from="170,12" to="1394,12" stroked="true" strokeweight=".06pt" strokecolor="#000000"/>
            <v:line style="position:absolute" from="170,13" to="1394,13" stroked="true" strokeweight=".06pt" strokecolor="#000000"/>
            <v:line style="position:absolute" from="170,14" to="1394,14" stroked="true" strokeweight=".06pt" strokecolor="#000000"/>
            <v:line style="position:absolute" from="170,15" to="1394,15" stroked="true" strokeweight=".06pt" strokecolor="#000000"/>
            <v:line style="position:absolute" from="170,17" to="1394,17" stroked="true" strokeweight=".06pt" strokecolor="#000000"/>
            <v:line style="position:absolute" from="170,18" to="1394,18" stroked="true" strokeweight=".06pt" strokecolor="#000000"/>
            <v:line style="position:absolute" from="170,19" to="1394,19" stroked="true" strokeweight=".06pt" strokecolor="#000000"/>
            <v:line style="position:absolute" from="1394,1" to="2618,1" stroked="true" strokeweight=".06pt" strokecolor="#000000"/>
            <v:line style="position:absolute" from="1394,2" to="2618,2" stroked="true" strokeweight=".06pt" strokecolor="#000000"/>
            <v:line style="position:absolute" from="1394,3" to="2618,3" stroked="true" strokeweight=".06pt" strokecolor="#000000"/>
            <v:line style="position:absolute" from="1394,5" to="2618,5" stroked="true" strokeweight=".06pt" strokecolor="#000000"/>
            <v:line style="position:absolute" from="1394,6" to="2618,6" stroked="true" strokeweight=".06pt" strokecolor="#000000"/>
            <v:line style="position:absolute" from="1394,7" to="2618,7" stroked="true" strokeweight=".06pt" strokecolor="#000000"/>
            <v:line style="position:absolute" from="1394,8" to="2618,8" stroked="true" strokeweight=".06pt" strokecolor="#000000"/>
            <v:line style="position:absolute" from="1394,9" to="2618,9" stroked="true" strokeweight=".06pt" strokecolor="#000000"/>
            <v:line style="position:absolute" from="1394,11" to="2618,11" stroked="true" strokeweight=".06pt" strokecolor="#000000"/>
            <v:line style="position:absolute" from="1394,12" to="2618,12" stroked="true" strokeweight=".06pt" strokecolor="#000000"/>
            <v:line style="position:absolute" from="1394,13" to="2618,13" stroked="true" strokeweight=".06pt" strokecolor="#000000"/>
            <v:line style="position:absolute" from="1394,14" to="2618,14" stroked="true" strokeweight=".06pt" strokecolor="#000000"/>
            <v:line style="position:absolute" from="1394,15" to="2618,15" stroked="true" strokeweight=".06pt" strokecolor="#000000"/>
            <v:line style="position:absolute" from="1394,17" to="2618,17" stroked="true" strokeweight=".06pt" strokecolor="#000000"/>
            <v:line style="position:absolute" from="1394,18" to="2618,18" stroked="true" strokeweight=".06pt" strokecolor="#000000"/>
            <v:line style="position:absolute" from="1394,19" to="2618,19" stroked="true" strokeweight=".06pt" strokecolor="#000000"/>
            <v:line style="position:absolute" from="2618,1" to="3842,1" stroked="true" strokeweight=".06pt" strokecolor="#000000"/>
            <v:line style="position:absolute" from="2618,2" to="3842,2" stroked="true" strokeweight=".06pt" strokecolor="#000000"/>
            <v:line style="position:absolute" from="2618,3" to="3842,3" stroked="true" strokeweight=".06pt" strokecolor="#000000"/>
            <v:line style="position:absolute" from="2618,5" to="3842,5" stroked="true" strokeweight=".06pt" strokecolor="#000000"/>
            <v:line style="position:absolute" from="2618,6" to="3842,6" stroked="true" strokeweight=".06pt" strokecolor="#000000"/>
            <v:line style="position:absolute" from="2618,7" to="3842,7" stroked="true" strokeweight=".06pt" strokecolor="#000000"/>
            <v:line style="position:absolute" from="2618,8" to="3842,8" stroked="true" strokeweight=".06pt" strokecolor="#000000"/>
            <v:line style="position:absolute" from="2618,9" to="3842,9" stroked="true" strokeweight=".06pt" strokecolor="#000000"/>
            <v:line style="position:absolute" from="2618,11" to="3842,11" stroked="true" strokeweight=".06pt" strokecolor="#000000"/>
            <v:line style="position:absolute" from="2618,12" to="3842,12" stroked="true" strokeweight=".06pt" strokecolor="#000000"/>
            <v:line style="position:absolute" from="2618,13" to="3842,13" stroked="true" strokeweight=".06pt" strokecolor="#000000"/>
            <v:line style="position:absolute" from="2618,14" to="3842,14" stroked="true" strokeweight=".06pt" strokecolor="#000000"/>
            <v:line style="position:absolute" from="2618,15" to="3842,15" stroked="true" strokeweight=".06pt" strokecolor="#000000"/>
            <v:line style="position:absolute" from="2618,17" to="3842,17" stroked="true" strokeweight=".06pt" strokecolor="#000000"/>
            <v:line style="position:absolute" from="2618,18" to="3842,18" stroked="true" strokeweight=".06pt" strokecolor="#000000"/>
            <v:line style="position:absolute" from="2618,19" to="3842,19" stroked="true" strokeweight=".06pt" strokecolor="#000000"/>
          </v:group>
        </w:pict>
      </w:r>
      <w:r>
        <w:rPr>
          <w:sz w:val="2"/>
        </w:rPr>
      </w:r>
    </w:p>
    <w:p>
      <w:pPr>
        <w:tabs>
          <w:tab w:pos="4958" w:val="left" w:leader="none"/>
          <w:tab w:pos="6182" w:val="left" w:leader="none"/>
          <w:tab w:pos="7256" w:val="left" w:leader="none"/>
        </w:tabs>
        <w:spacing w:before="111"/>
        <w:ind w:left="135" w:right="0" w:firstLine="0"/>
        <w:jc w:val="left"/>
        <w:rPr>
          <w:sz w:val="18"/>
        </w:rPr>
      </w:pPr>
      <w:r>
        <w:rPr>
          <w:b/>
          <w:sz w:val="18"/>
        </w:rPr>
        <w:t>Balance at 31</w:t>
      </w:r>
      <w:r>
        <w:rPr>
          <w:b/>
          <w:spacing w:val="-3"/>
          <w:sz w:val="18"/>
        </w:rPr>
        <w:t> </w:t>
      </w:r>
      <w:r>
        <w:rPr>
          <w:b/>
          <w:sz w:val="18"/>
        </w:rPr>
        <w:t>December</w:t>
      </w:r>
      <w:r>
        <w:rPr>
          <w:b/>
          <w:spacing w:val="-1"/>
          <w:sz w:val="18"/>
        </w:rPr>
        <w:t> </w:t>
      </w:r>
      <w:r>
        <w:rPr>
          <w:b/>
          <w:sz w:val="18"/>
        </w:rPr>
        <w:t>2011</w:t>
        <w:tab/>
      </w:r>
      <w:r>
        <w:rPr>
          <w:sz w:val="18"/>
        </w:rPr>
        <w:t>500,747</w:t>
        <w:tab/>
        <w:t>696,533</w:t>
        <w:tab/>
        <w:t>1,197,280</w:t>
      </w:r>
    </w:p>
    <w:p>
      <w:pPr>
        <w:pStyle w:val="BodyText"/>
        <w:spacing w:line="20" w:lineRule="exact"/>
        <w:ind w:left="4301"/>
        <w:rPr>
          <w:sz w:val="2"/>
        </w:rPr>
      </w:pPr>
      <w:r>
        <w:rPr>
          <w:sz w:val="2"/>
        </w:rPr>
        <w:pict>
          <v:group style="width:192.2pt;height:1pt;mso-position-horizontal-relative:char;mso-position-vertical-relative:line" coordorigin="0,0" coordsize="3844,2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17" to="170,17" stroked="true" strokeweight=".06pt" strokecolor="#000000"/>
            <v:line style="position:absolute" from="1,18" to="170,18" stroked="true" strokeweight=".06pt" strokecolor="#000000"/>
            <v:line style="position:absolute" from="1,19" to="170,19" stroked="true" strokeweight=".06pt" strokecolor="#000000"/>
            <v:line style="position:absolute" from="170,1" to="1394,1" stroked="true" strokeweight=".06pt" strokecolor="#000000"/>
            <v:line style="position:absolute" from="170,2" to="1394,2" stroked="true" strokeweight=".06pt" strokecolor="#000000"/>
            <v:line style="position:absolute" from="170,3" to="1394,3" stroked="true" strokeweight=".06pt" strokecolor="#000000"/>
            <v:line style="position:absolute" from="170,5" to="1394,5" stroked="true" strokeweight=".06pt" strokecolor="#000000"/>
            <v:line style="position:absolute" from="170,6" to="1394,6" stroked="true" strokeweight=".06pt" strokecolor="#000000"/>
            <v:line style="position:absolute" from="170,7" to="1394,7" stroked="true" strokeweight=".06pt" strokecolor="#000000"/>
            <v:line style="position:absolute" from="170,8" to="1394,8" stroked="true" strokeweight=".06pt" strokecolor="#000000"/>
            <v:line style="position:absolute" from="170,9" to="1394,9" stroked="true" strokeweight=".06pt" strokecolor="#000000"/>
            <v:line style="position:absolute" from="170,11" to="1394,11" stroked="true" strokeweight=".06pt" strokecolor="#000000"/>
            <v:line style="position:absolute" from="170,12" to="1394,12" stroked="true" strokeweight=".06pt" strokecolor="#000000"/>
            <v:line style="position:absolute" from="170,13" to="1394,13" stroked="true" strokeweight=".06pt" strokecolor="#000000"/>
            <v:line style="position:absolute" from="170,14" to="1394,14" stroked="true" strokeweight=".06pt" strokecolor="#000000"/>
            <v:line style="position:absolute" from="170,15" to="1394,15" stroked="true" strokeweight=".06pt" strokecolor="#000000"/>
            <v:line style="position:absolute" from="170,17" to="1394,17" stroked="true" strokeweight=".06pt" strokecolor="#000000"/>
            <v:line style="position:absolute" from="170,18" to="1394,18" stroked="true" strokeweight=".06pt" strokecolor="#000000"/>
            <v:line style="position:absolute" from="170,19" to="1394,19" stroked="true" strokeweight=".06pt" strokecolor="#000000"/>
            <v:line style="position:absolute" from="1394,1" to="2618,1" stroked="true" strokeweight=".06pt" strokecolor="#000000"/>
            <v:line style="position:absolute" from="1394,2" to="2618,2" stroked="true" strokeweight=".06pt" strokecolor="#000000"/>
            <v:line style="position:absolute" from="1394,3" to="2618,3" stroked="true" strokeweight=".06pt" strokecolor="#000000"/>
            <v:line style="position:absolute" from="1394,5" to="2618,5" stroked="true" strokeweight=".06pt" strokecolor="#000000"/>
            <v:line style="position:absolute" from="1394,6" to="2618,6" stroked="true" strokeweight=".06pt" strokecolor="#000000"/>
            <v:line style="position:absolute" from="1394,7" to="2618,7" stroked="true" strokeweight=".06pt" strokecolor="#000000"/>
            <v:line style="position:absolute" from="1394,8" to="2618,8" stroked="true" strokeweight=".06pt" strokecolor="#000000"/>
            <v:line style="position:absolute" from="1394,9" to="2618,9" stroked="true" strokeweight=".06pt" strokecolor="#000000"/>
            <v:line style="position:absolute" from="1394,11" to="2618,11" stroked="true" strokeweight=".06pt" strokecolor="#000000"/>
            <v:line style="position:absolute" from="1394,12" to="2618,12" stroked="true" strokeweight=".06pt" strokecolor="#000000"/>
            <v:line style="position:absolute" from="1394,13" to="2618,13" stroked="true" strokeweight=".06pt" strokecolor="#000000"/>
            <v:line style="position:absolute" from="1394,14" to="2618,14" stroked="true" strokeweight=".06pt" strokecolor="#000000"/>
            <v:line style="position:absolute" from="1394,15" to="2618,15" stroked="true" strokeweight=".06pt" strokecolor="#000000"/>
            <v:line style="position:absolute" from="1394,17" to="2618,17" stroked="true" strokeweight=".06pt" strokecolor="#000000"/>
            <v:line style="position:absolute" from="1394,18" to="2618,18" stroked="true" strokeweight=".06pt" strokecolor="#000000"/>
            <v:line style="position:absolute" from="1394,19" to="2618,19" stroked="true" strokeweight=".06pt" strokecolor="#000000"/>
            <v:line style="position:absolute" from="2618,1" to="3842,1" stroked="true" strokeweight=".06pt" strokecolor="#000000"/>
            <v:line style="position:absolute" from="2618,2" to="3842,2" stroked="true" strokeweight=".06pt" strokecolor="#000000"/>
            <v:line style="position:absolute" from="2618,3" to="3842,3" stroked="true" strokeweight=".06pt" strokecolor="#000000"/>
            <v:line style="position:absolute" from="2618,5" to="3842,5" stroked="true" strokeweight=".06pt" strokecolor="#000000"/>
            <v:line style="position:absolute" from="2618,6" to="3842,6" stroked="true" strokeweight=".06pt" strokecolor="#000000"/>
            <v:line style="position:absolute" from="2618,7" to="3842,7" stroked="true" strokeweight=".06pt" strokecolor="#000000"/>
            <v:line style="position:absolute" from="2618,8" to="3842,8" stroked="true" strokeweight=".06pt" strokecolor="#000000"/>
            <v:line style="position:absolute" from="2618,9" to="3842,9" stroked="true" strokeweight=".06pt" strokecolor="#000000"/>
            <v:line style="position:absolute" from="2618,11" to="3842,11" stroked="true" strokeweight=".06pt" strokecolor="#000000"/>
            <v:line style="position:absolute" from="2618,12" to="3842,12" stroked="true" strokeweight=".06pt" strokecolor="#000000"/>
            <v:line style="position:absolute" from="2618,13" to="3842,13" stroked="true" strokeweight=".06pt" strokecolor="#000000"/>
            <v:line style="position:absolute" from="2618,14" to="3842,14" stroked="true" strokeweight=".06pt" strokecolor="#000000"/>
            <v:line style="position:absolute" from="2618,15" to="3842,15" stroked="true" strokeweight=".06pt" strokecolor="#000000"/>
            <v:line style="position:absolute" from="2618,17" to="3842,17" stroked="true" strokeweight=".06pt" strokecolor="#000000"/>
            <v:line style="position:absolute" from="2618,18" to="3842,18" stroked="true" strokeweight=".06pt" strokecolor="#000000"/>
            <v:line style="position:absolute" from="2618,19" to="3842,19" stroked="true" strokeweight=".06pt" strokecolor="#000000"/>
          </v:group>
        </w:pic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p>
    <w:p>
      <w:pPr>
        <w:pStyle w:val="BodyText"/>
        <w:spacing w:before="78"/>
        <w:ind w:left="107"/>
      </w:pPr>
      <w:r>
        <w:rPr/>
        <w:t>The accompanying notes form part of these financial statements.</w:t>
      </w:r>
    </w:p>
    <w:p>
      <w:pPr>
        <w:spacing w:after="0"/>
        <w:sectPr>
          <w:type w:val="continuous"/>
          <w:pgSz w:w="11910" w:h="16840"/>
          <w:pgMar w:top="0" w:bottom="280" w:left="900" w:right="1680"/>
        </w:sectPr>
      </w:pPr>
    </w:p>
    <w:p>
      <w:pPr>
        <w:pStyle w:val="BodyText"/>
        <w:spacing w:before="5"/>
        <w:rPr>
          <w:sz w:val="3"/>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623"/>
        <w:gridCol w:w="1149"/>
        <w:gridCol w:w="1069"/>
      </w:tblGrid>
      <w:tr>
        <w:trPr>
          <w:trHeight w:val="244" w:hRule="exact"/>
        </w:trPr>
        <w:tc>
          <w:tcPr>
            <w:tcW w:w="4201" w:type="dxa"/>
          </w:tcPr>
          <w:p>
            <w:pPr>
              <w:pStyle w:val="TableParagraph"/>
              <w:spacing w:line="202" w:lineRule="exact"/>
              <w:ind w:left="35" w:right="1445"/>
              <w:rPr>
                <w:b/>
                <w:sz w:val="18"/>
              </w:rPr>
            </w:pPr>
            <w:r>
              <w:rPr>
                <w:b/>
                <w:sz w:val="18"/>
              </w:rPr>
              <w:t>Balance at 1 January 2012</w:t>
            </w:r>
          </w:p>
        </w:tc>
        <w:tc>
          <w:tcPr>
            <w:tcW w:w="1623" w:type="dxa"/>
          </w:tcPr>
          <w:p>
            <w:pPr>
              <w:pStyle w:val="TableParagraph"/>
              <w:spacing w:line="206" w:lineRule="exact"/>
              <w:ind w:right="313"/>
              <w:jc w:val="right"/>
              <w:rPr>
                <w:b/>
                <w:sz w:val="18"/>
              </w:rPr>
            </w:pPr>
            <w:r>
              <w:rPr>
                <w:b/>
                <w:w w:val="95"/>
                <w:sz w:val="18"/>
              </w:rPr>
              <w:t>500,760</w:t>
            </w:r>
          </w:p>
        </w:tc>
        <w:tc>
          <w:tcPr>
            <w:tcW w:w="1149" w:type="dxa"/>
          </w:tcPr>
          <w:p>
            <w:pPr>
              <w:pStyle w:val="TableParagraph"/>
              <w:spacing w:line="206" w:lineRule="exact"/>
              <w:ind w:right="239"/>
              <w:jc w:val="right"/>
              <w:rPr>
                <w:b/>
                <w:sz w:val="18"/>
              </w:rPr>
            </w:pPr>
            <w:r>
              <w:rPr>
                <w:b/>
                <w:w w:val="95"/>
                <w:sz w:val="18"/>
              </w:rPr>
              <w:t>733,637</w:t>
            </w:r>
          </w:p>
        </w:tc>
        <w:tc>
          <w:tcPr>
            <w:tcW w:w="1069" w:type="dxa"/>
          </w:tcPr>
          <w:p>
            <w:pPr>
              <w:pStyle w:val="TableParagraph"/>
              <w:spacing w:line="206" w:lineRule="exact"/>
              <w:ind w:left="182"/>
              <w:rPr>
                <w:b/>
                <w:sz w:val="18"/>
              </w:rPr>
            </w:pPr>
            <w:r>
              <w:rPr>
                <w:b/>
                <w:sz w:val="18"/>
              </w:rPr>
              <w:t>1,234,397</w:t>
            </w:r>
          </w:p>
        </w:tc>
      </w:tr>
      <w:tr>
        <w:trPr>
          <w:trHeight w:val="264" w:hRule="exact"/>
        </w:trPr>
        <w:tc>
          <w:tcPr>
            <w:tcW w:w="4201" w:type="dxa"/>
          </w:tcPr>
          <w:p>
            <w:pPr>
              <w:pStyle w:val="TableParagraph"/>
              <w:spacing w:before="20"/>
              <w:ind w:left="35" w:right="1445"/>
              <w:rPr>
                <w:sz w:val="18"/>
              </w:rPr>
            </w:pPr>
            <w:r>
              <w:rPr>
                <w:sz w:val="18"/>
              </w:rPr>
              <w:t>Operating result for the year</w:t>
            </w:r>
          </w:p>
        </w:tc>
        <w:tc>
          <w:tcPr>
            <w:tcW w:w="1623" w:type="dxa"/>
          </w:tcPr>
          <w:p>
            <w:pPr>
              <w:pStyle w:val="TableParagraph"/>
              <w:spacing w:before="19"/>
              <w:ind w:right="316"/>
              <w:jc w:val="right"/>
              <w:rPr>
                <w:b/>
                <w:sz w:val="18"/>
              </w:rPr>
            </w:pPr>
            <w:r>
              <w:rPr>
                <w:b/>
                <w:w w:val="99"/>
                <w:sz w:val="18"/>
              </w:rPr>
              <w:t>-</w:t>
            </w:r>
          </w:p>
        </w:tc>
        <w:tc>
          <w:tcPr>
            <w:tcW w:w="1149" w:type="dxa"/>
          </w:tcPr>
          <w:p>
            <w:pPr>
              <w:pStyle w:val="TableParagraph"/>
              <w:spacing w:before="19"/>
              <w:ind w:right="239"/>
              <w:jc w:val="right"/>
              <w:rPr>
                <w:b/>
                <w:sz w:val="18"/>
              </w:rPr>
            </w:pPr>
            <w:r>
              <w:rPr>
                <w:b/>
                <w:w w:val="95"/>
                <w:sz w:val="18"/>
              </w:rPr>
              <w:t>60,972</w:t>
            </w:r>
          </w:p>
        </w:tc>
        <w:tc>
          <w:tcPr>
            <w:tcW w:w="1069" w:type="dxa"/>
          </w:tcPr>
          <w:p>
            <w:pPr>
              <w:pStyle w:val="TableParagraph"/>
              <w:spacing w:before="19"/>
              <w:ind w:right="84"/>
              <w:jc w:val="right"/>
              <w:rPr>
                <w:b/>
                <w:sz w:val="18"/>
              </w:rPr>
            </w:pPr>
            <w:r>
              <w:rPr>
                <w:b/>
                <w:w w:val="95"/>
                <w:sz w:val="18"/>
              </w:rPr>
              <w:t>60,972</w:t>
            </w:r>
          </w:p>
        </w:tc>
      </w:tr>
      <w:tr>
        <w:trPr>
          <w:trHeight w:val="469" w:hRule="exact"/>
        </w:trPr>
        <w:tc>
          <w:tcPr>
            <w:tcW w:w="4201" w:type="dxa"/>
          </w:tcPr>
          <w:p>
            <w:pPr>
              <w:pStyle w:val="TableParagraph"/>
              <w:spacing w:before="18"/>
              <w:ind w:left="35" w:right="1445" w:hanging="1"/>
              <w:rPr>
                <w:sz w:val="18"/>
              </w:rPr>
            </w:pPr>
            <w:r>
              <w:rPr>
                <w:sz w:val="18"/>
              </w:rPr>
              <w:t>Revaluation of property, plant and equipment</w:t>
            </w:r>
          </w:p>
        </w:tc>
        <w:tc>
          <w:tcPr>
            <w:tcW w:w="1623" w:type="dxa"/>
          </w:tcPr>
          <w:p>
            <w:pPr>
              <w:pStyle w:val="TableParagraph"/>
              <w:spacing w:before="4"/>
              <w:rPr>
                <w:sz w:val="19"/>
              </w:rPr>
            </w:pPr>
          </w:p>
          <w:p>
            <w:pPr>
              <w:pStyle w:val="TableParagraph"/>
              <w:ind w:right="314"/>
              <w:jc w:val="right"/>
              <w:rPr>
                <w:b/>
                <w:sz w:val="18"/>
              </w:rPr>
            </w:pPr>
            <w:r>
              <w:rPr>
                <w:b/>
                <w:w w:val="95"/>
                <w:sz w:val="18"/>
              </w:rPr>
              <w:t>14,004</w:t>
            </w:r>
          </w:p>
        </w:tc>
        <w:tc>
          <w:tcPr>
            <w:tcW w:w="1149" w:type="dxa"/>
          </w:tcPr>
          <w:p>
            <w:pPr>
              <w:pStyle w:val="TableParagraph"/>
              <w:spacing w:before="4"/>
              <w:rPr>
                <w:sz w:val="19"/>
              </w:rPr>
            </w:pPr>
          </w:p>
          <w:p>
            <w:pPr>
              <w:pStyle w:val="TableParagraph"/>
              <w:ind w:right="241"/>
              <w:jc w:val="right"/>
              <w:rPr>
                <w:b/>
                <w:sz w:val="18"/>
              </w:rPr>
            </w:pPr>
            <w:r>
              <w:rPr>
                <w:b/>
                <w:w w:val="99"/>
                <w:sz w:val="18"/>
              </w:rPr>
              <w:t>-</w:t>
            </w:r>
          </w:p>
        </w:tc>
        <w:tc>
          <w:tcPr>
            <w:tcW w:w="1069" w:type="dxa"/>
          </w:tcPr>
          <w:p>
            <w:pPr>
              <w:pStyle w:val="TableParagraph"/>
              <w:spacing w:before="4"/>
              <w:rPr>
                <w:sz w:val="19"/>
              </w:rPr>
            </w:pPr>
          </w:p>
          <w:p>
            <w:pPr>
              <w:pStyle w:val="TableParagraph"/>
              <w:ind w:right="84"/>
              <w:jc w:val="right"/>
              <w:rPr>
                <w:b/>
                <w:sz w:val="18"/>
              </w:rPr>
            </w:pPr>
            <w:r>
              <w:rPr>
                <w:b/>
                <w:w w:val="95"/>
                <w:sz w:val="18"/>
              </w:rPr>
              <w:t>14,004</w:t>
            </w:r>
          </w:p>
        </w:tc>
      </w:tr>
      <w:tr>
        <w:trPr>
          <w:trHeight w:val="264" w:hRule="exact"/>
        </w:trPr>
        <w:tc>
          <w:tcPr>
            <w:tcW w:w="4201" w:type="dxa"/>
          </w:tcPr>
          <w:p>
            <w:pPr>
              <w:pStyle w:val="TableParagraph"/>
              <w:spacing w:before="19"/>
              <w:ind w:left="35" w:right="754"/>
              <w:rPr>
                <w:sz w:val="18"/>
              </w:rPr>
            </w:pPr>
            <w:r>
              <w:rPr>
                <w:sz w:val="18"/>
              </w:rPr>
              <w:t>Gain on available for sale financial assets</w:t>
            </w:r>
          </w:p>
        </w:tc>
        <w:tc>
          <w:tcPr>
            <w:tcW w:w="1623" w:type="dxa"/>
          </w:tcPr>
          <w:p>
            <w:pPr>
              <w:pStyle w:val="TableParagraph"/>
              <w:spacing w:before="18"/>
              <w:ind w:right="314"/>
              <w:jc w:val="right"/>
              <w:rPr>
                <w:b/>
                <w:sz w:val="18"/>
              </w:rPr>
            </w:pPr>
            <w:r>
              <w:rPr>
                <w:b/>
                <w:w w:val="95"/>
                <w:sz w:val="18"/>
              </w:rPr>
              <w:t>12,018</w:t>
            </w:r>
          </w:p>
        </w:tc>
        <w:tc>
          <w:tcPr>
            <w:tcW w:w="1149" w:type="dxa"/>
          </w:tcPr>
          <w:p>
            <w:pPr>
              <w:pStyle w:val="TableParagraph"/>
              <w:spacing w:before="18"/>
              <w:ind w:right="241"/>
              <w:jc w:val="right"/>
              <w:rPr>
                <w:b/>
                <w:sz w:val="18"/>
              </w:rPr>
            </w:pPr>
            <w:r>
              <w:rPr>
                <w:b/>
                <w:w w:val="99"/>
                <w:sz w:val="18"/>
              </w:rPr>
              <w:t>-</w:t>
            </w:r>
          </w:p>
        </w:tc>
        <w:tc>
          <w:tcPr>
            <w:tcW w:w="1069" w:type="dxa"/>
          </w:tcPr>
          <w:p>
            <w:pPr>
              <w:pStyle w:val="TableParagraph"/>
              <w:spacing w:before="18"/>
              <w:ind w:right="84"/>
              <w:jc w:val="right"/>
              <w:rPr>
                <w:b/>
                <w:sz w:val="18"/>
              </w:rPr>
            </w:pPr>
            <w:r>
              <w:rPr>
                <w:b/>
                <w:w w:val="95"/>
                <w:sz w:val="18"/>
              </w:rPr>
              <w:t>12,018</w:t>
            </w:r>
          </w:p>
        </w:tc>
      </w:tr>
      <w:tr>
        <w:trPr>
          <w:trHeight w:val="264" w:hRule="exact"/>
        </w:trPr>
        <w:tc>
          <w:tcPr>
            <w:tcW w:w="4201" w:type="dxa"/>
          </w:tcPr>
          <w:p>
            <w:pPr>
              <w:pStyle w:val="TableParagraph"/>
              <w:spacing w:before="19"/>
              <w:ind w:left="35" w:right="1445"/>
              <w:rPr>
                <w:sz w:val="18"/>
              </w:rPr>
            </w:pPr>
            <w:r>
              <w:rPr>
                <w:sz w:val="18"/>
              </w:rPr>
              <w:t>Revaluation of art collection</w:t>
            </w:r>
          </w:p>
        </w:tc>
        <w:tc>
          <w:tcPr>
            <w:tcW w:w="1623" w:type="dxa"/>
          </w:tcPr>
          <w:p>
            <w:pPr>
              <w:pStyle w:val="TableParagraph"/>
              <w:spacing w:before="18"/>
              <w:ind w:right="316"/>
              <w:jc w:val="right"/>
              <w:rPr>
                <w:b/>
                <w:sz w:val="18"/>
              </w:rPr>
            </w:pPr>
            <w:r>
              <w:rPr>
                <w:b/>
                <w:w w:val="99"/>
                <w:sz w:val="18"/>
              </w:rPr>
              <w:t>-</w:t>
            </w:r>
          </w:p>
        </w:tc>
        <w:tc>
          <w:tcPr>
            <w:tcW w:w="1149" w:type="dxa"/>
          </w:tcPr>
          <w:p>
            <w:pPr>
              <w:pStyle w:val="TableParagraph"/>
              <w:spacing w:before="18"/>
              <w:ind w:right="241"/>
              <w:jc w:val="right"/>
              <w:rPr>
                <w:b/>
                <w:sz w:val="18"/>
              </w:rPr>
            </w:pPr>
            <w:r>
              <w:rPr>
                <w:b/>
                <w:w w:val="99"/>
                <w:sz w:val="18"/>
              </w:rPr>
              <w:t>-</w:t>
            </w:r>
          </w:p>
        </w:tc>
        <w:tc>
          <w:tcPr>
            <w:tcW w:w="1069" w:type="dxa"/>
          </w:tcPr>
          <w:p>
            <w:pPr>
              <w:pStyle w:val="TableParagraph"/>
              <w:spacing w:before="18"/>
              <w:ind w:right="86"/>
              <w:jc w:val="right"/>
              <w:rPr>
                <w:b/>
                <w:sz w:val="18"/>
              </w:rPr>
            </w:pPr>
            <w:r>
              <w:rPr>
                <w:b/>
                <w:w w:val="99"/>
                <w:sz w:val="18"/>
              </w:rPr>
              <w:t>-</w:t>
            </w:r>
          </w:p>
        </w:tc>
      </w:tr>
      <w:tr>
        <w:trPr>
          <w:trHeight w:val="263" w:hRule="exact"/>
        </w:trPr>
        <w:tc>
          <w:tcPr>
            <w:tcW w:w="4201" w:type="dxa"/>
          </w:tcPr>
          <w:p>
            <w:pPr>
              <w:pStyle w:val="TableParagraph"/>
              <w:spacing w:before="19"/>
              <w:ind w:left="35" w:right="1445"/>
              <w:rPr>
                <w:sz w:val="18"/>
              </w:rPr>
            </w:pPr>
            <w:r>
              <w:rPr>
                <w:sz w:val="18"/>
              </w:rPr>
              <w:t>Revaluation of livestock</w:t>
            </w:r>
          </w:p>
        </w:tc>
        <w:tc>
          <w:tcPr>
            <w:tcW w:w="1623" w:type="dxa"/>
          </w:tcPr>
          <w:p>
            <w:pPr>
              <w:pStyle w:val="TableParagraph"/>
              <w:spacing w:before="18"/>
              <w:ind w:right="255"/>
              <w:jc w:val="right"/>
              <w:rPr>
                <w:b/>
                <w:sz w:val="18"/>
              </w:rPr>
            </w:pPr>
            <w:r>
              <w:rPr>
                <w:b/>
                <w:w w:val="95"/>
                <w:sz w:val="18"/>
              </w:rPr>
              <w:t>(69)</w:t>
            </w:r>
          </w:p>
        </w:tc>
        <w:tc>
          <w:tcPr>
            <w:tcW w:w="1149" w:type="dxa"/>
          </w:tcPr>
          <w:p>
            <w:pPr>
              <w:pStyle w:val="TableParagraph"/>
              <w:spacing w:before="18"/>
              <w:ind w:right="241"/>
              <w:jc w:val="right"/>
              <w:rPr>
                <w:b/>
                <w:sz w:val="18"/>
              </w:rPr>
            </w:pPr>
            <w:r>
              <w:rPr>
                <w:b/>
                <w:w w:val="99"/>
                <w:sz w:val="18"/>
              </w:rPr>
              <w:t>-</w:t>
            </w:r>
          </w:p>
        </w:tc>
        <w:tc>
          <w:tcPr>
            <w:tcW w:w="1069" w:type="dxa"/>
          </w:tcPr>
          <w:p>
            <w:pPr>
              <w:pStyle w:val="TableParagraph"/>
              <w:spacing w:before="18"/>
              <w:ind w:right="26"/>
              <w:jc w:val="right"/>
              <w:rPr>
                <w:b/>
                <w:sz w:val="18"/>
              </w:rPr>
            </w:pPr>
            <w:r>
              <w:rPr>
                <w:b/>
                <w:w w:val="95"/>
                <w:sz w:val="18"/>
              </w:rPr>
              <w:t>(69)</w:t>
            </w:r>
          </w:p>
        </w:tc>
      </w:tr>
      <w:tr>
        <w:trPr>
          <w:trHeight w:val="467" w:hRule="exact"/>
        </w:trPr>
        <w:tc>
          <w:tcPr>
            <w:tcW w:w="4201" w:type="dxa"/>
          </w:tcPr>
          <w:p>
            <w:pPr>
              <w:pStyle w:val="TableParagraph"/>
              <w:spacing w:before="18"/>
              <w:ind w:left="35" w:right="754"/>
              <w:rPr>
                <w:sz w:val="18"/>
              </w:rPr>
            </w:pPr>
            <w:r>
              <w:rPr>
                <w:sz w:val="18"/>
              </w:rPr>
              <w:t>Net actuarial gains / (losses) recognised in respect of Defined Benefit Plans</w:t>
            </w:r>
          </w:p>
        </w:tc>
        <w:tc>
          <w:tcPr>
            <w:tcW w:w="1623" w:type="dxa"/>
            <w:tcBorders>
              <w:bottom w:val="single" w:sz="0" w:space="0" w:color="000000"/>
            </w:tcBorders>
          </w:tcPr>
          <w:p>
            <w:pPr>
              <w:pStyle w:val="TableParagraph"/>
              <w:spacing w:before="4"/>
              <w:rPr>
                <w:sz w:val="19"/>
              </w:rPr>
            </w:pPr>
          </w:p>
          <w:p>
            <w:pPr>
              <w:pStyle w:val="TableParagraph"/>
              <w:spacing w:before="1"/>
              <w:ind w:right="316"/>
              <w:jc w:val="right"/>
              <w:rPr>
                <w:b/>
                <w:sz w:val="18"/>
              </w:rPr>
            </w:pPr>
            <w:r>
              <w:rPr>
                <w:b/>
                <w:w w:val="99"/>
                <w:sz w:val="18"/>
              </w:rPr>
              <w:t>-</w:t>
            </w:r>
          </w:p>
        </w:tc>
        <w:tc>
          <w:tcPr>
            <w:tcW w:w="1149" w:type="dxa"/>
            <w:tcBorders>
              <w:bottom w:val="single" w:sz="0" w:space="0" w:color="000000"/>
            </w:tcBorders>
          </w:tcPr>
          <w:p>
            <w:pPr>
              <w:pStyle w:val="TableParagraph"/>
              <w:spacing w:before="4"/>
              <w:rPr>
                <w:sz w:val="19"/>
              </w:rPr>
            </w:pPr>
          </w:p>
          <w:p>
            <w:pPr>
              <w:pStyle w:val="TableParagraph"/>
              <w:spacing w:before="1"/>
              <w:ind w:right="180"/>
              <w:jc w:val="right"/>
              <w:rPr>
                <w:b/>
                <w:sz w:val="18"/>
              </w:rPr>
            </w:pPr>
            <w:r>
              <w:rPr>
                <w:b/>
                <w:sz w:val="18"/>
              </w:rPr>
              <w:t>(299)</w:t>
            </w:r>
          </w:p>
        </w:tc>
        <w:tc>
          <w:tcPr>
            <w:tcW w:w="1069" w:type="dxa"/>
            <w:tcBorders>
              <w:bottom w:val="single" w:sz="0" w:space="0" w:color="000000"/>
            </w:tcBorders>
          </w:tcPr>
          <w:p>
            <w:pPr>
              <w:pStyle w:val="TableParagraph"/>
              <w:spacing w:before="4"/>
              <w:rPr>
                <w:sz w:val="19"/>
              </w:rPr>
            </w:pPr>
          </w:p>
          <w:p>
            <w:pPr>
              <w:pStyle w:val="TableParagraph"/>
              <w:spacing w:before="1"/>
              <w:ind w:right="25"/>
              <w:jc w:val="right"/>
              <w:rPr>
                <w:b/>
                <w:sz w:val="18"/>
              </w:rPr>
            </w:pPr>
            <w:r>
              <w:rPr>
                <w:b/>
                <w:sz w:val="18"/>
              </w:rPr>
              <w:t>(299)</w:t>
            </w:r>
          </w:p>
        </w:tc>
      </w:tr>
      <w:tr>
        <w:trPr>
          <w:trHeight w:val="338" w:hRule="exact"/>
        </w:trPr>
        <w:tc>
          <w:tcPr>
            <w:tcW w:w="4201" w:type="dxa"/>
          </w:tcPr>
          <w:p>
            <w:pPr>
              <w:pStyle w:val="TableParagraph"/>
              <w:spacing w:before="123"/>
              <w:ind w:left="35" w:right="1445"/>
              <w:rPr>
                <w:b/>
                <w:sz w:val="18"/>
              </w:rPr>
            </w:pPr>
            <w:r>
              <w:rPr>
                <w:b/>
                <w:sz w:val="18"/>
              </w:rPr>
              <w:t>Total comprehensive income</w:t>
            </w:r>
          </w:p>
        </w:tc>
        <w:tc>
          <w:tcPr>
            <w:tcW w:w="1623" w:type="dxa"/>
            <w:tcBorders>
              <w:top w:val="single" w:sz="0" w:space="0" w:color="000000"/>
              <w:bottom w:val="single" w:sz="0" w:space="0" w:color="000000"/>
            </w:tcBorders>
          </w:tcPr>
          <w:p>
            <w:pPr>
              <w:pStyle w:val="TableParagraph"/>
              <w:spacing w:before="122"/>
              <w:ind w:right="314"/>
              <w:jc w:val="right"/>
              <w:rPr>
                <w:b/>
                <w:sz w:val="18"/>
              </w:rPr>
            </w:pPr>
            <w:r>
              <w:rPr>
                <w:b/>
                <w:w w:val="95"/>
                <w:sz w:val="18"/>
              </w:rPr>
              <w:t>25,953</w:t>
            </w:r>
          </w:p>
        </w:tc>
        <w:tc>
          <w:tcPr>
            <w:tcW w:w="1149" w:type="dxa"/>
            <w:tcBorders>
              <w:top w:val="single" w:sz="0" w:space="0" w:color="000000"/>
              <w:bottom w:val="single" w:sz="0" w:space="0" w:color="000000"/>
            </w:tcBorders>
          </w:tcPr>
          <w:p>
            <w:pPr>
              <w:pStyle w:val="TableParagraph"/>
              <w:spacing w:before="122"/>
              <w:ind w:right="239"/>
              <w:jc w:val="right"/>
              <w:rPr>
                <w:b/>
                <w:sz w:val="18"/>
              </w:rPr>
            </w:pPr>
            <w:r>
              <w:rPr>
                <w:b/>
                <w:w w:val="95"/>
                <w:sz w:val="18"/>
              </w:rPr>
              <w:t>60,673</w:t>
            </w:r>
          </w:p>
        </w:tc>
        <w:tc>
          <w:tcPr>
            <w:tcW w:w="1069" w:type="dxa"/>
            <w:tcBorders>
              <w:top w:val="single" w:sz="0" w:space="0" w:color="000000"/>
              <w:bottom w:val="single" w:sz="0" w:space="0" w:color="000000"/>
            </w:tcBorders>
          </w:tcPr>
          <w:p>
            <w:pPr>
              <w:pStyle w:val="TableParagraph"/>
              <w:spacing w:before="122"/>
              <w:ind w:right="84"/>
              <w:jc w:val="right"/>
              <w:rPr>
                <w:b/>
                <w:sz w:val="18"/>
              </w:rPr>
            </w:pPr>
            <w:r>
              <w:rPr>
                <w:b/>
                <w:w w:val="95"/>
                <w:sz w:val="18"/>
              </w:rPr>
              <w:t>86,626</w:t>
            </w:r>
          </w:p>
        </w:tc>
      </w:tr>
      <w:tr>
        <w:trPr>
          <w:trHeight w:val="338" w:hRule="exact"/>
        </w:trPr>
        <w:tc>
          <w:tcPr>
            <w:tcW w:w="4201" w:type="dxa"/>
          </w:tcPr>
          <w:p>
            <w:pPr>
              <w:pStyle w:val="TableParagraph"/>
              <w:spacing w:before="123"/>
              <w:ind w:left="35" w:right="1445"/>
              <w:rPr>
                <w:b/>
                <w:sz w:val="18"/>
              </w:rPr>
            </w:pPr>
            <w:r>
              <w:rPr>
                <w:b/>
                <w:sz w:val="18"/>
              </w:rPr>
              <w:t>Balance at 31 December 2012</w:t>
            </w:r>
          </w:p>
        </w:tc>
        <w:tc>
          <w:tcPr>
            <w:tcW w:w="1623" w:type="dxa"/>
            <w:tcBorders>
              <w:top w:val="single" w:sz="0" w:space="0" w:color="000000"/>
              <w:bottom w:val="single" w:sz="0" w:space="0" w:color="000000"/>
            </w:tcBorders>
          </w:tcPr>
          <w:p>
            <w:pPr>
              <w:pStyle w:val="TableParagraph"/>
              <w:spacing w:before="122"/>
              <w:ind w:right="313"/>
              <w:jc w:val="right"/>
              <w:rPr>
                <w:b/>
                <w:sz w:val="18"/>
              </w:rPr>
            </w:pPr>
            <w:r>
              <w:rPr>
                <w:b/>
                <w:w w:val="95"/>
                <w:sz w:val="18"/>
              </w:rPr>
              <w:t>526,713</w:t>
            </w:r>
          </w:p>
        </w:tc>
        <w:tc>
          <w:tcPr>
            <w:tcW w:w="1149" w:type="dxa"/>
            <w:tcBorders>
              <w:top w:val="single" w:sz="0" w:space="0" w:color="000000"/>
              <w:bottom w:val="single" w:sz="0" w:space="0" w:color="000000"/>
            </w:tcBorders>
          </w:tcPr>
          <w:p>
            <w:pPr>
              <w:pStyle w:val="TableParagraph"/>
              <w:spacing w:before="122"/>
              <w:ind w:right="239"/>
              <w:jc w:val="right"/>
              <w:rPr>
                <w:b/>
                <w:sz w:val="18"/>
              </w:rPr>
            </w:pPr>
            <w:r>
              <w:rPr>
                <w:b/>
                <w:w w:val="95"/>
                <w:sz w:val="18"/>
              </w:rPr>
              <w:t>794,310</w:t>
            </w:r>
          </w:p>
        </w:tc>
        <w:tc>
          <w:tcPr>
            <w:tcW w:w="1069" w:type="dxa"/>
            <w:tcBorders>
              <w:top w:val="single" w:sz="0" w:space="0" w:color="000000"/>
              <w:bottom w:val="single" w:sz="0" w:space="0" w:color="000000"/>
            </w:tcBorders>
          </w:tcPr>
          <w:p>
            <w:pPr>
              <w:pStyle w:val="TableParagraph"/>
              <w:spacing w:before="122"/>
              <w:ind w:left="182"/>
              <w:rPr>
                <w:b/>
                <w:sz w:val="18"/>
              </w:rPr>
            </w:pPr>
            <w:r>
              <w:rPr>
                <w:b/>
                <w:sz w:val="18"/>
              </w:rPr>
              <w:t>1,321,023</w:t>
            </w:r>
          </w:p>
        </w:tc>
      </w:tr>
    </w:tbl>
    <w:p>
      <w:pPr>
        <w:pStyle w:val="BodyText"/>
        <w:spacing w:before="9"/>
        <w:rPr>
          <w:sz w:val="22"/>
        </w:rPr>
      </w:pPr>
    </w:p>
    <w:p>
      <w:pPr>
        <w:spacing w:after="0"/>
        <w:rPr>
          <w:sz w:val="22"/>
        </w:rPr>
        <w:sectPr>
          <w:headerReference w:type="default" r:id="rId59"/>
          <w:footerReference w:type="default" r:id="rId60"/>
          <w:pgSz w:w="11910" w:h="16840"/>
          <w:pgMar w:header="1038" w:footer="507" w:top="3640" w:bottom="700" w:left="900" w:right="1680"/>
        </w:sectPr>
      </w:pPr>
    </w:p>
    <w:p>
      <w:pPr>
        <w:pStyle w:val="Heading9"/>
        <w:spacing w:before="78"/>
        <w:ind w:left="4302"/>
        <w:jc w:val="center"/>
      </w:pPr>
      <w:r>
        <w:rPr/>
        <w:t>Consolidated</w:t>
      </w:r>
    </w:p>
    <w:p>
      <w:pPr>
        <w:pStyle w:val="BodyText"/>
        <w:spacing w:before="8"/>
        <w:rPr>
          <w:b/>
          <w:sz w:val="23"/>
        </w:rPr>
      </w:pPr>
    </w:p>
    <w:p>
      <w:pPr>
        <w:spacing w:before="0"/>
        <w:ind w:left="0" w:right="140" w:firstLine="0"/>
        <w:jc w:val="right"/>
        <w:rPr>
          <w:b/>
          <w:sz w:val="18"/>
        </w:rPr>
      </w:pPr>
      <w:r>
        <w:rPr>
          <w:b/>
          <w:w w:val="95"/>
          <w:sz w:val="18"/>
        </w:rPr>
        <w:t>Reserves</w:t>
      </w:r>
    </w:p>
    <w:p>
      <w:pPr>
        <w:spacing w:before="66"/>
        <w:ind w:left="0" w:right="498" w:firstLine="0"/>
        <w:jc w:val="right"/>
        <w:rPr>
          <w:b/>
          <w:sz w:val="18"/>
        </w:rPr>
      </w:pPr>
      <w:r>
        <w:rPr>
          <w:b/>
          <w:sz w:val="18"/>
        </w:rPr>
        <w:t>$'000</w:t>
      </w:r>
    </w:p>
    <w:p>
      <w:pPr>
        <w:pStyle w:val="BodyText"/>
        <w:rPr>
          <w:b/>
        </w:rPr>
      </w:pPr>
      <w:r>
        <w:rPr/>
        <w:br w:type="column"/>
      </w:r>
      <w:r>
        <w:rPr>
          <w:b/>
        </w:rPr>
      </w:r>
    </w:p>
    <w:p>
      <w:pPr>
        <w:spacing w:before="144"/>
        <w:ind w:left="240" w:right="-20" w:firstLine="0"/>
        <w:jc w:val="left"/>
        <w:rPr>
          <w:b/>
          <w:sz w:val="18"/>
        </w:rPr>
      </w:pPr>
      <w:r>
        <w:rPr>
          <w:b/>
          <w:sz w:val="18"/>
        </w:rPr>
        <w:t>Retained Earnings</w:t>
      </w:r>
    </w:p>
    <w:p>
      <w:pPr>
        <w:spacing w:before="66"/>
        <w:ind w:left="240" w:right="-20" w:firstLine="0"/>
        <w:jc w:val="left"/>
        <w:rPr>
          <w:b/>
          <w:sz w:val="18"/>
        </w:rPr>
      </w:pPr>
      <w:r>
        <w:rPr>
          <w:b/>
          <w:sz w:val="18"/>
        </w:rPr>
        <w:t>$'000</w:t>
      </w:r>
    </w:p>
    <w:p>
      <w:pPr>
        <w:pStyle w:val="BodyText"/>
        <w:rPr>
          <w:b/>
        </w:rPr>
      </w:pPr>
      <w:r>
        <w:rPr/>
        <w:br w:type="column"/>
      </w:r>
      <w:r>
        <w:rPr>
          <w:b/>
        </w:rPr>
      </w:r>
    </w:p>
    <w:p>
      <w:pPr>
        <w:pStyle w:val="BodyText"/>
        <w:rPr>
          <w:b/>
        </w:rPr>
      </w:pPr>
    </w:p>
    <w:p>
      <w:pPr>
        <w:pStyle w:val="BodyText"/>
        <w:spacing w:before="5"/>
        <w:rPr>
          <w:b/>
          <w:sz w:val="14"/>
        </w:rPr>
      </w:pPr>
    </w:p>
    <w:p>
      <w:pPr>
        <w:spacing w:before="1"/>
        <w:ind w:left="386" w:right="0" w:firstLine="0"/>
        <w:jc w:val="left"/>
        <w:rPr>
          <w:b/>
          <w:sz w:val="18"/>
        </w:rPr>
      </w:pPr>
      <w:r>
        <w:rPr>
          <w:b/>
          <w:sz w:val="18"/>
        </w:rPr>
        <w:t>Total</w:t>
      </w:r>
    </w:p>
    <w:p>
      <w:pPr>
        <w:spacing w:before="66"/>
        <w:ind w:left="386" w:right="0" w:firstLine="0"/>
        <w:jc w:val="left"/>
        <w:rPr>
          <w:b/>
          <w:sz w:val="16"/>
        </w:rPr>
      </w:pPr>
      <w:r>
        <w:rPr>
          <w:b/>
          <w:sz w:val="16"/>
        </w:rPr>
        <w:t>$'000</w:t>
      </w:r>
    </w:p>
    <w:p>
      <w:pPr>
        <w:spacing w:after="0"/>
        <w:jc w:val="left"/>
        <w:rPr>
          <w:sz w:val="16"/>
        </w:rPr>
        <w:sectPr>
          <w:type w:val="continuous"/>
          <w:pgSz w:w="11910" w:h="16840"/>
          <w:pgMar w:top="0" w:bottom="280" w:left="900" w:right="1680"/>
          <w:cols w:num="3" w:equalWidth="0">
            <w:col w:w="5443" w:space="40"/>
            <w:col w:w="1011" w:space="40"/>
            <w:col w:w="2796"/>
          </w:cols>
        </w:sectPr>
      </w:pPr>
    </w:p>
    <w:p>
      <w:pPr>
        <w:pStyle w:val="BodyText"/>
        <w:spacing w:before="8"/>
        <w:rPr>
          <w:b/>
          <w:sz w:val="2"/>
        </w:rPr>
      </w:pPr>
    </w:p>
    <w:p>
      <w:pPr>
        <w:pStyle w:val="BodyText"/>
        <w:spacing w:line="20" w:lineRule="exact"/>
        <w:ind w:left="4301"/>
        <w:rPr>
          <w:sz w:val="2"/>
        </w:rPr>
      </w:pPr>
      <w:r>
        <w:rPr>
          <w:sz w:val="2"/>
        </w:rPr>
        <w:pict>
          <v:group style="width:192.2pt;height:1pt;mso-position-horizontal-relative:char;mso-position-vertical-relative:line" coordorigin="0,0" coordsize="3844,2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17" to="170,17" stroked="true" strokeweight=".06pt" strokecolor="#000000"/>
            <v:line style="position:absolute" from="1,18" to="170,18" stroked="true" strokeweight=".06pt" strokecolor="#000000"/>
            <v:line style="position:absolute" from="1,19" to="170,19" stroked="true" strokeweight=".06pt" strokecolor="#000000"/>
            <v:line style="position:absolute" from="170,1" to="1394,1" stroked="true" strokeweight=".06pt" strokecolor="#000000"/>
            <v:line style="position:absolute" from="170,2" to="1394,2" stroked="true" strokeweight=".06pt" strokecolor="#000000"/>
            <v:line style="position:absolute" from="170,3" to="1394,3" stroked="true" strokeweight=".06pt" strokecolor="#000000"/>
            <v:line style="position:absolute" from="170,5" to="1394,5" stroked="true" strokeweight=".06pt" strokecolor="#000000"/>
            <v:line style="position:absolute" from="170,6" to="1394,6" stroked="true" strokeweight=".06pt" strokecolor="#000000"/>
            <v:line style="position:absolute" from="170,7" to="1394,7" stroked="true" strokeweight=".06pt" strokecolor="#000000"/>
            <v:line style="position:absolute" from="170,8" to="1394,8" stroked="true" strokeweight=".06pt" strokecolor="#000000"/>
            <v:line style="position:absolute" from="170,9" to="1394,9" stroked="true" strokeweight=".06pt" strokecolor="#000000"/>
            <v:line style="position:absolute" from="170,11" to="1394,11" stroked="true" strokeweight=".06pt" strokecolor="#000000"/>
            <v:line style="position:absolute" from="170,12" to="1394,12" stroked="true" strokeweight=".06pt" strokecolor="#000000"/>
            <v:line style="position:absolute" from="170,13" to="1394,13" stroked="true" strokeweight=".06pt" strokecolor="#000000"/>
            <v:line style="position:absolute" from="170,14" to="1394,14" stroked="true" strokeweight=".06pt" strokecolor="#000000"/>
            <v:line style="position:absolute" from="170,15" to="1394,15" stroked="true" strokeweight=".06pt" strokecolor="#000000"/>
            <v:line style="position:absolute" from="170,17" to="1394,17" stroked="true" strokeweight=".06pt" strokecolor="#000000"/>
            <v:line style="position:absolute" from="170,18" to="1394,18" stroked="true" strokeweight=".06pt" strokecolor="#000000"/>
            <v:line style="position:absolute" from="170,19" to="1394,19" stroked="true" strokeweight=".06pt" strokecolor="#000000"/>
            <v:line style="position:absolute" from="1394,1" to="2618,1" stroked="true" strokeweight=".06pt" strokecolor="#000000"/>
            <v:line style="position:absolute" from="1394,2" to="2618,2" stroked="true" strokeweight=".06pt" strokecolor="#000000"/>
            <v:line style="position:absolute" from="1394,3" to="2618,3" stroked="true" strokeweight=".06pt" strokecolor="#000000"/>
            <v:line style="position:absolute" from="1394,5" to="2618,5" stroked="true" strokeweight=".06pt" strokecolor="#000000"/>
            <v:line style="position:absolute" from="1394,6" to="2618,6" stroked="true" strokeweight=".06pt" strokecolor="#000000"/>
            <v:line style="position:absolute" from="1394,7" to="2618,7" stroked="true" strokeweight=".06pt" strokecolor="#000000"/>
            <v:line style="position:absolute" from="1394,8" to="2618,8" stroked="true" strokeweight=".06pt" strokecolor="#000000"/>
            <v:line style="position:absolute" from="1394,9" to="2618,9" stroked="true" strokeweight=".06pt" strokecolor="#000000"/>
            <v:line style="position:absolute" from="1394,11" to="2618,11" stroked="true" strokeweight=".06pt" strokecolor="#000000"/>
            <v:line style="position:absolute" from="1394,12" to="2618,12" stroked="true" strokeweight=".06pt" strokecolor="#000000"/>
            <v:line style="position:absolute" from="1394,13" to="2618,13" stroked="true" strokeweight=".06pt" strokecolor="#000000"/>
            <v:line style="position:absolute" from="1394,14" to="2618,14" stroked="true" strokeweight=".06pt" strokecolor="#000000"/>
            <v:line style="position:absolute" from="1394,15" to="2618,15" stroked="true" strokeweight=".06pt" strokecolor="#000000"/>
            <v:line style="position:absolute" from="1394,17" to="2618,17" stroked="true" strokeweight=".06pt" strokecolor="#000000"/>
            <v:line style="position:absolute" from="1394,18" to="2618,18" stroked="true" strokeweight=".06pt" strokecolor="#000000"/>
            <v:line style="position:absolute" from="1394,19" to="2618,19" stroked="true" strokeweight=".06pt" strokecolor="#000000"/>
            <v:line style="position:absolute" from="2618,1" to="3842,1" stroked="true" strokeweight=".06pt" strokecolor="#000000"/>
            <v:line style="position:absolute" from="2618,2" to="3842,2" stroked="true" strokeweight=".06pt" strokecolor="#000000"/>
            <v:line style="position:absolute" from="2618,3" to="3842,3" stroked="true" strokeweight=".06pt" strokecolor="#000000"/>
            <v:line style="position:absolute" from="2618,5" to="3842,5" stroked="true" strokeweight=".06pt" strokecolor="#000000"/>
            <v:line style="position:absolute" from="2618,6" to="3842,6" stroked="true" strokeweight=".06pt" strokecolor="#000000"/>
            <v:line style="position:absolute" from="2618,7" to="3842,7" stroked="true" strokeweight=".06pt" strokecolor="#000000"/>
            <v:line style="position:absolute" from="2618,8" to="3842,8" stroked="true" strokeweight=".06pt" strokecolor="#000000"/>
            <v:line style="position:absolute" from="2618,9" to="3842,9" stroked="true" strokeweight=".06pt" strokecolor="#000000"/>
            <v:line style="position:absolute" from="2618,11" to="3842,11" stroked="true" strokeweight=".06pt" strokecolor="#000000"/>
            <v:line style="position:absolute" from="2618,12" to="3842,12" stroked="true" strokeweight=".06pt" strokecolor="#000000"/>
            <v:line style="position:absolute" from="2618,13" to="3842,13" stroked="true" strokeweight=".06pt" strokecolor="#000000"/>
            <v:line style="position:absolute" from="2618,14" to="3842,14" stroked="true" strokeweight=".06pt" strokecolor="#000000"/>
            <v:line style="position:absolute" from="2618,15" to="3842,15" stroked="true" strokeweight=".06pt" strokecolor="#000000"/>
            <v:line style="position:absolute" from="2618,17" to="3842,17" stroked="true" strokeweight=".06pt" strokecolor="#000000"/>
            <v:line style="position:absolute" from="2618,18" to="3842,18" stroked="true" strokeweight=".06pt" strokecolor="#000000"/>
            <v:line style="position:absolute" from="2618,19" to="3842,19" stroked="true" strokeweight=".06pt" strokecolor="#00000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17" to="170,17" stroked="true" strokeweight=".06pt" strokecolor="#000000"/>
            <v:line style="position:absolute" from="1,18" to="170,18" stroked="true" strokeweight=".06pt" strokecolor="#000000"/>
            <v:line style="position:absolute" from="1,19" to="170,19" stroked="true" strokeweight=".06pt" strokecolor="#000000"/>
            <v:line style="position:absolute" from="170,1" to="1394,1" stroked="true" strokeweight=".06pt" strokecolor="#000000"/>
            <v:line style="position:absolute" from="170,2" to="1394,2" stroked="true" strokeweight=".06pt" strokecolor="#000000"/>
            <v:line style="position:absolute" from="170,3" to="1394,3" stroked="true" strokeweight=".06pt" strokecolor="#000000"/>
            <v:line style="position:absolute" from="170,5" to="1394,5" stroked="true" strokeweight=".06pt" strokecolor="#000000"/>
            <v:line style="position:absolute" from="170,6" to="1394,6" stroked="true" strokeweight=".06pt" strokecolor="#000000"/>
            <v:line style="position:absolute" from="170,7" to="1394,7" stroked="true" strokeweight=".06pt" strokecolor="#000000"/>
            <v:line style="position:absolute" from="170,8" to="1394,8" stroked="true" strokeweight=".06pt" strokecolor="#000000"/>
            <v:line style="position:absolute" from="170,9" to="1394,9" stroked="true" strokeweight=".06pt" strokecolor="#000000"/>
            <v:line style="position:absolute" from="170,11" to="1394,11" stroked="true" strokeweight=".06pt" strokecolor="#000000"/>
            <v:line style="position:absolute" from="170,12" to="1394,12" stroked="true" strokeweight=".06pt" strokecolor="#000000"/>
            <v:line style="position:absolute" from="170,13" to="1394,13" stroked="true" strokeweight=".06pt" strokecolor="#000000"/>
            <v:line style="position:absolute" from="170,14" to="1394,14" stroked="true" strokeweight=".06pt" strokecolor="#000000"/>
            <v:line style="position:absolute" from="170,15" to="1394,15" stroked="true" strokeweight=".06pt" strokecolor="#000000"/>
            <v:line style="position:absolute" from="170,17" to="1394,17" stroked="true" strokeweight=".06pt" strokecolor="#000000"/>
            <v:line style="position:absolute" from="170,18" to="1394,18" stroked="true" strokeweight=".06pt" strokecolor="#000000"/>
            <v:line style="position:absolute" from="170,19" to="1394,19" stroked="true" strokeweight=".06pt" strokecolor="#000000"/>
            <v:line style="position:absolute" from="1394,1" to="2618,1" stroked="true" strokeweight=".06pt" strokecolor="#000000"/>
            <v:line style="position:absolute" from="1394,2" to="2618,2" stroked="true" strokeweight=".06pt" strokecolor="#000000"/>
            <v:line style="position:absolute" from="1394,3" to="2618,3" stroked="true" strokeweight=".06pt" strokecolor="#000000"/>
            <v:line style="position:absolute" from="1394,5" to="2618,5" stroked="true" strokeweight=".06pt" strokecolor="#000000"/>
            <v:line style="position:absolute" from="1394,6" to="2618,6" stroked="true" strokeweight=".06pt" strokecolor="#000000"/>
            <v:line style="position:absolute" from="1394,7" to="2618,7" stroked="true" strokeweight=".06pt" strokecolor="#000000"/>
            <v:line style="position:absolute" from="1394,8" to="2618,8" stroked="true" strokeweight=".06pt" strokecolor="#000000"/>
            <v:line style="position:absolute" from="1394,9" to="2618,9" stroked="true" strokeweight=".06pt" strokecolor="#000000"/>
            <v:line style="position:absolute" from="1394,11" to="2618,11" stroked="true" strokeweight=".06pt" strokecolor="#000000"/>
            <v:line style="position:absolute" from="1394,12" to="2618,12" stroked="true" strokeweight=".06pt" strokecolor="#000000"/>
            <v:line style="position:absolute" from="1394,13" to="2618,13" stroked="true" strokeweight=".06pt" strokecolor="#000000"/>
            <v:line style="position:absolute" from="1394,14" to="2618,14" stroked="true" strokeweight=".06pt" strokecolor="#000000"/>
            <v:line style="position:absolute" from="1394,15" to="2618,15" stroked="true" strokeweight=".06pt" strokecolor="#000000"/>
            <v:line style="position:absolute" from="1394,17" to="2618,17" stroked="true" strokeweight=".06pt" strokecolor="#000000"/>
            <v:line style="position:absolute" from="1394,18" to="2618,18" stroked="true" strokeweight=".06pt" strokecolor="#000000"/>
            <v:line style="position:absolute" from="1394,19" to="2618,19" stroked="true" strokeweight=".06pt" strokecolor="#000000"/>
            <v:line style="position:absolute" from="2618,1" to="3842,1" stroked="true" strokeweight=".06pt" strokecolor="#000000"/>
            <v:line style="position:absolute" from="2618,2" to="3842,2" stroked="true" strokeweight=".06pt" strokecolor="#000000"/>
            <v:line style="position:absolute" from="2618,3" to="3842,3" stroked="true" strokeweight=".06pt" strokecolor="#000000"/>
            <v:line style="position:absolute" from="2618,5" to="3842,5" stroked="true" strokeweight=".06pt" strokecolor="#000000"/>
            <v:line style="position:absolute" from="2618,6" to="3842,6" stroked="true" strokeweight=".06pt" strokecolor="#000000"/>
            <v:line style="position:absolute" from="2618,7" to="3842,7" stroked="true" strokeweight=".06pt" strokecolor="#000000"/>
            <v:line style="position:absolute" from="2618,8" to="3842,8" stroked="true" strokeweight=".06pt" strokecolor="#000000"/>
            <v:line style="position:absolute" from="2618,9" to="3842,9" stroked="true" strokeweight=".06pt" strokecolor="#000000"/>
            <v:line style="position:absolute" from="2618,11" to="3842,11" stroked="true" strokeweight=".06pt" strokecolor="#000000"/>
            <v:line style="position:absolute" from="2618,12" to="3842,12" stroked="true" strokeweight=".06pt" strokecolor="#000000"/>
            <v:line style="position:absolute" from="2618,13" to="3842,13" stroked="true" strokeweight=".06pt" strokecolor="#000000"/>
            <v:line style="position:absolute" from="2618,14" to="3842,14" stroked="true" strokeweight=".06pt" strokecolor="#000000"/>
            <v:line style="position:absolute" from="2618,15" to="3842,15" stroked="true" strokeweight=".06pt" strokecolor="#000000"/>
            <v:line style="position:absolute" from="2618,17" to="3842,17" stroked="true" strokeweight=".06pt" strokecolor="#000000"/>
            <v:line style="position:absolute" from="2618,18" to="3842,18" stroked="true" strokeweight=".06pt" strokecolor="#000000"/>
            <v:line style="position:absolute" from="2618,19" to="3842,19" stroked="true" strokeweight=".06pt" strokecolor="#000000"/>
          </v:group>
        </w:pict>
      </w:r>
      <w:r>
        <w:rPr>
          <w:sz w:val="2"/>
        </w:rPr>
      </w:r>
    </w:p>
    <w:p>
      <w:pPr>
        <w:tabs>
          <w:tab w:pos="4958" w:val="left" w:leader="none"/>
          <w:tab w:pos="6182" w:val="left" w:leader="none"/>
          <w:tab w:pos="7256" w:val="left" w:leader="none"/>
        </w:tabs>
        <w:spacing w:before="39"/>
        <w:ind w:left="135" w:right="0" w:firstLine="0"/>
        <w:jc w:val="left"/>
        <w:rPr>
          <w:sz w:val="18"/>
        </w:rPr>
      </w:pPr>
      <w:r>
        <w:rPr>
          <w:b/>
          <w:sz w:val="18"/>
        </w:rPr>
        <w:t>Balance at 1</w:t>
      </w:r>
      <w:r>
        <w:rPr>
          <w:b/>
          <w:spacing w:val="-3"/>
          <w:sz w:val="18"/>
        </w:rPr>
        <w:t> </w:t>
      </w:r>
      <w:r>
        <w:rPr>
          <w:b/>
          <w:sz w:val="18"/>
        </w:rPr>
        <w:t>January</w:t>
      </w:r>
      <w:r>
        <w:rPr>
          <w:b/>
          <w:spacing w:val="-1"/>
          <w:sz w:val="18"/>
        </w:rPr>
        <w:t> </w:t>
      </w:r>
      <w:r>
        <w:rPr>
          <w:b/>
          <w:sz w:val="18"/>
        </w:rPr>
        <w:t>2011</w:t>
        <w:tab/>
      </w:r>
      <w:r>
        <w:rPr>
          <w:sz w:val="18"/>
        </w:rPr>
        <w:t>533,908</w:t>
        <w:tab/>
        <w:t>722,197</w:t>
        <w:tab/>
        <w:t>1,256,105</w:t>
      </w:r>
    </w:p>
    <w:p>
      <w:pPr>
        <w:pStyle w:val="BodyText"/>
        <w:tabs>
          <w:tab w:pos="5546" w:val="left" w:leader="none"/>
          <w:tab w:pos="6281" w:val="left" w:leader="none"/>
          <w:tab w:pos="7505" w:val="left" w:leader="none"/>
        </w:tabs>
        <w:spacing w:line="302" w:lineRule="auto" w:before="58"/>
        <w:ind w:left="135" w:right="1266"/>
      </w:pPr>
      <w:r>
        <w:rPr/>
        <w:t>Operating result for</w:t>
      </w:r>
      <w:r>
        <w:rPr>
          <w:spacing w:val="-1"/>
        </w:rPr>
        <w:t> </w:t>
      </w:r>
      <w:r>
        <w:rPr/>
        <w:t>the</w:t>
      </w:r>
      <w:r>
        <w:rPr>
          <w:spacing w:val="-1"/>
        </w:rPr>
        <w:t> </w:t>
      </w:r>
      <w:r>
        <w:rPr/>
        <w:t>year</w:t>
        <w:tab/>
        <w:t>-</w:t>
        <w:tab/>
        <w:t>12,523</w:t>
        <w:tab/>
        <w:t>12,523 Revaluation of property, plant</w:t>
      </w:r>
      <w:r>
        <w:rPr>
          <w:spacing w:val="-1"/>
        </w:rPr>
        <w:t> </w:t>
      </w:r>
      <w:r>
        <w:rPr/>
        <w:t>and</w:t>
      </w:r>
    </w:p>
    <w:p>
      <w:pPr>
        <w:pStyle w:val="BodyText"/>
        <w:tabs>
          <w:tab w:pos="4997" w:val="left" w:leader="none"/>
          <w:tab w:pos="6770" w:val="left" w:leader="none"/>
          <w:tab w:pos="7445" w:val="left" w:leader="none"/>
        </w:tabs>
        <w:spacing w:line="154" w:lineRule="exact"/>
        <w:ind w:left="135"/>
      </w:pPr>
      <w:r>
        <w:rPr/>
        <w:t>equipment</w:t>
        <w:tab/>
        <w:t>(28,395)</w:t>
        <w:tab/>
        <w:t>-</w:t>
        <w:tab/>
        <w:t>(28,395)</w:t>
      </w:r>
    </w:p>
    <w:p>
      <w:pPr>
        <w:pStyle w:val="BodyText"/>
        <w:tabs>
          <w:tab w:pos="5097" w:val="left" w:leader="none"/>
          <w:tab w:pos="5347" w:val="left" w:leader="none"/>
          <w:tab w:pos="6770" w:val="left" w:leader="none"/>
          <w:tab w:pos="7545" w:val="left" w:leader="none"/>
          <w:tab w:pos="7794" w:val="left" w:leader="none"/>
        </w:tabs>
        <w:spacing w:line="304" w:lineRule="auto" w:before="57"/>
        <w:ind w:left="135" w:right="1206"/>
      </w:pPr>
      <w:r>
        <w:rPr/>
        <w:t>Gain on available for sale</w:t>
      </w:r>
      <w:r>
        <w:rPr>
          <w:spacing w:val="-1"/>
        </w:rPr>
        <w:t> </w:t>
      </w:r>
      <w:r>
        <w:rPr/>
        <w:t>financial</w:t>
      </w:r>
      <w:r>
        <w:rPr>
          <w:spacing w:val="-1"/>
        </w:rPr>
        <w:t> </w:t>
      </w:r>
      <w:r>
        <w:rPr/>
        <w:t>assets</w:t>
        <w:tab/>
        <w:t>(4,873)</w:t>
        <w:tab/>
        <w:t>-</w:t>
        <w:tab/>
        <w:t>(4,873) Revaluation of</w:t>
      </w:r>
      <w:r>
        <w:rPr>
          <w:spacing w:val="-1"/>
        </w:rPr>
        <w:t> </w:t>
      </w:r>
      <w:r>
        <w:rPr/>
        <w:t>art</w:t>
      </w:r>
      <w:r>
        <w:rPr>
          <w:spacing w:val="-1"/>
        </w:rPr>
        <w:t> </w:t>
      </w:r>
      <w:r>
        <w:rPr/>
        <w:t>collection</w:t>
        <w:tab/>
        <w:tab/>
        <w:t>(13)</w:t>
        <w:tab/>
        <w:t>-</w:t>
        <w:tab/>
        <w:tab/>
        <w:t>(13)</w:t>
      </w:r>
    </w:p>
    <w:p>
      <w:pPr>
        <w:pStyle w:val="BodyText"/>
        <w:tabs>
          <w:tab w:pos="5307" w:val="left" w:leader="none"/>
          <w:tab w:pos="6770" w:val="left" w:leader="none"/>
          <w:tab w:pos="8055" w:val="right" w:leader="none"/>
        </w:tabs>
        <w:spacing w:before="2"/>
        <w:ind w:left="135"/>
      </w:pPr>
      <w:r>
        <w:rPr/>
        <w:t>Revaluation</w:t>
      </w:r>
      <w:r>
        <w:rPr>
          <w:spacing w:val="-1"/>
        </w:rPr>
        <w:t> </w:t>
      </w:r>
      <w:r>
        <w:rPr/>
        <w:t>of</w:t>
      </w:r>
      <w:r>
        <w:rPr>
          <w:spacing w:val="-1"/>
        </w:rPr>
        <w:t> </w:t>
      </w:r>
      <w:r>
        <w:rPr/>
        <w:t>livestock</w:t>
        <w:tab/>
        <w:t>133</w:t>
        <w:tab/>
        <w:t>-</w:t>
      </w:r>
      <w:r>
        <w:rPr>
          <w:rFonts w:ascii="Times New Roman"/>
        </w:rPr>
        <w:tab/>
      </w:r>
      <w:r>
        <w:rPr/>
        <w:t>133</w:t>
      </w:r>
    </w:p>
    <w:p>
      <w:pPr>
        <w:pStyle w:val="BodyText"/>
        <w:spacing w:line="207" w:lineRule="exact" w:before="55"/>
        <w:ind w:left="135"/>
      </w:pPr>
      <w:r>
        <w:rPr/>
        <w:t>Net actuarial gains / (losses) recognised in</w:t>
      </w:r>
    </w:p>
    <w:p>
      <w:pPr>
        <w:pStyle w:val="BodyText"/>
        <w:tabs>
          <w:tab w:pos="5546" w:val="left" w:leader="none"/>
          <w:tab w:pos="6321" w:val="left" w:leader="none"/>
          <w:tab w:pos="7545" w:val="left" w:leader="none"/>
        </w:tabs>
        <w:spacing w:line="207" w:lineRule="exact"/>
        <w:ind w:left="135"/>
      </w:pPr>
      <w:r>
        <w:rPr/>
        <w:pict>
          <v:group style="position:absolute;margin-left:260.049988pt;margin-top:11.616222pt;width:192.2pt;height:1pt;mso-position-horizontal-relative:page;mso-position-vertical-relative:paragraph;z-index:1432;mso-wrap-distance-left:0;mso-wrap-distance-right:0" coordorigin="5201,232" coordsize="3844,20">
            <v:line style="position:absolute" from="5202,233" to="5371,233" stroked="true" strokeweight=".06pt" strokecolor="#000000"/>
            <v:line style="position:absolute" from="5202,235" to="5371,235" stroked="true" strokeweight=".06pt" strokecolor="#000000"/>
            <v:line style="position:absolute" from="5202,236" to="5371,236" stroked="true" strokeweight=".06pt" strokecolor="#000000"/>
            <v:line style="position:absolute" from="5202,237" to="5371,237" stroked="true" strokeweight=".06pt" strokecolor="#000000"/>
            <v:line style="position:absolute" from="5202,238" to="5371,238" stroked="true" strokeweight=".06pt" strokecolor="#000000"/>
            <v:line style="position:absolute" from="5202,239" to="5371,239" stroked="true" strokeweight=".06pt" strokecolor="#000000"/>
            <v:line style="position:absolute" from="5202,241" to="5371,241" stroked="true" strokeweight=".06pt" strokecolor="#000000"/>
            <v:line style="position:absolute" from="5202,242" to="5371,242" stroked="true" strokeweight=".06pt" strokecolor="#000000"/>
            <v:line style="position:absolute" from="5202,243" to="5371,243" stroked="true" strokeweight=".06pt" strokecolor="#000000"/>
            <v:line style="position:absolute" from="5202,244" to="5371,244" stroked="true" strokeweight=".06pt" strokecolor="#000000"/>
            <v:line style="position:absolute" from="5202,245" to="5371,245" stroked="true" strokeweight=".06pt" strokecolor="#000000"/>
            <v:line style="position:absolute" from="5202,247" to="5371,247" stroked="true" strokeweight=".06pt" strokecolor="#000000"/>
            <v:line style="position:absolute" from="5202,248" to="5371,248" stroked="true" strokeweight=".06pt" strokecolor="#000000"/>
            <v:line style="position:absolute" from="5202,249" to="5371,249" stroked="true" strokeweight=".06pt" strokecolor="#000000"/>
            <v:line style="position:absolute" from="5202,250" to="5371,250" stroked="true" strokeweight=".06pt" strokecolor="#000000"/>
            <v:line style="position:absolute" from="5202,251" to="5371,251" stroked="true" strokeweight=".06pt" strokecolor="#000000"/>
            <v:line style="position:absolute" from="5371,233" to="6595,233" stroked="true" strokeweight=".06pt" strokecolor="#000000"/>
            <v:line style="position:absolute" from="5371,235" to="6595,235" stroked="true" strokeweight=".06pt" strokecolor="#000000"/>
            <v:line style="position:absolute" from="5371,236" to="6595,236" stroked="true" strokeweight=".06pt" strokecolor="#000000"/>
            <v:line style="position:absolute" from="5371,237" to="6595,237" stroked="true" strokeweight=".06pt" strokecolor="#000000"/>
            <v:line style="position:absolute" from="5371,238" to="6595,238" stroked="true" strokeweight=".06pt" strokecolor="#000000"/>
            <v:line style="position:absolute" from="5371,239" to="6595,239" stroked="true" strokeweight=".06pt" strokecolor="#000000"/>
            <v:line style="position:absolute" from="5371,241" to="6595,241" stroked="true" strokeweight=".06pt" strokecolor="#000000"/>
            <v:line style="position:absolute" from="5371,242" to="6595,242" stroked="true" strokeweight=".06pt" strokecolor="#000000"/>
            <v:line style="position:absolute" from="5371,243" to="6595,243" stroked="true" strokeweight=".06pt" strokecolor="#000000"/>
            <v:line style="position:absolute" from="5371,244" to="6595,244" stroked="true" strokeweight=".06pt" strokecolor="#000000"/>
            <v:line style="position:absolute" from="5371,245" to="6595,245" stroked="true" strokeweight=".06pt" strokecolor="#000000"/>
            <v:line style="position:absolute" from="5371,247" to="6595,247" stroked="true" strokeweight=".06pt" strokecolor="#000000"/>
            <v:line style="position:absolute" from="5371,248" to="6595,248" stroked="true" strokeweight=".06pt" strokecolor="#000000"/>
            <v:line style="position:absolute" from="5371,249" to="6595,249" stroked="true" strokeweight=".06pt" strokecolor="#000000"/>
            <v:line style="position:absolute" from="5371,250" to="6595,250" stroked="true" strokeweight=".06pt" strokecolor="#000000"/>
            <v:line style="position:absolute" from="5371,251" to="6595,251" stroked="true" strokeweight=".06pt" strokecolor="#000000"/>
            <v:line style="position:absolute" from="6595,233" to="7819,233" stroked="true" strokeweight=".06pt" strokecolor="#000000"/>
            <v:line style="position:absolute" from="6595,235" to="7819,235" stroked="true" strokeweight=".06pt" strokecolor="#000000"/>
            <v:line style="position:absolute" from="6595,236" to="7819,236" stroked="true" strokeweight=".06pt" strokecolor="#000000"/>
            <v:line style="position:absolute" from="6595,237" to="7819,237" stroked="true" strokeweight=".06pt" strokecolor="#000000"/>
            <v:line style="position:absolute" from="6595,238" to="7819,238" stroked="true" strokeweight=".06pt" strokecolor="#000000"/>
            <v:line style="position:absolute" from="6595,239" to="7819,239" stroked="true" strokeweight=".06pt" strokecolor="#000000"/>
            <v:line style="position:absolute" from="6595,241" to="7819,241" stroked="true" strokeweight=".06pt" strokecolor="#000000"/>
            <v:line style="position:absolute" from="6595,242" to="7819,242" stroked="true" strokeweight=".06pt" strokecolor="#000000"/>
            <v:line style="position:absolute" from="6595,243" to="7819,243" stroked="true" strokeweight=".06pt" strokecolor="#000000"/>
            <v:line style="position:absolute" from="6595,244" to="7819,244" stroked="true" strokeweight=".06pt" strokecolor="#000000"/>
            <v:line style="position:absolute" from="6595,245" to="7819,245" stroked="true" strokeweight=".06pt" strokecolor="#000000"/>
            <v:line style="position:absolute" from="6595,247" to="7819,247" stroked="true" strokeweight=".06pt" strokecolor="#000000"/>
            <v:line style="position:absolute" from="6595,248" to="7819,248" stroked="true" strokeweight=".06pt" strokecolor="#000000"/>
            <v:line style="position:absolute" from="6595,249" to="7819,249" stroked="true" strokeweight=".06pt" strokecolor="#000000"/>
            <v:line style="position:absolute" from="6595,250" to="7819,250" stroked="true" strokeweight=".06pt" strokecolor="#000000"/>
            <v:line style="position:absolute" from="6595,251" to="7819,251" stroked="true" strokeweight=".06pt" strokecolor="#000000"/>
            <v:line style="position:absolute" from="7819,233" to="9043,233" stroked="true" strokeweight=".06pt" strokecolor="#000000"/>
            <v:line style="position:absolute" from="7819,235" to="9043,235" stroked="true" strokeweight=".06pt" strokecolor="#000000"/>
            <v:line style="position:absolute" from="7819,236" to="9043,236" stroked="true" strokeweight=".06pt" strokecolor="#000000"/>
            <v:line style="position:absolute" from="7819,237" to="9043,237" stroked="true" strokeweight=".06pt" strokecolor="#000000"/>
            <v:line style="position:absolute" from="7819,238" to="9043,238" stroked="true" strokeweight=".06pt" strokecolor="#000000"/>
            <v:line style="position:absolute" from="7819,239" to="9043,239" stroked="true" strokeweight=".06pt" strokecolor="#000000"/>
            <v:line style="position:absolute" from="7819,241" to="9043,241" stroked="true" strokeweight=".06pt" strokecolor="#000000"/>
            <v:line style="position:absolute" from="7819,242" to="9043,242" stroked="true" strokeweight=".06pt" strokecolor="#000000"/>
            <v:line style="position:absolute" from="7819,243" to="9043,243" stroked="true" strokeweight=".06pt" strokecolor="#000000"/>
            <v:line style="position:absolute" from="7819,244" to="9043,244" stroked="true" strokeweight=".06pt" strokecolor="#000000"/>
            <v:line style="position:absolute" from="7819,245" to="9043,245" stroked="true" strokeweight=".06pt" strokecolor="#000000"/>
            <v:line style="position:absolute" from="7819,247" to="9043,247" stroked="true" strokeweight=".06pt" strokecolor="#000000"/>
            <v:line style="position:absolute" from="7819,248" to="9043,248" stroked="true" strokeweight=".06pt" strokecolor="#000000"/>
            <v:line style="position:absolute" from="7819,249" to="9043,249" stroked="true" strokeweight=".06pt" strokecolor="#000000"/>
            <v:line style="position:absolute" from="7819,250" to="9043,250" stroked="true" strokeweight=".06pt" strokecolor="#000000"/>
            <v:line style="position:absolute" from="7819,251" to="9043,251" stroked="true" strokeweight=".06pt" strokecolor="#000000"/>
            <w10:wrap type="topAndBottom"/>
          </v:group>
        </w:pict>
      </w:r>
      <w:r>
        <w:rPr/>
        <w:t>respect of Defined</w:t>
      </w:r>
      <w:r>
        <w:rPr>
          <w:spacing w:val="-1"/>
        </w:rPr>
        <w:t> </w:t>
      </w:r>
      <w:r>
        <w:rPr/>
        <w:t>Benefit</w:t>
      </w:r>
      <w:r>
        <w:rPr>
          <w:spacing w:val="-1"/>
        </w:rPr>
        <w:t> </w:t>
      </w:r>
      <w:r>
        <w:rPr/>
        <w:t>Plans</w:t>
        <w:tab/>
        <w:t>-</w:t>
        <w:tab/>
        <w:t>(1,083)</w:t>
        <w:tab/>
        <w:t>(1,083)</w:t>
      </w:r>
    </w:p>
    <w:p>
      <w:pPr>
        <w:tabs>
          <w:tab w:pos="4997" w:val="left" w:leader="none"/>
          <w:tab w:pos="6281" w:val="left" w:leader="none"/>
          <w:tab w:pos="7445" w:val="left" w:leader="none"/>
        </w:tabs>
        <w:spacing w:before="84"/>
        <w:ind w:left="135" w:right="0" w:firstLine="0"/>
        <w:jc w:val="left"/>
        <w:rPr>
          <w:sz w:val="18"/>
        </w:rPr>
      </w:pPr>
      <w:r>
        <w:rPr>
          <w:b/>
          <w:sz w:val="18"/>
        </w:rPr>
        <w:t>Total comprehensive income</w:t>
        <w:tab/>
      </w:r>
      <w:r>
        <w:rPr>
          <w:sz w:val="18"/>
        </w:rPr>
        <w:t>(33,148)</w:t>
        <w:tab/>
        <w:t>11,440</w:t>
        <w:tab/>
        <w:t>(21,708)</w:t>
      </w:r>
    </w:p>
    <w:p>
      <w:pPr>
        <w:pStyle w:val="BodyText"/>
        <w:spacing w:line="20" w:lineRule="exact"/>
        <w:ind w:left="4301"/>
        <w:rPr>
          <w:sz w:val="2"/>
        </w:rPr>
      </w:pPr>
      <w:r>
        <w:rPr>
          <w:sz w:val="2"/>
        </w:rPr>
        <w:pict>
          <v:group style="width:192.2pt;height:1pt;mso-position-horizontal-relative:char;mso-position-vertical-relative:line" coordorigin="0,0" coordsize="3844,2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17" to="170,17" stroked="true" strokeweight=".06pt" strokecolor="#000000"/>
            <v:line style="position:absolute" from="1,18" to="170,18" stroked="true" strokeweight=".06pt" strokecolor="#000000"/>
            <v:line style="position:absolute" from="1,19" to="170,19" stroked="true" strokeweight=".06pt" strokecolor="#000000"/>
            <v:line style="position:absolute" from="170,1" to="1394,1" stroked="true" strokeweight=".06pt" strokecolor="#000000"/>
            <v:line style="position:absolute" from="170,2" to="1394,2" stroked="true" strokeweight=".06pt" strokecolor="#000000"/>
            <v:line style="position:absolute" from="170,3" to="1394,3" stroked="true" strokeweight=".06pt" strokecolor="#000000"/>
            <v:line style="position:absolute" from="170,5" to="1394,5" stroked="true" strokeweight=".06pt" strokecolor="#000000"/>
            <v:line style="position:absolute" from="170,6" to="1394,6" stroked="true" strokeweight=".06pt" strokecolor="#000000"/>
            <v:line style="position:absolute" from="170,7" to="1394,7" stroked="true" strokeweight=".06pt" strokecolor="#000000"/>
            <v:line style="position:absolute" from="170,8" to="1394,8" stroked="true" strokeweight=".06pt" strokecolor="#000000"/>
            <v:line style="position:absolute" from="170,9" to="1394,9" stroked="true" strokeweight=".06pt" strokecolor="#000000"/>
            <v:line style="position:absolute" from="170,11" to="1394,11" stroked="true" strokeweight=".06pt" strokecolor="#000000"/>
            <v:line style="position:absolute" from="170,12" to="1394,12" stroked="true" strokeweight=".06pt" strokecolor="#000000"/>
            <v:line style="position:absolute" from="170,13" to="1394,13" stroked="true" strokeweight=".06pt" strokecolor="#000000"/>
            <v:line style="position:absolute" from="170,14" to="1394,14" stroked="true" strokeweight=".06pt" strokecolor="#000000"/>
            <v:line style="position:absolute" from="170,15" to="1394,15" stroked="true" strokeweight=".06pt" strokecolor="#000000"/>
            <v:line style="position:absolute" from="170,17" to="1394,17" stroked="true" strokeweight=".06pt" strokecolor="#000000"/>
            <v:line style="position:absolute" from="170,18" to="1394,18" stroked="true" strokeweight=".06pt" strokecolor="#000000"/>
            <v:line style="position:absolute" from="170,19" to="1394,19" stroked="true" strokeweight=".06pt" strokecolor="#000000"/>
            <v:line style="position:absolute" from="1394,1" to="2618,1" stroked="true" strokeweight=".06pt" strokecolor="#000000"/>
            <v:line style="position:absolute" from="1394,2" to="2618,2" stroked="true" strokeweight=".06pt" strokecolor="#000000"/>
            <v:line style="position:absolute" from="1394,3" to="2618,3" stroked="true" strokeweight=".06pt" strokecolor="#000000"/>
            <v:line style="position:absolute" from="1394,5" to="2618,5" stroked="true" strokeweight=".06pt" strokecolor="#000000"/>
            <v:line style="position:absolute" from="1394,6" to="2618,6" stroked="true" strokeweight=".06pt" strokecolor="#000000"/>
            <v:line style="position:absolute" from="1394,7" to="2618,7" stroked="true" strokeweight=".06pt" strokecolor="#000000"/>
            <v:line style="position:absolute" from="1394,8" to="2618,8" stroked="true" strokeweight=".06pt" strokecolor="#000000"/>
            <v:line style="position:absolute" from="1394,9" to="2618,9" stroked="true" strokeweight=".06pt" strokecolor="#000000"/>
            <v:line style="position:absolute" from="1394,11" to="2618,11" stroked="true" strokeweight=".06pt" strokecolor="#000000"/>
            <v:line style="position:absolute" from="1394,12" to="2618,12" stroked="true" strokeweight=".06pt" strokecolor="#000000"/>
            <v:line style="position:absolute" from="1394,13" to="2618,13" stroked="true" strokeweight=".06pt" strokecolor="#000000"/>
            <v:line style="position:absolute" from="1394,14" to="2618,14" stroked="true" strokeweight=".06pt" strokecolor="#000000"/>
            <v:line style="position:absolute" from="1394,15" to="2618,15" stroked="true" strokeweight=".06pt" strokecolor="#000000"/>
            <v:line style="position:absolute" from="1394,17" to="2618,17" stroked="true" strokeweight=".06pt" strokecolor="#000000"/>
            <v:line style="position:absolute" from="1394,18" to="2618,18" stroked="true" strokeweight=".06pt" strokecolor="#000000"/>
            <v:line style="position:absolute" from="1394,19" to="2618,19" stroked="true" strokeweight=".06pt" strokecolor="#000000"/>
            <v:line style="position:absolute" from="2618,1" to="3842,1" stroked="true" strokeweight=".06pt" strokecolor="#000000"/>
            <v:line style="position:absolute" from="2618,2" to="3842,2" stroked="true" strokeweight=".06pt" strokecolor="#000000"/>
            <v:line style="position:absolute" from="2618,3" to="3842,3" stroked="true" strokeweight=".06pt" strokecolor="#000000"/>
            <v:line style="position:absolute" from="2618,5" to="3842,5" stroked="true" strokeweight=".06pt" strokecolor="#000000"/>
            <v:line style="position:absolute" from="2618,6" to="3842,6" stroked="true" strokeweight=".06pt" strokecolor="#000000"/>
            <v:line style="position:absolute" from="2618,7" to="3842,7" stroked="true" strokeweight=".06pt" strokecolor="#000000"/>
            <v:line style="position:absolute" from="2618,8" to="3842,8" stroked="true" strokeweight=".06pt" strokecolor="#000000"/>
            <v:line style="position:absolute" from="2618,9" to="3842,9" stroked="true" strokeweight=".06pt" strokecolor="#000000"/>
            <v:line style="position:absolute" from="2618,11" to="3842,11" stroked="true" strokeweight=".06pt" strokecolor="#000000"/>
            <v:line style="position:absolute" from="2618,12" to="3842,12" stroked="true" strokeweight=".06pt" strokecolor="#000000"/>
            <v:line style="position:absolute" from="2618,13" to="3842,13" stroked="true" strokeweight=".06pt" strokecolor="#000000"/>
            <v:line style="position:absolute" from="2618,14" to="3842,14" stroked="true" strokeweight=".06pt" strokecolor="#000000"/>
            <v:line style="position:absolute" from="2618,15" to="3842,15" stroked="true" strokeweight=".06pt" strokecolor="#000000"/>
            <v:line style="position:absolute" from="2618,17" to="3842,17" stroked="true" strokeweight=".06pt" strokecolor="#000000"/>
            <v:line style="position:absolute" from="2618,18" to="3842,18" stroked="true" strokeweight=".06pt" strokecolor="#000000"/>
            <v:line style="position:absolute" from="2618,19" to="3842,19" stroked="true" strokeweight=".06pt" strokecolor="#00000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17" to="170,17" stroked="true" strokeweight=".06pt" strokecolor="#000000"/>
            <v:line style="position:absolute" from="1,18" to="170,18" stroked="true" strokeweight=".06pt" strokecolor="#000000"/>
            <v:line style="position:absolute" from="1,19" to="170,19" stroked="true" strokeweight=".06pt" strokecolor="#000000"/>
            <v:line style="position:absolute" from="170,1" to="1394,1" stroked="true" strokeweight=".06pt" strokecolor="#000000"/>
            <v:line style="position:absolute" from="170,2" to="1394,2" stroked="true" strokeweight=".06pt" strokecolor="#000000"/>
            <v:line style="position:absolute" from="170,3" to="1394,3" stroked="true" strokeweight=".06pt" strokecolor="#000000"/>
            <v:line style="position:absolute" from="170,5" to="1394,5" stroked="true" strokeweight=".06pt" strokecolor="#000000"/>
            <v:line style="position:absolute" from="170,6" to="1394,6" stroked="true" strokeweight=".06pt" strokecolor="#000000"/>
            <v:line style="position:absolute" from="170,7" to="1394,7" stroked="true" strokeweight=".06pt" strokecolor="#000000"/>
            <v:line style="position:absolute" from="170,8" to="1394,8" stroked="true" strokeweight=".06pt" strokecolor="#000000"/>
            <v:line style="position:absolute" from="170,9" to="1394,9" stroked="true" strokeweight=".06pt" strokecolor="#000000"/>
            <v:line style="position:absolute" from="170,11" to="1394,11" stroked="true" strokeweight=".06pt" strokecolor="#000000"/>
            <v:line style="position:absolute" from="170,12" to="1394,12" stroked="true" strokeweight=".06pt" strokecolor="#000000"/>
            <v:line style="position:absolute" from="170,13" to="1394,13" stroked="true" strokeweight=".06pt" strokecolor="#000000"/>
            <v:line style="position:absolute" from="170,14" to="1394,14" stroked="true" strokeweight=".06pt" strokecolor="#000000"/>
            <v:line style="position:absolute" from="170,15" to="1394,15" stroked="true" strokeweight=".06pt" strokecolor="#000000"/>
            <v:line style="position:absolute" from="170,17" to="1394,17" stroked="true" strokeweight=".06pt" strokecolor="#000000"/>
            <v:line style="position:absolute" from="170,18" to="1394,18" stroked="true" strokeweight=".06pt" strokecolor="#000000"/>
            <v:line style="position:absolute" from="170,19" to="1394,19" stroked="true" strokeweight=".06pt" strokecolor="#000000"/>
            <v:line style="position:absolute" from="1394,1" to="2618,1" stroked="true" strokeweight=".06pt" strokecolor="#000000"/>
            <v:line style="position:absolute" from="1394,2" to="2618,2" stroked="true" strokeweight=".06pt" strokecolor="#000000"/>
            <v:line style="position:absolute" from="1394,3" to="2618,3" stroked="true" strokeweight=".06pt" strokecolor="#000000"/>
            <v:line style="position:absolute" from="1394,5" to="2618,5" stroked="true" strokeweight=".06pt" strokecolor="#000000"/>
            <v:line style="position:absolute" from="1394,6" to="2618,6" stroked="true" strokeweight=".06pt" strokecolor="#000000"/>
            <v:line style="position:absolute" from="1394,7" to="2618,7" stroked="true" strokeweight=".06pt" strokecolor="#000000"/>
            <v:line style="position:absolute" from="1394,8" to="2618,8" stroked="true" strokeweight=".06pt" strokecolor="#000000"/>
            <v:line style="position:absolute" from="1394,9" to="2618,9" stroked="true" strokeweight=".06pt" strokecolor="#000000"/>
            <v:line style="position:absolute" from="1394,11" to="2618,11" stroked="true" strokeweight=".06pt" strokecolor="#000000"/>
            <v:line style="position:absolute" from="1394,12" to="2618,12" stroked="true" strokeweight=".06pt" strokecolor="#000000"/>
            <v:line style="position:absolute" from="1394,13" to="2618,13" stroked="true" strokeweight=".06pt" strokecolor="#000000"/>
            <v:line style="position:absolute" from="1394,14" to="2618,14" stroked="true" strokeweight=".06pt" strokecolor="#000000"/>
            <v:line style="position:absolute" from="1394,15" to="2618,15" stroked="true" strokeweight=".06pt" strokecolor="#000000"/>
            <v:line style="position:absolute" from="1394,17" to="2618,17" stroked="true" strokeweight=".06pt" strokecolor="#000000"/>
            <v:line style="position:absolute" from="1394,18" to="2618,18" stroked="true" strokeweight=".06pt" strokecolor="#000000"/>
            <v:line style="position:absolute" from="1394,19" to="2618,19" stroked="true" strokeweight=".06pt" strokecolor="#000000"/>
            <v:line style="position:absolute" from="2618,1" to="3842,1" stroked="true" strokeweight=".06pt" strokecolor="#000000"/>
            <v:line style="position:absolute" from="2618,2" to="3842,2" stroked="true" strokeweight=".06pt" strokecolor="#000000"/>
            <v:line style="position:absolute" from="2618,3" to="3842,3" stroked="true" strokeweight=".06pt" strokecolor="#000000"/>
            <v:line style="position:absolute" from="2618,5" to="3842,5" stroked="true" strokeweight=".06pt" strokecolor="#000000"/>
            <v:line style="position:absolute" from="2618,6" to="3842,6" stroked="true" strokeweight=".06pt" strokecolor="#000000"/>
            <v:line style="position:absolute" from="2618,7" to="3842,7" stroked="true" strokeweight=".06pt" strokecolor="#000000"/>
            <v:line style="position:absolute" from="2618,8" to="3842,8" stroked="true" strokeweight=".06pt" strokecolor="#000000"/>
            <v:line style="position:absolute" from="2618,9" to="3842,9" stroked="true" strokeweight=".06pt" strokecolor="#000000"/>
            <v:line style="position:absolute" from="2618,11" to="3842,11" stroked="true" strokeweight=".06pt" strokecolor="#000000"/>
            <v:line style="position:absolute" from="2618,12" to="3842,12" stroked="true" strokeweight=".06pt" strokecolor="#000000"/>
            <v:line style="position:absolute" from="2618,13" to="3842,13" stroked="true" strokeweight=".06pt" strokecolor="#000000"/>
            <v:line style="position:absolute" from="2618,14" to="3842,14" stroked="true" strokeweight=".06pt" strokecolor="#000000"/>
            <v:line style="position:absolute" from="2618,15" to="3842,15" stroked="true" strokeweight=".06pt" strokecolor="#000000"/>
            <v:line style="position:absolute" from="2618,17" to="3842,17" stroked="true" strokeweight=".06pt" strokecolor="#000000"/>
            <v:line style="position:absolute" from="2618,18" to="3842,18" stroked="true" strokeweight=".06pt" strokecolor="#000000"/>
            <v:line style="position:absolute" from="2618,19" to="3842,19" stroked="true" strokeweight=".06pt" strokecolor="#000000"/>
          </v:group>
        </w:pict>
      </w:r>
      <w:r>
        <w:rPr>
          <w:sz w:val="2"/>
        </w:rPr>
      </w:r>
    </w:p>
    <w:p>
      <w:pPr>
        <w:tabs>
          <w:tab w:pos="4958" w:val="left" w:leader="none"/>
          <w:tab w:pos="6182" w:val="left" w:leader="none"/>
          <w:tab w:pos="7256" w:val="left" w:leader="none"/>
        </w:tabs>
        <w:spacing w:before="111"/>
        <w:ind w:left="135" w:right="0" w:firstLine="0"/>
        <w:jc w:val="left"/>
        <w:rPr>
          <w:sz w:val="18"/>
        </w:rPr>
      </w:pPr>
      <w:r>
        <w:rPr>
          <w:b/>
          <w:sz w:val="18"/>
        </w:rPr>
        <w:t>Balance at 31</w:t>
      </w:r>
      <w:r>
        <w:rPr>
          <w:b/>
          <w:spacing w:val="-3"/>
          <w:sz w:val="18"/>
        </w:rPr>
        <w:t> </w:t>
      </w:r>
      <w:r>
        <w:rPr>
          <w:b/>
          <w:sz w:val="18"/>
        </w:rPr>
        <w:t>December</w:t>
      </w:r>
      <w:r>
        <w:rPr>
          <w:b/>
          <w:spacing w:val="-1"/>
          <w:sz w:val="18"/>
        </w:rPr>
        <w:t> </w:t>
      </w:r>
      <w:r>
        <w:rPr>
          <w:b/>
          <w:sz w:val="18"/>
        </w:rPr>
        <w:t>2011</w:t>
        <w:tab/>
      </w:r>
      <w:r>
        <w:rPr>
          <w:sz w:val="18"/>
        </w:rPr>
        <w:t>500,760</w:t>
        <w:tab/>
        <w:t>733,637</w:t>
        <w:tab/>
        <w:t>1,234,397</w:t>
      </w:r>
    </w:p>
    <w:p>
      <w:pPr>
        <w:pStyle w:val="BodyText"/>
        <w:spacing w:line="20" w:lineRule="exact"/>
        <w:ind w:left="4301"/>
        <w:rPr>
          <w:sz w:val="2"/>
        </w:rPr>
      </w:pPr>
      <w:r>
        <w:rPr>
          <w:sz w:val="2"/>
        </w:rPr>
        <w:pict>
          <v:group style="width:192.2pt;height:1pt;mso-position-horizontal-relative:char;mso-position-vertical-relative:line" coordorigin="0,0" coordsize="3844,2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17" to="170,17" stroked="true" strokeweight=".06pt" strokecolor="#000000"/>
            <v:line style="position:absolute" from="1,18" to="170,18" stroked="true" strokeweight=".06pt" strokecolor="#000000"/>
            <v:line style="position:absolute" from="1,19" to="170,19" stroked="true" strokeweight=".06pt" strokecolor="#000000"/>
            <v:line style="position:absolute" from="170,1" to="1394,1" stroked="true" strokeweight=".06pt" strokecolor="#000000"/>
            <v:line style="position:absolute" from="170,2" to="1394,2" stroked="true" strokeweight=".06pt" strokecolor="#000000"/>
            <v:line style="position:absolute" from="170,3" to="1394,3" stroked="true" strokeweight=".06pt" strokecolor="#000000"/>
            <v:line style="position:absolute" from="170,5" to="1394,5" stroked="true" strokeweight=".06pt" strokecolor="#000000"/>
            <v:line style="position:absolute" from="170,6" to="1394,6" stroked="true" strokeweight=".06pt" strokecolor="#000000"/>
            <v:line style="position:absolute" from="170,7" to="1394,7" stroked="true" strokeweight=".06pt" strokecolor="#000000"/>
            <v:line style="position:absolute" from="170,8" to="1394,8" stroked="true" strokeweight=".06pt" strokecolor="#000000"/>
            <v:line style="position:absolute" from="170,9" to="1394,9" stroked="true" strokeweight=".06pt" strokecolor="#000000"/>
            <v:line style="position:absolute" from="170,11" to="1394,11" stroked="true" strokeweight=".06pt" strokecolor="#000000"/>
            <v:line style="position:absolute" from="170,12" to="1394,12" stroked="true" strokeweight=".06pt" strokecolor="#000000"/>
            <v:line style="position:absolute" from="170,13" to="1394,13" stroked="true" strokeweight=".06pt" strokecolor="#000000"/>
            <v:line style="position:absolute" from="170,14" to="1394,14" stroked="true" strokeweight=".06pt" strokecolor="#000000"/>
            <v:line style="position:absolute" from="170,15" to="1394,15" stroked="true" strokeweight=".06pt" strokecolor="#000000"/>
            <v:line style="position:absolute" from="170,17" to="1394,17" stroked="true" strokeweight=".06pt" strokecolor="#000000"/>
            <v:line style="position:absolute" from="170,18" to="1394,18" stroked="true" strokeweight=".06pt" strokecolor="#000000"/>
            <v:line style="position:absolute" from="170,19" to="1394,19" stroked="true" strokeweight=".06pt" strokecolor="#000000"/>
            <v:line style="position:absolute" from="1394,1" to="2618,1" stroked="true" strokeweight=".06pt" strokecolor="#000000"/>
            <v:line style="position:absolute" from="1394,2" to="2618,2" stroked="true" strokeweight=".06pt" strokecolor="#000000"/>
            <v:line style="position:absolute" from="1394,3" to="2618,3" stroked="true" strokeweight=".06pt" strokecolor="#000000"/>
            <v:line style="position:absolute" from="1394,5" to="2618,5" stroked="true" strokeweight=".06pt" strokecolor="#000000"/>
            <v:line style="position:absolute" from="1394,6" to="2618,6" stroked="true" strokeweight=".06pt" strokecolor="#000000"/>
            <v:line style="position:absolute" from="1394,7" to="2618,7" stroked="true" strokeweight=".06pt" strokecolor="#000000"/>
            <v:line style="position:absolute" from="1394,8" to="2618,8" stroked="true" strokeweight=".06pt" strokecolor="#000000"/>
            <v:line style="position:absolute" from="1394,9" to="2618,9" stroked="true" strokeweight=".06pt" strokecolor="#000000"/>
            <v:line style="position:absolute" from="1394,11" to="2618,11" stroked="true" strokeweight=".06pt" strokecolor="#000000"/>
            <v:line style="position:absolute" from="1394,12" to="2618,12" stroked="true" strokeweight=".06pt" strokecolor="#000000"/>
            <v:line style="position:absolute" from="1394,13" to="2618,13" stroked="true" strokeweight=".06pt" strokecolor="#000000"/>
            <v:line style="position:absolute" from="1394,14" to="2618,14" stroked="true" strokeweight=".06pt" strokecolor="#000000"/>
            <v:line style="position:absolute" from="1394,15" to="2618,15" stroked="true" strokeweight=".06pt" strokecolor="#000000"/>
            <v:line style="position:absolute" from="1394,17" to="2618,17" stroked="true" strokeweight=".06pt" strokecolor="#000000"/>
            <v:line style="position:absolute" from="1394,18" to="2618,18" stroked="true" strokeweight=".06pt" strokecolor="#000000"/>
            <v:line style="position:absolute" from="1394,19" to="2618,19" stroked="true" strokeweight=".06pt" strokecolor="#000000"/>
            <v:line style="position:absolute" from="2618,1" to="3842,1" stroked="true" strokeweight=".06pt" strokecolor="#000000"/>
            <v:line style="position:absolute" from="2618,2" to="3842,2" stroked="true" strokeweight=".06pt" strokecolor="#000000"/>
            <v:line style="position:absolute" from="2618,3" to="3842,3" stroked="true" strokeweight=".06pt" strokecolor="#000000"/>
            <v:line style="position:absolute" from="2618,5" to="3842,5" stroked="true" strokeweight=".06pt" strokecolor="#000000"/>
            <v:line style="position:absolute" from="2618,6" to="3842,6" stroked="true" strokeweight=".06pt" strokecolor="#000000"/>
            <v:line style="position:absolute" from="2618,7" to="3842,7" stroked="true" strokeweight=".06pt" strokecolor="#000000"/>
            <v:line style="position:absolute" from="2618,8" to="3842,8" stroked="true" strokeweight=".06pt" strokecolor="#000000"/>
            <v:line style="position:absolute" from="2618,9" to="3842,9" stroked="true" strokeweight=".06pt" strokecolor="#000000"/>
            <v:line style="position:absolute" from="2618,11" to="3842,11" stroked="true" strokeweight=".06pt" strokecolor="#000000"/>
            <v:line style="position:absolute" from="2618,12" to="3842,12" stroked="true" strokeweight=".06pt" strokecolor="#000000"/>
            <v:line style="position:absolute" from="2618,13" to="3842,13" stroked="true" strokeweight=".06pt" strokecolor="#000000"/>
            <v:line style="position:absolute" from="2618,14" to="3842,14" stroked="true" strokeweight=".06pt" strokecolor="#000000"/>
            <v:line style="position:absolute" from="2618,15" to="3842,15" stroked="true" strokeweight=".06pt" strokecolor="#000000"/>
            <v:line style="position:absolute" from="2618,17" to="3842,17" stroked="true" strokeweight=".06pt" strokecolor="#000000"/>
            <v:line style="position:absolute" from="2618,18" to="3842,18" stroked="true" strokeweight=".06pt" strokecolor="#000000"/>
            <v:line style="position:absolute" from="2618,19" to="3842,19" stroked="true" strokeweight=".06pt" strokecolor="#000000"/>
          </v:group>
        </w:pic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p>
    <w:p>
      <w:pPr>
        <w:pStyle w:val="BodyText"/>
        <w:spacing w:before="77"/>
        <w:ind w:left="107"/>
      </w:pPr>
      <w:r>
        <w:rPr/>
        <w:t>The accompanying notes form part of these financial statements.</w:t>
      </w:r>
    </w:p>
    <w:p>
      <w:pPr>
        <w:spacing w:after="0"/>
        <w:sectPr>
          <w:type w:val="continuous"/>
          <w:pgSz w:w="11910" w:h="16840"/>
          <w:pgMar w:top="0" w:bottom="280" w:left="900" w:right="1680"/>
        </w:sectPr>
      </w:pPr>
    </w:p>
    <w:p>
      <w:pPr>
        <w:pStyle w:val="BodyText"/>
        <w:spacing w:before="6"/>
        <w:rPr>
          <w:sz w:val="29"/>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25"/>
        <w:gridCol w:w="593"/>
        <w:gridCol w:w="1542"/>
        <w:gridCol w:w="485"/>
        <w:gridCol w:w="799"/>
        <w:gridCol w:w="668"/>
        <w:gridCol w:w="812"/>
        <w:gridCol w:w="485"/>
        <w:gridCol w:w="811"/>
      </w:tblGrid>
      <w:tr>
        <w:trPr>
          <w:trHeight w:val="614" w:hRule="exact"/>
        </w:trPr>
        <w:tc>
          <w:tcPr>
            <w:tcW w:w="3725" w:type="dxa"/>
            <w:vMerge w:val="restart"/>
          </w:tcPr>
          <w:p>
            <w:pPr/>
          </w:p>
        </w:tc>
        <w:tc>
          <w:tcPr>
            <w:tcW w:w="593" w:type="dxa"/>
          </w:tcPr>
          <w:p>
            <w:pPr/>
          </w:p>
        </w:tc>
        <w:tc>
          <w:tcPr>
            <w:tcW w:w="1542" w:type="dxa"/>
          </w:tcPr>
          <w:p>
            <w:pPr>
              <w:pStyle w:val="TableParagraph"/>
              <w:spacing w:line="350" w:lineRule="auto" w:before="77"/>
              <w:ind w:left="271" w:right="308" w:hanging="197"/>
              <w:rPr>
                <w:b/>
                <w:sz w:val="18"/>
              </w:rPr>
            </w:pPr>
            <w:r>
              <w:rPr>
                <w:b/>
                <w:sz w:val="18"/>
              </w:rPr>
              <w:t>Consolidated 2012</w:t>
            </w:r>
          </w:p>
        </w:tc>
        <w:tc>
          <w:tcPr>
            <w:tcW w:w="485" w:type="dxa"/>
          </w:tcPr>
          <w:p>
            <w:pPr>
              <w:pStyle w:val="TableParagraph"/>
              <w:rPr>
                <w:sz w:val="18"/>
              </w:rPr>
            </w:pPr>
          </w:p>
          <w:p>
            <w:pPr>
              <w:pStyle w:val="TableParagraph"/>
              <w:spacing w:before="11"/>
              <w:rPr>
                <w:sz w:val="14"/>
              </w:rPr>
            </w:pPr>
          </w:p>
          <w:p>
            <w:pPr>
              <w:pStyle w:val="TableParagraph"/>
              <w:ind w:left="26" w:right="-5"/>
              <w:rPr>
                <w:b/>
                <w:sz w:val="18"/>
              </w:rPr>
            </w:pPr>
            <w:r>
              <w:rPr>
                <w:b/>
                <w:sz w:val="18"/>
              </w:rPr>
              <w:t>2011</w:t>
            </w:r>
          </w:p>
        </w:tc>
        <w:tc>
          <w:tcPr>
            <w:tcW w:w="799" w:type="dxa"/>
          </w:tcPr>
          <w:p>
            <w:pPr/>
          </w:p>
        </w:tc>
        <w:tc>
          <w:tcPr>
            <w:tcW w:w="668" w:type="dxa"/>
          </w:tcPr>
          <w:p>
            <w:pPr>
              <w:pStyle w:val="TableParagraph"/>
              <w:spacing w:before="77"/>
              <w:ind w:left="13" w:right="-5"/>
              <w:rPr>
                <w:b/>
                <w:sz w:val="18"/>
              </w:rPr>
            </w:pPr>
            <w:r>
              <w:rPr>
                <w:b/>
                <w:sz w:val="18"/>
              </w:rPr>
              <w:t>Parent</w:t>
            </w:r>
          </w:p>
          <w:p>
            <w:pPr>
              <w:pStyle w:val="TableParagraph"/>
              <w:spacing w:before="66"/>
              <w:ind w:left="209" w:right="-5"/>
              <w:rPr>
                <w:b/>
                <w:sz w:val="18"/>
              </w:rPr>
            </w:pPr>
            <w:r>
              <w:rPr>
                <w:b/>
                <w:sz w:val="18"/>
              </w:rPr>
              <w:t>2012</w:t>
            </w:r>
          </w:p>
        </w:tc>
        <w:tc>
          <w:tcPr>
            <w:tcW w:w="812" w:type="dxa"/>
          </w:tcPr>
          <w:p>
            <w:pPr/>
          </w:p>
        </w:tc>
        <w:tc>
          <w:tcPr>
            <w:tcW w:w="485" w:type="dxa"/>
          </w:tcPr>
          <w:p>
            <w:pPr>
              <w:pStyle w:val="TableParagraph"/>
              <w:rPr>
                <w:sz w:val="18"/>
              </w:rPr>
            </w:pPr>
          </w:p>
          <w:p>
            <w:pPr>
              <w:pStyle w:val="TableParagraph"/>
              <w:spacing w:before="143"/>
              <w:ind w:right="55"/>
              <w:jc w:val="right"/>
              <w:rPr>
                <w:b/>
                <w:sz w:val="18"/>
              </w:rPr>
            </w:pPr>
            <w:r>
              <w:rPr>
                <w:b/>
                <w:w w:val="95"/>
                <w:sz w:val="18"/>
              </w:rPr>
              <w:t>2011</w:t>
            </w:r>
          </w:p>
        </w:tc>
        <w:tc>
          <w:tcPr>
            <w:tcW w:w="811" w:type="dxa"/>
            <w:vMerge w:val="restart"/>
          </w:tcPr>
          <w:p>
            <w:pPr/>
          </w:p>
        </w:tc>
      </w:tr>
      <w:tr>
        <w:trPr>
          <w:trHeight w:val="328" w:hRule="exact"/>
        </w:trPr>
        <w:tc>
          <w:tcPr>
            <w:tcW w:w="3725" w:type="dxa"/>
            <w:vMerge/>
          </w:tcPr>
          <w:p>
            <w:pPr/>
          </w:p>
        </w:tc>
        <w:tc>
          <w:tcPr>
            <w:tcW w:w="593" w:type="dxa"/>
          </w:tcPr>
          <w:p>
            <w:pPr>
              <w:pStyle w:val="TableParagraph"/>
              <w:spacing w:before="39"/>
              <w:ind w:left="118"/>
              <w:rPr>
                <w:b/>
                <w:sz w:val="18"/>
              </w:rPr>
            </w:pPr>
            <w:r>
              <w:rPr>
                <w:b/>
                <w:sz w:val="18"/>
              </w:rPr>
              <w:t>Note</w:t>
            </w:r>
          </w:p>
        </w:tc>
        <w:tc>
          <w:tcPr>
            <w:tcW w:w="1542" w:type="dxa"/>
          </w:tcPr>
          <w:p>
            <w:pPr>
              <w:pStyle w:val="TableParagraph"/>
              <w:spacing w:before="39"/>
              <w:ind w:left="271" w:right="308"/>
              <w:rPr>
                <w:b/>
                <w:sz w:val="18"/>
              </w:rPr>
            </w:pPr>
            <w:r>
              <w:rPr>
                <w:b/>
                <w:sz w:val="18"/>
              </w:rPr>
              <w:t>$'000</w:t>
            </w:r>
          </w:p>
        </w:tc>
        <w:tc>
          <w:tcPr>
            <w:tcW w:w="485" w:type="dxa"/>
          </w:tcPr>
          <w:p>
            <w:pPr>
              <w:pStyle w:val="TableParagraph"/>
              <w:spacing w:before="39"/>
              <w:ind w:left="26" w:right="-5"/>
              <w:rPr>
                <w:b/>
                <w:sz w:val="18"/>
              </w:rPr>
            </w:pPr>
            <w:r>
              <w:rPr>
                <w:b/>
                <w:sz w:val="18"/>
              </w:rPr>
              <w:t>$'000</w:t>
            </w:r>
          </w:p>
        </w:tc>
        <w:tc>
          <w:tcPr>
            <w:tcW w:w="799" w:type="dxa"/>
          </w:tcPr>
          <w:p>
            <w:pPr/>
          </w:p>
        </w:tc>
        <w:tc>
          <w:tcPr>
            <w:tcW w:w="668" w:type="dxa"/>
          </w:tcPr>
          <w:p>
            <w:pPr>
              <w:pStyle w:val="TableParagraph"/>
              <w:spacing w:before="8"/>
              <w:ind w:left="209" w:right="-5"/>
              <w:rPr>
                <w:b/>
                <w:sz w:val="18"/>
              </w:rPr>
            </w:pPr>
            <w:r>
              <w:rPr>
                <w:b/>
                <w:sz w:val="18"/>
              </w:rPr>
              <w:t>$'000</w:t>
            </w:r>
          </w:p>
        </w:tc>
        <w:tc>
          <w:tcPr>
            <w:tcW w:w="812" w:type="dxa"/>
          </w:tcPr>
          <w:p>
            <w:pPr/>
          </w:p>
        </w:tc>
        <w:tc>
          <w:tcPr>
            <w:tcW w:w="485" w:type="dxa"/>
          </w:tcPr>
          <w:p>
            <w:pPr>
              <w:pStyle w:val="TableParagraph"/>
              <w:spacing w:before="8"/>
              <w:ind w:right="12"/>
              <w:jc w:val="right"/>
              <w:rPr>
                <w:b/>
                <w:sz w:val="18"/>
              </w:rPr>
            </w:pPr>
            <w:r>
              <w:rPr>
                <w:b/>
                <w:w w:val="95"/>
                <w:sz w:val="18"/>
              </w:rPr>
              <w:t>$'000</w:t>
            </w:r>
          </w:p>
        </w:tc>
        <w:tc>
          <w:tcPr>
            <w:tcW w:w="811" w:type="dxa"/>
            <w:vMerge/>
          </w:tcPr>
          <w:p>
            <w:pPr/>
          </w:p>
        </w:tc>
      </w:tr>
      <w:tr>
        <w:trPr>
          <w:trHeight w:val="280" w:hRule="exact"/>
        </w:trPr>
        <w:tc>
          <w:tcPr>
            <w:tcW w:w="3725" w:type="dxa"/>
          </w:tcPr>
          <w:p>
            <w:pPr>
              <w:pStyle w:val="TableParagraph"/>
              <w:spacing w:before="63"/>
              <w:ind w:left="35" w:right="718"/>
              <w:rPr>
                <w:b/>
                <w:sz w:val="18"/>
              </w:rPr>
            </w:pPr>
            <w:r>
              <w:rPr>
                <w:b/>
                <w:sz w:val="18"/>
              </w:rPr>
              <w:t>CASH FLOWS FROM OPERATING</w:t>
            </w:r>
          </w:p>
        </w:tc>
        <w:tc>
          <w:tcPr>
            <w:tcW w:w="593" w:type="dxa"/>
          </w:tcPr>
          <w:p>
            <w:pPr/>
          </w:p>
        </w:tc>
        <w:tc>
          <w:tcPr>
            <w:tcW w:w="1542" w:type="dxa"/>
          </w:tcPr>
          <w:p>
            <w:pPr/>
          </w:p>
        </w:tc>
        <w:tc>
          <w:tcPr>
            <w:tcW w:w="485" w:type="dxa"/>
          </w:tcPr>
          <w:p>
            <w:pPr/>
          </w:p>
        </w:tc>
        <w:tc>
          <w:tcPr>
            <w:tcW w:w="799" w:type="dxa"/>
          </w:tcPr>
          <w:p>
            <w:pPr/>
          </w:p>
        </w:tc>
        <w:tc>
          <w:tcPr>
            <w:tcW w:w="668" w:type="dxa"/>
          </w:tcPr>
          <w:p>
            <w:pPr/>
          </w:p>
        </w:tc>
        <w:tc>
          <w:tcPr>
            <w:tcW w:w="812" w:type="dxa"/>
          </w:tcPr>
          <w:p>
            <w:pPr/>
          </w:p>
        </w:tc>
        <w:tc>
          <w:tcPr>
            <w:tcW w:w="485" w:type="dxa"/>
          </w:tcPr>
          <w:p>
            <w:pPr/>
          </w:p>
        </w:tc>
        <w:tc>
          <w:tcPr>
            <w:tcW w:w="811" w:type="dxa"/>
            <w:vMerge/>
          </w:tcPr>
          <w:p>
            <w:pPr/>
          </w:p>
        </w:tc>
      </w:tr>
      <w:tr>
        <w:trPr>
          <w:trHeight w:val="220" w:hRule="exact"/>
        </w:trPr>
        <w:tc>
          <w:tcPr>
            <w:tcW w:w="3725" w:type="dxa"/>
          </w:tcPr>
          <w:p>
            <w:pPr>
              <w:pStyle w:val="TableParagraph"/>
              <w:spacing w:line="197" w:lineRule="exact"/>
              <w:ind w:left="35" w:right="718"/>
              <w:rPr>
                <w:b/>
                <w:sz w:val="18"/>
              </w:rPr>
            </w:pPr>
            <w:r>
              <w:rPr>
                <w:b/>
                <w:sz w:val="18"/>
              </w:rPr>
              <w:t>ACTIVITIES</w:t>
            </w:r>
          </w:p>
        </w:tc>
        <w:tc>
          <w:tcPr>
            <w:tcW w:w="593" w:type="dxa"/>
          </w:tcPr>
          <w:p>
            <w:pPr/>
          </w:p>
        </w:tc>
        <w:tc>
          <w:tcPr>
            <w:tcW w:w="1542" w:type="dxa"/>
          </w:tcPr>
          <w:p>
            <w:pPr/>
          </w:p>
        </w:tc>
        <w:tc>
          <w:tcPr>
            <w:tcW w:w="485" w:type="dxa"/>
          </w:tcPr>
          <w:p>
            <w:pPr/>
          </w:p>
        </w:tc>
        <w:tc>
          <w:tcPr>
            <w:tcW w:w="799" w:type="dxa"/>
          </w:tcPr>
          <w:p>
            <w:pPr/>
          </w:p>
        </w:tc>
        <w:tc>
          <w:tcPr>
            <w:tcW w:w="668" w:type="dxa"/>
          </w:tcPr>
          <w:p>
            <w:pPr/>
          </w:p>
        </w:tc>
        <w:tc>
          <w:tcPr>
            <w:tcW w:w="812" w:type="dxa"/>
          </w:tcPr>
          <w:p>
            <w:pPr/>
          </w:p>
        </w:tc>
        <w:tc>
          <w:tcPr>
            <w:tcW w:w="485" w:type="dxa"/>
          </w:tcPr>
          <w:p>
            <w:pPr/>
          </w:p>
        </w:tc>
        <w:tc>
          <w:tcPr>
            <w:tcW w:w="811" w:type="dxa"/>
            <w:vMerge/>
          </w:tcPr>
          <w:p>
            <w:pPr/>
          </w:p>
        </w:tc>
      </w:tr>
      <w:tr>
        <w:trPr>
          <w:trHeight w:val="250" w:hRule="exact"/>
        </w:trPr>
        <w:tc>
          <w:tcPr>
            <w:tcW w:w="3725" w:type="dxa"/>
          </w:tcPr>
          <w:p>
            <w:pPr>
              <w:pStyle w:val="TableParagraph"/>
              <w:spacing w:before="4"/>
              <w:ind w:left="35" w:right="718"/>
              <w:rPr>
                <w:sz w:val="18"/>
              </w:rPr>
            </w:pPr>
            <w:r>
              <w:rPr>
                <w:sz w:val="18"/>
              </w:rPr>
              <w:t>Australian Government Grants</w:t>
            </w:r>
          </w:p>
        </w:tc>
        <w:tc>
          <w:tcPr>
            <w:tcW w:w="593" w:type="dxa"/>
          </w:tcPr>
          <w:p>
            <w:pPr/>
          </w:p>
        </w:tc>
        <w:tc>
          <w:tcPr>
            <w:tcW w:w="1542" w:type="dxa"/>
          </w:tcPr>
          <w:p>
            <w:pPr>
              <w:pStyle w:val="TableParagraph"/>
              <w:spacing w:before="5"/>
              <w:ind w:right="85"/>
              <w:jc w:val="right"/>
              <w:rPr>
                <w:b/>
                <w:sz w:val="18"/>
              </w:rPr>
            </w:pPr>
            <w:r>
              <w:rPr>
                <w:b/>
                <w:w w:val="95"/>
                <w:sz w:val="18"/>
              </w:rPr>
              <w:t>492,525</w:t>
            </w:r>
          </w:p>
        </w:tc>
        <w:tc>
          <w:tcPr>
            <w:tcW w:w="485" w:type="dxa"/>
          </w:tcPr>
          <w:p>
            <w:pPr/>
          </w:p>
        </w:tc>
        <w:tc>
          <w:tcPr>
            <w:tcW w:w="799" w:type="dxa"/>
          </w:tcPr>
          <w:p>
            <w:pPr>
              <w:pStyle w:val="TableParagraph"/>
              <w:spacing w:before="5"/>
              <w:ind w:left="74" w:right="-7"/>
              <w:rPr>
                <w:sz w:val="18"/>
              </w:rPr>
            </w:pPr>
            <w:r>
              <w:rPr>
                <w:sz w:val="18"/>
              </w:rPr>
              <w:t>404,012</w:t>
            </w:r>
          </w:p>
        </w:tc>
        <w:tc>
          <w:tcPr>
            <w:tcW w:w="668" w:type="dxa"/>
          </w:tcPr>
          <w:p>
            <w:pPr/>
          </w:p>
        </w:tc>
        <w:tc>
          <w:tcPr>
            <w:tcW w:w="812" w:type="dxa"/>
          </w:tcPr>
          <w:p>
            <w:pPr>
              <w:pStyle w:val="TableParagraph"/>
              <w:spacing w:before="5"/>
              <w:ind w:right="85"/>
              <w:jc w:val="right"/>
              <w:rPr>
                <w:b/>
                <w:sz w:val="18"/>
              </w:rPr>
            </w:pPr>
            <w:r>
              <w:rPr>
                <w:b/>
                <w:w w:val="95"/>
                <w:sz w:val="18"/>
              </w:rPr>
              <w:t>492,500</w:t>
            </w:r>
          </w:p>
        </w:tc>
        <w:tc>
          <w:tcPr>
            <w:tcW w:w="485" w:type="dxa"/>
          </w:tcPr>
          <w:p>
            <w:pPr/>
          </w:p>
        </w:tc>
        <w:tc>
          <w:tcPr>
            <w:tcW w:w="811" w:type="dxa"/>
          </w:tcPr>
          <w:p>
            <w:pPr>
              <w:pStyle w:val="TableParagraph"/>
              <w:spacing w:before="5"/>
              <w:ind w:left="74"/>
              <w:rPr>
                <w:sz w:val="18"/>
              </w:rPr>
            </w:pPr>
            <w:r>
              <w:rPr>
                <w:sz w:val="18"/>
              </w:rPr>
              <w:t>403,945</w:t>
            </w:r>
          </w:p>
        </w:tc>
      </w:tr>
      <w:tr>
        <w:trPr>
          <w:trHeight w:val="264" w:hRule="exact"/>
        </w:trPr>
        <w:tc>
          <w:tcPr>
            <w:tcW w:w="3725" w:type="dxa"/>
          </w:tcPr>
          <w:p>
            <w:pPr>
              <w:pStyle w:val="TableParagraph"/>
              <w:spacing w:before="18"/>
              <w:ind w:left="35" w:right="718"/>
              <w:rPr>
                <w:sz w:val="18"/>
              </w:rPr>
            </w:pPr>
            <w:r>
              <w:rPr>
                <w:sz w:val="18"/>
              </w:rPr>
              <w:t>State Government Grants</w:t>
            </w:r>
          </w:p>
        </w:tc>
        <w:tc>
          <w:tcPr>
            <w:tcW w:w="593" w:type="dxa"/>
          </w:tcPr>
          <w:p>
            <w:pPr/>
          </w:p>
        </w:tc>
        <w:tc>
          <w:tcPr>
            <w:tcW w:w="1542" w:type="dxa"/>
          </w:tcPr>
          <w:p>
            <w:pPr>
              <w:pStyle w:val="TableParagraph"/>
              <w:spacing w:before="19"/>
              <w:ind w:right="85"/>
              <w:jc w:val="right"/>
              <w:rPr>
                <w:b/>
                <w:sz w:val="18"/>
              </w:rPr>
            </w:pPr>
            <w:r>
              <w:rPr>
                <w:b/>
                <w:w w:val="95"/>
                <w:sz w:val="18"/>
              </w:rPr>
              <w:t>459</w:t>
            </w:r>
          </w:p>
        </w:tc>
        <w:tc>
          <w:tcPr>
            <w:tcW w:w="485" w:type="dxa"/>
          </w:tcPr>
          <w:p>
            <w:pPr/>
          </w:p>
        </w:tc>
        <w:tc>
          <w:tcPr>
            <w:tcW w:w="799" w:type="dxa"/>
          </w:tcPr>
          <w:p>
            <w:pPr>
              <w:pStyle w:val="TableParagraph"/>
              <w:spacing w:before="19"/>
              <w:ind w:right="72"/>
              <w:jc w:val="right"/>
              <w:rPr>
                <w:sz w:val="18"/>
              </w:rPr>
            </w:pPr>
            <w:r>
              <w:rPr>
                <w:w w:val="95"/>
                <w:sz w:val="18"/>
              </w:rPr>
              <w:t>482</w:t>
            </w:r>
          </w:p>
        </w:tc>
        <w:tc>
          <w:tcPr>
            <w:tcW w:w="668" w:type="dxa"/>
          </w:tcPr>
          <w:p>
            <w:pPr/>
          </w:p>
        </w:tc>
        <w:tc>
          <w:tcPr>
            <w:tcW w:w="812" w:type="dxa"/>
          </w:tcPr>
          <w:p>
            <w:pPr>
              <w:pStyle w:val="TableParagraph"/>
              <w:spacing w:before="19"/>
              <w:ind w:right="85"/>
              <w:jc w:val="right"/>
              <w:rPr>
                <w:b/>
                <w:sz w:val="18"/>
              </w:rPr>
            </w:pPr>
            <w:r>
              <w:rPr>
                <w:b/>
                <w:w w:val="95"/>
                <w:sz w:val="18"/>
              </w:rPr>
              <w:t>459</w:t>
            </w:r>
          </w:p>
        </w:tc>
        <w:tc>
          <w:tcPr>
            <w:tcW w:w="485" w:type="dxa"/>
          </w:tcPr>
          <w:p>
            <w:pPr/>
          </w:p>
        </w:tc>
        <w:tc>
          <w:tcPr>
            <w:tcW w:w="811" w:type="dxa"/>
          </w:tcPr>
          <w:p>
            <w:pPr>
              <w:pStyle w:val="TableParagraph"/>
              <w:spacing w:before="19"/>
              <w:ind w:right="84"/>
              <w:jc w:val="right"/>
              <w:rPr>
                <w:sz w:val="18"/>
              </w:rPr>
            </w:pPr>
            <w:r>
              <w:rPr>
                <w:w w:val="95"/>
                <w:sz w:val="18"/>
              </w:rPr>
              <w:t>482</w:t>
            </w:r>
          </w:p>
        </w:tc>
      </w:tr>
      <w:tr>
        <w:trPr>
          <w:trHeight w:val="264" w:hRule="exact"/>
        </w:trPr>
        <w:tc>
          <w:tcPr>
            <w:tcW w:w="3725" w:type="dxa"/>
          </w:tcPr>
          <w:p>
            <w:pPr>
              <w:pStyle w:val="TableParagraph"/>
              <w:spacing w:before="18"/>
              <w:ind w:left="35" w:right="718"/>
              <w:rPr>
                <w:sz w:val="18"/>
              </w:rPr>
            </w:pPr>
            <w:r>
              <w:rPr>
                <w:sz w:val="18"/>
              </w:rPr>
              <w:t>HECS-HELP - Student payments</w:t>
            </w:r>
          </w:p>
        </w:tc>
        <w:tc>
          <w:tcPr>
            <w:tcW w:w="593" w:type="dxa"/>
          </w:tcPr>
          <w:p>
            <w:pPr/>
          </w:p>
        </w:tc>
        <w:tc>
          <w:tcPr>
            <w:tcW w:w="1542" w:type="dxa"/>
          </w:tcPr>
          <w:p>
            <w:pPr>
              <w:pStyle w:val="TableParagraph"/>
              <w:spacing w:before="19"/>
              <w:ind w:right="85"/>
              <w:jc w:val="right"/>
              <w:rPr>
                <w:b/>
                <w:sz w:val="18"/>
              </w:rPr>
            </w:pPr>
            <w:r>
              <w:rPr>
                <w:b/>
                <w:w w:val="95"/>
                <w:sz w:val="18"/>
              </w:rPr>
              <w:t>17,494</w:t>
            </w:r>
          </w:p>
        </w:tc>
        <w:tc>
          <w:tcPr>
            <w:tcW w:w="485" w:type="dxa"/>
          </w:tcPr>
          <w:p>
            <w:pPr/>
          </w:p>
        </w:tc>
        <w:tc>
          <w:tcPr>
            <w:tcW w:w="799" w:type="dxa"/>
          </w:tcPr>
          <w:p>
            <w:pPr>
              <w:pStyle w:val="TableParagraph"/>
              <w:spacing w:before="19"/>
              <w:ind w:left="174" w:right="-7"/>
              <w:rPr>
                <w:sz w:val="18"/>
              </w:rPr>
            </w:pPr>
            <w:r>
              <w:rPr>
                <w:sz w:val="18"/>
              </w:rPr>
              <w:t>17,967</w:t>
            </w:r>
          </w:p>
        </w:tc>
        <w:tc>
          <w:tcPr>
            <w:tcW w:w="668" w:type="dxa"/>
          </w:tcPr>
          <w:p>
            <w:pPr/>
          </w:p>
        </w:tc>
        <w:tc>
          <w:tcPr>
            <w:tcW w:w="812" w:type="dxa"/>
          </w:tcPr>
          <w:p>
            <w:pPr>
              <w:pStyle w:val="TableParagraph"/>
              <w:spacing w:before="19"/>
              <w:ind w:right="85"/>
              <w:jc w:val="right"/>
              <w:rPr>
                <w:b/>
                <w:sz w:val="18"/>
              </w:rPr>
            </w:pPr>
            <w:r>
              <w:rPr>
                <w:b/>
                <w:w w:val="95"/>
                <w:sz w:val="18"/>
              </w:rPr>
              <w:t>17,494</w:t>
            </w:r>
          </w:p>
        </w:tc>
        <w:tc>
          <w:tcPr>
            <w:tcW w:w="485" w:type="dxa"/>
          </w:tcPr>
          <w:p>
            <w:pPr/>
          </w:p>
        </w:tc>
        <w:tc>
          <w:tcPr>
            <w:tcW w:w="811" w:type="dxa"/>
          </w:tcPr>
          <w:p>
            <w:pPr>
              <w:pStyle w:val="TableParagraph"/>
              <w:spacing w:before="19"/>
              <w:ind w:left="174"/>
              <w:rPr>
                <w:sz w:val="18"/>
              </w:rPr>
            </w:pPr>
            <w:r>
              <w:rPr>
                <w:sz w:val="18"/>
              </w:rPr>
              <w:t>17,967</w:t>
            </w:r>
          </w:p>
        </w:tc>
      </w:tr>
      <w:tr>
        <w:trPr>
          <w:trHeight w:val="468" w:hRule="exact"/>
        </w:trPr>
        <w:tc>
          <w:tcPr>
            <w:tcW w:w="3725" w:type="dxa"/>
          </w:tcPr>
          <w:p>
            <w:pPr>
              <w:pStyle w:val="TableParagraph"/>
              <w:spacing w:before="18"/>
              <w:ind w:left="35" w:right="718"/>
              <w:rPr>
                <w:sz w:val="18"/>
              </w:rPr>
            </w:pPr>
            <w:r>
              <w:rPr>
                <w:sz w:val="18"/>
              </w:rPr>
              <w:t>Receipts from student fees and other customers</w:t>
            </w:r>
          </w:p>
        </w:tc>
        <w:tc>
          <w:tcPr>
            <w:tcW w:w="593" w:type="dxa"/>
          </w:tcPr>
          <w:p>
            <w:pPr/>
          </w:p>
        </w:tc>
        <w:tc>
          <w:tcPr>
            <w:tcW w:w="1542" w:type="dxa"/>
          </w:tcPr>
          <w:p>
            <w:pPr>
              <w:pStyle w:val="TableParagraph"/>
              <w:spacing w:before="5"/>
              <w:rPr>
                <w:sz w:val="19"/>
              </w:rPr>
            </w:pPr>
          </w:p>
          <w:p>
            <w:pPr>
              <w:pStyle w:val="TableParagraph"/>
              <w:ind w:right="85"/>
              <w:jc w:val="right"/>
              <w:rPr>
                <w:b/>
                <w:sz w:val="18"/>
              </w:rPr>
            </w:pPr>
            <w:r>
              <w:rPr>
                <w:b/>
                <w:w w:val="95"/>
                <w:sz w:val="18"/>
              </w:rPr>
              <w:t>138,526</w:t>
            </w:r>
          </w:p>
        </w:tc>
        <w:tc>
          <w:tcPr>
            <w:tcW w:w="485" w:type="dxa"/>
          </w:tcPr>
          <w:p>
            <w:pPr/>
          </w:p>
        </w:tc>
        <w:tc>
          <w:tcPr>
            <w:tcW w:w="799" w:type="dxa"/>
          </w:tcPr>
          <w:p>
            <w:pPr>
              <w:pStyle w:val="TableParagraph"/>
              <w:spacing w:before="5"/>
              <w:rPr>
                <w:sz w:val="19"/>
              </w:rPr>
            </w:pPr>
          </w:p>
          <w:p>
            <w:pPr>
              <w:pStyle w:val="TableParagraph"/>
              <w:ind w:left="74" w:right="-7"/>
              <w:rPr>
                <w:sz w:val="18"/>
              </w:rPr>
            </w:pPr>
            <w:r>
              <w:rPr>
                <w:sz w:val="18"/>
              </w:rPr>
              <w:t>140,955</w:t>
            </w:r>
          </w:p>
        </w:tc>
        <w:tc>
          <w:tcPr>
            <w:tcW w:w="668" w:type="dxa"/>
          </w:tcPr>
          <w:p>
            <w:pPr/>
          </w:p>
        </w:tc>
        <w:tc>
          <w:tcPr>
            <w:tcW w:w="812" w:type="dxa"/>
          </w:tcPr>
          <w:p>
            <w:pPr>
              <w:pStyle w:val="TableParagraph"/>
              <w:spacing w:before="5"/>
              <w:rPr>
                <w:sz w:val="19"/>
              </w:rPr>
            </w:pPr>
          </w:p>
          <w:p>
            <w:pPr>
              <w:pStyle w:val="TableParagraph"/>
              <w:ind w:right="85"/>
              <w:jc w:val="right"/>
              <w:rPr>
                <w:b/>
                <w:sz w:val="18"/>
              </w:rPr>
            </w:pPr>
            <w:r>
              <w:rPr>
                <w:b/>
                <w:w w:val="95"/>
                <w:sz w:val="18"/>
              </w:rPr>
              <w:t>107,054</w:t>
            </w:r>
          </w:p>
        </w:tc>
        <w:tc>
          <w:tcPr>
            <w:tcW w:w="485" w:type="dxa"/>
          </w:tcPr>
          <w:p>
            <w:pPr/>
          </w:p>
        </w:tc>
        <w:tc>
          <w:tcPr>
            <w:tcW w:w="811" w:type="dxa"/>
          </w:tcPr>
          <w:p>
            <w:pPr>
              <w:pStyle w:val="TableParagraph"/>
              <w:spacing w:before="5"/>
              <w:rPr>
                <w:sz w:val="19"/>
              </w:rPr>
            </w:pPr>
          </w:p>
          <w:p>
            <w:pPr>
              <w:pStyle w:val="TableParagraph"/>
              <w:ind w:left="74"/>
              <w:rPr>
                <w:sz w:val="18"/>
              </w:rPr>
            </w:pPr>
            <w:r>
              <w:rPr>
                <w:sz w:val="18"/>
              </w:rPr>
              <w:t>108,985</w:t>
            </w:r>
          </w:p>
        </w:tc>
      </w:tr>
      <w:tr>
        <w:trPr>
          <w:trHeight w:val="263" w:hRule="exact"/>
        </w:trPr>
        <w:tc>
          <w:tcPr>
            <w:tcW w:w="3725" w:type="dxa"/>
          </w:tcPr>
          <w:p>
            <w:pPr>
              <w:pStyle w:val="TableParagraph"/>
              <w:spacing w:before="17"/>
              <w:ind w:left="35" w:right="718"/>
              <w:rPr>
                <w:sz w:val="18"/>
              </w:rPr>
            </w:pPr>
            <w:r>
              <w:rPr>
                <w:sz w:val="18"/>
              </w:rPr>
              <w:t>Interest received</w:t>
            </w:r>
          </w:p>
        </w:tc>
        <w:tc>
          <w:tcPr>
            <w:tcW w:w="593" w:type="dxa"/>
          </w:tcPr>
          <w:p>
            <w:pPr/>
          </w:p>
        </w:tc>
        <w:tc>
          <w:tcPr>
            <w:tcW w:w="1542" w:type="dxa"/>
          </w:tcPr>
          <w:p>
            <w:pPr>
              <w:pStyle w:val="TableParagraph"/>
              <w:spacing w:before="19"/>
              <w:ind w:right="85"/>
              <w:jc w:val="right"/>
              <w:rPr>
                <w:b/>
                <w:sz w:val="18"/>
              </w:rPr>
            </w:pPr>
            <w:r>
              <w:rPr>
                <w:b/>
                <w:w w:val="95"/>
                <w:sz w:val="18"/>
              </w:rPr>
              <w:t>3,699</w:t>
            </w:r>
          </w:p>
        </w:tc>
        <w:tc>
          <w:tcPr>
            <w:tcW w:w="485" w:type="dxa"/>
          </w:tcPr>
          <w:p>
            <w:pPr/>
          </w:p>
        </w:tc>
        <w:tc>
          <w:tcPr>
            <w:tcW w:w="799" w:type="dxa"/>
          </w:tcPr>
          <w:p>
            <w:pPr>
              <w:pStyle w:val="TableParagraph"/>
              <w:spacing w:before="19"/>
              <w:ind w:left="274" w:right="-7"/>
              <w:rPr>
                <w:sz w:val="18"/>
              </w:rPr>
            </w:pPr>
            <w:r>
              <w:rPr>
                <w:sz w:val="18"/>
              </w:rPr>
              <w:t>4,953</w:t>
            </w:r>
          </w:p>
        </w:tc>
        <w:tc>
          <w:tcPr>
            <w:tcW w:w="668" w:type="dxa"/>
          </w:tcPr>
          <w:p>
            <w:pPr/>
          </w:p>
        </w:tc>
        <w:tc>
          <w:tcPr>
            <w:tcW w:w="812" w:type="dxa"/>
          </w:tcPr>
          <w:p>
            <w:pPr>
              <w:pStyle w:val="TableParagraph"/>
              <w:spacing w:before="19"/>
              <w:ind w:right="85"/>
              <w:jc w:val="right"/>
              <w:rPr>
                <w:b/>
                <w:sz w:val="18"/>
              </w:rPr>
            </w:pPr>
            <w:r>
              <w:rPr>
                <w:b/>
                <w:w w:val="95"/>
                <w:sz w:val="18"/>
              </w:rPr>
              <w:t>2,276</w:t>
            </w:r>
          </w:p>
        </w:tc>
        <w:tc>
          <w:tcPr>
            <w:tcW w:w="485" w:type="dxa"/>
          </w:tcPr>
          <w:p>
            <w:pPr/>
          </w:p>
        </w:tc>
        <w:tc>
          <w:tcPr>
            <w:tcW w:w="811" w:type="dxa"/>
          </w:tcPr>
          <w:p>
            <w:pPr>
              <w:pStyle w:val="TableParagraph"/>
              <w:spacing w:before="19"/>
              <w:ind w:left="274"/>
              <w:rPr>
                <w:sz w:val="18"/>
              </w:rPr>
            </w:pPr>
            <w:r>
              <w:rPr>
                <w:sz w:val="18"/>
              </w:rPr>
              <w:t>3,054</w:t>
            </w:r>
          </w:p>
        </w:tc>
      </w:tr>
      <w:tr>
        <w:trPr>
          <w:trHeight w:val="264" w:hRule="exact"/>
        </w:trPr>
        <w:tc>
          <w:tcPr>
            <w:tcW w:w="3725" w:type="dxa"/>
          </w:tcPr>
          <w:p>
            <w:pPr>
              <w:pStyle w:val="TableParagraph"/>
              <w:spacing w:before="18"/>
              <w:ind w:left="35"/>
              <w:rPr>
                <w:sz w:val="18"/>
              </w:rPr>
            </w:pPr>
            <w:r>
              <w:rPr>
                <w:sz w:val="18"/>
              </w:rPr>
              <w:t>Payments to suppliers and employees</w:t>
            </w:r>
          </w:p>
        </w:tc>
        <w:tc>
          <w:tcPr>
            <w:tcW w:w="593" w:type="dxa"/>
          </w:tcPr>
          <w:p>
            <w:pPr/>
          </w:p>
        </w:tc>
        <w:tc>
          <w:tcPr>
            <w:tcW w:w="1542" w:type="dxa"/>
          </w:tcPr>
          <w:p>
            <w:pPr>
              <w:pStyle w:val="TableParagraph"/>
              <w:spacing w:before="19"/>
              <w:ind w:right="24"/>
              <w:jc w:val="right"/>
              <w:rPr>
                <w:b/>
                <w:sz w:val="18"/>
              </w:rPr>
            </w:pPr>
            <w:r>
              <w:rPr>
                <w:b/>
                <w:w w:val="95"/>
                <w:sz w:val="18"/>
              </w:rPr>
              <w:t>(559,519)</w:t>
            </w:r>
          </w:p>
        </w:tc>
        <w:tc>
          <w:tcPr>
            <w:tcW w:w="485" w:type="dxa"/>
          </w:tcPr>
          <w:p>
            <w:pPr/>
          </w:p>
        </w:tc>
        <w:tc>
          <w:tcPr>
            <w:tcW w:w="799" w:type="dxa"/>
          </w:tcPr>
          <w:p>
            <w:pPr>
              <w:pStyle w:val="TableParagraph"/>
              <w:spacing w:before="19"/>
              <w:ind w:left="15" w:right="-7"/>
              <w:rPr>
                <w:sz w:val="18"/>
              </w:rPr>
            </w:pPr>
            <w:r>
              <w:rPr>
                <w:sz w:val="18"/>
              </w:rPr>
              <w:t>(515,337)</w:t>
            </w:r>
          </w:p>
        </w:tc>
        <w:tc>
          <w:tcPr>
            <w:tcW w:w="668" w:type="dxa"/>
          </w:tcPr>
          <w:p>
            <w:pPr/>
          </w:p>
        </w:tc>
        <w:tc>
          <w:tcPr>
            <w:tcW w:w="812" w:type="dxa"/>
          </w:tcPr>
          <w:p>
            <w:pPr>
              <w:pStyle w:val="TableParagraph"/>
              <w:spacing w:before="19"/>
              <w:ind w:right="24"/>
              <w:jc w:val="right"/>
              <w:rPr>
                <w:b/>
                <w:sz w:val="18"/>
              </w:rPr>
            </w:pPr>
            <w:r>
              <w:rPr>
                <w:b/>
                <w:w w:val="95"/>
                <w:sz w:val="18"/>
              </w:rPr>
              <w:t>(535,627)</w:t>
            </w:r>
          </w:p>
        </w:tc>
        <w:tc>
          <w:tcPr>
            <w:tcW w:w="485" w:type="dxa"/>
          </w:tcPr>
          <w:p>
            <w:pPr/>
          </w:p>
        </w:tc>
        <w:tc>
          <w:tcPr>
            <w:tcW w:w="811" w:type="dxa"/>
          </w:tcPr>
          <w:p>
            <w:pPr>
              <w:pStyle w:val="TableParagraph"/>
              <w:spacing w:before="19"/>
              <w:ind w:left="15"/>
              <w:rPr>
                <w:sz w:val="18"/>
              </w:rPr>
            </w:pPr>
            <w:r>
              <w:rPr>
                <w:sz w:val="18"/>
              </w:rPr>
              <w:t>(479,883)</w:t>
            </w:r>
          </w:p>
        </w:tc>
      </w:tr>
      <w:tr>
        <w:trPr>
          <w:trHeight w:val="263" w:hRule="exact"/>
        </w:trPr>
        <w:tc>
          <w:tcPr>
            <w:tcW w:w="3725" w:type="dxa"/>
          </w:tcPr>
          <w:p>
            <w:pPr>
              <w:pStyle w:val="TableParagraph"/>
              <w:spacing w:before="18"/>
              <w:ind w:left="35" w:right="718"/>
              <w:rPr>
                <w:sz w:val="18"/>
              </w:rPr>
            </w:pPr>
            <w:r>
              <w:rPr>
                <w:sz w:val="18"/>
              </w:rPr>
              <w:t>GST recovered / (paid)</w:t>
            </w:r>
          </w:p>
        </w:tc>
        <w:tc>
          <w:tcPr>
            <w:tcW w:w="593" w:type="dxa"/>
          </w:tcPr>
          <w:p>
            <w:pPr/>
          </w:p>
        </w:tc>
        <w:tc>
          <w:tcPr>
            <w:tcW w:w="1542" w:type="dxa"/>
            <w:tcBorders>
              <w:bottom w:val="single" w:sz="0" w:space="0" w:color="000000"/>
            </w:tcBorders>
          </w:tcPr>
          <w:p>
            <w:pPr>
              <w:pStyle w:val="TableParagraph"/>
              <w:spacing w:before="19"/>
              <w:ind w:right="85"/>
              <w:jc w:val="right"/>
              <w:rPr>
                <w:b/>
                <w:sz w:val="18"/>
              </w:rPr>
            </w:pPr>
            <w:r>
              <w:rPr>
                <w:b/>
                <w:w w:val="95"/>
                <w:sz w:val="18"/>
              </w:rPr>
              <w:t>22,231</w:t>
            </w:r>
          </w:p>
        </w:tc>
        <w:tc>
          <w:tcPr>
            <w:tcW w:w="485" w:type="dxa"/>
            <w:tcBorders>
              <w:bottom w:val="single" w:sz="0" w:space="0" w:color="000000"/>
            </w:tcBorders>
          </w:tcPr>
          <w:p>
            <w:pPr/>
          </w:p>
        </w:tc>
        <w:tc>
          <w:tcPr>
            <w:tcW w:w="799" w:type="dxa"/>
            <w:tcBorders>
              <w:bottom w:val="single" w:sz="0" w:space="0" w:color="000000"/>
            </w:tcBorders>
          </w:tcPr>
          <w:p>
            <w:pPr>
              <w:pStyle w:val="TableParagraph"/>
              <w:spacing w:before="19"/>
              <w:ind w:left="174" w:right="-7"/>
              <w:rPr>
                <w:sz w:val="18"/>
              </w:rPr>
            </w:pPr>
            <w:r>
              <w:rPr>
                <w:sz w:val="18"/>
              </w:rPr>
              <w:t>14,691</w:t>
            </w:r>
          </w:p>
        </w:tc>
        <w:tc>
          <w:tcPr>
            <w:tcW w:w="668" w:type="dxa"/>
            <w:tcBorders>
              <w:bottom w:val="single" w:sz="0" w:space="0" w:color="000000"/>
            </w:tcBorders>
          </w:tcPr>
          <w:p>
            <w:pPr/>
          </w:p>
        </w:tc>
        <w:tc>
          <w:tcPr>
            <w:tcW w:w="812" w:type="dxa"/>
            <w:tcBorders>
              <w:bottom w:val="single" w:sz="0" w:space="0" w:color="000000"/>
            </w:tcBorders>
          </w:tcPr>
          <w:p>
            <w:pPr>
              <w:pStyle w:val="TableParagraph"/>
              <w:spacing w:before="19"/>
              <w:ind w:right="85"/>
              <w:jc w:val="right"/>
              <w:rPr>
                <w:b/>
                <w:sz w:val="18"/>
              </w:rPr>
            </w:pPr>
            <w:r>
              <w:rPr>
                <w:b/>
                <w:w w:val="95"/>
                <w:sz w:val="18"/>
              </w:rPr>
              <w:t>22,231</w:t>
            </w:r>
          </w:p>
        </w:tc>
        <w:tc>
          <w:tcPr>
            <w:tcW w:w="485" w:type="dxa"/>
            <w:tcBorders>
              <w:bottom w:val="single" w:sz="0" w:space="0" w:color="000000"/>
            </w:tcBorders>
          </w:tcPr>
          <w:p>
            <w:pPr/>
          </w:p>
        </w:tc>
        <w:tc>
          <w:tcPr>
            <w:tcW w:w="811" w:type="dxa"/>
            <w:tcBorders>
              <w:bottom w:val="single" w:sz="0" w:space="0" w:color="000000"/>
            </w:tcBorders>
          </w:tcPr>
          <w:p>
            <w:pPr>
              <w:pStyle w:val="TableParagraph"/>
              <w:spacing w:before="19"/>
              <w:ind w:left="174"/>
              <w:rPr>
                <w:sz w:val="18"/>
              </w:rPr>
            </w:pPr>
            <w:r>
              <w:rPr>
                <w:sz w:val="18"/>
              </w:rPr>
              <w:t>14,691</w:t>
            </w:r>
          </w:p>
        </w:tc>
      </w:tr>
      <w:tr>
        <w:trPr>
          <w:trHeight w:val="338" w:hRule="exact"/>
        </w:trPr>
        <w:tc>
          <w:tcPr>
            <w:tcW w:w="3725" w:type="dxa"/>
          </w:tcPr>
          <w:p>
            <w:pPr>
              <w:pStyle w:val="TableParagraph"/>
              <w:spacing w:before="38"/>
              <w:ind w:left="35"/>
              <w:rPr>
                <w:b/>
                <w:sz w:val="18"/>
              </w:rPr>
            </w:pPr>
            <w:r>
              <w:rPr>
                <w:b/>
                <w:sz w:val="18"/>
              </w:rPr>
              <w:t>Net cash provided by operating activities</w:t>
            </w:r>
          </w:p>
        </w:tc>
        <w:tc>
          <w:tcPr>
            <w:tcW w:w="593" w:type="dxa"/>
          </w:tcPr>
          <w:p>
            <w:pPr/>
          </w:p>
        </w:tc>
        <w:tc>
          <w:tcPr>
            <w:tcW w:w="1542" w:type="dxa"/>
            <w:tcBorders>
              <w:top w:val="single" w:sz="0" w:space="0" w:color="000000"/>
              <w:bottom w:val="single" w:sz="0" w:space="0" w:color="000000"/>
            </w:tcBorders>
          </w:tcPr>
          <w:p>
            <w:pPr>
              <w:pStyle w:val="TableParagraph"/>
              <w:spacing w:before="122"/>
              <w:ind w:right="85"/>
              <w:jc w:val="right"/>
              <w:rPr>
                <w:b/>
                <w:sz w:val="18"/>
              </w:rPr>
            </w:pPr>
            <w:r>
              <w:rPr>
                <w:b/>
                <w:w w:val="95"/>
                <w:sz w:val="18"/>
              </w:rPr>
              <w:t>115,415</w:t>
            </w:r>
          </w:p>
        </w:tc>
        <w:tc>
          <w:tcPr>
            <w:tcW w:w="485" w:type="dxa"/>
            <w:tcBorders>
              <w:top w:val="single" w:sz="0" w:space="0" w:color="000000"/>
              <w:bottom w:val="single" w:sz="0" w:space="0" w:color="000000"/>
            </w:tcBorders>
          </w:tcPr>
          <w:p>
            <w:pPr/>
          </w:p>
        </w:tc>
        <w:tc>
          <w:tcPr>
            <w:tcW w:w="799" w:type="dxa"/>
            <w:tcBorders>
              <w:top w:val="single" w:sz="0" w:space="0" w:color="000000"/>
              <w:bottom w:val="single" w:sz="0" w:space="0" w:color="000000"/>
            </w:tcBorders>
          </w:tcPr>
          <w:p>
            <w:pPr>
              <w:pStyle w:val="TableParagraph"/>
              <w:spacing w:before="122"/>
              <w:ind w:left="174" w:right="-7"/>
              <w:rPr>
                <w:sz w:val="18"/>
              </w:rPr>
            </w:pPr>
            <w:r>
              <w:rPr>
                <w:sz w:val="18"/>
              </w:rPr>
              <w:t>67,723</w:t>
            </w:r>
          </w:p>
        </w:tc>
        <w:tc>
          <w:tcPr>
            <w:tcW w:w="668" w:type="dxa"/>
            <w:tcBorders>
              <w:top w:val="single" w:sz="0" w:space="0" w:color="000000"/>
              <w:bottom w:val="single" w:sz="0" w:space="0" w:color="000000"/>
            </w:tcBorders>
          </w:tcPr>
          <w:p>
            <w:pPr/>
          </w:p>
        </w:tc>
        <w:tc>
          <w:tcPr>
            <w:tcW w:w="812" w:type="dxa"/>
            <w:tcBorders>
              <w:top w:val="single" w:sz="0" w:space="0" w:color="000000"/>
              <w:bottom w:val="single" w:sz="0" w:space="0" w:color="000000"/>
            </w:tcBorders>
          </w:tcPr>
          <w:p>
            <w:pPr>
              <w:pStyle w:val="TableParagraph"/>
              <w:spacing w:before="122"/>
              <w:ind w:right="85"/>
              <w:jc w:val="right"/>
              <w:rPr>
                <w:b/>
                <w:sz w:val="18"/>
              </w:rPr>
            </w:pPr>
            <w:r>
              <w:rPr>
                <w:b/>
                <w:w w:val="95"/>
                <w:sz w:val="18"/>
              </w:rPr>
              <w:t>106,387</w:t>
            </w:r>
          </w:p>
        </w:tc>
        <w:tc>
          <w:tcPr>
            <w:tcW w:w="485" w:type="dxa"/>
            <w:tcBorders>
              <w:top w:val="single" w:sz="0" w:space="0" w:color="000000"/>
              <w:bottom w:val="single" w:sz="0" w:space="0" w:color="000000"/>
            </w:tcBorders>
          </w:tcPr>
          <w:p>
            <w:pPr/>
          </w:p>
        </w:tc>
        <w:tc>
          <w:tcPr>
            <w:tcW w:w="811" w:type="dxa"/>
            <w:tcBorders>
              <w:top w:val="single" w:sz="0" w:space="0" w:color="000000"/>
              <w:bottom w:val="single" w:sz="0" w:space="0" w:color="000000"/>
            </w:tcBorders>
          </w:tcPr>
          <w:p>
            <w:pPr>
              <w:pStyle w:val="TableParagraph"/>
              <w:spacing w:before="122"/>
              <w:ind w:left="174"/>
              <w:rPr>
                <w:sz w:val="18"/>
              </w:rPr>
            </w:pPr>
            <w:r>
              <w:rPr>
                <w:sz w:val="18"/>
              </w:rPr>
              <w:t>69,241</w:t>
            </w:r>
          </w:p>
        </w:tc>
      </w:tr>
      <w:tr>
        <w:trPr>
          <w:trHeight w:val="635" w:hRule="exact"/>
        </w:trPr>
        <w:tc>
          <w:tcPr>
            <w:tcW w:w="3725" w:type="dxa"/>
          </w:tcPr>
          <w:p>
            <w:pPr>
              <w:pStyle w:val="TableParagraph"/>
              <w:rPr>
                <w:sz w:val="18"/>
              </w:rPr>
            </w:pPr>
          </w:p>
          <w:p>
            <w:pPr>
              <w:pStyle w:val="TableParagraph"/>
              <w:spacing w:before="4"/>
              <w:rPr>
                <w:sz w:val="18"/>
              </w:rPr>
            </w:pPr>
          </w:p>
          <w:p>
            <w:pPr>
              <w:pStyle w:val="TableParagraph"/>
              <w:ind w:left="35" w:right="718"/>
              <w:rPr>
                <w:b/>
                <w:sz w:val="18"/>
              </w:rPr>
            </w:pPr>
            <w:r>
              <w:rPr>
                <w:b/>
                <w:sz w:val="18"/>
              </w:rPr>
              <w:t>CASH FLOWS FROM INVESTING</w:t>
            </w:r>
          </w:p>
        </w:tc>
        <w:tc>
          <w:tcPr>
            <w:tcW w:w="593" w:type="dxa"/>
          </w:tcPr>
          <w:p>
            <w:pPr/>
          </w:p>
        </w:tc>
        <w:tc>
          <w:tcPr>
            <w:tcW w:w="1542" w:type="dxa"/>
            <w:tcBorders>
              <w:top w:val="single" w:sz="0" w:space="0" w:color="000000"/>
            </w:tcBorders>
          </w:tcPr>
          <w:p>
            <w:pPr/>
          </w:p>
        </w:tc>
        <w:tc>
          <w:tcPr>
            <w:tcW w:w="485" w:type="dxa"/>
            <w:tcBorders>
              <w:top w:val="single" w:sz="0" w:space="0" w:color="000000"/>
            </w:tcBorders>
          </w:tcPr>
          <w:p>
            <w:pPr/>
          </w:p>
        </w:tc>
        <w:tc>
          <w:tcPr>
            <w:tcW w:w="799" w:type="dxa"/>
            <w:tcBorders>
              <w:top w:val="single" w:sz="0" w:space="0" w:color="000000"/>
            </w:tcBorders>
          </w:tcPr>
          <w:p>
            <w:pPr/>
          </w:p>
        </w:tc>
        <w:tc>
          <w:tcPr>
            <w:tcW w:w="668" w:type="dxa"/>
            <w:tcBorders>
              <w:top w:val="single" w:sz="0" w:space="0" w:color="000000"/>
            </w:tcBorders>
          </w:tcPr>
          <w:p>
            <w:pPr/>
          </w:p>
        </w:tc>
        <w:tc>
          <w:tcPr>
            <w:tcW w:w="812" w:type="dxa"/>
            <w:tcBorders>
              <w:top w:val="single" w:sz="0" w:space="0" w:color="000000"/>
            </w:tcBorders>
          </w:tcPr>
          <w:p>
            <w:pPr/>
          </w:p>
        </w:tc>
        <w:tc>
          <w:tcPr>
            <w:tcW w:w="485" w:type="dxa"/>
            <w:tcBorders>
              <w:top w:val="single" w:sz="0" w:space="0" w:color="000000"/>
            </w:tcBorders>
          </w:tcPr>
          <w:p>
            <w:pPr/>
          </w:p>
        </w:tc>
        <w:tc>
          <w:tcPr>
            <w:tcW w:w="811" w:type="dxa"/>
            <w:tcBorders>
              <w:top w:val="single" w:sz="0" w:space="0" w:color="000000"/>
            </w:tcBorders>
          </w:tcPr>
          <w:p>
            <w:pPr/>
          </w:p>
        </w:tc>
      </w:tr>
      <w:tr>
        <w:trPr>
          <w:trHeight w:val="220" w:hRule="exact"/>
        </w:trPr>
        <w:tc>
          <w:tcPr>
            <w:tcW w:w="3725" w:type="dxa"/>
          </w:tcPr>
          <w:p>
            <w:pPr>
              <w:pStyle w:val="TableParagraph"/>
              <w:spacing w:line="197" w:lineRule="exact"/>
              <w:ind w:left="35" w:right="718"/>
              <w:rPr>
                <w:b/>
                <w:sz w:val="18"/>
              </w:rPr>
            </w:pPr>
            <w:r>
              <w:rPr>
                <w:b/>
                <w:sz w:val="18"/>
              </w:rPr>
              <w:t>ACTIVITIES</w:t>
            </w:r>
          </w:p>
        </w:tc>
        <w:tc>
          <w:tcPr>
            <w:tcW w:w="593" w:type="dxa"/>
          </w:tcPr>
          <w:p>
            <w:pPr/>
          </w:p>
        </w:tc>
        <w:tc>
          <w:tcPr>
            <w:tcW w:w="1542" w:type="dxa"/>
          </w:tcPr>
          <w:p>
            <w:pPr/>
          </w:p>
        </w:tc>
        <w:tc>
          <w:tcPr>
            <w:tcW w:w="485" w:type="dxa"/>
          </w:tcPr>
          <w:p>
            <w:pPr/>
          </w:p>
        </w:tc>
        <w:tc>
          <w:tcPr>
            <w:tcW w:w="799" w:type="dxa"/>
          </w:tcPr>
          <w:p>
            <w:pPr/>
          </w:p>
        </w:tc>
        <w:tc>
          <w:tcPr>
            <w:tcW w:w="668" w:type="dxa"/>
          </w:tcPr>
          <w:p>
            <w:pPr/>
          </w:p>
        </w:tc>
        <w:tc>
          <w:tcPr>
            <w:tcW w:w="812" w:type="dxa"/>
          </w:tcPr>
          <w:p>
            <w:pPr/>
          </w:p>
        </w:tc>
        <w:tc>
          <w:tcPr>
            <w:tcW w:w="485" w:type="dxa"/>
          </w:tcPr>
          <w:p>
            <w:pPr/>
          </w:p>
        </w:tc>
        <w:tc>
          <w:tcPr>
            <w:tcW w:w="811" w:type="dxa"/>
          </w:tcPr>
          <w:p>
            <w:pPr/>
          </w:p>
        </w:tc>
      </w:tr>
      <w:tr>
        <w:trPr>
          <w:trHeight w:val="220" w:hRule="exact"/>
        </w:trPr>
        <w:tc>
          <w:tcPr>
            <w:tcW w:w="3725" w:type="dxa"/>
          </w:tcPr>
          <w:p>
            <w:pPr>
              <w:pStyle w:val="TableParagraph"/>
              <w:spacing w:before="4"/>
              <w:ind w:left="35"/>
              <w:rPr>
                <w:sz w:val="18"/>
              </w:rPr>
            </w:pPr>
            <w:r>
              <w:rPr>
                <w:sz w:val="18"/>
              </w:rPr>
              <w:t>Proceeds from sale of property, plant and</w:t>
            </w:r>
          </w:p>
        </w:tc>
        <w:tc>
          <w:tcPr>
            <w:tcW w:w="593" w:type="dxa"/>
          </w:tcPr>
          <w:p>
            <w:pPr/>
          </w:p>
        </w:tc>
        <w:tc>
          <w:tcPr>
            <w:tcW w:w="1542" w:type="dxa"/>
          </w:tcPr>
          <w:p>
            <w:pPr/>
          </w:p>
        </w:tc>
        <w:tc>
          <w:tcPr>
            <w:tcW w:w="485" w:type="dxa"/>
          </w:tcPr>
          <w:p>
            <w:pPr/>
          </w:p>
        </w:tc>
        <w:tc>
          <w:tcPr>
            <w:tcW w:w="799" w:type="dxa"/>
          </w:tcPr>
          <w:p>
            <w:pPr/>
          </w:p>
        </w:tc>
        <w:tc>
          <w:tcPr>
            <w:tcW w:w="668" w:type="dxa"/>
          </w:tcPr>
          <w:p>
            <w:pPr/>
          </w:p>
        </w:tc>
        <w:tc>
          <w:tcPr>
            <w:tcW w:w="812" w:type="dxa"/>
          </w:tcPr>
          <w:p>
            <w:pPr/>
          </w:p>
        </w:tc>
        <w:tc>
          <w:tcPr>
            <w:tcW w:w="485" w:type="dxa"/>
          </w:tcPr>
          <w:p>
            <w:pPr/>
          </w:p>
        </w:tc>
        <w:tc>
          <w:tcPr>
            <w:tcW w:w="811" w:type="dxa"/>
          </w:tcPr>
          <w:p>
            <w:pPr/>
          </w:p>
        </w:tc>
      </w:tr>
      <w:tr>
        <w:trPr>
          <w:trHeight w:val="235" w:hRule="exact"/>
        </w:trPr>
        <w:tc>
          <w:tcPr>
            <w:tcW w:w="3725" w:type="dxa"/>
          </w:tcPr>
          <w:p>
            <w:pPr>
              <w:pStyle w:val="TableParagraph"/>
              <w:spacing w:line="198" w:lineRule="exact"/>
              <w:ind w:left="35" w:right="718"/>
              <w:rPr>
                <w:sz w:val="18"/>
              </w:rPr>
            </w:pPr>
            <w:r>
              <w:rPr>
                <w:sz w:val="18"/>
              </w:rPr>
              <w:t>equipment</w:t>
            </w:r>
          </w:p>
        </w:tc>
        <w:tc>
          <w:tcPr>
            <w:tcW w:w="593" w:type="dxa"/>
          </w:tcPr>
          <w:p>
            <w:pPr/>
          </w:p>
        </w:tc>
        <w:tc>
          <w:tcPr>
            <w:tcW w:w="1542" w:type="dxa"/>
          </w:tcPr>
          <w:p>
            <w:pPr>
              <w:pStyle w:val="TableParagraph"/>
              <w:spacing w:line="197" w:lineRule="exact"/>
              <w:ind w:right="86"/>
              <w:jc w:val="right"/>
              <w:rPr>
                <w:b/>
                <w:sz w:val="18"/>
              </w:rPr>
            </w:pPr>
            <w:r>
              <w:rPr>
                <w:b/>
                <w:w w:val="95"/>
                <w:sz w:val="18"/>
              </w:rPr>
              <w:t>3,438</w:t>
            </w:r>
          </w:p>
        </w:tc>
        <w:tc>
          <w:tcPr>
            <w:tcW w:w="485" w:type="dxa"/>
          </w:tcPr>
          <w:p>
            <w:pPr/>
          </w:p>
        </w:tc>
        <w:tc>
          <w:tcPr>
            <w:tcW w:w="799" w:type="dxa"/>
          </w:tcPr>
          <w:p>
            <w:pPr>
              <w:pStyle w:val="TableParagraph"/>
              <w:spacing w:line="197" w:lineRule="exact"/>
              <w:ind w:left="273" w:right="-7"/>
              <w:rPr>
                <w:sz w:val="18"/>
              </w:rPr>
            </w:pPr>
            <w:r>
              <w:rPr>
                <w:sz w:val="18"/>
              </w:rPr>
              <w:t>4,381</w:t>
            </w:r>
          </w:p>
        </w:tc>
        <w:tc>
          <w:tcPr>
            <w:tcW w:w="668" w:type="dxa"/>
          </w:tcPr>
          <w:p>
            <w:pPr/>
          </w:p>
        </w:tc>
        <w:tc>
          <w:tcPr>
            <w:tcW w:w="812" w:type="dxa"/>
          </w:tcPr>
          <w:p>
            <w:pPr>
              <w:pStyle w:val="TableParagraph"/>
              <w:spacing w:line="197" w:lineRule="exact"/>
              <w:ind w:right="86"/>
              <w:jc w:val="right"/>
              <w:rPr>
                <w:b/>
                <w:sz w:val="18"/>
              </w:rPr>
            </w:pPr>
            <w:r>
              <w:rPr>
                <w:b/>
                <w:w w:val="95"/>
                <w:sz w:val="18"/>
              </w:rPr>
              <w:t>3,212</w:t>
            </w:r>
          </w:p>
        </w:tc>
        <w:tc>
          <w:tcPr>
            <w:tcW w:w="485" w:type="dxa"/>
          </w:tcPr>
          <w:p>
            <w:pPr/>
          </w:p>
        </w:tc>
        <w:tc>
          <w:tcPr>
            <w:tcW w:w="811" w:type="dxa"/>
          </w:tcPr>
          <w:p>
            <w:pPr>
              <w:pStyle w:val="TableParagraph"/>
              <w:spacing w:line="197" w:lineRule="exact"/>
              <w:ind w:left="273"/>
              <w:rPr>
                <w:sz w:val="18"/>
              </w:rPr>
            </w:pPr>
            <w:r>
              <w:rPr>
                <w:sz w:val="18"/>
              </w:rPr>
              <w:t>4,193</w:t>
            </w:r>
          </w:p>
        </w:tc>
      </w:tr>
      <w:tr>
        <w:trPr>
          <w:trHeight w:val="263" w:hRule="exact"/>
        </w:trPr>
        <w:tc>
          <w:tcPr>
            <w:tcW w:w="3725" w:type="dxa"/>
          </w:tcPr>
          <w:p>
            <w:pPr>
              <w:pStyle w:val="TableParagraph"/>
              <w:spacing w:before="17"/>
              <w:ind w:left="35"/>
              <w:rPr>
                <w:sz w:val="18"/>
              </w:rPr>
            </w:pPr>
            <w:r>
              <w:rPr>
                <w:sz w:val="18"/>
              </w:rPr>
              <w:t>Payments for property, plant and equipment</w:t>
            </w:r>
          </w:p>
        </w:tc>
        <w:tc>
          <w:tcPr>
            <w:tcW w:w="593" w:type="dxa"/>
          </w:tcPr>
          <w:p>
            <w:pPr/>
          </w:p>
        </w:tc>
        <w:tc>
          <w:tcPr>
            <w:tcW w:w="1542" w:type="dxa"/>
          </w:tcPr>
          <w:p>
            <w:pPr>
              <w:pStyle w:val="TableParagraph"/>
              <w:spacing w:before="19"/>
              <w:ind w:right="25"/>
              <w:jc w:val="right"/>
              <w:rPr>
                <w:b/>
                <w:sz w:val="18"/>
              </w:rPr>
            </w:pPr>
            <w:r>
              <w:rPr>
                <w:b/>
                <w:w w:val="95"/>
                <w:sz w:val="18"/>
              </w:rPr>
              <w:t>(109,089)</w:t>
            </w:r>
          </w:p>
        </w:tc>
        <w:tc>
          <w:tcPr>
            <w:tcW w:w="485" w:type="dxa"/>
          </w:tcPr>
          <w:p>
            <w:pPr/>
          </w:p>
        </w:tc>
        <w:tc>
          <w:tcPr>
            <w:tcW w:w="799" w:type="dxa"/>
          </w:tcPr>
          <w:p>
            <w:pPr>
              <w:pStyle w:val="TableParagraph"/>
              <w:spacing w:before="19"/>
              <w:ind w:left="14" w:right="-6"/>
              <w:rPr>
                <w:sz w:val="18"/>
              </w:rPr>
            </w:pPr>
            <w:r>
              <w:rPr>
                <w:sz w:val="18"/>
              </w:rPr>
              <w:t>(114,875)</w:t>
            </w:r>
          </w:p>
        </w:tc>
        <w:tc>
          <w:tcPr>
            <w:tcW w:w="668" w:type="dxa"/>
          </w:tcPr>
          <w:p>
            <w:pPr/>
          </w:p>
        </w:tc>
        <w:tc>
          <w:tcPr>
            <w:tcW w:w="812" w:type="dxa"/>
          </w:tcPr>
          <w:p>
            <w:pPr>
              <w:pStyle w:val="TableParagraph"/>
              <w:spacing w:before="19"/>
              <w:ind w:right="25"/>
              <w:jc w:val="right"/>
              <w:rPr>
                <w:b/>
                <w:sz w:val="18"/>
              </w:rPr>
            </w:pPr>
            <w:r>
              <w:rPr>
                <w:b/>
                <w:w w:val="95"/>
                <w:sz w:val="18"/>
              </w:rPr>
              <w:t>(108,104)</w:t>
            </w:r>
          </w:p>
        </w:tc>
        <w:tc>
          <w:tcPr>
            <w:tcW w:w="485" w:type="dxa"/>
          </w:tcPr>
          <w:p>
            <w:pPr/>
          </w:p>
        </w:tc>
        <w:tc>
          <w:tcPr>
            <w:tcW w:w="811" w:type="dxa"/>
          </w:tcPr>
          <w:p>
            <w:pPr>
              <w:pStyle w:val="TableParagraph"/>
              <w:spacing w:before="19"/>
              <w:ind w:left="14"/>
              <w:rPr>
                <w:sz w:val="18"/>
              </w:rPr>
            </w:pPr>
            <w:r>
              <w:rPr>
                <w:sz w:val="18"/>
              </w:rPr>
              <w:t>(113,545)</w:t>
            </w:r>
          </w:p>
        </w:tc>
      </w:tr>
      <w:tr>
        <w:trPr>
          <w:trHeight w:val="264" w:hRule="exact"/>
        </w:trPr>
        <w:tc>
          <w:tcPr>
            <w:tcW w:w="3725" w:type="dxa"/>
          </w:tcPr>
          <w:p>
            <w:pPr>
              <w:pStyle w:val="TableParagraph"/>
              <w:spacing w:before="18"/>
              <w:ind w:left="35"/>
              <w:rPr>
                <w:sz w:val="18"/>
              </w:rPr>
            </w:pPr>
            <w:r>
              <w:rPr>
                <w:sz w:val="18"/>
              </w:rPr>
              <w:t>Proceeds from sale of financial assets</w:t>
            </w:r>
          </w:p>
        </w:tc>
        <w:tc>
          <w:tcPr>
            <w:tcW w:w="593" w:type="dxa"/>
          </w:tcPr>
          <w:p>
            <w:pPr/>
          </w:p>
        </w:tc>
        <w:tc>
          <w:tcPr>
            <w:tcW w:w="1542" w:type="dxa"/>
          </w:tcPr>
          <w:p>
            <w:pPr>
              <w:pStyle w:val="TableParagraph"/>
              <w:spacing w:before="19"/>
              <w:ind w:right="85"/>
              <w:jc w:val="right"/>
              <w:rPr>
                <w:b/>
                <w:sz w:val="18"/>
              </w:rPr>
            </w:pPr>
            <w:r>
              <w:rPr>
                <w:b/>
                <w:w w:val="95"/>
                <w:sz w:val="18"/>
              </w:rPr>
              <w:t>52,717</w:t>
            </w:r>
          </w:p>
        </w:tc>
        <w:tc>
          <w:tcPr>
            <w:tcW w:w="485" w:type="dxa"/>
          </w:tcPr>
          <w:p>
            <w:pPr/>
          </w:p>
        </w:tc>
        <w:tc>
          <w:tcPr>
            <w:tcW w:w="799" w:type="dxa"/>
          </w:tcPr>
          <w:p>
            <w:pPr>
              <w:pStyle w:val="TableParagraph"/>
              <w:spacing w:before="19"/>
              <w:ind w:left="274" w:right="-7"/>
              <w:rPr>
                <w:sz w:val="18"/>
              </w:rPr>
            </w:pPr>
            <w:r>
              <w:rPr>
                <w:sz w:val="18"/>
              </w:rPr>
              <w:t>6,505</w:t>
            </w:r>
          </w:p>
        </w:tc>
        <w:tc>
          <w:tcPr>
            <w:tcW w:w="668" w:type="dxa"/>
          </w:tcPr>
          <w:p>
            <w:pPr/>
          </w:p>
        </w:tc>
        <w:tc>
          <w:tcPr>
            <w:tcW w:w="812" w:type="dxa"/>
          </w:tcPr>
          <w:p>
            <w:pPr>
              <w:pStyle w:val="TableParagraph"/>
              <w:spacing w:before="19"/>
              <w:ind w:right="85"/>
              <w:jc w:val="right"/>
              <w:rPr>
                <w:b/>
                <w:sz w:val="18"/>
              </w:rPr>
            </w:pPr>
            <w:r>
              <w:rPr>
                <w:b/>
                <w:w w:val="95"/>
                <w:sz w:val="18"/>
              </w:rPr>
              <w:t>41,864</w:t>
            </w:r>
          </w:p>
        </w:tc>
        <w:tc>
          <w:tcPr>
            <w:tcW w:w="485" w:type="dxa"/>
          </w:tcPr>
          <w:p>
            <w:pPr/>
          </w:p>
        </w:tc>
        <w:tc>
          <w:tcPr>
            <w:tcW w:w="811" w:type="dxa"/>
          </w:tcPr>
          <w:p>
            <w:pPr>
              <w:pStyle w:val="TableParagraph"/>
              <w:spacing w:before="19"/>
              <w:ind w:left="274"/>
              <w:rPr>
                <w:sz w:val="18"/>
              </w:rPr>
            </w:pPr>
            <w:r>
              <w:rPr>
                <w:sz w:val="18"/>
              </w:rPr>
              <w:t>6,505</w:t>
            </w:r>
          </w:p>
        </w:tc>
      </w:tr>
      <w:tr>
        <w:trPr>
          <w:trHeight w:val="264" w:hRule="exact"/>
        </w:trPr>
        <w:tc>
          <w:tcPr>
            <w:tcW w:w="3725" w:type="dxa"/>
          </w:tcPr>
          <w:p>
            <w:pPr>
              <w:pStyle w:val="TableParagraph"/>
              <w:spacing w:before="18"/>
              <w:ind w:left="35" w:right="718"/>
              <w:rPr>
                <w:sz w:val="18"/>
              </w:rPr>
            </w:pPr>
            <w:r>
              <w:rPr>
                <w:sz w:val="18"/>
              </w:rPr>
              <w:t>Payments for financial assets</w:t>
            </w:r>
          </w:p>
        </w:tc>
        <w:tc>
          <w:tcPr>
            <w:tcW w:w="593" w:type="dxa"/>
          </w:tcPr>
          <w:p>
            <w:pPr/>
          </w:p>
        </w:tc>
        <w:tc>
          <w:tcPr>
            <w:tcW w:w="1542" w:type="dxa"/>
          </w:tcPr>
          <w:p>
            <w:pPr>
              <w:pStyle w:val="TableParagraph"/>
              <w:spacing w:before="19"/>
              <w:ind w:right="25"/>
              <w:jc w:val="right"/>
              <w:rPr>
                <w:b/>
                <w:sz w:val="18"/>
              </w:rPr>
            </w:pPr>
            <w:r>
              <w:rPr>
                <w:b/>
                <w:w w:val="95"/>
                <w:sz w:val="18"/>
              </w:rPr>
              <w:t>(33,842)</w:t>
            </w:r>
          </w:p>
        </w:tc>
        <w:tc>
          <w:tcPr>
            <w:tcW w:w="485" w:type="dxa"/>
          </w:tcPr>
          <w:p>
            <w:pPr/>
          </w:p>
        </w:tc>
        <w:tc>
          <w:tcPr>
            <w:tcW w:w="799" w:type="dxa"/>
          </w:tcPr>
          <w:p>
            <w:pPr>
              <w:pStyle w:val="TableParagraph"/>
              <w:spacing w:before="19"/>
              <w:ind w:right="12"/>
              <w:jc w:val="right"/>
              <w:rPr>
                <w:sz w:val="18"/>
              </w:rPr>
            </w:pPr>
            <w:r>
              <w:rPr>
                <w:w w:val="95"/>
                <w:sz w:val="18"/>
              </w:rPr>
              <w:t>(2,887)</w:t>
            </w:r>
          </w:p>
        </w:tc>
        <w:tc>
          <w:tcPr>
            <w:tcW w:w="668" w:type="dxa"/>
          </w:tcPr>
          <w:p>
            <w:pPr/>
          </w:p>
        </w:tc>
        <w:tc>
          <w:tcPr>
            <w:tcW w:w="812" w:type="dxa"/>
          </w:tcPr>
          <w:p>
            <w:pPr>
              <w:pStyle w:val="TableParagraph"/>
              <w:spacing w:before="19"/>
              <w:ind w:right="25"/>
              <w:jc w:val="right"/>
              <w:rPr>
                <w:b/>
                <w:sz w:val="18"/>
              </w:rPr>
            </w:pPr>
            <w:r>
              <w:rPr>
                <w:b/>
                <w:w w:val="95"/>
                <w:sz w:val="18"/>
              </w:rPr>
              <w:t>(9,295)</w:t>
            </w:r>
          </w:p>
        </w:tc>
        <w:tc>
          <w:tcPr>
            <w:tcW w:w="485" w:type="dxa"/>
          </w:tcPr>
          <w:p>
            <w:pPr/>
          </w:p>
        </w:tc>
        <w:tc>
          <w:tcPr>
            <w:tcW w:w="811" w:type="dxa"/>
          </w:tcPr>
          <w:p>
            <w:pPr>
              <w:pStyle w:val="TableParagraph"/>
              <w:spacing w:before="19"/>
              <w:ind w:right="24"/>
              <w:jc w:val="right"/>
              <w:rPr>
                <w:sz w:val="18"/>
              </w:rPr>
            </w:pPr>
            <w:r>
              <w:rPr>
                <w:w w:val="95"/>
                <w:sz w:val="18"/>
              </w:rPr>
              <w:t>(2,248)</w:t>
            </w:r>
          </w:p>
        </w:tc>
      </w:tr>
      <w:tr>
        <w:trPr>
          <w:trHeight w:val="264" w:hRule="exact"/>
        </w:trPr>
        <w:tc>
          <w:tcPr>
            <w:tcW w:w="3725" w:type="dxa"/>
          </w:tcPr>
          <w:p>
            <w:pPr>
              <w:pStyle w:val="TableParagraph"/>
              <w:spacing w:before="18"/>
              <w:ind w:left="35"/>
              <w:rPr>
                <w:sz w:val="18"/>
              </w:rPr>
            </w:pPr>
            <w:r>
              <w:rPr>
                <w:sz w:val="18"/>
              </w:rPr>
              <w:t>Proceeds from insurance settlements</w:t>
            </w:r>
          </w:p>
        </w:tc>
        <w:tc>
          <w:tcPr>
            <w:tcW w:w="593" w:type="dxa"/>
          </w:tcPr>
          <w:p>
            <w:pPr/>
          </w:p>
        </w:tc>
        <w:tc>
          <w:tcPr>
            <w:tcW w:w="1542" w:type="dxa"/>
          </w:tcPr>
          <w:p>
            <w:pPr>
              <w:pStyle w:val="TableParagraph"/>
              <w:spacing w:before="19"/>
              <w:ind w:right="85"/>
              <w:jc w:val="right"/>
              <w:rPr>
                <w:b/>
                <w:sz w:val="18"/>
              </w:rPr>
            </w:pPr>
            <w:r>
              <w:rPr>
                <w:b/>
                <w:w w:val="95"/>
                <w:sz w:val="18"/>
              </w:rPr>
              <w:t>5,586</w:t>
            </w:r>
          </w:p>
        </w:tc>
        <w:tc>
          <w:tcPr>
            <w:tcW w:w="485" w:type="dxa"/>
          </w:tcPr>
          <w:p>
            <w:pPr/>
          </w:p>
        </w:tc>
        <w:tc>
          <w:tcPr>
            <w:tcW w:w="799" w:type="dxa"/>
          </w:tcPr>
          <w:p>
            <w:pPr>
              <w:pStyle w:val="TableParagraph"/>
              <w:spacing w:before="19"/>
              <w:ind w:right="73"/>
              <w:jc w:val="right"/>
              <w:rPr>
                <w:sz w:val="18"/>
              </w:rPr>
            </w:pPr>
            <w:r>
              <w:rPr>
                <w:w w:val="99"/>
                <w:sz w:val="18"/>
              </w:rPr>
              <w:t>-</w:t>
            </w:r>
          </w:p>
        </w:tc>
        <w:tc>
          <w:tcPr>
            <w:tcW w:w="668" w:type="dxa"/>
          </w:tcPr>
          <w:p>
            <w:pPr/>
          </w:p>
        </w:tc>
        <w:tc>
          <w:tcPr>
            <w:tcW w:w="812" w:type="dxa"/>
          </w:tcPr>
          <w:p>
            <w:pPr>
              <w:pStyle w:val="TableParagraph"/>
              <w:spacing w:before="19"/>
              <w:ind w:right="85"/>
              <w:jc w:val="right"/>
              <w:rPr>
                <w:b/>
                <w:sz w:val="18"/>
              </w:rPr>
            </w:pPr>
            <w:r>
              <w:rPr>
                <w:b/>
                <w:w w:val="95"/>
                <w:sz w:val="18"/>
              </w:rPr>
              <w:t>5,586</w:t>
            </w:r>
          </w:p>
        </w:tc>
        <w:tc>
          <w:tcPr>
            <w:tcW w:w="485" w:type="dxa"/>
          </w:tcPr>
          <w:p>
            <w:pPr/>
          </w:p>
        </w:tc>
        <w:tc>
          <w:tcPr>
            <w:tcW w:w="811" w:type="dxa"/>
          </w:tcPr>
          <w:p>
            <w:pPr>
              <w:pStyle w:val="TableParagraph"/>
              <w:spacing w:before="19"/>
              <w:ind w:right="86"/>
              <w:jc w:val="right"/>
              <w:rPr>
                <w:sz w:val="18"/>
              </w:rPr>
            </w:pPr>
            <w:r>
              <w:rPr>
                <w:w w:val="99"/>
                <w:sz w:val="18"/>
              </w:rPr>
              <w:t>-</w:t>
            </w:r>
          </w:p>
        </w:tc>
      </w:tr>
      <w:tr>
        <w:trPr>
          <w:trHeight w:val="263" w:hRule="exact"/>
        </w:trPr>
        <w:tc>
          <w:tcPr>
            <w:tcW w:w="3725" w:type="dxa"/>
          </w:tcPr>
          <w:p>
            <w:pPr>
              <w:pStyle w:val="TableParagraph"/>
              <w:spacing w:before="18"/>
              <w:ind w:left="35" w:right="718"/>
              <w:rPr>
                <w:sz w:val="18"/>
              </w:rPr>
            </w:pPr>
            <w:r>
              <w:rPr>
                <w:sz w:val="18"/>
              </w:rPr>
              <w:t>Loans to related parties</w:t>
            </w:r>
          </w:p>
        </w:tc>
        <w:tc>
          <w:tcPr>
            <w:tcW w:w="593" w:type="dxa"/>
          </w:tcPr>
          <w:p>
            <w:pPr/>
          </w:p>
        </w:tc>
        <w:tc>
          <w:tcPr>
            <w:tcW w:w="1542" w:type="dxa"/>
          </w:tcPr>
          <w:p>
            <w:pPr>
              <w:pStyle w:val="TableParagraph"/>
              <w:spacing w:before="19"/>
              <w:ind w:right="87"/>
              <w:jc w:val="right"/>
              <w:rPr>
                <w:b/>
                <w:sz w:val="18"/>
              </w:rPr>
            </w:pPr>
            <w:r>
              <w:rPr>
                <w:b/>
                <w:w w:val="99"/>
                <w:sz w:val="18"/>
              </w:rPr>
              <w:t>-</w:t>
            </w:r>
          </w:p>
        </w:tc>
        <w:tc>
          <w:tcPr>
            <w:tcW w:w="485" w:type="dxa"/>
          </w:tcPr>
          <w:p>
            <w:pPr/>
          </w:p>
        </w:tc>
        <w:tc>
          <w:tcPr>
            <w:tcW w:w="799" w:type="dxa"/>
          </w:tcPr>
          <w:p>
            <w:pPr>
              <w:pStyle w:val="TableParagraph"/>
              <w:spacing w:before="19"/>
              <w:ind w:right="73"/>
              <w:jc w:val="right"/>
              <w:rPr>
                <w:sz w:val="18"/>
              </w:rPr>
            </w:pPr>
            <w:r>
              <w:rPr>
                <w:w w:val="99"/>
                <w:sz w:val="18"/>
              </w:rPr>
              <w:t>-</w:t>
            </w:r>
          </w:p>
        </w:tc>
        <w:tc>
          <w:tcPr>
            <w:tcW w:w="668" w:type="dxa"/>
          </w:tcPr>
          <w:p>
            <w:pPr/>
          </w:p>
        </w:tc>
        <w:tc>
          <w:tcPr>
            <w:tcW w:w="812" w:type="dxa"/>
          </w:tcPr>
          <w:p>
            <w:pPr>
              <w:pStyle w:val="TableParagraph"/>
              <w:spacing w:before="19"/>
              <w:ind w:right="25"/>
              <w:jc w:val="right"/>
              <w:rPr>
                <w:b/>
                <w:sz w:val="18"/>
              </w:rPr>
            </w:pPr>
            <w:r>
              <w:rPr>
                <w:b/>
                <w:w w:val="95"/>
                <w:sz w:val="18"/>
              </w:rPr>
              <w:t>(2,929)</w:t>
            </w:r>
          </w:p>
        </w:tc>
        <w:tc>
          <w:tcPr>
            <w:tcW w:w="485" w:type="dxa"/>
          </w:tcPr>
          <w:p>
            <w:pPr/>
          </w:p>
        </w:tc>
        <w:tc>
          <w:tcPr>
            <w:tcW w:w="811" w:type="dxa"/>
          </w:tcPr>
          <w:p>
            <w:pPr>
              <w:pStyle w:val="TableParagraph"/>
              <w:spacing w:before="19"/>
              <w:ind w:right="24"/>
              <w:jc w:val="right"/>
              <w:rPr>
                <w:sz w:val="18"/>
              </w:rPr>
            </w:pPr>
            <w:r>
              <w:rPr>
                <w:w w:val="95"/>
                <w:sz w:val="18"/>
              </w:rPr>
              <w:t>(3,601)</w:t>
            </w:r>
          </w:p>
        </w:tc>
      </w:tr>
      <w:tr>
        <w:trPr>
          <w:trHeight w:val="265" w:hRule="exact"/>
        </w:trPr>
        <w:tc>
          <w:tcPr>
            <w:tcW w:w="3725" w:type="dxa"/>
          </w:tcPr>
          <w:p>
            <w:pPr>
              <w:pStyle w:val="TableParagraph"/>
              <w:spacing w:before="20"/>
              <w:ind w:left="35"/>
              <w:rPr>
                <w:rFonts w:ascii="Microsoft Sans Serif"/>
                <w:sz w:val="18"/>
              </w:rPr>
            </w:pPr>
            <w:r>
              <w:rPr>
                <w:sz w:val="18"/>
              </w:rPr>
              <w:t>Repayment of loans by related parties</w:t>
            </w:r>
            <w:r>
              <w:rPr>
                <w:rFonts w:ascii="Microsoft Sans Serif"/>
                <w:sz w:val="18"/>
              </w:rPr>
              <w:t> </w:t>
            </w:r>
          </w:p>
        </w:tc>
        <w:tc>
          <w:tcPr>
            <w:tcW w:w="593" w:type="dxa"/>
          </w:tcPr>
          <w:p>
            <w:pPr/>
          </w:p>
        </w:tc>
        <w:tc>
          <w:tcPr>
            <w:tcW w:w="1542" w:type="dxa"/>
            <w:tcBorders>
              <w:bottom w:val="single" w:sz="0" w:space="0" w:color="000000"/>
            </w:tcBorders>
          </w:tcPr>
          <w:p>
            <w:pPr>
              <w:pStyle w:val="TableParagraph"/>
              <w:spacing w:before="21"/>
              <w:ind w:right="87"/>
              <w:jc w:val="right"/>
              <w:rPr>
                <w:b/>
                <w:sz w:val="18"/>
              </w:rPr>
            </w:pPr>
            <w:r>
              <w:rPr>
                <w:b/>
                <w:w w:val="99"/>
                <w:sz w:val="18"/>
              </w:rPr>
              <w:t>-</w:t>
            </w:r>
          </w:p>
        </w:tc>
        <w:tc>
          <w:tcPr>
            <w:tcW w:w="485" w:type="dxa"/>
            <w:tcBorders>
              <w:bottom w:val="single" w:sz="0" w:space="0" w:color="000000"/>
            </w:tcBorders>
          </w:tcPr>
          <w:p>
            <w:pPr/>
          </w:p>
        </w:tc>
        <w:tc>
          <w:tcPr>
            <w:tcW w:w="799" w:type="dxa"/>
            <w:tcBorders>
              <w:bottom w:val="single" w:sz="0" w:space="0" w:color="000000"/>
            </w:tcBorders>
          </w:tcPr>
          <w:p>
            <w:pPr>
              <w:pStyle w:val="TableParagraph"/>
              <w:spacing w:before="21"/>
              <w:ind w:right="73"/>
              <w:jc w:val="right"/>
              <w:rPr>
                <w:sz w:val="18"/>
              </w:rPr>
            </w:pPr>
            <w:r>
              <w:rPr>
                <w:w w:val="99"/>
                <w:sz w:val="18"/>
              </w:rPr>
              <w:t>-</w:t>
            </w:r>
          </w:p>
        </w:tc>
        <w:tc>
          <w:tcPr>
            <w:tcW w:w="668" w:type="dxa"/>
            <w:tcBorders>
              <w:bottom w:val="single" w:sz="0" w:space="0" w:color="000000"/>
            </w:tcBorders>
          </w:tcPr>
          <w:p>
            <w:pPr/>
          </w:p>
        </w:tc>
        <w:tc>
          <w:tcPr>
            <w:tcW w:w="812" w:type="dxa"/>
            <w:tcBorders>
              <w:bottom w:val="single" w:sz="0" w:space="0" w:color="000000"/>
            </w:tcBorders>
          </w:tcPr>
          <w:p>
            <w:pPr>
              <w:pStyle w:val="TableParagraph"/>
              <w:spacing w:before="21"/>
              <w:ind w:right="85"/>
              <w:jc w:val="right"/>
              <w:rPr>
                <w:b/>
                <w:sz w:val="18"/>
              </w:rPr>
            </w:pPr>
            <w:r>
              <w:rPr>
                <w:b/>
                <w:w w:val="95"/>
                <w:sz w:val="18"/>
              </w:rPr>
              <w:t>3,228</w:t>
            </w:r>
          </w:p>
        </w:tc>
        <w:tc>
          <w:tcPr>
            <w:tcW w:w="485" w:type="dxa"/>
            <w:tcBorders>
              <w:bottom w:val="single" w:sz="0" w:space="0" w:color="000000"/>
            </w:tcBorders>
          </w:tcPr>
          <w:p>
            <w:pPr/>
          </w:p>
        </w:tc>
        <w:tc>
          <w:tcPr>
            <w:tcW w:w="811" w:type="dxa"/>
            <w:tcBorders>
              <w:bottom w:val="single" w:sz="0" w:space="0" w:color="000000"/>
            </w:tcBorders>
          </w:tcPr>
          <w:p>
            <w:pPr>
              <w:pStyle w:val="TableParagraph"/>
              <w:spacing w:before="21"/>
              <w:ind w:left="274"/>
              <w:rPr>
                <w:sz w:val="18"/>
              </w:rPr>
            </w:pPr>
            <w:r>
              <w:rPr>
                <w:sz w:val="18"/>
              </w:rPr>
              <w:t>2,694</w:t>
            </w:r>
          </w:p>
        </w:tc>
      </w:tr>
      <w:tr>
        <w:trPr>
          <w:trHeight w:val="338" w:hRule="exact"/>
        </w:trPr>
        <w:tc>
          <w:tcPr>
            <w:tcW w:w="3725" w:type="dxa"/>
          </w:tcPr>
          <w:p>
            <w:pPr>
              <w:pStyle w:val="TableParagraph"/>
              <w:spacing w:before="38"/>
              <w:ind w:left="35"/>
              <w:rPr>
                <w:b/>
                <w:sz w:val="18"/>
              </w:rPr>
            </w:pPr>
            <w:r>
              <w:rPr>
                <w:b/>
                <w:sz w:val="18"/>
              </w:rPr>
              <w:t>Net cash used by investing activities</w:t>
            </w:r>
          </w:p>
        </w:tc>
        <w:tc>
          <w:tcPr>
            <w:tcW w:w="593" w:type="dxa"/>
          </w:tcPr>
          <w:p>
            <w:pPr/>
          </w:p>
        </w:tc>
        <w:tc>
          <w:tcPr>
            <w:tcW w:w="1542" w:type="dxa"/>
            <w:tcBorders>
              <w:top w:val="single" w:sz="0" w:space="0" w:color="000000"/>
              <w:bottom w:val="single" w:sz="0" w:space="0" w:color="000000"/>
            </w:tcBorders>
          </w:tcPr>
          <w:p>
            <w:pPr>
              <w:pStyle w:val="TableParagraph"/>
              <w:spacing w:before="122"/>
              <w:ind w:right="25"/>
              <w:jc w:val="right"/>
              <w:rPr>
                <w:b/>
                <w:sz w:val="18"/>
              </w:rPr>
            </w:pPr>
            <w:r>
              <w:rPr>
                <w:b/>
                <w:w w:val="95"/>
                <w:sz w:val="18"/>
              </w:rPr>
              <w:t>(81,190)</w:t>
            </w:r>
          </w:p>
        </w:tc>
        <w:tc>
          <w:tcPr>
            <w:tcW w:w="485" w:type="dxa"/>
            <w:tcBorders>
              <w:top w:val="single" w:sz="0" w:space="0" w:color="000000"/>
              <w:bottom w:val="single" w:sz="0" w:space="0" w:color="000000"/>
            </w:tcBorders>
          </w:tcPr>
          <w:p>
            <w:pPr/>
          </w:p>
        </w:tc>
        <w:tc>
          <w:tcPr>
            <w:tcW w:w="799" w:type="dxa"/>
            <w:tcBorders>
              <w:top w:val="single" w:sz="0" w:space="0" w:color="000000"/>
              <w:bottom w:val="single" w:sz="0" w:space="0" w:color="000000"/>
            </w:tcBorders>
          </w:tcPr>
          <w:p>
            <w:pPr>
              <w:pStyle w:val="TableParagraph"/>
              <w:spacing w:before="122"/>
              <w:ind w:left="14" w:right="-6"/>
              <w:rPr>
                <w:sz w:val="18"/>
              </w:rPr>
            </w:pPr>
            <w:r>
              <w:rPr>
                <w:sz w:val="18"/>
              </w:rPr>
              <w:t>(106,876)</w:t>
            </w:r>
          </w:p>
        </w:tc>
        <w:tc>
          <w:tcPr>
            <w:tcW w:w="668" w:type="dxa"/>
            <w:tcBorders>
              <w:top w:val="single" w:sz="0" w:space="0" w:color="000000"/>
              <w:bottom w:val="single" w:sz="0" w:space="0" w:color="000000"/>
            </w:tcBorders>
          </w:tcPr>
          <w:p>
            <w:pPr/>
          </w:p>
        </w:tc>
        <w:tc>
          <w:tcPr>
            <w:tcW w:w="812" w:type="dxa"/>
            <w:tcBorders>
              <w:top w:val="single" w:sz="0" w:space="0" w:color="000000"/>
              <w:bottom w:val="single" w:sz="0" w:space="0" w:color="000000"/>
            </w:tcBorders>
          </w:tcPr>
          <w:p>
            <w:pPr>
              <w:pStyle w:val="TableParagraph"/>
              <w:spacing w:before="122"/>
              <w:ind w:right="25"/>
              <w:jc w:val="right"/>
              <w:rPr>
                <w:b/>
                <w:sz w:val="18"/>
              </w:rPr>
            </w:pPr>
            <w:r>
              <w:rPr>
                <w:b/>
                <w:w w:val="95"/>
                <w:sz w:val="18"/>
              </w:rPr>
              <w:t>(66,438)</w:t>
            </w:r>
          </w:p>
        </w:tc>
        <w:tc>
          <w:tcPr>
            <w:tcW w:w="485" w:type="dxa"/>
            <w:tcBorders>
              <w:top w:val="single" w:sz="0" w:space="0" w:color="000000"/>
              <w:bottom w:val="single" w:sz="0" w:space="0" w:color="000000"/>
            </w:tcBorders>
          </w:tcPr>
          <w:p>
            <w:pPr/>
          </w:p>
        </w:tc>
        <w:tc>
          <w:tcPr>
            <w:tcW w:w="811" w:type="dxa"/>
            <w:tcBorders>
              <w:top w:val="single" w:sz="0" w:space="0" w:color="000000"/>
              <w:bottom w:val="single" w:sz="0" w:space="0" w:color="000000"/>
            </w:tcBorders>
          </w:tcPr>
          <w:p>
            <w:pPr>
              <w:pStyle w:val="TableParagraph"/>
              <w:spacing w:before="122"/>
              <w:ind w:left="14"/>
              <w:rPr>
                <w:sz w:val="18"/>
              </w:rPr>
            </w:pPr>
            <w:r>
              <w:rPr>
                <w:sz w:val="18"/>
              </w:rPr>
              <w:t>(106,002)</w:t>
            </w:r>
          </w:p>
        </w:tc>
      </w:tr>
      <w:tr>
        <w:trPr>
          <w:trHeight w:val="635" w:hRule="exact"/>
        </w:trPr>
        <w:tc>
          <w:tcPr>
            <w:tcW w:w="3725" w:type="dxa"/>
          </w:tcPr>
          <w:p>
            <w:pPr>
              <w:pStyle w:val="TableParagraph"/>
              <w:rPr>
                <w:sz w:val="18"/>
              </w:rPr>
            </w:pPr>
          </w:p>
          <w:p>
            <w:pPr>
              <w:pStyle w:val="TableParagraph"/>
              <w:spacing w:before="4"/>
              <w:rPr>
                <w:sz w:val="18"/>
              </w:rPr>
            </w:pPr>
          </w:p>
          <w:p>
            <w:pPr>
              <w:pStyle w:val="TableParagraph"/>
              <w:ind w:left="35" w:right="718"/>
              <w:rPr>
                <w:b/>
                <w:sz w:val="18"/>
              </w:rPr>
            </w:pPr>
            <w:r>
              <w:rPr>
                <w:b/>
                <w:sz w:val="18"/>
              </w:rPr>
              <w:t>CASH FLOWS FROM FINANCING</w:t>
            </w:r>
          </w:p>
        </w:tc>
        <w:tc>
          <w:tcPr>
            <w:tcW w:w="593" w:type="dxa"/>
          </w:tcPr>
          <w:p>
            <w:pPr/>
          </w:p>
        </w:tc>
        <w:tc>
          <w:tcPr>
            <w:tcW w:w="1542" w:type="dxa"/>
            <w:tcBorders>
              <w:top w:val="single" w:sz="0" w:space="0" w:color="000000"/>
            </w:tcBorders>
          </w:tcPr>
          <w:p>
            <w:pPr/>
          </w:p>
        </w:tc>
        <w:tc>
          <w:tcPr>
            <w:tcW w:w="485" w:type="dxa"/>
            <w:tcBorders>
              <w:top w:val="single" w:sz="0" w:space="0" w:color="000000"/>
            </w:tcBorders>
          </w:tcPr>
          <w:p>
            <w:pPr/>
          </w:p>
        </w:tc>
        <w:tc>
          <w:tcPr>
            <w:tcW w:w="799" w:type="dxa"/>
            <w:tcBorders>
              <w:top w:val="single" w:sz="0" w:space="0" w:color="000000"/>
            </w:tcBorders>
          </w:tcPr>
          <w:p>
            <w:pPr/>
          </w:p>
        </w:tc>
        <w:tc>
          <w:tcPr>
            <w:tcW w:w="668" w:type="dxa"/>
            <w:tcBorders>
              <w:top w:val="single" w:sz="0" w:space="0" w:color="000000"/>
            </w:tcBorders>
          </w:tcPr>
          <w:p>
            <w:pPr/>
          </w:p>
        </w:tc>
        <w:tc>
          <w:tcPr>
            <w:tcW w:w="812" w:type="dxa"/>
            <w:tcBorders>
              <w:top w:val="single" w:sz="0" w:space="0" w:color="000000"/>
            </w:tcBorders>
          </w:tcPr>
          <w:p>
            <w:pPr/>
          </w:p>
        </w:tc>
        <w:tc>
          <w:tcPr>
            <w:tcW w:w="485" w:type="dxa"/>
            <w:tcBorders>
              <w:top w:val="single" w:sz="0" w:space="0" w:color="000000"/>
            </w:tcBorders>
          </w:tcPr>
          <w:p>
            <w:pPr/>
          </w:p>
        </w:tc>
        <w:tc>
          <w:tcPr>
            <w:tcW w:w="811" w:type="dxa"/>
            <w:tcBorders>
              <w:top w:val="single" w:sz="0" w:space="0" w:color="000000"/>
            </w:tcBorders>
          </w:tcPr>
          <w:p>
            <w:pPr/>
          </w:p>
        </w:tc>
      </w:tr>
      <w:tr>
        <w:trPr>
          <w:trHeight w:val="220" w:hRule="exact"/>
        </w:trPr>
        <w:tc>
          <w:tcPr>
            <w:tcW w:w="3725" w:type="dxa"/>
          </w:tcPr>
          <w:p>
            <w:pPr>
              <w:pStyle w:val="TableParagraph"/>
              <w:spacing w:line="197" w:lineRule="exact"/>
              <w:ind w:left="35" w:right="718"/>
              <w:rPr>
                <w:b/>
                <w:sz w:val="18"/>
              </w:rPr>
            </w:pPr>
            <w:r>
              <w:rPr>
                <w:b/>
                <w:sz w:val="18"/>
              </w:rPr>
              <w:t>ACTIVITIES</w:t>
            </w:r>
          </w:p>
        </w:tc>
        <w:tc>
          <w:tcPr>
            <w:tcW w:w="593" w:type="dxa"/>
          </w:tcPr>
          <w:p>
            <w:pPr/>
          </w:p>
        </w:tc>
        <w:tc>
          <w:tcPr>
            <w:tcW w:w="1542" w:type="dxa"/>
          </w:tcPr>
          <w:p>
            <w:pPr/>
          </w:p>
        </w:tc>
        <w:tc>
          <w:tcPr>
            <w:tcW w:w="485" w:type="dxa"/>
          </w:tcPr>
          <w:p>
            <w:pPr/>
          </w:p>
        </w:tc>
        <w:tc>
          <w:tcPr>
            <w:tcW w:w="799" w:type="dxa"/>
          </w:tcPr>
          <w:p>
            <w:pPr/>
          </w:p>
        </w:tc>
        <w:tc>
          <w:tcPr>
            <w:tcW w:w="668" w:type="dxa"/>
          </w:tcPr>
          <w:p>
            <w:pPr/>
          </w:p>
        </w:tc>
        <w:tc>
          <w:tcPr>
            <w:tcW w:w="812" w:type="dxa"/>
          </w:tcPr>
          <w:p>
            <w:pPr/>
          </w:p>
        </w:tc>
        <w:tc>
          <w:tcPr>
            <w:tcW w:w="485" w:type="dxa"/>
          </w:tcPr>
          <w:p>
            <w:pPr/>
          </w:p>
        </w:tc>
        <w:tc>
          <w:tcPr>
            <w:tcW w:w="811" w:type="dxa"/>
          </w:tcPr>
          <w:p>
            <w:pPr/>
          </w:p>
        </w:tc>
      </w:tr>
      <w:tr>
        <w:trPr>
          <w:trHeight w:val="250" w:hRule="exact"/>
        </w:trPr>
        <w:tc>
          <w:tcPr>
            <w:tcW w:w="3725" w:type="dxa"/>
          </w:tcPr>
          <w:p>
            <w:pPr>
              <w:pStyle w:val="TableParagraph"/>
              <w:spacing w:before="4"/>
              <w:ind w:left="35" w:right="718"/>
              <w:rPr>
                <w:sz w:val="18"/>
              </w:rPr>
            </w:pPr>
            <w:r>
              <w:rPr>
                <w:sz w:val="18"/>
              </w:rPr>
              <w:t>Proceeds from borrowings</w:t>
            </w:r>
          </w:p>
        </w:tc>
        <w:tc>
          <w:tcPr>
            <w:tcW w:w="593" w:type="dxa"/>
          </w:tcPr>
          <w:p>
            <w:pPr/>
          </w:p>
        </w:tc>
        <w:tc>
          <w:tcPr>
            <w:tcW w:w="1542" w:type="dxa"/>
          </w:tcPr>
          <w:p>
            <w:pPr>
              <w:pStyle w:val="TableParagraph"/>
              <w:spacing w:before="5"/>
              <w:ind w:right="85"/>
              <w:jc w:val="right"/>
              <w:rPr>
                <w:b/>
                <w:sz w:val="18"/>
              </w:rPr>
            </w:pPr>
            <w:r>
              <w:rPr>
                <w:b/>
                <w:w w:val="95"/>
                <w:sz w:val="18"/>
              </w:rPr>
              <w:t>352,500</w:t>
            </w:r>
          </w:p>
        </w:tc>
        <w:tc>
          <w:tcPr>
            <w:tcW w:w="485" w:type="dxa"/>
          </w:tcPr>
          <w:p>
            <w:pPr/>
          </w:p>
        </w:tc>
        <w:tc>
          <w:tcPr>
            <w:tcW w:w="799" w:type="dxa"/>
          </w:tcPr>
          <w:p>
            <w:pPr>
              <w:pStyle w:val="TableParagraph"/>
              <w:spacing w:before="5"/>
              <w:ind w:left="74" w:right="-7"/>
              <w:rPr>
                <w:sz w:val="18"/>
              </w:rPr>
            </w:pPr>
            <w:r>
              <w:rPr>
                <w:sz w:val="18"/>
              </w:rPr>
              <w:t>228,700</w:t>
            </w:r>
          </w:p>
        </w:tc>
        <w:tc>
          <w:tcPr>
            <w:tcW w:w="668" w:type="dxa"/>
          </w:tcPr>
          <w:p>
            <w:pPr/>
          </w:p>
        </w:tc>
        <w:tc>
          <w:tcPr>
            <w:tcW w:w="812" w:type="dxa"/>
          </w:tcPr>
          <w:p>
            <w:pPr>
              <w:pStyle w:val="TableParagraph"/>
              <w:spacing w:before="5"/>
              <w:ind w:right="85"/>
              <w:jc w:val="right"/>
              <w:rPr>
                <w:b/>
                <w:sz w:val="18"/>
              </w:rPr>
            </w:pPr>
            <w:r>
              <w:rPr>
                <w:b/>
                <w:w w:val="95"/>
                <w:sz w:val="18"/>
              </w:rPr>
              <w:t>358,664</w:t>
            </w:r>
          </w:p>
        </w:tc>
        <w:tc>
          <w:tcPr>
            <w:tcW w:w="485" w:type="dxa"/>
          </w:tcPr>
          <w:p>
            <w:pPr/>
          </w:p>
        </w:tc>
        <w:tc>
          <w:tcPr>
            <w:tcW w:w="811" w:type="dxa"/>
          </w:tcPr>
          <w:p>
            <w:pPr>
              <w:pStyle w:val="TableParagraph"/>
              <w:spacing w:before="5"/>
              <w:ind w:left="74"/>
              <w:rPr>
                <w:sz w:val="18"/>
              </w:rPr>
            </w:pPr>
            <w:r>
              <w:rPr>
                <w:sz w:val="18"/>
              </w:rPr>
              <w:t>228,700</w:t>
            </w:r>
          </w:p>
        </w:tc>
      </w:tr>
      <w:tr>
        <w:trPr>
          <w:trHeight w:val="263" w:hRule="exact"/>
        </w:trPr>
        <w:tc>
          <w:tcPr>
            <w:tcW w:w="3725" w:type="dxa"/>
          </w:tcPr>
          <w:p>
            <w:pPr>
              <w:pStyle w:val="TableParagraph"/>
              <w:spacing w:before="18"/>
              <w:ind w:left="35" w:right="718"/>
              <w:rPr>
                <w:sz w:val="18"/>
              </w:rPr>
            </w:pPr>
            <w:r>
              <w:rPr>
                <w:sz w:val="18"/>
              </w:rPr>
              <w:t>Repayment of borrowings</w:t>
            </w:r>
          </w:p>
        </w:tc>
        <w:tc>
          <w:tcPr>
            <w:tcW w:w="593" w:type="dxa"/>
          </w:tcPr>
          <w:p>
            <w:pPr/>
          </w:p>
        </w:tc>
        <w:tc>
          <w:tcPr>
            <w:tcW w:w="1542" w:type="dxa"/>
            <w:tcBorders>
              <w:bottom w:val="single" w:sz="0" w:space="0" w:color="000000"/>
            </w:tcBorders>
          </w:tcPr>
          <w:p>
            <w:pPr>
              <w:pStyle w:val="TableParagraph"/>
              <w:spacing w:before="19"/>
              <w:ind w:right="25"/>
              <w:jc w:val="right"/>
              <w:rPr>
                <w:b/>
                <w:sz w:val="18"/>
              </w:rPr>
            </w:pPr>
            <w:r>
              <w:rPr>
                <w:b/>
                <w:w w:val="95"/>
                <w:sz w:val="18"/>
              </w:rPr>
              <w:t>(341,000)</w:t>
            </w:r>
          </w:p>
        </w:tc>
        <w:tc>
          <w:tcPr>
            <w:tcW w:w="485" w:type="dxa"/>
            <w:tcBorders>
              <w:bottom w:val="single" w:sz="0" w:space="0" w:color="000000"/>
            </w:tcBorders>
          </w:tcPr>
          <w:p>
            <w:pPr/>
          </w:p>
        </w:tc>
        <w:tc>
          <w:tcPr>
            <w:tcW w:w="799" w:type="dxa"/>
            <w:tcBorders>
              <w:bottom w:val="single" w:sz="0" w:space="0" w:color="000000"/>
            </w:tcBorders>
          </w:tcPr>
          <w:p>
            <w:pPr>
              <w:pStyle w:val="TableParagraph"/>
              <w:spacing w:before="19"/>
              <w:ind w:left="14" w:right="-6"/>
              <w:rPr>
                <w:sz w:val="18"/>
              </w:rPr>
            </w:pPr>
            <w:r>
              <w:rPr>
                <w:sz w:val="18"/>
              </w:rPr>
              <w:t>(193,900)</w:t>
            </w:r>
          </w:p>
        </w:tc>
        <w:tc>
          <w:tcPr>
            <w:tcW w:w="668" w:type="dxa"/>
            <w:tcBorders>
              <w:bottom w:val="single" w:sz="0" w:space="0" w:color="000000"/>
            </w:tcBorders>
          </w:tcPr>
          <w:p>
            <w:pPr/>
          </w:p>
        </w:tc>
        <w:tc>
          <w:tcPr>
            <w:tcW w:w="812" w:type="dxa"/>
            <w:tcBorders>
              <w:bottom w:val="single" w:sz="0" w:space="0" w:color="000000"/>
            </w:tcBorders>
          </w:tcPr>
          <w:p>
            <w:pPr>
              <w:pStyle w:val="TableParagraph"/>
              <w:spacing w:before="19"/>
              <w:ind w:right="25"/>
              <w:jc w:val="right"/>
              <w:rPr>
                <w:b/>
                <w:sz w:val="18"/>
              </w:rPr>
            </w:pPr>
            <w:r>
              <w:rPr>
                <w:b/>
                <w:w w:val="95"/>
                <w:sz w:val="18"/>
              </w:rPr>
              <w:t>(341,000)</w:t>
            </w:r>
          </w:p>
        </w:tc>
        <w:tc>
          <w:tcPr>
            <w:tcW w:w="485" w:type="dxa"/>
            <w:tcBorders>
              <w:bottom w:val="single" w:sz="0" w:space="0" w:color="000000"/>
            </w:tcBorders>
          </w:tcPr>
          <w:p>
            <w:pPr/>
          </w:p>
        </w:tc>
        <w:tc>
          <w:tcPr>
            <w:tcW w:w="811" w:type="dxa"/>
            <w:tcBorders>
              <w:bottom w:val="single" w:sz="0" w:space="0" w:color="000000"/>
            </w:tcBorders>
          </w:tcPr>
          <w:p>
            <w:pPr>
              <w:pStyle w:val="TableParagraph"/>
              <w:spacing w:before="19"/>
              <w:ind w:left="14"/>
              <w:rPr>
                <w:sz w:val="18"/>
              </w:rPr>
            </w:pPr>
            <w:r>
              <w:rPr>
                <w:sz w:val="18"/>
              </w:rPr>
              <w:t>(193,900)</w:t>
            </w:r>
          </w:p>
        </w:tc>
      </w:tr>
      <w:tr>
        <w:trPr>
          <w:trHeight w:val="338" w:hRule="exact"/>
        </w:trPr>
        <w:tc>
          <w:tcPr>
            <w:tcW w:w="3725" w:type="dxa"/>
          </w:tcPr>
          <w:p>
            <w:pPr>
              <w:pStyle w:val="TableParagraph"/>
              <w:spacing w:before="38"/>
              <w:ind w:left="35"/>
              <w:rPr>
                <w:b/>
                <w:sz w:val="18"/>
              </w:rPr>
            </w:pPr>
            <w:r>
              <w:rPr>
                <w:b/>
                <w:sz w:val="18"/>
              </w:rPr>
              <w:t>Net cash provided by financing activities</w:t>
            </w:r>
          </w:p>
        </w:tc>
        <w:tc>
          <w:tcPr>
            <w:tcW w:w="593" w:type="dxa"/>
          </w:tcPr>
          <w:p>
            <w:pPr/>
          </w:p>
        </w:tc>
        <w:tc>
          <w:tcPr>
            <w:tcW w:w="1542" w:type="dxa"/>
            <w:tcBorders>
              <w:top w:val="single" w:sz="0" w:space="0" w:color="000000"/>
              <w:bottom w:val="single" w:sz="0" w:space="0" w:color="000000"/>
            </w:tcBorders>
          </w:tcPr>
          <w:p>
            <w:pPr>
              <w:pStyle w:val="TableParagraph"/>
              <w:spacing w:before="122"/>
              <w:ind w:right="85"/>
              <w:jc w:val="right"/>
              <w:rPr>
                <w:b/>
                <w:sz w:val="18"/>
              </w:rPr>
            </w:pPr>
            <w:r>
              <w:rPr>
                <w:b/>
                <w:w w:val="95"/>
                <w:sz w:val="18"/>
              </w:rPr>
              <w:t>11,500</w:t>
            </w:r>
          </w:p>
        </w:tc>
        <w:tc>
          <w:tcPr>
            <w:tcW w:w="485" w:type="dxa"/>
            <w:tcBorders>
              <w:top w:val="single" w:sz="0" w:space="0" w:color="000000"/>
              <w:bottom w:val="single" w:sz="0" w:space="0" w:color="000000"/>
            </w:tcBorders>
          </w:tcPr>
          <w:p>
            <w:pPr/>
          </w:p>
        </w:tc>
        <w:tc>
          <w:tcPr>
            <w:tcW w:w="799" w:type="dxa"/>
            <w:tcBorders>
              <w:top w:val="single" w:sz="0" w:space="0" w:color="000000"/>
              <w:bottom w:val="single" w:sz="0" w:space="0" w:color="000000"/>
            </w:tcBorders>
          </w:tcPr>
          <w:p>
            <w:pPr>
              <w:pStyle w:val="TableParagraph"/>
              <w:spacing w:before="122"/>
              <w:ind w:left="174" w:right="-7"/>
              <w:rPr>
                <w:sz w:val="18"/>
              </w:rPr>
            </w:pPr>
            <w:r>
              <w:rPr>
                <w:sz w:val="18"/>
              </w:rPr>
              <w:t>34,800</w:t>
            </w:r>
          </w:p>
        </w:tc>
        <w:tc>
          <w:tcPr>
            <w:tcW w:w="668" w:type="dxa"/>
            <w:tcBorders>
              <w:top w:val="single" w:sz="0" w:space="0" w:color="000000"/>
              <w:bottom w:val="single" w:sz="0" w:space="0" w:color="000000"/>
            </w:tcBorders>
          </w:tcPr>
          <w:p>
            <w:pPr/>
          </w:p>
        </w:tc>
        <w:tc>
          <w:tcPr>
            <w:tcW w:w="812" w:type="dxa"/>
            <w:tcBorders>
              <w:top w:val="single" w:sz="0" w:space="0" w:color="000000"/>
              <w:bottom w:val="single" w:sz="0" w:space="0" w:color="000000"/>
            </w:tcBorders>
          </w:tcPr>
          <w:p>
            <w:pPr>
              <w:pStyle w:val="TableParagraph"/>
              <w:spacing w:before="122"/>
              <w:ind w:right="85"/>
              <w:jc w:val="right"/>
              <w:rPr>
                <w:b/>
                <w:sz w:val="18"/>
              </w:rPr>
            </w:pPr>
            <w:r>
              <w:rPr>
                <w:b/>
                <w:w w:val="95"/>
                <w:sz w:val="18"/>
              </w:rPr>
              <w:t>17,664</w:t>
            </w:r>
          </w:p>
        </w:tc>
        <w:tc>
          <w:tcPr>
            <w:tcW w:w="485" w:type="dxa"/>
            <w:tcBorders>
              <w:top w:val="single" w:sz="0" w:space="0" w:color="000000"/>
              <w:bottom w:val="single" w:sz="0" w:space="0" w:color="000000"/>
            </w:tcBorders>
          </w:tcPr>
          <w:p>
            <w:pPr/>
          </w:p>
        </w:tc>
        <w:tc>
          <w:tcPr>
            <w:tcW w:w="811" w:type="dxa"/>
            <w:tcBorders>
              <w:top w:val="single" w:sz="0" w:space="0" w:color="000000"/>
              <w:bottom w:val="single" w:sz="0" w:space="0" w:color="000000"/>
            </w:tcBorders>
          </w:tcPr>
          <w:p>
            <w:pPr>
              <w:pStyle w:val="TableParagraph"/>
              <w:spacing w:before="122"/>
              <w:ind w:left="174"/>
              <w:rPr>
                <w:sz w:val="18"/>
              </w:rPr>
            </w:pPr>
            <w:r>
              <w:rPr>
                <w:sz w:val="18"/>
              </w:rPr>
              <w:t>34,800</w:t>
            </w:r>
          </w:p>
        </w:tc>
      </w:tr>
      <w:tr>
        <w:trPr>
          <w:trHeight w:val="549" w:hRule="exact"/>
        </w:trPr>
        <w:tc>
          <w:tcPr>
            <w:tcW w:w="3725" w:type="dxa"/>
          </w:tcPr>
          <w:p>
            <w:pPr>
              <w:pStyle w:val="TableParagraph"/>
              <w:rPr>
                <w:sz w:val="18"/>
              </w:rPr>
            </w:pPr>
          </w:p>
          <w:p>
            <w:pPr>
              <w:pStyle w:val="TableParagraph"/>
              <w:spacing w:before="126"/>
              <w:ind w:left="35"/>
              <w:rPr>
                <w:b/>
                <w:sz w:val="18"/>
              </w:rPr>
            </w:pPr>
            <w:r>
              <w:rPr>
                <w:b/>
                <w:sz w:val="18"/>
              </w:rPr>
              <w:t>Net increase/(decrease) in cash  and cash</w:t>
            </w:r>
          </w:p>
        </w:tc>
        <w:tc>
          <w:tcPr>
            <w:tcW w:w="593" w:type="dxa"/>
          </w:tcPr>
          <w:p>
            <w:pPr/>
          </w:p>
        </w:tc>
        <w:tc>
          <w:tcPr>
            <w:tcW w:w="1542" w:type="dxa"/>
            <w:tcBorders>
              <w:top w:val="single" w:sz="0" w:space="0" w:color="000000"/>
            </w:tcBorders>
          </w:tcPr>
          <w:p>
            <w:pPr/>
          </w:p>
        </w:tc>
        <w:tc>
          <w:tcPr>
            <w:tcW w:w="485" w:type="dxa"/>
            <w:tcBorders>
              <w:top w:val="single" w:sz="0" w:space="0" w:color="000000"/>
            </w:tcBorders>
          </w:tcPr>
          <w:p>
            <w:pPr/>
          </w:p>
        </w:tc>
        <w:tc>
          <w:tcPr>
            <w:tcW w:w="799" w:type="dxa"/>
            <w:tcBorders>
              <w:top w:val="single" w:sz="0" w:space="0" w:color="000000"/>
            </w:tcBorders>
          </w:tcPr>
          <w:p>
            <w:pPr/>
          </w:p>
        </w:tc>
        <w:tc>
          <w:tcPr>
            <w:tcW w:w="668" w:type="dxa"/>
            <w:tcBorders>
              <w:top w:val="single" w:sz="0" w:space="0" w:color="000000"/>
            </w:tcBorders>
          </w:tcPr>
          <w:p>
            <w:pPr/>
          </w:p>
        </w:tc>
        <w:tc>
          <w:tcPr>
            <w:tcW w:w="812" w:type="dxa"/>
            <w:tcBorders>
              <w:top w:val="single" w:sz="0" w:space="0" w:color="000000"/>
            </w:tcBorders>
          </w:tcPr>
          <w:p>
            <w:pPr/>
          </w:p>
        </w:tc>
        <w:tc>
          <w:tcPr>
            <w:tcW w:w="485" w:type="dxa"/>
            <w:tcBorders>
              <w:top w:val="single" w:sz="0" w:space="0" w:color="000000"/>
            </w:tcBorders>
          </w:tcPr>
          <w:p>
            <w:pPr/>
          </w:p>
        </w:tc>
        <w:tc>
          <w:tcPr>
            <w:tcW w:w="811" w:type="dxa"/>
            <w:tcBorders>
              <w:top w:val="single" w:sz="0" w:space="0" w:color="000000"/>
            </w:tcBorders>
          </w:tcPr>
          <w:p>
            <w:pPr/>
          </w:p>
        </w:tc>
      </w:tr>
      <w:tr>
        <w:trPr>
          <w:trHeight w:val="235" w:hRule="exact"/>
        </w:trPr>
        <w:tc>
          <w:tcPr>
            <w:tcW w:w="3725" w:type="dxa"/>
          </w:tcPr>
          <w:p>
            <w:pPr>
              <w:pStyle w:val="TableParagraph"/>
              <w:spacing w:line="198" w:lineRule="exact"/>
              <w:ind w:left="35" w:right="718"/>
              <w:rPr>
                <w:b/>
                <w:sz w:val="18"/>
              </w:rPr>
            </w:pPr>
            <w:r>
              <w:rPr>
                <w:b/>
                <w:sz w:val="18"/>
              </w:rPr>
              <w:t>equivalents held</w:t>
            </w:r>
          </w:p>
        </w:tc>
        <w:tc>
          <w:tcPr>
            <w:tcW w:w="593" w:type="dxa"/>
          </w:tcPr>
          <w:p>
            <w:pPr/>
          </w:p>
        </w:tc>
        <w:tc>
          <w:tcPr>
            <w:tcW w:w="1542" w:type="dxa"/>
          </w:tcPr>
          <w:p>
            <w:pPr>
              <w:pStyle w:val="TableParagraph"/>
              <w:spacing w:line="197" w:lineRule="exact"/>
              <w:ind w:right="85"/>
              <w:jc w:val="right"/>
              <w:rPr>
                <w:b/>
                <w:sz w:val="18"/>
              </w:rPr>
            </w:pPr>
            <w:r>
              <w:rPr>
                <w:b/>
                <w:w w:val="95"/>
                <w:sz w:val="18"/>
              </w:rPr>
              <w:t>45,725</w:t>
            </w:r>
          </w:p>
        </w:tc>
        <w:tc>
          <w:tcPr>
            <w:tcW w:w="485" w:type="dxa"/>
          </w:tcPr>
          <w:p>
            <w:pPr/>
          </w:p>
        </w:tc>
        <w:tc>
          <w:tcPr>
            <w:tcW w:w="799" w:type="dxa"/>
          </w:tcPr>
          <w:p>
            <w:pPr>
              <w:pStyle w:val="TableParagraph"/>
              <w:spacing w:line="197" w:lineRule="exact"/>
              <w:ind w:right="12"/>
              <w:jc w:val="right"/>
              <w:rPr>
                <w:sz w:val="18"/>
              </w:rPr>
            </w:pPr>
            <w:r>
              <w:rPr>
                <w:w w:val="95"/>
                <w:sz w:val="18"/>
              </w:rPr>
              <w:t>(4,353)</w:t>
            </w:r>
          </w:p>
        </w:tc>
        <w:tc>
          <w:tcPr>
            <w:tcW w:w="668" w:type="dxa"/>
          </w:tcPr>
          <w:p>
            <w:pPr/>
          </w:p>
        </w:tc>
        <w:tc>
          <w:tcPr>
            <w:tcW w:w="812" w:type="dxa"/>
          </w:tcPr>
          <w:p>
            <w:pPr>
              <w:pStyle w:val="TableParagraph"/>
              <w:spacing w:line="197" w:lineRule="exact"/>
              <w:ind w:right="85"/>
              <w:jc w:val="right"/>
              <w:rPr>
                <w:b/>
                <w:sz w:val="18"/>
              </w:rPr>
            </w:pPr>
            <w:r>
              <w:rPr>
                <w:b/>
                <w:w w:val="95"/>
                <w:sz w:val="18"/>
              </w:rPr>
              <w:t>57,613</w:t>
            </w:r>
          </w:p>
        </w:tc>
        <w:tc>
          <w:tcPr>
            <w:tcW w:w="485" w:type="dxa"/>
          </w:tcPr>
          <w:p>
            <w:pPr/>
          </w:p>
        </w:tc>
        <w:tc>
          <w:tcPr>
            <w:tcW w:w="811" w:type="dxa"/>
          </w:tcPr>
          <w:p>
            <w:pPr>
              <w:pStyle w:val="TableParagraph"/>
              <w:spacing w:line="197" w:lineRule="exact"/>
              <w:ind w:right="25"/>
              <w:jc w:val="right"/>
              <w:rPr>
                <w:sz w:val="18"/>
              </w:rPr>
            </w:pPr>
            <w:r>
              <w:rPr>
                <w:w w:val="95"/>
                <w:sz w:val="18"/>
              </w:rPr>
              <w:t>(1,961)</w:t>
            </w:r>
          </w:p>
        </w:tc>
      </w:tr>
      <w:tr>
        <w:trPr>
          <w:trHeight w:val="233" w:hRule="exact"/>
        </w:trPr>
        <w:tc>
          <w:tcPr>
            <w:tcW w:w="3725" w:type="dxa"/>
          </w:tcPr>
          <w:p>
            <w:pPr>
              <w:pStyle w:val="TableParagraph"/>
              <w:spacing w:before="17"/>
              <w:ind w:left="35"/>
              <w:rPr>
                <w:sz w:val="18"/>
              </w:rPr>
            </w:pPr>
            <w:r>
              <w:rPr>
                <w:sz w:val="18"/>
              </w:rPr>
              <w:t>Cash and cash equivalents at beginning of</w:t>
            </w:r>
          </w:p>
        </w:tc>
        <w:tc>
          <w:tcPr>
            <w:tcW w:w="593" w:type="dxa"/>
          </w:tcPr>
          <w:p>
            <w:pPr/>
          </w:p>
        </w:tc>
        <w:tc>
          <w:tcPr>
            <w:tcW w:w="1542" w:type="dxa"/>
          </w:tcPr>
          <w:p>
            <w:pPr/>
          </w:p>
        </w:tc>
        <w:tc>
          <w:tcPr>
            <w:tcW w:w="485" w:type="dxa"/>
          </w:tcPr>
          <w:p>
            <w:pPr/>
          </w:p>
        </w:tc>
        <w:tc>
          <w:tcPr>
            <w:tcW w:w="799" w:type="dxa"/>
          </w:tcPr>
          <w:p>
            <w:pPr/>
          </w:p>
        </w:tc>
        <w:tc>
          <w:tcPr>
            <w:tcW w:w="668" w:type="dxa"/>
          </w:tcPr>
          <w:p>
            <w:pPr/>
          </w:p>
        </w:tc>
        <w:tc>
          <w:tcPr>
            <w:tcW w:w="812" w:type="dxa"/>
          </w:tcPr>
          <w:p>
            <w:pPr/>
          </w:p>
        </w:tc>
        <w:tc>
          <w:tcPr>
            <w:tcW w:w="485" w:type="dxa"/>
          </w:tcPr>
          <w:p>
            <w:pPr/>
          </w:p>
        </w:tc>
        <w:tc>
          <w:tcPr>
            <w:tcW w:w="811" w:type="dxa"/>
          </w:tcPr>
          <w:p>
            <w:pPr/>
          </w:p>
        </w:tc>
      </w:tr>
      <w:tr>
        <w:trPr>
          <w:trHeight w:val="233" w:hRule="exact"/>
        </w:trPr>
        <w:tc>
          <w:tcPr>
            <w:tcW w:w="3725" w:type="dxa"/>
          </w:tcPr>
          <w:p>
            <w:pPr>
              <w:pStyle w:val="TableParagraph"/>
              <w:spacing w:line="198" w:lineRule="exact"/>
              <w:ind w:left="35" w:right="718"/>
              <w:rPr>
                <w:sz w:val="18"/>
              </w:rPr>
            </w:pPr>
            <w:r>
              <w:rPr>
                <w:sz w:val="18"/>
              </w:rPr>
              <w:t>the year</w:t>
            </w:r>
          </w:p>
        </w:tc>
        <w:tc>
          <w:tcPr>
            <w:tcW w:w="593" w:type="dxa"/>
          </w:tcPr>
          <w:p>
            <w:pPr/>
          </w:p>
        </w:tc>
        <w:tc>
          <w:tcPr>
            <w:tcW w:w="1542" w:type="dxa"/>
            <w:tcBorders>
              <w:bottom w:val="single" w:sz="0" w:space="0" w:color="000000"/>
            </w:tcBorders>
          </w:tcPr>
          <w:p>
            <w:pPr>
              <w:pStyle w:val="TableParagraph"/>
              <w:spacing w:line="197" w:lineRule="exact"/>
              <w:ind w:right="85"/>
              <w:jc w:val="right"/>
              <w:rPr>
                <w:b/>
                <w:sz w:val="18"/>
              </w:rPr>
            </w:pPr>
            <w:r>
              <w:rPr>
                <w:b/>
                <w:w w:val="95"/>
                <w:sz w:val="18"/>
              </w:rPr>
              <w:t>29,852</w:t>
            </w:r>
          </w:p>
        </w:tc>
        <w:tc>
          <w:tcPr>
            <w:tcW w:w="485" w:type="dxa"/>
            <w:tcBorders>
              <w:bottom w:val="single" w:sz="0" w:space="0" w:color="000000"/>
            </w:tcBorders>
          </w:tcPr>
          <w:p>
            <w:pPr/>
          </w:p>
        </w:tc>
        <w:tc>
          <w:tcPr>
            <w:tcW w:w="799" w:type="dxa"/>
            <w:tcBorders>
              <w:bottom w:val="single" w:sz="0" w:space="0" w:color="000000"/>
            </w:tcBorders>
          </w:tcPr>
          <w:p>
            <w:pPr>
              <w:pStyle w:val="TableParagraph"/>
              <w:spacing w:line="197" w:lineRule="exact"/>
              <w:ind w:left="174" w:right="-7"/>
              <w:rPr>
                <w:sz w:val="18"/>
              </w:rPr>
            </w:pPr>
            <w:r>
              <w:rPr>
                <w:sz w:val="18"/>
              </w:rPr>
              <w:t>34,205</w:t>
            </w:r>
          </w:p>
        </w:tc>
        <w:tc>
          <w:tcPr>
            <w:tcW w:w="668" w:type="dxa"/>
            <w:tcBorders>
              <w:bottom w:val="single" w:sz="0" w:space="0" w:color="000000"/>
            </w:tcBorders>
          </w:tcPr>
          <w:p>
            <w:pPr/>
          </w:p>
        </w:tc>
        <w:tc>
          <w:tcPr>
            <w:tcW w:w="812" w:type="dxa"/>
            <w:tcBorders>
              <w:bottom w:val="single" w:sz="0" w:space="0" w:color="000000"/>
            </w:tcBorders>
          </w:tcPr>
          <w:p>
            <w:pPr>
              <w:pStyle w:val="TableParagraph"/>
              <w:spacing w:line="197" w:lineRule="exact"/>
              <w:ind w:right="86"/>
              <w:jc w:val="right"/>
              <w:rPr>
                <w:b/>
                <w:sz w:val="18"/>
              </w:rPr>
            </w:pPr>
            <w:r>
              <w:rPr>
                <w:b/>
                <w:w w:val="95"/>
                <w:sz w:val="18"/>
              </w:rPr>
              <w:t>6,067</w:t>
            </w:r>
          </w:p>
        </w:tc>
        <w:tc>
          <w:tcPr>
            <w:tcW w:w="485" w:type="dxa"/>
            <w:tcBorders>
              <w:bottom w:val="single" w:sz="0" w:space="0" w:color="000000"/>
            </w:tcBorders>
          </w:tcPr>
          <w:p>
            <w:pPr/>
          </w:p>
        </w:tc>
        <w:tc>
          <w:tcPr>
            <w:tcW w:w="811" w:type="dxa"/>
            <w:tcBorders>
              <w:bottom w:val="single" w:sz="0" w:space="0" w:color="000000"/>
            </w:tcBorders>
          </w:tcPr>
          <w:p>
            <w:pPr>
              <w:pStyle w:val="TableParagraph"/>
              <w:spacing w:line="197" w:lineRule="exact"/>
              <w:ind w:left="273"/>
              <w:rPr>
                <w:sz w:val="18"/>
              </w:rPr>
            </w:pPr>
            <w:r>
              <w:rPr>
                <w:sz w:val="18"/>
              </w:rPr>
              <w:t>8,028</w:t>
            </w:r>
          </w:p>
        </w:tc>
      </w:tr>
      <w:tr>
        <w:trPr>
          <w:trHeight w:val="255" w:hRule="exact"/>
        </w:trPr>
        <w:tc>
          <w:tcPr>
            <w:tcW w:w="3725" w:type="dxa"/>
          </w:tcPr>
          <w:p>
            <w:pPr>
              <w:pStyle w:val="TableParagraph"/>
              <w:spacing w:before="38"/>
              <w:ind w:left="35"/>
              <w:rPr>
                <w:b/>
                <w:sz w:val="18"/>
              </w:rPr>
            </w:pPr>
            <w:r>
              <w:rPr>
                <w:b/>
                <w:sz w:val="18"/>
              </w:rPr>
              <w:t>Cash and cash equivalents at end of</w:t>
            </w:r>
          </w:p>
        </w:tc>
        <w:tc>
          <w:tcPr>
            <w:tcW w:w="593" w:type="dxa"/>
          </w:tcPr>
          <w:p>
            <w:pPr>
              <w:pStyle w:val="TableParagraph"/>
              <w:spacing w:before="39"/>
              <w:ind w:left="118"/>
              <w:rPr>
                <w:sz w:val="18"/>
              </w:rPr>
            </w:pPr>
            <w:r>
              <w:rPr>
                <w:sz w:val="18"/>
              </w:rPr>
              <w:t>15</w:t>
            </w:r>
          </w:p>
        </w:tc>
        <w:tc>
          <w:tcPr>
            <w:tcW w:w="1542" w:type="dxa"/>
            <w:tcBorders>
              <w:top w:val="single" w:sz="0" w:space="0" w:color="000000"/>
            </w:tcBorders>
          </w:tcPr>
          <w:p>
            <w:pPr/>
          </w:p>
        </w:tc>
        <w:tc>
          <w:tcPr>
            <w:tcW w:w="485" w:type="dxa"/>
            <w:tcBorders>
              <w:top w:val="single" w:sz="0" w:space="0" w:color="000000"/>
            </w:tcBorders>
          </w:tcPr>
          <w:p>
            <w:pPr/>
          </w:p>
        </w:tc>
        <w:tc>
          <w:tcPr>
            <w:tcW w:w="799" w:type="dxa"/>
            <w:tcBorders>
              <w:top w:val="single" w:sz="0" w:space="0" w:color="000000"/>
            </w:tcBorders>
          </w:tcPr>
          <w:p>
            <w:pPr/>
          </w:p>
        </w:tc>
        <w:tc>
          <w:tcPr>
            <w:tcW w:w="668" w:type="dxa"/>
            <w:tcBorders>
              <w:top w:val="single" w:sz="0" w:space="0" w:color="000000"/>
            </w:tcBorders>
          </w:tcPr>
          <w:p>
            <w:pPr/>
          </w:p>
        </w:tc>
        <w:tc>
          <w:tcPr>
            <w:tcW w:w="812" w:type="dxa"/>
            <w:tcBorders>
              <w:top w:val="single" w:sz="0" w:space="0" w:color="000000"/>
            </w:tcBorders>
          </w:tcPr>
          <w:p>
            <w:pPr/>
          </w:p>
        </w:tc>
        <w:tc>
          <w:tcPr>
            <w:tcW w:w="485" w:type="dxa"/>
            <w:tcBorders>
              <w:top w:val="single" w:sz="0" w:space="0" w:color="000000"/>
            </w:tcBorders>
          </w:tcPr>
          <w:p>
            <w:pPr/>
          </w:p>
        </w:tc>
        <w:tc>
          <w:tcPr>
            <w:tcW w:w="811" w:type="dxa"/>
            <w:tcBorders>
              <w:top w:val="single" w:sz="0" w:space="0" w:color="000000"/>
            </w:tcBorders>
          </w:tcPr>
          <w:p>
            <w:pPr/>
          </w:p>
        </w:tc>
      </w:tr>
      <w:tr>
        <w:trPr>
          <w:trHeight w:val="247" w:hRule="exact"/>
        </w:trPr>
        <w:tc>
          <w:tcPr>
            <w:tcW w:w="3725" w:type="dxa"/>
          </w:tcPr>
          <w:p>
            <w:pPr>
              <w:pStyle w:val="TableParagraph"/>
              <w:spacing w:line="197" w:lineRule="exact"/>
              <w:ind w:left="35" w:right="718"/>
              <w:rPr>
                <w:b/>
                <w:sz w:val="18"/>
              </w:rPr>
            </w:pPr>
            <w:r>
              <w:rPr>
                <w:b/>
                <w:sz w:val="18"/>
              </w:rPr>
              <w:t>financial year</w:t>
            </w:r>
          </w:p>
        </w:tc>
        <w:tc>
          <w:tcPr>
            <w:tcW w:w="593" w:type="dxa"/>
          </w:tcPr>
          <w:p>
            <w:pPr/>
          </w:p>
        </w:tc>
        <w:tc>
          <w:tcPr>
            <w:tcW w:w="1542" w:type="dxa"/>
            <w:tcBorders>
              <w:bottom w:val="single" w:sz="0" w:space="0" w:color="000000"/>
            </w:tcBorders>
          </w:tcPr>
          <w:p>
            <w:pPr>
              <w:pStyle w:val="TableParagraph"/>
              <w:spacing w:before="17"/>
              <w:ind w:right="85"/>
              <w:jc w:val="right"/>
              <w:rPr>
                <w:b/>
                <w:sz w:val="18"/>
              </w:rPr>
            </w:pPr>
            <w:r>
              <w:rPr>
                <w:b/>
                <w:w w:val="95"/>
                <w:sz w:val="18"/>
              </w:rPr>
              <w:t>75,577</w:t>
            </w:r>
          </w:p>
        </w:tc>
        <w:tc>
          <w:tcPr>
            <w:tcW w:w="485" w:type="dxa"/>
            <w:tcBorders>
              <w:bottom w:val="single" w:sz="0" w:space="0" w:color="000000"/>
            </w:tcBorders>
          </w:tcPr>
          <w:p>
            <w:pPr/>
          </w:p>
        </w:tc>
        <w:tc>
          <w:tcPr>
            <w:tcW w:w="799" w:type="dxa"/>
            <w:tcBorders>
              <w:bottom w:val="single" w:sz="0" w:space="0" w:color="000000"/>
            </w:tcBorders>
          </w:tcPr>
          <w:p>
            <w:pPr>
              <w:pStyle w:val="TableParagraph"/>
              <w:spacing w:before="17"/>
              <w:ind w:left="174" w:right="-7"/>
              <w:rPr>
                <w:sz w:val="18"/>
              </w:rPr>
            </w:pPr>
            <w:r>
              <w:rPr>
                <w:sz w:val="18"/>
              </w:rPr>
              <w:t>29,852</w:t>
            </w:r>
          </w:p>
        </w:tc>
        <w:tc>
          <w:tcPr>
            <w:tcW w:w="668" w:type="dxa"/>
            <w:tcBorders>
              <w:bottom w:val="single" w:sz="0" w:space="0" w:color="000000"/>
            </w:tcBorders>
          </w:tcPr>
          <w:p>
            <w:pPr/>
          </w:p>
        </w:tc>
        <w:tc>
          <w:tcPr>
            <w:tcW w:w="812" w:type="dxa"/>
            <w:tcBorders>
              <w:bottom w:val="single" w:sz="0" w:space="0" w:color="000000"/>
            </w:tcBorders>
          </w:tcPr>
          <w:p>
            <w:pPr>
              <w:pStyle w:val="TableParagraph"/>
              <w:spacing w:before="17"/>
              <w:ind w:right="85"/>
              <w:jc w:val="right"/>
              <w:rPr>
                <w:b/>
                <w:sz w:val="18"/>
              </w:rPr>
            </w:pPr>
            <w:r>
              <w:rPr>
                <w:b/>
                <w:w w:val="95"/>
                <w:sz w:val="18"/>
              </w:rPr>
              <w:t>63,680</w:t>
            </w:r>
          </w:p>
        </w:tc>
        <w:tc>
          <w:tcPr>
            <w:tcW w:w="485" w:type="dxa"/>
            <w:tcBorders>
              <w:bottom w:val="single" w:sz="0" w:space="0" w:color="000000"/>
            </w:tcBorders>
          </w:tcPr>
          <w:p>
            <w:pPr/>
          </w:p>
        </w:tc>
        <w:tc>
          <w:tcPr>
            <w:tcW w:w="811" w:type="dxa"/>
            <w:tcBorders>
              <w:bottom w:val="single" w:sz="0" w:space="0" w:color="000000"/>
            </w:tcBorders>
          </w:tcPr>
          <w:p>
            <w:pPr>
              <w:pStyle w:val="TableParagraph"/>
              <w:spacing w:before="17"/>
              <w:ind w:left="273"/>
              <w:rPr>
                <w:sz w:val="18"/>
              </w:rPr>
            </w:pPr>
            <w:r>
              <w:rPr>
                <w:sz w:val="18"/>
              </w:rPr>
              <w:t>6,067</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pStyle w:val="BodyText"/>
        <w:spacing w:before="77"/>
        <w:ind w:left="107" w:right="128"/>
      </w:pPr>
      <w:r>
        <w:rPr/>
        <w:t>The accompanying notes form part of these financial statements.</w:t>
      </w:r>
    </w:p>
    <w:p>
      <w:pPr>
        <w:spacing w:after="0"/>
        <w:sectPr>
          <w:headerReference w:type="default" r:id="rId61"/>
          <w:footerReference w:type="default" r:id="rId62"/>
          <w:pgSz w:w="11910" w:h="16840"/>
          <w:pgMar w:header="1038" w:footer="507" w:top="2220" w:bottom="700" w:left="900" w:right="880"/>
          <w:pgNumType w:start="11"/>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93"/>
      </w:pPr>
      <w:r>
        <w:rPr/>
        <w:t>1</w:t>
        <w:tab/>
        <w:t>Summary of Significant Accounting</w:t>
      </w:r>
      <w:r>
        <w:rPr>
          <w:spacing w:val="-3"/>
        </w:rPr>
        <w:t> </w:t>
      </w:r>
      <w:r>
        <w:rPr/>
        <w:t>Policies</w:t>
      </w:r>
    </w:p>
    <w:p>
      <w:pPr>
        <w:pStyle w:val="BodyText"/>
        <w:rPr>
          <w:b/>
          <w:sz w:val="25"/>
        </w:rPr>
      </w:pPr>
    </w:p>
    <w:p>
      <w:pPr>
        <w:pStyle w:val="BodyText"/>
        <w:ind w:left="503" w:right="93"/>
      </w:pPr>
      <w:r>
        <w:rPr/>
        <w:t>The principal accounting policies adopted in the preparation of these financial statements are set out below. These policies have been consistently applied to all the years reported, unless otherwise stated. The financial statements include the separate financial statements for the University of Western Sydney as the parent entity (the 'University') and the consolidated entity consisting of the University of Western Sydney and its subsidiaries (the 'Group').</w:t>
      </w:r>
    </w:p>
    <w:p>
      <w:pPr>
        <w:pStyle w:val="BodyText"/>
        <w:rPr>
          <w:sz w:val="25"/>
        </w:rPr>
      </w:pPr>
    </w:p>
    <w:p>
      <w:pPr>
        <w:pStyle w:val="BodyText"/>
        <w:ind w:left="503"/>
      </w:pPr>
      <w:r>
        <w:rPr/>
        <w:t>The financial statements for the year ended 31 December 2012 are authorised for issue in accordance with a resolution of the Board of Trustees on 10 April 2013.</w:t>
      </w:r>
    </w:p>
    <w:p>
      <w:pPr>
        <w:pStyle w:val="BodyText"/>
        <w:spacing w:before="11"/>
        <w:rPr>
          <w:sz w:val="24"/>
        </w:rPr>
      </w:pPr>
    </w:p>
    <w:p>
      <w:pPr>
        <w:pStyle w:val="Heading9"/>
        <w:numPr>
          <w:ilvl w:val="0"/>
          <w:numId w:val="2"/>
        </w:numPr>
        <w:tabs>
          <w:tab w:pos="1071" w:val="left" w:leader="none"/>
        </w:tabs>
        <w:spacing w:line="240" w:lineRule="auto" w:before="0" w:after="0"/>
        <w:ind w:left="1070" w:right="0" w:hanging="566"/>
        <w:jc w:val="left"/>
      </w:pPr>
      <w:r>
        <w:rPr/>
        <w:t>Basis of</w:t>
      </w:r>
      <w:r>
        <w:rPr>
          <w:spacing w:val="-1"/>
        </w:rPr>
        <w:t> </w:t>
      </w:r>
      <w:r>
        <w:rPr/>
        <w:t>Preparation</w:t>
      </w:r>
    </w:p>
    <w:p>
      <w:pPr>
        <w:pStyle w:val="BodyText"/>
        <w:rPr>
          <w:b/>
          <w:sz w:val="25"/>
        </w:rPr>
      </w:pPr>
    </w:p>
    <w:p>
      <w:pPr>
        <w:pStyle w:val="BodyText"/>
        <w:ind w:left="1070" w:right="194"/>
      </w:pPr>
      <w:r>
        <w:rPr/>
        <w:t>The annual financial statements represent the audited general purpose financial statements of the University of Western Sydney. They have been prepared on an accrual basis in accordance with Australian Accounting Standards.</w:t>
      </w:r>
    </w:p>
    <w:p>
      <w:pPr>
        <w:pStyle w:val="BodyText"/>
        <w:rPr>
          <w:sz w:val="25"/>
        </w:rPr>
      </w:pPr>
    </w:p>
    <w:p>
      <w:pPr>
        <w:pStyle w:val="BodyText"/>
        <w:ind w:left="1070" w:right="93"/>
      </w:pPr>
      <w:r>
        <w:rPr/>
        <w:t>Additionally the statements have been prepared in accordance with the following statutory requirements:</w:t>
      </w:r>
    </w:p>
    <w:p>
      <w:pPr>
        <w:pStyle w:val="BodyText"/>
        <w:rPr>
          <w:sz w:val="25"/>
        </w:rPr>
      </w:pPr>
    </w:p>
    <w:p>
      <w:pPr>
        <w:pStyle w:val="ListParagraph"/>
        <w:numPr>
          <w:ilvl w:val="1"/>
          <w:numId w:val="2"/>
        </w:numPr>
        <w:tabs>
          <w:tab w:pos="1181" w:val="left" w:leader="none"/>
        </w:tabs>
        <w:spacing w:line="240" w:lineRule="auto" w:before="0" w:after="0"/>
        <w:ind w:left="1070" w:right="0" w:firstLine="0"/>
        <w:jc w:val="left"/>
        <w:rPr>
          <w:sz w:val="18"/>
        </w:rPr>
      </w:pPr>
      <w:r>
        <w:rPr>
          <w:i/>
          <w:sz w:val="18"/>
        </w:rPr>
        <w:t>Public Finance and Audit Act 1983 and Public Finance and Audit Regulations</w:t>
      </w:r>
      <w:r>
        <w:rPr>
          <w:i/>
          <w:spacing w:val="1"/>
          <w:sz w:val="18"/>
        </w:rPr>
        <w:t> </w:t>
      </w:r>
      <w:r>
        <w:rPr>
          <w:i/>
          <w:spacing w:val="-4"/>
          <w:sz w:val="18"/>
        </w:rPr>
        <w:t>2010</w:t>
      </w:r>
      <w:r>
        <w:rPr>
          <w:spacing w:val="-4"/>
          <w:sz w:val="18"/>
        </w:rPr>
        <w:t>;</w:t>
      </w:r>
    </w:p>
    <w:p>
      <w:pPr>
        <w:pStyle w:val="BodyText"/>
        <w:rPr>
          <w:sz w:val="25"/>
        </w:rPr>
      </w:pPr>
    </w:p>
    <w:p>
      <w:pPr>
        <w:pStyle w:val="ListParagraph"/>
        <w:numPr>
          <w:ilvl w:val="1"/>
          <w:numId w:val="2"/>
        </w:numPr>
        <w:tabs>
          <w:tab w:pos="1181" w:val="left" w:leader="none"/>
        </w:tabs>
        <w:spacing w:line="240" w:lineRule="auto" w:before="0" w:after="0"/>
        <w:ind w:left="1070" w:right="447" w:firstLine="0"/>
        <w:jc w:val="left"/>
        <w:rPr>
          <w:sz w:val="18"/>
        </w:rPr>
      </w:pPr>
      <w:r>
        <w:rPr>
          <w:i/>
          <w:sz w:val="18"/>
        </w:rPr>
        <w:t>Financial Statement Guidelines for Australian Higher Education Providers for the 2012 Reporting Period</w:t>
      </w:r>
      <w:r>
        <w:rPr>
          <w:i/>
          <w:spacing w:val="-22"/>
          <w:sz w:val="18"/>
        </w:rPr>
        <w:t> </w:t>
      </w:r>
      <w:r>
        <w:rPr>
          <w:sz w:val="18"/>
        </w:rPr>
        <w:t>as issued by the Department Industry, Innovation, Science, Research and Tertiary Education (DIISRTE);</w:t>
      </w:r>
      <w:r>
        <w:rPr>
          <w:spacing w:val="-1"/>
          <w:sz w:val="18"/>
        </w:rPr>
        <w:t> </w:t>
      </w:r>
      <w:r>
        <w:rPr>
          <w:sz w:val="18"/>
        </w:rPr>
        <w:t>and</w:t>
      </w:r>
    </w:p>
    <w:p>
      <w:pPr>
        <w:pStyle w:val="BodyText"/>
        <w:rPr>
          <w:sz w:val="25"/>
        </w:rPr>
      </w:pPr>
    </w:p>
    <w:p>
      <w:pPr>
        <w:pStyle w:val="ListParagraph"/>
        <w:numPr>
          <w:ilvl w:val="1"/>
          <w:numId w:val="2"/>
        </w:numPr>
        <w:tabs>
          <w:tab w:pos="1181" w:val="left" w:leader="none"/>
        </w:tabs>
        <w:spacing w:line="240" w:lineRule="auto" w:before="0" w:after="0"/>
        <w:ind w:left="1180" w:right="0" w:hanging="110"/>
        <w:jc w:val="left"/>
        <w:rPr>
          <w:sz w:val="18"/>
        </w:rPr>
      </w:pPr>
      <w:r>
        <w:rPr>
          <w:sz w:val="18"/>
        </w:rPr>
        <w:t>Other State/Australian Government legislative</w:t>
      </w:r>
      <w:r>
        <w:rPr>
          <w:spacing w:val="-1"/>
          <w:sz w:val="18"/>
        </w:rPr>
        <w:t> </w:t>
      </w:r>
      <w:r>
        <w:rPr>
          <w:sz w:val="18"/>
        </w:rPr>
        <w:t>requirements.</w:t>
      </w:r>
    </w:p>
    <w:p>
      <w:pPr>
        <w:pStyle w:val="BodyText"/>
        <w:rPr>
          <w:sz w:val="25"/>
        </w:rPr>
      </w:pPr>
    </w:p>
    <w:p>
      <w:pPr>
        <w:pStyle w:val="BodyText"/>
        <w:ind w:left="1070" w:right="93"/>
      </w:pPr>
      <w:r>
        <w:rPr/>
        <w:t>The University of Western Sydney is a not-for-profit entity and these statements have been prepared on that basis. Some of the Australian Accounting Standards requirements for not-for-profit entities are inconsistent with IFRS requirements.</w:t>
      </w:r>
    </w:p>
    <w:p>
      <w:pPr>
        <w:pStyle w:val="BodyText"/>
        <w:rPr>
          <w:sz w:val="25"/>
        </w:rPr>
      </w:pPr>
    </w:p>
    <w:p>
      <w:pPr>
        <w:spacing w:before="0"/>
        <w:ind w:left="1014" w:right="93" w:firstLine="0"/>
        <w:jc w:val="left"/>
        <w:rPr>
          <w:i/>
          <w:sz w:val="18"/>
        </w:rPr>
      </w:pPr>
      <w:r>
        <w:rPr>
          <w:i/>
          <w:sz w:val="18"/>
        </w:rPr>
        <w:t>Date of authorisation for issue</w:t>
      </w:r>
    </w:p>
    <w:p>
      <w:pPr>
        <w:pStyle w:val="BodyText"/>
        <w:rPr>
          <w:i/>
          <w:sz w:val="25"/>
        </w:rPr>
      </w:pPr>
    </w:p>
    <w:p>
      <w:pPr>
        <w:pStyle w:val="BodyText"/>
        <w:ind w:left="1070" w:right="93"/>
      </w:pPr>
      <w:r>
        <w:rPr/>
        <w:t>The financial statements were authorised for issue by the members of The University of Western Sydney on 10 April 2013.</w:t>
      </w:r>
    </w:p>
    <w:p>
      <w:pPr>
        <w:pStyle w:val="BodyText"/>
        <w:rPr>
          <w:sz w:val="25"/>
        </w:rPr>
      </w:pPr>
    </w:p>
    <w:p>
      <w:pPr>
        <w:spacing w:before="0"/>
        <w:ind w:left="1064" w:right="93" w:firstLine="0"/>
        <w:jc w:val="left"/>
        <w:rPr>
          <w:i/>
          <w:sz w:val="18"/>
        </w:rPr>
      </w:pPr>
      <w:r>
        <w:rPr>
          <w:i/>
          <w:sz w:val="18"/>
        </w:rPr>
        <w:t>Historical cost convention</w:t>
      </w:r>
    </w:p>
    <w:p>
      <w:pPr>
        <w:pStyle w:val="BodyText"/>
        <w:rPr>
          <w:i/>
          <w:sz w:val="25"/>
        </w:rPr>
      </w:pPr>
    </w:p>
    <w:p>
      <w:pPr>
        <w:pStyle w:val="BodyText"/>
        <w:ind w:left="1070" w:right="145"/>
      </w:pPr>
      <w:r>
        <w:rPr/>
        <w:t>These financial statements have been prepared under the historical cost convention, as modified by the revaluation of available-for-sale financial assets, financial assets and liabilities (including derivative instruments) at fair value through profit or loss, certain classes of property, plant and equipment and investment property.</w:t>
      </w:r>
    </w:p>
    <w:p>
      <w:pPr>
        <w:pStyle w:val="BodyText"/>
        <w:rPr>
          <w:sz w:val="25"/>
        </w:rPr>
      </w:pPr>
    </w:p>
    <w:p>
      <w:pPr>
        <w:spacing w:before="0"/>
        <w:ind w:left="1070" w:right="93" w:firstLine="0"/>
        <w:jc w:val="left"/>
        <w:rPr>
          <w:i/>
          <w:sz w:val="18"/>
        </w:rPr>
      </w:pPr>
      <w:r>
        <w:rPr>
          <w:i/>
          <w:sz w:val="18"/>
        </w:rPr>
        <w:t>Critical accounting estimates</w:t>
      </w:r>
    </w:p>
    <w:p>
      <w:pPr>
        <w:pStyle w:val="BodyText"/>
        <w:rPr>
          <w:i/>
          <w:sz w:val="25"/>
        </w:rPr>
      </w:pPr>
    </w:p>
    <w:p>
      <w:pPr>
        <w:pStyle w:val="BodyText"/>
        <w:ind w:left="1070" w:right="93"/>
      </w:pPr>
      <w:r>
        <w:rPr/>
        <w:t>The preparation of financial statements in conformity with Australian Accounting Standards requires the use of certain critical accounting estimates. It also requires management to exercise its judgement in the process of applying University of Western Sydney’s accounting policies. The areas involving a higher degree of judgement or complexity, or areas where assumptions and estimates are significant to the financial statements, are disclosed below:</w:t>
      </w:r>
    </w:p>
    <w:p>
      <w:pPr>
        <w:spacing w:after="0"/>
        <w:sectPr>
          <w:headerReference w:type="default" r:id="rId63"/>
          <w:pgSz w:w="11910" w:h="16840"/>
          <w:pgMar w:header="1038" w:footer="507" w:top="2220" w:bottom="700" w:left="900" w:right="900"/>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125"/>
      </w:pPr>
      <w:r>
        <w:rPr/>
        <w:t>1</w:t>
        <w:tab/>
        <w:t>Summary of Significant Accounting Policies</w:t>
      </w:r>
      <w:r>
        <w:rPr>
          <w:spacing w:val="-5"/>
        </w:rPr>
        <w:t> </w:t>
      </w:r>
      <w:r>
        <w:rPr/>
        <w:t>(continued)</w:t>
      </w:r>
    </w:p>
    <w:p>
      <w:pPr>
        <w:pStyle w:val="BodyText"/>
        <w:spacing w:before="11"/>
        <w:rPr>
          <w:b/>
          <w:sz w:val="24"/>
        </w:rPr>
      </w:pPr>
    </w:p>
    <w:p>
      <w:pPr>
        <w:pStyle w:val="ListParagraph"/>
        <w:numPr>
          <w:ilvl w:val="0"/>
          <w:numId w:val="3"/>
        </w:numPr>
        <w:tabs>
          <w:tab w:pos="1071" w:val="left" w:leader="none"/>
        </w:tabs>
        <w:spacing w:line="207" w:lineRule="exact" w:before="0" w:after="0"/>
        <w:ind w:left="1070" w:right="0" w:hanging="566"/>
        <w:jc w:val="left"/>
        <w:rPr>
          <w:b/>
          <w:sz w:val="18"/>
        </w:rPr>
      </w:pPr>
      <w:r>
        <w:rPr>
          <w:b/>
          <w:sz w:val="18"/>
        </w:rPr>
        <w:t>Basis of Preparation</w:t>
      </w:r>
      <w:r>
        <w:rPr>
          <w:b/>
          <w:spacing w:val="-1"/>
          <w:sz w:val="18"/>
        </w:rPr>
        <w:t> </w:t>
      </w:r>
      <w:r>
        <w:rPr>
          <w:b/>
          <w:sz w:val="18"/>
        </w:rPr>
        <w:t>(continued)</w:t>
      </w:r>
    </w:p>
    <w:p>
      <w:pPr>
        <w:spacing w:line="207" w:lineRule="exact" w:before="0"/>
        <w:ind w:left="1070" w:right="125" w:firstLine="0"/>
        <w:jc w:val="left"/>
        <w:rPr>
          <w:i/>
          <w:sz w:val="18"/>
        </w:rPr>
      </w:pPr>
      <w:r>
        <w:rPr>
          <w:i/>
          <w:sz w:val="18"/>
        </w:rPr>
        <w:t>Significant judgements</w:t>
      </w:r>
    </w:p>
    <w:p>
      <w:pPr>
        <w:pStyle w:val="BodyText"/>
        <w:rPr>
          <w:i/>
          <w:sz w:val="25"/>
        </w:rPr>
      </w:pPr>
    </w:p>
    <w:p>
      <w:pPr>
        <w:pStyle w:val="ListParagraph"/>
        <w:numPr>
          <w:ilvl w:val="1"/>
          <w:numId w:val="3"/>
        </w:numPr>
        <w:tabs>
          <w:tab w:pos="1468" w:val="left" w:leader="none"/>
        </w:tabs>
        <w:spacing w:line="240" w:lineRule="auto" w:before="0" w:after="0"/>
        <w:ind w:left="1070" w:right="115" w:firstLine="100"/>
        <w:jc w:val="left"/>
        <w:rPr>
          <w:sz w:val="18"/>
        </w:rPr>
      </w:pPr>
      <w:r>
        <w:rPr>
          <w:sz w:val="18"/>
        </w:rPr>
        <w:t>Management has elected to measure land and buildings at fair value as determined by licensed valuers being Global Valuation Services Pty Ltd who have performed an independent valuation as at 31 December</w:t>
      </w:r>
      <w:r>
        <w:rPr>
          <w:spacing w:val="-31"/>
          <w:sz w:val="18"/>
        </w:rPr>
        <w:t> </w:t>
      </w:r>
      <w:r>
        <w:rPr>
          <w:sz w:val="18"/>
        </w:rPr>
        <w:t>2012. Plant and equipment has been measured at the written down historical costs of these assets. The valuation of land, building, plant and equipment is shown in property, plant and equipment (note 18). For further details refer also note</w:t>
      </w:r>
      <w:r>
        <w:rPr>
          <w:spacing w:val="-4"/>
          <w:sz w:val="18"/>
        </w:rPr>
        <w:t> </w:t>
      </w:r>
      <w:r>
        <w:rPr>
          <w:sz w:val="18"/>
        </w:rPr>
        <w:t>1(p).</w:t>
      </w:r>
    </w:p>
    <w:p>
      <w:pPr>
        <w:pStyle w:val="BodyText"/>
        <w:spacing w:before="11"/>
        <w:rPr>
          <w:sz w:val="24"/>
        </w:rPr>
      </w:pPr>
    </w:p>
    <w:p>
      <w:pPr>
        <w:pStyle w:val="ListParagraph"/>
        <w:numPr>
          <w:ilvl w:val="1"/>
          <w:numId w:val="3"/>
        </w:numPr>
        <w:tabs>
          <w:tab w:pos="1468" w:val="left" w:leader="none"/>
        </w:tabs>
        <w:spacing w:line="240" w:lineRule="auto" w:before="0" w:after="0"/>
        <w:ind w:left="1070" w:right="122" w:firstLine="100"/>
        <w:jc w:val="left"/>
        <w:rPr>
          <w:sz w:val="18"/>
        </w:rPr>
      </w:pPr>
      <w:r>
        <w:rPr>
          <w:sz w:val="18"/>
        </w:rPr>
        <w:t>Trade debtors (note 16) would generally be measured at amortised cost which will be approximated by the related nominal value. Management has assumed that there are no significant receivables with fair value materially different from nominal value and that there will be no significant delays in collecting outstanding amounts.</w:t>
      </w:r>
    </w:p>
    <w:p>
      <w:pPr>
        <w:pStyle w:val="BodyText"/>
        <w:rPr>
          <w:sz w:val="25"/>
        </w:rPr>
      </w:pPr>
    </w:p>
    <w:p>
      <w:pPr>
        <w:spacing w:before="0"/>
        <w:ind w:left="1070" w:right="125" w:firstLine="0"/>
        <w:jc w:val="left"/>
        <w:rPr>
          <w:i/>
          <w:sz w:val="18"/>
        </w:rPr>
      </w:pPr>
      <w:r>
        <w:rPr>
          <w:i/>
          <w:sz w:val="18"/>
        </w:rPr>
        <w:t>Critical estimates</w:t>
      </w:r>
    </w:p>
    <w:p>
      <w:pPr>
        <w:pStyle w:val="BodyText"/>
        <w:rPr>
          <w:i/>
          <w:sz w:val="25"/>
        </w:rPr>
      </w:pPr>
    </w:p>
    <w:p>
      <w:pPr>
        <w:pStyle w:val="BodyText"/>
        <w:ind w:left="1070" w:right="125"/>
      </w:pPr>
      <w:r>
        <w:rPr/>
        <w:t>Determining the carrying amount of provisions for employee long service leave entitlements (note 24), provision for annual leave entitlements (note 24), deferred superannuation (note 24), depreciation and useful life of buildings (note 18), and allowance for impaired receivables (note 16(a)) requires estimation of the uncertain future events on those assets and liabilities at the reporting date.</w:t>
      </w:r>
    </w:p>
    <w:p>
      <w:pPr>
        <w:pStyle w:val="BodyText"/>
        <w:rPr>
          <w:sz w:val="25"/>
        </w:rPr>
      </w:pPr>
    </w:p>
    <w:p>
      <w:pPr>
        <w:pStyle w:val="BodyText"/>
        <w:ind w:left="1070" w:right="125"/>
      </w:pPr>
      <w:r>
        <w:rPr/>
        <w:t>The assumptions made in the assessment of each of the financial assets and liabilities are shown in the relevant notes to the accounts and  note 1(j), note 1(m), note 1(o), note 1(p) and note 1(x).</w:t>
      </w:r>
    </w:p>
    <w:p>
      <w:pPr>
        <w:pStyle w:val="BodyText"/>
        <w:spacing w:before="11"/>
        <w:rPr>
          <w:sz w:val="24"/>
        </w:rPr>
      </w:pPr>
    </w:p>
    <w:p>
      <w:pPr>
        <w:pStyle w:val="Heading9"/>
        <w:numPr>
          <w:ilvl w:val="0"/>
          <w:numId w:val="3"/>
        </w:numPr>
        <w:tabs>
          <w:tab w:pos="1071" w:val="left" w:leader="none"/>
        </w:tabs>
        <w:spacing w:line="240" w:lineRule="auto" w:before="0" w:after="0"/>
        <w:ind w:left="1070" w:right="0" w:hanging="566"/>
        <w:jc w:val="left"/>
      </w:pPr>
      <w:r>
        <w:rPr/>
        <w:t>Principles of Consolidation</w:t>
      </w:r>
    </w:p>
    <w:p>
      <w:pPr>
        <w:pStyle w:val="BodyText"/>
        <w:rPr>
          <w:b/>
          <w:sz w:val="25"/>
        </w:rPr>
      </w:pPr>
    </w:p>
    <w:p>
      <w:pPr>
        <w:pStyle w:val="BodyText"/>
        <w:ind w:left="1070" w:right="125"/>
      </w:pPr>
      <w:r>
        <w:rPr/>
        <w:t>(i) Subsidiaries</w:t>
      </w:r>
    </w:p>
    <w:p>
      <w:pPr>
        <w:pStyle w:val="BodyText"/>
        <w:rPr>
          <w:sz w:val="25"/>
        </w:rPr>
      </w:pPr>
    </w:p>
    <w:p>
      <w:pPr>
        <w:pStyle w:val="BodyText"/>
        <w:ind w:left="1070" w:right="125"/>
      </w:pPr>
      <w:r>
        <w:rPr/>
        <w:t>The consolidated financial statements incorporate the assets and liabilities of all subsidiaries of the University of Western Sydney (''parent entity'') as at 31 December 2012 and the results of all subsidiaries for the year then ended. The University of Western Sydney and its subsidiaries together are referred to in these financial statements as the Group or the Consolidated Entity.</w:t>
      </w:r>
    </w:p>
    <w:p>
      <w:pPr>
        <w:pStyle w:val="BodyText"/>
        <w:rPr>
          <w:sz w:val="25"/>
        </w:rPr>
      </w:pPr>
    </w:p>
    <w:p>
      <w:pPr>
        <w:pStyle w:val="BodyText"/>
        <w:ind w:left="1070" w:right="334"/>
      </w:pPr>
      <w:r>
        <w:rPr/>
        <w:t>Subsidiaries are all those entities over which the Group has the ability to govern the financial and operating policies, generally accompanying a shareholding of more than one-half of the voting rights. The existence and effect of potential voting rights that are currently exercisable or convertible are considered when assessing whether the Group controls another entity.</w:t>
      </w:r>
    </w:p>
    <w:p>
      <w:pPr>
        <w:pStyle w:val="BodyText"/>
        <w:rPr>
          <w:sz w:val="25"/>
        </w:rPr>
      </w:pPr>
    </w:p>
    <w:p>
      <w:pPr>
        <w:pStyle w:val="BodyText"/>
        <w:ind w:left="1070" w:right="125"/>
      </w:pPr>
      <w:r>
        <w:rPr/>
        <w:t>Subsidiaries are fully consolidated from the date on which control is transferred to the Group. They are de- consolidated from the date control ceases.</w:t>
      </w:r>
    </w:p>
    <w:p>
      <w:pPr>
        <w:pStyle w:val="BodyText"/>
        <w:rPr>
          <w:sz w:val="25"/>
        </w:rPr>
      </w:pPr>
    </w:p>
    <w:p>
      <w:pPr>
        <w:pStyle w:val="BodyText"/>
        <w:ind w:left="1070" w:right="215"/>
      </w:pPr>
      <w:r>
        <w:rPr/>
        <w:t>Intercompany transactions, balances and unrealised gains on transactions between Group entities are eliminated. Unrealised losses are also eliminated unless the transaction provides evidence of the impairment of the asset transferred. Accounting policies of subsidiaries have been changed where necessary to ensure consistency with the policies adopted by the Group.</w:t>
      </w:r>
    </w:p>
    <w:p>
      <w:pPr>
        <w:pStyle w:val="BodyText"/>
        <w:rPr>
          <w:sz w:val="25"/>
        </w:rPr>
      </w:pPr>
    </w:p>
    <w:p>
      <w:pPr>
        <w:pStyle w:val="BodyText"/>
        <w:spacing w:line="573" w:lineRule="auto"/>
        <w:ind w:left="1070" w:right="775"/>
      </w:pPr>
      <w:r>
        <w:rPr/>
        <w:t>The acquisition method of accounting is used to account for the acquisition of subsidiaries by the Group. The subsidiaries of the University as at 31 December 2012 are:</w:t>
      </w:r>
    </w:p>
    <w:p>
      <w:pPr>
        <w:pStyle w:val="BodyText"/>
        <w:tabs>
          <w:tab w:pos="1467" w:val="left" w:leader="none"/>
        </w:tabs>
        <w:spacing w:before="8"/>
        <w:ind w:left="1070" w:right="125"/>
      </w:pPr>
      <w:r>
        <w:rPr/>
        <w:t>-</w:t>
        <w:tab/>
        <w:t>Television Sydney (TVS)</w:t>
      </w:r>
      <w:r>
        <w:rPr>
          <w:spacing w:val="-1"/>
        </w:rPr>
        <w:t> </w:t>
      </w:r>
      <w:r>
        <w:rPr/>
        <w:t>Limited</w:t>
      </w:r>
    </w:p>
    <w:p>
      <w:pPr>
        <w:spacing w:after="0"/>
        <w:sectPr>
          <w:pgSz w:w="11910" w:h="16840"/>
          <w:pgMar w:header="1038" w:footer="507" w:top="2220" w:bottom="700" w:left="900" w:right="860"/>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93"/>
      </w:pPr>
      <w:r>
        <w:rPr/>
        <w:t>1</w:t>
        <w:tab/>
        <w:t>Summary of Significant Accounting Policies</w:t>
      </w:r>
      <w:r>
        <w:rPr>
          <w:spacing w:val="-5"/>
        </w:rPr>
        <w:t> </w:t>
      </w:r>
      <w:r>
        <w:rPr/>
        <w:t>(continued)</w:t>
      </w:r>
    </w:p>
    <w:p>
      <w:pPr>
        <w:pStyle w:val="BodyText"/>
        <w:spacing w:before="11"/>
        <w:rPr>
          <w:b/>
          <w:sz w:val="24"/>
        </w:rPr>
      </w:pPr>
    </w:p>
    <w:p>
      <w:pPr>
        <w:pStyle w:val="ListParagraph"/>
        <w:numPr>
          <w:ilvl w:val="0"/>
          <w:numId w:val="4"/>
        </w:numPr>
        <w:tabs>
          <w:tab w:pos="1071" w:val="left" w:leader="none"/>
        </w:tabs>
        <w:spacing w:line="240" w:lineRule="auto" w:before="0" w:after="0"/>
        <w:ind w:left="1070" w:right="0" w:hanging="566"/>
        <w:jc w:val="left"/>
        <w:rPr>
          <w:b/>
          <w:sz w:val="18"/>
        </w:rPr>
      </w:pPr>
      <w:r>
        <w:rPr>
          <w:b/>
          <w:sz w:val="18"/>
        </w:rPr>
        <w:t>Principles of Consolidation</w:t>
      </w:r>
      <w:r>
        <w:rPr>
          <w:b/>
          <w:spacing w:val="-2"/>
          <w:sz w:val="18"/>
        </w:rPr>
        <w:t> </w:t>
      </w:r>
      <w:r>
        <w:rPr>
          <w:b/>
          <w:sz w:val="18"/>
        </w:rPr>
        <w:t>(continued)</w:t>
      </w:r>
    </w:p>
    <w:p>
      <w:pPr>
        <w:pStyle w:val="BodyText"/>
        <w:spacing w:before="11"/>
        <w:rPr>
          <w:b/>
          <w:sz w:val="24"/>
        </w:rPr>
      </w:pPr>
    </w:p>
    <w:p>
      <w:pPr>
        <w:pStyle w:val="ListParagraph"/>
        <w:numPr>
          <w:ilvl w:val="1"/>
          <w:numId w:val="4"/>
        </w:numPr>
        <w:tabs>
          <w:tab w:pos="1468" w:val="left" w:leader="none"/>
        </w:tabs>
        <w:spacing w:line="240" w:lineRule="auto" w:before="0" w:after="0"/>
        <w:ind w:left="1467" w:right="0" w:hanging="397"/>
        <w:jc w:val="left"/>
        <w:rPr>
          <w:sz w:val="18"/>
        </w:rPr>
      </w:pPr>
      <w:r>
        <w:rPr>
          <w:sz w:val="18"/>
        </w:rPr>
        <w:t>University of Western Sydney Foundation Limited and</w:t>
      </w:r>
      <w:r>
        <w:rPr>
          <w:spacing w:val="-1"/>
          <w:sz w:val="18"/>
        </w:rPr>
        <w:t> </w:t>
      </w:r>
      <w:r>
        <w:rPr>
          <w:sz w:val="18"/>
        </w:rPr>
        <w:t>Trust</w:t>
      </w:r>
    </w:p>
    <w:p>
      <w:pPr>
        <w:pStyle w:val="BodyText"/>
        <w:rPr>
          <w:sz w:val="25"/>
        </w:rPr>
      </w:pPr>
    </w:p>
    <w:p>
      <w:pPr>
        <w:pStyle w:val="ListParagraph"/>
        <w:numPr>
          <w:ilvl w:val="1"/>
          <w:numId w:val="4"/>
        </w:numPr>
        <w:tabs>
          <w:tab w:pos="1468" w:val="left" w:leader="none"/>
        </w:tabs>
        <w:spacing w:line="240" w:lineRule="auto" w:before="0" w:after="0"/>
        <w:ind w:left="1467" w:right="0" w:hanging="397"/>
        <w:jc w:val="left"/>
        <w:rPr>
          <w:sz w:val="18"/>
        </w:rPr>
      </w:pPr>
      <w:r>
        <w:rPr>
          <w:sz w:val="18"/>
        </w:rPr>
        <w:t>UWS College Pty</w:t>
      </w:r>
      <w:r>
        <w:rPr>
          <w:spacing w:val="-1"/>
          <w:sz w:val="18"/>
        </w:rPr>
        <w:t> </w:t>
      </w:r>
      <w:r>
        <w:rPr>
          <w:sz w:val="18"/>
        </w:rPr>
        <w:t>Limited</w:t>
      </w:r>
    </w:p>
    <w:p>
      <w:pPr>
        <w:pStyle w:val="BodyText"/>
        <w:rPr>
          <w:sz w:val="25"/>
        </w:rPr>
      </w:pPr>
    </w:p>
    <w:p>
      <w:pPr>
        <w:pStyle w:val="ListParagraph"/>
        <w:numPr>
          <w:ilvl w:val="1"/>
          <w:numId w:val="4"/>
        </w:numPr>
        <w:tabs>
          <w:tab w:pos="1468" w:val="left" w:leader="none"/>
        </w:tabs>
        <w:spacing w:line="240" w:lineRule="auto" w:before="0" w:after="0"/>
        <w:ind w:left="1467" w:right="0" w:hanging="397"/>
        <w:jc w:val="left"/>
        <w:rPr>
          <w:sz w:val="18"/>
        </w:rPr>
      </w:pPr>
      <w:r>
        <w:rPr>
          <w:sz w:val="18"/>
        </w:rPr>
        <w:t>UWS Early Learning Incorporated (ceased trading 02 March</w:t>
      </w:r>
      <w:r>
        <w:rPr>
          <w:spacing w:val="-1"/>
          <w:sz w:val="18"/>
        </w:rPr>
        <w:t> </w:t>
      </w:r>
      <w:r>
        <w:rPr>
          <w:sz w:val="18"/>
        </w:rPr>
        <w:t>2012)</w:t>
      </w:r>
    </w:p>
    <w:p>
      <w:pPr>
        <w:pStyle w:val="BodyText"/>
        <w:rPr>
          <w:sz w:val="25"/>
        </w:rPr>
      </w:pPr>
    </w:p>
    <w:p>
      <w:pPr>
        <w:pStyle w:val="ListParagraph"/>
        <w:numPr>
          <w:ilvl w:val="1"/>
          <w:numId w:val="4"/>
        </w:numPr>
        <w:tabs>
          <w:tab w:pos="1468" w:val="left" w:leader="none"/>
        </w:tabs>
        <w:spacing w:line="240" w:lineRule="auto" w:before="0" w:after="0"/>
        <w:ind w:left="1467" w:right="0" w:hanging="397"/>
        <w:jc w:val="left"/>
        <w:rPr>
          <w:sz w:val="18"/>
        </w:rPr>
      </w:pPr>
      <w:r>
        <w:rPr>
          <w:sz w:val="18"/>
        </w:rPr>
        <w:t>uwsconnect</w:t>
      </w:r>
      <w:r>
        <w:rPr>
          <w:spacing w:val="-1"/>
          <w:sz w:val="18"/>
        </w:rPr>
        <w:t> </w:t>
      </w:r>
      <w:r>
        <w:rPr>
          <w:sz w:val="18"/>
        </w:rPr>
        <w:t>Limited</w:t>
      </w:r>
    </w:p>
    <w:p>
      <w:pPr>
        <w:pStyle w:val="BodyText"/>
        <w:rPr>
          <w:sz w:val="25"/>
        </w:rPr>
      </w:pPr>
    </w:p>
    <w:p>
      <w:pPr>
        <w:pStyle w:val="ListParagraph"/>
        <w:numPr>
          <w:ilvl w:val="1"/>
          <w:numId w:val="4"/>
        </w:numPr>
        <w:tabs>
          <w:tab w:pos="1468" w:val="left" w:leader="none"/>
        </w:tabs>
        <w:spacing w:line="240" w:lineRule="auto" w:before="0" w:after="0"/>
        <w:ind w:left="1467" w:right="0" w:hanging="397"/>
        <w:jc w:val="left"/>
        <w:rPr>
          <w:sz w:val="18"/>
        </w:rPr>
      </w:pPr>
      <w:r>
        <w:rPr>
          <w:sz w:val="18"/>
        </w:rPr>
        <w:t>Whitlam Institute (within the University of Western Sydney) Limited and</w:t>
      </w:r>
      <w:r>
        <w:rPr>
          <w:spacing w:val="-1"/>
          <w:sz w:val="18"/>
        </w:rPr>
        <w:t> </w:t>
      </w:r>
      <w:r>
        <w:rPr>
          <w:sz w:val="18"/>
        </w:rPr>
        <w:t>Trust</w:t>
      </w:r>
    </w:p>
    <w:p>
      <w:pPr>
        <w:pStyle w:val="BodyText"/>
        <w:rPr>
          <w:sz w:val="25"/>
        </w:rPr>
      </w:pPr>
    </w:p>
    <w:p>
      <w:pPr>
        <w:pStyle w:val="ListParagraph"/>
        <w:numPr>
          <w:ilvl w:val="1"/>
          <w:numId w:val="4"/>
        </w:numPr>
        <w:tabs>
          <w:tab w:pos="1468" w:val="left" w:leader="none"/>
        </w:tabs>
        <w:spacing w:line="240" w:lineRule="auto" w:before="0" w:after="0"/>
        <w:ind w:left="1467" w:right="0" w:hanging="397"/>
        <w:jc w:val="left"/>
        <w:rPr>
          <w:sz w:val="18"/>
        </w:rPr>
      </w:pPr>
      <w:r>
        <w:rPr>
          <w:sz w:val="18"/>
        </w:rPr>
        <w:t>UWS Early Learning Limited (began trading 02 March</w:t>
      </w:r>
      <w:r>
        <w:rPr>
          <w:spacing w:val="-1"/>
          <w:sz w:val="18"/>
        </w:rPr>
        <w:t> </w:t>
      </w:r>
      <w:r>
        <w:rPr>
          <w:sz w:val="18"/>
        </w:rPr>
        <w:t>2012)</w:t>
      </w:r>
    </w:p>
    <w:p>
      <w:pPr>
        <w:pStyle w:val="BodyText"/>
        <w:rPr>
          <w:sz w:val="25"/>
        </w:rPr>
      </w:pPr>
    </w:p>
    <w:p>
      <w:pPr>
        <w:pStyle w:val="BodyText"/>
        <w:ind w:left="1070" w:right="465"/>
      </w:pPr>
      <w:r>
        <w:rPr/>
        <w:t>Separate financial statements are prepared by the University’s subsidiaries. The Audit Office of NSW audits these financial statements.</w:t>
      </w:r>
    </w:p>
    <w:p>
      <w:pPr>
        <w:pStyle w:val="BodyText"/>
        <w:rPr>
          <w:sz w:val="25"/>
        </w:rPr>
      </w:pPr>
    </w:p>
    <w:p>
      <w:pPr>
        <w:pStyle w:val="BodyText"/>
        <w:ind w:left="1070" w:right="265"/>
      </w:pPr>
      <w:r>
        <w:rPr/>
        <w:t>The University disposed of its interest in Cadre Design Pty Limited and Cadre Unit Trust on 19 April 2012. As the Company and Trust ceased to be statutory bodies when the University disposed of them, there was no requirement for the Company or Trust to prepare final financial statements for the period 1 January 2012 to 19 April 2012 under section 43A of the </w:t>
      </w:r>
      <w:r>
        <w:rPr>
          <w:i/>
        </w:rPr>
        <w:t>Public Finance and Audit Act 1983</w:t>
      </w:r>
      <w:r>
        <w:rPr/>
        <w:t>.</w:t>
      </w:r>
    </w:p>
    <w:p>
      <w:pPr>
        <w:pStyle w:val="BodyText"/>
        <w:rPr>
          <w:sz w:val="25"/>
        </w:rPr>
      </w:pPr>
    </w:p>
    <w:p>
      <w:pPr>
        <w:pStyle w:val="BodyText"/>
        <w:ind w:left="1070" w:right="93"/>
      </w:pPr>
      <w:r>
        <w:rPr/>
        <w:t>Television Sydney Foundation Limited and Trust were deregistered on 7 April 2012. In late 2011 NSW Treasury determined that both the Company and Trust would be exempt from the requirement to prepare further financial statements provided the Company and Trust did not trade until they were deregistered and both were deregistered by 31 December 2012.</w:t>
      </w:r>
    </w:p>
    <w:p>
      <w:pPr>
        <w:pStyle w:val="BodyText"/>
        <w:rPr>
          <w:sz w:val="25"/>
        </w:rPr>
      </w:pPr>
    </w:p>
    <w:p>
      <w:pPr>
        <w:pStyle w:val="BodyText"/>
        <w:ind w:left="1070" w:right="345"/>
      </w:pPr>
      <w:r>
        <w:rPr/>
        <w:t>UWS Early Learning Incorporated was registered as a company limited by guarantee on 2 March 2012. NSW Treasury has determined that the Company's first reporting period will end on 31 December 2012.</w:t>
      </w:r>
    </w:p>
    <w:p>
      <w:pPr>
        <w:pStyle w:val="BodyText"/>
        <w:spacing w:before="10"/>
        <w:rPr>
          <w:sz w:val="24"/>
        </w:rPr>
      </w:pPr>
    </w:p>
    <w:p>
      <w:pPr>
        <w:pStyle w:val="Heading9"/>
        <w:numPr>
          <w:ilvl w:val="0"/>
          <w:numId w:val="4"/>
        </w:numPr>
        <w:tabs>
          <w:tab w:pos="1071" w:val="left" w:leader="none"/>
        </w:tabs>
        <w:spacing w:line="240" w:lineRule="auto" w:before="0" w:after="0"/>
        <w:ind w:left="1070" w:right="0" w:hanging="566"/>
        <w:jc w:val="left"/>
      </w:pPr>
      <w:r>
        <w:rPr/>
        <w:t>Foreign currency transactions and</w:t>
      </w:r>
      <w:r>
        <w:rPr>
          <w:spacing w:val="-2"/>
        </w:rPr>
        <w:t> </w:t>
      </w:r>
      <w:r>
        <w:rPr/>
        <w:t>balances</w:t>
      </w:r>
    </w:p>
    <w:p>
      <w:pPr>
        <w:pStyle w:val="BodyText"/>
        <w:rPr>
          <w:b/>
          <w:sz w:val="25"/>
        </w:rPr>
      </w:pPr>
    </w:p>
    <w:p>
      <w:pPr>
        <w:pStyle w:val="BodyText"/>
        <w:ind w:left="1069" w:right="93"/>
      </w:pPr>
      <w:r>
        <w:rPr/>
        <w:t>Both the functional and presentation currency of the Group is Australian Dollars.</w:t>
      </w:r>
    </w:p>
    <w:p>
      <w:pPr>
        <w:pStyle w:val="BodyText"/>
        <w:rPr>
          <w:sz w:val="25"/>
        </w:rPr>
      </w:pPr>
    </w:p>
    <w:p>
      <w:pPr>
        <w:pStyle w:val="BodyText"/>
        <w:ind w:left="1069" w:right="426"/>
      </w:pPr>
      <w:r>
        <w:rPr/>
        <w:t>Transactions in foreign currencies are recorded in the functional currency at the exchange rates ruling at the date of the transaction.</w:t>
      </w:r>
    </w:p>
    <w:p>
      <w:pPr>
        <w:pStyle w:val="BodyText"/>
        <w:spacing w:before="11"/>
        <w:rPr>
          <w:sz w:val="24"/>
        </w:rPr>
      </w:pPr>
    </w:p>
    <w:p>
      <w:pPr>
        <w:pStyle w:val="Heading9"/>
        <w:numPr>
          <w:ilvl w:val="0"/>
          <w:numId w:val="4"/>
        </w:numPr>
        <w:tabs>
          <w:tab w:pos="1071" w:val="left" w:leader="none"/>
        </w:tabs>
        <w:spacing w:line="240" w:lineRule="auto" w:before="0" w:after="0"/>
        <w:ind w:left="1070" w:right="0" w:hanging="566"/>
        <w:jc w:val="left"/>
      </w:pPr>
      <w:r>
        <w:rPr/>
        <w:t>Revenue</w:t>
      </w:r>
      <w:r>
        <w:rPr>
          <w:spacing w:val="-1"/>
        </w:rPr>
        <w:t> </w:t>
      </w:r>
      <w:r>
        <w:rPr/>
        <w:t>Recognition</w:t>
      </w:r>
    </w:p>
    <w:p>
      <w:pPr>
        <w:pStyle w:val="BodyText"/>
        <w:rPr>
          <w:b/>
          <w:sz w:val="25"/>
        </w:rPr>
      </w:pPr>
    </w:p>
    <w:p>
      <w:pPr>
        <w:pStyle w:val="BodyText"/>
        <w:ind w:left="1069" w:right="706"/>
      </w:pPr>
      <w:r>
        <w:rPr/>
        <w:t>Revenue is measured at the fair value of the consideration received or receivable. Amounts disclosed as revenue are net of returns, trade allowances rebates and amounts collected on behalf of third parties.</w:t>
      </w:r>
    </w:p>
    <w:p>
      <w:pPr>
        <w:pStyle w:val="BodyText"/>
        <w:rPr>
          <w:sz w:val="25"/>
        </w:rPr>
      </w:pPr>
    </w:p>
    <w:p>
      <w:pPr>
        <w:pStyle w:val="BodyText"/>
        <w:ind w:left="1069" w:right="93"/>
      </w:pPr>
      <w:r>
        <w:rPr/>
        <w:t>The Group recognises revenue when the amount of revenue can be reliably measured, it is probable that future economic benefits will flow to the Group and specific criteria have been met for each of the Group’s activities as described below. The amount of revenue is not considered to be reliably measurable until all contingencies relating to the sale have been resolved. The Group bases its estimates on historical results, taking into consideration the type of customer, the type of transaction and the specifics of each arrangement.</w:t>
      </w:r>
    </w:p>
    <w:p>
      <w:pPr>
        <w:spacing w:after="0"/>
        <w:sectPr>
          <w:pgSz w:w="11910" w:h="16840"/>
          <w:pgMar w:header="1038" w:footer="507" w:top="2220" w:bottom="700" w:left="900" w:right="900"/>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128"/>
      </w:pPr>
      <w:r>
        <w:rPr/>
        <w:t>1</w:t>
        <w:tab/>
        <w:t>Summary of Significant Accounting Policies</w:t>
      </w:r>
      <w:r>
        <w:rPr>
          <w:spacing w:val="-5"/>
        </w:rPr>
        <w:t> </w:t>
      </w:r>
      <w:r>
        <w:rPr/>
        <w:t>(continued)</w:t>
      </w:r>
    </w:p>
    <w:p>
      <w:pPr>
        <w:pStyle w:val="BodyText"/>
        <w:spacing w:before="11"/>
        <w:rPr>
          <w:b/>
          <w:sz w:val="24"/>
        </w:rPr>
      </w:pPr>
    </w:p>
    <w:p>
      <w:pPr>
        <w:pStyle w:val="ListParagraph"/>
        <w:numPr>
          <w:ilvl w:val="0"/>
          <w:numId w:val="5"/>
        </w:numPr>
        <w:tabs>
          <w:tab w:pos="1071" w:val="left" w:leader="none"/>
        </w:tabs>
        <w:spacing w:line="207" w:lineRule="exact" w:before="0" w:after="0"/>
        <w:ind w:left="1070" w:right="0" w:hanging="566"/>
        <w:jc w:val="left"/>
        <w:rPr>
          <w:b/>
          <w:sz w:val="18"/>
        </w:rPr>
      </w:pPr>
      <w:r>
        <w:rPr>
          <w:b/>
          <w:sz w:val="18"/>
        </w:rPr>
        <w:t>Revenue Recognition</w:t>
      </w:r>
      <w:r>
        <w:rPr>
          <w:b/>
          <w:spacing w:val="-3"/>
          <w:sz w:val="18"/>
        </w:rPr>
        <w:t> </w:t>
      </w:r>
      <w:r>
        <w:rPr>
          <w:b/>
          <w:sz w:val="18"/>
        </w:rPr>
        <w:t>(continued)</w:t>
      </w:r>
    </w:p>
    <w:p>
      <w:pPr>
        <w:pStyle w:val="BodyText"/>
        <w:spacing w:line="207" w:lineRule="exact"/>
        <w:ind w:left="1069" w:right="128"/>
      </w:pPr>
      <w:r>
        <w:rPr/>
        <w:t>Revenue is recognised for the major business activities as follows:</w:t>
      </w:r>
    </w:p>
    <w:p>
      <w:pPr>
        <w:pStyle w:val="BodyText"/>
        <w:rPr>
          <w:sz w:val="25"/>
        </w:rPr>
      </w:pPr>
    </w:p>
    <w:p>
      <w:pPr>
        <w:pStyle w:val="ListParagraph"/>
        <w:numPr>
          <w:ilvl w:val="1"/>
          <w:numId w:val="5"/>
        </w:numPr>
        <w:tabs>
          <w:tab w:pos="1223" w:val="left" w:leader="none"/>
        </w:tabs>
        <w:spacing w:line="240" w:lineRule="auto" w:before="0" w:after="0"/>
        <w:ind w:left="1222" w:right="0" w:hanging="210"/>
        <w:jc w:val="left"/>
        <w:rPr>
          <w:i/>
          <w:sz w:val="18"/>
        </w:rPr>
      </w:pPr>
      <w:r>
        <w:rPr>
          <w:i/>
          <w:sz w:val="18"/>
        </w:rPr>
        <w:t>) Government</w:t>
      </w:r>
      <w:r>
        <w:rPr>
          <w:i/>
          <w:spacing w:val="-1"/>
          <w:sz w:val="18"/>
        </w:rPr>
        <w:t> </w:t>
      </w:r>
      <w:r>
        <w:rPr>
          <w:i/>
          <w:sz w:val="18"/>
        </w:rPr>
        <w:t>Grants</w:t>
      </w:r>
    </w:p>
    <w:p>
      <w:pPr>
        <w:pStyle w:val="BodyText"/>
        <w:spacing w:before="11"/>
        <w:rPr>
          <w:i/>
          <w:sz w:val="24"/>
        </w:rPr>
      </w:pPr>
    </w:p>
    <w:p>
      <w:pPr>
        <w:pStyle w:val="BodyText"/>
        <w:ind w:left="1636" w:right="128" w:hanging="1"/>
      </w:pPr>
      <w:r>
        <w:rPr/>
        <w:t>University of Western Sydney treats operating grants received from Australian Government entities as income in the year of receipt.</w:t>
      </w:r>
    </w:p>
    <w:p>
      <w:pPr>
        <w:pStyle w:val="BodyText"/>
        <w:rPr>
          <w:sz w:val="25"/>
        </w:rPr>
      </w:pPr>
    </w:p>
    <w:p>
      <w:pPr>
        <w:pStyle w:val="BodyText"/>
        <w:ind w:left="1636"/>
      </w:pPr>
      <w:r>
        <w:rPr/>
        <w:t>Grants from the government are recognised at their fair value where the Group obtains control of the right to receive a grant, it is probable that economic benefits will flow to the Group and it can be reliably measured.</w:t>
      </w:r>
    </w:p>
    <w:p>
      <w:pPr>
        <w:pStyle w:val="BodyText"/>
        <w:rPr>
          <w:sz w:val="25"/>
        </w:rPr>
      </w:pPr>
    </w:p>
    <w:p>
      <w:pPr>
        <w:pStyle w:val="ListParagraph"/>
        <w:numPr>
          <w:ilvl w:val="1"/>
          <w:numId w:val="5"/>
        </w:numPr>
        <w:tabs>
          <w:tab w:pos="1262" w:val="left" w:leader="none"/>
        </w:tabs>
        <w:spacing w:line="240" w:lineRule="auto" w:before="0" w:after="0"/>
        <w:ind w:left="1262" w:right="0" w:hanging="250"/>
        <w:jc w:val="left"/>
        <w:rPr>
          <w:i/>
          <w:sz w:val="18"/>
        </w:rPr>
      </w:pPr>
      <w:r>
        <w:rPr>
          <w:i/>
          <w:sz w:val="18"/>
        </w:rPr>
        <w:t>and</w:t>
      </w:r>
      <w:r>
        <w:rPr>
          <w:i/>
          <w:spacing w:val="-1"/>
          <w:sz w:val="18"/>
        </w:rPr>
        <w:t> </w:t>
      </w:r>
      <w:r>
        <w:rPr>
          <w:i/>
          <w:sz w:val="18"/>
        </w:rPr>
        <w:t>charges</w:t>
      </w:r>
    </w:p>
    <w:p>
      <w:pPr>
        <w:pStyle w:val="BodyText"/>
        <w:spacing w:before="11"/>
        <w:rPr>
          <w:i/>
          <w:sz w:val="24"/>
        </w:rPr>
      </w:pPr>
    </w:p>
    <w:p>
      <w:pPr>
        <w:pStyle w:val="BodyText"/>
        <w:ind w:left="1636" w:right="128"/>
      </w:pPr>
      <w:r>
        <w:rPr/>
        <w:t>Fees and charges are recognised as income in the year of receipt, except to the extent that fees and charges relate to courses to be held in future periods. Such income is treated as income in advance. Conversely, fees and charges relating to debtors are recognised as revenue in the year to which the prescribed course relates.</w:t>
      </w:r>
    </w:p>
    <w:p>
      <w:pPr>
        <w:pStyle w:val="BodyText"/>
        <w:rPr>
          <w:sz w:val="25"/>
        </w:rPr>
      </w:pPr>
    </w:p>
    <w:p>
      <w:pPr>
        <w:pStyle w:val="ListParagraph"/>
        <w:numPr>
          <w:ilvl w:val="1"/>
          <w:numId w:val="5"/>
        </w:numPr>
        <w:tabs>
          <w:tab w:pos="1302" w:val="left" w:leader="none"/>
        </w:tabs>
        <w:spacing w:line="240" w:lineRule="auto" w:before="0" w:after="0"/>
        <w:ind w:left="1301" w:right="0" w:hanging="289"/>
        <w:jc w:val="left"/>
        <w:rPr>
          <w:i/>
          <w:sz w:val="18"/>
        </w:rPr>
      </w:pPr>
      <w:r>
        <w:rPr>
          <w:i/>
          <w:sz w:val="18"/>
        </w:rPr>
        <w:t>Consulting and</w:t>
      </w:r>
      <w:r>
        <w:rPr>
          <w:i/>
          <w:spacing w:val="-1"/>
          <w:sz w:val="18"/>
        </w:rPr>
        <w:t> </w:t>
      </w:r>
      <w:r>
        <w:rPr>
          <w:i/>
          <w:sz w:val="18"/>
        </w:rPr>
        <w:t>contracting</w:t>
      </w:r>
    </w:p>
    <w:p>
      <w:pPr>
        <w:pStyle w:val="BodyText"/>
        <w:spacing w:before="11"/>
        <w:rPr>
          <w:i/>
          <w:sz w:val="24"/>
        </w:rPr>
      </w:pPr>
    </w:p>
    <w:p>
      <w:pPr>
        <w:pStyle w:val="BodyText"/>
        <w:ind w:left="1636" w:right="209"/>
      </w:pPr>
      <w:r>
        <w:rPr/>
        <w:t>Contract revenue is recognised in accordance with the percentage of completion method. The stage of completion is measured by reference to labour hours incurred to date as a percentage of estimated total labour hours for each contract.</w:t>
      </w:r>
    </w:p>
    <w:p>
      <w:pPr>
        <w:pStyle w:val="BodyText"/>
        <w:rPr>
          <w:sz w:val="25"/>
        </w:rPr>
      </w:pPr>
    </w:p>
    <w:p>
      <w:pPr>
        <w:pStyle w:val="ListParagraph"/>
        <w:numPr>
          <w:ilvl w:val="1"/>
          <w:numId w:val="5"/>
        </w:numPr>
        <w:tabs>
          <w:tab w:pos="1313" w:val="left" w:leader="none"/>
        </w:tabs>
        <w:spacing w:line="240" w:lineRule="auto" w:before="0" w:after="0"/>
        <w:ind w:left="1312" w:right="0" w:hanging="300"/>
        <w:jc w:val="left"/>
        <w:rPr>
          <w:i/>
          <w:sz w:val="18"/>
        </w:rPr>
      </w:pPr>
      <w:r>
        <w:rPr>
          <w:i/>
          <w:sz w:val="18"/>
        </w:rPr>
        <w:t>Lease</w:t>
      </w:r>
      <w:r>
        <w:rPr>
          <w:i/>
          <w:spacing w:val="-1"/>
          <w:sz w:val="18"/>
        </w:rPr>
        <w:t> </w:t>
      </w:r>
      <w:r>
        <w:rPr>
          <w:i/>
          <w:sz w:val="18"/>
        </w:rPr>
        <w:t>income</w:t>
      </w:r>
    </w:p>
    <w:p>
      <w:pPr>
        <w:pStyle w:val="BodyText"/>
        <w:spacing w:before="11"/>
        <w:rPr>
          <w:i/>
          <w:sz w:val="24"/>
        </w:rPr>
      </w:pPr>
    </w:p>
    <w:p>
      <w:pPr>
        <w:pStyle w:val="BodyText"/>
        <w:ind w:left="1636"/>
      </w:pPr>
      <w:r>
        <w:rPr/>
        <w:t>Lease income from operating leases is recognised as income on a straight-line basis over the lease term.</w:t>
      </w:r>
    </w:p>
    <w:p>
      <w:pPr>
        <w:pStyle w:val="BodyText"/>
        <w:rPr>
          <w:sz w:val="25"/>
        </w:rPr>
      </w:pPr>
    </w:p>
    <w:p>
      <w:pPr>
        <w:pStyle w:val="ListParagraph"/>
        <w:numPr>
          <w:ilvl w:val="1"/>
          <w:numId w:val="5"/>
        </w:numPr>
        <w:tabs>
          <w:tab w:pos="1274" w:val="left" w:leader="none"/>
        </w:tabs>
        <w:spacing w:line="240" w:lineRule="auto" w:before="0" w:after="0"/>
        <w:ind w:left="1274" w:right="0" w:hanging="261"/>
        <w:jc w:val="left"/>
        <w:rPr>
          <w:i/>
          <w:sz w:val="18"/>
        </w:rPr>
      </w:pPr>
      <w:r>
        <w:rPr>
          <w:i/>
          <w:sz w:val="18"/>
        </w:rPr>
        <w:t>Investment</w:t>
      </w:r>
      <w:r>
        <w:rPr>
          <w:i/>
          <w:spacing w:val="-1"/>
          <w:sz w:val="18"/>
        </w:rPr>
        <w:t> </w:t>
      </w:r>
      <w:r>
        <w:rPr>
          <w:i/>
          <w:sz w:val="18"/>
        </w:rPr>
        <w:t>income</w:t>
      </w:r>
    </w:p>
    <w:p>
      <w:pPr>
        <w:pStyle w:val="BodyText"/>
        <w:spacing w:before="11"/>
        <w:rPr>
          <w:i/>
          <w:sz w:val="24"/>
        </w:rPr>
      </w:pPr>
    </w:p>
    <w:p>
      <w:pPr>
        <w:pStyle w:val="BodyText"/>
        <w:ind w:left="1636" w:right="128"/>
      </w:pPr>
      <w:r>
        <w:rPr/>
        <w:t>Revenue is recognised as the interest accrues using the effective interest method.</w:t>
      </w:r>
    </w:p>
    <w:p>
      <w:pPr>
        <w:pStyle w:val="BodyText"/>
        <w:rPr>
          <w:sz w:val="25"/>
        </w:rPr>
      </w:pPr>
    </w:p>
    <w:p>
      <w:pPr>
        <w:pStyle w:val="BodyText"/>
        <w:ind w:left="1069" w:right="128"/>
      </w:pPr>
      <w:r>
        <w:rPr/>
        <w:t>All other material revenue is accounted for on an accrual basis.</w:t>
      </w:r>
    </w:p>
    <w:p>
      <w:pPr>
        <w:pStyle w:val="BodyText"/>
        <w:spacing w:before="11"/>
        <w:rPr>
          <w:sz w:val="24"/>
        </w:rPr>
      </w:pPr>
    </w:p>
    <w:p>
      <w:pPr>
        <w:pStyle w:val="Heading9"/>
        <w:numPr>
          <w:ilvl w:val="0"/>
          <w:numId w:val="5"/>
        </w:numPr>
        <w:tabs>
          <w:tab w:pos="1071" w:val="left" w:leader="none"/>
        </w:tabs>
        <w:spacing w:line="240" w:lineRule="auto" w:before="0" w:after="0"/>
        <w:ind w:left="1070" w:right="0" w:hanging="566"/>
        <w:jc w:val="left"/>
      </w:pPr>
      <w:r>
        <w:rPr/>
        <w:t>Research grants and</w:t>
      </w:r>
      <w:r>
        <w:rPr>
          <w:spacing w:val="-2"/>
        </w:rPr>
        <w:t> </w:t>
      </w:r>
      <w:r>
        <w:rPr/>
        <w:t>contracts</w:t>
      </w:r>
    </w:p>
    <w:p>
      <w:pPr>
        <w:pStyle w:val="BodyText"/>
        <w:rPr>
          <w:b/>
          <w:sz w:val="25"/>
        </w:rPr>
      </w:pPr>
    </w:p>
    <w:p>
      <w:pPr>
        <w:pStyle w:val="BodyText"/>
        <w:ind w:left="1070" w:right="105"/>
      </w:pPr>
      <w:r>
        <w:rPr/>
        <w:t>Private (Non DIISRTE) research grants and contracts are received by the University in advance of research services being provided and represent reciprocal transfers as specific research services are agreed between the University and the research contractee, with an acquittal process following the provision of the research service. The University treats unspent private research grants as a liability (note 25). In 2012 this amounted to $8.409M (2011: $6.652M). In the 2012reporting period the $6.652M deferred in the prior year has been treated as income (2011: $7.198M). The net impact on income in 2012 was therefore $1.757M (2011: $0.546M).</w:t>
      </w:r>
    </w:p>
    <w:p>
      <w:pPr>
        <w:pStyle w:val="BodyText"/>
        <w:spacing w:before="11"/>
        <w:rPr>
          <w:sz w:val="24"/>
        </w:rPr>
      </w:pPr>
    </w:p>
    <w:p>
      <w:pPr>
        <w:pStyle w:val="Heading9"/>
        <w:numPr>
          <w:ilvl w:val="0"/>
          <w:numId w:val="5"/>
        </w:numPr>
        <w:tabs>
          <w:tab w:pos="1071" w:val="left" w:leader="none"/>
        </w:tabs>
        <w:spacing w:line="240" w:lineRule="auto" w:before="0" w:after="0"/>
        <w:ind w:left="1070" w:right="0" w:hanging="566"/>
        <w:jc w:val="left"/>
      </w:pPr>
      <w:r>
        <w:rPr/>
        <w:t>Income Tax</w:t>
      </w:r>
      <w:r>
        <w:rPr>
          <w:spacing w:val="-1"/>
        </w:rPr>
        <w:t> </w:t>
      </w:r>
      <w:r>
        <w:rPr/>
        <w:t>exemption</w:t>
      </w:r>
    </w:p>
    <w:p>
      <w:pPr>
        <w:pStyle w:val="BodyText"/>
        <w:rPr>
          <w:b/>
          <w:sz w:val="25"/>
        </w:rPr>
      </w:pPr>
    </w:p>
    <w:p>
      <w:pPr>
        <w:spacing w:before="0"/>
        <w:ind w:left="1070" w:right="128" w:firstLine="0"/>
        <w:jc w:val="left"/>
        <w:rPr>
          <w:sz w:val="18"/>
        </w:rPr>
      </w:pPr>
      <w:r>
        <w:rPr>
          <w:sz w:val="18"/>
        </w:rPr>
        <w:t>The Group is exempt from income tax under section 50-B of the </w:t>
      </w:r>
      <w:r>
        <w:rPr>
          <w:i/>
          <w:sz w:val="18"/>
        </w:rPr>
        <w:t>Income Tax Assessment Act 1997</w:t>
      </w:r>
      <w:r>
        <w:rPr>
          <w:sz w:val="18"/>
        </w:rPr>
        <w:t>.</w:t>
      </w:r>
    </w:p>
    <w:p>
      <w:pPr>
        <w:spacing w:after="0"/>
        <w:jc w:val="left"/>
        <w:rPr>
          <w:sz w:val="18"/>
        </w:rPr>
        <w:sectPr>
          <w:pgSz w:w="11910" w:h="16840"/>
          <w:pgMar w:header="1038" w:footer="507" w:top="2220" w:bottom="700" w:left="900" w:right="880"/>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128"/>
      </w:pPr>
      <w:r>
        <w:rPr/>
        <w:t>1</w:t>
        <w:tab/>
        <w:t>Summary of Significant Accounting Policies</w:t>
      </w:r>
      <w:r>
        <w:rPr>
          <w:spacing w:val="-5"/>
        </w:rPr>
        <w:t> </w:t>
      </w:r>
      <w:r>
        <w:rPr/>
        <w:t>(continued)</w:t>
      </w:r>
    </w:p>
    <w:p>
      <w:pPr>
        <w:pStyle w:val="BodyText"/>
        <w:spacing w:before="11"/>
        <w:rPr>
          <w:b/>
          <w:sz w:val="24"/>
        </w:rPr>
      </w:pPr>
    </w:p>
    <w:p>
      <w:pPr>
        <w:pStyle w:val="ListParagraph"/>
        <w:numPr>
          <w:ilvl w:val="0"/>
          <w:numId w:val="5"/>
        </w:numPr>
        <w:tabs>
          <w:tab w:pos="1071" w:val="left" w:leader="none"/>
        </w:tabs>
        <w:spacing w:line="240" w:lineRule="auto" w:before="0" w:after="0"/>
        <w:ind w:left="1070" w:right="0" w:hanging="566"/>
        <w:jc w:val="left"/>
        <w:rPr>
          <w:b/>
          <w:sz w:val="18"/>
        </w:rPr>
      </w:pPr>
      <w:r>
        <w:rPr>
          <w:b/>
          <w:sz w:val="18"/>
        </w:rPr>
        <w:t>Leases</w:t>
      </w:r>
    </w:p>
    <w:p>
      <w:pPr>
        <w:pStyle w:val="BodyText"/>
        <w:rPr>
          <w:b/>
          <w:sz w:val="25"/>
        </w:rPr>
      </w:pPr>
    </w:p>
    <w:p>
      <w:pPr>
        <w:pStyle w:val="BodyText"/>
        <w:ind w:left="1070" w:right="125"/>
      </w:pPr>
      <w:r>
        <w:rPr/>
        <w:t>Leases of property, plant and equipment where the Group, as lessee, has substantially all the risks and rewards of ownership are classified as finance leases.  Finance leases are capitalised at the lease’s inception at the lower of the fair value of the leased property and the present value of the minimum lease payments. The corresponding rental obligations, net of finance charges, are included in other short term and long term payables. Each lease payment is allocated between the liability and finance cost. The finance cost is charged to the income statement over the lease period so as to produce a constant periodic rate of interest on the remaining balance of the liability for each period. The property, plant and equipment acquired under finance leases are depreciated over the shorter of the asset’s useful life and the lease</w:t>
      </w:r>
      <w:r>
        <w:rPr>
          <w:spacing w:val="-1"/>
        </w:rPr>
        <w:t> </w:t>
      </w:r>
      <w:r>
        <w:rPr/>
        <w:t>term.</w:t>
      </w:r>
    </w:p>
    <w:p>
      <w:pPr>
        <w:pStyle w:val="BodyText"/>
        <w:rPr>
          <w:sz w:val="25"/>
        </w:rPr>
      </w:pPr>
    </w:p>
    <w:p>
      <w:pPr>
        <w:pStyle w:val="BodyText"/>
        <w:ind w:left="1070" w:right="128"/>
      </w:pPr>
      <w:r>
        <w:rPr/>
        <w:t>Leases in which a significant portion of the risks and rewards of ownership are retained by the lessor are classified as operating leases (note 31). Payments made under operating leases (net of any incentives received from the lessor) are charged to the income statement on a straight-line basis over the period of the lease.</w:t>
      </w:r>
    </w:p>
    <w:p>
      <w:pPr>
        <w:pStyle w:val="BodyText"/>
        <w:spacing w:before="11"/>
        <w:rPr>
          <w:sz w:val="24"/>
        </w:rPr>
      </w:pPr>
    </w:p>
    <w:p>
      <w:pPr>
        <w:pStyle w:val="Heading9"/>
        <w:numPr>
          <w:ilvl w:val="0"/>
          <w:numId w:val="5"/>
        </w:numPr>
        <w:tabs>
          <w:tab w:pos="1071" w:val="left" w:leader="none"/>
        </w:tabs>
        <w:spacing w:line="240" w:lineRule="auto" w:before="0" w:after="0"/>
        <w:ind w:left="1070" w:right="0" w:hanging="566"/>
        <w:jc w:val="left"/>
      </w:pPr>
      <w:r>
        <w:rPr/>
        <w:t>Impairment of</w:t>
      </w:r>
      <w:r>
        <w:rPr>
          <w:spacing w:val="-1"/>
        </w:rPr>
        <w:t> </w:t>
      </w:r>
      <w:r>
        <w:rPr/>
        <w:t>assets</w:t>
      </w:r>
    </w:p>
    <w:p>
      <w:pPr>
        <w:pStyle w:val="BodyText"/>
        <w:rPr>
          <w:b/>
          <w:sz w:val="25"/>
        </w:rPr>
      </w:pPr>
    </w:p>
    <w:p>
      <w:pPr>
        <w:pStyle w:val="BodyText"/>
        <w:ind w:left="1070" w:right="195"/>
      </w:pPr>
      <w:r>
        <w:rPr/>
        <w:t>Intangible assets that have an indefinite useful life are not subject to amortisation and are tested annually for impairment. Other assets are reviewed for impairment wherever events or changes in circumstances indicate that the carrying amount may not be recoverable. The recoverable amount is the higher of the asset’s fair value less costs to sell and value in use.</w:t>
      </w:r>
    </w:p>
    <w:p>
      <w:pPr>
        <w:pStyle w:val="BodyText"/>
        <w:rPr>
          <w:sz w:val="25"/>
        </w:rPr>
      </w:pPr>
    </w:p>
    <w:p>
      <w:pPr>
        <w:pStyle w:val="BodyText"/>
        <w:ind w:left="1070" w:right="251"/>
        <w:jc w:val="both"/>
      </w:pPr>
      <w:r>
        <w:rPr/>
        <w:t>An impairment loss is recognised for the amount by which the asset’s carrying amount exceeds its recoverable amount (note 13). For the purposes of assessing impairment, assets are grouped at the lowest levels for which there are separately identifiable cash flows.</w:t>
      </w:r>
    </w:p>
    <w:p>
      <w:pPr>
        <w:pStyle w:val="BodyText"/>
        <w:spacing w:before="11"/>
        <w:rPr>
          <w:sz w:val="24"/>
        </w:rPr>
      </w:pPr>
    </w:p>
    <w:p>
      <w:pPr>
        <w:pStyle w:val="Heading9"/>
        <w:numPr>
          <w:ilvl w:val="0"/>
          <w:numId w:val="5"/>
        </w:numPr>
        <w:tabs>
          <w:tab w:pos="1071" w:val="left" w:leader="none"/>
        </w:tabs>
        <w:spacing w:line="240" w:lineRule="auto" w:before="0" w:after="0"/>
        <w:ind w:left="1070" w:right="0" w:hanging="566"/>
        <w:jc w:val="left"/>
      </w:pPr>
      <w:r>
        <w:rPr/>
        <w:t>Cash and cash</w:t>
      </w:r>
      <w:r>
        <w:rPr>
          <w:spacing w:val="-1"/>
        </w:rPr>
        <w:t> </w:t>
      </w:r>
      <w:r>
        <w:rPr/>
        <w:t>equivalents</w:t>
      </w:r>
    </w:p>
    <w:p>
      <w:pPr>
        <w:pStyle w:val="BodyText"/>
        <w:rPr>
          <w:b/>
          <w:sz w:val="25"/>
        </w:rPr>
      </w:pPr>
    </w:p>
    <w:p>
      <w:pPr>
        <w:pStyle w:val="BodyText"/>
        <w:ind w:left="1070" w:right="174"/>
      </w:pPr>
      <w:r>
        <w:rPr/>
        <w:t>For statement of cash flows presentation purposes, cash and cash equivalents includes cash on hand, deposits held at call with financial institutions, other short term, highly liquid investments with original maturities of three months or less that are readily convertible to known amounts of cash and which are subject to an insignificant risk of changes in value.</w:t>
      </w:r>
    </w:p>
    <w:p>
      <w:pPr>
        <w:pStyle w:val="BodyText"/>
        <w:spacing w:before="11"/>
        <w:rPr>
          <w:sz w:val="24"/>
        </w:rPr>
      </w:pPr>
    </w:p>
    <w:p>
      <w:pPr>
        <w:pStyle w:val="Heading9"/>
        <w:numPr>
          <w:ilvl w:val="0"/>
          <w:numId w:val="5"/>
        </w:numPr>
        <w:tabs>
          <w:tab w:pos="1071" w:val="left" w:leader="none"/>
        </w:tabs>
        <w:spacing w:line="240" w:lineRule="auto" w:before="0" w:after="0"/>
        <w:ind w:left="1070" w:right="0" w:hanging="566"/>
        <w:jc w:val="left"/>
      </w:pPr>
      <w:r>
        <w:rPr/>
        <w:t>Trade</w:t>
      </w:r>
      <w:r>
        <w:rPr>
          <w:spacing w:val="-1"/>
        </w:rPr>
        <w:t> </w:t>
      </w:r>
      <w:r>
        <w:rPr/>
        <w:t>receivables</w:t>
      </w:r>
    </w:p>
    <w:p>
      <w:pPr>
        <w:pStyle w:val="BodyText"/>
        <w:rPr>
          <w:b/>
          <w:sz w:val="25"/>
        </w:rPr>
      </w:pPr>
    </w:p>
    <w:p>
      <w:pPr>
        <w:pStyle w:val="BodyText"/>
        <w:ind w:left="1070" w:right="121"/>
      </w:pPr>
      <w:r>
        <w:rPr/>
        <w:t>Trade receivables are recognised initially at fair value and subsequently measured at amortised cost using the effective interest method, less provision for impairment. The Group's standard terms of trade is 14 days from the date of recognition with the exception of the deferred government contribution for superannuation.</w:t>
      </w:r>
    </w:p>
    <w:p>
      <w:pPr>
        <w:pStyle w:val="BodyText"/>
        <w:rPr>
          <w:sz w:val="25"/>
        </w:rPr>
      </w:pPr>
    </w:p>
    <w:p>
      <w:pPr>
        <w:pStyle w:val="BodyText"/>
        <w:ind w:left="1070" w:right="144"/>
      </w:pPr>
      <w:r>
        <w:rPr/>
        <w:t>Collectability of trade receivables is reviewed on an ongoing basis. Debts which are known to be uncollectible are written off. A provision for impairment of receivables is established when there is objective evidence that the Group will not be able to collect all amounts due according to the original terms of receivables. Significant financial difficulties of the debtor, probability that the debtor will enter bankruptcy or financial reorganisation, and default or delinquency in payments are considered indicators that the trade receivable is impaired. The amount of the provision is the difference between the asset’s carrying amount and the present value of estimated future cash flows, discounted at the effective interest rate. The amount of the movement in the provision is recognised in the income statement.</w:t>
      </w:r>
    </w:p>
    <w:p>
      <w:pPr>
        <w:pStyle w:val="BodyText"/>
        <w:spacing w:before="10"/>
        <w:rPr>
          <w:sz w:val="24"/>
        </w:rPr>
      </w:pPr>
    </w:p>
    <w:p>
      <w:pPr>
        <w:pStyle w:val="BodyText"/>
        <w:spacing w:before="1"/>
        <w:ind w:left="1070" w:right="95"/>
      </w:pPr>
      <w:r>
        <w:rPr/>
        <w:t>When a trade receivable is uncollectable the amount of the loss is recognised in the income statement within ‘impairment of assets’. Subsequent recoveries of amounts previously written off are credited to ‘other revenue’ in the income statement.</w:t>
      </w:r>
    </w:p>
    <w:p>
      <w:pPr>
        <w:pStyle w:val="BodyText"/>
        <w:rPr>
          <w:sz w:val="25"/>
        </w:rPr>
      </w:pPr>
    </w:p>
    <w:p>
      <w:pPr>
        <w:pStyle w:val="BodyText"/>
        <w:ind w:left="1070" w:right="128"/>
      </w:pPr>
      <w:r>
        <w:rPr/>
        <w:t>Cash flows relating to short term receivables are not discounted if the effect of discounting is immaterial.</w:t>
      </w:r>
    </w:p>
    <w:p>
      <w:pPr>
        <w:spacing w:after="0"/>
        <w:sectPr>
          <w:pgSz w:w="11910" w:h="16840"/>
          <w:pgMar w:header="1038" w:footer="507" w:top="2220" w:bottom="700" w:left="900" w:right="880"/>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596"/>
      </w:pPr>
      <w:r>
        <w:rPr/>
        <w:t>1</w:t>
        <w:tab/>
        <w:t>Summary of Significant Accounting Policies</w:t>
      </w:r>
      <w:r>
        <w:rPr>
          <w:spacing w:val="-5"/>
        </w:rPr>
        <w:t> </w:t>
      </w:r>
      <w:r>
        <w:rPr/>
        <w:t>(continued)</w:t>
      </w:r>
    </w:p>
    <w:p>
      <w:pPr>
        <w:pStyle w:val="BodyText"/>
        <w:spacing w:before="11"/>
        <w:rPr>
          <w:b/>
          <w:sz w:val="24"/>
        </w:rPr>
      </w:pPr>
    </w:p>
    <w:p>
      <w:pPr>
        <w:pStyle w:val="ListParagraph"/>
        <w:numPr>
          <w:ilvl w:val="0"/>
          <w:numId w:val="5"/>
        </w:numPr>
        <w:tabs>
          <w:tab w:pos="1071" w:val="left" w:leader="none"/>
        </w:tabs>
        <w:spacing w:line="240" w:lineRule="auto" w:before="0" w:after="0"/>
        <w:ind w:left="1070" w:right="0" w:hanging="566"/>
        <w:jc w:val="left"/>
        <w:rPr>
          <w:b/>
          <w:sz w:val="18"/>
        </w:rPr>
      </w:pPr>
      <w:r>
        <w:rPr>
          <w:b/>
          <w:sz w:val="18"/>
        </w:rPr>
        <w:t>Prepayments</w:t>
      </w:r>
    </w:p>
    <w:p>
      <w:pPr>
        <w:pStyle w:val="BodyText"/>
        <w:rPr>
          <w:b/>
          <w:sz w:val="25"/>
        </w:rPr>
      </w:pPr>
    </w:p>
    <w:p>
      <w:pPr>
        <w:pStyle w:val="BodyText"/>
        <w:ind w:left="1069" w:right="596"/>
      </w:pPr>
      <w:r>
        <w:rPr/>
        <w:t>Payments for goods and services which are to be provided in future years are recognised as prepayments. Prepayments are recorded in trade and other receivables in the statement of financial position.</w:t>
      </w:r>
    </w:p>
    <w:p>
      <w:pPr>
        <w:pStyle w:val="BodyText"/>
        <w:spacing w:before="11"/>
        <w:rPr>
          <w:sz w:val="24"/>
        </w:rPr>
      </w:pPr>
    </w:p>
    <w:p>
      <w:pPr>
        <w:pStyle w:val="Heading9"/>
        <w:numPr>
          <w:ilvl w:val="0"/>
          <w:numId w:val="5"/>
        </w:numPr>
        <w:tabs>
          <w:tab w:pos="1071" w:val="left" w:leader="none"/>
        </w:tabs>
        <w:spacing w:line="240" w:lineRule="auto" w:before="0" w:after="0"/>
        <w:ind w:left="1070" w:right="0" w:hanging="566"/>
        <w:jc w:val="left"/>
      </w:pPr>
      <w:r>
        <w:rPr/>
        <w:t>Inventories</w:t>
      </w:r>
    </w:p>
    <w:p>
      <w:pPr>
        <w:pStyle w:val="BodyText"/>
        <w:rPr>
          <w:b/>
          <w:sz w:val="25"/>
        </w:rPr>
      </w:pPr>
    </w:p>
    <w:p>
      <w:pPr>
        <w:pStyle w:val="BodyText"/>
        <w:ind w:left="1070" w:right="104"/>
      </w:pPr>
      <w:r>
        <w:rPr/>
        <w:t>A stocktake of inventories on hand at year end was performed. All inventories are measured at the lower of cost and net realisable value. Textbooks and retail stock are valued at a weighted average price and other stock is valued at last purchase price.</w:t>
      </w:r>
    </w:p>
    <w:p>
      <w:pPr>
        <w:pStyle w:val="BodyText"/>
      </w:pPr>
    </w:p>
    <w:p>
      <w:pPr>
        <w:pStyle w:val="BodyText"/>
      </w:pPr>
    </w:p>
    <w:p>
      <w:pPr>
        <w:pStyle w:val="Heading9"/>
        <w:numPr>
          <w:ilvl w:val="0"/>
          <w:numId w:val="5"/>
        </w:numPr>
        <w:tabs>
          <w:tab w:pos="1071" w:val="left" w:leader="none"/>
        </w:tabs>
        <w:spacing w:line="240" w:lineRule="auto" w:before="103" w:after="0"/>
        <w:ind w:left="1070" w:right="0" w:hanging="566"/>
        <w:jc w:val="left"/>
      </w:pPr>
      <w:r>
        <w:rPr/>
        <w:t>Investments and other financial</w:t>
      </w:r>
      <w:r>
        <w:rPr>
          <w:spacing w:val="-1"/>
        </w:rPr>
        <w:t> </w:t>
      </w:r>
      <w:r>
        <w:rPr/>
        <w:t>assets</w:t>
      </w:r>
    </w:p>
    <w:p>
      <w:pPr>
        <w:pStyle w:val="BodyText"/>
        <w:rPr>
          <w:b/>
          <w:sz w:val="25"/>
        </w:rPr>
      </w:pPr>
    </w:p>
    <w:p>
      <w:pPr>
        <w:pStyle w:val="BodyText"/>
        <w:ind w:left="1071" w:right="596"/>
      </w:pPr>
      <w:r>
        <w:rPr/>
        <w:t>Classification</w:t>
      </w:r>
    </w:p>
    <w:p>
      <w:pPr>
        <w:pStyle w:val="BodyText"/>
        <w:rPr>
          <w:sz w:val="25"/>
        </w:rPr>
      </w:pPr>
    </w:p>
    <w:p>
      <w:pPr>
        <w:pStyle w:val="BodyText"/>
        <w:ind w:left="1070" w:right="305"/>
      </w:pPr>
      <w:r>
        <w:rPr/>
        <w:t>The Group classifies its investments in the following categories: financial assets at fair value through profit or loss, loans and receivables and available-for-sale financial assets. The classification depends on the purpose for which the investments were acquired. Management determines the classification of its investments at initial recognition.</w:t>
      </w:r>
    </w:p>
    <w:p>
      <w:pPr>
        <w:pStyle w:val="BodyText"/>
        <w:rPr>
          <w:sz w:val="25"/>
        </w:rPr>
      </w:pPr>
    </w:p>
    <w:p>
      <w:pPr>
        <w:pStyle w:val="ListParagraph"/>
        <w:numPr>
          <w:ilvl w:val="1"/>
          <w:numId w:val="5"/>
        </w:numPr>
        <w:tabs>
          <w:tab w:pos="1224" w:val="left" w:leader="none"/>
        </w:tabs>
        <w:spacing w:line="240" w:lineRule="auto" w:before="0" w:after="0"/>
        <w:ind w:left="1223" w:right="0" w:hanging="209"/>
        <w:jc w:val="left"/>
        <w:rPr>
          <w:i/>
          <w:sz w:val="18"/>
        </w:rPr>
      </w:pPr>
      <w:r>
        <w:rPr>
          <w:i/>
          <w:sz w:val="18"/>
        </w:rPr>
        <w:t>Financial assets at fair value through profit or</w:t>
      </w:r>
      <w:r>
        <w:rPr>
          <w:i/>
          <w:spacing w:val="-1"/>
          <w:sz w:val="18"/>
        </w:rPr>
        <w:t> </w:t>
      </w:r>
      <w:r>
        <w:rPr>
          <w:i/>
          <w:sz w:val="18"/>
        </w:rPr>
        <w:t>loss</w:t>
      </w:r>
    </w:p>
    <w:p>
      <w:pPr>
        <w:pStyle w:val="BodyText"/>
        <w:spacing w:before="11"/>
        <w:rPr>
          <w:i/>
          <w:sz w:val="24"/>
        </w:rPr>
      </w:pPr>
    </w:p>
    <w:p>
      <w:pPr>
        <w:pStyle w:val="BodyText"/>
        <w:ind w:left="1070" w:right="515"/>
      </w:pPr>
      <w:r>
        <w:rPr/>
        <w:t>A financial asset is designated at fair value through profit or loss if there is the possibility it will be sold in the short term and the asset is subject to frequent changes in fair value. For the Group, assets in this category included units in One Path Optimix Wholesale Balanced Trust, which were redeemed during the year.</w:t>
      </w:r>
    </w:p>
    <w:p>
      <w:pPr>
        <w:pStyle w:val="BodyText"/>
        <w:rPr>
          <w:sz w:val="25"/>
        </w:rPr>
      </w:pPr>
    </w:p>
    <w:p>
      <w:pPr>
        <w:pStyle w:val="ListParagraph"/>
        <w:numPr>
          <w:ilvl w:val="1"/>
          <w:numId w:val="5"/>
        </w:numPr>
        <w:tabs>
          <w:tab w:pos="1264" w:val="left" w:leader="none"/>
        </w:tabs>
        <w:spacing w:line="240" w:lineRule="auto" w:before="0" w:after="0"/>
        <w:ind w:left="1263" w:right="0" w:hanging="249"/>
        <w:jc w:val="left"/>
        <w:rPr>
          <w:i/>
          <w:sz w:val="18"/>
        </w:rPr>
      </w:pPr>
      <w:r>
        <w:rPr>
          <w:i/>
          <w:sz w:val="18"/>
        </w:rPr>
        <w:t>Loans and</w:t>
      </w:r>
      <w:r>
        <w:rPr>
          <w:i/>
          <w:spacing w:val="-1"/>
          <w:sz w:val="18"/>
        </w:rPr>
        <w:t> </w:t>
      </w:r>
      <w:r>
        <w:rPr>
          <w:i/>
          <w:sz w:val="18"/>
        </w:rPr>
        <w:t>receivables</w:t>
      </w:r>
    </w:p>
    <w:p>
      <w:pPr>
        <w:pStyle w:val="BodyText"/>
        <w:spacing w:before="11"/>
        <w:rPr>
          <w:i/>
          <w:sz w:val="24"/>
        </w:rPr>
      </w:pPr>
    </w:p>
    <w:p>
      <w:pPr>
        <w:pStyle w:val="BodyText"/>
        <w:ind w:left="1070" w:right="104"/>
      </w:pPr>
      <w:r>
        <w:rPr/>
        <w:t>Loans and receivables are non-derivative financial assets with fixed or determinable payments that are not quoted in an active market. They are included in current assets, except for those with maturities greater than 12 months after the reporting date which are classified as non-current assets. Loans and receivables are included in receivables in the statement of financial position.</w:t>
      </w:r>
    </w:p>
    <w:p>
      <w:pPr>
        <w:pStyle w:val="BodyText"/>
        <w:rPr>
          <w:sz w:val="25"/>
        </w:rPr>
      </w:pPr>
    </w:p>
    <w:p>
      <w:pPr>
        <w:pStyle w:val="ListParagraph"/>
        <w:numPr>
          <w:ilvl w:val="1"/>
          <w:numId w:val="5"/>
        </w:numPr>
        <w:tabs>
          <w:tab w:pos="1303" w:val="left" w:leader="none"/>
        </w:tabs>
        <w:spacing w:line="240" w:lineRule="auto" w:before="0" w:after="0"/>
        <w:ind w:left="1302" w:right="0" w:hanging="288"/>
        <w:jc w:val="left"/>
        <w:rPr>
          <w:i/>
          <w:sz w:val="18"/>
        </w:rPr>
      </w:pPr>
      <w:r>
        <w:rPr>
          <w:i/>
          <w:sz w:val="18"/>
        </w:rPr>
        <w:t>Available-for-sale financial</w:t>
      </w:r>
      <w:r>
        <w:rPr>
          <w:i/>
          <w:spacing w:val="-1"/>
          <w:sz w:val="18"/>
        </w:rPr>
        <w:t> </w:t>
      </w:r>
      <w:r>
        <w:rPr>
          <w:i/>
          <w:sz w:val="18"/>
        </w:rPr>
        <w:t>assets</w:t>
      </w:r>
    </w:p>
    <w:p>
      <w:pPr>
        <w:pStyle w:val="BodyText"/>
        <w:spacing w:before="11"/>
        <w:rPr>
          <w:i/>
          <w:sz w:val="24"/>
        </w:rPr>
      </w:pPr>
    </w:p>
    <w:p>
      <w:pPr>
        <w:pStyle w:val="BodyText"/>
        <w:ind w:left="1070" w:right="326"/>
      </w:pPr>
      <w:r>
        <w:rPr/>
        <w:t>Available-for-sale financial assets, comprising principally marketable equity securities, are non-derivatives that are designated in this category.</w:t>
      </w:r>
    </w:p>
    <w:p>
      <w:pPr>
        <w:pStyle w:val="BodyText"/>
        <w:rPr>
          <w:sz w:val="25"/>
        </w:rPr>
      </w:pPr>
    </w:p>
    <w:p>
      <w:pPr>
        <w:pStyle w:val="BodyText"/>
        <w:ind w:left="1070" w:right="596"/>
      </w:pPr>
      <w:r>
        <w:rPr/>
        <w:t>The Group has designated as available for sale its units held in the following managed investment fund;</w:t>
      </w:r>
    </w:p>
    <w:p>
      <w:pPr>
        <w:pStyle w:val="BodyText"/>
        <w:rPr>
          <w:sz w:val="25"/>
        </w:rPr>
      </w:pPr>
    </w:p>
    <w:p>
      <w:pPr>
        <w:pStyle w:val="BodyText"/>
        <w:ind w:left="1120" w:right="596"/>
      </w:pPr>
      <w:r>
        <w:rPr/>
        <w:t>-  Acadian Australian Equity High Yield Fund Growth Facility</w:t>
      </w:r>
    </w:p>
    <w:p>
      <w:pPr>
        <w:pStyle w:val="BodyText"/>
        <w:rPr>
          <w:sz w:val="25"/>
        </w:rPr>
      </w:pPr>
    </w:p>
    <w:p>
      <w:pPr>
        <w:pStyle w:val="BodyText"/>
        <w:ind w:left="1070" w:right="575"/>
      </w:pPr>
      <w:r>
        <w:rPr/>
        <w:t>The Acadian Australian Equity High Yield Fund units are included as non current assets in the statement of financial position (note 20).</w:t>
      </w:r>
    </w:p>
    <w:p>
      <w:pPr>
        <w:pStyle w:val="BodyText"/>
        <w:rPr>
          <w:sz w:val="25"/>
        </w:rPr>
      </w:pPr>
    </w:p>
    <w:p>
      <w:pPr>
        <w:pStyle w:val="BodyText"/>
        <w:ind w:left="1070" w:right="305"/>
      </w:pPr>
      <w:r>
        <w:rPr/>
        <w:t>Unrealised gains and losses arising from changes in the fair value of financial assets classified as available for sale are recognised in equity in the available for sale investments revaluation reserve (note 27(a)).</w:t>
      </w:r>
    </w:p>
    <w:p>
      <w:pPr>
        <w:spacing w:after="0"/>
        <w:sectPr>
          <w:pgSz w:w="11910" w:h="16840"/>
          <w:pgMar w:header="1038" w:footer="507" w:top="2220" w:bottom="700" w:left="900" w:right="840"/>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125"/>
      </w:pPr>
      <w:r>
        <w:rPr/>
        <w:t>1</w:t>
        <w:tab/>
        <w:t>Summary of Significant Accounting Policies</w:t>
      </w:r>
      <w:r>
        <w:rPr>
          <w:spacing w:val="-5"/>
        </w:rPr>
        <w:t> </w:t>
      </w:r>
      <w:r>
        <w:rPr/>
        <w:t>(continued)</w:t>
      </w:r>
    </w:p>
    <w:p>
      <w:pPr>
        <w:pStyle w:val="BodyText"/>
        <w:spacing w:before="11"/>
        <w:rPr>
          <w:b/>
          <w:sz w:val="24"/>
        </w:rPr>
      </w:pPr>
    </w:p>
    <w:p>
      <w:pPr>
        <w:pStyle w:val="ListParagraph"/>
        <w:numPr>
          <w:ilvl w:val="0"/>
          <w:numId w:val="6"/>
        </w:numPr>
        <w:tabs>
          <w:tab w:pos="1071" w:val="left" w:leader="none"/>
        </w:tabs>
        <w:spacing w:line="240" w:lineRule="auto" w:before="0" w:after="0"/>
        <w:ind w:left="1070" w:right="0" w:hanging="566"/>
        <w:jc w:val="left"/>
        <w:rPr>
          <w:b/>
          <w:sz w:val="18"/>
        </w:rPr>
      </w:pPr>
      <w:r>
        <w:rPr>
          <w:b/>
          <w:sz w:val="18"/>
        </w:rPr>
        <w:t>Investments and other financial assets</w:t>
      </w:r>
      <w:r>
        <w:rPr>
          <w:b/>
          <w:spacing w:val="-1"/>
          <w:sz w:val="18"/>
        </w:rPr>
        <w:t> </w:t>
      </w:r>
      <w:r>
        <w:rPr>
          <w:b/>
          <w:sz w:val="18"/>
        </w:rPr>
        <w:t>(continued)</w:t>
      </w:r>
    </w:p>
    <w:p>
      <w:pPr>
        <w:pStyle w:val="BodyText"/>
        <w:spacing w:before="11"/>
        <w:rPr>
          <w:b/>
          <w:sz w:val="24"/>
        </w:rPr>
      </w:pPr>
    </w:p>
    <w:p>
      <w:pPr>
        <w:pStyle w:val="BodyText"/>
        <w:spacing w:line="207" w:lineRule="exact"/>
        <w:ind w:left="1071" w:right="125"/>
      </w:pPr>
      <w:r>
        <w:rPr/>
        <w:t>Classification (continued)</w:t>
      </w:r>
    </w:p>
    <w:p>
      <w:pPr>
        <w:pStyle w:val="ListParagraph"/>
        <w:numPr>
          <w:ilvl w:val="1"/>
          <w:numId w:val="5"/>
        </w:numPr>
        <w:tabs>
          <w:tab w:pos="1314" w:val="left" w:leader="none"/>
        </w:tabs>
        <w:spacing w:line="207" w:lineRule="exact" w:before="0" w:after="0"/>
        <w:ind w:left="1313" w:right="0" w:hanging="299"/>
        <w:jc w:val="left"/>
        <w:rPr>
          <w:i/>
          <w:sz w:val="18"/>
        </w:rPr>
      </w:pPr>
      <w:r>
        <w:rPr>
          <w:i/>
          <w:sz w:val="18"/>
        </w:rPr>
        <w:t>Recognition and derecognition of financial</w:t>
      </w:r>
      <w:r>
        <w:rPr>
          <w:i/>
          <w:spacing w:val="-1"/>
          <w:sz w:val="18"/>
        </w:rPr>
        <w:t> </w:t>
      </w:r>
      <w:r>
        <w:rPr>
          <w:i/>
          <w:sz w:val="18"/>
        </w:rPr>
        <w:t>assets</w:t>
      </w:r>
    </w:p>
    <w:p>
      <w:pPr>
        <w:pStyle w:val="BodyText"/>
        <w:rPr>
          <w:i/>
          <w:sz w:val="25"/>
        </w:rPr>
      </w:pPr>
    </w:p>
    <w:p>
      <w:pPr>
        <w:pStyle w:val="BodyText"/>
        <w:ind w:left="1014" w:right="92"/>
      </w:pPr>
      <w:r>
        <w:rPr/>
        <w:t>Purchases and sales of investments are recognised on 'trade date' which is the date on which the Group commits to purchase or sell the asset. Investments are initially recognised at fair value plus transaction costs for all financial assets not carried at fair value through profit or loss. Financial assets carried at fair value through profit and loss are initially recognised at fair value and transaction costs are expensed in the income statement.</w:t>
      </w:r>
    </w:p>
    <w:p>
      <w:pPr>
        <w:pStyle w:val="BodyText"/>
        <w:ind w:left="1014" w:right="111"/>
      </w:pPr>
      <w:r>
        <w:rPr/>
        <w:t>Financial assets are derecognised when the rights to receive cash flows from the financial assets have expired or have been transferred and the Group has transferred substantially all the risks and rewards of ownership.</w:t>
      </w:r>
    </w:p>
    <w:p>
      <w:pPr>
        <w:pStyle w:val="BodyText"/>
        <w:rPr>
          <w:sz w:val="25"/>
        </w:rPr>
      </w:pPr>
    </w:p>
    <w:p>
      <w:pPr>
        <w:pStyle w:val="BodyText"/>
        <w:ind w:left="1014" w:right="171"/>
      </w:pPr>
      <w:r>
        <w:rPr/>
        <w:t>When investments classified as available for sale are sold, the accumulated fair value adjustments recognised in equity are included in the income statement as gains and losses on sale of available for sale financial assets (note 9).</w:t>
      </w:r>
    </w:p>
    <w:p>
      <w:pPr>
        <w:pStyle w:val="BodyText"/>
      </w:pPr>
    </w:p>
    <w:p>
      <w:pPr>
        <w:pStyle w:val="BodyText"/>
      </w:pPr>
    </w:p>
    <w:p>
      <w:pPr>
        <w:pStyle w:val="BodyText"/>
        <w:spacing w:before="104"/>
        <w:ind w:left="1070" w:right="125"/>
      </w:pPr>
      <w:r>
        <w:rPr/>
        <w:t>Subsequent measurement</w:t>
      </w:r>
    </w:p>
    <w:p>
      <w:pPr>
        <w:pStyle w:val="BodyText"/>
        <w:spacing w:before="10"/>
        <w:rPr>
          <w:sz w:val="24"/>
        </w:rPr>
      </w:pPr>
    </w:p>
    <w:p>
      <w:pPr>
        <w:pStyle w:val="BodyText"/>
        <w:spacing w:before="1"/>
        <w:ind w:left="1069" w:right="75"/>
      </w:pPr>
      <w:r>
        <w:rPr/>
        <w:t>Available-for-sale financial assets and financial assets at fair value though profit and loss are subsequently carried at fair value. Loans and receivables and held-to-maturity investments are carried at amortised cost using the effective interest method. Gains or losses arising from changes in the fair value of the 'financial assets at fair value through profit or loss' category are included in the income statement within other income or other expenses in the period in which they arise.</w:t>
      </w:r>
    </w:p>
    <w:p>
      <w:pPr>
        <w:pStyle w:val="BodyText"/>
        <w:rPr>
          <w:sz w:val="25"/>
        </w:rPr>
      </w:pPr>
    </w:p>
    <w:p>
      <w:pPr>
        <w:pStyle w:val="BodyText"/>
        <w:ind w:left="1071" w:right="125"/>
      </w:pPr>
      <w:r>
        <w:rPr/>
        <w:t>Fair value</w:t>
      </w:r>
    </w:p>
    <w:p>
      <w:pPr>
        <w:pStyle w:val="BodyText"/>
        <w:rPr>
          <w:sz w:val="25"/>
        </w:rPr>
      </w:pPr>
    </w:p>
    <w:p>
      <w:pPr>
        <w:pStyle w:val="BodyText"/>
        <w:ind w:left="1070" w:right="115"/>
      </w:pPr>
      <w:r>
        <w:rPr/>
        <w:t>The fair values of quoted investments are based on current bid prices. If the market for a financial asset is not active (and for unlisted securities), the Group establishes fair value by using valuation techniques. These include reference to the fair values of recent arm's length transactions, involving the same instruments or other instruments that are substantially the same, discounted cash flow analysis, and option pricing models refined to reflect the issuer's specific circumstances.</w:t>
      </w:r>
    </w:p>
    <w:p>
      <w:pPr>
        <w:pStyle w:val="BodyText"/>
        <w:rPr>
          <w:sz w:val="25"/>
        </w:rPr>
      </w:pPr>
    </w:p>
    <w:p>
      <w:pPr>
        <w:pStyle w:val="BodyText"/>
        <w:ind w:left="1070" w:right="125"/>
      </w:pPr>
      <w:r>
        <w:rPr/>
        <w:t>Impairment</w:t>
      </w:r>
    </w:p>
    <w:p>
      <w:pPr>
        <w:pStyle w:val="BodyText"/>
        <w:spacing w:before="10"/>
        <w:rPr>
          <w:sz w:val="24"/>
        </w:rPr>
      </w:pPr>
    </w:p>
    <w:p>
      <w:pPr>
        <w:pStyle w:val="BodyText"/>
        <w:spacing w:before="1"/>
        <w:ind w:left="1069" w:right="96"/>
      </w:pPr>
      <w:r>
        <w:rPr/>
        <w:t>The Group assesses at each balance date whether there is objective evidence that a financial asset or group of financial assets is impaired. In the case of equity securities classified as available-for-sale, a significant or prolonged decline in the fair value of a security below its cost is considered in determining whether the security is impaired. If any such evidence exists for available-for-sale financial assets, the cumulative loss - measured as the difference between the acquisition cost and the current fair value, less any impairment loss on that financial asset previously recognised in profit and loss - is removed from equity and recognised in the income statement. Impairment losses recognised in the income statement on equity instruments are not reversed through the income statement.</w:t>
      </w:r>
    </w:p>
    <w:p>
      <w:pPr>
        <w:pStyle w:val="BodyText"/>
        <w:spacing w:before="11"/>
        <w:rPr>
          <w:sz w:val="24"/>
        </w:rPr>
      </w:pPr>
    </w:p>
    <w:p>
      <w:pPr>
        <w:pStyle w:val="Heading9"/>
        <w:numPr>
          <w:ilvl w:val="0"/>
          <w:numId w:val="6"/>
        </w:numPr>
        <w:tabs>
          <w:tab w:pos="1071" w:val="left" w:leader="none"/>
        </w:tabs>
        <w:spacing w:line="240" w:lineRule="auto" w:before="0" w:after="0"/>
        <w:ind w:left="1070" w:right="0" w:hanging="566"/>
        <w:jc w:val="left"/>
      </w:pPr>
      <w:r>
        <w:rPr/>
        <w:t>Non-current assets held for sale and discontinued</w:t>
      </w:r>
      <w:r>
        <w:rPr>
          <w:spacing w:val="-1"/>
        </w:rPr>
        <w:t> </w:t>
      </w:r>
      <w:r>
        <w:rPr/>
        <w:t>operations</w:t>
      </w:r>
    </w:p>
    <w:p>
      <w:pPr>
        <w:pStyle w:val="BodyText"/>
        <w:rPr>
          <w:b/>
          <w:sz w:val="25"/>
        </w:rPr>
      </w:pPr>
    </w:p>
    <w:p>
      <w:pPr>
        <w:pStyle w:val="BodyText"/>
        <w:ind w:left="1069" w:right="366"/>
      </w:pPr>
      <w:r>
        <w:rPr/>
        <w:t>Non-current assets (or disposal groups) are classified as held for sale and stated at the lower of their carrying amount and fair value less costs to sell, if their carrying amount will be recovered principally through a sale transaction rather than through continuing use.</w:t>
      </w:r>
    </w:p>
    <w:p>
      <w:pPr>
        <w:pStyle w:val="BodyText"/>
        <w:rPr>
          <w:sz w:val="25"/>
        </w:rPr>
      </w:pPr>
    </w:p>
    <w:p>
      <w:pPr>
        <w:pStyle w:val="BodyText"/>
        <w:ind w:left="1069" w:right="226"/>
      </w:pPr>
      <w:r>
        <w:rPr/>
        <w:t>An impairment loss is recognised for any initial or subsequent write down of the asset (or disposal group) to fair value less costs to sell. A gain is recognised for any subsequent increases in fair value less costs to sell of an asset (or disposal group), but not in excess of any cumulative impairment loss previously recognised. A gain or</w:t>
      </w:r>
    </w:p>
    <w:p>
      <w:pPr>
        <w:spacing w:after="0"/>
        <w:sectPr>
          <w:pgSz w:w="11910" w:h="16840"/>
          <w:pgMar w:header="1038" w:footer="507" w:top="2220" w:bottom="700" w:left="900" w:right="860"/>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596"/>
      </w:pPr>
      <w:r>
        <w:rPr/>
        <w:t>1</w:t>
        <w:tab/>
        <w:t>Summary of Significant Accounting Policies</w:t>
      </w:r>
      <w:r>
        <w:rPr>
          <w:spacing w:val="-5"/>
        </w:rPr>
        <w:t> </w:t>
      </w:r>
      <w:r>
        <w:rPr/>
        <w:t>(continued)</w:t>
      </w:r>
    </w:p>
    <w:p>
      <w:pPr>
        <w:pStyle w:val="BodyText"/>
        <w:spacing w:before="11"/>
        <w:rPr>
          <w:b/>
          <w:sz w:val="24"/>
        </w:rPr>
      </w:pPr>
    </w:p>
    <w:p>
      <w:pPr>
        <w:pStyle w:val="ListParagraph"/>
        <w:numPr>
          <w:ilvl w:val="0"/>
          <w:numId w:val="7"/>
        </w:numPr>
        <w:tabs>
          <w:tab w:pos="1071" w:val="left" w:leader="none"/>
        </w:tabs>
        <w:spacing w:line="207" w:lineRule="exact" w:before="0" w:after="0"/>
        <w:ind w:left="1070" w:right="0" w:hanging="566"/>
        <w:jc w:val="left"/>
        <w:rPr>
          <w:b/>
          <w:sz w:val="18"/>
        </w:rPr>
      </w:pPr>
      <w:r>
        <w:rPr>
          <w:b/>
          <w:sz w:val="18"/>
        </w:rPr>
        <w:t>Non-current assets held for sale and discontinued operations</w:t>
      </w:r>
      <w:r>
        <w:rPr>
          <w:b/>
          <w:spacing w:val="-2"/>
          <w:sz w:val="18"/>
        </w:rPr>
        <w:t> </w:t>
      </w:r>
      <w:r>
        <w:rPr>
          <w:b/>
          <w:sz w:val="18"/>
        </w:rPr>
        <w:t>(continued)</w:t>
      </w:r>
    </w:p>
    <w:p>
      <w:pPr>
        <w:pStyle w:val="BodyText"/>
        <w:ind w:left="1069" w:right="236"/>
      </w:pPr>
      <w:r>
        <w:rPr/>
        <w:t>loss not previously recognised by the date of the sale of the non-current asset (or disposal group) is recognised at the date of derecognition.</w:t>
      </w:r>
    </w:p>
    <w:p>
      <w:pPr>
        <w:pStyle w:val="BodyText"/>
        <w:rPr>
          <w:sz w:val="25"/>
        </w:rPr>
      </w:pPr>
    </w:p>
    <w:p>
      <w:pPr>
        <w:pStyle w:val="BodyText"/>
        <w:ind w:left="1069" w:right="236"/>
      </w:pPr>
      <w:r>
        <w:rPr/>
        <w:t>Non-current assets (including those that are part of a disposal group) are not depreciated or amortised while they are classified as held for sale. Interest and other expenses attributable to the liabilities of a disposal group classified as held for sale continue to be recognised.</w:t>
      </w:r>
    </w:p>
    <w:p>
      <w:pPr>
        <w:pStyle w:val="BodyText"/>
        <w:rPr>
          <w:sz w:val="25"/>
        </w:rPr>
      </w:pPr>
    </w:p>
    <w:p>
      <w:pPr>
        <w:pStyle w:val="BodyText"/>
        <w:ind w:left="1069" w:right="336"/>
      </w:pPr>
      <w:r>
        <w:rPr/>
        <w:t>Non-current assets classified as held for sale and the assets of a disposal group classified as held for sale are presented separately from the other assets in the statement of financial position. The liabilities of a disposal group classified as held for sale are presented separately from other liabilities in the statement of financial position.</w:t>
      </w:r>
    </w:p>
    <w:p>
      <w:pPr>
        <w:pStyle w:val="BodyText"/>
        <w:spacing w:before="10"/>
        <w:rPr>
          <w:sz w:val="24"/>
        </w:rPr>
      </w:pPr>
    </w:p>
    <w:p>
      <w:pPr>
        <w:pStyle w:val="Heading9"/>
        <w:numPr>
          <w:ilvl w:val="0"/>
          <w:numId w:val="7"/>
        </w:numPr>
        <w:tabs>
          <w:tab w:pos="1071" w:val="left" w:leader="none"/>
        </w:tabs>
        <w:spacing w:line="240" w:lineRule="auto" w:before="1" w:after="0"/>
        <w:ind w:left="1070" w:right="0" w:hanging="566"/>
        <w:jc w:val="left"/>
      </w:pPr>
      <w:r>
        <w:rPr/>
        <w:t>Fair value</w:t>
      </w:r>
      <w:r>
        <w:rPr>
          <w:spacing w:val="-1"/>
        </w:rPr>
        <w:t> </w:t>
      </w:r>
      <w:r>
        <w:rPr/>
        <w:t>estimation</w:t>
      </w:r>
    </w:p>
    <w:p>
      <w:pPr>
        <w:pStyle w:val="BodyText"/>
        <w:rPr>
          <w:b/>
          <w:sz w:val="25"/>
        </w:rPr>
      </w:pPr>
    </w:p>
    <w:p>
      <w:pPr>
        <w:pStyle w:val="BodyText"/>
        <w:ind w:left="1070" w:right="305"/>
      </w:pPr>
      <w:r>
        <w:rPr/>
        <w:t>The fair value of financial assets and financial liabilities have been estimated for recognition and measurement or for disclosure purposes.</w:t>
      </w:r>
    </w:p>
    <w:p>
      <w:pPr>
        <w:pStyle w:val="BodyText"/>
        <w:rPr>
          <w:sz w:val="25"/>
        </w:rPr>
      </w:pPr>
    </w:p>
    <w:p>
      <w:pPr>
        <w:pStyle w:val="BodyText"/>
        <w:ind w:left="1070" w:right="165"/>
      </w:pPr>
      <w:r>
        <w:rPr/>
        <w:t>The Group classifies fair value measurements using a fair value hierarchy that reflects the significance of the inputs used in making the measurements. The fair value of financial instruments traded in active markets (such as publicly traded derivatives, and trading and available-for-sale securities) is based on quoted market prices for identical assets or liabilities at the reporting date (Level 1). The quoted market price used for financial assets held by the Group is the last sale price.</w:t>
      </w:r>
    </w:p>
    <w:p>
      <w:pPr>
        <w:pStyle w:val="BodyText"/>
        <w:rPr>
          <w:sz w:val="25"/>
        </w:rPr>
      </w:pPr>
    </w:p>
    <w:p>
      <w:pPr>
        <w:pStyle w:val="BodyText"/>
        <w:ind w:left="1070" w:right="115"/>
      </w:pPr>
      <w:r>
        <w:rPr/>
        <w:t>The fair value of financial instruments that are not traded in an active market is determined using valuation techniques. The Group uses a variety of methods and makes assumptions that are based on market conditions existing at each reporting date. Quoted market prices or dealer quotes for similar instruments (Level 2) are used for long term debt instruments held. Other techniques that are not based on observable market data (Level 3) such as estimated discounted cash flows, are used to determine fair value for the remaining financial instruments. The fair value of interest rate swaps is calculated as the present value of the estimated future cash flows. The fair value of forward exchange contracts is determined using forward exchange market rates at the balance sheet date. The level in the fair value hierarchy shall be determined on the basis of the lowest level input that is significant to the fair value measurement in its entirety.</w:t>
      </w:r>
    </w:p>
    <w:p>
      <w:pPr>
        <w:pStyle w:val="BodyText"/>
        <w:rPr>
          <w:sz w:val="25"/>
        </w:rPr>
      </w:pPr>
    </w:p>
    <w:p>
      <w:pPr>
        <w:pStyle w:val="BodyText"/>
        <w:ind w:left="1070" w:right="445"/>
      </w:pPr>
      <w:r>
        <w:rPr/>
        <w:t>The carrying value less impairment provision of trade receivables and payables are assumed to approximate their fair values due to their short term nature.</w:t>
      </w:r>
    </w:p>
    <w:p>
      <w:pPr>
        <w:pStyle w:val="BodyText"/>
        <w:spacing w:before="10"/>
        <w:rPr>
          <w:sz w:val="24"/>
        </w:rPr>
      </w:pPr>
    </w:p>
    <w:p>
      <w:pPr>
        <w:pStyle w:val="Heading9"/>
        <w:numPr>
          <w:ilvl w:val="0"/>
          <w:numId w:val="7"/>
        </w:numPr>
        <w:tabs>
          <w:tab w:pos="1071" w:val="left" w:leader="none"/>
        </w:tabs>
        <w:spacing w:line="240" w:lineRule="auto" w:before="0" w:after="0"/>
        <w:ind w:left="1070" w:right="0" w:hanging="566"/>
        <w:jc w:val="left"/>
      </w:pPr>
      <w:r>
        <w:rPr/>
        <w:t>Property, Plant and Equipment</w:t>
      </w:r>
    </w:p>
    <w:p>
      <w:pPr>
        <w:pStyle w:val="BodyText"/>
        <w:rPr>
          <w:b/>
          <w:sz w:val="25"/>
        </w:rPr>
      </w:pPr>
    </w:p>
    <w:p>
      <w:pPr>
        <w:pStyle w:val="BodyText"/>
        <w:ind w:left="1070" w:right="123"/>
      </w:pPr>
      <w:r>
        <w:rPr/>
        <w:t>Land, buildings and the total art collection of $5,000 and above are capitalised and shown at fair value, based on periodic, but at least triennial, valuations by external independent valuers, less subsequent depreciation for buildings. Any accumulated depreciation at the date of revaluation is eliminated against the gross carrying amount of the asset and the net amount is restated to the revalued amount of the asset.</w:t>
      </w:r>
    </w:p>
    <w:p>
      <w:pPr>
        <w:pStyle w:val="BodyText"/>
        <w:rPr>
          <w:sz w:val="25"/>
        </w:rPr>
      </w:pPr>
    </w:p>
    <w:p>
      <w:pPr>
        <w:pStyle w:val="BodyText"/>
        <w:ind w:left="1070" w:right="245"/>
      </w:pPr>
      <w:r>
        <w:rPr/>
        <w:t>Valuation for land and new and refurbished buildings was undertaken as at 31 December 2012 by Global Valuation Services Pty Ltd. Land was revalued on the basis of current existing use. New buildings completed in 2012 prior to the revaluation and existing buildings with 2012 refurbishments completed prior to the revaluation were subject to a full revaluation. Indexation was applied to the remainder of existing buildings that were not subject to construction works at the time of the revaluation.</w:t>
      </w:r>
    </w:p>
    <w:p>
      <w:pPr>
        <w:pStyle w:val="BodyText"/>
        <w:rPr>
          <w:sz w:val="25"/>
        </w:rPr>
      </w:pPr>
    </w:p>
    <w:p>
      <w:pPr>
        <w:pStyle w:val="BodyText"/>
        <w:ind w:left="1070" w:right="194"/>
      </w:pPr>
      <w:r>
        <w:rPr/>
        <w:t>For non completed assets, prior to revaluation construction costs totalling $93.361M (including refurbished buildings totalling $32.670M and new builidngs totalling $60.691M) were capitalised subsequent to the buildings revaluation.  The scope of the valuation did not include revaluation of these buildings.  The value of these</w:t>
      </w:r>
    </w:p>
    <w:p>
      <w:pPr>
        <w:spacing w:after="0"/>
        <w:sectPr>
          <w:pgSz w:w="11910" w:h="16840"/>
          <w:pgMar w:header="1038" w:footer="507" w:top="2220" w:bottom="700" w:left="900" w:right="840"/>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125"/>
      </w:pPr>
      <w:r>
        <w:rPr/>
        <w:t>1</w:t>
        <w:tab/>
        <w:t>Summary of Significant Accounting Policies</w:t>
      </w:r>
      <w:r>
        <w:rPr>
          <w:spacing w:val="-5"/>
        </w:rPr>
        <w:t> </w:t>
      </w:r>
      <w:r>
        <w:rPr/>
        <w:t>(continued)</w:t>
      </w:r>
    </w:p>
    <w:p>
      <w:pPr>
        <w:pStyle w:val="BodyText"/>
        <w:spacing w:before="11"/>
        <w:rPr>
          <w:b/>
          <w:sz w:val="24"/>
        </w:rPr>
      </w:pPr>
    </w:p>
    <w:p>
      <w:pPr>
        <w:tabs>
          <w:tab w:pos="1070" w:val="left" w:leader="none"/>
        </w:tabs>
        <w:spacing w:line="207" w:lineRule="exact" w:before="0"/>
        <w:ind w:left="504" w:right="125" w:firstLine="0"/>
        <w:jc w:val="left"/>
        <w:rPr>
          <w:b/>
          <w:sz w:val="18"/>
        </w:rPr>
      </w:pPr>
      <w:r>
        <w:rPr>
          <w:b/>
          <w:sz w:val="18"/>
        </w:rPr>
        <w:t>(p)</w:t>
        <w:tab/>
        <w:t>Property, Plant and Equipment</w:t>
      </w:r>
      <w:r>
        <w:rPr>
          <w:b/>
          <w:spacing w:val="-2"/>
          <w:sz w:val="18"/>
        </w:rPr>
        <w:t> </w:t>
      </w:r>
      <w:r>
        <w:rPr>
          <w:b/>
          <w:sz w:val="18"/>
        </w:rPr>
        <w:t>(continued)</w:t>
      </w:r>
    </w:p>
    <w:p>
      <w:pPr>
        <w:pStyle w:val="BodyText"/>
        <w:ind w:left="1070" w:right="274"/>
      </w:pPr>
      <w:r>
        <w:rPr/>
        <w:t>refurbished buildings is based on the 31 December 2011 revaluation by Global Valuation Services Pty Ltd plus the construction costs capitalised in late 2012. The value of the new buildings is the written down value of the construction costs capitalised in late 2012.</w:t>
      </w:r>
    </w:p>
    <w:p>
      <w:pPr>
        <w:pStyle w:val="BodyText"/>
        <w:rPr>
          <w:sz w:val="25"/>
        </w:rPr>
      </w:pPr>
    </w:p>
    <w:p>
      <w:pPr>
        <w:pStyle w:val="BodyText"/>
        <w:ind w:left="1070" w:right="185"/>
      </w:pPr>
      <w:r>
        <w:rPr/>
        <w:t>The Group undertakes a regular review of its land holdings in light of the future academic footprint of the University. Re evaluation may be undertaken from time to time on land originally designated for educational use with a view to realising monies to fund infrastructure requirements via sale and or joint development, following appropriate re zoning of the land to allow alternate uses.</w:t>
      </w:r>
    </w:p>
    <w:p>
      <w:pPr>
        <w:pStyle w:val="BodyText"/>
        <w:rPr>
          <w:sz w:val="25"/>
        </w:rPr>
      </w:pPr>
    </w:p>
    <w:p>
      <w:pPr>
        <w:pStyle w:val="BodyText"/>
        <w:ind w:left="1070" w:right="184"/>
      </w:pPr>
      <w:r>
        <w:rPr/>
        <w:t>The fair value of land is the amount for which the land could be exchanged between willing parties in an arms length transaction, based on market prices for similar properties, with similar zoning, in comparable locations and condition. The Group expects that the fair value of land already rezoned to allow for alternate use shall be different to land available for educational use only. Valuers engaged to determine the fair value of the land have taken into account the intended use and ultimate disposal of the land, as applicable.</w:t>
      </w:r>
    </w:p>
    <w:p>
      <w:pPr>
        <w:pStyle w:val="BodyText"/>
        <w:rPr>
          <w:sz w:val="25"/>
        </w:rPr>
      </w:pPr>
    </w:p>
    <w:p>
      <w:pPr>
        <w:pStyle w:val="BodyText"/>
        <w:ind w:left="1070" w:right="144"/>
      </w:pPr>
      <w:r>
        <w:rPr/>
        <w:t>Due to the specialised nature of buildings and the lack of directly comparable sales evidence, the 31 December 2012 valuation for new and refurbished buildings was undertaken utilising the Summation Valuation approach, whereby the cost to construct improvements as new is estimated and that amount depreciated, after taking into consideration the nature and design of the improvements, their age and the current condition. In determining the value for each building the exterior dimensions of each building were calculated from the detailed room specifications maintained by the University and extrapolated by the valuer's knowledge of current building rates on a square metre basis. The resultant value as at reporting date was then adjusted for the estimated remaining useful life of each building. The Depreciated Replacement Cost of the improvements was then added to the underlying land value, which was derived after analysis of comparable sales evidence.</w:t>
      </w:r>
    </w:p>
    <w:p>
      <w:pPr>
        <w:pStyle w:val="BodyText"/>
        <w:rPr>
          <w:sz w:val="25"/>
        </w:rPr>
      </w:pPr>
    </w:p>
    <w:p>
      <w:pPr>
        <w:pStyle w:val="BodyText"/>
        <w:ind w:left="1070" w:right="104"/>
      </w:pPr>
      <w:r>
        <w:rPr/>
        <w:t>In valuing the art collection, McWilliam and Associates Pty Ltd utilised certain historical facts and relevant market data available up to the date of the valuation. The most recent valuation was completed as at 31 December 2010.</w:t>
      </w:r>
    </w:p>
    <w:p>
      <w:pPr>
        <w:pStyle w:val="BodyText"/>
        <w:rPr>
          <w:sz w:val="25"/>
        </w:rPr>
      </w:pPr>
    </w:p>
    <w:p>
      <w:pPr>
        <w:pStyle w:val="BodyText"/>
        <w:ind w:left="1070" w:right="335"/>
      </w:pPr>
      <w:r>
        <w:rPr/>
        <w:t>All other plant and equipment is stated at historical cost less depreciation. Historical cost includes expenditure that is directly attributable to the acquisition of the items.</w:t>
      </w:r>
    </w:p>
    <w:p>
      <w:pPr>
        <w:pStyle w:val="BodyText"/>
        <w:rPr>
          <w:sz w:val="25"/>
        </w:rPr>
      </w:pPr>
    </w:p>
    <w:p>
      <w:pPr>
        <w:pStyle w:val="BodyText"/>
        <w:ind w:left="1070" w:right="94"/>
      </w:pPr>
      <w:r>
        <w:rPr/>
        <w:t>Subsequent costs are included in the asset’s carrying amount or recognised as a separate asset, as appropriate, only when it is probable that future economic benefits associated with the item will flow to the Group and the cost of the item can be measured reliably. All other costs are charged to the income statement during the financial period in which they are incurred.</w:t>
      </w:r>
    </w:p>
    <w:p>
      <w:pPr>
        <w:pStyle w:val="BodyText"/>
        <w:rPr>
          <w:sz w:val="25"/>
        </w:rPr>
      </w:pPr>
    </w:p>
    <w:p>
      <w:pPr>
        <w:pStyle w:val="BodyText"/>
        <w:ind w:left="1070" w:right="125"/>
      </w:pPr>
      <w:r>
        <w:rPr/>
        <w:t>Increases in the carrying amounts arising on revaluation of land and buildings are recognised in other comprehensive income and accumulated equity under the heading of revaluation surplus. To the extent that the increase reverses a decrease previously recognised in the income statement, the increase is first recognised in the income statement. Decreases that reverse previous increases of the same class of asset are firstly recognised in other comprehensive income before reducing the balance of revaluation surplus in equity, to the extent of the remaining reserve attributable to the asset; all other decreases are expensed in the income statement.</w:t>
      </w:r>
    </w:p>
    <w:p>
      <w:pPr>
        <w:spacing w:after="0"/>
        <w:sectPr>
          <w:footerReference w:type="default" r:id="rId64"/>
          <w:pgSz w:w="11910" w:h="16840"/>
          <w:pgMar w:footer="507" w:header="1038" w:top="2220" w:bottom="700" w:left="900" w:right="860"/>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128"/>
      </w:pPr>
      <w:r>
        <w:rPr/>
        <w:t>1</w:t>
        <w:tab/>
        <w:t>Summary of Significant Accounting Policies</w:t>
      </w:r>
      <w:r>
        <w:rPr>
          <w:spacing w:val="-5"/>
        </w:rPr>
        <w:t> </w:t>
      </w:r>
      <w:r>
        <w:rPr/>
        <w:t>(continued)</w:t>
      </w:r>
    </w:p>
    <w:p>
      <w:pPr>
        <w:pStyle w:val="BodyText"/>
        <w:spacing w:before="11"/>
        <w:rPr>
          <w:b/>
          <w:sz w:val="24"/>
        </w:rPr>
      </w:pPr>
    </w:p>
    <w:p>
      <w:pPr>
        <w:pStyle w:val="ListParagraph"/>
        <w:numPr>
          <w:ilvl w:val="0"/>
          <w:numId w:val="8"/>
        </w:numPr>
        <w:tabs>
          <w:tab w:pos="1071" w:val="left" w:leader="none"/>
        </w:tabs>
        <w:spacing w:line="207" w:lineRule="exact" w:before="0" w:after="0"/>
        <w:ind w:left="1070" w:right="0" w:hanging="566"/>
        <w:jc w:val="left"/>
        <w:rPr>
          <w:b/>
          <w:sz w:val="18"/>
        </w:rPr>
      </w:pPr>
      <w:r>
        <w:rPr>
          <w:b/>
          <w:sz w:val="18"/>
        </w:rPr>
        <w:t>Property, Plant and Equipment</w:t>
      </w:r>
      <w:r>
        <w:rPr>
          <w:b/>
          <w:spacing w:val="-2"/>
          <w:sz w:val="18"/>
        </w:rPr>
        <w:t> </w:t>
      </w:r>
      <w:r>
        <w:rPr>
          <w:b/>
          <w:sz w:val="18"/>
        </w:rPr>
        <w:t>(continued)</w:t>
      </w:r>
    </w:p>
    <w:p>
      <w:pPr>
        <w:pStyle w:val="BodyText"/>
        <w:ind w:left="1070"/>
      </w:pPr>
      <w:r>
        <w:rPr/>
        <w:t>Land and the art collection are not depreciated. Depreciation on other assets is calculated using the straight line method to allocate their cost or revalued amounts, over their estimated useful lives, as follows:</w:t>
      </w:r>
    </w:p>
    <w:p>
      <w:pPr>
        <w:pStyle w:val="BodyText"/>
      </w:pPr>
    </w:p>
    <w:p>
      <w:pPr>
        <w:pStyle w:val="BodyText"/>
      </w:pPr>
    </w:p>
    <w:p>
      <w:pPr>
        <w:pStyle w:val="BodyText"/>
        <w:tabs>
          <w:tab w:pos="4652" w:val="left" w:leader="none"/>
        </w:tabs>
        <w:spacing w:line="307" w:lineRule="auto" w:before="108"/>
        <w:ind w:left="1070" w:right="4879" w:firstLine="3582"/>
      </w:pPr>
      <w:r>
        <w:rPr/>
        <w:t>Life Computing (Mainframe</w:t>
      </w:r>
      <w:r>
        <w:rPr>
          <w:spacing w:val="-1"/>
        </w:rPr>
        <w:t> </w:t>
      </w:r>
      <w:r>
        <w:rPr/>
        <w:t>&amp;</w:t>
      </w:r>
      <w:r>
        <w:rPr>
          <w:spacing w:val="-1"/>
        </w:rPr>
        <w:t> </w:t>
      </w:r>
      <w:r>
        <w:rPr/>
        <w:t>Networking)</w:t>
        <w:tab/>
        <w:t>4</w:t>
      </w:r>
      <w:r>
        <w:rPr>
          <w:spacing w:val="-1"/>
        </w:rPr>
        <w:t> </w:t>
      </w:r>
      <w:r>
        <w:rPr/>
        <w:t>years</w:t>
      </w:r>
      <w:r>
        <w:rPr>
          <w:w w:val="99"/>
        </w:rPr>
        <w:t> </w:t>
      </w:r>
      <w:r>
        <w:rPr/>
        <w:t>Computing</w:t>
      </w:r>
      <w:r>
        <w:rPr>
          <w:spacing w:val="-1"/>
        </w:rPr>
        <w:t> </w:t>
      </w:r>
      <w:r>
        <w:rPr/>
        <w:t>(Other)</w:t>
        <w:tab/>
        <w:t>3</w:t>
      </w:r>
      <w:r>
        <w:rPr>
          <w:spacing w:val="-1"/>
        </w:rPr>
        <w:t> </w:t>
      </w:r>
      <w:r>
        <w:rPr/>
        <w:t>years</w:t>
      </w:r>
    </w:p>
    <w:p>
      <w:pPr>
        <w:pStyle w:val="BodyText"/>
        <w:tabs>
          <w:tab w:pos="4652" w:val="left" w:leader="none"/>
        </w:tabs>
        <w:ind w:left="1070" w:right="128"/>
      </w:pPr>
      <w:r>
        <w:rPr/>
        <w:t>Vehicles</w:t>
        <w:tab/>
        <w:t>6-7</w:t>
      </w:r>
      <w:r>
        <w:rPr>
          <w:spacing w:val="-1"/>
        </w:rPr>
        <w:t> </w:t>
      </w:r>
      <w:r>
        <w:rPr/>
        <w:t>years</w:t>
      </w:r>
    </w:p>
    <w:p>
      <w:pPr>
        <w:pStyle w:val="BodyText"/>
        <w:tabs>
          <w:tab w:pos="4652" w:val="left" w:leader="none"/>
        </w:tabs>
        <w:spacing w:before="57"/>
        <w:ind w:left="1070" w:right="128"/>
      </w:pPr>
      <w:r>
        <w:rPr/>
        <w:t>Scientific</w:t>
        <w:tab/>
        <w:t>10</w:t>
      </w:r>
      <w:r>
        <w:rPr>
          <w:spacing w:val="-1"/>
        </w:rPr>
        <w:t> </w:t>
      </w:r>
      <w:r>
        <w:rPr/>
        <w:t>years</w:t>
      </w:r>
    </w:p>
    <w:p>
      <w:pPr>
        <w:pStyle w:val="BodyText"/>
        <w:tabs>
          <w:tab w:pos="4652" w:val="left" w:leader="none"/>
        </w:tabs>
        <w:spacing w:before="57"/>
        <w:ind w:left="1070" w:right="128"/>
      </w:pPr>
      <w:r>
        <w:rPr/>
        <w:t>Audio</w:t>
      </w:r>
      <w:r>
        <w:rPr>
          <w:spacing w:val="-1"/>
        </w:rPr>
        <w:t> </w:t>
      </w:r>
      <w:r>
        <w:rPr/>
        <w:t>visual</w:t>
        <w:tab/>
        <w:t>10</w:t>
      </w:r>
      <w:r>
        <w:rPr>
          <w:spacing w:val="-1"/>
        </w:rPr>
        <w:t> </w:t>
      </w:r>
      <w:r>
        <w:rPr/>
        <w:t>years</w:t>
      </w:r>
    </w:p>
    <w:p>
      <w:pPr>
        <w:pStyle w:val="BodyText"/>
        <w:tabs>
          <w:tab w:pos="4652" w:val="left" w:leader="none"/>
        </w:tabs>
        <w:spacing w:before="57"/>
        <w:ind w:left="1070" w:right="128"/>
      </w:pPr>
      <w:r>
        <w:rPr/>
        <w:t>Printing</w:t>
        <w:tab/>
        <w:t>10</w:t>
      </w:r>
      <w:r>
        <w:rPr>
          <w:spacing w:val="-1"/>
        </w:rPr>
        <w:t> </w:t>
      </w:r>
      <w:r>
        <w:rPr/>
        <w:t>years</w:t>
      </w:r>
    </w:p>
    <w:p>
      <w:pPr>
        <w:pStyle w:val="BodyText"/>
        <w:tabs>
          <w:tab w:pos="4652" w:val="left" w:leader="none"/>
        </w:tabs>
        <w:spacing w:before="57"/>
        <w:ind w:left="1070" w:right="128"/>
      </w:pPr>
      <w:r>
        <w:rPr/>
        <w:t>Other</w:t>
        <w:tab/>
        <w:t>10-20</w:t>
      </w:r>
      <w:r>
        <w:rPr>
          <w:spacing w:val="-1"/>
        </w:rPr>
        <w:t> </w:t>
      </w:r>
      <w:r>
        <w:rPr/>
        <w:t>years</w:t>
      </w:r>
    </w:p>
    <w:p>
      <w:pPr>
        <w:pStyle w:val="BodyText"/>
        <w:spacing w:line="207" w:lineRule="exact" w:before="54"/>
        <w:ind w:left="1070" w:right="128"/>
      </w:pPr>
      <w:r>
        <w:rPr/>
        <w:t>Buildings (except where a limit of useful life</w:t>
      </w:r>
    </w:p>
    <w:p>
      <w:pPr>
        <w:pStyle w:val="BodyText"/>
        <w:tabs>
          <w:tab w:pos="4652" w:val="left" w:leader="none"/>
        </w:tabs>
        <w:spacing w:line="207" w:lineRule="exact"/>
        <w:ind w:left="1070" w:right="128"/>
      </w:pPr>
      <w:r>
        <w:rPr/>
        <w:t>of a building has</w:t>
      </w:r>
      <w:r>
        <w:rPr>
          <w:spacing w:val="-1"/>
        </w:rPr>
        <w:t> </w:t>
      </w:r>
      <w:r>
        <w:rPr/>
        <w:t>been</w:t>
      </w:r>
      <w:r>
        <w:rPr>
          <w:spacing w:val="-1"/>
        </w:rPr>
        <w:t> </w:t>
      </w:r>
      <w:r>
        <w:rPr/>
        <w:t>identified)</w:t>
        <w:tab/>
        <w:t>5-60</w:t>
      </w:r>
      <w:r>
        <w:rPr>
          <w:spacing w:val="-1"/>
        </w:rPr>
        <w:t> </w:t>
      </w:r>
      <w:r>
        <w:rPr/>
        <w:t>years</w:t>
      </w:r>
    </w:p>
    <w:p>
      <w:pPr>
        <w:pStyle w:val="BodyText"/>
        <w:tabs>
          <w:tab w:pos="4652" w:val="left" w:leader="none"/>
        </w:tabs>
        <w:spacing w:before="57"/>
        <w:ind w:left="1070" w:right="128"/>
      </w:pPr>
      <w:r>
        <w:rPr/>
        <w:t>Library</w:t>
      </w:r>
      <w:r>
        <w:rPr>
          <w:spacing w:val="-1"/>
        </w:rPr>
        <w:t> </w:t>
      </w:r>
      <w:r>
        <w:rPr/>
        <w:t>Collection</w:t>
        <w:tab/>
        <w:t>5</w:t>
      </w:r>
      <w:r>
        <w:rPr>
          <w:spacing w:val="-1"/>
        </w:rPr>
        <w:t> </w:t>
      </w:r>
      <w:r>
        <w:rPr/>
        <w:t>years</w:t>
      </w:r>
    </w:p>
    <w:p>
      <w:pPr>
        <w:pStyle w:val="BodyText"/>
        <w:tabs>
          <w:tab w:pos="4652" w:val="left" w:leader="none"/>
        </w:tabs>
        <w:spacing w:before="57"/>
        <w:ind w:left="1070" w:right="128"/>
      </w:pPr>
      <w:r>
        <w:rPr/>
        <w:t>Leasehold</w:t>
      </w:r>
      <w:r>
        <w:rPr>
          <w:spacing w:val="-1"/>
        </w:rPr>
        <w:t> </w:t>
      </w:r>
      <w:r>
        <w:rPr/>
        <w:t>Improvements</w:t>
        <w:tab/>
        <w:t>2-6</w:t>
      </w:r>
      <w:r>
        <w:rPr>
          <w:spacing w:val="-1"/>
        </w:rPr>
        <w:t> </w:t>
      </w:r>
      <w:r>
        <w:rPr/>
        <w:t>years</w:t>
      </w:r>
    </w:p>
    <w:p>
      <w:pPr>
        <w:pStyle w:val="BodyText"/>
      </w:pPr>
    </w:p>
    <w:p>
      <w:pPr>
        <w:pStyle w:val="BodyText"/>
        <w:spacing w:before="108"/>
        <w:ind w:left="1070" w:right="204"/>
      </w:pPr>
      <w:r>
        <w:rPr/>
        <w:t>Leasehold improvements are depreciated over the shorter of the unexpired period of the lease or the estimated life of the improvements.</w:t>
      </w:r>
    </w:p>
    <w:p>
      <w:pPr>
        <w:pStyle w:val="BodyText"/>
        <w:rPr>
          <w:sz w:val="25"/>
        </w:rPr>
      </w:pPr>
    </w:p>
    <w:p>
      <w:pPr>
        <w:pStyle w:val="BodyText"/>
        <w:ind w:left="1070" w:right="128"/>
      </w:pPr>
      <w:r>
        <w:rPr/>
        <w:t>The assets’ residual values and useful lives are reviewed, and adjusted if appropriate, at each reporting date.</w:t>
      </w:r>
    </w:p>
    <w:p>
      <w:pPr>
        <w:pStyle w:val="BodyText"/>
        <w:rPr>
          <w:sz w:val="25"/>
        </w:rPr>
      </w:pPr>
    </w:p>
    <w:p>
      <w:pPr>
        <w:pStyle w:val="BodyText"/>
        <w:ind w:left="1070" w:right="156"/>
      </w:pPr>
      <w:r>
        <w:rPr/>
        <w:t>An asset’s carrying amount is written down immediately to its recoverable amount if the asset’s carrying amount is greater than its estimated recoverable amount.</w:t>
      </w:r>
    </w:p>
    <w:p>
      <w:pPr>
        <w:pStyle w:val="BodyText"/>
        <w:rPr>
          <w:sz w:val="25"/>
        </w:rPr>
      </w:pPr>
    </w:p>
    <w:p>
      <w:pPr>
        <w:pStyle w:val="BodyText"/>
        <w:ind w:left="1070" w:right="128"/>
      </w:pPr>
      <w:r>
        <w:rPr/>
        <w:t>Gains and losses on disposals are determined by comparing proceeds with carrying amounts. These are included in the income statement. When revalued assets are sold, it is Group policy to transfer the amounts in reserves in respect of those assets to retained earnings.</w:t>
      </w:r>
    </w:p>
    <w:p>
      <w:pPr>
        <w:pStyle w:val="BodyText"/>
        <w:spacing w:before="11"/>
        <w:rPr>
          <w:sz w:val="24"/>
        </w:rPr>
      </w:pPr>
    </w:p>
    <w:p>
      <w:pPr>
        <w:pStyle w:val="Heading9"/>
        <w:numPr>
          <w:ilvl w:val="0"/>
          <w:numId w:val="8"/>
        </w:numPr>
        <w:tabs>
          <w:tab w:pos="1071" w:val="left" w:leader="none"/>
        </w:tabs>
        <w:spacing w:line="240" w:lineRule="auto" w:before="0" w:after="0"/>
        <w:ind w:left="1070" w:right="0" w:hanging="566"/>
        <w:jc w:val="left"/>
      </w:pPr>
      <w:r>
        <w:rPr/>
        <w:t>Livestock</w:t>
      </w:r>
    </w:p>
    <w:p>
      <w:pPr>
        <w:pStyle w:val="BodyText"/>
        <w:spacing w:before="11"/>
        <w:rPr>
          <w:b/>
          <w:sz w:val="24"/>
        </w:rPr>
      </w:pPr>
    </w:p>
    <w:p>
      <w:pPr>
        <w:pStyle w:val="BodyText"/>
        <w:ind w:left="1070" w:right="265"/>
      </w:pPr>
      <w:r>
        <w:rPr/>
        <w:t>The University maintains livestock for research, teaching and commercial purposes. Livestock is valued on the fair value basis based on current market price. A stocktake of livestock holdings was undertaken at year end.</w:t>
      </w:r>
    </w:p>
    <w:p>
      <w:pPr>
        <w:pStyle w:val="BodyText"/>
        <w:spacing w:before="11"/>
        <w:rPr>
          <w:sz w:val="24"/>
        </w:rPr>
      </w:pPr>
    </w:p>
    <w:p>
      <w:pPr>
        <w:pStyle w:val="Heading9"/>
        <w:numPr>
          <w:ilvl w:val="0"/>
          <w:numId w:val="8"/>
        </w:numPr>
        <w:tabs>
          <w:tab w:pos="1071" w:val="left" w:leader="none"/>
        </w:tabs>
        <w:spacing w:line="240" w:lineRule="auto" w:before="0" w:after="0"/>
        <w:ind w:left="1070" w:right="0" w:hanging="566"/>
        <w:jc w:val="left"/>
      </w:pPr>
      <w:r>
        <w:rPr/>
        <w:t>Intangible</w:t>
      </w:r>
      <w:r>
        <w:rPr>
          <w:spacing w:val="-2"/>
        </w:rPr>
        <w:t> </w:t>
      </w:r>
      <w:r>
        <w:rPr/>
        <w:t>Assets</w:t>
      </w:r>
    </w:p>
    <w:p>
      <w:pPr>
        <w:pStyle w:val="BodyText"/>
        <w:rPr>
          <w:b/>
          <w:sz w:val="25"/>
        </w:rPr>
      </w:pPr>
    </w:p>
    <w:p>
      <w:pPr>
        <w:pStyle w:val="ListParagraph"/>
        <w:numPr>
          <w:ilvl w:val="1"/>
          <w:numId w:val="8"/>
        </w:numPr>
        <w:tabs>
          <w:tab w:pos="1224" w:val="left" w:leader="none"/>
        </w:tabs>
        <w:spacing w:line="240" w:lineRule="auto" w:before="0" w:after="0"/>
        <w:ind w:left="1223" w:right="0" w:hanging="210"/>
        <w:jc w:val="left"/>
        <w:rPr>
          <w:i/>
          <w:sz w:val="18"/>
        </w:rPr>
      </w:pPr>
      <w:r>
        <w:rPr>
          <w:i/>
          <w:sz w:val="18"/>
        </w:rPr>
        <w:t>Licences</w:t>
      </w:r>
    </w:p>
    <w:p>
      <w:pPr>
        <w:pStyle w:val="BodyText"/>
        <w:spacing w:before="11"/>
        <w:rPr>
          <w:i/>
          <w:sz w:val="24"/>
        </w:rPr>
      </w:pPr>
    </w:p>
    <w:p>
      <w:pPr>
        <w:pStyle w:val="BodyText"/>
        <w:ind w:left="1070" w:right="495"/>
      </w:pPr>
      <w:r>
        <w:rPr/>
        <w:t>Licences have a finite useful life and are carried at fair value less accumulated amortisation and impairment losses. Amortisation is calculated using the straight line method to allocate the cost of licences across their estimated useful life of 5 years (note 19).</w:t>
      </w:r>
    </w:p>
    <w:p>
      <w:pPr>
        <w:spacing w:after="0"/>
        <w:sectPr>
          <w:footerReference w:type="default" r:id="rId65"/>
          <w:pgSz w:w="11910" w:h="16840"/>
          <w:pgMar w:footer="507" w:header="1038" w:top="2220" w:bottom="700" w:left="900" w:right="880"/>
          <w:pgNumType w:start="21"/>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596"/>
      </w:pPr>
      <w:r>
        <w:rPr/>
        <w:t>1</w:t>
        <w:tab/>
        <w:t>Summary of Significant Accounting Policies</w:t>
      </w:r>
      <w:r>
        <w:rPr>
          <w:spacing w:val="-5"/>
        </w:rPr>
        <w:t> </w:t>
      </w:r>
      <w:r>
        <w:rPr/>
        <w:t>(continued)</w:t>
      </w:r>
    </w:p>
    <w:p>
      <w:pPr>
        <w:pStyle w:val="BodyText"/>
        <w:spacing w:before="11"/>
        <w:rPr>
          <w:b/>
          <w:sz w:val="24"/>
        </w:rPr>
      </w:pPr>
    </w:p>
    <w:p>
      <w:pPr>
        <w:pStyle w:val="ListParagraph"/>
        <w:numPr>
          <w:ilvl w:val="0"/>
          <w:numId w:val="8"/>
        </w:numPr>
        <w:tabs>
          <w:tab w:pos="1071" w:val="left" w:leader="none"/>
        </w:tabs>
        <w:spacing w:line="240" w:lineRule="auto" w:before="0" w:after="0"/>
        <w:ind w:left="1070" w:right="0" w:hanging="566"/>
        <w:jc w:val="left"/>
        <w:rPr>
          <w:b/>
          <w:sz w:val="18"/>
        </w:rPr>
      </w:pPr>
      <w:r>
        <w:rPr>
          <w:b/>
          <w:sz w:val="18"/>
        </w:rPr>
        <w:t>Unfunded Superannuation</w:t>
      </w:r>
    </w:p>
    <w:p>
      <w:pPr>
        <w:pStyle w:val="BodyText"/>
        <w:rPr>
          <w:b/>
          <w:sz w:val="25"/>
        </w:rPr>
      </w:pPr>
    </w:p>
    <w:p>
      <w:pPr>
        <w:pStyle w:val="BodyText"/>
        <w:ind w:left="1070" w:right="165"/>
      </w:pPr>
      <w:r>
        <w:rPr/>
        <w:t>In accordance with the 1998 instructions issued by the Department of Education, Training and Youth Affairs (DETYA) now known as DIISRTE, the effects of the unfunded superannuation liabilities of University of Western Sydney and its controlled entities were recorded in the income statement and the statement of financial position for the first time in 1998. The prior years’ practice had been to disclose liabilities by way of a note to the financial statements.</w:t>
      </w:r>
    </w:p>
    <w:p>
      <w:pPr>
        <w:pStyle w:val="BodyText"/>
        <w:rPr>
          <w:sz w:val="25"/>
        </w:rPr>
      </w:pPr>
    </w:p>
    <w:p>
      <w:pPr>
        <w:pStyle w:val="BodyText"/>
        <w:ind w:left="1070" w:right="444"/>
      </w:pPr>
      <w:r>
        <w:rPr/>
        <w:t>An arrangement exists between the Australian Government and the State Government to meet the unfunded liability for the University of Western Sydney’s beneficiaries of the State Superannuation Schemes, on an emerging cost basis.</w:t>
      </w:r>
    </w:p>
    <w:p>
      <w:pPr>
        <w:pStyle w:val="BodyText"/>
        <w:rPr>
          <w:sz w:val="25"/>
        </w:rPr>
      </w:pPr>
    </w:p>
    <w:p>
      <w:pPr>
        <w:pStyle w:val="BodyText"/>
        <w:spacing w:line="207" w:lineRule="exact"/>
        <w:ind w:left="1070" w:right="104"/>
      </w:pPr>
      <w:r>
        <w:rPr/>
        <w:t>The unfunded liabilities have been recognised in the statement of financial position under provisions (note 24 -</w:t>
      </w:r>
    </w:p>
    <w:p>
      <w:pPr>
        <w:pStyle w:val="BodyText"/>
        <w:ind w:left="1070" w:right="128"/>
      </w:pPr>
      <w:r>
        <w:rPr/>
        <w:t>$259.4M) with an asset recognised under receivables (note 16 - $256.1M). The balance of the SANCS unfunded liability was previously recognised as a receivable. In 2009, the balance in this scheme ($2.270M) was expensed following confirmation the liability would not be funded by the Australian Government. In 2012, the increase in the SANCS unfunded liability ($0.043M) (2011: $0.831M) was</w:t>
      </w:r>
      <w:r>
        <w:rPr>
          <w:spacing w:val="-1"/>
        </w:rPr>
        <w:t> </w:t>
      </w:r>
      <w:r>
        <w:rPr/>
        <w:t>expensed.</w:t>
      </w:r>
    </w:p>
    <w:p>
      <w:pPr>
        <w:pStyle w:val="BodyText"/>
        <w:rPr>
          <w:sz w:val="25"/>
        </w:rPr>
      </w:pPr>
    </w:p>
    <w:p>
      <w:pPr>
        <w:pStyle w:val="BodyText"/>
        <w:ind w:left="1070" w:right="114"/>
      </w:pPr>
      <w:r>
        <w:rPr/>
        <w:t>Mercer Human Resource Consulting Ltd assessed the gross superannuation liabilities for the defined benefits schemes administered by the SAS Trustee Corporation for the year ended 31 December 2011 and 31 December 2012. These schemes included the State Superannuation Scheme, the State Authorities Superannuation Scheme and the State Authorities Non Contributory Superannuation Scheme. This assessment was based on the full requirements of AASB 119. See note 36 for full details of the University’s unfunded superannuation position.</w:t>
      </w:r>
    </w:p>
    <w:p>
      <w:pPr>
        <w:pStyle w:val="BodyText"/>
        <w:rPr>
          <w:sz w:val="25"/>
        </w:rPr>
      </w:pPr>
    </w:p>
    <w:p>
      <w:pPr>
        <w:pStyle w:val="BodyText"/>
        <w:ind w:left="1070"/>
      </w:pPr>
      <w:r>
        <w:rPr/>
        <w:t>The actuary reported a substantial liability increase of $24.7M as at 31 December 2012 (2011: $88.9M increase).</w:t>
      </w:r>
    </w:p>
    <w:p>
      <w:pPr>
        <w:pStyle w:val="BodyText"/>
        <w:rPr>
          <w:sz w:val="25"/>
        </w:rPr>
      </w:pPr>
    </w:p>
    <w:p>
      <w:pPr>
        <w:pStyle w:val="BodyText"/>
        <w:ind w:left="1070" w:right="655"/>
      </w:pPr>
      <w:r>
        <w:rPr/>
        <w:t>The University of Western Sydney also contributes to Unisuper (formerly Superannuation for Australian Universities [SSAU]) for academic staff appointed since 1 March 1988 and all other staff from 1 July 1991. Unisuper is a fully funded scheme and hence is not subject to deferred liability variations.</w:t>
      </w:r>
    </w:p>
    <w:p>
      <w:pPr>
        <w:pStyle w:val="BodyText"/>
        <w:rPr>
          <w:sz w:val="25"/>
        </w:rPr>
      </w:pPr>
    </w:p>
    <w:p>
      <w:pPr>
        <w:pStyle w:val="BodyText"/>
        <w:ind w:left="1070" w:right="494"/>
      </w:pPr>
      <w:r>
        <w:rPr/>
        <w:t>The Unisuper Defined Benefit Division is a defined contribution fund for the purpose of AASB 119 Employee Benefits.</w:t>
      </w:r>
    </w:p>
    <w:p>
      <w:pPr>
        <w:pStyle w:val="BodyText"/>
        <w:rPr>
          <w:sz w:val="25"/>
        </w:rPr>
      </w:pPr>
    </w:p>
    <w:p>
      <w:pPr>
        <w:pStyle w:val="BodyText"/>
        <w:ind w:left="1070" w:right="596"/>
      </w:pPr>
      <w:r>
        <w:rPr/>
        <w:t>Contributions to Unisuper have been included in note 10 Employee Related Expenses.</w:t>
      </w:r>
    </w:p>
    <w:p>
      <w:pPr>
        <w:pStyle w:val="BodyText"/>
        <w:rPr>
          <w:sz w:val="25"/>
        </w:rPr>
      </w:pPr>
    </w:p>
    <w:p>
      <w:pPr>
        <w:pStyle w:val="BodyText"/>
        <w:ind w:left="1070" w:right="925"/>
      </w:pPr>
      <w:r>
        <w:rPr/>
        <w:t>All University employees, including casuals, receive superannuation benefits equal to or exceeding the Superannuation Guarantee Levy.</w:t>
      </w:r>
    </w:p>
    <w:p>
      <w:pPr>
        <w:pStyle w:val="BodyText"/>
        <w:spacing w:before="9"/>
        <w:rPr>
          <w:sz w:val="24"/>
        </w:rPr>
      </w:pPr>
    </w:p>
    <w:p>
      <w:pPr>
        <w:pStyle w:val="Heading9"/>
        <w:numPr>
          <w:ilvl w:val="0"/>
          <w:numId w:val="8"/>
        </w:numPr>
        <w:tabs>
          <w:tab w:pos="1071" w:val="left" w:leader="none"/>
        </w:tabs>
        <w:spacing w:line="240" w:lineRule="auto" w:before="1" w:after="0"/>
        <w:ind w:left="1070" w:right="0" w:hanging="566"/>
        <w:jc w:val="left"/>
      </w:pPr>
      <w:r>
        <w:rPr/>
        <w:t>Trade and other</w:t>
      </w:r>
      <w:r>
        <w:rPr>
          <w:spacing w:val="-1"/>
        </w:rPr>
        <w:t> </w:t>
      </w:r>
      <w:r>
        <w:rPr/>
        <w:t>payables</w:t>
      </w:r>
    </w:p>
    <w:p>
      <w:pPr>
        <w:pStyle w:val="BodyText"/>
        <w:rPr>
          <w:b/>
          <w:sz w:val="25"/>
        </w:rPr>
      </w:pPr>
    </w:p>
    <w:p>
      <w:pPr>
        <w:pStyle w:val="BodyText"/>
        <w:ind w:left="1070" w:right="124"/>
      </w:pPr>
      <w:r>
        <w:rPr/>
        <w:t>Trade and other payables are carried at amortised cost and due to their short term nature they are not discounted. They represent liabilities for goods and services provided to the Group prior to the end of the financial year, that are unpaid and arise when the Group becomes obliged to make future payments in respect of the purchase of these goods and services. The Group's standard terms of payment are 30 days from date of recognition.</w:t>
      </w:r>
    </w:p>
    <w:p>
      <w:pPr>
        <w:spacing w:after="0"/>
        <w:sectPr>
          <w:pgSz w:w="11910" w:h="16840"/>
          <w:pgMar w:header="1038" w:footer="507" w:top="2220" w:bottom="700" w:left="900" w:right="840"/>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86"/>
      </w:pPr>
      <w:r>
        <w:rPr/>
        <w:t>1</w:t>
        <w:tab/>
        <w:t>Summary of Significant Accounting Policies</w:t>
      </w:r>
      <w:r>
        <w:rPr>
          <w:spacing w:val="-5"/>
        </w:rPr>
        <w:t> </w:t>
      </w:r>
      <w:r>
        <w:rPr/>
        <w:t>(continued)</w:t>
      </w:r>
    </w:p>
    <w:p>
      <w:pPr>
        <w:pStyle w:val="BodyText"/>
        <w:spacing w:before="11"/>
        <w:rPr>
          <w:b/>
          <w:sz w:val="24"/>
        </w:rPr>
      </w:pPr>
    </w:p>
    <w:p>
      <w:pPr>
        <w:pStyle w:val="ListParagraph"/>
        <w:numPr>
          <w:ilvl w:val="0"/>
          <w:numId w:val="8"/>
        </w:numPr>
        <w:tabs>
          <w:tab w:pos="1071" w:val="left" w:leader="none"/>
        </w:tabs>
        <w:spacing w:line="240" w:lineRule="auto" w:before="0" w:after="0"/>
        <w:ind w:left="1070" w:right="0" w:hanging="566"/>
        <w:jc w:val="left"/>
        <w:rPr>
          <w:b/>
          <w:sz w:val="18"/>
        </w:rPr>
      </w:pPr>
      <w:r>
        <w:rPr>
          <w:b/>
          <w:sz w:val="18"/>
        </w:rPr>
        <w:t>Borrowings</w:t>
      </w:r>
    </w:p>
    <w:p>
      <w:pPr>
        <w:pStyle w:val="BodyText"/>
        <w:rPr>
          <w:b/>
          <w:sz w:val="25"/>
        </w:rPr>
      </w:pPr>
    </w:p>
    <w:p>
      <w:pPr>
        <w:pStyle w:val="BodyText"/>
        <w:ind w:left="1069" w:right="86"/>
      </w:pPr>
      <w:r>
        <w:rPr/>
        <w:t>Borrowings are initially recognised at fair value, net of transaction costs incurred. Borrowings are subsequently measured at amortised cost. Any difference between the proceeds (net of transaction costs) and the redemption amount is recognised in the income statement over the period of the borrowings using the effective interest method.  Fees paid on the establishment of loan facilities, which are not an incremental cost relating to the actual draw-down of the facility, are recognised as prepayments and amortised on a straight-line basis over the term of the facility.</w:t>
      </w:r>
    </w:p>
    <w:p>
      <w:pPr>
        <w:pStyle w:val="BodyText"/>
        <w:rPr>
          <w:sz w:val="25"/>
        </w:rPr>
      </w:pPr>
    </w:p>
    <w:p>
      <w:pPr>
        <w:pStyle w:val="BodyText"/>
        <w:ind w:left="1069" w:right="86"/>
      </w:pPr>
      <w:r>
        <w:rPr/>
        <w:t>Borrowings are removed from the statement of financial position when the obligation specified in the contract is discharged, cancelled or expired. The difference between the carrying amount of a financial liability that has been extinguished or transferred to another party and the consideration paid, including any non-cash assets transferred or liabilities assumed, is recognised in other income or other expenses.</w:t>
      </w:r>
    </w:p>
    <w:p>
      <w:pPr>
        <w:pStyle w:val="BodyText"/>
        <w:rPr>
          <w:sz w:val="25"/>
        </w:rPr>
      </w:pPr>
    </w:p>
    <w:p>
      <w:pPr>
        <w:pStyle w:val="BodyText"/>
        <w:ind w:left="1069" w:right="86"/>
      </w:pPr>
      <w:r>
        <w:rPr/>
        <w:t>Borrowings are classified as current liabilities unless the Group has an unconditional right to defer settlement of the liability for at least 12 months after the balance sheet date and does not expect to settle the liability for at least 12 months after the balance sheet date.</w:t>
      </w:r>
    </w:p>
    <w:p>
      <w:pPr>
        <w:pStyle w:val="BodyText"/>
        <w:spacing w:before="10"/>
        <w:rPr>
          <w:sz w:val="24"/>
        </w:rPr>
      </w:pPr>
    </w:p>
    <w:p>
      <w:pPr>
        <w:pStyle w:val="Heading9"/>
        <w:numPr>
          <w:ilvl w:val="0"/>
          <w:numId w:val="8"/>
        </w:numPr>
        <w:tabs>
          <w:tab w:pos="1071" w:val="left" w:leader="none"/>
        </w:tabs>
        <w:spacing w:line="240" w:lineRule="auto" w:before="1" w:after="0"/>
        <w:ind w:left="1070" w:right="0" w:hanging="566"/>
        <w:jc w:val="left"/>
      </w:pPr>
      <w:r>
        <w:rPr/>
        <w:t>Borrowing</w:t>
      </w:r>
      <w:r>
        <w:rPr>
          <w:spacing w:val="-1"/>
        </w:rPr>
        <w:t> </w:t>
      </w:r>
      <w:r>
        <w:rPr/>
        <w:t>costs</w:t>
      </w:r>
    </w:p>
    <w:p>
      <w:pPr>
        <w:pStyle w:val="BodyText"/>
        <w:rPr>
          <w:b/>
          <w:sz w:val="25"/>
        </w:rPr>
      </w:pPr>
    </w:p>
    <w:p>
      <w:pPr>
        <w:pStyle w:val="BodyText"/>
        <w:ind w:left="1070" w:right="86"/>
      </w:pPr>
      <w:r>
        <w:rPr/>
        <w:t>Borrowing costs are expensed in the income statement.</w:t>
      </w:r>
    </w:p>
    <w:p>
      <w:pPr>
        <w:pStyle w:val="BodyText"/>
        <w:spacing w:before="11"/>
        <w:rPr>
          <w:sz w:val="24"/>
        </w:rPr>
      </w:pPr>
    </w:p>
    <w:p>
      <w:pPr>
        <w:pStyle w:val="Heading9"/>
        <w:numPr>
          <w:ilvl w:val="0"/>
          <w:numId w:val="8"/>
        </w:numPr>
        <w:tabs>
          <w:tab w:pos="1071" w:val="left" w:leader="none"/>
        </w:tabs>
        <w:spacing w:line="240" w:lineRule="auto" w:before="0" w:after="0"/>
        <w:ind w:left="1070" w:right="0" w:hanging="566"/>
        <w:jc w:val="left"/>
      </w:pPr>
      <w:r>
        <w:rPr/>
        <w:t>Provisions</w:t>
      </w:r>
    </w:p>
    <w:p>
      <w:pPr>
        <w:pStyle w:val="BodyText"/>
        <w:rPr>
          <w:b/>
          <w:sz w:val="25"/>
        </w:rPr>
      </w:pPr>
    </w:p>
    <w:p>
      <w:pPr>
        <w:pStyle w:val="BodyText"/>
        <w:ind w:left="1071" w:right="133"/>
      </w:pPr>
      <w:r>
        <w:rPr/>
        <w:t>Provisions are recognised when the Group has a present legal or constructive obligation as a result of past events; it is probable that an outflow of resources will be required to settle the obligation and the amount can be reliably estimated.</w:t>
      </w:r>
    </w:p>
    <w:p>
      <w:pPr>
        <w:pStyle w:val="BodyText"/>
        <w:rPr>
          <w:sz w:val="25"/>
        </w:rPr>
      </w:pPr>
    </w:p>
    <w:p>
      <w:pPr>
        <w:pStyle w:val="BodyText"/>
        <w:ind w:left="1071" w:right="94"/>
      </w:pPr>
      <w:r>
        <w:rPr/>
        <w:t>Provisions are not recognised for future operating losses. Where there are a number of similar obligations, the likelihood that an outflow will be required in settlement is determined by considering the class of obligations as a whole. A provision is recognised even if the likelihood of an outflow with respect to any one item included in the same class of obligations may be small.</w:t>
      </w:r>
    </w:p>
    <w:p>
      <w:pPr>
        <w:pStyle w:val="BodyText"/>
        <w:rPr>
          <w:sz w:val="25"/>
        </w:rPr>
      </w:pPr>
    </w:p>
    <w:p>
      <w:pPr>
        <w:pStyle w:val="BodyText"/>
        <w:ind w:left="1071" w:right="93"/>
      </w:pPr>
      <w:r>
        <w:rPr/>
        <w:t>Provisions are measured at the present value of management’s best estimate of the expenditure required to settle the present obligation at the reporting date. The discount rate used to determine the present value reflects current market assessments of the time value of money and the risks specific to the liability. The increase in the provision due to the passage of time is recognised as a finance cost.</w:t>
      </w:r>
    </w:p>
    <w:p>
      <w:pPr>
        <w:pStyle w:val="BodyText"/>
        <w:spacing w:before="10"/>
        <w:rPr>
          <w:sz w:val="24"/>
        </w:rPr>
      </w:pPr>
    </w:p>
    <w:p>
      <w:pPr>
        <w:pStyle w:val="Heading9"/>
        <w:numPr>
          <w:ilvl w:val="0"/>
          <w:numId w:val="8"/>
        </w:numPr>
        <w:tabs>
          <w:tab w:pos="1071" w:val="left" w:leader="none"/>
        </w:tabs>
        <w:spacing w:line="240" w:lineRule="auto" w:before="0" w:after="0"/>
        <w:ind w:left="1070" w:right="0" w:hanging="566"/>
        <w:jc w:val="left"/>
      </w:pPr>
      <w:r>
        <w:rPr/>
        <w:t>Employee</w:t>
      </w:r>
      <w:r>
        <w:rPr>
          <w:spacing w:val="-2"/>
        </w:rPr>
        <w:t> </w:t>
      </w:r>
      <w:r>
        <w:rPr/>
        <w:t>benefits</w:t>
      </w:r>
    </w:p>
    <w:p>
      <w:pPr>
        <w:pStyle w:val="BodyText"/>
        <w:rPr>
          <w:b/>
          <w:sz w:val="25"/>
        </w:rPr>
      </w:pPr>
    </w:p>
    <w:p>
      <w:pPr>
        <w:pStyle w:val="BodyText"/>
        <w:ind w:left="1070" w:right="305"/>
      </w:pPr>
      <w:r>
        <w:rPr/>
        <w:t>Provision is made for benefits accruing to employees in respect of wages and salaries, annual leave and long service leave when it is probable that settlement will be required and they are capable of being measured reliably. The calculation of employee benefits includes all relevant on-costs and are calculated as follows at reporting date.</w:t>
      </w:r>
    </w:p>
    <w:p>
      <w:pPr>
        <w:pStyle w:val="BodyText"/>
        <w:rPr>
          <w:sz w:val="25"/>
        </w:rPr>
      </w:pPr>
    </w:p>
    <w:p>
      <w:pPr>
        <w:pStyle w:val="ListParagraph"/>
        <w:numPr>
          <w:ilvl w:val="1"/>
          <w:numId w:val="8"/>
        </w:numPr>
        <w:tabs>
          <w:tab w:pos="1224" w:val="left" w:leader="none"/>
        </w:tabs>
        <w:spacing w:line="240" w:lineRule="auto" w:before="0" w:after="0"/>
        <w:ind w:left="1223" w:right="0" w:hanging="209"/>
        <w:jc w:val="left"/>
        <w:rPr>
          <w:i/>
          <w:sz w:val="18"/>
        </w:rPr>
      </w:pPr>
      <w:r>
        <w:rPr>
          <w:i/>
          <w:sz w:val="18"/>
        </w:rPr>
        <w:t>) Wages and</w:t>
      </w:r>
      <w:r>
        <w:rPr>
          <w:i/>
          <w:spacing w:val="-1"/>
          <w:sz w:val="18"/>
        </w:rPr>
        <w:t> </w:t>
      </w:r>
      <w:r>
        <w:rPr>
          <w:i/>
          <w:sz w:val="18"/>
        </w:rPr>
        <w:t>salaries</w:t>
      </w:r>
    </w:p>
    <w:p>
      <w:pPr>
        <w:pStyle w:val="BodyText"/>
        <w:spacing w:before="11"/>
        <w:rPr>
          <w:i/>
          <w:sz w:val="24"/>
        </w:rPr>
      </w:pPr>
    </w:p>
    <w:p>
      <w:pPr>
        <w:pStyle w:val="BodyText"/>
        <w:ind w:left="1070" w:right="544"/>
      </w:pPr>
      <w:r>
        <w:rPr/>
        <w:t>Liabilities for short term employee benefits including wages and salaries and non monetary benefits are measured at the amount expected to be paid when the liability is settled and recognised in other payables.</w:t>
      </w:r>
    </w:p>
    <w:p>
      <w:pPr>
        <w:spacing w:after="0"/>
        <w:sectPr>
          <w:pgSz w:w="11910" w:h="16840"/>
          <w:pgMar w:header="1038" w:footer="507" w:top="2220" w:bottom="700" w:left="900" w:right="920"/>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596"/>
      </w:pPr>
      <w:r>
        <w:rPr/>
        <w:t>1</w:t>
        <w:tab/>
        <w:t>Summary of Significant Accounting Policies</w:t>
      </w:r>
      <w:r>
        <w:rPr>
          <w:spacing w:val="-5"/>
        </w:rPr>
        <w:t> </w:t>
      </w:r>
      <w:r>
        <w:rPr/>
        <w:t>(continued)</w:t>
      </w:r>
    </w:p>
    <w:p>
      <w:pPr>
        <w:pStyle w:val="BodyText"/>
        <w:spacing w:before="11"/>
        <w:rPr>
          <w:b/>
          <w:sz w:val="24"/>
        </w:rPr>
      </w:pPr>
    </w:p>
    <w:p>
      <w:pPr>
        <w:pStyle w:val="ListParagraph"/>
        <w:numPr>
          <w:ilvl w:val="0"/>
          <w:numId w:val="9"/>
        </w:numPr>
        <w:tabs>
          <w:tab w:pos="1071" w:val="left" w:leader="none"/>
        </w:tabs>
        <w:spacing w:line="207" w:lineRule="exact" w:before="0" w:after="0"/>
        <w:ind w:left="1070" w:right="0" w:hanging="566"/>
        <w:jc w:val="left"/>
        <w:rPr>
          <w:b/>
          <w:sz w:val="18"/>
        </w:rPr>
      </w:pPr>
      <w:r>
        <w:rPr>
          <w:b/>
          <w:sz w:val="18"/>
        </w:rPr>
        <w:t>Employee benefits</w:t>
      </w:r>
      <w:r>
        <w:rPr>
          <w:b/>
          <w:spacing w:val="-2"/>
          <w:sz w:val="18"/>
        </w:rPr>
        <w:t> </w:t>
      </w:r>
      <w:r>
        <w:rPr>
          <w:b/>
          <w:sz w:val="18"/>
        </w:rPr>
        <w:t>(continued)</w:t>
      </w:r>
    </w:p>
    <w:p>
      <w:pPr>
        <w:pStyle w:val="ListParagraph"/>
        <w:numPr>
          <w:ilvl w:val="1"/>
          <w:numId w:val="9"/>
        </w:numPr>
        <w:tabs>
          <w:tab w:pos="1264" w:val="left" w:leader="none"/>
        </w:tabs>
        <w:spacing w:line="207" w:lineRule="exact" w:before="0" w:after="0"/>
        <w:ind w:left="1263" w:right="0" w:hanging="249"/>
        <w:jc w:val="left"/>
        <w:rPr>
          <w:i/>
          <w:sz w:val="18"/>
        </w:rPr>
      </w:pPr>
      <w:r>
        <w:rPr>
          <w:i/>
          <w:sz w:val="18"/>
        </w:rPr>
        <w:t>Annual leave and sick</w:t>
      </w:r>
      <w:r>
        <w:rPr>
          <w:i/>
          <w:spacing w:val="-1"/>
          <w:sz w:val="18"/>
        </w:rPr>
        <w:t> </w:t>
      </w:r>
      <w:r>
        <w:rPr>
          <w:i/>
          <w:sz w:val="18"/>
        </w:rPr>
        <w:t>leave</w:t>
      </w:r>
    </w:p>
    <w:p>
      <w:pPr>
        <w:pStyle w:val="BodyText"/>
        <w:rPr>
          <w:i/>
          <w:sz w:val="25"/>
        </w:rPr>
      </w:pPr>
    </w:p>
    <w:p>
      <w:pPr>
        <w:pStyle w:val="BodyText"/>
        <w:ind w:left="1070" w:right="337"/>
        <w:jc w:val="both"/>
      </w:pPr>
      <w:r>
        <w:rPr/>
        <w:t>The liability for annual leave is recognised in current provisions for employee benefits as it is due to be settled within 12 months after the end of the reporting period. It is measured at the amount expected to be paid when the liability is settled.</w:t>
      </w:r>
    </w:p>
    <w:p>
      <w:pPr>
        <w:pStyle w:val="BodyText"/>
        <w:rPr>
          <w:sz w:val="25"/>
        </w:rPr>
      </w:pPr>
    </w:p>
    <w:p>
      <w:pPr>
        <w:pStyle w:val="BodyText"/>
        <w:ind w:left="1070" w:right="925"/>
      </w:pPr>
      <w:r>
        <w:rPr/>
        <w:t>Sick leave is non cumulative and is not recognised in employee provisions. Liabilities for sick leave are recognised when the leave is taken and measured at the rates paid or payable.</w:t>
      </w:r>
    </w:p>
    <w:p>
      <w:pPr>
        <w:pStyle w:val="BodyText"/>
        <w:rPr>
          <w:sz w:val="25"/>
        </w:rPr>
      </w:pPr>
    </w:p>
    <w:p>
      <w:pPr>
        <w:pStyle w:val="ListParagraph"/>
        <w:numPr>
          <w:ilvl w:val="1"/>
          <w:numId w:val="9"/>
        </w:numPr>
        <w:tabs>
          <w:tab w:pos="1303" w:val="left" w:leader="none"/>
        </w:tabs>
        <w:spacing w:line="240" w:lineRule="auto" w:before="0" w:after="0"/>
        <w:ind w:left="1302" w:right="0" w:hanging="288"/>
        <w:jc w:val="left"/>
        <w:rPr>
          <w:i/>
          <w:sz w:val="18"/>
        </w:rPr>
      </w:pPr>
      <w:r>
        <w:rPr>
          <w:i/>
          <w:sz w:val="18"/>
        </w:rPr>
        <w:t>Long service</w:t>
      </w:r>
      <w:r>
        <w:rPr>
          <w:i/>
          <w:spacing w:val="-1"/>
          <w:sz w:val="18"/>
        </w:rPr>
        <w:t> </w:t>
      </w:r>
      <w:r>
        <w:rPr>
          <w:i/>
          <w:sz w:val="18"/>
        </w:rPr>
        <w:t>leave</w:t>
      </w:r>
    </w:p>
    <w:p>
      <w:pPr>
        <w:pStyle w:val="BodyText"/>
        <w:spacing w:before="11"/>
        <w:rPr>
          <w:i/>
          <w:sz w:val="24"/>
        </w:rPr>
      </w:pPr>
    </w:p>
    <w:p>
      <w:pPr>
        <w:pStyle w:val="BodyText"/>
        <w:ind w:left="1070" w:right="194"/>
      </w:pPr>
      <w:r>
        <w:rPr/>
        <w:t>The liability for long service leave is recognised in the provision for employee benefits and measured as the present value of expected future payments to be made in respect of services provided by employees up to the reporting date using the projected unit credit method. Consideration is given to expected future wage and salary levels, experience of employee departures and periods of service. Expected future payments are discounted using market yields at the reporting date on national government bonds with terms to maturity and currency that match, as closely as possible, the estimated future cash outflows.</w:t>
      </w:r>
    </w:p>
    <w:p>
      <w:pPr>
        <w:pStyle w:val="BodyText"/>
        <w:rPr>
          <w:sz w:val="25"/>
        </w:rPr>
      </w:pPr>
    </w:p>
    <w:p>
      <w:pPr>
        <w:pStyle w:val="BodyText"/>
        <w:ind w:left="1070" w:right="315"/>
      </w:pPr>
      <w:r>
        <w:rPr/>
        <w:t>Regardless of the expected timing of settlements, provisions made in respect of annual leave and long service leave are classified as a current liability, unless there is an unconditional right to defer the settlement of the liability for at least 12 months after the reporting date, in which case it would be classified as a non current liability.</w:t>
      </w:r>
    </w:p>
    <w:p>
      <w:pPr>
        <w:pStyle w:val="BodyText"/>
        <w:rPr>
          <w:sz w:val="25"/>
        </w:rPr>
      </w:pPr>
    </w:p>
    <w:p>
      <w:pPr>
        <w:pStyle w:val="ListParagraph"/>
        <w:numPr>
          <w:ilvl w:val="1"/>
          <w:numId w:val="9"/>
        </w:numPr>
        <w:tabs>
          <w:tab w:pos="1314" w:val="left" w:leader="none"/>
        </w:tabs>
        <w:spacing w:line="240" w:lineRule="auto" w:before="0" w:after="0"/>
        <w:ind w:left="1313" w:right="0" w:hanging="299"/>
        <w:jc w:val="left"/>
        <w:rPr>
          <w:i/>
          <w:sz w:val="18"/>
        </w:rPr>
      </w:pPr>
      <w:r>
        <w:rPr>
          <w:i/>
          <w:sz w:val="18"/>
        </w:rPr>
        <w:t>Retirement benefit</w:t>
      </w:r>
      <w:r>
        <w:rPr>
          <w:i/>
          <w:spacing w:val="-1"/>
          <w:sz w:val="18"/>
        </w:rPr>
        <w:t> </w:t>
      </w:r>
      <w:r>
        <w:rPr>
          <w:i/>
          <w:sz w:val="18"/>
        </w:rPr>
        <w:t>obligations</w:t>
      </w:r>
    </w:p>
    <w:p>
      <w:pPr>
        <w:pStyle w:val="BodyText"/>
        <w:spacing w:before="10"/>
        <w:rPr>
          <w:i/>
          <w:sz w:val="24"/>
        </w:rPr>
      </w:pPr>
    </w:p>
    <w:p>
      <w:pPr>
        <w:pStyle w:val="BodyText"/>
        <w:spacing w:before="1"/>
        <w:ind w:left="1070" w:right="275"/>
      </w:pPr>
      <w:r>
        <w:rPr/>
        <w:t>Employees of the Group that are members of Unisuper are entitled to benefits on retirement, disability or death from the Group's superannuation plan. The Group has a defined benefit section and a defined contribution section within its plan. The defined benefit section provides defined lump sum benefits based on years of service and final average salary. The defined contribution section receives fixed contributions from Group company entities and the Group's legal or constructive obligation is limited to these contributions.</w:t>
      </w:r>
    </w:p>
    <w:p>
      <w:pPr>
        <w:pStyle w:val="BodyText"/>
        <w:rPr>
          <w:sz w:val="25"/>
        </w:rPr>
      </w:pPr>
    </w:p>
    <w:p>
      <w:pPr>
        <w:pStyle w:val="BodyText"/>
        <w:ind w:left="1070" w:right="117"/>
      </w:pPr>
      <w:r>
        <w:rPr/>
        <w:t>A liability or asset in respect of defined benefit superannuation plans is recognised in the statement of financial position, and is measured as the present value of the defined benefit obligation at the reporting date less the fair value of the superannuation fund’s assets at that date and any unrecognised past service cost. The present value of the defined benefit obligation is based on expected future payments which arise from membership of the fund to the reporting date, calculated annually by independent actuaries using the projected unit credit method. Consideration is given to expected future wage and salary levels, experience of employee departures and periods of</w:t>
      </w:r>
      <w:r>
        <w:rPr>
          <w:spacing w:val="-1"/>
        </w:rPr>
        <w:t> </w:t>
      </w:r>
      <w:r>
        <w:rPr/>
        <w:t>service.</w:t>
      </w:r>
    </w:p>
    <w:p>
      <w:pPr>
        <w:pStyle w:val="BodyText"/>
        <w:rPr>
          <w:sz w:val="25"/>
        </w:rPr>
      </w:pPr>
    </w:p>
    <w:p>
      <w:pPr>
        <w:pStyle w:val="BodyText"/>
        <w:ind w:left="1070" w:right="125"/>
      </w:pPr>
      <w:r>
        <w:rPr/>
        <w:t>Expected future payments are discounted using market yields at the reporting date on national government bonds with terms to maturity and currency that match, as closely as possible, the estimated future cash outflows.</w:t>
      </w:r>
    </w:p>
    <w:p>
      <w:pPr>
        <w:pStyle w:val="BodyText"/>
        <w:rPr>
          <w:sz w:val="25"/>
        </w:rPr>
      </w:pPr>
    </w:p>
    <w:p>
      <w:pPr>
        <w:pStyle w:val="BodyText"/>
        <w:ind w:left="1070" w:right="675"/>
      </w:pPr>
      <w:r>
        <w:rPr/>
        <w:t>Actuarial gains and losses arising from experience adjustments and changes in actuarial assumptions are recognised in the period in which they occur, in the statement of comprehensive income.</w:t>
      </w:r>
    </w:p>
    <w:p>
      <w:pPr>
        <w:pStyle w:val="BodyText"/>
        <w:rPr>
          <w:sz w:val="25"/>
        </w:rPr>
      </w:pPr>
    </w:p>
    <w:p>
      <w:pPr>
        <w:pStyle w:val="BodyText"/>
        <w:ind w:left="1070" w:right="405"/>
      </w:pPr>
      <w:r>
        <w:rPr/>
        <w:t>Past service costs are recognised immediately in income, unless the changes to the superannuation fund are conditional on the employees remaining in service for a specified period of time (the vesting period). In this case, the past service costs are amortised on a straight line basis over the vesting period.</w:t>
      </w:r>
    </w:p>
    <w:p>
      <w:pPr>
        <w:pStyle w:val="BodyText"/>
        <w:rPr>
          <w:sz w:val="25"/>
        </w:rPr>
      </w:pPr>
    </w:p>
    <w:p>
      <w:pPr>
        <w:pStyle w:val="BodyText"/>
        <w:ind w:left="1070" w:right="144"/>
      </w:pPr>
      <w:r>
        <w:rPr/>
        <w:t>Future taxes that are funded by the entity and are part of the provision of the existing benefit obligation (eg taxes on investment income and employer contributions) are taken into account in measuring the net liability or asset.</w:t>
      </w:r>
    </w:p>
    <w:p>
      <w:pPr>
        <w:spacing w:after="0"/>
        <w:sectPr>
          <w:pgSz w:w="11910" w:h="16840"/>
          <w:pgMar w:header="1038" w:footer="507" w:top="2220" w:bottom="700" w:left="900" w:right="840"/>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125"/>
      </w:pPr>
      <w:r>
        <w:rPr/>
        <w:t>1</w:t>
        <w:tab/>
        <w:t>Summary of Significant Accounting Policies</w:t>
      </w:r>
      <w:r>
        <w:rPr>
          <w:spacing w:val="-5"/>
        </w:rPr>
        <w:t> </w:t>
      </w:r>
      <w:r>
        <w:rPr/>
        <w:t>(continued)</w:t>
      </w:r>
    </w:p>
    <w:p>
      <w:pPr>
        <w:pStyle w:val="BodyText"/>
        <w:spacing w:before="11"/>
        <w:rPr>
          <w:b/>
          <w:sz w:val="24"/>
        </w:rPr>
      </w:pPr>
    </w:p>
    <w:p>
      <w:pPr>
        <w:pStyle w:val="ListParagraph"/>
        <w:numPr>
          <w:ilvl w:val="0"/>
          <w:numId w:val="10"/>
        </w:numPr>
        <w:tabs>
          <w:tab w:pos="1071" w:val="left" w:leader="none"/>
        </w:tabs>
        <w:spacing w:line="240" w:lineRule="auto" w:before="0" w:after="0"/>
        <w:ind w:left="1070" w:right="0" w:hanging="566"/>
        <w:jc w:val="left"/>
        <w:rPr>
          <w:b/>
          <w:sz w:val="18"/>
        </w:rPr>
      </w:pPr>
      <w:r>
        <w:rPr>
          <w:b/>
          <w:sz w:val="18"/>
        </w:rPr>
        <w:t>Employee benefits</w:t>
      </w:r>
      <w:r>
        <w:rPr>
          <w:b/>
          <w:spacing w:val="-2"/>
          <w:sz w:val="18"/>
        </w:rPr>
        <w:t> </w:t>
      </w:r>
      <w:r>
        <w:rPr>
          <w:b/>
          <w:sz w:val="18"/>
        </w:rPr>
        <w:t>(continued)</w:t>
      </w:r>
    </w:p>
    <w:p>
      <w:pPr>
        <w:pStyle w:val="BodyText"/>
        <w:spacing w:before="11"/>
        <w:rPr>
          <w:b/>
          <w:sz w:val="24"/>
        </w:rPr>
      </w:pPr>
    </w:p>
    <w:p>
      <w:pPr>
        <w:pStyle w:val="BodyText"/>
        <w:ind w:left="1070" w:right="134"/>
      </w:pPr>
      <w:r>
        <w:rPr/>
        <w:t>Contributions to the defined contribution fund are recognised as an expense as they become payable. Prepaid contributions are recognised as an asset to the extent that a cash refund or a reduction in the future payments is available.</w:t>
      </w:r>
    </w:p>
    <w:p>
      <w:pPr>
        <w:pStyle w:val="BodyText"/>
        <w:rPr>
          <w:sz w:val="25"/>
        </w:rPr>
      </w:pPr>
    </w:p>
    <w:p>
      <w:pPr>
        <w:pStyle w:val="BodyText"/>
        <w:ind w:left="1070" w:right="107"/>
      </w:pPr>
      <w:r>
        <w:rPr/>
        <w:t>The unfunded liabilities recorded in the statement of financial position under provisions have been determined by independent actuaries relating to the defined benefit superannuation plan State Superannuation Scheme (SSS), State Authorities Superannuation Scheme (SASS) and for the State Authorities Non Contributory Superannuation Scheme</w:t>
      </w:r>
      <w:r>
        <w:rPr>
          <w:spacing w:val="-1"/>
        </w:rPr>
        <w:t> </w:t>
      </w:r>
      <w:r>
        <w:rPr/>
        <w:t>(SANCS).</w:t>
      </w:r>
    </w:p>
    <w:p>
      <w:pPr>
        <w:pStyle w:val="BodyText"/>
        <w:rPr>
          <w:sz w:val="25"/>
        </w:rPr>
      </w:pPr>
    </w:p>
    <w:p>
      <w:pPr>
        <w:spacing w:before="0"/>
        <w:ind w:left="1014" w:right="125" w:firstLine="0"/>
        <w:jc w:val="left"/>
        <w:rPr>
          <w:i/>
          <w:sz w:val="18"/>
        </w:rPr>
      </w:pPr>
      <w:r>
        <w:rPr>
          <w:i/>
          <w:sz w:val="18"/>
        </w:rPr>
        <w:t>(v) Termination Benefits</w:t>
      </w:r>
    </w:p>
    <w:p>
      <w:pPr>
        <w:pStyle w:val="BodyText"/>
        <w:spacing w:before="11"/>
        <w:rPr>
          <w:i/>
          <w:sz w:val="24"/>
        </w:rPr>
      </w:pPr>
    </w:p>
    <w:p>
      <w:pPr>
        <w:pStyle w:val="BodyText"/>
        <w:ind w:left="1070" w:right="98"/>
      </w:pPr>
      <w:r>
        <w:rPr/>
        <w:t>Termination benefits are payable when employment is terminated before the normal retirement date, or when an employee accepts voluntary redundancy in exchange for these benefits. The Group recognises termination benefits when it is demonstrably committed to either terminating the employment of current employees according to a detailed formal plan without possibility of withdrawal or providing termination benefits as a result of a formally accepted offer of voluntary redundancy. Benefits falling due within 12 months are valued at nominal amount, and amounts falling due more than 12 months after reporting date are discounted to present</w:t>
      </w:r>
      <w:r>
        <w:rPr>
          <w:spacing w:val="-2"/>
        </w:rPr>
        <w:t> </w:t>
      </w:r>
      <w:r>
        <w:rPr/>
        <w:t>value.</w:t>
      </w:r>
    </w:p>
    <w:p>
      <w:pPr>
        <w:pStyle w:val="BodyText"/>
        <w:spacing w:before="11"/>
        <w:rPr>
          <w:sz w:val="24"/>
        </w:rPr>
      </w:pPr>
    </w:p>
    <w:p>
      <w:pPr>
        <w:pStyle w:val="Heading9"/>
        <w:numPr>
          <w:ilvl w:val="0"/>
          <w:numId w:val="10"/>
        </w:numPr>
        <w:tabs>
          <w:tab w:pos="1071" w:val="left" w:leader="none"/>
        </w:tabs>
        <w:spacing w:line="240" w:lineRule="auto" w:before="0" w:after="0"/>
        <w:ind w:left="1070" w:right="0" w:hanging="566"/>
        <w:jc w:val="left"/>
      </w:pPr>
      <w:r>
        <w:rPr/>
        <w:t>Financial guarantee</w:t>
      </w:r>
      <w:r>
        <w:rPr>
          <w:spacing w:val="-3"/>
        </w:rPr>
        <w:t> </w:t>
      </w:r>
      <w:r>
        <w:rPr/>
        <w:t>contracts</w:t>
      </w:r>
    </w:p>
    <w:p>
      <w:pPr>
        <w:pStyle w:val="BodyText"/>
        <w:rPr>
          <w:b/>
          <w:sz w:val="25"/>
        </w:rPr>
      </w:pPr>
    </w:p>
    <w:p>
      <w:pPr>
        <w:pStyle w:val="BodyText"/>
        <w:ind w:left="1069" w:right="125" w:hanging="1"/>
      </w:pPr>
      <w:r>
        <w:rPr/>
        <w:t>Financial guarantee contracts are recognised as a liability at the time the guarantee is issued. The liability is initially measured at fair value, and subsequently at the higher of the amount determined in accordance with AASB 137 Provisions, contingent Liabilities and Contingent Assets and the amount initially recognised less cumulative amortisation, where appropriate.</w:t>
      </w:r>
    </w:p>
    <w:p>
      <w:pPr>
        <w:pStyle w:val="BodyText"/>
        <w:rPr>
          <w:sz w:val="25"/>
        </w:rPr>
      </w:pPr>
    </w:p>
    <w:p>
      <w:pPr>
        <w:pStyle w:val="BodyText"/>
        <w:ind w:left="1069" w:right="285"/>
      </w:pPr>
      <w:r>
        <w:rPr/>
        <w:t>The fair value of financial guarantees is determined as the present value of the difference in net cash flows between the contractual payments under the debt instrument and the payments that would be required without the guarantee, or the estimated amount that would be payable to a third party for assuming the obligations.</w:t>
      </w:r>
    </w:p>
    <w:p>
      <w:pPr>
        <w:pStyle w:val="BodyText"/>
        <w:rPr>
          <w:sz w:val="25"/>
        </w:rPr>
      </w:pPr>
    </w:p>
    <w:p>
      <w:pPr>
        <w:pStyle w:val="BodyText"/>
        <w:ind w:left="1069" w:right="721"/>
        <w:jc w:val="both"/>
      </w:pPr>
      <w:r>
        <w:rPr/>
        <w:t>Where guarantees in relation to loans or other payables of subsidiaries or associates are provided for no compensation, the fair values are accounted for as contributions and recognised as part of the cost of</w:t>
      </w:r>
      <w:r>
        <w:rPr>
          <w:spacing w:val="-15"/>
        </w:rPr>
        <w:t> </w:t>
      </w:r>
      <w:r>
        <w:rPr/>
        <w:t>the investment.</w:t>
      </w:r>
    </w:p>
    <w:p>
      <w:pPr>
        <w:pStyle w:val="BodyText"/>
        <w:spacing w:before="11"/>
        <w:rPr>
          <w:sz w:val="24"/>
        </w:rPr>
      </w:pPr>
    </w:p>
    <w:p>
      <w:pPr>
        <w:pStyle w:val="Heading9"/>
        <w:numPr>
          <w:ilvl w:val="0"/>
          <w:numId w:val="10"/>
        </w:numPr>
        <w:tabs>
          <w:tab w:pos="1071" w:val="left" w:leader="none"/>
        </w:tabs>
        <w:spacing w:line="240" w:lineRule="auto" w:before="0" w:after="0"/>
        <w:ind w:left="1070" w:right="0" w:hanging="566"/>
        <w:jc w:val="left"/>
      </w:pPr>
      <w:r>
        <w:rPr/>
        <w:t>Rounding of</w:t>
      </w:r>
      <w:r>
        <w:rPr>
          <w:spacing w:val="-1"/>
        </w:rPr>
        <w:t> </w:t>
      </w:r>
      <w:r>
        <w:rPr/>
        <w:t>amounts</w:t>
      </w:r>
    </w:p>
    <w:p>
      <w:pPr>
        <w:pStyle w:val="BodyText"/>
        <w:rPr>
          <w:b/>
          <w:sz w:val="25"/>
        </w:rPr>
      </w:pPr>
    </w:p>
    <w:p>
      <w:pPr>
        <w:pStyle w:val="BodyText"/>
        <w:ind w:left="1069" w:right="155"/>
      </w:pPr>
      <w:r>
        <w:rPr/>
        <w:t>The company is of a kind referred to in Class order 98/0100 as amended by Class order 04/667, issued by the Australian Securities and Investments Commission, relating to the ''rounding off'' of amounts in the financial report. Amounts in the financial report have been rounded off in accordance with that Class Order to the nearest thousand dollars, or in certain cases, the nearest dollar.</w:t>
      </w:r>
    </w:p>
    <w:p>
      <w:pPr>
        <w:pStyle w:val="BodyText"/>
        <w:spacing w:before="11"/>
        <w:rPr>
          <w:sz w:val="24"/>
        </w:rPr>
      </w:pPr>
    </w:p>
    <w:p>
      <w:pPr>
        <w:pStyle w:val="Heading9"/>
        <w:tabs>
          <w:tab w:pos="1070" w:val="left" w:leader="none"/>
        </w:tabs>
        <w:ind w:left="504" w:right="125"/>
      </w:pPr>
      <w:r>
        <w:rPr/>
        <w:t>(aa)</w:t>
        <w:tab/>
        <w:t>Goods and Services Tax</w:t>
      </w:r>
      <w:r>
        <w:rPr>
          <w:spacing w:val="-2"/>
        </w:rPr>
        <w:t> </w:t>
      </w:r>
      <w:r>
        <w:rPr/>
        <w:t>(GST)</w:t>
      </w:r>
    </w:p>
    <w:p>
      <w:pPr>
        <w:pStyle w:val="BodyText"/>
        <w:spacing w:before="11"/>
        <w:rPr>
          <w:b/>
          <w:sz w:val="24"/>
        </w:rPr>
      </w:pPr>
    </w:p>
    <w:p>
      <w:pPr>
        <w:pStyle w:val="BodyText"/>
        <w:ind w:left="1070" w:right="195"/>
      </w:pPr>
      <w:r>
        <w:rPr/>
        <w:t>Revenues, expenses and assets are recognised net of the amount of associated GST, unless the GST incurred is not recoverable from the taxation authority. In this case, it is recognised as part of the cost acquisition of the asset or as part of the expense.</w:t>
      </w:r>
    </w:p>
    <w:p>
      <w:pPr>
        <w:pStyle w:val="BodyText"/>
        <w:rPr>
          <w:sz w:val="25"/>
        </w:rPr>
      </w:pPr>
    </w:p>
    <w:p>
      <w:pPr>
        <w:pStyle w:val="BodyText"/>
        <w:ind w:left="1070" w:right="215"/>
      </w:pPr>
      <w:r>
        <w:rPr/>
        <w:t>Receivables and payables are stated inclusive of the amount of GST receivable or payable. The net amount of GST recoverable from, or payable to, the taxation authority is included with other receivables or payables in the statement of financial position.</w:t>
      </w:r>
    </w:p>
    <w:p>
      <w:pPr>
        <w:spacing w:after="0"/>
        <w:sectPr>
          <w:pgSz w:w="11910" w:h="16840"/>
          <w:pgMar w:header="1038" w:footer="507" w:top="2220" w:bottom="700" w:left="900" w:right="860"/>
        </w:sectPr>
      </w:pPr>
    </w:p>
    <w:p>
      <w:pPr>
        <w:pStyle w:val="BodyText"/>
        <w:rPr>
          <w:sz w:val="20"/>
        </w:rPr>
      </w:pPr>
    </w:p>
    <w:p>
      <w:pPr>
        <w:pStyle w:val="BodyText"/>
        <w:rPr>
          <w:sz w:val="20"/>
        </w:rPr>
      </w:pPr>
    </w:p>
    <w:p>
      <w:pPr>
        <w:pStyle w:val="BodyText"/>
        <w:spacing w:before="4"/>
      </w:pPr>
    </w:p>
    <w:p>
      <w:pPr>
        <w:pStyle w:val="Heading9"/>
        <w:tabs>
          <w:tab w:pos="503" w:val="left" w:leader="none"/>
          <w:tab w:pos="1070" w:val="left" w:leader="none"/>
        </w:tabs>
        <w:spacing w:line="573" w:lineRule="auto"/>
        <w:ind w:left="504" w:right="4807" w:hanging="395"/>
      </w:pPr>
      <w:r>
        <w:rPr/>
        <w:t>1</w:t>
        <w:tab/>
        <w:t>Summary of Significant Accounting</w:t>
      </w:r>
      <w:r>
        <w:rPr>
          <w:spacing w:val="-3"/>
        </w:rPr>
        <w:t> </w:t>
      </w:r>
      <w:r>
        <w:rPr/>
        <w:t>Policies</w:t>
      </w:r>
      <w:r>
        <w:rPr>
          <w:spacing w:val="-2"/>
        </w:rPr>
        <w:t> </w:t>
      </w:r>
      <w:r>
        <w:rPr/>
        <w:t>(continued)</w:t>
      </w:r>
      <w:r>
        <w:rPr>
          <w:w w:val="99"/>
        </w:rPr>
        <w:t> </w:t>
      </w:r>
      <w:r>
        <w:rPr/>
        <w:t>(aa)</w:t>
        <w:tab/>
        <w:t>Goods and Services Tax (GST)</w:t>
      </w:r>
      <w:r>
        <w:rPr>
          <w:spacing w:val="-3"/>
        </w:rPr>
        <w:t> </w:t>
      </w:r>
      <w:r>
        <w:rPr/>
        <w:t>(continued)</w:t>
      </w:r>
    </w:p>
    <w:p>
      <w:pPr>
        <w:pStyle w:val="BodyText"/>
        <w:spacing w:before="8"/>
        <w:ind w:left="1070" w:right="245"/>
      </w:pPr>
      <w:r>
        <w:rPr/>
        <w:t>Cash flows are presented on a gross basis. The GST components of cash flows arising from investing or financing activities which are recoverable from, or payable to the taxation authority, are presented as operating cash flows.</w:t>
      </w:r>
    </w:p>
    <w:p>
      <w:pPr>
        <w:pStyle w:val="BodyText"/>
        <w:rPr>
          <w:sz w:val="25"/>
        </w:rPr>
      </w:pPr>
    </w:p>
    <w:p>
      <w:pPr>
        <w:pStyle w:val="BodyText"/>
        <w:ind w:left="1070" w:right="85"/>
      </w:pPr>
      <w:r>
        <w:rPr/>
        <w:t>The Group, excluding uwsconnect Limited, Television Sydney (TVS) Limited and UWS Early Learning Limited, is a Charitable Institution endorsed to access GST concessions on a range of transactions.</w:t>
      </w:r>
    </w:p>
    <w:p>
      <w:pPr>
        <w:pStyle w:val="BodyText"/>
        <w:spacing w:before="11"/>
        <w:rPr>
          <w:sz w:val="24"/>
        </w:rPr>
      </w:pPr>
    </w:p>
    <w:p>
      <w:pPr>
        <w:pStyle w:val="Heading9"/>
        <w:tabs>
          <w:tab w:pos="1070" w:val="left" w:leader="none"/>
        </w:tabs>
        <w:ind w:left="504" w:right="128"/>
      </w:pPr>
      <w:r>
        <w:rPr/>
        <w:t>(ab)</w:t>
        <w:tab/>
        <w:t>Insurance</w:t>
      </w:r>
    </w:p>
    <w:p>
      <w:pPr>
        <w:pStyle w:val="BodyText"/>
        <w:rPr>
          <w:b/>
          <w:sz w:val="25"/>
        </w:rPr>
      </w:pPr>
    </w:p>
    <w:p>
      <w:pPr>
        <w:pStyle w:val="BodyText"/>
        <w:ind w:left="1070" w:right="166"/>
      </w:pPr>
      <w:r>
        <w:rPr/>
        <w:t>The University of Western Sydney insures externally for all significant areas of risk exposure and accordingly, is not a self insurer and makes no provision in its financial statements for internal coverage.</w:t>
      </w:r>
    </w:p>
    <w:p>
      <w:pPr>
        <w:pStyle w:val="BodyText"/>
        <w:rPr>
          <w:sz w:val="25"/>
        </w:rPr>
      </w:pPr>
    </w:p>
    <w:p>
      <w:pPr>
        <w:pStyle w:val="BodyText"/>
        <w:ind w:left="1070" w:right="286"/>
      </w:pPr>
      <w:r>
        <w:rPr/>
        <w:t>Workers’ Compensation insurance is currently held with Employers Mutual Insurance. Property and liability protections (including General and Products Liability, Professional Liability, Medical Malpractice, Clinical Trials and Directors and Officers) are arranged with Unimutual.</w:t>
      </w:r>
    </w:p>
    <w:p>
      <w:pPr>
        <w:pStyle w:val="BodyText"/>
        <w:spacing w:before="11"/>
        <w:rPr>
          <w:sz w:val="24"/>
        </w:rPr>
      </w:pPr>
    </w:p>
    <w:p>
      <w:pPr>
        <w:pStyle w:val="Heading9"/>
        <w:tabs>
          <w:tab w:pos="1070" w:val="left" w:leader="none"/>
        </w:tabs>
        <w:ind w:left="504" w:right="128"/>
      </w:pPr>
      <w:r>
        <w:rPr/>
        <w:t>(ac)</w:t>
        <w:tab/>
        <w:t>Foreign</w:t>
      </w:r>
      <w:r>
        <w:rPr>
          <w:spacing w:val="-2"/>
        </w:rPr>
        <w:t> </w:t>
      </w:r>
      <w:r>
        <w:rPr/>
        <w:t>operations</w:t>
      </w:r>
    </w:p>
    <w:p>
      <w:pPr>
        <w:pStyle w:val="BodyText"/>
        <w:rPr>
          <w:b/>
          <w:sz w:val="25"/>
        </w:rPr>
      </w:pPr>
    </w:p>
    <w:p>
      <w:pPr>
        <w:pStyle w:val="BodyText"/>
        <w:ind w:left="1070" w:right="128"/>
      </w:pPr>
      <w:r>
        <w:rPr/>
        <w:t>The University of Western Sydney operates a small number of teaching programs in the Asia region.</w:t>
      </w:r>
    </w:p>
    <w:p>
      <w:pPr>
        <w:pStyle w:val="BodyText"/>
        <w:spacing w:before="11"/>
        <w:rPr>
          <w:sz w:val="24"/>
        </w:rPr>
      </w:pPr>
    </w:p>
    <w:p>
      <w:pPr>
        <w:pStyle w:val="Heading9"/>
        <w:tabs>
          <w:tab w:pos="1070" w:val="left" w:leader="none"/>
        </w:tabs>
        <w:ind w:left="504" w:right="128"/>
      </w:pPr>
      <w:r>
        <w:rPr/>
        <w:t>(ad)</w:t>
        <w:tab/>
        <w:t>New Accounting Standards and</w:t>
      </w:r>
      <w:r>
        <w:rPr>
          <w:spacing w:val="-1"/>
        </w:rPr>
        <w:t> </w:t>
      </w:r>
      <w:r>
        <w:rPr/>
        <w:t>Interpretations</w:t>
      </w:r>
    </w:p>
    <w:p>
      <w:pPr>
        <w:pStyle w:val="BodyText"/>
        <w:rPr>
          <w:b/>
          <w:sz w:val="25"/>
        </w:rPr>
      </w:pPr>
    </w:p>
    <w:p>
      <w:pPr>
        <w:pStyle w:val="BodyText"/>
        <w:ind w:left="1069" w:right="128"/>
      </w:pPr>
      <w:r>
        <w:rPr/>
        <w:t>Certain new Accounting Standards and Interpretations have been published that are not mandatory for 31 December 2012 reporting periods. The University of Western Sydney has assessed the impact of these new Standards and considers the impact to be insignificant.</w:t>
      </w:r>
    </w:p>
    <w:p>
      <w:pPr>
        <w:pStyle w:val="BodyText"/>
        <w:spacing w:before="11"/>
        <w:rPr>
          <w:sz w:val="24"/>
        </w:rPr>
      </w:pPr>
    </w:p>
    <w:p>
      <w:pPr>
        <w:pStyle w:val="Heading9"/>
        <w:tabs>
          <w:tab w:pos="1070" w:val="left" w:leader="none"/>
        </w:tabs>
        <w:ind w:left="504" w:right="128"/>
      </w:pPr>
      <w:r>
        <w:rPr/>
        <w:t>(ae)</w:t>
        <w:tab/>
        <w:t>Comparative</w:t>
      </w:r>
      <w:r>
        <w:rPr>
          <w:spacing w:val="-1"/>
        </w:rPr>
        <w:t> </w:t>
      </w:r>
      <w:r>
        <w:rPr/>
        <w:t>Amounts</w:t>
      </w:r>
    </w:p>
    <w:p>
      <w:pPr>
        <w:pStyle w:val="BodyText"/>
        <w:spacing w:before="11"/>
        <w:rPr>
          <w:b/>
          <w:sz w:val="24"/>
        </w:rPr>
      </w:pPr>
    </w:p>
    <w:p>
      <w:pPr>
        <w:pStyle w:val="BodyText"/>
        <w:ind w:left="1070" w:right="494"/>
      </w:pPr>
      <w:r>
        <w:rPr/>
        <w:t>When required by Accounting Standards, comparative figures have been adjusted to conform to changes in presentation for the current financial year.</w:t>
      </w:r>
    </w:p>
    <w:p>
      <w:pPr>
        <w:pStyle w:val="BodyText"/>
        <w:rPr>
          <w:sz w:val="25"/>
        </w:rPr>
      </w:pPr>
    </w:p>
    <w:p>
      <w:pPr>
        <w:pStyle w:val="BodyText"/>
        <w:ind w:left="1070" w:right="125"/>
      </w:pPr>
      <w:r>
        <w:rPr/>
        <w:t>When the Group applies an accounting policy retrospectively, makes a retrospective restatement or reclassifies items in the financial statements, a statement of financial position as at the beginning of the earliest comparative period will be presented.</w:t>
      </w:r>
    </w:p>
    <w:p>
      <w:pPr>
        <w:spacing w:after="0"/>
        <w:sectPr>
          <w:pgSz w:w="11910" w:h="16840"/>
          <w:pgMar w:header="1038" w:footer="507" w:top="2220" w:bottom="700" w:left="900" w:right="880"/>
        </w:sectPr>
      </w:pPr>
    </w:p>
    <w:p>
      <w:pPr>
        <w:pStyle w:val="BodyText"/>
        <w:rPr>
          <w:sz w:val="20"/>
        </w:rPr>
      </w:pPr>
    </w:p>
    <w:p>
      <w:pPr>
        <w:pStyle w:val="BodyText"/>
        <w:rPr>
          <w:sz w:val="20"/>
        </w:rPr>
      </w:pPr>
    </w:p>
    <w:p>
      <w:pPr>
        <w:pStyle w:val="BodyText"/>
        <w:spacing w:before="4"/>
      </w:pPr>
    </w:p>
    <w:p>
      <w:pPr>
        <w:pStyle w:val="Heading9"/>
        <w:numPr>
          <w:ilvl w:val="0"/>
          <w:numId w:val="11"/>
        </w:numPr>
        <w:tabs>
          <w:tab w:pos="504" w:val="left" w:leader="none"/>
        </w:tabs>
        <w:spacing w:line="240" w:lineRule="auto" w:before="0" w:after="0"/>
        <w:ind w:left="505" w:right="0" w:hanging="396"/>
        <w:jc w:val="left"/>
      </w:pPr>
      <w:r>
        <w:rPr/>
        <w:t>Summary of Significant Accounting Policies</w:t>
      </w:r>
      <w:r>
        <w:rPr>
          <w:spacing w:val="-5"/>
        </w:rPr>
        <w:t> </w:t>
      </w:r>
      <w:r>
        <w:rPr/>
        <w:t>(continued)</w:t>
      </w:r>
    </w:p>
    <w:p>
      <w:pPr>
        <w:pStyle w:val="BodyText"/>
        <w:spacing w:before="11"/>
        <w:rPr>
          <w:b/>
          <w:sz w:val="24"/>
        </w:rPr>
      </w:pPr>
    </w:p>
    <w:p>
      <w:pPr>
        <w:tabs>
          <w:tab w:pos="1070" w:val="left" w:leader="none"/>
        </w:tabs>
        <w:spacing w:line="207" w:lineRule="exact" w:before="0"/>
        <w:ind w:left="504" w:right="128" w:firstLine="0"/>
        <w:jc w:val="left"/>
        <w:rPr>
          <w:b/>
          <w:sz w:val="18"/>
        </w:rPr>
      </w:pPr>
      <w:r>
        <w:rPr>
          <w:b/>
          <w:sz w:val="18"/>
        </w:rPr>
        <w:t>(ae)</w:t>
        <w:tab/>
        <w:t>Comparative Amounts</w:t>
      </w:r>
      <w:r>
        <w:rPr>
          <w:b/>
          <w:spacing w:val="-1"/>
          <w:sz w:val="18"/>
        </w:rPr>
        <w:t> </w:t>
      </w:r>
      <w:r>
        <w:rPr>
          <w:b/>
          <w:sz w:val="18"/>
        </w:rPr>
        <w:t>(continued)</w:t>
      </w:r>
    </w:p>
    <w:p>
      <w:pPr>
        <w:pStyle w:val="BodyText"/>
        <w:spacing w:line="207" w:lineRule="exact"/>
        <w:ind w:left="1070" w:right="128"/>
      </w:pPr>
      <w:r>
        <w:rPr/>
        <w:t>The following reclassifications were made to conform with the current years presentation.</w:t>
      </w:r>
    </w:p>
    <w:p>
      <w:pPr>
        <w:pStyle w:val="BodyText"/>
        <w:spacing w:before="6"/>
      </w:pPr>
    </w:p>
    <w:p>
      <w:pPr>
        <w:spacing w:after="0"/>
        <w:sectPr>
          <w:pgSz w:w="11910" w:h="16840"/>
          <w:pgMar w:header="1038" w:footer="507" w:top="2220" w:bottom="700" w:left="900" w:right="880"/>
        </w:sectPr>
      </w:pPr>
    </w:p>
    <w:p>
      <w:pPr>
        <w:spacing w:before="80"/>
        <w:ind w:left="0" w:right="0" w:firstLine="0"/>
        <w:jc w:val="right"/>
        <w:rPr>
          <w:b/>
          <w:sz w:val="16"/>
        </w:rPr>
      </w:pPr>
      <w:r>
        <w:rPr>
          <w:b/>
          <w:w w:val="95"/>
          <w:sz w:val="16"/>
        </w:rPr>
        <w:t>2011</w:t>
      </w:r>
    </w:p>
    <w:p>
      <w:pPr>
        <w:spacing w:before="80"/>
        <w:ind w:left="742" w:right="0" w:firstLine="0"/>
        <w:jc w:val="left"/>
        <w:rPr>
          <w:b/>
          <w:sz w:val="16"/>
        </w:rPr>
      </w:pPr>
      <w:r>
        <w:rPr/>
        <w:br w:type="column"/>
      </w:r>
      <w:r>
        <w:rPr>
          <w:b/>
          <w:w w:val="95"/>
          <w:sz w:val="16"/>
        </w:rPr>
        <w:t>Reported</w:t>
      </w:r>
    </w:p>
    <w:p>
      <w:pPr>
        <w:spacing w:before="79"/>
        <w:ind w:left="0" w:right="0" w:firstLine="0"/>
        <w:jc w:val="right"/>
        <w:rPr>
          <w:b/>
          <w:sz w:val="16"/>
        </w:rPr>
      </w:pPr>
      <w:r>
        <w:rPr/>
        <w:br w:type="column"/>
      </w:r>
      <w:r>
        <w:rPr>
          <w:b/>
          <w:sz w:val="16"/>
        </w:rPr>
        <w:t>2011</w:t>
      </w:r>
    </w:p>
    <w:p>
      <w:pPr>
        <w:spacing w:before="79"/>
        <w:ind w:left="715" w:right="0" w:firstLine="0"/>
        <w:jc w:val="left"/>
        <w:rPr>
          <w:b/>
          <w:sz w:val="16"/>
        </w:rPr>
      </w:pPr>
      <w:r>
        <w:rPr/>
        <w:br w:type="column"/>
      </w:r>
      <w:r>
        <w:rPr>
          <w:b/>
          <w:sz w:val="16"/>
        </w:rPr>
        <w:t>Revised</w:t>
      </w:r>
    </w:p>
    <w:p>
      <w:pPr>
        <w:spacing w:after="0"/>
        <w:jc w:val="left"/>
        <w:rPr>
          <w:sz w:val="16"/>
        </w:rPr>
        <w:sectPr>
          <w:type w:val="continuous"/>
          <w:pgSz w:w="11910" w:h="16840"/>
          <w:pgMar w:top="0" w:bottom="280" w:left="900" w:right="880"/>
          <w:cols w:num="4" w:equalWidth="0">
            <w:col w:w="4367" w:space="40"/>
            <w:col w:w="1444" w:space="40"/>
            <w:col w:w="2499" w:space="40"/>
            <w:col w:w="1700"/>
          </w:cols>
        </w:sectPr>
      </w:pPr>
    </w:p>
    <w:p>
      <w:pPr>
        <w:spacing w:before="66"/>
        <w:ind w:left="0" w:right="0" w:firstLine="0"/>
        <w:jc w:val="right"/>
        <w:rPr>
          <w:b/>
          <w:sz w:val="16"/>
        </w:rPr>
      </w:pPr>
      <w:r>
        <w:rPr>
          <w:b/>
          <w:w w:val="95"/>
          <w:sz w:val="16"/>
        </w:rPr>
        <w:t>Consolidated</w:t>
      </w:r>
    </w:p>
    <w:p>
      <w:pPr>
        <w:spacing w:before="66"/>
        <w:ind w:left="86" w:right="0" w:firstLine="0"/>
        <w:jc w:val="left"/>
        <w:rPr>
          <w:b/>
          <w:sz w:val="16"/>
        </w:rPr>
      </w:pPr>
      <w:r>
        <w:rPr/>
        <w:br w:type="column"/>
      </w:r>
      <w:r>
        <w:rPr>
          <w:b/>
          <w:w w:val="95"/>
          <w:sz w:val="16"/>
        </w:rPr>
        <w:t>Parent</w:t>
      </w:r>
    </w:p>
    <w:p>
      <w:pPr>
        <w:spacing w:before="66"/>
        <w:ind w:left="2346" w:right="0" w:firstLine="0"/>
        <w:jc w:val="left"/>
        <w:rPr>
          <w:b/>
          <w:sz w:val="16"/>
        </w:rPr>
      </w:pPr>
      <w:r>
        <w:rPr/>
        <w:br w:type="column"/>
      </w:r>
      <w:r>
        <w:rPr>
          <w:b/>
          <w:sz w:val="16"/>
        </w:rPr>
        <w:t>Consolidated  Parent</w:t>
      </w:r>
    </w:p>
    <w:p>
      <w:pPr>
        <w:spacing w:after="0"/>
        <w:jc w:val="left"/>
        <w:rPr>
          <w:sz w:val="16"/>
        </w:rPr>
        <w:sectPr>
          <w:type w:val="continuous"/>
          <w:pgSz w:w="11910" w:h="16840"/>
          <w:pgMar w:top="0" w:bottom="280" w:left="900" w:right="880"/>
          <w:cols w:num="3" w:equalWidth="0">
            <w:col w:w="5023" w:space="40"/>
            <w:col w:w="584" w:space="40"/>
            <w:col w:w="4443"/>
          </w:cols>
        </w:sectPr>
      </w:pPr>
    </w:p>
    <w:p>
      <w:pPr>
        <w:pStyle w:val="BodyText"/>
        <w:spacing w:before="6"/>
        <w:rPr>
          <w:b/>
          <w:sz w:val="7"/>
        </w:rPr>
      </w:pPr>
    </w:p>
    <w:tbl>
      <w:tblPr>
        <w:tblW w:w="0" w:type="auto"/>
        <w:jc w:val="left"/>
        <w:tblInd w:w="10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19"/>
        <w:gridCol w:w="556"/>
        <w:gridCol w:w="1110"/>
        <w:gridCol w:w="906"/>
        <w:gridCol w:w="1978"/>
        <w:gridCol w:w="1219"/>
        <w:gridCol w:w="797"/>
      </w:tblGrid>
      <w:tr>
        <w:trPr>
          <w:trHeight w:val="260" w:hRule="exact"/>
        </w:trPr>
        <w:tc>
          <w:tcPr>
            <w:tcW w:w="2975" w:type="dxa"/>
            <w:gridSpan w:val="2"/>
          </w:tcPr>
          <w:p>
            <w:pPr>
              <w:pStyle w:val="TableParagraph"/>
              <w:spacing w:line="164" w:lineRule="exact"/>
              <w:ind w:right="164"/>
              <w:jc w:val="right"/>
              <w:rPr>
                <w:b/>
                <w:sz w:val="16"/>
              </w:rPr>
            </w:pPr>
            <w:r>
              <w:rPr>
                <w:b/>
                <w:sz w:val="16"/>
              </w:rPr>
              <w:t>Note</w:t>
            </w:r>
          </w:p>
        </w:tc>
        <w:tc>
          <w:tcPr>
            <w:tcW w:w="1110" w:type="dxa"/>
          </w:tcPr>
          <w:p>
            <w:pPr>
              <w:pStyle w:val="TableParagraph"/>
              <w:spacing w:line="163" w:lineRule="exact"/>
              <w:ind w:left="-1"/>
              <w:rPr>
                <w:b/>
                <w:sz w:val="16"/>
              </w:rPr>
            </w:pPr>
            <w:r>
              <w:rPr>
                <w:b/>
                <w:sz w:val="16"/>
              </w:rPr>
              <w:t>$'000</w:t>
            </w:r>
          </w:p>
        </w:tc>
        <w:tc>
          <w:tcPr>
            <w:tcW w:w="4899" w:type="dxa"/>
            <w:gridSpan w:val="4"/>
          </w:tcPr>
          <w:p>
            <w:pPr>
              <w:pStyle w:val="TableParagraph"/>
              <w:tabs>
                <w:tab w:pos="2910" w:val="left" w:leader="none"/>
                <w:tab w:pos="4020" w:val="left" w:leader="none"/>
              </w:tabs>
              <w:spacing w:line="163" w:lineRule="exact"/>
              <w:ind w:left="27"/>
              <w:rPr>
                <w:b/>
                <w:sz w:val="16"/>
              </w:rPr>
            </w:pPr>
            <w:r>
              <w:rPr>
                <w:b/>
                <w:sz w:val="16"/>
              </w:rPr>
              <w:t>$'000</w:t>
              <w:tab/>
              <w:t>$'000</w:t>
              <w:tab/>
              <w:t>$'000</w:t>
            </w:r>
          </w:p>
        </w:tc>
      </w:tr>
      <w:tr>
        <w:trPr>
          <w:trHeight w:val="285" w:hRule="exact"/>
        </w:trPr>
        <w:tc>
          <w:tcPr>
            <w:tcW w:w="2419" w:type="dxa"/>
          </w:tcPr>
          <w:p>
            <w:pPr>
              <w:pStyle w:val="TableParagraph"/>
              <w:spacing w:before="79"/>
              <w:ind w:left="35"/>
              <w:rPr>
                <w:b/>
                <w:sz w:val="16"/>
              </w:rPr>
            </w:pPr>
            <w:r>
              <w:rPr>
                <w:b/>
                <w:sz w:val="16"/>
              </w:rPr>
              <w:t>Income Statement</w:t>
            </w:r>
          </w:p>
        </w:tc>
        <w:tc>
          <w:tcPr>
            <w:tcW w:w="556" w:type="dxa"/>
          </w:tcPr>
          <w:p>
            <w:pPr/>
          </w:p>
        </w:tc>
        <w:tc>
          <w:tcPr>
            <w:tcW w:w="1110" w:type="dxa"/>
          </w:tcPr>
          <w:p>
            <w:pPr/>
          </w:p>
        </w:tc>
        <w:tc>
          <w:tcPr>
            <w:tcW w:w="906" w:type="dxa"/>
          </w:tcPr>
          <w:p>
            <w:pPr/>
          </w:p>
        </w:tc>
        <w:tc>
          <w:tcPr>
            <w:tcW w:w="1978" w:type="dxa"/>
          </w:tcPr>
          <w:p>
            <w:pPr/>
          </w:p>
        </w:tc>
        <w:tc>
          <w:tcPr>
            <w:tcW w:w="1219" w:type="dxa"/>
          </w:tcPr>
          <w:p>
            <w:pPr/>
          </w:p>
        </w:tc>
        <w:tc>
          <w:tcPr>
            <w:tcW w:w="797" w:type="dxa"/>
          </w:tcPr>
          <w:p>
            <w:pPr/>
          </w:p>
        </w:tc>
      </w:tr>
      <w:tr>
        <w:trPr>
          <w:trHeight w:val="227" w:hRule="exact"/>
        </w:trPr>
        <w:tc>
          <w:tcPr>
            <w:tcW w:w="2419" w:type="dxa"/>
          </w:tcPr>
          <w:p>
            <w:pPr>
              <w:pStyle w:val="TableParagraph"/>
              <w:spacing w:before="7"/>
              <w:ind w:left="249"/>
              <w:rPr>
                <w:sz w:val="16"/>
              </w:rPr>
            </w:pPr>
            <w:r>
              <w:rPr>
                <w:sz w:val="16"/>
              </w:rPr>
              <w:t>Other revenue</w:t>
            </w:r>
          </w:p>
        </w:tc>
        <w:tc>
          <w:tcPr>
            <w:tcW w:w="556" w:type="dxa"/>
          </w:tcPr>
          <w:p>
            <w:pPr>
              <w:pStyle w:val="TableParagraph"/>
              <w:spacing w:before="5"/>
              <w:ind w:left="35"/>
              <w:rPr>
                <w:sz w:val="16"/>
              </w:rPr>
            </w:pPr>
            <w:r>
              <w:rPr>
                <w:w w:val="99"/>
                <w:sz w:val="16"/>
              </w:rPr>
              <w:t>8</w:t>
            </w:r>
          </w:p>
        </w:tc>
        <w:tc>
          <w:tcPr>
            <w:tcW w:w="1110" w:type="dxa"/>
          </w:tcPr>
          <w:p>
            <w:pPr>
              <w:pStyle w:val="TableParagraph"/>
              <w:spacing w:before="6"/>
              <w:ind w:right="78"/>
              <w:jc w:val="right"/>
              <w:rPr>
                <w:sz w:val="16"/>
              </w:rPr>
            </w:pPr>
            <w:r>
              <w:rPr>
                <w:w w:val="95"/>
                <w:sz w:val="16"/>
              </w:rPr>
              <w:t>45,317</w:t>
            </w:r>
          </w:p>
        </w:tc>
        <w:tc>
          <w:tcPr>
            <w:tcW w:w="906" w:type="dxa"/>
          </w:tcPr>
          <w:p>
            <w:pPr>
              <w:pStyle w:val="TableParagraph"/>
              <w:spacing w:before="6"/>
              <w:ind w:right="79"/>
              <w:jc w:val="right"/>
              <w:rPr>
                <w:sz w:val="16"/>
              </w:rPr>
            </w:pPr>
            <w:r>
              <w:rPr>
                <w:w w:val="95"/>
                <w:sz w:val="16"/>
              </w:rPr>
              <w:t>25,234</w:t>
            </w:r>
          </w:p>
        </w:tc>
        <w:tc>
          <w:tcPr>
            <w:tcW w:w="1978" w:type="dxa"/>
          </w:tcPr>
          <w:p>
            <w:pPr>
              <w:pStyle w:val="TableParagraph"/>
              <w:spacing w:before="6"/>
              <w:ind w:left="27"/>
              <w:rPr>
                <w:sz w:val="16"/>
              </w:rPr>
            </w:pPr>
            <w:r>
              <w:rPr>
                <w:sz w:val="16"/>
              </w:rPr>
              <w:t>Other revenue</w:t>
            </w:r>
          </w:p>
        </w:tc>
        <w:tc>
          <w:tcPr>
            <w:tcW w:w="1219" w:type="dxa"/>
          </w:tcPr>
          <w:p>
            <w:pPr>
              <w:pStyle w:val="TableParagraph"/>
              <w:spacing w:before="6"/>
              <w:ind w:right="189"/>
              <w:jc w:val="right"/>
              <w:rPr>
                <w:sz w:val="16"/>
              </w:rPr>
            </w:pPr>
            <w:r>
              <w:rPr>
                <w:w w:val="95"/>
                <w:sz w:val="16"/>
              </w:rPr>
              <w:t>44,644</w:t>
            </w:r>
          </w:p>
        </w:tc>
        <w:tc>
          <w:tcPr>
            <w:tcW w:w="797" w:type="dxa"/>
          </w:tcPr>
          <w:p>
            <w:pPr>
              <w:pStyle w:val="TableParagraph"/>
              <w:spacing w:before="6"/>
              <w:ind w:left="226"/>
              <w:rPr>
                <w:sz w:val="16"/>
              </w:rPr>
            </w:pPr>
            <w:r>
              <w:rPr>
                <w:sz w:val="16"/>
              </w:rPr>
              <w:t>25,097</w:t>
            </w:r>
          </w:p>
        </w:tc>
      </w:tr>
      <w:tr>
        <w:trPr>
          <w:trHeight w:val="242" w:hRule="exact"/>
        </w:trPr>
        <w:tc>
          <w:tcPr>
            <w:tcW w:w="2419" w:type="dxa"/>
          </w:tcPr>
          <w:p>
            <w:pPr>
              <w:pStyle w:val="TableParagraph"/>
              <w:spacing w:before="21"/>
              <w:ind w:left="249"/>
              <w:rPr>
                <w:sz w:val="16"/>
              </w:rPr>
            </w:pPr>
            <w:r>
              <w:rPr>
                <w:sz w:val="16"/>
              </w:rPr>
              <w:t>Impairment of assets</w:t>
            </w:r>
          </w:p>
        </w:tc>
        <w:tc>
          <w:tcPr>
            <w:tcW w:w="556" w:type="dxa"/>
          </w:tcPr>
          <w:p>
            <w:pPr>
              <w:pStyle w:val="TableParagraph"/>
              <w:spacing w:before="19"/>
              <w:ind w:left="35"/>
              <w:rPr>
                <w:sz w:val="16"/>
              </w:rPr>
            </w:pPr>
            <w:r>
              <w:rPr>
                <w:sz w:val="16"/>
              </w:rPr>
              <w:t>13</w:t>
            </w:r>
          </w:p>
        </w:tc>
        <w:tc>
          <w:tcPr>
            <w:tcW w:w="1110" w:type="dxa"/>
            <w:tcBorders>
              <w:bottom w:val="single" w:sz="0" w:space="0" w:color="000000"/>
            </w:tcBorders>
          </w:tcPr>
          <w:p>
            <w:pPr>
              <w:pStyle w:val="TableParagraph"/>
              <w:spacing w:before="20"/>
              <w:ind w:right="25"/>
              <w:jc w:val="right"/>
              <w:rPr>
                <w:sz w:val="16"/>
              </w:rPr>
            </w:pPr>
            <w:r>
              <w:rPr>
                <w:sz w:val="16"/>
              </w:rPr>
              <w:t>(2,105)</w:t>
            </w:r>
          </w:p>
        </w:tc>
        <w:tc>
          <w:tcPr>
            <w:tcW w:w="906" w:type="dxa"/>
            <w:tcBorders>
              <w:bottom w:val="single" w:sz="0" w:space="0" w:color="000000"/>
            </w:tcBorders>
          </w:tcPr>
          <w:p>
            <w:pPr>
              <w:pStyle w:val="TableParagraph"/>
              <w:spacing w:before="20"/>
              <w:ind w:right="26"/>
              <w:jc w:val="right"/>
              <w:rPr>
                <w:sz w:val="16"/>
              </w:rPr>
            </w:pPr>
            <w:r>
              <w:rPr>
                <w:sz w:val="16"/>
              </w:rPr>
              <w:t>(2,394)</w:t>
            </w:r>
          </w:p>
        </w:tc>
        <w:tc>
          <w:tcPr>
            <w:tcW w:w="1978" w:type="dxa"/>
          </w:tcPr>
          <w:p>
            <w:pPr>
              <w:pStyle w:val="TableParagraph"/>
              <w:spacing w:before="20"/>
              <w:ind w:left="27"/>
              <w:rPr>
                <w:sz w:val="16"/>
              </w:rPr>
            </w:pPr>
            <w:r>
              <w:rPr>
                <w:sz w:val="16"/>
              </w:rPr>
              <w:t>Impairment of assets</w:t>
            </w:r>
          </w:p>
        </w:tc>
        <w:tc>
          <w:tcPr>
            <w:tcW w:w="1219" w:type="dxa"/>
            <w:tcBorders>
              <w:bottom w:val="single" w:sz="0" w:space="0" w:color="000000"/>
            </w:tcBorders>
          </w:tcPr>
          <w:p>
            <w:pPr>
              <w:pStyle w:val="TableParagraph"/>
              <w:spacing w:before="20"/>
              <w:ind w:right="135"/>
              <w:jc w:val="right"/>
              <w:rPr>
                <w:sz w:val="16"/>
              </w:rPr>
            </w:pPr>
            <w:r>
              <w:rPr>
                <w:sz w:val="16"/>
              </w:rPr>
              <w:t>(1,432)</w:t>
            </w:r>
          </w:p>
        </w:tc>
        <w:tc>
          <w:tcPr>
            <w:tcW w:w="797" w:type="dxa"/>
            <w:tcBorders>
              <w:bottom w:val="single" w:sz="0" w:space="0" w:color="000000"/>
            </w:tcBorders>
          </w:tcPr>
          <w:p>
            <w:pPr>
              <w:pStyle w:val="TableParagraph"/>
              <w:spacing w:before="20"/>
              <w:ind w:right="26"/>
              <w:jc w:val="right"/>
              <w:rPr>
                <w:sz w:val="16"/>
              </w:rPr>
            </w:pPr>
            <w:r>
              <w:rPr>
                <w:sz w:val="16"/>
              </w:rPr>
              <w:t>(2,257)</w:t>
            </w:r>
          </w:p>
        </w:tc>
      </w:tr>
      <w:tr>
        <w:trPr>
          <w:trHeight w:val="260" w:hRule="exact"/>
        </w:trPr>
        <w:tc>
          <w:tcPr>
            <w:tcW w:w="2419" w:type="dxa"/>
          </w:tcPr>
          <w:p>
            <w:pPr/>
          </w:p>
        </w:tc>
        <w:tc>
          <w:tcPr>
            <w:tcW w:w="556" w:type="dxa"/>
          </w:tcPr>
          <w:p>
            <w:pPr/>
          </w:p>
        </w:tc>
        <w:tc>
          <w:tcPr>
            <w:tcW w:w="1110" w:type="dxa"/>
            <w:tcBorders>
              <w:top w:val="single" w:sz="0" w:space="0" w:color="000000"/>
              <w:bottom w:val="single" w:sz="0" w:space="0" w:color="000000"/>
            </w:tcBorders>
          </w:tcPr>
          <w:p>
            <w:pPr>
              <w:pStyle w:val="TableParagraph"/>
              <w:spacing w:before="38"/>
              <w:ind w:right="78"/>
              <w:jc w:val="right"/>
              <w:rPr>
                <w:sz w:val="16"/>
              </w:rPr>
            </w:pPr>
            <w:r>
              <w:rPr>
                <w:w w:val="95"/>
                <w:sz w:val="16"/>
              </w:rPr>
              <w:t>43,212</w:t>
            </w:r>
          </w:p>
        </w:tc>
        <w:tc>
          <w:tcPr>
            <w:tcW w:w="906" w:type="dxa"/>
            <w:tcBorders>
              <w:top w:val="single" w:sz="0" w:space="0" w:color="000000"/>
              <w:bottom w:val="single" w:sz="0" w:space="0" w:color="000000"/>
            </w:tcBorders>
          </w:tcPr>
          <w:p>
            <w:pPr>
              <w:pStyle w:val="TableParagraph"/>
              <w:spacing w:before="38"/>
              <w:ind w:right="79"/>
              <w:jc w:val="right"/>
              <w:rPr>
                <w:sz w:val="16"/>
              </w:rPr>
            </w:pPr>
            <w:r>
              <w:rPr>
                <w:w w:val="95"/>
                <w:sz w:val="16"/>
              </w:rPr>
              <w:t>22,840</w:t>
            </w:r>
          </w:p>
        </w:tc>
        <w:tc>
          <w:tcPr>
            <w:tcW w:w="1978" w:type="dxa"/>
          </w:tcPr>
          <w:p>
            <w:pPr/>
          </w:p>
        </w:tc>
        <w:tc>
          <w:tcPr>
            <w:tcW w:w="1219" w:type="dxa"/>
            <w:tcBorders>
              <w:top w:val="single" w:sz="0" w:space="0" w:color="000000"/>
              <w:bottom w:val="single" w:sz="0" w:space="0" w:color="000000"/>
            </w:tcBorders>
          </w:tcPr>
          <w:p>
            <w:pPr>
              <w:pStyle w:val="TableParagraph"/>
              <w:spacing w:before="38"/>
              <w:ind w:right="189"/>
              <w:jc w:val="right"/>
              <w:rPr>
                <w:sz w:val="16"/>
              </w:rPr>
            </w:pPr>
            <w:r>
              <w:rPr>
                <w:w w:val="95"/>
                <w:sz w:val="16"/>
              </w:rPr>
              <w:t>43,212</w:t>
            </w:r>
          </w:p>
        </w:tc>
        <w:tc>
          <w:tcPr>
            <w:tcW w:w="797" w:type="dxa"/>
            <w:tcBorders>
              <w:top w:val="single" w:sz="0" w:space="0" w:color="000000"/>
              <w:bottom w:val="single" w:sz="0" w:space="0" w:color="000000"/>
            </w:tcBorders>
          </w:tcPr>
          <w:p>
            <w:pPr>
              <w:pStyle w:val="TableParagraph"/>
              <w:spacing w:before="38"/>
              <w:ind w:left="226"/>
              <w:rPr>
                <w:sz w:val="16"/>
              </w:rPr>
            </w:pPr>
            <w:r>
              <w:rPr>
                <w:sz w:val="16"/>
              </w:rPr>
              <w:t>22,840</w:t>
            </w:r>
          </w:p>
        </w:tc>
      </w:tr>
      <w:tr>
        <w:trPr>
          <w:trHeight w:val="209" w:hRule="exact"/>
        </w:trPr>
        <w:tc>
          <w:tcPr>
            <w:tcW w:w="2419" w:type="dxa"/>
          </w:tcPr>
          <w:p>
            <w:pPr/>
          </w:p>
        </w:tc>
        <w:tc>
          <w:tcPr>
            <w:tcW w:w="556" w:type="dxa"/>
          </w:tcPr>
          <w:p>
            <w:pPr>
              <w:pStyle w:val="TableParagraph"/>
              <w:spacing w:before="37"/>
              <w:ind w:left="34"/>
              <w:rPr>
                <w:sz w:val="16"/>
              </w:rPr>
            </w:pPr>
            <w:r>
              <w:rPr>
                <w:w w:val="99"/>
                <w:sz w:val="16"/>
              </w:rPr>
              <w:t>2</w:t>
            </w:r>
          </w:p>
        </w:tc>
        <w:tc>
          <w:tcPr>
            <w:tcW w:w="1110" w:type="dxa"/>
            <w:tcBorders>
              <w:top w:val="single" w:sz="0" w:space="0" w:color="000000"/>
            </w:tcBorders>
          </w:tcPr>
          <w:p>
            <w:pPr/>
          </w:p>
        </w:tc>
        <w:tc>
          <w:tcPr>
            <w:tcW w:w="906" w:type="dxa"/>
            <w:tcBorders>
              <w:top w:val="single" w:sz="0" w:space="0" w:color="000000"/>
            </w:tcBorders>
          </w:tcPr>
          <w:p>
            <w:pPr/>
          </w:p>
        </w:tc>
        <w:tc>
          <w:tcPr>
            <w:tcW w:w="1978" w:type="dxa"/>
          </w:tcPr>
          <w:p>
            <w:pPr/>
          </w:p>
        </w:tc>
        <w:tc>
          <w:tcPr>
            <w:tcW w:w="1219" w:type="dxa"/>
            <w:tcBorders>
              <w:top w:val="single" w:sz="0" w:space="0" w:color="000000"/>
            </w:tcBorders>
          </w:tcPr>
          <w:p>
            <w:pPr/>
          </w:p>
        </w:tc>
        <w:tc>
          <w:tcPr>
            <w:tcW w:w="797" w:type="dxa"/>
            <w:tcBorders>
              <w:top w:val="single" w:sz="0" w:space="0" w:color="000000"/>
            </w:tcBorders>
          </w:tcPr>
          <w:p>
            <w:pPr/>
          </w:p>
        </w:tc>
      </w:tr>
      <w:tr>
        <w:trPr>
          <w:trHeight w:val="163" w:hRule="exact"/>
        </w:trPr>
        <w:tc>
          <w:tcPr>
            <w:tcW w:w="2419" w:type="dxa"/>
          </w:tcPr>
          <w:p>
            <w:pPr>
              <w:pStyle w:val="TableParagraph"/>
              <w:spacing w:line="154" w:lineRule="exact"/>
              <w:ind w:left="249"/>
              <w:rPr>
                <w:sz w:val="16"/>
              </w:rPr>
            </w:pPr>
            <w:r>
              <w:rPr>
                <w:sz w:val="16"/>
              </w:rPr>
              <w:t>HECS-HELP -</w:t>
            </w:r>
          </w:p>
        </w:tc>
        <w:tc>
          <w:tcPr>
            <w:tcW w:w="556" w:type="dxa"/>
          </w:tcPr>
          <w:p>
            <w:pPr/>
          </w:p>
        </w:tc>
        <w:tc>
          <w:tcPr>
            <w:tcW w:w="1110" w:type="dxa"/>
          </w:tcPr>
          <w:p>
            <w:pPr/>
          </w:p>
        </w:tc>
        <w:tc>
          <w:tcPr>
            <w:tcW w:w="906" w:type="dxa"/>
          </w:tcPr>
          <w:p>
            <w:pPr/>
          </w:p>
        </w:tc>
        <w:tc>
          <w:tcPr>
            <w:tcW w:w="1978" w:type="dxa"/>
          </w:tcPr>
          <w:p>
            <w:pPr/>
          </w:p>
        </w:tc>
        <w:tc>
          <w:tcPr>
            <w:tcW w:w="1219" w:type="dxa"/>
          </w:tcPr>
          <w:p>
            <w:pPr/>
          </w:p>
        </w:tc>
        <w:tc>
          <w:tcPr>
            <w:tcW w:w="797" w:type="dxa"/>
          </w:tcPr>
          <w:p>
            <w:pPr/>
          </w:p>
        </w:tc>
      </w:tr>
      <w:tr>
        <w:trPr>
          <w:trHeight w:val="184" w:hRule="exact"/>
        </w:trPr>
        <w:tc>
          <w:tcPr>
            <w:tcW w:w="2419" w:type="dxa"/>
          </w:tcPr>
          <w:p>
            <w:pPr>
              <w:pStyle w:val="TableParagraph"/>
              <w:spacing w:line="175" w:lineRule="exact"/>
              <w:ind w:left="249"/>
              <w:rPr>
                <w:sz w:val="16"/>
              </w:rPr>
            </w:pPr>
            <w:r>
              <w:rPr>
                <w:sz w:val="16"/>
              </w:rPr>
              <w:t>Australian Government</w:t>
            </w:r>
          </w:p>
        </w:tc>
        <w:tc>
          <w:tcPr>
            <w:tcW w:w="556" w:type="dxa"/>
          </w:tcPr>
          <w:p>
            <w:pPr/>
          </w:p>
        </w:tc>
        <w:tc>
          <w:tcPr>
            <w:tcW w:w="1110" w:type="dxa"/>
          </w:tcPr>
          <w:p>
            <w:pPr/>
          </w:p>
        </w:tc>
        <w:tc>
          <w:tcPr>
            <w:tcW w:w="906" w:type="dxa"/>
          </w:tcPr>
          <w:p>
            <w:pPr/>
          </w:p>
        </w:tc>
        <w:tc>
          <w:tcPr>
            <w:tcW w:w="1978" w:type="dxa"/>
          </w:tcPr>
          <w:p>
            <w:pPr/>
          </w:p>
        </w:tc>
        <w:tc>
          <w:tcPr>
            <w:tcW w:w="1219" w:type="dxa"/>
          </w:tcPr>
          <w:p>
            <w:pPr/>
          </w:p>
        </w:tc>
        <w:tc>
          <w:tcPr>
            <w:tcW w:w="797" w:type="dxa"/>
          </w:tcPr>
          <w:p>
            <w:pPr/>
          </w:p>
        </w:tc>
      </w:tr>
      <w:tr>
        <w:trPr>
          <w:trHeight w:val="212" w:hRule="exact"/>
        </w:trPr>
        <w:tc>
          <w:tcPr>
            <w:tcW w:w="2419" w:type="dxa"/>
          </w:tcPr>
          <w:p>
            <w:pPr>
              <w:pStyle w:val="TableParagraph"/>
              <w:spacing w:line="175" w:lineRule="exact"/>
              <w:ind w:left="249"/>
              <w:rPr>
                <w:sz w:val="16"/>
              </w:rPr>
            </w:pPr>
            <w:r>
              <w:rPr>
                <w:sz w:val="16"/>
              </w:rPr>
              <w:t>payments</w:t>
            </w:r>
          </w:p>
        </w:tc>
        <w:tc>
          <w:tcPr>
            <w:tcW w:w="556" w:type="dxa"/>
          </w:tcPr>
          <w:p>
            <w:pPr/>
          </w:p>
        </w:tc>
        <w:tc>
          <w:tcPr>
            <w:tcW w:w="1110" w:type="dxa"/>
          </w:tcPr>
          <w:p>
            <w:pPr>
              <w:pStyle w:val="TableParagraph"/>
              <w:spacing w:line="175" w:lineRule="exact"/>
              <w:ind w:right="79"/>
              <w:jc w:val="right"/>
              <w:rPr>
                <w:sz w:val="16"/>
              </w:rPr>
            </w:pPr>
            <w:r>
              <w:rPr>
                <w:w w:val="95"/>
                <w:sz w:val="16"/>
              </w:rPr>
              <w:t>144,679</w:t>
            </w:r>
          </w:p>
        </w:tc>
        <w:tc>
          <w:tcPr>
            <w:tcW w:w="906" w:type="dxa"/>
          </w:tcPr>
          <w:p>
            <w:pPr>
              <w:pStyle w:val="TableParagraph"/>
              <w:spacing w:line="175" w:lineRule="exact"/>
              <w:ind w:right="80"/>
              <w:jc w:val="right"/>
              <w:rPr>
                <w:sz w:val="16"/>
              </w:rPr>
            </w:pPr>
            <w:r>
              <w:rPr>
                <w:w w:val="95"/>
                <w:sz w:val="16"/>
              </w:rPr>
              <w:t>144,679</w:t>
            </w:r>
          </w:p>
        </w:tc>
        <w:tc>
          <w:tcPr>
            <w:tcW w:w="1978" w:type="dxa"/>
          </w:tcPr>
          <w:p>
            <w:pPr/>
          </w:p>
        </w:tc>
        <w:tc>
          <w:tcPr>
            <w:tcW w:w="1219" w:type="dxa"/>
          </w:tcPr>
          <w:p>
            <w:pPr>
              <w:pStyle w:val="TableParagraph"/>
              <w:spacing w:line="175" w:lineRule="exact"/>
              <w:ind w:right="188"/>
              <w:jc w:val="right"/>
              <w:rPr>
                <w:sz w:val="16"/>
              </w:rPr>
            </w:pPr>
            <w:r>
              <w:rPr>
                <w:w w:val="99"/>
                <w:sz w:val="16"/>
              </w:rPr>
              <w:t>-</w:t>
            </w:r>
          </w:p>
        </w:tc>
        <w:tc>
          <w:tcPr>
            <w:tcW w:w="797" w:type="dxa"/>
          </w:tcPr>
          <w:p>
            <w:pPr>
              <w:pStyle w:val="TableParagraph"/>
              <w:spacing w:line="175" w:lineRule="exact"/>
              <w:ind w:right="79"/>
              <w:jc w:val="right"/>
              <w:rPr>
                <w:sz w:val="16"/>
              </w:rPr>
            </w:pPr>
            <w:r>
              <w:rPr>
                <w:w w:val="99"/>
                <w:sz w:val="16"/>
              </w:rPr>
              <w:t>-</w:t>
            </w:r>
          </w:p>
        </w:tc>
      </w:tr>
      <w:tr>
        <w:trPr>
          <w:trHeight w:val="242" w:hRule="exact"/>
        </w:trPr>
        <w:tc>
          <w:tcPr>
            <w:tcW w:w="2419" w:type="dxa"/>
          </w:tcPr>
          <w:p>
            <w:pPr>
              <w:pStyle w:val="TableParagraph"/>
              <w:spacing w:before="22"/>
              <w:ind w:left="249"/>
              <w:rPr>
                <w:sz w:val="16"/>
              </w:rPr>
            </w:pPr>
            <w:r>
              <w:rPr>
                <w:sz w:val="16"/>
              </w:rPr>
              <w:t>FEE-HELP</w:t>
            </w:r>
          </w:p>
        </w:tc>
        <w:tc>
          <w:tcPr>
            <w:tcW w:w="556" w:type="dxa"/>
          </w:tcPr>
          <w:p>
            <w:pPr>
              <w:pStyle w:val="TableParagraph"/>
              <w:spacing w:before="19"/>
              <w:ind w:left="35"/>
              <w:rPr>
                <w:sz w:val="16"/>
              </w:rPr>
            </w:pPr>
            <w:r>
              <w:rPr>
                <w:w w:val="99"/>
                <w:sz w:val="16"/>
              </w:rPr>
              <w:t>2</w:t>
            </w:r>
          </w:p>
        </w:tc>
        <w:tc>
          <w:tcPr>
            <w:tcW w:w="1110" w:type="dxa"/>
          </w:tcPr>
          <w:p>
            <w:pPr>
              <w:pStyle w:val="TableParagraph"/>
              <w:spacing w:before="20"/>
              <w:ind w:right="78"/>
              <w:jc w:val="right"/>
              <w:rPr>
                <w:sz w:val="16"/>
              </w:rPr>
            </w:pPr>
            <w:r>
              <w:rPr>
                <w:w w:val="95"/>
                <w:sz w:val="16"/>
              </w:rPr>
              <w:t>10,129</w:t>
            </w:r>
          </w:p>
        </w:tc>
        <w:tc>
          <w:tcPr>
            <w:tcW w:w="906" w:type="dxa"/>
          </w:tcPr>
          <w:p>
            <w:pPr>
              <w:pStyle w:val="TableParagraph"/>
              <w:spacing w:before="20"/>
              <w:ind w:right="79"/>
              <w:jc w:val="right"/>
              <w:rPr>
                <w:sz w:val="16"/>
              </w:rPr>
            </w:pPr>
            <w:r>
              <w:rPr>
                <w:w w:val="95"/>
                <w:sz w:val="16"/>
              </w:rPr>
              <w:t>8,666</w:t>
            </w:r>
          </w:p>
        </w:tc>
        <w:tc>
          <w:tcPr>
            <w:tcW w:w="1978" w:type="dxa"/>
          </w:tcPr>
          <w:p>
            <w:pPr/>
          </w:p>
        </w:tc>
        <w:tc>
          <w:tcPr>
            <w:tcW w:w="1219" w:type="dxa"/>
          </w:tcPr>
          <w:p>
            <w:pPr>
              <w:pStyle w:val="TableParagraph"/>
              <w:spacing w:before="20"/>
              <w:ind w:right="188"/>
              <w:jc w:val="right"/>
              <w:rPr>
                <w:sz w:val="16"/>
              </w:rPr>
            </w:pPr>
            <w:r>
              <w:rPr>
                <w:w w:val="99"/>
                <w:sz w:val="16"/>
              </w:rPr>
              <w:t>-</w:t>
            </w:r>
          </w:p>
        </w:tc>
        <w:tc>
          <w:tcPr>
            <w:tcW w:w="797" w:type="dxa"/>
          </w:tcPr>
          <w:p>
            <w:pPr>
              <w:pStyle w:val="TableParagraph"/>
              <w:spacing w:before="20"/>
              <w:ind w:right="79"/>
              <w:jc w:val="right"/>
              <w:rPr>
                <w:sz w:val="16"/>
              </w:rPr>
            </w:pPr>
            <w:r>
              <w:rPr>
                <w:w w:val="99"/>
                <w:sz w:val="16"/>
              </w:rPr>
              <w:t>-</w:t>
            </w:r>
          </w:p>
        </w:tc>
      </w:tr>
      <w:tr>
        <w:trPr>
          <w:trHeight w:val="213" w:hRule="exact"/>
        </w:trPr>
        <w:tc>
          <w:tcPr>
            <w:tcW w:w="2419" w:type="dxa"/>
          </w:tcPr>
          <w:p>
            <w:pPr/>
          </w:p>
        </w:tc>
        <w:tc>
          <w:tcPr>
            <w:tcW w:w="556" w:type="dxa"/>
          </w:tcPr>
          <w:p>
            <w:pPr>
              <w:pStyle w:val="TableParagraph"/>
              <w:spacing w:before="19"/>
              <w:ind w:left="35"/>
              <w:rPr>
                <w:sz w:val="16"/>
              </w:rPr>
            </w:pPr>
            <w:r>
              <w:rPr>
                <w:w w:val="99"/>
                <w:sz w:val="16"/>
              </w:rPr>
              <w:t>2</w:t>
            </w:r>
          </w:p>
        </w:tc>
        <w:tc>
          <w:tcPr>
            <w:tcW w:w="1110" w:type="dxa"/>
          </w:tcPr>
          <w:p>
            <w:pPr/>
          </w:p>
        </w:tc>
        <w:tc>
          <w:tcPr>
            <w:tcW w:w="906" w:type="dxa"/>
          </w:tcPr>
          <w:p>
            <w:pPr/>
          </w:p>
        </w:tc>
        <w:tc>
          <w:tcPr>
            <w:tcW w:w="1978" w:type="dxa"/>
          </w:tcPr>
          <w:p>
            <w:pPr>
              <w:pStyle w:val="TableParagraph"/>
              <w:spacing w:before="20"/>
              <w:ind w:left="27"/>
              <w:rPr>
                <w:sz w:val="16"/>
              </w:rPr>
            </w:pPr>
            <w:r>
              <w:rPr>
                <w:sz w:val="16"/>
              </w:rPr>
              <w:t>HELP - Australian</w:t>
            </w:r>
          </w:p>
        </w:tc>
        <w:tc>
          <w:tcPr>
            <w:tcW w:w="1219" w:type="dxa"/>
          </w:tcPr>
          <w:p>
            <w:pPr/>
          </w:p>
        </w:tc>
        <w:tc>
          <w:tcPr>
            <w:tcW w:w="797" w:type="dxa"/>
          </w:tcPr>
          <w:p>
            <w:pPr/>
          </w:p>
        </w:tc>
      </w:tr>
      <w:tr>
        <w:trPr>
          <w:trHeight w:val="213" w:hRule="exact"/>
        </w:trPr>
        <w:tc>
          <w:tcPr>
            <w:tcW w:w="2419" w:type="dxa"/>
          </w:tcPr>
          <w:p>
            <w:pPr/>
          </w:p>
        </w:tc>
        <w:tc>
          <w:tcPr>
            <w:tcW w:w="556" w:type="dxa"/>
          </w:tcPr>
          <w:p>
            <w:pPr/>
          </w:p>
        </w:tc>
        <w:tc>
          <w:tcPr>
            <w:tcW w:w="1110" w:type="dxa"/>
            <w:tcBorders>
              <w:bottom w:val="single" w:sz="0" w:space="0" w:color="000000"/>
            </w:tcBorders>
          </w:tcPr>
          <w:p>
            <w:pPr>
              <w:pStyle w:val="TableParagraph"/>
              <w:spacing w:line="175" w:lineRule="exact"/>
              <w:ind w:right="78"/>
              <w:jc w:val="right"/>
              <w:rPr>
                <w:sz w:val="16"/>
              </w:rPr>
            </w:pPr>
            <w:r>
              <w:rPr>
                <w:w w:val="99"/>
                <w:sz w:val="16"/>
              </w:rPr>
              <w:t>-</w:t>
            </w:r>
          </w:p>
        </w:tc>
        <w:tc>
          <w:tcPr>
            <w:tcW w:w="906" w:type="dxa"/>
            <w:tcBorders>
              <w:bottom w:val="single" w:sz="0" w:space="0" w:color="000000"/>
            </w:tcBorders>
          </w:tcPr>
          <w:p>
            <w:pPr>
              <w:pStyle w:val="TableParagraph"/>
              <w:spacing w:line="175" w:lineRule="exact"/>
              <w:ind w:right="79"/>
              <w:jc w:val="right"/>
              <w:rPr>
                <w:sz w:val="16"/>
              </w:rPr>
            </w:pPr>
            <w:r>
              <w:rPr>
                <w:w w:val="99"/>
                <w:sz w:val="16"/>
              </w:rPr>
              <w:t>-</w:t>
            </w:r>
          </w:p>
        </w:tc>
        <w:tc>
          <w:tcPr>
            <w:tcW w:w="1978" w:type="dxa"/>
          </w:tcPr>
          <w:p>
            <w:pPr>
              <w:pStyle w:val="TableParagraph"/>
              <w:spacing w:line="175" w:lineRule="exact"/>
              <w:ind w:left="27"/>
              <w:rPr>
                <w:sz w:val="16"/>
              </w:rPr>
            </w:pPr>
            <w:r>
              <w:rPr>
                <w:sz w:val="16"/>
              </w:rPr>
              <w:t>Government Payment</w:t>
            </w:r>
          </w:p>
        </w:tc>
        <w:tc>
          <w:tcPr>
            <w:tcW w:w="1219" w:type="dxa"/>
            <w:tcBorders>
              <w:bottom w:val="single" w:sz="0" w:space="0" w:color="000000"/>
            </w:tcBorders>
          </w:tcPr>
          <w:p>
            <w:pPr>
              <w:pStyle w:val="TableParagraph"/>
              <w:spacing w:line="175" w:lineRule="exact"/>
              <w:ind w:right="189"/>
              <w:jc w:val="right"/>
              <w:rPr>
                <w:sz w:val="16"/>
              </w:rPr>
            </w:pPr>
            <w:r>
              <w:rPr>
                <w:w w:val="95"/>
                <w:sz w:val="16"/>
              </w:rPr>
              <w:t>154,808</w:t>
            </w:r>
          </w:p>
        </w:tc>
        <w:tc>
          <w:tcPr>
            <w:tcW w:w="797" w:type="dxa"/>
            <w:tcBorders>
              <w:bottom w:val="single" w:sz="0" w:space="0" w:color="000000"/>
            </w:tcBorders>
          </w:tcPr>
          <w:p>
            <w:pPr>
              <w:pStyle w:val="TableParagraph"/>
              <w:spacing w:line="175" w:lineRule="exact"/>
              <w:ind w:left="137"/>
              <w:rPr>
                <w:sz w:val="16"/>
              </w:rPr>
            </w:pPr>
            <w:r>
              <w:rPr>
                <w:sz w:val="16"/>
              </w:rPr>
              <w:t>153,345</w:t>
            </w:r>
          </w:p>
        </w:tc>
      </w:tr>
      <w:tr>
        <w:trPr>
          <w:trHeight w:val="260" w:hRule="exact"/>
        </w:trPr>
        <w:tc>
          <w:tcPr>
            <w:tcW w:w="2419" w:type="dxa"/>
          </w:tcPr>
          <w:p>
            <w:pPr/>
          </w:p>
        </w:tc>
        <w:tc>
          <w:tcPr>
            <w:tcW w:w="556" w:type="dxa"/>
          </w:tcPr>
          <w:p>
            <w:pPr/>
          </w:p>
        </w:tc>
        <w:tc>
          <w:tcPr>
            <w:tcW w:w="1110" w:type="dxa"/>
            <w:tcBorders>
              <w:top w:val="single" w:sz="0" w:space="0" w:color="000000"/>
              <w:bottom w:val="single" w:sz="0" w:space="0" w:color="000000"/>
            </w:tcBorders>
          </w:tcPr>
          <w:p>
            <w:pPr>
              <w:pStyle w:val="TableParagraph"/>
              <w:spacing w:before="38"/>
              <w:ind w:right="79"/>
              <w:jc w:val="right"/>
              <w:rPr>
                <w:sz w:val="16"/>
              </w:rPr>
            </w:pPr>
            <w:r>
              <w:rPr>
                <w:w w:val="95"/>
                <w:sz w:val="16"/>
              </w:rPr>
              <w:t>154,808</w:t>
            </w:r>
          </w:p>
        </w:tc>
        <w:tc>
          <w:tcPr>
            <w:tcW w:w="906" w:type="dxa"/>
            <w:tcBorders>
              <w:top w:val="single" w:sz="0" w:space="0" w:color="000000"/>
              <w:bottom w:val="single" w:sz="0" w:space="0" w:color="000000"/>
            </w:tcBorders>
          </w:tcPr>
          <w:p>
            <w:pPr>
              <w:pStyle w:val="TableParagraph"/>
              <w:spacing w:before="38"/>
              <w:ind w:right="80"/>
              <w:jc w:val="right"/>
              <w:rPr>
                <w:sz w:val="16"/>
              </w:rPr>
            </w:pPr>
            <w:r>
              <w:rPr>
                <w:w w:val="95"/>
                <w:sz w:val="16"/>
              </w:rPr>
              <w:t>153,345</w:t>
            </w:r>
          </w:p>
        </w:tc>
        <w:tc>
          <w:tcPr>
            <w:tcW w:w="1978" w:type="dxa"/>
          </w:tcPr>
          <w:p>
            <w:pPr/>
          </w:p>
        </w:tc>
        <w:tc>
          <w:tcPr>
            <w:tcW w:w="1219" w:type="dxa"/>
            <w:tcBorders>
              <w:top w:val="single" w:sz="0" w:space="0" w:color="000000"/>
              <w:bottom w:val="single" w:sz="0" w:space="0" w:color="000000"/>
            </w:tcBorders>
          </w:tcPr>
          <w:p>
            <w:pPr>
              <w:pStyle w:val="TableParagraph"/>
              <w:spacing w:before="38"/>
              <w:ind w:right="189"/>
              <w:jc w:val="right"/>
              <w:rPr>
                <w:sz w:val="16"/>
              </w:rPr>
            </w:pPr>
            <w:r>
              <w:rPr>
                <w:w w:val="95"/>
                <w:sz w:val="16"/>
              </w:rPr>
              <w:t>154,808</w:t>
            </w:r>
          </w:p>
        </w:tc>
        <w:tc>
          <w:tcPr>
            <w:tcW w:w="797" w:type="dxa"/>
            <w:tcBorders>
              <w:top w:val="single" w:sz="0" w:space="0" w:color="000000"/>
              <w:bottom w:val="single" w:sz="0" w:space="0" w:color="000000"/>
            </w:tcBorders>
          </w:tcPr>
          <w:p>
            <w:pPr>
              <w:pStyle w:val="TableParagraph"/>
              <w:spacing w:before="38"/>
              <w:ind w:left="137"/>
              <w:rPr>
                <w:sz w:val="16"/>
              </w:rPr>
            </w:pPr>
            <w:r>
              <w:rPr>
                <w:sz w:val="16"/>
              </w:rPr>
              <w:t>153,345</w:t>
            </w:r>
          </w:p>
        </w:tc>
      </w:tr>
    </w:tbl>
    <w:p>
      <w:pPr>
        <w:pStyle w:val="BodyText"/>
        <w:spacing w:before="6"/>
        <w:rPr>
          <w:b/>
          <w:sz w:val="28"/>
        </w:rPr>
      </w:pPr>
    </w:p>
    <w:p>
      <w:pPr>
        <w:spacing w:before="80"/>
        <w:ind w:left="1071" w:right="7332" w:firstLine="0"/>
        <w:jc w:val="left"/>
        <w:rPr>
          <w:b/>
          <w:sz w:val="16"/>
        </w:rPr>
      </w:pPr>
      <w:r>
        <w:rPr>
          <w:b/>
          <w:sz w:val="16"/>
        </w:rPr>
        <w:t>Statement of Financial Position</w:t>
      </w:r>
    </w:p>
    <w:p>
      <w:pPr>
        <w:tabs>
          <w:tab w:pos="3490" w:val="left" w:leader="none"/>
          <w:tab w:pos="4463" w:val="left" w:leader="none"/>
          <w:tab w:pos="5368" w:val="left" w:leader="none"/>
          <w:tab w:pos="8455" w:val="left" w:leader="none"/>
          <w:tab w:pos="9361" w:val="left" w:leader="none"/>
        </w:tabs>
        <w:spacing w:before="29"/>
        <w:ind w:left="1286" w:right="128" w:firstLine="0"/>
        <w:jc w:val="left"/>
        <w:rPr>
          <w:sz w:val="16"/>
        </w:rPr>
      </w:pPr>
      <w:r>
        <w:rPr>
          <w:sz w:val="16"/>
        </w:rPr>
        <w:t>Freehold</w:t>
      </w:r>
      <w:r>
        <w:rPr>
          <w:spacing w:val="-3"/>
          <w:sz w:val="16"/>
        </w:rPr>
        <w:t> </w:t>
      </w:r>
      <w:r>
        <w:rPr>
          <w:sz w:val="16"/>
        </w:rPr>
        <w:t>buildings</w:t>
        <w:tab/>
        <w:t>18</w:t>
        <w:tab/>
        <w:t>787,366</w:t>
        <w:tab/>
        <w:t>787,366 </w:t>
      </w:r>
      <w:r>
        <w:rPr>
          <w:spacing w:val="17"/>
          <w:sz w:val="16"/>
        </w:rPr>
        <w:t> </w:t>
      </w:r>
      <w:r>
        <w:rPr>
          <w:sz w:val="16"/>
        </w:rPr>
        <w:t>Freehold</w:t>
      </w:r>
      <w:r>
        <w:rPr>
          <w:spacing w:val="-2"/>
          <w:sz w:val="16"/>
        </w:rPr>
        <w:t> </w:t>
      </w:r>
      <w:r>
        <w:rPr>
          <w:sz w:val="16"/>
        </w:rPr>
        <w:t>buildings</w:t>
        <w:tab/>
        <w:t>734,356</w:t>
        <w:tab/>
        <w:t>734,356</w:t>
      </w:r>
    </w:p>
    <w:p>
      <w:pPr>
        <w:tabs>
          <w:tab w:pos="4988" w:val="left" w:leader="none"/>
          <w:tab w:pos="5368" w:val="left" w:leader="none"/>
          <w:tab w:pos="5893" w:val="left" w:leader="none"/>
          <w:tab w:pos="8456" w:val="left" w:leader="none"/>
          <w:tab w:pos="9362" w:val="left" w:leader="none"/>
          <w:tab w:pos="9450" w:val="left" w:leader="none"/>
        </w:tabs>
        <w:spacing w:line="338" w:lineRule="auto" w:before="56"/>
        <w:ind w:left="4464" w:right="183" w:hanging="974"/>
        <w:jc w:val="left"/>
        <w:rPr>
          <w:sz w:val="16"/>
        </w:rPr>
      </w:pPr>
      <w:r>
        <w:rPr/>
        <w:pict>
          <v:group style="position:absolute;margin-left:245.529999pt;margin-top:13.364316pt;width:100.9pt;height:1pt;mso-position-horizontal-relative:page;mso-position-vertical-relative:paragraph;z-index:-1312624" coordorigin="4911,267" coordsize="2018,20">
            <v:line style="position:absolute" from="4912,268" to="6022,268" stroked="true" strokeweight=".06pt" strokecolor="#000000"/>
            <v:line style="position:absolute" from="4912,269" to="6022,269" stroked="true" strokeweight=".06pt" strokecolor="#000000"/>
            <v:line style="position:absolute" from="4912,271" to="6022,271" stroked="true" strokeweight=".06pt" strokecolor="#000000"/>
            <v:line style="position:absolute" from="4912,272" to="6022,272" stroked="true" strokeweight=".06pt" strokecolor="#000000"/>
            <v:line style="position:absolute" from="4912,273" to="6022,273" stroked="true" strokeweight=".06pt" strokecolor="#000000"/>
            <v:line style="position:absolute" from="4912,274" to="6022,274" stroked="true" strokeweight=".06pt" strokecolor="#000000"/>
            <v:line style="position:absolute" from="4912,275" to="6022,275" stroked="true" strokeweight=".06pt" strokecolor="#000000"/>
            <v:line style="position:absolute" from="4912,277" to="6022,277" stroked="true" strokeweight=".06pt" strokecolor="#000000"/>
            <v:line style="position:absolute" from="4912,278" to="6022,278" stroked="true" strokeweight=".06pt" strokecolor="#000000"/>
            <v:line style="position:absolute" from="4912,279" to="6022,279" stroked="true" strokeweight=".06pt" strokecolor="#000000"/>
            <v:line style="position:absolute" from="4912,280" to="6022,280" stroked="true" strokeweight=".06pt" strokecolor="#000000"/>
            <v:line style="position:absolute" from="4912,281" to="6022,281" stroked="true" strokeweight=".06pt" strokecolor="#000000"/>
            <v:line style="position:absolute" from="4912,283" to="6022,283" stroked="true" strokeweight=".06pt" strokecolor="#000000"/>
            <v:line style="position:absolute" from="4912,284" to="6022,284" stroked="true" strokeweight=".06pt" strokecolor="#000000"/>
            <v:line style="position:absolute" from="4912,285" to="6022,285" stroked="true" strokeweight=".06pt" strokecolor="#000000"/>
            <v:line style="position:absolute" from="4912,286" to="6022,286" stroked="true" strokeweight=".06pt" strokecolor="#000000"/>
            <v:line style="position:absolute" from="6022,268" to="6928,268" stroked="true" strokeweight=".06pt" strokecolor="#000000"/>
            <v:line style="position:absolute" from="6022,269" to="6928,269" stroked="true" strokeweight=".06pt" strokecolor="#000000"/>
            <v:line style="position:absolute" from="6022,271" to="6928,271" stroked="true" strokeweight=".06pt" strokecolor="#000000"/>
            <v:line style="position:absolute" from="6022,272" to="6928,272" stroked="true" strokeweight=".06pt" strokecolor="#000000"/>
            <v:line style="position:absolute" from="6022,273" to="6928,273" stroked="true" strokeweight=".06pt" strokecolor="#000000"/>
            <v:line style="position:absolute" from="6022,274" to="6928,274" stroked="true" strokeweight=".06pt" strokecolor="#000000"/>
            <v:line style="position:absolute" from="6022,275" to="6928,275" stroked="true" strokeweight=".06pt" strokecolor="#000000"/>
            <v:line style="position:absolute" from="6022,277" to="6928,277" stroked="true" strokeweight=".06pt" strokecolor="#000000"/>
            <v:line style="position:absolute" from="6022,278" to="6928,278" stroked="true" strokeweight=".06pt" strokecolor="#000000"/>
            <v:line style="position:absolute" from="6022,279" to="6928,279" stroked="true" strokeweight=".06pt" strokecolor="#000000"/>
            <v:line style="position:absolute" from="6022,280" to="6928,280" stroked="true" strokeweight=".06pt" strokecolor="#000000"/>
            <v:line style="position:absolute" from="6022,281" to="6928,281" stroked="true" strokeweight=".06pt" strokecolor="#000000"/>
            <v:line style="position:absolute" from="6022,283" to="6928,283" stroked="true" strokeweight=".06pt" strokecolor="#000000"/>
            <v:line style="position:absolute" from="6022,284" to="6928,284" stroked="true" strokeweight=".06pt" strokecolor="#000000"/>
            <v:line style="position:absolute" from="6022,285" to="6928,285" stroked="true" strokeweight=".06pt" strokecolor="#000000"/>
            <v:line style="position:absolute" from="6022,286" to="6928,286" stroked="true" strokeweight=".06pt" strokecolor="#000000"/>
            <v:line style="position:absolute" from="4912,268" to="6022,268" stroked="true" strokeweight=".06pt" strokecolor="#000000"/>
            <v:line style="position:absolute" from="4912,269" to="6022,269" stroked="true" strokeweight=".06pt" strokecolor="#000000"/>
            <v:line style="position:absolute" from="4912,271" to="6022,271" stroked="true" strokeweight=".06pt" strokecolor="#000000"/>
            <v:line style="position:absolute" from="4912,272" to="6022,272" stroked="true" strokeweight=".06pt" strokecolor="#000000"/>
            <v:line style="position:absolute" from="4912,273" to="6022,273" stroked="true" strokeweight=".06pt" strokecolor="#000000"/>
            <v:line style="position:absolute" from="4912,274" to="6022,274" stroked="true" strokeweight=".06pt" strokecolor="#000000"/>
            <v:line style="position:absolute" from="4912,275" to="6022,275" stroked="true" strokeweight=".06pt" strokecolor="#000000"/>
            <v:line style="position:absolute" from="4912,277" to="6022,277" stroked="true" strokeweight=".06pt" strokecolor="#000000"/>
            <v:line style="position:absolute" from="4912,278" to="6022,278" stroked="true" strokeweight=".06pt" strokecolor="#000000"/>
            <v:line style="position:absolute" from="4912,279" to="6022,279" stroked="true" strokeweight=".06pt" strokecolor="#000000"/>
            <v:line style="position:absolute" from="4912,280" to="6022,280" stroked="true" strokeweight=".06pt" strokecolor="#000000"/>
            <v:line style="position:absolute" from="4912,281" to="6022,281" stroked="true" strokeweight=".06pt" strokecolor="#000000"/>
            <v:line style="position:absolute" from="4912,283" to="6022,283" stroked="true" strokeweight=".06pt" strokecolor="#000000"/>
            <v:line style="position:absolute" from="4912,284" to="6022,284" stroked="true" strokeweight=".06pt" strokecolor="#000000"/>
            <v:line style="position:absolute" from="4912,285" to="6022,285" stroked="true" strokeweight=".06pt" strokecolor="#000000"/>
            <v:line style="position:absolute" from="4912,286" to="6022,286" stroked="true" strokeweight=".06pt" strokecolor="#000000"/>
            <v:line style="position:absolute" from="6022,268" to="6928,268" stroked="true" strokeweight=".06pt" strokecolor="#000000"/>
            <v:line style="position:absolute" from="6022,269" to="6928,269" stroked="true" strokeweight=".06pt" strokecolor="#000000"/>
            <v:line style="position:absolute" from="6022,271" to="6928,271" stroked="true" strokeweight=".06pt" strokecolor="#000000"/>
            <v:line style="position:absolute" from="6022,272" to="6928,272" stroked="true" strokeweight=".06pt" strokecolor="#000000"/>
            <v:line style="position:absolute" from="6022,273" to="6928,273" stroked="true" strokeweight=".06pt" strokecolor="#000000"/>
            <v:line style="position:absolute" from="6022,274" to="6928,274" stroked="true" strokeweight=".06pt" strokecolor="#000000"/>
            <v:line style="position:absolute" from="6022,275" to="6928,275" stroked="true" strokeweight=".06pt" strokecolor="#000000"/>
            <v:line style="position:absolute" from="6022,277" to="6928,277" stroked="true" strokeweight=".06pt" strokecolor="#000000"/>
            <v:line style="position:absolute" from="6022,278" to="6928,278" stroked="true" strokeweight=".06pt" strokecolor="#000000"/>
            <v:line style="position:absolute" from="6022,279" to="6928,279" stroked="true" strokeweight=".06pt" strokecolor="#000000"/>
            <v:line style="position:absolute" from="6022,280" to="6928,280" stroked="true" strokeweight=".06pt" strokecolor="#000000"/>
            <v:line style="position:absolute" from="6022,281" to="6928,281" stroked="true" strokeweight=".06pt" strokecolor="#000000"/>
            <v:line style="position:absolute" from="6022,283" to="6928,283" stroked="true" strokeweight=".06pt" strokecolor="#000000"/>
            <v:line style="position:absolute" from="6022,284" to="6928,284" stroked="true" strokeweight=".06pt" strokecolor="#000000"/>
            <v:line style="position:absolute" from="6022,285" to="6928,285" stroked="true" strokeweight=".06pt" strokecolor="#000000"/>
            <v:line style="position:absolute" from="6022,286" to="6928,286" stroked="true" strokeweight=".06pt" strokecolor="#000000"/>
            <w10:wrap type="none"/>
          </v:group>
        </w:pict>
      </w:r>
      <w:r>
        <w:rPr/>
        <w:pict>
          <v:group style="position:absolute;margin-left:445.209991pt;margin-top:13.364316pt;width:100.9pt;height:1pt;mso-position-horizontal-relative:page;mso-position-vertical-relative:paragraph;z-index:-1312600" coordorigin="8904,267" coordsize="2018,20">
            <v:line style="position:absolute" from="8905,268" to="10015,268" stroked="true" strokeweight=".06pt" strokecolor="#000000"/>
            <v:line style="position:absolute" from="8905,269" to="10015,269" stroked="true" strokeweight=".06pt" strokecolor="#000000"/>
            <v:line style="position:absolute" from="8905,271" to="10015,271" stroked="true" strokeweight=".06pt" strokecolor="#000000"/>
            <v:line style="position:absolute" from="8905,272" to="10015,272" stroked="true" strokeweight=".06pt" strokecolor="#000000"/>
            <v:line style="position:absolute" from="8905,273" to="10015,273" stroked="true" strokeweight=".06pt" strokecolor="#000000"/>
            <v:line style="position:absolute" from="8905,274" to="10015,274" stroked="true" strokeweight=".06pt" strokecolor="#000000"/>
            <v:line style="position:absolute" from="8905,275" to="10015,275" stroked="true" strokeweight=".06pt" strokecolor="#000000"/>
            <v:line style="position:absolute" from="8905,277" to="10015,277" stroked="true" strokeweight=".06pt" strokecolor="#000000"/>
            <v:line style="position:absolute" from="8905,278" to="10015,278" stroked="true" strokeweight=".06pt" strokecolor="#000000"/>
            <v:line style="position:absolute" from="8905,279" to="10015,279" stroked="true" strokeweight=".06pt" strokecolor="#000000"/>
            <v:line style="position:absolute" from="8905,280" to="10015,280" stroked="true" strokeweight=".06pt" strokecolor="#000000"/>
            <v:line style="position:absolute" from="8905,281" to="10015,281" stroked="true" strokeweight=".06pt" strokecolor="#000000"/>
            <v:line style="position:absolute" from="8905,283" to="10015,283" stroked="true" strokeweight=".06pt" strokecolor="#000000"/>
            <v:line style="position:absolute" from="8905,284" to="10015,284" stroked="true" strokeweight=".06pt" strokecolor="#000000"/>
            <v:line style="position:absolute" from="8905,285" to="10015,285" stroked="true" strokeweight=".06pt" strokecolor="#000000"/>
            <v:line style="position:absolute" from="8905,286" to="10015,286" stroked="true" strokeweight=".06pt" strokecolor="#000000"/>
            <v:line style="position:absolute" from="10015,268" to="10921,268" stroked="true" strokeweight=".06pt" strokecolor="#000000"/>
            <v:line style="position:absolute" from="10015,269" to="10921,269" stroked="true" strokeweight=".06pt" strokecolor="#000000"/>
            <v:line style="position:absolute" from="10015,271" to="10921,271" stroked="true" strokeweight=".06pt" strokecolor="#000000"/>
            <v:line style="position:absolute" from="10015,272" to="10921,272" stroked="true" strokeweight=".06pt" strokecolor="#000000"/>
            <v:line style="position:absolute" from="10015,273" to="10921,273" stroked="true" strokeweight=".06pt" strokecolor="#000000"/>
            <v:line style="position:absolute" from="10015,274" to="10921,274" stroked="true" strokeweight=".06pt" strokecolor="#000000"/>
            <v:line style="position:absolute" from="10015,275" to="10921,275" stroked="true" strokeweight=".06pt" strokecolor="#000000"/>
            <v:line style="position:absolute" from="10015,277" to="10921,277" stroked="true" strokeweight=".06pt" strokecolor="#000000"/>
            <v:line style="position:absolute" from="10015,278" to="10921,278" stroked="true" strokeweight=".06pt" strokecolor="#000000"/>
            <v:line style="position:absolute" from="10015,279" to="10921,279" stroked="true" strokeweight=".06pt" strokecolor="#000000"/>
            <v:line style="position:absolute" from="10015,280" to="10921,280" stroked="true" strokeweight=".06pt" strokecolor="#000000"/>
            <v:line style="position:absolute" from="10015,281" to="10921,281" stroked="true" strokeweight=".06pt" strokecolor="#000000"/>
            <v:line style="position:absolute" from="10015,283" to="10921,283" stroked="true" strokeweight=".06pt" strokecolor="#000000"/>
            <v:line style="position:absolute" from="10015,284" to="10921,284" stroked="true" strokeweight=".06pt" strokecolor="#000000"/>
            <v:line style="position:absolute" from="10015,285" to="10921,285" stroked="true" strokeweight=".06pt" strokecolor="#000000"/>
            <v:line style="position:absolute" from="10015,286" to="10921,286" stroked="true" strokeweight=".06pt" strokecolor="#000000"/>
            <v:line style="position:absolute" from="8905,268" to="10015,268" stroked="true" strokeweight=".06pt" strokecolor="#000000"/>
            <v:line style="position:absolute" from="8905,269" to="10015,269" stroked="true" strokeweight=".06pt" strokecolor="#000000"/>
            <v:line style="position:absolute" from="8905,271" to="10015,271" stroked="true" strokeweight=".06pt" strokecolor="#000000"/>
            <v:line style="position:absolute" from="8905,272" to="10015,272" stroked="true" strokeweight=".06pt" strokecolor="#000000"/>
            <v:line style="position:absolute" from="8905,273" to="10015,273" stroked="true" strokeweight=".06pt" strokecolor="#000000"/>
            <v:line style="position:absolute" from="8905,274" to="10015,274" stroked="true" strokeweight=".06pt" strokecolor="#000000"/>
            <v:line style="position:absolute" from="8905,275" to="10015,275" stroked="true" strokeweight=".06pt" strokecolor="#000000"/>
            <v:line style="position:absolute" from="8905,277" to="10015,277" stroked="true" strokeweight=".06pt" strokecolor="#000000"/>
            <v:line style="position:absolute" from="8905,278" to="10015,278" stroked="true" strokeweight=".06pt" strokecolor="#000000"/>
            <v:line style="position:absolute" from="8905,279" to="10015,279" stroked="true" strokeweight=".06pt" strokecolor="#000000"/>
            <v:line style="position:absolute" from="8905,280" to="10015,280" stroked="true" strokeweight=".06pt" strokecolor="#000000"/>
            <v:line style="position:absolute" from="8905,281" to="10015,281" stroked="true" strokeweight=".06pt" strokecolor="#000000"/>
            <v:line style="position:absolute" from="8905,283" to="10015,283" stroked="true" strokeweight=".06pt" strokecolor="#000000"/>
            <v:line style="position:absolute" from="8905,284" to="10015,284" stroked="true" strokeweight=".06pt" strokecolor="#000000"/>
            <v:line style="position:absolute" from="8905,285" to="10015,285" stroked="true" strokeweight=".06pt" strokecolor="#000000"/>
            <v:line style="position:absolute" from="8905,286" to="10015,286" stroked="true" strokeweight=".06pt" strokecolor="#000000"/>
            <v:line style="position:absolute" from="10015,268" to="10921,268" stroked="true" strokeweight=".06pt" strokecolor="#000000"/>
            <v:line style="position:absolute" from="10015,269" to="10921,269" stroked="true" strokeweight=".06pt" strokecolor="#000000"/>
            <v:line style="position:absolute" from="10015,271" to="10921,271" stroked="true" strokeweight=".06pt" strokecolor="#000000"/>
            <v:line style="position:absolute" from="10015,272" to="10921,272" stroked="true" strokeweight=".06pt" strokecolor="#000000"/>
            <v:line style="position:absolute" from="10015,273" to="10921,273" stroked="true" strokeweight=".06pt" strokecolor="#000000"/>
            <v:line style="position:absolute" from="10015,274" to="10921,274" stroked="true" strokeweight=".06pt" strokecolor="#000000"/>
            <v:line style="position:absolute" from="10015,275" to="10921,275" stroked="true" strokeweight=".06pt" strokecolor="#000000"/>
            <v:line style="position:absolute" from="10015,277" to="10921,277" stroked="true" strokeweight=".06pt" strokecolor="#000000"/>
            <v:line style="position:absolute" from="10015,278" to="10921,278" stroked="true" strokeweight=".06pt" strokecolor="#000000"/>
            <v:line style="position:absolute" from="10015,279" to="10921,279" stroked="true" strokeweight=".06pt" strokecolor="#000000"/>
            <v:line style="position:absolute" from="10015,280" to="10921,280" stroked="true" strokeweight=".06pt" strokecolor="#000000"/>
            <v:line style="position:absolute" from="10015,281" to="10921,281" stroked="true" strokeweight=".06pt" strokecolor="#000000"/>
            <v:line style="position:absolute" from="10015,283" to="10921,283" stroked="true" strokeweight=".06pt" strokecolor="#000000"/>
            <v:line style="position:absolute" from="10015,284" to="10921,284" stroked="true" strokeweight=".06pt" strokecolor="#000000"/>
            <v:line style="position:absolute" from="10015,285" to="10921,285" stroked="true" strokeweight=".06pt" strokecolor="#000000"/>
            <v:line style="position:absolute" from="10015,286" to="10921,286" stroked="true" strokeweight=".06pt" strokecolor="#000000"/>
            <w10:wrap type="none"/>
          </v:group>
        </w:pict>
      </w:r>
      <w:r>
        <w:rPr/>
        <w:pict>
          <v:group style="position:absolute;margin-left:245.529999pt;margin-top:26.384315pt;width:100.9pt;height:1pt;mso-position-horizontal-relative:page;mso-position-vertical-relative:paragraph;z-index:-1312576" coordorigin="4911,528" coordsize="2018,20">
            <v:line style="position:absolute" from="4912,529" to="6022,529" stroked="true" strokeweight=".06pt" strokecolor="#000000"/>
            <v:line style="position:absolute" from="4912,530" to="6022,530" stroked="true" strokeweight=".06pt" strokecolor="#000000"/>
            <v:line style="position:absolute" from="4912,531" to="6022,531" stroked="true" strokeweight=".06pt" strokecolor="#000000"/>
            <v:line style="position:absolute" from="4912,532" to="6022,532" stroked="true" strokeweight=".06pt" strokecolor="#000000"/>
            <v:line style="position:absolute" from="4912,533" to="6022,533" stroked="true" strokeweight=".06pt" strokecolor="#000000"/>
            <v:line style="position:absolute" from="4912,535" to="6022,535" stroked="true" strokeweight=".06pt" strokecolor="#000000"/>
            <v:line style="position:absolute" from="4912,536" to="6022,536" stroked="true" strokeweight=".06pt" strokecolor="#000000"/>
            <v:line style="position:absolute" from="4912,537" to="6022,537" stroked="true" strokeweight=".06pt" strokecolor="#000000"/>
            <v:line style="position:absolute" from="4912,538" to="6022,538" stroked="true" strokeweight=".06pt" strokecolor="#000000"/>
            <v:line style="position:absolute" from="4912,539" to="6022,539" stroked="true" strokeweight=".06pt" strokecolor="#000000"/>
            <v:line style="position:absolute" from="4912,541" to="6022,541" stroked="true" strokeweight=".06pt" strokecolor="#000000"/>
            <v:line style="position:absolute" from="4912,542" to="6022,542" stroked="true" strokeweight=".06pt" strokecolor="#000000"/>
            <v:line style="position:absolute" from="4912,543" to="6022,543" stroked="true" strokeweight=".06pt" strokecolor="#000000"/>
            <v:line style="position:absolute" from="4912,544" to="6022,544" stroked="true" strokeweight=".06pt" strokecolor="#000000"/>
            <v:line style="position:absolute" from="4912,545" to="6022,545" stroked="true" strokeweight=".06pt" strokecolor="#000000"/>
            <v:line style="position:absolute" from="4912,547" to="6022,547" stroked="true" strokeweight=".06pt" strokecolor="#000000"/>
            <v:line style="position:absolute" from="6022,529" to="6928,529" stroked="true" strokeweight=".06pt" strokecolor="#000000"/>
            <v:line style="position:absolute" from="6022,530" to="6928,530" stroked="true" strokeweight=".06pt" strokecolor="#000000"/>
            <v:line style="position:absolute" from="6022,531" to="6928,531" stroked="true" strokeweight=".06pt" strokecolor="#000000"/>
            <v:line style="position:absolute" from="6022,532" to="6928,532" stroked="true" strokeweight=".06pt" strokecolor="#000000"/>
            <v:line style="position:absolute" from="6022,533" to="6928,533" stroked="true" strokeweight=".06pt" strokecolor="#000000"/>
            <v:line style="position:absolute" from="6022,535" to="6928,535" stroked="true" strokeweight=".06pt" strokecolor="#000000"/>
            <v:line style="position:absolute" from="6022,536" to="6928,536" stroked="true" strokeweight=".06pt" strokecolor="#000000"/>
            <v:line style="position:absolute" from="6022,537" to="6928,537" stroked="true" strokeweight=".06pt" strokecolor="#000000"/>
            <v:line style="position:absolute" from="6022,538" to="6928,538" stroked="true" strokeweight=".06pt" strokecolor="#000000"/>
            <v:line style="position:absolute" from="6022,539" to="6928,539" stroked="true" strokeweight=".06pt" strokecolor="#000000"/>
            <v:line style="position:absolute" from="6022,541" to="6928,541" stroked="true" strokeweight=".06pt" strokecolor="#000000"/>
            <v:line style="position:absolute" from="6022,542" to="6928,542" stroked="true" strokeweight=".06pt" strokecolor="#000000"/>
            <v:line style="position:absolute" from="6022,543" to="6928,543" stroked="true" strokeweight=".06pt" strokecolor="#000000"/>
            <v:line style="position:absolute" from="6022,544" to="6928,544" stroked="true" strokeweight=".06pt" strokecolor="#000000"/>
            <v:line style="position:absolute" from="6022,545" to="6928,545" stroked="true" strokeweight=".06pt" strokecolor="#000000"/>
            <v:line style="position:absolute" from="6022,547" to="6928,547" stroked="true" strokeweight=".06pt" strokecolor="#000000"/>
            <v:line style="position:absolute" from="4912,529" to="6022,529" stroked="true" strokeweight=".06pt" strokecolor="#000000"/>
            <v:line style="position:absolute" from="4912,530" to="6022,530" stroked="true" strokeweight=".06pt" strokecolor="#000000"/>
            <v:line style="position:absolute" from="4912,531" to="6022,531" stroked="true" strokeweight=".06pt" strokecolor="#000000"/>
            <v:line style="position:absolute" from="4912,532" to="6022,532" stroked="true" strokeweight=".06pt" strokecolor="#000000"/>
            <v:line style="position:absolute" from="4912,533" to="6022,533" stroked="true" strokeweight=".06pt" strokecolor="#000000"/>
            <v:line style="position:absolute" from="4912,535" to="6022,535" stroked="true" strokeweight=".06pt" strokecolor="#000000"/>
            <v:line style="position:absolute" from="4912,536" to="6022,536" stroked="true" strokeweight=".06pt" strokecolor="#000000"/>
            <v:line style="position:absolute" from="4912,537" to="6022,537" stroked="true" strokeweight=".06pt" strokecolor="#000000"/>
            <v:line style="position:absolute" from="4912,538" to="6022,538" stroked="true" strokeweight=".06pt" strokecolor="#000000"/>
            <v:line style="position:absolute" from="4912,539" to="6022,539" stroked="true" strokeweight=".06pt" strokecolor="#000000"/>
            <v:line style="position:absolute" from="4912,541" to="6022,541" stroked="true" strokeweight=".06pt" strokecolor="#000000"/>
            <v:line style="position:absolute" from="4912,542" to="6022,542" stroked="true" strokeweight=".06pt" strokecolor="#000000"/>
            <v:line style="position:absolute" from="4912,543" to="6022,543" stroked="true" strokeweight=".06pt" strokecolor="#000000"/>
            <v:line style="position:absolute" from="4912,544" to="6022,544" stroked="true" strokeweight=".06pt" strokecolor="#000000"/>
            <v:line style="position:absolute" from="4912,545" to="6022,545" stroked="true" strokeweight=".06pt" strokecolor="#000000"/>
            <v:line style="position:absolute" from="4912,547" to="6022,547" stroked="true" strokeweight=".06pt" strokecolor="#000000"/>
            <v:line style="position:absolute" from="6022,529" to="6928,529" stroked="true" strokeweight=".06pt" strokecolor="#000000"/>
            <v:line style="position:absolute" from="6022,530" to="6928,530" stroked="true" strokeweight=".06pt" strokecolor="#000000"/>
            <v:line style="position:absolute" from="6022,531" to="6928,531" stroked="true" strokeweight=".06pt" strokecolor="#000000"/>
            <v:line style="position:absolute" from="6022,532" to="6928,532" stroked="true" strokeweight=".06pt" strokecolor="#000000"/>
            <v:line style="position:absolute" from="6022,533" to="6928,533" stroked="true" strokeweight=".06pt" strokecolor="#000000"/>
            <v:line style="position:absolute" from="6022,535" to="6928,535" stroked="true" strokeweight=".06pt" strokecolor="#000000"/>
            <v:line style="position:absolute" from="6022,536" to="6928,536" stroked="true" strokeweight=".06pt" strokecolor="#000000"/>
            <v:line style="position:absolute" from="6022,537" to="6928,537" stroked="true" strokeweight=".06pt" strokecolor="#000000"/>
            <v:line style="position:absolute" from="6022,538" to="6928,538" stroked="true" strokeweight=".06pt" strokecolor="#000000"/>
            <v:line style="position:absolute" from="6022,539" to="6928,539" stroked="true" strokeweight=".06pt" strokecolor="#000000"/>
            <v:line style="position:absolute" from="6022,541" to="6928,541" stroked="true" strokeweight=".06pt" strokecolor="#000000"/>
            <v:line style="position:absolute" from="6022,542" to="6928,542" stroked="true" strokeweight=".06pt" strokecolor="#000000"/>
            <v:line style="position:absolute" from="6022,543" to="6928,543" stroked="true" strokeweight=".06pt" strokecolor="#000000"/>
            <v:line style="position:absolute" from="6022,544" to="6928,544" stroked="true" strokeweight=".06pt" strokecolor="#000000"/>
            <v:line style="position:absolute" from="6022,545" to="6928,545" stroked="true" strokeweight=".06pt" strokecolor="#000000"/>
            <v:line style="position:absolute" from="6022,547" to="6928,547" stroked="true" strokeweight=".06pt" strokecolor="#000000"/>
            <w10:wrap type="none"/>
          </v:group>
        </w:pict>
      </w:r>
      <w:r>
        <w:rPr/>
        <w:pict>
          <v:group style="position:absolute;margin-left:445.209991pt;margin-top:26.384315pt;width:100.9pt;height:1pt;mso-position-horizontal-relative:page;mso-position-vertical-relative:paragraph;z-index:-1312552" coordorigin="8904,528" coordsize="2018,20">
            <v:line style="position:absolute" from="8905,529" to="10015,529" stroked="true" strokeweight=".06pt" strokecolor="#000000"/>
            <v:line style="position:absolute" from="8905,530" to="10015,530" stroked="true" strokeweight=".06pt" strokecolor="#000000"/>
            <v:line style="position:absolute" from="8905,531" to="10015,531" stroked="true" strokeweight=".06pt" strokecolor="#000000"/>
            <v:line style="position:absolute" from="8905,532" to="10015,532" stroked="true" strokeweight=".06pt" strokecolor="#000000"/>
            <v:line style="position:absolute" from="8905,533" to="10015,533" stroked="true" strokeweight=".06pt" strokecolor="#000000"/>
            <v:line style="position:absolute" from="8905,535" to="10015,535" stroked="true" strokeweight=".06pt" strokecolor="#000000"/>
            <v:line style="position:absolute" from="8905,536" to="10015,536" stroked="true" strokeweight=".06pt" strokecolor="#000000"/>
            <v:line style="position:absolute" from="8905,537" to="10015,537" stroked="true" strokeweight=".06pt" strokecolor="#000000"/>
            <v:line style="position:absolute" from="8905,538" to="10015,538" stroked="true" strokeweight=".06pt" strokecolor="#000000"/>
            <v:line style="position:absolute" from="8905,539" to="10015,539" stroked="true" strokeweight=".06pt" strokecolor="#000000"/>
            <v:line style="position:absolute" from="8905,541" to="10015,541" stroked="true" strokeweight=".06pt" strokecolor="#000000"/>
            <v:line style="position:absolute" from="8905,542" to="10015,542" stroked="true" strokeweight=".06pt" strokecolor="#000000"/>
            <v:line style="position:absolute" from="8905,543" to="10015,543" stroked="true" strokeweight=".06pt" strokecolor="#000000"/>
            <v:line style="position:absolute" from="8905,544" to="10015,544" stroked="true" strokeweight=".06pt" strokecolor="#000000"/>
            <v:line style="position:absolute" from="8905,545" to="10015,545" stroked="true" strokeweight=".06pt" strokecolor="#000000"/>
            <v:line style="position:absolute" from="8905,547" to="10015,547" stroked="true" strokeweight=".06pt" strokecolor="#000000"/>
            <v:line style="position:absolute" from="10015,529" to="10921,529" stroked="true" strokeweight=".06pt" strokecolor="#000000"/>
            <v:line style="position:absolute" from="10015,530" to="10921,530" stroked="true" strokeweight=".06pt" strokecolor="#000000"/>
            <v:line style="position:absolute" from="10015,531" to="10921,531" stroked="true" strokeweight=".06pt" strokecolor="#000000"/>
            <v:line style="position:absolute" from="10015,532" to="10921,532" stroked="true" strokeweight=".06pt" strokecolor="#000000"/>
            <v:line style="position:absolute" from="10015,533" to="10921,533" stroked="true" strokeweight=".06pt" strokecolor="#000000"/>
            <v:line style="position:absolute" from="10015,535" to="10921,535" stroked="true" strokeweight=".06pt" strokecolor="#000000"/>
            <v:line style="position:absolute" from="10015,536" to="10921,536" stroked="true" strokeweight=".06pt" strokecolor="#000000"/>
            <v:line style="position:absolute" from="10015,537" to="10921,537" stroked="true" strokeweight=".06pt" strokecolor="#000000"/>
            <v:line style="position:absolute" from="10015,538" to="10921,538" stroked="true" strokeweight=".06pt" strokecolor="#000000"/>
            <v:line style="position:absolute" from="10015,539" to="10921,539" stroked="true" strokeweight=".06pt" strokecolor="#000000"/>
            <v:line style="position:absolute" from="10015,541" to="10921,541" stroked="true" strokeweight=".06pt" strokecolor="#000000"/>
            <v:line style="position:absolute" from="10015,542" to="10921,542" stroked="true" strokeweight=".06pt" strokecolor="#000000"/>
            <v:line style="position:absolute" from="10015,543" to="10921,543" stroked="true" strokeweight=".06pt" strokecolor="#000000"/>
            <v:line style="position:absolute" from="10015,544" to="10921,544" stroked="true" strokeweight=".06pt" strokecolor="#000000"/>
            <v:line style="position:absolute" from="10015,545" to="10921,545" stroked="true" strokeweight=".06pt" strokecolor="#000000"/>
            <v:line style="position:absolute" from="10015,547" to="10921,547" stroked="true" strokeweight=".06pt" strokecolor="#000000"/>
            <v:line style="position:absolute" from="8905,529" to="10015,529" stroked="true" strokeweight=".06pt" strokecolor="#000000"/>
            <v:line style="position:absolute" from="8905,530" to="10015,530" stroked="true" strokeweight=".06pt" strokecolor="#000000"/>
            <v:line style="position:absolute" from="8905,531" to="10015,531" stroked="true" strokeweight=".06pt" strokecolor="#000000"/>
            <v:line style="position:absolute" from="8905,532" to="10015,532" stroked="true" strokeweight=".06pt" strokecolor="#000000"/>
            <v:line style="position:absolute" from="8905,533" to="10015,533" stroked="true" strokeweight=".06pt" strokecolor="#000000"/>
            <v:line style="position:absolute" from="8905,535" to="10015,535" stroked="true" strokeweight=".06pt" strokecolor="#000000"/>
            <v:line style="position:absolute" from="8905,536" to="10015,536" stroked="true" strokeweight=".06pt" strokecolor="#000000"/>
            <v:line style="position:absolute" from="8905,537" to="10015,537" stroked="true" strokeweight=".06pt" strokecolor="#000000"/>
            <v:line style="position:absolute" from="8905,538" to="10015,538" stroked="true" strokeweight=".06pt" strokecolor="#000000"/>
            <v:line style="position:absolute" from="8905,539" to="10015,539" stroked="true" strokeweight=".06pt" strokecolor="#000000"/>
            <v:line style="position:absolute" from="8905,541" to="10015,541" stroked="true" strokeweight=".06pt" strokecolor="#000000"/>
            <v:line style="position:absolute" from="8905,542" to="10015,542" stroked="true" strokeweight=".06pt" strokecolor="#000000"/>
            <v:line style="position:absolute" from="8905,543" to="10015,543" stroked="true" strokeweight=".06pt" strokecolor="#000000"/>
            <v:line style="position:absolute" from="8905,544" to="10015,544" stroked="true" strokeweight=".06pt" strokecolor="#000000"/>
            <v:line style="position:absolute" from="8905,545" to="10015,545" stroked="true" strokeweight=".06pt" strokecolor="#000000"/>
            <v:line style="position:absolute" from="8905,547" to="10015,547" stroked="true" strokeweight=".06pt" strokecolor="#000000"/>
            <v:line style="position:absolute" from="10015,529" to="10921,529" stroked="true" strokeweight=".06pt" strokecolor="#000000"/>
            <v:line style="position:absolute" from="10015,530" to="10921,530" stroked="true" strokeweight=".06pt" strokecolor="#000000"/>
            <v:line style="position:absolute" from="10015,531" to="10921,531" stroked="true" strokeweight=".06pt" strokecolor="#000000"/>
            <v:line style="position:absolute" from="10015,532" to="10921,532" stroked="true" strokeweight=".06pt" strokecolor="#000000"/>
            <v:line style="position:absolute" from="10015,533" to="10921,533" stroked="true" strokeweight=".06pt" strokecolor="#000000"/>
            <v:line style="position:absolute" from="10015,535" to="10921,535" stroked="true" strokeweight=".06pt" strokecolor="#000000"/>
            <v:line style="position:absolute" from="10015,536" to="10921,536" stroked="true" strokeweight=".06pt" strokecolor="#000000"/>
            <v:line style="position:absolute" from="10015,537" to="10921,537" stroked="true" strokeweight=".06pt" strokecolor="#000000"/>
            <v:line style="position:absolute" from="10015,538" to="10921,538" stroked="true" strokeweight=".06pt" strokecolor="#000000"/>
            <v:line style="position:absolute" from="10015,539" to="10921,539" stroked="true" strokeweight=".06pt" strokecolor="#000000"/>
            <v:line style="position:absolute" from="10015,541" to="10921,541" stroked="true" strokeweight=".06pt" strokecolor="#000000"/>
            <v:line style="position:absolute" from="10015,542" to="10921,542" stroked="true" strokeweight=".06pt" strokecolor="#000000"/>
            <v:line style="position:absolute" from="10015,543" to="10921,543" stroked="true" strokeweight=".06pt" strokecolor="#000000"/>
            <v:line style="position:absolute" from="10015,544" to="10921,544" stroked="true" strokeweight=".06pt" strokecolor="#000000"/>
            <v:line style="position:absolute" from="10015,545" to="10921,545" stroked="true" strokeweight=".06pt" strokecolor="#000000"/>
            <v:line style="position:absolute" from="10015,547" to="10921,547" stroked="true" strokeweight=".06pt" strokecolor="#000000"/>
            <w10:wrap type="none"/>
          </v:group>
        </w:pict>
      </w:r>
      <w:r>
        <w:rPr>
          <w:sz w:val="16"/>
        </w:rPr>
        <w:t>18</w:t>
        <w:tab/>
        <w:tab/>
        <w:t>-</w:t>
        <w:tab/>
        <w:tab/>
        <w:t>- </w:t>
      </w:r>
      <w:r>
        <w:rPr>
          <w:spacing w:val="16"/>
          <w:sz w:val="16"/>
        </w:rPr>
        <w:t> </w:t>
      </w:r>
      <w:r>
        <w:rPr>
          <w:sz w:val="16"/>
        </w:rPr>
        <w:t>Infrastructure</w:t>
        <w:tab/>
        <w:t>  53,010</w:t>
        <w:tab/>
        <w:tab/>
        <w:t>53,010</w:t>
      </w:r>
      <w:r>
        <w:rPr>
          <w:spacing w:val="-2"/>
          <w:sz w:val="16"/>
        </w:rPr>
        <w:t> </w:t>
      </w:r>
      <w:r>
        <w:rPr>
          <w:sz w:val="16"/>
        </w:rPr>
        <w:t>787,366</w:t>
        <w:tab/>
        <w:t>787,366</w:t>
        <w:tab/>
        <w:t>787,366</w:t>
        <w:tab/>
        <w:t> 787,366</w:t>
      </w:r>
    </w:p>
    <w:p>
      <w:pPr>
        <w:pStyle w:val="BodyText"/>
        <w:spacing w:before="4"/>
        <w:rPr>
          <w:sz w:val="25"/>
        </w:rPr>
      </w:pPr>
    </w:p>
    <w:p>
      <w:pPr>
        <w:spacing w:after="0"/>
        <w:rPr>
          <w:sz w:val="25"/>
        </w:rPr>
        <w:sectPr>
          <w:type w:val="continuous"/>
          <w:pgSz w:w="11910" w:h="16840"/>
          <w:pgMar w:top="0" w:bottom="280" w:left="900" w:right="880"/>
        </w:sectPr>
      </w:pPr>
    </w:p>
    <w:p>
      <w:pPr>
        <w:spacing w:before="80"/>
        <w:ind w:left="1050" w:right="2953" w:firstLine="0"/>
        <w:jc w:val="center"/>
        <w:rPr>
          <w:b/>
          <w:sz w:val="16"/>
        </w:rPr>
      </w:pPr>
      <w:r>
        <w:rPr>
          <w:b/>
          <w:sz w:val="16"/>
        </w:rPr>
        <w:t>Statement of Cash Flows</w:t>
      </w:r>
    </w:p>
    <w:p>
      <w:pPr>
        <w:spacing w:line="184" w:lineRule="exact" w:before="29"/>
        <w:ind w:left="1286" w:right="0" w:firstLine="0"/>
        <w:jc w:val="left"/>
        <w:rPr>
          <w:sz w:val="16"/>
        </w:rPr>
      </w:pPr>
      <w:r>
        <w:rPr>
          <w:sz w:val="16"/>
        </w:rPr>
        <w:t>Proceeds from sale of</w:t>
      </w:r>
    </w:p>
    <w:p>
      <w:pPr>
        <w:tabs>
          <w:tab w:pos="3355" w:val="left" w:leader="none"/>
          <w:tab w:pos="4259" w:val="left" w:leader="none"/>
        </w:tabs>
        <w:spacing w:before="0"/>
        <w:ind w:left="0" w:right="0" w:firstLine="0"/>
        <w:jc w:val="right"/>
        <w:rPr>
          <w:sz w:val="16"/>
        </w:rPr>
      </w:pPr>
      <w:r>
        <w:rPr>
          <w:sz w:val="16"/>
        </w:rPr>
        <w:t>financial</w:t>
      </w:r>
      <w:r>
        <w:rPr>
          <w:spacing w:val="-2"/>
          <w:sz w:val="16"/>
        </w:rPr>
        <w:t> </w:t>
      </w:r>
      <w:r>
        <w:rPr>
          <w:sz w:val="16"/>
        </w:rPr>
        <w:t>assets</w:t>
        <w:tab/>
        <w:t>3,618</w:t>
        <w:tab/>
      </w:r>
      <w:r>
        <w:rPr>
          <w:spacing w:val="-1"/>
          <w:sz w:val="16"/>
        </w:rPr>
        <w:t>4,257</w:t>
      </w:r>
    </w:p>
    <w:p>
      <w:pPr>
        <w:pStyle w:val="BodyText"/>
        <w:spacing w:before="9"/>
        <w:rPr>
          <w:sz w:val="20"/>
        </w:rPr>
      </w:pPr>
    </w:p>
    <w:p>
      <w:pPr>
        <w:tabs>
          <w:tab w:pos="904" w:val="left" w:leader="none"/>
        </w:tabs>
        <w:spacing w:before="0"/>
        <w:ind w:left="0" w:right="0" w:firstLine="0"/>
        <w:jc w:val="right"/>
        <w:rPr>
          <w:sz w:val="16"/>
        </w:rPr>
      </w:pPr>
      <w:r>
        <w:rPr>
          <w:sz w:val="16"/>
        </w:rPr>
        <w:t>-</w:t>
        <w:tab/>
      </w:r>
      <w:r>
        <w:rPr>
          <w:spacing w:val="-1"/>
          <w:sz w:val="16"/>
        </w:rPr>
        <w:t>-</w:t>
      </w:r>
    </w:p>
    <w:p>
      <w:pPr>
        <w:pStyle w:val="BodyText"/>
        <w:rPr>
          <w:sz w:val="16"/>
        </w:rPr>
      </w:pPr>
      <w:r>
        <w:rPr/>
        <w:br w:type="column"/>
      </w:r>
      <w:r>
        <w:rPr>
          <w:sz w:val="16"/>
        </w:rPr>
      </w:r>
    </w:p>
    <w:p>
      <w:pPr>
        <w:spacing w:line="184" w:lineRule="exact" w:before="108"/>
        <w:ind w:left="68" w:right="0" w:firstLine="0"/>
        <w:jc w:val="left"/>
        <w:rPr>
          <w:sz w:val="16"/>
        </w:rPr>
      </w:pPr>
      <w:r>
        <w:rPr>
          <w:sz w:val="16"/>
        </w:rPr>
        <w:t>Proceeds from sale of</w:t>
      </w:r>
    </w:p>
    <w:p>
      <w:pPr>
        <w:tabs>
          <w:tab w:pos="2647" w:val="left" w:leader="none"/>
          <w:tab w:pos="3553" w:val="left" w:leader="none"/>
        </w:tabs>
        <w:spacing w:line="184" w:lineRule="exact" w:before="0"/>
        <w:ind w:left="68" w:right="0" w:firstLine="0"/>
        <w:jc w:val="left"/>
        <w:rPr>
          <w:sz w:val="16"/>
        </w:rPr>
      </w:pPr>
      <w:r>
        <w:rPr>
          <w:sz w:val="16"/>
        </w:rPr>
        <w:t>financial</w:t>
      </w:r>
      <w:r>
        <w:rPr>
          <w:spacing w:val="-2"/>
          <w:sz w:val="16"/>
        </w:rPr>
        <w:t> </w:t>
      </w:r>
      <w:r>
        <w:rPr>
          <w:sz w:val="16"/>
        </w:rPr>
        <w:t>assets</w:t>
        <w:tab/>
        <w:t>6,505</w:t>
        <w:tab/>
        <w:t>6,505</w:t>
      </w:r>
    </w:p>
    <w:p>
      <w:pPr>
        <w:spacing w:line="184" w:lineRule="exact" w:before="57"/>
        <w:ind w:left="68" w:right="0" w:firstLine="0"/>
        <w:jc w:val="left"/>
        <w:rPr>
          <w:sz w:val="16"/>
        </w:rPr>
      </w:pPr>
      <w:r>
        <w:rPr>
          <w:sz w:val="16"/>
        </w:rPr>
        <w:t>Payments for financial</w:t>
      </w:r>
    </w:p>
    <w:p>
      <w:pPr>
        <w:tabs>
          <w:tab w:pos="2594" w:val="left" w:leader="none"/>
          <w:tab w:pos="3500" w:val="left" w:leader="none"/>
        </w:tabs>
        <w:spacing w:line="184" w:lineRule="exact" w:before="0"/>
        <w:ind w:left="68" w:right="0" w:firstLine="0"/>
        <w:jc w:val="left"/>
        <w:rPr>
          <w:sz w:val="16"/>
        </w:rPr>
      </w:pPr>
      <w:r>
        <w:rPr>
          <w:sz w:val="16"/>
        </w:rPr>
        <w:t>assets</w:t>
        <w:tab/>
        <w:t>(2,887)</w:t>
        <w:tab/>
        <w:t>(2,248)</w:t>
      </w:r>
    </w:p>
    <w:p>
      <w:pPr>
        <w:spacing w:after="0" w:line="184" w:lineRule="exact"/>
        <w:jc w:val="left"/>
        <w:rPr>
          <w:sz w:val="16"/>
        </w:rPr>
        <w:sectPr>
          <w:type w:val="continuous"/>
          <w:pgSz w:w="11910" w:h="16840"/>
          <w:pgMar w:top="0" w:bottom="280" w:left="900" w:right="880"/>
          <w:cols w:num="2" w:equalWidth="0">
            <w:col w:w="5947" w:space="40"/>
            <w:col w:w="4143"/>
          </w:cols>
        </w:sectPr>
      </w:pPr>
    </w:p>
    <w:p>
      <w:pPr>
        <w:pStyle w:val="BodyText"/>
        <w:spacing w:before="4"/>
        <w:rPr>
          <w:sz w:val="2"/>
        </w:rPr>
      </w:pPr>
    </w:p>
    <w:p>
      <w:pPr>
        <w:tabs>
          <w:tab w:pos="8004" w:val="left" w:leader="none"/>
        </w:tabs>
        <w:spacing w:line="20" w:lineRule="exact"/>
        <w:ind w:left="4010" w:right="0" w:firstLine="0"/>
        <w:rPr>
          <w:sz w:val="2"/>
        </w:rPr>
      </w:pPr>
      <w:r>
        <w:rPr>
          <w:sz w:val="2"/>
        </w:rPr>
        <w:pict>
          <v:group style="width:100.9pt;height:1pt;mso-position-horizontal-relative:char;mso-position-vertical-relative:line" coordorigin="0,0" coordsize="2018,20">
            <v:line style="position:absolute" from="1,1" to="1111,1" stroked="true" strokeweight=".06pt" strokecolor="#000000"/>
            <v:line style="position:absolute" from="1,2" to="1111,2" stroked="true" strokeweight=".06pt" strokecolor="#000000"/>
            <v:line style="position:absolute" from="1,3" to="1111,3" stroked="true" strokeweight=".06pt" strokecolor="#000000"/>
            <v:line style="position:absolute" from="1,5" to="1111,5" stroked="true" strokeweight=".06pt" strokecolor="#000000"/>
            <v:line style="position:absolute" from="1,6" to="1111,6" stroked="true" strokeweight=".06pt" strokecolor="#000000"/>
            <v:line style="position:absolute" from="1,7" to="1111,7" stroked="true" strokeweight=".06pt" strokecolor="#000000"/>
            <v:line style="position:absolute" from="1,8" to="1111,8" stroked="true" strokeweight=".06pt" strokecolor="#000000"/>
            <v:line style="position:absolute" from="1,9" to="1111,9" stroked="true" strokeweight=".06pt" strokecolor="#000000"/>
            <v:line style="position:absolute" from="1,11" to="1111,11" stroked="true" strokeweight=".06pt" strokecolor="#000000"/>
            <v:line style="position:absolute" from="1,12" to="1111,12" stroked="true" strokeweight=".06pt" strokecolor="#000000"/>
            <v:line style="position:absolute" from="1,13" to="1111,13" stroked="true" strokeweight=".06pt" strokecolor="#000000"/>
            <v:line style="position:absolute" from="1,14" to="1111,14" stroked="true" strokeweight=".06pt" strokecolor="#000000"/>
            <v:line style="position:absolute" from="1,15" to="1111,15" stroked="true" strokeweight=".06pt" strokecolor="#000000"/>
            <v:line style="position:absolute" from="1,17" to="1111,17" stroked="true" strokeweight=".06pt" strokecolor="#000000"/>
            <v:line style="position:absolute" from="1,18" to="1111,18" stroked="true" strokeweight=".06pt" strokecolor="#000000"/>
            <v:line style="position:absolute" from="1,19" to="1111,19" stroked="true" strokeweight=".06pt" strokecolor="#000000"/>
            <v:line style="position:absolute" from="1111,1" to="2017,1" stroked="true" strokeweight=".06pt" strokecolor="#000000"/>
            <v:line style="position:absolute" from="1111,2" to="2017,2" stroked="true" strokeweight=".06pt" strokecolor="#000000"/>
            <v:line style="position:absolute" from="1111,3" to="2017,3" stroked="true" strokeweight=".06pt" strokecolor="#000000"/>
            <v:line style="position:absolute" from="1111,5" to="2017,5" stroked="true" strokeweight=".06pt" strokecolor="#000000"/>
            <v:line style="position:absolute" from="1111,6" to="2017,6" stroked="true" strokeweight=".06pt" strokecolor="#000000"/>
            <v:line style="position:absolute" from="1111,7" to="2017,7" stroked="true" strokeweight=".06pt" strokecolor="#000000"/>
            <v:line style="position:absolute" from="1111,8" to="2017,8" stroked="true" strokeweight=".06pt" strokecolor="#000000"/>
            <v:line style="position:absolute" from="1111,9" to="2017,9" stroked="true" strokeweight=".06pt" strokecolor="#000000"/>
            <v:line style="position:absolute" from="1111,11" to="2017,11" stroked="true" strokeweight=".06pt" strokecolor="#000000"/>
            <v:line style="position:absolute" from="1111,12" to="2017,12" stroked="true" strokeweight=".06pt" strokecolor="#000000"/>
            <v:line style="position:absolute" from="1111,13" to="2017,13" stroked="true" strokeweight=".06pt" strokecolor="#000000"/>
            <v:line style="position:absolute" from="1111,14" to="2017,14" stroked="true" strokeweight=".06pt" strokecolor="#000000"/>
            <v:line style="position:absolute" from="1111,15" to="2017,15" stroked="true" strokeweight=".06pt" strokecolor="#000000"/>
            <v:line style="position:absolute" from="1111,17" to="2017,17" stroked="true" strokeweight=".06pt" strokecolor="#000000"/>
            <v:line style="position:absolute" from="1111,18" to="2017,18" stroked="true" strokeweight=".06pt" strokecolor="#000000"/>
            <v:line style="position:absolute" from="1111,19" to="2017,19" stroked="true" strokeweight=".06pt" strokecolor="#000000"/>
            <v:line style="position:absolute" from="1,1" to="1111,1" stroked="true" strokeweight=".06pt" strokecolor="#000000"/>
            <v:line style="position:absolute" from="1,2" to="1111,2" stroked="true" strokeweight=".06pt" strokecolor="#000000"/>
            <v:line style="position:absolute" from="1,3" to="1111,3" stroked="true" strokeweight=".06pt" strokecolor="#000000"/>
            <v:line style="position:absolute" from="1,5" to="1111,5" stroked="true" strokeweight=".06pt" strokecolor="#000000"/>
            <v:line style="position:absolute" from="1,6" to="1111,6" stroked="true" strokeweight=".06pt" strokecolor="#000000"/>
            <v:line style="position:absolute" from="1,7" to="1111,7" stroked="true" strokeweight=".06pt" strokecolor="#000000"/>
            <v:line style="position:absolute" from="1,8" to="1111,8" stroked="true" strokeweight=".06pt" strokecolor="#000000"/>
            <v:line style="position:absolute" from="1,9" to="1111,9" stroked="true" strokeweight=".06pt" strokecolor="#000000"/>
            <v:line style="position:absolute" from="1,11" to="1111,11" stroked="true" strokeweight=".06pt" strokecolor="#000000"/>
            <v:line style="position:absolute" from="1,12" to="1111,12" stroked="true" strokeweight=".06pt" strokecolor="#000000"/>
            <v:line style="position:absolute" from="1,13" to="1111,13" stroked="true" strokeweight=".06pt" strokecolor="#000000"/>
            <v:line style="position:absolute" from="1,14" to="1111,14" stroked="true" strokeweight=".06pt" strokecolor="#000000"/>
            <v:line style="position:absolute" from="1,15" to="1111,15" stroked="true" strokeweight=".06pt" strokecolor="#000000"/>
            <v:line style="position:absolute" from="1,17" to="1111,17" stroked="true" strokeweight=".06pt" strokecolor="#000000"/>
            <v:line style="position:absolute" from="1,18" to="1111,18" stroked="true" strokeweight=".06pt" strokecolor="#000000"/>
            <v:line style="position:absolute" from="1,19" to="1111,19" stroked="true" strokeweight=".06pt" strokecolor="#000000"/>
            <v:line style="position:absolute" from="1111,1" to="2017,1" stroked="true" strokeweight=".06pt" strokecolor="#000000"/>
            <v:line style="position:absolute" from="1111,2" to="2017,2" stroked="true" strokeweight=".06pt" strokecolor="#000000"/>
            <v:line style="position:absolute" from="1111,3" to="2017,3" stroked="true" strokeweight=".06pt" strokecolor="#000000"/>
            <v:line style="position:absolute" from="1111,5" to="2017,5" stroked="true" strokeweight=".06pt" strokecolor="#000000"/>
            <v:line style="position:absolute" from="1111,6" to="2017,6" stroked="true" strokeweight=".06pt" strokecolor="#000000"/>
            <v:line style="position:absolute" from="1111,7" to="2017,7" stroked="true" strokeweight=".06pt" strokecolor="#000000"/>
            <v:line style="position:absolute" from="1111,8" to="2017,8" stroked="true" strokeweight=".06pt" strokecolor="#000000"/>
            <v:line style="position:absolute" from="1111,9" to="2017,9" stroked="true" strokeweight=".06pt" strokecolor="#000000"/>
            <v:line style="position:absolute" from="1111,11" to="2017,11" stroked="true" strokeweight=".06pt" strokecolor="#000000"/>
            <v:line style="position:absolute" from="1111,12" to="2017,12" stroked="true" strokeweight=".06pt" strokecolor="#000000"/>
            <v:line style="position:absolute" from="1111,13" to="2017,13" stroked="true" strokeweight=".06pt" strokecolor="#000000"/>
            <v:line style="position:absolute" from="1111,14" to="2017,14" stroked="true" strokeweight=".06pt" strokecolor="#000000"/>
            <v:line style="position:absolute" from="1111,15" to="2017,15" stroked="true" strokeweight=".06pt" strokecolor="#000000"/>
            <v:line style="position:absolute" from="1111,17" to="2017,17" stroked="true" strokeweight=".06pt" strokecolor="#000000"/>
            <v:line style="position:absolute" from="1111,18" to="2017,18" stroked="true" strokeweight=".06pt" strokecolor="#000000"/>
            <v:line style="position:absolute" from="1111,19" to="2017,19" stroked="true" strokeweight=".06pt" strokecolor="#000000"/>
          </v:group>
        </w:pict>
      </w:r>
      <w:r>
        <w:rPr>
          <w:sz w:val="2"/>
        </w:rPr>
      </w:r>
      <w:r>
        <w:rPr>
          <w:sz w:val="2"/>
        </w:rPr>
        <w:tab/>
      </w:r>
      <w:r>
        <w:rPr>
          <w:sz w:val="2"/>
        </w:rPr>
        <w:pict>
          <v:group style="width:100.9pt;height:1pt;mso-position-horizontal-relative:char;mso-position-vertical-relative:line" coordorigin="0,0" coordsize="2018,20">
            <v:line style="position:absolute" from="1,1" to="1111,1" stroked="true" strokeweight=".06pt" strokecolor="#000000"/>
            <v:line style="position:absolute" from="1,2" to="1111,2" stroked="true" strokeweight=".06pt" strokecolor="#000000"/>
            <v:line style="position:absolute" from="1,3" to="1111,3" stroked="true" strokeweight=".06pt" strokecolor="#000000"/>
            <v:line style="position:absolute" from="1,5" to="1111,5" stroked="true" strokeweight=".06pt" strokecolor="#000000"/>
            <v:line style="position:absolute" from="1,6" to="1111,6" stroked="true" strokeweight=".06pt" strokecolor="#000000"/>
            <v:line style="position:absolute" from="1,7" to="1111,7" stroked="true" strokeweight=".06pt" strokecolor="#000000"/>
            <v:line style="position:absolute" from="1,8" to="1111,8" stroked="true" strokeweight=".06pt" strokecolor="#000000"/>
            <v:line style="position:absolute" from="1,9" to="1111,9" stroked="true" strokeweight=".06pt" strokecolor="#000000"/>
            <v:line style="position:absolute" from="1,11" to="1111,11" stroked="true" strokeweight=".06pt" strokecolor="#000000"/>
            <v:line style="position:absolute" from="1,12" to="1111,12" stroked="true" strokeweight=".06pt" strokecolor="#000000"/>
            <v:line style="position:absolute" from="1,13" to="1111,13" stroked="true" strokeweight=".06pt" strokecolor="#000000"/>
            <v:line style="position:absolute" from="1,14" to="1111,14" stroked="true" strokeweight=".06pt" strokecolor="#000000"/>
            <v:line style="position:absolute" from="1,15" to="1111,15" stroked="true" strokeweight=".06pt" strokecolor="#000000"/>
            <v:line style="position:absolute" from="1,17" to="1111,17" stroked="true" strokeweight=".06pt" strokecolor="#000000"/>
            <v:line style="position:absolute" from="1,18" to="1111,18" stroked="true" strokeweight=".06pt" strokecolor="#000000"/>
            <v:line style="position:absolute" from="1,19" to="1111,19" stroked="true" strokeweight=".06pt" strokecolor="#000000"/>
            <v:line style="position:absolute" from="1111,1" to="2017,1" stroked="true" strokeweight=".06pt" strokecolor="#000000"/>
            <v:line style="position:absolute" from="1111,2" to="2017,2" stroked="true" strokeweight=".06pt" strokecolor="#000000"/>
            <v:line style="position:absolute" from="1111,3" to="2017,3" stroked="true" strokeweight=".06pt" strokecolor="#000000"/>
            <v:line style="position:absolute" from="1111,5" to="2017,5" stroked="true" strokeweight=".06pt" strokecolor="#000000"/>
            <v:line style="position:absolute" from="1111,6" to="2017,6" stroked="true" strokeweight=".06pt" strokecolor="#000000"/>
            <v:line style="position:absolute" from="1111,7" to="2017,7" stroked="true" strokeweight=".06pt" strokecolor="#000000"/>
            <v:line style="position:absolute" from="1111,8" to="2017,8" stroked="true" strokeweight=".06pt" strokecolor="#000000"/>
            <v:line style="position:absolute" from="1111,9" to="2017,9" stroked="true" strokeweight=".06pt" strokecolor="#000000"/>
            <v:line style="position:absolute" from="1111,11" to="2017,11" stroked="true" strokeweight=".06pt" strokecolor="#000000"/>
            <v:line style="position:absolute" from="1111,12" to="2017,12" stroked="true" strokeweight=".06pt" strokecolor="#000000"/>
            <v:line style="position:absolute" from="1111,13" to="2017,13" stroked="true" strokeweight=".06pt" strokecolor="#000000"/>
            <v:line style="position:absolute" from="1111,14" to="2017,14" stroked="true" strokeweight=".06pt" strokecolor="#000000"/>
            <v:line style="position:absolute" from="1111,15" to="2017,15" stroked="true" strokeweight=".06pt" strokecolor="#000000"/>
            <v:line style="position:absolute" from="1111,17" to="2017,17" stroked="true" strokeweight=".06pt" strokecolor="#000000"/>
            <v:line style="position:absolute" from="1111,18" to="2017,18" stroked="true" strokeweight=".06pt" strokecolor="#000000"/>
            <v:line style="position:absolute" from="1111,19" to="2017,19" stroked="true" strokeweight=".06pt" strokecolor="#000000"/>
            <v:line style="position:absolute" from="1,1" to="1111,1" stroked="true" strokeweight=".06pt" strokecolor="#000000"/>
            <v:line style="position:absolute" from="1,2" to="1111,2" stroked="true" strokeweight=".06pt" strokecolor="#000000"/>
            <v:line style="position:absolute" from="1,3" to="1111,3" stroked="true" strokeweight=".06pt" strokecolor="#000000"/>
            <v:line style="position:absolute" from="1,5" to="1111,5" stroked="true" strokeweight=".06pt" strokecolor="#000000"/>
            <v:line style="position:absolute" from="1,6" to="1111,6" stroked="true" strokeweight=".06pt" strokecolor="#000000"/>
            <v:line style="position:absolute" from="1,7" to="1111,7" stroked="true" strokeweight=".06pt" strokecolor="#000000"/>
            <v:line style="position:absolute" from="1,8" to="1111,8" stroked="true" strokeweight=".06pt" strokecolor="#000000"/>
            <v:line style="position:absolute" from="1,9" to="1111,9" stroked="true" strokeweight=".06pt" strokecolor="#000000"/>
            <v:line style="position:absolute" from="1,11" to="1111,11" stroked="true" strokeweight=".06pt" strokecolor="#000000"/>
            <v:line style="position:absolute" from="1,12" to="1111,12" stroked="true" strokeweight=".06pt" strokecolor="#000000"/>
            <v:line style="position:absolute" from="1,13" to="1111,13" stroked="true" strokeweight=".06pt" strokecolor="#000000"/>
            <v:line style="position:absolute" from="1,14" to="1111,14" stroked="true" strokeweight=".06pt" strokecolor="#000000"/>
            <v:line style="position:absolute" from="1,15" to="1111,15" stroked="true" strokeweight=".06pt" strokecolor="#000000"/>
            <v:line style="position:absolute" from="1,17" to="1111,17" stroked="true" strokeweight=".06pt" strokecolor="#000000"/>
            <v:line style="position:absolute" from="1,18" to="1111,18" stroked="true" strokeweight=".06pt" strokecolor="#000000"/>
            <v:line style="position:absolute" from="1,19" to="1111,19" stroked="true" strokeweight=".06pt" strokecolor="#000000"/>
            <v:line style="position:absolute" from="1111,1" to="2017,1" stroked="true" strokeweight=".06pt" strokecolor="#000000"/>
            <v:line style="position:absolute" from="1111,2" to="2017,2" stroked="true" strokeweight=".06pt" strokecolor="#000000"/>
            <v:line style="position:absolute" from="1111,3" to="2017,3" stroked="true" strokeweight=".06pt" strokecolor="#000000"/>
            <v:line style="position:absolute" from="1111,5" to="2017,5" stroked="true" strokeweight=".06pt" strokecolor="#000000"/>
            <v:line style="position:absolute" from="1111,6" to="2017,6" stroked="true" strokeweight=".06pt" strokecolor="#000000"/>
            <v:line style="position:absolute" from="1111,7" to="2017,7" stroked="true" strokeweight=".06pt" strokecolor="#000000"/>
            <v:line style="position:absolute" from="1111,8" to="2017,8" stroked="true" strokeweight=".06pt" strokecolor="#000000"/>
            <v:line style="position:absolute" from="1111,9" to="2017,9" stroked="true" strokeweight=".06pt" strokecolor="#000000"/>
            <v:line style="position:absolute" from="1111,11" to="2017,11" stroked="true" strokeweight=".06pt" strokecolor="#000000"/>
            <v:line style="position:absolute" from="1111,12" to="2017,12" stroked="true" strokeweight=".06pt" strokecolor="#000000"/>
            <v:line style="position:absolute" from="1111,13" to="2017,13" stroked="true" strokeweight=".06pt" strokecolor="#000000"/>
            <v:line style="position:absolute" from="1111,14" to="2017,14" stroked="true" strokeweight=".06pt" strokecolor="#000000"/>
            <v:line style="position:absolute" from="1111,15" to="2017,15" stroked="true" strokeweight=".06pt" strokecolor="#000000"/>
            <v:line style="position:absolute" from="1111,17" to="2017,17" stroked="true" strokeweight=".06pt" strokecolor="#000000"/>
            <v:line style="position:absolute" from="1111,18" to="2017,18" stroked="true" strokeweight=".06pt" strokecolor="#000000"/>
            <v:line style="position:absolute" from="1111,19" to="2017,19" stroked="true" strokeweight=".06pt" strokecolor="#000000"/>
          </v:group>
        </w:pict>
      </w:r>
      <w:r>
        <w:rPr>
          <w:sz w:val="2"/>
        </w:rPr>
      </w:r>
    </w:p>
    <w:p>
      <w:pPr>
        <w:tabs>
          <w:tab w:pos="5546" w:val="left" w:leader="none"/>
          <w:tab w:pos="8633" w:val="left" w:leader="none"/>
          <w:tab w:pos="9539" w:val="left" w:leader="none"/>
        </w:tabs>
        <w:spacing w:before="29"/>
        <w:ind w:left="4641" w:right="128" w:firstLine="0"/>
        <w:jc w:val="left"/>
        <w:rPr>
          <w:sz w:val="16"/>
        </w:rPr>
      </w:pPr>
      <w:r>
        <w:rPr/>
        <w:pict>
          <v:group style="position:absolute;margin-left:245.529999pt;margin-top:12.024215pt;width:100.9pt;height:1pt;mso-position-horizontal-relative:page;mso-position-vertical-relative:paragraph;z-index:1552;mso-wrap-distance-left:0;mso-wrap-distance-right:0" coordorigin="4911,240" coordsize="2018,20">
            <v:line style="position:absolute" from="4912,241" to="6022,241" stroked="true" strokeweight=".06pt" strokecolor="#000000"/>
            <v:line style="position:absolute" from="4912,243" to="6022,243" stroked="true" strokeweight=".06pt" strokecolor="#000000"/>
            <v:line style="position:absolute" from="4912,244" to="6022,244" stroked="true" strokeweight=".06pt" strokecolor="#000000"/>
            <v:line style="position:absolute" from="4912,245" to="6022,245" stroked="true" strokeweight=".06pt" strokecolor="#000000"/>
            <v:line style="position:absolute" from="4912,246" to="6022,246" stroked="true" strokeweight=".06pt" strokecolor="#000000"/>
            <v:line style="position:absolute" from="4912,247" to="6022,247" stroked="true" strokeweight=".06pt" strokecolor="#000000"/>
            <v:line style="position:absolute" from="4912,249" to="6022,249" stroked="true" strokeweight=".06pt" strokecolor="#000000"/>
            <v:line style="position:absolute" from="4912,250" to="6022,250" stroked="true" strokeweight=".06pt" strokecolor="#000000"/>
            <v:line style="position:absolute" from="4912,251" to="6022,251" stroked="true" strokeweight=".06pt" strokecolor="#000000"/>
            <v:line style="position:absolute" from="4912,252" to="6022,252" stroked="true" strokeweight=".06pt" strokecolor="#000000"/>
            <v:line style="position:absolute" from="4912,253" to="6022,253" stroked="true" strokeweight=".06pt" strokecolor="#000000"/>
            <v:line style="position:absolute" from="4912,255" to="6022,255" stroked="true" strokeweight=".06pt" strokecolor="#000000"/>
            <v:line style="position:absolute" from="4912,256" to="6022,256" stroked="true" strokeweight=".06pt" strokecolor="#000000"/>
            <v:line style="position:absolute" from="4912,257" to="6022,257" stroked="true" strokeweight=".06pt" strokecolor="#000000"/>
            <v:line style="position:absolute" from="4912,258" to="6022,258" stroked="true" strokeweight=".06pt" strokecolor="#000000"/>
            <v:line style="position:absolute" from="4912,259" to="6022,259" stroked="true" strokeweight=".06pt" strokecolor="#000000"/>
            <v:line style="position:absolute" from="6022,241" to="6928,241" stroked="true" strokeweight=".06pt" strokecolor="#000000"/>
            <v:line style="position:absolute" from="6022,243" to="6928,243" stroked="true" strokeweight=".06pt" strokecolor="#000000"/>
            <v:line style="position:absolute" from="6022,244" to="6928,244" stroked="true" strokeweight=".06pt" strokecolor="#000000"/>
            <v:line style="position:absolute" from="6022,245" to="6928,245" stroked="true" strokeweight=".06pt" strokecolor="#000000"/>
            <v:line style="position:absolute" from="6022,246" to="6928,246" stroked="true" strokeweight=".06pt" strokecolor="#000000"/>
            <v:line style="position:absolute" from="6022,247" to="6928,247" stroked="true" strokeweight=".06pt" strokecolor="#000000"/>
            <v:line style="position:absolute" from="6022,249" to="6928,249" stroked="true" strokeweight=".06pt" strokecolor="#000000"/>
            <v:line style="position:absolute" from="6022,250" to="6928,250" stroked="true" strokeweight=".06pt" strokecolor="#000000"/>
            <v:line style="position:absolute" from="6022,251" to="6928,251" stroked="true" strokeweight=".06pt" strokecolor="#000000"/>
            <v:line style="position:absolute" from="6022,252" to="6928,252" stroked="true" strokeweight=".06pt" strokecolor="#000000"/>
            <v:line style="position:absolute" from="6022,253" to="6928,253" stroked="true" strokeweight=".06pt" strokecolor="#000000"/>
            <v:line style="position:absolute" from="6022,255" to="6928,255" stroked="true" strokeweight=".06pt" strokecolor="#000000"/>
            <v:line style="position:absolute" from="6022,256" to="6928,256" stroked="true" strokeweight=".06pt" strokecolor="#000000"/>
            <v:line style="position:absolute" from="6022,257" to="6928,257" stroked="true" strokeweight=".06pt" strokecolor="#000000"/>
            <v:line style="position:absolute" from="6022,258" to="6928,258" stroked="true" strokeweight=".06pt" strokecolor="#000000"/>
            <v:line style="position:absolute" from="6022,259" to="6928,259" stroked="true" strokeweight=".06pt" strokecolor="#000000"/>
            <w10:wrap type="topAndBottom"/>
          </v:group>
        </w:pict>
      </w:r>
      <w:r>
        <w:rPr/>
        <w:pict>
          <v:group style="position:absolute;margin-left:445.209991pt;margin-top:12.024215pt;width:100.9pt;height:1pt;mso-position-horizontal-relative:page;mso-position-vertical-relative:paragraph;z-index:1576;mso-wrap-distance-left:0;mso-wrap-distance-right:0" coordorigin="8904,240" coordsize="2018,20">
            <v:line style="position:absolute" from="8905,241" to="10015,241" stroked="true" strokeweight=".06pt" strokecolor="#000000"/>
            <v:line style="position:absolute" from="8905,243" to="10015,243" stroked="true" strokeweight=".06pt" strokecolor="#000000"/>
            <v:line style="position:absolute" from="8905,244" to="10015,244" stroked="true" strokeweight=".06pt" strokecolor="#000000"/>
            <v:line style="position:absolute" from="8905,245" to="10015,245" stroked="true" strokeweight=".06pt" strokecolor="#000000"/>
            <v:line style="position:absolute" from="8905,246" to="10015,246" stroked="true" strokeweight=".06pt" strokecolor="#000000"/>
            <v:line style="position:absolute" from="8905,247" to="10015,247" stroked="true" strokeweight=".06pt" strokecolor="#000000"/>
            <v:line style="position:absolute" from="8905,249" to="10015,249" stroked="true" strokeweight=".06pt" strokecolor="#000000"/>
            <v:line style="position:absolute" from="8905,250" to="10015,250" stroked="true" strokeweight=".06pt" strokecolor="#000000"/>
            <v:line style="position:absolute" from="8905,251" to="10015,251" stroked="true" strokeweight=".06pt" strokecolor="#000000"/>
            <v:line style="position:absolute" from="8905,252" to="10015,252" stroked="true" strokeweight=".06pt" strokecolor="#000000"/>
            <v:line style="position:absolute" from="8905,253" to="10015,253" stroked="true" strokeweight=".06pt" strokecolor="#000000"/>
            <v:line style="position:absolute" from="8905,255" to="10015,255" stroked="true" strokeweight=".06pt" strokecolor="#000000"/>
            <v:line style="position:absolute" from="8905,256" to="10015,256" stroked="true" strokeweight=".06pt" strokecolor="#000000"/>
            <v:line style="position:absolute" from="8905,257" to="10015,257" stroked="true" strokeweight=".06pt" strokecolor="#000000"/>
            <v:line style="position:absolute" from="8905,258" to="10015,258" stroked="true" strokeweight=".06pt" strokecolor="#000000"/>
            <v:line style="position:absolute" from="8905,259" to="10015,259" stroked="true" strokeweight=".06pt" strokecolor="#000000"/>
            <v:line style="position:absolute" from="10015,241" to="10921,241" stroked="true" strokeweight=".06pt" strokecolor="#000000"/>
            <v:line style="position:absolute" from="10015,243" to="10921,243" stroked="true" strokeweight=".06pt" strokecolor="#000000"/>
            <v:line style="position:absolute" from="10015,244" to="10921,244" stroked="true" strokeweight=".06pt" strokecolor="#000000"/>
            <v:line style="position:absolute" from="10015,245" to="10921,245" stroked="true" strokeweight=".06pt" strokecolor="#000000"/>
            <v:line style="position:absolute" from="10015,246" to="10921,246" stroked="true" strokeweight=".06pt" strokecolor="#000000"/>
            <v:line style="position:absolute" from="10015,247" to="10921,247" stroked="true" strokeweight=".06pt" strokecolor="#000000"/>
            <v:line style="position:absolute" from="10015,249" to="10921,249" stroked="true" strokeweight=".06pt" strokecolor="#000000"/>
            <v:line style="position:absolute" from="10015,250" to="10921,250" stroked="true" strokeweight=".06pt" strokecolor="#000000"/>
            <v:line style="position:absolute" from="10015,251" to="10921,251" stroked="true" strokeweight=".06pt" strokecolor="#000000"/>
            <v:line style="position:absolute" from="10015,252" to="10921,252" stroked="true" strokeweight=".06pt" strokecolor="#000000"/>
            <v:line style="position:absolute" from="10015,253" to="10921,253" stroked="true" strokeweight=".06pt" strokecolor="#000000"/>
            <v:line style="position:absolute" from="10015,255" to="10921,255" stroked="true" strokeweight=".06pt" strokecolor="#000000"/>
            <v:line style="position:absolute" from="10015,256" to="10921,256" stroked="true" strokeweight=".06pt" strokecolor="#000000"/>
            <v:line style="position:absolute" from="10015,257" to="10921,257" stroked="true" strokeweight=".06pt" strokecolor="#000000"/>
            <v:line style="position:absolute" from="10015,258" to="10921,258" stroked="true" strokeweight=".06pt" strokecolor="#000000"/>
            <v:line style="position:absolute" from="10015,259" to="10921,259" stroked="true" strokeweight=".06pt" strokecolor="#000000"/>
            <w10:wrap type="topAndBottom"/>
          </v:group>
        </w:pict>
      </w:r>
      <w:r>
        <w:rPr>
          <w:sz w:val="16"/>
        </w:rPr>
        <w:t>3,618</w:t>
        <w:tab/>
        <w:t>4,257</w:t>
        <w:tab/>
        <w:t>3,618</w:t>
        <w:tab/>
        <w:t>4,257</w:t>
      </w:r>
    </w:p>
    <w:p>
      <w:pPr>
        <w:spacing w:after="0"/>
        <w:jc w:val="left"/>
        <w:rPr>
          <w:sz w:val="16"/>
        </w:rPr>
        <w:sectPr>
          <w:type w:val="continuous"/>
          <w:pgSz w:w="11910" w:h="16840"/>
          <w:pgMar w:top="0" w:bottom="280" w:left="900" w:right="880"/>
        </w:sectPr>
      </w:pPr>
    </w:p>
    <w:p>
      <w:pPr>
        <w:pStyle w:val="BodyText"/>
        <w:spacing w:before="7"/>
        <w:rPr>
          <w:sz w:val="26"/>
        </w:rPr>
      </w:pPr>
    </w:p>
    <w:p>
      <w:pPr>
        <w:pStyle w:val="Heading9"/>
        <w:numPr>
          <w:ilvl w:val="0"/>
          <w:numId w:val="11"/>
        </w:numPr>
        <w:tabs>
          <w:tab w:pos="506" w:val="left" w:leader="none"/>
        </w:tabs>
        <w:spacing w:line="240" w:lineRule="auto" w:before="77" w:after="0"/>
        <w:ind w:left="505" w:right="665" w:hanging="396"/>
        <w:jc w:val="left"/>
      </w:pPr>
      <w:r>
        <w:rPr/>
        <w:t>Australian government financial assistance including HECS-HELP and other Australian government loan programs</w:t>
      </w:r>
    </w:p>
    <w:p>
      <w:pPr>
        <w:pStyle w:val="BodyText"/>
        <w:spacing w:before="3"/>
        <w:rPr>
          <w:b/>
        </w:rPr>
      </w:pPr>
    </w:p>
    <w:p>
      <w:pPr>
        <w:spacing w:after="0"/>
        <w:sectPr>
          <w:pgSz w:w="11910" w:h="16840"/>
          <w:pgMar w:header="1038" w:footer="507" w:top="2220" w:bottom="700" w:left="900" w:right="880"/>
        </w:sectPr>
      </w:pPr>
    </w:p>
    <w:p>
      <w:pPr>
        <w:pStyle w:val="ListParagraph"/>
        <w:numPr>
          <w:ilvl w:val="1"/>
          <w:numId w:val="11"/>
        </w:numPr>
        <w:tabs>
          <w:tab w:pos="1072" w:val="left" w:leader="none"/>
        </w:tabs>
        <w:spacing w:line="240" w:lineRule="auto" w:before="77" w:after="0"/>
        <w:ind w:left="1071" w:right="0" w:hanging="566"/>
        <w:jc w:val="left"/>
        <w:rPr>
          <w:sz w:val="18"/>
        </w:rPr>
      </w:pPr>
      <w:r>
        <w:rPr>
          <w:sz w:val="18"/>
        </w:rPr>
        <w:t>Commonwealth Grants Scheme and Other</w:t>
      </w:r>
      <w:r>
        <w:rPr>
          <w:spacing w:val="-1"/>
          <w:sz w:val="18"/>
        </w:rPr>
        <w:t> </w:t>
      </w:r>
      <w:r>
        <w:rPr>
          <w:sz w:val="18"/>
        </w:rPr>
        <w:t>Grants</w:t>
      </w:r>
    </w:p>
    <w:p>
      <w:pPr>
        <w:pStyle w:val="BodyText"/>
        <w:rPr>
          <w:sz w:val="16"/>
        </w:rPr>
      </w:pPr>
      <w:r>
        <w:rPr/>
        <w:br w:type="column"/>
      </w:r>
      <w:r>
        <w:rPr>
          <w:sz w:val="16"/>
        </w:rPr>
      </w:r>
    </w:p>
    <w:p>
      <w:pPr>
        <w:tabs>
          <w:tab w:pos="2432" w:val="left" w:leader="none"/>
        </w:tabs>
        <w:spacing w:before="133"/>
        <w:ind w:left="-30" w:right="0" w:firstLine="0"/>
        <w:jc w:val="left"/>
        <w:rPr>
          <w:b/>
          <w:sz w:val="16"/>
        </w:rPr>
      </w:pPr>
      <w:r>
        <w:rPr>
          <w:b/>
          <w:sz w:val="16"/>
        </w:rPr>
        <w:t>Consolidated</w:t>
        <w:tab/>
        <w:t>Parent</w:t>
      </w:r>
    </w:p>
    <w:p>
      <w:pPr>
        <w:spacing w:after="0"/>
        <w:jc w:val="left"/>
        <w:rPr>
          <w:sz w:val="16"/>
        </w:rPr>
        <w:sectPr>
          <w:type w:val="continuous"/>
          <w:pgSz w:w="11910" w:h="16840"/>
          <w:pgMar w:top="0" w:bottom="280" w:left="900" w:right="880"/>
          <w:cols w:num="2" w:equalWidth="0">
            <w:col w:w="5064" w:space="40"/>
            <w:col w:w="5026"/>
          </w:cols>
        </w:sectPr>
      </w:pPr>
    </w:p>
    <w:p>
      <w:pPr>
        <w:pStyle w:val="BodyText"/>
        <w:rPr>
          <w:b/>
          <w:sz w:val="16"/>
        </w:rPr>
      </w:pPr>
    </w:p>
    <w:p>
      <w:pPr>
        <w:spacing w:before="133"/>
        <w:ind w:left="0" w:right="0" w:firstLine="0"/>
        <w:jc w:val="right"/>
        <w:rPr>
          <w:b/>
          <w:sz w:val="16"/>
        </w:rPr>
      </w:pPr>
      <w:r>
        <w:rPr>
          <w:b/>
          <w:w w:val="95"/>
          <w:sz w:val="16"/>
        </w:rPr>
        <w:t>Note</w:t>
      </w:r>
    </w:p>
    <w:p>
      <w:pPr>
        <w:spacing w:before="67"/>
        <w:ind w:left="306" w:right="-1" w:firstLine="0"/>
        <w:jc w:val="left"/>
        <w:rPr>
          <w:b/>
          <w:sz w:val="16"/>
        </w:rPr>
      </w:pPr>
      <w:r>
        <w:rPr/>
        <w:br w:type="column"/>
      </w:r>
      <w:r>
        <w:rPr>
          <w:b/>
          <w:sz w:val="16"/>
        </w:rPr>
        <w:t>2012</w:t>
      </w:r>
    </w:p>
    <w:p>
      <w:pPr>
        <w:spacing w:before="66"/>
        <w:ind w:left="306" w:right="-1" w:firstLine="0"/>
        <w:jc w:val="left"/>
        <w:rPr>
          <w:b/>
          <w:sz w:val="16"/>
        </w:rPr>
      </w:pPr>
      <w:r>
        <w:rPr>
          <w:b/>
          <w:w w:val="95"/>
          <w:sz w:val="16"/>
        </w:rPr>
        <w:t>$'000</w:t>
      </w:r>
    </w:p>
    <w:p>
      <w:pPr>
        <w:spacing w:before="67"/>
        <w:ind w:left="707" w:right="-1" w:firstLine="0"/>
        <w:jc w:val="left"/>
        <w:rPr>
          <w:b/>
          <w:sz w:val="16"/>
        </w:rPr>
      </w:pPr>
      <w:r>
        <w:rPr/>
        <w:br w:type="column"/>
      </w:r>
      <w:r>
        <w:rPr>
          <w:b/>
          <w:sz w:val="16"/>
        </w:rPr>
        <w:t>2011</w:t>
      </w:r>
    </w:p>
    <w:p>
      <w:pPr>
        <w:spacing w:before="66"/>
        <w:ind w:left="707" w:right="-1" w:firstLine="0"/>
        <w:jc w:val="left"/>
        <w:rPr>
          <w:b/>
          <w:sz w:val="16"/>
        </w:rPr>
      </w:pPr>
      <w:r>
        <w:rPr>
          <w:b/>
          <w:w w:val="95"/>
          <w:sz w:val="16"/>
        </w:rPr>
        <w:t>$'000</w:t>
      </w:r>
    </w:p>
    <w:p>
      <w:pPr>
        <w:spacing w:before="67"/>
        <w:ind w:left="0" w:right="37" w:firstLine="0"/>
        <w:jc w:val="right"/>
        <w:rPr>
          <w:b/>
          <w:sz w:val="16"/>
        </w:rPr>
      </w:pPr>
      <w:r>
        <w:rPr/>
        <w:br w:type="column"/>
      </w:r>
      <w:r>
        <w:rPr>
          <w:b/>
          <w:sz w:val="16"/>
        </w:rPr>
        <w:t>2012</w:t>
      </w:r>
    </w:p>
    <w:p>
      <w:pPr>
        <w:spacing w:before="66"/>
        <w:ind w:left="0" w:right="0" w:firstLine="0"/>
        <w:jc w:val="right"/>
        <w:rPr>
          <w:b/>
          <w:sz w:val="16"/>
        </w:rPr>
      </w:pPr>
      <w:r>
        <w:rPr>
          <w:b/>
          <w:w w:val="95"/>
          <w:sz w:val="16"/>
        </w:rPr>
        <w:t>$'000</w:t>
      </w:r>
    </w:p>
    <w:p>
      <w:pPr>
        <w:spacing w:before="67"/>
        <w:ind w:left="651" w:right="855" w:firstLine="0"/>
        <w:jc w:val="center"/>
        <w:rPr>
          <w:b/>
          <w:sz w:val="16"/>
        </w:rPr>
      </w:pPr>
      <w:r>
        <w:rPr/>
        <w:br w:type="column"/>
      </w:r>
      <w:r>
        <w:rPr>
          <w:b/>
          <w:sz w:val="16"/>
        </w:rPr>
        <w:t>2011</w:t>
      </w:r>
    </w:p>
    <w:p>
      <w:pPr>
        <w:spacing w:before="66"/>
        <w:ind w:left="689" w:right="855" w:firstLine="0"/>
        <w:jc w:val="center"/>
        <w:rPr>
          <w:b/>
          <w:sz w:val="16"/>
        </w:rPr>
      </w:pPr>
      <w:r>
        <w:rPr>
          <w:b/>
          <w:sz w:val="16"/>
        </w:rPr>
        <w:t>$'000</w:t>
      </w:r>
    </w:p>
    <w:p>
      <w:pPr>
        <w:spacing w:after="0"/>
        <w:jc w:val="center"/>
        <w:rPr>
          <w:sz w:val="16"/>
        </w:rPr>
        <w:sectPr>
          <w:type w:val="continuous"/>
          <w:pgSz w:w="11910" w:h="16840"/>
          <w:pgMar w:top="0" w:bottom="280" w:left="900" w:right="880"/>
          <w:cols w:num="5" w:equalWidth="0">
            <w:col w:w="4883" w:space="40"/>
            <w:col w:w="700" w:space="40"/>
            <w:col w:w="1101" w:space="40"/>
            <w:col w:w="1308" w:space="40"/>
            <w:col w:w="1978"/>
          </w:cols>
        </w:sectPr>
      </w:pPr>
    </w:p>
    <w:p>
      <w:pPr>
        <w:tabs>
          <w:tab w:pos="5709" w:val="left" w:leader="none"/>
          <w:tab w:pos="6877" w:val="left" w:leader="none"/>
          <w:tab w:pos="8197" w:val="left" w:leader="none"/>
          <w:tab w:pos="9365" w:val="left" w:leader="none"/>
        </w:tabs>
        <w:spacing w:before="93"/>
        <w:ind w:left="1035" w:right="128" w:firstLine="0"/>
        <w:jc w:val="left"/>
        <w:rPr>
          <w:sz w:val="16"/>
        </w:rPr>
      </w:pPr>
      <w:r>
        <w:rPr>
          <w:sz w:val="16"/>
        </w:rPr>
        <w:t>Commonwealth Grants</w:t>
      </w:r>
      <w:r>
        <w:rPr>
          <w:spacing w:val="-5"/>
          <w:sz w:val="16"/>
        </w:rPr>
        <w:t> </w:t>
      </w:r>
      <w:r>
        <w:rPr>
          <w:sz w:val="16"/>
        </w:rPr>
        <w:t>Scheme</w:t>
      </w:r>
      <w:r>
        <w:rPr>
          <w:spacing w:val="-1"/>
          <w:sz w:val="16"/>
        </w:rPr>
        <w:t> </w:t>
      </w:r>
      <w:r>
        <w:rPr>
          <w:sz w:val="16"/>
        </w:rPr>
        <w:t>#1</w:t>
        <w:tab/>
      </w:r>
      <w:r>
        <w:rPr>
          <w:b/>
          <w:sz w:val="16"/>
        </w:rPr>
        <w:t>244,739</w:t>
        <w:tab/>
      </w:r>
      <w:r>
        <w:rPr>
          <w:sz w:val="16"/>
        </w:rPr>
        <w:t>199,833</w:t>
        <w:tab/>
      </w:r>
      <w:r>
        <w:rPr>
          <w:b/>
          <w:sz w:val="16"/>
        </w:rPr>
        <w:t>244,739</w:t>
        <w:tab/>
      </w:r>
      <w:r>
        <w:rPr>
          <w:sz w:val="16"/>
        </w:rPr>
        <w:t>199,833</w:t>
      </w:r>
    </w:p>
    <w:p>
      <w:pPr>
        <w:tabs>
          <w:tab w:pos="5887" w:val="left" w:leader="none"/>
          <w:tab w:pos="7054" w:val="left" w:leader="none"/>
          <w:tab w:pos="8375" w:val="left" w:leader="none"/>
          <w:tab w:pos="9542" w:val="left" w:leader="none"/>
        </w:tabs>
        <w:spacing w:before="57"/>
        <w:ind w:left="1035" w:right="128" w:firstLine="0"/>
        <w:jc w:val="left"/>
        <w:rPr>
          <w:sz w:val="16"/>
        </w:rPr>
      </w:pPr>
      <w:r>
        <w:rPr>
          <w:sz w:val="16"/>
        </w:rPr>
        <w:t>Indigenous</w:t>
      </w:r>
      <w:r>
        <w:rPr>
          <w:spacing w:val="-3"/>
          <w:sz w:val="16"/>
        </w:rPr>
        <w:t> </w:t>
      </w:r>
      <w:r>
        <w:rPr>
          <w:sz w:val="16"/>
        </w:rPr>
        <w:t>Support</w:t>
      </w:r>
      <w:r>
        <w:rPr>
          <w:spacing w:val="-3"/>
          <w:sz w:val="16"/>
        </w:rPr>
        <w:t> </w:t>
      </w:r>
      <w:r>
        <w:rPr>
          <w:sz w:val="16"/>
        </w:rPr>
        <w:t>Program</w:t>
        <w:tab/>
      </w:r>
      <w:r>
        <w:rPr>
          <w:b/>
          <w:sz w:val="16"/>
        </w:rPr>
        <w:t>1,397</w:t>
        <w:tab/>
      </w:r>
      <w:r>
        <w:rPr>
          <w:sz w:val="16"/>
        </w:rPr>
        <w:t>1,397</w:t>
        <w:tab/>
      </w:r>
      <w:r>
        <w:rPr>
          <w:b/>
          <w:sz w:val="16"/>
        </w:rPr>
        <w:t>1,397</w:t>
        <w:tab/>
      </w:r>
      <w:r>
        <w:rPr>
          <w:sz w:val="16"/>
        </w:rPr>
        <w:t>1,397</w:t>
      </w:r>
    </w:p>
    <w:p>
      <w:pPr>
        <w:tabs>
          <w:tab w:pos="5798" w:val="left" w:leader="none"/>
          <w:tab w:pos="7054" w:val="left" w:leader="none"/>
          <w:tab w:pos="8286" w:val="left" w:leader="none"/>
          <w:tab w:pos="9542" w:val="left" w:leader="none"/>
        </w:tabs>
        <w:spacing w:before="57"/>
        <w:ind w:left="1035" w:right="128" w:firstLine="0"/>
        <w:jc w:val="left"/>
        <w:rPr>
          <w:sz w:val="16"/>
        </w:rPr>
      </w:pPr>
      <w:r>
        <w:rPr>
          <w:sz w:val="16"/>
        </w:rPr>
        <w:t>Partnership and Participation</w:t>
      </w:r>
      <w:r>
        <w:rPr>
          <w:spacing w:val="-7"/>
          <w:sz w:val="16"/>
        </w:rPr>
        <w:t> </w:t>
      </w:r>
      <w:r>
        <w:rPr>
          <w:sz w:val="16"/>
        </w:rPr>
        <w:t>Program</w:t>
      </w:r>
      <w:r>
        <w:rPr>
          <w:spacing w:val="-3"/>
          <w:sz w:val="16"/>
        </w:rPr>
        <w:t> </w:t>
      </w:r>
      <w:r>
        <w:rPr>
          <w:sz w:val="16"/>
        </w:rPr>
        <w:t>#2</w:t>
        <w:tab/>
      </w:r>
      <w:r>
        <w:rPr>
          <w:b/>
          <w:sz w:val="16"/>
        </w:rPr>
        <w:t>20,108</w:t>
        <w:tab/>
      </w:r>
      <w:r>
        <w:rPr>
          <w:sz w:val="16"/>
        </w:rPr>
        <w:t>5,690</w:t>
        <w:tab/>
      </w:r>
      <w:r>
        <w:rPr>
          <w:b/>
          <w:sz w:val="16"/>
        </w:rPr>
        <w:t>20,108</w:t>
        <w:tab/>
      </w:r>
      <w:r>
        <w:rPr>
          <w:sz w:val="16"/>
        </w:rPr>
        <w:t>5,690</w:t>
      </w:r>
    </w:p>
    <w:p>
      <w:pPr>
        <w:tabs>
          <w:tab w:pos="6020" w:val="left" w:leader="none"/>
          <w:tab w:pos="7188" w:val="left" w:leader="none"/>
          <w:tab w:pos="8508" w:val="left" w:leader="none"/>
          <w:tab w:pos="9941" w:val="right" w:leader="none"/>
        </w:tabs>
        <w:spacing w:before="57"/>
        <w:ind w:left="1035" w:right="0" w:firstLine="0"/>
        <w:jc w:val="left"/>
        <w:rPr>
          <w:sz w:val="16"/>
        </w:rPr>
      </w:pPr>
      <w:r>
        <w:rPr>
          <w:sz w:val="16"/>
        </w:rPr>
        <w:t>Disability</w:t>
      </w:r>
      <w:r>
        <w:rPr>
          <w:spacing w:val="-3"/>
          <w:sz w:val="16"/>
        </w:rPr>
        <w:t> </w:t>
      </w:r>
      <w:r>
        <w:rPr>
          <w:sz w:val="16"/>
        </w:rPr>
        <w:t>Support</w:t>
      </w:r>
      <w:r>
        <w:rPr>
          <w:spacing w:val="-3"/>
          <w:sz w:val="16"/>
        </w:rPr>
        <w:t> </w:t>
      </w:r>
      <w:r>
        <w:rPr>
          <w:sz w:val="16"/>
        </w:rPr>
        <w:t>Program</w:t>
        <w:tab/>
      </w:r>
      <w:r>
        <w:rPr>
          <w:b/>
          <w:sz w:val="16"/>
        </w:rPr>
        <w:t>642</w:t>
        <w:tab/>
      </w:r>
      <w:r>
        <w:rPr>
          <w:sz w:val="16"/>
        </w:rPr>
        <w:t>576</w:t>
        <w:tab/>
      </w:r>
      <w:r>
        <w:rPr>
          <w:b/>
          <w:sz w:val="16"/>
        </w:rPr>
        <w:t>642</w:t>
      </w:r>
      <w:r>
        <w:rPr>
          <w:rFonts w:ascii="Times New Roman"/>
          <w:sz w:val="16"/>
        </w:rPr>
        <w:tab/>
      </w:r>
      <w:r>
        <w:rPr>
          <w:sz w:val="16"/>
        </w:rPr>
        <w:t>576</w:t>
      </w:r>
    </w:p>
    <w:p>
      <w:pPr>
        <w:tabs>
          <w:tab w:pos="6234" w:val="left" w:leader="none"/>
          <w:tab w:pos="7054" w:val="left" w:leader="none"/>
          <w:tab w:pos="8721" w:val="left" w:leader="none"/>
          <w:tab w:pos="9542" w:val="left" w:leader="none"/>
        </w:tabs>
        <w:spacing w:line="240" w:lineRule="atLeast" w:before="1"/>
        <w:ind w:left="1035" w:right="180" w:firstLine="0"/>
        <w:jc w:val="left"/>
        <w:rPr>
          <w:sz w:val="16"/>
        </w:rPr>
      </w:pPr>
      <w:r>
        <w:rPr>
          <w:sz w:val="16"/>
        </w:rPr>
        <w:t>Capital</w:t>
      </w:r>
      <w:r>
        <w:rPr>
          <w:spacing w:val="-3"/>
          <w:sz w:val="16"/>
        </w:rPr>
        <w:t> </w:t>
      </w:r>
      <w:r>
        <w:rPr>
          <w:sz w:val="16"/>
        </w:rPr>
        <w:t>Development</w:t>
      </w:r>
      <w:r>
        <w:rPr>
          <w:spacing w:val="-3"/>
          <w:sz w:val="16"/>
        </w:rPr>
        <w:t> </w:t>
      </w:r>
      <w:r>
        <w:rPr>
          <w:sz w:val="16"/>
        </w:rPr>
        <w:t>Pool</w:t>
        <w:tab/>
      </w:r>
      <w:r>
        <w:rPr>
          <w:b/>
          <w:sz w:val="16"/>
        </w:rPr>
        <w:t>-</w:t>
        <w:tab/>
      </w:r>
      <w:r>
        <w:rPr>
          <w:sz w:val="16"/>
        </w:rPr>
        <w:t>4,149</w:t>
        <w:tab/>
      </w:r>
      <w:r>
        <w:rPr>
          <w:b/>
          <w:sz w:val="16"/>
        </w:rPr>
        <w:t>-</w:t>
        <w:tab/>
      </w:r>
      <w:r>
        <w:rPr>
          <w:sz w:val="16"/>
        </w:rPr>
        <w:t>4,149 Diversity and Structural Adjustment</w:t>
      </w:r>
      <w:r>
        <w:rPr>
          <w:spacing w:val="-12"/>
          <w:sz w:val="16"/>
        </w:rPr>
        <w:t> </w:t>
      </w:r>
      <w:r>
        <w:rPr>
          <w:sz w:val="16"/>
        </w:rPr>
        <w:t>Fund</w:t>
      </w:r>
    </w:p>
    <w:p>
      <w:pPr>
        <w:tabs>
          <w:tab w:pos="5887" w:val="left" w:leader="none"/>
          <w:tab w:pos="7188" w:val="left" w:leader="none"/>
          <w:tab w:pos="8374" w:val="left" w:leader="none"/>
          <w:tab w:pos="9675" w:val="left" w:leader="none"/>
        </w:tabs>
        <w:spacing w:line="184" w:lineRule="exact" w:before="0"/>
        <w:ind w:left="1035" w:right="128" w:firstLine="0"/>
        <w:jc w:val="left"/>
        <w:rPr>
          <w:sz w:val="16"/>
        </w:rPr>
      </w:pPr>
      <w:r>
        <w:rPr>
          <w:sz w:val="16"/>
        </w:rPr>
        <w:t>#3</w:t>
        <w:tab/>
      </w:r>
      <w:r>
        <w:rPr>
          <w:b/>
          <w:sz w:val="16"/>
        </w:rPr>
        <w:t>5,060</w:t>
        <w:tab/>
      </w:r>
      <w:r>
        <w:rPr>
          <w:sz w:val="16"/>
        </w:rPr>
        <w:t>350</w:t>
        <w:tab/>
      </w:r>
      <w:r>
        <w:rPr>
          <w:b/>
          <w:sz w:val="16"/>
        </w:rPr>
        <w:t>5,060</w:t>
        <w:tab/>
      </w:r>
      <w:r>
        <w:rPr>
          <w:sz w:val="16"/>
        </w:rPr>
        <w:t>350</w:t>
      </w:r>
    </w:p>
    <w:p>
      <w:pPr>
        <w:tabs>
          <w:tab w:pos="6020" w:val="left" w:leader="none"/>
          <w:tab w:pos="7223" w:val="left" w:leader="none"/>
          <w:tab w:pos="8507" w:val="left" w:leader="none"/>
          <w:tab w:pos="9711" w:val="left" w:leader="none"/>
        </w:tabs>
        <w:spacing w:line="240" w:lineRule="atLeast" w:before="1"/>
        <w:ind w:left="1035" w:right="127" w:firstLine="0"/>
        <w:jc w:val="left"/>
        <w:rPr>
          <w:sz w:val="16"/>
        </w:rPr>
      </w:pPr>
      <w:r>
        <w:rPr>
          <w:sz w:val="16"/>
        </w:rPr>
        <w:t>Transitional</w:t>
      </w:r>
      <w:r>
        <w:rPr>
          <w:spacing w:val="-3"/>
          <w:sz w:val="16"/>
        </w:rPr>
        <w:t> </w:t>
      </w:r>
      <w:r>
        <w:rPr>
          <w:sz w:val="16"/>
        </w:rPr>
        <w:t>Cost</w:t>
      </w:r>
      <w:r>
        <w:rPr>
          <w:spacing w:val="-3"/>
          <w:sz w:val="16"/>
        </w:rPr>
        <w:t> </w:t>
      </w:r>
      <w:r>
        <w:rPr>
          <w:sz w:val="16"/>
        </w:rPr>
        <w:t>Program</w:t>
        <w:tab/>
      </w:r>
      <w:r>
        <w:rPr>
          <w:b/>
          <w:sz w:val="16"/>
        </w:rPr>
        <w:t>134</w:t>
        <w:tab/>
      </w:r>
      <w:r>
        <w:rPr>
          <w:sz w:val="16"/>
        </w:rPr>
        <w:t>(33)</w:t>
        <w:tab/>
      </w:r>
      <w:r>
        <w:rPr>
          <w:b/>
          <w:sz w:val="16"/>
        </w:rPr>
        <w:t>134</w:t>
        <w:tab/>
      </w:r>
      <w:r>
        <w:rPr>
          <w:sz w:val="16"/>
        </w:rPr>
        <w:t>(33) Promotion of Excellence in Learning</w:t>
      </w:r>
      <w:r>
        <w:rPr>
          <w:spacing w:val="-13"/>
          <w:sz w:val="16"/>
        </w:rPr>
        <w:t> </w:t>
      </w:r>
      <w:r>
        <w:rPr>
          <w:sz w:val="16"/>
        </w:rPr>
        <w:t>and</w:t>
      </w:r>
    </w:p>
    <w:p>
      <w:pPr>
        <w:tabs>
          <w:tab w:pos="6020" w:val="left" w:leader="none"/>
          <w:tab w:pos="7401" w:val="left" w:leader="none"/>
          <w:tab w:pos="8507" w:val="left" w:leader="none"/>
          <w:tab w:pos="9888" w:val="left" w:leader="none"/>
        </w:tabs>
        <w:spacing w:line="184" w:lineRule="exact" w:before="0"/>
        <w:ind w:left="1035" w:right="128" w:firstLine="0"/>
        <w:jc w:val="left"/>
        <w:rPr>
          <w:sz w:val="16"/>
        </w:rPr>
      </w:pPr>
      <w:r>
        <w:rPr>
          <w:sz w:val="16"/>
        </w:rPr>
        <w:t>Teaching</w:t>
        <w:tab/>
      </w:r>
      <w:r>
        <w:rPr>
          <w:b/>
          <w:sz w:val="16"/>
        </w:rPr>
        <w:t>340</w:t>
        <w:tab/>
      </w:r>
      <w:r>
        <w:rPr>
          <w:sz w:val="16"/>
        </w:rPr>
        <w:t>-</w:t>
        <w:tab/>
      </w:r>
      <w:r>
        <w:rPr>
          <w:b/>
          <w:sz w:val="16"/>
        </w:rPr>
        <w:t>340</w:t>
        <w:tab/>
      </w:r>
      <w:r>
        <w:rPr>
          <w:sz w:val="16"/>
        </w:rPr>
        <w:t>-</w:t>
      </w:r>
    </w:p>
    <w:p>
      <w:pPr>
        <w:tabs>
          <w:tab w:pos="5886" w:val="left" w:leader="none"/>
          <w:tab w:pos="7401" w:val="left" w:leader="none"/>
          <w:tab w:pos="8374" w:val="left" w:leader="none"/>
          <w:tab w:pos="9888" w:val="left" w:leader="none"/>
        </w:tabs>
        <w:spacing w:before="57"/>
        <w:ind w:left="1035" w:right="128" w:firstLine="0"/>
        <w:jc w:val="left"/>
        <w:rPr>
          <w:sz w:val="16"/>
        </w:rPr>
      </w:pPr>
      <w:r>
        <w:rPr>
          <w:sz w:val="16"/>
        </w:rPr>
        <w:t>Reward</w:t>
      </w:r>
      <w:r>
        <w:rPr>
          <w:spacing w:val="-2"/>
          <w:sz w:val="16"/>
        </w:rPr>
        <w:t> </w:t>
      </w:r>
      <w:r>
        <w:rPr>
          <w:sz w:val="16"/>
        </w:rPr>
        <w:t>funding</w:t>
        <w:tab/>
      </w:r>
      <w:r>
        <w:rPr>
          <w:b/>
          <w:sz w:val="16"/>
        </w:rPr>
        <w:t>1,218</w:t>
        <w:tab/>
      </w:r>
      <w:r>
        <w:rPr>
          <w:sz w:val="16"/>
        </w:rPr>
        <w:t>-</w:t>
        <w:tab/>
      </w:r>
      <w:r>
        <w:rPr>
          <w:b/>
          <w:sz w:val="16"/>
        </w:rPr>
        <w:t>1,218</w:t>
        <w:tab/>
      </w:r>
      <w:r>
        <w:rPr>
          <w:sz w:val="16"/>
        </w:rPr>
        <w:t>-</w:t>
      </w:r>
    </w:p>
    <w:p>
      <w:pPr>
        <w:tabs>
          <w:tab w:pos="6233" w:val="left" w:leader="none"/>
          <w:tab w:pos="7187" w:val="left" w:leader="none"/>
          <w:tab w:pos="8721" w:val="left" w:leader="none"/>
          <w:tab w:pos="9941" w:val="right" w:leader="none"/>
        </w:tabs>
        <w:spacing w:before="57"/>
        <w:ind w:left="1035" w:right="0" w:firstLine="0"/>
        <w:jc w:val="left"/>
        <w:rPr>
          <w:sz w:val="16"/>
        </w:rPr>
      </w:pPr>
      <w:r>
        <w:rPr/>
        <w:pict>
          <v:group style="position:absolute;margin-left:297.369995pt;margin-top:13.3642pt;width:248.9pt;height:1pt;mso-position-horizontal-relative:page;mso-position-vertical-relative:paragraph;z-index:1768" coordorigin="5947,267" coordsize="4978,20">
            <v:line style="position:absolute" from="5948,268" to="6101,268" stroked="true" strokeweight=".06pt" strokecolor="#000000"/>
            <v:line style="position:absolute" from="5948,269" to="6101,269" stroked="true" strokeweight=".06pt" strokecolor="#000000"/>
            <v:line style="position:absolute" from="5948,271" to="6101,271" stroked="true" strokeweight=".06pt" strokecolor="#000000"/>
            <v:line style="position:absolute" from="5948,272" to="6101,272" stroked="true" strokeweight=".06pt" strokecolor="#000000"/>
            <v:line style="position:absolute" from="5948,273" to="6101,273" stroked="true" strokeweight=".06pt" strokecolor="#000000"/>
            <v:line style="position:absolute" from="5948,274" to="6101,274" stroked="true" strokeweight=".06pt" strokecolor="#000000"/>
            <v:line style="position:absolute" from="5948,275" to="6101,275" stroked="true" strokeweight=".06pt" strokecolor="#000000"/>
            <v:line style="position:absolute" from="5948,277" to="6101,277" stroked="true" strokeweight=".06pt" strokecolor="#000000"/>
            <v:line style="position:absolute" from="5948,278" to="6101,278" stroked="true" strokeweight=".06pt" strokecolor="#000000"/>
            <v:line style="position:absolute" from="5948,279" to="6101,279" stroked="true" strokeweight=".06pt" strokecolor="#000000"/>
            <v:line style="position:absolute" from="5948,280" to="6101,280" stroked="true" strokeweight=".06pt" strokecolor="#000000"/>
            <v:line style="position:absolute" from="5948,281" to="6101,281" stroked="true" strokeweight=".06pt" strokecolor="#000000"/>
            <v:line style="position:absolute" from="5948,283" to="6101,283" stroked="true" strokeweight=".06pt" strokecolor="#000000"/>
            <v:line style="position:absolute" from="5948,284" to="6101,284" stroked="true" strokeweight=".06pt" strokecolor="#000000"/>
            <v:line style="position:absolute" from="5948,285" to="6101,285" stroked="true" strokeweight=".06pt" strokecolor="#000000"/>
            <v:line style="position:absolute" from="5948,286" to="6101,286" stroked="true" strokeweight=".06pt" strokecolor="#000000"/>
            <v:line style="position:absolute" from="6101,268" to="7268,268" stroked="true" strokeweight=".06pt" strokecolor="#000000"/>
            <v:line style="position:absolute" from="6101,269" to="7268,269" stroked="true" strokeweight=".06pt" strokecolor="#000000"/>
            <v:line style="position:absolute" from="6101,271" to="7268,271" stroked="true" strokeweight=".06pt" strokecolor="#000000"/>
            <v:line style="position:absolute" from="6101,272" to="7268,272" stroked="true" strokeweight=".06pt" strokecolor="#000000"/>
            <v:line style="position:absolute" from="6101,273" to="7268,273" stroked="true" strokeweight=".06pt" strokecolor="#000000"/>
            <v:line style="position:absolute" from="6101,274" to="7268,274" stroked="true" strokeweight=".06pt" strokecolor="#000000"/>
            <v:line style="position:absolute" from="6101,275" to="7268,275" stroked="true" strokeweight=".06pt" strokecolor="#000000"/>
            <v:line style="position:absolute" from="6101,277" to="7268,277" stroked="true" strokeweight=".06pt" strokecolor="#000000"/>
            <v:line style="position:absolute" from="6101,278" to="7268,278" stroked="true" strokeweight=".06pt" strokecolor="#000000"/>
            <v:line style="position:absolute" from="6101,279" to="7268,279" stroked="true" strokeweight=".06pt" strokecolor="#000000"/>
            <v:line style="position:absolute" from="6101,280" to="7268,280" stroked="true" strokeweight=".06pt" strokecolor="#000000"/>
            <v:line style="position:absolute" from="6101,281" to="7268,281" stroked="true" strokeweight=".06pt" strokecolor="#000000"/>
            <v:line style="position:absolute" from="6101,283" to="7268,283" stroked="true" strokeweight=".06pt" strokecolor="#000000"/>
            <v:line style="position:absolute" from="6101,284" to="7268,284" stroked="true" strokeweight=".06pt" strokecolor="#000000"/>
            <v:line style="position:absolute" from="6101,285" to="7268,285" stroked="true" strokeweight=".06pt" strokecolor="#000000"/>
            <v:line style="position:absolute" from="6101,286" to="7268,286" stroked="true" strokeweight=".06pt" strokecolor="#000000"/>
            <v:line style="position:absolute" from="7268,268" to="8436,268" stroked="true" strokeweight=".06pt" strokecolor="#000000"/>
            <v:line style="position:absolute" from="7268,269" to="8436,269" stroked="true" strokeweight=".06pt" strokecolor="#000000"/>
            <v:line style="position:absolute" from="7268,271" to="8436,271" stroked="true" strokeweight=".06pt" strokecolor="#000000"/>
            <v:line style="position:absolute" from="7268,272" to="8436,272" stroked="true" strokeweight=".06pt" strokecolor="#000000"/>
            <v:line style="position:absolute" from="7268,273" to="8436,273" stroked="true" strokeweight=".06pt" strokecolor="#000000"/>
            <v:line style="position:absolute" from="7268,274" to="8436,274" stroked="true" strokeweight=".06pt" strokecolor="#000000"/>
            <v:line style="position:absolute" from="7268,275" to="8436,275" stroked="true" strokeweight=".06pt" strokecolor="#000000"/>
            <v:line style="position:absolute" from="7268,277" to="8436,277" stroked="true" strokeweight=".06pt" strokecolor="#000000"/>
            <v:line style="position:absolute" from="7268,278" to="8436,278" stroked="true" strokeweight=".06pt" strokecolor="#000000"/>
            <v:line style="position:absolute" from="7268,279" to="8436,279" stroked="true" strokeweight=".06pt" strokecolor="#000000"/>
            <v:line style="position:absolute" from="7268,280" to="8436,280" stroked="true" strokeweight=".06pt" strokecolor="#000000"/>
            <v:line style="position:absolute" from="7268,281" to="8436,281" stroked="true" strokeweight=".06pt" strokecolor="#000000"/>
            <v:line style="position:absolute" from="7268,283" to="8436,283" stroked="true" strokeweight=".06pt" strokecolor="#000000"/>
            <v:line style="position:absolute" from="7268,284" to="8436,284" stroked="true" strokeweight=".06pt" strokecolor="#000000"/>
            <v:line style="position:absolute" from="7268,285" to="8436,285" stroked="true" strokeweight=".06pt" strokecolor="#000000"/>
            <v:line style="position:absolute" from="7268,286" to="8436,286" stroked="true" strokeweight=".06pt" strokecolor="#000000"/>
            <v:line style="position:absolute" from="8436,268" to="8588,268" stroked="true" strokeweight=".06pt" strokecolor="#000000"/>
            <v:line style="position:absolute" from="8436,269" to="8588,269" stroked="true" strokeweight=".06pt" strokecolor="#000000"/>
            <v:line style="position:absolute" from="8436,271" to="8588,271" stroked="true" strokeweight=".06pt" strokecolor="#000000"/>
            <v:line style="position:absolute" from="8436,272" to="8588,272" stroked="true" strokeweight=".06pt" strokecolor="#000000"/>
            <v:line style="position:absolute" from="8436,273" to="8588,273" stroked="true" strokeweight=".06pt" strokecolor="#000000"/>
            <v:line style="position:absolute" from="8436,274" to="8588,274" stroked="true" strokeweight=".06pt" strokecolor="#000000"/>
            <v:line style="position:absolute" from="8436,275" to="8588,275" stroked="true" strokeweight=".06pt" strokecolor="#000000"/>
            <v:line style="position:absolute" from="8436,277" to="8588,277" stroked="true" strokeweight=".06pt" strokecolor="#000000"/>
            <v:line style="position:absolute" from="8436,278" to="8588,278" stroked="true" strokeweight=".06pt" strokecolor="#000000"/>
            <v:line style="position:absolute" from="8436,279" to="8588,279" stroked="true" strokeweight=".06pt" strokecolor="#000000"/>
            <v:line style="position:absolute" from="8436,280" to="8588,280" stroked="true" strokeweight=".06pt" strokecolor="#000000"/>
            <v:line style="position:absolute" from="8436,281" to="8588,281" stroked="true" strokeweight=".06pt" strokecolor="#000000"/>
            <v:line style="position:absolute" from="8436,283" to="8588,283" stroked="true" strokeweight=".06pt" strokecolor="#000000"/>
            <v:line style="position:absolute" from="8436,284" to="8588,284" stroked="true" strokeweight=".06pt" strokecolor="#000000"/>
            <v:line style="position:absolute" from="8436,285" to="8588,285" stroked="true" strokeweight=".06pt" strokecolor="#000000"/>
            <v:line style="position:absolute" from="8436,286" to="8588,286" stroked="true" strokeweight=".06pt" strokecolor="#000000"/>
            <v:line style="position:absolute" from="8588,268" to="9756,268" stroked="true" strokeweight=".06pt" strokecolor="#000000"/>
            <v:line style="position:absolute" from="8588,269" to="9756,269" stroked="true" strokeweight=".06pt" strokecolor="#000000"/>
            <v:line style="position:absolute" from="8588,271" to="9756,271" stroked="true" strokeweight=".06pt" strokecolor="#000000"/>
            <v:line style="position:absolute" from="8588,272" to="9756,272" stroked="true" strokeweight=".06pt" strokecolor="#000000"/>
            <v:line style="position:absolute" from="8588,273" to="9756,273" stroked="true" strokeweight=".06pt" strokecolor="#000000"/>
            <v:line style="position:absolute" from="8588,274" to="9756,274" stroked="true" strokeweight=".06pt" strokecolor="#000000"/>
            <v:line style="position:absolute" from="8588,275" to="9756,275" stroked="true" strokeweight=".06pt" strokecolor="#000000"/>
            <v:line style="position:absolute" from="8588,277" to="9756,277" stroked="true" strokeweight=".06pt" strokecolor="#000000"/>
            <v:line style="position:absolute" from="8588,278" to="9756,278" stroked="true" strokeweight=".06pt" strokecolor="#000000"/>
            <v:line style="position:absolute" from="8588,279" to="9756,279" stroked="true" strokeweight=".06pt" strokecolor="#000000"/>
            <v:line style="position:absolute" from="8588,280" to="9756,280" stroked="true" strokeweight=".06pt" strokecolor="#000000"/>
            <v:line style="position:absolute" from="8588,281" to="9756,281" stroked="true" strokeweight=".06pt" strokecolor="#000000"/>
            <v:line style="position:absolute" from="8588,283" to="9756,283" stroked="true" strokeweight=".06pt" strokecolor="#000000"/>
            <v:line style="position:absolute" from="8588,284" to="9756,284" stroked="true" strokeweight=".06pt" strokecolor="#000000"/>
            <v:line style="position:absolute" from="8588,285" to="9756,285" stroked="true" strokeweight=".06pt" strokecolor="#000000"/>
            <v:line style="position:absolute" from="8588,286" to="9756,286" stroked="true" strokeweight=".06pt" strokecolor="#000000"/>
            <v:line style="position:absolute" from="9756,268" to="10924,268" stroked="true" strokeweight=".06pt" strokecolor="#000000"/>
            <v:line style="position:absolute" from="9756,269" to="10924,269" stroked="true" strokeweight=".06pt" strokecolor="#000000"/>
            <v:line style="position:absolute" from="9756,271" to="10924,271" stroked="true" strokeweight=".06pt" strokecolor="#000000"/>
            <v:line style="position:absolute" from="9756,272" to="10924,272" stroked="true" strokeweight=".06pt" strokecolor="#000000"/>
            <v:line style="position:absolute" from="9756,273" to="10924,273" stroked="true" strokeweight=".06pt" strokecolor="#000000"/>
            <v:line style="position:absolute" from="9756,274" to="10924,274" stroked="true" strokeweight=".06pt" strokecolor="#000000"/>
            <v:line style="position:absolute" from="9756,275" to="10924,275" stroked="true" strokeweight=".06pt" strokecolor="#000000"/>
            <v:line style="position:absolute" from="9756,277" to="10924,277" stroked="true" strokeweight=".06pt" strokecolor="#000000"/>
            <v:line style="position:absolute" from="9756,278" to="10924,278" stroked="true" strokeweight=".06pt" strokecolor="#000000"/>
            <v:line style="position:absolute" from="9756,279" to="10924,279" stroked="true" strokeweight=".06pt" strokecolor="#000000"/>
            <v:line style="position:absolute" from="9756,280" to="10924,280" stroked="true" strokeweight=".06pt" strokecolor="#000000"/>
            <v:line style="position:absolute" from="9756,281" to="10924,281" stroked="true" strokeweight=".06pt" strokecolor="#000000"/>
            <v:line style="position:absolute" from="9756,283" to="10924,283" stroked="true" strokeweight=".06pt" strokecolor="#000000"/>
            <v:line style="position:absolute" from="9756,284" to="10924,284" stroked="true" strokeweight=".06pt" strokecolor="#000000"/>
            <v:line style="position:absolute" from="9756,285" to="10924,285" stroked="true" strokeweight=".06pt" strokecolor="#000000"/>
            <v:line style="position:absolute" from="9756,286" to="10924,286" stroked="true" strokeweight=".06pt" strokecolor="#000000"/>
            <w10:wrap type="none"/>
          </v:group>
        </w:pict>
      </w:r>
      <w:r>
        <w:rPr>
          <w:sz w:val="16"/>
        </w:rPr>
        <w:t>Other</w:t>
        <w:tab/>
      </w:r>
      <w:r>
        <w:rPr>
          <w:b/>
          <w:sz w:val="16"/>
        </w:rPr>
        <w:t>-</w:t>
        <w:tab/>
      </w:r>
      <w:r>
        <w:rPr>
          <w:sz w:val="16"/>
        </w:rPr>
        <w:t>545</w:t>
        <w:tab/>
      </w:r>
      <w:r>
        <w:rPr>
          <w:b/>
          <w:sz w:val="16"/>
        </w:rPr>
        <w:t>-</w:t>
      </w:r>
      <w:r>
        <w:rPr>
          <w:rFonts w:ascii="Times New Roman"/>
          <w:sz w:val="16"/>
        </w:rPr>
        <w:tab/>
      </w:r>
      <w:r>
        <w:rPr>
          <w:sz w:val="16"/>
        </w:rPr>
        <w:t>545</w:t>
      </w:r>
    </w:p>
    <w:p>
      <w:pPr>
        <w:spacing w:after="0"/>
        <w:jc w:val="left"/>
        <w:rPr>
          <w:sz w:val="16"/>
        </w:rPr>
        <w:sectPr>
          <w:type w:val="continuous"/>
          <w:pgSz w:w="11910" w:h="16840"/>
          <w:pgMar w:top="0" w:bottom="280" w:left="900" w:right="880"/>
        </w:sectPr>
      </w:pPr>
    </w:p>
    <w:p>
      <w:pPr>
        <w:spacing w:before="159"/>
        <w:ind w:left="1035" w:right="-17" w:firstLine="0"/>
        <w:jc w:val="left"/>
        <w:rPr>
          <w:b/>
          <w:sz w:val="16"/>
        </w:rPr>
      </w:pPr>
      <w:r>
        <w:rPr/>
        <w:pict>
          <v:group style="position:absolute;margin-left:297.369995pt;margin-top:26.263372pt;width:248.9pt;height:2.5pt;mso-position-horizontal-relative:page;mso-position-vertical-relative:paragraph;z-index:-1312432" coordorigin="5947,525" coordsize="4978,50">
            <v:line style="position:absolute" from="5948,526" to="6101,526" stroked="true" strokeweight=".06pt" strokecolor="#000000"/>
            <v:line style="position:absolute" from="5948,527" to="6101,527" stroked="true" strokeweight=".06pt" strokecolor="#000000"/>
            <v:line style="position:absolute" from="5948,529" to="6101,529" stroked="true" strokeweight=".06pt" strokecolor="#000000"/>
            <v:line style="position:absolute" from="5948,530" to="6101,530" stroked="true" strokeweight=".06pt" strokecolor="#000000"/>
            <v:line style="position:absolute" from="5948,531" to="6101,531" stroked="true" strokeweight=".06pt" strokecolor="#000000"/>
            <v:line style="position:absolute" from="5948,532" to="6101,532" stroked="true" strokeweight=".06pt" strokecolor="#000000"/>
            <v:line style="position:absolute" from="5948,533" to="6101,533" stroked="true" strokeweight=".06pt" strokecolor="#000000"/>
            <v:line style="position:absolute" from="5948,535" to="6101,535" stroked="true" strokeweight=".06pt" strokecolor="#000000"/>
            <v:line style="position:absolute" from="5948,536" to="6101,536" stroked="true" strokeweight=".06pt" strokecolor="#000000"/>
            <v:line style="position:absolute" from="5948,537" to="6101,537" stroked="true" strokeweight=".06pt" strokecolor="#000000"/>
            <v:line style="position:absolute" from="5948,538" to="6101,538" stroked="true" strokeweight=".06pt" strokecolor="#000000"/>
            <v:line style="position:absolute" from="5948,539" to="6101,539" stroked="true" strokeweight=".06pt" strokecolor="#000000"/>
            <v:line style="position:absolute" from="5948,541" to="6101,541" stroked="true" strokeweight=".06pt" strokecolor="#000000"/>
            <v:line style="position:absolute" from="5948,560" to="6101,560" stroked="true" strokeweight=".06pt" strokecolor="#000000"/>
            <v:line style="position:absolute" from="5948,561" to="6101,561" stroked="true" strokeweight=".06pt" strokecolor="#000000"/>
            <v:line style="position:absolute" from="5948,562" to="6101,562" stroked="true" strokeweight=".06pt" strokecolor="#000000"/>
            <v:line style="position:absolute" from="5948,563" to="6101,563" stroked="true" strokeweight=".06pt" strokecolor="#000000"/>
            <v:line style="position:absolute" from="5948,565" to="6101,565" stroked="true" strokeweight=".06pt" strokecolor="#000000"/>
            <v:line style="position:absolute" from="5948,566" to="6101,566" stroked="true" strokeweight=".06pt" strokecolor="#000000"/>
            <v:line style="position:absolute" from="5948,567" to="6101,567" stroked="true" strokeweight=".06pt" strokecolor="#000000"/>
            <v:line style="position:absolute" from="5948,568" to="6101,568" stroked="true" strokeweight=".06pt" strokecolor="#000000"/>
            <v:line style="position:absolute" from="5948,569" to="6101,569" stroked="true" strokeweight=".06pt" strokecolor="#000000"/>
            <v:line style="position:absolute" from="5948,571" to="6101,571" stroked="true" strokeweight=".06pt" strokecolor="#000000"/>
            <v:line style="position:absolute" from="5948,572" to="6101,572" stroked="true" strokeweight=".06pt" strokecolor="#000000"/>
            <v:line style="position:absolute" from="5948,573" to="6101,573" stroked="true" strokeweight=".06pt" strokecolor="#000000"/>
            <v:line style="position:absolute" from="5948,574" to="6101,574" stroked="true" strokeweight=".06pt" strokecolor="#000000"/>
            <v:line style="position:absolute" from="6101,526" to="7268,526" stroked="true" strokeweight=".06pt" strokecolor="#000000"/>
            <v:line style="position:absolute" from="6101,527" to="7268,527" stroked="true" strokeweight=".06pt" strokecolor="#000000"/>
            <v:line style="position:absolute" from="6101,529" to="7268,529" stroked="true" strokeweight=".06pt" strokecolor="#000000"/>
            <v:line style="position:absolute" from="6101,530" to="7268,530" stroked="true" strokeweight=".06pt" strokecolor="#000000"/>
            <v:line style="position:absolute" from="6101,531" to="7268,531" stroked="true" strokeweight=".06pt" strokecolor="#000000"/>
            <v:line style="position:absolute" from="6101,532" to="7268,532" stroked="true" strokeweight=".06pt" strokecolor="#000000"/>
            <v:line style="position:absolute" from="6101,533" to="7268,533" stroked="true" strokeweight=".06pt" strokecolor="#000000"/>
            <v:line style="position:absolute" from="6101,535" to="7268,535" stroked="true" strokeweight=".06pt" strokecolor="#000000"/>
            <v:line style="position:absolute" from="6101,536" to="7268,536" stroked="true" strokeweight=".06pt" strokecolor="#000000"/>
            <v:line style="position:absolute" from="6101,537" to="7268,537" stroked="true" strokeweight=".06pt" strokecolor="#000000"/>
            <v:line style="position:absolute" from="6101,538" to="7268,538" stroked="true" strokeweight=".06pt" strokecolor="#000000"/>
            <v:line style="position:absolute" from="6101,539" to="7268,539" stroked="true" strokeweight=".06pt" strokecolor="#000000"/>
            <v:line style="position:absolute" from="6101,541" to="7268,541" stroked="true" strokeweight=".06pt" strokecolor="#000000"/>
            <v:line style="position:absolute" from="6101,560" to="7268,560" stroked="true" strokeweight=".06pt" strokecolor="#000000"/>
            <v:line style="position:absolute" from="6101,561" to="7268,561" stroked="true" strokeweight=".06pt" strokecolor="#000000"/>
            <v:line style="position:absolute" from="6101,562" to="7268,562" stroked="true" strokeweight=".06pt" strokecolor="#000000"/>
            <v:line style="position:absolute" from="6101,563" to="7268,563" stroked="true" strokeweight=".06pt" strokecolor="#000000"/>
            <v:line style="position:absolute" from="6101,565" to="7268,565" stroked="true" strokeweight=".06pt" strokecolor="#000000"/>
            <v:line style="position:absolute" from="6101,566" to="7268,566" stroked="true" strokeweight=".06pt" strokecolor="#000000"/>
            <v:line style="position:absolute" from="6101,567" to="7268,567" stroked="true" strokeweight=".06pt" strokecolor="#000000"/>
            <v:line style="position:absolute" from="6101,568" to="7268,568" stroked="true" strokeweight=".06pt" strokecolor="#000000"/>
            <v:line style="position:absolute" from="6101,569" to="7268,569" stroked="true" strokeweight=".06pt" strokecolor="#000000"/>
            <v:line style="position:absolute" from="6101,571" to="7268,571" stroked="true" strokeweight=".06pt" strokecolor="#000000"/>
            <v:line style="position:absolute" from="6101,572" to="7268,572" stroked="true" strokeweight=".06pt" strokecolor="#000000"/>
            <v:line style="position:absolute" from="6101,573" to="7268,573" stroked="true" strokeweight=".06pt" strokecolor="#000000"/>
            <v:line style="position:absolute" from="6101,574" to="7268,574" stroked="true" strokeweight=".06pt" strokecolor="#000000"/>
            <v:line style="position:absolute" from="7268,526" to="8436,526" stroked="true" strokeweight=".06pt" strokecolor="#000000"/>
            <v:line style="position:absolute" from="7268,527" to="8436,527" stroked="true" strokeweight=".06pt" strokecolor="#000000"/>
            <v:line style="position:absolute" from="7268,529" to="8436,529" stroked="true" strokeweight=".06pt" strokecolor="#000000"/>
            <v:line style="position:absolute" from="7268,530" to="8436,530" stroked="true" strokeweight=".06pt" strokecolor="#000000"/>
            <v:line style="position:absolute" from="7268,531" to="8436,531" stroked="true" strokeweight=".06pt" strokecolor="#000000"/>
            <v:line style="position:absolute" from="7268,532" to="8436,532" stroked="true" strokeweight=".06pt" strokecolor="#000000"/>
            <v:line style="position:absolute" from="7268,533" to="8436,533" stroked="true" strokeweight=".06pt" strokecolor="#000000"/>
            <v:line style="position:absolute" from="7268,535" to="8436,535" stroked="true" strokeweight=".06pt" strokecolor="#000000"/>
            <v:line style="position:absolute" from="7268,536" to="8436,536" stroked="true" strokeweight=".06pt" strokecolor="#000000"/>
            <v:line style="position:absolute" from="7268,537" to="8436,537" stroked="true" strokeweight=".06pt" strokecolor="#000000"/>
            <v:line style="position:absolute" from="7268,538" to="8436,538" stroked="true" strokeweight=".06pt" strokecolor="#000000"/>
            <v:line style="position:absolute" from="7268,539" to="8436,539" stroked="true" strokeweight=".06pt" strokecolor="#000000"/>
            <v:line style="position:absolute" from="7268,541" to="8436,541" stroked="true" strokeweight=".06pt" strokecolor="#000000"/>
            <v:line style="position:absolute" from="7268,560" to="8436,560" stroked="true" strokeweight=".06pt" strokecolor="#000000"/>
            <v:line style="position:absolute" from="7268,561" to="8436,561" stroked="true" strokeweight=".06pt" strokecolor="#000000"/>
            <v:line style="position:absolute" from="7268,562" to="8436,562" stroked="true" strokeweight=".06pt" strokecolor="#000000"/>
            <v:line style="position:absolute" from="7268,563" to="8436,563" stroked="true" strokeweight=".06pt" strokecolor="#000000"/>
            <v:line style="position:absolute" from="7268,565" to="8436,565" stroked="true" strokeweight=".06pt" strokecolor="#000000"/>
            <v:line style="position:absolute" from="7268,566" to="8436,566" stroked="true" strokeweight=".06pt" strokecolor="#000000"/>
            <v:line style="position:absolute" from="7268,567" to="8436,567" stroked="true" strokeweight=".06pt" strokecolor="#000000"/>
            <v:line style="position:absolute" from="7268,568" to="8436,568" stroked="true" strokeweight=".06pt" strokecolor="#000000"/>
            <v:line style="position:absolute" from="7268,569" to="8436,569" stroked="true" strokeweight=".06pt" strokecolor="#000000"/>
            <v:line style="position:absolute" from="7268,571" to="8436,571" stroked="true" strokeweight=".06pt" strokecolor="#000000"/>
            <v:line style="position:absolute" from="7268,572" to="8436,572" stroked="true" strokeweight=".06pt" strokecolor="#000000"/>
            <v:line style="position:absolute" from="7268,573" to="8436,573" stroked="true" strokeweight=".06pt" strokecolor="#000000"/>
            <v:line style="position:absolute" from="7268,574" to="8436,574" stroked="true" strokeweight=".06pt" strokecolor="#000000"/>
            <v:line style="position:absolute" from="8436,526" to="8588,526" stroked="true" strokeweight=".06pt" strokecolor="#000000"/>
            <v:line style="position:absolute" from="8436,527" to="8588,527" stroked="true" strokeweight=".06pt" strokecolor="#000000"/>
            <v:line style="position:absolute" from="8436,529" to="8588,529" stroked="true" strokeweight=".06pt" strokecolor="#000000"/>
            <v:line style="position:absolute" from="8436,530" to="8588,530" stroked="true" strokeweight=".06pt" strokecolor="#000000"/>
            <v:line style="position:absolute" from="8436,531" to="8588,531" stroked="true" strokeweight=".06pt" strokecolor="#000000"/>
            <v:line style="position:absolute" from="8436,532" to="8588,532" stroked="true" strokeweight=".06pt" strokecolor="#000000"/>
            <v:line style="position:absolute" from="8436,533" to="8588,533" stroked="true" strokeweight=".06pt" strokecolor="#000000"/>
            <v:line style="position:absolute" from="8436,535" to="8588,535" stroked="true" strokeweight=".06pt" strokecolor="#000000"/>
            <v:line style="position:absolute" from="8436,536" to="8588,536" stroked="true" strokeweight=".06pt" strokecolor="#000000"/>
            <v:line style="position:absolute" from="8436,537" to="8588,537" stroked="true" strokeweight=".06pt" strokecolor="#000000"/>
            <v:line style="position:absolute" from="8436,538" to="8588,538" stroked="true" strokeweight=".06pt" strokecolor="#000000"/>
            <v:line style="position:absolute" from="8436,539" to="8588,539" stroked="true" strokeweight=".06pt" strokecolor="#000000"/>
            <v:line style="position:absolute" from="8436,541" to="8588,541" stroked="true" strokeweight=".06pt" strokecolor="#000000"/>
            <v:line style="position:absolute" from="8436,560" to="8588,560" stroked="true" strokeweight=".06pt" strokecolor="#000000"/>
            <v:line style="position:absolute" from="8436,561" to="8588,561" stroked="true" strokeweight=".06pt" strokecolor="#000000"/>
            <v:line style="position:absolute" from="8436,562" to="8588,562" stroked="true" strokeweight=".06pt" strokecolor="#000000"/>
            <v:line style="position:absolute" from="8436,563" to="8588,563" stroked="true" strokeweight=".06pt" strokecolor="#000000"/>
            <v:line style="position:absolute" from="8436,565" to="8588,565" stroked="true" strokeweight=".06pt" strokecolor="#000000"/>
            <v:line style="position:absolute" from="8436,566" to="8588,566" stroked="true" strokeweight=".06pt" strokecolor="#000000"/>
            <v:line style="position:absolute" from="8436,567" to="8588,567" stroked="true" strokeweight=".06pt" strokecolor="#000000"/>
            <v:line style="position:absolute" from="8436,568" to="8588,568" stroked="true" strokeweight=".06pt" strokecolor="#000000"/>
            <v:line style="position:absolute" from="8436,569" to="8588,569" stroked="true" strokeweight=".06pt" strokecolor="#000000"/>
            <v:line style="position:absolute" from="8436,571" to="8588,571" stroked="true" strokeweight=".06pt" strokecolor="#000000"/>
            <v:line style="position:absolute" from="8436,572" to="8588,572" stroked="true" strokeweight=".06pt" strokecolor="#000000"/>
            <v:line style="position:absolute" from="8436,573" to="8588,573" stroked="true" strokeweight=".06pt" strokecolor="#000000"/>
            <v:line style="position:absolute" from="8436,574" to="8588,574" stroked="true" strokeweight=".06pt" strokecolor="#000000"/>
            <v:line style="position:absolute" from="8588,526" to="9756,526" stroked="true" strokeweight=".06pt" strokecolor="#000000"/>
            <v:line style="position:absolute" from="8588,527" to="9756,527" stroked="true" strokeweight=".06pt" strokecolor="#000000"/>
            <v:line style="position:absolute" from="8588,529" to="9756,529" stroked="true" strokeweight=".06pt" strokecolor="#000000"/>
            <v:line style="position:absolute" from="8588,530" to="9756,530" stroked="true" strokeweight=".06pt" strokecolor="#000000"/>
            <v:line style="position:absolute" from="8588,531" to="9756,531" stroked="true" strokeweight=".06pt" strokecolor="#000000"/>
            <v:line style="position:absolute" from="8588,532" to="9756,532" stroked="true" strokeweight=".06pt" strokecolor="#000000"/>
            <v:line style="position:absolute" from="8588,533" to="9756,533" stroked="true" strokeweight=".06pt" strokecolor="#000000"/>
            <v:line style="position:absolute" from="8588,535" to="9756,535" stroked="true" strokeweight=".06pt" strokecolor="#000000"/>
            <v:line style="position:absolute" from="8588,536" to="9756,536" stroked="true" strokeweight=".06pt" strokecolor="#000000"/>
            <v:line style="position:absolute" from="8588,537" to="9756,537" stroked="true" strokeweight=".06pt" strokecolor="#000000"/>
            <v:line style="position:absolute" from="8588,538" to="9756,538" stroked="true" strokeweight=".06pt" strokecolor="#000000"/>
            <v:line style="position:absolute" from="8588,539" to="9756,539" stroked="true" strokeweight=".06pt" strokecolor="#000000"/>
            <v:line style="position:absolute" from="8588,541" to="9756,541" stroked="true" strokeweight=".06pt" strokecolor="#000000"/>
            <v:line style="position:absolute" from="8588,560" to="9756,560" stroked="true" strokeweight=".06pt" strokecolor="#000000"/>
            <v:line style="position:absolute" from="8588,561" to="9756,561" stroked="true" strokeweight=".06pt" strokecolor="#000000"/>
            <v:line style="position:absolute" from="8588,562" to="9756,562" stroked="true" strokeweight=".06pt" strokecolor="#000000"/>
            <v:line style="position:absolute" from="8588,563" to="9756,563" stroked="true" strokeweight=".06pt" strokecolor="#000000"/>
            <v:line style="position:absolute" from="8588,565" to="9756,565" stroked="true" strokeweight=".06pt" strokecolor="#000000"/>
            <v:line style="position:absolute" from="8588,566" to="9756,566" stroked="true" strokeweight=".06pt" strokecolor="#000000"/>
            <v:line style="position:absolute" from="8588,567" to="9756,567" stroked="true" strokeweight=".06pt" strokecolor="#000000"/>
            <v:line style="position:absolute" from="8588,568" to="9756,568" stroked="true" strokeweight=".06pt" strokecolor="#000000"/>
            <v:line style="position:absolute" from="8588,569" to="9756,569" stroked="true" strokeweight=".06pt" strokecolor="#000000"/>
            <v:line style="position:absolute" from="8588,571" to="9756,571" stroked="true" strokeweight=".06pt" strokecolor="#000000"/>
            <v:line style="position:absolute" from="8588,572" to="9756,572" stroked="true" strokeweight=".06pt" strokecolor="#000000"/>
            <v:line style="position:absolute" from="8588,573" to="9756,573" stroked="true" strokeweight=".06pt" strokecolor="#000000"/>
            <v:line style="position:absolute" from="8588,574" to="9756,574" stroked="true" strokeweight=".06pt" strokecolor="#000000"/>
            <v:line style="position:absolute" from="9756,526" to="10924,526" stroked="true" strokeweight=".06pt" strokecolor="#000000"/>
            <v:line style="position:absolute" from="9756,527" to="10924,527" stroked="true" strokeweight=".06pt" strokecolor="#000000"/>
            <v:line style="position:absolute" from="9756,529" to="10924,529" stroked="true" strokeweight=".06pt" strokecolor="#000000"/>
            <v:line style="position:absolute" from="9756,530" to="10924,530" stroked="true" strokeweight=".06pt" strokecolor="#000000"/>
            <v:line style="position:absolute" from="9756,531" to="10924,531" stroked="true" strokeweight=".06pt" strokecolor="#000000"/>
            <v:line style="position:absolute" from="9756,532" to="10924,532" stroked="true" strokeweight=".06pt" strokecolor="#000000"/>
            <v:line style="position:absolute" from="9756,533" to="10924,533" stroked="true" strokeweight=".06pt" strokecolor="#000000"/>
            <v:line style="position:absolute" from="9756,535" to="10924,535" stroked="true" strokeweight=".06pt" strokecolor="#000000"/>
            <v:line style="position:absolute" from="9756,536" to="10924,536" stroked="true" strokeweight=".06pt" strokecolor="#000000"/>
            <v:line style="position:absolute" from="9756,537" to="10924,537" stroked="true" strokeweight=".06pt" strokecolor="#000000"/>
            <v:line style="position:absolute" from="9756,538" to="10924,538" stroked="true" strokeweight=".06pt" strokecolor="#000000"/>
            <v:line style="position:absolute" from="9756,539" to="10924,539" stroked="true" strokeweight=".06pt" strokecolor="#000000"/>
            <v:line style="position:absolute" from="9756,541" to="10924,541" stroked="true" strokeweight=".06pt" strokecolor="#000000"/>
            <v:line style="position:absolute" from="9756,560" to="10924,560" stroked="true" strokeweight=".06pt" strokecolor="#000000"/>
            <v:line style="position:absolute" from="9756,561" to="10924,561" stroked="true" strokeweight=".06pt" strokecolor="#000000"/>
            <v:line style="position:absolute" from="9756,562" to="10924,562" stroked="true" strokeweight=".06pt" strokecolor="#000000"/>
            <v:line style="position:absolute" from="9756,563" to="10924,563" stroked="true" strokeweight=".06pt" strokecolor="#000000"/>
            <v:line style="position:absolute" from="9756,565" to="10924,565" stroked="true" strokeweight=".06pt" strokecolor="#000000"/>
            <v:line style="position:absolute" from="9756,566" to="10924,566" stroked="true" strokeweight=".06pt" strokecolor="#000000"/>
            <v:line style="position:absolute" from="9756,567" to="10924,567" stroked="true" strokeweight=".06pt" strokecolor="#000000"/>
            <v:line style="position:absolute" from="9756,568" to="10924,568" stroked="true" strokeweight=".06pt" strokecolor="#000000"/>
            <v:line style="position:absolute" from="9756,569" to="10924,569" stroked="true" strokeweight=".06pt" strokecolor="#000000"/>
            <v:line style="position:absolute" from="9756,571" to="10924,571" stroked="true" strokeweight=".06pt" strokecolor="#000000"/>
            <v:line style="position:absolute" from="9756,572" to="10924,572" stroked="true" strokeweight=".06pt" strokecolor="#000000"/>
            <v:line style="position:absolute" from="9756,573" to="10924,573" stroked="true" strokeweight=".06pt" strokecolor="#000000"/>
            <v:line style="position:absolute" from="9756,574" to="10924,574" stroked="true" strokeweight=".06pt" strokecolor="#000000"/>
            <w10:wrap type="none"/>
          </v:group>
        </w:pict>
      </w:r>
      <w:r>
        <w:rPr>
          <w:b/>
          <w:sz w:val="16"/>
        </w:rPr>
        <w:t>Total Commonwealth Grants</w:t>
      </w:r>
      <w:r>
        <w:rPr>
          <w:b/>
          <w:spacing w:val="-10"/>
          <w:sz w:val="16"/>
        </w:rPr>
        <w:t> </w:t>
      </w:r>
      <w:r>
        <w:rPr>
          <w:b/>
          <w:sz w:val="16"/>
        </w:rPr>
        <w:t>Scheme and Other</w:t>
      </w:r>
      <w:r>
        <w:rPr>
          <w:b/>
          <w:spacing w:val="-6"/>
          <w:sz w:val="16"/>
        </w:rPr>
        <w:t> </w:t>
      </w:r>
      <w:r>
        <w:rPr>
          <w:b/>
          <w:sz w:val="16"/>
        </w:rPr>
        <w:t>Grants</w:t>
      </w:r>
    </w:p>
    <w:p>
      <w:pPr>
        <w:spacing w:before="74"/>
        <w:ind w:left="622" w:right="-1" w:firstLine="0"/>
        <w:jc w:val="left"/>
        <w:rPr>
          <w:sz w:val="16"/>
        </w:rPr>
      </w:pPr>
      <w:r>
        <w:rPr/>
        <w:br w:type="column"/>
      </w:r>
      <w:r>
        <w:rPr>
          <w:w w:val="95"/>
          <w:sz w:val="16"/>
        </w:rPr>
        <w:t>35(a)</w:t>
      </w:r>
    </w:p>
    <w:p>
      <w:pPr>
        <w:tabs>
          <w:tab w:pos="1937" w:val="left" w:leader="none"/>
          <w:tab w:pos="3257" w:val="left" w:leader="none"/>
          <w:tab w:pos="4424" w:val="left" w:leader="none"/>
        </w:tabs>
        <w:spacing w:before="343"/>
        <w:ind w:left="769" w:right="0" w:firstLine="0"/>
        <w:jc w:val="left"/>
        <w:rPr>
          <w:sz w:val="16"/>
        </w:rPr>
      </w:pPr>
      <w:r>
        <w:rPr/>
        <w:br w:type="column"/>
      </w:r>
      <w:r>
        <w:rPr>
          <w:b/>
          <w:sz w:val="16"/>
        </w:rPr>
        <w:t>273,638</w:t>
        <w:tab/>
      </w:r>
      <w:r>
        <w:rPr>
          <w:sz w:val="16"/>
        </w:rPr>
        <w:t>212,507</w:t>
        <w:tab/>
      </w:r>
      <w:r>
        <w:rPr>
          <w:b/>
          <w:sz w:val="16"/>
        </w:rPr>
        <w:t>273,638</w:t>
        <w:tab/>
      </w:r>
      <w:r>
        <w:rPr>
          <w:sz w:val="16"/>
        </w:rPr>
        <w:t>212,507</w:t>
      </w:r>
    </w:p>
    <w:p>
      <w:pPr>
        <w:spacing w:after="0"/>
        <w:jc w:val="left"/>
        <w:rPr>
          <w:sz w:val="16"/>
        </w:rPr>
        <w:sectPr>
          <w:type w:val="continuous"/>
          <w:pgSz w:w="11910" w:h="16840"/>
          <w:pgMar w:top="0" w:bottom="280" w:left="900" w:right="880"/>
          <w:cols w:num="3" w:equalWidth="0">
            <w:col w:w="3865" w:space="40"/>
            <w:col w:w="996" w:space="40"/>
            <w:col w:w="5189"/>
          </w:cols>
        </w:sectPr>
      </w:pPr>
    </w:p>
    <w:p>
      <w:pPr>
        <w:pStyle w:val="ListParagraph"/>
        <w:numPr>
          <w:ilvl w:val="1"/>
          <w:numId w:val="11"/>
        </w:numPr>
        <w:tabs>
          <w:tab w:pos="1072" w:val="left" w:leader="none"/>
        </w:tabs>
        <w:spacing w:line="240" w:lineRule="auto" w:before="337" w:after="0"/>
        <w:ind w:left="1071" w:right="0" w:hanging="566"/>
        <w:jc w:val="left"/>
        <w:rPr>
          <w:sz w:val="18"/>
        </w:rPr>
      </w:pPr>
      <w:r>
        <w:rPr>
          <w:sz w:val="18"/>
        </w:rPr>
        <w:t>Higher Education Loan</w:t>
      </w:r>
      <w:r>
        <w:rPr>
          <w:spacing w:val="-1"/>
          <w:sz w:val="18"/>
        </w:rPr>
        <w:t> </w:t>
      </w:r>
      <w:r>
        <w:rPr>
          <w:sz w:val="18"/>
        </w:rPr>
        <w:t>Programs</w:t>
      </w:r>
    </w:p>
    <w:p>
      <w:pPr>
        <w:tabs>
          <w:tab w:pos="2967" w:val="left" w:leader="none"/>
        </w:tabs>
        <w:spacing w:before="577"/>
        <w:ind w:left="505" w:right="0" w:firstLine="0"/>
        <w:jc w:val="left"/>
        <w:rPr>
          <w:b/>
          <w:sz w:val="16"/>
        </w:rPr>
      </w:pPr>
      <w:r>
        <w:rPr/>
        <w:br w:type="column"/>
      </w:r>
      <w:r>
        <w:rPr>
          <w:b/>
          <w:sz w:val="16"/>
        </w:rPr>
        <w:t>Consolidated</w:t>
        <w:tab/>
        <w:t>Parent</w:t>
      </w:r>
    </w:p>
    <w:p>
      <w:pPr>
        <w:spacing w:after="0"/>
        <w:jc w:val="left"/>
        <w:rPr>
          <w:sz w:val="16"/>
        </w:rPr>
        <w:sectPr>
          <w:type w:val="continuous"/>
          <w:pgSz w:w="11910" w:h="16840"/>
          <w:pgMar w:top="0" w:bottom="280" w:left="900" w:right="880"/>
          <w:cols w:num="2" w:equalWidth="0">
            <w:col w:w="3734" w:space="835"/>
            <w:col w:w="5561"/>
          </w:cols>
        </w:sectPr>
      </w:pPr>
    </w:p>
    <w:p>
      <w:pPr>
        <w:spacing w:before="317"/>
        <w:ind w:left="0" w:right="0" w:firstLine="0"/>
        <w:jc w:val="right"/>
        <w:rPr>
          <w:b/>
          <w:sz w:val="16"/>
        </w:rPr>
      </w:pPr>
      <w:r>
        <w:rPr>
          <w:b/>
          <w:w w:val="95"/>
          <w:sz w:val="16"/>
        </w:rPr>
        <w:t>Note</w:t>
      </w:r>
    </w:p>
    <w:p>
      <w:pPr>
        <w:spacing w:before="67"/>
        <w:ind w:left="306" w:right="-1" w:firstLine="0"/>
        <w:jc w:val="left"/>
        <w:rPr>
          <w:b/>
          <w:sz w:val="16"/>
        </w:rPr>
      </w:pPr>
      <w:r>
        <w:rPr/>
        <w:br w:type="column"/>
      </w:r>
      <w:r>
        <w:rPr>
          <w:b/>
          <w:sz w:val="16"/>
        </w:rPr>
        <w:t>2012</w:t>
      </w:r>
    </w:p>
    <w:p>
      <w:pPr>
        <w:spacing w:before="66"/>
        <w:ind w:left="306" w:right="-1" w:firstLine="0"/>
        <w:jc w:val="left"/>
        <w:rPr>
          <w:b/>
          <w:sz w:val="16"/>
        </w:rPr>
      </w:pPr>
      <w:r>
        <w:rPr>
          <w:b/>
          <w:w w:val="95"/>
          <w:sz w:val="16"/>
        </w:rPr>
        <w:t>$'000</w:t>
      </w:r>
    </w:p>
    <w:p>
      <w:pPr>
        <w:spacing w:before="67"/>
        <w:ind w:left="707" w:right="-1" w:firstLine="0"/>
        <w:jc w:val="left"/>
        <w:rPr>
          <w:b/>
          <w:sz w:val="16"/>
        </w:rPr>
      </w:pPr>
      <w:r>
        <w:rPr/>
        <w:br w:type="column"/>
      </w:r>
      <w:r>
        <w:rPr>
          <w:b/>
          <w:sz w:val="16"/>
        </w:rPr>
        <w:t>2011</w:t>
      </w:r>
    </w:p>
    <w:p>
      <w:pPr>
        <w:spacing w:before="66"/>
        <w:ind w:left="707" w:right="-1" w:firstLine="0"/>
        <w:jc w:val="left"/>
        <w:rPr>
          <w:b/>
          <w:sz w:val="16"/>
        </w:rPr>
      </w:pPr>
      <w:r>
        <w:rPr>
          <w:b/>
          <w:w w:val="95"/>
          <w:sz w:val="16"/>
        </w:rPr>
        <w:t>$'000</w:t>
      </w:r>
    </w:p>
    <w:p>
      <w:pPr>
        <w:spacing w:before="67"/>
        <w:ind w:left="0" w:right="37" w:firstLine="0"/>
        <w:jc w:val="right"/>
        <w:rPr>
          <w:b/>
          <w:sz w:val="16"/>
        </w:rPr>
      </w:pPr>
      <w:r>
        <w:rPr/>
        <w:br w:type="column"/>
      </w:r>
      <w:r>
        <w:rPr>
          <w:b/>
          <w:sz w:val="16"/>
        </w:rPr>
        <w:t>2012</w:t>
      </w:r>
    </w:p>
    <w:p>
      <w:pPr>
        <w:spacing w:before="66"/>
        <w:ind w:left="0" w:right="0" w:firstLine="0"/>
        <w:jc w:val="right"/>
        <w:rPr>
          <w:b/>
          <w:sz w:val="16"/>
        </w:rPr>
      </w:pPr>
      <w:r>
        <w:rPr>
          <w:b/>
          <w:w w:val="95"/>
          <w:sz w:val="16"/>
        </w:rPr>
        <w:t>$'000</w:t>
      </w:r>
    </w:p>
    <w:p>
      <w:pPr>
        <w:spacing w:before="67"/>
        <w:ind w:left="651" w:right="855" w:firstLine="0"/>
        <w:jc w:val="center"/>
        <w:rPr>
          <w:b/>
          <w:sz w:val="16"/>
        </w:rPr>
      </w:pPr>
      <w:r>
        <w:rPr/>
        <w:br w:type="column"/>
      </w:r>
      <w:r>
        <w:rPr>
          <w:b/>
          <w:sz w:val="16"/>
        </w:rPr>
        <w:t>2011</w:t>
      </w:r>
    </w:p>
    <w:p>
      <w:pPr>
        <w:spacing w:before="66"/>
        <w:ind w:left="689" w:right="855" w:firstLine="0"/>
        <w:jc w:val="center"/>
        <w:rPr>
          <w:b/>
          <w:sz w:val="16"/>
        </w:rPr>
      </w:pPr>
      <w:r>
        <w:rPr>
          <w:b/>
          <w:sz w:val="16"/>
        </w:rPr>
        <w:t>$'000</w:t>
      </w:r>
    </w:p>
    <w:p>
      <w:pPr>
        <w:spacing w:after="0"/>
        <w:jc w:val="center"/>
        <w:rPr>
          <w:sz w:val="16"/>
        </w:rPr>
        <w:sectPr>
          <w:type w:val="continuous"/>
          <w:pgSz w:w="11910" w:h="16840"/>
          <w:pgMar w:top="0" w:bottom="280" w:left="900" w:right="880"/>
          <w:cols w:num="5" w:equalWidth="0">
            <w:col w:w="4883" w:space="40"/>
            <w:col w:w="700" w:space="40"/>
            <w:col w:w="1101" w:space="40"/>
            <w:col w:w="1308" w:space="40"/>
            <w:col w:w="1978"/>
          </w:cols>
        </w:sectPr>
      </w:pPr>
    </w:p>
    <w:p>
      <w:pPr>
        <w:tabs>
          <w:tab w:pos="5709" w:val="left" w:leader="none"/>
          <w:tab w:pos="6877" w:val="left" w:leader="none"/>
          <w:tab w:pos="8197" w:val="left" w:leader="none"/>
          <w:tab w:pos="9365" w:val="left" w:leader="none"/>
        </w:tabs>
        <w:spacing w:before="93"/>
        <w:ind w:left="1035" w:right="128" w:firstLine="0"/>
        <w:jc w:val="left"/>
        <w:rPr>
          <w:sz w:val="16"/>
        </w:rPr>
      </w:pPr>
      <w:r>
        <w:rPr>
          <w:sz w:val="16"/>
        </w:rPr>
        <w:t>HECS</w:t>
      </w:r>
      <w:r>
        <w:rPr>
          <w:spacing w:val="-2"/>
          <w:sz w:val="16"/>
        </w:rPr>
        <w:t> </w:t>
      </w:r>
      <w:r>
        <w:rPr>
          <w:sz w:val="16"/>
        </w:rPr>
        <w:t>-</w:t>
      </w:r>
      <w:r>
        <w:rPr>
          <w:spacing w:val="-2"/>
          <w:sz w:val="16"/>
        </w:rPr>
        <w:t> </w:t>
      </w:r>
      <w:r>
        <w:rPr>
          <w:sz w:val="16"/>
        </w:rPr>
        <w:t>HELP</w:t>
        <w:tab/>
      </w:r>
      <w:r>
        <w:rPr>
          <w:b/>
          <w:sz w:val="16"/>
        </w:rPr>
        <w:t>156,231</w:t>
        <w:tab/>
      </w:r>
      <w:r>
        <w:rPr>
          <w:sz w:val="16"/>
        </w:rPr>
        <w:t>144,679</w:t>
        <w:tab/>
      </w:r>
      <w:r>
        <w:rPr>
          <w:b/>
          <w:sz w:val="16"/>
        </w:rPr>
        <w:t>156,231</w:t>
        <w:tab/>
      </w:r>
      <w:r>
        <w:rPr>
          <w:sz w:val="16"/>
        </w:rPr>
        <w:t>144,679</w:t>
      </w:r>
    </w:p>
    <w:p>
      <w:pPr>
        <w:tabs>
          <w:tab w:pos="5887" w:val="left" w:leader="none"/>
          <w:tab w:pos="6966" w:val="left" w:leader="none"/>
          <w:tab w:pos="8374" w:val="left" w:leader="none"/>
          <w:tab w:pos="9542" w:val="left" w:leader="none"/>
        </w:tabs>
        <w:spacing w:before="57"/>
        <w:ind w:left="1035" w:right="128" w:firstLine="0"/>
        <w:jc w:val="left"/>
        <w:rPr>
          <w:sz w:val="16"/>
        </w:rPr>
      </w:pPr>
      <w:r>
        <w:rPr>
          <w:sz w:val="16"/>
        </w:rPr>
        <w:t>FEE -</w:t>
      </w:r>
      <w:r>
        <w:rPr>
          <w:spacing w:val="-3"/>
          <w:sz w:val="16"/>
        </w:rPr>
        <w:t> </w:t>
      </w:r>
      <w:r>
        <w:rPr>
          <w:sz w:val="16"/>
        </w:rPr>
        <w:t>HELP</w:t>
      </w:r>
      <w:r>
        <w:rPr>
          <w:spacing w:val="-1"/>
          <w:sz w:val="16"/>
        </w:rPr>
        <w:t> </w:t>
      </w:r>
      <w:r>
        <w:rPr>
          <w:sz w:val="16"/>
        </w:rPr>
        <w:t>#4</w:t>
        <w:tab/>
      </w:r>
      <w:r>
        <w:rPr>
          <w:b/>
          <w:sz w:val="16"/>
        </w:rPr>
        <w:t>9,802</w:t>
        <w:tab/>
      </w:r>
      <w:r>
        <w:rPr>
          <w:sz w:val="16"/>
        </w:rPr>
        <w:t>10,129</w:t>
        <w:tab/>
      </w:r>
      <w:r>
        <w:rPr>
          <w:b/>
          <w:sz w:val="16"/>
        </w:rPr>
        <w:t>8,618</w:t>
        <w:tab/>
      </w:r>
      <w:r>
        <w:rPr>
          <w:sz w:val="16"/>
        </w:rPr>
        <w:t>8,666</w:t>
      </w:r>
    </w:p>
    <w:p>
      <w:pPr>
        <w:tabs>
          <w:tab w:pos="5887" w:val="left" w:leader="none"/>
          <w:tab w:pos="7401" w:val="left" w:leader="none"/>
          <w:tab w:pos="8374" w:val="left" w:leader="none"/>
          <w:tab w:pos="9889" w:val="left" w:leader="none"/>
        </w:tabs>
        <w:spacing w:before="57"/>
        <w:ind w:left="1035" w:right="128" w:firstLine="0"/>
        <w:jc w:val="left"/>
        <w:rPr>
          <w:sz w:val="16"/>
        </w:rPr>
      </w:pPr>
      <w:r>
        <w:rPr/>
        <w:pict>
          <v:group style="position:absolute;margin-left:297.369995pt;margin-top:13.366241pt;width:248.9pt;height:1pt;mso-position-horizontal-relative:page;mso-position-vertical-relative:paragraph;z-index:1696;mso-wrap-distance-left:0;mso-wrap-distance-right:0" coordorigin="5947,267" coordsize="4978,20">
            <v:line style="position:absolute" from="5948,268" to="6101,268" stroked="true" strokeweight=".06pt" strokecolor="#000000"/>
            <v:line style="position:absolute" from="5948,270" to="6101,270" stroked="true" strokeweight=".06pt" strokecolor="#000000"/>
            <v:line style="position:absolute" from="5948,271" to="6101,271" stroked="true" strokeweight=".06pt" strokecolor="#000000"/>
            <v:line style="position:absolute" from="5948,272" to="6101,272" stroked="true" strokeweight=".06pt" strokecolor="#000000"/>
            <v:line style="position:absolute" from="5948,273" to="6101,273" stroked="true" strokeweight=".06pt" strokecolor="#000000"/>
            <v:line style="position:absolute" from="5948,274" to="6101,274" stroked="true" strokeweight=".06pt" strokecolor="#000000"/>
            <v:line style="position:absolute" from="5948,276" to="6101,276" stroked="true" strokeweight=".06pt" strokecolor="#000000"/>
            <v:line style="position:absolute" from="5948,277" to="6101,277" stroked="true" strokeweight=".06pt" strokecolor="#000000"/>
            <v:line style="position:absolute" from="5948,278" to="6101,278" stroked="true" strokeweight=".06pt" strokecolor="#000000"/>
            <v:line style="position:absolute" from="5948,279" to="6101,279" stroked="true" strokeweight=".06pt" strokecolor="#000000"/>
            <v:line style="position:absolute" from="5948,280" to="6101,280" stroked="true" strokeweight=".06pt" strokecolor="#000000"/>
            <v:line style="position:absolute" from="5948,282" to="6101,282" stroked="true" strokeweight=".06pt" strokecolor="#000000"/>
            <v:line style="position:absolute" from="5948,283" to="6101,283" stroked="true" strokeweight=".06pt" strokecolor="#000000"/>
            <v:line style="position:absolute" from="5948,284" to="6101,284" stroked="true" strokeweight=".06pt" strokecolor="#000000"/>
            <v:line style="position:absolute" from="5948,285" to="6101,285" stroked="true" strokeweight=".06pt" strokecolor="#000000"/>
            <v:line style="position:absolute" from="5948,286" to="6101,286" stroked="true" strokeweight=".06pt" strokecolor="#000000"/>
            <v:line style="position:absolute" from="6101,268" to="7268,268" stroked="true" strokeweight=".06pt" strokecolor="#000000"/>
            <v:line style="position:absolute" from="6101,270" to="7268,270" stroked="true" strokeweight=".06pt" strokecolor="#000000"/>
            <v:line style="position:absolute" from="6101,271" to="7268,271" stroked="true" strokeweight=".06pt" strokecolor="#000000"/>
            <v:line style="position:absolute" from="6101,272" to="7268,272" stroked="true" strokeweight=".06pt" strokecolor="#000000"/>
            <v:line style="position:absolute" from="6101,273" to="7268,273" stroked="true" strokeweight=".06pt" strokecolor="#000000"/>
            <v:line style="position:absolute" from="6101,274" to="7268,274" stroked="true" strokeweight=".06pt" strokecolor="#000000"/>
            <v:line style="position:absolute" from="6101,276" to="7268,276" stroked="true" strokeweight=".06pt" strokecolor="#000000"/>
            <v:line style="position:absolute" from="6101,277" to="7268,277" stroked="true" strokeweight=".06pt" strokecolor="#000000"/>
            <v:line style="position:absolute" from="6101,278" to="7268,278" stroked="true" strokeweight=".06pt" strokecolor="#000000"/>
            <v:line style="position:absolute" from="6101,279" to="7268,279" stroked="true" strokeweight=".06pt" strokecolor="#000000"/>
            <v:line style="position:absolute" from="6101,280" to="7268,280" stroked="true" strokeweight=".06pt" strokecolor="#000000"/>
            <v:line style="position:absolute" from="6101,282" to="7268,282" stroked="true" strokeweight=".06pt" strokecolor="#000000"/>
            <v:line style="position:absolute" from="6101,283" to="7268,283" stroked="true" strokeweight=".06pt" strokecolor="#000000"/>
            <v:line style="position:absolute" from="6101,284" to="7268,284" stroked="true" strokeweight=".06pt" strokecolor="#000000"/>
            <v:line style="position:absolute" from="6101,285" to="7268,285" stroked="true" strokeweight=".06pt" strokecolor="#000000"/>
            <v:line style="position:absolute" from="6101,286" to="7268,286" stroked="true" strokeweight=".06pt" strokecolor="#000000"/>
            <v:line style="position:absolute" from="7268,268" to="8436,268" stroked="true" strokeweight=".06pt" strokecolor="#000000"/>
            <v:line style="position:absolute" from="7268,270" to="8436,270" stroked="true" strokeweight=".06pt" strokecolor="#000000"/>
            <v:line style="position:absolute" from="7268,271" to="8436,271" stroked="true" strokeweight=".06pt" strokecolor="#000000"/>
            <v:line style="position:absolute" from="7268,272" to="8436,272" stroked="true" strokeweight=".06pt" strokecolor="#000000"/>
            <v:line style="position:absolute" from="7268,273" to="8436,273" stroked="true" strokeweight=".06pt" strokecolor="#000000"/>
            <v:line style="position:absolute" from="7268,274" to="8436,274" stroked="true" strokeweight=".06pt" strokecolor="#000000"/>
            <v:line style="position:absolute" from="7268,276" to="8436,276" stroked="true" strokeweight=".06pt" strokecolor="#000000"/>
            <v:line style="position:absolute" from="7268,277" to="8436,277" stroked="true" strokeweight=".06pt" strokecolor="#000000"/>
            <v:line style="position:absolute" from="7268,278" to="8436,278" stroked="true" strokeweight=".06pt" strokecolor="#000000"/>
            <v:line style="position:absolute" from="7268,279" to="8436,279" stroked="true" strokeweight=".06pt" strokecolor="#000000"/>
            <v:line style="position:absolute" from="7268,280" to="8436,280" stroked="true" strokeweight=".06pt" strokecolor="#000000"/>
            <v:line style="position:absolute" from="7268,282" to="8436,282" stroked="true" strokeweight=".06pt" strokecolor="#000000"/>
            <v:line style="position:absolute" from="7268,283" to="8436,283" stroked="true" strokeweight=".06pt" strokecolor="#000000"/>
            <v:line style="position:absolute" from="7268,284" to="8436,284" stroked="true" strokeweight=".06pt" strokecolor="#000000"/>
            <v:line style="position:absolute" from="7268,285" to="8436,285" stroked="true" strokeweight=".06pt" strokecolor="#000000"/>
            <v:line style="position:absolute" from="7268,286" to="8436,286" stroked="true" strokeweight=".06pt" strokecolor="#000000"/>
            <v:line style="position:absolute" from="8436,268" to="8588,268" stroked="true" strokeweight=".06pt" strokecolor="#000000"/>
            <v:line style="position:absolute" from="8436,270" to="8588,270" stroked="true" strokeweight=".06pt" strokecolor="#000000"/>
            <v:line style="position:absolute" from="8436,271" to="8588,271" stroked="true" strokeweight=".06pt" strokecolor="#000000"/>
            <v:line style="position:absolute" from="8436,272" to="8588,272" stroked="true" strokeweight=".06pt" strokecolor="#000000"/>
            <v:line style="position:absolute" from="8436,273" to="8588,273" stroked="true" strokeweight=".06pt" strokecolor="#000000"/>
            <v:line style="position:absolute" from="8436,274" to="8588,274" stroked="true" strokeweight=".06pt" strokecolor="#000000"/>
            <v:line style="position:absolute" from="8436,276" to="8588,276" stroked="true" strokeweight=".06pt" strokecolor="#000000"/>
            <v:line style="position:absolute" from="8436,277" to="8588,277" stroked="true" strokeweight=".06pt" strokecolor="#000000"/>
            <v:line style="position:absolute" from="8436,278" to="8588,278" stroked="true" strokeweight=".06pt" strokecolor="#000000"/>
            <v:line style="position:absolute" from="8436,279" to="8588,279" stroked="true" strokeweight=".06pt" strokecolor="#000000"/>
            <v:line style="position:absolute" from="8436,280" to="8588,280" stroked="true" strokeweight=".06pt" strokecolor="#000000"/>
            <v:line style="position:absolute" from="8436,282" to="8588,282" stroked="true" strokeweight=".06pt" strokecolor="#000000"/>
            <v:line style="position:absolute" from="8436,283" to="8588,283" stroked="true" strokeweight=".06pt" strokecolor="#000000"/>
            <v:line style="position:absolute" from="8436,284" to="8588,284" stroked="true" strokeweight=".06pt" strokecolor="#000000"/>
            <v:line style="position:absolute" from="8436,285" to="8588,285" stroked="true" strokeweight=".06pt" strokecolor="#000000"/>
            <v:line style="position:absolute" from="8436,286" to="8588,286" stroked="true" strokeweight=".06pt" strokecolor="#000000"/>
            <v:line style="position:absolute" from="8588,268" to="9756,268" stroked="true" strokeweight=".06pt" strokecolor="#000000"/>
            <v:line style="position:absolute" from="8588,270" to="9756,270" stroked="true" strokeweight=".06pt" strokecolor="#000000"/>
            <v:line style="position:absolute" from="8588,271" to="9756,271" stroked="true" strokeweight=".06pt" strokecolor="#000000"/>
            <v:line style="position:absolute" from="8588,272" to="9756,272" stroked="true" strokeweight=".06pt" strokecolor="#000000"/>
            <v:line style="position:absolute" from="8588,273" to="9756,273" stroked="true" strokeweight=".06pt" strokecolor="#000000"/>
            <v:line style="position:absolute" from="8588,274" to="9756,274" stroked="true" strokeweight=".06pt" strokecolor="#000000"/>
            <v:line style="position:absolute" from="8588,276" to="9756,276" stroked="true" strokeweight=".06pt" strokecolor="#000000"/>
            <v:line style="position:absolute" from="8588,277" to="9756,277" stroked="true" strokeweight=".06pt" strokecolor="#000000"/>
            <v:line style="position:absolute" from="8588,278" to="9756,278" stroked="true" strokeweight=".06pt" strokecolor="#000000"/>
            <v:line style="position:absolute" from="8588,279" to="9756,279" stroked="true" strokeweight=".06pt" strokecolor="#000000"/>
            <v:line style="position:absolute" from="8588,280" to="9756,280" stroked="true" strokeweight=".06pt" strokecolor="#000000"/>
            <v:line style="position:absolute" from="8588,282" to="9756,282" stroked="true" strokeweight=".06pt" strokecolor="#000000"/>
            <v:line style="position:absolute" from="8588,283" to="9756,283" stroked="true" strokeweight=".06pt" strokecolor="#000000"/>
            <v:line style="position:absolute" from="8588,284" to="9756,284" stroked="true" strokeweight=".06pt" strokecolor="#000000"/>
            <v:line style="position:absolute" from="8588,285" to="9756,285" stroked="true" strokeweight=".06pt" strokecolor="#000000"/>
            <v:line style="position:absolute" from="8588,286" to="9756,286" stroked="true" strokeweight=".06pt" strokecolor="#000000"/>
            <v:line style="position:absolute" from="9756,268" to="10924,268" stroked="true" strokeweight=".06pt" strokecolor="#000000"/>
            <v:line style="position:absolute" from="9756,270" to="10924,270" stroked="true" strokeweight=".06pt" strokecolor="#000000"/>
            <v:line style="position:absolute" from="9756,271" to="10924,271" stroked="true" strokeweight=".06pt" strokecolor="#000000"/>
            <v:line style="position:absolute" from="9756,272" to="10924,272" stroked="true" strokeweight=".06pt" strokecolor="#000000"/>
            <v:line style="position:absolute" from="9756,273" to="10924,273" stroked="true" strokeweight=".06pt" strokecolor="#000000"/>
            <v:line style="position:absolute" from="9756,274" to="10924,274" stroked="true" strokeweight=".06pt" strokecolor="#000000"/>
            <v:line style="position:absolute" from="9756,276" to="10924,276" stroked="true" strokeweight=".06pt" strokecolor="#000000"/>
            <v:line style="position:absolute" from="9756,277" to="10924,277" stroked="true" strokeweight=".06pt" strokecolor="#000000"/>
            <v:line style="position:absolute" from="9756,278" to="10924,278" stroked="true" strokeweight=".06pt" strokecolor="#000000"/>
            <v:line style="position:absolute" from="9756,279" to="10924,279" stroked="true" strokeweight=".06pt" strokecolor="#000000"/>
            <v:line style="position:absolute" from="9756,280" to="10924,280" stroked="true" strokeweight=".06pt" strokecolor="#000000"/>
            <v:line style="position:absolute" from="9756,282" to="10924,282" stroked="true" strokeweight=".06pt" strokecolor="#000000"/>
            <v:line style="position:absolute" from="9756,283" to="10924,283" stroked="true" strokeweight=".06pt" strokecolor="#000000"/>
            <v:line style="position:absolute" from="9756,284" to="10924,284" stroked="true" strokeweight=".06pt" strokecolor="#000000"/>
            <v:line style="position:absolute" from="9756,285" to="10924,285" stroked="true" strokeweight=".06pt" strokecolor="#000000"/>
            <v:line style="position:absolute" from="9756,286" to="10924,286" stroked="true" strokeweight=".06pt" strokecolor="#000000"/>
            <v:line style="position:absolute" from="5948,268" to="6101,268" stroked="true" strokeweight=".06pt" strokecolor="#000000"/>
            <v:line style="position:absolute" from="5948,270" to="6101,270" stroked="true" strokeweight=".06pt" strokecolor="#000000"/>
            <v:line style="position:absolute" from="5948,271" to="6101,271" stroked="true" strokeweight=".06pt" strokecolor="#000000"/>
            <v:line style="position:absolute" from="5948,272" to="6101,272" stroked="true" strokeweight=".06pt" strokecolor="#000000"/>
            <v:line style="position:absolute" from="5948,273" to="6101,273" stroked="true" strokeweight=".06pt" strokecolor="#000000"/>
            <v:line style="position:absolute" from="5948,274" to="6101,274" stroked="true" strokeweight=".06pt" strokecolor="#000000"/>
            <v:line style="position:absolute" from="5948,276" to="6101,276" stroked="true" strokeweight=".06pt" strokecolor="#000000"/>
            <v:line style="position:absolute" from="5948,277" to="6101,277" stroked="true" strokeweight=".06pt" strokecolor="#000000"/>
            <v:line style="position:absolute" from="5948,278" to="6101,278" stroked="true" strokeweight=".06pt" strokecolor="#000000"/>
            <v:line style="position:absolute" from="5948,279" to="6101,279" stroked="true" strokeweight=".06pt" strokecolor="#000000"/>
            <v:line style="position:absolute" from="5948,280" to="6101,280" stroked="true" strokeweight=".06pt" strokecolor="#000000"/>
            <v:line style="position:absolute" from="5948,282" to="6101,282" stroked="true" strokeweight=".06pt" strokecolor="#000000"/>
            <v:line style="position:absolute" from="5948,283" to="6101,283" stroked="true" strokeweight=".06pt" strokecolor="#000000"/>
            <v:line style="position:absolute" from="5948,284" to="6101,284" stroked="true" strokeweight=".06pt" strokecolor="#000000"/>
            <v:line style="position:absolute" from="5948,285" to="6101,285" stroked="true" strokeweight=".06pt" strokecolor="#000000"/>
            <v:line style="position:absolute" from="5948,286" to="6101,286" stroked="true" strokeweight=".06pt" strokecolor="#000000"/>
            <v:line style="position:absolute" from="6101,268" to="7268,268" stroked="true" strokeweight=".06pt" strokecolor="#000000"/>
            <v:line style="position:absolute" from="6101,270" to="7268,270" stroked="true" strokeweight=".06pt" strokecolor="#000000"/>
            <v:line style="position:absolute" from="6101,271" to="7268,271" stroked="true" strokeweight=".06pt" strokecolor="#000000"/>
            <v:line style="position:absolute" from="6101,272" to="7268,272" stroked="true" strokeweight=".06pt" strokecolor="#000000"/>
            <v:line style="position:absolute" from="6101,273" to="7268,273" stroked="true" strokeweight=".06pt" strokecolor="#000000"/>
            <v:line style="position:absolute" from="6101,274" to="7268,274" stroked="true" strokeweight=".06pt" strokecolor="#000000"/>
            <v:line style="position:absolute" from="6101,276" to="7268,276" stroked="true" strokeweight=".06pt" strokecolor="#000000"/>
            <v:line style="position:absolute" from="6101,277" to="7268,277" stroked="true" strokeweight=".06pt" strokecolor="#000000"/>
            <v:line style="position:absolute" from="6101,278" to="7268,278" stroked="true" strokeweight=".06pt" strokecolor="#000000"/>
            <v:line style="position:absolute" from="6101,279" to="7268,279" stroked="true" strokeweight=".06pt" strokecolor="#000000"/>
            <v:line style="position:absolute" from="6101,280" to="7268,280" stroked="true" strokeweight=".06pt" strokecolor="#000000"/>
            <v:line style="position:absolute" from="6101,282" to="7268,282" stroked="true" strokeweight=".06pt" strokecolor="#000000"/>
            <v:line style="position:absolute" from="6101,283" to="7268,283" stroked="true" strokeweight=".06pt" strokecolor="#000000"/>
            <v:line style="position:absolute" from="6101,284" to="7268,284" stroked="true" strokeweight=".06pt" strokecolor="#000000"/>
            <v:line style="position:absolute" from="6101,285" to="7268,285" stroked="true" strokeweight=".06pt" strokecolor="#000000"/>
            <v:line style="position:absolute" from="6101,286" to="7268,286" stroked="true" strokeweight=".06pt" strokecolor="#000000"/>
            <v:line style="position:absolute" from="7268,268" to="8436,268" stroked="true" strokeweight=".06pt" strokecolor="#000000"/>
            <v:line style="position:absolute" from="7268,270" to="8436,270" stroked="true" strokeweight=".06pt" strokecolor="#000000"/>
            <v:line style="position:absolute" from="7268,271" to="8436,271" stroked="true" strokeweight=".06pt" strokecolor="#000000"/>
            <v:line style="position:absolute" from="7268,272" to="8436,272" stroked="true" strokeweight=".06pt" strokecolor="#000000"/>
            <v:line style="position:absolute" from="7268,273" to="8436,273" stroked="true" strokeweight=".06pt" strokecolor="#000000"/>
            <v:line style="position:absolute" from="7268,274" to="8436,274" stroked="true" strokeweight=".06pt" strokecolor="#000000"/>
            <v:line style="position:absolute" from="7268,276" to="8436,276" stroked="true" strokeweight=".06pt" strokecolor="#000000"/>
            <v:line style="position:absolute" from="7268,277" to="8436,277" stroked="true" strokeweight=".06pt" strokecolor="#000000"/>
            <v:line style="position:absolute" from="7268,278" to="8436,278" stroked="true" strokeweight=".06pt" strokecolor="#000000"/>
            <v:line style="position:absolute" from="7268,279" to="8436,279" stroked="true" strokeweight=".06pt" strokecolor="#000000"/>
            <v:line style="position:absolute" from="7268,280" to="8436,280" stroked="true" strokeweight=".06pt" strokecolor="#000000"/>
            <v:line style="position:absolute" from="7268,282" to="8436,282" stroked="true" strokeweight=".06pt" strokecolor="#000000"/>
            <v:line style="position:absolute" from="7268,283" to="8436,283" stroked="true" strokeweight=".06pt" strokecolor="#000000"/>
            <v:line style="position:absolute" from="7268,284" to="8436,284" stroked="true" strokeweight=".06pt" strokecolor="#000000"/>
            <v:line style="position:absolute" from="7268,285" to="8436,285" stroked="true" strokeweight=".06pt" strokecolor="#000000"/>
            <v:line style="position:absolute" from="7268,286" to="8436,286" stroked="true" strokeweight=".06pt" strokecolor="#000000"/>
            <v:line style="position:absolute" from="8436,268" to="8588,268" stroked="true" strokeweight=".06pt" strokecolor="#000000"/>
            <v:line style="position:absolute" from="8436,270" to="8588,270" stroked="true" strokeweight=".06pt" strokecolor="#000000"/>
            <v:line style="position:absolute" from="8436,271" to="8588,271" stroked="true" strokeweight=".06pt" strokecolor="#000000"/>
            <v:line style="position:absolute" from="8436,272" to="8588,272" stroked="true" strokeweight=".06pt" strokecolor="#000000"/>
            <v:line style="position:absolute" from="8436,273" to="8588,273" stroked="true" strokeweight=".06pt" strokecolor="#000000"/>
            <v:line style="position:absolute" from="8436,274" to="8588,274" stroked="true" strokeweight=".06pt" strokecolor="#000000"/>
            <v:line style="position:absolute" from="8436,276" to="8588,276" stroked="true" strokeweight=".06pt" strokecolor="#000000"/>
            <v:line style="position:absolute" from="8436,277" to="8588,277" stroked="true" strokeweight=".06pt" strokecolor="#000000"/>
            <v:line style="position:absolute" from="8436,278" to="8588,278" stroked="true" strokeweight=".06pt" strokecolor="#000000"/>
            <v:line style="position:absolute" from="8436,279" to="8588,279" stroked="true" strokeweight=".06pt" strokecolor="#000000"/>
            <v:line style="position:absolute" from="8436,280" to="8588,280" stroked="true" strokeweight=".06pt" strokecolor="#000000"/>
            <v:line style="position:absolute" from="8436,282" to="8588,282" stroked="true" strokeweight=".06pt" strokecolor="#000000"/>
            <v:line style="position:absolute" from="8436,283" to="8588,283" stroked="true" strokeweight=".06pt" strokecolor="#000000"/>
            <v:line style="position:absolute" from="8436,284" to="8588,284" stroked="true" strokeweight=".06pt" strokecolor="#000000"/>
            <v:line style="position:absolute" from="8436,285" to="8588,285" stroked="true" strokeweight=".06pt" strokecolor="#000000"/>
            <v:line style="position:absolute" from="8436,286" to="8588,286" stroked="true" strokeweight=".06pt" strokecolor="#000000"/>
            <v:line style="position:absolute" from="8588,268" to="9756,268" stroked="true" strokeweight=".06pt" strokecolor="#000000"/>
            <v:line style="position:absolute" from="8588,270" to="9756,270" stroked="true" strokeweight=".06pt" strokecolor="#000000"/>
            <v:line style="position:absolute" from="8588,271" to="9756,271" stroked="true" strokeweight=".06pt" strokecolor="#000000"/>
            <v:line style="position:absolute" from="8588,272" to="9756,272" stroked="true" strokeweight=".06pt" strokecolor="#000000"/>
            <v:line style="position:absolute" from="8588,273" to="9756,273" stroked="true" strokeweight=".06pt" strokecolor="#000000"/>
            <v:line style="position:absolute" from="8588,274" to="9756,274" stroked="true" strokeweight=".06pt" strokecolor="#000000"/>
            <v:line style="position:absolute" from="8588,276" to="9756,276" stroked="true" strokeweight=".06pt" strokecolor="#000000"/>
            <v:line style="position:absolute" from="8588,277" to="9756,277" stroked="true" strokeweight=".06pt" strokecolor="#000000"/>
            <v:line style="position:absolute" from="8588,278" to="9756,278" stroked="true" strokeweight=".06pt" strokecolor="#000000"/>
            <v:line style="position:absolute" from="8588,279" to="9756,279" stroked="true" strokeweight=".06pt" strokecolor="#000000"/>
            <v:line style="position:absolute" from="8588,280" to="9756,280" stroked="true" strokeweight=".06pt" strokecolor="#000000"/>
            <v:line style="position:absolute" from="8588,282" to="9756,282" stroked="true" strokeweight=".06pt" strokecolor="#000000"/>
            <v:line style="position:absolute" from="8588,283" to="9756,283" stroked="true" strokeweight=".06pt" strokecolor="#000000"/>
            <v:line style="position:absolute" from="8588,284" to="9756,284" stroked="true" strokeweight=".06pt" strokecolor="#000000"/>
            <v:line style="position:absolute" from="8588,285" to="9756,285" stroked="true" strokeweight=".06pt" strokecolor="#000000"/>
            <v:line style="position:absolute" from="8588,286" to="9756,286" stroked="true" strokeweight=".06pt" strokecolor="#000000"/>
            <v:line style="position:absolute" from="9756,268" to="10924,268" stroked="true" strokeweight=".06pt" strokecolor="#000000"/>
            <v:line style="position:absolute" from="9756,270" to="10924,270" stroked="true" strokeweight=".06pt" strokecolor="#000000"/>
            <v:line style="position:absolute" from="9756,271" to="10924,271" stroked="true" strokeweight=".06pt" strokecolor="#000000"/>
            <v:line style="position:absolute" from="9756,272" to="10924,272" stroked="true" strokeweight=".06pt" strokecolor="#000000"/>
            <v:line style="position:absolute" from="9756,273" to="10924,273" stroked="true" strokeweight=".06pt" strokecolor="#000000"/>
            <v:line style="position:absolute" from="9756,274" to="10924,274" stroked="true" strokeweight=".06pt" strokecolor="#000000"/>
            <v:line style="position:absolute" from="9756,276" to="10924,276" stroked="true" strokeweight=".06pt" strokecolor="#000000"/>
            <v:line style="position:absolute" from="9756,277" to="10924,277" stroked="true" strokeweight=".06pt" strokecolor="#000000"/>
            <v:line style="position:absolute" from="9756,278" to="10924,278" stroked="true" strokeweight=".06pt" strokecolor="#000000"/>
            <v:line style="position:absolute" from="9756,279" to="10924,279" stroked="true" strokeweight=".06pt" strokecolor="#000000"/>
            <v:line style="position:absolute" from="9756,280" to="10924,280" stroked="true" strokeweight=".06pt" strokecolor="#000000"/>
            <v:line style="position:absolute" from="9756,282" to="10924,282" stroked="true" strokeweight=".06pt" strokecolor="#000000"/>
            <v:line style="position:absolute" from="9756,283" to="10924,283" stroked="true" strokeweight=".06pt" strokecolor="#000000"/>
            <v:line style="position:absolute" from="9756,284" to="10924,284" stroked="true" strokeweight=".06pt" strokecolor="#000000"/>
            <v:line style="position:absolute" from="9756,285" to="10924,285" stroked="true" strokeweight=".06pt" strokecolor="#000000"/>
            <v:line style="position:absolute" from="9756,286" to="10924,286" stroked="true" strokeweight=".06pt" strokecolor="#000000"/>
            <w10:wrap type="topAndBottom"/>
          </v:group>
        </w:pict>
      </w:r>
      <w:r>
        <w:rPr>
          <w:sz w:val="16"/>
        </w:rPr>
        <w:t>SA</w:t>
      </w:r>
      <w:r>
        <w:rPr>
          <w:spacing w:val="-2"/>
          <w:sz w:val="16"/>
        </w:rPr>
        <w:t> </w:t>
      </w:r>
      <w:r>
        <w:rPr>
          <w:sz w:val="16"/>
        </w:rPr>
        <w:t>-</w:t>
      </w:r>
      <w:r>
        <w:rPr>
          <w:spacing w:val="-2"/>
          <w:sz w:val="16"/>
        </w:rPr>
        <w:t> </w:t>
      </w:r>
      <w:r>
        <w:rPr>
          <w:sz w:val="16"/>
        </w:rPr>
        <w:t>HELP</w:t>
        <w:tab/>
      </w:r>
      <w:r>
        <w:rPr>
          <w:b/>
          <w:sz w:val="16"/>
        </w:rPr>
        <w:t>5,044</w:t>
        <w:tab/>
      </w:r>
      <w:r>
        <w:rPr>
          <w:sz w:val="16"/>
        </w:rPr>
        <w:t>-</w:t>
        <w:tab/>
      </w:r>
      <w:r>
        <w:rPr>
          <w:b/>
          <w:sz w:val="16"/>
        </w:rPr>
        <w:t>5,044</w:t>
        <w:tab/>
      </w:r>
      <w:r>
        <w:rPr>
          <w:sz w:val="16"/>
        </w:rPr>
        <w:t>-</w:t>
      </w:r>
    </w:p>
    <w:p>
      <w:pPr>
        <w:tabs>
          <w:tab w:pos="4527" w:val="left" w:leader="none"/>
          <w:tab w:pos="5709" w:val="left" w:leader="none"/>
          <w:tab w:pos="6877" w:val="left" w:leader="none"/>
          <w:tab w:pos="8197" w:val="left" w:leader="none"/>
          <w:tab w:pos="9364" w:val="left" w:leader="none"/>
        </w:tabs>
        <w:spacing w:before="0"/>
        <w:ind w:left="1035" w:right="128" w:firstLine="0"/>
        <w:jc w:val="left"/>
        <w:rPr>
          <w:sz w:val="16"/>
        </w:rPr>
      </w:pPr>
      <w:r>
        <w:rPr>
          <w:b/>
          <w:sz w:val="16"/>
        </w:rPr>
        <w:t>Total Higher Education</w:t>
      </w:r>
      <w:r>
        <w:rPr>
          <w:b/>
          <w:spacing w:val="-6"/>
          <w:sz w:val="16"/>
        </w:rPr>
        <w:t> </w:t>
      </w:r>
      <w:r>
        <w:rPr>
          <w:b/>
          <w:sz w:val="16"/>
        </w:rPr>
        <w:t>Loan</w:t>
      </w:r>
      <w:r>
        <w:rPr>
          <w:b/>
          <w:spacing w:val="-2"/>
          <w:sz w:val="16"/>
        </w:rPr>
        <w:t> </w:t>
      </w:r>
      <w:r>
        <w:rPr>
          <w:b/>
          <w:sz w:val="16"/>
        </w:rPr>
        <w:t>Programs</w:t>
        <w:tab/>
      </w:r>
      <w:r>
        <w:rPr>
          <w:position w:val="9"/>
          <w:sz w:val="16"/>
        </w:rPr>
        <w:t>35(b)</w:t>
        <w:tab/>
      </w:r>
      <w:r>
        <w:rPr>
          <w:b/>
          <w:sz w:val="16"/>
        </w:rPr>
        <w:t>171,077</w:t>
        <w:tab/>
      </w:r>
      <w:r>
        <w:rPr>
          <w:sz w:val="16"/>
        </w:rPr>
        <w:t>154,808</w:t>
        <w:tab/>
      </w:r>
      <w:r>
        <w:rPr>
          <w:b/>
          <w:sz w:val="16"/>
        </w:rPr>
        <w:t>169,893</w:t>
        <w:tab/>
      </w:r>
      <w:r>
        <w:rPr>
          <w:sz w:val="16"/>
        </w:rPr>
        <w:t>153,345</w:t>
      </w:r>
    </w:p>
    <w:p>
      <w:pPr>
        <w:pStyle w:val="BodyText"/>
        <w:spacing w:line="50" w:lineRule="exact"/>
        <w:ind w:left="5047"/>
        <w:rPr>
          <w:sz w:val="5"/>
        </w:rPr>
      </w:pPr>
      <w:r>
        <w:rPr>
          <w:position w:val="0"/>
          <w:sz w:val="5"/>
        </w:rPr>
        <w:pict>
          <v:group style="width:248.9pt;height:2.5pt;mso-position-horizontal-relative:char;mso-position-vertical-relative:line" coordorigin="0,0" coordsize="4978,50">
            <v:line style="position:absolute" from="1,1" to="153,1" stroked="true" strokeweight=".06pt" strokecolor="#000000"/>
            <v:line style="position:absolute" from="1,2" to="153,2" stroked="true" strokeweight=".06pt" strokecolor="#000000"/>
            <v:line style="position:absolute" from="1,3" to="153,3" stroked="true" strokeweight=".06pt" strokecolor="#000000"/>
            <v:line style="position:absolute" from="1,5" to="153,5" stroked="true" strokeweight=".06pt" strokecolor="#000000"/>
            <v:line style="position:absolute" from="1,6" to="153,6" stroked="true" strokeweight=".06pt" strokecolor="#000000"/>
            <v:line style="position:absolute" from="1,7" to="153,7" stroked="true" strokeweight=".06pt" strokecolor="#000000"/>
            <v:line style="position:absolute" from="1,8" to="153,8" stroked="true" strokeweight=".06pt" strokecolor="#000000"/>
            <v:line style="position:absolute" from="1,9" to="153,9" stroked="true" strokeweight=".06pt" strokecolor="#000000"/>
            <v:line style="position:absolute" from="1,11" to="153,11" stroked="true" strokeweight=".06pt" strokecolor="#000000"/>
            <v:line style="position:absolute" from="1,12" to="153,12" stroked="true" strokeweight=".06pt" strokecolor="#000000"/>
            <v:line style="position:absolute" from="1,13" to="153,13" stroked="true" strokeweight=".06pt" strokecolor="#000000"/>
            <v:line style="position:absolute" from="1,14" to="153,14" stroked="true" strokeweight=".06pt" strokecolor="#000000"/>
            <v:line style="position:absolute" from="1,15" to="153,15" stroked="true" strokeweight=".06pt" strokecolor="#000000"/>
            <v:line style="position:absolute" from="1,35" to="153,35" stroked="true" strokeweight=".06pt" strokecolor="#000000"/>
            <v:line style="position:absolute" from="1,36" to="153,36" stroked="true" strokeweight=".06pt" strokecolor="#000000"/>
            <v:line style="position:absolute" from="1,37" to="153,37" stroked="true" strokeweight=".06pt" strokecolor="#000000"/>
            <v:line style="position:absolute" from="1,38" to="153,38" stroked="true" strokeweight=".06pt" strokecolor="#000000"/>
            <v:line style="position:absolute" from="1,39" to="153,39" stroked="true" strokeweight=".06pt" strokecolor="#000000"/>
            <v:line style="position:absolute" from="1,41" to="153,41" stroked="true" strokeweight=".06pt" strokecolor="#000000"/>
            <v:line style="position:absolute" from="1,42" to="153,42" stroked="true" strokeweight=".06pt" strokecolor="#000000"/>
            <v:line style="position:absolute" from="1,43" to="153,43" stroked="true" strokeweight=".06pt" strokecolor="#000000"/>
            <v:line style="position:absolute" from="1,44" to="153,44" stroked="true" strokeweight=".06pt" strokecolor="#000000"/>
            <v:line style="position:absolute" from="1,45" to="153,45" stroked="true" strokeweight=".06pt" strokecolor="#000000"/>
            <v:line style="position:absolute" from="1,47" to="153,47" stroked="true" strokeweight=".06pt" strokecolor="#000000"/>
            <v:line style="position:absolute" from="1,48" to="153,48" stroked="true" strokeweight=".06pt" strokecolor="#000000"/>
            <v:line style="position:absolute" from="1,49" to="153,49" stroked="true" strokeweight=".06pt" strokecolor="#000000"/>
            <v:line style="position:absolute" from="153,1" to="1321,1" stroked="true" strokeweight=".06pt" strokecolor="#000000"/>
            <v:line style="position:absolute" from="153,2" to="1321,2" stroked="true" strokeweight=".06pt" strokecolor="#000000"/>
            <v:line style="position:absolute" from="153,3" to="1321,3" stroked="true" strokeweight=".06pt" strokecolor="#000000"/>
            <v:line style="position:absolute" from="153,5" to="1321,5" stroked="true" strokeweight=".06pt" strokecolor="#000000"/>
            <v:line style="position:absolute" from="153,6" to="1321,6" stroked="true" strokeweight=".06pt" strokecolor="#000000"/>
            <v:line style="position:absolute" from="153,7" to="1321,7" stroked="true" strokeweight=".06pt" strokecolor="#000000"/>
            <v:line style="position:absolute" from="153,8" to="1321,8" stroked="true" strokeweight=".06pt" strokecolor="#000000"/>
            <v:line style="position:absolute" from="153,9" to="1321,9" stroked="true" strokeweight=".06pt" strokecolor="#000000"/>
            <v:line style="position:absolute" from="153,11" to="1321,11" stroked="true" strokeweight=".06pt" strokecolor="#000000"/>
            <v:line style="position:absolute" from="153,12" to="1321,12" stroked="true" strokeweight=".06pt" strokecolor="#000000"/>
            <v:line style="position:absolute" from="153,13" to="1321,13" stroked="true" strokeweight=".06pt" strokecolor="#000000"/>
            <v:line style="position:absolute" from="153,14" to="1321,14" stroked="true" strokeweight=".06pt" strokecolor="#000000"/>
            <v:line style="position:absolute" from="153,15" to="1321,15" stroked="true" strokeweight=".06pt" strokecolor="#000000"/>
            <v:line style="position:absolute" from="153,35" to="1321,35" stroked="true" strokeweight=".06pt" strokecolor="#000000"/>
            <v:line style="position:absolute" from="153,36" to="1321,36" stroked="true" strokeweight=".06pt" strokecolor="#000000"/>
            <v:line style="position:absolute" from="153,37" to="1321,37" stroked="true" strokeweight=".06pt" strokecolor="#000000"/>
            <v:line style="position:absolute" from="153,38" to="1321,38" stroked="true" strokeweight=".06pt" strokecolor="#000000"/>
            <v:line style="position:absolute" from="153,39" to="1321,39" stroked="true" strokeweight=".06pt" strokecolor="#000000"/>
            <v:line style="position:absolute" from="153,41" to="1321,41" stroked="true" strokeweight=".06pt" strokecolor="#000000"/>
            <v:line style="position:absolute" from="153,42" to="1321,42" stroked="true" strokeweight=".06pt" strokecolor="#000000"/>
            <v:line style="position:absolute" from="153,43" to="1321,43" stroked="true" strokeweight=".06pt" strokecolor="#000000"/>
            <v:line style="position:absolute" from="153,44" to="1321,44" stroked="true" strokeweight=".06pt" strokecolor="#000000"/>
            <v:line style="position:absolute" from="153,45" to="1321,45" stroked="true" strokeweight=".06pt" strokecolor="#000000"/>
            <v:line style="position:absolute" from="153,47" to="1321,47" stroked="true" strokeweight=".06pt" strokecolor="#000000"/>
            <v:line style="position:absolute" from="153,48" to="1321,48" stroked="true" strokeweight=".06pt" strokecolor="#000000"/>
            <v:line style="position:absolute" from="153,49" to="1321,49" stroked="true" strokeweight=".06pt" strokecolor="#000000"/>
            <v:line style="position:absolute" from="1321,1" to="2489,1" stroked="true" strokeweight=".06pt" strokecolor="#000000"/>
            <v:line style="position:absolute" from="1321,2" to="2489,2" stroked="true" strokeweight=".06pt" strokecolor="#000000"/>
            <v:line style="position:absolute" from="1321,3" to="2489,3" stroked="true" strokeweight=".06pt" strokecolor="#000000"/>
            <v:line style="position:absolute" from="1321,5" to="2489,5" stroked="true" strokeweight=".06pt" strokecolor="#000000"/>
            <v:line style="position:absolute" from="1321,6" to="2489,6" stroked="true" strokeweight=".06pt" strokecolor="#000000"/>
            <v:line style="position:absolute" from="1321,7" to="2489,7" stroked="true" strokeweight=".06pt" strokecolor="#000000"/>
            <v:line style="position:absolute" from="1321,8" to="2489,8" stroked="true" strokeweight=".06pt" strokecolor="#000000"/>
            <v:line style="position:absolute" from="1321,9" to="2489,9" stroked="true" strokeweight=".06pt" strokecolor="#000000"/>
            <v:line style="position:absolute" from="1321,11" to="2489,11" stroked="true" strokeweight=".06pt" strokecolor="#000000"/>
            <v:line style="position:absolute" from="1321,12" to="2489,12" stroked="true" strokeweight=".06pt" strokecolor="#000000"/>
            <v:line style="position:absolute" from="1321,13" to="2489,13" stroked="true" strokeweight=".06pt" strokecolor="#000000"/>
            <v:line style="position:absolute" from="1321,14" to="2489,14" stroked="true" strokeweight=".06pt" strokecolor="#000000"/>
            <v:line style="position:absolute" from="1321,15" to="2489,15" stroked="true" strokeweight=".06pt" strokecolor="#000000"/>
            <v:line style="position:absolute" from="1321,35" to="2489,35" stroked="true" strokeweight=".06pt" strokecolor="#000000"/>
            <v:line style="position:absolute" from="1321,36" to="2489,36" stroked="true" strokeweight=".06pt" strokecolor="#000000"/>
            <v:line style="position:absolute" from="1321,37" to="2489,37" stroked="true" strokeweight=".06pt" strokecolor="#000000"/>
            <v:line style="position:absolute" from="1321,38" to="2489,38" stroked="true" strokeweight=".06pt" strokecolor="#000000"/>
            <v:line style="position:absolute" from="1321,39" to="2489,39" stroked="true" strokeweight=".06pt" strokecolor="#000000"/>
            <v:line style="position:absolute" from="1321,41" to="2489,41" stroked="true" strokeweight=".06pt" strokecolor="#000000"/>
            <v:line style="position:absolute" from="1321,42" to="2489,42" stroked="true" strokeweight=".06pt" strokecolor="#000000"/>
            <v:line style="position:absolute" from="1321,43" to="2489,43" stroked="true" strokeweight=".06pt" strokecolor="#000000"/>
            <v:line style="position:absolute" from="1321,44" to="2489,44" stroked="true" strokeweight=".06pt" strokecolor="#000000"/>
            <v:line style="position:absolute" from="1321,45" to="2489,45" stroked="true" strokeweight=".06pt" strokecolor="#000000"/>
            <v:line style="position:absolute" from="1321,47" to="2489,47" stroked="true" strokeweight=".06pt" strokecolor="#000000"/>
            <v:line style="position:absolute" from="1321,48" to="2489,48" stroked="true" strokeweight=".06pt" strokecolor="#000000"/>
            <v:line style="position:absolute" from="1321,49" to="2489,49" stroked="true" strokeweight=".06pt" strokecolor="#000000"/>
            <v:line style="position:absolute" from="2489,1" to="2641,1" stroked="true" strokeweight=".06pt" strokecolor="#000000"/>
            <v:line style="position:absolute" from="2489,2" to="2641,2" stroked="true" strokeweight=".06pt" strokecolor="#000000"/>
            <v:line style="position:absolute" from="2489,3" to="2641,3" stroked="true" strokeweight=".06pt" strokecolor="#000000"/>
            <v:line style="position:absolute" from="2489,5" to="2641,5" stroked="true" strokeweight=".06pt" strokecolor="#000000"/>
            <v:line style="position:absolute" from="2489,6" to="2641,6" stroked="true" strokeweight=".06pt" strokecolor="#000000"/>
            <v:line style="position:absolute" from="2489,7" to="2641,7" stroked="true" strokeweight=".06pt" strokecolor="#000000"/>
            <v:line style="position:absolute" from="2489,8" to="2641,8" stroked="true" strokeweight=".06pt" strokecolor="#000000"/>
            <v:line style="position:absolute" from="2489,9" to="2641,9" stroked="true" strokeweight=".06pt" strokecolor="#000000"/>
            <v:line style="position:absolute" from="2489,11" to="2641,11" stroked="true" strokeweight=".06pt" strokecolor="#000000"/>
            <v:line style="position:absolute" from="2489,12" to="2641,12" stroked="true" strokeweight=".06pt" strokecolor="#000000"/>
            <v:line style="position:absolute" from="2489,13" to="2641,13" stroked="true" strokeweight=".06pt" strokecolor="#000000"/>
            <v:line style="position:absolute" from="2489,14" to="2641,14" stroked="true" strokeweight=".06pt" strokecolor="#000000"/>
            <v:line style="position:absolute" from="2489,15" to="2641,15" stroked="true" strokeweight=".06pt" strokecolor="#000000"/>
            <v:line style="position:absolute" from="2489,35" to="2641,35" stroked="true" strokeweight=".06pt" strokecolor="#000000"/>
            <v:line style="position:absolute" from="2489,36" to="2641,36" stroked="true" strokeweight=".06pt" strokecolor="#000000"/>
            <v:line style="position:absolute" from="2489,37" to="2641,37" stroked="true" strokeweight=".06pt" strokecolor="#000000"/>
            <v:line style="position:absolute" from="2489,38" to="2641,38" stroked="true" strokeweight=".06pt" strokecolor="#000000"/>
            <v:line style="position:absolute" from="2489,39" to="2641,39" stroked="true" strokeweight=".06pt" strokecolor="#000000"/>
            <v:line style="position:absolute" from="2489,41" to="2641,41" stroked="true" strokeweight=".06pt" strokecolor="#000000"/>
            <v:line style="position:absolute" from="2489,42" to="2641,42" stroked="true" strokeweight=".06pt" strokecolor="#000000"/>
            <v:line style="position:absolute" from="2489,43" to="2641,43" stroked="true" strokeweight=".06pt" strokecolor="#000000"/>
            <v:line style="position:absolute" from="2489,44" to="2641,44" stroked="true" strokeweight=".06pt" strokecolor="#000000"/>
            <v:line style="position:absolute" from="2489,45" to="2641,45" stroked="true" strokeweight=".06pt" strokecolor="#000000"/>
            <v:line style="position:absolute" from="2489,47" to="2641,47" stroked="true" strokeweight=".06pt" strokecolor="#000000"/>
            <v:line style="position:absolute" from="2489,48" to="2641,48" stroked="true" strokeweight=".06pt" strokecolor="#000000"/>
            <v:line style="position:absolute" from="2489,49" to="2641,49" stroked="true" strokeweight=".06pt" strokecolor="#000000"/>
            <v:line style="position:absolute" from="2641,1" to="3809,1" stroked="true" strokeweight=".06pt" strokecolor="#000000"/>
            <v:line style="position:absolute" from="2641,2" to="3809,2" stroked="true" strokeweight=".06pt" strokecolor="#000000"/>
            <v:line style="position:absolute" from="2641,3" to="3809,3" stroked="true" strokeweight=".06pt" strokecolor="#000000"/>
            <v:line style="position:absolute" from="2641,5" to="3809,5" stroked="true" strokeweight=".06pt" strokecolor="#000000"/>
            <v:line style="position:absolute" from="2641,6" to="3809,6" stroked="true" strokeweight=".06pt" strokecolor="#000000"/>
            <v:line style="position:absolute" from="2641,7" to="3809,7" stroked="true" strokeweight=".06pt" strokecolor="#000000"/>
            <v:line style="position:absolute" from="2641,8" to="3809,8" stroked="true" strokeweight=".06pt" strokecolor="#000000"/>
            <v:line style="position:absolute" from="2641,9" to="3809,9" stroked="true" strokeweight=".06pt" strokecolor="#000000"/>
            <v:line style="position:absolute" from="2641,11" to="3809,11" stroked="true" strokeweight=".06pt" strokecolor="#000000"/>
            <v:line style="position:absolute" from="2641,12" to="3809,12" stroked="true" strokeweight=".06pt" strokecolor="#000000"/>
            <v:line style="position:absolute" from="2641,13" to="3809,13" stroked="true" strokeweight=".06pt" strokecolor="#000000"/>
            <v:line style="position:absolute" from="2641,14" to="3809,14" stroked="true" strokeweight=".06pt" strokecolor="#000000"/>
            <v:line style="position:absolute" from="2641,15" to="3809,15" stroked="true" strokeweight=".06pt" strokecolor="#000000"/>
            <v:line style="position:absolute" from="2641,35" to="3809,35" stroked="true" strokeweight=".06pt" strokecolor="#000000"/>
            <v:line style="position:absolute" from="2641,36" to="3809,36" stroked="true" strokeweight=".06pt" strokecolor="#000000"/>
            <v:line style="position:absolute" from="2641,37" to="3809,37" stroked="true" strokeweight=".06pt" strokecolor="#000000"/>
            <v:line style="position:absolute" from="2641,38" to="3809,38" stroked="true" strokeweight=".06pt" strokecolor="#000000"/>
            <v:line style="position:absolute" from="2641,39" to="3809,39" stroked="true" strokeweight=".06pt" strokecolor="#000000"/>
            <v:line style="position:absolute" from="2641,41" to="3809,41" stroked="true" strokeweight=".06pt" strokecolor="#000000"/>
            <v:line style="position:absolute" from="2641,42" to="3809,42" stroked="true" strokeweight=".06pt" strokecolor="#000000"/>
            <v:line style="position:absolute" from="2641,43" to="3809,43" stroked="true" strokeweight=".06pt" strokecolor="#000000"/>
            <v:line style="position:absolute" from="2641,44" to="3809,44" stroked="true" strokeweight=".06pt" strokecolor="#000000"/>
            <v:line style="position:absolute" from="2641,45" to="3809,45" stroked="true" strokeweight=".06pt" strokecolor="#000000"/>
            <v:line style="position:absolute" from="2641,47" to="3809,47" stroked="true" strokeweight=".06pt" strokecolor="#000000"/>
            <v:line style="position:absolute" from="2641,48" to="3809,48" stroked="true" strokeweight=".06pt" strokecolor="#000000"/>
            <v:line style="position:absolute" from="2641,49" to="3809,49" stroked="true" strokeweight=".06pt" strokecolor="#000000"/>
            <v:line style="position:absolute" from="3809,1" to="4976,1" stroked="true" strokeweight=".06pt" strokecolor="#000000"/>
            <v:line style="position:absolute" from="3809,2" to="4976,2" stroked="true" strokeweight=".06pt" strokecolor="#000000"/>
            <v:line style="position:absolute" from="3809,3" to="4976,3" stroked="true" strokeweight=".06pt" strokecolor="#000000"/>
            <v:line style="position:absolute" from="3809,5" to="4976,5" stroked="true" strokeweight=".06pt" strokecolor="#000000"/>
            <v:line style="position:absolute" from="3809,6" to="4976,6" stroked="true" strokeweight=".06pt" strokecolor="#000000"/>
            <v:line style="position:absolute" from="3809,7" to="4976,7" stroked="true" strokeweight=".06pt" strokecolor="#000000"/>
            <v:line style="position:absolute" from="3809,8" to="4976,8" stroked="true" strokeweight=".06pt" strokecolor="#000000"/>
            <v:line style="position:absolute" from="3809,9" to="4976,9" stroked="true" strokeweight=".06pt" strokecolor="#000000"/>
            <v:line style="position:absolute" from="3809,11" to="4976,11" stroked="true" strokeweight=".06pt" strokecolor="#000000"/>
            <v:line style="position:absolute" from="3809,12" to="4976,12" stroked="true" strokeweight=".06pt" strokecolor="#000000"/>
            <v:line style="position:absolute" from="3809,13" to="4976,13" stroked="true" strokeweight=".06pt" strokecolor="#000000"/>
            <v:line style="position:absolute" from="3809,14" to="4976,14" stroked="true" strokeweight=".06pt" strokecolor="#000000"/>
            <v:line style="position:absolute" from="3809,15" to="4976,15" stroked="true" strokeweight=".06pt" strokecolor="#000000"/>
            <v:line style="position:absolute" from="3809,35" to="4976,35" stroked="true" strokeweight=".06pt" strokecolor="#000000"/>
            <v:line style="position:absolute" from="3809,36" to="4976,36" stroked="true" strokeweight=".06pt" strokecolor="#000000"/>
            <v:line style="position:absolute" from="3809,37" to="4976,37" stroked="true" strokeweight=".06pt" strokecolor="#000000"/>
            <v:line style="position:absolute" from="3809,38" to="4976,38" stroked="true" strokeweight=".06pt" strokecolor="#000000"/>
            <v:line style="position:absolute" from="3809,39" to="4976,39" stroked="true" strokeweight=".06pt" strokecolor="#000000"/>
            <v:line style="position:absolute" from="3809,41" to="4976,41" stroked="true" strokeweight=".06pt" strokecolor="#000000"/>
            <v:line style="position:absolute" from="3809,42" to="4976,42" stroked="true" strokeweight=".06pt" strokecolor="#000000"/>
            <v:line style="position:absolute" from="3809,43" to="4976,43" stroked="true" strokeweight=".06pt" strokecolor="#000000"/>
            <v:line style="position:absolute" from="3809,44" to="4976,44" stroked="true" strokeweight=".06pt" strokecolor="#000000"/>
            <v:line style="position:absolute" from="3809,45" to="4976,45" stroked="true" strokeweight=".06pt" strokecolor="#000000"/>
            <v:line style="position:absolute" from="3809,47" to="4976,47" stroked="true" strokeweight=".06pt" strokecolor="#000000"/>
            <v:line style="position:absolute" from="3809,48" to="4976,48" stroked="true" strokeweight=".06pt" strokecolor="#000000"/>
            <v:line style="position:absolute" from="3809,49" to="4976,49" stroked="true" strokeweight=".06pt" strokecolor="#000000"/>
          </v:group>
        </w:pict>
      </w:r>
      <w:r>
        <w:rPr>
          <w:position w:val="0"/>
          <w:sz w:val="5"/>
        </w:rPr>
      </w:r>
    </w:p>
    <w:p>
      <w:pPr>
        <w:pStyle w:val="BodyText"/>
        <w:spacing w:before="3"/>
      </w:pPr>
    </w:p>
    <w:p>
      <w:pPr>
        <w:spacing w:after="0"/>
        <w:sectPr>
          <w:type w:val="continuous"/>
          <w:pgSz w:w="11910" w:h="16840"/>
          <w:pgMar w:top="0" w:bottom="280" w:left="900" w:right="880"/>
        </w:sectPr>
      </w:pPr>
    </w:p>
    <w:p>
      <w:pPr>
        <w:pStyle w:val="ListParagraph"/>
        <w:numPr>
          <w:ilvl w:val="1"/>
          <w:numId w:val="11"/>
        </w:numPr>
        <w:tabs>
          <w:tab w:pos="1072" w:val="left" w:leader="none"/>
        </w:tabs>
        <w:spacing w:line="240" w:lineRule="auto" w:before="77" w:after="0"/>
        <w:ind w:left="1071" w:right="0" w:hanging="566"/>
        <w:jc w:val="left"/>
        <w:rPr>
          <w:sz w:val="18"/>
        </w:rPr>
      </w:pPr>
      <w:r>
        <w:rPr>
          <w:sz w:val="18"/>
        </w:rPr>
        <w:t>Scholarships</w:t>
      </w:r>
    </w:p>
    <w:p>
      <w:pPr>
        <w:pStyle w:val="BodyText"/>
        <w:rPr>
          <w:sz w:val="16"/>
        </w:rPr>
      </w:pPr>
      <w:r>
        <w:rPr/>
        <w:br w:type="column"/>
      </w:r>
      <w:r>
        <w:rPr>
          <w:sz w:val="16"/>
        </w:rPr>
      </w:r>
    </w:p>
    <w:p>
      <w:pPr>
        <w:tabs>
          <w:tab w:pos="2967" w:val="left" w:leader="none"/>
        </w:tabs>
        <w:spacing w:before="133"/>
        <w:ind w:left="505" w:right="0" w:firstLine="0"/>
        <w:jc w:val="left"/>
        <w:rPr>
          <w:b/>
          <w:sz w:val="16"/>
        </w:rPr>
      </w:pPr>
      <w:r>
        <w:rPr>
          <w:b/>
          <w:sz w:val="16"/>
        </w:rPr>
        <w:t>Consolidated</w:t>
        <w:tab/>
        <w:t>Parent</w:t>
      </w:r>
    </w:p>
    <w:p>
      <w:pPr>
        <w:spacing w:after="0"/>
        <w:jc w:val="left"/>
        <w:rPr>
          <w:sz w:val="16"/>
        </w:rPr>
        <w:sectPr>
          <w:type w:val="continuous"/>
          <w:pgSz w:w="11910" w:h="16840"/>
          <w:pgMar w:top="0" w:bottom="280" w:left="900" w:right="880"/>
          <w:cols w:num="2" w:equalWidth="0">
            <w:col w:w="2102" w:space="2504"/>
            <w:col w:w="5524"/>
          </w:cols>
        </w:sectPr>
      </w:pPr>
    </w:p>
    <w:p>
      <w:pPr>
        <w:pStyle w:val="BodyText"/>
        <w:rPr>
          <w:b/>
          <w:sz w:val="16"/>
        </w:rPr>
      </w:pPr>
    </w:p>
    <w:p>
      <w:pPr>
        <w:spacing w:before="133"/>
        <w:ind w:left="0" w:right="0" w:firstLine="0"/>
        <w:jc w:val="right"/>
        <w:rPr>
          <w:b/>
          <w:sz w:val="16"/>
        </w:rPr>
      </w:pPr>
      <w:r>
        <w:rPr>
          <w:b/>
          <w:w w:val="95"/>
          <w:sz w:val="16"/>
        </w:rPr>
        <w:t>Note</w:t>
      </w:r>
    </w:p>
    <w:p>
      <w:pPr>
        <w:spacing w:before="67"/>
        <w:ind w:left="300" w:right="-1" w:firstLine="0"/>
        <w:jc w:val="left"/>
        <w:rPr>
          <w:b/>
          <w:sz w:val="16"/>
        </w:rPr>
      </w:pPr>
      <w:r>
        <w:rPr/>
        <w:br w:type="column"/>
      </w:r>
      <w:r>
        <w:rPr>
          <w:b/>
          <w:sz w:val="16"/>
        </w:rPr>
        <w:t>2012</w:t>
      </w:r>
    </w:p>
    <w:p>
      <w:pPr>
        <w:spacing w:before="66"/>
        <w:ind w:left="300" w:right="-1" w:firstLine="0"/>
        <w:jc w:val="left"/>
        <w:rPr>
          <w:b/>
          <w:sz w:val="16"/>
        </w:rPr>
      </w:pPr>
      <w:r>
        <w:rPr>
          <w:b/>
          <w:w w:val="95"/>
          <w:sz w:val="16"/>
        </w:rPr>
        <w:t>$'000</w:t>
      </w:r>
    </w:p>
    <w:p>
      <w:pPr>
        <w:spacing w:before="67"/>
        <w:ind w:left="713" w:right="-1" w:firstLine="0"/>
        <w:jc w:val="left"/>
        <w:rPr>
          <w:b/>
          <w:sz w:val="16"/>
        </w:rPr>
      </w:pPr>
      <w:r>
        <w:rPr/>
        <w:br w:type="column"/>
      </w:r>
      <w:r>
        <w:rPr>
          <w:b/>
          <w:sz w:val="16"/>
        </w:rPr>
        <w:t>2011</w:t>
      </w:r>
    </w:p>
    <w:p>
      <w:pPr>
        <w:spacing w:before="66"/>
        <w:ind w:left="713" w:right="-1" w:firstLine="0"/>
        <w:jc w:val="left"/>
        <w:rPr>
          <w:b/>
          <w:sz w:val="16"/>
        </w:rPr>
      </w:pPr>
      <w:r>
        <w:rPr>
          <w:b/>
          <w:w w:val="95"/>
          <w:sz w:val="16"/>
        </w:rPr>
        <w:t>$'000</w:t>
      </w:r>
    </w:p>
    <w:p>
      <w:pPr>
        <w:spacing w:before="67"/>
        <w:ind w:left="0" w:right="37" w:firstLine="0"/>
        <w:jc w:val="right"/>
        <w:rPr>
          <w:b/>
          <w:sz w:val="16"/>
        </w:rPr>
      </w:pPr>
      <w:r>
        <w:rPr/>
        <w:br w:type="column"/>
      </w:r>
      <w:r>
        <w:rPr>
          <w:b/>
          <w:w w:val="95"/>
          <w:sz w:val="16"/>
        </w:rPr>
        <w:t>2012</w:t>
      </w:r>
    </w:p>
    <w:p>
      <w:pPr>
        <w:spacing w:before="66"/>
        <w:ind w:left="0" w:right="0" w:firstLine="0"/>
        <w:jc w:val="right"/>
        <w:rPr>
          <w:b/>
          <w:sz w:val="16"/>
        </w:rPr>
      </w:pPr>
      <w:r>
        <w:rPr>
          <w:b/>
          <w:w w:val="95"/>
          <w:sz w:val="16"/>
        </w:rPr>
        <w:t>$'000</w:t>
      </w:r>
    </w:p>
    <w:p>
      <w:pPr>
        <w:spacing w:before="67"/>
        <w:ind w:left="657" w:right="815" w:firstLine="0"/>
        <w:jc w:val="center"/>
        <w:rPr>
          <w:b/>
          <w:sz w:val="16"/>
        </w:rPr>
      </w:pPr>
      <w:r>
        <w:rPr/>
        <w:br w:type="column"/>
      </w:r>
      <w:r>
        <w:rPr>
          <w:b/>
          <w:sz w:val="16"/>
        </w:rPr>
        <w:t>2011</w:t>
      </w:r>
    </w:p>
    <w:p>
      <w:pPr>
        <w:spacing w:before="66"/>
        <w:ind w:left="695" w:right="815" w:firstLine="0"/>
        <w:jc w:val="center"/>
        <w:rPr>
          <w:b/>
          <w:sz w:val="16"/>
        </w:rPr>
      </w:pPr>
      <w:r>
        <w:rPr>
          <w:b/>
          <w:sz w:val="16"/>
        </w:rPr>
        <w:t>$'000</w:t>
      </w:r>
    </w:p>
    <w:p>
      <w:pPr>
        <w:spacing w:after="0"/>
        <w:jc w:val="center"/>
        <w:rPr>
          <w:sz w:val="16"/>
        </w:rPr>
        <w:sectPr>
          <w:type w:val="continuous"/>
          <w:pgSz w:w="11910" w:h="16840"/>
          <w:pgMar w:top="0" w:bottom="280" w:left="900" w:right="880"/>
          <w:cols w:num="5" w:equalWidth="0">
            <w:col w:w="4922" w:space="40"/>
            <w:col w:w="694" w:space="40"/>
            <w:col w:w="1107" w:space="40"/>
            <w:col w:w="1302" w:space="40"/>
            <w:col w:w="1945"/>
          </w:cols>
        </w:sectPr>
      </w:pPr>
    </w:p>
    <w:p>
      <w:pPr>
        <w:tabs>
          <w:tab w:pos="5885" w:val="left" w:leader="none"/>
          <w:tab w:pos="7054" w:val="left" w:leader="none"/>
          <w:tab w:pos="8373" w:val="left" w:leader="none"/>
          <w:tab w:pos="9542" w:val="left" w:leader="none"/>
        </w:tabs>
        <w:spacing w:line="240" w:lineRule="atLeast" w:before="37"/>
        <w:ind w:left="1053" w:right="180" w:firstLine="0"/>
        <w:jc w:val="left"/>
        <w:rPr>
          <w:sz w:val="16"/>
        </w:rPr>
      </w:pPr>
      <w:r>
        <w:rPr>
          <w:sz w:val="16"/>
        </w:rPr>
        <w:t>Australian</w:t>
      </w:r>
      <w:r>
        <w:rPr>
          <w:spacing w:val="-3"/>
          <w:sz w:val="16"/>
        </w:rPr>
        <w:t> </w:t>
      </w:r>
      <w:r>
        <w:rPr>
          <w:sz w:val="16"/>
        </w:rPr>
        <w:t>Postgraduate</w:t>
      </w:r>
      <w:r>
        <w:rPr>
          <w:spacing w:val="-3"/>
          <w:sz w:val="16"/>
        </w:rPr>
        <w:t> </w:t>
      </w:r>
      <w:r>
        <w:rPr>
          <w:sz w:val="16"/>
        </w:rPr>
        <w:t>Awards</w:t>
        <w:tab/>
      </w:r>
      <w:r>
        <w:rPr>
          <w:b/>
          <w:sz w:val="16"/>
        </w:rPr>
        <w:t>2,988</w:t>
        <w:tab/>
      </w:r>
      <w:r>
        <w:rPr>
          <w:sz w:val="16"/>
        </w:rPr>
        <w:t>2,651</w:t>
        <w:tab/>
      </w:r>
      <w:r>
        <w:rPr>
          <w:b/>
          <w:sz w:val="16"/>
        </w:rPr>
        <w:t>2,988</w:t>
        <w:tab/>
      </w:r>
      <w:r>
        <w:rPr>
          <w:sz w:val="16"/>
        </w:rPr>
        <w:t>2,651 International Postgraduate</w:t>
      </w:r>
      <w:r>
        <w:rPr>
          <w:spacing w:val="-9"/>
          <w:sz w:val="16"/>
        </w:rPr>
        <w:t> </w:t>
      </w:r>
      <w:r>
        <w:rPr>
          <w:sz w:val="16"/>
        </w:rPr>
        <w:t>Research</w:t>
      </w:r>
    </w:p>
    <w:p>
      <w:pPr>
        <w:tabs>
          <w:tab w:pos="6018" w:val="left" w:leader="none"/>
          <w:tab w:pos="7187" w:val="left" w:leader="none"/>
          <w:tab w:pos="8506" w:val="left" w:leader="none"/>
          <w:tab w:pos="9941" w:val="right" w:leader="none"/>
        </w:tabs>
        <w:spacing w:line="184" w:lineRule="exact" w:before="0"/>
        <w:ind w:left="1053" w:right="0" w:firstLine="0"/>
        <w:jc w:val="left"/>
        <w:rPr>
          <w:sz w:val="16"/>
        </w:rPr>
      </w:pPr>
      <w:r>
        <w:rPr>
          <w:sz w:val="16"/>
        </w:rPr>
        <w:t>Scholarships</w:t>
        <w:tab/>
      </w:r>
      <w:r>
        <w:rPr>
          <w:b/>
          <w:sz w:val="16"/>
        </w:rPr>
        <w:t>256</w:t>
        <w:tab/>
      </w:r>
      <w:r>
        <w:rPr>
          <w:sz w:val="16"/>
        </w:rPr>
        <w:t>247</w:t>
        <w:tab/>
      </w:r>
      <w:r>
        <w:rPr>
          <w:b/>
          <w:sz w:val="16"/>
        </w:rPr>
        <w:t>256</w:t>
      </w:r>
      <w:r>
        <w:rPr>
          <w:rFonts w:ascii="Times New Roman"/>
          <w:sz w:val="16"/>
        </w:rPr>
        <w:tab/>
      </w:r>
      <w:r>
        <w:rPr>
          <w:sz w:val="16"/>
        </w:rPr>
        <w:t>247</w:t>
      </w:r>
    </w:p>
    <w:p>
      <w:pPr>
        <w:spacing w:line="184" w:lineRule="exact" w:before="54"/>
        <w:ind w:left="1053" w:right="128" w:firstLine="0"/>
        <w:jc w:val="left"/>
        <w:rPr>
          <w:sz w:val="16"/>
        </w:rPr>
      </w:pPr>
      <w:r>
        <w:rPr>
          <w:sz w:val="16"/>
        </w:rPr>
        <w:t>Commonwealth Education Costs</w:t>
      </w:r>
    </w:p>
    <w:p>
      <w:pPr>
        <w:tabs>
          <w:tab w:pos="6107" w:val="left" w:leader="none"/>
          <w:tab w:pos="7054" w:val="left" w:leader="none"/>
          <w:tab w:pos="8595" w:val="left" w:leader="none"/>
          <w:tab w:pos="9541" w:val="left" w:leader="none"/>
        </w:tabs>
        <w:spacing w:line="184" w:lineRule="exact" w:before="0"/>
        <w:ind w:left="1053" w:right="128" w:firstLine="0"/>
        <w:jc w:val="left"/>
        <w:rPr>
          <w:sz w:val="16"/>
        </w:rPr>
      </w:pPr>
      <w:r>
        <w:rPr>
          <w:sz w:val="16"/>
        </w:rPr>
        <w:t>Scholarship</w:t>
      </w:r>
      <w:r>
        <w:rPr>
          <w:spacing w:val="-2"/>
          <w:sz w:val="16"/>
        </w:rPr>
        <w:t> </w:t>
      </w:r>
      <w:r>
        <w:rPr>
          <w:sz w:val="16"/>
        </w:rPr>
        <w:t>(#5)</w:t>
        <w:tab/>
      </w:r>
      <w:r>
        <w:rPr>
          <w:b/>
          <w:sz w:val="16"/>
        </w:rPr>
        <w:t>86</w:t>
        <w:tab/>
      </w:r>
      <w:r>
        <w:rPr>
          <w:sz w:val="16"/>
        </w:rPr>
        <w:t>1,978</w:t>
        <w:tab/>
      </w:r>
      <w:r>
        <w:rPr>
          <w:b/>
          <w:sz w:val="16"/>
        </w:rPr>
        <w:t>86</w:t>
        <w:tab/>
      </w:r>
      <w:r>
        <w:rPr>
          <w:sz w:val="16"/>
        </w:rPr>
        <w:t>1,978</w:t>
      </w:r>
    </w:p>
    <w:p>
      <w:pPr>
        <w:spacing w:line="184" w:lineRule="exact" w:before="54"/>
        <w:ind w:left="1053" w:right="128" w:firstLine="0"/>
        <w:jc w:val="left"/>
        <w:rPr>
          <w:sz w:val="16"/>
        </w:rPr>
      </w:pPr>
      <w:r>
        <w:rPr>
          <w:sz w:val="16"/>
        </w:rPr>
        <w:t>Commonwealth Accommodation</w:t>
      </w:r>
    </w:p>
    <w:p>
      <w:pPr>
        <w:tabs>
          <w:tab w:pos="6196" w:val="left" w:leader="none"/>
          <w:tab w:pos="7365" w:val="left" w:leader="none"/>
          <w:tab w:pos="8683" w:val="left" w:leader="none"/>
          <w:tab w:pos="9941" w:val="right" w:leader="none"/>
        </w:tabs>
        <w:spacing w:line="184" w:lineRule="exact" w:before="0"/>
        <w:ind w:left="1053" w:right="0" w:firstLine="0"/>
        <w:jc w:val="left"/>
        <w:rPr>
          <w:sz w:val="16"/>
        </w:rPr>
      </w:pPr>
      <w:r>
        <w:rPr>
          <w:sz w:val="16"/>
        </w:rPr>
        <w:t>Scholarships</w:t>
      </w:r>
      <w:r>
        <w:rPr>
          <w:spacing w:val="-2"/>
          <w:sz w:val="16"/>
        </w:rPr>
        <w:t> </w:t>
      </w:r>
      <w:r>
        <w:rPr>
          <w:sz w:val="16"/>
        </w:rPr>
        <w:t>(#5)</w:t>
        <w:tab/>
      </w:r>
      <w:r>
        <w:rPr>
          <w:b/>
          <w:sz w:val="16"/>
        </w:rPr>
        <w:t>5</w:t>
        <w:tab/>
      </w:r>
      <w:r>
        <w:rPr>
          <w:sz w:val="16"/>
        </w:rPr>
        <w:t>9</w:t>
        <w:tab/>
      </w:r>
      <w:r>
        <w:rPr>
          <w:b/>
          <w:sz w:val="16"/>
        </w:rPr>
        <w:t>5</w:t>
      </w:r>
      <w:r>
        <w:rPr>
          <w:rFonts w:ascii="Times New Roman"/>
          <w:sz w:val="16"/>
        </w:rPr>
        <w:tab/>
      </w:r>
      <w:r>
        <w:rPr>
          <w:sz w:val="16"/>
        </w:rPr>
        <w:t>9</w:t>
      </w:r>
    </w:p>
    <w:p>
      <w:pPr>
        <w:tabs>
          <w:tab w:pos="6107" w:val="left" w:leader="none"/>
          <w:tab w:pos="7276" w:val="left" w:leader="none"/>
          <w:tab w:pos="8594" w:val="left" w:leader="none"/>
          <w:tab w:pos="9941" w:val="right" w:leader="none"/>
        </w:tabs>
        <w:spacing w:before="57"/>
        <w:ind w:left="1053" w:right="0" w:firstLine="0"/>
        <w:jc w:val="left"/>
        <w:rPr>
          <w:sz w:val="16"/>
        </w:rPr>
      </w:pPr>
      <w:r>
        <w:rPr/>
        <w:pict>
          <v:group style="position:absolute;margin-left:297.369995pt;margin-top:13.381183pt;width:248.9pt;height:1pt;mso-position-horizontal-relative:page;mso-position-vertical-relative:paragraph;z-index:1816" coordorigin="5947,268" coordsize="4978,20">
            <v:line style="position:absolute" from="5948,269" to="6101,269" stroked="true" strokeweight=".06pt" strokecolor="#000000"/>
            <v:line style="position:absolute" from="5948,270" to="6101,270" stroked="true" strokeweight=".06pt" strokecolor="#000000"/>
            <v:line style="position:absolute" from="5948,271" to="6101,271" stroked="true" strokeweight=".06pt" strokecolor="#000000"/>
            <v:line style="position:absolute" from="5948,272" to="6101,272" stroked="true" strokeweight=".06pt" strokecolor="#000000"/>
            <v:line style="position:absolute" from="5948,273" to="6101,273" stroked="true" strokeweight=".06pt" strokecolor="#000000"/>
            <v:line style="position:absolute" from="5948,275" to="6101,275" stroked="true" strokeweight=".06pt" strokecolor="#000000"/>
            <v:line style="position:absolute" from="5948,276" to="6101,276" stroked="true" strokeweight=".06pt" strokecolor="#000000"/>
            <v:line style="position:absolute" from="5948,277" to="6101,277" stroked="true" strokeweight=".06pt" strokecolor="#000000"/>
            <v:line style="position:absolute" from="5948,278" to="6101,278" stroked="true" strokeweight=".06pt" strokecolor="#000000"/>
            <v:line style="position:absolute" from="5948,279" to="6101,279" stroked="true" strokeweight=".06pt" strokecolor="#000000"/>
            <v:line style="position:absolute" from="5948,281" to="6101,281" stroked="true" strokeweight=".06pt" strokecolor="#000000"/>
            <v:line style="position:absolute" from="5948,282" to="6101,282" stroked="true" strokeweight=".06pt" strokecolor="#000000"/>
            <v:line style="position:absolute" from="5948,283" to="6101,283" stroked="true" strokeweight=".06pt" strokecolor="#000000"/>
            <v:line style="position:absolute" from="5948,284" to="6101,284" stroked="true" strokeweight=".06pt" strokecolor="#000000"/>
            <v:line style="position:absolute" from="5948,285" to="6101,285" stroked="true" strokeweight=".06pt" strokecolor="#000000"/>
            <v:line style="position:absolute" from="5948,287" to="6101,287" stroked="true" strokeweight=".06pt" strokecolor="#000000"/>
            <v:line style="position:absolute" from="6101,269" to="7268,269" stroked="true" strokeweight=".06pt" strokecolor="#000000"/>
            <v:line style="position:absolute" from="6101,270" to="7268,270" stroked="true" strokeweight=".06pt" strokecolor="#000000"/>
            <v:line style="position:absolute" from="6101,271" to="7268,271" stroked="true" strokeweight=".06pt" strokecolor="#000000"/>
            <v:line style="position:absolute" from="6101,272" to="7268,272" stroked="true" strokeweight=".06pt" strokecolor="#000000"/>
            <v:line style="position:absolute" from="6101,273" to="7268,273" stroked="true" strokeweight=".06pt" strokecolor="#000000"/>
            <v:line style="position:absolute" from="6101,275" to="7268,275" stroked="true" strokeweight=".06pt" strokecolor="#000000"/>
            <v:line style="position:absolute" from="6101,276" to="7268,276" stroked="true" strokeweight=".06pt" strokecolor="#000000"/>
            <v:line style="position:absolute" from="6101,277" to="7268,277" stroked="true" strokeweight=".06pt" strokecolor="#000000"/>
            <v:line style="position:absolute" from="6101,278" to="7268,278" stroked="true" strokeweight=".06pt" strokecolor="#000000"/>
            <v:line style="position:absolute" from="6101,279" to="7268,279" stroked="true" strokeweight=".06pt" strokecolor="#000000"/>
            <v:line style="position:absolute" from="6101,281" to="7268,281" stroked="true" strokeweight=".06pt" strokecolor="#000000"/>
            <v:line style="position:absolute" from="6101,282" to="7268,282" stroked="true" strokeweight=".06pt" strokecolor="#000000"/>
            <v:line style="position:absolute" from="6101,283" to="7268,283" stroked="true" strokeweight=".06pt" strokecolor="#000000"/>
            <v:line style="position:absolute" from="6101,284" to="7268,284" stroked="true" strokeweight=".06pt" strokecolor="#000000"/>
            <v:line style="position:absolute" from="6101,285" to="7268,285" stroked="true" strokeweight=".06pt" strokecolor="#000000"/>
            <v:line style="position:absolute" from="6101,287" to="7268,287" stroked="true" strokeweight=".06pt" strokecolor="#000000"/>
            <v:line style="position:absolute" from="7268,269" to="8436,269" stroked="true" strokeweight=".06pt" strokecolor="#000000"/>
            <v:line style="position:absolute" from="7268,270" to="8436,270" stroked="true" strokeweight=".06pt" strokecolor="#000000"/>
            <v:line style="position:absolute" from="7268,271" to="8436,271" stroked="true" strokeweight=".06pt" strokecolor="#000000"/>
            <v:line style="position:absolute" from="7268,272" to="8436,272" stroked="true" strokeweight=".06pt" strokecolor="#000000"/>
            <v:line style="position:absolute" from="7268,273" to="8436,273" stroked="true" strokeweight=".06pt" strokecolor="#000000"/>
            <v:line style="position:absolute" from="7268,275" to="8436,275" stroked="true" strokeweight=".06pt" strokecolor="#000000"/>
            <v:line style="position:absolute" from="7268,276" to="8436,276" stroked="true" strokeweight=".06pt" strokecolor="#000000"/>
            <v:line style="position:absolute" from="7268,277" to="8436,277" stroked="true" strokeweight=".06pt" strokecolor="#000000"/>
            <v:line style="position:absolute" from="7268,278" to="8436,278" stroked="true" strokeweight=".06pt" strokecolor="#000000"/>
            <v:line style="position:absolute" from="7268,279" to="8436,279" stroked="true" strokeweight=".06pt" strokecolor="#000000"/>
            <v:line style="position:absolute" from="7268,281" to="8436,281" stroked="true" strokeweight=".06pt" strokecolor="#000000"/>
            <v:line style="position:absolute" from="7268,282" to="8436,282" stroked="true" strokeweight=".06pt" strokecolor="#000000"/>
            <v:line style="position:absolute" from="7268,283" to="8436,283" stroked="true" strokeweight=".06pt" strokecolor="#000000"/>
            <v:line style="position:absolute" from="7268,284" to="8436,284" stroked="true" strokeweight=".06pt" strokecolor="#000000"/>
            <v:line style="position:absolute" from="7268,285" to="8436,285" stroked="true" strokeweight=".06pt" strokecolor="#000000"/>
            <v:line style="position:absolute" from="7268,287" to="8436,287" stroked="true" strokeweight=".06pt" strokecolor="#000000"/>
            <v:line style="position:absolute" from="8436,269" to="8588,269" stroked="true" strokeweight=".06pt" strokecolor="#000000"/>
            <v:line style="position:absolute" from="8436,270" to="8588,270" stroked="true" strokeweight=".06pt" strokecolor="#000000"/>
            <v:line style="position:absolute" from="8436,271" to="8588,271" stroked="true" strokeweight=".06pt" strokecolor="#000000"/>
            <v:line style="position:absolute" from="8436,272" to="8588,272" stroked="true" strokeweight=".06pt" strokecolor="#000000"/>
            <v:line style="position:absolute" from="8436,273" to="8588,273" stroked="true" strokeweight=".06pt" strokecolor="#000000"/>
            <v:line style="position:absolute" from="8436,275" to="8588,275" stroked="true" strokeweight=".06pt" strokecolor="#000000"/>
            <v:line style="position:absolute" from="8436,276" to="8588,276" stroked="true" strokeweight=".06pt" strokecolor="#000000"/>
            <v:line style="position:absolute" from="8436,277" to="8588,277" stroked="true" strokeweight=".06pt" strokecolor="#000000"/>
            <v:line style="position:absolute" from="8436,278" to="8588,278" stroked="true" strokeweight=".06pt" strokecolor="#000000"/>
            <v:line style="position:absolute" from="8436,279" to="8588,279" stroked="true" strokeweight=".06pt" strokecolor="#000000"/>
            <v:line style="position:absolute" from="8436,281" to="8588,281" stroked="true" strokeweight=".06pt" strokecolor="#000000"/>
            <v:line style="position:absolute" from="8436,282" to="8588,282" stroked="true" strokeweight=".06pt" strokecolor="#000000"/>
            <v:line style="position:absolute" from="8436,283" to="8588,283" stroked="true" strokeweight=".06pt" strokecolor="#000000"/>
            <v:line style="position:absolute" from="8436,284" to="8588,284" stroked="true" strokeweight=".06pt" strokecolor="#000000"/>
            <v:line style="position:absolute" from="8436,285" to="8588,285" stroked="true" strokeweight=".06pt" strokecolor="#000000"/>
            <v:line style="position:absolute" from="8436,287" to="8588,287" stroked="true" strokeweight=".06pt" strokecolor="#000000"/>
            <v:line style="position:absolute" from="8588,269" to="9756,269" stroked="true" strokeweight=".06pt" strokecolor="#000000"/>
            <v:line style="position:absolute" from="8588,270" to="9756,270" stroked="true" strokeweight=".06pt" strokecolor="#000000"/>
            <v:line style="position:absolute" from="8588,271" to="9756,271" stroked="true" strokeweight=".06pt" strokecolor="#000000"/>
            <v:line style="position:absolute" from="8588,272" to="9756,272" stroked="true" strokeweight=".06pt" strokecolor="#000000"/>
            <v:line style="position:absolute" from="8588,273" to="9756,273" stroked="true" strokeweight=".06pt" strokecolor="#000000"/>
            <v:line style="position:absolute" from="8588,275" to="9756,275" stroked="true" strokeweight=".06pt" strokecolor="#000000"/>
            <v:line style="position:absolute" from="8588,276" to="9756,276" stroked="true" strokeweight=".06pt" strokecolor="#000000"/>
            <v:line style="position:absolute" from="8588,277" to="9756,277" stroked="true" strokeweight=".06pt" strokecolor="#000000"/>
            <v:line style="position:absolute" from="8588,278" to="9756,278" stroked="true" strokeweight=".06pt" strokecolor="#000000"/>
            <v:line style="position:absolute" from="8588,279" to="9756,279" stroked="true" strokeweight=".06pt" strokecolor="#000000"/>
            <v:line style="position:absolute" from="8588,281" to="9756,281" stroked="true" strokeweight=".06pt" strokecolor="#000000"/>
            <v:line style="position:absolute" from="8588,282" to="9756,282" stroked="true" strokeweight=".06pt" strokecolor="#000000"/>
            <v:line style="position:absolute" from="8588,283" to="9756,283" stroked="true" strokeweight=".06pt" strokecolor="#000000"/>
            <v:line style="position:absolute" from="8588,284" to="9756,284" stroked="true" strokeweight=".06pt" strokecolor="#000000"/>
            <v:line style="position:absolute" from="8588,285" to="9756,285" stroked="true" strokeweight=".06pt" strokecolor="#000000"/>
            <v:line style="position:absolute" from="8588,287" to="9756,287" stroked="true" strokeweight=".06pt" strokecolor="#000000"/>
            <v:line style="position:absolute" from="9756,269" to="10924,269" stroked="true" strokeweight=".06pt" strokecolor="#000000"/>
            <v:line style="position:absolute" from="9756,270" to="10924,270" stroked="true" strokeweight=".06pt" strokecolor="#000000"/>
            <v:line style="position:absolute" from="9756,271" to="10924,271" stroked="true" strokeweight=".06pt" strokecolor="#000000"/>
            <v:line style="position:absolute" from="9756,272" to="10924,272" stroked="true" strokeweight=".06pt" strokecolor="#000000"/>
            <v:line style="position:absolute" from="9756,273" to="10924,273" stroked="true" strokeweight=".06pt" strokecolor="#000000"/>
            <v:line style="position:absolute" from="9756,275" to="10924,275" stroked="true" strokeweight=".06pt" strokecolor="#000000"/>
            <v:line style="position:absolute" from="9756,276" to="10924,276" stroked="true" strokeweight=".06pt" strokecolor="#000000"/>
            <v:line style="position:absolute" from="9756,277" to="10924,277" stroked="true" strokeweight=".06pt" strokecolor="#000000"/>
            <v:line style="position:absolute" from="9756,278" to="10924,278" stroked="true" strokeweight=".06pt" strokecolor="#000000"/>
            <v:line style="position:absolute" from="9756,279" to="10924,279" stroked="true" strokeweight=".06pt" strokecolor="#000000"/>
            <v:line style="position:absolute" from="9756,281" to="10924,281" stroked="true" strokeweight=".06pt" strokecolor="#000000"/>
            <v:line style="position:absolute" from="9756,282" to="10924,282" stroked="true" strokeweight=".06pt" strokecolor="#000000"/>
            <v:line style="position:absolute" from="9756,283" to="10924,283" stroked="true" strokeweight=".06pt" strokecolor="#000000"/>
            <v:line style="position:absolute" from="9756,284" to="10924,284" stroked="true" strokeweight=".06pt" strokecolor="#000000"/>
            <v:line style="position:absolute" from="9756,285" to="10924,285" stroked="true" strokeweight=".06pt" strokecolor="#000000"/>
            <v:line style="position:absolute" from="9756,287" to="10924,287" stroked="true" strokeweight=".06pt" strokecolor="#000000"/>
            <w10:wrap type="none"/>
          </v:group>
        </w:pict>
      </w:r>
      <w:r>
        <w:rPr>
          <w:sz w:val="16"/>
        </w:rPr>
        <w:t>Indigenous</w:t>
      </w:r>
      <w:r>
        <w:rPr>
          <w:spacing w:val="-3"/>
          <w:sz w:val="16"/>
        </w:rPr>
        <w:t> </w:t>
      </w:r>
      <w:r>
        <w:rPr>
          <w:sz w:val="16"/>
        </w:rPr>
        <w:t>Access</w:t>
      </w:r>
      <w:r>
        <w:rPr>
          <w:spacing w:val="-3"/>
          <w:sz w:val="16"/>
        </w:rPr>
        <w:t> </w:t>
      </w:r>
      <w:r>
        <w:rPr>
          <w:sz w:val="16"/>
        </w:rPr>
        <w:t>scholarships</w:t>
        <w:tab/>
      </w:r>
      <w:r>
        <w:rPr>
          <w:b/>
          <w:sz w:val="16"/>
        </w:rPr>
        <w:t>36</w:t>
        <w:tab/>
      </w:r>
      <w:r>
        <w:rPr>
          <w:sz w:val="16"/>
        </w:rPr>
        <w:t>43</w:t>
        <w:tab/>
      </w:r>
      <w:r>
        <w:rPr>
          <w:b/>
          <w:sz w:val="16"/>
        </w:rPr>
        <w:t>36</w:t>
      </w:r>
      <w:r>
        <w:rPr>
          <w:rFonts w:ascii="Times New Roman"/>
          <w:sz w:val="16"/>
        </w:rPr>
        <w:tab/>
      </w:r>
      <w:r>
        <w:rPr>
          <w:sz w:val="16"/>
        </w:rPr>
        <w:t>43</w:t>
      </w:r>
    </w:p>
    <w:p>
      <w:pPr>
        <w:tabs>
          <w:tab w:pos="4566" w:val="left" w:leader="none"/>
          <w:tab w:pos="5885" w:val="left" w:leader="none"/>
          <w:tab w:pos="7054" w:val="left" w:leader="none"/>
          <w:tab w:pos="8373" w:val="left" w:leader="none"/>
          <w:tab w:pos="9542" w:val="left" w:leader="none"/>
        </w:tabs>
        <w:spacing w:before="69"/>
        <w:ind w:left="1052" w:right="128" w:firstLine="0"/>
        <w:jc w:val="left"/>
        <w:rPr>
          <w:sz w:val="16"/>
        </w:rPr>
      </w:pPr>
      <w:r>
        <w:rPr>
          <w:b/>
          <w:sz w:val="16"/>
        </w:rPr>
        <w:t>Total</w:t>
      </w:r>
      <w:r>
        <w:rPr>
          <w:b/>
          <w:spacing w:val="-2"/>
          <w:sz w:val="16"/>
        </w:rPr>
        <w:t> </w:t>
      </w:r>
      <w:r>
        <w:rPr>
          <w:b/>
          <w:sz w:val="16"/>
        </w:rPr>
        <w:t>Scholarships</w:t>
        <w:tab/>
      </w:r>
      <w:r>
        <w:rPr>
          <w:position w:val="9"/>
          <w:sz w:val="16"/>
        </w:rPr>
        <w:t>35(c)</w:t>
        <w:tab/>
      </w:r>
      <w:r>
        <w:rPr>
          <w:b/>
          <w:sz w:val="16"/>
        </w:rPr>
        <w:t>3,371</w:t>
        <w:tab/>
      </w:r>
      <w:r>
        <w:rPr>
          <w:sz w:val="16"/>
        </w:rPr>
        <w:t>4,928</w:t>
        <w:tab/>
      </w:r>
      <w:r>
        <w:rPr>
          <w:b/>
          <w:sz w:val="16"/>
        </w:rPr>
        <w:t>3,371</w:t>
        <w:tab/>
      </w:r>
      <w:r>
        <w:rPr>
          <w:sz w:val="16"/>
        </w:rPr>
        <w:t>4,928</w:t>
      </w:r>
    </w:p>
    <w:p>
      <w:pPr>
        <w:pStyle w:val="BodyText"/>
        <w:spacing w:line="50" w:lineRule="exact"/>
        <w:ind w:left="5047"/>
        <w:rPr>
          <w:sz w:val="5"/>
        </w:rPr>
      </w:pPr>
      <w:r>
        <w:rPr>
          <w:position w:val="0"/>
          <w:sz w:val="5"/>
        </w:rPr>
        <w:pict>
          <v:group style="width:248.9pt;height:2.5pt;mso-position-horizontal-relative:char;mso-position-vertical-relative:line" coordorigin="0,0" coordsize="4978,50">
            <v:line style="position:absolute" from="1,1" to="153,1" stroked="true" strokeweight=".06pt" strokecolor="#000000"/>
            <v:line style="position:absolute" from="1,2" to="153,2" stroked="true" strokeweight=".06pt" strokecolor="#000000"/>
            <v:line style="position:absolute" from="1,3" to="153,3" stroked="true" strokeweight=".06pt" strokecolor="#000000"/>
            <v:line style="position:absolute" from="1,5" to="153,5" stroked="true" strokeweight=".06pt" strokecolor="#000000"/>
            <v:line style="position:absolute" from="1,6" to="153,6" stroked="true" strokeweight=".06pt" strokecolor="#000000"/>
            <v:line style="position:absolute" from="1,7" to="153,7" stroked="true" strokeweight=".06pt" strokecolor="#000000"/>
            <v:line style="position:absolute" from="1,8" to="153,8" stroked="true" strokeweight=".06pt" strokecolor="#000000"/>
            <v:line style="position:absolute" from="1,9" to="153,9" stroked="true" strokeweight=".06pt" strokecolor="#000000"/>
            <v:line style="position:absolute" from="1,11" to="153,11" stroked="true" strokeweight=".06pt" strokecolor="#000000"/>
            <v:line style="position:absolute" from="1,12" to="153,12" stroked="true" strokeweight=".06pt" strokecolor="#000000"/>
            <v:line style="position:absolute" from="1,13" to="153,13" stroked="true" strokeweight=".06pt" strokecolor="#000000"/>
            <v:line style="position:absolute" from="1,14" to="153,14" stroked="true" strokeweight=".06pt" strokecolor="#000000"/>
            <v:line style="position:absolute" from="1,15" to="153,15" stroked="true" strokeweight=".06pt" strokecolor="#000000"/>
            <v:line style="position:absolute" from="1,35" to="153,35" stroked="true" strokeweight=".06pt" strokecolor="#000000"/>
            <v:line style="position:absolute" from="1,36" to="153,36" stroked="true" strokeweight=".06pt" strokecolor="#000000"/>
            <v:line style="position:absolute" from="1,37" to="153,37" stroked="true" strokeweight=".06pt" strokecolor="#000000"/>
            <v:line style="position:absolute" from="1,38" to="153,38" stroked="true" strokeweight=".06pt" strokecolor="#000000"/>
            <v:line style="position:absolute" from="1,39" to="153,39" stroked="true" strokeweight=".06pt" strokecolor="#000000"/>
            <v:line style="position:absolute" from="1,41" to="153,41" stroked="true" strokeweight=".06pt" strokecolor="#000000"/>
            <v:line style="position:absolute" from="1,42" to="153,42" stroked="true" strokeweight=".06pt" strokecolor="#000000"/>
            <v:line style="position:absolute" from="1,43" to="153,43" stroked="true" strokeweight=".06pt" strokecolor="#000000"/>
            <v:line style="position:absolute" from="1,44" to="153,44" stroked="true" strokeweight=".06pt" strokecolor="#000000"/>
            <v:line style="position:absolute" from="1,45" to="153,45" stroked="true" strokeweight=".06pt" strokecolor="#000000"/>
            <v:line style="position:absolute" from="1,47" to="153,47" stroked="true" strokeweight=".06pt" strokecolor="#000000"/>
            <v:line style="position:absolute" from="1,48" to="153,48" stroked="true" strokeweight=".06pt" strokecolor="#000000"/>
            <v:line style="position:absolute" from="1,49" to="153,49" stroked="true" strokeweight=".06pt" strokecolor="#000000"/>
            <v:line style="position:absolute" from="153,1" to="1321,1" stroked="true" strokeweight=".06pt" strokecolor="#000000"/>
            <v:line style="position:absolute" from="153,2" to="1321,2" stroked="true" strokeweight=".06pt" strokecolor="#000000"/>
            <v:line style="position:absolute" from="153,3" to="1321,3" stroked="true" strokeweight=".06pt" strokecolor="#000000"/>
            <v:line style="position:absolute" from="153,5" to="1321,5" stroked="true" strokeweight=".06pt" strokecolor="#000000"/>
            <v:line style="position:absolute" from="153,6" to="1321,6" stroked="true" strokeweight=".06pt" strokecolor="#000000"/>
            <v:line style="position:absolute" from="153,7" to="1321,7" stroked="true" strokeweight=".06pt" strokecolor="#000000"/>
            <v:line style="position:absolute" from="153,8" to="1321,8" stroked="true" strokeweight=".06pt" strokecolor="#000000"/>
            <v:line style="position:absolute" from="153,9" to="1321,9" stroked="true" strokeweight=".06pt" strokecolor="#000000"/>
            <v:line style="position:absolute" from="153,11" to="1321,11" stroked="true" strokeweight=".06pt" strokecolor="#000000"/>
            <v:line style="position:absolute" from="153,12" to="1321,12" stroked="true" strokeweight=".06pt" strokecolor="#000000"/>
            <v:line style="position:absolute" from="153,13" to="1321,13" stroked="true" strokeweight=".06pt" strokecolor="#000000"/>
            <v:line style="position:absolute" from="153,14" to="1321,14" stroked="true" strokeweight=".06pt" strokecolor="#000000"/>
            <v:line style="position:absolute" from="153,15" to="1321,15" stroked="true" strokeweight=".06pt" strokecolor="#000000"/>
            <v:line style="position:absolute" from="153,35" to="1321,35" stroked="true" strokeweight=".06pt" strokecolor="#000000"/>
            <v:line style="position:absolute" from="153,36" to="1321,36" stroked="true" strokeweight=".06pt" strokecolor="#000000"/>
            <v:line style="position:absolute" from="153,37" to="1321,37" stroked="true" strokeweight=".06pt" strokecolor="#000000"/>
            <v:line style="position:absolute" from="153,38" to="1321,38" stroked="true" strokeweight=".06pt" strokecolor="#000000"/>
            <v:line style="position:absolute" from="153,39" to="1321,39" stroked="true" strokeweight=".06pt" strokecolor="#000000"/>
            <v:line style="position:absolute" from="153,41" to="1321,41" stroked="true" strokeweight=".06pt" strokecolor="#000000"/>
            <v:line style="position:absolute" from="153,42" to="1321,42" stroked="true" strokeweight=".06pt" strokecolor="#000000"/>
            <v:line style="position:absolute" from="153,43" to="1321,43" stroked="true" strokeweight=".06pt" strokecolor="#000000"/>
            <v:line style="position:absolute" from="153,44" to="1321,44" stroked="true" strokeweight=".06pt" strokecolor="#000000"/>
            <v:line style="position:absolute" from="153,45" to="1321,45" stroked="true" strokeweight=".06pt" strokecolor="#000000"/>
            <v:line style="position:absolute" from="153,47" to="1321,47" stroked="true" strokeweight=".06pt" strokecolor="#000000"/>
            <v:line style="position:absolute" from="153,48" to="1321,48" stroked="true" strokeweight=".06pt" strokecolor="#000000"/>
            <v:line style="position:absolute" from="153,49" to="1321,49" stroked="true" strokeweight=".06pt" strokecolor="#000000"/>
            <v:line style="position:absolute" from="1321,1" to="2489,1" stroked="true" strokeweight=".06pt" strokecolor="#000000"/>
            <v:line style="position:absolute" from="1321,2" to="2489,2" stroked="true" strokeweight=".06pt" strokecolor="#000000"/>
            <v:line style="position:absolute" from="1321,3" to="2489,3" stroked="true" strokeweight=".06pt" strokecolor="#000000"/>
            <v:line style="position:absolute" from="1321,5" to="2489,5" stroked="true" strokeweight=".06pt" strokecolor="#000000"/>
            <v:line style="position:absolute" from="1321,6" to="2489,6" stroked="true" strokeweight=".06pt" strokecolor="#000000"/>
            <v:line style="position:absolute" from="1321,7" to="2489,7" stroked="true" strokeweight=".06pt" strokecolor="#000000"/>
            <v:line style="position:absolute" from="1321,8" to="2489,8" stroked="true" strokeweight=".06pt" strokecolor="#000000"/>
            <v:line style="position:absolute" from="1321,9" to="2489,9" stroked="true" strokeweight=".06pt" strokecolor="#000000"/>
            <v:line style="position:absolute" from="1321,11" to="2489,11" stroked="true" strokeweight=".06pt" strokecolor="#000000"/>
            <v:line style="position:absolute" from="1321,12" to="2489,12" stroked="true" strokeweight=".06pt" strokecolor="#000000"/>
            <v:line style="position:absolute" from="1321,13" to="2489,13" stroked="true" strokeweight=".06pt" strokecolor="#000000"/>
            <v:line style="position:absolute" from="1321,14" to="2489,14" stroked="true" strokeweight=".06pt" strokecolor="#000000"/>
            <v:line style="position:absolute" from="1321,15" to="2489,15" stroked="true" strokeweight=".06pt" strokecolor="#000000"/>
            <v:line style="position:absolute" from="1321,35" to="2489,35" stroked="true" strokeweight=".06pt" strokecolor="#000000"/>
            <v:line style="position:absolute" from="1321,36" to="2489,36" stroked="true" strokeweight=".06pt" strokecolor="#000000"/>
            <v:line style="position:absolute" from="1321,37" to="2489,37" stroked="true" strokeweight=".06pt" strokecolor="#000000"/>
            <v:line style="position:absolute" from="1321,38" to="2489,38" stroked="true" strokeweight=".06pt" strokecolor="#000000"/>
            <v:line style="position:absolute" from="1321,39" to="2489,39" stroked="true" strokeweight=".06pt" strokecolor="#000000"/>
            <v:line style="position:absolute" from="1321,41" to="2489,41" stroked="true" strokeweight=".06pt" strokecolor="#000000"/>
            <v:line style="position:absolute" from="1321,42" to="2489,42" stroked="true" strokeweight=".06pt" strokecolor="#000000"/>
            <v:line style="position:absolute" from="1321,43" to="2489,43" stroked="true" strokeweight=".06pt" strokecolor="#000000"/>
            <v:line style="position:absolute" from="1321,44" to="2489,44" stroked="true" strokeweight=".06pt" strokecolor="#000000"/>
            <v:line style="position:absolute" from="1321,45" to="2489,45" stroked="true" strokeweight=".06pt" strokecolor="#000000"/>
            <v:line style="position:absolute" from="1321,47" to="2489,47" stroked="true" strokeweight=".06pt" strokecolor="#000000"/>
            <v:line style="position:absolute" from="1321,48" to="2489,48" stroked="true" strokeweight=".06pt" strokecolor="#000000"/>
            <v:line style="position:absolute" from="1321,49" to="2489,49" stroked="true" strokeweight=".06pt" strokecolor="#000000"/>
            <v:line style="position:absolute" from="2489,1" to="2641,1" stroked="true" strokeweight=".06pt" strokecolor="#000000"/>
            <v:line style="position:absolute" from="2489,2" to="2641,2" stroked="true" strokeweight=".06pt" strokecolor="#000000"/>
            <v:line style="position:absolute" from="2489,3" to="2641,3" stroked="true" strokeweight=".06pt" strokecolor="#000000"/>
            <v:line style="position:absolute" from="2489,5" to="2641,5" stroked="true" strokeweight=".06pt" strokecolor="#000000"/>
            <v:line style="position:absolute" from="2489,6" to="2641,6" stroked="true" strokeweight=".06pt" strokecolor="#000000"/>
            <v:line style="position:absolute" from="2489,7" to="2641,7" stroked="true" strokeweight=".06pt" strokecolor="#000000"/>
            <v:line style="position:absolute" from="2489,8" to="2641,8" stroked="true" strokeweight=".06pt" strokecolor="#000000"/>
            <v:line style="position:absolute" from="2489,9" to="2641,9" stroked="true" strokeweight=".06pt" strokecolor="#000000"/>
            <v:line style="position:absolute" from="2489,11" to="2641,11" stroked="true" strokeweight=".06pt" strokecolor="#000000"/>
            <v:line style="position:absolute" from="2489,12" to="2641,12" stroked="true" strokeweight=".06pt" strokecolor="#000000"/>
            <v:line style="position:absolute" from="2489,13" to="2641,13" stroked="true" strokeweight=".06pt" strokecolor="#000000"/>
            <v:line style="position:absolute" from="2489,14" to="2641,14" stroked="true" strokeweight=".06pt" strokecolor="#000000"/>
            <v:line style="position:absolute" from="2489,15" to="2641,15" stroked="true" strokeweight=".06pt" strokecolor="#000000"/>
            <v:line style="position:absolute" from="2489,35" to="2641,35" stroked="true" strokeweight=".06pt" strokecolor="#000000"/>
            <v:line style="position:absolute" from="2489,36" to="2641,36" stroked="true" strokeweight=".06pt" strokecolor="#000000"/>
            <v:line style="position:absolute" from="2489,37" to="2641,37" stroked="true" strokeweight=".06pt" strokecolor="#000000"/>
            <v:line style="position:absolute" from="2489,38" to="2641,38" stroked="true" strokeweight=".06pt" strokecolor="#000000"/>
            <v:line style="position:absolute" from="2489,39" to="2641,39" stroked="true" strokeweight=".06pt" strokecolor="#000000"/>
            <v:line style="position:absolute" from="2489,41" to="2641,41" stroked="true" strokeweight=".06pt" strokecolor="#000000"/>
            <v:line style="position:absolute" from="2489,42" to="2641,42" stroked="true" strokeweight=".06pt" strokecolor="#000000"/>
            <v:line style="position:absolute" from="2489,43" to="2641,43" stroked="true" strokeweight=".06pt" strokecolor="#000000"/>
            <v:line style="position:absolute" from="2489,44" to="2641,44" stroked="true" strokeweight=".06pt" strokecolor="#000000"/>
            <v:line style="position:absolute" from="2489,45" to="2641,45" stroked="true" strokeweight=".06pt" strokecolor="#000000"/>
            <v:line style="position:absolute" from="2489,47" to="2641,47" stroked="true" strokeweight=".06pt" strokecolor="#000000"/>
            <v:line style="position:absolute" from="2489,48" to="2641,48" stroked="true" strokeweight=".06pt" strokecolor="#000000"/>
            <v:line style="position:absolute" from="2489,49" to="2641,49" stroked="true" strokeweight=".06pt" strokecolor="#000000"/>
            <v:line style="position:absolute" from="2641,1" to="3809,1" stroked="true" strokeweight=".06pt" strokecolor="#000000"/>
            <v:line style="position:absolute" from="2641,2" to="3809,2" stroked="true" strokeweight=".06pt" strokecolor="#000000"/>
            <v:line style="position:absolute" from="2641,3" to="3809,3" stroked="true" strokeweight=".06pt" strokecolor="#000000"/>
            <v:line style="position:absolute" from="2641,5" to="3809,5" stroked="true" strokeweight=".06pt" strokecolor="#000000"/>
            <v:line style="position:absolute" from="2641,6" to="3809,6" stroked="true" strokeweight=".06pt" strokecolor="#000000"/>
            <v:line style="position:absolute" from="2641,7" to="3809,7" stroked="true" strokeweight=".06pt" strokecolor="#000000"/>
            <v:line style="position:absolute" from="2641,8" to="3809,8" stroked="true" strokeweight=".06pt" strokecolor="#000000"/>
            <v:line style="position:absolute" from="2641,9" to="3809,9" stroked="true" strokeweight=".06pt" strokecolor="#000000"/>
            <v:line style="position:absolute" from="2641,11" to="3809,11" stroked="true" strokeweight=".06pt" strokecolor="#000000"/>
            <v:line style="position:absolute" from="2641,12" to="3809,12" stroked="true" strokeweight=".06pt" strokecolor="#000000"/>
            <v:line style="position:absolute" from="2641,13" to="3809,13" stroked="true" strokeweight=".06pt" strokecolor="#000000"/>
            <v:line style="position:absolute" from="2641,14" to="3809,14" stroked="true" strokeweight=".06pt" strokecolor="#000000"/>
            <v:line style="position:absolute" from="2641,15" to="3809,15" stroked="true" strokeweight=".06pt" strokecolor="#000000"/>
            <v:line style="position:absolute" from="2641,35" to="3809,35" stroked="true" strokeweight=".06pt" strokecolor="#000000"/>
            <v:line style="position:absolute" from="2641,36" to="3809,36" stroked="true" strokeweight=".06pt" strokecolor="#000000"/>
            <v:line style="position:absolute" from="2641,37" to="3809,37" stroked="true" strokeweight=".06pt" strokecolor="#000000"/>
            <v:line style="position:absolute" from="2641,38" to="3809,38" stroked="true" strokeweight=".06pt" strokecolor="#000000"/>
            <v:line style="position:absolute" from="2641,39" to="3809,39" stroked="true" strokeweight=".06pt" strokecolor="#000000"/>
            <v:line style="position:absolute" from="2641,41" to="3809,41" stroked="true" strokeweight=".06pt" strokecolor="#000000"/>
            <v:line style="position:absolute" from="2641,42" to="3809,42" stroked="true" strokeweight=".06pt" strokecolor="#000000"/>
            <v:line style="position:absolute" from="2641,43" to="3809,43" stroked="true" strokeweight=".06pt" strokecolor="#000000"/>
            <v:line style="position:absolute" from="2641,44" to="3809,44" stroked="true" strokeweight=".06pt" strokecolor="#000000"/>
            <v:line style="position:absolute" from="2641,45" to="3809,45" stroked="true" strokeweight=".06pt" strokecolor="#000000"/>
            <v:line style="position:absolute" from="2641,47" to="3809,47" stroked="true" strokeweight=".06pt" strokecolor="#000000"/>
            <v:line style="position:absolute" from="2641,48" to="3809,48" stroked="true" strokeweight=".06pt" strokecolor="#000000"/>
            <v:line style="position:absolute" from="2641,49" to="3809,49" stroked="true" strokeweight=".06pt" strokecolor="#000000"/>
            <v:line style="position:absolute" from="3809,1" to="4976,1" stroked="true" strokeweight=".06pt" strokecolor="#000000"/>
            <v:line style="position:absolute" from="3809,2" to="4976,2" stroked="true" strokeweight=".06pt" strokecolor="#000000"/>
            <v:line style="position:absolute" from="3809,3" to="4976,3" stroked="true" strokeweight=".06pt" strokecolor="#000000"/>
            <v:line style="position:absolute" from="3809,5" to="4976,5" stroked="true" strokeweight=".06pt" strokecolor="#000000"/>
            <v:line style="position:absolute" from="3809,6" to="4976,6" stroked="true" strokeweight=".06pt" strokecolor="#000000"/>
            <v:line style="position:absolute" from="3809,7" to="4976,7" stroked="true" strokeweight=".06pt" strokecolor="#000000"/>
            <v:line style="position:absolute" from="3809,8" to="4976,8" stroked="true" strokeweight=".06pt" strokecolor="#000000"/>
            <v:line style="position:absolute" from="3809,9" to="4976,9" stroked="true" strokeweight=".06pt" strokecolor="#000000"/>
            <v:line style="position:absolute" from="3809,11" to="4976,11" stroked="true" strokeweight=".06pt" strokecolor="#000000"/>
            <v:line style="position:absolute" from="3809,12" to="4976,12" stroked="true" strokeweight=".06pt" strokecolor="#000000"/>
            <v:line style="position:absolute" from="3809,13" to="4976,13" stroked="true" strokeweight=".06pt" strokecolor="#000000"/>
            <v:line style="position:absolute" from="3809,14" to="4976,14" stroked="true" strokeweight=".06pt" strokecolor="#000000"/>
            <v:line style="position:absolute" from="3809,15" to="4976,15" stroked="true" strokeweight=".06pt" strokecolor="#000000"/>
            <v:line style="position:absolute" from="3809,35" to="4976,35" stroked="true" strokeweight=".06pt" strokecolor="#000000"/>
            <v:line style="position:absolute" from="3809,36" to="4976,36" stroked="true" strokeweight=".06pt" strokecolor="#000000"/>
            <v:line style="position:absolute" from="3809,37" to="4976,37" stroked="true" strokeweight=".06pt" strokecolor="#000000"/>
            <v:line style="position:absolute" from="3809,38" to="4976,38" stroked="true" strokeweight=".06pt" strokecolor="#000000"/>
            <v:line style="position:absolute" from="3809,39" to="4976,39" stroked="true" strokeweight=".06pt" strokecolor="#000000"/>
            <v:line style="position:absolute" from="3809,41" to="4976,41" stroked="true" strokeweight=".06pt" strokecolor="#000000"/>
            <v:line style="position:absolute" from="3809,42" to="4976,42" stroked="true" strokeweight=".06pt" strokecolor="#000000"/>
            <v:line style="position:absolute" from="3809,43" to="4976,43" stroked="true" strokeweight=".06pt" strokecolor="#000000"/>
            <v:line style="position:absolute" from="3809,44" to="4976,44" stroked="true" strokeweight=".06pt" strokecolor="#000000"/>
            <v:line style="position:absolute" from="3809,45" to="4976,45" stroked="true" strokeweight=".06pt" strokecolor="#000000"/>
            <v:line style="position:absolute" from="3809,47" to="4976,47" stroked="true" strokeweight=".06pt" strokecolor="#000000"/>
            <v:line style="position:absolute" from="3809,48" to="4976,48" stroked="true" strokeweight=".06pt" strokecolor="#000000"/>
            <v:line style="position:absolute" from="3809,49" to="4976,49" stroked="true" strokeweight=".06pt" strokecolor="#000000"/>
          </v:group>
        </w:pict>
      </w:r>
      <w:r>
        <w:rPr>
          <w:position w:val="0"/>
          <w:sz w:val="5"/>
        </w:rPr>
      </w:r>
    </w:p>
    <w:p>
      <w:pPr>
        <w:spacing w:after="0" w:line="50" w:lineRule="exact"/>
        <w:rPr>
          <w:sz w:val="5"/>
        </w:rPr>
        <w:sectPr>
          <w:type w:val="continuous"/>
          <w:pgSz w:w="11910" w:h="16840"/>
          <w:pgMar w:top="0" w:bottom="280" w:left="900" w:right="880"/>
        </w:sectPr>
      </w:pPr>
    </w:p>
    <w:p>
      <w:pPr>
        <w:pStyle w:val="BodyText"/>
        <w:rPr>
          <w:sz w:val="20"/>
        </w:rPr>
      </w:pPr>
    </w:p>
    <w:p>
      <w:pPr>
        <w:pStyle w:val="BodyText"/>
        <w:rPr>
          <w:sz w:val="20"/>
        </w:rPr>
      </w:pPr>
    </w:p>
    <w:p>
      <w:pPr>
        <w:pStyle w:val="BodyText"/>
        <w:spacing w:before="4"/>
      </w:pPr>
    </w:p>
    <w:p>
      <w:pPr>
        <w:pStyle w:val="Heading9"/>
        <w:tabs>
          <w:tab w:pos="505" w:val="left" w:leader="none"/>
        </w:tabs>
        <w:ind w:left="505" w:right="665" w:hanging="396"/>
      </w:pPr>
      <w:r>
        <w:rPr/>
        <w:t>2</w:t>
        <w:tab/>
        <w:t>Australian government financial assistance including HECS-HELP and other Australian</w:t>
      </w:r>
      <w:r>
        <w:rPr>
          <w:spacing w:val="-4"/>
        </w:rPr>
        <w:t> </w:t>
      </w:r>
      <w:r>
        <w:rPr/>
        <w:t>government</w:t>
      </w:r>
      <w:r>
        <w:rPr>
          <w:spacing w:val="-1"/>
        </w:rPr>
        <w:t> </w:t>
      </w:r>
      <w:r>
        <w:rPr/>
        <w:t>loan</w:t>
      </w:r>
      <w:r>
        <w:rPr>
          <w:w w:val="100"/>
        </w:rPr>
        <w:t> </w:t>
      </w:r>
      <w:r>
        <w:rPr/>
        <w:t>programs</w:t>
      </w:r>
      <w:r>
        <w:rPr>
          <w:spacing w:val="-3"/>
        </w:rPr>
        <w:t> </w:t>
      </w:r>
      <w:r>
        <w:rPr/>
        <w:t>(continued)</w:t>
      </w:r>
    </w:p>
    <w:p>
      <w:pPr>
        <w:pStyle w:val="BodyText"/>
        <w:spacing w:before="3"/>
        <w:rPr>
          <w:b/>
        </w:rPr>
      </w:pPr>
    </w:p>
    <w:p>
      <w:pPr>
        <w:spacing w:after="0"/>
        <w:sectPr>
          <w:pgSz w:w="11910" w:h="16840"/>
          <w:pgMar w:header="1038" w:footer="507" w:top="2220" w:bottom="700" w:left="900" w:right="880"/>
        </w:sectPr>
      </w:pPr>
    </w:p>
    <w:p>
      <w:pPr>
        <w:pStyle w:val="ListParagraph"/>
        <w:numPr>
          <w:ilvl w:val="1"/>
          <w:numId w:val="11"/>
        </w:numPr>
        <w:tabs>
          <w:tab w:pos="1072" w:val="left" w:leader="none"/>
        </w:tabs>
        <w:spacing w:line="240" w:lineRule="auto" w:before="77" w:after="0"/>
        <w:ind w:left="1071" w:right="0" w:hanging="566"/>
        <w:jc w:val="left"/>
        <w:rPr>
          <w:sz w:val="18"/>
        </w:rPr>
      </w:pPr>
      <w:r>
        <w:rPr>
          <w:sz w:val="18"/>
        </w:rPr>
        <w:t>DIISRTE</w:t>
      </w:r>
      <w:r>
        <w:rPr>
          <w:spacing w:val="-1"/>
          <w:sz w:val="18"/>
        </w:rPr>
        <w:t> </w:t>
      </w:r>
      <w:r>
        <w:rPr>
          <w:sz w:val="18"/>
        </w:rPr>
        <w:t>Research</w:t>
      </w:r>
    </w:p>
    <w:p>
      <w:pPr>
        <w:pStyle w:val="BodyText"/>
        <w:rPr>
          <w:sz w:val="16"/>
        </w:rPr>
      </w:pPr>
      <w:r>
        <w:rPr/>
        <w:br w:type="column"/>
      </w:r>
      <w:r>
        <w:rPr>
          <w:sz w:val="16"/>
        </w:rPr>
      </w:r>
    </w:p>
    <w:p>
      <w:pPr>
        <w:tabs>
          <w:tab w:pos="2967" w:val="left" w:leader="none"/>
        </w:tabs>
        <w:spacing w:before="133"/>
        <w:ind w:left="505" w:right="0" w:firstLine="0"/>
        <w:jc w:val="left"/>
        <w:rPr>
          <w:b/>
          <w:sz w:val="16"/>
        </w:rPr>
      </w:pPr>
      <w:r>
        <w:rPr>
          <w:b/>
          <w:sz w:val="16"/>
        </w:rPr>
        <w:t>Consolidated</w:t>
        <w:tab/>
        <w:t>Parent</w:t>
      </w:r>
    </w:p>
    <w:p>
      <w:pPr>
        <w:spacing w:after="0"/>
        <w:jc w:val="left"/>
        <w:rPr>
          <w:sz w:val="16"/>
        </w:rPr>
        <w:sectPr>
          <w:type w:val="continuous"/>
          <w:pgSz w:w="11910" w:h="16840"/>
          <w:pgMar w:top="0" w:bottom="280" w:left="900" w:right="880"/>
          <w:cols w:num="2" w:equalWidth="0">
            <w:col w:w="2602" w:space="1966"/>
            <w:col w:w="5562"/>
          </w:cols>
        </w:sectPr>
      </w:pPr>
    </w:p>
    <w:p>
      <w:pPr>
        <w:pStyle w:val="BodyText"/>
        <w:rPr>
          <w:b/>
          <w:sz w:val="16"/>
        </w:rPr>
      </w:pPr>
    </w:p>
    <w:p>
      <w:pPr>
        <w:spacing w:before="133"/>
        <w:ind w:left="0" w:right="0" w:firstLine="0"/>
        <w:jc w:val="right"/>
        <w:rPr>
          <w:b/>
          <w:sz w:val="16"/>
        </w:rPr>
      </w:pPr>
      <w:r>
        <w:rPr>
          <w:b/>
          <w:sz w:val="16"/>
        </w:rPr>
        <w:t>Note</w:t>
      </w:r>
    </w:p>
    <w:p>
      <w:pPr>
        <w:spacing w:before="67"/>
        <w:ind w:left="306" w:right="-1" w:firstLine="0"/>
        <w:jc w:val="left"/>
        <w:rPr>
          <w:b/>
          <w:sz w:val="16"/>
        </w:rPr>
      </w:pPr>
      <w:r>
        <w:rPr/>
        <w:br w:type="column"/>
      </w:r>
      <w:r>
        <w:rPr>
          <w:b/>
          <w:sz w:val="16"/>
        </w:rPr>
        <w:t>2012</w:t>
      </w:r>
    </w:p>
    <w:p>
      <w:pPr>
        <w:spacing w:before="66"/>
        <w:ind w:left="306" w:right="-1" w:firstLine="0"/>
        <w:jc w:val="left"/>
        <w:rPr>
          <w:b/>
          <w:sz w:val="16"/>
        </w:rPr>
      </w:pPr>
      <w:r>
        <w:rPr>
          <w:b/>
          <w:w w:val="95"/>
          <w:sz w:val="16"/>
        </w:rPr>
        <w:t>$'000</w:t>
      </w:r>
    </w:p>
    <w:p>
      <w:pPr>
        <w:spacing w:before="67"/>
        <w:ind w:left="707" w:right="-1" w:firstLine="0"/>
        <w:jc w:val="left"/>
        <w:rPr>
          <w:b/>
          <w:sz w:val="16"/>
        </w:rPr>
      </w:pPr>
      <w:r>
        <w:rPr/>
        <w:br w:type="column"/>
      </w:r>
      <w:r>
        <w:rPr>
          <w:b/>
          <w:sz w:val="16"/>
        </w:rPr>
        <w:t>2011</w:t>
      </w:r>
    </w:p>
    <w:p>
      <w:pPr>
        <w:spacing w:before="66"/>
        <w:ind w:left="707" w:right="-1" w:firstLine="0"/>
        <w:jc w:val="left"/>
        <w:rPr>
          <w:b/>
          <w:sz w:val="16"/>
        </w:rPr>
      </w:pPr>
      <w:r>
        <w:rPr>
          <w:b/>
          <w:w w:val="95"/>
          <w:sz w:val="16"/>
        </w:rPr>
        <w:t>$'000</w:t>
      </w:r>
    </w:p>
    <w:p>
      <w:pPr>
        <w:spacing w:before="67"/>
        <w:ind w:left="0" w:right="37" w:firstLine="0"/>
        <w:jc w:val="right"/>
        <w:rPr>
          <w:b/>
          <w:sz w:val="16"/>
        </w:rPr>
      </w:pPr>
      <w:r>
        <w:rPr/>
        <w:br w:type="column"/>
      </w:r>
      <w:r>
        <w:rPr>
          <w:b/>
          <w:w w:val="95"/>
          <w:sz w:val="16"/>
        </w:rPr>
        <w:t>2012</w:t>
      </w:r>
    </w:p>
    <w:p>
      <w:pPr>
        <w:spacing w:before="66"/>
        <w:ind w:left="0" w:right="0" w:firstLine="0"/>
        <w:jc w:val="right"/>
        <w:rPr>
          <w:b/>
          <w:sz w:val="16"/>
        </w:rPr>
      </w:pPr>
      <w:r>
        <w:rPr>
          <w:b/>
          <w:w w:val="95"/>
          <w:sz w:val="16"/>
        </w:rPr>
        <w:t>$'000</w:t>
      </w:r>
    </w:p>
    <w:p>
      <w:pPr>
        <w:spacing w:before="67"/>
        <w:ind w:left="651" w:right="855" w:firstLine="0"/>
        <w:jc w:val="center"/>
        <w:rPr>
          <w:b/>
          <w:sz w:val="16"/>
        </w:rPr>
      </w:pPr>
      <w:r>
        <w:rPr/>
        <w:br w:type="column"/>
      </w:r>
      <w:r>
        <w:rPr>
          <w:b/>
          <w:sz w:val="16"/>
        </w:rPr>
        <w:t>2011</w:t>
      </w:r>
    </w:p>
    <w:p>
      <w:pPr>
        <w:spacing w:before="66"/>
        <w:ind w:left="689" w:right="855" w:firstLine="0"/>
        <w:jc w:val="center"/>
        <w:rPr>
          <w:b/>
          <w:sz w:val="16"/>
        </w:rPr>
      </w:pPr>
      <w:r>
        <w:rPr>
          <w:b/>
          <w:sz w:val="16"/>
        </w:rPr>
        <w:t>$'000</w:t>
      </w:r>
    </w:p>
    <w:p>
      <w:pPr>
        <w:spacing w:after="0"/>
        <w:jc w:val="center"/>
        <w:rPr>
          <w:sz w:val="16"/>
        </w:rPr>
        <w:sectPr>
          <w:type w:val="continuous"/>
          <w:pgSz w:w="11910" w:h="16840"/>
          <w:pgMar w:top="0" w:bottom="280" w:left="900" w:right="880"/>
          <w:cols w:num="5" w:equalWidth="0">
            <w:col w:w="4883" w:space="40"/>
            <w:col w:w="700" w:space="40"/>
            <w:col w:w="1101" w:space="40"/>
            <w:col w:w="1308" w:space="40"/>
            <w:col w:w="1978"/>
          </w:cols>
        </w:sectPr>
      </w:pPr>
    </w:p>
    <w:p>
      <w:pPr>
        <w:tabs>
          <w:tab w:pos="5887" w:val="left" w:leader="none"/>
          <w:tab w:pos="7054" w:val="left" w:leader="none"/>
          <w:tab w:pos="8374" w:val="left" w:leader="none"/>
          <w:tab w:pos="9542" w:val="left" w:leader="none"/>
        </w:tabs>
        <w:spacing w:before="93"/>
        <w:ind w:left="1035" w:right="128" w:firstLine="0"/>
        <w:jc w:val="left"/>
        <w:rPr>
          <w:sz w:val="16"/>
        </w:rPr>
      </w:pPr>
      <w:r>
        <w:rPr>
          <w:sz w:val="16"/>
        </w:rPr>
        <w:t>Joint Research Engagement</w:t>
      </w:r>
      <w:r>
        <w:rPr>
          <w:spacing w:val="-7"/>
          <w:sz w:val="16"/>
        </w:rPr>
        <w:t> </w:t>
      </w:r>
      <w:r>
        <w:rPr>
          <w:sz w:val="16"/>
        </w:rPr>
        <w:t>Program</w:t>
      </w:r>
      <w:r>
        <w:rPr>
          <w:spacing w:val="1"/>
          <w:sz w:val="16"/>
        </w:rPr>
        <w:t> </w:t>
      </w:r>
      <w:r>
        <w:rPr>
          <w:sz w:val="16"/>
        </w:rPr>
        <w:t>#6</w:t>
        <w:tab/>
      </w:r>
      <w:r>
        <w:rPr>
          <w:b/>
          <w:sz w:val="16"/>
        </w:rPr>
        <w:t>3,229</w:t>
        <w:tab/>
      </w:r>
      <w:r>
        <w:rPr>
          <w:sz w:val="16"/>
        </w:rPr>
        <w:t>3,046</w:t>
        <w:tab/>
      </w:r>
      <w:r>
        <w:rPr>
          <w:b/>
          <w:sz w:val="16"/>
        </w:rPr>
        <w:t>3,229</w:t>
        <w:tab/>
      </w:r>
      <w:r>
        <w:rPr>
          <w:sz w:val="16"/>
        </w:rPr>
        <w:t>3,046</w:t>
      </w:r>
    </w:p>
    <w:p>
      <w:pPr>
        <w:tabs>
          <w:tab w:pos="5887" w:val="left" w:leader="none"/>
          <w:tab w:pos="7054" w:val="left" w:leader="none"/>
          <w:tab w:pos="8374" w:val="left" w:leader="none"/>
          <w:tab w:pos="9542" w:val="left" w:leader="none"/>
        </w:tabs>
        <w:spacing w:before="57"/>
        <w:ind w:left="1035" w:right="128" w:firstLine="0"/>
        <w:jc w:val="left"/>
        <w:rPr>
          <w:sz w:val="16"/>
        </w:rPr>
      </w:pPr>
      <w:r>
        <w:rPr>
          <w:sz w:val="16"/>
        </w:rPr>
        <w:t>Research</w:t>
      </w:r>
      <w:r>
        <w:rPr>
          <w:spacing w:val="-3"/>
          <w:sz w:val="16"/>
        </w:rPr>
        <w:t> </w:t>
      </w:r>
      <w:r>
        <w:rPr>
          <w:sz w:val="16"/>
        </w:rPr>
        <w:t>Training</w:t>
      </w:r>
      <w:r>
        <w:rPr>
          <w:spacing w:val="-3"/>
          <w:sz w:val="16"/>
        </w:rPr>
        <w:t> </w:t>
      </w:r>
      <w:r>
        <w:rPr>
          <w:sz w:val="16"/>
        </w:rPr>
        <w:t>Scheme</w:t>
        <w:tab/>
      </w:r>
      <w:r>
        <w:rPr>
          <w:b/>
          <w:sz w:val="16"/>
        </w:rPr>
        <w:t>7,238</w:t>
        <w:tab/>
      </w:r>
      <w:r>
        <w:rPr>
          <w:sz w:val="16"/>
        </w:rPr>
        <w:t>7,319</w:t>
        <w:tab/>
      </w:r>
      <w:r>
        <w:rPr>
          <w:b/>
          <w:sz w:val="16"/>
        </w:rPr>
        <w:t>7,238</w:t>
        <w:tab/>
      </w:r>
      <w:r>
        <w:rPr>
          <w:sz w:val="16"/>
        </w:rPr>
        <w:t>7,319</w:t>
      </w:r>
    </w:p>
    <w:p>
      <w:pPr>
        <w:tabs>
          <w:tab w:pos="5887" w:val="left" w:leader="none"/>
          <w:tab w:pos="7054" w:val="left" w:leader="none"/>
          <w:tab w:pos="8374" w:val="left" w:leader="none"/>
          <w:tab w:pos="9542" w:val="left" w:leader="none"/>
        </w:tabs>
        <w:spacing w:before="57"/>
        <w:ind w:left="1035" w:right="128" w:firstLine="0"/>
        <w:jc w:val="left"/>
        <w:rPr>
          <w:sz w:val="16"/>
        </w:rPr>
      </w:pPr>
      <w:r>
        <w:rPr>
          <w:sz w:val="16"/>
        </w:rPr>
        <w:t>Research Infrastructure</w:t>
      </w:r>
      <w:r>
        <w:rPr>
          <w:spacing w:val="-5"/>
          <w:sz w:val="16"/>
        </w:rPr>
        <w:t> </w:t>
      </w:r>
      <w:r>
        <w:rPr>
          <w:sz w:val="16"/>
        </w:rPr>
        <w:t>Block</w:t>
      </w:r>
      <w:r>
        <w:rPr>
          <w:spacing w:val="-3"/>
          <w:sz w:val="16"/>
        </w:rPr>
        <w:t> </w:t>
      </w:r>
      <w:r>
        <w:rPr>
          <w:sz w:val="16"/>
        </w:rPr>
        <w:t>Grants</w:t>
        <w:tab/>
      </w:r>
      <w:r>
        <w:rPr>
          <w:b/>
          <w:sz w:val="16"/>
        </w:rPr>
        <w:t>1,758</w:t>
        <w:tab/>
      </w:r>
      <w:r>
        <w:rPr>
          <w:sz w:val="16"/>
        </w:rPr>
        <w:t>1,496</w:t>
        <w:tab/>
      </w:r>
      <w:r>
        <w:rPr>
          <w:b/>
          <w:sz w:val="16"/>
        </w:rPr>
        <w:t>1,758</w:t>
        <w:tab/>
      </w:r>
      <w:r>
        <w:rPr>
          <w:sz w:val="16"/>
        </w:rPr>
        <w:t>1,496</w:t>
      </w:r>
    </w:p>
    <w:p>
      <w:pPr>
        <w:tabs>
          <w:tab w:pos="5887" w:val="left" w:leader="none"/>
          <w:tab w:pos="6233" w:val="left" w:leader="none"/>
          <w:tab w:pos="7054" w:val="left" w:leader="none"/>
          <w:tab w:pos="7276" w:val="left" w:leader="none"/>
          <w:tab w:pos="8374" w:val="left" w:leader="none"/>
          <w:tab w:pos="8721" w:val="left" w:leader="none"/>
          <w:tab w:pos="9542" w:val="left" w:leader="none"/>
          <w:tab w:pos="9924" w:val="right" w:leader="none"/>
        </w:tabs>
        <w:spacing w:line="314" w:lineRule="auto" w:before="57"/>
        <w:ind w:left="1035" w:right="180" w:firstLine="0"/>
        <w:jc w:val="left"/>
        <w:rPr>
          <w:sz w:val="16"/>
        </w:rPr>
      </w:pPr>
      <w:r>
        <w:rPr/>
        <w:drawing>
          <wp:anchor distT="0" distB="0" distL="0" distR="0" allowOverlap="1" layoutInCell="1" locked="0" behindDoc="1" simplePos="0" relativeHeight="267123095">
            <wp:simplePos x="0" y="0"/>
            <wp:positionH relativeFrom="page">
              <wp:posOffset>3776853</wp:posOffset>
            </wp:positionH>
            <wp:positionV relativeFrom="paragraph">
              <wp:posOffset>323195</wp:posOffset>
            </wp:positionV>
            <wp:extent cx="3160014" cy="12191"/>
            <wp:effectExtent l="0" t="0" r="0" b="0"/>
            <wp:wrapNone/>
            <wp:docPr id="7" name="image37.png" descr=""/>
            <wp:cNvGraphicFramePr>
              <a:graphicFrameLocks noChangeAspect="1"/>
            </wp:cNvGraphicFramePr>
            <a:graphic>
              <a:graphicData uri="http://schemas.openxmlformats.org/drawingml/2006/picture">
                <pic:pic>
                  <pic:nvPicPr>
                    <pic:cNvPr id="8" name="image37.png"/>
                    <pic:cNvPicPr/>
                  </pic:nvPicPr>
                  <pic:blipFill>
                    <a:blip r:embed="rId66" cstate="print"/>
                    <a:stretch>
                      <a:fillRect/>
                    </a:stretch>
                  </pic:blipFill>
                  <pic:spPr>
                    <a:xfrm>
                      <a:off x="0" y="0"/>
                      <a:ext cx="3160014" cy="12191"/>
                    </a:xfrm>
                    <a:prstGeom prst="rect">
                      <a:avLst/>
                    </a:prstGeom>
                  </pic:spPr>
                </pic:pic>
              </a:graphicData>
            </a:graphic>
          </wp:anchor>
        </w:drawing>
      </w:r>
      <w:r>
        <w:rPr>
          <w:sz w:val="16"/>
        </w:rPr>
        <w:t>Regional</w:t>
      </w:r>
      <w:r>
        <w:rPr>
          <w:spacing w:val="-3"/>
          <w:sz w:val="16"/>
        </w:rPr>
        <w:t> </w:t>
      </w:r>
      <w:r>
        <w:rPr>
          <w:sz w:val="16"/>
        </w:rPr>
        <w:t>Protection</w:t>
      </w:r>
      <w:r>
        <w:rPr>
          <w:spacing w:val="-3"/>
          <w:sz w:val="16"/>
        </w:rPr>
        <w:t> </w:t>
      </w:r>
      <w:r>
        <w:rPr>
          <w:sz w:val="16"/>
        </w:rPr>
        <w:t>Scheme</w:t>
        <w:tab/>
      </w:r>
      <w:r>
        <w:rPr>
          <w:b/>
          <w:sz w:val="16"/>
        </w:rPr>
        <w:t>1,300</w:t>
        <w:tab/>
      </w:r>
      <w:r>
        <w:rPr>
          <w:sz w:val="16"/>
        </w:rPr>
        <w:t>1,174</w:t>
        <w:tab/>
      </w:r>
      <w:r>
        <w:rPr>
          <w:b/>
          <w:sz w:val="16"/>
        </w:rPr>
        <w:t>1,300</w:t>
        <w:tab/>
      </w:r>
      <w:r>
        <w:rPr>
          <w:sz w:val="16"/>
        </w:rPr>
        <w:t>1,174 Commercialisation</w:t>
      </w:r>
      <w:r>
        <w:rPr>
          <w:spacing w:val="-3"/>
          <w:sz w:val="16"/>
        </w:rPr>
        <w:t> </w:t>
      </w:r>
      <w:r>
        <w:rPr>
          <w:sz w:val="16"/>
        </w:rPr>
        <w:t>Training</w:t>
      </w:r>
      <w:r>
        <w:rPr>
          <w:spacing w:val="-3"/>
          <w:sz w:val="16"/>
        </w:rPr>
        <w:t> </w:t>
      </w:r>
      <w:r>
        <w:rPr>
          <w:sz w:val="16"/>
        </w:rPr>
        <w:t>Scheme</w:t>
        <w:tab/>
        <w:tab/>
      </w:r>
      <w:r>
        <w:rPr>
          <w:b/>
          <w:sz w:val="16"/>
        </w:rPr>
        <w:t>-</w:t>
        <w:tab/>
        <w:tab/>
      </w:r>
      <w:r>
        <w:rPr>
          <w:sz w:val="16"/>
        </w:rPr>
        <w:t>90</w:t>
        <w:tab/>
        <w:tab/>
      </w:r>
      <w:r>
        <w:rPr>
          <w:b/>
          <w:sz w:val="16"/>
        </w:rPr>
        <w:t>-</w:t>
      </w:r>
      <w:r>
        <w:rPr>
          <w:rFonts w:ascii="Times New Roman"/>
          <w:sz w:val="16"/>
        </w:rPr>
        <w:tab/>
        <w:tab/>
        <w:t> </w:t>
      </w:r>
      <w:r>
        <w:rPr>
          <w:sz w:val="16"/>
        </w:rPr>
        <w:t>90</w:t>
      </w:r>
    </w:p>
    <w:p>
      <w:pPr>
        <w:tabs>
          <w:tab w:pos="4527" w:val="left" w:leader="none"/>
          <w:tab w:pos="5798" w:val="left" w:leader="none"/>
          <w:tab w:pos="6965" w:val="left" w:leader="none"/>
          <w:tab w:pos="8285" w:val="left" w:leader="none"/>
          <w:tab w:pos="9453" w:val="left" w:leader="none"/>
        </w:tabs>
        <w:spacing w:before="13"/>
        <w:ind w:left="1035" w:right="128" w:firstLine="0"/>
        <w:jc w:val="left"/>
        <w:rPr>
          <w:sz w:val="16"/>
        </w:rPr>
      </w:pPr>
      <w:r>
        <w:rPr/>
        <w:drawing>
          <wp:anchor distT="0" distB="0" distL="0" distR="0" allowOverlap="1" layoutInCell="1" locked="0" behindDoc="1" simplePos="0" relativeHeight="267123119">
            <wp:simplePos x="0" y="0"/>
            <wp:positionH relativeFrom="page">
              <wp:posOffset>3776853</wp:posOffset>
            </wp:positionH>
            <wp:positionV relativeFrom="paragraph">
              <wp:posOffset>181784</wp:posOffset>
            </wp:positionV>
            <wp:extent cx="3160014" cy="31241"/>
            <wp:effectExtent l="0" t="0" r="0" b="0"/>
            <wp:wrapNone/>
            <wp:docPr id="9" name="image38.png" descr=""/>
            <wp:cNvGraphicFramePr>
              <a:graphicFrameLocks noChangeAspect="1"/>
            </wp:cNvGraphicFramePr>
            <a:graphic>
              <a:graphicData uri="http://schemas.openxmlformats.org/drawingml/2006/picture">
                <pic:pic>
                  <pic:nvPicPr>
                    <pic:cNvPr id="10" name="image38.png"/>
                    <pic:cNvPicPr/>
                  </pic:nvPicPr>
                  <pic:blipFill>
                    <a:blip r:embed="rId67" cstate="print"/>
                    <a:stretch>
                      <a:fillRect/>
                    </a:stretch>
                  </pic:blipFill>
                  <pic:spPr>
                    <a:xfrm>
                      <a:off x="0" y="0"/>
                      <a:ext cx="3160014" cy="31241"/>
                    </a:xfrm>
                    <a:prstGeom prst="rect">
                      <a:avLst/>
                    </a:prstGeom>
                  </pic:spPr>
                </pic:pic>
              </a:graphicData>
            </a:graphic>
          </wp:anchor>
        </w:drawing>
      </w:r>
      <w:r>
        <w:rPr>
          <w:b/>
          <w:sz w:val="16"/>
        </w:rPr>
        <w:t>Total</w:t>
      </w:r>
      <w:r>
        <w:rPr>
          <w:b/>
          <w:spacing w:val="-2"/>
          <w:sz w:val="16"/>
        </w:rPr>
        <w:t> </w:t>
      </w:r>
      <w:r>
        <w:rPr>
          <w:b/>
          <w:sz w:val="16"/>
        </w:rPr>
        <w:t>DIISRTE</w:t>
      </w:r>
      <w:r>
        <w:rPr>
          <w:b/>
          <w:spacing w:val="-2"/>
          <w:sz w:val="16"/>
        </w:rPr>
        <w:t> </w:t>
      </w:r>
      <w:r>
        <w:rPr>
          <w:b/>
          <w:sz w:val="16"/>
        </w:rPr>
        <w:t>Research</w:t>
        <w:tab/>
      </w:r>
      <w:r>
        <w:rPr>
          <w:position w:val="9"/>
          <w:sz w:val="16"/>
        </w:rPr>
        <w:t>35(d)</w:t>
        <w:tab/>
      </w:r>
      <w:r>
        <w:rPr>
          <w:b/>
          <w:sz w:val="16"/>
        </w:rPr>
        <w:t>13,525</w:t>
        <w:tab/>
      </w:r>
      <w:r>
        <w:rPr>
          <w:sz w:val="16"/>
        </w:rPr>
        <w:t>13,125</w:t>
        <w:tab/>
      </w:r>
      <w:r>
        <w:rPr>
          <w:b/>
          <w:sz w:val="16"/>
        </w:rPr>
        <w:t>13,525</w:t>
        <w:tab/>
      </w:r>
      <w:r>
        <w:rPr>
          <w:sz w:val="16"/>
        </w:rPr>
        <w:t>13,125</w:t>
      </w:r>
    </w:p>
    <w:p>
      <w:pPr>
        <w:spacing w:after="0"/>
        <w:jc w:val="left"/>
        <w:rPr>
          <w:sz w:val="16"/>
        </w:rPr>
        <w:sectPr>
          <w:type w:val="continuous"/>
          <w:pgSz w:w="11910" w:h="16840"/>
          <w:pgMar w:top="0" w:bottom="280" w:left="900" w:right="880"/>
        </w:sectPr>
      </w:pPr>
    </w:p>
    <w:p>
      <w:pPr>
        <w:pStyle w:val="ListParagraph"/>
        <w:numPr>
          <w:ilvl w:val="1"/>
          <w:numId w:val="11"/>
        </w:numPr>
        <w:tabs>
          <w:tab w:pos="1072" w:val="left" w:leader="none"/>
        </w:tabs>
        <w:spacing w:line="240" w:lineRule="auto" w:before="337" w:after="0"/>
        <w:ind w:left="1071" w:right="0" w:hanging="566"/>
        <w:jc w:val="left"/>
        <w:rPr>
          <w:sz w:val="18"/>
        </w:rPr>
      </w:pPr>
      <w:r>
        <w:rPr>
          <w:sz w:val="18"/>
        </w:rPr>
        <w:t>Other Capital</w:t>
      </w:r>
      <w:r>
        <w:rPr>
          <w:spacing w:val="-1"/>
          <w:sz w:val="18"/>
        </w:rPr>
        <w:t> </w:t>
      </w:r>
      <w:r>
        <w:rPr>
          <w:sz w:val="18"/>
        </w:rPr>
        <w:t>Funding</w:t>
      </w:r>
    </w:p>
    <w:p>
      <w:pPr>
        <w:tabs>
          <w:tab w:pos="3098" w:val="left" w:leader="none"/>
        </w:tabs>
        <w:spacing w:before="577"/>
        <w:ind w:left="694" w:right="0" w:firstLine="0"/>
        <w:jc w:val="left"/>
        <w:rPr>
          <w:b/>
          <w:sz w:val="16"/>
        </w:rPr>
      </w:pPr>
      <w:r>
        <w:rPr/>
        <w:br w:type="column"/>
      </w:r>
      <w:r>
        <w:rPr>
          <w:b/>
          <w:sz w:val="16"/>
        </w:rPr>
        <w:t>Consolidated</w:t>
        <w:tab/>
        <w:t>Parent</w:t>
      </w:r>
    </w:p>
    <w:p>
      <w:pPr>
        <w:spacing w:after="0"/>
        <w:jc w:val="left"/>
        <w:rPr>
          <w:sz w:val="16"/>
        </w:rPr>
        <w:sectPr>
          <w:type w:val="continuous"/>
          <w:pgSz w:w="11910" w:h="16840"/>
          <w:pgMar w:top="0" w:bottom="280" w:left="900" w:right="880"/>
          <w:cols w:num="2" w:equalWidth="0">
            <w:col w:w="2833" w:space="1710"/>
            <w:col w:w="5587"/>
          </w:cols>
        </w:sectPr>
      </w:pPr>
    </w:p>
    <w:p>
      <w:pPr>
        <w:spacing w:before="317"/>
        <w:ind w:left="0" w:right="0" w:firstLine="0"/>
        <w:jc w:val="right"/>
        <w:rPr>
          <w:b/>
          <w:sz w:val="16"/>
        </w:rPr>
      </w:pPr>
      <w:r>
        <w:rPr>
          <w:b/>
          <w:w w:val="95"/>
          <w:sz w:val="16"/>
        </w:rPr>
        <w:t>Note</w:t>
      </w:r>
    </w:p>
    <w:p>
      <w:pPr>
        <w:spacing w:before="67"/>
        <w:ind w:left="272" w:right="-1" w:firstLine="0"/>
        <w:jc w:val="left"/>
        <w:rPr>
          <w:b/>
          <w:sz w:val="16"/>
        </w:rPr>
      </w:pPr>
      <w:r>
        <w:rPr/>
        <w:br w:type="column"/>
      </w:r>
      <w:r>
        <w:rPr>
          <w:b/>
          <w:sz w:val="16"/>
        </w:rPr>
        <w:t>2012</w:t>
      </w:r>
    </w:p>
    <w:p>
      <w:pPr>
        <w:spacing w:before="66"/>
        <w:ind w:left="272" w:right="-1" w:firstLine="0"/>
        <w:jc w:val="left"/>
        <w:rPr>
          <w:b/>
          <w:sz w:val="16"/>
        </w:rPr>
      </w:pPr>
      <w:r>
        <w:rPr>
          <w:b/>
          <w:w w:val="95"/>
          <w:sz w:val="16"/>
        </w:rPr>
        <w:t>$'000</w:t>
      </w:r>
    </w:p>
    <w:p>
      <w:pPr>
        <w:spacing w:before="67"/>
        <w:ind w:left="689" w:right="-2" w:firstLine="0"/>
        <w:jc w:val="left"/>
        <w:rPr>
          <w:b/>
          <w:sz w:val="16"/>
        </w:rPr>
      </w:pPr>
      <w:r>
        <w:rPr/>
        <w:br w:type="column"/>
      </w:r>
      <w:r>
        <w:rPr>
          <w:b/>
          <w:sz w:val="16"/>
        </w:rPr>
        <w:t>2011</w:t>
      </w:r>
    </w:p>
    <w:p>
      <w:pPr>
        <w:spacing w:before="66"/>
        <w:ind w:left="689" w:right="-2" w:firstLine="0"/>
        <w:jc w:val="left"/>
        <w:rPr>
          <w:b/>
          <w:sz w:val="16"/>
        </w:rPr>
      </w:pPr>
      <w:r>
        <w:rPr>
          <w:b/>
          <w:w w:val="95"/>
          <w:sz w:val="16"/>
        </w:rPr>
        <w:t>$'000</w:t>
      </w:r>
    </w:p>
    <w:p>
      <w:pPr>
        <w:spacing w:before="67"/>
        <w:ind w:left="0" w:right="37" w:firstLine="0"/>
        <w:jc w:val="right"/>
        <w:rPr>
          <w:b/>
          <w:sz w:val="16"/>
        </w:rPr>
      </w:pPr>
      <w:r>
        <w:rPr/>
        <w:br w:type="column"/>
      </w:r>
      <w:r>
        <w:rPr>
          <w:b/>
          <w:w w:val="95"/>
          <w:sz w:val="16"/>
        </w:rPr>
        <w:t>2012</w:t>
      </w:r>
    </w:p>
    <w:p>
      <w:pPr>
        <w:spacing w:before="66"/>
        <w:ind w:left="0" w:right="0" w:firstLine="0"/>
        <w:jc w:val="right"/>
        <w:rPr>
          <w:b/>
          <w:sz w:val="16"/>
        </w:rPr>
      </w:pPr>
      <w:r>
        <w:rPr>
          <w:b/>
          <w:w w:val="95"/>
          <w:sz w:val="16"/>
        </w:rPr>
        <w:t>$'000</w:t>
      </w:r>
    </w:p>
    <w:p>
      <w:pPr>
        <w:spacing w:before="67"/>
        <w:ind w:left="633" w:right="783" w:firstLine="0"/>
        <w:jc w:val="center"/>
        <w:rPr>
          <w:b/>
          <w:sz w:val="16"/>
        </w:rPr>
      </w:pPr>
      <w:r>
        <w:rPr/>
        <w:br w:type="column"/>
      </w:r>
      <w:r>
        <w:rPr>
          <w:b/>
          <w:sz w:val="16"/>
        </w:rPr>
        <w:t>2011</w:t>
      </w:r>
    </w:p>
    <w:p>
      <w:pPr>
        <w:spacing w:before="66"/>
        <w:ind w:left="671" w:right="783" w:firstLine="0"/>
        <w:jc w:val="center"/>
        <w:rPr>
          <w:b/>
          <w:sz w:val="16"/>
        </w:rPr>
      </w:pPr>
      <w:r>
        <w:rPr>
          <w:b/>
          <w:sz w:val="16"/>
        </w:rPr>
        <w:t>$'000</w:t>
      </w:r>
    </w:p>
    <w:p>
      <w:pPr>
        <w:spacing w:after="0"/>
        <w:jc w:val="center"/>
        <w:rPr>
          <w:sz w:val="16"/>
        </w:rPr>
        <w:sectPr>
          <w:type w:val="continuous"/>
          <w:pgSz w:w="11910" w:h="16840"/>
          <w:pgMar w:top="0" w:bottom="280" w:left="900" w:right="880"/>
          <w:cols w:num="5" w:equalWidth="0">
            <w:col w:w="5070" w:space="40"/>
            <w:col w:w="666" w:space="40"/>
            <w:col w:w="1082" w:space="40"/>
            <w:col w:w="1263" w:space="40"/>
            <w:col w:w="1889"/>
          </w:cols>
        </w:sectPr>
      </w:pPr>
    </w:p>
    <w:p>
      <w:pPr>
        <w:tabs>
          <w:tab w:pos="5889" w:val="left" w:leader="none"/>
          <w:tab w:pos="7463" w:val="left" w:leader="none"/>
          <w:tab w:pos="8313" w:val="left" w:leader="none"/>
          <w:tab w:pos="9887" w:val="left" w:leader="none"/>
        </w:tabs>
        <w:spacing w:before="93"/>
        <w:ind w:left="1035" w:right="128" w:firstLine="0"/>
        <w:jc w:val="left"/>
        <w:rPr>
          <w:sz w:val="16"/>
        </w:rPr>
      </w:pPr>
      <w:r>
        <w:rPr/>
        <w:drawing>
          <wp:anchor distT="0" distB="0" distL="0" distR="0" allowOverlap="1" layoutInCell="1" locked="0" behindDoc="0" simplePos="0" relativeHeight="1912">
            <wp:simplePos x="0" y="0"/>
            <wp:positionH relativeFrom="page">
              <wp:posOffset>3856863</wp:posOffset>
            </wp:positionH>
            <wp:positionV relativeFrom="paragraph">
              <wp:posOffset>192808</wp:posOffset>
            </wp:positionV>
            <wp:extent cx="3079241" cy="12191"/>
            <wp:effectExtent l="0" t="0" r="0" b="0"/>
            <wp:wrapNone/>
            <wp:docPr id="11" name="image39.png" descr=""/>
            <wp:cNvGraphicFramePr>
              <a:graphicFrameLocks noChangeAspect="1"/>
            </wp:cNvGraphicFramePr>
            <a:graphic>
              <a:graphicData uri="http://schemas.openxmlformats.org/drawingml/2006/picture">
                <pic:pic>
                  <pic:nvPicPr>
                    <pic:cNvPr id="12" name="image39.png"/>
                    <pic:cNvPicPr/>
                  </pic:nvPicPr>
                  <pic:blipFill>
                    <a:blip r:embed="rId68" cstate="print"/>
                    <a:stretch>
                      <a:fillRect/>
                    </a:stretch>
                  </pic:blipFill>
                  <pic:spPr>
                    <a:xfrm>
                      <a:off x="0" y="0"/>
                      <a:ext cx="3079241" cy="12191"/>
                    </a:xfrm>
                    <a:prstGeom prst="rect">
                      <a:avLst/>
                    </a:prstGeom>
                  </pic:spPr>
                </pic:pic>
              </a:graphicData>
            </a:graphic>
          </wp:anchor>
        </w:drawing>
      </w:r>
      <w:r>
        <w:rPr>
          <w:sz w:val="16"/>
        </w:rPr>
        <w:t>Education</w:t>
      </w:r>
      <w:r>
        <w:rPr>
          <w:spacing w:val="-3"/>
          <w:sz w:val="16"/>
        </w:rPr>
        <w:t> </w:t>
      </w:r>
      <w:r>
        <w:rPr>
          <w:sz w:val="16"/>
        </w:rPr>
        <w:t>Investment</w:t>
      </w:r>
      <w:r>
        <w:rPr>
          <w:spacing w:val="-3"/>
          <w:sz w:val="16"/>
        </w:rPr>
        <w:t> </w:t>
      </w:r>
      <w:r>
        <w:rPr>
          <w:sz w:val="16"/>
        </w:rPr>
        <w:t>Fund</w:t>
        <w:tab/>
      </w:r>
      <w:r>
        <w:rPr>
          <w:b/>
          <w:sz w:val="16"/>
        </w:rPr>
        <w:t>12,574</w:t>
        <w:tab/>
      </w:r>
      <w:r>
        <w:rPr>
          <w:sz w:val="16"/>
        </w:rPr>
        <w:t>-</w:t>
        <w:tab/>
      </w:r>
      <w:r>
        <w:rPr>
          <w:b/>
          <w:sz w:val="16"/>
        </w:rPr>
        <w:t>12,574</w:t>
        <w:tab/>
      </w:r>
      <w:r>
        <w:rPr>
          <w:sz w:val="16"/>
        </w:rPr>
        <w:t>-</w:t>
      </w:r>
    </w:p>
    <w:p>
      <w:pPr>
        <w:tabs>
          <w:tab w:pos="4714" w:val="left" w:leader="none"/>
          <w:tab w:pos="5889" w:val="left" w:leader="none"/>
          <w:tab w:pos="7463" w:val="left" w:leader="none"/>
          <w:tab w:pos="8313" w:val="left" w:leader="none"/>
          <w:tab w:pos="9887" w:val="left" w:leader="none"/>
        </w:tabs>
        <w:spacing w:before="69"/>
        <w:ind w:left="1035" w:right="128" w:firstLine="0"/>
        <w:jc w:val="left"/>
        <w:rPr>
          <w:sz w:val="16"/>
        </w:rPr>
      </w:pPr>
      <w:r>
        <w:rPr/>
        <w:drawing>
          <wp:anchor distT="0" distB="0" distL="0" distR="0" allowOverlap="1" layoutInCell="1" locked="0" behindDoc="1" simplePos="0" relativeHeight="267123167">
            <wp:simplePos x="0" y="0"/>
            <wp:positionH relativeFrom="page">
              <wp:posOffset>3856863</wp:posOffset>
            </wp:positionH>
            <wp:positionV relativeFrom="paragraph">
              <wp:posOffset>217231</wp:posOffset>
            </wp:positionV>
            <wp:extent cx="3079241" cy="31241"/>
            <wp:effectExtent l="0" t="0" r="0" b="0"/>
            <wp:wrapNone/>
            <wp:docPr id="13" name="image40.png" descr=""/>
            <wp:cNvGraphicFramePr>
              <a:graphicFrameLocks noChangeAspect="1"/>
            </wp:cNvGraphicFramePr>
            <a:graphic>
              <a:graphicData uri="http://schemas.openxmlformats.org/drawingml/2006/picture">
                <pic:pic>
                  <pic:nvPicPr>
                    <pic:cNvPr id="14" name="image40.png"/>
                    <pic:cNvPicPr/>
                  </pic:nvPicPr>
                  <pic:blipFill>
                    <a:blip r:embed="rId69" cstate="print"/>
                    <a:stretch>
                      <a:fillRect/>
                    </a:stretch>
                  </pic:blipFill>
                  <pic:spPr>
                    <a:xfrm>
                      <a:off x="0" y="0"/>
                      <a:ext cx="3079241" cy="31241"/>
                    </a:xfrm>
                    <a:prstGeom prst="rect">
                      <a:avLst/>
                    </a:prstGeom>
                  </pic:spPr>
                </pic:pic>
              </a:graphicData>
            </a:graphic>
          </wp:anchor>
        </w:drawing>
      </w:r>
      <w:r>
        <w:rPr>
          <w:b/>
          <w:sz w:val="16"/>
        </w:rPr>
        <w:t>Total Other</w:t>
      </w:r>
      <w:r>
        <w:rPr>
          <w:b/>
          <w:spacing w:val="-4"/>
          <w:sz w:val="16"/>
        </w:rPr>
        <w:t> </w:t>
      </w:r>
      <w:r>
        <w:rPr>
          <w:b/>
          <w:sz w:val="16"/>
        </w:rPr>
        <w:t>Capital</w:t>
      </w:r>
      <w:r>
        <w:rPr>
          <w:b/>
          <w:spacing w:val="-2"/>
          <w:sz w:val="16"/>
        </w:rPr>
        <w:t> </w:t>
      </w:r>
      <w:r>
        <w:rPr>
          <w:b/>
          <w:sz w:val="16"/>
        </w:rPr>
        <w:t>Funding</w:t>
        <w:tab/>
      </w:r>
      <w:r>
        <w:rPr>
          <w:position w:val="9"/>
          <w:sz w:val="16"/>
        </w:rPr>
        <w:t>35(e)</w:t>
        <w:tab/>
      </w:r>
      <w:r>
        <w:rPr>
          <w:b/>
          <w:sz w:val="16"/>
        </w:rPr>
        <w:t>12,574</w:t>
        <w:tab/>
      </w:r>
      <w:r>
        <w:rPr>
          <w:sz w:val="16"/>
        </w:rPr>
        <w:t>-</w:t>
        <w:tab/>
      </w:r>
      <w:r>
        <w:rPr>
          <w:b/>
          <w:sz w:val="16"/>
        </w:rPr>
        <w:t>12,574</w:t>
        <w:tab/>
      </w:r>
      <w:r>
        <w:rPr>
          <w:sz w:val="16"/>
        </w:rPr>
        <w:t>-</w:t>
      </w:r>
    </w:p>
    <w:p>
      <w:pPr>
        <w:spacing w:after="0"/>
        <w:jc w:val="left"/>
        <w:rPr>
          <w:sz w:val="16"/>
        </w:rPr>
        <w:sectPr>
          <w:type w:val="continuous"/>
          <w:pgSz w:w="11910" w:h="16840"/>
          <w:pgMar w:top="0" w:bottom="280" w:left="900" w:right="880"/>
        </w:sectPr>
      </w:pPr>
    </w:p>
    <w:p>
      <w:pPr>
        <w:pStyle w:val="ListParagraph"/>
        <w:numPr>
          <w:ilvl w:val="1"/>
          <w:numId w:val="11"/>
        </w:numPr>
        <w:tabs>
          <w:tab w:pos="1072" w:val="left" w:leader="none"/>
        </w:tabs>
        <w:spacing w:line="240" w:lineRule="auto" w:before="337" w:after="0"/>
        <w:ind w:left="1071" w:right="0" w:hanging="566"/>
        <w:jc w:val="left"/>
        <w:rPr>
          <w:sz w:val="18"/>
        </w:rPr>
      </w:pPr>
      <w:r>
        <w:rPr>
          <w:sz w:val="18"/>
        </w:rPr>
        <w:t>Australian Research</w:t>
      </w:r>
      <w:r>
        <w:rPr>
          <w:spacing w:val="-1"/>
          <w:sz w:val="18"/>
        </w:rPr>
        <w:t> </w:t>
      </w:r>
      <w:r>
        <w:rPr>
          <w:sz w:val="18"/>
        </w:rPr>
        <w:t>Council</w:t>
      </w:r>
    </w:p>
    <w:p>
      <w:pPr>
        <w:tabs>
          <w:tab w:pos="2968" w:val="left" w:leader="none"/>
        </w:tabs>
        <w:spacing w:before="577"/>
        <w:ind w:left="505" w:right="0" w:firstLine="0"/>
        <w:jc w:val="left"/>
        <w:rPr>
          <w:b/>
          <w:sz w:val="16"/>
        </w:rPr>
      </w:pPr>
      <w:r>
        <w:rPr/>
        <w:br w:type="column"/>
      </w:r>
      <w:r>
        <w:rPr>
          <w:b/>
          <w:sz w:val="16"/>
        </w:rPr>
        <w:t>Consolidated</w:t>
        <w:tab/>
        <w:t>Parent</w:t>
      </w:r>
    </w:p>
    <w:p>
      <w:pPr>
        <w:spacing w:after="0"/>
        <w:jc w:val="left"/>
        <w:rPr>
          <w:sz w:val="16"/>
        </w:rPr>
        <w:sectPr>
          <w:type w:val="continuous"/>
          <w:pgSz w:w="11910" w:h="16840"/>
          <w:pgMar w:top="0" w:bottom="280" w:left="900" w:right="880"/>
          <w:cols w:num="2" w:equalWidth="0">
            <w:col w:w="3343" w:space="1264"/>
            <w:col w:w="5523"/>
          </w:cols>
        </w:sectPr>
      </w:pPr>
    </w:p>
    <w:p>
      <w:pPr>
        <w:spacing w:before="317"/>
        <w:ind w:left="0" w:right="0" w:firstLine="0"/>
        <w:jc w:val="right"/>
        <w:rPr>
          <w:b/>
          <w:sz w:val="16"/>
        </w:rPr>
      </w:pPr>
      <w:r>
        <w:rPr>
          <w:b/>
          <w:w w:val="95"/>
          <w:sz w:val="16"/>
        </w:rPr>
        <w:t>Note</w:t>
      </w:r>
    </w:p>
    <w:p>
      <w:pPr>
        <w:spacing w:before="67"/>
        <w:ind w:left="300" w:right="-1" w:firstLine="0"/>
        <w:jc w:val="left"/>
        <w:rPr>
          <w:b/>
          <w:sz w:val="16"/>
        </w:rPr>
      </w:pPr>
      <w:r>
        <w:rPr/>
        <w:br w:type="column"/>
      </w:r>
      <w:r>
        <w:rPr>
          <w:b/>
          <w:sz w:val="16"/>
        </w:rPr>
        <w:t>2012</w:t>
      </w:r>
    </w:p>
    <w:p>
      <w:pPr>
        <w:spacing w:before="66"/>
        <w:ind w:left="300" w:right="-1" w:firstLine="0"/>
        <w:jc w:val="left"/>
        <w:rPr>
          <w:b/>
          <w:sz w:val="16"/>
        </w:rPr>
      </w:pPr>
      <w:r>
        <w:rPr>
          <w:b/>
          <w:w w:val="95"/>
          <w:sz w:val="16"/>
        </w:rPr>
        <w:t>$'000</w:t>
      </w:r>
    </w:p>
    <w:p>
      <w:pPr>
        <w:spacing w:before="67"/>
        <w:ind w:left="713" w:right="-1" w:firstLine="0"/>
        <w:jc w:val="left"/>
        <w:rPr>
          <w:b/>
          <w:sz w:val="16"/>
        </w:rPr>
      </w:pPr>
      <w:r>
        <w:rPr/>
        <w:br w:type="column"/>
      </w:r>
      <w:r>
        <w:rPr>
          <w:b/>
          <w:sz w:val="16"/>
        </w:rPr>
        <w:t>2011</w:t>
      </w:r>
    </w:p>
    <w:p>
      <w:pPr>
        <w:spacing w:before="66"/>
        <w:ind w:left="713" w:right="-1" w:firstLine="0"/>
        <w:jc w:val="left"/>
        <w:rPr>
          <w:b/>
          <w:sz w:val="16"/>
        </w:rPr>
      </w:pPr>
      <w:r>
        <w:rPr>
          <w:b/>
          <w:w w:val="95"/>
          <w:sz w:val="16"/>
        </w:rPr>
        <w:t>$'000</w:t>
      </w:r>
    </w:p>
    <w:p>
      <w:pPr>
        <w:spacing w:before="67"/>
        <w:ind w:left="0" w:right="37" w:firstLine="0"/>
        <w:jc w:val="right"/>
        <w:rPr>
          <w:b/>
          <w:sz w:val="16"/>
        </w:rPr>
      </w:pPr>
      <w:r>
        <w:rPr/>
        <w:br w:type="column"/>
      </w:r>
      <w:r>
        <w:rPr>
          <w:b/>
          <w:sz w:val="16"/>
        </w:rPr>
        <w:t>2012</w:t>
      </w:r>
    </w:p>
    <w:p>
      <w:pPr>
        <w:spacing w:before="66"/>
        <w:ind w:left="0" w:right="0" w:firstLine="0"/>
        <w:jc w:val="right"/>
        <w:rPr>
          <w:b/>
          <w:sz w:val="16"/>
        </w:rPr>
      </w:pPr>
      <w:r>
        <w:rPr>
          <w:b/>
          <w:w w:val="95"/>
          <w:sz w:val="16"/>
        </w:rPr>
        <w:t>$'000</w:t>
      </w:r>
    </w:p>
    <w:p>
      <w:pPr>
        <w:spacing w:before="67"/>
        <w:ind w:left="657" w:right="815" w:firstLine="0"/>
        <w:jc w:val="center"/>
        <w:rPr>
          <w:b/>
          <w:sz w:val="16"/>
        </w:rPr>
      </w:pPr>
      <w:r>
        <w:rPr/>
        <w:br w:type="column"/>
      </w:r>
      <w:r>
        <w:rPr>
          <w:b/>
          <w:sz w:val="16"/>
        </w:rPr>
        <w:t>2011</w:t>
      </w:r>
    </w:p>
    <w:p>
      <w:pPr>
        <w:spacing w:before="66"/>
        <w:ind w:left="695" w:right="815" w:firstLine="0"/>
        <w:jc w:val="center"/>
        <w:rPr>
          <w:b/>
          <w:sz w:val="16"/>
        </w:rPr>
      </w:pPr>
      <w:r>
        <w:rPr>
          <w:b/>
          <w:sz w:val="16"/>
        </w:rPr>
        <w:t>$'000</w:t>
      </w:r>
    </w:p>
    <w:p>
      <w:pPr>
        <w:spacing w:after="0"/>
        <w:jc w:val="center"/>
        <w:rPr>
          <w:sz w:val="16"/>
        </w:rPr>
        <w:sectPr>
          <w:type w:val="continuous"/>
          <w:pgSz w:w="11910" w:h="16840"/>
          <w:pgMar w:top="0" w:bottom="280" w:left="900" w:right="880"/>
          <w:cols w:num="5" w:equalWidth="0">
            <w:col w:w="4922" w:space="40"/>
            <w:col w:w="694" w:space="40"/>
            <w:col w:w="1107" w:space="40"/>
            <w:col w:w="1302" w:space="40"/>
            <w:col w:w="1945"/>
          </w:cols>
        </w:sectPr>
      </w:pPr>
    </w:p>
    <w:p>
      <w:pPr>
        <w:pStyle w:val="BodyText"/>
        <w:spacing w:before="3"/>
        <w:rPr>
          <w:b/>
          <w:sz w:val="15"/>
        </w:rPr>
      </w:pPr>
    </w:p>
    <w:p>
      <w:pPr>
        <w:pStyle w:val="ListParagraph"/>
        <w:numPr>
          <w:ilvl w:val="2"/>
          <w:numId w:val="11"/>
        </w:numPr>
        <w:tabs>
          <w:tab w:pos="1249" w:val="left" w:leader="none"/>
        </w:tabs>
        <w:spacing w:line="240" w:lineRule="auto" w:before="0" w:after="0"/>
        <w:ind w:left="1248" w:right="0" w:hanging="195"/>
        <w:jc w:val="left"/>
        <w:rPr>
          <w:b/>
          <w:sz w:val="16"/>
        </w:rPr>
      </w:pPr>
      <w:r>
        <w:rPr>
          <w:b/>
          <w:sz w:val="16"/>
        </w:rPr>
        <w:t>Discovery</w:t>
      </w:r>
    </w:p>
    <w:p>
      <w:pPr>
        <w:tabs>
          <w:tab w:pos="5885" w:val="left" w:leader="none"/>
          <w:tab w:pos="7054" w:val="left" w:leader="none"/>
          <w:tab w:pos="8373" w:val="left" w:leader="none"/>
          <w:tab w:pos="9542" w:val="left" w:leader="none"/>
        </w:tabs>
        <w:spacing w:before="29"/>
        <w:ind w:left="1053" w:right="128" w:firstLine="0"/>
        <w:jc w:val="left"/>
        <w:rPr>
          <w:sz w:val="16"/>
        </w:rPr>
      </w:pPr>
      <w:r>
        <w:rPr>
          <w:sz w:val="16"/>
        </w:rPr>
        <w:t>Discovery</w:t>
      </w:r>
      <w:r>
        <w:rPr>
          <w:spacing w:val="-2"/>
          <w:sz w:val="16"/>
        </w:rPr>
        <w:t> </w:t>
      </w:r>
      <w:r>
        <w:rPr>
          <w:sz w:val="16"/>
        </w:rPr>
        <w:t>-</w:t>
      </w:r>
      <w:r>
        <w:rPr>
          <w:spacing w:val="-2"/>
          <w:sz w:val="16"/>
        </w:rPr>
        <w:t> </w:t>
      </w:r>
      <w:r>
        <w:rPr>
          <w:sz w:val="16"/>
        </w:rPr>
        <w:t>Projects</w:t>
        <w:tab/>
      </w:r>
      <w:r>
        <w:rPr>
          <w:b/>
          <w:sz w:val="16"/>
        </w:rPr>
        <w:t>3,407</w:t>
        <w:tab/>
      </w:r>
      <w:r>
        <w:rPr>
          <w:sz w:val="16"/>
        </w:rPr>
        <w:t>3,595</w:t>
        <w:tab/>
      </w:r>
      <w:r>
        <w:rPr>
          <w:b/>
          <w:sz w:val="16"/>
        </w:rPr>
        <w:t>3,407</w:t>
        <w:tab/>
      </w:r>
      <w:r>
        <w:rPr>
          <w:sz w:val="16"/>
        </w:rPr>
        <w:t>3,595</w:t>
      </w:r>
    </w:p>
    <w:p>
      <w:pPr>
        <w:tabs>
          <w:tab w:pos="5885" w:val="left" w:leader="none"/>
          <w:tab w:pos="7187" w:val="left" w:leader="none"/>
          <w:tab w:pos="8373" w:val="left" w:leader="none"/>
          <w:tab w:pos="9675" w:val="left" w:leader="none"/>
        </w:tabs>
        <w:spacing w:before="57"/>
        <w:ind w:left="1053" w:right="128" w:firstLine="0"/>
        <w:jc w:val="left"/>
        <w:rPr>
          <w:sz w:val="16"/>
        </w:rPr>
      </w:pPr>
      <w:r>
        <w:rPr>
          <w:sz w:val="16"/>
        </w:rPr>
        <w:t>Discovery</w:t>
      </w:r>
      <w:r>
        <w:rPr>
          <w:spacing w:val="-2"/>
          <w:sz w:val="16"/>
        </w:rPr>
        <w:t> </w:t>
      </w:r>
      <w:r>
        <w:rPr>
          <w:sz w:val="16"/>
        </w:rPr>
        <w:t>-</w:t>
      </w:r>
      <w:r>
        <w:rPr>
          <w:spacing w:val="-2"/>
          <w:sz w:val="16"/>
        </w:rPr>
        <w:t> </w:t>
      </w:r>
      <w:r>
        <w:rPr>
          <w:sz w:val="16"/>
        </w:rPr>
        <w:t>Fellowships</w:t>
        <w:tab/>
      </w:r>
      <w:r>
        <w:rPr>
          <w:b/>
          <w:sz w:val="16"/>
        </w:rPr>
        <w:t>1,764</w:t>
        <w:tab/>
      </w:r>
      <w:r>
        <w:rPr>
          <w:sz w:val="16"/>
        </w:rPr>
        <w:t>437</w:t>
        <w:tab/>
      </w:r>
      <w:r>
        <w:rPr>
          <w:b/>
          <w:sz w:val="16"/>
        </w:rPr>
        <w:t>1,764</w:t>
      </w:r>
      <w:r>
        <w:rPr>
          <w:rFonts w:ascii="Times New Roman"/>
          <w:sz w:val="16"/>
        </w:rPr>
        <w:tab/>
      </w:r>
      <w:r>
        <w:rPr>
          <w:sz w:val="16"/>
        </w:rPr>
        <w:t>437</w:t>
      </w:r>
    </w:p>
    <w:p>
      <w:pPr>
        <w:spacing w:line="184" w:lineRule="exact" w:before="54"/>
        <w:ind w:left="1053" w:right="128" w:firstLine="0"/>
        <w:jc w:val="left"/>
        <w:rPr>
          <w:sz w:val="16"/>
        </w:rPr>
      </w:pPr>
      <w:r>
        <w:rPr>
          <w:sz w:val="16"/>
        </w:rPr>
        <w:t>Discovery - Indigenous Researchers</w:t>
      </w:r>
    </w:p>
    <w:p>
      <w:pPr>
        <w:tabs>
          <w:tab w:pos="6018" w:val="left" w:leader="none"/>
          <w:tab w:pos="7187" w:val="left" w:leader="none"/>
          <w:tab w:pos="8506" w:val="left" w:leader="none"/>
          <w:tab w:pos="9675" w:val="left" w:leader="none"/>
        </w:tabs>
        <w:spacing w:line="184" w:lineRule="exact" w:before="0"/>
        <w:ind w:left="1053" w:right="128" w:firstLine="0"/>
        <w:jc w:val="left"/>
        <w:rPr>
          <w:sz w:val="16"/>
        </w:rPr>
      </w:pPr>
      <w:r>
        <w:rPr/>
        <w:drawing>
          <wp:anchor distT="0" distB="0" distL="0" distR="0" allowOverlap="1" layoutInCell="1" locked="0" behindDoc="0" simplePos="0" relativeHeight="1960">
            <wp:simplePos x="0" y="0"/>
            <wp:positionH relativeFrom="page">
              <wp:posOffset>3776853</wp:posOffset>
            </wp:positionH>
            <wp:positionV relativeFrom="paragraph">
              <wp:posOffset>133734</wp:posOffset>
            </wp:positionV>
            <wp:extent cx="3160014" cy="12191"/>
            <wp:effectExtent l="0" t="0" r="0" b="0"/>
            <wp:wrapNone/>
            <wp:docPr id="15" name="image37.png" descr=""/>
            <wp:cNvGraphicFramePr>
              <a:graphicFrameLocks noChangeAspect="1"/>
            </wp:cNvGraphicFramePr>
            <a:graphic>
              <a:graphicData uri="http://schemas.openxmlformats.org/drawingml/2006/picture">
                <pic:pic>
                  <pic:nvPicPr>
                    <pic:cNvPr id="16" name="image37.png"/>
                    <pic:cNvPicPr/>
                  </pic:nvPicPr>
                  <pic:blipFill>
                    <a:blip r:embed="rId66" cstate="print"/>
                    <a:stretch>
                      <a:fillRect/>
                    </a:stretch>
                  </pic:blipFill>
                  <pic:spPr>
                    <a:xfrm>
                      <a:off x="0" y="0"/>
                      <a:ext cx="3160014" cy="12191"/>
                    </a:xfrm>
                    <a:prstGeom prst="rect">
                      <a:avLst/>
                    </a:prstGeom>
                  </pic:spPr>
                </pic:pic>
              </a:graphicData>
            </a:graphic>
          </wp:anchor>
        </w:drawing>
      </w:r>
      <w:r>
        <w:rPr>
          <w:sz w:val="16"/>
        </w:rPr>
        <w:t>Development</w:t>
        <w:tab/>
      </w:r>
      <w:r>
        <w:rPr>
          <w:b/>
          <w:sz w:val="16"/>
        </w:rPr>
        <w:t>290</w:t>
        <w:tab/>
      </w:r>
      <w:r>
        <w:rPr>
          <w:sz w:val="16"/>
        </w:rPr>
        <w:t>468</w:t>
        <w:tab/>
      </w:r>
      <w:r>
        <w:rPr>
          <w:b/>
          <w:sz w:val="16"/>
        </w:rPr>
        <w:t>290</w:t>
      </w:r>
      <w:r>
        <w:rPr>
          <w:rFonts w:ascii="Times New Roman"/>
          <w:sz w:val="16"/>
        </w:rPr>
        <w:tab/>
      </w:r>
      <w:r>
        <w:rPr>
          <w:sz w:val="16"/>
        </w:rPr>
        <w:t>468</w:t>
      </w:r>
    </w:p>
    <w:p>
      <w:pPr>
        <w:tabs>
          <w:tab w:pos="5885" w:val="left" w:leader="none"/>
          <w:tab w:pos="7054" w:val="left" w:leader="none"/>
          <w:tab w:pos="8373" w:val="left" w:leader="none"/>
          <w:tab w:pos="9542" w:val="left" w:leader="none"/>
        </w:tabs>
        <w:spacing w:before="159"/>
        <w:ind w:left="1053" w:right="128" w:firstLine="0"/>
        <w:jc w:val="left"/>
        <w:rPr>
          <w:sz w:val="16"/>
        </w:rPr>
      </w:pPr>
      <w:r>
        <w:rPr/>
        <w:drawing>
          <wp:anchor distT="0" distB="0" distL="0" distR="0" allowOverlap="1" layoutInCell="1" locked="0" behindDoc="1" simplePos="0" relativeHeight="267123215">
            <wp:simplePos x="0" y="0"/>
            <wp:positionH relativeFrom="page">
              <wp:posOffset>3776853</wp:posOffset>
            </wp:positionH>
            <wp:positionV relativeFrom="paragraph">
              <wp:posOffset>217223</wp:posOffset>
            </wp:positionV>
            <wp:extent cx="3160014" cy="12191"/>
            <wp:effectExtent l="0" t="0" r="0" b="0"/>
            <wp:wrapNone/>
            <wp:docPr id="17" name="image37.png" descr=""/>
            <wp:cNvGraphicFramePr>
              <a:graphicFrameLocks noChangeAspect="1"/>
            </wp:cNvGraphicFramePr>
            <a:graphic>
              <a:graphicData uri="http://schemas.openxmlformats.org/drawingml/2006/picture">
                <pic:pic>
                  <pic:nvPicPr>
                    <pic:cNvPr id="18" name="image37.png"/>
                    <pic:cNvPicPr/>
                  </pic:nvPicPr>
                  <pic:blipFill>
                    <a:blip r:embed="rId66" cstate="print"/>
                    <a:stretch>
                      <a:fillRect/>
                    </a:stretch>
                  </pic:blipFill>
                  <pic:spPr>
                    <a:xfrm>
                      <a:off x="0" y="0"/>
                      <a:ext cx="3160014" cy="12191"/>
                    </a:xfrm>
                    <a:prstGeom prst="rect">
                      <a:avLst/>
                    </a:prstGeom>
                  </pic:spPr>
                </pic:pic>
              </a:graphicData>
            </a:graphic>
          </wp:anchor>
        </w:drawing>
      </w:r>
      <w:r>
        <w:rPr>
          <w:b/>
          <w:sz w:val="16"/>
        </w:rPr>
        <w:t>Total</w:t>
      </w:r>
      <w:r>
        <w:rPr>
          <w:b/>
          <w:spacing w:val="-2"/>
          <w:sz w:val="16"/>
        </w:rPr>
        <w:t> </w:t>
      </w:r>
      <w:r>
        <w:rPr>
          <w:b/>
          <w:sz w:val="16"/>
        </w:rPr>
        <w:t>Discovery</w:t>
        <w:tab/>
        <w:t>5,461</w:t>
        <w:tab/>
      </w:r>
      <w:r>
        <w:rPr>
          <w:sz w:val="16"/>
        </w:rPr>
        <w:t>4,500</w:t>
        <w:tab/>
      </w:r>
      <w:r>
        <w:rPr>
          <w:b/>
          <w:sz w:val="16"/>
        </w:rPr>
        <w:t>5,461</w:t>
        <w:tab/>
      </w:r>
      <w:r>
        <w:rPr>
          <w:sz w:val="16"/>
        </w:rPr>
        <w:t>4,500</w:t>
      </w:r>
    </w:p>
    <w:p>
      <w:pPr>
        <w:pStyle w:val="ListParagraph"/>
        <w:numPr>
          <w:ilvl w:val="2"/>
          <w:numId w:val="11"/>
        </w:numPr>
        <w:tabs>
          <w:tab w:pos="1293" w:val="left" w:leader="none"/>
        </w:tabs>
        <w:spacing w:line="240" w:lineRule="auto" w:before="131" w:after="0"/>
        <w:ind w:left="1293" w:right="0" w:hanging="240"/>
        <w:jc w:val="left"/>
        <w:rPr>
          <w:b/>
          <w:sz w:val="16"/>
        </w:rPr>
      </w:pPr>
      <w:r>
        <w:rPr>
          <w:b/>
          <w:sz w:val="16"/>
        </w:rPr>
        <w:t>Linkages</w:t>
      </w:r>
    </w:p>
    <w:p>
      <w:pPr>
        <w:tabs>
          <w:tab w:pos="6019" w:val="left" w:leader="none"/>
          <w:tab w:pos="7187" w:val="left" w:leader="none"/>
          <w:tab w:pos="8506" w:val="left" w:leader="none"/>
          <w:tab w:pos="9675" w:val="left" w:leader="none"/>
        </w:tabs>
        <w:spacing w:before="29"/>
        <w:ind w:left="1053" w:right="128" w:firstLine="0"/>
        <w:jc w:val="left"/>
        <w:rPr>
          <w:sz w:val="16"/>
        </w:rPr>
      </w:pPr>
      <w:r>
        <w:rPr>
          <w:sz w:val="16"/>
        </w:rPr>
        <w:t>Linkages - Special</w:t>
      </w:r>
      <w:r>
        <w:rPr>
          <w:spacing w:val="-7"/>
          <w:sz w:val="16"/>
        </w:rPr>
        <w:t> </w:t>
      </w:r>
      <w:r>
        <w:rPr>
          <w:sz w:val="16"/>
        </w:rPr>
        <w:t>Research</w:t>
      </w:r>
      <w:r>
        <w:rPr>
          <w:spacing w:val="-3"/>
          <w:sz w:val="16"/>
        </w:rPr>
        <w:t> </w:t>
      </w:r>
      <w:r>
        <w:rPr>
          <w:sz w:val="16"/>
        </w:rPr>
        <w:t>Initiatives</w:t>
        <w:tab/>
      </w:r>
      <w:r>
        <w:rPr>
          <w:b/>
          <w:sz w:val="16"/>
        </w:rPr>
        <w:t>121</w:t>
        <w:tab/>
      </w:r>
      <w:r>
        <w:rPr>
          <w:sz w:val="16"/>
        </w:rPr>
        <w:t>418</w:t>
        <w:tab/>
      </w:r>
      <w:r>
        <w:rPr>
          <w:b/>
          <w:sz w:val="16"/>
        </w:rPr>
        <w:t>121</w:t>
      </w:r>
      <w:r>
        <w:rPr>
          <w:rFonts w:ascii="Times New Roman"/>
          <w:sz w:val="16"/>
        </w:rPr>
        <w:tab/>
      </w:r>
      <w:r>
        <w:rPr>
          <w:sz w:val="16"/>
        </w:rPr>
        <w:t>418</w:t>
      </w:r>
    </w:p>
    <w:p>
      <w:pPr>
        <w:tabs>
          <w:tab w:pos="6232" w:val="left" w:leader="none"/>
          <w:tab w:pos="7365" w:val="left" w:leader="none"/>
          <w:tab w:pos="8720" w:val="left" w:leader="none"/>
          <w:tab w:pos="9853" w:val="left" w:leader="none"/>
        </w:tabs>
        <w:spacing w:before="57"/>
        <w:ind w:left="1053" w:right="128" w:firstLine="0"/>
        <w:jc w:val="left"/>
        <w:rPr>
          <w:sz w:val="16"/>
        </w:rPr>
      </w:pPr>
      <w:r>
        <w:rPr>
          <w:sz w:val="16"/>
        </w:rPr>
        <w:t>Linkages</w:t>
      </w:r>
      <w:r>
        <w:rPr>
          <w:spacing w:val="-2"/>
          <w:sz w:val="16"/>
        </w:rPr>
        <w:t> </w:t>
      </w:r>
      <w:r>
        <w:rPr>
          <w:sz w:val="16"/>
        </w:rPr>
        <w:t>-</w:t>
      </w:r>
      <w:r>
        <w:rPr>
          <w:spacing w:val="-2"/>
          <w:sz w:val="16"/>
        </w:rPr>
        <w:t> </w:t>
      </w:r>
      <w:r>
        <w:rPr>
          <w:sz w:val="16"/>
        </w:rPr>
        <w:t>Infrastructure</w:t>
        <w:tab/>
      </w:r>
      <w:r>
        <w:rPr>
          <w:b/>
          <w:sz w:val="16"/>
        </w:rPr>
        <w:t>-</w:t>
        <w:tab/>
      </w:r>
      <w:r>
        <w:rPr>
          <w:sz w:val="16"/>
        </w:rPr>
        <w:t>8</w:t>
        <w:tab/>
      </w:r>
      <w:r>
        <w:rPr>
          <w:b/>
          <w:sz w:val="16"/>
        </w:rPr>
        <w:t>-</w:t>
      </w:r>
      <w:r>
        <w:rPr>
          <w:rFonts w:ascii="Times New Roman"/>
          <w:sz w:val="16"/>
        </w:rPr>
        <w:tab/>
      </w:r>
      <w:r>
        <w:rPr>
          <w:sz w:val="16"/>
        </w:rPr>
        <w:t>8</w:t>
      </w:r>
    </w:p>
    <w:p>
      <w:pPr>
        <w:tabs>
          <w:tab w:pos="5885" w:val="left" w:leader="none"/>
          <w:tab w:pos="7054" w:val="left" w:leader="none"/>
          <w:tab w:pos="8373" w:val="left" w:leader="none"/>
          <w:tab w:pos="9542" w:val="left" w:leader="none"/>
        </w:tabs>
        <w:spacing w:before="57"/>
        <w:ind w:left="1053" w:right="128" w:firstLine="0"/>
        <w:jc w:val="left"/>
        <w:rPr>
          <w:sz w:val="16"/>
        </w:rPr>
      </w:pPr>
      <w:r>
        <w:rPr/>
        <w:drawing>
          <wp:anchor distT="0" distB="0" distL="0" distR="0" allowOverlap="1" layoutInCell="1" locked="0" behindDoc="0" simplePos="0" relativeHeight="1840">
            <wp:simplePos x="0" y="0"/>
            <wp:positionH relativeFrom="page">
              <wp:posOffset>3776853</wp:posOffset>
            </wp:positionH>
            <wp:positionV relativeFrom="paragraph">
              <wp:posOffset>170035</wp:posOffset>
            </wp:positionV>
            <wp:extent cx="3184701" cy="12287"/>
            <wp:effectExtent l="0" t="0" r="0" b="0"/>
            <wp:wrapTopAndBottom/>
            <wp:docPr id="19" name="image37.png" descr=""/>
            <wp:cNvGraphicFramePr>
              <a:graphicFrameLocks noChangeAspect="1"/>
            </wp:cNvGraphicFramePr>
            <a:graphic>
              <a:graphicData uri="http://schemas.openxmlformats.org/drawingml/2006/picture">
                <pic:pic>
                  <pic:nvPicPr>
                    <pic:cNvPr id="20" name="image37.png"/>
                    <pic:cNvPicPr/>
                  </pic:nvPicPr>
                  <pic:blipFill>
                    <a:blip r:embed="rId66" cstate="print"/>
                    <a:stretch>
                      <a:fillRect/>
                    </a:stretch>
                  </pic:blipFill>
                  <pic:spPr>
                    <a:xfrm>
                      <a:off x="0" y="0"/>
                      <a:ext cx="3184701" cy="12287"/>
                    </a:xfrm>
                    <a:prstGeom prst="rect">
                      <a:avLst/>
                    </a:prstGeom>
                  </pic:spPr>
                </pic:pic>
              </a:graphicData>
            </a:graphic>
          </wp:anchor>
        </w:drawing>
      </w:r>
      <w:r>
        <w:rPr>
          <w:sz w:val="16"/>
        </w:rPr>
        <w:t>Linkages</w:t>
      </w:r>
      <w:r>
        <w:rPr>
          <w:spacing w:val="-2"/>
          <w:sz w:val="16"/>
        </w:rPr>
        <w:t> </w:t>
      </w:r>
      <w:r>
        <w:rPr>
          <w:sz w:val="16"/>
        </w:rPr>
        <w:t>-</w:t>
      </w:r>
      <w:r>
        <w:rPr>
          <w:spacing w:val="-2"/>
          <w:sz w:val="16"/>
        </w:rPr>
        <w:t> </w:t>
      </w:r>
      <w:r>
        <w:rPr>
          <w:sz w:val="16"/>
        </w:rPr>
        <w:t>Projects</w:t>
        <w:tab/>
      </w:r>
      <w:r>
        <w:rPr>
          <w:b/>
          <w:sz w:val="16"/>
        </w:rPr>
        <w:t>1,246</w:t>
        <w:tab/>
      </w:r>
      <w:r>
        <w:rPr>
          <w:sz w:val="16"/>
        </w:rPr>
        <w:t>1,203</w:t>
        <w:tab/>
      </w:r>
      <w:r>
        <w:rPr>
          <w:b/>
          <w:sz w:val="16"/>
        </w:rPr>
        <w:t>1,246</w:t>
        <w:tab/>
      </w:r>
      <w:r>
        <w:rPr>
          <w:sz w:val="16"/>
        </w:rPr>
        <w:t>1,203</w:t>
      </w:r>
    </w:p>
    <w:p>
      <w:pPr>
        <w:tabs>
          <w:tab w:pos="5885" w:val="left" w:leader="none"/>
          <w:tab w:pos="7054" w:val="left" w:leader="none"/>
          <w:tab w:pos="8373" w:val="left" w:leader="none"/>
          <w:tab w:pos="9542" w:val="left" w:leader="none"/>
        </w:tabs>
        <w:spacing w:before="84"/>
        <w:ind w:left="1053" w:right="128" w:firstLine="0"/>
        <w:jc w:val="left"/>
        <w:rPr>
          <w:sz w:val="16"/>
        </w:rPr>
      </w:pPr>
      <w:r>
        <w:rPr>
          <w:b/>
          <w:sz w:val="16"/>
        </w:rPr>
        <w:t>Total</w:t>
      </w:r>
      <w:r>
        <w:rPr>
          <w:b/>
          <w:spacing w:val="-2"/>
          <w:sz w:val="16"/>
        </w:rPr>
        <w:t> </w:t>
      </w:r>
      <w:r>
        <w:rPr>
          <w:b/>
          <w:sz w:val="16"/>
        </w:rPr>
        <w:t>Linkages</w:t>
        <w:tab/>
        <w:t>1,367</w:t>
        <w:tab/>
      </w:r>
      <w:r>
        <w:rPr>
          <w:sz w:val="16"/>
        </w:rPr>
        <w:t>1,629</w:t>
        <w:tab/>
      </w:r>
      <w:r>
        <w:rPr>
          <w:b/>
          <w:sz w:val="16"/>
        </w:rPr>
        <w:t>1,367</w:t>
        <w:tab/>
      </w:r>
      <w:r>
        <w:rPr>
          <w:sz w:val="16"/>
        </w:rPr>
        <w:t>1,629</w:t>
      </w:r>
    </w:p>
    <w:p>
      <w:pPr>
        <w:pStyle w:val="BodyText"/>
        <w:spacing w:line="20" w:lineRule="exact"/>
        <w:ind w:left="5047"/>
        <w:rPr>
          <w:sz w:val="2"/>
        </w:rPr>
      </w:pPr>
      <w:r>
        <w:rPr>
          <w:sz w:val="2"/>
        </w:rPr>
        <w:drawing>
          <wp:inline distT="0" distB="0" distL="0" distR="0">
            <wp:extent cx="3184701" cy="12287"/>
            <wp:effectExtent l="0" t="0" r="0" b="0"/>
            <wp:docPr id="21" name="image37.png" descr=""/>
            <wp:cNvGraphicFramePr>
              <a:graphicFrameLocks noChangeAspect="1"/>
            </wp:cNvGraphicFramePr>
            <a:graphic>
              <a:graphicData uri="http://schemas.openxmlformats.org/drawingml/2006/picture">
                <pic:pic>
                  <pic:nvPicPr>
                    <pic:cNvPr id="22" name="image37.png"/>
                    <pic:cNvPicPr/>
                  </pic:nvPicPr>
                  <pic:blipFill>
                    <a:blip r:embed="rId66" cstate="print"/>
                    <a:stretch>
                      <a:fillRect/>
                    </a:stretch>
                  </pic:blipFill>
                  <pic:spPr>
                    <a:xfrm>
                      <a:off x="0" y="0"/>
                      <a:ext cx="3184701" cy="12287"/>
                    </a:xfrm>
                    <a:prstGeom prst="rect">
                      <a:avLst/>
                    </a:prstGeom>
                  </pic:spPr>
                </pic:pic>
              </a:graphicData>
            </a:graphic>
          </wp:inline>
        </w:drawing>
      </w:r>
      <w:r>
        <w:rPr>
          <w:sz w:val="2"/>
        </w:rPr>
      </w:r>
    </w:p>
    <w:p>
      <w:pPr>
        <w:tabs>
          <w:tab w:pos="4567" w:val="left" w:leader="none"/>
          <w:tab w:pos="5885" w:val="left" w:leader="none"/>
          <w:tab w:pos="7054" w:val="left" w:leader="none"/>
          <w:tab w:pos="8373" w:val="left" w:leader="none"/>
          <w:tab w:pos="9542" w:val="left" w:leader="none"/>
        </w:tabs>
        <w:spacing w:before="21"/>
        <w:ind w:left="1053" w:right="128" w:firstLine="0"/>
        <w:jc w:val="left"/>
        <w:rPr>
          <w:sz w:val="16"/>
        </w:rPr>
      </w:pPr>
      <w:r>
        <w:rPr>
          <w:b/>
          <w:sz w:val="16"/>
        </w:rPr>
        <w:t>Total</w:t>
      </w:r>
      <w:r>
        <w:rPr>
          <w:b/>
          <w:spacing w:val="-2"/>
          <w:sz w:val="16"/>
        </w:rPr>
        <w:t> </w:t>
      </w:r>
      <w:r>
        <w:rPr>
          <w:b/>
          <w:sz w:val="16"/>
        </w:rPr>
        <w:t>ARC</w:t>
        <w:tab/>
      </w:r>
      <w:r>
        <w:rPr>
          <w:position w:val="9"/>
          <w:sz w:val="16"/>
        </w:rPr>
        <w:t>35(f)</w:t>
        <w:tab/>
      </w:r>
      <w:r>
        <w:rPr>
          <w:b/>
          <w:sz w:val="16"/>
        </w:rPr>
        <w:t>6,828</w:t>
        <w:tab/>
      </w:r>
      <w:r>
        <w:rPr>
          <w:sz w:val="16"/>
        </w:rPr>
        <w:t>6,129</w:t>
        <w:tab/>
      </w:r>
      <w:r>
        <w:rPr>
          <w:b/>
          <w:sz w:val="16"/>
        </w:rPr>
        <w:t>6,828</w:t>
        <w:tab/>
      </w:r>
      <w:r>
        <w:rPr>
          <w:sz w:val="16"/>
        </w:rPr>
        <w:t>6,129</w:t>
      </w:r>
    </w:p>
    <w:p>
      <w:pPr>
        <w:pStyle w:val="BodyText"/>
        <w:spacing w:line="49" w:lineRule="exact"/>
        <w:ind w:left="5047"/>
        <w:rPr>
          <w:sz w:val="4"/>
        </w:rPr>
      </w:pPr>
      <w:r>
        <w:rPr>
          <w:position w:val="0"/>
          <w:sz w:val="4"/>
        </w:rPr>
        <w:drawing>
          <wp:inline distT="0" distB="0" distL="0" distR="0">
            <wp:extent cx="3169648" cy="31337"/>
            <wp:effectExtent l="0" t="0" r="0" b="0"/>
            <wp:docPr id="23" name="image38.png" descr=""/>
            <wp:cNvGraphicFramePr>
              <a:graphicFrameLocks noChangeAspect="1"/>
            </wp:cNvGraphicFramePr>
            <a:graphic>
              <a:graphicData uri="http://schemas.openxmlformats.org/drawingml/2006/picture">
                <pic:pic>
                  <pic:nvPicPr>
                    <pic:cNvPr id="24" name="image38.png"/>
                    <pic:cNvPicPr/>
                  </pic:nvPicPr>
                  <pic:blipFill>
                    <a:blip r:embed="rId67" cstate="print"/>
                    <a:stretch>
                      <a:fillRect/>
                    </a:stretch>
                  </pic:blipFill>
                  <pic:spPr>
                    <a:xfrm>
                      <a:off x="0" y="0"/>
                      <a:ext cx="3169648" cy="31337"/>
                    </a:xfrm>
                    <a:prstGeom prst="rect">
                      <a:avLst/>
                    </a:prstGeom>
                  </pic:spPr>
                </pic:pic>
              </a:graphicData>
            </a:graphic>
          </wp:inline>
        </w:drawing>
      </w:r>
      <w:r>
        <w:rPr>
          <w:position w:val="0"/>
          <w:sz w:val="4"/>
        </w:rPr>
      </w:r>
    </w:p>
    <w:p>
      <w:pPr>
        <w:pStyle w:val="BodyText"/>
        <w:rPr>
          <w:sz w:val="24"/>
        </w:rPr>
      </w:pPr>
    </w:p>
    <w:p>
      <w:pPr>
        <w:tabs>
          <w:tab w:pos="1467" w:val="left" w:leader="none"/>
        </w:tabs>
        <w:spacing w:before="178"/>
        <w:ind w:left="1070" w:right="124" w:firstLine="0"/>
        <w:jc w:val="left"/>
        <w:rPr>
          <w:sz w:val="14"/>
        </w:rPr>
      </w:pPr>
      <w:r>
        <w:rPr>
          <w:sz w:val="14"/>
        </w:rPr>
        <w:t>#1</w:t>
        <w:tab/>
        <w:t>Includes the basic CGS grant amount, CGS - Regional Loading, CGS - Enabling Loading, Maths and Science Transition Loading</w:t>
      </w:r>
      <w:r>
        <w:rPr>
          <w:spacing w:val="19"/>
          <w:sz w:val="14"/>
        </w:rPr>
        <w:t> </w:t>
      </w:r>
      <w:r>
        <w:rPr>
          <w:sz w:val="14"/>
        </w:rPr>
        <w:t>and</w:t>
      </w:r>
      <w:r>
        <w:rPr>
          <w:spacing w:val="1"/>
          <w:sz w:val="14"/>
        </w:rPr>
        <w:t> </w:t>
      </w:r>
      <w:r>
        <w:rPr>
          <w:sz w:val="14"/>
        </w:rPr>
        <w:t>Full</w:t>
      </w:r>
      <w:r>
        <w:rPr>
          <w:w w:val="100"/>
          <w:sz w:val="14"/>
        </w:rPr>
        <w:t> </w:t>
      </w:r>
      <w:r>
        <w:rPr>
          <w:sz w:val="14"/>
        </w:rPr>
        <w:t>Fee Places Transition</w:t>
      </w:r>
      <w:r>
        <w:rPr>
          <w:spacing w:val="4"/>
          <w:sz w:val="14"/>
        </w:rPr>
        <w:t> </w:t>
      </w:r>
      <w:r>
        <w:rPr>
          <w:sz w:val="14"/>
        </w:rPr>
        <w:t>Loading.</w:t>
      </w:r>
    </w:p>
    <w:p>
      <w:pPr>
        <w:pStyle w:val="BodyText"/>
        <w:spacing w:before="8"/>
        <w:rPr>
          <w:sz w:val="12"/>
        </w:rPr>
      </w:pPr>
    </w:p>
    <w:p>
      <w:pPr>
        <w:tabs>
          <w:tab w:pos="1467" w:val="left" w:leader="none"/>
        </w:tabs>
        <w:spacing w:before="0"/>
        <w:ind w:left="1070" w:right="128" w:firstLine="0"/>
        <w:jc w:val="left"/>
        <w:rPr>
          <w:sz w:val="14"/>
        </w:rPr>
      </w:pPr>
      <w:r>
        <w:rPr>
          <w:sz w:val="14"/>
        </w:rPr>
        <w:t>#2</w:t>
        <w:tab/>
        <w:t>Includes Equity Support</w:t>
      </w:r>
      <w:r>
        <w:rPr>
          <w:spacing w:val="5"/>
          <w:sz w:val="14"/>
        </w:rPr>
        <w:t> </w:t>
      </w:r>
      <w:r>
        <w:rPr>
          <w:sz w:val="14"/>
        </w:rPr>
        <w:t>Program</w:t>
      </w:r>
    </w:p>
    <w:p>
      <w:pPr>
        <w:pStyle w:val="BodyText"/>
        <w:spacing w:before="8"/>
        <w:rPr>
          <w:sz w:val="12"/>
        </w:rPr>
      </w:pPr>
    </w:p>
    <w:p>
      <w:pPr>
        <w:tabs>
          <w:tab w:pos="1467" w:val="left" w:leader="none"/>
        </w:tabs>
        <w:spacing w:before="0"/>
        <w:ind w:left="1070" w:right="128" w:firstLine="0"/>
        <w:jc w:val="left"/>
        <w:rPr>
          <w:sz w:val="14"/>
        </w:rPr>
      </w:pPr>
      <w:r>
        <w:rPr>
          <w:sz w:val="14"/>
        </w:rPr>
        <w:t>#3</w:t>
        <w:tab/>
        <w:t>Includes Collaboration &amp; Structural Adjustment</w:t>
      </w:r>
      <w:r>
        <w:rPr>
          <w:spacing w:val="8"/>
          <w:sz w:val="14"/>
        </w:rPr>
        <w:t> </w:t>
      </w:r>
      <w:r>
        <w:rPr>
          <w:sz w:val="14"/>
        </w:rPr>
        <w:t>Program</w:t>
      </w:r>
    </w:p>
    <w:p>
      <w:pPr>
        <w:pStyle w:val="BodyText"/>
        <w:spacing w:before="8"/>
        <w:rPr>
          <w:sz w:val="12"/>
        </w:rPr>
      </w:pPr>
    </w:p>
    <w:p>
      <w:pPr>
        <w:tabs>
          <w:tab w:pos="1467" w:val="left" w:leader="none"/>
        </w:tabs>
        <w:spacing w:before="0"/>
        <w:ind w:left="1070" w:right="128" w:firstLine="0"/>
        <w:jc w:val="left"/>
        <w:rPr>
          <w:sz w:val="14"/>
        </w:rPr>
      </w:pPr>
      <w:r>
        <w:rPr>
          <w:sz w:val="14"/>
        </w:rPr>
        <w:t>#4</w:t>
        <w:tab/>
        <w:t>Program is in respect of FEE-HELP for Higher Education only and excludes funds received in respect of VET</w:t>
      </w:r>
      <w:r>
        <w:rPr>
          <w:spacing w:val="18"/>
          <w:sz w:val="14"/>
        </w:rPr>
        <w:t> </w:t>
      </w:r>
      <w:r>
        <w:rPr>
          <w:sz w:val="14"/>
        </w:rPr>
        <w:t>FEE-HELP.</w:t>
      </w:r>
    </w:p>
    <w:p>
      <w:pPr>
        <w:pStyle w:val="BodyText"/>
        <w:spacing w:before="8"/>
        <w:rPr>
          <w:sz w:val="12"/>
        </w:rPr>
      </w:pPr>
    </w:p>
    <w:p>
      <w:pPr>
        <w:tabs>
          <w:tab w:pos="1467" w:val="left" w:leader="none"/>
        </w:tabs>
        <w:spacing w:before="0"/>
        <w:ind w:left="1070" w:right="128" w:firstLine="0"/>
        <w:jc w:val="left"/>
        <w:rPr>
          <w:sz w:val="14"/>
        </w:rPr>
      </w:pPr>
      <w:r>
        <w:rPr>
          <w:sz w:val="14"/>
        </w:rPr>
        <w:t>#5</w:t>
        <w:tab/>
        <w:t>Includes Grandfathered Scholarships, National Priority and National Accommodation Priority Scholarships</w:t>
      </w:r>
      <w:r>
        <w:rPr>
          <w:spacing w:val="18"/>
          <w:sz w:val="14"/>
        </w:rPr>
        <w:t> </w:t>
      </w:r>
      <w:r>
        <w:rPr>
          <w:sz w:val="14"/>
        </w:rPr>
        <w:t>respectively.</w:t>
      </w:r>
    </w:p>
    <w:p>
      <w:pPr>
        <w:pStyle w:val="BodyText"/>
        <w:spacing w:before="8"/>
        <w:rPr>
          <w:sz w:val="12"/>
        </w:rPr>
      </w:pPr>
    </w:p>
    <w:p>
      <w:pPr>
        <w:tabs>
          <w:tab w:pos="1467" w:val="left" w:leader="none"/>
        </w:tabs>
        <w:spacing w:before="0"/>
        <w:ind w:left="1070" w:right="128" w:firstLine="0"/>
        <w:jc w:val="left"/>
        <w:rPr>
          <w:sz w:val="14"/>
        </w:rPr>
      </w:pPr>
      <w:r>
        <w:rPr>
          <w:sz w:val="14"/>
        </w:rPr>
        <w:t>#6</w:t>
        <w:tab/>
        <w:t>Includes Institutional Grants</w:t>
      </w:r>
      <w:r>
        <w:rPr>
          <w:spacing w:val="6"/>
          <w:sz w:val="14"/>
        </w:rPr>
        <w:t> </w:t>
      </w:r>
      <w:r>
        <w:rPr>
          <w:sz w:val="14"/>
        </w:rPr>
        <w:t>Scheme.</w:t>
      </w:r>
    </w:p>
    <w:p>
      <w:pPr>
        <w:spacing w:after="0"/>
        <w:jc w:val="left"/>
        <w:rPr>
          <w:sz w:val="14"/>
        </w:rPr>
        <w:sectPr>
          <w:type w:val="continuous"/>
          <w:pgSz w:w="11910" w:h="16840"/>
          <w:pgMar w:top="0" w:bottom="280" w:left="900" w:right="880"/>
        </w:sectPr>
      </w:pPr>
    </w:p>
    <w:p>
      <w:pPr>
        <w:pStyle w:val="BodyText"/>
        <w:rPr>
          <w:sz w:val="20"/>
        </w:rPr>
      </w:pPr>
    </w:p>
    <w:p>
      <w:pPr>
        <w:pStyle w:val="BodyText"/>
        <w:rPr>
          <w:sz w:val="20"/>
        </w:rPr>
      </w:pPr>
    </w:p>
    <w:p>
      <w:pPr>
        <w:pStyle w:val="BodyText"/>
        <w:spacing w:before="4"/>
      </w:pPr>
    </w:p>
    <w:p>
      <w:pPr>
        <w:pStyle w:val="Heading9"/>
        <w:tabs>
          <w:tab w:pos="505" w:val="left" w:leader="none"/>
        </w:tabs>
        <w:ind w:left="505" w:right="685" w:hanging="396"/>
      </w:pPr>
      <w:r>
        <w:rPr/>
        <w:t>2</w:t>
        <w:tab/>
        <w:t>Australian government financial assistance including HECS-HELP and other Australian</w:t>
      </w:r>
      <w:r>
        <w:rPr>
          <w:spacing w:val="-4"/>
        </w:rPr>
        <w:t> </w:t>
      </w:r>
      <w:r>
        <w:rPr/>
        <w:t>government</w:t>
      </w:r>
      <w:r>
        <w:rPr>
          <w:spacing w:val="-1"/>
        </w:rPr>
        <w:t> </w:t>
      </w:r>
      <w:r>
        <w:rPr/>
        <w:t>loan</w:t>
      </w:r>
      <w:r>
        <w:rPr>
          <w:w w:val="100"/>
        </w:rPr>
        <w:t> </w:t>
      </w:r>
      <w:r>
        <w:rPr/>
        <w:t>programs</w:t>
      </w:r>
      <w:r>
        <w:rPr>
          <w:spacing w:val="-3"/>
        </w:rPr>
        <w:t> </w:t>
      </w:r>
      <w:r>
        <w:rPr/>
        <w:t>(continued)</w:t>
      </w:r>
    </w:p>
    <w:p>
      <w:pPr>
        <w:pStyle w:val="ListParagraph"/>
        <w:numPr>
          <w:ilvl w:val="1"/>
          <w:numId w:val="11"/>
        </w:numPr>
        <w:tabs>
          <w:tab w:pos="1072" w:val="left" w:leader="none"/>
        </w:tabs>
        <w:spacing w:line="206" w:lineRule="exact" w:before="0" w:after="0"/>
        <w:ind w:left="1071" w:right="0" w:hanging="566"/>
        <w:jc w:val="left"/>
        <w:rPr>
          <w:sz w:val="18"/>
        </w:rPr>
      </w:pPr>
      <w:r>
        <w:rPr>
          <w:sz w:val="18"/>
        </w:rPr>
        <w:t>Other Australian Government Financial</w:t>
      </w:r>
      <w:r>
        <w:rPr>
          <w:spacing w:val="-1"/>
          <w:sz w:val="18"/>
        </w:rPr>
        <w:t> </w:t>
      </w:r>
      <w:r>
        <w:rPr>
          <w:sz w:val="18"/>
        </w:rPr>
        <w:t>Assistance</w:t>
      </w:r>
    </w:p>
    <w:p>
      <w:pPr>
        <w:tabs>
          <w:tab w:pos="7535" w:val="left" w:leader="none"/>
        </w:tabs>
        <w:spacing w:before="32" w:after="36"/>
        <w:ind w:left="5073" w:right="125" w:firstLine="0"/>
        <w:jc w:val="left"/>
        <w:rPr>
          <w:b/>
          <w:sz w:val="16"/>
        </w:rPr>
      </w:pPr>
      <w:r>
        <w:rPr>
          <w:b/>
          <w:sz w:val="16"/>
        </w:rPr>
        <w:t>Consolidated</w:t>
        <w:tab/>
        <w:t>Parent</w:t>
      </w:r>
    </w:p>
    <w:tbl>
      <w:tblPr>
        <w:tblW w:w="0" w:type="auto"/>
        <w:jc w:val="left"/>
        <w:tblInd w:w="10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48"/>
        <w:gridCol w:w="661"/>
        <w:gridCol w:w="618"/>
        <w:gridCol w:w="580"/>
        <w:gridCol w:w="677"/>
        <w:gridCol w:w="612"/>
        <w:gridCol w:w="618"/>
        <w:gridCol w:w="580"/>
        <w:gridCol w:w="628"/>
      </w:tblGrid>
      <w:tr>
        <w:trPr>
          <w:trHeight w:val="562" w:hRule="exact"/>
        </w:trPr>
        <w:tc>
          <w:tcPr>
            <w:tcW w:w="4048" w:type="dxa"/>
          </w:tcPr>
          <w:p>
            <w:pPr/>
          </w:p>
        </w:tc>
        <w:tc>
          <w:tcPr>
            <w:tcW w:w="661" w:type="dxa"/>
          </w:tcPr>
          <w:p>
            <w:pPr>
              <w:pStyle w:val="TableParagraph"/>
              <w:spacing w:before="30"/>
              <w:ind w:left="180"/>
              <w:rPr>
                <w:b/>
                <w:sz w:val="16"/>
              </w:rPr>
            </w:pPr>
            <w:r>
              <w:rPr>
                <w:b/>
                <w:sz w:val="16"/>
              </w:rPr>
              <w:t>2012</w:t>
            </w:r>
          </w:p>
          <w:p>
            <w:pPr>
              <w:pStyle w:val="TableParagraph"/>
              <w:spacing w:before="66"/>
              <w:ind w:left="180"/>
              <w:rPr>
                <w:b/>
                <w:sz w:val="16"/>
              </w:rPr>
            </w:pPr>
            <w:r>
              <w:rPr>
                <w:b/>
                <w:sz w:val="16"/>
              </w:rPr>
              <w:t>$'000</w:t>
            </w:r>
          </w:p>
        </w:tc>
        <w:tc>
          <w:tcPr>
            <w:tcW w:w="618" w:type="dxa"/>
          </w:tcPr>
          <w:p>
            <w:pPr/>
          </w:p>
        </w:tc>
        <w:tc>
          <w:tcPr>
            <w:tcW w:w="580" w:type="dxa"/>
          </w:tcPr>
          <w:p>
            <w:pPr>
              <w:pStyle w:val="TableParagraph"/>
              <w:spacing w:before="30"/>
              <w:ind w:left="40"/>
              <w:rPr>
                <w:b/>
                <w:sz w:val="16"/>
              </w:rPr>
            </w:pPr>
            <w:r>
              <w:rPr>
                <w:b/>
                <w:sz w:val="16"/>
              </w:rPr>
              <w:t>2011</w:t>
            </w:r>
          </w:p>
          <w:p>
            <w:pPr>
              <w:pStyle w:val="TableParagraph"/>
              <w:spacing w:before="66"/>
              <w:ind w:left="40"/>
              <w:rPr>
                <w:b/>
                <w:sz w:val="16"/>
              </w:rPr>
            </w:pPr>
            <w:r>
              <w:rPr>
                <w:b/>
                <w:sz w:val="16"/>
              </w:rPr>
              <w:t>$'000</w:t>
            </w:r>
          </w:p>
        </w:tc>
        <w:tc>
          <w:tcPr>
            <w:tcW w:w="677" w:type="dxa"/>
          </w:tcPr>
          <w:p>
            <w:pPr/>
          </w:p>
        </w:tc>
        <w:tc>
          <w:tcPr>
            <w:tcW w:w="612" w:type="dxa"/>
          </w:tcPr>
          <w:p>
            <w:pPr>
              <w:pStyle w:val="TableParagraph"/>
              <w:spacing w:before="30"/>
              <w:ind w:left="130"/>
              <w:rPr>
                <w:b/>
                <w:sz w:val="16"/>
              </w:rPr>
            </w:pPr>
            <w:r>
              <w:rPr>
                <w:b/>
                <w:sz w:val="16"/>
              </w:rPr>
              <w:t>2012</w:t>
            </w:r>
          </w:p>
          <w:p>
            <w:pPr>
              <w:pStyle w:val="TableParagraph"/>
              <w:spacing w:before="66"/>
              <w:ind w:left="130"/>
              <w:rPr>
                <w:b/>
                <w:sz w:val="16"/>
              </w:rPr>
            </w:pPr>
            <w:r>
              <w:rPr>
                <w:b/>
                <w:sz w:val="16"/>
              </w:rPr>
              <w:t>$'000</w:t>
            </w:r>
          </w:p>
        </w:tc>
        <w:tc>
          <w:tcPr>
            <w:tcW w:w="618" w:type="dxa"/>
          </w:tcPr>
          <w:p>
            <w:pPr/>
          </w:p>
        </w:tc>
        <w:tc>
          <w:tcPr>
            <w:tcW w:w="580" w:type="dxa"/>
          </w:tcPr>
          <w:p>
            <w:pPr>
              <w:pStyle w:val="TableParagraph"/>
              <w:spacing w:before="30"/>
              <w:ind w:left="40"/>
              <w:rPr>
                <w:b/>
                <w:sz w:val="16"/>
              </w:rPr>
            </w:pPr>
            <w:r>
              <w:rPr>
                <w:b/>
                <w:sz w:val="16"/>
              </w:rPr>
              <w:t>2011</w:t>
            </w:r>
          </w:p>
          <w:p>
            <w:pPr>
              <w:pStyle w:val="TableParagraph"/>
              <w:spacing w:before="66"/>
              <w:ind w:left="40"/>
              <w:rPr>
                <w:b/>
                <w:sz w:val="16"/>
              </w:rPr>
            </w:pPr>
            <w:r>
              <w:rPr>
                <w:b/>
                <w:sz w:val="16"/>
              </w:rPr>
              <w:t>$'000</w:t>
            </w:r>
          </w:p>
        </w:tc>
        <w:tc>
          <w:tcPr>
            <w:tcW w:w="628" w:type="dxa"/>
            <w:vMerge w:val="restart"/>
          </w:tcPr>
          <w:p>
            <w:pPr/>
          </w:p>
        </w:tc>
      </w:tr>
      <w:tr>
        <w:trPr>
          <w:trHeight w:val="286" w:hRule="exact"/>
        </w:trPr>
        <w:tc>
          <w:tcPr>
            <w:tcW w:w="4048" w:type="dxa"/>
          </w:tcPr>
          <w:p>
            <w:pPr>
              <w:pStyle w:val="TableParagraph"/>
              <w:spacing w:before="79"/>
              <w:ind w:left="35" w:right="982"/>
              <w:rPr>
                <w:b/>
                <w:sz w:val="16"/>
              </w:rPr>
            </w:pPr>
            <w:r>
              <w:rPr>
                <w:b/>
                <w:sz w:val="16"/>
              </w:rPr>
              <w:t>Non-capital</w:t>
            </w:r>
          </w:p>
        </w:tc>
        <w:tc>
          <w:tcPr>
            <w:tcW w:w="661" w:type="dxa"/>
          </w:tcPr>
          <w:p>
            <w:pPr/>
          </w:p>
        </w:tc>
        <w:tc>
          <w:tcPr>
            <w:tcW w:w="618" w:type="dxa"/>
          </w:tcPr>
          <w:p>
            <w:pPr/>
          </w:p>
        </w:tc>
        <w:tc>
          <w:tcPr>
            <w:tcW w:w="580" w:type="dxa"/>
          </w:tcPr>
          <w:p>
            <w:pPr/>
          </w:p>
        </w:tc>
        <w:tc>
          <w:tcPr>
            <w:tcW w:w="677" w:type="dxa"/>
          </w:tcPr>
          <w:p>
            <w:pPr/>
          </w:p>
        </w:tc>
        <w:tc>
          <w:tcPr>
            <w:tcW w:w="612" w:type="dxa"/>
          </w:tcPr>
          <w:p>
            <w:pPr/>
          </w:p>
        </w:tc>
        <w:tc>
          <w:tcPr>
            <w:tcW w:w="618" w:type="dxa"/>
          </w:tcPr>
          <w:p>
            <w:pPr/>
          </w:p>
        </w:tc>
        <w:tc>
          <w:tcPr>
            <w:tcW w:w="580" w:type="dxa"/>
          </w:tcPr>
          <w:p>
            <w:pPr/>
          </w:p>
        </w:tc>
        <w:tc>
          <w:tcPr>
            <w:tcW w:w="628" w:type="dxa"/>
            <w:vMerge/>
          </w:tcPr>
          <w:p>
            <w:pPr/>
          </w:p>
        </w:tc>
      </w:tr>
      <w:tr>
        <w:trPr>
          <w:trHeight w:val="227" w:hRule="exact"/>
        </w:trPr>
        <w:tc>
          <w:tcPr>
            <w:tcW w:w="4048" w:type="dxa"/>
          </w:tcPr>
          <w:p>
            <w:pPr>
              <w:pStyle w:val="TableParagraph"/>
              <w:spacing w:before="7"/>
              <w:ind w:left="35" w:right="982"/>
              <w:rPr>
                <w:sz w:val="16"/>
              </w:rPr>
            </w:pPr>
            <w:r>
              <w:rPr>
                <w:sz w:val="16"/>
              </w:rPr>
              <w:t>Indigenous Tutorial Assistance Scheme</w:t>
            </w:r>
          </w:p>
        </w:tc>
        <w:tc>
          <w:tcPr>
            <w:tcW w:w="661" w:type="dxa"/>
          </w:tcPr>
          <w:p>
            <w:pPr/>
          </w:p>
        </w:tc>
        <w:tc>
          <w:tcPr>
            <w:tcW w:w="618" w:type="dxa"/>
          </w:tcPr>
          <w:p>
            <w:pPr>
              <w:pStyle w:val="TableParagraph"/>
              <w:spacing w:before="5"/>
              <w:ind w:right="38"/>
              <w:jc w:val="right"/>
              <w:rPr>
                <w:b/>
                <w:sz w:val="16"/>
              </w:rPr>
            </w:pPr>
            <w:r>
              <w:rPr>
                <w:b/>
                <w:sz w:val="16"/>
              </w:rPr>
              <w:t>390</w:t>
            </w:r>
          </w:p>
        </w:tc>
        <w:tc>
          <w:tcPr>
            <w:tcW w:w="580" w:type="dxa"/>
          </w:tcPr>
          <w:p>
            <w:pPr/>
          </w:p>
        </w:tc>
        <w:tc>
          <w:tcPr>
            <w:tcW w:w="677" w:type="dxa"/>
          </w:tcPr>
          <w:p>
            <w:pPr>
              <w:pStyle w:val="TableParagraph"/>
              <w:spacing w:before="5"/>
              <w:ind w:right="129"/>
              <w:jc w:val="right"/>
              <w:rPr>
                <w:sz w:val="16"/>
              </w:rPr>
            </w:pPr>
            <w:r>
              <w:rPr>
                <w:sz w:val="16"/>
              </w:rPr>
              <w:t>283</w:t>
            </w:r>
          </w:p>
        </w:tc>
        <w:tc>
          <w:tcPr>
            <w:tcW w:w="612" w:type="dxa"/>
          </w:tcPr>
          <w:p>
            <w:pPr/>
          </w:p>
        </w:tc>
        <w:tc>
          <w:tcPr>
            <w:tcW w:w="618" w:type="dxa"/>
          </w:tcPr>
          <w:p>
            <w:pPr>
              <w:pStyle w:val="TableParagraph"/>
              <w:spacing w:before="5"/>
              <w:ind w:right="38"/>
              <w:jc w:val="right"/>
              <w:rPr>
                <w:b/>
                <w:sz w:val="16"/>
              </w:rPr>
            </w:pPr>
            <w:r>
              <w:rPr>
                <w:b/>
                <w:sz w:val="16"/>
              </w:rPr>
              <w:t>390</w:t>
            </w:r>
          </w:p>
        </w:tc>
        <w:tc>
          <w:tcPr>
            <w:tcW w:w="580" w:type="dxa"/>
          </w:tcPr>
          <w:p>
            <w:pPr/>
          </w:p>
        </w:tc>
        <w:tc>
          <w:tcPr>
            <w:tcW w:w="628" w:type="dxa"/>
          </w:tcPr>
          <w:p>
            <w:pPr>
              <w:pStyle w:val="TableParagraph"/>
              <w:spacing w:before="5"/>
              <w:ind w:right="79"/>
              <w:jc w:val="right"/>
              <w:rPr>
                <w:sz w:val="16"/>
              </w:rPr>
            </w:pPr>
            <w:r>
              <w:rPr>
                <w:sz w:val="16"/>
              </w:rPr>
              <w:t>283</w:t>
            </w:r>
          </w:p>
        </w:tc>
      </w:tr>
      <w:tr>
        <w:trPr>
          <w:trHeight w:val="241" w:hRule="exact"/>
        </w:trPr>
        <w:tc>
          <w:tcPr>
            <w:tcW w:w="4048" w:type="dxa"/>
          </w:tcPr>
          <w:p>
            <w:pPr>
              <w:pStyle w:val="TableParagraph"/>
              <w:spacing w:before="20"/>
              <w:ind w:left="35" w:right="982"/>
              <w:rPr>
                <w:sz w:val="16"/>
              </w:rPr>
            </w:pPr>
            <w:r>
              <w:rPr>
                <w:sz w:val="16"/>
              </w:rPr>
              <w:t>Away-from-base assistance</w:t>
            </w:r>
          </w:p>
        </w:tc>
        <w:tc>
          <w:tcPr>
            <w:tcW w:w="661" w:type="dxa"/>
          </w:tcPr>
          <w:p>
            <w:pPr/>
          </w:p>
        </w:tc>
        <w:tc>
          <w:tcPr>
            <w:tcW w:w="618" w:type="dxa"/>
          </w:tcPr>
          <w:p>
            <w:pPr>
              <w:pStyle w:val="TableParagraph"/>
              <w:spacing w:before="19"/>
              <w:ind w:right="40"/>
              <w:jc w:val="right"/>
              <w:rPr>
                <w:b/>
                <w:sz w:val="16"/>
              </w:rPr>
            </w:pPr>
            <w:r>
              <w:rPr>
                <w:b/>
                <w:sz w:val="16"/>
              </w:rPr>
              <w:t>518</w:t>
            </w:r>
          </w:p>
        </w:tc>
        <w:tc>
          <w:tcPr>
            <w:tcW w:w="580" w:type="dxa"/>
          </w:tcPr>
          <w:p>
            <w:pPr/>
          </w:p>
        </w:tc>
        <w:tc>
          <w:tcPr>
            <w:tcW w:w="677" w:type="dxa"/>
          </w:tcPr>
          <w:p>
            <w:pPr>
              <w:pStyle w:val="TableParagraph"/>
              <w:spacing w:before="19"/>
              <w:ind w:right="129"/>
              <w:jc w:val="right"/>
              <w:rPr>
                <w:sz w:val="16"/>
              </w:rPr>
            </w:pPr>
            <w:r>
              <w:rPr>
                <w:sz w:val="16"/>
              </w:rPr>
              <w:t>451</w:t>
            </w:r>
          </w:p>
        </w:tc>
        <w:tc>
          <w:tcPr>
            <w:tcW w:w="612" w:type="dxa"/>
          </w:tcPr>
          <w:p>
            <w:pPr/>
          </w:p>
        </w:tc>
        <w:tc>
          <w:tcPr>
            <w:tcW w:w="618" w:type="dxa"/>
          </w:tcPr>
          <w:p>
            <w:pPr>
              <w:pStyle w:val="TableParagraph"/>
              <w:spacing w:before="19"/>
              <w:ind w:right="38"/>
              <w:jc w:val="right"/>
              <w:rPr>
                <w:b/>
                <w:sz w:val="16"/>
              </w:rPr>
            </w:pPr>
            <w:r>
              <w:rPr>
                <w:b/>
                <w:sz w:val="16"/>
              </w:rPr>
              <w:t>518</w:t>
            </w:r>
          </w:p>
        </w:tc>
        <w:tc>
          <w:tcPr>
            <w:tcW w:w="580" w:type="dxa"/>
          </w:tcPr>
          <w:p>
            <w:pPr/>
          </w:p>
        </w:tc>
        <w:tc>
          <w:tcPr>
            <w:tcW w:w="628" w:type="dxa"/>
          </w:tcPr>
          <w:p>
            <w:pPr>
              <w:pStyle w:val="TableParagraph"/>
              <w:spacing w:before="19"/>
              <w:ind w:right="79"/>
              <w:jc w:val="right"/>
              <w:rPr>
                <w:sz w:val="16"/>
              </w:rPr>
            </w:pPr>
            <w:r>
              <w:rPr>
                <w:sz w:val="16"/>
              </w:rPr>
              <w:t>451</w:t>
            </w:r>
          </w:p>
        </w:tc>
      </w:tr>
      <w:tr>
        <w:trPr>
          <w:trHeight w:val="241" w:hRule="exact"/>
        </w:trPr>
        <w:tc>
          <w:tcPr>
            <w:tcW w:w="4048" w:type="dxa"/>
          </w:tcPr>
          <w:p>
            <w:pPr>
              <w:pStyle w:val="TableParagraph"/>
              <w:spacing w:before="20"/>
              <w:ind w:left="35" w:right="982"/>
              <w:rPr>
                <w:sz w:val="16"/>
              </w:rPr>
            </w:pPr>
            <w:r>
              <w:rPr>
                <w:sz w:val="16"/>
              </w:rPr>
              <w:t>Study overseas short term mobility project</w:t>
            </w:r>
          </w:p>
        </w:tc>
        <w:tc>
          <w:tcPr>
            <w:tcW w:w="661" w:type="dxa"/>
          </w:tcPr>
          <w:p>
            <w:pPr/>
          </w:p>
        </w:tc>
        <w:tc>
          <w:tcPr>
            <w:tcW w:w="618" w:type="dxa"/>
          </w:tcPr>
          <w:p>
            <w:pPr>
              <w:pStyle w:val="TableParagraph"/>
              <w:spacing w:before="19"/>
              <w:ind w:right="38"/>
              <w:jc w:val="right"/>
              <w:rPr>
                <w:b/>
                <w:sz w:val="16"/>
              </w:rPr>
            </w:pPr>
            <w:r>
              <w:rPr>
                <w:b/>
                <w:sz w:val="16"/>
              </w:rPr>
              <w:t>364</w:t>
            </w:r>
          </w:p>
        </w:tc>
        <w:tc>
          <w:tcPr>
            <w:tcW w:w="580" w:type="dxa"/>
          </w:tcPr>
          <w:p>
            <w:pPr/>
          </w:p>
        </w:tc>
        <w:tc>
          <w:tcPr>
            <w:tcW w:w="677" w:type="dxa"/>
          </w:tcPr>
          <w:p>
            <w:pPr>
              <w:pStyle w:val="TableParagraph"/>
              <w:spacing w:before="19"/>
              <w:ind w:right="129"/>
              <w:jc w:val="right"/>
              <w:rPr>
                <w:sz w:val="16"/>
              </w:rPr>
            </w:pPr>
            <w:r>
              <w:rPr>
                <w:sz w:val="16"/>
              </w:rPr>
              <w:t>70</w:t>
            </w:r>
          </w:p>
        </w:tc>
        <w:tc>
          <w:tcPr>
            <w:tcW w:w="612" w:type="dxa"/>
          </w:tcPr>
          <w:p>
            <w:pPr/>
          </w:p>
        </w:tc>
        <w:tc>
          <w:tcPr>
            <w:tcW w:w="618" w:type="dxa"/>
          </w:tcPr>
          <w:p>
            <w:pPr>
              <w:pStyle w:val="TableParagraph"/>
              <w:spacing w:before="19"/>
              <w:ind w:right="38"/>
              <w:jc w:val="right"/>
              <w:rPr>
                <w:b/>
                <w:sz w:val="16"/>
              </w:rPr>
            </w:pPr>
            <w:r>
              <w:rPr>
                <w:b/>
                <w:sz w:val="16"/>
              </w:rPr>
              <w:t>364</w:t>
            </w:r>
          </w:p>
        </w:tc>
        <w:tc>
          <w:tcPr>
            <w:tcW w:w="580" w:type="dxa"/>
          </w:tcPr>
          <w:p>
            <w:pPr/>
          </w:p>
        </w:tc>
        <w:tc>
          <w:tcPr>
            <w:tcW w:w="628" w:type="dxa"/>
          </w:tcPr>
          <w:p>
            <w:pPr>
              <w:pStyle w:val="TableParagraph"/>
              <w:spacing w:before="19"/>
              <w:ind w:right="79"/>
              <w:jc w:val="right"/>
              <w:rPr>
                <w:sz w:val="16"/>
              </w:rPr>
            </w:pPr>
            <w:r>
              <w:rPr>
                <w:sz w:val="16"/>
              </w:rPr>
              <w:t>70</w:t>
            </w:r>
          </w:p>
        </w:tc>
      </w:tr>
      <w:tr>
        <w:trPr>
          <w:trHeight w:val="423" w:hRule="exact"/>
        </w:trPr>
        <w:tc>
          <w:tcPr>
            <w:tcW w:w="4048" w:type="dxa"/>
          </w:tcPr>
          <w:p>
            <w:pPr>
              <w:pStyle w:val="TableParagraph"/>
              <w:spacing w:before="19"/>
              <w:ind w:left="35" w:right="982"/>
              <w:rPr>
                <w:sz w:val="16"/>
              </w:rPr>
            </w:pPr>
            <w:r>
              <w:rPr>
                <w:sz w:val="16"/>
              </w:rPr>
              <w:t>Structured Training and Employment Program</w:t>
            </w:r>
          </w:p>
        </w:tc>
        <w:tc>
          <w:tcPr>
            <w:tcW w:w="661" w:type="dxa"/>
          </w:tcPr>
          <w:p>
            <w:pPr/>
          </w:p>
        </w:tc>
        <w:tc>
          <w:tcPr>
            <w:tcW w:w="618" w:type="dxa"/>
          </w:tcPr>
          <w:p>
            <w:pPr>
              <w:pStyle w:val="TableParagraph"/>
              <w:spacing w:before="5"/>
              <w:rPr>
                <w:b/>
                <w:sz w:val="17"/>
              </w:rPr>
            </w:pPr>
          </w:p>
          <w:p>
            <w:pPr>
              <w:pStyle w:val="TableParagraph"/>
              <w:ind w:right="40"/>
              <w:jc w:val="right"/>
              <w:rPr>
                <w:b/>
                <w:sz w:val="16"/>
              </w:rPr>
            </w:pPr>
            <w:r>
              <w:rPr>
                <w:b/>
                <w:w w:val="95"/>
                <w:sz w:val="16"/>
              </w:rPr>
              <w:t>159</w:t>
            </w:r>
          </w:p>
        </w:tc>
        <w:tc>
          <w:tcPr>
            <w:tcW w:w="580" w:type="dxa"/>
          </w:tcPr>
          <w:p>
            <w:pPr/>
          </w:p>
        </w:tc>
        <w:tc>
          <w:tcPr>
            <w:tcW w:w="677" w:type="dxa"/>
          </w:tcPr>
          <w:p>
            <w:pPr>
              <w:pStyle w:val="TableParagraph"/>
              <w:spacing w:before="5"/>
              <w:rPr>
                <w:b/>
                <w:sz w:val="17"/>
              </w:rPr>
            </w:pPr>
          </w:p>
          <w:p>
            <w:pPr>
              <w:pStyle w:val="TableParagraph"/>
              <w:ind w:right="129"/>
              <w:jc w:val="right"/>
              <w:rPr>
                <w:sz w:val="16"/>
              </w:rPr>
            </w:pPr>
            <w:r>
              <w:rPr>
                <w:w w:val="95"/>
                <w:sz w:val="16"/>
              </w:rPr>
              <w:t>119</w:t>
            </w:r>
          </w:p>
        </w:tc>
        <w:tc>
          <w:tcPr>
            <w:tcW w:w="612" w:type="dxa"/>
          </w:tcPr>
          <w:p>
            <w:pPr/>
          </w:p>
        </w:tc>
        <w:tc>
          <w:tcPr>
            <w:tcW w:w="618" w:type="dxa"/>
          </w:tcPr>
          <w:p>
            <w:pPr>
              <w:pStyle w:val="TableParagraph"/>
              <w:spacing w:before="5"/>
              <w:rPr>
                <w:b/>
                <w:sz w:val="17"/>
              </w:rPr>
            </w:pPr>
          </w:p>
          <w:p>
            <w:pPr>
              <w:pStyle w:val="TableParagraph"/>
              <w:ind w:right="38"/>
              <w:jc w:val="right"/>
              <w:rPr>
                <w:b/>
                <w:sz w:val="16"/>
              </w:rPr>
            </w:pPr>
            <w:r>
              <w:rPr>
                <w:b/>
                <w:w w:val="95"/>
                <w:sz w:val="16"/>
              </w:rPr>
              <w:t>159</w:t>
            </w:r>
          </w:p>
        </w:tc>
        <w:tc>
          <w:tcPr>
            <w:tcW w:w="580" w:type="dxa"/>
          </w:tcPr>
          <w:p>
            <w:pPr/>
          </w:p>
        </w:tc>
        <w:tc>
          <w:tcPr>
            <w:tcW w:w="628" w:type="dxa"/>
          </w:tcPr>
          <w:p>
            <w:pPr>
              <w:pStyle w:val="TableParagraph"/>
              <w:spacing w:before="5"/>
              <w:rPr>
                <w:b/>
                <w:sz w:val="17"/>
              </w:rPr>
            </w:pPr>
          </w:p>
          <w:p>
            <w:pPr>
              <w:pStyle w:val="TableParagraph"/>
              <w:ind w:right="79"/>
              <w:jc w:val="right"/>
              <w:rPr>
                <w:sz w:val="16"/>
              </w:rPr>
            </w:pPr>
            <w:r>
              <w:rPr>
                <w:w w:val="95"/>
                <w:sz w:val="16"/>
              </w:rPr>
              <w:t>119</w:t>
            </w:r>
          </w:p>
        </w:tc>
      </w:tr>
      <w:tr>
        <w:trPr>
          <w:trHeight w:val="241" w:hRule="exact"/>
        </w:trPr>
        <w:tc>
          <w:tcPr>
            <w:tcW w:w="4048" w:type="dxa"/>
          </w:tcPr>
          <w:p>
            <w:pPr>
              <w:pStyle w:val="TableParagraph"/>
              <w:spacing w:before="20"/>
              <w:ind w:left="35" w:right="982"/>
              <w:rPr>
                <w:sz w:val="16"/>
              </w:rPr>
            </w:pPr>
            <w:r>
              <w:rPr>
                <w:sz w:val="16"/>
              </w:rPr>
              <w:t>Department of Health &amp; Ageing</w:t>
            </w:r>
          </w:p>
        </w:tc>
        <w:tc>
          <w:tcPr>
            <w:tcW w:w="661" w:type="dxa"/>
          </w:tcPr>
          <w:p>
            <w:pPr/>
          </w:p>
        </w:tc>
        <w:tc>
          <w:tcPr>
            <w:tcW w:w="618" w:type="dxa"/>
          </w:tcPr>
          <w:p>
            <w:pPr>
              <w:pStyle w:val="TableParagraph"/>
              <w:spacing w:before="19"/>
              <w:ind w:right="40"/>
              <w:jc w:val="right"/>
              <w:rPr>
                <w:b/>
                <w:sz w:val="16"/>
              </w:rPr>
            </w:pPr>
            <w:r>
              <w:rPr>
                <w:b/>
                <w:w w:val="95"/>
                <w:sz w:val="16"/>
              </w:rPr>
              <w:t>3,647</w:t>
            </w:r>
          </w:p>
        </w:tc>
        <w:tc>
          <w:tcPr>
            <w:tcW w:w="580" w:type="dxa"/>
          </w:tcPr>
          <w:p>
            <w:pPr/>
          </w:p>
        </w:tc>
        <w:tc>
          <w:tcPr>
            <w:tcW w:w="677" w:type="dxa"/>
          </w:tcPr>
          <w:p>
            <w:pPr>
              <w:pStyle w:val="TableParagraph"/>
              <w:spacing w:before="19"/>
              <w:ind w:right="129"/>
              <w:jc w:val="right"/>
              <w:rPr>
                <w:sz w:val="16"/>
              </w:rPr>
            </w:pPr>
            <w:r>
              <w:rPr>
                <w:w w:val="95"/>
                <w:sz w:val="16"/>
              </w:rPr>
              <w:t>5,645</w:t>
            </w:r>
          </w:p>
        </w:tc>
        <w:tc>
          <w:tcPr>
            <w:tcW w:w="612" w:type="dxa"/>
          </w:tcPr>
          <w:p>
            <w:pPr/>
          </w:p>
        </w:tc>
        <w:tc>
          <w:tcPr>
            <w:tcW w:w="618" w:type="dxa"/>
          </w:tcPr>
          <w:p>
            <w:pPr>
              <w:pStyle w:val="TableParagraph"/>
              <w:spacing w:before="19"/>
              <w:ind w:right="38"/>
              <w:jc w:val="right"/>
              <w:rPr>
                <w:b/>
                <w:sz w:val="16"/>
              </w:rPr>
            </w:pPr>
            <w:r>
              <w:rPr>
                <w:b/>
                <w:w w:val="95"/>
                <w:sz w:val="16"/>
              </w:rPr>
              <w:t>3,647</w:t>
            </w:r>
          </w:p>
        </w:tc>
        <w:tc>
          <w:tcPr>
            <w:tcW w:w="580" w:type="dxa"/>
          </w:tcPr>
          <w:p>
            <w:pPr/>
          </w:p>
        </w:tc>
        <w:tc>
          <w:tcPr>
            <w:tcW w:w="628" w:type="dxa"/>
          </w:tcPr>
          <w:p>
            <w:pPr>
              <w:pStyle w:val="TableParagraph"/>
              <w:spacing w:before="19"/>
              <w:ind w:right="79"/>
              <w:jc w:val="right"/>
              <w:rPr>
                <w:sz w:val="16"/>
              </w:rPr>
            </w:pPr>
            <w:r>
              <w:rPr>
                <w:w w:val="95"/>
                <w:sz w:val="16"/>
              </w:rPr>
              <w:t>5,645</w:t>
            </w:r>
          </w:p>
        </w:tc>
      </w:tr>
      <w:tr>
        <w:trPr>
          <w:trHeight w:val="241" w:hRule="exact"/>
        </w:trPr>
        <w:tc>
          <w:tcPr>
            <w:tcW w:w="4048" w:type="dxa"/>
          </w:tcPr>
          <w:p>
            <w:pPr>
              <w:pStyle w:val="TableParagraph"/>
              <w:spacing w:before="20"/>
              <w:ind w:left="35" w:right="982"/>
              <w:rPr>
                <w:sz w:val="16"/>
              </w:rPr>
            </w:pPr>
            <w:r>
              <w:rPr>
                <w:sz w:val="16"/>
              </w:rPr>
              <w:t>Health workforce Australia</w:t>
            </w:r>
          </w:p>
        </w:tc>
        <w:tc>
          <w:tcPr>
            <w:tcW w:w="661" w:type="dxa"/>
          </w:tcPr>
          <w:p>
            <w:pPr/>
          </w:p>
        </w:tc>
        <w:tc>
          <w:tcPr>
            <w:tcW w:w="618" w:type="dxa"/>
          </w:tcPr>
          <w:p>
            <w:pPr>
              <w:pStyle w:val="TableParagraph"/>
              <w:spacing w:before="19"/>
              <w:ind w:right="40"/>
              <w:jc w:val="right"/>
              <w:rPr>
                <w:b/>
                <w:sz w:val="16"/>
              </w:rPr>
            </w:pPr>
            <w:r>
              <w:rPr>
                <w:b/>
                <w:w w:val="95"/>
                <w:sz w:val="16"/>
              </w:rPr>
              <w:t>1,859</w:t>
            </w:r>
          </w:p>
        </w:tc>
        <w:tc>
          <w:tcPr>
            <w:tcW w:w="580" w:type="dxa"/>
          </w:tcPr>
          <w:p>
            <w:pPr/>
          </w:p>
        </w:tc>
        <w:tc>
          <w:tcPr>
            <w:tcW w:w="677" w:type="dxa"/>
          </w:tcPr>
          <w:p>
            <w:pPr>
              <w:pStyle w:val="TableParagraph"/>
              <w:spacing w:before="19"/>
              <w:ind w:right="129"/>
              <w:jc w:val="right"/>
              <w:rPr>
                <w:sz w:val="16"/>
              </w:rPr>
            </w:pPr>
            <w:r>
              <w:rPr>
                <w:w w:val="95"/>
                <w:sz w:val="16"/>
              </w:rPr>
              <w:t>2,586</w:t>
            </w:r>
          </w:p>
        </w:tc>
        <w:tc>
          <w:tcPr>
            <w:tcW w:w="612" w:type="dxa"/>
          </w:tcPr>
          <w:p>
            <w:pPr/>
          </w:p>
        </w:tc>
        <w:tc>
          <w:tcPr>
            <w:tcW w:w="618" w:type="dxa"/>
          </w:tcPr>
          <w:p>
            <w:pPr>
              <w:pStyle w:val="TableParagraph"/>
              <w:spacing w:before="19"/>
              <w:ind w:right="38"/>
              <w:jc w:val="right"/>
              <w:rPr>
                <w:b/>
                <w:sz w:val="16"/>
              </w:rPr>
            </w:pPr>
            <w:r>
              <w:rPr>
                <w:b/>
                <w:w w:val="95"/>
                <w:sz w:val="16"/>
              </w:rPr>
              <w:t>1,859</w:t>
            </w:r>
          </w:p>
        </w:tc>
        <w:tc>
          <w:tcPr>
            <w:tcW w:w="580" w:type="dxa"/>
          </w:tcPr>
          <w:p>
            <w:pPr/>
          </w:p>
        </w:tc>
        <w:tc>
          <w:tcPr>
            <w:tcW w:w="628" w:type="dxa"/>
          </w:tcPr>
          <w:p>
            <w:pPr>
              <w:pStyle w:val="TableParagraph"/>
              <w:spacing w:before="19"/>
              <w:ind w:right="79"/>
              <w:jc w:val="right"/>
              <w:rPr>
                <w:sz w:val="16"/>
              </w:rPr>
            </w:pPr>
            <w:r>
              <w:rPr>
                <w:w w:val="95"/>
                <w:sz w:val="16"/>
              </w:rPr>
              <w:t>2,586</w:t>
            </w:r>
          </w:p>
        </w:tc>
      </w:tr>
      <w:tr>
        <w:trPr>
          <w:trHeight w:val="241" w:hRule="exact"/>
        </w:trPr>
        <w:tc>
          <w:tcPr>
            <w:tcW w:w="4048" w:type="dxa"/>
          </w:tcPr>
          <w:p>
            <w:pPr>
              <w:pStyle w:val="TableParagraph"/>
              <w:spacing w:before="20"/>
              <w:ind w:left="35" w:right="982"/>
              <w:rPr>
                <w:sz w:val="16"/>
              </w:rPr>
            </w:pPr>
            <w:r>
              <w:rPr>
                <w:sz w:val="16"/>
              </w:rPr>
              <w:t>Other</w:t>
            </w:r>
          </w:p>
        </w:tc>
        <w:tc>
          <w:tcPr>
            <w:tcW w:w="661" w:type="dxa"/>
            <w:tcBorders>
              <w:bottom w:val="single" w:sz="0" w:space="0" w:color="000000"/>
            </w:tcBorders>
          </w:tcPr>
          <w:p>
            <w:pPr/>
          </w:p>
        </w:tc>
        <w:tc>
          <w:tcPr>
            <w:tcW w:w="618" w:type="dxa"/>
            <w:tcBorders>
              <w:bottom w:val="single" w:sz="0" w:space="0" w:color="000000"/>
            </w:tcBorders>
          </w:tcPr>
          <w:p>
            <w:pPr>
              <w:pStyle w:val="TableParagraph"/>
              <w:spacing w:before="19"/>
              <w:ind w:right="40"/>
              <w:jc w:val="right"/>
              <w:rPr>
                <w:b/>
                <w:sz w:val="16"/>
              </w:rPr>
            </w:pPr>
            <w:r>
              <w:rPr>
                <w:b/>
                <w:w w:val="95"/>
                <w:sz w:val="16"/>
              </w:rPr>
              <w:t>795</w:t>
            </w:r>
          </w:p>
        </w:tc>
        <w:tc>
          <w:tcPr>
            <w:tcW w:w="580" w:type="dxa"/>
            <w:tcBorders>
              <w:bottom w:val="single" w:sz="0" w:space="0" w:color="000000"/>
            </w:tcBorders>
          </w:tcPr>
          <w:p>
            <w:pPr/>
          </w:p>
        </w:tc>
        <w:tc>
          <w:tcPr>
            <w:tcW w:w="677" w:type="dxa"/>
            <w:tcBorders>
              <w:bottom w:val="single" w:sz="0" w:space="0" w:color="000000"/>
            </w:tcBorders>
          </w:tcPr>
          <w:p>
            <w:pPr>
              <w:pStyle w:val="TableParagraph"/>
              <w:spacing w:before="19"/>
              <w:ind w:right="129"/>
              <w:jc w:val="right"/>
              <w:rPr>
                <w:sz w:val="16"/>
              </w:rPr>
            </w:pPr>
            <w:r>
              <w:rPr>
                <w:w w:val="95"/>
                <w:sz w:val="16"/>
              </w:rPr>
              <w:t>352</w:t>
            </w:r>
          </w:p>
        </w:tc>
        <w:tc>
          <w:tcPr>
            <w:tcW w:w="612" w:type="dxa"/>
            <w:tcBorders>
              <w:bottom w:val="single" w:sz="0" w:space="0" w:color="000000"/>
            </w:tcBorders>
          </w:tcPr>
          <w:p>
            <w:pPr/>
          </w:p>
        </w:tc>
        <w:tc>
          <w:tcPr>
            <w:tcW w:w="618" w:type="dxa"/>
            <w:tcBorders>
              <w:bottom w:val="single" w:sz="0" w:space="0" w:color="000000"/>
            </w:tcBorders>
          </w:tcPr>
          <w:p>
            <w:pPr>
              <w:pStyle w:val="TableParagraph"/>
              <w:spacing w:before="19"/>
              <w:ind w:right="38"/>
              <w:jc w:val="right"/>
              <w:rPr>
                <w:b/>
                <w:sz w:val="16"/>
              </w:rPr>
            </w:pPr>
            <w:r>
              <w:rPr>
                <w:b/>
                <w:w w:val="95"/>
                <w:sz w:val="16"/>
              </w:rPr>
              <w:t>770</w:t>
            </w:r>
          </w:p>
        </w:tc>
        <w:tc>
          <w:tcPr>
            <w:tcW w:w="580" w:type="dxa"/>
            <w:tcBorders>
              <w:bottom w:val="single" w:sz="0" w:space="0" w:color="000000"/>
            </w:tcBorders>
          </w:tcPr>
          <w:p>
            <w:pPr/>
          </w:p>
        </w:tc>
        <w:tc>
          <w:tcPr>
            <w:tcW w:w="628" w:type="dxa"/>
            <w:tcBorders>
              <w:bottom w:val="single" w:sz="0" w:space="0" w:color="000000"/>
            </w:tcBorders>
          </w:tcPr>
          <w:p>
            <w:pPr>
              <w:pStyle w:val="TableParagraph"/>
              <w:spacing w:before="19"/>
              <w:ind w:right="79"/>
              <w:jc w:val="right"/>
              <w:rPr>
                <w:sz w:val="16"/>
              </w:rPr>
            </w:pPr>
            <w:r>
              <w:rPr>
                <w:w w:val="95"/>
                <w:sz w:val="16"/>
              </w:rPr>
              <w:t>285</w:t>
            </w:r>
          </w:p>
        </w:tc>
      </w:tr>
      <w:tr>
        <w:trPr>
          <w:trHeight w:val="316" w:hRule="exact"/>
        </w:trPr>
        <w:tc>
          <w:tcPr>
            <w:tcW w:w="4048" w:type="dxa"/>
          </w:tcPr>
          <w:p>
            <w:pPr>
              <w:pStyle w:val="TableParagraph"/>
              <w:spacing w:before="123"/>
              <w:ind w:left="35" w:right="982"/>
              <w:rPr>
                <w:b/>
                <w:sz w:val="16"/>
              </w:rPr>
            </w:pPr>
            <w:r>
              <w:rPr>
                <w:b/>
                <w:sz w:val="16"/>
              </w:rPr>
              <w:t>Total</w:t>
            </w:r>
          </w:p>
        </w:tc>
        <w:tc>
          <w:tcPr>
            <w:tcW w:w="661" w:type="dxa"/>
            <w:tcBorders>
              <w:top w:val="single" w:sz="0" w:space="0" w:color="000000"/>
              <w:bottom w:val="single" w:sz="0" w:space="0" w:color="000000"/>
            </w:tcBorders>
          </w:tcPr>
          <w:p>
            <w:pPr/>
          </w:p>
        </w:tc>
        <w:tc>
          <w:tcPr>
            <w:tcW w:w="618" w:type="dxa"/>
            <w:tcBorders>
              <w:top w:val="single" w:sz="0" w:space="0" w:color="000000"/>
              <w:bottom w:val="single" w:sz="0" w:space="0" w:color="000000"/>
            </w:tcBorders>
          </w:tcPr>
          <w:p>
            <w:pPr>
              <w:pStyle w:val="TableParagraph"/>
              <w:spacing w:before="122"/>
              <w:ind w:right="39"/>
              <w:jc w:val="right"/>
              <w:rPr>
                <w:b/>
                <w:sz w:val="16"/>
              </w:rPr>
            </w:pPr>
            <w:r>
              <w:rPr>
                <w:b/>
                <w:w w:val="95"/>
                <w:sz w:val="16"/>
              </w:rPr>
              <w:t>7,732</w:t>
            </w:r>
          </w:p>
        </w:tc>
        <w:tc>
          <w:tcPr>
            <w:tcW w:w="580" w:type="dxa"/>
            <w:tcBorders>
              <w:top w:val="single" w:sz="0" w:space="0" w:color="000000"/>
              <w:bottom w:val="single" w:sz="0" w:space="0" w:color="000000"/>
            </w:tcBorders>
          </w:tcPr>
          <w:p>
            <w:pPr/>
          </w:p>
        </w:tc>
        <w:tc>
          <w:tcPr>
            <w:tcW w:w="677" w:type="dxa"/>
            <w:tcBorders>
              <w:top w:val="single" w:sz="0" w:space="0" w:color="000000"/>
              <w:bottom w:val="single" w:sz="0" w:space="0" w:color="000000"/>
            </w:tcBorders>
          </w:tcPr>
          <w:p>
            <w:pPr>
              <w:pStyle w:val="TableParagraph"/>
              <w:spacing w:before="122"/>
              <w:ind w:right="129"/>
              <w:jc w:val="right"/>
              <w:rPr>
                <w:sz w:val="16"/>
              </w:rPr>
            </w:pPr>
            <w:r>
              <w:rPr>
                <w:w w:val="95"/>
                <w:sz w:val="16"/>
              </w:rPr>
              <w:t>9,506</w:t>
            </w:r>
          </w:p>
        </w:tc>
        <w:tc>
          <w:tcPr>
            <w:tcW w:w="612" w:type="dxa"/>
            <w:tcBorders>
              <w:top w:val="single" w:sz="0" w:space="0" w:color="000000"/>
              <w:bottom w:val="single" w:sz="0" w:space="0" w:color="000000"/>
            </w:tcBorders>
          </w:tcPr>
          <w:p>
            <w:pPr/>
          </w:p>
        </w:tc>
        <w:tc>
          <w:tcPr>
            <w:tcW w:w="618" w:type="dxa"/>
            <w:tcBorders>
              <w:top w:val="single" w:sz="0" w:space="0" w:color="000000"/>
              <w:bottom w:val="single" w:sz="0" w:space="0" w:color="000000"/>
            </w:tcBorders>
          </w:tcPr>
          <w:p>
            <w:pPr>
              <w:pStyle w:val="TableParagraph"/>
              <w:spacing w:before="122"/>
              <w:ind w:right="39"/>
              <w:jc w:val="right"/>
              <w:rPr>
                <w:b/>
                <w:sz w:val="16"/>
              </w:rPr>
            </w:pPr>
            <w:r>
              <w:rPr>
                <w:b/>
                <w:w w:val="95"/>
                <w:sz w:val="16"/>
              </w:rPr>
              <w:t>7,707</w:t>
            </w:r>
          </w:p>
        </w:tc>
        <w:tc>
          <w:tcPr>
            <w:tcW w:w="580" w:type="dxa"/>
            <w:tcBorders>
              <w:top w:val="single" w:sz="0" w:space="0" w:color="000000"/>
              <w:bottom w:val="single" w:sz="0" w:space="0" w:color="000000"/>
            </w:tcBorders>
          </w:tcPr>
          <w:p>
            <w:pPr/>
          </w:p>
        </w:tc>
        <w:tc>
          <w:tcPr>
            <w:tcW w:w="628" w:type="dxa"/>
            <w:tcBorders>
              <w:top w:val="single" w:sz="0" w:space="0" w:color="000000"/>
              <w:bottom w:val="single" w:sz="0" w:space="0" w:color="000000"/>
            </w:tcBorders>
          </w:tcPr>
          <w:p>
            <w:pPr>
              <w:pStyle w:val="TableParagraph"/>
              <w:spacing w:before="122"/>
              <w:ind w:right="79"/>
              <w:jc w:val="right"/>
              <w:rPr>
                <w:sz w:val="16"/>
              </w:rPr>
            </w:pPr>
            <w:r>
              <w:rPr>
                <w:w w:val="95"/>
                <w:sz w:val="16"/>
              </w:rPr>
              <w:t>9,439</w:t>
            </w:r>
          </w:p>
        </w:tc>
      </w:tr>
      <w:tr>
        <w:trPr>
          <w:trHeight w:val="330" w:hRule="exact"/>
        </w:trPr>
        <w:tc>
          <w:tcPr>
            <w:tcW w:w="4048" w:type="dxa"/>
          </w:tcPr>
          <w:p>
            <w:pPr>
              <w:pStyle w:val="TableParagraph"/>
              <w:spacing w:before="123"/>
              <w:ind w:left="35" w:right="982"/>
              <w:rPr>
                <w:b/>
                <w:sz w:val="16"/>
              </w:rPr>
            </w:pPr>
            <w:r>
              <w:rPr>
                <w:b/>
                <w:sz w:val="16"/>
              </w:rPr>
              <w:t>Capital</w:t>
            </w:r>
          </w:p>
        </w:tc>
        <w:tc>
          <w:tcPr>
            <w:tcW w:w="661" w:type="dxa"/>
            <w:tcBorders>
              <w:top w:val="single" w:sz="0" w:space="0" w:color="000000"/>
            </w:tcBorders>
          </w:tcPr>
          <w:p>
            <w:pPr/>
          </w:p>
        </w:tc>
        <w:tc>
          <w:tcPr>
            <w:tcW w:w="618" w:type="dxa"/>
            <w:tcBorders>
              <w:top w:val="single" w:sz="0" w:space="0" w:color="000000"/>
            </w:tcBorders>
          </w:tcPr>
          <w:p>
            <w:pPr/>
          </w:p>
        </w:tc>
        <w:tc>
          <w:tcPr>
            <w:tcW w:w="580" w:type="dxa"/>
            <w:tcBorders>
              <w:top w:val="single" w:sz="0" w:space="0" w:color="000000"/>
            </w:tcBorders>
          </w:tcPr>
          <w:p>
            <w:pPr/>
          </w:p>
        </w:tc>
        <w:tc>
          <w:tcPr>
            <w:tcW w:w="677" w:type="dxa"/>
            <w:tcBorders>
              <w:top w:val="single" w:sz="0" w:space="0" w:color="000000"/>
            </w:tcBorders>
          </w:tcPr>
          <w:p>
            <w:pPr/>
          </w:p>
        </w:tc>
        <w:tc>
          <w:tcPr>
            <w:tcW w:w="612" w:type="dxa"/>
            <w:tcBorders>
              <w:top w:val="single" w:sz="0" w:space="0" w:color="000000"/>
            </w:tcBorders>
          </w:tcPr>
          <w:p>
            <w:pPr/>
          </w:p>
        </w:tc>
        <w:tc>
          <w:tcPr>
            <w:tcW w:w="618" w:type="dxa"/>
            <w:tcBorders>
              <w:top w:val="single" w:sz="0" w:space="0" w:color="000000"/>
            </w:tcBorders>
          </w:tcPr>
          <w:p>
            <w:pPr/>
          </w:p>
        </w:tc>
        <w:tc>
          <w:tcPr>
            <w:tcW w:w="580" w:type="dxa"/>
            <w:tcBorders>
              <w:top w:val="single" w:sz="0" w:space="0" w:color="000000"/>
            </w:tcBorders>
          </w:tcPr>
          <w:p>
            <w:pPr/>
          </w:p>
        </w:tc>
        <w:tc>
          <w:tcPr>
            <w:tcW w:w="628" w:type="dxa"/>
            <w:tcBorders>
              <w:top w:val="single" w:sz="0" w:space="0" w:color="000000"/>
            </w:tcBorders>
          </w:tcPr>
          <w:p>
            <w:pPr/>
          </w:p>
        </w:tc>
      </w:tr>
      <w:tr>
        <w:trPr>
          <w:trHeight w:val="227" w:hRule="exact"/>
        </w:trPr>
        <w:tc>
          <w:tcPr>
            <w:tcW w:w="4048" w:type="dxa"/>
          </w:tcPr>
          <w:p>
            <w:pPr>
              <w:pStyle w:val="TableParagraph"/>
              <w:spacing w:before="7"/>
              <w:ind w:left="35" w:right="982"/>
              <w:rPr>
                <w:sz w:val="16"/>
              </w:rPr>
            </w:pPr>
            <w:r>
              <w:rPr>
                <w:sz w:val="16"/>
              </w:rPr>
              <w:t>DIISRTE Special Capital Project</w:t>
            </w:r>
          </w:p>
        </w:tc>
        <w:tc>
          <w:tcPr>
            <w:tcW w:w="661" w:type="dxa"/>
          </w:tcPr>
          <w:p>
            <w:pPr/>
          </w:p>
        </w:tc>
        <w:tc>
          <w:tcPr>
            <w:tcW w:w="618" w:type="dxa"/>
          </w:tcPr>
          <w:p>
            <w:pPr>
              <w:pStyle w:val="TableParagraph"/>
              <w:spacing w:before="5"/>
              <w:ind w:right="39"/>
              <w:jc w:val="right"/>
              <w:rPr>
                <w:b/>
                <w:sz w:val="16"/>
              </w:rPr>
            </w:pPr>
            <w:r>
              <w:rPr>
                <w:b/>
                <w:w w:val="95"/>
                <w:sz w:val="16"/>
              </w:rPr>
              <w:t>7,000</w:t>
            </w:r>
          </w:p>
        </w:tc>
        <w:tc>
          <w:tcPr>
            <w:tcW w:w="580" w:type="dxa"/>
          </w:tcPr>
          <w:p>
            <w:pPr/>
          </w:p>
        </w:tc>
        <w:tc>
          <w:tcPr>
            <w:tcW w:w="677" w:type="dxa"/>
          </w:tcPr>
          <w:p>
            <w:pPr>
              <w:pStyle w:val="TableParagraph"/>
              <w:spacing w:before="5"/>
              <w:ind w:right="128"/>
              <w:jc w:val="right"/>
              <w:rPr>
                <w:sz w:val="16"/>
              </w:rPr>
            </w:pPr>
            <w:r>
              <w:rPr>
                <w:w w:val="99"/>
                <w:sz w:val="16"/>
              </w:rPr>
              <w:t>-</w:t>
            </w:r>
          </w:p>
        </w:tc>
        <w:tc>
          <w:tcPr>
            <w:tcW w:w="612" w:type="dxa"/>
          </w:tcPr>
          <w:p>
            <w:pPr/>
          </w:p>
        </w:tc>
        <w:tc>
          <w:tcPr>
            <w:tcW w:w="618" w:type="dxa"/>
          </w:tcPr>
          <w:p>
            <w:pPr>
              <w:pStyle w:val="TableParagraph"/>
              <w:spacing w:before="5"/>
              <w:ind w:right="39"/>
              <w:jc w:val="right"/>
              <w:rPr>
                <w:b/>
                <w:sz w:val="16"/>
              </w:rPr>
            </w:pPr>
            <w:r>
              <w:rPr>
                <w:b/>
                <w:w w:val="95"/>
                <w:sz w:val="16"/>
              </w:rPr>
              <w:t>7,000</w:t>
            </w:r>
          </w:p>
        </w:tc>
        <w:tc>
          <w:tcPr>
            <w:tcW w:w="580" w:type="dxa"/>
          </w:tcPr>
          <w:p>
            <w:pPr/>
          </w:p>
        </w:tc>
        <w:tc>
          <w:tcPr>
            <w:tcW w:w="628" w:type="dxa"/>
          </w:tcPr>
          <w:p>
            <w:pPr>
              <w:pStyle w:val="TableParagraph"/>
              <w:spacing w:before="5"/>
              <w:ind w:right="79"/>
              <w:jc w:val="right"/>
              <w:rPr>
                <w:sz w:val="16"/>
              </w:rPr>
            </w:pPr>
            <w:r>
              <w:rPr>
                <w:w w:val="99"/>
                <w:sz w:val="16"/>
              </w:rPr>
              <w:t>-</w:t>
            </w:r>
          </w:p>
        </w:tc>
      </w:tr>
      <w:tr>
        <w:trPr>
          <w:trHeight w:val="241" w:hRule="exact"/>
        </w:trPr>
        <w:tc>
          <w:tcPr>
            <w:tcW w:w="4048" w:type="dxa"/>
          </w:tcPr>
          <w:p>
            <w:pPr>
              <w:pStyle w:val="TableParagraph"/>
              <w:spacing w:before="20"/>
              <w:ind w:left="35" w:right="982"/>
              <w:rPr>
                <w:sz w:val="16"/>
              </w:rPr>
            </w:pPr>
            <w:r>
              <w:rPr>
                <w:sz w:val="16"/>
              </w:rPr>
              <w:t>Department of Health &amp; Ageing</w:t>
            </w:r>
          </w:p>
        </w:tc>
        <w:tc>
          <w:tcPr>
            <w:tcW w:w="661" w:type="dxa"/>
          </w:tcPr>
          <w:p>
            <w:pPr/>
          </w:p>
        </w:tc>
        <w:tc>
          <w:tcPr>
            <w:tcW w:w="618" w:type="dxa"/>
          </w:tcPr>
          <w:p>
            <w:pPr>
              <w:pStyle w:val="TableParagraph"/>
              <w:spacing w:before="19"/>
              <w:ind w:right="40"/>
              <w:jc w:val="right"/>
              <w:rPr>
                <w:b/>
                <w:sz w:val="16"/>
              </w:rPr>
            </w:pPr>
            <w:r>
              <w:rPr>
                <w:b/>
                <w:w w:val="95"/>
                <w:sz w:val="16"/>
              </w:rPr>
              <w:t>228</w:t>
            </w:r>
          </w:p>
        </w:tc>
        <w:tc>
          <w:tcPr>
            <w:tcW w:w="580" w:type="dxa"/>
          </w:tcPr>
          <w:p>
            <w:pPr/>
          </w:p>
        </w:tc>
        <w:tc>
          <w:tcPr>
            <w:tcW w:w="677" w:type="dxa"/>
          </w:tcPr>
          <w:p>
            <w:pPr>
              <w:pStyle w:val="TableParagraph"/>
              <w:spacing w:before="19"/>
              <w:ind w:right="128"/>
              <w:jc w:val="right"/>
              <w:rPr>
                <w:sz w:val="16"/>
              </w:rPr>
            </w:pPr>
            <w:r>
              <w:rPr>
                <w:w w:val="99"/>
                <w:sz w:val="16"/>
              </w:rPr>
              <w:t>-</w:t>
            </w:r>
          </w:p>
        </w:tc>
        <w:tc>
          <w:tcPr>
            <w:tcW w:w="612" w:type="dxa"/>
          </w:tcPr>
          <w:p>
            <w:pPr/>
          </w:p>
        </w:tc>
        <w:tc>
          <w:tcPr>
            <w:tcW w:w="618" w:type="dxa"/>
          </w:tcPr>
          <w:p>
            <w:pPr>
              <w:pStyle w:val="TableParagraph"/>
              <w:spacing w:before="19"/>
              <w:ind w:right="39"/>
              <w:jc w:val="right"/>
              <w:rPr>
                <w:b/>
                <w:sz w:val="16"/>
              </w:rPr>
            </w:pPr>
            <w:r>
              <w:rPr>
                <w:b/>
                <w:w w:val="95"/>
                <w:sz w:val="16"/>
              </w:rPr>
              <w:t>228</w:t>
            </w:r>
          </w:p>
        </w:tc>
        <w:tc>
          <w:tcPr>
            <w:tcW w:w="580" w:type="dxa"/>
          </w:tcPr>
          <w:p>
            <w:pPr/>
          </w:p>
        </w:tc>
        <w:tc>
          <w:tcPr>
            <w:tcW w:w="628" w:type="dxa"/>
          </w:tcPr>
          <w:p>
            <w:pPr>
              <w:pStyle w:val="TableParagraph"/>
              <w:spacing w:before="19"/>
              <w:ind w:right="79"/>
              <w:jc w:val="right"/>
              <w:rPr>
                <w:sz w:val="16"/>
              </w:rPr>
            </w:pPr>
            <w:r>
              <w:rPr>
                <w:w w:val="99"/>
                <w:sz w:val="16"/>
              </w:rPr>
              <w:t>-</w:t>
            </w:r>
          </w:p>
        </w:tc>
      </w:tr>
      <w:tr>
        <w:trPr>
          <w:trHeight w:val="422" w:hRule="exact"/>
        </w:trPr>
        <w:tc>
          <w:tcPr>
            <w:tcW w:w="4048" w:type="dxa"/>
          </w:tcPr>
          <w:p>
            <w:pPr>
              <w:pStyle w:val="TableParagraph"/>
              <w:spacing w:before="19"/>
              <w:ind w:left="35" w:right="982"/>
              <w:rPr>
                <w:sz w:val="16"/>
              </w:rPr>
            </w:pPr>
            <w:r>
              <w:rPr>
                <w:sz w:val="16"/>
              </w:rPr>
              <w:t>Department of Sustainability &amp; Environment</w:t>
            </w:r>
          </w:p>
        </w:tc>
        <w:tc>
          <w:tcPr>
            <w:tcW w:w="661" w:type="dxa"/>
          </w:tcPr>
          <w:p>
            <w:pPr/>
          </w:p>
        </w:tc>
        <w:tc>
          <w:tcPr>
            <w:tcW w:w="618" w:type="dxa"/>
          </w:tcPr>
          <w:p>
            <w:pPr>
              <w:pStyle w:val="TableParagraph"/>
              <w:spacing w:before="5"/>
              <w:rPr>
                <w:b/>
                <w:sz w:val="17"/>
              </w:rPr>
            </w:pPr>
          </w:p>
          <w:p>
            <w:pPr>
              <w:pStyle w:val="TableParagraph"/>
              <w:ind w:right="39"/>
              <w:jc w:val="right"/>
              <w:rPr>
                <w:b/>
                <w:sz w:val="16"/>
              </w:rPr>
            </w:pPr>
            <w:r>
              <w:rPr>
                <w:b/>
                <w:w w:val="95"/>
                <w:sz w:val="16"/>
              </w:rPr>
              <w:t>500</w:t>
            </w:r>
          </w:p>
        </w:tc>
        <w:tc>
          <w:tcPr>
            <w:tcW w:w="580" w:type="dxa"/>
          </w:tcPr>
          <w:p>
            <w:pPr/>
          </w:p>
        </w:tc>
        <w:tc>
          <w:tcPr>
            <w:tcW w:w="677" w:type="dxa"/>
          </w:tcPr>
          <w:p>
            <w:pPr>
              <w:pStyle w:val="TableParagraph"/>
              <w:spacing w:before="5"/>
              <w:rPr>
                <w:b/>
                <w:sz w:val="17"/>
              </w:rPr>
            </w:pPr>
          </w:p>
          <w:p>
            <w:pPr>
              <w:pStyle w:val="TableParagraph"/>
              <w:ind w:right="128"/>
              <w:jc w:val="right"/>
              <w:rPr>
                <w:sz w:val="16"/>
              </w:rPr>
            </w:pPr>
            <w:r>
              <w:rPr>
                <w:w w:val="99"/>
                <w:sz w:val="16"/>
              </w:rPr>
              <w:t>-</w:t>
            </w:r>
          </w:p>
        </w:tc>
        <w:tc>
          <w:tcPr>
            <w:tcW w:w="612" w:type="dxa"/>
          </w:tcPr>
          <w:p>
            <w:pPr/>
          </w:p>
        </w:tc>
        <w:tc>
          <w:tcPr>
            <w:tcW w:w="618" w:type="dxa"/>
          </w:tcPr>
          <w:p>
            <w:pPr>
              <w:pStyle w:val="TableParagraph"/>
              <w:spacing w:before="5"/>
              <w:rPr>
                <w:b/>
                <w:sz w:val="17"/>
              </w:rPr>
            </w:pPr>
          </w:p>
          <w:p>
            <w:pPr>
              <w:pStyle w:val="TableParagraph"/>
              <w:ind w:right="39"/>
              <w:jc w:val="right"/>
              <w:rPr>
                <w:b/>
                <w:sz w:val="16"/>
              </w:rPr>
            </w:pPr>
            <w:r>
              <w:rPr>
                <w:b/>
                <w:w w:val="95"/>
                <w:sz w:val="16"/>
              </w:rPr>
              <w:t>500</w:t>
            </w:r>
          </w:p>
        </w:tc>
        <w:tc>
          <w:tcPr>
            <w:tcW w:w="580" w:type="dxa"/>
          </w:tcPr>
          <w:p>
            <w:pPr/>
          </w:p>
        </w:tc>
        <w:tc>
          <w:tcPr>
            <w:tcW w:w="628" w:type="dxa"/>
          </w:tcPr>
          <w:p>
            <w:pPr>
              <w:pStyle w:val="TableParagraph"/>
              <w:spacing w:before="5"/>
              <w:rPr>
                <w:b/>
                <w:sz w:val="17"/>
              </w:rPr>
            </w:pPr>
          </w:p>
          <w:p>
            <w:pPr>
              <w:pStyle w:val="TableParagraph"/>
              <w:ind w:right="79"/>
              <w:jc w:val="right"/>
              <w:rPr>
                <w:sz w:val="16"/>
              </w:rPr>
            </w:pPr>
            <w:r>
              <w:rPr>
                <w:w w:val="99"/>
                <w:sz w:val="16"/>
              </w:rPr>
              <w:t>-</w:t>
            </w:r>
          </w:p>
        </w:tc>
      </w:tr>
      <w:tr>
        <w:trPr>
          <w:trHeight w:val="423" w:hRule="exact"/>
        </w:trPr>
        <w:tc>
          <w:tcPr>
            <w:tcW w:w="4048" w:type="dxa"/>
          </w:tcPr>
          <w:p>
            <w:pPr>
              <w:pStyle w:val="TableParagraph"/>
              <w:spacing w:before="19"/>
              <w:ind w:left="35" w:right="982"/>
              <w:rPr>
                <w:sz w:val="16"/>
              </w:rPr>
            </w:pPr>
            <w:r>
              <w:rPr>
                <w:sz w:val="16"/>
              </w:rPr>
              <w:t>Department of Regional Australia, Local Government, Arts &amp; Sport</w:t>
            </w:r>
          </w:p>
        </w:tc>
        <w:tc>
          <w:tcPr>
            <w:tcW w:w="661" w:type="dxa"/>
            <w:tcBorders>
              <w:bottom w:val="single" w:sz="0" w:space="0" w:color="000000"/>
            </w:tcBorders>
          </w:tcPr>
          <w:p>
            <w:pPr/>
          </w:p>
        </w:tc>
        <w:tc>
          <w:tcPr>
            <w:tcW w:w="618" w:type="dxa"/>
            <w:tcBorders>
              <w:bottom w:val="single" w:sz="0" w:space="0" w:color="000000"/>
            </w:tcBorders>
          </w:tcPr>
          <w:p>
            <w:pPr>
              <w:pStyle w:val="TableParagraph"/>
              <w:spacing w:before="5"/>
              <w:rPr>
                <w:b/>
                <w:sz w:val="17"/>
              </w:rPr>
            </w:pPr>
          </w:p>
          <w:p>
            <w:pPr>
              <w:pStyle w:val="TableParagraph"/>
              <w:ind w:right="39"/>
              <w:jc w:val="right"/>
              <w:rPr>
                <w:b/>
                <w:sz w:val="16"/>
              </w:rPr>
            </w:pPr>
            <w:r>
              <w:rPr>
                <w:b/>
                <w:w w:val="95"/>
                <w:sz w:val="16"/>
              </w:rPr>
              <w:t>470</w:t>
            </w:r>
          </w:p>
        </w:tc>
        <w:tc>
          <w:tcPr>
            <w:tcW w:w="580" w:type="dxa"/>
            <w:tcBorders>
              <w:bottom w:val="single" w:sz="0" w:space="0" w:color="000000"/>
            </w:tcBorders>
          </w:tcPr>
          <w:p>
            <w:pPr/>
          </w:p>
        </w:tc>
        <w:tc>
          <w:tcPr>
            <w:tcW w:w="677" w:type="dxa"/>
            <w:tcBorders>
              <w:bottom w:val="single" w:sz="0" w:space="0" w:color="000000"/>
            </w:tcBorders>
          </w:tcPr>
          <w:p>
            <w:pPr>
              <w:pStyle w:val="TableParagraph"/>
              <w:spacing w:before="5"/>
              <w:rPr>
                <w:b/>
                <w:sz w:val="17"/>
              </w:rPr>
            </w:pPr>
          </w:p>
          <w:p>
            <w:pPr>
              <w:pStyle w:val="TableParagraph"/>
              <w:ind w:right="129"/>
              <w:jc w:val="right"/>
              <w:rPr>
                <w:sz w:val="16"/>
              </w:rPr>
            </w:pPr>
            <w:r>
              <w:rPr>
                <w:w w:val="99"/>
                <w:sz w:val="16"/>
              </w:rPr>
              <w:t>-</w:t>
            </w:r>
          </w:p>
        </w:tc>
        <w:tc>
          <w:tcPr>
            <w:tcW w:w="612" w:type="dxa"/>
            <w:tcBorders>
              <w:bottom w:val="single" w:sz="0" w:space="0" w:color="000000"/>
            </w:tcBorders>
          </w:tcPr>
          <w:p>
            <w:pPr/>
          </w:p>
        </w:tc>
        <w:tc>
          <w:tcPr>
            <w:tcW w:w="618" w:type="dxa"/>
            <w:tcBorders>
              <w:bottom w:val="single" w:sz="0" w:space="0" w:color="000000"/>
            </w:tcBorders>
          </w:tcPr>
          <w:p>
            <w:pPr>
              <w:pStyle w:val="TableParagraph"/>
              <w:spacing w:before="5"/>
              <w:rPr>
                <w:b/>
                <w:sz w:val="17"/>
              </w:rPr>
            </w:pPr>
          </w:p>
          <w:p>
            <w:pPr>
              <w:pStyle w:val="TableParagraph"/>
              <w:ind w:right="39"/>
              <w:jc w:val="right"/>
              <w:rPr>
                <w:b/>
                <w:sz w:val="16"/>
              </w:rPr>
            </w:pPr>
            <w:r>
              <w:rPr>
                <w:b/>
                <w:w w:val="95"/>
                <w:sz w:val="16"/>
              </w:rPr>
              <w:t>470</w:t>
            </w:r>
          </w:p>
        </w:tc>
        <w:tc>
          <w:tcPr>
            <w:tcW w:w="580" w:type="dxa"/>
            <w:tcBorders>
              <w:bottom w:val="single" w:sz="0" w:space="0" w:color="000000"/>
            </w:tcBorders>
          </w:tcPr>
          <w:p>
            <w:pPr/>
          </w:p>
        </w:tc>
        <w:tc>
          <w:tcPr>
            <w:tcW w:w="628" w:type="dxa"/>
            <w:tcBorders>
              <w:bottom w:val="single" w:sz="0" w:space="0" w:color="000000"/>
            </w:tcBorders>
          </w:tcPr>
          <w:p>
            <w:pPr>
              <w:pStyle w:val="TableParagraph"/>
              <w:spacing w:before="5"/>
              <w:rPr>
                <w:b/>
                <w:sz w:val="17"/>
              </w:rPr>
            </w:pPr>
          </w:p>
          <w:p>
            <w:pPr>
              <w:pStyle w:val="TableParagraph"/>
              <w:ind w:right="79"/>
              <w:jc w:val="right"/>
              <w:rPr>
                <w:sz w:val="16"/>
              </w:rPr>
            </w:pPr>
            <w:r>
              <w:rPr>
                <w:w w:val="99"/>
                <w:sz w:val="16"/>
              </w:rPr>
              <w:t>-</w:t>
            </w:r>
          </w:p>
        </w:tc>
      </w:tr>
      <w:tr>
        <w:trPr>
          <w:trHeight w:val="316" w:hRule="exact"/>
        </w:trPr>
        <w:tc>
          <w:tcPr>
            <w:tcW w:w="4048" w:type="dxa"/>
          </w:tcPr>
          <w:p>
            <w:pPr>
              <w:pStyle w:val="TableParagraph"/>
              <w:spacing w:before="122"/>
              <w:ind w:left="35" w:right="982"/>
              <w:rPr>
                <w:b/>
                <w:sz w:val="16"/>
              </w:rPr>
            </w:pPr>
            <w:r>
              <w:rPr>
                <w:b/>
                <w:sz w:val="16"/>
              </w:rPr>
              <w:t>Total</w:t>
            </w:r>
          </w:p>
        </w:tc>
        <w:tc>
          <w:tcPr>
            <w:tcW w:w="661" w:type="dxa"/>
            <w:tcBorders>
              <w:top w:val="single" w:sz="0" w:space="0" w:color="000000"/>
              <w:bottom w:val="single" w:sz="0" w:space="0" w:color="000000"/>
            </w:tcBorders>
          </w:tcPr>
          <w:p>
            <w:pPr/>
          </w:p>
        </w:tc>
        <w:tc>
          <w:tcPr>
            <w:tcW w:w="618" w:type="dxa"/>
            <w:tcBorders>
              <w:top w:val="single" w:sz="0" w:space="0" w:color="000000"/>
              <w:bottom w:val="single" w:sz="0" w:space="0" w:color="000000"/>
            </w:tcBorders>
          </w:tcPr>
          <w:p>
            <w:pPr>
              <w:pStyle w:val="TableParagraph"/>
              <w:spacing w:before="122"/>
              <w:ind w:right="39"/>
              <w:jc w:val="right"/>
              <w:rPr>
                <w:b/>
                <w:sz w:val="16"/>
              </w:rPr>
            </w:pPr>
            <w:r>
              <w:rPr>
                <w:b/>
                <w:w w:val="95"/>
                <w:sz w:val="16"/>
              </w:rPr>
              <w:t>8,198</w:t>
            </w:r>
          </w:p>
        </w:tc>
        <w:tc>
          <w:tcPr>
            <w:tcW w:w="580" w:type="dxa"/>
            <w:tcBorders>
              <w:top w:val="single" w:sz="0" w:space="0" w:color="000000"/>
              <w:bottom w:val="single" w:sz="0" w:space="0" w:color="000000"/>
            </w:tcBorders>
          </w:tcPr>
          <w:p>
            <w:pPr/>
          </w:p>
        </w:tc>
        <w:tc>
          <w:tcPr>
            <w:tcW w:w="677" w:type="dxa"/>
            <w:tcBorders>
              <w:top w:val="single" w:sz="0" w:space="0" w:color="000000"/>
              <w:bottom w:val="single" w:sz="0" w:space="0" w:color="000000"/>
            </w:tcBorders>
          </w:tcPr>
          <w:p>
            <w:pPr>
              <w:pStyle w:val="TableParagraph"/>
              <w:spacing w:before="122"/>
              <w:ind w:right="128"/>
              <w:jc w:val="right"/>
              <w:rPr>
                <w:sz w:val="16"/>
              </w:rPr>
            </w:pPr>
            <w:r>
              <w:rPr>
                <w:w w:val="99"/>
                <w:sz w:val="16"/>
              </w:rPr>
              <w:t>-</w:t>
            </w:r>
          </w:p>
        </w:tc>
        <w:tc>
          <w:tcPr>
            <w:tcW w:w="612" w:type="dxa"/>
            <w:tcBorders>
              <w:top w:val="single" w:sz="0" w:space="0" w:color="000000"/>
              <w:bottom w:val="single" w:sz="0" w:space="0" w:color="000000"/>
            </w:tcBorders>
          </w:tcPr>
          <w:p>
            <w:pPr/>
          </w:p>
        </w:tc>
        <w:tc>
          <w:tcPr>
            <w:tcW w:w="618" w:type="dxa"/>
            <w:tcBorders>
              <w:top w:val="single" w:sz="0" w:space="0" w:color="000000"/>
              <w:bottom w:val="single" w:sz="0" w:space="0" w:color="000000"/>
            </w:tcBorders>
          </w:tcPr>
          <w:p>
            <w:pPr>
              <w:pStyle w:val="TableParagraph"/>
              <w:spacing w:before="122"/>
              <w:ind w:right="39"/>
              <w:jc w:val="right"/>
              <w:rPr>
                <w:b/>
                <w:sz w:val="16"/>
              </w:rPr>
            </w:pPr>
            <w:r>
              <w:rPr>
                <w:b/>
                <w:w w:val="95"/>
                <w:sz w:val="16"/>
              </w:rPr>
              <w:t>8,198</w:t>
            </w:r>
          </w:p>
        </w:tc>
        <w:tc>
          <w:tcPr>
            <w:tcW w:w="580" w:type="dxa"/>
            <w:tcBorders>
              <w:top w:val="single" w:sz="0" w:space="0" w:color="000000"/>
              <w:bottom w:val="single" w:sz="0" w:space="0" w:color="000000"/>
            </w:tcBorders>
          </w:tcPr>
          <w:p>
            <w:pPr/>
          </w:p>
        </w:tc>
        <w:tc>
          <w:tcPr>
            <w:tcW w:w="628" w:type="dxa"/>
            <w:tcBorders>
              <w:top w:val="single" w:sz="0" w:space="0" w:color="000000"/>
              <w:bottom w:val="single" w:sz="0" w:space="0" w:color="000000"/>
            </w:tcBorders>
          </w:tcPr>
          <w:p>
            <w:pPr>
              <w:pStyle w:val="TableParagraph"/>
              <w:spacing w:before="122"/>
              <w:ind w:right="79"/>
              <w:jc w:val="right"/>
              <w:rPr>
                <w:sz w:val="16"/>
              </w:rPr>
            </w:pPr>
            <w:r>
              <w:rPr>
                <w:w w:val="99"/>
                <w:sz w:val="16"/>
              </w:rPr>
              <w:t>-</w:t>
            </w:r>
          </w:p>
        </w:tc>
      </w:tr>
      <w:tr>
        <w:trPr>
          <w:trHeight w:val="514" w:hRule="exact"/>
        </w:trPr>
        <w:tc>
          <w:tcPr>
            <w:tcW w:w="4048" w:type="dxa"/>
          </w:tcPr>
          <w:p>
            <w:pPr>
              <w:pStyle w:val="TableParagraph"/>
              <w:spacing w:before="123"/>
              <w:ind w:left="35" w:right="982"/>
              <w:rPr>
                <w:b/>
                <w:sz w:val="16"/>
              </w:rPr>
            </w:pPr>
            <w:r>
              <w:rPr>
                <w:b/>
                <w:sz w:val="16"/>
              </w:rPr>
              <w:t>Total Other Australian Government Financial Assistance</w:t>
            </w:r>
          </w:p>
        </w:tc>
        <w:tc>
          <w:tcPr>
            <w:tcW w:w="661" w:type="dxa"/>
            <w:tcBorders>
              <w:top w:val="single" w:sz="0" w:space="0" w:color="000000"/>
              <w:bottom w:val="single" w:sz="0" w:space="0" w:color="000000"/>
            </w:tcBorders>
          </w:tcPr>
          <w:p>
            <w:pPr/>
          </w:p>
        </w:tc>
        <w:tc>
          <w:tcPr>
            <w:tcW w:w="618" w:type="dxa"/>
            <w:tcBorders>
              <w:top w:val="single" w:sz="0" w:space="0" w:color="000000"/>
              <w:bottom w:val="single" w:sz="0" w:space="0" w:color="000000"/>
            </w:tcBorders>
          </w:tcPr>
          <w:p>
            <w:pPr>
              <w:pStyle w:val="TableParagraph"/>
              <w:rPr>
                <w:b/>
                <w:sz w:val="16"/>
              </w:rPr>
            </w:pPr>
          </w:p>
          <w:p>
            <w:pPr>
              <w:pStyle w:val="TableParagraph"/>
              <w:spacing w:before="122"/>
              <w:ind w:right="39"/>
              <w:jc w:val="right"/>
              <w:rPr>
                <w:b/>
                <w:sz w:val="16"/>
              </w:rPr>
            </w:pPr>
            <w:r>
              <w:rPr>
                <w:b/>
                <w:w w:val="95"/>
                <w:sz w:val="16"/>
              </w:rPr>
              <w:t>15,930</w:t>
            </w:r>
          </w:p>
        </w:tc>
        <w:tc>
          <w:tcPr>
            <w:tcW w:w="580" w:type="dxa"/>
            <w:tcBorders>
              <w:top w:val="single" w:sz="0" w:space="0" w:color="000000"/>
              <w:bottom w:val="single" w:sz="0" w:space="0" w:color="000000"/>
            </w:tcBorders>
          </w:tcPr>
          <w:p>
            <w:pPr/>
          </w:p>
        </w:tc>
        <w:tc>
          <w:tcPr>
            <w:tcW w:w="677" w:type="dxa"/>
            <w:tcBorders>
              <w:top w:val="single" w:sz="0" w:space="0" w:color="000000"/>
              <w:bottom w:val="single" w:sz="0" w:space="0" w:color="000000"/>
            </w:tcBorders>
          </w:tcPr>
          <w:p>
            <w:pPr>
              <w:pStyle w:val="TableParagraph"/>
              <w:rPr>
                <w:b/>
                <w:sz w:val="16"/>
              </w:rPr>
            </w:pPr>
          </w:p>
          <w:p>
            <w:pPr>
              <w:pStyle w:val="TableParagraph"/>
              <w:spacing w:before="122"/>
              <w:ind w:right="129"/>
              <w:jc w:val="right"/>
              <w:rPr>
                <w:sz w:val="16"/>
              </w:rPr>
            </w:pPr>
            <w:r>
              <w:rPr>
                <w:w w:val="95"/>
                <w:sz w:val="16"/>
              </w:rPr>
              <w:t>9,506</w:t>
            </w:r>
          </w:p>
        </w:tc>
        <w:tc>
          <w:tcPr>
            <w:tcW w:w="612" w:type="dxa"/>
            <w:tcBorders>
              <w:top w:val="single" w:sz="0" w:space="0" w:color="000000"/>
              <w:bottom w:val="single" w:sz="0" w:space="0" w:color="000000"/>
            </w:tcBorders>
          </w:tcPr>
          <w:p>
            <w:pPr/>
          </w:p>
        </w:tc>
        <w:tc>
          <w:tcPr>
            <w:tcW w:w="618" w:type="dxa"/>
            <w:tcBorders>
              <w:top w:val="single" w:sz="0" w:space="0" w:color="000000"/>
              <w:bottom w:val="single" w:sz="0" w:space="0" w:color="000000"/>
            </w:tcBorders>
          </w:tcPr>
          <w:p>
            <w:pPr>
              <w:pStyle w:val="TableParagraph"/>
              <w:rPr>
                <w:b/>
                <w:sz w:val="16"/>
              </w:rPr>
            </w:pPr>
          </w:p>
          <w:p>
            <w:pPr>
              <w:pStyle w:val="TableParagraph"/>
              <w:spacing w:before="122"/>
              <w:ind w:right="39"/>
              <w:jc w:val="right"/>
              <w:rPr>
                <w:b/>
                <w:sz w:val="16"/>
              </w:rPr>
            </w:pPr>
            <w:r>
              <w:rPr>
                <w:b/>
                <w:w w:val="95"/>
                <w:sz w:val="16"/>
              </w:rPr>
              <w:t>15,905</w:t>
            </w:r>
          </w:p>
        </w:tc>
        <w:tc>
          <w:tcPr>
            <w:tcW w:w="580" w:type="dxa"/>
            <w:tcBorders>
              <w:top w:val="single" w:sz="0" w:space="0" w:color="000000"/>
              <w:bottom w:val="single" w:sz="0" w:space="0" w:color="000000"/>
            </w:tcBorders>
          </w:tcPr>
          <w:p>
            <w:pPr/>
          </w:p>
        </w:tc>
        <w:tc>
          <w:tcPr>
            <w:tcW w:w="628" w:type="dxa"/>
            <w:tcBorders>
              <w:top w:val="single" w:sz="0" w:space="0" w:color="000000"/>
              <w:bottom w:val="single" w:sz="0" w:space="0" w:color="000000"/>
            </w:tcBorders>
          </w:tcPr>
          <w:p>
            <w:pPr>
              <w:pStyle w:val="TableParagraph"/>
              <w:rPr>
                <w:b/>
                <w:sz w:val="16"/>
              </w:rPr>
            </w:pPr>
          </w:p>
          <w:p>
            <w:pPr>
              <w:pStyle w:val="TableParagraph"/>
              <w:spacing w:before="122"/>
              <w:ind w:right="79"/>
              <w:jc w:val="right"/>
              <w:rPr>
                <w:sz w:val="16"/>
              </w:rPr>
            </w:pPr>
            <w:r>
              <w:rPr>
                <w:w w:val="95"/>
                <w:sz w:val="16"/>
              </w:rPr>
              <w:t>9,439</w:t>
            </w:r>
          </w:p>
        </w:tc>
      </w:tr>
    </w:tbl>
    <w:p>
      <w:pPr>
        <w:pStyle w:val="BodyText"/>
        <w:rPr>
          <w:b/>
          <w:sz w:val="20"/>
        </w:rPr>
      </w:pPr>
    </w:p>
    <w:p>
      <w:pPr>
        <w:pStyle w:val="BodyText"/>
        <w:rPr>
          <w:b/>
          <w:sz w:val="22"/>
        </w:rPr>
      </w:pPr>
    </w:p>
    <w:p>
      <w:pPr>
        <w:tabs>
          <w:tab w:pos="7575" w:val="left" w:leader="none"/>
        </w:tabs>
        <w:spacing w:before="0"/>
        <w:ind w:left="5113" w:right="125" w:firstLine="0"/>
        <w:jc w:val="left"/>
        <w:rPr>
          <w:b/>
          <w:sz w:val="16"/>
        </w:rPr>
      </w:pPr>
      <w:r>
        <w:rPr>
          <w:b/>
          <w:sz w:val="16"/>
        </w:rPr>
        <w:t>Consolidated</w:t>
        <w:tab/>
        <w:t>Parent</w:t>
      </w:r>
    </w:p>
    <w:p>
      <w:pPr>
        <w:spacing w:after="0"/>
        <w:jc w:val="left"/>
        <w:rPr>
          <w:sz w:val="16"/>
        </w:rPr>
        <w:sectPr>
          <w:footerReference w:type="default" r:id="rId70"/>
          <w:pgSz w:w="11910" w:h="16840"/>
          <w:pgMar w:footer="507" w:header="1038" w:top="2220" w:bottom="700" w:left="900" w:right="860"/>
        </w:sectPr>
      </w:pPr>
    </w:p>
    <w:p>
      <w:pPr>
        <w:pStyle w:val="BodyText"/>
        <w:rPr>
          <w:b/>
        </w:rPr>
      </w:pPr>
    </w:p>
    <w:p>
      <w:pPr>
        <w:pStyle w:val="BodyText"/>
        <w:rPr>
          <w:b/>
        </w:rPr>
      </w:pPr>
    </w:p>
    <w:p>
      <w:pPr>
        <w:pStyle w:val="BodyText"/>
        <w:spacing w:before="6"/>
        <w:rPr>
          <w:b/>
          <w:sz w:val="15"/>
        </w:rPr>
      </w:pPr>
    </w:p>
    <w:p>
      <w:pPr>
        <w:pStyle w:val="Heading9"/>
        <w:ind w:left="1053" w:right="-19"/>
      </w:pPr>
      <w:r>
        <w:rPr/>
        <w:t>Total Australian Government</w:t>
      </w:r>
    </w:p>
    <w:p>
      <w:pPr>
        <w:spacing w:before="66"/>
        <w:ind w:left="0" w:right="37" w:firstLine="0"/>
        <w:jc w:val="right"/>
        <w:rPr>
          <w:b/>
          <w:sz w:val="16"/>
        </w:rPr>
      </w:pPr>
      <w:r>
        <w:rPr/>
        <w:br w:type="column"/>
      </w:r>
      <w:r>
        <w:rPr>
          <w:b/>
          <w:w w:val="95"/>
          <w:sz w:val="16"/>
        </w:rPr>
        <w:t>2012</w:t>
      </w:r>
    </w:p>
    <w:p>
      <w:pPr>
        <w:spacing w:before="66"/>
        <w:ind w:left="0" w:right="0" w:firstLine="0"/>
        <w:jc w:val="right"/>
        <w:rPr>
          <w:b/>
          <w:sz w:val="16"/>
        </w:rPr>
      </w:pPr>
      <w:r>
        <w:rPr>
          <w:b/>
          <w:w w:val="95"/>
          <w:sz w:val="16"/>
        </w:rPr>
        <w:t>$'000</w:t>
      </w:r>
    </w:p>
    <w:p>
      <w:pPr>
        <w:spacing w:before="66"/>
        <w:ind w:left="713" w:right="-1" w:firstLine="0"/>
        <w:jc w:val="left"/>
        <w:rPr>
          <w:b/>
          <w:sz w:val="16"/>
        </w:rPr>
      </w:pPr>
      <w:r>
        <w:rPr/>
        <w:br w:type="column"/>
      </w:r>
      <w:r>
        <w:rPr>
          <w:b/>
          <w:sz w:val="16"/>
        </w:rPr>
        <w:t>2011</w:t>
      </w:r>
    </w:p>
    <w:p>
      <w:pPr>
        <w:spacing w:before="66"/>
        <w:ind w:left="713" w:right="-1" w:firstLine="0"/>
        <w:jc w:val="left"/>
        <w:rPr>
          <w:b/>
          <w:sz w:val="16"/>
        </w:rPr>
      </w:pPr>
      <w:r>
        <w:rPr>
          <w:b/>
          <w:w w:val="95"/>
          <w:sz w:val="16"/>
        </w:rPr>
        <w:t>$'000</w:t>
      </w:r>
    </w:p>
    <w:p>
      <w:pPr>
        <w:spacing w:before="66"/>
        <w:ind w:left="0" w:right="37" w:firstLine="0"/>
        <w:jc w:val="right"/>
        <w:rPr>
          <w:b/>
          <w:sz w:val="16"/>
        </w:rPr>
      </w:pPr>
      <w:r>
        <w:rPr/>
        <w:br w:type="column"/>
      </w:r>
      <w:r>
        <w:rPr>
          <w:b/>
          <w:w w:val="95"/>
          <w:sz w:val="16"/>
        </w:rPr>
        <w:t>2012</w:t>
      </w:r>
    </w:p>
    <w:p>
      <w:pPr>
        <w:spacing w:before="66"/>
        <w:ind w:left="0" w:right="0" w:firstLine="0"/>
        <w:jc w:val="right"/>
        <w:rPr>
          <w:b/>
          <w:sz w:val="16"/>
        </w:rPr>
      </w:pPr>
      <w:r>
        <w:rPr>
          <w:b/>
          <w:w w:val="95"/>
          <w:sz w:val="16"/>
        </w:rPr>
        <w:t>$'000</w:t>
      </w:r>
    </w:p>
    <w:p>
      <w:pPr>
        <w:spacing w:before="66"/>
        <w:ind w:left="657" w:right="834" w:firstLine="0"/>
        <w:jc w:val="center"/>
        <w:rPr>
          <w:b/>
          <w:sz w:val="16"/>
        </w:rPr>
      </w:pPr>
      <w:r>
        <w:rPr/>
        <w:br w:type="column"/>
      </w:r>
      <w:r>
        <w:rPr>
          <w:b/>
          <w:sz w:val="16"/>
        </w:rPr>
        <w:t>2011</w:t>
      </w:r>
    </w:p>
    <w:p>
      <w:pPr>
        <w:spacing w:before="66"/>
        <w:ind w:left="695" w:right="834" w:firstLine="0"/>
        <w:jc w:val="center"/>
        <w:rPr>
          <w:b/>
          <w:sz w:val="16"/>
        </w:rPr>
      </w:pPr>
      <w:r>
        <w:rPr>
          <w:b/>
          <w:sz w:val="16"/>
        </w:rPr>
        <w:t>$'000</w:t>
      </w:r>
    </w:p>
    <w:p>
      <w:pPr>
        <w:spacing w:after="0"/>
        <w:jc w:val="center"/>
        <w:rPr>
          <w:sz w:val="16"/>
        </w:rPr>
        <w:sectPr>
          <w:type w:val="continuous"/>
          <w:pgSz w:w="11910" w:h="16840"/>
          <w:pgMar w:top="0" w:bottom="280" w:left="900" w:right="860"/>
          <w:cols w:num="5" w:equalWidth="0">
            <w:col w:w="3525" w:space="685"/>
            <w:col w:w="1447" w:space="40"/>
            <w:col w:w="1107" w:space="40"/>
            <w:col w:w="1302" w:space="40"/>
            <w:col w:w="1964"/>
          </w:cols>
        </w:sectPr>
      </w:pPr>
    </w:p>
    <w:p>
      <w:pPr>
        <w:tabs>
          <w:tab w:pos="5709" w:val="left" w:leader="none"/>
          <w:tab w:pos="6878" w:val="left" w:leader="none"/>
          <w:tab w:pos="8197" w:val="left" w:leader="none"/>
          <w:tab w:pos="9365" w:val="left" w:leader="none"/>
        </w:tabs>
        <w:spacing w:before="2"/>
        <w:ind w:left="1053" w:right="125" w:firstLine="0"/>
        <w:jc w:val="left"/>
        <w:rPr>
          <w:sz w:val="16"/>
        </w:rPr>
      </w:pPr>
      <w:r>
        <w:rPr/>
        <w:pict>
          <v:group style="position:absolute;margin-left:297.429993pt;margin-top:11.612194pt;width:248.9pt;height:2.5pt;mso-position-horizontal-relative:page;mso-position-vertical-relative:paragraph;z-index:2008;mso-wrap-distance-left:0;mso-wrap-distance-right:0" coordorigin="5949,232" coordsize="4978,50">
            <v:line style="position:absolute" from="5950,233" to="6102,233" stroked="true" strokeweight=".06pt" strokecolor="#000000"/>
            <v:line style="position:absolute" from="5950,234" to="6102,234" stroked="true" strokeweight=".06pt" strokecolor="#000000"/>
            <v:line style="position:absolute" from="5950,236" to="6102,236" stroked="true" strokeweight=".06pt" strokecolor="#000000"/>
            <v:line style="position:absolute" from="5950,237" to="6102,237" stroked="true" strokeweight=".06pt" strokecolor="#000000"/>
            <v:line style="position:absolute" from="5950,238" to="6102,238" stroked="true" strokeweight=".06pt" strokecolor="#000000"/>
            <v:line style="position:absolute" from="5950,239" to="6102,239" stroked="true" strokeweight=".06pt" strokecolor="#000000"/>
            <v:line style="position:absolute" from="5950,240" to="6102,240" stroked="true" strokeweight=".06pt" strokecolor="#000000"/>
            <v:line style="position:absolute" from="5950,242" to="6102,242" stroked="true" strokeweight=".06pt" strokecolor="#000000"/>
            <v:line style="position:absolute" from="5950,243" to="6102,243" stroked="true" strokeweight=".06pt" strokecolor="#000000"/>
            <v:line style="position:absolute" from="5950,244" to="6102,244" stroked="true" strokeweight=".06pt" strokecolor="#000000"/>
            <v:line style="position:absolute" from="5950,245" to="6102,245" stroked="true" strokeweight=".06pt" strokecolor="#000000"/>
            <v:line style="position:absolute" from="5950,246" to="6102,246" stroked="true" strokeweight=".06pt" strokecolor="#000000"/>
            <v:line style="position:absolute" from="5950,248" to="6102,248" stroked="true" strokeweight=".06pt" strokecolor="#000000"/>
            <v:line style="position:absolute" from="5950,267" to="6102,267" stroked="true" strokeweight=".06pt" strokecolor="#000000"/>
            <v:line style="position:absolute" from="5950,268" to="6102,268" stroked="true" strokeweight=".06pt" strokecolor="#000000"/>
            <v:line style="position:absolute" from="5950,269" to="6102,269" stroked="true" strokeweight=".06pt" strokecolor="#000000"/>
            <v:line style="position:absolute" from="5950,270" to="6102,270" stroked="true" strokeweight=".06pt" strokecolor="#000000"/>
            <v:line style="position:absolute" from="5950,272" to="6102,272" stroked="true" strokeweight=".06pt" strokecolor="#000000"/>
            <v:line style="position:absolute" from="5950,273" to="6102,273" stroked="true" strokeweight=".06pt" strokecolor="#000000"/>
            <v:line style="position:absolute" from="5950,274" to="6102,274" stroked="true" strokeweight=".06pt" strokecolor="#000000"/>
            <v:line style="position:absolute" from="5950,275" to="6102,275" stroked="true" strokeweight=".06pt" strokecolor="#000000"/>
            <v:line style="position:absolute" from="5950,276" to="6102,276" stroked="true" strokeweight=".06pt" strokecolor="#000000"/>
            <v:line style="position:absolute" from="5950,278" to="6102,278" stroked="true" strokeweight=".06pt" strokecolor="#000000"/>
            <v:line style="position:absolute" from="5950,279" to="6102,279" stroked="true" strokeweight=".06pt" strokecolor="#000000"/>
            <v:line style="position:absolute" from="5950,280" to="6102,280" stroked="true" strokeweight=".06pt" strokecolor="#000000"/>
            <v:line style="position:absolute" from="5950,281" to="6102,281" stroked="true" strokeweight=".06pt" strokecolor="#000000"/>
            <v:line style="position:absolute" from="6102,233" to="7270,233" stroked="true" strokeweight=".06pt" strokecolor="#000000"/>
            <v:line style="position:absolute" from="6102,234" to="7270,234" stroked="true" strokeweight=".06pt" strokecolor="#000000"/>
            <v:line style="position:absolute" from="6102,236" to="7270,236" stroked="true" strokeweight=".06pt" strokecolor="#000000"/>
            <v:line style="position:absolute" from="6102,237" to="7270,237" stroked="true" strokeweight=".06pt" strokecolor="#000000"/>
            <v:line style="position:absolute" from="6102,238" to="7270,238" stroked="true" strokeweight=".06pt" strokecolor="#000000"/>
            <v:line style="position:absolute" from="6102,239" to="7270,239" stroked="true" strokeweight=".06pt" strokecolor="#000000"/>
            <v:line style="position:absolute" from="6102,240" to="7270,240" stroked="true" strokeweight=".06pt" strokecolor="#000000"/>
            <v:line style="position:absolute" from="6102,242" to="7270,242" stroked="true" strokeweight=".06pt" strokecolor="#000000"/>
            <v:line style="position:absolute" from="6102,243" to="7270,243" stroked="true" strokeweight=".06pt" strokecolor="#000000"/>
            <v:line style="position:absolute" from="6102,244" to="7270,244" stroked="true" strokeweight=".06pt" strokecolor="#000000"/>
            <v:line style="position:absolute" from="6102,245" to="7270,245" stroked="true" strokeweight=".06pt" strokecolor="#000000"/>
            <v:line style="position:absolute" from="6102,246" to="7270,246" stroked="true" strokeweight=".06pt" strokecolor="#000000"/>
            <v:line style="position:absolute" from="6102,248" to="7270,248" stroked="true" strokeweight=".06pt" strokecolor="#000000"/>
            <v:line style="position:absolute" from="6102,267" to="7270,267" stroked="true" strokeweight=".06pt" strokecolor="#000000"/>
            <v:line style="position:absolute" from="6102,268" to="7270,268" stroked="true" strokeweight=".06pt" strokecolor="#000000"/>
            <v:line style="position:absolute" from="6102,269" to="7270,269" stroked="true" strokeweight=".06pt" strokecolor="#000000"/>
            <v:line style="position:absolute" from="6102,270" to="7270,270" stroked="true" strokeweight=".06pt" strokecolor="#000000"/>
            <v:line style="position:absolute" from="6102,272" to="7270,272" stroked="true" strokeweight=".06pt" strokecolor="#000000"/>
            <v:line style="position:absolute" from="6102,273" to="7270,273" stroked="true" strokeweight=".06pt" strokecolor="#000000"/>
            <v:line style="position:absolute" from="6102,274" to="7270,274" stroked="true" strokeweight=".06pt" strokecolor="#000000"/>
            <v:line style="position:absolute" from="6102,275" to="7270,275" stroked="true" strokeweight=".06pt" strokecolor="#000000"/>
            <v:line style="position:absolute" from="6102,276" to="7270,276" stroked="true" strokeweight=".06pt" strokecolor="#000000"/>
            <v:line style="position:absolute" from="6102,278" to="7270,278" stroked="true" strokeweight=".06pt" strokecolor="#000000"/>
            <v:line style="position:absolute" from="6102,279" to="7270,279" stroked="true" strokeweight=".06pt" strokecolor="#000000"/>
            <v:line style="position:absolute" from="6102,280" to="7270,280" stroked="true" strokeweight=".06pt" strokecolor="#000000"/>
            <v:line style="position:absolute" from="6102,281" to="7270,281" stroked="true" strokeweight=".06pt" strokecolor="#000000"/>
            <v:line style="position:absolute" from="7270,233" to="8437,233" stroked="true" strokeweight=".06pt" strokecolor="#000000"/>
            <v:line style="position:absolute" from="7270,234" to="8437,234" stroked="true" strokeweight=".06pt" strokecolor="#000000"/>
            <v:line style="position:absolute" from="7270,236" to="8437,236" stroked="true" strokeweight=".06pt" strokecolor="#000000"/>
            <v:line style="position:absolute" from="7270,237" to="8437,237" stroked="true" strokeweight=".06pt" strokecolor="#000000"/>
            <v:line style="position:absolute" from="7270,238" to="8437,238" stroked="true" strokeweight=".06pt" strokecolor="#000000"/>
            <v:line style="position:absolute" from="7270,239" to="8437,239" stroked="true" strokeweight=".06pt" strokecolor="#000000"/>
            <v:line style="position:absolute" from="7270,240" to="8437,240" stroked="true" strokeweight=".06pt" strokecolor="#000000"/>
            <v:line style="position:absolute" from="7270,242" to="8437,242" stroked="true" strokeweight=".06pt" strokecolor="#000000"/>
            <v:line style="position:absolute" from="7270,243" to="8437,243" stroked="true" strokeweight=".06pt" strokecolor="#000000"/>
            <v:line style="position:absolute" from="7270,244" to="8437,244" stroked="true" strokeweight=".06pt" strokecolor="#000000"/>
            <v:line style="position:absolute" from="7270,245" to="8437,245" stroked="true" strokeweight=".06pt" strokecolor="#000000"/>
            <v:line style="position:absolute" from="7270,246" to="8437,246" stroked="true" strokeweight=".06pt" strokecolor="#000000"/>
            <v:line style="position:absolute" from="7270,248" to="8437,248" stroked="true" strokeweight=".06pt" strokecolor="#000000"/>
            <v:line style="position:absolute" from="7270,267" to="8437,267" stroked="true" strokeweight=".06pt" strokecolor="#000000"/>
            <v:line style="position:absolute" from="7270,268" to="8437,268" stroked="true" strokeweight=".06pt" strokecolor="#000000"/>
            <v:line style="position:absolute" from="7270,269" to="8437,269" stroked="true" strokeweight=".06pt" strokecolor="#000000"/>
            <v:line style="position:absolute" from="7270,270" to="8437,270" stroked="true" strokeweight=".06pt" strokecolor="#000000"/>
            <v:line style="position:absolute" from="7270,272" to="8437,272" stroked="true" strokeweight=".06pt" strokecolor="#000000"/>
            <v:line style="position:absolute" from="7270,273" to="8437,273" stroked="true" strokeweight=".06pt" strokecolor="#000000"/>
            <v:line style="position:absolute" from="7270,274" to="8437,274" stroked="true" strokeweight=".06pt" strokecolor="#000000"/>
            <v:line style="position:absolute" from="7270,275" to="8437,275" stroked="true" strokeweight=".06pt" strokecolor="#000000"/>
            <v:line style="position:absolute" from="7270,276" to="8437,276" stroked="true" strokeweight=".06pt" strokecolor="#000000"/>
            <v:line style="position:absolute" from="7270,278" to="8437,278" stroked="true" strokeweight=".06pt" strokecolor="#000000"/>
            <v:line style="position:absolute" from="7270,279" to="8437,279" stroked="true" strokeweight=".06pt" strokecolor="#000000"/>
            <v:line style="position:absolute" from="7270,280" to="8437,280" stroked="true" strokeweight=".06pt" strokecolor="#000000"/>
            <v:line style="position:absolute" from="7270,281" to="8437,281" stroked="true" strokeweight=".06pt" strokecolor="#000000"/>
            <v:line style="position:absolute" from="8437,233" to="8590,233" stroked="true" strokeweight=".06pt" strokecolor="#000000"/>
            <v:line style="position:absolute" from="8437,234" to="8590,234" stroked="true" strokeweight=".06pt" strokecolor="#000000"/>
            <v:line style="position:absolute" from="8437,236" to="8590,236" stroked="true" strokeweight=".06pt" strokecolor="#000000"/>
            <v:line style="position:absolute" from="8437,237" to="8590,237" stroked="true" strokeweight=".06pt" strokecolor="#000000"/>
            <v:line style="position:absolute" from="8437,238" to="8590,238" stroked="true" strokeweight=".06pt" strokecolor="#000000"/>
            <v:line style="position:absolute" from="8437,239" to="8590,239" stroked="true" strokeweight=".06pt" strokecolor="#000000"/>
            <v:line style="position:absolute" from="8437,240" to="8590,240" stroked="true" strokeweight=".06pt" strokecolor="#000000"/>
            <v:line style="position:absolute" from="8437,242" to="8590,242" stroked="true" strokeweight=".06pt" strokecolor="#000000"/>
            <v:line style="position:absolute" from="8437,243" to="8590,243" stroked="true" strokeweight=".06pt" strokecolor="#000000"/>
            <v:line style="position:absolute" from="8437,244" to="8590,244" stroked="true" strokeweight=".06pt" strokecolor="#000000"/>
            <v:line style="position:absolute" from="8437,245" to="8590,245" stroked="true" strokeweight=".06pt" strokecolor="#000000"/>
            <v:line style="position:absolute" from="8437,246" to="8590,246" stroked="true" strokeweight=".06pt" strokecolor="#000000"/>
            <v:line style="position:absolute" from="8437,248" to="8590,248" stroked="true" strokeweight=".06pt" strokecolor="#000000"/>
            <v:line style="position:absolute" from="8437,267" to="8590,267" stroked="true" strokeweight=".06pt" strokecolor="#000000"/>
            <v:line style="position:absolute" from="8437,268" to="8590,268" stroked="true" strokeweight=".06pt" strokecolor="#000000"/>
            <v:line style="position:absolute" from="8437,269" to="8590,269" stroked="true" strokeweight=".06pt" strokecolor="#000000"/>
            <v:line style="position:absolute" from="8437,270" to="8590,270" stroked="true" strokeweight=".06pt" strokecolor="#000000"/>
            <v:line style="position:absolute" from="8437,272" to="8590,272" stroked="true" strokeweight=".06pt" strokecolor="#000000"/>
            <v:line style="position:absolute" from="8437,273" to="8590,273" stroked="true" strokeweight=".06pt" strokecolor="#000000"/>
            <v:line style="position:absolute" from="8437,274" to="8590,274" stroked="true" strokeweight=".06pt" strokecolor="#000000"/>
            <v:line style="position:absolute" from="8437,275" to="8590,275" stroked="true" strokeweight=".06pt" strokecolor="#000000"/>
            <v:line style="position:absolute" from="8437,276" to="8590,276" stroked="true" strokeweight=".06pt" strokecolor="#000000"/>
            <v:line style="position:absolute" from="8437,278" to="8590,278" stroked="true" strokeweight=".06pt" strokecolor="#000000"/>
            <v:line style="position:absolute" from="8437,279" to="8590,279" stroked="true" strokeweight=".06pt" strokecolor="#000000"/>
            <v:line style="position:absolute" from="8437,280" to="8590,280" stroked="true" strokeweight=".06pt" strokecolor="#000000"/>
            <v:line style="position:absolute" from="8437,281" to="8590,281" stroked="true" strokeweight=".06pt" strokecolor="#000000"/>
            <v:line style="position:absolute" from="8590,233" to="9757,233" stroked="true" strokeweight=".06pt" strokecolor="#000000"/>
            <v:line style="position:absolute" from="8590,234" to="9757,234" stroked="true" strokeweight=".06pt" strokecolor="#000000"/>
            <v:line style="position:absolute" from="8590,236" to="9757,236" stroked="true" strokeweight=".06pt" strokecolor="#000000"/>
            <v:line style="position:absolute" from="8590,237" to="9757,237" stroked="true" strokeweight=".06pt" strokecolor="#000000"/>
            <v:line style="position:absolute" from="8590,238" to="9757,238" stroked="true" strokeweight=".06pt" strokecolor="#000000"/>
            <v:line style="position:absolute" from="8590,239" to="9757,239" stroked="true" strokeweight=".06pt" strokecolor="#000000"/>
            <v:line style="position:absolute" from="8590,240" to="9757,240" stroked="true" strokeweight=".06pt" strokecolor="#000000"/>
            <v:line style="position:absolute" from="8590,242" to="9757,242" stroked="true" strokeweight=".06pt" strokecolor="#000000"/>
            <v:line style="position:absolute" from="8590,243" to="9757,243" stroked="true" strokeweight=".06pt" strokecolor="#000000"/>
            <v:line style="position:absolute" from="8590,244" to="9757,244" stroked="true" strokeweight=".06pt" strokecolor="#000000"/>
            <v:line style="position:absolute" from="8590,245" to="9757,245" stroked="true" strokeweight=".06pt" strokecolor="#000000"/>
            <v:line style="position:absolute" from="8590,246" to="9757,246" stroked="true" strokeweight=".06pt" strokecolor="#000000"/>
            <v:line style="position:absolute" from="8590,248" to="9757,248" stroked="true" strokeweight=".06pt" strokecolor="#000000"/>
            <v:line style="position:absolute" from="8590,267" to="9757,267" stroked="true" strokeweight=".06pt" strokecolor="#000000"/>
            <v:line style="position:absolute" from="8590,268" to="9757,268" stroked="true" strokeweight=".06pt" strokecolor="#000000"/>
            <v:line style="position:absolute" from="8590,269" to="9757,269" stroked="true" strokeweight=".06pt" strokecolor="#000000"/>
            <v:line style="position:absolute" from="8590,270" to="9757,270" stroked="true" strokeweight=".06pt" strokecolor="#000000"/>
            <v:line style="position:absolute" from="8590,272" to="9757,272" stroked="true" strokeweight=".06pt" strokecolor="#000000"/>
            <v:line style="position:absolute" from="8590,273" to="9757,273" stroked="true" strokeweight=".06pt" strokecolor="#000000"/>
            <v:line style="position:absolute" from="8590,274" to="9757,274" stroked="true" strokeweight=".06pt" strokecolor="#000000"/>
            <v:line style="position:absolute" from="8590,275" to="9757,275" stroked="true" strokeweight=".06pt" strokecolor="#000000"/>
            <v:line style="position:absolute" from="8590,276" to="9757,276" stroked="true" strokeweight=".06pt" strokecolor="#000000"/>
            <v:line style="position:absolute" from="8590,278" to="9757,278" stroked="true" strokeweight=".06pt" strokecolor="#000000"/>
            <v:line style="position:absolute" from="8590,279" to="9757,279" stroked="true" strokeweight=".06pt" strokecolor="#000000"/>
            <v:line style="position:absolute" from="8590,280" to="9757,280" stroked="true" strokeweight=".06pt" strokecolor="#000000"/>
            <v:line style="position:absolute" from="8590,281" to="9757,281" stroked="true" strokeweight=".06pt" strokecolor="#000000"/>
            <v:line style="position:absolute" from="9757,233" to="10925,233" stroked="true" strokeweight=".06pt" strokecolor="#000000"/>
            <v:line style="position:absolute" from="9757,234" to="10925,234" stroked="true" strokeweight=".06pt" strokecolor="#000000"/>
            <v:line style="position:absolute" from="9757,236" to="10925,236" stroked="true" strokeweight=".06pt" strokecolor="#000000"/>
            <v:line style="position:absolute" from="9757,237" to="10925,237" stroked="true" strokeweight=".06pt" strokecolor="#000000"/>
            <v:line style="position:absolute" from="9757,238" to="10925,238" stroked="true" strokeweight=".06pt" strokecolor="#000000"/>
            <v:line style="position:absolute" from="9757,239" to="10925,239" stroked="true" strokeweight=".06pt" strokecolor="#000000"/>
            <v:line style="position:absolute" from="9757,240" to="10925,240" stroked="true" strokeweight=".06pt" strokecolor="#000000"/>
            <v:line style="position:absolute" from="9757,242" to="10925,242" stroked="true" strokeweight=".06pt" strokecolor="#000000"/>
            <v:line style="position:absolute" from="9757,243" to="10925,243" stroked="true" strokeweight=".06pt" strokecolor="#000000"/>
            <v:line style="position:absolute" from="9757,244" to="10925,244" stroked="true" strokeweight=".06pt" strokecolor="#000000"/>
            <v:line style="position:absolute" from="9757,245" to="10925,245" stroked="true" strokeweight=".06pt" strokecolor="#000000"/>
            <v:line style="position:absolute" from="9757,246" to="10925,246" stroked="true" strokeweight=".06pt" strokecolor="#000000"/>
            <v:line style="position:absolute" from="9757,248" to="10925,248" stroked="true" strokeweight=".06pt" strokecolor="#000000"/>
            <v:line style="position:absolute" from="9757,267" to="10925,267" stroked="true" strokeweight=".06pt" strokecolor="#000000"/>
            <v:line style="position:absolute" from="9757,268" to="10925,268" stroked="true" strokeweight=".06pt" strokecolor="#000000"/>
            <v:line style="position:absolute" from="9757,269" to="10925,269" stroked="true" strokeweight=".06pt" strokecolor="#000000"/>
            <v:line style="position:absolute" from="9757,270" to="10925,270" stroked="true" strokeweight=".06pt" strokecolor="#000000"/>
            <v:line style="position:absolute" from="9757,272" to="10925,272" stroked="true" strokeweight=".06pt" strokecolor="#000000"/>
            <v:line style="position:absolute" from="9757,273" to="10925,273" stroked="true" strokeweight=".06pt" strokecolor="#000000"/>
            <v:line style="position:absolute" from="9757,274" to="10925,274" stroked="true" strokeweight=".06pt" strokecolor="#000000"/>
            <v:line style="position:absolute" from="9757,275" to="10925,275" stroked="true" strokeweight=".06pt" strokecolor="#000000"/>
            <v:line style="position:absolute" from="9757,276" to="10925,276" stroked="true" strokeweight=".06pt" strokecolor="#000000"/>
            <v:line style="position:absolute" from="9757,278" to="10925,278" stroked="true" strokeweight=".06pt" strokecolor="#000000"/>
            <v:line style="position:absolute" from="9757,279" to="10925,279" stroked="true" strokeweight=".06pt" strokecolor="#000000"/>
            <v:line style="position:absolute" from="9757,280" to="10925,280" stroked="true" strokeweight=".06pt" strokecolor="#000000"/>
            <v:line style="position:absolute" from="9757,281" to="10925,281" stroked="true" strokeweight=".06pt" strokecolor="#000000"/>
            <w10:wrap type="topAndBottom"/>
          </v:group>
        </w:pict>
      </w:r>
      <w:r>
        <w:rPr>
          <w:b/>
          <w:sz w:val="18"/>
        </w:rPr>
        <w:t>Financial Assistance</w:t>
        <w:tab/>
      </w:r>
      <w:r>
        <w:rPr>
          <w:b/>
          <w:sz w:val="16"/>
        </w:rPr>
        <w:t>496,943</w:t>
        <w:tab/>
      </w:r>
      <w:r>
        <w:rPr>
          <w:sz w:val="16"/>
        </w:rPr>
        <w:t>401,003</w:t>
        <w:tab/>
      </w:r>
      <w:r>
        <w:rPr>
          <w:b/>
          <w:sz w:val="16"/>
        </w:rPr>
        <w:t>495,734</w:t>
        <w:tab/>
      </w:r>
      <w:r>
        <w:rPr>
          <w:sz w:val="16"/>
        </w:rPr>
        <w:t>399,473</w:t>
      </w:r>
    </w:p>
    <w:p>
      <w:pPr>
        <w:pStyle w:val="BodyText"/>
        <w:spacing w:before="10"/>
        <w:rPr>
          <w:sz w:val="15"/>
        </w:rPr>
      </w:pPr>
    </w:p>
    <w:p>
      <w:pPr>
        <w:spacing w:after="0"/>
        <w:rPr>
          <w:sz w:val="15"/>
        </w:rPr>
        <w:sectPr>
          <w:type w:val="continuous"/>
          <w:pgSz w:w="11910" w:h="16840"/>
          <w:pgMar w:top="0" w:bottom="280" w:left="900" w:right="860"/>
        </w:sectPr>
      </w:pPr>
    </w:p>
    <w:p>
      <w:pPr>
        <w:spacing w:before="77"/>
        <w:ind w:left="505" w:right="-20" w:firstLine="0"/>
        <w:jc w:val="left"/>
        <w:rPr>
          <w:i/>
          <w:sz w:val="18"/>
        </w:rPr>
      </w:pPr>
      <w:r>
        <w:rPr>
          <w:i/>
          <w:sz w:val="18"/>
        </w:rPr>
        <w:t>Reconciliation</w:t>
      </w:r>
    </w:p>
    <w:p>
      <w:pPr>
        <w:pStyle w:val="BodyText"/>
        <w:rPr>
          <w:i/>
          <w:sz w:val="16"/>
        </w:rPr>
      </w:pPr>
      <w:r>
        <w:rPr/>
        <w:br w:type="column"/>
      </w:r>
      <w:r>
        <w:rPr>
          <w:i/>
          <w:sz w:val="16"/>
        </w:rPr>
      </w:r>
    </w:p>
    <w:p>
      <w:pPr>
        <w:tabs>
          <w:tab w:pos="2967" w:val="left" w:leader="none"/>
        </w:tabs>
        <w:spacing w:before="132"/>
        <w:ind w:left="505" w:right="0" w:firstLine="0"/>
        <w:jc w:val="left"/>
        <w:rPr>
          <w:b/>
          <w:sz w:val="16"/>
        </w:rPr>
      </w:pPr>
      <w:r>
        <w:rPr>
          <w:b/>
          <w:sz w:val="16"/>
        </w:rPr>
        <w:t>Consolidated</w:t>
        <w:tab/>
        <w:t>Parent</w:t>
      </w:r>
    </w:p>
    <w:p>
      <w:pPr>
        <w:spacing w:after="0"/>
        <w:jc w:val="left"/>
        <w:rPr>
          <w:sz w:val="16"/>
        </w:rPr>
        <w:sectPr>
          <w:type w:val="continuous"/>
          <w:pgSz w:w="11910" w:h="16840"/>
          <w:pgMar w:top="0" w:bottom="280" w:left="900" w:right="860"/>
          <w:cols w:num="2" w:equalWidth="0">
            <w:col w:w="1626" w:space="2982"/>
            <w:col w:w="5542"/>
          </w:cols>
        </w:sectPr>
      </w:pPr>
    </w:p>
    <w:p>
      <w:pPr>
        <w:spacing w:before="66"/>
        <w:ind w:left="0" w:right="37" w:firstLine="0"/>
        <w:jc w:val="right"/>
        <w:rPr>
          <w:b/>
          <w:sz w:val="16"/>
        </w:rPr>
      </w:pPr>
      <w:r>
        <w:rPr>
          <w:b/>
          <w:w w:val="95"/>
          <w:sz w:val="16"/>
        </w:rPr>
        <w:t>2012</w:t>
      </w:r>
    </w:p>
    <w:p>
      <w:pPr>
        <w:spacing w:before="66"/>
        <w:ind w:left="0" w:right="0" w:firstLine="0"/>
        <w:jc w:val="right"/>
        <w:rPr>
          <w:b/>
          <w:sz w:val="16"/>
        </w:rPr>
      </w:pPr>
      <w:r>
        <w:rPr>
          <w:b/>
          <w:w w:val="95"/>
          <w:sz w:val="16"/>
        </w:rPr>
        <w:t>$'000</w:t>
      </w:r>
    </w:p>
    <w:p>
      <w:pPr>
        <w:spacing w:before="66"/>
        <w:ind w:left="709" w:right="-1" w:firstLine="0"/>
        <w:jc w:val="left"/>
        <w:rPr>
          <w:b/>
          <w:sz w:val="16"/>
        </w:rPr>
      </w:pPr>
      <w:r>
        <w:rPr/>
        <w:br w:type="column"/>
      </w:r>
      <w:r>
        <w:rPr>
          <w:b/>
          <w:sz w:val="16"/>
        </w:rPr>
        <w:t>2011</w:t>
      </w:r>
    </w:p>
    <w:p>
      <w:pPr>
        <w:spacing w:before="66"/>
        <w:ind w:left="709" w:right="-1" w:firstLine="0"/>
        <w:jc w:val="left"/>
        <w:rPr>
          <w:b/>
          <w:sz w:val="16"/>
        </w:rPr>
      </w:pPr>
      <w:r>
        <w:rPr>
          <w:b/>
          <w:w w:val="95"/>
          <w:sz w:val="16"/>
        </w:rPr>
        <w:t>$'000</w:t>
      </w:r>
    </w:p>
    <w:p>
      <w:pPr>
        <w:spacing w:before="66"/>
        <w:ind w:left="0" w:right="37" w:firstLine="0"/>
        <w:jc w:val="right"/>
        <w:rPr>
          <w:b/>
          <w:sz w:val="16"/>
        </w:rPr>
      </w:pPr>
      <w:r>
        <w:rPr/>
        <w:br w:type="column"/>
      </w:r>
      <w:r>
        <w:rPr>
          <w:b/>
          <w:sz w:val="16"/>
        </w:rPr>
        <w:t>2012</w:t>
      </w:r>
    </w:p>
    <w:p>
      <w:pPr>
        <w:spacing w:before="66"/>
        <w:ind w:left="0" w:right="0" w:firstLine="0"/>
        <w:jc w:val="right"/>
        <w:rPr>
          <w:b/>
          <w:sz w:val="16"/>
        </w:rPr>
      </w:pPr>
      <w:r>
        <w:rPr>
          <w:b/>
          <w:w w:val="95"/>
          <w:sz w:val="16"/>
        </w:rPr>
        <w:t>$'000</w:t>
      </w:r>
    </w:p>
    <w:p>
      <w:pPr>
        <w:spacing w:before="66"/>
        <w:ind w:left="654" w:right="836" w:firstLine="0"/>
        <w:jc w:val="center"/>
        <w:rPr>
          <w:b/>
          <w:sz w:val="16"/>
        </w:rPr>
      </w:pPr>
      <w:r>
        <w:rPr/>
        <w:br w:type="column"/>
      </w:r>
      <w:r>
        <w:rPr>
          <w:b/>
          <w:sz w:val="16"/>
        </w:rPr>
        <w:t>2011</w:t>
      </w:r>
    </w:p>
    <w:p>
      <w:pPr>
        <w:spacing w:before="66"/>
        <w:ind w:left="692" w:right="836" w:firstLine="0"/>
        <w:jc w:val="center"/>
        <w:rPr>
          <w:b/>
          <w:sz w:val="16"/>
        </w:rPr>
      </w:pPr>
      <w:r>
        <w:rPr>
          <w:b/>
          <w:sz w:val="16"/>
        </w:rPr>
        <w:t>$'000</w:t>
      </w:r>
    </w:p>
    <w:p>
      <w:pPr>
        <w:spacing w:after="0"/>
        <w:jc w:val="center"/>
        <w:rPr>
          <w:sz w:val="16"/>
        </w:rPr>
        <w:sectPr>
          <w:type w:val="continuous"/>
          <w:pgSz w:w="11910" w:h="16840"/>
          <w:pgMar w:top="0" w:bottom="280" w:left="900" w:right="860"/>
          <w:cols w:num="4" w:equalWidth="0">
            <w:col w:w="5659" w:space="40"/>
            <w:col w:w="1103" w:space="40"/>
            <w:col w:w="1306" w:space="40"/>
            <w:col w:w="1962"/>
          </w:cols>
        </w:sectPr>
      </w:pPr>
    </w:p>
    <w:p>
      <w:pPr>
        <w:pStyle w:val="BodyText"/>
        <w:spacing w:before="4"/>
        <w:rPr>
          <w:b/>
          <w:sz w:val="8"/>
        </w:rPr>
      </w:pPr>
    </w:p>
    <w:tbl>
      <w:tblPr>
        <w:tblW w:w="0" w:type="auto"/>
        <w:jc w:val="left"/>
        <w:tblInd w:w="10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31"/>
        <w:gridCol w:w="1536"/>
        <w:gridCol w:w="1244"/>
        <w:gridCol w:w="1244"/>
        <w:gridCol w:w="951"/>
      </w:tblGrid>
      <w:tr>
        <w:trPr>
          <w:trHeight w:val="482" w:hRule="exact"/>
        </w:trPr>
        <w:tc>
          <w:tcPr>
            <w:tcW w:w="4031" w:type="dxa"/>
          </w:tcPr>
          <w:p>
            <w:pPr>
              <w:pStyle w:val="TableParagraph"/>
              <w:spacing w:before="79"/>
              <w:ind w:left="35" w:right="237"/>
              <w:rPr>
                <w:b/>
                <w:sz w:val="16"/>
              </w:rPr>
            </w:pPr>
            <w:r>
              <w:rPr>
                <w:b/>
                <w:sz w:val="16"/>
              </w:rPr>
              <w:t>Reconciliation</w:t>
            </w:r>
          </w:p>
          <w:p>
            <w:pPr>
              <w:pStyle w:val="TableParagraph"/>
              <w:spacing w:before="27"/>
              <w:ind w:left="35" w:right="237"/>
              <w:rPr>
                <w:sz w:val="16"/>
              </w:rPr>
            </w:pPr>
            <w:r>
              <w:rPr>
                <w:sz w:val="16"/>
              </w:rPr>
              <w:t>Australian Government Grants (a + c + d +</w:t>
            </w:r>
          </w:p>
        </w:tc>
        <w:tc>
          <w:tcPr>
            <w:tcW w:w="4975" w:type="dxa"/>
            <w:gridSpan w:val="4"/>
          </w:tcPr>
          <w:p>
            <w:pPr/>
          </w:p>
        </w:tc>
      </w:tr>
      <w:tr>
        <w:trPr>
          <w:trHeight w:val="349" w:hRule="exact"/>
        </w:trPr>
        <w:tc>
          <w:tcPr>
            <w:tcW w:w="4031" w:type="dxa"/>
          </w:tcPr>
          <w:p>
            <w:pPr>
              <w:pStyle w:val="TableParagraph"/>
              <w:spacing w:line="176" w:lineRule="exact"/>
              <w:ind w:left="35" w:right="237"/>
              <w:rPr>
                <w:sz w:val="16"/>
              </w:rPr>
            </w:pPr>
            <w:r>
              <w:rPr>
                <w:sz w:val="16"/>
              </w:rPr>
              <w:t>e + f +g)</w:t>
            </w:r>
          </w:p>
        </w:tc>
        <w:tc>
          <w:tcPr>
            <w:tcW w:w="1536" w:type="dxa"/>
          </w:tcPr>
          <w:p>
            <w:pPr>
              <w:pStyle w:val="TableParagraph"/>
              <w:spacing w:line="175" w:lineRule="exact"/>
              <w:ind w:right="293"/>
              <w:jc w:val="right"/>
              <w:rPr>
                <w:b/>
                <w:sz w:val="16"/>
              </w:rPr>
            </w:pPr>
            <w:r>
              <w:rPr>
                <w:b/>
                <w:w w:val="95"/>
                <w:sz w:val="16"/>
              </w:rPr>
              <w:t>325,866</w:t>
            </w:r>
          </w:p>
        </w:tc>
        <w:tc>
          <w:tcPr>
            <w:tcW w:w="1244" w:type="dxa"/>
          </w:tcPr>
          <w:p>
            <w:pPr>
              <w:pStyle w:val="TableParagraph"/>
              <w:spacing w:line="175" w:lineRule="exact"/>
              <w:ind w:right="369"/>
              <w:jc w:val="right"/>
              <w:rPr>
                <w:sz w:val="16"/>
              </w:rPr>
            </w:pPr>
            <w:r>
              <w:rPr>
                <w:w w:val="95"/>
                <w:sz w:val="16"/>
              </w:rPr>
              <w:t>246,195</w:t>
            </w:r>
          </w:p>
        </w:tc>
        <w:tc>
          <w:tcPr>
            <w:tcW w:w="1244" w:type="dxa"/>
          </w:tcPr>
          <w:p>
            <w:pPr>
              <w:pStyle w:val="TableParagraph"/>
              <w:spacing w:line="175" w:lineRule="exact"/>
              <w:ind w:right="293"/>
              <w:jc w:val="right"/>
              <w:rPr>
                <w:b/>
                <w:sz w:val="16"/>
              </w:rPr>
            </w:pPr>
            <w:r>
              <w:rPr>
                <w:b/>
                <w:w w:val="95"/>
                <w:sz w:val="16"/>
              </w:rPr>
              <w:t>325,841</w:t>
            </w:r>
          </w:p>
        </w:tc>
        <w:tc>
          <w:tcPr>
            <w:tcW w:w="951" w:type="dxa"/>
          </w:tcPr>
          <w:p>
            <w:pPr>
              <w:pStyle w:val="TableParagraph"/>
              <w:spacing w:line="175" w:lineRule="exact"/>
              <w:ind w:right="76"/>
              <w:jc w:val="right"/>
              <w:rPr>
                <w:sz w:val="16"/>
              </w:rPr>
            </w:pPr>
            <w:r>
              <w:rPr>
                <w:w w:val="95"/>
                <w:sz w:val="16"/>
              </w:rPr>
              <w:t>246,128</w:t>
            </w:r>
          </w:p>
        </w:tc>
      </w:tr>
      <w:tr>
        <w:trPr>
          <w:trHeight w:val="378" w:hRule="exact"/>
        </w:trPr>
        <w:tc>
          <w:tcPr>
            <w:tcW w:w="4031" w:type="dxa"/>
          </w:tcPr>
          <w:p>
            <w:pPr>
              <w:pStyle w:val="TableParagraph"/>
              <w:spacing w:before="7"/>
              <w:rPr>
                <w:b/>
                <w:sz w:val="13"/>
              </w:rPr>
            </w:pPr>
          </w:p>
          <w:p>
            <w:pPr>
              <w:pStyle w:val="TableParagraph"/>
              <w:spacing w:before="1"/>
              <w:ind w:left="35" w:right="237"/>
              <w:rPr>
                <w:sz w:val="16"/>
              </w:rPr>
            </w:pPr>
            <w:r>
              <w:rPr>
                <w:sz w:val="16"/>
              </w:rPr>
              <w:t>HECS - HELP payments</w:t>
            </w:r>
          </w:p>
        </w:tc>
        <w:tc>
          <w:tcPr>
            <w:tcW w:w="1536" w:type="dxa"/>
          </w:tcPr>
          <w:p>
            <w:pPr>
              <w:pStyle w:val="TableParagraph"/>
              <w:spacing w:before="6"/>
              <w:rPr>
                <w:b/>
                <w:sz w:val="13"/>
              </w:rPr>
            </w:pPr>
          </w:p>
          <w:p>
            <w:pPr>
              <w:pStyle w:val="TableParagraph"/>
              <w:ind w:right="294"/>
              <w:jc w:val="right"/>
              <w:rPr>
                <w:b/>
                <w:sz w:val="16"/>
              </w:rPr>
            </w:pPr>
            <w:r>
              <w:rPr>
                <w:b/>
                <w:w w:val="95"/>
                <w:sz w:val="16"/>
              </w:rPr>
              <w:t>156,231</w:t>
            </w:r>
          </w:p>
        </w:tc>
        <w:tc>
          <w:tcPr>
            <w:tcW w:w="1244" w:type="dxa"/>
          </w:tcPr>
          <w:p>
            <w:pPr>
              <w:pStyle w:val="TableParagraph"/>
              <w:spacing w:before="6"/>
              <w:rPr>
                <w:b/>
                <w:sz w:val="13"/>
              </w:rPr>
            </w:pPr>
          </w:p>
          <w:p>
            <w:pPr>
              <w:pStyle w:val="TableParagraph"/>
              <w:ind w:right="369"/>
              <w:jc w:val="right"/>
              <w:rPr>
                <w:sz w:val="16"/>
              </w:rPr>
            </w:pPr>
            <w:r>
              <w:rPr>
                <w:w w:val="95"/>
                <w:sz w:val="16"/>
              </w:rPr>
              <w:t>144,679</w:t>
            </w:r>
          </w:p>
        </w:tc>
        <w:tc>
          <w:tcPr>
            <w:tcW w:w="1244" w:type="dxa"/>
          </w:tcPr>
          <w:p>
            <w:pPr>
              <w:pStyle w:val="TableParagraph"/>
              <w:spacing w:before="6"/>
              <w:rPr>
                <w:b/>
                <w:sz w:val="13"/>
              </w:rPr>
            </w:pPr>
          </w:p>
          <w:p>
            <w:pPr>
              <w:pStyle w:val="TableParagraph"/>
              <w:ind w:right="294"/>
              <w:jc w:val="right"/>
              <w:rPr>
                <w:b/>
                <w:sz w:val="16"/>
              </w:rPr>
            </w:pPr>
            <w:r>
              <w:rPr>
                <w:b/>
                <w:w w:val="95"/>
                <w:sz w:val="16"/>
              </w:rPr>
              <w:t>156,231</w:t>
            </w:r>
          </w:p>
        </w:tc>
        <w:tc>
          <w:tcPr>
            <w:tcW w:w="951" w:type="dxa"/>
          </w:tcPr>
          <w:p>
            <w:pPr>
              <w:pStyle w:val="TableParagraph"/>
              <w:spacing w:before="6"/>
              <w:rPr>
                <w:b/>
                <w:sz w:val="13"/>
              </w:rPr>
            </w:pPr>
          </w:p>
          <w:p>
            <w:pPr>
              <w:pStyle w:val="TableParagraph"/>
              <w:ind w:right="76"/>
              <w:jc w:val="right"/>
              <w:rPr>
                <w:sz w:val="16"/>
              </w:rPr>
            </w:pPr>
            <w:r>
              <w:rPr>
                <w:w w:val="95"/>
                <w:sz w:val="16"/>
              </w:rPr>
              <w:t>144,679</w:t>
            </w:r>
          </w:p>
        </w:tc>
      </w:tr>
      <w:tr>
        <w:trPr>
          <w:trHeight w:val="241" w:hRule="exact"/>
        </w:trPr>
        <w:tc>
          <w:tcPr>
            <w:tcW w:w="4031" w:type="dxa"/>
          </w:tcPr>
          <w:p>
            <w:pPr>
              <w:pStyle w:val="TableParagraph"/>
              <w:spacing w:before="20"/>
              <w:ind w:left="35" w:right="237"/>
              <w:rPr>
                <w:sz w:val="16"/>
              </w:rPr>
            </w:pPr>
            <w:r>
              <w:rPr>
                <w:sz w:val="16"/>
              </w:rPr>
              <w:t>FEE - HELP payments</w:t>
            </w:r>
          </w:p>
        </w:tc>
        <w:tc>
          <w:tcPr>
            <w:tcW w:w="1536" w:type="dxa"/>
          </w:tcPr>
          <w:p>
            <w:pPr>
              <w:pStyle w:val="TableParagraph"/>
              <w:spacing w:before="19"/>
              <w:ind w:right="294"/>
              <w:jc w:val="right"/>
              <w:rPr>
                <w:b/>
                <w:sz w:val="16"/>
              </w:rPr>
            </w:pPr>
            <w:r>
              <w:rPr>
                <w:b/>
                <w:sz w:val="16"/>
              </w:rPr>
              <w:t>9,802</w:t>
            </w:r>
          </w:p>
        </w:tc>
        <w:tc>
          <w:tcPr>
            <w:tcW w:w="1244" w:type="dxa"/>
          </w:tcPr>
          <w:p>
            <w:pPr>
              <w:pStyle w:val="TableParagraph"/>
              <w:spacing w:before="19"/>
              <w:ind w:right="369"/>
              <w:jc w:val="right"/>
              <w:rPr>
                <w:sz w:val="16"/>
              </w:rPr>
            </w:pPr>
            <w:r>
              <w:rPr>
                <w:w w:val="95"/>
                <w:sz w:val="16"/>
              </w:rPr>
              <w:t>10,129</w:t>
            </w:r>
          </w:p>
        </w:tc>
        <w:tc>
          <w:tcPr>
            <w:tcW w:w="1244" w:type="dxa"/>
          </w:tcPr>
          <w:p>
            <w:pPr>
              <w:pStyle w:val="TableParagraph"/>
              <w:spacing w:before="19"/>
              <w:ind w:right="293"/>
              <w:jc w:val="right"/>
              <w:rPr>
                <w:b/>
                <w:sz w:val="16"/>
              </w:rPr>
            </w:pPr>
            <w:r>
              <w:rPr>
                <w:b/>
                <w:w w:val="95"/>
                <w:sz w:val="16"/>
              </w:rPr>
              <w:t>8,618</w:t>
            </w:r>
          </w:p>
        </w:tc>
        <w:tc>
          <w:tcPr>
            <w:tcW w:w="951" w:type="dxa"/>
          </w:tcPr>
          <w:p>
            <w:pPr>
              <w:pStyle w:val="TableParagraph"/>
              <w:spacing w:before="19"/>
              <w:ind w:right="76"/>
              <w:jc w:val="right"/>
              <w:rPr>
                <w:sz w:val="16"/>
              </w:rPr>
            </w:pPr>
            <w:r>
              <w:rPr>
                <w:w w:val="95"/>
                <w:sz w:val="16"/>
              </w:rPr>
              <w:t>8,666</w:t>
            </w:r>
          </w:p>
        </w:tc>
      </w:tr>
      <w:tr>
        <w:trPr>
          <w:trHeight w:val="241" w:hRule="exact"/>
        </w:trPr>
        <w:tc>
          <w:tcPr>
            <w:tcW w:w="4031" w:type="dxa"/>
          </w:tcPr>
          <w:p>
            <w:pPr>
              <w:pStyle w:val="TableParagraph"/>
              <w:spacing w:before="20"/>
              <w:ind w:left="35" w:right="237"/>
              <w:rPr>
                <w:sz w:val="16"/>
              </w:rPr>
            </w:pPr>
            <w:r>
              <w:rPr>
                <w:sz w:val="16"/>
              </w:rPr>
              <w:t>SA - HELP payments</w:t>
            </w:r>
          </w:p>
        </w:tc>
        <w:tc>
          <w:tcPr>
            <w:tcW w:w="1536" w:type="dxa"/>
            <w:tcBorders>
              <w:bottom w:val="single" w:sz="0" w:space="0" w:color="000000"/>
            </w:tcBorders>
          </w:tcPr>
          <w:p>
            <w:pPr>
              <w:pStyle w:val="TableParagraph"/>
              <w:spacing w:before="19"/>
              <w:ind w:right="294"/>
              <w:jc w:val="right"/>
              <w:rPr>
                <w:b/>
                <w:sz w:val="16"/>
              </w:rPr>
            </w:pPr>
            <w:r>
              <w:rPr>
                <w:b/>
                <w:w w:val="95"/>
                <w:sz w:val="16"/>
              </w:rPr>
              <w:t>5,044</w:t>
            </w:r>
          </w:p>
        </w:tc>
        <w:tc>
          <w:tcPr>
            <w:tcW w:w="1244" w:type="dxa"/>
            <w:tcBorders>
              <w:bottom w:val="single" w:sz="0" w:space="0" w:color="000000"/>
            </w:tcBorders>
          </w:tcPr>
          <w:p>
            <w:pPr>
              <w:pStyle w:val="TableParagraph"/>
              <w:spacing w:before="19"/>
              <w:ind w:right="368"/>
              <w:jc w:val="right"/>
              <w:rPr>
                <w:sz w:val="16"/>
              </w:rPr>
            </w:pPr>
            <w:r>
              <w:rPr>
                <w:w w:val="99"/>
                <w:sz w:val="16"/>
              </w:rPr>
              <w:t>-</w:t>
            </w:r>
          </w:p>
        </w:tc>
        <w:tc>
          <w:tcPr>
            <w:tcW w:w="1244" w:type="dxa"/>
            <w:tcBorders>
              <w:bottom w:val="single" w:sz="0" w:space="0" w:color="000000"/>
            </w:tcBorders>
          </w:tcPr>
          <w:p>
            <w:pPr>
              <w:pStyle w:val="TableParagraph"/>
              <w:spacing w:before="19"/>
              <w:ind w:right="294"/>
              <w:jc w:val="right"/>
              <w:rPr>
                <w:b/>
                <w:sz w:val="16"/>
              </w:rPr>
            </w:pPr>
            <w:r>
              <w:rPr>
                <w:b/>
                <w:w w:val="95"/>
                <w:sz w:val="16"/>
              </w:rPr>
              <w:t>5,044</w:t>
            </w:r>
          </w:p>
        </w:tc>
        <w:tc>
          <w:tcPr>
            <w:tcW w:w="951" w:type="dxa"/>
            <w:tcBorders>
              <w:bottom w:val="single" w:sz="0" w:space="0" w:color="000000"/>
            </w:tcBorders>
          </w:tcPr>
          <w:p>
            <w:pPr>
              <w:pStyle w:val="TableParagraph"/>
              <w:spacing w:before="19"/>
              <w:ind w:right="76"/>
              <w:jc w:val="right"/>
              <w:rPr>
                <w:sz w:val="16"/>
              </w:rPr>
            </w:pPr>
            <w:r>
              <w:rPr>
                <w:w w:val="99"/>
                <w:sz w:val="16"/>
              </w:rPr>
              <w:t>-</w:t>
            </w:r>
          </w:p>
        </w:tc>
      </w:tr>
      <w:tr>
        <w:trPr>
          <w:trHeight w:val="315" w:hRule="exact"/>
        </w:trPr>
        <w:tc>
          <w:tcPr>
            <w:tcW w:w="4031" w:type="dxa"/>
          </w:tcPr>
          <w:p>
            <w:pPr>
              <w:pStyle w:val="TableParagraph"/>
              <w:spacing w:before="123"/>
              <w:ind w:left="35" w:right="237"/>
              <w:rPr>
                <w:b/>
                <w:sz w:val="16"/>
              </w:rPr>
            </w:pPr>
            <w:r>
              <w:rPr>
                <w:b/>
                <w:sz w:val="16"/>
              </w:rPr>
              <w:t>Total HELP - Australian Government</w:t>
            </w:r>
          </w:p>
        </w:tc>
        <w:tc>
          <w:tcPr>
            <w:tcW w:w="1536" w:type="dxa"/>
            <w:tcBorders>
              <w:top w:val="single" w:sz="0" w:space="0" w:color="000000"/>
            </w:tcBorders>
          </w:tcPr>
          <w:p>
            <w:pPr/>
          </w:p>
        </w:tc>
        <w:tc>
          <w:tcPr>
            <w:tcW w:w="1244" w:type="dxa"/>
            <w:tcBorders>
              <w:top w:val="single" w:sz="0" w:space="0" w:color="000000"/>
            </w:tcBorders>
          </w:tcPr>
          <w:p>
            <w:pPr/>
          </w:p>
        </w:tc>
        <w:tc>
          <w:tcPr>
            <w:tcW w:w="1244" w:type="dxa"/>
            <w:tcBorders>
              <w:top w:val="single" w:sz="0" w:space="0" w:color="000000"/>
            </w:tcBorders>
          </w:tcPr>
          <w:p>
            <w:pPr/>
          </w:p>
        </w:tc>
        <w:tc>
          <w:tcPr>
            <w:tcW w:w="951" w:type="dxa"/>
            <w:tcBorders>
              <w:top w:val="single" w:sz="0" w:space="0" w:color="000000"/>
            </w:tcBorders>
          </w:tcPr>
          <w:p>
            <w:pPr/>
          </w:p>
        </w:tc>
      </w:tr>
      <w:tr>
        <w:trPr>
          <w:trHeight w:val="250" w:hRule="exact"/>
        </w:trPr>
        <w:tc>
          <w:tcPr>
            <w:tcW w:w="4031" w:type="dxa"/>
          </w:tcPr>
          <w:p>
            <w:pPr>
              <w:pStyle w:val="TableParagraph"/>
              <w:spacing w:line="163" w:lineRule="exact"/>
              <w:ind w:left="35" w:right="237"/>
              <w:rPr>
                <w:b/>
                <w:sz w:val="16"/>
              </w:rPr>
            </w:pPr>
            <w:r>
              <w:rPr>
                <w:b/>
                <w:sz w:val="16"/>
              </w:rPr>
              <w:t>Payment</w:t>
            </w:r>
          </w:p>
        </w:tc>
        <w:tc>
          <w:tcPr>
            <w:tcW w:w="4975" w:type="dxa"/>
            <w:gridSpan w:val="4"/>
          </w:tcPr>
          <w:p>
            <w:pPr>
              <w:pStyle w:val="TableParagraph"/>
              <w:tabs>
                <w:tab w:pos="663" w:val="left" w:leader="none"/>
                <w:tab w:pos="1832" w:val="left" w:leader="none"/>
                <w:tab w:pos="3151" w:val="left" w:leader="none"/>
                <w:tab w:pos="4319" w:val="left" w:leader="none"/>
              </w:tabs>
              <w:spacing w:line="163" w:lineRule="exact"/>
              <w:rPr>
                <w:sz w:val="16"/>
              </w:rPr>
            </w:pPr>
            <w:r>
              <w:rPr>
                <w:b/>
                <w:w w:val="99"/>
                <w:sz w:val="16"/>
                <w:u w:val="single"/>
              </w:rPr>
              <w:t> </w:t>
            </w:r>
            <w:r>
              <w:rPr>
                <w:b/>
                <w:sz w:val="16"/>
                <w:u w:val="single"/>
              </w:rPr>
              <w:tab/>
              <w:t>171,077</w:t>
              <w:tab/>
            </w:r>
            <w:r>
              <w:rPr>
                <w:sz w:val="16"/>
                <w:u w:val="single"/>
              </w:rPr>
              <w:t>154,808</w:t>
              <w:tab/>
            </w:r>
            <w:r>
              <w:rPr>
                <w:b/>
                <w:sz w:val="16"/>
                <w:u w:val="single"/>
              </w:rPr>
              <w:t>169,893</w:t>
              <w:tab/>
            </w:r>
            <w:r>
              <w:rPr>
                <w:sz w:val="16"/>
                <w:u w:val="single"/>
              </w:rPr>
              <w:t>153,345</w:t>
            </w:r>
          </w:p>
        </w:tc>
      </w:tr>
      <w:tr>
        <w:trPr>
          <w:trHeight w:val="465" w:hRule="exact"/>
        </w:trPr>
        <w:tc>
          <w:tcPr>
            <w:tcW w:w="4031" w:type="dxa"/>
          </w:tcPr>
          <w:p>
            <w:pPr>
              <w:pStyle w:val="TableParagraph"/>
              <w:spacing w:before="57"/>
              <w:ind w:left="35" w:right="237"/>
              <w:rPr>
                <w:b/>
                <w:sz w:val="16"/>
              </w:rPr>
            </w:pPr>
            <w:r>
              <w:rPr>
                <w:b/>
                <w:sz w:val="16"/>
              </w:rPr>
              <w:t>Total Australian Government Financial Assistance</w:t>
            </w:r>
          </w:p>
        </w:tc>
        <w:tc>
          <w:tcPr>
            <w:tcW w:w="4975" w:type="dxa"/>
            <w:gridSpan w:val="4"/>
            <w:tcBorders>
              <w:bottom w:val="single" w:sz="0" w:space="0" w:color="000000"/>
            </w:tcBorders>
          </w:tcPr>
          <w:p>
            <w:pPr>
              <w:pStyle w:val="TableParagraph"/>
              <w:spacing w:before="10"/>
              <w:rPr>
                <w:b/>
                <w:sz w:val="20"/>
              </w:rPr>
            </w:pPr>
          </w:p>
          <w:p>
            <w:pPr>
              <w:pStyle w:val="TableParagraph"/>
              <w:tabs>
                <w:tab w:pos="663" w:val="left" w:leader="none"/>
                <w:tab w:pos="1832" w:val="left" w:leader="none"/>
                <w:tab w:pos="3151" w:val="left" w:leader="none"/>
                <w:tab w:pos="4319" w:val="left" w:leader="none"/>
              </w:tabs>
              <w:spacing w:before="1"/>
              <w:rPr>
                <w:sz w:val="16"/>
              </w:rPr>
            </w:pPr>
            <w:r>
              <w:rPr>
                <w:b/>
                <w:w w:val="99"/>
                <w:sz w:val="16"/>
                <w:u w:val="single"/>
              </w:rPr>
              <w:t> </w:t>
            </w:r>
            <w:r>
              <w:rPr>
                <w:b/>
                <w:sz w:val="16"/>
                <w:u w:val="single"/>
              </w:rPr>
              <w:tab/>
              <w:t>496,943</w:t>
              <w:tab/>
            </w:r>
            <w:r>
              <w:rPr>
                <w:sz w:val="16"/>
                <w:u w:val="single"/>
              </w:rPr>
              <w:t>401,003</w:t>
              <w:tab/>
            </w:r>
            <w:r>
              <w:rPr>
                <w:b/>
                <w:sz w:val="16"/>
                <w:u w:val="single"/>
              </w:rPr>
              <w:t>495,734</w:t>
              <w:tab/>
            </w:r>
            <w:r>
              <w:rPr>
                <w:sz w:val="16"/>
                <w:u w:val="single"/>
              </w:rPr>
              <w:t>399,473</w:t>
            </w:r>
          </w:p>
        </w:tc>
      </w:tr>
    </w:tbl>
    <w:p>
      <w:pPr>
        <w:spacing w:after="0"/>
        <w:rPr>
          <w:sz w:val="16"/>
        </w:rPr>
        <w:sectPr>
          <w:type w:val="continuous"/>
          <w:pgSz w:w="11910" w:h="16840"/>
          <w:pgMar w:top="0" w:bottom="280" w:left="900" w:right="860"/>
        </w:sectPr>
      </w:pPr>
    </w:p>
    <w:p>
      <w:pPr>
        <w:pStyle w:val="BodyText"/>
        <w:rPr>
          <w:b/>
          <w:sz w:val="20"/>
        </w:rPr>
      </w:pPr>
      <w:r>
        <w:rPr/>
        <w:pict>
          <v:shape style="position:absolute;margin-left:69.830002pt;margin-top:526.129211pt;width:476.45pt;height:88.3pt;mso-position-horizontal-relative:page;mso-position-vertical-relative:page;z-index:203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53"/>
                    <w:gridCol w:w="1689"/>
                    <w:gridCol w:w="1244"/>
                    <w:gridCol w:w="1244"/>
                    <w:gridCol w:w="799"/>
                  </w:tblGrid>
                  <w:tr>
                    <w:trPr>
                      <w:trHeight w:val="513" w:hRule="exact"/>
                    </w:trPr>
                    <w:tc>
                      <w:tcPr>
                        <w:tcW w:w="4553" w:type="dxa"/>
                      </w:tcPr>
                      <w:p>
                        <w:pPr>
                          <w:pStyle w:val="TableParagraph"/>
                          <w:spacing w:before="79"/>
                          <w:ind w:left="35"/>
                          <w:rPr>
                            <w:b/>
                            <w:sz w:val="16"/>
                          </w:rPr>
                        </w:pPr>
                        <w:r>
                          <w:rPr>
                            <w:b/>
                            <w:sz w:val="16"/>
                          </w:rPr>
                          <w:t>Non-capital</w:t>
                        </w:r>
                      </w:p>
                      <w:p>
                        <w:pPr>
                          <w:pStyle w:val="TableParagraph"/>
                          <w:spacing w:before="29"/>
                          <w:ind w:left="35"/>
                          <w:rPr>
                            <w:sz w:val="16"/>
                          </w:rPr>
                        </w:pPr>
                        <w:r>
                          <w:rPr>
                            <w:sz w:val="16"/>
                          </w:rPr>
                          <w:t>Ministry of Health</w:t>
                        </w:r>
                      </w:p>
                    </w:tc>
                    <w:tc>
                      <w:tcPr>
                        <w:tcW w:w="1689" w:type="dxa"/>
                      </w:tcPr>
                      <w:p>
                        <w:pPr>
                          <w:pStyle w:val="TableParagraph"/>
                          <w:rPr>
                            <w:sz w:val="16"/>
                          </w:rPr>
                        </w:pPr>
                      </w:p>
                      <w:p>
                        <w:pPr>
                          <w:pStyle w:val="TableParagraph"/>
                          <w:spacing w:before="107"/>
                          <w:ind w:right="448"/>
                          <w:jc w:val="right"/>
                          <w:rPr>
                            <w:b/>
                            <w:sz w:val="16"/>
                          </w:rPr>
                        </w:pPr>
                        <w:r>
                          <w:rPr>
                            <w:b/>
                            <w:w w:val="95"/>
                            <w:sz w:val="16"/>
                          </w:rPr>
                          <w:t>393</w:t>
                        </w:r>
                      </w:p>
                    </w:tc>
                    <w:tc>
                      <w:tcPr>
                        <w:tcW w:w="1244" w:type="dxa"/>
                      </w:tcPr>
                      <w:p>
                        <w:pPr>
                          <w:pStyle w:val="TableParagraph"/>
                          <w:rPr>
                            <w:sz w:val="16"/>
                          </w:rPr>
                        </w:pPr>
                      </w:p>
                      <w:p>
                        <w:pPr>
                          <w:pStyle w:val="TableParagraph"/>
                          <w:spacing w:before="107"/>
                          <w:ind w:right="524"/>
                          <w:jc w:val="right"/>
                          <w:rPr>
                            <w:sz w:val="16"/>
                          </w:rPr>
                        </w:pPr>
                        <w:r>
                          <w:rPr>
                            <w:sz w:val="16"/>
                          </w:rPr>
                          <w:t>482</w:t>
                        </w:r>
                      </w:p>
                    </w:tc>
                    <w:tc>
                      <w:tcPr>
                        <w:tcW w:w="1244" w:type="dxa"/>
                      </w:tcPr>
                      <w:p>
                        <w:pPr>
                          <w:pStyle w:val="TableParagraph"/>
                          <w:rPr>
                            <w:sz w:val="16"/>
                          </w:rPr>
                        </w:pPr>
                      </w:p>
                      <w:p>
                        <w:pPr>
                          <w:pStyle w:val="TableParagraph"/>
                          <w:spacing w:before="107"/>
                          <w:ind w:right="448"/>
                          <w:jc w:val="right"/>
                          <w:rPr>
                            <w:b/>
                            <w:sz w:val="16"/>
                          </w:rPr>
                        </w:pPr>
                        <w:r>
                          <w:rPr>
                            <w:b/>
                            <w:sz w:val="16"/>
                          </w:rPr>
                          <w:t>393</w:t>
                        </w:r>
                      </w:p>
                    </w:tc>
                    <w:tc>
                      <w:tcPr>
                        <w:tcW w:w="799" w:type="dxa"/>
                      </w:tcPr>
                      <w:p>
                        <w:pPr>
                          <w:pStyle w:val="TableParagraph"/>
                          <w:rPr>
                            <w:sz w:val="16"/>
                          </w:rPr>
                        </w:pPr>
                      </w:p>
                      <w:p>
                        <w:pPr>
                          <w:pStyle w:val="TableParagraph"/>
                          <w:spacing w:before="107"/>
                          <w:ind w:right="79"/>
                          <w:jc w:val="right"/>
                          <w:rPr>
                            <w:sz w:val="16"/>
                          </w:rPr>
                        </w:pPr>
                        <w:r>
                          <w:rPr>
                            <w:sz w:val="16"/>
                          </w:rPr>
                          <w:t>482</w:t>
                        </w:r>
                      </w:p>
                    </w:tc>
                  </w:tr>
                  <w:tr>
                    <w:trPr>
                      <w:trHeight w:val="211" w:hRule="exact"/>
                    </w:trPr>
                    <w:tc>
                      <w:tcPr>
                        <w:tcW w:w="4553" w:type="dxa"/>
                      </w:tcPr>
                      <w:p>
                        <w:pPr>
                          <w:pStyle w:val="TableParagraph"/>
                          <w:spacing w:before="19"/>
                          <w:ind w:left="35"/>
                          <w:rPr>
                            <w:sz w:val="16"/>
                          </w:rPr>
                        </w:pPr>
                        <w:r>
                          <w:rPr>
                            <w:sz w:val="16"/>
                          </w:rPr>
                          <w:t>Hawkesbury Nepean Catchment Management</w:t>
                        </w:r>
                      </w:p>
                    </w:tc>
                    <w:tc>
                      <w:tcPr>
                        <w:tcW w:w="1689" w:type="dxa"/>
                      </w:tcPr>
                      <w:p>
                        <w:pPr/>
                      </w:p>
                    </w:tc>
                    <w:tc>
                      <w:tcPr>
                        <w:tcW w:w="1244" w:type="dxa"/>
                      </w:tcPr>
                      <w:p>
                        <w:pPr/>
                      </w:p>
                    </w:tc>
                    <w:tc>
                      <w:tcPr>
                        <w:tcW w:w="1244" w:type="dxa"/>
                      </w:tcPr>
                      <w:p>
                        <w:pPr/>
                      </w:p>
                    </w:tc>
                    <w:tc>
                      <w:tcPr>
                        <w:tcW w:w="799" w:type="dxa"/>
                      </w:tcPr>
                      <w:p>
                        <w:pPr/>
                      </w:p>
                    </w:tc>
                  </w:tr>
                  <w:tr>
                    <w:trPr>
                      <w:trHeight w:val="212" w:hRule="exact"/>
                    </w:trPr>
                    <w:tc>
                      <w:tcPr>
                        <w:tcW w:w="4553" w:type="dxa"/>
                      </w:tcPr>
                      <w:p>
                        <w:pPr>
                          <w:pStyle w:val="TableParagraph"/>
                          <w:spacing w:line="176" w:lineRule="exact"/>
                          <w:ind w:left="35"/>
                          <w:rPr>
                            <w:sz w:val="16"/>
                          </w:rPr>
                        </w:pPr>
                        <w:r>
                          <w:rPr>
                            <w:sz w:val="16"/>
                          </w:rPr>
                          <w:t>Authority</w:t>
                        </w:r>
                      </w:p>
                    </w:tc>
                    <w:tc>
                      <w:tcPr>
                        <w:tcW w:w="1689" w:type="dxa"/>
                        <w:tcBorders>
                          <w:bottom w:val="single" w:sz="0" w:space="0" w:color="000000"/>
                        </w:tcBorders>
                      </w:tcPr>
                      <w:p>
                        <w:pPr>
                          <w:pStyle w:val="TableParagraph"/>
                          <w:spacing w:line="175" w:lineRule="exact"/>
                          <w:ind w:right="448"/>
                          <w:jc w:val="right"/>
                          <w:rPr>
                            <w:b/>
                            <w:sz w:val="16"/>
                          </w:rPr>
                        </w:pPr>
                        <w:r>
                          <w:rPr>
                            <w:b/>
                            <w:w w:val="95"/>
                            <w:sz w:val="16"/>
                          </w:rPr>
                          <w:t>66</w:t>
                        </w:r>
                      </w:p>
                    </w:tc>
                    <w:tc>
                      <w:tcPr>
                        <w:tcW w:w="1244" w:type="dxa"/>
                        <w:tcBorders>
                          <w:bottom w:val="single" w:sz="0" w:space="0" w:color="000000"/>
                        </w:tcBorders>
                      </w:tcPr>
                      <w:p>
                        <w:pPr>
                          <w:pStyle w:val="TableParagraph"/>
                          <w:spacing w:line="175" w:lineRule="exact"/>
                          <w:ind w:right="524"/>
                          <w:jc w:val="right"/>
                          <w:rPr>
                            <w:sz w:val="16"/>
                          </w:rPr>
                        </w:pPr>
                        <w:r>
                          <w:rPr>
                            <w:w w:val="99"/>
                            <w:sz w:val="16"/>
                          </w:rPr>
                          <w:t>-</w:t>
                        </w:r>
                      </w:p>
                    </w:tc>
                    <w:tc>
                      <w:tcPr>
                        <w:tcW w:w="1244" w:type="dxa"/>
                        <w:tcBorders>
                          <w:bottom w:val="single" w:sz="0" w:space="0" w:color="000000"/>
                        </w:tcBorders>
                      </w:tcPr>
                      <w:p>
                        <w:pPr>
                          <w:pStyle w:val="TableParagraph"/>
                          <w:spacing w:line="175" w:lineRule="exact"/>
                          <w:ind w:right="448"/>
                          <w:jc w:val="right"/>
                          <w:rPr>
                            <w:b/>
                            <w:sz w:val="16"/>
                          </w:rPr>
                        </w:pPr>
                        <w:r>
                          <w:rPr>
                            <w:b/>
                            <w:w w:val="95"/>
                            <w:sz w:val="16"/>
                          </w:rPr>
                          <w:t>66</w:t>
                        </w:r>
                      </w:p>
                    </w:tc>
                    <w:tc>
                      <w:tcPr>
                        <w:tcW w:w="799" w:type="dxa"/>
                        <w:tcBorders>
                          <w:bottom w:val="single" w:sz="0" w:space="0" w:color="000000"/>
                        </w:tcBorders>
                      </w:tcPr>
                      <w:p>
                        <w:pPr>
                          <w:pStyle w:val="TableParagraph"/>
                          <w:spacing w:line="175" w:lineRule="exact"/>
                          <w:ind w:right="79"/>
                          <w:jc w:val="right"/>
                          <w:rPr>
                            <w:sz w:val="16"/>
                          </w:rPr>
                        </w:pPr>
                        <w:r>
                          <w:rPr>
                            <w:w w:val="99"/>
                            <w:sz w:val="16"/>
                          </w:rPr>
                          <w:t>-</w:t>
                        </w:r>
                      </w:p>
                    </w:tc>
                  </w:tr>
                  <w:tr>
                    <w:trPr>
                      <w:trHeight w:val="316" w:hRule="exact"/>
                    </w:trPr>
                    <w:tc>
                      <w:tcPr>
                        <w:tcW w:w="4553" w:type="dxa"/>
                      </w:tcPr>
                      <w:p>
                        <w:pPr>
                          <w:pStyle w:val="TableParagraph"/>
                          <w:spacing w:before="123"/>
                          <w:ind w:left="35"/>
                          <w:rPr>
                            <w:b/>
                            <w:sz w:val="16"/>
                          </w:rPr>
                        </w:pPr>
                        <w:r>
                          <w:rPr>
                            <w:b/>
                            <w:sz w:val="16"/>
                          </w:rPr>
                          <w:t>Total</w:t>
                        </w:r>
                      </w:p>
                    </w:tc>
                    <w:tc>
                      <w:tcPr>
                        <w:tcW w:w="1689" w:type="dxa"/>
                        <w:tcBorders>
                          <w:top w:val="single" w:sz="0" w:space="0" w:color="000000"/>
                          <w:bottom w:val="single" w:sz="0" w:space="0" w:color="000000"/>
                        </w:tcBorders>
                      </w:tcPr>
                      <w:p>
                        <w:pPr>
                          <w:pStyle w:val="TableParagraph"/>
                          <w:spacing w:before="93"/>
                          <w:ind w:right="448"/>
                          <w:jc w:val="right"/>
                          <w:rPr>
                            <w:b/>
                            <w:sz w:val="16"/>
                          </w:rPr>
                        </w:pPr>
                        <w:r>
                          <w:rPr>
                            <w:b/>
                            <w:w w:val="95"/>
                            <w:sz w:val="16"/>
                          </w:rPr>
                          <w:t>459</w:t>
                        </w:r>
                      </w:p>
                    </w:tc>
                    <w:tc>
                      <w:tcPr>
                        <w:tcW w:w="1244" w:type="dxa"/>
                        <w:tcBorders>
                          <w:top w:val="single" w:sz="0" w:space="0" w:color="000000"/>
                          <w:bottom w:val="single" w:sz="0" w:space="0" w:color="000000"/>
                        </w:tcBorders>
                      </w:tcPr>
                      <w:p>
                        <w:pPr>
                          <w:pStyle w:val="TableParagraph"/>
                          <w:spacing w:before="93"/>
                          <w:ind w:right="525"/>
                          <w:jc w:val="right"/>
                          <w:rPr>
                            <w:sz w:val="16"/>
                          </w:rPr>
                        </w:pPr>
                        <w:r>
                          <w:rPr>
                            <w:sz w:val="16"/>
                          </w:rPr>
                          <w:t>482</w:t>
                        </w:r>
                      </w:p>
                    </w:tc>
                    <w:tc>
                      <w:tcPr>
                        <w:tcW w:w="1244" w:type="dxa"/>
                        <w:tcBorders>
                          <w:top w:val="single" w:sz="0" w:space="0" w:color="000000"/>
                          <w:bottom w:val="single" w:sz="0" w:space="0" w:color="000000"/>
                        </w:tcBorders>
                      </w:tcPr>
                      <w:p>
                        <w:pPr>
                          <w:pStyle w:val="TableParagraph"/>
                          <w:spacing w:before="93"/>
                          <w:ind w:right="448"/>
                          <w:jc w:val="right"/>
                          <w:rPr>
                            <w:b/>
                            <w:sz w:val="16"/>
                          </w:rPr>
                        </w:pPr>
                        <w:r>
                          <w:rPr>
                            <w:b/>
                            <w:sz w:val="16"/>
                          </w:rPr>
                          <w:t>459</w:t>
                        </w:r>
                      </w:p>
                    </w:tc>
                    <w:tc>
                      <w:tcPr>
                        <w:tcW w:w="799" w:type="dxa"/>
                        <w:tcBorders>
                          <w:top w:val="single" w:sz="0" w:space="0" w:color="000000"/>
                          <w:bottom w:val="single" w:sz="0" w:space="0" w:color="000000"/>
                        </w:tcBorders>
                      </w:tcPr>
                      <w:p>
                        <w:pPr>
                          <w:pStyle w:val="TableParagraph"/>
                          <w:spacing w:before="93"/>
                          <w:ind w:right="79"/>
                          <w:jc w:val="right"/>
                          <w:rPr>
                            <w:sz w:val="16"/>
                          </w:rPr>
                        </w:pPr>
                        <w:r>
                          <w:rPr>
                            <w:sz w:val="16"/>
                          </w:rPr>
                          <w:t>482</w:t>
                        </w:r>
                      </w:p>
                    </w:tc>
                  </w:tr>
                  <w:tr>
                    <w:trPr>
                      <w:trHeight w:val="301" w:hRule="exact"/>
                    </w:trPr>
                    <w:tc>
                      <w:tcPr>
                        <w:tcW w:w="4553" w:type="dxa"/>
                      </w:tcPr>
                      <w:p>
                        <w:pPr>
                          <w:pStyle w:val="TableParagraph"/>
                          <w:spacing w:before="123"/>
                          <w:ind w:left="35"/>
                          <w:rPr>
                            <w:b/>
                            <w:sz w:val="16"/>
                          </w:rPr>
                        </w:pPr>
                        <w:r>
                          <w:rPr>
                            <w:b/>
                            <w:sz w:val="16"/>
                          </w:rPr>
                          <w:t>Total State and Local Government Financial</w:t>
                        </w:r>
                      </w:p>
                    </w:tc>
                    <w:tc>
                      <w:tcPr>
                        <w:tcW w:w="1689" w:type="dxa"/>
                        <w:tcBorders>
                          <w:top w:val="single" w:sz="0" w:space="0" w:color="000000"/>
                        </w:tcBorders>
                      </w:tcPr>
                      <w:p>
                        <w:pPr/>
                      </w:p>
                    </w:tc>
                    <w:tc>
                      <w:tcPr>
                        <w:tcW w:w="1244" w:type="dxa"/>
                        <w:tcBorders>
                          <w:top w:val="single" w:sz="0" w:space="0" w:color="000000"/>
                        </w:tcBorders>
                      </w:tcPr>
                      <w:p>
                        <w:pPr/>
                      </w:p>
                    </w:tc>
                    <w:tc>
                      <w:tcPr>
                        <w:tcW w:w="1244" w:type="dxa"/>
                        <w:tcBorders>
                          <w:top w:val="single" w:sz="0" w:space="0" w:color="000000"/>
                        </w:tcBorders>
                      </w:tcPr>
                      <w:p>
                        <w:pPr/>
                      </w:p>
                    </w:tc>
                    <w:tc>
                      <w:tcPr>
                        <w:tcW w:w="799" w:type="dxa"/>
                        <w:tcBorders>
                          <w:top w:val="single" w:sz="0" w:space="0" w:color="000000"/>
                        </w:tcBorders>
                      </w:tcPr>
                      <w:p>
                        <w:pPr/>
                      </w:p>
                    </w:tc>
                  </w:tr>
                  <w:tr>
                    <w:trPr>
                      <w:trHeight w:val="213" w:hRule="exact"/>
                    </w:trPr>
                    <w:tc>
                      <w:tcPr>
                        <w:tcW w:w="4553" w:type="dxa"/>
                      </w:tcPr>
                      <w:p>
                        <w:pPr>
                          <w:pStyle w:val="TableParagraph"/>
                          <w:spacing w:before="5"/>
                          <w:ind w:left="35"/>
                          <w:rPr>
                            <w:b/>
                            <w:sz w:val="16"/>
                          </w:rPr>
                        </w:pPr>
                        <w:r>
                          <w:rPr>
                            <w:b/>
                            <w:sz w:val="16"/>
                          </w:rPr>
                          <w:t>Assistance</w:t>
                        </w:r>
                      </w:p>
                    </w:tc>
                    <w:tc>
                      <w:tcPr>
                        <w:tcW w:w="1689" w:type="dxa"/>
                        <w:tcBorders>
                          <w:bottom w:val="single" w:sz="0" w:space="0" w:color="000000"/>
                        </w:tcBorders>
                      </w:tcPr>
                      <w:p>
                        <w:pPr>
                          <w:pStyle w:val="TableParagraph"/>
                          <w:spacing w:line="161" w:lineRule="exact"/>
                          <w:ind w:right="448"/>
                          <w:jc w:val="right"/>
                          <w:rPr>
                            <w:b/>
                            <w:sz w:val="16"/>
                          </w:rPr>
                        </w:pPr>
                        <w:r>
                          <w:rPr>
                            <w:b/>
                            <w:w w:val="95"/>
                            <w:sz w:val="16"/>
                          </w:rPr>
                          <w:t>459</w:t>
                        </w:r>
                      </w:p>
                    </w:tc>
                    <w:tc>
                      <w:tcPr>
                        <w:tcW w:w="1244" w:type="dxa"/>
                        <w:tcBorders>
                          <w:bottom w:val="single" w:sz="0" w:space="0" w:color="000000"/>
                        </w:tcBorders>
                      </w:tcPr>
                      <w:p>
                        <w:pPr>
                          <w:pStyle w:val="TableParagraph"/>
                          <w:spacing w:line="161" w:lineRule="exact"/>
                          <w:ind w:right="525"/>
                          <w:jc w:val="right"/>
                          <w:rPr>
                            <w:sz w:val="16"/>
                          </w:rPr>
                        </w:pPr>
                        <w:r>
                          <w:rPr>
                            <w:sz w:val="16"/>
                          </w:rPr>
                          <w:t>482</w:t>
                        </w:r>
                      </w:p>
                    </w:tc>
                    <w:tc>
                      <w:tcPr>
                        <w:tcW w:w="1244" w:type="dxa"/>
                        <w:tcBorders>
                          <w:bottom w:val="single" w:sz="0" w:space="0" w:color="000000"/>
                        </w:tcBorders>
                      </w:tcPr>
                      <w:p>
                        <w:pPr>
                          <w:pStyle w:val="TableParagraph"/>
                          <w:spacing w:line="161" w:lineRule="exact"/>
                          <w:ind w:right="448"/>
                          <w:jc w:val="right"/>
                          <w:rPr>
                            <w:b/>
                            <w:sz w:val="16"/>
                          </w:rPr>
                        </w:pPr>
                        <w:r>
                          <w:rPr>
                            <w:b/>
                            <w:sz w:val="16"/>
                          </w:rPr>
                          <w:t>459</w:t>
                        </w:r>
                      </w:p>
                    </w:tc>
                    <w:tc>
                      <w:tcPr>
                        <w:tcW w:w="799" w:type="dxa"/>
                        <w:tcBorders>
                          <w:bottom w:val="single" w:sz="0" w:space="0" w:color="000000"/>
                        </w:tcBorders>
                      </w:tcPr>
                      <w:p>
                        <w:pPr>
                          <w:pStyle w:val="TableParagraph"/>
                          <w:spacing w:line="161" w:lineRule="exact"/>
                          <w:ind w:right="79"/>
                          <w:jc w:val="right"/>
                          <w:rPr>
                            <w:sz w:val="16"/>
                          </w:rPr>
                        </w:pPr>
                        <w:r>
                          <w:rPr>
                            <w:sz w:val="16"/>
                          </w:rPr>
                          <w:t>482</w:t>
                        </w:r>
                      </w:p>
                    </w:tc>
                  </w:tr>
                </w:tbl>
                <w:p>
                  <w:pPr>
                    <w:pStyle w:val="BodyText"/>
                  </w:pPr>
                </w:p>
              </w:txbxContent>
            </v:textbox>
            <w10:wrap type="none"/>
          </v:shape>
        </w:pict>
      </w:r>
    </w:p>
    <w:p>
      <w:pPr>
        <w:pStyle w:val="BodyText"/>
        <w:rPr>
          <w:b/>
          <w:sz w:val="20"/>
        </w:rPr>
      </w:pPr>
    </w:p>
    <w:p>
      <w:pPr>
        <w:pStyle w:val="BodyText"/>
        <w:spacing w:before="4"/>
        <w:rPr>
          <w:b/>
        </w:rPr>
      </w:pPr>
    </w:p>
    <w:p>
      <w:pPr>
        <w:pStyle w:val="Heading9"/>
        <w:tabs>
          <w:tab w:pos="545" w:val="left" w:leader="none"/>
        </w:tabs>
        <w:ind w:left="545" w:right="685" w:hanging="396"/>
      </w:pPr>
      <w:r>
        <w:rPr/>
        <w:t>2</w:t>
        <w:tab/>
        <w:t>Australian government financial assistance including HECS-HELP and other Australian</w:t>
      </w:r>
      <w:r>
        <w:rPr>
          <w:spacing w:val="-4"/>
        </w:rPr>
        <w:t> </w:t>
      </w:r>
      <w:r>
        <w:rPr/>
        <w:t>government</w:t>
      </w:r>
      <w:r>
        <w:rPr>
          <w:spacing w:val="-1"/>
        </w:rPr>
        <w:t> </w:t>
      </w:r>
      <w:r>
        <w:rPr/>
        <w:t>loan</w:t>
      </w:r>
      <w:r>
        <w:rPr>
          <w:w w:val="100"/>
        </w:rPr>
        <w:t> </w:t>
      </w:r>
      <w:r>
        <w:rPr/>
        <w:t>programs</w:t>
      </w:r>
      <w:r>
        <w:rPr>
          <w:spacing w:val="-3"/>
        </w:rPr>
        <w:t> </w:t>
      </w:r>
      <w:r>
        <w:rPr/>
        <w:t>(continued)</w:t>
      </w:r>
    </w:p>
    <w:p>
      <w:pPr>
        <w:pStyle w:val="BodyText"/>
        <w:spacing w:before="11"/>
        <w:rPr>
          <w:b/>
          <w:sz w:val="24"/>
        </w:rPr>
      </w:pPr>
    </w:p>
    <w:p>
      <w:pPr>
        <w:pStyle w:val="ListParagraph"/>
        <w:numPr>
          <w:ilvl w:val="1"/>
          <w:numId w:val="11"/>
        </w:numPr>
        <w:tabs>
          <w:tab w:pos="1112" w:val="left" w:leader="none"/>
        </w:tabs>
        <w:spacing w:line="240" w:lineRule="auto" w:before="0" w:after="36"/>
        <w:ind w:left="1111" w:right="0" w:hanging="566"/>
        <w:jc w:val="left"/>
        <w:rPr>
          <w:sz w:val="18"/>
        </w:rPr>
      </w:pPr>
      <w:r>
        <w:rPr>
          <w:sz w:val="18"/>
        </w:rPr>
        <w:t>Australian Government Grants received - cash</w:t>
      </w:r>
      <w:r>
        <w:rPr>
          <w:spacing w:val="-1"/>
          <w:sz w:val="18"/>
        </w:rPr>
        <w:t> </w:t>
      </w:r>
      <w:r>
        <w:rPr>
          <w:sz w:val="18"/>
        </w:rPr>
        <w:t>basis</w:t>
      </w:r>
    </w:p>
    <w:tbl>
      <w:tblPr>
        <w:tblW w:w="0" w:type="auto"/>
        <w:jc w:val="left"/>
        <w:tblInd w:w="1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95"/>
        <w:gridCol w:w="1080"/>
        <w:gridCol w:w="1298"/>
        <w:gridCol w:w="492"/>
        <w:gridCol w:w="676"/>
        <w:gridCol w:w="654"/>
        <w:gridCol w:w="665"/>
        <w:gridCol w:w="492"/>
        <w:gridCol w:w="697"/>
      </w:tblGrid>
      <w:tr>
        <w:trPr>
          <w:trHeight w:val="736" w:hRule="exact"/>
        </w:trPr>
        <w:tc>
          <w:tcPr>
            <w:tcW w:w="2895" w:type="dxa"/>
          </w:tcPr>
          <w:p>
            <w:pPr/>
          </w:p>
        </w:tc>
        <w:tc>
          <w:tcPr>
            <w:tcW w:w="1080" w:type="dxa"/>
          </w:tcPr>
          <w:p>
            <w:pPr>
              <w:pStyle w:val="TableParagraph"/>
              <w:rPr>
                <w:sz w:val="16"/>
              </w:rPr>
            </w:pPr>
          </w:p>
          <w:p>
            <w:pPr>
              <w:pStyle w:val="TableParagraph"/>
              <w:rPr>
                <w:sz w:val="16"/>
              </w:rPr>
            </w:pPr>
          </w:p>
          <w:p>
            <w:pPr>
              <w:pStyle w:val="TableParagraph"/>
              <w:spacing w:before="130"/>
              <w:ind w:right="124"/>
              <w:jc w:val="right"/>
              <w:rPr>
                <w:b/>
                <w:sz w:val="16"/>
              </w:rPr>
            </w:pPr>
            <w:r>
              <w:rPr>
                <w:b/>
                <w:sz w:val="16"/>
              </w:rPr>
              <w:t>Note</w:t>
            </w:r>
          </w:p>
        </w:tc>
        <w:tc>
          <w:tcPr>
            <w:tcW w:w="1298" w:type="dxa"/>
          </w:tcPr>
          <w:p>
            <w:pPr>
              <w:pStyle w:val="TableParagraph"/>
              <w:spacing w:line="326" w:lineRule="auto"/>
              <w:ind w:left="213" w:right="203" w:hanging="151"/>
              <w:rPr>
                <w:b/>
                <w:sz w:val="16"/>
              </w:rPr>
            </w:pPr>
            <w:r>
              <w:rPr>
                <w:b/>
                <w:sz w:val="16"/>
              </w:rPr>
              <w:t>Consolidated 2012</w:t>
            </w:r>
          </w:p>
          <w:p>
            <w:pPr>
              <w:pStyle w:val="TableParagraph"/>
              <w:spacing w:before="2"/>
              <w:ind w:left="213" w:right="203"/>
              <w:rPr>
                <w:b/>
                <w:sz w:val="16"/>
              </w:rPr>
            </w:pPr>
            <w:r>
              <w:rPr>
                <w:b/>
                <w:sz w:val="16"/>
              </w:rPr>
              <w:t>$'000</w:t>
            </w:r>
          </w:p>
        </w:tc>
        <w:tc>
          <w:tcPr>
            <w:tcW w:w="492" w:type="dxa"/>
          </w:tcPr>
          <w:p>
            <w:pPr>
              <w:pStyle w:val="TableParagraph"/>
              <w:spacing w:before="6"/>
              <w:rPr>
                <w:sz w:val="21"/>
              </w:rPr>
            </w:pPr>
          </w:p>
          <w:p>
            <w:pPr>
              <w:pStyle w:val="TableParagraph"/>
              <w:ind w:left="61"/>
              <w:rPr>
                <w:b/>
                <w:sz w:val="16"/>
              </w:rPr>
            </w:pPr>
            <w:r>
              <w:rPr>
                <w:b/>
                <w:sz w:val="16"/>
              </w:rPr>
              <w:t>2011</w:t>
            </w:r>
          </w:p>
          <w:p>
            <w:pPr>
              <w:pStyle w:val="TableParagraph"/>
              <w:spacing w:before="66"/>
              <w:ind w:left="61"/>
              <w:rPr>
                <w:b/>
                <w:sz w:val="16"/>
              </w:rPr>
            </w:pPr>
            <w:r>
              <w:rPr>
                <w:b/>
                <w:sz w:val="16"/>
              </w:rPr>
              <w:t>$'000</w:t>
            </w:r>
          </w:p>
        </w:tc>
        <w:tc>
          <w:tcPr>
            <w:tcW w:w="676" w:type="dxa"/>
          </w:tcPr>
          <w:p>
            <w:pPr/>
          </w:p>
        </w:tc>
        <w:tc>
          <w:tcPr>
            <w:tcW w:w="654" w:type="dxa"/>
          </w:tcPr>
          <w:p>
            <w:pPr>
              <w:pStyle w:val="TableParagraph"/>
              <w:spacing w:line="181" w:lineRule="exact"/>
              <w:ind w:left="60"/>
              <w:rPr>
                <w:b/>
                <w:sz w:val="16"/>
              </w:rPr>
            </w:pPr>
            <w:r>
              <w:rPr>
                <w:b/>
                <w:sz w:val="16"/>
              </w:rPr>
              <w:t>Parent</w:t>
            </w:r>
          </w:p>
          <w:p>
            <w:pPr>
              <w:pStyle w:val="TableParagraph"/>
              <w:spacing w:before="67"/>
              <w:ind w:left="234"/>
              <w:rPr>
                <w:b/>
                <w:sz w:val="16"/>
              </w:rPr>
            </w:pPr>
            <w:r>
              <w:rPr>
                <w:b/>
                <w:sz w:val="16"/>
              </w:rPr>
              <w:t>2012</w:t>
            </w:r>
          </w:p>
          <w:p>
            <w:pPr>
              <w:pStyle w:val="TableParagraph"/>
              <w:spacing w:before="66"/>
              <w:ind w:left="234"/>
              <w:rPr>
                <w:b/>
                <w:sz w:val="16"/>
              </w:rPr>
            </w:pPr>
            <w:r>
              <w:rPr>
                <w:b/>
                <w:sz w:val="16"/>
              </w:rPr>
              <w:t>$'000</w:t>
            </w:r>
          </w:p>
        </w:tc>
        <w:tc>
          <w:tcPr>
            <w:tcW w:w="665" w:type="dxa"/>
          </w:tcPr>
          <w:p>
            <w:pPr/>
          </w:p>
        </w:tc>
        <w:tc>
          <w:tcPr>
            <w:tcW w:w="492" w:type="dxa"/>
          </w:tcPr>
          <w:p>
            <w:pPr>
              <w:pStyle w:val="TableParagraph"/>
              <w:spacing w:before="6"/>
              <w:rPr>
                <w:sz w:val="21"/>
              </w:rPr>
            </w:pPr>
          </w:p>
          <w:p>
            <w:pPr>
              <w:pStyle w:val="TableParagraph"/>
              <w:ind w:left="61"/>
              <w:rPr>
                <w:b/>
                <w:sz w:val="16"/>
              </w:rPr>
            </w:pPr>
            <w:r>
              <w:rPr>
                <w:b/>
                <w:sz w:val="16"/>
              </w:rPr>
              <w:t>2011</w:t>
            </w:r>
          </w:p>
          <w:p>
            <w:pPr>
              <w:pStyle w:val="TableParagraph"/>
              <w:spacing w:before="66"/>
              <w:ind w:left="61"/>
              <w:rPr>
                <w:b/>
                <w:sz w:val="16"/>
              </w:rPr>
            </w:pPr>
            <w:r>
              <w:rPr>
                <w:b/>
                <w:sz w:val="16"/>
              </w:rPr>
              <w:t>$'000</w:t>
            </w:r>
          </w:p>
        </w:tc>
        <w:tc>
          <w:tcPr>
            <w:tcW w:w="697" w:type="dxa"/>
          </w:tcPr>
          <w:p>
            <w:pPr/>
          </w:p>
        </w:tc>
      </w:tr>
      <w:tr>
        <w:trPr>
          <w:trHeight w:val="259" w:hRule="exact"/>
        </w:trPr>
        <w:tc>
          <w:tcPr>
            <w:tcW w:w="2895" w:type="dxa"/>
          </w:tcPr>
          <w:p>
            <w:pPr>
              <w:pStyle w:val="TableParagraph"/>
              <w:spacing w:before="39"/>
              <w:ind w:left="35" w:right="336"/>
              <w:rPr>
                <w:sz w:val="16"/>
              </w:rPr>
            </w:pPr>
            <w:r>
              <w:rPr>
                <w:sz w:val="16"/>
              </w:rPr>
              <w:t>CGS and Other DEEWR Grants</w:t>
            </w:r>
          </w:p>
        </w:tc>
        <w:tc>
          <w:tcPr>
            <w:tcW w:w="1080" w:type="dxa"/>
          </w:tcPr>
          <w:p>
            <w:pPr>
              <w:pStyle w:val="TableParagraph"/>
              <w:spacing w:before="37"/>
              <w:ind w:right="106"/>
              <w:jc w:val="right"/>
              <w:rPr>
                <w:sz w:val="16"/>
              </w:rPr>
            </w:pPr>
            <w:r>
              <w:rPr>
                <w:w w:val="95"/>
                <w:sz w:val="16"/>
              </w:rPr>
              <w:t>35(a)</w:t>
            </w:r>
          </w:p>
        </w:tc>
        <w:tc>
          <w:tcPr>
            <w:tcW w:w="1298" w:type="dxa"/>
          </w:tcPr>
          <w:p>
            <w:pPr>
              <w:pStyle w:val="TableParagraph"/>
              <w:spacing w:before="38"/>
              <w:ind w:right="59"/>
              <w:jc w:val="right"/>
              <w:rPr>
                <w:b/>
                <w:sz w:val="16"/>
              </w:rPr>
            </w:pPr>
            <w:r>
              <w:rPr>
                <w:b/>
                <w:w w:val="95"/>
                <w:sz w:val="16"/>
              </w:rPr>
              <w:t>273,638</w:t>
            </w:r>
          </w:p>
        </w:tc>
        <w:tc>
          <w:tcPr>
            <w:tcW w:w="492" w:type="dxa"/>
          </w:tcPr>
          <w:p>
            <w:pPr/>
          </w:p>
        </w:tc>
        <w:tc>
          <w:tcPr>
            <w:tcW w:w="676" w:type="dxa"/>
          </w:tcPr>
          <w:p>
            <w:pPr>
              <w:pStyle w:val="TableParagraph"/>
              <w:spacing w:before="38"/>
              <w:ind w:right="58"/>
              <w:jc w:val="right"/>
              <w:rPr>
                <w:sz w:val="16"/>
              </w:rPr>
            </w:pPr>
            <w:r>
              <w:rPr>
                <w:w w:val="95"/>
                <w:sz w:val="16"/>
              </w:rPr>
              <w:t>212,542</w:t>
            </w:r>
          </w:p>
        </w:tc>
        <w:tc>
          <w:tcPr>
            <w:tcW w:w="654" w:type="dxa"/>
          </w:tcPr>
          <w:p>
            <w:pPr/>
          </w:p>
        </w:tc>
        <w:tc>
          <w:tcPr>
            <w:tcW w:w="665" w:type="dxa"/>
          </w:tcPr>
          <w:p>
            <w:pPr>
              <w:pStyle w:val="TableParagraph"/>
              <w:spacing w:before="38"/>
              <w:ind w:right="59"/>
              <w:jc w:val="right"/>
              <w:rPr>
                <w:b/>
                <w:sz w:val="16"/>
              </w:rPr>
            </w:pPr>
            <w:r>
              <w:rPr>
                <w:b/>
                <w:w w:val="95"/>
                <w:sz w:val="16"/>
              </w:rPr>
              <w:t>273,638</w:t>
            </w:r>
          </w:p>
        </w:tc>
        <w:tc>
          <w:tcPr>
            <w:tcW w:w="492" w:type="dxa"/>
          </w:tcPr>
          <w:p>
            <w:pPr/>
          </w:p>
        </w:tc>
        <w:tc>
          <w:tcPr>
            <w:tcW w:w="697" w:type="dxa"/>
          </w:tcPr>
          <w:p>
            <w:pPr>
              <w:pStyle w:val="TableParagraph"/>
              <w:spacing w:before="38"/>
              <w:ind w:right="79"/>
              <w:jc w:val="right"/>
              <w:rPr>
                <w:sz w:val="16"/>
              </w:rPr>
            </w:pPr>
            <w:r>
              <w:rPr>
                <w:w w:val="95"/>
                <w:sz w:val="16"/>
              </w:rPr>
              <w:t>212,542</w:t>
            </w:r>
          </w:p>
        </w:tc>
      </w:tr>
      <w:tr>
        <w:trPr>
          <w:trHeight w:val="422" w:hRule="exact"/>
        </w:trPr>
        <w:tc>
          <w:tcPr>
            <w:tcW w:w="2895" w:type="dxa"/>
          </w:tcPr>
          <w:p>
            <w:pPr>
              <w:pStyle w:val="TableParagraph"/>
              <w:spacing w:before="19"/>
              <w:ind w:left="35" w:right="336"/>
              <w:rPr>
                <w:sz w:val="16"/>
              </w:rPr>
            </w:pPr>
            <w:r>
              <w:rPr>
                <w:sz w:val="16"/>
              </w:rPr>
              <w:t>Higher Education Loan Programmes</w:t>
            </w:r>
          </w:p>
        </w:tc>
        <w:tc>
          <w:tcPr>
            <w:tcW w:w="1080" w:type="dxa"/>
          </w:tcPr>
          <w:p>
            <w:pPr>
              <w:pStyle w:val="TableParagraph"/>
              <w:spacing w:before="19"/>
              <w:ind w:right="106"/>
              <w:jc w:val="right"/>
              <w:rPr>
                <w:sz w:val="16"/>
              </w:rPr>
            </w:pPr>
            <w:r>
              <w:rPr>
                <w:w w:val="95"/>
                <w:sz w:val="16"/>
              </w:rPr>
              <w:t>35(b)</w:t>
            </w:r>
          </w:p>
        </w:tc>
        <w:tc>
          <w:tcPr>
            <w:tcW w:w="1298" w:type="dxa"/>
          </w:tcPr>
          <w:p>
            <w:pPr>
              <w:pStyle w:val="TableParagraph"/>
              <w:spacing w:before="5"/>
              <w:rPr>
                <w:sz w:val="17"/>
              </w:rPr>
            </w:pPr>
          </w:p>
          <w:p>
            <w:pPr>
              <w:pStyle w:val="TableParagraph"/>
              <w:spacing w:before="1"/>
              <w:ind w:right="59"/>
              <w:jc w:val="right"/>
              <w:rPr>
                <w:b/>
                <w:sz w:val="16"/>
              </w:rPr>
            </w:pPr>
            <w:r>
              <w:rPr>
                <w:b/>
                <w:w w:val="95"/>
                <w:sz w:val="16"/>
              </w:rPr>
              <w:t>166,828</w:t>
            </w:r>
          </w:p>
        </w:tc>
        <w:tc>
          <w:tcPr>
            <w:tcW w:w="492" w:type="dxa"/>
          </w:tcPr>
          <w:p>
            <w:pPr/>
          </w:p>
        </w:tc>
        <w:tc>
          <w:tcPr>
            <w:tcW w:w="676" w:type="dxa"/>
          </w:tcPr>
          <w:p>
            <w:pPr>
              <w:pStyle w:val="TableParagraph"/>
              <w:spacing w:before="5"/>
              <w:rPr>
                <w:sz w:val="17"/>
              </w:rPr>
            </w:pPr>
          </w:p>
          <w:p>
            <w:pPr>
              <w:pStyle w:val="TableParagraph"/>
              <w:spacing w:before="1"/>
              <w:ind w:right="59"/>
              <w:jc w:val="right"/>
              <w:rPr>
                <w:sz w:val="16"/>
              </w:rPr>
            </w:pPr>
            <w:r>
              <w:rPr>
                <w:w w:val="95"/>
                <w:sz w:val="16"/>
              </w:rPr>
              <w:t>157,883</w:t>
            </w:r>
          </w:p>
        </w:tc>
        <w:tc>
          <w:tcPr>
            <w:tcW w:w="654" w:type="dxa"/>
          </w:tcPr>
          <w:p>
            <w:pPr/>
          </w:p>
        </w:tc>
        <w:tc>
          <w:tcPr>
            <w:tcW w:w="665" w:type="dxa"/>
          </w:tcPr>
          <w:p>
            <w:pPr>
              <w:pStyle w:val="TableParagraph"/>
              <w:spacing w:before="5"/>
              <w:rPr>
                <w:sz w:val="17"/>
              </w:rPr>
            </w:pPr>
          </w:p>
          <w:p>
            <w:pPr>
              <w:pStyle w:val="TableParagraph"/>
              <w:spacing w:before="1"/>
              <w:ind w:right="59"/>
              <w:jc w:val="right"/>
              <w:rPr>
                <w:b/>
                <w:sz w:val="16"/>
              </w:rPr>
            </w:pPr>
            <w:r>
              <w:rPr>
                <w:b/>
                <w:w w:val="95"/>
                <w:sz w:val="16"/>
              </w:rPr>
              <w:t>166,828</w:t>
            </w:r>
          </w:p>
        </w:tc>
        <w:tc>
          <w:tcPr>
            <w:tcW w:w="492" w:type="dxa"/>
          </w:tcPr>
          <w:p>
            <w:pPr/>
          </w:p>
        </w:tc>
        <w:tc>
          <w:tcPr>
            <w:tcW w:w="697" w:type="dxa"/>
          </w:tcPr>
          <w:p>
            <w:pPr>
              <w:pStyle w:val="TableParagraph"/>
              <w:spacing w:before="5"/>
              <w:rPr>
                <w:sz w:val="17"/>
              </w:rPr>
            </w:pPr>
          </w:p>
          <w:p>
            <w:pPr>
              <w:pStyle w:val="TableParagraph"/>
              <w:spacing w:before="1"/>
              <w:ind w:right="80"/>
              <w:jc w:val="right"/>
              <w:rPr>
                <w:sz w:val="16"/>
              </w:rPr>
            </w:pPr>
            <w:r>
              <w:rPr>
                <w:w w:val="95"/>
                <w:sz w:val="16"/>
              </w:rPr>
              <w:t>157,883</w:t>
            </w:r>
          </w:p>
        </w:tc>
      </w:tr>
      <w:tr>
        <w:trPr>
          <w:trHeight w:val="241" w:hRule="exact"/>
        </w:trPr>
        <w:tc>
          <w:tcPr>
            <w:tcW w:w="2895" w:type="dxa"/>
          </w:tcPr>
          <w:p>
            <w:pPr>
              <w:pStyle w:val="TableParagraph"/>
              <w:spacing w:before="21"/>
              <w:ind w:left="35" w:right="336"/>
              <w:rPr>
                <w:sz w:val="16"/>
              </w:rPr>
            </w:pPr>
            <w:r>
              <w:rPr>
                <w:sz w:val="16"/>
              </w:rPr>
              <w:t>Scholarships</w:t>
            </w:r>
          </w:p>
        </w:tc>
        <w:tc>
          <w:tcPr>
            <w:tcW w:w="1080" w:type="dxa"/>
          </w:tcPr>
          <w:p>
            <w:pPr>
              <w:pStyle w:val="TableParagraph"/>
              <w:spacing w:before="19"/>
              <w:ind w:right="115"/>
              <w:jc w:val="right"/>
              <w:rPr>
                <w:sz w:val="16"/>
              </w:rPr>
            </w:pPr>
            <w:r>
              <w:rPr>
                <w:sz w:val="16"/>
              </w:rPr>
              <w:t>35(c)</w:t>
            </w:r>
          </w:p>
        </w:tc>
        <w:tc>
          <w:tcPr>
            <w:tcW w:w="1298" w:type="dxa"/>
          </w:tcPr>
          <w:p>
            <w:pPr>
              <w:pStyle w:val="TableParagraph"/>
              <w:spacing w:before="20"/>
              <w:ind w:right="59"/>
              <w:jc w:val="right"/>
              <w:rPr>
                <w:b/>
                <w:sz w:val="16"/>
              </w:rPr>
            </w:pPr>
            <w:r>
              <w:rPr>
                <w:b/>
                <w:sz w:val="16"/>
              </w:rPr>
              <w:t>3,623</w:t>
            </w:r>
          </w:p>
        </w:tc>
        <w:tc>
          <w:tcPr>
            <w:tcW w:w="492" w:type="dxa"/>
          </w:tcPr>
          <w:p>
            <w:pPr/>
          </w:p>
        </w:tc>
        <w:tc>
          <w:tcPr>
            <w:tcW w:w="676" w:type="dxa"/>
          </w:tcPr>
          <w:p>
            <w:pPr>
              <w:pStyle w:val="TableParagraph"/>
              <w:spacing w:before="20"/>
              <w:ind w:right="59"/>
              <w:jc w:val="right"/>
              <w:rPr>
                <w:sz w:val="16"/>
              </w:rPr>
            </w:pPr>
            <w:r>
              <w:rPr>
                <w:w w:val="95"/>
                <w:sz w:val="16"/>
              </w:rPr>
              <w:t>4,928</w:t>
            </w:r>
          </w:p>
        </w:tc>
        <w:tc>
          <w:tcPr>
            <w:tcW w:w="654" w:type="dxa"/>
          </w:tcPr>
          <w:p>
            <w:pPr/>
          </w:p>
        </w:tc>
        <w:tc>
          <w:tcPr>
            <w:tcW w:w="665" w:type="dxa"/>
          </w:tcPr>
          <w:p>
            <w:pPr>
              <w:pStyle w:val="TableParagraph"/>
              <w:spacing w:before="20"/>
              <w:ind w:right="59"/>
              <w:jc w:val="right"/>
              <w:rPr>
                <w:b/>
                <w:sz w:val="16"/>
              </w:rPr>
            </w:pPr>
            <w:r>
              <w:rPr>
                <w:b/>
                <w:w w:val="95"/>
                <w:sz w:val="16"/>
              </w:rPr>
              <w:t>3,623</w:t>
            </w:r>
          </w:p>
        </w:tc>
        <w:tc>
          <w:tcPr>
            <w:tcW w:w="492" w:type="dxa"/>
          </w:tcPr>
          <w:p>
            <w:pPr/>
          </w:p>
        </w:tc>
        <w:tc>
          <w:tcPr>
            <w:tcW w:w="697" w:type="dxa"/>
          </w:tcPr>
          <w:p>
            <w:pPr>
              <w:pStyle w:val="TableParagraph"/>
              <w:spacing w:before="20"/>
              <w:ind w:right="80"/>
              <w:jc w:val="right"/>
              <w:rPr>
                <w:sz w:val="16"/>
              </w:rPr>
            </w:pPr>
            <w:r>
              <w:rPr>
                <w:w w:val="95"/>
                <w:sz w:val="16"/>
              </w:rPr>
              <w:t>4,928</w:t>
            </w:r>
          </w:p>
        </w:tc>
      </w:tr>
      <w:tr>
        <w:trPr>
          <w:trHeight w:val="241" w:hRule="exact"/>
        </w:trPr>
        <w:tc>
          <w:tcPr>
            <w:tcW w:w="2895" w:type="dxa"/>
          </w:tcPr>
          <w:p>
            <w:pPr>
              <w:pStyle w:val="TableParagraph"/>
              <w:spacing w:before="21"/>
              <w:ind w:left="35" w:right="336"/>
              <w:rPr>
                <w:sz w:val="16"/>
              </w:rPr>
            </w:pPr>
            <w:r>
              <w:rPr>
                <w:sz w:val="16"/>
              </w:rPr>
              <w:t>DIISRTE research</w:t>
            </w:r>
          </w:p>
        </w:tc>
        <w:tc>
          <w:tcPr>
            <w:tcW w:w="1080" w:type="dxa"/>
          </w:tcPr>
          <w:p>
            <w:pPr>
              <w:pStyle w:val="TableParagraph"/>
              <w:spacing w:before="19"/>
              <w:ind w:right="106"/>
              <w:jc w:val="right"/>
              <w:rPr>
                <w:sz w:val="16"/>
              </w:rPr>
            </w:pPr>
            <w:r>
              <w:rPr>
                <w:w w:val="95"/>
                <w:sz w:val="16"/>
              </w:rPr>
              <w:t>35(d)</w:t>
            </w:r>
          </w:p>
        </w:tc>
        <w:tc>
          <w:tcPr>
            <w:tcW w:w="1298" w:type="dxa"/>
          </w:tcPr>
          <w:p>
            <w:pPr>
              <w:pStyle w:val="TableParagraph"/>
              <w:spacing w:before="20"/>
              <w:ind w:right="59"/>
              <w:jc w:val="right"/>
              <w:rPr>
                <w:b/>
                <w:sz w:val="16"/>
              </w:rPr>
            </w:pPr>
            <w:r>
              <w:rPr>
                <w:b/>
                <w:w w:val="95"/>
                <w:sz w:val="16"/>
              </w:rPr>
              <w:t>13,525</w:t>
            </w:r>
          </w:p>
        </w:tc>
        <w:tc>
          <w:tcPr>
            <w:tcW w:w="492" w:type="dxa"/>
          </w:tcPr>
          <w:p>
            <w:pPr/>
          </w:p>
        </w:tc>
        <w:tc>
          <w:tcPr>
            <w:tcW w:w="676" w:type="dxa"/>
          </w:tcPr>
          <w:p>
            <w:pPr>
              <w:pStyle w:val="TableParagraph"/>
              <w:spacing w:before="20"/>
              <w:ind w:right="59"/>
              <w:jc w:val="right"/>
              <w:rPr>
                <w:sz w:val="16"/>
              </w:rPr>
            </w:pPr>
            <w:r>
              <w:rPr>
                <w:w w:val="95"/>
                <w:sz w:val="16"/>
              </w:rPr>
              <w:t>13,125</w:t>
            </w:r>
          </w:p>
        </w:tc>
        <w:tc>
          <w:tcPr>
            <w:tcW w:w="654" w:type="dxa"/>
          </w:tcPr>
          <w:p>
            <w:pPr/>
          </w:p>
        </w:tc>
        <w:tc>
          <w:tcPr>
            <w:tcW w:w="665" w:type="dxa"/>
          </w:tcPr>
          <w:p>
            <w:pPr>
              <w:pStyle w:val="TableParagraph"/>
              <w:spacing w:before="20"/>
              <w:ind w:right="59"/>
              <w:jc w:val="right"/>
              <w:rPr>
                <w:b/>
                <w:sz w:val="16"/>
              </w:rPr>
            </w:pPr>
            <w:r>
              <w:rPr>
                <w:b/>
                <w:w w:val="95"/>
                <w:sz w:val="16"/>
              </w:rPr>
              <w:t>13,525</w:t>
            </w:r>
          </w:p>
        </w:tc>
        <w:tc>
          <w:tcPr>
            <w:tcW w:w="492" w:type="dxa"/>
          </w:tcPr>
          <w:p>
            <w:pPr/>
          </w:p>
        </w:tc>
        <w:tc>
          <w:tcPr>
            <w:tcW w:w="697" w:type="dxa"/>
          </w:tcPr>
          <w:p>
            <w:pPr>
              <w:pStyle w:val="TableParagraph"/>
              <w:spacing w:before="20"/>
              <w:ind w:right="80"/>
              <w:jc w:val="right"/>
              <w:rPr>
                <w:sz w:val="16"/>
              </w:rPr>
            </w:pPr>
            <w:r>
              <w:rPr>
                <w:w w:val="95"/>
                <w:sz w:val="16"/>
              </w:rPr>
              <w:t>13,125</w:t>
            </w:r>
          </w:p>
        </w:tc>
      </w:tr>
      <w:tr>
        <w:trPr>
          <w:trHeight w:val="241" w:hRule="exact"/>
        </w:trPr>
        <w:tc>
          <w:tcPr>
            <w:tcW w:w="2895" w:type="dxa"/>
          </w:tcPr>
          <w:p>
            <w:pPr>
              <w:pStyle w:val="TableParagraph"/>
              <w:spacing w:before="21"/>
              <w:ind w:left="35" w:right="336"/>
              <w:rPr>
                <w:sz w:val="16"/>
              </w:rPr>
            </w:pPr>
            <w:r>
              <w:rPr>
                <w:sz w:val="16"/>
              </w:rPr>
              <w:t>Other Capital Funding</w:t>
            </w:r>
          </w:p>
        </w:tc>
        <w:tc>
          <w:tcPr>
            <w:tcW w:w="1080" w:type="dxa"/>
          </w:tcPr>
          <w:p>
            <w:pPr>
              <w:pStyle w:val="TableParagraph"/>
              <w:spacing w:before="19"/>
              <w:ind w:right="107"/>
              <w:jc w:val="right"/>
              <w:rPr>
                <w:sz w:val="16"/>
              </w:rPr>
            </w:pPr>
            <w:r>
              <w:rPr>
                <w:w w:val="95"/>
                <w:sz w:val="16"/>
              </w:rPr>
              <w:t>35(e)</w:t>
            </w:r>
          </w:p>
        </w:tc>
        <w:tc>
          <w:tcPr>
            <w:tcW w:w="1298" w:type="dxa"/>
          </w:tcPr>
          <w:p>
            <w:pPr>
              <w:pStyle w:val="TableParagraph"/>
              <w:spacing w:before="20"/>
              <w:ind w:right="59"/>
              <w:jc w:val="right"/>
              <w:rPr>
                <w:b/>
                <w:sz w:val="16"/>
              </w:rPr>
            </w:pPr>
            <w:r>
              <w:rPr>
                <w:b/>
                <w:w w:val="95"/>
                <w:sz w:val="16"/>
              </w:rPr>
              <w:t>12,574</w:t>
            </w:r>
          </w:p>
        </w:tc>
        <w:tc>
          <w:tcPr>
            <w:tcW w:w="492" w:type="dxa"/>
          </w:tcPr>
          <w:p>
            <w:pPr/>
          </w:p>
        </w:tc>
        <w:tc>
          <w:tcPr>
            <w:tcW w:w="676" w:type="dxa"/>
          </w:tcPr>
          <w:p>
            <w:pPr>
              <w:pStyle w:val="TableParagraph"/>
              <w:spacing w:before="20"/>
              <w:ind w:right="58"/>
              <w:jc w:val="right"/>
              <w:rPr>
                <w:sz w:val="16"/>
              </w:rPr>
            </w:pPr>
            <w:r>
              <w:rPr>
                <w:w w:val="99"/>
                <w:sz w:val="16"/>
              </w:rPr>
              <w:t>-</w:t>
            </w:r>
          </w:p>
        </w:tc>
        <w:tc>
          <w:tcPr>
            <w:tcW w:w="654" w:type="dxa"/>
          </w:tcPr>
          <w:p>
            <w:pPr/>
          </w:p>
        </w:tc>
        <w:tc>
          <w:tcPr>
            <w:tcW w:w="665" w:type="dxa"/>
          </w:tcPr>
          <w:p>
            <w:pPr>
              <w:pStyle w:val="TableParagraph"/>
              <w:spacing w:before="20"/>
              <w:ind w:right="59"/>
              <w:jc w:val="right"/>
              <w:rPr>
                <w:b/>
                <w:sz w:val="16"/>
              </w:rPr>
            </w:pPr>
            <w:r>
              <w:rPr>
                <w:b/>
                <w:w w:val="95"/>
                <w:sz w:val="16"/>
              </w:rPr>
              <w:t>12,574</w:t>
            </w:r>
          </w:p>
        </w:tc>
        <w:tc>
          <w:tcPr>
            <w:tcW w:w="492" w:type="dxa"/>
          </w:tcPr>
          <w:p>
            <w:pPr/>
          </w:p>
        </w:tc>
        <w:tc>
          <w:tcPr>
            <w:tcW w:w="697" w:type="dxa"/>
          </w:tcPr>
          <w:p>
            <w:pPr>
              <w:pStyle w:val="TableParagraph"/>
              <w:spacing w:before="20"/>
              <w:ind w:right="79"/>
              <w:jc w:val="right"/>
              <w:rPr>
                <w:sz w:val="16"/>
              </w:rPr>
            </w:pPr>
            <w:r>
              <w:rPr>
                <w:w w:val="99"/>
                <w:sz w:val="16"/>
              </w:rPr>
              <w:t>-</w:t>
            </w:r>
          </w:p>
        </w:tc>
      </w:tr>
      <w:tr>
        <w:trPr>
          <w:trHeight w:val="241" w:hRule="exact"/>
        </w:trPr>
        <w:tc>
          <w:tcPr>
            <w:tcW w:w="2895" w:type="dxa"/>
          </w:tcPr>
          <w:p>
            <w:pPr>
              <w:pStyle w:val="TableParagraph"/>
              <w:spacing w:before="21"/>
              <w:ind w:left="35" w:right="336"/>
              <w:rPr>
                <w:sz w:val="16"/>
              </w:rPr>
            </w:pPr>
            <w:r>
              <w:rPr>
                <w:sz w:val="16"/>
              </w:rPr>
              <w:t>ARC grants - Discovery</w:t>
            </w:r>
          </w:p>
        </w:tc>
        <w:tc>
          <w:tcPr>
            <w:tcW w:w="1080" w:type="dxa"/>
          </w:tcPr>
          <w:p>
            <w:pPr>
              <w:pStyle w:val="TableParagraph"/>
              <w:spacing w:before="18"/>
              <w:ind w:right="151"/>
              <w:jc w:val="right"/>
              <w:rPr>
                <w:sz w:val="16"/>
              </w:rPr>
            </w:pPr>
            <w:r>
              <w:rPr>
                <w:w w:val="95"/>
                <w:sz w:val="16"/>
              </w:rPr>
              <w:t>35(f)</w:t>
            </w:r>
          </w:p>
        </w:tc>
        <w:tc>
          <w:tcPr>
            <w:tcW w:w="1298" w:type="dxa"/>
          </w:tcPr>
          <w:p>
            <w:pPr>
              <w:pStyle w:val="TableParagraph"/>
              <w:spacing w:before="20"/>
              <w:ind w:right="59"/>
              <w:jc w:val="right"/>
              <w:rPr>
                <w:b/>
                <w:sz w:val="16"/>
              </w:rPr>
            </w:pPr>
            <w:r>
              <w:rPr>
                <w:b/>
                <w:w w:val="95"/>
                <w:sz w:val="16"/>
              </w:rPr>
              <w:t>5,427</w:t>
            </w:r>
          </w:p>
        </w:tc>
        <w:tc>
          <w:tcPr>
            <w:tcW w:w="492" w:type="dxa"/>
          </w:tcPr>
          <w:p>
            <w:pPr/>
          </w:p>
        </w:tc>
        <w:tc>
          <w:tcPr>
            <w:tcW w:w="676" w:type="dxa"/>
          </w:tcPr>
          <w:p>
            <w:pPr>
              <w:pStyle w:val="TableParagraph"/>
              <w:spacing w:before="20"/>
              <w:ind w:right="59"/>
              <w:jc w:val="right"/>
              <w:rPr>
                <w:sz w:val="16"/>
              </w:rPr>
            </w:pPr>
            <w:r>
              <w:rPr>
                <w:w w:val="95"/>
                <w:sz w:val="16"/>
              </w:rPr>
              <w:t>4,346</w:t>
            </w:r>
          </w:p>
        </w:tc>
        <w:tc>
          <w:tcPr>
            <w:tcW w:w="654" w:type="dxa"/>
          </w:tcPr>
          <w:p>
            <w:pPr/>
          </w:p>
        </w:tc>
        <w:tc>
          <w:tcPr>
            <w:tcW w:w="665" w:type="dxa"/>
          </w:tcPr>
          <w:p>
            <w:pPr>
              <w:pStyle w:val="TableParagraph"/>
              <w:spacing w:before="20"/>
              <w:ind w:right="59"/>
              <w:jc w:val="right"/>
              <w:rPr>
                <w:b/>
                <w:sz w:val="16"/>
              </w:rPr>
            </w:pPr>
            <w:r>
              <w:rPr>
                <w:b/>
                <w:w w:val="95"/>
                <w:sz w:val="16"/>
              </w:rPr>
              <w:t>5,427</w:t>
            </w:r>
          </w:p>
        </w:tc>
        <w:tc>
          <w:tcPr>
            <w:tcW w:w="492" w:type="dxa"/>
          </w:tcPr>
          <w:p>
            <w:pPr/>
          </w:p>
        </w:tc>
        <w:tc>
          <w:tcPr>
            <w:tcW w:w="697" w:type="dxa"/>
          </w:tcPr>
          <w:p>
            <w:pPr>
              <w:pStyle w:val="TableParagraph"/>
              <w:spacing w:before="20"/>
              <w:ind w:right="80"/>
              <w:jc w:val="right"/>
              <w:rPr>
                <w:sz w:val="16"/>
              </w:rPr>
            </w:pPr>
            <w:r>
              <w:rPr>
                <w:w w:val="95"/>
                <w:sz w:val="16"/>
              </w:rPr>
              <w:t>4,346</w:t>
            </w:r>
          </w:p>
        </w:tc>
      </w:tr>
      <w:tr>
        <w:trPr>
          <w:trHeight w:val="241" w:hRule="exact"/>
        </w:trPr>
        <w:tc>
          <w:tcPr>
            <w:tcW w:w="2895" w:type="dxa"/>
          </w:tcPr>
          <w:p>
            <w:pPr>
              <w:pStyle w:val="TableParagraph"/>
              <w:spacing w:before="21"/>
              <w:ind w:left="35" w:right="336"/>
              <w:rPr>
                <w:sz w:val="16"/>
              </w:rPr>
            </w:pPr>
            <w:r>
              <w:rPr>
                <w:sz w:val="16"/>
              </w:rPr>
              <w:t>ARC grants - Linkages</w:t>
            </w:r>
          </w:p>
        </w:tc>
        <w:tc>
          <w:tcPr>
            <w:tcW w:w="1080" w:type="dxa"/>
          </w:tcPr>
          <w:p>
            <w:pPr>
              <w:pStyle w:val="TableParagraph"/>
              <w:spacing w:before="19"/>
              <w:ind w:right="151"/>
              <w:jc w:val="right"/>
              <w:rPr>
                <w:sz w:val="16"/>
              </w:rPr>
            </w:pPr>
            <w:r>
              <w:rPr>
                <w:w w:val="95"/>
                <w:sz w:val="16"/>
              </w:rPr>
              <w:t>35(f)</w:t>
            </w:r>
          </w:p>
        </w:tc>
        <w:tc>
          <w:tcPr>
            <w:tcW w:w="1298" w:type="dxa"/>
          </w:tcPr>
          <w:p>
            <w:pPr>
              <w:pStyle w:val="TableParagraph"/>
              <w:spacing w:before="20"/>
              <w:ind w:right="59"/>
              <w:jc w:val="right"/>
              <w:rPr>
                <w:b/>
                <w:sz w:val="16"/>
              </w:rPr>
            </w:pPr>
            <w:r>
              <w:rPr>
                <w:b/>
                <w:w w:val="95"/>
                <w:sz w:val="16"/>
              </w:rPr>
              <w:t>1,098</w:t>
            </w:r>
          </w:p>
        </w:tc>
        <w:tc>
          <w:tcPr>
            <w:tcW w:w="492" w:type="dxa"/>
          </w:tcPr>
          <w:p>
            <w:pPr/>
          </w:p>
        </w:tc>
        <w:tc>
          <w:tcPr>
            <w:tcW w:w="676" w:type="dxa"/>
          </w:tcPr>
          <w:p>
            <w:pPr>
              <w:pStyle w:val="TableParagraph"/>
              <w:spacing w:before="20"/>
              <w:ind w:right="59"/>
              <w:jc w:val="right"/>
              <w:rPr>
                <w:sz w:val="16"/>
              </w:rPr>
            </w:pPr>
            <w:r>
              <w:rPr>
                <w:w w:val="95"/>
                <w:sz w:val="16"/>
              </w:rPr>
              <w:t>1,506</w:t>
            </w:r>
          </w:p>
        </w:tc>
        <w:tc>
          <w:tcPr>
            <w:tcW w:w="654" w:type="dxa"/>
          </w:tcPr>
          <w:p>
            <w:pPr/>
          </w:p>
        </w:tc>
        <w:tc>
          <w:tcPr>
            <w:tcW w:w="665" w:type="dxa"/>
          </w:tcPr>
          <w:p>
            <w:pPr>
              <w:pStyle w:val="TableParagraph"/>
              <w:spacing w:before="20"/>
              <w:ind w:right="59"/>
              <w:jc w:val="right"/>
              <w:rPr>
                <w:b/>
                <w:sz w:val="16"/>
              </w:rPr>
            </w:pPr>
            <w:r>
              <w:rPr>
                <w:b/>
                <w:w w:val="95"/>
                <w:sz w:val="16"/>
              </w:rPr>
              <w:t>1,098</w:t>
            </w:r>
          </w:p>
        </w:tc>
        <w:tc>
          <w:tcPr>
            <w:tcW w:w="492" w:type="dxa"/>
          </w:tcPr>
          <w:p>
            <w:pPr/>
          </w:p>
        </w:tc>
        <w:tc>
          <w:tcPr>
            <w:tcW w:w="697" w:type="dxa"/>
          </w:tcPr>
          <w:p>
            <w:pPr>
              <w:pStyle w:val="TableParagraph"/>
              <w:spacing w:before="20"/>
              <w:ind w:right="80"/>
              <w:jc w:val="right"/>
              <w:rPr>
                <w:sz w:val="16"/>
              </w:rPr>
            </w:pPr>
            <w:r>
              <w:rPr>
                <w:w w:val="95"/>
                <w:sz w:val="16"/>
              </w:rPr>
              <w:t>1,506</w:t>
            </w:r>
          </w:p>
        </w:tc>
      </w:tr>
      <w:tr>
        <w:trPr>
          <w:trHeight w:val="423" w:hRule="exact"/>
        </w:trPr>
        <w:tc>
          <w:tcPr>
            <w:tcW w:w="2895" w:type="dxa"/>
          </w:tcPr>
          <w:p>
            <w:pPr>
              <w:pStyle w:val="TableParagraph"/>
              <w:spacing w:before="19"/>
              <w:ind w:left="35" w:right="336"/>
              <w:rPr>
                <w:sz w:val="16"/>
              </w:rPr>
            </w:pPr>
            <w:r>
              <w:rPr>
                <w:sz w:val="16"/>
              </w:rPr>
              <w:t>Other Australian Government Grants</w:t>
            </w:r>
          </w:p>
        </w:tc>
        <w:tc>
          <w:tcPr>
            <w:tcW w:w="1080" w:type="dxa"/>
          </w:tcPr>
          <w:p>
            <w:pPr>
              <w:pStyle w:val="TableParagraph"/>
              <w:spacing w:before="19"/>
              <w:ind w:right="195"/>
              <w:jc w:val="right"/>
              <w:rPr>
                <w:sz w:val="16"/>
              </w:rPr>
            </w:pPr>
            <w:r>
              <w:rPr>
                <w:w w:val="95"/>
                <w:sz w:val="16"/>
              </w:rPr>
              <w:t>2(g)</w:t>
            </w:r>
          </w:p>
        </w:tc>
        <w:tc>
          <w:tcPr>
            <w:tcW w:w="1298" w:type="dxa"/>
            <w:tcBorders>
              <w:bottom w:val="single" w:sz="0" w:space="0" w:color="000000"/>
            </w:tcBorders>
          </w:tcPr>
          <w:p>
            <w:pPr>
              <w:pStyle w:val="TableParagraph"/>
              <w:spacing w:before="5"/>
              <w:rPr>
                <w:sz w:val="17"/>
              </w:rPr>
            </w:pPr>
          </w:p>
          <w:p>
            <w:pPr>
              <w:pStyle w:val="TableParagraph"/>
              <w:spacing w:before="1"/>
              <w:ind w:right="59"/>
              <w:jc w:val="right"/>
              <w:rPr>
                <w:b/>
                <w:sz w:val="16"/>
              </w:rPr>
            </w:pPr>
            <w:r>
              <w:rPr>
                <w:b/>
                <w:w w:val="95"/>
                <w:sz w:val="16"/>
              </w:rPr>
              <w:t>15,600</w:t>
            </w:r>
          </w:p>
        </w:tc>
        <w:tc>
          <w:tcPr>
            <w:tcW w:w="492" w:type="dxa"/>
            <w:tcBorders>
              <w:bottom w:val="single" w:sz="0" w:space="0" w:color="000000"/>
            </w:tcBorders>
          </w:tcPr>
          <w:p>
            <w:pPr/>
          </w:p>
        </w:tc>
        <w:tc>
          <w:tcPr>
            <w:tcW w:w="676" w:type="dxa"/>
            <w:tcBorders>
              <w:bottom w:val="single" w:sz="0" w:space="0" w:color="000000"/>
            </w:tcBorders>
          </w:tcPr>
          <w:p>
            <w:pPr>
              <w:pStyle w:val="TableParagraph"/>
              <w:spacing w:before="5"/>
              <w:rPr>
                <w:sz w:val="17"/>
              </w:rPr>
            </w:pPr>
          </w:p>
          <w:p>
            <w:pPr>
              <w:pStyle w:val="TableParagraph"/>
              <w:spacing w:before="1"/>
              <w:ind w:right="59"/>
              <w:jc w:val="right"/>
              <w:rPr>
                <w:sz w:val="16"/>
              </w:rPr>
            </w:pPr>
            <w:r>
              <w:rPr>
                <w:w w:val="95"/>
                <w:sz w:val="16"/>
              </w:rPr>
              <w:t>9,466</w:t>
            </w:r>
          </w:p>
        </w:tc>
        <w:tc>
          <w:tcPr>
            <w:tcW w:w="654" w:type="dxa"/>
            <w:tcBorders>
              <w:bottom w:val="single" w:sz="0" w:space="0" w:color="000000"/>
            </w:tcBorders>
          </w:tcPr>
          <w:p>
            <w:pPr/>
          </w:p>
        </w:tc>
        <w:tc>
          <w:tcPr>
            <w:tcW w:w="665" w:type="dxa"/>
            <w:tcBorders>
              <w:bottom w:val="single" w:sz="0" w:space="0" w:color="000000"/>
            </w:tcBorders>
          </w:tcPr>
          <w:p>
            <w:pPr>
              <w:pStyle w:val="TableParagraph"/>
              <w:spacing w:before="5"/>
              <w:rPr>
                <w:sz w:val="17"/>
              </w:rPr>
            </w:pPr>
          </w:p>
          <w:p>
            <w:pPr>
              <w:pStyle w:val="TableParagraph"/>
              <w:spacing w:before="1"/>
              <w:ind w:right="59"/>
              <w:jc w:val="right"/>
              <w:rPr>
                <w:b/>
                <w:sz w:val="16"/>
              </w:rPr>
            </w:pPr>
            <w:r>
              <w:rPr>
                <w:b/>
                <w:w w:val="95"/>
                <w:sz w:val="16"/>
              </w:rPr>
              <w:t>15,575</w:t>
            </w:r>
          </w:p>
        </w:tc>
        <w:tc>
          <w:tcPr>
            <w:tcW w:w="492" w:type="dxa"/>
            <w:tcBorders>
              <w:bottom w:val="single" w:sz="0" w:space="0" w:color="000000"/>
            </w:tcBorders>
          </w:tcPr>
          <w:p>
            <w:pPr/>
          </w:p>
        </w:tc>
        <w:tc>
          <w:tcPr>
            <w:tcW w:w="697" w:type="dxa"/>
            <w:tcBorders>
              <w:bottom w:val="single" w:sz="0" w:space="0" w:color="000000"/>
            </w:tcBorders>
          </w:tcPr>
          <w:p>
            <w:pPr>
              <w:pStyle w:val="TableParagraph"/>
              <w:spacing w:before="5"/>
              <w:rPr>
                <w:sz w:val="17"/>
              </w:rPr>
            </w:pPr>
          </w:p>
          <w:p>
            <w:pPr>
              <w:pStyle w:val="TableParagraph"/>
              <w:spacing w:before="1"/>
              <w:ind w:right="79"/>
              <w:jc w:val="right"/>
              <w:rPr>
                <w:sz w:val="16"/>
              </w:rPr>
            </w:pPr>
            <w:r>
              <w:rPr>
                <w:w w:val="95"/>
                <w:sz w:val="16"/>
              </w:rPr>
              <w:t>9,399</w:t>
            </w:r>
          </w:p>
        </w:tc>
      </w:tr>
      <w:tr>
        <w:trPr>
          <w:trHeight w:val="303" w:hRule="exact"/>
        </w:trPr>
        <w:tc>
          <w:tcPr>
            <w:tcW w:w="2895" w:type="dxa"/>
          </w:tcPr>
          <w:p>
            <w:pPr>
              <w:pStyle w:val="TableParagraph"/>
              <w:spacing w:before="123"/>
              <w:ind w:left="35" w:right="336"/>
              <w:rPr>
                <w:b/>
                <w:sz w:val="16"/>
              </w:rPr>
            </w:pPr>
            <w:r>
              <w:rPr>
                <w:b/>
                <w:sz w:val="16"/>
              </w:rPr>
              <w:t>Total Australian Government</w:t>
            </w:r>
          </w:p>
        </w:tc>
        <w:tc>
          <w:tcPr>
            <w:tcW w:w="1080" w:type="dxa"/>
          </w:tcPr>
          <w:p>
            <w:pPr/>
          </w:p>
        </w:tc>
        <w:tc>
          <w:tcPr>
            <w:tcW w:w="1298" w:type="dxa"/>
            <w:tcBorders>
              <w:top w:val="single" w:sz="0" w:space="0" w:color="000000"/>
            </w:tcBorders>
          </w:tcPr>
          <w:p>
            <w:pPr/>
          </w:p>
        </w:tc>
        <w:tc>
          <w:tcPr>
            <w:tcW w:w="492" w:type="dxa"/>
            <w:tcBorders>
              <w:top w:val="single" w:sz="0" w:space="0" w:color="000000"/>
            </w:tcBorders>
          </w:tcPr>
          <w:p>
            <w:pPr/>
          </w:p>
        </w:tc>
        <w:tc>
          <w:tcPr>
            <w:tcW w:w="676" w:type="dxa"/>
            <w:tcBorders>
              <w:top w:val="single" w:sz="0" w:space="0" w:color="000000"/>
            </w:tcBorders>
          </w:tcPr>
          <w:p>
            <w:pPr/>
          </w:p>
        </w:tc>
        <w:tc>
          <w:tcPr>
            <w:tcW w:w="654" w:type="dxa"/>
            <w:tcBorders>
              <w:top w:val="single" w:sz="0" w:space="0" w:color="000000"/>
            </w:tcBorders>
          </w:tcPr>
          <w:p>
            <w:pPr/>
          </w:p>
        </w:tc>
        <w:tc>
          <w:tcPr>
            <w:tcW w:w="665" w:type="dxa"/>
            <w:tcBorders>
              <w:top w:val="single" w:sz="0" w:space="0" w:color="000000"/>
            </w:tcBorders>
          </w:tcPr>
          <w:p>
            <w:pPr/>
          </w:p>
        </w:tc>
        <w:tc>
          <w:tcPr>
            <w:tcW w:w="492" w:type="dxa"/>
            <w:tcBorders>
              <w:top w:val="single" w:sz="0" w:space="0" w:color="000000"/>
            </w:tcBorders>
          </w:tcPr>
          <w:p>
            <w:pPr/>
          </w:p>
        </w:tc>
        <w:tc>
          <w:tcPr>
            <w:tcW w:w="697" w:type="dxa"/>
            <w:tcBorders>
              <w:top w:val="single" w:sz="0" w:space="0" w:color="000000"/>
            </w:tcBorders>
          </w:tcPr>
          <w:p>
            <w:pPr/>
          </w:p>
        </w:tc>
      </w:tr>
      <w:tr>
        <w:trPr>
          <w:trHeight w:val="219" w:hRule="exact"/>
        </w:trPr>
        <w:tc>
          <w:tcPr>
            <w:tcW w:w="8950" w:type="dxa"/>
            <w:gridSpan w:val="9"/>
          </w:tcPr>
          <w:p>
            <w:pPr>
              <w:pStyle w:val="TableParagraph"/>
              <w:tabs>
                <w:tab w:pos="3974" w:val="left" w:leader="none"/>
                <w:tab w:pos="4634" w:val="left" w:leader="none"/>
                <w:tab w:pos="5803" w:val="left" w:leader="none"/>
                <w:tab w:pos="7122" w:val="left" w:leader="none"/>
                <w:tab w:pos="8291" w:val="left" w:leader="none"/>
              </w:tabs>
              <w:spacing w:before="3"/>
              <w:ind w:left="35"/>
              <w:rPr>
                <w:sz w:val="16"/>
              </w:rPr>
            </w:pPr>
            <w:r>
              <w:rPr>
                <w:b/>
                <w:sz w:val="16"/>
              </w:rPr>
              <w:t>Grants received -</w:t>
            </w:r>
            <w:r>
              <w:rPr>
                <w:b/>
                <w:spacing w:val="-6"/>
                <w:sz w:val="16"/>
              </w:rPr>
              <w:t> </w:t>
            </w:r>
            <w:r>
              <w:rPr>
                <w:b/>
                <w:sz w:val="16"/>
              </w:rPr>
              <w:t>cash</w:t>
            </w:r>
            <w:r>
              <w:rPr>
                <w:b/>
                <w:spacing w:val="-2"/>
                <w:sz w:val="16"/>
              </w:rPr>
              <w:t> </w:t>
            </w:r>
            <w:r>
              <w:rPr>
                <w:b/>
                <w:sz w:val="16"/>
              </w:rPr>
              <w:t>basis</w:t>
              <w:tab/>
            </w:r>
            <w:r>
              <w:rPr>
                <w:b/>
                <w:sz w:val="16"/>
                <w:u w:val="single"/>
              </w:rPr>
              <w:t> </w:t>
              <w:tab/>
              <w:t>492,313</w:t>
              <w:tab/>
            </w:r>
            <w:r>
              <w:rPr>
                <w:sz w:val="16"/>
                <w:u w:val="single"/>
              </w:rPr>
              <w:t>403,796</w:t>
              <w:tab/>
            </w:r>
            <w:r>
              <w:rPr>
                <w:b/>
                <w:sz w:val="16"/>
                <w:u w:val="single"/>
              </w:rPr>
              <w:t>492,288</w:t>
              <w:tab/>
            </w:r>
            <w:r>
              <w:rPr>
                <w:sz w:val="16"/>
                <w:u w:val="single"/>
              </w:rPr>
              <w:t>403,729</w:t>
            </w:r>
          </w:p>
        </w:tc>
      </w:tr>
      <w:tr>
        <w:trPr>
          <w:trHeight w:val="237" w:hRule="exact"/>
        </w:trPr>
        <w:tc>
          <w:tcPr>
            <w:tcW w:w="2895" w:type="dxa"/>
          </w:tcPr>
          <w:p>
            <w:pPr>
              <w:pStyle w:val="TableParagraph"/>
              <w:spacing w:before="17"/>
              <w:ind w:left="35" w:right="336"/>
              <w:rPr>
                <w:sz w:val="16"/>
              </w:rPr>
            </w:pPr>
            <w:r>
              <w:rPr>
                <w:sz w:val="16"/>
              </w:rPr>
              <w:t>OS-Help (Net)</w:t>
            </w:r>
          </w:p>
        </w:tc>
        <w:tc>
          <w:tcPr>
            <w:tcW w:w="1080" w:type="dxa"/>
          </w:tcPr>
          <w:p>
            <w:pPr>
              <w:pStyle w:val="TableParagraph"/>
              <w:spacing w:before="14"/>
              <w:ind w:right="106"/>
              <w:jc w:val="right"/>
              <w:rPr>
                <w:sz w:val="16"/>
              </w:rPr>
            </w:pPr>
            <w:r>
              <w:rPr>
                <w:w w:val="95"/>
                <w:sz w:val="16"/>
              </w:rPr>
              <w:t>35(g)</w:t>
            </w:r>
          </w:p>
        </w:tc>
        <w:tc>
          <w:tcPr>
            <w:tcW w:w="1298" w:type="dxa"/>
            <w:tcBorders>
              <w:bottom w:val="single" w:sz="0" w:space="0" w:color="000000"/>
            </w:tcBorders>
          </w:tcPr>
          <w:p>
            <w:pPr>
              <w:pStyle w:val="TableParagraph"/>
              <w:spacing w:before="16"/>
              <w:ind w:right="59"/>
              <w:jc w:val="right"/>
              <w:rPr>
                <w:b/>
                <w:sz w:val="16"/>
              </w:rPr>
            </w:pPr>
            <w:r>
              <w:rPr>
                <w:b/>
                <w:sz w:val="16"/>
              </w:rPr>
              <w:t>212</w:t>
            </w:r>
          </w:p>
        </w:tc>
        <w:tc>
          <w:tcPr>
            <w:tcW w:w="1168" w:type="dxa"/>
            <w:gridSpan w:val="2"/>
            <w:tcBorders>
              <w:bottom w:val="single" w:sz="0" w:space="0" w:color="000000"/>
            </w:tcBorders>
          </w:tcPr>
          <w:p>
            <w:pPr>
              <w:pStyle w:val="TableParagraph"/>
              <w:spacing w:before="16"/>
              <w:ind w:right="58"/>
              <w:jc w:val="right"/>
              <w:rPr>
                <w:sz w:val="16"/>
              </w:rPr>
            </w:pPr>
            <w:r>
              <w:rPr>
                <w:w w:val="95"/>
                <w:sz w:val="16"/>
              </w:rPr>
              <w:t>216</w:t>
            </w:r>
          </w:p>
        </w:tc>
        <w:tc>
          <w:tcPr>
            <w:tcW w:w="1319" w:type="dxa"/>
            <w:gridSpan w:val="2"/>
            <w:tcBorders>
              <w:bottom w:val="single" w:sz="0" w:space="0" w:color="000000"/>
            </w:tcBorders>
          </w:tcPr>
          <w:p>
            <w:pPr>
              <w:pStyle w:val="TableParagraph"/>
              <w:spacing w:before="16"/>
              <w:ind w:right="59"/>
              <w:jc w:val="right"/>
              <w:rPr>
                <w:b/>
                <w:sz w:val="16"/>
              </w:rPr>
            </w:pPr>
            <w:r>
              <w:rPr>
                <w:b/>
                <w:sz w:val="16"/>
              </w:rPr>
              <w:t>212</w:t>
            </w:r>
          </w:p>
        </w:tc>
        <w:tc>
          <w:tcPr>
            <w:tcW w:w="1189" w:type="dxa"/>
            <w:gridSpan w:val="2"/>
            <w:tcBorders>
              <w:bottom w:val="single" w:sz="0" w:space="0" w:color="000000"/>
            </w:tcBorders>
          </w:tcPr>
          <w:p>
            <w:pPr>
              <w:pStyle w:val="TableParagraph"/>
              <w:spacing w:before="16"/>
              <w:ind w:right="79"/>
              <w:jc w:val="right"/>
              <w:rPr>
                <w:sz w:val="16"/>
              </w:rPr>
            </w:pPr>
            <w:r>
              <w:rPr>
                <w:sz w:val="16"/>
              </w:rPr>
              <w:t>216</w:t>
            </w:r>
          </w:p>
        </w:tc>
      </w:tr>
      <w:tr>
        <w:trPr>
          <w:trHeight w:val="514" w:hRule="exact"/>
        </w:trPr>
        <w:tc>
          <w:tcPr>
            <w:tcW w:w="2895" w:type="dxa"/>
          </w:tcPr>
          <w:p>
            <w:pPr>
              <w:pStyle w:val="TableParagraph"/>
              <w:spacing w:before="123"/>
              <w:ind w:left="35" w:right="336" w:hanging="1"/>
              <w:rPr>
                <w:b/>
                <w:sz w:val="16"/>
              </w:rPr>
            </w:pPr>
            <w:r>
              <w:rPr>
                <w:b/>
                <w:sz w:val="16"/>
              </w:rPr>
              <w:t>Total Australian Government funding received - cash basis</w:t>
            </w:r>
          </w:p>
        </w:tc>
        <w:tc>
          <w:tcPr>
            <w:tcW w:w="1080" w:type="dxa"/>
          </w:tcPr>
          <w:p>
            <w:pPr/>
          </w:p>
        </w:tc>
        <w:tc>
          <w:tcPr>
            <w:tcW w:w="1298" w:type="dxa"/>
            <w:tcBorders>
              <w:top w:val="single" w:sz="0" w:space="0" w:color="000000"/>
              <w:bottom w:val="single" w:sz="0" w:space="0" w:color="000000"/>
            </w:tcBorders>
          </w:tcPr>
          <w:p>
            <w:pPr>
              <w:pStyle w:val="TableParagraph"/>
              <w:rPr>
                <w:sz w:val="16"/>
              </w:rPr>
            </w:pPr>
          </w:p>
          <w:p>
            <w:pPr>
              <w:pStyle w:val="TableParagraph"/>
              <w:spacing w:before="122"/>
              <w:ind w:right="59"/>
              <w:jc w:val="right"/>
              <w:rPr>
                <w:b/>
                <w:sz w:val="16"/>
              </w:rPr>
            </w:pPr>
            <w:r>
              <w:rPr>
                <w:b/>
                <w:w w:val="95"/>
                <w:sz w:val="16"/>
              </w:rPr>
              <w:t>492,525</w:t>
            </w:r>
          </w:p>
        </w:tc>
        <w:tc>
          <w:tcPr>
            <w:tcW w:w="1168" w:type="dxa"/>
            <w:gridSpan w:val="2"/>
            <w:tcBorders>
              <w:top w:val="single" w:sz="0" w:space="0" w:color="000000"/>
              <w:bottom w:val="single" w:sz="0" w:space="0" w:color="000000"/>
            </w:tcBorders>
          </w:tcPr>
          <w:p>
            <w:pPr>
              <w:pStyle w:val="TableParagraph"/>
              <w:rPr>
                <w:sz w:val="16"/>
              </w:rPr>
            </w:pPr>
          </w:p>
          <w:p>
            <w:pPr>
              <w:pStyle w:val="TableParagraph"/>
              <w:spacing w:before="122"/>
              <w:ind w:left="530"/>
              <w:rPr>
                <w:sz w:val="16"/>
              </w:rPr>
            </w:pPr>
            <w:r>
              <w:rPr>
                <w:sz w:val="16"/>
              </w:rPr>
              <w:t>404,012</w:t>
            </w:r>
          </w:p>
        </w:tc>
        <w:tc>
          <w:tcPr>
            <w:tcW w:w="1319" w:type="dxa"/>
            <w:gridSpan w:val="2"/>
            <w:tcBorders>
              <w:top w:val="single" w:sz="0" w:space="0" w:color="000000"/>
              <w:bottom w:val="single" w:sz="0" w:space="0" w:color="000000"/>
            </w:tcBorders>
          </w:tcPr>
          <w:p>
            <w:pPr>
              <w:pStyle w:val="TableParagraph"/>
              <w:rPr>
                <w:sz w:val="16"/>
              </w:rPr>
            </w:pPr>
          </w:p>
          <w:p>
            <w:pPr>
              <w:pStyle w:val="TableParagraph"/>
              <w:spacing w:before="122"/>
              <w:ind w:left="680"/>
              <w:rPr>
                <w:b/>
                <w:sz w:val="16"/>
              </w:rPr>
            </w:pPr>
            <w:r>
              <w:rPr>
                <w:b/>
                <w:sz w:val="16"/>
              </w:rPr>
              <w:t>492,500</w:t>
            </w:r>
          </w:p>
        </w:tc>
        <w:tc>
          <w:tcPr>
            <w:tcW w:w="1189" w:type="dxa"/>
            <w:gridSpan w:val="2"/>
            <w:tcBorders>
              <w:top w:val="single" w:sz="0" w:space="0" w:color="000000"/>
              <w:bottom w:val="single" w:sz="0" w:space="0" w:color="000000"/>
            </w:tcBorders>
          </w:tcPr>
          <w:p>
            <w:pPr>
              <w:pStyle w:val="TableParagraph"/>
              <w:rPr>
                <w:sz w:val="16"/>
              </w:rPr>
            </w:pPr>
          </w:p>
          <w:p>
            <w:pPr>
              <w:pStyle w:val="TableParagraph"/>
              <w:spacing w:before="122"/>
              <w:ind w:left="530"/>
              <w:rPr>
                <w:sz w:val="16"/>
              </w:rPr>
            </w:pPr>
            <w:r>
              <w:rPr>
                <w:sz w:val="16"/>
              </w:rPr>
              <w:t>403,945</w:t>
            </w:r>
          </w:p>
        </w:tc>
      </w:tr>
    </w:tbl>
    <w:p>
      <w:pPr>
        <w:pStyle w:val="BodyText"/>
        <w:rPr>
          <w:sz w:val="20"/>
        </w:rPr>
      </w:pPr>
    </w:p>
    <w:p>
      <w:pPr>
        <w:pStyle w:val="BodyText"/>
        <w:spacing w:before="6"/>
        <w:rPr>
          <w:sz w:val="24"/>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458"/>
        <w:gridCol w:w="952"/>
        <w:gridCol w:w="801"/>
      </w:tblGrid>
      <w:tr>
        <w:trPr>
          <w:trHeight w:val="945" w:hRule="exact"/>
        </w:trPr>
        <w:tc>
          <w:tcPr>
            <w:tcW w:w="7458" w:type="dxa"/>
          </w:tcPr>
          <w:p>
            <w:pPr>
              <w:pStyle w:val="TableParagraph"/>
              <w:tabs>
                <w:tab w:pos="430" w:val="left" w:leader="none"/>
              </w:tabs>
              <w:spacing w:before="77"/>
              <w:ind w:left="35"/>
              <w:rPr>
                <w:b/>
                <w:sz w:val="18"/>
              </w:rPr>
            </w:pPr>
            <w:r>
              <w:rPr>
                <w:b/>
                <w:sz w:val="18"/>
              </w:rPr>
              <w:t>3</w:t>
              <w:tab/>
              <w:t>State and local government financial</w:t>
            </w:r>
            <w:r>
              <w:rPr>
                <w:b/>
                <w:spacing w:val="-3"/>
                <w:sz w:val="18"/>
              </w:rPr>
              <w:t> </w:t>
            </w:r>
            <w:r>
              <w:rPr>
                <w:b/>
                <w:sz w:val="18"/>
              </w:rPr>
              <w:t>assistance</w:t>
            </w:r>
          </w:p>
          <w:p>
            <w:pPr>
              <w:pStyle w:val="TableParagraph"/>
              <w:rPr>
                <w:sz w:val="25"/>
              </w:rPr>
            </w:pPr>
          </w:p>
          <w:p>
            <w:pPr>
              <w:pStyle w:val="TableParagraph"/>
              <w:ind w:left="429" w:right="-15"/>
              <w:rPr>
                <w:sz w:val="18"/>
              </w:rPr>
            </w:pPr>
            <w:r>
              <w:rPr>
                <w:sz w:val="18"/>
              </w:rPr>
              <w:t>Government grants were received during the reporting period for the following purposes:</w:t>
            </w:r>
          </w:p>
        </w:tc>
        <w:tc>
          <w:tcPr>
            <w:tcW w:w="1753" w:type="dxa"/>
            <w:gridSpan w:val="2"/>
          </w:tcPr>
          <w:p>
            <w:pPr/>
          </w:p>
        </w:tc>
      </w:tr>
      <w:tr>
        <w:trPr>
          <w:trHeight w:val="626" w:hRule="exact"/>
        </w:trPr>
        <w:tc>
          <w:tcPr>
            <w:tcW w:w="7458" w:type="dxa"/>
          </w:tcPr>
          <w:p>
            <w:pPr>
              <w:pStyle w:val="TableParagraph"/>
              <w:spacing w:before="11"/>
              <w:rPr>
                <w:sz w:val="12"/>
              </w:rPr>
            </w:pPr>
          </w:p>
          <w:p>
            <w:pPr>
              <w:pStyle w:val="TableParagraph"/>
              <w:ind w:right="1444"/>
              <w:jc w:val="right"/>
              <w:rPr>
                <w:b/>
                <w:sz w:val="16"/>
              </w:rPr>
            </w:pPr>
            <w:r>
              <w:rPr>
                <w:b/>
                <w:sz w:val="16"/>
              </w:rPr>
              <w:t>Consolidated</w:t>
            </w:r>
          </w:p>
          <w:p>
            <w:pPr>
              <w:pStyle w:val="TableParagraph"/>
              <w:tabs>
                <w:tab w:pos="1139" w:val="left" w:leader="none"/>
              </w:tabs>
              <w:spacing w:before="66"/>
              <w:ind w:right="805"/>
              <w:jc w:val="right"/>
              <w:rPr>
                <w:b/>
                <w:sz w:val="16"/>
              </w:rPr>
            </w:pPr>
            <w:r>
              <w:rPr>
                <w:b/>
                <w:sz w:val="16"/>
              </w:rPr>
              <w:t>2012</w:t>
              <w:tab/>
            </w:r>
            <w:r>
              <w:rPr>
                <w:b/>
                <w:spacing w:val="-1"/>
                <w:sz w:val="16"/>
              </w:rPr>
              <w:t>2011</w:t>
            </w:r>
          </w:p>
        </w:tc>
        <w:tc>
          <w:tcPr>
            <w:tcW w:w="952" w:type="dxa"/>
          </w:tcPr>
          <w:p>
            <w:pPr>
              <w:pStyle w:val="TableParagraph"/>
              <w:spacing w:before="11"/>
              <w:rPr>
                <w:sz w:val="12"/>
              </w:rPr>
            </w:pPr>
          </w:p>
          <w:p>
            <w:pPr>
              <w:pStyle w:val="TableParagraph"/>
              <w:ind w:left="5"/>
              <w:rPr>
                <w:b/>
                <w:sz w:val="16"/>
              </w:rPr>
            </w:pPr>
            <w:r>
              <w:rPr>
                <w:b/>
                <w:sz w:val="16"/>
              </w:rPr>
              <w:t>Parent</w:t>
            </w:r>
          </w:p>
          <w:p>
            <w:pPr>
              <w:pStyle w:val="TableParagraph"/>
              <w:spacing w:before="66"/>
              <w:ind w:left="185"/>
              <w:rPr>
                <w:b/>
                <w:sz w:val="16"/>
              </w:rPr>
            </w:pPr>
            <w:r>
              <w:rPr>
                <w:b/>
                <w:sz w:val="16"/>
              </w:rPr>
              <w:t>2012</w:t>
            </w:r>
          </w:p>
        </w:tc>
        <w:tc>
          <w:tcPr>
            <w:tcW w:w="801" w:type="dxa"/>
          </w:tcPr>
          <w:p>
            <w:pPr>
              <w:pStyle w:val="TableParagraph"/>
              <w:rPr>
                <w:sz w:val="16"/>
              </w:rPr>
            </w:pPr>
          </w:p>
          <w:p>
            <w:pPr>
              <w:pStyle w:val="TableParagraph"/>
              <w:spacing w:before="9"/>
              <w:rPr>
                <w:sz w:val="18"/>
              </w:rPr>
            </w:pPr>
          </w:p>
          <w:p>
            <w:pPr>
              <w:pStyle w:val="TableParagraph"/>
              <w:ind w:right="72"/>
              <w:jc w:val="right"/>
              <w:rPr>
                <w:b/>
                <w:sz w:val="16"/>
              </w:rPr>
            </w:pPr>
            <w:r>
              <w:rPr>
                <w:b/>
                <w:w w:val="95"/>
                <w:sz w:val="16"/>
              </w:rPr>
              <w:t>2011</w:t>
            </w:r>
          </w:p>
        </w:tc>
      </w:tr>
      <w:tr>
        <w:trPr>
          <w:trHeight w:val="305" w:hRule="exact"/>
        </w:trPr>
        <w:tc>
          <w:tcPr>
            <w:tcW w:w="7458" w:type="dxa"/>
          </w:tcPr>
          <w:p>
            <w:pPr>
              <w:pStyle w:val="TableParagraph"/>
              <w:tabs>
                <w:tab w:pos="1139" w:val="left" w:leader="none"/>
              </w:tabs>
              <w:spacing w:before="25"/>
              <w:ind w:right="767"/>
              <w:jc w:val="right"/>
              <w:rPr>
                <w:b/>
                <w:sz w:val="16"/>
              </w:rPr>
            </w:pPr>
            <w:r>
              <w:rPr>
                <w:b/>
                <w:sz w:val="16"/>
              </w:rPr>
              <w:t>$'000</w:t>
              <w:tab/>
            </w:r>
            <w:r>
              <w:rPr>
                <w:b/>
                <w:w w:val="95"/>
                <w:sz w:val="16"/>
              </w:rPr>
              <w:t>$'000</w:t>
            </w:r>
          </w:p>
        </w:tc>
        <w:tc>
          <w:tcPr>
            <w:tcW w:w="952" w:type="dxa"/>
          </w:tcPr>
          <w:p>
            <w:pPr>
              <w:pStyle w:val="TableParagraph"/>
              <w:spacing w:before="25"/>
              <w:ind w:left="185"/>
              <w:rPr>
                <w:b/>
                <w:sz w:val="16"/>
              </w:rPr>
            </w:pPr>
            <w:r>
              <w:rPr>
                <w:b/>
                <w:sz w:val="16"/>
              </w:rPr>
              <w:t>$'000</w:t>
            </w:r>
          </w:p>
        </w:tc>
        <w:tc>
          <w:tcPr>
            <w:tcW w:w="801" w:type="dxa"/>
          </w:tcPr>
          <w:p>
            <w:pPr>
              <w:pStyle w:val="TableParagraph"/>
              <w:spacing w:before="25"/>
              <w:ind w:right="33"/>
              <w:jc w:val="right"/>
              <w:rPr>
                <w:b/>
                <w:sz w:val="16"/>
              </w:rPr>
            </w:pPr>
            <w:r>
              <w:rPr>
                <w:b/>
                <w:w w:val="95"/>
                <w:sz w:val="16"/>
              </w:rPr>
              <w:t>$'000</w:t>
            </w:r>
          </w:p>
        </w:tc>
      </w:tr>
    </w:tbl>
    <w:p>
      <w:pPr>
        <w:spacing w:after="0"/>
        <w:jc w:val="right"/>
        <w:rPr>
          <w:sz w:val="16"/>
        </w:rPr>
        <w:sectPr>
          <w:footerReference w:type="default" r:id="rId71"/>
          <w:pgSz w:w="11910" w:h="16840"/>
          <w:pgMar w:footer="507" w:header="1038" w:top="2220" w:bottom="700" w:left="860" w:right="860"/>
          <w:pgNumType w:start="31"/>
        </w:sectPr>
      </w:pPr>
    </w:p>
    <w:p>
      <w:pPr>
        <w:pStyle w:val="BodyText"/>
        <w:spacing w:before="7"/>
        <w:rPr>
          <w:rFonts w:ascii="Times New Roman"/>
          <w:sz w:val="26"/>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4137"/>
        <w:gridCol w:w="1423"/>
        <w:gridCol w:w="596"/>
        <w:gridCol w:w="702"/>
        <w:gridCol w:w="777"/>
        <w:gridCol w:w="688"/>
        <w:gridCol w:w="596"/>
        <w:gridCol w:w="745"/>
      </w:tblGrid>
      <w:tr>
        <w:trPr>
          <w:trHeight w:val="567" w:hRule="exact"/>
        </w:trPr>
        <w:tc>
          <w:tcPr>
            <w:tcW w:w="283" w:type="dxa"/>
          </w:tcPr>
          <w:p>
            <w:pPr>
              <w:pStyle w:val="TableParagraph"/>
              <w:spacing w:before="77"/>
              <w:ind w:left="35"/>
              <w:rPr>
                <w:b/>
                <w:sz w:val="18"/>
              </w:rPr>
            </w:pPr>
            <w:r>
              <w:rPr>
                <w:b/>
                <w:w w:val="99"/>
                <w:sz w:val="18"/>
              </w:rPr>
              <w:t>4</w:t>
            </w:r>
          </w:p>
        </w:tc>
        <w:tc>
          <w:tcPr>
            <w:tcW w:w="4137" w:type="dxa"/>
          </w:tcPr>
          <w:p>
            <w:pPr>
              <w:pStyle w:val="TableParagraph"/>
              <w:spacing w:before="77"/>
              <w:ind w:left="147" w:right="1172"/>
              <w:rPr>
                <w:b/>
                <w:sz w:val="18"/>
              </w:rPr>
            </w:pPr>
            <w:r>
              <w:rPr>
                <w:b/>
                <w:sz w:val="18"/>
              </w:rPr>
              <w:t>Fees and charges</w:t>
            </w:r>
          </w:p>
        </w:tc>
        <w:tc>
          <w:tcPr>
            <w:tcW w:w="1423" w:type="dxa"/>
          </w:tcPr>
          <w:p>
            <w:pPr>
              <w:pStyle w:val="TableParagraph"/>
              <w:rPr>
                <w:rFonts w:ascii="Times New Roman"/>
                <w:sz w:val="18"/>
              </w:rPr>
            </w:pPr>
          </w:p>
          <w:p>
            <w:pPr>
              <w:pStyle w:val="TableParagraph"/>
              <w:spacing w:before="110"/>
              <w:ind w:left="27"/>
              <w:rPr>
                <w:b/>
                <w:sz w:val="18"/>
              </w:rPr>
            </w:pPr>
            <w:r>
              <w:rPr>
                <w:b/>
                <w:sz w:val="18"/>
              </w:rPr>
              <w:t>Consolidated</w:t>
            </w:r>
          </w:p>
        </w:tc>
        <w:tc>
          <w:tcPr>
            <w:tcW w:w="596" w:type="dxa"/>
          </w:tcPr>
          <w:p>
            <w:pPr/>
          </w:p>
        </w:tc>
        <w:tc>
          <w:tcPr>
            <w:tcW w:w="702" w:type="dxa"/>
          </w:tcPr>
          <w:p>
            <w:pPr/>
          </w:p>
        </w:tc>
        <w:tc>
          <w:tcPr>
            <w:tcW w:w="777" w:type="dxa"/>
          </w:tcPr>
          <w:p>
            <w:pPr>
              <w:pStyle w:val="TableParagraph"/>
              <w:rPr>
                <w:rFonts w:ascii="Times New Roman"/>
                <w:sz w:val="18"/>
              </w:rPr>
            </w:pPr>
          </w:p>
          <w:p>
            <w:pPr>
              <w:pStyle w:val="TableParagraph"/>
              <w:spacing w:before="110"/>
              <w:ind w:right="172"/>
              <w:jc w:val="right"/>
              <w:rPr>
                <w:b/>
                <w:sz w:val="18"/>
              </w:rPr>
            </w:pPr>
            <w:r>
              <w:rPr>
                <w:b/>
                <w:w w:val="95"/>
                <w:sz w:val="18"/>
              </w:rPr>
              <w:t>Parent</w:t>
            </w:r>
          </w:p>
        </w:tc>
        <w:tc>
          <w:tcPr>
            <w:tcW w:w="2029" w:type="dxa"/>
            <w:gridSpan w:val="3"/>
          </w:tcPr>
          <w:p>
            <w:pPr/>
          </w:p>
        </w:tc>
      </w:tr>
      <w:tr>
        <w:trPr>
          <w:trHeight w:val="274" w:hRule="exact"/>
        </w:trPr>
        <w:tc>
          <w:tcPr>
            <w:tcW w:w="283" w:type="dxa"/>
          </w:tcPr>
          <w:p>
            <w:pPr/>
          </w:p>
        </w:tc>
        <w:tc>
          <w:tcPr>
            <w:tcW w:w="4137" w:type="dxa"/>
          </w:tcPr>
          <w:p>
            <w:pPr/>
          </w:p>
        </w:tc>
        <w:tc>
          <w:tcPr>
            <w:tcW w:w="1423" w:type="dxa"/>
          </w:tcPr>
          <w:p>
            <w:pPr>
              <w:pStyle w:val="TableParagraph"/>
              <w:spacing w:before="24"/>
              <w:ind w:left="196"/>
              <w:rPr>
                <w:b/>
                <w:sz w:val="18"/>
              </w:rPr>
            </w:pPr>
            <w:r>
              <w:rPr>
                <w:b/>
                <w:sz w:val="18"/>
              </w:rPr>
              <w:t>2012</w:t>
            </w:r>
          </w:p>
        </w:tc>
        <w:tc>
          <w:tcPr>
            <w:tcW w:w="596" w:type="dxa"/>
          </w:tcPr>
          <w:p>
            <w:pPr>
              <w:pStyle w:val="TableParagraph"/>
              <w:spacing w:before="24"/>
              <w:ind w:left="43"/>
              <w:rPr>
                <w:b/>
                <w:sz w:val="18"/>
              </w:rPr>
            </w:pPr>
            <w:r>
              <w:rPr>
                <w:b/>
                <w:sz w:val="18"/>
              </w:rPr>
              <w:t>2011</w:t>
            </w:r>
          </w:p>
        </w:tc>
        <w:tc>
          <w:tcPr>
            <w:tcW w:w="702" w:type="dxa"/>
          </w:tcPr>
          <w:p>
            <w:pPr/>
          </w:p>
        </w:tc>
        <w:tc>
          <w:tcPr>
            <w:tcW w:w="777" w:type="dxa"/>
          </w:tcPr>
          <w:p>
            <w:pPr>
              <w:pStyle w:val="TableParagraph"/>
              <w:spacing w:before="24"/>
              <w:ind w:right="135"/>
              <w:jc w:val="right"/>
              <w:rPr>
                <w:b/>
                <w:sz w:val="18"/>
              </w:rPr>
            </w:pPr>
            <w:r>
              <w:rPr>
                <w:b/>
                <w:w w:val="95"/>
                <w:sz w:val="18"/>
              </w:rPr>
              <w:t>2012</w:t>
            </w:r>
          </w:p>
        </w:tc>
        <w:tc>
          <w:tcPr>
            <w:tcW w:w="688" w:type="dxa"/>
          </w:tcPr>
          <w:p>
            <w:pPr/>
          </w:p>
        </w:tc>
        <w:tc>
          <w:tcPr>
            <w:tcW w:w="596" w:type="dxa"/>
          </w:tcPr>
          <w:p>
            <w:pPr>
              <w:pStyle w:val="TableParagraph"/>
              <w:spacing w:before="24"/>
              <w:ind w:left="43"/>
              <w:rPr>
                <w:b/>
                <w:sz w:val="18"/>
              </w:rPr>
            </w:pPr>
            <w:r>
              <w:rPr>
                <w:b/>
                <w:sz w:val="18"/>
              </w:rPr>
              <w:t>2011</w:t>
            </w:r>
          </w:p>
        </w:tc>
        <w:tc>
          <w:tcPr>
            <w:tcW w:w="745" w:type="dxa"/>
          </w:tcPr>
          <w:p>
            <w:pPr/>
          </w:p>
        </w:tc>
      </w:tr>
      <w:tr>
        <w:trPr>
          <w:trHeight w:val="313" w:hRule="exact"/>
        </w:trPr>
        <w:tc>
          <w:tcPr>
            <w:tcW w:w="283" w:type="dxa"/>
          </w:tcPr>
          <w:p>
            <w:pPr/>
          </w:p>
        </w:tc>
        <w:tc>
          <w:tcPr>
            <w:tcW w:w="4137" w:type="dxa"/>
          </w:tcPr>
          <w:p>
            <w:pPr/>
          </w:p>
        </w:tc>
        <w:tc>
          <w:tcPr>
            <w:tcW w:w="1423" w:type="dxa"/>
          </w:tcPr>
          <w:p>
            <w:pPr>
              <w:pStyle w:val="TableParagraph"/>
              <w:spacing w:before="24"/>
              <w:ind w:left="196"/>
              <w:rPr>
                <w:b/>
                <w:sz w:val="18"/>
              </w:rPr>
            </w:pPr>
            <w:r>
              <w:rPr>
                <w:b/>
                <w:sz w:val="18"/>
              </w:rPr>
              <w:t>$'000</w:t>
            </w:r>
          </w:p>
        </w:tc>
        <w:tc>
          <w:tcPr>
            <w:tcW w:w="596" w:type="dxa"/>
          </w:tcPr>
          <w:p>
            <w:pPr>
              <w:pStyle w:val="TableParagraph"/>
              <w:spacing w:before="24"/>
              <w:ind w:left="43"/>
              <w:rPr>
                <w:b/>
                <w:sz w:val="18"/>
              </w:rPr>
            </w:pPr>
            <w:r>
              <w:rPr>
                <w:b/>
                <w:sz w:val="18"/>
              </w:rPr>
              <w:t>$'000</w:t>
            </w:r>
          </w:p>
        </w:tc>
        <w:tc>
          <w:tcPr>
            <w:tcW w:w="702" w:type="dxa"/>
          </w:tcPr>
          <w:p>
            <w:pPr/>
          </w:p>
        </w:tc>
        <w:tc>
          <w:tcPr>
            <w:tcW w:w="777" w:type="dxa"/>
          </w:tcPr>
          <w:p>
            <w:pPr>
              <w:pStyle w:val="TableParagraph"/>
              <w:spacing w:before="24"/>
              <w:ind w:right="92"/>
              <w:jc w:val="right"/>
              <w:rPr>
                <w:b/>
                <w:sz w:val="18"/>
              </w:rPr>
            </w:pPr>
            <w:r>
              <w:rPr>
                <w:b/>
                <w:w w:val="95"/>
                <w:sz w:val="18"/>
              </w:rPr>
              <w:t>$'000</w:t>
            </w:r>
          </w:p>
        </w:tc>
        <w:tc>
          <w:tcPr>
            <w:tcW w:w="688" w:type="dxa"/>
          </w:tcPr>
          <w:p>
            <w:pPr/>
          </w:p>
        </w:tc>
        <w:tc>
          <w:tcPr>
            <w:tcW w:w="596" w:type="dxa"/>
          </w:tcPr>
          <w:p>
            <w:pPr>
              <w:pStyle w:val="TableParagraph"/>
              <w:spacing w:before="24"/>
              <w:ind w:left="43"/>
              <w:rPr>
                <w:b/>
                <w:sz w:val="18"/>
              </w:rPr>
            </w:pPr>
            <w:r>
              <w:rPr>
                <w:b/>
                <w:sz w:val="18"/>
              </w:rPr>
              <w:t>$'000</w:t>
            </w:r>
          </w:p>
        </w:tc>
        <w:tc>
          <w:tcPr>
            <w:tcW w:w="745" w:type="dxa"/>
          </w:tcPr>
          <w:p>
            <w:pPr/>
          </w:p>
        </w:tc>
      </w:tr>
      <w:tr>
        <w:trPr>
          <w:trHeight w:val="294" w:hRule="exact"/>
        </w:trPr>
        <w:tc>
          <w:tcPr>
            <w:tcW w:w="283" w:type="dxa"/>
          </w:tcPr>
          <w:p>
            <w:pPr/>
          </w:p>
        </w:tc>
        <w:tc>
          <w:tcPr>
            <w:tcW w:w="4137" w:type="dxa"/>
          </w:tcPr>
          <w:p>
            <w:pPr>
              <w:pStyle w:val="TableParagraph"/>
              <w:spacing w:before="63"/>
              <w:ind w:left="174" w:right="1172"/>
              <w:rPr>
                <w:b/>
                <w:sz w:val="18"/>
              </w:rPr>
            </w:pPr>
            <w:r>
              <w:rPr>
                <w:b/>
                <w:sz w:val="18"/>
              </w:rPr>
              <w:t>Course Fees and Charges</w:t>
            </w:r>
          </w:p>
        </w:tc>
        <w:tc>
          <w:tcPr>
            <w:tcW w:w="1423" w:type="dxa"/>
          </w:tcPr>
          <w:p>
            <w:pPr/>
          </w:p>
        </w:tc>
        <w:tc>
          <w:tcPr>
            <w:tcW w:w="596" w:type="dxa"/>
          </w:tcPr>
          <w:p>
            <w:pPr/>
          </w:p>
        </w:tc>
        <w:tc>
          <w:tcPr>
            <w:tcW w:w="702" w:type="dxa"/>
          </w:tcPr>
          <w:p>
            <w:pPr/>
          </w:p>
        </w:tc>
        <w:tc>
          <w:tcPr>
            <w:tcW w:w="777" w:type="dxa"/>
          </w:tcPr>
          <w:p>
            <w:pPr/>
          </w:p>
        </w:tc>
        <w:tc>
          <w:tcPr>
            <w:tcW w:w="688" w:type="dxa"/>
          </w:tcPr>
          <w:p>
            <w:pPr/>
          </w:p>
        </w:tc>
        <w:tc>
          <w:tcPr>
            <w:tcW w:w="596" w:type="dxa"/>
          </w:tcPr>
          <w:p>
            <w:pPr/>
          </w:p>
        </w:tc>
        <w:tc>
          <w:tcPr>
            <w:tcW w:w="745" w:type="dxa"/>
          </w:tcPr>
          <w:p>
            <w:pPr/>
          </w:p>
        </w:tc>
      </w:tr>
      <w:tr>
        <w:trPr>
          <w:trHeight w:val="250" w:hRule="exact"/>
        </w:trPr>
        <w:tc>
          <w:tcPr>
            <w:tcW w:w="283" w:type="dxa"/>
          </w:tcPr>
          <w:p>
            <w:pPr/>
          </w:p>
        </w:tc>
        <w:tc>
          <w:tcPr>
            <w:tcW w:w="4137" w:type="dxa"/>
          </w:tcPr>
          <w:p>
            <w:pPr>
              <w:pStyle w:val="TableParagraph"/>
              <w:spacing w:before="6"/>
              <w:ind w:left="174" w:right="1172"/>
              <w:rPr>
                <w:sz w:val="18"/>
              </w:rPr>
            </w:pPr>
            <w:r>
              <w:rPr>
                <w:sz w:val="18"/>
              </w:rPr>
              <w:t>Fee-paying overseas students</w:t>
            </w:r>
          </w:p>
        </w:tc>
        <w:tc>
          <w:tcPr>
            <w:tcW w:w="1423" w:type="dxa"/>
          </w:tcPr>
          <w:p>
            <w:pPr>
              <w:pStyle w:val="TableParagraph"/>
              <w:spacing w:before="4"/>
              <w:ind w:right="41"/>
              <w:jc w:val="right"/>
              <w:rPr>
                <w:b/>
                <w:sz w:val="18"/>
              </w:rPr>
            </w:pPr>
            <w:r>
              <w:rPr>
                <w:b/>
                <w:w w:val="95"/>
                <w:sz w:val="18"/>
              </w:rPr>
              <w:t>61,375</w:t>
            </w:r>
          </w:p>
        </w:tc>
        <w:tc>
          <w:tcPr>
            <w:tcW w:w="596" w:type="dxa"/>
          </w:tcPr>
          <w:p>
            <w:pPr/>
          </w:p>
        </w:tc>
        <w:tc>
          <w:tcPr>
            <w:tcW w:w="702" w:type="dxa"/>
          </w:tcPr>
          <w:p>
            <w:pPr>
              <w:pStyle w:val="TableParagraph"/>
              <w:spacing w:before="4"/>
              <w:ind w:right="40"/>
              <w:jc w:val="right"/>
              <w:rPr>
                <w:sz w:val="18"/>
              </w:rPr>
            </w:pPr>
            <w:r>
              <w:rPr>
                <w:w w:val="95"/>
                <w:sz w:val="18"/>
              </w:rPr>
              <w:t>60,679</w:t>
            </w:r>
          </w:p>
        </w:tc>
        <w:tc>
          <w:tcPr>
            <w:tcW w:w="777" w:type="dxa"/>
          </w:tcPr>
          <w:p>
            <w:pPr/>
          </w:p>
        </w:tc>
        <w:tc>
          <w:tcPr>
            <w:tcW w:w="688" w:type="dxa"/>
          </w:tcPr>
          <w:p>
            <w:pPr>
              <w:pStyle w:val="TableParagraph"/>
              <w:spacing w:before="4"/>
              <w:ind w:right="41"/>
              <w:jc w:val="right"/>
              <w:rPr>
                <w:b/>
                <w:sz w:val="18"/>
              </w:rPr>
            </w:pPr>
            <w:r>
              <w:rPr>
                <w:b/>
                <w:w w:val="95"/>
                <w:sz w:val="18"/>
              </w:rPr>
              <w:t>57,791</w:t>
            </w:r>
          </w:p>
        </w:tc>
        <w:tc>
          <w:tcPr>
            <w:tcW w:w="596" w:type="dxa"/>
          </w:tcPr>
          <w:p>
            <w:pPr/>
          </w:p>
        </w:tc>
        <w:tc>
          <w:tcPr>
            <w:tcW w:w="745" w:type="dxa"/>
          </w:tcPr>
          <w:p>
            <w:pPr>
              <w:pStyle w:val="TableParagraph"/>
              <w:spacing w:before="4"/>
              <w:ind w:right="83"/>
              <w:jc w:val="right"/>
              <w:rPr>
                <w:sz w:val="18"/>
              </w:rPr>
            </w:pPr>
            <w:r>
              <w:rPr>
                <w:w w:val="95"/>
                <w:sz w:val="18"/>
              </w:rPr>
              <w:t>56,739</w:t>
            </w:r>
          </w:p>
        </w:tc>
      </w:tr>
      <w:tr>
        <w:trPr>
          <w:trHeight w:val="263" w:hRule="exact"/>
        </w:trPr>
        <w:tc>
          <w:tcPr>
            <w:tcW w:w="283" w:type="dxa"/>
          </w:tcPr>
          <w:p>
            <w:pPr/>
          </w:p>
        </w:tc>
        <w:tc>
          <w:tcPr>
            <w:tcW w:w="4137" w:type="dxa"/>
          </w:tcPr>
          <w:p>
            <w:pPr>
              <w:pStyle w:val="TableParagraph"/>
              <w:spacing w:before="19"/>
              <w:ind w:left="174" w:right="1172"/>
              <w:rPr>
                <w:sz w:val="18"/>
              </w:rPr>
            </w:pPr>
            <w:r>
              <w:rPr>
                <w:sz w:val="18"/>
              </w:rPr>
              <w:t>Continuing education</w:t>
            </w:r>
          </w:p>
        </w:tc>
        <w:tc>
          <w:tcPr>
            <w:tcW w:w="1423" w:type="dxa"/>
          </w:tcPr>
          <w:p>
            <w:pPr>
              <w:pStyle w:val="TableParagraph"/>
              <w:spacing w:before="18"/>
              <w:ind w:right="42"/>
              <w:jc w:val="right"/>
              <w:rPr>
                <w:b/>
                <w:sz w:val="18"/>
              </w:rPr>
            </w:pPr>
            <w:r>
              <w:rPr>
                <w:b/>
                <w:w w:val="95"/>
                <w:sz w:val="18"/>
              </w:rPr>
              <w:t>3,091</w:t>
            </w:r>
          </w:p>
        </w:tc>
        <w:tc>
          <w:tcPr>
            <w:tcW w:w="596" w:type="dxa"/>
          </w:tcPr>
          <w:p>
            <w:pPr/>
          </w:p>
        </w:tc>
        <w:tc>
          <w:tcPr>
            <w:tcW w:w="702" w:type="dxa"/>
          </w:tcPr>
          <w:p>
            <w:pPr>
              <w:pStyle w:val="TableParagraph"/>
              <w:spacing w:before="18"/>
              <w:ind w:right="41"/>
              <w:jc w:val="right"/>
              <w:rPr>
                <w:sz w:val="18"/>
              </w:rPr>
            </w:pPr>
            <w:r>
              <w:rPr>
                <w:w w:val="95"/>
                <w:sz w:val="18"/>
              </w:rPr>
              <w:t>3,574</w:t>
            </w:r>
          </w:p>
        </w:tc>
        <w:tc>
          <w:tcPr>
            <w:tcW w:w="777" w:type="dxa"/>
          </w:tcPr>
          <w:p>
            <w:pPr/>
          </w:p>
        </w:tc>
        <w:tc>
          <w:tcPr>
            <w:tcW w:w="688" w:type="dxa"/>
          </w:tcPr>
          <w:p>
            <w:pPr>
              <w:pStyle w:val="TableParagraph"/>
              <w:spacing w:before="18"/>
              <w:ind w:right="42"/>
              <w:jc w:val="right"/>
              <w:rPr>
                <w:b/>
                <w:sz w:val="18"/>
              </w:rPr>
            </w:pPr>
            <w:r>
              <w:rPr>
                <w:b/>
                <w:sz w:val="18"/>
              </w:rPr>
              <w:t>68</w:t>
            </w:r>
          </w:p>
        </w:tc>
        <w:tc>
          <w:tcPr>
            <w:tcW w:w="596" w:type="dxa"/>
          </w:tcPr>
          <w:p>
            <w:pPr/>
          </w:p>
        </w:tc>
        <w:tc>
          <w:tcPr>
            <w:tcW w:w="745" w:type="dxa"/>
          </w:tcPr>
          <w:p>
            <w:pPr>
              <w:pStyle w:val="TableParagraph"/>
              <w:spacing w:before="18"/>
              <w:ind w:right="85"/>
              <w:jc w:val="right"/>
              <w:rPr>
                <w:sz w:val="18"/>
              </w:rPr>
            </w:pPr>
            <w:r>
              <w:rPr>
                <w:w w:val="99"/>
                <w:sz w:val="18"/>
              </w:rPr>
              <w:t>4</w:t>
            </w:r>
          </w:p>
        </w:tc>
      </w:tr>
      <w:tr>
        <w:trPr>
          <w:trHeight w:val="468" w:hRule="exact"/>
        </w:trPr>
        <w:tc>
          <w:tcPr>
            <w:tcW w:w="283" w:type="dxa"/>
          </w:tcPr>
          <w:p>
            <w:pPr/>
          </w:p>
        </w:tc>
        <w:tc>
          <w:tcPr>
            <w:tcW w:w="4137" w:type="dxa"/>
          </w:tcPr>
          <w:p>
            <w:pPr>
              <w:pStyle w:val="TableParagraph"/>
              <w:spacing w:before="18"/>
              <w:ind w:left="174" w:right="1172" w:hanging="1"/>
              <w:rPr>
                <w:sz w:val="18"/>
              </w:rPr>
            </w:pPr>
            <w:r>
              <w:rPr>
                <w:sz w:val="18"/>
              </w:rPr>
              <w:t>Fee-paying domestic postgraduate students</w:t>
            </w:r>
          </w:p>
        </w:tc>
        <w:tc>
          <w:tcPr>
            <w:tcW w:w="1423" w:type="dxa"/>
          </w:tcPr>
          <w:p>
            <w:pPr>
              <w:pStyle w:val="TableParagraph"/>
              <w:spacing w:before="4"/>
              <w:rPr>
                <w:rFonts w:ascii="Times New Roman"/>
                <w:sz w:val="19"/>
              </w:rPr>
            </w:pPr>
          </w:p>
          <w:p>
            <w:pPr>
              <w:pStyle w:val="TableParagraph"/>
              <w:ind w:right="41"/>
              <w:jc w:val="right"/>
              <w:rPr>
                <w:b/>
                <w:sz w:val="18"/>
              </w:rPr>
            </w:pPr>
            <w:r>
              <w:rPr>
                <w:b/>
                <w:w w:val="95"/>
                <w:sz w:val="18"/>
              </w:rPr>
              <w:t>2,934</w:t>
            </w:r>
          </w:p>
        </w:tc>
        <w:tc>
          <w:tcPr>
            <w:tcW w:w="596" w:type="dxa"/>
          </w:tcPr>
          <w:p>
            <w:pPr/>
          </w:p>
        </w:tc>
        <w:tc>
          <w:tcPr>
            <w:tcW w:w="702" w:type="dxa"/>
          </w:tcPr>
          <w:p>
            <w:pPr>
              <w:pStyle w:val="TableParagraph"/>
              <w:spacing w:before="4"/>
              <w:rPr>
                <w:rFonts w:ascii="Times New Roman"/>
                <w:sz w:val="19"/>
              </w:rPr>
            </w:pPr>
          </w:p>
          <w:p>
            <w:pPr>
              <w:pStyle w:val="TableParagraph"/>
              <w:ind w:right="41"/>
              <w:jc w:val="right"/>
              <w:rPr>
                <w:sz w:val="18"/>
              </w:rPr>
            </w:pPr>
            <w:r>
              <w:rPr>
                <w:w w:val="95"/>
                <w:sz w:val="18"/>
              </w:rPr>
              <w:t>3,091</w:t>
            </w:r>
          </w:p>
        </w:tc>
        <w:tc>
          <w:tcPr>
            <w:tcW w:w="777" w:type="dxa"/>
          </w:tcPr>
          <w:p>
            <w:pPr/>
          </w:p>
        </w:tc>
        <w:tc>
          <w:tcPr>
            <w:tcW w:w="688" w:type="dxa"/>
          </w:tcPr>
          <w:p>
            <w:pPr>
              <w:pStyle w:val="TableParagraph"/>
              <w:spacing w:before="4"/>
              <w:rPr>
                <w:rFonts w:ascii="Times New Roman"/>
                <w:sz w:val="19"/>
              </w:rPr>
            </w:pPr>
          </w:p>
          <w:p>
            <w:pPr>
              <w:pStyle w:val="TableParagraph"/>
              <w:ind w:right="41"/>
              <w:jc w:val="right"/>
              <w:rPr>
                <w:b/>
                <w:sz w:val="18"/>
              </w:rPr>
            </w:pPr>
            <w:r>
              <w:rPr>
                <w:b/>
                <w:w w:val="95"/>
                <w:sz w:val="18"/>
              </w:rPr>
              <w:t>2,934</w:t>
            </w:r>
          </w:p>
        </w:tc>
        <w:tc>
          <w:tcPr>
            <w:tcW w:w="596" w:type="dxa"/>
          </w:tcPr>
          <w:p>
            <w:pPr/>
          </w:p>
        </w:tc>
        <w:tc>
          <w:tcPr>
            <w:tcW w:w="745" w:type="dxa"/>
          </w:tcPr>
          <w:p>
            <w:pPr>
              <w:pStyle w:val="TableParagraph"/>
              <w:spacing w:before="4"/>
              <w:rPr>
                <w:rFonts w:ascii="Times New Roman"/>
                <w:sz w:val="19"/>
              </w:rPr>
            </w:pPr>
          </w:p>
          <w:p>
            <w:pPr>
              <w:pStyle w:val="TableParagraph"/>
              <w:ind w:right="84"/>
              <w:jc w:val="right"/>
              <w:rPr>
                <w:sz w:val="18"/>
              </w:rPr>
            </w:pPr>
            <w:r>
              <w:rPr>
                <w:w w:val="95"/>
                <w:sz w:val="18"/>
              </w:rPr>
              <w:t>3,091</w:t>
            </w:r>
          </w:p>
        </w:tc>
      </w:tr>
      <w:tr>
        <w:trPr>
          <w:trHeight w:val="468" w:hRule="exact"/>
        </w:trPr>
        <w:tc>
          <w:tcPr>
            <w:tcW w:w="283" w:type="dxa"/>
          </w:tcPr>
          <w:p>
            <w:pPr/>
          </w:p>
        </w:tc>
        <w:tc>
          <w:tcPr>
            <w:tcW w:w="4137" w:type="dxa"/>
          </w:tcPr>
          <w:p>
            <w:pPr>
              <w:pStyle w:val="TableParagraph"/>
              <w:spacing w:before="17"/>
              <w:ind w:left="174" w:right="2041" w:hanging="1"/>
              <w:rPr>
                <w:sz w:val="18"/>
              </w:rPr>
            </w:pPr>
            <w:r>
              <w:rPr>
                <w:sz w:val="18"/>
              </w:rPr>
              <w:t>Fee-paying domestic undergraduate students</w:t>
            </w:r>
          </w:p>
        </w:tc>
        <w:tc>
          <w:tcPr>
            <w:tcW w:w="1423" w:type="dxa"/>
          </w:tcPr>
          <w:p>
            <w:pPr>
              <w:pStyle w:val="TableParagraph"/>
              <w:spacing w:before="4"/>
              <w:rPr>
                <w:rFonts w:ascii="Times New Roman"/>
                <w:sz w:val="19"/>
              </w:rPr>
            </w:pPr>
          </w:p>
          <w:p>
            <w:pPr>
              <w:pStyle w:val="TableParagraph"/>
              <w:ind w:right="41"/>
              <w:jc w:val="right"/>
              <w:rPr>
                <w:b/>
                <w:sz w:val="18"/>
              </w:rPr>
            </w:pPr>
            <w:r>
              <w:rPr>
                <w:b/>
                <w:w w:val="95"/>
                <w:sz w:val="18"/>
              </w:rPr>
              <w:t>654</w:t>
            </w:r>
          </w:p>
        </w:tc>
        <w:tc>
          <w:tcPr>
            <w:tcW w:w="596" w:type="dxa"/>
          </w:tcPr>
          <w:p>
            <w:pPr/>
          </w:p>
        </w:tc>
        <w:tc>
          <w:tcPr>
            <w:tcW w:w="702" w:type="dxa"/>
          </w:tcPr>
          <w:p>
            <w:pPr>
              <w:pStyle w:val="TableParagraph"/>
              <w:spacing w:before="4"/>
              <w:rPr>
                <w:rFonts w:ascii="Times New Roman"/>
                <w:sz w:val="19"/>
              </w:rPr>
            </w:pPr>
          </w:p>
          <w:p>
            <w:pPr>
              <w:pStyle w:val="TableParagraph"/>
              <w:ind w:right="41"/>
              <w:jc w:val="right"/>
              <w:rPr>
                <w:sz w:val="18"/>
              </w:rPr>
            </w:pPr>
            <w:r>
              <w:rPr>
                <w:w w:val="95"/>
                <w:sz w:val="18"/>
              </w:rPr>
              <w:t>793</w:t>
            </w:r>
          </w:p>
        </w:tc>
        <w:tc>
          <w:tcPr>
            <w:tcW w:w="777" w:type="dxa"/>
          </w:tcPr>
          <w:p>
            <w:pPr/>
          </w:p>
        </w:tc>
        <w:tc>
          <w:tcPr>
            <w:tcW w:w="688" w:type="dxa"/>
          </w:tcPr>
          <w:p>
            <w:pPr>
              <w:pStyle w:val="TableParagraph"/>
              <w:spacing w:before="4"/>
              <w:rPr>
                <w:rFonts w:ascii="Times New Roman"/>
                <w:sz w:val="19"/>
              </w:rPr>
            </w:pPr>
          </w:p>
          <w:p>
            <w:pPr>
              <w:pStyle w:val="TableParagraph"/>
              <w:ind w:right="41"/>
              <w:jc w:val="right"/>
              <w:rPr>
                <w:b/>
                <w:sz w:val="18"/>
              </w:rPr>
            </w:pPr>
            <w:r>
              <w:rPr>
                <w:b/>
                <w:w w:val="95"/>
                <w:sz w:val="18"/>
              </w:rPr>
              <w:t>240</w:t>
            </w:r>
          </w:p>
        </w:tc>
        <w:tc>
          <w:tcPr>
            <w:tcW w:w="596" w:type="dxa"/>
          </w:tcPr>
          <w:p>
            <w:pPr/>
          </w:p>
        </w:tc>
        <w:tc>
          <w:tcPr>
            <w:tcW w:w="745" w:type="dxa"/>
          </w:tcPr>
          <w:p>
            <w:pPr>
              <w:pStyle w:val="TableParagraph"/>
              <w:spacing w:before="4"/>
              <w:rPr>
                <w:rFonts w:ascii="Times New Roman"/>
                <w:sz w:val="19"/>
              </w:rPr>
            </w:pPr>
          </w:p>
          <w:p>
            <w:pPr>
              <w:pStyle w:val="TableParagraph"/>
              <w:ind w:right="84"/>
              <w:jc w:val="right"/>
              <w:rPr>
                <w:sz w:val="18"/>
              </w:rPr>
            </w:pPr>
            <w:r>
              <w:rPr>
                <w:w w:val="95"/>
                <w:sz w:val="18"/>
              </w:rPr>
              <w:t>246</w:t>
            </w:r>
          </w:p>
        </w:tc>
      </w:tr>
      <w:tr>
        <w:trPr>
          <w:trHeight w:val="468" w:hRule="exact"/>
        </w:trPr>
        <w:tc>
          <w:tcPr>
            <w:tcW w:w="283" w:type="dxa"/>
          </w:tcPr>
          <w:p>
            <w:pPr/>
          </w:p>
        </w:tc>
        <w:tc>
          <w:tcPr>
            <w:tcW w:w="4137" w:type="dxa"/>
          </w:tcPr>
          <w:p>
            <w:pPr>
              <w:pStyle w:val="TableParagraph"/>
              <w:spacing w:before="17"/>
              <w:ind w:left="174" w:right="1371"/>
              <w:rPr>
                <w:sz w:val="18"/>
              </w:rPr>
            </w:pPr>
            <w:r>
              <w:rPr>
                <w:sz w:val="18"/>
              </w:rPr>
              <w:t>Fee-paying domestic non-award students</w:t>
            </w:r>
          </w:p>
        </w:tc>
        <w:tc>
          <w:tcPr>
            <w:tcW w:w="1423" w:type="dxa"/>
          </w:tcPr>
          <w:p>
            <w:pPr>
              <w:pStyle w:val="TableParagraph"/>
              <w:spacing w:before="4"/>
              <w:rPr>
                <w:rFonts w:ascii="Times New Roman"/>
                <w:sz w:val="19"/>
              </w:rPr>
            </w:pPr>
          </w:p>
          <w:p>
            <w:pPr>
              <w:pStyle w:val="TableParagraph"/>
              <w:ind w:right="41"/>
              <w:jc w:val="right"/>
              <w:rPr>
                <w:b/>
                <w:sz w:val="18"/>
              </w:rPr>
            </w:pPr>
            <w:r>
              <w:rPr>
                <w:b/>
                <w:w w:val="95"/>
                <w:sz w:val="18"/>
              </w:rPr>
              <w:t>1,090</w:t>
            </w:r>
          </w:p>
        </w:tc>
        <w:tc>
          <w:tcPr>
            <w:tcW w:w="596" w:type="dxa"/>
          </w:tcPr>
          <w:p>
            <w:pPr/>
          </w:p>
        </w:tc>
        <w:tc>
          <w:tcPr>
            <w:tcW w:w="702" w:type="dxa"/>
          </w:tcPr>
          <w:p>
            <w:pPr>
              <w:pStyle w:val="TableParagraph"/>
              <w:spacing w:before="4"/>
              <w:rPr>
                <w:rFonts w:ascii="Times New Roman"/>
                <w:sz w:val="19"/>
              </w:rPr>
            </w:pPr>
          </w:p>
          <w:p>
            <w:pPr>
              <w:pStyle w:val="TableParagraph"/>
              <w:ind w:right="41"/>
              <w:jc w:val="right"/>
              <w:rPr>
                <w:sz w:val="18"/>
              </w:rPr>
            </w:pPr>
            <w:r>
              <w:rPr>
                <w:w w:val="95"/>
                <w:sz w:val="18"/>
              </w:rPr>
              <w:t>1,114</w:t>
            </w:r>
          </w:p>
        </w:tc>
        <w:tc>
          <w:tcPr>
            <w:tcW w:w="777" w:type="dxa"/>
          </w:tcPr>
          <w:p>
            <w:pPr/>
          </w:p>
        </w:tc>
        <w:tc>
          <w:tcPr>
            <w:tcW w:w="688" w:type="dxa"/>
          </w:tcPr>
          <w:p>
            <w:pPr>
              <w:pStyle w:val="TableParagraph"/>
              <w:spacing w:before="4"/>
              <w:rPr>
                <w:rFonts w:ascii="Times New Roman"/>
                <w:sz w:val="19"/>
              </w:rPr>
            </w:pPr>
          </w:p>
          <w:p>
            <w:pPr>
              <w:pStyle w:val="TableParagraph"/>
              <w:ind w:right="41"/>
              <w:jc w:val="right"/>
              <w:rPr>
                <w:b/>
                <w:sz w:val="18"/>
              </w:rPr>
            </w:pPr>
            <w:r>
              <w:rPr>
                <w:b/>
                <w:w w:val="95"/>
                <w:sz w:val="18"/>
              </w:rPr>
              <w:t>1,046</w:t>
            </w:r>
          </w:p>
        </w:tc>
        <w:tc>
          <w:tcPr>
            <w:tcW w:w="596" w:type="dxa"/>
          </w:tcPr>
          <w:p>
            <w:pPr/>
          </w:p>
        </w:tc>
        <w:tc>
          <w:tcPr>
            <w:tcW w:w="745" w:type="dxa"/>
          </w:tcPr>
          <w:p>
            <w:pPr>
              <w:pStyle w:val="TableParagraph"/>
              <w:spacing w:before="4"/>
              <w:rPr>
                <w:rFonts w:ascii="Times New Roman"/>
                <w:sz w:val="19"/>
              </w:rPr>
            </w:pPr>
          </w:p>
          <w:p>
            <w:pPr>
              <w:pStyle w:val="TableParagraph"/>
              <w:ind w:right="84"/>
              <w:jc w:val="right"/>
              <w:rPr>
                <w:sz w:val="18"/>
              </w:rPr>
            </w:pPr>
            <w:r>
              <w:rPr>
                <w:w w:val="95"/>
                <w:sz w:val="18"/>
              </w:rPr>
              <w:t>1,044</w:t>
            </w:r>
          </w:p>
        </w:tc>
      </w:tr>
      <w:tr>
        <w:trPr>
          <w:trHeight w:val="467" w:hRule="exact"/>
        </w:trPr>
        <w:tc>
          <w:tcPr>
            <w:tcW w:w="283" w:type="dxa"/>
          </w:tcPr>
          <w:p>
            <w:pPr/>
          </w:p>
        </w:tc>
        <w:tc>
          <w:tcPr>
            <w:tcW w:w="4137" w:type="dxa"/>
          </w:tcPr>
          <w:p>
            <w:pPr>
              <w:pStyle w:val="TableParagraph"/>
              <w:spacing w:before="17"/>
              <w:ind w:left="174" w:right="1391"/>
              <w:rPr>
                <w:sz w:val="18"/>
              </w:rPr>
            </w:pPr>
            <w:r>
              <w:rPr>
                <w:sz w:val="18"/>
              </w:rPr>
              <w:t>Other domestic course fees and charges</w:t>
            </w:r>
          </w:p>
        </w:tc>
        <w:tc>
          <w:tcPr>
            <w:tcW w:w="1423" w:type="dxa"/>
            <w:tcBorders>
              <w:bottom w:val="single" w:sz="0" w:space="0" w:color="000000"/>
            </w:tcBorders>
          </w:tcPr>
          <w:p>
            <w:pPr>
              <w:pStyle w:val="TableParagraph"/>
              <w:spacing w:before="4"/>
              <w:rPr>
                <w:rFonts w:ascii="Times New Roman"/>
                <w:sz w:val="19"/>
              </w:rPr>
            </w:pPr>
          </w:p>
          <w:p>
            <w:pPr>
              <w:pStyle w:val="TableParagraph"/>
              <w:ind w:right="42"/>
              <w:jc w:val="right"/>
              <w:rPr>
                <w:b/>
                <w:sz w:val="18"/>
              </w:rPr>
            </w:pPr>
            <w:r>
              <w:rPr>
                <w:b/>
                <w:w w:val="95"/>
                <w:sz w:val="18"/>
              </w:rPr>
              <w:t>252</w:t>
            </w:r>
          </w:p>
        </w:tc>
        <w:tc>
          <w:tcPr>
            <w:tcW w:w="596" w:type="dxa"/>
            <w:tcBorders>
              <w:bottom w:val="single" w:sz="0" w:space="0" w:color="000000"/>
            </w:tcBorders>
          </w:tcPr>
          <w:p>
            <w:pPr/>
          </w:p>
        </w:tc>
        <w:tc>
          <w:tcPr>
            <w:tcW w:w="702" w:type="dxa"/>
            <w:tcBorders>
              <w:bottom w:val="single" w:sz="0" w:space="0" w:color="000000"/>
            </w:tcBorders>
          </w:tcPr>
          <w:p>
            <w:pPr>
              <w:pStyle w:val="TableParagraph"/>
              <w:spacing w:before="4"/>
              <w:rPr>
                <w:rFonts w:ascii="Times New Roman"/>
                <w:sz w:val="19"/>
              </w:rPr>
            </w:pPr>
          </w:p>
          <w:p>
            <w:pPr>
              <w:pStyle w:val="TableParagraph"/>
              <w:ind w:right="41"/>
              <w:jc w:val="right"/>
              <w:rPr>
                <w:sz w:val="18"/>
              </w:rPr>
            </w:pPr>
            <w:r>
              <w:rPr>
                <w:w w:val="95"/>
                <w:sz w:val="18"/>
              </w:rPr>
              <w:t>1,857</w:t>
            </w:r>
          </w:p>
        </w:tc>
        <w:tc>
          <w:tcPr>
            <w:tcW w:w="777" w:type="dxa"/>
            <w:tcBorders>
              <w:bottom w:val="single" w:sz="0" w:space="0" w:color="000000"/>
            </w:tcBorders>
          </w:tcPr>
          <w:p>
            <w:pPr/>
          </w:p>
        </w:tc>
        <w:tc>
          <w:tcPr>
            <w:tcW w:w="688" w:type="dxa"/>
            <w:tcBorders>
              <w:bottom w:val="single" w:sz="0" w:space="0" w:color="000000"/>
            </w:tcBorders>
          </w:tcPr>
          <w:p>
            <w:pPr>
              <w:pStyle w:val="TableParagraph"/>
              <w:spacing w:before="4"/>
              <w:rPr>
                <w:rFonts w:ascii="Times New Roman"/>
                <w:sz w:val="19"/>
              </w:rPr>
            </w:pPr>
          </w:p>
          <w:p>
            <w:pPr>
              <w:pStyle w:val="TableParagraph"/>
              <w:ind w:right="42"/>
              <w:jc w:val="right"/>
              <w:rPr>
                <w:b/>
                <w:sz w:val="18"/>
              </w:rPr>
            </w:pPr>
            <w:r>
              <w:rPr>
                <w:b/>
                <w:w w:val="95"/>
                <w:sz w:val="18"/>
              </w:rPr>
              <w:t>252</w:t>
            </w:r>
          </w:p>
        </w:tc>
        <w:tc>
          <w:tcPr>
            <w:tcW w:w="596" w:type="dxa"/>
            <w:tcBorders>
              <w:bottom w:val="single" w:sz="0" w:space="0" w:color="000000"/>
            </w:tcBorders>
          </w:tcPr>
          <w:p>
            <w:pPr/>
          </w:p>
        </w:tc>
        <w:tc>
          <w:tcPr>
            <w:tcW w:w="745" w:type="dxa"/>
            <w:tcBorders>
              <w:bottom w:val="single" w:sz="0" w:space="0" w:color="000000"/>
            </w:tcBorders>
          </w:tcPr>
          <w:p>
            <w:pPr>
              <w:pStyle w:val="TableParagraph"/>
              <w:spacing w:before="4"/>
              <w:rPr>
                <w:rFonts w:ascii="Times New Roman"/>
                <w:sz w:val="19"/>
              </w:rPr>
            </w:pPr>
          </w:p>
          <w:p>
            <w:pPr>
              <w:pStyle w:val="TableParagraph"/>
              <w:ind w:right="84"/>
              <w:jc w:val="right"/>
              <w:rPr>
                <w:sz w:val="18"/>
              </w:rPr>
            </w:pPr>
            <w:r>
              <w:rPr>
                <w:w w:val="95"/>
                <w:sz w:val="18"/>
              </w:rPr>
              <w:t>397</w:t>
            </w:r>
          </w:p>
        </w:tc>
      </w:tr>
      <w:tr>
        <w:trPr>
          <w:trHeight w:val="338" w:hRule="exact"/>
        </w:trPr>
        <w:tc>
          <w:tcPr>
            <w:tcW w:w="283" w:type="dxa"/>
          </w:tcPr>
          <w:p>
            <w:pPr/>
          </w:p>
        </w:tc>
        <w:tc>
          <w:tcPr>
            <w:tcW w:w="4137" w:type="dxa"/>
          </w:tcPr>
          <w:p>
            <w:pPr>
              <w:pStyle w:val="TableParagraph"/>
              <w:spacing w:before="123"/>
              <w:ind w:left="174" w:right="1172"/>
              <w:rPr>
                <w:b/>
                <w:sz w:val="18"/>
              </w:rPr>
            </w:pPr>
            <w:r>
              <w:rPr>
                <w:b/>
                <w:sz w:val="18"/>
              </w:rPr>
              <w:t>Total Course Fees and Charges</w:t>
            </w:r>
          </w:p>
        </w:tc>
        <w:tc>
          <w:tcPr>
            <w:tcW w:w="1423" w:type="dxa"/>
            <w:tcBorders>
              <w:top w:val="single" w:sz="0" w:space="0" w:color="000000"/>
              <w:bottom w:val="single" w:sz="0" w:space="0" w:color="000000"/>
            </w:tcBorders>
          </w:tcPr>
          <w:p>
            <w:pPr>
              <w:pStyle w:val="TableParagraph"/>
              <w:spacing w:before="94"/>
              <w:ind w:right="41"/>
              <w:jc w:val="right"/>
              <w:rPr>
                <w:b/>
                <w:sz w:val="18"/>
              </w:rPr>
            </w:pPr>
            <w:r>
              <w:rPr>
                <w:b/>
                <w:w w:val="95"/>
                <w:sz w:val="18"/>
              </w:rPr>
              <w:t>69,396</w:t>
            </w:r>
          </w:p>
        </w:tc>
        <w:tc>
          <w:tcPr>
            <w:tcW w:w="596" w:type="dxa"/>
            <w:tcBorders>
              <w:top w:val="single" w:sz="0" w:space="0" w:color="000000"/>
              <w:bottom w:val="single" w:sz="0" w:space="0" w:color="000000"/>
            </w:tcBorders>
          </w:tcPr>
          <w:p>
            <w:pPr/>
          </w:p>
        </w:tc>
        <w:tc>
          <w:tcPr>
            <w:tcW w:w="702" w:type="dxa"/>
            <w:tcBorders>
              <w:top w:val="single" w:sz="0" w:space="0" w:color="000000"/>
              <w:bottom w:val="single" w:sz="0" w:space="0" w:color="000000"/>
            </w:tcBorders>
          </w:tcPr>
          <w:p>
            <w:pPr>
              <w:pStyle w:val="TableParagraph"/>
              <w:spacing w:before="94"/>
              <w:ind w:right="40"/>
              <w:jc w:val="right"/>
              <w:rPr>
                <w:sz w:val="18"/>
              </w:rPr>
            </w:pPr>
            <w:r>
              <w:rPr>
                <w:w w:val="95"/>
                <w:sz w:val="18"/>
              </w:rPr>
              <w:t>71,108</w:t>
            </w:r>
          </w:p>
        </w:tc>
        <w:tc>
          <w:tcPr>
            <w:tcW w:w="777" w:type="dxa"/>
            <w:tcBorders>
              <w:top w:val="single" w:sz="0" w:space="0" w:color="000000"/>
              <w:bottom w:val="single" w:sz="0" w:space="0" w:color="000000"/>
            </w:tcBorders>
          </w:tcPr>
          <w:p>
            <w:pPr/>
          </w:p>
        </w:tc>
        <w:tc>
          <w:tcPr>
            <w:tcW w:w="688" w:type="dxa"/>
            <w:tcBorders>
              <w:top w:val="single" w:sz="0" w:space="0" w:color="000000"/>
              <w:bottom w:val="single" w:sz="0" w:space="0" w:color="000000"/>
            </w:tcBorders>
          </w:tcPr>
          <w:p>
            <w:pPr>
              <w:pStyle w:val="TableParagraph"/>
              <w:spacing w:before="94"/>
              <w:ind w:right="41"/>
              <w:jc w:val="right"/>
              <w:rPr>
                <w:b/>
                <w:sz w:val="18"/>
              </w:rPr>
            </w:pPr>
            <w:r>
              <w:rPr>
                <w:b/>
                <w:w w:val="95"/>
                <w:sz w:val="18"/>
              </w:rPr>
              <w:t>62,331</w:t>
            </w:r>
          </w:p>
        </w:tc>
        <w:tc>
          <w:tcPr>
            <w:tcW w:w="596" w:type="dxa"/>
            <w:tcBorders>
              <w:top w:val="single" w:sz="0" w:space="0" w:color="000000"/>
              <w:bottom w:val="single" w:sz="0" w:space="0" w:color="000000"/>
            </w:tcBorders>
          </w:tcPr>
          <w:p>
            <w:pPr/>
          </w:p>
        </w:tc>
        <w:tc>
          <w:tcPr>
            <w:tcW w:w="745" w:type="dxa"/>
            <w:tcBorders>
              <w:top w:val="single" w:sz="0" w:space="0" w:color="000000"/>
              <w:bottom w:val="single" w:sz="0" w:space="0" w:color="000000"/>
            </w:tcBorders>
          </w:tcPr>
          <w:p>
            <w:pPr>
              <w:pStyle w:val="TableParagraph"/>
              <w:spacing w:before="94"/>
              <w:ind w:right="83"/>
              <w:jc w:val="right"/>
              <w:rPr>
                <w:sz w:val="18"/>
              </w:rPr>
            </w:pPr>
            <w:r>
              <w:rPr>
                <w:w w:val="95"/>
                <w:sz w:val="18"/>
              </w:rPr>
              <w:t>61,521</w:t>
            </w:r>
          </w:p>
        </w:tc>
      </w:tr>
      <w:tr>
        <w:trPr>
          <w:trHeight w:val="560" w:hRule="exact"/>
        </w:trPr>
        <w:tc>
          <w:tcPr>
            <w:tcW w:w="283" w:type="dxa"/>
          </w:tcPr>
          <w:p>
            <w:pPr/>
          </w:p>
        </w:tc>
        <w:tc>
          <w:tcPr>
            <w:tcW w:w="4137" w:type="dxa"/>
          </w:tcPr>
          <w:p>
            <w:pPr>
              <w:pStyle w:val="TableParagraph"/>
              <w:spacing w:before="123"/>
              <w:ind w:left="174" w:right="1552"/>
              <w:rPr>
                <w:b/>
                <w:sz w:val="18"/>
              </w:rPr>
            </w:pPr>
            <w:r>
              <w:rPr>
                <w:b/>
                <w:sz w:val="18"/>
              </w:rPr>
              <w:t>Other Non-Course Fees and Charges</w:t>
            </w:r>
          </w:p>
        </w:tc>
        <w:tc>
          <w:tcPr>
            <w:tcW w:w="1423" w:type="dxa"/>
            <w:tcBorders>
              <w:top w:val="single" w:sz="0" w:space="0" w:color="000000"/>
            </w:tcBorders>
          </w:tcPr>
          <w:p>
            <w:pPr/>
          </w:p>
        </w:tc>
        <w:tc>
          <w:tcPr>
            <w:tcW w:w="596" w:type="dxa"/>
            <w:tcBorders>
              <w:top w:val="single" w:sz="0" w:space="0" w:color="000000"/>
            </w:tcBorders>
          </w:tcPr>
          <w:p>
            <w:pPr/>
          </w:p>
        </w:tc>
        <w:tc>
          <w:tcPr>
            <w:tcW w:w="702" w:type="dxa"/>
            <w:tcBorders>
              <w:top w:val="single" w:sz="0" w:space="0" w:color="000000"/>
            </w:tcBorders>
          </w:tcPr>
          <w:p>
            <w:pPr/>
          </w:p>
        </w:tc>
        <w:tc>
          <w:tcPr>
            <w:tcW w:w="777" w:type="dxa"/>
            <w:tcBorders>
              <w:top w:val="single" w:sz="0" w:space="0" w:color="000000"/>
            </w:tcBorders>
          </w:tcPr>
          <w:p>
            <w:pPr/>
          </w:p>
        </w:tc>
        <w:tc>
          <w:tcPr>
            <w:tcW w:w="688" w:type="dxa"/>
            <w:tcBorders>
              <w:top w:val="single" w:sz="0" w:space="0" w:color="000000"/>
            </w:tcBorders>
          </w:tcPr>
          <w:p>
            <w:pPr/>
          </w:p>
        </w:tc>
        <w:tc>
          <w:tcPr>
            <w:tcW w:w="596" w:type="dxa"/>
            <w:tcBorders>
              <w:top w:val="single" w:sz="0" w:space="0" w:color="000000"/>
            </w:tcBorders>
          </w:tcPr>
          <w:p>
            <w:pPr/>
          </w:p>
        </w:tc>
        <w:tc>
          <w:tcPr>
            <w:tcW w:w="745" w:type="dxa"/>
            <w:tcBorders>
              <w:top w:val="single" w:sz="0" w:space="0" w:color="000000"/>
            </w:tcBorders>
          </w:tcPr>
          <w:p>
            <w:pPr/>
          </w:p>
        </w:tc>
      </w:tr>
      <w:tr>
        <w:trPr>
          <w:trHeight w:val="250" w:hRule="exact"/>
        </w:trPr>
        <w:tc>
          <w:tcPr>
            <w:tcW w:w="283" w:type="dxa"/>
          </w:tcPr>
          <w:p>
            <w:pPr/>
          </w:p>
        </w:tc>
        <w:tc>
          <w:tcPr>
            <w:tcW w:w="4137" w:type="dxa"/>
          </w:tcPr>
          <w:p>
            <w:pPr>
              <w:pStyle w:val="TableParagraph"/>
              <w:spacing w:before="6"/>
              <w:ind w:left="174" w:right="1172"/>
              <w:rPr>
                <w:sz w:val="18"/>
              </w:rPr>
            </w:pPr>
            <w:r>
              <w:rPr>
                <w:sz w:val="18"/>
              </w:rPr>
              <w:t>Student services fees</w:t>
            </w:r>
          </w:p>
        </w:tc>
        <w:tc>
          <w:tcPr>
            <w:tcW w:w="1423" w:type="dxa"/>
          </w:tcPr>
          <w:p>
            <w:pPr>
              <w:pStyle w:val="TableParagraph"/>
              <w:spacing w:before="4"/>
              <w:ind w:right="41"/>
              <w:jc w:val="right"/>
              <w:rPr>
                <w:b/>
                <w:sz w:val="18"/>
              </w:rPr>
            </w:pPr>
            <w:r>
              <w:rPr>
                <w:b/>
                <w:w w:val="95"/>
                <w:sz w:val="18"/>
              </w:rPr>
              <w:t>2,590</w:t>
            </w:r>
          </w:p>
        </w:tc>
        <w:tc>
          <w:tcPr>
            <w:tcW w:w="596" w:type="dxa"/>
          </w:tcPr>
          <w:p>
            <w:pPr/>
          </w:p>
        </w:tc>
        <w:tc>
          <w:tcPr>
            <w:tcW w:w="702" w:type="dxa"/>
          </w:tcPr>
          <w:p>
            <w:pPr>
              <w:pStyle w:val="TableParagraph"/>
              <w:spacing w:before="4"/>
              <w:ind w:right="42"/>
              <w:jc w:val="right"/>
              <w:rPr>
                <w:sz w:val="18"/>
              </w:rPr>
            </w:pPr>
            <w:r>
              <w:rPr>
                <w:w w:val="99"/>
                <w:sz w:val="18"/>
              </w:rPr>
              <w:t>-</w:t>
            </w:r>
          </w:p>
        </w:tc>
        <w:tc>
          <w:tcPr>
            <w:tcW w:w="777" w:type="dxa"/>
          </w:tcPr>
          <w:p>
            <w:pPr/>
          </w:p>
        </w:tc>
        <w:tc>
          <w:tcPr>
            <w:tcW w:w="688" w:type="dxa"/>
          </w:tcPr>
          <w:p>
            <w:pPr>
              <w:pStyle w:val="TableParagraph"/>
              <w:spacing w:before="4"/>
              <w:ind w:right="41"/>
              <w:jc w:val="right"/>
              <w:rPr>
                <w:b/>
                <w:sz w:val="18"/>
              </w:rPr>
            </w:pPr>
            <w:r>
              <w:rPr>
                <w:b/>
                <w:w w:val="95"/>
                <w:sz w:val="18"/>
              </w:rPr>
              <w:t>2,590</w:t>
            </w:r>
          </w:p>
        </w:tc>
        <w:tc>
          <w:tcPr>
            <w:tcW w:w="596" w:type="dxa"/>
          </w:tcPr>
          <w:p>
            <w:pPr/>
          </w:p>
        </w:tc>
        <w:tc>
          <w:tcPr>
            <w:tcW w:w="745" w:type="dxa"/>
          </w:tcPr>
          <w:p>
            <w:pPr>
              <w:pStyle w:val="TableParagraph"/>
              <w:spacing w:before="4"/>
              <w:ind w:right="85"/>
              <w:jc w:val="right"/>
              <w:rPr>
                <w:sz w:val="18"/>
              </w:rPr>
            </w:pPr>
            <w:r>
              <w:rPr>
                <w:w w:val="99"/>
                <w:sz w:val="18"/>
              </w:rPr>
              <w:t>-</w:t>
            </w:r>
          </w:p>
        </w:tc>
      </w:tr>
      <w:tr>
        <w:trPr>
          <w:trHeight w:val="264" w:hRule="exact"/>
        </w:trPr>
        <w:tc>
          <w:tcPr>
            <w:tcW w:w="283" w:type="dxa"/>
          </w:tcPr>
          <w:p>
            <w:pPr/>
          </w:p>
        </w:tc>
        <w:tc>
          <w:tcPr>
            <w:tcW w:w="4137" w:type="dxa"/>
          </w:tcPr>
          <w:p>
            <w:pPr>
              <w:pStyle w:val="TableParagraph"/>
              <w:spacing w:before="19"/>
              <w:ind w:left="174" w:right="1172"/>
              <w:rPr>
                <w:sz w:val="18"/>
              </w:rPr>
            </w:pPr>
            <w:r>
              <w:rPr>
                <w:sz w:val="18"/>
              </w:rPr>
              <w:t>Deferral fees</w:t>
            </w:r>
          </w:p>
        </w:tc>
        <w:tc>
          <w:tcPr>
            <w:tcW w:w="1423" w:type="dxa"/>
          </w:tcPr>
          <w:p>
            <w:pPr>
              <w:pStyle w:val="TableParagraph"/>
              <w:spacing w:before="18"/>
              <w:ind w:right="42"/>
              <w:jc w:val="right"/>
              <w:rPr>
                <w:b/>
                <w:sz w:val="18"/>
              </w:rPr>
            </w:pPr>
            <w:r>
              <w:rPr>
                <w:b/>
                <w:w w:val="95"/>
                <w:sz w:val="18"/>
              </w:rPr>
              <w:t>136</w:t>
            </w:r>
          </w:p>
        </w:tc>
        <w:tc>
          <w:tcPr>
            <w:tcW w:w="596" w:type="dxa"/>
          </w:tcPr>
          <w:p>
            <w:pPr/>
          </w:p>
        </w:tc>
        <w:tc>
          <w:tcPr>
            <w:tcW w:w="702" w:type="dxa"/>
          </w:tcPr>
          <w:p>
            <w:pPr>
              <w:pStyle w:val="TableParagraph"/>
              <w:spacing w:before="18"/>
              <w:ind w:right="41"/>
              <w:jc w:val="right"/>
              <w:rPr>
                <w:sz w:val="18"/>
              </w:rPr>
            </w:pPr>
            <w:r>
              <w:rPr>
                <w:w w:val="95"/>
                <w:sz w:val="18"/>
              </w:rPr>
              <w:t>139</w:t>
            </w:r>
          </w:p>
        </w:tc>
        <w:tc>
          <w:tcPr>
            <w:tcW w:w="777" w:type="dxa"/>
          </w:tcPr>
          <w:p>
            <w:pPr/>
          </w:p>
        </w:tc>
        <w:tc>
          <w:tcPr>
            <w:tcW w:w="688" w:type="dxa"/>
          </w:tcPr>
          <w:p>
            <w:pPr>
              <w:pStyle w:val="TableParagraph"/>
              <w:spacing w:before="18"/>
              <w:ind w:right="42"/>
              <w:jc w:val="right"/>
              <w:rPr>
                <w:b/>
                <w:sz w:val="18"/>
              </w:rPr>
            </w:pPr>
            <w:r>
              <w:rPr>
                <w:b/>
                <w:w w:val="95"/>
                <w:sz w:val="18"/>
              </w:rPr>
              <w:t>136</w:t>
            </w:r>
          </w:p>
        </w:tc>
        <w:tc>
          <w:tcPr>
            <w:tcW w:w="596" w:type="dxa"/>
          </w:tcPr>
          <w:p>
            <w:pPr/>
          </w:p>
        </w:tc>
        <w:tc>
          <w:tcPr>
            <w:tcW w:w="745" w:type="dxa"/>
          </w:tcPr>
          <w:p>
            <w:pPr>
              <w:pStyle w:val="TableParagraph"/>
              <w:spacing w:before="18"/>
              <w:ind w:right="84"/>
              <w:jc w:val="right"/>
              <w:rPr>
                <w:sz w:val="18"/>
              </w:rPr>
            </w:pPr>
            <w:r>
              <w:rPr>
                <w:w w:val="95"/>
                <w:sz w:val="18"/>
              </w:rPr>
              <w:t>139</w:t>
            </w:r>
          </w:p>
        </w:tc>
      </w:tr>
      <w:tr>
        <w:trPr>
          <w:trHeight w:val="264" w:hRule="exact"/>
        </w:trPr>
        <w:tc>
          <w:tcPr>
            <w:tcW w:w="283" w:type="dxa"/>
          </w:tcPr>
          <w:p>
            <w:pPr/>
          </w:p>
        </w:tc>
        <w:tc>
          <w:tcPr>
            <w:tcW w:w="4137" w:type="dxa"/>
          </w:tcPr>
          <w:p>
            <w:pPr>
              <w:pStyle w:val="TableParagraph"/>
              <w:spacing w:before="19"/>
              <w:ind w:left="174" w:right="1172"/>
              <w:rPr>
                <w:sz w:val="18"/>
              </w:rPr>
            </w:pPr>
            <w:r>
              <w:rPr>
                <w:sz w:val="18"/>
              </w:rPr>
              <w:t>Library fines</w:t>
            </w:r>
          </w:p>
        </w:tc>
        <w:tc>
          <w:tcPr>
            <w:tcW w:w="1423" w:type="dxa"/>
          </w:tcPr>
          <w:p>
            <w:pPr>
              <w:pStyle w:val="TableParagraph"/>
              <w:spacing w:before="18"/>
              <w:ind w:right="42"/>
              <w:jc w:val="right"/>
              <w:rPr>
                <w:b/>
                <w:sz w:val="18"/>
              </w:rPr>
            </w:pPr>
            <w:r>
              <w:rPr>
                <w:b/>
                <w:w w:val="95"/>
                <w:sz w:val="18"/>
              </w:rPr>
              <w:t>224</w:t>
            </w:r>
          </w:p>
        </w:tc>
        <w:tc>
          <w:tcPr>
            <w:tcW w:w="596" w:type="dxa"/>
          </w:tcPr>
          <w:p>
            <w:pPr/>
          </w:p>
        </w:tc>
        <w:tc>
          <w:tcPr>
            <w:tcW w:w="702" w:type="dxa"/>
          </w:tcPr>
          <w:p>
            <w:pPr>
              <w:pStyle w:val="TableParagraph"/>
              <w:spacing w:before="18"/>
              <w:ind w:right="41"/>
              <w:jc w:val="right"/>
              <w:rPr>
                <w:sz w:val="18"/>
              </w:rPr>
            </w:pPr>
            <w:r>
              <w:rPr>
                <w:w w:val="95"/>
                <w:sz w:val="18"/>
              </w:rPr>
              <w:t>367</w:t>
            </w:r>
          </w:p>
        </w:tc>
        <w:tc>
          <w:tcPr>
            <w:tcW w:w="777" w:type="dxa"/>
          </w:tcPr>
          <w:p>
            <w:pPr/>
          </w:p>
        </w:tc>
        <w:tc>
          <w:tcPr>
            <w:tcW w:w="688" w:type="dxa"/>
          </w:tcPr>
          <w:p>
            <w:pPr>
              <w:pStyle w:val="TableParagraph"/>
              <w:spacing w:before="18"/>
              <w:ind w:right="42"/>
              <w:jc w:val="right"/>
              <w:rPr>
                <w:b/>
                <w:sz w:val="18"/>
              </w:rPr>
            </w:pPr>
            <w:r>
              <w:rPr>
                <w:b/>
                <w:w w:val="95"/>
                <w:sz w:val="18"/>
              </w:rPr>
              <w:t>224</w:t>
            </w:r>
          </w:p>
        </w:tc>
        <w:tc>
          <w:tcPr>
            <w:tcW w:w="596" w:type="dxa"/>
          </w:tcPr>
          <w:p>
            <w:pPr/>
          </w:p>
        </w:tc>
        <w:tc>
          <w:tcPr>
            <w:tcW w:w="745" w:type="dxa"/>
          </w:tcPr>
          <w:p>
            <w:pPr>
              <w:pStyle w:val="TableParagraph"/>
              <w:spacing w:before="18"/>
              <w:ind w:right="84"/>
              <w:jc w:val="right"/>
              <w:rPr>
                <w:sz w:val="18"/>
              </w:rPr>
            </w:pPr>
            <w:r>
              <w:rPr>
                <w:w w:val="95"/>
                <w:sz w:val="18"/>
              </w:rPr>
              <w:t>367</w:t>
            </w:r>
          </w:p>
        </w:tc>
      </w:tr>
      <w:tr>
        <w:trPr>
          <w:trHeight w:val="264" w:hRule="exact"/>
        </w:trPr>
        <w:tc>
          <w:tcPr>
            <w:tcW w:w="283" w:type="dxa"/>
          </w:tcPr>
          <w:p>
            <w:pPr/>
          </w:p>
        </w:tc>
        <w:tc>
          <w:tcPr>
            <w:tcW w:w="4137" w:type="dxa"/>
          </w:tcPr>
          <w:p>
            <w:pPr>
              <w:pStyle w:val="TableParagraph"/>
              <w:spacing w:before="19"/>
              <w:ind w:left="174" w:right="1172"/>
              <w:rPr>
                <w:sz w:val="18"/>
              </w:rPr>
            </w:pPr>
            <w:r>
              <w:rPr>
                <w:sz w:val="18"/>
              </w:rPr>
              <w:t>Student accommodation</w:t>
            </w:r>
          </w:p>
        </w:tc>
        <w:tc>
          <w:tcPr>
            <w:tcW w:w="1423" w:type="dxa"/>
          </w:tcPr>
          <w:p>
            <w:pPr>
              <w:pStyle w:val="TableParagraph"/>
              <w:spacing w:before="18"/>
              <w:ind w:right="42"/>
              <w:jc w:val="right"/>
              <w:rPr>
                <w:b/>
                <w:sz w:val="18"/>
              </w:rPr>
            </w:pPr>
            <w:r>
              <w:rPr>
                <w:b/>
                <w:w w:val="95"/>
                <w:sz w:val="18"/>
              </w:rPr>
              <w:t>7,056</w:t>
            </w:r>
          </w:p>
        </w:tc>
        <w:tc>
          <w:tcPr>
            <w:tcW w:w="596" w:type="dxa"/>
          </w:tcPr>
          <w:p>
            <w:pPr/>
          </w:p>
        </w:tc>
        <w:tc>
          <w:tcPr>
            <w:tcW w:w="702" w:type="dxa"/>
          </w:tcPr>
          <w:p>
            <w:pPr>
              <w:pStyle w:val="TableParagraph"/>
              <w:spacing w:before="18"/>
              <w:ind w:right="41"/>
              <w:jc w:val="right"/>
              <w:rPr>
                <w:sz w:val="18"/>
              </w:rPr>
            </w:pPr>
            <w:r>
              <w:rPr>
                <w:w w:val="95"/>
                <w:sz w:val="18"/>
              </w:rPr>
              <w:t>6,822</w:t>
            </w:r>
          </w:p>
        </w:tc>
        <w:tc>
          <w:tcPr>
            <w:tcW w:w="777" w:type="dxa"/>
          </w:tcPr>
          <w:p>
            <w:pPr/>
          </w:p>
        </w:tc>
        <w:tc>
          <w:tcPr>
            <w:tcW w:w="688" w:type="dxa"/>
          </w:tcPr>
          <w:p>
            <w:pPr>
              <w:pStyle w:val="TableParagraph"/>
              <w:spacing w:before="18"/>
              <w:ind w:right="42"/>
              <w:jc w:val="right"/>
              <w:rPr>
                <w:b/>
                <w:sz w:val="18"/>
              </w:rPr>
            </w:pPr>
            <w:r>
              <w:rPr>
                <w:b/>
                <w:w w:val="95"/>
                <w:sz w:val="18"/>
              </w:rPr>
              <w:t>7,056</w:t>
            </w:r>
          </w:p>
        </w:tc>
        <w:tc>
          <w:tcPr>
            <w:tcW w:w="596" w:type="dxa"/>
          </w:tcPr>
          <w:p>
            <w:pPr/>
          </w:p>
        </w:tc>
        <w:tc>
          <w:tcPr>
            <w:tcW w:w="745" w:type="dxa"/>
          </w:tcPr>
          <w:p>
            <w:pPr>
              <w:pStyle w:val="TableParagraph"/>
              <w:spacing w:before="18"/>
              <w:ind w:right="84"/>
              <w:jc w:val="right"/>
              <w:rPr>
                <w:sz w:val="18"/>
              </w:rPr>
            </w:pPr>
            <w:r>
              <w:rPr>
                <w:w w:val="95"/>
                <w:sz w:val="18"/>
              </w:rPr>
              <w:t>6,822</w:t>
            </w:r>
          </w:p>
        </w:tc>
      </w:tr>
      <w:tr>
        <w:trPr>
          <w:trHeight w:val="264" w:hRule="exact"/>
        </w:trPr>
        <w:tc>
          <w:tcPr>
            <w:tcW w:w="283" w:type="dxa"/>
          </w:tcPr>
          <w:p>
            <w:pPr/>
          </w:p>
        </w:tc>
        <w:tc>
          <w:tcPr>
            <w:tcW w:w="4137" w:type="dxa"/>
          </w:tcPr>
          <w:p>
            <w:pPr>
              <w:pStyle w:val="TableParagraph"/>
              <w:spacing w:before="20"/>
              <w:ind w:left="174" w:right="1172"/>
              <w:rPr>
                <w:sz w:val="18"/>
              </w:rPr>
            </w:pPr>
            <w:r>
              <w:rPr>
                <w:sz w:val="18"/>
              </w:rPr>
              <w:t>Academic transcripts</w:t>
            </w:r>
          </w:p>
        </w:tc>
        <w:tc>
          <w:tcPr>
            <w:tcW w:w="1423" w:type="dxa"/>
          </w:tcPr>
          <w:p>
            <w:pPr>
              <w:pStyle w:val="TableParagraph"/>
              <w:spacing w:before="18"/>
              <w:ind w:right="41"/>
              <w:jc w:val="right"/>
              <w:rPr>
                <w:b/>
                <w:sz w:val="18"/>
              </w:rPr>
            </w:pPr>
            <w:r>
              <w:rPr>
                <w:b/>
                <w:w w:val="95"/>
                <w:sz w:val="18"/>
              </w:rPr>
              <w:t>198</w:t>
            </w:r>
          </w:p>
        </w:tc>
        <w:tc>
          <w:tcPr>
            <w:tcW w:w="596" w:type="dxa"/>
          </w:tcPr>
          <w:p>
            <w:pPr/>
          </w:p>
        </w:tc>
        <w:tc>
          <w:tcPr>
            <w:tcW w:w="702" w:type="dxa"/>
          </w:tcPr>
          <w:p>
            <w:pPr>
              <w:pStyle w:val="TableParagraph"/>
              <w:spacing w:before="18"/>
              <w:ind w:right="41"/>
              <w:jc w:val="right"/>
              <w:rPr>
                <w:sz w:val="18"/>
              </w:rPr>
            </w:pPr>
            <w:r>
              <w:rPr>
                <w:w w:val="95"/>
                <w:sz w:val="18"/>
              </w:rPr>
              <w:t>190</w:t>
            </w:r>
          </w:p>
        </w:tc>
        <w:tc>
          <w:tcPr>
            <w:tcW w:w="777" w:type="dxa"/>
          </w:tcPr>
          <w:p>
            <w:pPr/>
          </w:p>
        </w:tc>
        <w:tc>
          <w:tcPr>
            <w:tcW w:w="688" w:type="dxa"/>
          </w:tcPr>
          <w:p>
            <w:pPr>
              <w:pStyle w:val="TableParagraph"/>
              <w:spacing w:before="18"/>
              <w:ind w:right="41"/>
              <w:jc w:val="right"/>
              <w:rPr>
                <w:b/>
                <w:sz w:val="18"/>
              </w:rPr>
            </w:pPr>
            <w:r>
              <w:rPr>
                <w:b/>
                <w:w w:val="95"/>
                <w:sz w:val="18"/>
              </w:rPr>
              <w:t>198</w:t>
            </w:r>
          </w:p>
        </w:tc>
        <w:tc>
          <w:tcPr>
            <w:tcW w:w="596" w:type="dxa"/>
          </w:tcPr>
          <w:p>
            <w:pPr/>
          </w:p>
        </w:tc>
        <w:tc>
          <w:tcPr>
            <w:tcW w:w="745" w:type="dxa"/>
          </w:tcPr>
          <w:p>
            <w:pPr>
              <w:pStyle w:val="TableParagraph"/>
              <w:spacing w:before="18"/>
              <w:ind w:right="84"/>
              <w:jc w:val="right"/>
              <w:rPr>
                <w:sz w:val="18"/>
              </w:rPr>
            </w:pPr>
            <w:r>
              <w:rPr>
                <w:w w:val="95"/>
                <w:sz w:val="18"/>
              </w:rPr>
              <w:t>190</w:t>
            </w:r>
          </w:p>
        </w:tc>
      </w:tr>
      <w:tr>
        <w:trPr>
          <w:trHeight w:val="264" w:hRule="exact"/>
        </w:trPr>
        <w:tc>
          <w:tcPr>
            <w:tcW w:w="283" w:type="dxa"/>
          </w:tcPr>
          <w:p>
            <w:pPr/>
          </w:p>
        </w:tc>
        <w:tc>
          <w:tcPr>
            <w:tcW w:w="4137" w:type="dxa"/>
          </w:tcPr>
          <w:p>
            <w:pPr>
              <w:pStyle w:val="TableParagraph"/>
              <w:spacing w:before="19"/>
              <w:ind w:left="174" w:right="1172"/>
              <w:rPr>
                <w:sz w:val="18"/>
              </w:rPr>
            </w:pPr>
            <w:r>
              <w:rPr>
                <w:sz w:val="18"/>
              </w:rPr>
              <w:t>Graduation fees</w:t>
            </w:r>
          </w:p>
        </w:tc>
        <w:tc>
          <w:tcPr>
            <w:tcW w:w="1423" w:type="dxa"/>
          </w:tcPr>
          <w:p>
            <w:pPr>
              <w:pStyle w:val="TableParagraph"/>
              <w:spacing w:before="18"/>
              <w:ind w:right="41"/>
              <w:jc w:val="right"/>
              <w:rPr>
                <w:b/>
                <w:sz w:val="18"/>
              </w:rPr>
            </w:pPr>
            <w:r>
              <w:rPr>
                <w:b/>
                <w:w w:val="95"/>
                <w:sz w:val="18"/>
              </w:rPr>
              <w:t>344</w:t>
            </w:r>
          </w:p>
        </w:tc>
        <w:tc>
          <w:tcPr>
            <w:tcW w:w="596" w:type="dxa"/>
          </w:tcPr>
          <w:p>
            <w:pPr/>
          </w:p>
        </w:tc>
        <w:tc>
          <w:tcPr>
            <w:tcW w:w="702" w:type="dxa"/>
          </w:tcPr>
          <w:p>
            <w:pPr>
              <w:pStyle w:val="TableParagraph"/>
              <w:spacing w:before="18"/>
              <w:ind w:right="41"/>
              <w:jc w:val="right"/>
              <w:rPr>
                <w:sz w:val="18"/>
              </w:rPr>
            </w:pPr>
            <w:r>
              <w:rPr>
                <w:w w:val="95"/>
                <w:sz w:val="18"/>
              </w:rPr>
              <w:t>365</w:t>
            </w:r>
          </w:p>
        </w:tc>
        <w:tc>
          <w:tcPr>
            <w:tcW w:w="777" w:type="dxa"/>
          </w:tcPr>
          <w:p>
            <w:pPr/>
          </w:p>
        </w:tc>
        <w:tc>
          <w:tcPr>
            <w:tcW w:w="688" w:type="dxa"/>
          </w:tcPr>
          <w:p>
            <w:pPr>
              <w:pStyle w:val="TableParagraph"/>
              <w:spacing w:before="18"/>
              <w:ind w:right="41"/>
              <w:jc w:val="right"/>
              <w:rPr>
                <w:b/>
                <w:sz w:val="18"/>
              </w:rPr>
            </w:pPr>
            <w:r>
              <w:rPr>
                <w:b/>
                <w:w w:val="95"/>
                <w:sz w:val="18"/>
              </w:rPr>
              <w:t>344</w:t>
            </w:r>
          </w:p>
        </w:tc>
        <w:tc>
          <w:tcPr>
            <w:tcW w:w="596" w:type="dxa"/>
          </w:tcPr>
          <w:p>
            <w:pPr/>
          </w:p>
        </w:tc>
        <w:tc>
          <w:tcPr>
            <w:tcW w:w="745" w:type="dxa"/>
          </w:tcPr>
          <w:p>
            <w:pPr>
              <w:pStyle w:val="TableParagraph"/>
              <w:spacing w:before="18"/>
              <w:ind w:right="84"/>
              <w:jc w:val="right"/>
              <w:rPr>
                <w:sz w:val="18"/>
              </w:rPr>
            </w:pPr>
            <w:r>
              <w:rPr>
                <w:w w:val="95"/>
                <w:sz w:val="18"/>
              </w:rPr>
              <w:t>365</w:t>
            </w:r>
          </w:p>
        </w:tc>
      </w:tr>
      <w:tr>
        <w:trPr>
          <w:trHeight w:val="264" w:hRule="exact"/>
        </w:trPr>
        <w:tc>
          <w:tcPr>
            <w:tcW w:w="283" w:type="dxa"/>
          </w:tcPr>
          <w:p>
            <w:pPr/>
          </w:p>
        </w:tc>
        <w:tc>
          <w:tcPr>
            <w:tcW w:w="4137" w:type="dxa"/>
          </w:tcPr>
          <w:p>
            <w:pPr>
              <w:pStyle w:val="TableParagraph"/>
              <w:spacing w:before="19"/>
              <w:ind w:left="174" w:right="1172"/>
              <w:rPr>
                <w:sz w:val="18"/>
              </w:rPr>
            </w:pPr>
            <w:r>
              <w:rPr>
                <w:sz w:val="18"/>
              </w:rPr>
              <w:t>Academic dress hire</w:t>
            </w:r>
          </w:p>
        </w:tc>
        <w:tc>
          <w:tcPr>
            <w:tcW w:w="1423" w:type="dxa"/>
          </w:tcPr>
          <w:p>
            <w:pPr>
              <w:pStyle w:val="TableParagraph"/>
              <w:spacing w:before="18"/>
              <w:ind w:right="41"/>
              <w:jc w:val="right"/>
              <w:rPr>
                <w:b/>
                <w:sz w:val="18"/>
              </w:rPr>
            </w:pPr>
            <w:r>
              <w:rPr>
                <w:b/>
                <w:w w:val="95"/>
                <w:sz w:val="18"/>
              </w:rPr>
              <w:t>336</w:t>
            </w:r>
          </w:p>
        </w:tc>
        <w:tc>
          <w:tcPr>
            <w:tcW w:w="596" w:type="dxa"/>
          </w:tcPr>
          <w:p>
            <w:pPr/>
          </w:p>
        </w:tc>
        <w:tc>
          <w:tcPr>
            <w:tcW w:w="702" w:type="dxa"/>
          </w:tcPr>
          <w:p>
            <w:pPr>
              <w:pStyle w:val="TableParagraph"/>
              <w:spacing w:before="18"/>
              <w:ind w:right="41"/>
              <w:jc w:val="right"/>
              <w:rPr>
                <w:sz w:val="18"/>
              </w:rPr>
            </w:pPr>
            <w:r>
              <w:rPr>
                <w:w w:val="95"/>
                <w:sz w:val="18"/>
              </w:rPr>
              <w:t>352</w:t>
            </w:r>
          </w:p>
        </w:tc>
        <w:tc>
          <w:tcPr>
            <w:tcW w:w="777" w:type="dxa"/>
          </w:tcPr>
          <w:p>
            <w:pPr/>
          </w:p>
        </w:tc>
        <w:tc>
          <w:tcPr>
            <w:tcW w:w="688" w:type="dxa"/>
          </w:tcPr>
          <w:p>
            <w:pPr>
              <w:pStyle w:val="TableParagraph"/>
              <w:spacing w:before="18"/>
              <w:ind w:right="41"/>
              <w:jc w:val="right"/>
              <w:rPr>
                <w:b/>
                <w:sz w:val="18"/>
              </w:rPr>
            </w:pPr>
            <w:r>
              <w:rPr>
                <w:b/>
                <w:w w:val="95"/>
                <w:sz w:val="18"/>
              </w:rPr>
              <w:t>336</w:t>
            </w:r>
          </w:p>
        </w:tc>
        <w:tc>
          <w:tcPr>
            <w:tcW w:w="596" w:type="dxa"/>
          </w:tcPr>
          <w:p>
            <w:pPr/>
          </w:p>
        </w:tc>
        <w:tc>
          <w:tcPr>
            <w:tcW w:w="745" w:type="dxa"/>
          </w:tcPr>
          <w:p>
            <w:pPr>
              <w:pStyle w:val="TableParagraph"/>
              <w:spacing w:before="18"/>
              <w:ind w:right="84"/>
              <w:jc w:val="right"/>
              <w:rPr>
                <w:sz w:val="18"/>
              </w:rPr>
            </w:pPr>
            <w:r>
              <w:rPr>
                <w:w w:val="95"/>
                <w:sz w:val="18"/>
              </w:rPr>
              <w:t>352</w:t>
            </w:r>
          </w:p>
        </w:tc>
      </w:tr>
      <w:tr>
        <w:trPr>
          <w:trHeight w:val="264" w:hRule="exact"/>
        </w:trPr>
        <w:tc>
          <w:tcPr>
            <w:tcW w:w="283" w:type="dxa"/>
          </w:tcPr>
          <w:p>
            <w:pPr/>
          </w:p>
        </w:tc>
        <w:tc>
          <w:tcPr>
            <w:tcW w:w="4137" w:type="dxa"/>
          </w:tcPr>
          <w:p>
            <w:pPr>
              <w:pStyle w:val="TableParagraph"/>
              <w:spacing w:before="19"/>
              <w:ind w:left="174" w:right="1172"/>
              <w:rPr>
                <w:sz w:val="18"/>
              </w:rPr>
            </w:pPr>
            <w:r>
              <w:rPr>
                <w:sz w:val="18"/>
              </w:rPr>
              <w:t>Student test fees</w:t>
            </w:r>
          </w:p>
        </w:tc>
        <w:tc>
          <w:tcPr>
            <w:tcW w:w="1423" w:type="dxa"/>
          </w:tcPr>
          <w:p>
            <w:pPr>
              <w:pStyle w:val="TableParagraph"/>
              <w:spacing w:before="18"/>
              <w:ind w:right="41"/>
              <w:jc w:val="right"/>
              <w:rPr>
                <w:b/>
                <w:sz w:val="18"/>
              </w:rPr>
            </w:pPr>
            <w:r>
              <w:rPr>
                <w:b/>
                <w:w w:val="95"/>
                <w:sz w:val="18"/>
              </w:rPr>
              <w:t>1,889</w:t>
            </w:r>
          </w:p>
        </w:tc>
        <w:tc>
          <w:tcPr>
            <w:tcW w:w="596" w:type="dxa"/>
          </w:tcPr>
          <w:p>
            <w:pPr/>
          </w:p>
        </w:tc>
        <w:tc>
          <w:tcPr>
            <w:tcW w:w="702" w:type="dxa"/>
          </w:tcPr>
          <w:p>
            <w:pPr>
              <w:pStyle w:val="TableParagraph"/>
              <w:spacing w:before="18"/>
              <w:ind w:right="41"/>
              <w:jc w:val="right"/>
              <w:rPr>
                <w:sz w:val="18"/>
              </w:rPr>
            </w:pPr>
            <w:r>
              <w:rPr>
                <w:w w:val="95"/>
                <w:sz w:val="18"/>
              </w:rPr>
              <w:t>1,447</w:t>
            </w:r>
          </w:p>
        </w:tc>
        <w:tc>
          <w:tcPr>
            <w:tcW w:w="777" w:type="dxa"/>
          </w:tcPr>
          <w:p>
            <w:pPr/>
          </w:p>
        </w:tc>
        <w:tc>
          <w:tcPr>
            <w:tcW w:w="688" w:type="dxa"/>
          </w:tcPr>
          <w:p>
            <w:pPr>
              <w:pStyle w:val="TableParagraph"/>
              <w:spacing w:before="18"/>
              <w:ind w:right="43"/>
              <w:jc w:val="right"/>
              <w:rPr>
                <w:b/>
                <w:sz w:val="18"/>
              </w:rPr>
            </w:pPr>
            <w:r>
              <w:rPr>
                <w:b/>
                <w:w w:val="99"/>
                <w:sz w:val="18"/>
              </w:rPr>
              <w:t>-</w:t>
            </w:r>
          </w:p>
        </w:tc>
        <w:tc>
          <w:tcPr>
            <w:tcW w:w="596" w:type="dxa"/>
          </w:tcPr>
          <w:p>
            <w:pPr/>
          </w:p>
        </w:tc>
        <w:tc>
          <w:tcPr>
            <w:tcW w:w="745" w:type="dxa"/>
          </w:tcPr>
          <w:p>
            <w:pPr>
              <w:pStyle w:val="TableParagraph"/>
              <w:spacing w:before="18"/>
              <w:ind w:right="85"/>
              <w:jc w:val="right"/>
              <w:rPr>
                <w:sz w:val="18"/>
              </w:rPr>
            </w:pPr>
            <w:r>
              <w:rPr>
                <w:w w:val="99"/>
                <w:sz w:val="18"/>
              </w:rPr>
              <w:t>-</w:t>
            </w:r>
          </w:p>
        </w:tc>
      </w:tr>
      <w:tr>
        <w:trPr>
          <w:trHeight w:val="262" w:hRule="exact"/>
        </w:trPr>
        <w:tc>
          <w:tcPr>
            <w:tcW w:w="283" w:type="dxa"/>
          </w:tcPr>
          <w:p>
            <w:pPr/>
          </w:p>
        </w:tc>
        <w:tc>
          <w:tcPr>
            <w:tcW w:w="4137" w:type="dxa"/>
          </w:tcPr>
          <w:p>
            <w:pPr>
              <w:pStyle w:val="TableParagraph"/>
              <w:spacing w:before="19"/>
              <w:ind w:left="174" w:right="1172"/>
              <w:rPr>
                <w:sz w:val="18"/>
              </w:rPr>
            </w:pPr>
            <w:r>
              <w:rPr>
                <w:sz w:val="18"/>
              </w:rPr>
              <w:t>Other</w:t>
            </w:r>
          </w:p>
        </w:tc>
        <w:tc>
          <w:tcPr>
            <w:tcW w:w="1423" w:type="dxa"/>
            <w:tcBorders>
              <w:bottom w:val="single" w:sz="0" w:space="0" w:color="000000"/>
            </w:tcBorders>
          </w:tcPr>
          <w:p>
            <w:pPr>
              <w:pStyle w:val="TableParagraph"/>
              <w:spacing w:before="18"/>
              <w:ind w:right="41"/>
              <w:jc w:val="right"/>
              <w:rPr>
                <w:b/>
                <w:sz w:val="18"/>
              </w:rPr>
            </w:pPr>
            <w:r>
              <w:rPr>
                <w:b/>
                <w:w w:val="95"/>
                <w:sz w:val="18"/>
              </w:rPr>
              <w:t>400</w:t>
            </w:r>
          </w:p>
        </w:tc>
        <w:tc>
          <w:tcPr>
            <w:tcW w:w="596" w:type="dxa"/>
            <w:tcBorders>
              <w:bottom w:val="single" w:sz="0" w:space="0" w:color="000000"/>
            </w:tcBorders>
          </w:tcPr>
          <w:p>
            <w:pPr/>
          </w:p>
        </w:tc>
        <w:tc>
          <w:tcPr>
            <w:tcW w:w="702" w:type="dxa"/>
            <w:tcBorders>
              <w:bottom w:val="single" w:sz="0" w:space="0" w:color="000000"/>
            </w:tcBorders>
          </w:tcPr>
          <w:p>
            <w:pPr>
              <w:pStyle w:val="TableParagraph"/>
              <w:spacing w:before="18"/>
              <w:ind w:right="41"/>
              <w:jc w:val="right"/>
              <w:rPr>
                <w:sz w:val="18"/>
              </w:rPr>
            </w:pPr>
            <w:r>
              <w:rPr>
                <w:w w:val="95"/>
                <w:sz w:val="18"/>
              </w:rPr>
              <w:t>367</w:t>
            </w:r>
          </w:p>
        </w:tc>
        <w:tc>
          <w:tcPr>
            <w:tcW w:w="777" w:type="dxa"/>
            <w:tcBorders>
              <w:bottom w:val="single" w:sz="0" w:space="0" w:color="000000"/>
            </w:tcBorders>
          </w:tcPr>
          <w:p>
            <w:pPr/>
          </w:p>
        </w:tc>
        <w:tc>
          <w:tcPr>
            <w:tcW w:w="688" w:type="dxa"/>
            <w:tcBorders>
              <w:bottom w:val="single" w:sz="0" w:space="0" w:color="000000"/>
            </w:tcBorders>
          </w:tcPr>
          <w:p>
            <w:pPr>
              <w:pStyle w:val="TableParagraph"/>
              <w:spacing w:before="18"/>
              <w:ind w:right="41"/>
              <w:jc w:val="right"/>
              <w:rPr>
                <w:b/>
                <w:sz w:val="18"/>
              </w:rPr>
            </w:pPr>
            <w:r>
              <w:rPr>
                <w:b/>
                <w:w w:val="95"/>
                <w:sz w:val="18"/>
              </w:rPr>
              <w:t>200</w:t>
            </w:r>
          </w:p>
        </w:tc>
        <w:tc>
          <w:tcPr>
            <w:tcW w:w="596" w:type="dxa"/>
            <w:tcBorders>
              <w:bottom w:val="single" w:sz="0" w:space="0" w:color="000000"/>
            </w:tcBorders>
          </w:tcPr>
          <w:p>
            <w:pPr/>
          </w:p>
        </w:tc>
        <w:tc>
          <w:tcPr>
            <w:tcW w:w="745" w:type="dxa"/>
            <w:tcBorders>
              <w:bottom w:val="single" w:sz="0" w:space="0" w:color="000000"/>
            </w:tcBorders>
          </w:tcPr>
          <w:p>
            <w:pPr>
              <w:pStyle w:val="TableParagraph"/>
              <w:spacing w:before="18"/>
              <w:ind w:right="84"/>
              <w:jc w:val="right"/>
              <w:rPr>
                <w:sz w:val="18"/>
              </w:rPr>
            </w:pPr>
            <w:r>
              <w:rPr>
                <w:w w:val="95"/>
                <w:sz w:val="18"/>
              </w:rPr>
              <w:t>195</w:t>
            </w:r>
          </w:p>
        </w:tc>
      </w:tr>
      <w:tr>
        <w:trPr>
          <w:trHeight w:val="338" w:hRule="exact"/>
        </w:trPr>
        <w:tc>
          <w:tcPr>
            <w:tcW w:w="283" w:type="dxa"/>
          </w:tcPr>
          <w:p>
            <w:pPr/>
          </w:p>
        </w:tc>
        <w:tc>
          <w:tcPr>
            <w:tcW w:w="4137" w:type="dxa"/>
          </w:tcPr>
          <w:p>
            <w:pPr>
              <w:pStyle w:val="TableParagraph"/>
              <w:spacing w:before="123"/>
              <w:ind w:left="174" w:right="1172"/>
              <w:rPr>
                <w:b/>
                <w:sz w:val="18"/>
              </w:rPr>
            </w:pPr>
            <w:r>
              <w:rPr>
                <w:b/>
                <w:sz w:val="18"/>
              </w:rPr>
              <w:t>Total Other Fees and Charges</w:t>
            </w:r>
          </w:p>
        </w:tc>
        <w:tc>
          <w:tcPr>
            <w:tcW w:w="1423" w:type="dxa"/>
            <w:tcBorders>
              <w:top w:val="single" w:sz="0" w:space="0" w:color="000000"/>
              <w:bottom w:val="single" w:sz="0" w:space="0" w:color="000000"/>
            </w:tcBorders>
          </w:tcPr>
          <w:p>
            <w:pPr>
              <w:pStyle w:val="TableParagraph"/>
              <w:spacing w:before="94"/>
              <w:ind w:right="41"/>
              <w:jc w:val="right"/>
              <w:rPr>
                <w:b/>
                <w:sz w:val="18"/>
              </w:rPr>
            </w:pPr>
            <w:r>
              <w:rPr>
                <w:b/>
                <w:w w:val="95"/>
                <w:sz w:val="18"/>
              </w:rPr>
              <w:t>13,173</w:t>
            </w:r>
          </w:p>
        </w:tc>
        <w:tc>
          <w:tcPr>
            <w:tcW w:w="596" w:type="dxa"/>
            <w:tcBorders>
              <w:top w:val="single" w:sz="0" w:space="0" w:color="000000"/>
              <w:bottom w:val="single" w:sz="0" w:space="0" w:color="000000"/>
            </w:tcBorders>
          </w:tcPr>
          <w:p>
            <w:pPr/>
          </w:p>
        </w:tc>
        <w:tc>
          <w:tcPr>
            <w:tcW w:w="702" w:type="dxa"/>
            <w:tcBorders>
              <w:top w:val="single" w:sz="0" w:space="0" w:color="000000"/>
              <w:bottom w:val="single" w:sz="0" w:space="0" w:color="000000"/>
            </w:tcBorders>
          </w:tcPr>
          <w:p>
            <w:pPr>
              <w:pStyle w:val="TableParagraph"/>
              <w:spacing w:before="94"/>
              <w:ind w:right="40"/>
              <w:jc w:val="right"/>
              <w:rPr>
                <w:sz w:val="18"/>
              </w:rPr>
            </w:pPr>
            <w:r>
              <w:rPr>
                <w:w w:val="95"/>
                <w:sz w:val="18"/>
              </w:rPr>
              <w:t>10,049</w:t>
            </w:r>
          </w:p>
        </w:tc>
        <w:tc>
          <w:tcPr>
            <w:tcW w:w="777" w:type="dxa"/>
            <w:tcBorders>
              <w:top w:val="single" w:sz="0" w:space="0" w:color="000000"/>
              <w:bottom w:val="single" w:sz="0" w:space="0" w:color="000000"/>
            </w:tcBorders>
          </w:tcPr>
          <w:p>
            <w:pPr/>
          </w:p>
        </w:tc>
        <w:tc>
          <w:tcPr>
            <w:tcW w:w="688" w:type="dxa"/>
            <w:tcBorders>
              <w:top w:val="single" w:sz="0" w:space="0" w:color="000000"/>
              <w:bottom w:val="single" w:sz="0" w:space="0" w:color="000000"/>
            </w:tcBorders>
          </w:tcPr>
          <w:p>
            <w:pPr>
              <w:pStyle w:val="TableParagraph"/>
              <w:spacing w:before="94"/>
              <w:ind w:right="41"/>
              <w:jc w:val="right"/>
              <w:rPr>
                <w:b/>
                <w:sz w:val="18"/>
              </w:rPr>
            </w:pPr>
            <w:r>
              <w:rPr>
                <w:b/>
                <w:w w:val="95"/>
                <w:sz w:val="18"/>
              </w:rPr>
              <w:t>11,084</w:t>
            </w:r>
          </w:p>
        </w:tc>
        <w:tc>
          <w:tcPr>
            <w:tcW w:w="596" w:type="dxa"/>
            <w:tcBorders>
              <w:top w:val="single" w:sz="0" w:space="0" w:color="000000"/>
              <w:bottom w:val="single" w:sz="0" w:space="0" w:color="000000"/>
            </w:tcBorders>
          </w:tcPr>
          <w:p>
            <w:pPr/>
          </w:p>
        </w:tc>
        <w:tc>
          <w:tcPr>
            <w:tcW w:w="745" w:type="dxa"/>
            <w:tcBorders>
              <w:top w:val="single" w:sz="0" w:space="0" w:color="000000"/>
              <w:bottom w:val="single" w:sz="0" w:space="0" w:color="000000"/>
            </w:tcBorders>
          </w:tcPr>
          <w:p>
            <w:pPr>
              <w:pStyle w:val="TableParagraph"/>
              <w:spacing w:before="94"/>
              <w:ind w:right="84"/>
              <w:jc w:val="right"/>
              <w:rPr>
                <w:sz w:val="18"/>
              </w:rPr>
            </w:pPr>
            <w:r>
              <w:rPr>
                <w:w w:val="95"/>
                <w:sz w:val="18"/>
              </w:rPr>
              <w:t>8,430</w:t>
            </w:r>
          </w:p>
        </w:tc>
      </w:tr>
      <w:tr>
        <w:trPr>
          <w:trHeight w:val="353" w:hRule="exact"/>
        </w:trPr>
        <w:tc>
          <w:tcPr>
            <w:tcW w:w="283" w:type="dxa"/>
          </w:tcPr>
          <w:p>
            <w:pPr/>
          </w:p>
        </w:tc>
        <w:tc>
          <w:tcPr>
            <w:tcW w:w="4137" w:type="dxa"/>
          </w:tcPr>
          <w:p>
            <w:pPr>
              <w:pStyle w:val="TableParagraph"/>
              <w:spacing w:before="123"/>
              <w:ind w:left="174" w:right="1172"/>
              <w:rPr>
                <w:b/>
                <w:sz w:val="18"/>
              </w:rPr>
            </w:pPr>
            <w:r>
              <w:rPr>
                <w:b/>
                <w:sz w:val="18"/>
              </w:rPr>
              <w:t>Total Fees and Charges</w:t>
            </w:r>
          </w:p>
        </w:tc>
        <w:tc>
          <w:tcPr>
            <w:tcW w:w="1423" w:type="dxa"/>
            <w:tcBorders>
              <w:top w:val="single" w:sz="0" w:space="0" w:color="000000"/>
              <w:bottom w:val="single" w:sz="0" w:space="0" w:color="000000"/>
            </w:tcBorders>
          </w:tcPr>
          <w:p>
            <w:pPr>
              <w:pStyle w:val="TableParagraph"/>
              <w:spacing w:before="94"/>
              <w:ind w:right="41"/>
              <w:jc w:val="right"/>
              <w:rPr>
                <w:b/>
                <w:sz w:val="18"/>
              </w:rPr>
            </w:pPr>
            <w:r>
              <w:rPr>
                <w:b/>
                <w:w w:val="95"/>
                <w:sz w:val="18"/>
              </w:rPr>
              <w:t>82,569</w:t>
            </w:r>
          </w:p>
        </w:tc>
        <w:tc>
          <w:tcPr>
            <w:tcW w:w="596" w:type="dxa"/>
            <w:tcBorders>
              <w:top w:val="single" w:sz="0" w:space="0" w:color="000000"/>
              <w:bottom w:val="single" w:sz="0" w:space="0" w:color="000000"/>
            </w:tcBorders>
          </w:tcPr>
          <w:p>
            <w:pPr/>
          </w:p>
        </w:tc>
        <w:tc>
          <w:tcPr>
            <w:tcW w:w="702" w:type="dxa"/>
            <w:tcBorders>
              <w:top w:val="single" w:sz="0" w:space="0" w:color="000000"/>
              <w:bottom w:val="single" w:sz="0" w:space="0" w:color="000000"/>
            </w:tcBorders>
          </w:tcPr>
          <w:p>
            <w:pPr>
              <w:pStyle w:val="TableParagraph"/>
              <w:spacing w:before="94"/>
              <w:ind w:right="40"/>
              <w:jc w:val="right"/>
              <w:rPr>
                <w:sz w:val="18"/>
              </w:rPr>
            </w:pPr>
            <w:r>
              <w:rPr>
                <w:w w:val="95"/>
                <w:sz w:val="18"/>
              </w:rPr>
              <w:t>81,157</w:t>
            </w:r>
          </w:p>
        </w:tc>
        <w:tc>
          <w:tcPr>
            <w:tcW w:w="777" w:type="dxa"/>
            <w:tcBorders>
              <w:top w:val="single" w:sz="0" w:space="0" w:color="000000"/>
              <w:bottom w:val="single" w:sz="0" w:space="0" w:color="000000"/>
            </w:tcBorders>
          </w:tcPr>
          <w:p>
            <w:pPr/>
          </w:p>
        </w:tc>
        <w:tc>
          <w:tcPr>
            <w:tcW w:w="688" w:type="dxa"/>
            <w:tcBorders>
              <w:top w:val="single" w:sz="0" w:space="0" w:color="000000"/>
              <w:bottom w:val="single" w:sz="0" w:space="0" w:color="000000"/>
            </w:tcBorders>
          </w:tcPr>
          <w:p>
            <w:pPr>
              <w:pStyle w:val="TableParagraph"/>
              <w:spacing w:before="94"/>
              <w:ind w:right="41"/>
              <w:jc w:val="right"/>
              <w:rPr>
                <w:b/>
                <w:sz w:val="18"/>
              </w:rPr>
            </w:pPr>
            <w:r>
              <w:rPr>
                <w:b/>
                <w:w w:val="95"/>
                <w:sz w:val="18"/>
              </w:rPr>
              <w:t>73,415</w:t>
            </w:r>
          </w:p>
        </w:tc>
        <w:tc>
          <w:tcPr>
            <w:tcW w:w="596" w:type="dxa"/>
            <w:tcBorders>
              <w:top w:val="single" w:sz="0" w:space="0" w:color="000000"/>
              <w:bottom w:val="single" w:sz="0" w:space="0" w:color="000000"/>
            </w:tcBorders>
          </w:tcPr>
          <w:p>
            <w:pPr/>
          </w:p>
        </w:tc>
        <w:tc>
          <w:tcPr>
            <w:tcW w:w="745" w:type="dxa"/>
            <w:tcBorders>
              <w:top w:val="single" w:sz="0" w:space="0" w:color="000000"/>
              <w:bottom w:val="single" w:sz="0" w:space="0" w:color="000000"/>
            </w:tcBorders>
          </w:tcPr>
          <w:p>
            <w:pPr>
              <w:pStyle w:val="TableParagraph"/>
              <w:spacing w:before="94"/>
              <w:ind w:right="83"/>
              <w:jc w:val="right"/>
              <w:rPr>
                <w:sz w:val="18"/>
              </w:rPr>
            </w:pPr>
            <w:r>
              <w:rPr>
                <w:w w:val="95"/>
                <w:sz w:val="18"/>
              </w:rPr>
              <w:t>69,951</w:t>
            </w:r>
          </w:p>
        </w:tc>
      </w:tr>
    </w:tbl>
    <w:p>
      <w:pPr>
        <w:spacing w:after="0"/>
        <w:jc w:val="right"/>
        <w:rPr>
          <w:sz w:val="18"/>
        </w:rPr>
        <w:sectPr>
          <w:pgSz w:w="11910" w:h="16840"/>
          <w:pgMar w:header="1038" w:footer="507" w:top="2220" w:bottom="700" w:left="860" w:right="880"/>
        </w:sectPr>
      </w:pPr>
    </w:p>
    <w:p>
      <w:pPr>
        <w:pStyle w:val="BodyText"/>
        <w:spacing w:before="7"/>
        <w:rPr>
          <w:rFonts w:ascii="Times New Roman"/>
          <w:sz w:val="26"/>
        </w:rPr>
      </w:pPr>
    </w:p>
    <w:p>
      <w:pPr>
        <w:pStyle w:val="Heading9"/>
        <w:tabs>
          <w:tab w:pos="545" w:val="left" w:leader="none"/>
        </w:tabs>
        <w:spacing w:before="77"/>
        <w:ind w:left="149" w:right="596"/>
      </w:pPr>
      <w:r>
        <w:rPr/>
        <w:t>5</w:t>
        <w:tab/>
        <w:t>Investment revenue and</w:t>
      </w:r>
      <w:r>
        <w:rPr>
          <w:spacing w:val="-2"/>
        </w:rPr>
        <w:t> </w:t>
      </w:r>
      <w:r>
        <w:rPr/>
        <w:t>income/(losses)</w:t>
      </w:r>
    </w:p>
    <w:p>
      <w:pPr>
        <w:tabs>
          <w:tab w:pos="7297" w:val="left" w:leader="none"/>
        </w:tabs>
        <w:spacing w:before="33"/>
        <w:ind w:left="4561" w:right="596" w:firstLine="0"/>
        <w:jc w:val="left"/>
        <w:rPr>
          <w:b/>
          <w:sz w:val="18"/>
        </w:rPr>
      </w:pPr>
      <w:r>
        <w:rPr>
          <w:b/>
          <w:sz w:val="18"/>
        </w:rPr>
        <w:t>Consolidated</w:t>
        <w:tab/>
        <w:t>Parent</w:t>
      </w:r>
    </w:p>
    <w:p>
      <w:pPr>
        <w:spacing w:after="0"/>
        <w:jc w:val="left"/>
        <w:rPr>
          <w:sz w:val="18"/>
        </w:rPr>
        <w:sectPr>
          <w:pgSz w:w="11910" w:h="16840"/>
          <w:pgMar w:header="1038" w:footer="507" w:top="2220" w:bottom="700" w:left="860" w:right="880"/>
        </w:sectPr>
      </w:pPr>
    </w:p>
    <w:p>
      <w:pPr>
        <w:pStyle w:val="BodyText"/>
        <w:rPr>
          <w:b/>
        </w:rPr>
      </w:pPr>
    </w:p>
    <w:p>
      <w:pPr>
        <w:pStyle w:val="BodyText"/>
        <w:rPr>
          <w:b/>
        </w:rPr>
      </w:pPr>
    </w:p>
    <w:p>
      <w:pPr>
        <w:pStyle w:val="BodyText"/>
        <w:spacing w:before="3"/>
        <w:rPr>
          <w:b/>
          <w:sz w:val="24"/>
        </w:rPr>
      </w:pPr>
    </w:p>
    <w:p>
      <w:pPr>
        <w:spacing w:before="0"/>
        <w:ind w:left="571" w:right="-19" w:firstLine="0"/>
        <w:jc w:val="left"/>
        <w:rPr>
          <w:b/>
          <w:sz w:val="18"/>
        </w:rPr>
      </w:pPr>
      <w:r>
        <w:rPr>
          <w:b/>
          <w:sz w:val="18"/>
        </w:rPr>
        <w:t>Investment revenue</w:t>
      </w:r>
    </w:p>
    <w:p>
      <w:pPr>
        <w:spacing w:before="66"/>
        <w:ind w:left="571" w:right="-20" w:firstLine="0"/>
        <w:jc w:val="left"/>
        <w:rPr>
          <w:b/>
          <w:sz w:val="18"/>
        </w:rPr>
      </w:pPr>
      <w:r>
        <w:rPr/>
        <w:br w:type="column"/>
      </w:r>
      <w:r>
        <w:rPr>
          <w:b/>
          <w:sz w:val="18"/>
        </w:rPr>
        <w:t>2012</w:t>
      </w:r>
    </w:p>
    <w:p>
      <w:pPr>
        <w:spacing w:before="66"/>
        <w:ind w:left="571" w:right="-20" w:firstLine="0"/>
        <w:jc w:val="left"/>
        <w:rPr>
          <w:b/>
          <w:sz w:val="18"/>
        </w:rPr>
      </w:pPr>
      <w:r>
        <w:rPr>
          <w:b/>
          <w:sz w:val="18"/>
        </w:rPr>
        <w:t>$'000</w:t>
      </w:r>
    </w:p>
    <w:p>
      <w:pPr>
        <w:spacing w:before="66"/>
        <w:ind w:left="571" w:right="-20" w:firstLine="0"/>
        <w:jc w:val="left"/>
        <w:rPr>
          <w:b/>
          <w:sz w:val="18"/>
        </w:rPr>
      </w:pPr>
      <w:r>
        <w:rPr/>
        <w:br w:type="column"/>
      </w:r>
      <w:r>
        <w:rPr>
          <w:b/>
          <w:sz w:val="18"/>
        </w:rPr>
        <w:t>2011</w:t>
      </w:r>
    </w:p>
    <w:p>
      <w:pPr>
        <w:spacing w:before="66"/>
        <w:ind w:left="571" w:right="-20" w:firstLine="0"/>
        <w:jc w:val="left"/>
        <w:rPr>
          <w:b/>
          <w:sz w:val="18"/>
        </w:rPr>
      </w:pPr>
      <w:r>
        <w:rPr>
          <w:b/>
          <w:sz w:val="18"/>
        </w:rPr>
        <w:t>$'000</w:t>
      </w:r>
    </w:p>
    <w:p>
      <w:pPr>
        <w:spacing w:before="66"/>
        <w:ind w:left="571" w:right="-20" w:firstLine="0"/>
        <w:jc w:val="left"/>
        <w:rPr>
          <w:b/>
          <w:sz w:val="18"/>
        </w:rPr>
      </w:pPr>
      <w:r>
        <w:rPr/>
        <w:br w:type="column"/>
      </w:r>
      <w:r>
        <w:rPr>
          <w:b/>
          <w:sz w:val="18"/>
        </w:rPr>
        <w:t>2012</w:t>
      </w:r>
    </w:p>
    <w:p>
      <w:pPr>
        <w:spacing w:before="66"/>
        <w:ind w:left="571" w:right="-20" w:firstLine="0"/>
        <w:jc w:val="left"/>
        <w:rPr>
          <w:b/>
          <w:sz w:val="18"/>
        </w:rPr>
      </w:pPr>
      <w:r>
        <w:rPr>
          <w:b/>
          <w:sz w:val="18"/>
        </w:rPr>
        <w:t>$'000</w:t>
      </w:r>
    </w:p>
    <w:p>
      <w:pPr>
        <w:spacing w:before="66"/>
        <w:ind w:left="571" w:right="0" w:firstLine="0"/>
        <w:jc w:val="left"/>
        <w:rPr>
          <w:b/>
          <w:sz w:val="18"/>
        </w:rPr>
      </w:pPr>
      <w:r>
        <w:rPr/>
        <w:br w:type="column"/>
      </w:r>
      <w:r>
        <w:rPr>
          <w:b/>
          <w:sz w:val="18"/>
        </w:rPr>
        <w:t>2011</w:t>
      </w:r>
    </w:p>
    <w:p>
      <w:pPr>
        <w:spacing w:before="66"/>
        <w:ind w:left="571" w:right="0" w:firstLine="0"/>
        <w:jc w:val="left"/>
        <w:rPr>
          <w:b/>
          <w:sz w:val="18"/>
        </w:rPr>
      </w:pPr>
      <w:r>
        <w:rPr>
          <w:b/>
          <w:sz w:val="18"/>
        </w:rPr>
        <w:t>$'000</w:t>
      </w:r>
    </w:p>
    <w:p>
      <w:pPr>
        <w:spacing w:after="0"/>
        <w:jc w:val="left"/>
        <w:rPr>
          <w:sz w:val="18"/>
        </w:rPr>
        <w:sectPr>
          <w:type w:val="continuous"/>
          <w:pgSz w:w="11910" w:h="16840"/>
          <w:pgMar w:top="0" w:bottom="280" w:left="860" w:right="880"/>
          <w:cols w:num="5" w:equalWidth="0">
            <w:col w:w="2263" w:space="1897"/>
            <w:col w:w="1015" w:space="254"/>
            <w:col w:w="1015" w:space="479"/>
            <w:col w:w="1015" w:space="254"/>
            <w:col w:w="1978"/>
          </w:cols>
        </w:sectPr>
      </w:pPr>
    </w:p>
    <w:p>
      <w:pPr>
        <w:tabs>
          <w:tab w:pos="5612" w:val="left" w:leader="none"/>
          <w:tab w:pos="6911" w:val="left" w:leader="none"/>
          <w:tab w:pos="8376" w:val="left" w:leader="none"/>
          <w:tab w:pos="9974" w:val="right" w:leader="none"/>
        </w:tabs>
        <w:spacing w:before="29"/>
        <w:ind w:left="571" w:right="0" w:firstLine="0"/>
        <w:jc w:val="left"/>
        <w:rPr>
          <w:sz w:val="18"/>
        </w:rPr>
      </w:pPr>
      <w:r>
        <w:rPr>
          <w:sz w:val="18"/>
        </w:rPr>
        <w:t>Interest</w:t>
      </w:r>
      <w:r>
        <w:rPr>
          <w:spacing w:val="-1"/>
          <w:sz w:val="18"/>
        </w:rPr>
        <w:t> </w:t>
      </w:r>
      <w:r>
        <w:rPr>
          <w:sz w:val="18"/>
        </w:rPr>
        <w:t>revenue</w:t>
        <w:tab/>
      </w:r>
      <w:r>
        <w:rPr>
          <w:b/>
          <w:sz w:val="18"/>
        </w:rPr>
        <w:t>477</w:t>
        <w:tab/>
      </w:r>
      <w:r>
        <w:rPr>
          <w:sz w:val="18"/>
        </w:rPr>
        <w:t>427</w:t>
        <w:tab/>
      </w:r>
      <w:r>
        <w:rPr>
          <w:b/>
          <w:sz w:val="18"/>
        </w:rPr>
        <w:t>333</w:t>
      </w:r>
      <w:r>
        <w:rPr>
          <w:rFonts w:ascii="Times New Roman"/>
          <w:sz w:val="18"/>
        </w:rPr>
        <w:tab/>
      </w:r>
      <w:r>
        <w:rPr>
          <w:sz w:val="18"/>
        </w:rPr>
        <w:t>57</w:t>
      </w:r>
    </w:p>
    <w:p>
      <w:pPr>
        <w:tabs>
          <w:tab w:pos="5462" w:val="left" w:leader="none"/>
          <w:tab w:pos="6761" w:val="left" w:leader="none"/>
          <w:tab w:pos="8226" w:val="left" w:leader="none"/>
          <w:tab w:pos="9524" w:val="left" w:leader="none"/>
        </w:tabs>
        <w:spacing w:before="57"/>
        <w:ind w:left="571" w:right="104" w:firstLine="0"/>
        <w:jc w:val="left"/>
        <w:rPr>
          <w:sz w:val="18"/>
        </w:rPr>
      </w:pPr>
      <w:r>
        <w:rPr/>
        <w:pict>
          <v:group style="position:absolute;margin-left:269.649994pt;margin-top:14.488203pt;width:276.5pt;height:1pt;mso-position-horizontal-relative:page;mso-position-vertical-relative:paragraph;z-index:2080" coordorigin="5393,290" coordsize="5530,20">
            <v:line style="position:absolute" from="5394,291" to="5563,291" stroked="true" strokeweight=".06pt" strokecolor="#000000"/>
            <v:line style="position:absolute" from="5394,292" to="5563,292" stroked="true" strokeweight=".06pt" strokecolor="#000000"/>
            <v:line style="position:absolute" from="5394,293" to="5563,293" stroked="true" strokeweight=".06pt" strokecolor="#000000"/>
            <v:line style="position:absolute" from="5394,294" to="5563,294" stroked="true" strokeweight=".06pt" strokecolor="#000000"/>
            <v:line style="position:absolute" from="5394,296" to="5563,296" stroked="true" strokeweight=".06pt" strokecolor="#000000"/>
            <v:line style="position:absolute" from="5394,297" to="5563,297" stroked="true" strokeweight=".06pt" strokecolor="#000000"/>
            <v:line style="position:absolute" from="5394,298" to="5563,298" stroked="true" strokeweight=".06pt" strokecolor="#000000"/>
            <v:line style="position:absolute" from="5394,299" to="5563,299" stroked="true" strokeweight=".06pt" strokecolor="#000000"/>
            <v:line style="position:absolute" from="5394,300" to="5563,300" stroked="true" strokeweight=".06pt" strokecolor="#000000"/>
            <v:line style="position:absolute" from="5394,302" to="5563,302" stroked="true" strokeweight=".06pt" strokecolor="#000000"/>
            <v:line style="position:absolute" from="5394,303" to="5563,303" stroked="true" strokeweight=".06pt" strokecolor="#000000"/>
            <v:line style="position:absolute" from="5394,304" to="5563,304" stroked="true" strokeweight=".06pt" strokecolor="#000000"/>
            <v:line style="position:absolute" from="5394,305" to="5563,305" stroked="true" strokeweight=".06pt" strokecolor="#000000"/>
            <v:line style="position:absolute" from="5394,306" to="5563,306" stroked="true" strokeweight=".06pt" strokecolor="#000000"/>
            <v:line style="position:absolute" from="5394,308" to="5563,308" stroked="true" strokeweight=".06pt" strokecolor="#000000"/>
            <v:line style="position:absolute" from="5394,309" to="5563,309" stroked="true" strokeweight=".06pt" strokecolor="#000000"/>
            <v:line style="position:absolute" from="5563,291" to="6860,291" stroked="true" strokeweight=".06pt" strokecolor="#000000"/>
            <v:line style="position:absolute" from="5563,292" to="6860,292" stroked="true" strokeweight=".06pt" strokecolor="#000000"/>
            <v:line style="position:absolute" from="5563,293" to="6860,293" stroked="true" strokeweight=".06pt" strokecolor="#000000"/>
            <v:line style="position:absolute" from="5563,294" to="6860,294" stroked="true" strokeweight=".06pt" strokecolor="#000000"/>
            <v:line style="position:absolute" from="5563,296" to="6860,296" stroked="true" strokeweight=".06pt" strokecolor="#000000"/>
            <v:line style="position:absolute" from="5563,297" to="6860,297" stroked="true" strokeweight=".06pt" strokecolor="#000000"/>
            <v:line style="position:absolute" from="5563,298" to="6860,298" stroked="true" strokeweight=".06pt" strokecolor="#000000"/>
            <v:line style="position:absolute" from="5563,299" to="6860,299" stroked="true" strokeweight=".06pt" strokecolor="#000000"/>
            <v:line style="position:absolute" from="5563,300" to="6860,300" stroked="true" strokeweight=".06pt" strokecolor="#000000"/>
            <v:line style="position:absolute" from="5563,302" to="6860,302" stroked="true" strokeweight=".06pt" strokecolor="#000000"/>
            <v:line style="position:absolute" from="5563,303" to="6860,303" stroked="true" strokeweight=".06pt" strokecolor="#000000"/>
            <v:line style="position:absolute" from="5563,304" to="6860,304" stroked="true" strokeweight=".06pt" strokecolor="#000000"/>
            <v:line style="position:absolute" from="5563,305" to="6860,305" stroked="true" strokeweight=".06pt" strokecolor="#000000"/>
            <v:line style="position:absolute" from="5563,306" to="6860,306" stroked="true" strokeweight=".06pt" strokecolor="#000000"/>
            <v:line style="position:absolute" from="5563,308" to="6860,308" stroked="true" strokeweight=".06pt" strokecolor="#000000"/>
            <v:line style="position:absolute" from="5563,309" to="6860,309" stroked="true" strokeweight=".06pt" strokecolor="#000000"/>
            <v:line style="position:absolute" from="6860,291" to="8158,291" stroked="true" strokeweight=".06pt" strokecolor="#000000"/>
            <v:line style="position:absolute" from="6860,292" to="8158,292" stroked="true" strokeweight=".06pt" strokecolor="#000000"/>
            <v:line style="position:absolute" from="6860,293" to="8158,293" stroked="true" strokeweight=".06pt" strokecolor="#000000"/>
            <v:line style="position:absolute" from="6860,294" to="8158,294" stroked="true" strokeweight=".06pt" strokecolor="#000000"/>
            <v:line style="position:absolute" from="6860,296" to="8158,296" stroked="true" strokeweight=".06pt" strokecolor="#000000"/>
            <v:line style="position:absolute" from="6860,297" to="8158,297" stroked="true" strokeweight=".06pt" strokecolor="#000000"/>
            <v:line style="position:absolute" from="6860,298" to="8158,298" stroked="true" strokeweight=".06pt" strokecolor="#000000"/>
            <v:line style="position:absolute" from="6860,299" to="8158,299" stroked="true" strokeweight=".06pt" strokecolor="#000000"/>
            <v:line style="position:absolute" from="6860,300" to="8158,300" stroked="true" strokeweight=".06pt" strokecolor="#000000"/>
            <v:line style="position:absolute" from="6860,302" to="8158,302" stroked="true" strokeweight=".06pt" strokecolor="#000000"/>
            <v:line style="position:absolute" from="6860,303" to="8158,303" stroked="true" strokeweight=".06pt" strokecolor="#000000"/>
            <v:line style="position:absolute" from="6860,304" to="8158,304" stroked="true" strokeweight=".06pt" strokecolor="#000000"/>
            <v:line style="position:absolute" from="6860,305" to="8158,305" stroked="true" strokeweight=".06pt" strokecolor="#000000"/>
            <v:line style="position:absolute" from="6860,306" to="8158,306" stroked="true" strokeweight=".06pt" strokecolor="#000000"/>
            <v:line style="position:absolute" from="6860,308" to="8158,308" stroked="true" strokeweight=".06pt" strokecolor="#000000"/>
            <v:line style="position:absolute" from="6860,309" to="8158,309" stroked="true" strokeweight=".06pt" strokecolor="#000000"/>
            <v:line style="position:absolute" from="8158,291" to="8327,291" stroked="true" strokeweight=".06pt" strokecolor="#000000"/>
            <v:line style="position:absolute" from="8158,292" to="8327,292" stroked="true" strokeweight=".06pt" strokecolor="#000000"/>
            <v:line style="position:absolute" from="8158,293" to="8327,293" stroked="true" strokeweight=".06pt" strokecolor="#000000"/>
            <v:line style="position:absolute" from="8158,294" to="8327,294" stroked="true" strokeweight=".06pt" strokecolor="#000000"/>
            <v:line style="position:absolute" from="8158,296" to="8327,296" stroked="true" strokeweight=".06pt" strokecolor="#000000"/>
            <v:line style="position:absolute" from="8158,297" to="8327,297" stroked="true" strokeweight=".06pt" strokecolor="#000000"/>
            <v:line style="position:absolute" from="8158,298" to="8327,298" stroked="true" strokeweight=".06pt" strokecolor="#000000"/>
            <v:line style="position:absolute" from="8158,299" to="8327,299" stroked="true" strokeweight=".06pt" strokecolor="#000000"/>
            <v:line style="position:absolute" from="8158,300" to="8327,300" stroked="true" strokeweight=".06pt" strokecolor="#000000"/>
            <v:line style="position:absolute" from="8158,302" to="8327,302" stroked="true" strokeweight=".06pt" strokecolor="#000000"/>
            <v:line style="position:absolute" from="8158,303" to="8327,303" stroked="true" strokeweight=".06pt" strokecolor="#000000"/>
            <v:line style="position:absolute" from="8158,304" to="8327,304" stroked="true" strokeweight=".06pt" strokecolor="#000000"/>
            <v:line style="position:absolute" from="8158,305" to="8327,305" stroked="true" strokeweight=".06pt" strokecolor="#000000"/>
            <v:line style="position:absolute" from="8158,306" to="8327,306" stroked="true" strokeweight=".06pt" strokecolor="#000000"/>
            <v:line style="position:absolute" from="8158,308" to="8327,308" stroked="true" strokeweight=".06pt" strokecolor="#000000"/>
            <v:line style="position:absolute" from="8158,309" to="8327,309" stroked="true" strokeweight=".06pt" strokecolor="#000000"/>
            <v:line style="position:absolute" from="8327,291" to="9624,291" stroked="true" strokeweight=".06pt" strokecolor="#000000"/>
            <v:line style="position:absolute" from="8327,292" to="9624,292" stroked="true" strokeweight=".06pt" strokecolor="#000000"/>
            <v:line style="position:absolute" from="8327,293" to="9624,293" stroked="true" strokeweight=".06pt" strokecolor="#000000"/>
            <v:line style="position:absolute" from="8327,294" to="9624,294" stroked="true" strokeweight=".06pt" strokecolor="#000000"/>
            <v:line style="position:absolute" from="8327,296" to="9624,296" stroked="true" strokeweight=".06pt" strokecolor="#000000"/>
            <v:line style="position:absolute" from="8327,297" to="9624,297" stroked="true" strokeweight=".06pt" strokecolor="#000000"/>
            <v:line style="position:absolute" from="8327,298" to="9624,298" stroked="true" strokeweight=".06pt" strokecolor="#000000"/>
            <v:line style="position:absolute" from="8327,299" to="9624,299" stroked="true" strokeweight=".06pt" strokecolor="#000000"/>
            <v:line style="position:absolute" from="8327,300" to="9624,300" stroked="true" strokeweight=".06pt" strokecolor="#000000"/>
            <v:line style="position:absolute" from="8327,302" to="9624,302" stroked="true" strokeweight=".06pt" strokecolor="#000000"/>
            <v:line style="position:absolute" from="8327,303" to="9624,303" stroked="true" strokeweight=".06pt" strokecolor="#000000"/>
            <v:line style="position:absolute" from="8327,304" to="9624,304" stroked="true" strokeweight=".06pt" strokecolor="#000000"/>
            <v:line style="position:absolute" from="8327,305" to="9624,305" stroked="true" strokeweight=".06pt" strokecolor="#000000"/>
            <v:line style="position:absolute" from="8327,306" to="9624,306" stroked="true" strokeweight=".06pt" strokecolor="#000000"/>
            <v:line style="position:absolute" from="8327,308" to="9624,308" stroked="true" strokeweight=".06pt" strokecolor="#000000"/>
            <v:line style="position:absolute" from="8327,309" to="9624,309" stroked="true" strokeweight=".06pt" strokecolor="#000000"/>
            <v:line style="position:absolute" from="9624,291" to="10921,291" stroked="true" strokeweight=".06pt" strokecolor="#000000"/>
            <v:line style="position:absolute" from="9624,292" to="10921,292" stroked="true" strokeweight=".06pt" strokecolor="#000000"/>
            <v:line style="position:absolute" from="9624,293" to="10921,293" stroked="true" strokeweight=".06pt" strokecolor="#000000"/>
            <v:line style="position:absolute" from="9624,294" to="10921,294" stroked="true" strokeweight=".06pt" strokecolor="#000000"/>
            <v:line style="position:absolute" from="9624,296" to="10921,296" stroked="true" strokeweight=".06pt" strokecolor="#000000"/>
            <v:line style="position:absolute" from="9624,297" to="10921,297" stroked="true" strokeweight=".06pt" strokecolor="#000000"/>
            <v:line style="position:absolute" from="9624,298" to="10921,298" stroked="true" strokeweight=".06pt" strokecolor="#000000"/>
            <v:line style="position:absolute" from="9624,299" to="10921,299" stroked="true" strokeweight=".06pt" strokecolor="#000000"/>
            <v:line style="position:absolute" from="9624,300" to="10921,300" stroked="true" strokeweight=".06pt" strokecolor="#000000"/>
            <v:line style="position:absolute" from="9624,302" to="10921,302" stroked="true" strokeweight=".06pt" strokecolor="#000000"/>
            <v:line style="position:absolute" from="9624,303" to="10921,303" stroked="true" strokeweight=".06pt" strokecolor="#000000"/>
            <v:line style="position:absolute" from="9624,304" to="10921,304" stroked="true" strokeweight=".06pt" strokecolor="#000000"/>
            <v:line style="position:absolute" from="9624,305" to="10921,305" stroked="true" strokeweight=".06pt" strokecolor="#000000"/>
            <v:line style="position:absolute" from="9624,306" to="10921,306" stroked="true" strokeweight=".06pt" strokecolor="#000000"/>
            <v:line style="position:absolute" from="9624,308" to="10921,308" stroked="true" strokeweight=".06pt" strokecolor="#000000"/>
            <v:line style="position:absolute" from="9624,309" to="10921,309" stroked="true" strokeweight=".06pt" strokecolor="#000000"/>
            <v:line style="position:absolute" from="5394,291" to="5563,291" stroked="true" strokeweight=".06pt" strokecolor="#000000"/>
            <v:line style="position:absolute" from="5394,292" to="5563,292" stroked="true" strokeweight=".06pt" strokecolor="#000000"/>
            <v:line style="position:absolute" from="5394,293" to="5563,293" stroked="true" strokeweight=".06pt" strokecolor="#000000"/>
            <v:line style="position:absolute" from="5394,294" to="5563,294" stroked="true" strokeweight=".06pt" strokecolor="#000000"/>
            <v:line style="position:absolute" from="5394,296" to="5563,296" stroked="true" strokeweight=".06pt" strokecolor="#000000"/>
            <v:line style="position:absolute" from="5394,297" to="5563,297" stroked="true" strokeweight=".06pt" strokecolor="#000000"/>
            <v:line style="position:absolute" from="5394,298" to="5563,298" stroked="true" strokeweight=".06pt" strokecolor="#000000"/>
            <v:line style="position:absolute" from="5394,299" to="5563,299" stroked="true" strokeweight=".06pt" strokecolor="#000000"/>
            <v:line style="position:absolute" from="5394,300" to="5563,300" stroked="true" strokeweight=".06pt" strokecolor="#000000"/>
            <v:line style="position:absolute" from="5394,302" to="5563,302" stroked="true" strokeweight=".06pt" strokecolor="#000000"/>
            <v:line style="position:absolute" from="5394,303" to="5563,303" stroked="true" strokeweight=".06pt" strokecolor="#000000"/>
            <v:line style="position:absolute" from="5394,304" to="5563,304" stroked="true" strokeweight=".06pt" strokecolor="#000000"/>
            <v:line style="position:absolute" from="5394,305" to="5563,305" stroked="true" strokeweight=".06pt" strokecolor="#000000"/>
            <v:line style="position:absolute" from="5394,306" to="5563,306" stroked="true" strokeweight=".06pt" strokecolor="#000000"/>
            <v:line style="position:absolute" from="5394,308" to="5563,308" stroked="true" strokeweight=".06pt" strokecolor="#000000"/>
            <v:line style="position:absolute" from="5394,309" to="5563,309" stroked="true" strokeweight=".06pt" strokecolor="#000000"/>
            <v:line style="position:absolute" from="5563,291" to="6860,291" stroked="true" strokeweight=".06pt" strokecolor="#000000"/>
            <v:line style="position:absolute" from="5563,292" to="6860,292" stroked="true" strokeweight=".06pt" strokecolor="#000000"/>
            <v:line style="position:absolute" from="5563,293" to="6860,293" stroked="true" strokeweight=".06pt" strokecolor="#000000"/>
            <v:line style="position:absolute" from="5563,294" to="6860,294" stroked="true" strokeweight=".06pt" strokecolor="#000000"/>
            <v:line style="position:absolute" from="5563,296" to="6860,296" stroked="true" strokeweight=".06pt" strokecolor="#000000"/>
            <v:line style="position:absolute" from="5563,297" to="6860,297" stroked="true" strokeweight=".06pt" strokecolor="#000000"/>
            <v:line style="position:absolute" from="5563,298" to="6860,298" stroked="true" strokeweight=".06pt" strokecolor="#000000"/>
            <v:line style="position:absolute" from="5563,299" to="6860,299" stroked="true" strokeweight=".06pt" strokecolor="#000000"/>
            <v:line style="position:absolute" from="5563,300" to="6860,300" stroked="true" strokeweight=".06pt" strokecolor="#000000"/>
            <v:line style="position:absolute" from="5563,302" to="6860,302" stroked="true" strokeweight=".06pt" strokecolor="#000000"/>
            <v:line style="position:absolute" from="5563,303" to="6860,303" stroked="true" strokeweight=".06pt" strokecolor="#000000"/>
            <v:line style="position:absolute" from="5563,304" to="6860,304" stroked="true" strokeweight=".06pt" strokecolor="#000000"/>
            <v:line style="position:absolute" from="5563,305" to="6860,305" stroked="true" strokeweight=".06pt" strokecolor="#000000"/>
            <v:line style="position:absolute" from="5563,306" to="6860,306" stroked="true" strokeweight=".06pt" strokecolor="#000000"/>
            <v:line style="position:absolute" from="5563,308" to="6860,308" stroked="true" strokeweight=".06pt" strokecolor="#000000"/>
            <v:line style="position:absolute" from="5563,309" to="6860,309" stroked="true" strokeweight=".06pt" strokecolor="#000000"/>
            <v:line style="position:absolute" from="6860,291" to="8158,291" stroked="true" strokeweight=".06pt" strokecolor="#000000"/>
            <v:line style="position:absolute" from="6860,292" to="8158,292" stroked="true" strokeweight=".06pt" strokecolor="#000000"/>
            <v:line style="position:absolute" from="6860,293" to="8158,293" stroked="true" strokeweight=".06pt" strokecolor="#000000"/>
            <v:line style="position:absolute" from="6860,294" to="8158,294" stroked="true" strokeweight=".06pt" strokecolor="#000000"/>
            <v:line style="position:absolute" from="6860,296" to="8158,296" stroked="true" strokeweight=".06pt" strokecolor="#000000"/>
            <v:line style="position:absolute" from="6860,297" to="8158,297" stroked="true" strokeweight=".06pt" strokecolor="#000000"/>
            <v:line style="position:absolute" from="6860,298" to="8158,298" stroked="true" strokeweight=".06pt" strokecolor="#000000"/>
            <v:line style="position:absolute" from="6860,299" to="8158,299" stroked="true" strokeweight=".06pt" strokecolor="#000000"/>
            <v:line style="position:absolute" from="6860,300" to="8158,300" stroked="true" strokeweight=".06pt" strokecolor="#000000"/>
            <v:line style="position:absolute" from="6860,302" to="8158,302" stroked="true" strokeweight=".06pt" strokecolor="#000000"/>
            <v:line style="position:absolute" from="6860,303" to="8158,303" stroked="true" strokeweight=".06pt" strokecolor="#000000"/>
            <v:line style="position:absolute" from="6860,304" to="8158,304" stroked="true" strokeweight=".06pt" strokecolor="#000000"/>
            <v:line style="position:absolute" from="6860,305" to="8158,305" stroked="true" strokeweight=".06pt" strokecolor="#000000"/>
            <v:line style="position:absolute" from="6860,306" to="8158,306" stroked="true" strokeweight=".06pt" strokecolor="#000000"/>
            <v:line style="position:absolute" from="6860,308" to="8158,308" stroked="true" strokeweight=".06pt" strokecolor="#000000"/>
            <v:line style="position:absolute" from="6860,309" to="8158,309" stroked="true" strokeweight=".06pt" strokecolor="#000000"/>
            <v:line style="position:absolute" from="8158,291" to="8327,291" stroked="true" strokeweight=".06pt" strokecolor="#000000"/>
            <v:line style="position:absolute" from="8158,292" to="8327,292" stroked="true" strokeweight=".06pt" strokecolor="#000000"/>
            <v:line style="position:absolute" from="8158,293" to="8327,293" stroked="true" strokeweight=".06pt" strokecolor="#000000"/>
            <v:line style="position:absolute" from="8158,294" to="8327,294" stroked="true" strokeweight=".06pt" strokecolor="#000000"/>
            <v:line style="position:absolute" from="8158,296" to="8327,296" stroked="true" strokeweight=".06pt" strokecolor="#000000"/>
            <v:line style="position:absolute" from="8158,297" to="8327,297" stroked="true" strokeweight=".06pt" strokecolor="#000000"/>
            <v:line style="position:absolute" from="8158,298" to="8327,298" stroked="true" strokeweight=".06pt" strokecolor="#000000"/>
            <v:line style="position:absolute" from="8158,299" to="8327,299" stroked="true" strokeweight=".06pt" strokecolor="#000000"/>
            <v:line style="position:absolute" from="8158,300" to="8327,300" stroked="true" strokeweight=".06pt" strokecolor="#000000"/>
            <v:line style="position:absolute" from="8158,302" to="8327,302" stroked="true" strokeweight=".06pt" strokecolor="#000000"/>
            <v:line style="position:absolute" from="8158,303" to="8327,303" stroked="true" strokeweight=".06pt" strokecolor="#000000"/>
            <v:line style="position:absolute" from="8158,304" to="8327,304" stroked="true" strokeweight=".06pt" strokecolor="#000000"/>
            <v:line style="position:absolute" from="8158,305" to="8327,305" stroked="true" strokeweight=".06pt" strokecolor="#000000"/>
            <v:line style="position:absolute" from="8158,306" to="8327,306" stroked="true" strokeweight=".06pt" strokecolor="#000000"/>
            <v:line style="position:absolute" from="8158,308" to="8327,308" stroked="true" strokeweight=".06pt" strokecolor="#000000"/>
            <v:line style="position:absolute" from="8158,309" to="8327,309" stroked="true" strokeweight=".06pt" strokecolor="#000000"/>
            <v:line style="position:absolute" from="8327,291" to="9624,291" stroked="true" strokeweight=".06pt" strokecolor="#000000"/>
            <v:line style="position:absolute" from="8327,292" to="9624,292" stroked="true" strokeweight=".06pt" strokecolor="#000000"/>
            <v:line style="position:absolute" from="8327,293" to="9624,293" stroked="true" strokeweight=".06pt" strokecolor="#000000"/>
            <v:line style="position:absolute" from="8327,294" to="9624,294" stroked="true" strokeweight=".06pt" strokecolor="#000000"/>
            <v:line style="position:absolute" from="8327,296" to="9624,296" stroked="true" strokeweight=".06pt" strokecolor="#000000"/>
            <v:line style="position:absolute" from="8327,297" to="9624,297" stroked="true" strokeweight=".06pt" strokecolor="#000000"/>
            <v:line style="position:absolute" from="8327,298" to="9624,298" stroked="true" strokeweight=".06pt" strokecolor="#000000"/>
            <v:line style="position:absolute" from="8327,299" to="9624,299" stroked="true" strokeweight=".06pt" strokecolor="#000000"/>
            <v:line style="position:absolute" from="8327,300" to="9624,300" stroked="true" strokeweight=".06pt" strokecolor="#000000"/>
            <v:line style="position:absolute" from="8327,302" to="9624,302" stroked="true" strokeweight=".06pt" strokecolor="#000000"/>
            <v:line style="position:absolute" from="8327,303" to="9624,303" stroked="true" strokeweight=".06pt" strokecolor="#000000"/>
            <v:line style="position:absolute" from="8327,304" to="9624,304" stroked="true" strokeweight=".06pt" strokecolor="#000000"/>
            <v:line style="position:absolute" from="8327,305" to="9624,305" stroked="true" strokeweight=".06pt" strokecolor="#000000"/>
            <v:line style="position:absolute" from="8327,306" to="9624,306" stroked="true" strokeweight=".06pt" strokecolor="#000000"/>
            <v:line style="position:absolute" from="8327,308" to="9624,308" stroked="true" strokeweight=".06pt" strokecolor="#000000"/>
            <v:line style="position:absolute" from="8327,309" to="9624,309" stroked="true" strokeweight=".06pt" strokecolor="#000000"/>
            <v:line style="position:absolute" from="9624,291" to="10921,291" stroked="true" strokeweight=".06pt" strokecolor="#000000"/>
            <v:line style="position:absolute" from="9624,292" to="10921,292" stroked="true" strokeweight=".06pt" strokecolor="#000000"/>
            <v:line style="position:absolute" from="9624,293" to="10921,293" stroked="true" strokeweight=".06pt" strokecolor="#000000"/>
            <v:line style="position:absolute" from="9624,294" to="10921,294" stroked="true" strokeweight=".06pt" strokecolor="#000000"/>
            <v:line style="position:absolute" from="9624,296" to="10921,296" stroked="true" strokeweight=".06pt" strokecolor="#000000"/>
            <v:line style="position:absolute" from="9624,297" to="10921,297" stroked="true" strokeweight=".06pt" strokecolor="#000000"/>
            <v:line style="position:absolute" from="9624,298" to="10921,298" stroked="true" strokeweight=".06pt" strokecolor="#000000"/>
            <v:line style="position:absolute" from="9624,299" to="10921,299" stroked="true" strokeweight=".06pt" strokecolor="#000000"/>
            <v:line style="position:absolute" from="9624,300" to="10921,300" stroked="true" strokeweight=".06pt" strokecolor="#000000"/>
            <v:line style="position:absolute" from="9624,302" to="10921,302" stroked="true" strokeweight=".06pt" strokecolor="#000000"/>
            <v:line style="position:absolute" from="9624,303" to="10921,303" stroked="true" strokeweight=".06pt" strokecolor="#000000"/>
            <v:line style="position:absolute" from="9624,304" to="10921,304" stroked="true" strokeweight=".06pt" strokecolor="#000000"/>
            <v:line style="position:absolute" from="9624,305" to="10921,305" stroked="true" strokeweight=".06pt" strokecolor="#000000"/>
            <v:line style="position:absolute" from="9624,306" to="10921,306" stroked="true" strokeweight=".06pt" strokecolor="#000000"/>
            <v:line style="position:absolute" from="9624,308" to="10921,308" stroked="true" strokeweight=".06pt" strokecolor="#000000"/>
            <v:line style="position:absolute" from="9624,309" to="10921,309" stroked="true" strokeweight=".06pt" strokecolor="#000000"/>
            <w10:wrap type="none"/>
          </v:group>
        </w:pict>
      </w:r>
      <w:r>
        <w:rPr>
          <w:sz w:val="18"/>
        </w:rPr>
        <w:t>Distribution from</w:t>
      </w:r>
      <w:r>
        <w:rPr>
          <w:spacing w:val="-1"/>
          <w:sz w:val="18"/>
        </w:rPr>
        <w:t> </w:t>
      </w:r>
      <w:r>
        <w:rPr>
          <w:sz w:val="18"/>
        </w:rPr>
        <w:t>Managed</w:t>
      </w:r>
      <w:r>
        <w:rPr>
          <w:spacing w:val="-1"/>
          <w:sz w:val="18"/>
        </w:rPr>
        <w:t> </w:t>
      </w:r>
      <w:r>
        <w:rPr>
          <w:sz w:val="18"/>
        </w:rPr>
        <w:t>Funds</w:t>
        <w:tab/>
      </w:r>
      <w:r>
        <w:rPr>
          <w:b/>
          <w:sz w:val="18"/>
        </w:rPr>
        <w:t>3,222</w:t>
        <w:tab/>
      </w:r>
      <w:r>
        <w:rPr>
          <w:sz w:val="18"/>
        </w:rPr>
        <w:t>4,526</w:t>
        <w:tab/>
      </w:r>
      <w:r>
        <w:rPr>
          <w:b/>
          <w:sz w:val="18"/>
        </w:rPr>
        <w:t>1,943</w:t>
        <w:tab/>
      </w:r>
      <w:r>
        <w:rPr>
          <w:sz w:val="18"/>
        </w:rPr>
        <w:t>2,997</w:t>
      </w:r>
    </w:p>
    <w:p>
      <w:pPr>
        <w:tabs>
          <w:tab w:pos="5462" w:val="left" w:leader="none"/>
          <w:tab w:pos="6761" w:val="left" w:leader="none"/>
          <w:tab w:pos="8226" w:val="left" w:leader="none"/>
          <w:tab w:pos="9524" w:val="left" w:leader="none"/>
        </w:tabs>
        <w:spacing w:before="159"/>
        <w:ind w:left="571" w:right="104" w:firstLine="0"/>
        <w:jc w:val="left"/>
        <w:rPr>
          <w:sz w:val="18"/>
        </w:rPr>
      </w:pPr>
      <w:r>
        <w:rPr>
          <w:b/>
          <w:sz w:val="18"/>
        </w:rPr>
        <w:t>Total investment revenue</w:t>
        <w:tab/>
        <w:t>3,699</w:t>
        <w:tab/>
      </w:r>
      <w:r>
        <w:rPr>
          <w:sz w:val="18"/>
        </w:rPr>
        <w:t>4,953</w:t>
        <w:tab/>
      </w:r>
      <w:r>
        <w:rPr>
          <w:b/>
          <w:sz w:val="18"/>
        </w:rPr>
        <w:t>2,276</w:t>
        <w:tab/>
      </w:r>
      <w:r>
        <w:rPr>
          <w:sz w:val="18"/>
        </w:rPr>
        <w:t>3,054</w:t>
      </w:r>
    </w:p>
    <w:p>
      <w:pPr>
        <w:pStyle w:val="BodyText"/>
        <w:spacing w:line="20" w:lineRule="exact"/>
        <w:ind w:left="4533"/>
        <w:rPr>
          <w:sz w:val="2"/>
        </w:rPr>
      </w:pPr>
      <w:r>
        <w:rPr>
          <w:sz w:val="2"/>
        </w:rPr>
        <w:pict>
          <v:group style="width:276.5pt;height:1pt;mso-position-horizontal-relative:char;mso-position-vertical-relative:line" coordorigin="0,0" coordsize="5530,2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17" to="170,17" stroked="true" strokeweight=".06pt" strokecolor="#000000"/>
            <v:line style="position:absolute" from="1,18" to="170,18" stroked="true" strokeweight=".06pt" strokecolor="#000000"/>
            <v:line style="position:absolute" from="1,19" to="170,19" stroked="true" strokeweight=".06pt" strokecolor="#000000"/>
            <v:line style="position:absolute" from="170,1" to="1467,1" stroked="true" strokeweight=".06pt" strokecolor="#000000"/>
            <v:line style="position:absolute" from="170,2" to="1467,2" stroked="true" strokeweight=".06pt" strokecolor="#000000"/>
            <v:line style="position:absolute" from="170,3" to="1467,3" stroked="true" strokeweight=".06pt" strokecolor="#000000"/>
            <v:line style="position:absolute" from="170,5" to="1467,5" stroked="true" strokeweight=".06pt" strokecolor="#000000"/>
            <v:line style="position:absolute" from="170,6" to="1467,6" stroked="true" strokeweight=".06pt" strokecolor="#000000"/>
            <v:line style="position:absolute" from="170,7" to="1467,7" stroked="true" strokeweight=".06pt" strokecolor="#000000"/>
            <v:line style="position:absolute" from="170,8" to="1467,8" stroked="true" strokeweight=".06pt" strokecolor="#000000"/>
            <v:line style="position:absolute" from="170,9" to="1467,9" stroked="true" strokeweight=".06pt" strokecolor="#000000"/>
            <v:line style="position:absolute" from="170,11" to="1467,11" stroked="true" strokeweight=".06pt" strokecolor="#000000"/>
            <v:line style="position:absolute" from="170,12" to="1467,12" stroked="true" strokeweight=".06pt" strokecolor="#000000"/>
            <v:line style="position:absolute" from="170,13" to="1467,13" stroked="true" strokeweight=".06pt" strokecolor="#000000"/>
            <v:line style="position:absolute" from="170,14" to="1467,14" stroked="true" strokeweight=".06pt" strokecolor="#000000"/>
            <v:line style="position:absolute" from="170,15" to="1467,15" stroked="true" strokeweight=".06pt" strokecolor="#000000"/>
            <v:line style="position:absolute" from="170,17" to="1467,17" stroked="true" strokeweight=".06pt" strokecolor="#000000"/>
            <v:line style="position:absolute" from="170,18" to="1467,18" stroked="true" strokeweight=".06pt" strokecolor="#000000"/>
            <v:line style="position:absolute" from="170,19" to="1467,19" stroked="true" strokeweight=".06pt" strokecolor="#000000"/>
            <v:line style="position:absolute" from="1467,1" to="2765,1" stroked="true" strokeweight=".06pt" strokecolor="#000000"/>
            <v:line style="position:absolute" from="1467,2" to="2765,2" stroked="true" strokeweight=".06pt" strokecolor="#000000"/>
            <v:line style="position:absolute" from="1467,3" to="2765,3" stroked="true" strokeweight=".06pt" strokecolor="#000000"/>
            <v:line style="position:absolute" from="1467,5" to="2765,5" stroked="true" strokeweight=".06pt" strokecolor="#000000"/>
            <v:line style="position:absolute" from="1467,6" to="2765,6" stroked="true" strokeweight=".06pt" strokecolor="#000000"/>
            <v:line style="position:absolute" from="1467,7" to="2765,7" stroked="true" strokeweight=".06pt" strokecolor="#000000"/>
            <v:line style="position:absolute" from="1467,8" to="2765,8" stroked="true" strokeweight=".06pt" strokecolor="#000000"/>
            <v:line style="position:absolute" from="1467,9" to="2765,9" stroked="true" strokeweight=".06pt" strokecolor="#000000"/>
            <v:line style="position:absolute" from="1467,11" to="2765,11" stroked="true" strokeweight=".06pt" strokecolor="#000000"/>
            <v:line style="position:absolute" from="1467,12" to="2765,12" stroked="true" strokeweight=".06pt" strokecolor="#000000"/>
            <v:line style="position:absolute" from="1467,13" to="2765,13" stroked="true" strokeweight=".06pt" strokecolor="#000000"/>
            <v:line style="position:absolute" from="1467,14" to="2765,14" stroked="true" strokeweight=".06pt" strokecolor="#000000"/>
            <v:line style="position:absolute" from="1467,15" to="2765,15" stroked="true" strokeweight=".06pt" strokecolor="#000000"/>
            <v:line style="position:absolute" from="1467,17" to="2765,17" stroked="true" strokeweight=".06pt" strokecolor="#000000"/>
            <v:line style="position:absolute" from="1467,18" to="2765,18" stroked="true" strokeweight=".06pt" strokecolor="#000000"/>
            <v:line style="position:absolute" from="1467,19" to="2765,19" stroked="true" strokeweight=".06pt" strokecolor="#000000"/>
            <v:line style="position:absolute" from="2765,1" to="2934,1" stroked="true" strokeweight=".06pt" strokecolor="#000000"/>
            <v:line style="position:absolute" from="2765,2" to="2934,2" stroked="true" strokeweight=".06pt" strokecolor="#000000"/>
            <v:line style="position:absolute" from="2765,3" to="2934,3" stroked="true" strokeweight=".06pt" strokecolor="#000000"/>
            <v:line style="position:absolute" from="2765,5" to="2934,5" stroked="true" strokeweight=".06pt" strokecolor="#000000"/>
            <v:line style="position:absolute" from="2765,6" to="2934,6" stroked="true" strokeweight=".06pt" strokecolor="#000000"/>
            <v:line style="position:absolute" from="2765,7" to="2934,7" stroked="true" strokeweight=".06pt" strokecolor="#000000"/>
            <v:line style="position:absolute" from="2765,8" to="2934,8" stroked="true" strokeweight=".06pt" strokecolor="#000000"/>
            <v:line style="position:absolute" from="2765,9" to="2934,9" stroked="true" strokeweight=".06pt" strokecolor="#000000"/>
            <v:line style="position:absolute" from="2765,11" to="2934,11" stroked="true" strokeweight=".06pt" strokecolor="#000000"/>
            <v:line style="position:absolute" from="2765,12" to="2934,12" stroked="true" strokeweight=".06pt" strokecolor="#000000"/>
            <v:line style="position:absolute" from="2765,13" to="2934,13" stroked="true" strokeweight=".06pt" strokecolor="#000000"/>
            <v:line style="position:absolute" from="2765,14" to="2934,14" stroked="true" strokeweight=".06pt" strokecolor="#000000"/>
            <v:line style="position:absolute" from="2765,15" to="2934,15" stroked="true" strokeweight=".06pt" strokecolor="#000000"/>
            <v:line style="position:absolute" from="2765,17" to="2934,17" stroked="true" strokeweight=".06pt" strokecolor="#000000"/>
            <v:line style="position:absolute" from="2765,18" to="2934,18" stroked="true" strokeweight=".06pt" strokecolor="#000000"/>
            <v:line style="position:absolute" from="2765,19" to="2934,19" stroked="true" strokeweight=".06pt" strokecolor="#000000"/>
            <v:line style="position:absolute" from="2934,1" to="4231,1" stroked="true" strokeweight=".06pt" strokecolor="#000000"/>
            <v:line style="position:absolute" from="2934,2" to="4231,2" stroked="true" strokeweight=".06pt" strokecolor="#000000"/>
            <v:line style="position:absolute" from="2934,3" to="4231,3" stroked="true" strokeweight=".06pt" strokecolor="#000000"/>
            <v:line style="position:absolute" from="2934,5" to="4231,5" stroked="true" strokeweight=".06pt" strokecolor="#000000"/>
            <v:line style="position:absolute" from="2934,6" to="4231,6" stroked="true" strokeweight=".06pt" strokecolor="#000000"/>
            <v:line style="position:absolute" from="2934,7" to="4231,7" stroked="true" strokeweight=".06pt" strokecolor="#000000"/>
            <v:line style="position:absolute" from="2934,8" to="4231,8" stroked="true" strokeweight=".06pt" strokecolor="#000000"/>
            <v:line style="position:absolute" from="2934,9" to="4231,9" stroked="true" strokeweight=".06pt" strokecolor="#000000"/>
            <v:line style="position:absolute" from="2934,11" to="4231,11" stroked="true" strokeweight=".06pt" strokecolor="#000000"/>
            <v:line style="position:absolute" from="2934,12" to="4231,12" stroked="true" strokeweight=".06pt" strokecolor="#000000"/>
            <v:line style="position:absolute" from="2934,13" to="4231,13" stroked="true" strokeweight=".06pt" strokecolor="#000000"/>
            <v:line style="position:absolute" from="2934,14" to="4231,14" stroked="true" strokeweight=".06pt" strokecolor="#000000"/>
            <v:line style="position:absolute" from="2934,15" to="4231,15" stroked="true" strokeweight=".06pt" strokecolor="#000000"/>
            <v:line style="position:absolute" from="2934,17" to="4231,17" stroked="true" strokeweight=".06pt" strokecolor="#000000"/>
            <v:line style="position:absolute" from="2934,18" to="4231,18" stroked="true" strokeweight=".06pt" strokecolor="#000000"/>
            <v:line style="position:absolute" from="2934,19" to="4231,19" stroked="true" strokeweight=".06pt" strokecolor="#000000"/>
            <v:line style="position:absolute" from="4231,1" to="5528,1" stroked="true" strokeweight=".06pt" strokecolor="#000000"/>
            <v:line style="position:absolute" from="4231,2" to="5528,2" stroked="true" strokeweight=".06pt" strokecolor="#000000"/>
            <v:line style="position:absolute" from="4231,3" to="5528,3" stroked="true" strokeweight=".06pt" strokecolor="#000000"/>
            <v:line style="position:absolute" from="4231,5" to="5528,5" stroked="true" strokeweight=".06pt" strokecolor="#000000"/>
            <v:line style="position:absolute" from="4231,6" to="5528,6" stroked="true" strokeweight=".06pt" strokecolor="#000000"/>
            <v:line style="position:absolute" from="4231,7" to="5528,7" stroked="true" strokeweight=".06pt" strokecolor="#000000"/>
            <v:line style="position:absolute" from="4231,8" to="5528,8" stroked="true" strokeweight=".06pt" strokecolor="#000000"/>
            <v:line style="position:absolute" from="4231,9" to="5528,9" stroked="true" strokeweight=".06pt" strokecolor="#000000"/>
            <v:line style="position:absolute" from="4231,11" to="5528,11" stroked="true" strokeweight=".06pt" strokecolor="#000000"/>
            <v:line style="position:absolute" from="4231,12" to="5528,12" stroked="true" strokeweight=".06pt" strokecolor="#000000"/>
            <v:line style="position:absolute" from="4231,13" to="5528,13" stroked="true" strokeweight=".06pt" strokecolor="#000000"/>
            <v:line style="position:absolute" from="4231,14" to="5528,14" stroked="true" strokeweight=".06pt" strokecolor="#000000"/>
            <v:line style="position:absolute" from="4231,15" to="5528,15" stroked="true" strokeweight=".06pt" strokecolor="#000000"/>
            <v:line style="position:absolute" from="4231,17" to="5528,17" stroked="true" strokeweight=".06pt" strokecolor="#000000"/>
            <v:line style="position:absolute" from="4231,18" to="5528,18" stroked="true" strokeweight=".06pt" strokecolor="#000000"/>
            <v:line style="position:absolute" from="4231,19" to="5528,19" stroked="true" strokeweight=".06pt" strokecolor="#00000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17" to="170,17" stroked="true" strokeweight=".06pt" strokecolor="#000000"/>
            <v:line style="position:absolute" from="1,18" to="170,18" stroked="true" strokeweight=".06pt" strokecolor="#000000"/>
            <v:line style="position:absolute" from="1,19" to="170,19" stroked="true" strokeweight=".06pt" strokecolor="#000000"/>
            <v:line style="position:absolute" from="170,1" to="1467,1" stroked="true" strokeweight=".06pt" strokecolor="#000000"/>
            <v:line style="position:absolute" from="170,2" to="1467,2" stroked="true" strokeweight=".06pt" strokecolor="#000000"/>
            <v:line style="position:absolute" from="170,3" to="1467,3" stroked="true" strokeweight=".06pt" strokecolor="#000000"/>
            <v:line style="position:absolute" from="170,5" to="1467,5" stroked="true" strokeweight=".06pt" strokecolor="#000000"/>
            <v:line style="position:absolute" from="170,6" to="1467,6" stroked="true" strokeweight=".06pt" strokecolor="#000000"/>
            <v:line style="position:absolute" from="170,7" to="1467,7" stroked="true" strokeweight=".06pt" strokecolor="#000000"/>
            <v:line style="position:absolute" from="170,8" to="1467,8" stroked="true" strokeweight=".06pt" strokecolor="#000000"/>
            <v:line style="position:absolute" from="170,9" to="1467,9" stroked="true" strokeweight=".06pt" strokecolor="#000000"/>
            <v:line style="position:absolute" from="170,11" to="1467,11" stroked="true" strokeweight=".06pt" strokecolor="#000000"/>
            <v:line style="position:absolute" from="170,12" to="1467,12" stroked="true" strokeweight=".06pt" strokecolor="#000000"/>
            <v:line style="position:absolute" from="170,13" to="1467,13" stroked="true" strokeweight=".06pt" strokecolor="#000000"/>
            <v:line style="position:absolute" from="170,14" to="1467,14" stroked="true" strokeweight=".06pt" strokecolor="#000000"/>
            <v:line style="position:absolute" from="170,15" to="1467,15" stroked="true" strokeweight=".06pt" strokecolor="#000000"/>
            <v:line style="position:absolute" from="170,17" to="1467,17" stroked="true" strokeweight=".06pt" strokecolor="#000000"/>
            <v:line style="position:absolute" from="170,18" to="1467,18" stroked="true" strokeweight=".06pt" strokecolor="#000000"/>
            <v:line style="position:absolute" from="170,19" to="1467,19" stroked="true" strokeweight=".06pt" strokecolor="#000000"/>
            <v:line style="position:absolute" from="1467,1" to="2765,1" stroked="true" strokeweight=".06pt" strokecolor="#000000"/>
            <v:line style="position:absolute" from="1467,2" to="2765,2" stroked="true" strokeweight=".06pt" strokecolor="#000000"/>
            <v:line style="position:absolute" from="1467,3" to="2765,3" stroked="true" strokeweight=".06pt" strokecolor="#000000"/>
            <v:line style="position:absolute" from="1467,5" to="2765,5" stroked="true" strokeweight=".06pt" strokecolor="#000000"/>
            <v:line style="position:absolute" from="1467,6" to="2765,6" stroked="true" strokeweight=".06pt" strokecolor="#000000"/>
            <v:line style="position:absolute" from="1467,7" to="2765,7" stroked="true" strokeweight=".06pt" strokecolor="#000000"/>
            <v:line style="position:absolute" from="1467,8" to="2765,8" stroked="true" strokeweight=".06pt" strokecolor="#000000"/>
            <v:line style="position:absolute" from="1467,9" to="2765,9" stroked="true" strokeweight=".06pt" strokecolor="#000000"/>
            <v:line style="position:absolute" from="1467,11" to="2765,11" stroked="true" strokeweight=".06pt" strokecolor="#000000"/>
            <v:line style="position:absolute" from="1467,12" to="2765,12" stroked="true" strokeweight=".06pt" strokecolor="#000000"/>
            <v:line style="position:absolute" from="1467,13" to="2765,13" stroked="true" strokeweight=".06pt" strokecolor="#000000"/>
            <v:line style="position:absolute" from="1467,14" to="2765,14" stroked="true" strokeweight=".06pt" strokecolor="#000000"/>
            <v:line style="position:absolute" from="1467,15" to="2765,15" stroked="true" strokeweight=".06pt" strokecolor="#000000"/>
            <v:line style="position:absolute" from="1467,17" to="2765,17" stroked="true" strokeweight=".06pt" strokecolor="#000000"/>
            <v:line style="position:absolute" from="1467,18" to="2765,18" stroked="true" strokeweight=".06pt" strokecolor="#000000"/>
            <v:line style="position:absolute" from="1467,19" to="2765,19" stroked="true" strokeweight=".06pt" strokecolor="#000000"/>
            <v:line style="position:absolute" from="2765,1" to="2934,1" stroked="true" strokeweight=".06pt" strokecolor="#000000"/>
            <v:line style="position:absolute" from="2765,2" to="2934,2" stroked="true" strokeweight=".06pt" strokecolor="#000000"/>
            <v:line style="position:absolute" from="2765,3" to="2934,3" stroked="true" strokeweight=".06pt" strokecolor="#000000"/>
            <v:line style="position:absolute" from="2765,5" to="2934,5" stroked="true" strokeweight=".06pt" strokecolor="#000000"/>
            <v:line style="position:absolute" from="2765,6" to="2934,6" stroked="true" strokeweight=".06pt" strokecolor="#000000"/>
            <v:line style="position:absolute" from="2765,7" to="2934,7" stroked="true" strokeweight=".06pt" strokecolor="#000000"/>
            <v:line style="position:absolute" from="2765,8" to="2934,8" stroked="true" strokeweight=".06pt" strokecolor="#000000"/>
            <v:line style="position:absolute" from="2765,9" to="2934,9" stroked="true" strokeweight=".06pt" strokecolor="#000000"/>
            <v:line style="position:absolute" from="2765,11" to="2934,11" stroked="true" strokeweight=".06pt" strokecolor="#000000"/>
            <v:line style="position:absolute" from="2765,12" to="2934,12" stroked="true" strokeweight=".06pt" strokecolor="#000000"/>
            <v:line style="position:absolute" from="2765,13" to="2934,13" stroked="true" strokeweight=".06pt" strokecolor="#000000"/>
            <v:line style="position:absolute" from="2765,14" to="2934,14" stroked="true" strokeweight=".06pt" strokecolor="#000000"/>
            <v:line style="position:absolute" from="2765,15" to="2934,15" stroked="true" strokeweight=".06pt" strokecolor="#000000"/>
            <v:line style="position:absolute" from="2765,17" to="2934,17" stroked="true" strokeweight=".06pt" strokecolor="#000000"/>
            <v:line style="position:absolute" from="2765,18" to="2934,18" stroked="true" strokeweight=".06pt" strokecolor="#000000"/>
            <v:line style="position:absolute" from="2765,19" to="2934,19" stroked="true" strokeweight=".06pt" strokecolor="#000000"/>
            <v:line style="position:absolute" from="2934,1" to="4231,1" stroked="true" strokeweight=".06pt" strokecolor="#000000"/>
            <v:line style="position:absolute" from="2934,2" to="4231,2" stroked="true" strokeweight=".06pt" strokecolor="#000000"/>
            <v:line style="position:absolute" from="2934,3" to="4231,3" stroked="true" strokeweight=".06pt" strokecolor="#000000"/>
            <v:line style="position:absolute" from="2934,5" to="4231,5" stroked="true" strokeweight=".06pt" strokecolor="#000000"/>
            <v:line style="position:absolute" from="2934,6" to="4231,6" stroked="true" strokeweight=".06pt" strokecolor="#000000"/>
            <v:line style="position:absolute" from="2934,7" to="4231,7" stroked="true" strokeweight=".06pt" strokecolor="#000000"/>
            <v:line style="position:absolute" from="2934,8" to="4231,8" stroked="true" strokeweight=".06pt" strokecolor="#000000"/>
            <v:line style="position:absolute" from="2934,9" to="4231,9" stroked="true" strokeweight=".06pt" strokecolor="#000000"/>
            <v:line style="position:absolute" from="2934,11" to="4231,11" stroked="true" strokeweight=".06pt" strokecolor="#000000"/>
            <v:line style="position:absolute" from="2934,12" to="4231,12" stroked="true" strokeweight=".06pt" strokecolor="#000000"/>
            <v:line style="position:absolute" from="2934,13" to="4231,13" stroked="true" strokeweight=".06pt" strokecolor="#000000"/>
            <v:line style="position:absolute" from="2934,14" to="4231,14" stroked="true" strokeweight=".06pt" strokecolor="#000000"/>
            <v:line style="position:absolute" from="2934,15" to="4231,15" stroked="true" strokeweight=".06pt" strokecolor="#000000"/>
            <v:line style="position:absolute" from="2934,17" to="4231,17" stroked="true" strokeweight=".06pt" strokecolor="#000000"/>
            <v:line style="position:absolute" from="2934,18" to="4231,18" stroked="true" strokeweight=".06pt" strokecolor="#000000"/>
            <v:line style="position:absolute" from="2934,19" to="4231,19" stroked="true" strokeweight=".06pt" strokecolor="#000000"/>
            <v:line style="position:absolute" from="4231,1" to="5528,1" stroked="true" strokeweight=".06pt" strokecolor="#000000"/>
            <v:line style="position:absolute" from="4231,2" to="5528,2" stroked="true" strokeweight=".06pt" strokecolor="#000000"/>
            <v:line style="position:absolute" from="4231,3" to="5528,3" stroked="true" strokeweight=".06pt" strokecolor="#000000"/>
            <v:line style="position:absolute" from="4231,5" to="5528,5" stroked="true" strokeweight=".06pt" strokecolor="#000000"/>
            <v:line style="position:absolute" from="4231,6" to="5528,6" stroked="true" strokeweight=".06pt" strokecolor="#000000"/>
            <v:line style="position:absolute" from="4231,7" to="5528,7" stroked="true" strokeweight=".06pt" strokecolor="#000000"/>
            <v:line style="position:absolute" from="4231,8" to="5528,8" stroked="true" strokeweight=".06pt" strokecolor="#000000"/>
            <v:line style="position:absolute" from="4231,9" to="5528,9" stroked="true" strokeweight=".06pt" strokecolor="#000000"/>
            <v:line style="position:absolute" from="4231,11" to="5528,11" stroked="true" strokeweight=".06pt" strokecolor="#000000"/>
            <v:line style="position:absolute" from="4231,12" to="5528,12" stroked="true" strokeweight=".06pt" strokecolor="#000000"/>
            <v:line style="position:absolute" from="4231,13" to="5528,13" stroked="true" strokeweight=".06pt" strokecolor="#000000"/>
            <v:line style="position:absolute" from="4231,14" to="5528,14" stroked="true" strokeweight=".06pt" strokecolor="#000000"/>
            <v:line style="position:absolute" from="4231,15" to="5528,15" stroked="true" strokeweight=".06pt" strokecolor="#000000"/>
            <v:line style="position:absolute" from="4231,17" to="5528,17" stroked="true" strokeweight=".06pt" strokecolor="#000000"/>
            <v:line style="position:absolute" from="4231,18" to="5528,18" stroked="true" strokeweight=".06pt" strokecolor="#000000"/>
            <v:line style="position:absolute" from="4231,19" to="5528,19" stroked="true" strokeweight=".06pt" strokecolor="#000000"/>
          </v:group>
        </w:pict>
      </w:r>
      <w:r>
        <w:rPr>
          <w:sz w:val="2"/>
        </w:rPr>
      </w:r>
    </w:p>
    <w:p>
      <w:pPr>
        <w:pStyle w:val="BodyText"/>
        <w:rPr>
          <w:sz w:val="20"/>
        </w:rPr>
      </w:pPr>
    </w:p>
    <w:p>
      <w:pPr>
        <w:pStyle w:val="BodyText"/>
        <w:rPr>
          <w:sz w:val="20"/>
        </w:rPr>
      </w:pPr>
    </w:p>
    <w:p>
      <w:pPr>
        <w:pStyle w:val="BodyText"/>
        <w:spacing w:before="8"/>
        <w:rPr>
          <w:sz w:val="14"/>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8"/>
        <w:gridCol w:w="4002"/>
        <w:gridCol w:w="758"/>
        <w:gridCol w:w="712"/>
        <w:gridCol w:w="570"/>
        <w:gridCol w:w="812"/>
        <w:gridCol w:w="669"/>
        <w:gridCol w:w="712"/>
        <w:gridCol w:w="570"/>
        <w:gridCol w:w="725"/>
      </w:tblGrid>
      <w:tr>
        <w:trPr>
          <w:trHeight w:val="527" w:hRule="exact"/>
        </w:trPr>
        <w:tc>
          <w:tcPr>
            <w:tcW w:w="418" w:type="dxa"/>
            <w:vMerge w:val="restart"/>
          </w:tcPr>
          <w:p>
            <w:pPr/>
          </w:p>
        </w:tc>
        <w:tc>
          <w:tcPr>
            <w:tcW w:w="4002" w:type="dxa"/>
          </w:tcPr>
          <w:p>
            <w:pPr>
              <w:pStyle w:val="TableParagraph"/>
              <w:spacing w:before="77"/>
              <w:ind w:left="39" w:right="731"/>
              <w:rPr>
                <w:b/>
                <w:sz w:val="18"/>
              </w:rPr>
            </w:pPr>
            <w:r>
              <w:rPr>
                <w:b/>
                <w:sz w:val="18"/>
              </w:rPr>
              <w:t>Other Investment losses</w:t>
            </w:r>
          </w:p>
          <w:p>
            <w:pPr>
              <w:pStyle w:val="TableParagraph"/>
              <w:spacing w:before="27"/>
              <w:ind w:left="39" w:right="731"/>
              <w:rPr>
                <w:sz w:val="18"/>
              </w:rPr>
            </w:pPr>
            <w:r>
              <w:rPr>
                <w:sz w:val="18"/>
              </w:rPr>
              <w:t>Realised loss on redemption of</w:t>
            </w:r>
          </w:p>
        </w:tc>
        <w:tc>
          <w:tcPr>
            <w:tcW w:w="5528" w:type="dxa"/>
            <w:gridSpan w:val="8"/>
          </w:tcPr>
          <w:p>
            <w:pPr/>
          </w:p>
        </w:tc>
      </w:tr>
      <w:tr>
        <w:trPr>
          <w:trHeight w:val="235" w:hRule="exact"/>
        </w:trPr>
        <w:tc>
          <w:tcPr>
            <w:tcW w:w="418" w:type="dxa"/>
            <w:vMerge/>
          </w:tcPr>
          <w:p>
            <w:pPr/>
          </w:p>
        </w:tc>
        <w:tc>
          <w:tcPr>
            <w:tcW w:w="4002" w:type="dxa"/>
          </w:tcPr>
          <w:p>
            <w:pPr>
              <w:pStyle w:val="TableParagraph"/>
              <w:spacing w:line="198" w:lineRule="exact"/>
              <w:ind w:left="39" w:right="731"/>
              <w:rPr>
                <w:sz w:val="18"/>
              </w:rPr>
            </w:pPr>
            <w:r>
              <w:rPr>
                <w:sz w:val="18"/>
              </w:rPr>
              <w:t>investments</w:t>
            </w:r>
          </w:p>
        </w:tc>
        <w:tc>
          <w:tcPr>
            <w:tcW w:w="1470" w:type="dxa"/>
            <w:gridSpan w:val="2"/>
          </w:tcPr>
          <w:p>
            <w:pPr>
              <w:pStyle w:val="TableParagraph"/>
              <w:spacing w:line="197" w:lineRule="exact"/>
              <w:ind w:left="868"/>
              <w:rPr>
                <w:b/>
                <w:sz w:val="18"/>
              </w:rPr>
            </w:pPr>
            <w:r>
              <w:rPr>
                <w:b/>
                <w:sz w:val="18"/>
              </w:rPr>
              <w:t>(8,495)</w:t>
            </w:r>
          </w:p>
        </w:tc>
        <w:tc>
          <w:tcPr>
            <w:tcW w:w="1382" w:type="dxa"/>
            <w:gridSpan w:val="2"/>
          </w:tcPr>
          <w:p>
            <w:pPr>
              <w:pStyle w:val="TableParagraph"/>
              <w:spacing w:line="197" w:lineRule="exact"/>
              <w:ind w:right="174"/>
              <w:jc w:val="right"/>
              <w:rPr>
                <w:sz w:val="18"/>
              </w:rPr>
            </w:pPr>
            <w:r>
              <w:rPr>
                <w:w w:val="99"/>
                <w:sz w:val="18"/>
              </w:rPr>
              <w:t>-</w:t>
            </w:r>
          </w:p>
        </w:tc>
        <w:tc>
          <w:tcPr>
            <w:tcW w:w="1381" w:type="dxa"/>
            <w:gridSpan w:val="2"/>
          </w:tcPr>
          <w:p>
            <w:pPr>
              <w:pStyle w:val="TableParagraph"/>
              <w:spacing w:line="197" w:lineRule="exact"/>
              <w:ind w:left="779"/>
              <w:rPr>
                <w:b/>
                <w:sz w:val="18"/>
              </w:rPr>
            </w:pPr>
            <w:r>
              <w:rPr>
                <w:b/>
                <w:sz w:val="18"/>
              </w:rPr>
              <w:t>(8,495)</w:t>
            </w:r>
          </w:p>
        </w:tc>
        <w:tc>
          <w:tcPr>
            <w:tcW w:w="1295" w:type="dxa"/>
            <w:gridSpan w:val="2"/>
          </w:tcPr>
          <w:p>
            <w:pPr>
              <w:pStyle w:val="TableParagraph"/>
              <w:spacing w:line="197" w:lineRule="exact"/>
              <w:ind w:right="86"/>
              <w:jc w:val="right"/>
              <w:rPr>
                <w:sz w:val="18"/>
              </w:rPr>
            </w:pPr>
            <w:r>
              <w:rPr>
                <w:w w:val="99"/>
                <w:sz w:val="18"/>
              </w:rPr>
              <w:t>-</w:t>
            </w:r>
          </w:p>
        </w:tc>
      </w:tr>
      <w:tr>
        <w:trPr>
          <w:trHeight w:val="263" w:hRule="exact"/>
        </w:trPr>
        <w:tc>
          <w:tcPr>
            <w:tcW w:w="418" w:type="dxa"/>
            <w:vMerge/>
          </w:tcPr>
          <w:p>
            <w:pPr/>
          </w:p>
        </w:tc>
        <w:tc>
          <w:tcPr>
            <w:tcW w:w="4002" w:type="dxa"/>
          </w:tcPr>
          <w:p>
            <w:pPr>
              <w:pStyle w:val="TableParagraph"/>
              <w:spacing w:before="19"/>
              <w:ind w:left="39" w:right="731"/>
              <w:rPr>
                <w:sz w:val="18"/>
              </w:rPr>
            </w:pPr>
            <w:r>
              <w:rPr>
                <w:sz w:val="18"/>
              </w:rPr>
              <w:t>Loss on sale of investments</w:t>
            </w:r>
          </w:p>
        </w:tc>
        <w:tc>
          <w:tcPr>
            <w:tcW w:w="1470" w:type="dxa"/>
            <w:gridSpan w:val="2"/>
          </w:tcPr>
          <w:p>
            <w:pPr>
              <w:pStyle w:val="TableParagraph"/>
              <w:spacing w:before="18"/>
              <w:ind w:right="29"/>
              <w:jc w:val="right"/>
              <w:rPr>
                <w:b/>
                <w:sz w:val="18"/>
              </w:rPr>
            </w:pPr>
            <w:r>
              <w:rPr>
                <w:b/>
                <w:w w:val="95"/>
                <w:sz w:val="18"/>
              </w:rPr>
              <w:t>(506)</w:t>
            </w:r>
          </w:p>
        </w:tc>
        <w:tc>
          <w:tcPr>
            <w:tcW w:w="1382" w:type="dxa"/>
            <w:gridSpan w:val="2"/>
          </w:tcPr>
          <w:p>
            <w:pPr>
              <w:pStyle w:val="TableParagraph"/>
              <w:spacing w:before="18"/>
              <w:ind w:right="174"/>
              <w:jc w:val="right"/>
              <w:rPr>
                <w:sz w:val="18"/>
              </w:rPr>
            </w:pPr>
            <w:r>
              <w:rPr>
                <w:w w:val="99"/>
                <w:sz w:val="18"/>
              </w:rPr>
              <w:t>-</w:t>
            </w:r>
          </w:p>
        </w:tc>
        <w:tc>
          <w:tcPr>
            <w:tcW w:w="1381" w:type="dxa"/>
            <w:gridSpan w:val="2"/>
          </w:tcPr>
          <w:p>
            <w:pPr>
              <w:pStyle w:val="TableParagraph"/>
              <w:spacing w:before="18"/>
              <w:ind w:right="29"/>
              <w:jc w:val="right"/>
              <w:rPr>
                <w:b/>
                <w:sz w:val="18"/>
              </w:rPr>
            </w:pPr>
            <w:r>
              <w:rPr>
                <w:b/>
                <w:w w:val="95"/>
                <w:sz w:val="18"/>
              </w:rPr>
              <w:t>(506)</w:t>
            </w:r>
          </w:p>
        </w:tc>
        <w:tc>
          <w:tcPr>
            <w:tcW w:w="1295" w:type="dxa"/>
            <w:gridSpan w:val="2"/>
          </w:tcPr>
          <w:p>
            <w:pPr>
              <w:pStyle w:val="TableParagraph"/>
              <w:spacing w:before="18"/>
              <w:ind w:right="86"/>
              <w:jc w:val="right"/>
              <w:rPr>
                <w:sz w:val="18"/>
              </w:rPr>
            </w:pPr>
            <w:r>
              <w:rPr>
                <w:w w:val="99"/>
                <w:sz w:val="18"/>
              </w:rPr>
              <w:t>-</w:t>
            </w:r>
          </w:p>
        </w:tc>
      </w:tr>
      <w:tr>
        <w:trPr>
          <w:trHeight w:val="673" w:hRule="exact"/>
        </w:trPr>
        <w:tc>
          <w:tcPr>
            <w:tcW w:w="418" w:type="dxa"/>
            <w:vMerge/>
          </w:tcPr>
          <w:p>
            <w:pPr/>
          </w:p>
        </w:tc>
        <w:tc>
          <w:tcPr>
            <w:tcW w:w="4002" w:type="dxa"/>
          </w:tcPr>
          <w:p>
            <w:pPr>
              <w:pStyle w:val="TableParagraph"/>
              <w:spacing w:before="17"/>
              <w:ind w:left="39" w:right="731"/>
              <w:rPr>
                <w:sz w:val="18"/>
              </w:rPr>
            </w:pPr>
            <w:r>
              <w:rPr>
                <w:sz w:val="18"/>
              </w:rPr>
              <w:t>Change in fair value of financial assets designated as at fair value through profit &amp; loss</w:t>
            </w:r>
          </w:p>
        </w:tc>
        <w:tc>
          <w:tcPr>
            <w:tcW w:w="1470" w:type="dxa"/>
            <w:gridSpan w:val="2"/>
            <w:tcBorders>
              <w:bottom w:val="single" w:sz="0" w:space="0" w:color="000000"/>
            </w:tcBorders>
          </w:tcPr>
          <w:p>
            <w:pPr>
              <w:pStyle w:val="TableParagraph"/>
              <w:rPr>
                <w:sz w:val="18"/>
              </w:rPr>
            </w:pPr>
          </w:p>
          <w:p>
            <w:pPr>
              <w:pStyle w:val="TableParagraph"/>
              <w:spacing w:before="4"/>
              <w:rPr>
                <w:sz w:val="19"/>
              </w:rPr>
            </w:pPr>
          </w:p>
          <w:p>
            <w:pPr>
              <w:pStyle w:val="TableParagraph"/>
              <w:ind w:right="89"/>
              <w:jc w:val="right"/>
              <w:rPr>
                <w:b/>
                <w:sz w:val="18"/>
              </w:rPr>
            </w:pPr>
            <w:r>
              <w:rPr>
                <w:b/>
                <w:w w:val="95"/>
                <w:sz w:val="18"/>
              </w:rPr>
              <w:t>590</w:t>
            </w:r>
          </w:p>
        </w:tc>
        <w:tc>
          <w:tcPr>
            <w:tcW w:w="1382" w:type="dxa"/>
            <w:gridSpan w:val="2"/>
            <w:tcBorders>
              <w:bottom w:val="single" w:sz="0" w:space="0" w:color="000000"/>
            </w:tcBorders>
          </w:tcPr>
          <w:p>
            <w:pPr>
              <w:pStyle w:val="TableParagraph"/>
              <w:rPr>
                <w:sz w:val="18"/>
              </w:rPr>
            </w:pPr>
          </w:p>
          <w:p>
            <w:pPr>
              <w:pStyle w:val="TableParagraph"/>
              <w:spacing w:before="4"/>
              <w:rPr>
                <w:sz w:val="19"/>
              </w:rPr>
            </w:pPr>
          </w:p>
          <w:p>
            <w:pPr>
              <w:pStyle w:val="TableParagraph"/>
              <w:ind w:left="697"/>
              <w:rPr>
                <w:sz w:val="18"/>
              </w:rPr>
            </w:pPr>
            <w:r>
              <w:rPr>
                <w:sz w:val="18"/>
              </w:rPr>
              <w:t>(1,285)</w:t>
            </w:r>
          </w:p>
        </w:tc>
        <w:tc>
          <w:tcPr>
            <w:tcW w:w="1381" w:type="dxa"/>
            <w:gridSpan w:val="2"/>
            <w:tcBorders>
              <w:bottom w:val="single" w:sz="0" w:space="0" w:color="000000"/>
            </w:tcBorders>
          </w:tcPr>
          <w:p>
            <w:pPr>
              <w:pStyle w:val="TableParagraph"/>
              <w:rPr>
                <w:sz w:val="18"/>
              </w:rPr>
            </w:pPr>
          </w:p>
          <w:p>
            <w:pPr>
              <w:pStyle w:val="TableParagraph"/>
              <w:spacing w:before="4"/>
              <w:rPr>
                <w:sz w:val="19"/>
              </w:rPr>
            </w:pPr>
          </w:p>
          <w:p>
            <w:pPr>
              <w:pStyle w:val="TableParagraph"/>
              <w:ind w:right="89"/>
              <w:jc w:val="right"/>
              <w:rPr>
                <w:b/>
                <w:sz w:val="18"/>
              </w:rPr>
            </w:pPr>
            <w:r>
              <w:rPr>
                <w:b/>
                <w:w w:val="95"/>
                <w:sz w:val="18"/>
              </w:rPr>
              <w:t>134</w:t>
            </w:r>
          </w:p>
        </w:tc>
        <w:tc>
          <w:tcPr>
            <w:tcW w:w="1295" w:type="dxa"/>
            <w:gridSpan w:val="2"/>
            <w:tcBorders>
              <w:bottom w:val="single" w:sz="0" w:space="0" w:color="000000"/>
            </w:tcBorders>
          </w:tcPr>
          <w:p>
            <w:pPr>
              <w:pStyle w:val="TableParagraph"/>
              <w:rPr>
                <w:sz w:val="18"/>
              </w:rPr>
            </w:pPr>
          </w:p>
          <w:p>
            <w:pPr>
              <w:pStyle w:val="TableParagraph"/>
              <w:spacing w:before="4"/>
              <w:rPr>
                <w:sz w:val="19"/>
              </w:rPr>
            </w:pPr>
          </w:p>
          <w:p>
            <w:pPr>
              <w:pStyle w:val="TableParagraph"/>
              <w:ind w:left="847"/>
              <w:rPr>
                <w:sz w:val="18"/>
              </w:rPr>
            </w:pPr>
            <w:r>
              <w:rPr>
                <w:sz w:val="18"/>
              </w:rPr>
              <w:t>(101)</w:t>
            </w:r>
          </w:p>
        </w:tc>
      </w:tr>
      <w:tr>
        <w:trPr>
          <w:trHeight w:val="338" w:hRule="exact"/>
        </w:trPr>
        <w:tc>
          <w:tcPr>
            <w:tcW w:w="418" w:type="dxa"/>
            <w:vMerge/>
          </w:tcPr>
          <w:p>
            <w:pPr/>
          </w:p>
        </w:tc>
        <w:tc>
          <w:tcPr>
            <w:tcW w:w="4002" w:type="dxa"/>
          </w:tcPr>
          <w:p>
            <w:pPr>
              <w:pStyle w:val="TableParagraph"/>
              <w:spacing w:before="123"/>
              <w:ind w:left="39" w:right="731"/>
              <w:rPr>
                <w:b/>
                <w:sz w:val="18"/>
              </w:rPr>
            </w:pPr>
            <w:r>
              <w:rPr>
                <w:b/>
                <w:sz w:val="18"/>
              </w:rPr>
              <w:t>Total other investment losses</w:t>
            </w:r>
          </w:p>
        </w:tc>
        <w:tc>
          <w:tcPr>
            <w:tcW w:w="1470" w:type="dxa"/>
            <w:gridSpan w:val="2"/>
            <w:tcBorders>
              <w:top w:val="single" w:sz="0" w:space="0" w:color="000000"/>
              <w:bottom w:val="single" w:sz="0" w:space="0" w:color="000000"/>
            </w:tcBorders>
          </w:tcPr>
          <w:p>
            <w:pPr>
              <w:pStyle w:val="TableParagraph"/>
              <w:spacing w:before="122"/>
              <w:ind w:left="868"/>
              <w:rPr>
                <w:b/>
                <w:sz w:val="18"/>
              </w:rPr>
            </w:pPr>
            <w:r>
              <w:rPr>
                <w:b/>
                <w:sz w:val="18"/>
              </w:rPr>
              <w:t>(8,411)</w:t>
            </w:r>
          </w:p>
        </w:tc>
        <w:tc>
          <w:tcPr>
            <w:tcW w:w="1382" w:type="dxa"/>
            <w:gridSpan w:val="2"/>
            <w:tcBorders>
              <w:top w:val="single" w:sz="0" w:space="0" w:color="000000"/>
              <w:bottom w:val="single" w:sz="0" w:space="0" w:color="000000"/>
            </w:tcBorders>
          </w:tcPr>
          <w:p>
            <w:pPr>
              <w:pStyle w:val="TableParagraph"/>
              <w:spacing w:before="122"/>
              <w:ind w:left="697"/>
              <w:rPr>
                <w:sz w:val="18"/>
              </w:rPr>
            </w:pPr>
            <w:r>
              <w:rPr>
                <w:sz w:val="18"/>
              </w:rPr>
              <w:t>(1,285)</w:t>
            </w:r>
          </w:p>
        </w:tc>
        <w:tc>
          <w:tcPr>
            <w:tcW w:w="1381" w:type="dxa"/>
            <w:gridSpan w:val="2"/>
            <w:tcBorders>
              <w:top w:val="single" w:sz="0" w:space="0" w:color="000000"/>
              <w:bottom w:val="single" w:sz="0" w:space="0" w:color="000000"/>
            </w:tcBorders>
          </w:tcPr>
          <w:p>
            <w:pPr>
              <w:pStyle w:val="TableParagraph"/>
              <w:spacing w:before="122"/>
              <w:ind w:left="779"/>
              <w:rPr>
                <w:b/>
                <w:sz w:val="18"/>
              </w:rPr>
            </w:pPr>
            <w:r>
              <w:rPr>
                <w:b/>
                <w:sz w:val="18"/>
              </w:rPr>
              <w:t>(8,867)</w:t>
            </w:r>
          </w:p>
        </w:tc>
        <w:tc>
          <w:tcPr>
            <w:tcW w:w="1295" w:type="dxa"/>
            <w:gridSpan w:val="2"/>
            <w:tcBorders>
              <w:top w:val="single" w:sz="0" w:space="0" w:color="000000"/>
              <w:bottom w:val="single" w:sz="0" w:space="0" w:color="000000"/>
            </w:tcBorders>
          </w:tcPr>
          <w:p>
            <w:pPr>
              <w:pStyle w:val="TableParagraph"/>
              <w:spacing w:before="122"/>
              <w:ind w:left="846"/>
              <w:rPr>
                <w:sz w:val="18"/>
              </w:rPr>
            </w:pPr>
            <w:r>
              <w:rPr>
                <w:sz w:val="18"/>
              </w:rPr>
              <w:t>(101)</w:t>
            </w:r>
          </w:p>
        </w:tc>
      </w:tr>
      <w:tr>
        <w:trPr>
          <w:trHeight w:val="502" w:hRule="exact"/>
        </w:trPr>
        <w:tc>
          <w:tcPr>
            <w:tcW w:w="418" w:type="dxa"/>
          </w:tcPr>
          <w:p>
            <w:pPr>
              <w:pStyle w:val="TableParagraph"/>
              <w:spacing w:before="11"/>
              <w:rPr>
                <w:sz w:val="25"/>
              </w:rPr>
            </w:pPr>
          </w:p>
          <w:p>
            <w:pPr>
              <w:pStyle w:val="TableParagraph"/>
              <w:ind w:left="35"/>
              <w:rPr>
                <w:b/>
                <w:sz w:val="18"/>
              </w:rPr>
            </w:pPr>
            <w:r>
              <w:rPr>
                <w:b/>
                <w:w w:val="99"/>
                <w:sz w:val="18"/>
              </w:rPr>
              <w:t>6</w:t>
            </w:r>
          </w:p>
        </w:tc>
        <w:tc>
          <w:tcPr>
            <w:tcW w:w="4002" w:type="dxa"/>
          </w:tcPr>
          <w:p>
            <w:pPr>
              <w:pStyle w:val="TableParagraph"/>
              <w:spacing w:before="11"/>
              <w:rPr>
                <w:sz w:val="25"/>
              </w:rPr>
            </w:pPr>
          </w:p>
          <w:p>
            <w:pPr>
              <w:pStyle w:val="TableParagraph"/>
              <w:ind w:left="13" w:right="731"/>
              <w:rPr>
                <w:b/>
                <w:sz w:val="18"/>
              </w:rPr>
            </w:pPr>
            <w:r>
              <w:rPr>
                <w:b/>
                <w:sz w:val="18"/>
              </w:rPr>
              <w:t>Royalties, trademarks and licences</w:t>
            </w:r>
          </w:p>
        </w:tc>
        <w:tc>
          <w:tcPr>
            <w:tcW w:w="1470" w:type="dxa"/>
            <w:gridSpan w:val="2"/>
            <w:tcBorders>
              <w:top w:val="single" w:sz="0" w:space="0" w:color="000000"/>
            </w:tcBorders>
          </w:tcPr>
          <w:p>
            <w:pPr/>
          </w:p>
        </w:tc>
        <w:tc>
          <w:tcPr>
            <w:tcW w:w="1382" w:type="dxa"/>
            <w:gridSpan w:val="2"/>
            <w:tcBorders>
              <w:top w:val="single" w:sz="0" w:space="0" w:color="000000"/>
            </w:tcBorders>
          </w:tcPr>
          <w:p>
            <w:pPr/>
          </w:p>
        </w:tc>
        <w:tc>
          <w:tcPr>
            <w:tcW w:w="1381" w:type="dxa"/>
            <w:gridSpan w:val="2"/>
            <w:tcBorders>
              <w:top w:val="single" w:sz="0" w:space="0" w:color="000000"/>
            </w:tcBorders>
          </w:tcPr>
          <w:p>
            <w:pPr/>
          </w:p>
        </w:tc>
        <w:tc>
          <w:tcPr>
            <w:tcW w:w="1295" w:type="dxa"/>
            <w:gridSpan w:val="2"/>
            <w:tcBorders>
              <w:top w:val="single" w:sz="0" w:space="0" w:color="000000"/>
            </w:tcBorders>
          </w:tcPr>
          <w:p>
            <w:pPr/>
          </w:p>
        </w:tc>
      </w:tr>
      <w:tr>
        <w:trPr>
          <w:trHeight w:val="448" w:hRule="exact"/>
        </w:trPr>
        <w:tc>
          <w:tcPr>
            <w:tcW w:w="418" w:type="dxa"/>
          </w:tcPr>
          <w:p>
            <w:pPr/>
          </w:p>
        </w:tc>
        <w:tc>
          <w:tcPr>
            <w:tcW w:w="4002" w:type="dxa"/>
          </w:tcPr>
          <w:p>
            <w:pPr/>
          </w:p>
        </w:tc>
        <w:tc>
          <w:tcPr>
            <w:tcW w:w="1470" w:type="dxa"/>
            <w:gridSpan w:val="2"/>
          </w:tcPr>
          <w:p>
            <w:pPr>
              <w:pStyle w:val="TableParagraph"/>
              <w:spacing w:before="2"/>
              <w:rPr>
                <w:sz w:val="17"/>
              </w:rPr>
            </w:pPr>
          </w:p>
          <w:p>
            <w:pPr>
              <w:pStyle w:val="TableParagraph"/>
              <w:ind w:left="28"/>
              <w:rPr>
                <w:b/>
                <w:sz w:val="18"/>
              </w:rPr>
            </w:pPr>
            <w:r>
              <w:rPr>
                <w:b/>
                <w:sz w:val="18"/>
              </w:rPr>
              <w:t>Consolidated</w:t>
            </w:r>
          </w:p>
        </w:tc>
        <w:tc>
          <w:tcPr>
            <w:tcW w:w="2764" w:type="dxa"/>
            <w:gridSpan w:val="4"/>
          </w:tcPr>
          <w:p>
            <w:pPr>
              <w:pStyle w:val="TableParagraph"/>
              <w:spacing w:before="2"/>
              <w:rPr>
                <w:sz w:val="17"/>
              </w:rPr>
            </w:pPr>
          </w:p>
          <w:p>
            <w:pPr>
              <w:pStyle w:val="TableParagraph"/>
              <w:ind w:left="1294"/>
              <w:rPr>
                <w:b/>
                <w:sz w:val="18"/>
              </w:rPr>
            </w:pPr>
            <w:r>
              <w:rPr>
                <w:b/>
                <w:sz w:val="18"/>
              </w:rPr>
              <w:t>Parent</w:t>
            </w:r>
          </w:p>
        </w:tc>
        <w:tc>
          <w:tcPr>
            <w:tcW w:w="1295" w:type="dxa"/>
            <w:gridSpan w:val="2"/>
          </w:tcPr>
          <w:p>
            <w:pPr/>
          </w:p>
        </w:tc>
      </w:tr>
      <w:tr>
        <w:trPr>
          <w:trHeight w:val="274" w:hRule="exact"/>
        </w:trPr>
        <w:tc>
          <w:tcPr>
            <w:tcW w:w="418" w:type="dxa"/>
          </w:tcPr>
          <w:p>
            <w:pPr/>
          </w:p>
        </w:tc>
        <w:tc>
          <w:tcPr>
            <w:tcW w:w="4002" w:type="dxa"/>
          </w:tcPr>
          <w:p>
            <w:pPr/>
          </w:p>
        </w:tc>
        <w:tc>
          <w:tcPr>
            <w:tcW w:w="758" w:type="dxa"/>
          </w:tcPr>
          <w:p>
            <w:pPr>
              <w:pStyle w:val="TableParagraph"/>
              <w:spacing w:before="24"/>
              <w:ind w:right="151"/>
              <w:jc w:val="right"/>
              <w:rPr>
                <w:b/>
                <w:sz w:val="18"/>
              </w:rPr>
            </w:pPr>
            <w:r>
              <w:rPr>
                <w:b/>
                <w:w w:val="95"/>
                <w:sz w:val="18"/>
              </w:rPr>
              <w:t>2012</w:t>
            </w:r>
          </w:p>
        </w:tc>
        <w:tc>
          <w:tcPr>
            <w:tcW w:w="712" w:type="dxa"/>
          </w:tcPr>
          <w:p>
            <w:pPr/>
          </w:p>
        </w:tc>
        <w:tc>
          <w:tcPr>
            <w:tcW w:w="570" w:type="dxa"/>
          </w:tcPr>
          <w:p>
            <w:pPr>
              <w:pStyle w:val="TableParagraph"/>
              <w:spacing w:before="24"/>
              <w:ind w:left="31"/>
              <w:rPr>
                <w:b/>
                <w:sz w:val="18"/>
              </w:rPr>
            </w:pPr>
            <w:r>
              <w:rPr>
                <w:b/>
                <w:sz w:val="18"/>
              </w:rPr>
              <w:t>2011</w:t>
            </w:r>
          </w:p>
        </w:tc>
        <w:tc>
          <w:tcPr>
            <w:tcW w:w="812" w:type="dxa"/>
          </w:tcPr>
          <w:p>
            <w:pPr/>
          </w:p>
        </w:tc>
        <w:tc>
          <w:tcPr>
            <w:tcW w:w="669" w:type="dxa"/>
          </w:tcPr>
          <w:p>
            <w:pPr>
              <w:pStyle w:val="TableParagraph"/>
              <w:spacing w:before="24"/>
              <w:ind w:right="151"/>
              <w:jc w:val="right"/>
              <w:rPr>
                <w:b/>
                <w:sz w:val="18"/>
              </w:rPr>
            </w:pPr>
            <w:r>
              <w:rPr>
                <w:b/>
                <w:w w:val="95"/>
                <w:sz w:val="18"/>
              </w:rPr>
              <w:t>2012</w:t>
            </w:r>
          </w:p>
        </w:tc>
        <w:tc>
          <w:tcPr>
            <w:tcW w:w="712" w:type="dxa"/>
          </w:tcPr>
          <w:p>
            <w:pPr/>
          </w:p>
        </w:tc>
        <w:tc>
          <w:tcPr>
            <w:tcW w:w="570" w:type="dxa"/>
          </w:tcPr>
          <w:p>
            <w:pPr>
              <w:pStyle w:val="TableParagraph"/>
              <w:spacing w:before="24"/>
              <w:ind w:left="2" w:right="107"/>
              <w:jc w:val="center"/>
              <w:rPr>
                <w:b/>
                <w:sz w:val="18"/>
              </w:rPr>
            </w:pPr>
            <w:r>
              <w:rPr>
                <w:b/>
                <w:sz w:val="18"/>
              </w:rPr>
              <w:t>2011</w:t>
            </w:r>
          </w:p>
        </w:tc>
        <w:tc>
          <w:tcPr>
            <w:tcW w:w="725" w:type="dxa"/>
          </w:tcPr>
          <w:p>
            <w:pPr/>
          </w:p>
        </w:tc>
      </w:tr>
      <w:tr>
        <w:trPr>
          <w:trHeight w:val="271" w:hRule="exact"/>
        </w:trPr>
        <w:tc>
          <w:tcPr>
            <w:tcW w:w="418" w:type="dxa"/>
          </w:tcPr>
          <w:p>
            <w:pPr/>
          </w:p>
        </w:tc>
        <w:tc>
          <w:tcPr>
            <w:tcW w:w="4002" w:type="dxa"/>
          </w:tcPr>
          <w:p>
            <w:pPr/>
          </w:p>
        </w:tc>
        <w:tc>
          <w:tcPr>
            <w:tcW w:w="758" w:type="dxa"/>
          </w:tcPr>
          <w:p>
            <w:pPr>
              <w:pStyle w:val="TableParagraph"/>
              <w:spacing w:before="24"/>
              <w:ind w:right="108"/>
              <w:jc w:val="right"/>
              <w:rPr>
                <w:b/>
                <w:sz w:val="18"/>
              </w:rPr>
            </w:pPr>
            <w:r>
              <w:rPr>
                <w:b/>
                <w:w w:val="95"/>
                <w:sz w:val="18"/>
              </w:rPr>
              <w:t>$'000</w:t>
            </w:r>
          </w:p>
        </w:tc>
        <w:tc>
          <w:tcPr>
            <w:tcW w:w="712" w:type="dxa"/>
          </w:tcPr>
          <w:p>
            <w:pPr/>
          </w:p>
        </w:tc>
        <w:tc>
          <w:tcPr>
            <w:tcW w:w="570" w:type="dxa"/>
          </w:tcPr>
          <w:p>
            <w:pPr>
              <w:pStyle w:val="TableParagraph"/>
              <w:spacing w:before="24"/>
              <w:ind w:left="31"/>
              <w:rPr>
                <w:b/>
                <w:sz w:val="18"/>
              </w:rPr>
            </w:pPr>
            <w:r>
              <w:rPr>
                <w:b/>
                <w:sz w:val="18"/>
              </w:rPr>
              <w:t>$'000</w:t>
            </w:r>
          </w:p>
        </w:tc>
        <w:tc>
          <w:tcPr>
            <w:tcW w:w="812" w:type="dxa"/>
          </w:tcPr>
          <w:p>
            <w:pPr/>
          </w:p>
        </w:tc>
        <w:tc>
          <w:tcPr>
            <w:tcW w:w="669" w:type="dxa"/>
          </w:tcPr>
          <w:p>
            <w:pPr>
              <w:pStyle w:val="TableParagraph"/>
              <w:spacing w:before="24"/>
              <w:ind w:right="108"/>
              <w:jc w:val="right"/>
              <w:rPr>
                <w:b/>
                <w:sz w:val="18"/>
              </w:rPr>
            </w:pPr>
            <w:r>
              <w:rPr>
                <w:b/>
                <w:w w:val="95"/>
                <w:sz w:val="18"/>
              </w:rPr>
              <w:t>$'000</w:t>
            </w:r>
          </w:p>
        </w:tc>
        <w:tc>
          <w:tcPr>
            <w:tcW w:w="712" w:type="dxa"/>
          </w:tcPr>
          <w:p>
            <w:pPr/>
          </w:p>
        </w:tc>
        <w:tc>
          <w:tcPr>
            <w:tcW w:w="570" w:type="dxa"/>
          </w:tcPr>
          <w:p>
            <w:pPr>
              <w:pStyle w:val="TableParagraph"/>
              <w:spacing w:before="24"/>
              <w:ind w:left="2" w:right="64"/>
              <w:jc w:val="center"/>
              <w:rPr>
                <w:b/>
                <w:sz w:val="18"/>
              </w:rPr>
            </w:pPr>
            <w:r>
              <w:rPr>
                <w:b/>
                <w:sz w:val="18"/>
              </w:rPr>
              <w:t>$'000</w:t>
            </w:r>
          </w:p>
        </w:tc>
        <w:tc>
          <w:tcPr>
            <w:tcW w:w="725" w:type="dxa"/>
          </w:tcPr>
          <w:p>
            <w:pPr/>
          </w:p>
        </w:tc>
      </w:tr>
      <w:tr>
        <w:trPr>
          <w:trHeight w:val="265" w:hRule="exact"/>
        </w:trPr>
        <w:tc>
          <w:tcPr>
            <w:tcW w:w="418" w:type="dxa"/>
          </w:tcPr>
          <w:p>
            <w:pPr/>
          </w:p>
        </w:tc>
        <w:tc>
          <w:tcPr>
            <w:tcW w:w="4002" w:type="dxa"/>
          </w:tcPr>
          <w:p>
            <w:pPr>
              <w:pStyle w:val="TableParagraph"/>
              <w:spacing w:before="22"/>
              <w:ind w:left="47" w:right="731"/>
              <w:rPr>
                <w:sz w:val="18"/>
              </w:rPr>
            </w:pPr>
            <w:r>
              <w:rPr>
                <w:sz w:val="18"/>
              </w:rPr>
              <w:t>Royalty and intellectual property</w:t>
            </w:r>
          </w:p>
        </w:tc>
        <w:tc>
          <w:tcPr>
            <w:tcW w:w="758" w:type="dxa"/>
            <w:tcBorders>
              <w:bottom w:val="single" w:sz="0" w:space="0" w:color="000000"/>
            </w:tcBorders>
          </w:tcPr>
          <w:p>
            <w:pPr/>
          </w:p>
        </w:tc>
        <w:tc>
          <w:tcPr>
            <w:tcW w:w="712" w:type="dxa"/>
            <w:tcBorders>
              <w:bottom w:val="single" w:sz="0" w:space="0" w:color="000000"/>
            </w:tcBorders>
          </w:tcPr>
          <w:p>
            <w:pPr>
              <w:pStyle w:val="TableParagraph"/>
              <w:spacing w:before="21"/>
              <w:ind w:right="92"/>
              <w:jc w:val="right"/>
              <w:rPr>
                <w:b/>
                <w:sz w:val="18"/>
              </w:rPr>
            </w:pPr>
            <w:r>
              <w:rPr>
                <w:b/>
                <w:w w:val="95"/>
                <w:sz w:val="18"/>
              </w:rPr>
              <w:t>185</w:t>
            </w:r>
          </w:p>
        </w:tc>
        <w:tc>
          <w:tcPr>
            <w:tcW w:w="570" w:type="dxa"/>
            <w:tcBorders>
              <w:bottom w:val="single" w:sz="0" w:space="0" w:color="000000"/>
            </w:tcBorders>
          </w:tcPr>
          <w:p>
            <w:pPr/>
          </w:p>
        </w:tc>
        <w:tc>
          <w:tcPr>
            <w:tcW w:w="812" w:type="dxa"/>
            <w:tcBorders>
              <w:bottom w:val="single" w:sz="0" w:space="0" w:color="000000"/>
            </w:tcBorders>
          </w:tcPr>
          <w:p>
            <w:pPr>
              <w:pStyle w:val="TableParagraph"/>
              <w:spacing w:before="21"/>
              <w:ind w:right="177"/>
              <w:jc w:val="right"/>
              <w:rPr>
                <w:sz w:val="18"/>
              </w:rPr>
            </w:pPr>
            <w:r>
              <w:rPr>
                <w:w w:val="95"/>
                <w:sz w:val="18"/>
              </w:rPr>
              <w:t>237</w:t>
            </w:r>
          </w:p>
        </w:tc>
        <w:tc>
          <w:tcPr>
            <w:tcW w:w="669" w:type="dxa"/>
            <w:tcBorders>
              <w:bottom w:val="single" w:sz="0" w:space="0" w:color="000000"/>
            </w:tcBorders>
          </w:tcPr>
          <w:p>
            <w:pPr/>
          </w:p>
        </w:tc>
        <w:tc>
          <w:tcPr>
            <w:tcW w:w="712" w:type="dxa"/>
            <w:tcBorders>
              <w:bottom w:val="single" w:sz="0" w:space="0" w:color="000000"/>
            </w:tcBorders>
          </w:tcPr>
          <w:p>
            <w:pPr>
              <w:pStyle w:val="TableParagraph"/>
              <w:spacing w:before="21"/>
              <w:ind w:right="92"/>
              <w:jc w:val="right"/>
              <w:rPr>
                <w:b/>
                <w:sz w:val="18"/>
              </w:rPr>
            </w:pPr>
            <w:r>
              <w:rPr>
                <w:b/>
                <w:w w:val="95"/>
                <w:sz w:val="18"/>
              </w:rPr>
              <w:t>185</w:t>
            </w:r>
          </w:p>
        </w:tc>
        <w:tc>
          <w:tcPr>
            <w:tcW w:w="570" w:type="dxa"/>
            <w:tcBorders>
              <w:bottom w:val="single" w:sz="0" w:space="0" w:color="000000"/>
            </w:tcBorders>
          </w:tcPr>
          <w:p>
            <w:pPr/>
          </w:p>
        </w:tc>
        <w:tc>
          <w:tcPr>
            <w:tcW w:w="725" w:type="dxa"/>
            <w:tcBorders>
              <w:bottom w:val="single" w:sz="0" w:space="0" w:color="000000"/>
            </w:tcBorders>
          </w:tcPr>
          <w:p>
            <w:pPr>
              <w:pStyle w:val="TableParagraph"/>
              <w:spacing w:before="21"/>
              <w:ind w:right="89"/>
              <w:jc w:val="right"/>
              <w:rPr>
                <w:sz w:val="18"/>
              </w:rPr>
            </w:pPr>
            <w:r>
              <w:rPr>
                <w:w w:val="95"/>
                <w:sz w:val="18"/>
              </w:rPr>
              <w:t>236</w:t>
            </w:r>
          </w:p>
        </w:tc>
      </w:tr>
      <w:tr>
        <w:trPr>
          <w:trHeight w:val="560" w:hRule="exact"/>
        </w:trPr>
        <w:tc>
          <w:tcPr>
            <w:tcW w:w="418" w:type="dxa"/>
          </w:tcPr>
          <w:p>
            <w:pPr/>
          </w:p>
        </w:tc>
        <w:tc>
          <w:tcPr>
            <w:tcW w:w="4002" w:type="dxa"/>
          </w:tcPr>
          <w:p>
            <w:pPr>
              <w:pStyle w:val="TableParagraph"/>
              <w:spacing w:before="123"/>
              <w:ind w:left="46" w:right="1275"/>
              <w:rPr>
                <w:b/>
                <w:sz w:val="18"/>
              </w:rPr>
            </w:pPr>
            <w:r>
              <w:rPr>
                <w:b/>
                <w:sz w:val="18"/>
              </w:rPr>
              <w:t>Total royalties, trademarks and licences</w:t>
            </w:r>
          </w:p>
        </w:tc>
        <w:tc>
          <w:tcPr>
            <w:tcW w:w="758" w:type="dxa"/>
            <w:tcBorders>
              <w:top w:val="single" w:sz="0" w:space="0" w:color="000000"/>
              <w:bottom w:val="single" w:sz="0" w:space="0" w:color="000000"/>
            </w:tcBorders>
          </w:tcPr>
          <w:p>
            <w:pPr/>
          </w:p>
        </w:tc>
        <w:tc>
          <w:tcPr>
            <w:tcW w:w="712" w:type="dxa"/>
            <w:tcBorders>
              <w:top w:val="single" w:sz="0" w:space="0" w:color="000000"/>
              <w:bottom w:val="single" w:sz="0" w:space="0" w:color="000000"/>
            </w:tcBorders>
          </w:tcPr>
          <w:p>
            <w:pPr>
              <w:pStyle w:val="TableParagraph"/>
              <w:rPr>
                <w:sz w:val="18"/>
              </w:rPr>
            </w:pPr>
          </w:p>
          <w:p>
            <w:pPr>
              <w:pStyle w:val="TableParagraph"/>
              <w:spacing w:before="122"/>
              <w:ind w:right="92"/>
              <w:jc w:val="right"/>
              <w:rPr>
                <w:b/>
                <w:sz w:val="18"/>
              </w:rPr>
            </w:pPr>
            <w:r>
              <w:rPr>
                <w:b/>
                <w:w w:val="95"/>
                <w:sz w:val="18"/>
              </w:rPr>
              <w:t>185</w:t>
            </w:r>
          </w:p>
        </w:tc>
        <w:tc>
          <w:tcPr>
            <w:tcW w:w="570" w:type="dxa"/>
            <w:tcBorders>
              <w:top w:val="single" w:sz="0" w:space="0" w:color="000000"/>
              <w:bottom w:val="single" w:sz="0" w:space="0" w:color="000000"/>
            </w:tcBorders>
          </w:tcPr>
          <w:p>
            <w:pPr/>
          </w:p>
        </w:tc>
        <w:tc>
          <w:tcPr>
            <w:tcW w:w="812" w:type="dxa"/>
            <w:tcBorders>
              <w:top w:val="single" w:sz="0" w:space="0" w:color="000000"/>
              <w:bottom w:val="single" w:sz="0" w:space="0" w:color="000000"/>
            </w:tcBorders>
          </w:tcPr>
          <w:p>
            <w:pPr>
              <w:pStyle w:val="TableParagraph"/>
              <w:rPr>
                <w:sz w:val="18"/>
              </w:rPr>
            </w:pPr>
          </w:p>
          <w:p>
            <w:pPr>
              <w:pStyle w:val="TableParagraph"/>
              <w:spacing w:before="122"/>
              <w:ind w:right="179"/>
              <w:jc w:val="right"/>
              <w:rPr>
                <w:sz w:val="18"/>
              </w:rPr>
            </w:pPr>
            <w:r>
              <w:rPr>
                <w:w w:val="95"/>
                <w:sz w:val="18"/>
              </w:rPr>
              <w:t>237</w:t>
            </w:r>
          </w:p>
        </w:tc>
        <w:tc>
          <w:tcPr>
            <w:tcW w:w="669" w:type="dxa"/>
            <w:tcBorders>
              <w:top w:val="single" w:sz="0" w:space="0" w:color="000000"/>
              <w:bottom w:val="single" w:sz="0" w:space="0" w:color="000000"/>
            </w:tcBorders>
          </w:tcPr>
          <w:p>
            <w:pPr/>
          </w:p>
        </w:tc>
        <w:tc>
          <w:tcPr>
            <w:tcW w:w="712" w:type="dxa"/>
            <w:tcBorders>
              <w:top w:val="single" w:sz="0" w:space="0" w:color="000000"/>
              <w:bottom w:val="single" w:sz="0" w:space="0" w:color="000000"/>
            </w:tcBorders>
          </w:tcPr>
          <w:p>
            <w:pPr>
              <w:pStyle w:val="TableParagraph"/>
              <w:rPr>
                <w:sz w:val="18"/>
              </w:rPr>
            </w:pPr>
          </w:p>
          <w:p>
            <w:pPr>
              <w:pStyle w:val="TableParagraph"/>
              <w:spacing w:before="122"/>
              <w:ind w:right="92"/>
              <w:jc w:val="right"/>
              <w:rPr>
                <w:b/>
                <w:sz w:val="18"/>
              </w:rPr>
            </w:pPr>
            <w:r>
              <w:rPr>
                <w:b/>
                <w:w w:val="95"/>
                <w:sz w:val="18"/>
              </w:rPr>
              <w:t>185</w:t>
            </w:r>
          </w:p>
        </w:tc>
        <w:tc>
          <w:tcPr>
            <w:tcW w:w="570" w:type="dxa"/>
            <w:tcBorders>
              <w:top w:val="single" w:sz="0" w:space="0" w:color="000000"/>
              <w:bottom w:val="single" w:sz="0" w:space="0" w:color="000000"/>
            </w:tcBorders>
          </w:tcPr>
          <w:p>
            <w:pPr/>
          </w:p>
        </w:tc>
        <w:tc>
          <w:tcPr>
            <w:tcW w:w="725" w:type="dxa"/>
            <w:tcBorders>
              <w:top w:val="single" w:sz="0" w:space="0" w:color="000000"/>
              <w:bottom w:val="single" w:sz="0" w:space="0" w:color="000000"/>
            </w:tcBorders>
          </w:tcPr>
          <w:p>
            <w:pPr>
              <w:pStyle w:val="TableParagraph"/>
              <w:rPr>
                <w:sz w:val="18"/>
              </w:rPr>
            </w:pPr>
          </w:p>
          <w:p>
            <w:pPr>
              <w:pStyle w:val="TableParagraph"/>
              <w:spacing w:before="122"/>
              <w:ind w:right="90"/>
              <w:jc w:val="right"/>
              <w:rPr>
                <w:sz w:val="18"/>
              </w:rPr>
            </w:pPr>
            <w:r>
              <w:rPr>
                <w:w w:val="95"/>
                <w:sz w:val="18"/>
              </w:rPr>
              <w:t>236</w:t>
            </w:r>
          </w:p>
        </w:tc>
      </w:tr>
      <w:tr>
        <w:trPr>
          <w:trHeight w:val="517" w:hRule="exact"/>
        </w:trPr>
        <w:tc>
          <w:tcPr>
            <w:tcW w:w="418" w:type="dxa"/>
          </w:tcPr>
          <w:p>
            <w:pPr>
              <w:pStyle w:val="TableParagraph"/>
              <w:rPr>
                <w:sz w:val="18"/>
              </w:rPr>
            </w:pPr>
          </w:p>
          <w:p>
            <w:pPr>
              <w:pStyle w:val="TableParagraph"/>
              <w:spacing w:before="106"/>
              <w:ind w:left="35"/>
              <w:rPr>
                <w:b/>
                <w:sz w:val="18"/>
              </w:rPr>
            </w:pPr>
            <w:r>
              <w:rPr>
                <w:b/>
                <w:w w:val="99"/>
                <w:sz w:val="18"/>
              </w:rPr>
              <w:t>7</w:t>
            </w:r>
          </w:p>
        </w:tc>
        <w:tc>
          <w:tcPr>
            <w:tcW w:w="4002" w:type="dxa"/>
          </w:tcPr>
          <w:p>
            <w:pPr>
              <w:pStyle w:val="TableParagraph"/>
              <w:rPr>
                <w:sz w:val="18"/>
              </w:rPr>
            </w:pPr>
          </w:p>
          <w:p>
            <w:pPr>
              <w:pStyle w:val="TableParagraph"/>
              <w:spacing w:before="106"/>
              <w:ind w:left="13" w:right="731"/>
              <w:rPr>
                <w:b/>
                <w:sz w:val="18"/>
              </w:rPr>
            </w:pPr>
            <w:r>
              <w:rPr>
                <w:b/>
                <w:sz w:val="18"/>
              </w:rPr>
              <w:t>Consultancy and contracts</w:t>
            </w:r>
          </w:p>
        </w:tc>
        <w:tc>
          <w:tcPr>
            <w:tcW w:w="758" w:type="dxa"/>
            <w:tcBorders>
              <w:top w:val="single" w:sz="0" w:space="0" w:color="000000"/>
            </w:tcBorders>
          </w:tcPr>
          <w:p>
            <w:pPr/>
          </w:p>
        </w:tc>
        <w:tc>
          <w:tcPr>
            <w:tcW w:w="712" w:type="dxa"/>
            <w:tcBorders>
              <w:top w:val="single" w:sz="0" w:space="0" w:color="000000"/>
            </w:tcBorders>
          </w:tcPr>
          <w:p>
            <w:pPr/>
          </w:p>
        </w:tc>
        <w:tc>
          <w:tcPr>
            <w:tcW w:w="570" w:type="dxa"/>
            <w:tcBorders>
              <w:top w:val="single" w:sz="0" w:space="0" w:color="000000"/>
            </w:tcBorders>
          </w:tcPr>
          <w:p>
            <w:pPr/>
          </w:p>
        </w:tc>
        <w:tc>
          <w:tcPr>
            <w:tcW w:w="812" w:type="dxa"/>
            <w:tcBorders>
              <w:top w:val="single" w:sz="0" w:space="0" w:color="000000"/>
            </w:tcBorders>
          </w:tcPr>
          <w:p>
            <w:pPr/>
          </w:p>
        </w:tc>
        <w:tc>
          <w:tcPr>
            <w:tcW w:w="669" w:type="dxa"/>
            <w:tcBorders>
              <w:top w:val="single" w:sz="0" w:space="0" w:color="000000"/>
            </w:tcBorders>
          </w:tcPr>
          <w:p>
            <w:pPr/>
          </w:p>
        </w:tc>
        <w:tc>
          <w:tcPr>
            <w:tcW w:w="712" w:type="dxa"/>
            <w:tcBorders>
              <w:top w:val="single" w:sz="0" w:space="0" w:color="000000"/>
            </w:tcBorders>
          </w:tcPr>
          <w:p>
            <w:pPr/>
          </w:p>
        </w:tc>
        <w:tc>
          <w:tcPr>
            <w:tcW w:w="570" w:type="dxa"/>
            <w:tcBorders>
              <w:top w:val="single" w:sz="0" w:space="0" w:color="000000"/>
            </w:tcBorders>
          </w:tcPr>
          <w:p>
            <w:pPr/>
          </w:p>
        </w:tc>
        <w:tc>
          <w:tcPr>
            <w:tcW w:w="725" w:type="dxa"/>
            <w:tcBorders>
              <w:top w:val="single" w:sz="0" w:space="0" w:color="000000"/>
            </w:tcBorders>
          </w:tcPr>
          <w:p>
            <w:pPr/>
          </w:p>
        </w:tc>
      </w:tr>
      <w:tr>
        <w:trPr>
          <w:trHeight w:val="287" w:hRule="exact"/>
        </w:trPr>
        <w:tc>
          <w:tcPr>
            <w:tcW w:w="9948" w:type="dxa"/>
            <w:gridSpan w:val="10"/>
          </w:tcPr>
          <w:p>
            <w:pPr>
              <w:pStyle w:val="TableParagraph"/>
              <w:tabs>
                <w:tab w:pos="7227" w:val="left" w:leader="none"/>
              </w:tabs>
              <w:spacing w:before="37"/>
              <w:ind w:left="4491"/>
              <w:rPr>
                <w:b/>
                <w:sz w:val="18"/>
              </w:rPr>
            </w:pPr>
            <w:r>
              <w:rPr>
                <w:b/>
                <w:sz w:val="18"/>
              </w:rPr>
              <w:t>Consolidated</w:t>
              <w:tab/>
              <w:t>Parent</w:t>
            </w:r>
          </w:p>
        </w:tc>
      </w:tr>
      <w:tr>
        <w:trPr>
          <w:trHeight w:val="274" w:hRule="exact"/>
        </w:trPr>
        <w:tc>
          <w:tcPr>
            <w:tcW w:w="4420" w:type="dxa"/>
            <w:gridSpan w:val="2"/>
          </w:tcPr>
          <w:p>
            <w:pPr/>
          </w:p>
        </w:tc>
        <w:tc>
          <w:tcPr>
            <w:tcW w:w="758" w:type="dxa"/>
          </w:tcPr>
          <w:p>
            <w:pPr>
              <w:pStyle w:val="TableParagraph"/>
              <w:spacing w:before="24"/>
              <w:ind w:right="113"/>
              <w:jc w:val="right"/>
              <w:rPr>
                <w:b/>
                <w:sz w:val="18"/>
              </w:rPr>
            </w:pPr>
            <w:r>
              <w:rPr>
                <w:b/>
                <w:w w:val="95"/>
                <w:sz w:val="18"/>
              </w:rPr>
              <w:t>2012</w:t>
            </w:r>
          </w:p>
        </w:tc>
        <w:tc>
          <w:tcPr>
            <w:tcW w:w="712" w:type="dxa"/>
          </w:tcPr>
          <w:p>
            <w:pPr/>
          </w:p>
        </w:tc>
        <w:tc>
          <w:tcPr>
            <w:tcW w:w="570" w:type="dxa"/>
          </w:tcPr>
          <w:p>
            <w:pPr>
              <w:pStyle w:val="TableParagraph"/>
              <w:spacing w:before="24"/>
              <w:ind w:left="40"/>
              <w:rPr>
                <w:b/>
                <w:sz w:val="18"/>
              </w:rPr>
            </w:pPr>
            <w:r>
              <w:rPr>
                <w:b/>
                <w:sz w:val="18"/>
              </w:rPr>
              <w:t>2011</w:t>
            </w:r>
          </w:p>
        </w:tc>
        <w:tc>
          <w:tcPr>
            <w:tcW w:w="812" w:type="dxa"/>
          </w:tcPr>
          <w:p>
            <w:pPr/>
          </w:p>
        </w:tc>
        <w:tc>
          <w:tcPr>
            <w:tcW w:w="669" w:type="dxa"/>
          </w:tcPr>
          <w:p>
            <w:pPr>
              <w:pStyle w:val="TableParagraph"/>
              <w:spacing w:before="24"/>
              <w:ind w:right="113"/>
              <w:jc w:val="right"/>
              <w:rPr>
                <w:b/>
                <w:sz w:val="18"/>
              </w:rPr>
            </w:pPr>
            <w:r>
              <w:rPr>
                <w:b/>
                <w:w w:val="95"/>
                <w:sz w:val="18"/>
              </w:rPr>
              <w:t>2012</w:t>
            </w:r>
          </w:p>
        </w:tc>
        <w:tc>
          <w:tcPr>
            <w:tcW w:w="712" w:type="dxa"/>
          </w:tcPr>
          <w:p>
            <w:pPr/>
          </w:p>
        </w:tc>
        <w:tc>
          <w:tcPr>
            <w:tcW w:w="570" w:type="dxa"/>
          </w:tcPr>
          <w:p>
            <w:pPr>
              <w:pStyle w:val="TableParagraph"/>
              <w:spacing w:before="24"/>
              <w:ind w:left="12" w:right="98"/>
              <w:jc w:val="center"/>
              <w:rPr>
                <w:b/>
                <w:sz w:val="18"/>
              </w:rPr>
            </w:pPr>
            <w:r>
              <w:rPr>
                <w:b/>
                <w:sz w:val="18"/>
              </w:rPr>
              <w:t>2011</w:t>
            </w:r>
          </w:p>
        </w:tc>
        <w:tc>
          <w:tcPr>
            <w:tcW w:w="725" w:type="dxa"/>
          </w:tcPr>
          <w:p>
            <w:pPr/>
          </w:p>
        </w:tc>
      </w:tr>
      <w:tr>
        <w:trPr>
          <w:trHeight w:val="271" w:hRule="exact"/>
        </w:trPr>
        <w:tc>
          <w:tcPr>
            <w:tcW w:w="4420" w:type="dxa"/>
            <w:gridSpan w:val="2"/>
          </w:tcPr>
          <w:p>
            <w:pPr/>
          </w:p>
        </w:tc>
        <w:tc>
          <w:tcPr>
            <w:tcW w:w="758" w:type="dxa"/>
          </w:tcPr>
          <w:p>
            <w:pPr>
              <w:pStyle w:val="TableParagraph"/>
              <w:spacing w:before="24"/>
              <w:ind w:right="70"/>
              <w:jc w:val="right"/>
              <w:rPr>
                <w:b/>
                <w:sz w:val="18"/>
              </w:rPr>
            </w:pPr>
            <w:r>
              <w:rPr>
                <w:b/>
                <w:w w:val="95"/>
                <w:sz w:val="18"/>
              </w:rPr>
              <w:t>$'000</w:t>
            </w:r>
          </w:p>
        </w:tc>
        <w:tc>
          <w:tcPr>
            <w:tcW w:w="712" w:type="dxa"/>
          </w:tcPr>
          <w:p>
            <w:pPr/>
          </w:p>
        </w:tc>
        <w:tc>
          <w:tcPr>
            <w:tcW w:w="570" w:type="dxa"/>
          </w:tcPr>
          <w:p>
            <w:pPr>
              <w:pStyle w:val="TableParagraph"/>
              <w:spacing w:before="24"/>
              <w:ind w:left="40"/>
              <w:rPr>
                <w:b/>
                <w:sz w:val="18"/>
              </w:rPr>
            </w:pPr>
            <w:r>
              <w:rPr>
                <w:b/>
                <w:sz w:val="18"/>
              </w:rPr>
              <w:t>$'000</w:t>
            </w:r>
          </w:p>
        </w:tc>
        <w:tc>
          <w:tcPr>
            <w:tcW w:w="812" w:type="dxa"/>
          </w:tcPr>
          <w:p>
            <w:pPr/>
          </w:p>
        </w:tc>
        <w:tc>
          <w:tcPr>
            <w:tcW w:w="669" w:type="dxa"/>
          </w:tcPr>
          <w:p>
            <w:pPr>
              <w:pStyle w:val="TableParagraph"/>
              <w:spacing w:before="24"/>
              <w:ind w:right="70"/>
              <w:jc w:val="right"/>
              <w:rPr>
                <w:b/>
                <w:sz w:val="18"/>
              </w:rPr>
            </w:pPr>
            <w:r>
              <w:rPr>
                <w:b/>
                <w:w w:val="95"/>
                <w:sz w:val="18"/>
              </w:rPr>
              <w:t>$'000</w:t>
            </w:r>
          </w:p>
        </w:tc>
        <w:tc>
          <w:tcPr>
            <w:tcW w:w="712" w:type="dxa"/>
          </w:tcPr>
          <w:p>
            <w:pPr/>
          </w:p>
        </w:tc>
        <w:tc>
          <w:tcPr>
            <w:tcW w:w="570" w:type="dxa"/>
          </w:tcPr>
          <w:p>
            <w:pPr>
              <w:pStyle w:val="TableParagraph"/>
              <w:spacing w:before="24"/>
              <w:ind w:left="12" w:right="55"/>
              <w:jc w:val="center"/>
              <w:rPr>
                <w:b/>
                <w:sz w:val="18"/>
              </w:rPr>
            </w:pPr>
            <w:r>
              <w:rPr>
                <w:b/>
                <w:sz w:val="18"/>
              </w:rPr>
              <w:t>$'000</w:t>
            </w:r>
          </w:p>
        </w:tc>
        <w:tc>
          <w:tcPr>
            <w:tcW w:w="725" w:type="dxa"/>
          </w:tcPr>
          <w:p>
            <w:pPr/>
          </w:p>
        </w:tc>
      </w:tr>
      <w:tr>
        <w:trPr>
          <w:trHeight w:val="267" w:hRule="exact"/>
        </w:trPr>
        <w:tc>
          <w:tcPr>
            <w:tcW w:w="4420" w:type="dxa"/>
            <w:gridSpan w:val="2"/>
          </w:tcPr>
          <w:p>
            <w:pPr>
              <w:pStyle w:val="TableParagraph"/>
              <w:spacing w:before="22"/>
              <w:ind w:left="474"/>
              <w:rPr>
                <w:sz w:val="18"/>
              </w:rPr>
            </w:pPr>
            <w:r>
              <w:rPr>
                <w:sz w:val="18"/>
              </w:rPr>
              <w:t>Consultancy</w:t>
            </w:r>
          </w:p>
        </w:tc>
        <w:tc>
          <w:tcPr>
            <w:tcW w:w="758" w:type="dxa"/>
          </w:tcPr>
          <w:p>
            <w:pPr/>
          </w:p>
        </w:tc>
        <w:tc>
          <w:tcPr>
            <w:tcW w:w="712" w:type="dxa"/>
          </w:tcPr>
          <w:p>
            <w:pPr>
              <w:pStyle w:val="TableParagraph"/>
              <w:spacing w:before="21"/>
              <w:ind w:right="87"/>
              <w:jc w:val="right"/>
              <w:rPr>
                <w:b/>
                <w:sz w:val="18"/>
              </w:rPr>
            </w:pPr>
            <w:r>
              <w:rPr>
                <w:b/>
                <w:w w:val="95"/>
                <w:sz w:val="18"/>
              </w:rPr>
              <w:t>2,934</w:t>
            </w:r>
          </w:p>
        </w:tc>
        <w:tc>
          <w:tcPr>
            <w:tcW w:w="570" w:type="dxa"/>
          </w:tcPr>
          <w:p>
            <w:pPr/>
          </w:p>
        </w:tc>
        <w:tc>
          <w:tcPr>
            <w:tcW w:w="812" w:type="dxa"/>
          </w:tcPr>
          <w:p>
            <w:pPr>
              <w:pStyle w:val="TableParagraph"/>
              <w:spacing w:before="21"/>
              <w:ind w:right="174"/>
              <w:jc w:val="right"/>
              <w:rPr>
                <w:sz w:val="18"/>
              </w:rPr>
            </w:pPr>
            <w:r>
              <w:rPr>
                <w:w w:val="95"/>
                <w:sz w:val="18"/>
              </w:rPr>
              <w:t>2,768</w:t>
            </w:r>
          </w:p>
        </w:tc>
        <w:tc>
          <w:tcPr>
            <w:tcW w:w="669" w:type="dxa"/>
          </w:tcPr>
          <w:p>
            <w:pPr/>
          </w:p>
        </w:tc>
        <w:tc>
          <w:tcPr>
            <w:tcW w:w="712" w:type="dxa"/>
          </w:tcPr>
          <w:p>
            <w:pPr>
              <w:pStyle w:val="TableParagraph"/>
              <w:spacing w:before="21"/>
              <w:ind w:right="87"/>
              <w:jc w:val="right"/>
              <w:rPr>
                <w:b/>
                <w:sz w:val="18"/>
              </w:rPr>
            </w:pPr>
            <w:r>
              <w:rPr>
                <w:b/>
                <w:w w:val="95"/>
                <w:sz w:val="18"/>
              </w:rPr>
              <w:t>2,906</w:t>
            </w:r>
          </w:p>
        </w:tc>
        <w:tc>
          <w:tcPr>
            <w:tcW w:w="570" w:type="dxa"/>
          </w:tcPr>
          <w:p>
            <w:pPr/>
          </w:p>
        </w:tc>
        <w:tc>
          <w:tcPr>
            <w:tcW w:w="725" w:type="dxa"/>
          </w:tcPr>
          <w:p>
            <w:pPr>
              <w:pStyle w:val="TableParagraph"/>
              <w:spacing w:before="21"/>
              <w:ind w:right="86"/>
              <w:jc w:val="right"/>
              <w:rPr>
                <w:sz w:val="18"/>
              </w:rPr>
            </w:pPr>
            <w:r>
              <w:rPr>
                <w:w w:val="95"/>
                <w:sz w:val="18"/>
              </w:rPr>
              <w:t>2,740</w:t>
            </w:r>
          </w:p>
        </w:tc>
      </w:tr>
      <w:tr>
        <w:trPr>
          <w:trHeight w:val="262" w:hRule="exact"/>
        </w:trPr>
        <w:tc>
          <w:tcPr>
            <w:tcW w:w="4420" w:type="dxa"/>
            <w:gridSpan w:val="2"/>
          </w:tcPr>
          <w:p>
            <w:pPr>
              <w:pStyle w:val="TableParagraph"/>
              <w:spacing w:before="19"/>
              <w:ind w:left="474"/>
              <w:rPr>
                <w:sz w:val="18"/>
              </w:rPr>
            </w:pPr>
            <w:r>
              <w:rPr>
                <w:sz w:val="18"/>
              </w:rPr>
              <w:t>Contract research</w:t>
            </w:r>
          </w:p>
        </w:tc>
        <w:tc>
          <w:tcPr>
            <w:tcW w:w="758" w:type="dxa"/>
            <w:tcBorders>
              <w:bottom w:val="single" w:sz="0" w:space="0" w:color="000000"/>
            </w:tcBorders>
          </w:tcPr>
          <w:p>
            <w:pPr/>
          </w:p>
        </w:tc>
        <w:tc>
          <w:tcPr>
            <w:tcW w:w="712" w:type="dxa"/>
            <w:tcBorders>
              <w:bottom w:val="single" w:sz="0" w:space="0" w:color="000000"/>
            </w:tcBorders>
          </w:tcPr>
          <w:p>
            <w:pPr>
              <w:pStyle w:val="TableParagraph"/>
              <w:spacing w:before="18"/>
              <w:ind w:right="87"/>
              <w:jc w:val="right"/>
              <w:rPr>
                <w:b/>
                <w:sz w:val="18"/>
              </w:rPr>
            </w:pPr>
            <w:r>
              <w:rPr>
                <w:b/>
                <w:w w:val="95"/>
                <w:sz w:val="18"/>
              </w:rPr>
              <w:t>8,353</w:t>
            </w:r>
          </w:p>
        </w:tc>
        <w:tc>
          <w:tcPr>
            <w:tcW w:w="570" w:type="dxa"/>
            <w:tcBorders>
              <w:bottom w:val="single" w:sz="0" w:space="0" w:color="000000"/>
            </w:tcBorders>
          </w:tcPr>
          <w:p>
            <w:pPr/>
          </w:p>
        </w:tc>
        <w:tc>
          <w:tcPr>
            <w:tcW w:w="812" w:type="dxa"/>
            <w:tcBorders>
              <w:bottom w:val="single" w:sz="0" w:space="0" w:color="000000"/>
            </w:tcBorders>
          </w:tcPr>
          <w:p>
            <w:pPr>
              <w:pStyle w:val="TableParagraph"/>
              <w:spacing w:before="18"/>
              <w:ind w:right="174"/>
              <w:jc w:val="right"/>
              <w:rPr>
                <w:sz w:val="18"/>
              </w:rPr>
            </w:pPr>
            <w:r>
              <w:rPr>
                <w:w w:val="95"/>
                <w:sz w:val="18"/>
              </w:rPr>
              <w:t>7,718</w:t>
            </w:r>
          </w:p>
        </w:tc>
        <w:tc>
          <w:tcPr>
            <w:tcW w:w="669" w:type="dxa"/>
            <w:tcBorders>
              <w:bottom w:val="single" w:sz="0" w:space="0" w:color="000000"/>
            </w:tcBorders>
          </w:tcPr>
          <w:p>
            <w:pPr/>
          </w:p>
        </w:tc>
        <w:tc>
          <w:tcPr>
            <w:tcW w:w="712" w:type="dxa"/>
            <w:tcBorders>
              <w:bottom w:val="single" w:sz="0" w:space="0" w:color="000000"/>
            </w:tcBorders>
          </w:tcPr>
          <w:p>
            <w:pPr>
              <w:pStyle w:val="TableParagraph"/>
              <w:spacing w:before="18"/>
              <w:ind w:right="87"/>
              <w:jc w:val="right"/>
              <w:rPr>
                <w:b/>
                <w:sz w:val="18"/>
              </w:rPr>
            </w:pPr>
            <w:r>
              <w:rPr>
                <w:b/>
                <w:w w:val="95"/>
                <w:sz w:val="18"/>
              </w:rPr>
              <w:t>8,353</w:t>
            </w:r>
          </w:p>
        </w:tc>
        <w:tc>
          <w:tcPr>
            <w:tcW w:w="570" w:type="dxa"/>
            <w:tcBorders>
              <w:bottom w:val="single" w:sz="0" w:space="0" w:color="000000"/>
            </w:tcBorders>
          </w:tcPr>
          <w:p>
            <w:pPr/>
          </w:p>
        </w:tc>
        <w:tc>
          <w:tcPr>
            <w:tcW w:w="725" w:type="dxa"/>
            <w:tcBorders>
              <w:bottom w:val="single" w:sz="0" w:space="0" w:color="000000"/>
            </w:tcBorders>
          </w:tcPr>
          <w:p>
            <w:pPr>
              <w:pStyle w:val="TableParagraph"/>
              <w:spacing w:before="18"/>
              <w:ind w:right="86"/>
              <w:jc w:val="right"/>
              <w:rPr>
                <w:sz w:val="18"/>
              </w:rPr>
            </w:pPr>
            <w:r>
              <w:rPr>
                <w:w w:val="95"/>
                <w:sz w:val="18"/>
              </w:rPr>
              <w:t>7,718</w:t>
            </w:r>
          </w:p>
        </w:tc>
      </w:tr>
      <w:tr>
        <w:trPr>
          <w:trHeight w:val="353" w:hRule="exact"/>
        </w:trPr>
        <w:tc>
          <w:tcPr>
            <w:tcW w:w="4420" w:type="dxa"/>
            <w:gridSpan w:val="2"/>
          </w:tcPr>
          <w:p>
            <w:pPr>
              <w:pStyle w:val="TableParagraph"/>
              <w:spacing w:before="123"/>
              <w:ind w:left="474"/>
              <w:rPr>
                <w:b/>
                <w:sz w:val="18"/>
              </w:rPr>
            </w:pPr>
            <w:r>
              <w:rPr>
                <w:b/>
                <w:sz w:val="18"/>
              </w:rPr>
              <w:t>Total consultancy and contracts</w:t>
            </w:r>
          </w:p>
        </w:tc>
        <w:tc>
          <w:tcPr>
            <w:tcW w:w="758" w:type="dxa"/>
            <w:tcBorders>
              <w:top w:val="single" w:sz="0" w:space="0" w:color="000000"/>
              <w:bottom w:val="single" w:sz="0" w:space="0" w:color="000000"/>
            </w:tcBorders>
          </w:tcPr>
          <w:p>
            <w:pPr/>
          </w:p>
        </w:tc>
        <w:tc>
          <w:tcPr>
            <w:tcW w:w="712" w:type="dxa"/>
            <w:tcBorders>
              <w:top w:val="single" w:sz="0" w:space="0" w:color="000000"/>
              <w:bottom w:val="single" w:sz="0" w:space="0" w:color="000000"/>
            </w:tcBorders>
          </w:tcPr>
          <w:p>
            <w:pPr>
              <w:pStyle w:val="TableParagraph"/>
              <w:spacing w:before="94"/>
              <w:ind w:right="87"/>
              <w:jc w:val="right"/>
              <w:rPr>
                <w:b/>
                <w:sz w:val="18"/>
              </w:rPr>
            </w:pPr>
            <w:r>
              <w:rPr>
                <w:b/>
                <w:w w:val="95"/>
                <w:sz w:val="18"/>
              </w:rPr>
              <w:t>11,287</w:t>
            </w:r>
          </w:p>
        </w:tc>
        <w:tc>
          <w:tcPr>
            <w:tcW w:w="570" w:type="dxa"/>
            <w:tcBorders>
              <w:top w:val="single" w:sz="0" w:space="0" w:color="000000"/>
              <w:bottom w:val="single" w:sz="0" w:space="0" w:color="000000"/>
            </w:tcBorders>
          </w:tcPr>
          <w:p>
            <w:pPr/>
          </w:p>
        </w:tc>
        <w:tc>
          <w:tcPr>
            <w:tcW w:w="812" w:type="dxa"/>
            <w:tcBorders>
              <w:top w:val="single" w:sz="0" w:space="0" w:color="000000"/>
              <w:bottom w:val="single" w:sz="0" w:space="0" w:color="000000"/>
            </w:tcBorders>
          </w:tcPr>
          <w:p>
            <w:pPr>
              <w:pStyle w:val="TableParagraph"/>
              <w:spacing w:before="94"/>
              <w:ind w:right="173"/>
              <w:jc w:val="right"/>
              <w:rPr>
                <w:sz w:val="18"/>
              </w:rPr>
            </w:pPr>
            <w:r>
              <w:rPr>
                <w:w w:val="95"/>
                <w:sz w:val="18"/>
              </w:rPr>
              <w:t>10,486</w:t>
            </w:r>
          </w:p>
        </w:tc>
        <w:tc>
          <w:tcPr>
            <w:tcW w:w="669" w:type="dxa"/>
            <w:tcBorders>
              <w:top w:val="single" w:sz="0" w:space="0" w:color="000000"/>
              <w:bottom w:val="single" w:sz="0" w:space="0" w:color="000000"/>
            </w:tcBorders>
          </w:tcPr>
          <w:p>
            <w:pPr/>
          </w:p>
        </w:tc>
        <w:tc>
          <w:tcPr>
            <w:tcW w:w="712" w:type="dxa"/>
            <w:tcBorders>
              <w:top w:val="single" w:sz="0" w:space="0" w:color="000000"/>
              <w:bottom w:val="single" w:sz="0" w:space="0" w:color="000000"/>
            </w:tcBorders>
          </w:tcPr>
          <w:p>
            <w:pPr>
              <w:pStyle w:val="TableParagraph"/>
              <w:spacing w:before="94"/>
              <w:ind w:right="87"/>
              <w:jc w:val="right"/>
              <w:rPr>
                <w:b/>
                <w:sz w:val="18"/>
              </w:rPr>
            </w:pPr>
            <w:r>
              <w:rPr>
                <w:b/>
                <w:w w:val="95"/>
                <w:sz w:val="18"/>
              </w:rPr>
              <w:t>11,259</w:t>
            </w:r>
          </w:p>
        </w:tc>
        <w:tc>
          <w:tcPr>
            <w:tcW w:w="570" w:type="dxa"/>
            <w:tcBorders>
              <w:top w:val="single" w:sz="0" w:space="0" w:color="000000"/>
              <w:bottom w:val="single" w:sz="0" w:space="0" w:color="000000"/>
            </w:tcBorders>
          </w:tcPr>
          <w:p>
            <w:pPr/>
          </w:p>
        </w:tc>
        <w:tc>
          <w:tcPr>
            <w:tcW w:w="725" w:type="dxa"/>
            <w:tcBorders>
              <w:top w:val="single" w:sz="0" w:space="0" w:color="000000"/>
              <w:bottom w:val="single" w:sz="0" w:space="0" w:color="000000"/>
            </w:tcBorders>
          </w:tcPr>
          <w:p>
            <w:pPr>
              <w:pStyle w:val="TableParagraph"/>
              <w:spacing w:before="94"/>
              <w:ind w:right="85"/>
              <w:jc w:val="right"/>
              <w:rPr>
                <w:sz w:val="18"/>
              </w:rPr>
            </w:pPr>
            <w:r>
              <w:rPr>
                <w:w w:val="95"/>
                <w:sz w:val="18"/>
              </w:rPr>
              <w:t>10,458</w:t>
            </w:r>
          </w:p>
        </w:tc>
      </w:tr>
    </w:tbl>
    <w:p>
      <w:pPr>
        <w:spacing w:after="0"/>
        <w:jc w:val="right"/>
        <w:rPr>
          <w:sz w:val="18"/>
        </w:rPr>
        <w:sectPr>
          <w:type w:val="continuous"/>
          <w:pgSz w:w="11910" w:h="16840"/>
          <w:pgMar w:top="0" w:bottom="280" w:left="860" w:right="880"/>
        </w:sectPr>
      </w:pPr>
    </w:p>
    <w:p>
      <w:pPr>
        <w:pStyle w:val="BodyText"/>
        <w:spacing w:before="7"/>
        <w:rPr>
          <w:rFonts w:ascii="Times New Roman"/>
          <w:sz w:val="26"/>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7"/>
        <w:gridCol w:w="3274"/>
        <w:gridCol w:w="728"/>
        <w:gridCol w:w="780"/>
        <w:gridCol w:w="674"/>
        <w:gridCol w:w="587"/>
        <w:gridCol w:w="709"/>
        <w:gridCol w:w="771"/>
        <w:gridCol w:w="696"/>
        <w:gridCol w:w="588"/>
        <w:gridCol w:w="724"/>
      </w:tblGrid>
      <w:tr>
        <w:trPr>
          <w:trHeight w:val="567" w:hRule="exact"/>
        </w:trPr>
        <w:tc>
          <w:tcPr>
            <w:tcW w:w="417" w:type="dxa"/>
          </w:tcPr>
          <w:p>
            <w:pPr>
              <w:pStyle w:val="TableParagraph"/>
              <w:spacing w:before="77"/>
              <w:ind w:left="35"/>
              <w:rPr>
                <w:b/>
                <w:sz w:val="18"/>
              </w:rPr>
            </w:pPr>
            <w:r>
              <w:rPr>
                <w:b/>
                <w:w w:val="99"/>
                <w:sz w:val="18"/>
              </w:rPr>
              <w:t>8</w:t>
            </w:r>
          </w:p>
        </w:tc>
        <w:tc>
          <w:tcPr>
            <w:tcW w:w="3274" w:type="dxa"/>
          </w:tcPr>
          <w:p>
            <w:pPr>
              <w:pStyle w:val="TableParagraph"/>
              <w:spacing w:before="77"/>
              <w:ind w:left="14" w:right="372"/>
              <w:rPr>
                <w:b/>
                <w:sz w:val="18"/>
              </w:rPr>
            </w:pPr>
            <w:r>
              <w:rPr>
                <w:b/>
                <w:sz w:val="18"/>
              </w:rPr>
              <w:t>Other Revenue and income</w:t>
            </w:r>
          </w:p>
        </w:tc>
        <w:tc>
          <w:tcPr>
            <w:tcW w:w="728" w:type="dxa"/>
          </w:tcPr>
          <w:p>
            <w:pPr/>
          </w:p>
        </w:tc>
        <w:tc>
          <w:tcPr>
            <w:tcW w:w="1455" w:type="dxa"/>
            <w:gridSpan w:val="2"/>
          </w:tcPr>
          <w:p>
            <w:pPr>
              <w:pStyle w:val="TableParagraph"/>
              <w:rPr>
                <w:rFonts w:ascii="Times New Roman"/>
                <w:sz w:val="18"/>
              </w:rPr>
            </w:pPr>
          </w:p>
          <w:p>
            <w:pPr>
              <w:pStyle w:val="TableParagraph"/>
              <w:spacing w:before="110"/>
              <w:ind w:left="27"/>
              <w:rPr>
                <w:b/>
                <w:sz w:val="18"/>
              </w:rPr>
            </w:pPr>
            <w:r>
              <w:rPr>
                <w:b/>
                <w:sz w:val="18"/>
              </w:rPr>
              <w:t>Consolidated</w:t>
            </w:r>
          </w:p>
        </w:tc>
        <w:tc>
          <w:tcPr>
            <w:tcW w:w="587" w:type="dxa"/>
          </w:tcPr>
          <w:p>
            <w:pPr/>
          </w:p>
        </w:tc>
        <w:tc>
          <w:tcPr>
            <w:tcW w:w="709" w:type="dxa"/>
          </w:tcPr>
          <w:p>
            <w:pPr/>
          </w:p>
        </w:tc>
        <w:tc>
          <w:tcPr>
            <w:tcW w:w="771" w:type="dxa"/>
          </w:tcPr>
          <w:p>
            <w:pPr>
              <w:pStyle w:val="TableParagraph"/>
              <w:rPr>
                <w:rFonts w:ascii="Times New Roman"/>
                <w:sz w:val="18"/>
              </w:rPr>
            </w:pPr>
          </w:p>
          <w:p>
            <w:pPr>
              <w:pStyle w:val="TableParagraph"/>
              <w:spacing w:before="110"/>
              <w:ind w:left="12"/>
              <w:rPr>
                <w:b/>
                <w:sz w:val="18"/>
              </w:rPr>
            </w:pPr>
            <w:r>
              <w:rPr>
                <w:b/>
                <w:sz w:val="18"/>
              </w:rPr>
              <w:t>Parent</w:t>
            </w:r>
          </w:p>
        </w:tc>
        <w:tc>
          <w:tcPr>
            <w:tcW w:w="2007" w:type="dxa"/>
            <w:gridSpan w:val="3"/>
          </w:tcPr>
          <w:p>
            <w:pPr/>
          </w:p>
        </w:tc>
      </w:tr>
      <w:tr>
        <w:trPr>
          <w:trHeight w:val="274" w:hRule="exact"/>
        </w:trPr>
        <w:tc>
          <w:tcPr>
            <w:tcW w:w="417" w:type="dxa"/>
          </w:tcPr>
          <w:p>
            <w:pPr/>
          </w:p>
        </w:tc>
        <w:tc>
          <w:tcPr>
            <w:tcW w:w="3274" w:type="dxa"/>
          </w:tcPr>
          <w:p>
            <w:pPr/>
          </w:p>
        </w:tc>
        <w:tc>
          <w:tcPr>
            <w:tcW w:w="728" w:type="dxa"/>
          </w:tcPr>
          <w:p>
            <w:pPr/>
          </w:p>
        </w:tc>
        <w:tc>
          <w:tcPr>
            <w:tcW w:w="1455" w:type="dxa"/>
            <w:gridSpan w:val="2"/>
          </w:tcPr>
          <w:p>
            <w:pPr>
              <w:pStyle w:val="TableParagraph"/>
              <w:spacing w:before="24"/>
              <w:ind w:left="196"/>
              <w:rPr>
                <w:b/>
                <w:sz w:val="18"/>
              </w:rPr>
            </w:pPr>
            <w:r>
              <w:rPr>
                <w:b/>
                <w:sz w:val="18"/>
              </w:rPr>
              <w:t>2012</w:t>
            </w:r>
          </w:p>
        </w:tc>
        <w:tc>
          <w:tcPr>
            <w:tcW w:w="587" w:type="dxa"/>
          </w:tcPr>
          <w:p>
            <w:pPr>
              <w:pStyle w:val="TableParagraph"/>
              <w:spacing w:before="24"/>
              <w:ind w:left="11"/>
              <w:rPr>
                <w:b/>
                <w:sz w:val="18"/>
              </w:rPr>
            </w:pPr>
            <w:r>
              <w:rPr>
                <w:b/>
                <w:sz w:val="18"/>
              </w:rPr>
              <w:t>2011</w:t>
            </w:r>
          </w:p>
        </w:tc>
        <w:tc>
          <w:tcPr>
            <w:tcW w:w="709" w:type="dxa"/>
          </w:tcPr>
          <w:p>
            <w:pPr/>
          </w:p>
        </w:tc>
        <w:tc>
          <w:tcPr>
            <w:tcW w:w="771" w:type="dxa"/>
          </w:tcPr>
          <w:p>
            <w:pPr>
              <w:pStyle w:val="TableParagraph"/>
              <w:spacing w:before="24"/>
              <w:ind w:left="209"/>
              <w:rPr>
                <w:b/>
                <w:sz w:val="18"/>
              </w:rPr>
            </w:pPr>
            <w:r>
              <w:rPr>
                <w:b/>
                <w:sz w:val="18"/>
              </w:rPr>
              <w:t>2012</w:t>
            </w:r>
          </w:p>
        </w:tc>
        <w:tc>
          <w:tcPr>
            <w:tcW w:w="696" w:type="dxa"/>
          </w:tcPr>
          <w:p>
            <w:pPr/>
          </w:p>
        </w:tc>
        <w:tc>
          <w:tcPr>
            <w:tcW w:w="588" w:type="dxa"/>
          </w:tcPr>
          <w:p>
            <w:pPr>
              <w:pStyle w:val="TableParagraph"/>
              <w:spacing w:before="24"/>
              <w:ind w:left="11"/>
              <w:rPr>
                <w:b/>
                <w:sz w:val="18"/>
              </w:rPr>
            </w:pPr>
            <w:r>
              <w:rPr>
                <w:b/>
                <w:sz w:val="18"/>
              </w:rPr>
              <w:t>2011</w:t>
            </w:r>
          </w:p>
        </w:tc>
        <w:tc>
          <w:tcPr>
            <w:tcW w:w="724" w:type="dxa"/>
          </w:tcPr>
          <w:p>
            <w:pPr/>
          </w:p>
        </w:tc>
      </w:tr>
      <w:tr>
        <w:trPr>
          <w:trHeight w:val="286" w:hRule="exact"/>
        </w:trPr>
        <w:tc>
          <w:tcPr>
            <w:tcW w:w="417" w:type="dxa"/>
          </w:tcPr>
          <w:p>
            <w:pPr/>
          </w:p>
        </w:tc>
        <w:tc>
          <w:tcPr>
            <w:tcW w:w="3274" w:type="dxa"/>
          </w:tcPr>
          <w:p>
            <w:pPr/>
          </w:p>
        </w:tc>
        <w:tc>
          <w:tcPr>
            <w:tcW w:w="728" w:type="dxa"/>
          </w:tcPr>
          <w:p>
            <w:pPr>
              <w:pStyle w:val="TableParagraph"/>
              <w:spacing w:before="24"/>
              <w:ind w:left="150"/>
              <w:rPr>
                <w:b/>
                <w:sz w:val="18"/>
              </w:rPr>
            </w:pPr>
            <w:r>
              <w:rPr>
                <w:b/>
                <w:sz w:val="18"/>
              </w:rPr>
              <w:t>Note</w:t>
            </w:r>
          </w:p>
        </w:tc>
        <w:tc>
          <w:tcPr>
            <w:tcW w:w="1455" w:type="dxa"/>
            <w:gridSpan w:val="2"/>
          </w:tcPr>
          <w:p>
            <w:pPr>
              <w:pStyle w:val="TableParagraph"/>
              <w:spacing w:before="24"/>
              <w:ind w:left="196"/>
              <w:rPr>
                <w:b/>
                <w:sz w:val="18"/>
              </w:rPr>
            </w:pPr>
            <w:r>
              <w:rPr>
                <w:b/>
                <w:sz w:val="18"/>
              </w:rPr>
              <w:t>$'000</w:t>
            </w:r>
          </w:p>
        </w:tc>
        <w:tc>
          <w:tcPr>
            <w:tcW w:w="587" w:type="dxa"/>
          </w:tcPr>
          <w:p>
            <w:pPr>
              <w:pStyle w:val="TableParagraph"/>
              <w:spacing w:before="24"/>
              <w:ind w:left="11"/>
              <w:rPr>
                <w:b/>
                <w:sz w:val="18"/>
              </w:rPr>
            </w:pPr>
            <w:r>
              <w:rPr>
                <w:b/>
                <w:sz w:val="18"/>
              </w:rPr>
              <w:t>$'000</w:t>
            </w:r>
          </w:p>
        </w:tc>
        <w:tc>
          <w:tcPr>
            <w:tcW w:w="709" w:type="dxa"/>
          </w:tcPr>
          <w:p>
            <w:pPr/>
          </w:p>
        </w:tc>
        <w:tc>
          <w:tcPr>
            <w:tcW w:w="771" w:type="dxa"/>
          </w:tcPr>
          <w:p>
            <w:pPr>
              <w:pStyle w:val="TableParagraph"/>
              <w:spacing w:before="24"/>
              <w:ind w:right="116"/>
              <w:jc w:val="right"/>
              <w:rPr>
                <w:b/>
                <w:sz w:val="18"/>
              </w:rPr>
            </w:pPr>
            <w:r>
              <w:rPr>
                <w:b/>
                <w:w w:val="95"/>
                <w:sz w:val="18"/>
              </w:rPr>
              <w:t>$'000</w:t>
            </w:r>
          </w:p>
        </w:tc>
        <w:tc>
          <w:tcPr>
            <w:tcW w:w="696" w:type="dxa"/>
          </w:tcPr>
          <w:p>
            <w:pPr/>
          </w:p>
        </w:tc>
        <w:tc>
          <w:tcPr>
            <w:tcW w:w="588" w:type="dxa"/>
          </w:tcPr>
          <w:p>
            <w:pPr>
              <w:pStyle w:val="TableParagraph"/>
              <w:spacing w:before="24"/>
              <w:ind w:left="11"/>
              <w:rPr>
                <w:b/>
                <w:sz w:val="18"/>
              </w:rPr>
            </w:pPr>
            <w:r>
              <w:rPr>
                <w:b/>
                <w:sz w:val="18"/>
              </w:rPr>
              <w:t>$'000</w:t>
            </w:r>
          </w:p>
        </w:tc>
        <w:tc>
          <w:tcPr>
            <w:tcW w:w="724" w:type="dxa"/>
          </w:tcPr>
          <w:p>
            <w:pPr/>
          </w:p>
        </w:tc>
      </w:tr>
      <w:tr>
        <w:trPr>
          <w:trHeight w:val="282" w:hRule="exact"/>
        </w:trPr>
        <w:tc>
          <w:tcPr>
            <w:tcW w:w="417" w:type="dxa"/>
          </w:tcPr>
          <w:p>
            <w:pPr/>
          </w:p>
        </w:tc>
        <w:tc>
          <w:tcPr>
            <w:tcW w:w="3274" w:type="dxa"/>
          </w:tcPr>
          <w:p>
            <w:pPr>
              <w:pStyle w:val="TableParagraph"/>
              <w:spacing w:before="37"/>
              <w:ind w:left="40" w:right="372"/>
              <w:rPr>
                <w:sz w:val="18"/>
              </w:rPr>
            </w:pPr>
            <w:r>
              <w:rPr>
                <w:sz w:val="18"/>
              </w:rPr>
              <w:t>Sale of goods</w:t>
            </w:r>
          </w:p>
        </w:tc>
        <w:tc>
          <w:tcPr>
            <w:tcW w:w="728" w:type="dxa"/>
          </w:tcPr>
          <w:p>
            <w:pPr/>
          </w:p>
        </w:tc>
        <w:tc>
          <w:tcPr>
            <w:tcW w:w="1455" w:type="dxa"/>
            <w:gridSpan w:val="2"/>
          </w:tcPr>
          <w:p>
            <w:pPr>
              <w:pStyle w:val="TableParagraph"/>
              <w:spacing w:before="36"/>
              <w:ind w:left="829"/>
              <w:rPr>
                <w:b/>
                <w:sz w:val="18"/>
              </w:rPr>
            </w:pPr>
            <w:r>
              <w:rPr>
                <w:b/>
                <w:sz w:val="18"/>
              </w:rPr>
              <w:t>21,541</w:t>
            </w:r>
          </w:p>
        </w:tc>
        <w:tc>
          <w:tcPr>
            <w:tcW w:w="587" w:type="dxa"/>
          </w:tcPr>
          <w:p>
            <w:pPr/>
          </w:p>
        </w:tc>
        <w:tc>
          <w:tcPr>
            <w:tcW w:w="709" w:type="dxa"/>
          </w:tcPr>
          <w:p>
            <w:pPr>
              <w:pStyle w:val="TableParagraph"/>
              <w:spacing w:before="36"/>
              <w:ind w:left="85"/>
              <w:rPr>
                <w:sz w:val="18"/>
              </w:rPr>
            </w:pPr>
            <w:r>
              <w:rPr>
                <w:sz w:val="18"/>
              </w:rPr>
              <w:t>21,354</w:t>
            </w:r>
          </w:p>
        </w:tc>
        <w:tc>
          <w:tcPr>
            <w:tcW w:w="771" w:type="dxa"/>
          </w:tcPr>
          <w:p>
            <w:pPr/>
          </w:p>
        </w:tc>
        <w:tc>
          <w:tcPr>
            <w:tcW w:w="696" w:type="dxa"/>
          </w:tcPr>
          <w:p>
            <w:pPr>
              <w:pStyle w:val="TableParagraph"/>
              <w:spacing w:before="36"/>
              <w:ind w:right="73"/>
              <w:jc w:val="right"/>
              <w:rPr>
                <w:b/>
                <w:sz w:val="18"/>
              </w:rPr>
            </w:pPr>
            <w:r>
              <w:rPr>
                <w:b/>
                <w:w w:val="95"/>
                <w:sz w:val="18"/>
              </w:rPr>
              <w:t>1,121</w:t>
            </w:r>
          </w:p>
        </w:tc>
        <w:tc>
          <w:tcPr>
            <w:tcW w:w="588" w:type="dxa"/>
          </w:tcPr>
          <w:p>
            <w:pPr/>
          </w:p>
        </w:tc>
        <w:tc>
          <w:tcPr>
            <w:tcW w:w="724" w:type="dxa"/>
          </w:tcPr>
          <w:p>
            <w:pPr>
              <w:pStyle w:val="TableParagraph"/>
              <w:spacing w:before="36"/>
              <w:ind w:left="184"/>
              <w:rPr>
                <w:sz w:val="18"/>
              </w:rPr>
            </w:pPr>
            <w:r>
              <w:rPr>
                <w:sz w:val="18"/>
              </w:rPr>
              <w:t>1,139</w:t>
            </w:r>
          </w:p>
        </w:tc>
      </w:tr>
      <w:tr>
        <w:trPr>
          <w:trHeight w:val="264" w:hRule="exact"/>
        </w:trPr>
        <w:tc>
          <w:tcPr>
            <w:tcW w:w="417" w:type="dxa"/>
          </w:tcPr>
          <w:p>
            <w:pPr/>
          </w:p>
        </w:tc>
        <w:tc>
          <w:tcPr>
            <w:tcW w:w="3274" w:type="dxa"/>
          </w:tcPr>
          <w:p>
            <w:pPr>
              <w:pStyle w:val="TableParagraph"/>
              <w:spacing w:before="19"/>
              <w:ind w:left="40" w:right="372"/>
              <w:rPr>
                <w:sz w:val="18"/>
              </w:rPr>
            </w:pPr>
            <w:r>
              <w:rPr>
                <w:sz w:val="18"/>
              </w:rPr>
              <w:t>Parking fees</w:t>
            </w:r>
          </w:p>
        </w:tc>
        <w:tc>
          <w:tcPr>
            <w:tcW w:w="728" w:type="dxa"/>
          </w:tcPr>
          <w:p>
            <w:pPr/>
          </w:p>
        </w:tc>
        <w:tc>
          <w:tcPr>
            <w:tcW w:w="1455" w:type="dxa"/>
            <w:gridSpan w:val="2"/>
          </w:tcPr>
          <w:p>
            <w:pPr>
              <w:pStyle w:val="TableParagraph"/>
              <w:spacing w:before="18"/>
              <w:ind w:left="928"/>
              <w:rPr>
                <w:b/>
                <w:sz w:val="18"/>
              </w:rPr>
            </w:pPr>
            <w:r>
              <w:rPr>
                <w:b/>
                <w:sz w:val="18"/>
              </w:rPr>
              <w:t>4,039</w:t>
            </w:r>
          </w:p>
        </w:tc>
        <w:tc>
          <w:tcPr>
            <w:tcW w:w="587" w:type="dxa"/>
          </w:tcPr>
          <w:p>
            <w:pPr/>
          </w:p>
        </w:tc>
        <w:tc>
          <w:tcPr>
            <w:tcW w:w="709" w:type="dxa"/>
          </w:tcPr>
          <w:p>
            <w:pPr>
              <w:pStyle w:val="TableParagraph"/>
              <w:spacing w:before="18"/>
              <w:ind w:left="185"/>
              <w:rPr>
                <w:sz w:val="18"/>
              </w:rPr>
            </w:pPr>
            <w:r>
              <w:rPr>
                <w:sz w:val="18"/>
              </w:rPr>
              <w:t>3,405</w:t>
            </w:r>
          </w:p>
        </w:tc>
        <w:tc>
          <w:tcPr>
            <w:tcW w:w="771" w:type="dxa"/>
          </w:tcPr>
          <w:p>
            <w:pPr/>
          </w:p>
        </w:tc>
        <w:tc>
          <w:tcPr>
            <w:tcW w:w="696" w:type="dxa"/>
          </w:tcPr>
          <w:p>
            <w:pPr>
              <w:pStyle w:val="TableParagraph"/>
              <w:spacing w:before="18"/>
              <w:ind w:right="73"/>
              <w:jc w:val="right"/>
              <w:rPr>
                <w:b/>
                <w:sz w:val="18"/>
              </w:rPr>
            </w:pPr>
            <w:r>
              <w:rPr>
                <w:b/>
                <w:w w:val="95"/>
                <w:sz w:val="18"/>
              </w:rPr>
              <w:t>4,039</w:t>
            </w:r>
          </w:p>
        </w:tc>
        <w:tc>
          <w:tcPr>
            <w:tcW w:w="588" w:type="dxa"/>
          </w:tcPr>
          <w:p>
            <w:pPr/>
          </w:p>
        </w:tc>
        <w:tc>
          <w:tcPr>
            <w:tcW w:w="724" w:type="dxa"/>
          </w:tcPr>
          <w:p>
            <w:pPr>
              <w:pStyle w:val="TableParagraph"/>
              <w:spacing w:before="18"/>
              <w:ind w:left="184"/>
              <w:rPr>
                <w:sz w:val="18"/>
              </w:rPr>
            </w:pPr>
            <w:r>
              <w:rPr>
                <w:sz w:val="18"/>
              </w:rPr>
              <w:t>3,405</w:t>
            </w:r>
          </w:p>
        </w:tc>
      </w:tr>
      <w:tr>
        <w:trPr>
          <w:trHeight w:val="263" w:hRule="exact"/>
        </w:trPr>
        <w:tc>
          <w:tcPr>
            <w:tcW w:w="417" w:type="dxa"/>
          </w:tcPr>
          <w:p>
            <w:pPr/>
          </w:p>
        </w:tc>
        <w:tc>
          <w:tcPr>
            <w:tcW w:w="3274" w:type="dxa"/>
          </w:tcPr>
          <w:p>
            <w:pPr>
              <w:pStyle w:val="TableParagraph"/>
              <w:spacing w:before="19"/>
              <w:ind w:left="40" w:right="372"/>
              <w:rPr>
                <w:sz w:val="18"/>
              </w:rPr>
            </w:pPr>
            <w:r>
              <w:rPr>
                <w:sz w:val="18"/>
              </w:rPr>
              <w:t>Donations and bequests</w:t>
            </w:r>
          </w:p>
        </w:tc>
        <w:tc>
          <w:tcPr>
            <w:tcW w:w="728" w:type="dxa"/>
          </w:tcPr>
          <w:p>
            <w:pPr/>
          </w:p>
        </w:tc>
        <w:tc>
          <w:tcPr>
            <w:tcW w:w="1455" w:type="dxa"/>
            <w:gridSpan w:val="2"/>
          </w:tcPr>
          <w:p>
            <w:pPr>
              <w:pStyle w:val="TableParagraph"/>
              <w:spacing w:before="18"/>
              <w:ind w:left="928"/>
              <w:rPr>
                <w:b/>
                <w:sz w:val="18"/>
              </w:rPr>
            </w:pPr>
            <w:r>
              <w:rPr>
                <w:b/>
                <w:sz w:val="18"/>
              </w:rPr>
              <w:t>1,988</w:t>
            </w:r>
          </w:p>
        </w:tc>
        <w:tc>
          <w:tcPr>
            <w:tcW w:w="587" w:type="dxa"/>
          </w:tcPr>
          <w:p>
            <w:pPr/>
          </w:p>
        </w:tc>
        <w:tc>
          <w:tcPr>
            <w:tcW w:w="709" w:type="dxa"/>
          </w:tcPr>
          <w:p>
            <w:pPr>
              <w:pStyle w:val="TableParagraph"/>
              <w:spacing w:before="18"/>
              <w:ind w:left="185"/>
              <w:rPr>
                <w:sz w:val="18"/>
              </w:rPr>
            </w:pPr>
            <w:r>
              <w:rPr>
                <w:sz w:val="18"/>
              </w:rPr>
              <w:t>2,379</w:t>
            </w:r>
          </w:p>
        </w:tc>
        <w:tc>
          <w:tcPr>
            <w:tcW w:w="771" w:type="dxa"/>
          </w:tcPr>
          <w:p>
            <w:pPr/>
          </w:p>
        </w:tc>
        <w:tc>
          <w:tcPr>
            <w:tcW w:w="696" w:type="dxa"/>
          </w:tcPr>
          <w:p>
            <w:pPr>
              <w:pStyle w:val="TableParagraph"/>
              <w:spacing w:before="18"/>
              <w:ind w:right="73"/>
              <w:jc w:val="right"/>
              <w:rPr>
                <w:b/>
                <w:sz w:val="18"/>
              </w:rPr>
            </w:pPr>
            <w:r>
              <w:rPr>
                <w:b/>
                <w:w w:val="95"/>
                <w:sz w:val="18"/>
              </w:rPr>
              <w:t>1,605</w:t>
            </w:r>
          </w:p>
        </w:tc>
        <w:tc>
          <w:tcPr>
            <w:tcW w:w="588" w:type="dxa"/>
          </w:tcPr>
          <w:p>
            <w:pPr/>
          </w:p>
        </w:tc>
        <w:tc>
          <w:tcPr>
            <w:tcW w:w="724" w:type="dxa"/>
          </w:tcPr>
          <w:p>
            <w:pPr>
              <w:pStyle w:val="TableParagraph"/>
              <w:spacing w:before="18"/>
              <w:ind w:left="184"/>
              <w:rPr>
                <w:sz w:val="18"/>
              </w:rPr>
            </w:pPr>
            <w:r>
              <w:rPr>
                <w:sz w:val="18"/>
              </w:rPr>
              <w:t>6,083</w:t>
            </w:r>
          </w:p>
        </w:tc>
      </w:tr>
      <w:tr>
        <w:trPr>
          <w:trHeight w:val="469" w:hRule="exact"/>
        </w:trPr>
        <w:tc>
          <w:tcPr>
            <w:tcW w:w="417" w:type="dxa"/>
          </w:tcPr>
          <w:p>
            <w:pPr/>
          </w:p>
        </w:tc>
        <w:tc>
          <w:tcPr>
            <w:tcW w:w="3274" w:type="dxa"/>
          </w:tcPr>
          <w:p>
            <w:pPr>
              <w:pStyle w:val="TableParagraph"/>
              <w:spacing w:before="17"/>
              <w:ind w:left="40" w:right="372"/>
              <w:rPr>
                <w:sz w:val="18"/>
              </w:rPr>
            </w:pPr>
            <w:r>
              <w:rPr>
                <w:sz w:val="18"/>
              </w:rPr>
              <w:t>Commercial leases and other rental income</w:t>
            </w:r>
          </w:p>
        </w:tc>
        <w:tc>
          <w:tcPr>
            <w:tcW w:w="728" w:type="dxa"/>
          </w:tcPr>
          <w:p>
            <w:pPr/>
          </w:p>
        </w:tc>
        <w:tc>
          <w:tcPr>
            <w:tcW w:w="1455" w:type="dxa"/>
            <w:gridSpan w:val="2"/>
          </w:tcPr>
          <w:p>
            <w:pPr>
              <w:pStyle w:val="TableParagraph"/>
              <w:spacing w:before="4"/>
              <w:rPr>
                <w:rFonts w:ascii="Times New Roman"/>
                <w:sz w:val="19"/>
              </w:rPr>
            </w:pPr>
          </w:p>
          <w:p>
            <w:pPr>
              <w:pStyle w:val="TableParagraph"/>
              <w:ind w:left="928"/>
              <w:rPr>
                <w:b/>
                <w:sz w:val="18"/>
              </w:rPr>
            </w:pPr>
            <w:r>
              <w:rPr>
                <w:b/>
                <w:sz w:val="18"/>
              </w:rPr>
              <w:t>2,587</w:t>
            </w:r>
          </w:p>
        </w:tc>
        <w:tc>
          <w:tcPr>
            <w:tcW w:w="587" w:type="dxa"/>
          </w:tcPr>
          <w:p>
            <w:pPr/>
          </w:p>
        </w:tc>
        <w:tc>
          <w:tcPr>
            <w:tcW w:w="709" w:type="dxa"/>
          </w:tcPr>
          <w:p>
            <w:pPr>
              <w:pStyle w:val="TableParagraph"/>
              <w:spacing w:before="4"/>
              <w:rPr>
                <w:rFonts w:ascii="Times New Roman"/>
                <w:sz w:val="19"/>
              </w:rPr>
            </w:pPr>
          </w:p>
          <w:p>
            <w:pPr>
              <w:pStyle w:val="TableParagraph"/>
              <w:ind w:left="185"/>
              <w:rPr>
                <w:sz w:val="18"/>
              </w:rPr>
            </w:pPr>
            <w:r>
              <w:rPr>
                <w:sz w:val="18"/>
              </w:rPr>
              <w:t>2,251</w:t>
            </w:r>
          </w:p>
        </w:tc>
        <w:tc>
          <w:tcPr>
            <w:tcW w:w="771" w:type="dxa"/>
          </w:tcPr>
          <w:p>
            <w:pPr/>
          </w:p>
        </w:tc>
        <w:tc>
          <w:tcPr>
            <w:tcW w:w="696" w:type="dxa"/>
          </w:tcPr>
          <w:p>
            <w:pPr>
              <w:pStyle w:val="TableParagraph"/>
              <w:spacing w:before="4"/>
              <w:rPr>
                <w:rFonts w:ascii="Times New Roman"/>
                <w:sz w:val="19"/>
              </w:rPr>
            </w:pPr>
          </w:p>
          <w:p>
            <w:pPr>
              <w:pStyle w:val="TableParagraph"/>
              <w:ind w:right="73"/>
              <w:jc w:val="right"/>
              <w:rPr>
                <w:b/>
                <w:sz w:val="18"/>
              </w:rPr>
            </w:pPr>
            <w:r>
              <w:rPr>
                <w:b/>
                <w:w w:val="95"/>
                <w:sz w:val="18"/>
              </w:rPr>
              <w:t>4,957</w:t>
            </w:r>
          </w:p>
        </w:tc>
        <w:tc>
          <w:tcPr>
            <w:tcW w:w="588" w:type="dxa"/>
          </w:tcPr>
          <w:p>
            <w:pPr/>
          </w:p>
        </w:tc>
        <w:tc>
          <w:tcPr>
            <w:tcW w:w="724" w:type="dxa"/>
          </w:tcPr>
          <w:p>
            <w:pPr>
              <w:pStyle w:val="TableParagraph"/>
              <w:spacing w:before="4"/>
              <w:rPr>
                <w:rFonts w:ascii="Times New Roman"/>
                <w:sz w:val="19"/>
              </w:rPr>
            </w:pPr>
          </w:p>
          <w:p>
            <w:pPr>
              <w:pStyle w:val="TableParagraph"/>
              <w:ind w:left="184"/>
              <w:rPr>
                <w:sz w:val="18"/>
              </w:rPr>
            </w:pPr>
            <w:r>
              <w:rPr>
                <w:sz w:val="18"/>
              </w:rPr>
              <w:t>4,016</w:t>
            </w:r>
          </w:p>
        </w:tc>
      </w:tr>
      <w:tr>
        <w:trPr>
          <w:trHeight w:val="264" w:hRule="exact"/>
        </w:trPr>
        <w:tc>
          <w:tcPr>
            <w:tcW w:w="417" w:type="dxa"/>
          </w:tcPr>
          <w:p>
            <w:pPr/>
          </w:p>
        </w:tc>
        <w:tc>
          <w:tcPr>
            <w:tcW w:w="3274" w:type="dxa"/>
          </w:tcPr>
          <w:p>
            <w:pPr>
              <w:pStyle w:val="TableParagraph"/>
              <w:spacing w:before="19"/>
              <w:ind w:left="40" w:right="372"/>
              <w:rPr>
                <w:sz w:val="18"/>
              </w:rPr>
            </w:pPr>
            <w:r>
              <w:rPr>
                <w:sz w:val="18"/>
              </w:rPr>
              <w:t>Salary recoveries</w:t>
            </w:r>
          </w:p>
        </w:tc>
        <w:tc>
          <w:tcPr>
            <w:tcW w:w="728" w:type="dxa"/>
          </w:tcPr>
          <w:p>
            <w:pPr/>
          </w:p>
        </w:tc>
        <w:tc>
          <w:tcPr>
            <w:tcW w:w="1455" w:type="dxa"/>
            <w:gridSpan w:val="2"/>
          </w:tcPr>
          <w:p>
            <w:pPr>
              <w:pStyle w:val="TableParagraph"/>
              <w:spacing w:before="18"/>
              <w:ind w:left="928"/>
              <w:rPr>
                <w:b/>
                <w:sz w:val="18"/>
              </w:rPr>
            </w:pPr>
            <w:r>
              <w:rPr>
                <w:b/>
                <w:sz w:val="18"/>
              </w:rPr>
              <w:t>4,192</w:t>
            </w:r>
          </w:p>
        </w:tc>
        <w:tc>
          <w:tcPr>
            <w:tcW w:w="587" w:type="dxa"/>
          </w:tcPr>
          <w:p>
            <w:pPr/>
          </w:p>
        </w:tc>
        <w:tc>
          <w:tcPr>
            <w:tcW w:w="709" w:type="dxa"/>
          </w:tcPr>
          <w:p>
            <w:pPr>
              <w:pStyle w:val="TableParagraph"/>
              <w:spacing w:before="18"/>
              <w:ind w:left="185"/>
              <w:rPr>
                <w:sz w:val="18"/>
              </w:rPr>
            </w:pPr>
            <w:r>
              <w:rPr>
                <w:sz w:val="18"/>
              </w:rPr>
              <w:t>2,589</w:t>
            </w:r>
          </w:p>
        </w:tc>
        <w:tc>
          <w:tcPr>
            <w:tcW w:w="771" w:type="dxa"/>
          </w:tcPr>
          <w:p>
            <w:pPr/>
          </w:p>
        </w:tc>
        <w:tc>
          <w:tcPr>
            <w:tcW w:w="696" w:type="dxa"/>
          </w:tcPr>
          <w:p>
            <w:pPr>
              <w:pStyle w:val="TableParagraph"/>
              <w:spacing w:before="18"/>
              <w:ind w:right="73"/>
              <w:jc w:val="right"/>
              <w:rPr>
                <w:b/>
                <w:sz w:val="18"/>
              </w:rPr>
            </w:pPr>
            <w:r>
              <w:rPr>
                <w:b/>
                <w:w w:val="95"/>
                <w:sz w:val="18"/>
              </w:rPr>
              <w:t>4,159</w:t>
            </w:r>
          </w:p>
        </w:tc>
        <w:tc>
          <w:tcPr>
            <w:tcW w:w="588" w:type="dxa"/>
          </w:tcPr>
          <w:p>
            <w:pPr/>
          </w:p>
        </w:tc>
        <w:tc>
          <w:tcPr>
            <w:tcW w:w="724" w:type="dxa"/>
          </w:tcPr>
          <w:p>
            <w:pPr>
              <w:pStyle w:val="TableParagraph"/>
              <w:spacing w:before="18"/>
              <w:ind w:left="184"/>
              <w:rPr>
                <w:sz w:val="18"/>
              </w:rPr>
            </w:pPr>
            <w:r>
              <w:rPr>
                <w:sz w:val="18"/>
              </w:rPr>
              <w:t>2,653</w:t>
            </w:r>
          </w:p>
        </w:tc>
      </w:tr>
      <w:tr>
        <w:trPr>
          <w:trHeight w:val="264" w:hRule="exact"/>
        </w:trPr>
        <w:tc>
          <w:tcPr>
            <w:tcW w:w="417" w:type="dxa"/>
          </w:tcPr>
          <w:p>
            <w:pPr/>
          </w:p>
        </w:tc>
        <w:tc>
          <w:tcPr>
            <w:tcW w:w="3274" w:type="dxa"/>
          </w:tcPr>
          <w:p>
            <w:pPr>
              <w:pStyle w:val="TableParagraph"/>
              <w:spacing w:before="19"/>
              <w:ind w:left="40" w:right="372"/>
              <w:rPr>
                <w:sz w:val="18"/>
              </w:rPr>
            </w:pPr>
            <w:r>
              <w:rPr>
                <w:sz w:val="18"/>
              </w:rPr>
              <w:t>Childcare centre fees and grants</w:t>
            </w:r>
          </w:p>
        </w:tc>
        <w:tc>
          <w:tcPr>
            <w:tcW w:w="728" w:type="dxa"/>
          </w:tcPr>
          <w:p>
            <w:pPr/>
          </w:p>
        </w:tc>
        <w:tc>
          <w:tcPr>
            <w:tcW w:w="1455" w:type="dxa"/>
            <w:gridSpan w:val="2"/>
          </w:tcPr>
          <w:p>
            <w:pPr>
              <w:pStyle w:val="TableParagraph"/>
              <w:spacing w:before="18"/>
              <w:ind w:left="928"/>
              <w:rPr>
                <w:b/>
                <w:sz w:val="18"/>
              </w:rPr>
            </w:pPr>
            <w:r>
              <w:rPr>
                <w:b/>
                <w:sz w:val="18"/>
              </w:rPr>
              <w:t>2,653</w:t>
            </w:r>
          </w:p>
        </w:tc>
        <w:tc>
          <w:tcPr>
            <w:tcW w:w="587" w:type="dxa"/>
          </w:tcPr>
          <w:p>
            <w:pPr/>
          </w:p>
        </w:tc>
        <w:tc>
          <w:tcPr>
            <w:tcW w:w="709" w:type="dxa"/>
          </w:tcPr>
          <w:p>
            <w:pPr>
              <w:pStyle w:val="TableParagraph"/>
              <w:spacing w:before="18"/>
              <w:ind w:left="185"/>
              <w:rPr>
                <w:sz w:val="18"/>
              </w:rPr>
            </w:pPr>
            <w:r>
              <w:rPr>
                <w:sz w:val="18"/>
              </w:rPr>
              <w:t>2,159</w:t>
            </w:r>
          </w:p>
        </w:tc>
        <w:tc>
          <w:tcPr>
            <w:tcW w:w="771" w:type="dxa"/>
          </w:tcPr>
          <w:p>
            <w:pPr/>
          </w:p>
        </w:tc>
        <w:tc>
          <w:tcPr>
            <w:tcW w:w="696" w:type="dxa"/>
          </w:tcPr>
          <w:p>
            <w:pPr>
              <w:pStyle w:val="TableParagraph"/>
              <w:spacing w:before="18"/>
              <w:ind w:right="75"/>
              <w:jc w:val="right"/>
              <w:rPr>
                <w:b/>
                <w:sz w:val="18"/>
              </w:rPr>
            </w:pPr>
            <w:r>
              <w:rPr>
                <w:b/>
                <w:w w:val="99"/>
                <w:sz w:val="18"/>
              </w:rPr>
              <w:t>-</w:t>
            </w:r>
          </w:p>
        </w:tc>
        <w:tc>
          <w:tcPr>
            <w:tcW w:w="588" w:type="dxa"/>
          </w:tcPr>
          <w:p>
            <w:pPr/>
          </w:p>
        </w:tc>
        <w:tc>
          <w:tcPr>
            <w:tcW w:w="724" w:type="dxa"/>
          </w:tcPr>
          <w:p>
            <w:pPr>
              <w:pStyle w:val="TableParagraph"/>
              <w:spacing w:before="18"/>
              <w:ind w:right="88"/>
              <w:jc w:val="right"/>
              <w:rPr>
                <w:sz w:val="18"/>
              </w:rPr>
            </w:pPr>
            <w:r>
              <w:rPr>
                <w:w w:val="99"/>
                <w:sz w:val="18"/>
              </w:rPr>
              <w:t>-</w:t>
            </w:r>
          </w:p>
        </w:tc>
      </w:tr>
      <w:tr>
        <w:trPr>
          <w:trHeight w:val="264" w:hRule="exact"/>
        </w:trPr>
        <w:tc>
          <w:tcPr>
            <w:tcW w:w="417" w:type="dxa"/>
          </w:tcPr>
          <w:p>
            <w:pPr/>
          </w:p>
        </w:tc>
        <w:tc>
          <w:tcPr>
            <w:tcW w:w="3274" w:type="dxa"/>
          </w:tcPr>
          <w:p>
            <w:pPr>
              <w:pStyle w:val="TableParagraph"/>
              <w:spacing w:before="19"/>
              <w:ind w:left="40" w:right="372"/>
              <w:rPr>
                <w:sz w:val="18"/>
              </w:rPr>
            </w:pPr>
            <w:r>
              <w:rPr>
                <w:sz w:val="18"/>
              </w:rPr>
              <w:t>Non-salary recoveries</w:t>
            </w:r>
          </w:p>
        </w:tc>
        <w:tc>
          <w:tcPr>
            <w:tcW w:w="728" w:type="dxa"/>
          </w:tcPr>
          <w:p>
            <w:pPr/>
          </w:p>
        </w:tc>
        <w:tc>
          <w:tcPr>
            <w:tcW w:w="1455" w:type="dxa"/>
            <w:gridSpan w:val="2"/>
          </w:tcPr>
          <w:p>
            <w:pPr>
              <w:pStyle w:val="TableParagraph"/>
              <w:spacing w:before="18"/>
              <w:ind w:left="928"/>
              <w:rPr>
                <w:b/>
                <w:sz w:val="18"/>
              </w:rPr>
            </w:pPr>
            <w:r>
              <w:rPr>
                <w:b/>
                <w:sz w:val="18"/>
              </w:rPr>
              <w:t>1,081</w:t>
            </w:r>
          </w:p>
        </w:tc>
        <w:tc>
          <w:tcPr>
            <w:tcW w:w="587" w:type="dxa"/>
          </w:tcPr>
          <w:p>
            <w:pPr/>
          </w:p>
        </w:tc>
        <w:tc>
          <w:tcPr>
            <w:tcW w:w="709" w:type="dxa"/>
          </w:tcPr>
          <w:p>
            <w:pPr>
              <w:pStyle w:val="TableParagraph"/>
              <w:spacing w:before="18"/>
              <w:ind w:left="185"/>
              <w:rPr>
                <w:sz w:val="18"/>
              </w:rPr>
            </w:pPr>
            <w:r>
              <w:rPr>
                <w:sz w:val="18"/>
              </w:rPr>
              <w:t>1,551</w:t>
            </w:r>
          </w:p>
        </w:tc>
        <w:tc>
          <w:tcPr>
            <w:tcW w:w="771" w:type="dxa"/>
          </w:tcPr>
          <w:p>
            <w:pPr/>
          </w:p>
        </w:tc>
        <w:tc>
          <w:tcPr>
            <w:tcW w:w="696" w:type="dxa"/>
          </w:tcPr>
          <w:p>
            <w:pPr>
              <w:pStyle w:val="TableParagraph"/>
              <w:spacing w:before="18"/>
              <w:ind w:right="73"/>
              <w:jc w:val="right"/>
              <w:rPr>
                <w:b/>
                <w:sz w:val="18"/>
              </w:rPr>
            </w:pPr>
            <w:r>
              <w:rPr>
                <w:b/>
                <w:w w:val="95"/>
                <w:sz w:val="18"/>
              </w:rPr>
              <w:t>1,142</w:t>
            </w:r>
          </w:p>
        </w:tc>
        <w:tc>
          <w:tcPr>
            <w:tcW w:w="588" w:type="dxa"/>
          </w:tcPr>
          <w:p>
            <w:pPr/>
          </w:p>
        </w:tc>
        <w:tc>
          <w:tcPr>
            <w:tcW w:w="724" w:type="dxa"/>
          </w:tcPr>
          <w:p>
            <w:pPr>
              <w:pStyle w:val="TableParagraph"/>
              <w:spacing w:before="18"/>
              <w:ind w:left="184"/>
              <w:rPr>
                <w:sz w:val="18"/>
              </w:rPr>
            </w:pPr>
            <w:r>
              <w:rPr>
                <w:sz w:val="18"/>
              </w:rPr>
              <w:t>2,032</w:t>
            </w:r>
          </w:p>
        </w:tc>
      </w:tr>
      <w:tr>
        <w:trPr>
          <w:trHeight w:val="264" w:hRule="exact"/>
        </w:trPr>
        <w:tc>
          <w:tcPr>
            <w:tcW w:w="417" w:type="dxa"/>
          </w:tcPr>
          <w:p>
            <w:pPr/>
          </w:p>
        </w:tc>
        <w:tc>
          <w:tcPr>
            <w:tcW w:w="3274" w:type="dxa"/>
          </w:tcPr>
          <w:p>
            <w:pPr>
              <w:pStyle w:val="TableParagraph"/>
              <w:spacing w:before="19"/>
              <w:ind w:left="40" w:right="372"/>
              <w:rPr>
                <w:sz w:val="18"/>
              </w:rPr>
            </w:pPr>
            <w:r>
              <w:rPr>
                <w:sz w:val="18"/>
              </w:rPr>
              <w:t>Scholarships and prizes</w:t>
            </w:r>
          </w:p>
        </w:tc>
        <w:tc>
          <w:tcPr>
            <w:tcW w:w="728" w:type="dxa"/>
          </w:tcPr>
          <w:p>
            <w:pPr/>
          </w:p>
        </w:tc>
        <w:tc>
          <w:tcPr>
            <w:tcW w:w="1455" w:type="dxa"/>
            <w:gridSpan w:val="2"/>
          </w:tcPr>
          <w:p>
            <w:pPr>
              <w:pStyle w:val="TableParagraph"/>
              <w:spacing w:before="18"/>
              <w:ind w:left="928"/>
              <w:rPr>
                <w:b/>
                <w:sz w:val="18"/>
              </w:rPr>
            </w:pPr>
            <w:r>
              <w:rPr>
                <w:b/>
                <w:sz w:val="18"/>
              </w:rPr>
              <w:t>1,316</w:t>
            </w:r>
          </w:p>
        </w:tc>
        <w:tc>
          <w:tcPr>
            <w:tcW w:w="587" w:type="dxa"/>
          </w:tcPr>
          <w:p>
            <w:pPr/>
          </w:p>
        </w:tc>
        <w:tc>
          <w:tcPr>
            <w:tcW w:w="709" w:type="dxa"/>
          </w:tcPr>
          <w:p>
            <w:pPr>
              <w:pStyle w:val="TableParagraph"/>
              <w:spacing w:before="18"/>
              <w:ind w:left="185"/>
              <w:rPr>
                <w:sz w:val="18"/>
              </w:rPr>
            </w:pPr>
            <w:r>
              <w:rPr>
                <w:sz w:val="18"/>
              </w:rPr>
              <w:t>1,472</w:t>
            </w:r>
          </w:p>
        </w:tc>
        <w:tc>
          <w:tcPr>
            <w:tcW w:w="771" w:type="dxa"/>
          </w:tcPr>
          <w:p>
            <w:pPr/>
          </w:p>
        </w:tc>
        <w:tc>
          <w:tcPr>
            <w:tcW w:w="696" w:type="dxa"/>
          </w:tcPr>
          <w:p>
            <w:pPr>
              <w:pStyle w:val="TableParagraph"/>
              <w:spacing w:before="18"/>
              <w:ind w:right="73"/>
              <w:jc w:val="right"/>
              <w:rPr>
                <w:b/>
                <w:sz w:val="18"/>
              </w:rPr>
            </w:pPr>
            <w:r>
              <w:rPr>
                <w:b/>
                <w:w w:val="95"/>
                <w:sz w:val="18"/>
              </w:rPr>
              <w:t>1,298</w:t>
            </w:r>
          </w:p>
        </w:tc>
        <w:tc>
          <w:tcPr>
            <w:tcW w:w="588" w:type="dxa"/>
          </w:tcPr>
          <w:p>
            <w:pPr/>
          </w:p>
        </w:tc>
        <w:tc>
          <w:tcPr>
            <w:tcW w:w="724" w:type="dxa"/>
          </w:tcPr>
          <w:p>
            <w:pPr>
              <w:pStyle w:val="TableParagraph"/>
              <w:spacing w:before="18"/>
              <w:ind w:left="184"/>
              <w:rPr>
                <w:sz w:val="18"/>
              </w:rPr>
            </w:pPr>
            <w:r>
              <w:rPr>
                <w:sz w:val="18"/>
              </w:rPr>
              <w:t>1,389</w:t>
            </w:r>
          </w:p>
        </w:tc>
      </w:tr>
      <w:tr>
        <w:trPr>
          <w:trHeight w:val="264" w:hRule="exact"/>
        </w:trPr>
        <w:tc>
          <w:tcPr>
            <w:tcW w:w="417" w:type="dxa"/>
          </w:tcPr>
          <w:p>
            <w:pPr/>
          </w:p>
        </w:tc>
        <w:tc>
          <w:tcPr>
            <w:tcW w:w="3274" w:type="dxa"/>
          </w:tcPr>
          <w:p>
            <w:pPr>
              <w:pStyle w:val="TableParagraph"/>
              <w:spacing w:before="19"/>
              <w:ind w:left="40" w:right="372"/>
              <w:rPr>
                <w:sz w:val="18"/>
              </w:rPr>
            </w:pPr>
            <w:r>
              <w:rPr>
                <w:sz w:val="18"/>
              </w:rPr>
              <w:t>Commission income</w:t>
            </w:r>
          </w:p>
        </w:tc>
        <w:tc>
          <w:tcPr>
            <w:tcW w:w="728" w:type="dxa"/>
          </w:tcPr>
          <w:p>
            <w:pPr/>
          </w:p>
        </w:tc>
        <w:tc>
          <w:tcPr>
            <w:tcW w:w="1455" w:type="dxa"/>
            <w:gridSpan w:val="2"/>
          </w:tcPr>
          <w:p>
            <w:pPr>
              <w:pStyle w:val="TableParagraph"/>
              <w:spacing w:before="18"/>
              <w:ind w:left="928"/>
              <w:rPr>
                <w:b/>
                <w:sz w:val="18"/>
              </w:rPr>
            </w:pPr>
            <w:r>
              <w:rPr>
                <w:b/>
                <w:sz w:val="18"/>
              </w:rPr>
              <w:t>1,045</w:t>
            </w:r>
          </w:p>
        </w:tc>
        <w:tc>
          <w:tcPr>
            <w:tcW w:w="587" w:type="dxa"/>
          </w:tcPr>
          <w:p>
            <w:pPr/>
          </w:p>
        </w:tc>
        <w:tc>
          <w:tcPr>
            <w:tcW w:w="709" w:type="dxa"/>
          </w:tcPr>
          <w:p>
            <w:pPr>
              <w:pStyle w:val="TableParagraph"/>
              <w:spacing w:before="18"/>
              <w:ind w:left="185"/>
              <w:rPr>
                <w:sz w:val="18"/>
              </w:rPr>
            </w:pPr>
            <w:r>
              <w:rPr>
                <w:sz w:val="18"/>
              </w:rPr>
              <w:t>1,112</w:t>
            </w:r>
          </w:p>
        </w:tc>
        <w:tc>
          <w:tcPr>
            <w:tcW w:w="771" w:type="dxa"/>
          </w:tcPr>
          <w:p>
            <w:pPr/>
          </w:p>
        </w:tc>
        <w:tc>
          <w:tcPr>
            <w:tcW w:w="696" w:type="dxa"/>
          </w:tcPr>
          <w:p>
            <w:pPr>
              <w:pStyle w:val="TableParagraph"/>
              <w:spacing w:before="18"/>
              <w:ind w:right="73"/>
              <w:jc w:val="right"/>
              <w:rPr>
                <w:b/>
                <w:sz w:val="18"/>
              </w:rPr>
            </w:pPr>
            <w:r>
              <w:rPr>
                <w:b/>
                <w:w w:val="95"/>
                <w:sz w:val="18"/>
              </w:rPr>
              <w:t>712</w:t>
            </w:r>
          </w:p>
        </w:tc>
        <w:tc>
          <w:tcPr>
            <w:tcW w:w="588" w:type="dxa"/>
          </w:tcPr>
          <w:p>
            <w:pPr/>
          </w:p>
        </w:tc>
        <w:tc>
          <w:tcPr>
            <w:tcW w:w="724" w:type="dxa"/>
          </w:tcPr>
          <w:p>
            <w:pPr>
              <w:pStyle w:val="TableParagraph"/>
              <w:spacing w:before="18"/>
              <w:ind w:left="334"/>
              <w:rPr>
                <w:sz w:val="18"/>
              </w:rPr>
            </w:pPr>
            <w:r>
              <w:rPr>
                <w:sz w:val="18"/>
              </w:rPr>
              <w:t>812</w:t>
            </w:r>
          </w:p>
        </w:tc>
      </w:tr>
      <w:tr>
        <w:trPr>
          <w:trHeight w:val="264" w:hRule="exact"/>
        </w:trPr>
        <w:tc>
          <w:tcPr>
            <w:tcW w:w="417" w:type="dxa"/>
          </w:tcPr>
          <w:p>
            <w:pPr/>
          </w:p>
        </w:tc>
        <w:tc>
          <w:tcPr>
            <w:tcW w:w="3274" w:type="dxa"/>
          </w:tcPr>
          <w:p>
            <w:pPr>
              <w:pStyle w:val="TableParagraph"/>
              <w:spacing w:before="19"/>
              <w:ind w:left="39" w:right="372"/>
              <w:rPr>
                <w:sz w:val="18"/>
              </w:rPr>
            </w:pPr>
            <w:r>
              <w:rPr>
                <w:sz w:val="18"/>
              </w:rPr>
              <w:t>Service income</w:t>
            </w:r>
          </w:p>
        </w:tc>
        <w:tc>
          <w:tcPr>
            <w:tcW w:w="728" w:type="dxa"/>
          </w:tcPr>
          <w:p>
            <w:pPr/>
          </w:p>
        </w:tc>
        <w:tc>
          <w:tcPr>
            <w:tcW w:w="1455" w:type="dxa"/>
            <w:gridSpan w:val="2"/>
          </w:tcPr>
          <w:p>
            <w:pPr>
              <w:pStyle w:val="TableParagraph"/>
              <w:spacing w:before="18"/>
              <w:ind w:right="74"/>
              <w:jc w:val="right"/>
              <w:rPr>
                <w:b/>
                <w:sz w:val="18"/>
              </w:rPr>
            </w:pPr>
            <w:r>
              <w:rPr>
                <w:b/>
                <w:w w:val="99"/>
                <w:sz w:val="18"/>
              </w:rPr>
              <w:t>8</w:t>
            </w:r>
          </w:p>
        </w:tc>
        <w:tc>
          <w:tcPr>
            <w:tcW w:w="587" w:type="dxa"/>
          </w:tcPr>
          <w:p>
            <w:pPr/>
          </w:p>
        </w:tc>
        <w:tc>
          <w:tcPr>
            <w:tcW w:w="709" w:type="dxa"/>
          </w:tcPr>
          <w:p>
            <w:pPr>
              <w:pStyle w:val="TableParagraph"/>
              <w:spacing w:before="18"/>
              <w:ind w:left="334"/>
              <w:rPr>
                <w:sz w:val="18"/>
              </w:rPr>
            </w:pPr>
            <w:r>
              <w:rPr>
                <w:sz w:val="18"/>
              </w:rPr>
              <w:t>936</w:t>
            </w:r>
          </w:p>
        </w:tc>
        <w:tc>
          <w:tcPr>
            <w:tcW w:w="771" w:type="dxa"/>
          </w:tcPr>
          <w:p>
            <w:pPr/>
          </w:p>
        </w:tc>
        <w:tc>
          <w:tcPr>
            <w:tcW w:w="696" w:type="dxa"/>
          </w:tcPr>
          <w:p>
            <w:pPr>
              <w:pStyle w:val="TableParagraph"/>
              <w:spacing w:before="18"/>
              <w:ind w:right="73"/>
              <w:jc w:val="right"/>
              <w:rPr>
                <w:b/>
                <w:sz w:val="18"/>
              </w:rPr>
            </w:pPr>
            <w:r>
              <w:rPr>
                <w:b/>
                <w:w w:val="95"/>
                <w:sz w:val="18"/>
              </w:rPr>
              <w:t>2,428</w:t>
            </w:r>
          </w:p>
        </w:tc>
        <w:tc>
          <w:tcPr>
            <w:tcW w:w="588" w:type="dxa"/>
          </w:tcPr>
          <w:p>
            <w:pPr/>
          </w:p>
        </w:tc>
        <w:tc>
          <w:tcPr>
            <w:tcW w:w="724" w:type="dxa"/>
          </w:tcPr>
          <w:p>
            <w:pPr>
              <w:pStyle w:val="TableParagraph"/>
              <w:spacing w:before="18"/>
              <w:ind w:left="184"/>
              <w:rPr>
                <w:sz w:val="18"/>
              </w:rPr>
            </w:pPr>
            <w:r>
              <w:rPr>
                <w:sz w:val="18"/>
              </w:rPr>
              <w:t>1,016</w:t>
            </w:r>
          </w:p>
        </w:tc>
      </w:tr>
      <w:tr>
        <w:trPr>
          <w:trHeight w:val="264" w:hRule="exact"/>
        </w:trPr>
        <w:tc>
          <w:tcPr>
            <w:tcW w:w="417" w:type="dxa"/>
          </w:tcPr>
          <w:p>
            <w:pPr/>
          </w:p>
        </w:tc>
        <w:tc>
          <w:tcPr>
            <w:tcW w:w="3274" w:type="dxa"/>
          </w:tcPr>
          <w:p>
            <w:pPr>
              <w:pStyle w:val="TableParagraph"/>
              <w:spacing w:before="19"/>
              <w:ind w:left="40" w:right="372"/>
              <w:rPr>
                <w:sz w:val="18"/>
              </w:rPr>
            </w:pPr>
            <w:r>
              <w:rPr>
                <w:sz w:val="18"/>
              </w:rPr>
              <w:t>Tied grants non-government</w:t>
            </w:r>
          </w:p>
        </w:tc>
        <w:tc>
          <w:tcPr>
            <w:tcW w:w="728" w:type="dxa"/>
          </w:tcPr>
          <w:p>
            <w:pPr/>
          </w:p>
        </w:tc>
        <w:tc>
          <w:tcPr>
            <w:tcW w:w="1455" w:type="dxa"/>
            <w:gridSpan w:val="2"/>
          </w:tcPr>
          <w:p>
            <w:pPr>
              <w:pStyle w:val="TableParagraph"/>
              <w:spacing w:before="18"/>
              <w:ind w:right="73"/>
              <w:jc w:val="right"/>
              <w:rPr>
                <w:b/>
                <w:sz w:val="18"/>
              </w:rPr>
            </w:pPr>
            <w:r>
              <w:rPr>
                <w:b/>
                <w:w w:val="95"/>
                <w:sz w:val="18"/>
              </w:rPr>
              <w:t>465</w:t>
            </w:r>
          </w:p>
        </w:tc>
        <w:tc>
          <w:tcPr>
            <w:tcW w:w="587" w:type="dxa"/>
          </w:tcPr>
          <w:p>
            <w:pPr/>
          </w:p>
        </w:tc>
        <w:tc>
          <w:tcPr>
            <w:tcW w:w="709" w:type="dxa"/>
          </w:tcPr>
          <w:p>
            <w:pPr>
              <w:pStyle w:val="TableParagraph"/>
              <w:spacing w:before="18"/>
              <w:ind w:left="334"/>
              <w:rPr>
                <w:sz w:val="18"/>
              </w:rPr>
            </w:pPr>
            <w:r>
              <w:rPr>
                <w:sz w:val="18"/>
              </w:rPr>
              <w:t>496</w:t>
            </w:r>
          </w:p>
        </w:tc>
        <w:tc>
          <w:tcPr>
            <w:tcW w:w="771" w:type="dxa"/>
          </w:tcPr>
          <w:p>
            <w:pPr/>
          </w:p>
        </w:tc>
        <w:tc>
          <w:tcPr>
            <w:tcW w:w="696" w:type="dxa"/>
          </w:tcPr>
          <w:p>
            <w:pPr>
              <w:pStyle w:val="TableParagraph"/>
              <w:spacing w:before="18"/>
              <w:ind w:right="73"/>
              <w:jc w:val="right"/>
              <w:rPr>
                <w:b/>
                <w:sz w:val="18"/>
              </w:rPr>
            </w:pPr>
            <w:r>
              <w:rPr>
                <w:b/>
                <w:w w:val="95"/>
                <w:sz w:val="18"/>
              </w:rPr>
              <w:t>465</w:t>
            </w:r>
          </w:p>
        </w:tc>
        <w:tc>
          <w:tcPr>
            <w:tcW w:w="588" w:type="dxa"/>
          </w:tcPr>
          <w:p>
            <w:pPr/>
          </w:p>
        </w:tc>
        <w:tc>
          <w:tcPr>
            <w:tcW w:w="724" w:type="dxa"/>
          </w:tcPr>
          <w:p>
            <w:pPr>
              <w:pStyle w:val="TableParagraph"/>
              <w:spacing w:before="18"/>
              <w:ind w:left="334"/>
              <w:rPr>
                <w:sz w:val="18"/>
              </w:rPr>
            </w:pPr>
            <w:r>
              <w:rPr>
                <w:sz w:val="18"/>
              </w:rPr>
              <w:t>496</w:t>
            </w:r>
          </w:p>
        </w:tc>
      </w:tr>
      <w:tr>
        <w:trPr>
          <w:trHeight w:val="264" w:hRule="exact"/>
        </w:trPr>
        <w:tc>
          <w:tcPr>
            <w:tcW w:w="417" w:type="dxa"/>
          </w:tcPr>
          <w:p>
            <w:pPr/>
          </w:p>
        </w:tc>
        <w:tc>
          <w:tcPr>
            <w:tcW w:w="3274" w:type="dxa"/>
          </w:tcPr>
          <w:p>
            <w:pPr>
              <w:pStyle w:val="TableParagraph"/>
              <w:spacing w:before="19"/>
              <w:ind w:left="39" w:right="372"/>
              <w:rPr>
                <w:sz w:val="18"/>
              </w:rPr>
            </w:pPr>
            <w:r>
              <w:rPr>
                <w:sz w:val="18"/>
              </w:rPr>
              <w:t>Refund of franking credits</w:t>
            </w:r>
          </w:p>
        </w:tc>
        <w:tc>
          <w:tcPr>
            <w:tcW w:w="728" w:type="dxa"/>
          </w:tcPr>
          <w:p>
            <w:pPr/>
          </w:p>
        </w:tc>
        <w:tc>
          <w:tcPr>
            <w:tcW w:w="1455" w:type="dxa"/>
            <w:gridSpan w:val="2"/>
          </w:tcPr>
          <w:p>
            <w:pPr>
              <w:pStyle w:val="TableParagraph"/>
              <w:spacing w:before="18"/>
              <w:ind w:right="75"/>
              <w:jc w:val="right"/>
              <w:rPr>
                <w:b/>
                <w:sz w:val="18"/>
              </w:rPr>
            </w:pPr>
            <w:r>
              <w:rPr>
                <w:b/>
                <w:w w:val="99"/>
                <w:sz w:val="18"/>
              </w:rPr>
              <w:t>-</w:t>
            </w:r>
          </w:p>
        </w:tc>
        <w:tc>
          <w:tcPr>
            <w:tcW w:w="587" w:type="dxa"/>
          </w:tcPr>
          <w:p>
            <w:pPr/>
          </w:p>
        </w:tc>
        <w:tc>
          <w:tcPr>
            <w:tcW w:w="709" w:type="dxa"/>
          </w:tcPr>
          <w:p>
            <w:pPr>
              <w:pStyle w:val="TableParagraph"/>
              <w:spacing w:before="18"/>
              <w:ind w:left="334"/>
              <w:rPr>
                <w:sz w:val="18"/>
              </w:rPr>
            </w:pPr>
            <w:r>
              <w:rPr>
                <w:sz w:val="18"/>
              </w:rPr>
              <w:t>463</w:t>
            </w:r>
          </w:p>
        </w:tc>
        <w:tc>
          <w:tcPr>
            <w:tcW w:w="771" w:type="dxa"/>
          </w:tcPr>
          <w:p>
            <w:pPr/>
          </w:p>
        </w:tc>
        <w:tc>
          <w:tcPr>
            <w:tcW w:w="696" w:type="dxa"/>
          </w:tcPr>
          <w:p>
            <w:pPr>
              <w:pStyle w:val="TableParagraph"/>
              <w:spacing w:before="18"/>
              <w:ind w:right="75"/>
              <w:jc w:val="right"/>
              <w:rPr>
                <w:b/>
                <w:sz w:val="18"/>
              </w:rPr>
            </w:pPr>
            <w:r>
              <w:rPr>
                <w:b/>
                <w:w w:val="99"/>
                <w:sz w:val="18"/>
              </w:rPr>
              <w:t>-</w:t>
            </w:r>
          </w:p>
        </w:tc>
        <w:tc>
          <w:tcPr>
            <w:tcW w:w="588" w:type="dxa"/>
          </w:tcPr>
          <w:p>
            <w:pPr/>
          </w:p>
        </w:tc>
        <w:tc>
          <w:tcPr>
            <w:tcW w:w="724" w:type="dxa"/>
          </w:tcPr>
          <w:p>
            <w:pPr>
              <w:pStyle w:val="TableParagraph"/>
              <w:spacing w:before="18"/>
              <w:ind w:left="334"/>
              <w:rPr>
                <w:sz w:val="18"/>
              </w:rPr>
            </w:pPr>
            <w:r>
              <w:rPr>
                <w:sz w:val="18"/>
              </w:rPr>
              <w:t>402</w:t>
            </w:r>
          </w:p>
        </w:tc>
      </w:tr>
      <w:tr>
        <w:trPr>
          <w:trHeight w:val="263" w:hRule="exact"/>
        </w:trPr>
        <w:tc>
          <w:tcPr>
            <w:tcW w:w="417" w:type="dxa"/>
          </w:tcPr>
          <w:p>
            <w:pPr/>
          </w:p>
        </w:tc>
        <w:tc>
          <w:tcPr>
            <w:tcW w:w="3274" w:type="dxa"/>
          </w:tcPr>
          <w:p>
            <w:pPr>
              <w:pStyle w:val="TableParagraph"/>
              <w:spacing w:before="19"/>
              <w:ind w:left="40" w:right="372"/>
              <w:rPr>
                <w:sz w:val="18"/>
              </w:rPr>
            </w:pPr>
            <w:r>
              <w:rPr>
                <w:sz w:val="18"/>
              </w:rPr>
              <w:t>Conference and seminar income</w:t>
            </w:r>
          </w:p>
        </w:tc>
        <w:tc>
          <w:tcPr>
            <w:tcW w:w="728" w:type="dxa"/>
          </w:tcPr>
          <w:p>
            <w:pPr/>
          </w:p>
        </w:tc>
        <w:tc>
          <w:tcPr>
            <w:tcW w:w="1455" w:type="dxa"/>
            <w:gridSpan w:val="2"/>
          </w:tcPr>
          <w:p>
            <w:pPr>
              <w:pStyle w:val="TableParagraph"/>
              <w:spacing w:before="18"/>
              <w:ind w:right="74"/>
              <w:jc w:val="right"/>
              <w:rPr>
                <w:b/>
                <w:sz w:val="18"/>
              </w:rPr>
            </w:pPr>
            <w:r>
              <w:rPr>
                <w:b/>
                <w:sz w:val="18"/>
              </w:rPr>
              <w:t>19</w:t>
            </w:r>
          </w:p>
        </w:tc>
        <w:tc>
          <w:tcPr>
            <w:tcW w:w="587" w:type="dxa"/>
          </w:tcPr>
          <w:p>
            <w:pPr/>
          </w:p>
        </w:tc>
        <w:tc>
          <w:tcPr>
            <w:tcW w:w="709" w:type="dxa"/>
          </w:tcPr>
          <w:p>
            <w:pPr>
              <w:pStyle w:val="TableParagraph"/>
              <w:spacing w:before="18"/>
              <w:ind w:left="334"/>
              <w:rPr>
                <w:sz w:val="18"/>
              </w:rPr>
            </w:pPr>
            <w:r>
              <w:rPr>
                <w:sz w:val="18"/>
              </w:rPr>
              <w:t>172</w:t>
            </w:r>
          </w:p>
        </w:tc>
        <w:tc>
          <w:tcPr>
            <w:tcW w:w="771" w:type="dxa"/>
          </w:tcPr>
          <w:p>
            <w:pPr/>
          </w:p>
        </w:tc>
        <w:tc>
          <w:tcPr>
            <w:tcW w:w="696" w:type="dxa"/>
          </w:tcPr>
          <w:p>
            <w:pPr>
              <w:pStyle w:val="TableParagraph"/>
              <w:spacing w:before="18"/>
              <w:ind w:right="74"/>
              <w:jc w:val="right"/>
              <w:rPr>
                <w:b/>
                <w:sz w:val="18"/>
              </w:rPr>
            </w:pPr>
            <w:r>
              <w:rPr>
                <w:b/>
                <w:w w:val="95"/>
                <w:sz w:val="18"/>
              </w:rPr>
              <w:t>24</w:t>
            </w:r>
          </w:p>
        </w:tc>
        <w:tc>
          <w:tcPr>
            <w:tcW w:w="588" w:type="dxa"/>
          </w:tcPr>
          <w:p>
            <w:pPr/>
          </w:p>
        </w:tc>
        <w:tc>
          <w:tcPr>
            <w:tcW w:w="724" w:type="dxa"/>
          </w:tcPr>
          <w:p>
            <w:pPr>
              <w:pStyle w:val="TableParagraph"/>
              <w:spacing w:before="18"/>
              <w:ind w:left="334"/>
              <w:rPr>
                <w:sz w:val="18"/>
              </w:rPr>
            </w:pPr>
            <w:r>
              <w:rPr>
                <w:sz w:val="18"/>
              </w:rPr>
              <w:t>173</w:t>
            </w:r>
          </w:p>
        </w:tc>
      </w:tr>
      <w:tr>
        <w:trPr>
          <w:trHeight w:val="265" w:hRule="exact"/>
        </w:trPr>
        <w:tc>
          <w:tcPr>
            <w:tcW w:w="417" w:type="dxa"/>
          </w:tcPr>
          <w:p>
            <w:pPr/>
          </w:p>
        </w:tc>
        <w:tc>
          <w:tcPr>
            <w:tcW w:w="3274" w:type="dxa"/>
          </w:tcPr>
          <w:p>
            <w:pPr>
              <w:pStyle w:val="TableParagraph"/>
              <w:spacing w:before="20"/>
              <w:ind w:left="39" w:right="372"/>
              <w:rPr>
                <w:sz w:val="18"/>
              </w:rPr>
            </w:pPr>
            <w:r>
              <w:rPr>
                <w:sz w:val="18"/>
              </w:rPr>
              <w:t>Insurance recoveries - fire damage</w:t>
            </w:r>
          </w:p>
        </w:tc>
        <w:tc>
          <w:tcPr>
            <w:tcW w:w="728" w:type="dxa"/>
          </w:tcPr>
          <w:p>
            <w:pPr>
              <w:pStyle w:val="TableParagraph"/>
              <w:spacing w:before="17"/>
              <w:ind w:left="150"/>
              <w:rPr>
                <w:sz w:val="18"/>
              </w:rPr>
            </w:pPr>
            <w:r>
              <w:rPr>
                <w:sz w:val="18"/>
              </w:rPr>
              <w:t>13</w:t>
            </w:r>
          </w:p>
        </w:tc>
        <w:tc>
          <w:tcPr>
            <w:tcW w:w="1455" w:type="dxa"/>
            <w:gridSpan w:val="2"/>
          </w:tcPr>
          <w:p>
            <w:pPr>
              <w:pStyle w:val="TableParagraph"/>
              <w:spacing w:before="19"/>
              <w:ind w:left="928"/>
              <w:rPr>
                <w:b/>
                <w:sz w:val="18"/>
              </w:rPr>
            </w:pPr>
            <w:r>
              <w:rPr>
                <w:b/>
                <w:sz w:val="18"/>
              </w:rPr>
              <w:t>5,586</w:t>
            </w:r>
          </w:p>
        </w:tc>
        <w:tc>
          <w:tcPr>
            <w:tcW w:w="587" w:type="dxa"/>
          </w:tcPr>
          <w:p>
            <w:pPr/>
          </w:p>
        </w:tc>
        <w:tc>
          <w:tcPr>
            <w:tcW w:w="709" w:type="dxa"/>
          </w:tcPr>
          <w:p>
            <w:pPr>
              <w:pStyle w:val="TableParagraph"/>
              <w:spacing w:before="19"/>
              <w:ind w:right="73"/>
              <w:jc w:val="right"/>
              <w:rPr>
                <w:sz w:val="18"/>
              </w:rPr>
            </w:pPr>
            <w:r>
              <w:rPr>
                <w:w w:val="99"/>
                <w:sz w:val="18"/>
              </w:rPr>
              <w:t>-</w:t>
            </w:r>
          </w:p>
        </w:tc>
        <w:tc>
          <w:tcPr>
            <w:tcW w:w="771" w:type="dxa"/>
          </w:tcPr>
          <w:p>
            <w:pPr/>
          </w:p>
        </w:tc>
        <w:tc>
          <w:tcPr>
            <w:tcW w:w="696" w:type="dxa"/>
          </w:tcPr>
          <w:p>
            <w:pPr>
              <w:pStyle w:val="TableParagraph"/>
              <w:spacing w:before="19"/>
              <w:ind w:right="73"/>
              <w:jc w:val="right"/>
              <w:rPr>
                <w:b/>
                <w:sz w:val="18"/>
              </w:rPr>
            </w:pPr>
            <w:r>
              <w:rPr>
                <w:b/>
                <w:w w:val="95"/>
                <w:sz w:val="18"/>
              </w:rPr>
              <w:t>5,586</w:t>
            </w:r>
          </w:p>
        </w:tc>
        <w:tc>
          <w:tcPr>
            <w:tcW w:w="588" w:type="dxa"/>
          </w:tcPr>
          <w:p>
            <w:pPr/>
          </w:p>
        </w:tc>
        <w:tc>
          <w:tcPr>
            <w:tcW w:w="724" w:type="dxa"/>
          </w:tcPr>
          <w:p>
            <w:pPr>
              <w:pStyle w:val="TableParagraph"/>
              <w:spacing w:before="19"/>
              <w:ind w:right="88"/>
              <w:jc w:val="right"/>
              <w:rPr>
                <w:sz w:val="18"/>
              </w:rPr>
            </w:pPr>
            <w:r>
              <w:rPr>
                <w:w w:val="99"/>
                <w:sz w:val="18"/>
              </w:rPr>
              <w:t>-</w:t>
            </w:r>
          </w:p>
        </w:tc>
      </w:tr>
      <w:tr>
        <w:trPr>
          <w:trHeight w:val="263" w:hRule="exact"/>
        </w:trPr>
        <w:tc>
          <w:tcPr>
            <w:tcW w:w="417" w:type="dxa"/>
          </w:tcPr>
          <w:p>
            <w:pPr/>
          </w:p>
        </w:tc>
        <w:tc>
          <w:tcPr>
            <w:tcW w:w="3274" w:type="dxa"/>
          </w:tcPr>
          <w:p>
            <w:pPr>
              <w:pStyle w:val="TableParagraph"/>
              <w:spacing w:before="20"/>
              <w:ind w:left="39" w:right="372"/>
              <w:rPr>
                <w:sz w:val="18"/>
              </w:rPr>
            </w:pPr>
            <w:r>
              <w:rPr>
                <w:sz w:val="18"/>
              </w:rPr>
              <w:t>Other</w:t>
            </w:r>
          </w:p>
        </w:tc>
        <w:tc>
          <w:tcPr>
            <w:tcW w:w="728" w:type="dxa"/>
          </w:tcPr>
          <w:p>
            <w:pPr/>
          </w:p>
        </w:tc>
        <w:tc>
          <w:tcPr>
            <w:tcW w:w="1455" w:type="dxa"/>
            <w:gridSpan w:val="2"/>
            <w:tcBorders>
              <w:bottom w:val="single" w:sz="0" w:space="0" w:color="000000"/>
            </w:tcBorders>
          </w:tcPr>
          <w:p>
            <w:pPr>
              <w:pStyle w:val="TableParagraph"/>
              <w:spacing w:before="19"/>
              <w:ind w:left="928"/>
              <w:rPr>
                <w:b/>
                <w:sz w:val="18"/>
              </w:rPr>
            </w:pPr>
            <w:r>
              <w:rPr>
                <w:b/>
                <w:sz w:val="18"/>
              </w:rPr>
              <w:t>3,664</w:t>
            </w:r>
          </w:p>
        </w:tc>
        <w:tc>
          <w:tcPr>
            <w:tcW w:w="587" w:type="dxa"/>
            <w:tcBorders>
              <w:bottom w:val="single" w:sz="0" w:space="0" w:color="000000"/>
            </w:tcBorders>
          </w:tcPr>
          <w:p>
            <w:pPr/>
          </w:p>
        </w:tc>
        <w:tc>
          <w:tcPr>
            <w:tcW w:w="709" w:type="dxa"/>
            <w:tcBorders>
              <w:bottom w:val="single" w:sz="0" w:space="0" w:color="000000"/>
            </w:tcBorders>
          </w:tcPr>
          <w:p>
            <w:pPr>
              <w:pStyle w:val="TableParagraph"/>
              <w:spacing w:before="19"/>
              <w:ind w:left="185"/>
              <w:rPr>
                <w:sz w:val="18"/>
              </w:rPr>
            </w:pPr>
            <w:r>
              <w:rPr>
                <w:sz w:val="18"/>
              </w:rPr>
              <w:t>4,305</w:t>
            </w:r>
          </w:p>
        </w:tc>
        <w:tc>
          <w:tcPr>
            <w:tcW w:w="771" w:type="dxa"/>
            <w:tcBorders>
              <w:bottom w:val="single" w:sz="0" w:space="0" w:color="000000"/>
            </w:tcBorders>
          </w:tcPr>
          <w:p>
            <w:pPr/>
          </w:p>
        </w:tc>
        <w:tc>
          <w:tcPr>
            <w:tcW w:w="696" w:type="dxa"/>
            <w:tcBorders>
              <w:bottom w:val="single" w:sz="0" w:space="0" w:color="000000"/>
            </w:tcBorders>
          </w:tcPr>
          <w:p>
            <w:pPr>
              <w:pStyle w:val="TableParagraph"/>
              <w:spacing w:before="19"/>
              <w:ind w:right="73"/>
              <w:jc w:val="right"/>
              <w:rPr>
                <w:b/>
                <w:sz w:val="18"/>
              </w:rPr>
            </w:pPr>
            <w:r>
              <w:rPr>
                <w:b/>
                <w:w w:val="95"/>
                <w:sz w:val="18"/>
              </w:rPr>
              <w:t>1,915</w:t>
            </w:r>
          </w:p>
        </w:tc>
        <w:tc>
          <w:tcPr>
            <w:tcW w:w="588" w:type="dxa"/>
            <w:tcBorders>
              <w:bottom w:val="single" w:sz="0" w:space="0" w:color="000000"/>
            </w:tcBorders>
          </w:tcPr>
          <w:p>
            <w:pPr/>
          </w:p>
        </w:tc>
        <w:tc>
          <w:tcPr>
            <w:tcW w:w="724" w:type="dxa"/>
            <w:tcBorders>
              <w:bottom w:val="single" w:sz="0" w:space="0" w:color="000000"/>
            </w:tcBorders>
          </w:tcPr>
          <w:p>
            <w:pPr>
              <w:pStyle w:val="TableParagraph"/>
              <w:spacing w:before="19"/>
              <w:ind w:left="185"/>
              <w:rPr>
                <w:sz w:val="18"/>
              </w:rPr>
            </w:pPr>
            <w:r>
              <w:rPr>
                <w:sz w:val="18"/>
              </w:rPr>
              <w:t>1,481</w:t>
            </w:r>
          </w:p>
        </w:tc>
      </w:tr>
      <w:tr>
        <w:trPr>
          <w:trHeight w:val="353" w:hRule="exact"/>
        </w:trPr>
        <w:tc>
          <w:tcPr>
            <w:tcW w:w="417" w:type="dxa"/>
          </w:tcPr>
          <w:p>
            <w:pPr/>
          </w:p>
        </w:tc>
        <w:tc>
          <w:tcPr>
            <w:tcW w:w="3274" w:type="dxa"/>
          </w:tcPr>
          <w:p>
            <w:pPr>
              <w:pStyle w:val="TableParagraph"/>
              <w:spacing w:before="123"/>
              <w:ind w:left="40" w:right="372"/>
              <w:rPr>
                <w:b/>
                <w:sz w:val="18"/>
              </w:rPr>
            </w:pPr>
            <w:r>
              <w:rPr>
                <w:b/>
                <w:sz w:val="18"/>
              </w:rPr>
              <w:t>Total other revenue</w:t>
            </w:r>
          </w:p>
        </w:tc>
        <w:tc>
          <w:tcPr>
            <w:tcW w:w="728" w:type="dxa"/>
          </w:tcPr>
          <w:p>
            <w:pPr/>
          </w:p>
        </w:tc>
        <w:tc>
          <w:tcPr>
            <w:tcW w:w="1455" w:type="dxa"/>
            <w:gridSpan w:val="2"/>
            <w:tcBorders>
              <w:top w:val="single" w:sz="0" w:space="0" w:color="000000"/>
              <w:bottom w:val="single" w:sz="0" w:space="0" w:color="000000"/>
            </w:tcBorders>
          </w:tcPr>
          <w:p>
            <w:pPr>
              <w:pStyle w:val="TableParagraph"/>
              <w:spacing w:before="122"/>
              <w:ind w:left="829"/>
              <w:rPr>
                <w:b/>
                <w:sz w:val="18"/>
              </w:rPr>
            </w:pPr>
            <w:r>
              <w:rPr>
                <w:b/>
                <w:sz w:val="18"/>
              </w:rPr>
              <w:t>50,184</w:t>
            </w:r>
          </w:p>
        </w:tc>
        <w:tc>
          <w:tcPr>
            <w:tcW w:w="587" w:type="dxa"/>
            <w:tcBorders>
              <w:top w:val="single" w:sz="0" w:space="0" w:color="000000"/>
              <w:bottom w:val="single" w:sz="0" w:space="0" w:color="000000"/>
            </w:tcBorders>
          </w:tcPr>
          <w:p>
            <w:pPr/>
          </w:p>
        </w:tc>
        <w:tc>
          <w:tcPr>
            <w:tcW w:w="709" w:type="dxa"/>
            <w:tcBorders>
              <w:top w:val="single" w:sz="0" w:space="0" w:color="000000"/>
              <w:bottom w:val="single" w:sz="0" w:space="0" w:color="000000"/>
            </w:tcBorders>
          </w:tcPr>
          <w:p>
            <w:pPr>
              <w:pStyle w:val="TableParagraph"/>
              <w:spacing w:before="122"/>
              <w:ind w:left="85"/>
              <w:rPr>
                <w:sz w:val="18"/>
              </w:rPr>
            </w:pPr>
            <w:r>
              <w:rPr>
                <w:sz w:val="18"/>
              </w:rPr>
              <w:t>44,644</w:t>
            </w:r>
          </w:p>
        </w:tc>
        <w:tc>
          <w:tcPr>
            <w:tcW w:w="771" w:type="dxa"/>
            <w:tcBorders>
              <w:top w:val="single" w:sz="0" w:space="0" w:color="000000"/>
              <w:bottom w:val="single" w:sz="0" w:space="0" w:color="000000"/>
            </w:tcBorders>
          </w:tcPr>
          <w:p>
            <w:pPr/>
          </w:p>
        </w:tc>
        <w:tc>
          <w:tcPr>
            <w:tcW w:w="696" w:type="dxa"/>
            <w:tcBorders>
              <w:top w:val="single" w:sz="0" w:space="0" w:color="000000"/>
              <w:bottom w:val="single" w:sz="0" w:space="0" w:color="000000"/>
            </w:tcBorders>
          </w:tcPr>
          <w:p>
            <w:pPr>
              <w:pStyle w:val="TableParagraph"/>
              <w:spacing w:before="122"/>
              <w:ind w:right="72"/>
              <w:jc w:val="right"/>
              <w:rPr>
                <w:b/>
                <w:sz w:val="18"/>
              </w:rPr>
            </w:pPr>
            <w:r>
              <w:rPr>
                <w:b/>
                <w:w w:val="95"/>
                <w:sz w:val="18"/>
              </w:rPr>
              <w:t>29,451</w:t>
            </w:r>
          </w:p>
        </w:tc>
        <w:tc>
          <w:tcPr>
            <w:tcW w:w="588" w:type="dxa"/>
            <w:tcBorders>
              <w:top w:val="single" w:sz="0" w:space="0" w:color="000000"/>
              <w:bottom w:val="single" w:sz="0" w:space="0" w:color="000000"/>
            </w:tcBorders>
          </w:tcPr>
          <w:p>
            <w:pPr/>
          </w:p>
        </w:tc>
        <w:tc>
          <w:tcPr>
            <w:tcW w:w="724" w:type="dxa"/>
            <w:tcBorders>
              <w:top w:val="single" w:sz="0" w:space="0" w:color="000000"/>
              <w:bottom w:val="single" w:sz="0" w:space="0" w:color="000000"/>
            </w:tcBorders>
          </w:tcPr>
          <w:p>
            <w:pPr>
              <w:pStyle w:val="TableParagraph"/>
              <w:spacing w:before="122"/>
              <w:ind w:left="85"/>
              <w:rPr>
                <w:sz w:val="18"/>
              </w:rPr>
            </w:pPr>
            <w:r>
              <w:rPr>
                <w:sz w:val="18"/>
              </w:rPr>
              <w:t>25,097</w:t>
            </w:r>
          </w:p>
        </w:tc>
      </w:tr>
      <w:tr>
        <w:trPr>
          <w:trHeight w:val="517" w:hRule="exact"/>
        </w:trPr>
        <w:tc>
          <w:tcPr>
            <w:tcW w:w="417" w:type="dxa"/>
          </w:tcPr>
          <w:p>
            <w:pPr>
              <w:pStyle w:val="TableParagraph"/>
              <w:rPr>
                <w:rFonts w:ascii="Times New Roman"/>
                <w:sz w:val="18"/>
              </w:rPr>
            </w:pPr>
          </w:p>
          <w:p>
            <w:pPr>
              <w:pStyle w:val="TableParagraph"/>
              <w:spacing w:before="106"/>
              <w:ind w:left="35"/>
              <w:rPr>
                <w:b/>
                <w:sz w:val="18"/>
              </w:rPr>
            </w:pPr>
            <w:r>
              <w:rPr>
                <w:b/>
                <w:w w:val="99"/>
                <w:sz w:val="18"/>
              </w:rPr>
              <w:t>9</w:t>
            </w:r>
          </w:p>
        </w:tc>
        <w:tc>
          <w:tcPr>
            <w:tcW w:w="3274" w:type="dxa"/>
          </w:tcPr>
          <w:p>
            <w:pPr>
              <w:pStyle w:val="TableParagraph"/>
              <w:rPr>
                <w:rFonts w:ascii="Times New Roman"/>
                <w:sz w:val="18"/>
              </w:rPr>
            </w:pPr>
          </w:p>
          <w:p>
            <w:pPr>
              <w:pStyle w:val="TableParagraph"/>
              <w:spacing w:before="106"/>
              <w:ind w:left="12"/>
              <w:rPr>
                <w:b/>
                <w:sz w:val="18"/>
              </w:rPr>
            </w:pPr>
            <w:r>
              <w:rPr>
                <w:b/>
                <w:sz w:val="18"/>
              </w:rPr>
              <w:t>Gains/(losses) on disposal of assets</w:t>
            </w:r>
          </w:p>
        </w:tc>
        <w:tc>
          <w:tcPr>
            <w:tcW w:w="728" w:type="dxa"/>
          </w:tcPr>
          <w:p>
            <w:pPr/>
          </w:p>
        </w:tc>
        <w:tc>
          <w:tcPr>
            <w:tcW w:w="1455" w:type="dxa"/>
            <w:gridSpan w:val="2"/>
            <w:tcBorders>
              <w:top w:val="single" w:sz="0" w:space="0" w:color="000000"/>
            </w:tcBorders>
          </w:tcPr>
          <w:p>
            <w:pPr/>
          </w:p>
        </w:tc>
        <w:tc>
          <w:tcPr>
            <w:tcW w:w="587" w:type="dxa"/>
            <w:tcBorders>
              <w:top w:val="single" w:sz="0" w:space="0" w:color="000000"/>
            </w:tcBorders>
          </w:tcPr>
          <w:p>
            <w:pPr/>
          </w:p>
        </w:tc>
        <w:tc>
          <w:tcPr>
            <w:tcW w:w="709" w:type="dxa"/>
            <w:tcBorders>
              <w:top w:val="single" w:sz="0" w:space="0" w:color="000000"/>
            </w:tcBorders>
          </w:tcPr>
          <w:p>
            <w:pPr/>
          </w:p>
        </w:tc>
        <w:tc>
          <w:tcPr>
            <w:tcW w:w="771" w:type="dxa"/>
            <w:tcBorders>
              <w:top w:val="single" w:sz="0" w:space="0" w:color="000000"/>
            </w:tcBorders>
          </w:tcPr>
          <w:p>
            <w:pPr/>
          </w:p>
        </w:tc>
        <w:tc>
          <w:tcPr>
            <w:tcW w:w="696" w:type="dxa"/>
            <w:tcBorders>
              <w:top w:val="single" w:sz="0" w:space="0" w:color="000000"/>
            </w:tcBorders>
          </w:tcPr>
          <w:p>
            <w:pPr/>
          </w:p>
        </w:tc>
        <w:tc>
          <w:tcPr>
            <w:tcW w:w="588" w:type="dxa"/>
            <w:tcBorders>
              <w:top w:val="single" w:sz="0" w:space="0" w:color="000000"/>
            </w:tcBorders>
          </w:tcPr>
          <w:p>
            <w:pPr/>
          </w:p>
        </w:tc>
        <w:tc>
          <w:tcPr>
            <w:tcW w:w="724" w:type="dxa"/>
            <w:tcBorders>
              <w:top w:val="single" w:sz="0" w:space="0" w:color="000000"/>
            </w:tcBorders>
          </w:tcPr>
          <w:p>
            <w:pPr/>
          </w:p>
        </w:tc>
      </w:tr>
      <w:tr>
        <w:trPr>
          <w:trHeight w:val="332" w:hRule="exact"/>
        </w:trPr>
        <w:tc>
          <w:tcPr>
            <w:tcW w:w="417" w:type="dxa"/>
          </w:tcPr>
          <w:p>
            <w:pPr/>
          </w:p>
        </w:tc>
        <w:tc>
          <w:tcPr>
            <w:tcW w:w="3274" w:type="dxa"/>
          </w:tcPr>
          <w:p>
            <w:pPr/>
          </w:p>
        </w:tc>
        <w:tc>
          <w:tcPr>
            <w:tcW w:w="728" w:type="dxa"/>
          </w:tcPr>
          <w:p>
            <w:pPr/>
          </w:p>
        </w:tc>
        <w:tc>
          <w:tcPr>
            <w:tcW w:w="1455" w:type="dxa"/>
            <w:gridSpan w:val="2"/>
          </w:tcPr>
          <w:p>
            <w:pPr>
              <w:pStyle w:val="TableParagraph"/>
              <w:spacing w:before="67"/>
              <w:ind w:left="74"/>
              <w:rPr>
                <w:b/>
                <w:sz w:val="18"/>
              </w:rPr>
            </w:pPr>
            <w:r>
              <w:rPr>
                <w:b/>
                <w:sz w:val="18"/>
              </w:rPr>
              <w:t>Consolidated</w:t>
            </w:r>
          </w:p>
        </w:tc>
        <w:tc>
          <w:tcPr>
            <w:tcW w:w="587" w:type="dxa"/>
          </w:tcPr>
          <w:p>
            <w:pPr/>
          </w:p>
        </w:tc>
        <w:tc>
          <w:tcPr>
            <w:tcW w:w="709" w:type="dxa"/>
          </w:tcPr>
          <w:p>
            <w:pPr/>
          </w:p>
        </w:tc>
        <w:tc>
          <w:tcPr>
            <w:tcW w:w="771" w:type="dxa"/>
          </w:tcPr>
          <w:p>
            <w:pPr>
              <w:pStyle w:val="TableParagraph"/>
              <w:spacing w:before="67"/>
              <w:ind w:right="150"/>
              <w:jc w:val="right"/>
              <w:rPr>
                <w:b/>
                <w:sz w:val="18"/>
              </w:rPr>
            </w:pPr>
            <w:r>
              <w:rPr>
                <w:b/>
                <w:w w:val="95"/>
                <w:sz w:val="18"/>
              </w:rPr>
              <w:t>Parent</w:t>
            </w:r>
          </w:p>
        </w:tc>
        <w:tc>
          <w:tcPr>
            <w:tcW w:w="696" w:type="dxa"/>
          </w:tcPr>
          <w:p>
            <w:pPr/>
          </w:p>
        </w:tc>
        <w:tc>
          <w:tcPr>
            <w:tcW w:w="588" w:type="dxa"/>
          </w:tcPr>
          <w:p>
            <w:pPr/>
          </w:p>
        </w:tc>
        <w:tc>
          <w:tcPr>
            <w:tcW w:w="724" w:type="dxa"/>
          </w:tcPr>
          <w:p>
            <w:pPr/>
          </w:p>
        </w:tc>
      </w:tr>
      <w:tr>
        <w:trPr>
          <w:trHeight w:val="289" w:hRule="exact"/>
        </w:trPr>
        <w:tc>
          <w:tcPr>
            <w:tcW w:w="4419" w:type="dxa"/>
            <w:gridSpan w:val="3"/>
          </w:tcPr>
          <w:p>
            <w:pPr/>
          </w:p>
        </w:tc>
        <w:tc>
          <w:tcPr>
            <w:tcW w:w="780" w:type="dxa"/>
          </w:tcPr>
          <w:p>
            <w:pPr>
              <w:pStyle w:val="TableParagraph"/>
              <w:spacing w:before="39"/>
              <w:ind w:left="244"/>
              <w:rPr>
                <w:b/>
                <w:sz w:val="18"/>
              </w:rPr>
            </w:pPr>
            <w:r>
              <w:rPr>
                <w:b/>
                <w:sz w:val="18"/>
              </w:rPr>
              <w:t>2012</w:t>
            </w:r>
          </w:p>
        </w:tc>
        <w:tc>
          <w:tcPr>
            <w:tcW w:w="674" w:type="dxa"/>
          </w:tcPr>
          <w:p>
            <w:pPr/>
          </w:p>
        </w:tc>
        <w:tc>
          <w:tcPr>
            <w:tcW w:w="587" w:type="dxa"/>
          </w:tcPr>
          <w:p>
            <w:pPr>
              <w:pStyle w:val="TableParagraph"/>
              <w:spacing w:before="39"/>
              <w:ind w:left="58"/>
              <w:rPr>
                <w:b/>
                <w:sz w:val="18"/>
              </w:rPr>
            </w:pPr>
            <w:r>
              <w:rPr>
                <w:b/>
                <w:sz w:val="18"/>
              </w:rPr>
              <w:t>2011</w:t>
            </w:r>
          </w:p>
        </w:tc>
        <w:tc>
          <w:tcPr>
            <w:tcW w:w="709" w:type="dxa"/>
          </w:tcPr>
          <w:p>
            <w:pPr/>
          </w:p>
        </w:tc>
        <w:tc>
          <w:tcPr>
            <w:tcW w:w="771" w:type="dxa"/>
          </w:tcPr>
          <w:p>
            <w:pPr>
              <w:pStyle w:val="TableParagraph"/>
              <w:spacing w:before="39"/>
              <w:ind w:right="111"/>
              <w:jc w:val="right"/>
              <w:rPr>
                <w:b/>
                <w:sz w:val="18"/>
              </w:rPr>
            </w:pPr>
            <w:r>
              <w:rPr>
                <w:b/>
                <w:w w:val="95"/>
                <w:sz w:val="18"/>
              </w:rPr>
              <w:t>2012</w:t>
            </w:r>
          </w:p>
        </w:tc>
        <w:tc>
          <w:tcPr>
            <w:tcW w:w="696" w:type="dxa"/>
          </w:tcPr>
          <w:p>
            <w:pPr/>
          </w:p>
        </w:tc>
        <w:tc>
          <w:tcPr>
            <w:tcW w:w="588" w:type="dxa"/>
          </w:tcPr>
          <w:p>
            <w:pPr>
              <w:pStyle w:val="TableParagraph"/>
              <w:spacing w:before="39"/>
              <w:ind w:left="58"/>
              <w:rPr>
                <w:b/>
                <w:sz w:val="18"/>
              </w:rPr>
            </w:pPr>
            <w:r>
              <w:rPr>
                <w:b/>
                <w:sz w:val="18"/>
              </w:rPr>
              <w:t>2011</w:t>
            </w:r>
          </w:p>
        </w:tc>
        <w:tc>
          <w:tcPr>
            <w:tcW w:w="724" w:type="dxa"/>
          </w:tcPr>
          <w:p>
            <w:pPr/>
          </w:p>
        </w:tc>
      </w:tr>
      <w:tr>
        <w:trPr>
          <w:trHeight w:val="286" w:hRule="exact"/>
        </w:trPr>
        <w:tc>
          <w:tcPr>
            <w:tcW w:w="4419" w:type="dxa"/>
            <w:gridSpan w:val="3"/>
          </w:tcPr>
          <w:p>
            <w:pPr/>
          </w:p>
        </w:tc>
        <w:tc>
          <w:tcPr>
            <w:tcW w:w="780" w:type="dxa"/>
          </w:tcPr>
          <w:p>
            <w:pPr>
              <w:pStyle w:val="TableParagraph"/>
              <w:spacing w:before="24"/>
              <w:ind w:left="244"/>
              <w:rPr>
                <w:b/>
                <w:sz w:val="18"/>
              </w:rPr>
            </w:pPr>
            <w:r>
              <w:rPr>
                <w:b/>
                <w:sz w:val="18"/>
              </w:rPr>
              <w:t>$'000</w:t>
            </w:r>
          </w:p>
        </w:tc>
        <w:tc>
          <w:tcPr>
            <w:tcW w:w="674" w:type="dxa"/>
          </w:tcPr>
          <w:p>
            <w:pPr/>
          </w:p>
        </w:tc>
        <w:tc>
          <w:tcPr>
            <w:tcW w:w="587" w:type="dxa"/>
          </w:tcPr>
          <w:p>
            <w:pPr>
              <w:pStyle w:val="TableParagraph"/>
              <w:spacing w:before="24"/>
              <w:ind w:left="58"/>
              <w:rPr>
                <w:b/>
                <w:sz w:val="18"/>
              </w:rPr>
            </w:pPr>
            <w:r>
              <w:rPr>
                <w:b/>
                <w:sz w:val="18"/>
              </w:rPr>
              <w:t>$'000</w:t>
            </w:r>
          </w:p>
        </w:tc>
        <w:tc>
          <w:tcPr>
            <w:tcW w:w="709" w:type="dxa"/>
          </w:tcPr>
          <w:p>
            <w:pPr/>
          </w:p>
        </w:tc>
        <w:tc>
          <w:tcPr>
            <w:tcW w:w="771" w:type="dxa"/>
          </w:tcPr>
          <w:p>
            <w:pPr>
              <w:pStyle w:val="TableParagraph"/>
              <w:spacing w:before="24"/>
              <w:ind w:right="68"/>
              <w:jc w:val="right"/>
              <w:rPr>
                <w:b/>
                <w:sz w:val="18"/>
              </w:rPr>
            </w:pPr>
            <w:r>
              <w:rPr>
                <w:b/>
                <w:w w:val="95"/>
                <w:sz w:val="18"/>
              </w:rPr>
              <w:t>$'000</w:t>
            </w:r>
          </w:p>
        </w:tc>
        <w:tc>
          <w:tcPr>
            <w:tcW w:w="696" w:type="dxa"/>
          </w:tcPr>
          <w:p>
            <w:pPr/>
          </w:p>
        </w:tc>
        <w:tc>
          <w:tcPr>
            <w:tcW w:w="588" w:type="dxa"/>
          </w:tcPr>
          <w:p>
            <w:pPr>
              <w:pStyle w:val="TableParagraph"/>
              <w:spacing w:before="24"/>
              <w:ind w:left="58"/>
              <w:rPr>
                <w:b/>
                <w:sz w:val="18"/>
              </w:rPr>
            </w:pPr>
            <w:r>
              <w:rPr>
                <w:b/>
                <w:sz w:val="18"/>
              </w:rPr>
              <w:t>$'000</w:t>
            </w:r>
          </w:p>
        </w:tc>
        <w:tc>
          <w:tcPr>
            <w:tcW w:w="724" w:type="dxa"/>
          </w:tcPr>
          <w:p>
            <w:pPr/>
          </w:p>
        </w:tc>
      </w:tr>
      <w:tr>
        <w:trPr>
          <w:trHeight w:val="282" w:hRule="exact"/>
        </w:trPr>
        <w:tc>
          <w:tcPr>
            <w:tcW w:w="4419" w:type="dxa"/>
            <w:gridSpan w:val="3"/>
          </w:tcPr>
          <w:p>
            <w:pPr>
              <w:pStyle w:val="TableParagraph"/>
              <w:spacing w:before="37"/>
              <w:ind w:left="474" w:right="1174"/>
              <w:rPr>
                <w:sz w:val="18"/>
              </w:rPr>
            </w:pPr>
            <w:r>
              <w:rPr>
                <w:sz w:val="18"/>
              </w:rPr>
              <w:t>Proceeds from sale</w:t>
            </w:r>
          </w:p>
        </w:tc>
        <w:tc>
          <w:tcPr>
            <w:tcW w:w="780" w:type="dxa"/>
          </w:tcPr>
          <w:p>
            <w:pPr/>
          </w:p>
        </w:tc>
        <w:tc>
          <w:tcPr>
            <w:tcW w:w="674" w:type="dxa"/>
          </w:tcPr>
          <w:p>
            <w:pPr>
              <w:pStyle w:val="TableParagraph"/>
              <w:spacing w:before="36"/>
              <w:ind w:left="80"/>
              <w:jc w:val="center"/>
              <w:rPr>
                <w:b/>
                <w:sz w:val="18"/>
              </w:rPr>
            </w:pPr>
            <w:r>
              <w:rPr>
                <w:b/>
                <w:sz w:val="18"/>
              </w:rPr>
              <w:t>3,423</w:t>
            </w:r>
          </w:p>
        </w:tc>
        <w:tc>
          <w:tcPr>
            <w:tcW w:w="587" w:type="dxa"/>
          </w:tcPr>
          <w:p>
            <w:pPr/>
          </w:p>
        </w:tc>
        <w:tc>
          <w:tcPr>
            <w:tcW w:w="709" w:type="dxa"/>
          </w:tcPr>
          <w:p>
            <w:pPr>
              <w:pStyle w:val="TableParagraph"/>
              <w:spacing w:before="36"/>
              <w:ind w:left="186"/>
              <w:rPr>
                <w:sz w:val="18"/>
              </w:rPr>
            </w:pPr>
            <w:r>
              <w:rPr>
                <w:sz w:val="18"/>
              </w:rPr>
              <w:t>4,381</w:t>
            </w:r>
          </w:p>
        </w:tc>
        <w:tc>
          <w:tcPr>
            <w:tcW w:w="771" w:type="dxa"/>
          </w:tcPr>
          <w:p>
            <w:pPr/>
          </w:p>
        </w:tc>
        <w:tc>
          <w:tcPr>
            <w:tcW w:w="696" w:type="dxa"/>
          </w:tcPr>
          <w:p>
            <w:pPr>
              <w:pStyle w:val="TableParagraph"/>
              <w:spacing w:before="36"/>
              <w:ind w:right="69"/>
              <w:jc w:val="right"/>
              <w:rPr>
                <w:b/>
                <w:sz w:val="18"/>
              </w:rPr>
            </w:pPr>
            <w:r>
              <w:rPr>
                <w:b/>
                <w:w w:val="95"/>
                <w:sz w:val="18"/>
              </w:rPr>
              <w:t>3,212</w:t>
            </w:r>
          </w:p>
        </w:tc>
        <w:tc>
          <w:tcPr>
            <w:tcW w:w="588" w:type="dxa"/>
          </w:tcPr>
          <w:p>
            <w:pPr/>
          </w:p>
        </w:tc>
        <w:tc>
          <w:tcPr>
            <w:tcW w:w="724" w:type="dxa"/>
          </w:tcPr>
          <w:p>
            <w:pPr>
              <w:pStyle w:val="TableParagraph"/>
              <w:spacing w:before="36"/>
              <w:ind w:left="186"/>
              <w:rPr>
                <w:sz w:val="18"/>
              </w:rPr>
            </w:pPr>
            <w:r>
              <w:rPr>
                <w:sz w:val="18"/>
              </w:rPr>
              <w:t>4,193</w:t>
            </w:r>
          </w:p>
        </w:tc>
      </w:tr>
      <w:tr>
        <w:trPr>
          <w:trHeight w:val="262" w:hRule="exact"/>
        </w:trPr>
        <w:tc>
          <w:tcPr>
            <w:tcW w:w="4419" w:type="dxa"/>
            <w:gridSpan w:val="3"/>
          </w:tcPr>
          <w:p>
            <w:pPr>
              <w:pStyle w:val="TableParagraph"/>
              <w:spacing w:before="19"/>
              <w:ind w:left="474" w:right="1174"/>
              <w:rPr>
                <w:sz w:val="18"/>
              </w:rPr>
            </w:pPr>
            <w:r>
              <w:rPr>
                <w:sz w:val="18"/>
              </w:rPr>
              <w:t>Carrying amount of assets sold</w:t>
            </w:r>
          </w:p>
        </w:tc>
        <w:tc>
          <w:tcPr>
            <w:tcW w:w="780" w:type="dxa"/>
            <w:tcBorders>
              <w:bottom w:val="single" w:sz="0" w:space="0" w:color="000000"/>
            </w:tcBorders>
          </w:tcPr>
          <w:p>
            <w:pPr/>
          </w:p>
        </w:tc>
        <w:tc>
          <w:tcPr>
            <w:tcW w:w="674" w:type="dxa"/>
            <w:tcBorders>
              <w:bottom w:val="single" w:sz="0" w:space="0" w:color="000000"/>
            </w:tcBorders>
          </w:tcPr>
          <w:p>
            <w:pPr>
              <w:pStyle w:val="TableParagraph"/>
              <w:spacing w:before="18"/>
              <w:ind w:left="80"/>
              <w:jc w:val="center"/>
              <w:rPr>
                <w:b/>
                <w:sz w:val="18"/>
              </w:rPr>
            </w:pPr>
            <w:r>
              <w:rPr>
                <w:b/>
                <w:sz w:val="18"/>
              </w:rPr>
              <w:t>(6,553)</w:t>
            </w:r>
          </w:p>
        </w:tc>
        <w:tc>
          <w:tcPr>
            <w:tcW w:w="587" w:type="dxa"/>
            <w:tcBorders>
              <w:bottom w:val="single" w:sz="0" w:space="0" w:color="000000"/>
            </w:tcBorders>
          </w:tcPr>
          <w:p>
            <w:pPr/>
          </w:p>
        </w:tc>
        <w:tc>
          <w:tcPr>
            <w:tcW w:w="709" w:type="dxa"/>
            <w:tcBorders>
              <w:bottom w:val="single" w:sz="0" w:space="0" w:color="000000"/>
            </w:tcBorders>
          </w:tcPr>
          <w:p>
            <w:pPr>
              <w:pStyle w:val="TableParagraph"/>
              <w:spacing w:before="18"/>
              <w:ind w:right="10"/>
              <w:jc w:val="right"/>
              <w:rPr>
                <w:sz w:val="18"/>
              </w:rPr>
            </w:pPr>
            <w:r>
              <w:rPr>
                <w:w w:val="95"/>
                <w:sz w:val="18"/>
              </w:rPr>
              <w:t>(6,454)</w:t>
            </w:r>
          </w:p>
        </w:tc>
        <w:tc>
          <w:tcPr>
            <w:tcW w:w="771" w:type="dxa"/>
            <w:tcBorders>
              <w:bottom w:val="single" w:sz="0" w:space="0" w:color="000000"/>
            </w:tcBorders>
          </w:tcPr>
          <w:p>
            <w:pPr/>
          </w:p>
        </w:tc>
        <w:tc>
          <w:tcPr>
            <w:tcW w:w="696" w:type="dxa"/>
            <w:tcBorders>
              <w:bottom w:val="single" w:sz="0" w:space="0" w:color="000000"/>
            </w:tcBorders>
          </w:tcPr>
          <w:p>
            <w:pPr>
              <w:pStyle w:val="TableParagraph"/>
              <w:spacing w:before="18"/>
              <w:ind w:right="9"/>
              <w:jc w:val="right"/>
              <w:rPr>
                <w:b/>
                <w:sz w:val="18"/>
              </w:rPr>
            </w:pPr>
            <w:r>
              <w:rPr>
                <w:b/>
                <w:w w:val="95"/>
                <w:sz w:val="18"/>
              </w:rPr>
              <w:t>(6,338)</w:t>
            </w:r>
          </w:p>
        </w:tc>
        <w:tc>
          <w:tcPr>
            <w:tcW w:w="588" w:type="dxa"/>
            <w:tcBorders>
              <w:bottom w:val="single" w:sz="0" w:space="0" w:color="000000"/>
            </w:tcBorders>
          </w:tcPr>
          <w:p>
            <w:pPr/>
          </w:p>
        </w:tc>
        <w:tc>
          <w:tcPr>
            <w:tcW w:w="724" w:type="dxa"/>
            <w:tcBorders>
              <w:bottom w:val="single" w:sz="0" w:space="0" w:color="000000"/>
            </w:tcBorders>
          </w:tcPr>
          <w:p>
            <w:pPr>
              <w:pStyle w:val="TableParagraph"/>
              <w:spacing w:before="18"/>
              <w:ind w:right="25"/>
              <w:jc w:val="right"/>
              <w:rPr>
                <w:sz w:val="18"/>
              </w:rPr>
            </w:pPr>
            <w:r>
              <w:rPr>
                <w:w w:val="95"/>
                <w:sz w:val="18"/>
              </w:rPr>
              <w:t>(6,245)</w:t>
            </w:r>
          </w:p>
        </w:tc>
      </w:tr>
      <w:tr>
        <w:trPr>
          <w:trHeight w:val="560" w:hRule="exact"/>
        </w:trPr>
        <w:tc>
          <w:tcPr>
            <w:tcW w:w="4419" w:type="dxa"/>
            <w:gridSpan w:val="3"/>
          </w:tcPr>
          <w:p>
            <w:pPr>
              <w:pStyle w:val="TableParagraph"/>
              <w:spacing w:before="123"/>
              <w:ind w:left="474" w:right="1174"/>
              <w:rPr>
                <w:b/>
                <w:sz w:val="18"/>
              </w:rPr>
            </w:pPr>
            <w:r>
              <w:rPr>
                <w:b/>
                <w:sz w:val="18"/>
              </w:rPr>
              <w:t>Total net gain/(loss) on disposal of assets</w:t>
            </w:r>
          </w:p>
        </w:tc>
        <w:tc>
          <w:tcPr>
            <w:tcW w:w="780" w:type="dxa"/>
            <w:tcBorders>
              <w:top w:val="single" w:sz="0" w:space="0" w:color="000000"/>
              <w:bottom w:val="single" w:sz="0" w:space="0" w:color="000000"/>
            </w:tcBorders>
          </w:tcPr>
          <w:p>
            <w:pPr/>
          </w:p>
        </w:tc>
        <w:tc>
          <w:tcPr>
            <w:tcW w:w="674" w:type="dxa"/>
            <w:tcBorders>
              <w:top w:val="single" w:sz="0" w:space="0" w:color="000000"/>
              <w:bottom w:val="single" w:sz="0" w:space="0" w:color="000000"/>
            </w:tcBorders>
          </w:tcPr>
          <w:p>
            <w:pPr>
              <w:pStyle w:val="TableParagraph"/>
              <w:rPr>
                <w:rFonts w:ascii="Times New Roman"/>
                <w:sz w:val="18"/>
              </w:rPr>
            </w:pPr>
          </w:p>
          <w:p>
            <w:pPr>
              <w:pStyle w:val="TableParagraph"/>
              <w:spacing w:before="122"/>
              <w:ind w:left="80"/>
              <w:jc w:val="center"/>
              <w:rPr>
                <w:b/>
                <w:sz w:val="18"/>
              </w:rPr>
            </w:pPr>
            <w:r>
              <w:rPr>
                <w:b/>
                <w:sz w:val="18"/>
              </w:rPr>
              <w:t>(3,130)</w:t>
            </w:r>
          </w:p>
        </w:tc>
        <w:tc>
          <w:tcPr>
            <w:tcW w:w="587" w:type="dxa"/>
            <w:tcBorders>
              <w:top w:val="single" w:sz="0" w:space="0" w:color="000000"/>
              <w:bottom w:val="single" w:sz="0" w:space="0" w:color="000000"/>
            </w:tcBorders>
          </w:tcPr>
          <w:p>
            <w:pPr/>
          </w:p>
        </w:tc>
        <w:tc>
          <w:tcPr>
            <w:tcW w:w="709" w:type="dxa"/>
            <w:tcBorders>
              <w:top w:val="single" w:sz="0" w:space="0" w:color="000000"/>
              <w:bottom w:val="single" w:sz="0" w:space="0" w:color="000000"/>
            </w:tcBorders>
          </w:tcPr>
          <w:p>
            <w:pPr>
              <w:pStyle w:val="TableParagraph"/>
              <w:rPr>
                <w:rFonts w:ascii="Times New Roman"/>
                <w:sz w:val="18"/>
              </w:rPr>
            </w:pPr>
          </w:p>
          <w:p>
            <w:pPr>
              <w:pStyle w:val="TableParagraph"/>
              <w:spacing w:before="122"/>
              <w:ind w:right="10"/>
              <w:jc w:val="right"/>
              <w:rPr>
                <w:sz w:val="18"/>
              </w:rPr>
            </w:pPr>
            <w:r>
              <w:rPr>
                <w:w w:val="95"/>
                <w:sz w:val="18"/>
              </w:rPr>
              <w:t>(2,073)</w:t>
            </w:r>
          </w:p>
        </w:tc>
        <w:tc>
          <w:tcPr>
            <w:tcW w:w="771" w:type="dxa"/>
            <w:tcBorders>
              <w:top w:val="single" w:sz="0" w:space="0" w:color="000000"/>
              <w:bottom w:val="single" w:sz="0" w:space="0" w:color="000000"/>
            </w:tcBorders>
          </w:tcPr>
          <w:p>
            <w:pPr/>
          </w:p>
        </w:tc>
        <w:tc>
          <w:tcPr>
            <w:tcW w:w="696" w:type="dxa"/>
            <w:tcBorders>
              <w:top w:val="single" w:sz="0" w:space="0" w:color="000000"/>
              <w:bottom w:val="single" w:sz="0" w:space="0" w:color="000000"/>
            </w:tcBorders>
          </w:tcPr>
          <w:p>
            <w:pPr>
              <w:pStyle w:val="TableParagraph"/>
              <w:rPr>
                <w:rFonts w:ascii="Times New Roman"/>
                <w:sz w:val="18"/>
              </w:rPr>
            </w:pPr>
          </w:p>
          <w:p>
            <w:pPr>
              <w:pStyle w:val="TableParagraph"/>
              <w:spacing w:before="122"/>
              <w:ind w:right="9"/>
              <w:jc w:val="right"/>
              <w:rPr>
                <w:b/>
                <w:sz w:val="18"/>
              </w:rPr>
            </w:pPr>
            <w:r>
              <w:rPr>
                <w:b/>
                <w:w w:val="95"/>
                <w:sz w:val="18"/>
              </w:rPr>
              <w:t>(3,126)</w:t>
            </w:r>
          </w:p>
        </w:tc>
        <w:tc>
          <w:tcPr>
            <w:tcW w:w="588" w:type="dxa"/>
            <w:tcBorders>
              <w:top w:val="single" w:sz="0" w:space="0" w:color="000000"/>
              <w:bottom w:val="single" w:sz="0" w:space="0" w:color="000000"/>
            </w:tcBorders>
          </w:tcPr>
          <w:p>
            <w:pPr/>
          </w:p>
        </w:tc>
        <w:tc>
          <w:tcPr>
            <w:tcW w:w="724" w:type="dxa"/>
            <w:tcBorders>
              <w:top w:val="single" w:sz="0" w:space="0" w:color="000000"/>
              <w:bottom w:val="single" w:sz="0" w:space="0" w:color="000000"/>
            </w:tcBorders>
          </w:tcPr>
          <w:p>
            <w:pPr>
              <w:pStyle w:val="TableParagraph"/>
              <w:rPr>
                <w:rFonts w:ascii="Times New Roman"/>
                <w:sz w:val="18"/>
              </w:rPr>
            </w:pPr>
          </w:p>
          <w:p>
            <w:pPr>
              <w:pStyle w:val="TableParagraph"/>
              <w:spacing w:before="122"/>
              <w:ind w:right="25"/>
              <w:jc w:val="right"/>
              <w:rPr>
                <w:sz w:val="18"/>
              </w:rPr>
            </w:pPr>
            <w:r>
              <w:rPr>
                <w:w w:val="95"/>
                <w:sz w:val="18"/>
              </w:rPr>
              <w:t>(2,052)</w:t>
            </w:r>
          </w:p>
        </w:tc>
      </w:tr>
    </w:tbl>
    <w:p>
      <w:pPr>
        <w:spacing w:after="0"/>
        <w:jc w:val="right"/>
        <w:rPr>
          <w:sz w:val="18"/>
        </w:rPr>
        <w:sectPr>
          <w:pgSz w:w="11910" w:h="16840"/>
          <w:pgMar w:header="1038" w:footer="507" w:top="2220" w:bottom="700" w:left="860" w:right="880"/>
        </w:sectPr>
      </w:pPr>
    </w:p>
    <w:p>
      <w:pPr>
        <w:pStyle w:val="BodyText"/>
        <w:spacing w:before="7"/>
        <w:rPr>
          <w:rFonts w:ascii="Times New Roman"/>
          <w:sz w:val="26"/>
        </w:rPr>
      </w:pPr>
    </w:p>
    <w:p>
      <w:pPr>
        <w:pStyle w:val="Heading9"/>
        <w:numPr>
          <w:ilvl w:val="0"/>
          <w:numId w:val="12"/>
        </w:numPr>
        <w:tabs>
          <w:tab w:pos="506" w:val="left" w:leader="none"/>
        </w:tabs>
        <w:spacing w:line="240" w:lineRule="auto" w:before="77" w:after="0"/>
        <w:ind w:left="505" w:right="0" w:hanging="396"/>
        <w:jc w:val="left"/>
      </w:pPr>
      <w:r>
        <w:rPr/>
        <w:t>Employee related</w:t>
      </w:r>
      <w:r>
        <w:rPr>
          <w:spacing w:val="-2"/>
        </w:rPr>
        <w:t> </w:t>
      </w:r>
      <w:r>
        <w:rPr/>
        <w:t>expenses</w:t>
      </w:r>
    </w:p>
    <w:p>
      <w:pPr>
        <w:tabs>
          <w:tab w:pos="7258" w:val="left" w:leader="none"/>
        </w:tabs>
        <w:spacing w:before="33"/>
        <w:ind w:left="4522" w:right="128" w:firstLine="0"/>
        <w:jc w:val="left"/>
        <w:rPr>
          <w:b/>
          <w:sz w:val="18"/>
        </w:rPr>
      </w:pPr>
      <w:r>
        <w:rPr>
          <w:b/>
          <w:sz w:val="18"/>
        </w:rPr>
        <w:t>Consolidated</w:t>
        <w:tab/>
        <w:t>Parent</w:t>
      </w:r>
    </w:p>
    <w:p>
      <w:pPr>
        <w:spacing w:after="0"/>
        <w:jc w:val="left"/>
        <w:rPr>
          <w:sz w:val="18"/>
        </w:rPr>
        <w:sectPr>
          <w:pgSz w:w="11910" w:h="16840"/>
          <w:pgMar w:header="1038" w:footer="507" w:top="2220" w:bottom="700" w:left="900" w:right="880"/>
        </w:sectPr>
      </w:pPr>
    </w:p>
    <w:p>
      <w:pPr>
        <w:pStyle w:val="BodyText"/>
        <w:rPr>
          <w:b/>
        </w:rPr>
      </w:pPr>
    </w:p>
    <w:p>
      <w:pPr>
        <w:pStyle w:val="BodyText"/>
        <w:rPr>
          <w:b/>
        </w:rPr>
      </w:pPr>
    </w:p>
    <w:p>
      <w:pPr>
        <w:pStyle w:val="BodyText"/>
        <w:spacing w:before="3"/>
        <w:rPr>
          <w:b/>
          <w:sz w:val="24"/>
        </w:rPr>
      </w:pPr>
    </w:p>
    <w:p>
      <w:pPr>
        <w:spacing w:before="0"/>
        <w:ind w:left="532" w:right="-19" w:firstLine="0"/>
        <w:jc w:val="left"/>
        <w:rPr>
          <w:b/>
          <w:sz w:val="18"/>
        </w:rPr>
      </w:pPr>
      <w:r>
        <w:rPr>
          <w:b/>
          <w:sz w:val="18"/>
        </w:rPr>
        <w:t>Academic</w:t>
      </w:r>
    </w:p>
    <w:p>
      <w:pPr>
        <w:pStyle w:val="BodyText"/>
        <w:rPr>
          <w:b/>
        </w:rPr>
      </w:pPr>
      <w:r>
        <w:rPr/>
        <w:br w:type="column"/>
      </w:r>
      <w:r>
        <w:rPr>
          <w:b/>
        </w:rPr>
      </w:r>
    </w:p>
    <w:p>
      <w:pPr>
        <w:spacing w:before="133"/>
        <w:ind w:left="532" w:right="-19" w:firstLine="0"/>
        <w:jc w:val="left"/>
        <w:rPr>
          <w:b/>
          <w:sz w:val="18"/>
        </w:rPr>
      </w:pPr>
      <w:r>
        <w:rPr>
          <w:b/>
          <w:sz w:val="18"/>
        </w:rPr>
        <w:t>Note</w:t>
      </w:r>
    </w:p>
    <w:p>
      <w:pPr>
        <w:spacing w:before="66"/>
        <w:ind w:left="391" w:right="-20" w:firstLine="0"/>
        <w:jc w:val="left"/>
        <w:rPr>
          <w:b/>
          <w:sz w:val="18"/>
        </w:rPr>
      </w:pPr>
      <w:r>
        <w:rPr/>
        <w:br w:type="column"/>
      </w:r>
      <w:r>
        <w:rPr>
          <w:b/>
          <w:sz w:val="18"/>
        </w:rPr>
        <w:t>2012</w:t>
      </w:r>
    </w:p>
    <w:p>
      <w:pPr>
        <w:spacing w:before="66"/>
        <w:ind w:left="391" w:right="-20" w:firstLine="0"/>
        <w:jc w:val="left"/>
        <w:rPr>
          <w:b/>
          <w:sz w:val="18"/>
        </w:rPr>
      </w:pPr>
      <w:r>
        <w:rPr>
          <w:b/>
          <w:sz w:val="18"/>
        </w:rPr>
        <w:t>$'000</w:t>
      </w:r>
    </w:p>
    <w:p>
      <w:pPr>
        <w:spacing w:before="66"/>
        <w:ind w:left="532" w:right="-20" w:firstLine="0"/>
        <w:jc w:val="left"/>
        <w:rPr>
          <w:b/>
          <w:sz w:val="18"/>
        </w:rPr>
      </w:pPr>
      <w:r>
        <w:rPr/>
        <w:br w:type="column"/>
      </w:r>
      <w:r>
        <w:rPr>
          <w:b/>
          <w:sz w:val="18"/>
        </w:rPr>
        <w:t>2011</w:t>
      </w:r>
    </w:p>
    <w:p>
      <w:pPr>
        <w:spacing w:before="66"/>
        <w:ind w:left="532" w:right="-20" w:firstLine="0"/>
        <w:jc w:val="left"/>
        <w:rPr>
          <w:b/>
          <w:sz w:val="18"/>
        </w:rPr>
      </w:pPr>
      <w:r>
        <w:rPr>
          <w:b/>
          <w:sz w:val="18"/>
        </w:rPr>
        <w:t>$'000</w:t>
      </w:r>
    </w:p>
    <w:p>
      <w:pPr>
        <w:spacing w:before="66"/>
        <w:ind w:left="532" w:right="-20" w:firstLine="0"/>
        <w:jc w:val="left"/>
        <w:rPr>
          <w:b/>
          <w:sz w:val="18"/>
        </w:rPr>
      </w:pPr>
      <w:r>
        <w:rPr/>
        <w:br w:type="column"/>
      </w:r>
      <w:r>
        <w:rPr>
          <w:b/>
          <w:sz w:val="18"/>
        </w:rPr>
        <w:t>2012</w:t>
      </w:r>
    </w:p>
    <w:p>
      <w:pPr>
        <w:spacing w:before="66"/>
        <w:ind w:left="532" w:right="-20" w:firstLine="0"/>
        <w:jc w:val="left"/>
        <w:rPr>
          <w:b/>
          <w:sz w:val="18"/>
        </w:rPr>
      </w:pPr>
      <w:r>
        <w:rPr>
          <w:b/>
          <w:sz w:val="18"/>
        </w:rPr>
        <w:t>$'000</w:t>
      </w:r>
    </w:p>
    <w:p>
      <w:pPr>
        <w:spacing w:before="66"/>
        <w:ind w:left="532" w:right="0" w:firstLine="0"/>
        <w:jc w:val="left"/>
        <w:rPr>
          <w:b/>
          <w:sz w:val="18"/>
        </w:rPr>
      </w:pPr>
      <w:r>
        <w:rPr/>
        <w:br w:type="column"/>
      </w:r>
      <w:r>
        <w:rPr>
          <w:b/>
          <w:sz w:val="18"/>
        </w:rPr>
        <w:t>2011</w:t>
      </w:r>
    </w:p>
    <w:p>
      <w:pPr>
        <w:spacing w:before="66"/>
        <w:ind w:left="532" w:right="0" w:firstLine="0"/>
        <w:jc w:val="left"/>
        <w:rPr>
          <w:b/>
          <w:sz w:val="18"/>
        </w:rPr>
      </w:pPr>
      <w:r>
        <w:rPr>
          <w:b/>
          <w:sz w:val="18"/>
        </w:rPr>
        <w:t>$'000</w:t>
      </w:r>
    </w:p>
    <w:p>
      <w:pPr>
        <w:spacing w:after="0"/>
        <w:jc w:val="left"/>
        <w:rPr>
          <w:sz w:val="18"/>
        </w:rPr>
        <w:sectPr>
          <w:type w:val="continuous"/>
          <w:pgSz w:w="11910" w:h="16840"/>
          <w:pgMar w:top="0" w:bottom="280" w:left="900" w:right="880"/>
          <w:cols w:num="6" w:equalWidth="0">
            <w:col w:w="1384" w:space="1944"/>
            <w:col w:w="933" w:space="40"/>
            <w:col w:w="835" w:space="293"/>
            <w:col w:w="976" w:space="518"/>
            <w:col w:w="976" w:space="293"/>
            <w:col w:w="1938"/>
          </w:cols>
        </w:sectPr>
      </w:pPr>
    </w:p>
    <w:p>
      <w:pPr>
        <w:tabs>
          <w:tab w:pos="5224" w:val="left" w:leader="none"/>
          <w:tab w:pos="6523" w:val="left" w:leader="none"/>
          <w:tab w:pos="7988" w:val="left" w:leader="none"/>
          <w:tab w:pos="9286" w:val="left" w:leader="none"/>
        </w:tabs>
        <w:spacing w:before="29"/>
        <w:ind w:left="747" w:right="128" w:firstLine="0"/>
        <w:jc w:val="left"/>
        <w:rPr>
          <w:sz w:val="18"/>
        </w:rPr>
      </w:pPr>
      <w:r>
        <w:rPr>
          <w:sz w:val="18"/>
        </w:rPr>
        <w:t>Salaries</w:t>
        <w:tab/>
      </w:r>
      <w:r>
        <w:rPr>
          <w:b/>
          <w:sz w:val="18"/>
        </w:rPr>
        <w:t>151,051</w:t>
        <w:tab/>
      </w:r>
      <w:r>
        <w:rPr>
          <w:sz w:val="18"/>
        </w:rPr>
        <w:t>135,988</w:t>
        <w:tab/>
      </w:r>
      <w:r>
        <w:rPr>
          <w:b/>
          <w:sz w:val="18"/>
        </w:rPr>
        <w:t>144,013</w:t>
        <w:tab/>
      </w:r>
      <w:r>
        <w:rPr>
          <w:sz w:val="18"/>
        </w:rPr>
        <w:t>128,532</w:t>
      </w:r>
    </w:p>
    <w:p>
      <w:pPr>
        <w:pStyle w:val="BodyText"/>
        <w:spacing w:line="207" w:lineRule="exact" w:before="54"/>
        <w:ind w:left="747" w:right="128"/>
      </w:pPr>
      <w:r>
        <w:rPr/>
        <w:t>Contribution to superannuation</w:t>
      </w:r>
    </w:p>
    <w:p>
      <w:pPr>
        <w:tabs>
          <w:tab w:pos="5324" w:val="left" w:leader="none"/>
          <w:tab w:pos="6622" w:val="left" w:leader="none"/>
          <w:tab w:pos="8087" w:val="left" w:leader="none"/>
          <w:tab w:pos="9386" w:val="left" w:leader="none"/>
        </w:tabs>
        <w:spacing w:line="207" w:lineRule="exact" w:before="0"/>
        <w:ind w:left="747" w:right="128" w:firstLine="0"/>
        <w:jc w:val="left"/>
        <w:rPr>
          <w:sz w:val="18"/>
        </w:rPr>
      </w:pPr>
      <w:r>
        <w:rPr>
          <w:sz w:val="18"/>
        </w:rPr>
        <w:t>&amp;</w:t>
      </w:r>
      <w:r>
        <w:rPr>
          <w:spacing w:val="-1"/>
          <w:sz w:val="18"/>
        </w:rPr>
        <w:t> </w:t>
      </w:r>
      <w:r>
        <w:rPr>
          <w:sz w:val="18"/>
        </w:rPr>
        <w:t>pension</w:t>
      </w:r>
      <w:r>
        <w:rPr>
          <w:spacing w:val="-1"/>
          <w:sz w:val="18"/>
        </w:rPr>
        <w:t> </w:t>
      </w:r>
      <w:r>
        <w:rPr>
          <w:sz w:val="18"/>
        </w:rPr>
        <w:t>schemes</w:t>
        <w:tab/>
      </w:r>
      <w:r>
        <w:rPr>
          <w:b/>
          <w:sz w:val="18"/>
        </w:rPr>
        <w:t>21,160</w:t>
        <w:tab/>
      </w:r>
      <w:r>
        <w:rPr>
          <w:sz w:val="18"/>
        </w:rPr>
        <w:t>18,886</w:t>
        <w:tab/>
      </w:r>
      <w:r>
        <w:rPr>
          <w:b/>
          <w:sz w:val="18"/>
        </w:rPr>
        <w:t>20,568</w:t>
        <w:tab/>
      </w:r>
      <w:r>
        <w:rPr>
          <w:sz w:val="18"/>
        </w:rPr>
        <w:t>18,287</w:t>
      </w:r>
    </w:p>
    <w:p>
      <w:pPr>
        <w:tabs>
          <w:tab w:pos="5423" w:val="left" w:leader="none"/>
          <w:tab w:pos="6722" w:val="left" w:leader="none"/>
          <w:tab w:pos="8187" w:val="left" w:leader="none"/>
          <w:tab w:pos="9485" w:val="left" w:leader="none"/>
        </w:tabs>
        <w:spacing w:before="57"/>
        <w:ind w:left="747" w:right="128" w:firstLine="0"/>
        <w:jc w:val="left"/>
        <w:rPr>
          <w:sz w:val="18"/>
        </w:rPr>
      </w:pPr>
      <w:r>
        <w:rPr>
          <w:sz w:val="18"/>
        </w:rPr>
        <w:t>Payroll</w:t>
      </w:r>
      <w:r>
        <w:rPr>
          <w:spacing w:val="-1"/>
          <w:sz w:val="18"/>
        </w:rPr>
        <w:t> </w:t>
      </w:r>
      <w:r>
        <w:rPr>
          <w:sz w:val="18"/>
        </w:rPr>
        <w:t>tax</w:t>
        <w:tab/>
      </w:r>
      <w:r>
        <w:rPr>
          <w:b/>
          <w:sz w:val="18"/>
        </w:rPr>
        <w:t>9,102</w:t>
        <w:tab/>
      </w:r>
      <w:r>
        <w:rPr>
          <w:sz w:val="18"/>
        </w:rPr>
        <w:t>8,223</w:t>
        <w:tab/>
      </w:r>
      <w:r>
        <w:rPr>
          <w:b/>
          <w:sz w:val="18"/>
        </w:rPr>
        <w:t>8,687</w:t>
        <w:tab/>
      </w:r>
      <w:r>
        <w:rPr>
          <w:sz w:val="18"/>
        </w:rPr>
        <w:t>7,792</w:t>
      </w:r>
    </w:p>
    <w:p>
      <w:pPr>
        <w:pStyle w:val="BodyText"/>
        <w:tabs>
          <w:tab w:pos="5573" w:val="left" w:leader="none"/>
          <w:tab w:pos="6721" w:val="left" w:leader="none"/>
          <w:tab w:pos="8337" w:val="left" w:leader="none"/>
          <w:tab w:pos="9485" w:val="left" w:leader="none"/>
        </w:tabs>
        <w:spacing w:before="57"/>
        <w:ind w:left="747" w:right="128"/>
      </w:pPr>
      <w:r>
        <w:rPr/>
        <w:t>Worker's</w:t>
      </w:r>
      <w:r>
        <w:rPr>
          <w:spacing w:val="-1"/>
        </w:rPr>
        <w:t> </w:t>
      </w:r>
      <w:r>
        <w:rPr/>
        <w:t>compensation</w:t>
        <w:tab/>
      </w:r>
      <w:r>
        <w:rPr>
          <w:b/>
        </w:rPr>
        <w:t>772</w:t>
        <w:tab/>
      </w:r>
      <w:r>
        <w:rPr/>
        <w:t>1,622</w:t>
        <w:tab/>
      </w:r>
      <w:r>
        <w:rPr>
          <w:b/>
        </w:rPr>
        <w:t>707</w:t>
        <w:tab/>
      </w:r>
      <w:r>
        <w:rPr/>
        <w:t>1,508</w:t>
      </w:r>
    </w:p>
    <w:p>
      <w:pPr>
        <w:tabs>
          <w:tab w:pos="5423" w:val="left" w:leader="none"/>
          <w:tab w:pos="6721" w:val="left" w:leader="none"/>
          <w:tab w:pos="8186" w:val="left" w:leader="none"/>
          <w:tab w:pos="9485" w:val="left" w:leader="none"/>
        </w:tabs>
        <w:spacing w:before="57"/>
        <w:ind w:left="747" w:right="128" w:firstLine="0"/>
        <w:jc w:val="left"/>
        <w:rPr>
          <w:sz w:val="18"/>
        </w:rPr>
      </w:pPr>
      <w:r>
        <w:rPr>
          <w:sz w:val="18"/>
        </w:rPr>
        <w:t>Long service</w:t>
      </w:r>
      <w:r>
        <w:rPr>
          <w:spacing w:val="-1"/>
          <w:sz w:val="18"/>
        </w:rPr>
        <w:t> </w:t>
      </w:r>
      <w:r>
        <w:rPr>
          <w:sz w:val="18"/>
        </w:rPr>
        <w:t>leave</w:t>
      </w:r>
      <w:r>
        <w:rPr>
          <w:spacing w:val="-1"/>
          <w:sz w:val="18"/>
        </w:rPr>
        <w:t> </w:t>
      </w:r>
      <w:r>
        <w:rPr>
          <w:sz w:val="18"/>
        </w:rPr>
        <w:t>expense</w:t>
        <w:tab/>
      </w:r>
      <w:r>
        <w:rPr>
          <w:b/>
          <w:sz w:val="18"/>
        </w:rPr>
        <w:t>4,951</w:t>
        <w:tab/>
      </w:r>
      <w:r>
        <w:rPr>
          <w:sz w:val="18"/>
        </w:rPr>
        <w:t>4,985</w:t>
        <w:tab/>
      </w:r>
      <w:r>
        <w:rPr>
          <w:b/>
          <w:sz w:val="18"/>
        </w:rPr>
        <w:t>4,849</w:t>
        <w:tab/>
      </w:r>
      <w:r>
        <w:rPr>
          <w:sz w:val="18"/>
        </w:rPr>
        <w:t>4,802</w:t>
      </w:r>
    </w:p>
    <w:p>
      <w:pPr>
        <w:tabs>
          <w:tab w:pos="5423" w:val="left" w:leader="none"/>
          <w:tab w:pos="6872" w:val="left" w:leader="none"/>
          <w:tab w:pos="8187" w:val="left" w:leader="none"/>
          <w:tab w:pos="9936" w:val="right" w:leader="none"/>
        </w:tabs>
        <w:spacing w:before="57"/>
        <w:ind w:left="747" w:right="0" w:firstLine="0"/>
        <w:jc w:val="left"/>
        <w:rPr>
          <w:sz w:val="18"/>
        </w:rPr>
      </w:pPr>
      <w:r>
        <w:rPr/>
        <w:drawing>
          <wp:anchor distT="0" distB="0" distL="0" distR="0" allowOverlap="1" layoutInCell="1" locked="0" behindDoc="0" simplePos="0" relativeHeight="2104">
            <wp:simplePos x="0" y="0"/>
            <wp:positionH relativeFrom="page">
              <wp:posOffset>3425571</wp:posOffset>
            </wp:positionH>
            <wp:positionV relativeFrom="paragraph">
              <wp:posOffset>184178</wp:posOffset>
            </wp:positionV>
            <wp:extent cx="3510534" cy="12192"/>
            <wp:effectExtent l="0" t="0" r="0" b="0"/>
            <wp:wrapTopAndBottom/>
            <wp:docPr id="25" name="image41.png" descr=""/>
            <wp:cNvGraphicFramePr>
              <a:graphicFrameLocks noChangeAspect="1"/>
            </wp:cNvGraphicFramePr>
            <a:graphic>
              <a:graphicData uri="http://schemas.openxmlformats.org/drawingml/2006/picture">
                <pic:pic>
                  <pic:nvPicPr>
                    <pic:cNvPr id="26" name="image41.png"/>
                    <pic:cNvPicPr/>
                  </pic:nvPicPr>
                  <pic:blipFill>
                    <a:blip r:embed="rId72" cstate="print"/>
                    <a:stretch>
                      <a:fillRect/>
                    </a:stretch>
                  </pic:blipFill>
                  <pic:spPr>
                    <a:xfrm>
                      <a:off x="0" y="0"/>
                      <a:ext cx="3510534" cy="12192"/>
                    </a:xfrm>
                    <a:prstGeom prst="rect">
                      <a:avLst/>
                    </a:prstGeom>
                  </pic:spPr>
                </pic:pic>
              </a:graphicData>
            </a:graphic>
          </wp:anchor>
        </w:drawing>
      </w:r>
      <w:r>
        <w:rPr>
          <w:sz w:val="18"/>
        </w:rPr>
        <w:t>Annual</w:t>
      </w:r>
      <w:r>
        <w:rPr>
          <w:spacing w:val="-1"/>
          <w:sz w:val="18"/>
        </w:rPr>
        <w:t> </w:t>
      </w:r>
      <w:r>
        <w:rPr>
          <w:sz w:val="18"/>
        </w:rPr>
        <w:t>leave</w:t>
        <w:tab/>
      </w:r>
      <w:r>
        <w:rPr>
          <w:b/>
          <w:sz w:val="18"/>
        </w:rPr>
        <w:t>2,198</w:t>
        <w:tab/>
      </w:r>
      <w:r>
        <w:rPr>
          <w:sz w:val="18"/>
        </w:rPr>
        <w:t>884</w:t>
        <w:tab/>
      </w:r>
      <w:r>
        <w:rPr>
          <w:b/>
          <w:sz w:val="18"/>
        </w:rPr>
        <w:t>2,064</w:t>
      </w:r>
      <w:r>
        <w:rPr>
          <w:rFonts w:ascii="Times New Roman"/>
          <w:sz w:val="18"/>
        </w:rPr>
        <w:tab/>
      </w:r>
      <w:r>
        <w:rPr>
          <w:sz w:val="18"/>
        </w:rPr>
        <w:t>959</w:t>
      </w:r>
    </w:p>
    <w:p>
      <w:pPr>
        <w:tabs>
          <w:tab w:pos="5224" w:val="left" w:leader="none"/>
          <w:tab w:pos="6523" w:val="left" w:leader="none"/>
          <w:tab w:pos="7988" w:val="left" w:leader="none"/>
          <w:tab w:pos="9286" w:val="left" w:leader="none"/>
        </w:tabs>
        <w:spacing w:before="56"/>
        <w:ind w:left="533" w:right="128" w:firstLine="0"/>
        <w:jc w:val="left"/>
        <w:rPr>
          <w:sz w:val="18"/>
        </w:rPr>
      </w:pPr>
      <w:r>
        <w:rPr>
          <w:b/>
          <w:position w:val="-2"/>
          <w:sz w:val="18"/>
        </w:rPr>
        <w:t>Total academic</w:t>
        <w:tab/>
      </w:r>
      <w:r>
        <w:rPr>
          <w:b/>
          <w:sz w:val="18"/>
        </w:rPr>
        <w:t>189,234</w:t>
        <w:tab/>
      </w:r>
      <w:r>
        <w:rPr>
          <w:sz w:val="18"/>
        </w:rPr>
        <w:t>170,588</w:t>
        <w:tab/>
      </w:r>
      <w:r>
        <w:rPr>
          <w:b/>
          <w:sz w:val="18"/>
        </w:rPr>
        <w:t>180,888</w:t>
        <w:tab/>
      </w:r>
      <w:r>
        <w:rPr>
          <w:sz w:val="18"/>
        </w:rPr>
        <w:t>161,880</w:t>
      </w:r>
    </w:p>
    <w:p>
      <w:pPr>
        <w:pStyle w:val="BodyText"/>
        <w:spacing w:line="20" w:lineRule="exact"/>
        <w:ind w:left="4494"/>
        <w:rPr>
          <w:sz w:val="2"/>
        </w:rPr>
      </w:pPr>
      <w:r>
        <w:rPr>
          <w:sz w:val="2"/>
        </w:rPr>
        <w:drawing>
          <wp:inline distT="0" distB="0" distL="0" distR="0">
            <wp:extent cx="3510534" cy="12192"/>
            <wp:effectExtent l="0" t="0" r="0" b="0"/>
            <wp:docPr id="27" name="image42.png" descr=""/>
            <wp:cNvGraphicFramePr>
              <a:graphicFrameLocks noChangeAspect="1"/>
            </wp:cNvGraphicFramePr>
            <a:graphic>
              <a:graphicData uri="http://schemas.openxmlformats.org/drawingml/2006/picture">
                <pic:pic>
                  <pic:nvPicPr>
                    <pic:cNvPr id="28" name="image42.png"/>
                    <pic:cNvPicPr/>
                  </pic:nvPicPr>
                  <pic:blipFill>
                    <a:blip r:embed="rId73" cstate="print"/>
                    <a:stretch>
                      <a:fillRect/>
                    </a:stretch>
                  </pic:blipFill>
                  <pic:spPr>
                    <a:xfrm>
                      <a:off x="0" y="0"/>
                      <a:ext cx="3510534" cy="12192"/>
                    </a:xfrm>
                    <a:prstGeom prst="rect">
                      <a:avLst/>
                    </a:prstGeom>
                  </pic:spPr>
                </pic:pic>
              </a:graphicData>
            </a:graphic>
          </wp:inline>
        </w:drawing>
      </w:r>
      <w:r>
        <w:rPr>
          <w:sz w:val="2"/>
        </w:rPr>
      </w:r>
    </w:p>
    <w:p>
      <w:pPr>
        <w:pStyle w:val="Heading9"/>
        <w:spacing w:before="110"/>
        <w:ind w:left="532" w:right="128"/>
      </w:pPr>
      <w:r>
        <w:rPr/>
        <w:t>Non-academic</w:t>
      </w:r>
    </w:p>
    <w:p>
      <w:pPr>
        <w:tabs>
          <w:tab w:pos="5224" w:val="left" w:leader="none"/>
          <w:tab w:pos="6523" w:val="left" w:leader="none"/>
          <w:tab w:pos="7988" w:val="left" w:leader="none"/>
          <w:tab w:pos="9286" w:val="left" w:leader="none"/>
        </w:tabs>
        <w:spacing w:before="29"/>
        <w:ind w:left="747" w:right="128" w:firstLine="0"/>
        <w:jc w:val="left"/>
        <w:rPr>
          <w:sz w:val="18"/>
        </w:rPr>
      </w:pPr>
      <w:r>
        <w:rPr>
          <w:sz w:val="18"/>
        </w:rPr>
        <w:t>Salaries</w:t>
        <w:tab/>
      </w:r>
      <w:r>
        <w:rPr>
          <w:b/>
          <w:sz w:val="18"/>
        </w:rPr>
        <w:t>141,819</w:t>
        <w:tab/>
      </w:r>
      <w:r>
        <w:rPr>
          <w:sz w:val="18"/>
        </w:rPr>
        <w:t>134,630</w:t>
        <w:tab/>
      </w:r>
      <w:r>
        <w:rPr>
          <w:b/>
          <w:sz w:val="18"/>
        </w:rPr>
        <w:t>125,415</w:t>
        <w:tab/>
      </w:r>
      <w:r>
        <w:rPr>
          <w:sz w:val="18"/>
        </w:rPr>
        <w:t>117,330</w:t>
      </w:r>
    </w:p>
    <w:p>
      <w:pPr>
        <w:pStyle w:val="BodyText"/>
        <w:spacing w:line="207" w:lineRule="exact" w:before="54"/>
        <w:ind w:left="747" w:right="128"/>
      </w:pPr>
      <w:r>
        <w:rPr/>
        <w:t>Contribution to superannuation</w:t>
      </w:r>
    </w:p>
    <w:p>
      <w:pPr>
        <w:tabs>
          <w:tab w:pos="5324" w:val="left" w:leader="none"/>
          <w:tab w:pos="6622" w:val="left" w:leader="none"/>
          <w:tab w:pos="8087" w:val="left" w:leader="none"/>
          <w:tab w:pos="9386" w:val="left" w:leader="none"/>
        </w:tabs>
        <w:spacing w:line="207" w:lineRule="exact" w:before="0"/>
        <w:ind w:left="747" w:right="128" w:firstLine="0"/>
        <w:jc w:val="left"/>
        <w:rPr>
          <w:sz w:val="18"/>
        </w:rPr>
      </w:pPr>
      <w:r>
        <w:rPr>
          <w:sz w:val="18"/>
        </w:rPr>
        <w:t>&amp;</w:t>
      </w:r>
      <w:r>
        <w:rPr>
          <w:spacing w:val="-1"/>
          <w:sz w:val="18"/>
        </w:rPr>
        <w:t> </w:t>
      </w:r>
      <w:r>
        <w:rPr>
          <w:sz w:val="18"/>
        </w:rPr>
        <w:t>pension</w:t>
      </w:r>
      <w:r>
        <w:rPr>
          <w:spacing w:val="-1"/>
          <w:sz w:val="18"/>
        </w:rPr>
        <w:t> </w:t>
      </w:r>
      <w:r>
        <w:rPr>
          <w:sz w:val="18"/>
        </w:rPr>
        <w:t>schemes</w:t>
        <w:tab/>
      </w:r>
      <w:r>
        <w:rPr>
          <w:b/>
          <w:sz w:val="18"/>
        </w:rPr>
        <w:t>20,061</w:t>
        <w:tab/>
      </w:r>
      <w:r>
        <w:rPr>
          <w:sz w:val="18"/>
        </w:rPr>
        <w:t>18,614</w:t>
        <w:tab/>
      </w:r>
      <w:r>
        <w:rPr>
          <w:b/>
          <w:sz w:val="18"/>
        </w:rPr>
        <w:t>18,651</w:t>
        <w:tab/>
      </w:r>
      <w:r>
        <w:rPr>
          <w:sz w:val="18"/>
        </w:rPr>
        <w:t>17,229</w:t>
      </w:r>
    </w:p>
    <w:p>
      <w:pPr>
        <w:tabs>
          <w:tab w:pos="5423" w:val="left" w:leader="none"/>
          <w:tab w:pos="6722" w:val="left" w:leader="none"/>
          <w:tab w:pos="8187" w:val="left" w:leader="none"/>
          <w:tab w:pos="9485" w:val="left" w:leader="none"/>
        </w:tabs>
        <w:spacing w:before="57"/>
        <w:ind w:left="747" w:right="128" w:firstLine="0"/>
        <w:jc w:val="left"/>
        <w:rPr>
          <w:sz w:val="18"/>
        </w:rPr>
      </w:pPr>
      <w:r>
        <w:rPr>
          <w:sz w:val="18"/>
        </w:rPr>
        <w:t>Payroll</w:t>
      </w:r>
      <w:r>
        <w:rPr>
          <w:spacing w:val="-1"/>
          <w:sz w:val="18"/>
        </w:rPr>
        <w:t> </w:t>
      </w:r>
      <w:r>
        <w:rPr>
          <w:sz w:val="18"/>
        </w:rPr>
        <w:t>tax</w:t>
        <w:tab/>
      </w:r>
      <w:r>
        <w:rPr>
          <w:b/>
          <w:sz w:val="18"/>
        </w:rPr>
        <w:t>8,282</w:t>
        <w:tab/>
      </w:r>
      <w:r>
        <w:rPr>
          <w:sz w:val="18"/>
        </w:rPr>
        <w:t>7,704</w:t>
        <w:tab/>
      </w:r>
      <w:r>
        <w:rPr>
          <w:b/>
          <w:sz w:val="18"/>
        </w:rPr>
        <w:t>7,955</w:t>
        <w:tab/>
      </w:r>
      <w:r>
        <w:rPr>
          <w:sz w:val="18"/>
        </w:rPr>
        <w:t>7,296</w:t>
      </w:r>
    </w:p>
    <w:p>
      <w:pPr>
        <w:pStyle w:val="BodyText"/>
        <w:tabs>
          <w:tab w:pos="5573" w:val="left" w:leader="none"/>
          <w:tab w:pos="6721" w:val="left" w:leader="none"/>
          <w:tab w:pos="8337" w:val="left" w:leader="none"/>
          <w:tab w:pos="9485" w:val="left" w:leader="none"/>
        </w:tabs>
        <w:spacing w:before="57"/>
        <w:ind w:left="747" w:right="128"/>
      </w:pPr>
      <w:r>
        <w:rPr/>
        <w:t>Worker's</w:t>
      </w:r>
      <w:r>
        <w:rPr>
          <w:spacing w:val="-1"/>
        </w:rPr>
        <w:t> </w:t>
      </w:r>
      <w:r>
        <w:rPr/>
        <w:t>compensation</w:t>
        <w:tab/>
      </w:r>
      <w:r>
        <w:rPr>
          <w:b/>
        </w:rPr>
        <w:t>913</w:t>
        <w:tab/>
      </w:r>
      <w:r>
        <w:rPr/>
        <w:t>1,560</w:t>
        <w:tab/>
      </w:r>
      <w:r>
        <w:rPr>
          <w:b/>
        </w:rPr>
        <w:t>644</w:t>
        <w:tab/>
      </w:r>
      <w:r>
        <w:rPr/>
        <w:t>1,361</w:t>
      </w:r>
    </w:p>
    <w:p>
      <w:pPr>
        <w:tabs>
          <w:tab w:pos="5423" w:val="left" w:leader="none"/>
          <w:tab w:pos="6721" w:val="left" w:leader="none"/>
          <w:tab w:pos="8186" w:val="left" w:leader="none"/>
          <w:tab w:pos="9485" w:val="left" w:leader="none"/>
        </w:tabs>
        <w:spacing w:before="57"/>
        <w:ind w:left="747" w:right="128" w:firstLine="0"/>
        <w:jc w:val="left"/>
        <w:rPr>
          <w:sz w:val="18"/>
        </w:rPr>
      </w:pPr>
      <w:r>
        <w:rPr>
          <w:sz w:val="18"/>
        </w:rPr>
        <w:t>Long service</w:t>
      </w:r>
      <w:r>
        <w:rPr>
          <w:spacing w:val="-1"/>
          <w:sz w:val="18"/>
        </w:rPr>
        <w:t> </w:t>
      </w:r>
      <w:r>
        <w:rPr>
          <w:sz w:val="18"/>
        </w:rPr>
        <w:t>leave</w:t>
      </w:r>
      <w:r>
        <w:rPr>
          <w:spacing w:val="-1"/>
          <w:sz w:val="18"/>
        </w:rPr>
        <w:t> </w:t>
      </w:r>
      <w:r>
        <w:rPr>
          <w:sz w:val="18"/>
        </w:rPr>
        <w:t>expense</w:t>
        <w:tab/>
      </w:r>
      <w:r>
        <w:rPr>
          <w:b/>
          <w:sz w:val="18"/>
        </w:rPr>
        <w:t>4,600</w:t>
        <w:tab/>
      </w:r>
      <w:r>
        <w:rPr>
          <w:sz w:val="18"/>
        </w:rPr>
        <w:t>4,760</w:t>
        <w:tab/>
      </w:r>
      <w:r>
        <w:rPr>
          <w:b/>
          <w:sz w:val="18"/>
        </w:rPr>
        <w:t>4,433</w:t>
        <w:tab/>
      </w:r>
      <w:r>
        <w:rPr>
          <w:sz w:val="18"/>
        </w:rPr>
        <w:t>4,569</w:t>
      </w:r>
    </w:p>
    <w:p>
      <w:pPr>
        <w:tabs>
          <w:tab w:pos="5573" w:val="left" w:leader="none"/>
          <w:tab w:pos="6872" w:val="left" w:leader="none"/>
          <w:tab w:pos="8337" w:val="left" w:leader="none"/>
          <w:tab w:pos="9635" w:val="left" w:leader="none"/>
        </w:tabs>
        <w:spacing w:before="57"/>
        <w:ind w:left="747" w:right="128" w:firstLine="0"/>
        <w:jc w:val="left"/>
        <w:rPr>
          <w:sz w:val="18"/>
        </w:rPr>
      </w:pPr>
      <w:r>
        <w:rPr/>
        <w:drawing>
          <wp:anchor distT="0" distB="0" distL="0" distR="0" allowOverlap="1" layoutInCell="1" locked="0" behindDoc="0" simplePos="0" relativeHeight="2128">
            <wp:simplePos x="0" y="0"/>
            <wp:positionH relativeFrom="page">
              <wp:posOffset>3425571</wp:posOffset>
            </wp:positionH>
            <wp:positionV relativeFrom="paragraph">
              <wp:posOffset>184177</wp:posOffset>
            </wp:positionV>
            <wp:extent cx="3537960" cy="12287"/>
            <wp:effectExtent l="0" t="0" r="0" b="0"/>
            <wp:wrapTopAndBottom/>
            <wp:docPr id="29" name="image43.png" descr=""/>
            <wp:cNvGraphicFramePr>
              <a:graphicFrameLocks noChangeAspect="1"/>
            </wp:cNvGraphicFramePr>
            <a:graphic>
              <a:graphicData uri="http://schemas.openxmlformats.org/drawingml/2006/picture">
                <pic:pic>
                  <pic:nvPicPr>
                    <pic:cNvPr id="30" name="image43.png"/>
                    <pic:cNvPicPr/>
                  </pic:nvPicPr>
                  <pic:blipFill>
                    <a:blip r:embed="rId74" cstate="print"/>
                    <a:stretch>
                      <a:fillRect/>
                    </a:stretch>
                  </pic:blipFill>
                  <pic:spPr>
                    <a:xfrm>
                      <a:off x="0" y="0"/>
                      <a:ext cx="3537960" cy="12287"/>
                    </a:xfrm>
                    <a:prstGeom prst="rect">
                      <a:avLst/>
                    </a:prstGeom>
                  </pic:spPr>
                </pic:pic>
              </a:graphicData>
            </a:graphic>
          </wp:anchor>
        </w:drawing>
      </w:r>
      <w:r>
        <w:rPr>
          <w:sz w:val="18"/>
        </w:rPr>
        <w:t>Annual</w:t>
      </w:r>
      <w:r>
        <w:rPr>
          <w:spacing w:val="-1"/>
          <w:sz w:val="18"/>
        </w:rPr>
        <w:t> </w:t>
      </w:r>
      <w:r>
        <w:rPr>
          <w:sz w:val="18"/>
        </w:rPr>
        <w:t>leave</w:t>
        <w:tab/>
      </w:r>
      <w:r>
        <w:rPr>
          <w:b/>
          <w:sz w:val="18"/>
        </w:rPr>
        <w:t>770</w:t>
        <w:tab/>
      </w:r>
      <w:r>
        <w:rPr>
          <w:sz w:val="18"/>
        </w:rPr>
        <w:t>834</w:t>
        <w:tab/>
      </w:r>
      <w:r>
        <w:rPr>
          <w:b/>
          <w:sz w:val="18"/>
        </w:rPr>
        <w:t>612</w:t>
      </w:r>
      <w:r>
        <w:rPr>
          <w:rFonts w:ascii="Times New Roman"/>
          <w:sz w:val="18"/>
        </w:rPr>
        <w:tab/>
      </w:r>
      <w:r>
        <w:rPr>
          <w:sz w:val="18"/>
        </w:rPr>
        <w:t>718</w:t>
      </w:r>
    </w:p>
    <w:p>
      <w:pPr>
        <w:tabs>
          <w:tab w:pos="5224" w:val="left" w:leader="none"/>
          <w:tab w:pos="6523" w:val="left" w:leader="none"/>
          <w:tab w:pos="7988" w:val="left" w:leader="none"/>
          <w:tab w:pos="9286" w:val="left" w:leader="none"/>
        </w:tabs>
        <w:spacing w:before="56"/>
        <w:ind w:left="532" w:right="128" w:firstLine="0"/>
        <w:jc w:val="left"/>
        <w:rPr>
          <w:sz w:val="18"/>
        </w:rPr>
      </w:pPr>
      <w:r>
        <w:rPr>
          <w:b/>
          <w:position w:val="-2"/>
          <w:sz w:val="18"/>
        </w:rPr>
        <w:t>Total non-academic</w:t>
        <w:tab/>
      </w:r>
      <w:r>
        <w:rPr>
          <w:b/>
          <w:sz w:val="18"/>
        </w:rPr>
        <w:t>176,445</w:t>
        <w:tab/>
      </w:r>
      <w:r>
        <w:rPr>
          <w:sz w:val="18"/>
        </w:rPr>
        <w:t>168,102</w:t>
        <w:tab/>
      </w:r>
      <w:r>
        <w:rPr>
          <w:b/>
          <w:sz w:val="18"/>
        </w:rPr>
        <w:t>157,710</w:t>
        <w:tab/>
      </w:r>
      <w:r>
        <w:rPr>
          <w:sz w:val="18"/>
        </w:rPr>
        <w:t>148,503</w:t>
      </w:r>
    </w:p>
    <w:p>
      <w:pPr>
        <w:pStyle w:val="BodyText"/>
        <w:spacing w:line="20" w:lineRule="exact"/>
        <w:ind w:left="4494"/>
        <w:rPr>
          <w:sz w:val="2"/>
        </w:rPr>
      </w:pPr>
      <w:r>
        <w:rPr>
          <w:sz w:val="2"/>
        </w:rPr>
        <w:drawing>
          <wp:inline distT="0" distB="0" distL="0" distR="0">
            <wp:extent cx="3537960" cy="12287"/>
            <wp:effectExtent l="0" t="0" r="0" b="0"/>
            <wp:docPr id="31" name="image44.png" descr=""/>
            <wp:cNvGraphicFramePr>
              <a:graphicFrameLocks noChangeAspect="1"/>
            </wp:cNvGraphicFramePr>
            <a:graphic>
              <a:graphicData uri="http://schemas.openxmlformats.org/drawingml/2006/picture">
                <pic:pic>
                  <pic:nvPicPr>
                    <pic:cNvPr id="32" name="image44.png"/>
                    <pic:cNvPicPr/>
                  </pic:nvPicPr>
                  <pic:blipFill>
                    <a:blip r:embed="rId75" cstate="print"/>
                    <a:stretch>
                      <a:fillRect/>
                    </a:stretch>
                  </pic:blipFill>
                  <pic:spPr>
                    <a:xfrm>
                      <a:off x="0" y="0"/>
                      <a:ext cx="3537960" cy="12287"/>
                    </a:xfrm>
                    <a:prstGeom prst="rect">
                      <a:avLst/>
                    </a:prstGeom>
                  </pic:spPr>
                </pic:pic>
              </a:graphicData>
            </a:graphic>
          </wp:inline>
        </w:drawing>
      </w:r>
      <w:r>
        <w:rPr>
          <w:sz w:val="2"/>
        </w:rPr>
      </w:r>
    </w:p>
    <w:p>
      <w:pPr>
        <w:pStyle w:val="Heading9"/>
        <w:spacing w:line="192" w:lineRule="exact" w:before="110"/>
        <w:ind w:left="532" w:right="128"/>
      </w:pPr>
      <w:r>
        <w:rPr/>
        <w:t>Total employee related</w:t>
      </w:r>
    </w:p>
    <w:p>
      <w:pPr>
        <w:tabs>
          <w:tab w:pos="5224" w:val="left" w:leader="none"/>
          <w:tab w:pos="6523" w:val="left" w:leader="none"/>
          <w:tab w:pos="7988" w:val="left" w:leader="none"/>
          <w:tab w:pos="9286" w:val="left" w:leader="none"/>
        </w:tabs>
        <w:spacing w:line="222" w:lineRule="exact" w:before="0"/>
        <w:ind w:left="532" w:right="128" w:firstLine="0"/>
        <w:jc w:val="left"/>
        <w:rPr>
          <w:sz w:val="18"/>
        </w:rPr>
      </w:pPr>
      <w:r>
        <w:rPr>
          <w:b/>
          <w:position w:val="-2"/>
          <w:sz w:val="18"/>
        </w:rPr>
        <w:t>expenses</w:t>
        <w:tab/>
      </w:r>
      <w:r>
        <w:rPr>
          <w:b/>
          <w:sz w:val="18"/>
        </w:rPr>
        <w:t>365,679</w:t>
        <w:tab/>
      </w:r>
      <w:r>
        <w:rPr>
          <w:sz w:val="18"/>
        </w:rPr>
        <w:t>338,690</w:t>
        <w:tab/>
      </w:r>
      <w:r>
        <w:rPr>
          <w:b/>
          <w:sz w:val="18"/>
        </w:rPr>
        <w:t>338,598</w:t>
        <w:tab/>
      </w:r>
      <w:r>
        <w:rPr>
          <w:sz w:val="18"/>
        </w:rPr>
        <w:t>310,383</w:t>
      </w:r>
    </w:p>
    <w:p>
      <w:pPr>
        <w:pStyle w:val="BodyText"/>
        <w:spacing w:line="49" w:lineRule="exact"/>
        <w:ind w:left="4494"/>
        <w:rPr>
          <w:sz w:val="4"/>
        </w:rPr>
      </w:pPr>
      <w:r>
        <w:rPr>
          <w:position w:val="0"/>
          <w:sz w:val="4"/>
        </w:rPr>
        <w:drawing>
          <wp:inline distT="0" distB="0" distL="0" distR="0">
            <wp:extent cx="3521236" cy="31337"/>
            <wp:effectExtent l="0" t="0" r="0" b="0"/>
            <wp:docPr id="33" name="image45.png" descr=""/>
            <wp:cNvGraphicFramePr>
              <a:graphicFrameLocks noChangeAspect="1"/>
            </wp:cNvGraphicFramePr>
            <a:graphic>
              <a:graphicData uri="http://schemas.openxmlformats.org/drawingml/2006/picture">
                <pic:pic>
                  <pic:nvPicPr>
                    <pic:cNvPr id="34" name="image45.png"/>
                    <pic:cNvPicPr/>
                  </pic:nvPicPr>
                  <pic:blipFill>
                    <a:blip r:embed="rId76" cstate="print"/>
                    <a:stretch>
                      <a:fillRect/>
                    </a:stretch>
                  </pic:blipFill>
                  <pic:spPr>
                    <a:xfrm>
                      <a:off x="0" y="0"/>
                      <a:ext cx="3521236" cy="31337"/>
                    </a:xfrm>
                    <a:prstGeom prst="rect">
                      <a:avLst/>
                    </a:prstGeom>
                  </pic:spPr>
                </pic:pic>
              </a:graphicData>
            </a:graphic>
          </wp:inline>
        </w:drawing>
      </w:r>
      <w:r>
        <w:rPr>
          <w:position w:val="0"/>
          <w:sz w:val="4"/>
        </w:rPr>
      </w:r>
    </w:p>
    <w:p>
      <w:pPr>
        <w:pStyle w:val="BodyText"/>
        <w:spacing w:line="207" w:lineRule="exact" w:before="26"/>
        <w:ind w:left="532" w:right="128"/>
      </w:pPr>
      <w:r>
        <w:rPr/>
        <w:t>Deferred government employee</w:t>
      </w:r>
    </w:p>
    <w:p>
      <w:pPr>
        <w:tabs>
          <w:tab w:pos="3859" w:val="left" w:leader="none"/>
          <w:tab w:pos="5613" w:val="left" w:leader="none"/>
          <w:tab w:pos="6872" w:val="left" w:leader="none"/>
          <w:tab w:pos="8377" w:val="left" w:leader="none"/>
          <w:tab w:pos="9635" w:val="left" w:leader="none"/>
        </w:tabs>
        <w:spacing w:line="207" w:lineRule="exact" w:before="0"/>
        <w:ind w:left="532" w:right="128" w:firstLine="0"/>
        <w:jc w:val="left"/>
        <w:rPr>
          <w:sz w:val="18"/>
        </w:rPr>
      </w:pPr>
      <w:r>
        <w:rPr/>
        <w:drawing>
          <wp:anchor distT="0" distB="0" distL="0" distR="0" allowOverlap="1" layoutInCell="1" locked="0" behindDoc="0" simplePos="0" relativeHeight="2152">
            <wp:simplePos x="0" y="0"/>
            <wp:positionH relativeFrom="page">
              <wp:posOffset>3425571</wp:posOffset>
            </wp:positionH>
            <wp:positionV relativeFrom="paragraph">
              <wp:posOffset>147797</wp:posOffset>
            </wp:positionV>
            <wp:extent cx="3537960" cy="12287"/>
            <wp:effectExtent l="0" t="0" r="0" b="0"/>
            <wp:wrapTopAndBottom/>
            <wp:docPr id="35" name="image44.png" descr=""/>
            <wp:cNvGraphicFramePr>
              <a:graphicFrameLocks noChangeAspect="1"/>
            </wp:cNvGraphicFramePr>
            <a:graphic>
              <a:graphicData uri="http://schemas.openxmlformats.org/drawingml/2006/picture">
                <pic:pic>
                  <pic:nvPicPr>
                    <pic:cNvPr id="36" name="image44.png"/>
                    <pic:cNvPicPr/>
                  </pic:nvPicPr>
                  <pic:blipFill>
                    <a:blip r:embed="rId75" cstate="print"/>
                    <a:stretch>
                      <a:fillRect/>
                    </a:stretch>
                  </pic:blipFill>
                  <pic:spPr>
                    <a:xfrm>
                      <a:off x="0" y="0"/>
                      <a:ext cx="3537960" cy="12287"/>
                    </a:xfrm>
                    <a:prstGeom prst="rect">
                      <a:avLst/>
                    </a:prstGeom>
                  </pic:spPr>
                </pic:pic>
              </a:graphicData>
            </a:graphic>
          </wp:anchor>
        </w:drawing>
      </w:r>
      <w:r>
        <w:rPr>
          <w:sz w:val="18"/>
        </w:rPr>
        <w:t>superannuation</w:t>
      </w:r>
      <w:r>
        <w:rPr>
          <w:spacing w:val="-1"/>
          <w:sz w:val="18"/>
        </w:rPr>
        <w:t> </w:t>
      </w:r>
      <w:r>
        <w:rPr>
          <w:sz w:val="18"/>
        </w:rPr>
        <w:t>expense</w:t>
        <w:tab/>
        <w:t>36</w:t>
        <w:tab/>
      </w:r>
      <w:r>
        <w:rPr>
          <w:b/>
          <w:sz w:val="18"/>
        </w:rPr>
        <w:t>(69)</w:t>
        <w:tab/>
      </w:r>
      <w:r>
        <w:rPr>
          <w:sz w:val="18"/>
        </w:rPr>
        <w:t>218</w:t>
        <w:tab/>
      </w:r>
      <w:r>
        <w:rPr>
          <w:b/>
          <w:sz w:val="18"/>
        </w:rPr>
        <w:t>(69)</w:t>
      </w:r>
      <w:r>
        <w:rPr>
          <w:rFonts w:ascii="Times New Roman"/>
          <w:sz w:val="18"/>
        </w:rPr>
        <w:tab/>
      </w:r>
      <w:r>
        <w:rPr>
          <w:sz w:val="18"/>
        </w:rPr>
        <w:t>218</w:t>
      </w:r>
    </w:p>
    <w:p>
      <w:pPr>
        <w:pStyle w:val="Heading9"/>
        <w:spacing w:before="84"/>
        <w:ind w:left="532" w:right="6857"/>
      </w:pPr>
      <w:r>
        <w:rPr/>
        <w:t>Total employee related expenses, including deferred Government Employee Benefits</w:t>
      </w:r>
    </w:p>
    <w:p>
      <w:pPr>
        <w:tabs>
          <w:tab w:pos="5224" w:val="left" w:leader="none"/>
          <w:tab w:pos="6523" w:val="left" w:leader="none"/>
          <w:tab w:pos="7988" w:val="left" w:leader="none"/>
          <w:tab w:pos="9286" w:val="left" w:leader="none"/>
        </w:tabs>
        <w:spacing w:line="208" w:lineRule="exact" w:before="0"/>
        <w:ind w:left="532" w:right="128" w:firstLine="0"/>
        <w:jc w:val="left"/>
        <w:rPr>
          <w:sz w:val="18"/>
        </w:rPr>
      </w:pPr>
      <w:r>
        <w:rPr>
          <w:b/>
          <w:position w:val="-2"/>
          <w:sz w:val="18"/>
        </w:rPr>
        <w:t>for Superannuation</w:t>
        <w:tab/>
      </w:r>
      <w:r>
        <w:rPr>
          <w:b/>
          <w:sz w:val="18"/>
        </w:rPr>
        <w:t>365,610</w:t>
        <w:tab/>
      </w:r>
      <w:r>
        <w:rPr>
          <w:sz w:val="18"/>
        </w:rPr>
        <w:t>338,908</w:t>
        <w:tab/>
      </w:r>
      <w:r>
        <w:rPr>
          <w:b/>
          <w:sz w:val="18"/>
        </w:rPr>
        <w:t>338,529</w:t>
        <w:tab/>
      </w:r>
      <w:r>
        <w:rPr>
          <w:sz w:val="18"/>
        </w:rPr>
        <w:t>310,601</w:t>
      </w:r>
    </w:p>
    <w:p>
      <w:pPr>
        <w:pStyle w:val="BodyText"/>
        <w:spacing w:line="49" w:lineRule="exact"/>
        <w:ind w:left="4494"/>
        <w:rPr>
          <w:sz w:val="4"/>
        </w:rPr>
      </w:pPr>
      <w:r>
        <w:rPr>
          <w:position w:val="0"/>
          <w:sz w:val="4"/>
        </w:rPr>
        <w:drawing>
          <wp:inline distT="0" distB="0" distL="0" distR="0">
            <wp:extent cx="3531939" cy="31432"/>
            <wp:effectExtent l="0" t="0" r="0" b="0"/>
            <wp:docPr id="37" name="image46.png" descr=""/>
            <wp:cNvGraphicFramePr>
              <a:graphicFrameLocks noChangeAspect="1"/>
            </wp:cNvGraphicFramePr>
            <a:graphic>
              <a:graphicData uri="http://schemas.openxmlformats.org/drawingml/2006/picture">
                <pic:pic>
                  <pic:nvPicPr>
                    <pic:cNvPr id="38" name="image46.png"/>
                    <pic:cNvPicPr/>
                  </pic:nvPicPr>
                  <pic:blipFill>
                    <a:blip r:embed="rId77" cstate="print"/>
                    <a:stretch>
                      <a:fillRect/>
                    </a:stretch>
                  </pic:blipFill>
                  <pic:spPr>
                    <a:xfrm>
                      <a:off x="0" y="0"/>
                      <a:ext cx="3531939" cy="31432"/>
                    </a:xfrm>
                    <a:prstGeom prst="rect">
                      <a:avLst/>
                    </a:prstGeom>
                  </pic:spPr>
                </pic:pic>
              </a:graphicData>
            </a:graphic>
          </wp:inline>
        </w:drawing>
      </w:r>
      <w:r>
        <w:rPr>
          <w:position w:val="0"/>
          <w:sz w:val="4"/>
        </w:rPr>
      </w:r>
    </w:p>
    <w:p>
      <w:pPr>
        <w:pStyle w:val="BodyText"/>
        <w:spacing w:before="2"/>
      </w:pPr>
    </w:p>
    <w:p>
      <w:pPr>
        <w:pStyle w:val="Heading9"/>
        <w:numPr>
          <w:ilvl w:val="0"/>
          <w:numId w:val="12"/>
        </w:numPr>
        <w:tabs>
          <w:tab w:pos="506" w:val="left" w:leader="none"/>
        </w:tabs>
        <w:spacing w:line="240" w:lineRule="auto" w:before="77" w:after="0"/>
        <w:ind w:left="505" w:right="0" w:hanging="396"/>
        <w:jc w:val="left"/>
      </w:pPr>
      <w:r>
        <w:rPr/>
        <w:t>Depreciation and amortisation</w:t>
      </w:r>
    </w:p>
    <w:p>
      <w:pPr>
        <w:tabs>
          <w:tab w:pos="7258" w:val="left" w:leader="none"/>
        </w:tabs>
        <w:spacing w:before="33" w:after="36"/>
        <w:ind w:left="4522" w:right="128" w:firstLine="0"/>
        <w:jc w:val="left"/>
        <w:rPr>
          <w:b/>
          <w:sz w:val="18"/>
        </w:rPr>
      </w:pPr>
      <w:r>
        <w:rPr>
          <w:b/>
          <w:sz w:val="18"/>
        </w:rPr>
        <w:t>Consolidated</w:t>
        <w:tab/>
        <w:t>Parent</w:t>
      </w:r>
    </w:p>
    <w:tbl>
      <w:tblPr>
        <w:tblW w:w="0" w:type="auto"/>
        <w:jc w:val="left"/>
        <w:tblInd w:w="49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98"/>
        <w:gridCol w:w="735"/>
        <w:gridCol w:w="688"/>
        <w:gridCol w:w="595"/>
        <w:gridCol w:w="801"/>
        <w:gridCol w:w="679"/>
        <w:gridCol w:w="688"/>
        <w:gridCol w:w="595"/>
        <w:gridCol w:w="745"/>
      </w:tblGrid>
      <w:tr>
        <w:trPr>
          <w:trHeight w:val="594" w:hRule="exact"/>
        </w:trPr>
        <w:tc>
          <w:tcPr>
            <w:tcW w:w="3998" w:type="dxa"/>
          </w:tcPr>
          <w:p>
            <w:pPr/>
          </w:p>
        </w:tc>
        <w:tc>
          <w:tcPr>
            <w:tcW w:w="735" w:type="dxa"/>
          </w:tcPr>
          <w:p>
            <w:pPr>
              <w:pStyle w:val="TableParagraph"/>
              <w:spacing w:before="30"/>
              <w:ind w:left="196"/>
              <w:rPr>
                <w:b/>
                <w:sz w:val="18"/>
              </w:rPr>
            </w:pPr>
            <w:r>
              <w:rPr>
                <w:b/>
                <w:sz w:val="18"/>
              </w:rPr>
              <w:t>2012</w:t>
            </w:r>
          </w:p>
          <w:p>
            <w:pPr>
              <w:pStyle w:val="TableParagraph"/>
              <w:spacing w:before="66"/>
              <w:ind w:left="196"/>
              <w:rPr>
                <w:b/>
                <w:sz w:val="18"/>
              </w:rPr>
            </w:pPr>
            <w:r>
              <w:rPr>
                <w:b/>
                <w:sz w:val="18"/>
              </w:rPr>
              <w:t>$'000</w:t>
            </w:r>
          </w:p>
        </w:tc>
        <w:tc>
          <w:tcPr>
            <w:tcW w:w="688" w:type="dxa"/>
          </w:tcPr>
          <w:p>
            <w:pPr/>
          </w:p>
        </w:tc>
        <w:tc>
          <w:tcPr>
            <w:tcW w:w="595" w:type="dxa"/>
          </w:tcPr>
          <w:p>
            <w:pPr>
              <w:pStyle w:val="TableParagraph"/>
              <w:spacing w:before="30"/>
              <w:ind w:left="43"/>
              <w:rPr>
                <w:b/>
                <w:sz w:val="18"/>
              </w:rPr>
            </w:pPr>
            <w:r>
              <w:rPr>
                <w:b/>
                <w:sz w:val="18"/>
              </w:rPr>
              <w:t>2011</w:t>
            </w:r>
          </w:p>
          <w:p>
            <w:pPr>
              <w:pStyle w:val="TableParagraph"/>
              <w:spacing w:before="66"/>
              <w:ind w:left="43"/>
              <w:rPr>
                <w:b/>
                <w:sz w:val="18"/>
              </w:rPr>
            </w:pPr>
            <w:r>
              <w:rPr>
                <w:b/>
                <w:sz w:val="18"/>
              </w:rPr>
              <w:t>$'000</w:t>
            </w:r>
          </w:p>
        </w:tc>
        <w:tc>
          <w:tcPr>
            <w:tcW w:w="801" w:type="dxa"/>
          </w:tcPr>
          <w:p>
            <w:pPr/>
          </w:p>
        </w:tc>
        <w:tc>
          <w:tcPr>
            <w:tcW w:w="679" w:type="dxa"/>
          </w:tcPr>
          <w:p>
            <w:pPr>
              <w:pStyle w:val="TableParagraph"/>
              <w:spacing w:before="30"/>
              <w:ind w:left="141"/>
              <w:rPr>
                <w:b/>
                <w:sz w:val="18"/>
              </w:rPr>
            </w:pPr>
            <w:r>
              <w:rPr>
                <w:b/>
                <w:sz w:val="18"/>
              </w:rPr>
              <w:t>2012</w:t>
            </w:r>
          </w:p>
          <w:p>
            <w:pPr>
              <w:pStyle w:val="TableParagraph"/>
              <w:spacing w:before="66"/>
              <w:ind w:left="141"/>
              <w:rPr>
                <w:b/>
                <w:sz w:val="18"/>
              </w:rPr>
            </w:pPr>
            <w:r>
              <w:rPr>
                <w:b/>
                <w:sz w:val="18"/>
              </w:rPr>
              <w:t>$'000</w:t>
            </w:r>
          </w:p>
        </w:tc>
        <w:tc>
          <w:tcPr>
            <w:tcW w:w="688" w:type="dxa"/>
          </w:tcPr>
          <w:p>
            <w:pPr/>
          </w:p>
        </w:tc>
        <w:tc>
          <w:tcPr>
            <w:tcW w:w="595" w:type="dxa"/>
          </w:tcPr>
          <w:p>
            <w:pPr>
              <w:pStyle w:val="TableParagraph"/>
              <w:spacing w:before="30"/>
              <w:ind w:left="43"/>
              <w:rPr>
                <w:b/>
                <w:sz w:val="18"/>
              </w:rPr>
            </w:pPr>
            <w:r>
              <w:rPr>
                <w:b/>
                <w:sz w:val="18"/>
              </w:rPr>
              <w:t>2011</w:t>
            </w:r>
          </w:p>
          <w:p>
            <w:pPr>
              <w:pStyle w:val="TableParagraph"/>
              <w:spacing w:before="66"/>
              <w:ind w:left="43"/>
              <w:rPr>
                <w:b/>
                <w:sz w:val="18"/>
              </w:rPr>
            </w:pPr>
            <w:r>
              <w:rPr>
                <w:b/>
                <w:sz w:val="18"/>
              </w:rPr>
              <w:t>$'000</w:t>
            </w:r>
          </w:p>
        </w:tc>
        <w:tc>
          <w:tcPr>
            <w:tcW w:w="745" w:type="dxa"/>
            <w:vMerge w:val="restart"/>
          </w:tcPr>
          <w:p>
            <w:pPr/>
          </w:p>
        </w:tc>
      </w:tr>
      <w:tr>
        <w:trPr>
          <w:trHeight w:val="294" w:hRule="exact"/>
        </w:trPr>
        <w:tc>
          <w:tcPr>
            <w:tcW w:w="3998" w:type="dxa"/>
          </w:tcPr>
          <w:p>
            <w:pPr>
              <w:pStyle w:val="TableParagraph"/>
              <w:spacing w:before="63"/>
              <w:ind w:left="35"/>
              <w:rPr>
                <w:b/>
                <w:sz w:val="18"/>
              </w:rPr>
            </w:pPr>
            <w:r>
              <w:rPr>
                <w:b/>
                <w:sz w:val="18"/>
              </w:rPr>
              <w:t>Depreciation</w:t>
            </w:r>
          </w:p>
        </w:tc>
        <w:tc>
          <w:tcPr>
            <w:tcW w:w="735" w:type="dxa"/>
          </w:tcPr>
          <w:p>
            <w:pPr/>
          </w:p>
        </w:tc>
        <w:tc>
          <w:tcPr>
            <w:tcW w:w="688" w:type="dxa"/>
          </w:tcPr>
          <w:p>
            <w:pPr/>
          </w:p>
        </w:tc>
        <w:tc>
          <w:tcPr>
            <w:tcW w:w="595" w:type="dxa"/>
          </w:tcPr>
          <w:p>
            <w:pPr/>
          </w:p>
        </w:tc>
        <w:tc>
          <w:tcPr>
            <w:tcW w:w="801" w:type="dxa"/>
          </w:tcPr>
          <w:p>
            <w:pPr/>
          </w:p>
        </w:tc>
        <w:tc>
          <w:tcPr>
            <w:tcW w:w="679" w:type="dxa"/>
          </w:tcPr>
          <w:p>
            <w:pPr/>
          </w:p>
        </w:tc>
        <w:tc>
          <w:tcPr>
            <w:tcW w:w="688" w:type="dxa"/>
          </w:tcPr>
          <w:p>
            <w:pPr/>
          </w:p>
        </w:tc>
        <w:tc>
          <w:tcPr>
            <w:tcW w:w="595" w:type="dxa"/>
          </w:tcPr>
          <w:p>
            <w:pPr/>
          </w:p>
        </w:tc>
        <w:tc>
          <w:tcPr>
            <w:tcW w:w="745" w:type="dxa"/>
            <w:vMerge/>
          </w:tcPr>
          <w:p>
            <w:pPr/>
          </w:p>
        </w:tc>
      </w:tr>
      <w:tr>
        <w:trPr>
          <w:trHeight w:val="250" w:hRule="exact"/>
        </w:trPr>
        <w:tc>
          <w:tcPr>
            <w:tcW w:w="3998" w:type="dxa"/>
          </w:tcPr>
          <w:p>
            <w:pPr>
              <w:pStyle w:val="TableParagraph"/>
              <w:spacing w:before="6"/>
              <w:ind w:left="35"/>
              <w:rPr>
                <w:sz w:val="18"/>
              </w:rPr>
            </w:pPr>
            <w:r>
              <w:rPr>
                <w:sz w:val="18"/>
              </w:rPr>
              <w:t>Buildings</w:t>
            </w:r>
          </w:p>
        </w:tc>
        <w:tc>
          <w:tcPr>
            <w:tcW w:w="735" w:type="dxa"/>
          </w:tcPr>
          <w:p>
            <w:pPr/>
          </w:p>
        </w:tc>
        <w:tc>
          <w:tcPr>
            <w:tcW w:w="688" w:type="dxa"/>
          </w:tcPr>
          <w:p>
            <w:pPr>
              <w:pStyle w:val="TableParagraph"/>
              <w:spacing w:before="4"/>
              <w:ind w:right="41"/>
              <w:jc w:val="right"/>
              <w:rPr>
                <w:b/>
                <w:sz w:val="18"/>
              </w:rPr>
            </w:pPr>
            <w:r>
              <w:rPr>
                <w:b/>
                <w:w w:val="95"/>
                <w:sz w:val="18"/>
              </w:rPr>
              <w:t>21,447</w:t>
            </w:r>
          </w:p>
        </w:tc>
        <w:tc>
          <w:tcPr>
            <w:tcW w:w="595" w:type="dxa"/>
          </w:tcPr>
          <w:p>
            <w:pPr/>
          </w:p>
        </w:tc>
        <w:tc>
          <w:tcPr>
            <w:tcW w:w="801" w:type="dxa"/>
          </w:tcPr>
          <w:p>
            <w:pPr>
              <w:pStyle w:val="TableParagraph"/>
              <w:spacing w:before="4"/>
              <w:ind w:right="139"/>
              <w:jc w:val="right"/>
              <w:rPr>
                <w:sz w:val="18"/>
              </w:rPr>
            </w:pPr>
            <w:r>
              <w:rPr>
                <w:w w:val="95"/>
                <w:sz w:val="18"/>
              </w:rPr>
              <w:t>18,285</w:t>
            </w:r>
          </w:p>
        </w:tc>
        <w:tc>
          <w:tcPr>
            <w:tcW w:w="679" w:type="dxa"/>
          </w:tcPr>
          <w:p>
            <w:pPr/>
          </w:p>
        </w:tc>
        <w:tc>
          <w:tcPr>
            <w:tcW w:w="688" w:type="dxa"/>
          </w:tcPr>
          <w:p>
            <w:pPr>
              <w:pStyle w:val="TableParagraph"/>
              <w:spacing w:before="4"/>
              <w:ind w:right="41"/>
              <w:jc w:val="right"/>
              <w:rPr>
                <w:b/>
                <w:sz w:val="18"/>
              </w:rPr>
            </w:pPr>
            <w:r>
              <w:rPr>
                <w:b/>
                <w:w w:val="95"/>
                <w:sz w:val="18"/>
              </w:rPr>
              <w:t>21,447</w:t>
            </w:r>
          </w:p>
        </w:tc>
        <w:tc>
          <w:tcPr>
            <w:tcW w:w="595" w:type="dxa"/>
          </w:tcPr>
          <w:p>
            <w:pPr/>
          </w:p>
        </w:tc>
        <w:tc>
          <w:tcPr>
            <w:tcW w:w="745" w:type="dxa"/>
          </w:tcPr>
          <w:p>
            <w:pPr>
              <w:pStyle w:val="TableParagraph"/>
              <w:spacing w:before="4"/>
              <w:ind w:right="83"/>
              <w:jc w:val="right"/>
              <w:rPr>
                <w:sz w:val="18"/>
              </w:rPr>
            </w:pPr>
            <w:r>
              <w:rPr>
                <w:w w:val="95"/>
                <w:sz w:val="18"/>
              </w:rPr>
              <w:t>18,285</w:t>
            </w:r>
          </w:p>
        </w:tc>
      </w:tr>
      <w:tr>
        <w:trPr>
          <w:trHeight w:val="264" w:hRule="exact"/>
        </w:trPr>
        <w:tc>
          <w:tcPr>
            <w:tcW w:w="3998" w:type="dxa"/>
          </w:tcPr>
          <w:p>
            <w:pPr>
              <w:pStyle w:val="TableParagraph"/>
              <w:spacing w:before="19"/>
              <w:ind w:left="35"/>
              <w:rPr>
                <w:sz w:val="18"/>
              </w:rPr>
            </w:pPr>
            <w:r>
              <w:rPr>
                <w:sz w:val="18"/>
              </w:rPr>
              <w:t>Plant and equipment</w:t>
            </w:r>
          </w:p>
        </w:tc>
        <w:tc>
          <w:tcPr>
            <w:tcW w:w="735" w:type="dxa"/>
          </w:tcPr>
          <w:p>
            <w:pPr/>
          </w:p>
        </w:tc>
        <w:tc>
          <w:tcPr>
            <w:tcW w:w="688" w:type="dxa"/>
          </w:tcPr>
          <w:p>
            <w:pPr>
              <w:pStyle w:val="TableParagraph"/>
              <w:spacing w:before="18"/>
              <w:ind w:right="42"/>
              <w:jc w:val="right"/>
              <w:rPr>
                <w:b/>
                <w:sz w:val="18"/>
              </w:rPr>
            </w:pPr>
            <w:r>
              <w:rPr>
                <w:b/>
                <w:w w:val="95"/>
                <w:sz w:val="18"/>
              </w:rPr>
              <w:t>9,228</w:t>
            </w:r>
          </w:p>
        </w:tc>
        <w:tc>
          <w:tcPr>
            <w:tcW w:w="595" w:type="dxa"/>
          </w:tcPr>
          <w:p>
            <w:pPr/>
          </w:p>
        </w:tc>
        <w:tc>
          <w:tcPr>
            <w:tcW w:w="801" w:type="dxa"/>
          </w:tcPr>
          <w:p>
            <w:pPr>
              <w:pStyle w:val="TableParagraph"/>
              <w:spacing w:before="18"/>
              <w:ind w:right="141"/>
              <w:jc w:val="right"/>
              <w:rPr>
                <w:sz w:val="18"/>
              </w:rPr>
            </w:pPr>
            <w:r>
              <w:rPr>
                <w:w w:val="95"/>
                <w:sz w:val="18"/>
              </w:rPr>
              <w:t>9,233</w:t>
            </w:r>
          </w:p>
        </w:tc>
        <w:tc>
          <w:tcPr>
            <w:tcW w:w="679" w:type="dxa"/>
          </w:tcPr>
          <w:p>
            <w:pPr/>
          </w:p>
        </w:tc>
        <w:tc>
          <w:tcPr>
            <w:tcW w:w="688" w:type="dxa"/>
          </w:tcPr>
          <w:p>
            <w:pPr>
              <w:pStyle w:val="TableParagraph"/>
              <w:spacing w:before="18"/>
              <w:ind w:right="42"/>
              <w:jc w:val="right"/>
              <w:rPr>
                <w:b/>
                <w:sz w:val="18"/>
              </w:rPr>
            </w:pPr>
            <w:r>
              <w:rPr>
                <w:b/>
                <w:w w:val="95"/>
                <w:sz w:val="18"/>
              </w:rPr>
              <w:t>8,804</w:t>
            </w:r>
          </w:p>
        </w:tc>
        <w:tc>
          <w:tcPr>
            <w:tcW w:w="595" w:type="dxa"/>
          </w:tcPr>
          <w:p>
            <w:pPr/>
          </w:p>
        </w:tc>
        <w:tc>
          <w:tcPr>
            <w:tcW w:w="745" w:type="dxa"/>
          </w:tcPr>
          <w:p>
            <w:pPr>
              <w:pStyle w:val="TableParagraph"/>
              <w:spacing w:before="18"/>
              <w:ind w:right="84"/>
              <w:jc w:val="right"/>
              <w:rPr>
                <w:sz w:val="18"/>
              </w:rPr>
            </w:pPr>
            <w:r>
              <w:rPr>
                <w:w w:val="95"/>
                <w:sz w:val="18"/>
              </w:rPr>
              <w:t>8,884</w:t>
            </w:r>
          </w:p>
        </w:tc>
      </w:tr>
      <w:tr>
        <w:trPr>
          <w:trHeight w:val="263" w:hRule="exact"/>
        </w:trPr>
        <w:tc>
          <w:tcPr>
            <w:tcW w:w="3998" w:type="dxa"/>
          </w:tcPr>
          <w:p>
            <w:pPr>
              <w:pStyle w:val="TableParagraph"/>
              <w:spacing w:before="19"/>
              <w:ind w:left="35"/>
              <w:rPr>
                <w:sz w:val="18"/>
              </w:rPr>
            </w:pPr>
            <w:r>
              <w:rPr>
                <w:sz w:val="18"/>
              </w:rPr>
              <w:t>Library collection</w:t>
            </w:r>
          </w:p>
        </w:tc>
        <w:tc>
          <w:tcPr>
            <w:tcW w:w="735" w:type="dxa"/>
            <w:tcBorders>
              <w:bottom w:val="single" w:sz="0" w:space="0" w:color="000000"/>
            </w:tcBorders>
          </w:tcPr>
          <w:p>
            <w:pPr/>
          </w:p>
        </w:tc>
        <w:tc>
          <w:tcPr>
            <w:tcW w:w="688" w:type="dxa"/>
            <w:tcBorders>
              <w:bottom w:val="single" w:sz="0" w:space="0" w:color="000000"/>
            </w:tcBorders>
          </w:tcPr>
          <w:p>
            <w:pPr>
              <w:pStyle w:val="TableParagraph"/>
              <w:spacing w:before="18"/>
              <w:ind w:right="42"/>
              <w:jc w:val="right"/>
              <w:rPr>
                <w:b/>
                <w:sz w:val="18"/>
              </w:rPr>
            </w:pPr>
            <w:r>
              <w:rPr>
                <w:b/>
                <w:w w:val="95"/>
                <w:sz w:val="18"/>
              </w:rPr>
              <w:t>3,683</w:t>
            </w:r>
          </w:p>
        </w:tc>
        <w:tc>
          <w:tcPr>
            <w:tcW w:w="595" w:type="dxa"/>
            <w:tcBorders>
              <w:bottom w:val="single" w:sz="0" w:space="0" w:color="000000"/>
            </w:tcBorders>
          </w:tcPr>
          <w:p>
            <w:pPr/>
          </w:p>
        </w:tc>
        <w:tc>
          <w:tcPr>
            <w:tcW w:w="801" w:type="dxa"/>
            <w:tcBorders>
              <w:bottom w:val="single" w:sz="0" w:space="0" w:color="000000"/>
            </w:tcBorders>
          </w:tcPr>
          <w:p>
            <w:pPr>
              <w:pStyle w:val="TableParagraph"/>
              <w:spacing w:before="18"/>
              <w:ind w:right="140"/>
              <w:jc w:val="right"/>
              <w:rPr>
                <w:sz w:val="18"/>
              </w:rPr>
            </w:pPr>
            <w:r>
              <w:rPr>
                <w:w w:val="95"/>
                <w:sz w:val="18"/>
              </w:rPr>
              <w:t>3,643</w:t>
            </w:r>
          </w:p>
        </w:tc>
        <w:tc>
          <w:tcPr>
            <w:tcW w:w="679" w:type="dxa"/>
            <w:tcBorders>
              <w:bottom w:val="single" w:sz="0" w:space="0" w:color="000000"/>
            </w:tcBorders>
          </w:tcPr>
          <w:p>
            <w:pPr/>
          </w:p>
        </w:tc>
        <w:tc>
          <w:tcPr>
            <w:tcW w:w="688" w:type="dxa"/>
            <w:tcBorders>
              <w:bottom w:val="single" w:sz="0" w:space="0" w:color="000000"/>
            </w:tcBorders>
          </w:tcPr>
          <w:p>
            <w:pPr>
              <w:pStyle w:val="TableParagraph"/>
              <w:spacing w:before="18"/>
              <w:ind w:right="42"/>
              <w:jc w:val="right"/>
              <w:rPr>
                <w:b/>
                <w:sz w:val="18"/>
              </w:rPr>
            </w:pPr>
            <w:r>
              <w:rPr>
                <w:b/>
                <w:w w:val="95"/>
                <w:sz w:val="18"/>
              </w:rPr>
              <w:t>3,683</w:t>
            </w:r>
          </w:p>
        </w:tc>
        <w:tc>
          <w:tcPr>
            <w:tcW w:w="595" w:type="dxa"/>
            <w:tcBorders>
              <w:bottom w:val="single" w:sz="0" w:space="0" w:color="000000"/>
            </w:tcBorders>
          </w:tcPr>
          <w:p>
            <w:pPr/>
          </w:p>
        </w:tc>
        <w:tc>
          <w:tcPr>
            <w:tcW w:w="745" w:type="dxa"/>
            <w:tcBorders>
              <w:bottom w:val="single" w:sz="0" w:space="0" w:color="000000"/>
            </w:tcBorders>
          </w:tcPr>
          <w:p>
            <w:pPr>
              <w:pStyle w:val="TableParagraph"/>
              <w:spacing w:before="18"/>
              <w:ind w:right="84"/>
              <w:jc w:val="right"/>
              <w:rPr>
                <w:sz w:val="18"/>
              </w:rPr>
            </w:pPr>
            <w:r>
              <w:rPr>
                <w:w w:val="95"/>
                <w:sz w:val="18"/>
              </w:rPr>
              <w:t>3,643</w:t>
            </w:r>
          </w:p>
        </w:tc>
      </w:tr>
      <w:tr>
        <w:trPr>
          <w:trHeight w:val="338" w:hRule="exact"/>
        </w:trPr>
        <w:tc>
          <w:tcPr>
            <w:tcW w:w="3998" w:type="dxa"/>
          </w:tcPr>
          <w:p>
            <w:pPr>
              <w:pStyle w:val="TableParagraph"/>
              <w:spacing w:before="123"/>
              <w:ind w:left="35"/>
              <w:rPr>
                <w:b/>
                <w:sz w:val="18"/>
              </w:rPr>
            </w:pPr>
            <w:r>
              <w:rPr>
                <w:b/>
                <w:sz w:val="18"/>
              </w:rPr>
              <w:t>Total depreciation</w:t>
            </w:r>
          </w:p>
        </w:tc>
        <w:tc>
          <w:tcPr>
            <w:tcW w:w="735" w:type="dxa"/>
            <w:tcBorders>
              <w:top w:val="single" w:sz="0" w:space="0" w:color="000000"/>
              <w:bottom w:val="single" w:sz="0" w:space="0" w:color="000000"/>
            </w:tcBorders>
          </w:tcPr>
          <w:p>
            <w:pPr/>
          </w:p>
        </w:tc>
        <w:tc>
          <w:tcPr>
            <w:tcW w:w="688" w:type="dxa"/>
            <w:tcBorders>
              <w:top w:val="single" w:sz="0" w:space="0" w:color="000000"/>
              <w:bottom w:val="single" w:sz="0" w:space="0" w:color="000000"/>
            </w:tcBorders>
          </w:tcPr>
          <w:p>
            <w:pPr>
              <w:pStyle w:val="TableParagraph"/>
              <w:spacing w:before="94"/>
              <w:ind w:right="41"/>
              <w:jc w:val="right"/>
              <w:rPr>
                <w:b/>
                <w:sz w:val="18"/>
              </w:rPr>
            </w:pPr>
            <w:r>
              <w:rPr>
                <w:b/>
                <w:w w:val="95"/>
                <w:sz w:val="18"/>
              </w:rPr>
              <w:t>34,358</w:t>
            </w:r>
          </w:p>
        </w:tc>
        <w:tc>
          <w:tcPr>
            <w:tcW w:w="595" w:type="dxa"/>
            <w:tcBorders>
              <w:top w:val="single" w:sz="0" w:space="0" w:color="000000"/>
              <w:bottom w:val="single" w:sz="0" w:space="0" w:color="000000"/>
            </w:tcBorders>
          </w:tcPr>
          <w:p>
            <w:pPr/>
          </w:p>
        </w:tc>
        <w:tc>
          <w:tcPr>
            <w:tcW w:w="801" w:type="dxa"/>
            <w:tcBorders>
              <w:top w:val="single" w:sz="0" w:space="0" w:color="000000"/>
              <w:bottom w:val="single" w:sz="0" w:space="0" w:color="000000"/>
            </w:tcBorders>
          </w:tcPr>
          <w:p>
            <w:pPr>
              <w:pStyle w:val="TableParagraph"/>
              <w:spacing w:before="94"/>
              <w:ind w:right="139"/>
              <w:jc w:val="right"/>
              <w:rPr>
                <w:sz w:val="18"/>
              </w:rPr>
            </w:pPr>
            <w:r>
              <w:rPr>
                <w:w w:val="95"/>
                <w:sz w:val="18"/>
              </w:rPr>
              <w:t>31,161</w:t>
            </w:r>
          </w:p>
        </w:tc>
        <w:tc>
          <w:tcPr>
            <w:tcW w:w="679" w:type="dxa"/>
            <w:tcBorders>
              <w:top w:val="single" w:sz="0" w:space="0" w:color="000000"/>
              <w:bottom w:val="single" w:sz="0" w:space="0" w:color="000000"/>
            </w:tcBorders>
          </w:tcPr>
          <w:p>
            <w:pPr/>
          </w:p>
        </w:tc>
        <w:tc>
          <w:tcPr>
            <w:tcW w:w="688" w:type="dxa"/>
            <w:tcBorders>
              <w:top w:val="single" w:sz="0" w:space="0" w:color="000000"/>
              <w:bottom w:val="single" w:sz="0" w:space="0" w:color="000000"/>
            </w:tcBorders>
          </w:tcPr>
          <w:p>
            <w:pPr>
              <w:pStyle w:val="TableParagraph"/>
              <w:spacing w:before="94"/>
              <w:ind w:right="41"/>
              <w:jc w:val="right"/>
              <w:rPr>
                <w:b/>
                <w:sz w:val="18"/>
              </w:rPr>
            </w:pPr>
            <w:r>
              <w:rPr>
                <w:b/>
                <w:w w:val="95"/>
                <w:sz w:val="18"/>
              </w:rPr>
              <w:t>33,934</w:t>
            </w:r>
          </w:p>
        </w:tc>
        <w:tc>
          <w:tcPr>
            <w:tcW w:w="595" w:type="dxa"/>
            <w:tcBorders>
              <w:top w:val="single" w:sz="0" w:space="0" w:color="000000"/>
              <w:bottom w:val="single" w:sz="0" w:space="0" w:color="000000"/>
            </w:tcBorders>
          </w:tcPr>
          <w:p>
            <w:pPr/>
          </w:p>
        </w:tc>
        <w:tc>
          <w:tcPr>
            <w:tcW w:w="745" w:type="dxa"/>
            <w:tcBorders>
              <w:top w:val="single" w:sz="0" w:space="0" w:color="000000"/>
              <w:bottom w:val="single" w:sz="0" w:space="0" w:color="000000"/>
            </w:tcBorders>
          </w:tcPr>
          <w:p>
            <w:pPr>
              <w:pStyle w:val="TableParagraph"/>
              <w:spacing w:before="94"/>
              <w:ind w:right="83"/>
              <w:jc w:val="right"/>
              <w:rPr>
                <w:sz w:val="18"/>
              </w:rPr>
            </w:pPr>
            <w:r>
              <w:rPr>
                <w:w w:val="95"/>
                <w:sz w:val="18"/>
              </w:rPr>
              <w:t>30,812</w:t>
            </w:r>
          </w:p>
        </w:tc>
      </w:tr>
      <w:tr>
        <w:trPr>
          <w:trHeight w:val="354" w:hRule="exact"/>
        </w:trPr>
        <w:tc>
          <w:tcPr>
            <w:tcW w:w="3998" w:type="dxa"/>
          </w:tcPr>
          <w:p>
            <w:pPr>
              <w:pStyle w:val="TableParagraph"/>
              <w:spacing w:before="123"/>
              <w:ind w:left="35"/>
              <w:rPr>
                <w:b/>
                <w:sz w:val="18"/>
              </w:rPr>
            </w:pPr>
            <w:r>
              <w:rPr>
                <w:b/>
                <w:sz w:val="18"/>
              </w:rPr>
              <w:t>Amortisation</w:t>
            </w:r>
          </w:p>
        </w:tc>
        <w:tc>
          <w:tcPr>
            <w:tcW w:w="735" w:type="dxa"/>
            <w:tcBorders>
              <w:top w:val="single" w:sz="0" w:space="0" w:color="000000"/>
            </w:tcBorders>
          </w:tcPr>
          <w:p>
            <w:pPr/>
          </w:p>
        </w:tc>
        <w:tc>
          <w:tcPr>
            <w:tcW w:w="688" w:type="dxa"/>
            <w:tcBorders>
              <w:top w:val="single" w:sz="0" w:space="0" w:color="000000"/>
            </w:tcBorders>
          </w:tcPr>
          <w:p>
            <w:pPr/>
          </w:p>
        </w:tc>
        <w:tc>
          <w:tcPr>
            <w:tcW w:w="595" w:type="dxa"/>
            <w:tcBorders>
              <w:top w:val="single" w:sz="0" w:space="0" w:color="000000"/>
            </w:tcBorders>
          </w:tcPr>
          <w:p>
            <w:pPr/>
          </w:p>
        </w:tc>
        <w:tc>
          <w:tcPr>
            <w:tcW w:w="801" w:type="dxa"/>
            <w:tcBorders>
              <w:top w:val="single" w:sz="0" w:space="0" w:color="000000"/>
            </w:tcBorders>
          </w:tcPr>
          <w:p>
            <w:pPr/>
          </w:p>
        </w:tc>
        <w:tc>
          <w:tcPr>
            <w:tcW w:w="679" w:type="dxa"/>
            <w:tcBorders>
              <w:top w:val="single" w:sz="0" w:space="0" w:color="000000"/>
            </w:tcBorders>
          </w:tcPr>
          <w:p>
            <w:pPr/>
          </w:p>
        </w:tc>
        <w:tc>
          <w:tcPr>
            <w:tcW w:w="688" w:type="dxa"/>
            <w:tcBorders>
              <w:top w:val="single" w:sz="0" w:space="0" w:color="000000"/>
            </w:tcBorders>
          </w:tcPr>
          <w:p>
            <w:pPr/>
          </w:p>
        </w:tc>
        <w:tc>
          <w:tcPr>
            <w:tcW w:w="595" w:type="dxa"/>
            <w:tcBorders>
              <w:top w:val="single" w:sz="0" w:space="0" w:color="000000"/>
            </w:tcBorders>
          </w:tcPr>
          <w:p>
            <w:pPr/>
          </w:p>
        </w:tc>
        <w:tc>
          <w:tcPr>
            <w:tcW w:w="745" w:type="dxa"/>
            <w:tcBorders>
              <w:top w:val="single" w:sz="0" w:space="0" w:color="000000"/>
            </w:tcBorders>
          </w:tcPr>
          <w:p>
            <w:pPr/>
          </w:p>
        </w:tc>
      </w:tr>
      <w:tr>
        <w:trPr>
          <w:trHeight w:val="250" w:hRule="exact"/>
        </w:trPr>
        <w:tc>
          <w:tcPr>
            <w:tcW w:w="3998" w:type="dxa"/>
          </w:tcPr>
          <w:p>
            <w:pPr>
              <w:pStyle w:val="TableParagraph"/>
              <w:spacing w:before="6"/>
              <w:ind w:left="35"/>
              <w:rPr>
                <w:sz w:val="18"/>
              </w:rPr>
            </w:pPr>
            <w:r>
              <w:rPr>
                <w:sz w:val="18"/>
              </w:rPr>
              <w:t>Leasehold property</w:t>
            </w:r>
          </w:p>
        </w:tc>
        <w:tc>
          <w:tcPr>
            <w:tcW w:w="735" w:type="dxa"/>
          </w:tcPr>
          <w:p>
            <w:pPr/>
          </w:p>
        </w:tc>
        <w:tc>
          <w:tcPr>
            <w:tcW w:w="688" w:type="dxa"/>
          </w:tcPr>
          <w:p>
            <w:pPr>
              <w:pStyle w:val="TableParagraph"/>
              <w:spacing w:before="4"/>
              <w:ind w:right="41"/>
              <w:jc w:val="right"/>
              <w:rPr>
                <w:b/>
                <w:sz w:val="18"/>
              </w:rPr>
            </w:pPr>
            <w:r>
              <w:rPr>
                <w:b/>
                <w:w w:val="95"/>
                <w:sz w:val="18"/>
              </w:rPr>
              <w:t>844</w:t>
            </w:r>
          </w:p>
        </w:tc>
        <w:tc>
          <w:tcPr>
            <w:tcW w:w="595" w:type="dxa"/>
          </w:tcPr>
          <w:p>
            <w:pPr/>
          </w:p>
        </w:tc>
        <w:tc>
          <w:tcPr>
            <w:tcW w:w="801" w:type="dxa"/>
          </w:tcPr>
          <w:p>
            <w:pPr>
              <w:pStyle w:val="TableParagraph"/>
              <w:spacing w:before="4"/>
              <w:ind w:right="139"/>
              <w:jc w:val="right"/>
              <w:rPr>
                <w:sz w:val="18"/>
              </w:rPr>
            </w:pPr>
            <w:r>
              <w:rPr>
                <w:w w:val="95"/>
                <w:sz w:val="18"/>
              </w:rPr>
              <w:t>656</w:t>
            </w:r>
          </w:p>
        </w:tc>
        <w:tc>
          <w:tcPr>
            <w:tcW w:w="679" w:type="dxa"/>
          </w:tcPr>
          <w:p>
            <w:pPr/>
          </w:p>
        </w:tc>
        <w:tc>
          <w:tcPr>
            <w:tcW w:w="688" w:type="dxa"/>
          </w:tcPr>
          <w:p>
            <w:pPr>
              <w:pStyle w:val="TableParagraph"/>
              <w:spacing w:before="4"/>
              <w:ind w:right="41"/>
              <w:jc w:val="right"/>
              <w:rPr>
                <w:b/>
                <w:sz w:val="18"/>
              </w:rPr>
            </w:pPr>
            <w:r>
              <w:rPr>
                <w:b/>
                <w:w w:val="95"/>
                <w:sz w:val="18"/>
              </w:rPr>
              <w:t>253</w:t>
            </w:r>
          </w:p>
        </w:tc>
        <w:tc>
          <w:tcPr>
            <w:tcW w:w="595" w:type="dxa"/>
          </w:tcPr>
          <w:p>
            <w:pPr/>
          </w:p>
        </w:tc>
        <w:tc>
          <w:tcPr>
            <w:tcW w:w="745" w:type="dxa"/>
          </w:tcPr>
          <w:p>
            <w:pPr>
              <w:pStyle w:val="TableParagraph"/>
              <w:spacing w:before="4"/>
              <w:ind w:right="84"/>
              <w:jc w:val="right"/>
              <w:rPr>
                <w:sz w:val="18"/>
              </w:rPr>
            </w:pPr>
            <w:r>
              <w:rPr>
                <w:w w:val="95"/>
                <w:sz w:val="18"/>
              </w:rPr>
              <w:t>328</w:t>
            </w:r>
          </w:p>
        </w:tc>
      </w:tr>
      <w:tr>
        <w:trPr>
          <w:trHeight w:val="262" w:hRule="exact"/>
        </w:trPr>
        <w:tc>
          <w:tcPr>
            <w:tcW w:w="3998" w:type="dxa"/>
          </w:tcPr>
          <w:p>
            <w:pPr>
              <w:pStyle w:val="TableParagraph"/>
              <w:spacing w:before="19"/>
              <w:ind w:left="35"/>
              <w:rPr>
                <w:sz w:val="18"/>
              </w:rPr>
            </w:pPr>
            <w:r>
              <w:rPr>
                <w:sz w:val="18"/>
              </w:rPr>
              <w:t>Intangible assets</w:t>
            </w:r>
          </w:p>
        </w:tc>
        <w:tc>
          <w:tcPr>
            <w:tcW w:w="735" w:type="dxa"/>
            <w:tcBorders>
              <w:bottom w:val="single" w:sz="0" w:space="0" w:color="000000"/>
            </w:tcBorders>
          </w:tcPr>
          <w:p>
            <w:pPr/>
          </w:p>
        </w:tc>
        <w:tc>
          <w:tcPr>
            <w:tcW w:w="688" w:type="dxa"/>
            <w:tcBorders>
              <w:bottom w:val="single" w:sz="0" w:space="0" w:color="000000"/>
            </w:tcBorders>
          </w:tcPr>
          <w:p>
            <w:pPr>
              <w:pStyle w:val="TableParagraph"/>
              <w:spacing w:before="18"/>
              <w:ind w:right="42"/>
              <w:jc w:val="right"/>
              <w:rPr>
                <w:b/>
                <w:sz w:val="18"/>
              </w:rPr>
            </w:pPr>
            <w:r>
              <w:rPr>
                <w:b/>
                <w:sz w:val="18"/>
              </w:rPr>
              <w:t>86</w:t>
            </w:r>
          </w:p>
        </w:tc>
        <w:tc>
          <w:tcPr>
            <w:tcW w:w="595" w:type="dxa"/>
            <w:tcBorders>
              <w:bottom w:val="single" w:sz="0" w:space="0" w:color="000000"/>
            </w:tcBorders>
          </w:tcPr>
          <w:p>
            <w:pPr/>
          </w:p>
        </w:tc>
        <w:tc>
          <w:tcPr>
            <w:tcW w:w="801" w:type="dxa"/>
            <w:tcBorders>
              <w:bottom w:val="single" w:sz="0" w:space="0" w:color="000000"/>
            </w:tcBorders>
          </w:tcPr>
          <w:p>
            <w:pPr>
              <w:pStyle w:val="TableParagraph"/>
              <w:spacing w:before="18"/>
              <w:ind w:right="139"/>
              <w:jc w:val="right"/>
              <w:rPr>
                <w:sz w:val="18"/>
              </w:rPr>
            </w:pPr>
            <w:r>
              <w:rPr>
                <w:w w:val="95"/>
                <w:sz w:val="18"/>
              </w:rPr>
              <w:t>125</w:t>
            </w:r>
          </w:p>
        </w:tc>
        <w:tc>
          <w:tcPr>
            <w:tcW w:w="679" w:type="dxa"/>
            <w:tcBorders>
              <w:bottom w:val="single" w:sz="0" w:space="0" w:color="000000"/>
            </w:tcBorders>
          </w:tcPr>
          <w:p>
            <w:pPr/>
          </w:p>
        </w:tc>
        <w:tc>
          <w:tcPr>
            <w:tcW w:w="688" w:type="dxa"/>
            <w:tcBorders>
              <w:bottom w:val="single" w:sz="0" w:space="0" w:color="000000"/>
            </w:tcBorders>
          </w:tcPr>
          <w:p>
            <w:pPr>
              <w:pStyle w:val="TableParagraph"/>
              <w:spacing w:before="18"/>
              <w:ind w:right="42"/>
              <w:jc w:val="right"/>
              <w:rPr>
                <w:b/>
                <w:sz w:val="18"/>
              </w:rPr>
            </w:pPr>
            <w:r>
              <w:rPr>
                <w:b/>
                <w:sz w:val="18"/>
              </w:rPr>
              <w:t>55</w:t>
            </w:r>
          </w:p>
        </w:tc>
        <w:tc>
          <w:tcPr>
            <w:tcW w:w="595" w:type="dxa"/>
            <w:tcBorders>
              <w:bottom w:val="single" w:sz="0" w:space="0" w:color="000000"/>
            </w:tcBorders>
          </w:tcPr>
          <w:p>
            <w:pPr/>
          </w:p>
        </w:tc>
        <w:tc>
          <w:tcPr>
            <w:tcW w:w="745" w:type="dxa"/>
            <w:tcBorders>
              <w:bottom w:val="single" w:sz="0" w:space="0" w:color="000000"/>
            </w:tcBorders>
          </w:tcPr>
          <w:p>
            <w:pPr>
              <w:pStyle w:val="TableParagraph"/>
              <w:spacing w:before="18"/>
              <w:ind w:right="84"/>
              <w:jc w:val="right"/>
              <w:rPr>
                <w:sz w:val="18"/>
              </w:rPr>
            </w:pPr>
            <w:r>
              <w:rPr>
                <w:sz w:val="18"/>
              </w:rPr>
              <w:t>55</w:t>
            </w:r>
          </w:p>
        </w:tc>
      </w:tr>
      <w:tr>
        <w:trPr>
          <w:trHeight w:val="338" w:hRule="exact"/>
        </w:trPr>
        <w:tc>
          <w:tcPr>
            <w:tcW w:w="3998" w:type="dxa"/>
          </w:tcPr>
          <w:p>
            <w:pPr>
              <w:pStyle w:val="TableParagraph"/>
              <w:spacing w:before="123"/>
              <w:ind w:left="35"/>
              <w:rPr>
                <w:b/>
                <w:sz w:val="18"/>
              </w:rPr>
            </w:pPr>
            <w:r>
              <w:rPr>
                <w:b/>
                <w:sz w:val="18"/>
              </w:rPr>
              <w:t>Total amortisation</w:t>
            </w:r>
          </w:p>
        </w:tc>
        <w:tc>
          <w:tcPr>
            <w:tcW w:w="735" w:type="dxa"/>
            <w:tcBorders>
              <w:top w:val="single" w:sz="0" w:space="0" w:color="000000"/>
              <w:bottom w:val="single" w:sz="0" w:space="0" w:color="000000"/>
            </w:tcBorders>
          </w:tcPr>
          <w:p>
            <w:pPr/>
          </w:p>
        </w:tc>
        <w:tc>
          <w:tcPr>
            <w:tcW w:w="688" w:type="dxa"/>
            <w:tcBorders>
              <w:top w:val="single" w:sz="0" w:space="0" w:color="000000"/>
              <w:bottom w:val="single" w:sz="0" w:space="0" w:color="000000"/>
            </w:tcBorders>
          </w:tcPr>
          <w:p>
            <w:pPr>
              <w:pStyle w:val="TableParagraph"/>
              <w:spacing w:before="122"/>
              <w:ind w:right="41"/>
              <w:jc w:val="right"/>
              <w:rPr>
                <w:b/>
                <w:sz w:val="18"/>
              </w:rPr>
            </w:pPr>
            <w:r>
              <w:rPr>
                <w:b/>
                <w:w w:val="95"/>
                <w:sz w:val="18"/>
              </w:rPr>
              <w:t>930</w:t>
            </w:r>
          </w:p>
        </w:tc>
        <w:tc>
          <w:tcPr>
            <w:tcW w:w="595" w:type="dxa"/>
            <w:tcBorders>
              <w:top w:val="single" w:sz="0" w:space="0" w:color="000000"/>
              <w:bottom w:val="single" w:sz="0" w:space="0" w:color="000000"/>
            </w:tcBorders>
          </w:tcPr>
          <w:p>
            <w:pPr/>
          </w:p>
        </w:tc>
        <w:tc>
          <w:tcPr>
            <w:tcW w:w="801" w:type="dxa"/>
            <w:tcBorders>
              <w:top w:val="single" w:sz="0" w:space="0" w:color="000000"/>
              <w:bottom w:val="single" w:sz="0" w:space="0" w:color="000000"/>
            </w:tcBorders>
          </w:tcPr>
          <w:p>
            <w:pPr>
              <w:pStyle w:val="TableParagraph"/>
              <w:spacing w:before="122"/>
              <w:ind w:right="139"/>
              <w:jc w:val="right"/>
              <w:rPr>
                <w:sz w:val="18"/>
              </w:rPr>
            </w:pPr>
            <w:r>
              <w:rPr>
                <w:w w:val="95"/>
                <w:sz w:val="18"/>
              </w:rPr>
              <w:t>781</w:t>
            </w:r>
          </w:p>
        </w:tc>
        <w:tc>
          <w:tcPr>
            <w:tcW w:w="679" w:type="dxa"/>
            <w:tcBorders>
              <w:top w:val="single" w:sz="0" w:space="0" w:color="000000"/>
              <w:bottom w:val="single" w:sz="0" w:space="0" w:color="000000"/>
            </w:tcBorders>
          </w:tcPr>
          <w:p>
            <w:pPr/>
          </w:p>
        </w:tc>
        <w:tc>
          <w:tcPr>
            <w:tcW w:w="688" w:type="dxa"/>
            <w:tcBorders>
              <w:top w:val="single" w:sz="0" w:space="0" w:color="000000"/>
              <w:bottom w:val="single" w:sz="0" w:space="0" w:color="000000"/>
            </w:tcBorders>
          </w:tcPr>
          <w:p>
            <w:pPr>
              <w:pStyle w:val="TableParagraph"/>
              <w:spacing w:before="122"/>
              <w:ind w:right="41"/>
              <w:jc w:val="right"/>
              <w:rPr>
                <w:b/>
                <w:sz w:val="18"/>
              </w:rPr>
            </w:pPr>
            <w:r>
              <w:rPr>
                <w:b/>
                <w:w w:val="95"/>
                <w:sz w:val="18"/>
              </w:rPr>
              <w:t>308</w:t>
            </w:r>
          </w:p>
        </w:tc>
        <w:tc>
          <w:tcPr>
            <w:tcW w:w="595" w:type="dxa"/>
            <w:tcBorders>
              <w:top w:val="single" w:sz="0" w:space="0" w:color="000000"/>
              <w:bottom w:val="single" w:sz="0" w:space="0" w:color="000000"/>
            </w:tcBorders>
          </w:tcPr>
          <w:p>
            <w:pPr/>
          </w:p>
        </w:tc>
        <w:tc>
          <w:tcPr>
            <w:tcW w:w="745" w:type="dxa"/>
            <w:tcBorders>
              <w:top w:val="single" w:sz="0" w:space="0" w:color="000000"/>
              <w:bottom w:val="single" w:sz="0" w:space="0" w:color="000000"/>
            </w:tcBorders>
          </w:tcPr>
          <w:p>
            <w:pPr>
              <w:pStyle w:val="TableParagraph"/>
              <w:spacing w:before="122"/>
              <w:ind w:right="84"/>
              <w:jc w:val="right"/>
              <w:rPr>
                <w:sz w:val="18"/>
              </w:rPr>
            </w:pPr>
            <w:r>
              <w:rPr>
                <w:w w:val="95"/>
                <w:sz w:val="18"/>
              </w:rPr>
              <w:t>383</w:t>
            </w:r>
          </w:p>
        </w:tc>
      </w:tr>
      <w:tr>
        <w:trPr>
          <w:trHeight w:val="325" w:hRule="exact"/>
        </w:trPr>
        <w:tc>
          <w:tcPr>
            <w:tcW w:w="3998" w:type="dxa"/>
          </w:tcPr>
          <w:p>
            <w:pPr>
              <w:pStyle w:val="TableParagraph"/>
              <w:spacing w:before="123"/>
              <w:ind w:left="35"/>
              <w:rPr>
                <w:b/>
                <w:sz w:val="18"/>
              </w:rPr>
            </w:pPr>
            <w:r>
              <w:rPr>
                <w:b/>
                <w:sz w:val="18"/>
              </w:rPr>
              <w:t>Total depreciation and</w:t>
            </w:r>
          </w:p>
        </w:tc>
        <w:tc>
          <w:tcPr>
            <w:tcW w:w="735" w:type="dxa"/>
            <w:tcBorders>
              <w:top w:val="single" w:sz="0" w:space="0" w:color="000000"/>
            </w:tcBorders>
          </w:tcPr>
          <w:p>
            <w:pPr/>
          </w:p>
        </w:tc>
        <w:tc>
          <w:tcPr>
            <w:tcW w:w="688" w:type="dxa"/>
            <w:tcBorders>
              <w:top w:val="single" w:sz="0" w:space="0" w:color="000000"/>
            </w:tcBorders>
          </w:tcPr>
          <w:p>
            <w:pPr/>
          </w:p>
        </w:tc>
        <w:tc>
          <w:tcPr>
            <w:tcW w:w="595" w:type="dxa"/>
            <w:tcBorders>
              <w:top w:val="single" w:sz="0" w:space="0" w:color="000000"/>
            </w:tcBorders>
          </w:tcPr>
          <w:p>
            <w:pPr/>
          </w:p>
        </w:tc>
        <w:tc>
          <w:tcPr>
            <w:tcW w:w="801" w:type="dxa"/>
            <w:tcBorders>
              <w:top w:val="single" w:sz="0" w:space="0" w:color="000000"/>
            </w:tcBorders>
          </w:tcPr>
          <w:p>
            <w:pPr/>
          </w:p>
        </w:tc>
        <w:tc>
          <w:tcPr>
            <w:tcW w:w="679" w:type="dxa"/>
            <w:tcBorders>
              <w:top w:val="single" w:sz="0" w:space="0" w:color="000000"/>
            </w:tcBorders>
          </w:tcPr>
          <w:p>
            <w:pPr/>
          </w:p>
        </w:tc>
        <w:tc>
          <w:tcPr>
            <w:tcW w:w="688" w:type="dxa"/>
            <w:tcBorders>
              <w:top w:val="single" w:sz="0" w:space="0" w:color="000000"/>
            </w:tcBorders>
          </w:tcPr>
          <w:p>
            <w:pPr/>
          </w:p>
        </w:tc>
        <w:tc>
          <w:tcPr>
            <w:tcW w:w="595" w:type="dxa"/>
            <w:tcBorders>
              <w:top w:val="single" w:sz="0" w:space="0" w:color="000000"/>
            </w:tcBorders>
          </w:tcPr>
          <w:p>
            <w:pPr/>
          </w:p>
        </w:tc>
        <w:tc>
          <w:tcPr>
            <w:tcW w:w="745" w:type="dxa"/>
            <w:tcBorders>
              <w:top w:val="single" w:sz="0" w:space="0" w:color="000000"/>
            </w:tcBorders>
          </w:tcPr>
          <w:p>
            <w:pPr/>
          </w:p>
        </w:tc>
      </w:tr>
      <w:tr>
        <w:trPr>
          <w:trHeight w:val="235" w:hRule="exact"/>
        </w:trPr>
        <w:tc>
          <w:tcPr>
            <w:tcW w:w="3998" w:type="dxa"/>
          </w:tcPr>
          <w:p>
            <w:pPr>
              <w:pStyle w:val="TableParagraph"/>
              <w:spacing w:before="4"/>
              <w:ind w:left="35"/>
              <w:rPr>
                <w:b/>
                <w:sz w:val="18"/>
              </w:rPr>
            </w:pPr>
            <w:r>
              <w:rPr>
                <w:b/>
                <w:sz w:val="18"/>
              </w:rPr>
              <w:t>amortisation</w:t>
            </w:r>
          </w:p>
        </w:tc>
        <w:tc>
          <w:tcPr>
            <w:tcW w:w="735" w:type="dxa"/>
            <w:tcBorders>
              <w:bottom w:val="single" w:sz="0" w:space="0" w:color="000000"/>
            </w:tcBorders>
          </w:tcPr>
          <w:p>
            <w:pPr/>
          </w:p>
        </w:tc>
        <w:tc>
          <w:tcPr>
            <w:tcW w:w="688" w:type="dxa"/>
            <w:tcBorders>
              <w:bottom w:val="single" w:sz="0" w:space="0" w:color="000000"/>
            </w:tcBorders>
          </w:tcPr>
          <w:p>
            <w:pPr>
              <w:pStyle w:val="TableParagraph"/>
              <w:spacing w:line="183" w:lineRule="exact"/>
              <w:ind w:right="41"/>
              <w:jc w:val="right"/>
              <w:rPr>
                <w:b/>
                <w:sz w:val="18"/>
              </w:rPr>
            </w:pPr>
            <w:r>
              <w:rPr>
                <w:b/>
                <w:w w:val="95"/>
                <w:sz w:val="18"/>
              </w:rPr>
              <w:t>35,288</w:t>
            </w:r>
          </w:p>
        </w:tc>
        <w:tc>
          <w:tcPr>
            <w:tcW w:w="595" w:type="dxa"/>
            <w:tcBorders>
              <w:bottom w:val="single" w:sz="0" w:space="0" w:color="000000"/>
            </w:tcBorders>
          </w:tcPr>
          <w:p>
            <w:pPr/>
          </w:p>
        </w:tc>
        <w:tc>
          <w:tcPr>
            <w:tcW w:w="801" w:type="dxa"/>
            <w:tcBorders>
              <w:bottom w:val="single" w:sz="0" w:space="0" w:color="000000"/>
            </w:tcBorders>
          </w:tcPr>
          <w:p>
            <w:pPr>
              <w:pStyle w:val="TableParagraph"/>
              <w:spacing w:line="183" w:lineRule="exact"/>
              <w:ind w:right="139"/>
              <w:jc w:val="right"/>
              <w:rPr>
                <w:sz w:val="18"/>
              </w:rPr>
            </w:pPr>
            <w:r>
              <w:rPr>
                <w:w w:val="95"/>
                <w:sz w:val="18"/>
              </w:rPr>
              <w:t>31,942</w:t>
            </w:r>
          </w:p>
        </w:tc>
        <w:tc>
          <w:tcPr>
            <w:tcW w:w="679" w:type="dxa"/>
            <w:tcBorders>
              <w:bottom w:val="single" w:sz="0" w:space="0" w:color="000000"/>
            </w:tcBorders>
          </w:tcPr>
          <w:p>
            <w:pPr/>
          </w:p>
        </w:tc>
        <w:tc>
          <w:tcPr>
            <w:tcW w:w="688" w:type="dxa"/>
            <w:tcBorders>
              <w:bottom w:val="single" w:sz="0" w:space="0" w:color="000000"/>
            </w:tcBorders>
          </w:tcPr>
          <w:p>
            <w:pPr>
              <w:pStyle w:val="TableParagraph"/>
              <w:spacing w:line="183" w:lineRule="exact"/>
              <w:ind w:right="41"/>
              <w:jc w:val="right"/>
              <w:rPr>
                <w:b/>
                <w:sz w:val="18"/>
              </w:rPr>
            </w:pPr>
            <w:r>
              <w:rPr>
                <w:b/>
                <w:w w:val="95"/>
                <w:sz w:val="18"/>
              </w:rPr>
              <w:t>34,242</w:t>
            </w:r>
          </w:p>
        </w:tc>
        <w:tc>
          <w:tcPr>
            <w:tcW w:w="595" w:type="dxa"/>
            <w:tcBorders>
              <w:bottom w:val="single" w:sz="0" w:space="0" w:color="000000"/>
            </w:tcBorders>
          </w:tcPr>
          <w:p>
            <w:pPr/>
          </w:p>
        </w:tc>
        <w:tc>
          <w:tcPr>
            <w:tcW w:w="745" w:type="dxa"/>
            <w:tcBorders>
              <w:bottom w:val="single" w:sz="0" w:space="0" w:color="000000"/>
            </w:tcBorders>
          </w:tcPr>
          <w:p>
            <w:pPr>
              <w:pStyle w:val="TableParagraph"/>
              <w:spacing w:line="183" w:lineRule="exact"/>
              <w:ind w:right="83"/>
              <w:jc w:val="right"/>
              <w:rPr>
                <w:sz w:val="18"/>
              </w:rPr>
            </w:pPr>
            <w:r>
              <w:rPr>
                <w:w w:val="95"/>
                <w:sz w:val="18"/>
              </w:rPr>
              <w:t>31,195</w:t>
            </w:r>
          </w:p>
        </w:tc>
      </w:tr>
    </w:tbl>
    <w:p>
      <w:pPr>
        <w:spacing w:after="0" w:line="183" w:lineRule="exact"/>
        <w:jc w:val="right"/>
        <w:rPr>
          <w:sz w:val="18"/>
        </w:rPr>
        <w:sectPr>
          <w:type w:val="continuous"/>
          <w:pgSz w:w="11910" w:h="16840"/>
          <w:pgMar w:top="0" w:bottom="280" w:left="900" w:right="880"/>
        </w:sectPr>
      </w:pPr>
    </w:p>
    <w:p>
      <w:pPr>
        <w:pStyle w:val="BodyText"/>
        <w:rPr>
          <w:b/>
          <w:sz w:val="20"/>
        </w:rPr>
      </w:pPr>
    </w:p>
    <w:p>
      <w:pPr>
        <w:pStyle w:val="BodyText"/>
        <w:rPr>
          <w:b/>
          <w:sz w:val="20"/>
        </w:rPr>
      </w:pPr>
    </w:p>
    <w:p>
      <w:pPr>
        <w:pStyle w:val="BodyText"/>
        <w:spacing w:before="8"/>
        <w:rPr>
          <w:b/>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9"/>
        <w:gridCol w:w="2854"/>
        <w:gridCol w:w="1158"/>
        <w:gridCol w:w="685"/>
        <w:gridCol w:w="768"/>
        <w:gridCol w:w="516"/>
        <w:gridCol w:w="752"/>
        <w:gridCol w:w="727"/>
        <w:gridCol w:w="768"/>
        <w:gridCol w:w="516"/>
        <w:gridCol w:w="795"/>
      </w:tblGrid>
      <w:tr>
        <w:trPr>
          <w:trHeight w:val="567" w:hRule="exact"/>
        </w:trPr>
        <w:tc>
          <w:tcPr>
            <w:tcW w:w="409" w:type="dxa"/>
          </w:tcPr>
          <w:p>
            <w:pPr>
              <w:pStyle w:val="TableParagraph"/>
              <w:spacing w:before="77"/>
              <w:ind w:left="35"/>
              <w:rPr>
                <w:b/>
                <w:sz w:val="18"/>
              </w:rPr>
            </w:pPr>
            <w:r>
              <w:rPr>
                <w:b/>
                <w:sz w:val="18"/>
              </w:rPr>
              <w:t>12</w:t>
            </w:r>
          </w:p>
        </w:tc>
        <w:tc>
          <w:tcPr>
            <w:tcW w:w="4012" w:type="dxa"/>
            <w:gridSpan w:val="2"/>
          </w:tcPr>
          <w:p>
            <w:pPr>
              <w:pStyle w:val="TableParagraph"/>
              <w:spacing w:before="77"/>
              <w:ind w:left="21"/>
              <w:rPr>
                <w:b/>
                <w:sz w:val="18"/>
              </w:rPr>
            </w:pPr>
            <w:r>
              <w:rPr>
                <w:b/>
                <w:sz w:val="18"/>
              </w:rPr>
              <w:t>Repairs and maintenance</w:t>
            </w:r>
          </w:p>
        </w:tc>
        <w:tc>
          <w:tcPr>
            <w:tcW w:w="1453" w:type="dxa"/>
            <w:gridSpan w:val="2"/>
          </w:tcPr>
          <w:p>
            <w:pPr>
              <w:pStyle w:val="TableParagraph"/>
              <w:rPr>
                <w:b/>
                <w:sz w:val="18"/>
              </w:rPr>
            </w:pPr>
          </w:p>
          <w:p>
            <w:pPr>
              <w:pStyle w:val="TableParagraph"/>
              <w:spacing w:before="110"/>
              <w:ind w:left="27"/>
              <w:rPr>
                <w:b/>
                <w:sz w:val="18"/>
              </w:rPr>
            </w:pPr>
            <w:r>
              <w:rPr>
                <w:b/>
                <w:sz w:val="18"/>
              </w:rPr>
              <w:t>Consolidated</w:t>
            </w:r>
          </w:p>
        </w:tc>
        <w:tc>
          <w:tcPr>
            <w:tcW w:w="516" w:type="dxa"/>
          </w:tcPr>
          <w:p>
            <w:pPr/>
          </w:p>
        </w:tc>
        <w:tc>
          <w:tcPr>
            <w:tcW w:w="752" w:type="dxa"/>
          </w:tcPr>
          <w:p>
            <w:pPr/>
          </w:p>
        </w:tc>
        <w:tc>
          <w:tcPr>
            <w:tcW w:w="727" w:type="dxa"/>
          </w:tcPr>
          <w:p>
            <w:pPr>
              <w:pStyle w:val="TableParagraph"/>
              <w:rPr>
                <w:b/>
                <w:sz w:val="18"/>
              </w:rPr>
            </w:pPr>
          </w:p>
          <w:p>
            <w:pPr>
              <w:pStyle w:val="TableParagraph"/>
              <w:spacing w:before="110"/>
              <w:ind w:right="122"/>
              <w:jc w:val="right"/>
              <w:rPr>
                <w:b/>
                <w:sz w:val="18"/>
              </w:rPr>
            </w:pPr>
            <w:r>
              <w:rPr>
                <w:b/>
                <w:w w:val="95"/>
                <w:sz w:val="18"/>
              </w:rPr>
              <w:t>Parent</w:t>
            </w:r>
          </w:p>
        </w:tc>
        <w:tc>
          <w:tcPr>
            <w:tcW w:w="2079" w:type="dxa"/>
            <w:gridSpan w:val="3"/>
          </w:tcPr>
          <w:p>
            <w:pPr/>
          </w:p>
        </w:tc>
      </w:tr>
      <w:tr>
        <w:trPr>
          <w:trHeight w:val="274" w:hRule="exact"/>
        </w:trPr>
        <w:tc>
          <w:tcPr>
            <w:tcW w:w="409" w:type="dxa"/>
          </w:tcPr>
          <w:p>
            <w:pPr/>
          </w:p>
        </w:tc>
        <w:tc>
          <w:tcPr>
            <w:tcW w:w="4012" w:type="dxa"/>
            <w:gridSpan w:val="2"/>
          </w:tcPr>
          <w:p>
            <w:pPr/>
          </w:p>
        </w:tc>
        <w:tc>
          <w:tcPr>
            <w:tcW w:w="1453" w:type="dxa"/>
            <w:gridSpan w:val="2"/>
          </w:tcPr>
          <w:p>
            <w:pPr>
              <w:pStyle w:val="TableParagraph"/>
              <w:spacing w:before="24"/>
              <w:ind w:left="196"/>
              <w:rPr>
                <w:b/>
                <w:sz w:val="18"/>
              </w:rPr>
            </w:pPr>
            <w:r>
              <w:rPr>
                <w:b/>
                <w:sz w:val="18"/>
              </w:rPr>
              <w:t>2012</w:t>
            </w:r>
          </w:p>
        </w:tc>
        <w:tc>
          <w:tcPr>
            <w:tcW w:w="516" w:type="dxa"/>
          </w:tcPr>
          <w:p>
            <w:pPr>
              <w:pStyle w:val="TableParagraph"/>
              <w:spacing w:before="24"/>
              <w:ind w:left="13"/>
              <w:rPr>
                <w:b/>
                <w:sz w:val="18"/>
              </w:rPr>
            </w:pPr>
            <w:r>
              <w:rPr>
                <w:b/>
                <w:sz w:val="18"/>
              </w:rPr>
              <w:t>2011</w:t>
            </w:r>
          </w:p>
        </w:tc>
        <w:tc>
          <w:tcPr>
            <w:tcW w:w="752" w:type="dxa"/>
          </w:tcPr>
          <w:p>
            <w:pPr/>
          </w:p>
        </w:tc>
        <w:tc>
          <w:tcPr>
            <w:tcW w:w="727" w:type="dxa"/>
          </w:tcPr>
          <w:p>
            <w:pPr>
              <w:pStyle w:val="TableParagraph"/>
              <w:spacing w:before="24"/>
              <w:ind w:right="85"/>
              <w:jc w:val="right"/>
              <w:rPr>
                <w:b/>
                <w:sz w:val="18"/>
              </w:rPr>
            </w:pPr>
            <w:r>
              <w:rPr>
                <w:b/>
                <w:w w:val="95"/>
                <w:sz w:val="18"/>
              </w:rPr>
              <w:t>2012</w:t>
            </w:r>
          </w:p>
        </w:tc>
        <w:tc>
          <w:tcPr>
            <w:tcW w:w="768" w:type="dxa"/>
          </w:tcPr>
          <w:p>
            <w:pPr/>
          </w:p>
        </w:tc>
        <w:tc>
          <w:tcPr>
            <w:tcW w:w="516" w:type="dxa"/>
          </w:tcPr>
          <w:p>
            <w:pPr>
              <w:pStyle w:val="TableParagraph"/>
              <w:spacing w:before="24"/>
              <w:ind w:left="13"/>
              <w:rPr>
                <w:b/>
                <w:sz w:val="18"/>
              </w:rPr>
            </w:pPr>
            <w:r>
              <w:rPr>
                <w:b/>
                <w:sz w:val="18"/>
              </w:rPr>
              <w:t>2011</w:t>
            </w:r>
          </w:p>
        </w:tc>
        <w:tc>
          <w:tcPr>
            <w:tcW w:w="795" w:type="dxa"/>
          </w:tcPr>
          <w:p>
            <w:pPr/>
          </w:p>
        </w:tc>
      </w:tr>
      <w:tr>
        <w:trPr>
          <w:trHeight w:val="271" w:hRule="exact"/>
        </w:trPr>
        <w:tc>
          <w:tcPr>
            <w:tcW w:w="409" w:type="dxa"/>
          </w:tcPr>
          <w:p>
            <w:pPr/>
          </w:p>
        </w:tc>
        <w:tc>
          <w:tcPr>
            <w:tcW w:w="4012" w:type="dxa"/>
            <w:gridSpan w:val="2"/>
          </w:tcPr>
          <w:p>
            <w:pPr/>
          </w:p>
        </w:tc>
        <w:tc>
          <w:tcPr>
            <w:tcW w:w="1453" w:type="dxa"/>
            <w:gridSpan w:val="2"/>
          </w:tcPr>
          <w:p>
            <w:pPr>
              <w:pStyle w:val="TableParagraph"/>
              <w:spacing w:before="24"/>
              <w:ind w:left="196"/>
              <w:rPr>
                <w:b/>
                <w:sz w:val="18"/>
              </w:rPr>
            </w:pPr>
            <w:r>
              <w:rPr>
                <w:b/>
                <w:sz w:val="18"/>
              </w:rPr>
              <w:t>$'000</w:t>
            </w:r>
          </w:p>
        </w:tc>
        <w:tc>
          <w:tcPr>
            <w:tcW w:w="516" w:type="dxa"/>
          </w:tcPr>
          <w:p>
            <w:pPr>
              <w:pStyle w:val="TableParagraph"/>
              <w:spacing w:before="24"/>
              <w:ind w:left="13"/>
              <w:rPr>
                <w:b/>
                <w:sz w:val="18"/>
              </w:rPr>
            </w:pPr>
            <w:r>
              <w:rPr>
                <w:b/>
                <w:sz w:val="18"/>
              </w:rPr>
              <w:t>$'000</w:t>
            </w:r>
          </w:p>
        </w:tc>
        <w:tc>
          <w:tcPr>
            <w:tcW w:w="752" w:type="dxa"/>
          </w:tcPr>
          <w:p>
            <w:pPr/>
          </w:p>
        </w:tc>
        <w:tc>
          <w:tcPr>
            <w:tcW w:w="727" w:type="dxa"/>
          </w:tcPr>
          <w:p>
            <w:pPr>
              <w:pStyle w:val="TableParagraph"/>
              <w:spacing w:before="24"/>
              <w:ind w:right="42"/>
              <w:jc w:val="right"/>
              <w:rPr>
                <w:b/>
                <w:sz w:val="18"/>
              </w:rPr>
            </w:pPr>
            <w:r>
              <w:rPr>
                <w:b/>
                <w:w w:val="95"/>
                <w:sz w:val="18"/>
              </w:rPr>
              <w:t>$'000</w:t>
            </w:r>
          </w:p>
        </w:tc>
        <w:tc>
          <w:tcPr>
            <w:tcW w:w="768" w:type="dxa"/>
          </w:tcPr>
          <w:p>
            <w:pPr/>
          </w:p>
        </w:tc>
        <w:tc>
          <w:tcPr>
            <w:tcW w:w="516" w:type="dxa"/>
          </w:tcPr>
          <w:p>
            <w:pPr>
              <w:pStyle w:val="TableParagraph"/>
              <w:spacing w:before="24"/>
              <w:ind w:left="13"/>
              <w:rPr>
                <w:b/>
                <w:sz w:val="18"/>
              </w:rPr>
            </w:pPr>
            <w:r>
              <w:rPr>
                <w:b/>
                <w:sz w:val="18"/>
              </w:rPr>
              <w:t>$'000</w:t>
            </w:r>
          </w:p>
        </w:tc>
        <w:tc>
          <w:tcPr>
            <w:tcW w:w="795" w:type="dxa"/>
          </w:tcPr>
          <w:p>
            <w:pPr/>
          </w:p>
        </w:tc>
      </w:tr>
      <w:tr>
        <w:trPr>
          <w:trHeight w:val="267" w:hRule="exact"/>
        </w:trPr>
        <w:tc>
          <w:tcPr>
            <w:tcW w:w="409" w:type="dxa"/>
          </w:tcPr>
          <w:p>
            <w:pPr/>
          </w:p>
        </w:tc>
        <w:tc>
          <w:tcPr>
            <w:tcW w:w="4012" w:type="dxa"/>
            <w:gridSpan w:val="2"/>
          </w:tcPr>
          <w:p>
            <w:pPr>
              <w:pStyle w:val="TableParagraph"/>
              <w:spacing w:before="22"/>
              <w:ind w:left="49"/>
              <w:rPr>
                <w:sz w:val="18"/>
              </w:rPr>
            </w:pPr>
            <w:r>
              <w:rPr>
                <w:sz w:val="18"/>
              </w:rPr>
              <w:t>Buildings</w:t>
            </w:r>
          </w:p>
        </w:tc>
        <w:tc>
          <w:tcPr>
            <w:tcW w:w="1453" w:type="dxa"/>
            <w:gridSpan w:val="2"/>
          </w:tcPr>
          <w:p>
            <w:pPr>
              <w:pStyle w:val="TableParagraph"/>
              <w:spacing w:before="21"/>
              <w:ind w:left="829"/>
              <w:rPr>
                <w:b/>
                <w:sz w:val="18"/>
              </w:rPr>
            </w:pPr>
            <w:r>
              <w:rPr>
                <w:b/>
                <w:sz w:val="18"/>
              </w:rPr>
              <w:t>20,203</w:t>
            </w:r>
          </w:p>
        </w:tc>
        <w:tc>
          <w:tcPr>
            <w:tcW w:w="516" w:type="dxa"/>
          </w:tcPr>
          <w:p>
            <w:pPr/>
          </w:p>
        </w:tc>
        <w:tc>
          <w:tcPr>
            <w:tcW w:w="752" w:type="dxa"/>
          </w:tcPr>
          <w:p>
            <w:pPr>
              <w:pStyle w:val="TableParagraph"/>
              <w:spacing w:before="21"/>
              <w:ind w:right="41"/>
              <w:jc w:val="right"/>
              <w:rPr>
                <w:sz w:val="18"/>
              </w:rPr>
            </w:pPr>
            <w:r>
              <w:rPr>
                <w:w w:val="95"/>
                <w:sz w:val="18"/>
              </w:rPr>
              <w:t>19,708</w:t>
            </w:r>
          </w:p>
        </w:tc>
        <w:tc>
          <w:tcPr>
            <w:tcW w:w="727" w:type="dxa"/>
          </w:tcPr>
          <w:p>
            <w:pPr/>
          </w:p>
        </w:tc>
        <w:tc>
          <w:tcPr>
            <w:tcW w:w="768" w:type="dxa"/>
          </w:tcPr>
          <w:p>
            <w:pPr>
              <w:pStyle w:val="TableParagraph"/>
              <w:spacing w:before="21"/>
              <w:ind w:right="71"/>
              <w:jc w:val="right"/>
              <w:rPr>
                <w:b/>
                <w:sz w:val="18"/>
              </w:rPr>
            </w:pPr>
            <w:r>
              <w:rPr>
                <w:b/>
                <w:w w:val="95"/>
                <w:sz w:val="18"/>
              </w:rPr>
              <w:t>20,184</w:t>
            </w:r>
          </w:p>
        </w:tc>
        <w:tc>
          <w:tcPr>
            <w:tcW w:w="516" w:type="dxa"/>
          </w:tcPr>
          <w:p>
            <w:pPr/>
          </w:p>
        </w:tc>
        <w:tc>
          <w:tcPr>
            <w:tcW w:w="795" w:type="dxa"/>
          </w:tcPr>
          <w:p>
            <w:pPr>
              <w:pStyle w:val="TableParagraph"/>
              <w:spacing w:before="21"/>
              <w:ind w:right="83"/>
              <w:jc w:val="right"/>
              <w:rPr>
                <w:sz w:val="18"/>
              </w:rPr>
            </w:pPr>
            <w:r>
              <w:rPr>
                <w:w w:val="95"/>
                <w:sz w:val="18"/>
              </w:rPr>
              <w:t>19,670</w:t>
            </w:r>
          </w:p>
        </w:tc>
      </w:tr>
      <w:tr>
        <w:trPr>
          <w:trHeight w:val="264" w:hRule="exact"/>
        </w:trPr>
        <w:tc>
          <w:tcPr>
            <w:tcW w:w="409" w:type="dxa"/>
          </w:tcPr>
          <w:p>
            <w:pPr/>
          </w:p>
        </w:tc>
        <w:tc>
          <w:tcPr>
            <w:tcW w:w="4012" w:type="dxa"/>
            <w:gridSpan w:val="2"/>
          </w:tcPr>
          <w:p>
            <w:pPr>
              <w:pStyle w:val="TableParagraph"/>
              <w:spacing w:before="19"/>
              <w:ind w:left="49"/>
              <w:rPr>
                <w:sz w:val="18"/>
              </w:rPr>
            </w:pPr>
            <w:r>
              <w:rPr>
                <w:sz w:val="18"/>
              </w:rPr>
              <w:t>Plant and equipment</w:t>
            </w:r>
          </w:p>
        </w:tc>
        <w:tc>
          <w:tcPr>
            <w:tcW w:w="1453" w:type="dxa"/>
            <w:gridSpan w:val="2"/>
          </w:tcPr>
          <w:p>
            <w:pPr>
              <w:pStyle w:val="TableParagraph"/>
              <w:spacing w:before="18"/>
              <w:ind w:left="928"/>
              <w:rPr>
                <w:b/>
                <w:sz w:val="18"/>
              </w:rPr>
            </w:pPr>
            <w:r>
              <w:rPr>
                <w:b/>
                <w:sz w:val="18"/>
              </w:rPr>
              <w:t>4,702</w:t>
            </w:r>
          </w:p>
        </w:tc>
        <w:tc>
          <w:tcPr>
            <w:tcW w:w="516" w:type="dxa"/>
          </w:tcPr>
          <w:p>
            <w:pPr/>
          </w:p>
        </w:tc>
        <w:tc>
          <w:tcPr>
            <w:tcW w:w="752" w:type="dxa"/>
          </w:tcPr>
          <w:p>
            <w:pPr>
              <w:pStyle w:val="TableParagraph"/>
              <w:spacing w:before="18"/>
              <w:ind w:right="41"/>
              <w:jc w:val="right"/>
              <w:rPr>
                <w:sz w:val="18"/>
              </w:rPr>
            </w:pPr>
            <w:r>
              <w:rPr>
                <w:w w:val="95"/>
                <w:sz w:val="18"/>
              </w:rPr>
              <w:t>3,696</w:t>
            </w:r>
          </w:p>
        </w:tc>
        <w:tc>
          <w:tcPr>
            <w:tcW w:w="727" w:type="dxa"/>
          </w:tcPr>
          <w:p>
            <w:pPr/>
          </w:p>
        </w:tc>
        <w:tc>
          <w:tcPr>
            <w:tcW w:w="768" w:type="dxa"/>
          </w:tcPr>
          <w:p>
            <w:pPr>
              <w:pStyle w:val="TableParagraph"/>
              <w:spacing w:before="18"/>
              <w:ind w:right="71"/>
              <w:jc w:val="right"/>
              <w:rPr>
                <w:b/>
                <w:sz w:val="18"/>
              </w:rPr>
            </w:pPr>
            <w:r>
              <w:rPr>
                <w:b/>
                <w:w w:val="95"/>
                <w:sz w:val="18"/>
              </w:rPr>
              <w:t>4,377</w:t>
            </w:r>
          </w:p>
        </w:tc>
        <w:tc>
          <w:tcPr>
            <w:tcW w:w="516" w:type="dxa"/>
          </w:tcPr>
          <w:p>
            <w:pPr/>
          </w:p>
        </w:tc>
        <w:tc>
          <w:tcPr>
            <w:tcW w:w="795" w:type="dxa"/>
          </w:tcPr>
          <w:p>
            <w:pPr>
              <w:pStyle w:val="TableParagraph"/>
              <w:spacing w:before="18"/>
              <w:ind w:right="84"/>
              <w:jc w:val="right"/>
              <w:rPr>
                <w:sz w:val="18"/>
              </w:rPr>
            </w:pPr>
            <w:r>
              <w:rPr>
                <w:w w:val="95"/>
                <w:sz w:val="18"/>
              </w:rPr>
              <w:t>3,477</w:t>
            </w:r>
          </w:p>
        </w:tc>
      </w:tr>
      <w:tr>
        <w:trPr>
          <w:trHeight w:val="264" w:hRule="exact"/>
        </w:trPr>
        <w:tc>
          <w:tcPr>
            <w:tcW w:w="409" w:type="dxa"/>
          </w:tcPr>
          <w:p>
            <w:pPr/>
          </w:p>
        </w:tc>
        <w:tc>
          <w:tcPr>
            <w:tcW w:w="4012" w:type="dxa"/>
            <w:gridSpan w:val="2"/>
          </w:tcPr>
          <w:p>
            <w:pPr>
              <w:pStyle w:val="TableParagraph"/>
              <w:spacing w:before="19"/>
              <w:ind w:left="49"/>
              <w:rPr>
                <w:sz w:val="18"/>
              </w:rPr>
            </w:pPr>
            <w:r>
              <w:rPr>
                <w:sz w:val="18"/>
              </w:rPr>
              <w:t>Information technology</w:t>
            </w:r>
          </w:p>
        </w:tc>
        <w:tc>
          <w:tcPr>
            <w:tcW w:w="1453" w:type="dxa"/>
            <w:gridSpan w:val="2"/>
          </w:tcPr>
          <w:p>
            <w:pPr>
              <w:pStyle w:val="TableParagraph"/>
              <w:spacing w:before="18"/>
              <w:ind w:right="73"/>
              <w:jc w:val="right"/>
              <w:rPr>
                <w:b/>
                <w:sz w:val="18"/>
              </w:rPr>
            </w:pPr>
            <w:r>
              <w:rPr>
                <w:b/>
                <w:w w:val="95"/>
                <w:sz w:val="18"/>
              </w:rPr>
              <w:t>166</w:t>
            </w:r>
          </w:p>
        </w:tc>
        <w:tc>
          <w:tcPr>
            <w:tcW w:w="516" w:type="dxa"/>
          </w:tcPr>
          <w:p>
            <w:pPr/>
          </w:p>
        </w:tc>
        <w:tc>
          <w:tcPr>
            <w:tcW w:w="752" w:type="dxa"/>
          </w:tcPr>
          <w:p>
            <w:pPr>
              <w:pStyle w:val="TableParagraph"/>
              <w:spacing w:before="18"/>
              <w:ind w:right="42"/>
              <w:jc w:val="right"/>
              <w:rPr>
                <w:sz w:val="18"/>
              </w:rPr>
            </w:pPr>
            <w:r>
              <w:rPr>
                <w:w w:val="95"/>
                <w:sz w:val="18"/>
              </w:rPr>
              <w:t>136</w:t>
            </w:r>
          </w:p>
        </w:tc>
        <w:tc>
          <w:tcPr>
            <w:tcW w:w="727" w:type="dxa"/>
          </w:tcPr>
          <w:p>
            <w:pPr/>
          </w:p>
        </w:tc>
        <w:tc>
          <w:tcPr>
            <w:tcW w:w="768" w:type="dxa"/>
          </w:tcPr>
          <w:p>
            <w:pPr>
              <w:pStyle w:val="TableParagraph"/>
              <w:spacing w:before="18"/>
              <w:ind w:right="72"/>
              <w:jc w:val="right"/>
              <w:rPr>
                <w:b/>
                <w:sz w:val="18"/>
              </w:rPr>
            </w:pPr>
            <w:r>
              <w:rPr>
                <w:b/>
                <w:w w:val="95"/>
                <w:sz w:val="18"/>
              </w:rPr>
              <w:t>166</w:t>
            </w:r>
          </w:p>
        </w:tc>
        <w:tc>
          <w:tcPr>
            <w:tcW w:w="516" w:type="dxa"/>
          </w:tcPr>
          <w:p>
            <w:pPr/>
          </w:p>
        </w:tc>
        <w:tc>
          <w:tcPr>
            <w:tcW w:w="795" w:type="dxa"/>
          </w:tcPr>
          <w:p>
            <w:pPr>
              <w:pStyle w:val="TableParagraph"/>
              <w:spacing w:before="18"/>
              <w:ind w:right="84"/>
              <w:jc w:val="right"/>
              <w:rPr>
                <w:sz w:val="18"/>
              </w:rPr>
            </w:pPr>
            <w:r>
              <w:rPr>
                <w:w w:val="95"/>
                <w:sz w:val="18"/>
              </w:rPr>
              <w:t>136</w:t>
            </w:r>
          </w:p>
        </w:tc>
      </w:tr>
      <w:tr>
        <w:trPr>
          <w:trHeight w:val="263" w:hRule="exact"/>
        </w:trPr>
        <w:tc>
          <w:tcPr>
            <w:tcW w:w="409" w:type="dxa"/>
          </w:tcPr>
          <w:p>
            <w:pPr/>
          </w:p>
        </w:tc>
        <w:tc>
          <w:tcPr>
            <w:tcW w:w="4012" w:type="dxa"/>
            <w:gridSpan w:val="2"/>
          </w:tcPr>
          <w:p>
            <w:pPr>
              <w:pStyle w:val="TableParagraph"/>
              <w:spacing w:before="19"/>
              <w:ind w:left="49"/>
              <w:rPr>
                <w:sz w:val="18"/>
              </w:rPr>
            </w:pPr>
            <w:r>
              <w:rPr>
                <w:sz w:val="18"/>
              </w:rPr>
              <w:t>Motor vehicles</w:t>
            </w:r>
          </w:p>
        </w:tc>
        <w:tc>
          <w:tcPr>
            <w:tcW w:w="1453" w:type="dxa"/>
            <w:gridSpan w:val="2"/>
            <w:tcBorders>
              <w:bottom w:val="single" w:sz="0" w:space="0" w:color="000000"/>
            </w:tcBorders>
          </w:tcPr>
          <w:p>
            <w:pPr>
              <w:pStyle w:val="TableParagraph"/>
              <w:spacing w:before="18"/>
              <w:ind w:right="73"/>
              <w:jc w:val="right"/>
              <w:rPr>
                <w:b/>
                <w:sz w:val="18"/>
              </w:rPr>
            </w:pPr>
            <w:r>
              <w:rPr>
                <w:b/>
                <w:w w:val="95"/>
                <w:sz w:val="18"/>
              </w:rPr>
              <w:t>299</w:t>
            </w:r>
          </w:p>
        </w:tc>
        <w:tc>
          <w:tcPr>
            <w:tcW w:w="516" w:type="dxa"/>
            <w:tcBorders>
              <w:bottom w:val="single" w:sz="0" w:space="0" w:color="000000"/>
            </w:tcBorders>
          </w:tcPr>
          <w:p>
            <w:pPr/>
          </w:p>
        </w:tc>
        <w:tc>
          <w:tcPr>
            <w:tcW w:w="752" w:type="dxa"/>
            <w:tcBorders>
              <w:bottom w:val="single" w:sz="0" w:space="0" w:color="000000"/>
            </w:tcBorders>
          </w:tcPr>
          <w:p>
            <w:pPr>
              <w:pStyle w:val="TableParagraph"/>
              <w:spacing w:before="18"/>
              <w:ind w:right="42"/>
              <w:jc w:val="right"/>
              <w:rPr>
                <w:sz w:val="18"/>
              </w:rPr>
            </w:pPr>
            <w:r>
              <w:rPr>
                <w:w w:val="95"/>
                <w:sz w:val="18"/>
              </w:rPr>
              <w:t>409</w:t>
            </w:r>
          </w:p>
        </w:tc>
        <w:tc>
          <w:tcPr>
            <w:tcW w:w="727" w:type="dxa"/>
            <w:tcBorders>
              <w:bottom w:val="single" w:sz="0" w:space="0" w:color="000000"/>
            </w:tcBorders>
          </w:tcPr>
          <w:p>
            <w:pPr/>
          </w:p>
        </w:tc>
        <w:tc>
          <w:tcPr>
            <w:tcW w:w="768" w:type="dxa"/>
            <w:tcBorders>
              <w:bottom w:val="single" w:sz="0" w:space="0" w:color="000000"/>
            </w:tcBorders>
          </w:tcPr>
          <w:p>
            <w:pPr>
              <w:pStyle w:val="TableParagraph"/>
              <w:spacing w:before="18"/>
              <w:ind w:right="72"/>
              <w:jc w:val="right"/>
              <w:rPr>
                <w:b/>
                <w:sz w:val="18"/>
              </w:rPr>
            </w:pPr>
            <w:r>
              <w:rPr>
                <w:b/>
                <w:w w:val="95"/>
                <w:sz w:val="18"/>
              </w:rPr>
              <w:t>291</w:t>
            </w:r>
          </w:p>
        </w:tc>
        <w:tc>
          <w:tcPr>
            <w:tcW w:w="516" w:type="dxa"/>
            <w:tcBorders>
              <w:bottom w:val="single" w:sz="0" w:space="0" w:color="000000"/>
            </w:tcBorders>
          </w:tcPr>
          <w:p>
            <w:pPr/>
          </w:p>
        </w:tc>
        <w:tc>
          <w:tcPr>
            <w:tcW w:w="795" w:type="dxa"/>
            <w:tcBorders>
              <w:bottom w:val="single" w:sz="0" w:space="0" w:color="000000"/>
            </w:tcBorders>
          </w:tcPr>
          <w:p>
            <w:pPr>
              <w:pStyle w:val="TableParagraph"/>
              <w:spacing w:before="18"/>
              <w:ind w:right="84"/>
              <w:jc w:val="right"/>
              <w:rPr>
                <w:sz w:val="18"/>
              </w:rPr>
            </w:pPr>
            <w:r>
              <w:rPr>
                <w:w w:val="95"/>
                <w:sz w:val="18"/>
              </w:rPr>
              <w:t>401</w:t>
            </w:r>
          </w:p>
        </w:tc>
      </w:tr>
      <w:tr>
        <w:trPr>
          <w:trHeight w:val="353" w:hRule="exact"/>
        </w:trPr>
        <w:tc>
          <w:tcPr>
            <w:tcW w:w="409" w:type="dxa"/>
          </w:tcPr>
          <w:p>
            <w:pPr/>
          </w:p>
        </w:tc>
        <w:tc>
          <w:tcPr>
            <w:tcW w:w="4012" w:type="dxa"/>
            <w:gridSpan w:val="2"/>
          </w:tcPr>
          <w:p>
            <w:pPr>
              <w:pStyle w:val="TableParagraph"/>
              <w:spacing w:before="123"/>
              <w:ind w:left="49"/>
              <w:rPr>
                <w:b/>
                <w:sz w:val="18"/>
              </w:rPr>
            </w:pPr>
            <w:r>
              <w:rPr>
                <w:b/>
                <w:sz w:val="18"/>
              </w:rPr>
              <w:t>Total repairs and maintenance</w:t>
            </w:r>
          </w:p>
        </w:tc>
        <w:tc>
          <w:tcPr>
            <w:tcW w:w="1453" w:type="dxa"/>
            <w:gridSpan w:val="2"/>
            <w:tcBorders>
              <w:top w:val="single" w:sz="0" w:space="0" w:color="000000"/>
              <w:bottom w:val="single" w:sz="0" w:space="0" w:color="000000"/>
            </w:tcBorders>
          </w:tcPr>
          <w:p>
            <w:pPr>
              <w:pStyle w:val="TableParagraph"/>
              <w:spacing w:before="94"/>
              <w:ind w:left="829"/>
              <w:rPr>
                <w:b/>
                <w:sz w:val="18"/>
              </w:rPr>
            </w:pPr>
            <w:r>
              <w:rPr>
                <w:b/>
                <w:sz w:val="18"/>
              </w:rPr>
              <w:t>25,370</w:t>
            </w:r>
          </w:p>
        </w:tc>
        <w:tc>
          <w:tcPr>
            <w:tcW w:w="516" w:type="dxa"/>
            <w:tcBorders>
              <w:top w:val="single" w:sz="0" w:space="0" w:color="000000"/>
              <w:bottom w:val="single" w:sz="0" w:space="0" w:color="000000"/>
            </w:tcBorders>
          </w:tcPr>
          <w:p>
            <w:pPr/>
          </w:p>
        </w:tc>
        <w:tc>
          <w:tcPr>
            <w:tcW w:w="752" w:type="dxa"/>
            <w:tcBorders>
              <w:top w:val="single" w:sz="0" w:space="0" w:color="000000"/>
              <w:bottom w:val="single" w:sz="0" w:space="0" w:color="000000"/>
            </w:tcBorders>
          </w:tcPr>
          <w:p>
            <w:pPr>
              <w:pStyle w:val="TableParagraph"/>
              <w:spacing w:before="94"/>
              <w:ind w:right="41"/>
              <w:jc w:val="right"/>
              <w:rPr>
                <w:sz w:val="18"/>
              </w:rPr>
            </w:pPr>
            <w:r>
              <w:rPr>
                <w:w w:val="95"/>
                <w:sz w:val="18"/>
              </w:rPr>
              <w:t>23,949</w:t>
            </w:r>
          </w:p>
        </w:tc>
        <w:tc>
          <w:tcPr>
            <w:tcW w:w="727" w:type="dxa"/>
            <w:tcBorders>
              <w:top w:val="single" w:sz="0" w:space="0" w:color="000000"/>
              <w:bottom w:val="single" w:sz="0" w:space="0" w:color="000000"/>
            </w:tcBorders>
          </w:tcPr>
          <w:p>
            <w:pPr/>
          </w:p>
        </w:tc>
        <w:tc>
          <w:tcPr>
            <w:tcW w:w="768" w:type="dxa"/>
            <w:tcBorders>
              <w:top w:val="single" w:sz="0" w:space="0" w:color="000000"/>
              <w:bottom w:val="single" w:sz="0" w:space="0" w:color="000000"/>
            </w:tcBorders>
          </w:tcPr>
          <w:p>
            <w:pPr>
              <w:pStyle w:val="TableParagraph"/>
              <w:spacing w:before="94"/>
              <w:ind w:right="71"/>
              <w:jc w:val="right"/>
              <w:rPr>
                <w:b/>
                <w:sz w:val="18"/>
              </w:rPr>
            </w:pPr>
            <w:r>
              <w:rPr>
                <w:b/>
                <w:w w:val="95"/>
                <w:sz w:val="18"/>
              </w:rPr>
              <w:t>25,018</w:t>
            </w:r>
          </w:p>
        </w:tc>
        <w:tc>
          <w:tcPr>
            <w:tcW w:w="516" w:type="dxa"/>
            <w:tcBorders>
              <w:top w:val="single" w:sz="0" w:space="0" w:color="000000"/>
              <w:bottom w:val="single" w:sz="0" w:space="0" w:color="000000"/>
            </w:tcBorders>
          </w:tcPr>
          <w:p>
            <w:pPr/>
          </w:p>
        </w:tc>
        <w:tc>
          <w:tcPr>
            <w:tcW w:w="795" w:type="dxa"/>
            <w:tcBorders>
              <w:top w:val="single" w:sz="0" w:space="0" w:color="000000"/>
              <w:bottom w:val="single" w:sz="0" w:space="0" w:color="000000"/>
            </w:tcBorders>
          </w:tcPr>
          <w:p>
            <w:pPr>
              <w:pStyle w:val="TableParagraph"/>
              <w:spacing w:before="94"/>
              <w:ind w:right="83"/>
              <w:jc w:val="right"/>
              <w:rPr>
                <w:sz w:val="18"/>
              </w:rPr>
            </w:pPr>
            <w:r>
              <w:rPr>
                <w:w w:val="95"/>
                <w:sz w:val="18"/>
              </w:rPr>
              <w:t>23,684</w:t>
            </w:r>
          </w:p>
        </w:tc>
      </w:tr>
      <w:tr>
        <w:trPr>
          <w:trHeight w:val="517" w:hRule="exact"/>
        </w:trPr>
        <w:tc>
          <w:tcPr>
            <w:tcW w:w="409" w:type="dxa"/>
          </w:tcPr>
          <w:p>
            <w:pPr>
              <w:pStyle w:val="TableParagraph"/>
              <w:rPr>
                <w:b/>
                <w:sz w:val="18"/>
              </w:rPr>
            </w:pPr>
          </w:p>
          <w:p>
            <w:pPr>
              <w:pStyle w:val="TableParagraph"/>
              <w:spacing w:before="106"/>
              <w:ind w:left="35"/>
              <w:rPr>
                <w:b/>
                <w:sz w:val="18"/>
              </w:rPr>
            </w:pPr>
            <w:r>
              <w:rPr>
                <w:b/>
                <w:sz w:val="18"/>
              </w:rPr>
              <w:t>13</w:t>
            </w:r>
          </w:p>
        </w:tc>
        <w:tc>
          <w:tcPr>
            <w:tcW w:w="4012" w:type="dxa"/>
            <w:gridSpan w:val="2"/>
          </w:tcPr>
          <w:p>
            <w:pPr>
              <w:pStyle w:val="TableParagraph"/>
              <w:rPr>
                <w:b/>
                <w:sz w:val="18"/>
              </w:rPr>
            </w:pPr>
          </w:p>
          <w:p>
            <w:pPr>
              <w:pStyle w:val="TableParagraph"/>
              <w:spacing w:before="106"/>
              <w:ind w:left="21"/>
              <w:rPr>
                <w:b/>
                <w:sz w:val="18"/>
              </w:rPr>
            </w:pPr>
            <w:r>
              <w:rPr>
                <w:b/>
                <w:sz w:val="18"/>
              </w:rPr>
              <w:t>Impairment of assets</w:t>
            </w:r>
          </w:p>
        </w:tc>
        <w:tc>
          <w:tcPr>
            <w:tcW w:w="1453" w:type="dxa"/>
            <w:gridSpan w:val="2"/>
            <w:tcBorders>
              <w:top w:val="single" w:sz="0" w:space="0" w:color="000000"/>
            </w:tcBorders>
          </w:tcPr>
          <w:p>
            <w:pPr/>
          </w:p>
        </w:tc>
        <w:tc>
          <w:tcPr>
            <w:tcW w:w="516" w:type="dxa"/>
            <w:tcBorders>
              <w:top w:val="single" w:sz="0" w:space="0" w:color="000000"/>
            </w:tcBorders>
          </w:tcPr>
          <w:p>
            <w:pPr/>
          </w:p>
        </w:tc>
        <w:tc>
          <w:tcPr>
            <w:tcW w:w="752" w:type="dxa"/>
            <w:tcBorders>
              <w:top w:val="single" w:sz="0" w:space="0" w:color="000000"/>
            </w:tcBorders>
          </w:tcPr>
          <w:p>
            <w:pPr/>
          </w:p>
        </w:tc>
        <w:tc>
          <w:tcPr>
            <w:tcW w:w="727" w:type="dxa"/>
            <w:tcBorders>
              <w:top w:val="single" w:sz="0" w:space="0" w:color="000000"/>
            </w:tcBorders>
          </w:tcPr>
          <w:p>
            <w:pPr/>
          </w:p>
        </w:tc>
        <w:tc>
          <w:tcPr>
            <w:tcW w:w="768" w:type="dxa"/>
            <w:tcBorders>
              <w:top w:val="single" w:sz="0" w:space="0" w:color="000000"/>
            </w:tcBorders>
          </w:tcPr>
          <w:p>
            <w:pPr/>
          </w:p>
        </w:tc>
        <w:tc>
          <w:tcPr>
            <w:tcW w:w="516" w:type="dxa"/>
            <w:tcBorders>
              <w:top w:val="single" w:sz="0" w:space="0" w:color="000000"/>
            </w:tcBorders>
          </w:tcPr>
          <w:p>
            <w:pPr/>
          </w:p>
        </w:tc>
        <w:tc>
          <w:tcPr>
            <w:tcW w:w="795" w:type="dxa"/>
            <w:tcBorders>
              <w:top w:val="single" w:sz="0" w:space="0" w:color="000000"/>
            </w:tcBorders>
          </w:tcPr>
          <w:p>
            <w:pPr/>
          </w:p>
        </w:tc>
      </w:tr>
      <w:tr>
        <w:trPr>
          <w:trHeight w:val="287" w:hRule="exact"/>
        </w:trPr>
        <w:tc>
          <w:tcPr>
            <w:tcW w:w="409" w:type="dxa"/>
          </w:tcPr>
          <w:p>
            <w:pPr/>
          </w:p>
        </w:tc>
        <w:tc>
          <w:tcPr>
            <w:tcW w:w="4012" w:type="dxa"/>
            <w:gridSpan w:val="2"/>
          </w:tcPr>
          <w:p>
            <w:pPr/>
          </w:p>
        </w:tc>
        <w:tc>
          <w:tcPr>
            <w:tcW w:w="1453" w:type="dxa"/>
            <w:gridSpan w:val="2"/>
          </w:tcPr>
          <w:p>
            <w:pPr>
              <w:pStyle w:val="TableParagraph"/>
              <w:spacing w:before="37"/>
              <w:ind w:left="27"/>
              <w:rPr>
                <w:b/>
                <w:sz w:val="18"/>
              </w:rPr>
            </w:pPr>
            <w:r>
              <w:rPr>
                <w:b/>
                <w:sz w:val="18"/>
              </w:rPr>
              <w:t>Consolidated</w:t>
            </w:r>
          </w:p>
        </w:tc>
        <w:tc>
          <w:tcPr>
            <w:tcW w:w="516" w:type="dxa"/>
          </w:tcPr>
          <w:p>
            <w:pPr/>
          </w:p>
        </w:tc>
        <w:tc>
          <w:tcPr>
            <w:tcW w:w="752" w:type="dxa"/>
          </w:tcPr>
          <w:p>
            <w:pPr/>
          </w:p>
        </w:tc>
        <w:tc>
          <w:tcPr>
            <w:tcW w:w="727" w:type="dxa"/>
          </w:tcPr>
          <w:p>
            <w:pPr>
              <w:pStyle w:val="TableParagraph"/>
              <w:spacing w:before="37"/>
              <w:ind w:right="122"/>
              <w:jc w:val="right"/>
              <w:rPr>
                <w:b/>
                <w:sz w:val="18"/>
              </w:rPr>
            </w:pPr>
            <w:r>
              <w:rPr>
                <w:b/>
                <w:w w:val="95"/>
                <w:sz w:val="18"/>
              </w:rPr>
              <w:t>Parent</w:t>
            </w:r>
          </w:p>
        </w:tc>
        <w:tc>
          <w:tcPr>
            <w:tcW w:w="768" w:type="dxa"/>
          </w:tcPr>
          <w:p>
            <w:pPr/>
          </w:p>
        </w:tc>
        <w:tc>
          <w:tcPr>
            <w:tcW w:w="516" w:type="dxa"/>
          </w:tcPr>
          <w:p>
            <w:pPr/>
          </w:p>
        </w:tc>
        <w:tc>
          <w:tcPr>
            <w:tcW w:w="795" w:type="dxa"/>
          </w:tcPr>
          <w:p>
            <w:pPr/>
          </w:p>
        </w:tc>
      </w:tr>
      <w:tr>
        <w:trPr>
          <w:trHeight w:val="274" w:hRule="exact"/>
        </w:trPr>
        <w:tc>
          <w:tcPr>
            <w:tcW w:w="409" w:type="dxa"/>
          </w:tcPr>
          <w:p>
            <w:pPr/>
          </w:p>
        </w:tc>
        <w:tc>
          <w:tcPr>
            <w:tcW w:w="2854" w:type="dxa"/>
          </w:tcPr>
          <w:p>
            <w:pPr/>
          </w:p>
        </w:tc>
        <w:tc>
          <w:tcPr>
            <w:tcW w:w="1158" w:type="dxa"/>
          </w:tcPr>
          <w:p>
            <w:pPr/>
          </w:p>
        </w:tc>
        <w:tc>
          <w:tcPr>
            <w:tcW w:w="685" w:type="dxa"/>
          </w:tcPr>
          <w:p>
            <w:pPr>
              <w:pStyle w:val="TableParagraph"/>
              <w:spacing w:before="24"/>
              <w:ind w:right="85"/>
              <w:jc w:val="right"/>
              <w:rPr>
                <w:b/>
                <w:sz w:val="18"/>
              </w:rPr>
            </w:pPr>
            <w:r>
              <w:rPr>
                <w:b/>
                <w:w w:val="95"/>
                <w:sz w:val="18"/>
              </w:rPr>
              <w:t>2012</w:t>
            </w:r>
          </w:p>
        </w:tc>
        <w:tc>
          <w:tcPr>
            <w:tcW w:w="768" w:type="dxa"/>
          </w:tcPr>
          <w:p>
            <w:pPr/>
          </w:p>
        </w:tc>
        <w:tc>
          <w:tcPr>
            <w:tcW w:w="516" w:type="dxa"/>
          </w:tcPr>
          <w:p>
            <w:pPr>
              <w:pStyle w:val="TableParagraph"/>
              <w:spacing w:before="24"/>
              <w:ind w:left="13"/>
              <w:rPr>
                <w:b/>
                <w:sz w:val="18"/>
              </w:rPr>
            </w:pPr>
            <w:r>
              <w:rPr>
                <w:b/>
                <w:sz w:val="18"/>
              </w:rPr>
              <w:t>2011</w:t>
            </w:r>
          </w:p>
        </w:tc>
        <w:tc>
          <w:tcPr>
            <w:tcW w:w="752" w:type="dxa"/>
          </w:tcPr>
          <w:p>
            <w:pPr/>
          </w:p>
        </w:tc>
        <w:tc>
          <w:tcPr>
            <w:tcW w:w="727" w:type="dxa"/>
          </w:tcPr>
          <w:p>
            <w:pPr>
              <w:pStyle w:val="TableParagraph"/>
              <w:spacing w:before="24"/>
              <w:ind w:right="85"/>
              <w:jc w:val="right"/>
              <w:rPr>
                <w:b/>
                <w:sz w:val="18"/>
              </w:rPr>
            </w:pPr>
            <w:r>
              <w:rPr>
                <w:b/>
                <w:w w:val="95"/>
                <w:sz w:val="18"/>
              </w:rPr>
              <w:t>2012</w:t>
            </w:r>
          </w:p>
        </w:tc>
        <w:tc>
          <w:tcPr>
            <w:tcW w:w="768" w:type="dxa"/>
          </w:tcPr>
          <w:p>
            <w:pPr/>
          </w:p>
        </w:tc>
        <w:tc>
          <w:tcPr>
            <w:tcW w:w="516" w:type="dxa"/>
          </w:tcPr>
          <w:p>
            <w:pPr>
              <w:pStyle w:val="TableParagraph"/>
              <w:spacing w:before="24"/>
              <w:ind w:left="13"/>
              <w:rPr>
                <w:b/>
                <w:sz w:val="18"/>
              </w:rPr>
            </w:pPr>
            <w:r>
              <w:rPr>
                <w:b/>
                <w:sz w:val="18"/>
              </w:rPr>
              <w:t>2011</w:t>
            </w:r>
          </w:p>
        </w:tc>
        <w:tc>
          <w:tcPr>
            <w:tcW w:w="795" w:type="dxa"/>
          </w:tcPr>
          <w:p>
            <w:pPr/>
          </w:p>
        </w:tc>
      </w:tr>
      <w:tr>
        <w:trPr>
          <w:trHeight w:val="271" w:hRule="exact"/>
        </w:trPr>
        <w:tc>
          <w:tcPr>
            <w:tcW w:w="409" w:type="dxa"/>
          </w:tcPr>
          <w:p>
            <w:pPr/>
          </w:p>
        </w:tc>
        <w:tc>
          <w:tcPr>
            <w:tcW w:w="2854" w:type="dxa"/>
          </w:tcPr>
          <w:p>
            <w:pPr/>
          </w:p>
        </w:tc>
        <w:tc>
          <w:tcPr>
            <w:tcW w:w="1158" w:type="dxa"/>
          </w:tcPr>
          <w:p>
            <w:pPr>
              <w:pStyle w:val="TableParagraph"/>
              <w:spacing w:before="24"/>
              <w:ind w:left="523"/>
              <w:rPr>
                <w:b/>
                <w:sz w:val="18"/>
              </w:rPr>
            </w:pPr>
            <w:r>
              <w:rPr>
                <w:b/>
                <w:sz w:val="18"/>
              </w:rPr>
              <w:t>Note</w:t>
            </w:r>
          </w:p>
        </w:tc>
        <w:tc>
          <w:tcPr>
            <w:tcW w:w="685" w:type="dxa"/>
          </w:tcPr>
          <w:p>
            <w:pPr>
              <w:pStyle w:val="TableParagraph"/>
              <w:spacing w:before="24"/>
              <w:ind w:right="42"/>
              <w:jc w:val="right"/>
              <w:rPr>
                <w:b/>
                <w:sz w:val="18"/>
              </w:rPr>
            </w:pPr>
            <w:r>
              <w:rPr>
                <w:b/>
                <w:w w:val="95"/>
                <w:sz w:val="18"/>
              </w:rPr>
              <w:t>$'000</w:t>
            </w:r>
          </w:p>
        </w:tc>
        <w:tc>
          <w:tcPr>
            <w:tcW w:w="768" w:type="dxa"/>
          </w:tcPr>
          <w:p>
            <w:pPr/>
          </w:p>
        </w:tc>
        <w:tc>
          <w:tcPr>
            <w:tcW w:w="516" w:type="dxa"/>
          </w:tcPr>
          <w:p>
            <w:pPr>
              <w:pStyle w:val="TableParagraph"/>
              <w:spacing w:before="24"/>
              <w:ind w:left="13"/>
              <w:rPr>
                <w:b/>
                <w:sz w:val="18"/>
              </w:rPr>
            </w:pPr>
            <w:r>
              <w:rPr>
                <w:b/>
                <w:sz w:val="18"/>
              </w:rPr>
              <w:t>$'000</w:t>
            </w:r>
          </w:p>
        </w:tc>
        <w:tc>
          <w:tcPr>
            <w:tcW w:w="752" w:type="dxa"/>
          </w:tcPr>
          <w:p>
            <w:pPr/>
          </w:p>
        </w:tc>
        <w:tc>
          <w:tcPr>
            <w:tcW w:w="727" w:type="dxa"/>
          </w:tcPr>
          <w:p>
            <w:pPr>
              <w:pStyle w:val="TableParagraph"/>
              <w:spacing w:before="24"/>
              <w:ind w:right="42"/>
              <w:jc w:val="right"/>
              <w:rPr>
                <w:b/>
                <w:sz w:val="18"/>
              </w:rPr>
            </w:pPr>
            <w:r>
              <w:rPr>
                <w:b/>
                <w:w w:val="95"/>
                <w:sz w:val="18"/>
              </w:rPr>
              <w:t>$'000</w:t>
            </w:r>
          </w:p>
        </w:tc>
        <w:tc>
          <w:tcPr>
            <w:tcW w:w="768" w:type="dxa"/>
          </w:tcPr>
          <w:p>
            <w:pPr/>
          </w:p>
        </w:tc>
        <w:tc>
          <w:tcPr>
            <w:tcW w:w="516" w:type="dxa"/>
          </w:tcPr>
          <w:p>
            <w:pPr>
              <w:pStyle w:val="TableParagraph"/>
              <w:spacing w:before="24"/>
              <w:ind w:left="13"/>
              <w:rPr>
                <w:b/>
                <w:sz w:val="18"/>
              </w:rPr>
            </w:pPr>
            <w:r>
              <w:rPr>
                <w:b/>
                <w:sz w:val="18"/>
              </w:rPr>
              <w:t>$'000</w:t>
            </w:r>
          </w:p>
        </w:tc>
        <w:tc>
          <w:tcPr>
            <w:tcW w:w="795" w:type="dxa"/>
          </w:tcPr>
          <w:p>
            <w:pPr/>
          </w:p>
        </w:tc>
      </w:tr>
      <w:tr>
        <w:trPr>
          <w:trHeight w:val="267" w:hRule="exact"/>
        </w:trPr>
        <w:tc>
          <w:tcPr>
            <w:tcW w:w="409" w:type="dxa"/>
          </w:tcPr>
          <w:p>
            <w:pPr/>
          </w:p>
        </w:tc>
        <w:tc>
          <w:tcPr>
            <w:tcW w:w="2854" w:type="dxa"/>
          </w:tcPr>
          <w:p>
            <w:pPr>
              <w:pStyle w:val="TableParagraph"/>
              <w:spacing w:before="22"/>
              <w:ind w:left="49" w:right="603"/>
              <w:rPr>
                <w:sz w:val="18"/>
              </w:rPr>
            </w:pPr>
            <w:r>
              <w:rPr>
                <w:sz w:val="18"/>
              </w:rPr>
              <w:t>Bad debts</w:t>
            </w:r>
          </w:p>
        </w:tc>
        <w:tc>
          <w:tcPr>
            <w:tcW w:w="1158" w:type="dxa"/>
          </w:tcPr>
          <w:p>
            <w:pPr/>
          </w:p>
        </w:tc>
        <w:tc>
          <w:tcPr>
            <w:tcW w:w="685" w:type="dxa"/>
          </w:tcPr>
          <w:p>
            <w:pPr/>
          </w:p>
        </w:tc>
        <w:tc>
          <w:tcPr>
            <w:tcW w:w="768" w:type="dxa"/>
          </w:tcPr>
          <w:p>
            <w:pPr>
              <w:pStyle w:val="TableParagraph"/>
              <w:spacing w:before="21"/>
              <w:ind w:right="71"/>
              <w:jc w:val="right"/>
              <w:rPr>
                <w:b/>
                <w:sz w:val="18"/>
              </w:rPr>
            </w:pPr>
            <w:r>
              <w:rPr>
                <w:b/>
                <w:w w:val="95"/>
                <w:sz w:val="18"/>
              </w:rPr>
              <w:t>255</w:t>
            </w:r>
          </w:p>
        </w:tc>
        <w:tc>
          <w:tcPr>
            <w:tcW w:w="516" w:type="dxa"/>
          </w:tcPr>
          <w:p>
            <w:pPr/>
          </w:p>
        </w:tc>
        <w:tc>
          <w:tcPr>
            <w:tcW w:w="752" w:type="dxa"/>
          </w:tcPr>
          <w:p>
            <w:pPr>
              <w:pStyle w:val="TableParagraph"/>
              <w:spacing w:before="21"/>
              <w:ind w:right="41"/>
              <w:jc w:val="right"/>
              <w:rPr>
                <w:sz w:val="18"/>
              </w:rPr>
            </w:pPr>
            <w:r>
              <w:rPr>
                <w:w w:val="95"/>
                <w:sz w:val="18"/>
              </w:rPr>
              <w:t>271</w:t>
            </w:r>
          </w:p>
        </w:tc>
        <w:tc>
          <w:tcPr>
            <w:tcW w:w="727" w:type="dxa"/>
          </w:tcPr>
          <w:p>
            <w:pPr/>
          </w:p>
        </w:tc>
        <w:tc>
          <w:tcPr>
            <w:tcW w:w="768" w:type="dxa"/>
          </w:tcPr>
          <w:p>
            <w:pPr>
              <w:pStyle w:val="TableParagraph"/>
              <w:spacing w:before="21"/>
              <w:ind w:right="71"/>
              <w:jc w:val="right"/>
              <w:rPr>
                <w:b/>
                <w:sz w:val="18"/>
              </w:rPr>
            </w:pPr>
            <w:r>
              <w:rPr>
                <w:b/>
                <w:w w:val="95"/>
                <w:sz w:val="18"/>
              </w:rPr>
              <w:t>255</w:t>
            </w:r>
          </w:p>
        </w:tc>
        <w:tc>
          <w:tcPr>
            <w:tcW w:w="516" w:type="dxa"/>
          </w:tcPr>
          <w:p>
            <w:pPr/>
          </w:p>
        </w:tc>
        <w:tc>
          <w:tcPr>
            <w:tcW w:w="795" w:type="dxa"/>
          </w:tcPr>
          <w:p>
            <w:pPr>
              <w:pStyle w:val="TableParagraph"/>
              <w:spacing w:before="21"/>
              <w:ind w:right="84"/>
              <w:jc w:val="right"/>
              <w:rPr>
                <w:sz w:val="18"/>
              </w:rPr>
            </w:pPr>
            <w:r>
              <w:rPr>
                <w:w w:val="95"/>
                <w:sz w:val="18"/>
              </w:rPr>
              <w:t>168</w:t>
            </w:r>
          </w:p>
        </w:tc>
      </w:tr>
      <w:tr>
        <w:trPr>
          <w:trHeight w:val="263" w:hRule="exact"/>
        </w:trPr>
        <w:tc>
          <w:tcPr>
            <w:tcW w:w="409" w:type="dxa"/>
          </w:tcPr>
          <w:p>
            <w:pPr/>
          </w:p>
        </w:tc>
        <w:tc>
          <w:tcPr>
            <w:tcW w:w="2854" w:type="dxa"/>
          </w:tcPr>
          <w:p>
            <w:pPr>
              <w:pStyle w:val="TableParagraph"/>
              <w:spacing w:before="19"/>
              <w:ind w:left="49" w:right="603"/>
              <w:rPr>
                <w:sz w:val="18"/>
              </w:rPr>
            </w:pPr>
            <w:r>
              <w:rPr>
                <w:sz w:val="18"/>
              </w:rPr>
              <w:t>Doubtful debts</w:t>
            </w:r>
          </w:p>
        </w:tc>
        <w:tc>
          <w:tcPr>
            <w:tcW w:w="1158" w:type="dxa"/>
          </w:tcPr>
          <w:p>
            <w:pPr/>
          </w:p>
        </w:tc>
        <w:tc>
          <w:tcPr>
            <w:tcW w:w="685" w:type="dxa"/>
          </w:tcPr>
          <w:p>
            <w:pPr/>
          </w:p>
        </w:tc>
        <w:tc>
          <w:tcPr>
            <w:tcW w:w="768" w:type="dxa"/>
          </w:tcPr>
          <w:p>
            <w:pPr>
              <w:pStyle w:val="TableParagraph"/>
              <w:spacing w:before="18"/>
              <w:ind w:right="11"/>
              <w:jc w:val="right"/>
              <w:rPr>
                <w:b/>
                <w:sz w:val="18"/>
              </w:rPr>
            </w:pPr>
            <w:r>
              <w:rPr>
                <w:b/>
                <w:w w:val="95"/>
                <w:sz w:val="18"/>
              </w:rPr>
              <w:t>(1,235)</w:t>
            </w:r>
          </w:p>
        </w:tc>
        <w:tc>
          <w:tcPr>
            <w:tcW w:w="516" w:type="dxa"/>
          </w:tcPr>
          <w:p>
            <w:pPr/>
          </w:p>
        </w:tc>
        <w:tc>
          <w:tcPr>
            <w:tcW w:w="752" w:type="dxa"/>
          </w:tcPr>
          <w:p>
            <w:pPr>
              <w:pStyle w:val="TableParagraph"/>
              <w:spacing w:before="18"/>
              <w:ind w:right="41"/>
              <w:jc w:val="right"/>
              <w:rPr>
                <w:sz w:val="18"/>
              </w:rPr>
            </w:pPr>
            <w:r>
              <w:rPr>
                <w:w w:val="95"/>
                <w:sz w:val="18"/>
              </w:rPr>
              <w:t>1,161</w:t>
            </w:r>
          </w:p>
        </w:tc>
        <w:tc>
          <w:tcPr>
            <w:tcW w:w="727" w:type="dxa"/>
          </w:tcPr>
          <w:p>
            <w:pPr/>
          </w:p>
        </w:tc>
        <w:tc>
          <w:tcPr>
            <w:tcW w:w="768" w:type="dxa"/>
          </w:tcPr>
          <w:p>
            <w:pPr>
              <w:pStyle w:val="TableParagraph"/>
              <w:spacing w:before="18"/>
              <w:ind w:right="11"/>
              <w:jc w:val="right"/>
              <w:rPr>
                <w:b/>
                <w:sz w:val="18"/>
              </w:rPr>
            </w:pPr>
            <w:r>
              <w:rPr>
                <w:b/>
                <w:w w:val="95"/>
                <w:sz w:val="18"/>
              </w:rPr>
              <w:t>(1,037)</w:t>
            </w:r>
          </w:p>
        </w:tc>
        <w:tc>
          <w:tcPr>
            <w:tcW w:w="516" w:type="dxa"/>
          </w:tcPr>
          <w:p>
            <w:pPr/>
          </w:p>
        </w:tc>
        <w:tc>
          <w:tcPr>
            <w:tcW w:w="795" w:type="dxa"/>
          </w:tcPr>
          <w:p>
            <w:pPr>
              <w:pStyle w:val="TableParagraph"/>
              <w:spacing w:before="18"/>
              <w:ind w:right="83"/>
              <w:jc w:val="right"/>
              <w:rPr>
                <w:sz w:val="18"/>
              </w:rPr>
            </w:pPr>
            <w:r>
              <w:rPr>
                <w:w w:val="95"/>
                <w:sz w:val="18"/>
              </w:rPr>
              <w:t>2,089</w:t>
            </w:r>
          </w:p>
        </w:tc>
      </w:tr>
      <w:tr>
        <w:trPr>
          <w:trHeight w:val="467" w:hRule="exact"/>
        </w:trPr>
        <w:tc>
          <w:tcPr>
            <w:tcW w:w="409" w:type="dxa"/>
          </w:tcPr>
          <w:p>
            <w:pPr/>
          </w:p>
        </w:tc>
        <w:tc>
          <w:tcPr>
            <w:tcW w:w="2854" w:type="dxa"/>
          </w:tcPr>
          <w:p>
            <w:pPr>
              <w:pStyle w:val="TableParagraph"/>
              <w:spacing w:before="18"/>
              <w:ind w:left="49" w:right="603"/>
              <w:rPr>
                <w:sz w:val="18"/>
              </w:rPr>
            </w:pPr>
            <w:r>
              <w:rPr>
                <w:sz w:val="18"/>
              </w:rPr>
              <w:t>Impairment of building - fire damage</w:t>
            </w:r>
          </w:p>
        </w:tc>
        <w:tc>
          <w:tcPr>
            <w:tcW w:w="1158" w:type="dxa"/>
          </w:tcPr>
          <w:p>
            <w:pPr>
              <w:pStyle w:val="TableParagraph"/>
              <w:spacing w:before="6"/>
              <w:rPr>
                <w:b/>
                <w:sz w:val="19"/>
              </w:rPr>
            </w:pPr>
          </w:p>
          <w:p>
            <w:pPr>
              <w:pStyle w:val="TableParagraph"/>
              <w:ind w:left="523"/>
              <w:rPr>
                <w:sz w:val="18"/>
              </w:rPr>
            </w:pPr>
            <w:r>
              <w:rPr>
                <w:w w:val="99"/>
                <w:sz w:val="18"/>
              </w:rPr>
              <w:t>8</w:t>
            </w:r>
          </w:p>
        </w:tc>
        <w:tc>
          <w:tcPr>
            <w:tcW w:w="685" w:type="dxa"/>
            <w:tcBorders>
              <w:bottom w:val="single" w:sz="0" w:space="0" w:color="000000"/>
            </w:tcBorders>
          </w:tcPr>
          <w:p>
            <w:pPr/>
          </w:p>
        </w:tc>
        <w:tc>
          <w:tcPr>
            <w:tcW w:w="768" w:type="dxa"/>
            <w:tcBorders>
              <w:bottom w:val="single" w:sz="0" w:space="0" w:color="000000"/>
            </w:tcBorders>
          </w:tcPr>
          <w:p>
            <w:pPr>
              <w:pStyle w:val="TableParagraph"/>
              <w:spacing w:before="4"/>
              <w:rPr>
                <w:b/>
                <w:sz w:val="19"/>
              </w:rPr>
            </w:pPr>
          </w:p>
          <w:p>
            <w:pPr>
              <w:pStyle w:val="TableParagraph"/>
              <w:ind w:right="71"/>
              <w:jc w:val="right"/>
              <w:rPr>
                <w:b/>
                <w:sz w:val="18"/>
              </w:rPr>
            </w:pPr>
            <w:r>
              <w:rPr>
                <w:b/>
                <w:w w:val="95"/>
                <w:sz w:val="18"/>
              </w:rPr>
              <w:t>5,586</w:t>
            </w:r>
          </w:p>
        </w:tc>
        <w:tc>
          <w:tcPr>
            <w:tcW w:w="516" w:type="dxa"/>
            <w:tcBorders>
              <w:bottom w:val="single" w:sz="0" w:space="0" w:color="000000"/>
            </w:tcBorders>
          </w:tcPr>
          <w:p>
            <w:pPr/>
          </w:p>
        </w:tc>
        <w:tc>
          <w:tcPr>
            <w:tcW w:w="752" w:type="dxa"/>
            <w:tcBorders>
              <w:bottom w:val="single" w:sz="0" w:space="0" w:color="000000"/>
            </w:tcBorders>
          </w:tcPr>
          <w:p>
            <w:pPr>
              <w:pStyle w:val="TableParagraph"/>
              <w:spacing w:before="4"/>
              <w:rPr>
                <w:b/>
                <w:sz w:val="19"/>
              </w:rPr>
            </w:pPr>
          </w:p>
          <w:p>
            <w:pPr>
              <w:pStyle w:val="TableParagraph"/>
              <w:ind w:right="43"/>
              <w:jc w:val="right"/>
              <w:rPr>
                <w:sz w:val="18"/>
              </w:rPr>
            </w:pPr>
            <w:r>
              <w:rPr>
                <w:w w:val="99"/>
                <w:sz w:val="18"/>
              </w:rPr>
              <w:t>-</w:t>
            </w:r>
          </w:p>
        </w:tc>
        <w:tc>
          <w:tcPr>
            <w:tcW w:w="727" w:type="dxa"/>
            <w:tcBorders>
              <w:bottom w:val="single" w:sz="0" w:space="0" w:color="000000"/>
            </w:tcBorders>
          </w:tcPr>
          <w:p>
            <w:pPr/>
          </w:p>
        </w:tc>
        <w:tc>
          <w:tcPr>
            <w:tcW w:w="768" w:type="dxa"/>
            <w:tcBorders>
              <w:bottom w:val="single" w:sz="0" w:space="0" w:color="000000"/>
            </w:tcBorders>
          </w:tcPr>
          <w:p>
            <w:pPr>
              <w:pStyle w:val="TableParagraph"/>
              <w:spacing w:before="4"/>
              <w:rPr>
                <w:b/>
                <w:sz w:val="19"/>
              </w:rPr>
            </w:pPr>
          </w:p>
          <w:p>
            <w:pPr>
              <w:pStyle w:val="TableParagraph"/>
              <w:ind w:right="71"/>
              <w:jc w:val="right"/>
              <w:rPr>
                <w:b/>
                <w:sz w:val="18"/>
              </w:rPr>
            </w:pPr>
            <w:r>
              <w:rPr>
                <w:b/>
                <w:w w:val="95"/>
                <w:sz w:val="18"/>
              </w:rPr>
              <w:t>5,586</w:t>
            </w:r>
          </w:p>
        </w:tc>
        <w:tc>
          <w:tcPr>
            <w:tcW w:w="516" w:type="dxa"/>
            <w:tcBorders>
              <w:bottom w:val="single" w:sz="0" w:space="0" w:color="000000"/>
            </w:tcBorders>
          </w:tcPr>
          <w:p>
            <w:pPr/>
          </w:p>
        </w:tc>
        <w:tc>
          <w:tcPr>
            <w:tcW w:w="795" w:type="dxa"/>
            <w:tcBorders>
              <w:bottom w:val="single" w:sz="0" w:space="0" w:color="000000"/>
            </w:tcBorders>
          </w:tcPr>
          <w:p>
            <w:pPr>
              <w:pStyle w:val="TableParagraph"/>
              <w:spacing w:before="4"/>
              <w:rPr>
                <w:b/>
                <w:sz w:val="19"/>
              </w:rPr>
            </w:pPr>
          </w:p>
          <w:p>
            <w:pPr>
              <w:pStyle w:val="TableParagraph"/>
              <w:ind w:right="85"/>
              <w:jc w:val="right"/>
              <w:rPr>
                <w:sz w:val="18"/>
              </w:rPr>
            </w:pPr>
            <w:r>
              <w:rPr>
                <w:w w:val="99"/>
                <w:sz w:val="18"/>
              </w:rPr>
              <w:t>-</w:t>
            </w:r>
          </w:p>
        </w:tc>
      </w:tr>
      <w:tr>
        <w:trPr>
          <w:trHeight w:val="353" w:hRule="exact"/>
        </w:trPr>
        <w:tc>
          <w:tcPr>
            <w:tcW w:w="409" w:type="dxa"/>
          </w:tcPr>
          <w:p>
            <w:pPr/>
          </w:p>
        </w:tc>
        <w:tc>
          <w:tcPr>
            <w:tcW w:w="2854" w:type="dxa"/>
          </w:tcPr>
          <w:p>
            <w:pPr>
              <w:pStyle w:val="TableParagraph"/>
              <w:spacing w:before="123"/>
              <w:ind w:left="49"/>
              <w:rPr>
                <w:b/>
                <w:sz w:val="18"/>
              </w:rPr>
            </w:pPr>
            <w:r>
              <w:rPr>
                <w:b/>
                <w:sz w:val="18"/>
              </w:rPr>
              <w:t>Total impairment of assets</w:t>
            </w:r>
          </w:p>
        </w:tc>
        <w:tc>
          <w:tcPr>
            <w:tcW w:w="1158" w:type="dxa"/>
          </w:tcPr>
          <w:p>
            <w:pPr/>
          </w:p>
        </w:tc>
        <w:tc>
          <w:tcPr>
            <w:tcW w:w="685" w:type="dxa"/>
            <w:tcBorders>
              <w:top w:val="single" w:sz="0" w:space="0" w:color="000000"/>
              <w:bottom w:val="single" w:sz="0" w:space="0" w:color="000000"/>
            </w:tcBorders>
          </w:tcPr>
          <w:p>
            <w:pPr/>
          </w:p>
        </w:tc>
        <w:tc>
          <w:tcPr>
            <w:tcW w:w="768" w:type="dxa"/>
            <w:tcBorders>
              <w:top w:val="single" w:sz="0" w:space="0" w:color="000000"/>
              <w:bottom w:val="single" w:sz="0" w:space="0" w:color="000000"/>
            </w:tcBorders>
          </w:tcPr>
          <w:p>
            <w:pPr>
              <w:pStyle w:val="TableParagraph"/>
              <w:spacing w:before="122"/>
              <w:ind w:right="71"/>
              <w:jc w:val="right"/>
              <w:rPr>
                <w:b/>
                <w:sz w:val="18"/>
              </w:rPr>
            </w:pPr>
            <w:r>
              <w:rPr>
                <w:b/>
                <w:w w:val="95"/>
                <w:sz w:val="18"/>
              </w:rPr>
              <w:t>4,606</w:t>
            </w:r>
          </w:p>
        </w:tc>
        <w:tc>
          <w:tcPr>
            <w:tcW w:w="516" w:type="dxa"/>
            <w:tcBorders>
              <w:top w:val="single" w:sz="0" w:space="0" w:color="000000"/>
              <w:bottom w:val="single" w:sz="0" w:space="0" w:color="000000"/>
            </w:tcBorders>
          </w:tcPr>
          <w:p>
            <w:pPr/>
          </w:p>
        </w:tc>
        <w:tc>
          <w:tcPr>
            <w:tcW w:w="752" w:type="dxa"/>
            <w:tcBorders>
              <w:top w:val="single" w:sz="0" w:space="0" w:color="000000"/>
              <w:bottom w:val="single" w:sz="0" w:space="0" w:color="000000"/>
            </w:tcBorders>
          </w:tcPr>
          <w:p>
            <w:pPr>
              <w:pStyle w:val="TableParagraph"/>
              <w:spacing w:before="122"/>
              <w:ind w:right="41"/>
              <w:jc w:val="right"/>
              <w:rPr>
                <w:sz w:val="18"/>
              </w:rPr>
            </w:pPr>
            <w:r>
              <w:rPr>
                <w:w w:val="95"/>
                <w:sz w:val="18"/>
              </w:rPr>
              <w:t>1,432</w:t>
            </w:r>
          </w:p>
        </w:tc>
        <w:tc>
          <w:tcPr>
            <w:tcW w:w="727" w:type="dxa"/>
            <w:tcBorders>
              <w:top w:val="single" w:sz="0" w:space="0" w:color="000000"/>
              <w:bottom w:val="single" w:sz="0" w:space="0" w:color="000000"/>
            </w:tcBorders>
          </w:tcPr>
          <w:p>
            <w:pPr/>
          </w:p>
        </w:tc>
        <w:tc>
          <w:tcPr>
            <w:tcW w:w="768" w:type="dxa"/>
            <w:tcBorders>
              <w:top w:val="single" w:sz="0" w:space="0" w:color="000000"/>
              <w:bottom w:val="single" w:sz="0" w:space="0" w:color="000000"/>
            </w:tcBorders>
          </w:tcPr>
          <w:p>
            <w:pPr>
              <w:pStyle w:val="TableParagraph"/>
              <w:spacing w:before="122"/>
              <w:ind w:right="71"/>
              <w:jc w:val="right"/>
              <w:rPr>
                <w:b/>
                <w:sz w:val="18"/>
              </w:rPr>
            </w:pPr>
            <w:r>
              <w:rPr>
                <w:b/>
                <w:w w:val="95"/>
                <w:sz w:val="18"/>
              </w:rPr>
              <w:t>4,804</w:t>
            </w:r>
          </w:p>
        </w:tc>
        <w:tc>
          <w:tcPr>
            <w:tcW w:w="516" w:type="dxa"/>
            <w:tcBorders>
              <w:top w:val="single" w:sz="0" w:space="0" w:color="000000"/>
              <w:bottom w:val="single" w:sz="0" w:space="0" w:color="000000"/>
            </w:tcBorders>
          </w:tcPr>
          <w:p>
            <w:pPr/>
          </w:p>
        </w:tc>
        <w:tc>
          <w:tcPr>
            <w:tcW w:w="795" w:type="dxa"/>
            <w:tcBorders>
              <w:top w:val="single" w:sz="0" w:space="0" w:color="000000"/>
              <w:bottom w:val="single" w:sz="0" w:space="0" w:color="000000"/>
            </w:tcBorders>
          </w:tcPr>
          <w:p>
            <w:pPr>
              <w:pStyle w:val="TableParagraph"/>
              <w:spacing w:before="122"/>
              <w:ind w:right="84"/>
              <w:jc w:val="right"/>
              <w:rPr>
                <w:sz w:val="18"/>
              </w:rPr>
            </w:pPr>
            <w:r>
              <w:rPr>
                <w:w w:val="95"/>
                <w:sz w:val="18"/>
              </w:rPr>
              <w:t>2,257</w:t>
            </w:r>
          </w:p>
        </w:tc>
      </w:tr>
      <w:tr>
        <w:trPr>
          <w:trHeight w:val="517" w:hRule="exact"/>
        </w:trPr>
        <w:tc>
          <w:tcPr>
            <w:tcW w:w="409" w:type="dxa"/>
          </w:tcPr>
          <w:p>
            <w:pPr>
              <w:pStyle w:val="TableParagraph"/>
              <w:rPr>
                <w:b/>
                <w:sz w:val="18"/>
              </w:rPr>
            </w:pPr>
          </w:p>
          <w:p>
            <w:pPr>
              <w:pStyle w:val="TableParagraph"/>
              <w:spacing w:before="106"/>
              <w:ind w:left="35"/>
              <w:rPr>
                <w:b/>
                <w:sz w:val="18"/>
              </w:rPr>
            </w:pPr>
            <w:r>
              <w:rPr>
                <w:b/>
                <w:sz w:val="18"/>
              </w:rPr>
              <w:t>14</w:t>
            </w:r>
          </w:p>
        </w:tc>
        <w:tc>
          <w:tcPr>
            <w:tcW w:w="2854" w:type="dxa"/>
          </w:tcPr>
          <w:p>
            <w:pPr>
              <w:pStyle w:val="TableParagraph"/>
              <w:rPr>
                <w:b/>
                <w:sz w:val="18"/>
              </w:rPr>
            </w:pPr>
          </w:p>
          <w:p>
            <w:pPr>
              <w:pStyle w:val="TableParagraph"/>
              <w:spacing w:before="106"/>
              <w:ind w:left="21" w:right="603"/>
              <w:rPr>
                <w:b/>
                <w:sz w:val="18"/>
              </w:rPr>
            </w:pPr>
            <w:r>
              <w:rPr>
                <w:b/>
                <w:sz w:val="18"/>
              </w:rPr>
              <w:t>Other expenses</w:t>
            </w:r>
          </w:p>
        </w:tc>
        <w:tc>
          <w:tcPr>
            <w:tcW w:w="1158" w:type="dxa"/>
          </w:tcPr>
          <w:p>
            <w:pPr/>
          </w:p>
        </w:tc>
        <w:tc>
          <w:tcPr>
            <w:tcW w:w="685" w:type="dxa"/>
            <w:tcBorders>
              <w:top w:val="single" w:sz="0" w:space="0" w:color="000000"/>
            </w:tcBorders>
          </w:tcPr>
          <w:p>
            <w:pPr/>
          </w:p>
        </w:tc>
        <w:tc>
          <w:tcPr>
            <w:tcW w:w="768" w:type="dxa"/>
            <w:tcBorders>
              <w:top w:val="single" w:sz="0" w:space="0" w:color="000000"/>
            </w:tcBorders>
          </w:tcPr>
          <w:p>
            <w:pPr/>
          </w:p>
        </w:tc>
        <w:tc>
          <w:tcPr>
            <w:tcW w:w="516" w:type="dxa"/>
            <w:tcBorders>
              <w:top w:val="single" w:sz="0" w:space="0" w:color="000000"/>
            </w:tcBorders>
          </w:tcPr>
          <w:p>
            <w:pPr/>
          </w:p>
        </w:tc>
        <w:tc>
          <w:tcPr>
            <w:tcW w:w="752" w:type="dxa"/>
            <w:tcBorders>
              <w:top w:val="single" w:sz="0" w:space="0" w:color="000000"/>
            </w:tcBorders>
          </w:tcPr>
          <w:p>
            <w:pPr/>
          </w:p>
        </w:tc>
        <w:tc>
          <w:tcPr>
            <w:tcW w:w="727" w:type="dxa"/>
            <w:tcBorders>
              <w:top w:val="single" w:sz="0" w:space="0" w:color="000000"/>
            </w:tcBorders>
          </w:tcPr>
          <w:p>
            <w:pPr/>
          </w:p>
        </w:tc>
        <w:tc>
          <w:tcPr>
            <w:tcW w:w="768" w:type="dxa"/>
            <w:tcBorders>
              <w:top w:val="single" w:sz="0" w:space="0" w:color="000000"/>
            </w:tcBorders>
          </w:tcPr>
          <w:p>
            <w:pPr/>
          </w:p>
        </w:tc>
        <w:tc>
          <w:tcPr>
            <w:tcW w:w="516" w:type="dxa"/>
            <w:tcBorders>
              <w:top w:val="single" w:sz="0" w:space="0" w:color="000000"/>
            </w:tcBorders>
          </w:tcPr>
          <w:p>
            <w:pPr/>
          </w:p>
        </w:tc>
        <w:tc>
          <w:tcPr>
            <w:tcW w:w="795" w:type="dxa"/>
            <w:tcBorders>
              <w:top w:val="single" w:sz="0" w:space="0" w:color="000000"/>
            </w:tcBorders>
          </w:tcPr>
          <w:p>
            <w:pPr/>
          </w:p>
        </w:tc>
      </w:tr>
      <w:tr>
        <w:trPr>
          <w:trHeight w:val="287" w:hRule="exact"/>
        </w:trPr>
        <w:tc>
          <w:tcPr>
            <w:tcW w:w="9948" w:type="dxa"/>
            <w:gridSpan w:val="11"/>
          </w:tcPr>
          <w:p>
            <w:pPr>
              <w:pStyle w:val="TableParagraph"/>
              <w:tabs>
                <w:tab w:pos="7184" w:val="left" w:leader="none"/>
              </w:tabs>
              <w:spacing w:before="37"/>
              <w:ind w:left="4448"/>
              <w:rPr>
                <w:b/>
                <w:sz w:val="18"/>
              </w:rPr>
            </w:pPr>
            <w:r>
              <w:rPr>
                <w:b/>
                <w:sz w:val="18"/>
              </w:rPr>
              <w:t>Consolidated</w:t>
              <w:tab/>
              <w:t>Parent</w:t>
            </w:r>
          </w:p>
        </w:tc>
      </w:tr>
      <w:tr>
        <w:trPr>
          <w:trHeight w:val="274" w:hRule="exact"/>
        </w:trPr>
        <w:tc>
          <w:tcPr>
            <w:tcW w:w="4421" w:type="dxa"/>
            <w:gridSpan w:val="3"/>
          </w:tcPr>
          <w:p>
            <w:pPr/>
          </w:p>
        </w:tc>
        <w:tc>
          <w:tcPr>
            <w:tcW w:w="685" w:type="dxa"/>
          </w:tcPr>
          <w:p>
            <w:pPr>
              <w:pStyle w:val="TableParagraph"/>
              <w:spacing w:before="24"/>
              <w:ind w:right="85"/>
              <w:jc w:val="right"/>
              <w:rPr>
                <w:b/>
                <w:sz w:val="18"/>
              </w:rPr>
            </w:pPr>
            <w:r>
              <w:rPr>
                <w:b/>
                <w:w w:val="95"/>
                <w:sz w:val="18"/>
              </w:rPr>
              <w:t>2012</w:t>
            </w:r>
          </w:p>
        </w:tc>
        <w:tc>
          <w:tcPr>
            <w:tcW w:w="768" w:type="dxa"/>
          </w:tcPr>
          <w:p>
            <w:pPr/>
          </w:p>
        </w:tc>
        <w:tc>
          <w:tcPr>
            <w:tcW w:w="516" w:type="dxa"/>
          </w:tcPr>
          <w:p>
            <w:pPr>
              <w:pStyle w:val="TableParagraph"/>
              <w:spacing w:before="24"/>
              <w:ind w:left="13"/>
              <w:rPr>
                <w:b/>
                <w:sz w:val="18"/>
              </w:rPr>
            </w:pPr>
            <w:r>
              <w:rPr>
                <w:b/>
                <w:sz w:val="18"/>
              </w:rPr>
              <w:t>2011</w:t>
            </w:r>
          </w:p>
        </w:tc>
        <w:tc>
          <w:tcPr>
            <w:tcW w:w="752" w:type="dxa"/>
          </w:tcPr>
          <w:p>
            <w:pPr/>
          </w:p>
        </w:tc>
        <w:tc>
          <w:tcPr>
            <w:tcW w:w="727" w:type="dxa"/>
          </w:tcPr>
          <w:p>
            <w:pPr>
              <w:pStyle w:val="TableParagraph"/>
              <w:spacing w:before="24"/>
              <w:ind w:right="85"/>
              <w:jc w:val="right"/>
              <w:rPr>
                <w:b/>
                <w:sz w:val="18"/>
              </w:rPr>
            </w:pPr>
            <w:r>
              <w:rPr>
                <w:b/>
                <w:w w:val="95"/>
                <w:sz w:val="18"/>
              </w:rPr>
              <w:t>2012</w:t>
            </w:r>
          </w:p>
        </w:tc>
        <w:tc>
          <w:tcPr>
            <w:tcW w:w="768" w:type="dxa"/>
          </w:tcPr>
          <w:p>
            <w:pPr/>
          </w:p>
        </w:tc>
        <w:tc>
          <w:tcPr>
            <w:tcW w:w="516" w:type="dxa"/>
          </w:tcPr>
          <w:p>
            <w:pPr>
              <w:pStyle w:val="TableParagraph"/>
              <w:spacing w:before="24"/>
              <w:ind w:left="13"/>
              <w:rPr>
                <w:b/>
                <w:sz w:val="18"/>
              </w:rPr>
            </w:pPr>
            <w:r>
              <w:rPr>
                <w:b/>
                <w:sz w:val="18"/>
              </w:rPr>
              <w:t>2011</w:t>
            </w:r>
          </w:p>
        </w:tc>
        <w:tc>
          <w:tcPr>
            <w:tcW w:w="795" w:type="dxa"/>
          </w:tcPr>
          <w:p>
            <w:pPr/>
          </w:p>
        </w:tc>
      </w:tr>
      <w:tr>
        <w:trPr>
          <w:trHeight w:val="271" w:hRule="exact"/>
        </w:trPr>
        <w:tc>
          <w:tcPr>
            <w:tcW w:w="4421" w:type="dxa"/>
            <w:gridSpan w:val="3"/>
          </w:tcPr>
          <w:p>
            <w:pPr/>
          </w:p>
        </w:tc>
        <w:tc>
          <w:tcPr>
            <w:tcW w:w="685" w:type="dxa"/>
          </w:tcPr>
          <w:p>
            <w:pPr>
              <w:pStyle w:val="TableParagraph"/>
              <w:spacing w:before="24"/>
              <w:ind w:right="42"/>
              <w:jc w:val="right"/>
              <w:rPr>
                <w:b/>
                <w:sz w:val="18"/>
              </w:rPr>
            </w:pPr>
            <w:r>
              <w:rPr>
                <w:b/>
                <w:w w:val="95"/>
                <w:sz w:val="18"/>
              </w:rPr>
              <w:t>$'000</w:t>
            </w:r>
          </w:p>
        </w:tc>
        <w:tc>
          <w:tcPr>
            <w:tcW w:w="768" w:type="dxa"/>
          </w:tcPr>
          <w:p>
            <w:pPr/>
          </w:p>
        </w:tc>
        <w:tc>
          <w:tcPr>
            <w:tcW w:w="516" w:type="dxa"/>
          </w:tcPr>
          <w:p>
            <w:pPr>
              <w:pStyle w:val="TableParagraph"/>
              <w:spacing w:before="24"/>
              <w:ind w:left="13"/>
              <w:rPr>
                <w:b/>
                <w:sz w:val="18"/>
              </w:rPr>
            </w:pPr>
            <w:r>
              <w:rPr>
                <w:b/>
                <w:sz w:val="18"/>
              </w:rPr>
              <w:t>$'000</w:t>
            </w:r>
          </w:p>
        </w:tc>
        <w:tc>
          <w:tcPr>
            <w:tcW w:w="752" w:type="dxa"/>
          </w:tcPr>
          <w:p>
            <w:pPr/>
          </w:p>
        </w:tc>
        <w:tc>
          <w:tcPr>
            <w:tcW w:w="727" w:type="dxa"/>
          </w:tcPr>
          <w:p>
            <w:pPr>
              <w:pStyle w:val="TableParagraph"/>
              <w:spacing w:before="24"/>
              <w:ind w:right="42"/>
              <w:jc w:val="right"/>
              <w:rPr>
                <w:b/>
                <w:sz w:val="18"/>
              </w:rPr>
            </w:pPr>
            <w:r>
              <w:rPr>
                <w:b/>
                <w:w w:val="95"/>
                <w:sz w:val="18"/>
              </w:rPr>
              <w:t>$'000</w:t>
            </w:r>
          </w:p>
        </w:tc>
        <w:tc>
          <w:tcPr>
            <w:tcW w:w="768" w:type="dxa"/>
          </w:tcPr>
          <w:p>
            <w:pPr/>
          </w:p>
        </w:tc>
        <w:tc>
          <w:tcPr>
            <w:tcW w:w="516" w:type="dxa"/>
          </w:tcPr>
          <w:p>
            <w:pPr>
              <w:pStyle w:val="TableParagraph"/>
              <w:spacing w:before="24"/>
              <w:ind w:left="13"/>
              <w:rPr>
                <w:b/>
                <w:sz w:val="18"/>
              </w:rPr>
            </w:pPr>
            <w:r>
              <w:rPr>
                <w:b/>
                <w:sz w:val="18"/>
              </w:rPr>
              <w:t>$'000</w:t>
            </w:r>
          </w:p>
        </w:tc>
        <w:tc>
          <w:tcPr>
            <w:tcW w:w="795" w:type="dxa"/>
          </w:tcPr>
          <w:p>
            <w:pPr/>
          </w:p>
        </w:tc>
      </w:tr>
      <w:tr>
        <w:trPr>
          <w:trHeight w:val="267" w:hRule="exact"/>
        </w:trPr>
        <w:tc>
          <w:tcPr>
            <w:tcW w:w="4421" w:type="dxa"/>
            <w:gridSpan w:val="3"/>
          </w:tcPr>
          <w:p>
            <w:pPr>
              <w:pStyle w:val="TableParagraph"/>
              <w:spacing w:before="22"/>
              <w:ind w:left="458"/>
              <w:rPr>
                <w:sz w:val="18"/>
              </w:rPr>
            </w:pPr>
            <w:r>
              <w:rPr>
                <w:sz w:val="18"/>
              </w:rPr>
              <w:t>Fees for service #1</w:t>
            </w:r>
          </w:p>
        </w:tc>
        <w:tc>
          <w:tcPr>
            <w:tcW w:w="685" w:type="dxa"/>
          </w:tcPr>
          <w:p>
            <w:pPr/>
          </w:p>
        </w:tc>
        <w:tc>
          <w:tcPr>
            <w:tcW w:w="768" w:type="dxa"/>
          </w:tcPr>
          <w:p>
            <w:pPr>
              <w:pStyle w:val="TableParagraph"/>
              <w:spacing w:before="21"/>
              <w:ind w:right="71"/>
              <w:jc w:val="right"/>
              <w:rPr>
                <w:b/>
                <w:sz w:val="18"/>
              </w:rPr>
            </w:pPr>
            <w:r>
              <w:rPr>
                <w:b/>
                <w:w w:val="95"/>
                <w:sz w:val="18"/>
              </w:rPr>
              <w:t>49,337</w:t>
            </w:r>
          </w:p>
        </w:tc>
        <w:tc>
          <w:tcPr>
            <w:tcW w:w="516" w:type="dxa"/>
          </w:tcPr>
          <w:p>
            <w:pPr/>
          </w:p>
        </w:tc>
        <w:tc>
          <w:tcPr>
            <w:tcW w:w="752" w:type="dxa"/>
          </w:tcPr>
          <w:p>
            <w:pPr>
              <w:pStyle w:val="TableParagraph"/>
              <w:spacing w:before="21"/>
              <w:ind w:right="41"/>
              <w:jc w:val="right"/>
              <w:rPr>
                <w:sz w:val="18"/>
              </w:rPr>
            </w:pPr>
            <w:r>
              <w:rPr>
                <w:w w:val="95"/>
                <w:sz w:val="18"/>
              </w:rPr>
              <w:t>42,760</w:t>
            </w:r>
          </w:p>
        </w:tc>
        <w:tc>
          <w:tcPr>
            <w:tcW w:w="727" w:type="dxa"/>
          </w:tcPr>
          <w:p>
            <w:pPr/>
          </w:p>
        </w:tc>
        <w:tc>
          <w:tcPr>
            <w:tcW w:w="768" w:type="dxa"/>
          </w:tcPr>
          <w:p>
            <w:pPr>
              <w:pStyle w:val="TableParagraph"/>
              <w:spacing w:before="21"/>
              <w:ind w:right="71"/>
              <w:jc w:val="right"/>
              <w:rPr>
                <w:b/>
                <w:sz w:val="18"/>
              </w:rPr>
            </w:pPr>
            <w:r>
              <w:rPr>
                <w:b/>
                <w:w w:val="95"/>
                <w:sz w:val="18"/>
              </w:rPr>
              <w:t>62,343</w:t>
            </w:r>
          </w:p>
        </w:tc>
        <w:tc>
          <w:tcPr>
            <w:tcW w:w="516" w:type="dxa"/>
          </w:tcPr>
          <w:p>
            <w:pPr/>
          </w:p>
        </w:tc>
        <w:tc>
          <w:tcPr>
            <w:tcW w:w="795" w:type="dxa"/>
          </w:tcPr>
          <w:p>
            <w:pPr>
              <w:pStyle w:val="TableParagraph"/>
              <w:spacing w:before="21"/>
              <w:ind w:right="83"/>
              <w:jc w:val="right"/>
              <w:rPr>
                <w:sz w:val="18"/>
              </w:rPr>
            </w:pPr>
            <w:r>
              <w:rPr>
                <w:w w:val="95"/>
                <w:sz w:val="18"/>
              </w:rPr>
              <w:t>49,512</w:t>
            </w:r>
          </w:p>
        </w:tc>
      </w:tr>
      <w:tr>
        <w:trPr>
          <w:trHeight w:val="264" w:hRule="exact"/>
        </w:trPr>
        <w:tc>
          <w:tcPr>
            <w:tcW w:w="4421" w:type="dxa"/>
            <w:gridSpan w:val="3"/>
          </w:tcPr>
          <w:p>
            <w:pPr>
              <w:pStyle w:val="TableParagraph"/>
              <w:spacing w:before="19"/>
              <w:ind w:left="458"/>
              <w:rPr>
                <w:sz w:val="18"/>
              </w:rPr>
            </w:pPr>
            <w:r>
              <w:rPr>
                <w:sz w:val="18"/>
              </w:rPr>
              <w:t>Consumables &amp; supplies</w:t>
            </w:r>
          </w:p>
        </w:tc>
        <w:tc>
          <w:tcPr>
            <w:tcW w:w="685" w:type="dxa"/>
          </w:tcPr>
          <w:p>
            <w:pPr/>
          </w:p>
        </w:tc>
        <w:tc>
          <w:tcPr>
            <w:tcW w:w="768" w:type="dxa"/>
          </w:tcPr>
          <w:p>
            <w:pPr>
              <w:pStyle w:val="TableParagraph"/>
              <w:spacing w:before="18"/>
              <w:ind w:right="71"/>
              <w:jc w:val="right"/>
              <w:rPr>
                <w:b/>
                <w:sz w:val="18"/>
              </w:rPr>
            </w:pPr>
            <w:r>
              <w:rPr>
                <w:b/>
                <w:w w:val="95"/>
                <w:sz w:val="18"/>
              </w:rPr>
              <w:t>26,367</w:t>
            </w:r>
          </w:p>
        </w:tc>
        <w:tc>
          <w:tcPr>
            <w:tcW w:w="516" w:type="dxa"/>
          </w:tcPr>
          <w:p>
            <w:pPr/>
          </w:p>
        </w:tc>
        <w:tc>
          <w:tcPr>
            <w:tcW w:w="752" w:type="dxa"/>
          </w:tcPr>
          <w:p>
            <w:pPr>
              <w:pStyle w:val="TableParagraph"/>
              <w:spacing w:before="18"/>
              <w:ind w:right="41"/>
              <w:jc w:val="right"/>
              <w:rPr>
                <w:sz w:val="18"/>
              </w:rPr>
            </w:pPr>
            <w:r>
              <w:rPr>
                <w:w w:val="95"/>
                <w:sz w:val="18"/>
              </w:rPr>
              <w:t>26,350</w:t>
            </w:r>
          </w:p>
        </w:tc>
        <w:tc>
          <w:tcPr>
            <w:tcW w:w="727" w:type="dxa"/>
          </w:tcPr>
          <w:p>
            <w:pPr/>
          </w:p>
        </w:tc>
        <w:tc>
          <w:tcPr>
            <w:tcW w:w="768" w:type="dxa"/>
          </w:tcPr>
          <w:p>
            <w:pPr>
              <w:pStyle w:val="TableParagraph"/>
              <w:spacing w:before="18"/>
              <w:ind w:right="71"/>
              <w:jc w:val="right"/>
              <w:rPr>
                <w:b/>
                <w:sz w:val="18"/>
              </w:rPr>
            </w:pPr>
            <w:r>
              <w:rPr>
                <w:b/>
                <w:w w:val="95"/>
                <w:sz w:val="18"/>
              </w:rPr>
              <w:t>15,148</w:t>
            </w:r>
          </w:p>
        </w:tc>
        <w:tc>
          <w:tcPr>
            <w:tcW w:w="516" w:type="dxa"/>
          </w:tcPr>
          <w:p>
            <w:pPr/>
          </w:p>
        </w:tc>
        <w:tc>
          <w:tcPr>
            <w:tcW w:w="795" w:type="dxa"/>
          </w:tcPr>
          <w:p>
            <w:pPr>
              <w:pStyle w:val="TableParagraph"/>
              <w:spacing w:before="18"/>
              <w:ind w:right="83"/>
              <w:jc w:val="right"/>
              <w:rPr>
                <w:sz w:val="18"/>
              </w:rPr>
            </w:pPr>
            <w:r>
              <w:rPr>
                <w:w w:val="95"/>
                <w:sz w:val="18"/>
              </w:rPr>
              <w:t>15,880</w:t>
            </w:r>
          </w:p>
        </w:tc>
      </w:tr>
      <w:tr>
        <w:trPr>
          <w:trHeight w:val="264" w:hRule="exact"/>
        </w:trPr>
        <w:tc>
          <w:tcPr>
            <w:tcW w:w="4421" w:type="dxa"/>
            <w:gridSpan w:val="3"/>
          </w:tcPr>
          <w:p>
            <w:pPr>
              <w:pStyle w:val="TableParagraph"/>
              <w:spacing w:before="19"/>
              <w:ind w:left="458"/>
              <w:rPr>
                <w:sz w:val="18"/>
              </w:rPr>
            </w:pPr>
            <w:r>
              <w:rPr>
                <w:sz w:val="18"/>
              </w:rPr>
              <w:t>Scholarships, grants and prizes</w:t>
            </w:r>
          </w:p>
        </w:tc>
        <w:tc>
          <w:tcPr>
            <w:tcW w:w="685" w:type="dxa"/>
          </w:tcPr>
          <w:p>
            <w:pPr/>
          </w:p>
        </w:tc>
        <w:tc>
          <w:tcPr>
            <w:tcW w:w="768" w:type="dxa"/>
          </w:tcPr>
          <w:p>
            <w:pPr>
              <w:pStyle w:val="TableParagraph"/>
              <w:spacing w:before="18"/>
              <w:ind w:right="71"/>
              <w:jc w:val="right"/>
              <w:rPr>
                <w:b/>
                <w:sz w:val="18"/>
              </w:rPr>
            </w:pPr>
            <w:r>
              <w:rPr>
                <w:b/>
                <w:w w:val="95"/>
                <w:sz w:val="18"/>
              </w:rPr>
              <w:t>17,409</w:t>
            </w:r>
          </w:p>
        </w:tc>
        <w:tc>
          <w:tcPr>
            <w:tcW w:w="516" w:type="dxa"/>
          </w:tcPr>
          <w:p>
            <w:pPr/>
          </w:p>
        </w:tc>
        <w:tc>
          <w:tcPr>
            <w:tcW w:w="752" w:type="dxa"/>
          </w:tcPr>
          <w:p>
            <w:pPr>
              <w:pStyle w:val="TableParagraph"/>
              <w:spacing w:before="18"/>
              <w:ind w:right="41"/>
              <w:jc w:val="right"/>
              <w:rPr>
                <w:sz w:val="18"/>
              </w:rPr>
            </w:pPr>
            <w:r>
              <w:rPr>
                <w:w w:val="95"/>
                <w:sz w:val="18"/>
              </w:rPr>
              <w:t>17,346</w:t>
            </w:r>
          </w:p>
        </w:tc>
        <w:tc>
          <w:tcPr>
            <w:tcW w:w="727" w:type="dxa"/>
          </w:tcPr>
          <w:p>
            <w:pPr/>
          </w:p>
        </w:tc>
        <w:tc>
          <w:tcPr>
            <w:tcW w:w="768" w:type="dxa"/>
          </w:tcPr>
          <w:p>
            <w:pPr>
              <w:pStyle w:val="TableParagraph"/>
              <w:spacing w:before="18"/>
              <w:ind w:right="71"/>
              <w:jc w:val="right"/>
              <w:rPr>
                <w:b/>
                <w:sz w:val="18"/>
              </w:rPr>
            </w:pPr>
            <w:r>
              <w:rPr>
                <w:b/>
                <w:w w:val="95"/>
                <w:sz w:val="18"/>
              </w:rPr>
              <w:t>17,523</w:t>
            </w:r>
          </w:p>
        </w:tc>
        <w:tc>
          <w:tcPr>
            <w:tcW w:w="516" w:type="dxa"/>
          </w:tcPr>
          <w:p>
            <w:pPr/>
          </w:p>
        </w:tc>
        <w:tc>
          <w:tcPr>
            <w:tcW w:w="795" w:type="dxa"/>
          </w:tcPr>
          <w:p>
            <w:pPr>
              <w:pStyle w:val="TableParagraph"/>
              <w:spacing w:before="18"/>
              <w:ind w:right="84"/>
              <w:jc w:val="right"/>
              <w:rPr>
                <w:sz w:val="18"/>
              </w:rPr>
            </w:pPr>
            <w:r>
              <w:rPr>
                <w:w w:val="95"/>
                <w:sz w:val="18"/>
              </w:rPr>
              <w:t>17,257</w:t>
            </w:r>
          </w:p>
        </w:tc>
      </w:tr>
      <w:tr>
        <w:trPr>
          <w:trHeight w:val="264" w:hRule="exact"/>
        </w:trPr>
        <w:tc>
          <w:tcPr>
            <w:tcW w:w="4421" w:type="dxa"/>
            <w:gridSpan w:val="3"/>
          </w:tcPr>
          <w:p>
            <w:pPr>
              <w:pStyle w:val="TableParagraph"/>
              <w:spacing w:before="19"/>
              <w:ind w:left="458"/>
              <w:rPr>
                <w:sz w:val="18"/>
              </w:rPr>
            </w:pPr>
            <w:r>
              <w:rPr>
                <w:sz w:val="18"/>
              </w:rPr>
              <w:t>Overheads</w:t>
            </w:r>
          </w:p>
        </w:tc>
        <w:tc>
          <w:tcPr>
            <w:tcW w:w="685" w:type="dxa"/>
          </w:tcPr>
          <w:p>
            <w:pPr/>
          </w:p>
        </w:tc>
        <w:tc>
          <w:tcPr>
            <w:tcW w:w="768" w:type="dxa"/>
          </w:tcPr>
          <w:p>
            <w:pPr>
              <w:pStyle w:val="TableParagraph"/>
              <w:spacing w:before="18"/>
              <w:ind w:right="71"/>
              <w:jc w:val="right"/>
              <w:rPr>
                <w:b/>
                <w:sz w:val="18"/>
              </w:rPr>
            </w:pPr>
            <w:r>
              <w:rPr>
                <w:b/>
                <w:w w:val="95"/>
                <w:sz w:val="18"/>
              </w:rPr>
              <w:t>11,264</w:t>
            </w:r>
          </w:p>
        </w:tc>
        <w:tc>
          <w:tcPr>
            <w:tcW w:w="516" w:type="dxa"/>
          </w:tcPr>
          <w:p>
            <w:pPr/>
          </w:p>
        </w:tc>
        <w:tc>
          <w:tcPr>
            <w:tcW w:w="752" w:type="dxa"/>
          </w:tcPr>
          <w:p>
            <w:pPr>
              <w:pStyle w:val="TableParagraph"/>
              <w:spacing w:before="18"/>
              <w:ind w:right="42"/>
              <w:jc w:val="right"/>
              <w:rPr>
                <w:sz w:val="18"/>
              </w:rPr>
            </w:pPr>
            <w:r>
              <w:rPr>
                <w:w w:val="95"/>
                <w:sz w:val="18"/>
              </w:rPr>
              <w:t>9,786</w:t>
            </w:r>
          </w:p>
        </w:tc>
        <w:tc>
          <w:tcPr>
            <w:tcW w:w="727" w:type="dxa"/>
          </w:tcPr>
          <w:p>
            <w:pPr/>
          </w:p>
        </w:tc>
        <w:tc>
          <w:tcPr>
            <w:tcW w:w="768" w:type="dxa"/>
          </w:tcPr>
          <w:p>
            <w:pPr>
              <w:pStyle w:val="TableParagraph"/>
              <w:spacing w:before="18"/>
              <w:ind w:right="71"/>
              <w:jc w:val="right"/>
              <w:rPr>
                <w:b/>
                <w:sz w:val="18"/>
              </w:rPr>
            </w:pPr>
            <w:r>
              <w:rPr>
                <w:b/>
                <w:w w:val="95"/>
                <w:sz w:val="18"/>
              </w:rPr>
              <w:t>11,200</w:t>
            </w:r>
          </w:p>
        </w:tc>
        <w:tc>
          <w:tcPr>
            <w:tcW w:w="516" w:type="dxa"/>
          </w:tcPr>
          <w:p>
            <w:pPr/>
          </w:p>
        </w:tc>
        <w:tc>
          <w:tcPr>
            <w:tcW w:w="795" w:type="dxa"/>
          </w:tcPr>
          <w:p>
            <w:pPr>
              <w:pStyle w:val="TableParagraph"/>
              <w:spacing w:before="18"/>
              <w:ind w:right="84"/>
              <w:jc w:val="right"/>
              <w:rPr>
                <w:sz w:val="18"/>
              </w:rPr>
            </w:pPr>
            <w:r>
              <w:rPr>
                <w:w w:val="95"/>
                <w:sz w:val="18"/>
              </w:rPr>
              <w:t>9,641</w:t>
            </w:r>
          </w:p>
        </w:tc>
      </w:tr>
      <w:tr>
        <w:trPr>
          <w:trHeight w:val="468" w:hRule="exact"/>
        </w:trPr>
        <w:tc>
          <w:tcPr>
            <w:tcW w:w="4421" w:type="dxa"/>
            <w:gridSpan w:val="3"/>
          </w:tcPr>
          <w:p>
            <w:pPr>
              <w:pStyle w:val="TableParagraph"/>
              <w:spacing w:before="18"/>
              <w:ind w:left="458" w:right="1811"/>
              <w:rPr>
                <w:sz w:val="18"/>
              </w:rPr>
            </w:pPr>
            <w:r>
              <w:rPr>
                <w:sz w:val="18"/>
              </w:rPr>
              <w:t>Advertising, marketing and promotional expenses</w:t>
            </w:r>
          </w:p>
        </w:tc>
        <w:tc>
          <w:tcPr>
            <w:tcW w:w="685" w:type="dxa"/>
          </w:tcPr>
          <w:p>
            <w:pPr/>
          </w:p>
        </w:tc>
        <w:tc>
          <w:tcPr>
            <w:tcW w:w="768" w:type="dxa"/>
          </w:tcPr>
          <w:p>
            <w:pPr>
              <w:pStyle w:val="TableParagraph"/>
              <w:spacing w:before="4"/>
              <w:rPr>
                <w:b/>
                <w:sz w:val="19"/>
              </w:rPr>
            </w:pPr>
          </w:p>
          <w:p>
            <w:pPr>
              <w:pStyle w:val="TableParagraph"/>
              <w:ind w:right="71"/>
              <w:jc w:val="right"/>
              <w:rPr>
                <w:b/>
                <w:sz w:val="18"/>
              </w:rPr>
            </w:pPr>
            <w:r>
              <w:rPr>
                <w:b/>
                <w:w w:val="95"/>
                <w:sz w:val="18"/>
              </w:rPr>
              <w:t>7,628</w:t>
            </w:r>
          </w:p>
        </w:tc>
        <w:tc>
          <w:tcPr>
            <w:tcW w:w="516" w:type="dxa"/>
          </w:tcPr>
          <w:p>
            <w:pPr/>
          </w:p>
        </w:tc>
        <w:tc>
          <w:tcPr>
            <w:tcW w:w="752" w:type="dxa"/>
          </w:tcPr>
          <w:p>
            <w:pPr>
              <w:pStyle w:val="TableParagraph"/>
              <w:spacing w:before="4"/>
              <w:rPr>
                <w:b/>
                <w:sz w:val="19"/>
              </w:rPr>
            </w:pPr>
          </w:p>
          <w:p>
            <w:pPr>
              <w:pStyle w:val="TableParagraph"/>
              <w:ind w:right="41"/>
              <w:jc w:val="right"/>
              <w:rPr>
                <w:sz w:val="18"/>
              </w:rPr>
            </w:pPr>
            <w:r>
              <w:rPr>
                <w:w w:val="95"/>
                <w:sz w:val="18"/>
              </w:rPr>
              <w:t>7,863</w:t>
            </w:r>
          </w:p>
        </w:tc>
        <w:tc>
          <w:tcPr>
            <w:tcW w:w="727" w:type="dxa"/>
          </w:tcPr>
          <w:p>
            <w:pPr/>
          </w:p>
        </w:tc>
        <w:tc>
          <w:tcPr>
            <w:tcW w:w="768" w:type="dxa"/>
          </w:tcPr>
          <w:p>
            <w:pPr>
              <w:pStyle w:val="TableParagraph"/>
              <w:spacing w:before="4"/>
              <w:rPr>
                <w:b/>
                <w:sz w:val="19"/>
              </w:rPr>
            </w:pPr>
          </w:p>
          <w:p>
            <w:pPr>
              <w:pStyle w:val="TableParagraph"/>
              <w:ind w:right="71"/>
              <w:jc w:val="right"/>
              <w:rPr>
                <w:b/>
                <w:sz w:val="18"/>
              </w:rPr>
            </w:pPr>
            <w:r>
              <w:rPr>
                <w:b/>
                <w:w w:val="95"/>
                <w:sz w:val="18"/>
              </w:rPr>
              <w:t>6,959</w:t>
            </w:r>
          </w:p>
        </w:tc>
        <w:tc>
          <w:tcPr>
            <w:tcW w:w="516" w:type="dxa"/>
          </w:tcPr>
          <w:p>
            <w:pPr/>
          </w:p>
        </w:tc>
        <w:tc>
          <w:tcPr>
            <w:tcW w:w="795" w:type="dxa"/>
          </w:tcPr>
          <w:p>
            <w:pPr>
              <w:pStyle w:val="TableParagraph"/>
              <w:spacing w:before="4"/>
              <w:rPr>
                <w:b/>
                <w:sz w:val="19"/>
              </w:rPr>
            </w:pPr>
          </w:p>
          <w:p>
            <w:pPr>
              <w:pStyle w:val="TableParagraph"/>
              <w:ind w:right="84"/>
              <w:jc w:val="right"/>
              <w:rPr>
                <w:sz w:val="18"/>
              </w:rPr>
            </w:pPr>
            <w:r>
              <w:rPr>
                <w:w w:val="95"/>
                <w:sz w:val="18"/>
              </w:rPr>
              <w:t>7,076</w:t>
            </w:r>
          </w:p>
        </w:tc>
      </w:tr>
      <w:tr>
        <w:trPr>
          <w:trHeight w:val="469" w:hRule="exact"/>
        </w:trPr>
        <w:tc>
          <w:tcPr>
            <w:tcW w:w="4421" w:type="dxa"/>
            <w:gridSpan w:val="3"/>
          </w:tcPr>
          <w:p>
            <w:pPr>
              <w:pStyle w:val="TableParagraph"/>
              <w:spacing w:before="17"/>
              <w:ind w:left="458" w:right="1653" w:hanging="1"/>
              <w:rPr>
                <w:sz w:val="18"/>
              </w:rPr>
            </w:pPr>
            <w:r>
              <w:rPr>
                <w:sz w:val="18"/>
              </w:rPr>
              <w:t>Minimum lease payments on operating lease</w:t>
            </w:r>
          </w:p>
        </w:tc>
        <w:tc>
          <w:tcPr>
            <w:tcW w:w="685" w:type="dxa"/>
          </w:tcPr>
          <w:p>
            <w:pPr/>
          </w:p>
        </w:tc>
        <w:tc>
          <w:tcPr>
            <w:tcW w:w="768" w:type="dxa"/>
          </w:tcPr>
          <w:p>
            <w:pPr>
              <w:pStyle w:val="TableParagraph"/>
              <w:spacing w:before="4"/>
              <w:rPr>
                <w:b/>
                <w:sz w:val="19"/>
              </w:rPr>
            </w:pPr>
          </w:p>
          <w:p>
            <w:pPr>
              <w:pStyle w:val="TableParagraph"/>
              <w:ind w:right="71"/>
              <w:jc w:val="right"/>
              <w:rPr>
                <w:b/>
                <w:sz w:val="18"/>
              </w:rPr>
            </w:pPr>
            <w:r>
              <w:rPr>
                <w:b/>
                <w:w w:val="95"/>
                <w:sz w:val="18"/>
              </w:rPr>
              <w:t>7,642</w:t>
            </w:r>
          </w:p>
        </w:tc>
        <w:tc>
          <w:tcPr>
            <w:tcW w:w="516" w:type="dxa"/>
          </w:tcPr>
          <w:p>
            <w:pPr/>
          </w:p>
        </w:tc>
        <w:tc>
          <w:tcPr>
            <w:tcW w:w="752" w:type="dxa"/>
          </w:tcPr>
          <w:p>
            <w:pPr>
              <w:pStyle w:val="TableParagraph"/>
              <w:spacing w:before="4"/>
              <w:rPr>
                <w:b/>
                <w:sz w:val="19"/>
              </w:rPr>
            </w:pPr>
          </w:p>
          <w:p>
            <w:pPr>
              <w:pStyle w:val="TableParagraph"/>
              <w:ind w:right="41"/>
              <w:jc w:val="right"/>
              <w:rPr>
                <w:sz w:val="18"/>
              </w:rPr>
            </w:pPr>
            <w:r>
              <w:rPr>
                <w:w w:val="95"/>
                <w:sz w:val="18"/>
              </w:rPr>
              <w:t>7,762</w:t>
            </w:r>
          </w:p>
        </w:tc>
        <w:tc>
          <w:tcPr>
            <w:tcW w:w="727" w:type="dxa"/>
          </w:tcPr>
          <w:p>
            <w:pPr/>
          </w:p>
        </w:tc>
        <w:tc>
          <w:tcPr>
            <w:tcW w:w="768" w:type="dxa"/>
          </w:tcPr>
          <w:p>
            <w:pPr>
              <w:pStyle w:val="TableParagraph"/>
              <w:spacing w:before="4"/>
              <w:rPr>
                <w:b/>
                <w:sz w:val="19"/>
              </w:rPr>
            </w:pPr>
          </w:p>
          <w:p>
            <w:pPr>
              <w:pStyle w:val="TableParagraph"/>
              <w:ind w:right="71"/>
              <w:jc w:val="right"/>
              <w:rPr>
                <w:b/>
                <w:sz w:val="18"/>
              </w:rPr>
            </w:pPr>
            <w:r>
              <w:rPr>
                <w:b/>
                <w:w w:val="95"/>
                <w:sz w:val="18"/>
              </w:rPr>
              <w:t>7,123</w:t>
            </w:r>
          </w:p>
        </w:tc>
        <w:tc>
          <w:tcPr>
            <w:tcW w:w="516" w:type="dxa"/>
          </w:tcPr>
          <w:p>
            <w:pPr/>
          </w:p>
        </w:tc>
        <w:tc>
          <w:tcPr>
            <w:tcW w:w="795" w:type="dxa"/>
          </w:tcPr>
          <w:p>
            <w:pPr>
              <w:pStyle w:val="TableParagraph"/>
              <w:spacing w:before="4"/>
              <w:rPr>
                <w:b/>
                <w:sz w:val="19"/>
              </w:rPr>
            </w:pPr>
          </w:p>
          <w:p>
            <w:pPr>
              <w:pStyle w:val="TableParagraph"/>
              <w:ind w:right="84"/>
              <w:jc w:val="right"/>
              <w:rPr>
                <w:sz w:val="18"/>
              </w:rPr>
            </w:pPr>
            <w:r>
              <w:rPr>
                <w:w w:val="95"/>
                <w:sz w:val="18"/>
              </w:rPr>
              <w:t>7,125</w:t>
            </w:r>
          </w:p>
        </w:tc>
      </w:tr>
      <w:tr>
        <w:trPr>
          <w:trHeight w:val="264" w:hRule="exact"/>
        </w:trPr>
        <w:tc>
          <w:tcPr>
            <w:tcW w:w="4421" w:type="dxa"/>
            <w:gridSpan w:val="3"/>
          </w:tcPr>
          <w:p>
            <w:pPr>
              <w:pStyle w:val="TableParagraph"/>
              <w:spacing w:before="19"/>
              <w:ind w:left="458"/>
              <w:rPr>
                <w:sz w:val="18"/>
              </w:rPr>
            </w:pPr>
            <w:r>
              <w:rPr>
                <w:sz w:val="18"/>
              </w:rPr>
              <w:t>Non-capitalised equipment</w:t>
            </w:r>
          </w:p>
        </w:tc>
        <w:tc>
          <w:tcPr>
            <w:tcW w:w="685" w:type="dxa"/>
          </w:tcPr>
          <w:p>
            <w:pPr/>
          </w:p>
        </w:tc>
        <w:tc>
          <w:tcPr>
            <w:tcW w:w="768" w:type="dxa"/>
          </w:tcPr>
          <w:p>
            <w:pPr>
              <w:pStyle w:val="TableParagraph"/>
              <w:spacing w:before="18"/>
              <w:ind w:right="71"/>
              <w:jc w:val="right"/>
              <w:rPr>
                <w:b/>
                <w:sz w:val="18"/>
              </w:rPr>
            </w:pPr>
            <w:r>
              <w:rPr>
                <w:b/>
                <w:w w:val="95"/>
                <w:sz w:val="18"/>
              </w:rPr>
              <w:t>5,999</w:t>
            </w:r>
          </w:p>
        </w:tc>
        <w:tc>
          <w:tcPr>
            <w:tcW w:w="516" w:type="dxa"/>
          </w:tcPr>
          <w:p>
            <w:pPr/>
          </w:p>
        </w:tc>
        <w:tc>
          <w:tcPr>
            <w:tcW w:w="752" w:type="dxa"/>
          </w:tcPr>
          <w:p>
            <w:pPr>
              <w:pStyle w:val="TableParagraph"/>
              <w:spacing w:before="18"/>
              <w:ind w:right="41"/>
              <w:jc w:val="right"/>
              <w:rPr>
                <w:sz w:val="18"/>
              </w:rPr>
            </w:pPr>
            <w:r>
              <w:rPr>
                <w:w w:val="95"/>
                <w:sz w:val="18"/>
              </w:rPr>
              <w:t>7,166</w:t>
            </w:r>
          </w:p>
        </w:tc>
        <w:tc>
          <w:tcPr>
            <w:tcW w:w="727" w:type="dxa"/>
          </w:tcPr>
          <w:p>
            <w:pPr/>
          </w:p>
        </w:tc>
        <w:tc>
          <w:tcPr>
            <w:tcW w:w="768" w:type="dxa"/>
          </w:tcPr>
          <w:p>
            <w:pPr>
              <w:pStyle w:val="TableParagraph"/>
              <w:spacing w:before="18"/>
              <w:ind w:right="71"/>
              <w:jc w:val="right"/>
              <w:rPr>
                <w:b/>
                <w:sz w:val="18"/>
              </w:rPr>
            </w:pPr>
            <w:r>
              <w:rPr>
                <w:b/>
                <w:w w:val="95"/>
                <w:sz w:val="18"/>
              </w:rPr>
              <w:t>5,344</w:t>
            </w:r>
          </w:p>
        </w:tc>
        <w:tc>
          <w:tcPr>
            <w:tcW w:w="516" w:type="dxa"/>
          </w:tcPr>
          <w:p>
            <w:pPr/>
          </w:p>
        </w:tc>
        <w:tc>
          <w:tcPr>
            <w:tcW w:w="795" w:type="dxa"/>
          </w:tcPr>
          <w:p>
            <w:pPr>
              <w:pStyle w:val="TableParagraph"/>
              <w:spacing w:before="18"/>
              <w:ind w:right="84"/>
              <w:jc w:val="right"/>
              <w:rPr>
                <w:sz w:val="18"/>
              </w:rPr>
            </w:pPr>
            <w:r>
              <w:rPr>
                <w:w w:val="95"/>
                <w:sz w:val="18"/>
              </w:rPr>
              <w:t>6,270</w:t>
            </w:r>
          </w:p>
        </w:tc>
      </w:tr>
      <w:tr>
        <w:trPr>
          <w:trHeight w:val="264" w:hRule="exact"/>
        </w:trPr>
        <w:tc>
          <w:tcPr>
            <w:tcW w:w="4421" w:type="dxa"/>
            <w:gridSpan w:val="3"/>
          </w:tcPr>
          <w:p>
            <w:pPr>
              <w:pStyle w:val="TableParagraph"/>
              <w:spacing w:before="19"/>
              <w:ind w:left="458"/>
              <w:rPr>
                <w:sz w:val="18"/>
              </w:rPr>
            </w:pPr>
            <w:r>
              <w:rPr>
                <w:sz w:val="18"/>
              </w:rPr>
              <w:t>Travel and entertainment</w:t>
            </w:r>
          </w:p>
        </w:tc>
        <w:tc>
          <w:tcPr>
            <w:tcW w:w="685" w:type="dxa"/>
          </w:tcPr>
          <w:p>
            <w:pPr/>
          </w:p>
        </w:tc>
        <w:tc>
          <w:tcPr>
            <w:tcW w:w="768" w:type="dxa"/>
          </w:tcPr>
          <w:p>
            <w:pPr>
              <w:pStyle w:val="TableParagraph"/>
              <w:spacing w:before="18"/>
              <w:ind w:right="71"/>
              <w:jc w:val="right"/>
              <w:rPr>
                <w:b/>
                <w:sz w:val="18"/>
              </w:rPr>
            </w:pPr>
            <w:r>
              <w:rPr>
                <w:b/>
                <w:w w:val="95"/>
                <w:sz w:val="18"/>
              </w:rPr>
              <w:t>6,086</w:t>
            </w:r>
          </w:p>
        </w:tc>
        <w:tc>
          <w:tcPr>
            <w:tcW w:w="516" w:type="dxa"/>
          </w:tcPr>
          <w:p>
            <w:pPr/>
          </w:p>
        </w:tc>
        <w:tc>
          <w:tcPr>
            <w:tcW w:w="752" w:type="dxa"/>
          </w:tcPr>
          <w:p>
            <w:pPr>
              <w:pStyle w:val="TableParagraph"/>
              <w:spacing w:before="18"/>
              <w:ind w:right="41"/>
              <w:jc w:val="right"/>
              <w:rPr>
                <w:sz w:val="18"/>
              </w:rPr>
            </w:pPr>
            <w:r>
              <w:rPr>
                <w:w w:val="95"/>
                <w:sz w:val="18"/>
              </w:rPr>
              <w:t>6,693</w:t>
            </w:r>
          </w:p>
        </w:tc>
        <w:tc>
          <w:tcPr>
            <w:tcW w:w="727" w:type="dxa"/>
          </w:tcPr>
          <w:p>
            <w:pPr/>
          </w:p>
        </w:tc>
        <w:tc>
          <w:tcPr>
            <w:tcW w:w="768" w:type="dxa"/>
          </w:tcPr>
          <w:p>
            <w:pPr>
              <w:pStyle w:val="TableParagraph"/>
              <w:spacing w:before="18"/>
              <w:ind w:right="71"/>
              <w:jc w:val="right"/>
              <w:rPr>
                <w:b/>
                <w:sz w:val="18"/>
              </w:rPr>
            </w:pPr>
            <w:r>
              <w:rPr>
                <w:b/>
                <w:w w:val="95"/>
                <w:sz w:val="18"/>
              </w:rPr>
              <w:t>5,962</w:t>
            </w:r>
          </w:p>
        </w:tc>
        <w:tc>
          <w:tcPr>
            <w:tcW w:w="516" w:type="dxa"/>
          </w:tcPr>
          <w:p>
            <w:pPr/>
          </w:p>
        </w:tc>
        <w:tc>
          <w:tcPr>
            <w:tcW w:w="795" w:type="dxa"/>
          </w:tcPr>
          <w:p>
            <w:pPr>
              <w:pStyle w:val="TableParagraph"/>
              <w:spacing w:before="18"/>
              <w:ind w:right="84"/>
              <w:jc w:val="right"/>
              <w:rPr>
                <w:sz w:val="18"/>
              </w:rPr>
            </w:pPr>
            <w:r>
              <w:rPr>
                <w:w w:val="95"/>
                <w:sz w:val="18"/>
              </w:rPr>
              <w:t>6,531</w:t>
            </w:r>
          </w:p>
        </w:tc>
      </w:tr>
      <w:tr>
        <w:trPr>
          <w:trHeight w:val="264" w:hRule="exact"/>
        </w:trPr>
        <w:tc>
          <w:tcPr>
            <w:tcW w:w="4421" w:type="dxa"/>
            <w:gridSpan w:val="3"/>
          </w:tcPr>
          <w:p>
            <w:pPr>
              <w:pStyle w:val="TableParagraph"/>
              <w:spacing w:before="19"/>
              <w:ind w:left="458"/>
              <w:rPr>
                <w:sz w:val="18"/>
              </w:rPr>
            </w:pPr>
            <w:r>
              <w:rPr>
                <w:sz w:val="18"/>
              </w:rPr>
              <w:t>Cleaning and waste removal</w:t>
            </w:r>
          </w:p>
        </w:tc>
        <w:tc>
          <w:tcPr>
            <w:tcW w:w="685" w:type="dxa"/>
          </w:tcPr>
          <w:p>
            <w:pPr/>
          </w:p>
        </w:tc>
        <w:tc>
          <w:tcPr>
            <w:tcW w:w="768" w:type="dxa"/>
          </w:tcPr>
          <w:p>
            <w:pPr>
              <w:pStyle w:val="TableParagraph"/>
              <w:spacing w:before="18"/>
              <w:ind w:right="72"/>
              <w:jc w:val="right"/>
              <w:rPr>
                <w:b/>
                <w:sz w:val="18"/>
              </w:rPr>
            </w:pPr>
            <w:r>
              <w:rPr>
                <w:b/>
                <w:w w:val="95"/>
                <w:sz w:val="18"/>
              </w:rPr>
              <w:t>6,320</w:t>
            </w:r>
          </w:p>
        </w:tc>
        <w:tc>
          <w:tcPr>
            <w:tcW w:w="516" w:type="dxa"/>
          </w:tcPr>
          <w:p>
            <w:pPr/>
          </w:p>
        </w:tc>
        <w:tc>
          <w:tcPr>
            <w:tcW w:w="752" w:type="dxa"/>
          </w:tcPr>
          <w:p>
            <w:pPr>
              <w:pStyle w:val="TableParagraph"/>
              <w:spacing w:before="18"/>
              <w:ind w:right="42"/>
              <w:jc w:val="right"/>
              <w:rPr>
                <w:sz w:val="18"/>
              </w:rPr>
            </w:pPr>
            <w:r>
              <w:rPr>
                <w:w w:val="95"/>
                <w:sz w:val="18"/>
              </w:rPr>
              <w:t>6,524</w:t>
            </w:r>
          </w:p>
        </w:tc>
        <w:tc>
          <w:tcPr>
            <w:tcW w:w="727" w:type="dxa"/>
          </w:tcPr>
          <w:p>
            <w:pPr/>
          </w:p>
        </w:tc>
        <w:tc>
          <w:tcPr>
            <w:tcW w:w="768" w:type="dxa"/>
          </w:tcPr>
          <w:p>
            <w:pPr>
              <w:pStyle w:val="TableParagraph"/>
              <w:spacing w:before="18"/>
              <w:ind w:right="72"/>
              <w:jc w:val="right"/>
              <w:rPr>
                <w:b/>
                <w:sz w:val="18"/>
              </w:rPr>
            </w:pPr>
            <w:r>
              <w:rPr>
                <w:b/>
                <w:w w:val="95"/>
                <w:sz w:val="18"/>
              </w:rPr>
              <w:t>6,030</w:t>
            </w:r>
          </w:p>
        </w:tc>
        <w:tc>
          <w:tcPr>
            <w:tcW w:w="516" w:type="dxa"/>
          </w:tcPr>
          <w:p>
            <w:pPr/>
          </w:p>
        </w:tc>
        <w:tc>
          <w:tcPr>
            <w:tcW w:w="795" w:type="dxa"/>
          </w:tcPr>
          <w:p>
            <w:pPr>
              <w:pStyle w:val="TableParagraph"/>
              <w:spacing w:before="18"/>
              <w:ind w:right="84"/>
              <w:jc w:val="right"/>
              <w:rPr>
                <w:sz w:val="18"/>
              </w:rPr>
            </w:pPr>
            <w:r>
              <w:rPr>
                <w:w w:val="95"/>
                <w:sz w:val="18"/>
              </w:rPr>
              <w:t>6,264</w:t>
            </w:r>
          </w:p>
        </w:tc>
      </w:tr>
      <w:tr>
        <w:trPr>
          <w:trHeight w:val="264" w:hRule="exact"/>
        </w:trPr>
        <w:tc>
          <w:tcPr>
            <w:tcW w:w="4421" w:type="dxa"/>
            <w:gridSpan w:val="3"/>
          </w:tcPr>
          <w:p>
            <w:pPr>
              <w:pStyle w:val="TableParagraph"/>
              <w:spacing w:before="19"/>
              <w:ind w:left="457"/>
              <w:rPr>
                <w:sz w:val="18"/>
              </w:rPr>
            </w:pPr>
            <w:r>
              <w:rPr>
                <w:sz w:val="18"/>
              </w:rPr>
              <w:t>Student education support</w:t>
            </w:r>
          </w:p>
        </w:tc>
        <w:tc>
          <w:tcPr>
            <w:tcW w:w="685" w:type="dxa"/>
          </w:tcPr>
          <w:p>
            <w:pPr/>
          </w:p>
        </w:tc>
        <w:tc>
          <w:tcPr>
            <w:tcW w:w="768" w:type="dxa"/>
          </w:tcPr>
          <w:p>
            <w:pPr>
              <w:pStyle w:val="TableParagraph"/>
              <w:spacing w:before="18"/>
              <w:ind w:right="72"/>
              <w:jc w:val="right"/>
              <w:rPr>
                <w:b/>
                <w:sz w:val="18"/>
              </w:rPr>
            </w:pPr>
            <w:r>
              <w:rPr>
                <w:b/>
                <w:w w:val="95"/>
                <w:sz w:val="18"/>
              </w:rPr>
              <w:t>4,376</w:t>
            </w:r>
          </w:p>
        </w:tc>
        <w:tc>
          <w:tcPr>
            <w:tcW w:w="516" w:type="dxa"/>
          </w:tcPr>
          <w:p>
            <w:pPr/>
          </w:p>
        </w:tc>
        <w:tc>
          <w:tcPr>
            <w:tcW w:w="752" w:type="dxa"/>
          </w:tcPr>
          <w:p>
            <w:pPr>
              <w:pStyle w:val="TableParagraph"/>
              <w:spacing w:before="18"/>
              <w:ind w:right="43"/>
              <w:jc w:val="right"/>
              <w:rPr>
                <w:sz w:val="18"/>
              </w:rPr>
            </w:pPr>
            <w:r>
              <w:rPr>
                <w:w w:val="99"/>
                <w:sz w:val="18"/>
              </w:rPr>
              <w:t>-</w:t>
            </w:r>
          </w:p>
        </w:tc>
        <w:tc>
          <w:tcPr>
            <w:tcW w:w="727" w:type="dxa"/>
          </w:tcPr>
          <w:p>
            <w:pPr/>
          </w:p>
        </w:tc>
        <w:tc>
          <w:tcPr>
            <w:tcW w:w="768" w:type="dxa"/>
          </w:tcPr>
          <w:p>
            <w:pPr>
              <w:pStyle w:val="TableParagraph"/>
              <w:spacing w:before="18"/>
              <w:ind w:right="72"/>
              <w:jc w:val="right"/>
              <w:rPr>
                <w:b/>
                <w:sz w:val="18"/>
              </w:rPr>
            </w:pPr>
            <w:r>
              <w:rPr>
                <w:b/>
                <w:w w:val="95"/>
                <w:sz w:val="18"/>
              </w:rPr>
              <w:t>4,293</w:t>
            </w:r>
          </w:p>
        </w:tc>
        <w:tc>
          <w:tcPr>
            <w:tcW w:w="516" w:type="dxa"/>
          </w:tcPr>
          <w:p>
            <w:pPr/>
          </w:p>
        </w:tc>
        <w:tc>
          <w:tcPr>
            <w:tcW w:w="795" w:type="dxa"/>
          </w:tcPr>
          <w:p>
            <w:pPr>
              <w:pStyle w:val="TableParagraph"/>
              <w:spacing w:before="18"/>
              <w:ind w:right="86"/>
              <w:jc w:val="right"/>
              <w:rPr>
                <w:sz w:val="18"/>
              </w:rPr>
            </w:pPr>
            <w:r>
              <w:rPr>
                <w:w w:val="99"/>
                <w:sz w:val="18"/>
              </w:rPr>
              <w:t>-</w:t>
            </w:r>
          </w:p>
        </w:tc>
      </w:tr>
      <w:tr>
        <w:trPr>
          <w:trHeight w:val="264" w:hRule="exact"/>
        </w:trPr>
        <w:tc>
          <w:tcPr>
            <w:tcW w:w="4421" w:type="dxa"/>
            <w:gridSpan w:val="3"/>
          </w:tcPr>
          <w:p>
            <w:pPr>
              <w:pStyle w:val="TableParagraph"/>
              <w:spacing w:before="19"/>
              <w:ind w:left="457"/>
              <w:rPr>
                <w:sz w:val="18"/>
              </w:rPr>
            </w:pPr>
            <w:r>
              <w:rPr>
                <w:sz w:val="18"/>
              </w:rPr>
              <w:t>Communication costs</w:t>
            </w:r>
          </w:p>
        </w:tc>
        <w:tc>
          <w:tcPr>
            <w:tcW w:w="685" w:type="dxa"/>
          </w:tcPr>
          <w:p>
            <w:pPr/>
          </w:p>
        </w:tc>
        <w:tc>
          <w:tcPr>
            <w:tcW w:w="768" w:type="dxa"/>
          </w:tcPr>
          <w:p>
            <w:pPr>
              <w:pStyle w:val="TableParagraph"/>
              <w:spacing w:before="18"/>
              <w:ind w:right="72"/>
              <w:jc w:val="right"/>
              <w:rPr>
                <w:b/>
                <w:sz w:val="18"/>
              </w:rPr>
            </w:pPr>
            <w:r>
              <w:rPr>
                <w:b/>
                <w:w w:val="95"/>
                <w:sz w:val="18"/>
              </w:rPr>
              <w:t>3,631</w:t>
            </w:r>
          </w:p>
        </w:tc>
        <w:tc>
          <w:tcPr>
            <w:tcW w:w="516" w:type="dxa"/>
          </w:tcPr>
          <w:p>
            <w:pPr/>
          </w:p>
        </w:tc>
        <w:tc>
          <w:tcPr>
            <w:tcW w:w="752" w:type="dxa"/>
          </w:tcPr>
          <w:p>
            <w:pPr>
              <w:pStyle w:val="TableParagraph"/>
              <w:spacing w:before="18"/>
              <w:ind w:right="42"/>
              <w:jc w:val="right"/>
              <w:rPr>
                <w:sz w:val="18"/>
              </w:rPr>
            </w:pPr>
            <w:r>
              <w:rPr>
                <w:w w:val="95"/>
                <w:sz w:val="18"/>
              </w:rPr>
              <w:t>3,784</w:t>
            </w:r>
          </w:p>
        </w:tc>
        <w:tc>
          <w:tcPr>
            <w:tcW w:w="727" w:type="dxa"/>
          </w:tcPr>
          <w:p>
            <w:pPr/>
          </w:p>
        </w:tc>
        <w:tc>
          <w:tcPr>
            <w:tcW w:w="768" w:type="dxa"/>
          </w:tcPr>
          <w:p>
            <w:pPr>
              <w:pStyle w:val="TableParagraph"/>
              <w:spacing w:before="18"/>
              <w:ind w:right="72"/>
              <w:jc w:val="right"/>
              <w:rPr>
                <w:b/>
                <w:sz w:val="18"/>
              </w:rPr>
            </w:pPr>
            <w:r>
              <w:rPr>
                <w:b/>
                <w:w w:val="95"/>
                <w:sz w:val="18"/>
              </w:rPr>
              <w:t>3,536</w:t>
            </w:r>
          </w:p>
        </w:tc>
        <w:tc>
          <w:tcPr>
            <w:tcW w:w="516" w:type="dxa"/>
          </w:tcPr>
          <w:p>
            <w:pPr/>
          </w:p>
        </w:tc>
        <w:tc>
          <w:tcPr>
            <w:tcW w:w="795" w:type="dxa"/>
          </w:tcPr>
          <w:p>
            <w:pPr>
              <w:pStyle w:val="TableParagraph"/>
              <w:spacing w:before="18"/>
              <w:ind w:right="85"/>
              <w:jc w:val="right"/>
              <w:rPr>
                <w:sz w:val="18"/>
              </w:rPr>
            </w:pPr>
            <w:r>
              <w:rPr>
                <w:w w:val="95"/>
                <w:sz w:val="18"/>
              </w:rPr>
              <w:t>3,659</w:t>
            </w:r>
          </w:p>
        </w:tc>
      </w:tr>
      <w:tr>
        <w:trPr>
          <w:trHeight w:val="264" w:hRule="exact"/>
        </w:trPr>
        <w:tc>
          <w:tcPr>
            <w:tcW w:w="4421" w:type="dxa"/>
            <w:gridSpan w:val="3"/>
          </w:tcPr>
          <w:p>
            <w:pPr>
              <w:pStyle w:val="TableParagraph"/>
              <w:spacing w:before="19"/>
              <w:ind w:left="457"/>
              <w:rPr>
                <w:sz w:val="18"/>
              </w:rPr>
            </w:pPr>
            <w:r>
              <w:rPr>
                <w:sz w:val="18"/>
              </w:rPr>
              <w:t>Staff development</w:t>
            </w:r>
          </w:p>
        </w:tc>
        <w:tc>
          <w:tcPr>
            <w:tcW w:w="685" w:type="dxa"/>
          </w:tcPr>
          <w:p>
            <w:pPr/>
          </w:p>
        </w:tc>
        <w:tc>
          <w:tcPr>
            <w:tcW w:w="768" w:type="dxa"/>
          </w:tcPr>
          <w:p>
            <w:pPr>
              <w:pStyle w:val="TableParagraph"/>
              <w:spacing w:before="18"/>
              <w:ind w:right="72"/>
              <w:jc w:val="right"/>
              <w:rPr>
                <w:b/>
                <w:sz w:val="18"/>
              </w:rPr>
            </w:pPr>
            <w:r>
              <w:rPr>
                <w:b/>
                <w:w w:val="95"/>
                <w:sz w:val="18"/>
              </w:rPr>
              <w:t>2,201</w:t>
            </w:r>
          </w:p>
        </w:tc>
        <w:tc>
          <w:tcPr>
            <w:tcW w:w="516" w:type="dxa"/>
          </w:tcPr>
          <w:p>
            <w:pPr/>
          </w:p>
        </w:tc>
        <w:tc>
          <w:tcPr>
            <w:tcW w:w="752" w:type="dxa"/>
          </w:tcPr>
          <w:p>
            <w:pPr>
              <w:pStyle w:val="TableParagraph"/>
              <w:spacing w:before="18"/>
              <w:ind w:right="42"/>
              <w:jc w:val="right"/>
              <w:rPr>
                <w:sz w:val="18"/>
              </w:rPr>
            </w:pPr>
            <w:r>
              <w:rPr>
                <w:w w:val="95"/>
                <w:sz w:val="18"/>
              </w:rPr>
              <w:t>2,409</w:t>
            </w:r>
          </w:p>
        </w:tc>
        <w:tc>
          <w:tcPr>
            <w:tcW w:w="727" w:type="dxa"/>
          </w:tcPr>
          <w:p>
            <w:pPr/>
          </w:p>
        </w:tc>
        <w:tc>
          <w:tcPr>
            <w:tcW w:w="768" w:type="dxa"/>
          </w:tcPr>
          <w:p>
            <w:pPr>
              <w:pStyle w:val="TableParagraph"/>
              <w:spacing w:before="18"/>
              <w:ind w:right="72"/>
              <w:jc w:val="right"/>
              <w:rPr>
                <w:b/>
                <w:sz w:val="18"/>
              </w:rPr>
            </w:pPr>
            <w:r>
              <w:rPr>
                <w:b/>
                <w:w w:val="95"/>
                <w:sz w:val="18"/>
              </w:rPr>
              <w:t>2,062</w:t>
            </w:r>
          </w:p>
        </w:tc>
        <w:tc>
          <w:tcPr>
            <w:tcW w:w="516" w:type="dxa"/>
          </w:tcPr>
          <w:p>
            <w:pPr/>
          </w:p>
        </w:tc>
        <w:tc>
          <w:tcPr>
            <w:tcW w:w="795" w:type="dxa"/>
          </w:tcPr>
          <w:p>
            <w:pPr>
              <w:pStyle w:val="TableParagraph"/>
              <w:spacing w:before="18"/>
              <w:ind w:right="85"/>
              <w:jc w:val="right"/>
              <w:rPr>
                <w:sz w:val="18"/>
              </w:rPr>
            </w:pPr>
            <w:r>
              <w:rPr>
                <w:w w:val="95"/>
                <w:sz w:val="18"/>
              </w:rPr>
              <w:t>2,244</w:t>
            </w:r>
          </w:p>
        </w:tc>
      </w:tr>
      <w:tr>
        <w:trPr>
          <w:trHeight w:val="264" w:hRule="exact"/>
        </w:trPr>
        <w:tc>
          <w:tcPr>
            <w:tcW w:w="4421" w:type="dxa"/>
            <w:gridSpan w:val="3"/>
          </w:tcPr>
          <w:p>
            <w:pPr>
              <w:pStyle w:val="TableParagraph"/>
              <w:spacing w:before="19"/>
              <w:ind w:left="457"/>
              <w:rPr>
                <w:sz w:val="18"/>
              </w:rPr>
            </w:pPr>
            <w:r>
              <w:rPr>
                <w:sz w:val="18"/>
              </w:rPr>
              <w:t>Security costs</w:t>
            </w:r>
          </w:p>
        </w:tc>
        <w:tc>
          <w:tcPr>
            <w:tcW w:w="685" w:type="dxa"/>
          </w:tcPr>
          <w:p>
            <w:pPr/>
          </w:p>
        </w:tc>
        <w:tc>
          <w:tcPr>
            <w:tcW w:w="768" w:type="dxa"/>
          </w:tcPr>
          <w:p>
            <w:pPr>
              <w:pStyle w:val="TableParagraph"/>
              <w:spacing w:before="18"/>
              <w:ind w:right="72"/>
              <w:jc w:val="right"/>
              <w:rPr>
                <w:b/>
                <w:sz w:val="18"/>
              </w:rPr>
            </w:pPr>
            <w:r>
              <w:rPr>
                <w:b/>
                <w:w w:val="95"/>
                <w:sz w:val="18"/>
              </w:rPr>
              <w:t>2,192</w:t>
            </w:r>
          </w:p>
        </w:tc>
        <w:tc>
          <w:tcPr>
            <w:tcW w:w="516" w:type="dxa"/>
          </w:tcPr>
          <w:p>
            <w:pPr/>
          </w:p>
        </w:tc>
        <w:tc>
          <w:tcPr>
            <w:tcW w:w="752" w:type="dxa"/>
          </w:tcPr>
          <w:p>
            <w:pPr>
              <w:pStyle w:val="TableParagraph"/>
              <w:spacing w:before="18"/>
              <w:ind w:right="42"/>
              <w:jc w:val="right"/>
              <w:rPr>
                <w:sz w:val="18"/>
              </w:rPr>
            </w:pPr>
            <w:r>
              <w:rPr>
                <w:w w:val="95"/>
                <w:sz w:val="18"/>
              </w:rPr>
              <w:t>2,060</w:t>
            </w:r>
          </w:p>
        </w:tc>
        <w:tc>
          <w:tcPr>
            <w:tcW w:w="727" w:type="dxa"/>
          </w:tcPr>
          <w:p>
            <w:pPr/>
          </w:p>
        </w:tc>
        <w:tc>
          <w:tcPr>
            <w:tcW w:w="768" w:type="dxa"/>
          </w:tcPr>
          <w:p>
            <w:pPr>
              <w:pStyle w:val="TableParagraph"/>
              <w:spacing w:before="18"/>
              <w:ind w:right="72"/>
              <w:jc w:val="right"/>
              <w:rPr>
                <w:b/>
                <w:sz w:val="18"/>
              </w:rPr>
            </w:pPr>
            <w:r>
              <w:rPr>
                <w:b/>
                <w:w w:val="95"/>
                <w:sz w:val="18"/>
              </w:rPr>
              <w:t>2,123</w:t>
            </w:r>
          </w:p>
        </w:tc>
        <w:tc>
          <w:tcPr>
            <w:tcW w:w="516" w:type="dxa"/>
          </w:tcPr>
          <w:p>
            <w:pPr/>
          </w:p>
        </w:tc>
        <w:tc>
          <w:tcPr>
            <w:tcW w:w="795" w:type="dxa"/>
          </w:tcPr>
          <w:p>
            <w:pPr>
              <w:pStyle w:val="TableParagraph"/>
              <w:spacing w:before="18"/>
              <w:ind w:right="85"/>
              <w:jc w:val="right"/>
              <w:rPr>
                <w:sz w:val="18"/>
              </w:rPr>
            </w:pPr>
            <w:r>
              <w:rPr>
                <w:w w:val="95"/>
                <w:sz w:val="18"/>
              </w:rPr>
              <w:t>1,981</w:t>
            </w:r>
          </w:p>
        </w:tc>
      </w:tr>
      <w:tr>
        <w:trPr>
          <w:trHeight w:val="264" w:hRule="exact"/>
        </w:trPr>
        <w:tc>
          <w:tcPr>
            <w:tcW w:w="4421" w:type="dxa"/>
            <w:gridSpan w:val="3"/>
          </w:tcPr>
          <w:p>
            <w:pPr>
              <w:pStyle w:val="TableParagraph"/>
              <w:spacing w:before="19"/>
              <w:ind w:left="457"/>
              <w:rPr>
                <w:sz w:val="18"/>
              </w:rPr>
            </w:pPr>
            <w:r>
              <w:rPr>
                <w:sz w:val="18"/>
              </w:rPr>
              <w:t>Student service fees</w:t>
            </w:r>
          </w:p>
        </w:tc>
        <w:tc>
          <w:tcPr>
            <w:tcW w:w="685" w:type="dxa"/>
          </w:tcPr>
          <w:p>
            <w:pPr/>
          </w:p>
        </w:tc>
        <w:tc>
          <w:tcPr>
            <w:tcW w:w="768" w:type="dxa"/>
          </w:tcPr>
          <w:p>
            <w:pPr>
              <w:pStyle w:val="TableParagraph"/>
              <w:spacing w:before="18"/>
              <w:ind w:right="72"/>
              <w:jc w:val="right"/>
              <w:rPr>
                <w:b/>
                <w:sz w:val="18"/>
              </w:rPr>
            </w:pPr>
            <w:r>
              <w:rPr>
                <w:b/>
                <w:w w:val="95"/>
                <w:sz w:val="18"/>
              </w:rPr>
              <w:t>119</w:t>
            </w:r>
          </w:p>
        </w:tc>
        <w:tc>
          <w:tcPr>
            <w:tcW w:w="516" w:type="dxa"/>
          </w:tcPr>
          <w:p>
            <w:pPr/>
          </w:p>
        </w:tc>
        <w:tc>
          <w:tcPr>
            <w:tcW w:w="752" w:type="dxa"/>
          </w:tcPr>
          <w:p>
            <w:pPr>
              <w:pStyle w:val="TableParagraph"/>
              <w:spacing w:before="18"/>
              <w:ind w:right="43"/>
              <w:jc w:val="right"/>
              <w:rPr>
                <w:sz w:val="18"/>
              </w:rPr>
            </w:pPr>
            <w:r>
              <w:rPr>
                <w:w w:val="95"/>
                <w:sz w:val="18"/>
              </w:rPr>
              <w:t>255</w:t>
            </w:r>
          </w:p>
        </w:tc>
        <w:tc>
          <w:tcPr>
            <w:tcW w:w="727" w:type="dxa"/>
          </w:tcPr>
          <w:p>
            <w:pPr/>
          </w:p>
        </w:tc>
        <w:tc>
          <w:tcPr>
            <w:tcW w:w="768" w:type="dxa"/>
          </w:tcPr>
          <w:p>
            <w:pPr>
              <w:pStyle w:val="TableParagraph"/>
              <w:spacing w:before="18"/>
              <w:ind w:right="72"/>
              <w:jc w:val="right"/>
              <w:rPr>
                <w:b/>
                <w:sz w:val="18"/>
              </w:rPr>
            </w:pPr>
            <w:r>
              <w:rPr>
                <w:b/>
                <w:w w:val="95"/>
                <w:sz w:val="18"/>
              </w:rPr>
              <w:t>2,731</w:t>
            </w:r>
          </w:p>
        </w:tc>
        <w:tc>
          <w:tcPr>
            <w:tcW w:w="516" w:type="dxa"/>
          </w:tcPr>
          <w:p>
            <w:pPr/>
          </w:p>
        </w:tc>
        <w:tc>
          <w:tcPr>
            <w:tcW w:w="795" w:type="dxa"/>
          </w:tcPr>
          <w:p>
            <w:pPr>
              <w:pStyle w:val="TableParagraph"/>
              <w:spacing w:before="18"/>
              <w:ind w:right="85"/>
              <w:jc w:val="right"/>
              <w:rPr>
                <w:sz w:val="18"/>
              </w:rPr>
            </w:pPr>
            <w:r>
              <w:rPr>
                <w:w w:val="95"/>
                <w:sz w:val="18"/>
              </w:rPr>
              <w:t>3,322</w:t>
            </w:r>
          </w:p>
        </w:tc>
      </w:tr>
      <w:tr>
        <w:trPr>
          <w:trHeight w:val="263" w:hRule="exact"/>
        </w:trPr>
        <w:tc>
          <w:tcPr>
            <w:tcW w:w="4421" w:type="dxa"/>
            <w:gridSpan w:val="3"/>
          </w:tcPr>
          <w:p>
            <w:pPr>
              <w:pStyle w:val="TableParagraph"/>
              <w:spacing w:before="19"/>
              <w:ind w:left="457"/>
              <w:rPr>
                <w:sz w:val="18"/>
              </w:rPr>
            </w:pPr>
            <w:r>
              <w:rPr>
                <w:sz w:val="18"/>
              </w:rPr>
              <w:t>Other expenses</w:t>
            </w:r>
          </w:p>
        </w:tc>
        <w:tc>
          <w:tcPr>
            <w:tcW w:w="685" w:type="dxa"/>
            <w:tcBorders>
              <w:bottom w:val="single" w:sz="0" w:space="0" w:color="000000"/>
            </w:tcBorders>
          </w:tcPr>
          <w:p>
            <w:pPr/>
          </w:p>
        </w:tc>
        <w:tc>
          <w:tcPr>
            <w:tcW w:w="768" w:type="dxa"/>
            <w:tcBorders>
              <w:bottom w:val="single" w:sz="0" w:space="0" w:color="000000"/>
            </w:tcBorders>
          </w:tcPr>
          <w:p>
            <w:pPr>
              <w:pStyle w:val="TableParagraph"/>
              <w:spacing w:before="18"/>
              <w:ind w:right="72"/>
              <w:jc w:val="right"/>
              <w:rPr>
                <w:b/>
                <w:sz w:val="18"/>
              </w:rPr>
            </w:pPr>
            <w:r>
              <w:rPr>
                <w:b/>
                <w:w w:val="95"/>
                <w:sz w:val="18"/>
              </w:rPr>
              <w:t>6,467</w:t>
            </w:r>
          </w:p>
        </w:tc>
        <w:tc>
          <w:tcPr>
            <w:tcW w:w="516" w:type="dxa"/>
            <w:tcBorders>
              <w:bottom w:val="single" w:sz="0" w:space="0" w:color="000000"/>
            </w:tcBorders>
          </w:tcPr>
          <w:p>
            <w:pPr/>
          </w:p>
        </w:tc>
        <w:tc>
          <w:tcPr>
            <w:tcW w:w="752" w:type="dxa"/>
            <w:tcBorders>
              <w:bottom w:val="single" w:sz="0" w:space="0" w:color="000000"/>
            </w:tcBorders>
          </w:tcPr>
          <w:p>
            <w:pPr>
              <w:pStyle w:val="TableParagraph"/>
              <w:spacing w:before="18"/>
              <w:ind w:right="43"/>
              <w:jc w:val="right"/>
              <w:rPr>
                <w:sz w:val="18"/>
              </w:rPr>
            </w:pPr>
            <w:r>
              <w:rPr>
                <w:w w:val="95"/>
                <w:sz w:val="18"/>
              </w:rPr>
              <w:t>7,121</w:t>
            </w:r>
          </w:p>
        </w:tc>
        <w:tc>
          <w:tcPr>
            <w:tcW w:w="727" w:type="dxa"/>
            <w:tcBorders>
              <w:bottom w:val="single" w:sz="0" w:space="0" w:color="000000"/>
            </w:tcBorders>
          </w:tcPr>
          <w:p>
            <w:pPr/>
          </w:p>
        </w:tc>
        <w:tc>
          <w:tcPr>
            <w:tcW w:w="768" w:type="dxa"/>
            <w:tcBorders>
              <w:bottom w:val="single" w:sz="0" w:space="0" w:color="000000"/>
            </w:tcBorders>
          </w:tcPr>
          <w:p>
            <w:pPr>
              <w:pStyle w:val="TableParagraph"/>
              <w:spacing w:before="18"/>
              <w:ind w:right="73"/>
              <w:jc w:val="right"/>
              <w:rPr>
                <w:b/>
                <w:sz w:val="18"/>
              </w:rPr>
            </w:pPr>
            <w:r>
              <w:rPr>
                <w:b/>
                <w:w w:val="95"/>
                <w:sz w:val="18"/>
              </w:rPr>
              <w:t>5,735</w:t>
            </w:r>
          </w:p>
        </w:tc>
        <w:tc>
          <w:tcPr>
            <w:tcW w:w="516" w:type="dxa"/>
            <w:tcBorders>
              <w:bottom w:val="single" w:sz="0" w:space="0" w:color="000000"/>
            </w:tcBorders>
          </w:tcPr>
          <w:p>
            <w:pPr/>
          </w:p>
        </w:tc>
        <w:tc>
          <w:tcPr>
            <w:tcW w:w="795" w:type="dxa"/>
            <w:tcBorders>
              <w:bottom w:val="single" w:sz="0" w:space="0" w:color="000000"/>
            </w:tcBorders>
          </w:tcPr>
          <w:p>
            <w:pPr>
              <w:pStyle w:val="TableParagraph"/>
              <w:spacing w:before="18"/>
              <w:ind w:right="85"/>
              <w:jc w:val="right"/>
              <w:rPr>
                <w:sz w:val="18"/>
              </w:rPr>
            </w:pPr>
            <w:r>
              <w:rPr>
                <w:w w:val="95"/>
                <w:sz w:val="18"/>
              </w:rPr>
              <w:t>4,197</w:t>
            </w:r>
          </w:p>
        </w:tc>
      </w:tr>
      <w:tr>
        <w:trPr>
          <w:trHeight w:val="353" w:hRule="exact"/>
        </w:trPr>
        <w:tc>
          <w:tcPr>
            <w:tcW w:w="4421" w:type="dxa"/>
            <w:gridSpan w:val="3"/>
          </w:tcPr>
          <w:p>
            <w:pPr>
              <w:pStyle w:val="TableParagraph"/>
              <w:spacing w:before="122"/>
              <w:ind w:left="457"/>
              <w:rPr>
                <w:b/>
                <w:sz w:val="18"/>
              </w:rPr>
            </w:pPr>
            <w:r>
              <w:rPr>
                <w:b/>
                <w:sz w:val="18"/>
              </w:rPr>
              <w:t>Total other expenses</w:t>
            </w:r>
          </w:p>
        </w:tc>
        <w:tc>
          <w:tcPr>
            <w:tcW w:w="685" w:type="dxa"/>
            <w:tcBorders>
              <w:top w:val="single" w:sz="0" w:space="0" w:color="000000"/>
              <w:bottom w:val="single" w:sz="0" w:space="0" w:color="000000"/>
            </w:tcBorders>
          </w:tcPr>
          <w:p>
            <w:pPr/>
          </w:p>
        </w:tc>
        <w:tc>
          <w:tcPr>
            <w:tcW w:w="768" w:type="dxa"/>
            <w:tcBorders>
              <w:top w:val="single" w:sz="0" w:space="0" w:color="000000"/>
              <w:bottom w:val="single" w:sz="0" w:space="0" w:color="000000"/>
            </w:tcBorders>
          </w:tcPr>
          <w:p>
            <w:pPr>
              <w:pStyle w:val="TableParagraph"/>
              <w:spacing w:before="94"/>
              <w:ind w:right="70"/>
              <w:jc w:val="right"/>
              <w:rPr>
                <w:b/>
                <w:sz w:val="18"/>
              </w:rPr>
            </w:pPr>
            <w:r>
              <w:rPr>
                <w:b/>
                <w:w w:val="95"/>
                <w:sz w:val="18"/>
              </w:rPr>
              <w:t>157,038</w:t>
            </w:r>
          </w:p>
        </w:tc>
        <w:tc>
          <w:tcPr>
            <w:tcW w:w="516" w:type="dxa"/>
            <w:tcBorders>
              <w:top w:val="single" w:sz="0" w:space="0" w:color="000000"/>
              <w:bottom w:val="single" w:sz="0" w:space="0" w:color="000000"/>
            </w:tcBorders>
          </w:tcPr>
          <w:p>
            <w:pPr/>
          </w:p>
        </w:tc>
        <w:tc>
          <w:tcPr>
            <w:tcW w:w="752" w:type="dxa"/>
            <w:tcBorders>
              <w:top w:val="single" w:sz="0" w:space="0" w:color="000000"/>
              <w:bottom w:val="single" w:sz="0" w:space="0" w:color="000000"/>
            </w:tcBorders>
          </w:tcPr>
          <w:p>
            <w:pPr>
              <w:pStyle w:val="TableParagraph"/>
              <w:spacing w:before="94"/>
              <w:ind w:right="40"/>
              <w:jc w:val="right"/>
              <w:rPr>
                <w:sz w:val="18"/>
              </w:rPr>
            </w:pPr>
            <w:r>
              <w:rPr>
                <w:w w:val="95"/>
                <w:sz w:val="18"/>
              </w:rPr>
              <w:t>147,879</w:t>
            </w:r>
          </w:p>
        </w:tc>
        <w:tc>
          <w:tcPr>
            <w:tcW w:w="727" w:type="dxa"/>
            <w:tcBorders>
              <w:top w:val="single" w:sz="0" w:space="0" w:color="000000"/>
              <w:bottom w:val="single" w:sz="0" w:space="0" w:color="000000"/>
            </w:tcBorders>
          </w:tcPr>
          <w:p>
            <w:pPr/>
          </w:p>
        </w:tc>
        <w:tc>
          <w:tcPr>
            <w:tcW w:w="768" w:type="dxa"/>
            <w:tcBorders>
              <w:top w:val="single" w:sz="0" w:space="0" w:color="000000"/>
              <w:bottom w:val="single" w:sz="0" w:space="0" w:color="000000"/>
            </w:tcBorders>
          </w:tcPr>
          <w:p>
            <w:pPr>
              <w:pStyle w:val="TableParagraph"/>
              <w:spacing w:before="94"/>
              <w:ind w:right="70"/>
              <w:jc w:val="right"/>
              <w:rPr>
                <w:b/>
                <w:sz w:val="18"/>
              </w:rPr>
            </w:pPr>
            <w:r>
              <w:rPr>
                <w:b/>
                <w:w w:val="95"/>
                <w:sz w:val="18"/>
              </w:rPr>
              <w:t>158,112</w:t>
            </w:r>
          </w:p>
        </w:tc>
        <w:tc>
          <w:tcPr>
            <w:tcW w:w="516" w:type="dxa"/>
            <w:tcBorders>
              <w:top w:val="single" w:sz="0" w:space="0" w:color="000000"/>
              <w:bottom w:val="single" w:sz="0" w:space="0" w:color="000000"/>
            </w:tcBorders>
          </w:tcPr>
          <w:p>
            <w:pPr/>
          </w:p>
        </w:tc>
        <w:tc>
          <w:tcPr>
            <w:tcW w:w="795" w:type="dxa"/>
            <w:tcBorders>
              <w:top w:val="single" w:sz="0" w:space="0" w:color="000000"/>
              <w:bottom w:val="single" w:sz="0" w:space="0" w:color="000000"/>
            </w:tcBorders>
          </w:tcPr>
          <w:p>
            <w:pPr>
              <w:pStyle w:val="TableParagraph"/>
              <w:spacing w:before="94"/>
              <w:ind w:right="83"/>
              <w:jc w:val="right"/>
              <w:rPr>
                <w:sz w:val="18"/>
              </w:rPr>
            </w:pPr>
            <w:r>
              <w:rPr>
                <w:w w:val="95"/>
                <w:sz w:val="18"/>
              </w:rPr>
              <w:t>140,959</w:t>
            </w:r>
          </w:p>
        </w:tc>
      </w:tr>
    </w:tbl>
    <w:p>
      <w:pPr>
        <w:pStyle w:val="BodyText"/>
        <w:spacing w:before="6"/>
        <w:rPr>
          <w:b/>
          <w:sz w:val="20"/>
        </w:rPr>
      </w:pPr>
    </w:p>
    <w:p>
      <w:pPr>
        <w:pStyle w:val="BodyText"/>
        <w:spacing w:before="77"/>
        <w:ind w:left="1110" w:right="596"/>
      </w:pPr>
      <w:r>
        <w:rPr/>
        <w:t>#1 Audit remuneration included in amount and disclosed under note 29.</w:t>
      </w:r>
    </w:p>
    <w:p>
      <w:pPr>
        <w:spacing w:after="0"/>
        <w:sectPr>
          <w:pgSz w:w="11910" w:h="16840"/>
          <w:pgMar w:header="1038" w:footer="507" w:top="2220" w:bottom="700" w:left="860" w:right="880"/>
        </w:sectPr>
      </w:pPr>
    </w:p>
    <w:p>
      <w:pPr>
        <w:pStyle w:val="BodyText"/>
        <w:rPr>
          <w:sz w:val="20"/>
        </w:rPr>
      </w:pPr>
    </w:p>
    <w:p>
      <w:pPr>
        <w:pStyle w:val="BodyText"/>
        <w:rPr>
          <w:sz w:val="20"/>
        </w:rPr>
      </w:pPr>
    </w:p>
    <w:p>
      <w:pPr>
        <w:pStyle w:val="BodyText"/>
        <w:spacing w:before="4"/>
      </w:pPr>
    </w:p>
    <w:p>
      <w:pPr>
        <w:pStyle w:val="Heading9"/>
        <w:numPr>
          <w:ilvl w:val="0"/>
          <w:numId w:val="13"/>
        </w:numPr>
        <w:tabs>
          <w:tab w:pos="506" w:val="left" w:leader="none"/>
        </w:tabs>
        <w:spacing w:line="240" w:lineRule="auto" w:before="0" w:after="0"/>
        <w:ind w:left="505" w:right="0" w:hanging="396"/>
        <w:jc w:val="left"/>
      </w:pPr>
      <w:r>
        <w:rPr/>
        <w:t>Cash and cash</w:t>
      </w:r>
      <w:r>
        <w:rPr>
          <w:spacing w:val="-1"/>
        </w:rPr>
        <w:t> </w:t>
      </w:r>
      <w:r>
        <w:rPr/>
        <w:t>equivalents</w:t>
      </w:r>
    </w:p>
    <w:p>
      <w:pPr>
        <w:tabs>
          <w:tab w:pos="7302" w:val="left" w:leader="none"/>
        </w:tabs>
        <w:spacing w:before="33"/>
        <w:ind w:left="4538" w:right="128" w:firstLine="0"/>
        <w:jc w:val="left"/>
        <w:rPr>
          <w:b/>
          <w:sz w:val="18"/>
        </w:rPr>
      </w:pPr>
      <w:r>
        <w:rPr>
          <w:b/>
          <w:sz w:val="18"/>
        </w:rPr>
        <w:t>Consolidated</w:t>
        <w:tab/>
        <w:t>Parent</w:t>
      </w:r>
    </w:p>
    <w:p>
      <w:pPr>
        <w:spacing w:after="0"/>
        <w:jc w:val="left"/>
        <w:rPr>
          <w:sz w:val="18"/>
        </w:rPr>
        <w:sectPr>
          <w:pgSz w:w="11910" w:h="16840"/>
          <w:pgMar w:header="1038" w:footer="507" w:top="2220" w:bottom="700" w:left="900" w:right="880"/>
        </w:sectPr>
      </w:pPr>
    </w:p>
    <w:p>
      <w:pPr>
        <w:spacing w:before="66"/>
        <w:ind w:left="0" w:right="40" w:firstLine="0"/>
        <w:jc w:val="right"/>
        <w:rPr>
          <w:b/>
          <w:sz w:val="18"/>
        </w:rPr>
      </w:pPr>
      <w:r>
        <w:rPr>
          <w:b/>
          <w:w w:val="95"/>
          <w:sz w:val="18"/>
        </w:rPr>
        <w:t>2012</w:t>
      </w:r>
    </w:p>
    <w:p>
      <w:pPr>
        <w:spacing w:before="66"/>
        <w:ind w:left="0" w:right="0" w:firstLine="0"/>
        <w:jc w:val="right"/>
        <w:rPr>
          <w:b/>
          <w:sz w:val="18"/>
        </w:rPr>
      </w:pPr>
      <w:r>
        <w:rPr>
          <w:b/>
          <w:sz w:val="18"/>
        </w:rPr>
        <w:t>$'000</w:t>
      </w:r>
    </w:p>
    <w:p>
      <w:pPr>
        <w:spacing w:before="66"/>
        <w:ind w:left="785" w:right="-20" w:firstLine="0"/>
        <w:jc w:val="left"/>
        <w:rPr>
          <w:b/>
          <w:sz w:val="18"/>
        </w:rPr>
      </w:pPr>
      <w:r>
        <w:rPr/>
        <w:br w:type="column"/>
      </w:r>
      <w:r>
        <w:rPr>
          <w:b/>
          <w:sz w:val="18"/>
        </w:rPr>
        <w:t>2011</w:t>
      </w:r>
    </w:p>
    <w:p>
      <w:pPr>
        <w:spacing w:before="66"/>
        <w:ind w:left="785" w:right="-20" w:firstLine="0"/>
        <w:jc w:val="left"/>
        <w:rPr>
          <w:b/>
          <w:sz w:val="18"/>
        </w:rPr>
      </w:pPr>
      <w:r>
        <w:rPr>
          <w:b/>
          <w:sz w:val="18"/>
        </w:rPr>
        <w:t>$'000</w:t>
      </w:r>
    </w:p>
    <w:p>
      <w:pPr>
        <w:spacing w:before="66"/>
        <w:ind w:left="0" w:right="40" w:firstLine="0"/>
        <w:jc w:val="right"/>
        <w:rPr>
          <w:b/>
          <w:sz w:val="18"/>
        </w:rPr>
      </w:pPr>
      <w:r>
        <w:rPr/>
        <w:br w:type="column"/>
      </w:r>
      <w:r>
        <w:rPr>
          <w:b/>
          <w:sz w:val="18"/>
        </w:rPr>
        <w:t>2012</w:t>
      </w:r>
    </w:p>
    <w:p>
      <w:pPr>
        <w:spacing w:before="66"/>
        <w:ind w:left="0" w:right="0" w:firstLine="0"/>
        <w:jc w:val="right"/>
        <w:rPr>
          <w:b/>
          <w:sz w:val="18"/>
        </w:rPr>
      </w:pPr>
      <w:r>
        <w:rPr>
          <w:b/>
          <w:w w:val="95"/>
          <w:sz w:val="18"/>
        </w:rPr>
        <w:t>$'000</w:t>
      </w:r>
    </w:p>
    <w:p>
      <w:pPr>
        <w:spacing w:before="66"/>
        <w:ind w:left="725" w:right="893" w:firstLine="0"/>
        <w:jc w:val="center"/>
        <w:rPr>
          <w:b/>
          <w:sz w:val="18"/>
        </w:rPr>
      </w:pPr>
      <w:r>
        <w:rPr/>
        <w:br w:type="column"/>
      </w:r>
      <w:r>
        <w:rPr>
          <w:b/>
          <w:sz w:val="18"/>
        </w:rPr>
        <w:t>2011</w:t>
      </w:r>
    </w:p>
    <w:p>
      <w:pPr>
        <w:spacing w:before="66"/>
        <w:ind w:left="768" w:right="893" w:firstLine="0"/>
        <w:jc w:val="center"/>
        <w:rPr>
          <w:b/>
          <w:sz w:val="18"/>
        </w:rPr>
      </w:pPr>
      <w:r>
        <w:rPr>
          <w:b/>
          <w:sz w:val="18"/>
        </w:rPr>
        <w:t>$'000</w:t>
      </w:r>
    </w:p>
    <w:p>
      <w:pPr>
        <w:spacing w:after="0"/>
        <w:jc w:val="center"/>
        <w:rPr>
          <w:sz w:val="18"/>
        </w:rPr>
        <w:sectPr>
          <w:type w:val="continuous"/>
          <w:pgSz w:w="11910" w:h="16840"/>
          <w:pgMar w:top="0" w:bottom="280" w:left="900" w:right="880"/>
          <w:cols w:num="4" w:equalWidth="0">
            <w:col w:w="5180" w:space="40"/>
            <w:col w:w="1229" w:space="40"/>
            <w:col w:w="1456" w:space="40"/>
            <w:col w:w="2145"/>
          </w:cols>
        </w:sectPr>
      </w:pPr>
    </w:p>
    <w:p>
      <w:pPr>
        <w:tabs>
          <w:tab w:pos="5324" w:val="left" w:leader="none"/>
          <w:tab w:pos="6620" w:val="left" w:leader="none"/>
          <w:tab w:pos="8087" w:val="left" w:leader="none"/>
          <w:tab w:pos="9483" w:val="left" w:leader="none"/>
        </w:tabs>
        <w:spacing w:before="116"/>
        <w:ind w:left="548" w:right="128" w:firstLine="0"/>
        <w:jc w:val="left"/>
        <w:rPr>
          <w:sz w:val="18"/>
        </w:rPr>
      </w:pPr>
      <w:r>
        <w:rPr>
          <w:position w:val="3"/>
          <w:sz w:val="18"/>
        </w:rPr>
        <w:t>Cash at bank and</w:t>
      </w:r>
      <w:r>
        <w:rPr>
          <w:spacing w:val="-1"/>
          <w:position w:val="3"/>
          <w:sz w:val="18"/>
        </w:rPr>
        <w:t> </w:t>
      </w:r>
      <w:r>
        <w:rPr>
          <w:position w:val="3"/>
          <w:sz w:val="18"/>
        </w:rPr>
        <w:t>on</w:t>
      </w:r>
      <w:r>
        <w:rPr>
          <w:spacing w:val="-1"/>
          <w:position w:val="3"/>
          <w:sz w:val="18"/>
        </w:rPr>
        <w:t> </w:t>
      </w:r>
      <w:r>
        <w:rPr>
          <w:position w:val="3"/>
          <w:sz w:val="18"/>
        </w:rPr>
        <w:t>hand</w:t>
        <w:tab/>
      </w:r>
      <w:r>
        <w:rPr>
          <w:b/>
          <w:sz w:val="18"/>
        </w:rPr>
        <w:t>30,539</w:t>
        <w:tab/>
      </w:r>
      <w:r>
        <w:rPr>
          <w:sz w:val="18"/>
        </w:rPr>
        <w:t>29,852</w:t>
        <w:tab/>
      </w:r>
      <w:r>
        <w:rPr>
          <w:b/>
          <w:sz w:val="18"/>
        </w:rPr>
        <w:t>18,642</w:t>
        <w:tab/>
      </w:r>
      <w:r>
        <w:rPr>
          <w:sz w:val="18"/>
        </w:rPr>
        <w:t>6,067</w:t>
      </w:r>
    </w:p>
    <w:p>
      <w:pPr>
        <w:tabs>
          <w:tab w:pos="5324" w:val="left" w:leader="none"/>
          <w:tab w:pos="7108" w:val="left" w:leader="none"/>
          <w:tab w:pos="8087" w:val="left" w:leader="none"/>
          <w:tab w:pos="9872" w:val="left" w:leader="none"/>
        </w:tabs>
        <w:spacing w:before="29"/>
        <w:ind w:left="548" w:right="128" w:firstLine="0"/>
        <w:jc w:val="left"/>
        <w:rPr>
          <w:sz w:val="18"/>
        </w:rPr>
      </w:pPr>
      <w:r>
        <w:rPr/>
        <w:pict>
          <v:group style="position:absolute;margin-left:269.649994pt;margin-top:13.088191pt;width:276.5pt;height:1pt;mso-position-horizontal-relative:page;mso-position-vertical-relative:paragraph;z-index:2176;mso-wrap-distance-left:0;mso-wrap-distance-right:0" coordorigin="5393,262" coordsize="5530,20">
            <v:line style="position:absolute" from="5394,263" to="5563,263" stroked="true" strokeweight=".06pt" strokecolor="#000000"/>
            <v:line style="position:absolute" from="5394,264" to="5563,264" stroked="true" strokeweight=".06pt" strokecolor="#000000"/>
            <v:line style="position:absolute" from="5394,265" to="5563,265" stroked="true" strokeweight=".06pt" strokecolor="#000000"/>
            <v:line style="position:absolute" from="5394,266" to="5563,266" stroked="true" strokeweight=".06pt" strokecolor="#000000"/>
            <v:line style="position:absolute" from="5394,268" to="5563,268" stroked="true" strokeweight=".06pt" strokecolor="#000000"/>
            <v:line style="position:absolute" from="5394,269" to="5563,269" stroked="true" strokeweight=".06pt" strokecolor="#000000"/>
            <v:line style="position:absolute" from="5394,270" to="5563,270" stroked="true" strokeweight=".06pt" strokecolor="#000000"/>
            <v:line style="position:absolute" from="5394,271" to="5563,271" stroked="true" strokeweight=".06pt" strokecolor="#000000"/>
            <v:line style="position:absolute" from="5394,272" to="5563,272" stroked="true" strokeweight=".06pt" strokecolor="#000000"/>
            <v:line style="position:absolute" from="5394,274" to="5563,274" stroked="true" strokeweight=".06pt" strokecolor="#000000"/>
            <v:line style="position:absolute" from="5394,275" to="5563,275" stroked="true" strokeweight=".06pt" strokecolor="#000000"/>
            <v:line style="position:absolute" from="5394,276" to="5563,276" stroked="true" strokeweight=".06pt" strokecolor="#000000"/>
            <v:line style="position:absolute" from="5394,277" to="5563,277" stroked="true" strokeweight=".06pt" strokecolor="#000000"/>
            <v:line style="position:absolute" from="5394,278" to="5563,278" stroked="true" strokeweight=".06pt" strokecolor="#000000"/>
            <v:line style="position:absolute" from="5394,280" to="5563,280" stroked="true" strokeweight=".06pt" strokecolor="#000000"/>
            <v:line style="position:absolute" from="5394,281" to="5563,281" stroked="true" strokeweight=".06pt" strokecolor="#000000"/>
            <v:line style="position:absolute" from="5563,263" to="6860,263" stroked="true" strokeweight=".06pt" strokecolor="#000000"/>
            <v:line style="position:absolute" from="5563,264" to="6860,264" stroked="true" strokeweight=".06pt" strokecolor="#000000"/>
            <v:line style="position:absolute" from="5563,265" to="6860,265" stroked="true" strokeweight=".06pt" strokecolor="#000000"/>
            <v:line style="position:absolute" from="5563,266" to="6860,266" stroked="true" strokeweight=".06pt" strokecolor="#000000"/>
            <v:line style="position:absolute" from="5563,268" to="6860,268" stroked="true" strokeweight=".06pt" strokecolor="#000000"/>
            <v:line style="position:absolute" from="5563,269" to="6860,269" stroked="true" strokeweight=".06pt" strokecolor="#000000"/>
            <v:line style="position:absolute" from="5563,270" to="6860,270" stroked="true" strokeweight=".06pt" strokecolor="#000000"/>
            <v:line style="position:absolute" from="5563,271" to="6860,271" stroked="true" strokeweight=".06pt" strokecolor="#000000"/>
            <v:line style="position:absolute" from="5563,272" to="6860,272" stroked="true" strokeweight=".06pt" strokecolor="#000000"/>
            <v:line style="position:absolute" from="5563,274" to="6860,274" stroked="true" strokeweight=".06pt" strokecolor="#000000"/>
            <v:line style="position:absolute" from="5563,275" to="6860,275" stroked="true" strokeweight=".06pt" strokecolor="#000000"/>
            <v:line style="position:absolute" from="5563,276" to="6860,276" stroked="true" strokeweight=".06pt" strokecolor="#000000"/>
            <v:line style="position:absolute" from="5563,277" to="6860,277" stroked="true" strokeweight=".06pt" strokecolor="#000000"/>
            <v:line style="position:absolute" from="5563,278" to="6860,278" stroked="true" strokeweight=".06pt" strokecolor="#000000"/>
            <v:line style="position:absolute" from="5563,280" to="6860,280" stroked="true" strokeweight=".06pt" strokecolor="#000000"/>
            <v:line style="position:absolute" from="5563,281" to="6860,281" stroked="true" strokeweight=".06pt" strokecolor="#000000"/>
            <v:line style="position:absolute" from="6860,263" to="8158,263" stroked="true" strokeweight=".06pt" strokecolor="#000000"/>
            <v:line style="position:absolute" from="6860,264" to="8158,264" stroked="true" strokeweight=".06pt" strokecolor="#000000"/>
            <v:line style="position:absolute" from="6860,265" to="8158,265" stroked="true" strokeweight=".06pt" strokecolor="#000000"/>
            <v:line style="position:absolute" from="6860,266" to="8158,266" stroked="true" strokeweight=".06pt" strokecolor="#000000"/>
            <v:line style="position:absolute" from="6860,268" to="8158,268" stroked="true" strokeweight=".06pt" strokecolor="#000000"/>
            <v:line style="position:absolute" from="6860,269" to="8158,269" stroked="true" strokeweight=".06pt" strokecolor="#000000"/>
            <v:line style="position:absolute" from="6860,270" to="8158,270" stroked="true" strokeweight=".06pt" strokecolor="#000000"/>
            <v:line style="position:absolute" from="6860,271" to="8158,271" stroked="true" strokeweight=".06pt" strokecolor="#000000"/>
            <v:line style="position:absolute" from="6860,272" to="8158,272" stroked="true" strokeweight=".06pt" strokecolor="#000000"/>
            <v:line style="position:absolute" from="6860,274" to="8158,274" stroked="true" strokeweight=".06pt" strokecolor="#000000"/>
            <v:line style="position:absolute" from="6860,275" to="8158,275" stroked="true" strokeweight=".06pt" strokecolor="#000000"/>
            <v:line style="position:absolute" from="6860,276" to="8158,276" stroked="true" strokeweight=".06pt" strokecolor="#000000"/>
            <v:line style="position:absolute" from="6860,277" to="8158,277" stroked="true" strokeweight=".06pt" strokecolor="#000000"/>
            <v:line style="position:absolute" from="6860,278" to="8158,278" stroked="true" strokeweight=".06pt" strokecolor="#000000"/>
            <v:line style="position:absolute" from="6860,280" to="8158,280" stroked="true" strokeweight=".06pt" strokecolor="#000000"/>
            <v:line style="position:absolute" from="6860,281" to="8158,281" stroked="true" strokeweight=".06pt" strokecolor="#000000"/>
            <v:line style="position:absolute" from="8158,263" to="8327,263" stroked="true" strokeweight=".06pt" strokecolor="#000000"/>
            <v:line style="position:absolute" from="8158,264" to="8327,264" stroked="true" strokeweight=".06pt" strokecolor="#000000"/>
            <v:line style="position:absolute" from="8158,265" to="8327,265" stroked="true" strokeweight=".06pt" strokecolor="#000000"/>
            <v:line style="position:absolute" from="8158,266" to="8327,266" stroked="true" strokeweight=".06pt" strokecolor="#000000"/>
            <v:line style="position:absolute" from="8158,268" to="8327,268" stroked="true" strokeweight=".06pt" strokecolor="#000000"/>
            <v:line style="position:absolute" from="8158,269" to="8327,269" stroked="true" strokeweight=".06pt" strokecolor="#000000"/>
            <v:line style="position:absolute" from="8158,270" to="8327,270" stroked="true" strokeweight=".06pt" strokecolor="#000000"/>
            <v:line style="position:absolute" from="8158,271" to="8327,271" stroked="true" strokeweight=".06pt" strokecolor="#000000"/>
            <v:line style="position:absolute" from="8158,272" to="8327,272" stroked="true" strokeweight=".06pt" strokecolor="#000000"/>
            <v:line style="position:absolute" from="8158,274" to="8327,274" stroked="true" strokeweight=".06pt" strokecolor="#000000"/>
            <v:line style="position:absolute" from="8158,275" to="8327,275" stroked="true" strokeweight=".06pt" strokecolor="#000000"/>
            <v:line style="position:absolute" from="8158,276" to="8327,276" stroked="true" strokeweight=".06pt" strokecolor="#000000"/>
            <v:line style="position:absolute" from="8158,277" to="8327,277" stroked="true" strokeweight=".06pt" strokecolor="#000000"/>
            <v:line style="position:absolute" from="8158,278" to="8327,278" stroked="true" strokeweight=".06pt" strokecolor="#000000"/>
            <v:line style="position:absolute" from="8158,280" to="8327,280" stroked="true" strokeweight=".06pt" strokecolor="#000000"/>
            <v:line style="position:absolute" from="8158,281" to="8327,281" stroked="true" strokeweight=".06pt" strokecolor="#000000"/>
            <v:line style="position:absolute" from="8327,263" to="9624,263" stroked="true" strokeweight=".06pt" strokecolor="#000000"/>
            <v:line style="position:absolute" from="8327,264" to="9624,264" stroked="true" strokeweight=".06pt" strokecolor="#000000"/>
            <v:line style="position:absolute" from="8327,265" to="9624,265" stroked="true" strokeweight=".06pt" strokecolor="#000000"/>
            <v:line style="position:absolute" from="8327,266" to="9624,266" stroked="true" strokeweight=".06pt" strokecolor="#000000"/>
            <v:line style="position:absolute" from="8327,268" to="9624,268" stroked="true" strokeweight=".06pt" strokecolor="#000000"/>
            <v:line style="position:absolute" from="8327,269" to="9624,269" stroked="true" strokeweight=".06pt" strokecolor="#000000"/>
            <v:line style="position:absolute" from="8327,270" to="9624,270" stroked="true" strokeweight=".06pt" strokecolor="#000000"/>
            <v:line style="position:absolute" from="8327,271" to="9624,271" stroked="true" strokeweight=".06pt" strokecolor="#000000"/>
            <v:line style="position:absolute" from="8327,272" to="9624,272" stroked="true" strokeweight=".06pt" strokecolor="#000000"/>
            <v:line style="position:absolute" from="8327,274" to="9624,274" stroked="true" strokeweight=".06pt" strokecolor="#000000"/>
            <v:line style="position:absolute" from="8327,275" to="9624,275" stroked="true" strokeweight=".06pt" strokecolor="#000000"/>
            <v:line style="position:absolute" from="8327,276" to="9624,276" stroked="true" strokeweight=".06pt" strokecolor="#000000"/>
            <v:line style="position:absolute" from="8327,277" to="9624,277" stroked="true" strokeweight=".06pt" strokecolor="#000000"/>
            <v:line style="position:absolute" from="8327,278" to="9624,278" stroked="true" strokeweight=".06pt" strokecolor="#000000"/>
            <v:line style="position:absolute" from="8327,280" to="9624,280" stroked="true" strokeweight=".06pt" strokecolor="#000000"/>
            <v:line style="position:absolute" from="8327,281" to="9624,281" stroked="true" strokeweight=".06pt" strokecolor="#000000"/>
            <v:line style="position:absolute" from="9624,263" to="10921,263" stroked="true" strokeweight=".06pt" strokecolor="#000000"/>
            <v:line style="position:absolute" from="9624,264" to="10921,264" stroked="true" strokeweight=".06pt" strokecolor="#000000"/>
            <v:line style="position:absolute" from="9624,265" to="10921,265" stroked="true" strokeweight=".06pt" strokecolor="#000000"/>
            <v:line style="position:absolute" from="9624,266" to="10921,266" stroked="true" strokeweight=".06pt" strokecolor="#000000"/>
            <v:line style="position:absolute" from="9624,268" to="10921,268" stroked="true" strokeweight=".06pt" strokecolor="#000000"/>
            <v:line style="position:absolute" from="9624,269" to="10921,269" stroked="true" strokeweight=".06pt" strokecolor="#000000"/>
            <v:line style="position:absolute" from="9624,270" to="10921,270" stroked="true" strokeweight=".06pt" strokecolor="#000000"/>
            <v:line style="position:absolute" from="9624,271" to="10921,271" stroked="true" strokeweight=".06pt" strokecolor="#000000"/>
            <v:line style="position:absolute" from="9624,272" to="10921,272" stroked="true" strokeweight=".06pt" strokecolor="#000000"/>
            <v:line style="position:absolute" from="9624,274" to="10921,274" stroked="true" strokeweight=".06pt" strokecolor="#000000"/>
            <v:line style="position:absolute" from="9624,275" to="10921,275" stroked="true" strokeweight=".06pt" strokecolor="#000000"/>
            <v:line style="position:absolute" from="9624,276" to="10921,276" stroked="true" strokeweight=".06pt" strokecolor="#000000"/>
            <v:line style="position:absolute" from="9624,277" to="10921,277" stroked="true" strokeweight=".06pt" strokecolor="#000000"/>
            <v:line style="position:absolute" from="9624,278" to="10921,278" stroked="true" strokeweight=".06pt" strokecolor="#000000"/>
            <v:line style="position:absolute" from="9624,280" to="10921,280" stroked="true" strokeweight=".06pt" strokecolor="#000000"/>
            <v:line style="position:absolute" from="9624,281" to="10921,281" stroked="true" strokeweight=".06pt" strokecolor="#000000"/>
            <w10:wrap type="topAndBottom"/>
          </v:group>
        </w:pict>
      </w:r>
      <w:r>
        <w:rPr>
          <w:sz w:val="18"/>
        </w:rPr>
        <w:t>Short-term</w:t>
      </w:r>
      <w:r>
        <w:rPr>
          <w:spacing w:val="-1"/>
          <w:sz w:val="18"/>
        </w:rPr>
        <w:t> </w:t>
      </w:r>
      <w:r>
        <w:rPr>
          <w:sz w:val="18"/>
        </w:rPr>
        <w:t>deposits</w:t>
        <w:tab/>
      </w:r>
      <w:r>
        <w:rPr>
          <w:b/>
          <w:sz w:val="18"/>
        </w:rPr>
        <w:t>45,038</w:t>
        <w:tab/>
      </w:r>
      <w:r>
        <w:rPr>
          <w:sz w:val="18"/>
        </w:rPr>
        <w:t>-</w:t>
        <w:tab/>
      </w:r>
      <w:r>
        <w:rPr>
          <w:b/>
          <w:sz w:val="18"/>
        </w:rPr>
        <w:t>45,038</w:t>
        <w:tab/>
      </w:r>
      <w:r>
        <w:rPr>
          <w:sz w:val="18"/>
        </w:rPr>
        <w:t>-</w:t>
      </w:r>
    </w:p>
    <w:p>
      <w:pPr>
        <w:tabs>
          <w:tab w:pos="5324" w:val="left" w:leader="none"/>
          <w:tab w:pos="6620" w:val="left" w:leader="none"/>
          <w:tab w:pos="8087" w:val="left" w:leader="none"/>
          <w:tab w:pos="9483" w:val="left" w:leader="none"/>
        </w:tabs>
        <w:spacing w:before="84"/>
        <w:ind w:left="548" w:right="128" w:firstLine="0"/>
        <w:jc w:val="left"/>
        <w:rPr>
          <w:sz w:val="18"/>
        </w:rPr>
      </w:pPr>
      <w:r>
        <w:rPr>
          <w:b/>
          <w:sz w:val="18"/>
        </w:rPr>
        <w:t>Total cash and</w:t>
      </w:r>
      <w:r>
        <w:rPr>
          <w:b/>
          <w:spacing w:val="-1"/>
          <w:sz w:val="18"/>
        </w:rPr>
        <w:t> </w:t>
      </w:r>
      <w:r>
        <w:rPr>
          <w:b/>
          <w:sz w:val="18"/>
        </w:rPr>
        <w:t>cash equivalents</w:t>
        <w:tab/>
        <w:t>75,577</w:t>
        <w:tab/>
      </w:r>
      <w:r>
        <w:rPr>
          <w:sz w:val="18"/>
        </w:rPr>
        <w:t>29,852</w:t>
        <w:tab/>
      </w:r>
      <w:r>
        <w:rPr>
          <w:b/>
          <w:sz w:val="18"/>
        </w:rPr>
        <w:t>63,680</w:t>
        <w:tab/>
      </w:r>
      <w:r>
        <w:rPr>
          <w:sz w:val="18"/>
        </w:rPr>
        <w:t>6,067</w:t>
      </w:r>
    </w:p>
    <w:p>
      <w:pPr>
        <w:pStyle w:val="BodyText"/>
        <w:spacing w:line="50" w:lineRule="exact"/>
        <w:ind w:left="4493"/>
        <w:rPr>
          <w:sz w:val="4"/>
        </w:rPr>
      </w:pPr>
      <w:r>
        <w:rPr>
          <w:position w:val="0"/>
          <w:sz w:val="4"/>
        </w:rPr>
        <w:pict>
          <v:group style="width:276.5pt;height:2.5pt;mso-position-horizontal-relative:char;mso-position-vertical-relative:line" coordorigin="0,0" coordsize="5530,5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35" to="170,35" stroked="true" strokeweight=".06pt" strokecolor="#000000"/>
            <v:line style="position:absolute" from="1,36" to="170,36" stroked="true" strokeweight=".06pt" strokecolor="#000000"/>
            <v:line style="position:absolute" from="1,37" to="170,37" stroked="true" strokeweight=".06pt" strokecolor="#000000"/>
            <v:line style="position:absolute" from="1,38" to="170,38" stroked="true" strokeweight=".06pt" strokecolor="#000000"/>
            <v:line style="position:absolute" from="1,39" to="170,39" stroked="true" strokeweight=".06pt" strokecolor="#000000"/>
            <v:line style="position:absolute" from="1,41" to="170,41" stroked="true" strokeweight=".06pt" strokecolor="#000000"/>
            <v:line style="position:absolute" from="1,42" to="170,42" stroked="true" strokeweight=".06pt" strokecolor="#000000"/>
            <v:line style="position:absolute" from="1,43" to="170,43" stroked="true" strokeweight=".06pt" strokecolor="#000000"/>
            <v:line style="position:absolute" from="1,44" to="170,44" stroked="true" strokeweight=".06pt" strokecolor="#000000"/>
            <v:line style="position:absolute" from="1,45" to="170,45" stroked="true" strokeweight=".06pt" strokecolor="#000000"/>
            <v:line style="position:absolute" from="1,47" to="170,47" stroked="true" strokeweight=".06pt" strokecolor="#000000"/>
            <v:line style="position:absolute" from="1,48" to="170,48" stroked="true" strokeweight=".06pt" strokecolor="#000000"/>
            <v:line style="position:absolute" from="1,49" to="170,49" stroked="true" strokeweight=".06pt" strokecolor="#000000"/>
            <v:line style="position:absolute" from="170,1" to="1467,1" stroked="true" strokeweight=".06pt" strokecolor="#000000"/>
            <v:line style="position:absolute" from="170,2" to="1467,2" stroked="true" strokeweight=".06pt" strokecolor="#000000"/>
            <v:line style="position:absolute" from="170,3" to="1467,3" stroked="true" strokeweight=".06pt" strokecolor="#000000"/>
            <v:line style="position:absolute" from="170,5" to="1467,5" stroked="true" strokeweight=".06pt" strokecolor="#000000"/>
            <v:line style="position:absolute" from="170,6" to="1467,6" stroked="true" strokeweight=".06pt" strokecolor="#000000"/>
            <v:line style="position:absolute" from="170,7" to="1467,7" stroked="true" strokeweight=".06pt" strokecolor="#000000"/>
            <v:line style="position:absolute" from="170,8" to="1467,8" stroked="true" strokeweight=".06pt" strokecolor="#000000"/>
            <v:line style="position:absolute" from="170,9" to="1467,9" stroked="true" strokeweight=".06pt" strokecolor="#000000"/>
            <v:line style="position:absolute" from="170,11" to="1467,11" stroked="true" strokeweight=".06pt" strokecolor="#000000"/>
            <v:line style="position:absolute" from="170,12" to="1467,12" stroked="true" strokeweight=".06pt" strokecolor="#000000"/>
            <v:line style="position:absolute" from="170,13" to="1467,13" stroked="true" strokeweight=".06pt" strokecolor="#000000"/>
            <v:line style="position:absolute" from="170,14" to="1467,14" stroked="true" strokeweight=".06pt" strokecolor="#000000"/>
            <v:line style="position:absolute" from="170,15" to="1467,15" stroked="true" strokeweight=".06pt" strokecolor="#000000"/>
            <v:line style="position:absolute" from="170,35" to="1467,35" stroked="true" strokeweight=".06pt" strokecolor="#000000"/>
            <v:line style="position:absolute" from="170,36" to="1467,36" stroked="true" strokeweight=".06pt" strokecolor="#000000"/>
            <v:line style="position:absolute" from="170,37" to="1467,37" stroked="true" strokeweight=".06pt" strokecolor="#000000"/>
            <v:line style="position:absolute" from="170,38" to="1467,38" stroked="true" strokeweight=".06pt" strokecolor="#000000"/>
            <v:line style="position:absolute" from="170,39" to="1467,39" stroked="true" strokeweight=".06pt" strokecolor="#000000"/>
            <v:line style="position:absolute" from="170,41" to="1467,41" stroked="true" strokeweight=".06pt" strokecolor="#000000"/>
            <v:line style="position:absolute" from="170,42" to="1467,42" stroked="true" strokeweight=".06pt" strokecolor="#000000"/>
            <v:line style="position:absolute" from="170,43" to="1467,43" stroked="true" strokeweight=".06pt" strokecolor="#000000"/>
            <v:line style="position:absolute" from="170,44" to="1467,44" stroked="true" strokeweight=".06pt" strokecolor="#000000"/>
            <v:line style="position:absolute" from="170,45" to="1467,45" stroked="true" strokeweight=".06pt" strokecolor="#000000"/>
            <v:line style="position:absolute" from="170,47" to="1467,47" stroked="true" strokeweight=".06pt" strokecolor="#000000"/>
            <v:line style="position:absolute" from="170,48" to="1467,48" stroked="true" strokeweight=".06pt" strokecolor="#000000"/>
            <v:line style="position:absolute" from="170,49" to="1467,49" stroked="true" strokeweight=".06pt" strokecolor="#000000"/>
            <v:line style="position:absolute" from="1467,1" to="2765,1" stroked="true" strokeweight=".06pt" strokecolor="#000000"/>
            <v:line style="position:absolute" from="1467,2" to="2765,2" stroked="true" strokeweight=".06pt" strokecolor="#000000"/>
            <v:line style="position:absolute" from="1467,3" to="2765,3" stroked="true" strokeweight=".06pt" strokecolor="#000000"/>
            <v:line style="position:absolute" from="1467,5" to="2765,5" stroked="true" strokeweight=".06pt" strokecolor="#000000"/>
            <v:line style="position:absolute" from="1467,6" to="2765,6" stroked="true" strokeweight=".06pt" strokecolor="#000000"/>
            <v:line style="position:absolute" from="1467,7" to="2765,7" stroked="true" strokeweight=".06pt" strokecolor="#000000"/>
            <v:line style="position:absolute" from="1467,8" to="2765,8" stroked="true" strokeweight=".06pt" strokecolor="#000000"/>
            <v:line style="position:absolute" from="1467,9" to="2765,9" stroked="true" strokeweight=".06pt" strokecolor="#000000"/>
            <v:line style="position:absolute" from="1467,11" to="2765,11" stroked="true" strokeweight=".06pt" strokecolor="#000000"/>
            <v:line style="position:absolute" from="1467,12" to="2765,12" stroked="true" strokeweight=".06pt" strokecolor="#000000"/>
            <v:line style="position:absolute" from="1467,13" to="2765,13" stroked="true" strokeweight=".06pt" strokecolor="#000000"/>
            <v:line style="position:absolute" from="1467,14" to="2765,14" stroked="true" strokeweight=".06pt" strokecolor="#000000"/>
            <v:line style="position:absolute" from="1467,15" to="2765,15" stroked="true" strokeweight=".06pt" strokecolor="#000000"/>
            <v:line style="position:absolute" from="1467,35" to="2765,35" stroked="true" strokeweight=".06pt" strokecolor="#000000"/>
            <v:line style="position:absolute" from="1467,36" to="2765,36" stroked="true" strokeweight=".06pt" strokecolor="#000000"/>
            <v:line style="position:absolute" from="1467,37" to="2765,37" stroked="true" strokeweight=".06pt" strokecolor="#000000"/>
            <v:line style="position:absolute" from="1467,38" to="2765,38" stroked="true" strokeweight=".06pt" strokecolor="#000000"/>
            <v:line style="position:absolute" from="1467,39" to="2765,39" stroked="true" strokeweight=".06pt" strokecolor="#000000"/>
            <v:line style="position:absolute" from="1467,41" to="2765,41" stroked="true" strokeweight=".06pt" strokecolor="#000000"/>
            <v:line style="position:absolute" from="1467,42" to="2765,42" stroked="true" strokeweight=".06pt" strokecolor="#000000"/>
            <v:line style="position:absolute" from="1467,43" to="2765,43" stroked="true" strokeweight=".06pt" strokecolor="#000000"/>
            <v:line style="position:absolute" from="1467,44" to="2765,44" stroked="true" strokeweight=".06pt" strokecolor="#000000"/>
            <v:line style="position:absolute" from="1467,45" to="2765,45" stroked="true" strokeweight=".06pt" strokecolor="#000000"/>
            <v:line style="position:absolute" from="1467,47" to="2765,47" stroked="true" strokeweight=".06pt" strokecolor="#000000"/>
            <v:line style="position:absolute" from="1467,48" to="2765,48" stroked="true" strokeweight=".06pt" strokecolor="#000000"/>
            <v:line style="position:absolute" from="1467,49" to="2765,49" stroked="true" strokeweight=".06pt" strokecolor="#000000"/>
            <v:line style="position:absolute" from="2765,1" to="2934,1" stroked="true" strokeweight=".06pt" strokecolor="#000000"/>
            <v:line style="position:absolute" from="2765,2" to="2934,2" stroked="true" strokeweight=".06pt" strokecolor="#000000"/>
            <v:line style="position:absolute" from="2765,3" to="2934,3" stroked="true" strokeweight=".06pt" strokecolor="#000000"/>
            <v:line style="position:absolute" from="2765,5" to="2934,5" stroked="true" strokeweight=".06pt" strokecolor="#000000"/>
            <v:line style="position:absolute" from="2765,6" to="2934,6" stroked="true" strokeweight=".06pt" strokecolor="#000000"/>
            <v:line style="position:absolute" from="2765,7" to="2934,7" stroked="true" strokeweight=".06pt" strokecolor="#000000"/>
            <v:line style="position:absolute" from="2765,8" to="2934,8" stroked="true" strokeweight=".06pt" strokecolor="#000000"/>
            <v:line style="position:absolute" from="2765,9" to="2934,9" stroked="true" strokeweight=".06pt" strokecolor="#000000"/>
            <v:line style="position:absolute" from="2765,11" to="2934,11" stroked="true" strokeweight=".06pt" strokecolor="#000000"/>
            <v:line style="position:absolute" from="2765,12" to="2934,12" stroked="true" strokeweight=".06pt" strokecolor="#000000"/>
            <v:line style="position:absolute" from="2765,13" to="2934,13" stroked="true" strokeweight=".06pt" strokecolor="#000000"/>
            <v:line style="position:absolute" from="2765,14" to="2934,14" stroked="true" strokeweight=".06pt" strokecolor="#000000"/>
            <v:line style="position:absolute" from="2765,15" to="2934,15" stroked="true" strokeweight=".06pt" strokecolor="#000000"/>
            <v:line style="position:absolute" from="2765,35" to="2934,35" stroked="true" strokeweight=".06pt" strokecolor="#000000"/>
            <v:line style="position:absolute" from="2765,36" to="2934,36" stroked="true" strokeweight=".06pt" strokecolor="#000000"/>
            <v:line style="position:absolute" from="2765,37" to="2934,37" stroked="true" strokeweight=".06pt" strokecolor="#000000"/>
            <v:line style="position:absolute" from="2765,38" to="2934,38" stroked="true" strokeweight=".06pt" strokecolor="#000000"/>
            <v:line style="position:absolute" from="2765,39" to="2934,39" stroked="true" strokeweight=".06pt" strokecolor="#000000"/>
            <v:line style="position:absolute" from="2765,41" to="2934,41" stroked="true" strokeweight=".06pt" strokecolor="#000000"/>
            <v:line style="position:absolute" from="2765,42" to="2934,42" stroked="true" strokeweight=".06pt" strokecolor="#000000"/>
            <v:line style="position:absolute" from="2765,43" to="2934,43" stroked="true" strokeweight=".06pt" strokecolor="#000000"/>
            <v:line style="position:absolute" from="2765,44" to="2934,44" stroked="true" strokeweight=".06pt" strokecolor="#000000"/>
            <v:line style="position:absolute" from="2765,45" to="2934,45" stroked="true" strokeweight=".06pt" strokecolor="#000000"/>
            <v:line style="position:absolute" from="2765,47" to="2934,47" stroked="true" strokeweight=".06pt" strokecolor="#000000"/>
            <v:line style="position:absolute" from="2765,48" to="2934,48" stroked="true" strokeweight=".06pt" strokecolor="#000000"/>
            <v:line style="position:absolute" from="2765,49" to="2934,49" stroked="true" strokeweight=".06pt" strokecolor="#000000"/>
            <v:line style="position:absolute" from="2934,1" to="4231,1" stroked="true" strokeweight=".06pt" strokecolor="#000000"/>
            <v:line style="position:absolute" from="2934,2" to="4231,2" stroked="true" strokeweight=".06pt" strokecolor="#000000"/>
            <v:line style="position:absolute" from="2934,3" to="4231,3" stroked="true" strokeweight=".06pt" strokecolor="#000000"/>
            <v:line style="position:absolute" from="2934,5" to="4231,5" stroked="true" strokeweight=".06pt" strokecolor="#000000"/>
            <v:line style="position:absolute" from="2934,6" to="4231,6" stroked="true" strokeweight=".06pt" strokecolor="#000000"/>
            <v:line style="position:absolute" from="2934,7" to="4231,7" stroked="true" strokeweight=".06pt" strokecolor="#000000"/>
            <v:line style="position:absolute" from="2934,8" to="4231,8" stroked="true" strokeweight=".06pt" strokecolor="#000000"/>
            <v:line style="position:absolute" from="2934,9" to="4231,9" stroked="true" strokeweight=".06pt" strokecolor="#000000"/>
            <v:line style="position:absolute" from="2934,11" to="4231,11" stroked="true" strokeweight=".06pt" strokecolor="#000000"/>
            <v:line style="position:absolute" from="2934,12" to="4231,12" stroked="true" strokeweight=".06pt" strokecolor="#000000"/>
            <v:line style="position:absolute" from="2934,13" to="4231,13" stroked="true" strokeweight=".06pt" strokecolor="#000000"/>
            <v:line style="position:absolute" from="2934,14" to="4231,14" stroked="true" strokeweight=".06pt" strokecolor="#000000"/>
            <v:line style="position:absolute" from="2934,15" to="4231,15" stroked="true" strokeweight=".06pt" strokecolor="#000000"/>
            <v:line style="position:absolute" from="2934,35" to="4231,35" stroked="true" strokeweight=".06pt" strokecolor="#000000"/>
            <v:line style="position:absolute" from="2934,36" to="4231,36" stroked="true" strokeweight=".06pt" strokecolor="#000000"/>
            <v:line style="position:absolute" from="2934,37" to="4231,37" stroked="true" strokeweight=".06pt" strokecolor="#000000"/>
            <v:line style="position:absolute" from="2934,38" to="4231,38" stroked="true" strokeweight=".06pt" strokecolor="#000000"/>
            <v:line style="position:absolute" from="2934,39" to="4231,39" stroked="true" strokeweight=".06pt" strokecolor="#000000"/>
            <v:line style="position:absolute" from="2934,41" to="4231,41" stroked="true" strokeweight=".06pt" strokecolor="#000000"/>
            <v:line style="position:absolute" from="2934,42" to="4231,42" stroked="true" strokeweight=".06pt" strokecolor="#000000"/>
            <v:line style="position:absolute" from="2934,43" to="4231,43" stroked="true" strokeweight=".06pt" strokecolor="#000000"/>
            <v:line style="position:absolute" from="2934,44" to="4231,44" stroked="true" strokeweight=".06pt" strokecolor="#000000"/>
            <v:line style="position:absolute" from="2934,45" to="4231,45" stroked="true" strokeweight=".06pt" strokecolor="#000000"/>
            <v:line style="position:absolute" from="2934,47" to="4231,47" stroked="true" strokeweight=".06pt" strokecolor="#000000"/>
            <v:line style="position:absolute" from="2934,48" to="4231,48" stroked="true" strokeweight=".06pt" strokecolor="#000000"/>
            <v:line style="position:absolute" from="2934,49" to="4231,49" stroked="true" strokeweight=".06pt" strokecolor="#000000"/>
            <v:line style="position:absolute" from="4231,1" to="5528,1" stroked="true" strokeweight=".06pt" strokecolor="#000000"/>
            <v:line style="position:absolute" from="4231,2" to="5528,2" stroked="true" strokeweight=".06pt" strokecolor="#000000"/>
            <v:line style="position:absolute" from="4231,3" to="5528,3" stroked="true" strokeweight=".06pt" strokecolor="#000000"/>
            <v:line style="position:absolute" from="4231,5" to="5528,5" stroked="true" strokeweight=".06pt" strokecolor="#000000"/>
            <v:line style="position:absolute" from="4231,6" to="5528,6" stroked="true" strokeweight=".06pt" strokecolor="#000000"/>
            <v:line style="position:absolute" from="4231,7" to="5528,7" stroked="true" strokeweight=".06pt" strokecolor="#000000"/>
            <v:line style="position:absolute" from="4231,8" to="5528,8" stroked="true" strokeweight=".06pt" strokecolor="#000000"/>
            <v:line style="position:absolute" from="4231,9" to="5528,9" stroked="true" strokeweight=".06pt" strokecolor="#000000"/>
            <v:line style="position:absolute" from="4231,11" to="5528,11" stroked="true" strokeweight=".06pt" strokecolor="#000000"/>
            <v:line style="position:absolute" from="4231,12" to="5528,12" stroked="true" strokeweight=".06pt" strokecolor="#000000"/>
            <v:line style="position:absolute" from="4231,13" to="5528,13" stroked="true" strokeweight=".06pt" strokecolor="#000000"/>
            <v:line style="position:absolute" from="4231,14" to="5528,14" stroked="true" strokeweight=".06pt" strokecolor="#000000"/>
            <v:line style="position:absolute" from="4231,15" to="5528,15" stroked="true" strokeweight=".06pt" strokecolor="#000000"/>
            <v:line style="position:absolute" from="4231,35" to="5528,35" stroked="true" strokeweight=".06pt" strokecolor="#000000"/>
            <v:line style="position:absolute" from="4231,36" to="5528,36" stroked="true" strokeweight=".06pt" strokecolor="#000000"/>
            <v:line style="position:absolute" from="4231,37" to="5528,37" stroked="true" strokeweight=".06pt" strokecolor="#000000"/>
            <v:line style="position:absolute" from="4231,38" to="5528,38" stroked="true" strokeweight=".06pt" strokecolor="#000000"/>
            <v:line style="position:absolute" from="4231,39" to="5528,39" stroked="true" strokeweight=".06pt" strokecolor="#000000"/>
            <v:line style="position:absolute" from="4231,41" to="5528,41" stroked="true" strokeweight=".06pt" strokecolor="#000000"/>
            <v:line style="position:absolute" from="4231,42" to="5528,42" stroked="true" strokeweight=".06pt" strokecolor="#000000"/>
            <v:line style="position:absolute" from="4231,43" to="5528,43" stroked="true" strokeweight=".06pt" strokecolor="#000000"/>
            <v:line style="position:absolute" from="4231,44" to="5528,44" stroked="true" strokeweight=".06pt" strokecolor="#000000"/>
            <v:line style="position:absolute" from="4231,45" to="5528,45" stroked="true" strokeweight=".06pt" strokecolor="#000000"/>
            <v:line style="position:absolute" from="4231,47" to="5528,47" stroked="true" strokeweight=".06pt" strokecolor="#000000"/>
            <v:line style="position:absolute" from="4231,48" to="5528,48" stroked="true" strokeweight=".06pt" strokecolor="#000000"/>
            <v:line style="position:absolute" from="4231,49" to="5528,49" stroked="true" strokeweight=".06pt" strokecolor="#000000"/>
          </v:group>
        </w:pict>
      </w:r>
      <w:r>
        <w:rPr>
          <w:position w:val="0"/>
          <w:sz w:val="4"/>
        </w:rPr>
      </w:r>
    </w:p>
    <w:p>
      <w:pPr>
        <w:pStyle w:val="BodyText"/>
        <w:spacing w:before="2"/>
      </w:pPr>
    </w:p>
    <w:p>
      <w:pPr>
        <w:pStyle w:val="ListParagraph"/>
        <w:numPr>
          <w:ilvl w:val="1"/>
          <w:numId w:val="13"/>
        </w:numPr>
        <w:tabs>
          <w:tab w:pos="1072" w:val="left" w:leader="none"/>
        </w:tabs>
        <w:spacing w:line="240" w:lineRule="auto" w:before="78" w:after="0"/>
        <w:ind w:left="1071" w:right="0" w:hanging="566"/>
        <w:jc w:val="left"/>
        <w:rPr>
          <w:sz w:val="18"/>
        </w:rPr>
      </w:pPr>
      <w:r>
        <w:rPr>
          <w:sz w:val="18"/>
        </w:rPr>
        <w:t>Reconciliation to cash at the end of the</w:t>
      </w:r>
      <w:r>
        <w:rPr>
          <w:spacing w:val="-1"/>
          <w:sz w:val="18"/>
        </w:rPr>
        <w:t> </w:t>
      </w:r>
      <w:r>
        <w:rPr>
          <w:sz w:val="18"/>
        </w:rPr>
        <w:t>year</w:t>
      </w:r>
    </w:p>
    <w:p>
      <w:pPr>
        <w:pStyle w:val="BodyText"/>
        <w:spacing w:before="11"/>
        <w:rPr>
          <w:sz w:val="24"/>
        </w:rPr>
      </w:pPr>
    </w:p>
    <w:p>
      <w:pPr>
        <w:pStyle w:val="BodyText"/>
        <w:ind w:left="1072" w:right="128"/>
      </w:pPr>
      <w:r>
        <w:rPr/>
        <w:t>The above figures are reconciled to cash at the end of the year as shown in the statement of cash flows as follows:</w:t>
      </w:r>
    </w:p>
    <w:p>
      <w:pPr>
        <w:pStyle w:val="Heading9"/>
        <w:tabs>
          <w:tab w:pos="7258" w:val="left" w:leader="none"/>
        </w:tabs>
        <w:spacing w:before="33" w:after="36"/>
        <w:ind w:left="4495" w:right="128"/>
      </w:pPr>
      <w:r>
        <w:rPr/>
        <w:t>Consolidated</w:t>
        <w:tab/>
        <w:t>Parent</w:t>
      </w: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
        <w:gridCol w:w="3597"/>
        <w:gridCol w:w="734"/>
        <w:gridCol w:w="689"/>
        <w:gridCol w:w="595"/>
        <w:gridCol w:w="801"/>
        <w:gridCol w:w="679"/>
        <w:gridCol w:w="689"/>
        <w:gridCol w:w="645"/>
        <w:gridCol w:w="695"/>
      </w:tblGrid>
      <w:tr>
        <w:trPr>
          <w:trHeight w:val="817" w:hRule="exact"/>
        </w:trPr>
        <w:tc>
          <w:tcPr>
            <w:tcW w:w="428" w:type="dxa"/>
            <w:vMerge w:val="restart"/>
          </w:tcPr>
          <w:p>
            <w:pPr/>
          </w:p>
        </w:tc>
        <w:tc>
          <w:tcPr>
            <w:tcW w:w="3597" w:type="dxa"/>
          </w:tcPr>
          <w:p>
            <w:pPr>
              <w:pStyle w:val="TableParagraph"/>
              <w:rPr>
                <w:b/>
                <w:sz w:val="18"/>
              </w:rPr>
            </w:pPr>
          </w:p>
          <w:p>
            <w:pPr>
              <w:pStyle w:val="TableParagraph"/>
              <w:rPr>
                <w:b/>
                <w:sz w:val="18"/>
              </w:rPr>
            </w:pPr>
          </w:p>
          <w:p>
            <w:pPr>
              <w:pStyle w:val="TableParagraph"/>
              <w:spacing w:before="160"/>
              <w:ind w:left="174" w:right="1402"/>
              <w:rPr>
                <w:sz w:val="18"/>
              </w:rPr>
            </w:pPr>
            <w:r>
              <w:rPr>
                <w:sz w:val="18"/>
              </w:rPr>
              <w:t>Balances as above</w:t>
            </w:r>
          </w:p>
        </w:tc>
        <w:tc>
          <w:tcPr>
            <w:tcW w:w="734" w:type="dxa"/>
            <w:tcBorders>
              <w:bottom w:val="single" w:sz="0" w:space="0" w:color="000000"/>
            </w:tcBorders>
          </w:tcPr>
          <w:p>
            <w:pPr>
              <w:pStyle w:val="TableParagraph"/>
              <w:spacing w:before="30"/>
              <w:ind w:left="196"/>
              <w:rPr>
                <w:b/>
                <w:sz w:val="18"/>
              </w:rPr>
            </w:pPr>
            <w:r>
              <w:rPr>
                <w:b/>
                <w:sz w:val="18"/>
              </w:rPr>
              <w:t>2012</w:t>
            </w:r>
          </w:p>
          <w:p>
            <w:pPr>
              <w:pStyle w:val="TableParagraph"/>
              <w:spacing w:before="66"/>
              <w:ind w:left="196"/>
              <w:rPr>
                <w:b/>
                <w:sz w:val="18"/>
              </w:rPr>
            </w:pPr>
            <w:r>
              <w:rPr>
                <w:b/>
                <w:sz w:val="18"/>
              </w:rPr>
              <w:t>$'000</w:t>
            </w:r>
          </w:p>
        </w:tc>
        <w:tc>
          <w:tcPr>
            <w:tcW w:w="689" w:type="dxa"/>
            <w:tcBorders>
              <w:bottom w:val="single" w:sz="0" w:space="0" w:color="000000"/>
            </w:tcBorders>
          </w:tcPr>
          <w:p>
            <w:pPr>
              <w:pStyle w:val="TableParagraph"/>
              <w:rPr>
                <w:b/>
                <w:sz w:val="18"/>
              </w:rPr>
            </w:pPr>
          </w:p>
          <w:p>
            <w:pPr>
              <w:pStyle w:val="TableParagraph"/>
              <w:rPr>
                <w:b/>
                <w:sz w:val="18"/>
              </w:rPr>
            </w:pPr>
          </w:p>
          <w:p>
            <w:pPr>
              <w:pStyle w:val="TableParagraph"/>
              <w:spacing w:before="159"/>
              <w:ind w:right="41"/>
              <w:jc w:val="right"/>
              <w:rPr>
                <w:b/>
                <w:sz w:val="18"/>
              </w:rPr>
            </w:pPr>
            <w:r>
              <w:rPr>
                <w:b/>
                <w:w w:val="95"/>
                <w:sz w:val="18"/>
              </w:rPr>
              <w:t>75,577</w:t>
            </w:r>
          </w:p>
        </w:tc>
        <w:tc>
          <w:tcPr>
            <w:tcW w:w="595" w:type="dxa"/>
            <w:tcBorders>
              <w:bottom w:val="single" w:sz="0" w:space="0" w:color="000000"/>
            </w:tcBorders>
          </w:tcPr>
          <w:p>
            <w:pPr>
              <w:pStyle w:val="TableParagraph"/>
              <w:spacing w:before="30"/>
              <w:ind w:left="43"/>
              <w:rPr>
                <w:b/>
                <w:sz w:val="18"/>
              </w:rPr>
            </w:pPr>
            <w:r>
              <w:rPr>
                <w:b/>
                <w:sz w:val="18"/>
              </w:rPr>
              <w:t>2011</w:t>
            </w:r>
          </w:p>
          <w:p>
            <w:pPr>
              <w:pStyle w:val="TableParagraph"/>
              <w:spacing w:before="66"/>
              <w:ind w:left="43"/>
              <w:rPr>
                <w:b/>
                <w:sz w:val="18"/>
              </w:rPr>
            </w:pPr>
            <w:r>
              <w:rPr>
                <w:b/>
                <w:sz w:val="18"/>
              </w:rPr>
              <w:t>$'000</w:t>
            </w:r>
          </w:p>
        </w:tc>
        <w:tc>
          <w:tcPr>
            <w:tcW w:w="801" w:type="dxa"/>
            <w:tcBorders>
              <w:bottom w:val="single" w:sz="0" w:space="0" w:color="000000"/>
            </w:tcBorders>
          </w:tcPr>
          <w:p>
            <w:pPr>
              <w:pStyle w:val="TableParagraph"/>
              <w:rPr>
                <w:b/>
                <w:sz w:val="18"/>
              </w:rPr>
            </w:pPr>
          </w:p>
          <w:p>
            <w:pPr>
              <w:pStyle w:val="TableParagraph"/>
              <w:rPr>
                <w:b/>
                <w:sz w:val="18"/>
              </w:rPr>
            </w:pPr>
          </w:p>
          <w:p>
            <w:pPr>
              <w:pStyle w:val="TableParagraph"/>
              <w:spacing w:before="159"/>
              <w:ind w:left="108"/>
              <w:rPr>
                <w:sz w:val="18"/>
              </w:rPr>
            </w:pPr>
            <w:r>
              <w:rPr>
                <w:sz w:val="18"/>
              </w:rPr>
              <w:t>29,852</w:t>
            </w:r>
          </w:p>
        </w:tc>
        <w:tc>
          <w:tcPr>
            <w:tcW w:w="679" w:type="dxa"/>
            <w:tcBorders>
              <w:bottom w:val="single" w:sz="0" w:space="0" w:color="000000"/>
            </w:tcBorders>
          </w:tcPr>
          <w:p>
            <w:pPr>
              <w:pStyle w:val="TableParagraph"/>
              <w:spacing w:before="30"/>
              <w:ind w:left="141"/>
              <w:rPr>
                <w:b/>
                <w:sz w:val="18"/>
              </w:rPr>
            </w:pPr>
            <w:r>
              <w:rPr>
                <w:b/>
                <w:sz w:val="18"/>
              </w:rPr>
              <w:t>2012</w:t>
            </w:r>
          </w:p>
          <w:p>
            <w:pPr>
              <w:pStyle w:val="TableParagraph"/>
              <w:spacing w:before="66"/>
              <w:ind w:left="141"/>
              <w:rPr>
                <w:b/>
                <w:sz w:val="18"/>
              </w:rPr>
            </w:pPr>
            <w:r>
              <w:rPr>
                <w:b/>
                <w:sz w:val="18"/>
              </w:rPr>
              <w:t>$'000</w:t>
            </w:r>
          </w:p>
        </w:tc>
        <w:tc>
          <w:tcPr>
            <w:tcW w:w="689" w:type="dxa"/>
            <w:tcBorders>
              <w:bottom w:val="single" w:sz="0" w:space="0" w:color="000000"/>
            </w:tcBorders>
          </w:tcPr>
          <w:p>
            <w:pPr>
              <w:pStyle w:val="TableParagraph"/>
              <w:rPr>
                <w:b/>
                <w:sz w:val="18"/>
              </w:rPr>
            </w:pPr>
          </w:p>
          <w:p>
            <w:pPr>
              <w:pStyle w:val="TableParagraph"/>
              <w:rPr>
                <w:b/>
                <w:sz w:val="18"/>
              </w:rPr>
            </w:pPr>
          </w:p>
          <w:p>
            <w:pPr>
              <w:pStyle w:val="TableParagraph"/>
              <w:spacing w:before="159"/>
              <w:ind w:left="74" w:right="23"/>
              <w:jc w:val="center"/>
              <w:rPr>
                <w:b/>
                <w:sz w:val="18"/>
              </w:rPr>
            </w:pPr>
            <w:r>
              <w:rPr>
                <w:b/>
                <w:sz w:val="18"/>
              </w:rPr>
              <w:t>63,680</w:t>
            </w:r>
          </w:p>
        </w:tc>
        <w:tc>
          <w:tcPr>
            <w:tcW w:w="645" w:type="dxa"/>
            <w:tcBorders>
              <w:bottom w:val="single" w:sz="0" w:space="0" w:color="000000"/>
            </w:tcBorders>
          </w:tcPr>
          <w:p>
            <w:pPr>
              <w:pStyle w:val="TableParagraph"/>
              <w:spacing w:before="30"/>
              <w:ind w:left="43"/>
              <w:rPr>
                <w:b/>
                <w:sz w:val="18"/>
              </w:rPr>
            </w:pPr>
            <w:r>
              <w:rPr>
                <w:b/>
                <w:sz w:val="18"/>
              </w:rPr>
              <w:t>2011</w:t>
            </w:r>
          </w:p>
          <w:p>
            <w:pPr>
              <w:pStyle w:val="TableParagraph"/>
              <w:spacing w:before="66"/>
              <w:ind w:left="43"/>
              <w:rPr>
                <w:b/>
                <w:sz w:val="18"/>
              </w:rPr>
            </w:pPr>
            <w:r>
              <w:rPr>
                <w:b/>
                <w:sz w:val="18"/>
              </w:rPr>
              <w:t>$'000</w:t>
            </w:r>
          </w:p>
        </w:tc>
        <w:tc>
          <w:tcPr>
            <w:tcW w:w="695" w:type="dxa"/>
            <w:tcBorders>
              <w:bottom w:val="single" w:sz="0" w:space="0" w:color="000000"/>
            </w:tcBorders>
          </w:tcPr>
          <w:p>
            <w:pPr>
              <w:pStyle w:val="TableParagraph"/>
              <w:rPr>
                <w:b/>
                <w:sz w:val="18"/>
              </w:rPr>
            </w:pPr>
          </w:p>
          <w:p>
            <w:pPr>
              <w:pStyle w:val="TableParagraph"/>
              <w:rPr>
                <w:b/>
                <w:sz w:val="18"/>
              </w:rPr>
            </w:pPr>
          </w:p>
          <w:p>
            <w:pPr>
              <w:pStyle w:val="TableParagraph"/>
              <w:spacing w:before="159"/>
              <w:ind w:left="138" w:right="66"/>
              <w:jc w:val="center"/>
              <w:rPr>
                <w:sz w:val="18"/>
              </w:rPr>
            </w:pPr>
            <w:r>
              <w:rPr>
                <w:sz w:val="18"/>
              </w:rPr>
              <w:t>6,067</w:t>
            </w:r>
          </w:p>
        </w:tc>
      </w:tr>
      <w:tr>
        <w:trPr>
          <w:trHeight w:val="560" w:hRule="exact"/>
        </w:trPr>
        <w:tc>
          <w:tcPr>
            <w:tcW w:w="428" w:type="dxa"/>
            <w:vMerge/>
          </w:tcPr>
          <w:p>
            <w:pPr/>
          </w:p>
        </w:tc>
        <w:tc>
          <w:tcPr>
            <w:tcW w:w="3597" w:type="dxa"/>
          </w:tcPr>
          <w:p>
            <w:pPr>
              <w:pStyle w:val="TableParagraph"/>
              <w:spacing w:before="123"/>
              <w:ind w:left="174" w:right="1402" w:hanging="1"/>
              <w:rPr>
                <w:sz w:val="18"/>
              </w:rPr>
            </w:pPr>
            <w:r>
              <w:rPr>
                <w:sz w:val="18"/>
              </w:rPr>
              <w:t>Balance as per cash flow statement</w:t>
            </w:r>
          </w:p>
        </w:tc>
        <w:tc>
          <w:tcPr>
            <w:tcW w:w="734" w:type="dxa"/>
            <w:tcBorders>
              <w:top w:val="single" w:sz="0" w:space="0" w:color="000000"/>
              <w:bottom w:val="single" w:sz="0" w:space="0" w:color="000000"/>
            </w:tcBorders>
          </w:tcPr>
          <w:p>
            <w:pPr/>
          </w:p>
        </w:tc>
        <w:tc>
          <w:tcPr>
            <w:tcW w:w="689" w:type="dxa"/>
            <w:tcBorders>
              <w:top w:val="single" w:sz="0" w:space="0" w:color="000000"/>
              <w:bottom w:val="single" w:sz="0" w:space="0" w:color="000000"/>
            </w:tcBorders>
          </w:tcPr>
          <w:p>
            <w:pPr>
              <w:pStyle w:val="TableParagraph"/>
              <w:rPr>
                <w:b/>
                <w:sz w:val="18"/>
              </w:rPr>
            </w:pPr>
          </w:p>
          <w:p>
            <w:pPr>
              <w:pStyle w:val="TableParagraph"/>
              <w:spacing w:before="122"/>
              <w:ind w:right="41"/>
              <w:jc w:val="right"/>
              <w:rPr>
                <w:b/>
                <w:sz w:val="18"/>
              </w:rPr>
            </w:pPr>
            <w:r>
              <w:rPr>
                <w:b/>
                <w:w w:val="95"/>
                <w:sz w:val="18"/>
              </w:rPr>
              <w:t>75,577</w:t>
            </w:r>
          </w:p>
        </w:tc>
        <w:tc>
          <w:tcPr>
            <w:tcW w:w="595" w:type="dxa"/>
            <w:tcBorders>
              <w:top w:val="single" w:sz="0" w:space="0" w:color="000000"/>
              <w:bottom w:val="single" w:sz="0" w:space="0" w:color="000000"/>
            </w:tcBorders>
          </w:tcPr>
          <w:p>
            <w:pPr/>
          </w:p>
        </w:tc>
        <w:tc>
          <w:tcPr>
            <w:tcW w:w="801" w:type="dxa"/>
            <w:tcBorders>
              <w:top w:val="single" w:sz="0" w:space="0" w:color="000000"/>
              <w:bottom w:val="single" w:sz="0" w:space="0" w:color="000000"/>
            </w:tcBorders>
          </w:tcPr>
          <w:p>
            <w:pPr>
              <w:pStyle w:val="TableParagraph"/>
              <w:rPr>
                <w:b/>
                <w:sz w:val="18"/>
              </w:rPr>
            </w:pPr>
          </w:p>
          <w:p>
            <w:pPr>
              <w:pStyle w:val="TableParagraph"/>
              <w:spacing w:before="122"/>
              <w:ind w:left="109"/>
              <w:rPr>
                <w:sz w:val="18"/>
              </w:rPr>
            </w:pPr>
            <w:r>
              <w:rPr>
                <w:sz w:val="18"/>
              </w:rPr>
              <w:t>29,852</w:t>
            </w:r>
          </w:p>
        </w:tc>
        <w:tc>
          <w:tcPr>
            <w:tcW w:w="679" w:type="dxa"/>
            <w:tcBorders>
              <w:top w:val="single" w:sz="0" w:space="0" w:color="000000"/>
              <w:bottom w:val="single" w:sz="0" w:space="0" w:color="000000"/>
            </w:tcBorders>
          </w:tcPr>
          <w:p>
            <w:pPr/>
          </w:p>
        </w:tc>
        <w:tc>
          <w:tcPr>
            <w:tcW w:w="689" w:type="dxa"/>
            <w:tcBorders>
              <w:top w:val="single" w:sz="0" w:space="0" w:color="000000"/>
              <w:bottom w:val="single" w:sz="0" w:space="0" w:color="000000"/>
            </w:tcBorders>
          </w:tcPr>
          <w:p>
            <w:pPr>
              <w:pStyle w:val="TableParagraph"/>
              <w:rPr>
                <w:b/>
                <w:sz w:val="18"/>
              </w:rPr>
            </w:pPr>
          </w:p>
          <w:p>
            <w:pPr>
              <w:pStyle w:val="TableParagraph"/>
              <w:spacing w:before="122"/>
              <w:ind w:left="74" w:right="23"/>
              <w:jc w:val="center"/>
              <w:rPr>
                <w:b/>
                <w:sz w:val="18"/>
              </w:rPr>
            </w:pPr>
            <w:r>
              <w:rPr>
                <w:b/>
                <w:sz w:val="18"/>
              </w:rPr>
              <w:t>63,680</w:t>
            </w:r>
          </w:p>
        </w:tc>
        <w:tc>
          <w:tcPr>
            <w:tcW w:w="645" w:type="dxa"/>
            <w:tcBorders>
              <w:top w:val="single" w:sz="0" w:space="0" w:color="000000"/>
              <w:bottom w:val="single" w:sz="0" w:space="0" w:color="000000"/>
            </w:tcBorders>
          </w:tcPr>
          <w:p>
            <w:pPr/>
          </w:p>
        </w:tc>
        <w:tc>
          <w:tcPr>
            <w:tcW w:w="695" w:type="dxa"/>
            <w:tcBorders>
              <w:top w:val="single" w:sz="0" w:space="0" w:color="000000"/>
              <w:bottom w:val="single" w:sz="0" w:space="0" w:color="000000"/>
            </w:tcBorders>
          </w:tcPr>
          <w:p>
            <w:pPr>
              <w:pStyle w:val="TableParagraph"/>
              <w:rPr>
                <w:b/>
                <w:sz w:val="18"/>
              </w:rPr>
            </w:pPr>
          </w:p>
          <w:p>
            <w:pPr>
              <w:pStyle w:val="TableParagraph"/>
              <w:spacing w:before="122"/>
              <w:ind w:left="138" w:right="66"/>
              <w:jc w:val="center"/>
              <w:rPr>
                <w:sz w:val="18"/>
              </w:rPr>
            </w:pPr>
            <w:r>
              <w:rPr>
                <w:sz w:val="18"/>
              </w:rPr>
              <w:t>6,067</w:t>
            </w:r>
          </w:p>
        </w:tc>
      </w:tr>
      <w:tr>
        <w:trPr>
          <w:trHeight w:val="617" w:hRule="exact"/>
        </w:trPr>
        <w:tc>
          <w:tcPr>
            <w:tcW w:w="428" w:type="dxa"/>
          </w:tcPr>
          <w:p>
            <w:pPr>
              <w:pStyle w:val="TableParagraph"/>
              <w:rPr>
                <w:b/>
                <w:sz w:val="18"/>
              </w:rPr>
            </w:pPr>
          </w:p>
          <w:p>
            <w:pPr>
              <w:pStyle w:val="TableParagraph"/>
              <w:spacing w:before="106"/>
              <w:ind w:left="35"/>
              <w:rPr>
                <w:sz w:val="18"/>
              </w:rPr>
            </w:pPr>
            <w:r>
              <w:rPr>
                <w:sz w:val="18"/>
              </w:rPr>
              <w:t>(b)</w:t>
            </w:r>
          </w:p>
        </w:tc>
        <w:tc>
          <w:tcPr>
            <w:tcW w:w="3597" w:type="dxa"/>
          </w:tcPr>
          <w:p>
            <w:pPr>
              <w:pStyle w:val="TableParagraph"/>
              <w:rPr>
                <w:b/>
                <w:sz w:val="18"/>
              </w:rPr>
            </w:pPr>
          </w:p>
          <w:p>
            <w:pPr>
              <w:pStyle w:val="TableParagraph"/>
              <w:spacing w:before="106"/>
              <w:ind w:left="173"/>
              <w:rPr>
                <w:sz w:val="18"/>
              </w:rPr>
            </w:pPr>
            <w:r>
              <w:rPr>
                <w:sz w:val="18"/>
              </w:rPr>
              <w:t>Cash at bank and on hand</w:t>
            </w:r>
          </w:p>
        </w:tc>
        <w:tc>
          <w:tcPr>
            <w:tcW w:w="734" w:type="dxa"/>
            <w:tcBorders>
              <w:top w:val="single" w:sz="0" w:space="0" w:color="000000"/>
            </w:tcBorders>
          </w:tcPr>
          <w:p>
            <w:pPr/>
          </w:p>
        </w:tc>
        <w:tc>
          <w:tcPr>
            <w:tcW w:w="689" w:type="dxa"/>
            <w:tcBorders>
              <w:top w:val="single" w:sz="0" w:space="0" w:color="000000"/>
            </w:tcBorders>
          </w:tcPr>
          <w:p>
            <w:pPr/>
          </w:p>
        </w:tc>
        <w:tc>
          <w:tcPr>
            <w:tcW w:w="595" w:type="dxa"/>
            <w:tcBorders>
              <w:top w:val="single" w:sz="0" w:space="0" w:color="000000"/>
            </w:tcBorders>
          </w:tcPr>
          <w:p>
            <w:pPr/>
          </w:p>
        </w:tc>
        <w:tc>
          <w:tcPr>
            <w:tcW w:w="801" w:type="dxa"/>
            <w:tcBorders>
              <w:top w:val="single" w:sz="0" w:space="0" w:color="000000"/>
            </w:tcBorders>
          </w:tcPr>
          <w:p>
            <w:pPr/>
          </w:p>
        </w:tc>
        <w:tc>
          <w:tcPr>
            <w:tcW w:w="679" w:type="dxa"/>
            <w:tcBorders>
              <w:top w:val="single" w:sz="0" w:space="0" w:color="000000"/>
            </w:tcBorders>
          </w:tcPr>
          <w:p>
            <w:pPr/>
          </w:p>
        </w:tc>
        <w:tc>
          <w:tcPr>
            <w:tcW w:w="689" w:type="dxa"/>
            <w:tcBorders>
              <w:top w:val="single" w:sz="0" w:space="0" w:color="000000"/>
            </w:tcBorders>
          </w:tcPr>
          <w:p>
            <w:pPr/>
          </w:p>
        </w:tc>
        <w:tc>
          <w:tcPr>
            <w:tcW w:w="645" w:type="dxa"/>
            <w:tcBorders>
              <w:top w:val="single" w:sz="0" w:space="0" w:color="000000"/>
            </w:tcBorders>
          </w:tcPr>
          <w:p>
            <w:pPr/>
          </w:p>
        </w:tc>
        <w:tc>
          <w:tcPr>
            <w:tcW w:w="695" w:type="dxa"/>
            <w:tcBorders>
              <w:top w:val="single" w:sz="0" w:space="0" w:color="000000"/>
            </w:tcBorders>
          </w:tcPr>
          <w:p>
            <w:pPr/>
          </w:p>
        </w:tc>
      </w:tr>
    </w:tbl>
    <w:p>
      <w:pPr>
        <w:pStyle w:val="BodyText"/>
        <w:spacing w:before="10"/>
        <w:rPr>
          <w:b/>
          <w:sz w:val="9"/>
        </w:rPr>
      </w:pPr>
    </w:p>
    <w:p>
      <w:pPr>
        <w:pStyle w:val="BodyText"/>
        <w:spacing w:before="78"/>
        <w:ind w:left="1072" w:right="128"/>
      </w:pPr>
      <w:r>
        <w:rPr/>
        <w:t>The average interest rate during 2012 on bank accounts included in cash at bank and on hand was 4.68%.</w:t>
      </w:r>
    </w:p>
    <w:p>
      <w:pPr>
        <w:pStyle w:val="BodyText"/>
        <w:spacing w:before="11"/>
        <w:rPr>
          <w:sz w:val="24"/>
        </w:rPr>
      </w:pPr>
    </w:p>
    <w:p>
      <w:pPr>
        <w:pStyle w:val="BodyText"/>
        <w:tabs>
          <w:tab w:pos="1071" w:val="left" w:leader="none"/>
        </w:tabs>
        <w:ind w:left="505" w:right="128"/>
      </w:pPr>
      <w:r>
        <w:rPr/>
        <w:t>(c)</w:t>
        <w:tab/>
        <w:t>Short term</w:t>
      </w:r>
      <w:r>
        <w:rPr>
          <w:spacing w:val="-1"/>
        </w:rPr>
        <w:t> </w:t>
      </w:r>
      <w:r>
        <w:rPr/>
        <w:t>deposits</w:t>
      </w:r>
    </w:p>
    <w:p>
      <w:pPr>
        <w:pStyle w:val="BodyText"/>
        <w:rPr>
          <w:sz w:val="25"/>
        </w:rPr>
      </w:pPr>
    </w:p>
    <w:p>
      <w:pPr>
        <w:pStyle w:val="BodyText"/>
        <w:ind w:left="1072" w:right="128"/>
      </w:pPr>
      <w:r>
        <w:rPr/>
        <w:t>The deposits are at fixed interest rates between 3.85% and 4.53%.</w:t>
      </w:r>
    </w:p>
    <w:p>
      <w:pPr>
        <w:spacing w:after="0"/>
        <w:sectPr>
          <w:type w:val="continuous"/>
          <w:pgSz w:w="11910" w:h="16840"/>
          <w:pgMar w:top="0" w:bottom="280" w:left="900" w:right="880"/>
        </w:sectPr>
      </w:pPr>
    </w:p>
    <w:p>
      <w:pPr>
        <w:pStyle w:val="BodyText"/>
        <w:rPr>
          <w:sz w:val="20"/>
        </w:rPr>
      </w:pPr>
    </w:p>
    <w:p>
      <w:pPr>
        <w:pStyle w:val="BodyText"/>
        <w:rPr>
          <w:sz w:val="20"/>
        </w:rPr>
      </w:pPr>
    </w:p>
    <w:p>
      <w:pPr>
        <w:pStyle w:val="BodyText"/>
        <w:spacing w:before="4"/>
      </w:pPr>
    </w:p>
    <w:p>
      <w:pPr>
        <w:pStyle w:val="Heading9"/>
        <w:numPr>
          <w:ilvl w:val="0"/>
          <w:numId w:val="13"/>
        </w:numPr>
        <w:tabs>
          <w:tab w:pos="506" w:val="left" w:leader="none"/>
        </w:tabs>
        <w:spacing w:line="240" w:lineRule="auto" w:before="0" w:after="0"/>
        <w:ind w:left="505" w:right="0" w:hanging="396"/>
        <w:jc w:val="left"/>
      </w:pPr>
      <w:r>
        <w:rPr/>
        <w:t>Trade and other</w:t>
      </w:r>
      <w:r>
        <w:rPr>
          <w:spacing w:val="-1"/>
        </w:rPr>
        <w:t> </w:t>
      </w:r>
      <w:r>
        <w:rPr/>
        <w:t>receivables</w:t>
      </w:r>
    </w:p>
    <w:p>
      <w:pPr>
        <w:tabs>
          <w:tab w:pos="7300" w:val="left" w:leader="none"/>
        </w:tabs>
        <w:spacing w:before="33"/>
        <w:ind w:left="4538" w:right="128" w:firstLine="0"/>
        <w:jc w:val="left"/>
        <w:rPr>
          <w:b/>
          <w:sz w:val="18"/>
        </w:rPr>
      </w:pPr>
      <w:r>
        <w:rPr>
          <w:b/>
          <w:sz w:val="18"/>
        </w:rPr>
        <w:t>Consolidated</w:t>
        <w:tab/>
        <w:t>Parent</w:t>
      </w:r>
    </w:p>
    <w:p>
      <w:pPr>
        <w:spacing w:after="0"/>
        <w:jc w:val="left"/>
        <w:rPr>
          <w:sz w:val="18"/>
        </w:rPr>
        <w:sectPr>
          <w:pgSz w:w="11910" w:h="16840"/>
          <w:pgMar w:header="1038" w:footer="507" w:top="2220" w:bottom="700" w:left="900" w:right="880"/>
        </w:sectPr>
      </w:pPr>
    </w:p>
    <w:p>
      <w:pPr>
        <w:pStyle w:val="BodyText"/>
        <w:rPr>
          <w:b/>
        </w:rPr>
      </w:pPr>
    </w:p>
    <w:p>
      <w:pPr>
        <w:pStyle w:val="BodyText"/>
        <w:rPr>
          <w:b/>
        </w:rPr>
      </w:pPr>
    </w:p>
    <w:p>
      <w:pPr>
        <w:pStyle w:val="BodyText"/>
        <w:spacing w:before="3"/>
        <w:rPr>
          <w:b/>
          <w:sz w:val="24"/>
        </w:rPr>
      </w:pPr>
    </w:p>
    <w:p>
      <w:pPr>
        <w:spacing w:before="0"/>
        <w:ind w:left="549" w:right="-20" w:firstLine="0"/>
        <w:jc w:val="left"/>
        <w:rPr>
          <w:b/>
          <w:sz w:val="18"/>
        </w:rPr>
      </w:pPr>
      <w:r>
        <w:rPr>
          <w:b/>
          <w:sz w:val="18"/>
        </w:rPr>
        <w:t>Current</w:t>
      </w:r>
    </w:p>
    <w:p>
      <w:pPr>
        <w:pStyle w:val="BodyText"/>
        <w:rPr>
          <w:b/>
        </w:rPr>
      </w:pPr>
      <w:r>
        <w:rPr/>
        <w:br w:type="column"/>
      </w:r>
      <w:r>
        <w:rPr>
          <w:b/>
        </w:rPr>
      </w:r>
    </w:p>
    <w:p>
      <w:pPr>
        <w:spacing w:before="133"/>
        <w:ind w:left="549" w:right="-19" w:firstLine="0"/>
        <w:jc w:val="left"/>
        <w:rPr>
          <w:b/>
          <w:sz w:val="18"/>
        </w:rPr>
      </w:pPr>
      <w:r>
        <w:rPr>
          <w:b/>
          <w:sz w:val="18"/>
        </w:rPr>
        <w:t>Note</w:t>
      </w:r>
    </w:p>
    <w:p>
      <w:pPr>
        <w:spacing w:before="66"/>
        <w:ind w:left="334" w:right="-20" w:firstLine="0"/>
        <w:jc w:val="left"/>
        <w:rPr>
          <w:b/>
          <w:sz w:val="18"/>
        </w:rPr>
      </w:pPr>
      <w:r>
        <w:rPr/>
        <w:br w:type="column"/>
      </w:r>
      <w:r>
        <w:rPr>
          <w:b/>
          <w:sz w:val="18"/>
        </w:rPr>
        <w:t>2012</w:t>
      </w:r>
    </w:p>
    <w:p>
      <w:pPr>
        <w:spacing w:before="66"/>
        <w:ind w:left="334" w:right="-20" w:firstLine="0"/>
        <w:jc w:val="left"/>
        <w:rPr>
          <w:b/>
          <w:sz w:val="18"/>
        </w:rPr>
      </w:pPr>
      <w:r>
        <w:rPr>
          <w:b/>
          <w:sz w:val="18"/>
        </w:rPr>
        <w:t>$'000</w:t>
      </w:r>
    </w:p>
    <w:p>
      <w:pPr>
        <w:spacing w:before="66"/>
        <w:ind w:left="549" w:right="-19" w:firstLine="0"/>
        <w:jc w:val="left"/>
        <w:rPr>
          <w:b/>
          <w:sz w:val="18"/>
        </w:rPr>
      </w:pPr>
      <w:r>
        <w:rPr/>
        <w:br w:type="column"/>
      </w:r>
      <w:r>
        <w:rPr>
          <w:b/>
          <w:sz w:val="18"/>
        </w:rPr>
        <w:t>2011</w:t>
      </w:r>
    </w:p>
    <w:p>
      <w:pPr>
        <w:spacing w:before="66"/>
        <w:ind w:left="549" w:right="-19" w:firstLine="0"/>
        <w:jc w:val="left"/>
        <w:rPr>
          <w:b/>
          <w:sz w:val="18"/>
        </w:rPr>
      </w:pPr>
      <w:r>
        <w:rPr>
          <w:b/>
          <w:sz w:val="18"/>
        </w:rPr>
        <w:t>$'000</w:t>
      </w:r>
    </w:p>
    <w:p>
      <w:pPr>
        <w:spacing w:before="66"/>
        <w:ind w:left="549" w:right="-19" w:firstLine="0"/>
        <w:jc w:val="left"/>
        <w:rPr>
          <w:b/>
          <w:sz w:val="18"/>
        </w:rPr>
      </w:pPr>
      <w:r>
        <w:rPr/>
        <w:br w:type="column"/>
      </w:r>
      <w:r>
        <w:rPr>
          <w:b/>
          <w:sz w:val="18"/>
        </w:rPr>
        <w:t>2012</w:t>
      </w:r>
    </w:p>
    <w:p>
      <w:pPr>
        <w:spacing w:before="66"/>
        <w:ind w:left="549" w:right="-19" w:firstLine="0"/>
        <w:jc w:val="left"/>
        <w:rPr>
          <w:b/>
          <w:sz w:val="18"/>
        </w:rPr>
      </w:pPr>
      <w:r>
        <w:rPr>
          <w:b/>
          <w:sz w:val="18"/>
        </w:rPr>
        <w:t>$'000</w:t>
      </w:r>
    </w:p>
    <w:p>
      <w:pPr>
        <w:spacing w:before="66"/>
        <w:ind w:left="549" w:right="0" w:firstLine="0"/>
        <w:jc w:val="left"/>
        <w:rPr>
          <w:b/>
          <w:sz w:val="18"/>
        </w:rPr>
      </w:pPr>
      <w:r>
        <w:rPr/>
        <w:br w:type="column"/>
      </w:r>
      <w:r>
        <w:rPr>
          <w:b/>
          <w:sz w:val="18"/>
        </w:rPr>
        <w:t>2011</w:t>
      </w:r>
    </w:p>
    <w:p>
      <w:pPr>
        <w:spacing w:before="66"/>
        <w:ind w:left="549" w:right="0" w:firstLine="0"/>
        <w:jc w:val="left"/>
        <w:rPr>
          <w:b/>
          <w:sz w:val="18"/>
        </w:rPr>
      </w:pPr>
      <w:r>
        <w:rPr>
          <w:b/>
          <w:sz w:val="18"/>
        </w:rPr>
        <w:t>$'000</w:t>
      </w:r>
    </w:p>
    <w:p>
      <w:pPr>
        <w:spacing w:after="0"/>
        <w:jc w:val="left"/>
        <w:rPr>
          <w:sz w:val="18"/>
        </w:rPr>
        <w:sectPr>
          <w:type w:val="continuous"/>
          <w:pgSz w:w="11910" w:h="16840"/>
          <w:pgMar w:top="0" w:bottom="280" w:left="900" w:right="880"/>
          <w:cols w:num="6" w:equalWidth="0">
            <w:col w:w="1200" w:space="2211"/>
            <w:col w:w="950" w:space="40"/>
            <w:col w:w="778" w:space="275"/>
            <w:col w:w="994" w:space="502"/>
            <w:col w:w="994" w:space="275"/>
            <w:col w:w="1911"/>
          </w:cols>
        </w:sectPr>
      </w:pPr>
    </w:p>
    <w:p>
      <w:pPr>
        <w:tabs>
          <w:tab w:pos="5424" w:val="left" w:leader="none"/>
          <w:tab w:pos="6721" w:val="left" w:leader="none"/>
          <w:tab w:pos="8187" w:val="left" w:leader="none"/>
          <w:tab w:pos="9485" w:val="left" w:leader="none"/>
        </w:tabs>
        <w:spacing w:before="28"/>
        <w:ind w:left="549" w:right="128" w:firstLine="0"/>
        <w:jc w:val="left"/>
        <w:rPr>
          <w:sz w:val="18"/>
        </w:rPr>
      </w:pPr>
      <w:r>
        <w:rPr>
          <w:sz w:val="18"/>
        </w:rPr>
        <w:t>Student</w:t>
      </w:r>
      <w:r>
        <w:rPr>
          <w:spacing w:val="-1"/>
          <w:sz w:val="18"/>
        </w:rPr>
        <w:t> </w:t>
      </w:r>
      <w:r>
        <w:rPr>
          <w:sz w:val="18"/>
        </w:rPr>
        <w:t>fees</w:t>
        <w:tab/>
      </w:r>
      <w:r>
        <w:rPr>
          <w:b/>
          <w:sz w:val="18"/>
        </w:rPr>
        <w:t>2,105</w:t>
        <w:tab/>
      </w:r>
      <w:r>
        <w:rPr>
          <w:sz w:val="18"/>
        </w:rPr>
        <w:t>2,678</w:t>
        <w:tab/>
      </w:r>
      <w:r>
        <w:rPr>
          <w:b/>
          <w:sz w:val="18"/>
        </w:rPr>
        <w:t>2,046</w:t>
        <w:tab/>
      </w:r>
      <w:r>
        <w:rPr>
          <w:sz w:val="18"/>
        </w:rPr>
        <w:t>2,612</w:t>
      </w:r>
    </w:p>
    <w:p>
      <w:pPr>
        <w:tabs>
          <w:tab w:pos="5324" w:val="left" w:leader="none"/>
          <w:tab w:pos="6622" w:val="left" w:leader="none"/>
          <w:tab w:pos="8088" w:val="left" w:leader="none"/>
          <w:tab w:pos="9385" w:val="left" w:leader="none"/>
        </w:tabs>
        <w:spacing w:before="57"/>
        <w:ind w:left="550" w:right="128" w:firstLine="0"/>
        <w:jc w:val="left"/>
        <w:rPr>
          <w:sz w:val="18"/>
        </w:rPr>
      </w:pPr>
      <w:r>
        <w:rPr/>
        <w:pict>
          <v:group style="position:absolute;margin-left:269.649994pt;margin-top:14.539204pt;width:276.5pt;height:1pt;mso-position-horizontal-relative:page;mso-position-vertical-relative:paragraph;z-index:2224;mso-wrap-distance-left:0;mso-wrap-distance-right:0" coordorigin="5393,291" coordsize="5530,20">
            <v:line style="position:absolute" from="5394,292" to="5563,292" stroked="true" strokeweight=".06pt" strokecolor="#000000"/>
            <v:line style="position:absolute" from="5394,293" to="5563,293" stroked="true" strokeweight=".06pt" strokecolor="#000000"/>
            <v:line style="position:absolute" from="5394,294" to="5563,294" stroked="true" strokeweight=".06pt" strokecolor="#000000"/>
            <v:line style="position:absolute" from="5394,295" to="5563,295" stroked="true" strokeweight=".06pt" strokecolor="#000000"/>
            <v:line style="position:absolute" from="5394,297" to="5563,297" stroked="true" strokeweight=".06pt" strokecolor="#000000"/>
            <v:line style="position:absolute" from="5394,298" to="5563,298" stroked="true" strokeweight=".06pt" strokecolor="#000000"/>
            <v:line style="position:absolute" from="5394,299" to="5563,299" stroked="true" strokeweight=".06pt" strokecolor="#000000"/>
            <v:line style="position:absolute" from="5394,300" to="5563,300" stroked="true" strokeweight=".06pt" strokecolor="#000000"/>
            <v:line style="position:absolute" from="5394,301" to="5563,301" stroked="true" strokeweight=".06pt" strokecolor="#000000"/>
            <v:line style="position:absolute" from="5394,303" to="5563,303" stroked="true" strokeweight=".06pt" strokecolor="#000000"/>
            <v:line style="position:absolute" from="5394,304" to="5563,304" stroked="true" strokeweight=".06pt" strokecolor="#000000"/>
            <v:line style="position:absolute" from="5394,305" to="5563,305" stroked="true" strokeweight=".06pt" strokecolor="#000000"/>
            <v:line style="position:absolute" from="5394,306" to="5563,306" stroked="true" strokeweight=".06pt" strokecolor="#000000"/>
            <v:line style="position:absolute" from="5394,307" to="5563,307" stroked="true" strokeweight=".06pt" strokecolor="#000000"/>
            <v:line style="position:absolute" from="5394,309" to="5563,309" stroked="true" strokeweight=".06pt" strokecolor="#000000"/>
            <v:line style="position:absolute" from="5394,310" to="5563,310" stroked="true" strokeweight=".06pt" strokecolor="#000000"/>
            <v:line style="position:absolute" from="5563,292" to="6860,292" stroked="true" strokeweight=".06pt" strokecolor="#000000"/>
            <v:line style="position:absolute" from="5563,293" to="6860,293" stroked="true" strokeweight=".06pt" strokecolor="#000000"/>
            <v:line style="position:absolute" from="5563,294" to="6860,294" stroked="true" strokeweight=".06pt" strokecolor="#000000"/>
            <v:line style="position:absolute" from="5563,295" to="6860,295" stroked="true" strokeweight=".06pt" strokecolor="#000000"/>
            <v:line style="position:absolute" from="5563,297" to="6860,297" stroked="true" strokeweight=".06pt" strokecolor="#000000"/>
            <v:line style="position:absolute" from="5563,298" to="6860,298" stroked="true" strokeweight=".06pt" strokecolor="#000000"/>
            <v:line style="position:absolute" from="5563,299" to="6860,299" stroked="true" strokeweight=".06pt" strokecolor="#000000"/>
            <v:line style="position:absolute" from="5563,300" to="6860,300" stroked="true" strokeweight=".06pt" strokecolor="#000000"/>
            <v:line style="position:absolute" from="5563,301" to="6860,301" stroked="true" strokeweight=".06pt" strokecolor="#000000"/>
            <v:line style="position:absolute" from="5563,303" to="6860,303" stroked="true" strokeweight=".06pt" strokecolor="#000000"/>
            <v:line style="position:absolute" from="5563,304" to="6860,304" stroked="true" strokeweight=".06pt" strokecolor="#000000"/>
            <v:line style="position:absolute" from="5563,305" to="6860,305" stroked="true" strokeweight=".06pt" strokecolor="#000000"/>
            <v:line style="position:absolute" from="5563,306" to="6860,306" stroked="true" strokeweight=".06pt" strokecolor="#000000"/>
            <v:line style="position:absolute" from="5563,307" to="6860,307" stroked="true" strokeweight=".06pt" strokecolor="#000000"/>
            <v:line style="position:absolute" from="5563,309" to="6860,309" stroked="true" strokeweight=".06pt" strokecolor="#000000"/>
            <v:line style="position:absolute" from="5563,310" to="6860,310" stroked="true" strokeweight=".06pt" strokecolor="#000000"/>
            <v:line style="position:absolute" from="6860,292" to="8158,292" stroked="true" strokeweight=".06pt" strokecolor="#000000"/>
            <v:line style="position:absolute" from="6860,293" to="8158,293" stroked="true" strokeweight=".06pt" strokecolor="#000000"/>
            <v:line style="position:absolute" from="6860,294" to="8158,294" stroked="true" strokeweight=".06pt" strokecolor="#000000"/>
            <v:line style="position:absolute" from="6860,295" to="8158,295" stroked="true" strokeweight=".06pt" strokecolor="#000000"/>
            <v:line style="position:absolute" from="6860,297" to="8158,297" stroked="true" strokeweight=".06pt" strokecolor="#000000"/>
            <v:line style="position:absolute" from="6860,298" to="8158,298" stroked="true" strokeweight=".06pt" strokecolor="#000000"/>
            <v:line style="position:absolute" from="6860,299" to="8158,299" stroked="true" strokeweight=".06pt" strokecolor="#000000"/>
            <v:line style="position:absolute" from="6860,300" to="8158,300" stroked="true" strokeweight=".06pt" strokecolor="#000000"/>
            <v:line style="position:absolute" from="6860,301" to="8158,301" stroked="true" strokeweight=".06pt" strokecolor="#000000"/>
            <v:line style="position:absolute" from="6860,303" to="8158,303" stroked="true" strokeweight=".06pt" strokecolor="#000000"/>
            <v:line style="position:absolute" from="6860,304" to="8158,304" stroked="true" strokeweight=".06pt" strokecolor="#000000"/>
            <v:line style="position:absolute" from="6860,305" to="8158,305" stroked="true" strokeweight=".06pt" strokecolor="#000000"/>
            <v:line style="position:absolute" from="6860,306" to="8158,306" stroked="true" strokeweight=".06pt" strokecolor="#000000"/>
            <v:line style="position:absolute" from="6860,307" to="8158,307" stroked="true" strokeweight=".06pt" strokecolor="#000000"/>
            <v:line style="position:absolute" from="6860,309" to="8158,309" stroked="true" strokeweight=".06pt" strokecolor="#000000"/>
            <v:line style="position:absolute" from="6860,310" to="8158,310" stroked="true" strokeweight=".06pt" strokecolor="#000000"/>
            <v:line style="position:absolute" from="8158,292" to="8327,292" stroked="true" strokeweight=".06pt" strokecolor="#000000"/>
            <v:line style="position:absolute" from="8158,293" to="8327,293" stroked="true" strokeweight=".06pt" strokecolor="#000000"/>
            <v:line style="position:absolute" from="8158,294" to="8327,294" stroked="true" strokeweight=".06pt" strokecolor="#000000"/>
            <v:line style="position:absolute" from="8158,295" to="8327,295" stroked="true" strokeweight=".06pt" strokecolor="#000000"/>
            <v:line style="position:absolute" from="8158,297" to="8327,297" stroked="true" strokeweight=".06pt" strokecolor="#000000"/>
            <v:line style="position:absolute" from="8158,298" to="8327,298" stroked="true" strokeweight=".06pt" strokecolor="#000000"/>
            <v:line style="position:absolute" from="8158,299" to="8327,299" stroked="true" strokeweight=".06pt" strokecolor="#000000"/>
            <v:line style="position:absolute" from="8158,300" to="8327,300" stroked="true" strokeweight=".06pt" strokecolor="#000000"/>
            <v:line style="position:absolute" from="8158,301" to="8327,301" stroked="true" strokeweight=".06pt" strokecolor="#000000"/>
            <v:line style="position:absolute" from="8158,303" to="8327,303" stroked="true" strokeweight=".06pt" strokecolor="#000000"/>
            <v:line style="position:absolute" from="8158,304" to="8327,304" stroked="true" strokeweight=".06pt" strokecolor="#000000"/>
            <v:line style="position:absolute" from="8158,305" to="8327,305" stroked="true" strokeweight=".06pt" strokecolor="#000000"/>
            <v:line style="position:absolute" from="8158,306" to="8327,306" stroked="true" strokeweight=".06pt" strokecolor="#000000"/>
            <v:line style="position:absolute" from="8158,307" to="8327,307" stroked="true" strokeweight=".06pt" strokecolor="#000000"/>
            <v:line style="position:absolute" from="8158,309" to="8327,309" stroked="true" strokeweight=".06pt" strokecolor="#000000"/>
            <v:line style="position:absolute" from="8158,310" to="8327,310" stroked="true" strokeweight=".06pt" strokecolor="#000000"/>
            <v:line style="position:absolute" from="8327,292" to="9624,292" stroked="true" strokeweight=".06pt" strokecolor="#000000"/>
            <v:line style="position:absolute" from="8327,293" to="9624,293" stroked="true" strokeweight=".06pt" strokecolor="#000000"/>
            <v:line style="position:absolute" from="8327,294" to="9624,294" stroked="true" strokeweight=".06pt" strokecolor="#000000"/>
            <v:line style="position:absolute" from="8327,295" to="9624,295" stroked="true" strokeweight=".06pt" strokecolor="#000000"/>
            <v:line style="position:absolute" from="8327,297" to="9624,297" stroked="true" strokeweight=".06pt" strokecolor="#000000"/>
            <v:line style="position:absolute" from="8327,298" to="9624,298" stroked="true" strokeweight=".06pt" strokecolor="#000000"/>
            <v:line style="position:absolute" from="8327,299" to="9624,299" stroked="true" strokeweight=".06pt" strokecolor="#000000"/>
            <v:line style="position:absolute" from="8327,300" to="9624,300" stroked="true" strokeweight=".06pt" strokecolor="#000000"/>
            <v:line style="position:absolute" from="8327,301" to="9624,301" stroked="true" strokeweight=".06pt" strokecolor="#000000"/>
            <v:line style="position:absolute" from="8327,303" to="9624,303" stroked="true" strokeweight=".06pt" strokecolor="#000000"/>
            <v:line style="position:absolute" from="8327,304" to="9624,304" stroked="true" strokeweight=".06pt" strokecolor="#000000"/>
            <v:line style="position:absolute" from="8327,305" to="9624,305" stroked="true" strokeweight=".06pt" strokecolor="#000000"/>
            <v:line style="position:absolute" from="8327,306" to="9624,306" stroked="true" strokeweight=".06pt" strokecolor="#000000"/>
            <v:line style="position:absolute" from="8327,307" to="9624,307" stroked="true" strokeweight=".06pt" strokecolor="#000000"/>
            <v:line style="position:absolute" from="8327,309" to="9624,309" stroked="true" strokeweight=".06pt" strokecolor="#000000"/>
            <v:line style="position:absolute" from="8327,310" to="9624,310" stroked="true" strokeweight=".06pt" strokecolor="#000000"/>
            <v:line style="position:absolute" from="9624,292" to="10921,292" stroked="true" strokeweight=".06pt" strokecolor="#000000"/>
            <v:line style="position:absolute" from="9624,293" to="10921,293" stroked="true" strokeweight=".06pt" strokecolor="#000000"/>
            <v:line style="position:absolute" from="9624,294" to="10921,294" stroked="true" strokeweight=".06pt" strokecolor="#000000"/>
            <v:line style="position:absolute" from="9624,295" to="10921,295" stroked="true" strokeweight=".06pt" strokecolor="#000000"/>
            <v:line style="position:absolute" from="9624,297" to="10921,297" stroked="true" strokeweight=".06pt" strokecolor="#000000"/>
            <v:line style="position:absolute" from="9624,298" to="10921,298" stroked="true" strokeweight=".06pt" strokecolor="#000000"/>
            <v:line style="position:absolute" from="9624,299" to="10921,299" stroked="true" strokeweight=".06pt" strokecolor="#000000"/>
            <v:line style="position:absolute" from="9624,300" to="10921,300" stroked="true" strokeweight=".06pt" strokecolor="#000000"/>
            <v:line style="position:absolute" from="9624,301" to="10921,301" stroked="true" strokeweight=".06pt" strokecolor="#000000"/>
            <v:line style="position:absolute" from="9624,303" to="10921,303" stroked="true" strokeweight=".06pt" strokecolor="#000000"/>
            <v:line style="position:absolute" from="9624,304" to="10921,304" stroked="true" strokeweight=".06pt" strokecolor="#000000"/>
            <v:line style="position:absolute" from="9624,305" to="10921,305" stroked="true" strokeweight=".06pt" strokecolor="#000000"/>
            <v:line style="position:absolute" from="9624,306" to="10921,306" stroked="true" strokeweight=".06pt" strokecolor="#000000"/>
            <v:line style="position:absolute" from="9624,307" to="10921,307" stroked="true" strokeweight=".06pt" strokecolor="#000000"/>
            <v:line style="position:absolute" from="9624,309" to="10921,309" stroked="true" strokeweight=".06pt" strokecolor="#000000"/>
            <v:line style="position:absolute" from="9624,310" to="10921,310" stroked="true" strokeweight=".06pt" strokecolor="#000000"/>
            <v:line style="position:absolute" from="5394,292" to="5563,292" stroked="true" strokeweight=".06pt" strokecolor="#000000"/>
            <v:line style="position:absolute" from="5394,293" to="5563,293" stroked="true" strokeweight=".06pt" strokecolor="#000000"/>
            <v:line style="position:absolute" from="5394,294" to="5563,294" stroked="true" strokeweight=".06pt" strokecolor="#000000"/>
            <v:line style="position:absolute" from="5394,295" to="5563,295" stroked="true" strokeweight=".06pt" strokecolor="#000000"/>
            <v:line style="position:absolute" from="5394,297" to="5563,297" stroked="true" strokeweight=".06pt" strokecolor="#000000"/>
            <v:line style="position:absolute" from="5394,298" to="5563,298" stroked="true" strokeweight=".06pt" strokecolor="#000000"/>
            <v:line style="position:absolute" from="5394,299" to="5563,299" stroked="true" strokeweight=".06pt" strokecolor="#000000"/>
            <v:line style="position:absolute" from="5394,300" to="5563,300" stroked="true" strokeweight=".06pt" strokecolor="#000000"/>
            <v:line style="position:absolute" from="5394,301" to="5563,301" stroked="true" strokeweight=".06pt" strokecolor="#000000"/>
            <v:line style="position:absolute" from="5394,303" to="5563,303" stroked="true" strokeweight=".06pt" strokecolor="#000000"/>
            <v:line style="position:absolute" from="5394,304" to="5563,304" stroked="true" strokeweight=".06pt" strokecolor="#000000"/>
            <v:line style="position:absolute" from="5394,305" to="5563,305" stroked="true" strokeweight=".06pt" strokecolor="#000000"/>
            <v:line style="position:absolute" from="5394,306" to="5563,306" stroked="true" strokeweight=".06pt" strokecolor="#000000"/>
            <v:line style="position:absolute" from="5394,307" to="5563,307" stroked="true" strokeweight=".06pt" strokecolor="#000000"/>
            <v:line style="position:absolute" from="5394,309" to="5563,309" stroked="true" strokeweight=".06pt" strokecolor="#000000"/>
            <v:line style="position:absolute" from="5394,310" to="5563,310" stroked="true" strokeweight=".06pt" strokecolor="#000000"/>
            <v:line style="position:absolute" from="5563,292" to="6860,292" stroked="true" strokeweight=".06pt" strokecolor="#000000"/>
            <v:line style="position:absolute" from="5563,293" to="6860,293" stroked="true" strokeweight=".06pt" strokecolor="#000000"/>
            <v:line style="position:absolute" from="5563,294" to="6860,294" stroked="true" strokeweight=".06pt" strokecolor="#000000"/>
            <v:line style="position:absolute" from="5563,295" to="6860,295" stroked="true" strokeweight=".06pt" strokecolor="#000000"/>
            <v:line style="position:absolute" from="5563,297" to="6860,297" stroked="true" strokeweight=".06pt" strokecolor="#000000"/>
            <v:line style="position:absolute" from="5563,298" to="6860,298" stroked="true" strokeweight=".06pt" strokecolor="#000000"/>
            <v:line style="position:absolute" from="5563,299" to="6860,299" stroked="true" strokeweight=".06pt" strokecolor="#000000"/>
            <v:line style="position:absolute" from="5563,300" to="6860,300" stroked="true" strokeweight=".06pt" strokecolor="#000000"/>
            <v:line style="position:absolute" from="5563,301" to="6860,301" stroked="true" strokeweight=".06pt" strokecolor="#000000"/>
            <v:line style="position:absolute" from="5563,303" to="6860,303" stroked="true" strokeweight=".06pt" strokecolor="#000000"/>
            <v:line style="position:absolute" from="5563,304" to="6860,304" stroked="true" strokeweight=".06pt" strokecolor="#000000"/>
            <v:line style="position:absolute" from="5563,305" to="6860,305" stroked="true" strokeweight=".06pt" strokecolor="#000000"/>
            <v:line style="position:absolute" from="5563,306" to="6860,306" stroked="true" strokeweight=".06pt" strokecolor="#000000"/>
            <v:line style="position:absolute" from="5563,307" to="6860,307" stroked="true" strokeweight=".06pt" strokecolor="#000000"/>
            <v:line style="position:absolute" from="5563,309" to="6860,309" stroked="true" strokeweight=".06pt" strokecolor="#000000"/>
            <v:line style="position:absolute" from="5563,310" to="6860,310" stroked="true" strokeweight=".06pt" strokecolor="#000000"/>
            <v:line style="position:absolute" from="6860,292" to="8158,292" stroked="true" strokeweight=".06pt" strokecolor="#000000"/>
            <v:line style="position:absolute" from="6860,293" to="8158,293" stroked="true" strokeweight=".06pt" strokecolor="#000000"/>
            <v:line style="position:absolute" from="6860,294" to="8158,294" stroked="true" strokeweight=".06pt" strokecolor="#000000"/>
            <v:line style="position:absolute" from="6860,295" to="8158,295" stroked="true" strokeweight=".06pt" strokecolor="#000000"/>
            <v:line style="position:absolute" from="6860,297" to="8158,297" stroked="true" strokeweight=".06pt" strokecolor="#000000"/>
            <v:line style="position:absolute" from="6860,298" to="8158,298" stroked="true" strokeweight=".06pt" strokecolor="#000000"/>
            <v:line style="position:absolute" from="6860,299" to="8158,299" stroked="true" strokeweight=".06pt" strokecolor="#000000"/>
            <v:line style="position:absolute" from="6860,300" to="8158,300" stroked="true" strokeweight=".06pt" strokecolor="#000000"/>
            <v:line style="position:absolute" from="6860,301" to="8158,301" stroked="true" strokeweight=".06pt" strokecolor="#000000"/>
            <v:line style="position:absolute" from="6860,303" to="8158,303" stroked="true" strokeweight=".06pt" strokecolor="#000000"/>
            <v:line style="position:absolute" from="6860,304" to="8158,304" stroked="true" strokeweight=".06pt" strokecolor="#000000"/>
            <v:line style="position:absolute" from="6860,305" to="8158,305" stroked="true" strokeweight=".06pt" strokecolor="#000000"/>
            <v:line style="position:absolute" from="6860,306" to="8158,306" stroked="true" strokeweight=".06pt" strokecolor="#000000"/>
            <v:line style="position:absolute" from="6860,307" to="8158,307" stroked="true" strokeweight=".06pt" strokecolor="#000000"/>
            <v:line style="position:absolute" from="6860,309" to="8158,309" stroked="true" strokeweight=".06pt" strokecolor="#000000"/>
            <v:line style="position:absolute" from="6860,310" to="8158,310" stroked="true" strokeweight=".06pt" strokecolor="#000000"/>
            <v:line style="position:absolute" from="8158,292" to="8327,292" stroked="true" strokeweight=".06pt" strokecolor="#000000"/>
            <v:line style="position:absolute" from="8158,293" to="8327,293" stroked="true" strokeweight=".06pt" strokecolor="#000000"/>
            <v:line style="position:absolute" from="8158,294" to="8327,294" stroked="true" strokeweight=".06pt" strokecolor="#000000"/>
            <v:line style="position:absolute" from="8158,295" to="8327,295" stroked="true" strokeweight=".06pt" strokecolor="#000000"/>
            <v:line style="position:absolute" from="8158,297" to="8327,297" stroked="true" strokeweight=".06pt" strokecolor="#000000"/>
            <v:line style="position:absolute" from="8158,298" to="8327,298" stroked="true" strokeweight=".06pt" strokecolor="#000000"/>
            <v:line style="position:absolute" from="8158,299" to="8327,299" stroked="true" strokeweight=".06pt" strokecolor="#000000"/>
            <v:line style="position:absolute" from="8158,300" to="8327,300" stroked="true" strokeweight=".06pt" strokecolor="#000000"/>
            <v:line style="position:absolute" from="8158,301" to="8327,301" stroked="true" strokeweight=".06pt" strokecolor="#000000"/>
            <v:line style="position:absolute" from="8158,303" to="8327,303" stroked="true" strokeweight=".06pt" strokecolor="#000000"/>
            <v:line style="position:absolute" from="8158,304" to="8327,304" stroked="true" strokeweight=".06pt" strokecolor="#000000"/>
            <v:line style="position:absolute" from="8158,305" to="8327,305" stroked="true" strokeweight=".06pt" strokecolor="#000000"/>
            <v:line style="position:absolute" from="8158,306" to="8327,306" stroked="true" strokeweight=".06pt" strokecolor="#000000"/>
            <v:line style="position:absolute" from="8158,307" to="8327,307" stroked="true" strokeweight=".06pt" strokecolor="#000000"/>
            <v:line style="position:absolute" from="8158,309" to="8327,309" stroked="true" strokeweight=".06pt" strokecolor="#000000"/>
            <v:line style="position:absolute" from="8158,310" to="8327,310" stroked="true" strokeweight=".06pt" strokecolor="#000000"/>
            <v:line style="position:absolute" from="8327,292" to="9624,292" stroked="true" strokeweight=".06pt" strokecolor="#000000"/>
            <v:line style="position:absolute" from="8327,293" to="9624,293" stroked="true" strokeweight=".06pt" strokecolor="#000000"/>
            <v:line style="position:absolute" from="8327,294" to="9624,294" stroked="true" strokeweight=".06pt" strokecolor="#000000"/>
            <v:line style="position:absolute" from="8327,295" to="9624,295" stroked="true" strokeweight=".06pt" strokecolor="#000000"/>
            <v:line style="position:absolute" from="8327,297" to="9624,297" stroked="true" strokeweight=".06pt" strokecolor="#000000"/>
            <v:line style="position:absolute" from="8327,298" to="9624,298" stroked="true" strokeweight=".06pt" strokecolor="#000000"/>
            <v:line style="position:absolute" from="8327,299" to="9624,299" stroked="true" strokeweight=".06pt" strokecolor="#000000"/>
            <v:line style="position:absolute" from="8327,300" to="9624,300" stroked="true" strokeweight=".06pt" strokecolor="#000000"/>
            <v:line style="position:absolute" from="8327,301" to="9624,301" stroked="true" strokeweight=".06pt" strokecolor="#000000"/>
            <v:line style="position:absolute" from="8327,303" to="9624,303" stroked="true" strokeweight=".06pt" strokecolor="#000000"/>
            <v:line style="position:absolute" from="8327,304" to="9624,304" stroked="true" strokeweight=".06pt" strokecolor="#000000"/>
            <v:line style="position:absolute" from="8327,305" to="9624,305" stroked="true" strokeweight=".06pt" strokecolor="#000000"/>
            <v:line style="position:absolute" from="8327,306" to="9624,306" stroked="true" strokeweight=".06pt" strokecolor="#000000"/>
            <v:line style="position:absolute" from="8327,307" to="9624,307" stroked="true" strokeweight=".06pt" strokecolor="#000000"/>
            <v:line style="position:absolute" from="8327,309" to="9624,309" stroked="true" strokeweight=".06pt" strokecolor="#000000"/>
            <v:line style="position:absolute" from="8327,310" to="9624,310" stroked="true" strokeweight=".06pt" strokecolor="#000000"/>
            <v:line style="position:absolute" from="9624,292" to="10921,292" stroked="true" strokeweight=".06pt" strokecolor="#000000"/>
            <v:line style="position:absolute" from="9624,293" to="10921,293" stroked="true" strokeweight=".06pt" strokecolor="#000000"/>
            <v:line style="position:absolute" from="9624,294" to="10921,294" stroked="true" strokeweight=".06pt" strokecolor="#000000"/>
            <v:line style="position:absolute" from="9624,295" to="10921,295" stroked="true" strokeweight=".06pt" strokecolor="#000000"/>
            <v:line style="position:absolute" from="9624,297" to="10921,297" stroked="true" strokeweight=".06pt" strokecolor="#000000"/>
            <v:line style="position:absolute" from="9624,298" to="10921,298" stroked="true" strokeweight=".06pt" strokecolor="#000000"/>
            <v:line style="position:absolute" from="9624,299" to="10921,299" stroked="true" strokeweight=".06pt" strokecolor="#000000"/>
            <v:line style="position:absolute" from="9624,300" to="10921,300" stroked="true" strokeweight=".06pt" strokecolor="#000000"/>
            <v:line style="position:absolute" from="9624,301" to="10921,301" stroked="true" strokeweight=".06pt" strokecolor="#000000"/>
            <v:line style="position:absolute" from="9624,303" to="10921,303" stroked="true" strokeweight=".06pt" strokecolor="#000000"/>
            <v:line style="position:absolute" from="9624,304" to="10921,304" stroked="true" strokeweight=".06pt" strokecolor="#000000"/>
            <v:line style="position:absolute" from="9624,305" to="10921,305" stroked="true" strokeweight=".06pt" strokecolor="#000000"/>
            <v:line style="position:absolute" from="9624,306" to="10921,306" stroked="true" strokeweight=".06pt" strokecolor="#000000"/>
            <v:line style="position:absolute" from="9624,307" to="10921,307" stroked="true" strokeweight=".06pt" strokecolor="#000000"/>
            <v:line style="position:absolute" from="9624,309" to="10921,309" stroked="true" strokeweight=".06pt" strokecolor="#000000"/>
            <v:line style="position:absolute" from="9624,310" to="10921,310" stroked="true" strokeweight=".06pt" strokecolor="#000000"/>
            <w10:wrap type="topAndBottom"/>
          </v:group>
        </w:pict>
      </w:r>
      <w:r>
        <w:rPr>
          <w:sz w:val="18"/>
        </w:rPr>
        <w:t>Other</w:t>
      </w:r>
      <w:r>
        <w:rPr>
          <w:spacing w:val="-1"/>
          <w:sz w:val="18"/>
        </w:rPr>
        <w:t> </w:t>
      </w:r>
      <w:r>
        <w:rPr>
          <w:sz w:val="18"/>
        </w:rPr>
        <w:t>debtors</w:t>
        <w:tab/>
      </w:r>
      <w:r>
        <w:rPr>
          <w:b/>
          <w:sz w:val="18"/>
        </w:rPr>
        <w:t>13,884</w:t>
        <w:tab/>
      </w:r>
      <w:r>
        <w:rPr>
          <w:sz w:val="18"/>
        </w:rPr>
        <w:t>13,117</w:t>
        <w:tab/>
      </w:r>
      <w:r>
        <w:rPr>
          <w:b/>
          <w:sz w:val="18"/>
        </w:rPr>
        <w:t>20,347</w:t>
        <w:tab/>
      </w:r>
      <w:r>
        <w:rPr>
          <w:sz w:val="18"/>
        </w:rPr>
        <w:t>18,437</w:t>
      </w:r>
    </w:p>
    <w:p>
      <w:pPr>
        <w:tabs>
          <w:tab w:pos="6621" w:val="left" w:leader="none"/>
          <w:tab w:pos="8087" w:val="left" w:leader="none"/>
          <w:tab w:pos="9385" w:val="left" w:leader="none"/>
        </w:tabs>
        <w:spacing w:before="84"/>
        <w:ind w:left="5324" w:right="128" w:firstLine="0"/>
        <w:jc w:val="left"/>
        <w:rPr>
          <w:sz w:val="18"/>
        </w:rPr>
      </w:pPr>
      <w:r>
        <w:rPr>
          <w:b/>
          <w:sz w:val="18"/>
        </w:rPr>
        <w:t>15,989</w:t>
        <w:tab/>
      </w:r>
      <w:r>
        <w:rPr>
          <w:sz w:val="18"/>
        </w:rPr>
        <w:t>15,795</w:t>
        <w:tab/>
      </w:r>
      <w:r>
        <w:rPr>
          <w:b/>
          <w:sz w:val="18"/>
        </w:rPr>
        <w:t>22,393</w:t>
        <w:tab/>
      </w:r>
      <w:r>
        <w:rPr>
          <w:sz w:val="18"/>
        </w:rPr>
        <w:t>21,049</w:t>
      </w:r>
    </w:p>
    <w:p>
      <w:pPr>
        <w:tabs>
          <w:tab w:pos="5363" w:val="left" w:leader="none"/>
          <w:tab w:pos="6661" w:val="left" w:leader="none"/>
          <w:tab w:pos="8127" w:val="left" w:leader="none"/>
          <w:tab w:pos="9424" w:val="left" w:leader="none"/>
        </w:tabs>
        <w:spacing w:before="28"/>
        <w:ind w:left="549" w:right="0" w:firstLine="0"/>
        <w:jc w:val="left"/>
        <w:rPr>
          <w:sz w:val="18"/>
        </w:rPr>
      </w:pPr>
      <w:r>
        <w:rPr>
          <w:sz w:val="18"/>
        </w:rPr>
        <w:t>Less: Provision for</w:t>
      </w:r>
      <w:r>
        <w:rPr>
          <w:spacing w:val="-1"/>
          <w:sz w:val="18"/>
        </w:rPr>
        <w:t> </w:t>
      </w:r>
      <w:r>
        <w:rPr>
          <w:sz w:val="18"/>
        </w:rPr>
        <w:t>impaired</w:t>
      </w:r>
      <w:r>
        <w:rPr>
          <w:spacing w:val="-1"/>
          <w:sz w:val="18"/>
        </w:rPr>
        <w:t> </w:t>
      </w:r>
      <w:r>
        <w:rPr>
          <w:sz w:val="18"/>
        </w:rPr>
        <w:t>receivables</w:t>
        <w:tab/>
      </w:r>
      <w:r>
        <w:rPr>
          <w:b/>
          <w:sz w:val="18"/>
        </w:rPr>
        <w:t>(1,110)</w:t>
        <w:tab/>
      </w:r>
      <w:r>
        <w:rPr>
          <w:sz w:val="18"/>
        </w:rPr>
        <w:t>(1,527)</w:t>
        <w:tab/>
      </w:r>
      <w:r>
        <w:rPr>
          <w:b/>
          <w:sz w:val="18"/>
        </w:rPr>
        <w:t>(6,353)</w:t>
        <w:tab/>
      </w:r>
      <w:r>
        <w:rPr>
          <w:sz w:val="18"/>
        </w:rPr>
        <w:t>(6,523)</w:t>
      </w:r>
    </w:p>
    <w:p>
      <w:pPr>
        <w:tabs>
          <w:tab w:pos="5773" w:val="left" w:leader="none"/>
          <w:tab w:pos="7070" w:val="left" w:leader="none"/>
          <w:tab w:pos="8536" w:val="left" w:leader="none"/>
          <w:tab w:pos="9934" w:val="right" w:leader="none"/>
        </w:tabs>
        <w:spacing w:before="76"/>
        <w:ind w:left="549" w:right="0" w:firstLine="0"/>
        <w:jc w:val="left"/>
        <w:rPr>
          <w:sz w:val="18"/>
        </w:rPr>
      </w:pPr>
      <w:r>
        <w:rPr>
          <w:sz w:val="18"/>
        </w:rPr>
        <w:t>Other</w:t>
        <w:tab/>
      </w:r>
      <w:r>
        <w:rPr>
          <w:b/>
          <w:sz w:val="18"/>
        </w:rPr>
        <w:t>3</w:t>
        <w:tab/>
      </w:r>
      <w:r>
        <w:rPr>
          <w:sz w:val="18"/>
        </w:rPr>
        <w:t>3</w:t>
        <w:tab/>
      </w:r>
      <w:r>
        <w:rPr>
          <w:b/>
          <w:sz w:val="18"/>
        </w:rPr>
        <w:t>1</w:t>
      </w:r>
      <w:r>
        <w:rPr>
          <w:rFonts w:ascii="Times New Roman"/>
          <w:sz w:val="18"/>
        </w:rPr>
        <w:tab/>
      </w:r>
      <w:r>
        <w:rPr>
          <w:sz w:val="18"/>
        </w:rPr>
        <w:t>1</w:t>
      </w:r>
    </w:p>
    <w:p>
      <w:pPr>
        <w:tabs>
          <w:tab w:pos="5324" w:val="left" w:leader="none"/>
          <w:tab w:pos="6721" w:val="left" w:leader="none"/>
          <w:tab w:pos="8088" w:val="left" w:leader="none"/>
          <w:tab w:pos="9484" w:val="left" w:leader="none"/>
        </w:tabs>
        <w:spacing w:before="57"/>
        <w:ind w:left="549" w:right="128" w:firstLine="0"/>
        <w:jc w:val="left"/>
        <w:rPr>
          <w:sz w:val="18"/>
        </w:rPr>
      </w:pPr>
      <w:r>
        <w:rPr/>
        <w:pict>
          <v:group style="position:absolute;margin-left:269.649994pt;margin-top:14.539224pt;width:276.5pt;height:1pt;mso-position-horizontal-relative:page;mso-position-vertical-relative:paragraph;z-index:2272" coordorigin="5393,291" coordsize="5530,20">
            <v:line style="position:absolute" from="5394,292" to="5563,292" stroked="true" strokeweight=".06pt" strokecolor="#000000"/>
            <v:line style="position:absolute" from="5394,293" to="5563,293" stroked="true" strokeweight=".06pt" strokecolor="#000000"/>
            <v:line style="position:absolute" from="5394,294" to="5563,294" stroked="true" strokeweight=".06pt" strokecolor="#000000"/>
            <v:line style="position:absolute" from="5394,295" to="5563,295" stroked="true" strokeweight=".06pt" strokecolor="#000000"/>
            <v:line style="position:absolute" from="5394,297" to="5563,297" stroked="true" strokeweight=".06pt" strokecolor="#000000"/>
            <v:line style="position:absolute" from="5394,298" to="5563,298" stroked="true" strokeweight=".06pt" strokecolor="#000000"/>
            <v:line style="position:absolute" from="5394,299" to="5563,299" stroked="true" strokeweight=".06pt" strokecolor="#000000"/>
            <v:line style="position:absolute" from="5394,300" to="5563,300" stroked="true" strokeweight=".06pt" strokecolor="#000000"/>
            <v:line style="position:absolute" from="5394,301" to="5563,301" stroked="true" strokeweight=".06pt" strokecolor="#000000"/>
            <v:line style="position:absolute" from="5394,303" to="5563,303" stroked="true" strokeweight=".06pt" strokecolor="#000000"/>
            <v:line style="position:absolute" from="5394,304" to="5563,304" stroked="true" strokeweight=".06pt" strokecolor="#000000"/>
            <v:line style="position:absolute" from="5394,305" to="5563,305" stroked="true" strokeweight=".06pt" strokecolor="#000000"/>
            <v:line style="position:absolute" from="5394,306" to="5563,306" stroked="true" strokeweight=".06pt" strokecolor="#000000"/>
            <v:line style="position:absolute" from="5394,307" to="5563,307" stroked="true" strokeweight=".06pt" strokecolor="#000000"/>
            <v:line style="position:absolute" from="5394,309" to="5563,309" stroked="true" strokeweight=".06pt" strokecolor="#000000"/>
            <v:line style="position:absolute" from="5394,310" to="5563,310" stroked="true" strokeweight=".06pt" strokecolor="#000000"/>
            <v:line style="position:absolute" from="5563,292" to="6860,292" stroked="true" strokeweight=".06pt" strokecolor="#000000"/>
            <v:line style="position:absolute" from="5563,293" to="6860,293" stroked="true" strokeweight=".06pt" strokecolor="#000000"/>
            <v:line style="position:absolute" from="5563,294" to="6860,294" stroked="true" strokeweight=".06pt" strokecolor="#000000"/>
            <v:line style="position:absolute" from="5563,295" to="6860,295" stroked="true" strokeweight=".06pt" strokecolor="#000000"/>
            <v:line style="position:absolute" from="5563,297" to="6860,297" stroked="true" strokeweight=".06pt" strokecolor="#000000"/>
            <v:line style="position:absolute" from="5563,298" to="6860,298" stroked="true" strokeweight=".06pt" strokecolor="#000000"/>
            <v:line style="position:absolute" from="5563,299" to="6860,299" stroked="true" strokeweight=".06pt" strokecolor="#000000"/>
            <v:line style="position:absolute" from="5563,300" to="6860,300" stroked="true" strokeweight=".06pt" strokecolor="#000000"/>
            <v:line style="position:absolute" from="5563,301" to="6860,301" stroked="true" strokeweight=".06pt" strokecolor="#000000"/>
            <v:line style="position:absolute" from="5563,303" to="6860,303" stroked="true" strokeweight=".06pt" strokecolor="#000000"/>
            <v:line style="position:absolute" from="5563,304" to="6860,304" stroked="true" strokeweight=".06pt" strokecolor="#000000"/>
            <v:line style="position:absolute" from="5563,305" to="6860,305" stroked="true" strokeweight=".06pt" strokecolor="#000000"/>
            <v:line style="position:absolute" from="5563,306" to="6860,306" stroked="true" strokeweight=".06pt" strokecolor="#000000"/>
            <v:line style="position:absolute" from="5563,307" to="6860,307" stroked="true" strokeweight=".06pt" strokecolor="#000000"/>
            <v:line style="position:absolute" from="5563,309" to="6860,309" stroked="true" strokeweight=".06pt" strokecolor="#000000"/>
            <v:line style="position:absolute" from="5563,310" to="6860,310" stroked="true" strokeweight=".06pt" strokecolor="#000000"/>
            <v:line style="position:absolute" from="6860,292" to="8158,292" stroked="true" strokeweight=".06pt" strokecolor="#000000"/>
            <v:line style="position:absolute" from="6860,293" to="8158,293" stroked="true" strokeweight=".06pt" strokecolor="#000000"/>
            <v:line style="position:absolute" from="6860,294" to="8158,294" stroked="true" strokeweight=".06pt" strokecolor="#000000"/>
            <v:line style="position:absolute" from="6860,295" to="8158,295" stroked="true" strokeweight=".06pt" strokecolor="#000000"/>
            <v:line style="position:absolute" from="6860,297" to="8158,297" stroked="true" strokeweight=".06pt" strokecolor="#000000"/>
            <v:line style="position:absolute" from="6860,298" to="8158,298" stroked="true" strokeweight=".06pt" strokecolor="#000000"/>
            <v:line style="position:absolute" from="6860,299" to="8158,299" stroked="true" strokeweight=".06pt" strokecolor="#000000"/>
            <v:line style="position:absolute" from="6860,300" to="8158,300" stroked="true" strokeweight=".06pt" strokecolor="#000000"/>
            <v:line style="position:absolute" from="6860,301" to="8158,301" stroked="true" strokeweight=".06pt" strokecolor="#000000"/>
            <v:line style="position:absolute" from="6860,303" to="8158,303" stroked="true" strokeweight=".06pt" strokecolor="#000000"/>
            <v:line style="position:absolute" from="6860,304" to="8158,304" stroked="true" strokeweight=".06pt" strokecolor="#000000"/>
            <v:line style="position:absolute" from="6860,305" to="8158,305" stroked="true" strokeweight=".06pt" strokecolor="#000000"/>
            <v:line style="position:absolute" from="6860,306" to="8158,306" stroked="true" strokeweight=".06pt" strokecolor="#000000"/>
            <v:line style="position:absolute" from="6860,307" to="8158,307" stroked="true" strokeweight=".06pt" strokecolor="#000000"/>
            <v:line style="position:absolute" from="6860,309" to="8158,309" stroked="true" strokeweight=".06pt" strokecolor="#000000"/>
            <v:line style="position:absolute" from="6860,310" to="8158,310" stroked="true" strokeweight=".06pt" strokecolor="#000000"/>
            <v:line style="position:absolute" from="8158,292" to="8327,292" stroked="true" strokeweight=".06pt" strokecolor="#000000"/>
            <v:line style="position:absolute" from="8158,293" to="8327,293" stroked="true" strokeweight=".06pt" strokecolor="#000000"/>
            <v:line style="position:absolute" from="8158,294" to="8327,294" stroked="true" strokeweight=".06pt" strokecolor="#000000"/>
            <v:line style="position:absolute" from="8158,295" to="8327,295" stroked="true" strokeweight=".06pt" strokecolor="#000000"/>
            <v:line style="position:absolute" from="8158,297" to="8327,297" stroked="true" strokeweight=".06pt" strokecolor="#000000"/>
            <v:line style="position:absolute" from="8158,298" to="8327,298" stroked="true" strokeweight=".06pt" strokecolor="#000000"/>
            <v:line style="position:absolute" from="8158,299" to="8327,299" stroked="true" strokeweight=".06pt" strokecolor="#000000"/>
            <v:line style="position:absolute" from="8158,300" to="8327,300" stroked="true" strokeweight=".06pt" strokecolor="#000000"/>
            <v:line style="position:absolute" from="8158,301" to="8327,301" stroked="true" strokeweight=".06pt" strokecolor="#000000"/>
            <v:line style="position:absolute" from="8158,303" to="8327,303" stroked="true" strokeweight=".06pt" strokecolor="#000000"/>
            <v:line style="position:absolute" from="8158,304" to="8327,304" stroked="true" strokeweight=".06pt" strokecolor="#000000"/>
            <v:line style="position:absolute" from="8158,305" to="8327,305" stroked="true" strokeweight=".06pt" strokecolor="#000000"/>
            <v:line style="position:absolute" from="8158,306" to="8327,306" stroked="true" strokeweight=".06pt" strokecolor="#000000"/>
            <v:line style="position:absolute" from="8158,307" to="8327,307" stroked="true" strokeweight=".06pt" strokecolor="#000000"/>
            <v:line style="position:absolute" from="8158,309" to="8327,309" stroked="true" strokeweight=".06pt" strokecolor="#000000"/>
            <v:line style="position:absolute" from="8158,310" to="8327,310" stroked="true" strokeweight=".06pt" strokecolor="#000000"/>
            <v:line style="position:absolute" from="8327,292" to="9624,292" stroked="true" strokeweight=".06pt" strokecolor="#000000"/>
            <v:line style="position:absolute" from="8327,293" to="9624,293" stroked="true" strokeweight=".06pt" strokecolor="#000000"/>
            <v:line style="position:absolute" from="8327,294" to="9624,294" stroked="true" strokeweight=".06pt" strokecolor="#000000"/>
            <v:line style="position:absolute" from="8327,295" to="9624,295" stroked="true" strokeweight=".06pt" strokecolor="#000000"/>
            <v:line style="position:absolute" from="8327,297" to="9624,297" stroked="true" strokeweight=".06pt" strokecolor="#000000"/>
            <v:line style="position:absolute" from="8327,298" to="9624,298" stroked="true" strokeweight=".06pt" strokecolor="#000000"/>
            <v:line style="position:absolute" from="8327,299" to="9624,299" stroked="true" strokeweight=".06pt" strokecolor="#000000"/>
            <v:line style="position:absolute" from="8327,300" to="9624,300" stroked="true" strokeweight=".06pt" strokecolor="#000000"/>
            <v:line style="position:absolute" from="8327,301" to="9624,301" stroked="true" strokeweight=".06pt" strokecolor="#000000"/>
            <v:line style="position:absolute" from="8327,303" to="9624,303" stroked="true" strokeweight=".06pt" strokecolor="#000000"/>
            <v:line style="position:absolute" from="8327,304" to="9624,304" stroked="true" strokeweight=".06pt" strokecolor="#000000"/>
            <v:line style="position:absolute" from="8327,305" to="9624,305" stroked="true" strokeweight=".06pt" strokecolor="#000000"/>
            <v:line style="position:absolute" from="8327,306" to="9624,306" stroked="true" strokeweight=".06pt" strokecolor="#000000"/>
            <v:line style="position:absolute" from="8327,307" to="9624,307" stroked="true" strokeweight=".06pt" strokecolor="#000000"/>
            <v:line style="position:absolute" from="8327,309" to="9624,309" stroked="true" strokeweight=".06pt" strokecolor="#000000"/>
            <v:line style="position:absolute" from="8327,310" to="9624,310" stroked="true" strokeweight=".06pt" strokecolor="#000000"/>
            <v:line style="position:absolute" from="9624,292" to="10921,292" stroked="true" strokeweight=".06pt" strokecolor="#000000"/>
            <v:line style="position:absolute" from="9624,293" to="10921,293" stroked="true" strokeweight=".06pt" strokecolor="#000000"/>
            <v:line style="position:absolute" from="9624,294" to="10921,294" stroked="true" strokeweight=".06pt" strokecolor="#000000"/>
            <v:line style="position:absolute" from="9624,295" to="10921,295" stroked="true" strokeweight=".06pt" strokecolor="#000000"/>
            <v:line style="position:absolute" from="9624,297" to="10921,297" stroked="true" strokeweight=".06pt" strokecolor="#000000"/>
            <v:line style="position:absolute" from="9624,298" to="10921,298" stroked="true" strokeweight=".06pt" strokecolor="#000000"/>
            <v:line style="position:absolute" from="9624,299" to="10921,299" stroked="true" strokeweight=".06pt" strokecolor="#000000"/>
            <v:line style="position:absolute" from="9624,300" to="10921,300" stroked="true" strokeweight=".06pt" strokecolor="#000000"/>
            <v:line style="position:absolute" from="9624,301" to="10921,301" stroked="true" strokeweight=".06pt" strokecolor="#000000"/>
            <v:line style="position:absolute" from="9624,303" to="10921,303" stroked="true" strokeweight=".06pt" strokecolor="#000000"/>
            <v:line style="position:absolute" from="9624,304" to="10921,304" stroked="true" strokeweight=".06pt" strokecolor="#000000"/>
            <v:line style="position:absolute" from="9624,305" to="10921,305" stroked="true" strokeweight=".06pt" strokecolor="#000000"/>
            <v:line style="position:absolute" from="9624,306" to="10921,306" stroked="true" strokeweight=".06pt" strokecolor="#000000"/>
            <v:line style="position:absolute" from="9624,307" to="10921,307" stroked="true" strokeweight=".06pt" strokecolor="#000000"/>
            <v:line style="position:absolute" from="9624,309" to="10921,309" stroked="true" strokeweight=".06pt" strokecolor="#000000"/>
            <v:line style="position:absolute" from="9624,310" to="10921,310" stroked="true" strokeweight=".06pt" strokecolor="#000000"/>
            <w10:wrap type="none"/>
          </v:group>
        </w:pict>
      </w:r>
      <w:r>
        <w:rPr>
          <w:sz w:val="18"/>
        </w:rPr>
        <w:t>Prepayments</w:t>
        <w:tab/>
      </w:r>
      <w:r>
        <w:rPr>
          <w:b/>
          <w:sz w:val="18"/>
        </w:rPr>
        <w:t>11,372</w:t>
        <w:tab/>
      </w:r>
      <w:r>
        <w:rPr>
          <w:sz w:val="18"/>
        </w:rPr>
        <w:t>7,454</w:t>
        <w:tab/>
      </w:r>
      <w:r>
        <w:rPr>
          <w:b/>
          <w:sz w:val="18"/>
        </w:rPr>
        <w:t>10,855</w:t>
        <w:tab/>
      </w:r>
      <w:r>
        <w:rPr>
          <w:sz w:val="18"/>
        </w:rPr>
        <w:t>6,414</w:t>
      </w:r>
    </w:p>
    <w:p>
      <w:pPr>
        <w:tabs>
          <w:tab w:pos="5324" w:val="left" w:leader="none"/>
          <w:tab w:pos="6621" w:val="left" w:leader="none"/>
          <w:tab w:pos="8087" w:val="left" w:leader="none"/>
          <w:tab w:pos="9385" w:val="left" w:leader="none"/>
        </w:tabs>
        <w:spacing w:before="160"/>
        <w:ind w:left="549" w:right="128" w:firstLine="0"/>
        <w:jc w:val="left"/>
        <w:rPr>
          <w:sz w:val="18"/>
        </w:rPr>
      </w:pPr>
      <w:r>
        <w:rPr>
          <w:b/>
          <w:sz w:val="18"/>
        </w:rPr>
        <w:t>Total current receivables</w:t>
        <w:tab/>
        <w:t>26,254</w:t>
        <w:tab/>
      </w:r>
      <w:r>
        <w:rPr>
          <w:sz w:val="18"/>
        </w:rPr>
        <w:t>21,725</w:t>
        <w:tab/>
      </w:r>
      <w:r>
        <w:rPr>
          <w:b/>
          <w:sz w:val="18"/>
        </w:rPr>
        <w:t>26,896</w:t>
        <w:tab/>
      </w:r>
      <w:r>
        <w:rPr>
          <w:sz w:val="18"/>
        </w:rPr>
        <w:t>20,941</w:t>
      </w:r>
    </w:p>
    <w:p>
      <w:pPr>
        <w:pStyle w:val="BodyText"/>
        <w:spacing w:line="20" w:lineRule="exact"/>
        <w:ind w:left="4493"/>
        <w:rPr>
          <w:sz w:val="2"/>
        </w:rPr>
      </w:pPr>
      <w:r>
        <w:rPr>
          <w:sz w:val="2"/>
        </w:rPr>
        <w:pict>
          <v:group style="width:276.5pt;height:1pt;mso-position-horizontal-relative:char;mso-position-vertical-relative:line" coordorigin="0,0" coordsize="5530,2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17" to="170,17" stroked="true" strokeweight=".06pt" strokecolor="#000000"/>
            <v:line style="position:absolute" from="1,18" to="170,18" stroked="true" strokeweight=".06pt" strokecolor="#000000"/>
            <v:line style="position:absolute" from="1,19" to="170,19" stroked="true" strokeweight=".06pt" strokecolor="#000000"/>
            <v:line style="position:absolute" from="170,1" to="1467,1" stroked="true" strokeweight=".06pt" strokecolor="#000000"/>
            <v:line style="position:absolute" from="170,2" to="1467,2" stroked="true" strokeweight=".06pt" strokecolor="#000000"/>
            <v:line style="position:absolute" from="170,3" to="1467,3" stroked="true" strokeweight=".06pt" strokecolor="#000000"/>
            <v:line style="position:absolute" from="170,5" to="1467,5" stroked="true" strokeweight=".06pt" strokecolor="#000000"/>
            <v:line style="position:absolute" from="170,6" to="1467,6" stroked="true" strokeweight=".06pt" strokecolor="#000000"/>
            <v:line style="position:absolute" from="170,7" to="1467,7" stroked="true" strokeweight=".06pt" strokecolor="#000000"/>
            <v:line style="position:absolute" from="170,8" to="1467,8" stroked="true" strokeweight=".06pt" strokecolor="#000000"/>
            <v:line style="position:absolute" from="170,9" to="1467,9" stroked="true" strokeweight=".06pt" strokecolor="#000000"/>
            <v:line style="position:absolute" from="170,11" to="1467,11" stroked="true" strokeweight=".06pt" strokecolor="#000000"/>
            <v:line style="position:absolute" from="170,12" to="1467,12" stroked="true" strokeweight=".06pt" strokecolor="#000000"/>
            <v:line style="position:absolute" from="170,13" to="1467,13" stroked="true" strokeweight=".06pt" strokecolor="#000000"/>
            <v:line style="position:absolute" from="170,14" to="1467,14" stroked="true" strokeweight=".06pt" strokecolor="#000000"/>
            <v:line style="position:absolute" from="170,15" to="1467,15" stroked="true" strokeweight=".06pt" strokecolor="#000000"/>
            <v:line style="position:absolute" from="170,17" to="1467,17" stroked="true" strokeweight=".06pt" strokecolor="#000000"/>
            <v:line style="position:absolute" from="170,18" to="1467,18" stroked="true" strokeweight=".06pt" strokecolor="#000000"/>
            <v:line style="position:absolute" from="170,19" to="1467,19" stroked="true" strokeweight=".06pt" strokecolor="#000000"/>
            <v:line style="position:absolute" from="1467,1" to="2765,1" stroked="true" strokeweight=".06pt" strokecolor="#000000"/>
            <v:line style="position:absolute" from="1467,2" to="2765,2" stroked="true" strokeweight=".06pt" strokecolor="#000000"/>
            <v:line style="position:absolute" from="1467,3" to="2765,3" stroked="true" strokeweight=".06pt" strokecolor="#000000"/>
            <v:line style="position:absolute" from="1467,5" to="2765,5" stroked="true" strokeweight=".06pt" strokecolor="#000000"/>
            <v:line style="position:absolute" from="1467,6" to="2765,6" stroked="true" strokeweight=".06pt" strokecolor="#000000"/>
            <v:line style="position:absolute" from="1467,7" to="2765,7" stroked="true" strokeweight=".06pt" strokecolor="#000000"/>
            <v:line style="position:absolute" from="1467,8" to="2765,8" stroked="true" strokeweight=".06pt" strokecolor="#000000"/>
            <v:line style="position:absolute" from="1467,9" to="2765,9" stroked="true" strokeweight=".06pt" strokecolor="#000000"/>
            <v:line style="position:absolute" from="1467,11" to="2765,11" stroked="true" strokeweight=".06pt" strokecolor="#000000"/>
            <v:line style="position:absolute" from="1467,12" to="2765,12" stroked="true" strokeweight=".06pt" strokecolor="#000000"/>
            <v:line style="position:absolute" from="1467,13" to="2765,13" stroked="true" strokeweight=".06pt" strokecolor="#000000"/>
            <v:line style="position:absolute" from="1467,14" to="2765,14" stroked="true" strokeweight=".06pt" strokecolor="#000000"/>
            <v:line style="position:absolute" from="1467,15" to="2765,15" stroked="true" strokeweight=".06pt" strokecolor="#000000"/>
            <v:line style="position:absolute" from="1467,17" to="2765,17" stroked="true" strokeweight=".06pt" strokecolor="#000000"/>
            <v:line style="position:absolute" from="1467,18" to="2765,18" stroked="true" strokeweight=".06pt" strokecolor="#000000"/>
            <v:line style="position:absolute" from="1467,19" to="2765,19" stroked="true" strokeweight=".06pt" strokecolor="#000000"/>
            <v:line style="position:absolute" from="2765,1" to="2934,1" stroked="true" strokeweight=".06pt" strokecolor="#000000"/>
            <v:line style="position:absolute" from="2765,2" to="2934,2" stroked="true" strokeweight=".06pt" strokecolor="#000000"/>
            <v:line style="position:absolute" from="2765,3" to="2934,3" stroked="true" strokeweight=".06pt" strokecolor="#000000"/>
            <v:line style="position:absolute" from="2765,5" to="2934,5" stroked="true" strokeweight=".06pt" strokecolor="#000000"/>
            <v:line style="position:absolute" from="2765,6" to="2934,6" stroked="true" strokeweight=".06pt" strokecolor="#000000"/>
            <v:line style="position:absolute" from="2765,7" to="2934,7" stroked="true" strokeweight=".06pt" strokecolor="#000000"/>
            <v:line style="position:absolute" from="2765,8" to="2934,8" stroked="true" strokeweight=".06pt" strokecolor="#000000"/>
            <v:line style="position:absolute" from="2765,9" to="2934,9" stroked="true" strokeweight=".06pt" strokecolor="#000000"/>
            <v:line style="position:absolute" from="2765,11" to="2934,11" stroked="true" strokeweight=".06pt" strokecolor="#000000"/>
            <v:line style="position:absolute" from="2765,12" to="2934,12" stroked="true" strokeweight=".06pt" strokecolor="#000000"/>
            <v:line style="position:absolute" from="2765,13" to="2934,13" stroked="true" strokeweight=".06pt" strokecolor="#000000"/>
            <v:line style="position:absolute" from="2765,14" to="2934,14" stroked="true" strokeweight=".06pt" strokecolor="#000000"/>
            <v:line style="position:absolute" from="2765,15" to="2934,15" stroked="true" strokeweight=".06pt" strokecolor="#000000"/>
            <v:line style="position:absolute" from="2765,17" to="2934,17" stroked="true" strokeweight=".06pt" strokecolor="#000000"/>
            <v:line style="position:absolute" from="2765,18" to="2934,18" stroked="true" strokeweight=".06pt" strokecolor="#000000"/>
            <v:line style="position:absolute" from="2765,19" to="2934,19" stroked="true" strokeweight=".06pt" strokecolor="#000000"/>
            <v:line style="position:absolute" from="2934,1" to="4231,1" stroked="true" strokeweight=".06pt" strokecolor="#000000"/>
            <v:line style="position:absolute" from="2934,2" to="4231,2" stroked="true" strokeweight=".06pt" strokecolor="#000000"/>
            <v:line style="position:absolute" from="2934,3" to="4231,3" stroked="true" strokeweight=".06pt" strokecolor="#000000"/>
            <v:line style="position:absolute" from="2934,5" to="4231,5" stroked="true" strokeweight=".06pt" strokecolor="#000000"/>
            <v:line style="position:absolute" from="2934,6" to="4231,6" stroked="true" strokeweight=".06pt" strokecolor="#000000"/>
            <v:line style="position:absolute" from="2934,7" to="4231,7" stroked="true" strokeweight=".06pt" strokecolor="#000000"/>
            <v:line style="position:absolute" from="2934,8" to="4231,8" stroked="true" strokeweight=".06pt" strokecolor="#000000"/>
            <v:line style="position:absolute" from="2934,9" to="4231,9" stroked="true" strokeweight=".06pt" strokecolor="#000000"/>
            <v:line style="position:absolute" from="2934,11" to="4231,11" stroked="true" strokeweight=".06pt" strokecolor="#000000"/>
            <v:line style="position:absolute" from="2934,12" to="4231,12" stroked="true" strokeweight=".06pt" strokecolor="#000000"/>
            <v:line style="position:absolute" from="2934,13" to="4231,13" stroked="true" strokeweight=".06pt" strokecolor="#000000"/>
            <v:line style="position:absolute" from="2934,14" to="4231,14" stroked="true" strokeweight=".06pt" strokecolor="#000000"/>
            <v:line style="position:absolute" from="2934,15" to="4231,15" stroked="true" strokeweight=".06pt" strokecolor="#000000"/>
            <v:line style="position:absolute" from="2934,17" to="4231,17" stroked="true" strokeweight=".06pt" strokecolor="#000000"/>
            <v:line style="position:absolute" from="2934,18" to="4231,18" stroked="true" strokeweight=".06pt" strokecolor="#000000"/>
            <v:line style="position:absolute" from="2934,19" to="4231,19" stroked="true" strokeweight=".06pt" strokecolor="#000000"/>
            <v:line style="position:absolute" from="4231,1" to="5528,1" stroked="true" strokeweight=".06pt" strokecolor="#000000"/>
            <v:line style="position:absolute" from="4231,2" to="5528,2" stroked="true" strokeweight=".06pt" strokecolor="#000000"/>
            <v:line style="position:absolute" from="4231,3" to="5528,3" stroked="true" strokeweight=".06pt" strokecolor="#000000"/>
            <v:line style="position:absolute" from="4231,5" to="5528,5" stroked="true" strokeweight=".06pt" strokecolor="#000000"/>
            <v:line style="position:absolute" from="4231,6" to="5528,6" stroked="true" strokeweight=".06pt" strokecolor="#000000"/>
            <v:line style="position:absolute" from="4231,7" to="5528,7" stroked="true" strokeweight=".06pt" strokecolor="#000000"/>
            <v:line style="position:absolute" from="4231,8" to="5528,8" stroked="true" strokeweight=".06pt" strokecolor="#000000"/>
            <v:line style="position:absolute" from="4231,9" to="5528,9" stroked="true" strokeweight=".06pt" strokecolor="#000000"/>
            <v:line style="position:absolute" from="4231,11" to="5528,11" stroked="true" strokeweight=".06pt" strokecolor="#000000"/>
            <v:line style="position:absolute" from="4231,12" to="5528,12" stroked="true" strokeweight=".06pt" strokecolor="#000000"/>
            <v:line style="position:absolute" from="4231,13" to="5528,13" stroked="true" strokeweight=".06pt" strokecolor="#000000"/>
            <v:line style="position:absolute" from="4231,14" to="5528,14" stroked="true" strokeweight=".06pt" strokecolor="#000000"/>
            <v:line style="position:absolute" from="4231,15" to="5528,15" stroked="true" strokeweight=".06pt" strokecolor="#000000"/>
            <v:line style="position:absolute" from="4231,17" to="5528,17" stroked="true" strokeweight=".06pt" strokecolor="#000000"/>
            <v:line style="position:absolute" from="4231,18" to="5528,18" stroked="true" strokeweight=".06pt" strokecolor="#000000"/>
            <v:line style="position:absolute" from="4231,19" to="5528,19" stroked="true" strokeweight=".06pt" strokecolor="#000000"/>
          </v:group>
        </w:pict>
      </w:r>
      <w:r>
        <w:rPr>
          <w:sz w:val="2"/>
        </w:rPr>
      </w:r>
    </w:p>
    <w:p>
      <w:pPr>
        <w:pStyle w:val="BodyText"/>
        <w:rPr>
          <w:sz w:val="20"/>
        </w:rPr>
      </w:pPr>
    </w:p>
    <w:p>
      <w:pPr>
        <w:pStyle w:val="BodyText"/>
        <w:spacing w:before="11"/>
        <w:rPr>
          <w:sz w:val="25"/>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12"/>
        <w:gridCol w:w="812"/>
        <w:gridCol w:w="1705"/>
        <w:gridCol w:w="1381"/>
        <w:gridCol w:w="1382"/>
        <w:gridCol w:w="1059"/>
      </w:tblGrid>
      <w:tr>
        <w:trPr>
          <w:trHeight w:val="527" w:hRule="exact"/>
        </w:trPr>
        <w:tc>
          <w:tcPr>
            <w:tcW w:w="3212" w:type="dxa"/>
          </w:tcPr>
          <w:p>
            <w:pPr>
              <w:pStyle w:val="TableParagraph"/>
              <w:spacing w:before="77"/>
              <w:ind w:left="35"/>
              <w:rPr>
                <w:b/>
                <w:sz w:val="18"/>
              </w:rPr>
            </w:pPr>
            <w:r>
              <w:rPr>
                <w:b/>
                <w:sz w:val="18"/>
              </w:rPr>
              <w:t>Non-current</w:t>
            </w:r>
          </w:p>
          <w:p>
            <w:pPr>
              <w:pStyle w:val="TableParagraph"/>
              <w:spacing w:before="27"/>
              <w:ind w:left="35"/>
              <w:rPr>
                <w:sz w:val="18"/>
              </w:rPr>
            </w:pPr>
            <w:r>
              <w:rPr>
                <w:sz w:val="18"/>
              </w:rPr>
              <w:t>Deferred government contribution for</w:t>
            </w:r>
          </w:p>
        </w:tc>
        <w:tc>
          <w:tcPr>
            <w:tcW w:w="6340" w:type="dxa"/>
            <w:gridSpan w:val="5"/>
          </w:tcPr>
          <w:p>
            <w:pPr/>
          </w:p>
        </w:tc>
      </w:tr>
      <w:tr>
        <w:trPr>
          <w:trHeight w:val="235" w:hRule="exact"/>
        </w:trPr>
        <w:tc>
          <w:tcPr>
            <w:tcW w:w="3212" w:type="dxa"/>
          </w:tcPr>
          <w:p>
            <w:pPr>
              <w:pStyle w:val="TableParagraph"/>
              <w:spacing w:line="198" w:lineRule="exact"/>
              <w:ind w:left="35"/>
              <w:rPr>
                <w:sz w:val="18"/>
              </w:rPr>
            </w:pPr>
            <w:r>
              <w:rPr>
                <w:sz w:val="18"/>
              </w:rPr>
              <w:t>superannuation</w:t>
            </w:r>
          </w:p>
        </w:tc>
        <w:tc>
          <w:tcPr>
            <w:tcW w:w="812" w:type="dxa"/>
          </w:tcPr>
          <w:p>
            <w:pPr>
              <w:pStyle w:val="TableParagraph"/>
              <w:spacing w:line="198" w:lineRule="exact"/>
              <w:ind w:left="234"/>
              <w:rPr>
                <w:sz w:val="18"/>
              </w:rPr>
            </w:pPr>
            <w:r>
              <w:rPr>
                <w:sz w:val="18"/>
              </w:rPr>
              <w:t>36</w:t>
            </w:r>
          </w:p>
        </w:tc>
        <w:tc>
          <w:tcPr>
            <w:tcW w:w="1705" w:type="dxa"/>
          </w:tcPr>
          <w:p>
            <w:pPr>
              <w:pStyle w:val="TableParagraph"/>
              <w:spacing w:line="197" w:lineRule="exact"/>
              <w:ind w:right="322"/>
              <w:jc w:val="right"/>
              <w:rPr>
                <w:b/>
                <w:sz w:val="18"/>
              </w:rPr>
            </w:pPr>
            <w:r>
              <w:rPr>
                <w:b/>
                <w:w w:val="95"/>
                <w:sz w:val="18"/>
              </w:rPr>
              <w:t>256,129</w:t>
            </w:r>
          </w:p>
        </w:tc>
        <w:tc>
          <w:tcPr>
            <w:tcW w:w="1381" w:type="dxa"/>
          </w:tcPr>
          <w:p>
            <w:pPr>
              <w:pStyle w:val="TableParagraph"/>
              <w:spacing w:line="197" w:lineRule="exact"/>
              <w:ind w:right="405"/>
              <w:jc w:val="right"/>
              <w:rPr>
                <w:sz w:val="18"/>
              </w:rPr>
            </w:pPr>
            <w:r>
              <w:rPr>
                <w:w w:val="95"/>
                <w:sz w:val="18"/>
              </w:rPr>
              <w:t>231,519</w:t>
            </w:r>
          </w:p>
        </w:tc>
        <w:tc>
          <w:tcPr>
            <w:tcW w:w="1382" w:type="dxa"/>
          </w:tcPr>
          <w:p>
            <w:pPr>
              <w:pStyle w:val="TableParagraph"/>
              <w:spacing w:line="197" w:lineRule="exact"/>
              <w:ind w:right="322"/>
              <w:jc w:val="right"/>
              <w:rPr>
                <w:b/>
                <w:sz w:val="18"/>
              </w:rPr>
            </w:pPr>
            <w:r>
              <w:rPr>
                <w:b/>
                <w:w w:val="95"/>
                <w:sz w:val="18"/>
              </w:rPr>
              <w:t>256,129</w:t>
            </w:r>
          </w:p>
        </w:tc>
        <w:tc>
          <w:tcPr>
            <w:tcW w:w="1059" w:type="dxa"/>
          </w:tcPr>
          <w:p>
            <w:pPr>
              <w:pStyle w:val="TableParagraph"/>
              <w:spacing w:line="197" w:lineRule="exact"/>
              <w:ind w:right="83"/>
              <w:jc w:val="right"/>
              <w:rPr>
                <w:sz w:val="18"/>
              </w:rPr>
            </w:pPr>
            <w:r>
              <w:rPr>
                <w:w w:val="95"/>
                <w:sz w:val="18"/>
              </w:rPr>
              <w:t>231,519</w:t>
            </w:r>
          </w:p>
        </w:tc>
      </w:tr>
      <w:tr>
        <w:trPr>
          <w:trHeight w:val="263" w:hRule="exact"/>
        </w:trPr>
        <w:tc>
          <w:tcPr>
            <w:tcW w:w="3212" w:type="dxa"/>
          </w:tcPr>
          <w:p>
            <w:pPr>
              <w:pStyle w:val="TableParagraph"/>
              <w:spacing w:before="17"/>
              <w:ind w:left="35"/>
              <w:rPr>
                <w:sz w:val="18"/>
              </w:rPr>
            </w:pPr>
            <w:r>
              <w:rPr>
                <w:sz w:val="18"/>
              </w:rPr>
              <w:t>Other debtors</w:t>
            </w:r>
          </w:p>
        </w:tc>
        <w:tc>
          <w:tcPr>
            <w:tcW w:w="812" w:type="dxa"/>
          </w:tcPr>
          <w:p>
            <w:pPr/>
          </w:p>
        </w:tc>
        <w:tc>
          <w:tcPr>
            <w:tcW w:w="1705" w:type="dxa"/>
          </w:tcPr>
          <w:p>
            <w:pPr>
              <w:pStyle w:val="TableParagraph"/>
              <w:spacing w:before="19"/>
              <w:ind w:right="325"/>
              <w:jc w:val="right"/>
              <w:rPr>
                <w:b/>
                <w:sz w:val="18"/>
              </w:rPr>
            </w:pPr>
            <w:r>
              <w:rPr>
                <w:b/>
                <w:w w:val="99"/>
                <w:sz w:val="18"/>
              </w:rPr>
              <w:t>-</w:t>
            </w:r>
          </w:p>
        </w:tc>
        <w:tc>
          <w:tcPr>
            <w:tcW w:w="1381" w:type="dxa"/>
          </w:tcPr>
          <w:p>
            <w:pPr>
              <w:pStyle w:val="TableParagraph"/>
              <w:spacing w:before="19"/>
              <w:ind w:right="406"/>
              <w:jc w:val="right"/>
              <w:rPr>
                <w:sz w:val="18"/>
              </w:rPr>
            </w:pPr>
            <w:r>
              <w:rPr>
                <w:w w:val="95"/>
                <w:sz w:val="18"/>
              </w:rPr>
              <w:t>234</w:t>
            </w:r>
          </w:p>
        </w:tc>
        <w:tc>
          <w:tcPr>
            <w:tcW w:w="1382" w:type="dxa"/>
          </w:tcPr>
          <w:p>
            <w:pPr>
              <w:pStyle w:val="TableParagraph"/>
              <w:spacing w:before="19"/>
              <w:ind w:right="324"/>
              <w:jc w:val="right"/>
              <w:rPr>
                <w:b/>
                <w:sz w:val="18"/>
              </w:rPr>
            </w:pPr>
            <w:r>
              <w:rPr>
                <w:b/>
                <w:sz w:val="18"/>
              </w:rPr>
              <w:t>78</w:t>
            </w:r>
          </w:p>
        </w:tc>
        <w:tc>
          <w:tcPr>
            <w:tcW w:w="1059" w:type="dxa"/>
          </w:tcPr>
          <w:p>
            <w:pPr>
              <w:pStyle w:val="TableParagraph"/>
              <w:spacing w:before="19"/>
              <w:ind w:right="84"/>
              <w:jc w:val="right"/>
              <w:rPr>
                <w:sz w:val="18"/>
              </w:rPr>
            </w:pPr>
            <w:r>
              <w:rPr>
                <w:w w:val="95"/>
                <w:sz w:val="18"/>
              </w:rPr>
              <w:t>234</w:t>
            </w:r>
          </w:p>
        </w:tc>
      </w:tr>
      <w:tr>
        <w:trPr>
          <w:trHeight w:val="263" w:hRule="exact"/>
        </w:trPr>
        <w:tc>
          <w:tcPr>
            <w:tcW w:w="3212" w:type="dxa"/>
          </w:tcPr>
          <w:p>
            <w:pPr>
              <w:pStyle w:val="TableParagraph"/>
              <w:spacing w:before="18"/>
              <w:ind w:left="35"/>
              <w:rPr>
                <w:sz w:val="18"/>
              </w:rPr>
            </w:pPr>
            <w:r>
              <w:rPr>
                <w:sz w:val="18"/>
              </w:rPr>
              <w:t>Prepayments</w:t>
            </w:r>
          </w:p>
        </w:tc>
        <w:tc>
          <w:tcPr>
            <w:tcW w:w="812" w:type="dxa"/>
          </w:tcPr>
          <w:p>
            <w:pPr/>
          </w:p>
        </w:tc>
        <w:tc>
          <w:tcPr>
            <w:tcW w:w="1705" w:type="dxa"/>
            <w:tcBorders>
              <w:bottom w:val="single" w:sz="0" w:space="0" w:color="000000"/>
            </w:tcBorders>
          </w:tcPr>
          <w:p>
            <w:pPr>
              <w:pStyle w:val="TableParagraph"/>
              <w:spacing w:before="19"/>
              <w:ind w:right="324"/>
              <w:jc w:val="right"/>
              <w:rPr>
                <w:b/>
                <w:sz w:val="18"/>
              </w:rPr>
            </w:pPr>
            <w:r>
              <w:rPr>
                <w:b/>
                <w:sz w:val="18"/>
              </w:rPr>
              <w:t>58</w:t>
            </w:r>
          </w:p>
        </w:tc>
        <w:tc>
          <w:tcPr>
            <w:tcW w:w="1381" w:type="dxa"/>
            <w:tcBorders>
              <w:bottom w:val="single" w:sz="0" w:space="0" w:color="000000"/>
            </w:tcBorders>
          </w:tcPr>
          <w:p>
            <w:pPr>
              <w:pStyle w:val="TableParagraph"/>
              <w:spacing w:before="19"/>
              <w:ind w:right="407"/>
              <w:jc w:val="right"/>
              <w:rPr>
                <w:sz w:val="18"/>
              </w:rPr>
            </w:pPr>
            <w:r>
              <w:rPr>
                <w:sz w:val="18"/>
              </w:rPr>
              <w:t>57</w:t>
            </w:r>
          </w:p>
        </w:tc>
        <w:tc>
          <w:tcPr>
            <w:tcW w:w="1382" w:type="dxa"/>
            <w:tcBorders>
              <w:bottom w:val="single" w:sz="0" w:space="0" w:color="000000"/>
            </w:tcBorders>
          </w:tcPr>
          <w:p>
            <w:pPr>
              <w:pStyle w:val="TableParagraph"/>
              <w:spacing w:before="19"/>
              <w:ind w:right="324"/>
              <w:jc w:val="right"/>
              <w:rPr>
                <w:b/>
                <w:sz w:val="18"/>
              </w:rPr>
            </w:pPr>
            <w:r>
              <w:rPr>
                <w:b/>
                <w:sz w:val="18"/>
              </w:rPr>
              <w:t>58</w:t>
            </w:r>
          </w:p>
        </w:tc>
        <w:tc>
          <w:tcPr>
            <w:tcW w:w="1059" w:type="dxa"/>
            <w:tcBorders>
              <w:bottom w:val="single" w:sz="0" w:space="0" w:color="000000"/>
            </w:tcBorders>
          </w:tcPr>
          <w:p>
            <w:pPr>
              <w:pStyle w:val="TableParagraph"/>
              <w:spacing w:before="19"/>
              <w:ind w:right="84"/>
              <w:jc w:val="right"/>
              <w:rPr>
                <w:sz w:val="18"/>
              </w:rPr>
            </w:pPr>
            <w:r>
              <w:rPr>
                <w:sz w:val="18"/>
              </w:rPr>
              <w:t>57</w:t>
            </w:r>
          </w:p>
        </w:tc>
      </w:tr>
      <w:tr>
        <w:trPr>
          <w:trHeight w:val="338" w:hRule="exact"/>
        </w:trPr>
        <w:tc>
          <w:tcPr>
            <w:tcW w:w="3212" w:type="dxa"/>
          </w:tcPr>
          <w:p>
            <w:pPr>
              <w:pStyle w:val="TableParagraph"/>
              <w:spacing w:before="123"/>
              <w:ind w:left="35"/>
              <w:rPr>
                <w:b/>
                <w:sz w:val="18"/>
              </w:rPr>
            </w:pPr>
            <w:r>
              <w:rPr>
                <w:b/>
                <w:sz w:val="18"/>
              </w:rPr>
              <w:t>Total non-current receivables</w:t>
            </w:r>
          </w:p>
        </w:tc>
        <w:tc>
          <w:tcPr>
            <w:tcW w:w="812" w:type="dxa"/>
          </w:tcPr>
          <w:p>
            <w:pPr/>
          </w:p>
        </w:tc>
        <w:tc>
          <w:tcPr>
            <w:tcW w:w="1705" w:type="dxa"/>
            <w:tcBorders>
              <w:top w:val="single" w:sz="0" w:space="0" w:color="000000"/>
              <w:bottom w:val="single" w:sz="0" w:space="0" w:color="000000"/>
            </w:tcBorders>
          </w:tcPr>
          <w:p>
            <w:pPr>
              <w:pStyle w:val="TableParagraph"/>
              <w:spacing w:before="122"/>
              <w:ind w:right="322"/>
              <w:jc w:val="right"/>
              <w:rPr>
                <w:b/>
                <w:sz w:val="18"/>
              </w:rPr>
            </w:pPr>
            <w:r>
              <w:rPr>
                <w:b/>
                <w:w w:val="95"/>
                <w:sz w:val="18"/>
              </w:rPr>
              <w:t>256,187</w:t>
            </w:r>
          </w:p>
        </w:tc>
        <w:tc>
          <w:tcPr>
            <w:tcW w:w="1381" w:type="dxa"/>
            <w:tcBorders>
              <w:top w:val="single" w:sz="0" w:space="0" w:color="000000"/>
              <w:bottom w:val="single" w:sz="0" w:space="0" w:color="000000"/>
            </w:tcBorders>
          </w:tcPr>
          <w:p>
            <w:pPr>
              <w:pStyle w:val="TableParagraph"/>
              <w:spacing w:before="122"/>
              <w:ind w:right="405"/>
              <w:jc w:val="right"/>
              <w:rPr>
                <w:sz w:val="18"/>
              </w:rPr>
            </w:pPr>
            <w:r>
              <w:rPr>
                <w:w w:val="95"/>
                <w:sz w:val="18"/>
              </w:rPr>
              <w:t>231,810</w:t>
            </w:r>
          </w:p>
        </w:tc>
        <w:tc>
          <w:tcPr>
            <w:tcW w:w="1382" w:type="dxa"/>
            <w:tcBorders>
              <w:top w:val="single" w:sz="0" w:space="0" w:color="000000"/>
              <w:bottom w:val="single" w:sz="0" w:space="0" w:color="000000"/>
            </w:tcBorders>
          </w:tcPr>
          <w:p>
            <w:pPr>
              <w:pStyle w:val="TableParagraph"/>
              <w:spacing w:before="122"/>
              <w:ind w:right="322"/>
              <w:jc w:val="right"/>
              <w:rPr>
                <w:b/>
                <w:sz w:val="18"/>
              </w:rPr>
            </w:pPr>
            <w:r>
              <w:rPr>
                <w:b/>
                <w:w w:val="95"/>
                <w:sz w:val="18"/>
              </w:rPr>
              <w:t>256,265</w:t>
            </w:r>
          </w:p>
        </w:tc>
        <w:tc>
          <w:tcPr>
            <w:tcW w:w="1059" w:type="dxa"/>
            <w:tcBorders>
              <w:top w:val="single" w:sz="0" w:space="0" w:color="000000"/>
              <w:bottom w:val="single" w:sz="0" w:space="0" w:color="000000"/>
            </w:tcBorders>
          </w:tcPr>
          <w:p>
            <w:pPr>
              <w:pStyle w:val="TableParagraph"/>
              <w:spacing w:before="122"/>
              <w:ind w:right="83"/>
              <w:jc w:val="right"/>
              <w:rPr>
                <w:sz w:val="18"/>
              </w:rPr>
            </w:pPr>
            <w:r>
              <w:rPr>
                <w:w w:val="95"/>
                <w:sz w:val="18"/>
              </w:rPr>
              <w:t>231,810</w:t>
            </w:r>
          </w:p>
        </w:tc>
      </w:tr>
      <w:tr>
        <w:trPr>
          <w:trHeight w:val="459" w:hRule="exact"/>
        </w:trPr>
        <w:tc>
          <w:tcPr>
            <w:tcW w:w="3212" w:type="dxa"/>
          </w:tcPr>
          <w:p>
            <w:pPr>
              <w:pStyle w:val="TableParagraph"/>
              <w:spacing w:before="5"/>
              <w:rPr>
                <w:sz w:val="17"/>
              </w:rPr>
            </w:pPr>
          </w:p>
          <w:p>
            <w:pPr>
              <w:pStyle w:val="TableParagraph"/>
              <w:spacing w:before="1"/>
              <w:ind w:left="63"/>
              <w:rPr>
                <w:b/>
                <w:sz w:val="18"/>
              </w:rPr>
            </w:pPr>
            <w:r>
              <w:rPr>
                <w:b/>
                <w:sz w:val="18"/>
              </w:rPr>
              <w:t>Total receivables</w:t>
            </w:r>
          </w:p>
        </w:tc>
        <w:tc>
          <w:tcPr>
            <w:tcW w:w="812" w:type="dxa"/>
          </w:tcPr>
          <w:p>
            <w:pPr/>
          </w:p>
        </w:tc>
        <w:tc>
          <w:tcPr>
            <w:tcW w:w="1705" w:type="dxa"/>
            <w:tcBorders>
              <w:top w:val="single" w:sz="0" w:space="0" w:color="000000"/>
              <w:bottom w:val="single" w:sz="0" w:space="0" w:color="000000"/>
            </w:tcBorders>
          </w:tcPr>
          <w:p>
            <w:pPr>
              <w:pStyle w:val="TableParagraph"/>
              <w:spacing w:before="4"/>
              <w:rPr>
                <w:sz w:val="17"/>
              </w:rPr>
            </w:pPr>
          </w:p>
          <w:p>
            <w:pPr>
              <w:pStyle w:val="TableParagraph"/>
              <w:ind w:right="321"/>
              <w:jc w:val="right"/>
              <w:rPr>
                <w:b/>
                <w:sz w:val="18"/>
              </w:rPr>
            </w:pPr>
            <w:r>
              <w:rPr>
                <w:b/>
                <w:w w:val="95"/>
                <w:sz w:val="18"/>
              </w:rPr>
              <w:t>282,441</w:t>
            </w:r>
          </w:p>
        </w:tc>
        <w:tc>
          <w:tcPr>
            <w:tcW w:w="1381" w:type="dxa"/>
            <w:tcBorders>
              <w:top w:val="single" w:sz="0" w:space="0" w:color="000000"/>
              <w:bottom w:val="single" w:sz="0" w:space="0" w:color="000000"/>
            </w:tcBorders>
          </w:tcPr>
          <w:p>
            <w:pPr>
              <w:pStyle w:val="TableParagraph"/>
              <w:spacing w:before="4"/>
              <w:rPr>
                <w:sz w:val="17"/>
              </w:rPr>
            </w:pPr>
          </w:p>
          <w:p>
            <w:pPr>
              <w:pStyle w:val="TableParagraph"/>
              <w:ind w:right="405"/>
              <w:jc w:val="right"/>
              <w:rPr>
                <w:sz w:val="18"/>
              </w:rPr>
            </w:pPr>
            <w:r>
              <w:rPr>
                <w:w w:val="95"/>
                <w:sz w:val="18"/>
              </w:rPr>
              <w:t>253,535</w:t>
            </w:r>
          </w:p>
        </w:tc>
        <w:tc>
          <w:tcPr>
            <w:tcW w:w="1382" w:type="dxa"/>
            <w:tcBorders>
              <w:top w:val="single" w:sz="0" w:space="0" w:color="000000"/>
              <w:bottom w:val="single" w:sz="0" w:space="0" w:color="000000"/>
            </w:tcBorders>
          </w:tcPr>
          <w:p>
            <w:pPr>
              <w:pStyle w:val="TableParagraph"/>
              <w:spacing w:before="4"/>
              <w:rPr>
                <w:sz w:val="17"/>
              </w:rPr>
            </w:pPr>
          </w:p>
          <w:p>
            <w:pPr>
              <w:pStyle w:val="TableParagraph"/>
              <w:ind w:right="321"/>
              <w:jc w:val="right"/>
              <w:rPr>
                <w:b/>
                <w:sz w:val="18"/>
              </w:rPr>
            </w:pPr>
            <w:r>
              <w:rPr>
                <w:b/>
                <w:w w:val="95"/>
                <w:sz w:val="18"/>
              </w:rPr>
              <w:t>283,161</w:t>
            </w:r>
          </w:p>
        </w:tc>
        <w:tc>
          <w:tcPr>
            <w:tcW w:w="1059" w:type="dxa"/>
            <w:tcBorders>
              <w:top w:val="single" w:sz="0" w:space="0" w:color="000000"/>
              <w:bottom w:val="single" w:sz="0" w:space="0" w:color="000000"/>
            </w:tcBorders>
          </w:tcPr>
          <w:p>
            <w:pPr>
              <w:pStyle w:val="TableParagraph"/>
              <w:spacing w:before="4"/>
              <w:rPr>
                <w:sz w:val="17"/>
              </w:rPr>
            </w:pPr>
          </w:p>
          <w:p>
            <w:pPr>
              <w:pStyle w:val="TableParagraph"/>
              <w:ind w:right="83"/>
              <w:jc w:val="right"/>
              <w:rPr>
                <w:sz w:val="18"/>
              </w:rPr>
            </w:pPr>
            <w:r>
              <w:rPr>
                <w:w w:val="95"/>
                <w:sz w:val="18"/>
              </w:rPr>
              <w:t>252,751</w:t>
            </w:r>
          </w:p>
        </w:tc>
      </w:tr>
    </w:tbl>
    <w:p>
      <w:pPr>
        <w:pStyle w:val="BodyText"/>
      </w:pPr>
    </w:p>
    <w:p>
      <w:pPr>
        <w:pStyle w:val="ListParagraph"/>
        <w:numPr>
          <w:ilvl w:val="1"/>
          <w:numId w:val="13"/>
        </w:numPr>
        <w:tabs>
          <w:tab w:pos="1072" w:val="left" w:leader="none"/>
        </w:tabs>
        <w:spacing w:line="240" w:lineRule="auto" w:before="106" w:after="0"/>
        <w:ind w:left="1071" w:right="0" w:hanging="566"/>
        <w:jc w:val="left"/>
        <w:rPr>
          <w:sz w:val="18"/>
        </w:rPr>
      </w:pPr>
      <w:r>
        <w:rPr>
          <w:sz w:val="18"/>
        </w:rPr>
        <w:t>Impaired</w:t>
      </w:r>
      <w:r>
        <w:rPr>
          <w:spacing w:val="-1"/>
          <w:sz w:val="18"/>
        </w:rPr>
        <w:t> </w:t>
      </w:r>
      <w:r>
        <w:rPr>
          <w:sz w:val="18"/>
        </w:rPr>
        <w:t>receivables</w:t>
      </w:r>
    </w:p>
    <w:p>
      <w:pPr>
        <w:pStyle w:val="BodyText"/>
        <w:rPr>
          <w:sz w:val="25"/>
        </w:rPr>
      </w:pPr>
    </w:p>
    <w:p>
      <w:pPr>
        <w:pStyle w:val="BodyText"/>
        <w:ind w:left="1072" w:right="209"/>
      </w:pPr>
      <w:r>
        <w:rPr/>
        <w:t>As at 31 December 2012 current receivables of the Group with a nominal value of $1.110M (2011: $1.527M) were impaired. The amount of the provision was $1.110M (2011: $1.527M). The individually impaired receivables mainly relate to individual customers with debtor balances aged greater than 180 days.</w:t>
      </w:r>
    </w:p>
    <w:p>
      <w:pPr>
        <w:pStyle w:val="BodyText"/>
        <w:rPr>
          <w:sz w:val="25"/>
        </w:rPr>
      </w:pPr>
    </w:p>
    <w:p>
      <w:pPr>
        <w:pStyle w:val="BodyText"/>
        <w:ind w:left="1072" w:right="128"/>
      </w:pPr>
      <w:r>
        <w:rPr/>
        <w:t>The ageing of these receivables is as follows:</w:t>
      </w:r>
    </w:p>
    <w:p>
      <w:pPr>
        <w:pStyle w:val="BodyText"/>
        <w:spacing w:before="9"/>
        <w:rPr>
          <w:sz w:val="16"/>
        </w:rPr>
      </w:pPr>
    </w:p>
    <w:p>
      <w:pPr>
        <w:pStyle w:val="Heading9"/>
        <w:tabs>
          <w:tab w:pos="7285" w:val="left" w:leader="none"/>
        </w:tabs>
        <w:spacing w:before="1" w:after="36"/>
        <w:ind w:left="4522" w:right="128"/>
      </w:pPr>
      <w:r>
        <w:rPr/>
        <w:t>Consolidated</w:t>
        <w:tab/>
        <w:t>Parent</w:t>
      </w:r>
    </w:p>
    <w:tbl>
      <w:tblPr>
        <w:tblW w:w="0" w:type="auto"/>
        <w:jc w:val="left"/>
        <w:tblInd w:w="106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30"/>
        <w:gridCol w:w="754"/>
        <w:gridCol w:w="698"/>
        <w:gridCol w:w="586"/>
        <w:gridCol w:w="811"/>
        <w:gridCol w:w="669"/>
        <w:gridCol w:w="698"/>
        <w:gridCol w:w="586"/>
        <w:gridCol w:w="725"/>
      </w:tblGrid>
      <w:tr>
        <w:trPr>
          <w:trHeight w:val="819" w:hRule="exact"/>
        </w:trPr>
        <w:tc>
          <w:tcPr>
            <w:tcW w:w="3430" w:type="dxa"/>
          </w:tcPr>
          <w:p>
            <w:pPr>
              <w:pStyle w:val="TableParagraph"/>
              <w:rPr>
                <w:b/>
                <w:sz w:val="18"/>
              </w:rPr>
            </w:pPr>
          </w:p>
          <w:p>
            <w:pPr>
              <w:pStyle w:val="TableParagraph"/>
              <w:rPr>
                <w:b/>
                <w:sz w:val="18"/>
              </w:rPr>
            </w:pPr>
          </w:p>
          <w:p>
            <w:pPr>
              <w:pStyle w:val="TableParagraph"/>
              <w:spacing w:before="160"/>
              <w:ind w:left="35"/>
              <w:rPr>
                <w:sz w:val="18"/>
              </w:rPr>
            </w:pPr>
            <w:r>
              <w:rPr>
                <w:sz w:val="18"/>
              </w:rPr>
              <w:t>0 to 6 months</w:t>
            </w:r>
          </w:p>
        </w:tc>
        <w:tc>
          <w:tcPr>
            <w:tcW w:w="754" w:type="dxa"/>
          </w:tcPr>
          <w:p>
            <w:pPr>
              <w:pStyle w:val="TableParagraph"/>
              <w:spacing w:before="30"/>
              <w:ind w:left="196"/>
              <w:rPr>
                <w:b/>
                <w:sz w:val="18"/>
              </w:rPr>
            </w:pPr>
            <w:r>
              <w:rPr>
                <w:b/>
                <w:sz w:val="18"/>
              </w:rPr>
              <w:t>2012</w:t>
            </w:r>
          </w:p>
          <w:p>
            <w:pPr>
              <w:pStyle w:val="TableParagraph"/>
              <w:spacing w:before="66"/>
              <w:ind w:left="196"/>
              <w:rPr>
                <w:b/>
                <w:sz w:val="18"/>
              </w:rPr>
            </w:pPr>
            <w:r>
              <w:rPr>
                <w:b/>
                <w:sz w:val="18"/>
              </w:rPr>
              <w:t>$'000</w:t>
            </w:r>
          </w:p>
        </w:tc>
        <w:tc>
          <w:tcPr>
            <w:tcW w:w="698" w:type="dxa"/>
          </w:tcPr>
          <w:p>
            <w:pPr>
              <w:pStyle w:val="TableParagraph"/>
              <w:rPr>
                <w:b/>
                <w:sz w:val="18"/>
              </w:rPr>
            </w:pPr>
          </w:p>
          <w:p>
            <w:pPr>
              <w:pStyle w:val="TableParagraph"/>
              <w:rPr>
                <w:b/>
                <w:sz w:val="18"/>
              </w:rPr>
            </w:pPr>
          </w:p>
          <w:p>
            <w:pPr>
              <w:pStyle w:val="TableParagraph"/>
              <w:spacing w:before="159"/>
              <w:ind w:right="11"/>
              <w:jc w:val="right"/>
              <w:rPr>
                <w:b/>
                <w:sz w:val="18"/>
              </w:rPr>
            </w:pPr>
            <w:r>
              <w:rPr>
                <w:b/>
                <w:sz w:val="18"/>
              </w:rPr>
              <w:t>(103)</w:t>
            </w:r>
          </w:p>
        </w:tc>
        <w:tc>
          <w:tcPr>
            <w:tcW w:w="586" w:type="dxa"/>
          </w:tcPr>
          <w:p>
            <w:pPr>
              <w:pStyle w:val="TableParagraph"/>
              <w:spacing w:before="30"/>
              <w:ind w:left="13"/>
              <w:rPr>
                <w:b/>
                <w:sz w:val="18"/>
              </w:rPr>
            </w:pPr>
            <w:r>
              <w:rPr>
                <w:b/>
                <w:sz w:val="18"/>
              </w:rPr>
              <w:t>2011</w:t>
            </w:r>
          </w:p>
          <w:p>
            <w:pPr>
              <w:pStyle w:val="TableParagraph"/>
              <w:spacing w:before="66"/>
              <w:ind w:left="13"/>
              <w:rPr>
                <w:b/>
                <w:sz w:val="18"/>
              </w:rPr>
            </w:pPr>
            <w:r>
              <w:rPr>
                <w:b/>
                <w:sz w:val="18"/>
              </w:rPr>
              <w:t>$'000</w:t>
            </w:r>
          </w:p>
        </w:tc>
        <w:tc>
          <w:tcPr>
            <w:tcW w:w="811" w:type="dxa"/>
          </w:tcPr>
          <w:p>
            <w:pPr>
              <w:pStyle w:val="TableParagraph"/>
              <w:rPr>
                <w:b/>
                <w:sz w:val="18"/>
              </w:rPr>
            </w:pPr>
          </w:p>
          <w:p>
            <w:pPr>
              <w:pStyle w:val="TableParagraph"/>
              <w:rPr>
                <w:b/>
                <w:sz w:val="18"/>
              </w:rPr>
            </w:pPr>
          </w:p>
          <w:p>
            <w:pPr>
              <w:pStyle w:val="TableParagraph"/>
              <w:spacing w:before="159"/>
              <w:ind w:right="110"/>
              <w:jc w:val="right"/>
              <w:rPr>
                <w:sz w:val="18"/>
              </w:rPr>
            </w:pPr>
            <w:r>
              <w:rPr>
                <w:w w:val="95"/>
                <w:sz w:val="18"/>
              </w:rPr>
              <w:t>(32)</w:t>
            </w:r>
          </w:p>
        </w:tc>
        <w:tc>
          <w:tcPr>
            <w:tcW w:w="669" w:type="dxa"/>
          </w:tcPr>
          <w:p>
            <w:pPr>
              <w:pStyle w:val="TableParagraph"/>
              <w:spacing w:before="30"/>
              <w:ind w:left="111"/>
              <w:rPr>
                <w:b/>
                <w:sz w:val="18"/>
              </w:rPr>
            </w:pPr>
            <w:r>
              <w:rPr>
                <w:b/>
                <w:sz w:val="18"/>
              </w:rPr>
              <w:t>2012</w:t>
            </w:r>
          </w:p>
          <w:p>
            <w:pPr>
              <w:pStyle w:val="TableParagraph"/>
              <w:spacing w:before="66"/>
              <w:ind w:left="111"/>
              <w:rPr>
                <w:b/>
                <w:sz w:val="18"/>
              </w:rPr>
            </w:pPr>
            <w:r>
              <w:rPr>
                <w:b/>
                <w:sz w:val="18"/>
              </w:rPr>
              <w:t>$'000</w:t>
            </w:r>
          </w:p>
        </w:tc>
        <w:tc>
          <w:tcPr>
            <w:tcW w:w="698" w:type="dxa"/>
          </w:tcPr>
          <w:p>
            <w:pPr>
              <w:pStyle w:val="TableParagraph"/>
              <w:rPr>
                <w:b/>
                <w:sz w:val="18"/>
              </w:rPr>
            </w:pPr>
          </w:p>
          <w:p>
            <w:pPr>
              <w:pStyle w:val="TableParagraph"/>
              <w:rPr>
                <w:b/>
                <w:sz w:val="18"/>
              </w:rPr>
            </w:pPr>
          </w:p>
          <w:p>
            <w:pPr>
              <w:pStyle w:val="TableParagraph"/>
              <w:spacing w:before="159"/>
              <w:ind w:right="11"/>
              <w:jc w:val="right"/>
              <w:rPr>
                <w:b/>
                <w:sz w:val="18"/>
              </w:rPr>
            </w:pPr>
            <w:r>
              <w:rPr>
                <w:b/>
                <w:sz w:val="18"/>
              </w:rPr>
              <w:t>(107)</w:t>
            </w:r>
          </w:p>
        </w:tc>
        <w:tc>
          <w:tcPr>
            <w:tcW w:w="586" w:type="dxa"/>
          </w:tcPr>
          <w:p>
            <w:pPr>
              <w:pStyle w:val="TableParagraph"/>
              <w:spacing w:before="30"/>
              <w:ind w:left="13"/>
              <w:rPr>
                <w:b/>
                <w:sz w:val="18"/>
              </w:rPr>
            </w:pPr>
            <w:r>
              <w:rPr>
                <w:b/>
                <w:sz w:val="18"/>
              </w:rPr>
              <w:t>2011</w:t>
            </w:r>
          </w:p>
          <w:p>
            <w:pPr>
              <w:pStyle w:val="TableParagraph"/>
              <w:spacing w:before="66"/>
              <w:ind w:left="13"/>
              <w:rPr>
                <w:b/>
                <w:sz w:val="18"/>
              </w:rPr>
            </w:pPr>
            <w:r>
              <w:rPr>
                <w:b/>
                <w:sz w:val="18"/>
              </w:rPr>
              <w:t>$'000</w:t>
            </w:r>
          </w:p>
        </w:tc>
        <w:tc>
          <w:tcPr>
            <w:tcW w:w="725" w:type="dxa"/>
          </w:tcPr>
          <w:p>
            <w:pPr>
              <w:pStyle w:val="TableParagraph"/>
              <w:rPr>
                <w:b/>
                <w:sz w:val="18"/>
              </w:rPr>
            </w:pPr>
          </w:p>
          <w:p>
            <w:pPr>
              <w:pStyle w:val="TableParagraph"/>
              <w:rPr>
                <w:b/>
                <w:sz w:val="18"/>
              </w:rPr>
            </w:pPr>
          </w:p>
          <w:p>
            <w:pPr>
              <w:pStyle w:val="TableParagraph"/>
              <w:spacing w:before="159"/>
              <w:ind w:right="24"/>
              <w:jc w:val="right"/>
              <w:rPr>
                <w:sz w:val="18"/>
              </w:rPr>
            </w:pPr>
            <w:r>
              <w:rPr>
                <w:sz w:val="18"/>
              </w:rPr>
              <w:t>(343)</w:t>
            </w:r>
          </w:p>
        </w:tc>
      </w:tr>
      <w:tr>
        <w:trPr>
          <w:trHeight w:val="262" w:hRule="exact"/>
        </w:trPr>
        <w:tc>
          <w:tcPr>
            <w:tcW w:w="3430" w:type="dxa"/>
          </w:tcPr>
          <w:p>
            <w:pPr>
              <w:pStyle w:val="TableParagraph"/>
              <w:spacing w:before="19"/>
              <w:ind w:left="35"/>
              <w:rPr>
                <w:sz w:val="18"/>
              </w:rPr>
            </w:pPr>
            <w:r>
              <w:rPr>
                <w:sz w:val="18"/>
              </w:rPr>
              <w:t>Over 6 months</w:t>
            </w:r>
          </w:p>
        </w:tc>
        <w:tc>
          <w:tcPr>
            <w:tcW w:w="754" w:type="dxa"/>
            <w:tcBorders>
              <w:bottom w:val="single" w:sz="0" w:space="0" w:color="000000"/>
            </w:tcBorders>
          </w:tcPr>
          <w:p>
            <w:pPr/>
          </w:p>
        </w:tc>
        <w:tc>
          <w:tcPr>
            <w:tcW w:w="698" w:type="dxa"/>
            <w:tcBorders>
              <w:bottom w:val="single" w:sz="0" w:space="0" w:color="000000"/>
            </w:tcBorders>
          </w:tcPr>
          <w:p>
            <w:pPr>
              <w:pStyle w:val="TableParagraph"/>
              <w:spacing w:before="18"/>
              <w:ind w:right="11"/>
              <w:jc w:val="right"/>
              <w:rPr>
                <w:b/>
                <w:sz w:val="18"/>
              </w:rPr>
            </w:pPr>
            <w:r>
              <w:rPr>
                <w:b/>
                <w:w w:val="95"/>
                <w:sz w:val="18"/>
              </w:rPr>
              <w:t>(1,007)</w:t>
            </w:r>
          </w:p>
        </w:tc>
        <w:tc>
          <w:tcPr>
            <w:tcW w:w="586" w:type="dxa"/>
            <w:tcBorders>
              <w:bottom w:val="single" w:sz="0" w:space="0" w:color="000000"/>
            </w:tcBorders>
          </w:tcPr>
          <w:p>
            <w:pPr/>
          </w:p>
        </w:tc>
        <w:tc>
          <w:tcPr>
            <w:tcW w:w="811" w:type="dxa"/>
            <w:tcBorders>
              <w:bottom w:val="single" w:sz="0" w:space="0" w:color="000000"/>
            </w:tcBorders>
          </w:tcPr>
          <w:p>
            <w:pPr>
              <w:pStyle w:val="TableParagraph"/>
              <w:spacing w:before="18"/>
              <w:ind w:right="109"/>
              <w:jc w:val="right"/>
              <w:rPr>
                <w:sz w:val="18"/>
              </w:rPr>
            </w:pPr>
            <w:r>
              <w:rPr>
                <w:w w:val="95"/>
                <w:sz w:val="18"/>
              </w:rPr>
              <w:t>(1,495)</w:t>
            </w:r>
          </w:p>
        </w:tc>
        <w:tc>
          <w:tcPr>
            <w:tcW w:w="669" w:type="dxa"/>
            <w:tcBorders>
              <w:bottom w:val="single" w:sz="0" w:space="0" w:color="000000"/>
            </w:tcBorders>
          </w:tcPr>
          <w:p>
            <w:pPr/>
          </w:p>
        </w:tc>
        <w:tc>
          <w:tcPr>
            <w:tcW w:w="698" w:type="dxa"/>
            <w:tcBorders>
              <w:bottom w:val="single" w:sz="0" w:space="0" w:color="000000"/>
            </w:tcBorders>
          </w:tcPr>
          <w:p>
            <w:pPr>
              <w:pStyle w:val="TableParagraph"/>
              <w:spacing w:before="18"/>
              <w:ind w:right="11"/>
              <w:jc w:val="right"/>
              <w:rPr>
                <w:b/>
                <w:sz w:val="18"/>
              </w:rPr>
            </w:pPr>
            <w:r>
              <w:rPr>
                <w:b/>
                <w:w w:val="95"/>
                <w:sz w:val="18"/>
              </w:rPr>
              <w:t>(6,246)</w:t>
            </w:r>
          </w:p>
        </w:tc>
        <w:tc>
          <w:tcPr>
            <w:tcW w:w="586" w:type="dxa"/>
            <w:tcBorders>
              <w:bottom w:val="single" w:sz="0" w:space="0" w:color="000000"/>
            </w:tcBorders>
          </w:tcPr>
          <w:p>
            <w:pPr/>
          </w:p>
        </w:tc>
        <w:tc>
          <w:tcPr>
            <w:tcW w:w="725" w:type="dxa"/>
            <w:tcBorders>
              <w:bottom w:val="single" w:sz="0" w:space="0" w:color="000000"/>
            </w:tcBorders>
          </w:tcPr>
          <w:p>
            <w:pPr>
              <w:pStyle w:val="TableParagraph"/>
              <w:spacing w:before="18"/>
              <w:ind w:right="24"/>
              <w:jc w:val="right"/>
              <w:rPr>
                <w:sz w:val="18"/>
              </w:rPr>
            </w:pPr>
            <w:r>
              <w:rPr>
                <w:w w:val="95"/>
                <w:sz w:val="18"/>
              </w:rPr>
              <w:t>(6,180)</w:t>
            </w:r>
          </w:p>
        </w:tc>
      </w:tr>
      <w:tr>
        <w:trPr>
          <w:trHeight w:val="338" w:hRule="exact"/>
        </w:trPr>
        <w:tc>
          <w:tcPr>
            <w:tcW w:w="3430" w:type="dxa"/>
          </w:tcPr>
          <w:p>
            <w:pPr/>
          </w:p>
        </w:tc>
        <w:tc>
          <w:tcPr>
            <w:tcW w:w="754" w:type="dxa"/>
            <w:tcBorders>
              <w:top w:val="single" w:sz="0" w:space="0" w:color="000000"/>
              <w:bottom w:val="single" w:sz="0" w:space="0" w:color="000000"/>
            </w:tcBorders>
          </w:tcPr>
          <w:p>
            <w:pPr/>
          </w:p>
        </w:tc>
        <w:tc>
          <w:tcPr>
            <w:tcW w:w="698" w:type="dxa"/>
            <w:tcBorders>
              <w:top w:val="single" w:sz="0" w:space="0" w:color="000000"/>
              <w:bottom w:val="single" w:sz="0" w:space="0" w:color="000000"/>
            </w:tcBorders>
          </w:tcPr>
          <w:p>
            <w:pPr>
              <w:pStyle w:val="TableParagraph"/>
              <w:spacing w:before="122"/>
              <w:ind w:right="11"/>
              <w:jc w:val="right"/>
              <w:rPr>
                <w:b/>
                <w:sz w:val="18"/>
              </w:rPr>
            </w:pPr>
            <w:r>
              <w:rPr>
                <w:b/>
                <w:w w:val="95"/>
                <w:sz w:val="18"/>
              </w:rPr>
              <w:t>(1,110)</w:t>
            </w:r>
          </w:p>
        </w:tc>
        <w:tc>
          <w:tcPr>
            <w:tcW w:w="586" w:type="dxa"/>
            <w:tcBorders>
              <w:top w:val="single" w:sz="0" w:space="0" w:color="000000"/>
              <w:bottom w:val="single" w:sz="0" w:space="0" w:color="000000"/>
            </w:tcBorders>
          </w:tcPr>
          <w:p>
            <w:pPr/>
          </w:p>
        </w:tc>
        <w:tc>
          <w:tcPr>
            <w:tcW w:w="811" w:type="dxa"/>
            <w:tcBorders>
              <w:top w:val="single" w:sz="0" w:space="0" w:color="000000"/>
              <w:bottom w:val="single" w:sz="0" w:space="0" w:color="000000"/>
            </w:tcBorders>
          </w:tcPr>
          <w:p>
            <w:pPr>
              <w:pStyle w:val="TableParagraph"/>
              <w:spacing w:before="122"/>
              <w:ind w:right="109"/>
              <w:jc w:val="right"/>
              <w:rPr>
                <w:sz w:val="18"/>
              </w:rPr>
            </w:pPr>
            <w:r>
              <w:rPr>
                <w:w w:val="95"/>
                <w:sz w:val="18"/>
              </w:rPr>
              <w:t>(1,527)</w:t>
            </w:r>
          </w:p>
        </w:tc>
        <w:tc>
          <w:tcPr>
            <w:tcW w:w="669" w:type="dxa"/>
            <w:tcBorders>
              <w:top w:val="single" w:sz="0" w:space="0" w:color="000000"/>
              <w:bottom w:val="single" w:sz="0" w:space="0" w:color="000000"/>
            </w:tcBorders>
          </w:tcPr>
          <w:p>
            <w:pPr/>
          </w:p>
        </w:tc>
        <w:tc>
          <w:tcPr>
            <w:tcW w:w="698" w:type="dxa"/>
            <w:tcBorders>
              <w:top w:val="single" w:sz="0" w:space="0" w:color="000000"/>
              <w:bottom w:val="single" w:sz="0" w:space="0" w:color="000000"/>
            </w:tcBorders>
          </w:tcPr>
          <w:p>
            <w:pPr>
              <w:pStyle w:val="TableParagraph"/>
              <w:spacing w:before="122"/>
              <w:ind w:right="11"/>
              <w:jc w:val="right"/>
              <w:rPr>
                <w:b/>
                <w:sz w:val="18"/>
              </w:rPr>
            </w:pPr>
            <w:r>
              <w:rPr>
                <w:b/>
                <w:w w:val="95"/>
                <w:sz w:val="18"/>
              </w:rPr>
              <w:t>(6,353)</w:t>
            </w:r>
          </w:p>
        </w:tc>
        <w:tc>
          <w:tcPr>
            <w:tcW w:w="586" w:type="dxa"/>
            <w:tcBorders>
              <w:top w:val="single" w:sz="0" w:space="0" w:color="000000"/>
              <w:bottom w:val="single" w:sz="0" w:space="0" w:color="000000"/>
            </w:tcBorders>
          </w:tcPr>
          <w:p>
            <w:pPr/>
          </w:p>
        </w:tc>
        <w:tc>
          <w:tcPr>
            <w:tcW w:w="725" w:type="dxa"/>
            <w:tcBorders>
              <w:top w:val="single" w:sz="0" w:space="0" w:color="000000"/>
              <w:bottom w:val="single" w:sz="0" w:space="0" w:color="000000"/>
            </w:tcBorders>
          </w:tcPr>
          <w:p>
            <w:pPr>
              <w:pStyle w:val="TableParagraph"/>
              <w:spacing w:before="122"/>
              <w:ind w:right="24"/>
              <w:jc w:val="right"/>
              <w:rPr>
                <w:sz w:val="18"/>
              </w:rPr>
            </w:pPr>
            <w:r>
              <w:rPr>
                <w:w w:val="95"/>
                <w:sz w:val="18"/>
              </w:rPr>
              <w:t>(6,523)</w:t>
            </w:r>
          </w:p>
        </w:tc>
      </w:tr>
    </w:tbl>
    <w:p>
      <w:pPr>
        <w:spacing w:after="0"/>
        <w:jc w:val="right"/>
        <w:rPr>
          <w:sz w:val="18"/>
        </w:rPr>
        <w:sectPr>
          <w:type w:val="continuous"/>
          <w:pgSz w:w="11910" w:h="16840"/>
          <w:pgMar w:top="0" w:bottom="280" w:left="900" w:right="880"/>
        </w:sectPr>
      </w:pPr>
    </w:p>
    <w:p>
      <w:pPr>
        <w:pStyle w:val="BodyText"/>
        <w:rPr>
          <w:b/>
          <w:sz w:val="20"/>
        </w:rPr>
      </w:pPr>
    </w:p>
    <w:p>
      <w:pPr>
        <w:pStyle w:val="BodyText"/>
        <w:rPr>
          <w:b/>
          <w:sz w:val="20"/>
        </w:rPr>
      </w:pPr>
    </w:p>
    <w:p>
      <w:pPr>
        <w:pStyle w:val="BodyText"/>
        <w:spacing w:before="4"/>
        <w:rPr>
          <w:b/>
        </w:rPr>
      </w:pPr>
    </w:p>
    <w:p>
      <w:pPr>
        <w:pStyle w:val="ListParagraph"/>
        <w:numPr>
          <w:ilvl w:val="0"/>
          <w:numId w:val="14"/>
        </w:numPr>
        <w:tabs>
          <w:tab w:pos="506" w:val="left" w:leader="none"/>
        </w:tabs>
        <w:spacing w:line="240" w:lineRule="auto" w:before="0" w:after="0"/>
        <w:ind w:left="505" w:right="0" w:hanging="396"/>
        <w:jc w:val="left"/>
        <w:rPr>
          <w:b/>
          <w:sz w:val="18"/>
        </w:rPr>
      </w:pPr>
      <w:r>
        <w:rPr>
          <w:b/>
          <w:sz w:val="18"/>
        </w:rPr>
        <w:t>Trade and other receivables</w:t>
      </w:r>
      <w:r>
        <w:rPr>
          <w:b/>
          <w:spacing w:val="-1"/>
          <w:sz w:val="18"/>
        </w:rPr>
        <w:t> </w:t>
      </w:r>
      <w:r>
        <w:rPr>
          <w:b/>
          <w:sz w:val="18"/>
        </w:rPr>
        <w:t>(continued)</w:t>
      </w:r>
    </w:p>
    <w:p>
      <w:pPr>
        <w:pStyle w:val="BodyText"/>
        <w:spacing w:before="11"/>
        <w:rPr>
          <w:b/>
          <w:sz w:val="24"/>
        </w:rPr>
      </w:pPr>
    </w:p>
    <w:p>
      <w:pPr>
        <w:pStyle w:val="ListParagraph"/>
        <w:numPr>
          <w:ilvl w:val="1"/>
          <w:numId w:val="14"/>
        </w:numPr>
        <w:tabs>
          <w:tab w:pos="1072" w:val="left" w:leader="none"/>
        </w:tabs>
        <w:spacing w:line="240" w:lineRule="auto" w:before="0" w:after="0"/>
        <w:ind w:left="1071" w:right="0" w:hanging="566"/>
        <w:jc w:val="left"/>
        <w:rPr>
          <w:sz w:val="18"/>
        </w:rPr>
      </w:pPr>
      <w:r>
        <w:rPr>
          <w:sz w:val="18"/>
        </w:rPr>
        <w:t>Impaired receivables</w:t>
      </w:r>
      <w:r>
        <w:rPr>
          <w:spacing w:val="-1"/>
          <w:sz w:val="18"/>
        </w:rPr>
        <w:t> </w:t>
      </w:r>
      <w:r>
        <w:rPr>
          <w:sz w:val="18"/>
        </w:rPr>
        <w:t>(continued)</w:t>
      </w:r>
    </w:p>
    <w:p>
      <w:pPr>
        <w:pStyle w:val="BodyText"/>
        <w:spacing w:before="11"/>
        <w:rPr>
          <w:sz w:val="24"/>
        </w:rPr>
      </w:pPr>
    </w:p>
    <w:p>
      <w:pPr>
        <w:pStyle w:val="BodyText"/>
        <w:ind w:left="1072" w:right="155"/>
        <w:jc w:val="both"/>
      </w:pPr>
      <w:r>
        <w:rPr/>
        <w:t>As at 31 December 2012 trade receivables of $5.440M (2011: $5.646M) were past due but not impaired. These relate to a number of individual customers for whom there is no recent history of default. The ageing analysis of these receivables is as follows:</w:t>
      </w:r>
    </w:p>
    <w:p>
      <w:pPr>
        <w:pStyle w:val="BodyText"/>
        <w:spacing w:before="9"/>
        <w:rPr>
          <w:sz w:val="16"/>
        </w:rPr>
      </w:pPr>
    </w:p>
    <w:p>
      <w:pPr>
        <w:pStyle w:val="Heading9"/>
        <w:tabs>
          <w:tab w:pos="7303" w:val="left" w:leader="none"/>
        </w:tabs>
        <w:spacing w:before="1"/>
        <w:ind w:left="4567" w:right="128"/>
      </w:pPr>
      <w:r>
        <w:rPr/>
        <w:t>Consolidated</w:t>
        <w:tab/>
        <w:t>Parent</w:t>
      </w:r>
    </w:p>
    <w:p>
      <w:pPr>
        <w:spacing w:after="0"/>
        <w:sectPr>
          <w:pgSz w:w="11910" w:h="16840"/>
          <w:pgMar w:header="1038" w:footer="507" w:top="2220" w:bottom="700" w:left="900" w:right="880"/>
        </w:sectPr>
      </w:pPr>
    </w:p>
    <w:p>
      <w:pPr>
        <w:pStyle w:val="BodyText"/>
        <w:rPr>
          <w:b/>
        </w:rPr>
      </w:pPr>
    </w:p>
    <w:p>
      <w:pPr>
        <w:pStyle w:val="BodyText"/>
        <w:rPr>
          <w:b/>
        </w:rPr>
      </w:pPr>
    </w:p>
    <w:p>
      <w:pPr>
        <w:pStyle w:val="BodyText"/>
        <w:spacing w:before="3"/>
        <w:rPr>
          <w:b/>
          <w:sz w:val="24"/>
        </w:rPr>
      </w:pPr>
    </w:p>
    <w:p>
      <w:pPr>
        <w:spacing w:before="0"/>
        <w:ind w:left="1115" w:right="-19" w:firstLine="0"/>
        <w:jc w:val="left"/>
        <w:rPr>
          <w:b/>
          <w:sz w:val="18"/>
        </w:rPr>
      </w:pPr>
      <w:r>
        <w:rPr>
          <w:b/>
          <w:sz w:val="18"/>
        </w:rPr>
        <w:t>Trade Receivables</w:t>
      </w:r>
    </w:p>
    <w:p>
      <w:pPr>
        <w:spacing w:before="66"/>
        <w:ind w:left="0" w:right="40" w:firstLine="0"/>
        <w:jc w:val="right"/>
        <w:rPr>
          <w:b/>
          <w:sz w:val="18"/>
        </w:rPr>
      </w:pPr>
      <w:r>
        <w:rPr/>
        <w:br w:type="column"/>
      </w:r>
      <w:r>
        <w:rPr>
          <w:b/>
          <w:sz w:val="18"/>
        </w:rPr>
        <w:t>2012</w:t>
      </w:r>
    </w:p>
    <w:p>
      <w:pPr>
        <w:spacing w:before="66"/>
        <w:ind w:left="0" w:right="0" w:firstLine="0"/>
        <w:jc w:val="right"/>
        <w:rPr>
          <w:b/>
          <w:sz w:val="18"/>
        </w:rPr>
      </w:pPr>
      <w:r>
        <w:rPr>
          <w:b/>
          <w:w w:val="95"/>
          <w:sz w:val="18"/>
        </w:rPr>
        <w:t>$'000</w:t>
      </w:r>
    </w:p>
    <w:p>
      <w:pPr>
        <w:spacing w:before="66"/>
        <w:ind w:left="786" w:right="-20" w:firstLine="0"/>
        <w:jc w:val="left"/>
        <w:rPr>
          <w:b/>
          <w:sz w:val="18"/>
        </w:rPr>
      </w:pPr>
      <w:r>
        <w:rPr/>
        <w:br w:type="column"/>
      </w:r>
      <w:r>
        <w:rPr>
          <w:b/>
          <w:sz w:val="18"/>
        </w:rPr>
        <w:t>2011</w:t>
      </w:r>
    </w:p>
    <w:p>
      <w:pPr>
        <w:spacing w:before="66"/>
        <w:ind w:left="786" w:right="-20" w:firstLine="0"/>
        <w:jc w:val="left"/>
        <w:rPr>
          <w:b/>
          <w:sz w:val="18"/>
        </w:rPr>
      </w:pPr>
      <w:r>
        <w:rPr>
          <w:b/>
          <w:sz w:val="18"/>
        </w:rPr>
        <w:t>$'000</w:t>
      </w:r>
    </w:p>
    <w:p>
      <w:pPr>
        <w:spacing w:before="66"/>
        <w:ind w:left="0" w:right="40" w:firstLine="0"/>
        <w:jc w:val="right"/>
        <w:rPr>
          <w:b/>
          <w:sz w:val="18"/>
        </w:rPr>
      </w:pPr>
      <w:r>
        <w:rPr/>
        <w:br w:type="column"/>
      </w:r>
      <w:r>
        <w:rPr>
          <w:b/>
          <w:sz w:val="18"/>
        </w:rPr>
        <w:t>2012</w:t>
      </w:r>
    </w:p>
    <w:p>
      <w:pPr>
        <w:spacing w:before="66"/>
        <w:ind w:left="0" w:right="0" w:firstLine="0"/>
        <w:jc w:val="right"/>
        <w:rPr>
          <w:b/>
          <w:sz w:val="18"/>
        </w:rPr>
      </w:pPr>
      <w:r>
        <w:rPr>
          <w:b/>
          <w:w w:val="95"/>
          <w:sz w:val="18"/>
        </w:rPr>
        <w:t>$'000</w:t>
      </w:r>
    </w:p>
    <w:p>
      <w:pPr>
        <w:spacing w:before="66"/>
        <w:ind w:left="727" w:right="893" w:firstLine="0"/>
        <w:jc w:val="center"/>
        <w:rPr>
          <w:b/>
          <w:sz w:val="18"/>
        </w:rPr>
      </w:pPr>
      <w:r>
        <w:rPr/>
        <w:br w:type="column"/>
      </w:r>
      <w:r>
        <w:rPr>
          <w:b/>
          <w:sz w:val="18"/>
        </w:rPr>
        <w:t>2011</w:t>
      </w:r>
    </w:p>
    <w:p>
      <w:pPr>
        <w:spacing w:before="66"/>
        <w:ind w:left="770" w:right="893" w:firstLine="0"/>
        <w:jc w:val="center"/>
        <w:rPr>
          <w:b/>
          <w:sz w:val="18"/>
        </w:rPr>
      </w:pPr>
      <w:r>
        <w:rPr>
          <w:b/>
          <w:sz w:val="18"/>
        </w:rPr>
        <w:t>$'000</w:t>
      </w:r>
    </w:p>
    <w:p>
      <w:pPr>
        <w:spacing w:after="0"/>
        <w:jc w:val="center"/>
        <w:rPr>
          <w:sz w:val="18"/>
        </w:rPr>
        <w:sectPr>
          <w:type w:val="continuous"/>
          <w:pgSz w:w="11910" w:h="16840"/>
          <w:pgMar w:top="0" w:bottom="280" w:left="900" w:right="880"/>
          <w:cols w:num="5" w:equalWidth="0">
            <w:col w:w="2697" w:space="923"/>
            <w:col w:w="1559" w:space="40"/>
            <w:col w:w="1230" w:space="40"/>
            <w:col w:w="1454" w:space="40"/>
            <w:col w:w="2147"/>
          </w:cols>
        </w:sectPr>
      </w:pPr>
    </w:p>
    <w:p>
      <w:pPr>
        <w:tabs>
          <w:tab w:pos="5424" w:val="left" w:leader="none"/>
          <w:tab w:pos="6722" w:val="left" w:leader="none"/>
          <w:tab w:pos="8188" w:val="left" w:leader="none"/>
          <w:tab w:pos="9485" w:val="left" w:leader="none"/>
        </w:tabs>
        <w:spacing w:before="29"/>
        <w:ind w:left="1115" w:right="128" w:firstLine="0"/>
        <w:jc w:val="left"/>
        <w:rPr>
          <w:sz w:val="18"/>
        </w:rPr>
      </w:pPr>
      <w:r>
        <w:rPr>
          <w:sz w:val="18"/>
        </w:rPr>
        <w:t>0 to</w:t>
      </w:r>
      <w:r>
        <w:rPr>
          <w:spacing w:val="-1"/>
          <w:sz w:val="18"/>
        </w:rPr>
        <w:t> </w:t>
      </w:r>
      <w:r>
        <w:rPr>
          <w:sz w:val="18"/>
        </w:rPr>
        <w:t>6 months</w:t>
        <w:tab/>
      </w:r>
      <w:r>
        <w:rPr>
          <w:b/>
          <w:sz w:val="18"/>
        </w:rPr>
        <w:t>5,319</w:t>
        <w:tab/>
      </w:r>
      <w:r>
        <w:rPr>
          <w:sz w:val="18"/>
        </w:rPr>
        <w:t>4,311</w:t>
        <w:tab/>
      </w:r>
      <w:r>
        <w:rPr>
          <w:b/>
          <w:sz w:val="18"/>
        </w:rPr>
        <w:t>5,319</w:t>
        <w:tab/>
      </w:r>
      <w:r>
        <w:rPr>
          <w:sz w:val="18"/>
        </w:rPr>
        <w:t>4,311</w:t>
      </w:r>
    </w:p>
    <w:p>
      <w:pPr>
        <w:tabs>
          <w:tab w:pos="5575" w:val="left" w:leader="none"/>
          <w:tab w:pos="6722" w:val="left" w:leader="none"/>
          <w:tab w:pos="8338" w:val="left" w:leader="none"/>
          <w:tab w:pos="9485" w:val="left" w:leader="none"/>
        </w:tabs>
        <w:spacing w:before="57"/>
        <w:ind w:left="1115" w:right="128" w:firstLine="0"/>
        <w:jc w:val="left"/>
        <w:rPr>
          <w:sz w:val="18"/>
        </w:rPr>
      </w:pPr>
      <w:r>
        <w:rPr/>
        <w:pict>
          <v:group style="position:absolute;margin-left:269.709991pt;margin-top:14.482203pt;width:276.5pt;height:1pt;mso-position-horizontal-relative:page;mso-position-vertical-relative:paragraph;z-index:2296;mso-wrap-distance-left:0;mso-wrap-distance-right:0" coordorigin="5394,290" coordsize="5530,20">
            <v:line style="position:absolute" from="5395,291" to="5564,291" stroked="true" strokeweight=".06pt" strokecolor="#000000"/>
            <v:line style="position:absolute" from="5395,292" to="5564,292" stroked="true" strokeweight=".06pt" strokecolor="#000000"/>
            <v:line style="position:absolute" from="5395,293" to="5564,293" stroked="true" strokeweight=".06pt" strokecolor="#000000"/>
            <v:line style="position:absolute" from="5395,294" to="5564,294" stroked="true" strokeweight=".06pt" strokecolor="#000000"/>
            <v:line style="position:absolute" from="5395,295" to="5564,295" stroked="true" strokeweight=".06pt" strokecolor="#000000"/>
            <v:line style="position:absolute" from="5395,297" to="5564,297" stroked="true" strokeweight=".06pt" strokecolor="#000000"/>
            <v:line style="position:absolute" from="5395,298" to="5564,298" stroked="true" strokeweight=".06pt" strokecolor="#000000"/>
            <v:line style="position:absolute" from="5395,299" to="5564,299" stroked="true" strokeweight=".06pt" strokecolor="#000000"/>
            <v:line style="position:absolute" from="5395,300" to="5564,300" stroked="true" strokeweight=".06pt" strokecolor="#000000"/>
            <v:line style="position:absolute" from="5395,301" to="5564,301" stroked="true" strokeweight=".06pt" strokecolor="#000000"/>
            <v:line style="position:absolute" from="5395,303" to="5564,303" stroked="true" strokeweight=".06pt" strokecolor="#000000"/>
            <v:line style="position:absolute" from="5395,304" to="5564,304" stroked="true" strokeweight=".06pt" strokecolor="#000000"/>
            <v:line style="position:absolute" from="5395,305" to="5564,305" stroked="true" strokeweight=".06pt" strokecolor="#000000"/>
            <v:line style="position:absolute" from="5395,306" to="5564,306" stroked="true" strokeweight=".06pt" strokecolor="#000000"/>
            <v:line style="position:absolute" from="5395,307" to="5564,307" stroked="true" strokeweight=".06pt" strokecolor="#000000"/>
            <v:line style="position:absolute" from="5395,309" to="5564,309" stroked="true" strokeweight=".06pt" strokecolor="#000000"/>
            <v:line style="position:absolute" from="5564,291" to="6862,291" stroked="true" strokeweight=".06pt" strokecolor="#000000"/>
            <v:line style="position:absolute" from="5564,292" to="6862,292" stroked="true" strokeweight=".06pt" strokecolor="#000000"/>
            <v:line style="position:absolute" from="5564,293" to="6862,293" stroked="true" strokeweight=".06pt" strokecolor="#000000"/>
            <v:line style="position:absolute" from="5564,294" to="6862,294" stroked="true" strokeweight=".06pt" strokecolor="#000000"/>
            <v:line style="position:absolute" from="5564,295" to="6862,295" stroked="true" strokeweight=".06pt" strokecolor="#000000"/>
            <v:line style="position:absolute" from="5564,297" to="6862,297" stroked="true" strokeweight=".06pt" strokecolor="#000000"/>
            <v:line style="position:absolute" from="5564,298" to="6862,298" stroked="true" strokeweight=".06pt" strokecolor="#000000"/>
            <v:line style="position:absolute" from="5564,299" to="6862,299" stroked="true" strokeweight=".06pt" strokecolor="#000000"/>
            <v:line style="position:absolute" from="5564,300" to="6862,300" stroked="true" strokeweight=".06pt" strokecolor="#000000"/>
            <v:line style="position:absolute" from="5564,301" to="6862,301" stroked="true" strokeweight=".06pt" strokecolor="#000000"/>
            <v:line style="position:absolute" from="5564,303" to="6862,303" stroked="true" strokeweight=".06pt" strokecolor="#000000"/>
            <v:line style="position:absolute" from="5564,304" to="6862,304" stroked="true" strokeweight=".06pt" strokecolor="#000000"/>
            <v:line style="position:absolute" from="5564,305" to="6862,305" stroked="true" strokeweight=".06pt" strokecolor="#000000"/>
            <v:line style="position:absolute" from="5564,306" to="6862,306" stroked="true" strokeweight=".06pt" strokecolor="#000000"/>
            <v:line style="position:absolute" from="5564,307" to="6862,307" stroked="true" strokeweight=".06pt" strokecolor="#000000"/>
            <v:line style="position:absolute" from="5564,309" to="6862,309" stroked="true" strokeweight=".06pt" strokecolor="#000000"/>
            <v:line style="position:absolute" from="6862,291" to="8159,291" stroked="true" strokeweight=".06pt" strokecolor="#000000"/>
            <v:line style="position:absolute" from="6862,292" to="8159,292" stroked="true" strokeweight=".06pt" strokecolor="#000000"/>
            <v:line style="position:absolute" from="6862,293" to="8159,293" stroked="true" strokeweight=".06pt" strokecolor="#000000"/>
            <v:line style="position:absolute" from="6862,294" to="8159,294" stroked="true" strokeweight=".06pt" strokecolor="#000000"/>
            <v:line style="position:absolute" from="6862,295" to="8159,295" stroked="true" strokeweight=".06pt" strokecolor="#000000"/>
            <v:line style="position:absolute" from="6862,297" to="8159,297" stroked="true" strokeweight=".06pt" strokecolor="#000000"/>
            <v:line style="position:absolute" from="6862,298" to="8159,298" stroked="true" strokeweight=".06pt" strokecolor="#000000"/>
            <v:line style="position:absolute" from="6862,299" to="8159,299" stroked="true" strokeweight=".06pt" strokecolor="#000000"/>
            <v:line style="position:absolute" from="6862,300" to="8159,300" stroked="true" strokeweight=".06pt" strokecolor="#000000"/>
            <v:line style="position:absolute" from="6862,301" to="8159,301" stroked="true" strokeweight=".06pt" strokecolor="#000000"/>
            <v:line style="position:absolute" from="6862,303" to="8159,303" stroked="true" strokeweight=".06pt" strokecolor="#000000"/>
            <v:line style="position:absolute" from="6862,304" to="8159,304" stroked="true" strokeweight=".06pt" strokecolor="#000000"/>
            <v:line style="position:absolute" from="6862,305" to="8159,305" stroked="true" strokeweight=".06pt" strokecolor="#000000"/>
            <v:line style="position:absolute" from="6862,306" to="8159,306" stroked="true" strokeweight=".06pt" strokecolor="#000000"/>
            <v:line style="position:absolute" from="6862,307" to="8159,307" stroked="true" strokeweight=".06pt" strokecolor="#000000"/>
            <v:line style="position:absolute" from="6862,309" to="8159,309" stroked="true" strokeweight=".06pt" strokecolor="#000000"/>
            <v:line style="position:absolute" from="8159,291" to="8328,291" stroked="true" strokeweight=".06pt" strokecolor="#000000"/>
            <v:line style="position:absolute" from="8159,292" to="8328,292" stroked="true" strokeweight=".06pt" strokecolor="#000000"/>
            <v:line style="position:absolute" from="8159,293" to="8328,293" stroked="true" strokeweight=".06pt" strokecolor="#000000"/>
            <v:line style="position:absolute" from="8159,294" to="8328,294" stroked="true" strokeweight=".06pt" strokecolor="#000000"/>
            <v:line style="position:absolute" from="8159,295" to="8328,295" stroked="true" strokeweight=".06pt" strokecolor="#000000"/>
            <v:line style="position:absolute" from="8159,297" to="8328,297" stroked="true" strokeweight=".06pt" strokecolor="#000000"/>
            <v:line style="position:absolute" from="8159,298" to="8328,298" stroked="true" strokeweight=".06pt" strokecolor="#000000"/>
            <v:line style="position:absolute" from="8159,299" to="8328,299" stroked="true" strokeweight=".06pt" strokecolor="#000000"/>
            <v:line style="position:absolute" from="8159,300" to="8328,300" stroked="true" strokeweight=".06pt" strokecolor="#000000"/>
            <v:line style="position:absolute" from="8159,301" to="8328,301" stroked="true" strokeweight=".06pt" strokecolor="#000000"/>
            <v:line style="position:absolute" from="8159,303" to="8328,303" stroked="true" strokeweight=".06pt" strokecolor="#000000"/>
            <v:line style="position:absolute" from="8159,304" to="8328,304" stroked="true" strokeweight=".06pt" strokecolor="#000000"/>
            <v:line style="position:absolute" from="8159,305" to="8328,305" stroked="true" strokeweight=".06pt" strokecolor="#000000"/>
            <v:line style="position:absolute" from="8159,306" to="8328,306" stroked="true" strokeweight=".06pt" strokecolor="#000000"/>
            <v:line style="position:absolute" from="8159,307" to="8328,307" stroked="true" strokeweight=".06pt" strokecolor="#000000"/>
            <v:line style="position:absolute" from="8159,309" to="8328,309" stroked="true" strokeweight=".06pt" strokecolor="#000000"/>
            <v:line style="position:absolute" from="8328,291" to="9625,291" stroked="true" strokeweight=".06pt" strokecolor="#000000"/>
            <v:line style="position:absolute" from="8328,292" to="9625,292" stroked="true" strokeweight=".06pt" strokecolor="#000000"/>
            <v:line style="position:absolute" from="8328,293" to="9625,293" stroked="true" strokeweight=".06pt" strokecolor="#000000"/>
            <v:line style="position:absolute" from="8328,294" to="9625,294" stroked="true" strokeweight=".06pt" strokecolor="#000000"/>
            <v:line style="position:absolute" from="8328,295" to="9625,295" stroked="true" strokeweight=".06pt" strokecolor="#000000"/>
            <v:line style="position:absolute" from="8328,297" to="9625,297" stroked="true" strokeweight=".06pt" strokecolor="#000000"/>
            <v:line style="position:absolute" from="8328,298" to="9625,298" stroked="true" strokeweight=".06pt" strokecolor="#000000"/>
            <v:line style="position:absolute" from="8328,299" to="9625,299" stroked="true" strokeweight=".06pt" strokecolor="#000000"/>
            <v:line style="position:absolute" from="8328,300" to="9625,300" stroked="true" strokeweight=".06pt" strokecolor="#000000"/>
            <v:line style="position:absolute" from="8328,301" to="9625,301" stroked="true" strokeweight=".06pt" strokecolor="#000000"/>
            <v:line style="position:absolute" from="8328,303" to="9625,303" stroked="true" strokeweight=".06pt" strokecolor="#000000"/>
            <v:line style="position:absolute" from="8328,304" to="9625,304" stroked="true" strokeweight=".06pt" strokecolor="#000000"/>
            <v:line style="position:absolute" from="8328,305" to="9625,305" stroked="true" strokeweight=".06pt" strokecolor="#000000"/>
            <v:line style="position:absolute" from="8328,306" to="9625,306" stroked="true" strokeweight=".06pt" strokecolor="#000000"/>
            <v:line style="position:absolute" from="8328,307" to="9625,307" stroked="true" strokeweight=".06pt" strokecolor="#000000"/>
            <v:line style="position:absolute" from="8328,309" to="9625,309" stroked="true" strokeweight=".06pt" strokecolor="#000000"/>
            <v:line style="position:absolute" from="9625,291" to="10922,291" stroked="true" strokeweight=".06pt" strokecolor="#000000"/>
            <v:line style="position:absolute" from="9625,292" to="10922,292" stroked="true" strokeweight=".06pt" strokecolor="#000000"/>
            <v:line style="position:absolute" from="9625,293" to="10922,293" stroked="true" strokeweight=".06pt" strokecolor="#000000"/>
            <v:line style="position:absolute" from="9625,294" to="10922,294" stroked="true" strokeweight=".06pt" strokecolor="#000000"/>
            <v:line style="position:absolute" from="9625,295" to="10922,295" stroked="true" strokeweight=".06pt" strokecolor="#000000"/>
            <v:line style="position:absolute" from="9625,297" to="10922,297" stroked="true" strokeweight=".06pt" strokecolor="#000000"/>
            <v:line style="position:absolute" from="9625,298" to="10922,298" stroked="true" strokeweight=".06pt" strokecolor="#000000"/>
            <v:line style="position:absolute" from="9625,299" to="10922,299" stroked="true" strokeweight=".06pt" strokecolor="#000000"/>
            <v:line style="position:absolute" from="9625,300" to="10922,300" stroked="true" strokeweight=".06pt" strokecolor="#000000"/>
            <v:line style="position:absolute" from="9625,301" to="10922,301" stroked="true" strokeweight=".06pt" strokecolor="#000000"/>
            <v:line style="position:absolute" from="9625,303" to="10922,303" stroked="true" strokeweight=".06pt" strokecolor="#000000"/>
            <v:line style="position:absolute" from="9625,304" to="10922,304" stroked="true" strokeweight=".06pt" strokecolor="#000000"/>
            <v:line style="position:absolute" from="9625,305" to="10922,305" stroked="true" strokeweight=".06pt" strokecolor="#000000"/>
            <v:line style="position:absolute" from="9625,306" to="10922,306" stroked="true" strokeweight=".06pt" strokecolor="#000000"/>
            <v:line style="position:absolute" from="9625,307" to="10922,307" stroked="true" strokeweight=".06pt" strokecolor="#000000"/>
            <v:line style="position:absolute" from="9625,309" to="10922,309" stroked="true" strokeweight=".06pt" strokecolor="#000000"/>
            <w10:wrap type="topAndBottom"/>
          </v:group>
        </w:pict>
      </w:r>
      <w:r>
        <w:rPr>
          <w:sz w:val="18"/>
        </w:rPr>
        <w:t>Over 6 months</w:t>
        <w:tab/>
      </w:r>
      <w:r>
        <w:rPr>
          <w:b/>
          <w:sz w:val="18"/>
        </w:rPr>
        <w:t>121</w:t>
        <w:tab/>
      </w:r>
      <w:r>
        <w:rPr>
          <w:sz w:val="18"/>
        </w:rPr>
        <w:t>1,335</w:t>
        <w:tab/>
      </w:r>
      <w:r>
        <w:rPr>
          <w:b/>
          <w:sz w:val="18"/>
        </w:rPr>
        <w:t>121</w:t>
        <w:tab/>
      </w:r>
      <w:r>
        <w:rPr>
          <w:sz w:val="18"/>
        </w:rPr>
        <w:t>1,335</w:t>
      </w:r>
    </w:p>
    <w:p>
      <w:pPr>
        <w:tabs>
          <w:tab w:pos="6722" w:val="left" w:leader="none"/>
          <w:tab w:pos="8188" w:val="left" w:leader="none"/>
          <w:tab w:pos="9485" w:val="left" w:leader="none"/>
        </w:tabs>
        <w:spacing w:before="84"/>
        <w:ind w:left="5425" w:right="128" w:firstLine="0"/>
        <w:jc w:val="left"/>
        <w:rPr>
          <w:sz w:val="18"/>
        </w:rPr>
      </w:pPr>
      <w:r>
        <w:rPr>
          <w:b/>
          <w:sz w:val="18"/>
        </w:rPr>
        <w:t>5,440</w:t>
        <w:tab/>
      </w:r>
      <w:r>
        <w:rPr>
          <w:sz w:val="18"/>
        </w:rPr>
        <w:t>5,646</w:t>
        <w:tab/>
      </w:r>
      <w:r>
        <w:rPr>
          <w:b/>
          <w:sz w:val="18"/>
        </w:rPr>
        <w:t>5,440</w:t>
        <w:tab/>
      </w:r>
      <w:r>
        <w:rPr>
          <w:sz w:val="18"/>
        </w:rPr>
        <w:t>5,646</w:t>
      </w:r>
    </w:p>
    <w:p>
      <w:pPr>
        <w:pStyle w:val="BodyText"/>
        <w:spacing w:line="20" w:lineRule="exact"/>
        <w:ind w:left="4494"/>
        <w:rPr>
          <w:sz w:val="2"/>
        </w:rPr>
      </w:pPr>
      <w:r>
        <w:rPr>
          <w:sz w:val="2"/>
        </w:rPr>
        <w:pict>
          <v:group style="width:276.5pt;height:1pt;mso-position-horizontal-relative:char;mso-position-vertical-relative:line" coordorigin="0,0" coordsize="5530,2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17" to="170,17" stroked="true" strokeweight=".06pt" strokecolor="#000000"/>
            <v:line style="position:absolute" from="1,18" to="170,18" stroked="true" strokeweight=".06pt" strokecolor="#000000"/>
            <v:line style="position:absolute" from="1,19" to="170,19" stroked="true" strokeweight=".06pt" strokecolor="#000000"/>
            <v:line style="position:absolute" from="170,1" to="1467,1" stroked="true" strokeweight=".06pt" strokecolor="#000000"/>
            <v:line style="position:absolute" from="170,2" to="1467,2" stroked="true" strokeweight=".06pt" strokecolor="#000000"/>
            <v:line style="position:absolute" from="170,3" to="1467,3" stroked="true" strokeweight=".06pt" strokecolor="#000000"/>
            <v:line style="position:absolute" from="170,5" to="1467,5" stroked="true" strokeweight=".06pt" strokecolor="#000000"/>
            <v:line style="position:absolute" from="170,6" to="1467,6" stroked="true" strokeweight=".06pt" strokecolor="#000000"/>
            <v:line style="position:absolute" from="170,7" to="1467,7" stroked="true" strokeweight=".06pt" strokecolor="#000000"/>
            <v:line style="position:absolute" from="170,8" to="1467,8" stroked="true" strokeweight=".06pt" strokecolor="#000000"/>
            <v:line style="position:absolute" from="170,9" to="1467,9" stroked="true" strokeweight=".06pt" strokecolor="#000000"/>
            <v:line style="position:absolute" from="170,11" to="1467,11" stroked="true" strokeweight=".06pt" strokecolor="#000000"/>
            <v:line style="position:absolute" from="170,12" to="1467,12" stroked="true" strokeweight=".06pt" strokecolor="#000000"/>
            <v:line style="position:absolute" from="170,13" to="1467,13" stroked="true" strokeweight=".06pt" strokecolor="#000000"/>
            <v:line style="position:absolute" from="170,14" to="1467,14" stroked="true" strokeweight=".06pt" strokecolor="#000000"/>
            <v:line style="position:absolute" from="170,15" to="1467,15" stroked="true" strokeweight=".06pt" strokecolor="#000000"/>
            <v:line style="position:absolute" from="170,17" to="1467,17" stroked="true" strokeweight=".06pt" strokecolor="#000000"/>
            <v:line style="position:absolute" from="170,18" to="1467,18" stroked="true" strokeweight=".06pt" strokecolor="#000000"/>
            <v:line style="position:absolute" from="170,19" to="1467,19" stroked="true" strokeweight=".06pt" strokecolor="#000000"/>
            <v:line style="position:absolute" from="1467,1" to="2765,1" stroked="true" strokeweight=".06pt" strokecolor="#000000"/>
            <v:line style="position:absolute" from="1467,2" to="2765,2" stroked="true" strokeweight=".06pt" strokecolor="#000000"/>
            <v:line style="position:absolute" from="1467,3" to="2765,3" stroked="true" strokeweight=".06pt" strokecolor="#000000"/>
            <v:line style="position:absolute" from="1467,5" to="2765,5" stroked="true" strokeweight=".06pt" strokecolor="#000000"/>
            <v:line style="position:absolute" from="1467,6" to="2765,6" stroked="true" strokeweight=".06pt" strokecolor="#000000"/>
            <v:line style="position:absolute" from="1467,7" to="2765,7" stroked="true" strokeweight=".06pt" strokecolor="#000000"/>
            <v:line style="position:absolute" from="1467,8" to="2765,8" stroked="true" strokeweight=".06pt" strokecolor="#000000"/>
            <v:line style="position:absolute" from="1467,9" to="2765,9" stroked="true" strokeweight=".06pt" strokecolor="#000000"/>
            <v:line style="position:absolute" from="1467,11" to="2765,11" stroked="true" strokeweight=".06pt" strokecolor="#000000"/>
            <v:line style="position:absolute" from="1467,12" to="2765,12" stroked="true" strokeweight=".06pt" strokecolor="#000000"/>
            <v:line style="position:absolute" from="1467,13" to="2765,13" stroked="true" strokeweight=".06pt" strokecolor="#000000"/>
            <v:line style="position:absolute" from="1467,14" to="2765,14" stroked="true" strokeweight=".06pt" strokecolor="#000000"/>
            <v:line style="position:absolute" from="1467,15" to="2765,15" stroked="true" strokeweight=".06pt" strokecolor="#000000"/>
            <v:line style="position:absolute" from="1467,17" to="2765,17" stroked="true" strokeweight=".06pt" strokecolor="#000000"/>
            <v:line style="position:absolute" from="1467,18" to="2765,18" stroked="true" strokeweight=".06pt" strokecolor="#000000"/>
            <v:line style="position:absolute" from="1467,19" to="2765,19" stroked="true" strokeweight=".06pt" strokecolor="#000000"/>
            <v:line style="position:absolute" from="2765,1" to="2934,1" stroked="true" strokeweight=".06pt" strokecolor="#000000"/>
            <v:line style="position:absolute" from="2765,2" to="2934,2" stroked="true" strokeweight=".06pt" strokecolor="#000000"/>
            <v:line style="position:absolute" from="2765,3" to="2934,3" stroked="true" strokeweight=".06pt" strokecolor="#000000"/>
            <v:line style="position:absolute" from="2765,5" to="2934,5" stroked="true" strokeweight=".06pt" strokecolor="#000000"/>
            <v:line style="position:absolute" from="2765,6" to="2934,6" stroked="true" strokeweight=".06pt" strokecolor="#000000"/>
            <v:line style="position:absolute" from="2765,7" to="2934,7" stroked="true" strokeweight=".06pt" strokecolor="#000000"/>
            <v:line style="position:absolute" from="2765,8" to="2934,8" stroked="true" strokeweight=".06pt" strokecolor="#000000"/>
            <v:line style="position:absolute" from="2765,9" to="2934,9" stroked="true" strokeweight=".06pt" strokecolor="#000000"/>
            <v:line style="position:absolute" from="2765,11" to="2934,11" stroked="true" strokeweight=".06pt" strokecolor="#000000"/>
            <v:line style="position:absolute" from="2765,12" to="2934,12" stroked="true" strokeweight=".06pt" strokecolor="#000000"/>
            <v:line style="position:absolute" from="2765,13" to="2934,13" stroked="true" strokeweight=".06pt" strokecolor="#000000"/>
            <v:line style="position:absolute" from="2765,14" to="2934,14" stroked="true" strokeweight=".06pt" strokecolor="#000000"/>
            <v:line style="position:absolute" from="2765,15" to="2934,15" stroked="true" strokeweight=".06pt" strokecolor="#000000"/>
            <v:line style="position:absolute" from="2765,17" to="2934,17" stroked="true" strokeweight=".06pt" strokecolor="#000000"/>
            <v:line style="position:absolute" from="2765,18" to="2934,18" stroked="true" strokeweight=".06pt" strokecolor="#000000"/>
            <v:line style="position:absolute" from="2765,19" to="2934,19" stroked="true" strokeweight=".06pt" strokecolor="#000000"/>
            <v:line style="position:absolute" from="2934,1" to="4231,1" stroked="true" strokeweight=".06pt" strokecolor="#000000"/>
            <v:line style="position:absolute" from="2934,2" to="4231,2" stroked="true" strokeweight=".06pt" strokecolor="#000000"/>
            <v:line style="position:absolute" from="2934,3" to="4231,3" stroked="true" strokeweight=".06pt" strokecolor="#000000"/>
            <v:line style="position:absolute" from="2934,5" to="4231,5" stroked="true" strokeweight=".06pt" strokecolor="#000000"/>
            <v:line style="position:absolute" from="2934,6" to="4231,6" stroked="true" strokeweight=".06pt" strokecolor="#000000"/>
            <v:line style="position:absolute" from="2934,7" to="4231,7" stroked="true" strokeweight=".06pt" strokecolor="#000000"/>
            <v:line style="position:absolute" from="2934,8" to="4231,8" stroked="true" strokeweight=".06pt" strokecolor="#000000"/>
            <v:line style="position:absolute" from="2934,9" to="4231,9" stroked="true" strokeweight=".06pt" strokecolor="#000000"/>
            <v:line style="position:absolute" from="2934,11" to="4231,11" stroked="true" strokeweight=".06pt" strokecolor="#000000"/>
            <v:line style="position:absolute" from="2934,12" to="4231,12" stroked="true" strokeweight=".06pt" strokecolor="#000000"/>
            <v:line style="position:absolute" from="2934,13" to="4231,13" stroked="true" strokeweight=".06pt" strokecolor="#000000"/>
            <v:line style="position:absolute" from="2934,14" to="4231,14" stroked="true" strokeweight=".06pt" strokecolor="#000000"/>
            <v:line style="position:absolute" from="2934,15" to="4231,15" stroked="true" strokeweight=".06pt" strokecolor="#000000"/>
            <v:line style="position:absolute" from="2934,17" to="4231,17" stroked="true" strokeweight=".06pt" strokecolor="#000000"/>
            <v:line style="position:absolute" from="2934,18" to="4231,18" stroked="true" strokeweight=".06pt" strokecolor="#000000"/>
            <v:line style="position:absolute" from="2934,19" to="4231,19" stroked="true" strokeweight=".06pt" strokecolor="#000000"/>
            <v:line style="position:absolute" from="4231,1" to="5528,1" stroked="true" strokeweight=".06pt" strokecolor="#000000"/>
            <v:line style="position:absolute" from="4231,2" to="5528,2" stroked="true" strokeweight=".06pt" strokecolor="#000000"/>
            <v:line style="position:absolute" from="4231,3" to="5528,3" stroked="true" strokeweight=".06pt" strokecolor="#000000"/>
            <v:line style="position:absolute" from="4231,5" to="5528,5" stroked="true" strokeweight=".06pt" strokecolor="#000000"/>
            <v:line style="position:absolute" from="4231,6" to="5528,6" stroked="true" strokeweight=".06pt" strokecolor="#000000"/>
            <v:line style="position:absolute" from="4231,7" to="5528,7" stroked="true" strokeweight=".06pt" strokecolor="#000000"/>
            <v:line style="position:absolute" from="4231,8" to="5528,8" stroked="true" strokeweight=".06pt" strokecolor="#000000"/>
            <v:line style="position:absolute" from="4231,9" to="5528,9" stroked="true" strokeweight=".06pt" strokecolor="#000000"/>
            <v:line style="position:absolute" from="4231,11" to="5528,11" stroked="true" strokeweight=".06pt" strokecolor="#000000"/>
            <v:line style="position:absolute" from="4231,12" to="5528,12" stroked="true" strokeweight=".06pt" strokecolor="#000000"/>
            <v:line style="position:absolute" from="4231,13" to="5528,13" stroked="true" strokeweight=".06pt" strokecolor="#000000"/>
            <v:line style="position:absolute" from="4231,14" to="5528,14" stroked="true" strokeweight=".06pt" strokecolor="#000000"/>
            <v:line style="position:absolute" from="4231,15" to="5528,15" stroked="true" strokeweight=".06pt" strokecolor="#000000"/>
            <v:line style="position:absolute" from="4231,17" to="5528,17" stroked="true" strokeweight=".06pt" strokecolor="#000000"/>
            <v:line style="position:absolute" from="4231,18" to="5528,18" stroked="true" strokeweight=".06pt" strokecolor="#000000"/>
            <v:line style="position:absolute" from="4231,19" to="5528,19" stroked="true" strokeweight=".06pt" strokecolor="#000000"/>
          </v:group>
        </w:pict>
      </w:r>
      <w:r>
        <w:rPr>
          <w:sz w:val="2"/>
        </w:rPr>
      </w:r>
    </w:p>
    <w:p>
      <w:pPr>
        <w:pStyle w:val="BodyText"/>
        <w:rPr>
          <w:sz w:val="20"/>
        </w:rPr>
      </w:pPr>
    </w:p>
    <w:p>
      <w:pPr>
        <w:pStyle w:val="BodyText"/>
        <w:rPr>
          <w:sz w:val="20"/>
        </w:rPr>
      </w:pPr>
    </w:p>
    <w:p>
      <w:pPr>
        <w:pStyle w:val="BodyText"/>
        <w:spacing w:before="8"/>
        <w:rPr>
          <w:sz w:val="19"/>
        </w:rPr>
      </w:pPr>
    </w:p>
    <w:p>
      <w:pPr>
        <w:pStyle w:val="Heading9"/>
        <w:tabs>
          <w:tab w:pos="7303" w:val="left" w:leader="none"/>
        </w:tabs>
        <w:spacing w:before="1"/>
        <w:ind w:left="4567" w:right="128"/>
      </w:pPr>
      <w:r>
        <w:rPr/>
        <w:t>Consolidated</w:t>
        <w:tab/>
        <w:t>Parent</w:t>
      </w:r>
    </w:p>
    <w:p>
      <w:pPr>
        <w:spacing w:after="0"/>
        <w:sectPr>
          <w:type w:val="continuous"/>
          <w:pgSz w:w="11910" w:h="16840"/>
          <w:pgMar w:top="0" w:bottom="280" w:left="900" w:right="880"/>
        </w:sectPr>
      </w:pPr>
    </w:p>
    <w:p>
      <w:pPr>
        <w:spacing w:before="66"/>
        <w:ind w:left="0" w:right="40" w:firstLine="0"/>
        <w:jc w:val="right"/>
        <w:rPr>
          <w:b/>
          <w:sz w:val="18"/>
        </w:rPr>
      </w:pPr>
      <w:r>
        <w:rPr>
          <w:b/>
          <w:w w:val="95"/>
          <w:sz w:val="18"/>
        </w:rPr>
        <w:t>2012</w:t>
      </w:r>
    </w:p>
    <w:p>
      <w:pPr>
        <w:spacing w:before="66"/>
        <w:ind w:left="0" w:right="0" w:firstLine="0"/>
        <w:jc w:val="right"/>
        <w:rPr>
          <w:b/>
          <w:sz w:val="18"/>
        </w:rPr>
      </w:pPr>
      <w:r>
        <w:rPr>
          <w:b/>
          <w:sz w:val="18"/>
        </w:rPr>
        <w:t>$'000</w:t>
      </w:r>
    </w:p>
    <w:p>
      <w:pPr>
        <w:spacing w:before="66"/>
        <w:ind w:left="786" w:right="-20" w:firstLine="0"/>
        <w:jc w:val="left"/>
        <w:rPr>
          <w:b/>
          <w:sz w:val="18"/>
        </w:rPr>
      </w:pPr>
      <w:r>
        <w:rPr/>
        <w:br w:type="column"/>
      </w:r>
      <w:r>
        <w:rPr>
          <w:b/>
          <w:sz w:val="18"/>
        </w:rPr>
        <w:t>2011</w:t>
      </w:r>
    </w:p>
    <w:p>
      <w:pPr>
        <w:spacing w:before="66"/>
        <w:ind w:left="786" w:right="-20" w:firstLine="0"/>
        <w:jc w:val="left"/>
        <w:rPr>
          <w:b/>
          <w:sz w:val="18"/>
        </w:rPr>
      </w:pPr>
      <w:r>
        <w:rPr>
          <w:b/>
          <w:sz w:val="18"/>
        </w:rPr>
        <w:t>$'000</w:t>
      </w:r>
    </w:p>
    <w:p>
      <w:pPr>
        <w:spacing w:before="66"/>
        <w:ind w:left="0" w:right="40" w:firstLine="0"/>
        <w:jc w:val="right"/>
        <w:rPr>
          <w:b/>
          <w:sz w:val="18"/>
        </w:rPr>
      </w:pPr>
      <w:r>
        <w:rPr/>
        <w:br w:type="column"/>
      </w:r>
      <w:r>
        <w:rPr>
          <w:b/>
          <w:sz w:val="18"/>
        </w:rPr>
        <w:t>2012</w:t>
      </w:r>
    </w:p>
    <w:p>
      <w:pPr>
        <w:spacing w:before="66"/>
        <w:ind w:left="0" w:right="0" w:firstLine="0"/>
        <w:jc w:val="right"/>
        <w:rPr>
          <w:b/>
          <w:sz w:val="18"/>
        </w:rPr>
      </w:pPr>
      <w:r>
        <w:rPr>
          <w:b/>
          <w:w w:val="95"/>
          <w:sz w:val="18"/>
        </w:rPr>
        <w:t>$'000</w:t>
      </w:r>
    </w:p>
    <w:p>
      <w:pPr>
        <w:spacing w:before="66"/>
        <w:ind w:left="726" w:right="892" w:firstLine="0"/>
        <w:jc w:val="center"/>
        <w:rPr>
          <w:b/>
          <w:sz w:val="18"/>
        </w:rPr>
      </w:pPr>
      <w:r>
        <w:rPr/>
        <w:br w:type="column"/>
      </w:r>
      <w:r>
        <w:rPr>
          <w:b/>
          <w:sz w:val="18"/>
        </w:rPr>
        <w:t>2011</w:t>
      </w:r>
    </w:p>
    <w:p>
      <w:pPr>
        <w:spacing w:before="66"/>
        <w:ind w:left="763" w:right="886" w:firstLine="0"/>
        <w:jc w:val="center"/>
        <w:rPr>
          <w:b/>
          <w:sz w:val="18"/>
        </w:rPr>
      </w:pPr>
      <w:r>
        <w:rPr>
          <w:b/>
          <w:sz w:val="18"/>
        </w:rPr>
        <w:t>$'000</w:t>
      </w:r>
    </w:p>
    <w:p>
      <w:pPr>
        <w:spacing w:after="0"/>
        <w:jc w:val="center"/>
        <w:rPr>
          <w:sz w:val="18"/>
        </w:rPr>
        <w:sectPr>
          <w:type w:val="continuous"/>
          <w:pgSz w:w="11910" w:h="16840"/>
          <w:pgMar w:top="0" w:bottom="280" w:left="900" w:right="880"/>
          <w:cols w:num="4" w:equalWidth="0">
            <w:col w:w="5180" w:space="40"/>
            <w:col w:w="1230" w:space="40"/>
            <w:col w:w="1454" w:space="40"/>
            <w:col w:w="2146"/>
          </w:cols>
        </w:sectPr>
      </w:pPr>
    </w:p>
    <w:p>
      <w:pPr>
        <w:pStyle w:val="BodyText"/>
        <w:spacing w:before="11"/>
        <w:rPr>
          <w:b/>
          <w:sz w:val="5"/>
        </w:rPr>
      </w:pPr>
    </w:p>
    <w:tbl>
      <w:tblPr>
        <w:tblW w:w="0" w:type="auto"/>
        <w:jc w:val="left"/>
        <w:tblInd w:w="10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4"/>
        <w:gridCol w:w="1834"/>
        <w:gridCol w:w="1382"/>
        <w:gridCol w:w="1382"/>
        <w:gridCol w:w="930"/>
      </w:tblGrid>
      <w:tr>
        <w:trPr>
          <w:trHeight w:val="720" w:hRule="exact"/>
        </w:trPr>
        <w:tc>
          <w:tcPr>
            <w:tcW w:w="3414" w:type="dxa"/>
          </w:tcPr>
          <w:p>
            <w:pPr>
              <w:pStyle w:val="TableParagraph"/>
              <w:spacing w:before="77"/>
              <w:ind w:left="35" w:right="690" w:hanging="1"/>
              <w:rPr>
                <w:b/>
                <w:sz w:val="18"/>
              </w:rPr>
            </w:pPr>
            <w:r>
              <w:rPr>
                <w:b/>
                <w:sz w:val="18"/>
              </w:rPr>
              <w:t>Movements in the provision for impaired receivables are as follows:</w:t>
            </w:r>
          </w:p>
        </w:tc>
        <w:tc>
          <w:tcPr>
            <w:tcW w:w="5527" w:type="dxa"/>
            <w:gridSpan w:val="4"/>
          </w:tcPr>
          <w:p>
            <w:pPr/>
          </w:p>
        </w:tc>
      </w:tr>
      <w:tr>
        <w:trPr>
          <w:trHeight w:val="250" w:hRule="exact"/>
        </w:trPr>
        <w:tc>
          <w:tcPr>
            <w:tcW w:w="3414" w:type="dxa"/>
          </w:tcPr>
          <w:p>
            <w:pPr>
              <w:pStyle w:val="TableParagraph"/>
              <w:spacing w:before="6"/>
              <w:ind w:left="35" w:right="690"/>
              <w:rPr>
                <w:sz w:val="18"/>
              </w:rPr>
            </w:pPr>
            <w:r>
              <w:rPr>
                <w:sz w:val="18"/>
              </w:rPr>
              <w:t>At 1 January</w:t>
            </w:r>
          </w:p>
        </w:tc>
        <w:tc>
          <w:tcPr>
            <w:tcW w:w="1834" w:type="dxa"/>
          </w:tcPr>
          <w:p>
            <w:pPr>
              <w:pStyle w:val="TableParagraph"/>
              <w:spacing w:before="4"/>
              <w:ind w:right="451"/>
              <w:jc w:val="right"/>
              <w:rPr>
                <w:b/>
                <w:sz w:val="18"/>
              </w:rPr>
            </w:pPr>
            <w:r>
              <w:rPr>
                <w:b/>
                <w:w w:val="95"/>
                <w:sz w:val="18"/>
              </w:rPr>
              <w:t>1,527</w:t>
            </w:r>
          </w:p>
        </w:tc>
        <w:tc>
          <w:tcPr>
            <w:tcW w:w="1382" w:type="dxa"/>
          </w:tcPr>
          <w:p>
            <w:pPr>
              <w:pStyle w:val="TableParagraph"/>
              <w:spacing w:before="4"/>
              <w:ind w:left="463" w:right="458"/>
              <w:jc w:val="center"/>
              <w:rPr>
                <w:sz w:val="18"/>
              </w:rPr>
            </w:pPr>
            <w:r>
              <w:rPr>
                <w:sz w:val="18"/>
              </w:rPr>
              <w:t>848</w:t>
            </w:r>
          </w:p>
        </w:tc>
        <w:tc>
          <w:tcPr>
            <w:tcW w:w="1382" w:type="dxa"/>
          </w:tcPr>
          <w:p>
            <w:pPr>
              <w:pStyle w:val="TableParagraph"/>
              <w:spacing w:before="4"/>
              <w:ind w:right="451"/>
              <w:jc w:val="right"/>
              <w:rPr>
                <w:b/>
                <w:sz w:val="18"/>
              </w:rPr>
            </w:pPr>
            <w:r>
              <w:rPr>
                <w:b/>
                <w:w w:val="95"/>
                <w:sz w:val="18"/>
              </w:rPr>
              <w:t>6,523</w:t>
            </w:r>
          </w:p>
        </w:tc>
        <w:tc>
          <w:tcPr>
            <w:tcW w:w="930" w:type="dxa"/>
          </w:tcPr>
          <w:p>
            <w:pPr>
              <w:pStyle w:val="TableParagraph"/>
              <w:spacing w:before="4"/>
              <w:ind w:left="393"/>
              <w:rPr>
                <w:sz w:val="18"/>
              </w:rPr>
            </w:pPr>
            <w:r>
              <w:rPr>
                <w:sz w:val="18"/>
              </w:rPr>
              <w:t>5,335</w:t>
            </w:r>
          </w:p>
        </w:tc>
      </w:tr>
      <w:tr>
        <w:trPr>
          <w:trHeight w:val="674" w:hRule="exact"/>
        </w:trPr>
        <w:tc>
          <w:tcPr>
            <w:tcW w:w="3414" w:type="dxa"/>
          </w:tcPr>
          <w:p>
            <w:pPr>
              <w:pStyle w:val="TableParagraph"/>
              <w:spacing w:before="17"/>
              <w:ind w:left="35" w:right="657"/>
              <w:rPr>
                <w:sz w:val="18"/>
              </w:rPr>
            </w:pPr>
            <w:r>
              <w:rPr>
                <w:sz w:val="18"/>
              </w:rPr>
              <w:t>Provision for impairment recognised / (reversed) during the year</w:t>
            </w:r>
          </w:p>
        </w:tc>
        <w:tc>
          <w:tcPr>
            <w:tcW w:w="1834" w:type="dxa"/>
          </w:tcPr>
          <w:p>
            <w:pPr>
              <w:pStyle w:val="TableParagraph"/>
              <w:rPr>
                <w:b/>
                <w:sz w:val="18"/>
              </w:rPr>
            </w:pPr>
          </w:p>
          <w:p>
            <w:pPr>
              <w:pStyle w:val="TableParagraph"/>
              <w:spacing w:before="4"/>
              <w:rPr>
                <w:b/>
                <w:sz w:val="19"/>
              </w:rPr>
            </w:pPr>
          </w:p>
          <w:p>
            <w:pPr>
              <w:pStyle w:val="TableParagraph"/>
              <w:ind w:right="391"/>
              <w:jc w:val="right"/>
              <w:rPr>
                <w:b/>
                <w:sz w:val="18"/>
              </w:rPr>
            </w:pPr>
            <w:r>
              <w:rPr>
                <w:b/>
                <w:w w:val="95"/>
                <w:sz w:val="18"/>
              </w:rPr>
              <w:t>(267)</w:t>
            </w:r>
          </w:p>
        </w:tc>
        <w:tc>
          <w:tcPr>
            <w:tcW w:w="1382" w:type="dxa"/>
          </w:tcPr>
          <w:p>
            <w:pPr>
              <w:pStyle w:val="TableParagraph"/>
              <w:rPr>
                <w:b/>
                <w:sz w:val="18"/>
              </w:rPr>
            </w:pPr>
          </w:p>
          <w:p>
            <w:pPr>
              <w:pStyle w:val="TableParagraph"/>
              <w:spacing w:before="4"/>
              <w:rPr>
                <w:b/>
                <w:sz w:val="19"/>
              </w:rPr>
            </w:pPr>
          </w:p>
          <w:p>
            <w:pPr>
              <w:pStyle w:val="TableParagraph"/>
              <w:ind w:left="463" w:right="458"/>
              <w:jc w:val="center"/>
              <w:rPr>
                <w:sz w:val="18"/>
              </w:rPr>
            </w:pPr>
            <w:r>
              <w:rPr>
                <w:sz w:val="18"/>
              </w:rPr>
              <w:t>805</w:t>
            </w:r>
          </w:p>
        </w:tc>
        <w:tc>
          <w:tcPr>
            <w:tcW w:w="1382" w:type="dxa"/>
          </w:tcPr>
          <w:p>
            <w:pPr>
              <w:pStyle w:val="TableParagraph"/>
              <w:rPr>
                <w:b/>
                <w:sz w:val="18"/>
              </w:rPr>
            </w:pPr>
          </w:p>
          <w:p>
            <w:pPr>
              <w:pStyle w:val="TableParagraph"/>
              <w:spacing w:before="4"/>
              <w:rPr>
                <w:b/>
                <w:sz w:val="19"/>
              </w:rPr>
            </w:pPr>
          </w:p>
          <w:p>
            <w:pPr>
              <w:pStyle w:val="TableParagraph"/>
              <w:ind w:right="392"/>
              <w:jc w:val="right"/>
              <w:rPr>
                <w:b/>
                <w:sz w:val="18"/>
              </w:rPr>
            </w:pPr>
            <w:r>
              <w:rPr>
                <w:b/>
                <w:w w:val="95"/>
                <w:sz w:val="18"/>
              </w:rPr>
              <w:t>(20)</w:t>
            </w:r>
          </w:p>
        </w:tc>
        <w:tc>
          <w:tcPr>
            <w:tcW w:w="930" w:type="dxa"/>
          </w:tcPr>
          <w:p>
            <w:pPr>
              <w:pStyle w:val="TableParagraph"/>
              <w:rPr>
                <w:b/>
                <w:sz w:val="18"/>
              </w:rPr>
            </w:pPr>
          </w:p>
          <w:p>
            <w:pPr>
              <w:pStyle w:val="TableParagraph"/>
              <w:spacing w:before="4"/>
              <w:rPr>
                <w:b/>
                <w:sz w:val="19"/>
              </w:rPr>
            </w:pPr>
          </w:p>
          <w:p>
            <w:pPr>
              <w:pStyle w:val="TableParagraph"/>
              <w:ind w:left="393"/>
              <w:rPr>
                <w:sz w:val="18"/>
              </w:rPr>
            </w:pPr>
            <w:r>
              <w:rPr>
                <w:sz w:val="18"/>
              </w:rPr>
              <w:t>1,314</w:t>
            </w:r>
          </w:p>
        </w:tc>
      </w:tr>
      <w:tr>
        <w:trPr>
          <w:trHeight w:val="673" w:hRule="exact"/>
        </w:trPr>
        <w:tc>
          <w:tcPr>
            <w:tcW w:w="3414" w:type="dxa"/>
          </w:tcPr>
          <w:p>
            <w:pPr>
              <w:pStyle w:val="TableParagraph"/>
              <w:spacing w:before="17"/>
              <w:ind w:left="35" w:right="1048"/>
              <w:rPr>
                <w:sz w:val="18"/>
              </w:rPr>
            </w:pPr>
            <w:r>
              <w:rPr>
                <w:sz w:val="18"/>
              </w:rPr>
              <w:t>Receivables written off / (reversed) during the year as uncollectible</w:t>
            </w:r>
          </w:p>
        </w:tc>
        <w:tc>
          <w:tcPr>
            <w:tcW w:w="1834" w:type="dxa"/>
            <w:tcBorders>
              <w:bottom w:val="single" w:sz="0" w:space="0" w:color="000000"/>
            </w:tcBorders>
          </w:tcPr>
          <w:p>
            <w:pPr>
              <w:pStyle w:val="TableParagraph"/>
              <w:rPr>
                <w:b/>
                <w:sz w:val="18"/>
              </w:rPr>
            </w:pPr>
          </w:p>
          <w:p>
            <w:pPr>
              <w:pStyle w:val="TableParagraph"/>
              <w:spacing w:before="3"/>
              <w:rPr>
                <w:b/>
                <w:sz w:val="19"/>
              </w:rPr>
            </w:pPr>
          </w:p>
          <w:p>
            <w:pPr>
              <w:pStyle w:val="TableParagraph"/>
              <w:spacing w:before="1"/>
              <w:ind w:right="391"/>
              <w:jc w:val="right"/>
              <w:rPr>
                <w:b/>
                <w:sz w:val="18"/>
              </w:rPr>
            </w:pPr>
            <w:r>
              <w:rPr>
                <w:b/>
                <w:w w:val="95"/>
                <w:sz w:val="18"/>
              </w:rPr>
              <w:t>(150)</w:t>
            </w:r>
          </w:p>
        </w:tc>
        <w:tc>
          <w:tcPr>
            <w:tcW w:w="1382" w:type="dxa"/>
            <w:tcBorders>
              <w:bottom w:val="single" w:sz="0" w:space="0" w:color="000000"/>
            </w:tcBorders>
          </w:tcPr>
          <w:p>
            <w:pPr>
              <w:pStyle w:val="TableParagraph"/>
              <w:rPr>
                <w:b/>
                <w:sz w:val="18"/>
              </w:rPr>
            </w:pPr>
          </w:p>
          <w:p>
            <w:pPr>
              <w:pStyle w:val="TableParagraph"/>
              <w:spacing w:before="3"/>
              <w:rPr>
                <w:b/>
                <w:sz w:val="19"/>
              </w:rPr>
            </w:pPr>
          </w:p>
          <w:p>
            <w:pPr>
              <w:pStyle w:val="TableParagraph"/>
              <w:spacing w:before="1"/>
              <w:ind w:left="463" w:right="458"/>
              <w:jc w:val="center"/>
              <w:rPr>
                <w:sz w:val="18"/>
              </w:rPr>
            </w:pPr>
            <w:r>
              <w:rPr>
                <w:sz w:val="18"/>
              </w:rPr>
              <w:t>(126)</w:t>
            </w:r>
          </w:p>
        </w:tc>
        <w:tc>
          <w:tcPr>
            <w:tcW w:w="1382" w:type="dxa"/>
            <w:tcBorders>
              <w:bottom w:val="single" w:sz="0" w:space="0" w:color="000000"/>
            </w:tcBorders>
          </w:tcPr>
          <w:p>
            <w:pPr>
              <w:pStyle w:val="TableParagraph"/>
              <w:rPr>
                <w:b/>
                <w:sz w:val="18"/>
              </w:rPr>
            </w:pPr>
          </w:p>
          <w:p>
            <w:pPr>
              <w:pStyle w:val="TableParagraph"/>
              <w:spacing w:before="3"/>
              <w:rPr>
                <w:b/>
                <w:sz w:val="19"/>
              </w:rPr>
            </w:pPr>
          </w:p>
          <w:p>
            <w:pPr>
              <w:pStyle w:val="TableParagraph"/>
              <w:spacing w:before="1"/>
              <w:ind w:right="391"/>
              <w:jc w:val="right"/>
              <w:rPr>
                <w:b/>
                <w:sz w:val="18"/>
              </w:rPr>
            </w:pPr>
            <w:r>
              <w:rPr>
                <w:b/>
                <w:sz w:val="18"/>
              </w:rPr>
              <w:t>(150)</w:t>
            </w:r>
          </w:p>
        </w:tc>
        <w:tc>
          <w:tcPr>
            <w:tcW w:w="930" w:type="dxa"/>
            <w:tcBorders>
              <w:bottom w:val="single" w:sz="0" w:space="0" w:color="000000"/>
            </w:tcBorders>
          </w:tcPr>
          <w:p>
            <w:pPr>
              <w:pStyle w:val="TableParagraph"/>
              <w:rPr>
                <w:b/>
                <w:sz w:val="18"/>
              </w:rPr>
            </w:pPr>
          </w:p>
          <w:p>
            <w:pPr>
              <w:pStyle w:val="TableParagraph"/>
              <w:spacing w:before="3"/>
              <w:rPr>
                <w:b/>
                <w:sz w:val="19"/>
              </w:rPr>
            </w:pPr>
          </w:p>
          <w:p>
            <w:pPr>
              <w:pStyle w:val="TableParagraph"/>
              <w:spacing w:before="1"/>
              <w:ind w:left="483"/>
              <w:rPr>
                <w:sz w:val="18"/>
              </w:rPr>
            </w:pPr>
            <w:r>
              <w:rPr>
                <w:sz w:val="18"/>
              </w:rPr>
              <w:t>(126)</w:t>
            </w:r>
          </w:p>
        </w:tc>
      </w:tr>
      <w:tr>
        <w:trPr>
          <w:trHeight w:val="338" w:hRule="exact"/>
        </w:trPr>
        <w:tc>
          <w:tcPr>
            <w:tcW w:w="3414" w:type="dxa"/>
          </w:tcPr>
          <w:p>
            <w:pPr>
              <w:pStyle w:val="TableParagraph"/>
              <w:spacing w:before="123"/>
              <w:ind w:left="35" w:right="690"/>
              <w:rPr>
                <w:b/>
                <w:sz w:val="18"/>
              </w:rPr>
            </w:pPr>
            <w:r>
              <w:rPr>
                <w:b/>
                <w:sz w:val="18"/>
              </w:rPr>
              <w:t>At 31 December</w:t>
            </w:r>
          </w:p>
        </w:tc>
        <w:tc>
          <w:tcPr>
            <w:tcW w:w="1834" w:type="dxa"/>
            <w:tcBorders>
              <w:top w:val="single" w:sz="0" w:space="0" w:color="000000"/>
              <w:bottom w:val="single" w:sz="0" w:space="0" w:color="000000"/>
            </w:tcBorders>
          </w:tcPr>
          <w:p>
            <w:pPr>
              <w:pStyle w:val="TableParagraph"/>
              <w:spacing w:before="122"/>
              <w:ind w:right="451"/>
              <w:jc w:val="right"/>
              <w:rPr>
                <w:b/>
                <w:sz w:val="18"/>
              </w:rPr>
            </w:pPr>
            <w:r>
              <w:rPr>
                <w:b/>
                <w:w w:val="95"/>
                <w:sz w:val="18"/>
              </w:rPr>
              <w:t>1,110</w:t>
            </w:r>
          </w:p>
        </w:tc>
        <w:tc>
          <w:tcPr>
            <w:tcW w:w="1382" w:type="dxa"/>
            <w:tcBorders>
              <w:top w:val="single" w:sz="0" w:space="0" w:color="000000"/>
              <w:bottom w:val="single" w:sz="0" w:space="0" w:color="000000"/>
            </w:tcBorders>
          </w:tcPr>
          <w:p>
            <w:pPr>
              <w:pStyle w:val="TableParagraph"/>
              <w:spacing w:before="122"/>
              <w:ind w:left="393"/>
              <w:rPr>
                <w:sz w:val="18"/>
              </w:rPr>
            </w:pPr>
            <w:r>
              <w:rPr>
                <w:sz w:val="18"/>
              </w:rPr>
              <w:t>1,527</w:t>
            </w:r>
          </w:p>
        </w:tc>
        <w:tc>
          <w:tcPr>
            <w:tcW w:w="1382" w:type="dxa"/>
            <w:tcBorders>
              <w:top w:val="single" w:sz="0" w:space="0" w:color="000000"/>
              <w:bottom w:val="single" w:sz="0" w:space="0" w:color="000000"/>
            </w:tcBorders>
          </w:tcPr>
          <w:p>
            <w:pPr>
              <w:pStyle w:val="TableParagraph"/>
              <w:spacing w:before="122"/>
              <w:ind w:right="451"/>
              <w:jc w:val="right"/>
              <w:rPr>
                <w:b/>
                <w:sz w:val="18"/>
              </w:rPr>
            </w:pPr>
            <w:r>
              <w:rPr>
                <w:b/>
                <w:w w:val="95"/>
                <w:sz w:val="18"/>
              </w:rPr>
              <w:t>6,353</w:t>
            </w:r>
          </w:p>
        </w:tc>
        <w:tc>
          <w:tcPr>
            <w:tcW w:w="930" w:type="dxa"/>
            <w:tcBorders>
              <w:top w:val="single" w:sz="0" w:space="0" w:color="000000"/>
              <w:bottom w:val="single" w:sz="0" w:space="0" w:color="000000"/>
            </w:tcBorders>
          </w:tcPr>
          <w:p>
            <w:pPr>
              <w:pStyle w:val="TableParagraph"/>
              <w:spacing w:before="122"/>
              <w:ind w:left="393"/>
              <w:rPr>
                <w:sz w:val="18"/>
              </w:rPr>
            </w:pPr>
            <w:r>
              <w:rPr>
                <w:sz w:val="18"/>
              </w:rPr>
              <w:t>6,523</w:t>
            </w:r>
          </w:p>
        </w:tc>
      </w:tr>
    </w:tbl>
    <w:p>
      <w:pPr>
        <w:pStyle w:val="BodyText"/>
        <w:spacing w:before="3"/>
        <w:rPr>
          <w:b/>
          <w:sz w:val="19"/>
        </w:rPr>
      </w:pPr>
    </w:p>
    <w:p>
      <w:pPr>
        <w:pStyle w:val="BodyText"/>
        <w:spacing w:before="77"/>
        <w:ind w:left="1072" w:right="128"/>
      </w:pPr>
      <w:r>
        <w:rPr/>
        <w:t>The other amounts within receivables do not contain impaired assets and are not past due. Based on credit history, it is expected that these amounts will be received when due.</w:t>
      </w:r>
    </w:p>
    <w:p>
      <w:pPr>
        <w:pStyle w:val="BodyText"/>
        <w:spacing w:before="3"/>
      </w:pPr>
    </w:p>
    <w:p>
      <w:pPr>
        <w:pStyle w:val="Heading9"/>
        <w:numPr>
          <w:ilvl w:val="0"/>
          <w:numId w:val="14"/>
        </w:numPr>
        <w:tabs>
          <w:tab w:pos="506" w:val="left" w:leader="none"/>
        </w:tabs>
        <w:spacing w:line="240" w:lineRule="auto" w:before="77" w:after="0"/>
        <w:ind w:left="505" w:right="0" w:hanging="396"/>
        <w:jc w:val="left"/>
      </w:pPr>
      <w:r>
        <w:rPr/>
        <w:t>Inventories</w:t>
      </w:r>
    </w:p>
    <w:p>
      <w:pPr>
        <w:tabs>
          <w:tab w:pos="7303" w:val="left" w:leader="none"/>
        </w:tabs>
        <w:spacing w:before="33"/>
        <w:ind w:left="4539" w:right="128" w:firstLine="0"/>
        <w:jc w:val="left"/>
        <w:rPr>
          <w:b/>
          <w:sz w:val="18"/>
        </w:rPr>
      </w:pPr>
      <w:r>
        <w:rPr>
          <w:b/>
          <w:sz w:val="18"/>
        </w:rPr>
        <w:t>Consolidated</w:t>
        <w:tab/>
        <w:t>Parent</w:t>
      </w:r>
    </w:p>
    <w:p>
      <w:pPr>
        <w:spacing w:after="0"/>
        <w:jc w:val="left"/>
        <w:rPr>
          <w:sz w:val="18"/>
        </w:rPr>
        <w:sectPr>
          <w:type w:val="continuous"/>
          <w:pgSz w:w="11910" w:h="16840"/>
          <w:pgMar w:top="0" w:bottom="280" w:left="900" w:right="880"/>
        </w:sectPr>
      </w:pPr>
    </w:p>
    <w:p>
      <w:pPr>
        <w:spacing w:before="66"/>
        <w:ind w:left="0" w:right="40" w:firstLine="0"/>
        <w:jc w:val="right"/>
        <w:rPr>
          <w:b/>
          <w:sz w:val="18"/>
        </w:rPr>
      </w:pPr>
      <w:r>
        <w:rPr>
          <w:b/>
          <w:w w:val="95"/>
          <w:sz w:val="18"/>
        </w:rPr>
        <w:t>2012</w:t>
      </w:r>
    </w:p>
    <w:p>
      <w:pPr>
        <w:spacing w:before="66"/>
        <w:ind w:left="0" w:right="0" w:firstLine="0"/>
        <w:jc w:val="right"/>
        <w:rPr>
          <w:b/>
          <w:sz w:val="18"/>
        </w:rPr>
      </w:pPr>
      <w:r>
        <w:rPr>
          <w:b/>
          <w:sz w:val="18"/>
        </w:rPr>
        <w:t>$'000</w:t>
      </w:r>
    </w:p>
    <w:p>
      <w:pPr>
        <w:spacing w:before="66"/>
        <w:ind w:left="786" w:right="-20" w:firstLine="0"/>
        <w:jc w:val="left"/>
        <w:rPr>
          <w:b/>
          <w:sz w:val="18"/>
        </w:rPr>
      </w:pPr>
      <w:r>
        <w:rPr/>
        <w:br w:type="column"/>
      </w:r>
      <w:r>
        <w:rPr>
          <w:b/>
          <w:sz w:val="18"/>
        </w:rPr>
        <w:t>2011</w:t>
      </w:r>
    </w:p>
    <w:p>
      <w:pPr>
        <w:spacing w:before="66"/>
        <w:ind w:left="786" w:right="-20" w:firstLine="0"/>
        <w:jc w:val="left"/>
        <w:rPr>
          <w:b/>
          <w:sz w:val="18"/>
        </w:rPr>
      </w:pPr>
      <w:r>
        <w:rPr>
          <w:b/>
          <w:sz w:val="18"/>
        </w:rPr>
        <w:t>$'000</w:t>
      </w:r>
    </w:p>
    <w:p>
      <w:pPr>
        <w:spacing w:before="66"/>
        <w:ind w:left="0" w:right="40" w:firstLine="0"/>
        <w:jc w:val="right"/>
        <w:rPr>
          <w:b/>
          <w:sz w:val="18"/>
        </w:rPr>
      </w:pPr>
      <w:r>
        <w:rPr/>
        <w:br w:type="column"/>
      </w:r>
      <w:r>
        <w:rPr>
          <w:b/>
          <w:sz w:val="18"/>
        </w:rPr>
        <w:t>2012</w:t>
      </w:r>
    </w:p>
    <w:p>
      <w:pPr>
        <w:spacing w:before="66"/>
        <w:ind w:left="0" w:right="0" w:firstLine="0"/>
        <w:jc w:val="right"/>
        <w:rPr>
          <w:b/>
          <w:sz w:val="18"/>
        </w:rPr>
      </w:pPr>
      <w:r>
        <w:rPr>
          <w:b/>
          <w:w w:val="95"/>
          <w:sz w:val="18"/>
        </w:rPr>
        <w:t>$'000</w:t>
      </w:r>
    </w:p>
    <w:p>
      <w:pPr>
        <w:spacing w:before="66"/>
        <w:ind w:left="726" w:right="892" w:firstLine="0"/>
        <w:jc w:val="center"/>
        <w:rPr>
          <w:b/>
          <w:sz w:val="18"/>
        </w:rPr>
      </w:pPr>
      <w:r>
        <w:rPr/>
        <w:br w:type="column"/>
      </w:r>
      <w:r>
        <w:rPr>
          <w:b/>
          <w:sz w:val="18"/>
        </w:rPr>
        <w:t>2011</w:t>
      </w:r>
    </w:p>
    <w:p>
      <w:pPr>
        <w:spacing w:before="66"/>
        <w:ind w:left="763" w:right="886" w:firstLine="0"/>
        <w:jc w:val="center"/>
        <w:rPr>
          <w:b/>
          <w:sz w:val="18"/>
        </w:rPr>
      </w:pPr>
      <w:r>
        <w:rPr>
          <w:b/>
          <w:sz w:val="18"/>
        </w:rPr>
        <w:t>$'000</w:t>
      </w:r>
    </w:p>
    <w:p>
      <w:pPr>
        <w:spacing w:after="0"/>
        <w:jc w:val="center"/>
        <w:rPr>
          <w:sz w:val="18"/>
        </w:rPr>
        <w:sectPr>
          <w:type w:val="continuous"/>
          <w:pgSz w:w="11910" w:h="16840"/>
          <w:pgMar w:top="0" w:bottom="280" w:left="900" w:right="880"/>
          <w:cols w:num="4" w:equalWidth="0">
            <w:col w:w="5180" w:space="40"/>
            <w:col w:w="1230" w:space="40"/>
            <w:col w:w="1454" w:space="40"/>
            <w:col w:w="2146"/>
          </w:cols>
        </w:sectPr>
      </w:pPr>
    </w:p>
    <w:p>
      <w:pPr>
        <w:pStyle w:val="BodyText"/>
        <w:spacing w:before="11"/>
        <w:rPr>
          <w:b/>
          <w:sz w:val="5"/>
        </w:rPr>
      </w:pPr>
    </w:p>
    <w:tbl>
      <w:tblPr>
        <w:tblW w:w="0" w:type="auto"/>
        <w:jc w:val="left"/>
        <w:tblInd w:w="5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81"/>
        <w:gridCol w:w="1804"/>
        <w:gridCol w:w="1576"/>
        <w:gridCol w:w="2147"/>
      </w:tblGrid>
      <w:tr>
        <w:trPr>
          <w:trHeight w:val="626" w:hRule="exact"/>
        </w:trPr>
        <w:tc>
          <w:tcPr>
            <w:tcW w:w="3981" w:type="dxa"/>
          </w:tcPr>
          <w:p>
            <w:pPr>
              <w:pStyle w:val="TableParagraph"/>
              <w:spacing w:before="77"/>
              <w:ind w:left="35" w:hanging="1"/>
              <w:rPr>
                <w:b/>
                <w:sz w:val="18"/>
              </w:rPr>
            </w:pPr>
            <w:r>
              <w:rPr>
                <w:b/>
                <w:sz w:val="18"/>
              </w:rPr>
              <w:t>Current</w:t>
            </w:r>
          </w:p>
          <w:p>
            <w:pPr>
              <w:pStyle w:val="TableParagraph"/>
              <w:spacing w:before="112"/>
              <w:ind w:left="35"/>
              <w:rPr>
                <w:sz w:val="18"/>
              </w:rPr>
            </w:pPr>
            <w:r>
              <w:rPr>
                <w:sz w:val="18"/>
              </w:rPr>
              <w:t>At cost:</w:t>
            </w:r>
          </w:p>
        </w:tc>
        <w:tc>
          <w:tcPr>
            <w:tcW w:w="5527" w:type="dxa"/>
            <w:gridSpan w:val="3"/>
          </w:tcPr>
          <w:p>
            <w:pPr/>
          </w:p>
        </w:tc>
      </w:tr>
      <w:tr>
        <w:trPr>
          <w:trHeight w:val="249" w:hRule="exact"/>
        </w:trPr>
        <w:tc>
          <w:tcPr>
            <w:tcW w:w="3981" w:type="dxa"/>
          </w:tcPr>
          <w:p>
            <w:pPr>
              <w:pStyle w:val="TableParagraph"/>
              <w:spacing w:before="4"/>
              <w:ind w:left="35"/>
              <w:rPr>
                <w:sz w:val="18"/>
              </w:rPr>
            </w:pPr>
            <w:r>
              <w:rPr>
                <w:sz w:val="18"/>
              </w:rPr>
              <w:t>Stock on hand</w:t>
            </w:r>
          </w:p>
        </w:tc>
        <w:tc>
          <w:tcPr>
            <w:tcW w:w="1804" w:type="dxa"/>
            <w:tcBorders>
              <w:bottom w:val="single" w:sz="0" w:space="0" w:color="000000"/>
            </w:tcBorders>
          </w:tcPr>
          <w:p>
            <w:pPr>
              <w:pStyle w:val="TableParagraph"/>
              <w:spacing w:before="5"/>
              <w:ind w:right="421"/>
              <w:jc w:val="right"/>
              <w:rPr>
                <w:b/>
                <w:sz w:val="18"/>
              </w:rPr>
            </w:pPr>
            <w:r>
              <w:rPr>
                <w:b/>
                <w:w w:val="95"/>
                <w:sz w:val="18"/>
              </w:rPr>
              <w:t>5,531</w:t>
            </w:r>
          </w:p>
        </w:tc>
        <w:tc>
          <w:tcPr>
            <w:tcW w:w="1576" w:type="dxa"/>
            <w:tcBorders>
              <w:bottom w:val="single" w:sz="0" w:space="0" w:color="000000"/>
            </w:tcBorders>
          </w:tcPr>
          <w:p>
            <w:pPr>
              <w:pStyle w:val="TableParagraph"/>
              <w:spacing w:before="5"/>
              <w:ind w:left="423"/>
              <w:rPr>
                <w:sz w:val="18"/>
              </w:rPr>
            </w:pPr>
            <w:r>
              <w:rPr>
                <w:sz w:val="18"/>
              </w:rPr>
              <w:t>5,131</w:t>
            </w:r>
          </w:p>
        </w:tc>
        <w:tc>
          <w:tcPr>
            <w:tcW w:w="2147" w:type="dxa"/>
            <w:tcBorders>
              <w:bottom w:val="single" w:sz="0" w:space="0" w:color="000000"/>
            </w:tcBorders>
          </w:tcPr>
          <w:p>
            <w:pPr>
              <w:pStyle w:val="TableParagraph"/>
              <w:tabs>
                <w:tab w:pos="1297" w:val="left" w:leader="none"/>
              </w:tabs>
              <w:spacing w:before="5"/>
              <w:ind w:right="85"/>
              <w:jc w:val="right"/>
              <w:rPr>
                <w:sz w:val="18"/>
              </w:rPr>
            </w:pPr>
            <w:r>
              <w:rPr>
                <w:b/>
                <w:sz w:val="18"/>
              </w:rPr>
              <w:t>-</w:t>
              <w:tab/>
            </w:r>
            <w:r>
              <w:rPr>
                <w:spacing w:val="-1"/>
                <w:sz w:val="18"/>
              </w:rPr>
              <w:t>-</w:t>
            </w:r>
          </w:p>
        </w:tc>
      </w:tr>
      <w:tr>
        <w:trPr>
          <w:trHeight w:val="353" w:hRule="exact"/>
        </w:trPr>
        <w:tc>
          <w:tcPr>
            <w:tcW w:w="3981" w:type="dxa"/>
          </w:tcPr>
          <w:p>
            <w:pPr>
              <w:pStyle w:val="TableParagraph"/>
              <w:spacing w:before="123"/>
              <w:ind w:left="35"/>
              <w:rPr>
                <w:b/>
                <w:sz w:val="18"/>
              </w:rPr>
            </w:pPr>
            <w:r>
              <w:rPr>
                <w:b/>
                <w:sz w:val="18"/>
              </w:rPr>
              <w:t>Total inventories</w:t>
            </w:r>
          </w:p>
        </w:tc>
        <w:tc>
          <w:tcPr>
            <w:tcW w:w="1804" w:type="dxa"/>
            <w:tcBorders>
              <w:top w:val="single" w:sz="0" w:space="0" w:color="000000"/>
              <w:bottom w:val="single" w:sz="0" w:space="0" w:color="000000"/>
            </w:tcBorders>
          </w:tcPr>
          <w:p>
            <w:pPr>
              <w:pStyle w:val="TableParagraph"/>
              <w:spacing w:before="122"/>
              <w:ind w:right="421"/>
              <w:jc w:val="right"/>
              <w:rPr>
                <w:b/>
                <w:sz w:val="18"/>
              </w:rPr>
            </w:pPr>
            <w:r>
              <w:rPr>
                <w:b/>
                <w:w w:val="95"/>
                <w:sz w:val="18"/>
              </w:rPr>
              <w:t>5,531</w:t>
            </w:r>
          </w:p>
        </w:tc>
        <w:tc>
          <w:tcPr>
            <w:tcW w:w="1576" w:type="dxa"/>
            <w:tcBorders>
              <w:top w:val="single" w:sz="0" w:space="0" w:color="000000"/>
              <w:bottom w:val="single" w:sz="0" w:space="0" w:color="000000"/>
            </w:tcBorders>
          </w:tcPr>
          <w:p>
            <w:pPr>
              <w:pStyle w:val="TableParagraph"/>
              <w:spacing w:before="122"/>
              <w:ind w:left="423"/>
              <w:rPr>
                <w:sz w:val="18"/>
              </w:rPr>
            </w:pPr>
            <w:r>
              <w:rPr>
                <w:sz w:val="18"/>
              </w:rPr>
              <w:t>5,131</w:t>
            </w:r>
          </w:p>
        </w:tc>
        <w:tc>
          <w:tcPr>
            <w:tcW w:w="2147" w:type="dxa"/>
            <w:tcBorders>
              <w:top w:val="single" w:sz="0" w:space="0" w:color="000000"/>
              <w:bottom w:val="single" w:sz="0" w:space="0" w:color="000000"/>
            </w:tcBorders>
          </w:tcPr>
          <w:p>
            <w:pPr>
              <w:pStyle w:val="TableParagraph"/>
              <w:tabs>
                <w:tab w:pos="1297" w:val="left" w:leader="none"/>
              </w:tabs>
              <w:spacing w:before="122"/>
              <w:ind w:right="85"/>
              <w:jc w:val="right"/>
              <w:rPr>
                <w:sz w:val="18"/>
              </w:rPr>
            </w:pPr>
            <w:r>
              <w:rPr>
                <w:b/>
                <w:sz w:val="18"/>
              </w:rPr>
              <w:t>-</w:t>
              <w:tab/>
            </w:r>
            <w:r>
              <w:rPr>
                <w:spacing w:val="-1"/>
                <w:sz w:val="18"/>
              </w:rPr>
              <w:t>-</w:t>
            </w:r>
          </w:p>
        </w:tc>
      </w:tr>
    </w:tbl>
    <w:p>
      <w:pPr>
        <w:spacing w:after="0"/>
        <w:jc w:val="right"/>
        <w:rPr>
          <w:sz w:val="18"/>
        </w:rPr>
        <w:sectPr>
          <w:type w:val="continuous"/>
          <w:pgSz w:w="11910" w:h="16840"/>
          <w:pgMar w:top="0" w:bottom="280" w:left="900" w:right="880"/>
        </w:sectPr>
      </w:pPr>
    </w:p>
    <w:p>
      <w:pPr>
        <w:pStyle w:val="BodyText"/>
        <w:spacing w:before="7"/>
        <w:rPr>
          <w:b/>
          <w:sz w:val="26"/>
        </w:rPr>
      </w:pPr>
    </w:p>
    <w:p>
      <w:pPr>
        <w:pStyle w:val="Heading9"/>
        <w:numPr>
          <w:ilvl w:val="0"/>
          <w:numId w:val="14"/>
        </w:numPr>
        <w:tabs>
          <w:tab w:pos="501" w:val="left" w:leader="none"/>
        </w:tabs>
        <w:spacing w:line="240" w:lineRule="auto" w:before="77" w:after="0"/>
        <w:ind w:left="500" w:right="0" w:hanging="391"/>
        <w:jc w:val="left"/>
      </w:pPr>
      <w:r>
        <w:rPr/>
        <w:t>Property, plant and</w:t>
      </w:r>
      <w:r>
        <w:rPr>
          <w:spacing w:val="-35"/>
        </w:rPr>
        <w:t> </w:t>
      </w:r>
      <w:r>
        <w:rPr/>
        <w:t>equipment</w:t>
      </w:r>
    </w:p>
    <w:p>
      <w:pPr>
        <w:pStyle w:val="BodyText"/>
        <w:spacing w:before="3"/>
        <w:rPr>
          <w:b/>
          <w:sz w:val="19"/>
        </w:rPr>
      </w:pPr>
    </w:p>
    <w:p>
      <w:pPr>
        <w:spacing w:after="0"/>
        <w:rPr>
          <w:sz w:val="19"/>
        </w:rPr>
        <w:sectPr>
          <w:headerReference w:type="default" r:id="rId78"/>
          <w:footerReference w:type="default" r:id="rId79"/>
          <w:pgSz w:w="16840" w:h="11910" w:orient="landscape"/>
          <w:pgMar w:header="1038" w:footer="507" w:top="2220" w:bottom="700" w:left="900" w:right="780"/>
          <w:pgNumType w:start="40"/>
        </w:sectPr>
      </w:pPr>
    </w:p>
    <w:p>
      <w:pPr>
        <w:pStyle w:val="BodyText"/>
        <w:rPr>
          <w:b/>
          <w:sz w:val="16"/>
        </w:rPr>
      </w:pPr>
    </w:p>
    <w:p>
      <w:pPr>
        <w:spacing w:line="292" w:lineRule="auto" w:before="124"/>
        <w:ind w:left="3545" w:right="0" w:hanging="60"/>
        <w:jc w:val="left"/>
        <w:rPr>
          <w:b/>
          <w:sz w:val="16"/>
        </w:rPr>
      </w:pPr>
      <w:r>
        <w:rPr>
          <w:b/>
          <w:sz w:val="16"/>
        </w:rPr>
        <w:t>Construction </w:t>
      </w:r>
      <w:r>
        <w:rPr>
          <w:b/>
          <w:w w:val="105"/>
          <w:sz w:val="16"/>
        </w:rPr>
        <w:t>in Progress</w:t>
      </w:r>
    </w:p>
    <w:p>
      <w:pPr>
        <w:pStyle w:val="BodyText"/>
        <w:rPr>
          <w:b/>
          <w:sz w:val="16"/>
        </w:rPr>
      </w:pPr>
      <w:r>
        <w:rPr/>
        <w:br w:type="column"/>
      </w:r>
      <w:r>
        <w:rPr>
          <w:b/>
          <w:sz w:val="16"/>
        </w:rPr>
      </w:r>
    </w:p>
    <w:p>
      <w:pPr>
        <w:spacing w:line="292" w:lineRule="auto" w:before="124"/>
        <w:ind w:left="243" w:right="0" w:hanging="165"/>
        <w:jc w:val="left"/>
        <w:rPr>
          <w:b/>
          <w:sz w:val="16"/>
        </w:rPr>
      </w:pPr>
      <w:r>
        <w:rPr>
          <w:b/>
          <w:sz w:val="16"/>
        </w:rPr>
        <w:t>Freehold </w:t>
      </w:r>
      <w:r>
        <w:rPr>
          <w:b/>
          <w:w w:val="105"/>
          <w:sz w:val="16"/>
        </w:rPr>
        <w:t>Land</w:t>
      </w:r>
    </w:p>
    <w:p>
      <w:pPr>
        <w:pStyle w:val="BodyText"/>
        <w:rPr>
          <w:b/>
          <w:sz w:val="16"/>
        </w:rPr>
      </w:pPr>
      <w:r>
        <w:rPr/>
        <w:br w:type="column"/>
      </w:r>
      <w:r>
        <w:rPr>
          <w:b/>
          <w:sz w:val="16"/>
        </w:rPr>
      </w:r>
    </w:p>
    <w:p>
      <w:pPr>
        <w:spacing w:before="124"/>
        <w:ind w:left="265" w:right="0" w:firstLine="0"/>
        <w:jc w:val="left"/>
        <w:rPr>
          <w:b/>
          <w:sz w:val="16"/>
        </w:rPr>
      </w:pPr>
      <w:r>
        <w:rPr>
          <w:b/>
          <w:w w:val="105"/>
          <w:sz w:val="16"/>
        </w:rPr>
        <w:t>Crow n</w:t>
      </w:r>
    </w:p>
    <w:p>
      <w:pPr>
        <w:tabs>
          <w:tab w:pos="1148" w:val="left" w:leader="none"/>
        </w:tabs>
        <w:spacing w:before="40"/>
        <w:ind w:left="339" w:right="0" w:firstLine="0"/>
        <w:jc w:val="left"/>
        <w:rPr>
          <w:b/>
          <w:sz w:val="16"/>
        </w:rPr>
      </w:pPr>
      <w:r>
        <w:rPr>
          <w:b/>
          <w:w w:val="105"/>
          <w:sz w:val="16"/>
        </w:rPr>
        <w:t>Land</w:t>
        <w:tab/>
        <w:t>Buildings  </w:t>
      </w:r>
      <w:r>
        <w:rPr>
          <w:b/>
          <w:spacing w:val="15"/>
          <w:w w:val="105"/>
          <w:sz w:val="16"/>
        </w:rPr>
        <w:t> </w:t>
      </w:r>
      <w:r>
        <w:rPr>
          <w:b/>
          <w:spacing w:val="4"/>
          <w:w w:val="105"/>
          <w:sz w:val="16"/>
        </w:rPr>
        <w:t>Infrastucture</w:t>
      </w:r>
    </w:p>
    <w:p>
      <w:pPr>
        <w:spacing w:line="292" w:lineRule="auto" w:before="83"/>
        <w:ind w:left="153" w:right="0" w:firstLine="9"/>
        <w:jc w:val="center"/>
        <w:rPr>
          <w:b/>
          <w:sz w:val="16"/>
        </w:rPr>
      </w:pPr>
      <w:r>
        <w:rPr/>
        <w:br w:type="column"/>
      </w:r>
      <w:r>
        <w:rPr>
          <w:b/>
          <w:w w:val="105"/>
          <w:sz w:val="16"/>
        </w:rPr>
        <w:t>Buildings - Under</w:t>
      </w:r>
      <w:r>
        <w:rPr>
          <w:b/>
          <w:spacing w:val="-16"/>
          <w:w w:val="105"/>
          <w:sz w:val="16"/>
        </w:rPr>
        <w:t> </w:t>
      </w:r>
      <w:r>
        <w:rPr>
          <w:b/>
          <w:w w:val="105"/>
          <w:sz w:val="16"/>
        </w:rPr>
        <w:t>Finance</w:t>
      </w:r>
      <w:r>
        <w:rPr>
          <w:b/>
          <w:w w:val="102"/>
          <w:sz w:val="16"/>
        </w:rPr>
        <w:t> </w:t>
      </w:r>
      <w:r>
        <w:rPr>
          <w:b/>
          <w:spacing w:val="5"/>
          <w:w w:val="105"/>
          <w:sz w:val="16"/>
        </w:rPr>
        <w:t>Lease</w:t>
      </w:r>
    </w:p>
    <w:p>
      <w:pPr>
        <w:pStyle w:val="BodyText"/>
        <w:rPr>
          <w:b/>
          <w:sz w:val="16"/>
        </w:rPr>
      </w:pPr>
      <w:r>
        <w:rPr/>
        <w:br w:type="column"/>
      </w:r>
      <w:r>
        <w:rPr>
          <w:b/>
          <w:sz w:val="16"/>
        </w:rPr>
      </w:r>
    </w:p>
    <w:p>
      <w:pPr>
        <w:spacing w:line="292" w:lineRule="auto" w:before="124"/>
        <w:ind w:left="168" w:right="-11" w:firstLine="75"/>
        <w:jc w:val="left"/>
        <w:rPr>
          <w:b/>
          <w:sz w:val="16"/>
        </w:rPr>
      </w:pPr>
      <w:r>
        <w:rPr>
          <w:b/>
          <w:w w:val="105"/>
          <w:sz w:val="16"/>
        </w:rPr>
        <w:t>Plant and </w:t>
      </w:r>
      <w:r>
        <w:rPr>
          <w:b/>
          <w:sz w:val="16"/>
        </w:rPr>
        <w:t>Equipm ent</w:t>
      </w:r>
    </w:p>
    <w:p>
      <w:pPr>
        <w:pStyle w:val="BodyText"/>
        <w:rPr>
          <w:b/>
          <w:sz w:val="16"/>
        </w:rPr>
      </w:pPr>
      <w:r>
        <w:rPr/>
        <w:br w:type="column"/>
      </w:r>
      <w:r>
        <w:rPr>
          <w:b/>
          <w:sz w:val="16"/>
        </w:rPr>
      </w:r>
    </w:p>
    <w:p>
      <w:pPr>
        <w:spacing w:line="292" w:lineRule="auto" w:before="124"/>
        <w:ind w:left="69" w:right="0" w:firstLine="179"/>
        <w:jc w:val="left"/>
        <w:rPr>
          <w:b/>
          <w:sz w:val="16"/>
        </w:rPr>
      </w:pPr>
      <w:r>
        <w:rPr>
          <w:b/>
          <w:w w:val="105"/>
          <w:sz w:val="16"/>
        </w:rPr>
        <w:t>Leasehold </w:t>
      </w:r>
      <w:r>
        <w:rPr>
          <w:b/>
          <w:sz w:val="16"/>
        </w:rPr>
        <w:t>Improvements</w:t>
      </w:r>
    </w:p>
    <w:p>
      <w:pPr>
        <w:pStyle w:val="BodyText"/>
        <w:rPr>
          <w:b/>
          <w:sz w:val="16"/>
        </w:rPr>
      </w:pPr>
      <w:r>
        <w:rPr/>
        <w:br w:type="column"/>
      </w:r>
      <w:r>
        <w:rPr>
          <w:b/>
          <w:sz w:val="16"/>
        </w:rPr>
      </w:r>
    </w:p>
    <w:p>
      <w:pPr>
        <w:spacing w:before="124"/>
        <w:ind w:left="198" w:right="0" w:firstLine="0"/>
        <w:jc w:val="left"/>
        <w:rPr>
          <w:b/>
          <w:sz w:val="16"/>
        </w:rPr>
      </w:pPr>
      <w:r>
        <w:rPr>
          <w:b/>
          <w:w w:val="105"/>
          <w:sz w:val="16"/>
        </w:rPr>
        <w:t>Library</w:t>
      </w:r>
    </w:p>
    <w:p>
      <w:pPr>
        <w:tabs>
          <w:tab w:pos="1981" w:val="left" w:leader="none"/>
        </w:tabs>
        <w:spacing w:before="40"/>
        <w:ind w:left="78" w:right="0" w:firstLine="0"/>
        <w:jc w:val="left"/>
        <w:rPr>
          <w:b/>
          <w:sz w:val="16"/>
        </w:rPr>
      </w:pPr>
      <w:r>
        <w:rPr>
          <w:b/>
          <w:w w:val="105"/>
          <w:sz w:val="16"/>
        </w:rPr>
        <w:t>Collection </w:t>
      </w:r>
      <w:r>
        <w:rPr>
          <w:b/>
          <w:spacing w:val="11"/>
          <w:w w:val="105"/>
          <w:sz w:val="16"/>
        </w:rPr>
        <w:t> </w:t>
      </w:r>
      <w:r>
        <w:rPr>
          <w:b/>
          <w:spacing w:val="4"/>
          <w:w w:val="105"/>
          <w:sz w:val="16"/>
        </w:rPr>
        <w:t>Artw</w:t>
      </w:r>
      <w:r>
        <w:rPr>
          <w:b/>
          <w:spacing w:val="-27"/>
          <w:w w:val="105"/>
          <w:sz w:val="16"/>
        </w:rPr>
        <w:t> </w:t>
      </w:r>
      <w:r>
        <w:rPr>
          <w:b/>
          <w:spacing w:val="4"/>
          <w:w w:val="105"/>
          <w:sz w:val="16"/>
        </w:rPr>
        <w:t>ork</w:t>
        <w:tab/>
      </w:r>
      <w:r>
        <w:rPr>
          <w:b/>
          <w:w w:val="105"/>
          <w:sz w:val="16"/>
        </w:rPr>
        <w:t>Total</w:t>
      </w:r>
    </w:p>
    <w:p>
      <w:pPr>
        <w:spacing w:after="0"/>
        <w:jc w:val="left"/>
        <w:rPr>
          <w:sz w:val="16"/>
        </w:rPr>
        <w:sectPr>
          <w:type w:val="continuous"/>
          <w:pgSz w:w="16840" w:h="11910" w:orient="landscape"/>
          <w:pgMar w:top="0" w:bottom="280" w:left="900" w:right="780"/>
          <w:cols w:num="7" w:equalWidth="0">
            <w:col w:w="4566" w:space="40"/>
            <w:col w:w="808" w:space="40"/>
            <w:col w:w="3159" w:space="40"/>
            <w:col w:w="1308" w:space="40"/>
            <w:col w:w="1049" w:space="40"/>
            <w:col w:w="1285" w:space="40"/>
            <w:col w:w="2745"/>
          </w:cols>
        </w:sectPr>
      </w:pPr>
    </w:p>
    <w:p>
      <w:pPr>
        <w:tabs>
          <w:tab w:pos="3800" w:val="left" w:leader="none"/>
          <w:tab w:pos="4834" w:val="left" w:leader="none"/>
          <w:tab w:pos="5777" w:val="left" w:leader="none"/>
          <w:tab w:pos="6767" w:val="left" w:leader="none"/>
          <w:tab w:pos="7876" w:val="left" w:leader="none"/>
          <w:tab w:pos="9179" w:val="left" w:leader="none"/>
          <w:tab w:pos="10394" w:val="left" w:leader="none"/>
          <w:tab w:pos="12685" w:val="left" w:leader="none"/>
          <w:tab w:pos="13540" w:val="left" w:leader="none"/>
          <w:tab w:pos="14378" w:val="left" w:leader="none"/>
        </w:tabs>
        <w:spacing w:before="1"/>
        <w:ind w:left="548" w:right="0" w:firstLine="0"/>
        <w:jc w:val="left"/>
        <w:rPr>
          <w:b/>
          <w:sz w:val="16"/>
        </w:rPr>
      </w:pPr>
      <w:r>
        <w:rPr>
          <w:b/>
          <w:spacing w:val="3"/>
          <w:w w:val="105"/>
          <w:position w:val="3"/>
          <w:sz w:val="16"/>
        </w:rPr>
        <w:t>Parent</w:t>
      </w:r>
      <w:r>
        <w:rPr>
          <w:b/>
          <w:spacing w:val="-6"/>
          <w:w w:val="105"/>
          <w:position w:val="3"/>
          <w:sz w:val="16"/>
        </w:rPr>
        <w:t> </w:t>
      </w:r>
      <w:r>
        <w:rPr>
          <w:b/>
          <w:w w:val="105"/>
          <w:position w:val="3"/>
          <w:sz w:val="16"/>
        </w:rPr>
        <w:t>Entity</w:t>
        <w:tab/>
      </w:r>
      <w:r>
        <w:rPr>
          <w:b/>
          <w:w w:val="105"/>
          <w:sz w:val="16"/>
        </w:rPr>
        <w:t>$</w:t>
      </w:r>
      <w:r>
        <w:rPr>
          <w:b/>
          <w:spacing w:val="-6"/>
          <w:w w:val="105"/>
          <w:sz w:val="16"/>
        </w:rPr>
        <w:t> </w:t>
      </w:r>
      <w:r>
        <w:rPr>
          <w:b/>
          <w:w w:val="105"/>
          <w:sz w:val="16"/>
        </w:rPr>
        <w:t>'000</w:t>
        <w:tab/>
        <w:t>$</w:t>
      </w:r>
      <w:r>
        <w:rPr>
          <w:b/>
          <w:spacing w:val="-7"/>
          <w:w w:val="105"/>
          <w:sz w:val="16"/>
        </w:rPr>
        <w:t> </w:t>
      </w:r>
      <w:r>
        <w:rPr>
          <w:b/>
          <w:w w:val="105"/>
          <w:sz w:val="16"/>
        </w:rPr>
        <w:t>'000</w:t>
        <w:tab/>
        <w:t>$</w:t>
      </w:r>
      <w:r>
        <w:rPr>
          <w:b/>
          <w:spacing w:val="-6"/>
          <w:w w:val="105"/>
          <w:sz w:val="16"/>
        </w:rPr>
        <w:t> </w:t>
      </w:r>
      <w:r>
        <w:rPr>
          <w:b/>
          <w:w w:val="105"/>
          <w:sz w:val="16"/>
        </w:rPr>
        <w:t>'000</w:t>
        <w:tab/>
        <w:t>$</w:t>
      </w:r>
      <w:r>
        <w:rPr>
          <w:b/>
          <w:spacing w:val="-7"/>
          <w:w w:val="105"/>
          <w:sz w:val="16"/>
        </w:rPr>
        <w:t> </w:t>
      </w:r>
      <w:r>
        <w:rPr>
          <w:b/>
          <w:w w:val="105"/>
          <w:sz w:val="16"/>
        </w:rPr>
        <w:t>'000</w:t>
        <w:tab/>
        <w:t>$</w:t>
      </w:r>
      <w:r>
        <w:rPr>
          <w:b/>
          <w:spacing w:val="-7"/>
          <w:w w:val="105"/>
          <w:sz w:val="16"/>
        </w:rPr>
        <w:t> </w:t>
      </w:r>
      <w:r>
        <w:rPr>
          <w:b/>
          <w:w w:val="105"/>
          <w:sz w:val="16"/>
        </w:rPr>
        <w:t>'000</w:t>
        <w:tab/>
        <w:t>$</w:t>
      </w:r>
      <w:r>
        <w:rPr>
          <w:b/>
          <w:spacing w:val="-6"/>
          <w:w w:val="105"/>
          <w:sz w:val="16"/>
        </w:rPr>
        <w:t> </w:t>
      </w:r>
      <w:r>
        <w:rPr>
          <w:b/>
          <w:w w:val="105"/>
          <w:sz w:val="16"/>
        </w:rPr>
        <w:t>'000</w:t>
        <w:tab/>
        <w:t>$</w:t>
      </w:r>
      <w:r>
        <w:rPr>
          <w:b/>
          <w:spacing w:val="-7"/>
          <w:w w:val="105"/>
          <w:sz w:val="16"/>
        </w:rPr>
        <w:t> </w:t>
      </w:r>
      <w:r>
        <w:rPr>
          <w:b/>
          <w:w w:val="105"/>
          <w:sz w:val="16"/>
        </w:rPr>
        <w:t>'000</w:t>
        <w:tab/>
        <w:t>$</w:t>
      </w:r>
      <w:r>
        <w:rPr>
          <w:b/>
          <w:spacing w:val="-6"/>
          <w:w w:val="105"/>
          <w:sz w:val="16"/>
        </w:rPr>
        <w:t> </w:t>
      </w:r>
      <w:r>
        <w:rPr>
          <w:b/>
          <w:w w:val="105"/>
          <w:sz w:val="16"/>
        </w:rPr>
        <w:t>'000</w:t>
        <w:tab/>
        <w:t>$</w:t>
      </w:r>
      <w:r>
        <w:rPr>
          <w:b/>
          <w:spacing w:val="-6"/>
          <w:w w:val="105"/>
          <w:sz w:val="16"/>
        </w:rPr>
        <w:t> </w:t>
      </w:r>
      <w:r>
        <w:rPr>
          <w:b/>
          <w:w w:val="105"/>
          <w:sz w:val="16"/>
        </w:rPr>
        <w:t>'000</w:t>
        <w:tab/>
        <w:t>$</w:t>
      </w:r>
      <w:r>
        <w:rPr>
          <w:b/>
          <w:spacing w:val="-13"/>
          <w:w w:val="105"/>
          <w:sz w:val="16"/>
        </w:rPr>
        <w:t> </w:t>
      </w:r>
      <w:r>
        <w:rPr>
          <w:b/>
          <w:w w:val="105"/>
          <w:sz w:val="16"/>
        </w:rPr>
        <w:t>'000</w:t>
      </w:r>
    </w:p>
    <w:p>
      <w:pPr>
        <w:pStyle w:val="BodyText"/>
        <w:spacing w:before="7"/>
        <w:rPr>
          <w:b/>
          <w:sz w:val="25"/>
        </w:rPr>
      </w:pPr>
    </w:p>
    <w:p>
      <w:pPr>
        <w:spacing w:before="0"/>
        <w:ind w:left="548" w:right="0" w:firstLine="0"/>
        <w:jc w:val="left"/>
        <w:rPr>
          <w:b/>
          <w:sz w:val="16"/>
        </w:rPr>
      </w:pPr>
      <w:r>
        <w:rPr>
          <w:b/>
          <w:w w:val="105"/>
          <w:sz w:val="16"/>
        </w:rPr>
        <w:t>At 1 January 2011</w:t>
      </w:r>
    </w:p>
    <w:p>
      <w:pPr>
        <w:tabs>
          <w:tab w:pos="4025" w:val="left" w:leader="none"/>
          <w:tab w:pos="5194" w:val="left" w:leader="none"/>
          <w:tab w:pos="6168" w:val="left" w:leader="none"/>
          <w:tab w:pos="7172" w:val="left" w:leader="none"/>
          <w:tab w:pos="8371" w:val="left" w:leader="none"/>
          <w:tab w:pos="9614" w:val="left" w:leader="none"/>
          <w:tab w:pos="10453" w:val="left" w:leader="none"/>
          <w:tab w:pos="11952" w:val="left" w:leader="none"/>
          <w:tab w:pos="12791" w:val="left" w:leader="none"/>
          <w:tab w:pos="13841" w:val="left" w:leader="none"/>
          <w:tab w:pos="14365" w:val="left" w:leader="none"/>
        </w:tabs>
        <w:spacing w:before="65"/>
        <w:ind w:left="594" w:right="0" w:firstLine="0"/>
        <w:jc w:val="left"/>
        <w:rPr>
          <w:sz w:val="16"/>
        </w:rPr>
      </w:pPr>
      <w:r>
        <w:rPr>
          <w:w w:val="105"/>
          <w:position w:val="3"/>
          <w:sz w:val="16"/>
        </w:rPr>
        <w:t>-</w:t>
      </w:r>
      <w:r>
        <w:rPr>
          <w:spacing w:val="1"/>
          <w:w w:val="105"/>
          <w:position w:val="3"/>
          <w:sz w:val="16"/>
        </w:rPr>
        <w:t> </w:t>
      </w:r>
      <w:r>
        <w:rPr>
          <w:spacing w:val="-3"/>
          <w:w w:val="105"/>
          <w:position w:val="3"/>
          <w:sz w:val="16"/>
        </w:rPr>
        <w:t>Cost</w:t>
        <w:tab/>
      </w:r>
      <w:r>
        <w:rPr>
          <w:w w:val="105"/>
          <w:sz w:val="16"/>
        </w:rPr>
        <w:t>86,396</w:t>
        <w:tab/>
        <w:t>-</w:t>
        <w:tab/>
        <w:t>-</w:t>
        <w:tab/>
        <w:t>-</w:t>
        <w:tab/>
        <w:t>-</w:t>
        <w:tab/>
        <w:t>4,594</w:t>
        <w:tab/>
        <w:t>102,590</w:t>
        <w:tab/>
        <w:t>2,833</w:t>
        <w:tab/>
        <w:t>77,537</w:t>
        <w:tab/>
        <w:t>-</w:t>
        <w:tab/>
        <w:t>273,950</w:t>
      </w:r>
    </w:p>
    <w:p>
      <w:pPr>
        <w:tabs>
          <w:tab w:pos="4280" w:val="left" w:leader="none"/>
          <w:tab w:pos="4849" w:val="left" w:leader="none"/>
          <w:tab w:pos="5823" w:val="left" w:leader="none"/>
          <w:tab w:pos="6827" w:val="left" w:leader="none"/>
          <w:tab w:pos="8115" w:val="left" w:leader="none"/>
          <w:tab w:pos="9780" w:val="left" w:leader="none"/>
          <w:tab w:pos="10799" w:val="left" w:leader="none"/>
          <w:tab w:pos="12117" w:val="left" w:leader="none"/>
          <w:tab w:pos="13016" w:val="left" w:leader="none"/>
          <w:tab w:pos="13675" w:val="left" w:leader="none"/>
        </w:tabs>
        <w:spacing w:before="40"/>
        <w:ind w:left="594" w:right="0" w:firstLine="0"/>
        <w:jc w:val="left"/>
        <w:rPr>
          <w:sz w:val="16"/>
        </w:rPr>
      </w:pPr>
      <w:r>
        <w:rPr>
          <w:w w:val="105"/>
          <w:position w:val="3"/>
          <w:sz w:val="16"/>
        </w:rPr>
        <w:t>-</w:t>
      </w:r>
      <w:r>
        <w:rPr>
          <w:spacing w:val="-7"/>
          <w:w w:val="105"/>
          <w:position w:val="3"/>
          <w:sz w:val="16"/>
        </w:rPr>
        <w:t> </w:t>
      </w:r>
      <w:r>
        <w:rPr>
          <w:w w:val="105"/>
          <w:position w:val="3"/>
          <w:sz w:val="16"/>
        </w:rPr>
        <w:t>Valuation</w:t>
        <w:tab/>
      </w:r>
      <w:r>
        <w:rPr>
          <w:w w:val="105"/>
          <w:sz w:val="16"/>
        </w:rPr>
        <w:t>-</w:t>
        <w:tab/>
        <w:t>241,400</w:t>
        <w:tab/>
        <w:t>163,120</w:t>
        <w:tab/>
        <w:t>651,171</w:t>
        <w:tab/>
        <w:t>52,177</w:t>
        <w:tab/>
        <w:t>-</w:t>
        <w:tab/>
        <w:t>-</w:t>
        <w:tab/>
        <w:t>-</w:t>
        <w:tab/>
        <w:t>476</w:t>
        <w:tab/>
        <w:t>2,891 </w:t>
      </w:r>
      <w:r>
        <w:rPr>
          <w:spacing w:val="6"/>
          <w:w w:val="105"/>
          <w:sz w:val="16"/>
        </w:rPr>
        <w:t> </w:t>
      </w:r>
      <w:r>
        <w:rPr>
          <w:w w:val="105"/>
          <w:sz w:val="16"/>
        </w:rPr>
        <w:t>1,111,235</w:t>
      </w:r>
    </w:p>
    <w:p>
      <w:pPr>
        <w:tabs>
          <w:tab w:pos="4280" w:val="left" w:leader="none"/>
          <w:tab w:pos="5195" w:val="left" w:leader="none"/>
          <w:tab w:pos="6168" w:val="left" w:leader="none"/>
          <w:tab w:pos="7172" w:val="left" w:leader="none"/>
          <w:tab w:pos="8371" w:val="left" w:leader="none"/>
          <w:tab w:pos="9540" w:val="left" w:leader="none"/>
          <w:tab w:pos="10469" w:val="left" w:leader="none"/>
          <w:tab w:pos="11877" w:val="left" w:leader="none"/>
          <w:tab w:pos="12716" w:val="left" w:leader="none"/>
          <w:tab w:pos="13841" w:val="left" w:leader="none"/>
          <w:tab w:pos="14289" w:val="left" w:leader="none"/>
        </w:tabs>
        <w:spacing w:before="40" w:after="36"/>
        <w:ind w:left="548" w:right="0" w:firstLine="0"/>
        <w:jc w:val="left"/>
        <w:rPr>
          <w:sz w:val="16"/>
        </w:rPr>
      </w:pPr>
      <w:r>
        <w:rPr>
          <w:w w:val="105"/>
          <w:position w:val="3"/>
          <w:sz w:val="16"/>
        </w:rPr>
        <w:t>Accumulated</w:t>
      </w:r>
      <w:r>
        <w:rPr>
          <w:spacing w:val="-16"/>
          <w:w w:val="105"/>
          <w:position w:val="3"/>
          <w:sz w:val="16"/>
        </w:rPr>
        <w:t> </w:t>
      </w:r>
      <w:r>
        <w:rPr>
          <w:spacing w:val="-3"/>
          <w:w w:val="105"/>
          <w:position w:val="3"/>
          <w:sz w:val="16"/>
        </w:rPr>
        <w:t>Depreciation</w:t>
        <w:tab/>
      </w:r>
      <w:r>
        <w:rPr>
          <w:w w:val="105"/>
          <w:sz w:val="16"/>
        </w:rPr>
        <w:t>-</w:t>
        <w:tab/>
        <w:t>-</w:t>
        <w:tab/>
        <w:t>-</w:t>
        <w:tab/>
        <w:t>-</w:t>
        <w:tab/>
        <w:t>-</w:t>
        <w:tab/>
        <w:t>(4,594)</w:t>
        <w:tab/>
        <w:t>(53,954)</w:t>
        <w:tab/>
        <w:t>(1,957)</w:t>
        <w:tab/>
        <w:t>(66,868)</w:t>
        <w:tab/>
        <w:t>-</w:t>
        <w:tab/>
        <w:t>(127,373)</w:t>
      </w:r>
    </w:p>
    <w:tbl>
      <w:tblPr>
        <w:tblW w:w="0" w:type="auto"/>
        <w:jc w:val="left"/>
        <w:tblInd w:w="5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28"/>
        <w:gridCol w:w="1244"/>
        <w:gridCol w:w="964"/>
        <w:gridCol w:w="970"/>
        <w:gridCol w:w="1165"/>
        <w:gridCol w:w="1349"/>
        <w:gridCol w:w="1149"/>
        <w:gridCol w:w="1234"/>
        <w:gridCol w:w="1079"/>
        <w:gridCol w:w="907"/>
        <w:gridCol w:w="674"/>
        <w:gridCol w:w="864"/>
      </w:tblGrid>
      <w:tr>
        <w:trPr>
          <w:trHeight w:val="254" w:hRule="exact"/>
        </w:trPr>
        <w:tc>
          <w:tcPr>
            <w:tcW w:w="2928" w:type="dxa"/>
          </w:tcPr>
          <w:p>
            <w:pPr>
              <w:pStyle w:val="TableParagraph"/>
              <w:spacing w:before="5"/>
              <w:ind w:left="35"/>
              <w:rPr>
                <w:sz w:val="16"/>
              </w:rPr>
            </w:pPr>
            <w:r>
              <w:rPr>
                <w:w w:val="105"/>
                <w:sz w:val="16"/>
              </w:rPr>
              <w:t>Net Book Amount</w:t>
            </w:r>
          </w:p>
        </w:tc>
        <w:tc>
          <w:tcPr>
            <w:tcW w:w="1244" w:type="dxa"/>
            <w:tcBorders>
              <w:top w:val="single" w:sz="6" w:space="0" w:color="000000"/>
              <w:bottom w:val="single" w:sz="6" w:space="0" w:color="000000"/>
            </w:tcBorders>
          </w:tcPr>
          <w:p>
            <w:pPr>
              <w:pStyle w:val="TableParagraph"/>
              <w:spacing w:before="27"/>
              <w:ind w:left="554" w:right="134"/>
              <w:jc w:val="center"/>
              <w:rPr>
                <w:sz w:val="16"/>
              </w:rPr>
            </w:pPr>
            <w:r>
              <w:rPr>
                <w:w w:val="105"/>
                <w:sz w:val="16"/>
              </w:rPr>
              <w:t>86,396</w:t>
            </w:r>
          </w:p>
        </w:tc>
        <w:tc>
          <w:tcPr>
            <w:tcW w:w="964" w:type="dxa"/>
            <w:tcBorders>
              <w:top w:val="single" w:sz="6" w:space="0" w:color="000000"/>
              <w:bottom w:val="single" w:sz="6" w:space="0" w:color="000000"/>
            </w:tcBorders>
          </w:tcPr>
          <w:p>
            <w:pPr>
              <w:pStyle w:val="TableParagraph"/>
              <w:spacing w:before="27"/>
              <w:ind w:right="212"/>
              <w:jc w:val="right"/>
              <w:rPr>
                <w:sz w:val="16"/>
              </w:rPr>
            </w:pPr>
            <w:r>
              <w:rPr>
                <w:sz w:val="16"/>
              </w:rPr>
              <w:t>241,400</w:t>
            </w:r>
          </w:p>
        </w:tc>
        <w:tc>
          <w:tcPr>
            <w:tcW w:w="2135" w:type="dxa"/>
            <w:gridSpan w:val="2"/>
            <w:tcBorders>
              <w:top w:val="single" w:sz="6" w:space="0" w:color="000000"/>
              <w:bottom w:val="single" w:sz="6" w:space="0" w:color="000000"/>
            </w:tcBorders>
          </w:tcPr>
          <w:p>
            <w:pPr>
              <w:pStyle w:val="TableParagraph"/>
              <w:tabs>
                <w:tab w:pos="1179" w:val="left" w:leader="none"/>
              </w:tabs>
              <w:spacing w:before="27"/>
              <w:ind w:left="175"/>
              <w:rPr>
                <w:sz w:val="16"/>
              </w:rPr>
            </w:pPr>
            <w:r>
              <w:rPr>
                <w:w w:val="105"/>
                <w:sz w:val="16"/>
              </w:rPr>
              <w:t>163,120</w:t>
              <w:tab/>
              <w:t>651,171</w:t>
            </w:r>
          </w:p>
        </w:tc>
        <w:tc>
          <w:tcPr>
            <w:tcW w:w="1349" w:type="dxa"/>
            <w:tcBorders>
              <w:top w:val="single" w:sz="6" w:space="0" w:color="000000"/>
              <w:bottom w:val="single" w:sz="6" w:space="0" w:color="000000"/>
            </w:tcBorders>
          </w:tcPr>
          <w:p>
            <w:pPr>
              <w:pStyle w:val="TableParagraph"/>
              <w:spacing w:before="27"/>
              <w:ind w:right="519"/>
              <w:jc w:val="right"/>
              <w:rPr>
                <w:sz w:val="16"/>
              </w:rPr>
            </w:pPr>
            <w:r>
              <w:rPr>
                <w:sz w:val="16"/>
              </w:rPr>
              <w:t>52,177</w:t>
            </w:r>
          </w:p>
        </w:tc>
        <w:tc>
          <w:tcPr>
            <w:tcW w:w="2383" w:type="dxa"/>
            <w:gridSpan w:val="2"/>
            <w:tcBorders>
              <w:top w:val="single" w:sz="6" w:space="0" w:color="000000"/>
              <w:bottom w:val="single" w:sz="6" w:space="0" w:color="000000"/>
            </w:tcBorders>
          </w:tcPr>
          <w:p>
            <w:pPr>
              <w:pStyle w:val="TableParagraph"/>
              <w:tabs>
                <w:tab w:pos="1411" w:val="left" w:leader="none"/>
              </w:tabs>
              <w:spacing w:before="27"/>
              <w:ind w:left="646"/>
              <w:rPr>
                <w:sz w:val="16"/>
              </w:rPr>
            </w:pPr>
            <w:r>
              <w:rPr>
                <w:w w:val="105"/>
                <w:sz w:val="16"/>
              </w:rPr>
              <w:t>-</w:t>
              <w:tab/>
              <w:t>48,636</w:t>
            </w:r>
          </w:p>
        </w:tc>
        <w:tc>
          <w:tcPr>
            <w:tcW w:w="1079" w:type="dxa"/>
            <w:tcBorders>
              <w:top w:val="single" w:sz="6" w:space="0" w:color="000000"/>
              <w:bottom w:val="single" w:sz="6" w:space="0" w:color="000000"/>
            </w:tcBorders>
          </w:tcPr>
          <w:p>
            <w:pPr>
              <w:pStyle w:val="TableParagraph"/>
              <w:spacing w:before="27"/>
              <w:ind w:right="233"/>
              <w:jc w:val="right"/>
              <w:rPr>
                <w:sz w:val="16"/>
              </w:rPr>
            </w:pPr>
            <w:r>
              <w:rPr>
                <w:sz w:val="16"/>
              </w:rPr>
              <w:t>876</w:t>
            </w:r>
          </w:p>
        </w:tc>
        <w:tc>
          <w:tcPr>
            <w:tcW w:w="907" w:type="dxa"/>
            <w:tcBorders>
              <w:top w:val="single" w:sz="6" w:space="0" w:color="000000"/>
              <w:bottom w:val="single" w:sz="6" w:space="0" w:color="000000"/>
            </w:tcBorders>
          </w:tcPr>
          <w:p>
            <w:pPr>
              <w:pStyle w:val="TableParagraph"/>
              <w:spacing w:before="27"/>
              <w:ind w:right="211"/>
              <w:jc w:val="right"/>
              <w:rPr>
                <w:sz w:val="16"/>
              </w:rPr>
            </w:pPr>
            <w:r>
              <w:rPr>
                <w:sz w:val="16"/>
              </w:rPr>
              <w:t>11,145</w:t>
            </w:r>
          </w:p>
        </w:tc>
        <w:tc>
          <w:tcPr>
            <w:tcW w:w="674" w:type="dxa"/>
            <w:tcBorders>
              <w:top w:val="single" w:sz="6" w:space="0" w:color="000000"/>
              <w:bottom w:val="single" w:sz="6" w:space="0" w:color="000000"/>
            </w:tcBorders>
          </w:tcPr>
          <w:p>
            <w:pPr>
              <w:pStyle w:val="TableParagraph"/>
              <w:spacing w:before="27"/>
              <w:ind w:right="91"/>
              <w:jc w:val="right"/>
              <w:rPr>
                <w:sz w:val="16"/>
              </w:rPr>
            </w:pPr>
            <w:r>
              <w:rPr>
                <w:sz w:val="16"/>
              </w:rPr>
              <w:t>2,891</w:t>
            </w:r>
          </w:p>
        </w:tc>
        <w:tc>
          <w:tcPr>
            <w:tcW w:w="864" w:type="dxa"/>
            <w:tcBorders>
              <w:top w:val="single" w:sz="6" w:space="0" w:color="000000"/>
              <w:bottom w:val="single" w:sz="6" w:space="0" w:color="000000"/>
            </w:tcBorders>
          </w:tcPr>
          <w:p>
            <w:pPr>
              <w:pStyle w:val="TableParagraph"/>
              <w:spacing w:before="27"/>
              <w:ind w:right="86"/>
              <w:jc w:val="right"/>
              <w:rPr>
                <w:sz w:val="16"/>
              </w:rPr>
            </w:pPr>
            <w:r>
              <w:rPr>
                <w:sz w:val="16"/>
              </w:rPr>
              <w:t>1,257,812</w:t>
            </w:r>
          </w:p>
        </w:tc>
      </w:tr>
      <w:tr>
        <w:trPr>
          <w:trHeight w:val="398" w:hRule="exact"/>
        </w:trPr>
        <w:tc>
          <w:tcPr>
            <w:tcW w:w="2928" w:type="dxa"/>
          </w:tcPr>
          <w:p>
            <w:pPr>
              <w:pStyle w:val="TableParagraph"/>
              <w:spacing w:before="1"/>
              <w:rPr>
                <w:sz w:val="15"/>
              </w:rPr>
            </w:pPr>
          </w:p>
          <w:p>
            <w:pPr>
              <w:pStyle w:val="TableParagraph"/>
              <w:ind w:left="35"/>
              <w:rPr>
                <w:b/>
                <w:sz w:val="16"/>
              </w:rPr>
            </w:pPr>
            <w:r>
              <w:rPr>
                <w:b/>
                <w:w w:val="105"/>
                <w:sz w:val="16"/>
              </w:rPr>
              <w:t>Year Ended 31 Decem ber 2011</w:t>
            </w:r>
          </w:p>
        </w:tc>
        <w:tc>
          <w:tcPr>
            <w:tcW w:w="1244" w:type="dxa"/>
            <w:tcBorders>
              <w:top w:val="single" w:sz="6" w:space="0" w:color="000000"/>
            </w:tcBorders>
          </w:tcPr>
          <w:p>
            <w:pPr/>
          </w:p>
        </w:tc>
        <w:tc>
          <w:tcPr>
            <w:tcW w:w="964" w:type="dxa"/>
            <w:tcBorders>
              <w:top w:val="single" w:sz="6" w:space="0" w:color="000000"/>
            </w:tcBorders>
          </w:tcPr>
          <w:p>
            <w:pPr/>
          </w:p>
        </w:tc>
        <w:tc>
          <w:tcPr>
            <w:tcW w:w="2135" w:type="dxa"/>
            <w:gridSpan w:val="2"/>
            <w:tcBorders>
              <w:top w:val="single" w:sz="6" w:space="0" w:color="000000"/>
            </w:tcBorders>
          </w:tcPr>
          <w:p>
            <w:pPr/>
          </w:p>
        </w:tc>
        <w:tc>
          <w:tcPr>
            <w:tcW w:w="1349" w:type="dxa"/>
            <w:tcBorders>
              <w:top w:val="single" w:sz="6" w:space="0" w:color="000000"/>
            </w:tcBorders>
          </w:tcPr>
          <w:p>
            <w:pPr/>
          </w:p>
        </w:tc>
        <w:tc>
          <w:tcPr>
            <w:tcW w:w="2383" w:type="dxa"/>
            <w:gridSpan w:val="2"/>
            <w:tcBorders>
              <w:top w:val="single" w:sz="6" w:space="0" w:color="000000"/>
            </w:tcBorders>
          </w:tcPr>
          <w:p>
            <w:pPr/>
          </w:p>
        </w:tc>
        <w:tc>
          <w:tcPr>
            <w:tcW w:w="1079" w:type="dxa"/>
            <w:tcBorders>
              <w:top w:val="single" w:sz="6" w:space="0" w:color="000000"/>
            </w:tcBorders>
          </w:tcPr>
          <w:p>
            <w:pPr/>
          </w:p>
        </w:tc>
        <w:tc>
          <w:tcPr>
            <w:tcW w:w="907" w:type="dxa"/>
            <w:tcBorders>
              <w:top w:val="single" w:sz="6" w:space="0" w:color="000000"/>
            </w:tcBorders>
          </w:tcPr>
          <w:p>
            <w:pPr/>
          </w:p>
        </w:tc>
        <w:tc>
          <w:tcPr>
            <w:tcW w:w="674" w:type="dxa"/>
            <w:tcBorders>
              <w:top w:val="single" w:sz="6" w:space="0" w:color="000000"/>
            </w:tcBorders>
          </w:tcPr>
          <w:p>
            <w:pPr/>
          </w:p>
        </w:tc>
        <w:tc>
          <w:tcPr>
            <w:tcW w:w="864" w:type="dxa"/>
            <w:tcBorders>
              <w:top w:val="single" w:sz="6" w:space="0" w:color="000000"/>
            </w:tcBorders>
          </w:tcPr>
          <w:p>
            <w:pPr/>
          </w:p>
        </w:tc>
      </w:tr>
      <w:tr>
        <w:trPr>
          <w:trHeight w:val="267" w:hRule="exact"/>
        </w:trPr>
        <w:tc>
          <w:tcPr>
            <w:tcW w:w="2928" w:type="dxa"/>
          </w:tcPr>
          <w:p>
            <w:pPr>
              <w:pStyle w:val="TableParagraph"/>
              <w:spacing w:before="26"/>
              <w:ind w:left="35"/>
              <w:rPr>
                <w:sz w:val="16"/>
              </w:rPr>
            </w:pPr>
            <w:r>
              <w:rPr>
                <w:w w:val="105"/>
                <w:sz w:val="16"/>
              </w:rPr>
              <w:t>Opening Net Book Amount</w:t>
            </w:r>
          </w:p>
        </w:tc>
        <w:tc>
          <w:tcPr>
            <w:tcW w:w="1244" w:type="dxa"/>
          </w:tcPr>
          <w:p>
            <w:pPr>
              <w:pStyle w:val="TableParagraph"/>
              <w:spacing w:before="55"/>
              <w:ind w:left="554" w:right="134"/>
              <w:jc w:val="center"/>
              <w:rPr>
                <w:sz w:val="16"/>
              </w:rPr>
            </w:pPr>
            <w:r>
              <w:rPr>
                <w:w w:val="105"/>
                <w:sz w:val="16"/>
              </w:rPr>
              <w:t>86,396</w:t>
            </w:r>
          </w:p>
        </w:tc>
        <w:tc>
          <w:tcPr>
            <w:tcW w:w="964" w:type="dxa"/>
          </w:tcPr>
          <w:p>
            <w:pPr>
              <w:pStyle w:val="TableParagraph"/>
              <w:spacing w:before="55"/>
              <w:ind w:right="212"/>
              <w:jc w:val="right"/>
              <w:rPr>
                <w:sz w:val="16"/>
              </w:rPr>
            </w:pPr>
            <w:r>
              <w:rPr>
                <w:sz w:val="16"/>
              </w:rPr>
              <w:t>241,400</w:t>
            </w:r>
          </w:p>
        </w:tc>
        <w:tc>
          <w:tcPr>
            <w:tcW w:w="2135" w:type="dxa"/>
            <w:gridSpan w:val="2"/>
          </w:tcPr>
          <w:p>
            <w:pPr>
              <w:pStyle w:val="TableParagraph"/>
              <w:tabs>
                <w:tab w:pos="1179" w:val="left" w:leader="none"/>
              </w:tabs>
              <w:spacing w:before="55"/>
              <w:ind w:left="175"/>
              <w:rPr>
                <w:sz w:val="16"/>
              </w:rPr>
            </w:pPr>
            <w:r>
              <w:rPr>
                <w:w w:val="105"/>
                <w:sz w:val="16"/>
              </w:rPr>
              <w:t>163,120</w:t>
              <w:tab/>
              <w:t>651,171</w:t>
            </w:r>
          </w:p>
        </w:tc>
        <w:tc>
          <w:tcPr>
            <w:tcW w:w="1349" w:type="dxa"/>
          </w:tcPr>
          <w:p>
            <w:pPr>
              <w:pStyle w:val="TableParagraph"/>
              <w:spacing w:before="55"/>
              <w:ind w:right="518"/>
              <w:jc w:val="right"/>
              <w:rPr>
                <w:sz w:val="16"/>
              </w:rPr>
            </w:pPr>
            <w:r>
              <w:rPr>
                <w:sz w:val="16"/>
              </w:rPr>
              <w:t>52,177</w:t>
            </w:r>
          </w:p>
        </w:tc>
        <w:tc>
          <w:tcPr>
            <w:tcW w:w="2383" w:type="dxa"/>
            <w:gridSpan w:val="2"/>
          </w:tcPr>
          <w:p>
            <w:pPr>
              <w:pStyle w:val="TableParagraph"/>
              <w:tabs>
                <w:tab w:pos="1411" w:val="left" w:leader="none"/>
              </w:tabs>
              <w:spacing w:before="55"/>
              <w:ind w:left="647"/>
              <w:rPr>
                <w:sz w:val="16"/>
              </w:rPr>
            </w:pPr>
            <w:r>
              <w:rPr>
                <w:w w:val="105"/>
                <w:sz w:val="16"/>
              </w:rPr>
              <w:t>-</w:t>
              <w:tab/>
              <w:t>48,636</w:t>
            </w:r>
          </w:p>
        </w:tc>
        <w:tc>
          <w:tcPr>
            <w:tcW w:w="1079" w:type="dxa"/>
          </w:tcPr>
          <w:p>
            <w:pPr>
              <w:pStyle w:val="TableParagraph"/>
              <w:spacing w:before="55"/>
              <w:ind w:right="233"/>
              <w:jc w:val="right"/>
              <w:rPr>
                <w:sz w:val="16"/>
              </w:rPr>
            </w:pPr>
            <w:r>
              <w:rPr>
                <w:sz w:val="16"/>
              </w:rPr>
              <w:t>876</w:t>
            </w:r>
          </w:p>
        </w:tc>
        <w:tc>
          <w:tcPr>
            <w:tcW w:w="907" w:type="dxa"/>
          </w:tcPr>
          <w:p>
            <w:pPr>
              <w:pStyle w:val="TableParagraph"/>
              <w:spacing w:before="55"/>
              <w:ind w:right="211"/>
              <w:jc w:val="right"/>
              <w:rPr>
                <w:sz w:val="16"/>
              </w:rPr>
            </w:pPr>
            <w:r>
              <w:rPr>
                <w:sz w:val="16"/>
              </w:rPr>
              <w:t>11,145</w:t>
            </w:r>
          </w:p>
        </w:tc>
        <w:tc>
          <w:tcPr>
            <w:tcW w:w="674" w:type="dxa"/>
          </w:tcPr>
          <w:p>
            <w:pPr>
              <w:pStyle w:val="TableParagraph"/>
              <w:spacing w:before="55"/>
              <w:ind w:right="90"/>
              <w:jc w:val="right"/>
              <w:rPr>
                <w:sz w:val="16"/>
              </w:rPr>
            </w:pPr>
            <w:r>
              <w:rPr>
                <w:sz w:val="16"/>
              </w:rPr>
              <w:t>2,891</w:t>
            </w:r>
          </w:p>
        </w:tc>
        <w:tc>
          <w:tcPr>
            <w:tcW w:w="864" w:type="dxa"/>
          </w:tcPr>
          <w:p>
            <w:pPr>
              <w:pStyle w:val="TableParagraph"/>
              <w:spacing w:before="55"/>
              <w:ind w:right="86"/>
              <w:jc w:val="right"/>
              <w:rPr>
                <w:sz w:val="16"/>
              </w:rPr>
            </w:pPr>
            <w:r>
              <w:rPr>
                <w:sz w:val="16"/>
              </w:rPr>
              <w:t>1,257,812</w:t>
            </w:r>
          </w:p>
        </w:tc>
      </w:tr>
      <w:tr>
        <w:trPr>
          <w:trHeight w:val="254" w:hRule="exact"/>
        </w:trPr>
        <w:tc>
          <w:tcPr>
            <w:tcW w:w="2928" w:type="dxa"/>
          </w:tcPr>
          <w:p>
            <w:pPr>
              <w:pStyle w:val="TableParagraph"/>
              <w:spacing w:before="13"/>
              <w:ind w:left="35"/>
              <w:rPr>
                <w:sz w:val="16"/>
              </w:rPr>
            </w:pPr>
            <w:r>
              <w:rPr>
                <w:w w:val="105"/>
                <w:sz w:val="16"/>
              </w:rPr>
              <w:t>Revaluation Surplus</w:t>
            </w:r>
          </w:p>
        </w:tc>
        <w:tc>
          <w:tcPr>
            <w:tcW w:w="1244" w:type="dxa"/>
          </w:tcPr>
          <w:p>
            <w:pPr>
              <w:pStyle w:val="TableParagraph"/>
              <w:spacing w:before="43"/>
              <w:ind w:left="489"/>
              <w:jc w:val="center"/>
              <w:rPr>
                <w:sz w:val="16"/>
              </w:rPr>
            </w:pPr>
            <w:r>
              <w:rPr>
                <w:w w:val="102"/>
                <w:sz w:val="16"/>
              </w:rPr>
              <w:t>-</w:t>
            </w:r>
          </w:p>
        </w:tc>
        <w:tc>
          <w:tcPr>
            <w:tcW w:w="964" w:type="dxa"/>
          </w:tcPr>
          <w:p>
            <w:pPr>
              <w:pStyle w:val="TableParagraph"/>
              <w:spacing w:before="43"/>
              <w:ind w:right="173"/>
              <w:jc w:val="right"/>
              <w:rPr>
                <w:sz w:val="16"/>
              </w:rPr>
            </w:pPr>
            <w:r>
              <w:rPr>
                <w:sz w:val="16"/>
              </w:rPr>
              <w:t>(27,405)</w:t>
            </w:r>
          </w:p>
        </w:tc>
        <w:tc>
          <w:tcPr>
            <w:tcW w:w="2135" w:type="dxa"/>
            <w:gridSpan w:val="2"/>
          </w:tcPr>
          <w:p>
            <w:pPr>
              <w:pStyle w:val="TableParagraph"/>
              <w:tabs>
                <w:tab w:pos="1285" w:val="left" w:leader="none"/>
              </w:tabs>
              <w:spacing w:before="43"/>
              <w:ind w:left="520"/>
              <w:rPr>
                <w:sz w:val="16"/>
              </w:rPr>
            </w:pPr>
            <w:r>
              <w:rPr>
                <w:w w:val="105"/>
                <w:sz w:val="16"/>
              </w:rPr>
              <w:t>-</w:t>
              <w:tab/>
              <w:t>(1,308)</w:t>
            </w:r>
          </w:p>
        </w:tc>
        <w:tc>
          <w:tcPr>
            <w:tcW w:w="1349" w:type="dxa"/>
          </w:tcPr>
          <w:p>
            <w:pPr>
              <w:pStyle w:val="TableParagraph"/>
              <w:spacing w:before="43"/>
              <w:ind w:right="517"/>
              <w:jc w:val="right"/>
              <w:rPr>
                <w:sz w:val="16"/>
              </w:rPr>
            </w:pPr>
            <w:r>
              <w:rPr>
                <w:sz w:val="16"/>
              </w:rPr>
              <w:t>340</w:t>
            </w:r>
          </w:p>
        </w:tc>
        <w:tc>
          <w:tcPr>
            <w:tcW w:w="2383" w:type="dxa"/>
            <w:gridSpan w:val="2"/>
          </w:tcPr>
          <w:p>
            <w:pPr>
              <w:pStyle w:val="TableParagraph"/>
              <w:tabs>
                <w:tab w:pos="1667" w:val="left" w:leader="none"/>
              </w:tabs>
              <w:spacing w:before="43"/>
              <w:ind w:left="648"/>
              <w:rPr>
                <w:sz w:val="16"/>
              </w:rPr>
            </w:pPr>
            <w:r>
              <w:rPr>
                <w:w w:val="105"/>
                <w:sz w:val="16"/>
              </w:rPr>
              <w:t>-</w:t>
              <w:tab/>
              <w:t>-</w:t>
            </w:r>
          </w:p>
        </w:tc>
        <w:tc>
          <w:tcPr>
            <w:tcW w:w="1079" w:type="dxa"/>
          </w:tcPr>
          <w:p>
            <w:pPr>
              <w:pStyle w:val="TableParagraph"/>
              <w:spacing w:before="43"/>
              <w:ind w:left="181"/>
              <w:jc w:val="center"/>
              <w:rPr>
                <w:sz w:val="16"/>
              </w:rPr>
            </w:pPr>
            <w:r>
              <w:rPr>
                <w:w w:val="102"/>
                <w:sz w:val="16"/>
              </w:rPr>
              <w:t>-</w:t>
            </w:r>
          </w:p>
        </w:tc>
        <w:tc>
          <w:tcPr>
            <w:tcW w:w="907" w:type="dxa"/>
          </w:tcPr>
          <w:p>
            <w:pPr>
              <w:pStyle w:val="TableParagraph"/>
              <w:spacing w:before="43"/>
              <w:ind w:right="173"/>
              <w:jc w:val="right"/>
              <w:rPr>
                <w:sz w:val="16"/>
              </w:rPr>
            </w:pPr>
            <w:r>
              <w:rPr>
                <w:sz w:val="16"/>
              </w:rPr>
              <w:t>(22)</w:t>
            </w:r>
          </w:p>
        </w:tc>
        <w:tc>
          <w:tcPr>
            <w:tcW w:w="674" w:type="dxa"/>
          </w:tcPr>
          <w:p>
            <w:pPr>
              <w:pStyle w:val="TableParagraph"/>
              <w:spacing w:before="43"/>
              <w:ind w:right="53"/>
              <w:jc w:val="right"/>
              <w:rPr>
                <w:sz w:val="16"/>
              </w:rPr>
            </w:pPr>
            <w:r>
              <w:rPr>
                <w:sz w:val="16"/>
              </w:rPr>
              <w:t>(13)</w:t>
            </w:r>
          </w:p>
        </w:tc>
        <w:tc>
          <w:tcPr>
            <w:tcW w:w="864" w:type="dxa"/>
          </w:tcPr>
          <w:p>
            <w:pPr>
              <w:pStyle w:val="TableParagraph"/>
              <w:spacing w:before="43"/>
              <w:ind w:right="48"/>
              <w:jc w:val="right"/>
              <w:rPr>
                <w:sz w:val="16"/>
              </w:rPr>
            </w:pPr>
            <w:r>
              <w:rPr>
                <w:sz w:val="16"/>
              </w:rPr>
              <w:t>(28,408)</w:t>
            </w:r>
          </w:p>
        </w:tc>
      </w:tr>
      <w:tr>
        <w:trPr>
          <w:trHeight w:val="254" w:hRule="exact"/>
        </w:trPr>
        <w:tc>
          <w:tcPr>
            <w:tcW w:w="2928" w:type="dxa"/>
          </w:tcPr>
          <w:p>
            <w:pPr>
              <w:pStyle w:val="TableParagraph"/>
              <w:spacing w:before="13"/>
              <w:ind w:left="35"/>
              <w:rPr>
                <w:sz w:val="16"/>
              </w:rPr>
            </w:pPr>
            <w:r>
              <w:rPr>
                <w:w w:val="105"/>
                <w:sz w:val="16"/>
              </w:rPr>
              <w:t>Additions</w:t>
            </w:r>
          </w:p>
        </w:tc>
        <w:tc>
          <w:tcPr>
            <w:tcW w:w="1244" w:type="dxa"/>
          </w:tcPr>
          <w:p>
            <w:pPr>
              <w:pStyle w:val="TableParagraph"/>
              <w:spacing w:before="43"/>
              <w:ind w:left="554" w:right="134"/>
              <w:jc w:val="center"/>
              <w:rPr>
                <w:sz w:val="16"/>
              </w:rPr>
            </w:pPr>
            <w:r>
              <w:rPr>
                <w:w w:val="105"/>
                <w:sz w:val="16"/>
              </w:rPr>
              <w:t>93,139</w:t>
            </w:r>
          </w:p>
        </w:tc>
        <w:tc>
          <w:tcPr>
            <w:tcW w:w="964" w:type="dxa"/>
          </w:tcPr>
          <w:p>
            <w:pPr>
              <w:pStyle w:val="TableParagraph"/>
              <w:spacing w:before="43"/>
              <w:ind w:left="111"/>
              <w:jc w:val="center"/>
              <w:rPr>
                <w:sz w:val="16"/>
              </w:rPr>
            </w:pPr>
            <w:r>
              <w:rPr>
                <w:w w:val="102"/>
                <w:sz w:val="16"/>
              </w:rPr>
              <w:t>-</w:t>
            </w:r>
          </w:p>
        </w:tc>
        <w:tc>
          <w:tcPr>
            <w:tcW w:w="2135" w:type="dxa"/>
            <w:gridSpan w:val="2"/>
          </w:tcPr>
          <w:p>
            <w:pPr>
              <w:pStyle w:val="TableParagraph"/>
              <w:tabs>
                <w:tab w:pos="1494" w:val="left" w:leader="none"/>
              </w:tabs>
              <w:spacing w:before="43"/>
              <w:ind w:left="520"/>
              <w:rPr>
                <w:sz w:val="16"/>
              </w:rPr>
            </w:pPr>
            <w:r>
              <w:rPr>
                <w:w w:val="105"/>
                <w:sz w:val="16"/>
              </w:rPr>
              <w:t>-</w:t>
              <w:tab/>
            </w:r>
            <w:r>
              <w:rPr>
                <w:spacing w:val="-2"/>
                <w:w w:val="105"/>
                <w:sz w:val="16"/>
              </w:rPr>
              <w:t>395</w:t>
            </w:r>
          </w:p>
        </w:tc>
        <w:tc>
          <w:tcPr>
            <w:tcW w:w="1349" w:type="dxa"/>
          </w:tcPr>
          <w:p>
            <w:pPr/>
          </w:p>
        </w:tc>
        <w:tc>
          <w:tcPr>
            <w:tcW w:w="2383" w:type="dxa"/>
            <w:gridSpan w:val="2"/>
          </w:tcPr>
          <w:p>
            <w:pPr>
              <w:pStyle w:val="TableParagraph"/>
              <w:tabs>
                <w:tab w:pos="1412" w:val="left" w:leader="none"/>
              </w:tabs>
              <w:spacing w:before="43"/>
              <w:ind w:left="648"/>
              <w:rPr>
                <w:sz w:val="16"/>
              </w:rPr>
            </w:pPr>
            <w:r>
              <w:rPr>
                <w:w w:val="105"/>
                <w:sz w:val="16"/>
              </w:rPr>
              <w:t>-</w:t>
              <w:tab/>
              <w:t>15,313</w:t>
            </w:r>
          </w:p>
        </w:tc>
        <w:tc>
          <w:tcPr>
            <w:tcW w:w="1079" w:type="dxa"/>
          </w:tcPr>
          <w:p>
            <w:pPr>
              <w:pStyle w:val="TableParagraph"/>
              <w:spacing w:before="43"/>
              <w:ind w:left="182"/>
              <w:jc w:val="center"/>
              <w:rPr>
                <w:sz w:val="16"/>
              </w:rPr>
            </w:pPr>
            <w:r>
              <w:rPr>
                <w:w w:val="102"/>
                <w:sz w:val="16"/>
              </w:rPr>
              <w:t>-</w:t>
            </w:r>
          </w:p>
        </w:tc>
        <w:tc>
          <w:tcPr>
            <w:tcW w:w="907" w:type="dxa"/>
          </w:tcPr>
          <w:p>
            <w:pPr>
              <w:pStyle w:val="TableParagraph"/>
              <w:spacing w:before="43"/>
              <w:ind w:right="211"/>
              <w:jc w:val="right"/>
              <w:rPr>
                <w:sz w:val="16"/>
              </w:rPr>
            </w:pPr>
            <w:r>
              <w:rPr>
                <w:sz w:val="16"/>
              </w:rPr>
              <w:t>4,161</w:t>
            </w:r>
          </w:p>
        </w:tc>
        <w:tc>
          <w:tcPr>
            <w:tcW w:w="674" w:type="dxa"/>
          </w:tcPr>
          <w:p>
            <w:pPr>
              <w:pStyle w:val="TableParagraph"/>
              <w:spacing w:before="43"/>
              <w:ind w:right="91"/>
              <w:jc w:val="right"/>
              <w:rPr>
                <w:sz w:val="16"/>
              </w:rPr>
            </w:pPr>
            <w:r>
              <w:rPr>
                <w:sz w:val="16"/>
              </w:rPr>
              <w:t>132</w:t>
            </w:r>
          </w:p>
        </w:tc>
        <w:tc>
          <w:tcPr>
            <w:tcW w:w="864" w:type="dxa"/>
          </w:tcPr>
          <w:p>
            <w:pPr>
              <w:pStyle w:val="TableParagraph"/>
              <w:spacing w:before="43"/>
              <w:ind w:right="86"/>
              <w:jc w:val="right"/>
              <w:rPr>
                <w:sz w:val="16"/>
              </w:rPr>
            </w:pPr>
            <w:r>
              <w:rPr>
                <w:sz w:val="16"/>
              </w:rPr>
              <w:t>113,140</w:t>
            </w:r>
          </w:p>
        </w:tc>
      </w:tr>
      <w:tr>
        <w:trPr>
          <w:trHeight w:val="254" w:hRule="exact"/>
        </w:trPr>
        <w:tc>
          <w:tcPr>
            <w:tcW w:w="2928" w:type="dxa"/>
          </w:tcPr>
          <w:p>
            <w:pPr>
              <w:pStyle w:val="TableParagraph"/>
              <w:spacing w:before="13"/>
              <w:ind w:left="35"/>
              <w:rPr>
                <w:sz w:val="16"/>
              </w:rPr>
            </w:pPr>
            <w:r>
              <w:rPr>
                <w:w w:val="105"/>
                <w:sz w:val="16"/>
              </w:rPr>
              <w:t>Disposals</w:t>
            </w:r>
          </w:p>
        </w:tc>
        <w:tc>
          <w:tcPr>
            <w:tcW w:w="1244" w:type="dxa"/>
          </w:tcPr>
          <w:p>
            <w:pPr>
              <w:pStyle w:val="TableParagraph"/>
              <w:spacing w:before="43"/>
              <w:ind w:left="490"/>
              <w:jc w:val="center"/>
              <w:rPr>
                <w:sz w:val="16"/>
              </w:rPr>
            </w:pPr>
            <w:r>
              <w:rPr>
                <w:w w:val="102"/>
                <w:sz w:val="16"/>
              </w:rPr>
              <w:t>-</w:t>
            </w:r>
          </w:p>
        </w:tc>
        <w:tc>
          <w:tcPr>
            <w:tcW w:w="964" w:type="dxa"/>
          </w:tcPr>
          <w:p>
            <w:pPr>
              <w:pStyle w:val="TableParagraph"/>
              <w:spacing w:before="43"/>
              <w:ind w:left="112"/>
              <w:jc w:val="center"/>
              <w:rPr>
                <w:sz w:val="16"/>
              </w:rPr>
            </w:pPr>
            <w:r>
              <w:rPr>
                <w:w w:val="102"/>
                <w:sz w:val="16"/>
              </w:rPr>
              <w:t>-</w:t>
            </w:r>
          </w:p>
        </w:tc>
        <w:tc>
          <w:tcPr>
            <w:tcW w:w="2135" w:type="dxa"/>
            <w:gridSpan w:val="2"/>
          </w:tcPr>
          <w:p>
            <w:pPr>
              <w:pStyle w:val="TableParagraph"/>
              <w:tabs>
                <w:tab w:pos="1284" w:val="left" w:leader="none"/>
              </w:tabs>
              <w:spacing w:before="43"/>
              <w:ind w:left="520"/>
              <w:rPr>
                <w:sz w:val="16"/>
              </w:rPr>
            </w:pPr>
            <w:r>
              <w:rPr>
                <w:w w:val="105"/>
                <w:sz w:val="16"/>
              </w:rPr>
              <w:t>-</w:t>
              <w:tab/>
              <w:t>(2,866)</w:t>
            </w:r>
          </w:p>
        </w:tc>
        <w:tc>
          <w:tcPr>
            <w:tcW w:w="1349" w:type="dxa"/>
          </w:tcPr>
          <w:p>
            <w:pPr/>
          </w:p>
        </w:tc>
        <w:tc>
          <w:tcPr>
            <w:tcW w:w="2383" w:type="dxa"/>
            <w:gridSpan w:val="2"/>
          </w:tcPr>
          <w:p>
            <w:pPr>
              <w:pStyle w:val="TableParagraph"/>
              <w:tabs>
                <w:tab w:pos="1427" w:val="left" w:leader="none"/>
              </w:tabs>
              <w:spacing w:before="43"/>
              <w:ind w:left="648"/>
              <w:rPr>
                <w:sz w:val="16"/>
              </w:rPr>
            </w:pPr>
            <w:r>
              <w:rPr>
                <w:w w:val="105"/>
                <w:sz w:val="16"/>
              </w:rPr>
              <w:t>-</w:t>
              <w:tab/>
              <w:t>(3,325)</w:t>
            </w:r>
          </w:p>
        </w:tc>
        <w:tc>
          <w:tcPr>
            <w:tcW w:w="1079" w:type="dxa"/>
          </w:tcPr>
          <w:p>
            <w:pPr>
              <w:pStyle w:val="TableParagraph"/>
              <w:spacing w:before="43"/>
              <w:ind w:left="183"/>
              <w:jc w:val="center"/>
              <w:rPr>
                <w:sz w:val="16"/>
              </w:rPr>
            </w:pPr>
            <w:r>
              <w:rPr>
                <w:w w:val="102"/>
                <w:sz w:val="16"/>
              </w:rPr>
              <w:t>-</w:t>
            </w:r>
          </w:p>
        </w:tc>
        <w:tc>
          <w:tcPr>
            <w:tcW w:w="907" w:type="dxa"/>
          </w:tcPr>
          <w:p>
            <w:pPr>
              <w:pStyle w:val="TableParagraph"/>
              <w:spacing w:before="43"/>
              <w:ind w:right="173"/>
              <w:jc w:val="right"/>
              <w:rPr>
                <w:sz w:val="16"/>
              </w:rPr>
            </w:pPr>
            <w:r>
              <w:rPr>
                <w:sz w:val="16"/>
              </w:rPr>
              <w:t>(38)</w:t>
            </w:r>
          </w:p>
        </w:tc>
        <w:tc>
          <w:tcPr>
            <w:tcW w:w="674" w:type="dxa"/>
          </w:tcPr>
          <w:p>
            <w:pPr>
              <w:pStyle w:val="TableParagraph"/>
              <w:spacing w:before="43"/>
              <w:ind w:right="53"/>
              <w:jc w:val="right"/>
              <w:rPr>
                <w:sz w:val="16"/>
              </w:rPr>
            </w:pPr>
            <w:r>
              <w:rPr>
                <w:sz w:val="16"/>
              </w:rPr>
              <w:t>(15)</w:t>
            </w:r>
          </w:p>
        </w:tc>
        <w:tc>
          <w:tcPr>
            <w:tcW w:w="864" w:type="dxa"/>
          </w:tcPr>
          <w:p>
            <w:pPr>
              <w:pStyle w:val="TableParagraph"/>
              <w:spacing w:before="43"/>
              <w:ind w:right="48"/>
              <w:jc w:val="right"/>
              <w:rPr>
                <w:sz w:val="16"/>
              </w:rPr>
            </w:pPr>
            <w:r>
              <w:rPr>
                <w:sz w:val="16"/>
              </w:rPr>
              <w:t>(6,244)</w:t>
            </w:r>
          </w:p>
        </w:tc>
      </w:tr>
      <w:tr>
        <w:trPr>
          <w:trHeight w:val="255" w:hRule="exact"/>
        </w:trPr>
        <w:tc>
          <w:tcPr>
            <w:tcW w:w="2928" w:type="dxa"/>
          </w:tcPr>
          <w:p>
            <w:pPr>
              <w:pStyle w:val="TableParagraph"/>
              <w:spacing w:before="13"/>
              <w:ind w:left="35"/>
              <w:rPr>
                <w:sz w:val="16"/>
              </w:rPr>
            </w:pPr>
            <w:r>
              <w:rPr>
                <w:w w:val="105"/>
                <w:sz w:val="16"/>
              </w:rPr>
              <w:t>Depreciation Charge</w:t>
            </w:r>
          </w:p>
        </w:tc>
        <w:tc>
          <w:tcPr>
            <w:tcW w:w="1244" w:type="dxa"/>
          </w:tcPr>
          <w:p>
            <w:pPr>
              <w:pStyle w:val="TableParagraph"/>
              <w:spacing w:before="43"/>
              <w:ind w:left="490"/>
              <w:jc w:val="center"/>
              <w:rPr>
                <w:sz w:val="16"/>
              </w:rPr>
            </w:pPr>
            <w:r>
              <w:rPr>
                <w:w w:val="102"/>
                <w:sz w:val="16"/>
              </w:rPr>
              <w:t>-</w:t>
            </w:r>
          </w:p>
        </w:tc>
        <w:tc>
          <w:tcPr>
            <w:tcW w:w="964" w:type="dxa"/>
          </w:tcPr>
          <w:p>
            <w:pPr>
              <w:pStyle w:val="TableParagraph"/>
              <w:spacing w:before="43"/>
              <w:ind w:left="113"/>
              <w:jc w:val="center"/>
              <w:rPr>
                <w:sz w:val="16"/>
              </w:rPr>
            </w:pPr>
            <w:r>
              <w:rPr>
                <w:w w:val="102"/>
                <w:sz w:val="16"/>
              </w:rPr>
              <w:t>-</w:t>
            </w:r>
          </w:p>
        </w:tc>
        <w:tc>
          <w:tcPr>
            <w:tcW w:w="2135" w:type="dxa"/>
            <w:gridSpan w:val="2"/>
          </w:tcPr>
          <w:p>
            <w:pPr>
              <w:pStyle w:val="TableParagraph"/>
              <w:tabs>
                <w:tab w:pos="1195" w:val="left" w:leader="none"/>
              </w:tabs>
              <w:spacing w:before="43"/>
              <w:ind w:left="520"/>
              <w:rPr>
                <w:sz w:val="16"/>
              </w:rPr>
            </w:pPr>
            <w:r>
              <w:rPr>
                <w:w w:val="105"/>
                <w:sz w:val="16"/>
              </w:rPr>
              <w:t>-</w:t>
              <w:tab/>
              <w:t>(16,723)</w:t>
            </w:r>
          </w:p>
        </w:tc>
        <w:tc>
          <w:tcPr>
            <w:tcW w:w="1349" w:type="dxa"/>
          </w:tcPr>
          <w:p>
            <w:pPr>
              <w:pStyle w:val="TableParagraph"/>
              <w:spacing w:before="43"/>
              <w:ind w:right="479"/>
              <w:jc w:val="right"/>
              <w:rPr>
                <w:sz w:val="16"/>
              </w:rPr>
            </w:pPr>
            <w:r>
              <w:rPr>
                <w:sz w:val="16"/>
              </w:rPr>
              <w:t>(1,562)</w:t>
            </w:r>
          </w:p>
        </w:tc>
        <w:tc>
          <w:tcPr>
            <w:tcW w:w="2383" w:type="dxa"/>
            <w:gridSpan w:val="2"/>
          </w:tcPr>
          <w:p>
            <w:pPr>
              <w:pStyle w:val="TableParagraph"/>
              <w:tabs>
                <w:tab w:pos="1428" w:val="left" w:leader="none"/>
              </w:tabs>
              <w:spacing w:before="43"/>
              <w:ind w:left="648"/>
              <w:rPr>
                <w:sz w:val="16"/>
              </w:rPr>
            </w:pPr>
            <w:r>
              <w:rPr>
                <w:w w:val="105"/>
                <w:sz w:val="16"/>
              </w:rPr>
              <w:t>-</w:t>
              <w:tab/>
              <w:t>(8,884)</w:t>
            </w:r>
          </w:p>
        </w:tc>
        <w:tc>
          <w:tcPr>
            <w:tcW w:w="1079" w:type="dxa"/>
          </w:tcPr>
          <w:p>
            <w:pPr>
              <w:pStyle w:val="TableParagraph"/>
              <w:spacing w:before="43"/>
              <w:ind w:right="195"/>
              <w:jc w:val="right"/>
              <w:rPr>
                <w:sz w:val="16"/>
              </w:rPr>
            </w:pPr>
            <w:r>
              <w:rPr>
                <w:sz w:val="16"/>
              </w:rPr>
              <w:t>(328)</w:t>
            </w:r>
          </w:p>
        </w:tc>
        <w:tc>
          <w:tcPr>
            <w:tcW w:w="907" w:type="dxa"/>
          </w:tcPr>
          <w:p>
            <w:pPr>
              <w:pStyle w:val="TableParagraph"/>
              <w:spacing w:before="43"/>
              <w:ind w:right="173"/>
              <w:jc w:val="right"/>
              <w:rPr>
                <w:sz w:val="16"/>
              </w:rPr>
            </w:pPr>
            <w:r>
              <w:rPr>
                <w:sz w:val="16"/>
              </w:rPr>
              <w:t>(3,643)</w:t>
            </w:r>
          </w:p>
        </w:tc>
        <w:tc>
          <w:tcPr>
            <w:tcW w:w="674" w:type="dxa"/>
          </w:tcPr>
          <w:p>
            <w:pPr/>
          </w:p>
        </w:tc>
        <w:tc>
          <w:tcPr>
            <w:tcW w:w="864" w:type="dxa"/>
          </w:tcPr>
          <w:p>
            <w:pPr>
              <w:pStyle w:val="TableParagraph"/>
              <w:spacing w:before="43"/>
              <w:ind w:right="48"/>
              <w:jc w:val="right"/>
              <w:rPr>
                <w:sz w:val="16"/>
              </w:rPr>
            </w:pPr>
            <w:r>
              <w:rPr>
                <w:sz w:val="16"/>
              </w:rPr>
              <w:t>(31,140)</w:t>
            </w:r>
          </w:p>
        </w:tc>
      </w:tr>
      <w:tr>
        <w:trPr>
          <w:trHeight w:val="509" w:hRule="exact"/>
        </w:trPr>
        <w:tc>
          <w:tcPr>
            <w:tcW w:w="2928" w:type="dxa"/>
          </w:tcPr>
          <w:p>
            <w:pPr>
              <w:pStyle w:val="TableParagraph"/>
              <w:spacing w:before="13"/>
              <w:ind w:left="35"/>
              <w:rPr>
                <w:sz w:val="16"/>
              </w:rPr>
            </w:pPr>
            <w:r>
              <w:rPr>
                <w:sz w:val="16"/>
              </w:rPr>
              <w:t>Non-Cash Adjustments</w:t>
            </w:r>
          </w:p>
          <w:p>
            <w:pPr>
              <w:pStyle w:val="TableParagraph"/>
              <w:spacing w:before="70"/>
              <w:ind w:left="35"/>
              <w:rPr>
                <w:sz w:val="16"/>
              </w:rPr>
            </w:pPr>
            <w:r>
              <w:rPr>
                <w:w w:val="105"/>
                <w:sz w:val="16"/>
              </w:rPr>
              <w:t>Transfers to Freehold Buildings and</w:t>
            </w:r>
          </w:p>
        </w:tc>
        <w:tc>
          <w:tcPr>
            <w:tcW w:w="1244" w:type="dxa"/>
          </w:tcPr>
          <w:p>
            <w:pPr>
              <w:pStyle w:val="TableParagraph"/>
              <w:spacing w:before="42"/>
              <w:ind w:left="490"/>
              <w:jc w:val="center"/>
              <w:rPr>
                <w:sz w:val="16"/>
              </w:rPr>
            </w:pPr>
            <w:r>
              <w:rPr>
                <w:w w:val="102"/>
                <w:sz w:val="16"/>
              </w:rPr>
              <w:t>-</w:t>
            </w:r>
          </w:p>
        </w:tc>
        <w:tc>
          <w:tcPr>
            <w:tcW w:w="964" w:type="dxa"/>
          </w:tcPr>
          <w:p>
            <w:pPr>
              <w:pStyle w:val="TableParagraph"/>
              <w:spacing w:before="42"/>
              <w:ind w:right="211"/>
              <w:jc w:val="right"/>
              <w:rPr>
                <w:sz w:val="16"/>
              </w:rPr>
            </w:pPr>
            <w:r>
              <w:rPr>
                <w:sz w:val="16"/>
              </w:rPr>
              <w:t>405</w:t>
            </w:r>
          </w:p>
        </w:tc>
        <w:tc>
          <w:tcPr>
            <w:tcW w:w="2135" w:type="dxa"/>
            <w:gridSpan w:val="2"/>
          </w:tcPr>
          <w:p>
            <w:pPr>
              <w:pStyle w:val="TableParagraph"/>
              <w:tabs>
                <w:tab w:pos="1359" w:val="left" w:leader="none"/>
              </w:tabs>
              <w:spacing w:before="42"/>
              <w:ind w:left="520"/>
              <w:rPr>
                <w:sz w:val="16"/>
              </w:rPr>
            </w:pPr>
            <w:r>
              <w:rPr>
                <w:w w:val="105"/>
                <w:sz w:val="16"/>
              </w:rPr>
              <w:t>-</w:t>
              <w:tab/>
              <w:t>8,156</w:t>
            </w:r>
          </w:p>
        </w:tc>
        <w:tc>
          <w:tcPr>
            <w:tcW w:w="1349" w:type="dxa"/>
          </w:tcPr>
          <w:p>
            <w:pPr/>
          </w:p>
        </w:tc>
        <w:tc>
          <w:tcPr>
            <w:tcW w:w="2383" w:type="dxa"/>
            <w:gridSpan w:val="2"/>
          </w:tcPr>
          <w:p>
            <w:pPr>
              <w:pStyle w:val="TableParagraph"/>
              <w:tabs>
                <w:tab w:pos="1427" w:val="left" w:leader="none"/>
              </w:tabs>
              <w:spacing w:before="42"/>
              <w:ind w:left="649"/>
              <w:rPr>
                <w:sz w:val="16"/>
              </w:rPr>
            </w:pPr>
            <w:r>
              <w:rPr>
                <w:w w:val="105"/>
                <w:sz w:val="16"/>
              </w:rPr>
              <w:t>-</w:t>
              <w:tab/>
              <w:t>(8,156)</w:t>
            </w:r>
          </w:p>
        </w:tc>
        <w:tc>
          <w:tcPr>
            <w:tcW w:w="1079" w:type="dxa"/>
          </w:tcPr>
          <w:p>
            <w:pPr>
              <w:pStyle w:val="TableParagraph"/>
              <w:spacing w:before="42"/>
              <w:ind w:left="183"/>
              <w:jc w:val="center"/>
              <w:rPr>
                <w:sz w:val="16"/>
              </w:rPr>
            </w:pPr>
            <w:r>
              <w:rPr>
                <w:w w:val="102"/>
                <w:sz w:val="16"/>
              </w:rPr>
              <w:t>-</w:t>
            </w:r>
          </w:p>
        </w:tc>
        <w:tc>
          <w:tcPr>
            <w:tcW w:w="907" w:type="dxa"/>
          </w:tcPr>
          <w:p>
            <w:pPr>
              <w:pStyle w:val="TableParagraph"/>
              <w:spacing w:before="42"/>
              <w:ind w:left="55"/>
              <w:jc w:val="center"/>
              <w:rPr>
                <w:sz w:val="16"/>
              </w:rPr>
            </w:pPr>
            <w:r>
              <w:rPr>
                <w:w w:val="102"/>
                <w:sz w:val="16"/>
              </w:rPr>
              <w:t>-</w:t>
            </w:r>
          </w:p>
        </w:tc>
        <w:tc>
          <w:tcPr>
            <w:tcW w:w="674" w:type="dxa"/>
          </w:tcPr>
          <w:p>
            <w:pPr>
              <w:pStyle w:val="TableParagraph"/>
              <w:spacing w:before="42"/>
              <w:ind w:left="62"/>
              <w:jc w:val="center"/>
              <w:rPr>
                <w:sz w:val="16"/>
              </w:rPr>
            </w:pPr>
            <w:r>
              <w:rPr>
                <w:w w:val="102"/>
                <w:sz w:val="16"/>
              </w:rPr>
              <w:t>-</w:t>
            </w:r>
          </w:p>
        </w:tc>
        <w:tc>
          <w:tcPr>
            <w:tcW w:w="864" w:type="dxa"/>
          </w:tcPr>
          <w:p>
            <w:pPr>
              <w:pStyle w:val="TableParagraph"/>
              <w:spacing w:before="42"/>
              <w:ind w:right="86"/>
              <w:jc w:val="right"/>
              <w:rPr>
                <w:sz w:val="16"/>
              </w:rPr>
            </w:pPr>
            <w:r>
              <w:rPr>
                <w:sz w:val="16"/>
              </w:rPr>
              <w:t>405</w:t>
            </w:r>
          </w:p>
        </w:tc>
      </w:tr>
      <w:tr>
        <w:trPr>
          <w:trHeight w:val="389" w:hRule="exact"/>
        </w:trPr>
        <w:tc>
          <w:tcPr>
            <w:tcW w:w="6106" w:type="dxa"/>
            <w:gridSpan w:val="4"/>
          </w:tcPr>
          <w:p>
            <w:pPr>
              <w:pStyle w:val="TableParagraph"/>
              <w:tabs>
                <w:tab w:pos="3437" w:val="left" w:leader="none"/>
                <w:tab w:pos="4681" w:val="left" w:leader="none"/>
                <w:tab w:pos="5655" w:val="left" w:leader="none"/>
              </w:tabs>
              <w:spacing w:line="227" w:lineRule="exact"/>
              <w:ind w:left="35"/>
              <w:rPr>
                <w:sz w:val="16"/>
              </w:rPr>
            </w:pPr>
            <w:r>
              <w:rPr>
                <w:spacing w:val="-7"/>
                <w:w w:val="105"/>
                <w:sz w:val="16"/>
              </w:rPr>
              <w:t>Plant </w:t>
            </w:r>
            <w:r>
              <w:rPr>
                <w:w w:val="105"/>
                <w:sz w:val="16"/>
              </w:rPr>
              <w:t>&amp;</w:t>
            </w:r>
            <w:r>
              <w:rPr>
                <w:spacing w:val="-11"/>
                <w:w w:val="105"/>
                <w:sz w:val="16"/>
              </w:rPr>
              <w:t> </w:t>
            </w:r>
            <w:r>
              <w:rPr>
                <w:spacing w:val="-7"/>
                <w:w w:val="105"/>
                <w:sz w:val="16"/>
              </w:rPr>
              <w:t>Equipment</w:t>
              <w:tab/>
            </w:r>
            <w:r>
              <w:rPr>
                <w:w w:val="105"/>
                <w:position w:val="-5"/>
                <w:sz w:val="16"/>
              </w:rPr>
              <w:t>(98,879)</w:t>
              <w:tab/>
              <w:t>-</w:t>
              <w:tab/>
              <w:t>-</w:t>
            </w:r>
          </w:p>
          <w:p>
            <w:pPr>
              <w:pStyle w:val="TableParagraph"/>
              <w:spacing w:line="161" w:lineRule="exact" w:before="40"/>
              <w:ind w:left="35"/>
              <w:rPr>
                <w:sz w:val="16"/>
              </w:rPr>
            </w:pPr>
            <w:r>
              <w:rPr>
                <w:w w:val="105"/>
                <w:sz w:val="16"/>
              </w:rPr>
              <w:t>Transfers from Construction in</w:t>
            </w:r>
          </w:p>
        </w:tc>
        <w:tc>
          <w:tcPr>
            <w:tcW w:w="1165" w:type="dxa"/>
          </w:tcPr>
          <w:p>
            <w:pPr/>
          </w:p>
        </w:tc>
        <w:tc>
          <w:tcPr>
            <w:tcW w:w="1349" w:type="dxa"/>
          </w:tcPr>
          <w:p>
            <w:pPr/>
          </w:p>
        </w:tc>
        <w:tc>
          <w:tcPr>
            <w:tcW w:w="1149" w:type="dxa"/>
          </w:tcPr>
          <w:p>
            <w:pPr>
              <w:pStyle w:val="TableParagraph"/>
              <w:spacing w:before="43"/>
              <w:ind w:left="202"/>
              <w:jc w:val="center"/>
              <w:rPr>
                <w:sz w:val="16"/>
              </w:rPr>
            </w:pPr>
            <w:r>
              <w:rPr>
                <w:w w:val="102"/>
                <w:sz w:val="16"/>
              </w:rPr>
              <w:t>-</w:t>
            </w:r>
          </w:p>
        </w:tc>
        <w:tc>
          <w:tcPr>
            <w:tcW w:w="1234" w:type="dxa"/>
          </w:tcPr>
          <w:p>
            <w:pPr>
              <w:pStyle w:val="TableParagraph"/>
              <w:spacing w:before="43"/>
              <w:ind w:right="140"/>
              <w:jc w:val="center"/>
              <w:rPr>
                <w:sz w:val="16"/>
              </w:rPr>
            </w:pPr>
            <w:r>
              <w:rPr>
                <w:w w:val="102"/>
                <w:sz w:val="16"/>
              </w:rPr>
              <w:t>-</w:t>
            </w:r>
          </w:p>
        </w:tc>
        <w:tc>
          <w:tcPr>
            <w:tcW w:w="1079" w:type="dxa"/>
          </w:tcPr>
          <w:p>
            <w:pPr>
              <w:pStyle w:val="TableParagraph"/>
              <w:spacing w:before="43"/>
              <w:ind w:left="182"/>
              <w:jc w:val="center"/>
              <w:rPr>
                <w:sz w:val="16"/>
              </w:rPr>
            </w:pPr>
            <w:r>
              <w:rPr>
                <w:w w:val="102"/>
                <w:sz w:val="16"/>
              </w:rPr>
              <w:t>-</w:t>
            </w:r>
          </w:p>
        </w:tc>
        <w:tc>
          <w:tcPr>
            <w:tcW w:w="907" w:type="dxa"/>
          </w:tcPr>
          <w:p>
            <w:pPr>
              <w:pStyle w:val="TableParagraph"/>
              <w:spacing w:before="43"/>
              <w:ind w:left="55"/>
              <w:jc w:val="center"/>
              <w:rPr>
                <w:sz w:val="16"/>
              </w:rPr>
            </w:pPr>
            <w:r>
              <w:rPr>
                <w:w w:val="102"/>
                <w:sz w:val="16"/>
              </w:rPr>
              <w:t>-</w:t>
            </w:r>
          </w:p>
        </w:tc>
        <w:tc>
          <w:tcPr>
            <w:tcW w:w="674" w:type="dxa"/>
          </w:tcPr>
          <w:p>
            <w:pPr/>
          </w:p>
        </w:tc>
        <w:tc>
          <w:tcPr>
            <w:tcW w:w="864" w:type="dxa"/>
          </w:tcPr>
          <w:p>
            <w:pPr>
              <w:pStyle w:val="TableParagraph"/>
              <w:spacing w:before="43"/>
              <w:ind w:right="48"/>
              <w:jc w:val="right"/>
              <w:rPr>
                <w:sz w:val="16"/>
              </w:rPr>
            </w:pPr>
            <w:r>
              <w:rPr>
                <w:sz w:val="16"/>
              </w:rPr>
              <w:t>(98,879)</w:t>
            </w:r>
          </w:p>
        </w:tc>
      </w:tr>
      <w:tr>
        <w:trPr>
          <w:trHeight w:val="367" w:hRule="exact"/>
        </w:trPr>
        <w:tc>
          <w:tcPr>
            <w:tcW w:w="6106" w:type="dxa"/>
            <w:gridSpan w:val="4"/>
          </w:tcPr>
          <w:p>
            <w:pPr>
              <w:pStyle w:val="TableParagraph"/>
              <w:tabs>
                <w:tab w:pos="3767" w:val="left" w:leader="none"/>
                <w:tab w:pos="4682" w:val="left" w:leader="none"/>
                <w:tab w:pos="5655" w:val="left" w:leader="none"/>
              </w:tabs>
              <w:spacing w:before="103"/>
              <w:ind w:left="35"/>
              <w:rPr>
                <w:sz w:val="16"/>
              </w:rPr>
            </w:pPr>
            <w:r>
              <w:rPr>
                <w:w w:val="105"/>
                <w:sz w:val="16"/>
              </w:rPr>
              <w:t>Progress</w:t>
              <w:tab/>
            </w:r>
            <w:r>
              <w:rPr>
                <w:w w:val="105"/>
                <w:position w:val="-3"/>
                <w:sz w:val="16"/>
              </w:rPr>
              <w:t>-</w:t>
              <w:tab/>
              <w:t>-</w:t>
              <w:tab/>
              <w:t>-</w:t>
            </w:r>
          </w:p>
        </w:tc>
        <w:tc>
          <w:tcPr>
            <w:tcW w:w="1165" w:type="dxa"/>
          </w:tcPr>
          <w:p>
            <w:pPr>
              <w:pStyle w:val="TableParagraph"/>
              <w:spacing w:before="9"/>
              <w:rPr>
                <w:sz w:val="12"/>
              </w:rPr>
            </w:pPr>
          </w:p>
          <w:p>
            <w:pPr>
              <w:pStyle w:val="TableParagraph"/>
              <w:ind w:right="367"/>
              <w:jc w:val="right"/>
              <w:rPr>
                <w:sz w:val="16"/>
              </w:rPr>
            </w:pPr>
            <w:r>
              <w:rPr>
                <w:sz w:val="16"/>
              </w:rPr>
              <w:t>95,531</w:t>
            </w:r>
          </w:p>
        </w:tc>
        <w:tc>
          <w:tcPr>
            <w:tcW w:w="1349" w:type="dxa"/>
          </w:tcPr>
          <w:p>
            <w:pPr>
              <w:pStyle w:val="TableParagraph"/>
              <w:spacing w:before="9"/>
              <w:rPr>
                <w:sz w:val="12"/>
              </w:rPr>
            </w:pPr>
          </w:p>
          <w:p>
            <w:pPr>
              <w:pStyle w:val="TableParagraph"/>
              <w:ind w:right="517"/>
              <w:jc w:val="right"/>
              <w:rPr>
                <w:sz w:val="16"/>
              </w:rPr>
            </w:pPr>
            <w:r>
              <w:rPr>
                <w:sz w:val="16"/>
              </w:rPr>
              <w:t>2,055</w:t>
            </w:r>
          </w:p>
        </w:tc>
        <w:tc>
          <w:tcPr>
            <w:tcW w:w="1149" w:type="dxa"/>
          </w:tcPr>
          <w:p>
            <w:pPr>
              <w:pStyle w:val="TableParagraph"/>
              <w:spacing w:before="9"/>
              <w:rPr>
                <w:sz w:val="12"/>
              </w:rPr>
            </w:pPr>
          </w:p>
          <w:p>
            <w:pPr>
              <w:pStyle w:val="TableParagraph"/>
              <w:ind w:left="203"/>
              <w:jc w:val="center"/>
              <w:rPr>
                <w:sz w:val="16"/>
              </w:rPr>
            </w:pPr>
            <w:r>
              <w:rPr>
                <w:w w:val="102"/>
                <w:sz w:val="16"/>
              </w:rPr>
              <w:t>-</w:t>
            </w:r>
          </w:p>
        </w:tc>
        <w:tc>
          <w:tcPr>
            <w:tcW w:w="1234" w:type="dxa"/>
          </w:tcPr>
          <w:p>
            <w:pPr>
              <w:pStyle w:val="TableParagraph"/>
              <w:spacing w:before="9"/>
              <w:rPr>
                <w:sz w:val="12"/>
              </w:rPr>
            </w:pPr>
          </w:p>
          <w:p>
            <w:pPr>
              <w:pStyle w:val="TableParagraph"/>
              <w:ind w:right="471"/>
              <w:jc w:val="right"/>
              <w:rPr>
                <w:sz w:val="16"/>
              </w:rPr>
            </w:pPr>
            <w:r>
              <w:rPr>
                <w:sz w:val="16"/>
              </w:rPr>
              <w:t>1,292</w:t>
            </w:r>
          </w:p>
        </w:tc>
        <w:tc>
          <w:tcPr>
            <w:tcW w:w="1079" w:type="dxa"/>
          </w:tcPr>
          <w:p>
            <w:pPr/>
          </w:p>
        </w:tc>
        <w:tc>
          <w:tcPr>
            <w:tcW w:w="907" w:type="dxa"/>
          </w:tcPr>
          <w:p>
            <w:pPr>
              <w:pStyle w:val="TableParagraph"/>
              <w:spacing w:before="9"/>
              <w:rPr>
                <w:sz w:val="12"/>
              </w:rPr>
            </w:pPr>
          </w:p>
          <w:p>
            <w:pPr>
              <w:pStyle w:val="TableParagraph"/>
              <w:ind w:left="55"/>
              <w:jc w:val="center"/>
              <w:rPr>
                <w:sz w:val="16"/>
              </w:rPr>
            </w:pPr>
            <w:r>
              <w:rPr>
                <w:w w:val="102"/>
                <w:sz w:val="16"/>
              </w:rPr>
              <w:t>-</w:t>
            </w:r>
          </w:p>
        </w:tc>
        <w:tc>
          <w:tcPr>
            <w:tcW w:w="674" w:type="dxa"/>
          </w:tcPr>
          <w:p>
            <w:pPr/>
          </w:p>
        </w:tc>
        <w:tc>
          <w:tcPr>
            <w:tcW w:w="864" w:type="dxa"/>
          </w:tcPr>
          <w:p>
            <w:pPr>
              <w:pStyle w:val="TableParagraph"/>
              <w:spacing w:before="9"/>
              <w:rPr>
                <w:sz w:val="12"/>
              </w:rPr>
            </w:pPr>
          </w:p>
          <w:p>
            <w:pPr>
              <w:pStyle w:val="TableParagraph"/>
              <w:ind w:right="86"/>
              <w:jc w:val="right"/>
              <w:rPr>
                <w:sz w:val="16"/>
              </w:rPr>
            </w:pPr>
            <w:r>
              <w:rPr>
                <w:sz w:val="16"/>
              </w:rPr>
              <w:t>98,878</w:t>
            </w:r>
          </w:p>
        </w:tc>
      </w:tr>
      <w:tr>
        <w:trPr>
          <w:trHeight w:val="254" w:hRule="exact"/>
        </w:trPr>
        <w:tc>
          <w:tcPr>
            <w:tcW w:w="6106" w:type="dxa"/>
            <w:gridSpan w:val="4"/>
          </w:tcPr>
          <w:p>
            <w:pPr>
              <w:pStyle w:val="TableParagraph"/>
              <w:tabs>
                <w:tab w:pos="3513" w:val="left" w:leader="none"/>
                <w:tab w:pos="4336" w:val="left" w:leader="none"/>
                <w:tab w:pos="5311" w:val="left" w:leader="none"/>
              </w:tabs>
              <w:spacing w:before="4"/>
              <w:ind w:left="35"/>
              <w:rPr>
                <w:sz w:val="16"/>
              </w:rPr>
            </w:pPr>
            <w:r>
              <w:rPr>
                <w:spacing w:val="-4"/>
                <w:w w:val="105"/>
                <w:sz w:val="16"/>
              </w:rPr>
              <w:t>Closing </w:t>
            </w:r>
            <w:r>
              <w:rPr>
                <w:spacing w:val="-6"/>
                <w:w w:val="105"/>
                <w:sz w:val="16"/>
              </w:rPr>
              <w:t>Net</w:t>
            </w:r>
            <w:r>
              <w:rPr>
                <w:spacing w:val="-14"/>
                <w:w w:val="105"/>
                <w:sz w:val="16"/>
              </w:rPr>
              <w:t> </w:t>
            </w:r>
            <w:r>
              <w:rPr>
                <w:spacing w:val="-3"/>
                <w:w w:val="105"/>
                <w:sz w:val="16"/>
              </w:rPr>
              <w:t>Book</w:t>
            </w:r>
            <w:r>
              <w:rPr>
                <w:spacing w:val="-14"/>
                <w:w w:val="105"/>
                <w:sz w:val="16"/>
              </w:rPr>
              <w:t> </w:t>
            </w:r>
            <w:r>
              <w:rPr>
                <w:spacing w:val="-3"/>
                <w:w w:val="105"/>
                <w:sz w:val="16"/>
              </w:rPr>
              <w:t>Amount</w:t>
              <w:tab/>
            </w:r>
            <w:r>
              <w:rPr>
                <w:w w:val="105"/>
                <w:position w:val="-2"/>
                <w:sz w:val="16"/>
              </w:rPr>
              <w:t>80,656</w:t>
              <w:tab/>
              <w:t>214,400</w:t>
              <w:tab/>
              <w:t>163,120</w:t>
            </w:r>
          </w:p>
        </w:tc>
        <w:tc>
          <w:tcPr>
            <w:tcW w:w="1165" w:type="dxa"/>
          </w:tcPr>
          <w:p>
            <w:pPr>
              <w:pStyle w:val="TableParagraph"/>
              <w:spacing w:before="34"/>
              <w:ind w:right="368"/>
              <w:jc w:val="right"/>
              <w:rPr>
                <w:sz w:val="16"/>
              </w:rPr>
            </w:pPr>
            <w:r>
              <w:rPr>
                <w:sz w:val="16"/>
              </w:rPr>
              <w:t>734,356</w:t>
            </w:r>
          </w:p>
        </w:tc>
        <w:tc>
          <w:tcPr>
            <w:tcW w:w="1349" w:type="dxa"/>
          </w:tcPr>
          <w:p>
            <w:pPr>
              <w:pStyle w:val="TableParagraph"/>
              <w:spacing w:before="34"/>
              <w:ind w:right="518"/>
              <w:jc w:val="right"/>
              <w:rPr>
                <w:sz w:val="16"/>
              </w:rPr>
            </w:pPr>
            <w:r>
              <w:rPr>
                <w:sz w:val="16"/>
              </w:rPr>
              <w:t>53,010</w:t>
            </w:r>
          </w:p>
        </w:tc>
        <w:tc>
          <w:tcPr>
            <w:tcW w:w="1149" w:type="dxa"/>
          </w:tcPr>
          <w:p>
            <w:pPr>
              <w:pStyle w:val="TableParagraph"/>
              <w:spacing w:before="34"/>
              <w:ind w:left="202"/>
              <w:jc w:val="center"/>
              <w:rPr>
                <w:sz w:val="16"/>
              </w:rPr>
            </w:pPr>
            <w:r>
              <w:rPr>
                <w:w w:val="102"/>
                <w:sz w:val="16"/>
              </w:rPr>
              <w:t>-</w:t>
            </w:r>
          </w:p>
        </w:tc>
        <w:tc>
          <w:tcPr>
            <w:tcW w:w="1234" w:type="dxa"/>
          </w:tcPr>
          <w:p>
            <w:pPr>
              <w:pStyle w:val="TableParagraph"/>
              <w:spacing w:before="34"/>
              <w:ind w:right="473"/>
              <w:jc w:val="right"/>
              <w:rPr>
                <w:sz w:val="16"/>
              </w:rPr>
            </w:pPr>
            <w:r>
              <w:rPr>
                <w:sz w:val="16"/>
              </w:rPr>
              <w:t>44,876</w:t>
            </w:r>
          </w:p>
        </w:tc>
        <w:tc>
          <w:tcPr>
            <w:tcW w:w="1079" w:type="dxa"/>
          </w:tcPr>
          <w:p>
            <w:pPr>
              <w:pStyle w:val="TableParagraph"/>
              <w:spacing w:before="34"/>
              <w:ind w:right="232"/>
              <w:jc w:val="right"/>
              <w:rPr>
                <w:sz w:val="16"/>
              </w:rPr>
            </w:pPr>
            <w:r>
              <w:rPr>
                <w:sz w:val="16"/>
              </w:rPr>
              <w:t>548</w:t>
            </w:r>
          </w:p>
        </w:tc>
        <w:tc>
          <w:tcPr>
            <w:tcW w:w="907" w:type="dxa"/>
          </w:tcPr>
          <w:p>
            <w:pPr>
              <w:pStyle w:val="TableParagraph"/>
              <w:spacing w:before="34"/>
              <w:ind w:right="210"/>
              <w:jc w:val="right"/>
              <w:rPr>
                <w:sz w:val="16"/>
              </w:rPr>
            </w:pPr>
            <w:r>
              <w:rPr>
                <w:sz w:val="16"/>
              </w:rPr>
              <w:t>11,604</w:t>
            </w:r>
          </w:p>
        </w:tc>
        <w:tc>
          <w:tcPr>
            <w:tcW w:w="674" w:type="dxa"/>
          </w:tcPr>
          <w:p>
            <w:pPr>
              <w:pStyle w:val="TableParagraph"/>
              <w:spacing w:before="34"/>
              <w:ind w:right="90"/>
              <w:jc w:val="right"/>
              <w:rPr>
                <w:sz w:val="16"/>
              </w:rPr>
            </w:pPr>
            <w:r>
              <w:rPr>
                <w:sz w:val="16"/>
              </w:rPr>
              <w:t>2,995</w:t>
            </w:r>
          </w:p>
        </w:tc>
        <w:tc>
          <w:tcPr>
            <w:tcW w:w="864" w:type="dxa"/>
          </w:tcPr>
          <w:p>
            <w:pPr>
              <w:pStyle w:val="TableParagraph"/>
              <w:spacing w:before="34"/>
              <w:ind w:right="85"/>
              <w:jc w:val="right"/>
              <w:rPr>
                <w:sz w:val="16"/>
              </w:rPr>
            </w:pPr>
            <w:r>
              <w:rPr>
                <w:sz w:val="16"/>
              </w:rPr>
              <w:t>1,305,565</w:t>
            </w:r>
          </w:p>
        </w:tc>
      </w:tr>
      <w:tr>
        <w:trPr>
          <w:trHeight w:val="550" w:hRule="exact"/>
        </w:trPr>
        <w:tc>
          <w:tcPr>
            <w:tcW w:w="6106" w:type="dxa"/>
            <w:gridSpan w:val="4"/>
          </w:tcPr>
          <w:p>
            <w:pPr>
              <w:pStyle w:val="TableParagraph"/>
              <w:spacing w:before="129"/>
              <w:ind w:left="35"/>
              <w:rPr>
                <w:b/>
                <w:sz w:val="16"/>
              </w:rPr>
            </w:pPr>
            <w:r>
              <w:rPr>
                <w:b/>
                <w:w w:val="105"/>
                <w:sz w:val="16"/>
              </w:rPr>
              <w:t>At 31 Decem ber 2011</w:t>
            </w:r>
          </w:p>
          <w:p>
            <w:pPr>
              <w:pStyle w:val="TableParagraph"/>
              <w:tabs>
                <w:tab w:pos="3513" w:val="left" w:leader="none"/>
                <w:tab w:pos="4682" w:val="left" w:leader="none"/>
                <w:tab w:pos="5655" w:val="left" w:leader="none"/>
              </w:tabs>
              <w:spacing w:before="35"/>
              <w:ind w:left="35"/>
              <w:rPr>
                <w:sz w:val="16"/>
              </w:rPr>
            </w:pPr>
            <w:r>
              <w:rPr>
                <w:w w:val="105"/>
                <w:sz w:val="16"/>
              </w:rPr>
              <w:t>-</w:t>
            </w:r>
            <w:r>
              <w:rPr>
                <w:spacing w:val="1"/>
                <w:w w:val="105"/>
                <w:sz w:val="16"/>
              </w:rPr>
              <w:t> </w:t>
            </w:r>
            <w:r>
              <w:rPr>
                <w:spacing w:val="-3"/>
                <w:w w:val="105"/>
                <w:sz w:val="16"/>
              </w:rPr>
              <w:t>Cost</w:t>
              <w:tab/>
            </w:r>
            <w:r>
              <w:rPr>
                <w:w w:val="105"/>
                <w:sz w:val="16"/>
              </w:rPr>
              <w:t>80,656</w:t>
              <w:tab/>
              <w:t>-</w:t>
              <w:tab/>
              <w:t>-</w:t>
            </w:r>
          </w:p>
        </w:tc>
        <w:tc>
          <w:tcPr>
            <w:tcW w:w="1165" w:type="dxa"/>
          </w:tcPr>
          <w:p>
            <w:pPr>
              <w:pStyle w:val="TableParagraph"/>
              <w:rPr>
                <w:sz w:val="16"/>
              </w:rPr>
            </w:pPr>
          </w:p>
          <w:p>
            <w:pPr>
              <w:pStyle w:val="TableParagraph"/>
              <w:spacing w:before="4"/>
              <w:rPr>
                <w:sz w:val="14"/>
              </w:rPr>
            </w:pPr>
          </w:p>
          <w:p>
            <w:pPr>
              <w:pStyle w:val="TableParagraph"/>
              <w:jc w:val="center"/>
              <w:rPr>
                <w:sz w:val="16"/>
              </w:rPr>
            </w:pPr>
            <w:r>
              <w:rPr>
                <w:w w:val="102"/>
                <w:sz w:val="16"/>
              </w:rPr>
              <w:t>-</w:t>
            </w:r>
          </w:p>
        </w:tc>
        <w:tc>
          <w:tcPr>
            <w:tcW w:w="1349" w:type="dxa"/>
          </w:tcPr>
          <w:p>
            <w:pPr>
              <w:pStyle w:val="TableParagraph"/>
              <w:rPr>
                <w:sz w:val="16"/>
              </w:rPr>
            </w:pPr>
          </w:p>
          <w:p>
            <w:pPr>
              <w:pStyle w:val="TableParagraph"/>
              <w:spacing w:before="4"/>
              <w:rPr>
                <w:sz w:val="14"/>
              </w:rPr>
            </w:pPr>
          </w:p>
          <w:p>
            <w:pPr>
              <w:pStyle w:val="TableParagraph"/>
              <w:ind w:right="117"/>
              <w:jc w:val="center"/>
              <w:rPr>
                <w:sz w:val="16"/>
              </w:rPr>
            </w:pPr>
            <w:r>
              <w:rPr>
                <w:w w:val="102"/>
                <w:sz w:val="16"/>
              </w:rPr>
              <w:t>-</w:t>
            </w:r>
          </w:p>
        </w:tc>
        <w:tc>
          <w:tcPr>
            <w:tcW w:w="1149" w:type="dxa"/>
          </w:tcPr>
          <w:p>
            <w:pPr>
              <w:pStyle w:val="TableParagraph"/>
              <w:rPr>
                <w:sz w:val="16"/>
              </w:rPr>
            </w:pPr>
          </w:p>
          <w:p>
            <w:pPr>
              <w:pStyle w:val="TableParagraph"/>
              <w:spacing w:before="4"/>
              <w:rPr>
                <w:sz w:val="14"/>
              </w:rPr>
            </w:pPr>
          </w:p>
          <w:p>
            <w:pPr>
              <w:pStyle w:val="TableParagraph"/>
              <w:ind w:left="454" w:right="234"/>
              <w:jc w:val="center"/>
              <w:rPr>
                <w:sz w:val="16"/>
              </w:rPr>
            </w:pPr>
            <w:r>
              <w:rPr>
                <w:w w:val="105"/>
                <w:sz w:val="16"/>
              </w:rPr>
              <w:t>4,594</w:t>
            </w:r>
          </w:p>
        </w:tc>
        <w:tc>
          <w:tcPr>
            <w:tcW w:w="1234" w:type="dxa"/>
          </w:tcPr>
          <w:p>
            <w:pPr>
              <w:pStyle w:val="TableParagraph"/>
              <w:rPr>
                <w:sz w:val="16"/>
              </w:rPr>
            </w:pPr>
          </w:p>
          <w:p>
            <w:pPr>
              <w:pStyle w:val="TableParagraph"/>
              <w:spacing w:before="4"/>
              <w:rPr>
                <w:sz w:val="14"/>
              </w:rPr>
            </w:pPr>
          </w:p>
          <w:p>
            <w:pPr>
              <w:pStyle w:val="TableParagraph"/>
              <w:ind w:right="474"/>
              <w:jc w:val="right"/>
              <w:rPr>
                <w:sz w:val="16"/>
              </w:rPr>
            </w:pPr>
            <w:r>
              <w:rPr>
                <w:sz w:val="16"/>
              </w:rPr>
              <w:t>93,370</w:t>
            </w:r>
          </w:p>
        </w:tc>
        <w:tc>
          <w:tcPr>
            <w:tcW w:w="1079" w:type="dxa"/>
          </w:tcPr>
          <w:p>
            <w:pPr>
              <w:pStyle w:val="TableParagraph"/>
              <w:rPr>
                <w:sz w:val="16"/>
              </w:rPr>
            </w:pPr>
          </w:p>
          <w:p>
            <w:pPr>
              <w:pStyle w:val="TableParagraph"/>
              <w:spacing w:before="4"/>
              <w:rPr>
                <w:sz w:val="14"/>
              </w:rPr>
            </w:pPr>
          </w:p>
          <w:p>
            <w:pPr>
              <w:pStyle w:val="TableParagraph"/>
              <w:ind w:right="233"/>
              <w:jc w:val="right"/>
              <w:rPr>
                <w:sz w:val="16"/>
              </w:rPr>
            </w:pPr>
            <w:r>
              <w:rPr>
                <w:sz w:val="16"/>
              </w:rPr>
              <w:t>2,674</w:t>
            </w:r>
          </w:p>
        </w:tc>
        <w:tc>
          <w:tcPr>
            <w:tcW w:w="907" w:type="dxa"/>
          </w:tcPr>
          <w:p>
            <w:pPr>
              <w:pStyle w:val="TableParagraph"/>
              <w:rPr>
                <w:sz w:val="16"/>
              </w:rPr>
            </w:pPr>
          </w:p>
          <w:p>
            <w:pPr>
              <w:pStyle w:val="TableParagraph"/>
              <w:spacing w:before="4"/>
              <w:rPr>
                <w:sz w:val="14"/>
              </w:rPr>
            </w:pPr>
          </w:p>
          <w:p>
            <w:pPr>
              <w:pStyle w:val="TableParagraph"/>
              <w:ind w:right="212"/>
              <w:jc w:val="right"/>
              <w:rPr>
                <w:sz w:val="16"/>
              </w:rPr>
            </w:pPr>
            <w:r>
              <w:rPr>
                <w:sz w:val="16"/>
              </w:rPr>
              <w:t>81,116</w:t>
            </w:r>
          </w:p>
        </w:tc>
        <w:tc>
          <w:tcPr>
            <w:tcW w:w="674" w:type="dxa"/>
          </w:tcPr>
          <w:p>
            <w:pPr>
              <w:pStyle w:val="TableParagraph"/>
              <w:rPr>
                <w:sz w:val="16"/>
              </w:rPr>
            </w:pPr>
          </w:p>
          <w:p>
            <w:pPr>
              <w:pStyle w:val="TableParagraph"/>
              <w:spacing w:before="4"/>
              <w:rPr>
                <w:sz w:val="14"/>
              </w:rPr>
            </w:pPr>
          </w:p>
          <w:p>
            <w:pPr>
              <w:pStyle w:val="TableParagraph"/>
              <w:ind w:left="61"/>
              <w:jc w:val="center"/>
              <w:rPr>
                <w:sz w:val="16"/>
              </w:rPr>
            </w:pPr>
            <w:r>
              <w:rPr>
                <w:w w:val="102"/>
                <w:sz w:val="16"/>
              </w:rPr>
              <w:t>-</w:t>
            </w:r>
          </w:p>
        </w:tc>
        <w:tc>
          <w:tcPr>
            <w:tcW w:w="864" w:type="dxa"/>
          </w:tcPr>
          <w:p>
            <w:pPr>
              <w:pStyle w:val="TableParagraph"/>
              <w:rPr>
                <w:sz w:val="16"/>
              </w:rPr>
            </w:pPr>
          </w:p>
          <w:p>
            <w:pPr>
              <w:pStyle w:val="TableParagraph"/>
              <w:spacing w:before="4"/>
              <w:rPr>
                <w:sz w:val="14"/>
              </w:rPr>
            </w:pPr>
          </w:p>
          <w:p>
            <w:pPr>
              <w:pStyle w:val="TableParagraph"/>
              <w:ind w:right="89"/>
              <w:jc w:val="right"/>
              <w:rPr>
                <w:sz w:val="16"/>
              </w:rPr>
            </w:pPr>
            <w:r>
              <w:rPr>
                <w:sz w:val="16"/>
              </w:rPr>
              <w:t>262,410</w:t>
            </w:r>
          </w:p>
        </w:tc>
      </w:tr>
    </w:tbl>
    <w:p>
      <w:pPr>
        <w:tabs>
          <w:tab w:pos="4279" w:val="left" w:leader="none"/>
          <w:tab w:pos="4849" w:val="left" w:leader="none"/>
        </w:tabs>
        <w:spacing w:before="23"/>
        <w:ind w:left="548" w:right="0" w:firstLine="0"/>
        <w:jc w:val="left"/>
        <w:rPr>
          <w:sz w:val="16"/>
        </w:rPr>
      </w:pPr>
      <w:r>
        <w:rPr/>
        <w:pict>
          <v:group style="position:absolute;margin-left:216.695999pt;margin-top:-40.656170pt;width:580.65pt;height:.8pt;mso-position-horizontal-relative:page;mso-position-vertical-relative:paragraph;z-index:-1311832" coordorigin="4334,-813" coordsize="11613,16">
            <v:line style="position:absolute" from="4341,-812" to="15939,-812" stroked="true" strokeweight=".06pt" strokecolor="#000000"/>
            <v:line style="position:absolute" from="4341,-805" to="15939,-805" stroked="true" strokeweight=".72pt" strokecolor="#000000"/>
            <w10:wrap type="none"/>
          </v:group>
        </w:pict>
      </w:r>
      <w:r>
        <w:rPr/>
        <w:pict>
          <v:group style="position:absolute;margin-left:216.695999pt;margin-top:-27.936171pt;width:580.65pt;height:.8pt;mso-position-horizontal-relative:page;mso-position-vertical-relative:paragraph;z-index:-1311808" coordorigin="4334,-559" coordsize="11613,16">
            <v:line style="position:absolute" from="4341,-558" to="15939,-558" stroked="true" strokeweight=".06pt" strokecolor="#000000"/>
            <v:line style="position:absolute" from="4341,-551" to="15939,-551" stroked="true" strokeweight=".72pt" strokecolor="#000000"/>
            <w10:wrap type="none"/>
          </v:group>
        </w:pict>
      </w:r>
      <w:r>
        <w:rPr/>
        <w:pict>
          <v:shape style="position:absolute;margin-left:302.812531pt;margin-top:-3.016521pt;width:494.6pt;height:26.75pt;mso-position-horizontal-relative:page;mso-position-vertical-relative:paragraph;z-index:244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62"/>
                    <w:gridCol w:w="1146"/>
                    <w:gridCol w:w="1312"/>
                    <w:gridCol w:w="1187"/>
                    <w:gridCol w:w="1214"/>
                    <w:gridCol w:w="1079"/>
                    <w:gridCol w:w="944"/>
                    <w:gridCol w:w="656"/>
                    <w:gridCol w:w="892"/>
                  </w:tblGrid>
                  <w:tr>
                    <w:trPr>
                      <w:trHeight w:val="295" w:hRule="exact"/>
                    </w:trPr>
                    <w:tc>
                      <w:tcPr>
                        <w:tcW w:w="1462" w:type="dxa"/>
                      </w:tcPr>
                      <w:p>
                        <w:pPr>
                          <w:pStyle w:val="TableParagraph"/>
                          <w:tabs>
                            <w:tab w:pos="667" w:val="left" w:leader="none"/>
                          </w:tabs>
                          <w:spacing w:before="83"/>
                          <w:ind w:left="8"/>
                          <w:rPr>
                            <w:sz w:val="16"/>
                          </w:rPr>
                        </w:pPr>
                        <w:r>
                          <w:rPr>
                            <w:w w:val="105"/>
                            <w:sz w:val="16"/>
                          </w:rPr>
                          <w:t>400</w:t>
                          <w:tab/>
                          <w:t>163,120</w:t>
                        </w:r>
                      </w:p>
                    </w:tc>
                    <w:tc>
                      <w:tcPr>
                        <w:tcW w:w="1146" w:type="dxa"/>
                      </w:tcPr>
                      <w:p>
                        <w:pPr>
                          <w:pStyle w:val="TableParagraph"/>
                          <w:spacing w:before="83"/>
                          <w:ind w:left="209"/>
                          <w:rPr>
                            <w:sz w:val="16"/>
                          </w:rPr>
                        </w:pPr>
                        <w:r>
                          <w:rPr>
                            <w:w w:val="105"/>
                            <w:sz w:val="16"/>
                          </w:rPr>
                          <w:t>734,356</w:t>
                        </w:r>
                      </w:p>
                    </w:tc>
                    <w:tc>
                      <w:tcPr>
                        <w:tcW w:w="1312" w:type="dxa"/>
                      </w:tcPr>
                      <w:p>
                        <w:pPr>
                          <w:pStyle w:val="TableParagraph"/>
                          <w:spacing w:before="83"/>
                          <w:ind w:left="323" w:right="433"/>
                          <w:jc w:val="center"/>
                          <w:rPr>
                            <w:sz w:val="16"/>
                          </w:rPr>
                        </w:pPr>
                        <w:r>
                          <w:rPr>
                            <w:w w:val="105"/>
                            <w:sz w:val="16"/>
                          </w:rPr>
                          <w:t>53,010</w:t>
                        </w:r>
                      </w:p>
                    </w:tc>
                    <w:tc>
                      <w:tcPr>
                        <w:tcW w:w="1187" w:type="dxa"/>
                      </w:tcPr>
                      <w:p>
                        <w:pPr>
                          <w:pStyle w:val="TableParagraph"/>
                          <w:spacing w:before="83"/>
                          <w:ind w:left="278"/>
                          <w:jc w:val="center"/>
                          <w:rPr>
                            <w:sz w:val="16"/>
                          </w:rPr>
                        </w:pPr>
                        <w:r>
                          <w:rPr>
                            <w:w w:val="102"/>
                            <w:sz w:val="16"/>
                          </w:rPr>
                          <w:t>-</w:t>
                        </w:r>
                      </w:p>
                    </w:tc>
                    <w:tc>
                      <w:tcPr>
                        <w:tcW w:w="1214" w:type="dxa"/>
                      </w:tcPr>
                      <w:p>
                        <w:pPr>
                          <w:pStyle w:val="TableParagraph"/>
                          <w:spacing w:before="83"/>
                          <w:ind w:right="85"/>
                          <w:jc w:val="center"/>
                          <w:rPr>
                            <w:sz w:val="16"/>
                          </w:rPr>
                        </w:pPr>
                        <w:r>
                          <w:rPr>
                            <w:w w:val="102"/>
                            <w:sz w:val="16"/>
                          </w:rPr>
                          <w:t>-</w:t>
                        </w:r>
                      </w:p>
                    </w:tc>
                    <w:tc>
                      <w:tcPr>
                        <w:tcW w:w="1079" w:type="dxa"/>
                      </w:tcPr>
                      <w:p>
                        <w:pPr>
                          <w:pStyle w:val="TableParagraph"/>
                          <w:spacing w:before="83"/>
                          <w:ind w:left="257"/>
                          <w:jc w:val="center"/>
                          <w:rPr>
                            <w:sz w:val="16"/>
                          </w:rPr>
                        </w:pPr>
                        <w:r>
                          <w:rPr>
                            <w:w w:val="102"/>
                            <w:sz w:val="16"/>
                          </w:rPr>
                          <w:t>-</w:t>
                        </w:r>
                      </w:p>
                    </w:tc>
                    <w:tc>
                      <w:tcPr>
                        <w:tcW w:w="944" w:type="dxa"/>
                      </w:tcPr>
                      <w:p>
                        <w:pPr>
                          <w:pStyle w:val="TableParagraph"/>
                          <w:spacing w:before="83"/>
                          <w:ind w:right="211"/>
                          <w:jc w:val="right"/>
                          <w:rPr>
                            <w:sz w:val="16"/>
                          </w:rPr>
                        </w:pPr>
                        <w:r>
                          <w:rPr>
                            <w:sz w:val="16"/>
                          </w:rPr>
                          <w:t>619</w:t>
                        </w:r>
                      </w:p>
                    </w:tc>
                    <w:tc>
                      <w:tcPr>
                        <w:tcW w:w="656" w:type="dxa"/>
                      </w:tcPr>
                      <w:p>
                        <w:pPr>
                          <w:pStyle w:val="TableParagraph"/>
                          <w:spacing w:before="83"/>
                          <w:ind w:left="148" w:right="47"/>
                          <w:jc w:val="center"/>
                          <w:rPr>
                            <w:sz w:val="16"/>
                          </w:rPr>
                        </w:pPr>
                        <w:r>
                          <w:rPr>
                            <w:w w:val="105"/>
                            <w:sz w:val="16"/>
                          </w:rPr>
                          <w:t>2,995</w:t>
                        </w:r>
                      </w:p>
                    </w:tc>
                    <w:tc>
                      <w:tcPr>
                        <w:tcW w:w="892" w:type="dxa"/>
                      </w:tcPr>
                      <w:p>
                        <w:pPr>
                          <w:pStyle w:val="TableParagraph"/>
                          <w:spacing w:before="83"/>
                          <w:ind w:left="9" w:right="30"/>
                          <w:jc w:val="center"/>
                          <w:rPr>
                            <w:sz w:val="16"/>
                          </w:rPr>
                        </w:pPr>
                        <w:r>
                          <w:rPr>
                            <w:w w:val="105"/>
                            <w:sz w:val="16"/>
                          </w:rPr>
                          <w:t>1,168,500</w:t>
                        </w:r>
                      </w:p>
                    </w:tc>
                  </w:tr>
                  <w:tr>
                    <w:trPr>
                      <w:trHeight w:val="240" w:hRule="exact"/>
                    </w:trPr>
                    <w:tc>
                      <w:tcPr>
                        <w:tcW w:w="1462" w:type="dxa"/>
                      </w:tcPr>
                      <w:p>
                        <w:pPr>
                          <w:pStyle w:val="TableParagraph"/>
                          <w:tabs>
                            <w:tab w:pos="1011" w:val="left" w:leader="none"/>
                          </w:tabs>
                          <w:spacing w:before="13"/>
                          <w:ind w:left="38"/>
                          <w:rPr>
                            <w:sz w:val="16"/>
                          </w:rPr>
                        </w:pPr>
                        <w:r>
                          <w:rPr>
                            <w:w w:val="105"/>
                            <w:sz w:val="16"/>
                          </w:rPr>
                          <w:t>-</w:t>
                          <w:tab/>
                          <w:t>-</w:t>
                        </w:r>
                      </w:p>
                    </w:tc>
                    <w:tc>
                      <w:tcPr>
                        <w:tcW w:w="1146" w:type="dxa"/>
                      </w:tcPr>
                      <w:p>
                        <w:pPr>
                          <w:pStyle w:val="TableParagraph"/>
                          <w:spacing w:before="13"/>
                          <w:ind w:left="17"/>
                          <w:jc w:val="center"/>
                          <w:rPr>
                            <w:sz w:val="16"/>
                          </w:rPr>
                        </w:pPr>
                        <w:r>
                          <w:rPr>
                            <w:w w:val="102"/>
                            <w:sz w:val="16"/>
                          </w:rPr>
                          <w:t>-</w:t>
                        </w:r>
                      </w:p>
                    </w:tc>
                    <w:tc>
                      <w:tcPr>
                        <w:tcW w:w="1312" w:type="dxa"/>
                      </w:tcPr>
                      <w:p>
                        <w:pPr>
                          <w:pStyle w:val="TableParagraph"/>
                          <w:spacing w:before="13"/>
                          <w:ind w:right="41"/>
                          <w:jc w:val="center"/>
                          <w:rPr>
                            <w:sz w:val="16"/>
                          </w:rPr>
                        </w:pPr>
                        <w:r>
                          <w:rPr>
                            <w:w w:val="102"/>
                            <w:sz w:val="16"/>
                          </w:rPr>
                          <w:t>-</w:t>
                        </w:r>
                      </w:p>
                    </w:tc>
                    <w:tc>
                      <w:tcPr>
                        <w:tcW w:w="1187" w:type="dxa"/>
                      </w:tcPr>
                      <w:p>
                        <w:pPr>
                          <w:pStyle w:val="TableParagraph"/>
                          <w:spacing w:before="13"/>
                          <w:ind w:left="436" w:right="178"/>
                          <w:jc w:val="center"/>
                          <w:rPr>
                            <w:sz w:val="16"/>
                          </w:rPr>
                        </w:pPr>
                        <w:r>
                          <w:rPr>
                            <w:w w:val="105"/>
                            <w:sz w:val="16"/>
                          </w:rPr>
                          <w:t>(4,594)</w:t>
                        </w:r>
                      </w:p>
                    </w:tc>
                    <w:tc>
                      <w:tcPr>
                        <w:tcW w:w="1214" w:type="dxa"/>
                      </w:tcPr>
                      <w:p>
                        <w:pPr>
                          <w:pStyle w:val="TableParagraph"/>
                          <w:spacing w:before="13"/>
                          <w:ind w:left="205"/>
                          <w:rPr>
                            <w:sz w:val="16"/>
                          </w:rPr>
                        </w:pPr>
                        <w:r>
                          <w:rPr>
                            <w:w w:val="105"/>
                            <w:sz w:val="16"/>
                          </w:rPr>
                          <w:t>(48,494)</w:t>
                        </w:r>
                      </w:p>
                    </w:tc>
                    <w:tc>
                      <w:tcPr>
                        <w:tcW w:w="1079" w:type="dxa"/>
                      </w:tcPr>
                      <w:p>
                        <w:pPr>
                          <w:pStyle w:val="TableParagraph"/>
                          <w:spacing w:before="13"/>
                          <w:ind w:left="372" w:right="133"/>
                          <w:jc w:val="center"/>
                          <w:rPr>
                            <w:sz w:val="16"/>
                          </w:rPr>
                        </w:pPr>
                        <w:r>
                          <w:rPr>
                            <w:w w:val="105"/>
                            <w:sz w:val="16"/>
                          </w:rPr>
                          <w:t>(2,126)</w:t>
                        </w:r>
                      </w:p>
                    </w:tc>
                    <w:tc>
                      <w:tcPr>
                        <w:tcW w:w="944" w:type="dxa"/>
                      </w:tcPr>
                      <w:p>
                        <w:pPr>
                          <w:pStyle w:val="TableParagraph"/>
                          <w:spacing w:before="13"/>
                          <w:ind w:right="173"/>
                          <w:jc w:val="right"/>
                          <w:rPr>
                            <w:sz w:val="16"/>
                          </w:rPr>
                        </w:pPr>
                        <w:r>
                          <w:rPr>
                            <w:sz w:val="16"/>
                          </w:rPr>
                          <w:t>(70,131)</w:t>
                        </w:r>
                      </w:p>
                    </w:tc>
                    <w:tc>
                      <w:tcPr>
                        <w:tcW w:w="656" w:type="dxa"/>
                      </w:tcPr>
                      <w:p>
                        <w:pPr>
                          <w:pStyle w:val="TableParagraph"/>
                          <w:spacing w:before="13"/>
                          <w:ind w:left="80"/>
                          <w:jc w:val="center"/>
                          <w:rPr>
                            <w:sz w:val="16"/>
                          </w:rPr>
                        </w:pPr>
                        <w:r>
                          <w:rPr>
                            <w:w w:val="102"/>
                            <w:sz w:val="16"/>
                          </w:rPr>
                          <w:t>-</w:t>
                        </w:r>
                      </w:p>
                    </w:tc>
                    <w:tc>
                      <w:tcPr>
                        <w:tcW w:w="892" w:type="dxa"/>
                      </w:tcPr>
                      <w:p>
                        <w:pPr>
                          <w:pStyle w:val="TableParagraph"/>
                          <w:spacing w:before="13"/>
                          <w:ind w:left="101" w:right="30"/>
                          <w:jc w:val="center"/>
                          <w:rPr>
                            <w:sz w:val="16"/>
                          </w:rPr>
                        </w:pPr>
                        <w:r>
                          <w:rPr>
                            <w:w w:val="105"/>
                            <w:sz w:val="16"/>
                          </w:rPr>
                          <w:t>(125,345)</w:t>
                        </w:r>
                      </w:p>
                    </w:tc>
                  </w:tr>
                </w:tbl>
                <w:p>
                  <w:pPr>
                    <w:pStyle w:val="BodyText"/>
                  </w:pPr>
                </w:p>
              </w:txbxContent>
            </v:textbox>
            <w10:wrap type="none"/>
          </v:shape>
        </w:pict>
      </w:r>
      <w:r>
        <w:rPr>
          <w:w w:val="105"/>
          <w:sz w:val="16"/>
        </w:rPr>
        <w:t>-</w:t>
      </w:r>
      <w:r>
        <w:rPr>
          <w:spacing w:val="-7"/>
          <w:w w:val="105"/>
          <w:sz w:val="16"/>
        </w:rPr>
        <w:t> </w:t>
      </w:r>
      <w:r>
        <w:rPr>
          <w:w w:val="105"/>
          <w:sz w:val="16"/>
        </w:rPr>
        <w:t>Valuation</w:t>
        <w:tab/>
        <w:t>-</w:t>
        <w:tab/>
        <w:t>214,</w:t>
      </w:r>
    </w:p>
    <w:p>
      <w:pPr>
        <w:tabs>
          <w:tab w:pos="4279" w:val="left" w:leader="none"/>
        </w:tabs>
        <w:spacing w:before="40"/>
        <w:ind w:left="548" w:right="0" w:firstLine="0"/>
        <w:jc w:val="left"/>
        <w:rPr>
          <w:sz w:val="16"/>
        </w:rPr>
      </w:pPr>
      <w:r>
        <w:rPr/>
        <w:pict>
          <v:group style="position:absolute;margin-left:216.695999pt;margin-top:12.573744pt;width:580.65pt;height:.8pt;mso-position-horizontal-relative:page;mso-position-vertical-relative:paragraph;z-index:2344;mso-wrap-distance-left:0;mso-wrap-distance-right:0" coordorigin="4334,251" coordsize="11613,16">
            <v:line style="position:absolute" from="4341,252" to="15939,252" stroked="true" strokeweight=".06pt" strokecolor="#000000"/>
            <v:line style="position:absolute" from="4341,260" to="15939,260" stroked="true" strokeweight=".72pt" strokecolor="#000000"/>
            <w10:wrap type="topAndBottom"/>
          </v:group>
        </w:pict>
      </w:r>
      <w:r>
        <w:rPr>
          <w:w w:val="105"/>
          <w:sz w:val="16"/>
        </w:rPr>
        <w:t>Accumulated</w:t>
      </w:r>
      <w:r>
        <w:rPr>
          <w:spacing w:val="-25"/>
          <w:w w:val="105"/>
          <w:sz w:val="16"/>
        </w:rPr>
        <w:t> </w:t>
      </w:r>
      <w:r>
        <w:rPr>
          <w:w w:val="105"/>
          <w:sz w:val="16"/>
        </w:rPr>
        <w:t>depreciation</w:t>
        <w:tab/>
        <w:t>-</w:t>
      </w:r>
    </w:p>
    <w:p>
      <w:pPr>
        <w:tabs>
          <w:tab w:pos="4025" w:val="left" w:leader="none"/>
          <w:tab w:pos="4848" w:val="left" w:leader="none"/>
          <w:tab w:pos="5822" w:val="left" w:leader="none"/>
          <w:tab w:pos="6827" w:val="left" w:leader="none"/>
          <w:tab w:pos="8114" w:val="left" w:leader="none"/>
          <w:tab w:pos="9779" w:val="left" w:leader="none"/>
          <w:tab w:pos="10543" w:val="left" w:leader="none"/>
          <w:tab w:pos="12087" w:val="left" w:leader="none"/>
          <w:tab w:pos="12791" w:val="left" w:leader="none"/>
          <w:tab w:pos="13675" w:val="left" w:leader="none"/>
        </w:tabs>
        <w:spacing w:before="0" w:after="27"/>
        <w:ind w:left="548" w:right="0" w:firstLine="0"/>
        <w:jc w:val="left"/>
        <w:rPr>
          <w:sz w:val="16"/>
        </w:rPr>
      </w:pPr>
      <w:r>
        <w:rPr>
          <w:spacing w:val="-6"/>
          <w:w w:val="105"/>
          <w:sz w:val="16"/>
        </w:rPr>
        <w:t>Net</w:t>
      </w:r>
      <w:r>
        <w:rPr>
          <w:spacing w:val="-8"/>
          <w:w w:val="105"/>
          <w:sz w:val="16"/>
        </w:rPr>
        <w:t> </w:t>
      </w:r>
      <w:r>
        <w:rPr>
          <w:spacing w:val="-3"/>
          <w:w w:val="105"/>
          <w:sz w:val="16"/>
        </w:rPr>
        <w:t>Book</w:t>
      </w:r>
      <w:r>
        <w:rPr>
          <w:spacing w:val="-13"/>
          <w:w w:val="105"/>
          <w:sz w:val="16"/>
        </w:rPr>
        <w:t> </w:t>
      </w:r>
      <w:r>
        <w:rPr>
          <w:spacing w:val="-3"/>
          <w:w w:val="105"/>
          <w:sz w:val="16"/>
        </w:rPr>
        <w:t>Amount</w:t>
        <w:tab/>
      </w:r>
      <w:r>
        <w:rPr>
          <w:w w:val="105"/>
          <w:sz w:val="16"/>
        </w:rPr>
        <w:t>80,656</w:t>
        <w:tab/>
        <w:t>214,400</w:t>
        <w:tab/>
        <w:t>163,120</w:t>
        <w:tab/>
        <w:t>734,356</w:t>
        <w:tab/>
        <w:t>53,010</w:t>
        <w:tab/>
        <w:t>-</w:t>
        <w:tab/>
        <w:t>44,876</w:t>
        <w:tab/>
        <w:t>548</w:t>
        <w:tab/>
        <w:t>11,604</w:t>
        <w:tab/>
        <w:t>2,995 </w:t>
      </w:r>
      <w:r>
        <w:rPr>
          <w:spacing w:val="6"/>
          <w:w w:val="105"/>
          <w:sz w:val="16"/>
        </w:rPr>
        <w:t> </w:t>
      </w:r>
      <w:r>
        <w:rPr>
          <w:w w:val="105"/>
          <w:sz w:val="16"/>
        </w:rPr>
        <w:t>1,305,565</w:t>
      </w:r>
    </w:p>
    <w:p>
      <w:pPr>
        <w:pStyle w:val="BodyText"/>
        <w:spacing w:line="45" w:lineRule="exact"/>
        <w:ind w:left="3447"/>
        <w:rPr>
          <w:sz w:val="4"/>
        </w:rPr>
      </w:pPr>
      <w:r>
        <w:rPr>
          <w:position w:val="0"/>
          <w:sz w:val="4"/>
        </w:rPr>
        <w:pict>
          <v:group style="width:579.2pt;height:2.3pt;mso-position-horizontal-relative:char;mso-position-vertical-relative:line" coordorigin="0,0" coordsize="11584,46">
            <v:line style="position:absolute" from="8,1" to="11576,1" stroked="true" strokeweight=".06pt" strokecolor="#000000"/>
            <v:line style="position:absolute" from="8,9" to="11576,9" stroked="true" strokeweight=".78pt" strokecolor="#000000"/>
            <v:line style="position:absolute" from="8,31" to="11576,31" stroked="true" strokeweight=".06pt" strokecolor="#000000"/>
            <v:line style="position:absolute" from="8,38" to="11576,38" stroked="true" strokeweight=".72pt" strokecolor="#000000"/>
          </v:group>
        </w:pict>
      </w:r>
      <w:r>
        <w:rPr>
          <w:position w:val="0"/>
          <w:sz w:val="4"/>
        </w:rPr>
      </w:r>
    </w:p>
    <w:p>
      <w:pPr>
        <w:spacing w:after="0" w:line="45" w:lineRule="exact"/>
        <w:rPr>
          <w:sz w:val="4"/>
        </w:rPr>
        <w:sectPr>
          <w:type w:val="continuous"/>
          <w:pgSz w:w="16840" w:h="11910" w:orient="landscape"/>
          <w:pgMar w:top="0" w:bottom="280" w:left="900" w:right="780"/>
        </w:sectPr>
      </w:pPr>
    </w:p>
    <w:p>
      <w:pPr>
        <w:pStyle w:val="BodyText"/>
        <w:rPr>
          <w:sz w:val="20"/>
        </w:rPr>
      </w:pPr>
    </w:p>
    <w:p>
      <w:pPr>
        <w:pStyle w:val="BodyText"/>
        <w:rPr>
          <w:sz w:val="20"/>
        </w:rPr>
      </w:pPr>
    </w:p>
    <w:p>
      <w:pPr>
        <w:pStyle w:val="BodyText"/>
        <w:spacing w:before="4"/>
      </w:pPr>
    </w:p>
    <w:p>
      <w:pPr>
        <w:pStyle w:val="Heading9"/>
        <w:ind w:left="109"/>
      </w:pPr>
      <w:r>
        <w:rPr/>
        <w:t>18    Propert y, plant and equipment    (continued )</w:t>
      </w:r>
    </w:p>
    <w:p>
      <w:pPr>
        <w:pStyle w:val="BodyText"/>
        <w:spacing w:before="4"/>
        <w:rPr>
          <w:b/>
          <w:sz w:val="19"/>
        </w:rPr>
      </w:pPr>
    </w:p>
    <w:p>
      <w:pPr>
        <w:spacing w:after="0"/>
        <w:rPr>
          <w:sz w:val="19"/>
        </w:rPr>
        <w:sectPr>
          <w:pgSz w:w="16840" w:h="11910" w:orient="landscape"/>
          <w:pgMar w:header="1038" w:footer="507" w:top="2220" w:bottom="700" w:left="900" w:right="780"/>
        </w:sectPr>
      </w:pPr>
    </w:p>
    <w:p>
      <w:pPr>
        <w:pStyle w:val="BodyText"/>
        <w:rPr>
          <w:b/>
          <w:sz w:val="16"/>
        </w:rPr>
      </w:pPr>
    </w:p>
    <w:p>
      <w:pPr>
        <w:spacing w:line="288" w:lineRule="auto" w:before="134"/>
        <w:ind w:left="3542" w:right="0" w:hanging="61"/>
        <w:jc w:val="left"/>
        <w:rPr>
          <w:b/>
          <w:sz w:val="17"/>
        </w:rPr>
      </w:pPr>
      <w:r>
        <w:rPr>
          <w:b/>
          <w:sz w:val="17"/>
        </w:rPr>
        <w:t>Construction in Progress</w:t>
      </w:r>
    </w:p>
    <w:p>
      <w:pPr>
        <w:pStyle w:val="BodyText"/>
        <w:rPr>
          <w:b/>
          <w:sz w:val="16"/>
        </w:rPr>
      </w:pPr>
      <w:r>
        <w:rPr/>
        <w:br w:type="column"/>
      </w:r>
      <w:r>
        <w:rPr>
          <w:b/>
          <w:sz w:val="16"/>
        </w:rPr>
      </w:r>
    </w:p>
    <w:p>
      <w:pPr>
        <w:spacing w:line="288" w:lineRule="auto" w:before="134"/>
        <w:ind w:left="245" w:right="-2" w:hanging="166"/>
        <w:jc w:val="left"/>
        <w:rPr>
          <w:b/>
          <w:sz w:val="17"/>
        </w:rPr>
      </w:pPr>
      <w:r>
        <w:rPr>
          <w:b/>
          <w:sz w:val="17"/>
        </w:rPr>
        <w:t>Freehold Land</w:t>
      </w:r>
    </w:p>
    <w:p>
      <w:pPr>
        <w:pStyle w:val="BodyText"/>
        <w:rPr>
          <w:b/>
          <w:sz w:val="16"/>
        </w:rPr>
      </w:pPr>
      <w:r>
        <w:rPr/>
        <w:br w:type="column"/>
      </w:r>
      <w:r>
        <w:rPr>
          <w:b/>
          <w:sz w:val="16"/>
        </w:rPr>
      </w:r>
    </w:p>
    <w:p>
      <w:pPr>
        <w:spacing w:before="134"/>
        <w:ind w:left="258" w:right="0" w:firstLine="0"/>
        <w:jc w:val="left"/>
        <w:rPr>
          <w:b/>
          <w:sz w:val="17"/>
        </w:rPr>
      </w:pPr>
      <w:r>
        <w:rPr>
          <w:b/>
          <w:sz w:val="17"/>
        </w:rPr>
        <w:t>Crown</w:t>
      </w:r>
    </w:p>
    <w:p>
      <w:pPr>
        <w:tabs>
          <w:tab w:pos="1142" w:val="left" w:leader="none"/>
        </w:tabs>
        <w:spacing w:before="39"/>
        <w:ind w:left="333" w:right="0" w:firstLine="0"/>
        <w:jc w:val="left"/>
        <w:rPr>
          <w:b/>
          <w:sz w:val="17"/>
        </w:rPr>
      </w:pPr>
      <w:r>
        <w:rPr>
          <w:b/>
          <w:spacing w:val="-3"/>
          <w:sz w:val="17"/>
        </w:rPr>
        <w:t>Land</w:t>
        <w:tab/>
      </w:r>
      <w:r>
        <w:rPr>
          <w:b/>
          <w:spacing w:val="-5"/>
          <w:sz w:val="17"/>
        </w:rPr>
        <w:t>Buildings    </w:t>
      </w:r>
      <w:r>
        <w:rPr>
          <w:b/>
          <w:spacing w:val="16"/>
          <w:sz w:val="17"/>
        </w:rPr>
        <w:t> </w:t>
      </w:r>
      <w:r>
        <w:rPr>
          <w:b/>
          <w:sz w:val="17"/>
        </w:rPr>
        <w:t>Infrastucture</w:t>
      </w:r>
    </w:p>
    <w:p>
      <w:pPr>
        <w:spacing w:line="290" w:lineRule="auto" w:before="81"/>
        <w:ind w:left="148" w:right="0" w:firstLine="7"/>
        <w:jc w:val="center"/>
        <w:rPr>
          <w:b/>
          <w:sz w:val="17"/>
        </w:rPr>
      </w:pPr>
      <w:r>
        <w:rPr/>
        <w:br w:type="column"/>
      </w:r>
      <w:r>
        <w:rPr>
          <w:b/>
          <w:spacing w:val="-5"/>
          <w:sz w:val="17"/>
        </w:rPr>
        <w:t>Buildings </w:t>
      </w:r>
      <w:r>
        <w:rPr>
          <w:b/>
          <w:sz w:val="17"/>
        </w:rPr>
        <w:t>- </w:t>
      </w:r>
      <w:r>
        <w:rPr>
          <w:b/>
          <w:spacing w:val="-4"/>
          <w:sz w:val="17"/>
        </w:rPr>
        <w:t>Under </w:t>
      </w:r>
      <w:r>
        <w:rPr>
          <w:b/>
          <w:spacing w:val="-6"/>
          <w:sz w:val="17"/>
        </w:rPr>
        <w:t>Finance </w:t>
      </w:r>
      <w:r>
        <w:rPr>
          <w:b/>
          <w:sz w:val="17"/>
        </w:rPr>
        <w:t>Lease</w:t>
      </w:r>
    </w:p>
    <w:p>
      <w:pPr>
        <w:pStyle w:val="BodyText"/>
        <w:rPr>
          <w:b/>
          <w:sz w:val="16"/>
        </w:rPr>
      </w:pPr>
      <w:r>
        <w:rPr/>
        <w:br w:type="column"/>
      </w:r>
      <w:r>
        <w:rPr>
          <w:b/>
          <w:sz w:val="16"/>
        </w:rPr>
      </w:r>
    </w:p>
    <w:p>
      <w:pPr>
        <w:spacing w:line="288" w:lineRule="auto" w:before="134"/>
        <w:ind w:left="163" w:right="-18" w:firstLine="74"/>
        <w:jc w:val="left"/>
        <w:rPr>
          <w:b/>
          <w:sz w:val="17"/>
        </w:rPr>
      </w:pPr>
      <w:r>
        <w:rPr>
          <w:b/>
          <w:sz w:val="17"/>
        </w:rPr>
        <w:t>Plant and Equipment</w:t>
      </w:r>
    </w:p>
    <w:p>
      <w:pPr>
        <w:pStyle w:val="BodyText"/>
        <w:rPr>
          <w:b/>
          <w:sz w:val="16"/>
        </w:rPr>
      </w:pPr>
      <w:r>
        <w:rPr/>
        <w:br w:type="column"/>
      </w:r>
      <w:r>
        <w:rPr>
          <w:b/>
          <w:sz w:val="16"/>
        </w:rPr>
      </w:r>
    </w:p>
    <w:p>
      <w:pPr>
        <w:spacing w:line="288" w:lineRule="auto" w:before="134"/>
        <w:ind w:left="67" w:right="0" w:firstLine="180"/>
        <w:jc w:val="left"/>
        <w:rPr>
          <w:b/>
          <w:sz w:val="17"/>
        </w:rPr>
      </w:pPr>
      <w:r>
        <w:rPr>
          <w:b/>
          <w:sz w:val="17"/>
        </w:rPr>
        <w:t>Leasehold Improvements</w:t>
      </w:r>
    </w:p>
    <w:p>
      <w:pPr>
        <w:pStyle w:val="BodyText"/>
        <w:rPr>
          <w:b/>
          <w:sz w:val="16"/>
        </w:rPr>
      </w:pPr>
      <w:r>
        <w:rPr/>
        <w:br w:type="column"/>
      </w:r>
      <w:r>
        <w:rPr>
          <w:b/>
          <w:sz w:val="16"/>
        </w:rPr>
      </w:r>
    </w:p>
    <w:p>
      <w:pPr>
        <w:spacing w:before="134"/>
        <w:ind w:left="192" w:right="0" w:firstLine="0"/>
        <w:jc w:val="left"/>
        <w:rPr>
          <w:b/>
          <w:sz w:val="17"/>
        </w:rPr>
      </w:pPr>
      <w:r>
        <w:rPr>
          <w:b/>
          <w:sz w:val="17"/>
        </w:rPr>
        <w:t>Library</w:t>
      </w:r>
    </w:p>
    <w:p>
      <w:pPr>
        <w:tabs>
          <w:tab w:pos="1988" w:val="left" w:leader="none"/>
        </w:tabs>
        <w:spacing w:before="39"/>
        <w:ind w:left="72" w:right="0" w:firstLine="0"/>
        <w:jc w:val="left"/>
        <w:rPr>
          <w:b/>
          <w:sz w:val="17"/>
        </w:rPr>
      </w:pPr>
      <w:r>
        <w:rPr>
          <w:b/>
          <w:sz w:val="17"/>
        </w:rPr>
        <w:t>Collection </w:t>
      </w:r>
      <w:r>
        <w:rPr>
          <w:b/>
          <w:spacing w:val="31"/>
          <w:sz w:val="17"/>
        </w:rPr>
        <w:t> </w:t>
      </w:r>
      <w:r>
        <w:rPr>
          <w:b/>
          <w:sz w:val="17"/>
        </w:rPr>
        <w:t>Artw</w:t>
      </w:r>
      <w:r>
        <w:rPr>
          <w:b/>
          <w:spacing w:val="-32"/>
          <w:sz w:val="17"/>
        </w:rPr>
        <w:t> </w:t>
      </w:r>
      <w:r>
        <w:rPr>
          <w:b/>
          <w:spacing w:val="2"/>
          <w:sz w:val="17"/>
        </w:rPr>
        <w:t>ork</w:t>
        <w:tab/>
      </w:r>
      <w:r>
        <w:rPr>
          <w:b/>
          <w:sz w:val="17"/>
        </w:rPr>
        <w:t>Total</w:t>
      </w:r>
    </w:p>
    <w:p>
      <w:pPr>
        <w:spacing w:after="0"/>
        <w:jc w:val="left"/>
        <w:rPr>
          <w:sz w:val="17"/>
        </w:rPr>
        <w:sectPr>
          <w:type w:val="continuous"/>
          <w:pgSz w:w="16840" w:h="11910" w:orient="landscape"/>
          <w:pgMar w:top="0" w:bottom="280" w:left="900" w:right="780"/>
          <w:cols w:num="7" w:equalWidth="0">
            <w:col w:w="4560" w:space="40"/>
            <w:col w:w="815" w:space="40"/>
            <w:col w:w="3155" w:space="40"/>
            <w:col w:w="1307" w:space="40"/>
            <w:col w:w="1044" w:space="40"/>
            <w:col w:w="1288" w:space="40"/>
            <w:col w:w="2751"/>
          </w:cols>
        </w:sectPr>
      </w:pPr>
    </w:p>
    <w:p>
      <w:pPr>
        <w:tabs>
          <w:tab w:pos="3796" w:val="left" w:leader="none"/>
          <w:tab w:pos="4829" w:val="left" w:leader="none"/>
          <w:tab w:pos="5772" w:val="left" w:leader="none"/>
          <w:tab w:pos="6760" w:val="left" w:leader="none"/>
          <w:tab w:pos="7868" w:val="left" w:leader="none"/>
          <w:tab w:pos="9171" w:val="left" w:leader="none"/>
          <w:tab w:pos="10383" w:val="left" w:leader="none"/>
          <w:tab w:pos="12673" w:val="left" w:leader="none"/>
          <w:tab w:pos="13541" w:val="left" w:leader="none"/>
          <w:tab w:pos="14380" w:val="left" w:leader="none"/>
        </w:tabs>
        <w:spacing w:before="2"/>
        <w:ind w:left="548" w:right="0" w:firstLine="0"/>
        <w:jc w:val="left"/>
        <w:rPr>
          <w:b/>
          <w:sz w:val="17"/>
        </w:rPr>
      </w:pPr>
      <w:r>
        <w:rPr>
          <w:b/>
          <w:position w:val="3"/>
          <w:sz w:val="17"/>
        </w:rPr>
        <w:t>Parent</w:t>
      </w:r>
      <w:r>
        <w:rPr>
          <w:b/>
          <w:spacing w:val="4"/>
          <w:position w:val="3"/>
          <w:sz w:val="17"/>
        </w:rPr>
        <w:t> </w:t>
      </w:r>
      <w:r>
        <w:rPr>
          <w:b/>
          <w:spacing w:val="-5"/>
          <w:position w:val="3"/>
          <w:sz w:val="17"/>
        </w:rPr>
        <w:t>Entity</w:t>
        <w:tab/>
      </w:r>
      <w:r>
        <w:rPr>
          <w:b/>
          <w:sz w:val="17"/>
        </w:rPr>
        <w:t>$</w:t>
      </w:r>
      <w:r>
        <w:rPr>
          <w:b/>
          <w:spacing w:val="-6"/>
          <w:sz w:val="17"/>
        </w:rPr>
        <w:t> </w:t>
      </w:r>
      <w:r>
        <w:rPr>
          <w:b/>
          <w:spacing w:val="-3"/>
          <w:sz w:val="17"/>
        </w:rPr>
        <w:t>'000</w:t>
        <w:tab/>
      </w:r>
      <w:r>
        <w:rPr>
          <w:b/>
          <w:sz w:val="17"/>
        </w:rPr>
        <w:t>$</w:t>
      </w:r>
      <w:r>
        <w:rPr>
          <w:b/>
          <w:spacing w:val="-7"/>
          <w:sz w:val="17"/>
        </w:rPr>
        <w:t> </w:t>
      </w:r>
      <w:r>
        <w:rPr>
          <w:b/>
          <w:spacing w:val="-3"/>
          <w:sz w:val="17"/>
        </w:rPr>
        <w:t>'000</w:t>
        <w:tab/>
      </w:r>
      <w:r>
        <w:rPr>
          <w:b/>
          <w:sz w:val="17"/>
        </w:rPr>
        <w:t>$</w:t>
      </w:r>
      <w:r>
        <w:rPr>
          <w:b/>
          <w:spacing w:val="-7"/>
          <w:sz w:val="17"/>
        </w:rPr>
        <w:t> </w:t>
      </w:r>
      <w:r>
        <w:rPr>
          <w:b/>
          <w:spacing w:val="-3"/>
          <w:sz w:val="17"/>
        </w:rPr>
        <w:t>'000</w:t>
        <w:tab/>
      </w:r>
      <w:r>
        <w:rPr>
          <w:b/>
          <w:sz w:val="17"/>
        </w:rPr>
        <w:t>$</w:t>
      </w:r>
      <w:r>
        <w:rPr>
          <w:b/>
          <w:spacing w:val="-6"/>
          <w:sz w:val="17"/>
        </w:rPr>
        <w:t> </w:t>
      </w:r>
      <w:r>
        <w:rPr>
          <w:b/>
          <w:spacing w:val="-3"/>
          <w:sz w:val="17"/>
        </w:rPr>
        <w:t>'000</w:t>
        <w:tab/>
      </w:r>
      <w:r>
        <w:rPr>
          <w:b/>
          <w:sz w:val="17"/>
        </w:rPr>
        <w:t>$</w:t>
      </w:r>
      <w:r>
        <w:rPr>
          <w:b/>
          <w:spacing w:val="-6"/>
          <w:sz w:val="17"/>
        </w:rPr>
        <w:t> </w:t>
      </w:r>
      <w:r>
        <w:rPr>
          <w:b/>
          <w:spacing w:val="-3"/>
          <w:sz w:val="17"/>
        </w:rPr>
        <w:t>'000</w:t>
        <w:tab/>
      </w:r>
      <w:r>
        <w:rPr>
          <w:b/>
          <w:sz w:val="17"/>
        </w:rPr>
        <w:t>$</w:t>
      </w:r>
      <w:r>
        <w:rPr>
          <w:b/>
          <w:spacing w:val="-7"/>
          <w:sz w:val="17"/>
        </w:rPr>
        <w:t> </w:t>
      </w:r>
      <w:r>
        <w:rPr>
          <w:b/>
          <w:spacing w:val="-3"/>
          <w:sz w:val="17"/>
        </w:rPr>
        <w:t>'000</w:t>
        <w:tab/>
      </w:r>
      <w:r>
        <w:rPr>
          <w:b/>
          <w:sz w:val="17"/>
        </w:rPr>
        <w:t>$</w:t>
      </w:r>
      <w:r>
        <w:rPr>
          <w:b/>
          <w:spacing w:val="-7"/>
          <w:sz w:val="17"/>
        </w:rPr>
        <w:t> </w:t>
      </w:r>
      <w:r>
        <w:rPr>
          <w:b/>
          <w:spacing w:val="-3"/>
          <w:sz w:val="17"/>
        </w:rPr>
        <w:t>'000</w:t>
        <w:tab/>
      </w:r>
      <w:r>
        <w:rPr>
          <w:b/>
          <w:sz w:val="17"/>
        </w:rPr>
        <w:t>$</w:t>
      </w:r>
      <w:r>
        <w:rPr>
          <w:b/>
          <w:spacing w:val="-7"/>
          <w:sz w:val="17"/>
        </w:rPr>
        <w:t> </w:t>
      </w:r>
      <w:r>
        <w:rPr>
          <w:b/>
          <w:spacing w:val="-3"/>
          <w:sz w:val="17"/>
        </w:rPr>
        <w:t>'000</w:t>
        <w:tab/>
      </w:r>
      <w:r>
        <w:rPr>
          <w:b/>
          <w:sz w:val="17"/>
        </w:rPr>
        <w:t>$</w:t>
      </w:r>
      <w:r>
        <w:rPr>
          <w:b/>
          <w:spacing w:val="-7"/>
          <w:sz w:val="17"/>
        </w:rPr>
        <w:t> </w:t>
      </w:r>
      <w:r>
        <w:rPr>
          <w:b/>
          <w:spacing w:val="-3"/>
          <w:sz w:val="17"/>
        </w:rPr>
        <w:t>'000</w:t>
        <w:tab/>
      </w:r>
      <w:r>
        <w:rPr>
          <w:b/>
          <w:sz w:val="17"/>
        </w:rPr>
        <w:t>$ </w:t>
      </w:r>
      <w:r>
        <w:rPr>
          <w:b/>
          <w:spacing w:val="-5"/>
          <w:sz w:val="17"/>
        </w:rPr>
        <w:t>'000</w:t>
      </w:r>
    </w:p>
    <w:p>
      <w:pPr>
        <w:pStyle w:val="BodyText"/>
        <w:spacing w:before="6"/>
        <w:rPr>
          <w:b/>
        </w:rPr>
      </w:pPr>
    </w:p>
    <w:p>
      <w:pPr>
        <w:spacing w:before="0"/>
        <w:ind w:left="548" w:right="0" w:firstLine="0"/>
        <w:jc w:val="left"/>
        <w:rPr>
          <w:b/>
          <w:sz w:val="17"/>
        </w:rPr>
      </w:pPr>
      <w:r>
        <w:rPr>
          <w:b/>
          <w:sz w:val="17"/>
        </w:rPr>
        <w:t>Year  Ended 31 December 2012</w:t>
      </w:r>
    </w:p>
    <w:p>
      <w:pPr>
        <w:tabs>
          <w:tab w:pos="4020" w:val="left" w:leader="none"/>
          <w:tab w:pos="4845" w:val="left" w:leader="none"/>
          <w:tab w:pos="5817" w:val="left" w:leader="none"/>
          <w:tab w:pos="6820" w:val="left" w:leader="none"/>
          <w:tab w:pos="8108" w:val="left" w:leader="none"/>
          <w:tab w:pos="9769" w:val="left" w:leader="none"/>
          <w:tab w:pos="10534" w:val="left" w:leader="none"/>
          <w:tab w:pos="12076" w:val="left" w:leader="none"/>
          <w:tab w:pos="12793" w:val="left" w:leader="none"/>
          <w:tab w:pos="13677" w:val="left" w:leader="none"/>
        </w:tabs>
        <w:spacing w:before="63"/>
        <w:ind w:left="548" w:right="0" w:firstLine="0"/>
        <w:jc w:val="left"/>
        <w:rPr>
          <w:b/>
          <w:sz w:val="17"/>
        </w:rPr>
      </w:pPr>
      <w:r>
        <w:rPr>
          <w:spacing w:val="-8"/>
          <w:position w:val="4"/>
          <w:sz w:val="17"/>
        </w:rPr>
        <w:t>Opening </w:t>
      </w:r>
      <w:r>
        <w:rPr>
          <w:spacing w:val="-10"/>
          <w:position w:val="4"/>
          <w:sz w:val="17"/>
        </w:rPr>
        <w:t>Net</w:t>
      </w:r>
      <w:r>
        <w:rPr>
          <w:spacing w:val="8"/>
          <w:position w:val="4"/>
          <w:sz w:val="17"/>
        </w:rPr>
        <w:t> </w:t>
      </w:r>
      <w:r>
        <w:rPr>
          <w:spacing w:val="-7"/>
          <w:position w:val="4"/>
          <w:sz w:val="17"/>
        </w:rPr>
        <w:t>Book</w:t>
      </w:r>
      <w:r>
        <w:rPr>
          <w:spacing w:val="-8"/>
          <w:position w:val="4"/>
          <w:sz w:val="17"/>
        </w:rPr>
        <w:t> Amount</w:t>
        <w:tab/>
      </w:r>
      <w:r>
        <w:rPr>
          <w:spacing w:val="-6"/>
          <w:position w:val="1"/>
          <w:sz w:val="17"/>
        </w:rPr>
        <w:t>80,656</w:t>
        <w:tab/>
        <w:t>214,400</w:t>
        <w:tab/>
        <w:t>163,120</w:t>
        <w:tab/>
        <w:t>734,356</w:t>
        <w:tab/>
        <w:t>53,010</w:t>
        <w:tab/>
      </w:r>
      <w:r>
        <w:rPr>
          <w:position w:val="1"/>
          <w:sz w:val="17"/>
        </w:rPr>
        <w:t>-</w:t>
        <w:tab/>
      </w:r>
      <w:r>
        <w:rPr>
          <w:spacing w:val="-6"/>
          <w:position w:val="1"/>
          <w:sz w:val="17"/>
        </w:rPr>
        <w:t>44,876</w:t>
        <w:tab/>
      </w:r>
      <w:r>
        <w:rPr>
          <w:spacing w:val="-5"/>
          <w:position w:val="1"/>
          <w:sz w:val="17"/>
        </w:rPr>
        <w:t>548</w:t>
        <w:tab/>
      </w:r>
      <w:r>
        <w:rPr>
          <w:spacing w:val="-6"/>
          <w:position w:val="1"/>
          <w:sz w:val="17"/>
        </w:rPr>
        <w:t>11,604</w:t>
        <w:tab/>
      </w:r>
      <w:r>
        <w:rPr>
          <w:spacing w:val="-5"/>
          <w:position w:val="1"/>
          <w:sz w:val="17"/>
        </w:rPr>
        <w:t>2,995    </w:t>
      </w:r>
      <w:r>
        <w:rPr>
          <w:b/>
          <w:spacing w:val="-7"/>
          <w:sz w:val="17"/>
        </w:rPr>
        <w:t>1,305,565</w:t>
      </w:r>
    </w:p>
    <w:p>
      <w:pPr>
        <w:tabs>
          <w:tab w:pos="4276" w:val="left" w:leader="none"/>
          <w:tab w:pos="5189" w:val="left" w:leader="none"/>
          <w:tab w:pos="6162" w:val="left" w:leader="none"/>
          <w:tab w:pos="6911" w:val="left" w:leader="none"/>
          <w:tab w:pos="8332" w:val="left" w:leader="none"/>
          <w:tab w:pos="9770" w:val="left" w:leader="none"/>
          <w:tab w:pos="10788" w:val="left" w:leader="none"/>
          <w:tab w:pos="12105" w:val="left" w:leader="none"/>
          <w:tab w:pos="13047" w:val="left" w:leader="none"/>
          <w:tab w:pos="13842" w:val="left" w:leader="none"/>
          <w:tab w:pos="14454" w:val="left" w:leader="none"/>
        </w:tabs>
        <w:spacing w:before="32" w:after="37"/>
        <w:ind w:left="548" w:right="0" w:firstLine="0"/>
        <w:jc w:val="left"/>
        <w:rPr>
          <w:b/>
          <w:sz w:val="17"/>
        </w:rPr>
      </w:pPr>
      <w:r>
        <w:rPr>
          <w:spacing w:val="-7"/>
          <w:position w:val="4"/>
          <w:sz w:val="17"/>
        </w:rPr>
        <w:t>Revaluation</w:t>
      </w:r>
      <w:r>
        <w:rPr>
          <w:spacing w:val="-2"/>
          <w:position w:val="4"/>
          <w:sz w:val="17"/>
        </w:rPr>
        <w:t> </w:t>
      </w:r>
      <w:r>
        <w:rPr>
          <w:spacing w:val="-6"/>
          <w:position w:val="4"/>
          <w:sz w:val="17"/>
        </w:rPr>
        <w:t>Surplus</w:t>
        <w:tab/>
      </w:r>
      <w:r>
        <w:rPr>
          <w:position w:val="1"/>
          <w:sz w:val="17"/>
        </w:rPr>
        <w:t>-</w:t>
        <w:tab/>
        <w:t>-</w:t>
        <w:tab/>
        <w:t>-</w:t>
        <w:tab/>
      </w:r>
      <w:r>
        <w:rPr>
          <w:spacing w:val="-6"/>
          <w:position w:val="1"/>
          <w:sz w:val="17"/>
        </w:rPr>
        <w:t>13,103</w:t>
        <w:tab/>
      </w:r>
      <w:r>
        <w:rPr>
          <w:spacing w:val="-5"/>
          <w:position w:val="1"/>
          <w:sz w:val="17"/>
        </w:rPr>
        <w:t>901</w:t>
        <w:tab/>
      </w:r>
      <w:r>
        <w:rPr>
          <w:position w:val="1"/>
          <w:sz w:val="17"/>
        </w:rPr>
        <w:t>-</w:t>
        <w:tab/>
        <w:t>-</w:t>
        <w:tab/>
        <w:t>-</w:t>
        <w:tab/>
        <w:t>-</w:t>
        <w:tab/>
        <w:t>-</w:t>
        <w:tab/>
      </w:r>
      <w:r>
        <w:rPr>
          <w:b/>
          <w:spacing w:val="-7"/>
          <w:sz w:val="17"/>
        </w:rPr>
        <w:t>14,004</w:t>
      </w:r>
    </w:p>
    <w:tbl>
      <w:tblPr>
        <w:tblW w:w="0" w:type="auto"/>
        <w:jc w:val="left"/>
        <w:tblInd w:w="5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59"/>
        <w:gridCol w:w="4213"/>
        <w:gridCol w:w="1420"/>
        <w:gridCol w:w="2328"/>
        <w:gridCol w:w="1063"/>
        <w:gridCol w:w="991"/>
        <w:gridCol w:w="1440"/>
      </w:tblGrid>
      <w:tr>
        <w:trPr>
          <w:trHeight w:val="255" w:hRule="exact"/>
        </w:trPr>
        <w:tc>
          <w:tcPr>
            <w:tcW w:w="3059" w:type="dxa"/>
          </w:tcPr>
          <w:p>
            <w:pPr>
              <w:pStyle w:val="TableParagraph"/>
              <w:spacing w:line="192" w:lineRule="exact"/>
              <w:ind w:left="35"/>
              <w:rPr>
                <w:sz w:val="17"/>
              </w:rPr>
            </w:pPr>
            <w:r>
              <w:rPr>
                <w:sz w:val="17"/>
              </w:rPr>
              <w:t>Additions</w:t>
            </w:r>
          </w:p>
        </w:tc>
        <w:tc>
          <w:tcPr>
            <w:tcW w:w="4213" w:type="dxa"/>
          </w:tcPr>
          <w:p>
            <w:pPr>
              <w:pStyle w:val="TableParagraph"/>
              <w:tabs>
                <w:tab w:pos="1616" w:val="left" w:leader="none"/>
                <w:tab w:pos="2589" w:val="left" w:leader="none"/>
                <w:tab w:pos="3592" w:val="left" w:leader="none"/>
              </w:tabs>
              <w:spacing w:before="28"/>
              <w:ind w:left="448"/>
              <w:rPr>
                <w:sz w:val="17"/>
              </w:rPr>
            </w:pPr>
            <w:r>
              <w:rPr>
                <w:spacing w:val="-6"/>
                <w:sz w:val="17"/>
              </w:rPr>
              <w:t>99,514</w:t>
              <w:tab/>
            </w:r>
            <w:r>
              <w:rPr>
                <w:sz w:val="17"/>
              </w:rPr>
              <w:t>-</w:t>
              <w:tab/>
              <w:t>-</w:t>
              <w:tab/>
              <w:t>-</w:t>
            </w:r>
          </w:p>
        </w:tc>
        <w:tc>
          <w:tcPr>
            <w:tcW w:w="1420" w:type="dxa"/>
          </w:tcPr>
          <w:p>
            <w:pPr>
              <w:pStyle w:val="TableParagraph"/>
              <w:spacing w:before="28"/>
              <w:ind w:right="205"/>
              <w:jc w:val="center"/>
              <w:rPr>
                <w:sz w:val="17"/>
              </w:rPr>
            </w:pPr>
            <w:r>
              <w:rPr>
                <w:w w:val="101"/>
                <w:sz w:val="17"/>
              </w:rPr>
              <w:t>-</w:t>
            </w:r>
          </w:p>
        </w:tc>
        <w:tc>
          <w:tcPr>
            <w:tcW w:w="2328" w:type="dxa"/>
          </w:tcPr>
          <w:p>
            <w:pPr>
              <w:pStyle w:val="TableParagraph"/>
              <w:tabs>
                <w:tab w:pos="1329" w:val="left" w:leader="none"/>
              </w:tabs>
              <w:spacing w:before="28"/>
              <w:ind w:left="565"/>
              <w:rPr>
                <w:sz w:val="17"/>
              </w:rPr>
            </w:pPr>
            <w:r>
              <w:rPr>
                <w:sz w:val="17"/>
              </w:rPr>
              <w:t>-</w:t>
              <w:tab/>
            </w:r>
            <w:r>
              <w:rPr>
                <w:spacing w:val="-6"/>
                <w:sz w:val="17"/>
              </w:rPr>
              <w:t>10,055</w:t>
            </w:r>
          </w:p>
        </w:tc>
        <w:tc>
          <w:tcPr>
            <w:tcW w:w="1063" w:type="dxa"/>
          </w:tcPr>
          <w:p>
            <w:pPr>
              <w:pStyle w:val="TableParagraph"/>
              <w:spacing w:before="28"/>
              <w:ind w:left="140"/>
              <w:jc w:val="center"/>
              <w:rPr>
                <w:sz w:val="17"/>
              </w:rPr>
            </w:pPr>
            <w:r>
              <w:rPr>
                <w:w w:val="101"/>
                <w:sz w:val="17"/>
              </w:rPr>
              <w:t>-</w:t>
            </w:r>
          </w:p>
        </w:tc>
        <w:tc>
          <w:tcPr>
            <w:tcW w:w="991" w:type="dxa"/>
          </w:tcPr>
          <w:p>
            <w:pPr>
              <w:pStyle w:val="TableParagraph"/>
              <w:spacing w:before="28"/>
              <w:ind w:right="290"/>
              <w:jc w:val="right"/>
              <w:rPr>
                <w:sz w:val="17"/>
              </w:rPr>
            </w:pPr>
            <w:r>
              <w:rPr>
                <w:sz w:val="17"/>
              </w:rPr>
              <w:t>4,066</w:t>
            </w:r>
          </w:p>
        </w:tc>
        <w:tc>
          <w:tcPr>
            <w:tcW w:w="1440" w:type="dxa"/>
          </w:tcPr>
          <w:p>
            <w:pPr>
              <w:pStyle w:val="TableParagraph"/>
              <w:tabs>
                <w:tab w:pos="462" w:val="left" w:leader="none"/>
              </w:tabs>
              <w:spacing w:before="24"/>
              <w:ind w:right="75"/>
              <w:jc w:val="right"/>
              <w:rPr>
                <w:b/>
                <w:sz w:val="17"/>
              </w:rPr>
            </w:pPr>
            <w:r>
              <w:rPr>
                <w:spacing w:val="-4"/>
                <w:position w:val="1"/>
                <w:sz w:val="17"/>
              </w:rPr>
              <w:t>90</w:t>
              <w:tab/>
            </w:r>
            <w:r>
              <w:rPr>
                <w:b/>
                <w:spacing w:val="-7"/>
                <w:sz w:val="17"/>
              </w:rPr>
              <w:t>113,724</w:t>
            </w:r>
          </w:p>
        </w:tc>
      </w:tr>
      <w:tr>
        <w:trPr>
          <w:trHeight w:val="268" w:hRule="exact"/>
        </w:trPr>
        <w:tc>
          <w:tcPr>
            <w:tcW w:w="3059" w:type="dxa"/>
          </w:tcPr>
          <w:p>
            <w:pPr>
              <w:pStyle w:val="TableParagraph"/>
              <w:spacing w:before="9"/>
              <w:ind w:left="35"/>
              <w:rPr>
                <w:sz w:val="17"/>
              </w:rPr>
            </w:pPr>
            <w:r>
              <w:rPr>
                <w:sz w:val="17"/>
              </w:rPr>
              <w:t>Disposals</w:t>
            </w:r>
          </w:p>
        </w:tc>
        <w:tc>
          <w:tcPr>
            <w:tcW w:w="4213" w:type="dxa"/>
          </w:tcPr>
          <w:p>
            <w:pPr>
              <w:pStyle w:val="TableParagraph"/>
              <w:tabs>
                <w:tab w:pos="912" w:val="left" w:leader="none"/>
                <w:tab w:pos="1885" w:val="left" w:leader="none"/>
                <w:tab w:pos="2648" w:val="left" w:leader="none"/>
              </w:tabs>
              <w:spacing w:before="40"/>
              <w:ind w:right="336"/>
              <w:jc w:val="right"/>
              <w:rPr>
                <w:sz w:val="17"/>
              </w:rPr>
            </w:pPr>
            <w:r>
              <w:rPr>
                <w:sz w:val="17"/>
              </w:rPr>
              <w:t>-</w:t>
              <w:tab/>
              <w:t>-</w:t>
              <w:tab/>
              <w:t>-</w:t>
              <w:tab/>
            </w:r>
            <w:r>
              <w:rPr>
                <w:spacing w:val="-5"/>
                <w:sz w:val="17"/>
              </w:rPr>
              <w:t>(2,625)</w:t>
            </w:r>
          </w:p>
        </w:tc>
        <w:tc>
          <w:tcPr>
            <w:tcW w:w="1420" w:type="dxa"/>
          </w:tcPr>
          <w:p>
            <w:pPr>
              <w:pStyle w:val="TableParagraph"/>
              <w:spacing w:before="40"/>
              <w:ind w:right="205"/>
              <w:jc w:val="center"/>
              <w:rPr>
                <w:sz w:val="17"/>
              </w:rPr>
            </w:pPr>
            <w:r>
              <w:rPr>
                <w:w w:val="101"/>
                <w:sz w:val="17"/>
              </w:rPr>
              <w:t>-</w:t>
            </w:r>
          </w:p>
        </w:tc>
        <w:tc>
          <w:tcPr>
            <w:tcW w:w="2328" w:type="dxa"/>
          </w:tcPr>
          <w:p>
            <w:pPr>
              <w:pStyle w:val="TableParagraph"/>
              <w:tabs>
                <w:tab w:pos="1344" w:val="left" w:leader="none"/>
              </w:tabs>
              <w:spacing w:before="40"/>
              <w:ind w:left="565"/>
              <w:rPr>
                <w:sz w:val="17"/>
              </w:rPr>
            </w:pPr>
            <w:r>
              <w:rPr>
                <w:sz w:val="17"/>
              </w:rPr>
              <w:t>-</w:t>
              <w:tab/>
            </w:r>
            <w:r>
              <w:rPr>
                <w:spacing w:val="-6"/>
                <w:sz w:val="17"/>
              </w:rPr>
              <w:t>(3,645)</w:t>
            </w:r>
          </w:p>
        </w:tc>
        <w:tc>
          <w:tcPr>
            <w:tcW w:w="1063" w:type="dxa"/>
          </w:tcPr>
          <w:p>
            <w:pPr>
              <w:pStyle w:val="TableParagraph"/>
              <w:spacing w:before="40"/>
              <w:ind w:left="140"/>
              <w:jc w:val="center"/>
              <w:rPr>
                <w:sz w:val="17"/>
              </w:rPr>
            </w:pPr>
            <w:r>
              <w:rPr>
                <w:w w:val="101"/>
                <w:sz w:val="17"/>
              </w:rPr>
              <w:t>-</w:t>
            </w:r>
          </w:p>
        </w:tc>
        <w:tc>
          <w:tcPr>
            <w:tcW w:w="991" w:type="dxa"/>
          </w:tcPr>
          <w:p>
            <w:pPr>
              <w:pStyle w:val="TableParagraph"/>
              <w:spacing w:before="40"/>
              <w:ind w:right="253"/>
              <w:jc w:val="right"/>
              <w:rPr>
                <w:sz w:val="17"/>
              </w:rPr>
            </w:pPr>
            <w:r>
              <w:rPr>
                <w:sz w:val="17"/>
              </w:rPr>
              <w:t>(66)</w:t>
            </w:r>
          </w:p>
        </w:tc>
        <w:tc>
          <w:tcPr>
            <w:tcW w:w="1440" w:type="dxa"/>
          </w:tcPr>
          <w:p>
            <w:pPr>
              <w:pStyle w:val="TableParagraph"/>
              <w:tabs>
                <w:tab w:pos="553" w:val="left" w:leader="none"/>
              </w:tabs>
              <w:spacing w:before="36"/>
              <w:ind w:right="33"/>
              <w:jc w:val="right"/>
              <w:rPr>
                <w:b/>
                <w:sz w:val="17"/>
              </w:rPr>
            </w:pPr>
            <w:r>
              <w:rPr>
                <w:position w:val="1"/>
                <w:sz w:val="17"/>
              </w:rPr>
              <w:t>(2)</w:t>
              <w:tab/>
            </w:r>
            <w:r>
              <w:rPr>
                <w:b/>
                <w:spacing w:val="-5"/>
                <w:sz w:val="17"/>
              </w:rPr>
              <w:t>(6,338)</w:t>
            </w:r>
          </w:p>
        </w:tc>
      </w:tr>
      <w:tr>
        <w:trPr>
          <w:trHeight w:val="267" w:hRule="exact"/>
        </w:trPr>
        <w:tc>
          <w:tcPr>
            <w:tcW w:w="3059" w:type="dxa"/>
          </w:tcPr>
          <w:p>
            <w:pPr>
              <w:pStyle w:val="TableParagraph"/>
              <w:spacing w:before="9"/>
              <w:ind w:left="35"/>
              <w:rPr>
                <w:sz w:val="17"/>
              </w:rPr>
            </w:pPr>
            <w:r>
              <w:rPr>
                <w:sz w:val="17"/>
              </w:rPr>
              <w:t>Depreciation Charge</w:t>
            </w:r>
          </w:p>
        </w:tc>
        <w:tc>
          <w:tcPr>
            <w:tcW w:w="4213" w:type="dxa"/>
          </w:tcPr>
          <w:p>
            <w:pPr>
              <w:pStyle w:val="TableParagraph"/>
              <w:tabs>
                <w:tab w:pos="912" w:val="left" w:leader="none"/>
                <w:tab w:pos="1885" w:val="left" w:leader="none"/>
                <w:tab w:pos="2560" w:val="left" w:leader="none"/>
              </w:tabs>
              <w:spacing w:before="40"/>
              <w:ind w:right="341"/>
              <w:jc w:val="right"/>
              <w:rPr>
                <w:sz w:val="17"/>
              </w:rPr>
            </w:pPr>
            <w:r>
              <w:rPr>
                <w:sz w:val="17"/>
              </w:rPr>
              <w:t>-</w:t>
              <w:tab/>
              <w:t>-</w:t>
              <w:tab/>
              <w:t>-</w:t>
              <w:tab/>
            </w:r>
            <w:r>
              <w:rPr>
                <w:spacing w:val="-6"/>
                <w:sz w:val="17"/>
              </w:rPr>
              <w:t>(19,641)</w:t>
            </w:r>
          </w:p>
        </w:tc>
        <w:tc>
          <w:tcPr>
            <w:tcW w:w="1420" w:type="dxa"/>
          </w:tcPr>
          <w:p>
            <w:pPr>
              <w:pStyle w:val="TableParagraph"/>
              <w:spacing w:before="40"/>
              <w:ind w:left="307" w:right="532"/>
              <w:jc w:val="center"/>
              <w:rPr>
                <w:sz w:val="17"/>
              </w:rPr>
            </w:pPr>
            <w:r>
              <w:rPr>
                <w:sz w:val="17"/>
              </w:rPr>
              <w:t>(1,806)</w:t>
            </w:r>
          </w:p>
        </w:tc>
        <w:tc>
          <w:tcPr>
            <w:tcW w:w="2328" w:type="dxa"/>
          </w:tcPr>
          <w:p>
            <w:pPr>
              <w:pStyle w:val="TableParagraph"/>
              <w:tabs>
                <w:tab w:pos="1344" w:val="left" w:leader="none"/>
              </w:tabs>
              <w:spacing w:before="40"/>
              <w:ind w:left="565"/>
              <w:rPr>
                <w:sz w:val="17"/>
              </w:rPr>
            </w:pPr>
            <w:r>
              <w:rPr>
                <w:sz w:val="17"/>
              </w:rPr>
              <w:t>-</w:t>
              <w:tab/>
            </w:r>
            <w:r>
              <w:rPr>
                <w:spacing w:val="-6"/>
                <w:sz w:val="17"/>
              </w:rPr>
              <w:t>(8,804)</w:t>
            </w:r>
          </w:p>
        </w:tc>
        <w:tc>
          <w:tcPr>
            <w:tcW w:w="1063" w:type="dxa"/>
          </w:tcPr>
          <w:p>
            <w:pPr>
              <w:pStyle w:val="TableParagraph"/>
              <w:spacing w:before="40"/>
              <w:ind w:left="467"/>
              <w:rPr>
                <w:sz w:val="17"/>
              </w:rPr>
            </w:pPr>
            <w:r>
              <w:rPr>
                <w:sz w:val="17"/>
              </w:rPr>
              <w:t>(253)</w:t>
            </w:r>
          </w:p>
        </w:tc>
        <w:tc>
          <w:tcPr>
            <w:tcW w:w="991" w:type="dxa"/>
          </w:tcPr>
          <w:p>
            <w:pPr>
              <w:pStyle w:val="TableParagraph"/>
              <w:spacing w:before="40"/>
              <w:ind w:right="259"/>
              <w:jc w:val="right"/>
              <w:rPr>
                <w:sz w:val="17"/>
              </w:rPr>
            </w:pPr>
            <w:r>
              <w:rPr>
                <w:sz w:val="17"/>
              </w:rPr>
              <w:t>(3,683)</w:t>
            </w:r>
          </w:p>
        </w:tc>
        <w:tc>
          <w:tcPr>
            <w:tcW w:w="1440" w:type="dxa"/>
          </w:tcPr>
          <w:p>
            <w:pPr>
              <w:pStyle w:val="TableParagraph"/>
              <w:tabs>
                <w:tab w:pos="537" w:val="left" w:leader="none"/>
              </w:tabs>
              <w:spacing w:before="36"/>
              <w:ind w:right="39"/>
              <w:jc w:val="right"/>
              <w:rPr>
                <w:b/>
                <w:sz w:val="17"/>
              </w:rPr>
            </w:pPr>
            <w:r>
              <w:rPr>
                <w:position w:val="1"/>
                <w:sz w:val="17"/>
              </w:rPr>
              <w:t>-</w:t>
              <w:tab/>
            </w:r>
            <w:r>
              <w:rPr>
                <w:b/>
                <w:spacing w:val="-6"/>
                <w:sz w:val="17"/>
              </w:rPr>
              <w:t>(34,187)</w:t>
            </w:r>
          </w:p>
        </w:tc>
      </w:tr>
      <w:tr>
        <w:trPr>
          <w:trHeight w:val="268" w:hRule="exact"/>
        </w:trPr>
        <w:tc>
          <w:tcPr>
            <w:tcW w:w="3059" w:type="dxa"/>
          </w:tcPr>
          <w:p>
            <w:pPr>
              <w:pStyle w:val="TableParagraph"/>
              <w:spacing w:before="9"/>
              <w:ind w:left="35"/>
              <w:rPr>
                <w:sz w:val="17"/>
              </w:rPr>
            </w:pPr>
            <w:r>
              <w:rPr>
                <w:sz w:val="17"/>
              </w:rPr>
              <w:t>Impairment of  building - fire damage</w:t>
            </w:r>
          </w:p>
        </w:tc>
        <w:tc>
          <w:tcPr>
            <w:tcW w:w="4213" w:type="dxa"/>
          </w:tcPr>
          <w:p>
            <w:pPr>
              <w:pStyle w:val="TableParagraph"/>
              <w:tabs>
                <w:tab w:pos="912" w:val="left" w:leader="none"/>
                <w:tab w:pos="1885" w:val="left" w:leader="none"/>
                <w:tab w:pos="2648" w:val="left" w:leader="none"/>
              </w:tabs>
              <w:spacing w:before="41"/>
              <w:ind w:right="336"/>
              <w:jc w:val="right"/>
              <w:rPr>
                <w:sz w:val="17"/>
              </w:rPr>
            </w:pPr>
            <w:r>
              <w:rPr>
                <w:sz w:val="17"/>
              </w:rPr>
              <w:t>-</w:t>
              <w:tab/>
              <w:t>-</w:t>
              <w:tab/>
              <w:t>-</w:t>
              <w:tab/>
            </w:r>
            <w:r>
              <w:rPr>
                <w:spacing w:val="-5"/>
                <w:sz w:val="17"/>
              </w:rPr>
              <w:t>(5,586)</w:t>
            </w:r>
          </w:p>
        </w:tc>
        <w:tc>
          <w:tcPr>
            <w:tcW w:w="1420" w:type="dxa"/>
          </w:tcPr>
          <w:p>
            <w:pPr>
              <w:pStyle w:val="TableParagraph"/>
              <w:spacing w:before="41"/>
              <w:ind w:right="204"/>
              <w:jc w:val="center"/>
              <w:rPr>
                <w:sz w:val="17"/>
              </w:rPr>
            </w:pPr>
            <w:r>
              <w:rPr>
                <w:w w:val="101"/>
                <w:sz w:val="17"/>
              </w:rPr>
              <w:t>-</w:t>
            </w:r>
          </w:p>
        </w:tc>
        <w:tc>
          <w:tcPr>
            <w:tcW w:w="2328" w:type="dxa"/>
          </w:tcPr>
          <w:p>
            <w:pPr>
              <w:pStyle w:val="TableParagraph"/>
              <w:tabs>
                <w:tab w:pos="1583" w:val="left" w:leader="none"/>
              </w:tabs>
              <w:spacing w:before="41"/>
              <w:ind w:left="565"/>
              <w:rPr>
                <w:sz w:val="17"/>
              </w:rPr>
            </w:pPr>
            <w:r>
              <w:rPr>
                <w:sz w:val="17"/>
              </w:rPr>
              <w:t>-</w:t>
              <w:tab/>
              <w:t>-</w:t>
            </w:r>
          </w:p>
        </w:tc>
        <w:tc>
          <w:tcPr>
            <w:tcW w:w="1063" w:type="dxa"/>
          </w:tcPr>
          <w:p>
            <w:pPr>
              <w:pStyle w:val="TableParagraph"/>
              <w:spacing w:before="41"/>
              <w:ind w:left="140"/>
              <w:jc w:val="center"/>
              <w:rPr>
                <w:sz w:val="17"/>
              </w:rPr>
            </w:pPr>
            <w:r>
              <w:rPr>
                <w:w w:val="101"/>
                <w:sz w:val="17"/>
              </w:rPr>
              <w:t>-</w:t>
            </w:r>
          </w:p>
        </w:tc>
        <w:tc>
          <w:tcPr>
            <w:tcW w:w="991" w:type="dxa"/>
          </w:tcPr>
          <w:p>
            <w:pPr>
              <w:pStyle w:val="TableParagraph"/>
              <w:spacing w:before="41"/>
              <w:ind w:right="26"/>
              <w:jc w:val="center"/>
              <w:rPr>
                <w:sz w:val="17"/>
              </w:rPr>
            </w:pPr>
            <w:r>
              <w:rPr>
                <w:w w:val="101"/>
                <w:sz w:val="17"/>
              </w:rPr>
              <w:t>-</w:t>
            </w:r>
          </w:p>
        </w:tc>
        <w:tc>
          <w:tcPr>
            <w:tcW w:w="1440" w:type="dxa"/>
          </w:tcPr>
          <w:p>
            <w:pPr>
              <w:pStyle w:val="TableParagraph"/>
              <w:tabs>
                <w:tab w:pos="628" w:val="left" w:leader="none"/>
              </w:tabs>
              <w:spacing w:before="37"/>
              <w:ind w:right="33"/>
              <w:jc w:val="right"/>
              <w:rPr>
                <w:b/>
                <w:sz w:val="17"/>
              </w:rPr>
            </w:pPr>
            <w:r>
              <w:rPr>
                <w:position w:val="1"/>
                <w:sz w:val="17"/>
              </w:rPr>
              <w:t>-</w:t>
              <w:tab/>
            </w:r>
            <w:r>
              <w:rPr>
                <w:b/>
                <w:spacing w:val="-5"/>
                <w:sz w:val="17"/>
              </w:rPr>
              <w:t>(5,586)</w:t>
            </w:r>
          </w:p>
        </w:tc>
      </w:tr>
      <w:tr>
        <w:trPr>
          <w:trHeight w:val="267" w:hRule="exact"/>
        </w:trPr>
        <w:tc>
          <w:tcPr>
            <w:tcW w:w="3059" w:type="dxa"/>
          </w:tcPr>
          <w:p>
            <w:pPr>
              <w:pStyle w:val="TableParagraph"/>
              <w:spacing w:before="9"/>
              <w:ind w:left="35"/>
              <w:rPr>
                <w:sz w:val="17"/>
              </w:rPr>
            </w:pPr>
            <w:r>
              <w:rPr>
                <w:sz w:val="17"/>
              </w:rPr>
              <w:t>Non-Cash Adjustments</w:t>
            </w:r>
          </w:p>
        </w:tc>
        <w:tc>
          <w:tcPr>
            <w:tcW w:w="4213" w:type="dxa"/>
          </w:tcPr>
          <w:p>
            <w:pPr>
              <w:pStyle w:val="TableParagraph"/>
              <w:tabs>
                <w:tab w:pos="912" w:val="left" w:leader="none"/>
                <w:tab w:pos="1885" w:val="left" w:leader="none"/>
                <w:tab w:pos="2858" w:val="left" w:leader="none"/>
              </w:tabs>
              <w:spacing w:before="40"/>
              <w:ind w:right="378"/>
              <w:jc w:val="right"/>
              <w:rPr>
                <w:sz w:val="17"/>
              </w:rPr>
            </w:pPr>
            <w:r>
              <w:rPr>
                <w:sz w:val="17"/>
              </w:rPr>
              <w:t>-</w:t>
              <w:tab/>
              <w:t>-</w:t>
              <w:tab/>
              <w:t>-</w:t>
              <w:tab/>
            </w:r>
            <w:r>
              <w:rPr>
                <w:spacing w:val="-7"/>
                <w:sz w:val="17"/>
              </w:rPr>
              <w:t>211</w:t>
            </w:r>
          </w:p>
        </w:tc>
        <w:tc>
          <w:tcPr>
            <w:tcW w:w="1420" w:type="dxa"/>
          </w:tcPr>
          <w:p>
            <w:pPr>
              <w:pStyle w:val="TableParagraph"/>
              <w:spacing w:before="40"/>
              <w:ind w:right="204"/>
              <w:jc w:val="center"/>
              <w:rPr>
                <w:sz w:val="17"/>
              </w:rPr>
            </w:pPr>
            <w:r>
              <w:rPr>
                <w:w w:val="101"/>
                <w:sz w:val="17"/>
              </w:rPr>
              <w:t>-</w:t>
            </w:r>
          </w:p>
        </w:tc>
        <w:tc>
          <w:tcPr>
            <w:tcW w:w="2328" w:type="dxa"/>
          </w:tcPr>
          <w:p>
            <w:pPr>
              <w:pStyle w:val="TableParagraph"/>
              <w:tabs>
                <w:tab w:pos="1479" w:val="left" w:leader="none"/>
              </w:tabs>
              <w:spacing w:before="40"/>
              <w:ind w:left="565"/>
              <w:rPr>
                <w:sz w:val="17"/>
              </w:rPr>
            </w:pPr>
            <w:r>
              <w:rPr>
                <w:sz w:val="17"/>
              </w:rPr>
              <w:t>-</w:t>
              <w:tab/>
            </w:r>
            <w:r>
              <w:rPr>
                <w:spacing w:val="-6"/>
                <w:sz w:val="17"/>
              </w:rPr>
              <w:t>(247)</w:t>
            </w:r>
          </w:p>
        </w:tc>
        <w:tc>
          <w:tcPr>
            <w:tcW w:w="1063" w:type="dxa"/>
          </w:tcPr>
          <w:p>
            <w:pPr>
              <w:pStyle w:val="TableParagraph"/>
              <w:spacing w:before="40"/>
              <w:ind w:left="141"/>
              <w:jc w:val="center"/>
              <w:rPr>
                <w:sz w:val="17"/>
              </w:rPr>
            </w:pPr>
            <w:r>
              <w:rPr>
                <w:w w:val="101"/>
                <w:sz w:val="17"/>
              </w:rPr>
              <w:t>-</w:t>
            </w:r>
          </w:p>
        </w:tc>
        <w:tc>
          <w:tcPr>
            <w:tcW w:w="991" w:type="dxa"/>
          </w:tcPr>
          <w:p>
            <w:pPr>
              <w:pStyle w:val="TableParagraph"/>
              <w:spacing w:before="40"/>
              <w:ind w:right="26"/>
              <w:jc w:val="center"/>
              <w:rPr>
                <w:sz w:val="17"/>
              </w:rPr>
            </w:pPr>
            <w:r>
              <w:rPr>
                <w:w w:val="101"/>
                <w:sz w:val="17"/>
              </w:rPr>
              <w:t>-</w:t>
            </w:r>
          </w:p>
        </w:tc>
        <w:tc>
          <w:tcPr>
            <w:tcW w:w="1440" w:type="dxa"/>
          </w:tcPr>
          <w:p>
            <w:pPr>
              <w:pStyle w:val="TableParagraph"/>
              <w:tabs>
                <w:tab w:pos="852" w:val="left" w:leader="none"/>
              </w:tabs>
              <w:spacing w:before="36"/>
              <w:ind w:right="33"/>
              <w:jc w:val="right"/>
              <w:rPr>
                <w:b/>
                <w:sz w:val="17"/>
              </w:rPr>
            </w:pPr>
            <w:r>
              <w:rPr>
                <w:position w:val="1"/>
                <w:sz w:val="17"/>
              </w:rPr>
              <w:t>-</w:t>
              <w:tab/>
            </w:r>
            <w:r>
              <w:rPr>
                <w:b/>
                <w:spacing w:val="-4"/>
                <w:sz w:val="17"/>
              </w:rPr>
              <w:t>(36)</w:t>
            </w:r>
          </w:p>
        </w:tc>
      </w:tr>
      <w:tr>
        <w:trPr>
          <w:trHeight w:val="225" w:hRule="exact"/>
        </w:trPr>
        <w:tc>
          <w:tcPr>
            <w:tcW w:w="3059" w:type="dxa"/>
          </w:tcPr>
          <w:p>
            <w:pPr>
              <w:pStyle w:val="TableParagraph"/>
              <w:spacing w:before="9"/>
              <w:ind w:left="35"/>
              <w:rPr>
                <w:sz w:val="17"/>
              </w:rPr>
            </w:pPr>
            <w:r>
              <w:rPr>
                <w:sz w:val="17"/>
              </w:rPr>
              <w:t>Transfers to Freehold Buildings  and</w:t>
            </w:r>
          </w:p>
        </w:tc>
        <w:tc>
          <w:tcPr>
            <w:tcW w:w="4213" w:type="dxa"/>
          </w:tcPr>
          <w:p>
            <w:pPr/>
          </w:p>
        </w:tc>
        <w:tc>
          <w:tcPr>
            <w:tcW w:w="1420" w:type="dxa"/>
          </w:tcPr>
          <w:p>
            <w:pPr/>
          </w:p>
        </w:tc>
        <w:tc>
          <w:tcPr>
            <w:tcW w:w="2328" w:type="dxa"/>
          </w:tcPr>
          <w:p>
            <w:pPr/>
          </w:p>
        </w:tc>
        <w:tc>
          <w:tcPr>
            <w:tcW w:w="1063" w:type="dxa"/>
          </w:tcPr>
          <w:p>
            <w:pPr/>
          </w:p>
        </w:tc>
        <w:tc>
          <w:tcPr>
            <w:tcW w:w="991" w:type="dxa"/>
          </w:tcPr>
          <w:p>
            <w:pPr/>
          </w:p>
        </w:tc>
        <w:tc>
          <w:tcPr>
            <w:tcW w:w="1440" w:type="dxa"/>
          </w:tcPr>
          <w:p>
            <w:pPr/>
          </w:p>
        </w:tc>
      </w:tr>
    </w:tbl>
    <w:p>
      <w:pPr>
        <w:tabs>
          <w:tab w:pos="3856" w:val="left" w:leader="none"/>
          <w:tab w:pos="5188" w:val="left" w:leader="none"/>
          <w:tab w:pos="6162" w:val="left" w:leader="none"/>
          <w:tab w:pos="7165" w:val="left" w:leader="none"/>
          <w:tab w:pos="8362" w:val="left" w:leader="none"/>
          <w:tab w:pos="9770" w:val="left" w:leader="none"/>
          <w:tab w:pos="10189" w:val="left" w:leader="none"/>
          <w:tab w:pos="12106" w:val="left" w:leader="none"/>
          <w:tab w:pos="13047" w:val="left" w:leader="none"/>
          <w:tab w:pos="13842" w:val="left" w:leader="none"/>
          <w:tab w:pos="14290" w:val="left" w:leader="none"/>
        </w:tabs>
        <w:spacing w:before="19"/>
        <w:ind w:left="548" w:right="0" w:firstLine="0"/>
        <w:jc w:val="left"/>
        <w:rPr>
          <w:b/>
          <w:sz w:val="17"/>
        </w:rPr>
      </w:pPr>
      <w:r>
        <w:rPr>
          <w:spacing w:val="-10"/>
          <w:position w:val="7"/>
          <w:sz w:val="17"/>
        </w:rPr>
        <w:t>Plant</w:t>
      </w:r>
      <w:r>
        <w:rPr>
          <w:spacing w:val="-1"/>
          <w:position w:val="7"/>
          <w:sz w:val="17"/>
        </w:rPr>
        <w:t> </w:t>
      </w:r>
      <w:r>
        <w:rPr>
          <w:position w:val="7"/>
          <w:sz w:val="17"/>
        </w:rPr>
        <w:t>&amp;</w:t>
      </w:r>
      <w:r>
        <w:rPr>
          <w:spacing w:val="-9"/>
          <w:position w:val="7"/>
          <w:sz w:val="17"/>
        </w:rPr>
        <w:t> </w:t>
      </w:r>
      <w:r>
        <w:rPr>
          <w:spacing w:val="-11"/>
          <w:position w:val="7"/>
          <w:sz w:val="17"/>
        </w:rPr>
        <w:t>Equipment</w:t>
        <w:tab/>
      </w:r>
      <w:r>
        <w:rPr>
          <w:spacing w:val="-5"/>
          <w:position w:val="1"/>
          <w:sz w:val="17"/>
        </w:rPr>
        <w:t>(135,574)</w:t>
        <w:tab/>
      </w:r>
      <w:r>
        <w:rPr>
          <w:position w:val="1"/>
          <w:sz w:val="17"/>
        </w:rPr>
        <w:t>-</w:t>
        <w:tab/>
        <w:t>-</w:t>
        <w:tab/>
        <w:t>-</w:t>
        <w:tab/>
        <w:t>-</w:t>
        <w:tab/>
        <w:t>-</w:t>
        <w:tab/>
        <w:t>.</w:t>
        <w:tab/>
        <w:t>-</w:t>
        <w:tab/>
        <w:t>-</w:t>
        <w:tab/>
        <w:t>-</w:t>
        <w:tab/>
      </w:r>
      <w:r>
        <w:rPr>
          <w:b/>
          <w:spacing w:val="-5"/>
          <w:sz w:val="17"/>
        </w:rPr>
        <w:t>(135,574)</w:t>
      </w:r>
    </w:p>
    <w:p>
      <w:pPr>
        <w:spacing w:before="33"/>
        <w:ind w:left="548" w:right="0" w:firstLine="0"/>
        <w:jc w:val="left"/>
        <w:rPr>
          <w:sz w:val="17"/>
        </w:rPr>
      </w:pPr>
      <w:r>
        <w:rPr>
          <w:sz w:val="17"/>
        </w:rPr>
        <w:t>Transfers  from Construction in</w:t>
      </w:r>
    </w:p>
    <w:p>
      <w:pPr>
        <w:tabs>
          <w:tab w:pos="4276" w:val="left" w:leader="none"/>
          <w:tab w:pos="5189" w:val="left" w:leader="none"/>
          <w:tab w:pos="6162" w:val="left" w:leader="none"/>
        </w:tabs>
        <w:spacing w:before="41"/>
        <w:ind w:left="548" w:right="0" w:firstLine="0"/>
        <w:jc w:val="left"/>
        <w:rPr>
          <w:sz w:val="17"/>
        </w:rPr>
      </w:pPr>
      <w:r>
        <w:rPr/>
        <w:pict>
          <v:group style="position:absolute;margin-left:216.490997pt;margin-top:14.817171pt;width:580.9pt;height:.85pt;mso-position-horizontal-relative:page;mso-position-vertical-relative:paragraph;z-index:2464;mso-wrap-distance-left:0;mso-wrap-distance-right:0" coordorigin="4330,296" coordsize="11618,17">
            <v:line style="position:absolute" from="4338,297" to="15939,297" stroked="true" strokeweight=".06pt" strokecolor="#000000"/>
            <v:line style="position:absolute" from="4338,305" to="15939,305" stroked="true" strokeweight=".78pt" strokecolor="#000000"/>
            <w10:wrap type="topAndBottom"/>
          </v:group>
        </w:pict>
      </w:r>
      <w:r>
        <w:rPr/>
        <w:pict>
          <v:shape style="position:absolute;margin-left:384.27652pt;margin-top:4.562847pt;width:412.7pt;height:77.95pt;mso-position-horizontal-relative:page;mso-position-vertical-relative:paragraph;z-index:256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89"/>
                    <w:gridCol w:w="1310"/>
                    <w:gridCol w:w="1167"/>
                    <w:gridCol w:w="1213"/>
                    <w:gridCol w:w="1085"/>
                    <w:gridCol w:w="950"/>
                    <w:gridCol w:w="658"/>
                    <w:gridCol w:w="880"/>
                  </w:tblGrid>
                  <w:tr>
                    <w:trPr>
                      <w:trHeight w:val="214" w:hRule="exact"/>
                    </w:trPr>
                    <w:tc>
                      <w:tcPr>
                        <w:tcW w:w="989" w:type="dxa"/>
                      </w:tcPr>
                      <w:p>
                        <w:pPr>
                          <w:pStyle w:val="TableParagraph"/>
                          <w:spacing w:line="176" w:lineRule="exact"/>
                          <w:ind w:right="367"/>
                          <w:jc w:val="right"/>
                          <w:rPr>
                            <w:sz w:val="17"/>
                          </w:rPr>
                        </w:pPr>
                        <w:r>
                          <w:rPr>
                            <w:sz w:val="17"/>
                          </w:rPr>
                          <w:t>122,974</w:t>
                        </w:r>
                      </w:p>
                    </w:tc>
                    <w:tc>
                      <w:tcPr>
                        <w:tcW w:w="1310" w:type="dxa"/>
                      </w:tcPr>
                      <w:p>
                        <w:pPr>
                          <w:pStyle w:val="TableParagraph"/>
                          <w:spacing w:line="176" w:lineRule="exact"/>
                          <w:ind w:right="479"/>
                          <w:jc w:val="right"/>
                          <w:rPr>
                            <w:sz w:val="17"/>
                          </w:rPr>
                        </w:pPr>
                        <w:r>
                          <w:rPr>
                            <w:sz w:val="17"/>
                          </w:rPr>
                          <w:t>10,058</w:t>
                        </w:r>
                      </w:p>
                    </w:tc>
                    <w:tc>
                      <w:tcPr>
                        <w:tcW w:w="1167" w:type="dxa"/>
                      </w:tcPr>
                      <w:p>
                        <w:pPr>
                          <w:pStyle w:val="TableParagraph"/>
                          <w:spacing w:line="176" w:lineRule="exact"/>
                          <w:ind w:left="260"/>
                          <w:jc w:val="center"/>
                          <w:rPr>
                            <w:sz w:val="17"/>
                          </w:rPr>
                        </w:pPr>
                        <w:r>
                          <w:rPr>
                            <w:w w:val="101"/>
                            <w:sz w:val="17"/>
                          </w:rPr>
                          <w:t>-</w:t>
                        </w:r>
                      </w:p>
                    </w:tc>
                    <w:tc>
                      <w:tcPr>
                        <w:tcW w:w="1213" w:type="dxa"/>
                      </w:tcPr>
                      <w:p>
                        <w:pPr>
                          <w:pStyle w:val="TableParagraph"/>
                          <w:spacing w:line="176" w:lineRule="exact"/>
                          <w:ind w:right="428"/>
                          <w:jc w:val="right"/>
                          <w:rPr>
                            <w:sz w:val="17"/>
                          </w:rPr>
                        </w:pPr>
                        <w:r>
                          <w:rPr>
                            <w:sz w:val="17"/>
                          </w:rPr>
                          <w:t>2,542</w:t>
                        </w:r>
                      </w:p>
                    </w:tc>
                    <w:tc>
                      <w:tcPr>
                        <w:tcW w:w="1085" w:type="dxa"/>
                      </w:tcPr>
                      <w:p>
                        <w:pPr>
                          <w:pStyle w:val="TableParagraph"/>
                          <w:spacing w:line="176" w:lineRule="exact"/>
                          <w:ind w:left="253"/>
                          <w:jc w:val="center"/>
                          <w:rPr>
                            <w:sz w:val="17"/>
                          </w:rPr>
                        </w:pPr>
                        <w:r>
                          <w:rPr>
                            <w:w w:val="101"/>
                            <w:sz w:val="17"/>
                          </w:rPr>
                          <w:t>-</w:t>
                        </w:r>
                      </w:p>
                    </w:tc>
                    <w:tc>
                      <w:tcPr>
                        <w:tcW w:w="950" w:type="dxa"/>
                      </w:tcPr>
                      <w:p>
                        <w:pPr>
                          <w:pStyle w:val="TableParagraph"/>
                          <w:spacing w:line="176" w:lineRule="exact"/>
                          <w:ind w:left="101"/>
                          <w:jc w:val="center"/>
                          <w:rPr>
                            <w:sz w:val="17"/>
                          </w:rPr>
                        </w:pPr>
                        <w:r>
                          <w:rPr>
                            <w:w w:val="101"/>
                            <w:sz w:val="17"/>
                          </w:rPr>
                          <w:t>-</w:t>
                        </w:r>
                      </w:p>
                    </w:tc>
                    <w:tc>
                      <w:tcPr>
                        <w:tcW w:w="658" w:type="dxa"/>
                      </w:tcPr>
                      <w:p>
                        <w:pPr>
                          <w:pStyle w:val="TableParagraph"/>
                          <w:spacing w:line="176" w:lineRule="exact"/>
                          <w:ind w:left="83"/>
                          <w:jc w:val="center"/>
                          <w:rPr>
                            <w:sz w:val="17"/>
                          </w:rPr>
                        </w:pPr>
                        <w:r>
                          <w:rPr>
                            <w:w w:val="101"/>
                            <w:sz w:val="17"/>
                          </w:rPr>
                          <w:t>-</w:t>
                        </w:r>
                      </w:p>
                    </w:tc>
                    <w:tc>
                      <w:tcPr>
                        <w:tcW w:w="880" w:type="dxa"/>
                      </w:tcPr>
                      <w:p>
                        <w:pPr>
                          <w:pStyle w:val="TableParagraph"/>
                          <w:spacing w:line="182" w:lineRule="exact"/>
                          <w:ind w:left="164" w:right="49"/>
                          <w:jc w:val="center"/>
                          <w:rPr>
                            <w:b/>
                            <w:sz w:val="17"/>
                          </w:rPr>
                        </w:pPr>
                        <w:r>
                          <w:rPr>
                            <w:b/>
                            <w:sz w:val="17"/>
                          </w:rPr>
                          <w:t>135,574</w:t>
                        </w:r>
                      </w:p>
                    </w:tc>
                  </w:tr>
                  <w:tr>
                    <w:trPr>
                      <w:trHeight w:val="442" w:hRule="exact"/>
                    </w:trPr>
                    <w:tc>
                      <w:tcPr>
                        <w:tcW w:w="989" w:type="dxa"/>
                      </w:tcPr>
                      <w:p>
                        <w:pPr>
                          <w:pStyle w:val="TableParagraph"/>
                          <w:spacing w:before="40"/>
                          <w:ind w:right="367"/>
                          <w:jc w:val="right"/>
                          <w:rPr>
                            <w:b/>
                            <w:sz w:val="17"/>
                          </w:rPr>
                        </w:pPr>
                        <w:r>
                          <w:rPr>
                            <w:b/>
                            <w:sz w:val="17"/>
                          </w:rPr>
                          <w:t>842,792</w:t>
                        </w:r>
                      </w:p>
                    </w:tc>
                    <w:tc>
                      <w:tcPr>
                        <w:tcW w:w="1310" w:type="dxa"/>
                      </w:tcPr>
                      <w:p>
                        <w:pPr>
                          <w:pStyle w:val="TableParagraph"/>
                          <w:spacing w:before="40"/>
                          <w:ind w:right="480"/>
                          <w:jc w:val="right"/>
                          <w:rPr>
                            <w:b/>
                            <w:sz w:val="17"/>
                          </w:rPr>
                        </w:pPr>
                        <w:r>
                          <w:rPr>
                            <w:b/>
                            <w:sz w:val="17"/>
                          </w:rPr>
                          <w:t>62,163</w:t>
                        </w:r>
                      </w:p>
                    </w:tc>
                    <w:tc>
                      <w:tcPr>
                        <w:tcW w:w="1167" w:type="dxa"/>
                      </w:tcPr>
                      <w:p>
                        <w:pPr>
                          <w:pStyle w:val="TableParagraph"/>
                          <w:spacing w:before="40"/>
                          <w:ind w:left="260"/>
                          <w:jc w:val="center"/>
                          <w:rPr>
                            <w:b/>
                            <w:sz w:val="17"/>
                          </w:rPr>
                        </w:pPr>
                        <w:r>
                          <w:rPr>
                            <w:b/>
                            <w:w w:val="101"/>
                            <w:sz w:val="17"/>
                          </w:rPr>
                          <w:t>-</w:t>
                        </w:r>
                      </w:p>
                    </w:tc>
                    <w:tc>
                      <w:tcPr>
                        <w:tcW w:w="1213" w:type="dxa"/>
                      </w:tcPr>
                      <w:p>
                        <w:pPr>
                          <w:pStyle w:val="TableParagraph"/>
                          <w:spacing w:before="40"/>
                          <w:ind w:right="434"/>
                          <w:jc w:val="right"/>
                          <w:rPr>
                            <w:b/>
                            <w:sz w:val="17"/>
                          </w:rPr>
                        </w:pPr>
                        <w:r>
                          <w:rPr>
                            <w:b/>
                            <w:sz w:val="17"/>
                          </w:rPr>
                          <w:t>44,777</w:t>
                        </w:r>
                      </w:p>
                    </w:tc>
                    <w:tc>
                      <w:tcPr>
                        <w:tcW w:w="1085" w:type="dxa"/>
                      </w:tcPr>
                      <w:p>
                        <w:pPr>
                          <w:pStyle w:val="TableParagraph"/>
                          <w:spacing w:before="40"/>
                          <w:ind w:right="197"/>
                          <w:jc w:val="right"/>
                          <w:rPr>
                            <w:b/>
                            <w:sz w:val="17"/>
                          </w:rPr>
                        </w:pPr>
                        <w:r>
                          <w:rPr>
                            <w:b/>
                            <w:sz w:val="17"/>
                          </w:rPr>
                          <w:t>295</w:t>
                        </w:r>
                      </w:p>
                    </w:tc>
                    <w:tc>
                      <w:tcPr>
                        <w:tcW w:w="950" w:type="dxa"/>
                      </w:tcPr>
                      <w:p>
                        <w:pPr>
                          <w:pStyle w:val="TableParagraph"/>
                          <w:spacing w:before="40"/>
                          <w:ind w:right="210"/>
                          <w:jc w:val="right"/>
                          <w:rPr>
                            <w:b/>
                            <w:sz w:val="17"/>
                          </w:rPr>
                        </w:pPr>
                        <w:r>
                          <w:rPr>
                            <w:b/>
                            <w:sz w:val="17"/>
                          </w:rPr>
                          <w:t>11,921</w:t>
                        </w:r>
                      </w:p>
                    </w:tc>
                    <w:tc>
                      <w:tcPr>
                        <w:tcW w:w="658" w:type="dxa"/>
                      </w:tcPr>
                      <w:p>
                        <w:pPr>
                          <w:pStyle w:val="TableParagraph"/>
                          <w:spacing w:before="40"/>
                          <w:ind w:left="147" w:right="43"/>
                          <w:jc w:val="center"/>
                          <w:rPr>
                            <w:b/>
                            <w:sz w:val="17"/>
                          </w:rPr>
                        </w:pPr>
                        <w:r>
                          <w:rPr>
                            <w:b/>
                            <w:sz w:val="17"/>
                          </w:rPr>
                          <w:t>3,083</w:t>
                        </w:r>
                      </w:p>
                    </w:tc>
                    <w:tc>
                      <w:tcPr>
                        <w:tcW w:w="880" w:type="dxa"/>
                      </w:tcPr>
                      <w:p>
                        <w:pPr>
                          <w:pStyle w:val="TableParagraph"/>
                          <w:spacing w:before="40"/>
                          <w:ind w:left="34" w:right="48"/>
                          <w:jc w:val="center"/>
                          <w:rPr>
                            <w:b/>
                            <w:sz w:val="17"/>
                          </w:rPr>
                        </w:pPr>
                        <w:r>
                          <w:rPr>
                            <w:b/>
                            <w:sz w:val="17"/>
                          </w:rPr>
                          <w:t>1,387,146</w:t>
                        </w:r>
                      </w:p>
                    </w:tc>
                  </w:tr>
                  <w:tr>
                    <w:trPr>
                      <w:trHeight w:val="417" w:hRule="exact"/>
                    </w:trPr>
                    <w:tc>
                      <w:tcPr>
                        <w:tcW w:w="989" w:type="dxa"/>
                      </w:tcPr>
                      <w:p>
                        <w:pPr>
                          <w:pStyle w:val="TableParagraph"/>
                          <w:spacing w:before="6"/>
                          <w:rPr>
                            <w:b/>
                            <w:sz w:val="16"/>
                          </w:rPr>
                        </w:pPr>
                      </w:p>
                      <w:p>
                        <w:pPr>
                          <w:pStyle w:val="TableParagraph"/>
                          <w:ind w:right="367"/>
                          <w:jc w:val="right"/>
                          <w:rPr>
                            <w:sz w:val="17"/>
                          </w:rPr>
                        </w:pPr>
                        <w:r>
                          <w:rPr>
                            <w:sz w:val="17"/>
                          </w:rPr>
                          <w:t>92,553</w:t>
                        </w:r>
                      </w:p>
                    </w:tc>
                    <w:tc>
                      <w:tcPr>
                        <w:tcW w:w="1310" w:type="dxa"/>
                      </w:tcPr>
                      <w:p>
                        <w:pPr>
                          <w:pStyle w:val="TableParagraph"/>
                          <w:spacing w:before="6"/>
                          <w:rPr>
                            <w:b/>
                            <w:sz w:val="16"/>
                          </w:rPr>
                        </w:pPr>
                      </w:p>
                      <w:p>
                        <w:pPr>
                          <w:pStyle w:val="TableParagraph"/>
                          <w:ind w:right="480"/>
                          <w:jc w:val="right"/>
                          <w:rPr>
                            <w:sz w:val="17"/>
                          </w:rPr>
                        </w:pPr>
                        <w:r>
                          <w:rPr>
                            <w:sz w:val="17"/>
                          </w:rPr>
                          <w:t>807</w:t>
                        </w:r>
                      </w:p>
                    </w:tc>
                    <w:tc>
                      <w:tcPr>
                        <w:tcW w:w="1167" w:type="dxa"/>
                      </w:tcPr>
                      <w:p>
                        <w:pPr>
                          <w:pStyle w:val="TableParagraph"/>
                          <w:spacing w:before="6"/>
                          <w:rPr>
                            <w:b/>
                            <w:sz w:val="16"/>
                          </w:rPr>
                        </w:pPr>
                      </w:p>
                      <w:p>
                        <w:pPr>
                          <w:pStyle w:val="TableParagraph"/>
                          <w:ind w:right="234"/>
                          <w:jc w:val="right"/>
                          <w:rPr>
                            <w:sz w:val="17"/>
                          </w:rPr>
                        </w:pPr>
                        <w:r>
                          <w:rPr>
                            <w:sz w:val="17"/>
                          </w:rPr>
                          <w:t>4,594</w:t>
                        </w:r>
                      </w:p>
                    </w:tc>
                    <w:tc>
                      <w:tcPr>
                        <w:tcW w:w="1213" w:type="dxa"/>
                      </w:tcPr>
                      <w:p>
                        <w:pPr>
                          <w:pStyle w:val="TableParagraph"/>
                          <w:spacing w:before="6"/>
                          <w:rPr>
                            <w:b/>
                            <w:sz w:val="16"/>
                          </w:rPr>
                        </w:pPr>
                      </w:p>
                      <w:p>
                        <w:pPr>
                          <w:pStyle w:val="TableParagraph"/>
                          <w:ind w:right="434"/>
                          <w:jc w:val="right"/>
                          <w:rPr>
                            <w:sz w:val="17"/>
                          </w:rPr>
                        </w:pPr>
                        <w:r>
                          <w:rPr>
                            <w:sz w:val="17"/>
                          </w:rPr>
                          <w:t>98,607</w:t>
                        </w:r>
                      </w:p>
                    </w:tc>
                    <w:tc>
                      <w:tcPr>
                        <w:tcW w:w="1085" w:type="dxa"/>
                      </w:tcPr>
                      <w:p>
                        <w:pPr>
                          <w:pStyle w:val="TableParagraph"/>
                          <w:spacing w:before="6"/>
                          <w:rPr>
                            <w:b/>
                            <w:sz w:val="16"/>
                          </w:rPr>
                        </w:pPr>
                      </w:p>
                      <w:p>
                        <w:pPr>
                          <w:pStyle w:val="TableParagraph"/>
                          <w:ind w:right="197"/>
                          <w:jc w:val="right"/>
                          <w:rPr>
                            <w:sz w:val="17"/>
                          </w:rPr>
                        </w:pPr>
                        <w:r>
                          <w:rPr>
                            <w:sz w:val="17"/>
                          </w:rPr>
                          <w:t>2,674</w:t>
                        </w:r>
                      </w:p>
                    </w:tc>
                    <w:tc>
                      <w:tcPr>
                        <w:tcW w:w="950" w:type="dxa"/>
                      </w:tcPr>
                      <w:p>
                        <w:pPr>
                          <w:pStyle w:val="TableParagraph"/>
                          <w:spacing w:before="6"/>
                          <w:rPr>
                            <w:b/>
                            <w:sz w:val="16"/>
                          </w:rPr>
                        </w:pPr>
                      </w:p>
                      <w:p>
                        <w:pPr>
                          <w:pStyle w:val="TableParagraph"/>
                          <w:ind w:right="211"/>
                          <w:jc w:val="right"/>
                          <w:rPr>
                            <w:sz w:val="17"/>
                          </w:rPr>
                        </w:pPr>
                        <w:r>
                          <w:rPr>
                            <w:sz w:val="17"/>
                          </w:rPr>
                          <w:t>85,071</w:t>
                        </w:r>
                      </w:p>
                    </w:tc>
                    <w:tc>
                      <w:tcPr>
                        <w:tcW w:w="658" w:type="dxa"/>
                      </w:tcPr>
                      <w:p>
                        <w:pPr>
                          <w:pStyle w:val="TableParagraph"/>
                          <w:spacing w:before="6"/>
                          <w:rPr>
                            <w:b/>
                            <w:sz w:val="16"/>
                          </w:rPr>
                        </w:pPr>
                      </w:p>
                      <w:p>
                        <w:pPr>
                          <w:pStyle w:val="TableParagraph"/>
                          <w:ind w:left="82"/>
                          <w:jc w:val="center"/>
                          <w:rPr>
                            <w:sz w:val="17"/>
                          </w:rPr>
                        </w:pPr>
                        <w:r>
                          <w:rPr>
                            <w:w w:val="101"/>
                            <w:sz w:val="17"/>
                          </w:rPr>
                          <w:t>-</w:t>
                        </w:r>
                      </w:p>
                    </w:tc>
                    <w:tc>
                      <w:tcPr>
                        <w:tcW w:w="880" w:type="dxa"/>
                      </w:tcPr>
                      <w:p>
                        <w:pPr>
                          <w:pStyle w:val="TableParagraph"/>
                          <w:rPr>
                            <w:b/>
                            <w:sz w:val="17"/>
                          </w:rPr>
                        </w:pPr>
                      </w:p>
                      <w:p>
                        <w:pPr>
                          <w:pStyle w:val="TableParagraph"/>
                          <w:ind w:left="164" w:right="49"/>
                          <w:jc w:val="center"/>
                          <w:rPr>
                            <w:b/>
                            <w:sz w:val="17"/>
                          </w:rPr>
                        </w:pPr>
                        <w:r>
                          <w:rPr>
                            <w:b/>
                            <w:sz w:val="17"/>
                          </w:rPr>
                          <w:t>328,902</w:t>
                        </w:r>
                      </w:p>
                    </w:tc>
                  </w:tr>
                  <w:tr>
                    <w:trPr>
                      <w:trHeight w:val="236" w:hRule="exact"/>
                    </w:trPr>
                    <w:tc>
                      <w:tcPr>
                        <w:tcW w:w="989" w:type="dxa"/>
                      </w:tcPr>
                      <w:p>
                        <w:pPr>
                          <w:pStyle w:val="TableParagraph"/>
                          <w:spacing w:before="9"/>
                          <w:ind w:right="366"/>
                          <w:jc w:val="right"/>
                          <w:rPr>
                            <w:sz w:val="17"/>
                          </w:rPr>
                        </w:pPr>
                        <w:r>
                          <w:rPr>
                            <w:sz w:val="17"/>
                          </w:rPr>
                          <w:t>755,359</w:t>
                        </w:r>
                      </w:p>
                    </w:tc>
                    <w:tc>
                      <w:tcPr>
                        <w:tcW w:w="1310" w:type="dxa"/>
                      </w:tcPr>
                      <w:p>
                        <w:pPr>
                          <w:pStyle w:val="TableParagraph"/>
                          <w:spacing w:before="9"/>
                          <w:ind w:right="479"/>
                          <w:jc w:val="right"/>
                          <w:rPr>
                            <w:sz w:val="17"/>
                          </w:rPr>
                        </w:pPr>
                        <w:r>
                          <w:rPr>
                            <w:sz w:val="17"/>
                          </w:rPr>
                          <w:t>62,395</w:t>
                        </w:r>
                      </w:p>
                    </w:tc>
                    <w:tc>
                      <w:tcPr>
                        <w:tcW w:w="1167" w:type="dxa"/>
                      </w:tcPr>
                      <w:p>
                        <w:pPr>
                          <w:pStyle w:val="TableParagraph"/>
                          <w:spacing w:before="9"/>
                          <w:ind w:left="261"/>
                          <w:jc w:val="center"/>
                          <w:rPr>
                            <w:sz w:val="17"/>
                          </w:rPr>
                        </w:pPr>
                        <w:r>
                          <w:rPr>
                            <w:w w:val="101"/>
                            <w:sz w:val="17"/>
                          </w:rPr>
                          <w:t>-</w:t>
                        </w:r>
                      </w:p>
                    </w:tc>
                    <w:tc>
                      <w:tcPr>
                        <w:tcW w:w="1213" w:type="dxa"/>
                      </w:tcPr>
                      <w:p>
                        <w:pPr>
                          <w:pStyle w:val="TableParagraph"/>
                          <w:spacing w:before="9"/>
                          <w:ind w:right="80"/>
                          <w:jc w:val="center"/>
                          <w:rPr>
                            <w:sz w:val="17"/>
                          </w:rPr>
                        </w:pPr>
                        <w:r>
                          <w:rPr>
                            <w:w w:val="101"/>
                            <w:sz w:val="17"/>
                          </w:rPr>
                          <w:t>-</w:t>
                        </w:r>
                      </w:p>
                    </w:tc>
                    <w:tc>
                      <w:tcPr>
                        <w:tcW w:w="1085" w:type="dxa"/>
                      </w:tcPr>
                      <w:p>
                        <w:pPr>
                          <w:pStyle w:val="TableParagraph"/>
                          <w:spacing w:before="9"/>
                          <w:ind w:left="254"/>
                          <w:jc w:val="center"/>
                          <w:rPr>
                            <w:sz w:val="17"/>
                          </w:rPr>
                        </w:pPr>
                        <w:r>
                          <w:rPr>
                            <w:w w:val="101"/>
                            <w:sz w:val="17"/>
                          </w:rPr>
                          <w:t>-</w:t>
                        </w:r>
                      </w:p>
                    </w:tc>
                    <w:tc>
                      <w:tcPr>
                        <w:tcW w:w="950" w:type="dxa"/>
                      </w:tcPr>
                      <w:p>
                        <w:pPr>
                          <w:pStyle w:val="TableParagraph"/>
                          <w:spacing w:before="9"/>
                          <w:ind w:left="102"/>
                          <w:jc w:val="center"/>
                          <w:rPr>
                            <w:sz w:val="17"/>
                          </w:rPr>
                        </w:pPr>
                        <w:r>
                          <w:rPr>
                            <w:w w:val="101"/>
                            <w:sz w:val="17"/>
                          </w:rPr>
                          <w:t>-</w:t>
                        </w:r>
                      </w:p>
                    </w:tc>
                    <w:tc>
                      <w:tcPr>
                        <w:tcW w:w="658" w:type="dxa"/>
                      </w:tcPr>
                      <w:p>
                        <w:pPr>
                          <w:pStyle w:val="TableParagraph"/>
                          <w:spacing w:before="9"/>
                          <w:ind w:left="147" w:right="44"/>
                          <w:jc w:val="center"/>
                          <w:rPr>
                            <w:sz w:val="17"/>
                          </w:rPr>
                        </w:pPr>
                        <w:r>
                          <w:rPr>
                            <w:sz w:val="17"/>
                          </w:rPr>
                          <w:t>3,083</w:t>
                        </w:r>
                      </w:p>
                    </w:tc>
                    <w:tc>
                      <w:tcPr>
                        <w:tcW w:w="880" w:type="dxa"/>
                      </w:tcPr>
                      <w:p>
                        <w:pPr>
                          <w:pStyle w:val="TableParagraph"/>
                          <w:spacing w:before="15"/>
                          <w:ind w:left="33" w:right="49"/>
                          <w:jc w:val="center"/>
                          <w:rPr>
                            <w:b/>
                            <w:sz w:val="17"/>
                          </w:rPr>
                        </w:pPr>
                        <w:r>
                          <w:rPr>
                            <w:b/>
                            <w:sz w:val="17"/>
                          </w:rPr>
                          <w:t>1,198,356</w:t>
                        </w:r>
                      </w:p>
                    </w:tc>
                  </w:tr>
                  <w:tr>
                    <w:trPr>
                      <w:trHeight w:val="250" w:hRule="exact"/>
                    </w:trPr>
                    <w:tc>
                      <w:tcPr>
                        <w:tcW w:w="989" w:type="dxa"/>
                      </w:tcPr>
                      <w:p>
                        <w:pPr>
                          <w:pStyle w:val="TableParagraph"/>
                          <w:spacing w:before="9"/>
                          <w:ind w:right="331"/>
                          <w:jc w:val="right"/>
                          <w:rPr>
                            <w:sz w:val="17"/>
                          </w:rPr>
                        </w:pPr>
                        <w:r>
                          <w:rPr>
                            <w:sz w:val="17"/>
                          </w:rPr>
                          <w:t>(5,120)</w:t>
                        </w:r>
                      </w:p>
                    </w:tc>
                    <w:tc>
                      <w:tcPr>
                        <w:tcW w:w="1310" w:type="dxa"/>
                      </w:tcPr>
                      <w:p>
                        <w:pPr>
                          <w:pStyle w:val="TableParagraph"/>
                          <w:spacing w:before="9"/>
                          <w:ind w:right="443"/>
                          <w:jc w:val="right"/>
                          <w:rPr>
                            <w:sz w:val="17"/>
                          </w:rPr>
                        </w:pPr>
                        <w:r>
                          <w:rPr>
                            <w:sz w:val="17"/>
                          </w:rPr>
                          <w:t>(1,039)</w:t>
                        </w:r>
                      </w:p>
                    </w:tc>
                    <w:tc>
                      <w:tcPr>
                        <w:tcW w:w="1167" w:type="dxa"/>
                      </w:tcPr>
                      <w:p>
                        <w:pPr>
                          <w:pStyle w:val="TableParagraph"/>
                          <w:spacing w:before="9"/>
                          <w:ind w:right="203"/>
                          <w:jc w:val="right"/>
                          <w:rPr>
                            <w:sz w:val="17"/>
                          </w:rPr>
                        </w:pPr>
                        <w:r>
                          <w:rPr>
                            <w:sz w:val="17"/>
                          </w:rPr>
                          <w:t>(4,594)</w:t>
                        </w:r>
                      </w:p>
                    </w:tc>
                    <w:tc>
                      <w:tcPr>
                        <w:tcW w:w="1213" w:type="dxa"/>
                      </w:tcPr>
                      <w:p>
                        <w:pPr>
                          <w:pStyle w:val="TableParagraph"/>
                          <w:spacing w:before="9"/>
                          <w:ind w:right="398"/>
                          <w:jc w:val="right"/>
                          <w:rPr>
                            <w:sz w:val="17"/>
                          </w:rPr>
                        </w:pPr>
                        <w:r>
                          <w:rPr>
                            <w:sz w:val="17"/>
                          </w:rPr>
                          <w:t>(53,830)</w:t>
                        </w:r>
                      </w:p>
                    </w:tc>
                    <w:tc>
                      <w:tcPr>
                        <w:tcW w:w="1085" w:type="dxa"/>
                      </w:tcPr>
                      <w:p>
                        <w:pPr>
                          <w:pStyle w:val="TableParagraph"/>
                          <w:spacing w:before="9"/>
                          <w:ind w:right="166"/>
                          <w:jc w:val="right"/>
                          <w:rPr>
                            <w:sz w:val="17"/>
                          </w:rPr>
                        </w:pPr>
                        <w:r>
                          <w:rPr>
                            <w:sz w:val="17"/>
                          </w:rPr>
                          <w:t>(2,379)</w:t>
                        </w:r>
                      </w:p>
                    </w:tc>
                    <w:tc>
                      <w:tcPr>
                        <w:tcW w:w="950" w:type="dxa"/>
                      </w:tcPr>
                      <w:p>
                        <w:pPr>
                          <w:pStyle w:val="TableParagraph"/>
                          <w:spacing w:before="9"/>
                          <w:ind w:right="173"/>
                          <w:jc w:val="right"/>
                          <w:rPr>
                            <w:sz w:val="17"/>
                          </w:rPr>
                        </w:pPr>
                        <w:r>
                          <w:rPr>
                            <w:sz w:val="17"/>
                          </w:rPr>
                          <w:t>(73,150)</w:t>
                        </w:r>
                      </w:p>
                    </w:tc>
                    <w:tc>
                      <w:tcPr>
                        <w:tcW w:w="658" w:type="dxa"/>
                      </w:tcPr>
                      <w:p>
                        <w:pPr>
                          <w:pStyle w:val="TableParagraph"/>
                          <w:spacing w:before="9"/>
                          <w:ind w:left="82"/>
                          <w:jc w:val="center"/>
                          <w:rPr>
                            <w:sz w:val="17"/>
                          </w:rPr>
                        </w:pPr>
                        <w:r>
                          <w:rPr>
                            <w:w w:val="101"/>
                            <w:sz w:val="17"/>
                          </w:rPr>
                          <w:t>-</w:t>
                        </w:r>
                      </w:p>
                    </w:tc>
                    <w:tc>
                      <w:tcPr>
                        <w:tcW w:w="880" w:type="dxa"/>
                      </w:tcPr>
                      <w:p>
                        <w:pPr>
                          <w:pStyle w:val="TableParagraph"/>
                          <w:spacing w:before="15"/>
                          <w:ind w:left="97" w:right="14"/>
                          <w:jc w:val="center"/>
                          <w:rPr>
                            <w:b/>
                            <w:sz w:val="17"/>
                          </w:rPr>
                        </w:pPr>
                        <w:r>
                          <w:rPr>
                            <w:b/>
                            <w:sz w:val="17"/>
                          </w:rPr>
                          <w:t>(140,112)</w:t>
                        </w:r>
                      </w:p>
                    </w:tc>
                  </w:tr>
                </w:tbl>
                <w:p>
                  <w:pPr>
                    <w:pStyle w:val="BodyText"/>
                  </w:pPr>
                </w:p>
              </w:txbxContent>
            </v:textbox>
            <w10:wrap type="none"/>
          </v:shape>
        </w:pict>
      </w:r>
      <w:r>
        <w:rPr>
          <w:spacing w:val="-6"/>
          <w:sz w:val="17"/>
        </w:rPr>
        <w:t>Progress</w:t>
        <w:tab/>
      </w:r>
      <w:r>
        <w:rPr>
          <w:position w:val="-2"/>
          <w:sz w:val="17"/>
        </w:rPr>
        <w:t>-</w:t>
        <w:tab/>
        <w:t>-</w:t>
        <w:tab/>
        <w:t>-</w:t>
      </w:r>
    </w:p>
    <w:p>
      <w:pPr>
        <w:tabs>
          <w:tab w:pos="4020" w:val="left" w:leader="none"/>
          <w:tab w:pos="4845" w:val="left" w:leader="none"/>
          <w:tab w:pos="5817" w:val="left" w:leader="none"/>
        </w:tabs>
        <w:spacing w:before="0" w:after="23"/>
        <w:ind w:left="548" w:right="0" w:firstLine="0"/>
        <w:jc w:val="left"/>
        <w:rPr>
          <w:b/>
          <w:sz w:val="17"/>
        </w:rPr>
      </w:pPr>
      <w:r>
        <w:rPr>
          <w:b/>
          <w:sz w:val="17"/>
        </w:rPr>
        <w:t>Closing </w:t>
      </w:r>
      <w:r>
        <w:rPr>
          <w:b/>
          <w:spacing w:val="-5"/>
          <w:sz w:val="17"/>
        </w:rPr>
        <w:t>Net</w:t>
      </w:r>
      <w:r>
        <w:rPr>
          <w:b/>
          <w:spacing w:val="7"/>
          <w:sz w:val="17"/>
        </w:rPr>
        <w:t> </w:t>
      </w:r>
      <w:r>
        <w:rPr>
          <w:b/>
          <w:spacing w:val="-6"/>
          <w:sz w:val="17"/>
        </w:rPr>
        <w:t>Book</w:t>
      </w:r>
      <w:r>
        <w:rPr>
          <w:b/>
          <w:spacing w:val="11"/>
          <w:sz w:val="17"/>
        </w:rPr>
        <w:t> </w:t>
      </w:r>
      <w:r>
        <w:rPr>
          <w:b/>
          <w:sz w:val="17"/>
        </w:rPr>
        <w:t>Amount</w:t>
        <w:tab/>
      </w:r>
      <w:r>
        <w:rPr>
          <w:b/>
          <w:spacing w:val="-6"/>
          <w:position w:val="-2"/>
          <w:sz w:val="17"/>
        </w:rPr>
        <w:t>44,596</w:t>
        <w:tab/>
        <w:t>214,400</w:t>
        <w:tab/>
      </w:r>
      <w:r>
        <w:rPr>
          <w:b/>
          <w:spacing w:val="-7"/>
          <w:position w:val="-2"/>
          <w:sz w:val="17"/>
        </w:rPr>
        <w:t>163,120</w:t>
      </w:r>
    </w:p>
    <w:p>
      <w:pPr>
        <w:pStyle w:val="BodyText"/>
        <w:spacing w:line="20" w:lineRule="exact"/>
        <w:ind w:left="3429"/>
        <w:rPr>
          <w:sz w:val="2"/>
        </w:rPr>
      </w:pPr>
      <w:r>
        <w:rPr>
          <w:sz w:val="2"/>
        </w:rPr>
        <w:pict>
          <v:group style="width:580.950pt;height:.9pt;mso-position-horizontal-relative:char;mso-position-vertical-relative:line" coordorigin="0,0" coordsize="11619,18">
            <v:line style="position:absolute" from="9,1" to="11610,1" stroked="true" strokeweight=".06pt" strokecolor="#000000"/>
            <v:line style="position:absolute" from="9,9" to="11610,9" stroked="true" strokeweight=".84pt" strokecolor="#000000"/>
          </v:group>
        </w:pict>
      </w:r>
      <w:r>
        <w:rPr>
          <w:sz w:val="2"/>
        </w:rPr>
      </w:r>
    </w:p>
    <w:p>
      <w:pPr>
        <w:pStyle w:val="BodyText"/>
        <w:spacing w:before="9"/>
        <w:rPr>
          <w:b/>
          <w:sz w:val="23"/>
        </w:rPr>
      </w:pPr>
    </w:p>
    <w:p>
      <w:pPr>
        <w:spacing w:line="290" w:lineRule="auto" w:before="81"/>
        <w:ind w:left="6132" w:right="8678" w:firstLine="29"/>
        <w:jc w:val="left"/>
        <w:rPr>
          <w:sz w:val="17"/>
        </w:rPr>
      </w:pPr>
      <w:r>
        <w:rPr/>
        <w:pict>
          <v:shape style="position:absolute;margin-left:70.657356pt;margin-top:-14.212898pt;width:282.350pt;height:53.5pt;mso-position-horizontal-relative:page;mso-position-vertical-relative:paragraph;z-index:258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25"/>
                    <w:gridCol w:w="1243"/>
                    <w:gridCol w:w="1479"/>
                  </w:tblGrid>
                  <w:tr>
                    <w:trPr>
                      <w:trHeight w:val="356" w:hRule="exact"/>
                    </w:trPr>
                    <w:tc>
                      <w:tcPr>
                        <w:tcW w:w="2925" w:type="dxa"/>
                      </w:tcPr>
                      <w:p>
                        <w:pPr>
                          <w:pStyle w:val="TableParagraph"/>
                          <w:spacing w:before="135"/>
                          <w:ind w:left="35"/>
                          <w:rPr>
                            <w:b/>
                            <w:sz w:val="17"/>
                          </w:rPr>
                        </w:pPr>
                        <w:r>
                          <w:rPr>
                            <w:b/>
                            <w:sz w:val="17"/>
                          </w:rPr>
                          <w:t>At 31 December 2012</w:t>
                        </w:r>
                      </w:p>
                    </w:tc>
                    <w:tc>
                      <w:tcPr>
                        <w:tcW w:w="2722" w:type="dxa"/>
                        <w:gridSpan w:val="2"/>
                      </w:tcPr>
                      <w:p>
                        <w:pPr/>
                      </w:p>
                    </w:tc>
                  </w:tr>
                  <w:tr>
                    <w:trPr>
                      <w:trHeight w:val="233" w:hRule="exact"/>
                    </w:trPr>
                    <w:tc>
                      <w:tcPr>
                        <w:tcW w:w="2925" w:type="dxa"/>
                      </w:tcPr>
                      <w:p>
                        <w:pPr>
                          <w:pStyle w:val="TableParagraph"/>
                          <w:spacing w:before="9"/>
                          <w:ind w:left="35"/>
                          <w:rPr>
                            <w:sz w:val="17"/>
                          </w:rPr>
                        </w:pPr>
                        <w:r>
                          <w:rPr>
                            <w:sz w:val="17"/>
                          </w:rPr>
                          <w:t>- Cost</w:t>
                        </w:r>
                      </w:p>
                    </w:tc>
                    <w:tc>
                      <w:tcPr>
                        <w:tcW w:w="1243" w:type="dxa"/>
                      </w:tcPr>
                      <w:p>
                        <w:pPr>
                          <w:pStyle w:val="TableParagraph"/>
                          <w:spacing w:before="9"/>
                          <w:ind w:left="550" w:right="133"/>
                          <w:jc w:val="center"/>
                          <w:rPr>
                            <w:sz w:val="17"/>
                          </w:rPr>
                        </w:pPr>
                        <w:r>
                          <w:rPr>
                            <w:sz w:val="17"/>
                          </w:rPr>
                          <w:t>44,596</w:t>
                        </w:r>
                      </w:p>
                    </w:tc>
                    <w:tc>
                      <w:tcPr>
                        <w:tcW w:w="1479" w:type="dxa"/>
                      </w:tcPr>
                      <w:p>
                        <w:pPr>
                          <w:pStyle w:val="TableParagraph"/>
                          <w:spacing w:before="9"/>
                          <w:ind w:right="404"/>
                          <w:jc w:val="center"/>
                          <w:rPr>
                            <w:sz w:val="17"/>
                          </w:rPr>
                        </w:pPr>
                        <w:r>
                          <w:rPr>
                            <w:w w:val="101"/>
                            <w:sz w:val="17"/>
                          </w:rPr>
                          <w:t>-</w:t>
                        </w:r>
                      </w:p>
                    </w:tc>
                  </w:tr>
                  <w:tr>
                    <w:trPr>
                      <w:trHeight w:val="236" w:hRule="exact"/>
                    </w:trPr>
                    <w:tc>
                      <w:tcPr>
                        <w:tcW w:w="2925" w:type="dxa"/>
                      </w:tcPr>
                      <w:p>
                        <w:pPr>
                          <w:pStyle w:val="TableParagraph"/>
                          <w:spacing w:before="12"/>
                          <w:ind w:left="35"/>
                          <w:rPr>
                            <w:sz w:val="17"/>
                          </w:rPr>
                        </w:pPr>
                        <w:r>
                          <w:rPr>
                            <w:sz w:val="17"/>
                          </w:rPr>
                          <w:t>- Valuation</w:t>
                        </w:r>
                      </w:p>
                    </w:tc>
                    <w:tc>
                      <w:tcPr>
                        <w:tcW w:w="1243" w:type="dxa"/>
                      </w:tcPr>
                      <w:p>
                        <w:pPr>
                          <w:pStyle w:val="TableParagraph"/>
                          <w:spacing w:before="12"/>
                          <w:ind w:left="491"/>
                          <w:jc w:val="center"/>
                          <w:rPr>
                            <w:sz w:val="17"/>
                          </w:rPr>
                        </w:pPr>
                        <w:r>
                          <w:rPr>
                            <w:w w:val="101"/>
                            <w:sz w:val="17"/>
                          </w:rPr>
                          <w:t>-</w:t>
                        </w:r>
                      </w:p>
                    </w:tc>
                    <w:tc>
                      <w:tcPr>
                        <w:tcW w:w="1479" w:type="dxa"/>
                      </w:tcPr>
                      <w:p>
                        <w:pPr>
                          <w:pStyle w:val="TableParagraph"/>
                          <w:tabs>
                            <w:tab w:pos="1137" w:val="left" w:leader="none"/>
                          </w:tabs>
                          <w:spacing w:before="12"/>
                          <w:ind w:left="165"/>
                          <w:rPr>
                            <w:sz w:val="17"/>
                          </w:rPr>
                        </w:pPr>
                        <w:r>
                          <w:rPr>
                            <w:spacing w:val="-6"/>
                            <w:sz w:val="17"/>
                          </w:rPr>
                          <w:t>214,400</w:t>
                          <w:tab/>
                        </w:r>
                        <w:r>
                          <w:rPr>
                            <w:spacing w:val="-7"/>
                            <w:sz w:val="17"/>
                          </w:rPr>
                          <w:t>163,</w:t>
                        </w:r>
                      </w:p>
                    </w:tc>
                  </w:tr>
                  <w:tr>
                    <w:trPr>
                      <w:trHeight w:val="245" w:hRule="exact"/>
                    </w:trPr>
                    <w:tc>
                      <w:tcPr>
                        <w:tcW w:w="2925" w:type="dxa"/>
                      </w:tcPr>
                      <w:p>
                        <w:pPr>
                          <w:pStyle w:val="TableParagraph"/>
                          <w:spacing w:before="12"/>
                          <w:ind w:left="35"/>
                          <w:rPr>
                            <w:sz w:val="17"/>
                          </w:rPr>
                        </w:pPr>
                        <w:r>
                          <w:rPr>
                            <w:sz w:val="17"/>
                          </w:rPr>
                          <w:t>Accumulated  depreciation</w:t>
                        </w:r>
                      </w:p>
                    </w:tc>
                    <w:tc>
                      <w:tcPr>
                        <w:tcW w:w="1243" w:type="dxa"/>
                      </w:tcPr>
                      <w:p>
                        <w:pPr>
                          <w:pStyle w:val="TableParagraph"/>
                          <w:spacing w:before="12"/>
                          <w:ind w:left="491"/>
                          <w:jc w:val="center"/>
                          <w:rPr>
                            <w:sz w:val="17"/>
                          </w:rPr>
                        </w:pPr>
                        <w:r>
                          <w:rPr>
                            <w:w w:val="101"/>
                            <w:sz w:val="17"/>
                          </w:rPr>
                          <w:t>-</w:t>
                        </w:r>
                      </w:p>
                    </w:tc>
                    <w:tc>
                      <w:tcPr>
                        <w:tcW w:w="1479" w:type="dxa"/>
                      </w:tcPr>
                      <w:p>
                        <w:pPr>
                          <w:pStyle w:val="TableParagraph"/>
                          <w:spacing w:before="12"/>
                          <w:ind w:right="402"/>
                          <w:jc w:val="center"/>
                          <w:rPr>
                            <w:sz w:val="17"/>
                          </w:rPr>
                        </w:pPr>
                        <w:r>
                          <w:rPr>
                            <w:w w:val="101"/>
                            <w:sz w:val="17"/>
                          </w:rPr>
                          <w:t>-</w:t>
                        </w:r>
                      </w:p>
                    </w:tc>
                  </w:tr>
                </w:tbl>
                <w:p>
                  <w:pPr>
                    <w:pStyle w:val="BodyText"/>
                  </w:pPr>
                </w:p>
              </w:txbxContent>
            </v:textbox>
            <w10:wrap type="none"/>
          </v:shape>
        </w:pict>
      </w:r>
      <w:r>
        <w:rPr>
          <w:sz w:val="17"/>
        </w:rPr>
        <w:t>- 120</w:t>
      </w:r>
    </w:p>
    <w:p>
      <w:pPr>
        <w:spacing w:before="0"/>
        <w:ind w:left="0" w:right="2776" w:firstLine="0"/>
        <w:jc w:val="center"/>
        <w:rPr>
          <w:sz w:val="17"/>
        </w:rPr>
      </w:pPr>
      <w:r>
        <w:rPr/>
        <w:pict>
          <v:group style="position:absolute;margin-left:216.490997pt;margin-top:11.217095pt;width:580.9pt;height:.85pt;mso-position-horizontal-relative:page;mso-position-vertical-relative:paragraph;z-index:2512;mso-wrap-distance-left:0;mso-wrap-distance-right:0" coordorigin="4330,224" coordsize="11618,17">
            <v:line style="position:absolute" from="4338,225" to="15939,225" stroked="true" strokeweight=".06pt" strokecolor="#000000"/>
            <v:line style="position:absolute" from="4338,233" to="15939,233" stroked="true" strokeweight=".78pt" strokecolor="#000000"/>
            <w10:wrap type="topAndBottom"/>
          </v:group>
        </w:pict>
      </w:r>
      <w:r>
        <w:rPr>
          <w:w w:val="101"/>
          <w:sz w:val="17"/>
        </w:rPr>
        <w:t>-</w:t>
      </w:r>
    </w:p>
    <w:p>
      <w:pPr>
        <w:tabs>
          <w:tab w:pos="4020" w:val="left" w:leader="none"/>
          <w:tab w:pos="4845" w:val="left" w:leader="none"/>
          <w:tab w:pos="5817" w:val="left" w:leader="none"/>
          <w:tab w:pos="6820" w:val="left" w:leader="none"/>
          <w:tab w:pos="8108" w:val="left" w:leader="none"/>
          <w:tab w:pos="9769" w:val="left" w:leader="none"/>
          <w:tab w:pos="10534" w:val="left" w:leader="none"/>
          <w:tab w:pos="12076" w:val="left" w:leader="none"/>
          <w:tab w:pos="12793" w:val="left" w:leader="none"/>
          <w:tab w:pos="13676" w:val="left" w:leader="none"/>
        </w:tabs>
        <w:spacing w:before="0" w:after="22"/>
        <w:ind w:left="548" w:right="0" w:firstLine="0"/>
        <w:jc w:val="left"/>
        <w:rPr>
          <w:b/>
          <w:sz w:val="17"/>
        </w:rPr>
      </w:pPr>
      <w:r>
        <w:rPr>
          <w:b/>
          <w:spacing w:val="-4"/>
          <w:sz w:val="17"/>
        </w:rPr>
        <w:t>Net</w:t>
      </w:r>
      <w:r>
        <w:rPr>
          <w:b/>
          <w:spacing w:val="4"/>
          <w:sz w:val="17"/>
        </w:rPr>
        <w:t> </w:t>
      </w:r>
      <w:r>
        <w:rPr>
          <w:b/>
          <w:spacing w:val="-6"/>
          <w:sz w:val="17"/>
        </w:rPr>
        <w:t>Book</w:t>
      </w:r>
      <w:r>
        <w:rPr>
          <w:b/>
          <w:spacing w:val="12"/>
          <w:sz w:val="17"/>
        </w:rPr>
        <w:t> </w:t>
      </w:r>
      <w:r>
        <w:rPr>
          <w:b/>
          <w:sz w:val="17"/>
        </w:rPr>
        <w:t>Amount</w:t>
        <w:tab/>
      </w:r>
      <w:r>
        <w:rPr>
          <w:b/>
          <w:spacing w:val="-6"/>
          <w:sz w:val="17"/>
        </w:rPr>
        <w:t>44,596</w:t>
        <w:tab/>
        <w:t>214,400</w:t>
        <w:tab/>
        <w:t>163,120</w:t>
        <w:tab/>
        <w:t>842,792</w:t>
        <w:tab/>
        <w:t>62,163</w:t>
        <w:tab/>
      </w:r>
      <w:r>
        <w:rPr>
          <w:b/>
          <w:sz w:val="17"/>
        </w:rPr>
        <w:t>-</w:t>
        <w:tab/>
      </w:r>
      <w:r>
        <w:rPr>
          <w:b/>
          <w:spacing w:val="-6"/>
          <w:sz w:val="17"/>
        </w:rPr>
        <w:t>44,777</w:t>
        <w:tab/>
      </w:r>
      <w:r>
        <w:rPr>
          <w:b/>
          <w:spacing w:val="-5"/>
          <w:sz w:val="17"/>
        </w:rPr>
        <w:t>295</w:t>
        <w:tab/>
      </w:r>
      <w:r>
        <w:rPr>
          <w:b/>
          <w:spacing w:val="-6"/>
          <w:sz w:val="17"/>
        </w:rPr>
        <w:t>11,921</w:t>
        <w:tab/>
      </w:r>
      <w:r>
        <w:rPr>
          <w:b/>
          <w:spacing w:val="-5"/>
          <w:sz w:val="17"/>
        </w:rPr>
        <w:t>3,083   </w:t>
      </w:r>
      <w:r>
        <w:rPr>
          <w:b/>
          <w:spacing w:val="-4"/>
          <w:sz w:val="17"/>
        </w:rPr>
        <w:t> </w:t>
      </w:r>
      <w:r>
        <w:rPr>
          <w:b/>
          <w:spacing w:val="-7"/>
          <w:sz w:val="17"/>
        </w:rPr>
        <w:t>1,387,146</w:t>
      </w:r>
    </w:p>
    <w:p>
      <w:pPr>
        <w:pStyle w:val="BodyText"/>
        <w:spacing w:line="48" w:lineRule="exact"/>
        <w:ind w:left="3444"/>
        <w:rPr>
          <w:sz w:val="4"/>
        </w:rPr>
      </w:pPr>
      <w:r>
        <w:rPr>
          <w:position w:val="0"/>
          <w:sz w:val="4"/>
        </w:rPr>
        <w:pict>
          <v:group style="width:579.4pt;height:2.4pt;mso-position-horizontal-relative:char;mso-position-vertical-relative:line" coordorigin="0,0" coordsize="11588,48">
            <v:line style="position:absolute" from="8,1" to="11580,1" stroked="true" strokeweight=".06pt" strokecolor="#000000"/>
            <v:line style="position:absolute" from="8,9" to="11580,9" stroked="true" strokeweight=".78pt" strokecolor="#000000"/>
            <v:line style="position:absolute" from="8,32" to="11580,32" stroked="true" strokeweight=".06pt" strokecolor="#000000"/>
            <v:line style="position:absolute" from="8,40" to="11580,40" stroked="true" strokeweight=".78pt" strokecolor="#000000"/>
          </v:group>
        </w:pict>
      </w:r>
      <w:r>
        <w:rPr>
          <w:position w:val="0"/>
          <w:sz w:val="4"/>
        </w:rPr>
      </w:r>
    </w:p>
    <w:p>
      <w:pPr>
        <w:spacing w:after="0" w:line="48" w:lineRule="exact"/>
        <w:rPr>
          <w:sz w:val="4"/>
        </w:rPr>
        <w:sectPr>
          <w:type w:val="continuous"/>
          <w:pgSz w:w="16840" w:h="11910" w:orient="landscape"/>
          <w:pgMar w:top="0" w:bottom="280" w:left="900" w:right="780"/>
        </w:sectPr>
      </w:pPr>
    </w:p>
    <w:p>
      <w:pPr>
        <w:pStyle w:val="BodyText"/>
        <w:rPr>
          <w:b/>
          <w:sz w:val="20"/>
        </w:rPr>
      </w:pPr>
    </w:p>
    <w:p>
      <w:pPr>
        <w:pStyle w:val="BodyText"/>
        <w:rPr>
          <w:b/>
          <w:sz w:val="20"/>
        </w:rPr>
      </w:pPr>
    </w:p>
    <w:p>
      <w:pPr>
        <w:pStyle w:val="BodyText"/>
        <w:spacing w:before="4"/>
        <w:rPr>
          <w:b/>
        </w:rPr>
      </w:pPr>
    </w:p>
    <w:p>
      <w:pPr>
        <w:pStyle w:val="Heading9"/>
        <w:ind w:left="109"/>
      </w:pPr>
      <w:r>
        <w:rPr/>
        <w:t>18    Property, plant and equipment (continued)</w:t>
      </w:r>
    </w:p>
    <w:p>
      <w:pPr>
        <w:pStyle w:val="BodyText"/>
        <w:spacing w:before="1"/>
        <w:rPr>
          <w:b/>
          <w:sz w:val="19"/>
        </w:rPr>
      </w:pPr>
    </w:p>
    <w:p>
      <w:pPr>
        <w:spacing w:after="0"/>
        <w:rPr>
          <w:sz w:val="19"/>
        </w:rPr>
        <w:sectPr>
          <w:pgSz w:w="16840" w:h="11910" w:orient="landscape"/>
          <w:pgMar w:header="1038" w:footer="507" w:top="2220" w:bottom="700" w:left="900" w:right="280"/>
        </w:sectPr>
      </w:pPr>
    </w:p>
    <w:p>
      <w:pPr>
        <w:pStyle w:val="BodyText"/>
        <w:rPr>
          <w:b/>
          <w:sz w:val="16"/>
        </w:rPr>
      </w:pPr>
    </w:p>
    <w:p>
      <w:pPr>
        <w:spacing w:line="295" w:lineRule="auto" w:before="112"/>
        <w:ind w:left="3650" w:right="0" w:hanging="62"/>
        <w:jc w:val="left"/>
        <w:rPr>
          <w:b/>
          <w:sz w:val="15"/>
        </w:rPr>
      </w:pPr>
      <w:r>
        <w:rPr>
          <w:b/>
          <w:w w:val="115"/>
          <w:sz w:val="15"/>
        </w:rPr>
        <w:t>Construction in Progress</w:t>
      </w:r>
    </w:p>
    <w:p>
      <w:pPr>
        <w:pStyle w:val="BodyText"/>
        <w:rPr>
          <w:b/>
          <w:sz w:val="16"/>
        </w:rPr>
      </w:pPr>
      <w:r>
        <w:rPr/>
        <w:br w:type="column"/>
      </w:r>
      <w:r>
        <w:rPr>
          <w:b/>
          <w:sz w:val="16"/>
        </w:rPr>
      </w:r>
    </w:p>
    <w:p>
      <w:pPr>
        <w:spacing w:line="295" w:lineRule="auto" w:before="112"/>
        <w:ind w:left="255" w:right="0" w:hanging="171"/>
        <w:jc w:val="left"/>
        <w:rPr>
          <w:b/>
          <w:sz w:val="15"/>
        </w:rPr>
      </w:pPr>
      <w:r>
        <w:rPr>
          <w:b/>
          <w:w w:val="110"/>
          <w:sz w:val="15"/>
        </w:rPr>
        <w:t>Freehold </w:t>
      </w:r>
      <w:r>
        <w:rPr>
          <w:b/>
          <w:w w:val="115"/>
          <w:sz w:val="15"/>
        </w:rPr>
        <w:t>Land</w:t>
      </w:r>
    </w:p>
    <w:p>
      <w:pPr>
        <w:pStyle w:val="BodyText"/>
        <w:rPr>
          <w:b/>
          <w:sz w:val="16"/>
        </w:rPr>
      </w:pPr>
      <w:r>
        <w:rPr/>
        <w:br w:type="column"/>
      </w:r>
      <w:r>
        <w:rPr>
          <w:b/>
          <w:sz w:val="16"/>
        </w:rPr>
      </w:r>
    </w:p>
    <w:p>
      <w:pPr>
        <w:spacing w:before="112"/>
        <w:ind w:left="274" w:right="0" w:firstLine="0"/>
        <w:jc w:val="left"/>
        <w:rPr>
          <w:b/>
          <w:sz w:val="15"/>
        </w:rPr>
      </w:pPr>
      <w:r>
        <w:rPr>
          <w:b/>
          <w:w w:val="115"/>
          <w:sz w:val="15"/>
        </w:rPr>
        <w:t>Crow n</w:t>
      </w:r>
    </w:p>
    <w:p>
      <w:pPr>
        <w:tabs>
          <w:tab w:pos="1188" w:val="left" w:leader="none"/>
          <w:tab w:pos="2165" w:val="left" w:leader="none"/>
        </w:tabs>
        <w:spacing w:before="40"/>
        <w:ind w:left="351" w:right="0" w:firstLine="0"/>
        <w:jc w:val="left"/>
        <w:rPr>
          <w:b/>
          <w:sz w:val="15"/>
        </w:rPr>
      </w:pPr>
      <w:r>
        <w:rPr>
          <w:b/>
          <w:w w:val="115"/>
          <w:sz w:val="15"/>
        </w:rPr>
        <w:t>Land</w:t>
        <w:tab/>
        <w:t>Buildings</w:t>
        <w:tab/>
      </w:r>
      <w:r>
        <w:rPr>
          <w:b/>
          <w:spacing w:val="4"/>
          <w:w w:val="110"/>
          <w:sz w:val="15"/>
        </w:rPr>
        <w:t>Infrastucture</w:t>
      </w:r>
    </w:p>
    <w:p>
      <w:pPr>
        <w:spacing w:line="295" w:lineRule="auto" w:before="85"/>
        <w:ind w:left="160" w:right="0" w:firstLine="9"/>
        <w:jc w:val="center"/>
        <w:rPr>
          <w:b/>
          <w:sz w:val="15"/>
        </w:rPr>
      </w:pPr>
      <w:r>
        <w:rPr/>
        <w:br w:type="column"/>
      </w:r>
      <w:r>
        <w:rPr>
          <w:b/>
          <w:w w:val="115"/>
          <w:sz w:val="15"/>
        </w:rPr>
        <w:t>Buildings - Under</w:t>
      </w:r>
      <w:r>
        <w:rPr>
          <w:b/>
          <w:spacing w:val="-7"/>
          <w:w w:val="115"/>
          <w:sz w:val="15"/>
        </w:rPr>
        <w:t> </w:t>
      </w:r>
      <w:r>
        <w:rPr>
          <w:b/>
          <w:w w:val="115"/>
          <w:sz w:val="15"/>
        </w:rPr>
        <w:t>Finance</w:t>
      </w:r>
      <w:r>
        <w:rPr>
          <w:b/>
          <w:w w:val="113"/>
          <w:sz w:val="15"/>
        </w:rPr>
        <w:t> </w:t>
      </w:r>
      <w:r>
        <w:rPr>
          <w:b/>
          <w:spacing w:val="5"/>
          <w:w w:val="115"/>
          <w:sz w:val="15"/>
        </w:rPr>
        <w:t>Lease</w:t>
      </w:r>
    </w:p>
    <w:p>
      <w:pPr>
        <w:pStyle w:val="BodyText"/>
        <w:rPr>
          <w:b/>
          <w:sz w:val="16"/>
        </w:rPr>
      </w:pPr>
      <w:r>
        <w:rPr/>
        <w:br w:type="column"/>
      </w:r>
      <w:r>
        <w:rPr>
          <w:b/>
          <w:sz w:val="16"/>
        </w:rPr>
      </w:r>
    </w:p>
    <w:p>
      <w:pPr>
        <w:spacing w:line="295" w:lineRule="auto" w:before="112"/>
        <w:ind w:left="174" w:right="-8" w:firstLine="77"/>
        <w:jc w:val="left"/>
        <w:rPr>
          <w:b/>
          <w:sz w:val="15"/>
        </w:rPr>
      </w:pPr>
      <w:r>
        <w:rPr>
          <w:b/>
          <w:w w:val="115"/>
          <w:sz w:val="15"/>
        </w:rPr>
        <w:t>Plant and </w:t>
      </w:r>
      <w:r>
        <w:rPr>
          <w:b/>
          <w:w w:val="110"/>
          <w:sz w:val="15"/>
        </w:rPr>
        <w:t>Equipm ent</w:t>
      </w:r>
    </w:p>
    <w:p>
      <w:pPr>
        <w:pStyle w:val="BodyText"/>
        <w:rPr>
          <w:b/>
          <w:sz w:val="16"/>
        </w:rPr>
      </w:pPr>
      <w:r>
        <w:rPr/>
        <w:br w:type="column"/>
      </w:r>
      <w:r>
        <w:rPr>
          <w:b/>
          <w:sz w:val="16"/>
        </w:rPr>
      </w:r>
    </w:p>
    <w:p>
      <w:pPr>
        <w:spacing w:line="295" w:lineRule="auto" w:before="112"/>
        <w:ind w:left="73" w:right="0" w:firstLine="185"/>
        <w:jc w:val="left"/>
        <w:rPr>
          <w:b/>
          <w:sz w:val="15"/>
        </w:rPr>
      </w:pPr>
      <w:r>
        <w:rPr>
          <w:b/>
          <w:w w:val="115"/>
          <w:sz w:val="15"/>
        </w:rPr>
        <w:t>Leasehold </w:t>
      </w:r>
      <w:r>
        <w:rPr>
          <w:b/>
          <w:w w:val="110"/>
          <w:sz w:val="15"/>
        </w:rPr>
        <w:t>Improvements</w:t>
      </w:r>
    </w:p>
    <w:p>
      <w:pPr>
        <w:pStyle w:val="BodyText"/>
        <w:rPr>
          <w:b/>
          <w:sz w:val="16"/>
        </w:rPr>
      </w:pPr>
      <w:r>
        <w:rPr/>
        <w:br w:type="column"/>
      </w:r>
      <w:r>
        <w:rPr>
          <w:b/>
          <w:sz w:val="16"/>
        </w:rPr>
      </w:r>
    </w:p>
    <w:p>
      <w:pPr>
        <w:spacing w:before="112"/>
        <w:ind w:left="205" w:right="0" w:firstLine="0"/>
        <w:jc w:val="left"/>
        <w:rPr>
          <w:b/>
          <w:sz w:val="15"/>
        </w:rPr>
      </w:pPr>
      <w:r>
        <w:rPr>
          <w:b/>
          <w:w w:val="115"/>
          <w:sz w:val="15"/>
        </w:rPr>
        <w:t>Library</w:t>
      </w:r>
    </w:p>
    <w:p>
      <w:pPr>
        <w:tabs>
          <w:tab w:pos="2050" w:val="left" w:leader="none"/>
        </w:tabs>
        <w:spacing w:before="40"/>
        <w:ind w:left="82" w:right="0" w:firstLine="0"/>
        <w:jc w:val="left"/>
        <w:rPr>
          <w:b/>
          <w:sz w:val="15"/>
        </w:rPr>
      </w:pPr>
      <w:r>
        <w:rPr/>
        <w:pict>
          <v:line style="position:absolute;mso-position-horizontal-relative:page;mso-position-vertical-relative:paragraph;z-index:2776" from="821.98999pt,11.684252pt" to="822.04999pt,11.684252pt" stroked="true" strokeweight=".06pt" strokecolor="#dadcdd">
            <w10:wrap type="none"/>
          </v:line>
        </w:pict>
      </w:r>
      <w:r>
        <w:rPr>
          <w:b/>
          <w:spacing w:val="2"/>
          <w:w w:val="115"/>
          <w:sz w:val="15"/>
        </w:rPr>
        <w:t>Collection </w:t>
      </w:r>
      <w:r>
        <w:rPr>
          <w:b/>
          <w:spacing w:val="8"/>
          <w:w w:val="115"/>
          <w:sz w:val="15"/>
        </w:rPr>
        <w:t> </w:t>
      </w:r>
      <w:r>
        <w:rPr>
          <w:b/>
          <w:spacing w:val="3"/>
          <w:w w:val="115"/>
          <w:sz w:val="15"/>
        </w:rPr>
        <w:t>Artw</w:t>
      </w:r>
      <w:r>
        <w:rPr>
          <w:b/>
          <w:spacing w:val="-27"/>
          <w:w w:val="115"/>
          <w:sz w:val="15"/>
        </w:rPr>
        <w:t> </w:t>
      </w:r>
      <w:r>
        <w:rPr>
          <w:b/>
          <w:spacing w:val="4"/>
          <w:w w:val="115"/>
          <w:sz w:val="15"/>
        </w:rPr>
        <w:t>ork</w:t>
        <w:tab/>
      </w:r>
      <w:r>
        <w:rPr>
          <w:b/>
          <w:w w:val="115"/>
          <w:sz w:val="15"/>
        </w:rPr>
        <w:t>Total</w:t>
      </w:r>
    </w:p>
    <w:p>
      <w:pPr>
        <w:spacing w:after="0"/>
        <w:jc w:val="left"/>
        <w:rPr>
          <w:sz w:val="15"/>
        </w:rPr>
        <w:sectPr>
          <w:type w:val="continuous"/>
          <w:pgSz w:w="16840" w:h="11910" w:orient="landscape"/>
          <w:pgMar w:top="0" w:bottom="280" w:left="900" w:right="280"/>
          <w:cols w:num="7" w:equalWidth="0">
            <w:col w:w="4704" w:space="40"/>
            <w:col w:w="841" w:space="40"/>
            <w:col w:w="3268" w:space="40"/>
            <w:col w:w="1356" w:space="40"/>
            <w:col w:w="1085" w:space="40"/>
            <w:col w:w="1331" w:space="40"/>
            <w:col w:w="2835"/>
          </w:cols>
        </w:sectPr>
      </w:pPr>
    </w:p>
    <w:p>
      <w:pPr>
        <w:tabs>
          <w:tab w:pos="3914" w:val="left" w:leader="none"/>
          <w:tab w:pos="4983" w:val="left" w:leader="none"/>
          <w:tab w:pos="5960" w:val="left" w:leader="none"/>
          <w:tab w:pos="6983" w:val="left" w:leader="none"/>
          <w:tab w:pos="8130" w:val="left" w:leader="none"/>
          <w:tab w:pos="9479" w:val="left" w:leader="none"/>
          <w:tab w:pos="10734" w:val="left" w:leader="none"/>
          <w:tab w:pos="13107" w:val="left" w:leader="none"/>
          <w:tab w:pos="13990" w:val="left" w:leader="none"/>
          <w:tab w:pos="14858" w:val="left" w:leader="none"/>
        </w:tabs>
        <w:spacing w:line="201" w:lineRule="exact" w:before="0" w:after="19"/>
        <w:ind w:left="550" w:right="0" w:firstLine="0"/>
        <w:jc w:val="left"/>
        <w:rPr>
          <w:b/>
          <w:sz w:val="15"/>
        </w:rPr>
      </w:pPr>
      <w:r>
        <w:rPr/>
        <w:pict>
          <v:line style="position:absolute;mso-position-horizontal-relative:page;mso-position-vertical-relative:page;z-index:-1311304" from="821.98999pt,353.100006pt" to="822.04999pt,353.100006pt" stroked="true" strokeweight=".06pt" strokecolor="#dadcdd">
            <w10:wrap type="none"/>
          </v:line>
        </w:pict>
      </w:r>
      <w:r>
        <w:rPr>
          <w:b/>
          <w:spacing w:val="3"/>
          <w:w w:val="115"/>
          <w:position w:val="3"/>
          <w:sz w:val="15"/>
        </w:rPr>
        <w:t>Consolidated</w:t>
        <w:tab/>
      </w:r>
      <w:r>
        <w:rPr>
          <w:b/>
          <w:w w:val="115"/>
          <w:sz w:val="15"/>
        </w:rPr>
        <w:t>$</w:t>
      </w:r>
      <w:r>
        <w:rPr>
          <w:b/>
          <w:spacing w:val="-6"/>
          <w:w w:val="115"/>
          <w:sz w:val="15"/>
        </w:rPr>
        <w:t> </w:t>
      </w:r>
      <w:r>
        <w:rPr>
          <w:b/>
          <w:w w:val="115"/>
          <w:sz w:val="15"/>
        </w:rPr>
        <w:t>'000</w:t>
        <w:tab/>
        <w:t>$</w:t>
      </w:r>
      <w:r>
        <w:rPr>
          <w:b/>
          <w:spacing w:val="-5"/>
          <w:w w:val="115"/>
          <w:sz w:val="15"/>
        </w:rPr>
        <w:t> </w:t>
      </w:r>
      <w:r>
        <w:rPr>
          <w:b/>
          <w:w w:val="115"/>
          <w:sz w:val="15"/>
        </w:rPr>
        <w:t>'000</w:t>
        <w:tab/>
        <w:t>$</w:t>
      </w:r>
      <w:r>
        <w:rPr>
          <w:b/>
          <w:spacing w:val="-5"/>
          <w:w w:val="115"/>
          <w:sz w:val="15"/>
        </w:rPr>
        <w:t> </w:t>
      </w:r>
      <w:r>
        <w:rPr>
          <w:b/>
          <w:w w:val="115"/>
          <w:sz w:val="15"/>
        </w:rPr>
        <w:t>'000</w:t>
        <w:tab/>
        <w:t>$</w:t>
      </w:r>
      <w:r>
        <w:rPr>
          <w:b/>
          <w:spacing w:val="-6"/>
          <w:w w:val="115"/>
          <w:sz w:val="15"/>
        </w:rPr>
        <w:t> </w:t>
      </w:r>
      <w:r>
        <w:rPr>
          <w:b/>
          <w:w w:val="115"/>
          <w:sz w:val="15"/>
        </w:rPr>
        <w:t>'000</w:t>
        <w:tab/>
        <w:t>$</w:t>
      </w:r>
      <w:r>
        <w:rPr>
          <w:b/>
          <w:spacing w:val="-6"/>
          <w:w w:val="115"/>
          <w:sz w:val="15"/>
        </w:rPr>
        <w:t> </w:t>
      </w:r>
      <w:r>
        <w:rPr>
          <w:b/>
          <w:w w:val="115"/>
          <w:sz w:val="15"/>
        </w:rPr>
        <w:t>'000</w:t>
        <w:tab/>
        <w:t>$</w:t>
      </w:r>
      <w:r>
        <w:rPr>
          <w:b/>
          <w:spacing w:val="-6"/>
          <w:w w:val="115"/>
          <w:sz w:val="15"/>
        </w:rPr>
        <w:t> </w:t>
      </w:r>
      <w:r>
        <w:rPr>
          <w:b/>
          <w:w w:val="115"/>
          <w:sz w:val="15"/>
        </w:rPr>
        <w:t>'000</w:t>
        <w:tab/>
        <w:t>$</w:t>
      </w:r>
      <w:r>
        <w:rPr>
          <w:b/>
          <w:spacing w:val="-6"/>
          <w:w w:val="115"/>
          <w:sz w:val="15"/>
        </w:rPr>
        <w:t> </w:t>
      </w:r>
      <w:r>
        <w:rPr>
          <w:b/>
          <w:w w:val="115"/>
          <w:sz w:val="15"/>
        </w:rPr>
        <w:t>'000</w:t>
        <w:tab/>
        <w:t>$</w:t>
      </w:r>
      <w:r>
        <w:rPr>
          <w:b/>
          <w:spacing w:val="-6"/>
          <w:w w:val="115"/>
          <w:sz w:val="15"/>
        </w:rPr>
        <w:t> </w:t>
      </w:r>
      <w:r>
        <w:rPr>
          <w:b/>
          <w:w w:val="115"/>
          <w:sz w:val="15"/>
        </w:rPr>
        <w:t>'000</w:t>
        <w:tab/>
        <w:t>$</w:t>
      </w:r>
      <w:r>
        <w:rPr>
          <w:b/>
          <w:spacing w:val="-6"/>
          <w:w w:val="115"/>
          <w:sz w:val="15"/>
        </w:rPr>
        <w:t> </w:t>
      </w:r>
      <w:r>
        <w:rPr>
          <w:b/>
          <w:w w:val="115"/>
          <w:sz w:val="15"/>
        </w:rPr>
        <w:t>'000</w:t>
        <w:tab/>
        <w:t>$</w:t>
      </w:r>
      <w:r>
        <w:rPr>
          <w:b/>
          <w:spacing w:val="-9"/>
          <w:w w:val="115"/>
          <w:sz w:val="15"/>
        </w:rPr>
        <w:t> </w:t>
      </w:r>
      <w:r>
        <w:rPr>
          <w:b/>
          <w:w w:val="115"/>
          <w:sz w:val="15"/>
        </w:rPr>
        <w:t>'000</w:t>
      </w:r>
    </w:p>
    <w:p>
      <w:pPr>
        <w:pStyle w:val="BodyText"/>
        <w:spacing w:line="20" w:lineRule="exact"/>
        <w:ind w:left="15538"/>
        <w:rPr>
          <w:sz w:val="2"/>
        </w:rPr>
      </w:pPr>
      <w:r>
        <w:rPr>
          <w:sz w:val="2"/>
        </w:rPr>
        <w:pict>
          <v:group style="width:.2pt;height:.1pt;mso-position-horizontal-relative:char;mso-position-vertical-relative:line" coordorigin="0,0" coordsize="4,2">
            <v:line style="position:absolute" from="1,1" to="2,1" stroked="true" strokeweight=".06pt" strokecolor="#dadcdd"/>
          </v:group>
        </w:pict>
      </w:r>
      <w:r>
        <w:rPr>
          <w:sz w:val="2"/>
        </w:rPr>
      </w:r>
    </w:p>
    <w:p>
      <w:pPr>
        <w:pStyle w:val="BodyText"/>
        <w:spacing w:before="8"/>
        <w:rPr>
          <w:b/>
          <w:sz w:val="15"/>
        </w:rPr>
      </w:pPr>
      <w:r>
        <w:rPr/>
        <w:pict>
          <v:line style="position:absolute;mso-position-horizontal-relative:page;mso-position-vertical-relative:paragraph;z-index:2632;mso-wrap-distance-left:0;mso-wrap-distance-right:0" from="821.98999pt,11.05pt" to="822.04999pt,11.05pt" stroked="true" strokeweight=".06pt" strokecolor="#dadcdd">
            <w10:wrap type="topAndBottom"/>
          </v:line>
        </w:pict>
      </w:r>
    </w:p>
    <w:p>
      <w:pPr>
        <w:spacing w:before="0" w:after="49"/>
        <w:ind w:left="550" w:right="0" w:firstLine="0"/>
        <w:jc w:val="left"/>
        <w:rPr>
          <w:b/>
          <w:sz w:val="15"/>
        </w:rPr>
      </w:pPr>
      <w:r>
        <w:rPr>
          <w:b/>
          <w:w w:val="115"/>
          <w:sz w:val="15"/>
        </w:rPr>
        <w:t>At 1 January 2011</w:t>
      </w:r>
    </w:p>
    <w:p>
      <w:pPr>
        <w:pStyle w:val="BodyText"/>
        <w:spacing w:line="20" w:lineRule="exact"/>
        <w:ind w:left="15538"/>
        <w:rPr>
          <w:sz w:val="2"/>
        </w:rPr>
      </w:pPr>
      <w:r>
        <w:rPr>
          <w:sz w:val="2"/>
        </w:rPr>
        <w:pict>
          <v:group style="width:.2pt;height:.1pt;mso-position-horizontal-relative:char;mso-position-vertical-relative:line" coordorigin="0,0" coordsize="4,2">
            <v:line style="position:absolute" from="1,1" to="2,1" stroked="true" strokeweight=".06pt" strokecolor="#dadcdd"/>
          </v:group>
        </w:pict>
      </w:r>
      <w:r>
        <w:rPr>
          <w:sz w:val="2"/>
        </w:rPr>
      </w:r>
    </w:p>
    <w:p>
      <w:pPr>
        <w:tabs>
          <w:tab w:pos="4146" w:val="left" w:leader="none"/>
          <w:tab w:pos="5355" w:val="left" w:leader="none"/>
          <w:tab w:pos="6363" w:val="left" w:leader="none"/>
          <w:tab w:pos="7403" w:val="left" w:leader="none"/>
          <w:tab w:pos="8642" w:val="left" w:leader="none"/>
          <w:tab w:pos="9929" w:val="left" w:leader="none"/>
          <w:tab w:pos="10798" w:val="left" w:leader="none"/>
          <w:tab w:pos="12349" w:val="left" w:leader="none"/>
          <w:tab w:pos="13217" w:val="left" w:leader="none"/>
          <w:tab w:pos="14302" w:val="left" w:leader="none"/>
          <w:tab w:pos="14844" w:val="left" w:leader="none"/>
        </w:tabs>
        <w:spacing w:before="0" w:after="38"/>
        <w:ind w:left="597" w:right="0" w:firstLine="0"/>
        <w:jc w:val="left"/>
        <w:rPr>
          <w:sz w:val="15"/>
        </w:rPr>
      </w:pPr>
      <w:r>
        <w:rPr/>
        <w:pict>
          <v:line style="position:absolute;mso-position-horizontal-relative:page;mso-position-vertical-relative:paragraph;z-index:-1311424" from="821.98999pt,55.226772pt" to="822.04999pt,55.226772pt" stroked="true" strokeweight=".06pt" strokecolor="#dadcdd">
            <w10:wrap type="none"/>
          </v:line>
        </w:pict>
      </w:r>
      <w:r>
        <w:rPr/>
        <w:pict>
          <v:line style="position:absolute;mso-position-horizontal-relative:page;mso-position-vertical-relative:paragraph;z-index:-1311400" from="821.98999pt,67.226776pt" to="822.04999pt,67.226776pt" stroked="true" strokeweight=".06pt" strokecolor="#dadcdd">
            <w10:wrap type="none"/>
          </v:line>
        </w:pict>
      </w:r>
      <w:r>
        <w:rPr/>
        <w:pict>
          <v:line style="position:absolute;mso-position-horizontal-relative:page;mso-position-vertical-relative:paragraph;z-index:-1311376" from="821.98999pt,79.226776pt" to="822.04999pt,79.226776pt" stroked="true" strokeweight=".06pt" strokecolor="#dadcdd">
            <w10:wrap type="none"/>
          </v:line>
        </w:pict>
      </w:r>
      <w:r>
        <w:rPr/>
        <w:pict>
          <v:line style="position:absolute;mso-position-horizontal-relative:page;mso-position-vertical-relative:paragraph;z-index:-1311352" from="821.98999pt,91.166771pt" to="822.04999pt,91.166771pt" stroked="true" strokeweight=".06pt" strokecolor="#dadcdd">
            <w10:wrap type="none"/>
          </v:line>
        </w:pict>
      </w:r>
      <w:r>
        <w:rPr/>
        <w:pict>
          <v:line style="position:absolute;mso-position-horizontal-relative:page;mso-position-vertical-relative:paragraph;z-index:-1311328" from="821.98999pt,103.166771pt" to="822.04999pt,103.166771pt" stroked="true" strokeweight=".06pt" strokecolor="#dadcdd">
            <w10:wrap type="none"/>
          </v:line>
        </w:pict>
      </w:r>
      <w:r>
        <w:rPr>
          <w:w w:val="115"/>
          <w:position w:val="3"/>
          <w:sz w:val="15"/>
        </w:rPr>
        <w:t>-</w:t>
      </w:r>
      <w:r>
        <w:rPr>
          <w:spacing w:val="6"/>
          <w:w w:val="115"/>
          <w:position w:val="3"/>
          <w:sz w:val="15"/>
        </w:rPr>
        <w:t> </w:t>
      </w:r>
      <w:r>
        <w:rPr>
          <w:spacing w:val="-4"/>
          <w:w w:val="115"/>
          <w:position w:val="3"/>
          <w:sz w:val="15"/>
        </w:rPr>
        <w:t>Cost</w:t>
        <w:tab/>
      </w:r>
      <w:r>
        <w:rPr>
          <w:w w:val="115"/>
          <w:sz w:val="15"/>
        </w:rPr>
        <w:t>86,396</w:t>
        <w:tab/>
        <w:t>-</w:t>
        <w:tab/>
        <w:t>-</w:t>
        <w:tab/>
        <w:t>-</w:t>
        <w:tab/>
        <w:t>-</w:t>
        <w:tab/>
        <w:t>4,594</w:t>
        <w:tab/>
        <w:t>106,105</w:t>
        <w:tab/>
        <w:t>4,366</w:t>
        <w:tab/>
        <w:t>77,801</w:t>
        <w:tab/>
        <w:t>-</w:t>
        <w:tab/>
        <w:t>279,262</w:t>
      </w:r>
    </w:p>
    <w:tbl>
      <w:tblPr>
        <w:tblW w:w="0" w:type="auto"/>
        <w:jc w:val="left"/>
        <w:tblInd w:w="5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26"/>
        <w:gridCol w:w="1306"/>
        <w:gridCol w:w="979"/>
        <w:gridCol w:w="2210"/>
        <w:gridCol w:w="1394"/>
        <w:gridCol w:w="1189"/>
        <w:gridCol w:w="1277"/>
        <w:gridCol w:w="1116"/>
        <w:gridCol w:w="938"/>
        <w:gridCol w:w="697"/>
        <w:gridCol w:w="893"/>
      </w:tblGrid>
      <w:tr>
        <w:trPr>
          <w:trHeight w:val="476" w:hRule="exact"/>
        </w:trPr>
        <w:tc>
          <w:tcPr>
            <w:tcW w:w="15025" w:type="dxa"/>
            <w:gridSpan w:val="11"/>
          </w:tcPr>
          <w:p>
            <w:pPr>
              <w:pStyle w:val="TableParagraph"/>
              <w:tabs>
                <w:tab w:pos="3893" w:val="left" w:leader="none"/>
                <w:tab w:pos="4483" w:val="left" w:leader="none"/>
                <w:tab w:pos="5491" w:val="left" w:leader="none"/>
                <w:tab w:pos="6531" w:val="left" w:leader="none"/>
                <w:tab w:pos="7864" w:val="left" w:leader="none"/>
                <w:tab w:pos="9585" w:val="left" w:leader="none"/>
                <w:tab w:pos="10638" w:val="left" w:leader="none"/>
                <w:tab w:pos="12002" w:val="left" w:leader="none"/>
                <w:tab w:pos="12933" w:val="left" w:leader="none"/>
                <w:tab w:pos="13614" w:val="left" w:leader="none"/>
              </w:tabs>
              <w:ind w:left="81"/>
              <w:rPr>
                <w:sz w:val="15"/>
              </w:rPr>
            </w:pPr>
            <w:r>
              <w:rPr>
                <w:w w:val="115"/>
                <w:position w:val="3"/>
                <w:sz w:val="15"/>
              </w:rPr>
              <w:t>-</w:t>
            </w:r>
            <w:r>
              <w:rPr>
                <w:spacing w:val="-6"/>
                <w:w w:val="115"/>
                <w:position w:val="3"/>
                <w:sz w:val="15"/>
              </w:rPr>
              <w:t> </w:t>
            </w:r>
            <w:r>
              <w:rPr>
                <w:w w:val="115"/>
                <w:position w:val="3"/>
                <w:sz w:val="15"/>
              </w:rPr>
              <w:t>Valuation</w:t>
              <w:tab/>
            </w:r>
            <w:r>
              <w:rPr>
                <w:w w:val="115"/>
                <w:sz w:val="15"/>
              </w:rPr>
              <w:t>-</w:t>
              <w:tab/>
              <w:t>241,400</w:t>
              <w:tab/>
              <w:t>163,120</w:t>
              <w:tab/>
              <w:t>651,171</w:t>
              <w:tab/>
            </w:r>
            <w:r>
              <w:rPr>
                <w:spacing w:val="-3"/>
                <w:w w:val="115"/>
                <w:sz w:val="15"/>
              </w:rPr>
              <w:t>52,177</w:t>
              <w:tab/>
            </w:r>
            <w:r>
              <w:rPr>
                <w:w w:val="115"/>
                <w:sz w:val="15"/>
              </w:rPr>
              <w:t>-</w:t>
              <w:tab/>
              <w:t>-</w:t>
              <w:tab/>
              <w:t>-</w:t>
              <w:tab/>
              <w:t>476</w:t>
              <w:tab/>
              <w:t>2,903 </w:t>
            </w:r>
            <w:r>
              <w:rPr>
                <w:spacing w:val="19"/>
                <w:w w:val="115"/>
                <w:sz w:val="15"/>
              </w:rPr>
              <w:t> </w:t>
            </w:r>
            <w:r>
              <w:rPr>
                <w:w w:val="115"/>
                <w:sz w:val="15"/>
              </w:rPr>
              <w:t>1,111,247</w:t>
            </w:r>
          </w:p>
          <w:p>
            <w:pPr>
              <w:pStyle w:val="TableParagraph"/>
              <w:tabs>
                <w:tab w:pos="3894" w:val="left" w:leader="none"/>
                <w:tab w:pos="4840" w:val="left" w:leader="none"/>
                <w:tab w:pos="5848" w:val="left" w:leader="none"/>
                <w:tab w:pos="6887" w:val="left" w:leader="none"/>
                <w:tab w:pos="8127" w:val="left" w:leader="none"/>
                <w:tab w:pos="9336" w:val="left" w:leader="none"/>
                <w:tab w:pos="10298" w:val="left" w:leader="none"/>
                <w:tab w:pos="11755" w:val="left" w:leader="none"/>
                <w:tab w:pos="12625" w:val="left" w:leader="none"/>
                <w:tab w:pos="13787" w:val="left" w:leader="none"/>
                <w:tab w:pos="14250" w:val="left" w:leader="none"/>
              </w:tabs>
              <w:spacing w:before="37"/>
              <w:ind w:left="35"/>
              <w:rPr>
                <w:sz w:val="15"/>
              </w:rPr>
            </w:pPr>
            <w:r>
              <w:rPr>
                <w:w w:val="115"/>
                <w:position w:val="3"/>
                <w:sz w:val="15"/>
              </w:rPr>
              <w:t>Accumulated</w:t>
            </w:r>
            <w:r>
              <w:rPr>
                <w:spacing w:val="-13"/>
                <w:w w:val="115"/>
                <w:position w:val="3"/>
                <w:sz w:val="15"/>
              </w:rPr>
              <w:t> </w:t>
            </w:r>
            <w:r>
              <w:rPr>
                <w:spacing w:val="-3"/>
                <w:w w:val="115"/>
                <w:position w:val="3"/>
                <w:sz w:val="15"/>
              </w:rPr>
              <w:t>Depreciation</w:t>
              <w:tab/>
            </w:r>
            <w:r>
              <w:rPr>
                <w:w w:val="115"/>
                <w:sz w:val="15"/>
              </w:rPr>
              <w:t>-</w:t>
              <w:tab/>
              <w:t>-</w:t>
              <w:tab/>
              <w:t>-</w:t>
              <w:tab/>
              <w:t>-</w:t>
              <w:tab/>
              <w:t>-</w:t>
              <w:tab/>
              <w:t>(4,594)</w:t>
              <w:tab/>
              <w:t>(55,739)</w:t>
              <w:tab/>
              <w:t>(2,538)</w:t>
              <w:tab/>
              <w:t>(66,868)</w:t>
              <w:tab/>
              <w:t>-</w:t>
              <w:tab/>
              <w:t>(129,739)</w:t>
            </w:r>
          </w:p>
        </w:tc>
      </w:tr>
      <w:tr>
        <w:trPr>
          <w:trHeight w:val="240" w:hRule="exact"/>
        </w:trPr>
        <w:tc>
          <w:tcPr>
            <w:tcW w:w="3026" w:type="dxa"/>
          </w:tcPr>
          <w:p>
            <w:pPr>
              <w:pStyle w:val="TableParagraph"/>
              <w:spacing w:before="6"/>
              <w:ind w:left="35"/>
              <w:rPr>
                <w:sz w:val="15"/>
              </w:rPr>
            </w:pPr>
            <w:r>
              <w:rPr>
                <w:w w:val="115"/>
                <w:sz w:val="15"/>
              </w:rPr>
              <w:t>Net Book Amount</w:t>
            </w:r>
          </w:p>
        </w:tc>
        <w:tc>
          <w:tcPr>
            <w:tcW w:w="1306" w:type="dxa"/>
            <w:tcBorders>
              <w:top w:val="single" w:sz="6" w:space="0" w:color="000000"/>
              <w:bottom w:val="single" w:sz="6" w:space="0" w:color="000000"/>
            </w:tcBorders>
          </w:tcPr>
          <w:p>
            <w:pPr>
              <w:pStyle w:val="TableParagraph"/>
              <w:spacing w:before="26"/>
              <w:ind w:left="577" w:right="159"/>
              <w:jc w:val="center"/>
              <w:rPr>
                <w:sz w:val="15"/>
              </w:rPr>
            </w:pPr>
            <w:r>
              <w:rPr>
                <w:w w:val="115"/>
                <w:sz w:val="15"/>
              </w:rPr>
              <w:t>86,396</w:t>
            </w:r>
          </w:p>
        </w:tc>
        <w:tc>
          <w:tcPr>
            <w:tcW w:w="979" w:type="dxa"/>
            <w:tcBorders>
              <w:top w:val="single" w:sz="6" w:space="0" w:color="000000"/>
              <w:bottom w:val="single" w:sz="6" w:space="0" w:color="000000"/>
            </w:tcBorders>
          </w:tcPr>
          <w:p>
            <w:pPr>
              <w:pStyle w:val="TableParagraph"/>
              <w:spacing w:before="26"/>
              <w:ind w:left="151"/>
              <w:rPr>
                <w:sz w:val="15"/>
              </w:rPr>
            </w:pPr>
            <w:r>
              <w:rPr>
                <w:w w:val="115"/>
                <w:sz w:val="15"/>
              </w:rPr>
              <w:t>241,400</w:t>
            </w:r>
          </w:p>
        </w:tc>
        <w:tc>
          <w:tcPr>
            <w:tcW w:w="2210" w:type="dxa"/>
            <w:tcBorders>
              <w:top w:val="single" w:sz="6" w:space="0" w:color="000000"/>
              <w:bottom w:val="single" w:sz="6" w:space="0" w:color="000000"/>
            </w:tcBorders>
          </w:tcPr>
          <w:p>
            <w:pPr>
              <w:pStyle w:val="TableParagraph"/>
              <w:tabs>
                <w:tab w:pos="1039" w:val="left" w:leader="none"/>
              </w:tabs>
              <w:spacing w:before="26"/>
              <w:ind w:right="381"/>
              <w:jc w:val="right"/>
              <w:rPr>
                <w:sz w:val="15"/>
              </w:rPr>
            </w:pPr>
            <w:r>
              <w:rPr>
                <w:w w:val="115"/>
                <w:sz w:val="15"/>
              </w:rPr>
              <w:t>163,120</w:t>
              <w:tab/>
            </w:r>
            <w:r>
              <w:rPr>
                <w:spacing w:val="-2"/>
                <w:w w:val="110"/>
                <w:sz w:val="15"/>
              </w:rPr>
              <w:t>651,171</w:t>
            </w:r>
          </w:p>
        </w:tc>
        <w:tc>
          <w:tcPr>
            <w:tcW w:w="1394" w:type="dxa"/>
            <w:tcBorders>
              <w:top w:val="single" w:sz="6" w:space="0" w:color="000000"/>
              <w:bottom w:val="single" w:sz="6" w:space="0" w:color="000000"/>
            </w:tcBorders>
          </w:tcPr>
          <w:p>
            <w:pPr>
              <w:pStyle w:val="TableParagraph"/>
              <w:spacing w:before="26"/>
              <w:ind w:right="538"/>
              <w:jc w:val="right"/>
              <w:rPr>
                <w:sz w:val="15"/>
              </w:rPr>
            </w:pPr>
            <w:r>
              <w:rPr>
                <w:w w:val="110"/>
                <w:sz w:val="15"/>
              </w:rPr>
              <w:t>52,177</w:t>
            </w:r>
          </w:p>
        </w:tc>
        <w:tc>
          <w:tcPr>
            <w:tcW w:w="2466" w:type="dxa"/>
            <w:gridSpan w:val="2"/>
            <w:tcBorders>
              <w:top w:val="single" w:sz="6" w:space="0" w:color="000000"/>
              <w:bottom w:val="single" w:sz="6" w:space="0" w:color="000000"/>
            </w:tcBorders>
          </w:tcPr>
          <w:p>
            <w:pPr>
              <w:pStyle w:val="TableParagraph"/>
              <w:tabs>
                <w:tab w:pos="1458" w:val="left" w:leader="none"/>
              </w:tabs>
              <w:spacing w:before="26"/>
              <w:ind w:left="668"/>
              <w:rPr>
                <w:sz w:val="15"/>
              </w:rPr>
            </w:pPr>
            <w:r>
              <w:rPr>
                <w:w w:val="115"/>
                <w:sz w:val="15"/>
              </w:rPr>
              <w:t>-</w:t>
              <w:tab/>
              <w:t>50,366</w:t>
            </w:r>
          </w:p>
        </w:tc>
        <w:tc>
          <w:tcPr>
            <w:tcW w:w="2055" w:type="dxa"/>
            <w:gridSpan w:val="2"/>
            <w:tcBorders>
              <w:top w:val="single" w:sz="6" w:space="0" w:color="000000"/>
              <w:bottom w:val="single" w:sz="6" w:space="0" w:color="000000"/>
            </w:tcBorders>
          </w:tcPr>
          <w:p>
            <w:pPr>
              <w:pStyle w:val="TableParagraph"/>
              <w:tabs>
                <w:tab w:pos="1321" w:val="left" w:leader="none"/>
              </w:tabs>
              <w:spacing w:before="26"/>
              <w:ind w:left="452"/>
              <w:rPr>
                <w:sz w:val="15"/>
              </w:rPr>
            </w:pPr>
            <w:r>
              <w:rPr>
                <w:w w:val="115"/>
                <w:sz w:val="15"/>
              </w:rPr>
              <w:t>1,828</w:t>
              <w:tab/>
              <w:t>11,409</w:t>
            </w:r>
          </w:p>
        </w:tc>
        <w:tc>
          <w:tcPr>
            <w:tcW w:w="697" w:type="dxa"/>
            <w:tcBorders>
              <w:top w:val="single" w:sz="6" w:space="0" w:color="000000"/>
              <w:bottom w:val="single" w:sz="6" w:space="0" w:color="000000"/>
            </w:tcBorders>
          </w:tcPr>
          <w:p>
            <w:pPr>
              <w:pStyle w:val="TableParagraph"/>
              <w:spacing w:before="26"/>
              <w:ind w:right="92"/>
              <w:jc w:val="right"/>
              <w:rPr>
                <w:sz w:val="15"/>
              </w:rPr>
            </w:pPr>
            <w:r>
              <w:rPr>
                <w:w w:val="110"/>
                <w:sz w:val="15"/>
              </w:rPr>
              <w:t>2,903</w:t>
            </w:r>
          </w:p>
        </w:tc>
        <w:tc>
          <w:tcPr>
            <w:tcW w:w="893" w:type="dxa"/>
            <w:tcBorders>
              <w:top w:val="single" w:sz="6" w:space="0" w:color="000000"/>
              <w:bottom w:val="single" w:sz="6" w:space="0" w:color="000000"/>
            </w:tcBorders>
          </w:tcPr>
          <w:p>
            <w:pPr>
              <w:pStyle w:val="TableParagraph"/>
              <w:spacing w:before="26"/>
              <w:ind w:right="86"/>
              <w:jc w:val="right"/>
              <w:rPr>
                <w:sz w:val="15"/>
              </w:rPr>
            </w:pPr>
            <w:r>
              <w:rPr>
                <w:w w:val="110"/>
                <w:sz w:val="15"/>
              </w:rPr>
              <w:t>1,260,770</w:t>
            </w:r>
          </w:p>
        </w:tc>
      </w:tr>
      <w:tr>
        <w:trPr>
          <w:trHeight w:val="376" w:hRule="exact"/>
        </w:trPr>
        <w:tc>
          <w:tcPr>
            <w:tcW w:w="3026" w:type="dxa"/>
          </w:tcPr>
          <w:p>
            <w:pPr>
              <w:pStyle w:val="TableParagraph"/>
              <w:spacing w:before="4"/>
              <w:rPr>
                <w:sz w:val="14"/>
              </w:rPr>
            </w:pPr>
          </w:p>
          <w:p>
            <w:pPr>
              <w:pStyle w:val="TableParagraph"/>
              <w:spacing w:before="1"/>
              <w:ind w:left="35"/>
              <w:rPr>
                <w:b/>
                <w:sz w:val="15"/>
              </w:rPr>
            </w:pPr>
            <w:r>
              <w:rPr>
                <w:b/>
                <w:w w:val="115"/>
                <w:sz w:val="15"/>
              </w:rPr>
              <w:t>Year Ended 31 Decem ber 2011</w:t>
            </w:r>
          </w:p>
        </w:tc>
        <w:tc>
          <w:tcPr>
            <w:tcW w:w="1306" w:type="dxa"/>
            <w:tcBorders>
              <w:top w:val="single" w:sz="6" w:space="0" w:color="000000"/>
            </w:tcBorders>
          </w:tcPr>
          <w:p>
            <w:pPr/>
          </w:p>
        </w:tc>
        <w:tc>
          <w:tcPr>
            <w:tcW w:w="979" w:type="dxa"/>
            <w:tcBorders>
              <w:top w:val="single" w:sz="6" w:space="0" w:color="000000"/>
            </w:tcBorders>
          </w:tcPr>
          <w:p>
            <w:pPr/>
          </w:p>
        </w:tc>
        <w:tc>
          <w:tcPr>
            <w:tcW w:w="2210" w:type="dxa"/>
            <w:tcBorders>
              <w:top w:val="single" w:sz="6" w:space="0" w:color="000000"/>
            </w:tcBorders>
          </w:tcPr>
          <w:p>
            <w:pPr/>
          </w:p>
        </w:tc>
        <w:tc>
          <w:tcPr>
            <w:tcW w:w="1394" w:type="dxa"/>
            <w:tcBorders>
              <w:top w:val="single" w:sz="6" w:space="0" w:color="000000"/>
            </w:tcBorders>
          </w:tcPr>
          <w:p>
            <w:pPr/>
          </w:p>
        </w:tc>
        <w:tc>
          <w:tcPr>
            <w:tcW w:w="2466" w:type="dxa"/>
            <w:gridSpan w:val="2"/>
            <w:tcBorders>
              <w:top w:val="single" w:sz="6" w:space="0" w:color="000000"/>
            </w:tcBorders>
          </w:tcPr>
          <w:p>
            <w:pPr/>
          </w:p>
        </w:tc>
        <w:tc>
          <w:tcPr>
            <w:tcW w:w="2055" w:type="dxa"/>
            <w:gridSpan w:val="2"/>
            <w:tcBorders>
              <w:top w:val="single" w:sz="6" w:space="0" w:color="000000"/>
            </w:tcBorders>
          </w:tcPr>
          <w:p>
            <w:pPr/>
          </w:p>
        </w:tc>
        <w:tc>
          <w:tcPr>
            <w:tcW w:w="697" w:type="dxa"/>
            <w:tcBorders>
              <w:top w:val="single" w:sz="6" w:space="0" w:color="000000"/>
            </w:tcBorders>
          </w:tcPr>
          <w:p>
            <w:pPr/>
          </w:p>
        </w:tc>
        <w:tc>
          <w:tcPr>
            <w:tcW w:w="893" w:type="dxa"/>
            <w:tcBorders>
              <w:top w:val="single" w:sz="6" w:space="0" w:color="000000"/>
            </w:tcBorders>
          </w:tcPr>
          <w:p>
            <w:pPr>
              <w:pStyle w:val="TableParagraph"/>
              <w:rPr>
                <w:sz w:val="20"/>
              </w:rPr>
            </w:pPr>
          </w:p>
        </w:tc>
      </w:tr>
      <w:tr>
        <w:trPr>
          <w:trHeight w:val="251" w:hRule="exact"/>
        </w:trPr>
        <w:tc>
          <w:tcPr>
            <w:tcW w:w="3026" w:type="dxa"/>
          </w:tcPr>
          <w:p>
            <w:pPr>
              <w:pStyle w:val="TableParagraph"/>
              <w:spacing w:before="25"/>
              <w:ind w:left="35"/>
              <w:rPr>
                <w:sz w:val="15"/>
              </w:rPr>
            </w:pPr>
            <w:r>
              <w:rPr>
                <w:w w:val="115"/>
                <w:sz w:val="15"/>
              </w:rPr>
              <w:t>Opening Net Book Amount</w:t>
            </w:r>
          </w:p>
        </w:tc>
        <w:tc>
          <w:tcPr>
            <w:tcW w:w="1306" w:type="dxa"/>
          </w:tcPr>
          <w:p>
            <w:pPr>
              <w:pStyle w:val="TableParagraph"/>
              <w:spacing w:before="52"/>
              <w:ind w:left="577" w:right="159"/>
              <w:jc w:val="center"/>
              <w:rPr>
                <w:sz w:val="15"/>
              </w:rPr>
            </w:pPr>
            <w:r>
              <w:rPr>
                <w:w w:val="115"/>
                <w:sz w:val="15"/>
              </w:rPr>
              <w:t>86,396</w:t>
            </w:r>
          </w:p>
        </w:tc>
        <w:tc>
          <w:tcPr>
            <w:tcW w:w="979" w:type="dxa"/>
          </w:tcPr>
          <w:p>
            <w:pPr>
              <w:pStyle w:val="TableParagraph"/>
              <w:spacing w:before="52"/>
              <w:ind w:left="151"/>
              <w:rPr>
                <w:sz w:val="15"/>
              </w:rPr>
            </w:pPr>
            <w:r>
              <w:rPr>
                <w:w w:val="115"/>
                <w:sz w:val="15"/>
              </w:rPr>
              <w:t>241,400</w:t>
            </w:r>
          </w:p>
        </w:tc>
        <w:tc>
          <w:tcPr>
            <w:tcW w:w="2210" w:type="dxa"/>
          </w:tcPr>
          <w:p>
            <w:pPr>
              <w:pStyle w:val="TableParagraph"/>
              <w:tabs>
                <w:tab w:pos="1039" w:val="left" w:leader="none"/>
              </w:tabs>
              <w:spacing w:before="52"/>
              <w:ind w:right="381"/>
              <w:jc w:val="right"/>
              <w:rPr>
                <w:sz w:val="15"/>
              </w:rPr>
            </w:pPr>
            <w:r>
              <w:rPr>
                <w:w w:val="115"/>
                <w:sz w:val="15"/>
              </w:rPr>
              <w:t>163,120</w:t>
              <w:tab/>
            </w:r>
            <w:r>
              <w:rPr>
                <w:spacing w:val="-2"/>
                <w:w w:val="110"/>
                <w:sz w:val="15"/>
              </w:rPr>
              <w:t>651,171</w:t>
            </w:r>
          </w:p>
        </w:tc>
        <w:tc>
          <w:tcPr>
            <w:tcW w:w="1394" w:type="dxa"/>
          </w:tcPr>
          <w:p>
            <w:pPr>
              <w:pStyle w:val="TableParagraph"/>
              <w:spacing w:before="52"/>
              <w:ind w:right="538"/>
              <w:jc w:val="right"/>
              <w:rPr>
                <w:sz w:val="15"/>
              </w:rPr>
            </w:pPr>
            <w:r>
              <w:rPr>
                <w:w w:val="110"/>
                <w:sz w:val="15"/>
              </w:rPr>
              <w:t>52,177</w:t>
            </w:r>
          </w:p>
        </w:tc>
        <w:tc>
          <w:tcPr>
            <w:tcW w:w="2466" w:type="dxa"/>
            <w:gridSpan w:val="2"/>
          </w:tcPr>
          <w:p>
            <w:pPr>
              <w:pStyle w:val="TableParagraph"/>
              <w:tabs>
                <w:tab w:pos="1458" w:val="left" w:leader="none"/>
              </w:tabs>
              <w:spacing w:before="52"/>
              <w:ind w:left="668"/>
              <w:rPr>
                <w:sz w:val="15"/>
              </w:rPr>
            </w:pPr>
            <w:r>
              <w:rPr>
                <w:w w:val="115"/>
                <w:sz w:val="15"/>
              </w:rPr>
              <w:t>-</w:t>
              <w:tab/>
              <w:t>50,366</w:t>
            </w:r>
          </w:p>
        </w:tc>
        <w:tc>
          <w:tcPr>
            <w:tcW w:w="2055" w:type="dxa"/>
            <w:gridSpan w:val="2"/>
          </w:tcPr>
          <w:p>
            <w:pPr>
              <w:pStyle w:val="TableParagraph"/>
              <w:tabs>
                <w:tab w:pos="1321" w:val="left" w:leader="none"/>
              </w:tabs>
              <w:spacing w:before="52"/>
              <w:ind w:left="452"/>
              <w:rPr>
                <w:sz w:val="15"/>
              </w:rPr>
            </w:pPr>
            <w:r>
              <w:rPr>
                <w:w w:val="115"/>
                <w:sz w:val="15"/>
              </w:rPr>
              <w:t>1,828</w:t>
              <w:tab/>
              <w:t>11,409</w:t>
            </w:r>
          </w:p>
        </w:tc>
        <w:tc>
          <w:tcPr>
            <w:tcW w:w="697" w:type="dxa"/>
          </w:tcPr>
          <w:p>
            <w:pPr>
              <w:pStyle w:val="TableParagraph"/>
              <w:spacing w:before="52"/>
              <w:ind w:right="92"/>
              <w:jc w:val="right"/>
              <w:rPr>
                <w:sz w:val="15"/>
              </w:rPr>
            </w:pPr>
            <w:r>
              <w:rPr>
                <w:w w:val="110"/>
                <w:sz w:val="15"/>
              </w:rPr>
              <w:t>2,903</w:t>
            </w:r>
          </w:p>
        </w:tc>
        <w:tc>
          <w:tcPr>
            <w:tcW w:w="893" w:type="dxa"/>
          </w:tcPr>
          <w:p>
            <w:pPr>
              <w:pStyle w:val="TableParagraph"/>
              <w:spacing w:before="52"/>
              <w:ind w:right="86"/>
              <w:jc w:val="right"/>
              <w:rPr>
                <w:sz w:val="15"/>
              </w:rPr>
            </w:pPr>
            <w:r>
              <w:rPr>
                <w:w w:val="110"/>
                <w:sz w:val="15"/>
              </w:rPr>
              <w:t>1,260,770</w:t>
            </w:r>
          </w:p>
        </w:tc>
      </w:tr>
      <w:tr>
        <w:trPr>
          <w:trHeight w:val="240" w:hRule="exact"/>
        </w:trPr>
        <w:tc>
          <w:tcPr>
            <w:tcW w:w="3026" w:type="dxa"/>
          </w:tcPr>
          <w:p>
            <w:pPr>
              <w:pStyle w:val="TableParagraph"/>
              <w:spacing w:before="13"/>
              <w:ind w:left="35"/>
              <w:rPr>
                <w:sz w:val="15"/>
              </w:rPr>
            </w:pPr>
            <w:r>
              <w:rPr>
                <w:w w:val="115"/>
                <w:sz w:val="15"/>
              </w:rPr>
              <w:t>Revaluation Surplus</w:t>
            </w:r>
          </w:p>
        </w:tc>
        <w:tc>
          <w:tcPr>
            <w:tcW w:w="1306" w:type="dxa"/>
          </w:tcPr>
          <w:p>
            <w:pPr>
              <w:pStyle w:val="TableParagraph"/>
              <w:spacing w:before="41"/>
              <w:ind w:left="486"/>
              <w:jc w:val="center"/>
              <w:rPr>
                <w:sz w:val="15"/>
              </w:rPr>
            </w:pPr>
            <w:r>
              <w:rPr>
                <w:w w:val="113"/>
                <w:sz w:val="15"/>
              </w:rPr>
              <w:t>-</w:t>
            </w:r>
          </w:p>
        </w:tc>
        <w:tc>
          <w:tcPr>
            <w:tcW w:w="979" w:type="dxa"/>
          </w:tcPr>
          <w:p>
            <w:pPr>
              <w:pStyle w:val="TableParagraph"/>
              <w:spacing w:before="41"/>
              <w:ind w:left="167"/>
              <w:rPr>
                <w:sz w:val="15"/>
              </w:rPr>
            </w:pPr>
            <w:r>
              <w:rPr>
                <w:w w:val="115"/>
                <w:sz w:val="15"/>
              </w:rPr>
              <w:t>(27,405)</w:t>
            </w:r>
          </w:p>
        </w:tc>
        <w:tc>
          <w:tcPr>
            <w:tcW w:w="2210" w:type="dxa"/>
          </w:tcPr>
          <w:p>
            <w:pPr>
              <w:pStyle w:val="TableParagraph"/>
              <w:tabs>
                <w:tab w:pos="790" w:val="left" w:leader="none"/>
              </w:tabs>
              <w:spacing w:before="41"/>
              <w:ind w:right="342"/>
              <w:jc w:val="right"/>
              <w:rPr>
                <w:sz w:val="15"/>
              </w:rPr>
            </w:pPr>
            <w:r>
              <w:rPr>
                <w:w w:val="115"/>
                <w:sz w:val="15"/>
              </w:rPr>
              <w:t>-</w:t>
              <w:tab/>
            </w:r>
            <w:r>
              <w:rPr>
                <w:spacing w:val="-1"/>
                <w:w w:val="110"/>
                <w:sz w:val="15"/>
              </w:rPr>
              <w:t>(1,308)</w:t>
            </w:r>
          </w:p>
        </w:tc>
        <w:tc>
          <w:tcPr>
            <w:tcW w:w="1394" w:type="dxa"/>
          </w:tcPr>
          <w:p>
            <w:pPr>
              <w:pStyle w:val="TableParagraph"/>
              <w:spacing w:before="41"/>
              <w:ind w:right="536"/>
              <w:jc w:val="right"/>
              <w:rPr>
                <w:sz w:val="15"/>
              </w:rPr>
            </w:pPr>
            <w:r>
              <w:rPr>
                <w:w w:val="110"/>
                <w:sz w:val="15"/>
              </w:rPr>
              <w:t>340</w:t>
            </w:r>
          </w:p>
        </w:tc>
        <w:tc>
          <w:tcPr>
            <w:tcW w:w="2466" w:type="dxa"/>
            <w:gridSpan w:val="2"/>
          </w:tcPr>
          <w:p>
            <w:pPr>
              <w:pStyle w:val="TableParagraph"/>
              <w:tabs>
                <w:tab w:pos="1723" w:val="left" w:leader="none"/>
              </w:tabs>
              <w:spacing w:before="41"/>
              <w:ind w:left="670"/>
              <w:rPr>
                <w:sz w:val="15"/>
              </w:rPr>
            </w:pPr>
            <w:r>
              <w:rPr>
                <w:w w:val="115"/>
                <w:sz w:val="15"/>
              </w:rPr>
              <w:t>-</w:t>
              <w:tab/>
              <w:t>-</w:t>
            </w:r>
          </w:p>
        </w:tc>
        <w:tc>
          <w:tcPr>
            <w:tcW w:w="2055" w:type="dxa"/>
            <w:gridSpan w:val="2"/>
          </w:tcPr>
          <w:p>
            <w:pPr>
              <w:pStyle w:val="TableParagraph"/>
              <w:tabs>
                <w:tab w:pos="1567" w:val="left" w:leader="none"/>
              </w:tabs>
              <w:spacing w:before="41"/>
              <w:ind w:left="622"/>
              <w:rPr>
                <w:sz w:val="15"/>
              </w:rPr>
            </w:pPr>
            <w:r>
              <w:rPr>
                <w:w w:val="115"/>
                <w:sz w:val="15"/>
              </w:rPr>
              <w:t>-</w:t>
              <w:tab/>
              <w:t>(22)</w:t>
            </w:r>
          </w:p>
        </w:tc>
        <w:tc>
          <w:tcPr>
            <w:tcW w:w="697" w:type="dxa"/>
          </w:tcPr>
          <w:p>
            <w:pPr>
              <w:pStyle w:val="TableParagraph"/>
              <w:spacing w:before="41"/>
              <w:ind w:right="55"/>
              <w:jc w:val="right"/>
              <w:rPr>
                <w:sz w:val="15"/>
              </w:rPr>
            </w:pPr>
            <w:r>
              <w:rPr>
                <w:w w:val="115"/>
                <w:sz w:val="15"/>
              </w:rPr>
              <w:t>(13)</w:t>
            </w:r>
          </w:p>
        </w:tc>
        <w:tc>
          <w:tcPr>
            <w:tcW w:w="893" w:type="dxa"/>
          </w:tcPr>
          <w:p>
            <w:pPr>
              <w:pStyle w:val="TableParagraph"/>
              <w:spacing w:before="41"/>
              <w:ind w:right="49"/>
              <w:jc w:val="right"/>
              <w:rPr>
                <w:sz w:val="15"/>
              </w:rPr>
            </w:pPr>
            <w:r>
              <w:rPr>
                <w:w w:val="110"/>
                <w:sz w:val="15"/>
              </w:rPr>
              <w:t>(28,408)</w:t>
            </w:r>
          </w:p>
        </w:tc>
      </w:tr>
      <w:tr>
        <w:trPr>
          <w:trHeight w:val="240" w:hRule="exact"/>
        </w:trPr>
        <w:tc>
          <w:tcPr>
            <w:tcW w:w="3026" w:type="dxa"/>
          </w:tcPr>
          <w:p>
            <w:pPr>
              <w:pStyle w:val="TableParagraph"/>
              <w:spacing w:before="13"/>
              <w:ind w:left="35"/>
              <w:rPr>
                <w:sz w:val="15"/>
              </w:rPr>
            </w:pPr>
            <w:r>
              <w:rPr>
                <w:w w:val="115"/>
                <w:sz w:val="15"/>
              </w:rPr>
              <w:t>Additions</w:t>
            </w:r>
          </w:p>
        </w:tc>
        <w:tc>
          <w:tcPr>
            <w:tcW w:w="1306" w:type="dxa"/>
          </w:tcPr>
          <w:p>
            <w:pPr>
              <w:pStyle w:val="TableParagraph"/>
              <w:spacing w:before="41"/>
              <w:ind w:left="577" w:right="160"/>
              <w:jc w:val="center"/>
              <w:rPr>
                <w:sz w:val="15"/>
              </w:rPr>
            </w:pPr>
            <w:r>
              <w:rPr>
                <w:w w:val="115"/>
                <w:sz w:val="15"/>
              </w:rPr>
              <w:t>93,698</w:t>
            </w:r>
          </w:p>
        </w:tc>
        <w:tc>
          <w:tcPr>
            <w:tcW w:w="979" w:type="dxa"/>
          </w:tcPr>
          <w:p>
            <w:pPr>
              <w:pStyle w:val="TableParagraph"/>
              <w:spacing w:before="41"/>
              <w:ind w:left="92"/>
              <w:jc w:val="center"/>
              <w:rPr>
                <w:sz w:val="15"/>
              </w:rPr>
            </w:pPr>
            <w:r>
              <w:rPr>
                <w:w w:val="113"/>
                <w:sz w:val="15"/>
              </w:rPr>
              <w:t>-</w:t>
            </w:r>
          </w:p>
        </w:tc>
        <w:tc>
          <w:tcPr>
            <w:tcW w:w="2210" w:type="dxa"/>
          </w:tcPr>
          <w:p>
            <w:pPr>
              <w:pStyle w:val="TableParagraph"/>
              <w:tabs>
                <w:tab w:pos="1008" w:val="left" w:leader="none"/>
              </w:tabs>
              <w:spacing w:before="41"/>
              <w:ind w:right="383"/>
              <w:jc w:val="right"/>
              <w:rPr>
                <w:sz w:val="15"/>
              </w:rPr>
            </w:pPr>
            <w:r>
              <w:rPr>
                <w:w w:val="115"/>
                <w:sz w:val="15"/>
              </w:rPr>
              <w:t>-</w:t>
              <w:tab/>
            </w:r>
            <w:r>
              <w:rPr>
                <w:spacing w:val="-2"/>
                <w:w w:val="110"/>
                <w:sz w:val="15"/>
              </w:rPr>
              <w:t>394</w:t>
            </w:r>
          </w:p>
        </w:tc>
        <w:tc>
          <w:tcPr>
            <w:tcW w:w="1394" w:type="dxa"/>
          </w:tcPr>
          <w:p>
            <w:pPr>
              <w:pStyle w:val="TableParagraph"/>
              <w:spacing w:before="41"/>
              <w:ind w:right="123"/>
              <w:jc w:val="center"/>
              <w:rPr>
                <w:sz w:val="15"/>
              </w:rPr>
            </w:pPr>
            <w:r>
              <w:rPr>
                <w:w w:val="113"/>
                <w:sz w:val="15"/>
              </w:rPr>
              <w:t>-</w:t>
            </w:r>
          </w:p>
        </w:tc>
        <w:tc>
          <w:tcPr>
            <w:tcW w:w="2466" w:type="dxa"/>
            <w:gridSpan w:val="2"/>
          </w:tcPr>
          <w:p>
            <w:pPr>
              <w:pStyle w:val="TableParagraph"/>
              <w:tabs>
                <w:tab w:pos="1459" w:val="left" w:leader="none"/>
              </w:tabs>
              <w:spacing w:before="41"/>
              <w:ind w:left="669"/>
              <w:rPr>
                <w:sz w:val="15"/>
              </w:rPr>
            </w:pPr>
            <w:r>
              <w:rPr>
                <w:w w:val="115"/>
                <w:sz w:val="15"/>
              </w:rPr>
              <w:t>-</w:t>
              <w:tab/>
              <w:t>16,148</w:t>
            </w:r>
          </w:p>
        </w:tc>
        <w:tc>
          <w:tcPr>
            <w:tcW w:w="2055" w:type="dxa"/>
            <w:gridSpan w:val="2"/>
          </w:tcPr>
          <w:p>
            <w:pPr>
              <w:pStyle w:val="TableParagraph"/>
              <w:tabs>
                <w:tab w:pos="1413" w:val="left" w:leader="none"/>
              </w:tabs>
              <w:spacing w:before="41"/>
              <w:ind w:left="623"/>
              <w:rPr>
                <w:sz w:val="15"/>
              </w:rPr>
            </w:pPr>
            <w:r>
              <w:rPr>
                <w:w w:val="115"/>
                <w:sz w:val="15"/>
              </w:rPr>
              <w:t>-</w:t>
              <w:tab/>
              <w:t>4,162</w:t>
            </w:r>
          </w:p>
        </w:tc>
        <w:tc>
          <w:tcPr>
            <w:tcW w:w="697" w:type="dxa"/>
          </w:tcPr>
          <w:p>
            <w:pPr>
              <w:pStyle w:val="TableParagraph"/>
              <w:spacing w:before="41"/>
              <w:ind w:right="94"/>
              <w:jc w:val="right"/>
              <w:rPr>
                <w:sz w:val="15"/>
              </w:rPr>
            </w:pPr>
            <w:r>
              <w:rPr>
                <w:w w:val="110"/>
                <w:sz w:val="15"/>
              </w:rPr>
              <w:t>132</w:t>
            </w:r>
          </w:p>
        </w:tc>
        <w:tc>
          <w:tcPr>
            <w:tcW w:w="893" w:type="dxa"/>
          </w:tcPr>
          <w:p>
            <w:pPr>
              <w:pStyle w:val="TableParagraph"/>
              <w:spacing w:before="41"/>
              <w:ind w:right="88"/>
              <w:jc w:val="right"/>
              <w:rPr>
                <w:sz w:val="15"/>
              </w:rPr>
            </w:pPr>
            <w:r>
              <w:rPr>
                <w:w w:val="110"/>
                <w:sz w:val="15"/>
              </w:rPr>
              <w:t>114,534</w:t>
            </w:r>
          </w:p>
        </w:tc>
      </w:tr>
      <w:tr>
        <w:trPr>
          <w:trHeight w:val="254" w:hRule="exact"/>
        </w:trPr>
        <w:tc>
          <w:tcPr>
            <w:tcW w:w="3026" w:type="dxa"/>
          </w:tcPr>
          <w:p>
            <w:pPr>
              <w:pStyle w:val="TableParagraph"/>
              <w:spacing w:before="13"/>
              <w:ind w:left="35"/>
              <w:rPr>
                <w:sz w:val="15"/>
              </w:rPr>
            </w:pPr>
            <w:r>
              <w:rPr>
                <w:w w:val="115"/>
                <w:sz w:val="15"/>
              </w:rPr>
              <w:t>Disposals</w:t>
            </w:r>
          </w:p>
        </w:tc>
        <w:tc>
          <w:tcPr>
            <w:tcW w:w="1306" w:type="dxa"/>
          </w:tcPr>
          <w:p>
            <w:pPr>
              <w:pStyle w:val="TableParagraph"/>
              <w:spacing w:before="41"/>
              <w:ind w:left="486"/>
              <w:jc w:val="center"/>
              <w:rPr>
                <w:sz w:val="15"/>
              </w:rPr>
            </w:pPr>
            <w:r>
              <w:rPr>
                <w:w w:val="113"/>
                <w:sz w:val="15"/>
              </w:rPr>
              <w:t>-</w:t>
            </w:r>
          </w:p>
        </w:tc>
        <w:tc>
          <w:tcPr>
            <w:tcW w:w="979" w:type="dxa"/>
          </w:tcPr>
          <w:p>
            <w:pPr>
              <w:pStyle w:val="TableParagraph"/>
              <w:spacing w:before="41"/>
              <w:ind w:left="94"/>
              <w:jc w:val="center"/>
              <w:rPr>
                <w:sz w:val="15"/>
              </w:rPr>
            </w:pPr>
            <w:r>
              <w:rPr>
                <w:w w:val="113"/>
                <w:sz w:val="15"/>
              </w:rPr>
              <w:t>-</w:t>
            </w:r>
          </w:p>
        </w:tc>
        <w:tc>
          <w:tcPr>
            <w:tcW w:w="2210" w:type="dxa"/>
          </w:tcPr>
          <w:p>
            <w:pPr>
              <w:pStyle w:val="TableParagraph"/>
              <w:tabs>
                <w:tab w:pos="791" w:val="left" w:leader="none"/>
              </w:tabs>
              <w:spacing w:before="41"/>
              <w:ind w:right="341"/>
              <w:jc w:val="right"/>
              <w:rPr>
                <w:sz w:val="15"/>
              </w:rPr>
            </w:pPr>
            <w:r>
              <w:rPr>
                <w:w w:val="115"/>
                <w:sz w:val="15"/>
              </w:rPr>
              <w:t>-</w:t>
              <w:tab/>
            </w:r>
            <w:r>
              <w:rPr>
                <w:spacing w:val="-1"/>
                <w:w w:val="110"/>
                <w:sz w:val="15"/>
              </w:rPr>
              <w:t>(2,866)</w:t>
            </w:r>
          </w:p>
        </w:tc>
        <w:tc>
          <w:tcPr>
            <w:tcW w:w="1394" w:type="dxa"/>
          </w:tcPr>
          <w:p>
            <w:pPr>
              <w:pStyle w:val="TableParagraph"/>
              <w:spacing w:before="41"/>
              <w:ind w:right="122"/>
              <w:jc w:val="center"/>
              <w:rPr>
                <w:sz w:val="15"/>
              </w:rPr>
            </w:pPr>
            <w:r>
              <w:rPr>
                <w:w w:val="113"/>
                <w:sz w:val="15"/>
              </w:rPr>
              <w:t>-</w:t>
            </w:r>
          </w:p>
        </w:tc>
        <w:tc>
          <w:tcPr>
            <w:tcW w:w="2466" w:type="dxa"/>
            <w:gridSpan w:val="2"/>
          </w:tcPr>
          <w:p>
            <w:pPr>
              <w:pStyle w:val="TableParagraph"/>
              <w:tabs>
                <w:tab w:pos="1474" w:val="left" w:leader="none"/>
              </w:tabs>
              <w:spacing w:before="41"/>
              <w:ind w:left="669"/>
              <w:rPr>
                <w:sz w:val="15"/>
              </w:rPr>
            </w:pPr>
            <w:r>
              <w:rPr>
                <w:w w:val="115"/>
                <w:sz w:val="15"/>
              </w:rPr>
              <w:t>-</w:t>
              <w:tab/>
              <w:t>(3,812)</w:t>
            </w:r>
          </w:p>
        </w:tc>
        <w:tc>
          <w:tcPr>
            <w:tcW w:w="2055" w:type="dxa"/>
            <w:gridSpan w:val="2"/>
          </w:tcPr>
          <w:p>
            <w:pPr>
              <w:pStyle w:val="TableParagraph"/>
              <w:tabs>
                <w:tab w:pos="1567" w:val="left" w:leader="none"/>
              </w:tabs>
              <w:spacing w:before="41"/>
              <w:ind w:left="622"/>
              <w:rPr>
                <w:sz w:val="15"/>
              </w:rPr>
            </w:pPr>
            <w:r>
              <w:rPr>
                <w:w w:val="115"/>
                <w:sz w:val="15"/>
              </w:rPr>
              <w:t>-</w:t>
              <w:tab/>
              <w:t>(38)</w:t>
            </w:r>
          </w:p>
        </w:tc>
        <w:tc>
          <w:tcPr>
            <w:tcW w:w="697" w:type="dxa"/>
          </w:tcPr>
          <w:p>
            <w:pPr>
              <w:pStyle w:val="TableParagraph"/>
              <w:spacing w:before="41"/>
              <w:ind w:right="55"/>
              <w:jc w:val="right"/>
              <w:rPr>
                <w:sz w:val="15"/>
              </w:rPr>
            </w:pPr>
            <w:r>
              <w:rPr>
                <w:w w:val="115"/>
                <w:sz w:val="15"/>
              </w:rPr>
              <w:t>(15)</w:t>
            </w:r>
          </w:p>
        </w:tc>
        <w:tc>
          <w:tcPr>
            <w:tcW w:w="893" w:type="dxa"/>
          </w:tcPr>
          <w:p>
            <w:pPr>
              <w:pStyle w:val="TableParagraph"/>
              <w:spacing w:before="41"/>
              <w:ind w:right="48"/>
              <w:jc w:val="right"/>
              <w:rPr>
                <w:sz w:val="15"/>
              </w:rPr>
            </w:pPr>
            <w:r>
              <w:rPr>
                <w:w w:val="110"/>
                <w:sz w:val="15"/>
              </w:rPr>
              <w:t>(6,731)</w:t>
            </w:r>
          </w:p>
        </w:tc>
      </w:tr>
      <w:tr>
        <w:trPr>
          <w:trHeight w:val="240" w:hRule="exact"/>
        </w:trPr>
        <w:tc>
          <w:tcPr>
            <w:tcW w:w="5311" w:type="dxa"/>
            <w:gridSpan w:val="3"/>
          </w:tcPr>
          <w:p>
            <w:pPr>
              <w:pStyle w:val="TableParagraph"/>
              <w:tabs>
                <w:tab w:pos="3894" w:val="left" w:leader="none"/>
                <w:tab w:pos="4840" w:val="left" w:leader="none"/>
              </w:tabs>
              <w:ind w:left="34"/>
              <w:rPr>
                <w:sz w:val="15"/>
              </w:rPr>
            </w:pPr>
            <w:r>
              <w:rPr>
                <w:spacing w:val="-3"/>
                <w:w w:val="115"/>
                <w:sz w:val="15"/>
              </w:rPr>
              <w:t>Depreciation</w:t>
            </w:r>
            <w:r>
              <w:rPr>
                <w:spacing w:val="-6"/>
                <w:w w:val="115"/>
                <w:sz w:val="15"/>
              </w:rPr>
              <w:t> </w:t>
            </w:r>
            <w:r>
              <w:rPr>
                <w:spacing w:val="-4"/>
                <w:w w:val="115"/>
                <w:sz w:val="15"/>
              </w:rPr>
              <w:t>Charge</w:t>
              <w:tab/>
            </w:r>
            <w:r>
              <w:rPr>
                <w:w w:val="115"/>
                <w:position w:val="-2"/>
                <w:sz w:val="15"/>
              </w:rPr>
              <w:t>-</w:t>
              <w:tab/>
              <w:t>-</w:t>
            </w:r>
          </w:p>
        </w:tc>
        <w:tc>
          <w:tcPr>
            <w:tcW w:w="2210" w:type="dxa"/>
          </w:tcPr>
          <w:p>
            <w:pPr>
              <w:pStyle w:val="TableParagraph"/>
              <w:tabs>
                <w:tab w:pos="698" w:val="left" w:leader="none"/>
              </w:tabs>
              <w:spacing w:before="27"/>
              <w:ind w:right="341"/>
              <w:jc w:val="right"/>
              <w:rPr>
                <w:sz w:val="15"/>
              </w:rPr>
            </w:pPr>
            <w:r>
              <w:rPr>
                <w:w w:val="115"/>
                <w:sz w:val="15"/>
              </w:rPr>
              <w:t>-</w:t>
              <w:tab/>
            </w:r>
            <w:r>
              <w:rPr>
                <w:spacing w:val="-2"/>
                <w:w w:val="115"/>
                <w:sz w:val="15"/>
              </w:rPr>
              <w:t>(16,722)</w:t>
            </w:r>
          </w:p>
        </w:tc>
        <w:tc>
          <w:tcPr>
            <w:tcW w:w="1394" w:type="dxa"/>
          </w:tcPr>
          <w:p>
            <w:pPr>
              <w:pStyle w:val="TableParagraph"/>
              <w:spacing w:before="27"/>
              <w:ind w:right="495"/>
              <w:jc w:val="right"/>
              <w:rPr>
                <w:sz w:val="15"/>
              </w:rPr>
            </w:pPr>
            <w:r>
              <w:rPr>
                <w:w w:val="115"/>
                <w:sz w:val="15"/>
              </w:rPr>
              <w:t>(1,562)</w:t>
            </w:r>
          </w:p>
        </w:tc>
        <w:tc>
          <w:tcPr>
            <w:tcW w:w="2466" w:type="dxa"/>
            <w:gridSpan w:val="2"/>
          </w:tcPr>
          <w:p>
            <w:pPr>
              <w:pStyle w:val="TableParagraph"/>
              <w:tabs>
                <w:tab w:pos="1474" w:val="left" w:leader="none"/>
              </w:tabs>
              <w:spacing w:before="27"/>
              <w:ind w:left="670"/>
              <w:rPr>
                <w:sz w:val="15"/>
              </w:rPr>
            </w:pPr>
            <w:r>
              <w:rPr>
                <w:w w:val="115"/>
                <w:sz w:val="15"/>
              </w:rPr>
              <w:t>-</w:t>
              <w:tab/>
              <w:t>(9,233)</w:t>
            </w:r>
          </w:p>
        </w:tc>
        <w:tc>
          <w:tcPr>
            <w:tcW w:w="1116" w:type="dxa"/>
          </w:tcPr>
          <w:p>
            <w:pPr>
              <w:pStyle w:val="TableParagraph"/>
              <w:spacing w:before="27"/>
              <w:ind w:right="202"/>
              <w:jc w:val="right"/>
              <w:rPr>
                <w:sz w:val="15"/>
              </w:rPr>
            </w:pPr>
            <w:r>
              <w:rPr>
                <w:w w:val="110"/>
                <w:sz w:val="15"/>
              </w:rPr>
              <w:t>(655)</w:t>
            </w:r>
          </w:p>
        </w:tc>
        <w:tc>
          <w:tcPr>
            <w:tcW w:w="938" w:type="dxa"/>
          </w:tcPr>
          <w:p>
            <w:pPr>
              <w:pStyle w:val="TableParagraph"/>
              <w:spacing w:before="27"/>
              <w:ind w:left="178" w:right="140"/>
              <w:jc w:val="center"/>
              <w:rPr>
                <w:sz w:val="15"/>
              </w:rPr>
            </w:pPr>
            <w:r>
              <w:rPr>
                <w:w w:val="115"/>
                <w:sz w:val="15"/>
              </w:rPr>
              <w:t>(3,643)</w:t>
            </w:r>
          </w:p>
        </w:tc>
        <w:tc>
          <w:tcPr>
            <w:tcW w:w="697" w:type="dxa"/>
          </w:tcPr>
          <w:p>
            <w:pPr>
              <w:pStyle w:val="TableParagraph"/>
              <w:spacing w:before="27"/>
              <w:ind w:left="61"/>
              <w:jc w:val="center"/>
              <w:rPr>
                <w:sz w:val="15"/>
              </w:rPr>
            </w:pPr>
            <w:r>
              <w:rPr>
                <w:w w:val="113"/>
                <w:sz w:val="15"/>
              </w:rPr>
              <w:t>-</w:t>
            </w:r>
          </w:p>
        </w:tc>
        <w:tc>
          <w:tcPr>
            <w:tcW w:w="893" w:type="dxa"/>
          </w:tcPr>
          <w:p>
            <w:pPr>
              <w:pStyle w:val="TableParagraph"/>
              <w:spacing w:before="27"/>
              <w:ind w:right="51"/>
              <w:jc w:val="right"/>
              <w:rPr>
                <w:sz w:val="15"/>
              </w:rPr>
            </w:pPr>
            <w:r>
              <w:rPr>
                <w:w w:val="110"/>
                <w:sz w:val="15"/>
              </w:rPr>
              <w:t>(31,815)</w:t>
            </w:r>
          </w:p>
        </w:tc>
      </w:tr>
      <w:tr>
        <w:trPr>
          <w:trHeight w:val="360" w:hRule="exact"/>
        </w:trPr>
        <w:tc>
          <w:tcPr>
            <w:tcW w:w="5311" w:type="dxa"/>
            <w:gridSpan w:val="3"/>
          </w:tcPr>
          <w:p>
            <w:pPr>
              <w:pStyle w:val="TableParagraph"/>
              <w:tabs>
                <w:tab w:pos="3894" w:val="left" w:leader="none"/>
                <w:tab w:pos="5090" w:val="right" w:leader="none"/>
              </w:tabs>
              <w:spacing w:line="201" w:lineRule="exact"/>
              <w:ind w:left="34"/>
              <w:rPr>
                <w:sz w:val="15"/>
              </w:rPr>
            </w:pPr>
            <w:r>
              <w:rPr>
                <w:spacing w:val="-4"/>
                <w:w w:val="115"/>
                <w:sz w:val="15"/>
              </w:rPr>
              <w:t>Non-Cash</w:t>
            </w:r>
            <w:r>
              <w:rPr>
                <w:spacing w:val="-14"/>
                <w:w w:val="115"/>
                <w:sz w:val="15"/>
              </w:rPr>
              <w:t> </w:t>
            </w:r>
            <w:r>
              <w:rPr>
                <w:w w:val="115"/>
                <w:sz w:val="15"/>
              </w:rPr>
              <w:t>Adjustments</w:t>
              <w:tab/>
            </w:r>
            <w:r>
              <w:rPr>
                <w:w w:val="115"/>
                <w:position w:val="-2"/>
                <w:sz w:val="15"/>
              </w:rPr>
              <w:t>-</w:t>
            </w:r>
            <w:r>
              <w:rPr>
                <w:rFonts w:ascii="Times New Roman"/>
                <w:w w:val="115"/>
                <w:position w:val="-2"/>
                <w:sz w:val="15"/>
              </w:rPr>
              <w:tab/>
            </w:r>
            <w:r>
              <w:rPr>
                <w:w w:val="115"/>
                <w:position w:val="-2"/>
                <w:sz w:val="15"/>
              </w:rPr>
              <w:t>405</w:t>
            </w:r>
          </w:p>
          <w:p>
            <w:pPr>
              <w:pStyle w:val="TableParagraph"/>
              <w:spacing w:line="161" w:lineRule="exact" w:before="37"/>
              <w:ind w:left="34"/>
              <w:rPr>
                <w:sz w:val="15"/>
              </w:rPr>
            </w:pPr>
            <w:r>
              <w:rPr>
                <w:w w:val="115"/>
                <w:sz w:val="15"/>
              </w:rPr>
              <w:t>Transfers to Freehold Buildings and</w:t>
            </w:r>
          </w:p>
        </w:tc>
        <w:tc>
          <w:tcPr>
            <w:tcW w:w="2210" w:type="dxa"/>
          </w:tcPr>
          <w:p>
            <w:pPr>
              <w:pStyle w:val="TableParagraph"/>
              <w:tabs>
                <w:tab w:pos="868" w:val="left" w:leader="none"/>
              </w:tabs>
              <w:spacing w:before="27"/>
              <w:ind w:right="382"/>
              <w:jc w:val="right"/>
              <w:rPr>
                <w:sz w:val="15"/>
              </w:rPr>
            </w:pPr>
            <w:r>
              <w:rPr>
                <w:w w:val="115"/>
                <w:sz w:val="15"/>
              </w:rPr>
              <w:t>-</w:t>
              <w:tab/>
            </w:r>
            <w:r>
              <w:rPr>
                <w:spacing w:val="-2"/>
                <w:w w:val="110"/>
                <w:sz w:val="15"/>
              </w:rPr>
              <w:t>8,156</w:t>
            </w:r>
          </w:p>
        </w:tc>
        <w:tc>
          <w:tcPr>
            <w:tcW w:w="1394" w:type="dxa"/>
          </w:tcPr>
          <w:p>
            <w:pPr>
              <w:pStyle w:val="TableParagraph"/>
              <w:spacing w:before="27"/>
              <w:ind w:right="124"/>
              <w:jc w:val="center"/>
              <w:rPr>
                <w:sz w:val="15"/>
              </w:rPr>
            </w:pPr>
            <w:r>
              <w:rPr>
                <w:w w:val="113"/>
                <w:sz w:val="15"/>
              </w:rPr>
              <w:t>-</w:t>
            </w:r>
          </w:p>
        </w:tc>
        <w:tc>
          <w:tcPr>
            <w:tcW w:w="2466" w:type="dxa"/>
            <w:gridSpan w:val="2"/>
          </w:tcPr>
          <w:p>
            <w:pPr>
              <w:pStyle w:val="TableParagraph"/>
              <w:tabs>
                <w:tab w:pos="1474" w:val="left" w:leader="none"/>
              </w:tabs>
              <w:spacing w:before="27"/>
              <w:ind w:left="669"/>
              <w:rPr>
                <w:sz w:val="15"/>
              </w:rPr>
            </w:pPr>
            <w:r>
              <w:rPr>
                <w:w w:val="115"/>
                <w:sz w:val="15"/>
              </w:rPr>
              <w:t>-</w:t>
              <w:tab/>
              <w:t>(8,156)</w:t>
            </w:r>
          </w:p>
        </w:tc>
        <w:tc>
          <w:tcPr>
            <w:tcW w:w="1116" w:type="dxa"/>
          </w:tcPr>
          <w:p>
            <w:pPr>
              <w:pStyle w:val="TableParagraph"/>
              <w:spacing w:before="27"/>
              <w:ind w:left="185"/>
              <w:jc w:val="center"/>
              <w:rPr>
                <w:sz w:val="15"/>
              </w:rPr>
            </w:pPr>
            <w:r>
              <w:rPr>
                <w:w w:val="113"/>
                <w:sz w:val="15"/>
              </w:rPr>
              <w:t>-</w:t>
            </w:r>
          </w:p>
        </w:tc>
        <w:tc>
          <w:tcPr>
            <w:tcW w:w="938" w:type="dxa"/>
          </w:tcPr>
          <w:p>
            <w:pPr>
              <w:pStyle w:val="TableParagraph"/>
              <w:spacing w:before="27"/>
              <w:ind w:left="52"/>
              <w:jc w:val="center"/>
              <w:rPr>
                <w:sz w:val="15"/>
              </w:rPr>
            </w:pPr>
            <w:r>
              <w:rPr>
                <w:w w:val="113"/>
                <w:sz w:val="15"/>
              </w:rPr>
              <w:t>-</w:t>
            </w:r>
          </w:p>
        </w:tc>
        <w:tc>
          <w:tcPr>
            <w:tcW w:w="697" w:type="dxa"/>
          </w:tcPr>
          <w:p>
            <w:pPr>
              <w:pStyle w:val="TableParagraph"/>
              <w:spacing w:before="27"/>
              <w:ind w:left="58"/>
              <w:jc w:val="center"/>
              <w:rPr>
                <w:sz w:val="15"/>
              </w:rPr>
            </w:pPr>
            <w:r>
              <w:rPr>
                <w:w w:val="113"/>
                <w:sz w:val="15"/>
              </w:rPr>
              <w:t>-</w:t>
            </w:r>
          </w:p>
        </w:tc>
        <w:tc>
          <w:tcPr>
            <w:tcW w:w="893" w:type="dxa"/>
          </w:tcPr>
          <w:p>
            <w:pPr>
              <w:pStyle w:val="TableParagraph"/>
              <w:spacing w:before="27"/>
              <w:ind w:right="89"/>
              <w:jc w:val="right"/>
              <w:rPr>
                <w:sz w:val="15"/>
              </w:rPr>
            </w:pPr>
            <w:r>
              <w:rPr>
                <w:w w:val="110"/>
                <w:sz w:val="15"/>
              </w:rPr>
              <w:t>405</w:t>
            </w:r>
          </w:p>
        </w:tc>
      </w:tr>
      <w:tr>
        <w:trPr>
          <w:trHeight w:val="318" w:hRule="exact"/>
        </w:trPr>
        <w:tc>
          <w:tcPr>
            <w:tcW w:w="5311" w:type="dxa"/>
            <w:gridSpan w:val="3"/>
          </w:tcPr>
          <w:p>
            <w:pPr>
              <w:pStyle w:val="TableParagraph"/>
              <w:tabs>
                <w:tab w:pos="3552" w:val="left" w:leader="none"/>
                <w:tab w:pos="4839" w:val="left" w:leader="none"/>
              </w:tabs>
              <w:spacing w:before="91"/>
              <w:ind w:left="34"/>
              <w:rPr>
                <w:sz w:val="15"/>
              </w:rPr>
            </w:pPr>
            <w:r>
              <w:rPr>
                <w:spacing w:val="-7"/>
                <w:w w:val="115"/>
                <w:sz w:val="15"/>
              </w:rPr>
              <w:t>Plant</w:t>
            </w:r>
            <w:r>
              <w:rPr>
                <w:spacing w:val="-5"/>
                <w:w w:val="115"/>
                <w:sz w:val="15"/>
              </w:rPr>
              <w:t> </w:t>
            </w:r>
            <w:r>
              <w:rPr>
                <w:w w:val="115"/>
                <w:sz w:val="15"/>
              </w:rPr>
              <w:t>&amp;</w:t>
            </w:r>
            <w:r>
              <w:rPr>
                <w:spacing w:val="-10"/>
                <w:w w:val="115"/>
                <w:sz w:val="15"/>
              </w:rPr>
              <w:t> </w:t>
            </w:r>
            <w:r>
              <w:rPr>
                <w:spacing w:val="-7"/>
                <w:w w:val="115"/>
                <w:sz w:val="15"/>
              </w:rPr>
              <w:t>Equipment</w:t>
              <w:tab/>
            </w:r>
            <w:r>
              <w:rPr>
                <w:w w:val="115"/>
                <w:position w:val="-5"/>
                <w:sz w:val="15"/>
              </w:rPr>
              <w:t>(99,438)</w:t>
              <w:tab/>
              <w:t>-</w:t>
            </w:r>
          </w:p>
        </w:tc>
        <w:tc>
          <w:tcPr>
            <w:tcW w:w="2210" w:type="dxa"/>
          </w:tcPr>
          <w:p>
            <w:pPr>
              <w:pStyle w:val="TableParagraph"/>
              <w:spacing w:before="9"/>
              <w:rPr>
                <w:sz w:val="12"/>
              </w:rPr>
            </w:pPr>
          </w:p>
          <w:p>
            <w:pPr>
              <w:pStyle w:val="TableParagraph"/>
              <w:tabs>
                <w:tab w:pos="1576" w:val="left" w:leader="none"/>
              </w:tabs>
              <w:ind w:left="536"/>
              <w:rPr>
                <w:sz w:val="15"/>
              </w:rPr>
            </w:pPr>
            <w:r>
              <w:rPr>
                <w:w w:val="115"/>
                <w:sz w:val="15"/>
              </w:rPr>
              <w:t>-</w:t>
              <w:tab/>
              <w:t>-</w:t>
            </w:r>
          </w:p>
        </w:tc>
        <w:tc>
          <w:tcPr>
            <w:tcW w:w="1394" w:type="dxa"/>
          </w:tcPr>
          <w:p>
            <w:pPr>
              <w:pStyle w:val="TableParagraph"/>
              <w:spacing w:before="9"/>
              <w:rPr>
                <w:sz w:val="12"/>
              </w:rPr>
            </w:pPr>
          </w:p>
          <w:p>
            <w:pPr>
              <w:pStyle w:val="TableParagraph"/>
              <w:ind w:right="124"/>
              <w:jc w:val="center"/>
              <w:rPr>
                <w:sz w:val="15"/>
              </w:rPr>
            </w:pPr>
            <w:r>
              <w:rPr>
                <w:w w:val="113"/>
                <w:sz w:val="15"/>
              </w:rPr>
              <w:t>-</w:t>
            </w:r>
          </w:p>
        </w:tc>
        <w:tc>
          <w:tcPr>
            <w:tcW w:w="2466" w:type="dxa"/>
            <w:gridSpan w:val="2"/>
          </w:tcPr>
          <w:p>
            <w:pPr>
              <w:pStyle w:val="TableParagraph"/>
              <w:spacing w:before="9"/>
              <w:rPr>
                <w:sz w:val="12"/>
              </w:rPr>
            </w:pPr>
          </w:p>
          <w:p>
            <w:pPr>
              <w:pStyle w:val="TableParagraph"/>
              <w:tabs>
                <w:tab w:pos="1723" w:val="left" w:leader="none"/>
              </w:tabs>
              <w:ind w:left="669"/>
              <w:rPr>
                <w:sz w:val="15"/>
              </w:rPr>
            </w:pPr>
            <w:r>
              <w:rPr>
                <w:w w:val="115"/>
                <w:sz w:val="15"/>
              </w:rPr>
              <w:t>-</w:t>
              <w:tab/>
              <w:t>-</w:t>
            </w:r>
          </w:p>
        </w:tc>
        <w:tc>
          <w:tcPr>
            <w:tcW w:w="1116" w:type="dxa"/>
          </w:tcPr>
          <w:p>
            <w:pPr>
              <w:pStyle w:val="TableParagraph"/>
              <w:spacing w:before="9"/>
              <w:rPr>
                <w:sz w:val="12"/>
              </w:rPr>
            </w:pPr>
          </w:p>
          <w:p>
            <w:pPr>
              <w:pStyle w:val="TableParagraph"/>
              <w:ind w:left="184"/>
              <w:jc w:val="center"/>
              <w:rPr>
                <w:sz w:val="15"/>
              </w:rPr>
            </w:pPr>
            <w:r>
              <w:rPr>
                <w:w w:val="113"/>
                <w:sz w:val="15"/>
              </w:rPr>
              <w:t>-</w:t>
            </w:r>
          </w:p>
        </w:tc>
        <w:tc>
          <w:tcPr>
            <w:tcW w:w="938" w:type="dxa"/>
          </w:tcPr>
          <w:p>
            <w:pPr>
              <w:pStyle w:val="TableParagraph"/>
              <w:spacing w:before="9"/>
              <w:rPr>
                <w:sz w:val="12"/>
              </w:rPr>
            </w:pPr>
          </w:p>
          <w:p>
            <w:pPr>
              <w:pStyle w:val="TableParagraph"/>
              <w:ind w:left="52"/>
              <w:jc w:val="center"/>
              <w:rPr>
                <w:sz w:val="15"/>
              </w:rPr>
            </w:pPr>
            <w:r>
              <w:rPr>
                <w:w w:val="113"/>
                <w:sz w:val="15"/>
              </w:rPr>
              <w:t>-</w:t>
            </w:r>
          </w:p>
        </w:tc>
        <w:tc>
          <w:tcPr>
            <w:tcW w:w="697" w:type="dxa"/>
          </w:tcPr>
          <w:p>
            <w:pPr>
              <w:pStyle w:val="TableParagraph"/>
              <w:spacing w:before="9"/>
              <w:rPr>
                <w:sz w:val="12"/>
              </w:rPr>
            </w:pPr>
          </w:p>
          <w:p>
            <w:pPr>
              <w:pStyle w:val="TableParagraph"/>
              <w:ind w:left="58"/>
              <w:jc w:val="center"/>
              <w:rPr>
                <w:sz w:val="15"/>
              </w:rPr>
            </w:pPr>
            <w:r>
              <w:rPr>
                <w:w w:val="113"/>
                <w:sz w:val="15"/>
              </w:rPr>
              <w:t>-</w:t>
            </w:r>
          </w:p>
        </w:tc>
        <w:tc>
          <w:tcPr>
            <w:tcW w:w="893" w:type="dxa"/>
          </w:tcPr>
          <w:p>
            <w:pPr>
              <w:pStyle w:val="TableParagraph"/>
              <w:spacing w:before="9"/>
              <w:rPr>
                <w:sz w:val="12"/>
              </w:rPr>
            </w:pPr>
          </w:p>
          <w:p>
            <w:pPr>
              <w:pStyle w:val="TableParagraph"/>
              <w:ind w:right="50"/>
              <w:jc w:val="right"/>
              <w:rPr>
                <w:sz w:val="15"/>
              </w:rPr>
            </w:pPr>
            <w:r>
              <w:rPr>
                <w:w w:val="110"/>
                <w:sz w:val="15"/>
              </w:rPr>
              <w:t>(99,438)</w:t>
            </w:r>
          </w:p>
        </w:tc>
      </w:tr>
      <w:tr>
        <w:trPr>
          <w:trHeight w:val="246" w:hRule="exact"/>
        </w:trPr>
        <w:tc>
          <w:tcPr>
            <w:tcW w:w="3026" w:type="dxa"/>
          </w:tcPr>
          <w:p>
            <w:pPr>
              <w:pStyle w:val="TableParagraph"/>
              <w:spacing w:before="41"/>
              <w:ind w:left="34"/>
              <w:rPr>
                <w:sz w:val="15"/>
              </w:rPr>
            </w:pPr>
            <w:r>
              <w:rPr>
                <w:w w:val="115"/>
                <w:sz w:val="15"/>
              </w:rPr>
              <w:t>Transfers from Construction in</w:t>
            </w:r>
          </w:p>
        </w:tc>
        <w:tc>
          <w:tcPr>
            <w:tcW w:w="1306" w:type="dxa"/>
          </w:tcPr>
          <w:p>
            <w:pPr/>
          </w:p>
        </w:tc>
        <w:tc>
          <w:tcPr>
            <w:tcW w:w="979" w:type="dxa"/>
          </w:tcPr>
          <w:p>
            <w:pPr/>
          </w:p>
        </w:tc>
        <w:tc>
          <w:tcPr>
            <w:tcW w:w="2210" w:type="dxa"/>
          </w:tcPr>
          <w:p>
            <w:pPr/>
          </w:p>
        </w:tc>
        <w:tc>
          <w:tcPr>
            <w:tcW w:w="1394" w:type="dxa"/>
          </w:tcPr>
          <w:p>
            <w:pPr/>
          </w:p>
        </w:tc>
        <w:tc>
          <w:tcPr>
            <w:tcW w:w="2466" w:type="dxa"/>
            <w:gridSpan w:val="2"/>
          </w:tcPr>
          <w:p>
            <w:pPr/>
          </w:p>
        </w:tc>
        <w:tc>
          <w:tcPr>
            <w:tcW w:w="1116" w:type="dxa"/>
          </w:tcPr>
          <w:p>
            <w:pPr/>
          </w:p>
        </w:tc>
        <w:tc>
          <w:tcPr>
            <w:tcW w:w="938" w:type="dxa"/>
          </w:tcPr>
          <w:p>
            <w:pPr/>
          </w:p>
        </w:tc>
        <w:tc>
          <w:tcPr>
            <w:tcW w:w="697" w:type="dxa"/>
          </w:tcPr>
          <w:p>
            <w:pPr/>
          </w:p>
        </w:tc>
        <w:tc>
          <w:tcPr>
            <w:tcW w:w="893" w:type="dxa"/>
          </w:tcPr>
          <w:p>
            <w:pPr>
              <w:pStyle w:val="TableParagraph"/>
              <w:spacing w:before="4"/>
              <w:rPr>
                <w:sz w:val="21"/>
              </w:rPr>
            </w:pPr>
          </w:p>
        </w:tc>
      </w:tr>
      <w:tr>
        <w:trPr>
          <w:trHeight w:val="227" w:hRule="exact"/>
        </w:trPr>
        <w:tc>
          <w:tcPr>
            <w:tcW w:w="8915" w:type="dxa"/>
            <w:gridSpan w:val="5"/>
          </w:tcPr>
          <w:p>
            <w:pPr>
              <w:pStyle w:val="TableParagraph"/>
              <w:tabs>
                <w:tab w:pos="3893" w:val="left" w:leader="none"/>
                <w:tab w:pos="4840" w:val="left" w:leader="none"/>
                <w:tab w:pos="5847" w:val="left" w:leader="none"/>
                <w:tab w:pos="6623" w:val="left" w:leader="none"/>
                <w:tab w:pos="7956" w:val="left" w:leader="none"/>
              </w:tabs>
              <w:spacing w:before="10"/>
              <w:ind w:left="34"/>
              <w:rPr>
                <w:sz w:val="15"/>
              </w:rPr>
            </w:pPr>
            <w:r>
              <w:rPr>
                <w:w w:val="115"/>
                <w:position w:val="1"/>
                <w:sz w:val="15"/>
              </w:rPr>
              <w:t>Progress</w:t>
              <w:tab/>
            </w:r>
            <w:r>
              <w:rPr>
                <w:w w:val="115"/>
                <w:sz w:val="15"/>
              </w:rPr>
              <w:t>-</w:t>
              <w:tab/>
              <w:t>-</w:t>
              <w:tab/>
              <w:t>-</w:t>
              <w:tab/>
              <w:t>95,531</w:t>
              <w:tab/>
              <w:t>2,055</w:t>
            </w:r>
          </w:p>
        </w:tc>
        <w:tc>
          <w:tcPr>
            <w:tcW w:w="1189" w:type="dxa"/>
          </w:tcPr>
          <w:p>
            <w:pPr>
              <w:pStyle w:val="TableParagraph"/>
              <w:spacing w:before="20"/>
              <w:ind w:left="209"/>
              <w:jc w:val="center"/>
              <w:rPr>
                <w:sz w:val="15"/>
              </w:rPr>
            </w:pPr>
            <w:r>
              <w:rPr>
                <w:w w:val="113"/>
                <w:sz w:val="15"/>
              </w:rPr>
              <w:t>-</w:t>
            </w:r>
          </w:p>
        </w:tc>
        <w:tc>
          <w:tcPr>
            <w:tcW w:w="1277" w:type="dxa"/>
          </w:tcPr>
          <w:p>
            <w:pPr>
              <w:pStyle w:val="TableParagraph"/>
              <w:spacing w:before="21"/>
              <w:ind w:right="490"/>
              <w:jc w:val="right"/>
              <w:rPr>
                <w:sz w:val="15"/>
              </w:rPr>
            </w:pPr>
            <w:r>
              <w:rPr>
                <w:w w:val="110"/>
                <w:sz w:val="15"/>
              </w:rPr>
              <w:t>1,292</w:t>
            </w:r>
          </w:p>
        </w:tc>
        <w:tc>
          <w:tcPr>
            <w:tcW w:w="1116" w:type="dxa"/>
          </w:tcPr>
          <w:p>
            <w:pPr>
              <w:pStyle w:val="TableParagraph"/>
              <w:spacing w:before="21"/>
              <w:ind w:right="241"/>
              <w:jc w:val="right"/>
              <w:rPr>
                <w:sz w:val="15"/>
              </w:rPr>
            </w:pPr>
            <w:r>
              <w:rPr>
                <w:w w:val="110"/>
                <w:sz w:val="15"/>
              </w:rPr>
              <w:t>560</w:t>
            </w:r>
          </w:p>
        </w:tc>
        <w:tc>
          <w:tcPr>
            <w:tcW w:w="938" w:type="dxa"/>
          </w:tcPr>
          <w:p>
            <w:pPr>
              <w:pStyle w:val="TableParagraph"/>
              <w:spacing w:before="21"/>
              <w:ind w:left="56"/>
              <w:jc w:val="center"/>
              <w:rPr>
                <w:sz w:val="15"/>
              </w:rPr>
            </w:pPr>
            <w:r>
              <w:rPr>
                <w:w w:val="113"/>
                <w:sz w:val="15"/>
              </w:rPr>
              <w:t>-</w:t>
            </w:r>
          </w:p>
        </w:tc>
        <w:tc>
          <w:tcPr>
            <w:tcW w:w="697" w:type="dxa"/>
          </w:tcPr>
          <w:p>
            <w:pPr>
              <w:pStyle w:val="TableParagraph"/>
              <w:spacing w:before="21"/>
              <w:ind w:left="58"/>
              <w:jc w:val="center"/>
              <w:rPr>
                <w:sz w:val="15"/>
              </w:rPr>
            </w:pPr>
            <w:r>
              <w:rPr>
                <w:w w:val="113"/>
                <w:sz w:val="15"/>
              </w:rPr>
              <w:t>-</w:t>
            </w:r>
          </w:p>
        </w:tc>
        <w:tc>
          <w:tcPr>
            <w:tcW w:w="893" w:type="dxa"/>
          </w:tcPr>
          <w:p>
            <w:pPr>
              <w:pStyle w:val="TableParagraph"/>
              <w:spacing w:before="21"/>
              <w:ind w:right="89"/>
              <w:jc w:val="right"/>
              <w:rPr>
                <w:sz w:val="15"/>
              </w:rPr>
            </w:pPr>
            <w:r>
              <w:rPr>
                <w:w w:val="110"/>
                <w:sz w:val="15"/>
              </w:rPr>
              <w:t>99,438</w:t>
            </w:r>
          </w:p>
        </w:tc>
      </w:tr>
      <w:tr>
        <w:trPr>
          <w:trHeight w:val="240" w:hRule="exact"/>
        </w:trPr>
        <w:tc>
          <w:tcPr>
            <w:tcW w:w="8915" w:type="dxa"/>
            <w:gridSpan w:val="5"/>
          </w:tcPr>
          <w:p>
            <w:pPr>
              <w:pStyle w:val="TableParagraph"/>
              <w:tabs>
                <w:tab w:pos="3630" w:val="left" w:leader="none"/>
                <w:tab w:pos="4483" w:val="left" w:leader="none"/>
                <w:tab w:pos="5491" w:val="left" w:leader="none"/>
                <w:tab w:pos="6531" w:val="left" w:leader="none"/>
                <w:tab w:pos="7864" w:val="left" w:leader="none"/>
              </w:tabs>
              <w:spacing w:before="3"/>
              <w:ind w:left="34"/>
              <w:rPr>
                <w:sz w:val="15"/>
              </w:rPr>
            </w:pPr>
            <w:r>
              <w:rPr>
                <w:spacing w:val="-4"/>
                <w:w w:val="115"/>
                <w:position w:val="3"/>
                <w:sz w:val="15"/>
              </w:rPr>
              <w:t>Closing </w:t>
            </w:r>
            <w:r>
              <w:rPr>
                <w:spacing w:val="-6"/>
                <w:w w:val="115"/>
                <w:position w:val="3"/>
                <w:sz w:val="15"/>
              </w:rPr>
              <w:t>Net</w:t>
            </w:r>
            <w:r>
              <w:rPr>
                <w:spacing w:val="-10"/>
                <w:w w:val="115"/>
                <w:position w:val="3"/>
                <w:sz w:val="15"/>
              </w:rPr>
              <w:t> </w:t>
            </w:r>
            <w:r>
              <w:rPr>
                <w:spacing w:val="-3"/>
                <w:w w:val="115"/>
                <w:position w:val="3"/>
                <w:sz w:val="15"/>
              </w:rPr>
              <w:t>Book</w:t>
            </w:r>
            <w:r>
              <w:rPr>
                <w:spacing w:val="-14"/>
                <w:w w:val="115"/>
                <w:position w:val="3"/>
                <w:sz w:val="15"/>
              </w:rPr>
              <w:t> </w:t>
            </w:r>
            <w:r>
              <w:rPr>
                <w:spacing w:val="-3"/>
                <w:w w:val="115"/>
                <w:position w:val="3"/>
                <w:sz w:val="15"/>
              </w:rPr>
              <w:t>Amount</w:t>
              <w:tab/>
            </w:r>
            <w:r>
              <w:rPr>
                <w:w w:val="115"/>
                <w:sz w:val="15"/>
              </w:rPr>
              <w:t>80,656</w:t>
              <w:tab/>
              <w:t>214,400</w:t>
              <w:tab/>
              <w:t>163,120</w:t>
              <w:tab/>
              <w:t>734,356</w:t>
              <w:tab/>
            </w:r>
            <w:r>
              <w:rPr>
                <w:spacing w:val="-3"/>
                <w:w w:val="115"/>
                <w:sz w:val="15"/>
              </w:rPr>
              <w:t>53,010</w:t>
            </w:r>
          </w:p>
        </w:tc>
        <w:tc>
          <w:tcPr>
            <w:tcW w:w="1189" w:type="dxa"/>
          </w:tcPr>
          <w:p>
            <w:pPr>
              <w:pStyle w:val="TableParagraph"/>
              <w:spacing w:before="33"/>
              <w:ind w:left="204"/>
              <w:jc w:val="center"/>
              <w:rPr>
                <w:sz w:val="15"/>
              </w:rPr>
            </w:pPr>
            <w:r>
              <w:rPr>
                <w:w w:val="113"/>
                <w:sz w:val="15"/>
              </w:rPr>
              <w:t>-</w:t>
            </w:r>
          </w:p>
        </w:tc>
        <w:tc>
          <w:tcPr>
            <w:tcW w:w="1277" w:type="dxa"/>
          </w:tcPr>
          <w:p>
            <w:pPr>
              <w:pStyle w:val="TableParagraph"/>
              <w:spacing w:before="33"/>
              <w:ind w:right="490"/>
              <w:jc w:val="right"/>
              <w:rPr>
                <w:sz w:val="15"/>
              </w:rPr>
            </w:pPr>
            <w:r>
              <w:rPr>
                <w:w w:val="110"/>
                <w:sz w:val="15"/>
              </w:rPr>
              <w:t>46,605</w:t>
            </w:r>
          </w:p>
        </w:tc>
        <w:tc>
          <w:tcPr>
            <w:tcW w:w="1116" w:type="dxa"/>
          </w:tcPr>
          <w:p>
            <w:pPr>
              <w:pStyle w:val="TableParagraph"/>
              <w:spacing w:before="33"/>
              <w:ind w:right="242"/>
              <w:jc w:val="right"/>
              <w:rPr>
                <w:sz w:val="15"/>
              </w:rPr>
            </w:pPr>
            <w:r>
              <w:rPr>
                <w:w w:val="110"/>
                <w:sz w:val="15"/>
              </w:rPr>
              <w:t>1,733</w:t>
            </w:r>
          </w:p>
        </w:tc>
        <w:tc>
          <w:tcPr>
            <w:tcW w:w="938" w:type="dxa"/>
          </w:tcPr>
          <w:p>
            <w:pPr>
              <w:pStyle w:val="TableParagraph"/>
              <w:spacing w:before="33"/>
              <w:ind w:left="142" w:right="156"/>
              <w:jc w:val="center"/>
              <w:rPr>
                <w:sz w:val="15"/>
              </w:rPr>
            </w:pPr>
            <w:r>
              <w:rPr>
                <w:w w:val="115"/>
                <w:sz w:val="15"/>
              </w:rPr>
              <w:t>11,868</w:t>
            </w:r>
          </w:p>
        </w:tc>
        <w:tc>
          <w:tcPr>
            <w:tcW w:w="697" w:type="dxa"/>
          </w:tcPr>
          <w:p>
            <w:pPr>
              <w:pStyle w:val="TableParagraph"/>
              <w:spacing w:before="33"/>
              <w:ind w:right="93"/>
              <w:jc w:val="right"/>
              <w:rPr>
                <w:sz w:val="15"/>
              </w:rPr>
            </w:pPr>
            <w:r>
              <w:rPr>
                <w:w w:val="110"/>
                <w:sz w:val="15"/>
              </w:rPr>
              <w:t>3,007</w:t>
            </w:r>
          </w:p>
        </w:tc>
        <w:tc>
          <w:tcPr>
            <w:tcW w:w="893" w:type="dxa"/>
          </w:tcPr>
          <w:p>
            <w:pPr>
              <w:pStyle w:val="TableParagraph"/>
              <w:spacing w:before="33"/>
              <w:ind w:right="87"/>
              <w:jc w:val="right"/>
              <w:rPr>
                <w:sz w:val="15"/>
              </w:rPr>
            </w:pPr>
            <w:r>
              <w:rPr>
                <w:w w:val="110"/>
                <w:sz w:val="15"/>
              </w:rPr>
              <w:t>1,308,755</w:t>
            </w:r>
          </w:p>
        </w:tc>
      </w:tr>
      <w:tr>
        <w:trPr>
          <w:trHeight w:val="500" w:hRule="exact"/>
        </w:trPr>
        <w:tc>
          <w:tcPr>
            <w:tcW w:w="8915" w:type="dxa"/>
            <w:gridSpan w:val="5"/>
          </w:tcPr>
          <w:p>
            <w:pPr>
              <w:pStyle w:val="TableParagraph"/>
              <w:spacing w:before="123"/>
              <w:ind w:left="34"/>
              <w:rPr>
                <w:b/>
                <w:sz w:val="15"/>
              </w:rPr>
            </w:pPr>
            <w:r>
              <w:rPr>
                <w:b/>
                <w:w w:val="115"/>
                <w:sz w:val="15"/>
              </w:rPr>
              <w:t>At 31 Decem ber 2011</w:t>
            </w:r>
          </w:p>
          <w:p>
            <w:pPr>
              <w:pStyle w:val="TableParagraph"/>
              <w:tabs>
                <w:tab w:pos="3630" w:val="left" w:leader="none"/>
                <w:tab w:pos="4839" w:val="left" w:leader="none"/>
                <w:tab w:pos="5847" w:val="left" w:leader="none"/>
                <w:tab w:pos="6887" w:val="left" w:leader="none"/>
                <w:tab w:pos="8126" w:val="left" w:leader="none"/>
              </w:tabs>
              <w:spacing w:before="34"/>
              <w:ind w:left="34"/>
              <w:rPr>
                <w:sz w:val="15"/>
              </w:rPr>
            </w:pPr>
            <w:r>
              <w:rPr>
                <w:w w:val="115"/>
                <w:sz w:val="15"/>
              </w:rPr>
              <w:t>-</w:t>
            </w:r>
            <w:r>
              <w:rPr>
                <w:spacing w:val="1"/>
                <w:w w:val="115"/>
                <w:sz w:val="15"/>
              </w:rPr>
              <w:t> </w:t>
            </w:r>
            <w:r>
              <w:rPr>
                <w:spacing w:val="-3"/>
                <w:w w:val="115"/>
                <w:sz w:val="15"/>
              </w:rPr>
              <w:t>Cost</w:t>
              <w:tab/>
            </w:r>
            <w:r>
              <w:rPr>
                <w:w w:val="115"/>
                <w:sz w:val="15"/>
              </w:rPr>
              <w:t>80,656</w:t>
              <w:tab/>
              <w:t>-</w:t>
              <w:tab/>
              <w:t>-</w:t>
              <w:tab/>
              <w:t>-</w:t>
              <w:tab/>
              <w:t>-</w:t>
            </w:r>
          </w:p>
        </w:tc>
        <w:tc>
          <w:tcPr>
            <w:tcW w:w="1189" w:type="dxa"/>
          </w:tcPr>
          <w:p>
            <w:pPr>
              <w:pStyle w:val="TableParagraph"/>
              <w:rPr>
                <w:sz w:val="16"/>
              </w:rPr>
            </w:pPr>
          </w:p>
          <w:p>
            <w:pPr>
              <w:pStyle w:val="TableParagraph"/>
              <w:spacing w:before="8"/>
              <w:rPr>
                <w:sz w:val="12"/>
              </w:rPr>
            </w:pPr>
          </w:p>
          <w:p>
            <w:pPr>
              <w:pStyle w:val="TableParagraph"/>
              <w:ind w:left="472" w:right="244"/>
              <w:jc w:val="center"/>
              <w:rPr>
                <w:sz w:val="15"/>
              </w:rPr>
            </w:pPr>
            <w:r>
              <w:rPr>
                <w:w w:val="115"/>
                <w:sz w:val="15"/>
              </w:rPr>
              <w:t>4,594</w:t>
            </w:r>
          </w:p>
        </w:tc>
        <w:tc>
          <w:tcPr>
            <w:tcW w:w="1277" w:type="dxa"/>
          </w:tcPr>
          <w:p>
            <w:pPr>
              <w:pStyle w:val="TableParagraph"/>
              <w:rPr>
                <w:sz w:val="16"/>
              </w:rPr>
            </w:pPr>
          </w:p>
          <w:p>
            <w:pPr>
              <w:pStyle w:val="TableParagraph"/>
              <w:spacing w:before="8"/>
              <w:rPr>
                <w:sz w:val="12"/>
              </w:rPr>
            </w:pPr>
          </w:p>
          <w:p>
            <w:pPr>
              <w:pStyle w:val="TableParagraph"/>
              <w:ind w:right="490"/>
              <w:jc w:val="right"/>
              <w:rPr>
                <w:sz w:val="15"/>
              </w:rPr>
            </w:pPr>
            <w:r>
              <w:rPr>
                <w:w w:val="110"/>
                <w:sz w:val="15"/>
              </w:rPr>
              <w:t>96,885</w:t>
            </w:r>
          </w:p>
        </w:tc>
        <w:tc>
          <w:tcPr>
            <w:tcW w:w="1116" w:type="dxa"/>
          </w:tcPr>
          <w:p>
            <w:pPr>
              <w:pStyle w:val="TableParagraph"/>
              <w:rPr>
                <w:sz w:val="16"/>
              </w:rPr>
            </w:pPr>
          </w:p>
          <w:p>
            <w:pPr>
              <w:pStyle w:val="TableParagraph"/>
              <w:spacing w:before="8"/>
              <w:rPr>
                <w:sz w:val="12"/>
              </w:rPr>
            </w:pPr>
          </w:p>
          <w:p>
            <w:pPr>
              <w:pStyle w:val="TableParagraph"/>
              <w:ind w:right="242"/>
              <w:jc w:val="right"/>
              <w:rPr>
                <w:sz w:val="15"/>
              </w:rPr>
            </w:pPr>
            <w:r>
              <w:rPr>
                <w:w w:val="110"/>
                <w:sz w:val="15"/>
              </w:rPr>
              <w:t>4,684</w:t>
            </w:r>
          </w:p>
        </w:tc>
        <w:tc>
          <w:tcPr>
            <w:tcW w:w="938" w:type="dxa"/>
          </w:tcPr>
          <w:p>
            <w:pPr>
              <w:pStyle w:val="TableParagraph"/>
              <w:rPr>
                <w:sz w:val="16"/>
              </w:rPr>
            </w:pPr>
          </w:p>
          <w:p>
            <w:pPr>
              <w:pStyle w:val="TableParagraph"/>
              <w:spacing w:before="8"/>
              <w:rPr>
                <w:sz w:val="12"/>
              </w:rPr>
            </w:pPr>
          </w:p>
          <w:p>
            <w:pPr>
              <w:pStyle w:val="TableParagraph"/>
              <w:ind w:left="142" w:right="156"/>
              <w:jc w:val="center"/>
              <w:rPr>
                <w:sz w:val="15"/>
              </w:rPr>
            </w:pPr>
            <w:r>
              <w:rPr>
                <w:w w:val="115"/>
                <w:sz w:val="15"/>
              </w:rPr>
              <w:t>81,380</w:t>
            </w:r>
          </w:p>
        </w:tc>
        <w:tc>
          <w:tcPr>
            <w:tcW w:w="697" w:type="dxa"/>
          </w:tcPr>
          <w:p>
            <w:pPr>
              <w:pStyle w:val="TableParagraph"/>
              <w:rPr>
                <w:sz w:val="16"/>
              </w:rPr>
            </w:pPr>
          </w:p>
          <w:p>
            <w:pPr>
              <w:pStyle w:val="TableParagraph"/>
              <w:spacing w:before="8"/>
              <w:rPr>
                <w:sz w:val="12"/>
              </w:rPr>
            </w:pPr>
          </w:p>
          <w:p>
            <w:pPr>
              <w:pStyle w:val="TableParagraph"/>
              <w:ind w:left="61"/>
              <w:jc w:val="center"/>
              <w:rPr>
                <w:sz w:val="15"/>
              </w:rPr>
            </w:pPr>
            <w:r>
              <w:rPr>
                <w:w w:val="113"/>
                <w:sz w:val="15"/>
              </w:rPr>
              <w:t>-</w:t>
            </w:r>
          </w:p>
        </w:tc>
        <w:tc>
          <w:tcPr>
            <w:tcW w:w="893" w:type="dxa"/>
          </w:tcPr>
          <w:p>
            <w:pPr>
              <w:pStyle w:val="TableParagraph"/>
              <w:rPr>
                <w:sz w:val="16"/>
              </w:rPr>
            </w:pPr>
          </w:p>
          <w:p>
            <w:pPr>
              <w:pStyle w:val="TableParagraph"/>
              <w:spacing w:before="8"/>
              <w:rPr>
                <w:sz w:val="12"/>
              </w:rPr>
            </w:pPr>
          </w:p>
          <w:p>
            <w:pPr>
              <w:pStyle w:val="TableParagraph"/>
              <w:ind w:right="88"/>
              <w:jc w:val="right"/>
              <w:rPr>
                <w:sz w:val="15"/>
              </w:rPr>
            </w:pPr>
            <w:r>
              <w:rPr>
                <w:w w:val="110"/>
                <w:sz w:val="15"/>
              </w:rPr>
              <w:t>268,199</w:t>
            </w:r>
          </w:p>
        </w:tc>
      </w:tr>
    </w:tbl>
    <w:p>
      <w:pPr>
        <w:tabs>
          <w:tab w:pos="4409" w:val="left" w:leader="none"/>
          <w:tab w:pos="4999" w:val="left" w:leader="none"/>
          <w:tab w:pos="6007" w:val="left" w:leader="none"/>
          <w:tab w:pos="7047" w:val="left" w:leader="none"/>
          <w:tab w:pos="8380" w:val="left" w:leader="none"/>
          <w:tab w:pos="10101" w:val="left" w:leader="none"/>
          <w:tab w:pos="11154" w:val="left" w:leader="none"/>
          <w:tab w:pos="12518" w:val="left" w:leader="none"/>
          <w:tab w:pos="13449" w:val="left" w:leader="none"/>
          <w:tab w:pos="14130" w:val="left" w:leader="none"/>
        </w:tabs>
        <w:spacing w:before="42"/>
        <w:ind w:left="550" w:right="0" w:firstLine="0"/>
        <w:jc w:val="left"/>
        <w:rPr>
          <w:sz w:val="15"/>
        </w:rPr>
      </w:pPr>
      <w:r>
        <w:rPr/>
        <w:pict>
          <v:group style="position:absolute;margin-left:221.735992pt;margin-top:-37.419025pt;width:600.7pt;height:.8pt;mso-position-horizontal-relative:page;mso-position-vertical-relative:paragraph;z-index:-1311496" coordorigin="4435,-748" coordsize="12014,16">
            <v:line style="position:absolute" from="4442,-747" to="16440,-747" stroked="true" strokeweight=".06pt" strokecolor="#000000"/>
            <v:line style="position:absolute" from="4442,-740" to="16441,-740" stroked="true" strokeweight=".72pt" strokecolor="#000000"/>
            <v:line style="position:absolute" from="16440,-747" to="16441,-747" stroked="true" strokeweight=".06pt" strokecolor="#dadcdd"/>
            <w10:wrap type="none"/>
          </v:group>
        </w:pict>
      </w:r>
      <w:r>
        <w:rPr/>
        <w:pict>
          <v:group style="position:absolute;margin-left:221.735992pt;margin-top:-25.419025pt;width:600.7pt;height:.8pt;mso-position-horizontal-relative:page;mso-position-vertical-relative:paragraph;z-index:-1311472" coordorigin="4435,-508" coordsize="12014,16">
            <v:line style="position:absolute" from="4442,-507" to="16440,-507" stroked="true" strokeweight=".06pt" strokecolor="#000000"/>
            <v:line style="position:absolute" from="4442,-500" to="16441,-500" stroked="true" strokeweight=".72pt" strokecolor="#000000"/>
            <v:line style="position:absolute" from="16440,-507" to="16441,-507" stroked="true" strokeweight=".06pt" strokecolor="#dadcdd"/>
            <w10:wrap type="none"/>
          </v:group>
        </w:pict>
      </w:r>
      <w:r>
        <w:rPr/>
        <w:pict>
          <v:line style="position:absolute;mso-position-horizontal-relative:page;mso-position-vertical-relative:paragraph;z-index:-1311280" from="821.98999pt,-95.269028pt" to="822.04999pt,-95.269028pt" stroked="true" strokeweight=".06pt" strokecolor="#dadcdd">
            <w10:wrap type="none"/>
          </v:line>
        </w:pict>
      </w:r>
      <w:r>
        <w:rPr/>
        <w:pict>
          <v:line style="position:absolute;mso-position-horizontal-relative:page;mso-position-vertical-relative:paragraph;z-index:-1311256" from="821.98999pt,-83.269028pt" to="822.04999pt,-83.269028pt" stroked="true" strokeweight=".06pt" strokecolor="#dadcdd">
            <w10:wrap type="none"/>
          </v:line>
        </w:pict>
      </w:r>
      <w:r>
        <w:rPr/>
        <w:pict>
          <v:line style="position:absolute;mso-position-horizontal-relative:page;mso-position-vertical-relative:paragraph;z-index:-1311232" from="821.98999pt,-59.269024pt" to="822.04999pt,-59.269024pt" stroked="true" strokeweight=".06pt" strokecolor="#dadcdd">
            <w10:wrap type="none"/>
          </v:line>
        </w:pict>
      </w:r>
      <w:r>
        <w:rPr>
          <w:w w:val="115"/>
          <w:sz w:val="15"/>
        </w:rPr>
        <w:t>-</w:t>
      </w:r>
      <w:r>
        <w:rPr>
          <w:spacing w:val="-6"/>
          <w:w w:val="115"/>
          <w:sz w:val="15"/>
        </w:rPr>
        <w:t> </w:t>
      </w:r>
      <w:r>
        <w:rPr>
          <w:w w:val="115"/>
          <w:sz w:val="15"/>
        </w:rPr>
        <w:t>Valuation</w:t>
        <w:tab/>
        <w:t>-</w:t>
        <w:tab/>
        <w:t>214,400</w:t>
        <w:tab/>
        <w:t>163,120</w:t>
        <w:tab/>
        <w:t>734,356</w:t>
        <w:tab/>
      </w:r>
      <w:r>
        <w:rPr>
          <w:spacing w:val="-3"/>
          <w:w w:val="115"/>
          <w:sz w:val="15"/>
        </w:rPr>
        <w:t>53,010</w:t>
        <w:tab/>
      </w:r>
      <w:r>
        <w:rPr>
          <w:w w:val="115"/>
          <w:sz w:val="15"/>
        </w:rPr>
        <w:t>-</w:t>
        <w:tab/>
        <w:t>-</w:t>
        <w:tab/>
        <w:t>-</w:t>
        <w:tab/>
        <w:t>619</w:t>
        <w:tab/>
        <w:t>3,007 </w:t>
      </w:r>
      <w:r>
        <w:rPr>
          <w:spacing w:val="19"/>
          <w:w w:val="115"/>
          <w:sz w:val="15"/>
        </w:rPr>
        <w:t> </w:t>
      </w:r>
      <w:r>
        <w:rPr>
          <w:w w:val="115"/>
          <w:sz w:val="15"/>
        </w:rPr>
        <w:t>1,168,512</w:t>
      </w:r>
    </w:p>
    <w:p>
      <w:pPr>
        <w:tabs>
          <w:tab w:pos="4409" w:val="left" w:leader="none"/>
          <w:tab w:pos="5356" w:val="left" w:leader="none"/>
          <w:tab w:pos="6364" w:val="left" w:leader="none"/>
          <w:tab w:pos="7403" w:val="left" w:leader="none"/>
          <w:tab w:pos="8643" w:val="left" w:leader="none"/>
          <w:tab w:pos="9852" w:val="left" w:leader="none"/>
          <w:tab w:pos="10814" w:val="left" w:leader="none"/>
          <w:tab w:pos="12271" w:val="left" w:leader="none"/>
          <w:tab w:pos="13141" w:val="left" w:leader="none"/>
          <w:tab w:pos="14304" w:val="left" w:leader="none"/>
          <w:tab w:pos="14766" w:val="left" w:leader="none"/>
        </w:tabs>
        <w:spacing w:before="38"/>
        <w:ind w:left="551" w:right="0" w:firstLine="0"/>
        <w:jc w:val="left"/>
        <w:rPr>
          <w:sz w:val="15"/>
        </w:rPr>
      </w:pPr>
      <w:r>
        <w:rPr/>
        <w:pict>
          <v:group style="position:absolute;margin-left:221.735992pt;margin-top:11.764655pt;width:600.7pt;height:.85pt;mso-position-horizontal-relative:page;mso-position-vertical-relative:paragraph;z-index:2680;mso-wrap-distance-left:0;mso-wrap-distance-right:0" coordorigin="4435,235" coordsize="12014,17">
            <v:line style="position:absolute" from="4442,236" to="16440,236" stroked="true" strokeweight=".06pt" strokecolor="#000000"/>
            <v:line style="position:absolute" from="4442,245" to="16441,245" stroked="true" strokeweight=".72pt" strokecolor="#000000"/>
            <v:line style="position:absolute" from="16440,236" to="16441,236" stroked="true" strokeweight=".06pt" strokecolor="#dadcdd"/>
            <w10:wrap type="topAndBottom"/>
          </v:group>
        </w:pict>
      </w:r>
      <w:r>
        <w:rPr>
          <w:w w:val="115"/>
          <w:sz w:val="15"/>
        </w:rPr>
        <w:t>Accumulated</w:t>
      </w:r>
      <w:r>
        <w:rPr>
          <w:spacing w:val="-22"/>
          <w:w w:val="115"/>
          <w:sz w:val="15"/>
        </w:rPr>
        <w:t> </w:t>
      </w:r>
      <w:r>
        <w:rPr>
          <w:w w:val="115"/>
          <w:sz w:val="15"/>
        </w:rPr>
        <w:t>depreciation</w:t>
        <w:tab/>
        <w:t>-</w:t>
        <w:tab/>
        <w:t>-</w:t>
        <w:tab/>
        <w:t>-</w:t>
        <w:tab/>
        <w:t>-</w:t>
        <w:tab/>
        <w:t>-</w:t>
        <w:tab/>
        <w:t>(4,594)</w:t>
        <w:tab/>
        <w:t>(50,280)</w:t>
        <w:tab/>
        <w:t>(2,951)</w:t>
        <w:tab/>
        <w:t>(70,131)</w:t>
        <w:tab/>
        <w:t>-</w:t>
        <w:tab/>
        <w:t>(127,956)</w:t>
      </w:r>
    </w:p>
    <w:p>
      <w:pPr>
        <w:tabs>
          <w:tab w:pos="4147" w:val="left" w:leader="none"/>
          <w:tab w:pos="4998" w:val="left" w:leader="none"/>
          <w:tab w:pos="6006" w:val="left" w:leader="none"/>
          <w:tab w:pos="7044" w:val="left" w:leader="none"/>
          <w:tab w:pos="8378" w:val="left" w:leader="none"/>
          <w:tab w:pos="10099" w:val="left" w:leader="none"/>
          <w:tab w:pos="10890" w:val="left" w:leader="none"/>
          <w:tab w:pos="12349" w:val="left" w:leader="none"/>
          <w:tab w:pos="13217" w:val="left" w:leader="none"/>
          <w:tab w:pos="14132" w:val="left" w:leader="none"/>
        </w:tabs>
        <w:spacing w:before="0" w:after="25"/>
        <w:ind w:left="551" w:right="0" w:firstLine="0"/>
        <w:jc w:val="left"/>
        <w:rPr>
          <w:sz w:val="15"/>
        </w:rPr>
      </w:pPr>
      <w:r>
        <w:rPr>
          <w:spacing w:val="-6"/>
          <w:w w:val="115"/>
          <w:sz w:val="15"/>
        </w:rPr>
        <w:t>Net</w:t>
      </w:r>
      <w:r>
        <w:rPr>
          <w:spacing w:val="-8"/>
          <w:w w:val="115"/>
          <w:sz w:val="15"/>
        </w:rPr>
        <w:t> </w:t>
      </w:r>
      <w:r>
        <w:rPr>
          <w:spacing w:val="-3"/>
          <w:w w:val="115"/>
          <w:sz w:val="15"/>
        </w:rPr>
        <w:t>Book</w:t>
      </w:r>
      <w:r>
        <w:rPr>
          <w:spacing w:val="-13"/>
          <w:w w:val="115"/>
          <w:sz w:val="15"/>
        </w:rPr>
        <w:t> </w:t>
      </w:r>
      <w:r>
        <w:rPr>
          <w:spacing w:val="-3"/>
          <w:w w:val="115"/>
          <w:sz w:val="15"/>
        </w:rPr>
        <w:t>Amount</w:t>
        <w:tab/>
      </w:r>
      <w:r>
        <w:rPr>
          <w:w w:val="115"/>
          <w:sz w:val="15"/>
        </w:rPr>
        <w:t>80,656</w:t>
        <w:tab/>
        <w:t>214,400</w:t>
        <w:tab/>
        <w:t>163,120</w:t>
        <w:tab/>
        <w:t>734,356</w:t>
        <w:tab/>
      </w:r>
      <w:r>
        <w:rPr>
          <w:spacing w:val="-3"/>
          <w:w w:val="115"/>
          <w:sz w:val="15"/>
        </w:rPr>
        <w:t>53,010</w:t>
        <w:tab/>
      </w:r>
      <w:r>
        <w:rPr>
          <w:w w:val="115"/>
          <w:sz w:val="15"/>
        </w:rPr>
        <w:t>-</w:t>
        <w:tab/>
        <w:t>46,605</w:t>
        <w:tab/>
        <w:t>1,733</w:t>
        <w:tab/>
        <w:t>11,868</w:t>
        <w:tab/>
        <w:t>3,007 </w:t>
      </w:r>
      <w:r>
        <w:rPr>
          <w:spacing w:val="19"/>
          <w:w w:val="115"/>
          <w:sz w:val="15"/>
        </w:rPr>
        <w:t> </w:t>
      </w:r>
      <w:r>
        <w:rPr>
          <w:w w:val="115"/>
          <w:sz w:val="15"/>
        </w:rPr>
        <w:t>1,308,755</w:t>
      </w:r>
    </w:p>
    <w:p>
      <w:pPr>
        <w:pStyle w:val="BodyText"/>
        <w:spacing w:line="43" w:lineRule="exact"/>
        <w:ind w:left="3550"/>
        <w:rPr>
          <w:sz w:val="4"/>
        </w:rPr>
      </w:pPr>
      <w:r>
        <w:rPr>
          <w:position w:val="0"/>
          <w:sz w:val="4"/>
        </w:rPr>
        <w:pict>
          <v:group style="width:599.6pt;height:2.2pt;mso-position-horizontal-relative:char;mso-position-vertical-relative:line" coordorigin="0,0" coordsize="11992,44">
            <v:line style="position:absolute" from="6,1" to="11974,1" stroked="true" strokeweight=".06pt" strokecolor="#000000"/>
            <v:line style="position:absolute" from="8,8" to="11975,8" stroked="true" strokeweight=".72pt" strokecolor="#000000"/>
            <v:line style="position:absolute" from="6,29" to="11974,29" stroked="true" strokeweight=".06pt" strokecolor="#000000"/>
            <v:line style="position:absolute" from="8,36" to="11975,36" stroked="true" strokeweight=".66pt" strokecolor="#000000"/>
            <v:line style="position:absolute" from="11989,14" to="11991,14" stroked="true" strokeweight=".06pt" strokecolor="#dadcdd"/>
          </v:group>
        </w:pict>
      </w:r>
      <w:r>
        <w:rPr>
          <w:position w:val="0"/>
          <w:sz w:val="4"/>
        </w:rPr>
      </w:r>
    </w:p>
    <w:p>
      <w:pPr>
        <w:spacing w:after="0" w:line="43" w:lineRule="exact"/>
        <w:rPr>
          <w:sz w:val="4"/>
        </w:rPr>
        <w:sectPr>
          <w:type w:val="continuous"/>
          <w:pgSz w:w="16840" w:h="11910" w:orient="landscape"/>
          <w:pgMar w:top="0" w:bottom="280" w:left="900" w:right="280"/>
        </w:sectPr>
      </w:pPr>
    </w:p>
    <w:p>
      <w:pPr>
        <w:pStyle w:val="BodyText"/>
        <w:rPr>
          <w:sz w:val="20"/>
        </w:rPr>
      </w:pPr>
    </w:p>
    <w:p>
      <w:pPr>
        <w:pStyle w:val="BodyText"/>
        <w:rPr>
          <w:sz w:val="20"/>
        </w:rPr>
      </w:pPr>
    </w:p>
    <w:p>
      <w:pPr>
        <w:pStyle w:val="BodyText"/>
        <w:spacing w:before="4"/>
      </w:pPr>
    </w:p>
    <w:p>
      <w:pPr>
        <w:pStyle w:val="Heading9"/>
        <w:numPr>
          <w:ilvl w:val="0"/>
          <w:numId w:val="15"/>
        </w:numPr>
        <w:tabs>
          <w:tab w:pos="489" w:val="left" w:leader="none"/>
        </w:tabs>
        <w:spacing w:line="240" w:lineRule="auto" w:before="0" w:after="0"/>
        <w:ind w:left="488" w:right="0" w:hanging="379"/>
        <w:jc w:val="left"/>
      </w:pPr>
      <w:r>
        <w:rPr>
          <w:spacing w:val="-7"/>
        </w:rPr>
        <w:t>Propert </w:t>
      </w:r>
      <w:r>
        <w:rPr/>
        <w:t>y, </w:t>
      </w:r>
      <w:r>
        <w:rPr>
          <w:spacing w:val="-7"/>
        </w:rPr>
        <w:t>plant </w:t>
      </w:r>
      <w:r>
        <w:rPr>
          <w:spacing w:val="-6"/>
        </w:rPr>
        <w:t>and </w:t>
      </w:r>
      <w:r>
        <w:rPr>
          <w:spacing w:val="-8"/>
        </w:rPr>
        <w:t>equipment     </w:t>
      </w:r>
      <w:r>
        <w:rPr>
          <w:spacing w:val="-7"/>
        </w:rPr>
        <w:t>(continued</w:t>
      </w:r>
      <w:r>
        <w:rPr>
          <w:spacing w:val="7"/>
        </w:rPr>
        <w:t> </w:t>
      </w:r>
      <w:r>
        <w:rPr/>
        <w:t>)</w:t>
      </w:r>
    </w:p>
    <w:p>
      <w:pPr>
        <w:pStyle w:val="BodyText"/>
        <w:rPr>
          <w:b/>
          <w:sz w:val="20"/>
        </w:rPr>
      </w:pPr>
    </w:p>
    <w:p>
      <w:pPr>
        <w:pStyle w:val="BodyText"/>
        <w:rPr>
          <w:b/>
          <w:sz w:val="20"/>
        </w:rPr>
      </w:pPr>
    </w:p>
    <w:p>
      <w:pPr>
        <w:pStyle w:val="BodyText"/>
        <w:spacing w:before="4"/>
        <w:rPr>
          <w:b/>
          <w:sz w:val="22"/>
        </w:rPr>
      </w:pPr>
    </w:p>
    <w:p>
      <w:pPr>
        <w:spacing w:after="0"/>
        <w:rPr>
          <w:sz w:val="22"/>
        </w:rPr>
        <w:sectPr>
          <w:pgSz w:w="16840" w:h="11910" w:orient="landscape"/>
          <w:pgMar w:header="1038" w:footer="507" w:top="2220" w:bottom="700" w:left="900" w:right="1040"/>
        </w:sectPr>
      </w:pPr>
    </w:p>
    <w:p>
      <w:pPr>
        <w:pStyle w:val="BodyText"/>
        <w:rPr>
          <w:b/>
          <w:sz w:val="16"/>
        </w:rPr>
      </w:pPr>
    </w:p>
    <w:p>
      <w:pPr>
        <w:spacing w:before="134"/>
        <w:ind w:left="0" w:right="0" w:firstLine="0"/>
        <w:jc w:val="right"/>
        <w:rPr>
          <w:b/>
          <w:sz w:val="17"/>
        </w:rPr>
      </w:pPr>
      <w:r>
        <w:rPr>
          <w:b/>
          <w:sz w:val="17"/>
        </w:rPr>
        <w:t>Construction</w:t>
      </w:r>
    </w:p>
    <w:p>
      <w:pPr>
        <w:pStyle w:val="BodyText"/>
        <w:rPr>
          <w:b/>
          <w:sz w:val="16"/>
        </w:rPr>
      </w:pPr>
      <w:r>
        <w:rPr/>
        <w:br w:type="column"/>
      </w:r>
      <w:r>
        <w:rPr>
          <w:b/>
          <w:sz w:val="16"/>
        </w:rPr>
      </w:r>
    </w:p>
    <w:p>
      <w:pPr>
        <w:spacing w:before="134"/>
        <w:ind w:left="78" w:right="-12" w:firstLine="0"/>
        <w:jc w:val="left"/>
        <w:rPr>
          <w:b/>
          <w:sz w:val="17"/>
        </w:rPr>
      </w:pPr>
      <w:r>
        <w:rPr>
          <w:b/>
          <w:sz w:val="17"/>
        </w:rPr>
        <w:t>Freehold</w:t>
      </w:r>
    </w:p>
    <w:p>
      <w:pPr>
        <w:pStyle w:val="BodyText"/>
        <w:rPr>
          <w:b/>
          <w:sz w:val="16"/>
        </w:rPr>
      </w:pPr>
      <w:r>
        <w:rPr/>
        <w:br w:type="column"/>
      </w:r>
      <w:r>
        <w:rPr>
          <w:b/>
          <w:sz w:val="16"/>
        </w:rPr>
      </w:r>
    </w:p>
    <w:p>
      <w:pPr>
        <w:spacing w:before="134"/>
        <w:ind w:left="252" w:right="0" w:firstLine="0"/>
        <w:jc w:val="left"/>
        <w:rPr>
          <w:b/>
          <w:sz w:val="17"/>
        </w:rPr>
      </w:pPr>
      <w:r>
        <w:rPr>
          <w:b/>
          <w:sz w:val="17"/>
        </w:rPr>
        <w:t>Crown</w:t>
      </w:r>
    </w:p>
    <w:p>
      <w:pPr>
        <w:spacing w:line="290" w:lineRule="auto" w:before="81"/>
        <w:ind w:left="2449" w:right="0" w:firstLine="147"/>
        <w:jc w:val="left"/>
        <w:rPr>
          <w:b/>
          <w:sz w:val="17"/>
        </w:rPr>
      </w:pPr>
      <w:r>
        <w:rPr/>
        <w:br w:type="column"/>
      </w:r>
      <w:r>
        <w:rPr>
          <w:b/>
          <w:spacing w:val="-6"/>
          <w:sz w:val="17"/>
        </w:rPr>
        <w:t>Buildings </w:t>
      </w:r>
      <w:r>
        <w:rPr>
          <w:b/>
          <w:sz w:val="17"/>
        </w:rPr>
        <w:t>- </w:t>
      </w:r>
      <w:r>
        <w:rPr>
          <w:b/>
          <w:spacing w:val="-4"/>
          <w:sz w:val="17"/>
        </w:rPr>
        <w:t>Under </w:t>
      </w:r>
      <w:r>
        <w:rPr>
          <w:b/>
          <w:spacing w:val="-7"/>
          <w:sz w:val="17"/>
        </w:rPr>
        <w:t>Finance</w:t>
      </w:r>
    </w:p>
    <w:p>
      <w:pPr>
        <w:pStyle w:val="BodyText"/>
        <w:rPr>
          <w:b/>
          <w:sz w:val="16"/>
        </w:rPr>
      </w:pPr>
      <w:r>
        <w:rPr/>
        <w:br w:type="column"/>
      </w:r>
      <w:r>
        <w:rPr>
          <w:b/>
          <w:sz w:val="16"/>
        </w:rPr>
      </w:r>
    </w:p>
    <w:p>
      <w:pPr>
        <w:spacing w:before="133"/>
        <w:ind w:left="233" w:right="0" w:firstLine="0"/>
        <w:jc w:val="left"/>
        <w:rPr>
          <w:b/>
          <w:sz w:val="17"/>
        </w:rPr>
      </w:pPr>
      <w:r>
        <w:rPr>
          <w:b/>
          <w:spacing w:val="-6"/>
          <w:sz w:val="17"/>
        </w:rPr>
        <w:t>Plant </w:t>
      </w:r>
      <w:r>
        <w:rPr>
          <w:b/>
          <w:spacing w:val="-5"/>
          <w:sz w:val="17"/>
        </w:rPr>
        <w:t>and</w:t>
      </w:r>
    </w:p>
    <w:p>
      <w:pPr>
        <w:pStyle w:val="BodyText"/>
        <w:rPr>
          <w:b/>
          <w:sz w:val="16"/>
        </w:rPr>
      </w:pPr>
      <w:r>
        <w:rPr/>
        <w:br w:type="column"/>
      </w:r>
      <w:r>
        <w:rPr>
          <w:b/>
          <w:sz w:val="16"/>
        </w:rPr>
      </w:r>
    </w:p>
    <w:p>
      <w:pPr>
        <w:spacing w:before="133"/>
        <w:ind w:left="299" w:right="-2" w:firstLine="0"/>
        <w:jc w:val="left"/>
        <w:rPr>
          <w:b/>
          <w:sz w:val="17"/>
        </w:rPr>
      </w:pPr>
      <w:r>
        <w:rPr>
          <w:b/>
          <w:sz w:val="17"/>
        </w:rPr>
        <w:t>Leasehold</w:t>
      </w:r>
    </w:p>
    <w:p>
      <w:pPr>
        <w:pStyle w:val="BodyText"/>
        <w:rPr>
          <w:b/>
          <w:sz w:val="16"/>
        </w:rPr>
      </w:pPr>
      <w:r>
        <w:rPr/>
        <w:br w:type="column"/>
      </w:r>
      <w:r>
        <w:rPr>
          <w:b/>
          <w:sz w:val="16"/>
        </w:rPr>
      </w:r>
    </w:p>
    <w:p>
      <w:pPr>
        <w:spacing w:before="133"/>
        <w:ind w:left="341" w:right="0" w:firstLine="0"/>
        <w:jc w:val="left"/>
        <w:rPr>
          <w:b/>
          <w:sz w:val="17"/>
        </w:rPr>
      </w:pPr>
      <w:r>
        <w:rPr>
          <w:b/>
          <w:sz w:val="17"/>
        </w:rPr>
        <w:t>Library</w:t>
      </w:r>
    </w:p>
    <w:p>
      <w:pPr>
        <w:spacing w:after="0"/>
        <w:jc w:val="left"/>
        <w:rPr>
          <w:sz w:val="17"/>
        </w:rPr>
        <w:sectPr>
          <w:type w:val="continuous"/>
          <w:pgSz w:w="16840" w:h="11910" w:orient="landscape"/>
          <w:pgMar w:top="0" w:bottom="280" w:left="900" w:right="1040"/>
          <w:cols w:num="7" w:equalWidth="0">
            <w:col w:w="4501" w:space="40"/>
            <w:col w:w="804" w:space="40"/>
            <w:col w:w="802" w:space="40"/>
            <w:col w:w="3594" w:space="40"/>
            <w:col w:w="971" w:space="40"/>
            <w:col w:w="1158" w:space="40"/>
            <w:col w:w="2830"/>
          </w:cols>
        </w:sectPr>
      </w:pPr>
    </w:p>
    <w:p>
      <w:pPr>
        <w:spacing w:before="0"/>
        <w:ind w:left="0" w:right="0" w:firstLine="0"/>
        <w:jc w:val="right"/>
        <w:rPr>
          <w:b/>
          <w:sz w:val="17"/>
        </w:rPr>
      </w:pPr>
      <w:r>
        <w:rPr>
          <w:b/>
          <w:sz w:val="17"/>
        </w:rPr>
        <w:t>in Progress</w:t>
      </w:r>
    </w:p>
    <w:p>
      <w:pPr>
        <w:spacing w:before="0"/>
        <w:ind w:left="290" w:right="-7" w:firstLine="0"/>
        <w:jc w:val="left"/>
        <w:rPr>
          <w:b/>
          <w:sz w:val="17"/>
        </w:rPr>
      </w:pPr>
      <w:r>
        <w:rPr/>
        <w:br w:type="column"/>
      </w:r>
      <w:r>
        <w:rPr>
          <w:b/>
          <w:spacing w:val="-5"/>
          <w:sz w:val="17"/>
        </w:rPr>
        <w:t>Land</w:t>
      </w:r>
    </w:p>
    <w:p>
      <w:pPr>
        <w:tabs>
          <w:tab w:pos="1287" w:val="left" w:leader="none"/>
        </w:tabs>
        <w:spacing w:before="0"/>
        <w:ind w:left="490" w:right="0" w:firstLine="0"/>
        <w:jc w:val="left"/>
        <w:rPr>
          <w:b/>
          <w:sz w:val="17"/>
        </w:rPr>
      </w:pPr>
      <w:r>
        <w:rPr/>
        <w:br w:type="column"/>
      </w:r>
      <w:r>
        <w:rPr>
          <w:b/>
          <w:spacing w:val="-4"/>
          <w:sz w:val="17"/>
        </w:rPr>
        <w:t>Land</w:t>
        <w:tab/>
      </w:r>
      <w:r>
        <w:rPr>
          <w:b/>
          <w:spacing w:val="-6"/>
          <w:sz w:val="17"/>
        </w:rPr>
        <w:t>Buildings    </w:t>
      </w:r>
      <w:r>
        <w:rPr>
          <w:b/>
          <w:spacing w:val="3"/>
          <w:sz w:val="17"/>
        </w:rPr>
        <w:t> </w:t>
      </w:r>
      <w:r>
        <w:rPr>
          <w:b/>
          <w:sz w:val="17"/>
        </w:rPr>
        <w:t>Infrastucture</w:t>
      </w:r>
    </w:p>
    <w:p>
      <w:pPr>
        <w:spacing w:line="195" w:lineRule="exact" w:before="0"/>
        <w:ind w:left="468" w:right="-7" w:firstLine="0"/>
        <w:jc w:val="left"/>
        <w:rPr>
          <w:b/>
          <w:sz w:val="17"/>
        </w:rPr>
      </w:pPr>
      <w:r>
        <w:rPr/>
        <w:br w:type="column"/>
      </w:r>
      <w:r>
        <w:rPr>
          <w:b/>
          <w:sz w:val="17"/>
        </w:rPr>
        <w:t>Lease</w:t>
      </w:r>
    </w:p>
    <w:p>
      <w:pPr>
        <w:spacing w:line="195" w:lineRule="exact" w:before="0"/>
        <w:ind w:left="483" w:right="0" w:firstLine="0"/>
        <w:jc w:val="left"/>
        <w:rPr>
          <w:b/>
          <w:sz w:val="17"/>
        </w:rPr>
      </w:pPr>
      <w:r>
        <w:rPr/>
        <w:br w:type="column"/>
      </w:r>
      <w:r>
        <w:rPr>
          <w:b/>
          <w:spacing w:val="-4"/>
          <w:sz w:val="17"/>
        </w:rPr>
        <w:t>Equipment</w:t>
      </w:r>
    </w:p>
    <w:p>
      <w:pPr>
        <w:tabs>
          <w:tab w:pos="3223" w:val="left" w:leader="none"/>
        </w:tabs>
        <w:spacing w:line="195" w:lineRule="exact" w:before="0"/>
        <w:ind w:left="66" w:right="0" w:firstLine="0"/>
        <w:jc w:val="left"/>
        <w:rPr>
          <w:b/>
          <w:sz w:val="17"/>
        </w:rPr>
      </w:pPr>
      <w:r>
        <w:rPr/>
        <w:br w:type="column"/>
      </w:r>
      <w:r>
        <w:rPr>
          <w:b/>
          <w:sz w:val="17"/>
        </w:rPr>
        <w:t>Improvements </w:t>
      </w:r>
      <w:r>
        <w:rPr>
          <w:b/>
          <w:spacing w:val="24"/>
          <w:sz w:val="17"/>
        </w:rPr>
        <w:t> </w:t>
      </w:r>
      <w:r>
        <w:rPr>
          <w:b/>
          <w:spacing w:val="-3"/>
          <w:sz w:val="17"/>
        </w:rPr>
        <w:t>Collection </w:t>
      </w:r>
      <w:r>
        <w:rPr>
          <w:b/>
          <w:spacing w:val="15"/>
          <w:sz w:val="17"/>
        </w:rPr>
        <w:t> </w:t>
      </w:r>
      <w:r>
        <w:rPr>
          <w:b/>
          <w:spacing w:val="2"/>
          <w:sz w:val="17"/>
        </w:rPr>
        <w:t>Artwork</w:t>
        <w:tab/>
      </w:r>
      <w:r>
        <w:rPr>
          <w:b/>
          <w:spacing w:val="-3"/>
          <w:sz w:val="17"/>
        </w:rPr>
        <w:t>Total</w:t>
      </w:r>
    </w:p>
    <w:p>
      <w:pPr>
        <w:spacing w:after="0" w:line="195" w:lineRule="exact"/>
        <w:jc w:val="left"/>
        <w:rPr>
          <w:sz w:val="17"/>
        </w:rPr>
        <w:sectPr>
          <w:type w:val="continuous"/>
          <w:pgSz w:w="16840" w:h="11910" w:orient="landscape"/>
          <w:pgMar w:top="0" w:bottom="280" w:left="900" w:right="1040"/>
          <w:cols w:num="6" w:equalWidth="0">
            <w:col w:w="4451" w:space="40"/>
            <w:col w:w="690" w:space="40"/>
            <w:col w:w="3273" w:space="40"/>
            <w:col w:w="964" w:space="40"/>
            <w:col w:w="1350" w:space="40"/>
            <w:col w:w="3972"/>
          </w:cols>
        </w:sectPr>
      </w:pPr>
    </w:p>
    <w:p>
      <w:pPr>
        <w:tabs>
          <w:tab w:pos="3749" w:val="left" w:leader="none"/>
          <w:tab w:pos="4767" w:val="left" w:leader="none"/>
          <w:tab w:pos="5696" w:val="left" w:leader="none"/>
          <w:tab w:pos="6670" w:val="left" w:leader="none"/>
          <w:tab w:pos="7761" w:val="left" w:leader="none"/>
          <w:tab w:pos="9045" w:val="left" w:leader="none"/>
          <w:tab w:pos="10239" w:val="left" w:leader="none"/>
          <w:tab w:pos="12482" w:val="left" w:leader="none"/>
          <w:tab w:pos="13307" w:val="left" w:leader="none"/>
          <w:tab w:pos="14134" w:val="left" w:leader="none"/>
        </w:tabs>
        <w:spacing w:before="42"/>
        <w:ind w:left="548" w:right="0" w:firstLine="0"/>
        <w:jc w:val="left"/>
        <w:rPr>
          <w:b/>
          <w:sz w:val="17"/>
        </w:rPr>
      </w:pPr>
      <w:r>
        <w:rPr>
          <w:b/>
          <w:position w:val="3"/>
          <w:sz w:val="17"/>
        </w:rPr>
        <w:t>Consolidated</w:t>
        <w:tab/>
      </w:r>
      <w:r>
        <w:rPr>
          <w:b/>
          <w:sz w:val="17"/>
        </w:rPr>
        <w:t>$</w:t>
      </w:r>
      <w:r>
        <w:rPr>
          <w:b/>
          <w:spacing w:val="-10"/>
          <w:sz w:val="17"/>
        </w:rPr>
        <w:t> </w:t>
      </w:r>
      <w:r>
        <w:rPr>
          <w:b/>
          <w:spacing w:val="-4"/>
          <w:sz w:val="17"/>
        </w:rPr>
        <w:t>'000</w:t>
        <w:tab/>
      </w:r>
      <w:r>
        <w:rPr>
          <w:b/>
          <w:sz w:val="17"/>
        </w:rPr>
        <w:t>$</w:t>
      </w:r>
      <w:r>
        <w:rPr>
          <w:b/>
          <w:spacing w:val="-10"/>
          <w:sz w:val="17"/>
        </w:rPr>
        <w:t> </w:t>
      </w:r>
      <w:r>
        <w:rPr>
          <w:b/>
          <w:spacing w:val="-4"/>
          <w:sz w:val="17"/>
        </w:rPr>
        <w:t>'000</w:t>
        <w:tab/>
      </w:r>
      <w:r>
        <w:rPr>
          <w:b/>
          <w:sz w:val="17"/>
        </w:rPr>
        <w:t>$</w:t>
      </w:r>
      <w:r>
        <w:rPr>
          <w:b/>
          <w:spacing w:val="-9"/>
          <w:sz w:val="17"/>
        </w:rPr>
        <w:t> </w:t>
      </w:r>
      <w:r>
        <w:rPr>
          <w:b/>
          <w:spacing w:val="-4"/>
          <w:sz w:val="17"/>
        </w:rPr>
        <w:t>'000</w:t>
        <w:tab/>
      </w:r>
      <w:r>
        <w:rPr>
          <w:b/>
          <w:sz w:val="17"/>
        </w:rPr>
        <w:t>$</w:t>
      </w:r>
      <w:r>
        <w:rPr>
          <w:b/>
          <w:spacing w:val="-10"/>
          <w:sz w:val="17"/>
        </w:rPr>
        <w:t> </w:t>
      </w:r>
      <w:r>
        <w:rPr>
          <w:b/>
          <w:spacing w:val="-4"/>
          <w:sz w:val="17"/>
        </w:rPr>
        <w:t>'000</w:t>
        <w:tab/>
      </w:r>
      <w:r>
        <w:rPr>
          <w:b/>
          <w:sz w:val="17"/>
        </w:rPr>
        <w:t>$</w:t>
      </w:r>
      <w:r>
        <w:rPr>
          <w:b/>
          <w:spacing w:val="-9"/>
          <w:sz w:val="17"/>
        </w:rPr>
        <w:t> </w:t>
      </w:r>
      <w:r>
        <w:rPr>
          <w:b/>
          <w:spacing w:val="-4"/>
          <w:sz w:val="17"/>
        </w:rPr>
        <w:t>'000</w:t>
        <w:tab/>
      </w:r>
      <w:r>
        <w:rPr>
          <w:b/>
          <w:sz w:val="17"/>
        </w:rPr>
        <w:t>$</w:t>
      </w:r>
      <w:r>
        <w:rPr>
          <w:b/>
          <w:spacing w:val="-10"/>
          <w:sz w:val="17"/>
        </w:rPr>
        <w:t> </w:t>
      </w:r>
      <w:r>
        <w:rPr>
          <w:b/>
          <w:spacing w:val="-4"/>
          <w:sz w:val="17"/>
        </w:rPr>
        <w:t>'000</w:t>
        <w:tab/>
      </w:r>
      <w:r>
        <w:rPr>
          <w:b/>
          <w:sz w:val="17"/>
        </w:rPr>
        <w:t>$</w:t>
      </w:r>
      <w:r>
        <w:rPr>
          <w:b/>
          <w:spacing w:val="-9"/>
          <w:sz w:val="17"/>
        </w:rPr>
        <w:t> </w:t>
      </w:r>
      <w:r>
        <w:rPr>
          <w:b/>
          <w:spacing w:val="-4"/>
          <w:sz w:val="17"/>
        </w:rPr>
        <w:t>'000</w:t>
        <w:tab/>
      </w:r>
      <w:r>
        <w:rPr>
          <w:b/>
          <w:sz w:val="17"/>
        </w:rPr>
        <w:t>$</w:t>
      </w:r>
      <w:r>
        <w:rPr>
          <w:b/>
          <w:spacing w:val="-9"/>
          <w:sz w:val="17"/>
        </w:rPr>
        <w:t> </w:t>
      </w:r>
      <w:r>
        <w:rPr>
          <w:b/>
          <w:spacing w:val="-4"/>
          <w:sz w:val="17"/>
        </w:rPr>
        <w:t>'000</w:t>
        <w:tab/>
      </w:r>
      <w:r>
        <w:rPr>
          <w:b/>
          <w:sz w:val="17"/>
        </w:rPr>
        <w:t>$</w:t>
      </w:r>
      <w:r>
        <w:rPr>
          <w:b/>
          <w:spacing w:val="-9"/>
          <w:sz w:val="17"/>
        </w:rPr>
        <w:t> </w:t>
      </w:r>
      <w:r>
        <w:rPr>
          <w:b/>
          <w:spacing w:val="-4"/>
          <w:sz w:val="17"/>
        </w:rPr>
        <w:t>'000</w:t>
        <w:tab/>
      </w:r>
      <w:r>
        <w:rPr>
          <w:b/>
          <w:sz w:val="17"/>
        </w:rPr>
        <w:t>$</w:t>
      </w:r>
      <w:r>
        <w:rPr>
          <w:b/>
          <w:spacing w:val="-2"/>
          <w:sz w:val="17"/>
        </w:rPr>
        <w:t> </w:t>
      </w:r>
      <w:r>
        <w:rPr>
          <w:b/>
          <w:spacing w:val="-6"/>
          <w:sz w:val="17"/>
        </w:rPr>
        <w:t>'000</w:t>
      </w:r>
    </w:p>
    <w:p>
      <w:pPr>
        <w:pStyle w:val="BodyText"/>
        <w:spacing w:before="5"/>
        <w:rPr>
          <w:b/>
        </w:rPr>
      </w:pPr>
    </w:p>
    <w:p>
      <w:pPr>
        <w:spacing w:before="0"/>
        <w:ind w:left="548" w:right="0" w:firstLine="0"/>
        <w:jc w:val="left"/>
        <w:rPr>
          <w:b/>
          <w:sz w:val="17"/>
        </w:rPr>
      </w:pPr>
      <w:r>
        <w:rPr>
          <w:b/>
          <w:spacing w:val="-4"/>
          <w:sz w:val="17"/>
        </w:rPr>
        <w:t>Year </w:t>
      </w:r>
      <w:r>
        <w:rPr>
          <w:b/>
          <w:spacing w:val="-6"/>
          <w:sz w:val="17"/>
        </w:rPr>
        <w:t>Ended </w:t>
      </w:r>
      <w:r>
        <w:rPr>
          <w:b/>
          <w:spacing w:val="-4"/>
          <w:sz w:val="17"/>
        </w:rPr>
        <w:t>31 </w:t>
      </w:r>
      <w:r>
        <w:rPr>
          <w:b/>
          <w:sz w:val="17"/>
        </w:rPr>
        <w:t>December </w:t>
      </w:r>
      <w:r>
        <w:rPr>
          <w:b/>
          <w:spacing w:val="-9"/>
          <w:sz w:val="17"/>
        </w:rPr>
        <w:t>2012</w:t>
      </w:r>
    </w:p>
    <w:p>
      <w:pPr>
        <w:tabs>
          <w:tab w:pos="3970" w:val="left" w:leader="none"/>
          <w:tab w:pos="4781" w:val="left" w:leader="none"/>
          <w:tab w:pos="5740" w:val="left" w:leader="none"/>
          <w:tab w:pos="6729" w:val="left" w:leader="none"/>
          <w:tab w:pos="7997" w:val="left" w:leader="none"/>
          <w:tab w:pos="9634" w:val="left" w:leader="none"/>
          <w:tab w:pos="10387" w:val="left" w:leader="none"/>
          <w:tab w:pos="11774" w:val="left" w:leader="none"/>
          <w:tab w:pos="12570" w:val="left" w:leader="none"/>
          <w:tab w:pos="13440" w:val="left" w:leader="none"/>
        </w:tabs>
        <w:spacing w:before="63"/>
        <w:ind w:left="548" w:right="0" w:firstLine="0"/>
        <w:jc w:val="left"/>
        <w:rPr>
          <w:b/>
          <w:sz w:val="17"/>
        </w:rPr>
      </w:pPr>
      <w:r>
        <w:rPr>
          <w:spacing w:val="-9"/>
          <w:position w:val="4"/>
          <w:sz w:val="17"/>
        </w:rPr>
        <w:t>Opening </w:t>
      </w:r>
      <w:r>
        <w:rPr>
          <w:spacing w:val="-11"/>
          <w:position w:val="4"/>
          <w:sz w:val="17"/>
        </w:rPr>
        <w:t>Net</w:t>
      </w:r>
      <w:r>
        <w:rPr>
          <w:spacing w:val="6"/>
          <w:position w:val="4"/>
          <w:sz w:val="17"/>
        </w:rPr>
        <w:t> </w:t>
      </w:r>
      <w:r>
        <w:rPr>
          <w:spacing w:val="-8"/>
          <w:position w:val="4"/>
          <w:sz w:val="17"/>
        </w:rPr>
        <w:t>Book</w:t>
      </w:r>
      <w:r>
        <w:rPr>
          <w:spacing w:val="-10"/>
          <w:position w:val="4"/>
          <w:sz w:val="17"/>
        </w:rPr>
        <w:t> </w:t>
      </w:r>
      <w:r>
        <w:rPr>
          <w:spacing w:val="-9"/>
          <w:position w:val="4"/>
          <w:sz w:val="17"/>
        </w:rPr>
        <w:t>Amount</w:t>
        <w:tab/>
      </w:r>
      <w:r>
        <w:rPr>
          <w:spacing w:val="-7"/>
          <w:position w:val="1"/>
          <w:sz w:val="17"/>
        </w:rPr>
        <w:t>80,656</w:t>
        <w:tab/>
        <w:t>214,400</w:t>
        <w:tab/>
        <w:t>163,120</w:t>
        <w:tab/>
        <w:t>734,356</w:t>
        <w:tab/>
        <w:t>53,010</w:t>
        <w:tab/>
      </w:r>
      <w:r>
        <w:rPr>
          <w:position w:val="1"/>
          <w:sz w:val="17"/>
        </w:rPr>
        <w:t>-</w:t>
        <w:tab/>
      </w:r>
      <w:r>
        <w:rPr>
          <w:spacing w:val="-7"/>
          <w:position w:val="1"/>
          <w:sz w:val="17"/>
        </w:rPr>
        <w:t>46,605</w:t>
        <w:tab/>
      </w:r>
      <w:r>
        <w:rPr>
          <w:spacing w:val="-6"/>
          <w:position w:val="1"/>
          <w:sz w:val="17"/>
        </w:rPr>
        <w:t>1,733</w:t>
        <w:tab/>
      </w:r>
      <w:r>
        <w:rPr>
          <w:spacing w:val="-7"/>
          <w:position w:val="1"/>
          <w:sz w:val="17"/>
        </w:rPr>
        <w:t>11,868</w:t>
        <w:tab/>
      </w:r>
      <w:r>
        <w:rPr>
          <w:spacing w:val="-6"/>
          <w:position w:val="1"/>
          <w:sz w:val="17"/>
        </w:rPr>
        <w:t>3,007   </w:t>
      </w:r>
      <w:r>
        <w:rPr>
          <w:spacing w:val="-4"/>
          <w:position w:val="1"/>
          <w:sz w:val="17"/>
        </w:rPr>
        <w:t> </w:t>
      </w:r>
      <w:r>
        <w:rPr>
          <w:b/>
          <w:spacing w:val="-8"/>
          <w:sz w:val="17"/>
        </w:rPr>
        <w:t>1,308,755</w:t>
      </w:r>
    </w:p>
    <w:p>
      <w:pPr>
        <w:tabs>
          <w:tab w:pos="4221" w:val="left" w:leader="none"/>
          <w:tab w:pos="5122" w:val="left" w:leader="none"/>
          <w:tab w:pos="6080" w:val="left" w:leader="none"/>
          <w:tab w:pos="6817" w:val="left" w:leader="none"/>
          <w:tab w:pos="8219" w:val="left" w:leader="none"/>
          <w:tab w:pos="9634" w:val="left" w:leader="none"/>
          <w:tab w:pos="10638" w:val="left" w:leader="none"/>
          <w:tab w:pos="11936" w:val="left" w:leader="none"/>
          <w:tab w:pos="12822" w:val="left" w:leader="none"/>
          <w:tab w:pos="13603" w:val="left" w:leader="none"/>
          <w:tab w:pos="14207" w:val="left" w:leader="none"/>
        </w:tabs>
        <w:spacing w:before="32" w:after="37"/>
        <w:ind w:left="548" w:right="0" w:firstLine="0"/>
        <w:jc w:val="left"/>
        <w:rPr>
          <w:b/>
          <w:sz w:val="17"/>
        </w:rPr>
      </w:pPr>
      <w:r>
        <w:rPr>
          <w:spacing w:val="-8"/>
          <w:position w:val="4"/>
          <w:sz w:val="17"/>
        </w:rPr>
        <w:t>Revaluation</w:t>
      </w:r>
      <w:r>
        <w:rPr>
          <w:spacing w:val="-5"/>
          <w:position w:val="4"/>
          <w:sz w:val="17"/>
        </w:rPr>
        <w:t> </w:t>
      </w:r>
      <w:r>
        <w:rPr>
          <w:spacing w:val="-7"/>
          <w:position w:val="4"/>
          <w:sz w:val="17"/>
        </w:rPr>
        <w:t>Surplus</w:t>
        <w:tab/>
      </w:r>
      <w:r>
        <w:rPr>
          <w:position w:val="1"/>
          <w:sz w:val="17"/>
        </w:rPr>
        <w:t>-</w:t>
        <w:tab/>
        <w:t>-</w:t>
        <w:tab/>
        <w:t>-</w:t>
        <w:tab/>
      </w:r>
      <w:r>
        <w:rPr>
          <w:spacing w:val="-7"/>
          <w:position w:val="1"/>
          <w:sz w:val="17"/>
        </w:rPr>
        <w:t>13,103</w:t>
        <w:tab/>
      </w:r>
      <w:r>
        <w:rPr>
          <w:spacing w:val="-6"/>
          <w:position w:val="1"/>
          <w:sz w:val="17"/>
        </w:rPr>
        <w:t>901</w:t>
        <w:tab/>
      </w:r>
      <w:r>
        <w:rPr>
          <w:position w:val="1"/>
          <w:sz w:val="17"/>
        </w:rPr>
        <w:t>-</w:t>
        <w:tab/>
        <w:t>-</w:t>
        <w:tab/>
        <w:t>-</w:t>
        <w:tab/>
        <w:t>-</w:t>
        <w:tab/>
        <w:t>-</w:t>
        <w:tab/>
      </w:r>
      <w:r>
        <w:rPr>
          <w:b/>
          <w:spacing w:val="-8"/>
          <w:sz w:val="17"/>
        </w:rPr>
        <w:t>14,004</w:t>
      </w:r>
    </w:p>
    <w:tbl>
      <w:tblPr>
        <w:tblW w:w="0" w:type="auto"/>
        <w:jc w:val="left"/>
        <w:tblInd w:w="5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25"/>
        <w:gridCol w:w="4742"/>
        <w:gridCol w:w="1401"/>
        <w:gridCol w:w="2295"/>
        <w:gridCol w:w="1022"/>
        <w:gridCol w:w="954"/>
        <w:gridCol w:w="649"/>
        <w:gridCol w:w="764"/>
      </w:tblGrid>
      <w:tr>
        <w:trPr>
          <w:trHeight w:val="256" w:hRule="exact"/>
        </w:trPr>
        <w:tc>
          <w:tcPr>
            <w:tcW w:w="2425" w:type="dxa"/>
          </w:tcPr>
          <w:p>
            <w:pPr>
              <w:pStyle w:val="TableParagraph"/>
              <w:spacing w:line="192" w:lineRule="exact"/>
              <w:ind w:left="35"/>
              <w:rPr>
                <w:sz w:val="17"/>
              </w:rPr>
            </w:pPr>
            <w:r>
              <w:rPr>
                <w:sz w:val="17"/>
              </w:rPr>
              <w:t>Additions</w:t>
            </w:r>
          </w:p>
        </w:tc>
        <w:tc>
          <w:tcPr>
            <w:tcW w:w="4742" w:type="dxa"/>
          </w:tcPr>
          <w:p>
            <w:pPr>
              <w:pStyle w:val="TableParagraph"/>
              <w:tabs>
                <w:tab w:pos="2183" w:val="left" w:leader="none"/>
                <w:tab w:pos="3142" w:val="left" w:leader="none"/>
                <w:tab w:pos="4130" w:val="left" w:leader="none"/>
              </w:tabs>
              <w:spacing w:before="29"/>
              <w:ind w:left="943"/>
              <w:rPr>
                <w:sz w:val="17"/>
              </w:rPr>
            </w:pPr>
            <w:r>
              <w:rPr>
                <w:spacing w:val="-7"/>
                <w:sz w:val="17"/>
              </w:rPr>
              <w:t>100,320</w:t>
              <w:tab/>
            </w:r>
            <w:r>
              <w:rPr>
                <w:sz w:val="17"/>
              </w:rPr>
              <w:t>-</w:t>
              <w:tab/>
              <w:t>-</w:t>
              <w:tab/>
              <w:t>-</w:t>
            </w:r>
          </w:p>
        </w:tc>
        <w:tc>
          <w:tcPr>
            <w:tcW w:w="1401" w:type="dxa"/>
          </w:tcPr>
          <w:p>
            <w:pPr>
              <w:pStyle w:val="TableParagraph"/>
              <w:spacing w:before="29"/>
              <w:ind w:right="202"/>
              <w:jc w:val="center"/>
              <w:rPr>
                <w:sz w:val="17"/>
              </w:rPr>
            </w:pPr>
            <w:r>
              <w:rPr>
                <w:w w:val="101"/>
                <w:sz w:val="17"/>
              </w:rPr>
              <w:t>-</w:t>
            </w:r>
          </w:p>
        </w:tc>
        <w:tc>
          <w:tcPr>
            <w:tcW w:w="2295" w:type="dxa"/>
          </w:tcPr>
          <w:p>
            <w:pPr>
              <w:pStyle w:val="TableParagraph"/>
              <w:tabs>
                <w:tab w:pos="752" w:val="left" w:leader="none"/>
              </w:tabs>
              <w:spacing w:before="29"/>
              <w:ind w:right="491"/>
              <w:jc w:val="right"/>
              <w:rPr>
                <w:sz w:val="17"/>
              </w:rPr>
            </w:pPr>
            <w:r>
              <w:rPr>
                <w:sz w:val="17"/>
              </w:rPr>
              <w:t>-</w:t>
              <w:tab/>
            </w:r>
            <w:r>
              <w:rPr>
                <w:spacing w:val="-7"/>
                <w:sz w:val="17"/>
              </w:rPr>
              <w:t>10,208</w:t>
            </w:r>
          </w:p>
        </w:tc>
        <w:tc>
          <w:tcPr>
            <w:tcW w:w="1022" w:type="dxa"/>
          </w:tcPr>
          <w:p>
            <w:pPr>
              <w:pStyle w:val="TableParagraph"/>
              <w:spacing w:before="29"/>
              <w:ind w:right="216"/>
              <w:jc w:val="right"/>
              <w:rPr>
                <w:sz w:val="17"/>
              </w:rPr>
            </w:pPr>
            <w:r>
              <w:rPr>
                <w:sz w:val="17"/>
              </w:rPr>
              <w:t>20</w:t>
            </w:r>
          </w:p>
        </w:tc>
        <w:tc>
          <w:tcPr>
            <w:tcW w:w="954" w:type="dxa"/>
          </w:tcPr>
          <w:p>
            <w:pPr>
              <w:pStyle w:val="TableParagraph"/>
              <w:spacing w:before="29"/>
              <w:ind w:right="284"/>
              <w:jc w:val="right"/>
              <w:rPr>
                <w:sz w:val="17"/>
              </w:rPr>
            </w:pPr>
            <w:r>
              <w:rPr>
                <w:sz w:val="17"/>
              </w:rPr>
              <w:t>4,265</w:t>
            </w:r>
          </w:p>
        </w:tc>
        <w:tc>
          <w:tcPr>
            <w:tcW w:w="649" w:type="dxa"/>
          </w:tcPr>
          <w:p>
            <w:pPr>
              <w:pStyle w:val="TableParagraph"/>
              <w:spacing w:before="29"/>
              <w:ind w:right="152"/>
              <w:jc w:val="right"/>
              <w:rPr>
                <w:sz w:val="17"/>
              </w:rPr>
            </w:pPr>
            <w:r>
              <w:rPr>
                <w:sz w:val="17"/>
              </w:rPr>
              <w:t>90</w:t>
            </w:r>
          </w:p>
        </w:tc>
        <w:tc>
          <w:tcPr>
            <w:tcW w:w="764" w:type="dxa"/>
          </w:tcPr>
          <w:p>
            <w:pPr>
              <w:pStyle w:val="TableParagraph"/>
              <w:spacing w:before="35"/>
              <w:ind w:right="68"/>
              <w:jc w:val="right"/>
              <w:rPr>
                <w:b/>
                <w:sz w:val="17"/>
              </w:rPr>
            </w:pPr>
            <w:r>
              <w:rPr>
                <w:b/>
                <w:sz w:val="17"/>
              </w:rPr>
              <w:t>114,902</w:t>
            </w:r>
          </w:p>
        </w:tc>
      </w:tr>
      <w:tr>
        <w:trPr>
          <w:trHeight w:val="267" w:hRule="exact"/>
        </w:trPr>
        <w:tc>
          <w:tcPr>
            <w:tcW w:w="2425" w:type="dxa"/>
          </w:tcPr>
          <w:p>
            <w:pPr>
              <w:pStyle w:val="TableParagraph"/>
              <w:spacing w:before="9"/>
              <w:ind w:left="35"/>
              <w:rPr>
                <w:sz w:val="17"/>
              </w:rPr>
            </w:pPr>
            <w:r>
              <w:rPr>
                <w:sz w:val="17"/>
              </w:rPr>
              <w:t>Disposals</w:t>
            </w:r>
          </w:p>
        </w:tc>
        <w:tc>
          <w:tcPr>
            <w:tcW w:w="4742" w:type="dxa"/>
          </w:tcPr>
          <w:p>
            <w:pPr>
              <w:pStyle w:val="TableParagraph"/>
              <w:tabs>
                <w:tab w:pos="900" w:val="left" w:leader="none"/>
                <w:tab w:pos="1859" w:val="left" w:leader="none"/>
                <w:tab w:pos="2611" w:val="left" w:leader="none"/>
              </w:tabs>
              <w:spacing w:before="40"/>
              <w:ind w:right="330"/>
              <w:jc w:val="right"/>
              <w:rPr>
                <w:sz w:val="17"/>
              </w:rPr>
            </w:pPr>
            <w:r>
              <w:rPr>
                <w:sz w:val="17"/>
              </w:rPr>
              <w:t>-</w:t>
              <w:tab/>
              <w:t>-</w:t>
              <w:tab/>
              <w:t>-</w:t>
              <w:tab/>
            </w:r>
            <w:r>
              <w:rPr>
                <w:spacing w:val="-6"/>
                <w:sz w:val="17"/>
              </w:rPr>
              <w:t>(2,625)</w:t>
            </w:r>
          </w:p>
        </w:tc>
        <w:tc>
          <w:tcPr>
            <w:tcW w:w="1401" w:type="dxa"/>
          </w:tcPr>
          <w:p>
            <w:pPr>
              <w:pStyle w:val="TableParagraph"/>
              <w:spacing w:before="40"/>
              <w:ind w:right="202"/>
              <w:jc w:val="center"/>
              <w:rPr>
                <w:sz w:val="17"/>
              </w:rPr>
            </w:pPr>
            <w:r>
              <w:rPr>
                <w:w w:val="101"/>
                <w:sz w:val="17"/>
              </w:rPr>
              <w:t>-</w:t>
            </w:r>
          </w:p>
        </w:tc>
        <w:tc>
          <w:tcPr>
            <w:tcW w:w="2295" w:type="dxa"/>
          </w:tcPr>
          <w:p>
            <w:pPr>
              <w:pStyle w:val="TableParagraph"/>
              <w:tabs>
                <w:tab w:pos="767" w:val="left" w:leader="none"/>
              </w:tabs>
              <w:spacing w:before="40"/>
              <w:ind w:right="456"/>
              <w:jc w:val="right"/>
              <w:rPr>
                <w:sz w:val="17"/>
              </w:rPr>
            </w:pPr>
            <w:r>
              <w:rPr>
                <w:sz w:val="17"/>
              </w:rPr>
              <w:t>-</w:t>
              <w:tab/>
            </w:r>
            <w:r>
              <w:rPr>
                <w:spacing w:val="-6"/>
                <w:sz w:val="17"/>
              </w:rPr>
              <w:t>(3,860)</w:t>
            </w:r>
          </w:p>
        </w:tc>
        <w:tc>
          <w:tcPr>
            <w:tcW w:w="1022" w:type="dxa"/>
          </w:tcPr>
          <w:p>
            <w:pPr>
              <w:pStyle w:val="TableParagraph"/>
              <w:spacing w:before="40"/>
              <w:ind w:left="158"/>
              <w:jc w:val="center"/>
              <w:rPr>
                <w:sz w:val="17"/>
              </w:rPr>
            </w:pPr>
            <w:r>
              <w:rPr>
                <w:w w:val="101"/>
                <w:sz w:val="17"/>
              </w:rPr>
              <w:t>-</w:t>
            </w:r>
          </w:p>
        </w:tc>
        <w:tc>
          <w:tcPr>
            <w:tcW w:w="954" w:type="dxa"/>
          </w:tcPr>
          <w:p>
            <w:pPr>
              <w:pStyle w:val="TableParagraph"/>
              <w:spacing w:before="40"/>
              <w:ind w:right="249"/>
              <w:jc w:val="right"/>
              <w:rPr>
                <w:sz w:val="17"/>
              </w:rPr>
            </w:pPr>
            <w:r>
              <w:rPr>
                <w:sz w:val="17"/>
              </w:rPr>
              <w:t>(66)</w:t>
            </w:r>
          </w:p>
        </w:tc>
        <w:tc>
          <w:tcPr>
            <w:tcW w:w="649" w:type="dxa"/>
          </w:tcPr>
          <w:p>
            <w:pPr>
              <w:pStyle w:val="TableParagraph"/>
              <w:spacing w:before="40"/>
              <w:ind w:right="116"/>
              <w:jc w:val="right"/>
              <w:rPr>
                <w:sz w:val="17"/>
              </w:rPr>
            </w:pPr>
            <w:r>
              <w:rPr>
                <w:sz w:val="17"/>
              </w:rPr>
              <w:t>(2)</w:t>
            </w:r>
          </w:p>
        </w:tc>
        <w:tc>
          <w:tcPr>
            <w:tcW w:w="764" w:type="dxa"/>
          </w:tcPr>
          <w:p>
            <w:pPr>
              <w:pStyle w:val="TableParagraph"/>
              <w:spacing w:before="46"/>
              <w:ind w:right="33"/>
              <w:jc w:val="right"/>
              <w:rPr>
                <w:b/>
                <w:sz w:val="17"/>
              </w:rPr>
            </w:pPr>
            <w:r>
              <w:rPr>
                <w:b/>
                <w:sz w:val="17"/>
              </w:rPr>
              <w:t>(6,553)</w:t>
            </w:r>
          </w:p>
        </w:tc>
      </w:tr>
      <w:tr>
        <w:trPr>
          <w:trHeight w:val="255" w:hRule="exact"/>
        </w:trPr>
        <w:tc>
          <w:tcPr>
            <w:tcW w:w="2425" w:type="dxa"/>
          </w:tcPr>
          <w:p>
            <w:pPr>
              <w:pStyle w:val="TableParagraph"/>
              <w:spacing w:before="9"/>
              <w:ind w:left="35"/>
              <w:rPr>
                <w:sz w:val="17"/>
              </w:rPr>
            </w:pPr>
            <w:r>
              <w:rPr>
                <w:sz w:val="17"/>
              </w:rPr>
              <w:t>Depreciation Charge</w:t>
            </w:r>
          </w:p>
        </w:tc>
        <w:tc>
          <w:tcPr>
            <w:tcW w:w="4742" w:type="dxa"/>
          </w:tcPr>
          <w:p>
            <w:pPr>
              <w:pStyle w:val="TableParagraph"/>
              <w:tabs>
                <w:tab w:pos="900" w:val="left" w:leader="none"/>
                <w:tab w:pos="1859" w:val="left" w:leader="none"/>
                <w:tab w:pos="2522" w:val="left" w:leader="none"/>
              </w:tabs>
              <w:spacing w:before="40"/>
              <w:ind w:right="330"/>
              <w:jc w:val="right"/>
              <w:rPr>
                <w:sz w:val="17"/>
              </w:rPr>
            </w:pPr>
            <w:r>
              <w:rPr>
                <w:sz w:val="17"/>
              </w:rPr>
              <w:t>-</w:t>
              <w:tab/>
              <w:t>-</w:t>
              <w:tab/>
              <w:t>-</w:t>
              <w:tab/>
            </w:r>
            <w:r>
              <w:rPr>
                <w:spacing w:val="-6"/>
                <w:sz w:val="17"/>
              </w:rPr>
              <w:t>(19,641)</w:t>
            </w:r>
          </w:p>
        </w:tc>
        <w:tc>
          <w:tcPr>
            <w:tcW w:w="1401" w:type="dxa"/>
          </w:tcPr>
          <w:p>
            <w:pPr>
              <w:pStyle w:val="TableParagraph"/>
              <w:spacing w:before="40"/>
              <w:ind w:left="301" w:right="520"/>
              <w:jc w:val="center"/>
              <w:rPr>
                <w:sz w:val="17"/>
              </w:rPr>
            </w:pPr>
            <w:r>
              <w:rPr>
                <w:sz w:val="17"/>
              </w:rPr>
              <w:t>(1,806)</w:t>
            </w:r>
          </w:p>
        </w:tc>
        <w:tc>
          <w:tcPr>
            <w:tcW w:w="2295" w:type="dxa"/>
          </w:tcPr>
          <w:p>
            <w:pPr>
              <w:pStyle w:val="TableParagraph"/>
              <w:tabs>
                <w:tab w:pos="768" w:val="left" w:leader="none"/>
              </w:tabs>
              <w:spacing w:before="40"/>
              <w:ind w:right="462"/>
              <w:jc w:val="right"/>
              <w:rPr>
                <w:sz w:val="17"/>
              </w:rPr>
            </w:pPr>
            <w:r>
              <w:rPr>
                <w:sz w:val="17"/>
              </w:rPr>
              <w:t>-</w:t>
              <w:tab/>
            </w:r>
            <w:r>
              <w:rPr>
                <w:spacing w:val="-7"/>
                <w:sz w:val="17"/>
              </w:rPr>
              <w:t>(9,228)</w:t>
            </w:r>
          </w:p>
        </w:tc>
        <w:tc>
          <w:tcPr>
            <w:tcW w:w="1022" w:type="dxa"/>
          </w:tcPr>
          <w:p>
            <w:pPr>
              <w:pStyle w:val="TableParagraph"/>
              <w:spacing w:before="40"/>
              <w:ind w:right="186"/>
              <w:jc w:val="right"/>
              <w:rPr>
                <w:sz w:val="17"/>
              </w:rPr>
            </w:pPr>
            <w:r>
              <w:rPr>
                <w:sz w:val="17"/>
              </w:rPr>
              <w:t>(844)</w:t>
            </w:r>
          </w:p>
        </w:tc>
        <w:tc>
          <w:tcPr>
            <w:tcW w:w="954" w:type="dxa"/>
          </w:tcPr>
          <w:p>
            <w:pPr>
              <w:pStyle w:val="TableParagraph"/>
              <w:spacing w:before="40"/>
              <w:ind w:right="256"/>
              <w:jc w:val="right"/>
              <w:rPr>
                <w:sz w:val="17"/>
              </w:rPr>
            </w:pPr>
            <w:r>
              <w:rPr>
                <w:sz w:val="17"/>
              </w:rPr>
              <w:t>(3,683)</w:t>
            </w:r>
          </w:p>
        </w:tc>
        <w:tc>
          <w:tcPr>
            <w:tcW w:w="649" w:type="dxa"/>
          </w:tcPr>
          <w:p>
            <w:pPr>
              <w:pStyle w:val="TableParagraph"/>
              <w:spacing w:before="40"/>
              <w:ind w:right="86"/>
              <w:jc w:val="center"/>
              <w:rPr>
                <w:sz w:val="17"/>
              </w:rPr>
            </w:pPr>
            <w:r>
              <w:rPr>
                <w:w w:val="101"/>
                <w:sz w:val="17"/>
              </w:rPr>
              <w:t>-</w:t>
            </w:r>
          </w:p>
        </w:tc>
        <w:tc>
          <w:tcPr>
            <w:tcW w:w="764" w:type="dxa"/>
          </w:tcPr>
          <w:p>
            <w:pPr>
              <w:pStyle w:val="TableParagraph"/>
              <w:spacing w:before="46"/>
              <w:ind w:right="33"/>
              <w:jc w:val="right"/>
              <w:rPr>
                <w:b/>
                <w:sz w:val="17"/>
              </w:rPr>
            </w:pPr>
            <w:r>
              <w:rPr>
                <w:b/>
                <w:sz w:val="17"/>
              </w:rPr>
              <w:t>(35,202)</w:t>
            </w:r>
          </w:p>
        </w:tc>
      </w:tr>
    </w:tbl>
    <w:p>
      <w:pPr>
        <w:tabs>
          <w:tab w:pos="4221" w:val="left" w:leader="none"/>
          <w:tab w:pos="5122" w:val="left" w:leader="none"/>
          <w:tab w:pos="6080" w:val="left" w:leader="none"/>
          <w:tab w:pos="6833" w:val="left" w:leader="none"/>
          <w:tab w:pos="7039" w:val="left" w:leader="none"/>
          <w:tab w:pos="8249" w:val="left" w:leader="none"/>
          <w:tab w:pos="9635" w:val="left" w:leader="none"/>
          <w:tab w:pos="10535" w:val="left" w:leader="none"/>
          <w:tab w:pos="10638" w:val="left" w:leader="none"/>
          <w:tab w:pos="11936" w:val="left" w:leader="none"/>
          <w:tab w:pos="12822" w:val="left" w:leader="none"/>
          <w:tab w:pos="13603" w:val="left" w:leader="none"/>
          <w:tab w:pos="14223" w:val="left" w:leader="none"/>
          <w:tab w:pos="14444" w:val="left" w:leader="none"/>
        </w:tabs>
        <w:spacing w:line="278" w:lineRule="auto" w:before="20"/>
        <w:ind w:left="548" w:right="166" w:hanging="1"/>
        <w:jc w:val="both"/>
        <w:rPr>
          <w:sz w:val="17"/>
        </w:rPr>
      </w:pPr>
      <w:r>
        <w:rPr>
          <w:spacing w:val="-12"/>
          <w:sz w:val="17"/>
        </w:rPr>
        <w:t>Impairment </w:t>
      </w:r>
      <w:r>
        <w:rPr>
          <w:spacing w:val="-5"/>
          <w:sz w:val="17"/>
        </w:rPr>
        <w:t>of  </w:t>
      </w:r>
      <w:r>
        <w:rPr>
          <w:spacing w:val="-8"/>
          <w:sz w:val="17"/>
        </w:rPr>
        <w:t>building </w:t>
      </w:r>
      <w:r>
        <w:rPr>
          <w:sz w:val="17"/>
        </w:rPr>
        <w:t>- fire</w:t>
      </w:r>
      <w:r>
        <w:rPr>
          <w:spacing w:val="-6"/>
          <w:sz w:val="17"/>
        </w:rPr>
        <w:t> </w:t>
      </w:r>
      <w:r>
        <w:rPr>
          <w:spacing w:val="-10"/>
          <w:sz w:val="17"/>
        </w:rPr>
        <w:t>damage</w:t>
        <w:tab/>
      </w:r>
      <w:r>
        <w:rPr>
          <w:position w:val="-2"/>
          <w:sz w:val="17"/>
        </w:rPr>
        <w:t>-</w:t>
        <w:tab/>
        <w:t>-</w:t>
        <w:tab/>
        <w:t>-</w:t>
        <w:tab/>
      </w:r>
      <w:r>
        <w:rPr>
          <w:spacing w:val="-6"/>
          <w:position w:val="-2"/>
          <w:sz w:val="17"/>
        </w:rPr>
        <w:t>(5,586)</w:t>
        <w:tab/>
      </w:r>
      <w:r>
        <w:rPr>
          <w:position w:val="-2"/>
          <w:sz w:val="17"/>
        </w:rPr>
        <w:t>-</w:t>
        <w:tab/>
        <w:t>-</w:t>
        <w:tab/>
        <w:tab/>
        <w:t>-</w:t>
        <w:tab/>
        <w:t>-</w:t>
        <w:tab/>
        <w:t>-</w:t>
        <w:tab/>
        <w:t>-</w:t>
        <w:tab/>
      </w:r>
      <w:r>
        <w:rPr>
          <w:b/>
          <w:spacing w:val="-7"/>
          <w:position w:val="-3"/>
          <w:sz w:val="17"/>
        </w:rPr>
        <w:t>(5,586) </w:t>
      </w:r>
      <w:r>
        <w:rPr>
          <w:spacing w:val="-9"/>
          <w:position w:val="4"/>
          <w:sz w:val="17"/>
        </w:rPr>
        <w:t>Non-Cash</w:t>
      </w:r>
      <w:r>
        <w:rPr>
          <w:spacing w:val="-3"/>
          <w:position w:val="4"/>
          <w:sz w:val="17"/>
        </w:rPr>
        <w:t> </w:t>
      </w:r>
      <w:r>
        <w:rPr>
          <w:spacing w:val="-7"/>
          <w:position w:val="4"/>
          <w:sz w:val="17"/>
        </w:rPr>
        <w:t>Adjustments</w:t>
        <w:tab/>
      </w:r>
      <w:r>
        <w:rPr>
          <w:position w:val="1"/>
          <w:sz w:val="17"/>
        </w:rPr>
        <w:t>-</w:t>
        <w:tab/>
        <w:t>-</w:t>
        <w:tab/>
        <w:t>-</w:t>
        <w:tab/>
        <w:tab/>
      </w:r>
      <w:r>
        <w:rPr>
          <w:spacing w:val="-6"/>
          <w:position w:val="1"/>
          <w:sz w:val="17"/>
        </w:rPr>
        <w:t>211</w:t>
        <w:tab/>
      </w:r>
      <w:r>
        <w:rPr>
          <w:position w:val="1"/>
          <w:sz w:val="17"/>
        </w:rPr>
        <w:t>-</w:t>
        <w:tab/>
        <w:t>-</w:t>
        <w:tab/>
      </w:r>
      <w:r>
        <w:rPr>
          <w:spacing w:val="-5"/>
          <w:position w:val="1"/>
          <w:sz w:val="17"/>
        </w:rPr>
        <w:t>(225)</w:t>
        <w:tab/>
      </w:r>
      <w:r>
        <w:rPr>
          <w:position w:val="1"/>
          <w:sz w:val="17"/>
        </w:rPr>
        <w:t>-</w:t>
        <w:tab/>
        <w:t>-</w:t>
        <w:tab/>
        <w:t>-</w:t>
        <w:tab/>
        <w:tab/>
      </w:r>
      <w:r>
        <w:rPr>
          <w:b/>
          <w:spacing w:val="-6"/>
          <w:sz w:val="17"/>
        </w:rPr>
        <w:t>(14) </w:t>
      </w:r>
      <w:r>
        <w:rPr>
          <w:spacing w:val="-4"/>
          <w:sz w:val="17"/>
        </w:rPr>
        <w:t>Transfers </w:t>
      </w:r>
      <w:r>
        <w:rPr>
          <w:sz w:val="17"/>
        </w:rPr>
        <w:t>to </w:t>
      </w:r>
      <w:r>
        <w:rPr>
          <w:spacing w:val="-8"/>
          <w:sz w:val="17"/>
        </w:rPr>
        <w:t>Freehold </w:t>
      </w:r>
      <w:r>
        <w:rPr>
          <w:spacing w:val="-9"/>
          <w:sz w:val="17"/>
        </w:rPr>
        <w:t>Buildings </w:t>
      </w:r>
      <w:r>
        <w:rPr>
          <w:spacing w:val="7"/>
          <w:sz w:val="17"/>
        </w:rPr>
        <w:t> </w:t>
      </w:r>
      <w:r>
        <w:rPr>
          <w:spacing w:val="-8"/>
          <w:sz w:val="17"/>
        </w:rPr>
        <w:t>and</w:t>
      </w:r>
    </w:p>
    <w:p>
      <w:pPr>
        <w:pStyle w:val="BodyText"/>
        <w:rPr>
          <w:sz w:val="8"/>
        </w:rPr>
      </w:pPr>
    </w:p>
    <w:tbl>
      <w:tblPr>
        <w:tblW w:w="0" w:type="auto"/>
        <w:jc w:val="left"/>
        <w:tblInd w:w="5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82"/>
        <w:gridCol w:w="1225"/>
        <w:gridCol w:w="930"/>
        <w:gridCol w:w="974"/>
        <w:gridCol w:w="1145"/>
        <w:gridCol w:w="1295"/>
        <w:gridCol w:w="1125"/>
        <w:gridCol w:w="1216"/>
        <w:gridCol w:w="1048"/>
        <w:gridCol w:w="914"/>
        <w:gridCol w:w="650"/>
        <w:gridCol w:w="867"/>
      </w:tblGrid>
      <w:tr>
        <w:trPr>
          <w:trHeight w:val="364" w:hRule="exact"/>
        </w:trPr>
        <w:tc>
          <w:tcPr>
            <w:tcW w:w="7156" w:type="dxa"/>
            <w:gridSpan w:val="5"/>
          </w:tcPr>
          <w:p>
            <w:pPr>
              <w:pStyle w:val="TableParagraph"/>
              <w:tabs>
                <w:tab w:pos="3295" w:val="left" w:leader="none"/>
                <w:tab w:pos="4608" w:val="left" w:leader="none"/>
                <w:tab w:pos="5567" w:val="left" w:leader="none"/>
                <w:tab w:pos="6555" w:val="left" w:leader="none"/>
              </w:tabs>
              <w:spacing w:line="173" w:lineRule="exact"/>
              <w:ind w:left="35"/>
              <w:rPr>
                <w:sz w:val="17"/>
              </w:rPr>
            </w:pPr>
            <w:r>
              <w:rPr>
                <w:spacing w:val="-11"/>
                <w:sz w:val="17"/>
              </w:rPr>
              <w:t>Plant</w:t>
            </w:r>
            <w:r>
              <w:rPr>
                <w:spacing w:val="-2"/>
                <w:sz w:val="17"/>
              </w:rPr>
              <w:t> </w:t>
            </w:r>
            <w:r>
              <w:rPr>
                <w:sz w:val="17"/>
              </w:rPr>
              <w:t>&amp;</w:t>
            </w:r>
            <w:r>
              <w:rPr>
                <w:spacing w:val="-13"/>
                <w:sz w:val="17"/>
              </w:rPr>
              <w:t> </w:t>
            </w:r>
            <w:r>
              <w:rPr>
                <w:spacing w:val="-12"/>
                <w:sz w:val="17"/>
              </w:rPr>
              <w:t>Equipment</w:t>
              <w:tab/>
            </w:r>
            <w:r>
              <w:rPr>
                <w:spacing w:val="-6"/>
                <w:position w:val="-5"/>
                <w:sz w:val="17"/>
              </w:rPr>
              <w:t>(136,381)</w:t>
              <w:tab/>
            </w:r>
            <w:r>
              <w:rPr>
                <w:position w:val="-5"/>
                <w:sz w:val="17"/>
              </w:rPr>
              <w:t>-</w:t>
              <w:tab/>
              <w:t>-</w:t>
              <w:tab/>
              <w:t>-</w:t>
            </w:r>
          </w:p>
          <w:p>
            <w:pPr>
              <w:pStyle w:val="TableParagraph"/>
              <w:spacing w:line="188" w:lineRule="exact" w:before="43"/>
              <w:ind w:left="35"/>
              <w:rPr>
                <w:sz w:val="17"/>
              </w:rPr>
            </w:pPr>
            <w:r>
              <w:rPr>
                <w:sz w:val="17"/>
              </w:rPr>
              <w:t>Transfers  from Construction in</w:t>
            </w:r>
          </w:p>
        </w:tc>
        <w:tc>
          <w:tcPr>
            <w:tcW w:w="1295" w:type="dxa"/>
          </w:tcPr>
          <w:p>
            <w:pPr>
              <w:pStyle w:val="TableParagraph"/>
              <w:spacing w:line="176" w:lineRule="exact"/>
              <w:ind w:right="73"/>
              <w:jc w:val="center"/>
              <w:rPr>
                <w:sz w:val="17"/>
              </w:rPr>
            </w:pPr>
            <w:r>
              <w:rPr>
                <w:w w:val="101"/>
                <w:sz w:val="17"/>
              </w:rPr>
              <w:t>-</w:t>
            </w:r>
          </w:p>
        </w:tc>
        <w:tc>
          <w:tcPr>
            <w:tcW w:w="2341" w:type="dxa"/>
            <w:gridSpan w:val="2"/>
          </w:tcPr>
          <w:p>
            <w:pPr>
              <w:pStyle w:val="TableParagraph"/>
              <w:tabs>
                <w:tab w:pos="1675" w:val="left" w:leader="none"/>
              </w:tabs>
              <w:spacing w:line="176" w:lineRule="exact"/>
              <w:ind w:left="672"/>
              <w:rPr>
                <w:sz w:val="17"/>
              </w:rPr>
            </w:pPr>
            <w:r>
              <w:rPr>
                <w:sz w:val="17"/>
              </w:rPr>
              <w:t>-</w:t>
              <w:tab/>
              <w:t>-</w:t>
            </w:r>
          </w:p>
        </w:tc>
        <w:tc>
          <w:tcPr>
            <w:tcW w:w="1048" w:type="dxa"/>
          </w:tcPr>
          <w:p>
            <w:pPr>
              <w:pStyle w:val="TableParagraph"/>
              <w:spacing w:line="176" w:lineRule="exact"/>
              <w:ind w:left="274"/>
              <w:jc w:val="center"/>
              <w:rPr>
                <w:sz w:val="17"/>
              </w:rPr>
            </w:pPr>
            <w:r>
              <w:rPr>
                <w:w w:val="101"/>
                <w:sz w:val="17"/>
              </w:rPr>
              <w:t>-</w:t>
            </w:r>
          </w:p>
        </w:tc>
        <w:tc>
          <w:tcPr>
            <w:tcW w:w="914" w:type="dxa"/>
          </w:tcPr>
          <w:p>
            <w:pPr>
              <w:pStyle w:val="TableParagraph"/>
              <w:spacing w:line="176" w:lineRule="exact"/>
              <w:ind w:left="83"/>
              <w:jc w:val="center"/>
              <w:rPr>
                <w:sz w:val="17"/>
              </w:rPr>
            </w:pPr>
            <w:r>
              <w:rPr>
                <w:w w:val="101"/>
                <w:sz w:val="17"/>
              </w:rPr>
              <w:t>-</w:t>
            </w:r>
          </w:p>
        </w:tc>
        <w:tc>
          <w:tcPr>
            <w:tcW w:w="650" w:type="dxa"/>
          </w:tcPr>
          <w:p>
            <w:pPr>
              <w:pStyle w:val="TableParagraph"/>
              <w:spacing w:line="176" w:lineRule="exact"/>
              <w:ind w:left="81"/>
              <w:jc w:val="center"/>
              <w:rPr>
                <w:sz w:val="17"/>
              </w:rPr>
            </w:pPr>
            <w:r>
              <w:rPr>
                <w:w w:val="101"/>
                <w:sz w:val="17"/>
              </w:rPr>
              <w:t>-</w:t>
            </w:r>
          </w:p>
        </w:tc>
        <w:tc>
          <w:tcPr>
            <w:tcW w:w="867" w:type="dxa"/>
          </w:tcPr>
          <w:p>
            <w:pPr>
              <w:pStyle w:val="TableParagraph"/>
              <w:spacing w:line="182" w:lineRule="exact"/>
              <w:ind w:left="87" w:right="11"/>
              <w:jc w:val="center"/>
              <w:rPr>
                <w:b/>
                <w:sz w:val="17"/>
              </w:rPr>
            </w:pPr>
            <w:r>
              <w:rPr>
                <w:b/>
                <w:sz w:val="17"/>
              </w:rPr>
              <w:t>(136,381)</w:t>
            </w:r>
          </w:p>
        </w:tc>
      </w:tr>
      <w:tr>
        <w:trPr>
          <w:trHeight w:val="397" w:hRule="exact"/>
        </w:trPr>
        <w:tc>
          <w:tcPr>
            <w:tcW w:w="7156" w:type="dxa"/>
            <w:gridSpan w:val="5"/>
          </w:tcPr>
          <w:p>
            <w:pPr>
              <w:pStyle w:val="TableParagraph"/>
              <w:tabs>
                <w:tab w:pos="3708" w:val="left" w:leader="none"/>
                <w:tab w:pos="4609" w:val="left" w:leader="none"/>
                <w:tab w:pos="5567" w:val="left" w:leader="none"/>
                <w:tab w:pos="6217" w:val="left" w:leader="none"/>
              </w:tabs>
              <w:spacing w:before="86"/>
              <w:ind w:left="35"/>
              <w:rPr>
                <w:sz w:val="17"/>
              </w:rPr>
            </w:pPr>
            <w:r>
              <w:rPr>
                <w:spacing w:val="-6"/>
                <w:position w:val="8"/>
                <w:sz w:val="17"/>
              </w:rPr>
              <w:t>Progress</w:t>
              <w:tab/>
            </w:r>
            <w:r>
              <w:rPr>
                <w:sz w:val="17"/>
              </w:rPr>
              <w:t>-</w:t>
              <w:tab/>
              <w:t>-</w:t>
              <w:tab/>
              <w:t>-</w:t>
              <w:tab/>
            </w:r>
            <w:r>
              <w:rPr>
                <w:spacing w:val="-7"/>
                <w:sz w:val="17"/>
              </w:rPr>
              <w:t>122,974</w:t>
            </w:r>
          </w:p>
        </w:tc>
        <w:tc>
          <w:tcPr>
            <w:tcW w:w="1295" w:type="dxa"/>
            <w:tcBorders>
              <w:bottom w:val="single" w:sz="7" w:space="0" w:color="000000"/>
            </w:tcBorders>
          </w:tcPr>
          <w:p>
            <w:pPr>
              <w:pStyle w:val="TableParagraph"/>
              <w:spacing w:before="5"/>
              <w:rPr>
                <w:sz w:val="14"/>
              </w:rPr>
            </w:pPr>
          </w:p>
          <w:p>
            <w:pPr>
              <w:pStyle w:val="TableParagraph"/>
              <w:ind w:right="475"/>
              <w:jc w:val="right"/>
              <w:rPr>
                <w:sz w:val="17"/>
              </w:rPr>
            </w:pPr>
            <w:r>
              <w:rPr>
                <w:sz w:val="17"/>
              </w:rPr>
              <w:t>10,058</w:t>
            </w:r>
          </w:p>
        </w:tc>
        <w:tc>
          <w:tcPr>
            <w:tcW w:w="2341" w:type="dxa"/>
            <w:gridSpan w:val="2"/>
            <w:tcBorders>
              <w:bottom w:val="single" w:sz="7" w:space="0" w:color="000000"/>
            </w:tcBorders>
          </w:tcPr>
          <w:p>
            <w:pPr>
              <w:pStyle w:val="TableParagraph"/>
              <w:spacing w:before="5"/>
              <w:rPr>
                <w:sz w:val="14"/>
              </w:rPr>
            </w:pPr>
          </w:p>
          <w:p>
            <w:pPr>
              <w:pStyle w:val="TableParagraph"/>
              <w:tabs>
                <w:tab w:pos="1513" w:val="left" w:leader="none"/>
              </w:tabs>
              <w:ind w:left="671"/>
              <w:rPr>
                <w:sz w:val="17"/>
              </w:rPr>
            </w:pPr>
            <w:r>
              <w:rPr>
                <w:sz w:val="17"/>
              </w:rPr>
              <w:t>-</w:t>
              <w:tab/>
            </w:r>
            <w:r>
              <w:rPr>
                <w:spacing w:val="-6"/>
                <w:sz w:val="17"/>
              </w:rPr>
              <w:t>2,887</w:t>
            </w:r>
          </w:p>
        </w:tc>
        <w:tc>
          <w:tcPr>
            <w:tcW w:w="1048" w:type="dxa"/>
            <w:tcBorders>
              <w:bottom w:val="single" w:sz="7" w:space="0" w:color="000000"/>
            </w:tcBorders>
          </w:tcPr>
          <w:p>
            <w:pPr>
              <w:pStyle w:val="TableParagraph"/>
              <w:spacing w:before="5"/>
              <w:rPr>
                <w:sz w:val="14"/>
              </w:rPr>
            </w:pPr>
          </w:p>
          <w:p>
            <w:pPr>
              <w:pStyle w:val="TableParagraph"/>
              <w:ind w:right="169"/>
              <w:jc w:val="right"/>
              <w:rPr>
                <w:sz w:val="17"/>
              </w:rPr>
            </w:pPr>
            <w:r>
              <w:rPr>
                <w:sz w:val="17"/>
              </w:rPr>
              <w:t>462</w:t>
            </w:r>
          </w:p>
        </w:tc>
        <w:tc>
          <w:tcPr>
            <w:tcW w:w="914" w:type="dxa"/>
            <w:tcBorders>
              <w:bottom w:val="single" w:sz="7" w:space="0" w:color="000000"/>
            </w:tcBorders>
          </w:tcPr>
          <w:p>
            <w:pPr>
              <w:pStyle w:val="TableParagraph"/>
              <w:spacing w:before="5"/>
              <w:rPr>
                <w:sz w:val="14"/>
              </w:rPr>
            </w:pPr>
          </w:p>
          <w:p>
            <w:pPr>
              <w:pStyle w:val="TableParagraph"/>
              <w:ind w:left="83"/>
              <w:jc w:val="center"/>
              <w:rPr>
                <w:sz w:val="17"/>
              </w:rPr>
            </w:pPr>
            <w:r>
              <w:rPr>
                <w:w w:val="101"/>
                <w:sz w:val="17"/>
              </w:rPr>
              <w:t>-</w:t>
            </w:r>
          </w:p>
        </w:tc>
        <w:tc>
          <w:tcPr>
            <w:tcW w:w="650" w:type="dxa"/>
            <w:tcBorders>
              <w:bottom w:val="single" w:sz="7" w:space="0" w:color="000000"/>
            </w:tcBorders>
          </w:tcPr>
          <w:p>
            <w:pPr>
              <w:pStyle w:val="TableParagraph"/>
              <w:spacing w:before="5"/>
              <w:rPr>
                <w:sz w:val="14"/>
              </w:rPr>
            </w:pPr>
          </w:p>
          <w:p>
            <w:pPr>
              <w:pStyle w:val="TableParagraph"/>
              <w:ind w:left="81"/>
              <w:jc w:val="center"/>
              <w:rPr>
                <w:sz w:val="17"/>
              </w:rPr>
            </w:pPr>
            <w:r>
              <w:rPr>
                <w:w w:val="101"/>
                <w:sz w:val="17"/>
              </w:rPr>
              <w:t>-</w:t>
            </w:r>
          </w:p>
        </w:tc>
        <w:tc>
          <w:tcPr>
            <w:tcW w:w="867" w:type="dxa"/>
            <w:tcBorders>
              <w:bottom w:val="single" w:sz="7" w:space="0" w:color="000000"/>
            </w:tcBorders>
          </w:tcPr>
          <w:p>
            <w:pPr>
              <w:pStyle w:val="TableParagraph"/>
              <w:spacing w:before="10"/>
              <w:rPr>
                <w:sz w:val="14"/>
              </w:rPr>
            </w:pPr>
          </w:p>
          <w:p>
            <w:pPr>
              <w:pStyle w:val="TableParagraph"/>
              <w:ind w:left="125" w:right="11"/>
              <w:jc w:val="center"/>
              <w:rPr>
                <w:b/>
                <w:sz w:val="17"/>
              </w:rPr>
            </w:pPr>
            <w:r>
              <w:rPr>
                <w:b/>
                <w:sz w:val="17"/>
              </w:rPr>
              <w:t>136,381</w:t>
            </w:r>
          </w:p>
        </w:tc>
      </w:tr>
      <w:tr>
        <w:trPr>
          <w:trHeight w:val="267" w:hRule="exact"/>
        </w:trPr>
        <w:tc>
          <w:tcPr>
            <w:tcW w:w="7156" w:type="dxa"/>
            <w:gridSpan w:val="5"/>
          </w:tcPr>
          <w:p>
            <w:pPr>
              <w:pStyle w:val="TableParagraph"/>
              <w:tabs>
                <w:tab w:pos="3457" w:val="left" w:leader="none"/>
                <w:tab w:pos="4268" w:val="left" w:leader="none"/>
                <w:tab w:pos="5227" w:val="left" w:leader="none"/>
                <w:tab w:pos="6216" w:val="left" w:leader="none"/>
              </w:tabs>
              <w:spacing w:before="11"/>
              <w:ind w:left="35"/>
              <w:rPr>
                <w:b/>
                <w:sz w:val="17"/>
              </w:rPr>
            </w:pPr>
            <w:r>
              <w:rPr>
                <w:b/>
                <w:spacing w:val="-3"/>
                <w:position w:val="3"/>
                <w:sz w:val="17"/>
              </w:rPr>
              <w:t>Closing </w:t>
            </w:r>
            <w:r>
              <w:rPr>
                <w:b/>
                <w:spacing w:val="-5"/>
                <w:position w:val="3"/>
                <w:sz w:val="17"/>
              </w:rPr>
              <w:t>Net</w:t>
            </w:r>
            <w:r>
              <w:rPr>
                <w:b/>
                <w:spacing w:val="5"/>
                <w:position w:val="3"/>
                <w:sz w:val="17"/>
              </w:rPr>
              <w:t> </w:t>
            </w:r>
            <w:r>
              <w:rPr>
                <w:b/>
                <w:spacing w:val="-7"/>
                <w:position w:val="3"/>
                <w:sz w:val="17"/>
              </w:rPr>
              <w:t>Book</w:t>
            </w:r>
            <w:r>
              <w:rPr>
                <w:b/>
                <w:spacing w:val="10"/>
                <w:position w:val="3"/>
                <w:sz w:val="17"/>
              </w:rPr>
              <w:t> </w:t>
            </w:r>
            <w:r>
              <w:rPr>
                <w:b/>
                <w:position w:val="3"/>
                <w:sz w:val="17"/>
              </w:rPr>
              <w:t>Amount</w:t>
              <w:tab/>
            </w:r>
            <w:r>
              <w:rPr>
                <w:b/>
                <w:spacing w:val="-7"/>
                <w:sz w:val="17"/>
              </w:rPr>
              <w:t>44,595</w:t>
              <w:tab/>
              <w:t>214,400</w:t>
              <w:tab/>
              <w:t>163,120</w:t>
              <w:tab/>
              <w:t>842,792</w:t>
            </w:r>
          </w:p>
        </w:tc>
        <w:tc>
          <w:tcPr>
            <w:tcW w:w="1295" w:type="dxa"/>
            <w:tcBorders>
              <w:top w:val="single" w:sz="7" w:space="0" w:color="000000"/>
              <w:bottom w:val="single" w:sz="6" w:space="0" w:color="000000"/>
            </w:tcBorders>
          </w:tcPr>
          <w:p>
            <w:pPr>
              <w:pStyle w:val="TableParagraph"/>
              <w:spacing w:before="33"/>
              <w:ind w:right="476"/>
              <w:jc w:val="right"/>
              <w:rPr>
                <w:b/>
                <w:sz w:val="17"/>
              </w:rPr>
            </w:pPr>
            <w:r>
              <w:rPr>
                <w:b/>
                <w:sz w:val="17"/>
              </w:rPr>
              <w:t>62,163</w:t>
            </w:r>
          </w:p>
        </w:tc>
        <w:tc>
          <w:tcPr>
            <w:tcW w:w="2341" w:type="dxa"/>
            <w:gridSpan w:val="2"/>
            <w:tcBorders>
              <w:top w:val="single" w:sz="7" w:space="0" w:color="000000"/>
              <w:bottom w:val="single" w:sz="6" w:space="0" w:color="000000"/>
            </w:tcBorders>
          </w:tcPr>
          <w:p>
            <w:pPr>
              <w:pStyle w:val="TableParagraph"/>
              <w:tabs>
                <w:tab w:pos="1424" w:val="left" w:leader="none"/>
              </w:tabs>
              <w:spacing w:before="33"/>
              <w:ind w:left="670"/>
              <w:rPr>
                <w:b/>
                <w:sz w:val="17"/>
              </w:rPr>
            </w:pPr>
            <w:r>
              <w:rPr>
                <w:b/>
                <w:sz w:val="17"/>
              </w:rPr>
              <w:t>-</w:t>
              <w:tab/>
            </w:r>
            <w:r>
              <w:rPr>
                <w:b/>
                <w:spacing w:val="-7"/>
                <w:sz w:val="17"/>
              </w:rPr>
              <w:t>46,387</w:t>
            </w:r>
          </w:p>
        </w:tc>
        <w:tc>
          <w:tcPr>
            <w:tcW w:w="1048" w:type="dxa"/>
            <w:tcBorders>
              <w:top w:val="single" w:sz="7" w:space="0" w:color="000000"/>
              <w:bottom w:val="single" w:sz="6" w:space="0" w:color="000000"/>
            </w:tcBorders>
          </w:tcPr>
          <w:p>
            <w:pPr>
              <w:pStyle w:val="TableParagraph"/>
              <w:spacing w:before="33"/>
              <w:ind w:right="177"/>
              <w:jc w:val="right"/>
              <w:rPr>
                <w:b/>
                <w:sz w:val="17"/>
              </w:rPr>
            </w:pPr>
            <w:r>
              <w:rPr>
                <w:b/>
                <w:sz w:val="17"/>
              </w:rPr>
              <w:t>1,371</w:t>
            </w:r>
          </w:p>
        </w:tc>
        <w:tc>
          <w:tcPr>
            <w:tcW w:w="914" w:type="dxa"/>
            <w:tcBorders>
              <w:top w:val="single" w:sz="7" w:space="0" w:color="000000"/>
              <w:bottom w:val="single" w:sz="6" w:space="0" w:color="000000"/>
            </w:tcBorders>
          </w:tcPr>
          <w:p>
            <w:pPr>
              <w:pStyle w:val="TableParagraph"/>
              <w:spacing w:before="33"/>
              <w:ind w:right="206"/>
              <w:jc w:val="right"/>
              <w:rPr>
                <w:b/>
                <w:sz w:val="17"/>
              </w:rPr>
            </w:pPr>
            <w:r>
              <w:rPr>
                <w:b/>
                <w:sz w:val="17"/>
              </w:rPr>
              <w:t>12,384</w:t>
            </w:r>
          </w:p>
        </w:tc>
        <w:tc>
          <w:tcPr>
            <w:tcW w:w="650" w:type="dxa"/>
            <w:tcBorders>
              <w:top w:val="single" w:sz="7" w:space="0" w:color="000000"/>
              <w:bottom w:val="single" w:sz="6" w:space="0" w:color="000000"/>
            </w:tcBorders>
          </w:tcPr>
          <w:p>
            <w:pPr>
              <w:pStyle w:val="TableParagraph"/>
              <w:spacing w:before="33"/>
              <w:ind w:left="137" w:right="40"/>
              <w:jc w:val="center"/>
              <w:rPr>
                <w:b/>
                <w:sz w:val="17"/>
              </w:rPr>
            </w:pPr>
            <w:r>
              <w:rPr>
                <w:b/>
                <w:sz w:val="17"/>
              </w:rPr>
              <w:t>3,095</w:t>
            </w:r>
          </w:p>
        </w:tc>
        <w:tc>
          <w:tcPr>
            <w:tcW w:w="867" w:type="dxa"/>
            <w:tcBorders>
              <w:top w:val="single" w:sz="7" w:space="0" w:color="000000"/>
              <w:bottom w:val="single" w:sz="6" w:space="0" w:color="000000"/>
            </w:tcBorders>
          </w:tcPr>
          <w:p>
            <w:pPr>
              <w:pStyle w:val="TableParagraph"/>
              <w:spacing w:before="33"/>
              <w:ind w:left="27" w:right="42"/>
              <w:jc w:val="center"/>
              <w:rPr>
                <w:b/>
                <w:sz w:val="17"/>
              </w:rPr>
            </w:pPr>
            <w:r>
              <w:rPr>
                <w:b/>
                <w:sz w:val="17"/>
              </w:rPr>
              <w:t>1,390,306</w:t>
            </w:r>
          </w:p>
        </w:tc>
      </w:tr>
      <w:tr>
        <w:trPr>
          <w:trHeight w:val="592" w:hRule="exact"/>
        </w:trPr>
        <w:tc>
          <w:tcPr>
            <w:tcW w:w="2882" w:type="dxa"/>
          </w:tcPr>
          <w:p>
            <w:pPr>
              <w:pStyle w:val="TableParagraph"/>
              <w:spacing w:before="127"/>
              <w:ind w:left="35"/>
              <w:rPr>
                <w:b/>
                <w:sz w:val="17"/>
              </w:rPr>
            </w:pPr>
            <w:r>
              <w:rPr>
                <w:b/>
                <w:sz w:val="17"/>
              </w:rPr>
              <w:t>At 31 December 2012</w:t>
            </w:r>
          </w:p>
          <w:p>
            <w:pPr>
              <w:pStyle w:val="TableParagraph"/>
              <w:spacing w:before="33"/>
              <w:ind w:left="35"/>
              <w:rPr>
                <w:sz w:val="17"/>
              </w:rPr>
            </w:pPr>
            <w:r>
              <w:rPr>
                <w:sz w:val="17"/>
              </w:rPr>
              <w:t>- Cost</w:t>
            </w:r>
          </w:p>
        </w:tc>
        <w:tc>
          <w:tcPr>
            <w:tcW w:w="1225" w:type="dxa"/>
          </w:tcPr>
          <w:p>
            <w:pPr>
              <w:pStyle w:val="TableParagraph"/>
              <w:rPr>
                <w:sz w:val="16"/>
              </w:rPr>
            </w:pPr>
          </w:p>
          <w:p>
            <w:pPr>
              <w:pStyle w:val="TableParagraph"/>
              <w:rPr>
                <w:sz w:val="15"/>
              </w:rPr>
            </w:pPr>
          </w:p>
          <w:p>
            <w:pPr>
              <w:pStyle w:val="TableParagraph"/>
              <w:ind w:left="539" w:right="126"/>
              <w:jc w:val="center"/>
              <w:rPr>
                <w:sz w:val="17"/>
              </w:rPr>
            </w:pPr>
            <w:r>
              <w:rPr>
                <w:sz w:val="17"/>
              </w:rPr>
              <w:t>44,595</w:t>
            </w:r>
          </w:p>
        </w:tc>
        <w:tc>
          <w:tcPr>
            <w:tcW w:w="930" w:type="dxa"/>
          </w:tcPr>
          <w:p>
            <w:pPr>
              <w:pStyle w:val="TableParagraph"/>
              <w:rPr>
                <w:sz w:val="16"/>
              </w:rPr>
            </w:pPr>
          </w:p>
          <w:p>
            <w:pPr>
              <w:pStyle w:val="TableParagraph"/>
              <w:rPr>
                <w:sz w:val="15"/>
              </w:rPr>
            </w:pPr>
          </w:p>
          <w:p>
            <w:pPr>
              <w:pStyle w:val="TableParagraph"/>
              <w:ind w:left="130"/>
              <w:jc w:val="center"/>
              <w:rPr>
                <w:sz w:val="17"/>
              </w:rPr>
            </w:pPr>
            <w:r>
              <w:rPr>
                <w:w w:val="101"/>
                <w:sz w:val="17"/>
              </w:rPr>
              <w:t>-</w:t>
            </w:r>
          </w:p>
        </w:tc>
        <w:tc>
          <w:tcPr>
            <w:tcW w:w="974" w:type="dxa"/>
          </w:tcPr>
          <w:p>
            <w:pPr>
              <w:pStyle w:val="TableParagraph"/>
              <w:rPr>
                <w:sz w:val="16"/>
              </w:rPr>
            </w:pPr>
          </w:p>
          <w:p>
            <w:pPr>
              <w:pStyle w:val="TableParagraph"/>
              <w:rPr>
                <w:sz w:val="15"/>
              </w:rPr>
            </w:pPr>
          </w:p>
          <w:p>
            <w:pPr>
              <w:pStyle w:val="TableParagraph"/>
              <w:ind w:left="145"/>
              <w:jc w:val="center"/>
              <w:rPr>
                <w:sz w:val="17"/>
              </w:rPr>
            </w:pPr>
            <w:r>
              <w:rPr>
                <w:w w:val="101"/>
                <w:sz w:val="17"/>
              </w:rPr>
              <w:t>-</w:t>
            </w:r>
          </w:p>
        </w:tc>
        <w:tc>
          <w:tcPr>
            <w:tcW w:w="1145" w:type="dxa"/>
          </w:tcPr>
          <w:p>
            <w:pPr>
              <w:pStyle w:val="TableParagraph"/>
              <w:rPr>
                <w:sz w:val="16"/>
              </w:rPr>
            </w:pPr>
          </w:p>
          <w:p>
            <w:pPr>
              <w:pStyle w:val="TableParagraph"/>
              <w:rPr>
                <w:sz w:val="15"/>
              </w:rPr>
            </w:pPr>
          </w:p>
          <w:p>
            <w:pPr>
              <w:pStyle w:val="TableParagraph"/>
              <w:ind w:right="355"/>
              <w:jc w:val="right"/>
              <w:rPr>
                <w:sz w:val="17"/>
              </w:rPr>
            </w:pPr>
            <w:r>
              <w:rPr>
                <w:sz w:val="17"/>
              </w:rPr>
              <w:t>92,553</w:t>
            </w:r>
          </w:p>
        </w:tc>
        <w:tc>
          <w:tcPr>
            <w:tcW w:w="1295" w:type="dxa"/>
          </w:tcPr>
          <w:p>
            <w:pPr>
              <w:pStyle w:val="TableParagraph"/>
              <w:rPr>
                <w:sz w:val="16"/>
              </w:rPr>
            </w:pPr>
          </w:p>
          <w:p>
            <w:pPr>
              <w:pStyle w:val="TableParagraph"/>
              <w:rPr>
                <w:sz w:val="15"/>
              </w:rPr>
            </w:pPr>
          </w:p>
          <w:p>
            <w:pPr>
              <w:pStyle w:val="TableParagraph"/>
              <w:ind w:right="476"/>
              <w:jc w:val="right"/>
              <w:rPr>
                <w:sz w:val="17"/>
              </w:rPr>
            </w:pPr>
            <w:r>
              <w:rPr>
                <w:sz w:val="17"/>
              </w:rPr>
              <w:t>807</w:t>
            </w:r>
          </w:p>
        </w:tc>
        <w:tc>
          <w:tcPr>
            <w:tcW w:w="1125" w:type="dxa"/>
          </w:tcPr>
          <w:p>
            <w:pPr>
              <w:pStyle w:val="TableParagraph"/>
              <w:rPr>
                <w:sz w:val="16"/>
              </w:rPr>
            </w:pPr>
          </w:p>
          <w:p>
            <w:pPr>
              <w:pStyle w:val="TableParagraph"/>
              <w:rPr>
                <w:sz w:val="15"/>
              </w:rPr>
            </w:pPr>
          </w:p>
          <w:p>
            <w:pPr>
              <w:pStyle w:val="TableParagraph"/>
              <w:ind w:left="478" w:right="180"/>
              <w:jc w:val="center"/>
              <w:rPr>
                <w:sz w:val="17"/>
              </w:rPr>
            </w:pPr>
            <w:r>
              <w:rPr>
                <w:sz w:val="17"/>
              </w:rPr>
              <w:t>4,594</w:t>
            </w:r>
          </w:p>
        </w:tc>
        <w:tc>
          <w:tcPr>
            <w:tcW w:w="1216" w:type="dxa"/>
          </w:tcPr>
          <w:p>
            <w:pPr>
              <w:pStyle w:val="TableParagraph"/>
              <w:rPr>
                <w:sz w:val="16"/>
              </w:rPr>
            </w:pPr>
          </w:p>
          <w:p>
            <w:pPr>
              <w:pStyle w:val="TableParagraph"/>
              <w:rPr>
                <w:sz w:val="15"/>
              </w:rPr>
            </w:pPr>
          </w:p>
          <w:p>
            <w:pPr>
              <w:pStyle w:val="TableParagraph"/>
              <w:ind w:left="210"/>
              <w:rPr>
                <w:sz w:val="17"/>
              </w:rPr>
            </w:pPr>
            <w:r>
              <w:rPr>
                <w:sz w:val="17"/>
              </w:rPr>
              <w:t>102,164</w:t>
            </w:r>
          </w:p>
        </w:tc>
        <w:tc>
          <w:tcPr>
            <w:tcW w:w="1048" w:type="dxa"/>
          </w:tcPr>
          <w:p>
            <w:pPr>
              <w:pStyle w:val="TableParagraph"/>
              <w:rPr>
                <w:sz w:val="16"/>
              </w:rPr>
            </w:pPr>
          </w:p>
          <w:p>
            <w:pPr>
              <w:pStyle w:val="TableParagraph"/>
              <w:rPr>
                <w:sz w:val="15"/>
              </w:rPr>
            </w:pPr>
          </w:p>
          <w:p>
            <w:pPr>
              <w:pStyle w:val="TableParagraph"/>
              <w:ind w:right="178"/>
              <w:jc w:val="right"/>
              <w:rPr>
                <w:sz w:val="17"/>
              </w:rPr>
            </w:pPr>
            <w:r>
              <w:rPr>
                <w:sz w:val="17"/>
              </w:rPr>
              <w:t>5,101</w:t>
            </w:r>
          </w:p>
        </w:tc>
        <w:tc>
          <w:tcPr>
            <w:tcW w:w="914" w:type="dxa"/>
          </w:tcPr>
          <w:p>
            <w:pPr>
              <w:pStyle w:val="TableParagraph"/>
              <w:rPr>
                <w:sz w:val="16"/>
              </w:rPr>
            </w:pPr>
          </w:p>
          <w:p>
            <w:pPr>
              <w:pStyle w:val="TableParagraph"/>
              <w:rPr>
                <w:sz w:val="15"/>
              </w:rPr>
            </w:pPr>
          </w:p>
          <w:p>
            <w:pPr>
              <w:pStyle w:val="TableParagraph"/>
              <w:ind w:right="207"/>
              <w:jc w:val="right"/>
              <w:rPr>
                <w:sz w:val="17"/>
              </w:rPr>
            </w:pPr>
            <w:r>
              <w:rPr>
                <w:sz w:val="17"/>
              </w:rPr>
              <w:t>85,534</w:t>
            </w:r>
          </w:p>
        </w:tc>
        <w:tc>
          <w:tcPr>
            <w:tcW w:w="650" w:type="dxa"/>
          </w:tcPr>
          <w:p>
            <w:pPr>
              <w:pStyle w:val="TableParagraph"/>
              <w:rPr>
                <w:sz w:val="16"/>
              </w:rPr>
            </w:pPr>
          </w:p>
          <w:p>
            <w:pPr>
              <w:pStyle w:val="TableParagraph"/>
              <w:rPr>
                <w:sz w:val="15"/>
              </w:rPr>
            </w:pPr>
          </w:p>
          <w:p>
            <w:pPr>
              <w:pStyle w:val="TableParagraph"/>
              <w:ind w:left="79"/>
              <w:jc w:val="center"/>
              <w:rPr>
                <w:sz w:val="17"/>
              </w:rPr>
            </w:pPr>
            <w:r>
              <w:rPr>
                <w:w w:val="101"/>
                <w:sz w:val="17"/>
              </w:rPr>
              <w:t>-</w:t>
            </w:r>
          </w:p>
        </w:tc>
        <w:tc>
          <w:tcPr>
            <w:tcW w:w="867" w:type="dxa"/>
          </w:tcPr>
          <w:p>
            <w:pPr>
              <w:pStyle w:val="TableParagraph"/>
              <w:rPr>
                <w:sz w:val="16"/>
              </w:rPr>
            </w:pPr>
          </w:p>
          <w:p>
            <w:pPr>
              <w:pStyle w:val="TableParagraph"/>
              <w:spacing w:before="6"/>
              <w:rPr>
                <w:sz w:val="15"/>
              </w:rPr>
            </w:pPr>
          </w:p>
          <w:p>
            <w:pPr>
              <w:pStyle w:val="TableParagraph"/>
              <w:ind w:left="125" w:right="11"/>
              <w:jc w:val="center"/>
              <w:rPr>
                <w:b/>
                <w:sz w:val="17"/>
              </w:rPr>
            </w:pPr>
            <w:r>
              <w:rPr>
                <w:b/>
                <w:sz w:val="17"/>
              </w:rPr>
              <w:t>335,348</w:t>
            </w:r>
          </w:p>
        </w:tc>
      </w:tr>
      <w:tr>
        <w:trPr>
          <w:trHeight w:val="236" w:hRule="exact"/>
        </w:trPr>
        <w:tc>
          <w:tcPr>
            <w:tcW w:w="2882" w:type="dxa"/>
          </w:tcPr>
          <w:p>
            <w:pPr>
              <w:pStyle w:val="TableParagraph"/>
              <w:spacing w:before="9"/>
              <w:ind w:left="35"/>
              <w:rPr>
                <w:sz w:val="17"/>
              </w:rPr>
            </w:pPr>
            <w:r>
              <w:rPr>
                <w:sz w:val="17"/>
              </w:rPr>
              <w:t>- Valuation</w:t>
            </w:r>
          </w:p>
        </w:tc>
        <w:tc>
          <w:tcPr>
            <w:tcW w:w="1225" w:type="dxa"/>
          </w:tcPr>
          <w:p>
            <w:pPr>
              <w:pStyle w:val="TableParagraph"/>
              <w:spacing w:before="9"/>
              <w:ind w:left="485"/>
              <w:jc w:val="center"/>
              <w:rPr>
                <w:sz w:val="17"/>
              </w:rPr>
            </w:pPr>
            <w:r>
              <w:rPr>
                <w:w w:val="101"/>
                <w:sz w:val="17"/>
              </w:rPr>
              <w:t>-</w:t>
            </w:r>
          </w:p>
        </w:tc>
        <w:tc>
          <w:tcPr>
            <w:tcW w:w="930" w:type="dxa"/>
          </w:tcPr>
          <w:p>
            <w:pPr>
              <w:pStyle w:val="TableParagraph"/>
              <w:spacing w:before="9"/>
              <w:ind w:left="162"/>
              <w:rPr>
                <w:sz w:val="17"/>
              </w:rPr>
            </w:pPr>
            <w:r>
              <w:rPr>
                <w:sz w:val="17"/>
              </w:rPr>
              <w:t>214,400</w:t>
            </w:r>
          </w:p>
        </w:tc>
        <w:tc>
          <w:tcPr>
            <w:tcW w:w="974" w:type="dxa"/>
          </w:tcPr>
          <w:p>
            <w:pPr>
              <w:pStyle w:val="TableParagraph"/>
              <w:spacing w:before="9"/>
              <w:ind w:left="191"/>
              <w:rPr>
                <w:sz w:val="17"/>
              </w:rPr>
            </w:pPr>
            <w:r>
              <w:rPr>
                <w:sz w:val="17"/>
              </w:rPr>
              <w:t>163,120</w:t>
            </w:r>
          </w:p>
        </w:tc>
        <w:tc>
          <w:tcPr>
            <w:tcW w:w="1145" w:type="dxa"/>
          </w:tcPr>
          <w:p>
            <w:pPr>
              <w:pStyle w:val="TableParagraph"/>
              <w:spacing w:before="9"/>
              <w:ind w:right="356"/>
              <w:jc w:val="right"/>
              <w:rPr>
                <w:sz w:val="17"/>
              </w:rPr>
            </w:pPr>
            <w:r>
              <w:rPr>
                <w:sz w:val="17"/>
              </w:rPr>
              <w:t>755,359</w:t>
            </w:r>
          </w:p>
        </w:tc>
        <w:tc>
          <w:tcPr>
            <w:tcW w:w="1295" w:type="dxa"/>
          </w:tcPr>
          <w:p>
            <w:pPr>
              <w:pStyle w:val="TableParagraph"/>
              <w:spacing w:before="9"/>
              <w:ind w:right="476"/>
              <w:jc w:val="right"/>
              <w:rPr>
                <w:sz w:val="17"/>
              </w:rPr>
            </w:pPr>
            <w:r>
              <w:rPr>
                <w:sz w:val="17"/>
              </w:rPr>
              <w:t>62,395</w:t>
            </w:r>
          </w:p>
        </w:tc>
        <w:tc>
          <w:tcPr>
            <w:tcW w:w="1125" w:type="dxa"/>
          </w:tcPr>
          <w:p>
            <w:pPr>
              <w:pStyle w:val="TableParagraph"/>
              <w:spacing w:before="9"/>
              <w:ind w:left="274"/>
              <w:jc w:val="center"/>
              <w:rPr>
                <w:sz w:val="17"/>
              </w:rPr>
            </w:pPr>
            <w:r>
              <w:rPr>
                <w:w w:val="101"/>
                <w:sz w:val="17"/>
              </w:rPr>
              <w:t>-</w:t>
            </w:r>
          </w:p>
        </w:tc>
        <w:tc>
          <w:tcPr>
            <w:tcW w:w="1216" w:type="dxa"/>
          </w:tcPr>
          <w:p>
            <w:pPr>
              <w:pStyle w:val="TableParagraph"/>
              <w:spacing w:before="9"/>
              <w:ind w:right="57"/>
              <w:jc w:val="center"/>
              <w:rPr>
                <w:sz w:val="17"/>
              </w:rPr>
            </w:pPr>
            <w:r>
              <w:rPr>
                <w:w w:val="101"/>
                <w:sz w:val="17"/>
              </w:rPr>
              <w:t>-</w:t>
            </w:r>
          </w:p>
        </w:tc>
        <w:tc>
          <w:tcPr>
            <w:tcW w:w="1048" w:type="dxa"/>
          </w:tcPr>
          <w:p>
            <w:pPr>
              <w:pStyle w:val="TableParagraph"/>
              <w:spacing w:before="9"/>
              <w:ind w:left="273"/>
              <w:jc w:val="center"/>
              <w:rPr>
                <w:sz w:val="17"/>
              </w:rPr>
            </w:pPr>
            <w:r>
              <w:rPr>
                <w:w w:val="101"/>
                <w:sz w:val="17"/>
              </w:rPr>
              <w:t>-</w:t>
            </w:r>
          </w:p>
        </w:tc>
        <w:tc>
          <w:tcPr>
            <w:tcW w:w="914" w:type="dxa"/>
          </w:tcPr>
          <w:p>
            <w:pPr>
              <w:pStyle w:val="TableParagraph"/>
              <w:spacing w:before="9"/>
              <w:ind w:left="82"/>
              <w:jc w:val="center"/>
              <w:rPr>
                <w:sz w:val="17"/>
              </w:rPr>
            </w:pPr>
            <w:r>
              <w:rPr>
                <w:w w:val="101"/>
                <w:sz w:val="17"/>
              </w:rPr>
              <w:t>-</w:t>
            </w:r>
          </w:p>
        </w:tc>
        <w:tc>
          <w:tcPr>
            <w:tcW w:w="650" w:type="dxa"/>
          </w:tcPr>
          <w:p>
            <w:pPr>
              <w:pStyle w:val="TableParagraph"/>
              <w:spacing w:before="9"/>
              <w:ind w:left="140" w:right="36"/>
              <w:jc w:val="center"/>
              <w:rPr>
                <w:sz w:val="17"/>
              </w:rPr>
            </w:pPr>
            <w:r>
              <w:rPr>
                <w:sz w:val="17"/>
              </w:rPr>
              <w:t>3,095</w:t>
            </w:r>
          </w:p>
        </w:tc>
        <w:tc>
          <w:tcPr>
            <w:tcW w:w="867" w:type="dxa"/>
          </w:tcPr>
          <w:p>
            <w:pPr>
              <w:pStyle w:val="TableParagraph"/>
              <w:spacing w:before="15"/>
              <w:ind w:left="26" w:right="42"/>
              <w:jc w:val="center"/>
              <w:rPr>
                <w:b/>
                <w:sz w:val="17"/>
              </w:rPr>
            </w:pPr>
            <w:r>
              <w:rPr>
                <w:b/>
                <w:sz w:val="17"/>
              </w:rPr>
              <w:t>1,198,368</w:t>
            </w:r>
          </w:p>
        </w:tc>
      </w:tr>
      <w:tr>
        <w:trPr>
          <w:trHeight w:val="241" w:hRule="exact"/>
        </w:trPr>
        <w:tc>
          <w:tcPr>
            <w:tcW w:w="2882" w:type="dxa"/>
          </w:tcPr>
          <w:p>
            <w:pPr>
              <w:pStyle w:val="TableParagraph"/>
              <w:spacing w:before="9"/>
              <w:ind w:left="35"/>
              <w:rPr>
                <w:sz w:val="17"/>
              </w:rPr>
            </w:pPr>
            <w:r>
              <w:rPr>
                <w:sz w:val="17"/>
              </w:rPr>
              <w:t>Accumulated  depreciation</w:t>
            </w:r>
          </w:p>
        </w:tc>
        <w:tc>
          <w:tcPr>
            <w:tcW w:w="4274" w:type="dxa"/>
            <w:gridSpan w:val="4"/>
            <w:tcBorders>
              <w:bottom w:val="single" w:sz="6" w:space="0" w:color="000000"/>
            </w:tcBorders>
          </w:tcPr>
          <w:p>
            <w:pPr>
              <w:pStyle w:val="TableParagraph"/>
              <w:tabs>
                <w:tab w:pos="1727" w:val="left" w:leader="none"/>
                <w:tab w:pos="2685" w:val="left" w:leader="none"/>
                <w:tab w:pos="3438" w:val="left" w:leader="none"/>
              </w:tabs>
              <w:spacing w:before="9"/>
              <w:ind w:left="826"/>
              <w:rPr>
                <w:sz w:val="17"/>
              </w:rPr>
            </w:pPr>
            <w:r>
              <w:rPr>
                <w:sz w:val="17"/>
              </w:rPr>
              <w:t>-</w:t>
              <w:tab/>
              <w:t>-</w:t>
              <w:tab/>
              <w:t>-</w:t>
              <w:tab/>
            </w:r>
            <w:r>
              <w:rPr>
                <w:spacing w:val="-7"/>
                <w:sz w:val="17"/>
              </w:rPr>
              <w:t>(5,120)</w:t>
            </w:r>
          </w:p>
        </w:tc>
        <w:tc>
          <w:tcPr>
            <w:tcW w:w="1295" w:type="dxa"/>
            <w:tcBorders>
              <w:bottom w:val="single" w:sz="6" w:space="0" w:color="000000"/>
            </w:tcBorders>
          </w:tcPr>
          <w:p>
            <w:pPr>
              <w:pStyle w:val="TableParagraph"/>
              <w:spacing w:before="9"/>
              <w:ind w:right="433"/>
              <w:jc w:val="right"/>
              <w:rPr>
                <w:sz w:val="17"/>
              </w:rPr>
            </w:pPr>
            <w:r>
              <w:rPr>
                <w:sz w:val="17"/>
              </w:rPr>
              <w:t>(1,039)</w:t>
            </w:r>
          </w:p>
        </w:tc>
        <w:tc>
          <w:tcPr>
            <w:tcW w:w="2341" w:type="dxa"/>
            <w:gridSpan w:val="2"/>
            <w:tcBorders>
              <w:bottom w:val="single" w:sz="6" w:space="0" w:color="000000"/>
            </w:tcBorders>
          </w:tcPr>
          <w:p>
            <w:pPr>
              <w:pStyle w:val="TableParagraph"/>
              <w:tabs>
                <w:tab w:pos="1350" w:val="left" w:leader="none"/>
              </w:tabs>
              <w:spacing w:before="9"/>
              <w:ind w:left="435"/>
              <w:rPr>
                <w:sz w:val="17"/>
              </w:rPr>
            </w:pPr>
            <w:r>
              <w:rPr>
                <w:spacing w:val="-6"/>
                <w:sz w:val="17"/>
              </w:rPr>
              <w:t>(4,594)</w:t>
              <w:tab/>
            </w:r>
            <w:r>
              <w:rPr>
                <w:spacing w:val="-7"/>
                <w:sz w:val="17"/>
              </w:rPr>
              <w:t>(55,777)</w:t>
            </w:r>
          </w:p>
        </w:tc>
        <w:tc>
          <w:tcPr>
            <w:tcW w:w="1048" w:type="dxa"/>
            <w:tcBorders>
              <w:bottom w:val="single" w:sz="6" w:space="0" w:color="000000"/>
            </w:tcBorders>
          </w:tcPr>
          <w:p>
            <w:pPr>
              <w:pStyle w:val="TableParagraph"/>
              <w:spacing w:before="9"/>
              <w:ind w:right="142"/>
              <w:jc w:val="right"/>
              <w:rPr>
                <w:sz w:val="17"/>
              </w:rPr>
            </w:pPr>
            <w:r>
              <w:rPr>
                <w:sz w:val="17"/>
              </w:rPr>
              <w:t>(3,730)</w:t>
            </w:r>
          </w:p>
        </w:tc>
        <w:tc>
          <w:tcPr>
            <w:tcW w:w="914" w:type="dxa"/>
            <w:tcBorders>
              <w:bottom w:val="single" w:sz="6" w:space="0" w:color="000000"/>
            </w:tcBorders>
          </w:tcPr>
          <w:p>
            <w:pPr>
              <w:pStyle w:val="TableParagraph"/>
              <w:spacing w:before="9"/>
              <w:ind w:right="172"/>
              <w:jc w:val="right"/>
              <w:rPr>
                <w:sz w:val="17"/>
              </w:rPr>
            </w:pPr>
            <w:r>
              <w:rPr>
                <w:sz w:val="17"/>
              </w:rPr>
              <w:t>(73,150)</w:t>
            </w:r>
          </w:p>
        </w:tc>
        <w:tc>
          <w:tcPr>
            <w:tcW w:w="1517" w:type="dxa"/>
            <w:gridSpan w:val="2"/>
            <w:tcBorders>
              <w:bottom w:val="single" w:sz="6" w:space="0" w:color="000000"/>
            </w:tcBorders>
          </w:tcPr>
          <w:p>
            <w:pPr>
              <w:pStyle w:val="TableParagraph"/>
              <w:tabs>
                <w:tab w:pos="778" w:val="left" w:leader="none"/>
              </w:tabs>
              <w:spacing w:before="5"/>
              <w:ind w:left="336"/>
              <w:rPr>
                <w:b/>
                <w:sz w:val="17"/>
              </w:rPr>
            </w:pPr>
            <w:r>
              <w:rPr>
                <w:position w:val="1"/>
                <w:sz w:val="17"/>
              </w:rPr>
              <w:t>-</w:t>
              <w:tab/>
            </w:r>
            <w:r>
              <w:rPr>
                <w:b/>
                <w:spacing w:val="-7"/>
                <w:sz w:val="17"/>
              </w:rPr>
              <w:t>(143,410)</w:t>
            </w:r>
          </w:p>
        </w:tc>
      </w:tr>
      <w:tr>
        <w:trPr>
          <w:trHeight w:val="251" w:hRule="exact"/>
        </w:trPr>
        <w:tc>
          <w:tcPr>
            <w:tcW w:w="2882" w:type="dxa"/>
          </w:tcPr>
          <w:p>
            <w:pPr>
              <w:pStyle w:val="TableParagraph"/>
              <w:spacing w:before="10"/>
              <w:ind w:left="35"/>
              <w:rPr>
                <w:b/>
                <w:sz w:val="17"/>
              </w:rPr>
            </w:pPr>
            <w:r>
              <w:rPr>
                <w:b/>
                <w:sz w:val="17"/>
              </w:rPr>
              <w:t>Net Book Amount</w:t>
            </w:r>
          </w:p>
        </w:tc>
        <w:tc>
          <w:tcPr>
            <w:tcW w:w="4274" w:type="dxa"/>
            <w:gridSpan w:val="4"/>
            <w:tcBorders>
              <w:top w:val="single" w:sz="6" w:space="0" w:color="000000"/>
              <w:bottom w:val="single" w:sz="19" w:space="0" w:color="000000"/>
            </w:tcBorders>
          </w:tcPr>
          <w:p>
            <w:pPr>
              <w:pStyle w:val="TableParagraph"/>
              <w:tabs>
                <w:tab w:pos="1386" w:val="left" w:leader="none"/>
                <w:tab w:pos="2345" w:val="left" w:leader="none"/>
                <w:tab w:pos="3334" w:val="left" w:leader="none"/>
              </w:tabs>
              <w:spacing w:before="2"/>
              <w:ind w:left="575"/>
              <w:rPr>
                <w:b/>
                <w:sz w:val="17"/>
              </w:rPr>
            </w:pPr>
            <w:r>
              <w:rPr>
                <w:b/>
                <w:spacing w:val="-7"/>
                <w:sz w:val="17"/>
              </w:rPr>
              <w:t>44,595</w:t>
              <w:tab/>
              <w:t>214,400</w:t>
              <w:tab/>
              <w:t>163,120</w:t>
              <w:tab/>
              <w:t>842,792</w:t>
            </w:r>
          </w:p>
        </w:tc>
        <w:tc>
          <w:tcPr>
            <w:tcW w:w="1295" w:type="dxa"/>
            <w:tcBorders>
              <w:top w:val="single" w:sz="6" w:space="0" w:color="000000"/>
              <w:bottom w:val="single" w:sz="19" w:space="0" w:color="000000"/>
            </w:tcBorders>
          </w:tcPr>
          <w:p>
            <w:pPr>
              <w:pStyle w:val="TableParagraph"/>
              <w:spacing w:before="2"/>
              <w:ind w:right="477"/>
              <w:jc w:val="right"/>
              <w:rPr>
                <w:b/>
                <w:sz w:val="17"/>
              </w:rPr>
            </w:pPr>
            <w:r>
              <w:rPr>
                <w:b/>
                <w:sz w:val="17"/>
              </w:rPr>
              <w:t>62,163</w:t>
            </w:r>
          </w:p>
        </w:tc>
        <w:tc>
          <w:tcPr>
            <w:tcW w:w="2341" w:type="dxa"/>
            <w:gridSpan w:val="2"/>
            <w:tcBorders>
              <w:top w:val="single" w:sz="6" w:space="0" w:color="000000"/>
              <w:bottom w:val="single" w:sz="19" w:space="0" w:color="000000"/>
            </w:tcBorders>
          </w:tcPr>
          <w:p>
            <w:pPr>
              <w:pStyle w:val="TableParagraph"/>
              <w:tabs>
                <w:tab w:pos="1423" w:val="left" w:leader="none"/>
              </w:tabs>
              <w:spacing w:before="2"/>
              <w:ind w:left="670"/>
              <w:rPr>
                <w:b/>
                <w:sz w:val="17"/>
              </w:rPr>
            </w:pPr>
            <w:r>
              <w:rPr>
                <w:b/>
                <w:sz w:val="17"/>
              </w:rPr>
              <w:t>-</w:t>
              <w:tab/>
            </w:r>
            <w:r>
              <w:rPr>
                <w:b/>
                <w:spacing w:val="-7"/>
                <w:sz w:val="17"/>
              </w:rPr>
              <w:t>46,387</w:t>
            </w:r>
          </w:p>
        </w:tc>
        <w:tc>
          <w:tcPr>
            <w:tcW w:w="1048" w:type="dxa"/>
            <w:tcBorders>
              <w:top w:val="single" w:sz="6" w:space="0" w:color="000000"/>
              <w:bottom w:val="single" w:sz="19" w:space="0" w:color="000000"/>
            </w:tcBorders>
          </w:tcPr>
          <w:p>
            <w:pPr>
              <w:pStyle w:val="TableParagraph"/>
              <w:spacing w:before="2"/>
              <w:ind w:right="177"/>
              <w:jc w:val="right"/>
              <w:rPr>
                <w:b/>
                <w:sz w:val="17"/>
              </w:rPr>
            </w:pPr>
            <w:r>
              <w:rPr>
                <w:b/>
                <w:sz w:val="17"/>
              </w:rPr>
              <w:t>1,371</w:t>
            </w:r>
          </w:p>
        </w:tc>
        <w:tc>
          <w:tcPr>
            <w:tcW w:w="914" w:type="dxa"/>
            <w:tcBorders>
              <w:top w:val="single" w:sz="6" w:space="0" w:color="000000"/>
              <w:bottom w:val="single" w:sz="19" w:space="0" w:color="000000"/>
            </w:tcBorders>
          </w:tcPr>
          <w:p>
            <w:pPr>
              <w:pStyle w:val="TableParagraph"/>
              <w:spacing w:before="2"/>
              <w:ind w:right="206"/>
              <w:jc w:val="right"/>
              <w:rPr>
                <w:b/>
                <w:sz w:val="17"/>
              </w:rPr>
            </w:pPr>
            <w:r>
              <w:rPr>
                <w:b/>
                <w:sz w:val="17"/>
              </w:rPr>
              <w:t>12,384</w:t>
            </w:r>
          </w:p>
        </w:tc>
        <w:tc>
          <w:tcPr>
            <w:tcW w:w="1517" w:type="dxa"/>
            <w:gridSpan w:val="2"/>
            <w:tcBorders>
              <w:top w:val="single" w:sz="6" w:space="0" w:color="000000"/>
              <w:bottom w:val="single" w:sz="19" w:space="0" w:color="000000"/>
            </w:tcBorders>
          </w:tcPr>
          <w:p>
            <w:pPr>
              <w:pStyle w:val="TableParagraph"/>
              <w:spacing w:before="2"/>
              <w:ind w:left="174"/>
              <w:rPr>
                <w:b/>
                <w:sz w:val="17"/>
              </w:rPr>
            </w:pPr>
            <w:r>
              <w:rPr>
                <w:b/>
                <w:spacing w:val="-6"/>
                <w:sz w:val="17"/>
              </w:rPr>
              <w:t>3,095    </w:t>
            </w:r>
            <w:r>
              <w:rPr>
                <w:b/>
                <w:spacing w:val="-8"/>
                <w:sz w:val="17"/>
              </w:rPr>
              <w:t>1,390,306</w:t>
            </w:r>
          </w:p>
        </w:tc>
      </w:tr>
    </w:tbl>
    <w:p>
      <w:pPr>
        <w:spacing w:after="0"/>
        <w:rPr>
          <w:sz w:val="17"/>
        </w:rPr>
        <w:sectPr>
          <w:type w:val="continuous"/>
          <w:pgSz w:w="16840" w:h="11910" w:orient="landscape"/>
          <w:pgMar w:top="0" w:bottom="280" w:left="900" w:right="1040"/>
        </w:sectPr>
      </w:pPr>
    </w:p>
    <w:p>
      <w:pPr>
        <w:pStyle w:val="BodyText"/>
        <w:spacing w:before="7"/>
        <w:rPr>
          <w:sz w:val="26"/>
        </w:rPr>
      </w:pPr>
    </w:p>
    <w:p>
      <w:pPr>
        <w:pStyle w:val="Heading9"/>
        <w:numPr>
          <w:ilvl w:val="0"/>
          <w:numId w:val="15"/>
        </w:numPr>
        <w:tabs>
          <w:tab w:pos="506" w:val="left" w:leader="none"/>
        </w:tabs>
        <w:spacing w:line="240" w:lineRule="auto" w:before="77" w:after="0"/>
        <w:ind w:left="505" w:right="0" w:hanging="396"/>
        <w:jc w:val="left"/>
      </w:pPr>
      <w:r>
        <w:rPr/>
        <w:t>Intangible</w:t>
      </w:r>
      <w:r>
        <w:rPr>
          <w:spacing w:val="-2"/>
        </w:rPr>
        <w:t> </w:t>
      </w:r>
      <w:r>
        <w:rPr/>
        <w:t>Assets</w:t>
      </w:r>
    </w:p>
    <w:p>
      <w:pPr>
        <w:tabs>
          <w:tab w:pos="7300" w:val="left" w:leader="none"/>
        </w:tabs>
        <w:spacing w:before="33"/>
        <w:ind w:left="4537" w:right="125" w:firstLine="0"/>
        <w:jc w:val="left"/>
        <w:rPr>
          <w:b/>
          <w:sz w:val="18"/>
        </w:rPr>
      </w:pPr>
      <w:r>
        <w:rPr>
          <w:b/>
          <w:sz w:val="18"/>
        </w:rPr>
        <w:t>Consolidated</w:t>
        <w:tab/>
        <w:t>Parent</w:t>
      </w:r>
    </w:p>
    <w:p>
      <w:pPr>
        <w:spacing w:after="0"/>
        <w:jc w:val="left"/>
        <w:rPr>
          <w:sz w:val="18"/>
        </w:rPr>
        <w:sectPr>
          <w:headerReference w:type="default" r:id="rId80"/>
          <w:footerReference w:type="default" r:id="rId81"/>
          <w:pgSz w:w="11910" w:h="16840"/>
          <w:pgMar w:header="1038" w:footer="507" w:top="2220" w:bottom="700" w:left="900" w:right="860"/>
          <w:pgNumType w:start="44"/>
        </w:sectPr>
      </w:pPr>
    </w:p>
    <w:p>
      <w:pPr>
        <w:pStyle w:val="BodyText"/>
        <w:rPr>
          <w:b/>
        </w:rPr>
      </w:pPr>
    </w:p>
    <w:p>
      <w:pPr>
        <w:pStyle w:val="BodyText"/>
        <w:rPr>
          <w:b/>
        </w:rPr>
      </w:pPr>
    </w:p>
    <w:p>
      <w:pPr>
        <w:pStyle w:val="BodyText"/>
        <w:spacing w:before="9"/>
        <w:rPr>
          <w:b/>
          <w:sz w:val="16"/>
        </w:rPr>
      </w:pPr>
    </w:p>
    <w:p>
      <w:pPr>
        <w:spacing w:before="1"/>
        <w:ind w:left="548" w:right="-20" w:firstLine="0"/>
        <w:jc w:val="left"/>
        <w:rPr>
          <w:b/>
          <w:sz w:val="18"/>
        </w:rPr>
      </w:pPr>
      <w:r>
        <w:rPr>
          <w:b/>
          <w:sz w:val="18"/>
        </w:rPr>
        <w:t>Licences</w:t>
      </w:r>
    </w:p>
    <w:p>
      <w:pPr>
        <w:spacing w:before="66"/>
        <w:ind w:left="548" w:right="-20" w:firstLine="0"/>
        <w:jc w:val="left"/>
        <w:rPr>
          <w:b/>
          <w:sz w:val="18"/>
        </w:rPr>
      </w:pPr>
      <w:r>
        <w:rPr/>
        <w:br w:type="column"/>
      </w:r>
      <w:r>
        <w:rPr>
          <w:b/>
          <w:sz w:val="18"/>
        </w:rPr>
        <w:t>2012</w:t>
      </w:r>
    </w:p>
    <w:p>
      <w:pPr>
        <w:spacing w:before="66"/>
        <w:ind w:left="548" w:right="-20" w:firstLine="0"/>
        <w:jc w:val="left"/>
        <w:rPr>
          <w:b/>
          <w:sz w:val="18"/>
        </w:rPr>
      </w:pPr>
      <w:r>
        <w:rPr>
          <w:b/>
          <w:sz w:val="18"/>
        </w:rPr>
        <w:t>$'000</w:t>
      </w:r>
    </w:p>
    <w:p>
      <w:pPr>
        <w:spacing w:before="66"/>
        <w:ind w:left="548" w:right="-20" w:firstLine="0"/>
        <w:jc w:val="left"/>
        <w:rPr>
          <w:b/>
          <w:sz w:val="18"/>
        </w:rPr>
      </w:pPr>
      <w:r>
        <w:rPr/>
        <w:br w:type="column"/>
      </w:r>
      <w:r>
        <w:rPr>
          <w:b/>
          <w:sz w:val="18"/>
        </w:rPr>
        <w:t>2011</w:t>
      </w:r>
    </w:p>
    <w:p>
      <w:pPr>
        <w:spacing w:before="66"/>
        <w:ind w:left="548" w:right="-20" w:firstLine="0"/>
        <w:jc w:val="left"/>
        <w:rPr>
          <w:b/>
          <w:sz w:val="18"/>
        </w:rPr>
      </w:pPr>
      <w:r>
        <w:rPr>
          <w:b/>
          <w:sz w:val="18"/>
        </w:rPr>
        <w:t>$'000</w:t>
      </w:r>
    </w:p>
    <w:p>
      <w:pPr>
        <w:spacing w:before="66"/>
        <w:ind w:left="548" w:right="-20" w:firstLine="0"/>
        <w:jc w:val="left"/>
        <w:rPr>
          <w:b/>
          <w:sz w:val="18"/>
        </w:rPr>
      </w:pPr>
      <w:r>
        <w:rPr/>
        <w:br w:type="column"/>
      </w:r>
      <w:r>
        <w:rPr>
          <w:b/>
          <w:sz w:val="18"/>
        </w:rPr>
        <w:t>2012</w:t>
      </w:r>
    </w:p>
    <w:p>
      <w:pPr>
        <w:spacing w:before="66"/>
        <w:ind w:left="548" w:right="-20" w:firstLine="0"/>
        <w:jc w:val="left"/>
        <w:rPr>
          <w:b/>
          <w:sz w:val="18"/>
        </w:rPr>
      </w:pPr>
      <w:r>
        <w:rPr>
          <w:b/>
          <w:sz w:val="18"/>
        </w:rPr>
        <w:t>$'000</w:t>
      </w:r>
    </w:p>
    <w:p>
      <w:pPr>
        <w:spacing w:before="66"/>
        <w:ind w:left="548" w:right="0" w:firstLine="0"/>
        <w:jc w:val="left"/>
        <w:rPr>
          <w:b/>
          <w:sz w:val="18"/>
        </w:rPr>
      </w:pPr>
      <w:r>
        <w:rPr/>
        <w:br w:type="column"/>
      </w:r>
      <w:r>
        <w:rPr>
          <w:b/>
          <w:sz w:val="18"/>
        </w:rPr>
        <w:t>2011</w:t>
      </w:r>
    </w:p>
    <w:p>
      <w:pPr>
        <w:spacing w:before="66"/>
        <w:ind w:left="548" w:right="0" w:firstLine="0"/>
        <w:jc w:val="left"/>
        <w:rPr>
          <w:b/>
          <w:sz w:val="18"/>
        </w:rPr>
      </w:pPr>
      <w:r>
        <w:rPr>
          <w:b/>
          <w:sz w:val="18"/>
        </w:rPr>
        <w:t>$'000</w:t>
      </w:r>
    </w:p>
    <w:p>
      <w:pPr>
        <w:spacing w:after="0"/>
        <w:jc w:val="left"/>
        <w:rPr>
          <w:sz w:val="18"/>
        </w:rPr>
        <w:sectPr>
          <w:type w:val="continuous"/>
          <w:pgSz w:w="11910" w:h="16840"/>
          <w:pgMar w:top="0" w:bottom="280" w:left="900" w:right="860"/>
          <w:cols w:num="5" w:equalWidth="0">
            <w:col w:w="1319" w:space="2868"/>
            <w:col w:w="992" w:space="276"/>
            <w:col w:w="992" w:space="503"/>
            <w:col w:w="992" w:space="276"/>
            <w:col w:w="1932"/>
          </w:cols>
        </w:sectPr>
      </w:pPr>
    </w:p>
    <w:p>
      <w:pPr>
        <w:tabs>
          <w:tab w:pos="5574" w:val="left" w:leader="none"/>
          <w:tab w:pos="6870" w:val="left" w:leader="none"/>
          <w:tab w:pos="8337" w:val="left" w:leader="none"/>
          <w:tab w:pos="9933" w:val="right" w:leader="none"/>
        </w:tabs>
        <w:spacing w:before="57"/>
        <w:ind w:left="548" w:right="0" w:firstLine="0"/>
        <w:jc w:val="left"/>
        <w:rPr>
          <w:sz w:val="18"/>
        </w:rPr>
      </w:pPr>
      <w:r>
        <w:rPr>
          <w:sz w:val="18"/>
        </w:rPr>
        <w:t>Cost</w:t>
        <w:tab/>
      </w:r>
      <w:r>
        <w:rPr>
          <w:b/>
          <w:sz w:val="18"/>
        </w:rPr>
        <w:t>756</w:t>
        <w:tab/>
      </w:r>
      <w:r>
        <w:rPr>
          <w:sz w:val="18"/>
        </w:rPr>
        <w:t>788</w:t>
        <w:tab/>
      </w:r>
      <w:r>
        <w:rPr>
          <w:b/>
          <w:sz w:val="18"/>
        </w:rPr>
        <w:t>275</w:t>
      </w:r>
      <w:r>
        <w:rPr>
          <w:rFonts w:ascii="Times New Roman"/>
          <w:sz w:val="18"/>
        </w:rPr>
        <w:tab/>
      </w:r>
      <w:r>
        <w:rPr>
          <w:sz w:val="18"/>
        </w:rPr>
        <w:t>275</w:t>
      </w:r>
    </w:p>
    <w:p>
      <w:pPr>
        <w:pStyle w:val="BodyText"/>
        <w:spacing w:line="207" w:lineRule="exact" w:before="54"/>
        <w:ind w:left="548" w:right="125"/>
      </w:pPr>
      <w:r>
        <w:rPr/>
        <w:t>Accumulated amortisation and</w:t>
      </w:r>
    </w:p>
    <w:p>
      <w:pPr>
        <w:tabs>
          <w:tab w:pos="5513" w:val="left" w:leader="none"/>
          <w:tab w:pos="6809" w:val="left" w:leader="none"/>
          <w:tab w:pos="8277" w:val="left" w:leader="none"/>
          <w:tab w:pos="9573" w:val="left" w:leader="none"/>
        </w:tabs>
        <w:spacing w:line="207" w:lineRule="exact" w:before="0"/>
        <w:ind w:left="548" w:right="92" w:firstLine="0"/>
        <w:jc w:val="left"/>
        <w:rPr>
          <w:sz w:val="18"/>
        </w:rPr>
      </w:pPr>
      <w:r>
        <w:rPr/>
        <w:pict>
          <v:group style="position:absolute;margin-left:269.649994pt;margin-top:11.616162pt;width:276.5pt;height:1pt;mso-position-horizontal-relative:page;mso-position-vertical-relative:paragraph;z-index:3040" coordorigin="5393,232" coordsize="5530,20">
            <v:line style="position:absolute" from="5394,233" to="5563,233" stroked="true" strokeweight=".06pt" strokecolor="#000000"/>
            <v:line style="position:absolute" from="5394,235" to="5563,235" stroked="true" strokeweight=".06pt" strokecolor="#000000"/>
            <v:line style="position:absolute" from="5394,236" to="5563,236" stroked="true" strokeweight=".06pt" strokecolor="#000000"/>
            <v:line style="position:absolute" from="5394,237" to="5563,237" stroked="true" strokeweight=".06pt" strokecolor="#000000"/>
            <v:line style="position:absolute" from="5394,238" to="5563,238" stroked="true" strokeweight=".06pt" strokecolor="#000000"/>
            <v:line style="position:absolute" from="5394,239" to="5563,239" stroked="true" strokeweight=".06pt" strokecolor="#000000"/>
            <v:line style="position:absolute" from="5394,241" to="5563,241" stroked="true" strokeweight=".06pt" strokecolor="#000000"/>
            <v:line style="position:absolute" from="5394,242" to="5563,242" stroked="true" strokeweight=".06pt" strokecolor="#000000"/>
            <v:line style="position:absolute" from="5394,243" to="5563,243" stroked="true" strokeweight=".06pt" strokecolor="#000000"/>
            <v:line style="position:absolute" from="5394,244" to="5563,244" stroked="true" strokeweight=".06pt" strokecolor="#000000"/>
            <v:line style="position:absolute" from="5394,245" to="5563,245" stroked="true" strokeweight=".06pt" strokecolor="#000000"/>
            <v:line style="position:absolute" from="5394,247" to="5563,247" stroked="true" strokeweight=".06pt" strokecolor="#000000"/>
            <v:line style="position:absolute" from="5394,248" to="5563,248" stroked="true" strokeweight=".06pt" strokecolor="#000000"/>
            <v:line style="position:absolute" from="5394,249" to="5563,249" stroked="true" strokeweight=".06pt" strokecolor="#000000"/>
            <v:line style="position:absolute" from="5394,250" to="5563,250" stroked="true" strokeweight=".06pt" strokecolor="#000000"/>
            <v:line style="position:absolute" from="5394,251" to="5563,251" stroked="true" strokeweight=".06pt" strokecolor="#000000"/>
            <v:line style="position:absolute" from="5563,233" to="6860,233" stroked="true" strokeweight=".06pt" strokecolor="#000000"/>
            <v:line style="position:absolute" from="5563,235" to="6860,235" stroked="true" strokeweight=".06pt" strokecolor="#000000"/>
            <v:line style="position:absolute" from="5563,236" to="6860,236" stroked="true" strokeweight=".06pt" strokecolor="#000000"/>
            <v:line style="position:absolute" from="5563,237" to="6860,237" stroked="true" strokeweight=".06pt" strokecolor="#000000"/>
            <v:line style="position:absolute" from="5563,238" to="6860,238" stroked="true" strokeweight=".06pt" strokecolor="#000000"/>
            <v:line style="position:absolute" from="5563,239" to="6860,239" stroked="true" strokeweight=".06pt" strokecolor="#000000"/>
            <v:line style="position:absolute" from="5563,241" to="6860,241" stroked="true" strokeweight=".06pt" strokecolor="#000000"/>
            <v:line style="position:absolute" from="5563,242" to="6860,242" stroked="true" strokeweight=".06pt" strokecolor="#000000"/>
            <v:line style="position:absolute" from="5563,243" to="6860,243" stroked="true" strokeweight=".06pt" strokecolor="#000000"/>
            <v:line style="position:absolute" from="5563,244" to="6860,244" stroked="true" strokeweight=".06pt" strokecolor="#000000"/>
            <v:line style="position:absolute" from="5563,245" to="6860,245" stroked="true" strokeweight=".06pt" strokecolor="#000000"/>
            <v:line style="position:absolute" from="5563,247" to="6860,247" stroked="true" strokeweight=".06pt" strokecolor="#000000"/>
            <v:line style="position:absolute" from="5563,248" to="6860,248" stroked="true" strokeweight=".06pt" strokecolor="#000000"/>
            <v:line style="position:absolute" from="5563,249" to="6860,249" stroked="true" strokeweight=".06pt" strokecolor="#000000"/>
            <v:line style="position:absolute" from="5563,250" to="6860,250" stroked="true" strokeweight=".06pt" strokecolor="#000000"/>
            <v:line style="position:absolute" from="5563,251" to="6860,251" stroked="true" strokeweight=".06pt" strokecolor="#000000"/>
            <v:line style="position:absolute" from="6860,233" to="8158,233" stroked="true" strokeweight=".06pt" strokecolor="#000000"/>
            <v:line style="position:absolute" from="6860,235" to="8158,235" stroked="true" strokeweight=".06pt" strokecolor="#000000"/>
            <v:line style="position:absolute" from="6860,236" to="8158,236" stroked="true" strokeweight=".06pt" strokecolor="#000000"/>
            <v:line style="position:absolute" from="6860,237" to="8158,237" stroked="true" strokeweight=".06pt" strokecolor="#000000"/>
            <v:line style="position:absolute" from="6860,238" to="8158,238" stroked="true" strokeweight=".06pt" strokecolor="#000000"/>
            <v:line style="position:absolute" from="6860,239" to="8158,239" stroked="true" strokeweight=".06pt" strokecolor="#000000"/>
            <v:line style="position:absolute" from="6860,241" to="8158,241" stroked="true" strokeweight=".06pt" strokecolor="#000000"/>
            <v:line style="position:absolute" from="6860,242" to="8158,242" stroked="true" strokeweight=".06pt" strokecolor="#000000"/>
            <v:line style="position:absolute" from="6860,243" to="8158,243" stroked="true" strokeweight=".06pt" strokecolor="#000000"/>
            <v:line style="position:absolute" from="6860,244" to="8158,244" stroked="true" strokeweight=".06pt" strokecolor="#000000"/>
            <v:line style="position:absolute" from="6860,245" to="8158,245" stroked="true" strokeweight=".06pt" strokecolor="#000000"/>
            <v:line style="position:absolute" from="6860,247" to="8158,247" stroked="true" strokeweight=".06pt" strokecolor="#000000"/>
            <v:line style="position:absolute" from="6860,248" to="8158,248" stroked="true" strokeweight=".06pt" strokecolor="#000000"/>
            <v:line style="position:absolute" from="6860,249" to="8158,249" stroked="true" strokeweight=".06pt" strokecolor="#000000"/>
            <v:line style="position:absolute" from="6860,250" to="8158,250" stroked="true" strokeweight=".06pt" strokecolor="#000000"/>
            <v:line style="position:absolute" from="6860,251" to="8158,251" stroked="true" strokeweight=".06pt" strokecolor="#000000"/>
            <v:line style="position:absolute" from="8158,233" to="8327,233" stroked="true" strokeweight=".06pt" strokecolor="#000000"/>
            <v:line style="position:absolute" from="8158,235" to="8327,235" stroked="true" strokeweight=".06pt" strokecolor="#000000"/>
            <v:line style="position:absolute" from="8158,236" to="8327,236" stroked="true" strokeweight=".06pt" strokecolor="#000000"/>
            <v:line style="position:absolute" from="8158,237" to="8327,237" stroked="true" strokeweight=".06pt" strokecolor="#000000"/>
            <v:line style="position:absolute" from="8158,238" to="8327,238" stroked="true" strokeweight=".06pt" strokecolor="#000000"/>
            <v:line style="position:absolute" from="8158,239" to="8327,239" stroked="true" strokeweight=".06pt" strokecolor="#000000"/>
            <v:line style="position:absolute" from="8158,241" to="8327,241" stroked="true" strokeweight=".06pt" strokecolor="#000000"/>
            <v:line style="position:absolute" from="8158,242" to="8327,242" stroked="true" strokeweight=".06pt" strokecolor="#000000"/>
            <v:line style="position:absolute" from="8158,243" to="8327,243" stroked="true" strokeweight=".06pt" strokecolor="#000000"/>
            <v:line style="position:absolute" from="8158,244" to="8327,244" stroked="true" strokeweight=".06pt" strokecolor="#000000"/>
            <v:line style="position:absolute" from="8158,245" to="8327,245" stroked="true" strokeweight=".06pt" strokecolor="#000000"/>
            <v:line style="position:absolute" from="8158,247" to="8327,247" stroked="true" strokeweight=".06pt" strokecolor="#000000"/>
            <v:line style="position:absolute" from="8158,248" to="8327,248" stroked="true" strokeweight=".06pt" strokecolor="#000000"/>
            <v:line style="position:absolute" from="8158,249" to="8327,249" stroked="true" strokeweight=".06pt" strokecolor="#000000"/>
            <v:line style="position:absolute" from="8158,250" to="8327,250" stroked="true" strokeweight=".06pt" strokecolor="#000000"/>
            <v:line style="position:absolute" from="8158,251" to="8327,251" stroked="true" strokeweight=".06pt" strokecolor="#000000"/>
            <v:line style="position:absolute" from="8327,233" to="9624,233" stroked="true" strokeweight=".06pt" strokecolor="#000000"/>
            <v:line style="position:absolute" from="8327,235" to="9624,235" stroked="true" strokeweight=".06pt" strokecolor="#000000"/>
            <v:line style="position:absolute" from="8327,236" to="9624,236" stroked="true" strokeweight=".06pt" strokecolor="#000000"/>
            <v:line style="position:absolute" from="8327,237" to="9624,237" stroked="true" strokeweight=".06pt" strokecolor="#000000"/>
            <v:line style="position:absolute" from="8327,238" to="9624,238" stroked="true" strokeweight=".06pt" strokecolor="#000000"/>
            <v:line style="position:absolute" from="8327,239" to="9624,239" stroked="true" strokeweight=".06pt" strokecolor="#000000"/>
            <v:line style="position:absolute" from="8327,241" to="9624,241" stroked="true" strokeweight=".06pt" strokecolor="#000000"/>
            <v:line style="position:absolute" from="8327,242" to="9624,242" stroked="true" strokeweight=".06pt" strokecolor="#000000"/>
            <v:line style="position:absolute" from="8327,243" to="9624,243" stroked="true" strokeweight=".06pt" strokecolor="#000000"/>
            <v:line style="position:absolute" from="8327,244" to="9624,244" stroked="true" strokeweight=".06pt" strokecolor="#000000"/>
            <v:line style="position:absolute" from="8327,245" to="9624,245" stroked="true" strokeweight=".06pt" strokecolor="#000000"/>
            <v:line style="position:absolute" from="8327,247" to="9624,247" stroked="true" strokeweight=".06pt" strokecolor="#000000"/>
            <v:line style="position:absolute" from="8327,248" to="9624,248" stroked="true" strokeweight=".06pt" strokecolor="#000000"/>
            <v:line style="position:absolute" from="8327,249" to="9624,249" stroked="true" strokeweight=".06pt" strokecolor="#000000"/>
            <v:line style="position:absolute" from="8327,250" to="9624,250" stroked="true" strokeweight=".06pt" strokecolor="#000000"/>
            <v:line style="position:absolute" from="8327,251" to="9624,251" stroked="true" strokeweight=".06pt" strokecolor="#000000"/>
            <v:line style="position:absolute" from="9624,233" to="10921,233" stroked="true" strokeweight=".06pt" strokecolor="#000000"/>
            <v:line style="position:absolute" from="9624,235" to="10921,235" stroked="true" strokeweight=".06pt" strokecolor="#000000"/>
            <v:line style="position:absolute" from="9624,236" to="10921,236" stroked="true" strokeweight=".06pt" strokecolor="#000000"/>
            <v:line style="position:absolute" from="9624,237" to="10921,237" stroked="true" strokeweight=".06pt" strokecolor="#000000"/>
            <v:line style="position:absolute" from="9624,238" to="10921,238" stroked="true" strokeweight=".06pt" strokecolor="#000000"/>
            <v:line style="position:absolute" from="9624,239" to="10921,239" stroked="true" strokeweight=".06pt" strokecolor="#000000"/>
            <v:line style="position:absolute" from="9624,241" to="10921,241" stroked="true" strokeweight=".06pt" strokecolor="#000000"/>
            <v:line style="position:absolute" from="9624,242" to="10921,242" stroked="true" strokeweight=".06pt" strokecolor="#000000"/>
            <v:line style="position:absolute" from="9624,243" to="10921,243" stroked="true" strokeweight=".06pt" strokecolor="#000000"/>
            <v:line style="position:absolute" from="9624,244" to="10921,244" stroked="true" strokeweight=".06pt" strokecolor="#000000"/>
            <v:line style="position:absolute" from="9624,245" to="10921,245" stroked="true" strokeweight=".06pt" strokecolor="#000000"/>
            <v:line style="position:absolute" from="9624,247" to="10921,247" stroked="true" strokeweight=".06pt" strokecolor="#000000"/>
            <v:line style="position:absolute" from="9624,248" to="10921,248" stroked="true" strokeweight=".06pt" strokecolor="#000000"/>
            <v:line style="position:absolute" from="9624,249" to="10921,249" stroked="true" strokeweight=".06pt" strokecolor="#000000"/>
            <v:line style="position:absolute" from="9624,250" to="10921,250" stroked="true" strokeweight=".06pt" strokecolor="#000000"/>
            <v:line style="position:absolute" from="9624,251" to="10921,251" stroked="true" strokeweight=".06pt" strokecolor="#000000"/>
            <v:line style="position:absolute" from="5394,233" to="5563,233" stroked="true" strokeweight=".06pt" strokecolor="#000000"/>
            <v:line style="position:absolute" from="5394,235" to="5563,235" stroked="true" strokeweight=".06pt" strokecolor="#000000"/>
            <v:line style="position:absolute" from="5394,236" to="5563,236" stroked="true" strokeweight=".06pt" strokecolor="#000000"/>
            <v:line style="position:absolute" from="5394,237" to="5563,237" stroked="true" strokeweight=".06pt" strokecolor="#000000"/>
            <v:line style="position:absolute" from="5394,238" to="5563,238" stroked="true" strokeweight=".06pt" strokecolor="#000000"/>
            <v:line style="position:absolute" from="5394,239" to="5563,239" stroked="true" strokeweight=".06pt" strokecolor="#000000"/>
            <v:line style="position:absolute" from="5394,241" to="5563,241" stroked="true" strokeweight=".06pt" strokecolor="#000000"/>
            <v:line style="position:absolute" from="5394,242" to="5563,242" stroked="true" strokeweight=".06pt" strokecolor="#000000"/>
            <v:line style="position:absolute" from="5394,243" to="5563,243" stroked="true" strokeweight=".06pt" strokecolor="#000000"/>
            <v:line style="position:absolute" from="5394,244" to="5563,244" stroked="true" strokeweight=".06pt" strokecolor="#000000"/>
            <v:line style="position:absolute" from="5394,245" to="5563,245" stroked="true" strokeweight=".06pt" strokecolor="#000000"/>
            <v:line style="position:absolute" from="5394,247" to="5563,247" stroked="true" strokeweight=".06pt" strokecolor="#000000"/>
            <v:line style="position:absolute" from="5394,248" to="5563,248" stroked="true" strokeweight=".06pt" strokecolor="#000000"/>
            <v:line style="position:absolute" from="5394,249" to="5563,249" stroked="true" strokeweight=".06pt" strokecolor="#000000"/>
            <v:line style="position:absolute" from="5394,250" to="5563,250" stroked="true" strokeweight=".06pt" strokecolor="#000000"/>
            <v:line style="position:absolute" from="5394,251" to="5563,251" stroked="true" strokeweight=".06pt" strokecolor="#000000"/>
            <v:line style="position:absolute" from="5563,233" to="6860,233" stroked="true" strokeweight=".06pt" strokecolor="#000000"/>
            <v:line style="position:absolute" from="5563,235" to="6860,235" stroked="true" strokeweight=".06pt" strokecolor="#000000"/>
            <v:line style="position:absolute" from="5563,236" to="6860,236" stroked="true" strokeweight=".06pt" strokecolor="#000000"/>
            <v:line style="position:absolute" from="5563,237" to="6860,237" stroked="true" strokeweight=".06pt" strokecolor="#000000"/>
            <v:line style="position:absolute" from="5563,238" to="6860,238" stroked="true" strokeweight=".06pt" strokecolor="#000000"/>
            <v:line style="position:absolute" from="5563,239" to="6860,239" stroked="true" strokeweight=".06pt" strokecolor="#000000"/>
            <v:line style="position:absolute" from="5563,241" to="6860,241" stroked="true" strokeweight=".06pt" strokecolor="#000000"/>
            <v:line style="position:absolute" from="5563,242" to="6860,242" stroked="true" strokeweight=".06pt" strokecolor="#000000"/>
            <v:line style="position:absolute" from="5563,243" to="6860,243" stroked="true" strokeweight=".06pt" strokecolor="#000000"/>
            <v:line style="position:absolute" from="5563,244" to="6860,244" stroked="true" strokeweight=".06pt" strokecolor="#000000"/>
            <v:line style="position:absolute" from="5563,245" to="6860,245" stroked="true" strokeweight=".06pt" strokecolor="#000000"/>
            <v:line style="position:absolute" from="5563,247" to="6860,247" stroked="true" strokeweight=".06pt" strokecolor="#000000"/>
            <v:line style="position:absolute" from="5563,248" to="6860,248" stroked="true" strokeweight=".06pt" strokecolor="#000000"/>
            <v:line style="position:absolute" from="5563,249" to="6860,249" stroked="true" strokeweight=".06pt" strokecolor="#000000"/>
            <v:line style="position:absolute" from="5563,250" to="6860,250" stroked="true" strokeweight=".06pt" strokecolor="#000000"/>
            <v:line style="position:absolute" from="5563,251" to="6860,251" stroked="true" strokeweight=".06pt" strokecolor="#000000"/>
            <v:line style="position:absolute" from="6860,233" to="8158,233" stroked="true" strokeweight=".06pt" strokecolor="#000000"/>
            <v:line style="position:absolute" from="6860,235" to="8158,235" stroked="true" strokeweight=".06pt" strokecolor="#000000"/>
            <v:line style="position:absolute" from="6860,236" to="8158,236" stroked="true" strokeweight=".06pt" strokecolor="#000000"/>
            <v:line style="position:absolute" from="6860,237" to="8158,237" stroked="true" strokeweight=".06pt" strokecolor="#000000"/>
            <v:line style="position:absolute" from="6860,238" to="8158,238" stroked="true" strokeweight=".06pt" strokecolor="#000000"/>
            <v:line style="position:absolute" from="6860,239" to="8158,239" stroked="true" strokeweight=".06pt" strokecolor="#000000"/>
            <v:line style="position:absolute" from="6860,241" to="8158,241" stroked="true" strokeweight=".06pt" strokecolor="#000000"/>
            <v:line style="position:absolute" from="6860,242" to="8158,242" stroked="true" strokeweight=".06pt" strokecolor="#000000"/>
            <v:line style="position:absolute" from="6860,243" to="8158,243" stroked="true" strokeweight=".06pt" strokecolor="#000000"/>
            <v:line style="position:absolute" from="6860,244" to="8158,244" stroked="true" strokeweight=".06pt" strokecolor="#000000"/>
            <v:line style="position:absolute" from="6860,245" to="8158,245" stroked="true" strokeweight=".06pt" strokecolor="#000000"/>
            <v:line style="position:absolute" from="6860,247" to="8158,247" stroked="true" strokeweight=".06pt" strokecolor="#000000"/>
            <v:line style="position:absolute" from="6860,248" to="8158,248" stroked="true" strokeweight=".06pt" strokecolor="#000000"/>
            <v:line style="position:absolute" from="6860,249" to="8158,249" stroked="true" strokeweight=".06pt" strokecolor="#000000"/>
            <v:line style="position:absolute" from="6860,250" to="8158,250" stroked="true" strokeweight=".06pt" strokecolor="#000000"/>
            <v:line style="position:absolute" from="6860,251" to="8158,251" stroked="true" strokeweight=".06pt" strokecolor="#000000"/>
            <v:line style="position:absolute" from="8158,233" to="8327,233" stroked="true" strokeweight=".06pt" strokecolor="#000000"/>
            <v:line style="position:absolute" from="8158,235" to="8327,235" stroked="true" strokeweight=".06pt" strokecolor="#000000"/>
            <v:line style="position:absolute" from="8158,236" to="8327,236" stroked="true" strokeweight=".06pt" strokecolor="#000000"/>
            <v:line style="position:absolute" from="8158,237" to="8327,237" stroked="true" strokeweight=".06pt" strokecolor="#000000"/>
            <v:line style="position:absolute" from="8158,238" to="8327,238" stroked="true" strokeweight=".06pt" strokecolor="#000000"/>
            <v:line style="position:absolute" from="8158,239" to="8327,239" stroked="true" strokeweight=".06pt" strokecolor="#000000"/>
            <v:line style="position:absolute" from="8158,241" to="8327,241" stroked="true" strokeweight=".06pt" strokecolor="#000000"/>
            <v:line style="position:absolute" from="8158,242" to="8327,242" stroked="true" strokeweight=".06pt" strokecolor="#000000"/>
            <v:line style="position:absolute" from="8158,243" to="8327,243" stroked="true" strokeweight=".06pt" strokecolor="#000000"/>
            <v:line style="position:absolute" from="8158,244" to="8327,244" stroked="true" strokeweight=".06pt" strokecolor="#000000"/>
            <v:line style="position:absolute" from="8158,245" to="8327,245" stroked="true" strokeweight=".06pt" strokecolor="#000000"/>
            <v:line style="position:absolute" from="8158,247" to="8327,247" stroked="true" strokeweight=".06pt" strokecolor="#000000"/>
            <v:line style="position:absolute" from="8158,248" to="8327,248" stroked="true" strokeweight=".06pt" strokecolor="#000000"/>
            <v:line style="position:absolute" from="8158,249" to="8327,249" stroked="true" strokeweight=".06pt" strokecolor="#000000"/>
            <v:line style="position:absolute" from="8158,250" to="8327,250" stroked="true" strokeweight=".06pt" strokecolor="#000000"/>
            <v:line style="position:absolute" from="8158,251" to="8327,251" stroked="true" strokeweight=".06pt" strokecolor="#000000"/>
            <v:line style="position:absolute" from="8327,233" to="9624,233" stroked="true" strokeweight=".06pt" strokecolor="#000000"/>
            <v:line style="position:absolute" from="8327,235" to="9624,235" stroked="true" strokeweight=".06pt" strokecolor="#000000"/>
            <v:line style="position:absolute" from="8327,236" to="9624,236" stroked="true" strokeweight=".06pt" strokecolor="#000000"/>
            <v:line style="position:absolute" from="8327,237" to="9624,237" stroked="true" strokeweight=".06pt" strokecolor="#000000"/>
            <v:line style="position:absolute" from="8327,238" to="9624,238" stroked="true" strokeweight=".06pt" strokecolor="#000000"/>
            <v:line style="position:absolute" from="8327,239" to="9624,239" stroked="true" strokeweight=".06pt" strokecolor="#000000"/>
            <v:line style="position:absolute" from="8327,241" to="9624,241" stroked="true" strokeweight=".06pt" strokecolor="#000000"/>
            <v:line style="position:absolute" from="8327,242" to="9624,242" stroked="true" strokeweight=".06pt" strokecolor="#000000"/>
            <v:line style="position:absolute" from="8327,243" to="9624,243" stroked="true" strokeweight=".06pt" strokecolor="#000000"/>
            <v:line style="position:absolute" from="8327,244" to="9624,244" stroked="true" strokeweight=".06pt" strokecolor="#000000"/>
            <v:line style="position:absolute" from="8327,245" to="9624,245" stroked="true" strokeweight=".06pt" strokecolor="#000000"/>
            <v:line style="position:absolute" from="8327,247" to="9624,247" stroked="true" strokeweight=".06pt" strokecolor="#000000"/>
            <v:line style="position:absolute" from="8327,248" to="9624,248" stroked="true" strokeweight=".06pt" strokecolor="#000000"/>
            <v:line style="position:absolute" from="8327,249" to="9624,249" stroked="true" strokeweight=".06pt" strokecolor="#000000"/>
            <v:line style="position:absolute" from="8327,250" to="9624,250" stroked="true" strokeweight=".06pt" strokecolor="#000000"/>
            <v:line style="position:absolute" from="8327,251" to="9624,251" stroked="true" strokeweight=".06pt" strokecolor="#000000"/>
            <v:line style="position:absolute" from="9624,233" to="10921,233" stroked="true" strokeweight=".06pt" strokecolor="#000000"/>
            <v:line style="position:absolute" from="9624,235" to="10921,235" stroked="true" strokeweight=".06pt" strokecolor="#000000"/>
            <v:line style="position:absolute" from="9624,236" to="10921,236" stroked="true" strokeweight=".06pt" strokecolor="#000000"/>
            <v:line style="position:absolute" from="9624,237" to="10921,237" stroked="true" strokeweight=".06pt" strokecolor="#000000"/>
            <v:line style="position:absolute" from="9624,238" to="10921,238" stroked="true" strokeweight=".06pt" strokecolor="#000000"/>
            <v:line style="position:absolute" from="9624,239" to="10921,239" stroked="true" strokeweight=".06pt" strokecolor="#000000"/>
            <v:line style="position:absolute" from="9624,241" to="10921,241" stroked="true" strokeweight=".06pt" strokecolor="#000000"/>
            <v:line style="position:absolute" from="9624,242" to="10921,242" stroked="true" strokeweight=".06pt" strokecolor="#000000"/>
            <v:line style="position:absolute" from="9624,243" to="10921,243" stroked="true" strokeweight=".06pt" strokecolor="#000000"/>
            <v:line style="position:absolute" from="9624,244" to="10921,244" stroked="true" strokeweight=".06pt" strokecolor="#000000"/>
            <v:line style="position:absolute" from="9624,245" to="10921,245" stroked="true" strokeweight=".06pt" strokecolor="#000000"/>
            <v:line style="position:absolute" from="9624,247" to="10921,247" stroked="true" strokeweight=".06pt" strokecolor="#000000"/>
            <v:line style="position:absolute" from="9624,248" to="10921,248" stroked="true" strokeweight=".06pt" strokecolor="#000000"/>
            <v:line style="position:absolute" from="9624,249" to="10921,249" stroked="true" strokeweight=".06pt" strokecolor="#000000"/>
            <v:line style="position:absolute" from="9624,250" to="10921,250" stroked="true" strokeweight=".06pt" strokecolor="#000000"/>
            <v:line style="position:absolute" from="9624,251" to="10921,251" stroked="true" strokeweight=".06pt" strokecolor="#000000"/>
            <w10:wrap type="none"/>
          </v:group>
        </w:pict>
      </w:r>
      <w:r>
        <w:rPr>
          <w:sz w:val="18"/>
        </w:rPr>
        <w:t>impairment</w:t>
        <w:tab/>
      </w:r>
      <w:r>
        <w:rPr>
          <w:b/>
          <w:sz w:val="18"/>
        </w:rPr>
        <w:t>(548)</w:t>
        <w:tab/>
      </w:r>
      <w:r>
        <w:rPr>
          <w:sz w:val="18"/>
        </w:rPr>
        <w:t>(465)</w:t>
        <w:tab/>
      </w:r>
      <w:r>
        <w:rPr>
          <w:b/>
          <w:sz w:val="18"/>
        </w:rPr>
        <w:t>(199)</w:t>
        <w:tab/>
      </w:r>
      <w:r>
        <w:rPr>
          <w:sz w:val="18"/>
        </w:rPr>
        <w:t>(144)</w:t>
      </w:r>
    </w:p>
    <w:p>
      <w:pPr>
        <w:tabs>
          <w:tab w:pos="5573" w:val="left" w:leader="none"/>
          <w:tab w:pos="6869" w:val="left" w:leader="none"/>
          <w:tab w:pos="8437" w:val="left" w:leader="none"/>
          <w:tab w:pos="9933" w:val="right" w:leader="none"/>
        </w:tabs>
        <w:spacing w:before="159"/>
        <w:ind w:left="548" w:right="0" w:firstLine="0"/>
        <w:jc w:val="left"/>
        <w:rPr>
          <w:sz w:val="18"/>
        </w:rPr>
      </w:pPr>
      <w:r>
        <w:rPr/>
        <w:pict>
          <v:group style="position:absolute;margin-left:269.649994pt;margin-top:18.202166pt;width:276.5pt;height:1pt;mso-position-horizontal-relative:page;mso-position-vertical-relative:paragraph;z-index:-1311160" coordorigin="5393,364" coordsize="5530,20">
            <v:line style="position:absolute" from="5394,365" to="5563,365" stroked="true" strokeweight=".06pt" strokecolor="#000000"/>
            <v:line style="position:absolute" from="5394,366" to="5563,366" stroked="true" strokeweight=".06pt" strokecolor="#000000"/>
            <v:line style="position:absolute" from="5394,367" to="5563,367" stroked="true" strokeweight=".06pt" strokecolor="#000000"/>
            <v:line style="position:absolute" from="5394,369" to="5563,369" stroked="true" strokeweight=".06pt" strokecolor="#000000"/>
            <v:line style="position:absolute" from="5394,370" to="5563,370" stroked="true" strokeweight=".06pt" strokecolor="#000000"/>
            <v:line style="position:absolute" from="5394,371" to="5563,371" stroked="true" strokeweight=".06pt" strokecolor="#000000"/>
            <v:line style="position:absolute" from="5394,372" to="5563,372" stroked="true" strokeweight=".06pt" strokecolor="#000000"/>
            <v:line style="position:absolute" from="5394,373" to="5563,373" stroked="true" strokeweight=".06pt" strokecolor="#000000"/>
            <v:line style="position:absolute" from="5394,375" to="5563,375" stroked="true" strokeweight=".06pt" strokecolor="#000000"/>
            <v:line style="position:absolute" from="5394,376" to="5563,376" stroked="true" strokeweight=".06pt" strokecolor="#000000"/>
            <v:line style="position:absolute" from="5394,377" to="5563,377" stroked="true" strokeweight=".06pt" strokecolor="#000000"/>
            <v:line style="position:absolute" from="5394,378" to="5563,378" stroked="true" strokeweight=".06pt" strokecolor="#000000"/>
            <v:line style="position:absolute" from="5394,379" to="5563,379" stroked="true" strokeweight=".06pt" strokecolor="#000000"/>
            <v:line style="position:absolute" from="5394,381" to="5563,381" stroked="true" strokeweight=".06pt" strokecolor="#000000"/>
            <v:line style="position:absolute" from="5394,382" to="5563,382" stroked="true" strokeweight=".06pt" strokecolor="#000000"/>
            <v:line style="position:absolute" from="5394,383" to="5563,383" stroked="true" strokeweight=".06pt" strokecolor="#000000"/>
            <v:line style="position:absolute" from="5563,365" to="6860,365" stroked="true" strokeweight=".06pt" strokecolor="#000000"/>
            <v:line style="position:absolute" from="5563,366" to="6860,366" stroked="true" strokeweight=".06pt" strokecolor="#000000"/>
            <v:line style="position:absolute" from="5563,367" to="6860,367" stroked="true" strokeweight=".06pt" strokecolor="#000000"/>
            <v:line style="position:absolute" from="5563,369" to="6860,369" stroked="true" strokeweight=".06pt" strokecolor="#000000"/>
            <v:line style="position:absolute" from="5563,370" to="6860,370" stroked="true" strokeweight=".06pt" strokecolor="#000000"/>
            <v:line style="position:absolute" from="5563,371" to="6860,371" stroked="true" strokeweight=".06pt" strokecolor="#000000"/>
            <v:line style="position:absolute" from="5563,372" to="6860,372" stroked="true" strokeweight=".06pt" strokecolor="#000000"/>
            <v:line style="position:absolute" from="5563,373" to="6860,373" stroked="true" strokeweight=".06pt" strokecolor="#000000"/>
            <v:line style="position:absolute" from="5563,375" to="6860,375" stroked="true" strokeweight=".06pt" strokecolor="#000000"/>
            <v:line style="position:absolute" from="5563,376" to="6860,376" stroked="true" strokeweight=".06pt" strokecolor="#000000"/>
            <v:line style="position:absolute" from="5563,377" to="6860,377" stroked="true" strokeweight=".06pt" strokecolor="#000000"/>
            <v:line style="position:absolute" from="5563,378" to="6860,378" stroked="true" strokeweight=".06pt" strokecolor="#000000"/>
            <v:line style="position:absolute" from="5563,379" to="6860,379" stroked="true" strokeweight=".06pt" strokecolor="#000000"/>
            <v:line style="position:absolute" from="5563,381" to="6860,381" stroked="true" strokeweight=".06pt" strokecolor="#000000"/>
            <v:line style="position:absolute" from="5563,382" to="6860,382" stroked="true" strokeweight=".06pt" strokecolor="#000000"/>
            <v:line style="position:absolute" from="5563,383" to="6860,383" stroked="true" strokeweight=".06pt" strokecolor="#000000"/>
            <v:line style="position:absolute" from="6860,365" to="8158,365" stroked="true" strokeweight=".06pt" strokecolor="#000000"/>
            <v:line style="position:absolute" from="6860,366" to="8158,366" stroked="true" strokeweight=".06pt" strokecolor="#000000"/>
            <v:line style="position:absolute" from="6860,367" to="8158,367" stroked="true" strokeweight=".06pt" strokecolor="#000000"/>
            <v:line style="position:absolute" from="6860,369" to="8158,369" stroked="true" strokeweight=".06pt" strokecolor="#000000"/>
            <v:line style="position:absolute" from="6860,370" to="8158,370" stroked="true" strokeweight=".06pt" strokecolor="#000000"/>
            <v:line style="position:absolute" from="6860,371" to="8158,371" stroked="true" strokeweight=".06pt" strokecolor="#000000"/>
            <v:line style="position:absolute" from="6860,372" to="8158,372" stroked="true" strokeweight=".06pt" strokecolor="#000000"/>
            <v:line style="position:absolute" from="6860,373" to="8158,373" stroked="true" strokeweight=".06pt" strokecolor="#000000"/>
            <v:line style="position:absolute" from="6860,375" to="8158,375" stroked="true" strokeweight=".06pt" strokecolor="#000000"/>
            <v:line style="position:absolute" from="6860,376" to="8158,376" stroked="true" strokeweight=".06pt" strokecolor="#000000"/>
            <v:line style="position:absolute" from="6860,377" to="8158,377" stroked="true" strokeweight=".06pt" strokecolor="#000000"/>
            <v:line style="position:absolute" from="6860,378" to="8158,378" stroked="true" strokeweight=".06pt" strokecolor="#000000"/>
            <v:line style="position:absolute" from="6860,379" to="8158,379" stroked="true" strokeweight=".06pt" strokecolor="#000000"/>
            <v:line style="position:absolute" from="6860,381" to="8158,381" stroked="true" strokeweight=".06pt" strokecolor="#000000"/>
            <v:line style="position:absolute" from="6860,382" to="8158,382" stroked="true" strokeweight=".06pt" strokecolor="#000000"/>
            <v:line style="position:absolute" from="6860,383" to="8158,383" stroked="true" strokeweight=".06pt" strokecolor="#000000"/>
            <v:line style="position:absolute" from="8158,365" to="8327,365" stroked="true" strokeweight=".06pt" strokecolor="#000000"/>
            <v:line style="position:absolute" from="8158,366" to="8327,366" stroked="true" strokeweight=".06pt" strokecolor="#000000"/>
            <v:line style="position:absolute" from="8158,367" to="8327,367" stroked="true" strokeweight=".06pt" strokecolor="#000000"/>
            <v:line style="position:absolute" from="8158,369" to="8327,369" stroked="true" strokeweight=".06pt" strokecolor="#000000"/>
            <v:line style="position:absolute" from="8158,370" to="8327,370" stroked="true" strokeweight=".06pt" strokecolor="#000000"/>
            <v:line style="position:absolute" from="8158,371" to="8327,371" stroked="true" strokeweight=".06pt" strokecolor="#000000"/>
            <v:line style="position:absolute" from="8158,372" to="8327,372" stroked="true" strokeweight=".06pt" strokecolor="#000000"/>
            <v:line style="position:absolute" from="8158,373" to="8327,373" stroked="true" strokeweight=".06pt" strokecolor="#000000"/>
            <v:line style="position:absolute" from="8158,375" to="8327,375" stroked="true" strokeweight=".06pt" strokecolor="#000000"/>
            <v:line style="position:absolute" from="8158,376" to="8327,376" stroked="true" strokeweight=".06pt" strokecolor="#000000"/>
            <v:line style="position:absolute" from="8158,377" to="8327,377" stroked="true" strokeweight=".06pt" strokecolor="#000000"/>
            <v:line style="position:absolute" from="8158,378" to="8327,378" stroked="true" strokeweight=".06pt" strokecolor="#000000"/>
            <v:line style="position:absolute" from="8158,379" to="8327,379" stroked="true" strokeweight=".06pt" strokecolor="#000000"/>
            <v:line style="position:absolute" from="8158,381" to="8327,381" stroked="true" strokeweight=".06pt" strokecolor="#000000"/>
            <v:line style="position:absolute" from="8158,382" to="8327,382" stroked="true" strokeweight=".06pt" strokecolor="#000000"/>
            <v:line style="position:absolute" from="8158,383" to="8327,383" stroked="true" strokeweight=".06pt" strokecolor="#000000"/>
            <v:line style="position:absolute" from="8327,365" to="9624,365" stroked="true" strokeweight=".06pt" strokecolor="#000000"/>
            <v:line style="position:absolute" from="8327,366" to="9624,366" stroked="true" strokeweight=".06pt" strokecolor="#000000"/>
            <v:line style="position:absolute" from="8327,367" to="9624,367" stroked="true" strokeweight=".06pt" strokecolor="#000000"/>
            <v:line style="position:absolute" from="8327,369" to="9624,369" stroked="true" strokeweight=".06pt" strokecolor="#000000"/>
            <v:line style="position:absolute" from="8327,370" to="9624,370" stroked="true" strokeweight=".06pt" strokecolor="#000000"/>
            <v:line style="position:absolute" from="8327,371" to="9624,371" stroked="true" strokeweight=".06pt" strokecolor="#000000"/>
            <v:line style="position:absolute" from="8327,372" to="9624,372" stroked="true" strokeweight=".06pt" strokecolor="#000000"/>
            <v:line style="position:absolute" from="8327,373" to="9624,373" stroked="true" strokeweight=".06pt" strokecolor="#000000"/>
            <v:line style="position:absolute" from="8327,375" to="9624,375" stroked="true" strokeweight=".06pt" strokecolor="#000000"/>
            <v:line style="position:absolute" from="8327,376" to="9624,376" stroked="true" strokeweight=".06pt" strokecolor="#000000"/>
            <v:line style="position:absolute" from="8327,377" to="9624,377" stroked="true" strokeweight=".06pt" strokecolor="#000000"/>
            <v:line style="position:absolute" from="8327,378" to="9624,378" stroked="true" strokeweight=".06pt" strokecolor="#000000"/>
            <v:line style="position:absolute" from="8327,379" to="9624,379" stroked="true" strokeweight=".06pt" strokecolor="#000000"/>
            <v:line style="position:absolute" from="8327,381" to="9624,381" stroked="true" strokeweight=".06pt" strokecolor="#000000"/>
            <v:line style="position:absolute" from="8327,382" to="9624,382" stroked="true" strokeweight=".06pt" strokecolor="#000000"/>
            <v:line style="position:absolute" from="8327,383" to="9624,383" stroked="true" strokeweight=".06pt" strokecolor="#000000"/>
            <v:line style="position:absolute" from="9624,365" to="10921,365" stroked="true" strokeweight=".06pt" strokecolor="#000000"/>
            <v:line style="position:absolute" from="9624,366" to="10921,366" stroked="true" strokeweight=".06pt" strokecolor="#000000"/>
            <v:line style="position:absolute" from="9624,367" to="10921,367" stroked="true" strokeweight=".06pt" strokecolor="#000000"/>
            <v:line style="position:absolute" from="9624,369" to="10921,369" stroked="true" strokeweight=".06pt" strokecolor="#000000"/>
            <v:line style="position:absolute" from="9624,370" to="10921,370" stroked="true" strokeweight=".06pt" strokecolor="#000000"/>
            <v:line style="position:absolute" from="9624,371" to="10921,371" stroked="true" strokeweight=".06pt" strokecolor="#000000"/>
            <v:line style="position:absolute" from="9624,372" to="10921,372" stroked="true" strokeweight=".06pt" strokecolor="#000000"/>
            <v:line style="position:absolute" from="9624,373" to="10921,373" stroked="true" strokeweight=".06pt" strokecolor="#000000"/>
            <v:line style="position:absolute" from="9624,375" to="10921,375" stroked="true" strokeweight=".06pt" strokecolor="#000000"/>
            <v:line style="position:absolute" from="9624,376" to="10921,376" stroked="true" strokeweight=".06pt" strokecolor="#000000"/>
            <v:line style="position:absolute" from="9624,377" to="10921,377" stroked="true" strokeweight=".06pt" strokecolor="#000000"/>
            <v:line style="position:absolute" from="9624,378" to="10921,378" stroked="true" strokeweight=".06pt" strokecolor="#000000"/>
            <v:line style="position:absolute" from="9624,379" to="10921,379" stroked="true" strokeweight=".06pt" strokecolor="#000000"/>
            <v:line style="position:absolute" from="9624,381" to="10921,381" stroked="true" strokeweight=".06pt" strokecolor="#000000"/>
            <v:line style="position:absolute" from="9624,382" to="10921,382" stroked="true" strokeweight=".06pt" strokecolor="#000000"/>
            <v:line style="position:absolute" from="9624,383" to="10921,383" stroked="true" strokeweight=".06pt" strokecolor="#000000"/>
            <w10:wrap type="none"/>
          </v:group>
        </w:pict>
      </w:r>
      <w:r>
        <w:rPr>
          <w:b/>
          <w:sz w:val="18"/>
        </w:rPr>
        <w:t>Net</w:t>
      </w:r>
      <w:r>
        <w:rPr>
          <w:b/>
          <w:spacing w:val="-1"/>
          <w:sz w:val="18"/>
        </w:rPr>
        <w:t> </w:t>
      </w:r>
      <w:r>
        <w:rPr>
          <w:b/>
          <w:sz w:val="18"/>
        </w:rPr>
        <w:t>carrying</w:t>
      </w:r>
      <w:r>
        <w:rPr>
          <w:b/>
          <w:spacing w:val="-1"/>
          <w:sz w:val="18"/>
        </w:rPr>
        <w:t> </w:t>
      </w:r>
      <w:r>
        <w:rPr>
          <w:b/>
          <w:sz w:val="18"/>
        </w:rPr>
        <w:t>value</w:t>
        <w:tab/>
        <w:t>208</w:t>
        <w:tab/>
      </w:r>
      <w:r>
        <w:rPr>
          <w:sz w:val="18"/>
        </w:rPr>
        <w:t>323</w:t>
        <w:tab/>
      </w:r>
      <w:r>
        <w:rPr>
          <w:b/>
          <w:sz w:val="18"/>
        </w:rPr>
        <w:t>76</w:t>
      </w:r>
      <w:r>
        <w:rPr>
          <w:rFonts w:ascii="Times New Roman"/>
          <w:sz w:val="18"/>
        </w:rPr>
        <w:tab/>
      </w:r>
      <w:r>
        <w:rPr>
          <w:sz w:val="18"/>
        </w:rPr>
        <w:t>131</w:t>
      </w:r>
    </w:p>
    <w:p>
      <w:pPr>
        <w:spacing w:after="0"/>
        <w:jc w:val="left"/>
        <w:rPr>
          <w:sz w:val="18"/>
        </w:rPr>
        <w:sectPr>
          <w:type w:val="continuous"/>
          <w:pgSz w:w="11910" w:h="16840"/>
          <w:pgMar w:top="0" w:bottom="280" w:left="900" w:right="860"/>
        </w:sectPr>
      </w:pPr>
    </w:p>
    <w:p>
      <w:pPr>
        <w:pStyle w:val="ListParagraph"/>
        <w:numPr>
          <w:ilvl w:val="1"/>
          <w:numId w:val="15"/>
        </w:numPr>
        <w:tabs>
          <w:tab w:pos="1072" w:val="left" w:leader="none"/>
        </w:tabs>
        <w:spacing w:line="240" w:lineRule="auto" w:before="914" w:after="0"/>
        <w:ind w:left="1071" w:right="0" w:hanging="566"/>
        <w:jc w:val="left"/>
        <w:rPr>
          <w:i/>
          <w:sz w:val="18"/>
        </w:rPr>
      </w:pPr>
      <w:r>
        <w:rPr>
          <w:i/>
          <w:sz w:val="18"/>
        </w:rPr>
        <w:t>Reconciliation</w:t>
      </w:r>
    </w:p>
    <w:p>
      <w:pPr>
        <w:pStyle w:val="Heading9"/>
        <w:spacing w:before="933"/>
        <w:ind w:left="1071" w:right="-20"/>
      </w:pPr>
      <w:r>
        <w:rPr/>
        <w:t>Year ended 31 December 2012</w:t>
      </w:r>
    </w:p>
    <w:p>
      <w:pPr>
        <w:pStyle w:val="BodyText"/>
        <w:rPr>
          <w:b/>
        </w:rPr>
      </w:pPr>
      <w:r>
        <w:rPr/>
        <w:br w:type="column"/>
      </w:r>
      <w:r>
        <w:rPr>
          <w:b/>
        </w:rPr>
      </w:r>
    </w:p>
    <w:p>
      <w:pPr>
        <w:pStyle w:val="BodyText"/>
        <w:rPr>
          <w:b/>
        </w:rPr>
      </w:pPr>
    </w:p>
    <w:p>
      <w:pPr>
        <w:pStyle w:val="BodyText"/>
        <w:rPr>
          <w:b/>
        </w:rPr>
      </w:pPr>
    </w:p>
    <w:p>
      <w:pPr>
        <w:pStyle w:val="BodyText"/>
        <w:rPr>
          <w:b/>
        </w:rPr>
      </w:pPr>
    </w:p>
    <w:p>
      <w:pPr>
        <w:pStyle w:val="BodyText"/>
        <w:rPr>
          <w:b/>
        </w:rPr>
      </w:pPr>
    </w:p>
    <w:p>
      <w:pPr>
        <w:spacing w:before="119"/>
        <w:ind w:left="505" w:right="-20" w:firstLine="0"/>
        <w:jc w:val="left"/>
        <w:rPr>
          <w:b/>
          <w:sz w:val="18"/>
        </w:rPr>
      </w:pPr>
      <w:r>
        <w:rPr>
          <w:b/>
          <w:sz w:val="18"/>
        </w:rPr>
        <w:t>Parent</w:t>
      </w:r>
    </w:p>
    <w:p>
      <w:pPr>
        <w:spacing w:before="66"/>
        <w:ind w:left="674" w:right="-20" w:firstLine="0"/>
        <w:jc w:val="left"/>
        <w:rPr>
          <w:b/>
          <w:sz w:val="18"/>
        </w:rPr>
      </w:pPr>
      <w:r>
        <w:rPr>
          <w:b/>
          <w:sz w:val="18"/>
        </w:rPr>
        <w:t>Licences</w:t>
      </w:r>
    </w:p>
    <w:p>
      <w:pPr>
        <w:spacing w:before="66"/>
        <w:ind w:left="674" w:right="-20" w:firstLine="0"/>
        <w:jc w:val="left"/>
        <w:rPr>
          <w:b/>
          <w:sz w:val="18"/>
        </w:rPr>
      </w:pPr>
      <w:r>
        <w:rPr>
          <w:b/>
          <w:sz w:val="18"/>
        </w:rPr>
        <w:t>$'000</w:t>
      </w:r>
    </w:p>
    <w:p>
      <w:pPr>
        <w:pStyle w:val="BodyText"/>
        <w:rPr>
          <w:b/>
        </w:rPr>
      </w:pPr>
      <w:r>
        <w:rPr/>
        <w:br w:type="column"/>
      </w:r>
      <w:r>
        <w:rPr>
          <w:b/>
        </w:rPr>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sz w:val="16"/>
        </w:rPr>
      </w:pPr>
    </w:p>
    <w:p>
      <w:pPr>
        <w:spacing w:before="0"/>
        <w:ind w:left="486" w:right="0" w:firstLine="0"/>
        <w:jc w:val="left"/>
        <w:rPr>
          <w:b/>
          <w:sz w:val="18"/>
        </w:rPr>
      </w:pPr>
      <w:r>
        <w:rPr>
          <w:b/>
          <w:sz w:val="18"/>
        </w:rPr>
        <w:t>Total</w:t>
      </w:r>
    </w:p>
    <w:p>
      <w:pPr>
        <w:spacing w:before="66"/>
        <w:ind w:left="486" w:right="0" w:firstLine="0"/>
        <w:jc w:val="left"/>
        <w:rPr>
          <w:b/>
          <w:sz w:val="18"/>
        </w:rPr>
      </w:pPr>
      <w:r>
        <w:rPr>
          <w:b/>
          <w:sz w:val="18"/>
        </w:rPr>
        <w:t>$'000</w:t>
      </w:r>
    </w:p>
    <w:p>
      <w:pPr>
        <w:spacing w:after="0"/>
        <w:jc w:val="left"/>
        <w:rPr>
          <w:sz w:val="18"/>
        </w:rPr>
        <w:sectPr>
          <w:type w:val="continuous"/>
          <w:pgSz w:w="11910" w:h="16840"/>
          <w:pgMar w:top="0" w:bottom="280" w:left="900" w:right="860"/>
          <w:cols w:num="3" w:equalWidth="0">
            <w:col w:w="3663" w:space="3094"/>
            <w:col w:w="1445" w:space="40"/>
            <w:col w:w="1908"/>
          </w:cols>
        </w:sectPr>
      </w:pPr>
    </w:p>
    <w:p>
      <w:pPr>
        <w:pStyle w:val="BodyText"/>
        <w:tabs>
          <w:tab w:pos="8342" w:val="left" w:leader="none"/>
          <w:tab w:pos="9939" w:val="right" w:leader="none"/>
        </w:tabs>
        <w:spacing w:before="28"/>
        <w:ind w:left="1071"/>
        <w:rPr>
          <w:b/>
        </w:rPr>
      </w:pPr>
      <w:r>
        <w:rPr/>
        <w:t>Balance at the beginning of</w:t>
      </w:r>
      <w:r>
        <w:rPr>
          <w:spacing w:val="-1"/>
        </w:rPr>
        <w:t> </w:t>
      </w:r>
      <w:r>
        <w:rPr/>
        <w:t>the</w:t>
      </w:r>
      <w:r>
        <w:rPr>
          <w:spacing w:val="-1"/>
        </w:rPr>
        <w:t> </w:t>
      </w:r>
      <w:r>
        <w:rPr/>
        <w:t>year</w:t>
        <w:tab/>
      </w:r>
      <w:r>
        <w:rPr>
          <w:b/>
        </w:rPr>
        <w:t>131</w:t>
        <w:tab/>
        <w:t>131</w:t>
      </w:r>
    </w:p>
    <w:p>
      <w:pPr>
        <w:tabs>
          <w:tab w:pos="8381" w:val="left" w:leader="none"/>
          <w:tab w:pos="9678" w:val="left" w:leader="none"/>
        </w:tabs>
        <w:spacing w:before="57"/>
        <w:ind w:left="1071" w:right="92" w:firstLine="0"/>
        <w:jc w:val="left"/>
        <w:rPr>
          <w:b/>
          <w:sz w:val="18"/>
        </w:rPr>
      </w:pPr>
      <w:r>
        <w:rPr/>
        <w:pict>
          <v:group style="position:absolute;margin-left:408.070007pt;margin-top:14.539206pt;width:138.3pt;height:1pt;mso-position-horizontal-relative:page;mso-position-vertical-relative:paragraph;z-index:3088" coordorigin="8161,291" coordsize="2766,20">
            <v:line style="position:absolute" from="8162,292" to="8332,292" stroked="true" strokeweight=".06pt" strokecolor="#000000"/>
            <v:line style="position:absolute" from="8162,293" to="8332,293" stroked="true" strokeweight=".06pt" strokecolor="#000000"/>
            <v:line style="position:absolute" from="8162,294" to="8332,294" stroked="true" strokeweight=".06pt" strokecolor="#000000"/>
            <v:line style="position:absolute" from="8162,295" to="8332,295" stroked="true" strokeweight=".06pt" strokecolor="#000000"/>
            <v:line style="position:absolute" from="8162,297" to="8332,297" stroked="true" strokeweight=".06pt" strokecolor="#000000"/>
            <v:line style="position:absolute" from="8162,298" to="8332,298" stroked="true" strokeweight=".06pt" strokecolor="#000000"/>
            <v:line style="position:absolute" from="8162,299" to="8332,299" stroked="true" strokeweight=".06pt" strokecolor="#000000"/>
            <v:line style="position:absolute" from="8162,300" to="8332,300" stroked="true" strokeweight=".06pt" strokecolor="#000000"/>
            <v:line style="position:absolute" from="8162,301" to="8332,301" stroked="true" strokeweight=".06pt" strokecolor="#000000"/>
            <v:line style="position:absolute" from="8162,303" to="8332,303" stroked="true" strokeweight=".06pt" strokecolor="#000000"/>
            <v:line style="position:absolute" from="8162,304" to="8332,304" stroked="true" strokeweight=".06pt" strokecolor="#000000"/>
            <v:line style="position:absolute" from="8162,305" to="8332,305" stroked="true" strokeweight=".06pt" strokecolor="#000000"/>
            <v:line style="position:absolute" from="8162,306" to="8332,306" stroked="true" strokeweight=".06pt" strokecolor="#000000"/>
            <v:line style="position:absolute" from="8162,307" to="8332,307" stroked="true" strokeweight=".06pt" strokecolor="#000000"/>
            <v:line style="position:absolute" from="8162,309" to="8332,309" stroked="true" strokeweight=".06pt" strokecolor="#000000"/>
            <v:line style="position:absolute" from="8162,310" to="8332,310" stroked="true" strokeweight=".06pt" strokecolor="#000000"/>
            <v:line style="position:absolute" from="8332,292" to="9629,292" stroked="true" strokeweight=".06pt" strokecolor="#000000"/>
            <v:line style="position:absolute" from="8332,293" to="9629,293" stroked="true" strokeweight=".06pt" strokecolor="#000000"/>
            <v:line style="position:absolute" from="8332,294" to="9629,294" stroked="true" strokeweight=".06pt" strokecolor="#000000"/>
            <v:line style="position:absolute" from="8332,295" to="9629,295" stroked="true" strokeweight=".06pt" strokecolor="#000000"/>
            <v:line style="position:absolute" from="8332,297" to="9629,297" stroked="true" strokeweight=".06pt" strokecolor="#000000"/>
            <v:line style="position:absolute" from="8332,298" to="9629,298" stroked="true" strokeweight=".06pt" strokecolor="#000000"/>
            <v:line style="position:absolute" from="8332,299" to="9629,299" stroked="true" strokeweight=".06pt" strokecolor="#000000"/>
            <v:line style="position:absolute" from="8332,300" to="9629,300" stroked="true" strokeweight=".06pt" strokecolor="#000000"/>
            <v:line style="position:absolute" from="8332,301" to="9629,301" stroked="true" strokeweight=".06pt" strokecolor="#000000"/>
            <v:line style="position:absolute" from="8332,303" to="9629,303" stroked="true" strokeweight=".06pt" strokecolor="#000000"/>
            <v:line style="position:absolute" from="8332,304" to="9629,304" stroked="true" strokeweight=".06pt" strokecolor="#000000"/>
            <v:line style="position:absolute" from="8332,305" to="9629,305" stroked="true" strokeweight=".06pt" strokecolor="#000000"/>
            <v:line style="position:absolute" from="8332,306" to="9629,306" stroked="true" strokeweight=".06pt" strokecolor="#000000"/>
            <v:line style="position:absolute" from="8332,307" to="9629,307" stroked="true" strokeweight=".06pt" strokecolor="#000000"/>
            <v:line style="position:absolute" from="8332,309" to="9629,309" stroked="true" strokeweight=".06pt" strokecolor="#000000"/>
            <v:line style="position:absolute" from="8332,310" to="9629,310" stroked="true" strokeweight=".06pt" strokecolor="#000000"/>
            <v:line style="position:absolute" from="9629,292" to="10926,292" stroked="true" strokeweight=".06pt" strokecolor="#000000"/>
            <v:line style="position:absolute" from="9629,293" to="10926,293" stroked="true" strokeweight=".06pt" strokecolor="#000000"/>
            <v:line style="position:absolute" from="9629,294" to="10926,294" stroked="true" strokeweight=".06pt" strokecolor="#000000"/>
            <v:line style="position:absolute" from="9629,295" to="10926,295" stroked="true" strokeweight=".06pt" strokecolor="#000000"/>
            <v:line style="position:absolute" from="9629,297" to="10926,297" stroked="true" strokeweight=".06pt" strokecolor="#000000"/>
            <v:line style="position:absolute" from="9629,298" to="10926,298" stroked="true" strokeweight=".06pt" strokecolor="#000000"/>
            <v:line style="position:absolute" from="9629,299" to="10926,299" stroked="true" strokeweight=".06pt" strokecolor="#000000"/>
            <v:line style="position:absolute" from="9629,300" to="10926,300" stroked="true" strokeweight=".06pt" strokecolor="#000000"/>
            <v:line style="position:absolute" from="9629,301" to="10926,301" stroked="true" strokeweight=".06pt" strokecolor="#000000"/>
            <v:line style="position:absolute" from="9629,303" to="10926,303" stroked="true" strokeweight=".06pt" strokecolor="#000000"/>
            <v:line style="position:absolute" from="9629,304" to="10926,304" stroked="true" strokeweight=".06pt" strokecolor="#000000"/>
            <v:line style="position:absolute" from="9629,305" to="10926,305" stroked="true" strokeweight=".06pt" strokecolor="#000000"/>
            <v:line style="position:absolute" from="9629,306" to="10926,306" stroked="true" strokeweight=".06pt" strokecolor="#000000"/>
            <v:line style="position:absolute" from="9629,307" to="10926,307" stroked="true" strokeweight=".06pt" strokecolor="#000000"/>
            <v:line style="position:absolute" from="9629,309" to="10926,309" stroked="true" strokeweight=".06pt" strokecolor="#000000"/>
            <v:line style="position:absolute" from="9629,310" to="10926,310" stroked="true" strokeweight=".06pt" strokecolor="#000000"/>
            <w10:wrap type="none"/>
          </v:group>
        </w:pict>
      </w:r>
      <w:r>
        <w:rPr>
          <w:sz w:val="18"/>
        </w:rPr>
        <w:t>Amortisation</w:t>
      </w:r>
      <w:r>
        <w:rPr>
          <w:spacing w:val="-1"/>
          <w:sz w:val="18"/>
        </w:rPr>
        <w:t> </w:t>
      </w:r>
      <w:r>
        <w:rPr>
          <w:sz w:val="18"/>
        </w:rPr>
        <w:t>charge</w:t>
        <w:tab/>
      </w:r>
      <w:r>
        <w:rPr>
          <w:b/>
          <w:sz w:val="18"/>
        </w:rPr>
        <w:t>(55)</w:t>
        <w:tab/>
        <w:t>(55)</w:t>
      </w:r>
    </w:p>
    <w:p>
      <w:pPr>
        <w:pStyle w:val="Heading9"/>
        <w:tabs>
          <w:tab w:pos="8441" w:val="left" w:leader="none"/>
          <w:tab w:pos="9939" w:val="right" w:leader="none"/>
        </w:tabs>
        <w:spacing w:before="160"/>
        <w:ind w:left="1071"/>
      </w:pPr>
      <w:r>
        <w:rPr/>
        <w:pict>
          <v:group style="position:absolute;margin-left:408.070007pt;margin-top:18.249189pt;width:138.3pt;height:1pt;mso-position-horizontal-relative:page;mso-position-vertical-relative:paragraph;z-index:-1311112" coordorigin="8161,365" coordsize="2766,20">
            <v:line style="position:absolute" from="8162,366" to="8332,366" stroked="true" strokeweight=".06pt" strokecolor="#000000"/>
            <v:line style="position:absolute" from="8162,367" to="8332,367" stroked="true" strokeweight=".06pt" strokecolor="#000000"/>
            <v:line style="position:absolute" from="8162,368" to="8332,368" stroked="true" strokeweight=".06pt" strokecolor="#000000"/>
            <v:line style="position:absolute" from="8162,370" to="8332,370" stroked="true" strokeweight=".06pt" strokecolor="#000000"/>
            <v:line style="position:absolute" from="8162,371" to="8332,371" stroked="true" strokeweight=".06pt" strokecolor="#000000"/>
            <v:line style="position:absolute" from="8162,372" to="8332,372" stroked="true" strokeweight=".06pt" strokecolor="#000000"/>
            <v:line style="position:absolute" from="8162,373" to="8332,373" stroked="true" strokeweight=".06pt" strokecolor="#000000"/>
            <v:line style="position:absolute" from="8162,374" to="8332,374" stroked="true" strokeweight=".06pt" strokecolor="#000000"/>
            <v:line style="position:absolute" from="8162,376" to="8332,376" stroked="true" strokeweight=".06pt" strokecolor="#000000"/>
            <v:line style="position:absolute" from="8162,377" to="8332,377" stroked="true" strokeweight=".06pt" strokecolor="#000000"/>
            <v:line style="position:absolute" from="8162,378" to="8332,378" stroked="true" strokeweight=".06pt" strokecolor="#000000"/>
            <v:line style="position:absolute" from="8162,379" to="8332,379" stroked="true" strokeweight=".06pt" strokecolor="#000000"/>
            <v:line style="position:absolute" from="8162,380" to="8332,380" stroked="true" strokeweight=".06pt" strokecolor="#000000"/>
            <v:line style="position:absolute" from="8162,382" to="8332,382" stroked="true" strokeweight=".06pt" strokecolor="#000000"/>
            <v:line style="position:absolute" from="8162,383" to="8332,383" stroked="true" strokeweight=".06pt" strokecolor="#000000"/>
            <v:line style="position:absolute" from="8162,384" to="8332,384" stroked="true" strokeweight=".06pt" strokecolor="#000000"/>
            <v:line style="position:absolute" from="8332,366" to="9629,366" stroked="true" strokeweight=".06pt" strokecolor="#000000"/>
            <v:line style="position:absolute" from="8332,367" to="9629,367" stroked="true" strokeweight=".06pt" strokecolor="#000000"/>
            <v:line style="position:absolute" from="8332,368" to="9629,368" stroked="true" strokeweight=".06pt" strokecolor="#000000"/>
            <v:line style="position:absolute" from="8332,370" to="9629,370" stroked="true" strokeweight=".06pt" strokecolor="#000000"/>
            <v:line style="position:absolute" from="8332,371" to="9629,371" stroked="true" strokeweight=".06pt" strokecolor="#000000"/>
            <v:line style="position:absolute" from="8332,372" to="9629,372" stroked="true" strokeweight=".06pt" strokecolor="#000000"/>
            <v:line style="position:absolute" from="8332,373" to="9629,373" stroked="true" strokeweight=".06pt" strokecolor="#000000"/>
            <v:line style="position:absolute" from="8332,374" to="9629,374" stroked="true" strokeweight=".06pt" strokecolor="#000000"/>
            <v:line style="position:absolute" from="8332,376" to="9629,376" stroked="true" strokeweight=".06pt" strokecolor="#000000"/>
            <v:line style="position:absolute" from="8332,377" to="9629,377" stroked="true" strokeweight=".06pt" strokecolor="#000000"/>
            <v:line style="position:absolute" from="8332,378" to="9629,378" stroked="true" strokeweight=".06pt" strokecolor="#000000"/>
            <v:line style="position:absolute" from="8332,379" to="9629,379" stroked="true" strokeweight=".06pt" strokecolor="#000000"/>
            <v:line style="position:absolute" from="8332,380" to="9629,380" stroked="true" strokeweight=".06pt" strokecolor="#000000"/>
            <v:line style="position:absolute" from="8332,382" to="9629,382" stroked="true" strokeweight=".06pt" strokecolor="#000000"/>
            <v:line style="position:absolute" from="8332,383" to="9629,383" stroked="true" strokeweight=".06pt" strokecolor="#000000"/>
            <v:line style="position:absolute" from="8332,384" to="9629,384" stroked="true" strokeweight=".06pt" strokecolor="#000000"/>
            <v:line style="position:absolute" from="9629,366" to="10926,366" stroked="true" strokeweight=".06pt" strokecolor="#000000"/>
            <v:line style="position:absolute" from="9629,367" to="10926,367" stroked="true" strokeweight=".06pt" strokecolor="#000000"/>
            <v:line style="position:absolute" from="9629,368" to="10926,368" stroked="true" strokeweight=".06pt" strokecolor="#000000"/>
            <v:line style="position:absolute" from="9629,370" to="10926,370" stroked="true" strokeweight=".06pt" strokecolor="#000000"/>
            <v:line style="position:absolute" from="9629,371" to="10926,371" stroked="true" strokeweight=".06pt" strokecolor="#000000"/>
            <v:line style="position:absolute" from="9629,372" to="10926,372" stroked="true" strokeweight=".06pt" strokecolor="#000000"/>
            <v:line style="position:absolute" from="9629,373" to="10926,373" stroked="true" strokeweight=".06pt" strokecolor="#000000"/>
            <v:line style="position:absolute" from="9629,374" to="10926,374" stroked="true" strokeweight=".06pt" strokecolor="#000000"/>
            <v:line style="position:absolute" from="9629,376" to="10926,376" stroked="true" strokeweight=".06pt" strokecolor="#000000"/>
            <v:line style="position:absolute" from="9629,377" to="10926,377" stroked="true" strokeweight=".06pt" strokecolor="#000000"/>
            <v:line style="position:absolute" from="9629,378" to="10926,378" stroked="true" strokeweight=".06pt" strokecolor="#000000"/>
            <v:line style="position:absolute" from="9629,379" to="10926,379" stroked="true" strokeweight=".06pt" strokecolor="#000000"/>
            <v:line style="position:absolute" from="9629,380" to="10926,380" stroked="true" strokeweight=".06pt" strokecolor="#000000"/>
            <v:line style="position:absolute" from="9629,382" to="10926,382" stroked="true" strokeweight=".06pt" strokecolor="#000000"/>
            <v:line style="position:absolute" from="9629,383" to="10926,383" stroked="true" strokeweight=".06pt" strokecolor="#000000"/>
            <v:line style="position:absolute" from="9629,384" to="10926,384" stroked="true" strokeweight=".06pt" strokecolor="#000000"/>
            <v:line style="position:absolute" from="8162,366" to="8332,366" stroked="true" strokeweight=".06pt" strokecolor="#000000"/>
            <v:line style="position:absolute" from="8162,367" to="8332,367" stroked="true" strokeweight=".06pt" strokecolor="#000000"/>
            <v:line style="position:absolute" from="8162,368" to="8332,368" stroked="true" strokeweight=".06pt" strokecolor="#000000"/>
            <v:line style="position:absolute" from="8162,370" to="8332,370" stroked="true" strokeweight=".06pt" strokecolor="#000000"/>
            <v:line style="position:absolute" from="8162,371" to="8332,371" stroked="true" strokeweight=".06pt" strokecolor="#000000"/>
            <v:line style="position:absolute" from="8162,372" to="8332,372" stroked="true" strokeweight=".06pt" strokecolor="#000000"/>
            <v:line style="position:absolute" from="8162,373" to="8332,373" stroked="true" strokeweight=".06pt" strokecolor="#000000"/>
            <v:line style="position:absolute" from="8162,374" to="8332,374" stroked="true" strokeweight=".06pt" strokecolor="#000000"/>
            <v:line style="position:absolute" from="8162,376" to="8332,376" stroked="true" strokeweight=".06pt" strokecolor="#000000"/>
            <v:line style="position:absolute" from="8162,377" to="8332,377" stroked="true" strokeweight=".06pt" strokecolor="#000000"/>
            <v:line style="position:absolute" from="8162,378" to="8332,378" stroked="true" strokeweight=".06pt" strokecolor="#000000"/>
            <v:line style="position:absolute" from="8162,379" to="8332,379" stroked="true" strokeweight=".06pt" strokecolor="#000000"/>
            <v:line style="position:absolute" from="8162,380" to="8332,380" stroked="true" strokeweight=".06pt" strokecolor="#000000"/>
            <v:line style="position:absolute" from="8162,382" to="8332,382" stroked="true" strokeweight=".06pt" strokecolor="#000000"/>
            <v:line style="position:absolute" from="8162,383" to="8332,383" stroked="true" strokeweight=".06pt" strokecolor="#000000"/>
            <v:line style="position:absolute" from="8162,384" to="8332,384" stroked="true" strokeweight=".06pt" strokecolor="#000000"/>
            <v:line style="position:absolute" from="8332,366" to="9629,366" stroked="true" strokeweight=".06pt" strokecolor="#000000"/>
            <v:line style="position:absolute" from="8332,367" to="9629,367" stroked="true" strokeweight=".06pt" strokecolor="#000000"/>
            <v:line style="position:absolute" from="8332,368" to="9629,368" stroked="true" strokeweight=".06pt" strokecolor="#000000"/>
            <v:line style="position:absolute" from="8332,370" to="9629,370" stroked="true" strokeweight=".06pt" strokecolor="#000000"/>
            <v:line style="position:absolute" from="8332,371" to="9629,371" stroked="true" strokeweight=".06pt" strokecolor="#000000"/>
            <v:line style="position:absolute" from="8332,372" to="9629,372" stroked="true" strokeweight=".06pt" strokecolor="#000000"/>
            <v:line style="position:absolute" from="8332,373" to="9629,373" stroked="true" strokeweight=".06pt" strokecolor="#000000"/>
            <v:line style="position:absolute" from="8332,374" to="9629,374" stroked="true" strokeweight=".06pt" strokecolor="#000000"/>
            <v:line style="position:absolute" from="8332,376" to="9629,376" stroked="true" strokeweight=".06pt" strokecolor="#000000"/>
            <v:line style="position:absolute" from="8332,377" to="9629,377" stroked="true" strokeweight=".06pt" strokecolor="#000000"/>
            <v:line style="position:absolute" from="8332,378" to="9629,378" stroked="true" strokeweight=".06pt" strokecolor="#000000"/>
            <v:line style="position:absolute" from="8332,379" to="9629,379" stroked="true" strokeweight=".06pt" strokecolor="#000000"/>
            <v:line style="position:absolute" from="8332,380" to="9629,380" stroked="true" strokeweight=".06pt" strokecolor="#000000"/>
            <v:line style="position:absolute" from="8332,382" to="9629,382" stroked="true" strokeweight=".06pt" strokecolor="#000000"/>
            <v:line style="position:absolute" from="8332,383" to="9629,383" stroked="true" strokeweight=".06pt" strokecolor="#000000"/>
            <v:line style="position:absolute" from="8332,384" to="9629,384" stroked="true" strokeweight=".06pt" strokecolor="#000000"/>
            <v:line style="position:absolute" from="9629,366" to="10926,366" stroked="true" strokeweight=".06pt" strokecolor="#000000"/>
            <v:line style="position:absolute" from="9629,367" to="10926,367" stroked="true" strokeweight=".06pt" strokecolor="#000000"/>
            <v:line style="position:absolute" from="9629,368" to="10926,368" stroked="true" strokeweight=".06pt" strokecolor="#000000"/>
            <v:line style="position:absolute" from="9629,370" to="10926,370" stroked="true" strokeweight=".06pt" strokecolor="#000000"/>
            <v:line style="position:absolute" from="9629,371" to="10926,371" stroked="true" strokeweight=".06pt" strokecolor="#000000"/>
            <v:line style="position:absolute" from="9629,372" to="10926,372" stroked="true" strokeweight=".06pt" strokecolor="#000000"/>
            <v:line style="position:absolute" from="9629,373" to="10926,373" stroked="true" strokeweight=".06pt" strokecolor="#000000"/>
            <v:line style="position:absolute" from="9629,374" to="10926,374" stroked="true" strokeweight=".06pt" strokecolor="#000000"/>
            <v:line style="position:absolute" from="9629,376" to="10926,376" stroked="true" strokeweight=".06pt" strokecolor="#000000"/>
            <v:line style="position:absolute" from="9629,377" to="10926,377" stroked="true" strokeweight=".06pt" strokecolor="#000000"/>
            <v:line style="position:absolute" from="9629,378" to="10926,378" stroked="true" strokeweight=".06pt" strokecolor="#000000"/>
            <v:line style="position:absolute" from="9629,379" to="10926,379" stroked="true" strokeweight=".06pt" strokecolor="#000000"/>
            <v:line style="position:absolute" from="9629,380" to="10926,380" stroked="true" strokeweight=".06pt" strokecolor="#000000"/>
            <v:line style="position:absolute" from="9629,382" to="10926,382" stroked="true" strokeweight=".06pt" strokecolor="#000000"/>
            <v:line style="position:absolute" from="9629,383" to="10926,383" stroked="true" strokeweight=".06pt" strokecolor="#000000"/>
            <v:line style="position:absolute" from="9629,384" to="10926,384" stroked="true" strokeweight=".06pt" strokecolor="#000000"/>
            <w10:wrap type="none"/>
          </v:group>
        </w:pict>
      </w:r>
      <w:r>
        <w:rPr/>
        <w:t>Closing value at 31</w:t>
      </w:r>
      <w:r>
        <w:rPr>
          <w:spacing w:val="-4"/>
        </w:rPr>
        <w:t> </w:t>
      </w:r>
      <w:r>
        <w:rPr/>
        <w:t>December</w:t>
      </w:r>
      <w:r>
        <w:rPr>
          <w:spacing w:val="-1"/>
        </w:rPr>
        <w:t> </w:t>
      </w:r>
      <w:r>
        <w:rPr/>
        <w:t>2012</w:t>
        <w:tab/>
        <w:t>76</w:t>
        <w:tab/>
        <w:t>76</w:t>
      </w:r>
    </w:p>
    <w:p>
      <w:pPr>
        <w:pStyle w:val="Heading9"/>
        <w:spacing w:before="131"/>
        <w:ind w:left="1071" w:right="125"/>
      </w:pPr>
      <w:r>
        <w:rPr/>
        <w:t>Year ended 31 December 2011</w:t>
      </w:r>
    </w:p>
    <w:p>
      <w:pPr>
        <w:pStyle w:val="BodyText"/>
        <w:tabs>
          <w:tab w:pos="8342" w:val="left" w:leader="none"/>
          <w:tab w:pos="9939" w:val="right" w:leader="none"/>
        </w:tabs>
        <w:spacing w:before="28"/>
        <w:ind w:left="1071"/>
      </w:pPr>
      <w:r>
        <w:rPr/>
        <w:t>Balance at the beginning of</w:t>
      </w:r>
      <w:r>
        <w:rPr>
          <w:spacing w:val="-1"/>
        </w:rPr>
        <w:t> </w:t>
      </w:r>
      <w:r>
        <w:rPr/>
        <w:t>the</w:t>
      </w:r>
      <w:r>
        <w:rPr>
          <w:spacing w:val="-1"/>
        </w:rPr>
        <w:t> </w:t>
      </w:r>
      <w:r>
        <w:rPr/>
        <w:t>year</w:t>
        <w:tab/>
        <w:t>186</w:t>
      </w:r>
      <w:r>
        <w:rPr>
          <w:rFonts w:ascii="Times New Roman"/>
        </w:rPr>
        <w:tab/>
      </w:r>
      <w:r>
        <w:rPr/>
        <w:t>186</w:t>
      </w:r>
    </w:p>
    <w:p>
      <w:pPr>
        <w:pStyle w:val="BodyText"/>
        <w:tabs>
          <w:tab w:pos="8381" w:val="left" w:leader="none"/>
          <w:tab w:pos="9678" w:val="left" w:leader="none"/>
        </w:tabs>
        <w:spacing w:before="57"/>
        <w:ind w:left="1071" w:right="92"/>
      </w:pPr>
      <w:r>
        <w:rPr/>
        <w:pict>
          <v:group style="position:absolute;margin-left:408.070007pt;margin-top:14.539185pt;width:138.3pt;height:1pt;mso-position-horizontal-relative:page;mso-position-vertical-relative:paragraph;z-index:3136" coordorigin="8161,291" coordsize="2766,20">
            <v:line style="position:absolute" from="8162,292" to="8332,292" stroked="true" strokeweight=".06pt" strokecolor="#000000"/>
            <v:line style="position:absolute" from="8162,293" to="8332,293" stroked="true" strokeweight=".06pt" strokecolor="#000000"/>
            <v:line style="position:absolute" from="8162,294" to="8332,294" stroked="true" strokeweight=".06pt" strokecolor="#000000"/>
            <v:line style="position:absolute" from="8162,295" to="8332,295" stroked="true" strokeweight=".06pt" strokecolor="#000000"/>
            <v:line style="position:absolute" from="8162,297" to="8332,297" stroked="true" strokeweight=".06pt" strokecolor="#000000"/>
            <v:line style="position:absolute" from="8162,298" to="8332,298" stroked="true" strokeweight=".06pt" strokecolor="#000000"/>
            <v:line style="position:absolute" from="8162,299" to="8332,299" stroked="true" strokeweight=".06pt" strokecolor="#000000"/>
            <v:line style="position:absolute" from="8162,300" to="8332,300" stroked="true" strokeweight=".06pt" strokecolor="#000000"/>
            <v:line style="position:absolute" from="8162,301" to="8332,301" stroked="true" strokeweight=".06pt" strokecolor="#000000"/>
            <v:line style="position:absolute" from="8162,303" to="8332,303" stroked="true" strokeweight=".06pt" strokecolor="#000000"/>
            <v:line style="position:absolute" from="8162,304" to="8332,304" stroked="true" strokeweight=".06pt" strokecolor="#000000"/>
            <v:line style="position:absolute" from="8162,305" to="8332,305" stroked="true" strokeweight=".06pt" strokecolor="#000000"/>
            <v:line style="position:absolute" from="8162,306" to="8332,306" stroked="true" strokeweight=".06pt" strokecolor="#000000"/>
            <v:line style="position:absolute" from="8162,307" to="8332,307" stroked="true" strokeweight=".06pt" strokecolor="#000000"/>
            <v:line style="position:absolute" from="8162,309" to="8332,309" stroked="true" strokeweight=".06pt" strokecolor="#000000"/>
            <v:line style="position:absolute" from="8162,310" to="8332,310" stroked="true" strokeweight=".06pt" strokecolor="#000000"/>
            <v:line style="position:absolute" from="8332,292" to="9629,292" stroked="true" strokeweight=".06pt" strokecolor="#000000"/>
            <v:line style="position:absolute" from="8332,293" to="9629,293" stroked="true" strokeweight=".06pt" strokecolor="#000000"/>
            <v:line style="position:absolute" from="8332,294" to="9629,294" stroked="true" strokeweight=".06pt" strokecolor="#000000"/>
            <v:line style="position:absolute" from="8332,295" to="9629,295" stroked="true" strokeweight=".06pt" strokecolor="#000000"/>
            <v:line style="position:absolute" from="8332,297" to="9629,297" stroked="true" strokeweight=".06pt" strokecolor="#000000"/>
            <v:line style="position:absolute" from="8332,298" to="9629,298" stroked="true" strokeweight=".06pt" strokecolor="#000000"/>
            <v:line style="position:absolute" from="8332,299" to="9629,299" stroked="true" strokeweight=".06pt" strokecolor="#000000"/>
            <v:line style="position:absolute" from="8332,300" to="9629,300" stroked="true" strokeweight=".06pt" strokecolor="#000000"/>
            <v:line style="position:absolute" from="8332,301" to="9629,301" stroked="true" strokeweight=".06pt" strokecolor="#000000"/>
            <v:line style="position:absolute" from="8332,303" to="9629,303" stroked="true" strokeweight=".06pt" strokecolor="#000000"/>
            <v:line style="position:absolute" from="8332,304" to="9629,304" stroked="true" strokeweight=".06pt" strokecolor="#000000"/>
            <v:line style="position:absolute" from="8332,305" to="9629,305" stroked="true" strokeweight=".06pt" strokecolor="#000000"/>
            <v:line style="position:absolute" from="8332,306" to="9629,306" stroked="true" strokeweight=".06pt" strokecolor="#000000"/>
            <v:line style="position:absolute" from="8332,307" to="9629,307" stroked="true" strokeweight=".06pt" strokecolor="#000000"/>
            <v:line style="position:absolute" from="8332,309" to="9629,309" stroked="true" strokeweight=".06pt" strokecolor="#000000"/>
            <v:line style="position:absolute" from="8332,310" to="9629,310" stroked="true" strokeweight=".06pt" strokecolor="#000000"/>
            <v:line style="position:absolute" from="9629,292" to="10926,292" stroked="true" strokeweight=".06pt" strokecolor="#000000"/>
            <v:line style="position:absolute" from="9629,293" to="10926,293" stroked="true" strokeweight=".06pt" strokecolor="#000000"/>
            <v:line style="position:absolute" from="9629,294" to="10926,294" stroked="true" strokeweight=".06pt" strokecolor="#000000"/>
            <v:line style="position:absolute" from="9629,295" to="10926,295" stroked="true" strokeweight=".06pt" strokecolor="#000000"/>
            <v:line style="position:absolute" from="9629,297" to="10926,297" stroked="true" strokeweight=".06pt" strokecolor="#000000"/>
            <v:line style="position:absolute" from="9629,298" to="10926,298" stroked="true" strokeweight=".06pt" strokecolor="#000000"/>
            <v:line style="position:absolute" from="9629,299" to="10926,299" stroked="true" strokeweight=".06pt" strokecolor="#000000"/>
            <v:line style="position:absolute" from="9629,300" to="10926,300" stroked="true" strokeweight=".06pt" strokecolor="#000000"/>
            <v:line style="position:absolute" from="9629,301" to="10926,301" stroked="true" strokeweight=".06pt" strokecolor="#000000"/>
            <v:line style="position:absolute" from="9629,303" to="10926,303" stroked="true" strokeweight=".06pt" strokecolor="#000000"/>
            <v:line style="position:absolute" from="9629,304" to="10926,304" stroked="true" strokeweight=".06pt" strokecolor="#000000"/>
            <v:line style="position:absolute" from="9629,305" to="10926,305" stroked="true" strokeweight=".06pt" strokecolor="#000000"/>
            <v:line style="position:absolute" from="9629,306" to="10926,306" stroked="true" strokeweight=".06pt" strokecolor="#000000"/>
            <v:line style="position:absolute" from="9629,307" to="10926,307" stroked="true" strokeweight=".06pt" strokecolor="#000000"/>
            <v:line style="position:absolute" from="9629,309" to="10926,309" stroked="true" strokeweight=".06pt" strokecolor="#000000"/>
            <v:line style="position:absolute" from="9629,310" to="10926,310" stroked="true" strokeweight=".06pt" strokecolor="#000000"/>
            <w10:wrap type="none"/>
          </v:group>
        </w:pict>
      </w:r>
      <w:r>
        <w:rPr/>
        <w:t>Amortisation</w:t>
      </w:r>
      <w:r>
        <w:rPr>
          <w:spacing w:val="-1"/>
        </w:rPr>
        <w:t> </w:t>
      </w:r>
      <w:r>
        <w:rPr/>
        <w:t>charge</w:t>
        <w:tab/>
        <w:t>(55)</w:t>
        <w:tab/>
        <w:t>(55)</w:t>
      </w:r>
    </w:p>
    <w:p>
      <w:pPr>
        <w:pStyle w:val="Heading9"/>
        <w:tabs>
          <w:tab w:pos="8342" w:val="left" w:leader="none"/>
          <w:tab w:pos="9939" w:val="right" w:leader="none"/>
        </w:tabs>
        <w:spacing w:before="160"/>
        <w:ind w:left="1071"/>
        <w:rPr>
          <w:b w:val="0"/>
        </w:rPr>
      </w:pPr>
      <w:r>
        <w:rPr/>
        <w:t>Closing value at 31</w:t>
      </w:r>
      <w:r>
        <w:rPr>
          <w:spacing w:val="-4"/>
        </w:rPr>
        <w:t> </w:t>
      </w:r>
      <w:r>
        <w:rPr/>
        <w:t>December</w:t>
      </w:r>
      <w:r>
        <w:rPr>
          <w:spacing w:val="-1"/>
        </w:rPr>
        <w:t> </w:t>
      </w:r>
      <w:r>
        <w:rPr/>
        <w:t>2011</w:t>
        <w:tab/>
      </w:r>
      <w:r>
        <w:rPr>
          <w:b w:val="0"/>
        </w:rPr>
        <w:t>131</w:t>
      </w:r>
      <w:r>
        <w:rPr>
          <w:rFonts w:ascii="Times New Roman"/>
          <w:b w:val="0"/>
        </w:rPr>
        <w:tab/>
      </w:r>
      <w:r>
        <w:rPr>
          <w:b w:val="0"/>
        </w:rPr>
        <w:t>131</w:t>
      </w:r>
    </w:p>
    <w:p>
      <w:pPr>
        <w:pStyle w:val="BodyText"/>
        <w:spacing w:line="20" w:lineRule="exact"/>
        <w:ind w:left="7261"/>
        <w:rPr>
          <w:sz w:val="2"/>
        </w:rPr>
      </w:pPr>
      <w:r>
        <w:rPr>
          <w:sz w:val="2"/>
        </w:rPr>
        <w:pict>
          <v:group style="width:138.3pt;height:1pt;mso-position-horizontal-relative:char;mso-position-vertical-relative:line" coordorigin="0,0" coordsize="2766,2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17" to="170,17" stroked="true" strokeweight=".06pt" strokecolor="#000000"/>
            <v:line style="position:absolute" from="1,18" to="170,18" stroked="true" strokeweight=".06pt" strokecolor="#000000"/>
            <v:line style="position:absolute" from="1,19" to="170,19" stroked="true" strokeweight=".06pt" strokecolor="#000000"/>
            <v:line style="position:absolute" from="170,1" to="1467,1" stroked="true" strokeweight=".06pt" strokecolor="#000000"/>
            <v:line style="position:absolute" from="170,2" to="1467,2" stroked="true" strokeweight=".06pt" strokecolor="#000000"/>
            <v:line style="position:absolute" from="170,3" to="1467,3" stroked="true" strokeweight=".06pt" strokecolor="#000000"/>
            <v:line style="position:absolute" from="170,5" to="1467,5" stroked="true" strokeweight=".06pt" strokecolor="#000000"/>
            <v:line style="position:absolute" from="170,6" to="1467,6" stroked="true" strokeweight=".06pt" strokecolor="#000000"/>
            <v:line style="position:absolute" from="170,7" to="1467,7" stroked="true" strokeweight=".06pt" strokecolor="#000000"/>
            <v:line style="position:absolute" from="170,8" to="1467,8" stroked="true" strokeweight=".06pt" strokecolor="#000000"/>
            <v:line style="position:absolute" from="170,9" to="1467,9" stroked="true" strokeweight=".06pt" strokecolor="#000000"/>
            <v:line style="position:absolute" from="170,11" to="1467,11" stroked="true" strokeweight=".06pt" strokecolor="#000000"/>
            <v:line style="position:absolute" from="170,12" to="1467,12" stroked="true" strokeweight=".06pt" strokecolor="#000000"/>
            <v:line style="position:absolute" from="170,13" to="1467,13" stroked="true" strokeweight=".06pt" strokecolor="#000000"/>
            <v:line style="position:absolute" from="170,14" to="1467,14" stroked="true" strokeweight=".06pt" strokecolor="#000000"/>
            <v:line style="position:absolute" from="170,15" to="1467,15" stroked="true" strokeweight=".06pt" strokecolor="#000000"/>
            <v:line style="position:absolute" from="170,17" to="1467,17" stroked="true" strokeweight=".06pt" strokecolor="#000000"/>
            <v:line style="position:absolute" from="170,18" to="1467,18" stroked="true" strokeweight=".06pt" strokecolor="#000000"/>
            <v:line style="position:absolute" from="170,19" to="1467,19" stroked="true" strokeweight=".06pt" strokecolor="#000000"/>
            <v:line style="position:absolute" from="1467,1" to="2765,1" stroked="true" strokeweight=".06pt" strokecolor="#000000"/>
            <v:line style="position:absolute" from="1467,2" to="2765,2" stroked="true" strokeweight=".06pt" strokecolor="#000000"/>
            <v:line style="position:absolute" from="1467,3" to="2765,3" stroked="true" strokeweight=".06pt" strokecolor="#000000"/>
            <v:line style="position:absolute" from="1467,5" to="2765,5" stroked="true" strokeweight=".06pt" strokecolor="#000000"/>
            <v:line style="position:absolute" from="1467,6" to="2765,6" stroked="true" strokeweight=".06pt" strokecolor="#000000"/>
            <v:line style="position:absolute" from="1467,7" to="2765,7" stroked="true" strokeweight=".06pt" strokecolor="#000000"/>
            <v:line style="position:absolute" from="1467,8" to="2765,8" stroked="true" strokeweight=".06pt" strokecolor="#000000"/>
            <v:line style="position:absolute" from="1467,9" to="2765,9" stroked="true" strokeweight=".06pt" strokecolor="#000000"/>
            <v:line style="position:absolute" from="1467,11" to="2765,11" stroked="true" strokeweight=".06pt" strokecolor="#000000"/>
            <v:line style="position:absolute" from="1467,12" to="2765,12" stroked="true" strokeweight=".06pt" strokecolor="#000000"/>
            <v:line style="position:absolute" from="1467,13" to="2765,13" stroked="true" strokeweight=".06pt" strokecolor="#000000"/>
            <v:line style="position:absolute" from="1467,14" to="2765,14" stroked="true" strokeweight=".06pt" strokecolor="#000000"/>
            <v:line style="position:absolute" from="1467,15" to="2765,15" stroked="true" strokeweight=".06pt" strokecolor="#000000"/>
            <v:line style="position:absolute" from="1467,17" to="2765,17" stroked="true" strokeweight=".06pt" strokecolor="#000000"/>
            <v:line style="position:absolute" from="1467,18" to="2765,18" stroked="true" strokeweight=".06pt" strokecolor="#000000"/>
            <v:line style="position:absolute" from="1467,19" to="2765,19" stroked="true" strokeweight=".06pt" strokecolor="#000000"/>
          </v:group>
        </w:pict>
      </w:r>
      <w:r>
        <w:rPr>
          <w:sz w:val="2"/>
        </w:rPr>
      </w:r>
    </w:p>
    <w:p>
      <w:pPr>
        <w:pStyle w:val="BodyText"/>
        <w:rPr>
          <w:sz w:val="20"/>
        </w:rPr>
      </w:pPr>
    </w:p>
    <w:p>
      <w:pPr>
        <w:pStyle w:val="BodyText"/>
        <w:spacing w:before="1"/>
        <w:rPr>
          <w:sz w:val="19"/>
        </w:rPr>
      </w:pPr>
    </w:p>
    <w:tbl>
      <w:tblPr>
        <w:tblW w:w="0" w:type="auto"/>
        <w:jc w:val="left"/>
        <w:tblInd w:w="10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226"/>
        <w:gridCol w:w="1453"/>
        <w:gridCol w:w="660"/>
        <w:gridCol w:w="650"/>
      </w:tblGrid>
      <w:tr>
        <w:trPr>
          <w:trHeight w:val="914" w:hRule="exact"/>
        </w:trPr>
        <w:tc>
          <w:tcPr>
            <w:tcW w:w="6226" w:type="dxa"/>
          </w:tcPr>
          <w:p>
            <w:pPr/>
          </w:p>
        </w:tc>
        <w:tc>
          <w:tcPr>
            <w:tcW w:w="1453" w:type="dxa"/>
          </w:tcPr>
          <w:p>
            <w:pPr>
              <w:pStyle w:val="TableParagraph"/>
              <w:spacing w:line="316" w:lineRule="auto" w:before="77"/>
              <w:ind w:left="169" w:right="294" w:hanging="170"/>
              <w:rPr>
                <w:b/>
                <w:sz w:val="18"/>
              </w:rPr>
            </w:pPr>
            <w:r>
              <w:rPr>
                <w:b/>
                <w:sz w:val="18"/>
              </w:rPr>
              <w:t>Consolidated Licences</w:t>
            </w:r>
          </w:p>
          <w:p>
            <w:pPr>
              <w:pStyle w:val="TableParagraph"/>
              <w:spacing w:before="2"/>
              <w:ind w:left="169" w:right="294"/>
              <w:rPr>
                <w:b/>
                <w:sz w:val="18"/>
              </w:rPr>
            </w:pPr>
            <w:r>
              <w:rPr>
                <w:b/>
                <w:sz w:val="18"/>
              </w:rPr>
              <w:t>$'000</w:t>
            </w:r>
          </w:p>
        </w:tc>
        <w:tc>
          <w:tcPr>
            <w:tcW w:w="660" w:type="dxa"/>
          </w:tcPr>
          <w:p>
            <w:pPr>
              <w:pStyle w:val="TableParagraph"/>
              <w:rPr>
                <w:sz w:val="18"/>
              </w:rPr>
            </w:pPr>
          </w:p>
          <w:p>
            <w:pPr>
              <w:pStyle w:val="TableParagraph"/>
              <w:spacing w:before="143"/>
              <w:ind w:left="13"/>
              <w:rPr>
                <w:b/>
                <w:sz w:val="18"/>
              </w:rPr>
            </w:pPr>
            <w:r>
              <w:rPr>
                <w:b/>
                <w:sz w:val="18"/>
              </w:rPr>
              <w:t>Total</w:t>
            </w:r>
          </w:p>
          <w:p>
            <w:pPr>
              <w:pStyle w:val="TableParagraph"/>
              <w:spacing w:before="66"/>
              <w:ind w:left="13"/>
              <w:rPr>
                <w:b/>
                <w:sz w:val="18"/>
              </w:rPr>
            </w:pPr>
            <w:r>
              <w:rPr>
                <w:b/>
                <w:sz w:val="18"/>
              </w:rPr>
              <w:t>$'000</w:t>
            </w:r>
          </w:p>
        </w:tc>
        <w:tc>
          <w:tcPr>
            <w:tcW w:w="650" w:type="dxa"/>
          </w:tcPr>
          <w:p>
            <w:pPr/>
          </w:p>
        </w:tc>
      </w:tr>
      <w:tr>
        <w:trPr>
          <w:trHeight w:val="543" w:hRule="exact"/>
        </w:trPr>
        <w:tc>
          <w:tcPr>
            <w:tcW w:w="6226" w:type="dxa"/>
          </w:tcPr>
          <w:p>
            <w:pPr>
              <w:pStyle w:val="TableParagraph"/>
              <w:spacing w:before="63"/>
              <w:ind w:left="35"/>
              <w:rPr>
                <w:b/>
                <w:sz w:val="18"/>
              </w:rPr>
            </w:pPr>
            <w:r>
              <w:rPr>
                <w:b/>
                <w:sz w:val="18"/>
              </w:rPr>
              <w:t>Year ended 31 December 2012</w:t>
            </w:r>
          </w:p>
          <w:p>
            <w:pPr>
              <w:pStyle w:val="TableParagraph"/>
              <w:spacing w:before="27"/>
              <w:ind w:left="35"/>
              <w:rPr>
                <w:sz w:val="18"/>
              </w:rPr>
            </w:pPr>
            <w:r>
              <w:rPr>
                <w:sz w:val="18"/>
              </w:rPr>
              <w:t>Balance at the beginning of the year</w:t>
            </w:r>
          </w:p>
        </w:tc>
        <w:tc>
          <w:tcPr>
            <w:tcW w:w="1453" w:type="dxa"/>
          </w:tcPr>
          <w:p>
            <w:pPr>
              <w:pStyle w:val="TableParagraph"/>
              <w:spacing w:before="11"/>
              <w:rPr>
                <w:sz w:val="25"/>
              </w:rPr>
            </w:pPr>
          </w:p>
          <w:p>
            <w:pPr>
              <w:pStyle w:val="TableParagraph"/>
              <w:ind w:right="71"/>
              <w:jc w:val="right"/>
              <w:rPr>
                <w:b/>
                <w:sz w:val="18"/>
              </w:rPr>
            </w:pPr>
            <w:r>
              <w:rPr>
                <w:b/>
                <w:w w:val="95"/>
                <w:sz w:val="18"/>
              </w:rPr>
              <w:t>323</w:t>
            </w:r>
          </w:p>
        </w:tc>
        <w:tc>
          <w:tcPr>
            <w:tcW w:w="660" w:type="dxa"/>
          </w:tcPr>
          <w:p>
            <w:pPr/>
          </w:p>
        </w:tc>
        <w:tc>
          <w:tcPr>
            <w:tcW w:w="650" w:type="dxa"/>
          </w:tcPr>
          <w:p>
            <w:pPr>
              <w:pStyle w:val="TableParagraph"/>
              <w:spacing w:before="11"/>
              <w:rPr>
                <w:sz w:val="25"/>
              </w:rPr>
            </w:pPr>
          </w:p>
          <w:p>
            <w:pPr>
              <w:pStyle w:val="TableParagraph"/>
              <w:ind w:left="263"/>
              <w:rPr>
                <w:b/>
                <w:sz w:val="18"/>
              </w:rPr>
            </w:pPr>
            <w:r>
              <w:rPr>
                <w:b/>
                <w:sz w:val="18"/>
              </w:rPr>
              <w:t>323</w:t>
            </w:r>
          </w:p>
        </w:tc>
      </w:tr>
      <w:tr>
        <w:trPr>
          <w:trHeight w:val="264" w:hRule="exact"/>
        </w:trPr>
        <w:tc>
          <w:tcPr>
            <w:tcW w:w="6226" w:type="dxa"/>
          </w:tcPr>
          <w:p>
            <w:pPr>
              <w:pStyle w:val="TableParagraph"/>
              <w:spacing w:before="18"/>
              <w:ind w:left="35"/>
              <w:rPr>
                <w:sz w:val="18"/>
              </w:rPr>
            </w:pPr>
            <w:r>
              <w:rPr>
                <w:sz w:val="18"/>
              </w:rPr>
              <w:t>Disposals</w:t>
            </w:r>
          </w:p>
        </w:tc>
        <w:tc>
          <w:tcPr>
            <w:tcW w:w="1453" w:type="dxa"/>
          </w:tcPr>
          <w:p>
            <w:pPr>
              <w:pStyle w:val="TableParagraph"/>
              <w:spacing w:before="19"/>
              <w:ind w:right="11"/>
              <w:jc w:val="right"/>
              <w:rPr>
                <w:b/>
                <w:sz w:val="18"/>
              </w:rPr>
            </w:pPr>
            <w:r>
              <w:rPr>
                <w:b/>
                <w:w w:val="95"/>
                <w:sz w:val="18"/>
              </w:rPr>
              <w:t>(32)</w:t>
            </w:r>
          </w:p>
        </w:tc>
        <w:tc>
          <w:tcPr>
            <w:tcW w:w="660" w:type="dxa"/>
          </w:tcPr>
          <w:p>
            <w:pPr/>
          </w:p>
        </w:tc>
        <w:tc>
          <w:tcPr>
            <w:tcW w:w="650" w:type="dxa"/>
          </w:tcPr>
          <w:p>
            <w:pPr>
              <w:pStyle w:val="TableParagraph"/>
              <w:spacing w:before="19"/>
              <w:ind w:right="25"/>
              <w:jc w:val="right"/>
              <w:rPr>
                <w:b/>
                <w:sz w:val="18"/>
              </w:rPr>
            </w:pPr>
            <w:r>
              <w:rPr>
                <w:b/>
                <w:w w:val="95"/>
                <w:sz w:val="18"/>
              </w:rPr>
              <w:t>(32)</w:t>
            </w:r>
          </w:p>
        </w:tc>
      </w:tr>
      <w:tr>
        <w:trPr>
          <w:trHeight w:val="263" w:hRule="exact"/>
        </w:trPr>
        <w:tc>
          <w:tcPr>
            <w:tcW w:w="6226" w:type="dxa"/>
          </w:tcPr>
          <w:p>
            <w:pPr>
              <w:pStyle w:val="TableParagraph"/>
              <w:spacing w:before="18"/>
              <w:ind w:left="35"/>
              <w:rPr>
                <w:sz w:val="18"/>
              </w:rPr>
            </w:pPr>
            <w:r>
              <w:rPr>
                <w:sz w:val="18"/>
              </w:rPr>
              <w:t>Amortisation charge</w:t>
            </w:r>
          </w:p>
        </w:tc>
        <w:tc>
          <w:tcPr>
            <w:tcW w:w="1453" w:type="dxa"/>
            <w:tcBorders>
              <w:bottom w:val="single" w:sz="0" w:space="0" w:color="000000"/>
            </w:tcBorders>
          </w:tcPr>
          <w:p>
            <w:pPr>
              <w:pStyle w:val="TableParagraph"/>
              <w:spacing w:before="19"/>
              <w:ind w:right="11"/>
              <w:jc w:val="right"/>
              <w:rPr>
                <w:b/>
                <w:sz w:val="18"/>
              </w:rPr>
            </w:pPr>
            <w:r>
              <w:rPr>
                <w:b/>
                <w:w w:val="95"/>
                <w:sz w:val="18"/>
              </w:rPr>
              <w:t>(83)</w:t>
            </w:r>
          </w:p>
        </w:tc>
        <w:tc>
          <w:tcPr>
            <w:tcW w:w="660" w:type="dxa"/>
            <w:tcBorders>
              <w:bottom w:val="single" w:sz="0" w:space="0" w:color="000000"/>
            </w:tcBorders>
          </w:tcPr>
          <w:p>
            <w:pPr/>
          </w:p>
        </w:tc>
        <w:tc>
          <w:tcPr>
            <w:tcW w:w="650" w:type="dxa"/>
            <w:tcBorders>
              <w:bottom w:val="single" w:sz="0" w:space="0" w:color="000000"/>
            </w:tcBorders>
          </w:tcPr>
          <w:p>
            <w:pPr>
              <w:pStyle w:val="TableParagraph"/>
              <w:spacing w:before="19"/>
              <w:ind w:right="24"/>
              <w:jc w:val="right"/>
              <w:rPr>
                <w:b/>
                <w:sz w:val="18"/>
              </w:rPr>
            </w:pPr>
            <w:r>
              <w:rPr>
                <w:b/>
                <w:w w:val="95"/>
                <w:sz w:val="18"/>
              </w:rPr>
              <w:t>(83)</w:t>
            </w:r>
          </w:p>
        </w:tc>
      </w:tr>
      <w:tr>
        <w:trPr>
          <w:trHeight w:val="338" w:hRule="exact"/>
        </w:trPr>
        <w:tc>
          <w:tcPr>
            <w:tcW w:w="6226" w:type="dxa"/>
          </w:tcPr>
          <w:p>
            <w:pPr>
              <w:pStyle w:val="TableParagraph"/>
              <w:spacing w:before="123"/>
              <w:ind w:left="35"/>
              <w:rPr>
                <w:b/>
                <w:sz w:val="18"/>
              </w:rPr>
            </w:pPr>
            <w:r>
              <w:rPr>
                <w:b/>
                <w:sz w:val="18"/>
              </w:rPr>
              <w:t>Closing value at 31 December 2012</w:t>
            </w:r>
          </w:p>
        </w:tc>
        <w:tc>
          <w:tcPr>
            <w:tcW w:w="1453" w:type="dxa"/>
            <w:tcBorders>
              <w:top w:val="single" w:sz="0" w:space="0" w:color="000000"/>
              <w:bottom w:val="single" w:sz="0" w:space="0" w:color="000000"/>
            </w:tcBorders>
          </w:tcPr>
          <w:p>
            <w:pPr>
              <w:pStyle w:val="TableParagraph"/>
              <w:spacing w:before="122"/>
              <w:ind w:right="71"/>
              <w:jc w:val="right"/>
              <w:rPr>
                <w:b/>
                <w:sz w:val="18"/>
              </w:rPr>
            </w:pPr>
            <w:r>
              <w:rPr>
                <w:b/>
                <w:w w:val="95"/>
                <w:sz w:val="18"/>
              </w:rPr>
              <w:t>208</w:t>
            </w:r>
          </w:p>
        </w:tc>
        <w:tc>
          <w:tcPr>
            <w:tcW w:w="660" w:type="dxa"/>
            <w:tcBorders>
              <w:top w:val="single" w:sz="0" w:space="0" w:color="000000"/>
              <w:bottom w:val="single" w:sz="0" w:space="0" w:color="000000"/>
            </w:tcBorders>
          </w:tcPr>
          <w:p>
            <w:pPr/>
          </w:p>
        </w:tc>
        <w:tc>
          <w:tcPr>
            <w:tcW w:w="650" w:type="dxa"/>
            <w:tcBorders>
              <w:top w:val="single" w:sz="0" w:space="0" w:color="000000"/>
              <w:bottom w:val="single" w:sz="0" w:space="0" w:color="000000"/>
            </w:tcBorders>
          </w:tcPr>
          <w:p>
            <w:pPr>
              <w:pStyle w:val="TableParagraph"/>
              <w:spacing w:before="122"/>
              <w:ind w:left="263"/>
              <w:rPr>
                <w:b/>
                <w:sz w:val="18"/>
              </w:rPr>
            </w:pPr>
            <w:r>
              <w:rPr>
                <w:b/>
                <w:sz w:val="18"/>
              </w:rPr>
              <w:t>208</w:t>
            </w:r>
          </w:p>
        </w:tc>
      </w:tr>
      <w:tr>
        <w:trPr>
          <w:trHeight w:val="603" w:hRule="exact"/>
        </w:trPr>
        <w:tc>
          <w:tcPr>
            <w:tcW w:w="6226" w:type="dxa"/>
          </w:tcPr>
          <w:p>
            <w:pPr>
              <w:pStyle w:val="TableParagraph"/>
              <w:spacing w:before="123"/>
              <w:ind w:left="35"/>
              <w:rPr>
                <w:b/>
                <w:sz w:val="18"/>
              </w:rPr>
            </w:pPr>
            <w:r>
              <w:rPr>
                <w:b/>
                <w:sz w:val="18"/>
              </w:rPr>
              <w:t>Year ended 31 December 2011</w:t>
            </w:r>
          </w:p>
          <w:p>
            <w:pPr>
              <w:pStyle w:val="TableParagraph"/>
              <w:spacing w:before="27"/>
              <w:ind w:left="35"/>
              <w:rPr>
                <w:sz w:val="18"/>
              </w:rPr>
            </w:pPr>
            <w:r>
              <w:rPr>
                <w:sz w:val="18"/>
              </w:rPr>
              <w:t>Balance at the beginning of the year</w:t>
            </w:r>
          </w:p>
        </w:tc>
        <w:tc>
          <w:tcPr>
            <w:tcW w:w="1453" w:type="dxa"/>
            <w:tcBorders>
              <w:top w:val="single" w:sz="0" w:space="0" w:color="000000"/>
            </w:tcBorders>
          </w:tcPr>
          <w:p>
            <w:pPr>
              <w:pStyle w:val="TableParagraph"/>
              <w:rPr>
                <w:sz w:val="18"/>
              </w:rPr>
            </w:pPr>
          </w:p>
          <w:p>
            <w:pPr>
              <w:pStyle w:val="TableParagraph"/>
              <w:spacing w:before="151"/>
              <w:ind w:right="71"/>
              <w:jc w:val="right"/>
              <w:rPr>
                <w:sz w:val="18"/>
              </w:rPr>
            </w:pPr>
            <w:r>
              <w:rPr>
                <w:w w:val="95"/>
                <w:sz w:val="18"/>
              </w:rPr>
              <w:t>236</w:t>
            </w:r>
          </w:p>
        </w:tc>
        <w:tc>
          <w:tcPr>
            <w:tcW w:w="660" w:type="dxa"/>
            <w:tcBorders>
              <w:top w:val="single" w:sz="0" w:space="0" w:color="000000"/>
            </w:tcBorders>
          </w:tcPr>
          <w:p>
            <w:pPr/>
          </w:p>
        </w:tc>
        <w:tc>
          <w:tcPr>
            <w:tcW w:w="650" w:type="dxa"/>
            <w:tcBorders>
              <w:top w:val="single" w:sz="0" w:space="0" w:color="000000"/>
            </w:tcBorders>
          </w:tcPr>
          <w:p>
            <w:pPr>
              <w:pStyle w:val="TableParagraph"/>
              <w:rPr>
                <w:sz w:val="18"/>
              </w:rPr>
            </w:pPr>
          </w:p>
          <w:p>
            <w:pPr>
              <w:pStyle w:val="TableParagraph"/>
              <w:spacing w:before="151"/>
              <w:ind w:left="263"/>
              <w:rPr>
                <w:sz w:val="18"/>
              </w:rPr>
            </w:pPr>
            <w:r>
              <w:rPr>
                <w:sz w:val="18"/>
              </w:rPr>
              <w:t>236</w:t>
            </w:r>
          </w:p>
        </w:tc>
      </w:tr>
      <w:tr>
        <w:trPr>
          <w:trHeight w:val="264" w:hRule="exact"/>
        </w:trPr>
        <w:tc>
          <w:tcPr>
            <w:tcW w:w="6226" w:type="dxa"/>
          </w:tcPr>
          <w:p>
            <w:pPr>
              <w:pStyle w:val="TableParagraph"/>
              <w:spacing w:before="18"/>
              <w:ind w:left="35"/>
              <w:rPr>
                <w:sz w:val="18"/>
              </w:rPr>
            </w:pPr>
            <w:r>
              <w:rPr>
                <w:sz w:val="18"/>
              </w:rPr>
              <w:t>Additions</w:t>
            </w:r>
          </w:p>
        </w:tc>
        <w:tc>
          <w:tcPr>
            <w:tcW w:w="1453" w:type="dxa"/>
          </w:tcPr>
          <w:p>
            <w:pPr>
              <w:pStyle w:val="TableParagraph"/>
              <w:spacing w:before="19"/>
              <w:ind w:right="71"/>
              <w:jc w:val="right"/>
              <w:rPr>
                <w:sz w:val="18"/>
              </w:rPr>
            </w:pPr>
            <w:r>
              <w:rPr>
                <w:w w:val="95"/>
                <w:sz w:val="18"/>
              </w:rPr>
              <w:t>212</w:t>
            </w:r>
          </w:p>
        </w:tc>
        <w:tc>
          <w:tcPr>
            <w:tcW w:w="660" w:type="dxa"/>
          </w:tcPr>
          <w:p>
            <w:pPr/>
          </w:p>
        </w:tc>
        <w:tc>
          <w:tcPr>
            <w:tcW w:w="650" w:type="dxa"/>
          </w:tcPr>
          <w:p>
            <w:pPr>
              <w:pStyle w:val="TableParagraph"/>
              <w:spacing w:before="19"/>
              <w:ind w:left="263"/>
              <w:rPr>
                <w:sz w:val="18"/>
              </w:rPr>
            </w:pPr>
            <w:r>
              <w:rPr>
                <w:sz w:val="18"/>
              </w:rPr>
              <w:t>212</w:t>
            </w:r>
          </w:p>
        </w:tc>
      </w:tr>
      <w:tr>
        <w:trPr>
          <w:trHeight w:val="263" w:hRule="exact"/>
        </w:trPr>
        <w:tc>
          <w:tcPr>
            <w:tcW w:w="6226" w:type="dxa"/>
          </w:tcPr>
          <w:p>
            <w:pPr>
              <w:pStyle w:val="TableParagraph"/>
              <w:spacing w:before="18"/>
              <w:ind w:left="35"/>
              <w:rPr>
                <w:sz w:val="18"/>
              </w:rPr>
            </w:pPr>
            <w:r>
              <w:rPr>
                <w:sz w:val="18"/>
              </w:rPr>
              <w:t>Amortisation charge</w:t>
            </w:r>
          </w:p>
        </w:tc>
        <w:tc>
          <w:tcPr>
            <w:tcW w:w="1453" w:type="dxa"/>
            <w:tcBorders>
              <w:bottom w:val="single" w:sz="0" w:space="0" w:color="000000"/>
            </w:tcBorders>
          </w:tcPr>
          <w:p>
            <w:pPr>
              <w:pStyle w:val="TableParagraph"/>
              <w:spacing w:before="19"/>
              <w:ind w:right="11"/>
              <w:jc w:val="right"/>
              <w:rPr>
                <w:sz w:val="18"/>
              </w:rPr>
            </w:pPr>
            <w:r>
              <w:rPr>
                <w:w w:val="95"/>
                <w:sz w:val="18"/>
              </w:rPr>
              <w:t>(125)</w:t>
            </w:r>
          </w:p>
        </w:tc>
        <w:tc>
          <w:tcPr>
            <w:tcW w:w="660" w:type="dxa"/>
            <w:tcBorders>
              <w:bottom w:val="single" w:sz="0" w:space="0" w:color="000000"/>
            </w:tcBorders>
          </w:tcPr>
          <w:p>
            <w:pPr/>
          </w:p>
        </w:tc>
        <w:tc>
          <w:tcPr>
            <w:tcW w:w="650" w:type="dxa"/>
            <w:tcBorders>
              <w:bottom w:val="single" w:sz="0" w:space="0" w:color="000000"/>
            </w:tcBorders>
          </w:tcPr>
          <w:p>
            <w:pPr>
              <w:pStyle w:val="TableParagraph"/>
              <w:spacing w:before="19"/>
              <w:ind w:right="24"/>
              <w:jc w:val="right"/>
              <w:rPr>
                <w:sz w:val="18"/>
              </w:rPr>
            </w:pPr>
            <w:r>
              <w:rPr>
                <w:sz w:val="18"/>
              </w:rPr>
              <w:t>(125)</w:t>
            </w:r>
          </w:p>
        </w:tc>
      </w:tr>
      <w:tr>
        <w:trPr>
          <w:trHeight w:val="338" w:hRule="exact"/>
        </w:trPr>
        <w:tc>
          <w:tcPr>
            <w:tcW w:w="6226" w:type="dxa"/>
          </w:tcPr>
          <w:p>
            <w:pPr>
              <w:pStyle w:val="TableParagraph"/>
              <w:spacing w:before="123"/>
              <w:ind w:left="35"/>
              <w:rPr>
                <w:b/>
                <w:sz w:val="18"/>
              </w:rPr>
            </w:pPr>
            <w:r>
              <w:rPr>
                <w:b/>
                <w:sz w:val="18"/>
              </w:rPr>
              <w:t>Closing value at 31 December 2011</w:t>
            </w:r>
          </w:p>
        </w:tc>
        <w:tc>
          <w:tcPr>
            <w:tcW w:w="1453" w:type="dxa"/>
            <w:tcBorders>
              <w:top w:val="single" w:sz="0" w:space="0" w:color="000000"/>
              <w:bottom w:val="single" w:sz="0" w:space="0" w:color="000000"/>
            </w:tcBorders>
          </w:tcPr>
          <w:p>
            <w:pPr>
              <w:pStyle w:val="TableParagraph"/>
              <w:spacing w:before="122"/>
              <w:ind w:right="71"/>
              <w:jc w:val="right"/>
              <w:rPr>
                <w:sz w:val="18"/>
              </w:rPr>
            </w:pPr>
            <w:r>
              <w:rPr>
                <w:w w:val="95"/>
                <w:sz w:val="18"/>
              </w:rPr>
              <w:t>323</w:t>
            </w:r>
          </w:p>
        </w:tc>
        <w:tc>
          <w:tcPr>
            <w:tcW w:w="660" w:type="dxa"/>
            <w:tcBorders>
              <w:top w:val="single" w:sz="0" w:space="0" w:color="000000"/>
              <w:bottom w:val="single" w:sz="0" w:space="0" w:color="000000"/>
            </w:tcBorders>
          </w:tcPr>
          <w:p>
            <w:pPr/>
          </w:p>
        </w:tc>
        <w:tc>
          <w:tcPr>
            <w:tcW w:w="650" w:type="dxa"/>
            <w:tcBorders>
              <w:top w:val="single" w:sz="0" w:space="0" w:color="000000"/>
              <w:bottom w:val="single" w:sz="0" w:space="0" w:color="000000"/>
            </w:tcBorders>
          </w:tcPr>
          <w:p>
            <w:pPr>
              <w:pStyle w:val="TableParagraph"/>
              <w:spacing w:before="122"/>
              <w:ind w:left="263"/>
              <w:rPr>
                <w:sz w:val="18"/>
              </w:rPr>
            </w:pPr>
            <w:r>
              <w:rPr>
                <w:sz w:val="18"/>
              </w:rPr>
              <w:t>323</w:t>
            </w:r>
          </w:p>
        </w:tc>
      </w:tr>
    </w:tbl>
    <w:p>
      <w:pPr>
        <w:spacing w:after="0"/>
        <w:rPr>
          <w:sz w:val="18"/>
        </w:rPr>
        <w:sectPr>
          <w:type w:val="continuous"/>
          <w:pgSz w:w="11910" w:h="16840"/>
          <w:pgMar w:top="0" w:bottom="280" w:left="900" w:right="860"/>
        </w:sectPr>
      </w:pPr>
    </w:p>
    <w:p>
      <w:pPr>
        <w:pStyle w:val="BodyText"/>
        <w:spacing w:before="7"/>
        <w:rPr>
          <w:sz w:val="26"/>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4087"/>
        <w:gridCol w:w="1424"/>
        <w:gridCol w:w="595"/>
        <w:gridCol w:w="716"/>
        <w:gridCol w:w="813"/>
        <w:gridCol w:w="639"/>
        <w:gridCol w:w="595"/>
        <w:gridCol w:w="745"/>
      </w:tblGrid>
      <w:tr>
        <w:trPr>
          <w:trHeight w:val="567" w:hRule="exact"/>
        </w:trPr>
        <w:tc>
          <w:tcPr>
            <w:tcW w:w="333" w:type="dxa"/>
          </w:tcPr>
          <w:p>
            <w:pPr>
              <w:pStyle w:val="TableParagraph"/>
              <w:spacing w:before="77"/>
              <w:ind w:left="35"/>
              <w:rPr>
                <w:b/>
                <w:sz w:val="18"/>
              </w:rPr>
            </w:pPr>
            <w:r>
              <w:rPr>
                <w:b/>
                <w:sz w:val="18"/>
              </w:rPr>
              <w:t>20</w:t>
            </w:r>
          </w:p>
        </w:tc>
        <w:tc>
          <w:tcPr>
            <w:tcW w:w="4087" w:type="dxa"/>
          </w:tcPr>
          <w:p>
            <w:pPr>
              <w:pStyle w:val="TableParagraph"/>
              <w:spacing w:before="77"/>
              <w:ind w:left="97"/>
              <w:rPr>
                <w:b/>
                <w:sz w:val="18"/>
              </w:rPr>
            </w:pPr>
            <w:r>
              <w:rPr>
                <w:b/>
                <w:sz w:val="18"/>
              </w:rPr>
              <w:t>Other financial assets</w:t>
            </w:r>
          </w:p>
        </w:tc>
        <w:tc>
          <w:tcPr>
            <w:tcW w:w="1424" w:type="dxa"/>
          </w:tcPr>
          <w:p>
            <w:pPr>
              <w:pStyle w:val="TableParagraph"/>
              <w:rPr>
                <w:sz w:val="18"/>
              </w:rPr>
            </w:pPr>
          </w:p>
          <w:p>
            <w:pPr>
              <w:pStyle w:val="TableParagraph"/>
              <w:spacing w:before="110"/>
              <w:ind w:left="27"/>
              <w:rPr>
                <w:b/>
                <w:sz w:val="18"/>
              </w:rPr>
            </w:pPr>
            <w:r>
              <w:rPr>
                <w:b/>
                <w:sz w:val="18"/>
              </w:rPr>
              <w:t>Consolidated</w:t>
            </w:r>
          </w:p>
        </w:tc>
        <w:tc>
          <w:tcPr>
            <w:tcW w:w="595" w:type="dxa"/>
          </w:tcPr>
          <w:p>
            <w:pPr/>
          </w:p>
        </w:tc>
        <w:tc>
          <w:tcPr>
            <w:tcW w:w="716" w:type="dxa"/>
          </w:tcPr>
          <w:p>
            <w:pPr/>
          </w:p>
        </w:tc>
        <w:tc>
          <w:tcPr>
            <w:tcW w:w="813" w:type="dxa"/>
          </w:tcPr>
          <w:p>
            <w:pPr>
              <w:pStyle w:val="TableParagraph"/>
              <w:rPr>
                <w:sz w:val="18"/>
              </w:rPr>
            </w:pPr>
          </w:p>
          <w:p>
            <w:pPr>
              <w:pStyle w:val="TableParagraph"/>
              <w:spacing w:before="110"/>
              <w:ind w:right="195"/>
              <w:jc w:val="right"/>
              <w:rPr>
                <w:b/>
                <w:sz w:val="18"/>
              </w:rPr>
            </w:pPr>
            <w:r>
              <w:rPr>
                <w:b/>
                <w:w w:val="95"/>
                <w:sz w:val="18"/>
              </w:rPr>
              <w:t>Parent</w:t>
            </w:r>
          </w:p>
        </w:tc>
        <w:tc>
          <w:tcPr>
            <w:tcW w:w="1979" w:type="dxa"/>
            <w:gridSpan w:val="3"/>
          </w:tcPr>
          <w:p>
            <w:pPr/>
          </w:p>
        </w:tc>
      </w:tr>
      <w:tr>
        <w:trPr>
          <w:trHeight w:val="274" w:hRule="exact"/>
        </w:trPr>
        <w:tc>
          <w:tcPr>
            <w:tcW w:w="333" w:type="dxa"/>
          </w:tcPr>
          <w:p>
            <w:pPr/>
          </w:p>
        </w:tc>
        <w:tc>
          <w:tcPr>
            <w:tcW w:w="4087" w:type="dxa"/>
          </w:tcPr>
          <w:p>
            <w:pPr/>
          </w:p>
        </w:tc>
        <w:tc>
          <w:tcPr>
            <w:tcW w:w="1424" w:type="dxa"/>
          </w:tcPr>
          <w:p>
            <w:pPr>
              <w:pStyle w:val="TableParagraph"/>
              <w:spacing w:before="24"/>
              <w:ind w:left="196"/>
              <w:rPr>
                <w:b/>
                <w:sz w:val="18"/>
              </w:rPr>
            </w:pPr>
            <w:r>
              <w:rPr>
                <w:b/>
                <w:sz w:val="18"/>
              </w:rPr>
              <w:t>2012</w:t>
            </w:r>
          </w:p>
        </w:tc>
        <w:tc>
          <w:tcPr>
            <w:tcW w:w="595" w:type="dxa"/>
          </w:tcPr>
          <w:p>
            <w:pPr>
              <w:pStyle w:val="TableParagraph"/>
              <w:spacing w:before="24"/>
              <w:ind w:left="42"/>
              <w:rPr>
                <w:b/>
                <w:sz w:val="18"/>
              </w:rPr>
            </w:pPr>
            <w:r>
              <w:rPr>
                <w:b/>
                <w:sz w:val="18"/>
              </w:rPr>
              <w:t>2011</w:t>
            </w:r>
          </w:p>
        </w:tc>
        <w:tc>
          <w:tcPr>
            <w:tcW w:w="716" w:type="dxa"/>
          </w:tcPr>
          <w:p>
            <w:pPr/>
          </w:p>
        </w:tc>
        <w:tc>
          <w:tcPr>
            <w:tcW w:w="813" w:type="dxa"/>
          </w:tcPr>
          <w:p>
            <w:pPr>
              <w:pStyle w:val="TableParagraph"/>
              <w:spacing w:before="24"/>
              <w:ind w:right="185"/>
              <w:jc w:val="right"/>
              <w:rPr>
                <w:b/>
                <w:sz w:val="18"/>
              </w:rPr>
            </w:pPr>
            <w:r>
              <w:rPr>
                <w:b/>
                <w:w w:val="95"/>
                <w:sz w:val="18"/>
              </w:rPr>
              <w:t>2012</w:t>
            </w:r>
          </w:p>
        </w:tc>
        <w:tc>
          <w:tcPr>
            <w:tcW w:w="639" w:type="dxa"/>
          </w:tcPr>
          <w:p>
            <w:pPr/>
          </w:p>
        </w:tc>
        <w:tc>
          <w:tcPr>
            <w:tcW w:w="595" w:type="dxa"/>
          </w:tcPr>
          <w:p>
            <w:pPr>
              <w:pStyle w:val="TableParagraph"/>
              <w:spacing w:before="24"/>
              <w:ind w:left="42"/>
              <w:rPr>
                <w:b/>
                <w:sz w:val="18"/>
              </w:rPr>
            </w:pPr>
            <w:r>
              <w:rPr>
                <w:b/>
                <w:sz w:val="18"/>
              </w:rPr>
              <w:t>2011</w:t>
            </w:r>
          </w:p>
        </w:tc>
        <w:tc>
          <w:tcPr>
            <w:tcW w:w="745" w:type="dxa"/>
          </w:tcPr>
          <w:p>
            <w:pPr/>
          </w:p>
        </w:tc>
      </w:tr>
      <w:tr>
        <w:trPr>
          <w:trHeight w:val="313" w:hRule="exact"/>
        </w:trPr>
        <w:tc>
          <w:tcPr>
            <w:tcW w:w="333" w:type="dxa"/>
          </w:tcPr>
          <w:p>
            <w:pPr/>
          </w:p>
        </w:tc>
        <w:tc>
          <w:tcPr>
            <w:tcW w:w="4087" w:type="dxa"/>
          </w:tcPr>
          <w:p>
            <w:pPr/>
          </w:p>
        </w:tc>
        <w:tc>
          <w:tcPr>
            <w:tcW w:w="1424" w:type="dxa"/>
          </w:tcPr>
          <w:p>
            <w:pPr>
              <w:pStyle w:val="TableParagraph"/>
              <w:spacing w:before="24"/>
              <w:ind w:left="196"/>
              <w:rPr>
                <w:b/>
                <w:sz w:val="18"/>
              </w:rPr>
            </w:pPr>
            <w:r>
              <w:rPr>
                <w:b/>
                <w:sz w:val="18"/>
              </w:rPr>
              <w:t>$'000</w:t>
            </w:r>
          </w:p>
        </w:tc>
        <w:tc>
          <w:tcPr>
            <w:tcW w:w="595" w:type="dxa"/>
          </w:tcPr>
          <w:p>
            <w:pPr>
              <w:pStyle w:val="TableParagraph"/>
              <w:spacing w:before="24"/>
              <w:ind w:left="42"/>
              <w:rPr>
                <w:b/>
                <w:sz w:val="18"/>
              </w:rPr>
            </w:pPr>
            <w:r>
              <w:rPr>
                <w:b/>
                <w:sz w:val="18"/>
              </w:rPr>
              <w:t>$'000</w:t>
            </w:r>
          </w:p>
        </w:tc>
        <w:tc>
          <w:tcPr>
            <w:tcW w:w="716" w:type="dxa"/>
          </w:tcPr>
          <w:p>
            <w:pPr/>
          </w:p>
        </w:tc>
        <w:tc>
          <w:tcPr>
            <w:tcW w:w="813" w:type="dxa"/>
          </w:tcPr>
          <w:p>
            <w:pPr>
              <w:pStyle w:val="TableParagraph"/>
              <w:spacing w:before="24"/>
              <w:ind w:right="142"/>
              <w:jc w:val="right"/>
              <w:rPr>
                <w:b/>
                <w:sz w:val="18"/>
              </w:rPr>
            </w:pPr>
            <w:r>
              <w:rPr>
                <w:b/>
                <w:w w:val="95"/>
                <w:sz w:val="18"/>
              </w:rPr>
              <w:t>$'000</w:t>
            </w:r>
          </w:p>
        </w:tc>
        <w:tc>
          <w:tcPr>
            <w:tcW w:w="639" w:type="dxa"/>
          </w:tcPr>
          <w:p>
            <w:pPr/>
          </w:p>
        </w:tc>
        <w:tc>
          <w:tcPr>
            <w:tcW w:w="595" w:type="dxa"/>
          </w:tcPr>
          <w:p>
            <w:pPr>
              <w:pStyle w:val="TableParagraph"/>
              <w:spacing w:before="24"/>
              <w:ind w:left="42"/>
              <w:rPr>
                <w:b/>
                <w:sz w:val="18"/>
              </w:rPr>
            </w:pPr>
            <w:r>
              <w:rPr>
                <w:b/>
                <w:sz w:val="18"/>
              </w:rPr>
              <w:t>$'000</w:t>
            </w:r>
          </w:p>
        </w:tc>
        <w:tc>
          <w:tcPr>
            <w:tcW w:w="745" w:type="dxa"/>
          </w:tcPr>
          <w:p>
            <w:pPr/>
          </w:p>
        </w:tc>
      </w:tr>
      <w:tr>
        <w:trPr>
          <w:trHeight w:val="544" w:hRule="exact"/>
        </w:trPr>
        <w:tc>
          <w:tcPr>
            <w:tcW w:w="333" w:type="dxa"/>
          </w:tcPr>
          <w:p>
            <w:pPr/>
          </w:p>
        </w:tc>
        <w:tc>
          <w:tcPr>
            <w:tcW w:w="4087" w:type="dxa"/>
          </w:tcPr>
          <w:p>
            <w:pPr>
              <w:pStyle w:val="TableParagraph"/>
              <w:spacing w:before="63"/>
              <w:ind w:left="124"/>
              <w:rPr>
                <w:b/>
                <w:sz w:val="18"/>
              </w:rPr>
            </w:pPr>
            <w:r>
              <w:rPr>
                <w:b/>
                <w:sz w:val="18"/>
              </w:rPr>
              <w:t>Current</w:t>
            </w:r>
          </w:p>
          <w:p>
            <w:pPr>
              <w:pStyle w:val="TableParagraph"/>
              <w:spacing w:before="29"/>
              <w:ind w:left="124"/>
              <w:rPr>
                <w:sz w:val="18"/>
              </w:rPr>
            </w:pPr>
            <w:r>
              <w:rPr>
                <w:sz w:val="18"/>
              </w:rPr>
              <w:t>Designated as at fair value through profit or loss</w:t>
            </w:r>
          </w:p>
        </w:tc>
        <w:tc>
          <w:tcPr>
            <w:tcW w:w="1424" w:type="dxa"/>
          </w:tcPr>
          <w:p>
            <w:pPr>
              <w:pStyle w:val="TableParagraph"/>
              <w:spacing w:before="11"/>
              <w:rPr>
                <w:sz w:val="25"/>
              </w:rPr>
            </w:pPr>
          </w:p>
          <w:p>
            <w:pPr>
              <w:pStyle w:val="TableParagraph"/>
              <w:ind w:right="44"/>
              <w:jc w:val="right"/>
              <w:rPr>
                <w:b/>
                <w:sz w:val="18"/>
              </w:rPr>
            </w:pPr>
            <w:r>
              <w:rPr>
                <w:b/>
                <w:w w:val="99"/>
                <w:sz w:val="18"/>
              </w:rPr>
              <w:t>-</w:t>
            </w:r>
          </w:p>
        </w:tc>
        <w:tc>
          <w:tcPr>
            <w:tcW w:w="595" w:type="dxa"/>
          </w:tcPr>
          <w:p>
            <w:pPr/>
          </w:p>
        </w:tc>
        <w:tc>
          <w:tcPr>
            <w:tcW w:w="716" w:type="dxa"/>
          </w:tcPr>
          <w:p>
            <w:pPr>
              <w:pStyle w:val="TableParagraph"/>
              <w:spacing w:before="11"/>
              <w:rPr>
                <w:sz w:val="25"/>
              </w:rPr>
            </w:pPr>
          </w:p>
          <w:p>
            <w:pPr>
              <w:pStyle w:val="TableParagraph"/>
              <w:ind w:right="55"/>
              <w:jc w:val="right"/>
              <w:rPr>
                <w:sz w:val="18"/>
              </w:rPr>
            </w:pPr>
            <w:r>
              <w:rPr>
                <w:w w:val="95"/>
                <w:sz w:val="18"/>
              </w:rPr>
              <w:t>9,651</w:t>
            </w:r>
          </w:p>
        </w:tc>
        <w:tc>
          <w:tcPr>
            <w:tcW w:w="813" w:type="dxa"/>
          </w:tcPr>
          <w:p>
            <w:pPr/>
          </w:p>
        </w:tc>
        <w:tc>
          <w:tcPr>
            <w:tcW w:w="639" w:type="dxa"/>
          </w:tcPr>
          <w:p>
            <w:pPr>
              <w:pStyle w:val="TableParagraph"/>
              <w:spacing w:before="11"/>
              <w:rPr>
                <w:sz w:val="25"/>
              </w:rPr>
            </w:pPr>
          </w:p>
          <w:p>
            <w:pPr>
              <w:pStyle w:val="TableParagraph"/>
              <w:ind w:right="44"/>
              <w:jc w:val="right"/>
              <w:rPr>
                <w:b/>
                <w:sz w:val="18"/>
              </w:rPr>
            </w:pPr>
            <w:r>
              <w:rPr>
                <w:b/>
                <w:w w:val="99"/>
                <w:sz w:val="18"/>
              </w:rPr>
              <w:t>-</w:t>
            </w:r>
          </w:p>
        </w:tc>
        <w:tc>
          <w:tcPr>
            <w:tcW w:w="595" w:type="dxa"/>
          </w:tcPr>
          <w:p>
            <w:pPr/>
          </w:p>
        </w:tc>
        <w:tc>
          <w:tcPr>
            <w:tcW w:w="745" w:type="dxa"/>
          </w:tcPr>
          <w:p>
            <w:pPr>
              <w:pStyle w:val="TableParagraph"/>
              <w:spacing w:before="11"/>
              <w:rPr>
                <w:sz w:val="25"/>
              </w:rPr>
            </w:pPr>
          </w:p>
          <w:p>
            <w:pPr>
              <w:pStyle w:val="TableParagraph"/>
              <w:ind w:right="85"/>
              <w:jc w:val="right"/>
              <w:rPr>
                <w:sz w:val="18"/>
              </w:rPr>
            </w:pPr>
            <w:r>
              <w:rPr>
                <w:w w:val="99"/>
                <w:sz w:val="18"/>
              </w:rPr>
              <w:t>-</w:t>
            </w:r>
          </w:p>
        </w:tc>
      </w:tr>
      <w:tr>
        <w:trPr>
          <w:trHeight w:val="262" w:hRule="exact"/>
        </w:trPr>
        <w:tc>
          <w:tcPr>
            <w:tcW w:w="333" w:type="dxa"/>
          </w:tcPr>
          <w:p>
            <w:pPr/>
          </w:p>
        </w:tc>
        <w:tc>
          <w:tcPr>
            <w:tcW w:w="4087" w:type="dxa"/>
          </w:tcPr>
          <w:p>
            <w:pPr>
              <w:pStyle w:val="TableParagraph"/>
              <w:spacing w:before="19"/>
              <w:ind w:left="124"/>
              <w:rPr>
                <w:sz w:val="18"/>
              </w:rPr>
            </w:pPr>
            <w:r>
              <w:rPr>
                <w:sz w:val="18"/>
              </w:rPr>
              <w:t>Available-for-sale (TCorp)</w:t>
            </w:r>
          </w:p>
        </w:tc>
        <w:tc>
          <w:tcPr>
            <w:tcW w:w="1424" w:type="dxa"/>
            <w:tcBorders>
              <w:bottom w:val="single" w:sz="0" w:space="0" w:color="000000"/>
            </w:tcBorders>
          </w:tcPr>
          <w:p>
            <w:pPr>
              <w:pStyle w:val="TableParagraph"/>
              <w:spacing w:before="18"/>
              <w:ind w:right="44"/>
              <w:jc w:val="right"/>
              <w:rPr>
                <w:b/>
                <w:sz w:val="18"/>
              </w:rPr>
            </w:pPr>
            <w:r>
              <w:rPr>
                <w:b/>
                <w:w w:val="99"/>
                <w:sz w:val="18"/>
              </w:rPr>
              <w:t>-</w:t>
            </w:r>
          </w:p>
        </w:tc>
        <w:tc>
          <w:tcPr>
            <w:tcW w:w="595" w:type="dxa"/>
            <w:tcBorders>
              <w:bottom w:val="single" w:sz="0" w:space="0" w:color="000000"/>
            </w:tcBorders>
          </w:tcPr>
          <w:p>
            <w:pPr/>
          </w:p>
        </w:tc>
        <w:tc>
          <w:tcPr>
            <w:tcW w:w="716" w:type="dxa"/>
            <w:tcBorders>
              <w:bottom w:val="single" w:sz="0" w:space="0" w:color="000000"/>
            </w:tcBorders>
          </w:tcPr>
          <w:p>
            <w:pPr>
              <w:pStyle w:val="TableParagraph"/>
              <w:spacing w:before="18"/>
              <w:ind w:right="54"/>
              <w:jc w:val="right"/>
              <w:rPr>
                <w:sz w:val="18"/>
              </w:rPr>
            </w:pPr>
            <w:r>
              <w:rPr>
                <w:w w:val="95"/>
                <w:sz w:val="18"/>
              </w:rPr>
              <w:t>12,092</w:t>
            </w:r>
          </w:p>
        </w:tc>
        <w:tc>
          <w:tcPr>
            <w:tcW w:w="813" w:type="dxa"/>
            <w:tcBorders>
              <w:bottom w:val="single" w:sz="0" w:space="0" w:color="000000"/>
            </w:tcBorders>
          </w:tcPr>
          <w:p>
            <w:pPr/>
          </w:p>
        </w:tc>
        <w:tc>
          <w:tcPr>
            <w:tcW w:w="639" w:type="dxa"/>
            <w:tcBorders>
              <w:bottom w:val="single" w:sz="0" w:space="0" w:color="000000"/>
            </w:tcBorders>
          </w:tcPr>
          <w:p>
            <w:pPr>
              <w:pStyle w:val="TableParagraph"/>
              <w:spacing w:before="18"/>
              <w:ind w:right="43"/>
              <w:jc w:val="right"/>
              <w:rPr>
                <w:b/>
                <w:sz w:val="18"/>
              </w:rPr>
            </w:pPr>
            <w:r>
              <w:rPr>
                <w:b/>
                <w:w w:val="99"/>
                <w:sz w:val="18"/>
              </w:rPr>
              <w:t>-</w:t>
            </w:r>
          </w:p>
        </w:tc>
        <w:tc>
          <w:tcPr>
            <w:tcW w:w="595" w:type="dxa"/>
            <w:tcBorders>
              <w:bottom w:val="single" w:sz="0" w:space="0" w:color="000000"/>
            </w:tcBorders>
          </w:tcPr>
          <w:p>
            <w:pPr/>
          </w:p>
        </w:tc>
        <w:tc>
          <w:tcPr>
            <w:tcW w:w="745" w:type="dxa"/>
            <w:tcBorders>
              <w:bottom w:val="single" w:sz="0" w:space="0" w:color="000000"/>
            </w:tcBorders>
          </w:tcPr>
          <w:p>
            <w:pPr>
              <w:pStyle w:val="TableParagraph"/>
              <w:spacing w:before="18"/>
              <w:ind w:right="83"/>
              <w:jc w:val="right"/>
              <w:rPr>
                <w:sz w:val="18"/>
              </w:rPr>
            </w:pPr>
            <w:r>
              <w:rPr>
                <w:w w:val="95"/>
                <w:sz w:val="18"/>
              </w:rPr>
              <w:t>12,092</w:t>
            </w:r>
          </w:p>
        </w:tc>
      </w:tr>
      <w:tr>
        <w:trPr>
          <w:trHeight w:val="338" w:hRule="exact"/>
        </w:trPr>
        <w:tc>
          <w:tcPr>
            <w:tcW w:w="333" w:type="dxa"/>
          </w:tcPr>
          <w:p>
            <w:pPr/>
          </w:p>
        </w:tc>
        <w:tc>
          <w:tcPr>
            <w:tcW w:w="4087" w:type="dxa"/>
          </w:tcPr>
          <w:p>
            <w:pPr>
              <w:pStyle w:val="TableParagraph"/>
              <w:spacing w:before="123"/>
              <w:ind w:left="124"/>
              <w:rPr>
                <w:b/>
                <w:sz w:val="18"/>
              </w:rPr>
            </w:pPr>
            <w:r>
              <w:rPr>
                <w:b/>
                <w:sz w:val="18"/>
              </w:rPr>
              <w:t>Total current other financial assets</w:t>
            </w:r>
          </w:p>
        </w:tc>
        <w:tc>
          <w:tcPr>
            <w:tcW w:w="1424" w:type="dxa"/>
            <w:tcBorders>
              <w:top w:val="single" w:sz="0" w:space="0" w:color="000000"/>
              <w:bottom w:val="single" w:sz="0" w:space="0" w:color="000000"/>
            </w:tcBorders>
          </w:tcPr>
          <w:p>
            <w:pPr>
              <w:pStyle w:val="TableParagraph"/>
              <w:spacing w:before="122"/>
              <w:ind w:right="44"/>
              <w:jc w:val="right"/>
              <w:rPr>
                <w:b/>
                <w:sz w:val="18"/>
              </w:rPr>
            </w:pPr>
            <w:r>
              <w:rPr>
                <w:b/>
                <w:w w:val="99"/>
                <w:sz w:val="18"/>
              </w:rPr>
              <w:t>-</w:t>
            </w:r>
          </w:p>
        </w:tc>
        <w:tc>
          <w:tcPr>
            <w:tcW w:w="595" w:type="dxa"/>
            <w:tcBorders>
              <w:top w:val="single" w:sz="0" w:space="0" w:color="000000"/>
              <w:bottom w:val="single" w:sz="0" w:space="0" w:color="000000"/>
            </w:tcBorders>
          </w:tcPr>
          <w:p>
            <w:pPr/>
          </w:p>
        </w:tc>
        <w:tc>
          <w:tcPr>
            <w:tcW w:w="716" w:type="dxa"/>
            <w:tcBorders>
              <w:top w:val="single" w:sz="0" w:space="0" w:color="000000"/>
              <w:bottom w:val="single" w:sz="0" w:space="0" w:color="000000"/>
            </w:tcBorders>
          </w:tcPr>
          <w:p>
            <w:pPr>
              <w:pStyle w:val="TableParagraph"/>
              <w:spacing w:before="122"/>
              <w:ind w:right="54"/>
              <w:jc w:val="right"/>
              <w:rPr>
                <w:sz w:val="18"/>
              </w:rPr>
            </w:pPr>
            <w:r>
              <w:rPr>
                <w:w w:val="95"/>
                <w:sz w:val="18"/>
              </w:rPr>
              <w:t>21,743</w:t>
            </w:r>
          </w:p>
        </w:tc>
        <w:tc>
          <w:tcPr>
            <w:tcW w:w="813" w:type="dxa"/>
            <w:tcBorders>
              <w:top w:val="single" w:sz="0" w:space="0" w:color="000000"/>
              <w:bottom w:val="single" w:sz="0" w:space="0" w:color="000000"/>
            </w:tcBorders>
          </w:tcPr>
          <w:p>
            <w:pPr/>
          </w:p>
        </w:tc>
        <w:tc>
          <w:tcPr>
            <w:tcW w:w="639" w:type="dxa"/>
            <w:tcBorders>
              <w:top w:val="single" w:sz="0" w:space="0" w:color="000000"/>
              <w:bottom w:val="single" w:sz="0" w:space="0" w:color="000000"/>
            </w:tcBorders>
          </w:tcPr>
          <w:p>
            <w:pPr>
              <w:pStyle w:val="TableParagraph"/>
              <w:spacing w:before="122"/>
              <w:ind w:right="43"/>
              <w:jc w:val="right"/>
              <w:rPr>
                <w:b/>
                <w:sz w:val="18"/>
              </w:rPr>
            </w:pPr>
            <w:r>
              <w:rPr>
                <w:b/>
                <w:w w:val="99"/>
                <w:sz w:val="18"/>
              </w:rPr>
              <w:t>-</w:t>
            </w:r>
          </w:p>
        </w:tc>
        <w:tc>
          <w:tcPr>
            <w:tcW w:w="595" w:type="dxa"/>
            <w:tcBorders>
              <w:top w:val="single" w:sz="0" w:space="0" w:color="000000"/>
              <w:bottom w:val="single" w:sz="0" w:space="0" w:color="000000"/>
            </w:tcBorders>
          </w:tcPr>
          <w:p>
            <w:pPr/>
          </w:p>
        </w:tc>
        <w:tc>
          <w:tcPr>
            <w:tcW w:w="745" w:type="dxa"/>
            <w:tcBorders>
              <w:top w:val="single" w:sz="0" w:space="0" w:color="000000"/>
              <w:bottom w:val="single" w:sz="0" w:space="0" w:color="000000"/>
            </w:tcBorders>
          </w:tcPr>
          <w:p>
            <w:pPr>
              <w:pStyle w:val="TableParagraph"/>
              <w:spacing w:before="122"/>
              <w:ind w:right="83"/>
              <w:jc w:val="right"/>
              <w:rPr>
                <w:sz w:val="18"/>
              </w:rPr>
            </w:pPr>
            <w:r>
              <w:rPr>
                <w:w w:val="95"/>
                <w:sz w:val="18"/>
              </w:rPr>
              <w:t>12,092</w:t>
            </w:r>
          </w:p>
        </w:tc>
      </w:tr>
      <w:tr>
        <w:trPr>
          <w:trHeight w:val="775" w:hRule="exact"/>
        </w:trPr>
        <w:tc>
          <w:tcPr>
            <w:tcW w:w="333" w:type="dxa"/>
          </w:tcPr>
          <w:p>
            <w:pPr/>
          </w:p>
        </w:tc>
        <w:tc>
          <w:tcPr>
            <w:tcW w:w="4087" w:type="dxa"/>
          </w:tcPr>
          <w:p>
            <w:pPr>
              <w:pStyle w:val="TableParagraph"/>
              <w:spacing w:before="6"/>
              <w:rPr>
                <w:sz w:val="25"/>
              </w:rPr>
            </w:pPr>
          </w:p>
          <w:p>
            <w:pPr>
              <w:pStyle w:val="TableParagraph"/>
              <w:ind w:left="124"/>
              <w:rPr>
                <w:b/>
                <w:sz w:val="18"/>
              </w:rPr>
            </w:pPr>
            <w:r>
              <w:rPr>
                <w:b/>
                <w:sz w:val="18"/>
              </w:rPr>
              <w:t>Non-current</w:t>
            </w:r>
          </w:p>
          <w:p>
            <w:pPr>
              <w:pStyle w:val="TableParagraph"/>
              <w:spacing w:before="29"/>
              <w:ind w:left="124"/>
              <w:rPr>
                <w:sz w:val="18"/>
              </w:rPr>
            </w:pPr>
            <w:r>
              <w:rPr>
                <w:sz w:val="18"/>
              </w:rPr>
              <w:t>Available for sale (OnePath)</w:t>
            </w:r>
          </w:p>
        </w:tc>
        <w:tc>
          <w:tcPr>
            <w:tcW w:w="1424" w:type="dxa"/>
            <w:tcBorders>
              <w:top w:val="single" w:sz="0" w:space="0" w:color="000000"/>
            </w:tcBorders>
          </w:tcPr>
          <w:p>
            <w:pPr>
              <w:pStyle w:val="TableParagraph"/>
              <w:rPr>
                <w:sz w:val="18"/>
              </w:rPr>
            </w:pPr>
          </w:p>
          <w:p>
            <w:pPr>
              <w:pStyle w:val="TableParagraph"/>
              <w:rPr>
                <w:sz w:val="18"/>
              </w:rPr>
            </w:pPr>
          </w:p>
          <w:p>
            <w:pPr>
              <w:pStyle w:val="TableParagraph"/>
              <w:spacing w:before="114"/>
              <w:ind w:right="42"/>
              <w:jc w:val="right"/>
              <w:rPr>
                <w:b/>
                <w:sz w:val="18"/>
              </w:rPr>
            </w:pPr>
            <w:r>
              <w:rPr>
                <w:b/>
                <w:w w:val="99"/>
                <w:sz w:val="18"/>
              </w:rPr>
              <w:t>-</w:t>
            </w:r>
          </w:p>
        </w:tc>
        <w:tc>
          <w:tcPr>
            <w:tcW w:w="595" w:type="dxa"/>
            <w:tcBorders>
              <w:top w:val="single" w:sz="0" w:space="0" w:color="000000"/>
            </w:tcBorders>
          </w:tcPr>
          <w:p>
            <w:pPr/>
          </w:p>
        </w:tc>
        <w:tc>
          <w:tcPr>
            <w:tcW w:w="716" w:type="dxa"/>
            <w:tcBorders>
              <w:top w:val="single" w:sz="0" w:space="0" w:color="000000"/>
            </w:tcBorders>
          </w:tcPr>
          <w:p>
            <w:pPr>
              <w:pStyle w:val="TableParagraph"/>
              <w:rPr>
                <w:sz w:val="18"/>
              </w:rPr>
            </w:pPr>
          </w:p>
          <w:p>
            <w:pPr>
              <w:pStyle w:val="TableParagraph"/>
              <w:rPr>
                <w:sz w:val="18"/>
              </w:rPr>
            </w:pPr>
          </w:p>
          <w:p>
            <w:pPr>
              <w:pStyle w:val="TableParagraph"/>
              <w:spacing w:before="114"/>
              <w:ind w:right="53"/>
              <w:jc w:val="right"/>
              <w:rPr>
                <w:sz w:val="18"/>
              </w:rPr>
            </w:pPr>
            <w:r>
              <w:rPr>
                <w:w w:val="95"/>
                <w:sz w:val="18"/>
              </w:rPr>
              <w:t>27,557</w:t>
            </w:r>
          </w:p>
        </w:tc>
        <w:tc>
          <w:tcPr>
            <w:tcW w:w="813" w:type="dxa"/>
            <w:tcBorders>
              <w:top w:val="single" w:sz="0" w:space="0" w:color="000000"/>
            </w:tcBorders>
          </w:tcPr>
          <w:p>
            <w:pPr/>
          </w:p>
        </w:tc>
        <w:tc>
          <w:tcPr>
            <w:tcW w:w="639" w:type="dxa"/>
            <w:tcBorders>
              <w:top w:val="single" w:sz="0" w:space="0" w:color="000000"/>
            </w:tcBorders>
          </w:tcPr>
          <w:p>
            <w:pPr>
              <w:pStyle w:val="TableParagraph"/>
              <w:rPr>
                <w:sz w:val="18"/>
              </w:rPr>
            </w:pPr>
          </w:p>
          <w:p>
            <w:pPr>
              <w:pStyle w:val="TableParagraph"/>
              <w:rPr>
                <w:sz w:val="18"/>
              </w:rPr>
            </w:pPr>
          </w:p>
          <w:p>
            <w:pPr>
              <w:pStyle w:val="TableParagraph"/>
              <w:spacing w:before="114"/>
              <w:ind w:right="42"/>
              <w:jc w:val="right"/>
              <w:rPr>
                <w:b/>
                <w:sz w:val="18"/>
              </w:rPr>
            </w:pPr>
            <w:r>
              <w:rPr>
                <w:b/>
                <w:w w:val="99"/>
                <w:sz w:val="18"/>
              </w:rPr>
              <w:t>-</w:t>
            </w:r>
          </w:p>
        </w:tc>
        <w:tc>
          <w:tcPr>
            <w:tcW w:w="595" w:type="dxa"/>
            <w:tcBorders>
              <w:top w:val="single" w:sz="0" w:space="0" w:color="000000"/>
            </w:tcBorders>
          </w:tcPr>
          <w:p>
            <w:pPr/>
          </w:p>
        </w:tc>
        <w:tc>
          <w:tcPr>
            <w:tcW w:w="745" w:type="dxa"/>
            <w:tcBorders>
              <w:top w:val="single" w:sz="0" w:space="0" w:color="000000"/>
            </w:tcBorders>
          </w:tcPr>
          <w:p>
            <w:pPr>
              <w:pStyle w:val="TableParagraph"/>
              <w:rPr>
                <w:sz w:val="18"/>
              </w:rPr>
            </w:pPr>
          </w:p>
          <w:p>
            <w:pPr>
              <w:pStyle w:val="TableParagraph"/>
              <w:rPr>
                <w:sz w:val="18"/>
              </w:rPr>
            </w:pPr>
          </w:p>
          <w:p>
            <w:pPr>
              <w:pStyle w:val="TableParagraph"/>
              <w:spacing w:before="114"/>
              <w:ind w:right="82"/>
              <w:jc w:val="right"/>
              <w:rPr>
                <w:sz w:val="18"/>
              </w:rPr>
            </w:pPr>
            <w:r>
              <w:rPr>
                <w:w w:val="95"/>
                <w:sz w:val="18"/>
              </w:rPr>
              <w:t>27,557</w:t>
            </w:r>
          </w:p>
        </w:tc>
      </w:tr>
      <w:tr>
        <w:trPr>
          <w:trHeight w:val="264" w:hRule="exact"/>
        </w:trPr>
        <w:tc>
          <w:tcPr>
            <w:tcW w:w="333" w:type="dxa"/>
          </w:tcPr>
          <w:p>
            <w:pPr/>
          </w:p>
        </w:tc>
        <w:tc>
          <w:tcPr>
            <w:tcW w:w="4087" w:type="dxa"/>
          </w:tcPr>
          <w:p>
            <w:pPr>
              <w:pStyle w:val="TableParagraph"/>
              <w:spacing w:before="19"/>
              <w:ind w:left="124"/>
              <w:rPr>
                <w:sz w:val="18"/>
              </w:rPr>
            </w:pPr>
            <w:r>
              <w:rPr>
                <w:sz w:val="18"/>
              </w:rPr>
              <w:t>Available for sale (Acadian)</w:t>
            </w:r>
          </w:p>
        </w:tc>
        <w:tc>
          <w:tcPr>
            <w:tcW w:w="1424" w:type="dxa"/>
          </w:tcPr>
          <w:p>
            <w:pPr>
              <w:pStyle w:val="TableParagraph"/>
              <w:spacing w:before="18"/>
              <w:ind w:right="40"/>
              <w:jc w:val="right"/>
              <w:rPr>
                <w:b/>
                <w:sz w:val="18"/>
              </w:rPr>
            </w:pPr>
            <w:r>
              <w:rPr>
                <w:b/>
                <w:w w:val="95"/>
                <w:sz w:val="18"/>
              </w:rPr>
              <w:t>34,683</w:t>
            </w:r>
          </w:p>
        </w:tc>
        <w:tc>
          <w:tcPr>
            <w:tcW w:w="595" w:type="dxa"/>
          </w:tcPr>
          <w:p>
            <w:pPr/>
          </w:p>
        </w:tc>
        <w:tc>
          <w:tcPr>
            <w:tcW w:w="716" w:type="dxa"/>
          </w:tcPr>
          <w:p>
            <w:pPr>
              <w:pStyle w:val="TableParagraph"/>
              <w:spacing w:before="18"/>
              <w:ind w:right="55"/>
              <w:jc w:val="right"/>
              <w:rPr>
                <w:sz w:val="18"/>
              </w:rPr>
            </w:pPr>
            <w:r>
              <w:rPr>
                <w:w w:val="99"/>
                <w:sz w:val="18"/>
              </w:rPr>
              <w:t>-</w:t>
            </w:r>
          </w:p>
        </w:tc>
        <w:tc>
          <w:tcPr>
            <w:tcW w:w="813" w:type="dxa"/>
          </w:tcPr>
          <w:p>
            <w:pPr/>
          </w:p>
        </w:tc>
        <w:tc>
          <w:tcPr>
            <w:tcW w:w="639" w:type="dxa"/>
          </w:tcPr>
          <w:p>
            <w:pPr>
              <w:pStyle w:val="TableParagraph"/>
              <w:spacing w:before="18"/>
              <w:ind w:right="40"/>
              <w:jc w:val="right"/>
              <w:rPr>
                <w:b/>
                <w:sz w:val="18"/>
              </w:rPr>
            </w:pPr>
            <w:r>
              <w:rPr>
                <w:b/>
                <w:w w:val="95"/>
                <w:sz w:val="18"/>
              </w:rPr>
              <w:t>9,104</w:t>
            </w:r>
          </w:p>
        </w:tc>
        <w:tc>
          <w:tcPr>
            <w:tcW w:w="595" w:type="dxa"/>
          </w:tcPr>
          <w:p>
            <w:pPr/>
          </w:p>
        </w:tc>
        <w:tc>
          <w:tcPr>
            <w:tcW w:w="745" w:type="dxa"/>
          </w:tcPr>
          <w:p>
            <w:pPr>
              <w:pStyle w:val="TableParagraph"/>
              <w:spacing w:before="18"/>
              <w:ind w:right="84"/>
              <w:jc w:val="right"/>
              <w:rPr>
                <w:sz w:val="18"/>
              </w:rPr>
            </w:pPr>
            <w:r>
              <w:rPr>
                <w:w w:val="99"/>
                <w:sz w:val="18"/>
              </w:rPr>
              <w:t>-</w:t>
            </w:r>
          </w:p>
        </w:tc>
      </w:tr>
      <w:tr>
        <w:trPr>
          <w:trHeight w:val="262" w:hRule="exact"/>
        </w:trPr>
        <w:tc>
          <w:tcPr>
            <w:tcW w:w="333" w:type="dxa"/>
          </w:tcPr>
          <w:p>
            <w:pPr/>
          </w:p>
        </w:tc>
        <w:tc>
          <w:tcPr>
            <w:tcW w:w="4087" w:type="dxa"/>
          </w:tcPr>
          <w:p>
            <w:pPr>
              <w:pStyle w:val="TableParagraph"/>
              <w:spacing w:before="19"/>
              <w:ind w:left="124"/>
              <w:rPr>
                <w:sz w:val="18"/>
              </w:rPr>
            </w:pPr>
            <w:r>
              <w:rPr>
                <w:sz w:val="18"/>
              </w:rPr>
              <w:t>Available for sale (Unlisted securities)</w:t>
            </w:r>
          </w:p>
        </w:tc>
        <w:tc>
          <w:tcPr>
            <w:tcW w:w="1424" w:type="dxa"/>
            <w:tcBorders>
              <w:bottom w:val="single" w:sz="0" w:space="0" w:color="000000"/>
            </w:tcBorders>
          </w:tcPr>
          <w:p>
            <w:pPr>
              <w:pStyle w:val="TableParagraph"/>
              <w:spacing w:before="18"/>
              <w:ind w:right="41"/>
              <w:jc w:val="right"/>
              <w:rPr>
                <w:b/>
                <w:sz w:val="18"/>
              </w:rPr>
            </w:pPr>
            <w:r>
              <w:rPr>
                <w:b/>
                <w:w w:val="95"/>
                <w:sz w:val="18"/>
              </w:rPr>
              <w:t>473</w:t>
            </w:r>
          </w:p>
        </w:tc>
        <w:tc>
          <w:tcPr>
            <w:tcW w:w="595" w:type="dxa"/>
            <w:tcBorders>
              <w:bottom w:val="single" w:sz="0" w:space="0" w:color="000000"/>
            </w:tcBorders>
          </w:tcPr>
          <w:p>
            <w:pPr/>
          </w:p>
        </w:tc>
        <w:tc>
          <w:tcPr>
            <w:tcW w:w="716" w:type="dxa"/>
            <w:tcBorders>
              <w:bottom w:val="single" w:sz="0" w:space="0" w:color="000000"/>
            </w:tcBorders>
          </w:tcPr>
          <w:p>
            <w:pPr>
              <w:pStyle w:val="TableParagraph"/>
              <w:spacing w:before="18"/>
              <w:ind w:right="54"/>
              <w:jc w:val="right"/>
              <w:rPr>
                <w:sz w:val="18"/>
              </w:rPr>
            </w:pPr>
            <w:r>
              <w:rPr>
                <w:w w:val="95"/>
                <w:sz w:val="18"/>
              </w:rPr>
              <w:t>618</w:t>
            </w:r>
          </w:p>
        </w:tc>
        <w:tc>
          <w:tcPr>
            <w:tcW w:w="813" w:type="dxa"/>
            <w:tcBorders>
              <w:bottom w:val="single" w:sz="0" w:space="0" w:color="000000"/>
            </w:tcBorders>
          </w:tcPr>
          <w:p>
            <w:pPr/>
          </w:p>
        </w:tc>
        <w:tc>
          <w:tcPr>
            <w:tcW w:w="639" w:type="dxa"/>
            <w:tcBorders>
              <w:bottom w:val="single" w:sz="0" w:space="0" w:color="000000"/>
            </w:tcBorders>
          </w:tcPr>
          <w:p>
            <w:pPr>
              <w:pStyle w:val="TableParagraph"/>
              <w:spacing w:before="18"/>
              <w:ind w:right="41"/>
              <w:jc w:val="right"/>
              <w:rPr>
                <w:b/>
                <w:sz w:val="18"/>
              </w:rPr>
            </w:pPr>
            <w:r>
              <w:rPr>
                <w:b/>
                <w:w w:val="95"/>
                <w:sz w:val="18"/>
              </w:rPr>
              <w:t>473</w:t>
            </w:r>
          </w:p>
        </w:tc>
        <w:tc>
          <w:tcPr>
            <w:tcW w:w="595" w:type="dxa"/>
            <w:tcBorders>
              <w:bottom w:val="single" w:sz="0" w:space="0" w:color="000000"/>
            </w:tcBorders>
          </w:tcPr>
          <w:p>
            <w:pPr/>
          </w:p>
        </w:tc>
        <w:tc>
          <w:tcPr>
            <w:tcW w:w="745" w:type="dxa"/>
            <w:tcBorders>
              <w:bottom w:val="single" w:sz="0" w:space="0" w:color="000000"/>
            </w:tcBorders>
          </w:tcPr>
          <w:p>
            <w:pPr>
              <w:pStyle w:val="TableParagraph"/>
              <w:spacing w:before="18"/>
              <w:ind w:right="83"/>
              <w:jc w:val="right"/>
              <w:rPr>
                <w:sz w:val="18"/>
              </w:rPr>
            </w:pPr>
            <w:r>
              <w:rPr>
                <w:w w:val="95"/>
                <w:sz w:val="18"/>
              </w:rPr>
              <w:t>618</w:t>
            </w:r>
          </w:p>
        </w:tc>
      </w:tr>
      <w:tr>
        <w:trPr>
          <w:trHeight w:val="338" w:hRule="exact"/>
        </w:trPr>
        <w:tc>
          <w:tcPr>
            <w:tcW w:w="333" w:type="dxa"/>
          </w:tcPr>
          <w:p>
            <w:pPr/>
          </w:p>
        </w:tc>
        <w:tc>
          <w:tcPr>
            <w:tcW w:w="4087" w:type="dxa"/>
          </w:tcPr>
          <w:p>
            <w:pPr>
              <w:pStyle w:val="TableParagraph"/>
              <w:spacing w:before="123"/>
              <w:ind w:left="124"/>
              <w:rPr>
                <w:b/>
                <w:sz w:val="18"/>
              </w:rPr>
            </w:pPr>
            <w:r>
              <w:rPr>
                <w:b/>
                <w:sz w:val="18"/>
              </w:rPr>
              <w:t>Total non-current other financial assets</w:t>
            </w:r>
          </w:p>
        </w:tc>
        <w:tc>
          <w:tcPr>
            <w:tcW w:w="1424" w:type="dxa"/>
            <w:tcBorders>
              <w:top w:val="single" w:sz="0" w:space="0" w:color="000000"/>
              <w:bottom w:val="single" w:sz="0" w:space="0" w:color="000000"/>
            </w:tcBorders>
          </w:tcPr>
          <w:p>
            <w:pPr>
              <w:pStyle w:val="TableParagraph"/>
              <w:spacing w:before="122"/>
              <w:ind w:right="40"/>
              <w:jc w:val="right"/>
              <w:rPr>
                <w:b/>
                <w:sz w:val="18"/>
              </w:rPr>
            </w:pPr>
            <w:r>
              <w:rPr>
                <w:b/>
                <w:w w:val="95"/>
                <w:sz w:val="18"/>
              </w:rPr>
              <w:t>35,156</w:t>
            </w:r>
          </w:p>
        </w:tc>
        <w:tc>
          <w:tcPr>
            <w:tcW w:w="595" w:type="dxa"/>
            <w:tcBorders>
              <w:top w:val="single" w:sz="0" w:space="0" w:color="000000"/>
              <w:bottom w:val="single" w:sz="0" w:space="0" w:color="000000"/>
            </w:tcBorders>
          </w:tcPr>
          <w:p>
            <w:pPr/>
          </w:p>
        </w:tc>
        <w:tc>
          <w:tcPr>
            <w:tcW w:w="716" w:type="dxa"/>
            <w:tcBorders>
              <w:top w:val="single" w:sz="0" w:space="0" w:color="000000"/>
              <w:bottom w:val="single" w:sz="0" w:space="0" w:color="000000"/>
            </w:tcBorders>
          </w:tcPr>
          <w:p>
            <w:pPr>
              <w:pStyle w:val="TableParagraph"/>
              <w:spacing w:before="122"/>
              <w:ind w:right="53"/>
              <w:jc w:val="right"/>
              <w:rPr>
                <w:sz w:val="18"/>
              </w:rPr>
            </w:pPr>
            <w:r>
              <w:rPr>
                <w:w w:val="95"/>
                <w:sz w:val="18"/>
              </w:rPr>
              <w:t>28,175</w:t>
            </w:r>
          </w:p>
        </w:tc>
        <w:tc>
          <w:tcPr>
            <w:tcW w:w="813" w:type="dxa"/>
            <w:tcBorders>
              <w:top w:val="single" w:sz="0" w:space="0" w:color="000000"/>
              <w:bottom w:val="single" w:sz="0" w:space="0" w:color="000000"/>
            </w:tcBorders>
          </w:tcPr>
          <w:p>
            <w:pPr/>
          </w:p>
        </w:tc>
        <w:tc>
          <w:tcPr>
            <w:tcW w:w="639" w:type="dxa"/>
            <w:tcBorders>
              <w:top w:val="single" w:sz="0" w:space="0" w:color="000000"/>
              <w:bottom w:val="single" w:sz="0" w:space="0" w:color="000000"/>
            </w:tcBorders>
          </w:tcPr>
          <w:p>
            <w:pPr>
              <w:pStyle w:val="TableParagraph"/>
              <w:spacing w:before="122"/>
              <w:ind w:right="42"/>
              <w:jc w:val="right"/>
              <w:rPr>
                <w:b/>
                <w:sz w:val="18"/>
              </w:rPr>
            </w:pPr>
            <w:r>
              <w:rPr>
                <w:b/>
                <w:w w:val="95"/>
                <w:sz w:val="18"/>
              </w:rPr>
              <w:t>9,577</w:t>
            </w:r>
          </w:p>
        </w:tc>
        <w:tc>
          <w:tcPr>
            <w:tcW w:w="595" w:type="dxa"/>
            <w:tcBorders>
              <w:top w:val="single" w:sz="0" w:space="0" w:color="000000"/>
              <w:bottom w:val="single" w:sz="0" w:space="0" w:color="000000"/>
            </w:tcBorders>
          </w:tcPr>
          <w:p>
            <w:pPr/>
          </w:p>
        </w:tc>
        <w:tc>
          <w:tcPr>
            <w:tcW w:w="745" w:type="dxa"/>
            <w:tcBorders>
              <w:top w:val="single" w:sz="0" w:space="0" w:color="000000"/>
              <w:bottom w:val="single" w:sz="0" w:space="0" w:color="000000"/>
            </w:tcBorders>
          </w:tcPr>
          <w:p>
            <w:pPr>
              <w:pStyle w:val="TableParagraph"/>
              <w:spacing w:before="122"/>
              <w:ind w:right="82"/>
              <w:jc w:val="right"/>
              <w:rPr>
                <w:sz w:val="18"/>
              </w:rPr>
            </w:pPr>
            <w:r>
              <w:rPr>
                <w:w w:val="95"/>
                <w:sz w:val="18"/>
              </w:rPr>
              <w:t>28,175</w:t>
            </w:r>
          </w:p>
        </w:tc>
      </w:tr>
      <w:tr>
        <w:trPr>
          <w:trHeight w:val="572" w:hRule="exact"/>
        </w:trPr>
        <w:tc>
          <w:tcPr>
            <w:tcW w:w="333" w:type="dxa"/>
          </w:tcPr>
          <w:p>
            <w:pPr/>
          </w:p>
        </w:tc>
        <w:tc>
          <w:tcPr>
            <w:tcW w:w="4087" w:type="dxa"/>
          </w:tcPr>
          <w:p>
            <w:pPr>
              <w:pStyle w:val="TableParagraph"/>
              <w:rPr>
                <w:sz w:val="18"/>
              </w:rPr>
            </w:pPr>
          </w:p>
          <w:p>
            <w:pPr>
              <w:pStyle w:val="TableParagraph"/>
              <w:spacing w:before="107"/>
              <w:ind w:left="124"/>
              <w:rPr>
                <w:b/>
                <w:sz w:val="18"/>
              </w:rPr>
            </w:pPr>
            <w:r>
              <w:rPr>
                <w:b/>
                <w:sz w:val="18"/>
              </w:rPr>
              <w:t>Total other financial assets</w:t>
            </w:r>
          </w:p>
        </w:tc>
        <w:tc>
          <w:tcPr>
            <w:tcW w:w="1424" w:type="dxa"/>
            <w:tcBorders>
              <w:top w:val="single" w:sz="0" w:space="0" w:color="000000"/>
              <w:bottom w:val="single" w:sz="0" w:space="0" w:color="000000"/>
            </w:tcBorders>
          </w:tcPr>
          <w:p>
            <w:pPr>
              <w:pStyle w:val="TableParagraph"/>
              <w:rPr>
                <w:sz w:val="18"/>
              </w:rPr>
            </w:pPr>
          </w:p>
          <w:p>
            <w:pPr>
              <w:pStyle w:val="TableParagraph"/>
              <w:spacing w:before="105"/>
              <w:ind w:right="41"/>
              <w:jc w:val="right"/>
              <w:rPr>
                <w:b/>
                <w:sz w:val="18"/>
              </w:rPr>
            </w:pPr>
            <w:r>
              <w:rPr>
                <w:b/>
                <w:w w:val="95"/>
                <w:sz w:val="18"/>
              </w:rPr>
              <w:t>35,156</w:t>
            </w:r>
          </w:p>
        </w:tc>
        <w:tc>
          <w:tcPr>
            <w:tcW w:w="595" w:type="dxa"/>
            <w:tcBorders>
              <w:top w:val="single" w:sz="0" w:space="0" w:color="000000"/>
              <w:bottom w:val="single" w:sz="0" w:space="0" w:color="000000"/>
            </w:tcBorders>
          </w:tcPr>
          <w:p>
            <w:pPr/>
          </w:p>
        </w:tc>
        <w:tc>
          <w:tcPr>
            <w:tcW w:w="716" w:type="dxa"/>
            <w:tcBorders>
              <w:top w:val="single" w:sz="0" w:space="0" w:color="000000"/>
              <w:bottom w:val="single" w:sz="0" w:space="0" w:color="000000"/>
            </w:tcBorders>
          </w:tcPr>
          <w:p>
            <w:pPr>
              <w:pStyle w:val="TableParagraph"/>
              <w:rPr>
                <w:sz w:val="18"/>
              </w:rPr>
            </w:pPr>
          </w:p>
          <w:p>
            <w:pPr>
              <w:pStyle w:val="TableParagraph"/>
              <w:spacing w:before="105"/>
              <w:ind w:right="54"/>
              <w:jc w:val="right"/>
              <w:rPr>
                <w:sz w:val="18"/>
              </w:rPr>
            </w:pPr>
            <w:r>
              <w:rPr>
                <w:w w:val="95"/>
                <w:sz w:val="18"/>
              </w:rPr>
              <w:t>49,918</w:t>
            </w:r>
          </w:p>
        </w:tc>
        <w:tc>
          <w:tcPr>
            <w:tcW w:w="813" w:type="dxa"/>
            <w:tcBorders>
              <w:top w:val="single" w:sz="0" w:space="0" w:color="000000"/>
              <w:bottom w:val="single" w:sz="0" w:space="0" w:color="000000"/>
            </w:tcBorders>
          </w:tcPr>
          <w:p>
            <w:pPr/>
          </w:p>
        </w:tc>
        <w:tc>
          <w:tcPr>
            <w:tcW w:w="639" w:type="dxa"/>
            <w:tcBorders>
              <w:top w:val="single" w:sz="0" w:space="0" w:color="000000"/>
              <w:bottom w:val="single" w:sz="0" w:space="0" w:color="000000"/>
            </w:tcBorders>
          </w:tcPr>
          <w:p>
            <w:pPr>
              <w:pStyle w:val="TableParagraph"/>
              <w:rPr>
                <w:sz w:val="18"/>
              </w:rPr>
            </w:pPr>
          </w:p>
          <w:p>
            <w:pPr>
              <w:pStyle w:val="TableParagraph"/>
              <w:spacing w:before="105"/>
              <w:ind w:right="42"/>
              <w:jc w:val="right"/>
              <w:rPr>
                <w:b/>
                <w:sz w:val="18"/>
              </w:rPr>
            </w:pPr>
            <w:r>
              <w:rPr>
                <w:b/>
                <w:w w:val="95"/>
                <w:sz w:val="18"/>
              </w:rPr>
              <w:t>9,577</w:t>
            </w:r>
          </w:p>
        </w:tc>
        <w:tc>
          <w:tcPr>
            <w:tcW w:w="595" w:type="dxa"/>
            <w:tcBorders>
              <w:top w:val="single" w:sz="0" w:space="0" w:color="000000"/>
              <w:bottom w:val="single" w:sz="0" w:space="0" w:color="000000"/>
            </w:tcBorders>
          </w:tcPr>
          <w:p>
            <w:pPr/>
          </w:p>
        </w:tc>
        <w:tc>
          <w:tcPr>
            <w:tcW w:w="745" w:type="dxa"/>
            <w:tcBorders>
              <w:top w:val="single" w:sz="0" w:space="0" w:color="000000"/>
              <w:bottom w:val="single" w:sz="0" w:space="0" w:color="000000"/>
            </w:tcBorders>
          </w:tcPr>
          <w:p>
            <w:pPr>
              <w:pStyle w:val="TableParagraph"/>
              <w:rPr>
                <w:sz w:val="18"/>
              </w:rPr>
            </w:pPr>
          </w:p>
          <w:p>
            <w:pPr>
              <w:pStyle w:val="TableParagraph"/>
              <w:spacing w:before="105"/>
              <w:ind w:right="83"/>
              <w:jc w:val="right"/>
              <w:rPr>
                <w:sz w:val="18"/>
              </w:rPr>
            </w:pPr>
            <w:r>
              <w:rPr>
                <w:w w:val="95"/>
                <w:sz w:val="18"/>
              </w:rPr>
              <w:t>40,267</w:t>
            </w:r>
          </w:p>
        </w:tc>
      </w:tr>
    </w:tbl>
    <w:p>
      <w:pPr>
        <w:pStyle w:val="BodyText"/>
        <w:spacing w:before="6"/>
        <w:rPr>
          <w:sz w:val="20"/>
        </w:rPr>
      </w:pPr>
    </w:p>
    <w:p>
      <w:pPr>
        <w:pStyle w:val="BodyText"/>
        <w:spacing w:before="77"/>
        <w:ind w:left="544" w:right="371"/>
      </w:pPr>
      <w:r>
        <w:rPr/>
        <w:t>Changes in fair values of other financial assets at fair value through profit or loss are recorded in other income in the income statement (note 5 – Investment Income).</w:t>
      </w:r>
    </w:p>
    <w:p>
      <w:pPr>
        <w:pStyle w:val="BodyText"/>
        <w:spacing w:before="11"/>
        <w:rPr>
          <w:sz w:val="24"/>
        </w:rPr>
      </w:pPr>
    </w:p>
    <w:p>
      <w:pPr>
        <w:pStyle w:val="Heading9"/>
        <w:numPr>
          <w:ilvl w:val="0"/>
          <w:numId w:val="16"/>
        </w:numPr>
        <w:tabs>
          <w:tab w:pos="546" w:val="left" w:leader="none"/>
        </w:tabs>
        <w:spacing w:line="240" w:lineRule="auto" w:before="0" w:after="0"/>
        <w:ind w:left="545" w:right="0" w:hanging="396"/>
        <w:jc w:val="left"/>
      </w:pPr>
      <w:r>
        <w:rPr/>
        <w:t>Other non-financial assets</w:t>
      </w:r>
    </w:p>
    <w:p>
      <w:pPr>
        <w:pStyle w:val="BodyText"/>
        <w:spacing w:before="9"/>
        <w:rPr>
          <w:b/>
          <w:sz w:val="16"/>
        </w:rPr>
      </w:pPr>
    </w:p>
    <w:p>
      <w:pPr>
        <w:tabs>
          <w:tab w:pos="7343" w:val="left" w:leader="none"/>
        </w:tabs>
        <w:spacing w:before="1"/>
        <w:ind w:left="4607" w:right="596" w:firstLine="0"/>
        <w:jc w:val="left"/>
        <w:rPr>
          <w:b/>
          <w:sz w:val="18"/>
        </w:rPr>
      </w:pPr>
      <w:r>
        <w:rPr>
          <w:b/>
          <w:sz w:val="18"/>
        </w:rPr>
        <w:t>Consolidated</w:t>
        <w:tab/>
        <w:t>Parent</w:t>
      </w:r>
    </w:p>
    <w:p>
      <w:pPr>
        <w:spacing w:after="0"/>
        <w:jc w:val="left"/>
        <w:rPr>
          <w:sz w:val="18"/>
        </w:rPr>
        <w:sectPr>
          <w:pgSz w:w="11910" w:h="16840"/>
          <w:pgMar w:header="1038" w:footer="507" w:top="2220" w:bottom="700" w:left="860" w:right="880"/>
        </w:sectPr>
      </w:pPr>
    </w:p>
    <w:p>
      <w:pPr>
        <w:pStyle w:val="BodyText"/>
        <w:rPr>
          <w:b/>
        </w:rPr>
      </w:pPr>
    </w:p>
    <w:p>
      <w:pPr>
        <w:pStyle w:val="BodyText"/>
        <w:rPr>
          <w:b/>
        </w:rPr>
      </w:pPr>
    </w:p>
    <w:p>
      <w:pPr>
        <w:pStyle w:val="BodyText"/>
        <w:spacing w:before="2"/>
        <w:rPr>
          <w:b/>
          <w:sz w:val="24"/>
        </w:rPr>
      </w:pPr>
    </w:p>
    <w:p>
      <w:pPr>
        <w:spacing w:before="1"/>
        <w:ind w:left="588" w:right="-20" w:firstLine="0"/>
        <w:jc w:val="left"/>
        <w:rPr>
          <w:b/>
          <w:sz w:val="18"/>
        </w:rPr>
      </w:pPr>
      <w:r>
        <w:rPr>
          <w:b/>
          <w:sz w:val="18"/>
        </w:rPr>
        <w:t>Non-Current</w:t>
      </w:r>
    </w:p>
    <w:p>
      <w:pPr>
        <w:spacing w:before="66"/>
        <w:ind w:left="588" w:right="-20" w:firstLine="0"/>
        <w:jc w:val="left"/>
        <w:rPr>
          <w:b/>
          <w:sz w:val="18"/>
        </w:rPr>
      </w:pPr>
      <w:r>
        <w:rPr/>
        <w:br w:type="column"/>
      </w:r>
      <w:r>
        <w:rPr>
          <w:b/>
          <w:sz w:val="18"/>
        </w:rPr>
        <w:t>2012</w:t>
      </w:r>
    </w:p>
    <w:p>
      <w:pPr>
        <w:spacing w:before="66"/>
        <w:ind w:left="588" w:right="-20" w:firstLine="0"/>
        <w:jc w:val="left"/>
        <w:rPr>
          <w:b/>
          <w:sz w:val="18"/>
        </w:rPr>
      </w:pPr>
      <w:r>
        <w:rPr>
          <w:b/>
          <w:sz w:val="18"/>
        </w:rPr>
        <w:t>$'000</w:t>
      </w:r>
    </w:p>
    <w:p>
      <w:pPr>
        <w:spacing w:before="66"/>
        <w:ind w:left="588" w:right="-20" w:firstLine="0"/>
        <w:jc w:val="left"/>
        <w:rPr>
          <w:b/>
          <w:sz w:val="18"/>
        </w:rPr>
      </w:pPr>
      <w:r>
        <w:rPr/>
        <w:br w:type="column"/>
      </w:r>
      <w:r>
        <w:rPr>
          <w:b/>
          <w:sz w:val="18"/>
        </w:rPr>
        <w:t>2011</w:t>
      </w:r>
    </w:p>
    <w:p>
      <w:pPr>
        <w:spacing w:before="66"/>
        <w:ind w:left="588" w:right="-20" w:firstLine="0"/>
        <w:jc w:val="left"/>
        <w:rPr>
          <w:b/>
          <w:sz w:val="18"/>
        </w:rPr>
      </w:pPr>
      <w:r>
        <w:rPr>
          <w:b/>
          <w:sz w:val="18"/>
        </w:rPr>
        <w:t>$'000</w:t>
      </w:r>
    </w:p>
    <w:p>
      <w:pPr>
        <w:spacing w:before="66"/>
        <w:ind w:left="588" w:right="-20" w:firstLine="0"/>
        <w:jc w:val="left"/>
        <w:rPr>
          <w:b/>
          <w:sz w:val="18"/>
        </w:rPr>
      </w:pPr>
      <w:r>
        <w:rPr/>
        <w:br w:type="column"/>
      </w:r>
      <w:r>
        <w:rPr>
          <w:b/>
          <w:sz w:val="18"/>
        </w:rPr>
        <w:t>2012</w:t>
      </w:r>
    </w:p>
    <w:p>
      <w:pPr>
        <w:spacing w:before="66"/>
        <w:ind w:left="588" w:right="-20" w:firstLine="0"/>
        <w:jc w:val="left"/>
        <w:rPr>
          <w:b/>
          <w:sz w:val="18"/>
        </w:rPr>
      </w:pPr>
      <w:r>
        <w:rPr>
          <w:b/>
          <w:sz w:val="18"/>
        </w:rPr>
        <w:t>$'000</w:t>
      </w:r>
    </w:p>
    <w:p>
      <w:pPr>
        <w:spacing w:before="66"/>
        <w:ind w:left="588" w:right="0" w:firstLine="0"/>
        <w:jc w:val="left"/>
        <w:rPr>
          <w:b/>
          <w:sz w:val="18"/>
        </w:rPr>
      </w:pPr>
      <w:r>
        <w:rPr/>
        <w:br w:type="column"/>
      </w:r>
      <w:r>
        <w:rPr>
          <w:b/>
          <w:sz w:val="18"/>
        </w:rPr>
        <w:t>2011</w:t>
      </w:r>
    </w:p>
    <w:p>
      <w:pPr>
        <w:spacing w:before="66"/>
        <w:ind w:left="588" w:right="0" w:firstLine="0"/>
        <w:jc w:val="left"/>
        <w:rPr>
          <w:b/>
          <w:sz w:val="18"/>
        </w:rPr>
      </w:pPr>
      <w:r>
        <w:rPr>
          <w:b/>
          <w:sz w:val="18"/>
        </w:rPr>
        <w:t>$'000</w:t>
      </w:r>
    </w:p>
    <w:p>
      <w:pPr>
        <w:spacing w:after="0"/>
        <w:jc w:val="left"/>
        <w:rPr>
          <w:sz w:val="18"/>
        </w:rPr>
        <w:sectPr>
          <w:type w:val="continuous"/>
          <w:pgSz w:w="11910" w:h="16840"/>
          <w:pgMar w:top="0" w:bottom="280" w:left="860" w:right="880"/>
          <w:cols w:num="5" w:equalWidth="0">
            <w:col w:w="1648" w:space="2540"/>
            <w:col w:w="1032" w:space="237"/>
            <w:col w:w="1032" w:space="462"/>
            <w:col w:w="1032" w:space="237"/>
            <w:col w:w="1950"/>
          </w:cols>
        </w:sectPr>
      </w:pPr>
    </w:p>
    <w:p>
      <w:pPr>
        <w:tabs>
          <w:tab w:pos="5615" w:val="left" w:leader="none"/>
          <w:tab w:pos="6912" w:val="left" w:leader="none"/>
          <w:tab w:pos="8378" w:val="left" w:leader="none"/>
          <w:tab w:pos="9976" w:val="right" w:leader="none"/>
        </w:tabs>
        <w:spacing w:before="29"/>
        <w:ind w:left="588" w:right="0" w:firstLine="0"/>
        <w:jc w:val="left"/>
        <w:rPr>
          <w:sz w:val="18"/>
        </w:rPr>
      </w:pPr>
      <w:r>
        <w:rPr>
          <w:sz w:val="18"/>
        </w:rPr>
        <w:t>Livestock</w:t>
      </w:r>
      <w:r>
        <w:rPr>
          <w:spacing w:val="-1"/>
          <w:sz w:val="18"/>
        </w:rPr>
        <w:t> </w:t>
      </w:r>
      <w:r>
        <w:rPr>
          <w:sz w:val="18"/>
        </w:rPr>
        <w:t>holdings</w:t>
        <w:tab/>
      </w:r>
      <w:r>
        <w:rPr>
          <w:b/>
          <w:sz w:val="18"/>
        </w:rPr>
        <w:t>358</w:t>
        <w:tab/>
      </w:r>
      <w:r>
        <w:rPr>
          <w:sz w:val="18"/>
        </w:rPr>
        <w:t>363</w:t>
        <w:tab/>
      </w:r>
      <w:r>
        <w:rPr>
          <w:b/>
          <w:sz w:val="18"/>
        </w:rPr>
        <w:t>358</w:t>
      </w:r>
      <w:r>
        <w:rPr>
          <w:rFonts w:ascii="Times New Roman"/>
          <w:sz w:val="18"/>
        </w:rPr>
        <w:tab/>
      </w:r>
      <w:r>
        <w:rPr>
          <w:sz w:val="18"/>
        </w:rPr>
        <w:t>363</w:t>
      </w:r>
    </w:p>
    <w:p>
      <w:pPr>
        <w:tabs>
          <w:tab w:pos="5853" w:val="left" w:leader="none"/>
          <w:tab w:pos="7011" w:val="left" w:leader="none"/>
          <w:tab w:pos="8617" w:val="left" w:leader="none"/>
          <w:tab w:pos="9914" w:val="left" w:leader="none"/>
        </w:tabs>
        <w:spacing w:before="57"/>
        <w:ind w:left="588" w:right="104" w:firstLine="0"/>
        <w:jc w:val="left"/>
        <w:rPr>
          <w:sz w:val="18"/>
        </w:rPr>
      </w:pPr>
      <w:r>
        <w:rPr/>
        <w:pict>
          <v:group style="position:absolute;margin-left:269.709991pt;margin-top:14.491189pt;width:276.5pt;height:1pt;mso-position-horizontal-relative:page;mso-position-vertical-relative:paragraph;z-index:3184" coordorigin="5394,290" coordsize="5530,20">
            <v:line style="position:absolute" from="5395,291" to="5564,291" stroked="true" strokeweight=".06pt" strokecolor="#000000"/>
            <v:line style="position:absolute" from="5395,292" to="5564,292" stroked="true" strokeweight=".06pt" strokecolor="#000000"/>
            <v:line style="position:absolute" from="5395,293" to="5564,293" stroked="true" strokeweight=".06pt" strokecolor="#000000"/>
            <v:line style="position:absolute" from="5395,294" to="5564,294" stroked="true" strokeweight=".06pt" strokecolor="#000000"/>
            <v:line style="position:absolute" from="5395,296" to="5564,296" stroked="true" strokeweight=".06pt" strokecolor="#000000"/>
            <v:line style="position:absolute" from="5395,297" to="5564,297" stroked="true" strokeweight=".06pt" strokecolor="#000000"/>
            <v:line style="position:absolute" from="5395,298" to="5564,298" stroked="true" strokeweight=".06pt" strokecolor="#000000"/>
            <v:line style="position:absolute" from="5395,299" to="5564,299" stroked="true" strokeweight=".06pt" strokecolor="#000000"/>
            <v:line style="position:absolute" from="5395,300" to="5564,300" stroked="true" strokeweight=".06pt" strokecolor="#000000"/>
            <v:line style="position:absolute" from="5395,302" to="5564,302" stroked="true" strokeweight=".06pt" strokecolor="#000000"/>
            <v:line style="position:absolute" from="5395,303" to="5564,303" stroked="true" strokeweight=".06pt" strokecolor="#000000"/>
            <v:line style="position:absolute" from="5395,304" to="5564,304" stroked="true" strokeweight=".06pt" strokecolor="#000000"/>
            <v:line style="position:absolute" from="5395,305" to="5564,305" stroked="true" strokeweight=".06pt" strokecolor="#000000"/>
            <v:line style="position:absolute" from="5395,306" to="5564,306" stroked="true" strokeweight=".06pt" strokecolor="#000000"/>
            <v:line style="position:absolute" from="5395,308" to="5564,308" stroked="true" strokeweight=".06pt" strokecolor="#000000"/>
            <v:line style="position:absolute" from="5395,309" to="5564,309" stroked="true" strokeweight=".06pt" strokecolor="#000000"/>
            <v:line style="position:absolute" from="5564,291" to="6862,291" stroked="true" strokeweight=".06pt" strokecolor="#000000"/>
            <v:line style="position:absolute" from="5564,292" to="6862,292" stroked="true" strokeweight=".06pt" strokecolor="#000000"/>
            <v:line style="position:absolute" from="5564,293" to="6862,293" stroked="true" strokeweight=".06pt" strokecolor="#000000"/>
            <v:line style="position:absolute" from="5564,294" to="6862,294" stroked="true" strokeweight=".06pt" strokecolor="#000000"/>
            <v:line style="position:absolute" from="5564,296" to="6862,296" stroked="true" strokeweight=".06pt" strokecolor="#000000"/>
            <v:line style="position:absolute" from="5564,297" to="6862,297" stroked="true" strokeweight=".06pt" strokecolor="#000000"/>
            <v:line style="position:absolute" from="5564,298" to="6862,298" stroked="true" strokeweight=".06pt" strokecolor="#000000"/>
            <v:line style="position:absolute" from="5564,299" to="6862,299" stroked="true" strokeweight=".06pt" strokecolor="#000000"/>
            <v:line style="position:absolute" from="5564,300" to="6862,300" stroked="true" strokeweight=".06pt" strokecolor="#000000"/>
            <v:line style="position:absolute" from="5564,302" to="6862,302" stroked="true" strokeweight=".06pt" strokecolor="#000000"/>
            <v:line style="position:absolute" from="5564,303" to="6862,303" stroked="true" strokeweight=".06pt" strokecolor="#000000"/>
            <v:line style="position:absolute" from="5564,304" to="6862,304" stroked="true" strokeweight=".06pt" strokecolor="#000000"/>
            <v:line style="position:absolute" from="5564,305" to="6862,305" stroked="true" strokeweight=".06pt" strokecolor="#000000"/>
            <v:line style="position:absolute" from="5564,306" to="6862,306" stroked="true" strokeweight=".06pt" strokecolor="#000000"/>
            <v:line style="position:absolute" from="5564,308" to="6862,308" stroked="true" strokeweight=".06pt" strokecolor="#000000"/>
            <v:line style="position:absolute" from="5564,309" to="6862,309" stroked="true" strokeweight=".06pt" strokecolor="#000000"/>
            <v:line style="position:absolute" from="6862,291" to="8159,291" stroked="true" strokeweight=".06pt" strokecolor="#000000"/>
            <v:line style="position:absolute" from="6862,292" to="8159,292" stroked="true" strokeweight=".06pt" strokecolor="#000000"/>
            <v:line style="position:absolute" from="6862,293" to="8159,293" stroked="true" strokeweight=".06pt" strokecolor="#000000"/>
            <v:line style="position:absolute" from="6862,294" to="8159,294" stroked="true" strokeweight=".06pt" strokecolor="#000000"/>
            <v:line style="position:absolute" from="6862,296" to="8159,296" stroked="true" strokeweight=".06pt" strokecolor="#000000"/>
            <v:line style="position:absolute" from="6862,297" to="8159,297" stroked="true" strokeweight=".06pt" strokecolor="#000000"/>
            <v:line style="position:absolute" from="6862,298" to="8159,298" stroked="true" strokeweight=".06pt" strokecolor="#000000"/>
            <v:line style="position:absolute" from="6862,299" to="8159,299" stroked="true" strokeweight=".06pt" strokecolor="#000000"/>
            <v:line style="position:absolute" from="6862,300" to="8159,300" stroked="true" strokeweight=".06pt" strokecolor="#000000"/>
            <v:line style="position:absolute" from="6862,302" to="8159,302" stroked="true" strokeweight=".06pt" strokecolor="#000000"/>
            <v:line style="position:absolute" from="6862,303" to="8159,303" stroked="true" strokeweight=".06pt" strokecolor="#000000"/>
            <v:line style="position:absolute" from="6862,304" to="8159,304" stroked="true" strokeweight=".06pt" strokecolor="#000000"/>
            <v:line style="position:absolute" from="6862,305" to="8159,305" stroked="true" strokeweight=".06pt" strokecolor="#000000"/>
            <v:line style="position:absolute" from="6862,306" to="8159,306" stroked="true" strokeweight=".06pt" strokecolor="#000000"/>
            <v:line style="position:absolute" from="6862,308" to="8159,308" stroked="true" strokeweight=".06pt" strokecolor="#000000"/>
            <v:line style="position:absolute" from="6862,309" to="8159,309" stroked="true" strokeweight=".06pt" strokecolor="#000000"/>
            <v:line style="position:absolute" from="8159,291" to="8328,291" stroked="true" strokeweight=".06pt" strokecolor="#000000"/>
            <v:line style="position:absolute" from="8159,292" to="8328,292" stroked="true" strokeweight=".06pt" strokecolor="#000000"/>
            <v:line style="position:absolute" from="8159,293" to="8328,293" stroked="true" strokeweight=".06pt" strokecolor="#000000"/>
            <v:line style="position:absolute" from="8159,294" to="8328,294" stroked="true" strokeweight=".06pt" strokecolor="#000000"/>
            <v:line style="position:absolute" from="8159,296" to="8328,296" stroked="true" strokeweight=".06pt" strokecolor="#000000"/>
            <v:line style="position:absolute" from="8159,297" to="8328,297" stroked="true" strokeweight=".06pt" strokecolor="#000000"/>
            <v:line style="position:absolute" from="8159,298" to="8328,298" stroked="true" strokeweight=".06pt" strokecolor="#000000"/>
            <v:line style="position:absolute" from="8159,299" to="8328,299" stroked="true" strokeweight=".06pt" strokecolor="#000000"/>
            <v:line style="position:absolute" from="8159,300" to="8328,300" stroked="true" strokeweight=".06pt" strokecolor="#000000"/>
            <v:line style="position:absolute" from="8159,302" to="8328,302" stroked="true" strokeweight=".06pt" strokecolor="#000000"/>
            <v:line style="position:absolute" from="8159,303" to="8328,303" stroked="true" strokeweight=".06pt" strokecolor="#000000"/>
            <v:line style="position:absolute" from="8159,304" to="8328,304" stroked="true" strokeweight=".06pt" strokecolor="#000000"/>
            <v:line style="position:absolute" from="8159,305" to="8328,305" stroked="true" strokeweight=".06pt" strokecolor="#000000"/>
            <v:line style="position:absolute" from="8159,306" to="8328,306" stroked="true" strokeweight=".06pt" strokecolor="#000000"/>
            <v:line style="position:absolute" from="8159,308" to="8328,308" stroked="true" strokeweight=".06pt" strokecolor="#000000"/>
            <v:line style="position:absolute" from="8159,309" to="8328,309" stroked="true" strokeweight=".06pt" strokecolor="#000000"/>
            <v:line style="position:absolute" from="8328,291" to="9625,291" stroked="true" strokeweight=".06pt" strokecolor="#000000"/>
            <v:line style="position:absolute" from="8328,292" to="9625,292" stroked="true" strokeweight=".06pt" strokecolor="#000000"/>
            <v:line style="position:absolute" from="8328,293" to="9625,293" stroked="true" strokeweight=".06pt" strokecolor="#000000"/>
            <v:line style="position:absolute" from="8328,294" to="9625,294" stroked="true" strokeweight=".06pt" strokecolor="#000000"/>
            <v:line style="position:absolute" from="8328,296" to="9625,296" stroked="true" strokeweight=".06pt" strokecolor="#000000"/>
            <v:line style="position:absolute" from="8328,297" to="9625,297" stroked="true" strokeweight=".06pt" strokecolor="#000000"/>
            <v:line style="position:absolute" from="8328,298" to="9625,298" stroked="true" strokeweight=".06pt" strokecolor="#000000"/>
            <v:line style="position:absolute" from="8328,299" to="9625,299" stroked="true" strokeweight=".06pt" strokecolor="#000000"/>
            <v:line style="position:absolute" from="8328,300" to="9625,300" stroked="true" strokeweight=".06pt" strokecolor="#000000"/>
            <v:line style="position:absolute" from="8328,302" to="9625,302" stroked="true" strokeweight=".06pt" strokecolor="#000000"/>
            <v:line style="position:absolute" from="8328,303" to="9625,303" stroked="true" strokeweight=".06pt" strokecolor="#000000"/>
            <v:line style="position:absolute" from="8328,304" to="9625,304" stroked="true" strokeweight=".06pt" strokecolor="#000000"/>
            <v:line style="position:absolute" from="8328,305" to="9625,305" stroked="true" strokeweight=".06pt" strokecolor="#000000"/>
            <v:line style="position:absolute" from="8328,306" to="9625,306" stroked="true" strokeweight=".06pt" strokecolor="#000000"/>
            <v:line style="position:absolute" from="8328,308" to="9625,308" stroked="true" strokeweight=".06pt" strokecolor="#000000"/>
            <v:line style="position:absolute" from="8328,309" to="9625,309" stroked="true" strokeweight=".06pt" strokecolor="#000000"/>
            <v:line style="position:absolute" from="9625,291" to="10922,291" stroked="true" strokeweight=".06pt" strokecolor="#000000"/>
            <v:line style="position:absolute" from="9625,292" to="10922,292" stroked="true" strokeweight=".06pt" strokecolor="#000000"/>
            <v:line style="position:absolute" from="9625,293" to="10922,293" stroked="true" strokeweight=".06pt" strokecolor="#000000"/>
            <v:line style="position:absolute" from="9625,294" to="10922,294" stroked="true" strokeweight=".06pt" strokecolor="#000000"/>
            <v:line style="position:absolute" from="9625,296" to="10922,296" stroked="true" strokeweight=".06pt" strokecolor="#000000"/>
            <v:line style="position:absolute" from="9625,297" to="10922,297" stroked="true" strokeweight=".06pt" strokecolor="#000000"/>
            <v:line style="position:absolute" from="9625,298" to="10922,298" stroked="true" strokeweight=".06pt" strokecolor="#000000"/>
            <v:line style="position:absolute" from="9625,299" to="10922,299" stroked="true" strokeweight=".06pt" strokecolor="#000000"/>
            <v:line style="position:absolute" from="9625,300" to="10922,300" stroked="true" strokeweight=".06pt" strokecolor="#000000"/>
            <v:line style="position:absolute" from="9625,302" to="10922,302" stroked="true" strokeweight=".06pt" strokecolor="#000000"/>
            <v:line style="position:absolute" from="9625,303" to="10922,303" stroked="true" strokeweight=".06pt" strokecolor="#000000"/>
            <v:line style="position:absolute" from="9625,304" to="10922,304" stroked="true" strokeweight=".06pt" strokecolor="#000000"/>
            <v:line style="position:absolute" from="9625,305" to="10922,305" stroked="true" strokeweight=".06pt" strokecolor="#000000"/>
            <v:line style="position:absolute" from="9625,306" to="10922,306" stroked="true" strokeweight=".06pt" strokecolor="#000000"/>
            <v:line style="position:absolute" from="9625,308" to="10922,308" stroked="true" strokeweight=".06pt" strokecolor="#000000"/>
            <v:line style="position:absolute" from="9625,309" to="10922,309" stroked="true" strokeweight=".06pt" strokecolor="#000000"/>
            <w10:wrap type="none"/>
          </v:group>
        </w:pict>
      </w:r>
      <w:r>
        <w:rPr>
          <w:sz w:val="18"/>
        </w:rPr>
        <w:t>Other</w:t>
        <w:tab/>
      </w:r>
      <w:r>
        <w:rPr>
          <w:b/>
          <w:sz w:val="18"/>
        </w:rPr>
        <w:t>-</w:t>
        <w:tab/>
      </w:r>
      <w:r>
        <w:rPr>
          <w:sz w:val="18"/>
        </w:rPr>
        <w:t>92</w:t>
        <w:tab/>
      </w:r>
      <w:r>
        <w:rPr>
          <w:b/>
          <w:sz w:val="18"/>
        </w:rPr>
        <w:t>-</w:t>
        <w:tab/>
      </w:r>
      <w:r>
        <w:rPr>
          <w:sz w:val="18"/>
        </w:rPr>
        <w:t>-</w:t>
      </w:r>
    </w:p>
    <w:p>
      <w:pPr>
        <w:tabs>
          <w:tab w:pos="6912" w:val="left" w:leader="none"/>
          <w:tab w:pos="8378" w:val="left" w:leader="none"/>
          <w:tab w:pos="9675" w:val="left" w:leader="none"/>
        </w:tabs>
        <w:spacing w:before="159"/>
        <w:ind w:left="5615" w:right="104" w:firstLine="0"/>
        <w:jc w:val="left"/>
        <w:rPr>
          <w:sz w:val="18"/>
        </w:rPr>
      </w:pPr>
      <w:r>
        <w:rPr>
          <w:b/>
          <w:sz w:val="18"/>
        </w:rPr>
        <w:t>358</w:t>
        <w:tab/>
      </w:r>
      <w:r>
        <w:rPr>
          <w:sz w:val="18"/>
        </w:rPr>
        <w:t>455</w:t>
        <w:tab/>
      </w:r>
      <w:r>
        <w:rPr>
          <w:b/>
          <w:sz w:val="18"/>
        </w:rPr>
        <w:t>358</w:t>
        <w:tab/>
      </w:r>
      <w:r>
        <w:rPr>
          <w:sz w:val="18"/>
        </w:rPr>
        <w:t>363</w:t>
      </w:r>
    </w:p>
    <w:p>
      <w:pPr>
        <w:pStyle w:val="BodyText"/>
        <w:spacing w:line="20" w:lineRule="exact"/>
        <w:ind w:left="4534"/>
        <w:rPr>
          <w:sz w:val="2"/>
        </w:rPr>
      </w:pPr>
      <w:r>
        <w:rPr>
          <w:sz w:val="2"/>
        </w:rPr>
        <w:pict>
          <v:group style="width:276.5pt;height:1pt;mso-position-horizontal-relative:char;mso-position-vertical-relative:line" coordorigin="0,0" coordsize="5530,2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17" to="170,17" stroked="true" strokeweight=".06pt" strokecolor="#000000"/>
            <v:line style="position:absolute" from="1,18" to="170,18" stroked="true" strokeweight=".06pt" strokecolor="#000000"/>
            <v:line style="position:absolute" from="1,19" to="170,19" stroked="true" strokeweight=".06pt" strokecolor="#000000"/>
            <v:line style="position:absolute" from="170,1" to="1467,1" stroked="true" strokeweight=".06pt" strokecolor="#000000"/>
            <v:line style="position:absolute" from="170,2" to="1467,2" stroked="true" strokeweight=".06pt" strokecolor="#000000"/>
            <v:line style="position:absolute" from="170,3" to="1467,3" stroked="true" strokeweight=".06pt" strokecolor="#000000"/>
            <v:line style="position:absolute" from="170,5" to="1467,5" stroked="true" strokeweight=".06pt" strokecolor="#000000"/>
            <v:line style="position:absolute" from="170,6" to="1467,6" stroked="true" strokeweight=".06pt" strokecolor="#000000"/>
            <v:line style="position:absolute" from="170,7" to="1467,7" stroked="true" strokeweight=".06pt" strokecolor="#000000"/>
            <v:line style="position:absolute" from="170,8" to="1467,8" stroked="true" strokeweight=".06pt" strokecolor="#000000"/>
            <v:line style="position:absolute" from="170,9" to="1467,9" stroked="true" strokeweight=".06pt" strokecolor="#000000"/>
            <v:line style="position:absolute" from="170,11" to="1467,11" stroked="true" strokeweight=".06pt" strokecolor="#000000"/>
            <v:line style="position:absolute" from="170,12" to="1467,12" stroked="true" strokeweight=".06pt" strokecolor="#000000"/>
            <v:line style="position:absolute" from="170,13" to="1467,13" stroked="true" strokeweight=".06pt" strokecolor="#000000"/>
            <v:line style="position:absolute" from="170,14" to="1467,14" stroked="true" strokeweight=".06pt" strokecolor="#000000"/>
            <v:line style="position:absolute" from="170,15" to="1467,15" stroked="true" strokeweight=".06pt" strokecolor="#000000"/>
            <v:line style="position:absolute" from="170,17" to="1467,17" stroked="true" strokeweight=".06pt" strokecolor="#000000"/>
            <v:line style="position:absolute" from="170,18" to="1467,18" stroked="true" strokeweight=".06pt" strokecolor="#000000"/>
            <v:line style="position:absolute" from="170,19" to="1467,19" stroked="true" strokeweight=".06pt" strokecolor="#000000"/>
            <v:line style="position:absolute" from="1467,1" to="2765,1" stroked="true" strokeweight=".06pt" strokecolor="#000000"/>
            <v:line style="position:absolute" from="1467,2" to="2765,2" stroked="true" strokeweight=".06pt" strokecolor="#000000"/>
            <v:line style="position:absolute" from="1467,3" to="2765,3" stroked="true" strokeweight=".06pt" strokecolor="#000000"/>
            <v:line style="position:absolute" from="1467,5" to="2765,5" stroked="true" strokeweight=".06pt" strokecolor="#000000"/>
            <v:line style="position:absolute" from="1467,6" to="2765,6" stroked="true" strokeweight=".06pt" strokecolor="#000000"/>
            <v:line style="position:absolute" from="1467,7" to="2765,7" stroked="true" strokeweight=".06pt" strokecolor="#000000"/>
            <v:line style="position:absolute" from="1467,8" to="2765,8" stroked="true" strokeweight=".06pt" strokecolor="#000000"/>
            <v:line style="position:absolute" from="1467,9" to="2765,9" stroked="true" strokeweight=".06pt" strokecolor="#000000"/>
            <v:line style="position:absolute" from="1467,11" to="2765,11" stroked="true" strokeweight=".06pt" strokecolor="#000000"/>
            <v:line style="position:absolute" from="1467,12" to="2765,12" stroked="true" strokeweight=".06pt" strokecolor="#000000"/>
            <v:line style="position:absolute" from="1467,13" to="2765,13" stroked="true" strokeweight=".06pt" strokecolor="#000000"/>
            <v:line style="position:absolute" from="1467,14" to="2765,14" stroked="true" strokeweight=".06pt" strokecolor="#000000"/>
            <v:line style="position:absolute" from="1467,15" to="2765,15" stroked="true" strokeweight=".06pt" strokecolor="#000000"/>
            <v:line style="position:absolute" from="1467,17" to="2765,17" stroked="true" strokeweight=".06pt" strokecolor="#000000"/>
            <v:line style="position:absolute" from="1467,18" to="2765,18" stroked="true" strokeweight=".06pt" strokecolor="#000000"/>
            <v:line style="position:absolute" from="1467,19" to="2765,19" stroked="true" strokeweight=".06pt" strokecolor="#000000"/>
            <v:line style="position:absolute" from="2765,1" to="2934,1" stroked="true" strokeweight=".06pt" strokecolor="#000000"/>
            <v:line style="position:absolute" from="2765,2" to="2934,2" stroked="true" strokeweight=".06pt" strokecolor="#000000"/>
            <v:line style="position:absolute" from="2765,3" to="2934,3" stroked="true" strokeweight=".06pt" strokecolor="#000000"/>
            <v:line style="position:absolute" from="2765,5" to="2934,5" stroked="true" strokeweight=".06pt" strokecolor="#000000"/>
            <v:line style="position:absolute" from="2765,6" to="2934,6" stroked="true" strokeweight=".06pt" strokecolor="#000000"/>
            <v:line style="position:absolute" from="2765,7" to="2934,7" stroked="true" strokeweight=".06pt" strokecolor="#000000"/>
            <v:line style="position:absolute" from="2765,8" to="2934,8" stroked="true" strokeweight=".06pt" strokecolor="#000000"/>
            <v:line style="position:absolute" from="2765,9" to="2934,9" stroked="true" strokeweight=".06pt" strokecolor="#000000"/>
            <v:line style="position:absolute" from="2765,11" to="2934,11" stroked="true" strokeweight=".06pt" strokecolor="#000000"/>
            <v:line style="position:absolute" from="2765,12" to="2934,12" stroked="true" strokeweight=".06pt" strokecolor="#000000"/>
            <v:line style="position:absolute" from="2765,13" to="2934,13" stroked="true" strokeweight=".06pt" strokecolor="#000000"/>
            <v:line style="position:absolute" from="2765,14" to="2934,14" stroked="true" strokeweight=".06pt" strokecolor="#000000"/>
            <v:line style="position:absolute" from="2765,15" to="2934,15" stroked="true" strokeweight=".06pt" strokecolor="#000000"/>
            <v:line style="position:absolute" from="2765,17" to="2934,17" stroked="true" strokeweight=".06pt" strokecolor="#000000"/>
            <v:line style="position:absolute" from="2765,18" to="2934,18" stroked="true" strokeweight=".06pt" strokecolor="#000000"/>
            <v:line style="position:absolute" from="2765,19" to="2934,19" stroked="true" strokeweight=".06pt" strokecolor="#000000"/>
            <v:line style="position:absolute" from="2934,1" to="4231,1" stroked="true" strokeweight=".06pt" strokecolor="#000000"/>
            <v:line style="position:absolute" from="2934,2" to="4231,2" stroked="true" strokeweight=".06pt" strokecolor="#000000"/>
            <v:line style="position:absolute" from="2934,3" to="4231,3" stroked="true" strokeweight=".06pt" strokecolor="#000000"/>
            <v:line style="position:absolute" from="2934,5" to="4231,5" stroked="true" strokeweight=".06pt" strokecolor="#000000"/>
            <v:line style="position:absolute" from="2934,6" to="4231,6" stroked="true" strokeweight=".06pt" strokecolor="#000000"/>
            <v:line style="position:absolute" from="2934,7" to="4231,7" stroked="true" strokeweight=".06pt" strokecolor="#000000"/>
            <v:line style="position:absolute" from="2934,8" to="4231,8" stroked="true" strokeweight=".06pt" strokecolor="#000000"/>
            <v:line style="position:absolute" from="2934,9" to="4231,9" stroked="true" strokeweight=".06pt" strokecolor="#000000"/>
            <v:line style="position:absolute" from="2934,11" to="4231,11" stroked="true" strokeweight=".06pt" strokecolor="#000000"/>
            <v:line style="position:absolute" from="2934,12" to="4231,12" stroked="true" strokeweight=".06pt" strokecolor="#000000"/>
            <v:line style="position:absolute" from="2934,13" to="4231,13" stroked="true" strokeweight=".06pt" strokecolor="#000000"/>
            <v:line style="position:absolute" from="2934,14" to="4231,14" stroked="true" strokeweight=".06pt" strokecolor="#000000"/>
            <v:line style="position:absolute" from="2934,15" to="4231,15" stroked="true" strokeweight=".06pt" strokecolor="#000000"/>
            <v:line style="position:absolute" from="2934,17" to="4231,17" stroked="true" strokeweight=".06pt" strokecolor="#000000"/>
            <v:line style="position:absolute" from="2934,18" to="4231,18" stroked="true" strokeweight=".06pt" strokecolor="#000000"/>
            <v:line style="position:absolute" from="2934,19" to="4231,19" stroked="true" strokeweight=".06pt" strokecolor="#000000"/>
            <v:line style="position:absolute" from="4231,1" to="5528,1" stroked="true" strokeweight=".06pt" strokecolor="#000000"/>
            <v:line style="position:absolute" from="4231,2" to="5528,2" stroked="true" strokeweight=".06pt" strokecolor="#000000"/>
            <v:line style="position:absolute" from="4231,3" to="5528,3" stroked="true" strokeweight=".06pt" strokecolor="#000000"/>
            <v:line style="position:absolute" from="4231,5" to="5528,5" stroked="true" strokeweight=".06pt" strokecolor="#000000"/>
            <v:line style="position:absolute" from="4231,6" to="5528,6" stroked="true" strokeweight=".06pt" strokecolor="#000000"/>
            <v:line style="position:absolute" from="4231,7" to="5528,7" stroked="true" strokeweight=".06pt" strokecolor="#000000"/>
            <v:line style="position:absolute" from="4231,8" to="5528,8" stroked="true" strokeweight=".06pt" strokecolor="#000000"/>
            <v:line style="position:absolute" from="4231,9" to="5528,9" stroked="true" strokeweight=".06pt" strokecolor="#000000"/>
            <v:line style="position:absolute" from="4231,11" to="5528,11" stroked="true" strokeweight=".06pt" strokecolor="#000000"/>
            <v:line style="position:absolute" from="4231,12" to="5528,12" stroked="true" strokeweight=".06pt" strokecolor="#000000"/>
            <v:line style="position:absolute" from="4231,13" to="5528,13" stroked="true" strokeweight=".06pt" strokecolor="#000000"/>
            <v:line style="position:absolute" from="4231,14" to="5528,14" stroked="true" strokeweight=".06pt" strokecolor="#000000"/>
            <v:line style="position:absolute" from="4231,15" to="5528,15" stroked="true" strokeweight=".06pt" strokecolor="#000000"/>
            <v:line style="position:absolute" from="4231,17" to="5528,17" stroked="true" strokeweight=".06pt" strokecolor="#000000"/>
            <v:line style="position:absolute" from="4231,18" to="5528,18" stroked="true" strokeweight=".06pt" strokecolor="#000000"/>
            <v:line style="position:absolute" from="4231,19" to="5528,19" stroked="true" strokeweight=".06pt" strokecolor="#000000"/>
          </v:group>
        </w:pict>
      </w:r>
      <w:r>
        <w:rPr>
          <w:sz w:val="2"/>
        </w:rPr>
      </w:r>
    </w:p>
    <w:p>
      <w:pPr>
        <w:spacing w:after="0" w:line="20" w:lineRule="exact"/>
        <w:rPr>
          <w:sz w:val="2"/>
        </w:rPr>
        <w:sectPr>
          <w:type w:val="continuous"/>
          <w:pgSz w:w="11910" w:h="16840"/>
          <w:pgMar w:top="0" w:bottom="280" w:left="860" w:right="880"/>
        </w:sectPr>
      </w:pPr>
    </w:p>
    <w:p>
      <w:pPr>
        <w:pStyle w:val="BodyText"/>
        <w:rPr>
          <w:sz w:val="20"/>
        </w:rPr>
      </w:pPr>
    </w:p>
    <w:p>
      <w:pPr>
        <w:pStyle w:val="BodyText"/>
        <w:rPr>
          <w:sz w:val="20"/>
        </w:rPr>
      </w:pPr>
    </w:p>
    <w:p>
      <w:pPr>
        <w:pStyle w:val="BodyText"/>
        <w:spacing w:before="4"/>
      </w:pPr>
    </w:p>
    <w:p>
      <w:pPr>
        <w:pStyle w:val="Heading9"/>
        <w:numPr>
          <w:ilvl w:val="0"/>
          <w:numId w:val="16"/>
        </w:numPr>
        <w:tabs>
          <w:tab w:pos="506" w:val="left" w:leader="none"/>
        </w:tabs>
        <w:spacing w:line="240" w:lineRule="auto" w:before="0" w:after="0"/>
        <w:ind w:left="505" w:right="0" w:hanging="396"/>
        <w:jc w:val="left"/>
      </w:pPr>
      <w:r>
        <w:rPr/>
        <w:t>Trade and other</w:t>
      </w:r>
      <w:r>
        <w:rPr>
          <w:spacing w:val="-2"/>
        </w:rPr>
        <w:t> </w:t>
      </w:r>
      <w:r>
        <w:rPr/>
        <w:t>payables</w:t>
      </w:r>
    </w:p>
    <w:p>
      <w:pPr>
        <w:tabs>
          <w:tab w:pos="7258" w:val="left" w:leader="none"/>
        </w:tabs>
        <w:spacing w:before="33"/>
        <w:ind w:left="4495" w:right="128" w:firstLine="0"/>
        <w:jc w:val="left"/>
        <w:rPr>
          <w:b/>
          <w:sz w:val="18"/>
        </w:rPr>
      </w:pPr>
      <w:r>
        <w:rPr>
          <w:b/>
          <w:sz w:val="18"/>
        </w:rPr>
        <w:t>Consolidated</w:t>
        <w:tab/>
        <w:t>Parent</w:t>
      </w:r>
    </w:p>
    <w:p>
      <w:pPr>
        <w:spacing w:after="0"/>
        <w:jc w:val="left"/>
        <w:rPr>
          <w:sz w:val="18"/>
        </w:rPr>
        <w:sectPr>
          <w:pgSz w:w="11910" w:h="16840"/>
          <w:pgMar w:header="1038" w:footer="507" w:top="2220" w:bottom="700" w:left="900" w:right="880"/>
        </w:sectPr>
      </w:pPr>
    </w:p>
    <w:p>
      <w:pPr>
        <w:pStyle w:val="BodyText"/>
        <w:rPr>
          <w:b/>
        </w:rPr>
      </w:pPr>
    </w:p>
    <w:p>
      <w:pPr>
        <w:pStyle w:val="BodyText"/>
        <w:rPr>
          <w:b/>
        </w:rPr>
      </w:pPr>
    </w:p>
    <w:p>
      <w:pPr>
        <w:pStyle w:val="BodyText"/>
        <w:spacing w:before="3"/>
        <w:rPr>
          <w:b/>
          <w:sz w:val="24"/>
        </w:rPr>
      </w:pPr>
    </w:p>
    <w:p>
      <w:pPr>
        <w:spacing w:before="0"/>
        <w:ind w:left="503" w:right="-20" w:firstLine="0"/>
        <w:jc w:val="left"/>
        <w:rPr>
          <w:b/>
          <w:sz w:val="18"/>
        </w:rPr>
      </w:pPr>
      <w:r>
        <w:rPr>
          <w:b/>
          <w:sz w:val="18"/>
        </w:rPr>
        <w:t>Current</w:t>
      </w:r>
    </w:p>
    <w:p>
      <w:pPr>
        <w:spacing w:before="66"/>
        <w:ind w:left="503" w:right="-19" w:firstLine="0"/>
        <w:jc w:val="left"/>
        <w:rPr>
          <w:b/>
          <w:sz w:val="18"/>
        </w:rPr>
      </w:pPr>
      <w:r>
        <w:rPr/>
        <w:br w:type="column"/>
      </w:r>
      <w:r>
        <w:rPr>
          <w:b/>
          <w:sz w:val="18"/>
        </w:rPr>
        <w:t>2012</w:t>
      </w:r>
    </w:p>
    <w:p>
      <w:pPr>
        <w:spacing w:before="66"/>
        <w:ind w:left="503" w:right="-19" w:firstLine="0"/>
        <w:jc w:val="left"/>
        <w:rPr>
          <w:b/>
          <w:sz w:val="18"/>
        </w:rPr>
      </w:pPr>
      <w:r>
        <w:rPr>
          <w:b/>
          <w:sz w:val="18"/>
        </w:rPr>
        <w:t>$'000</w:t>
      </w:r>
    </w:p>
    <w:p>
      <w:pPr>
        <w:spacing w:before="66"/>
        <w:ind w:left="503" w:right="-19" w:firstLine="0"/>
        <w:jc w:val="left"/>
        <w:rPr>
          <w:b/>
          <w:sz w:val="18"/>
        </w:rPr>
      </w:pPr>
      <w:r>
        <w:rPr/>
        <w:br w:type="column"/>
      </w:r>
      <w:r>
        <w:rPr>
          <w:b/>
          <w:sz w:val="18"/>
        </w:rPr>
        <w:t>2011</w:t>
      </w:r>
    </w:p>
    <w:p>
      <w:pPr>
        <w:spacing w:before="66"/>
        <w:ind w:left="503" w:right="-19" w:firstLine="0"/>
        <w:jc w:val="left"/>
        <w:rPr>
          <w:b/>
          <w:sz w:val="18"/>
        </w:rPr>
      </w:pPr>
      <w:r>
        <w:rPr>
          <w:b/>
          <w:sz w:val="18"/>
        </w:rPr>
        <w:t>$'000</w:t>
      </w:r>
    </w:p>
    <w:p>
      <w:pPr>
        <w:spacing w:before="66"/>
        <w:ind w:left="503" w:right="-19" w:firstLine="0"/>
        <w:jc w:val="left"/>
        <w:rPr>
          <w:b/>
          <w:sz w:val="18"/>
        </w:rPr>
      </w:pPr>
      <w:r>
        <w:rPr/>
        <w:br w:type="column"/>
      </w:r>
      <w:r>
        <w:rPr>
          <w:b/>
          <w:sz w:val="18"/>
        </w:rPr>
        <w:t>2012</w:t>
      </w:r>
    </w:p>
    <w:p>
      <w:pPr>
        <w:spacing w:before="66"/>
        <w:ind w:left="503" w:right="-19" w:firstLine="0"/>
        <w:jc w:val="left"/>
        <w:rPr>
          <w:b/>
          <w:sz w:val="18"/>
        </w:rPr>
      </w:pPr>
      <w:r>
        <w:rPr>
          <w:b/>
          <w:sz w:val="18"/>
        </w:rPr>
        <w:t>$'000</w:t>
      </w:r>
    </w:p>
    <w:p>
      <w:pPr>
        <w:spacing w:before="66"/>
        <w:ind w:left="503" w:right="0" w:firstLine="0"/>
        <w:jc w:val="left"/>
        <w:rPr>
          <w:b/>
          <w:sz w:val="18"/>
        </w:rPr>
      </w:pPr>
      <w:r>
        <w:rPr/>
        <w:br w:type="column"/>
      </w:r>
      <w:r>
        <w:rPr>
          <w:b/>
          <w:sz w:val="18"/>
        </w:rPr>
        <w:t>2011</w:t>
      </w:r>
    </w:p>
    <w:p>
      <w:pPr>
        <w:spacing w:before="66"/>
        <w:ind w:left="503" w:right="0" w:firstLine="0"/>
        <w:jc w:val="left"/>
        <w:rPr>
          <w:b/>
          <w:sz w:val="18"/>
        </w:rPr>
      </w:pPr>
      <w:r>
        <w:rPr>
          <w:b/>
          <w:sz w:val="18"/>
        </w:rPr>
        <w:t>$'000</w:t>
      </w:r>
    </w:p>
    <w:p>
      <w:pPr>
        <w:spacing w:after="0"/>
        <w:jc w:val="left"/>
        <w:rPr>
          <w:sz w:val="18"/>
        </w:rPr>
        <w:sectPr>
          <w:type w:val="continuous"/>
          <w:pgSz w:w="11910" w:h="16840"/>
          <w:pgMar w:top="0" w:bottom="280" w:left="900" w:right="880"/>
          <w:cols w:num="5" w:equalWidth="0">
            <w:col w:w="1154" w:space="3034"/>
            <w:col w:w="948" w:space="322"/>
            <w:col w:w="948" w:space="546"/>
            <w:col w:w="948" w:space="322"/>
            <w:col w:w="1908"/>
          </w:cols>
        </w:sectPr>
      </w:pPr>
    </w:p>
    <w:p>
      <w:pPr>
        <w:tabs>
          <w:tab w:pos="5324" w:val="left" w:leader="none"/>
          <w:tab w:pos="6622" w:val="left" w:leader="none"/>
          <w:tab w:pos="8087" w:val="left" w:leader="none"/>
          <w:tab w:pos="9386" w:val="left" w:leader="none"/>
        </w:tabs>
        <w:spacing w:before="28"/>
        <w:ind w:left="503" w:right="128" w:firstLine="0"/>
        <w:jc w:val="left"/>
        <w:rPr>
          <w:sz w:val="18"/>
        </w:rPr>
      </w:pPr>
      <w:r>
        <w:rPr>
          <w:sz w:val="18"/>
        </w:rPr>
        <w:t>Payables</w:t>
        <w:tab/>
      </w:r>
      <w:r>
        <w:rPr>
          <w:b/>
          <w:sz w:val="18"/>
        </w:rPr>
        <w:t>50,105</w:t>
        <w:tab/>
      </w:r>
      <w:r>
        <w:rPr>
          <w:sz w:val="18"/>
        </w:rPr>
        <w:t>42,039</w:t>
        <w:tab/>
      </w:r>
      <w:r>
        <w:rPr>
          <w:b/>
          <w:sz w:val="18"/>
        </w:rPr>
        <w:t>46,764</w:t>
        <w:tab/>
      </w:r>
      <w:r>
        <w:rPr>
          <w:sz w:val="18"/>
        </w:rPr>
        <w:t>40,180</w:t>
      </w:r>
    </w:p>
    <w:p>
      <w:pPr>
        <w:pStyle w:val="BodyText"/>
        <w:tabs>
          <w:tab w:pos="5573" w:val="left" w:leader="none"/>
          <w:tab w:pos="6872" w:val="left" w:leader="none"/>
          <w:tab w:pos="8337" w:val="left" w:leader="none"/>
          <w:tab w:pos="9935" w:val="right" w:leader="none"/>
        </w:tabs>
        <w:spacing w:before="57"/>
        <w:ind w:left="503"/>
      </w:pPr>
      <w:r>
        <w:rPr/>
        <w:pict>
          <v:group style="position:absolute;margin-left:269.709991pt;margin-top:14.539204pt;width:276.5pt;height:1pt;mso-position-horizontal-relative:page;mso-position-vertical-relative:paragraph;z-index:3232" coordorigin="5394,291" coordsize="5530,20">
            <v:line style="position:absolute" from="5395,292" to="5564,292" stroked="true" strokeweight=".06pt" strokecolor="#000000"/>
            <v:line style="position:absolute" from="5395,293" to="5564,293" stroked="true" strokeweight=".06pt" strokecolor="#000000"/>
            <v:line style="position:absolute" from="5395,294" to="5564,294" stroked="true" strokeweight=".06pt" strokecolor="#000000"/>
            <v:line style="position:absolute" from="5395,295" to="5564,295" stroked="true" strokeweight=".06pt" strokecolor="#000000"/>
            <v:line style="position:absolute" from="5395,297" to="5564,297" stroked="true" strokeweight=".06pt" strokecolor="#000000"/>
            <v:line style="position:absolute" from="5395,298" to="5564,298" stroked="true" strokeweight=".06pt" strokecolor="#000000"/>
            <v:line style="position:absolute" from="5395,299" to="5564,299" stroked="true" strokeweight=".06pt" strokecolor="#000000"/>
            <v:line style="position:absolute" from="5395,300" to="5564,300" stroked="true" strokeweight=".06pt" strokecolor="#000000"/>
            <v:line style="position:absolute" from="5395,301" to="5564,301" stroked="true" strokeweight=".06pt" strokecolor="#000000"/>
            <v:line style="position:absolute" from="5395,303" to="5564,303" stroked="true" strokeweight=".06pt" strokecolor="#000000"/>
            <v:line style="position:absolute" from="5395,304" to="5564,304" stroked="true" strokeweight=".06pt" strokecolor="#000000"/>
            <v:line style="position:absolute" from="5395,305" to="5564,305" stroked="true" strokeweight=".06pt" strokecolor="#000000"/>
            <v:line style="position:absolute" from="5395,306" to="5564,306" stroked="true" strokeweight=".06pt" strokecolor="#000000"/>
            <v:line style="position:absolute" from="5395,307" to="5564,307" stroked="true" strokeweight=".06pt" strokecolor="#000000"/>
            <v:line style="position:absolute" from="5395,309" to="5564,309" stroked="true" strokeweight=".06pt" strokecolor="#000000"/>
            <v:line style="position:absolute" from="5395,310" to="5564,310" stroked="true" strokeweight=".06pt" strokecolor="#000000"/>
            <v:line style="position:absolute" from="5564,292" to="6862,292" stroked="true" strokeweight=".06pt" strokecolor="#000000"/>
            <v:line style="position:absolute" from="5564,293" to="6862,293" stroked="true" strokeweight=".06pt" strokecolor="#000000"/>
            <v:line style="position:absolute" from="5564,294" to="6862,294" stroked="true" strokeweight=".06pt" strokecolor="#000000"/>
            <v:line style="position:absolute" from="5564,295" to="6862,295" stroked="true" strokeweight=".06pt" strokecolor="#000000"/>
            <v:line style="position:absolute" from="5564,297" to="6862,297" stroked="true" strokeweight=".06pt" strokecolor="#000000"/>
            <v:line style="position:absolute" from="5564,298" to="6862,298" stroked="true" strokeweight=".06pt" strokecolor="#000000"/>
            <v:line style="position:absolute" from="5564,299" to="6862,299" stroked="true" strokeweight=".06pt" strokecolor="#000000"/>
            <v:line style="position:absolute" from="5564,300" to="6862,300" stroked="true" strokeweight=".06pt" strokecolor="#000000"/>
            <v:line style="position:absolute" from="5564,301" to="6862,301" stroked="true" strokeweight=".06pt" strokecolor="#000000"/>
            <v:line style="position:absolute" from="5564,303" to="6862,303" stroked="true" strokeweight=".06pt" strokecolor="#000000"/>
            <v:line style="position:absolute" from="5564,304" to="6862,304" stroked="true" strokeweight=".06pt" strokecolor="#000000"/>
            <v:line style="position:absolute" from="5564,305" to="6862,305" stroked="true" strokeweight=".06pt" strokecolor="#000000"/>
            <v:line style="position:absolute" from="5564,306" to="6862,306" stroked="true" strokeweight=".06pt" strokecolor="#000000"/>
            <v:line style="position:absolute" from="5564,307" to="6862,307" stroked="true" strokeweight=".06pt" strokecolor="#000000"/>
            <v:line style="position:absolute" from="5564,309" to="6862,309" stroked="true" strokeweight=".06pt" strokecolor="#000000"/>
            <v:line style="position:absolute" from="5564,310" to="6862,310" stroked="true" strokeweight=".06pt" strokecolor="#000000"/>
            <v:line style="position:absolute" from="6862,292" to="8159,292" stroked="true" strokeweight=".06pt" strokecolor="#000000"/>
            <v:line style="position:absolute" from="6862,293" to="8159,293" stroked="true" strokeweight=".06pt" strokecolor="#000000"/>
            <v:line style="position:absolute" from="6862,294" to="8159,294" stroked="true" strokeweight=".06pt" strokecolor="#000000"/>
            <v:line style="position:absolute" from="6862,295" to="8159,295" stroked="true" strokeweight=".06pt" strokecolor="#000000"/>
            <v:line style="position:absolute" from="6862,297" to="8159,297" stroked="true" strokeweight=".06pt" strokecolor="#000000"/>
            <v:line style="position:absolute" from="6862,298" to="8159,298" stroked="true" strokeweight=".06pt" strokecolor="#000000"/>
            <v:line style="position:absolute" from="6862,299" to="8159,299" stroked="true" strokeweight=".06pt" strokecolor="#000000"/>
            <v:line style="position:absolute" from="6862,300" to="8159,300" stroked="true" strokeweight=".06pt" strokecolor="#000000"/>
            <v:line style="position:absolute" from="6862,301" to="8159,301" stroked="true" strokeweight=".06pt" strokecolor="#000000"/>
            <v:line style="position:absolute" from="6862,303" to="8159,303" stroked="true" strokeweight=".06pt" strokecolor="#000000"/>
            <v:line style="position:absolute" from="6862,304" to="8159,304" stroked="true" strokeweight=".06pt" strokecolor="#000000"/>
            <v:line style="position:absolute" from="6862,305" to="8159,305" stroked="true" strokeweight=".06pt" strokecolor="#000000"/>
            <v:line style="position:absolute" from="6862,306" to="8159,306" stroked="true" strokeweight=".06pt" strokecolor="#000000"/>
            <v:line style="position:absolute" from="6862,307" to="8159,307" stroked="true" strokeweight=".06pt" strokecolor="#000000"/>
            <v:line style="position:absolute" from="6862,309" to="8159,309" stroked="true" strokeweight=".06pt" strokecolor="#000000"/>
            <v:line style="position:absolute" from="6862,310" to="8159,310" stroked="true" strokeweight=".06pt" strokecolor="#000000"/>
            <v:line style="position:absolute" from="8159,292" to="8328,292" stroked="true" strokeweight=".06pt" strokecolor="#000000"/>
            <v:line style="position:absolute" from="8159,293" to="8328,293" stroked="true" strokeweight=".06pt" strokecolor="#000000"/>
            <v:line style="position:absolute" from="8159,294" to="8328,294" stroked="true" strokeweight=".06pt" strokecolor="#000000"/>
            <v:line style="position:absolute" from="8159,295" to="8328,295" stroked="true" strokeweight=".06pt" strokecolor="#000000"/>
            <v:line style="position:absolute" from="8159,297" to="8328,297" stroked="true" strokeweight=".06pt" strokecolor="#000000"/>
            <v:line style="position:absolute" from="8159,298" to="8328,298" stroked="true" strokeweight=".06pt" strokecolor="#000000"/>
            <v:line style="position:absolute" from="8159,299" to="8328,299" stroked="true" strokeweight=".06pt" strokecolor="#000000"/>
            <v:line style="position:absolute" from="8159,300" to="8328,300" stroked="true" strokeweight=".06pt" strokecolor="#000000"/>
            <v:line style="position:absolute" from="8159,301" to="8328,301" stroked="true" strokeweight=".06pt" strokecolor="#000000"/>
            <v:line style="position:absolute" from="8159,303" to="8328,303" stroked="true" strokeweight=".06pt" strokecolor="#000000"/>
            <v:line style="position:absolute" from="8159,304" to="8328,304" stroked="true" strokeweight=".06pt" strokecolor="#000000"/>
            <v:line style="position:absolute" from="8159,305" to="8328,305" stroked="true" strokeweight=".06pt" strokecolor="#000000"/>
            <v:line style="position:absolute" from="8159,306" to="8328,306" stroked="true" strokeweight=".06pt" strokecolor="#000000"/>
            <v:line style="position:absolute" from="8159,307" to="8328,307" stroked="true" strokeweight=".06pt" strokecolor="#000000"/>
            <v:line style="position:absolute" from="8159,309" to="8328,309" stroked="true" strokeweight=".06pt" strokecolor="#000000"/>
            <v:line style="position:absolute" from="8159,310" to="8328,310" stroked="true" strokeweight=".06pt" strokecolor="#000000"/>
            <v:line style="position:absolute" from="8328,292" to="9625,292" stroked="true" strokeweight=".06pt" strokecolor="#000000"/>
            <v:line style="position:absolute" from="8328,293" to="9625,293" stroked="true" strokeweight=".06pt" strokecolor="#000000"/>
            <v:line style="position:absolute" from="8328,294" to="9625,294" stroked="true" strokeweight=".06pt" strokecolor="#000000"/>
            <v:line style="position:absolute" from="8328,295" to="9625,295" stroked="true" strokeweight=".06pt" strokecolor="#000000"/>
            <v:line style="position:absolute" from="8328,297" to="9625,297" stroked="true" strokeweight=".06pt" strokecolor="#000000"/>
            <v:line style="position:absolute" from="8328,298" to="9625,298" stroked="true" strokeweight=".06pt" strokecolor="#000000"/>
            <v:line style="position:absolute" from="8328,299" to="9625,299" stroked="true" strokeweight=".06pt" strokecolor="#000000"/>
            <v:line style="position:absolute" from="8328,300" to="9625,300" stroked="true" strokeweight=".06pt" strokecolor="#000000"/>
            <v:line style="position:absolute" from="8328,301" to="9625,301" stroked="true" strokeweight=".06pt" strokecolor="#000000"/>
            <v:line style="position:absolute" from="8328,303" to="9625,303" stroked="true" strokeweight=".06pt" strokecolor="#000000"/>
            <v:line style="position:absolute" from="8328,304" to="9625,304" stroked="true" strokeweight=".06pt" strokecolor="#000000"/>
            <v:line style="position:absolute" from="8328,305" to="9625,305" stroked="true" strokeweight=".06pt" strokecolor="#000000"/>
            <v:line style="position:absolute" from="8328,306" to="9625,306" stroked="true" strokeweight=".06pt" strokecolor="#000000"/>
            <v:line style="position:absolute" from="8328,307" to="9625,307" stroked="true" strokeweight=".06pt" strokecolor="#000000"/>
            <v:line style="position:absolute" from="8328,309" to="9625,309" stroked="true" strokeweight=".06pt" strokecolor="#000000"/>
            <v:line style="position:absolute" from="8328,310" to="9625,310" stroked="true" strokeweight=".06pt" strokecolor="#000000"/>
            <v:line style="position:absolute" from="9625,292" to="10922,292" stroked="true" strokeweight=".06pt" strokecolor="#000000"/>
            <v:line style="position:absolute" from="9625,293" to="10922,293" stroked="true" strokeweight=".06pt" strokecolor="#000000"/>
            <v:line style="position:absolute" from="9625,294" to="10922,294" stroked="true" strokeweight=".06pt" strokecolor="#000000"/>
            <v:line style="position:absolute" from="9625,295" to="10922,295" stroked="true" strokeweight=".06pt" strokecolor="#000000"/>
            <v:line style="position:absolute" from="9625,297" to="10922,297" stroked="true" strokeweight=".06pt" strokecolor="#000000"/>
            <v:line style="position:absolute" from="9625,298" to="10922,298" stroked="true" strokeweight=".06pt" strokecolor="#000000"/>
            <v:line style="position:absolute" from="9625,299" to="10922,299" stroked="true" strokeweight=".06pt" strokecolor="#000000"/>
            <v:line style="position:absolute" from="9625,300" to="10922,300" stroked="true" strokeweight=".06pt" strokecolor="#000000"/>
            <v:line style="position:absolute" from="9625,301" to="10922,301" stroked="true" strokeweight=".06pt" strokecolor="#000000"/>
            <v:line style="position:absolute" from="9625,303" to="10922,303" stroked="true" strokeweight=".06pt" strokecolor="#000000"/>
            <v:line style="position:absolute" from="9625,304" to="10922,304" stroked="true" strokeweight=".06pt" strokecolor="#000000"/>
            <v:line style="position:absolute" from="9625,305" to="10922,305" stroked="true" strokeweight=".06pt" strokecolor="#000000"/>
            <v:line style="position:absolute" from="9625,306" to="10922,306" stroked="true" strokeweight=".06pt" strokecolor="#000000"/>
            <v:line style="position:absolute" from="9625,307" to="10922,307" stroked="true" strokeweight=".06pt" strokecolor="#000000"/>
            <v:line style="position:absolute" from="9625,309" to="10922,309" stroked="true" strokeweight=".06pt" strokecolor="#000000"/>
            <v:line style="position:absolute" from="9625,310" to="10922,310" stroked="true" strokeweight=".06pt" strokecolor="#000000"/>
            <w10:wrap type="none"/>
          </v:group>
        </w:pict>
      </w:r>
      <w:r>
        <w:rPr/>
        <w:t>OS-HELP liability to</w:t>
      </w:r>
      <w:r>
        <w:rPr>
          <w:spacing w:val="-1"/>
        </w:rPr>
        <w:t> </w:t>
      </w:r>
      <w:r>
        <w:rPr/>
        <w:t>Australian</w:t>
      </w:r>
      <w:r>
        <w:rPr>
          <w:spacing w:val="-1"/>
        </w:rPr>
        <w:t> </w:t>
      </w:r>
      <w:r>
        <w:rPr/>
        <w:t>Government</w:t>
        <w:tab/>
      </w:r>
      <w:r>
        <w:rPr>
          <w:b/>
        </w:rPr>
        <w:t>212</w:t>
        <w:tab/>
      </w:r>
      <w:r>
        <w:rPr/>
        <w:t>216</w:t>
        <w:tab/>
      </w:r>
      <w:r>
        <w:rPr>
          <w:b/>
        </w:rPr>
        <w:t>212</w:t>
      </w:r>
      <w:r>
        <w:rPr>
          <w:rFonts w:ascii="Times New Roman"/>
        </w:rPr>
        <w:tab/>
      </w:r>
      <w:r>
        <w:rPr/>
        <w:t>216</w:t>
      </w:r>
    </w:p>
    <w:p>
      <w:pPr>
        <w:tabs>
          <w:tab w:pos="5324" w:val="left" w:leader="none"/>
          <w:tab w:pos="6622" w:val="left" w:leader="none"/>
          <w:tab w:pos="8087" w:val="left" w:leader="none"/>
          <w:tab w:pos="9386" w:val="left" w:leader="none"/>
        </w:tabs>
        <w:spacing w:before="160"/>
        <w:ind w:left="503" w:right="128" w:firstLine="0"/>
        <w:jc w:val="left"/>
        <w:rPr>
          <w:sz w:val="18"/>
        </w:rPr>
      </w:pPr>
      <w:r>
        <w:rPr>
          <w:sz w:val="18"/>
        </w:rPr>
        <w:t>Total current trade and</w:t>
      </w:r>
      <w:r>
        <w:rPr>
          <w:spacing w:val="-1"/>
          <w:sz w:val="18"/>
        </w:rPr>
        <w:t> </w:t>
      </w:r>
      <w:r>
        <w:rPr>
          <w:sz w:val="18"/>
        </w:rPr>
        <w:t>other</w:t>
      </w:r>
      <w:r>
        <w:rPr>
          <w:spacing w:val="-1"/>
          <w:sz w:val="18"/>
        </w:rPr>
        <w:t> </w:t>
      </w:r>
      <w:r>
        <w:rPr>
          <w:sz w:val="18"/>
        </w:rPr>
        <w:t>payables</w:t>
        <w:tab/>
      </w:r>
      <w:r>
        <w:rPr>
          <w:b/>
          <w:sz w:val="18"/>
        </w:rPr>
        <w:t>50,317</w:t>
        <w:tab/>
      </w:r>
      <w:r>
        <w:rPr>
          <w:sz w:val="18"/>
        </w:rPr>
        <w:t>42,255</w:t>
        <w:tab/>
      </w:r>
      <w:r>
        <w:rPr>
          <w:b/>
          <w:sz w:val="18"/>
        </w:rPr>
        <w:t>46,976</w:t>
        <w:tab/>
      </w:r>
      <w:r>
        <w:rPr>
          <w:sz w:val="18"/>
        </w:rPr>
        <w:t>40,396</w:t>
      </w:r>
    </w:p>
    <w:p>
      <w:pPr>
        <w:pStyle w:val="BodyText"/>
        <w:spacing w:line="50" w:lineRule="exact"/>
        <w:ind w:left="4494"/>
        <w:rPr>
          <w:sz w:val="4"/>
        </w:rPr>
      </w:pPr>
      <w:r>
        <w:rPr>
          <w:position w:val="0"/>
          <w:sz w:val="4"/>
        </w:rPr>
        <w:pict>
          <v:group style="width:276.5pt;height:2.5pt;mso-position-horizontal-relative:char;mso-position-vertical-relative:line" coordorigin="0,0" coordsize="5530,5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35" to="170,35" stroked="true" strokeweight=".06pt" strokecolor="#000000"/>
            <v:line style="position:absolute" from="1,36" to="170,36" stroked="true" strokeweight=".06pt" strokecolor="#000000"/>
            <v:line style="position:absolute" from="1,37" to="170,37" stroked="true" strokeweight=".06pt" strokecolor="#000000"/>
            <v:line style="position:absolute" from="1,38" to="170,38" stroked="true" strokeweight=".06pt" strokecolor="#000000"/>
            <v:line style="position:absolute" from="1,39" to="170,39" stroked="true" strokeweight=".06pt" strokecolor="#000000"/>
            <v:line style="position:absolute" from="1,41" to="170,41" stroked="true" strokeweight=".06pt" strokecolor="#000000"/>
            <v:line style="position:absolute" from="1,42" to="170,42" stroked="true" strokeweight=".06pt" strokecolor="#000000"/>
            <v:line style="position:absolute" from="1,43" to="170,43" stroked="true" strokeweight=".06pt" strokecolor="#000000"/>
            <v:line style="position:absolute" from="1,44" to="170,44" stroked="true" strokeweight=".06pt" strokecolor="#000000"/>
            <v:line style="position:absolute" from="1,45" to="170,45" stroked="true" strokeweight=".06pt" strokecolor="#000000"/>
            <v:line style="position:absolute" from="1,47" to="170,47" stroked="true" strokeweight=".06pt" strokecolor="#000000"/>
            <v:line style="position:absolute" from="1,48" to="170,48" stroked="true" strokeweight=".06pt" strokecolor="#000000"/>
            <v:line style="position:absolute" from="1,49" to="170,49" stroked="true" strokeweight=".06pt" strokecolor="#000000"/>
            <v:line style="position:absolute" from="170,1" to="1467,1" stroked="true" strokeweight=".06pt" strokecolor="#000000"/>
            <v:line style="position:absolute" from="170,2" to="1467,2" stroked="true" strokeweight=".06pt" strokecolor="#000000"/>
            <v:line style="position:absolute" from="170,3" to="1467,3" stroked="true" strokeweight=".06pt" strokecolor="#000000"/>
            <v:line style="position:absolute" from="170,5" to="1467,5" stroked="true" strokeweight=".06pt" strokecolor="#000000"/>
            <v:line style="position:absolute" from="170,6" to="1467,6" stroked="true" strokeweight=".06pt" strokecolor="#000000"/>
            <v:line style="position:absolute" from="170,7" to="1467,7" stroked="true" strokeweight=".06pt" strokecolor="#000000"/>
            <v:line style="position:absolute" from="170,8" to="1467,8" stroked="true" strokeweight=".06pt" strokecolor="#000000"/>
            <v:line style="position:absolute" from="170,9" to="1467,9" stroked="true" strokeweight=".06pt" strokecolor="#000000"/>
            <v:line style="position:absolute" from="170,11" to="1467,11" stroked="true" strokeweight=".06pt" strokecolor="#000000"/>
            <v:line style="position:absolute" from="170,12" to="1467,12" stroked="true" strokeweight=".06pt" strokecolor="#000000"/>
            <v:line style="position:absolute" from="170,13" to="1467,13" stroked="true" strokeweight=".06pt" strokecolor="#000000"/>
            <v:line style="position:absolute" from="170,14" to="1467,14" stroked="true" strokeweight=".06pt" strokecolor="#000000"/>
            <v:line style="position:absolute" from="170,15" to="1467,15" stroked="true" strokeweight=".06pt" strokecolor="#000000"/>
            <v:line style="position:absolute" from="170,35" to="1467,35" stroked="true" strokeweight=".06pt" strokecolor="#000000"/>
            <v:line style="position:absolute" from="170,36" to="1467,36" stroked="true" strokeweight=".06pt" strokecolor="#000000"/>
            <v:line style="position:absolute" from="170,37" to="1467,37" stroked="true" strokeweight=".06pt" strokecolor="#000000"/>
            <v:line style="position:absolute" from="170,38" to="1467,38" stroked="true" strokeweight=".06pt" strokecolor="#000000"/>
            <v:line style="position:absolute" from="170,39" to="1467,39" stroked="true" strokeweight=".06pt" strokecolor="#000000"/>
            <v:line style="position:absolute" from="170,41" to="1467,41" stroked="true" strokeweight=".06pt" strokecolor="#000000"/>
            <v:line style="position:absolute" from="170,42" to="1467,42" stroked="true" strokeweight=".06pt" strokecolor="#000000"/>
            <v:line style="position:absolute" from="170,43" to="1467,43" stroked="true" strokeweight=".06pt" strokecolor="#000000"/>
            <v:line style="position:absolute" from="170,44" to="1467,44" stroked="true" strokeweight=".06pt" strokecolor="#000000"/>
            <v:line style="position:absolute" from="170,45" to="1467,45" stroked="true" strokeweight=".06pt" strokecolor="#000000"/>
            <v:line style="position:absolute" from="170,47" to="1467,47" stroked="true" strokeweight=".06pt" strokecolor="#000000"/>
            <v:line style="position:absolute" from="170,48" to="1467,48" stroked="true" strokeweight=".06pt" strokecolor="#000000"/>
            <v:line style="position:absolute" from="170,49" to="1467,49" stroked="true" strokeweight=".06pt" strokecolor="#000000"/>
            <v:line style="position:absolute" from="1467,1" to="2765,1" stroked="true" strokeweight=".06pt" strokecolor="#000000"/>
            <v:line style="position:absolute" from="1467,2" to="2765,2" stroked="true" strokeweight=".06pt" strokecolor="#000000"/>
            <v:line style="position:absolute" from="1467,3" to="2765,3" stroked="true" strokeweight=".06pt" strokecolor="#000000"/>
            <v:line style="position:absolute" from="1467,5" to="2765,5" stroked="true" strokeweight=".06pt" strokecolor="#000000"/>
            <v:line style="position:absolute" from="1467,6" to="2765,6" stroked="true" strokeweight=".06pt" strokecolor="#000000"/>
            <v:line style="position:absolute" from="1467,7" to="2765,7" stroked="true" strokeweight=".06pt" strokecolor="#000000"/>
            <v:line style="position:absolute" from="1467,8" to="2765,8" stroked="true" strokeweight=".06pt" strokecolor="#000000"/>
            <v:line style="position:absolute" from="1467,9" to="2765,9" stroked="true" strokeweight=".06pt" strokecolor="#000000"/>
            <v:line style="position:absolute" from="1467,11" to="2765,11" stroked="true" strokeweight=".06pt" strokecolor="#000000"/>
            <v:line style="position:absolute" from="1467,12" to="2765,12" stroked="true" strokeweight=".06pt" strokecolor="#000000"/>
            <v:line style="position:absolute" from="1467,13" to="2765,13" stroked="true" strokeweight=".06pt" strokecolor="#000000"/>
            <v:line style="position:absolute" from="1467,14" to="2765,14" stroked="true" strokeweight=".06pt" strokecolor="#000000"/>
            <v:line style="position:absolute" from="1467,15" to="2765,15" stroked="true" strokeweight=".06pt" strokecolor="#000000"/>
            <v:line style="position:absolute" from="1467,35" to="2765,35" stroked="true" strokeweight=".06pt" strokecolor="#000000"/>
            <v:line style="position:absolute" from="1467,36" to="2765,36" stroked="true" strokeweight=".06pt" strokecolor="#000000"/>
            <v:line style="position:absolute" from="1467,37" to="2765,37" stroked="true" strokeweight=".06pt" strokecolor="#000000"/>
            <v:line style="position:absolute" from="1467,38" to="2765,38" stroked="true" strokeweight=".06pt" strokecolor="#000000"/>
            <v:line style="position:absolute" from="1467,39" to="2765,39" stroked="true" strokeweight=".06pt" strokecolor="#000000"/>
            <v:line style="position:absolute" from="1467,41" to="2765,41" stroked="true" strokeweight=".06pt" strokecolor="#000000"/>
            <v:line style="position:absolute" from="1467,42" to="2765,42" stroked="true" strokeweight=".06pt" strokecolor="#000000"/>
            <v:line style="position:absolute" from="1467,43" to="2765,43" stroked="true" strokeweight=".06pt" strokecolor="#000000"/>
            <v:line style="position:absolute" from="1467,44" to="2765,44" stroked="true" strokeweight=".06pt" strokecolor="#000000"/>
            <v:line style="position:absolute" from="1467,45" to="2765,45" stroked="true" strokeweight=".06pt" strokecolor="#000000"/>
            <v:line style="position:absolute" from="1467,47" to="2765,47" stroked="true" strokeweight=".06pt" strokecolor="#000000"/>
            <v:line style="position:absolute" from="1467,48" to="2765,48" stroked="true" strokeweight=".06pt" strokecolor="#000000"/>
            <v:line style="position:absolute" from="1467,49" to="2765,49" stroked="true" strokeweight=".06pt" strokecolor="#000000"/>
            <v:line style="position:absolute" from="2765,1" to="2934,1" stroked="true" strokeweight=".06pt" strokecolor="#000000"/>
            <v:line style="position:absolute" from="2765,2" to="2934,2" stroked="true" strokeweight=".06pt" strokecolor="#000000"/>
            <v:line style="position:absolute" from="2765,3" to="2934,3" stroked="true" strokeweight=".06pt" strokecolor="#000000"/>
            <v:line style="position:absolute" from="2765,5" to="2934,5" stroked="true" strokeweight=".06pt" strokecolor="#000000"/>
            <v:line style="position:absolute" from="2765,6" to="2934,6" stroked="true" strokeweight=".06pt" strokecolor="#000000"/>
            <v:line style="position:absolute" from="2765,7" to="2934,7" stroked="true" strokeweight=".06pt" strokecolor="#000000"/>
            <v:line style="position:absolute" from="2765,8" to="2934,8" stroked="true" strokeweight=".06pt" strokecolor="#000000"/>
            <v:line style="position:absolute" from="2765,9" to="2934,9" stroked="true" strokeweight=".06pt" strokecolor="#000000"/>
            <v:line style="position:absolute" from="2765,11" to="2934,11" stroked="true" strokeweight=".06pt" strokecolor="#000000"/>
            <v:line style="position:absolute" from="2765,12" to="2934,12" stroked="true" strokeweight=".06pt" strokecolor="#000000"/>
            <v:line style="position:absolute" from="2765,13" to="2934,13" stroked="true" strokeweight=".06pt" strokecolor="#000000"/>
            <v:line style="position:absolute" from="2765,14" to="2934,14" stroked="true" strokeweight=".06pt" strokecolor="#000000"/>
            <v:line style="position:absolute" from="2765,15" to="2934,15" stroked="true" strokeweight=".06pt" strokecolor="#000000"/>
            <v:line style="position:absolute" from="2765,35" to="2934,35" stroked="true" strokeweight=".06pt" strokecolor="#000000"/>
            <v:line style="position:absolute" from="2765,36" to="2934,36" stroked="true" strokeweight=".06pt" strokecolor="#000000"/>
            <v:line style="position:absolute" from="2765,37" to="2934,37" stroked="true" strokeweight=".06pt" strokecolor="#000000"/>
            <v:line style="position:absolute" from="2765,38" to="2934,38" stroked="true" strokeweight=".06pt" strokecolor="#000000"/>
            <v:line style="position:absolute" from="2765,39" to="2934,39" stroked="true" strokeweight=".06pt" strokecolor="#000000"/>
            <v:line style="position:absolute" from="2765,41" to="2934,41" stroked="true" strokeweight=".06pt" strokecolor="#000000"/>
            <v:line style="position:absolute" from="2765,42" to="2934,42" stroked="true" strokeweight=".06pt" strokecolor="#000000"/>
            <v:line style="position:absolute" from="2765,43" to="2934,43" stroked="true" strokeweight=".06pt" strokecolor="#000000"/>
            <v:line style="position:absolute" from="2765,44" to="2934,44" stroked="true" strokeweight=".06pt" strokecolor="#000000"/>
            <v:line style="position:absolute" from="2765,45" to="2934,45" stroked="true" strokeweight=".06pt" strokecolor="#000000"/>
            <v:line style="position:absolute" from="2765,47" to="2934,47" stroked="true" strokeweight=".06pt" strokecolor="#000000"/>
            <v:line style="position:absolute" from="2765,48" to="2934,48" stroked="true" strokeweight=".06pt" strokecolor="#000000"/>
            <v:line style="position:absolute" from="2765,49" to="2934,49" stroked="true" strokeweight=".06pt" strokecolor="#000000"/>
            <v:line style="position:absolute" from="2934,1" to="4231,1" stroked="true" strokeweight=".06pt" strokecolor="#000000"/>
            <v:line style="position:absolute" from="2934,2" to="4231,2" stroked="true" strokeweight=".06pt" strokecolor="#000000"/>
            <v:line style="position:absolute" from="2934,3" to="4231,3" stroked="true" strokeweight=".06pt" strokecolor="#000000"/>
            <v:line style="position:absolute" from="2934,5" to="4231,5" stroked="true" strokeweight=".06pt" strokecolor="#000000"/>
            <v:line style="position:absolute" from="2934,6" to="4231,6" stroked="true" strokeweight=".06pt" strokecolor="#000000"/>
            <v:line style="position:absolute" from="2934,7" to="4231,7" stroked="true" strokeweight=".06pt" strokecolor="#000000"/>
            <v:line style="position:absolute" from="2934,8" to="4231,8" stroked="true" strokeweight=".06pt" strokecolor="#000000"/>
            <v:line style="position:absolute" from="2934,9" to="4231,9" stroked="true" strokeweight=".06pt" strokecolor="#000000"/>
            <v:line style="position:absolute" from="2934,11" to="4231,11" stroked="true" strokeweight=".06pt" strokecolor="#000000"/>
            <v:line style="position:absolute" from="2934,12" to="4231,12" stroked="true" strokeweight=".06pt" strokecolor="#000000"/>
            <v:line style="position:absolute" from="2934,13" to="4231,13" stroked="true" strokeweight=".06pt" strokecolor="#000000"/>
            <v:line style="position:absolute" from="2934,14" to="4231,14" stroked="true" strokeweight=".06pt" strokecolor="#000000"/>
            <v:line style="position:absolute" from="2934,15" to="4231,15" stroked="true" strokeweight=".06pt" strokecolor="#000000"/>
            <v:line style="position:absolute" from="2934,35" to="4231,35" stroked="true" strokeweight=".06pt" strokecolor="#000000"/>
            <v:line style="position:absolute" from="2934,36" to="4231,36" stroked="true" strokeweight=".06pt" strokecolor="#000000"/>
            <v:line style="position:absolute" from="2934,37" to="4231,37" stroked="true" strokeweight=".06pt" strokecolor="#000000"/>
            <v:line style="position:absolute" from="2934,38" to="4231,38" stroked="true" strokeweight=".06pt" strokecolor="#000000"/>
            <v:line style="position:absolute" from="2934,39" to="4231,39" stroked="true" strokeweight=".06pt" strokecolor="#000000"/>
            <v:line style="position:absolute" from="2934,41" to="4231,41" stroked="true" strokeweight=".06pt" strokecolor="#000000"/>
            <v:line style="position:absolute" from="2934,42" to="4231,42" stroked="true" strokeweight=".06pt" strokecolor="#000000"/>
            <v:line style="position:absolute" from="2934,43" to="4231,43" stroked="true" strokeweight=".06pt" strokecolor="#000000"/>
            <v:line style="position:absolute" from="2934,44" to="4231,44" stroked="true" strokeweight=".06pt" strokecolor="#000000"/>
            <v:line style="position:absolute" from="2934,45" to="4231,45" stroked="true" strokeweight=".06pt" strokecolor="#000000"/>
            <v:line style="position:absolute" from="2934,47" to="4231,47" stroked="true" strokeweight=".06pt" strokecolor="#000000"/>
            <v:line style="position:absolute" from="2934,48" to="4231,48" stroked="true" strokeweight=".06pt" strokecolor="#000000"/>
            <v:line style="position:absolute" from="2934,49" to="4231,49" stroked="true" strokeweight=".06pt" strokecolor="#000000"/>
            <v:line style="position:absolute" from="4231,1" to="5528,1" stroked="true" strokeweight=".06pt" strokecolor="#000000"/>
            <v:line style="position:absolute" from="4231,2" to="5528,2" stroked="true" strokeweight=".06pt" strokecolor="#000000"/>
            <v:line style="position:absolute" from="4231,3" to="5528,3" stroked="true" strokeweight=".06pt" strokecolor="#000000"/>
            <v:line style="position:absolute" from="4231,5" to="5528,5" stroked="true" strokeweight=".06pt" strokecolor="#000000"/>
            <v:line style="position:absolute" from="4231,6" to="5528,6" stroked="true" strokeweight=".06pt" strokecolor="#000000"/>
            <v:line style="position:absolute" from="4231,7" to="5528,7" stroked="true" strokeweight=".06pt" strokecolor="#000000"/>
            <v:line style="position:absolute" from="4231,8" to="5528,8" stroked="true" strokeweight=".06pt" strokecolor="#000000"/>
            <v:line style="position:absolute" from="4231,9" to="5528,9" stroked="true" strokeweight=".06pt" strokecolor="#000000"/>
            <v:line style="position:absolute" from="4231,11" to="5528,11" stroked="true" strokeweight=".06pt" strokecolor="#000000"/>
            <v:line style="position:absolute" from="4231,12" to="5528,12" stroked="true" strokeweight=".06pt" strokecolor="#000000"/>
            <v:line style="position:absolute" from="4231,13" to="5528,13" stroked="true" strokeweight=".06pt" strokecolor="#000000"/>
            <v:line style="position:absolute" from="4231,14" to="5528,14" stroked="true" strokeweight=".06pt" strokecolor="#000000"/>
            <v:line style="position:absolute" from="4231,15" to="5528,15" stroked="true" strokeweight=".06pt" strokecolor="#000000"/>
            <v:line style="position:absolute" from="4231,35" to="5528,35" stroked="true" strokeweight=".06pt" strokecolor="#000000"/>
            <v:line style="position:absolute" from="4231,36" to="5528,36" stroked="true" strokeweight=".06pt" strokecolor="#000000"/>
            <v:line style="position:absolute" from="4231,37" to="5528,37" stroked="true" strokeweight=".06pt" strokecolor="#000000"/>
            <v:line style="position:absolute" from="4231,38" to="5528,38" stroked="true" strokeweight=".06pt" strokecolor="#000000"/>
            <v:line style="position:absolute" from="4231,39" to="5528,39" stroked="true" strokeweight=".06pt" strokecolor="#000000"/>
            <v:line style="position:absolute" from="4231,41" to="5528,41" stroked="true" strokeweight=".06pt" strokecolor="#000000"/>
            <v:line style="position:absolute" from="4231,42" to="5528,42" stroked="true" strokeweight=".06pt" strokecolor="#000000"/>
            <v:line style="position:absolute" from="4231,43" to="5528,43" stroked="true" strokeweight=".06pt" strokecolor="#000000"/>
            <v:line style="position:absolute" from="4231,44" to="5528,44" stroked="true" strokeweight=".06pt" strokecolor="#000000"/>
            <v:line style="position:absolute" from="4231,45" to="5528,45" stroked="true" strokeweight=".06pt" strokecolor="#000000"/>
            <v:line style="position:absolute" from="4231,47" to="5528,47" stroked="true" strokeweight=".06pt" strokecolor="#000000"/>
            <v:line style="position:absolute" from="4231,48" to="5528,48" stroked="true" strokeweight=".06pt" strokecolor="#000000"/>
            <v:line style="position:absolute" from="4231,49" to="5528,49" stroked="true" strokeweight=".06pt" strokecolor="#000000"/>
          </v:group>
        </w:pict>
      </w:r>
      <w:r>
        <w:rPr>
          <w:position w:val="0"/>
          <w:sz w:val="4"/>
        </w:rPr>
      </w:r>
    </w:p>
    <w:p>
      <w:pPr>
        <w:pStyle w:val="BodyText"/>
        <w:spacing w:before="10"/>
        <w:rPr>
          <w:sz w:val="24"/>
        </w:rPr>
      </w:pPr>
    </w:p>
    <w:p>
      <w:pPr>
        <w:pStyle w:val="ListParagraph"/>
        <w:numPr>
          <w:ilvl w:val="1"/>
          <w:numId w:val="16"/>
        </w:numPr>
        <w:tabs>
          <w:tab w:pos="1072" w:val="left" w:leader="none"/>
        </w:tabs>
        <w:spacing w:line="240" w:lineRule="auto" w:before="0" w:after="0"/>
        <w:ind w:left="1071" w:right="0" w:hanging="566"/>
        <w:jc w:val="left"/>
        <w:rPr>
          <w:sz w:val="18"/>
        </w:rPr>
      </w:pPr>
      <w:r>
        <w:rPr>
          <w:sz w:val="18"/>
        </w:rPr>
        <w:t>Foreign currency</w:t>
      </w:r>
      <w:r>
        <w:rPr>
          <w:spacing w:val="-1"/>
          <w:sz w:val="18"/>
        </w:rPr>
        <w:t> </w:t>
      </w:r>
      <w:r>
        <w:rPr>
          <w:sz w:val="18"/>
        </w:rPr>
        <w:t>risk</w:t>
      </w:r>
    </w:p>
    <w:p>
      <w:pPr>
        <w:pStyle w:val="BodyText"/>
        <w:spacing w:before="11"/>
        <w:rPr>
          <w:sz w:val="24"/>
        </w:rPr>
      </w:pPr>
    </w:p>
    <w:p>
      <w:pPr>
        <w:pStyle w:val="BodyText"/>
        <w:ind w:left="1072" w:right="674"/>
      </w:pPr>
      <w:r>
        <w:rPr/>
        <w:t>The carrying amounts of the Group's and parent entity's trade and other payables are denominated in the following currencies:</w:t>
      </w:r>
    </w:p>
    <w:p>
      <w:pPr>
        <w:pStyle w:val="BodyText"/>
        <w:spacing w:before="9"/>
        <w:rPr>
          <w:sz w:val="16"/>
        </w:rPr>
      </w:pPr>
    </w:p>
    <w:p>
      <w:pPr>
        <w:pStyle w:val="Heading9"/>
        <w:tabs>
          <w:tab w:pos="7303" w:val="left" w:leader="none"/>
        </w:tabs>
        <w:spacing w:before="1" w:after="36"/>
        <w:ind w:left="4567" w:right="128"/>
      </w:pPr>
      <w:r>
        <w:rPr/>
        <w:t>Consolidated</w:t>
        <w:tab/>
        <w:t>Parent</w:t>
      </w:r>
    </w:p>
    <w:tbl>
      <w:tblPr>
        <w:tblW w:w="0" w:type="auto"/>
        <w:jc w:val="left"/>
        <w:tblInd w:w="10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4"/>
        <w:gridCol w:w="757"/>
        <w:gridCol w:w="688"/>
        <w:gridCol w:w="595"/>
        <w:gridCol w:w="801"/>
        <w:gridCol w:w="680"/>
        <w:gridCol w:w="688"/>
        <w:gridCol w:w="595"/>
        <w:gridCol w:w="723"/>
      </w:tblGrid>
      <w:tr>
        <w:trPr>
          <w:trHeight w:val="818" w:hRule="exact"/>
        </w:trPr>
        <w:tc>
          <w:tcPr>
            <w:tcW w:w="3414" w:type="dxa"/>
          </w:tcPr>
          <w:p>
            <w:pPr>
              <w:pStyle w:val="TableParagraph"/>
              <w:rPr>
                <w:b/>
                <w:sz w:val="18"/>
              </w:rPr>
            </w:pPr>
          </w:p>
          <w:p>
            <w:pPr>
              <w:pStyle w:val="TableParagraph"/>
              <w:rPr>
                <w:b/>
                <w:sz w:val="18"/>
              </w:rPr>
            </w:pPr>
          </w:p>
          <w:p>
            <w:pPr>
              <w:pStyle w:val="TableParagraph"/>
              <w:spacing w:before="160"/>
              <w:ind w:left="35"/>
              <w:rPr>
                <w:sz w:val="18"/>
              </w:rPr>
            </w:pPr>
            <w:r>
              <w:rPr>
                <w:sz w:val="18"/>
              </w:rPr>
              <w:t>Australian Dollars</w:t>
            </w:r>
          </w:p>
        </w:tc>
        <w:tc>
          <w:tcPr>
            <w:tcW w:w="757" w:type="dxa"/>
          </w:tcPr>
          <w:p>
            <w:pPr>
              <w:pStyle w:val="TableParagraph"/>
              <w:spacing w:before="30"/>
              <w:ind w:left="241"/>
              <w:rPr>
                <w:b/>
                <w:sz w:val="18"/>
              </w:rPr>
            </w:pPr>
            <w:r>
              <w:rPr>
                <w:b/>
                <w:sz w:val="18"/>
              </w:rPr>
              <w:t>2012</w:t>
            </w:r>
          </w:p>
          <w:p>
            <w:pPr>
              <w:pStyle w:val="TableParagraph"/>
              <w:spacing w:before="66"/>
              <w:ind w:left="241"/>
              <w:rPr>
                <w:b/>
                <w:sz w:val="18"/>
              </w:rPr>
            </w:pPr>
            <w:r>
              <w:rPr>
                <w:b/>
                <w:sz w:val="18"/>
              </w:rPr>
              <w:t>$'000</w:t>
            </w:r>
          </w:p>
        </w:tc>
        <w:tc>
          <w:tcPr>
            <w:tcW w:w="688" w:type="dxa"/>
          </w:tcPr>
          <w:p>
            <w:pPr>
              <w:pStyle w:val="TableParagraph"/>
              <w:rPr>
                <w:b/>
                <w:sz w:val="18"/>
              </w:rPr>
            </w:pPr>
          </w:p>
          <w:p>
            <w:pPr>
              <w:pStyle w:val="TableParagraph"/>
              <w:rPr>
                <w:b/>
                <w:sz w:val="18"/>
              </w:rPr>
            </w:pPr>
          </w:p>
          <w:p>
            <w:pPr>
              <w:pStyle w:val="TableParagraph"/>
              <w:spacing w:before="159"/>
              <w:ind w:right="62"/>
              <w:jc w:val="right"/>
              <w:rPr>
                <w:b/>
                <w:sz w:val="18"/>
              </w:rPr>
            </w:pPr>
            <w:r>
              <w:rPr>
                <w:b/>
                <w:w w:val="95"/>
                <w:sz w:val="18"/>
              </w:rPr>
              <w:t>50,012</w:t>
            </w:r>
          </w:p>
        </w:tc>
        <w:tc>
          <w:tcPr>
            <w:tcW w:w="595" w:type="dxa"/>
          </w:tcPr>
          <w:p>
            <w:pPr>
              <w:pStyle w:val="TableParagraph"/>
              <w:spacing w:before="30"/>
              <w:ind w:left="64"/>
              <w:rPr>
                <w:b/>
                <w:sz w:val="18"/>
              </w:rPr>
            </w:pPr>
            <w:r>
              <w:rPr>
                <w:b/>
                <w:sz w:val="18"/>
              </w:rPr>
              <w:t>2011</w:t>
            </w:r>
          </w:p>
          <w:p>
            <w:pPr>
              <w:pStyle w:val="TableParagraph"/>
              <w:spacing w:before="66"/>
              <w:ind w:left="64"/>
              <w:rPr>
                <w:b/>
                <w:sz w:val="18"/>
              </w:rPr>
            </w:pPr>
            <w:r>
              <w:rPr>
                <w:b/>
                <w:sz w:val="18"/>
              </w:rPr>
              <w:t>$'000</w:t>
            </w:r>
          </w:p>
        </w:tc>
        <w:tc>
          <w:tcPr>
            <w:tcW w:w="801" w:type="dxa"/>
          </w:tcPr>
          <w:p>
            <w:pPr>
              <w:pStyle w:val="TableParagraph"/>
              <w:rPr>
                <w:b/>
                <w:sz w:val="18"/>
              </w:rPr>
            </w:pPr>
          </w:p>
          <w:p>
            <w:pPr>
              <w:pStyle w:val="TableParagraph"/>
              <w:rPr>
                <w:b/>
                <w:sz w:val="18"/>
              </w:rPr>
            </w:pPr>
          </w:p>
          <w:p>
            <w:pPr>
              <w:pStyle w:val="TableParagraph"/>
              <w:spacing w:before="159"/>
              <w:ind w:right="161"/>
              <w:jc w:val="right"/>
              <w:rPr>
                <w:sz w:val="18"/>
              </w:rPr>
            </w:pPr>
            <w:r>
              <w:rPr>
                <w:w w:val="95"/>
                <w:sz w:val="18"/>
              </w:rPr>
              <w:t>42,177</w:t>
            </w:r>
          </w:p>
        </w:tc>
        <w:tc>
          <w:tcPr>
            <w:tcW w:w="680" w:type="dxa"/>
          </w:tcPr>
          <w:p>
            <w:pPr>
              <w:pStyle w:val="TableParagraph"/>
              <w:spacing w:before="30"/>
              <w:ind w:left="163"/>
              <w:rPr>
                <w:b/>
                <w:sz w:val="18"/>
              </w:rPr>
            </w:pPr>
            <w:r>
              <w:rPr>
                <w:b/>
                <w:sz w:val="18"/>
              </w:rPr>
              <w:t>2012</w:t>
            </w:r>
          </w:p>
          <w:p>
            <w:pPr>
              <w:pStyle w:val="TableParagraph"/>
              <w:spacing w:before="66"/>
              <w:ind w:left="163"/>
              <w:rPr>
                <w:b/>
                <w:sz w:val="18"/>
              </w:rPr>
            </w:pPr>
            <w:r>
              <w:rPr>
                <w:b/>
                <w:sz w:val="18"/>
              </w:rPr>
              <w:t>$'000</w:t>
            </w:r>
          </w:p>
        </w:tc>
        <w:tc>
          <w:tcPr>
            <w:tcW w:w="688" w:type="dxa"/>
          </w:tcPr>
          <w:p>
            <w:pPr>
              <w:pStyle w:val="TableParagraph"/>
              <w:rPr>
                <w:b/>
                <w:sz w:val="18"/>
              </w:rPr>
            </w:pPr>
          </w:p>
          <w:p>
            <w:pPr>
              <w:pStyle w:val="TableParagraph"/>
              <w:rPr>
                <w:b/>
                <w:sz w:val="18"/>
              </w:rPr>
            </w:pPr>
          </w:p>
          <w:p>
            <w:pPr>
              <w:pStyle w:val="TableParagraph"/>
              <w:spacing w:before="159"/>
              <w:ind w:right="62"/>
              <w:jc w:val="right"/>
              <w:rPr>
                <w:b/>
                <w:sz w:val="18"/>
              </w:rPr>
            </w:pPr>
            <w:r>
              <w:rPr>
                <w:b/>
                <w:w w:val="95"/>
                <w:sz w:val="18"/>
              </w:rPr>
              <w:t>46,671</w:t>
            </w:r>
          </w:p>
        </w:tc>
        <w:tc>
          <w:tcPr>
            <w:tcW w:w="595" w:type="dxa"/>
          </w:tcPr>
          <w:p>
            <w:pPr>
              <w:pStyle w:val="TableParagraph"/>
              <w:spacing w:before="30"/>
              <w:ind w:left="64"/>
              <w:rPr>
                <w:b/>
                <w:sz w:val="18"/>
              </w:rPr>
            </w:pPr>
            <w:r>
              <w:rPr>
                <w:b/>
                <w:sz w:val="18"/>
              </w:rPr>
              <w:t>2011</w:t>
            </w:r>
          </w:p>
          <w:p>
            <w:pPr>
              <w:pStyle w:val="TableParagraph"/>
              <w:spacing w:before="66"/>
              <w:ind w:left="64"/>
              <w:rPr>
                <w:b/>
                <w:sz w:val="18"/>
              </w:rPr>
            </w:pPr>
            <w:r>
              <w:rPr>
                <w:b/>
                <w:sz w:val="18"/>
              </w:rPr>
              <w:t>$'000</w:t>
            </w:r>
          </w:p>
        </w:tc>
        <w:tc>
          <w:tcPr>
            <w:tcW w:w="723" w:type="dxa"/>
          </w:tcPr>
          <w:p>
            <w:pPr>
              <w:pStyle w:val="TableParagraph"/>
              <w:rPr>
                <w:b/>
                <w:sz w:val="18"/>
              </w:rPr>
            </w:pPr>
          </w:p>
          <w:p>
            <w:pPr>
              <w:pStyle w:val="TableParagraph"/>
              <w:rPr>
                <w:b/>
                <w:sz w:val="18"/>
              </w:rPr>
            </w:pPr>
          </w:p>
          <w:p>
            <w:pPr>
              <w:pStyle w:val="TableParagraph"/>
              <w:spacing w:before="159"/>
              <w:ind w:right="83"/>
              <w:jc w:val="right"/>
              <w:rPr>
                <w:sz w:val="18"/>
              </w:rPr>
            </w:pPr>
            <w:r>
              <w:rPr>
                <w:w w:val="95"/>
                <w:sz w:val="18"/>
              </w:rPr>
              <w:t>40,318</w:t>
            </w:r>
          </w:p>
        </w:tc>
      </w:tr>
      <w:tr>
        <w:trPr>
          <w:trHeight w:val="264" w:hRule="exact"/>
        </w:trPr>
        <w:tc>
          <w:tcPr>
            <w:tcW w:w="3414" w:type="dxa"/>
          </w:tcPr>
          <w:p>
            <w:pPr>
              <w:pStyle w:val="TableParagraph"/>
              <w:spacing w:before="19"/>
              <w:ind w:left="35"/>
              <w:rPr>
                <w:sz w:val="18"/>
              </w:rPr>
            </w:pPr>
            <w:r>
              <w:rPr>
                <w:sz w:val="18"/>
              </w:rPr>
              <w:t>US Dollars</w:t>
            </w:r>
          </w:p>
        </w:tc>
        <w:tc>
          <w:tcPr>
            <w:tcW w:w="757" w:type="dxa"/>
          </w:tcPr>
          <w:p>
            <w:pPr/>
          </w:p>
        </w:tc>
        <w:tc>
          <w:tcPr>
            <w:tcW w:w="688" w:type="dxa"/>
          </w:tcPr>
          <w:p>
            <w:pPr>
              <w:pStyle w:val="TableParagraph"/>
              <w:spacing w:before="18"/>
              <w:ind w:right="63"/>
              <w:jc w:val="right"/>
              <w:rPr>
                <w:b/>
                <w:sz w:val="18"/>
              </w:rPr>
            </w:pPr>
            <w:r>
              <w:rPr>
                <w:b/>
                <w:w w:val="95"/>
                <w:sz w:val="18"/>
              </w:rPr>
              <w:t>107</w:t>
            </w:r>
          </w:p>
        </w:tc>
        <w:tc>
          <w:tcPr>
            <w:tcW w:w="595" w:type="dxa"/>
          </w:tcPr>
          <w:p>
            <w:pPr/>
          </w:p>
        </w:tc>
        <w:tc>
          <w:tcPr>
            <w:tcW w:w="801" w:type="dxa"/>
          </w:tcPr>
          <w:p>
            <w:pPr>
              <w:pStyle w:val="TableParagraph"/>
              <w:spacing w:before="18"/>
              <w:ind w:right="162"/>
              <w:jc w:val="right"/>
              <w:rPr>
                <w:sz w:val="18"/>
              </w:rPr>
            </w:pPr>
            <w:r>
              <w:rPr>
                <w:sz w:val="18"/>
              </w:rPr>
              <w:t>35</w:t>
            </w:r>
          </w:p>
        </w:tc>
        <w:tc>
          <w:tcPr>
            <w:tcW w:w="680" w:type="dxa"/>
          </w:tcPr>
          <w:p>
            <w:pPr/>
          </w:p>
        </w:tc>
        <w:tc>
          <w:tcPr>
            <w:tcW w:w="688" w:type="dxa"/>
          </w:tcPr>
          <w:p>
            <w:pPr>
              <w:pStyle w:val="TableParagraph"/>
              <w:spacing w:before="18"/>
              <w:ind w:right="63"/>
              <w:jc w:val="right"/>
              <w:rPr>
                <w:b/>
                <w:sz w:val="18"/>
              </w:rPr>
            </w:pPr>
            <w:r>
              <w:rPr>
                <w:b/>
                <w:w w:val="95"/>
                <w:sz w:val="18"/>
              </w:rPr>
              <w:t>107</w:t>
            </w:r>
          </w:p>
        </w:tc>
        <w:tc>
          <w:tcPr>
            <w:tcW w:w="595" w:type="dxa"/>
          </w:tcPr>
          <w:p>
            <w:pPr/>
          </w:p>
        </w:tc>
        <w:tc>
          <w:tcPr>
            <w:tcW w:w="723" w:type="dxa"/>
          </w:tcPr>
          <w:p>
            <w:pPr>
              <w:pStyle w:val="TableParagraph"/>
              <w:spacing w:before="18"/>
              <w:ind w:right="84"/>
              <w:jc w:val="right"/>
              <w:rPr>
                <w:sz w:val="18"/>
              </w:rPr>
            </w:pPr>
            <w:r>
              <w:rPr>
                <w:w w:val="95"/>
                <w:sz w:val="18"/>
              </w:rPr>
              <w:t>35</w:t>
            </w:r>
          </w:p>
        </w:tc>
      </w:tr>
      <w:tr>
        <w:trPr>
          <w:trHeight w:val="264" w:hRule="exact"/>
        </w:trPr>
        <w:tc>
          <w:tcPr>
            <w:tcW w:w="3414" w:type="dxa"/>
          </w:tcPr>
          <w:p>
            <w:pPr>
              <w:pStyle w:val="TableParagraph"/>
              <w:spacing w:before="19"/>
              <w:ind w:left="35"/>
              <w:rPr>
                <w:sz w:val="18"/>
              </w:rPr>
            </w:pPr>
            <w:r>
              <w:rPr>
                <w:sz w:val="18"/>
              </w:rPr>
              <w:t>GB Pounds</w:t>
            </w:r>
          </w:p>
        </w:tc>
        <w:tc>
          <w:tcPr>
            <w:tcW w:w="757" w:type="dxa"/>
          </w:tcPr>
          <w:p>
            <w:pPr/>
          </w:p>
        </w:tc>
        <w:tc>
          <w:tcPr>
            <w:tcW w:w="688" w:type="dxa"/>
          </w:tcPr>
          <w:p>
            <w:pPr>
              <w:pStyle w:val="TableParagraph"/>
              <w:spacing w:before="18"/>
              <w:ind w:right="63"/>
              <w:jc w:val="right"/>
              <w:rPr>
                <w:b/>
                <w:sz w:val="18"/>
              </w:rPr>
            </w:pPr>
            <w:r>
              <w:rPr>
                <w:b/>
                <w:w w:val="95"/>
                <w:sz w:val="18"/>
              </w:rPr>
              <w:t>105</w:t>
            </w:r>
          </w:p>
        </w:tc>
        <w:tc>
          <w:tcPr>
            <w:tcW w:w="595" w:type="dxa"/>
          </w:tcPr>
          <w:p>
            <w:pPr/>
          </w:p>
        </w:tc>
        <w:tc>
          <w:tcPr>
            <w:tcW w:w="801" w:type="dxa"/>
          </w:tcPr>
          <w:p>
            <w:pPr>
              <w:pStyle w:val="TableParagraph"/>
              <w:spacing w:before="18"/>
              <w:ind w:right="162"/>
              <w:jc w:val="right"/>
              <w:rPr>
                <w:sz w:val="18"/>
              </w:rPr>
            </w:pPr>
            <w:r>
              <w:rPr>
                <w:sz w:val="18"/>
              </w:rPr>
              <w:t>27</w:t>
            </w:r>
          </w:p>
        </w:tc>
        <w:tc>
          <w:tcPr>
            <w:tcW w:w="680" w:type="dxa"/>
          </w:tcPr>
          <w:p>
            <w:pPr/>
          </w:p>
        </w:tc>
        <w:tc>
          <w:tcPr>
            <w:tcW w:w="688" w:type="dxa"/>
          </w:tcPr>
          <w:p>
            <w:pPr>
              <w:pStyle w:val="TableParagraph"/>
              <w:spacing w:before="18"/>
              <w:ind w:right="63"/>
              <w:jc w:val="right"/>
              <w:rPr>
                <w:b/>
                <w:sz w:val="18"/>
              </w:rPr>
            </w:pPr>
            <w:r>
              <w:rPr>
                <w:b/>
                <w:w w:val="95"/>
                <w:sz w:val="18"/>
              </w:rPr>
              <w:t>105</w:t>
            </w:r>
          </w:p>
        </w:tc>
        <w:tc>
          <w:tcPr>
            <w:tcW w:w="595" w:type="dxa"/>
          </w:tcPr>
          <w:p>
            <w:pPr/>
          </w:p>
        </w:tc>
        <w:tc>
          <w:tcPr>
            <w:tcW w:w="723" w:type="dxa"/>
          </w:tcPr>
          <w:p>
            <w:pPr>
              <w:pStyle w:val="TableParagraph"/>
              <w:spacing w:before="18"/>
              <w:ind w:right="84"/>
              <w:jc w:val="right"/>
              <w:rPr>
                <w:sz w:val="18"/>
              </w:rPr>
            </w:pPr>
            <w:r>
              <w:rPr>
                <w:w w:val="95"/>
                <w:sz w:val="18"/>
              </w:rPr>
              <w:t>27</w:t>
            </w:r>
          </w:p>
        </w:tc>
      </w:tr>
      <w:tr>
        <w:trPr>
          <w:trHeight w:val="262" w:hRule="exact"/>
        </w:trPr>
        <w:tc>
          <w:tcPr>
            <w:tcW w:w="3414" w:type="dxa"/>
          </w:tcPr>
          <w:p>
            <w:pPr>
              <w:pStyle w:val="TableParagraph"/>
              <w:spacing w:before="19"/>
              <w:ind w:left="35"/>
              <w:rPr>
                <w:sz w:val="18"/>
              </w:rPr>
            </w:pPr>
            <w:r>
              <w:rPr>
                <w:sz w:val="18"/>
              </w:rPr>
              <w:t>Other</w:t>
            </w:r>
          </w:p>
        </w:tc>
        <w:tc>
          <w:tcPr>
            <w:tcW w:w="757" w:type="dxa"/>
            <w:tcBorders>
              <w:bottom w:val="single" w:sz="0" w:space="0" w:color="000000"/>
            </w:tcBorders>
          </w:tcPr>
          <w:p>
            <w:pPr/>
          </w:p>
        </w:tc>
        <w:tc>
          <w:tcPr>
            <w:tcW w:w="688" w:type="dxa"/>
            <w:tcBorders>
              <w:bottom w:val="single" w:sz="0" w:space="0" w:color="000000"/>
            </w:tcBorders>
          </w:tcPr>
          <w:p>
            <w:pPr>
              <w:pStyle w:val="TableParagraph"/>
              <w:spacing w:before="18"/>
              <w:ind w:right="64"/>
              <w:jc w:val="right"/>
              <w:rPr>
                <w:b/>
                <w:sz w:val="18"/>
              </w:rPr>
            </w:pPr>
            <w:r>
              <w:rPr>
                <w:b/>
                <w:w w:val="95"/>
                <w:sz w:val="18"/>
              </w:rPr>
              <w:t>93</w:t>
            </w:r>
          </w:p>
        </w:tc>
        <w:tc>
          <w:tcPr>
            <w:tcW w:w="595" w:type="dxa"/>
            <w:tcBorders>
              <w:bottom w:val="single" w:sz="0" w:space="0" w:color="000000"/>
            </w:tcBorders>
          </w:tcPr>
          <w:p>
            <w:pPr/>
          </w:p>
        </w:tc>
        <w:tc>
          <w:tcPr>
            <w:tcW w:w="801" w:type="dxa"/>
            <w:tcBorders>
              <w:bottom w:val="single" w:sz="0" w:space="0" w:color="000000"/>
            </w:tcBorders>
          </w:tcPr>
          <w:p>
            <w:pPr>
              <w:pStyle w:val="TableParagraph"/>
              <w:spacing w:before="18"/>
              <w:ind w:right="162"/>
              <w:jc w:val="right"/>
              <w:rPr>
                <w:sz w:val="18"/>
              </w:rPr>
            </w:pPr>
            <w:r>
              <w:rPr>
                <w:sz w:val="18"/>
              </w:rPr>
              <w:t>16</w:t>
            </w:r>
          </w:p>
        </w:tc>
        <w:tc>
          <w:tcPr>
            <w:tcW w:w="680" w:type="dxa"/>
            <w:tcBorders>
              <w:bottom w:val="single" w:sz="0" w:space="0" w:color="000000"/>
            </w:tcBorders>
          </w:tcPr>
          <w:p>
            <w:pPr/>
          </w:p>
        </w:tc>
        <w:tc>
          <w:tcPr>
            <w:tcW w:w="688" w:type="dxa"/>
            <w:tcBorders>
              <w:bottom w:val="single" w:sz="0" w:space="0" w:color="000000"/>
            </w:tcBorders>
          </w:tcPr>
          <w:p>
            <w:pPr>
              <w:pStyle w:val="TableParagraph"/>
              <w:spacing w:before="18"/>
              <w:ind w:right="63"/>
              <w:jc w:val="right"/>
              <w:rPr>
                <w:b/>
                <w:sz w:val="18"/>
              </w:rPr>
            </w:pPr>
            <w:r>
              <w:rPr>
                <w:b/>
                <w:sz w:val="18"/>
              </w:rPr>
              <w:t>93</w:t>
            </w:r>
          </w:p>
        </w:tc>
        <w:tc>
          <w:tcPr>
            <w:tcW w:w="595" w:type="dxa"/>
            <w:tcBorders>
              <w:bottom w:val="single" w:sz="0" w:space="0" w:color="000000"/>
            </w:tcBorders>
          </w:tcPr>
          <w:p>
            <w:pPr/>
          </w:p>
        </w:tc>
        <w:tc>
          <w:tcPr>
            <w:tcW w:w="723" w:type="dxa"/>
            <w:tcBorders>
              <w:bottom w:val="single" w:sz="0" w:space="0" w:color="000000"/>
            </w:tcBorders>
          </w:tcPr>
          <w:p>
            <w:pPr>
              <w:pStyle w:val="TableParagraph"/>
              <w:spacing w:before="18"/>
              <w:ind w:right="84"/>
              <w:jc w:val="right"/>
              <w:rPr>
                <w:sz w:val="18"/>
              </w:rPr>
            </w:pPr>
            <w:r>
              <w:rPr>
                <w:w w:val="95"/>
                <w:sz w:val="18"/>
              </w:rPr>
              <w:t>16</w:t>
            </w:r>
          </w:p>
        </w:tc>
      </w:tr>
      <w:tr>
        <w:trPr>
          <w:trHeight w:val="353" w:hRule="exact"/>
        </w:trPr>
        <w:tc>
          <w:tcPr>
            <w:tcW w:w="3414" w:type="dxa"/>
          </w:tcPr>
          <w:p>
            <w:pPr/>
          </w:p>
        </w:tc>
        <w:tc>
          <w:tcPr>
            <w:tcW w:w="757" w:type="dxa"/>
            <w:tcBorders>
              <w:top w:val="single" w:sz="0" w:space="0" w:color="000000"/>
              <w:bottom w:val="single" w:sz="0" w:space="0" w:color="000000"/>
            </w:tcBorders>
          </w:tcPr>
          <w:p>
            <w:pPr/>
          </w:p>
        </w:tc>
        <w:tc>
          <w:tcPr>
            <w:tcW w:w="688" w:type="dxa"/>
            <w:tcBorders>
              <w:top w:val="single" w:sz="0" w:space="0" w:color="000000"/>
              <w:bottom w:val="single" w:sz="0" w:space="0" w:color="000000"/>
            </w:tcBorders>
          </w:tcPr>
          <w:p>
            <w:pPr>
              <w:pStyle w:val="TableParagraph"/>
              <w:spacing w:before="122"/>
              <w:ind w:right="62"/>
              <w:jc w:val="right"/>
              <w:rPr>
                <w:b/>
                <w:sz w:val="18"/>
              </w:rPr>
            </w:pPr>
            <w:r>
              <w:rPr>
                <w:b/>
                <w:w w:val="95"/>
                <w:sz w:val="18"/>
              </w:rPr>
              <w:t>50,317</w:t>
            </w:r>
          </w:p>
        </w:tc>
        <w:tc>
          <w:tcPr>
            <w:tcW w:w="595" w:type="dxa"/>
            <w:tcBorders>
              <w:top w:val="single" w:sz="0" w:space="0" w:color="000000"/>
              <w:bottom w:val="single" w:sz="0" w:space="0" w:color="000000"/>
            </w:tcBorders>
          </w:tcPr>
          <w:p>
            <w:pPr/>
          </w:p>
        </w:tc>
        <w:tc>
          <w:tcPr>
            <w:tcW w:w="801" w:type="dxa"/>
            <w:tcBorders>
              <w:top w:val="single" w:sz="0" w:space="0" w:color="000000"/>
              <w:bottom w:val="single" w:sz="0" w:space="0" w:color="000000"/>
            </w:tcBorders>
          </w:tcPr>
          <w:p>
            <w:pPr>
              <w:pStyle w:val="TableParagraph"/>
              <w:spacing w:before="122"/>
              <w:ind w:right="161"/>
              <w:jc w:val="right"/>
              <w:rPr>
                <w:sz w:val="18"/>
              </w:rPr>
            </w:pPr>
            <w:r>
              <w:rPr>
                <w:w w:val="95"/>
                <w:sz w:val="18"/>
              </w:rPr>
              <w:t>42,255</w:t>
            </w:r>
          </w:p>
        </w:tc>
        <w:tc>
          <w:tcPr>
            <w:tcW w:w="680" w:type="dxa"/>
            <w:tcBorders>
              <w:top w:val="single" w:sz="0" w:space="0" w:color="000000"/>
              <w:bottom w:val="single" w:sz="0" w:space="0" w:color="000000"/>
            </w:tcBorders>
          </w:tcPr>
          <w:p>
            <w:pPr/>
          </w:p>
        </w:tc>
        <w:tc>
          <w:tcPr>
            <w:tcW w:w="688" w:type="dxa"/>
            <w:tcBorders>
              <w:top w:val="single" w:sz="0" w:space="0" w:color="000000"/>
              <w:bottom w:val="single" w:sz="0" w:space="0" w:color="000000"/>
            </w:tcBorders>
          </w:tcPr>
          <w:p>
            <w:pPr>
              <w:pStyle w:val="TableParagraph"/>
              <w:spacing w:before="122"/>
              <w:ind w:right="62"/>
              <w:jc w:val="right"/>
              <w:rPr>
                <w:b/>
                <w:sz w:val="18"/>
              </w:rPr>
            </w:pPr>
            <w:r>
              <w:rPr>
                <w:b/>
                <w:w w:val="95"/>
                <w:sz w:val="18"/>
              </w:rPr>
              <w:t>46,976</w:t>
            </w:r>
          </w:p>
        </w:tc>
        <w:tc>
          <w:tcPr>
            <w:tcW w:w="595" w:type="dxa"/>
            <w:tcBorders>
              <w:top w:val="single" w:sz="0" w:space="0" w:color="000000"/>
              <w:bottom w:val="single" w:sz="0" w:space="0" w:color="000000"/>
            </w:tcBorders>
          </w:tcPr>
          <w:p>
            <w:pPr/>
          </w:p>
        </w:tc>
        <w:tc>
          <w:tcPr>
            <w:tcW w:w="723" w:type="dxa"/>
            <w:tcBorders>
              <w:top w:val="single" w:sz="0" w:space="0" w:color="000000"/>
              <w:bottom w:val="single" w:sz="0" w:space="0" w:color="000000"/>
            </w:tcBorders>
          </w:tcPr>
          <w:p>
            <w:pPr>
              <w:pStyle w:val="TableParagraph"/>
              <w:spacing w:before="122"/>
              <w:ind w:right="83"/>
              <w:jc w:val="right"/>
              <w:rPr>
                <w:sz w:val="18"/>
              </w:rPr>
            </w:pPr>
            <w:r>
              <w:rPr>
                <w:w w:val="95"/>
                <w:sz w:val="18"/>
              </w:rPr>
              <w:t>40,396</w:t>
            </w:r>
          </w:p>
        </w:tc>
      </w:tr>
    </w:tbl>
    <w:p>
      <w:pPr>
        <w:pStyle w:val="BodyText"/>
        <w:spacing w:before="6"/>
        <w:rPr>
          <w:b/>
          <w:sz w:val="20"/>
        </w:rPr>
      </w:pPr>
    </w:p>
    <w:p>
      <w:pPr>
        <w:pStyle w:val="BodyText"/>
        <w:spacing w:before="77"/>
        <w:ind w:left="1072" w:right="128"/>
      </w:pPr>
      <w:r>
        <w:rPr/>
        <w:t>For an analysis of the sensitivity of trade and other payables to foreign currency risk refer to note 32.</w:t>
      </w:r>
    </w:p>
    <w:p>
      <w:pPr>
        <w:spacing w:after="0"/>
        <w:sectPr>
          <w:type w:val="continuous"/>
          <w:pgSz w:w="11910" w:h="16840"/>
          <w:pgMar w:top="0" w:bottom="280" w:left="900" w:right="880"/>
        </w:sectPr>
      </w:pPr>
    </w:p>
    <w:p>
      <w:pPr>
        <w:pStyle w:val="BodyText"/>
        <w:spacing w:before="7"/>
        <w:rPr>
          <w:sz w:val="26"/>
        </w:rPr>
      </w:pPr>
    </w:p>
    <w:p>
      <w:pPr>
        <w:pStyle w:val="Heading9"/>
        <w:numPr>
          <w:ilvl w:val="0"/>
          <w:numId w:val="16"/>
        </w:numPr>
        <w:tabs>
          <w:tab w:pos="506" w:val="left" w:leader="none"/>
        </w:tabs>
        <w:spacing w:line="240" w:lineRule="auto" w:before="77" w:after="0"/>
        <w:ind w:left="505" w:right="0" w:hanging="396"/>
        <w:jc w:val="left"/>
      </w:pPr>
      <w:r>
        <w:rPr/>
        <w:t>Borrowings</w:t>
      </w:r>
    </w:p>
    <w:p>
      <w:pPr>
        <w:pStyle w:val="BodyText"/>
        <w:rPr>
          <w:b/>
          <w:sz w:val="20"/>
        </w:rPr>
      </w:pPr>
    </w:p>
    <w:p>
      <w:pPr>
        <w:pStyle w:val="BodyText"/>
        <w:spacing w:before="1"/>
        <w:rPr>
          <w:b/>
          <w:sz w:val="19"/>
        </w:rPr>
      </w:pPr>
    </w:p>
    <w:p>
      <w:pPr>
        <w:tabs>
          <w:tab w:pos="7302" w:val="left" w:leader="none"/>
        </w:tabs>
        <w:spacing w:before="78"/>
        <w:ind w:left="4538" w:right="128" w:firstLine="0"/>
        <w:jc w:val="left"/>
        <w:rPr>
          <w:b/>
          <w:sz w:val="18"/>
        </w:rPr>
      </w:pPr>
      <w:r>
        <w:rPr>
          <w:b/>
          <w:sz w:val="18"/>
        </w:rPr>
        <w:t>Consolidated</w:t>
        <w:tab/>
        <w:t>Parent</w:t>
      </w:r>
    </w:p>
    <w:p>
      <w:pPr>
        <w:spacing w:after="0"/>
        <w:jc w:val="left"/>
        <w:rPr>
          <w:sz w:val="18"/>
        </w:rPr>
        <w:sectPr>
          <w:pgSz w:w="11910" w:h="16840"/>
          <w:pgMar w:header="1038" w:footer="507" w:top="2220" w:bottom="700" w:left="900" w:right="880"/>
        </w:sectPr>
      </w:pPr>
    </w:p>
    <w:p>
      <w:pPr>
        <w:pStyle w:val="BodyText"/>
        <w:rPr>
          <w:b/>
        </w:rPr>
      </w:pPr>
    </w:p>
    <w:p>
      <w:pPr>
        <w:pStyle w:val="BodyText"/>
        <w:rPr>
          <w:b/>
        </w:rPr>
      </w:pPr>
    </w:p>
    <w:p>
      <w:pPr>
        <w:pStyle w:val="BodyText"/>
        <w:spacing w:before="3"/>
        <w:rPr>
          <w:b/>
          <w:sz w:val="24"/>
        </w:rPr>
      </w:pPr>
    </w:p>
    <w:p>
      <w:pPr>
        <w:spacing w:before="0"/>
        <w:ind w:left="549" w:right="-20" w:firstLine="0"/>
        <w:jc w:val="left"/>
        <w:rPr>
          <w:b/>
          <w:sz w:val="18"/>
        </w:rPr>
      </w:pPr>
      <w:r>
        <w:rPr>
          <w:b/>
          <w:sz w:val="18"/>
        </w:rPr>
        <w:t>Current</w:t>
      </w:r>
    </w:p>
    <w:p>
      <w:pPr>
        <w:pStyle w:val="BodyText"/>
        <w:spacing w:before="112"/>
        <w:ind w:left="549" w:right="-20"/>
      </w:pPr>
      <w:r>
        <w:rPr/>
        <w:t>Unsecured</w:t>
      </w:r>
    </w:p>
    <w:p>
      <w:pPr>
        <w:pStyle w:val="Heading9"/>
        <w:spacing w:before="66"/>
        <w:ind w:left="549" w:right="-20"/>
      </w:pPr>
      <w:r>
        <w:rPr>
          <w:b w:val="0"/>
        </w:rPr>
        <w:br w:type="column"/>
      </w:r>
      <w:r>
        <w:rPr/>
        <w:t>2012</w:t>
      </w:r>
    </w:p>
    <w:p>
      <w:pPr>
        <w:spacing w:before="66"/>
        <w:ind w:left="549" w:right="-20" w:firstLine="0"/>
        <w:jc w:val="left"/>
        <w:rPr>
          <w:b/>
          <w:sz w:val="18"/>
        </w:rPr>
      </w:pPr>
      <w:r>
        <w:rPr>
          <w:b/>
          <w:sz w:val="18"/>
        </w:rPr>
        <w:t>$'000</w:t>
      </w:r>
    </w:p>
    <w:p>
      <w:pPr>
        <w:spacing w:before="66"/>
        <w:ind w:left="549" w:right="-20" w:firstLine="0"/>
        <w:jc w:val="left"/>
        <w:rPr>
          <w:b/>
          <w:sz w:val="18"/>
        </w:rPr>
      </w:pPr>
      <w:r>
        <w:rPr/>
        <w:br w:type="column"/>
      </w:r>
      <w:r>
        <w:rPr>
          <w:b/>
          <w:sz w:val="18"/>
        </w:rPr>
        <w:t>2011</w:t>
      </w:r>
    </w:p>
    <w:p>
      <w:pPr>
        <w:spacing w:before="66"/>
        <w:ind w:left="549" w:right="-20" w:firstLine="0"/>
        <w:jc w:val="left"/>
        <w:rPr>
          <w:b/>
          <w:sz w:val="18"/>
        </w:rPr>
      </w:pPr>
      <w:r>
        <w:rPr>
          <w:b/>
          <w:sz w:val="18"/>
        </w:rPr>
        <w:t>$'000</w:t>
      </w:r>
    </w:p>
    <w:p>
      <w:pPr>
        <w:spacing w:before="66"/>
        <w:ind w:left="549" w:right="-20" w:firstLine="0"/>
        <w:jc w:val="left"/>
        <w:rPr>
          <w:b/>
          <w:sz w:val="18"/>
        </w:rPr>
      </w:pPr>
      <w:r>
        <w:rPr/>
        <w:br w:type="column"/>
      </w:r>
      <w:r>
        <w:rPr>
          <w:b/>
          <w:sz w:val="18"/>
        </w:rPr>
        <w:t>2012</w:t>
      </w:r>
    </w:p>
    <w:p>
      <w:pPr>
        <w:spacing w:before="66"/>
        <w:ind w:left="549" w:right="-20" w:firstLine="0"/>
        <w:jc w:val="left"/>
        <w:rPr>
          <w:b/>
          <w:sz w:val="18"/>
        </w:rPr>
      </w:pPr>
      <w:r>
        <w:rPr>
          <w:b/>
          <w:sz w:val="18"/>
        </w:rPr>
        <w:t>$'000</w:t>
      </w:r>
    </w:p>
    <w:p>
      <w:pPr>
        <w:spacing w:before="66"/>
        <w:ind w:left="549" w:right="0" w:firstLine="0"/>
        <w:jc w:val="left"/>
        <w:rPr>
          <w:b/>
          <w:sz w:val="18"/>
        </w:rPr>
      </w:pPr>
      <w:r>
        <w:rPr/>
        <w:br w:type="column"/>
      </w:r>
      <w:r>
        <w:rPr>
          <w:b/>
          <w:sz w:val="18"/>
        </w:rPr>
        <w:t>2011</w:t>
      </w:r>
    </w:p>
    <w:p>
      <w:pPr>
        <w:spacing w:before="66"/>
        <w:ind w:left="549" w:right="0" w:firstLine="0"/>
        <w:jc w:val="left"/>
        <w:rPr>
          <w:b/>
          <w:sz w:val="18"/>
        </w:rPr>
      </w:pPr>
      <w:r>
        <w:rPr>
          <w:b/>
          <w:sz w:val="18"/>
        </w:rPr>
        <w:t>$'000</w:t>
      </w:r>
    </w:p>
    <w:p>
      <w:pPr>
        <w:spacing w:after="0"/>
        <w:jc w:val="left"/>
        <w:rPr>
          <w:sz w:val="18"/>
        </w:rPr>
        <w:sectPr>
          <w:type w:val="continuous"/>
          <w:pgSz w:w="11910" w:h="16840"/>
          <w:pgMar w:top="0" w:bottom="280" w:left="900" w:right="880"/>
          <w:cols w:num="5" w:equalWidth="0">
            <w:col w:w="1420" w:space="2766"/>
            <w:col w:w="993" w:space="276"/>
            <w:col w:w="993" w:space="501"/>
            <w:col w:w="993" w:space="276"/>
            <w:col w:w="1912"/>
          </w:cols>
        </w:sectPr>
      </w:pPr>
    </w:p>
    <w:p>
      <w:pPr>
        <w:tabs>
          <w:tab w:pos="5423" w:val="left" w:leader="none"/>
          <w:tab w:pos="6720" w:val="left" w:leader="none"/>
          <w:tab w:pos="8187" w:val="left" w:leader="none"/>
          <w:tab w:pos="9484" w:val="left" w:leader="none"/>
        </w:tabs>
        <w:spacing w:before="28"/>
        <w:ind w:left="905" w:right="128" w:firstLine="0"/>
        <w:jc w:val="left"/>
        <w:rPr>
          <w:sz w:val="18"/>
        </w:rPr>
      </w:pPr>
      <w:r>
        <w:rPr>
          <w:sz w:val="18"/>
        </w:rPr>
        <w:t>Bank</w:t>
      </w:r>
      <w:r>
        <w:rPr>
          <w:spacing w:val="-1"/>
          <w:sz w:val="18"/>
        </w:rPr>
        <w:t> </w:t>
      </w:r>
      <w:r>
        <w:rPr>
          <w:sz w:val="18"/>
        </w:rPr>
        <w:t>loans</w:t>
      </w:r>
      <w:r>
        <w:rPr>
          <w:spacing w:val="-4"/>
          <w:sz w:val="18"/>
        </w:rPr>
        <w:t> </w:t>
      </w:r>
      <w:r>
        <w:rPr>
          <w:sz w:val="18"/>
        </w:rPr>
        <w:t>(i)</w:t>
        <w:tab/>
      </w:r>
      <w:r>
        <w:rPr>
          <w:b/>
          <w:sz w:val="18"/>
        </w:rPr>
        <w:t>6,000</w:t>
        <w:tab/>
      </w:r>
      <w:r>
        <w:rPr>
          <w:sz w:val="18"/>
        </w:rPr>
        <w:t>7,000</w:t>
        <w:tab/>
      </w:r>
      <w:r>
        <w:rPr>
          <w:b/>
          <w:sz w:val="18"/>
        </w:rPr>
        <w:t>6,000</w:t>
        <w:tab/>
      </w:r>
      <w:r>
        <w:rPr>
          <w:sz w:val="18"/>
        </w:rPr>
        <w:t>7,000</w:t>
      </w:r>
    </w:p>
    <w:p>
      <w:pPr>
        <w:tabs>
          <w:tab w:pos="5812" w:val="left" w:leader="none"/>
          <w:tab w:pos="7109" w:val="left" w:leader="none"/>
          <w:tab w:pos="8187" w:val="left" w:leader="none"/>
          <w:tab w:pos="9873" w:val="left" w:leader="none"/>
        </w:tabs>
        <w:spacing w:before="57"/>
        <w:ind w:left="905" w:right="128" w:firstLine="0"/>
        <w:jc w:val="left"/>
        <w:rPr>
          <w:sz w:val="18"/>
        </w:rPr>
      </w:pPr>
      <w:r>
        <w:rPr/>
        <w:pict>
          <v:group style="position:absolute;margin-left:269.649994pt;margin-top:14.539175pt;width:276.5pt;height:1pt;mso-position-horizontal-relative:page;mso-position-vertical-relative:paragraph;z-index:3256;mso-wrap-distance-left:0;mso-wrap-distance-right:0" coordorigin="5393,291" coordsize="5530,20">
            <v:line style="position:absolute" from="5394,292" to="5563,292" stroked="true" strokeweight=".06pt" strokecolor="#000000"/>
            <v:line style="position:absolute" from="5394,293" to="5563,293" stroked="true" strokeweight=".06pt" strokecolor="#000000"/>
            <v:line style="position:absolute" from="5394,294" to="5563,294" stroked="true" strokeweight=".06pt" strokecolor="#000000"/>
            <v:line style="position:absolute" from="5394,295" to="5563,295" stroked="true" strokeweight=".06pt" strokecolor="#000000"/>
            <v:line style="position:absolute" from="5394,297" to="5563,297" stroked="true" strokeweight=".06pt" strokecolor="#000000"/>
            <v:line style="position:absolute" from="5394,298" to="5563,298" stroked="true" strokeweight=".06pt" strokecolor="#000000"/>
            <v:line style="position:absolute" from="5394,299" to="5563,299" stroked="true" strokeweight=".06pt" strokecolor="#000000"/>
            <v:line style="position:absolute" from="5394,300" to="5563,300" stroked="true" strokeweight=".06pt" strokecolor="#000000"/>
            <v:line style="position:absolute" from="5394,301" to="5563,301" stroked="true" strokeweight=".06pt" strokecolor="#000000"/>
            <v:line style="position:absolute" from="5394,303" to="5563,303" stroked="true" strokeweight=".06pt" strokecolor="#000000"/>
            <v:line style="position:absolute" from="5394,304" to="5563,304" stroked="true" strokeweight=".06pt" strokecolor="#000000"/>
            <v:line style="position:absolute" from="5394,305" to="5563,305" stroked="true" strokeweight=".06pt" strokecolor="#000000"/>
            <v:line style="position:absolute" from="5394,306" to="5563,306" stroked="true" strokeweight=".06pt" strokecolor="#000000"/>
            <v:line style="position:absolute" from="5394,307" to="5563,307" stroked="true" strokeweight=".06pt" strokecolor="#000000"/>
            <v:line style="position:absolute" from="5394,309" to="5563,309" stroked="true" strokeweight=".06pt" strokecolor="#000000"/>
            <v:line style="position:absolute" from="5394,310" to="5563,310" stroked="true" strokeweight=".06pt" strokecolor="#000000"/>
            <v:line style="position:absolute" from="5563,292" to="6860,292" stroked="true" strokeweight=".06pt" strokecolor="#000000"/>
            <v:line style="position:absolute" from="5563,293" to="6860,293" stroked="true" strokeweight=".06pt" strokecolor="#000000"/>
            <v:line style="position:absolute" from="5563,294" to="6860,294" stroked="true" strokeweight=".06pt" strokecolor="#000000"/>
            <v:line style="position:absolute" from="5563,295" to="6860,295" stroked="true" strokeweight=".06pt" strokecolor="#000000"/>
            <v:line style="position:absolute" from="5563,297" to="6860,297" stroked="true" strokeweight=".06pt" strokecolor="#000000"/>
            <v:line style="position:absolute" from="5563,298" to="6860,298" stroked="true" strokeweight=".06pt" strokecolor="#000000"/>
            <v:line style="position:absolute" from="5563,299" to="6860,299" stroked="true" strokeweight=".06pt" strokecolor="#000000"/>
            <v:line style="position:absolute" from="5563,300" to="6860,300" stroked="true" strokeweight=".06pt" strokecolor="#000000"/>
            <v:line style="position:absolute" from="5563,301" to="6860,301" stroked="true" strokeweight=".06pt" strokecolor="#000000"/>
            <v:line style="position:absolute" from="5563,303" to="6860,303" stroked="true" strokeweight=".06pt" strokecolor="#000000"/>
            <v:line style="position:absolute" from="5563,304" to="6860,304" stroked="true" strokeweight=".06pt" strokecolor="#000000"/>
            <v:line style="position:absolute" from="5563,305" to="6860,305" stroked="true" strokeweight=".06pt" strokecolor="#000000"/>
            <v:line style="position:absolute" from="5563,306" to="6860,306" stroked="true" strokeweight=".06pt" strokecolor="#000000"/>
            <v:line style="position:absolute" from="5563,307" to="6860,307" stroked="true" strokeweight=".06pt" strokecolor="#000000"/>
            <v:line style="position:absolute" from="5563,309" to="6860,309" stroked="true" strokeweight=".06pt" strokecolor="#000000"/>
            <v:line style="position:absolute" from="5563,310" to="6860,310" stroked="true" strokeweight=".06pt" strokecolor="#000000"/>
            <v:line style="position:absolute" from="6860,292" to="8158,292" stroked="true" strokeweight=".06pt" strokecolor="#000000"/>
            <v:line style="position:absolute" from="6860,293" to="8158,293" stroked="true" strokeweight=".06pt" strokecolor="#000000"/>
            <v:line style="position:absolute" from="6860,294" to="8158,294" stroked="true" strokeweight=".06pt" strokecolor="#000000"/>
            <v:line style="position:absolute" from="6860,295" to="8158,295" stroked="true" strokeweight=".06pt" strokecolor="#000000"/>
            <v:line style="position:absolute" from="6860,297" to="8158,297" stroked="true" strokeweight=".06pt" strokecolor="#000000"/>
            <v:line style="position:absolute" from="6860,298" to="8158,298" stroked="true" strokeweight=".06pt" strokecolor="#000000"/>
            <v:line style="position:absolute" from="6860,299" to="8158,299" stroked="true" strokeweight=".06pt" strokecolor="#000000"/>
            <v:line style="position:absolute" from="6860,300" to="8158,300" stroked="true" strokeweight=".06pt" strokecolor="#000000"/>
            <v:line style="position:absolute" from="6860,301" to="8158,301" stroked="true" strokeweight=".06pt" strokecolor="#000000"/>
            <v:line style="position:absolute" from="6860,303" to="8158,303" stroked="true" strokeweight=".06pt" strokecolor="#000000"/>
            <v:line style="position:absolute" from="6860,304" to="8158,304" stroked="true" strokeweight=".06pt" strokecolor="#000000"/>
            <v:line style="position:absolute" from="6860,305" to="8158,305" stroked="true" strokeweight=".06pt" strokecolor="#000000"/>
            <v:line style="position:absolute" from="6860,306" to="8158,306" stroked="true" strokeweight=".06pt" strokecolor="#000000"/>
            <v:line style="position:absolute" from="6860,307" to="8158,307" stroked="true" strokeweight=".06pt" strokecolor="#000000"/>
            <v:line style="position:absolute" from="6860,309" to="8158,309" stroked="true" strokeweight=".06pt" strokecolor="#000000"/>
            <v:line style="position:absolute" from="6860,310" to="8158,310" stroked="true" strokeweight=".06pt" strokecolor="#000000"/>
            <v:line style="position:absolute" from="8158,292" to="8327,292" stroked="true" strokeweight=".06pt" strokecolor="#000000"/>
            <v:line style="position:absolute" from="8158,293" to="8327,293" stroked="true" strokeweight=".06pt" strokecolor="#000000"/>
            <v:line style="position:absolute" from="8158,294" to="8327,294" stroked="true" strokeweight=".06pt" strokecolor="#000000"/>
            <v:line style="position:absolute" from="8158,295" to="8327,295" stroked="true" strokeweight=".06pt" strokecolor="#000000"/>
            <v:line style="position:absolute" from="8158,297" to="8327,297" stroked="true" strokeweight=".06pt" strokecolor="#000000"/>
            <v:line style="position:absolute" from="8158,298" to="8327,298" stroked="true" strokeweight=".06pt" strokecolor="#000000"/>
            <v:line style="position:absolute" from="8158,299" to="8327,299" stroked="true" strokeweight=".06pt" strokecolor="#000000"/>
            <v:line style="position:absolute" from="8158,300" to="8327,300" stroked="true" strokeweight=".06pt" strokecolor="#000000"/>
            <v:line style="position:absolute" from="8158,301" to="8327,301" stroked="true" strokeweight=".06pt" strokecolor="#000000"/>
            <v:line style="position:absolute" from="8158,303" to="8327,303" stroked="true" strokeweight=".06pt" strokecolor="#000000"/>
            <v:line style="position:absolute" from="8158,304" to="8327,304" stroked="true" strokeweight=".06pt" strokecolor="#000000"/>
            <v:line style="position:absolute" from="8158,305" to="8327,305" stroked="true" strokeweight=".06pt" strokecolor="#000000"/>
            <v:line style="position:absolute" from="8158,306" to="8327,306" stroked="true" strokeweight=".06pt" strokecolor="#000000"/>
            <v:line style="position:absolute" from="8158,307" to="8327,307" stroked="true" strokeweight=".06pt" strokecolor="#000000"/>
            <v:line style="position:absolute" from="8158,309" to="8327,309" stroked="true" strokeweight=".06pt" strokecolor="#000000"/>
            <v:line style="position:absolute" from="8158,310" to="8327,310" stroked="true" strokeweight=".06pt" strokecolor="#000000"/>
            <v:line style="position:absolute" from="8327,292" to="9624,292" stroked="true" strokeweight=".06pt" strokecolor="#000000"/>
            <v:line style="position:absolute" from="8327,293" to="9624,293" stroked="true" strokeweight=".06pt" strokecolor="#000000"/>
            <v:line style="position:absolute" from="8327,294" to="9624,294" stroked="true" strokeweight=".06pt" strokecolor="#000000"/>
            <v:line style="position:absolute" from="8327,295" to="9624,295" stroked="true" strokeweight=".06pt" strokecolor="#000000"/>
            <v:line style="position:absolute" from="8327,297" to="9624,297" stroked="true" strokeweight=".06pt" strokecolor="#000000"/>
            <v:line style="position:absolute" from="8327,298" to="9624,298" stroked="true" strokeweight=".06pt" strokecolor="#000000"/>
            <v:line style="position:absolute" from="8327,299" to="9624,299" stroked="true" strokeweight=".06pt" strokecolor="#000000"/>
            <v:line style="position:absolute" from="8327,300" to="9624,300" stroked="true" strokeweight=".06pt" strokecolor="#000000"/>
            <v:line style="position:absolute" from="8327,301" to="9624,301" stroked="true" strokeweight=".06pt" strokecolor="#000000"/>
            <v:line style="position:absolute" from="8327,303" to="9624,303" stroked="true" strokeweight=".06pt" strokecolor="#000000"/>
            <v:line style="position:absolute" from="8327,304" to="9624,304" stroked="true" strokeweight=".06pt" strokecolor="#000000"/>
            <v:line style="position:absolute" from="8327,305" to="9624,305" stroked="true" strokeweight=".06pt" strokecolor="#000000"/>
            <v:line style="position:absolute" from="8327,306" to="9624,306" stroked="true" strokeweight=".06pt" strokecolor="#000000"/>
            <v:line style="position:absolute" from="8327,307" to="9624,307" stroked="true" strokeweight=".06pt" strokecolor="#000000"/>
            <v:line style="position:absolute" from="8327,309" to="9624,309" stroked="true" strokeweight=".06pt" strokecolor="#000000"/>
            <v:line style="position:absolute" from="8327,310" to="9624,310" stroked="true" strokeweight=".06pt" strokecolor="#000000"/>
            <v:line style="position:absolute" from="9624,292" to="10921,292" stroked="true" strokeweight=".06pt" strokecolor="#000000"/>
            <v:line style="position:absolute" from="9624,293" to="10921,293" stroked="true" strokeweight=".06pt" strokecolor="#000000"/>
            <v:line style="position:absolute" from="9624,294" to="10921,294" stroked="true" strokeweight=".06pt" strokecolor="#000000"/>
            <v:line style="position:absolute" from="9624,295" to="10921,295" stroked="true" strokeweight=".06pt" strokecolor="#000000"/>
            <v:line style="position:absolute" from="9624,297" to="10921,297" stroked="true" strokeweight=".06pt" strokecolor="#000000"/>
            <v:line style="position:absolute" from="9624,298" to="10921,298" stroked="true" strokeweight=".06pt" strokecolor="#000000"/>
            <v:line style="position:absolute" from="9624,299" to="10921,299" stroked="true" strokeweight=".06pt" strokecolor="#000000"/>
            <v:line style="position:absolute" from="9624,300" to="10921,300" stroked="true" strokeweight=".06pt" strokecolor="#000000"/>
            <v:line style="position:absolute" from="9624,301" to="10921,301" stroked="true" strokeweight=".06pt" strokecolor="#000000"/>
            <v:line style="position:absolute" from="9624,303" to="10921,303" stroked="true" strokeweight=".06pt" strokecolor="#000000"/>
            <v:line style="position:absolute" from="9624,304" to="10921,304" stroked="true" strokeweight=".06pt" strokecolor="#000000"/>
            <v:line style="position:absolute" from="9624,305" to="10921,305" stroked="true" strokeweight=".06pt" strokecolor="#000000"/>
            <v:line style="position:absolute" from="9624,306" to="10921,306" stroked="true" strokeweight=".06pt" strokecolor="#000000"/>
            <v:line style="position:absolute" from="9624,307" to="10921,307" stroked="true" strokeweight=".06pt" strokecolor="#000000"/>
            <v:line style="position:absolute" from="9624,309" to="10921,309" stroked="true" strokeweight=".06pt" strokecolor="#000000"/>
            <v:line style="position:absolute" from="9624,310" to="10921,310" stroked="true" strokeweight=".06pt" strokecolor="#000000"/>
            <w10:wrap type="topAndBottom"/>
          </v:group>
        </w:pict>
      </w:r>
      <w:r>
        <w:rPr>
          <w:sz w:val="18"/>
        </w:rPr>
        <w:t>Related party</w:t>
      </w:r>
      <w:r>
        <w:rPr>
          <w:spacing w:val="-1"/>
          <w:sz w:val="18"/>
        </w:rPr>
        <w:t> </w:t>
      </w:r>
      <w:r>
        <w:rPr>
          <w:sz w:val="18"/>
        </w:rPr>
        <w:t>loans</w:t>
      </w:r>
      <w:r>
        <w:rPr>
          <w:spacing w:val="-8"/>
          <w:sz w:val="18"/>
        </w:rPr>
        <w:t> </w:t>
      </w:r>
      <w:r>
        <w:rPr>
          <w:sz w:val="18"/>
        </w:rPr>
        <w:t>(ii)</w:t>
        <w:tab/>
      </w:r>
      <w:r>
        <w:rPr>
          <w:b/>
          <w:sz w:val="18"/>
        </w:rPr>
        <w:t>-</w:t>
        <w:tab/>
      </w:r>
      <w:r>
        <w:rPr>
          <w:sz w:val="18"/>
        </w:rPr>
        <w:t>-</w:t>
        <w:tab/>
      </w:r>
      <w:r>
        <w:rPr>
          <w:b/>
          <w:sz w:val="18"/>
        </w:rPr>
        <w:t>6,164</w:t>
        <w:tab/>
      </w:r>
      <w:r>
        <w:rPr>
          <w:sz w:val="18"/>
        </w:rPr>
        <w:t>-</w:t>
      </w:r>
    </w:p>
    <w:p>
      <w:pPr>
        <w:tabs>
          <w:tab w:pos="5423" w:val="left" w:leader="none"/>
          <w:tab w:pos="6721" w:val="left" w:leader="none"/>
          <w:tab w:pos="8087" w:val="left" w:leader="none"/>
          <w:tab w:pos="9484" w:val="left" w:leader="none"/>
        </w:tabs>
        <w:spacing w:before="84"/>
        <w:ind w:left="549" w:right="128" w:firstLine="0"/>
        <w:jc w:val="left"/>
        <w:rPr>
          <w:sz w:val="18"/>
        </w:rPr>
      </w:pPr>
      <w:r>
        <w:rPr>
          <w:b/>
          <w:sz w:val="18"/>
        </w:rPr>
        <w:t>Total</w:t>
      </w:r>
      <w:r>
        <w:rPr>
          <w:b/>
          <w:spacing w:val="-1"/>
          <w:sz w:val="18"/>
        </w:rPr>
        <w:t> </w:t>
      </w:r>
      <w:r>
        <w:rPr>
          <w:b/>
          <w:sz w:val="18"/>
        </w:rPr>
        <w:t>current</w:t>
      </w:r>
      <w:r>
        <w:rPr>
          <w:b/>
          <w:spacing w:val="-1"/>
          <w:sz w:val="18"/>
        </w:rPr>
        <w:t> </w:t>
      </w:r>
      <w:r>
        <w:rPr>
          <w:b/>
          <w:sz w:val="18"/>
        </w:rPr>
        <w:t>borrowings</w:t>
        <w:tab/>
        <w:t>6,000</w:t>
        <w:tab/>
      </w:r>
      <w:r>
        <w:rPr>
          <w:sz w:val="18"/>
        </w:rPr>
        <w:t>7,000</w:t>
        <w:tab/>
      </w:r>
      <w:r>
        <w:rPr>
          <w:b/>
          <w:sz w:val="18"/>
        </w:rPr>
        <w:t>12,164</w:t>
        <w:tab/>
      </w:r>
      <w:r>
        <w:rPr>
          <w:sz w:val="18"/>
        </w:rPr>
        <w:t>7,000</w:t>
      </w:r>
    </w:p>
    <w:p>
      <w:pPr>
        <w:pStyle w:val="BodyText"/>
        <w:spacing w:line="50" w:lineRule="exact"/>
        <w:ind w:left="4493"/>
        <w:rPr>
          <w:sz w:val="4"/>
        </w:rPr>
      </w:pPr>
      <w:r>
        <w:rPr>
          <w:position w:val="0"/>
          <w:sz w:val="4"/>
        </w:rPr>
        <w:pict>
          <v:group style="width:276.5pt;height:2.5pt;mso-position-horizontal-relative:char;mso-position-vertical-relative:line" coordorigin="0,0" coordsize="5530,5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35" to="170,35" stroked="true" strokeweight=".06pt" strokecolor="#000000"/>
            <v:line style="position:absolute" from="1,36" to="170,36" stroked="true" strokeweight=".06pt" strokecolor="#000000"/>
            <v:line style="position:absolute" from="1,37" to="170,37" stroked="true" strokeweight=".06pt" strokecolor="#000000"/>
            <v:line style="position:absolute" from="1,38" to="170,38" stroked="true" strokeweight=".06pt" strokecolor="#000000"/>
            <v:line style="position:absolute" from="1,39" to="170,39" stroked="true" strokeweight=".06pt" strokecolor="#000000"/>
            <v:line style="position:absolute" from="1,41" to="170,41" stroked="true" strokeweight=".06pt" strokecolor="#000000"/>
            <v:line style="position:absolute" from="1,42" to="170,42" stroked="true" strokeweight=".06pt" strokecolor="#000000"/>
            <v:line style="position:absolute" from="1,43" to="170,43" stroked="true" strokeweight=".06pt" strokecolor="#000000"/>
            <v:line style="position:absolute" from="1,44" to="170,44" stroked="true" strokeweight=".06pt" strokecolor="#000000"/>
            <v:line style="position:absolute" from="1,45" to="170,45" stroked="true" strokeweight=".06pt" strokecolor="#000000"/>
            <v:line style="position:absolute" from="1,47" to="170,47" stroked="true" strokeweight=".06pt" strokecolor="#000000"/>
            <v:line style="position:absolute" from="1,48" to="170,48" stroked="true" strokeweight=".06pt" strokecolor="#000000"/>
            <v:line style="position:absolute" from="1,49" to="170,49" stroked="true" strokeweight=".06pt" strokecolor="#000000"/>
            <v:line style="position:absolute" from="170,1" to="1467,1" stroked="true" strokeweight=".06pt" strokecolor="#000000"/>
            <v:line style="position:absolute" from="170,2" to="1467,2" stroked="true" strokeweight=".06pt" strokecolor="#000000"/>
            <v:line style="position:absolute" from="170,3" to="1467,3" stroked="true" strokeweight=".06pt" strokecolor="#000000"/>
            <v:line style="position:absolute" from="170,5" to="1467,5" stroked="true" strokeweight=".06pt" strokecolor="#000000"/>
            <v:line style="position:absolute" from="170,6" to="1467,6" stroked="true" strokeweight=".06pt" strokecolor="#000000"/>
            <v:line style="position:absolute" from="170,7" to="1467,7" stroked="true" strokeweight=".06pt" strokecolor="#000000"/>
            <v:line style="position:absolute" from="170,8" to="1467,8" stroked="true" strokeweight=".06pt" strokecolor="#000000"/>
            <v:line style="position:absolute" from="170,9" to="1467,9" stroked="true" strokeweight=".06pt" strokecolor="#000000"/>
            <v:line style="position:absolute" from="170,11" to="1467,11" stroked="true" strokeweight=".06pt" strokecolor="#000000"/>
            <v:line style="position:absolute" from="170,12" to="1467,12" stroked="true" strokeweight=".06pt" strokecolor="#000000"/>
            <v:line style="position:absolute" from="170,13" to="1467,13" stroked="true" strokeweight=".06pt" strokecolor="#000000"/>
            <v:line style="position:absolute" from="170,14" to="1467,14" stroked="true" strokeweight=".06pt" strokecolor="#000000"/>
            <v:line style="position:absolute" from="170,15" to="1467,15" stroked="true" strokeweight=".06pt" strokecolor="#000000"/>
            <v:line style="position:absolute" from="170,35" to="1467,35" stroked="true" strokeweight=".06pt" strokecolor="#000000"/>
            <v:line style="position:absolute" from="170,36" to="1467,36" stroked="true" strokeweight=".06pt" strokecolor="#000000"/>
            <v:line style="position:absolute" from="170,37" to="1467,37" stroked="true" strokeweight=".06pt" strokecolor="#000000"/>
            <v:line style="position:absolute" from="170,38" to="1467,38" stroked="true" strokeweight=".06pt" strokecolor="#000000"/>
            <v:line style="position:absolute" from="170,39" to="1467,39" stroked="true" strokeweight=".06pt" strokecolor="#000000"/>
            <v:line style="position:absolute" from="170,41" to="1467,41" stroked="true" strokeweight=".06pt" strokecolor="#000000"/>
            <v:line style="position:absolute" from="170,42" to="1467,42" stroked="true" strokeweight=".06pt" strokecolor="#000000"/>
            <v:line style="position:absolute" from="170,43" to="1467,43" stroked="true" strokeweight=".06pt" strokecolor="#000000"/>
            <v:line style="position:absolute" from="170,44" to="1467,44" stroked="true" strokeweight=".06pt" strokecolor="#000000"/>
            <v:line style="position:absolute" from="170,45" to="1467,45" stroked="true" strokeweight=".06pt" strokecolor="#000000"/>
            <v:line style="position:absolute" from="170,47" to="1467,47" stroked="true" strokeweight=".06pt" strokecolor="#000000"/>
            <v:line style="position:absolute" from="170,48" to="1467,48" stroked="true" strokeweight=".06pt" strokecolor="#000000"/>
            <v:line style="position:absolute" from="170,49" to="1467,49" stroked="true" strokeweight=".06pt" strokecolor="#000000"/>
            <v:line style="position:absolute" from="1467,1" to="2765,1" stroked="true" strokeweight=".06pt" strokecolor="#000000"/>
            <v:line style="position:absolute" from="1467,2" to="2765,2" stroked="true" strokeweight=".06pt" strokecolor="#000000"/>
            <v:line style="position:absolute" from="1467,3" to="2765,3" stroked="true" strokeweight=".06pt" strokecolor="#000000"/>
            <v:line style="position:absolute" from="1467,5" to="2765,5" stroked="true" strokeweight=".06pt" strokecolor="#000000"/>
            <v:line style="position:absolute" from="1467,6" to="2765,6" stroked="true" strokeweight=".06pt" strokecolor="#000000"/>
            <v:line style="position:absolute" from="1467,7" to="2765,7" stroked="true" strokeweight=".06pt" strokecolor="#000000"/>
            <v:line style="position:absolute" from="1467,8" to="2765,8" stroked="true" strokeweight=".06pt" strokecolor="#000000"/>
            <v:line style="position:absolute" from="1467,9" to="2765,9" stroked="true" strokeweight=".06pt" strokecolor="#000000"/>
            <v:line style="position:absolute" from="1467,11" to="2765,11" stroked="true" strokeweight=".06pt" strokecolor="#000000"/>
            <v:line style="position:absolute" from="1467,12" to="2765,12" stroked="true" strokeweight=".06pt" strokecolor="#000000"/>
            <v:line style="position:absolute" from="1467,13" to="2765,13" stroked="true" strokeweight=".06pt" strokecolor="#000000"/>
            <v:line style="position:absolute" from="1467,14" to="2765,14" stroked="true" strokeweight=".06pt" strokecolor="#000000"/>
            <v:line style="position:absolute" from="1467,15" to="2765,15" stroked="true" strokeweight=".06pt" strokecolor="#000000"/>
            <v:line style="position:absolute" from="1467,35" to="2765,35" stroked="true" strokeweight=".06pt" strokecolor="#000000"/>
            <v:line style="position:absolute" from="1467,36" to="2765,36" stroked="true" strokeweight=".06pt" strokecolor="#000000"/>
            <v:line style="position:absolute" from="1467,37" to="2765,37" stroked="true" strokeweight=".06pt" strokecolor="#000000"/>
            <v:line style="position:absolute" from="1467,38" to="2765,38" stroked="true" strokeweight=".06pt" strokecolor="#000000"/>
            <v:line style="position:absolute" from="1467,39" to="2765,39" stroked="true" strokeweight=".06pt" strokecolor="#000000"/>
            <v:line style="position:absolute" from="1467,41" to="2765,41" stroked="true" strokeweight=".06pt" strokecolor="#000000"/>
            <v:line style="position:absolute" from="1467,42" to="2765,42" stroked="true" strokeweight=".06pt" strokecolor="#000000"/>
            <v:line style="position:absolute" from="1467,43" to="2765,43" stroked="true" strokeweight=".06pt" strokecolor="#000000"/>
            <v:line style="position:absolute" from="1467,44" to="2765,44" stroked="true" strokeweight=".06pt" strokecolor="#000000"/>
            <v:line style="position:absolute" from="1467,45" to="2765,45" stroked="true" strokeweight=".06pt" strokecolor="#000000"/>
            <v:line style="position:absolute" from="1467,47" to="2765,47" stroked="true" strokeweight=".06pt" strokecolor="#000000"/>
            <v:line style="position:absolute" from="1467,48" to="2765,48" stroked="true" strokeweight=".06pt" strokecolor="#000000"/>
            <v:line style="position:absolute" from="1467,49" to="2765,49" stroked="true" strokeweight=".06pt" strokecolor="#000000"/>
            <v:line style="position:absolute" from="2765,1" to="2934,1" stroked="true" strokeweight=".06pt" strokecolor="#000000"/>
            <v:line style="position:absolute" from="2765,2" to="2934,2" stroked="true" strokeweight=".06pt" strokecolor="#000000"/>
            <v:line style="position:absolute" from="2765,3" to="2934,3" stroked="true" strokeweight=".06pt" strokecolor="#000000"/>
            <v:line style="position:absolute" from="2765,5" to="2934,5" stroked="true" strokeweight=".06pt" strokecolor="#000000"/>
            <v:line style="position:absolute" from="2765,6" to="2934,6" stroked="true" strokeweight=".06pt" strokecolor="#000000"/>
            <v:line style="position:absolute" from="2765,7" to="2934,7" stroked="true" strokeweight=".06pt" strokecolor="#000000"/>
            <v:line style="position:absolute" from="2765,8" to="2934,8" stroked="true" strokeweight=".06pt" strokecolor="#000000"/>
            <v:line style="position:absolute" from="2765,9" to="2934,9" stroked="true" strokeweight=".06pt" strokecolor="#000000"/>
            <v:line style="position:absolute" from="2765,11" to="2934,11" stroked="true" strokeweight=".06pt" strokecolor="#000000"/>
            <v:line style="position:absolute" from="2765,12" to="2934,12" stroked="true" strokeweight=".06pt" strokecolor="#000000"/>
            <v:line style="position:absolute" from="2765,13" to="2934,13" stroked="true" strokeweight=".06pt" strokecolor="#000000"/>
            <v:line style="position:absolute" from="2765,14" to="2934,14" stroked="true" strokeweight=".06pt" strokecolor="#000000"/>
            <v:line style="position:absolute" from="2765,15" to="2934,15" stroked="true" strokeweight=".06pt" strokecolor="#000000"/>
            <v:line style="position:absolute" from="2765,35" to="2934,35" stroked="true" strokeweight=".06pt" strokecolor="#000000"/>
            <v:line style="position:absolute" from="2765,36" to="2934,36" stroked="true" strokeweight=".06pt" strokecolor="#000000"/>
            <v:line style="position:absolute" from="2765,37" to="2934,37" stroked="true" strokeweight=".06pt" strokecolor="#000000"/>
            <v:line style="position:absolute" from="2765,38" to="2934,38" stroked="true" strokeweight=".06pt" strokecolor="#000000"/>
            <v:line style="position:absolute" from="2765,39" to="2934,39" stroked="true" strokeweight=".06pt" strokecolor="#000000"/>
            <v:line style="position:absolute" from="2765,41" to="2934,41" stroked="true" strokeweight=".06pt" strokecolor="#000000"/>
            <v:line style="position:absolute" from="2765,42" to="2934,42" stroked="true" strokeweight=".06pt" strokecolor="#000000"/>
            <v:line style="position:absolute" from="2765,43" to="2934,43" stroked="true" strokeweight=".06pt" strokecolor="#000000"/>
            <v:line style="position:absolute" from="2765,44" to="2934,44" stroked="true" strokeweight=".06pt" strokecolor="#000000"/>
            <v:line style="position:absolute" from="2765,45" to="2934,45" stroked="true" strokeweight=".06pt" strokecolor="#000000"/>
            <v:line style="position:absolute" from="2765,47" to="2934,47" stroked="true" strokeweight=".06pt" strokecolor="#000000"/>
            <v:line style="position:absolute" from="2765,48" to="2934,48" stroked="true" strokeweight=".06pt" strokecolor="#000000"/>
            <v:line style="position:absolute" from="2765,49" to="2934,49" stroked="true" strokeweight=".06pt" strokecolor="#000000"/>
            <v:line style="position:absolute" from="2934,1" to="4231,1" stroked="true" strokeweight=".06pt" strokecolor="#000000"/>
            <v:line style="position:absolute" from="2934,2" to="4231,2" stroked="true" strokeweight=".06pt" strokecolor="#000000"/>
            <v:line style="position:absolute" from="2934,3" to="4231,3" stroked="true" strokeweight=".06pt" strokecolor="#000000"/>
            <v:line style="position:absolute" from="2934,5" to="4231,5" stroked="true" strokeweight=".06pt" strokecolor="#000000"/>
            <v:line style="position:absolute" from="2934,6" to="4231,6" stroked="true" strokeweight=".06pt" strokecolor="#000000"/>
            <v:line style="position:absolute" from="2934,7" to="4231,7" stroked="true" strokeweight=".06pt" strokecolor="#000000"/>
            <v:line style="position:absolute" from="2934,8" to="4231,8" stroked="true" strokeweight=".06pt" strokecolor="#000000"/>
            <v:line style="position:absolute" from="2934,9" to="4231,9" stroked="true" strokeweight=".06pt" strokecolor="#000000"/>
            <v:line style="position:absolute" from="2934,11" to="4231,11" stroked="true" strokeweight=".06pt" strokecolor="#000000"/>
            <v:line style="position:absolute" from="2934,12" to="4231,12" stroked="true" strokeweight=".06pt" strokecolor="#000000"/>
            <v:line style="position:absolute" from="2934,13" to="4231,13" stroked="true" strokeweight=".06pt" strokecolor="#000000"/>
            <v:line style="position:absolute" from="2934,14" to="4231,14" stroked="true" strokeweight=".06pt" strokecolor="#000000"/>
            <v:line style="position:absolute" from="2934,15" to="4231,15" stroked="true" strokeweight=".06pt" strokecolor="#000000"/>
            <v:line style="position:absolute" from="2934,35" to="4231,35" stroked="true" strokeweight=".06pt" strokecolor="#000000"/>
            <v:line style="position:absolute" from="2934,36" to="4231,36" stroked="true" strokeweight=".06pt" strokecolor="#000000"/>
            <v:line style="position:absolute" from="2934,37" to="4231,37" stroked="true" strokeweight=".06pt" strokecolor="#000000"/>
            <v:line style="position:absolute" from="2934,38" to="4231,38" stroked="true" strokeweight=".06pt" strokecolor="#000000"/>
            <v:line style="position:absolute" from="2934,39" to="4231,39" stroked="true" strokeweight=".06pt" strokecolor="#000000"/>
            <v:line style="position:absolute" from="2934,41" to="4231,41" stroked="true" strokeweight=".06pt" strokecolor="#000000"/>
            <v:line style="position:absolute" from="2934,42" to="4231,42" stroked="true" strokeweight=".06pt" strokecolor="#000000"/>
            <v:line style="position:absolute" from="2934,43" to="4231,43" stroked="true" strokeweight=".06pt" strokecolor="#000000"/>
            <v:line style="position:absolute" from="2934,44" to="4231,44" stroked="true" strokeweight=".06pt" strokecolor="#000000"/>
            <v:line style="position:absolute" from="2934,45" to="4231,45" stroked="true" strokeweight=".06pt" strokecolor="#000000"/>
            <v:line style="position:absolute" from="2934,47" to="4231,47" stroked="true" strokeweight=".06pt" strokecolor="#000000"/>
            <v:line style="position:absolute" from="2934,48" to="4231,48" stroked="true" strokeweight=".06pt" strokecolor="#000000"/>
            <v:line style="position:absolute" from="2934,49" to="4231,49" stroked="true" strokeweight=".06pt" strokecolor="#000000"/>
            <v:line style="position:absolute" from="4231,1" to="5528,1" stroked="true" strokeweight=".06pt" strokecolor="#000000"/>
            <v:line style="position:absolute" from="4231,2" to="5528,2" stroked="true" strokeweight=".06pt" strokecolor="#000000"/>
            <v:line style="position:absolute" from="4231,3" to="5528,3" stroked="true" strokeweight=".06pt" strokecolor="#000000"/>
            <v:line style="position:absolute" from="4231,5" to="5528,5" stroked="true" strokeweight=".06pt" strokecolor="#000000"/>
            <v:line style="position:absolute" from="4231,6" to="5528,6" stroked="true" strokeweight=".06pt" strokecolor="#000000"/>
            <v:line style="position:absolute" from="4231,7" to="5528,7" stroked="true" strokeweight=".06pt" strokecolor="#000000"/>
            <v:line style="position:absolute" from="4231,8" to="5528,8" stroked="true" strokeweight=".06pt" strokecolor="#000000"/>
            <v:line style="position:absolute" from="4231,9" to="5528,9" stroked="true" strokeweight=".06pt" strokecolor="#000000"/>
            <v:line style="position:absolute" from="4231,11" to="5528,11" stroked="true" strokeweight=".06pt" strokecolor="#000000"/>
            <v:line style="position:absolute" from="4231,12" to="5528,12" stroked="true" strokeweight=".06pt" strokecolor="#000000"/>
            <v:line style="position:absolute" from="4231,13" to="5528,13" stroked="true" strokeweight=".06pt" strokecolor="#000000"/>
            <v:line style="position:absolute" from="4231,14" to="5528,14" stroked="true" strokeweight=".06pt" strokecolor="#000000"/>
            <v:line style="position:absolute" from="4231,15" to="5528,15" stroked="true" strokeweight=".06pt" strokecolor="#000000"/>
            <v:line style="position:absolute" from="4231,35" to="5528,35" stroked="true" strokeweight=".06pt" strokecolor="#000000"/>
            <v:line style="position:absolute" from="4231,36" to="5528,36" stroked="true" strokeweight=".06pt" strokecolor="#000000"/>
            <v:line style="position:absolute" from="4231,37" to="5528,37" stroked="true" strokeweight=".06pt" strokecolor="#000000"/>
            <v:line style="position:absolute" from="4231,38" to="5528,38" stroked="true" strokeweight=".06pt" strokecolor="#000000"/>
            <v:line style="position:absolute" from="4231,39" to="5528,39" stroked="true" strokeweight=".06pt" strokecolor="#000000"/>
            <v:line style="position:absolute" from="4231,41" to="5528,41" stroked="true" strokeweight=".06pt" strokecolor="#000000"/>
            <v:line style="position:absolute" from="4231,42" to="5528,42" stroked="true" strokeweight=".06pt" strokecolor="#000000"/>
            <v:line style="position:absolute" from="4231,43" to="5528,43" stroked="true" strokeweight=".06pt" strokecolor="#000000"/>
            <v:line style="position:absolute" from="4231,44" to="5528,44" stroked="true" strokeweight=".06pt" strokecolor="#000000"/>
            <v:line style="position:absolute" from="4231,45" to="5528,45" stroked="true" strokeweight=".06pt" strokecolor="#000000"/>
            <v:line style="position:absolute" from="4231,47" to="5528,47" stroked="true" strokeweight=".06pt" strokecolor="#000000"/>
            <v:line style="position:absolute" from="4231,48" to="5528,48" stroked="true" strokeweight=".06pt" strokecolor="#000000"/>
            <v:line style="position:absolute" from="4231,49" to="5528,49" stroked="true" strokeweight=".06pt" strokecolor="#000000"/>
          </v:group>
        </w:pict>
      </w:r>
      <w:r>
        <w:rPr>
          <w:position w:val="0"/>
          <w:sz w:val="4"/>
        </w:rPr>
      </w:r>
    </w:p>
    <w:p>
      <w:pPr>
        <w:pStyle w:val="BodyText"/>
        <w:rPr>
          <w:sz w:val="20"/>
        </w:rPr>
      </w:pPr>
    </w:p>
    <w:p>
      <w:pPr>
        <w:pStyle w:val="BodyText"/>
        <w:spacing w:before="1"/>
        <w:rPr>
          <w:sz w:val="19"/>
        </w:rPr>
      </w:pPr>
    </w:p>
    <w:p>
      <w:pPr>
        <w:pStyle w:val="Heading9"/>
        <w:tabs>
          <w:tab w:pos="7284" w:val="left" w:leader="none"/>
        </w:tabs>
        <w:spacing w:before="77"/>
        <w:ind w:left="4520" w:right="128"/>
      </w:pPr>
      <w:r>
        <w:rPr/>
        <w:t>Consolidated</w:t>
        <w:tab/>
        <w:t>Parent</w:t>
      </w:r>
    </w:p>
    <w:p>
      <w:pPr>
        <w:spacing w:after="0"/>
        <w:sectPr>
          <w:type w:val="continuous"/>
          <w:pgSz w:w="11910" w:h="16840"/>
          <w:pgMar w:top="0" w:bottom="280" w:left="900" w:right="880"/>
        </w:sectPr>
      </w:pPr>
    </w:p>
    <w:p>
      <w:pPr>
        <w:pStyle w:val="BodyText"/>
        <w:rPr>
          <w:b/>
        </w:rPr>
      </w:pPr>
    </w:p>
    <w:p>
      <w:pPr>
        <w:pStyle w:val="BodyText"/>
        <w:rPr>
          <w:b/>
        </w:rPr>
      </w:pPr>
    </w:p>
    <w:p>
      <w:pPr>
        <w:pStyle w:val="BodyText"/>
        <w:spacing w:before="3"/>
        <w:rPr>
          <w:b/>
          <w:sz w:val="24"/>
        </w:rPr>
      </w:pPr>
    </w:p>
    <w:p>
      <w:pPr>
        <w:spacing w:before="0"/>
        <w:ind w:left="505" w:right="-19" w:firstLine="0"/>
        <w:jc w:val="left"/>
        <w:rPr>
          <w:b/>
          <w:sz w:val="18"/>
        </w:rPr>
      </w:pPr>
      <w:r>
        <w:rPr>
          <w:b/>
          <w:sz w:val="18"/>
        </w:rPr>
        <w:t>Non-current</w:t>
      </w:r>
    </w:p>
    <w:p>
      <w:pPr>
        <w:pStyle w:val="BodyText"/>
        <w:spacing w:before="112"/>
        <w:ind w:left="505" w:right="-19"/>
      </w:pPr>
      <w:r>
        <w:rPr/>
        <w:t>Unsecured</w:t>
      </w:r>
    </w:p>
    <w:p>
      <w:pPr>
        <w:pStyle w:val="Heading9"/>
        <w:spacing w:before="66"/>
        <w:ind w:left="505" w:right="-20"/>
      </w:pPr>
      <w:r>
        <w:rPr>
          <w:b w:val="0"/>
        </w:rPr>
        <w:br w:type="column"/>
      </w:r>
      <w:r>
        <w:rPr/>
        <w:t>2012</w:t>
      </w:r>
    </w:p>
    <w:p>
      <w:pPr>
        <w:spacing w:before="66"/>
        <w:ind w:left="505" w:right="-20" w:firstLine="0"/>
        <w:jc w:val="left"/>
        <w:rPr>
          <w:b/>
          <w:sz w:val="18"/>
        </w:rPr>
      </w:pPr>
      <w:r>
        <w:rPr>
          <w:b/>
          <w:sz w:val="18"/>
        </w:rPr>
        <w:t>$'000</w:t>
      </w:r>
    </w:p>
    <w:p>
      <w:pPr>
        <w:spacing w:before="66"/>
        <w:ind w:left="505" w:right="-20" w:firstLine="0"/>
        <w:jc w:val="left"/>
        <w:rPr>
          <w:b/>
          <w:sz w:val="18"/>
        </w:rPr>
      </w:pPr>
      <w:r>
        <w:rPr/>
        <w:br w:type="column"/>
      </w:r>
      <w:r>
        <w:rPr>
          <w:b/>
          <w:sz w:val="18"/>
        </w:rPr>
        <w:t>2011</w:t>
      </w:r>
    </w:p>
    <w:p>
      <w:pPr>
        <w:spacing w:before="66"/>
        <w:ind w:left="505" w:right="-20" w:firstLine="0"/>
        <w:jc w:val="left"/>
        <w:rPr>
          <w:b/>
          <w:sz w:val="18"/>
        </w:rPr>
      </w:pPr>
      <w:r>
        <w:rPr>
          <w:b/>
          <w:sz w:val="18"/>
        </w:rPr>
        <w:t>$'000</w:t>
      </w:r>
    </w:p>
    <w:p>
      <w:pPr>
        <w:spacing w:before="66"/>
        <w:ind w:left="505" w:right="-20" w:firstLine="0"/>
        <w:jc w:val="left"/>
        <w:rPr>
          <w:b/>
          <w:sz w:val="18"/>
        </w:rPr>
      </w:pPr>
      <w:r>
        <w:rPr/>
        <w:br w:type="column"/>
      </w:r>
      <w:r>
        <w:rPr>
          <w:b/>
          <w:sz w:val="18"/>
        </w:rPr>
        <w:t>2012</w:t>
      </w:r>
    </w:p>
    <w:p>
      <w:pPr>
        <w:spacing w:before="66"/>
        <w:ind w:left="505" w:right="-20" w:firstLine="0"/>
        <w:jc w:val="left"/>
        <w:rPr>
          <w:b/>
          <w:sz w:val="18"/>
        </w:rPr>
      </w:pPr>
      <w:r>
        <w:rPr>
          <w:b/>
          <w:sz w:val="18"/>
        </w:rPr>
        <w:t>$'000</w:t>
      </w:r>
    </w:p>
    <w:p>
      <w:pPr>
        <w:spacing w:before="66"/>
        <w:ind w:left="505" w:right="0" w:firstLine="0"/>
        <w:jc w:val="left"/>
        <w:rPr>
          <w:b/>
          <w:sz w:val="18"/>
        </w:rPr>
      </w:pPr>
      <w:r>
        <w:rPr/>
        <w:br w:type="column"/>
      </w:r>
      <w:r>
        <w:rPr>
          <w:b/>
          <w:sz w:val="18"/>
        </w:rPr>
        <w:t>2011</w:t>
      </w:r>
    </w:p>
    <w:p>
      <w:pPr>
        <w:spacing w:before="66"/>
        <w:ind w:left="505" w:right="0" w:firstLine="0"/>
        <w:jc w:val="left"/>
        <w:rPr>
          <w:b/>
          <w:sz w:val="18"/>
        </w:rPr>
      </w:pPr>
      <w:r>
        <w:rPr>
          <w:b/>
          <w:sz w:val="18"/>
        </w:rPr>
        <w:t>$'000</w:t>
      </w:r>
    </w:p>
    <w:p>
      <w:pPr>
        <w:spacing w:after="0"/>
        <w:jc w:val="left"/>
        <w:rPr>
          <w:sz w:val="18"/>
        </w:rPr>
        <w:sectPr>
          <w:type w:val="continuous"/>
          <w:pgSz w:w="11910" w:h="16840"/>
          <w:pgMar w:top="0" w:bottom="280" w:left="900" w:right="880"/>
          <w:cols w:num="5" w:equalWidth="0">
            <w:col w:w="1536" w:space="2650"/>
            <w:col w:w="949" w:space="321"/>
            <w:col w:w="949" w:space="545"/>
            <w:col w:w="949" w:space="321"/>
            <w:col w:w="1910"/>
          </w:cols>
        </w:sectPr>
      </w:pPr>
    </w:p>
    <w:p>
      <w:pPr>
        <w:tabs>
          <w:tab w:pos="5323" w:val="left" w:leader="none"/>
          <w:tab w:pos="6621" w:val="left" w:leader="none"/>
          <w:tab w:pos="8086" w:val="left" w:leader="none"/>
          <w:tab w:pos="9385" w:val="left" w:leader="none"/>
        </w:tabs>
        <w:spacing w:before="29"/>
        <w:ind w:left="861" w:right="128" w:firstLine="0"/>
        <w:jc w:val="left"/>
        <w:rPr>
          <w:sz w:val="18"/>
        </w:rPr>
      </w:pPr>
      <w:r>
        <w:rPr/>
        <w:pict>
          <v:group style="position:absolute;margin-left:269.649994pt;margin-top:13.088201pt;width:276.5pt;height:1pt;mso-position-horizontal-relative:page;mso-position-vertical-relative:paragraph;z-index:3304;mso-wrap-distance-left:0;mso-wrap-distance-right:0" coordorigin="5393,262" coordsize="5530,20">
            <v:line style="position:absolute" from="5394,263" to="5563,263" stroked="true" strokeweight=".06pt" strokecolor="#000000"/>
            <v:line style="position:absolute" from="5394,264" to="5563,264" stroked="true" strokeweight=".06pt" strokecolor="#000000"/>
            <v:line style="position:absolute" from="5394,265" to="5563,265" stroked="true" strokeweight=".06pt" strokecolor="#000000"/>
            <v:line style="position:absolute" from="5394,266" to="5563,266" stroked="true" strokeweight=".06pt" strokecolor="#000000"/>
            <v:line style="position:absolute" from="5394,268" to="5563,268" stroked="true" strokeweight=".06pt" strokecolor="#000000"/>
            <v:line style="position:absolute" from="5394,269" to="5563,269" stroked="true" strokeweight=".06pt" strokecolor="#000000"/>
            <v:line style="position:absolute" from="5394,270" to="5563,270" stroked="true" strokeweight=".06pt" strokecolor="#000000"/>
            <v:line style="position:absolute" from="5394,271" to="5563,271" stroked="true" strokeweight=".06pt" strokecolor="#000000"/>
            <v:line style="position:absolute" from="5394,272" to="5563,272" stroked="true" strokeweight=".06pt" strokecolor="#000000"/>
            <v:line style="position:absolute" from="5394,274" to="5563,274" stroked="true" strokeweight=".06pt" strokecolor="#000000"/>
            <v:line style="position:absolute" from="5394,275" to="5563,275" stroked="true" strokeweight=".06pt" strokecolor="#000000"/>
            <v:line style="position:absolute" from="5394,276" to="5563,276" stroked="true" strokeweight=".06pt" strokecolor="#000000"/>
            <v:line style="position:absolute" from="5394,277" to="5563,277" stroked="true" strokeweight=".06pt" strokecolor="#000000"/>
            <v:line style="position:absolute" from="5394,278" to="5563,278" stroked="true" strokeweight=".06pt" strokecolor="#000000"/>
            <v:line style="position:absolute" from="5394,280" to="5563,280" stroked="true" strokeweight=".06pt" strokecolor="#000000"/>
            <v:line style="position:absolute" from="5394,281" to="5563,281" stroked="true" strokeweight=".06pt" strokecolor="#000000"/>
            <v:line style="position:absolute" from="5563,263" to="6860,263" stroked="true" strokeweight=".06pt" strokecolor="#000000"/>
            <v:line style="position:absolute" from="5563,264" to="6860,264" stroked="true" strokeweight=".06pt" strokecolor="#000000"/>
            <v:line style="position:absolute" from="5563,265" to="6860,265" stroked="true" strokeweight=".06pt" strokecolor="#000000"/>
            <v:line style="position:absolute" from="5563,266" to="6860,266" stroked="true" strokeweight=".06pt" strokecolor="#000000"/>
            <v:line style="position:absolute" from="5563,268" to="6860,268" stroked="true" strokeweight=".06pt" strokecolor="#000000"/>
            <v:line style="position:absolute" from="5563,269" to="6860,269" stroked="true" strokeweight=".06pt" strokecolor="#000000"/>
            <v:line style="position:absolute" from="5563,270" to="6860,270" stroked="true" strokeweight=".06pt" strokecolor="#000000"/>
            <v:line style="position:absolute" from="5563,271" to="6860,271" stroked="true" strokeweight=".06pt" strokecolor="#000000"/>
            <v:line style="position:absolute" from="5563,272" to="6860,272" stroked="true" strokeweight=".06pt" strokecolor="#000000"/>
            <v:line style="position:absolute" from="5563,274" to="6860,274" stroked="true" strokeweight=".06pt" strokecolor="#000000"/>
            <v:line style="position:absolute" from="5563,275" to="6860,275" stroked="true" strokeweight=".06pt" strokecolor="#000000"/>
            <v:line style="position:absolute" from="5563,276" to="6860,276" stroked="true" strokeweight=".06pt" strokecolor="#000000"/>
            <v:line style="position:absolute" from="5563,277" to="6860,277" stroked="true" strokeweight=".06pt" strokecolor="#000000"/>
            <v:line style="position:absolute" from="5563,278" to="6860,278" stroked="true" strokeweight=".06pt" strokecolor="#000000"/>
            <v:line style="position:absolute" from="5563,280" to="6860,280" stroked="true" strokeweight=".06pt" strokecolor="#000000"/>
            <v:line style="position:absolute" from="5563,281" to="6860,281" stroked="true" strokeweight=".06pt" strokecolor="#000000"/>
            <v:line style="position:absolute" from="6860,263" to="8158,263" stroked="true" strokeweight=".06pt" strokecolor="#000000"/>
            <v:line style="position:absolute" from="6860,264" to="8158,264" stroked="true" strokeweight=".06pt" strokecolor="#000000"/>
            <v:line style="position:absolute" from="6860,265" to="8158,265" stroked="true" strokeweight=".06pt" strokecolor="#000000"/>
            <v:line style="position:absolute" from="6860,266" to="8158,266" stroked="true" strokeweight=".06pt" strokecolor="#000000"/>
            <v:line style="position:absolute" from="6860,268" to="8158,268" stroked="true" strokeweight=".06pt" strokecolor="#000000"/>
            <v:line style="position:absolute" from="6860,269" to="8158,269" stroked="true" strokeweight=".06pt" strokecolor="#000000"/>
            <v:line style="position:absolute" from="6860,270" to="8158,270" stroked="true" strokeweight=".06pt" strokecolor="#000000"/>
            <v:line style="position:absolute" from="6860,271" to="8158,271" stroked="true" strokeweight=".06pt" strokecolor="#000000"/>
            <v:line style="position:absolute" from="6860,272" to="8158,272" stroked="true" strokeweight=".06pt" strokecolor="#000000"/>
            <v:line style="position:absolute" from="6860,274" to="8158,274" stroked="true" strokeweight=".06pt" strokecolor="#000000"/>
            <v:line style="position:absolute" from="6860,275" to="8158,275" stroked="true" strokeweight=".06pt" strokecolor="#000000"/>
            <v:line style="position:absolute" from="6860,276" to="8158,276" stroked="true" strokeweight=".06pt" strokecolor="#000000"/>
            <v:line style="position:absolute" from="6860,277" to="8158,277" stroked="true" strokeweight=".06pt" strokecolor="#000000"/>
            <v:line style="position:absolute" from="6860,278" to="8158,278" stroked="true" strokeweight=".06pt" strokecolor="#000000"/>
            <v:line style="position:absolute" from="6860,280" to="8158,280" stroked="true" strokeweight=".06pt" strokecolor="#000000"/>
            <v:line style="position:absolute" from="6860,281" to="8158,281" stroked="true" strokeweight=".06pt" strokecolor="#000000"/>
            <v:line style="position:absolute" from="8158,263" to="8327,263" stroked="true" strokeweight=".06pt" strokecolor="#000000"/>
            <v:line style="position:absolute" from="8158,264" to="8327,264" stroked="true" strokeweight=".06pt" strokecolor="#000000"/>
            <v:line style="position:absolute" from="8158,265" to="8327,265" stroked="true" strokeweight=".06pt" strokecolor="#000000"/>
            <v:line style="position:absolute" from="8158,266" to="8327,266" stroked="true" strokeweight=".06pt" strokecolor="#000000"/>
            <v:line style="position:absolute" from="8158,268" to="8327,268" stroked="true" strokeweight=".06pt" strokecolor="#000000"/>
            <v:line style="position:absolute" from="8158,269" to="8327,269" stroked="true" strokeweight=".06pt" strokecolor="#000000"/>
            <v:line style="position:absolute" from="8158,270" to="8327,270" stroked="true" strokeweight=".06pt" strokecolor="#000000"/>
            <v:line style="position:absolute" from="8158,271" to="8327,271" stroked="true" strokeweight=".06pt" strokecolor="#000000"/>
            <v:line style="position:absolute" from="8158,272" to="8327,272" stroked="true" strokeweight=".06pt" strokecolor="#000000"/>
            <v:line style="position:absolute" from="8158,274" to="8327,274" stroked="true" strokeweight=".06pt" strokecolor="#000000"/>
            <v:line style="position:absolute" from="8158,275" to="8327,275" stroked="true" strokeweight=".06pt" strokecolor="#000000"/>
            <v:line style="position:absolute" from="8158,276" to="8327,276" stroked="true" strokeweight=".06pt" strokecolor="#000000"/>
            <v:line style="position:absolute" from="8158,277" to="8327,277" stroked="true" strokeweight=".06pt" strokecolor="#000000"/>
            <v:line style="position:absolute" from="8158,278" to="8327,278" stroked="true" strokeweight=".06pt" strokecolor="#000000"/>
            <v:line style="position:absolute" from="8158,280" to="8327,280" stroked="true" strokeweight=".06pt" strokecolor="#000000"/>
            <v:line style="position:absolute" from="8158,281" to="8327,281" stroked="true" strokeweight=".06pt" strokecolor="#000000"/>
            <v:line style="position:absolute" from="8327,263" to="9624,263" stroked="true" strokeweight=".06pt" strokecolor="#000000"/>
            <v:line style="position:absolute" from="8327,264" to="9624,264" stroked="true" strokeweight=".06pt" strokecolor="#000000"/>
            <v:line style="position:absolute" from="8327,265" to="9624,265" stroked="true" strokeweight=".06pt" strokecolor="#000000"/>
            <v:line style="position:absolute" from="8327,266" to="9624,266" stroked="true" strokeweight=".06pt" strokecolor="#000000"/>
            <v:line style="position:absolute" from="8327,268" to="9624,268" stroked="true" strokeweight=".06pt" strokecolor="#000000"/>
            <v:line style="position:absolute" from="8327,269" to="9624,269" stroked="true" strokeweight=".06pt" strokecolor="#000000"/>
            <v:line style="position:absolute" from="8327,270" to="9624,270" stroked="true" strokeweight=".06pt" strokecolor="#000000"/>
            <v:line style="position:absolute" from="8327,271" to="9624,271" stroked="true" strokeweight=".06pt" strokecolor="#000000"/>
            <v:line style="position:absolute" from="8327,272" to="9624,272" stroked="true" strokeweight=".06pt" strokecolor="#000000"/>
            <v:line style="position:absolute" from="8327,274" to="9624,274" stroked="true" strokeweight=".06pt" strokecolor="#000000"/>
            <v:line style="position:absolute" from="8327,275" to="9624,275" stroked="true" strokeweight=".06pt" strokecolor="#000000"/>
            <v:line style="position:absolute" from="8327,276" to="9624,276" stroked="true" strokeweight=".06pt" strokecolor="#000000"/>
            <v:line style="position:absolute" from="8327,277" to="9624,277" stroked="true" strokeweight=".06pt" strokecolor="#000000"/>
            <v:line style="position:absolute" from="8327,278" to="9624,278" stroked="true" strokeweight=".06pt" strokecolor="#000000"/>
            <v:line style="position:absolute" from="8327,280" to="9624,280" stroked="true" strokeweight=".06pt" strokecolor="#000000"/>
            <v:line style="position:absolute" from="8327,281" to="9624,281" stroked="true" strokeweight=".06pt" strokecolor="#000000"/>
            <v:line style="position:absolute" from="9624,263" to="10921,263" stroked="true" strokeweight=".06pt" strokecolor="#000000"/>
            <v:line style="position:absolute" from="9624,264" to="10921,264" stroked="true" strokeweight=".06pt" strokecolor="#000000"/>
            <v:line style="position:absolute" from="9624,265" to="10921,265" stroked="true" strokeweight=".06pt" strokecolor="#000000"/>
            <v:line style="position:absolute" from="9624,266" to="10921,266" stroked="true" strokeweight=".06pt" strokecolor="#000000"/>
            <v:line style="position:absolute" from="9624,268" to="10921,268" stroked="true" strokeweight=".06pt" strokecolor="#000000"/>
            <v:line style="position:absolute" from="9624,269" to="10921,269" stroked="true" strokeweight=".06pt" strokecolor="#000000"/>
            <v:line style="position:absolute" from="9624,270" to="10921,270" stroked="true" strokeweight=".06pt" strokecolor="#000000"/>
            <v:line style="position:absolute" from="9624,271" to="10921,271" stroked="true" strokeweight=".06pt" strokecolor="#000000"/>
            <v:line style="position:absolute" from="9624,272" to="10921,272" stroked="true" strokeweight=".06pt" strokecolor="#000000"/>
            <v:line style="position:absolute" from="9624,274" to="10921,274" stroked="true" strokeweight=".06pt" strokecolor="#000000"/>
            <v:line style="position:absolute" from="9624,275" to="10921,275" stroked="true" strokeweight=".06pt" strokecolor="#000000"/>
            <v:line style="position:absolute" from="9624,276" to="10921,276" stroked="true" strokeweight=".06pt" strokecolor="#000000"/>
            <v:line style="position:absolute" from="9624,277" to="10921,277" stroked="true" strokeweight=".06pt" strokecolor="#000000"/>
            <v:line style="position:absolute" from="9624,278" to="10921,278" stroked="true" strokeweight=".06pt" strokecolor="#000000"/>
            <v:line style="position:absolute" from="9624,280" to="10921,280" stroked="true" strokeweight=".06pt" strokecolor="#000000"/>
            <v:line style="position:absolute" from="9624,281" to="10921,281" stroked="true" strokeweight=".06pt" strokecolor="#000000"/>
            <w10:wrap type="topAndBottom"/>
          </v:group>
        </w:pict>
      </w:r>
      <w:r>
        <w:rPr>
          <w:sz w:val="18"/>
        </w:rPr>
        <w:t>Bank</w:t>
      </w:r>
      <w:r>
        <w:rPr>
          <w:spacing w:val="-1"/>
          <w:sz w:val="18"/>
        </w:rPr>
        <w:t> </w:t>
      </w:r>
      <w:r>
        <w:rPr>
          <w:sz w:val="18"/>
        </w:rPr>
        <w:t>loans</w:t>
      </w:r>
      <w:r>
        <w:rPr>
          <w:spacing w:val="-4"/>
          <w:sz w:val="18"/>
        </w:rPr>
        <w:t> </w:t>
      </w:r>
      <w:r>
        <w:rPr>
          <w:sz w:val="18"/>
        </w:rPr>
        <w:t>(i)</w:t>
        <w:tab/>
      </w:r>
      <w:r>
        <w:rPr>
          <w:b/>
          <w:sz w:val="18"/>
        </w:rPr>
        <w:t>49,500</w:t>
        <w:tab/>
      </w:r>
      <w:r>
        <w:rPr>
          <w:sz w:val="18"/>
        </w:rPr>
        <w:t>37,000</w:t>
        <w:tab/>
      </w:r>
      <w:r>
        <w:rPr>
          <w:b/>
          <w:sz w:val="18"/>
        </w:rPr>
        <w:t>49,500</w:t>
        <w:tab/>
      </w:r>
      <w:r>
        <w:rPr>
          <w:sz w:val="18"/>
        </w:rPr>
        <w:t>37,000</w:t>
      </w:r>
    </w:p>
    <w:p>
      <w:pPr>
        <w:tabs>
          <w:tab w:pos="5323" w:val="left" w:leader="none"/>
          <w:tab w:pos="6621" w:val="left" w:leader="none"/>
          <w:tab w:pos="8086" w:val="left" w:leader="none"/>
          <w:tab w:pos="9385" w:val="left" w:leader="none"/>
        </w:tabs>
        <w:spacing w:before="84"/>
        <w:ind w:left="505" w:right="128" w:firstLine="0"/>
        <w:jc w:val="left"/>
        <w:rPr>
          <w:sz w:val="18"/>
        </w:rPr>
      </w:pPr>
      <w:r>
        <w:rPr>
          <w:b/>
          <w:sz w:val="18"/>
        </w:rPr>
        <w:t>Total</w:t>
      </w:r>
      <w:r>
        <w:rPr>
          <w:b/>
          <w:spacing w:val="-1"/>
          <w:sz w:val="18"/>
        </w:rPr>
        <w:t> </w:t>
      </w:r>
      <w:r>
        <w:rPr>
          <w:b/>
          <w:sz w:val="18"/>
        </w:rPr>
        <w:t>non-current</w:t>
      </w:r>
      <w:r>
        <w:rPr>
          <w:b/>
          <w:spacing w:val="-1"/>
          <w:sz w:val="18"/>
        </w:rPr>
        <w:t> </w:t>
      </w:r>
      <w:r>
        <w:rPr>
          <w:b/>
          <w:sz w:val="18"/>
        </w:rPr>
        <w:t>borrowings</w:t>
        <w:tab/>
        <w:t>49,500</w:t>
        <w:tab/>
      </w:r>
      <w:r>
        <w:rPr>
          <w:sz w:val="18"/>
        </w:rPr>
        <w:t>37,000</w:t>
        <w:tab/>
      </w:r>
      <w:r>
        <w:rPr>
          <w:b/>
          <w:sz w:val="18"/>
        </w:rPr>
        <w:t>49,500</w:t>
        <w:tab/>
      </w:r>
      <w:r>
        <w:rPr>
          <w:sz w:val="18"/>
        </w:rPr>
        <w:t>37,000</w:t>
      </w:r>
    </w:p>
    <w:p>
      <w:pPr>
        <w:pStyle w:val="BodyText"/>
        <w:spacing w:line="50" w:lineRule="exact"/>
        <w:ind w:left="4493"/>
        <w:rPr>
          <w:sz w:val="5"/>
        </w:rPr>
      </w:pPr>
      <w:r>
        <w:rPr>
          <w:position w:val="0"/>
          <w:sz w:val="5"/>
        </w:rPr>
        <w:pict>
          <v:group style="width:276.5pt;height:2.5pt;mso-position-horizontal-relative:char;mso-position-vertical-relative:line" coordorigin="0,0" coordsize="5530,5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35" to="170,35" stroked="true" strokeweight=".06pt" strokecolor="#000000"/>
            <v:line style="position:absolute" from="1,36" to="170,36" stroked="true" strokeweight=".06pt" strokecolor="#000000"/>
            <v:line style="position:absolute" from="1,37" to="170,37" stroked="true" strokeweight=".06pt" strokecolor="#000000"/>
            <v:line style="position:absolute" from="1,38" to="170,38" stroked="true" strokeweight=".06pt" strokecolor="#000000"/>
            <v:line style="position:absolute" from="1,39" to="170,39" stroked="true" strokeweight=".06pt" strokecolor="#000000"/>
            <v:line style="position:absolute" from="1,41" to="170,41" stroked="true" strokeweight=".06pt" strokecolor="#000000"/>
            <v:line style="position:absolute" from="1,42" to="170,42" stroked="true" strokeweight=".06pt" strokecolor="#000000"/>
            <v:line style="position:absolute" from="1,43" to="170,43" stroked="true" strokeweight=".06pt" strokecolor="#000000"/>
            <v:line style="position:absolute" from="1,44" to="170,44" stroked="true" strokeweight=".06pt" strokecolor="#000000"/>
            <v:line style="position:absolute" from="1,45" to="170,45" stroked="true" strokeweight=".06pt" strokecolor="#000000"/>
            <v:line style="position:absolute" from="1,47" to="170,47" stroked="true" strokeweight=".06pt" strokecolor="#000000"/>
            <v:line style="position:absolute" from="1,48" to="170,48" stroked="true" strokeweight=".06pt" strokecolor="#000000"/>
            <v:line style="position:absolute" from="1,49" to="170,49" stroked="true" strokeweight=".06pt" strokecolor="#000000"/>
            <v:line style="position:absolute" from="170,1" to="1467,1" stroked="true" strokeweight=".06pt" strokecolor="#000000"/>
            <v:line style="position:absolute" from="170,2" to="1467,2" stroked="true" strokeweight=".06pt" strokecolor="#000000"/>
            <v:line style="position:absolute" from="170,3" to="1467,3" stroked="true" strokeweight=".06pt" strokecolor="#000000"/>
            <v:line style="position:absolute" from="170,5" to="1467,5" stroked="true" strokeweight=".06pt" strokecolor="#000000"/>
            <v:line style="position:absolute" from="170,6" to="1467,6" stroked="true" strokeweight=".06pt" strokecolor="#000000"/>
            <v:line style="position:absolute" from="170,7" to="1467,7" stroked="true" strokeweight=".06pt" strokecolor="#000000"/>
            <v:line style="position:absolute" from="170,8" to="1467,8" stroked="true" strokeweight=".06pt" strokecolor="#000000"/>
            <v:line style="position:absolute" from="170,9" to="1467,9" stroked="true" strokeweight=".06pt" strokecolor="#000000"/>
            <v:line style="position:absolute" from="170,11" to="1467,11" stroked="true" strokeweight=".06pt" strokecolor="#000000"/>
            <v:line style="position:absolute" from="170,12" to="1467,12" stroked="true" strokeweight=".06pt" strokecolor="#000000"/>
            <v:line style="position:absolute" from="170,13" to="1467,13" stroked="true" strokeweight=".06pt" strokecolor="#000000"/>
            <v:line style="position:absolute" from="170,14" to="1467,14" stroked="true" strokeweight=".06pt" strokecolor="#000000"/>
            <v:line style="position:absolute" from="170,15" to="1467,15" stroked="true" strokeweight=".06pt" strokecolor="#000000"/>
            <v:line style="position:absolute" from="170,35" to="1467,35" stroked="true" strokeweight=".06pt" strokecolor="#000000"/>
            <v:line style="position:absolute" from="170,36" to="1467,36" stroked="true" strokeweight=".06pt" strokecolor="#000000"/>
            <v:line style="position:absolute" from="170,37" to="1467,37" stroked="true" strokeweight=".06pt" strokecolor="#000000"/>
            <v:line style="position:absolute" from="170,38" to="1467,38" stroked="true" strokeweight=".06pt" strokecolor="#000000"/>
            <v:line style="position:absolute" from="170,39" to="1467,39" stroked="true" strokeweight=".06pt" strokecolor="#000000"/>
            <v:line style="position:absolute" from="170,41" to="1467,41" stroked="true" strokeweight=".06pt" strokecolor="#000000"/>
            <v:line style="position:absolute" from="170,42" to="1467,42" stroked="true" strokeweight=".06pt" strokecolor="#000000"/>
            <v:line style="position:absolute" from="170,43" to="1467,43" stroked="true" strokeweight=".06pt" strokecolor="#000000"/>
            <v:line style="position:absolute" from="170,44" to="1467,44" stroked="true" strokeweight=".06pt" strokecolor="#000000"/>
            <v:line style="position:absolute" from="170,45" to="1467,45" stroked="true" strokeweight=".06pt" strokecolor="#000000"/>
            <v:line style="position:absolute" from="170,47" to="1467,47" stroked="true" strokeweight=".06pt" strokecolor="#000000"/>
            <v:line style="position:absolute" from="170,48" to="1467,48" stroked="true" strokeweight=".06pt" strokecolor="#000000"/>
            <v:line style="position:absolute" from="170,49" to="1467,49" stroked="true" strokeweight=".06pt" strokecolor="#000000"/>
            <v:line style="position:absolute" from="1467,1" to="2765,1" stroked="true" strokeweight=".06pt" strokecolor="#000000"/>
            <v:line style="position:absolute" from="1467,2" to="2765,2" stroked="true" strokeweight=".06pt" strokecolor="#000000"/>
            <v:line style="position:absolute" from="1467,3" to="2765,3" stroked="true" strokeweight=".06pt" strokecolor="#000000"/>
            <v:line style="position:absolute" from="1467,5" to="2765,5" stroked="true" strokeweight=".06pt" strokecolor="#000000"/>
            <v:line style="position:absolute" from="1467,6" to="2765,6" stroked="true" strokeweight=".06pt" strokecolor="#000000"/>
            <v:line style="position:absolute" from="1467,7" to="2765,7" stroked="true" strokeweight=".06pt" strokecolor="#000000"/>
            <v:line style="position:absolute" from="1467,8" to="2765,8" stroked="true" strokeweight=".06pt" strokecolor="#000000"/>
            <v:line style="position:absolute" from="1467,9" to="2765,9" stroked="true" strokeweight=".06pt" strokecolor="#000000"/>
            <v:line style="position:absolute" from="1467,11" to="2765,11" stroked="true" strokeweight=".06pt" strokecolor="#000000"/>
            <v:line style="position:absolute" from="1467,12" to="2765,12" stroked="true" strokeweight=".06pt" strokecolor="#000000"/>
            <v:line style="position:absolute" from="1467,13" to="2765,13" stroked="true" strokeweight=".06pt" strokecolor="#000000"/>
            <v:line style="position:absolute" from="1467,14" to="2765,14" stroked="true" strokeweight=".06pt" strokecolor="#000000"/>
            <v:line style="position:absolute" from="1467,15" to="2765,15" stroked="true" strokeweight=".06pt" strokecolor="#000000"/>
            <v:line style="position:absolute" from="1467,35" to="2765,35" stroked="true" strokeweight=".06pt" strokecolor="#000000"/>
            <v:line style="position:absolute" from="1467,36" to="2765,36" stroked="true" strokeweight=".06pt" strokecolor="#000000"/>
            <v:line style="position:absolute" from="1467,37" to="2765,37" stroked="true" strokeweight=".06pt" strokecolor="#000000"/>
            <v:line style="position:absolute" from="1467,38" to="2765,38" stroked="true" strokeweight=".06pt" strokecolor="#000000"/>
            <v:line style="position:absolute" from="1467,39" to="2765,39" stroked="true" strokeweight=".06pt" strokecolor="#000000"/>
            <v:line style="position:absolute" from="1467,41" to="2765,41" stroked="true" strokeweight=".06pt" strokecolor="#000000"/>
            <v:line style="position:absolute" from="1467,42" to="2765,42" stroked="true" strokeweight=".06pt" strokecolor="#000000"/>
            <v:line style="position:absolute" from="1467,43" to="2765,43" stroked="true" strokeweight=".06pt" strokecolor="#000000"/>
            <v:line style="position:absolute" from="1467,44" to="2765,44" stroked="true" strokeweight=".06pt" strokecolor="#000000"/>
            <v:line style="position:absolute" from="1467,45" to="2765,45" stroked="true" strokeweight=".06pt" strokecolor="#000000"/>
            <v:line style="position:absolute" from="1467,47" to="2765,47" stroked="true" strokeweight=".06pt" strokecolor="#000000"/>
            <v:line style="position:absolute" from="1467,48" to="2765,48" stroked="true" strokeweight=".06pt" strokecolor="#000000"/>
            <v:line style="position:absolute" from="1467,49" to="2765,49" stroked="true" strokeweight=".06pt" strokecolor="#000000"/>
            <v:line style="position:absolute" from="2765,1" to="2934,1" stroked="true" strokeweight=".06pt" strokecolor="#000000"/>
            <v:line style="position:absolute" from="2765,2" to="2934,2" stroked="true" strokeweight=".06pt" strokecolor="#000000"/>
            <v:line style="position:absolute" from="2765,3" to="2934,3" stroked="true" strokeweight=".06pt" strokecolor="#000000"/>
            <v:line style="position:absolute" from="2765,5" to="2934,5" stroked="true" strokeweight=".06pt" strokecolor="#000000"/>
            <v:line style="position:absolute" from="2765,6" to="2934,6" stroked="true" strokeweight=".06pt" strokecolor="#000000"/>
            <v:line style="position:absolute" from="2765,7" to="2934,7" stroked="true" strokeweight=".06pt" strokecolor="#000000"/>
            <v:line style="position:absolute" from="2765,8" to="2934,8" stroked="true" strokeweight=".06pt" strokecolor="#000000"/>
            <v:line style="position:absolute" from="2765,9" to="2934,9" stroked="true" strokeweight=".06pt" strokecolor="#000000"/>
            <v:line style="position:absolute" from="2765,11" to="2934,11" stroked="true" strokeweight=".06pt" strokecolor="#000000"/>
            <v:line style="position:absolute" from="2765,12" to="2934,12" stroked="true" strokeweight=".06pt" strokecolor="#000000"/>
            <v:line style="position:absolute" from="2765,13" to="2934,13" stroked="true" strokeweight=".06pt" strokecolor="#000000"/>
            <v:line style="position:absolute" from="2765,14" to="2934,14" stroked="true" strokeweight=".06pt" strokecolor="#000000"/>
            <v:line style="position:absolute" from="2765,15" to="2934,15" stroked="true" strokeweight=".06pt" strokecolor="#000000"/>
            <v:line style="position:absolute" from="2765,35" to="2934,35" stroked="true" strokeweight=".06pt" strokecolor="#000000"/>
            <v:line style="position:absolute" from="2765,36" to="2934,36" stroked="true" strokeweight=".06pt" strokecolor="#000000"/>
            <v:line style="position:absolute" from="2765,37" to="2934,37" stroked="true" strokeweight=".06pt" strokecolor="#000000"/>
            <v:line style="position:absolute" from="2765,38" to="2934,38" stroked="true" strokeweight=".06pt" strokecolor="#000000"/>
            <v:line style="position:absolute" from="2765,39" to="2934,39" stroked="true" strokeweight=".06pt" strokecolor="#000000"/>
            <v:line style="position:absolute" from="2765,41" to="2934,41" stroked="true" strokeweight=".06pt" strokecolor="#000000"/>
            <v:line style="position:absolute" from="2765,42" to="2934,42" stroked="true" strokeweight=".06pt" strokecolor="#000000"/>
            <v:line style="position:absolute" from="2765,43" to="2934,43" stroked="true" strokeweight=".06pt" strokecolor="#000000"/>
            <v:line style="position:absolute" from="2765,44" to="2934,44" stroked="true" strokeweight=".06pt" strokecolor="#000000"/>
            <v:line style="position:absolute" from="2765,45" to="2934,45" stroked="true" strokeweight=".06pt" strokecolor="#000000"/>
            <v:line style="position:absolute" from="2765,47" to="2934,47" stroked="true" strokeweight=".06pt" strokecolor="#000000"/>
            <v:line style="position:absolute" from="2765,48" to="2934,48" stroked="true" strokeweight=".06pt" strokecolor="#000000"/>
            <v:line style="position:absolute" from="2765,49" to="2934,49" stroked="true" strokeweight=".06pt" strokecolor="#000000"/>
            <v:line style="position:absolute" from="2934,1" to="4231,1" stroked="true" strokeweight=".06pt" strokecolor="#000000"/>
            <v:line style="position:absolute" from="2934,2" to="4231,2" stroked="true" strokeweight=".06pt" strokecolor="#000000"/>
            <v:line style="position:absolute" from="2934,3" to="4231,3" stroked="true" strokeweight=".06pt" strokecolor="#000000"/>
            <v:line style="position:absolute" from="2934,5" to="4231,5" stroked="true" strokeweight=".06pt" strokecolor="#000000"/>
            <v:line style="position:absolute" from="2934,6" to="4231,6" stroked="true" strokeweight=".06pt" strokecolor="#000000"/>
            <v:line style="position:absolute" from="2934,7" to="4231,7" stroked="true" strokeweight=".06pt" strokecolor="#000000"/>
            <v:line style="position:absolute" from="2934,8" to="4231,8" stroked="true" strokeweight=".06pt" strokecolor="#000000"/>
            <v:line style="position:absolute" from="2934,9" to="4231,9" stroked="true" strokeweight=".06pt" strokecolor="#000000"/>
            <v:line style="position:absolute" from="2934,11" to="4231,11" stroked="true" strokeweight=".06pt" strokecolor="#000000"/>
            <v:line style="position:absolute" from="2934,12" to="4231,12" stroked="true" strokeweight=".06pt" strokecolor="#000000"/>
            <v:line style="position:absolute" from="2934,13" to="4231,13" stroked="true" strokeweight=".06pt" strokecolor="#000000"/>
            <v:line style="position:absolute" from="2934,14" to="4231,14" stroked="true" strokeweight=".06pt" strokecolor="#000000"/>
            <v:line style="position:absolute" from="2934,15" to="4231,15" stroked="true" strokeweight=".06pt" strokecolor="#000000"/>
            <v:line style="position:absolute" from="2934,35" to="4231,35" stroked="true" strokeweight=".06pt" strokecolor="#000000"/>
            <v:line style="position:absolute" from="2934,36" to="4231,36" stroked="true" strokeweight=".06pt" strokecolor="#000000"/>
            <v:line style="position:absolute" from="2934,37" to="4231,37" stroked="true" strokeweight=".06pt" strokecolor="#000000"/>
            <v:line style="position:absolute" from="2934,38" to="4231,38" stroked="true" strokeweight=".06pt" strokecolor="#000000"/>
            <v:line style="position:absolute" from="2934,39" to="4231,39" stroked="true" strokeweight=".06pt" strokecolor="#000000"/>
            <v:line style="position:absolute" from="2934,41" to="4231,41" stroked="true" strokeweight=".06pt" strokecolor="#000000"/>
            <v:line style="position:absolute" from="2934,42" to="4231,42" stroked="true" strokeweight=".06pt" strokecolor="#000000"/>
            <v:line style="position:absolute" from="2934,43" to="4231,43" stroked="true" strokeweight=".06pt" strokecolor="#000000"/>
            <v:line style="position:absolute" from="2934,44" to="4231,44" stroked="true" strokeweight=".06pt" strokecolor="#000000"/>
            <v:line style="position:absolute" from="2934,45" to="4231,45" stroked="true" strokeweight=".06pt" strokecolor="#000000"/>
            <v:line style="position:absolute" from="2934,47" to="4231,47" stroked="true" strokeweight=".06pt" strokecolor="#000000"/>
            <v:line style="position:absolute" from="2934,48" to="4231,48" stroked="true" strokeweight=".06pt" strokecolor="#000000"/>
            <v:line style="position:absolute" from="2934,49" to="4231,49" stroked="true" strokeweight=".06pt" strokecolor="#000000"/>
            <v:line style="position:absolute" from="4231,1" to="5528,1" stroked="true" strokeweight=".06pt" strokecolor="#000000"/>
            <v:line style="position:absolute" from="4231,2" to="5528,2" stroked="true" strokeweight=".06pt" strokecolor="#000000"/>
            <v:line style="position:absolute" from="4231,3" to="5528,3" stroked="true" strokeweight=".06pt" strokecolor="#000000"/>
            <v:line style="position:absolute" from="4231,5" to="5528,5" stroked="true" strokeweight=".06pt" strokecolor="#000000"/>
            <v:line style="position:absolute" from="4231,6" to="5528,6" stroked="true" strokeweight=".06pt" strokecolor="#000000"/>
            <v:line style="position:absolute" from="4231,7" to="5528,7" stroked="true" strokeweight=".06pt" strokecolor="#000000"/>
            <v:line style="position:absolute" from="4231,8" to="5528,8" stroked="true" strokeweight=".06pt" strokecolor="#000000"/>
            <v:line style="position:absolute" from="4231,9" to="5528,9" stroked="true" strokeweight=".06pt" strokecolor="#000000"/>
            <v:line style="position:absolute" from="4231,11" to="5528,11" stroked="true" strokeweight=".06pt" strokecolor="#000000"/>
            <v:line style="position:absolute" from="4231,12" to="5528,12" stroked="true" strokeweight=".06pt" strokecolor="#000000"/>
            <v:line style="position:absolute" from="4231,13" to="5528,13" stroked="true" strokeweight=".06pt" strokecolor="#000000"/>
            <v:line style="position:absolute" from="4231,14" to="5528,14" stroked="true" strokeweight=".06pt" strokecolor="#000000"/>
            <v:line style="position:absolute" from="4231,15" to="5528,15" stroked="true" strokeweight=".06pt" strokecolor="#000000"/>
            <v:line style="position:absolute" from="4231,35" to="5528,35" stroked="true" strokeweight=".06pt" strokecolor="#000000"/>
            <v:line style="position:absolute" from="4231,36" to="5528,36" stroked="true" strokeweight=".06pt" strokecolor="#000000"/>
            <v:line style="position:absolute" from="4231,37" to="5528,37" stroked="true" strokeweight=".06pt" strokecolor="#000000"/>
            <v:line style="position:absolute" from="4231,38" to="5528,38" stroked="true" strokeweight=".06pt" strokecolor="#000000"/>
            <v:line style="position:absolute" from="4231,39" to="5528,39" stroked="true" strokeweight=".06pt" strokecolor="#000000"/>
            <v:line style="position:absolute" from="4231,41" to="5528,41" stroked="true" strokeweight=".06pt" strokecolor="#000000"/>
            <v:line style="position:absolute" from="4231,42" to="5528,42" stroked="true" strokeweight=".06pt" strokecolor="#000000"/>
            <v:line style="position:absolute" from="4231,43" to="5528,43" stroked="true" strokeweight=".06pt" strokecolor="#000000"/>
            <v:line style="position:absolute" from="4231,44" to="5528,44" stroked="true" strokeweight=".06pt" strokecolor="#000000"/>
            <v:line style="position:absolute" from="4231,45" to="5528,45" stroked="true" strokeweight=".06pt" strokecolor="#000000"/>
            <v:line style="position:absolute" from="4231,47" to="5528,47" stroked="true" strokeweight=".06pt" strokecolor="#000000"/>
            <v:line style="position:absolute" from="4231,48" to="5528,48" stroked="true" strokeweight=".06pt" strokecolor="#000000"/>
            <v:line style="position:absolute" from="4231,49" to="5528,49" stroked="true" strokeweight=".06pt" strokecolor="#000000"/>
          </v:group>
        </w:pict>
      </w:r>
      <w:r>
        <w:rPr>
          <w:position w:val="0"/>
          <w:sz w:val="5"/>
        </w:rPr>
      </w:r>
    </w:p>
    <w:p>
      <w:pPr>
        <w:tabs>
          <w:tab w:pos="5323" w:val="left" w:leader="none"/>
          <w:tab w:pos="6621" w:val="left" w:leader="none"/>
          <w:tab w:pos="8086" w:val="left" w:leader="none"/>
          <w:tab w:pos="9385" w:val="left" w:leader="none"/>
        </w:tabs>
        <w:spacing w:before="111"/>
        <w:ind w:left="505" w:right="128" w:firstLine="0"/>
        <w:jc w:val="left"/>
        <w:rPr>
          <w:sz w:val="18"/>
        </w:rPr>
      </w:pPr>
      <w:r>
        <w:rPr>
          <w:b/>
          <w:sz w:val="18"/>
        </w:rPr>
        <w:t>Total</w:t>
      </w:r>
      <w:r>
        <w:rPr>
          <w:b/>
          <w:spacing w:val="-1"/>
          <w:sz w:val="18"/>
        </w:rPr>
        <w:t> </w:t>
      </w:r>
      <w:r>
        <w:rPr>
          <w:b/>
          <w:sz w:val="18"/>
        </w:rPr>
        <w:t>borrowings</w:t>
        <w:tab/>
        <w:t>55,500</w:t>
        <w:tab/>
      </w:r>
      <w:r>
        <w:rPr>
          <w:sz w:val="18"/>
        </w:rPr>
        <w:t>44,000</w:t>
        <w:tab/>
      </w:r>
      <w:r>
        <w:rPr>
          <w:b/>
          <w:sz w:val="18"/>
        </w:rPr>
        <w:t>61,664</w:t>
        <w:tab/>
      </w:r>
      <w:r>
        <w:rPr>
          <w:sz w:val="18"/>
        </w:rPr>
        <w:t>44,000</w:t>
      </w:r>
    </w:p>
    <w:p>
      <w:pPr>
        <w:pStyle w:val="BodyText"/>
        <w:spacing w:line="50" w:lineRule="exact"/>
        <w:ind w:left="4493"/>
        <w:rPr>
          <w:sz w:val="5"/>
        </w:rPr>
      </w:pPr>
      <w:r>
        <w:rPr>
          <w:position w:val="0"/>
          <w:sz w:val="5"/>
        </w:rPr>
        <w:pict>
          <v:group style="width:276.5pt;height:2.5pt;mso-position-horizontal-relative:char;mso-position-vertical-relative:line" coordorigin="0,0" coordsize="5530,5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35" to="170,35" stroked="true" strokeweight=".06pt" strokecolor="#000000"/>
            <v:line style="position:absolute" from="1,36" to="170,36" stroked="true" strokeweight=".06pt" strokecolor="#000000"/>
            <v:line style="position:absolute" from="1,37" to="170,37" stroked="true" strokeweight=".06pt" strokecolor="#000000"/>
            <v:line style="position:absolute" from="1,38" to="170,38" stroked="true" strokeweight=".06pt" strokecolor="#000000"/>
            <v:line style="position:absolute" from="1,39" to="170,39" stroked="true" strokeweight=".06pt" strokecolor="#000000"/>
            <v:line style="position:absolute" from="1,41" to="170,41" stroked="true" strokeweight=".06pt" strokecolor="#000000"/>
            <v:line style="position:absolute" from="1,42" to="170,42" stroked="true" strokeweight=".06pt" strokecolor="#000000"/>
            <v:line style="position:absolute" from="1,43" to="170,43" stroked="true" strokeweight=".06pt" strokecolor="#000000"/>
            <v:line style="position:absolute" from="1,44" to="170,44" stroked="true" strokeweight=".06pt" strokecolor="#000000"/>
            <v:line style="position:absolute" from="1,45" to="170,45" stroked="true" strokeweight=".06pt" strokecolor="#000000"/>
            <v:line style="position:absolute" from="1,47" to="170,47" stroked="true" strokeweight=".06pt" strokecolor="#000000"/>
            <v:line style="position:absolute" from="1,48" to="170,48" stroked="true" strokeweight=".06pt" strokecolor="#000000"/>
            <v:line style="position:absolute" from="1,49" to="170,49" stroked="true" strokeweight=".06pt" strokecolor="#000000"/>
            <v:line style="position:absolute" from="170,1" to="1467,1" stroked="true" strokeweight=".06pt" strokecolor="#000000"/>
            <v:line style="position:absolute" from="170,2" to="1467,2" stroked="true" strokeweight=".06pt" strokecolor="#000000"/>
            <v:line style="position:absolute" from="170,3" to="1467,3" stroked="true" strokeweight=".06pt" strokecolor="#000000"/>
            <v:line style="position:absolute" from="170,5" to="1467,5" stroked="true" strokeweight=".06pt" strokecolor="#000000"/>
            <v:line style="position:absolute" from="170,6" to="1467,6" stroked="true" strokeweight=".06pt" strokecolor="#000000"/>
            <v:line style="position:absolute" from="170,7" to="1467,7" stroked="true" strokeweight=".06pt" strokecolor="#000000"/>
            <v:line style="position:absolute" from="170,8" to="1467,8" stroked="true" strokeweight=".06pt" strokecolor="#000000"/>
            <v:line style="position:absolute" from="170,9" to="1467,9" stroked="true" strokeweight=".06pt" strokecolor="#000000"/>
            <v:line style="position:absolute" from="170,11" to="1467,11" stroked="true" strokeweight=".06pt" strokecolor="#000000"/>
            <v:line style="position:absolute" from="170,12" to="1467,12" stroked="true" strokeweight=".06pt" strokecolor="#000000"/>
            <v:line style="position:absolute" from="170,13" to="1467,13" stroked="true" strokeweight=".06pt" strokecolor="#000000"/>
            <v:line style="position:absolute" from="170,14" to="1467,14" stroked="true" strokeweight=".06pt" strokecolor="#000000"/>
            <v:line style="position:absolute" from="170,15" to="1467,15" stroked="true" strokeweight=".06pt" strokecolor="#000000"/>
            <v:line style="position:absolute" from="170,35" to="1467,35" stroked="true" strokeweight=".06pt" strokecolor="#000000"/>
            <v:line style="position:absolute" from="170,36" to="1467,36" stroked="true" strokeweight=".06pt" strokecolor="#000000"/>
            <v:line style="position:absolute" from="170,37" to="1467,37" stroked="true" strokeweight=".06pt" strokecolor="#000000"/>
            <v:line style="position:absolute" from="170,38" to="1467,38" stroked="true" strokeweight=".06pt" strokecolor="#000000"/>
            <v:line style="position:absolute" from="170,39" to="1467,39" stroked="true" strokeweight=".06pt" strokecolor="#000000"/>
            <v:line style="position:absolute" from="170,41" to="1467,41" stroked="true" strokeweight=".06pt" strokecolor="#000000"/>
            <v:line style="position:absolute" from="170,42" to="1467,42" stroked="true" strokeweight=".06pt" strokecolor="#000000"/>
            <v:line style="position:absolute" from="170,43" to="1467,43" stroked="true" strokeweight=".06pt" strokecolor="#000000"/>
            <v:line style="position:absolute" from="170,44" to="1467,44" stroked="true" strokeweight=".06pt" strokecolor="#000000"/>
            <v:line style="position:absolute" from="170,45" to="1467,45" stroked="true" strokeweight=".06pt" strokecolor="#000000"/>
            <v:line style="position:absolute" from="170,47" to="1467,47" stroked="true" strokeweight=".06pt" strokecolor="#000000"/>
            <v:line style="position:absolute" from="170,48" to="1467,48" stroked="true" strokeweight=".06pt" strokecolor="#000000"/>
            <v:line style="position:absolute" from="170,49" to="1467,49" stroked="true" strokeweight=".06pt" strokecolor="#000000"/>
            <v:line style="position:absolute" from="1467,1" to="2765,1" stroked="true" strokeweight=".06pt" strokecolor="#000000"/>
            <v:line style="position:absolute" from="1467,2" to="2765,2" stroked="true" strokeweight=".06pt" strokecolor="#000000"/>
            <v:line style="position:absolute" from="1467,3" to="2765,3" stroked="true" strokeweight=".06pt" strokecolor="#000000"/>
            <v:line style="position:absolute" from="1467,5" to="2765,5" stroked="true" strokeweight=".06pt" strokecolor="#000000"/>
            <v:line style="position:absolute" from="1467,6" to="2765,6" stroked="true" strokeweight=".06pt" strokecolor="#000000"/>
            <v:line style="position:absolute" from="1467,7" to="2765,7" stroked="true" strokeweight=".06pt" strokecolor="#000000"/>
            <v:line style="position:absolute" from="1467,8" to="2765,8" stroked="true" strokeweight=".06pt" strokecolor="#000000"/>
            <v:line style="position:absolute" from="1467,9" to="2765,9" stroked="true" strokeweight=".06pt" strokecolor="#000000"/>
            <v:line style="position:absolute" from="1467,11" to="2765,11" stroked="true" strokeweight=".06pt" strokecolor="#000000"/>
            <v:line style="position:absolute" from="1467,12" to="2765,12" stroked="true" strokeweight=".06pt" strokecolor="#000000"/>
            <v:line style="position:absolute" from="1467,13" to="2765,13" stroked="true" strokeweight=".06pt" strokecolor="#000000"/>
            <v:line style="position:absolute" from="1467,14" to="2765,14" stroked="true" strokeweight=".06pt" strokecolor="#000000"/>
            <v:line style="position:absolute" from="1467,15" to="2765,15" stroked="true" strokeweight=".06pt" strokecolor="#000000"/>
            <v:line style="position:absolute" from="1467,35" to="2765,35" stroked="true" strokeweight=".06pt" strokecolor="#000000"/>
            <v:line style="position:absolute" from="1467,36" to="2765,36" stroked="true" strokeweight=".06pt" strokecolor="#000000"/>
            <v:line style="position:absolute" from="1467,37" to="2765,37" stroked="true" strokeweight=".06pt" strokecolor="#000000"/>
            <v:line style="position:absolute" from="1467,38" to="2765,38" stroked="true" strokeweight=".06pt" strokecolor="#000000"/>
            <v:line style="position:absolute" from="1467,39" to="2765,39" stroked="true" strokeweight=".06pt" strokecolor="#000000"/>
            <v:line style="position:absolute" from="1467,41" to="2765,41" stroked="true" strokeweight=".06pt" strokecolor="#000000"/>
            <v:line style="position:absolute" from="1467,42" to="2765,42" stroked="true" strokeweight=".06pt" strokecolor="#000000"/>
            <v:line style="position:absolute" from="1467,43" to="2765,43" stroked="true" strokeweight=".06pt" strokecolor="#000000"/>
            <v:line style="position:absolute" from="1467,44" to="2765,44" stroked="true" strokeweight=".06pt" strokecolor="#000000"/>
            <v:line style="position:absolute" from="1467,45" to="2765,45" stroked="true" strokeweight=".06pt" strokecolor="#000000"/>
            <v:line style="position:absolute" from="1467,47" to="2765,47" stroked="true" strokeweight=".06pt" strokecolor="#000000"/>
            <v:line style="position:absolute" from="1467,48" to="2765,48" stroked="true" strokeweight=".06pt" strokecolor="#000000"/>
            <v:line style="position:absolute" from="1467,49" to="2765,49" stroked="true" strokeweight=".06pt" strokecolor="#000000"/>
            <v:line style="position:absolute" from="2765,1" to="2934,1" stroked="true" strokeweight=".06pt" strokecolor="#000000"/>
            <v:line style="position:absolute" from="2765,2" to="2934,2" stroked="true" strokeweight=".06pt" strokecolor="#000000"/>
            <v:line style="position:absolute" from="2765,3" to="2934,3" stroked="true" strokeweight=".06pt" strokecolor="#000000"/>
            <v:line style="position:absolute" from="2765,5" to="2934,5" stroked="true" strokeweight=".06pt" strokecolor="#000000"/>
            <v:line style="position:absolute" from="2765,6" to="2934,6" stroked="true" strokeweight=".06pt" strokecolor="#000000"/>
            <v:line style="position:absolute" from="2765,7" to="2934,7" stroked="true" strokeweight=".06pt" strokecolor="#000000"/>
            <v:line style="position:absolute" from="2765,8" to="2934,8" stroked="true" strokeweight=".06pt" strokecolor="#000000"/>
            <v:line style="position:absolute" from="2765,9" to="2934,9" stroked="true" strokeweight=".06pt" strokecolor="#000000"/>
            <v:line style="position:absolute" from="2765,11" to="2934,11" stroked="true" strokeweight=".06pt" strokecolor="#000000"/>
            <v:line style="position:absolute" from="2765,12" to="2934,12" stroked="true" strokeweight=".06pt" strokecolor="#000000"/>
            <v:line style="position:absolute" from="2765,13" to="2934,13" stroked="true" strokeweight=".06pt" strokecolor="#000000"/>
            <v:line style="position:absolute" from="2765,14" to="2934,14" stroked="true" strokeweight=".06pt" strokecolor="#000000"/>
            <v:line style="position:absolute" from="2765,15" to="2934,15" stroked="true" strokeweight=".06pt" strokecolor="#000000"/>
            <v:line style="position:absolute" from="2765,35" to="2934,35" stroked="true" strokeweight=".06pt" strokecolor="#000000"/>
            <v:line style="position:absolute" from="2765,36" to="2934,36" stroked="true" strokeweight=".06pt" strokecolor="#000000"/>
            <v:line style="position:absolute" from="2765,37" to="2934,37" stroked="true" strokeweight=".06pt" strokecolor="#000000"/>
            <v:line style="position:absolute" from="2765,38" to="2934,38" stroked="true" strokeweight=".06pt" strokecolor="#000000"/>
            <v:line style="position:absolute" from="2765,39" to="2934,39" stroked="true" strokeweight=".06pt" strokecolor="#000000"/>
            <v:line style="position:absolute" from="2765,41" to="2934,41" stroked="true" strokeweight=".06pt" strokecolor="#000000"/>
            <v:line style="position:absolute" from="2765,42" to="2934,42" stroked="true" strokeweight=".06pt" strokecolor="#000000"/>
            <v:line style="position:absolute" from="2765,43" to="2934,43" stroked="true" strokeweight=".06pt" strokecolor="#000000"/>
            <v:line style="position:absolute" from="2765,44" to="2934,44" stroked="true" strokeweight=".06pt" strokecolor="#000000"/>
            <v:line style="position:absolute" from="2765,45" to="2934,45" stroked="true" strokeweight=".06pt" strokecolor="#000000"/>
            <v:line style="position:absolute" from="2765,47" to="2934,47" stroked="true" strokeweight=".06pt" strokecolor="#000000"/>
            <v:line style="position:absolute" from="2765,48" to="2934,48" stroked="true" strokeweight=".06pt" strokecolor="#000000"/>
            <v:line style="position:absolute" from="2765,49" to="2934,49" stroked="true" strokeweight=".06pt" strokecolor="#000000"/>
            <v:line style="position:absolute" from="2934,1" to="4231,1" stroked="true" strokeweight=".06pt" strokecolor="#000000"/>
            <v:line style="position:absolute" from="2934,2" to="4231,2" stroked="true" strokeweight=".06pt" strokecolor="#000000"/>
            <v:line style="position:absolute" from="2934,3" to="4231,3" stroked="true" strokeweight=".06pt" strokecolor="#000000"/>
            <v:line style="position:absolute" from="2934,5" to="4231,5" stroked="true" strokeweight=".06pt" strokecolor="#000000"/>
            <v:line style="position:absolute" from="2934,6" to="4231,6" stroked="true" strokeweight=".06pt" strokecolor="#000000"/>
            <v:line style="position:absolute" from="2934,7" to="4231,7" stroked="true" strokeweight=".06pt" strokecolor="#000000"/>
            <v:line style="position:absolute" from="2934,8" to="4231,8" stroked="true" strokeweight=".06pt" strokecolor="#000000"/>
            <v:line style="position:absolute" from="2934,9" to="4231,9" stroked="true" strokeweight=".06pt" strokecolor="#000000"/>
            <v:line style="position:absolute" from="2934,11" to="4231,11" stroked="true" strokeweight=".06pt" strokecolor="#000000"/>
            <v:line style="position:absolute" from="2934,12" to="4231,12" stroked="true" strokeweight=".06pt" strokecolor="#000000"/>
            <v:line style="position:absolute" from="2934,13" to="4231,13" stroked="true" strokeweight=".06pt" strokecolor="#000000"/>
            <v:line style="position:absolute" from="2934,14" to="4231,14" stroked="true" strokeweight=".06pt" strokecolor="#000000"/>
            <v:line style="position:absolute" from="2934,15" to="4231,15" stroked="true" strokeweight=".06pt" strokecolor="#000000"/>
            <v:line style="position:absolute" from="2934,35" to="4231,35" stroked="true" strokeweight=".06pt" strokecolor="#000000"/>
            <v:line style="position:absolute" from="2934,36" to="4231,36" stroked="true" strokeweight=".06pt" strokecolor="#000000"/>
            <v:line style="position:absolute" from="2934,37" to="4231,37" stroked="true" strokeweight=".06pt" strokecolor="#000000"/>
            <v:line style="position:absolute" from="2934,38" to="4231,38" stroked="true" strokeweight=".06pt" strokecolor="#000000"/>
            <v:line style="position:absolute" from="2934,39" to="4231,39" stroked="true" strokeweight=".06pt" strokecolor="#000000"/>
            <v:line style="position:absolute" from="2934,41" to="4231,41" stroked="true" strokeweight=".06pt" strokecolor="#000000"/>
            <v:line style="position:absolute" from="2934,42" to="4231,42" stroked="true" strokeweight=".06pt" strokecolor="#000000"/>
            <v:line style="position:absolute" from="2934,43" to="4231,43" stroked="true" strokeweight=".06pt" strokecolor="#000000"/>
            <v:line style="position:absolute" from="2934,44" to="4231,44" stroked="true" strokeweight=".06pt" strokecolor="#000000"/>
            <v:line style="position:absolute" from="2934,45" to="4231,45" stroked="true" strokeweight=".06pt" strokecolor="#000000"/>
            <v:line style="position:absolute" from="2934,47" to="4231,47" stroked="true" strokeweight=".06pt" strokecolor="#000000"/>
            <v:line style="position:absolute" from="2934,48" to="4231,48" stroked="true" strokeweight=".06pt" strokecolor="#000000"/>
            <v:line style="position:absolute" from="2934,49" to="4231,49" stroked="true" strokeweight=".06pt" strokecolor="#000000"/>
            <v:line style="position:absolute" from="4231,1" to="5528,1" stroked="true" strokeweight=".06pt" strokecolor="#000000"/>
            <v:line style="position:absolute" from="4231,2" to="5528,2" stroked="true" strokeweight=".06pt" strokecolor="#000000"/>
            <v:line style="position:absolute" from="4231,3" to="5528,3" stroked="true" strokeweight=".06pt" strokecolor="#000000"/>
            <v:line style="position:absolute" from="4231,5" to="5528,5" stroked="true" strokeweight=".06pt" strokecolor="#000000"/>
            <v:line style="position:absolute" from="4231,6" to="5528,6" stroked="true" strokeweight=".06pt" strokecolor="#000000"/>
            <v:line style="position:absolute" from="4231,7" to="5528,7" stroked="true" strokeweight=".06pt" strokecolor="#000000"/>
            <v:line style="position:absolute" from="4231,8" to="5528,8" stroked="true" strokeweight=".06pt" strokecolor="#000000"/>
            <v:line style="position:absolute" from="4231,9" to="5528,9" stroked="true" strokeweight=".06pt" strokecolor="#000000"/>
            <v:line style="position:absolute" from="4231,11" to="5528,11" stroked="true" strokeweight=".06pt" strokecolor="#000000"/>
            <v:line style="position:absolute" from="4231,12" to="5528,12" stroked="true" strokeweight=".06pt" strokecolor="#000000"/>
            <v:line style="position:absolute" from="4231,13" to="5528,13" stroked="true" strokeweight=".06pt" strokecolor="#000000"/>
            <v:line style="position:absolute" from="4231,14" to="5528,14" stroked="true" strokeweight=".06pt" strokecolor="#000000"/>
            <v:line style="position:absolute" from="4231,15" to="5528,15" stroked="true" strokeweight=".06pt" strokecolor="#000000"/>
            <v:line style="position:absolute" from="4231,35" to="5528,35" stroked="true" strokeweight=".06pt" strokecolor="#000000"/>
            <v:line style="position:absolute" from="4231,36" to="5528,36" stroked="true" strokeweight=".06pt" strokecolor="#000000"/>
            <v:line style="position:absolute" from="4231,37" to="5528,37" stroked="true" strokeweight=".06pt" strokecolor="#000000"/>
            <v:line style="position:absolute" from="4231,38" to="5528,38" stroked="true" strokeweight=".06pt" strokecolor="#000000"/>
            <v:line style="position:absolute" from="4231,39" to="5528,39" stroked="true" strokeweight=".06pt" strokecolor="#000000"/>
            <v:line style="position:absolute" from="4231,41" to="5528,41" stroked="true" strokeweight=".06pt" strokecolor="#000000"/>
            <v:line style="position:absolute" from="4231,42" to="5528,42" stroked="true" strokeweight=".06pt" strokecolor="#000000"/>
            <v:line style="position:absolute" from="4231,43" to="5528,43" stroked="true" strokeweight=".06pt" strokecolor="#000000"/>
            <v:line style="position:absolute" from="4231,44" to="5528,44" stroked="true" strokeweight=".06pt" strokecolor="#000000"/>
            <v:line style="position:absolute" from="4231,45" to="5528,45" stroked="true" strokeweight=".06pt" strokecolor="#000000"/>
            <v:line style="position:absolute" from="4231,47" to="5528,47" stroked="true" strokeweight=".06pt" strokecolor="#000000"/>
            <v:line style="position:absolute" from="4231,48" to="5528,48" stroked="true" strokeweight=".06pt" strokecolor="#000000"/>
            <v:line style="position:absolute" from="4231,49" to="5528,49" stroked="true" strokeweight=".06pt" strokecolor="#000000"/>
          </v:group>
        </w:pict>
      </w:r>
      <w:r>
        <w:rPr>
          <w:position w:val="0"/>
          <w:sz w:val="5"/>
        </w:rPr>
      </w:r>
    </w:p>
    <w:p>
      <w:pPr>
        <w:pStyle w:val="BodyText"/>
        <w:spacing w:before="2"/>
      </w:pPr>
    </w:p>
    <w:p>
      <w:pPr>
        <w:pStyle w:val="ListParagraph"/>
        <w:numPr>
          <w:ilvl w:val="0"/>
          <w:numId w:val="17"/>
        </w:numPr>
        <w:tabs>
          <w:tab w:pos="788" w:val="left" w:leader="none"/>
        </w:tabs>
        <w:spacing w:line="240" w:lineRule="auto" w:before="77" w:after="0"/>
        <w:ind w:left="787" w:right="291" w:hanging="282"/>
        <w:jc w:val="left"/>
        <w:rPr>
          <w:sz w:val="18"/>
        </w:rPr>
      </w:pPr>
      <w:r>
        <w:rPr>
          <w:sz w:val="18"/>
        </w:rPr>
        <w:t>In August 2011 the University received approval from the Treasurer of New South Wales to increase its borrowing facilities by $100 million to the maximum of $128 million towards the construction of student accommodation and new library</w:t>
      </w:r>
      <w:r>
        <w:rPr>
          <w:spacing w:val="-1"/>
          <w:sz w:val="18"/>
        </w:rPr>
        <w:t> </w:t>
      </w:r>
      <w:r>
        <w:rPr>
          <w:sz w:val="18"/>
        </w:rPr>
        <w:t>facilities.</w:t>
      </w:r>
    </w:p>
    <w:p>
      <w:pPr>
        <w:pStyle w:val="BodyText"/>
        <w:rPr>
          <w:sz w:val="25"/>
        </w:rPr>
      </w:pPr>
    </w:p>
    <w:p>
      <w:pPr>
        <w:pStyle w:val="BodyText"/>
        <w:ind w:left="787" w:right="265"/>
      </w:pPr>
      <w:r>
        <w:rPr/>
        <w:t>Such approval is required under Section 22 (l)(e) of the University of Western Sydney Act 1997. The interest rate of the loan is variable being based on the BBSW rate plus a margin. The interest rate averaged 5.41% during 2012.  The loan is unsecured.</w:t>
      </w:r>
    </w:p>
    <w:p>
      <w:pPr>
        <w:pStyle w:val="BodyText"/>
        <w:rPr>
          <w:sz w:val="25"/>
        </w:rPr>
      </w:pPr>
    </w:p>
    <w:p>
      <w:pPr>
        <w:pStyle w:val="BodyText"/>
        <w:ind w:left="787" w:right="128"/>
      </w:pPr>
      <w:r>
        <w:rPr/>
        <w:t>The balance of the loan outstanding as at 31 December 2012 was $55.5 million (2011: $44 million).</w:t>
      </w:r>
    </w:p>
    <w:p>
      <w:pPr>
        <w:pStyle w:val="BodyText"/>
        <w:rPr>
          <w:sz w:val="25"/>
        </w:rPr>
      </w:pPr>
    </w:p>
    <w:p>
      <w:pPr>
        <w:pStyle w:val="ListParagraph"/>
        <w:numPr>
          <w:ilvl w:val="0"/>
          <w:numId w:val="17"/>
        </w:numPr>
        <w:tabs>
          <w:tab w:pos="788" w:val="left" w:leader="none"/>
        </w:tabs>
        <w:spacing w:line="240" w:lineRule="auto" w:before="0" w:after="0"/>
        <w:ind w:left="787" w:right="242" w:hanging="282"/>
        <w:jc w:val="left"/>
        <w:rPr>
          <w:sz w:val="18"/>
        </w:rPr>
      </w:pPr>
      <w:r>
        <w:rPr>
          <w:sz w:val="18"/>
        </w:rPr>
        <w:t>Relates to the transfer of UWS College surplus funds to the University, which were previously invested in a T-Corp cash</w:t>
      </w:r>
      <w:r>
        <w:rPr>
          <w:spacing w:val="-1"/>
          <w:sz w:val="18"/>
        </w:rPr>
        <w:t> </w:t>
      </w:r>
      <w:r>
        <w:rPr>
          <w:sz w:val="18"/>
        </w:rPr>
        <w:t>account.</w:t>
      </w:r>
    </w:p>
    <w:p>
      <w:pPr>
        <w:pStyle w:val="BodyText"/>
        <w:rPr>
          <w:sz w:val="25"/>
        </w:rPr>
      </w:pPr>
    </w:p>
    <w:p>
      <w:pPr>
        <w:pStyle w:val="BodyText"/>
        <w:spacing w:line="573" w:lineRule="auto"/>
        <w:ind w:left="505" w:right="1350"/>
      </w:pPr>
      <w:r>
        <w:rPr/>
        <w:t>The fair value of borrowings equals their carrying amount, as the impact of discounting is not significant. For an analysis of the sensitivity of borrowings to interest rate risk refer to note 32.</w:t>
      </w:r>
    </w:p>
    <w:p>
      <w:pPr>
        <w:pStyle w:val="BodyText"/>
        <w:spacing w:before="8"/>
        <w:ind w:left="505" w:right="128"/>
      </w:pPr>
      <w:r>
        <w:rPr/>
        <w:t>The carrying amount of the Group's borrowings are denominated in $AUD currency.</w:t>
      </w:r>
    </w:p>
    <w:p>
      <w:pPr>
        <w:spacing w:after="0"/>
        <w:sectPr>
          <w:type w:val="continuous"/>
          <w:pgSz w:w="11910" w:h="16840"/>
          <w:pgMar w:top="0" w:bottom="280" w:left="900" w:right="880"/>
        </w:sectPr>
      </w:pPr>
    </w:p>
    <w:p>
      <w:pPr>
        <w:pStyle w:val="BodyText"/>
        <w:rPr>
          <w:rFonts w:ascii="Times New Roman"/>
          <w:sz w:val="20"/>
        </w:rPr>
      </w:pPr>
    </w:p>
    <w:p>
      <w:pPr>
        <w:pStyle w:val="BodyText"/>
        <w:rPr>
          <w:rFonts w:ascii="Times New Roman"/>
          <w:sz w:val="20"/>
        </w:rPr>
      </w:pPr>
    </w:p>
    <w:p>
      <w:pPr>
        <w:pStyle w:val="BodyText"/>
        <w:spacing w:before="8"/>
        <w:rPr>
          <w:rFonts w:ascii="Times New Roman"/>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7536"/>
        <w:gridCol w:w="768"/>
        <w:gridCol w:w="516"/>
        <w:gridCol w:w="795"/>
      </w:tblGrid>
      <w:tr>
        <w:trPr>
          <w:trHeight w:val="1546" w:hRule="exact"/>
        </w:trPr>
        <w:tc>
          <w:tcPr>
            <w:tcW w:w="333" w:type="dxa"/>
          </w:tcPr>
          <w:p>
            <w:pPr>
              <w:pStyle w:val="TableParagraph"/>
              <w:spacing w:before="77"/>
              <w:ind w:left="35"/>
              <w:rPr>
                <w:b/>
                <w:sz w:val="18"/>
              </w:rPr>
            </w:pPr>
            <w:r>
              <w:rPr>
                <w:b/>
                <w:sz w:val="18"/>
              </w:rPr>
              <w:t>23</w:t>
            </w:r>
          </w:p>
        </w:tc>
        <w:tc>
          <w:tcPr>
            <w:tcW w:w="7536" w:type="dxa"/>
          </w:tcPr>
          <w:p>
            <w:pPr>
              <w:pStyle w:val="TableParagraph"/>
              <w:spacing w:before="77"/>
              <w:ind w:left="97"/>
              <w:rPr>
                <w:b/>
                <w:sz w:val="18"/>
              </w:rPr>
            </w:pPr>
            <w:r>
              <w:rPr>
                <w:b/>
                <w:sz w:val="18"/>
              </w:rPr>
              <w:t>Borrowings (continued)</w:t>
            </w:r>
          </w:p>
          <w:p>
            <w:pPr>
              <w:pStyle w:val="TableParagraph"/>
              <w:spacing w:before="11"/>
              <w:rPr>
                <w:rFonts w:ascii="Times New Roman"/>
                <w:sz w:val="24"/>
              </w:rPr>
            </w:pPr>
          </w:p>
          <w:p>
            <w:pPr>
              <w:pStyle w:val="TableParagraph"/>
              <w:tabs>
                <w:tab w:pos="664" w:val="left" w:leader="none"/>
              </w:tabs>
              <w:ind w:left="97"/>
              <w:rPr>
                <w:sz w:val="18"/>
              </w:rPr>
            </w:pPr>
            <w:r>
              <w:rPr>
                <w:sz w:val="18"/>
              </w:rPr>
              <w:t>(a)</w:t>
              <w:tab/>
              <w:t>Financing</w:t>
            </w:r>
            <w:r>
              <w:rPr>
                <w:spacing w:val="-1"/>
                <w:sz w:val="18"/>
              </w:rPr>
              <w:t> </w:t>
            </w:r>
            <w:r>
              <w:rPr>
                <w:sz w:val="18"/>
              </w:rPr>
              <w:t>arrangements</w:t>
            </w:r>
          </w:p>
          <w:p>
            <w:pPr>
              <w:pStyle w:val="TableParagraph"/>
              <w:rPr>
                <w:rFonts w:ascii="Times New Roman"/>
                <w:sz w:val="25"/>
              </w:rPr>
            </w:pPr>
          </w:p>
          <w:p>
            <w:pPr>
              <w:pStyle w:val="TableParagraph"/>
              <w:ind w:left="663"/>
              <w:rPr>
                <w:sz w:val="18"/>
              </w:rPr>
            </w:pPr>
            <w:r>
              <w:rPr>
                <w:sz w:val="18"/>
              </w:rPr>
              <w:t>Unrestricted access was available at reporting date to the following lines of credit:</w:t>
            </w:r>
          </w:p>
        </w:tc>
        <w:tc>
          <w:tcPr>
            <w:tcW w:w="768" w:type="dxa"/>
          </w:tcPr>
          <w:p>
            <w:pPr/>
          </w:p>
        </w:tc>
        <w:tc>
          <w:tcPr>
            <w:tcW w:w="516" w:type="dxa"/>
          </w:tcPr>
          <w:p>
            <w:pPr/>
          </w:p>
        </w:tc>
        <w:tc>
          <w:tcPr>
            <w:tcW w:w="795" w:type="dxa"/>
            <w:vMerge w:val="restart"/>
          </w:tcPr>
          <w:p>
            <w:pPr/>
          </w:p>
        </w:tc>
      </w:tr>
      <w:tr>
        <w:trPr>
          <w:trHeight w:val="504" w:hRule="exact"/>
        </w:trPr>
        <w:tc>
          <w:tcPr>
            <w:tcW w:w="333" w:type="dxa"/>
          </w:tcPr>
          <w:p>
            <w:pPr/>
          </w:p>
        </w:tc>
        <w:tc>
          <w:tcPr>
            <w:tcW w:w="7536" w:type="dxa"/>
          </w:tcPr>
          <w:p>
            <w:pPr>
              <w:pStyle w:val="TableParagraph"/>
              <w:spacing w:before="1"/>
              <w:rPr>
                <w:rFonts w:ascii="Times New Roman"/>
                <w:sz w:val="22"/>
              </w:rPr>
            </w:pPr>
          </w:p>
          <w:p>
            <w:pPr>
              <w:pStyle w:val="TableParagraph"/>
              <w:tabs>
                <w:tab w:pos="2737" w:val="left" w:leader="none"/>
              </w:tabs>
              <w:ind w:right="121"/>
              <w:jc w:val="right"/>
              <w:rPr>
                <w:b/>
                <w:sz w:val="18"/>
              </w:rPr>
            </w:pPr>
            <w:r>
              <w:rPr>
                <w:b/>
                <w:sz w:val="18"/>
              </w:rPr>
              <w:t>Consolidated</w:t>
              <w:tab/>
            </w:r>
            <w:r>
              <w:rPr>
                <w:b/>
                <w:spacing w:val="-1"/>
                <w:sz w:val="18"/>
              </w:rPr>
              <w:t>Parent</w:t>
            </w:r>
          </w:p>
        </w:tc>
        <w:tc>
          <w:tcPr>
            <w:tcW w:w="768" w:type="dxa"/>
          </w:tcPr>
          <w:p>
            <w:pPr/>
          </w:p>
        </w:tc>
        <w:tc>
          <w:tcPr>
            <w:tcW w:w="516" w:type="dxa"/>
          </w:tcPr>
          <w:p>
            <w:pPr/>
          </w:p>
        </w:tc>
        <w:tc>
          <w:tcPr>
            <w:tcW w:w="795" w:type="dxa"/>
            <w:vMerge/>
          </w:tcPr>
          <w:p>
            <w:pPr/>
          </w:p>
        </w:tc>
      </w:tr>
      <w:tr>
        <w:trPr>
          <w:trHeight w:val="274" w:hRule="exact"/>
        </w:trPr>
        <w:tc>
          <w:tcPr>
            <w:tcW w:w="333" w:type="dxa"/>
          </w:tcPr>
          <w:p>
            <w:pPr/>
          </w:p>
        </w:tc>
        <w:tc>
          <w:tcPr>
            <w:tcW w:w="7536" w:type="dxa"/>
          </w:tcPr>
          <w:p>
            <w:pPr>
              <w:pStyle w:val="TableParagraph"/>
              <w:tabs>
                <w:tab w:pos="1269" w:val="left" w:leader="none"/>
                <w:tab w:pos="2763" w:val="left" w:leader="none"/>
              </w:tabs>
              <w:spacing w:before="24"/>
              <w:ind w:right="85"/>
              <w:jc w:val="right"/>
              <w:rPr>
                <w:b/>
                <w:sz w:val="18"/>
              </w:rPr>
            </w:pPr>
            <w:r>
              <w:rPr>
                <w:b/>
                <w:sz w:val="18"/>
              </w:rPr>
              <w:t>2012</w:t>
              <w:tab/>
              <w:t>2011</w:t>
              <w:tab/>
            </w:r>
            <w:r>
              <w:rPr>
                <w:b/>
                <w:w w:val="95"/>
                <w:sz w:val="18"/>
              </w:rPr>
              <w:t>2012</w:t>
            </w:r>
          </w:p>
        </w:tc>
        <w:tc>
          <w:tcPr>
            <w:tcW w:w="768" w:type="dxa"/>
          </w:tcPr>
          <w:p>
            <w:pPr/>
          </w:p>
        </w:tc>
        <w:tc>
          <w:tcPr>
            <w:tcW w:w="516" w:type="dxa"/>
          </w:tcPr>
          <w:p>
            <w:pPr>
              <w:pStyle w:val="TableParagraph"/>
              <w:spacing w:before="24"/>
              <w:ind w:left="13"/>
              <w:rPr>
                <w:b/>
                <w:sz w:val="18"/>
              </w:rPr>
            </w:pPr>
            <w:r>
              <w:rPr>
                <w:b/>
                <w:sz w:val="18"/>
              </w:rPr>
              <w:t>2011</w:t>
            </w:r>
          </w:p>
        </w:tc>
        <w:tc>
          <w:tcPr>
            <w:tcW w:w="795" w:type="dxa"/>
            <w:vMerge/>
          </w:tcPr>
          <w:p>
            <w:pPr/>
          </w:p>
        </w:tc>
      </w:tr>
      <w:tr>
        <w:trPr>
          <w:trHeight w:val="313" w:hRule="exact"/>
        </w:trPr>
        <w:tc>
          <w:tcPr>
            <w:tcW w:w="333" w:type="dxa"/>
          </w:tcPr>
          <w:p>
            <w:pPr/>
          </w:p>
        </w:tc>
        <w:tc>
          <w:tcPr>
            <w:tcW w:w="7536" w:type="dxa"/>
          </w:tcPr>
          <w:p>
            <w:pPr>
              <w:pStyle w:val="TableParagraph"/>
              <w:tabs>
                <w:tab w:pos="1269" w:val="left" w:leader="none"/>
                <w:tab w:pos="2763" w:val="left" w:leader="none"/>
              </w:tabs>
              <w:spacing w:before="24"/>
              <w:ind w:right="42"/>
              <w:jc w:val="right"/>
              <w:rPr>
                <w:b/>
                <w:sz w:val="18"/>
              </w:rPr>
            </w:pPr>
            <w:r>
              <w:rPr>
                <w:b/>
                <w:sz w:val="18"/>
              </w:rPr>
              <w:t>$'000</w:t>
              <w:tab/>
              <w:t>$'000</w:t>
              <w:tab/>
            </w:r>
            <w:r>
              <w:rPr>
                <w:b/>
                <w:spacing w:val="-1"/>
                <w:sz w:val="18"/>
              </w:rPr>
              <w:t>$'000</w:t>
            </w:r>
          </w:p>
        </w:tc>
        <w:tc>
          <w:tcPr>
            <w:tcW w:w="768" w:type="dxa"/>
          </w:tcPr>
          <w:p>
            <w:pPr/>
          </w:p>
        </w:tc>
        <w:tc>
          <w:tcPr>
            <w:tcW w:w="516" w:type="dxa"/>
          </w:tcPr>
          <w:p>
            <w:pPr>
              <w:pStyle w:val="TableParagraph"/>
              <w:spacing w:before="24"/>
              <w:ind w:left="13"/>
              <w:rPr>
                <w:b/>
                <w:sz w:val="18"/>
              </w:rPr>
            </w:pPr>
            <w:r>
              <w:rPr>
                <w:b/>
                <w:sz w:val="18"/>
              </w:rPr>
              <w:t>$'000</w:t>
            </w:r>
          </w:p>
        </w:tc>
        <w:tc>
          <w:tcPr>
            <w:tcW w:w="795" w:type="dxa"/>
            <w:vMerge/>
          </w:tcPr>
          <w:p>
            <w:pPr/>
          </w:p>
        </w:tc>
      </w:tr>
      <w:tr>
        <w:trPr>
          <w:trHeight w:val="436" w:hRule="exact"/>
        </w:trPr>
        <w:tc>
          <w:tcPr>
            <w:tcW w:w="333" w:type="dxa"/>
          </w:tcPr>
          <w:p>
            <w:pPr/>
          </w:p>
        </w:tc>
        <w:tc>
          <w:tcPr>
            <w:tcW w:w="7536" w:type="dxa"/>
          </w:tcPr>
          <w:p>
            <w:pPr>
              <w:pStyle w:val="TableParagraph"/>
              <w:spacing w:before="63"/>
              <w:ind w:left="691"/>
              <w:rPr>
                <w:b/>
                <w:sz w:val="18"/>
              </w:rPr>
            </w:pPr>
            <w:r>
              <w:rPr>
                <w:b/>
                <w:sz w:val="18"/>
              </w:rPr>
              <w:t>Credit standby arrangements</w:t>
            </w:r>
          </w:p>
        </w:tc>
        <w:tc>
          <w:tcPr>
            <w:tcW w:w="768" w:type="dxa"/>
          </w:tcPr>
          <w:p>
            <w:pPr/>
          </w:p>
        </w:tc>
        <w:tc>
          <w:tcPr>
            <w:tcW w:w="516" w:type="dxa"/>
          </w:tcPr>
          <w:p>
            <w:pPr/>
          </w:p>
        </w:tc>
        <w:tc>
          <w:tcPr>
            <w:tcW w:w="795" w:type="dxa"/>
            <w:vMerge/>
          </w:tcPr>
          <w:p>
            <w:pPr/>
          </w:p>
        </w:tc>
      </w:tr>
      <w:tr>
        <w:trPr>
          <w:trHeight w:val="392" w:hRule="exact"/>
        </w:trPr>
        <w:tc>
          <w:tcPr>
            <w:tcW w:w="333" w:type="dxa"/>
          </w:tcPr>
          <w:p>
            <w:pPr/>
          </w:p>
        </w:tc>
        <w:tc>
          <w:tcPr>
            <w:tcW w:w="7536" w:type="dxa"/>
          </w:tcPr>
          <w:p>
            <w:pPr>
              <w:pStyle w:val="TableParagraph"/>
              <w:tabs>
                <w:tab w:pos="5166" w:val="left" w:leader="none"/>
                <w:tab w:pos="6765" w:val="right" w:leader="none"/>
              </w:tabs>
              <w:spacing w:before="147"/>
              <w:ind w:left="906"/>
              <w:rPr>
                <w:sz w:val="18"/>
              </w:rPr>
            </w:pPr>
            <w:r>
              <w:rPr>
                <w:sz w:val="18"/>
              </w:rPr>
              <w:t>Bank</w:t>
            </w:r>
            <w:r>
              <w:rPr>
                <w:spacing w:val="-1"/>
                <w:sz w:val="18"/>
              </w:rPr>
              <w:t> </w:t>
            </w:r>
            <w:r>
              <w:rPr>
                <w:sz w:val="18"/>
              </w:rPr>
              <w:t>guarantees</w:t>
              <w:tab/>
            </w:r>
            <w:r>
              <w:rPr>
                <w:b/>
                <w:sz w:val="18"/>
              </w:rPr>
              <w:t>541</w:t>
            </w:r>
            <w:r>
              <w:rPr>
                <w:rFonts w:ascii="Times New Roman"/>
                <w:sz w:val="18"/>
              </w:rPr>
              <w:tab/>
            </w:r>
            <w:r>
              <w:rPr>
                <w:sz w:val="18"/>
              </w:rPr>
              <w:t>514</w:t>
            </w:r>
          </w:p>
        </w:tc>
        <w:tc>
          <w:tcPr>
            <w:tcW w:w="768" w:type="dxa"/>
          </w:tcPr>
          <w:p>
            <w:pPr>
              <w:pStyle w:val="TableParagraph"/>
              <w:spacing w:before="146"/>
              <w:ind w:right="71"/>
              <w:jc w:val="right"/>
              <w:rPr>
                <w:b/>
                <w:sz w:val="18"/>
              </w:rPr>
            </w:pPr>
            <w:r>
              <w:rPr>
                <w:b/>
                <w:w w:val="95"/>
                <w:sz w:val="18"/>
              </w:rPr>
              <w:t>541</w:t>
            </w:r>
          </w:p>
        </w:tc>
        <w:tc>
          <w:tcPr>
            <w:tcW w:w="516" w:type="dxa"/>
          </w:tcPr>
          <w:p>
            <w:pPr/>
          </w:p>
        </w:tc>
        <w:tc>
          <w:tcPr>
            <w:tcW w:w="795" w:type="dxa"/>
          </w:tcPr>
          <w:p>
            <w:pPr>
              <w:pStyle w:val="TableParagraph"/>
              <w:spacing w:before="146"/>
              <w:ind w:left="408"/>
              <w:rPr>
                <w:sz w:val="18"/>
              </w:rPr>
            </w:pPr>
            <w:r>
              <w:rPr>
                <w:sz w:val="18"/>
              </w:rPr>
              <w:t>500</w:t>
            </w:r>
          </w:p>
        </w:tc>
      </w:tr>
      <w:tr>
        <w:trPr>
          <w:trHeight w:val="264" w:hRule="exact"/>
        </w:trPr>
        <w:tc>
          <w:tcPr>
            <w:tcW w:w="333" w:type="dxa"/>
          </w:tcPr>
          <w:p>
            <w:pPr/>
          </w:p>
        </w:tc>
        <w:tc>
          <w:tcPr>
            <w:tcW w:w="7536" w:type="dxa"/>
          </w:tcPr>
          <w:p>
            <w:pPr>
              <w:pStyle w:val="TableParagraph"/>
              <w:tabs>
                <w:tab w:pos="5016" w:val="left" w:leader="none"/>
                <w:tab w:pos="6314" w:val="left" w:leader="none"/>
              </w:tabs>
              <w:spacing w:before="19"/>
              <w:ind w:left="906"/>
              <w:rPr>
                <w:sz w:val="18"/>
              </w:rPr>
            </w:pPr>
            <w:r>
              <w:rPr>
                <w:sz w:val="18"/>
              </w:rPr>
              <w:t>Credit</w:t>
            </w:r>
            <w:r>
              <w:rPr>
                <w:spacing w:val="-1"/>
                <w:sz w:val="18"/>
              </w:rPr>
              <w:t> </w:t>
            </w:r>
            <w:r>
              <w:rPr>
                <w:sz w:val="18"/>
              </w:rPr>
              <w:t>cards</w:t>
              <w:tab/>
            </w:r>
            <w:r>
              <w:rPr>
                <w:b/>
                <w:sz w:val="18"/>
              </w:rPr>
              <w:t>4,570</w:t>
              <w:tab/>
            </w:r>
            <w:r>
              <w:rPr>
                <w:sz w:val="18"/>
              </w:rPr>
              <w:t>4,570</w:t>
            </w:r>
          </w:p>
        </w:tc>
        <w:tc>
          <w:tcPr>
            <w:tcW w:w="768" w:type="dxa"/>
          </w:tcPr>
          <w:p>
            <w:pPr>
              <w:pStyle w:val="TableParagraph"/>
              <w:spacing w:before="18"/>
              <w:ind w:right="71"/>
              <w:jc w:val="right"/>
              <w:rPr>
                <w:b/>
                <w:sz w:val="18"/>
              </w:rPr>
            </w:pPr>
            <w:r>
              <w:rPr>
                <w:b/>
                <w:w w:val="95"/>
                <w:sz w:val="18"/>
              </w:rPr>
              <w:t>4,500</w:t>
            </w:r>
          </w:p>
        </w:tc>
        <w:tc>
          <w:tcPr>
            <w:tcW w:w="516" w:type="dxa"/>
          </w:tcPr>
          <w:p>
            <w:pPr/>
          </w:p>
        </w:tc>
        <w:tc>
          <w:tcPr>
            <w:tcW w:w="795" w:type="dxa"/>
          </w:tcPr>
          <w:p>
            <w:pPr>
              <w:pStyle w:val="TableParagraph"/>
              <w:spacing w:before="18"/>
              <w:ind w:left="258"/>
              <w:rPr>
                <w:sz w:val="18"/>
              </w:rPr>
            </w:pPr>
            <w:r>
              <w:rPr>
                <w:sz w:val="18"/>
              </w:rPr>
              <w:t>4,500</w:t>
            </w:r>
          </w:p>
        </w:tc>
      </w:tr>
      <w:tr>
        <w:trPr>
          <w:trHeight w:val="262" w:hRule="exact"/>
        </w:trPr>
        <w:tc>
          <w:tcPr>
            <w:tcW w:w="333" w:type="dxa"/>
          </w:tcPr>
          <w:p>
            <w:pPr/>
          </w:p>
        </w:tc>
        <w:tc>
          <w:tcPr>
            <w:tcW w:w="7536" w:type="dxa"/>
            <w:tcBorders>
              <w:bottom w:val="single" w:sz="0" w:space="0" w:color="000000"/>
            </w:tcBorders>
          </w:tcPr>
          <w:p>
            <w:pPr>
              <w:pStyle w:val="TableParagraph"/>
              <w:tabs>
                <w:tab w:pos="5016" w:val="left" w:leader="none"/>
                <w:tab w:pos="6314" w:val="left" w:leader="none"/>
              </w:tabs>
              <w:spacing w:before="19"/>
              <w:ind w:left="906"/>
              <w:rPr>
                <w:sz w:val="18"/>
              </w:rPr>
            </w:pPr>
            <w:r>
              <w:rPr>
                <w:sz w:val="18"/>
              </w:rPr>
              <w:t>Leasing</w:t>
            </w:r>
            <w:r>
              <w:rPr>
                <w:spacing w:val="-1"/>
                <w:sz w:val="18"/>
              </w:rPr>
              <w:t> </w:t>
            </w:r>
            <w:r>
              <w:rPr>
                <w:sz w:val="18"/>
              </w:rPr>
              <w:t>facilities</w:t>
              <w:tab/>
            </w:r>
            <w:r>
              <w:rPr>
                <w:b/>
                <w:sz w:val="18"/>
              </w:rPr>
              <w:t>2,000</w:t>
              <w:tab/>
            </w:r>
            <w:r>
              <w:rPr>
                <w:sz w:val="18"/>
              </w:rPr>
              <w:t>2,100</w:t>
            </w:r>
          </w:p>
        </w:tc>
        <w:tc>
          <w:tcPr>
            <w:tcW w:w="768" w:type="dxa"/>
            <w:tcBorders>
              <w:bottom w:val="single" w:sz="0" w:space="0" w:color="000000"/>
            </w:tcBorders>
          </w:tcPr>
          <w:p>
            <w:pPr>
              <w:pStyle w:val="TableParagraph"/>
              <w:spacing w:before="18"/>
              <w:ind w:right="73"/>
              <w:jc w:val="right"/>
              <w:rPr>
                <w:b/>
                <w:sz w:val="18"/>
              </w:rPr>
            </w:pPr>
            <w:r>
              <w:rPr>
                <w:b/>
                <w:w w:val="99"/>
                <w:sz w:val="18"/>
              </w:rPr>
              <w:t>-</w:t>
            </w:r>
          </w:p>
        </w:tc>
        <w:tc>
          <w:tcPr>
            <w:tcW w:w="516" w:type="dxa"/>
            <w:tcBorders>
              <w:bottom w:val="single" w:sz="0" w:space="0" w:color="000000"/>
            </w:tcBorders>
          </w:tcPr>
          <w:p>
            <w:pPr/>
          </w:p>
        </w:tc>
        <w:tc>
          <w:tcPr>
            <w:tcW w:w="795" w:type="dxa"/>
            <w:tcBorders>
              <w:bottom w:val="single" w:sz="0" w:space="0" w:color="000000"/>
            </w:tcBorders>
          </w:tcPr>
          <w:p>
            <w:pPr>
              <w:pStyle w:val="TableParagraph"/>
              <w:spacing w:before="18"/>
              <w:ind w:right="86"/>
              <w:jc w:val="right"/>
              <w:rPr>
                <w:sz w:val="18"/>
              </w:rPr>
            </w:pPr>
            <w:r>
              <w:rPr>
                <w:w w:val="99"/>
                <w:sz w:val="18"/>
              </w:rPr>
              <w:t>-</w:t>
            </w:r>
          </w:p>
        </w:tc>
      </w:tr>
      <w:tr>
        <w:trPr>
          <w:trHeight w:val="353" w:hRule="exact"/>
        </w:trPr>
        <w:tc>
          <w:tcPr>
            <w:tcW w:w="333" w:type="dxa"/>
          </w:tcPr>
          <w:p>
            <w:pPr/>
          </w:p>
        </w:tc>
        <w:tc>
          <w:tcPr>
            <w:tcW w:w="7536" w:type="dxa"/>
            <w:tcBorders>
              <w:top w:val="single" w:sz="0" w:space="0" w:color="000000"/>
              <w:bottom w:val="single" w:sz="0" w:space="0" w:color="000000"/>
            </w:tcBorders>
          </w:tcPr>
          <w:p>
            <w:pPr>
              <w:pStyle w:val="TableParagraph"/>
              <w:tabs>
                <w:tab w:pos="5016" w:val="left" w:leader="none"/>
                <w:tab w:pos="6315" w:val="left" w:leader="none"/>
              </w:tabs>
              <w:spacing w:before="122"/>
              <w:ind w:left="691"/>
              <w:rPr>
                <w:sz w:val="18"/>
              </w:rPr>
            </w:pPr>
            <w:r>
              <w:rPr>
                <w:b/>
                <w:sz w:val="18"/>
              </w:rPr>
              <w:t>Total facilities</w:t>
              <w:tab/>
              <w:t>7,111</w:t>
              <w:tab/>
            </w:r>
            <w:r>
              <w:rPr>
                <w:sz w:val="18"/>
              </w:rPr>
              <w:t>7,184</w:t>
            </w:r>
          </w:p>
        </w:tc>
        <w:tc>
          <w:tcPr>
            <w:tcW w:w="768" w:type="dxa"/>
            <w:tcBorders>
              <w:top w:val="single" w:sz="0" w:space="0" w:color="000000"/>
              <w:bottom w:val="single" w:sz="0" w:space="0" w:color="000000"/>
            </w:tcBorders>
          </w:tcPr>
          <w:p>
            <w:pPr>
              <w:pStyle w:val="TableParagraph"/>
              <w:spacing w:before="122"/>
              <w:ind w:right="71"/>
              <w:jc w:val="right"/>
              <w:rPr>
                <w:b/>
                <w:sz w:val="18"/>
              </w:rPr>
            </w:pPr>
            <w:r>
              <w:rPr>
                <w:b/>
                <w:w w:val="95"/>
                <w:sz w:val="18"/>
              </w:rPr>
              <w:t>5,041</w:t>
            </w:r>
          </w:p>
        </w:tc>
        <w:tc>
          <w:tcPr>
            <w:tcW w:w="516" w:type="dxa"/>
            <w:tcBorders>
              <w:top w:val="single" w:sz="0" w:space="0" w:color="000000"/>
              <w:bottom w:val="single" w:sz="0" w:space="0" w:color="000000"/>
            </w:tcBorders>
          </w:tcPr>
          <w:p>
            <w:pPr/>
          </w:p>
        </w:tc>
        <w:tc>
          <w:tcPr>
            <w:tcW w:w="795" w:type="dxa"/>
            <w:tcBorders>
              <w:top w:val="single" w:sz="0" w:space="0" w:color="000000"/>
              <w:bottom w:val="single" w:sz="0" w:space="0" w:color="000000"/>
            </w:tcBorders>
          </w:tcPr>
          <w:p>
            <w:pPr>
              <w:pStyle w:val="TableParagraph"/>
              <w:spacing w:before="122"/>
              <w:ind w:left="258"/>
              <w:rPr>
                <w:sz w:val="18"/>
              </w:rPr>
            </w:pPr>
            <w:r>
              <w:rPr>
                <w:sz w:val="18"/>
              </w:rPr>
              <w:t>5,000</w:t>
            </w:r>
          </w:p>
        </w:tc>
      </w:tr>
      <w:tr>
        <w:trPr>
          <w:trHeight w:val="582" w:hRule="exact"/>
        </w:trPr>
        <w:tc>
          <w:tcPr>
            <w:tcW w:w="333" w:type="dxa"/>
          </w:tcPr>
          <w:p>
            <w:pPr/>
          </w:p>
        </w:tc>
        <w:tc>
          <w:tcPr>
            <w:tcW w:w="7536" w:type="dxa"/>
            <w:tcBorders>
              <w:top w:val="single" w:sz="0" w:space="0" w:color="000000"/>
            </w:tcBorders>
          </w:tcPr>
          <w:p>
            <w:pPr>
              <w:pStyle w:val="TableParagraph"/>
              <w:tabs>
                <w:tab w:pos="5166" w:val="left" w:leader="none"/>
                <w:tab w:pos="6765" w:val="right" w:leader="none"/>
              </w:tabs>
              <w:spacing w:before="337"/>
              <w:ind w:left="906"/>
              <w:rPr>
                <w:sz w:val="18"/>
              </w:rPr>
            </w:pPr>
            <w:r>
              <w:rPr>
                <w:sz w:val="18"/>
              </w:rPr>
              <w:t>Bank</w:t>
            </w:r>
            <w:r>
              <w:rPr>
                <w:spacing w:val="-1"/>
                <w:sz w:val="18"/>
              </w:rPr>
              <w:t> </w:t>
            </w:r>
            <w:r>
              <w:rPr>
                <w:sz w:val="18"/>
              </w:rPr>
              <w:t>guarantees</w:t>
              <w:tab/>
            </w:r>
            <w:r>
              <w:rPr>
                <w:b/>
                <w:sz w:val="18"/>
              </w:rPr>
              <w:t>482</w:t>
            </w:r>
            <w:r>
              <w:rPr>
                <w:rFonts w:ascii="Times New Roman"/>
                <w:sz w:val="18"/>
              </w:rPr>
              <w:tab/>
            </w:r>
            <w:r>
              <w:rPr>
                <w:sz w:val="18"/>
              </w:rPr>
              <w:t>476</w:t>
            </w:r>
          </w:p>
        </w:tc>
        <w:tc>
          <w:tcPr>
            <w:tcW w:w="768" w:type="dxa"/>
            <w:tcBorders>
              <w:top w:val="single" w:sz="0" w:space="0" w:color="000000"/>
            </w:tcBorders>
          </w:tcPr>
          <w:p>
            <w:pPr>
              <w:pStyle w:val="TableParagraph"/>
              <w:rPr>
                <w:rFonts w:ascii="Times New Roman"/>
                <w:sz w:val="18"/>
              </w:rPr>
            </w:pPr>
          </w:p>
          <w:p>
            <w:pPr>
              <w:pStyle w:val="TableParagraph"/>
              <w:spacing w:before="130"/>
              <w:ind w:right="71"/>
              <w:jc w:val="right"/>
              <w:rPr>
                <w:b/>
                <w:sz w:val="18"/>
              </w:rPr>
            </w:pPr>
            <w:r>
              <w:rPr>
                <w:b/>
                <w:w w:val="95"/>
                <w:sz w:val="18"/>
              </w:rPr>
              <w:t>482</w:t>
            </w:r>
          </w:p>
        </w:tc>
        <w:tc>
          <w:tcPr>
            <w:tcW w:w="516" w:type="dxa"/>
            <w:tcBorders>
              <w:top w:val="single" w:sz="0" w:space="0" w:color="000000"/>
            </w:tcBorders>
          </w:tcPr>
          <w:p>
            <w:pPr/>
          </w:p>
        </w:tc>
        <w:tc>
          <w:tcPr>
            <w:tcW w:w="795" w:type="dxa"/>
            <w:tcBorders>
              <w:top w:val="single" w:sz="0" w:space="0" w:color="000000"/>
            </w:tcBorders>
          </w:tcPr>
          <w:p>
            <w:pPr>
              <w:pStyle w:val="TableParagraph"/>
              <w:rPr>
                <w:rFonts w:ascii="Times New Roman"/>
                <w:sz w:val="18"/>
              </w:rPr>
            </w:pPr>
          </w:p>
          <w:p>
            <w:pPr>
              <w:pStyle w:val="TableParagraph"/>
              <w:spacing w:before="130"/>
              <w:ind w:left="408"/>
              <w:rPr>
                <w:sz w:val="18"/>
              </w:rPr>
            </w:pPr>
            <w:r>
              <w:rPr>
                <w:sz w:val="18"/>
              </w:rPr>
              <w:t>476</w:t>
            </w:r>
          </w:p>
        </w:tc>
      </w:tr>
      <w:tr>
        <w:trPr>
          <w:trHeight w:val="265" w:hRule="exact"/>
        </w:trPr>
        <w:tc>
          <w:tcPr>
            <w:tcW w:w="333" w:type="dxa"/>
          </w:tcPr>
          <w:p>
            <w:pPr/>
          </w:p>
        </w:tc>
        <w:tc>
          <w:tcPr>
            <w:tcW w:w="7536" w:type="dxa"/>
          </w:tcPr>
          <w:p>
            <w:pPr>
              <w:pStyle w:val="TableParagraph"/>
              <w:tabs>
                <w:tab w:pos="5166" w:val="left" w:leader="none"/>
                <w:tab w:pos="6765" w:val="right" w:leader="none"/>
              </w:tabs>
              <w:spacing w:before="20"/>
              <w:ind w:left="906"/>
              <w:rPr>
                <w:sz w:val="18"/>
              </w:rPr>
            </w:pPr>
            <w:r>
              <w:rPr>
                <w:sz w:val="18"/>
              </w:rPr>
              <w:t>Credit</w:t>
            </w:r>
            <w:r>
              <w:rPr>
                <w:spacing w:val="-1"/>
                <w:sz w:val="18"/>
              </w:rPr>
              <w:t> </w:t>
            </w:r>
            <w:r>
              <w:rPr>
                <w:sz w:val="18"/>
              </w:rPr>
              <w:t>cards</w:t>
              <w:tab/>
            </w:r>
            <w:r>
              <w:rPr>
                <w:b/>
                <w:sz w:val="18"/>
              </w:rPr>
              <w:t>313</w:t>
            </w:r>
            <w:r>
              <w:rPr>
                <w:rFonts w:ascii="Times New Roman"/>
                <w:sz w:val="18"/>
              </w:rPr>
              <w:tab/>
            </w:r>
            <w:r>
              <w:rPr>
                <w:sz w:val="18"/>
              </w:rPr>
              <w:t>296</w:t>
            </w:r>
          </w:p>
        </w:tc>
        <w:tc>
          <w:tcPr>
            <w:tcW w:w="768" w:type="dxa"/>
          </w:tcPr>
          <w:p>
            <w:pPr>
              <w:pStyle w:val="TableParagraph"/>
              <w:spacing w:before="19"/>
              <w:ind w:right="71"/>
              <w:jc w:val="right"/>
              <w:rPr>
                <w:b/>
                <w:sz w:val="18"/>
              </w:rPr>
            </w:pPr>
            <w:r>
              <w:rPr>
                <w:b/>
                <w:w w:val="95"/>
                <w:sz w:val="18"/>
              </w:rPr>
              <w:t>293</w:t>
            </w:r>
          </w:p>
        </w:tc>
        <w:tc>
          <w:tcPr>
            <w:tcW w:w="516" w:type="dxa"/>
          </w:tcPr>
          <w:p>
            <w:pPr/>
          </w:p>
        </w:tc>
        <w:tc>
          <w:tcPr>
            <w:tcW w:w="795" w:type="dxa"/>
          </w:tcPr>
          <w:p>
            <w:pPr>
              <w:pStyle w:val="TableParagraph"/>
              <w:spacing w:before="19"/>
              <w:ind w:left="408"/>
              <w:rPr>
                <w:sz w:val="18"/>
              </w:rPr>
            </w:pPr>
            <w:r>
              <w:rPr>
                <w:sz w:val="18"/>
              </w:rPr>
              <w:t>279</w:t>
            </w:r>
          </w:p>
        </w:tc>
      </w:tr>
      <w:tr>
        <w:trPr>
          <w:trHeight w:val="262" w:hRule="exact"/>
        </w:trPr>
        <w:tc>
          <w:tcPr>
            <w:tcW w:w="333" w:type="dxa"/>
          </w:tcPr>
          <w:p>
            <w:pPr/>
          </w:p>
        </w:tc>
        <w:tc>
          <w:tcPr>
            <w:tcW w:w="7536" w:type="dxa"/>
            <w:tcBorders>
              <w:bottom w:val="single" w:sz="0" w:space="0" w:color="000000"/>
            </w:tcBorders>
          </w:tcPr>
          <w:p>
            <w:pPr>
              <w:pStyle w:val="TableParagraph"/>
              <w:tabs>
                <w:tab w:pos="5166" w:val="left" w:leader="none"/>
                <w:tab w:pos="6765" w:val="right" w:leader="none"/>
              </w:tabs>
              <w:spacing w:before="19"/>
              <w:ind w:left="906"/>
              <w:rPr>
                <w:sz w:val="18"/>
              </w:rPr>
            </w:pPr>
            <w:r>
              <w:rPr>
                <w:sz w:val="18"/>
              </w:rPr>
              <w:t>Leasing</w:t>
            </w:r>
            <w:r>
              <w:rPr>
                <w:spacing w:val="-1"/>
                <w:sz w:val="18"/>
              </w:rPr>
              <w:t> </w:t>
            </w:r>
            <w:r>
              <w:rPr>
                <w:sz w:val="18"/>
              </w:rPr>
              <w:t>facilities</w:t>
              <w:tab/>
            </w:r>
            <w:r>
              <w:rPr>
                <w:b/>
                <w:sz w:val="18"/>
              </w:rPr>
              <w:t>458</w:t>
            </w:r>
            <w:r>
              <w:rPr>
                <w:rFonts w:ascii="Times New Roman"/>
                <w:sz w:val="18"/>
              </w:rPr>
              <w:tab/>
            </w:r>
            <w:r>
              <w:rPr>
                <w:sz w:val="18"/>
              </w:rPr>
              <w:t>798</w:t>
            </w:r>
          </w:p>
        </w:tc>
        <w:tc>
          <w:tcPr>
            <w:tcW w:w="768" w:type="dxa"/>
            <w:tcBorders>
              <w:bottom w:val="single" w:sz="0" w:space="0" w:color="000000"/>
            </w:tcBorders>
          </w:tcPr>
          <w:p>
            <w:pPr>
              <w:pStyle w:val="TableParagraph"/>
              <w:spacing w:before="18"/>
              <w:ind w:right="73"/>
              <w:jc w:val="right"/>
              <w:rPr>
                <w:b/>
                <w:sz w:val="18"/>
              </w:rPr>
            </w:pPr>
            <w:r>
              <w:rPr>
                <w:b/>
                <w:w w:val="99"/>
                <w:sz w:val="18"/>
              </w:rPr>
              <w:t>-</w:t>
            </w:r>
          </w:p>
        </w:tc>
        <w:tc>
          <w:tcPr>
            <w:tcW w:w="516" w:type="dxa"/>
            <w:tcBorders>
              <w:bottom w:val="single" w:sz="0" w:space="0" w:color="000000"/>
            </w:tcBorders>
          </w:tcPr>
          <w:p>
            <w:pPr/>
          </w:p>
        </w:tc>
        <w:tc>
          <w:tcPr>
            <w:tcW w:w="795" w:type="dxa"/>
            <w:tcBorders>
              <w:bottom w:val="single" w:sz="0" w:space="0" w:color="000000"/>
            </w:tcBorders>
          </w:tcPr>
          <w:p>
            <w:pPr>
              <w:pStyle w:val="TableParagraph"/>
              <w:spacing w:before="18"/>
              <w:ind w:right="85"/>
              <w:jc w:val="right"/>
              <w:rPr>
                <w:sz w:val="18"/>
              </w:rPr>
            </w:pPr>
            <w:r>
              <w:rPr>
                <w:w w:val="99"/>
                <w:sz w:val="18"/>
              </w:rPr>
              <w:t>-</w:t>
            </w:r>
          </w:p>
        </w:tc>
      </w:tr>
      <w:tr>
        <w:trPr>
          <w:trHeight w:val="353" w:hRule="exact"/>
        </w:trPr>
        <w:tc>
          <w:tcPr>
            <w:tcW w:w="333" w:type="dxa"/>
          </w:tcPr>
          <w:p>
            <w:pPr/>
          </w:p>
        </w:tc>
        <w:tc>
          <w:tcPr>
            <w:tcW w:w="7536" w:type="dxa"/>
            <w:tcBorders>
              <w:top w:val="single" w:sz="0" w:space="0" w:color="000000"/>
              <w:bottom w:val="single" w:sz="0" w:space="0" w:color="000000"/>
            </w:tcBorders>
          </w:tcPr>
          <w:p>
            <w:pPr>
              <w:pStyle w:val="TableParagraph"/>
              <w:tabs>
                <w:tab w:pos="5016" w:val="left" w:leader="none"/>
                <w:tab w:pos="6315" w:val="left" w:leader="none"/>
              </w:tabs>
              <w:spacing w:before="122"/>
              <w:ind w:left="691"/>
              <w:rPr>
                <w:sz w:val="18"/>
              </w:rPr>
            </w:pPr>
            <w:r>
              <w:rPr>
                <w:b/>
                <w:sz w:val="18"/>
              </w:rPr>
              <w:t>Used at</w:t>
            </w:r>
            <w:r>
              <w:rPr>
                <w:b/>
                <w:spacing w:val="-1"/>
                <w:sz w:val="18"/>
              </w:rPr>
              <w:t> </w:t>
            </w:r>
            <w:r>
              <w:rPr>
                <w:b/>
                <w:sz w:val="18"/>
              </w:rPr>
              <w:t>reporting</w:t>
            </w:r>
            <w:r>
              <w:rPr>
                <w:b/>
                <w:spacing w:val="-1"/>
                <w:sz w:val="18"/>
              </w:rPr>
              <w:t> </w:t>
            </w:r>
            <w:r>
              <w:rPr>
                <w:b/>
                <w:sz w:val="18"/>
              </w:rPr>
              <w:t>date</w:t>
              <w:tab/>
              <w:t>1,253</w:t>
              <w:tab/>
            </w:r>
            <w:r>
              <w:rPr>
                <w:sz w:val="18"/>
              </w:rPr>
              <w:t>1,570</w:t>
            </w:r>
          </w:p>
        </w:tc>
        <w:tc>
          <w:tcPr>
            <w:tcW w:w="768" w:type="dxa"/>
            <w:tcBorders>
              <w:top w:val="single" w:sz="0" w:space="0" w:color="000000"/>
              <w:bottom w:val="single" w:sz="0" w:space="0" w:color="000000"/>
            </w:tcBorders>
          </w:tcPr>
          <w:p>
            <w:pPr>
              <w:pStyle w:val="TableParagraph"/>
              <w:spacing w:before="122"/>
              <w:ind w:right="71"/>
              <w:jc w:val="right"/>
              <w:rPr>
                <w:b/>
                <w:sz w:val="18"/>
              </w:rPr>
            </w:pPr>
            <w:r>
              <w:rPr>
                <w:b/>
                <w:w w:val="95"/>
                <w:sz w:val="18"/>
              </w:rPr>
              <w:t>775</w:t>
            </w:r>
          </w:p>
        </w:tc>
        <w:tc>
          <w:tcPr>
            <w:tcW w:w="516" w:type="dxa"/>
            <w:tcBorders>
              <w:top w:val="single" w:sz="0" w:space="0" w:color="000000"/>
              <w:bottom w:val="single" w:sz="0" w:space="0" w:color="000000"/>
            </w:tcBorders>
          </w:tcPr>
          <w:p>
            <w:pPr/>
          </w:p>
        </w:tc>
        <w:tc>
          <w:tcPr>
            <w:tcW w:w="795" w:type="dxa"/>
            <w:tcBorders>
              <w:top w:val="single" w:sz="0" w:space="0" w:color="000000"/>
              <w:bottom w:val="single" w:sz="0" w:space="0" w:color="000000"/>
            </w:tcBorders>
          </w:tcPr>
          <w:p>
            <w:pPr>
              <w:pStyle w:val="TableParagraph"/>
              <w:spacing w:before="122"/>
              <w:ind w:left="408"/>
              <w:rPr>
                <w:sz w:val="18"/>
              </w:rPr>
            </w:pPr>
            <w:r>
              <w:rPr>
                <w:sz w:val="18"/>
              </w:rPr>
              <w:t>755</w:t>
            </w:r>
          </w:p>
        </w:tc>
      </w:tr>
      <w:tr>
        <w:trPr>
          <w:trHeight w:val="582" w:hRule="exact"/>
        </w:trPr>
        <w:tc>
          <w:tcPr>
            <w:tcW w:w="333" w:type="dxa"/>
          </w:tcPr>
          <w:p>
            <w:pPr/>
          </w:p>
        </w:tc>
        <w:tc>
          <w:tcPr>
            <w:tcW w:w="7536" w:type="dxa"/>
            <w:tcBorders>
              <w:top w:val="single" w:sz="0" w:space="0" w:color="000000"/>
            </w:tcBorders>
          </w:tcPr>
          <w:p>
            <w:pPr>
              <w:pStyle w:val="TableParagraph"/>
              <w:tabs>
                <w:tab w:pos="5266" w:val="left" w:leader="none"/>
                <w:tab w:pos="6764" w:val="right" w:leader="none"/>
              </w:tabs>
              <w:spacing w:before="337"/>
              <w:ind w:left="906"/>
              <w:rPr>
                <w:sz w:val="18"/>
              </w:rPr>
            </w:pPr>
            <w:r>
              <w:rPr>
                <w:sz w:val="18"/>
              </w:rPr>
              <w:t>Bank</w:t>
            </w:r>
            <w:r>
              <w:rPr>
                <w:spacing w:val="-1"/>
                <w:sz w:val="18"/>
              </w:rPr>
              <w:t> </w:t>
            </w:r>
            <w:r>
              <w:rPr>
                <w:sz w:val="18"/>
              </w:rPr>
              <w:t>guarantees</w:t>
              <w:tab/>
            </w:r>
            <w:r>
              <w:rPr>
                <w:b/>
                <w:sz w:val="18"/>
              </w:rPr>
              <w:t>59</w:t>
            </w:r>
            <w:r>
              <w:rPr>
                <w:rFonts w:ascii="Times New Roman"/>
                <w:sz w:val="18"/>
              </w:rPr>
              <w:tab/>
            </w:r>
            <w:r>
              <w:rPr>
                <w:sz w:val="18"/>
              </w:rPr>
              <w:t>38</w:t>
            </w:r>
          </w:p>
        </w:tc>
        <w:tc>
          <w:tcPr>
            <w:tcW w:w="768" w:type="dxa"/>
            <w:tcBorders>
              <w:top w:val="single" w:sz="0" w:space="0" w:color="000000"/>
            </w:tcBorders>
          </w:tcPr>
          <w:p>
            <w:pPr>
              <w:pStyle w:val="TableParagraph"/>
              <w:rPr>
                <w:rFonts w:ascii="Times New Roman"/>
                <w:sz w:val="18"/>
              </w:rPr>
            </w:pPr>
          </w:p>
          <w:p>
            <w:pPr>
              <w:pStyle w:val="TableParagraph"/>
              <w:spacing w:before="130"/>
              <w:ind w:right="72"/>
              <w:jc w:val="right"/>
              <w:rPr>
                <w:b/>
                <w:sz w:val="18"/>
              </w:rPr>
            </w:pPr>
            <w:r>
              <w:rPr>
                <w:b/>
                <w:sz w:val="18"/>
              </w:rPr>
              <w:t>59</w:t>
            </w:r>
          </w:p>
        </w:tc>
        <w:tc>
          <w:tcPr>
            <w:tcW w:w="516" w:type="dxa"/>
            <w:tcBorders>
              <w:top w:val="single" w:sz="0" w:space="0" w:color="000000"/>
            </w:tcBorders>
          </w:tcPr>
          <w:p>
            <w:pPr/>
          </w:p>
        </w:tc>
        <w:tc>
          <w:tcPr>
            <w:tcW w:w="795" w:type="dxa"/>
            <w:tcBorders>
              <w:top w:val="single" w:sz="0" w:space="0" w:color="000000"/>
            </w:tcBorders>
          </w:tcPr>
          <w:p>
            <w:pPr>
              <w:pStyle w:val="TableParagraph"/>
              <w:rPr>
                <w:rFonts w:ascii="Times New Roman"/>
                <w:sz w:val="18"/>
              </w:rPr>
            </w:pPr>
          </w:p>
          <w:p>
            <w:pPr>
              <w:pStyle w:val="TableParagraph"/>
              <w:spacing w:before="130"/>
              <w:ind w:right="84"/>
              <w:jc w:val="right"/>
              <w:rPr>
                <w:sz w:val="18"/>
              </w:rPr>
            </w:pPr>
            <w:r>
              <w:rPr>
                <w:sz w:val="18"/>
              </w:rPr>
              <w:t>24</w:t>
            </w:r>
          </w:p>
        </w:tc>
      </w:tr>
      <w:tr>
        <w:trPr>
          <w:trHeight w:val="265" w:hRule="exact"/>
        </w:trPr>
        <w:tc>
          <w:tcPr>
            <w:tcW w:w="333" w:type="dxa"/>
          </w:tcPr>
          <w:p>
            <w:pPr/>
          </w:p>
        </w:tc>
        <w:tc>
          <w:tcPr>
            <w:tcW w:w="7536" w:type="dxa"/>
          </w:tcPr>
          <w:p>
            <w:pPr>
              <w:pStyle w:val="TableParagraph"/>
              <w:tabs>
                <w:tab w:pos="5016" w:val="left" w:leader="none"/>
                <w:tab w:pos="6314" w:val="left" w:leader="none"/>
              </w:tabs>
              <w:spacing w:before="20"/>
              <w:ind w:left="906"/>
              <w:rPr>
                <w:sz w:val="18"/>
              </w:rPr>
            </w:pPr>
            <w:r>
              <w:rPr>
                <w:sz w:val="18"/>
              </w:rPr>
              <w:t>Credit</w:t>
            </w:r>
            <w:r>
              <w:rPr>
                <w:spacing w:val="-1"/>
                <w:sz w:val="18"/>
              </w:rPr>
              <w:t> </w:t>
            </w:r>
            <w:r>
              <w:rPr>
                <w:sz w:val="18"/>
              </w:rPr>
              <w:t>cards</w:t>
              <w:tab/>
            </w:r>
            <w:r>
              <w:rPr>
                <w:b/>
                <w:sz w:val="18"/>
              </w:rPr>
              <w:t>4,257</w:t>
              <w:tab/>
            </w:r>
            <w:r>
              <w:rPr>
                <w:sz w:val="18"/>
              </w:rPr>
              <w:t>4,274</w:t>
            </w:r>
          </w:p>
        </w:tc>
        <w:tc>
          <w:tcPr>
            <w:tcW w:w="768" w:type="dxa"/>
          </w:tcPr>
          <w:p>
            <w:pPr>
              <w:pStyle w:val="TableParagraph"/>
              <w:spacing w:before="19"/>
              <w:ind w:right="71"/>
              <w:jc w:val="right"/>
              <w:rPr>
                <w:b/>
                <w:sz w:val="18"/>
              </w:rPr>
            </w:pPr>
            <w:r>
              <w:rPr>
                <w:b/>
                <w:w w:val="95"/>
                <w:sz w:val="18"/>
              </w:rPr>
              <w:t>4,207</w:t>
            </w:r>
          </w:p>
        </w:tc>
        <w:tc>
          <w:tcPr>
            <w:tcW w:w="516" w:type="dxa"/>
          </w:tcPr>
          <w:p>
            <w:pPr/>
          </w:p>
        </w:tc>
        <w:tc>
          <w:tcPr>
            <w:tcW w:w="795" w:type="dxa"/>
          </w:tcPr>
          <w:p>
            <w:pPr>
              <w:pStyle w:val="TableParagraph"/>
              <w:spacing w:before="19"/>
              <w:ind w:left="258"/>
              <w:rPr>
                <w:sz w:val="18"/>
              </w:rPr>
            </w:pPr>
            <w:r>
              <w:rPr>
                <w:sz w:val="18"/>
              </w:rPr>
              <w:t>4,221</w:t>
            </w:r>
          </w:p>
        </w:tc>
      </w:tr>
      <w:tr>
        <w:trPr>
          <w:trHeight w:val="262" w:hRule="exact"/>
        </w:trPr>
        <w:tc>
          <w:tcPr>
            <w:tcW w:w="333" w:type="dxa"/>
          </w:tcPr>
          <w:p>
            <w:pPr/>
          </w:p>
        </w:tc>
        <w:tc>
          <w:tcPr>
            <w:tcW w:w="7536" w:type="dxa"/>
            <w:tcBorders>
              <w:bottom w:val="single" w:sz="0" w:space="0" w:color="000000"/>
            </w:tcBorders>
          </w:tcPr>
          <w:p>
            <w:pPr>
              <w:pStyle w:val="TableParagraph"/>
              <w:tabs>
                <w:tab w:pos="5016" w:val="left" w:leader="none"/>
                <w:tab w:pos="6314" w:val="left" w:leader="none"/>
              </w:tabs>
              <w:spacing w:before="19"/>
              <w:ind w:left="906"/>
              <w:rPr>
                <w:sz w:val="18"/>
              </w:rPr>
            </w:pPr>
            <w:r>
              <w:rPr>
                <w:sz w:val="18"/>
              </w:rPr>
              <w:t>Leasing</w:t>
            </w:r>
            <w:r>
              <w:rPr>
                <w:spacing w:val="-1"/>
                <w:sz w:val="18"/>
              </w:rPr>
              <w:t> </w:t>
            </w:r>
            <w:r>
              <w:rPr>
                <w:sz w:val="18"/>
              </w:rPr>
              <w:t>facilities</w:t>
              <w:tab/>
            </w:r>
            <w:r>
              <w:rPr>
                <w:b/>
                <w:sz w:val="18"/>
              </w:rPr>
              <w:t>1,542</w:t>
              <w:tab/>
            </w:r>
            <w:r>
              <w:rPr>
                <w:sz w:val="18"/>
              </w:rPr>
              <w:t>1,302</w:t>
            </w:r>
          </w:p>
        </w:tc>
        <w:tc>
          <w:tcPr>
            <w:tcW w:w="768" w:type="dxa"/>
            <w:tcBorders>
              <w:bottom w:val="single" w:sz="0" w:space="0" w:color="000000"/>
            </w:tcBorders>
          </w:tcPr>
          <w:p>
            <w:pPr>
              <w:pStyle w:val="TableParagraph"/>
              <w:spacing w:before="18"/>
              <w:ind w:right="73"/>
              <w:jc w:val="right"/>
              <w:rPr>
                <w:b/>
                <w:sz w:val="18"/>
              </w:rPr>
            </w:pPr>
            <w:r>
              <w:rPr>
                <w:b/>
                <w:w w:val="99"/>
                <w:sz w:val="18"/>
              </w:rPr>
              <w:t>-</w:t>
            </w:r>
          </w:p>
        </w:tc>
        <w:tc>
          <w:tcPr>
            <w:tcW w:w="516" w:type="dxa"/>
            <w:tcBorders>
              <w:bottom w:val="single" w:sz="0" w:space="0" w:color="000000"/>
            </w:tcBorders>
          </w:tcPr>
          <w:p>
            <w:pPr/>
          </w:p>
        </w:tc>
        <w:tc>
          <w:tcPr>
            <w:tcW w:w="795" w:type="dxa"/>
            <w:tcBorders>
              <w:bottom w:val="single" w:sz="0" w:space="0" w:color="000000"/>
            </w:tcBorders>
          </w:tcPr>
          <w:p>
            <w:pPr>
              <w:pStyle w:val="TableParagraph"/>
              <w:spacing w:before="18"/>
              <w:ind w:right="86"/>
              <w:jc w:val="right"/>
              <w:rPr>
                <w:sz w:val="18"/>
              </w:rPr>
            </w:pPr>
            <w:r>
              <w:rPr>
                <w:w w:val="99"/>
                <w:sz w:val="18"/>
              </w:rPr>
              <w:t>-</w:t>
            </w:r>
          </w:p>
        </w:tc>
      </w:tr>
      <w:tr>
        <w:trPr>
          <w:trHeight w:val="353" w:hRule="exact"/>
        </w:trPr>
        <w:tc>
          <w:tcPr>
            <w:tcW w:w="333" w:type="dxa"/>
          </w:tcPr>
          <w:p>
            <w:pPr/>
          </w:p>
        </w:tc>
        <w:tc>
          <w:tcPr>
            <w:tcW w:w="7536" w:type="dxa"/>
            <w:tcBorders>
              <w:top w:val="single" w:sz="0" w:space="0" w:color="000000"/>
              <w:bottom w:val="single" w:sz="0" w:space="0" w:color="000000"/>
            </w:tcBorders>
          </w:tcPr>
          <w:p>
            <w:pPr>
              <w:pStyle w:val="TableParagraph"/>
              <w:tabs>
                <w:tab w:pos="5016" w:val="left" w:leader="none"/>
                <w:tab w:pos="6315" w:val="left" w:leader="none"/>
              </w:tabs>
              <w:spacing w:before="122"/>
              <w:ind w:left="691"/>
              <w:rPr>
                <w:sz w:val="18"/>
              </w:rPr>
            </w:pPr>
            <w:r>
              <w:rPr>
                <w:b/>
                <w:sz w:val="18"/>
              </w:rPr>
              <w:t>Unused at reporting date</w:t>
              <w:tab/>
              <w:t>5,858</w:t>
              <w:tab/>
            </w:r>
            <w:r>
              <w:rPr>
                <w:sz w:val="18"/>
              </w:rPr>
              <w:t>5,614</w:t>
            </w:r>
          </w:p>
        </w:tc>
        <w:tc>
          <w:tcPr>
            <w:tcW w:w="768" w:type="dxa"/>
            <w:tcBorders>
              <w:top w:val="single" w:sz="0" w:space="0" w:color="000000"/>
              <w:bottom w:val="single" w:sz="0" w:space="0" w:color="000000"/>
            </w:tcBorders>
          </w:tcPr>
          <w:p>
            <w:pPr>
              <w:pStyle w:val="TableParagraph"/>
              <w:spacing w:before="122"/>
              <w:ind w:right="71"/>
              <w:jc w:val="right"/>
              <w:rPr>
                <w:b/>
                <w:sz w:val="18"/>
              </w:rPr>
            </w:pPr>
            <w:r>
              <w:rPr>
                <w:b/>
                <w:w w:val="95"/>
                <w:sz w:val="18"/>
              </w:rPr>
              <w:t>4,266</w:t>
            </w:r>
          </w:p>
        </w:tc>
        <w:tc>
          <w:tcPr>
            <w:tcW w:w="516" w:type="dxa"/>
            <w:tcBorders>
              <w:top w:val="single" w:sz="0" w:space="0" w:color="000000"/>
              <w:bottom w:val="single" w:sz="0" w:space="0" w:color="000000"/>
            </w:tcBorders>
          </w:tcPr>
          <w:p>
            <w:pPr/>
          </w:p>
        </w:tc>
        <w:tc>
          <w:tcPr>
            <w:tcW w:w="795" w:type="dxa"/>
            <w:tcBorders>
              <w:top w:val="single" w:sz="0" w:space="0" w:color="000000"/>
              <w:bottom w:val="single" w:sz="0" w:space="0" w:color="000000"/>
            </w:tcBorders>
          </w:tcPr>
          <w:p>
            <w:pPr>
              <w:pStyle w:val="TableParagraph"/>
              <w:spacing w:before="122"/>
              <w:ind w:left="258"/>
              <w:rPr>
                <w:sz w:val="18"/>
              </w:rPr>
            </w:pPr>
            <w:r>
              <w:rPr>
                <w:sz w:val="18"/>
              </w:rPr>
              <w:t>4,245</w:t>
            </w:r>
          </w:p>
        </w:tc>
      </w:tr>
      <w:tr>
        <w:trPr>
          <w:trHeight w:val="903" w:hRule="exact"/>
        </w:trPr>
        <w:tc>
          <w:tcPr>
            <w:tcW w:w="333" w:type="dxa"/>
          </w:tcPr>
          <w:p>
            <w:pPr/>
          </w:p>
        </w:tc>
        <w:tc>
          <w:tcPr>
            <w:tcW w:w="7536" w:type="dxa"/>
            <w:tcBorders>
              <w:top w:val="single" w:sz="0" w:space="0" w:color="000000"/>
            </w:tcBorders>
          </w:tcPr>
          <w:p>
            <w:pPr>
              <w:pStyle w:val="TableParagraph"/>
              <w:rPr>
                <w:rFonts w:ascii="Times New Roman"/>
                <w:sz w:val="18"/>
              </w:rPr>
            </w:pPr>
          </w:p>
          <w:p>
            <w:pPr>
              <w:pStyle w:val="TableParagraph"/>
              <w:spacing w:before="8"/>
              <w:rPr>
                <w:rFonts w:ascii="Times New Roman"/>
                <w:sz w:val="18"/>
              </w:rPr>
            </w:pPr>
          </w:p>
          <w:p>
            <w:pPr>
              <w:pStyle w:val="TableParagraph"/>
              <w:ind w:left="691"/>
              <w:rPr>
                <w:b/>
                <w:sz w:val="18"/>
              </w:rPr>
            </w:pPr>
            <w:r>
              <w:rPr>
                <w:b/>
                <w:sz w:val="18"/>
              </w:rPr>
              <w:t>Bank loan facilities</w:t>
            </w:r>
          </w:p>
          <w:p>
            <w:pPr>
              <w:pStyle w:val="TableParagraph"/>
              <w:tabs>
                <w:tab w:pos="4817" w:val="left" w:leader="none"/>
                <w:tab w:pos="6115" w:val="left" w:leader="none"/>
              </w:tabs>
              <w:spacing w:before="29"/>
              <w:ind w:left="691"/>
              <w:rPr>
                <w:sz w:val="18"/>
              </w:rPr>
            </w:pPr>
            <w:r>
              <w:rPr>
                <w:sz w:val="18"/>
              </w:rPr>
              <w:t>Total</w:t>
            </w:r>
            <w:r>
              <w:rPr>
                <w:spacing w:val="-1"/>
                <w:sz w:val="18"/>
              </w:rPr>
              <w:t> </w:t>
            </w:r>
            <w:r>
              <w:rPr>
                <w:sz w:val="18"/>
              </w:rPr>
              <w:t>facilities</w:t>
              <w:tab/>
            </w:r>
            <w:r>
              <w:rPr>
                <w:b/>
                <w:sz w:val="18"/>
              </w:rPr>
              <w:t>128,000</w:t>
              <w:tab/>
            </w:r>
            <w:r>
              <w:rPr>
                <w:sz w:val="18"/>
              </w:rPr>
              <w:t>128,000</w:t>
            </w:r>
          </w:p>
        </w:tc>
        <w:tc>
          <w:tcPr>
            <w:tcW w:w="768" w:type="dxa"/>
            <w:tcBorders>
              <w:top w:val="single" w:sz="0" w:space="0" w:color="000000"/>
            </w:tcBorders>
          </w:tcPr>
          <w:p>
            <w:pPr>
              <w:pStyle w:val="TableParagraph"/>
              <w:rPr>
                <w:rFonts w:ascii="Times New Roman"/>
                <w:sz w:val="18"/>
              </w:rPr>
            </w:pPr>
          </w:p>
          <w:p>
            <w:pPr>
              <w:pStyle w:val="TableParagraph"/>
              <w:rPr>
                <w:rFonts w:ascii="Times New Roman"/>
                <w:sz w:val="18"/>
              </w:rPr>
            </w:pPr>
          </w:p>
          <w:p>
            <w:pPr>
              <w:pStyle w:val="TableParagraph"/>
              <w:spacing w:before="1"/>
              <w:rPr>
                <w:rFonts w:ascii="Times New Roman"/>
                <w:sz w:val="21"/>
              </w:rPr>
            </w:pPr>
          </w:p>
          <w:p>
            <w:pPr>
              <w:pStyle w:val="TableParagraph"/>
              <w:spacing w:before="1"/>
              <w:ind w:right="70"/>
              <w:jc w:val="right"/>
              <w:rPr>
                <w:b/>
                <w:sz w:val="18"/>
              </w:rPr>
            </w:pPr>
            <w:r>
              <w:rPr>
                <w:b/>
                <w:w w:val="95"/>
                <w:sz w:val="18"/>
              </w:rPr>
              <w:t>128,000</w:t>
            </w:r>
          </w:p>
        </w:tc>
        <w:tc>
          <w:tcPr>
            <w:tcW w:w="516" w:type="dxa"/>
            <w:tcBorders>
              <w:top w:val="single" w:sz="0" w:space="0" w:color="000000"/>
            </w:tcBorders>
          </w:tcPr>
          <w:p>
            <w:pPr/>
          </w:p>
        </w:tc>
        <w:tc>
          <w:tcPr>
            <w:tcW w:w="795" w:type="dxa"/>
            <w:tcBorders>
              <w:top w:val="single" w:sz="0" w:space="0" w:color="000000"/>
            </w:tcBorders>
          </w:tcPr>
          <w:p>
            <w:pPr>
              <w:pStyle w:val="TableParagraph"/>
              <w:rPr>
                <w:rFonts w:ascii="Times New Roman"/>
                <w:sz w:val="18"/>
              </w:rPr>
            </w:pPr>
          </w:p>
          <w:p>
            <w:pPr>
              <w:pStyle w:val="TableParagraph"/>
              <w:rPr>
                <w:rFonts w:ascii="Times New Roman"/>
                <w:sz w:val="18"/>
              </w:rPr>
            </w:pPr>
          </w:p>
          <w:p>
            <w:pPr>
              <w:pStyle w:val="TableParagraph"/>
              <w:spacing w:before="1"/>
              <w:rPr>
                <w:rFonts w:ascii="Times New Roman"/>
                <w:sz w:val="21"/>
              </w:rPr>
            </w:pPr>
          </w:p>
          <w:p>
            <w:pPr>
              <w:pStyle w:val="TableParagraph"/>
              <w:spacing w:before="1"/>
              <w:ind w:left="59"/>
              <w:rPr>
                <w:sz w:val="18"/>
              </w:rPr>
            </w:pPr>
            <w:r>
              <w:rPr>
                <w:sz w:val="18"/>
              </w:rPr>
              <w:t>128,000</w:t>
            </w:r>
          </w:p>
        </w:tc>
      </w:tr>
      <w:tr>
        <w:trPr>
          <w:trHeight w:val="262" w:hRule="exact"/>
        </w:trPr>
        <w:tc>
          <w:tcPr>
            <w:tcW w:w="333" w:type="dxa"/>
          </w:tcPr>
          <w:p>
            <w:pPr/>
          </w:p>
        </w:tc>
        <w:tc>
          <w:tcPr>
            <w:tcW w:w="7536" w:type="dxa"/>
            <w:tcBorders>
              <w:bottom w:val="single" w:sz="0" w:space="0" w:color="000000"/>
            </w:tcBorders>
          </w:tcPr>
          <w:p>
            <w:pPr>
              <w:pStyle w:val="TableParagraph"/>
              <w:tabs>
                <w:tab w:pos="4856" w:val="left" w:leader="none"/>
                <w:tab w:pos="6155" w:val="left" w:leader="none"/>
              </w:tabs>
              <w:spacing w:before="19"/>
              <w:ind w:left="691"/>
              <w:rPr>
                <w:sz w:val="18"/>
              </w:rPr>
            </w:pPr>
            <w:r>
              <w:rPr>
                <w:sz w:val="18"/>
              </w:rPr>
              <w:t>Used at</w:t>
            </w:r>
            <w:r>
              <w:rPr>
                <w:spacing w:val="-1"/>
                <w:sz w:val="18"/>
              </w:rPr>
              <w:t> </w:t>
            </w:r>
            <w:r>
              <w:rPr>
                <w:sz w:val="18"/>
              </w:rPr>
              <w:t>balance</w:t>
            </w:r>
            <w:r>
              <w:rPr>
                <w:spacing w:val="-1"/>
                <w:sz w:val="18"/>
              </w:rPr>
              <w:t> </w:t>
            </w:r>
            <w:r>
              <w:rPr>
                <w:sz w:val="18"/>
              </w:rPr>
              <w:t>date</w:t>
              <w:tab/>
            </w:r>
            <w:r>
              <w:rPr>
                <w:b/>
                <w:sz w:val="18"/>
              </w:rPr>
              <w:t>(55,500)</w:t>
              <w:tab/>
            </w:r>
            <w:r>
              <w:rPr>
                <w:sz w:val="18"/>
              </w:rPr>
              <w:t>(44,000)</w:t>
            </w:r>
          </w:p>
        </w:tc>
        <w:tc>
          <w:tcPr>
            <w:tcW w:w="768" w:type="dxa"/>
            <w:tcBorders>
              <w:bottom w:val="single" w:sz="0" w:space="0" w:color="000000"/>
            </w:tcBorders>
          </w:tcPr>
          <w:p>
            <w:pPr>
              <w:pStyle w:val="TableParagraph"/>
              <w:spacing w:before="18"/>
              <w:ind w:right="11"/>
              <w:jc w:val="right"/>
              <w:rPr>
                <w:b/>
                <w:sz w:val="18"/>
              </w:rPr>
            </w:pPr>
            <w:r>
              <w:rPr>
                <w:b/>
                <w:w w:val="95"/>
                <w:sz w:val="18"/>
              </w:rPr>
              <w:t>(55,500)</w:t>
            </w:r>
          </w:p>
        </w:tc>
        <w:tc>
          <w:tcPr>
            <w:tcW w:w="516" w:type="dxa"/>
            <w:tcBorders>
              <w:bottom w:val="single" w:sz="0" w:space="0" w:color="000000"/>
            </w:tcBorders>
          </w:tcPr>
          <w:p>
            <w:pPr/>
          </w:p>
        </w:tc>
        <w:tc>
          <w:tcPr>
            <w:tcW w:w="795" w:type="dxa"/>
            <w:tcBorders>
              <w:bottom w:val="single" w:sz="0" w:space="0" w:color="000000"/>
            </w:tcBorders>
          </w:tcPr>
          <w:p>
            <w:pPr>
              <w:pStyle w:val="TableParagraph"/>
              <w:spacing w:before="18"/>
              <w:ind w:left="98"/>
              <w:rPr>
                <w:sz w:val="18"/>
              </w:rPr>
            </w:pPr>
            <w:r>
              <w:rPr>
                <w:sz w:val="18"/>
              </w:rPr>
              <w:t>(44,000)</w:t>
            </w:r>
          </w:p>
        </w:tc>
      </w:tr>
      <w:tr>
        <w:trPr>
          <w:trHeight w:val="298" w:hRule="exact"/>
        </w:trPr>
        <w:tc>
          <w:tcPr>
            <w:tcW w:w="333" w:type="dxa"/>
          </w:tcPr>
          <w:p>
            <w:pPr/>
          </w:p>
        </w:tc>
        <w:tc>
          <w:tcPr>
            <w:tcW w:w="7536" w:type="dxa"/>
            <w:tcBorders>
              <w:top w:val="single" w:sz="0" w:space="0" w:color="000000"/>
              <w:bottom w:val="single" w:sz="0" w:space="0" w:color="000000"/>
            </w:tcBorders>
          </w:tcPr>
          <w:p>
            <w:pPr>
              <w:pStyle w:val="TableParagraph"/>
              <w:tabs>
                <w:tab w:pos="4917" w:val="left" w:leader="none"/>
                <w:tab w:pos="6215" w:val="left" w:leader="none"/>
              </w:tabs>
              <w:spacing w:before="40"/>
              <w:ind w:left="691"/>
              <w:rPr>
                <w:sz w:val="18"/>
              </w:rPr>
            </w:pPr>
            <w:r>
              <w:rPr>
                <w:b/>
                <w:sz w:val="18"/>
              </w:rPr>
              <w:t>Unused at</w:t>
            </w:r>
            <w:r>
              <w:rPr>
                <w:b/>
                <w:spacing w:val="-5"/>
                <w:sz w:val="18"/>
              </w:rPr>
              <w:t> </w:t>
            </w:r>
            <w:r>
              <w:rPr>
                <w:b/>
                <w:sz w:val="18"/>
              </w:rPr>
              <w:t>balance</w:t>
            </w:r>
            <w:r>
              <w:rPr>
                <w:b/>
                <w:spacing w:val="-3"/>
                <w:sz w:val="18"/>
              </w:rPr>
              <w:t> </w:t>
            </w:r>
            <w:r>
              <w:rPr>
                <w:b/>
                <w:sz w:val="18"/>
              </w:rPr>
              <w:t>date</w:t>
            </w:r>
            <w:r>
              <w:rPr>
                <w:rFonts w:ascii="Microsoft Sans Serif"/>
                <w:b/>
                <w:sz w:val="18"/>
              </w:rPr>
              <w:tab/>
            </w:r>
            <w:r>
              <w:rPr>
                <w:b/>
                <w:sz w:val="18"/>
              </w:rPr>
              <w:t>72,500</w:t>
              <w:tab/>
            </w:r>
            <w:r>
              <w:rPr>
                <w:sz w:val="18"/>
              </w:rPr>
              <w:t>84,000</w:t>
            </w:r>
          </w:p>
        </w:tc>
        <w:tc>
          <w:tcPr>
            <w:tcW w:w="768" w:type="dxa"/>
            <w:tcBorders>
              <w:top w:val="single" w:sz="0" w:space="0" w:color="000000"/>
              <w:bottom w:val="single" w:sz="0" w:space="0" w:color="000000"/>
            </w:tcBorders>
          </w:tcPr>
          <w:p>
            <w:pPr>
              <w:pStyle w:val="TableParagraph"/>
              <w:spacing w:before="38"/>
              <w:ind w:right="71"/>
              <w:jc w:val="right"/>
              <w:rPr>
                <w:b/>
                <w:sz w:val="18"/>
              </w:rPr>
            </w:pPr>
            <w:r>
              <w:rPr>
                <w:b/>
                <w:w w:val="95"/>
                <w:sz w:val="18"/>
              </w:rPr>
              <w:t>72,500</w:t>
            </w:r>
          </w:p>
        </w:tc>
        <w:tc>
          <w:tcPr>
            <w:tcW w:w="516" w:type="dxa"/>
            <w:tcBorders>
              <w:top w:val="single" w:sz="0" w:space="0" w:color="000000"/>
              <w:bottom w:val="single" w:sz="0" w:space="0" w:color="000000"/>
            </w:tcBorders>
          </w:tcPr>
          <w:p>
            <w:pPr/>
          </w:p>
        </w:tc>
        <w:tc>
          <w:tcPr>
            <w:tcW w:w="795" w:type="dxa"/>
            <w:tcBorders>
              <w:top w:val="single" w:sz="0" w:space="0" w:color="000000"/>
              <w:bottom w:val="single" w:sz="0" w:space="0" w:color="000000"/>
            </w:tcBorders>
          </w:tcPr>
          <w:p>
            <w:pPr>
              <w:pStyle w:val="TableParagraph"/>
              <w:spacing w:before="38"/>
              <w:ind w:left="158"/>
              <w:rPr>
                <w:sz w:val="18"/>
              </w:rPr>
            </w:pPr>
            <w:r>
              <w:rPr>
                <w:sz w:val="18"/>
              </w:rPr>
              <w:t>84,000</w:t>
            </w:r>
          </w:p>
        </w:tc>
      </w:tr>
    </w:tbl>
    <w:p>
      <w:pPr>
        <w:spacing w:after="0"/>
        <w:rPr>
          <w:sz w:val="18"/>
        </w:rPr>
        <w:sectPr>
          <w:pgSz w:w="11910" w:h="16840"/>
          <w:pgMar w:header="1038" w:footer="507" w:top="2220" w:bottom="700" w:left="860" w:right="880"/>
        </w:sectPr>
      </w:pPr>
    </w:p>
    <w:p>
      <w:pPr>
        <w:pStyle w:val="BodyText"/>
        <w:spacing w:before="7"/>
        <w:rPr>
          <w:rFonts w:ascii="Times New Roman"/>
          <w:sz w:val="26"/>
        </w:rPr>
      </w:pPr>
    </w:p>
    <w:p>
      <w:pPr>
        <w:pStyle w:val="Heading9"/>
        <w:numPr>
          <w:ilvl w:val="0"/>
          <w:numId w:val="16"/>
        </w:numPr>
        <w:tabs>
          <w:tab w:pos="506" w:val="left" w:leader="none"/>
        </w:tabs>
        <w:spacing w:line="240" w:lineRule="auto" w:before="77" w:after="0"/>
        <w:ind w:left="505" w:right="0" w:hanging="396"/>
        <w:jc w:val="left"/>
      </w:pPr>
      <w:r>
        <w:rPr/>
        <w:t>Provisions</w:t>
      </w:r>
    </w:p>
    <w:p>
      <w:pPr>
        <w:tabs>
          <w:tab w:pos="7297" w:val="left" w:leader="none"/>
        </w:tabs>
        <w:spacing w:before="33"/>
        <w:ind w:left="4567" w:right="128" w:firstLine="0"/>
        <w:jc w:val="left"/>
        <w:rPr>
          <w:b/>
          <w:sz w:val="18"/>
        </w:rPr>
      </w:pPr>
      <w:r>
        <w:rPr>
          <w:b/>
          <w:sz w:val="18"/>
        </w:rPr>
        <w:t>Consolidated</w:t>
        <w:tab/>
        <w:t>Parent</w:t>
      </w:r>
    </w:p>
    <w:p>
      <w:pPr>
        <w:spacing w:after="0"/>
        <w:jc w:val="left"/>
        <w:rPr>
          <w:sz w:val="18"/>
        </w:rPr>
        <w:sectPr>
          <w:pgSz w:w="11910" w:h="16840"/>
          <w:pgMar w:header="1038" w:footer="507" w:top="2220" w:bottom="700" w:left="900" w:right="880"/>
        </w:sectPr>
      </w:pPr>
    </w:p>
    <w:p>
      <w:pPr>
        <w:spacing w:before="66"/>
        <w:ind w:left="0" w:right="40" w:firstLine="0"/>
        <w:jc w:val="right"/>
        <w:rPr>
          <w:b/>
          <w:sz w:val="18"/>
        </w:rPr>
      </w:pPr>
      <w:r>
        <w:rPr>
          <w:b/>
          <w:w w:val="95"/>
          <w:sz w:val="18"/>
        </w:rPr>
        <w:t>2012</w:t>
      </w:r>
    </w:p>
    <w:p>
      <w:pPr>
        <w:spacing w:before="66"/>
        <w:ind w:left="0" w:right="0" w:firstLine="0"/>
        <w:jc w:val="right"/>
        <w:rPr>
          <w:b/>
          <w:sz w:val="18"/>
        </w:rPr>
      </w:pPr>
      <w:r>
        <w:rPr>
          <w:b/>
          <w:sz w:val="18"/>
        </w:rPr>
        <w:t>$'000</w:t>
      </w:r>
    </w:p>
    <w:p>
      <w:pPr>
        <w:spacing w:before="66"/>
        <w:ind w:left="780" w:right="-20" w:firstLine="0"/>
        <w:jc w:val="left"/>
        <w:rPr>
          <w:b/>
          <w:sz w:val="18"/>
        </w:rPr>
      </w:pPr>
      <w:r>
        <w:rPr/>
        <w:br w:type="column"/>
      </w:r>
      <w:r>
        <w:rPr>
          <w:b/>
          <w:sz w:val="18"/>
        </w:rPr>
        <w:t>2011</w:t>
      </w:r>
    </w:p>
    <w:p>
      <w:pPr>
        <w:spacing w:before="66"/>
        <w:ind w:left="780" w:right="-20" w:firstLine="0"/>
        <w:jc w:val="left"/>
        <w:rPr>
          <w:b/>
          <w:sz w:val="18"/>
        </w:rPr>
      </w:pPr>
      <w:r>
        <w:rPr>
          <w:b/>
          <w:sz w:val="18"/>
        </w:rPr>
        <w:t>$'000</w:t>
      </w:r>
    </w:p>
    <w:p>
      <w:pPr>
        <w:spacing w:before="66"/>
        <w:ind w:left="0" w:right="40" w:firstLine="0"/>
        <w:jc w:val="right"/>
        <w:rPr>
          <w:b/>
          <w:sz w:val="18"/>
        </w:rPr>
      </w:pPr>
      <w:r>
        <w:rPr/>
        <w:br w:type="column"/>
      </w:r>
      <w:r>
        <w:rPr>
          <w:b/>
          <w:sz w:val="18"/>
        </w:rPr>
        <w:t>2012</w:t>
      </w:r>
    </w:p>
    <w:p>
      <w:pPr>
        <w:spacing w:before="66"/>
        <w:ind w:left="0" w:right="0" w:firstLine="0"/>
        <w:jc w:val="right"/>
        <w:rPr>
          <w:b/>
          <w:sz w:val="18"/>
        </w:rPr>
      </w:pPr>
      <w:r>
        <w:rPr>
          <w:b/>
          <w:w w:val="95"/>
          <w:sz w:val="18"/>
        </w:rPr>
        <w:t>$'000</w:t>
      </w:r>
    </w:p>
    <w:p>
      <w:pPr>
        <w:spacing w:before="66"/>
        <w:ind w:left="714" w:right="892" w:firstLine="0"/>
        <w:jc w:val="center"/>
        <w:rPr>
          <w:b/>
          <w:sz w:val="18"/>
        </w:rPr>
      </w:pPr>
      <w:r>
        <w:rPr/>
        <w:br w:type="column"/>
      </w:r>
      <w:r>
        <w:rPr>
          <w:b/>
          <w:sz w:val="18"/>
        </w:rPr>
        <w:t>2011</w:t>
      </w:r>
    </w:p>
    <w:p>
      <w:pPr>
        <w:spacing w:before="66"/>
        <w:ind w:left="757" w:right="892" w:firstLine="0"/>
        <w:jc w:val="center"/>
        <w:rPr>
          <w:b/>
          <w:sz w:val="18"/>
        </w:rPr>
      </w:pPr>
      <w:r>
        <w:rPr>
          <w:b/>
          <w:sz w:val="18"/>
        </w:rPr>
        <w:t>$'000</w:t>
      </w:r>
    </w:p>
    <w:p>
      <w:pPr>
        <w:spacing w:after="0"/>
        <w:jc w:val="center"/>
        <w:rPr>
          <w:sz w:val="18"/>
        </w:rPr>
        <w:sectPr>
          <w:type w:val="continuous"/>
          <w:pgSz w:w="11910" w:h="16840"/>
          <w:pgMar w:top="0" w:bottom="280" w:left="900" w:right="880"/>
          <w:cols w:num="4" w:equalWidth="0">
            <w:col w:w="5180" w:space="40"/>
            <w:col w:w="1224" w:space="40"/>
            <w:col w:w="1460" w:space="40"/>
            <w:col w:w="2146"/>
          </w:cols>
        </w:sectPr>
      </w:pPr>
    </w:p>
    <w:p>
      <w:pPr>
        <w:pStyle w:val="BodyText"/>
        <w:spacing w:before="3"/>
        <w:rPr>
          <w:b/>
          <w:sz w:val="15"/>
        </w:rPr>
      </w:pPr>
    </w:p>
    <w:p>
      <w:pPr>
        <w:spacing w:line="254" w:lineRule="auto" w:before="0"/>
        <w:ind w:left="549" w:right="6900" w:firstLine="0"/>
        <w:jc w:val="left"/>
        <w:rPr>
          <w:sz w:val="18"/>
        </w:rPr>
      </w:pPr>
      <w:r>
        <w:rPr>
          <w:b/>
          <w:sz w:val="18"/>
        </w:rPr>
        <w:t>Current provisions expected to be settled within 12 months </w:t>
      </w:r>
      <w:r>
        <w:rPr>
          <w:sz w:val="18"/>
        </w:rPr>
        <w:t>Employee benefits</w:t>
      </w:r>
    </w:p>
    <w:p>
      <w:pPr>
        <w:tabs>
          <w:tab w:pos="5319" w:val="left" w:leader="none"/>
          <w:tab w:pos="6616" w:val="left" w:leader="none"/>
          <w:tab w:pos="8083" w:val="left" w:leader="none"/>
          <w:tab w:pos="9380" w:val="left" w:leader="none"/>
        </w:tabs>
        <w:spacing w:before="45"/>
        <w:ind w:left="764" w:right="128" w:firstLine="0"/>
        <w:jc w:val="left"/>
        <w:rPr>
          <w:sz w:val="18"/>
        </w:rPr>
      </w:pPr>
      <w:r>
        <w:rPr>
          <w:sz w:val="18"/>
        </w:rPr>
        <w:t>Annual</w:t>
      </w:r>
      <w:r>
        <w:rPr>
          <w:spacing w:val="-1"/>
          <w:sz w:val="18"/>
        </w:rPr>
        <w:t> </w:t>
      </w:r>
      <w:r>
        <w:rPr>
          <w:sz w:val="18"/>
        </w:rPr>
        <w:t>Leave</w:t>
        <w:tab/>
      </w:r>
      <w:r>
        <w:rPr>
          <w:b/>
          <w:sz w:val="18"/>
        </w:rPr>
        <w:t>16,041</w:t>
        <w:tab/>
      </w:r>
      <w:r>
        <w:rPr>
          <w:sz w:val="18"/>
        </w:rPr>
        <w:t>14,661</w:t>
        <w:tab/>
      </w:r>
      <w:r>
        <w:rPr>
          <w:b/>
          <w:sz w:val="18"/>
        </w:rPr>
        <w:t>14,674</w:t>
        <w:tab/>
      </w:r>
      <w:r>
        <w:rPr>
          <w:sz w:val="18"/>
        </w:rPr>
        <w:t>13,874</w:t>
      </w:r>
    </w:p>
    <w:p>
      <w:pPr>
        <w:tabs>
          <w:tab w:pos="5419" w:val="left" w:leader="none"/>
          <w:tab w:pos="6716" w:val="left" w:leader="none"/>
          <w:tab w:pos="8183" w:val="left" w:leader="none"/>
          <w:tab w:pos="9480" w:val="left" w:leader="none"/>
        </w:tabs>
        <w:spacing w:before="57"/>
        <w:ind w:left="764" w:right="128" w:firstLine="0"/>
        <w:jc w:val="left"/>
        <w:rPr>
          <w:sz w:val="18"/>
        </w:rPr>
      </w:pPr>
      <w:r>
        <w:rPr/>
        <w:pict>
          <v:group style="position:absolute;margin-left:269.709991pt;margin-top:14.488178pt;width:276.5pt;height:1pt;mso-position-horizontal-relative:page;mso-position-vertical-relative:paragraph;z-index:3400" coordorigin="5394,290" coordsize="5530,20">
            <v:line style="position:absolute" from="5395,291" to="5564,291" stroked="true" strokeweight=".06pt" strokecolor="#000000"/>
            <v:line style="position:absolute" from="5395,292" to="5564,292" stroked="true" strokeweight=".06pt" strokecolor="#000000"/>
            <v:line style="position:absolute" from="5395,293" to="5564,293" stroked="true" strokeweight=".06pt" strokecolor="#000000"/>
            <v:line style="position:absolute" from="5395,294" to="5564,294" stroked="true" strokeweight=".06pt" strokecolor="#000000"/>
            <v:line style="position:absolute" from="5395,296" to="5564,296" stroked="true" strokeweight=".06pt" strokecolor="#000000"/>
            <v:line style="position:absolute" from="5395,297" to="5564,297" stroked="true" strokeweight=".06pt" strokecolor="#000000"/>
            <v:line style="position:absolute" from="5395,298" to="5564,298" stroked="true" strokeweight=".06pt" strokecolor="#000000"/>
            <v:line style="position:absolute" from="5395,299" to="5564,299" stroked="true" strokeweight=".06pt" strokecolor="#000000"/>
            <v:line style="position:absolute" from="5395,300" to="5564,300" stroked="true" strokeweight=".06pt" strokecolor="#000000"/>
            <v:line style="position:absolute" from="5395,302" to="5564,302" stroked="true" strokeweight=".06pt" strokecolor="#000000"/>
            <v:line style="position:absolute" from="5395,303" to="5564,303" stroked="true" strokeweight=".06pt" strokecolor="#000000"/>
            <v:line style="position:absolute" from="5395,304" to="5564,304" stroked="true" strokeweight=".06pt" strokecolor="#000000"/>
            <v:line style="position:absolute" from="5395,305" to="5564,305" stroked="true" strokeweight=".06pt" strokecolor="#000000"/>
            <v:line style="position:absolute" from="5395,306" to="5564,306" stroked="true" strokeweight=".06pt" strokecolor="#000000"/>
            <v:line style="position:absolute" from="5395,308" to="5564,308" stroked="true" strokeweight=".06pt" strokecolor="#000000"/>
            <v:line style="position:absolute" from="5395,309" to="5564,309" stroked="true" strokeweight=".06pt" strokecolor="#000000"/>
            <v:line style="position:absolute" from="5564,291" to="6862,291" stroked="true" strokeweight=".06pt" strokecolor="#000000"/>
            <v:line style="position:absolute" from="5564,292" to="6862,292" stroked="true" strokeweight=".06pt" strokecolor="#000000"/>
            <v:line style="position:absolute" from="5564,293" to="6862,293" stroked="true" strokeweight=".06pt" strokecolor="#000000"/>
            <v:line style="position:absolute" from="5564,294" to="6862,294" stroked="true" strokeweight=".06pt" strokecolor="#000000"/>
            <v:line style="position:absolute" from="5564,296" to="6862,296" stroked="true" strokeweight=".06pt" strokecolor="#000000"/>
            <v:line style="position:absolute" from="5564,297" to="6862,297" stroked="true" strokeweight=".06pt" strokecolor="#000000"/>
            <v:line style="position:absolute" from="5564,298" to="6862,298" stroked="true" strokeweight=".06pt" strokecolor="#000000"/>
            <v:line style="position:absolute" from="5564,299" to="6862,299" stroked="true" strokeweight=".06pt" strokecolor="#000000"/>
            <v:line style="position:absolute" from="5564,300" to="6862,300" stroked="true" strokeweight=".06pt" strokecolor="#000000"/>
            <v:line style="position:absolute" from="5564,302" to="6862,302" stroked="true" strokeweight=".06pt" strokecolor="#000000"/>
            <v:line style="position:absolute" from="5564,303" to="6862,303" stroked="true" strokeweight=".06pt" strokecolor="#000000"/>
            <v:line style="position:absolute" from="5564,304" to="6862,304" stroked="true" strokeweight=".06pt" strokecolor="#000000"/>
            <v:line style="position:absolute" from="5564,305" to="6862,305" stroked="true" strokeweight=".06pt" strokecolor="#000000"/>
            <v:line style="position:absolute" from="5564,306" to="6862,306" stroked="true" strokeweight=".06pt" strokecolor="#000000"/>
            <v:line style="position:absolute" from="5564,308" to="6862,308" stroked="true" strokeweight=".06pt" strokecolor="#000000"/>
            <v:line style="position:absolute" from="5564,309" to="6862,309" stroked="true" strokeweight=".06pt" strokecolor="#000000"/>
            <v:line style="position:absolute" from="6862,291" to="8159,291" stroked="true" strokeweight=".06pt" strokecolor="#000000"/>
            <v:line style="position:absolute" from="6862,292" to="8159,292" stroked="true" strokeweight=".06pt" strokecolor="#000000"/>
            <v:line style="position:absolute" from="6862,293" to="8159,293" stroked="true" strokeweight=".06pt" strokecolor="#000000"/>
            <v:line style="position:absolute" from="6862,294" to="8159,294" stroked="true" strokeweight=".06pt" strokecolor="#000000"/>
            <v:line style="position:absolute" from="6862,296" to="8159,296" stroked="true" strokeweight=".06pt" strokecolor="#000000"/>
            <v:line style="position:absolute" from="6862,297" to="8159,297" stroked="true" strokeweight=".06pt" strokecolor="#000000"/>
            <v:line style="position:absolute" from="6862,298" to="8159,298" stroked="true" strokeweight=".06pt" strokecolor="#000000"/>
            <v:line style="position:absolute" from="6862,299" to="8159,299" stroked="true" strokeweight=".06pt" strokecolor="#000000"/>
            <v:line style="position:absolute" from="6862,300" to="8159,300" stroked="true" strokeweight=".06pt" strokecolor="#000000"/>
            <v:line style="position:absolute" from="6862,302" to="8159,302" stroked="true" strokeweight=".06pt" strokecolor="#000000"/>
            <v:line style="position:absolute" from="6862,303" to="8159,303" stroked="true" strokeweight=".06pt" strokecolor="#000000"/>
            <v:line style="position:absolute" from="6862,304" to="8159,304" stroked="true" strokeweight=".06pt" strokecolor="#000000"/>
            <v:line style="position:absolute" from="6862,305" to="8159,305" stroked="true" strokeweight=".06pt" strokecolor="#000000"/>
            <v:line style="position:absolute" from="6862,306" to="8159,306" stroked="true" strokeweight=".06pt" strokecolor="#000000"/>
            <v:line style="position:absolute" from="6862,308" to="8159,308" stroked="true" strokeweight=".06pt" strokecolor="#000000"/>
            <v:line style="position:absolute" from="6862,309" to="8159,309" stroked="true" strokeweight=".06pt" strokecolor="#000000"/>
            <v:line style="position:absolute" from="8159,291" to="8328,291" stroked="true" strokeweight=".06pt" strokecolor="#000000"/>
            <v:line style="position:absolute" from="8159,292" to="8328,292" stroked="true" strokeweight=".06pt" strokecolor="#000000"/>
            <v:line style="position:absolute" from="8159,293" to="8328,293" stroked="true" strokeweight=".06pt" strokecolor="#000000"/>
            <v:line style="position:absolute" from="8159,294" to="8328,294" stroked="true" strokeweight=".06pt" strokecolor="#000000"/>
            <v:line style="position:absolute" from="8159,296" to="8328,296" stroked="true" strokeweight=".06pt" strokecolor="#000000"/>
            <v:line style="position:absolute" from="8159,297" to="8328,297" stroked="true" strokeweight=".06pt" strokecolor="#000000"/>
            <v:line style="position:absolute" from="8159,298" to="8328,298" stroked="true" strokeweight=".06pt" strokecolor="#000000"/>
            <v:line style="position:absolute" from="8159,299" to="8328,299" stroked="true" strokeweight=".06pt" strokecolor="#000000"/>
            <v:line style="position:absolute" from="8159,300" to="8328,300" stroked="true" strokeweight=".06pt" strokecolor="#000000"/>
            <v:line style="position:absolute" from="8159,302" to="8328,302" stroked="true" strokeweight=".06pt" strokecolor="#000000"/>
            <v:line style="position:absolute" from="8159,303" to="8328,303" stroked="true" strokeweight=".06pt" strokecolor="#000000"/>
            <v:line style="position:absolute" from="8159,304" to="8328,304" stroked="true" strokeweight=".06pt" strokecolor="#000000"/>
            <v:line style="position:absolute" from="8159,305" to="8328,305" stroked="true" strokeweight=".06pt" strokecolor="#000000"/>
            <v:line style="position:absolute" from="8159,306" to="8328,306" stroked="true" strokeweight=".06pt" strokecolor="#000000"/>
            <v:line style="position:absolute" from="8159,308" to="8328,308" stroked="true" strokeweight=".06pt" strokecolor="#000000"/>
            <v:line style="position:absolute" from="8159,309" to="8328,309" stroked="true" strokeweight=".06pt" strokecolor="#000000"/>
            <v:line style="position:absolute" from="8328,291" to="9625,291" stroked="true" strokeweight=".06pt" strokecolor="#000000"/>
            <v:line style="position:absolute" from="8328,292" to="9625,292" stroked="true" strokeweight=".06pt" strokecolor="#000000"/>
            <v:line style="position:absolute" from="8328,293" to="9625,293" stroked="true" strokeweight=".06pt" strokecolor="#000000"/>
            <v:line style="position:absolute" from="8328,294" to="9625,294" stroked="true" strokeweight=".06pt" strokecolor="#000000"/>
            <v:line style="position:absolute" from="8328,296" to="9625,296" stroked="true" strokeweight=".06pt" strokecolor="#000000"/>
            <v:line style="position:absolute" from="8328,297" to="9625,297" stroked="true" strokeweight=".06pt" strokecolor="#000000"/>
            <v:line style="position:absolute" from="8328,298" to="9625,298" stroked="true" strokeweight=".06pt" strokecolor="#000000"/>
            <v:line style="position:absolute" from="8328,299" to="9625,299" stroked="true" strokeweight=".06pt" strokecolor="#000000"/>
            <v:line style="position:absolute" from="8328,300" to="9625,300" stroked="true" strokeweight=".06pt" strokecolor="#000000"/>
            <v:line style="position:absolute" from="8328,302" to="9625,302" stroked="true" strokeweight=".06pt" strokecolor="#000000"/>
            <v:line style="position:absolute" from="8328,303" to="9625,303" stroked="true" strokeweight=".06pt" strokecolor="#000000"/>
            <v:line style="position:absolute" from="8328,304" to="9625,304" stroked="true" strokeweight=".06pt" strokecolor="#000000"/>
            <v:line style="position:absolute" from="8328,305" to="9625,305" stroked="true" strokeweight=".06pt" strokecolor="#000000"/>
            <v:line style="position:absolute" from="8328,306" to="9625,306" stroked="true" strokeweight=".06pt" strokecolor="#000000"/>
            <v:line style="position:absolute" from="8328,308" to="9625,308" stroked="true" strokeweight=".06pt" strokecolor="#000000"/>
            <v:line style="position:absolute" from="8328,309" to="9625,309" stroked="true" strokeweight=".06pt" strokecolor="#000000"/>
            <v:line style="position:absolute" from="9625,291" to="10922,291" stroked="true" strokeweight=".06pt" strokecolor="#000000"/>
            <v:line style="position:absolute" from="9625,292" to="10922,292" stroked="true" strokeweight=".06pt" strokecolor="#000000"/>
            <v:line style="position:absolute" from="9625,293" to="10922,293" stroked="true" strokeweight=".06pt" strokecolor="#000000"/>
            <v:line style="position:absolute" from="9625,294" to="10922,294" stroked="true" strokeweight=".06pt" strokecolor="#000000"/>
            <v:line style="position:absolute" from="9625,296" to="10922,296" stroked="true" strokeweight=".06pt" strokecolor="#000000"/>
            <v:line style="position:absolute" from="9625,297" to="10922,297" stroked="true" strokeweight=".06pt" strokecolor="#000000"/>
            <v:line style="position:absolute" from="9625,298" to="10922,298" stroked="true" strokeweight=".06pt" strokecolor="#000000"/>
            <v:line style="position:absolute" from="9625,299" to="10922,299" stroked="true" strokeweight=".06pt" strokecolor="#000000"/>
            <v:line style="position:absolute" from="9625,300" to="10922,300" stroked="true" strokeweight=".06pt" strokecolor="#000000"/>
            <v:line style="position:absolute" from="9625,302" to="10922,302" stroked="true" strokeweight=".06pt" strokecolor="#000000"/>
            <v:line style="position:absolute" from="9625,303" to="10922,303" stroked="true" strokeweight=".06pt" strokecolor="#000000"/>
            <v:line style="position:absolute" from="9625,304" to="10922,304" stroked="true" strokeweight=".06pt" strokecolor="#000000"/>
            <v:line style="position:absolute" from="9625,305" to="10922,305" stroked="true" strokeweight=".06pt" strokecolor="#000000"/>
            <v:line style="position:absolute" from="9625,306" to="10922,306" stroked="true" strokeweight=".06pt" strokecolor="#000000"/>
            <v:line style="position:absolute" from="9625,308" to="10922,308" stroked="true" strokeweight=".06pt" strokecolor="#000000"/>
            <v:line style="position:absolute" from="9625,309" to="10922,309" stroked="true" strokeweight=".06pt" strokecolor="#000000"/>
            <w10:wrap type="none"/>
          </v:group>
        </w:pict>
      </w:r>
      <w:r>
        <w:rPr>
          <w:sz w:val="18"/>
        </w:rPr>
        <w:t>Long</w:t>
      </w:r>
      <w:r>
        <w:rPr>
          <w:spacing w:val="-1"/>
          <w:sz w:val="18"/>
        </w:rPr>
        <w:t> </w:t>
      </w:r>
      <w:r>
        <w:rPr>
          <w:sz w:val="18"/>
        </w:rPr>
        <w:t>service</w:t>
      </w:r>
      <w:r>
        <w:rPr>
          <w:spacing w:val="-1"/>
          <w:sz w:val="18"/>
        </w:rPr>
        <w:t> </w:t>
      </w:r>
      <w:r>
        <w:rPr>
          <w:sz w:val="18"/>
        </w:rPr>
        <w:t>leave</w:t>
        <w:tab/>
      </w:r>
      <w:r>
        <w:rPr>
          <w:b/>
          <w:sz w:val="18"/>
        </w:rPr>
        <w:t>4,784</w:t>
        <w:tab/>
      </w:r>
      <w:r>
        <w:rPr>
          <w:sz w:val="18"/>
        </w:rPr>
        <w:t>4,641</w:t>
        <w:tab/>
      </w:r>
      <w:r>
        <w:rPr>
          <w:b/>
          <w:sz w:val="18"/>
        </w:rPr>
        <w:t>4,615</w:t>
        <w:tab/>
      </w:r>
      <w:r>
        <w:rPr>
          <w:sz w:val="18"/>
        </w:rPr>
        <w:t>4,540</w:t>
      </w:r>
    </w:p>
    <w:p>
      <w:pPr>
        <w:spacing w:after="0"/>
        <w:jc w:val="left"/>
        <w:rPr>
          <w:sz w:val="18"/>
        </w:rPr>
        <w:sectPr>
          <w:type w:val="continuous"/>
          <w:pgSz w:w="11910" w:h="16840"/>
          <w:pgMar w:top="0" w:bottom="280" w:left="900" w:right="880"/>
        </w:sectPr>
      </w:pPr>
    </w:p>
    <w:p>
      <w:pPr>
        <w:pStyle w:val="BodyText"/>
      </w:pPr>
    </w:p>
    <w:p>
      <w:pPr>
        <w:pStyle w:val="BodyText"/>
        <w:spacing w:before="3"/>
        <w:rPr>
          <w:sz w:val="25"/>
        </w:rPr>
      </w:pPr>
    </w:p>
    <w:p>
      <w:pPr>
        <w:pStyle w:val="Heading9"/>
        <w:ind w:left="549" w:right="-19"/>
      </w:pPr>
      <w:r>
        <w:rPr/>
        <w:pict>
          <v:group style="position:absolute;margin-left:269.709991pt;margin-top:-6.667834pt;width:276.5pt;height:1pt;mso-position-horizontal-relative:page;mso-position-vertical-relative:paragraph;z-index:-1310800" coordorigin="5394,-133" coordsize="5530,20">
            <v:line style="position:absolute" from="5395,-132" to="5564,-132" stroked="true" strokeweight=".06pt" strokecolor="#000000"/>
            <v:line style="position:absolute" from="5395,-131" to="5564,-131" stroked="true" strokeweight=".06pt" strokecolor="#000000"/>
            <v:line style="position:absolute" from="5395,-130" to="5564,-130" stroked="true" strokeweight=".06pt" strokecolor="#000000"/>
            <v:line style="position:absolute" from="5395,-129" to="5564,-129" stroked="true" strokeweight=".06pt" strokecolor="#000000"/>
            <v:line style="position:absolute" from="5395,-128" to="5564,-128" stroked="true" strokeweight=".06pt" strokecolor="#000000"/>
            <v:line style="position:absolute" from="5395,-126" to="5564,-126" stroked="true" strokeweight=".06pt" strokecolor="#000000"/>
            <v:line style="position:absolute" from="5395,-125" to="5564,-125" stroked="true" strokeweight=".06pt" strokecolor="#000000"/>
            <v:line style="position:absolute" from="5395,-124" to="5564,-124" stroked="true" strokeweight=".06pt" strokecolor="#000000"/>
            <v:line style="position:absolute" from="5395,-123" to="5564,-123" stroked="true" strokeweight=".06pt" strokecolor="#000000"/>
            <v:line style="position:absolute" from="5395,-122" to="5564,-122" stroked="true" strokeweight=".06pt" strokecolor="#000000"/>
            <v:line style="position:absolute" from="5395,-120" to="5564,-120" stroked="true" strokeweight=".06pt" strokecolor="#000000"/>
            <v:line style="position:absolute" from="5395,-119" to="5564,-119" stroked="true" strokeweight=".06pt" strokecolor="#000000"/>
            <v:line style="position:absolute" from="5395,-118" to="5564,-118" stroked="true" strokeweight=".06pt" strokecolor="#000000"/>
            <v:line style="position:absolute" from="5395,-117" to="5564,-117" stroked="true" strokeweight=".06pt" strokecolor="#000000"/>
            <v:line style="position:absolute" from="5395,-116" to="5564,-116" stroked="true" strokeweight=".06pt" strokecolor="#000000"/>
            <v:line style="position:absolute" from="5395,-114" to="5564,-114" stroked="true" strokeweight=".06pt" strokecolor="#000000"/>
            <v:line style="position:absolute" from="5564,-132" to="6862,-132" stroked="true" strokeweight=".06pt" strokecolor="#000000"/>
            <v:line style="position:absolute" from="5564,-131" to="6862,-131" stroked="true" strokeweight=".06pt" strokecolor="#000000"/>
            <v:line style="position:absolute" from="5564,-130" to="6862,-130" stroked="true" strokeweight=".06pt" strokecolor="#000000"/>
            <v:line style="position:absolute" from="5564,-129" to="6862,-129" stroked="true" strokeweight=".06pt" strokecolor="#000000"/>
            <v:line style="position:absolute" from="5564,-128" to="6862,-128" stroked="true" strokeweight=".06pt" strokecolor="#000000"/>
            <v:line style="position:absolute" from="5564,-126" to="6862,-126" stroked="true" strokeweight=".06pt" strokecolor="#000000"/>
            <v:line style="position:absolute" from="5564,-125" to="6862,-125" stroked="true" strokeweight=".06pt" strokecolor="#000000"/>
            <v:line style="position:absolute" from="5564,-124" to="6862,-124" stroked="true" strokeweight=".06pt" strokecolor="#000000"/>
            <v:line style="position:absolute" from="5564,-123" to="6862,-123" stroked="true" strokeweight=".06pt" strokecolor="#000000"/>
            <v:line style="position:absolute" from="5564,-122" to="6862,-122" stroked="true" strokeweight=".06pt" strokecolor="#000000"/>
            <v:line style="position:absolute" from="5564,-120" to="6862,-120" stroked="true" strokeweight=".06pt" strokecolor="#000000"/>
            <v:line style="position:absolute" from="5564,-119" to="6862,-119" stroked="true" strokeweight=".06pt" strokecolor="#000000"/>
            <v:line style="position:absolute" from="5564,-118" to="6862,-118" stroked="true" strokeweight=".06pt" strokecolor="#000000"/>
            <v:line style="position:absolute" from="5564,-117" to="6862,-117" stroked="true" strokeweight=".06pt" strokecolor="#000000"/>
            <v:line style="position:absolute" from="5564,-116" to="6862,-116" stroked="true" strokeweight=".06pt" strokecolor="#000000"/>
            <v:line style="position:absolute" from="5564,-114" to="6862,-114" stroked="true" strokeweight=".06pt" strokecolor="#000000"/>
            <v:line style="position:absolute" from="6862,-132" to="8159,-132" stroked="true" strokeweight=".06pt" strokecolor="#000000"/>
            <v:line style="position:absolute" from="6862,-131" to="8159,-131" stroked="true" strokeweight=".06pt" strokecolor="#000000"/>
            <v:line style="position:absolute" from="6862,-130" to="8159,-130" stroked="true" strokeweight=".06pt" strokecolor="#000000"/>
            <v:line style="position:absolute" from="6862,-129" to="8159,-129" stroked="true" strokeweight=".06pt" strokecolor="#000000"/>
            <v:line style="position:absolute" from="6862,-128" to="8159,-128" stroked="true" strokeweight=".06pt" strokecolor="#000000"/>
            <v:line style="position:absolute" from="6862,-126" to="8159,-126" stroked="true" strokeweight=".06pt" strokecolor="#000000"/>
            <v:line style="position:absolute" from="6862,-125" to="8159,-125" stroked="true" strokeweight=".06pt" strokecolor="#000000"/>
            <v:line style="position:absolute" from="6862,-124" to="8159,-124" stroked="true" strokeweight=".06pt" strokecolor="#000000"/>
            <v:line style="position:absolute" from="6862,-123" to="8159,-123" stroked="true" strokeweight=".06pt" strokecolor="#000000"/>
            <v:line style="position:absolute" from="6862,-122" to="8159,-122" stroked="true" strokeweight=".06pt" strokecolor="#000000"/>
            <v:line style="position:absolute" from="6862,-120" to="8159,-120" stroked="true" strokeweight=".06pt" strokecolor="#000000"/>
            <v:line style="position:absolute" from="6862,-119" to="8159,-119" stroked="true" strokeweight=".06pt" strokecolor="#000000"/>
            <v:line style="position:absolute" from="6862,-118" to="8159,-118" stroked="true" strokeweight=".06pt" strokecolor="#000000"/>
            <v:line style="position:absolute" from="6862,-117" to="8159,-117" stroked="true" strokeweight=".06pt" strokecolor="#000000"/>
            <v:line style="position:absolute" from="6862,-116" to="8159,-116" stroked="true" strokeweight=".06pt" strokecolor="#000000"/>
            <v:line style="position:absolute" from="6862,-114" to="8159,-114" stroked="true" strokeweight=".06pt" strokecolor="#000000"/>
            <v:line style="position:absolute" from="8159,-132" to="8328,-132" stroked="true" strokeweight=".06pt" strokecolor="#000000"/>
            <v:line style="position:absolute" from="8159,-131" to="8328,-131" stroked="true" strokeweight=".06pt" strokecolor="#000000"/>
            <v:line style="position:absolute" from="8159,-130" to="8328,-130" stroked="true" strokeweight=".06pt" strokecolor="#000000"/>
            <v:line style="position:absolute" from="8159,-129" to="8328,-129" stroked="true" strokeweight=".06pt" strokecolor="#000000"/>
            <v:line style="position:absolute" from="8159,-128" to="8328,-128" stroked="true" strokeweight=".06pt" strokecolor="#000000"/>
            <v:line style="position:absolute" from="8159,-126" to="8328,-126" stroked="true" strokeweight=".06pt" strokecolor="#000000"/>
            <v:line style="position:absolute" from="8159,-125" to="8328,-125" stroked="true" strokeweight=".06pt" strokecolor="#000000"/>
            <v:line style="position:absolute" from="8159,-124" to="8328,-124" stroked="true" strokeweight=".06pt" strokecolor="#000000"/>
            <v:line style="position:absolute" from="8159,-123" to="8328,-123" stroked="true" strokeweight=".06pt" strokecolor="#000000"/>
            <v:line style="position:absolute" from="8159,-122" to="8328,-122" stroked="true" strokeweight=".06pt" strokecolor="#000000"/>
            <v:line style="position:absolute" from="8159,-120" to="8328,-120" stroked="true" strokeweight=".06pt" strokecolor="#000000"/>
            <v:line style="position:absolute" from="8159,-119" to="8328,-119" stroked="true" strokeweight=".06pt" strokecolor="#000000"/>
            <v:line style="position:absolute" from="8159,-118" to="8328,-118" stroked="true" strokeweight=".06pt" strokecolor="#000000"/>
            <v:line style="position:absolute" from="8159,-117" to="8328,-117" stroked="true" strokeweight=".06pt" strokecolor="#000000"/>
            <v:line style="position:absolute" from="8159,-116" to="8328,-116" stroked="true" strokeweight=".06pt" strokecolor="#000000"/>
            <v:line style="position:absolute" from="8159,-114" to="8328,-114" stroked="true" strokeweight=".06pt" strokecolor="#000000"/>
            <v:line style="position:absolute" from="8328,-132" to="9625,-132" stroked="true" strokeweight=".06pt" strokecolor="#000000"/>
            <v:line style="position:absolute" from="8328,-131" to="9625,-131" stroked="true" strokeweight=".06pt" strokecolor="#000000"/>
            <v:line style="position:absolute" from="8328,-130" to="9625,-130" stroked="true" strokeweight=".06pt" strokecolor="#000000"/>
            <v:line style="position:absolute" from="8328,-129" to="9625,-129" stroked="true" strokeweight=".06pt" strokecolor="#000000"/>
            <v:line style="position:absolute" from="8328,-128" to="9625,-128" stroked="true" strokeweight=".06pt" strokecolor="#000000"/>
            <v:line style="position:absolute" from="8328,-126" to="9625,-126" stroked="true" strokeweight=".06pt" strokecolor="#000000"/>
            <v:line style="position:absolute" from="8328,-125" to="9625,-125" stroked="true" strokeweight=".06pt" strokecolor="#000000"/>
            <v:line style="position:absolute" from="8328,-124" to="9625,-124" stroked="true" strokeweight=".06pt" strokecolor="#000000"/>
            <v:line style="position:absolute" from="8328,-123" to="9625,-123" stroked="true" strokeweight=".06pt" strokecolor="#000000"/>
            <v:line style="position:absolute" from="8328,-122" to="9625,-122" stroked="true" strokeweight=".06pt" strokecolor="#000000"/>
            <v:line style="position:absolute" from="8328,-120" to="9625,-120" stroked="true" strokeweight=".06pt" strokecolor="#000000"/>
            <v:line style="position:absolute" from="8328,-119" to="9625,-119" stroked="true" strokeweight=".06pt" strokecolor="#000000"/>
            <v:line style="position:absolute" from="8328,-118" to="9625,-118" stroked="true" strokeweight=".06pt" strokecolor="#000000"/>
            <v:line style="position:absolute" from="8328,-117" to="9625,-117" stroked="true" strokeweight=".06pt" strokecolor="#000000"/>
            <v:line style="position:absolute" from="8328,-116" to="9625,-116" stroked="true" strokeweight=".06pt" strokecolor="#000000"/>
            <v:line style="position:absolute" from="8328,-114" to="9625,-114" stroked="true" strokeweight=".06pt" strokecolor="#000000"/>
            <v:line style="position:absolute" from="9625,-132" to="10922,-132" stroked="true" strokeweight=".06pt" strokecolor="#000000"/>
            <v:line style="position:absolute" from="9625,-131" to="10922,-131" stroked="true" strokeweight=".06pt" strokecolor="#000000"/>
            <v:line style="position:absolute" from="9625,-130" to="10922,-130" stroked="true" strokeweight=".06pt" strokecolor="#000000"/>
            <v:line style="position:absolute" from="9625,-129" to="10922,-129" stroked="true" strokeweight=".06pt" strokecolor="#000000"/>
            <v:line style="position:absolute" from="9625,-128" to="10922,-128" stroked="true" strokeweight=".06pt" strokecolor="#000000"/>
            <v:line style="position:absolute" from="9625,-126" to="10922,-126" stroked="true" strokeweight=".06pt" strokecolor="#000000"/>
            <v:line style="position:absolute" from="9625,-125" to="10922,-125" stroked="true" strokeweight=".06pt" strokecolor="#000000"/>
            <v:line style="position:absolute" from="9625,-124" to="10922,-124" stroked="true" strokeweight=".06pt" strokecolor="#000000"/>
            <v:line style="position:absolute" from="9625,-123" to="10922,-123" stroked="true" strokeweight=".06pt" strokecolor="#000000"/>
            <v:line style="position:absolute" from="9625,-122" to="10922,-122" stroked="true" strokeweight=".06pt" strokecolor="#000000"/>
            <v:line style="position:absolute" from="9625,-120" to="10922,-120" stroked="true" strokeweight=".06pt" strokecolor="#000000"/>
            <v:line style="position:absolute" from="9625,-119" to="10922,-119" stroked="true" strokeweight=".06pt" strokecolor="#000000"/>
            <v:line style="position:absolute" from="9625,-118" to="10922,-118" stroked="true" strokeweight=".06pt" strokecolor="#000000"/>
            <v:line style="position:absolute" from="9625,-117" to="10922,-117" stroked="true" strokeweight=".06pt" strokecolor="#000000"/>
            <v:line style="position:absolute" from="9625,-116" to="10922,-116" stroked="true" strokeweight=".06pt" strokecolor="#000000"/>
            <v:line style="position:absolute" from="9625,-114" to="10922,-114" stroked="true" strokeweight=".06pt" strokecolor="#000000"/>
            <v:line style="position:absolute" from="5395,-132" to="5564,-132" stroked="true" strokeweight=".06pt" strokecolor="#000000"/>
            <v:line style="position:absolute" from="5395,-131" to="5564,-131" stroked="true" strokeweight=".06pt" strokecolor="#000000"/>
            <v:line style="position:absolute" from="5395,-130" to="5564,-130" stroked="true" strokeweight=".06pt" strokecolor="#000000"/>
            <v:line style="position:absolute" from="5395,-129" to="5564,-129" stroked="true" strokeweight=".06pt" strokecolor="#000000"/>
            <v:line style="position:absolute" from="5395,-128" to="5564,-128" stroked="true" strokeweight=".06pt" strokecolor="#000000"/>
            <v:line style="position:absolute" from="5395,-126" to="5564,-126" stroked="true" strokeweight=".06pt" strokecolor="#000000"/>
            <v:line style="position:absolute" from="5395,-125" to="5564,-125" stroked="true" strokeweight=".06pt" strokecolor="#000000"/>
            <v:line style="position:absolute" from="5395,-124" to="5564,-124" stroked="true" strokeweight=".06pt" strokecolor="#000000"/>
            <v:line style="position:absolute" from="5395,-123" to="5564,-123" stroked="true" strokeweight=".06pt" strokecolor="#000000"/>
            <v:line style="position:absolute" from="5395,-122" to="5564,-122" stroked="true" strokeweight=".06pt" strokecolor="#000000"/>
            <v:line style="position:absolute" from="5395,-120" to="5564,-120" stroked="true" strokeweight=".06pt" strokecolor="#000000"/>
            <v:line style="position:absolute" from="5395,-119" to="5564,-119" stroked="true" strokeweight=".06pt" strokecolor="#000000"/>
            <v:line style="position:absolute" from="5395,-118" to="5564,-118" stroked="true" strokeweight=".06pt" strokecolor="#000000"/>
            <v:line style="position:absolute" from="5395,-117" to="5564,-117" stroked="true" strokeweight=".06pt" strokecolor="#000000"/>
            <v:line style="position:absolute" from="5395,-116" to="5564,-116" stroked="true" strokeweight=".06pt" strokecolor="#000000"/>
            <v:line style="position:absolute" from="5395,-114" to="5564,-114" stroked="true" strokeweight=".06pt" strokecolor="#000000"/>
            <v:line style="position:absolute" from="5564,-132" to="6862,-132" stroked="true" strokeweight=".06pt" strokecolor="#000000"/>
            <v:line style="position:absolute" from="5564,-131" to="6862,-131" stroked="true" strokeweight=".06pt" strokecolor="#000000"/>
            <v:line style="position:absolute" from="5564,-130" to="6862,-130" stroked="true" strokeweight=".06pt" strokecolor="#000000"/>
            <v:line style="position:absolute" from="5564,-129" to="6862,-129" stroked="true" strokeweight=".06pt" strokecolor="#000000"/>
            <v:line style="position:absolute" from="5564,-128" to="6862,-128" stroked="true" strokeweight=".06pt" strokecolor="#000000"/>
            <v:line style="position:absolute" from="5564,-126" to="6862,-126" stroked="true" strokeweight=".06pt" strokecolor="#000000"/>
            <v:line style="position:absolute" from="5564,-125" to="6862,-125" stroked="true" strokeweight=".06pt" strokecolor="#000000"/>
            <v:line style="position:absolute" from="5564,-124" to="6862,-124" stroked="true" strokeweight=".06pt" strokecolor="#000000"/>
            <v:line style="position:absolute" from="5564,-123" to="6862,-123" stroked="true" strokeweight=".06pt" strokecolor="#000000"/>
            <v:line style="position:absolute" from="5564,-122" to="6862,-122" stroked="true" strokeweight=".06pt" strokecolor="#000000"/>
            <v:line style="position:absolute" from="5564,-120" to="6862,-120" stroked="true" strokeweight=".06pt" strokecolor="#000000"/>
            <v:line style="position:absolute" from="5564,-119" to="6862,-119" stroked="true" strokeweight=".06pt" strokecolor="#000000"/>
            <v:line style="position:absolute" from="5564,-118" to="6862,-118" stroked="true" strokeweight=".06pt" strokecolor="#000000"/>
            <v:line style="position:absolute" from="5564,-117" to="6862,-117" stroked="true" strokeweight=".06pt" strokecolor="#000000"/>
            <v:line style="position:absolute" from="5564,-116" to="6862,-116" stroked="true" strokeweight=".06pt" strokecolor="#000000"/>
            <v:line style="position:absolute" from="5564,-114" to="6862,-114" stroked="true" strokeweight=".06pt" strokecolor="#000000"/>
            <v:line style="position:absolute" from="6862,-132" to="8159,-132" stroked="true" strokeweight=".06pt" strokecolor="#000000"/>
            <v:line style="position:absolute" from="6862,-131" to="8159,-131" stroked="true" strokeweight=".06pt" strokecolor="#000000"/>
            <v:line style="position:absolute" from="6862,-130" to="8159,-130" stroked="true" strokeweight=".06pt" strokecolor="#000000"/>
            <v:line style="position:absolute" from="6862,-129" to="8159,-129" stroked="true" strokeweight=".06pt" strokecolor="#000000"/>
            <v:line style="position:absolute" from="6862,-128" to="8159,-128" stroked="true" strokeweight=".06pt" strokecolor="#000000"/>
            <v:line style="position:absolute" from="6862,-126" to="8159,-126" stroked="true" strokeweight=".06pt" strokecolor="#000000"/>
            <v:line style="position:absolute" from="6862,-125" to="8159,-125" stroked="true" strokeweight=".06pt" strokecolor="#000000"/>
            <v:line style="position:absolute" from="6862,-124" to="8159,-124" stroked="true" strokeweight=".06pt" strokecolor="#000000"/>
            <v:line style="position:absolute" from="6862,-123" to="8159,-123" stroked="true" strokeweight=".06pt" strokecolor="#000000"/>
            <v:line style="position:absolute" from="6862,-122" to="8159,-122" stroked="true" strokeweight=".06pt" strokecolor="#000000"/>
            <v:line style="position:absolute" from="6862,-120" to="8159,-120" stroked="true" strokeweight=".06pt" strokecolor="#000000"/>
            <v:line style="position:absolute" from="6862,-119" to="8159,-119" stroked="true" strokeweight=".06pt" strokecolor="#000000"/>
            <v:line style="position:absolute" from="6862,-118" to="8159,-118" stroked="true" strokeweight=".06pt" strokecolor="#000000"/>
            <v:line style="position:absolute" from="6862,-117" to="8159,-117" stroked="true" strokeweight=".06pt" strokecolor="#000000"/>
            <v:line style="position:absolute" from="6862,-116" to="8159,-116" stroked="true" strokeweight=".06pt" strokecolor="#000000"/>
            <v:line style="position:absolute" from="6862,-114" to="8159,-114" stroked="true" strokeweight=".06pt" strokecolor="#000000"/>
            <v:line style="position:absolute" from="8159,-132" to="8328,-132" stroked="true" strokeweight=".06pt" strokecolor="#000000"/>
            <v:line style="position:absolute" from="8159,-131" to="8328,-131" stroked="true" strokeweight=".06pt" strokecolor="#000000"/>
            <v:line style="position:absolute" from="8159,-130" to="8328,-130" stroked="true" strokeweight=".06pt" strokecolor="#000000"/>
            <v:line style="position:absolute" from="8159,-129" to="8328,-129" stroked="true" strokeweight=".06pt" strokecolor="#000000"/>
            <v:line style="position:absolute" from="8159,-128" to="8328,-128" stroked="true" strokeweight=".06pt" strokecolor="#000000"/>
            <v:line style="position:absolute" from="8159,-126" to="8328,-126" stroked="true" strokeweight=".06pt" strokecolor="#000000"/>
            <v:line style="position:absolute" from="8159,-125" to="8328,-125" stroked="true" strokeweight=".06pt" strokecolor="#000000"/>
            <v:line style="position:absolute" from="8159,-124" to="8328,-124" stroked="true" strokeweight=".06pt" strokecolor="#000000"/>
            <v:line style="position:absolute" from="8159,-123" to="8328,-123" stroked="true" strokeweight=".06pt" strokecolor="#000000"/>
            <v:line style="position:absolute" from="8159,-122" to="8328,-122" stroked="true" strokeweight=".06pt" strokecolor="#000000"/>
            <v:line style="position:absolute" from="8159,-120" to="8328,-120" stroked="true" strokeweight=".06pt" strokecolor="#000000"/>
            <v:line style="position:absolute" from="8159,-119" to="8328,-119" stroked="true" strokeweight=".06pt" strokecolor="#000000"/>
            <v:line style="position:absolute" from="8159,-118" to="8328,-118" stroked="true" strokeweight=".06pt" strokecolor="#000000"/>
            <v:line style="position:absolute" from="8159,-117" to="8328,-117" stroked="true" strokeweight=".06pt" strokecolor="#000000"/>
            <v:line style="position:absolute" from="8159,-116" to="8328,-116" stroked="true" strokeweight=".06pt" strokecolor="#000000"/>
            <v:line style="position:absolute" from="8159,-114" to="8328,-114" stroked="true" strokeweight=".06pt" strokecolor="#000000"/>
            <v:line style="position:absolute" from="8328,-132" to="9625,-132" stroked="true" strokeweight=".06pt" strokecolor="#000000"/>
            <v:line style="position:absolute" from="8328,-131" to="9625,-131" stroked="true" strokeweight=".06pt" strokecolor="#000000"/>
            <v:line style="position:absolute" from="8328,-130" to="9625,-130" stroked="true" strokeweight=".06pt" strokecolor="#000000"/>
            <v:line style="position:absolute" from="8328,-129" to="9625,-129" stroked="true" strokeweight=".06pt" strokecolor="#000000"/>
            <v:line style="position:absolute" from="8328,-128" to="9625,-128" stroked="true" strokeweight=".06pt" strokecolor="#000000"/>
            <v:line style="position:absolute" from="8328,-126" to="9625,-126" stroked="true" strokeweight=".06pt" strokecolor="#000000"/>
            <v:line style="position:absolute" from="8328,-125" to="9625,-125" stroked="true" strokeweight=".06pt" strokecolor="#000000"/>
            <v:line style="position:absolute" from="8328,-124" to="9625,-124" stroked="true" strokeweight=".06pt" strokecolor="#000000"/>
            <v:line style="position:absolute" from="8328,-123" to="9625,-123" stroked="true" strokeweight=".06pt" strokecolor="#000000"/>
            <v:line style="position:absolute" from="8328,-122" to="9625,-122" stroked="true" strokeweight=".06pt" strokecolor="#000000"/>
            <v:line style="position:absolute" from="8328,-120" to="9625,-120" stroked="true" strokeweight=".06pt" strokecolor="#000000"/>
            <v:line style="position:absolute" from="8328,-119" to="9625,-119" stroked="true" strokeweight=".06pt" strokecolor="#000000"/>
            <v:line style="position:absolute" from="8328,-118" to="9625,-118" stroked="true" strokeweight=".06pt" strokecolor="#000000"/>
            <v:line style="position:absolute" from="8328,-117" to="9625,-117" stroked="true" strokeweight=".06pt" strokecolor="#000000"/>
            <v:line style="position:absolute" from="8328,-116" to="9625,-116" stroked="true" strokeweight=".06pt" strokecolor="#000000"/>
            <v:line style="position:absolute" from="8328,-114" to="9625,-114" stroked="true" strokeweight=".06pt" strokecolor="#000000"/>
            <v:line style="position:absolute" from="9625,-132" to="10922,-132" stroked="true" strokeweight=".06pt" strokecolor="#000000"/>
            <v:line style="position:absolute" from="9625,-131" to="10922,-131" stroked="true" strokeweight=".06pt" strokecolor="#000000"/>
            <v:line style="position:absolute" from="9625,-130" to="10922,-130" stroked="true" strokeweight=".06pt" strokecolor="#000000"/>
            <v:line style="position:absolute" from="9625,-129" to="10922,-129" stroked="true" strokeweight=".06pt" strokecolor="#000000"/>
            <v:line style="position:absolute" from="9625,-128" to="10922,-128" stroked="true" strokeweight=".06pt" strokecolor="#000000"/>
            <v:line style="position:absolute" from="9625,-126" to="10922,-126" stroked="true" strokeweight=".06pt" strokecolor="#000000"/>
            <v:line style="position:absolute" from="9625,-125" to="10922,-125" stroked="true" strokeweight=".06pt" strokecolor="#000000"/>
            <v:line style="position:absolute" from="9625,-124" to="10922,-124" stroked="true" strokeweight=".06pt" strokecolor="#000000"/>
            <v:line style="position:absolute" from="9625,-123" to="10922,-123" stroked="true" strokeweight=".06pt" strokecolor="#000000"/>
            <v:line style="position:absolute" from="9625,-122" to="10922,-122" stroked="true" strokeweight=".06pt" strokecolor="#000000"/>
            <v:line style="position:absolute" from="9625,-120" to="10922,-120" stroked="true" strokeweight=".06pt" strokecolor="#000000"/>
            <v:line style="position:absolute" from="9625,-119" to="10922,-119" stroked="true" strokeweight=".06pt" strokecolor="#000000"/>
            <v:line style="position:absolute" from="9625,-118" to="10922,-118" stroked="true" strokeweight=".06pt" strokecolor="#000000"/>
            <v:line style="position:absolute" from="9625,-117" to="10922,-117" stroked="true" strokeweight=".06pt" strokecolor="#000000"/>
            <v:line style="position:absolute" from="9625,-116" to="10922,-116" stroked="true" strokeweight=".06pt" strokecolor="#000000"/>
            <v:line style="position:absolute" from="9625,-114" to="10922,-114" stroked="true" strokeweight=".06pt" strokecolor="#000000"/>
            <w10:wrap type="none"/>
          </v:group>
        </w:pict>
      </w:r>
      <w:r>
        <w:rPr/>
        <w:t>Current provisions expected to</w:t>
      </w:r>
      <w:r>
        <w:rPr>
          <w:w w:val="100"/>
        </w:rPr>
        <w:t> </w:t>
      </w:r>
      <w:r>
        <w:rPr/>
        <w:t>be settled after more than 12 months</w:t>
      </w:r>
    </w:p>
    <w:p>
      <w:pPr>
        <w:spacing w:before="112"/>
        <w:ind w:left="549" w:right="-19" w:firstLine="0"/>
        <w:jc w:val="left"/>
        <w:rPr>
          <w:b/>
          <w:sz w:val="18"/>
        </w:rPr>
      </w:pPr>
      <w:r>
        <w:rPr>
          <w:b/>
          <w:sz w:val="18"/>
        </w:rPr>
        <w:t>Employee benefits</w:t>
      </w:r>
    </w:p>
    <w:p>
      <w:pPr>
        <w:tabs>
          <w:tab w:pos="1846" w:val="left" w:leader="none"/>
          <w:tab w:pos="3313" w:val="left" w:leader="none"/>
          <w:tab w:pos="4610" w:val="left" w:leader="none"/>
        </w:tabs>
        <w:spacing w:before="159"/>
        <w:ind w:left="549" w:right="0" w:firstLine="0"/>
        <w:jc w:val="left"/>
        <w:rPr>
          <w:sz w:val="18"/>
        </w:rPr>
      </w:pPr>
      <w:r>
        <w:rPr/>
        <w:br w:type="column"/>
      </w:r>
      <w:r>
        <w:rPr>
          <w:b/>
          <w:sz w:val="18"/>
        </w:rPr>
        <w:t>20,825</w:t>
        <w:tab/>
      </w:r>
      <w:r>
        <w:rPr>
          <w:sz w:val="18"/>
        </w:rPr>
        <w:t>19,302</w:t>
        <w:tab/>
      </w:r>
      <w:r>
        <w:rPr>
          <w:b/>
          <w:sz w:val="18"/>
        </w:rPr>
        <w:t>19,289</w:t>
        <w:tab/>
      </w:r>
      <w:r>
        <w:rPr>
          <w:sz w:val="18"/>
        </w:rPr>
        <w:t>18,414</w:t>
      </w:r>
    </w:p>
    <w:p>
      <w:pPr>
        <w:spacing w:after="0"/>
        <w:jc w:val="left"/>
        <w:rPr>
          <w:sz w:val="18"/>
        </w:rPr>
        <w:sectPr>
          <w:type w:val="continuous"/>
          <w:pgSz w:w="11910" w:h="16840"/>
          <w:pgMar w:top="0" w:bottom="280" w:left="900" w:right="880"/>
          <w:cols w:num="2" w:equalWidth="0">
            <w:col w:w="3211" w:space="1559"/>
            <w:col w:w="5360"/>
          </w:cols>
        </w:sectPr>
      </w:pPr>
    </w:p>
    <w:p>
      <w:pPr>
        <w:tabs>
          <w:tab w:pos="5419" w:val="left" w:leader="none"/>
          <w:tab w:pos="6716" w:val="left" w:leader="none"/>
          <w:tab w:pos="8182" w:val="left" w:leader="none"/>
          <w:tab w:pos="9480" w:val="left" w:leader="none"/>
        </w:tabs>
        <w:spacing w:before="29"/>
        <w:ind w:left="764" w:right="128" w:firstLine="0"/>
        <w:jc w:val="left"/>
        <w:rPr>
          <w:sz w:val="18"/>
        </w:rPr>
      </w:pPr>
      <w:r>
        <w:rPr>
          <w:sz w:val="18"/>
        </w:rPr>
        <w:t>Annual</w:t>
      </w:r>
      <w:r>
        <w:rPr>
          <w:spacing w:val="-1"/>
          <w:sz w:val="18"/>
        </w:rPr>
        <w:t> </w:t>
      </w:r>
      <w:r>
        <w:rPr>
          <w:sz w:val="18"/>
        </w:rPr>
        <w:t>leave</w:t>
        <w:tab/>
      </w:r>
      <w:r>
        <w:rPr>
          <w:b/>
          <w:sz w:val="18"/>
        </w:rPr>
        <w:t>9,304</w:t>
        <w:tab/>
      </w:r>
      <w:r>
        <w:rPr>
          <w:sz w:val="18"/>
        </w:rPr>
        <w:t>8,110</w:t>
        <w:tab/>
      </w:r>
      <w:r>
        <w:rPr>
          <w:b/>
          <w:sz w:val="18"/>
        </w:rPr>
        <w:t>9,178</w:t>
        <w:tab/>
      </w:r>
      <w:r>
        <w:rPr>
          <w:sz w:val="18"/>
        </w:rPr>
        <w:t>7,311</w:t>
      </w:r>
    </w:p>
    <w:p>
      <w:pPr>
        <w:tabs>
          <w:tab w:pos="5319" w:val="left" w:leader="none"/>
          <w:tab w:pos="6617" w:val="left" w:leader="none"/>
          <w:tab w:pos="8083" w:val="left" w:leader="none"/>
          <w:tab w:pos="9380" w:val="left" w:leader="none"/>
        </w:tabs>
        <w:spacing w:before="57"/>
        <w:ind w:left="764" w:right="128" w:firstLine="0"/>
        <w:jc w:val="left"/>
        <w:rPr>
          <w:sz w:val="18"/>
        </w:rPr>
      </w:pPr>
      <w:r>
        <w:rPr/>
        <w:pict>
          <v:group style="position:absolute;margin-left:269.709991pt;margin-top:14.488182pt;width:276.5pt;height:1pt;mso-position-horizontal-relative:page;mso-position-vertical-relative:paragraph;z-index:3376;mso-wrap-distance-left:0;mso-wrap-distance-right:0" coordorigin="5394,290" coordsize="5530,20">
            <v:line style="position:absolute" from="5395,291" to="5564,291" stroked="true" strokeweight=".06pt" strokecolor="#000000"/>
            <v:line style="position:absolute" from="5395,292" to="5564,292" stroked="true" strokeweight=".06pt" strokecolor="#000000"/>
            <v:line style="position:absolute" from="5395,293" to="5564,293" stroked="true" strokeweight=".06pt" strokecolor="#000000"/>
            <v:line style="position:absolute" from="5395,294" to="5564,294" stroked="true" strokeweight=".06pt" strokecolor="#000000"/>
            <v:line style="position:absolute" from="5395,296" to="5564,296" stroked="true" strokeweight=".06pt" strokecolor="#000000"/>
            <v:line style="position:absolute" from="5395,297" to="5564,297" stroked="true" strokeweight=".06pt" strokecolor="#000000"/>
            <v:line style="position:absolute" from="5395,298" to="5564,298" stroked="true" strokeweight=".06pt" strokecolor="#000000"/>
            <v:line style="position:absolute" from="5395,299" to="5564,299" stroked="true" strokeweight=".06pt" strokecolor="#000000"/>
            <v:line style="position:absolute" from="5395,300" to="5564,300" stroked="true" strokeweight=".06pt" strokecolor="#000000"/>
            <v:line style="position:absolute" from="5395,302" to="5564,302" stroked="true" strokeweight=".06pt" strokecolor="#000000"/>
            <v:line style="position:absolute" from="5395,303" to="5564,303" stroked="true" strokeweight=".06pt" strokecolor="#000000"/>
            <v:line style="position:absolute" from="5395,304" to="5564,304" stroked="true" strokeweight=".06pt" strokecolor="#000000"/>
            <v:line style="position:absolute" from="5395,305" to="5564,305" stroked="true" strokeweight=".06pt" strokecolor="#000000"/>
            <v:line style="position:absolute" from="5395,306" to="5564,306" stroked="true" strokeweight=".06pt" strokecolor="#000000"/>
            <v:line style="position:absolute" from="5395,308" to="5564,308" stroked="true" strokeweight=".06pt" strokecolor="#000000"/>
            <v:line style="position:absolute" from="5395,309" to="5564,309" stroked="true" strokeweight=".06pt" strokecolor="#000000"/>
            <v:line style="position:absolute" from="5564,291" to="6862,291" stroked="true" strokeweight=".06pt" strokecolor="#000000"/>
            <v:line style="position:absolute" from="5564,292" to="6862,292" stroked="true" strokeweight=".06pt" strokecolor="#000000"/>
            <v:line style="position:absolute" from="5564,293" to="6862,293" stroked="true" strokeweight=".06pt" strokecolor="#000000"/>
            <v:line style="position:absolute" from="5564,294" to="6862,294" stroked="true" strokeweight=".06pt" strokecolor="#000000"/>
            <v:line style="position:absolute" from="5564,296" to="6862,296" stroked="true" strokeweight=".06pt" strokecolor="#000000"/>
            <v:line style="position:absolute" from="5564,297" to="6862,297" stroked="true" strokeweight=".06pt" strokecolor="#000000"/>
            <v:line style="position:absolute" from="5564,298" to="6862,298" stroked="true" strokeweight=".06pt" strokecolor="#000000"/>
            <v:line style="position:absolute" from="5564,299" to="6862,299" stroked="true" strokeweight=".06pt" strokecolor="#000000"/>
            <v:line style="position:absolute" from="5564,300" to="6862,300" stroked="true" strokeweight=".06pt" strokecolor="#000000"/>
            <v:line style="position:absolute" from="5564,302" to="6862,302" stroked="true" strokeweight=".06pt" strokecolor="#000000"/>
            <v:line style="position:absolute" from="5564,303" to="6862,303" stroked="true" strokeweight=".06pt" strokecolor="#000000"/>
            <v:line style="position:absolute" from="5564,304" to="6862,304" stroked="true" strokeweight=".06pt" strokecolor="#000000"/>
            <v:line style="position:absolute" from="5564,305" to="6862,305" stroked="true" strokeweight=".06pt" strokecolor="#000000"/>
            <v:line style="position:absolute" from="5564,306" to="6862,306" stroked="true" strokeweight=".06pt" strokecolor="#000000"/>
            <v:line style="position:absolute" from="5564,308" to="6862,308" stroked="true" strokeweight=".06pt" strokecolor="#000000"/>
            <v:line style="position:absolute" from="5564,309" to="6862,309" stroked="true" strokeweight=".06pt" strokecolor="#000000"/>
            <v:line style="position:absolute" from="6862,291" to="8159,291" stroked="true" strokeweight=".06pt" strokecolor="#000000"/>
            <v:line style="position:absolute" from="6862,292" to="8159,292" stroked="true" strokeweight=".06pt" strokecolor="#000000"/>
            <v:line style="position:absolute" from="6862,293" to="8159,293" stroked="true" strokeweight=".06pt" strokecolor="#000000"/>
            <v:line style="position:absolute" from="6862,294" to="8159,294" stroked="true" strokeweight=".06pt" strokecolor="#000000"/>
            <v:line style="position:absolute" from="6862,296" to="8159,296" stroked="true" strokeweight=".06pt" strokecolor="#000000"/>
            <v:line style="position:absolute" from="6862,297" to="8159,297" stroked="true" strokeweight=".06pt" strokecolor="#000000"/>
            <v:line style="position:absolute" from="6862,298" to="8159,298" stroked="true" strokeweight=".06pt" strokecolor="#000000"/>
            <v:line style="position:absolute" from="6862,299" to="8159,299" stroked="true" strokeweight=".06pt" strokecolor="#000000"/>
            <v:line style="position:absolute" from="6862,300" to="8159,300" stroked="true" strokeweight=".06pt" strokecolor="#000000"/>
            <v:line style="position:absolute" from="6862,302" to="8159,302" stroked="true" strokeweight=".06pt" strokecolor="#000000"/>
            <v:line style="position:absolute" from="6862,303" to="8159,303" stroked="true" strokeweight=".06pt" strokecolor="#000000"/>
            <v:line style="position:absolute" from="6862,304" to="8159,304" stroked="true" strokeweight=".06pt" strokecolor="#000000"/>
            <v:line style="position:absolute" from="6862,305" to="8159,305" stroked="true" strokeweight=".06pt" strokecolor="#000000"/>
            <v:line style="position:absolute" from="6862,306" to="8159,306" stroked="true" strokeweight=".06pt" strokecolor="#000000"/>
            <v:line style="position:absolute" from="6862,308" to="8159,308" stroked="true" strokeweight=".06pt" strokecolor="#000000"/>
            <v:line style="position:absolute" from="6862,309" to="8159,309" stroked="true" strokeweight=".06pt" strokecolor="#000000"/>
            <v:line style="position:absolute" from="8159,291" to="8328,291" stroked="true" strokeweight=".06pt" strokecolor="#000000"/>
            <v:line style="position:absolute" from="8159,292" to="8328,292" stroked="true" strokeweight=".06pt" strokecolor="#000000"/>
            <v:line style="position:absolute" from="8159,293" to="8328,293" stroked="true" strokeweight=".06pt" strokecolor="#000000"/>
            <v:line style="position:absolute" from="8159,294" to="8328,294" stroked="true" strokeweight=".06pt" strokecolor="#000000"/>
            <v:line style="position:absolute" from="8159,296" to="8328,296" stroked="true" strokeweight=".06pt" strokecolor="#000000"/>
            <v:line style="position:absolute" from="8159,297" to="8328,297" stroked="true" strokeweight=".06pt" strokecolor="#000000"/>
            <v:line style="position:absolute" from="8159,298" to="8328,298" stroked="true" strokeweight=".06pt" strokecolor="#000000"/>
            <v:line style="position:absolute" from="8159,299" to="8328,299" stroked="true" strokeweight=".06pt" strokecolor="#000000"/>
            <v:line style="position:absolute" from="8159,300" to="8328,300" stroked="true" strokeweight=".06pt" strokecolor="#000000"/>
            <v:line style="position:absolute" from="8159,302" to="8328,302" stroked="true" strokeweight=".06pt" strokecolor="#000000"/>
            <v:line style="position:absolute" from="8159,303" to="8328,303" stroked="true" strokeweight=".06pt" strokecolor="#000000"/>
            <v:line style="position:absolute" from="8159,304" to="8328,304" stroked="true" strokeweight=".06pt" strokecolor="#000000"/>
            <v:line style="position:absolute" from="8159,305" to="8328,305" stroked="true" strokeweight=".06pt" strokecolor="#000000"/>
            <v:line style="position:absolute" from="8159,306" to="8328,306" stroked="true" strokeweight=".06pt" strokecolor="#000000"/>
            <v:line style="position:absolute" from="8159,308" to="8328,308" stroked="true" strokeweight=".06pt" strokecolor="#000000"/>
            <v:line style="position:absolute" from="8159,309" to="8328,309" stroked="true" strokeweight=".06pt" strokecolor="#000000"/>
            <v:line style="position:absolute" from="8328,291" to="9625,291" stroked="true" strokeweight=".06pt" strokecolor="#000000"/>
            <v:line style="position:absolute" from="8328,292" to="9625,292" stroked="true" strokeweight=".06pt" strokecolor="#000000"/>
            <v:line style="position:absolute" from="8328,293" to="9625,293" stroked="true" strokeweight=".06pt" strokecolor="#000000"/>
            <v:line style="position:absolute" from="8328,294" to="9625,294" stroked="true" strokeweight=".06pt" strokecolor="#000000"/>
            <v:line style="position:absolute" from="8328,296" to="9625,296" stroked="true" strokeweight=".06pt" strokecolor="#000000"/>
            <v:line style="position:absolute" from="8328,297" to="9625,297" stroked="true" strokeweight=".06pt" strokecolor="#000000"/>
            <v:line style="position:absolute" from="8328,298" to="9625,298" stroked="true" strokeweight=".06pt" strokecolor="#000000"/>
            <v:line style="position:absolute" from="8328,299" to="9625,299" stroked="true" strokeweight=".06pt" strokecolor="#000000"/>
            <v:line style="position:absolute" from="8328,300" to="9625,300" stroked="true" strokeweight=".06pt" strokecolor="#000000"/>
            <v:line style="position:absolute" from="8328,302" to="9625,302" stroked="true" strokeweight=".06pt" strokecolor="#000000"/>
            <v:line style="position:absolute" from="8328,303" to="9625,303" stroked="true" strokeweight=".06pt" strokecolor="#000000"/>
            <v:line style="position:absolute" from="8328,304" to="9625,304" stroked="true" strokeweight=".06pt" strokecolor="#000000"/>
            <v:line style="position:absolute" from="8328,305" to="9625,305" stroked="true" strokeweight=".06pt" strokecolor="#000000"/>
            <v:line style="position:absolute" from="8328,306" to="9625,306" stroked="true" strokeweight=".06pt" strokecolor="#000000"/>
            <v:line style="position:absolute" from="8328,308" to="9625,308" stroked="true" strokeweight=".06pt" strokecolor="#000000"/>
            <v:line style="position:absolute" from="8328,309" to="9625,309" stroked="true" strokeweight=".06pt" strokecolor="#000000"/>
            <v:line style="position:absolute" from="9625,291" to="10922,291" stroked="true" strokeweight=".06pt" strokecolor="#000000"/>
            <v:line style="position:absolute" from="9625,292" to="10922,292" stroked="true" strokeweight=".06pt" strokecolor="#000000"/>
            <v:line style="position:absolute" from="9625,293" to="10922,293" stroked="true" strokeweight=".06pt" strokecolor="#000000"/>
            <v:line style="position:absolute" from="9625,294" to="10922,294" stroked="true" strokeweight=".06pt" strokecolor="#000000"/>
            <v:line style="position:absolute" from="9625,296" to="10922,296" stroked="true" strokeweight=".06pt" strokecolor="#000000"/>
            <v:line style="position:absolute" from="9625,297" to="10922,297" stroked="true" strokeweight=".06pt" strokecolor="#000000"/>
            <v:line style="position:absolute" from="9625,298" to="10922,298" stroked="true" strokeweight=".06pt" strokecolor="#000000"/>
            <v:line style="position:absolute" from="9625,299" to="10922,299" stroked="true" strokeweight=".06pt" strokecolor="#000000"/>
            <v:line style="position:absolute" from="9625,300" to="10922,300" stroked="true" strokeweight=".06pt" strokecolor="#000000"/>
            <v:line style="position:absolute" from="9625,302" to="10922,302" stroked="true" strokeweight=".06pt" strokecolor="#000000"/>
            <v:line style="position:absolute" from="9625,303" to="10922,303" stroked="true" strokeweight=".06pt" strokecolor="#000000"/>
            <v:line style="position:absolute" from="9625,304" to="10922,304" stroked="true" strokeweight=".06pt" strokecolor="#000000"/>
            <v:line style="position:absolute" from="9625,305" to="10922,305" stroked="true" strokeweight=".06pt" strokecolor="#000000"/>
            <v:line style="position:absolute" from="9625,306" to="10922,306" stroked="true" strokeweight=".06pt" strokecolor="#000000"/>
            <v:line style="position:absolute" from="9625,308" to="10922,308" stroked="true" strokeweight=".06pt" strokecolor="#000000"/>
            <v:line style="position:absolute" from="9625,309" to="10922,309" stroked="true" strokeweight=".06pt" strokecolor="#000000"/>
            <v:line style="position:absolute" from="5395,291" to="5564,291" stroked="true" strokeweight=".06pt" strokecolor="#000000"/>
            <v:line style="position:absolute" from="5395,292" to="5564,292" stroked="true" strokeweight=".06pt" strokecolor="#000000"/>
            <v:line style="position:absolute" from="5395,293" to="5564,293" stroked="true" strokeweight=".06pt" strokecolor="#000000"/>
            <v:line style="position:absolute" from="5395,294" to="5564,294" stroked="true" strokeweight=".06pt" strokecolor="#000000"/>
            <v:line style="position:absolute" from="5395,296" to="5564,296" stroked="true" strokeweight=".06pt" strokecolor="#000000"/>
            <v:line style="position:absolute" from="5395,297" to="5564,297" stroked="true" strokeweight=".06pt" strokecolor="#000000"/>
            <v:line style="position:absolute" from="5395,298" to="5564,298" stroked="true" strokeweight=".06pt" strokecolor="#000000"/>
            <v:line style="position:absolute" from="5395,299" to="5564,299" stroked="true" strokeweight=".06pt" strokecolor="#000000"/>
            <v:line style="position:absolute" from="5395,300" to="5564,300" stroked="true" strokeweight=".06pt" strokecolor="#000000"/>
            <v:line style="position:absolute" from="5395,302" to="5564,302" stroked="true" strokeweight=".06pt" strokecolor="#000000"/>
            <v:line style="position:absolute" from="5395,303" to="5564,303" stroked="true" strokeweight=".06pt" strokecolor="#000000"/>
            <v:line style="position:absolute" from="5395,304" to="5564,304" stroked="true" strokeweight=".06pt" strokecolor="#000000"/>
            <v:line style="position:absolute" from="5395,305" to="5564,305" stroked="true" strokeweight=".06pt" strokecolor="#000000"/>
            <v:line style="position:absolute" from="5395,306" to="5564,306" stroked="true" strokeweight=".06pt" strokecolor="#000000"/>
            <v:line style="position:absolute" from="5395,308" to="5564,308" stroked="true" strokeweight=".06pt" strokecolor="#000000"/>
            <v:line style="position:absolute" from="5395,309" to="5564,309" stroked="true" strokeweight=".06pt" strokecolor="#000000"/>
            <v:line style="position:absolute" from="5564,291" to="6862,291" stroked="true" strokeweight=".06pt" strokecolor="#000000"/>
            <v:line style="position:absolute" from="5564,292" to="6862,292" stroked="true" strokeweight=".06pt" strokecolor="#000000"/>
            <v:line style="position:absolute" from="5564,293" to="6862,293" stroked="true" strokeweight=".06pt" strokecolor="#000000"/>
            <v:line style="position:absolute" from="5564,294" to="6862,294" stroked="true" strokeweight=".06pt" strokecolor="#000000"/>
            <v:line style="position:absolute" from="5564,296" to="6862,296" stroked="true" strokeweight=".06pt" strokecolor="#000000"/>
            <v:line style="position:absolute" from="5564,297" to="6862,297" stroked="true" strokeweight=".06pt" strokecolor="#000000"/>
            <v:line style="position:absolute" from="5564,298" to="6862,298" stroked="true" strokeweight=".06pt" strokecolor="#000000"/>
            <v:line style="position:absolute" from="5564,299" to="6862,299" stroked="true" strokeweight=".06pt" strokecolor="#000000"/>
            <v:line style="position:absolute" from="5564,300" to="6862,300" stroked="true" strokeweight=".06pt" strokecolor="#000000"/>
            <v:line style="position:absolute" from="5564,302" to="6862,302" stroked="true" strokeweight=".06pt" strokecolor="#000000"/>
            <v:line style="position:absolute" from="5564,303" to="6862,303" stroked="true" strokeweight=".06pt" strokecolor="#000000"/>
            <v:line style="position:absolute" from="5564,304" to="6862,304" stroked="true" strokeweight=".06pt" strokecolor="#000000"/>
            <v:line style="position:absolute" from="5564,305" to="6862,305" stroked="true" strokeweight=".06pt" strokecolor="#000000"/>
            <v:line style="position:absolute" from="5564,306" to="6862,306" stroked="true" strokeweight=".06pt" strokecolor="#000000"/>
            <v:line style="position:absolute" from="5564,308" to="6862,308" stroked="true" strokeweight=".06pt" strokecolor="#000000"/>
            <v:line style="position:absolute" from="5564,309" to="6862,309" stroked="true" strokeweight=".06pt" strokecolor="#000000"/>
            <v:line style="position:absolute" from="6862,291" to="8159,291" stroked="true" strokeweight=".06pt" strokecolor="#000000"/>
            <v:line style="position:absolute" from="6862,292" to="8159,292" stroked="true" strokeweight=".06pt" strokecolor="#000000"/>
            <v:line style="position:absolute" from="6862,293" to="8159,293" stroked="true" strokeweight=".06pt" strokecolor="#000000"/>
            <v:line style="position:absolute" from="6862,294" to="8159,294" stroked="true" strokeweight=".06pt" strokecolor="#000000"/>
            <v:line style="position:absolute" from="6862,296" to="8159,296" stroked="true" strokeweight=".06pt" strokecolor="#000000"/>
            <v:line style="position:absolute" from="6862,297" to="8159,297" stroked="true" strokeweight=".06pt" strokecolor="#000000"/>
            <v:line style="position:absolute" from="6862,298" to="8159,298" stroked="true" strokeweight=".06pt" strokecolor="#000000"/>
            <v:line style="position:absolute" from="6862,299" to="8159,299" stroked="true" strokeweight=".06pt" strokecolor="#000000"/>
            <v:line style="position:absolute" from="6862,300" to="8159,300" stroked="true" strokeweight=".06pt" strokecolor="#000000"/>
            <v:line style="position:absolute" from="6862,302" to="8159,302" stroked="true" strokeweight=".06pt" strokecolor="#000000"/>
            <v:line style="position:absolute" from="6862,303" to="8159,303" stroked="true" strokeweight=".06pt" strokecolor="#000000"/>
            <v:line style="position:absolute" from="6862,304" to="8159,304" stroked="true" strokeweight=".06pt" strokecolor="#000000"/>
            <v:line style="position:absolute" from="6862,305" to="8159,305" stroked="true" strokeweight=".06pt" strokecolor="#000000"/>
            <v:line style="position:absolute" from="6862,306" to="8159,306" stroked="true" strokeweight=".06pt" strokecolor="#000000"/>
            <v:line style="position:absolute" from="6862,308" to="8159,308" stroked="true" strokeweight=".06pt" strokecolor="#000000"/>
            <v:line style="position:absolute" from="6862,309" to="8159,309" stroked="true" strokeweight=".06pt" strokecolor="#000000"/>
            <v:line style="position:absolute" from="8159,291" to="8328,291" stroked="true" strokeweight=".06pt" strokecolor="#000000"/>
            <v:line style="position:absolute" from="8159,292" to="8328,292" stroked="true" strokeweight=".06pt" strokecolor="#000000"/>
            <v:line style="position:absolute" from="8159,293" to="8328,293" stroked="true" strokeweight=".06pt" strokecolor="#000000"/>
            <v:line style="position:absolute" from="8159,294" to="8328,294" stroked="true" strokeweight=".06pt" strokecolor="#000000"/>
            <v:line style="position:absolute" from="8159,296" to="8328,296" stroked="true" strokeweight=".06pt" strokecolor="#000000"/>
            <v:line style="position:absolute" from="8159,297" to="8328,297" stroked="true" strokeweight=".06pt" strokecolor="#000000"/>
            <v:line style="position:absolute" from="8159,298" to="8328,298" stroked="true" strokeweight=".06pt" strokecolor="#000000"/>
            <v:line style="position:absolute" from="8159,299" to="8328,299" stroked="true" strokeweight=".06pt" strokecolor="#000000"/>
            <v:line style="position:absolute" from="8159,300" to="8328,300" stroked="true" strokeweight=".06pt" strokecolor="#000000"/>
            <v:line style="position:absolute" from="8159,302" to="8328,302" stroked="true" strokeweight=".06pt" strokecolor="#000000"/>
            <v:line style="position:absolute" from="8159,303" to="8328,303" stroked="true" strokeweight=".06pt" strokecolor="#000000"/>
            <v:line style="position:absolute" from="8159,304" to="8328,304" stroked="true" strokeweight=".06pt" strokecolor="#000000"/>
            <v:line style="position:absolute" from="8159,305" to="8328,305" stroked="true" strokeweight=".06pt" strokecolor="#000000"/>
            <v:line style="position:absolute" from="8159,306" to="8328,306" stroked="true" strokeweight=".06pt" strokecolor="#000000"/>
            <v:line style="position:absolute" from="8159,308" to="8328,308" stroked="true" strokeweight=".06pt" strokecolor="#000000"/>
            <v:line style="position:absolute" from="8159,309" to="8328,309" stroked="true" strokeweight=".06pt" strokecolor="#000000"/>
            <v:line style="position:absolute" from="8328,291" to="9625,291" stroked="true" strokeweight=".06pt" strokecolor="#000000"/>
            <v:line style="position:absolute" from="8328,292" to="9625,292" stroked="true" strokeweight=".06pt" strokecolor="#000000"/>
            <v:line style="position:absolute" from="8328,293" to="9625,293" stroked="true" strokeweight=".06pt" strokecolor="#000000"/>
            <v:line style="position:absolute" from="8328,294" to="9625,294" stroked="true" strokeweight=".06pt" strokecolor="#000000"/>
            <v:line style="position:absolute" from="8328,296" to="9625,296" stroked="true" strokeweight=".06pt" strokecolor="#000000"/>
            <v:line style="position:absolute" from="8328,297" to="9625,297" stroked="true" strokeweight=".06pt" strokecolor="#000000"/>
            <v:line style="position:absolute" from="8328,298" to="9625,298" stroked="true" strokeweight=".06pt" strokecolor="#000000"/>
            <v:line style="position:absolute" from="8328,299" to="9625,299" stroked="true" strokeweight=".06pt" strokecolor="#000000"/>
            <v:line style="position:absolute" from="8328,300" to="9625,300" stroked="true" strokeweight=".06pt" strokecolor="#000000"/>
            <v:line style="position:absolute" from="8328,302" to="9625,302" stroked="true" strokeweight=".06pt" strokecolor="#000000"/>
            <v:line style="position:absolute" from="8328,303" to="9625,303" stroked="true" strokeweight=".06pt" strokecolor="#000000"/>
            <v:line style="position:absolute" from="8328,304" to="9625,304" stroked="true" strokeweight=".06pt" strokecolor="#000000"/>
            <v:line style="position:absolute" from="8328,305" to="9625,305" stroked="true" strokeweight=".06pt" strokecolor="#000000"/>
            <v:line style="position:absolute" from="8328,306" to="9625,306" stroked="true" strokeweight=".06pt" strokecolor="#000000"/>
            <v:line style="position:absolute" from="8328,308" to="9625,308" stroked="true" strokeweight=".06pt" strokecolor="#000000"/>
            <v:line style="position:absolute" from="8328,309" to="9625,309" stroked="true" strokeweight=".06pt" strokecolor="#000000"/>
            <v:line style="position:absolute" from="9625,291" to="10922,291" stroked="true" strokeweight=".06pt" strokecolor="#000000"/>
            <v:line style="position:absolute" from="9625,292" to="10922,292" stroked="true" strokeweight=".06pt" strokecolor="#000000"/>
            <v:line style="position:absolute" from="9625,293" to="10922,293" stroked="true" strokeweight=".06pt" strokecolor="#000000"/>
            <v:line style="position:absolute" from="9625,294" to="10922,294" stroked="true" strokeweight=".06pt" strokecolor="#000000"/>
            <v:line style="position:absolute" from="9625,296" to="10922,296" stroked="true" strokeweight=".06pt" strokecolor="#000000"/>
            <v:line style="position:absolute" from="9625,297" to="10922,297" stroked="true" strokeweight=".06pt" strokecolor="#000000"/>
            <v:line style="position:absolute" from="9625,298" to="10922,298" stroked="true" strokeweight=".06pt" strokecolor="#000000"/>
            <v:line style="position:absolute" from="9625,299" to="10922,299" stroked="true" strokeweight=".06pt" strokecolor="#000000"/>
            <v:line style="position:absolute" from="9625,300" to="10922,300" stroked="true" strokeweight=".06pt" strokecolor="#000000"/>
            <v:line style="position:absolute" from="9625,302" to="10922,302" stroked="true" strokeweight=".06pt" strokecolor="#000000"/>
            <v:line style="position:absolute" from="9625,303" to="10922,303" stroked="true" strokeweight=".06pt" strokecolor="#000000"/>
            <v:line style="position:absolute" from="9625,304" to="10922,304" stroked="true" strokeweight=".06pt" strokecolor="#000000"/>
            <v:line style="position:absolute" from="9625,305" to="10922,305" stroked="true" strokeweight=".06pt" strokecolor="#000000"/>
            <v:line style="position:absolute" from="9625,306" to="10922,306" stroked="true" strokeweight=".06pt" strokecolor="#000000"/>
            <v:line style="position:absolute" from="9625,308" to="10922,308" stroked="true" strokeweight=".06pt" strokecolor="#000000"/>
            <v:line style="position:absolute" from="9625,309" to="10922,309" stroked="true" strokeweight=".06pt" strokecolor="#000000"/>
            <w10:wrap type="topAndBottom"/>
          </v:group>
        </w:pict>
      </w:r>
      <w:r>
        <w:rPr>
          <w:sz w:val="18"/>
        </w:rPr>
        <w:t>Long</w:t>
      </w:r>
      <w:r>
        <w:rPr>
          <w:spacing w:val="-1"/>
          <w:sz w:val="18"/>
        </w:rPr>
        <w:t> </w:t>
      </w:r>
      <w:r>
        <w:rPr>
          <w:sz w:val="18"/>
        </w:rPr>
        <w:t>service</w:t>
      </w:r>
      <w:r>
        <w:rPr>
          <w:spacing w:val="-1"/>
          <w:sz w:val="18"/>
        </w:rPr>
        <w:t> </w:t>
      </w:r>
      <w:r>
        <w:rPr>
          <w:sz w:val="18"/>
        </w:rPr>
        <w:t>leave</w:t>
        <w:tab/>
      </w:r>
      <w:r>
        <w:rPr>
          <w:b/>
          <w:sz w:val="18"/>
        </w:rPr>
        <w:t>31,635</w:t>
        <w:tab/>
      </w:r>
      <w:r>
        <w:rPr>
          <w:sz w:val="18"/>
        </w:rPr>
        <w:t>33,874</w:t>
        <w:tab/>
      </w:r>
      <w:r>
        <w:rPr>
          <w:b/>
          <w:sz w:val="18"/>
        </w:rPr>
        <w:t>31,149</w:t>
        <w:tab/>
      </w:r>
      <w:r>
        <w:rPr>
          <w:sz w:val="18"/>
        </w:rPr>
        <w:t>33,287</w:t>
      </w:r>
    </w:p>
    <w:p>
      <w:pPr>
        <w:tabs>
          <w:tab w:pos="6616" w:val="left" w:leader="none"/>
          <w:tab w:pos="8083" w:val="left" w:leader="none"/>
          <w:tab w:pos="9380" w:val="left" w:leader="none"/>
        </w:tabs>
        <w:spacing w:before="84" w:after="8"/>
        <w:ind w:left="5319" w:right="128" w:firstLine="0"/>
        <w:jc w:val="left"/>
        <w:rPr>
          <w:sz w:val="18"/>
        </w:rPr>
      </w:pPr>
      <w:r>
        <w:rPr>
          <w:b/>
          <w:sz w:val="18"/>
        </w:rPr>
        <w:t>40,939</w:t>
        <w:tab/>
      </w:r>
      <w:r>
        <w:rPr>
          <w:sz w:val="18"/>
        </w:rPr>
        <w:t>41,984</w:t>
        <w:tab/>
      </w:r>
      <w:r>
        <w:rPr>
          <w:b/>
          <w:sz w:val="18"/>
        </w:rPr>
        <w:t>40,327</w:t>
        <w:tab/>
      </w:r>
      <w:r>
        <w:rPr>
          <w:sz w:val="18"/>
        </w:rPr>
        <w:t>40,598</w:t>
      </w:r>
    </w:p>
    <w:tbl>
      <w:tblPr>
        <w:tblW w:w="0" w:type="auto"/>
        <w:jc w:val="left"/>
        <w:tblInd w:w="49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98"/>
        <w:gridCol w:w="1704"/>
        <w:gridCol w:w="1382"/>
        <w:gridCol w:w="1382"/>
        <w:gridCol w:w="1060"/>
      </w:tblGrid>
      <w:tr>
        <w:trPr>
          <w:trHeight w:val="353" w:hRule="exact"/>
        </w:trPr>
        <w:tc>
          <w:tcPr>
            <w:tcW w:w="5702" w:type="dxa"/>
            <w:gridSpan w:val="2"/>
          </w:tcPr>
          <w:p>
            <w:pPr>
              <w:pStyle w:val="TableParagraph"/>
              <w:tabs>
                <w:tab w:pos="4821" w:val="left" w:leader="none"/>
              </w:tabs>
              <w:spacing w:before="123"/>
              <w:ind w:left="51"/>
              <w:rPr>
                <w:b/>
                <w:sz w:val="18"/>
              </w:rPr>
            </w:pPr>
            <w:r>
              <w:rPr>
                <w:b/>
                <w:sz w:val="18"/>
              </w:rPr>
              <w:t>Total current provisions</w:t>
              <w:tab/>
              <w:t>61,764</w:t>
            </w:r>
          </w:p>
        </w:tc>
        <w:tc>
          <w:tcPr>
            <w:tcW w:w="1382" w:type="dxa"/>
            <w:tcBorders>
              <w:top w:val="single" w:sz="0" w:space="0" w:color="000000"/>
              <w:bottom w:val="single" w:sz="0" w:space="0" w:color="000000"/>
            </w:tcBorders>
          </w:tcPr>
          <w:p>
            <w:pPr>
              <w:pStyle w:val="TableParagraph"/>
              <w:spacing w:before="122"/>
              <w:ind w:right="411"/>
              <w:jc w:val="right"/>
              <w:rPr>
                <w:sz w:val="18"/>
              </w:rPr>
            </w:pPr>
            <w:r>
              <w:rPr>
                <w:w w:val="95"/>
                <w:sz w:val="18"/>
              </w:rPr>
              <w:t>61,286</w:t>
            </w:r>
          </w:p>
        </w:tc>
        <w:tc>
          <w:tcPr>
            <w:tcW w:w="1382" w:type="dxa"/>
            <w:tcBorders>
              <w:top w:val="single" w:sz="0" w:space="0" w:color="000000"/>
              <w:bottom w:val="single" w:sz="0" w:space="0" w:color="000000"/>
            </w:tcBorders>
          </w:tcPr>
          <w:p>
            <w:pPr>
              <w:pStyle w:val="TableParagraph"/>
              <w:spacing w:before="122"/>
              <w:ind w:right="327"/>
              <w:jc w:val="right"/>
              <w:rPr>
                <w:b/>
                <w:sz w:val="18"/>
              </w:rPr>
            </w:pPr>
            <w:r>
              <w:rPr>
                <w:b/>
                <w:w w:val="95"/>
                <w:sz w:val="18"/>
              </w:rPr>
              <w:t>59,616</w:t>
            </w:r>
          </w:p>
        </w:tc>
        <w:tc>
          <w:tcPr>
            <w:tcW w:w="1060" w:type="dxa"/>
            <w:tcBorders>
              <w:top w:val="single" w:sz="0" w:space="0" w:color="000000"/>
              <w:bottom w:val="single" w:sz="0" w:space="0" w:color="000000"/>
            </w:tcBorders>
          </w:tcPr>
          <w:p>
            <w:pPr>
              <w:pStyle w:val="TableParagraph"/>
              <w:spacing w:before="122"/>
              <w:ind w:right="89"/>
              <w:jc w:val="right"/>
              <w:rPr>
                <w:sz w:val="18"/>
              </w:rPr>
            </w:pPr>
            <w:r>
              <w:rPr>
                <w:w w:val="95"/>
                <w:sz w:val="18"/>
              </w:rPr>
              <w:t>59,012</w:t>
            </w:r>
          </w:p>
        </w:tc>
      </w:tr>
      <w:tr>
        <w:trPr>
          <w:trHeight w:val="368" w:hRule="exact"/>
        </w:trPr>
        <w:tc>
          <w:tcPr>
            <w:tcW w:w="3998" w:type="dxa"/>
          </w:tcPr>
          <w:p>
            <w:pPr>
              <w:pStyle w:val="TableParagraph"/>
              <w:spacing w:before="138"/>
              <w:ind w:left="35" w:right="1347"/>
              <w:rPr>
                <w:b/>
                <w:sz w:val="18"/>
              </w:rPr>
            </w:pPr>
            <w:r>
              <w:rPr>
                <w:b/>
                <w:sz w:val="18"/>
              </w:rPr>
              <w:t>Non-current provisions</w:t>
            </w:r>
          </w:p>
        </w:tc>
        <w:tc>
          <w:tcPr>
            <w:tcW w:w="1704" w:type="dxa"/>
          </w:tcPr>
          <w:p>
            <w:pPr/>
          </w:p>
        </w:tc>
        <w:tc>
          <w:tcPr>
            <w:tcW w:w="1382" w:type="dxa"/>
          </w:tcPr>
          <w:p>
            <w:pPr/>
          </w:p>
        </w:tc>
        <w:tc>
          <w:tcPr>
            <w:tcW w:w="1382" w:type="dxa"/>
          </w:tcPr>
          <w:p>
            <w:pPr/>
          </w:p>
        </w:tc>
        <w:tc>
          <w:tcPr>
            <w:tcW w:w="1060" w:type="dxa"/>
          </w:tcPr>
          <w:p>
            <w:pPr/>
          </w:p>
        </w:tc>
      </w:tr>
      <w:tr>
        <w:trPr>
          <w:trHeight w:val="248" w:hRule="exact"/>
        </w:trPr>
        <w:tc>
          <w:tcPr>
            <w:tcW w:w="3998" w:type="dxa"/>
          </w:tcPr>
          <w:p>
            <w:pPr>
              <w:pStyle w:val="TableParagraph"/>
              <w:spacing w:before="4"/>
              <w:ind w:left="35" w:right="1347"/>
              <w:rPr>
                <w:sz w:val="18"/>
              </w:rPr>
            </w:pPr>
            <w:r>
              <w:rPr>
                <w:sz w:val="18"/>
              </w:rPr>
              <w:t>Employee benefits</w:t>
            </w:r>
          </w:p>
        </w:tc>
        <w:tc>
          <w:tcPr>
            <w:tcW w:w="1704" w:type="dxa"/>
          </w:tcPr>
          <w:p>
            <w:pPr/>
          </w:p>
        </w:tc>
        <w:tc>
          <w:tcPr>
            <w:tcW w:w="1382" w:type="dxa"/>
          </w:tcPr>
          <w:p>
            <w:pPr/>
          </w:p>
        </w:tc>
        <w:tc>
          <w:tcPr>
            <w:tcW w:w="1382" w:type="dxa"/>
          </w:tcPr>
          <w:p>
            <w:pPr/>
          </w:p>
        </w:tc>
        <w:tc>
          <w:tcPr>
            <w:tcW w:w="1060" w:type="dxa"/>
          </w:tcPr>
          <w:p>
            <w:pPr/>
          </w:p>
        </w:tc>
      </w:tr>
      <w:tr>
        <w:trPr>
          <w:trHeight w:val="263" w:hRule="exact"/>
        </w:trPr>
        <w:tc>
          <w:tcPr>
            <w:tcW w:w="3998" w:type="dxa"/>
          </w:tcPr>
          <w:p>
            <w:pPr>
              <w:pStyle w:val="TableParagraph"/>
              <w:spacing w:before="19"/>
              <w:ind w:left="249" w:right="1347"/>
              <w:rPr>
                <w:sz w:val="18"/>
              </w:rPr>
            </w:pPr>
            <w:r>
              <w:rPr>
                <w:sz w:val="18"/>
              </w:rPr>
              <w:t>Long service leave</w:t>
            </w:r>
          </w:p>
        </w:tc>
        <w:tc>
          <w:tcPr>
            <w:tcW w:w="1704" w:type="dxa"/>
          </w:tcPr>
          <w:p>
            <w:pPr>
              <w:pStyle w:val="TableParagraph"/>
              <w:spacing w:before="18"/>
              <w:ind w:right="322"/>
              <w:jc w:val="right"/>
              <w:rPr>
                <w:b/>
                <w:sz w:val="18"/>
              </w:rPr>
            </w:pPr>
            <w:r>
              <w:rPr>
                <w:b/>
                <w:w w:val="95"/>
                <w:sz w:val="18"/>
              </w:rPr>
              <w:t>14,510</w:t>
            </w:r>
          </w:p>
        </w:tc>
        <w:tc>
          <w:tcPr>
            <w:tcW w:w="1382" w:type="dxa"/>
          </w:tcPr>
          <w:p>
            <w:pPr>
              <w:pStyle w:val="TableParagraph"/>
              <w:spacing w:before="18"/>
              <w:ind w:right="406"/>
              <w:jc w:val="right"/>
              <w:rPr>
                <w:sz w:val="18"/>
              </w:rPr>
            </w:pPr>
            <w:r>
              <w:rPr>
                <w:w w:val="95"/>
                <w:sz w:val="18"/>
              </w:rPr>
              <w:t>7,970</w:t>
            </w:r>
          </w:p>
        </w:tc>
        <w:tc>
          <w:tcPr>
            <w:tcW w:w="1382" w:type="dxa"/>
          </w:tcPr>
          <w:p>
            <w:pPr>
              <w:pStyle w:val="TableParagraph"/>
              <w:spacing w:before="18"/>
              <w:ind w:right="322"/>
              <w:jc w:val="right"/>
              <w:rPr>
                <w:b/>
                <w:sz w:val="18"/>
              </w:rPr>
            </w:pPr>
            <w:r>
              <w:rPr>
                <w:b/>
                <w:w w:val="95"/>
                <w:sz w:val="18"/>
              </w:rPr>
              <w:t>13,903</w:t>
            </w:r>
          </w:p>
        </w:tc>
        <w:tc>
          <w:tcPr>
            <w:tcW w:w="1060" w:type="dxa"/>
          </w:tcPr>
          <w:p>
            <w:pPr>
              <w:pStyle w:val="TableParagraph"/>
              <w:spacing w:before="18"/>
              <w:ind w:right="83"/>
              <w:jc w:val="right"/>
              <w:rPr>
                <w:sz w:val="18"/>
              </w:rPr>
            </w:pPr>
            <w:r>
              <w:rPr>
                <w:w w:val="95"/>
                <w:sz w:val="18"/>
              </w:rPr>
              <w:t>7,621</w:t>
            </w:r>
          </w:p>
        </w:tc>
      </w:tr>
      <w:tr>
        <w:trPr>
          <w:trHeight w:val="467" w:hRule="exact"/>
        </w:trPr>
        <w:tc>
          <w:tcPr>
            <w:tcW w:w="3998" w:type="dxa"/>
          </w:tcPr>
          <w:p>
            <w:pPr>
              <w:pStyle w:val="TableParagraph"/>
              <w:spacing w:before="17"/>
              <w:ind w:left="249" w:right="1347"/>
              <w:rPr>
                <w:sz w:val="18"/>
              </w:rPr>
            </w:pPr>
            <w:r>
              <w:rPr>
                <w:sz w:val="18"/>
              </w:rPr>
              <w:t>Deferred government benefits for superannuation</w:t>
            </w:r>
          </w:p>
        </w:tc>
        <w:tc>
          <w:tcPr>
            <w:tcW w:w="1704" w:type="dxa"/>
            <w:tcBorders>
              <w:bottom w:val="single" w:sz="0" w:space="0" w:color="000000"/>
            </w:tcBorders>
          </w:tcPr>
          <w:p>
            <w:pPr>
              <w:pStyle w:val="TableParagraph"/>
              <w:spacing w:before="4"/>
              <w:rPr>
                <w:sz w:val="19"/>
              </w:rPr>
            </w:pPr>
          </w:p>
          <w:p>
            <w:pPr>
              <w:pStyle w:val="TableParagraph"/>
              <w:ind w:right="322"/>
              <w:jc w:val="right"/>
              <w:rPr>
                <w:b/>
                <w:sz w:val="18"/>
              </w:rPr>
            </w:pPr>
            <w:r>
              <w:rPr>
                <w:b/>
                <w:w w:val="95"/>
                <w:sz w:val="18"/>
              </w:rPr>
              <w:t>259,411</w:t>
            </w:r>
          </w:p>
        </w:tc>
        <w:tc>
          <w:tcPr>
            <w:tcW w:w="1382" w:type="dxa"/>
            <w:tcBorders>
              <w:bottom w:val="single" w:sz="0" w:space="0" w:color="000000"/>
            </w:tcBorders>
          </w:tcPr>
          <w:p>
            <w:pPr>
              <w:pStyle w:val="TableParagraph"/>
              <w:spacing w:before="4"/>
              <w:rPr>
                <w:sz w:val="19"/>
              </w:rPr>
            </w:pPr>
          </w:p>
          <w:p>
            <w:pPr>
              <w:pStyle w:val="TableParagraph"/>
              <w:ind w:right="405"/>
              <w:jc w:val="right"/>
              <w:rPr>
                <w:sz w:val="18"/>
              </w:rPr>
            </w:pPr>
            <w:r>
              <w:rPr>
                <w:w w:val="95"/>
                <w:sz w:val="18"/>
              </w:rPr>
              <w:t>234,759</w:t>
            </w:r>
          </w:p>
        </w:tc>
        <w:tc>
          <w:tcPr>
            <w:tcW w:w="1382" w:type="dxa"/>
            <w:tcBorders>
              <w:bottom w:val="single" w:sz="0" w:space="0" w:color="000000"/>
            </w:tcBorders>
          </w:tcPr>
          <w:p>
            <w:pPr>
              <w:pStyle w:val="TableParagraph"/>
              <w:spacing w:before="4"/>
              <w:rPr>
                <w:sz w:val="19"/>
              </w:rPr>
            </w:pPr>
          </w:p>
          <w:p>
            <w:pPr>
              <w:pStyle w:val="TableParagraph"/>
              <w:ind w:right="322"/>
              <w:jc w:val="right"/>
              <w:rPr>
                <w:b/>
                <w:sz w:val="18"/>
              </w:rPr>
            </w:pPr>
            <w:r>
              <w:rPr>
                <w:b/>
                <w:w w:val="95"/>
                <w:sz w:val="18"/>
              </w:rPr>
              <w:t>259,411</w:t>
            </w:r>
          </w:p>
        </w:tc>
        <w:tc>
          <w:tcPr>
            <w:tcW w:w="1060" w:type="dxa"/>
            <w:tcBorders>
              <w:bottom w:val="single" w:sz="0" w:space="0" w:color="000000"/>
            </w:tcBorders>
          </w:tcPr>
          <w:p>
            <w:pPr>
              <w:pStyle w:val="TableParagraph"/>
              <w:spacing w:before="4"/>
              <w:rPr>
                <w:sz w:val="19"/>
              </w:rPr>
            </w:pPr>
          </w:p>
          <w:p>
            <w:pPr>
              <w:pStyle w:val="TableParagraph"/>
              <w:ind w:right="83"/>
              <w:jc w:val="right"/>
              <w:rPr>
                <w:sz w:val="18"/>
              </w:rPr>
            </w:pPr>
            <w:r>
              <w:rPr>
                <w:w w:val="95"/>
                <w:sz w:val="18"/>
              </w:rPr>
              <w:t>234,759</w:t>
            </w:r>
          </w:p>
        </w:tc>
      </w:tr>
      <w:tr>
        <w:trPr>
          <w:trHeight w:val="353" w:hRule="exact"/>
        </w:trPr>
        <w:tc>
          <w:tcPr>
            <w:tcW w:w="3998" w:type="dxa"/>
          </w:tcPr>
          <w:p>
            <w:pPr>
              <w:pStyle w:val="TableParagraph"/>
              <w:spacing w:before="123"/>
              <w:ind w:left="35" w:right="1347"/>
              <w:rPr>
                <w:b/>
                <w:sz w:val="18"/>
              </w:rPr>
            </w:pPr>
            <w:r>
              <w:rPr>
                <w:b/>
                <w:sz w:val="18"/>
              </w:rPr>
              <w:t>Total non-current provisions</w:t>
            </w:r>
          </w:p>
        </w:tc>
        <w:tc>
          <w:tcPr>
            <w:tcW w:w="1704" w:type="dxa"/>
            <w:tcBorders>
              <w:top w:val="single" w:sz="0" w:space="0" w:color="000000"/>
              <w:bottom w:val="single" w:sz="0" w:space="0" w:color="000000"/>
            </w:tcBorders>
          </w:tcPr>
          <w:p>
            <w:pPr>
              <w:pStyle w:val="TableParagraph"/>
              <w:spacing w:before="122"/>
              <w:ind w:right="321"/>
              <w:jc w:val="right"/>
              <w:rPr>
                <w:b/>
                <w:sz w:val="18"/>
              </w:rPr>
            </w:pPr>
            <w:r>
              <w:rPr>
                <w:b/>
                <w:w w:val="95"/>
                <w:sz w:val="18"/>
              </w:rPr>
              <w:t>273,921</w:t>
            </w:r>
          </w:p>
        </w:tc>
        <w:tc>
          <w:tcPr>
            <w:tcW w:w="1382" w:type="dxa"/>
            <w:tcBorders>
              <w:top w:val="single" w:sz="0" w:space="0" w:color="000000"/>
              <w:bottom w:val="single" w:sz="0" w:space="0" w:color="000000"/>
            </w:tcBorders>
          </w:tcPr>
          <w:p>
            <w:pPr>
              <w:pStyle w:val="TableParagraph"/>
              <w:spacing w:before="122"/>
              <w:ind w:right="405"/>
              <w:jc w:val="right"/>
              <w:rPr>
                <w:sz w:val="18"/>
              </w:rPr>
            </w:pPr>
            <w:r>
              <w:rPr>
                <w:w w:val="95"/>
                <w:sz w:val="18"/>
              </w:rPr>
              <w:t>242,729</w:t>
            </w:r>
          </w:p>
        </w:tc>
        <w:tc>
          <w:tcPr>
            <w:tcW w:w="1382" w:type="dxa"/>
            <w:tcBorders>
              <w:top w:val="single" w:sz="0" w:space="0" w:color="000000"/>
              <w:bottom w:val="single" w:sz="0" w:space="0" w:color="000000"/>
            </w:tcBorders>
          </w:tcPr>
          <w:p>
            <w:pPr>
              <w:pStyle w:val="TableParagraph"/>
              <w:spacing w:before="122"/>
              <w:ind w:right="321"/>
              <w:jc w:val="right"/>
              <w:rPr>
                <w:b/>
                <w:sz w:val="18"/>
              </w:rPr>
            </w:pPr>
            <w:r>
              <w:rPr>
                <w:b/>
                <w:w w:val="95"/>
                <w:sz w:val="18"/>
              </w:rPr>
              <w:t>273,314</w:t>
            </w:r>
          </w:p>
        </w:tc>
        <w:tc>
          <w:tcPr>
            <w:tcW w:w="1060" w:type="dxa"/>
            <w:tcBorders>
              <w:top w:val="single" w:sz="0" w:space="0" w:color="000000"/>
              <w:bottom w:val="single" w:sz="0" w:space="0" w:color="000000"/>
            </w:tcBorders>
          </w:tcPr>
          <w:p>
            <w:pPr>
              <w:pStyle w:val="TableParagraph"/>
              <w:spacing w:before="122"/>
              <w:ind w:right="83"/>
              <w:jc w:val="right"/>
              <w:rPr>
                <w:sz w:val="18"/>
              </w:rPr>
            </w:pPr>
            <w:r>
              <w:rPr>
                <w:w w:val="95"/>
                <w:sz w:val="18"/>
              </w:rPr>
              <w:t>242,380</w:t>
            </w:r>
          </w:p>
        </w:tc>
      </w:tr>
      <w:tr>
        <w:trPr>
          <w:trHeight w:val="587" w:hRule="exact"/>
        </w:trPr>
        <w:tc>
          <w:tcPr>
            <w:tcW w:w="3998" w:type="dxa"/>
          </w:tcPr>
          <w:p>
            <w:pPr>
              <w:pStyle w:val="TableParagraph"/>
              <w:rPr>
                <w:sz w:val="18"/>
              </w:rPr>
            </w:pPr>
          </w:p>
          <w:p>
            <w:pPr>
              <w:pStyle w:val="TableParagraph"/>
              <w:spacing w:before="122"/>
              <w:ind w:left="35" w:right="1347"/>
              <w:rPr>
                <w:b/>
                <w:sz w:val="18"/>
              </w:rPr>
            </w:pPr>
            <w:r>
              <w:rPr>
                <w:b/>
                <w:sz w:val="18"/>
              </w:rPr>
              <w:t>Total provisions</w:t>
            </w:r>
          </w:p>
        </w:tc>
        <w:tc>
          <w:tcPr>
            <w:tcW w:w="1704" w:type="dxa"/>
            <w:tcBorders>
              <w:top w:val="single" w:sz="0" w:space="0" w:color="000000"/>
              <w:bottom w:val="single" w:sz="0" w:space="0" w:color="000000"/>
            </w:tcBorders>
          </w:tcPr>
          <w:p>
            <w:pPr>
              <w:pStyle w:val="TableParagraph"/>
              <w:rPr>
                <w:sz w:val="18"/>
              </w:rPr>
            </w:pPr>
          </w:p>
          <w:p>
            <w:pPr>
              <w:pStyle w:val="TableParagraph"/>
              <w:spacing w:before="120"/>
              <w:ind w:right="321"/>
              <w:jc w:val="right"/>
              <w:rPr>
                <w:b/>
                <w:sz w:val="18"/>
              </w:rPr>
            </w:pPr>
            <w:r>
              <w:rPr>
                <w:b/>
                <w:w w:val="95"/>
                <w:sz w:val="18"/>
              </w:rPr>
              <w:t>335,685</w:t>
            </w:r>
          </w:p>
        </w:tc>
        <w:tc>
          <w:tcPr>
            <w:tcW w:w="1382" w:type="dxa"/>
            <w:tcBorders>
              <w:top w:val="single" w:sz="0" w:space="0" w:color="000000"/>
              <w:bottom w:val="single" w:sz="0" w:space="0" w:color="000000"/>
            </w:tcBorders>
          </w:tcPr>
          <w:p>
            <w:pPr>
              <w:pStyle w:val="TableParagraph"/>
              <w:rPr>
                <w:sz w:val="18"/>
              </w:rPr>
            </w:pPr>
          </w:p>
          <w:p>
            <w:pPr>
              <w:pStyle w:val="TableParagraph"/>
              <w:spacing w:before="120"/>
              <w:ind w:right="405"/>
              <w:jc w:val="right"/>
              <w:rPr>
                <w:sz w:val="18"/>
              </w:rPr>
            </w:pPr>
            <w:r>
              <w:rPr>
                <w:w w:val="95"/>
                <w:sz w:val="18"/>
              </w:rPr>
              <w:t>304,015</w:t>
            </w:r>
          </w:p>
        </w:tc>
        <w:tc>
          <w:tcPr>
            <w:tcW w:w="1382" w:type="dxa"/>
            <w:tcBorders>
              <w:top w:val="single" w:sz="0" w:space="0" w:color="000000"/>
              <w:bottom w:val="single" w:sz="0" w:space="0" w:color="000000"/>
            </w:tcBorders>
          </w:tcPr>
          <w:p>
            <w:pPr>
              <w:pStyle w:val="TableParagraph"/>
              <w:rPr>
                <w:sz w:val="18"/>
              </w:rPr>
            </w:pPr>
          </w:p>
          <w:p>
            <w:pPr>
              <w:pStyle w:val="TableParagraph"/>
              <w:spacing w:before="120"/>
              <w:ind w:right="321"/>
              <w:jc w:val="right"/>
              <w:rPr>
                <w:b/>
                <w:sz w:val="18"/>
              </w:rPr>
            </w:pPr>
            <w:r>
              <w:rPr>
                <w:b/>
                <w:w w:val="95"/>
                <w:sz w:val="18"/>
              </w:rPr>
              <w:t>332,930</w:t>
            </w:r>
          </w:p>
        </w:tc>
        <w:tc>
          <w:tcPr>
            <w:tcW w:w="1060" w:type="dxa"/>
            <w:tcBorders>
              <w:top w:val="single" w:sz="0" w:space="0" w:color="000000"/>
              <w:bottom w:val="single" w:sz="0" w:space="0" w:color="000000"/>
            </w:tcBorders>
          </w:tcPr>
          <w:p>
            <w:pPr>
              <w:pStyle w:val="TableParagraph"/>
              <w:rPr>
                <w:sz w:val="18"/>
              </w:rPr>
            </w:pPr>
          </w:p>
          <w:p>
            <w:pPr>
              <w:pStyle w:val="TableParagraph"/>
              <w:spacing w:before="120"/>
              <w:ind w:right="83"/>
              <w:jc w:val="right"/>
              <w:rPr>
                <w:sz w:val="18"/>
              </w:rPr>
            </w:pPr>
            <w:r>
              <w:rPr>
                <w:w w:val="95"/>
                <w:sz w:val="18"/>
              </w:rPr>
              <w:t>301,392</w:t>
            </w:r>
          </w:p>
        </w:tc>
      </w:tr>
    </w:tbl>
    <w:p>
      <w:pPr>
        <w:pStyle w:val="BodyText"/>
        <w:rPr>
          <w:sz w:val="20"/>
        </w:rPr>
      </w:pPr>
    </w:p>
    <w:p>
      <w:pPr>
        <w:pStyle w:val="BodyText"/>
        <w:spacing w:before="5"/>
        <w:rPr>
          <w:sz w:val="20"/>
        </w:rPr>
      </w:pPr>
    </w:p>
    <w:p>
      <w:pPr>
        <w:pStyle w:val="ListParagraph"/>
        <w:numPr>
          <w:ilvl w:val="1"/>
          <w:numId w:val="16"/>
        </w:numPr>
        <w:tabs>
          <w:tab w:pos="1072" w:val="left" w:leader="none"/>
        </w:tabs>
        <w:spacing w:line="240" w:lineRule="auto" w:before="77" w:after="0"/>
        <w:ind w:left="1071" w:right="0" w:hanging="566"/>
        <w:jc w:val="left"/>
        <w:rPr>
          <w:sz w:val="18"/>
        </w:rPr>
      </w:pPr>
      <w:r>
        <w:rPr>
          <w:sz w:val="18"/>
        </w:rPr>
        <w:t>Long service</w:t>
      </w:r>
      <w:r>
        <w:rPr>
          <w:spacing w:val="-1"/>
          <w:sz w:val="18"/>
        </w:rPr>
        <w:t> </w:t>
      </w:r>
      <w:r>
        <w:rPr>
          <w:sz w:val="18"/>
        </w:rPr>
        <w:t>leave</w:t>
      </w:r>
    </w:p>
    <w:p>
      <w:pPr>
        <w:pStyle w:val="BodyText"/>
        <w:rPr>
          <w:sz w:val="25"/>
        </w:rPr>
      </w:pPr>
    </w:p>
    <w:p>
      <w:pPr>
        <w:pStyle w:val="BodyText"/>
        <w:ind w:left="1071" w:right="119"/>
      </w:pPr>
      <w:r>
        <w:rPr/>
        <w:t>In 2011 the University engaged Mercer Consulting (Australia) Pty Ltd to undertake a valuation of the University's long service leave liability. The University has used a shorthand measurement technique to value the long service leave liability at 31 December 2012.  The following assumptions used in this measurement included:</w:t>
      </w:r>
    </w:p>
    <w:p>
      <w:pPr>
        <w:pStyle w:val="BodyText"/>
      </w:pPr>
    </w:p>
    <w:p>
      <w:pPr>
        <w:pStyle w:val="BodyText"/>
        <w:tabs>
          <w:tab w:pos="5639" w:val="left" w:leader="none"/>
        </w:tabs>
        <w:spacing w:line="304" w:lineRule="auto" w:before="126"/>
        <w:ind w:left="1071" w:right="3972"/>
      </w:pPr>
      <w:r>
        <w:rPr/>
        <w:t>Estimate rate of long-term inflation /</w:t>
      </w:r>
      <w:r>
        <w:rPr>
          <w:spacing w:val="-1"/>
        </w:rPr>
        <w:t> </w:t>
      </w:r>
      <w:r>
        <w:rPr/>
        <w:t>salary</w:t>
      </w:r>
      <w:r>
        <w:rPr>
          <w:spacing w:val="-1"/>
        </w:rPr>
        <w:t> </w:t>
      </w:r>
      <w:r>
        <w:rPr/>
        <w:t>increase</w:t>
        <w:tab/>
        <w:t>3.50% Discount for future</w:t>
      </w:r>
      <w:r>
        <w:rPr>
          <w:spacing w:val="-1"/>
        </w:rPr>
        <w:t> </w:t>
      </w:r>
      <w:r>
        <w:rPr/>
        <w:t>investment</w:t>
      </w:r>
      <w:r>
        <w:rPr>
          <w:spacing w:val="-1"/>
        </w:rPr>
        <w:t> </w:t>
      </w:r>
      <w:r>
        <w:rPr/>
        <w:t>earnings</w:t>
        <w:tab/>
        <w:t>3.25%</w:t>
      </w:r>
    </w:p>
    <w:p>
      <w:pPr>
        <w:pStyle w:val="BodyText"/>
        <w:spacing w:before="7"/>
        <w:rPr>
          <w:sz w:val="22"/>
        </w:rPr>
      </w:pPr>
    </w:p>
    <w:p>
      <w:pPr>
        <w:pStyle w:val="ListParagraph"/>
        <w:numPr>
          <w:ilvl w:val="1"/>
          <w:numId w:val="16"/>
        </w:numPr>
        <w:tabs>
          <w:tab w:pos="1072" w:val="left" w:leader="none"/>
        </w:tabs>
        <w:spacing w:line="240" w:lineRule="auto" w:before="0" w:after="0"/>
        <w:ind w:left="1071" w:right="0" w:hanging="566"/>
        <w:jc w:val="left"/>
        <w:rPr>
          <w:sz w:val="18"/>
        </w:rPr>
      </w:pPr>
      <w:r>
        <w:rPr>
          <w:sz w:val="18"/>
        </w:rPr>
        <w:t>Annual</w:t>
      </w:r>
      <w:r>
        <w:rPr>
          <w:spacing w:val="-1"/>
          <w:sz w:val="18"/>
        </w:rPr>
        <w:t> </w:t>
      </w:r>
      <w:r>
        <w:rPr>
          <w:sz w:val="18"/>
        </w:rPr>
        <w:t>leave</w:t>
      </w:r>
    </w:p>
    <w:p>
      <w:pPr>
        <w:pStyle w:val="BodyText"/>
        <w:rPr>
          <w:sz w:val="25"/>
        </w:rPr>
      </w:pPr>
    </w:p>
    <w:p>
      <w:pPr>
        <w:pStyle w:val="BodyText"/>
        <w:ind w:left="1070" w:right="128"/>
      </w:pPr>
      <w:r>
        <w:rPr/>
        <w:t>The following on costs have been used by management in calculating the provision for annual leave:</w:t>
      </w:r>
    </w:p>
    <w:p>
      <w:pPr>
        <w:pStyle w:val="Heading9"/>
        <w:spacing w:before="33" w:after="36"/>
        <w:ind w:left="0" w:right="441"/>
        <w:jc w:val="center"/>
      </w:pPr>
      <w:r>
        <w:rPr>
          <w:w w:val="99"/>
        </w:rPr>
        <w:t>%</w:t>
      </w:r>
    </w:p>
    <w:tbl>
      <w:tblPr>
        <w:tblW w:w="0" w:type="auto"/>
        <w:jc w:val="left"/>
        <w:tblInd w:w="10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56"/>
        <w:gridCol w:w="1185"/>
      </w:tblGrid>
      <w:tr>
        <w:trPr>
          <w:trHeight w:val="271" w:hRule="exact"/>
        </w:trPr>
        <w:tc>
          <w:tcPr>
            <w:tcW w:w="3756" w:type="dxa"/>
          </w:tcPr>
          <w:p>
            <w:pPr>
              <w:pStyle w:val="TableParagraph"/>
              <w:spacing w:before="27"/>
              <w:ind w:left="35"/>
              <w:rPr>
                <w:sz w:val="18"/>
              </w:rPr>
            </w:pPr>
            <w:r>
              <w:rPr>
                <w:sz w:val="18"/>
              </w:rPr>
              <w:t>Superannuation</w:t>
            </w:r>
          </w:p>
        </w:tc>
        <w:tc>
          <w:tcPr>
            <w:tcW w:w="1185" w:type="dxa"/>
          </w:tcPr>
          <w:p>
            <w:pPr>
              <w:pStyle w:val="TableParagraph"/>
              <w:spacing w:before="25"/>
              <w:ind w:right="33"/>
              <w:jc w:val="right"/>
              <w:rPr>
                <w:sz w:val="18"/>
              </w:rPr>
            </w:pPr>
            <w:r>
              <w:rPr>
                <w:w w:val="95"/>
                <w:sz w:val="18"/>
              </w:rPr>
              <w:t>16.75</w:t>
            </w:r>
          </w:p>
        </w:tc>
      </w:tr>
      <w:tr>
        <w:trPr>
          <w:trHeight w:val="264" w:hRule="exact"/>
        </w:trPr>
        <w:tc>
          <w:tcPr>
            <w:tcW w:w="3756" w:type="dxa"/>
          </w:tcPr>
          <w:p>
            <w:pPr>
              <w:pStyle w:val="TableParagraph"/>
              <w:spacing w:before="19"/>
              <w:ind w:left="35"/>
              <w:rPr>
                <w:sz w:val="18"/>
              </w:rPr>
            </w:pPr>
            <w:r>
              <w:rPr>
                <w:sz w:val="18"/>
              </w:rPr>
              <w:t>Estimate of short term salary increase</w:t>
            </w:r>
          </w:p>
        </w:tc>
        <w:tc>
          <w:tcPr>
            <w:tcW w:w="1185" w:type="dxa"/>
          </w:tcPr>
          <w:p>
            <w:pPr>
              <w:pStyle w:val="TableParagraph"/>
              <w:spacing w:before="18"/>
              <w:ind w:right="33"/>
              <w:jc w:val="right"/>
              <w:rPr>
                <w:sz w:val="18"/>
              </w:rPr>
            </w:pPr>
            <w:r>
              <w:rPr>
                <w:w w:val="95"/>
                <w:sz w:val="18"/>
              </w:rPr>
              <w:t>4.00</w:t>
            </w:r>
          </w:p>
        </w:tc>
      </w:tr>
      <w:tr>
        <w:trPr>
          <w:trHeight w:val="264" w:hRule="exact"/>
        </w:trPr>
        <w:tc>
          <w:tcPr>
            <w:tcW w:w="3756" w:type="dxa"/>
          </w:tcPr>
          <w:p>
            <w:pPr>
              <w:pStyle w:val="TableParagraph"/>
              <w:spacing w:before="19"/>
              <w:ind w:left="35"/>
              <w:rPr>
                <w:sz w:val="18"/>
              </w:rPr>
            </w:pPr>
            <w:r>
              <w:rPr>
                <w:sz w:val="18"/>
              </w:rPr>
              <w:t>Payroll tax</w:t>
            </w:r>
          </w:p>
        </w:tc>
        <w:tc>
          <w:tcPr>
            <w:tcW w:w="1185" w:type="dxa"/>
          </w:tcPr>
          <w:p>
            <w:pPr>
              <w:pStyle w:val="TableParagraph"/>
              <w:spacing w:before="18"/>
              <w:ind w:right="33"/>
              <w:jc w:val="right"/>
              <w:rPr>
                <w:sz w:val="18"/>
              </w:rPr>
            </w:pPr>
            <w:r>
              <w:rPr>
                <w:w w:val="95"/>
                <w:sz w:val="18"/>
              </w:rPr>
              <w:t>6.60</w:t>
            </w:r>
          </w:p>
        </w:tc>
      </w:tr>
      <w:tr>
        <w:trPr>
          <w:trHeight w:val="323" w:hRule="exact"/>
        </w:trPr>
        <w:tc>
          <w:tcPr>
            <w:tcW w:w="3756" w:type="dxa"/>
          </w:tcPr>
          <w:p>
            <w:pPr>
              <w:pStyle w:val="TableParagraph"/>
              <w:spacing w:before="19"/>
              <w:ind w:left="35"/>
              <w:rPr>
                <w:sz w:val="18"/>
              </w:rPr>
            </w:pPr>
            <w:r>
              <w:rPr>
                <w:sz w:val="18"/>
              </w:rPr>
              <w:t>Workers compensation</w:t>
            </w:r>
          </w:p>
        </w:tc>
        <w:tc>
          <w:tcPr>
            <w:tcW w:w="1185" w:type="dxa"/>
          </w:tcPr>
          <w:p>
            <w:pPr>
              <w:pStyle w:val="TableParagraph"/>
              <w:spacing w:before="18"/>
              <w:ind w:right="33"/>
              <w:jc w:val="right"/>
              <w:rPr>
                <w:sz w:val="18"/>
              </w:rPr>
            </w:pPr>
            <w:r>
              <w:rPr>
                <w:w w:val="95"/>
                <w:sz w:val="18"/>
              </w:rPr>
              <w:t>0.75</w:t>
            </w:r>
          </w:p>
        </w:tc>
      </w:tr>
    </w:tbl>
    <w:p>
      <w:pPr>
        <w:spacing w:after="0"/>
        <w:jc w:val="right"/>
        <w:rPr>
          <w:sz w:val="18"/>
        </w:rPr>
        <w:sectPr>
          <w:type w:val="continuous"/>
          <w:pgSz w:w="11910" w:h="16840"/>
          <w:pgMar w:top="0" w:bottom="280" w:left="900" w:right="880"/>
        </w:sectPr>
      </w:pPr>
    </w:p>
    <w:p>
      <w:pPr>
        <w:pStyle w:val="BodyText"/>
        <w:rPr>
          <w:b/>
          <w:sz w:val="20"/>
        </w:rPr>
      </w:pPr>
    </w:p>
    <w:p>
      <w:pPr>
        <w:pStyle w:val="BodyText"/>
        <w:rPr>
          <w:b/>
          <w:sz w:val="20"/>
        </w:rPr>
      </w:pPr>
    </w:p>
    <w:p>
      <w:pPr>
        <w:pStyle w:val="BodyText"/>
        <w:spacing w:before="4"/>
        <w:rPr>
          <w:b/>
        </w:rPr>
      </w:pPr>
    </w:p>
    <w:p>
      <w:pPr>
        <w:pStyle w:val="Heading9"/>
        <w:numPr>
          <w:ilvl w:val="0"/>
          <w:numId w:val="16"/>
        </w:numPr>
        <w:tabs>
          <w:tab w:pos="506" w:val="left" w:leader="none"/>
        </w:tabs>
        <w:spacing w:line="240" w:lineRule="auto" w:before="0" w:after="0"/>
        <w:ind w:left="505" w:right="0" w:hanging="396"/>
        <w:jc w:val="left"/>
      </w:pPr>
      <w:r>
        <w:rPr/>
        <w:t>Other liabilities</w:t>
      </w:r>
    </w:p>
    <w:p>
      <w:pPr>
        <w:pStyle w:val="BodyText"/>
        <w:spacing w:before="1"/>
        <w:rPr>
          <w:b/>
          <w:sz w:val="10"/>
        </w:rPr>
      </w:pPr>
    </w:p>
    <w:p>
      <w:pPr>
        <w:tabs>
          <w:tab w:pos="7303" w:val="left" w:leader="none"/>
        </w:tabs>
        <w:spacing w:before="78"/>
        <w:ind w:left="4567" w:right="128" w:firstLine="0"/>
        <w:jc w:val="left"/>
        <w:rPr>
          <w:b/>
          <w:sz w:val="18"/>
        </w:rPr>
      </w:pPr>
      <w:r>
        <w:rPr>
          <w:b/>
          <w:sz w:val="18"/>
        </w:rPr>
        <w:t>Consolidated</w:t>
        <w:tab/>
        <w:t>Parent</w:t>
      </w:r>
    </w:p>
    <w:p>
      <w:pPr>
        <w:spacing w:after="0"/>
        <w:jc w:val="left"/>
        <w:rPr>
          <w:sz w:val="18"/>
        </w:rPr>
        <w:sectPr>
          <w:footerReference w:type="default" r:id="rId82"/>
          <w:pgSz w:w="11910" w:h="16840"/>
          <w:pgMar w:footer="507" w:header="1038" w:top="2220" w:bottom="700" w:left="900" w:right="880"/>
        </w:sectPr>
      </w:pPr>
    </w:p>
    <w:p>
      <w:pPr>
        <w:pStyle w:val="BodyText"/>
        <w:rPr>
          <w:b/>
        </w:rPr>
      </w:pPr>
    </w:p>
    <w:p>
      <w:pPr>
        <w:pStyle w:val="BodyText"/>
        <w:rPr>
          <w:b/>
        </w:rPr>
      </w:pPr>
    </w:p>
    <w:p>
      <w:pPr>
        <w:pStyle w:val="BodyText"/>
        <w:spacing w:before="3"/>
        <w:rPr>
          <w:b/>
          <w:sz w:val="24"/>
        </w:rPr>
      </w:pPr>
    </w:p>
    <w:p>
      <w:pPr>
        <w:spacing w:before="0"/>
        <w:ind w:left="548" w:right="-20" w:firstLine="0"/>
        <w:jc w:val="left"/>
        <w:rPr>
          <w:b/>
          <w:sz w:val="18"/>
        </w:rPr>
      </w:pPr>
      <w:r>
        <w:rPr>
          <w:b/>
          <w:sz w:val="18"/>
        </w:rPr>
        <w:t>Current</w:t>
      </w:r>
    </w:p>
    <w:p>
      <w:pPr>
        <w:spacing w:before="66"/>
        <w:ind w:left="548" w:right="-20" w:firstLine="0"/>
        <w:jc w:val="left"/>
        <w:rPr>
          <w:b/>
          <w:sz w:val="18"/>
        </w:rPr>
      </w:pPr>
      <w:r>
        <w:rPr/>
        <w:br w:type="column"/>
      </w:r>
      <w:r>
        <w:rPr>
          <w:b/>
          <w:sz w:val="18"/>
        </w:rPr>
        <w:t>2012</w:t>
      </w:r>
    </w:p>
    <w:p>
      <w:pPr>
        <w:spacing w:before="66"/>
        <w:ind w:left="548" w:right="-20" w:firstLine="0"/>
        <w:jc w:val="left"/>
        <w:rPr>
          <w:b/>
          <w:sz w:val="18"/>
        </w:rPr>
      </w:pPr>
      <w:r>
        <w:rPr>
          <w:b/>
          <w:sz w:val="18"/>
        </w:rPr>
        <w:t>$'000</w:t>
      </w:r>
    </w:p>
    <w:p>
      <w:pPr>
        <w:spacing w:before="66"/>
        <w:ind w:left="548" w:right="-20" w:firstLine="0"/>
        <w:jc w:val="left"/>
        <w:rPr>
          <w:b/>
          <w:sz w:val="18"/>
        </w:rPr>
      </w:pPr>
      <w:r>
        <w:rPr/>
        <w:br w:type="column"/>
      </w:r>
      <w:r>
        <w:rPr>
          <w:b/>
          <w:sz w:val="18"/>
        </w:rPr>
        <w:t>2011</w:t>
      </w:r>
    </w:p>
    <w:p>
      <w:pPr>
        <w:spacing w:before="66"/>
        <w:ind w:left="548" w:right="-20" w:firstLine="0"/>
        <w:jc w:val="left"/>
        <w:rPr>
          <w:b/>
          <w:sz w:val="18"/>
        </w:rPr>
      </w:pPr>
      <w:r>
        <w:rPr>
          <w:b/>
          <w:sz w:val="18"/>
        </w:rPr>
        <w:t>$'000</w:t>
      </w:r>
    </w:p>
    <w:p>
      <w:pPr>
        <w:spacing w:before="66"/>
        <w:ind w:left="548" w:right="-20" w:firstLine="0"/>
        <w:jc w:val="left"/>
        <w:rPr>
          <w:b/>
          <w:sz w:val="18"/>
        </w:rPr>
      </w:pPr>
      <w:r>
        <w:rPr/>
        <w:br w:type="column"/>
      </w:r>
      <w:r>
        <w:rPr>
          <w:b/>
          <w:sz w:val="18"/>
        </w:rPr>
        <w:t>2012</w:t>
      </w:r>
    </w:p>
    <w:p>
      <w:pPr>
        <w:spacing w:before="66"/>
        <w:ind w:left="548" w:right="-20" w:firstLine="0"/>
        <w:jc w:val="left"/>
        <w:rPr>
          <w:b/>
          <w:sz w:val="18"/>
        </w:rPr>
      </w:pPr>
      <w:r>
        <w:rPr>
          <w:b/>
          <w:sz w:val="18"/>
        </w:rPr>
        <w:t>$'000</w:t>
      </w:r>
    </w:p>
    <w:p>
      <w:pPr>
        <w:spacing w:before="66"/>
        <w:ind w:left="548" w:right="0" w:firstLine="0"/>
        <w:jc w:val="left"/>
        <w:rPr>
          <w:b/>
          <w:sz w:val="18"/>
        </w:rPr>
      </w:pPr>
      <w:r>
        <w:rPr/>
        <w:br w:type="column"/>
      </w:r>
      <w:r>
        <w:rPr>
          <w:b/>
          <w:sz w:val="18"/>
        </w:rPr>
        <w:t>2011</w:t>
      </w:r>
    </w:p>
    <w:p>
      <w:pPr>
        <w:spacing w:before="66"/>
        <w:ind w:left="548" w:right="0" w:firstLine="0"/>
        <w:jc w:val="left"/>
        <w:rPr>
          <w:b/>
          <w:sz w:val="18"/>
        </w:rPr>
      </w:pPr>
      <w:r>
        <w:rPr>
          <w:b/>
          <w:sz w:val="18"/>
        </w:rPr>
        <w:t>$'000</w:t>
      </w:r>
    </w:p>
    <w:p>
      <w:pPr>
        <w:spacing w:after="0"/>
        <w:jc w:val="left"/>
        <w:rPr>
          <w:sz w:val="18"/>
        </w:rPr>
        <w:sectPr>
          <w:type w:val="continuous"/>
          <w:pgSz w:w="11910" w:h="16840"/>
          <w:pgMar w:top="0" w:bottom="280" w:left="900" w:right="880"/>
          <w:cols w:num="5" w:equalWidth="0">
            <w:col w:w="1199" w:space="2989"/>
            <w:col w:w="992" w:space="277"/>
            <w:col w:w="992" w:space="502"/>
            <w:col w:w="992" w:space="277"/>
            <w:col w:w="1910"/>
          </w:cols>
        </w:sectPr>
      </w:pPr>
    </w:p>
    <w:p>
      <w:pPr>
        <w:tabs>
          <w:tab w:pos="5325" w:val="left" w:leader="none"/>
          <w:tab w:pos="6622" w:val="left" w:leader="none"/>
          <w:tab w:pos="8089" w:val="left" w:leader="none"/>
          <w:tab w:pos="9386" w:val="left" w:leader="none"/>
        </w:tabs>
        <w:spacing w:before="29"/>
        <w:ind w:left="548" w:right="128" w:firstLine="0"/>
        <w:jc w:val="left"/>
        <w:rPr>
          <w:sz w:val="18"/>
        </w:rPr>
      </w:pPr>
      <w:r>
        <w:rPr>
          <w:sz w:val="18"/>
        </w:rPr>
        <w:t>Deferred</w:t>
      </w:r>
      <w:r>
        <w:rPr>
          <w:spacing w:val="-1"/>
          <w:sz w:val="18"/>
        </w:rPr>
        <w:t> </w:t>
      </w:r>
      <w:r>
        <w:rPr>
          <w:sz w:val="18"/>
        </w:rPr>
        <w:t>income</w:t>
        <w:tab/>
      </w:r>
      <w:r>
        <w:rPr>
          <w:b/>
          <w:sz w:val="18"/>
        </w:rPr>
        <w:t>12,342</w:t>
        <w:tab/>
      </w:r>
      <w:r>
        <w:rPr>
          <w:sz w:val="18"/>
        </w:rPr>
        <w:t>11,116</w:t>
        <w:tab/>
      </w:r>
      <w:r>
        <w:rPr>
          <w:b/>
          <w:sz w:val="18"/>
        </w:rPr>
        <w:t>12,276</w:t>
        <w:tab/>
      </w:r>
      <w:r>
        <w:rPr>
          <w:sz w:val="18"/>
        </w:rPr>
        <w:t>11,057</w:t>
      </w:r>
    </w:p>
    <w:p>
      <w:pPr>
        <w:pStyle w:val="BodyText"/>
        <w:tabs>
          <w:tab w:pos="5325" w:val="left" w:leader="none"/>
          <w:tab w:pos="6722" w:val="left" w:leader="none"/>
          <w:tab w:pos="8188" w:val="left" w:leader="none"/>
          <w:tab w:pos="9486" w:val="left" w:leader="none"/>
        </w:tabs>
        <w:spacing w:line="302" w:lineRule="auto" w:before="57"/>
        <w:ind w:left="548" w:right="185"/>
      </w:pPr>
      <w:r>
        <w:rPr/>
        <w:t>Fees received</w:t>
      </w:r>
      <w:r>
        <w:rPr>
          <w:spacing w:val="-1"/>
        </w:rPr>
        <w:t> </w:t>
      </w:r>
      <w:r>
        <w:rPr/>
        <w:t>in</w:t>
      </w:r>
      <w:r>
        <w:rPr>
          <w:spacing w:val="-1"/>
        </w:rPr>
        <w:t> </w:t>
      </w:r>
      <w:r>
        <w:rPr/>
        <w:t>advance</w:t>
        <w:tab/>
      </w:r>
      <w:r>
        <w:rPr>
          <w:b/>
        </w:rPr>
        <w:t>10,646</w:t>
        <w:tab/>
      </w:r>
      <w:r>
        <w:rPr/>
        <w:t>9,941</w:t>
        <w:tab/>
      </w:r>
      <w:r>
        <w:rPr>
          <w:b/>
        </w:rPr>
        <w:t>9,576</w:t>
        <w:tab/>
      </w:r>
      <w:r>
        <w:rPr/>
        <w:t>8,870 Australian Government</w:t>
      </w:r>
      <w:r>
        <w:rPr>
          <w:spacing w:val="-1"/>
        </w:rPr>
        <w:t> </w:t>
      </w:r>
      <w:r>
        <w:rPr/>
        <w:t>Unspent</w:t>
      </w:r>
    </w:p>
    <w:p>
      <w:pPr>
        <w:pStyle w:val="BodyText"/>
        <w:tabs>
          <w:tab w:pos="5575" w:val="left" w:leader="none"/>
          <w:tab w:pos="6872" w:val="left" w:leader="none"/>
          <w:tab w:pos="8338" w:val="left" w:leader="none"/>
          <w:tab w:pos="9936" w:val="right" w:leader="none"/>
        </w:tabs>
        <w:spacing w:line="154" w:lineRule="exact"/>
        <w:ind w:left="548"/>
      </w:pPr>
      <w:r>
        <w:rPr/>
        <w:t>Financial</w:t>
      </w:r>
      <w:r>
        <w:rPr>
          <w:spacing w:val="-1"/>
        </w:rPr>
        <w:t> </w:t>
      </w:r>
      <w:r>
        <w:rPr/>
        <w:t>Assistance</w:t>
        <w:tab/>
      </w:r>
      <w:r>
        <w:rPr>
          <w:b/>
        </w:rPr>
        <w:t>151</w:t>
        <w:tab/>
      </w:r>
      <w:r>
        <w:rPr/>
        <w:t>294</w:t>
        <w:tab/>
      </w:r>
      <w:r>
        <w:rPr>
          <w:b/>
        </w:rPr>
        <w:t>151</w:t>
      </w:r>
      <w:r>
        <w:rPr>
          <w:rFonts w:ascii="Times New Roman"/>
        </w:rPr>
        <w:tab/>
      </w:r>
      <w:r>
        <w:rPr/>
        <w:t>294</w:t>
      </w:r>
    </w:p>
    <w:p>
      <w:pPr>
        <w:tabs>
          <w:tab w:pos="5425" w:val="left" w:leader="none"/>
          <w:tab w:pos="6722" w:val="left" w:leader="none"/>
          <w:tab w:pos="8188" w:val="left" w:leader="none"/>
          <w:tab w:pos="9486" w:val="left" w:leader="none"/>
        </w:tabs>
        <w:spacing w:before="57"/>
        <w:ind w:left="548" w:right="128" w:firstLine="0"/>
        <w:jc w:val="left"/>
        <w:rPr>
          <w:sz w:val="18"/>
        </w:rPr>
      </w:pPr>
      <w:r>
        <w:rPr/>
        <w:pict>
          <v:group style="position:absolute;margin-left:269.709991pt;margin-top:14.488286pt;width:276.5pt;height:1pt;mso-position-horizontal-relative:page;mso-position-vertical-relative:paragraph;z-index:3472" coordorigin="5394,290" coordsize="5530,20">
            <v:line style="position:absolute" from="5395,291" to="5564,291" stroked="true" strokeweight=".06pt" strokecolor="#000000"/>
            <v:line style="position:absolute" from="5395,292" to="5564,292" stroked="true" strokeweight=".06pt" strokecolor="#000000"/>
            <v:line style="position:absolute" from="5395,293" to="5564,293" stroked="true" strokeweight=".06pt" strokecolor="#000000"/>
            <v:line style="position:absolute" from="5395,294" to="5564,294" stroked="true" strokeweight=".06pt" strokecolor="#000000"/>
            <v:line style="position:absolute" from="5395,296" to="5564,296" stroked="true" strokeweight=".06pt" strokecolor="#000000"/>
            <v:line style="position:absolute" from="5395,297" to="5564,297" stroked="true" strokeweight=".06pt" strokecolor="#000000"/>
            <v:line style="position:absolute" from="5395,298" to="5564,298" stroked="true" strokeweight=".06pt" strokecolor="#000000"/>
            <v:line style="position:absolute" from="5395,299" to="5564,299" stroked="true" strokeweight=".06pt" strokecolor="#000000"/>
            <v:line style="position:absolute" from="5395,300" to="5564,300" stroked="true" strokeweight=".06pt" strokecolor="#000000"/>
            <v:line style="position:absolute" from="5395,302" to="5564,302" stroked="true" strokeweight=".06pt" strokecolor="#000000"/>
            <v:line style="position:absolute" from="5395,303" to="5564,303" stroked="true" strokeweight=".06pt" strokecolor="#000000"/>
            <v:line style="position:absolute" from="5395,304" to="5564,304" stroked="true" strokeweight=".06pt" strokecolor="#000000"/>
            <v:line style="position:absolute" from="5395,305" to="5564,305" stroked="true" strokeweight=".06pt" strokecolor="#000000"/>
            <v:line style="position:absolute" from="5395,306" to="5564,306" stroked="true" strokeweight=".06pt" strokecolor="#000000"/>
            <v:line style="position:absolute" from="5395,308" to="5564,308" stroked="true" strokeweight=".06pt" strokecolor="#000000"/>
            <v:line style="position:absolute" from="5395,309" to="5564,309" stroked="true" strokeweight=".06pt" strokecolor="#000000"/>
            <v:line style="position:absolute" from="5564,291" to="6862,291" stroked="true" strokeweight=".06pt" strokecolor="#000000"/>
            <v:line style="position:absolute" from="5564,292" to="6862,292" stroked="true" strokeweight=".06pt" strokecolor="#000000"/>
            <v:line style="position:absolute" from="5564,293" to="6862,293" stroked="true" strokeweight=".06pt" strokecolor="#000000"/>
            <v:line style="position:absolute" from="5564,294" to="6862,294" stroked="true" strokeweight=".06pt" strokecolor="#000000"/>
            <v:line style="position:absolute" from="5564,296" to="6862,296" stroked="true" strokeweight=".06pt" strokecolor="#000000"/>
            <v:line style="position:absolute" from="5564,297" to="6862,297" stroked="true" strokeweight=".06pt" strokecolor="#000000"/>
            <v:line style="position:absolute" from="5564,298" to="6862,298" stroked="true" strokeweight=".06pt" strokecolor="#000000"/>
            <v:line style="position:absolute" from="5564,299" to="6862,299" stroked="true" strokeweight=".06pt" strokecolor="#000000"/>
            <v:line style="position:absolute" from="5564,300" to="6862,300" stroked="true" strokeweight=".06pt" strokecolor="#000000"/>
            <v:line style="position:absolute" from="5564,302" to="6862,302" stroked="true" strokeweight=".06pt" strokecolor="#000000"/>
            <v:line style="position:absolute" from="5564,303" to="6862,303" stroked="true" strokeweight=".06pt" strokecolor="#000000"/>
            <v:line style="position:absolute" from="5564,304" to="6862,304" stroked="true" strokeweight=".06pt" strokecolor="#000000"/>
            <v:line style="position:absolute" from="5564,305" to="6862,305" stroked="true" strokeweight=".06pt" strokecolor="#000000"/>
            <v:line style="position:absolute" from="5564,306" to="6862,306" stroked="true" strokeweight=".06pt" strokecolor="#000000"/>
            <v:line style="position:absolute" from="5564,308" to="6862,308" stroked="true" strokeweight=".06pt" strokecolor="#000000"/>
            <v:line style="position:absolute" from="5564,309" to="6862,309" stroked="true" strokeweight=".06pt" strokecolor="#000000"/>
            <v:line style="position:absolute" from="6862,291" to="8159,291" stroked="true" strokeweight=".06pt" strokecolor="#000000"/>
            <v:line style="position:absolute" from="6862,292" to="8159,292" stroked="true" strokeweight=".06pt" strokecolor="#000000"/>
            <v:line style="position:absolute" from="6862,293" to="8159,293" stroked="true" strokeweight=".06pt" strokecolor="#000000"/>
            <v:line style="position:absolute" from="6862,294" to="8159,294" stroked="true" strokeweight=".06pt" strokecolor="#000000"/>
            <v:line style="position:absolute" from="6862,296" to="8159,296" stroked="true" strokeweight=".06pt" strokecolor="#000000"/>
            <v:line style="position:absolute" from="6862,297" to="8159,297" stroked="true" strokeweight=".06pt" strokecolor="#000000"/>
            <v:line style="position:absolute" from="6862,298" to="8159,298" stroked="true" strokeweight=".06pt" strokecolor="#000000"/>
            <v:line style="position:absolute" from="6862,299" to="8159,299" stroked="true" strokeweight=".06pt" strokecolor="#000000"/>
            <v:line style="position:absolute" from="6862,300" to="8159,300" stroked="true" strokeweight=".06pt" strokecolor="#000000"/>
            <v:line style="position:absolute" from="6862,302" to="8159,302" stroked="true" strokeweight=".06pt" strokecolor="#000000"/>
            <v:line style="position:absolute" from="6862,303" to="8159,303" stroked="true" strokeweight=".06pt" strokecolor="#000000"/>
            <v:line style="position:absolute" from="6862,304" to="8159,304" stroked="true" strokeweight=".06pt" strokecolor="#000000"/>
            <v:line style="position:absolute" from="6862,305" to="8159,305" stroked="true" strokeweight=".06pt" strokecolor="#000000"/>
            <v:line style="position:absolute" from="6862,306" to="8159,306" stroked="true" strokeweight=".06pt" strokecolor="#000000"/>
            <v:line style="position:absolute" from="6862,308" to="8159,308" stroked="true" strokeweight=".06pt" strokecolor="#000000"/>
            <v:line style="position:absolute" from="6862,309" to="8159,309" stroked="true" strokeweight=".06pt" strokecolor="#000000"/>
            <v:line style="position:absolute" from="8159,291" to="8328,291" stroked="true" strokeweight=".06pt" strokecolor="#000000"/>
            <v:line style="position:absolute" from="8159,292" to="8328,292" stroked="true" strokeweight=".06pt" strokecolor="#000000"/>
            <v:line style="position:absolute" from="8159,293" to="8328,293" stroked="true" strokeweight=".06pt" strokecolor="#000000"/>
            <v:line style="position:absolute" from="8159,294" to="8328,294" stroked="true" strokeweight=".06pt" strokecolor="#000000"/>
            <v:line style="position:absolute" from="8159,296" to="8328,296" stroked="true" strokeweight=".06pt" strokecolor="#000000"/>
            <v:line style="position:absolute" from="8159,297" to="8328,297" stroked="true" strokeweight=".06pt" strokecolor="#000000"/>
            <v:line style="position:absolute" from="8159,298" to="8328,298" stroked="true" strokeweight=".06pt" strokecolor="#000000"/>
            <v:line style="position:absolute" from="8159,299" to="8328,299" stroked="true" strokeweight=".06pt" strokecolor="#000000"/>
            <v:line style="position:absolute" from="8159,300" to="8328,300" stroked="true" strokeweight=".06pt" strokecolor="#000000"/>
            <v:line style="position:absolute" from="8159,302" to="8328,302" stroked="true" strokeweight=".06pt" strokecolor="#000000"/>
            <v:line style="position:absolute" from="8159,303" to="8328,303" stroked="true" strokeweight=".06pt" strokecolor="#000000"/>
            <v:line style="position:absolute" from="8159,304" to="8328,304" stroked="true" strokeweight=".06pt" strokecolor="#000000"/>
            <v:line style="position:absolute" from="8159,305" to="8328,305" stroked="true" strokeweight=".06pt" strokecolor="#000000"/>
            <v:line style="position:absolute" from="8159,306" to="8328,306" stroked="true" strokeweight=".06pt" strokecolor="#000000"/>
            <v:line style="position:absolute" from="8159,308" to="8328,308" stroked="true" strokeweight=".06pt" strokecolor="#000000"/>
            <v:line style="position:absolute" from="8159,309" to="8328,309" stroked="true" strokeweight=".06pt" strokecolor="#000000"/>
            <v:line style="position:absolute" from="8328,291" to="9625,291" stroked="true" strokeweight=".06pt" strokecolor="#000000"/>
            <v:line style="position:absolute" from="8328,292" to="9625,292" stroked="true" strokeweight=".06pt" strokecolor="#000000"/>
            <v:line style="position:absolute" from="8328,293" to="9625,293" stroked="true" strokeweight=".06pt" strokecolor="#000000"/>
            <v:line style="position:absolute" from="8328,294" to="9625,294" stroked="true" strokeweight=".06pt" strokecolor="#000000"/>
            <v:line style="position:absolute" from="8328,296" to="9625,296" stroked="true" strokeweight=".06pt" strokecolor="#000000"/>
            <v:line style="position:absolute" from="8328,297" to="9625,297" stroked="true" strokeweight=".06pt" strokecolor="#000000"/>
            <v:line style="position:absolute" from="8328,298" to="9625,298" stroked="true" strokeweight=".06pt" strokecolor="#000000"/>
            <v:line style="position:absolute" from="8328,299" to="9625,299" stroked="true" strokeweight=".06pt" strokecolor="#000000"/>
            <v:line style="position:absolute" from="8328,300" to="9625,300" stroked="true" strokeweight=".06pt" strokecolor="#000000"/>
            <v:line style="position:absolute" from="8328,302" to="9625,302" stroked="true" strokeweight=".06pt" strokecolor="#000000"/>
            <v:line style="position:absolute" from="8328,303" to="9625,303" stroked="true" strokeweight=".06pt" strokecolor="#000000"/>
            <v:line style="position:absolute" from="8328,304" to="9625,304" stroked="true" strokeweight=".06pt" strokecolor="#000000"/>
            <v:line style="position:absolute" from="8328,305" to="9625,305" stroked="true" strokeweight=".06pt" strokecolor="#000000"/>
            <v:line style="position:absolute" from="8328,306" to="9625,306" stroked="true" strokeweight=".06pt" strokecolor="#000000"/>
            <v:line style="position:absolute" from="8328,308" to="9625,308" stroked="true" strokeweight=".06pt" strokecolor="#000000"/>
            <v:line style="position:absolute" from="8328,309" to="9625,309" stroked="true" strokeweight=".06pt" strokecolor="#000000"/>
            <v:line style="position:absolute" from="9625,291" to="10922,291" stroked="true" strokeweight=".06pt" strokecolor="#000000"/>
            <v:line style="position:absolute" from="9625,292" to="10922,292" stroked="true" strokeweight=".06pt" strokecolor="#000000"/>
            <v:line style="position:absolute" from="9625,293" to="10922,293" stroked="true" strokeweight=".06pt" strokecolor="#000000"/>
            <v:line style="position:absolute" from="9625,294" to="10922,294" stroked="true" strokeweight=".06pt" strokecolor="#000000"/>
            <v:line style="position:absolute" from="9625,296" to="10922,296" stroked="true" strokeweight=".06pt" strokecolor="#000000"/>
            <v:line style="position:absolute" from="9625,297" to="10922,297" stroked="true" strokeweight=".06pt" strokecolor="#000000"/>
            <v:line style="position:absolute" from="9625,298" to="10922,298" stroked="true" strokeweight=".06pt" strokecolor="#000000"/>
            <v:line style="position:absolute" from="9625,299" to="10922,299" stroked="true" strokeweight=".06pt" strokecolor="#000000"/>
            <v:line style="position:absolute" from="9625,300" to="10922,300" stroked="true" strokeweight=".06pt" strokecolor="#000000"/>
            <v:line style="position:absolute" from="9625,302" to="10922,302" stroked="true" strokeweight=".06pt" strokecolor="#000000"/>
            <v:line style="position:absolute" from="9625,303" to="10922,303" stroked="true" strokeweight=".06pt" strokecolor="#000000"/>
            <v:line style="position:absolute" from="9625,304" to="10922,304" stroked="true" strokeweight=".06pt" strokecolor="#000000"/>
            <v:line style="position:absolute" from="9625,305" to="10922,305" stroked="true" strokeweight=".06pt" strokecolor="#000000"/>
            <v:line style="position:absolute" from="9625,306" to="10922,306" stroked="true" strokeweight=".06pt" strokecolor="#000000"/>
            <v:line style="position:absolute" from="9625,308" to="10922,308" stroked="true" strokeweight=".06pt" strokecolor="#000000"/>
            <v:line style="position:absolute" from="9625,309" to="10922,309" stroked="true" strokeweight=".06pt" strokecolor="#000000"/>
            <w10:wrap type="none"/>
          </v:group>
        </w:pict>
      </w:r>
      <w:r>
        <w:rPr>
          <w:sz w:val="18"/>
        </w:rPr>
        <w:t>Other</w:t>
        <w:tab/>
      </w:r>
      <w:r>
        <w:rPr>
          <w:b/>
          <w:sz w:val="18"/>
        </w:rPr>
        <w:t>3,913</w:t>
        <w:tab/>
      </w:r>
      <w:r>
        <w:rPr>
          <w:sz w:val="18"/>
        </w:rPr>
        <w:t>1,951</w:t>
        <w:tab/>
      </w:r>
      <w:r>
        <w:rPr>
          <w:b/>
          <w:sz w:val="18"/>
        </w:rPr>
        <w:t>3,583</w:t>
        <w:tab/>
      </w:r>
      <w:r>
        <w:rPr>
          <w:sz w:val="18"/>
        </w:rPr>
        <w:t>1,855</w:t>
      </w:r>
    </w:p>
    <w:p>
      <w:pPr>
        <w:tabs>
          <w:tab w:pos="5324" w:val="left" w:leader="none"/>
          <w:tab w:pos="6622" w:val="left" w:leader="none"/>
          <w:tab w:pos="8087" w:val="left" w:leader="none"/>
          <w:tab w:pos="9386" w:val="left" w:leader="none"/>
        </w:tabs>
        <w:spacing w:before="237"/>
        <w:ind w:left="532" w:right="128" w:firstLine="0"/>
        <w:jc w:val="left"/>
        <w:rPr>
          <w:sz w:val="18"/>
        </w:rPr>
      </w:pPr>
      <w:r>
        <w:rPr/>
        <w:pict>
          <v:group style="position:absolute;margin-left:269.709991pt;margin-top:23.48217pt;width:276.5pt;height:2.5pt;mso-position-horizontal-relative:page;mso-position-vertical-relative:paragraph;z-index:3448;mso-wrap-distance-left:0;mso-wrap-distance-right:0" coordorigin="5394,470" coordsize="5530,50">
            <v:line style="position:absolute" from="5395,471" to="5564,471" stroked="true" strokeweight=".06pt" strokecolor="#000000"/>
            <v:line style="position:absolute" from="5395,472" to="5564,472" stroked="true" strokeweight=".06pt" strokecolor="#000000"/>
            <v:line style="position:absolute" from="5395,473" to="5564,473" stroked="true" strokeweight=".06pt" strokecolor="#000000"/>
            <v:line style="position:absolute" from="5395,474" to="5564,474" stroked="true" strokeweight=".06pt" strokecolor="#000000"/>
            <v:line style="position:absolute" from="5395,475" to="5564,475" stroked="true" strokeweight=".06pt" strokecolor="#000000"/>
            <v:line style="position:absolute" from="5395,477" to="5564,477" stroked="true" strokeweight=".06pt" strokecolor="#000000"/>
            <v:line style="position:absolute" from="5395,478" to="5564,478" stroked="true" strokeweight=".06pt" strokecolor="#000000"/>
            <v:line style="position:absolute" from="5395,479" to="5564,479" stroked="true" strokeweight=".06pt" strokecolor="#000000"/>
            <v:line style="position:absolute" from="5395,480" to="5564,480" stroked="true" strokeweight=".06pt" strokecolor="#000000"/>
            <v:line style="position:absolute" from="5395,481" to="5564,481" stroked="true" strokeweight=".06pt" strokecolor="#000000"/>
            <v:line style="position:absolute" from="5395,483" to="5564,483" stroked="true" strokeweight=".06pt" strokecolor="#000000"/>
            <v:line style="position:absolute" from="5395,484" to="5564,484" stroked="true" strokeweight=".06pt" strokecolor="#000000"/>
            <v:line style="position:absolute" from="5395,485" to="5564,485" stroked="true" strokeweight=".06pt" strokecolor="#000000"/>
            <v:line style="position:absolute" from="5395,504" to="5564,504" stroked="true" strokeweight=".06pt" strokecolor="#000000"/>
            <v:line style="position:absolute" from="5395,505" to="5564,505" stroked="true" strokeweight=".06pt" strokecolor="#000000"/>
            <v:line style="position:absolute" from="5395,507" to="5564,507" stroked="true" strokeweight=".06pt" strokecolor="#000000"/>
            <v:line style="position:absolute" from="5395,508" to="5564,508" stroked="true" strokeweight=".06pt" strokecolor="#000000"/>
            <v:line style="position:absolute" from="5395,509" to="5564,509" stroked="true" strokeweight=".06pt" strokecolor="#000000"/>
            <v:line style="position:absolute" from="5395,510" to="5564,510" stroked="true" strokeweight=".06pt" strokecolor="#000000"/>
            <v:line style="position:absolute" from="5395,511" to="5564,511" stroked="true" strokeweight=".06pt" strokecolor="#000000"/>
            <v:line style="position:absolute" from="5395,513" to="5564,513" stroked="true" strokeweight=".06pt" strokecolor="#000000"/>
            <v:line style="position:absolute" from="5395,514" to="5564,514" stroked="true" strokeweight=".06pt" strokecolor="#000000"/>
            <v:line style="position:absolute" from="5395,515" to="5564,515" stroked="true" strokeweight=".06pt" strokecolor="#000000"/>
            <v:line style="position:absolute" from="5395,516" to="5564,516" stroked="true" strokeweight=".06pt" strokecolor="#000000"/>
            <v:line style="position:absolute" from="5395,517" to="5564,517" stroked="true" strokeweight=".06pt" strokecolor="#000000"/>
            <v:line style="position:absolute" from="5395,519" to="5564,519" stroked="true" strokeweight=".06pt" strokecolor="#000000"/>
            <v:line style="position:absolute" from="5564,471" to="6862,471" stroked="true" strokeweight=".06pt" strokecolor="#000000"/>
            <v:line style="position:absolute" from="5564,472" to="6862,472" stroked="true" strokeweight=".06pt" strokecolor="#000000"/>
            <v:line style="position:absolute" from="5564,473" to="6862,473" stroked="true" strokeweight=".06pt" strokecolor="#000000"/>
            <v:line style="position:absolute" from="5564,474" to="6862,474" stroked="true" strokeweight=".06pt" strokecolor="#000000"/>
            <v:line style="position:absolute" from="5564,475" to="6862,475" stroked="true" strokeweight=".06pt" strokecolor="#000000"/>
            <v:line style="position:absolute" from="5564,477" to="6862,477" stroked="true" strokeweight=".06pt" strokecolor="#000000"/>
            <v:line style="position:absolute" from="5564,478" to="6862,478" stroked="true" strokeweight=".06pt" strokecolor="#000000"/>
            <v:line style="position:absolute" from="5564,479" to="6862,479" stroked="true" strokeweight=".06pt" strokecolor="#000000"/>
            <v:line style="position:absolute" from="5564,480" to="6862,480" stroked="true" strokeweight=".06pt" strokecolor="#000000"/>
            <v:line style="position:absolute" from="5564,481" to="6862,481" stroked="true" strokeweight=".06pt" strokecolor="#000000"/>
            <v:line style="position:absolute" from="5564,483" to="6862,483" stroked="true" strokeweight=".06pt" strokecolor="#000000"/>
            <v:line style="position:absolute" from="5564,484" to="6862,484" stroked="true" strokeweight=".06pt" strokecolor="#000000"/>
            <v:line style="position:absolute" from="5564,485" to="6862,485" stroked="true" strokeweight=".06pt" strokecolor="#000000"/>
            <v:line style="position:absolute" from="5564,504" to="6862,504" stroked="true" strokeweight=".06pt" strokecolor="#000000"/>
            <v:line style="position:absolute" from="5564,505" to="6862,505" stroked="true" strokeweight=".06pt" strokecolor="#000000"/>
            <v:line style="position:absolute" from="5564,507" to="6862,507" stroked="true" strokeweight=".06pt" strokecolor="#000000"/>
            <v:line style="position:absolute" from="5564,508" to="6862,508" stroked="true" strokeweight=".06pt" strokecolor="#000000"/>
            <v:line style="position:absolute" from="5564,509" to="6862,509" stroked="true" strokeweight=".06pt" strokecolor="#000000"/>
            <v:line style="position:absolute" from="5564,510" to="6862,510" stroked="true" strokeweight=".06pt" strokecolor="#000000"/>
            <v:line style="position:absolute" from="5564,511" to="6862,511" stroked="true" strokeweight=".06pt" strokecolor="#000000"/>
            <v:line style="position:absolute" from="5564,513" to="6862,513" stroked="true" strokeweight=".06pt" strokecolor="#000000"/>
            <v:line style="position:absolute" from="5564,514" to="6862,514" stroked="true" strokeweight=".06pt" strokecolor="#000000"/>
            <v:line style="position:absolute" from="5564,515" to="6862,515" stroked="true" strokeweight=".06pt" strokecolor="#000000"/>
            <v:line style="position:absolute" from="5564,516" to="6862,516" stroked="true" strokeweight=".06pt" strokecolor="#000000"/>
            <v:line style="position:absolute" from="5564,517" to="6862,517" stroked="true" strokeweight=".06pt" strokecolor="#000000"/>
            <v:line style="position:absolute" from="5564,519" to="6862,519" stroked="true" strokeweight=".06pt" strokecolor="#000000"/>
            <v:line style="position:absolute" from="6862,471" to="8159,471" stroked="true" strokeweight=".06pt" strokecolor="#000000"/>
            <v:line style="position:absolute" from="6862,472" to="8159,472" stroked="true" strokeweight=".06pt" strokecolor="#000000"/>
            <v:line style="position:absolute" from="6862,473" to="8159,473" stroked="true" strokeweight=".06pt" strokecolor="#000000"/>
            <v:line style="position:absolute" from="6862,474" to="8159,474" stroked="true" strokeweight=".06pt" strokecolor="#000000"/>
            <v:line style="position:absolute" from="6862,475" to="8159,475" stroked="true" strokeweight=".06pt" strokecolor="#000000"/>
            <v:line style="position:absolute" from="6862,477" to="8159,477" stroked="true" strokeweight=".06pt" strokecolor="#000000"/>
            <v:line style="position:absolute" from="6862,478" to="8159,478" stroked="true" strokeweight=".06pt" strokecolor="#000000"/>
            <v:line style="position:absolute" from="6862,479" to="8159,479" stroked="true" strokeweight=".06pt" strokecolor="#000000"/>
            <v:line style="position:absolute" from="6862,480" to="8159,480" stroked="true" strokeweight=".06pt" strokecolor="#000000"/>
            <v:line style="position:absolute" from="6862,481" to="8159,481" stroked="true" strokeweight=".06pt" strokecolor="#000000"/>
            <v:line style="position:absolute" from="6862,483" to="8159,483" stroked="true" strokeweight=".06pt" strokecolor="#000000"/>
            <v:line style="position:absolute" from="6862,484" to="8159,484" stroked="true" strokeweight=".06pt" strokecolor="#000000"/>
            <v:line style="position:absolute" from="6862,485" to="8159,485" stroked="true" strokeweight=".06pt" strokecolor="#000000"/>
            <v:line style="position:absolute" from="6862,504" to="8159,504" stroked="true" strokeweight=".06pt" strokecolor="#000000"/>
            <v:line style="position:absolute" from="6862,505" to="8159,505" stroked="true" strokeweight=".06pt" strokecolor="#000000"/>
            <v:line style="position:absolute" from="6862,507" to="8159,507" stroked="true" strokeweight=".06pt" strokecolor="#000000"/>
            <v:line style="position:absolute" from="6862,508" to="8159,508" stroked="true" strokeweight=".06pt" strokecolor="#000000"/>
            <v:line style="position:absolute" from="6862,509" to="8159,509" stroked="true" strokeweight=".06pt" strokecolor="#000000"/>
            <v:line style="position:absolute" from="6862,510" to="8159,510" stroked="true" strokeweight=".06pt" strokecolor="#000000"/>
            <v:line style="position:absolute" from="6862,511" to="8159,511" stroked="true" strokeweight=".06pt" strokecolor="#000000"/>
            <v:line style="position:absolute" from="6862,513" to="8159,513" stroked="true" strokeweight=".06pt" strokecolor="#000000"/>
            <v:line style="position:absolute" from="6862,514" to="8159,514" stroked="true" strokeweight=".06pt" strokecolor="#000000"/>
            <v:line style="position:absolute" from="6862,515" to="8159,515" stroked="true" strokeweight=".06pt" strokecolor="#000000"/>
            <v:line style="position:absolute" from="6862,516" to="8159,516" stroked="true" strokeweight=".06pt" strokecolor="#000000"/>
            <v:line style="position:absolute" from="6862,517" to="8159,517" stroked="true" strokeweight=".06pt" strokecolor="#000000"/>
            <v:line style="position:absolute" from="6862,519" to="8159,519" stroked="true" strokeweight=".06pt" strokecolor="#000000"/>
            <v:line style="position:absolute" from="8159,471" to="8328,471" stroked="true" strokeweight=".06pt" strokecolor="#000000"/>
            <v:line style="position:absolute" from="8159,472" to="8328,472" stroked="true" strokeweight=".06pt" strokecolor="#000000"/>
            <v:line style="position:absolute" from="8159,473" to="8328,473" stroked="true" strokeweight=".06pt" strokecolor="#000000"/>
            <v:line style="position:absolute" from="8159,474" to="8328,474" stroked="true" strokeweight=".06pt" strokecolor="#000000"/>
            <v:line style="position:absolute" from="8159,475" to="8328,475" stroked="true" strokeweight=".06pt" strokecolor="#000000"/>
            <v:line style="position:absolute" from="8159,477" to="8328,477" stroked="true" strokeweight=".06pt" strokecolor="#000000"/>
            <v:line style="position:absolute" from="8159,478" to="8328,478" stroked="true" strokeweight=".06pt" strokecolor="#000000"/>
            <v:line style="position:absolute" from="8159,479" to="8328,479" stroked="true" strokeweight=".06pt" strokecolor="#000000"/>
            <v:line style="position:absolute" from="8159,480" to="8328,480" stroked="true" strokeweight=".06pt" strokecolor="#000000"/>
            <v:line style="position:absolute" from="8159,481" to="8328,481" stroked="true" strokeweight=".06pt" strokecolor="#000000"/>
            <v:line style="position:absolute" from="8159,483" to="8328,483" stroked="true" strokeweight=".06pt" strokecolor="#000000"/>
            <v:line style="position:absolute" from="8159,484" to="8328,484" stroked="true" strokeweight=".06pt" strokecolor="#000000"/>
            <v:line style="position:absolute" from="8159,485" to="8328,485" stroked="true" strokeweight=".06pt" strokecolor="#000000"/>
            <v:line style="position:absolute" from="8159,504" to="8328,504" stroked="true" strokeweight=".06pt" strokecolor="#000000"/>
            <v:line style="position:absolute" from="8159,505" to="8328,505" stroked="true" strokeweight=".06pt" strokecolor="#000000"/>
            <v:line style="position:absolute" from="8159,507" to="8328,507" stroked="true" strokeweight=".06pt" strokecolor="#000000"/>
            <v:line style="position:absolute" from="8159,508" to="8328,508" stroked="true" strokeweight=".06pt" strokecolor="#000000"/>
            <v:line style="position:absolute" from="8159,509" to="8328,509" stroked="true" strokeweight=".06pt" strokecolor="#000000"/>
            <v:line style="position:absolute" from="8159,510" to="8328,510" stroked="true" strokeweight=".06pt" strokecolor="#000000"/>
            <v:line style="position:absolute" from="8159,511" to="8328,511" stroked="true" strokeweight=".06pt" strokecolor="#000000"/>
            <v:line style="position:absolute" from="8159,513" to="8328,513" stroked="true" strokeweight=".06pt" strokecolor="#000000"/>
            <v:line style="position:absolute" from="8159,514" to="8328,514" stroked="true" strokeweight=".06pt" strokecolor="#000000"/>
            <v:line style="position:absolute" from="8159,515" to="8328,515" stroked="true" strokeweight=".06pt" strokecolor="#000000"/>
            <v:line style="position:absolute" from="8159,516" to="8328,516" stroked="true" strokeweight=".06pt" strokecolor="#000000"/>
            <v:line style="position:absolute" from="8159,517" to="8328,517" stroked="true" strokeweight=".06pt" strokecolor="#000000"/>
            <v:line style="position:absolute" from="8159,519" to="8328,519" stroked="true" strokeweight=".06pt" strokecolor="#000000"/>
            <v:line style="position:absolute" from="8328,471" to="9625,471" stroked="true" strokeweight=".06pt" strokecolor="#000000"/>
            <v:line style="position:absolute" from="8328,472" to="9625,472" stroked="true" strokeweight=".06pt" strokecolor="#000000"/>
            <v:line style="position:absolute" from="8328,473" to="9625,473" stroked="true" strokeweight=".06pt" strokecolor="#000000"/>
            <v:line style="position:absolute" from="8328,474" to="9625,474" stroked="true" strokeweight=".06pt" strokecolor="#000000"/>
            <v:line style="position:absolute" from="8328,475" to="9625,475" stroked="true" strokeweight=".06pt" strokecolor="#000000"/>
            <v:line style="position:absolute" from="8328,477" to="9625,477" stroked="true" strokeweight=".06pt" strokecolor="#000000"/>
            <v:line style="position:absolute" from="8328,478" to="9625,478" stroked="true" strokeweight=".06pt" strokecolor="#000000"/>
            <v:line style="position:absolute" from="8328,479" to="9625,479" stroked="true" strokeweight=".06pt" strokecolor="#000000"/>
            <v:line style="position:absolute" from="8328,480" to="9625,480" stroked="true" strokeweight=".06pt" strokecolor="#000000"/>
            <v:line style="position:absolute" from="8328,481" to="9625,481" stroked="true" strokeweight=".06pt" strokecolor="#000000"/>
            <v:line style="position:absolute" from="8328,483" to="9625,483" stroked="true" strokeweight=".06pt" strokecolor="#000000"/>
            <v:line style="position:absolute" from="8328,484" to="9625,484" stroked="true" strokeweight=".06pt" strokecolor="#000000"/>
            <v:line style="position:absolute" from="8328,485" to="9625,485" stroked="true" strokeweight=".06pt" strokecolor="#000000"/>
            <v:line style="position:absolute" from="8328,504" to="9625,504" stroked="true" strokeweight=".06pt" strokecolor="#000000"/>
            <v:line style="position:absolute" from="8328,505" to="9625,505" stroked="true" strokeweight=".06pt" strokecolor="#000000"/>
            <v:line style="position:absolute" from="8328,507" to="9625,507" stroked="true" strokeweight=".06pt" strokecolor="#000000"/>
            <v:line style="position:absolute" from="8328,508" to="9625,508" stroked="true" strokeweight=".06pt" strokecolor="#000000"/>
            <v:line style="position:absolute" from="8328,509" to="9625,509" stroked="true" strokeweight=".06pt" strokecolor="#000000"/>
            <v:line style="position:absolute" from="8328,510" to="9625,510" stroked="true" strokeweight=".06pt" strokecolor="#000000"/>
            <v:line style="position:absolute" from="8328,511" to="9625,511" stroked="true" strokeweight=".06pt" strokecolor="#000000"/>
            <v:line style="position:absolute" from="8328,513" to="9625,513" stroked="true" strokeweight=".06pt" strokecolor="#000000"/>
            <v:line style="position:absolute" from="8328,514" to="9625,514" stroked="true" strokeweight=".06pt" strokecolor="#000000"/>
            <v:line style="position:absolute" from="8328,515" to="9625,515" stroked="true" strokeweight=".06pt" strokecolor="#000000"/>
            <v:line style="position:absolute" from="8328,516" to="9625,516" stroked="true" strokeweight=".06pt" strokecolor="#000000"/>
            <v:line style="position:absolute" from="8328,517" to="9625,517" stroked="true" strokeweight=".06pt" strokecolor="#000000"/>
            <v:line style="position:absolute" from="8328,519" to="9625,519" stroked="true" strokeweight=".06pt" strokecolor="#000000"/>
            <v:line style="position:absolute" from="9625,471" to="10922,471" stroked="true" strokeweight=".06pt" strokecolor="#000000"/>
            <v:line style="position:absolute" from="9625,472" to="10922,472" stroked="true" strokeweight=".06pt" strokecolor="#000000"/>
            <v:line style="position:absolute" from="9625,473" to="10922,473" stroked="true" strokeweight=".06pt" strokecolor="#000000"/>
            <v:line style="position:absolute" from="9625,474" to="10922,474" stroked="true" strokeweight=".06pt" strokecolor="#000000"/>
            <v:line style="position:absolute" from="9625,475" to="10922,475" stroked="true" strokeweight=".06pt" strokecolor="#000000"/>
            <v:line style="position:absolute" from="9625,477" to="10922,477" stroked="true" strokeweight=".06pt" strokecolor="#000000"/>
            <v:line style="position:absolute" from="9625,478" to="10922,478" stroked="true" strokeweight=".06pt" strokecolor="#000000"/>
            <v:line style="position:absolute" from="9625,479" to="10922,479" stroked="true" strokeweight=".06pt" strokecolor="#000000"/>
            <v:line style="position:absolute" from="9625,480" to="10922,480" stroked="true" strokeweight=".06pt" strokecolor="#000000"/>
            <v:line style="position:absolute" from="9625,481" to="10922,481" stroked="true" strokeweight=".06pt" strokecolor="#000000"/>
            <v:line style="position:absolute" from="9625,483" to="10922,483" stroked="true" strokeweight=".06pt" strokecolor="#000000"/>
            <v:line style="position:absolute" from="9625,484" to="10922,484" stroked="true" strokeweight=".06pt" strokecolor="#000000"/>
            <v:line style="position:absolute" from="9625,485" to="10922,485" stroked="true" strokeweight=".06pt" strokecolor="#000000"/>
            <v:line style="position:absolute" from="9625,504" to="10922,504" stroked="true" strokeweight=".06pt" strokecolor="#000000"/>
            <v:line style="position:absolute" from="9625,505" to="10922,505" stroked="true" strokeweight=".06pt" strokecolor="#000000"/>
            <v:line style="position:absolute" from="9625,507" to="10922,507" stroked="true" strokeweight=".06pt" strokecolor="#000000"/>
            <v:line style="position:absolute" from="9625,508" to="10922,508" stroked="true" strokeweight=".06pt" strokecolor="#000000"/>
            <v:line style="position:absolute" from="9625,509" to="10922,509" stroked="true" strokeweight=".06pt" strokecolor="#000000"/>
            <v:line style="position:absolute" from="9625,510" to="10922,510" stroked="true" strokeweight=".06pt" strokecolor="#000000"/>
            <v:line style="position:absolute" from="9625,511" to="10922,511" stroked="true" strokeweight=".06pt" strokecolor="#000000"/>
            <v:line style="position:absolute" from="9625,513" to="10922,513" stroked="true" strokeweight=".06pt" strokecolor="#000000"/>
            <v:line style="position:absolute" from="9625,514" to="10922,514" stroked="true" strokeweight=".06pt" strokecolor="#000000"/>
            <v:line style="position:absolute" from="9625,515" to="10922,515" stroked="true" strokeweight=".06pt" strokecolor="#000000"/>
            <v:line style="position:absolute" from="9625,516" to="10922,516" stroked="true" strokeweight=".06pt" strokecolor="#000000"/>
            <v:line style="position:absolute" from="9625,517" to="10922,517" stroked="true" strokeweight=".06pt" strokecolor="#000000"/>
            <v:line style="position:absolute" from="9625,519" to="10922,519" stroked="true" strokeweight=".06pt" strokecolor="#000000"/>
            <w10:wrap type="topAndBottom"/>
          </v:group>
        </w:pict>
      </w:r>
      <w:r>
        <w:rPr>
          <w:b/>
          <w:sz w:val="18"/>
        </w:rPr>
        <w:t>Total other liabilities</w:t>
        <w:tab/>
        <w:t>27,052</w:t>
        <w:tab/>
      </w:r>
      <w:r>
        <w:rPr>
          <w:sz w:val="18"/>
        </w:rPr>
        <w:t>23,302</w:t>
        <w:tab/>
      </w:r>
      <w:r>
        <w:rPr>
          <w:b/>
          <w:sz w:val="18"/>
        </w:rPr>
        <w:t>25,586</w:t>
        <w:tab/>
      </w:r>
      <w:r>
        <w:rPr>
          <w:sz w:val="18"/>
        </w:rPr>
        <w:t>22,076</w:t>
      </w:r>
    </w:p>
    <w:p>
      <w:pPr>
        <w:pStyle w:val="BodyText"/>
        <w:spacing w:before="6"/>
        <w:rPr>
          <w:sz w:val="22"/>
        </w:rPr>
      </w:pPr>
    </w:p>
    <w:p>
      <w:pPr>
        <w:pStyle w:val="Heading9"/>
        <w:numPr>
          <w:ilvl w:val="0"/>
          <w:numId w:val="16"/>
        </w:numPr>
        <w:tabs>
          <w:tab w:pos="506" w:val="left" w:leader="none"/>
        </w:tabs>
        <w:spacing w:line="240" w:lineRule="auto" w:before="0" w:after="0"/>
        <w:ind w:left="505" w:right="0" w:hanging="396"/>
        <w:jc w:val="left"/>
      </w:pPr>
      <w:r>
        <w:rPr/>
        <w:t>Restricted</w:t>
      </w:r>
      <w:r>
        <w:rPr>
          <w:spacing w:val="-1"/>
        </w:rPr>
        <w:t> </w:t>
      </w:r>
      <w:r>
        <w:rPr/>
        <w:t>funds</w:t>
      </w:r>
    </w:p>
    <w:p>
      <w:pPr>
        <w:pStyle w:val="BodyText"/>
        <w:rPr>
          <w:b/>
        </w:rPr>
      </w:pPr>
    </w:p>
    <w:p>
      <w:pPr>
        <w:pStyle w:val="BodyText"/>
        <w:rPr>
          <w:b/>
        </w:rPr>
      </w:pPr>
    </w:p>
    <w:p>
      <w:pPr>
        <w:pStyle w:val="BodyText"/>
        <w:spacing w:before="147"/>
        <w:ind w:left="503" w:right="141"/>
      </w:pPr>
      <w:r>
        <w:rPr/>
        <w:t>Restricted funds are funds granted with certain restrictions or conditions mandated by an Act or subordinate legislation. These conditions mean that these funds may only be utilised for specified expenditure purposes.</w:t>
      </w:r>
    </w:p>
    <w:p>
      <w:pPr>
        <w:pStyle w:val="BodyText"/>
        <w:rPr>
          <w:sz w:val="25"/>
        </w:rPr>
      </w:pPr>
    </w:p>
    <w:p>
      <w:pPr>
        <w:pStyle w:val="BodyText"/>
        <w:ind w:left="503" w:right="331"/>
      </w:pPr>
      <w:r>
        <w:rPr/>
        <w:t>Funds held by the Group which have been donated for a specific purpose, whereby drawing down on these funds for other purposes is restricted by an Act or subordinate legislation are included as a Statutory Fund under this note.</w:t>
      </w:r>
    </w:p>
    <w:p>
      <w:pPr>
        <w:pStyle w:val="BodyText"/>
        <w:ind w:left="503" w:right="231"/>
      </w:pPr>
      <w:r>
        <w:rPr/>
        <w:t>These funds include all ARC Funding, All NHMRC funding and the majority of Category 1 funding. Any unspent research funding received from an external party for specific purposes, where the purpose is not mandated by statute, is not included.  There is nil balance for this year end prior year.</w:t>
      </w:r>
    </w:p>
    <w:p>
      <w:pPr>
        <w:spacing w:after="0"/>
        <w:sectPr>
          <w:type w:val="continuous"/>
          <w:pgSz w:w="11910" w:h="16840"/>
          <w:pgMar w:top="0" w:bottom="280" w:left="900" w:right="880"/>
        </w:sectPr>
      </w:pPr>
    </w:p>
    <w:p>
      <w:pPr>
        <w:pStyle w:val="BodyText"/>
        <w:spacing w:before="7"/>
        <w:rPr>
          <w:sz w:val="26"/>
        </w:rPr>
      </w:pPr>
    </w:p>
    <w:p>
      <w:pPr>
        <w:pStyle w:val="Heading9"/>
        <w:numPr>
          <w:ilvl w:val="0"/>
          <w:numId w:val="16"/>
        </w:numPr>
        <w:tabs>
          <w:tab w:pos="506" w:val="left" w:leader="none"/>
        </w:tabs>
        <w:spacing w:line="240" w:lineRule="auto" w:before="77" w:after="0"/>
        <w:ind w:left="505" w:right="0" w:hanging="396"/>
        <w:jc w:val="left"/>
      </w:pPr>
      <w:r>
        <w:rPr/>
        <w:t>Reserves and retained</w:t>
      </w:r>
      <w:r>
        <w:rPr>
          <w:spacing w:val="-2"/>
        </w:rPr>
        <w:t> </w:t>
      </w:r>
      <w:r>
        <w:rPr/>
        <w:t>earnings</w:t>
      </w:r>
    </w:p>
    <w:p>
      <w:pPr>
        <w:pStyle w:val="BodyText"/>
        <w:spacing w:before="11"/>
        <w:rPr>
          <w:b/>
          <w:sz w:val="24"/>
        </w:rPr>
      </w:pPr>
    </w:p>
    <w:p>
      <w:pPr>
        <w:pStyle w:val="ListParagraph"/>
        <w:numPr>
          <w:ilvl w:val="1"/>
          <w:numId w:val="16"/>
        </w:numPr>
        <w:tabs>
          <w:tab w:pos="1072" w:val="left" w:leader="none"/>
        </w:tabs>
        <w:spacing w:line="240" w:lineRule="auto" w:before="0" w:after="0"/>
        <w:ind w:left="1071" w:right="0" w:hanging="566"/>
        <w:jc w:val="left"/>
        <w:rPr>
          <w:sz w:val="18"/>
        </w:rPr>
      </w:pPr>
      <w:r>
        <w:rPr>
          <w:sz w:val="18"/>
        </w:rPr>
        <w:t>Reserves</w:t>
      </w:r>
    </w:p>
    <w:p>
      <w:pPr>
        <w:pStyle w:val="BodyText"/>
        <w:spacing w:before="1"/>
        <w:rPr>
          <w:sz w:val="10"/>
        </w:rPr>
      </w:pPr>
    </w:p>
    <w:p>
      <w:pPr>
        <w:pStyle w:val="Heading9"/>
        <w:tabs>
          <w:tab w:pos="7284" w:val="left" w:leader="none"/>
        </w:tabs>
        <w:spacing w:before="78"/>
        <w:ind w:left="4521" w:right="128"/>
      </w:pPr>
      <w:r>
        <w:rPr/>
        <w:t>Consolidated</w:t>
        <w:tab/>
        <w:t>Parent</w:t>
      </w:r>
    </w:p>
    <w:p>
      <w:pPr>
        <w:spacing w:after="0"/>
        <w:sectPr>
          <w:footerReference w:type="default" r:id="rId83"/>
          <w:pgSz w:w="11910" w:h="16840"/>
          <w:pgMar w:footer="507" w:header="1038" w:top="2220" w:bottom="700" w:left="900" w:right="880"/>
          <w:pgNumType w:start="51"/>
        </w:sectPr>
      </w:pPr>
    </w:p>
    <w:p>
      <w:pPr>
        <w:spacing w:before="66"/>
        <w:ind w:left="0" w:right="40" w:firstLine="0"/>
        <w:jc w:val="right"/>
        <w:rPr>
          <w:b/>
          <w:sz w:val="18"/>
        </w:rPr>
      </w:pPr>
      <w:r>
        <w:rPr>
          <w:b/>
          <w:w w:val="95"/>
          <w:sz w:val="18"/>
        </w:rPr>
        <w:t>2012</w:t>
      </w:r>
    </w:p>
    <w:p>
      <w:pPr>
        <w:spacing w:before="66"/>
        <w:ind w:left="0" w:right="0" w:firstLine="0"/>
        <w:jc w:val="right"/>
        <w:rPr>
          <w:b/>
          <w:sz w:val="18"/>
        </w:rPr>
      </w:pPr>
      <w:r>
        <w:rPr>
          <w:b/>
          <w:sz w:val="18"/>
        </w:rPr>
        <w:t>$'000</w:t>
      </w:r>
    </w:p>
    <w:p>
      <w:pPr>
        <w:spacing w:before="66"/>
        <w:ind w:left="786" w:right="-20" w:firstLine="0"/>
        <w:jc w:val="left"/>
        <w:rPr>
          <w:b/>
          <w:sz w:val="18"/>
        </w:rPr>
      </w:pPr>
      <w:r>
        <w:rPr/>
        <w:br w:type="column"/>
      </w:r>
      <w:r>
        <w:rPr>
          <w:b/>
          <w:sz w:val="18"/>
        </w:rPr>
        <w:t>2011</w:t>
      </w:r>
    </w:p>
    <w:p>
      <w:pPr>
        <w:spacing w:before="66"/>
        <w:ind w:left="786" w:right="-20" w:firstLine="0"/>
        <w:jc w:val="left"/>
        <w:rPr>
          <w:b/>
          <w:sz w:val="18"/>
        </w:rPr>
      </w:pPr>
      <w:r>
        <w:rPr>
          <w:b/>
          <w:sz w:val="18"/>
        </w:rPr>
        <w:t>$'000</w:t>
      </w:r>
    </w:p>
    <w:p>
      <w:pPr>
        <w:spacing w:before="66"/>
        <w:ind w:left="0" w:right="40" w:firstLine="0"/>
        <w:jc w:val="right"/>
        <w:rPr>
          <w:b/>
          <w:sz w:val="18"/>
        </w:rPr>
      </w:pPr>
      <w:r>
        <w:rPr/>
        <w:br w:type="column"/>
      </w:r>
      <w:r>
        <w:rPr>
          <w:b/>
          <w:sz w:val="18"/>
        </w:rPr>
        <w:t>2012</w:t>
      </w:r>
    </w:p>
    <w:p>
      <w:pPr>
        <w:spacing w:before="66"/>
        <w:ind w:left="0" w:right="0" w:firstLine="0"/>
        <w:jc w:val="right"/>
        <w:rPr>
          <w:b/>
          <w:sz w:val="18"/>
        </w:rPr>
      </w:pPr>
      <w:r>
        <w:rPr>
          <w:b/>
          <w:w w:val="95"/>
          <w:sz w:val="18"/>
        </w:rPr>
        <w:t>$'000</w:t>
      </w:r>
    </w:p>
    <w:p>
      <w:pPr>
        <w:spacing w:before="66"/>
        <w:ind w:left="726" w:right="937" w:firstLine="0"/>
        <w:jc w:val="center"/>
        <w:rPr>
          <w:b/>
          <w:sz w:val="18"/>
        </w:rPr>
      </w:pPr>
      <w:r>
        <w:rPr/>
        <w:br w:type="column"/>
      </w:r>
      <w:r>
        <w:rPr>
          <w:b/>
          <w:sz w:val="18"/>
        </w:rPr>
        <w:t>2011</w:t>
      </w:r>
    </w:p>
    <w:p>
      <w:pPr>
        <w:spacing w:before="66"/>
        <w:ind w:left="769" w:right="937" w:firstLine="0"/>
        <w:jc w:val="center"/>
        <w:rPr>
          <w:b/>
          <w:sz w:val="18"/>
        </w:rPr>
      </w:pPr>
      <w:r>
        <w:rPr>
          <w:b/>
          <w:sz w:val="18"/>
        </w:rPr>
        <w:t>$'000</w:t>
      </w:r>
    </w:p>
    <w:p>
      <w:pPr>
        <w:spacing w:after="0"/>
        <w:jc w:val="center"/>
        <w:rPr>
          <w:sz w:val="18"/>
        </w:rPr>
        <w:sectPr>
          <w:type w:val="continuous"/>
          <w:pgSz w:w="11910" w:h="16840"/>
          <w:pgMar w:top="0" w:bottom="280" w:left="900" w:right="880"/>
          <w:cols w:num="4" w:equalWidth="0">
            <w:col w:w="5135" w:space="40"/>
            <w:col w:w="1230" w:space="40"/>
            <w:col w:w="1454" w:space="40"/>
            <w:col w:w="2191"/>
          </w:cols>
        </w:sectPr>
      </w:pPr>
    </w:p>
    <w:p>
      <w:pPr>
        <w:pStyle w:val="BodyText"/>
        <w:spacing w:before="11"/>
        <w:rPr>
          <w:b/>
          <w:sz w:val="5"/>
        </w:rPr>
      </w:pPr>
    </w:p>
    <w:tbl>
      <w:tblPr>
        <w:tblW w:w="0" w:type="auto"/>
        <w:jc w:val="left"/>
        <w:tblInd w:w="10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59"/>
        <w:gridCol w:w="685"/>
        <w:gridCol w:w="768"/>
        <w:gridCol w:w="516"/>
        <w:gridCol w:w="880"/>
        <w:gridCol w:w="599"/>
        <w:gridCol w:w="768"/>
        <w:gridCol w:w="516"/>
        <w:gridCol w:w="795"/>
      </w:tblGrid>
      <w:tr>
        <w:trPr>
          <w:trHeight w:val="527" w:hRule="exact"/>
        </w:trPr>
        <w:tc>
          <w:tcPr>
            <w:tcW w:w="3459" w:type="dxa"/>
          </w:tcPr>
          <w:p>
            <w:pPr>
              <w:pStyle w:val="TableParagraph"/>
              <w:spacing w:before="77"/>
              <w:ind w:left="65"/>
              <w:rPr>
                <w:b/>
                <w:sz w:val="18"/>
              </w:rPr>
            </w:pPr>
            <w:r>
              <w:rPr>
                <w:b/>
                <w:sz w:val="18"/>
              </w:rPr>
              <w:t>Reserves</w:t>
            </w:r>
          </w:p>
          <w:p>
            <w:pPr>
              <w:pStyle w:val="TableParagraph"/>
              <w:spacing w:before="27"/>
              <w:ind w:left="65"/>
              <w:rPr>
                <w:sz w:val="18"/>
              </w:rPr>
            </w:pPr>
            <w:r>
              <w:rPr>
                <w:sz w:val="18"/>
              </w:rPr>
              <w:t>Property, plant and equipment</w:t>
            </w:r>
          </w:p>
        </w:tc>
        <w:tc>
          <w:tcPr>
            <w:tcW w:w="5527" w:type="dxa"/>
            <w:gridSpan w:val="8"/>
          </w:tcPr>
          <w:p>
            <w:pPr/>
          </w:p>
        </w:tc>
      </w:tr>
      <w:tr>
        <w:trPr>
          <w:trHeight w:val="235" w:hRule="exact"/>
        </w:trPr>
        <w:tc>
          <w:tcPr>
            <w:tcW w:w="3459" w:type="dxa"/>
          </w:tcPr>
          <w:p>
            <w:pPr>
              <w:pStyle w:val="TableParagraph"/>
              <w:spacing w:line="198" w:lineRule="exact"/>
              <w:ind w:left="65"/>
              <w:rPr>
                <w:sz w:val="18"/>
              </w:rPr>
            </w:pPr>
            <w:r>
              <w:rPr>
                <w:sz w:val="18"/>
              </w:rPr>
              <w:t>revaluation surplus</w:t>
            </w:r>
          </w:p>
        </w:tc>
        <w:tc>
          <w:tcPr>
            <w:tcW w:w="1453" w:type="dxa"/>
            <w:gridSpan w:val="2"/>
          </w:tcPr>
          <w:p>
            <w:pPr>
              <w:pStyle w:val="TableParagraph"/>
              <w:spacing w:line="197" w:lineRule="exact"/>
              <w:ind w:left="729"/>
              <w:rPr>
                <w:b/>
                <w:sz w:val="18"/>
              </w:rPr>
            </w:pPr>
            <w:r>
              <w:rPr>
                <w:b/>
                <w:sz w:val="18"/>
              </w:rPr>
              <w:t>522,987</w:t>
            </w:r>
          </w:p>
        </w:tc>
        <w:tc>
          <w:tcPr>
            <w:tcW w:w="1396" w:type="dxa"/>
            <w:gridSpan w:val="2"/>
          </w:tcPr>
          <w:p>
            <w:pPr>
              <w:pStyle w:val="TableParagraph"/>
              <w:spacing w:line="197" w:lineRule="exact"/>
              <w:ind w:left="575"/>
              <w:rPr>
                <w:sz w:val="18"/>
              </w:rPr>
            </w:pPr>
            <w:r>
              <w:rPr>
                <w:sz w:val="18"/>
              </w:rPr>
              <w:t>508,983</w:t>
            </w:r>
          </w:p>
        </w:tc>
        <w:tc>
          <w:tcPr>
            <w:tcW w:w="1367" w:type="dxa"/>
            <w:gridSpan w:val="2"/>
          </w:tcPr>
          <w:p>
            <w:pPr>
              <w:pStyle w:val="TableParagraph"/>
              <w:spacing w:line="197" w:lineRule="exact"/>
              <w:ind w:left="643"/>
              <w:rPr>
                <w:b/>
                <w:sz w:val="18"/>
              </w:rPr>
            </w:pPr>
            <w:r>
              <w:rPr>
                <w:b/>
                <w:sz w:val="18"/>
              </w:rPr>
              <w:t>522,974</w:t>
            </w:r>
          </w:p>
        </w:tc>
        <w:tc>
          <w:tcPr>
            <w:tcW w:w="1311" w:type="dxa"/>
            <w:gridSpan w:val="2"/>
          </w:tcPr>
          <w:p>
            <w:pPr>
              <w:pStyle w:val="TableParagraph"/>
              <w:spacing w:line="197" w:lineRule="exact"/>
              <w:ind w:left="574"/>
              <w:rPr>
                <w:sz w:val="18"/>
              </w:rPr>
            </w:pPr>
            <w:r>
              <w:rPr>
                <w:sz w:val="18"/>
              </w:rPr>
              <w:t>508,970</w:t>
            </w:r>
          </w:p>
        </w:tc>
      </w:tr>
      <w:tr>
        <w:trPr>
          <w:trHeight w:val="264" w:hRule="exact"/>
        </w:trPr>
        <w:tc>
          <w:tcPr>
            <w:tcW w:w="3459" w:type="dxa"/>
          </w:tcPr>
          <w:p>
            <w:pPr>
              <w:pStyle w:val="TableParagraph"/>
              <w:spacing w:before="19"/>
              <w:ind w:left="65"/>
              <w:rPr>
                <w:sz w:val="18"/>
              </w:rPr>
            </w:pPr>
            <w:r>
              <w:rPr>
                <w:sz w:val="18"/>
              </w:rPr>
              <w:t>Investment revaluation reserve</w:t>
            </w:r>
          </w:p>
        </w:tc>
        <w:tc>
          <w:tcPr>
            <w:tcW w:w="1453" w:type="dxa"/>
            <w:gridSpan w:val="2"/>
          </w:tcPr>
          <w:p>
            <w:pPr>
              <w:pStyle w:val="TableParagraph"/>
              <w:spacing w:before="18"/>
              <w:ind w:left="928"/>
              <w:rPr>
                <w:b/>
                <w:sz w:val="18"/>
              </w:rPr>
            </w:pPr>
            <w:r>
              <w:rPr>
                <w:b/>
                <w:sz w:val="18"/>
              </w:rPr>
              <w:t>1,903</w:t>
            </w:r>
          </w:p>
        </w:tc>
        <w:tc>
          <w:tcPr>
            <w:tcW w:w="1396" w:type="dxa"/>
            <w:gridSpan w:val="2"/>
          </w:tcPr>
          <w:p>
            <w:pPr>
              <w:pStyle w:val="TableParagraph"/>
              <w:spacing w:before="18"/>
              <w:ind w:left="614"/>
              <w:rPr>
                <w:sz w:val="18"/>
              </w:rPr>
            </w:pPr>
            <w:r>
              <w:rPr>
                <w:sz w:val="18"/>
              </w:rPr>
              <w:t>(10,115)</w:t>
            </w:r>
          </w:p>
        </w:tc>
        <w:tc>
          <w:tcPr>
            <w:tcW w:w="1367" w:type="dxa"/>
            <w:gridSpan w:val="2"/>
          </w:tcPr>
          <w:p>
            <w:pPr>
              <w:pStyle w:val="TableParagraph"/>
              <w:spacing w:before="18"/>
              <w:ind w:right="71"/>
              <w:jc w:val="right"/>
              <w:rPr>
                <w:b/>
                <w:sz w:val="18"/>
              </w:rPr>
            </w:pPr>
            <w:r>
              <w:rPr>
                <w:b/>
                <w:w w:val="95"/>
                <w:sz w:val="18"/>
              </w:rPr>
              <w:t>631</w:t>
            </w:r>
          </w:p>
        </w:tc>
        <w:tc>
          <w:tcPr>
            <w:tcW w:w="1311" w:type="dxa"/>
            <w:gridSpan w:val="2"/>
          </w:tcPr>
          <w:p>
            <w:pPr>
              <w:pStyle w:val="TableParagraph"/>
              <w:spacing w:before="18"/>
              <w:ind w:left="614"/>
              <w:rPr>
                <w:sz w:val="18"/>
              </w:rPr>
            </w:pPr>
            <w:r>
              <w:rPr>
                <w:sz w:val="18"/>
              </w:rPr>
              <w:t>(10,115)</w:t>
            </w:r>
          </w:p>
        </w:tc>
      </w:tr>
      <w:tr>
        <w:trPr>
          <w:trHeight w:val="264" w:hRule="exact"/>
        </w:trPr>
        <w:tc>
          <w:tcPr>
            <w:tcW w:w="3459" w:type="dxa"/>
          </w:tcPr>
          <w:p>
            <w:pPr>
              <w:pStyle w:val="TableParagraph"/>
              <w:spacing w:before="19"/>
              <w:ind w:left="65"/>
              <w:rPr>
                <w:sz w:val="18"/>
              </w:rPr>
            </w:pPr>
            <w:r>
              <w:rPr>
                <w:sz w:val="18"/>
              </w:rPr>
              <w:t>Art collection revaluation reserve</w:t>
            </w:r>
          </w:p>
        </w:tc>
        <w:tc>
          <w:tcPr>
            <w:tcW w:w="1453" w:type="dxa"/>
            <w:gridSpan w:val="2"/>
          </w:tcPr>
          <w:p>
            <w:pPr>
              <w:pStyle w:val="TableParagraph"/>
              <w:spacing w:before="18"/>
              <w:ind w:left="928"/>
              <w:rPr>
                <w:b/>
                <w:sz w:val="18"/>
              </w:rPr>
            </w:pPr>
            <w:r>
              <w:rPr>
                <w:b/>
                <w:sz w:val="18"/>
              </w:rPr>
              <w:t>1,601</w:t>
            </w:r>
          </w:p>
        </w:tc>
        <w:tc>
          <w:tcPr>
            <w:tcW w:w="1396" w:type="dxa"/>
            <w:gridSpan w:val="2"/>
          </w:tcPr>
          <w:p>
            <w:pPr>
              <w:pStyle w:val="TableParagraph"/>
              <w:spacing w:before="18"/>
              <w:ind w:left="774"/>
              <w:rPr>
                <w:sz w:val="18"/>
              </w:rPr>
            </w:pPr>
            <w:r>
              <w:rPr>
                <w:sz w:val="18"/>
              </w:rPr>
              <w:t>1,601</w:t>
            </w:r>
          </w:p>
        </w:tc>
        <w:tc>
          <w:tcPr>
            <w:tcW w:w="1367" w:type="dxa"/>
            <w:gridSpan w:val="2"/>
          </w:tcPr>
          <w:p>
            <w:pPr>
              <w:pStyle w:val="TableParagraph"/>
              <w:spacing w:before="18"/>
              <w:ind w:left="843"/>
              <w:rPr>
                <w:b/>
                <w:sz w:val="18"/>
              </w:rPr>
            </w:pPr>
            <w:r>
              <w:rPr>
                <w:b/>
                <w:sz w:val="18"/>
              </w:rPr>
              <w:t>1,601</w:t>
            </w:r>
          </w:p>
        </w:tc>
        <w:tc>
          <w:tcPr>
            <w:tcW w:w="1311" w:type="dxa"/>
            <w:gridSpan w:val="2"/>
          </w:tcPr>
          <w:p>
            <w:pPr>
              <w:pStyle w:val="TableParagraph"/>
              <w:spacing w:before="18"/>
              <w:ind w:left="774"/>
              <w:rPr>
                <w:sz w:val="18"/>
              </w:rPr>
            </w:pPr>
            <w:r>
              <w:rPr>
                <w:sz w:val="18"/>
              </w:rPr>
              <w:t>1,601</w:t>
            </w:r>
          </w:p>
        </w:tc>
      </w:tr>
      <w:tr>
        <w:trPr>
          <w:trHeight w:val="262" w:hRule="exact"/>
        </w:trPr>
        <w:tc>
          <w:tcPr>
            <w:tcW w:w="3459" w:type="dxa"/>
          </w:tcPr>
          <w:p>
            <w:pPr>
              <w:pStyle w:val="TableParagraph"/>
              <w:spacing w:before="19"/>
              <w:ind w:left="65"/>
              <w:rPr>
                <w:sz w:val="18"/>
              </w:rPr>
            </w:pPr>
            <w:r>
              <w:rPr>
                <w:sz w:val="18"/>
              </w:rPr>
              <w:t>Livestock revaluation reserve</w:t>
            </w:r>
          </w:p>
        </w:tc>
        <w:tc>
          <w:tcPr>
            <w:tcW w:w="1453" w:type="dxa"/>
            <w:gridSpan w:val="2"/>
            <w:tcBorders>
              <w:bottom w:val="single" w:sz="0" w:space="0" w:color="000000"/>
            </w:tcBorders>
          </w:tcPr>
          <w:p>
            <w:pPr>
              <w:pStyle w:val="TableParagraph"/>
              <w:spacing w:before="18"/>
              <w:ind w:right="72"/>
              <w:jc w:val="right"/>
              <w:rPr>
                <w:b/>
                <w:sz w:val="18"/>
              </w:rPr>
            </w:pPr>
            <w:r>
              <w:rPr>
                <w:b/>
                <w:w w:val="95"/>
                <w:sz w:val="18"/>
              </w:rPr>
              <w:t>222</w:t>
            </w:r>
          </w:p>
        </w:tc>
        <w:tc>
          <w:tcPr>
            <w:tcW w:w="1396" w:type="dxa"/>
            <w:gridSpan w:val="2"/>
            <w:tcBorders>
              <w:bottom w:val="single" w:sz="0" w:space="0" w:color="000000"/>
            </w:tcBorders>
          </w:tcPr>
          <w:p>
            <w:pPr>
              <w:pStyle w:val="TableParagraph"/>
              <w:spacing w:before="18"/>
              <w:ind w:left="924"/>
              <w:rPr>
                <w:sz w:val="18"/>
              </w:rPr>
            </w:pPr>
            <w:r>
              <w:rPr>
                <w:sz w:val="18"/>
              </w:rPr>
              <w:t>291</w:t>
            </w:r>
          </w:p>
        </w:tc>
        <w:tc>
          <w:tcPr>
            <w:tcW w:w="1367" w:type="dxa"/>
            <w:gridSpan w:val="2"/>
            <w:tcBorders>
              <w:bottom w:val="single" w:sz="0" w:space="0" w:color="000000"/>
            </w:tcBorders>
          </w:tcPr>
          <w:p>
            <w:pPr>
              <w:pStyle w:val="TableParagraph"/>
              <w:spacing w:before="18"/>
              <w:ind w:right="72"/>
              <w:jc w:val="right"/>
              <w:rPr>
                <w:b/>
                <w:sz w:val="18"/>
              </w:rPr>
            </w:pPr>
            <w:r>
              <w:rPr>
                <w:b/>
                <w:w w:val="95"/>
                <w:sz w:val="18"/>
              </w:rPr>
              <w:t>222</w:t>
            </w:r>
          </w:p>
        </w:tc>
        <w:tc>
          <w:tcPr>
            <w:tcW w:w="1311" w:type="dxa"/>
            <w:gridSpan w:val="2"/>
            <w:tcBorders>
              <w:bottom w:val="single" w:sz="0" w:space="0" w:color="000000"/>
            </w:tcBorders>
          </w:tcPr>
          <w:p>
            <w:pPr>
              <w:pStyle w:val="TableParagraph"/>
              <w:spacing w:before="18"/>
              <w:ind w:right="84"/>
              <w:jc w:val="right"/>
              <w:rPr>
                <w:sz w:val="18"/>
              </w:rPr>
            </w:pPr>
            <w:r>
              <w:rPr>
                <w:w w:val="95"/>
                <w:sz w:val="18"/>
              </w:rPr>
              <w:t>291</w:t>
            </w:r>
          </w:p>
        </w:tc>
      </w:tr>
      <w:tr>
        <w:trPr>
          <w:trHeight w:val="353" w:hRule="exact"/>
        </w:trPr>
        <w:tc>
          <w:tcPr>
            <w:tcW w:w="3459" w:type="dxa"/>
          </w:tcPr>
          <w:p>
            <w:pPr>
              <w:pStyle w:val="TableParagraph"/>
              <w:spacing w:before="123"/>
              <w:ind w:left="65"/>
              <w:rPr>
                <w:b/>
                <w:sz w:val="18"/>
              </w:rPr>
            </w:pPr>
            <w:r>
              <w:rPr>
                <w:b/>
                <w:sz w:val="18"/>
              </w:rPr>
              <w:t>Total Reserves</w:t>
            </w:r>
          </w:p>
        </w:tc>
        <w:tc>
          <w:tcPr>
            <w:tcW w:w="1453" w:type="dxa"/>
            <w:gridSpan w:val="2"/>
            <w:tcBorders>
              <w:top w:val="single" w:sz="0" w:space="0" w:color="000000"/>
              <w:bottom w:val="single" w:sz="0" w:space="0" w:color="000000"/>
            </w:tcBorders>
          </w:tcPr>
          <w:p>
            <w:pPr>
              <w:pStyle w:val="TableParagraph"/>
              <w:spacing w:before="122"/>
              <w:ind w:left="729"/>
              <w:rPr>
                <w:b/>
                <w:sz w:val="18"/>
              </w:rPr>
            </w:pPr>
            <w:r>
              <w:rPr>
                <w:b/>
                <w:sz w:val="18"/>
              </w:rPr>
              <w:t>526,713</w:t>
            </w:r>
          </w:p>
        </w:tc>
        <w:tc>
          <w:tcPr>
            <w:tcW w:w="1396" w:type="dxa"/>
            <w:gridSpan w:val="2"/>
            <w:tcBorders>
              <w:top w:val="single" w:sz="0" w:space="0" w:color="000000"/>
              <w:bottom w:val="single" w:sz="0" w:space="0" w:color="000000"/>
            </w:tcBorders>
          </w:tcPr>
          <w:p>
            <w:pPr>
              <w:pStyle w:val="TableParagraph"/>
              <w:spacing w:before="122"/>
              <w:ind w:left="575"/>
              <w:rPr>
                <w:sz w:val="18"/>
              </w:rPr>
            </w:pPr>
            <w:r>
              <w:rPr>
                <w:sz w:val="18"/>
              </w:rPr>
              <w:t>500,760</w:t>
            </w:r>
          </w:p>
        </w:tc>
        <w:tc>
          <w:tcPr>
            <w:tcW w:w="1367" w:type="dxa"/>
            <w:gridSpan w:val="2"/>
            <w:tcBorders>
              <w:top w:val="single" w:sz="0" w:space="0" w:color="000000"/>
              <w:bottom w:val="single" w:sz="0" w:space="0" w:color="000000"/>
            </w:tcBorders>
          </w:tcPr>
          <w:p>
            <w:pPr>
              <w:pStyle w:val="TableParagraph"/>
              <w:spacing w:before="122"/>
              <w:ind w:left="643"/>
              <w:rPr>
                <w:b/>
                <w:sz w:val="18"/>
              </w:rPr>
            </w:pPr>
            <w:r>
              <w:rPr>
                <w:b/>
                <w:sz w:val="18"/>
              </w:rPr>
              <w:t>525,428</w:t>
            </w:r>
          </w:p>
        </w:tc>
        <w:tc>
          <w:tcPr>
            <w:tcW w:w="1311" w:type="dxa"/>
            <w:gridSpan w:val="2"/>
            <w:tcBorders>
              <w:top w:val="single" w:sz="0" w:space="0" w:color="000000"/>
              <w:bottom w:val="single" w:sz="0" w:space="0" w:color="000000"/>
            </w:tcBorders>
          </w:tcPr>
          <w:p>
            <w:pPr>
              <w:pStyle w:val="TableParagraph"/>
              <w:spacing w:before="122"/>
              <w:ind w:left="575"/>
              <w:rPr>
                <w:sz w:val="18"/>
              </w:rPr>
            </w:pPr>
            <w:r>
              <w:rPr>
                <w:sz w:val="18"/>
              </w:rPr>
              <w:t>500,747</w:t>
            </w:r>
          </w:p>
        </w:tc>
      </w:tr>
      <w:tr>
        <w:trPr>
          <w:trHeight w:val="517" w:hRule="exact"/>
        </w:trPr>
        <w:tc>
          <w:tcPr>
            <w:tcW w:w="3459" w:type="dxa"/>
          </w:tcPr>
          <w:p>
            <w:pPr>
              <w:pStyle w:val="TableParagraph"/>
              <w:rPr>
                <w:b/>
                <w:sz w:val="18"/>
              </w:rPr>
            </w:pPr>
          </w:p>
          <w:p>
            <w:pPr>
              <w:pStyle w:val="TableParagraph"/>
              <w:spacing w:before="106"/>
              <w:ind w:left="36"/>
              <w:rPr>
                <w:sz w:val="18"/>
              </w:rPr>
            </w:pPr>
            <w:r>
              <w:rPr>
                <w:sz w:val="18"/>
              </w:rPr>
              <w:t>Movements</w:t>
            </w:r>
          </w:p>
        </w:tc>
        <w:tc>
          <w:tcPr>
            <w:tcW w:w="1453" w:type="dxa"/>
            <w:gridSpan w:val="2"/>
            <w:tcBorders>
              <w:top w:val="single" w:sz="0" w:space="0" w:color="000000"/>
            </w:tcBorders>
          </w:tcPr>
          <w:p>
            <w:pPr/>
          </w:p>
        </w:tc>
        <w:tc>
          <w:tcPr>
            <w:tcW w:w="1396" w:type="dxa"/>
            <w:gridSpan w:val="2"/>
            <w:tcBorders>
              <w:top w:val="single" w:sz="0" w:space="0" w:color="000000"/>
            </w:tcBorders>
          </w:tcPr>
          <w:p>
            <w:pPr/>
          </w:p>
        </w:tc>
        <w:tc>
          <w:tcPr>
            <w:tcW w:w="1367" w:type="dxa"/>
            <w:gridSpan w:val="2"/>
            <w:tcBorders>
              <w:top w:val="single" w:sz="0" w:space="0" w:color="000000"/>
            </w:tcBorders>
          </w:tcPr>
          <w:p>
            <w:pPr/>
          </w:p>
        </w:tc>
        <w:tc>
          <w:tcPr>
            <w:tcW w:w="1311" w:type="dxa"/>
            <w:gridSpan w:val="2"/>
            <w:tcBorders>
              <w:top w:val="single" w:sz="0" w:space="0" w:color="000000"/>
            </w:tcBorders>
          </w:tcPr>
          <w:p>
            <w:pPr/>
          </w:p>
        </w:tc>
      </w:tr>
      <w:tr>
        <w:trPr>
          <w:trHeight w:val="287" w:hRule="exact"/>
        </w:trPr>
        <w:tc>
          <w:tcPr>
            <w:tcW w:w="3459" w:type="dxa"/>
          </w:tcPr>
          <w:p>
            <w:pPr/>
          </w:p>
        </w:tc>
        <w:tc>
          <w:tcPr>
            <w:tcW w:w="1453" w:type="dxa"/>
            <w:gridSpan w:val="2"/>
          </w:tcPr>
          <w:p>
            <w:pPr>
              <w:pStyle w:val="TableParagraph"/>
              <w:spacing w:before="37"/>
              <w:ind w:left="27"/>
              <w:rPr>
                <w:b/>
                <w:sz w:val="18"/>
              </w:rPr>
            </w:pPr>
            <w:r>
              <w:rPr>
                <w:b/>
                <w:sz w:val="18"/>
              </w:rPr>
              <w:t>Consolidated</w:t>
            </w:r>
          </w:p>
        </w:tc>
        <w:tc>
          <w:tcPr>
            <w:tcW w:w="2764" w:type="dxa"/>
            <w:gridSpan w:val="4"/>
          </w:tcPr>
          <w:p>
            <w:pPr>
              <w:pStyle w:val="TableParagraph"/>
              <w:spacing w:before="37"/>
              <w:ind w:left="1310"/>
              <w:rPr>
                <w:b/>
                <w:sz w:val="18"/>
              </w:rPr>
            </w:pPr>
            <w:r>
              <w:rPr>
                <w:b/>
                <w:sz w:val="18"/>
              </w:rPr>
              <w:t>Parent</w:t>
            </w:r>
          </w:p>
        </w:tc>
        <w:tc>
          <w:tcPr>
            <w:tcW w:w="1311" w:type="dxa"/>
            <w:gridSpan w:val="2"/>
          </w:tcPr>
          <w:p>
            <w:pPr/>
          </w:p>
        </w:tc>
      </w:tr>
      <w:tr>
        <w:trPr>
          <w:trHeight w:val="274" w:hRule="exact"/>
        </w:trPr>
        <w:tc>
          <w:tcPr>
            <w:tcW w:w="3459" w:type="dxa"/>
          </w:tcPr>
          <w:p>
            <w:pPr/>
          </w:p>
        </w:tc>
        <w:tc>
          <w:tcPr>
            <w:tcW w:w="685" w:type="dxa"/>
          </w:tcPr>
          <w:p>
            <w:pPr>
              <w:pStyle w:val="TableParagraph"/>
              <w:spacing w:before="24"/>
              <w:ind w:right="85"/>
              <w:jc w:val="right"/>
              <w:rPr>
                <w:b/>
                <w:sz w:val="18"/>
              </w:rPr>
            </w:pPr>
            <w:r>
              <w:rPr>
                <w:b/>
                <w:w w:val="95"/>
                <w:sz w:val="18"/>
              </w:rPr>
              <w:t>2012</w:t>
            </w:r>
          </w:p>
        </w:tc>
        <w:tc>
          <w:tcPr>
            <w:tcW w:w="768" w:type="dxa"/>
          </w:tcPr>
          <w:p>
            <w:pPr/>
          </w:p>
        </w:tc>
        <w:tc>
          <w:tcPr>
            <w:tcW w:w="516" w:type="dxa"/>
          </w:tcPr>
          <w:p>
            <w:pPr>
              <w:pStyle w:val="TableParagraph"/>
              <w:spacing w:before="24"/>
              <w:ind w:left="13"/>
              <w:rPr>
                <w:b/>
                <w:sz w:val="18"/>
              </w:rPr>
            </w:pPr>
            <w:r>
              <w:rPr>
                <w:b/>
                <w:sz w:val="18"/>
              </w:rPr>
              <w:t>2011</w:t>
            </w:r>
          </w:p>
        </w:tc>
        <w:tc>
          <w:tcPr>
            <w:tcW w:w="880" w:type="dxa"/>
          </w:tcPr>
          <w:p>
            <w:pPr/>
          </w:p>
        </w:tc>
        <w:tc>
          <w:tcPr>
            <w:tcW w:w="599" w:type="dxa"/>
          </w:tcPr>
          <w:p>
            <w:pPr>
              <w:pStyle w:val="TableParagraph"/>
              <w:spacing w:before="24"/>
              <w:ind w:left="111"/>
              <w:rPr>
                <w:b/>
                <w:sz w:val="18"/>
              </w:rPr>
            </w:pPr>
            <w:r>
              <w:rPr>
                <w:b/>
                <w:sz w:val="18"/>
              </w:rPr>
              <w:t>2012</w:t>
            </w:r>
          </w:p>
        </w:tc>
        <w:tc>
          <w:tcPr>
            <w:tcW w:w="768" w:type="dxa"/>
          </w:tcPr>
          <w:p>
            <w:pPr/>
          </w:p>
        </w:tc>
        <w:tc>
          <w:tcPr>
            <w:tcW w:w="516" w:type="dxa"/>
          </w:tcPr>
          <w:p>
            <w:pPr>
              <w:pStyle w:val="TableParagraph"/>
              <w:spacing w:before="24"/>
              <w:ind w:left="13"/>
              <w:rPr>
                <w:b/>
                <w:sz w:val="18"/>
              </w:rPr>
            </w:pPr>
            <w:r>
              <w:rPr>
                <w:b/>
                <w:sz w:val="18"/>
              </w:rPr>
              <w:t>2011</w:t>
            </w:r>
          </w:p>
        </w:tc>
        <w:tc>
          <w:tcPr>
            <w:tcW w:w="795" w:type="dxa"/>
          </w:tcPr>
          <w:p>
            <w:pPr/>
          </w:p>
        </w:tc>
      </w:tr>
      <w:tr>
        <w:trPr>
          <w:trHeight w:val="338" w:hRule="exact"/>
        </w:trPr>
        <w:tc>
          <w:tcPr>
            <w:tcW w:w="3459" w:type="dxa"/>
          </w:tcPr>
          <w:p>
            <w:pPr/>
          </w:p>
        </w:tc>
        <w:tc>
          <w:tcPr>
            <w:tcW w:w="685" w:type="dxa"/>
          </w:tcPr>
          <w:p>
            <w:pPr>
              <w:pStyle w:val="TableParagraph"/>
              <w:spacing w:before="24"/>
              <w:ind w:right="42"/>
              <w:jc w:val="right"/>
              <w:rPr>
                <w:b/>
                <w:sz w:val="18"/>
              </w:rPr>
            </w:pPr>
            <w:r>
              <w:rPr>
                <w:b/>
                <w:w w:val="95"/>
                <w:sz w:val="18"/>
              </w:rPr>
              <w:t>$'000</w:t>
            </w:r>
          </w:p>
        </w:tc>
        <w:tc>
          <w:tcPr>
            <w:tcW w:w="768" w:type="dxa"/>
          </w:tcPr>
          <w:p>
            <w:pPr/>
          </w:p>
        </w:tc>
        <w:tc>
          <w:tcPr>
            <w:tcW w:w="516" w:type="dxa"/>
          </w:tcPr>
          <w:p>
            <w:pPr>
              <w:pStyle w:val="TableParagraph"/>
              <w:spacing w:before="24"/>
              <w:ind w:left="13"/>
              <w:rPr>
                <w:b/>
                <w:sz w:val="18"/>
              </w:rPr>
            </w:pPr>
            <w:r>
              <w:rPr>
                <w:b/>
                <w:sz w:val="18"/>
              </w:rPr>
              <w:t>$'000</w:t>
            </w:r>
          </w:p>
        </w:tc>
        <w:tc>
          <w:tcPr>
            <w:tcW w:w="880" w:type="dxa"/>
          </w:tcPr>
          <w:p>
            <w:pPr/>
          </w:p>
        </w:tc>
        <w:tc>
          <w:tcPr>
            <w:tcW w:w="599" w:type="dxa"/>
          </w:tcPr>
          <w:p>
            <w:pPr>
              <w:pStyle w:val="TableParagraph"/>
              <w:spacing w:before="24"/>
              <w:ind w:left="111"/>
              <w:rPr>
                <w:b/>
                <w:sz w:val="18"/>
              </w:rPr>
            </w:pPr>
            <w:r>
              <w:rPr>
                <w:b/>
                <w:sz w:val="18"/>
              </w:rPr>
              <w:t>$'000</w:t>
            </w:r>
          </w:p>
        </w:tc>
        <w:tc>
          <w:tcPr>
            <w:tcW w:w="768" w:type="dxa"/>
          </w:tcPr>
          <w:p>
            <w:pPr/>
          </w:p>
        </w:tc>
        <w:tc>
          <w:tcPr>
            <w:tcW w:w="516" w:type="dxa"/>
          </w:tcPr>
          <w:p>
            <w:pPr>
              <w:pStyle w:val="TableParagraph"/>
              <w:spacing w:before="24"/>
              <w:ind w:left="13"/>
              <w:rPr>
                <w:b/>
                <w:sz w:val="18"/>
              </w:rPr>
            </w:pPr>
            <w:r>
              <w:rPr>
                <w:b/>
                <w:sz w:val="18"/>
              </w:rPr>
              <w:t>$'000</w:t>
            </w:r>
          </w:p>
        </w:tc>
        <w:tc>
          <w:tcPr>
            <w:tcW w:w="795" w:type="dxa"/>
          </w:tcPr>
          <w:p>
            <w:pPr/>
          </w:p>
        </w:tc>
      </w:tr>
      <w:tr>
        <w:trPr>
          <w:trHeight w:val="525" w:hRule="exact"/>
        </w:trPr>
        <w:tc>
          <w:tcPr>
            <w:tcW w:w="3459" w:type="dxa"/>
          </w:tcPr>
          <w:p>
            <w:pPr>
              <w:pStyle w:val="TableParagraph"/>
              <w:spacing w:before="88"/>
              <w:ind w:left="35" w:right="804" w:hanging="1"/>
              <w:rPr>
                <w:b/>
                <w:sz w:val="18"/>
              </w:rPr>
            </w:pPr>
            <w:r>
              <w:rPr>
                <w:b/>
                <w:sz w:val="18"/>
              </w:rPr>
              <w:t>Property, plant and equipment revaluation surplus</w:t>
            </w:r>
          </w:p>
        </w:tc>
        <w:tc>
          <w:tcPr>
            <w:tcW w:w="685" w:type="dxa"/>
          </w:tcPr>
          <w:p>
            <w:pPr/>
          </w:p>
        </w:tc>
        <w:tc>
          <w:tcPr>
            <w:tcW w:w="768" w:type="dxa"/>
          </w:tcPr>
          <w:p>
            <w:pPr/>
          </w:p>
        </w:tc>
        <w:tc>
          <w:tcPr>
            <w:tcW w:w="516" w:type="dxa"/>
          </w:tcPr>
          <w:p>
            <w:pPr/>
          </w:p>
        </w:tc>
        <w:tc>
          <w:tcPr>
            <w:tcW w:w="880" w:type="dxa"/>
          </w:tcPr>
          <w:p>
            <w:pPr/>
          </w:p>
        </w:tc>
        <w:tc>
          <w:tcPr>
            <w:tcW w:w="599" w:type="dxa"/>
          </w:tcPr>
          <w:p>
            <w:pPr/>
          </w:p>
        </w:tc>
        <w:tc>
          <w:tcPr>
            <w:tcW w:w="768" w:type="dxa"/>
          </w:tcPr>
          <w:p>
            <w:pPr/>
          </w:p>
        </w:tc>
        <w:tc>
          <w:tcPr>
            <w:tcW w:w="516" w:type="dxa"/>
          </w:tcPr>
          <w:p>
            <w:pPr/>
          </w:p>
        </w:tc>
        <w:tc>
          <w:tcPr>
            <w:tcW w:w="795" w:type="dxa"/>
          </w:tcPr>
          <w:p>
            <w:pPr/>
          </w:p>
        </w:tc>
      </w:tr>
      <w:tr>
        <w:trPr>
          <w:trHeight w:val="250" w:hRule="exact"/>
        </w:trPr>
        <w:tc>
          <w:tcPr>
            <w:tcW w:w="3459" w:type="dxa"/>
          </w:tcPr>
          <w:p>
            <w:pPr>
              <w:pStyle w:val="TableParagraph"/>
              <w:spacing w:before="6"/>
              <w:ind w:left="35"/>
              <w:rPr>
                <w:sz w:val="18"/>
              </w:rPr>
            </w:pPr>
            <w:r>
              <w:rPr>
                <w:sz w:val="18"/>
              </w:rPr>
              <w:t>Balance 1 January</w:t>
            </w:r>
          </w:p>
        </w:tc>
        <w:tc>
          <w:tcPr>
            <w:tcW w:w="685" w:type="dxa"/>
          </w:tcPr>
          <w:p>
            <w:pPr/>
          </w:p>
        </w:tc>
        <w:tc>
          <w:tcPr>
            <w:tcW w:w="768" w:type="dxa"/>
          </w:tcPr>
          <w:p>
            <w:pPr>
              <w:pStyle w:val="TableParagraph"/>
              <w:spacing w:before="4"/>
              <w:ind w:right="70"/>
              <w:jc w:val="right"/>
              <w:rPr>
                <w:b/>
                <w:sz w:val="18"/>
              </w:rPr>
            </w:pPr>
            <w:r>
              <w:rPr>
                <w:b/>
                <w:w w:val="95"/>
                <w:sz w:val="18"/>
              </w:rPr>
              <w:t>508,983</w:t>
            </w:r>
          </w:p>
        </w:tc>
        <w:tc>
          <w:tcPr>
            <w:tcW w:w="516" w:type="dxa"/>
          </w:tcPr>
          <w:p>
            <w:pPr/>
          </w:p>
        </w:tc>
        <w:tc>
          <w:tcPr>
            <w:tcW w:w="880" w:type="dxa"/>
          </w:tcPr>
          <w:p>
            <w:pPr>
              <w:pStyle w:val="TableParagraph"/>
              <w:spacing w:before="4"/>
              <w:ind w:left="59"/>
              <w:rPr>
                <w:sz w:val="18"/>
              </w:rPr>
            </w:pPr>
            <w:r>
              <w:rPr>
                <w:sz w:val="18"/>
              </w:rPr>
              <w:t>537,378</w:t>
            </w:r>
          </w:p>
        </w:tc>
        <w:tc>
          <w:tcPr>
            <w:tcW w:w="599" w:type="dxa"/>
          </w:tcPr>
          <w:p>
            <w:pPr/>
          </w:p>
        </w:tc>
        <w:tc>
          <w:tcPr>
            <w:tcW w:w="768" w:type="dxa"/>
          </w:tcPr>
          <w:p>
            <w:pPr>
              <w:pStyle w:val="TableParagraph"/>
              <w:spacing w:before="4"/>
              <w:ind w:right="70"/>
              <w:jc w:val="right"/>
              <w:rPr>
                <w:b/>
                <w:sz w:val="18"/>
              </w:rPr>
            </w:pPr>
            <w:r>
              <w:rPr>
                <w:b/>
                <w:w w:val="95"/>
                <w:sz w:val="18"/>
              </w:rPr>
              <w:t>508,970</w:t>
            </w:r>
          </w:p>
        </w:tc>
        <w:tc>
          <w:tcPr>
            <w:tcW w:w="516" w:type="dxa"/>
          </w:tcPr>
          <w:p>
            <w:pPr/>
          </w:p>
        </w:tc>
        <w:tc>
          <w:tcPr>
            <w:tcW w:w="795" w:type="dxa"/>
          </w:tcPr>
          <w:p>
            <w:pPr>
              <w:pStyle w:val="TableParagraph"/>
              <w:spacing w:before="4"/>
              <w:ind w:left="59"/>
              <w:rPr>
                <w:sz w:val="18"/>
              </w:rPr>
            </w:pPr>
            <w:r>
              <w:rPr>
                <w:sz w:val="18"/>
              </w:rPr>
              <w:t>537,365</w:t>
            </w:r>
          </w:p>
        </w:tc>
      </w:tr>
      <w:tr>
        <w:trPr>
          <w:trHeight w:val="262" w:hRule="exact"/>
        </w:trPr>
        <w:tc>
          <w:tcPr>
            <w:tcW w:w="3459" w:type="dxa"/>
          </w:tcPr>
          <w:p>
            <w:pPr>
              <w:pStyle w:val="TableParagraph"/>
              <w:spacing w:before="19"/>
              <w:ind w:left="35"/>
              <w:rPr>
                <w:sz w:val="18"/>
              </w:rPr>
            </w:pPr>
            <w:r>
              <w:rPr>
                <w:sz w:val="18"/>
              </w:rPr>
              <w:t>Revaluation - gross</w:t>
            </w:r>
          </w:p>
        </w:tc>
        <w:tc>
          <w:tcPr>
            <w:tcW w:w="685" w:type="dxa"/>
            <w:tcBorders>
              <w:bottom w:val="single" w:sz="0" w:space="0" w:color="000000"/>
            </w:tcBorders>
          </w:tcPr>
          <w:p>
            <w:pPr/>
          </w:p>
        </w:tc>
        <w:tc>
          <w:tcPr>
            <w:tcW w:w="768" w:type="dxa"/>
            <w:tcBorders>
              <w:bottom w:val="single" w:sz="0" w:space="0" w:color="000000"/>
            </w:tcBorders>
          </w:tcPr>
          <w:p>
            <w:pPr>
              <w:pStyle w:val="TableParagraph"/>
              <w:spacing w:before="18"/>
              <w:ind w:right="71"/>
              <w:jc w:val="right"/>
              <w:rPr>
                <w:b/>
                <w:sz w:val="18"/>
              </w:rPr>
            </w:pPr>
            <w:r>
              <w:rPr>
                <w:b/>
                <w:w w:val="95"/>
                <w:sz w:val="18"/>
              </w:rPr>
              <w:t>14,004</w:t>
            </w:r>
          </w:p>
        </w:tc>
        <w:tc>
          <w:tcPr>
            <w:tcW w:w="516" w:type="dxa"/>
            <w:tcBorders>
              <w:bottom w:val="single" w:sz="0" w:space="0" w:color="000000"/>
            </w:tcBorders>
          </w:tcPr>
          <w:p>
            <w:pPr/>
          </w:p>
        </w:tc>
        <w:tc>
          <w:tcPr>
            <w:tcW w:w="880" w:type="dxa"/>
            <w:tcBorders>
              <w:bottom w:val="single" w:sz="0" w:space="0" w:color="000000"/>
            </w:tcBorders>
          </w:tcPr>
          <w:p>
            <w:pPr>
              <w:pStyle w:val="TableParagraph"/>
              <w:spacing w:before="18"/>
              <w:ind w:left="98"/>
              <w:rPr>
                <w:sz w:val="18"/>
              </w:rPr>
            </w:pPr>
            <w:r>
              <w:rPr>
                <w:sz w:val="18"/>
              </w:rPr>
              <w:t>(28,395)</w:t>
            </w:r>
          </w:p>
        </w:tc>
        <w:tc>
          <w:tcPr>
            <w:tcW w:w="599" w:type="dxa"/>
            <w:tcBorders>
              <w:bottom w:val="single" w:sz="0" w:space="0" w:color="000000"/>
            </w:tcBorders>
          </w:tcPr>
          <w:p>
            <w:pPr/>
          </w:p>
        </w:tc>
        <w:tc>
          <w:tcPr>
            <w:tcW w:w="768" w:type="dxa"/>
            <w:tcBorders>
              <w:bottom w:val="single" w:sz="0" w:space="0" w:color="000000"/>
            </w:tcBorders>
          </w:tcPr>
          <w:p>
            <w:pPr>
              <w:pStyle w:val="TableParagraph"/>
              <w:spacing w:before="18"/>
              <w:ind w:right="71"/>
              <w:jc w:val="right"/>
              <w:rPr>
                <w:b/>
                <w:sz w:val="18"/>
              </w:rPr>
            </w:pPr>
            <w:r>
              <w:rPr>
                <w:b/>
                <w:w w:val="95"/>
                <w:sz w:val="18"/>
              </w:rPr>
              <w:t>14,004</w:t>
            </w:r>
          </w:p>
        </w:tc>
        <w:tc>
          <w:tcPr>
            <w:tcW w:w="516" w:type="dxa"/>
            <w:tcBorders>
              <w:bottom w:val="single" w:sz="0" w:space="0" w:color="000000"/>
            </w:tcBorders>
          </w:tcPr>
          <w:p>
            <w:pPr/>
          </w:p>
        </w:tc>
        <w:tc>
          <w:tcPr>
            <w:tcW w:w="795" w:type="dxa"/>
            <w:tcBorders>
              <w:bottom w:val="single" w:sz="0" w:space="0" w:color="000000"/>
            </w:tcBorders>
          </w:tcPr>
          <w:p>
            <w:pPr>
              <w:pStyle w:val="TableParagraph"/>
              <w:spacing w:before="18"/>
              <w:ind w:left="98"/>
              <w:rPr>
                <w:sz w:val="18"/>
              </w:rPr>
            </w:pPr>
            <w:r>
              <w:rPr>
                <w:sz w:val="18"/>
              </w:rPr>
              <w:t>(28,395)</w:t>
            </w:r>
          </w:p>
        </w:tc>
      </w:tr>
      <w:tr>
        <w:trPr>
          <w:trHeight w:val="353" w:hRule="exact"/>
        </w:trPr>
        <w:tc>
          <w:tcPr>
            <w:tcW w:w="3459" w:type="dxa"/>
          </w:tcPr>
          <w:p>
            <w:pPr>
              <w:pStyle w:val="TableParagraph"/>
              <w:spacing w:before="123"/>
              <w:ind w:left="35"/>
              <w:rPr>
                <w:b/>
                <w:sz w:val="18"/>
              </w:rPr>
            </w:pPr>
            <w:r>
              <w:rPr>
                <w:b/>
                <w:sz w:val="18"/>
              </w:rPr>
              <w:t>Balance at 31 December</w:t>
            </w:r>
          </w:p>
        </w:tc>
        <w:tc>
          <w:tcPr>
            <w:tcW w:w="685" w:type="dxa"/>
            <w:tcBorders>
              <w:top w:val="single" w:sz="0" w:space="0" w:color="000000"/>
              <w:bottom w:val="single" w:sz="0" w:space="0" w:color="000000"/>
            </w:tcBorders>
          </w:tcPr>
          <w:p>
            <w:pPr/>
          </w:p>
        </w:tc>
        <w:tc>
          <w:tcPr>
            <w:tcW w:w="768" w:type="dxa"/>
            <w:tcBorders>
              <w:top w:val="single" w:sz="0" w:space="0" w:color="000000"/>
              <w:bottom w:val="single" w:sz="0" w:space="0" w:color="000000"/>
            </w:tcBorders>
          </w:tcPr>
          <w:p>
            <w:pPr>
              <w:pStyle w:val="TableParagraph"/>
              <w:spacing w:before="122"/>
              <w:ind w:right="70"/>
              <w:jc w:val="right"/>
              <w:rPr>
                <w:b/>
                <w:sz w:val="18"/>
              </w:rPr>
            </w:pPr>
            <w:r>
              <w:rPr>
                <w:b/>
                <w:w w:val="95"/>
                <w:sz w:val="18"/>
              </w:rPr>
              <w:t>522,987</w:t>
            </w:r>
          </w:p>
        </w:tc>
        <w:tc>
          <w:tcPr>
            <w:tcW w:w="516" w:type="dxa"/>
            <w:tcBorders>
              <w:top w:val="single" w:sz="0" w:space="0" w:color="000000"/>
              <w:bottom w:val="single" w:sz="0" w:space="0" w:color="000000"/>
            </w:tcBorders>
          </w:tcPr>
          <w:p>
            <w:pPr/>
          </w:p>
        </w:tc>
        <w:tc>
          <w:tcPr>
            <w:tcW w:w="880" w:type="dxa"/>
            <w:tcBorders>
              <w:top w:val="single" w:sz="0" w:space="0" w:color="000000"/>
              <w:bottom w:val="single" w:sz="0" w:space="0" w:color="000000"/>
            </w:tcBorders>
          </w:tcPr>
          <w:p>
            <w:pPr>
              <w:pStyle w:val="TableParagraph"/>
              <w:spacing w:before="122"/>
              <w:ind w:left="59"/>
              <w:rPr>
                <w:sz w:val="18"/>
              </w:rPr>
            </w:pPr>
            <w:r>
              <w:rPr>
                <w:sz w:val="18"/>
              </w:rPr>
              <w:t>508,983</w:t>
            </w:r>
          </w:p>
        </w:tc>
        <w:tc>
          <w:tcPr>
            <w:tcW w:w="599" w:type="dxa"/>
            <w:tcBorders>
              <w:top w:val="single" w:sz="0" w:space="0" w:color="000000"/>
              <w:bottom w:val="single" w:sz="0" w:space="0" w:color="000000"/>
            </w:tcBorders>
          </w:tcPr>
          <w:p>
            <w:pPr/>
          </w:p>
        </w:tc>
        <w:tc>
          <w:tcPr>
            <w:tcW w:w="768" w:type="dxa"/>
            <w:tcBorders>
              <w:top w:val="single" w:sz="0" w:space="0" w:color="000000"/>
              <w:bottom w:val="single" w:sz="0" w:space="0" w:color="000000"/>
            </w:tcBorders>
          </w:tcPr>
          <w:p>
            <w:pPr>
              <w:pStyle w:val="TableParagraph"/>
              <w:spacing w:before="122"/>
              <w:ind w:right="70"/>
              <w:jc w:val="right"/>
              <w:rPr>
                <w:b/>
                <w:sz w:val="18"/>
              </w:rPr>
            </w:pPr>
            <w:r>
              <w:rPr>
                <w:b/>
                <w:w w:val="95"/>
                <w:sz w:val="18"/>
              </w:rPr>
              <w:t>522,974</w:t>
            </w:r>
          </w:p>
        </w:tc>
        <w:tc>
          <w:tcPr>
            <w:tcW w:w="516" w:type="dxa"/>
            <w:tcBorders>
              <w:top w:val="single" w:sz="0" w:space="0" w:color="000000"/>
              <w:bottom w:val="single" w:sz="0" w:space="0" w:color="000000"/>
            </w:tcBorders>
          </w:tcPr>
          <w:p>
            <w:pPr/>
          </w:p>
        </w:tc>
        <w:tc>
          <w:tcPr>
            <w:tcW w:w="795" w:type="dxa"/>
            <w:tcBorders>
              <w:top w:val="single" w:sz="0" w:space="0" w:color="000000"/>
              <w:bottom w:val="single" w:sz="0" w:space="0" w:color="000000"/>
            </w:tcBorders>
          </w:tcPr>
          <w:p>
            <w:pPr>
              <w:pStyle w:val="TableParagraph"/>
              <w:spacing w:before="122"/>
              <w:ind w:left="59"/>
              <w:rPr>
                <w:sz w:val="18"/>
              </w:rPr>
            </w:pPr>
            <w:r>
              <w:rPr>
                <w:sz w:val="18"/>
              </w:rPr>
              <w:t>508,970</w:t>
            </w:r>
          </w:p>
        </w:tc>
      </w:tr>
      <w:tr>
        <w:trPr>
          <w:trHeight w:val="369" w:hRule="exact"/>
        </w:trPr>
        <w:tc>
          <w:tcPr>
            <w:tcW w:w="3459" w:type="dxa"/>
          </w:tcPr>
          <w:p>
            <w:pPr>
              <w:pStyle w:val="TableParagraph"/>
              <w:spacing w:before="138"/>
              <w:ind w:left="35"/>
              <w:rPr>
                <w:b/>
                <w:sz w:val="18"/>
              </w:rPr>
            </w:pPr>
            <w:r>
              <w:rPr>
                <w:b/>
                <w:sz w:val="18"/>
              </w:rPr>
              <w:t>Investment revaluation reserve</w:t>
            </w:r>
          </w:p>
        </w:tc>
        <w:tc>
          <w:tcPr>
            <w:tcW w:w="685" w:type="dxa"/>
            <w:tcBorders>
              <w:top w:val="single" w:sz="0" w:space="0" w:color="000000"/>
            </w:tcBorders>
          </w:tcPr>
          <w:p>
            <w:pPr/>
          </w:p>
        </w:tc>
        <w:tc>
          <w:tcPr>
            <w:tcW w:w="768" w:type="dxa"/>
            <w:tcBorders>
              <w:top w:val="single" w:sz="0" w:space="0" w:color="000000"/>
            </w:tcBorders>
          </w:tcPr>
          <w:p>
            <w:pPr/>
          </w:p>
        </w:tc>
        <w:tc>
          <w:tcPr>
            <w:tcW w:w="516" w:type="dxa"/>
            <w:tcBorders>
              <w:top w:val="single" w:sz="0" w:space="0" w:color="000000"/>
            </w:tcBorders>
          </w:tcPr>
          <w:p>
            <w:pPr/>
          </w:p>
        </w:tc>
        <w:tc>
          <w:tcPr>
            <w:tcW w:w="880" w:type="dxa"/>
            <w:tcBorders>
              <w:top w:val="single" w:sz="0" w:space="0" w:color="000000"/>
            </w:tcBorders>
          </w:tcPr>
          <w:p>
            <w:pPr/>
          </w:p>
        </w:tc>
        <w:tc>
          <w:tcPr>
            <w:tcW w:w="599" w:type="dxa"/>
            <w:tcBorders>
              <w:top w:val="single" w:sz="0" w:space="0" w:color="000000"/>
            </w:tcBorders>
          </w:tcPr>
          <w:p>
            <w:pPr/>
          </w:p>
        </w:tc>
        <w:tc>
          <w:tcPr>
            <w:tcW w:w="768" w:type="dxa"/>
            <w:tcBorders>
              <w:top w:val="single" w:sz="0" w:space="0" w:color="000000"/>
            </w:tcBorders>
          </w:tcPr>
          <w:p>
            <w:pPr/>
          </w:p>
        </w:tc>
        <w:tc>
          <w:tcPr>
            <w:tcW w:w="516" w:type="dxa"/>
            <w:tcBorders>
              <w:top w:val="single" w:sz="0" w:space="0" w:color="000000"/>
            </w:tcBorders>
          </w:tcPr>
          <w:p>
            <w:pPr/>
          </w:p>
        </w:tc>
        <w:tc>
          <w:tcPr>
            <w:tcW w:w="795" w:type="dxa"/>
            <w:tcBorders>
              <w:top w:val="single" w:sz="0" w:space="0" w:color="000000"/>
            </w:tcBorders>
          </w:tcPr>
          <w:p>
            <w:pPr/>
          </w:p>
        </w:tc>
      </w:tr>
      <w:tr>
        <w:trPr>
          <w:trHeight w:val="250" w:hRule="exact"/>
        </w:trPr>
        <w:tc>
          <w:tcPr>
            <w:tcW w:w="3459" w:type="dxa"/>
          </w:tcPr>
          <w:p>
            <w:pPr>
              <w:pStyle w:val="TableParagraph"/>
              <w:spacing w:before="6"/>
              <w:ind w:left="35"/>
              <w:rPr>
                <w:sz w:val="18"/>
              </w:rPr>
            </w:pPr>
            <w:r>
              <w:rPr>
                <w:sz w:val="18"/>
              </w:rPr>
              <w:t>Balance 1 January</w:t>
            </w:r>
          </w:p>
        </w:tc>
        <w:tc>
          <w:tcPr>
            <w:tcW w:w="685" w:type="dxa"/>
          </w:tcPr>
          <w:p>
            <w:pPr/>
          </w:p>
        </w:tc>
        <w:tc>
          <w:tcPr>
            <w:tcW w:w="768" w:type="dxa"/>
          </w:tcPr>
          <w:p>
            <w:pPr>
              <w:pStyle w:val="TableParagraph"/>
              <w:spacing w:before="4"/>
              <w:ind w:right="11"/>
              <w:jc w:val="right"/>
              <w:rPr>
                <w:b/>
                <w:sz w:val="18"/>
              </w:rPr>
            </w:pPr>
            <w:r>
              <w:rPr>
                <w:b/>
                <w:w w:val="95"/>
                <w:sz w:val="18"/>
              </w:rPr>
              <w:t>(10,115)</w:t>
            </w:r>
          </w:p>
        </w:tc>
        <w:tc>
          <w:tcPr>
            <w:tcW w:w="516" w:type="dxa"/>
          </w:tcPr>
          <w:p>
            <w:pPr/>
          </w:p>
        </w:tc>
        <w:tc>
          <w:tcPr>
            <w:tcW w:w="880" w:type="dxa"/>
          </w:tcPr>
          <w:p>
            <w:pPr>
              <w:pStyle w:val="TableParagraph"/>
              <w:spacing w:before="4"/>
              <w:ind w:right="109"/>
              <w:jc w:val="right"/>
              <w:rPr>
                <w:sz w:val="18"/>
              </w:rPr>
            </w:pPr>
            <w:r>
              <w:rPr>
                <w:w w:val="95"/>
                <w:sz w:val="18"/>
              </w:rPr>
              <w:t>(5,242)</w:t>
            </w:r>
          </w:p>
        </w:tc>
        <w:tc>
          <w:tcPr>
            <w:tcW w:w="599" w:type="dxa"/>
          </w:tcPr>
          <w:p>
            <w:pPr/>
          </w:p>
        </w:tc>
        <w:tc>
          <w:tcPr>
            <w:tcW w:w="768" w:type="dxa"/>
          </w:tcPr>
          <w:p>
            <w:pPr>
              <w:pStyle w:val="TableParagraph"/>
              <w:spacing w:before="4"/>
              <w:ind w:right="11"/>
              <w:jc w:val="right"/>
              <w:rPr>
                <w:b/>
                <w:sz w:val="18"/>
              </w:rPr>
            </w:pPr>
            <w:r>
              <w:rPr>
                <w:b/>
                <w:w w:val="95"/>
                <w:sz w:val="18"/>
              </w:rPr>
              <w:t>(10,115)</w:t>
            </w:r>
          </w:p>
        </w:tc>
        <w:tc>
          <w:tcPr>
            <w:tcW w:w="516" w:type="dxa"/>
          </w:tcPr>
          <w:p>
            <w:pPr/>
          </w:p>
        </w:tc>
        <w:tc>
          <w:tcPr>
            <w:tcW w:w="795" w:type="dxa"/>
          </w:tcPr>
          <w:p>
            <w:pPr>
              <w:pStyle w:val="TableParagraph"/>
              <w:spacing w:before="4"/>
              <w:ind w:right="24"/>
              <w:jc w:val="right"/>
              <w:rPr>
                <w:sz w:val="18"/>
              </w:rPr>
            </w:pPr>
            <w:r>
              <w:rPr>
                <w:w w:val="95"/>
                <w:sz w:val="18"/>
              </w:rPr>
              <w:t>(5,242)</w:t>
            </w:r>
          </w:p>
        </w:tc>
      </w:tr>
      <w:tr>
        <w:trPr>
          <w:trHeight w:val="262" w:hRule="exact"/>
        </w:trPr>
        <w:tc>
          <w:tcPr>
            <w:tcW w:w="3459" w:type="dxa"/>
          </w:tcPr>
          <w:p>
            <w:pPr>
              <w:pStyle w:val="TableParagraph"/>
              <w:spacing w:before="19"/>
              <w:ind w:left="35"/>
              <w:rPr>
                <w:sz w:val="18"/>
              </w:rPr>
            </w:pPr>
            <w:r>
              <w:rPr>
                <w:sz w:val="18"/>
              </w:rPr>
              <w:t>Revaluation - gross</w:t>
            </w:r>
          </w:p>
        </w:tc>
        <w:tc>
          <w:tcPr>
            <w:tcW w:w="685" w:type="dxa"/>
            <w:tcBorders>
              <w:bottom w:val="single" w:sz="0" w:space="0" w:color="000000"/>
            </w:tcBorders>
          </w:tcPr>
          <w:p>
            <w:pPr/>
          </w:p>
        </w:tc>
        <w:tc>
          <w:tcPr>
            <w:tcW w:w="768" w:type="dxa"/>
            <w:tcBorders>
              <w:bottom w:val="single" w:sz="0" w:space="0" w:color="000000"/>
            </w:tcBorders>
          </w:tcPr>
          <w:p>
            <w:pPr>
              <w:pStyle w:val="TableParagraph"/>
              <w:spacing w:before="18"/>
              <w:ind w:right="71"/>
              <w:jc w:val="right"/>
              <w:rPr>
                <w:b/>
                <w:sz w:val="18"/>
              </w:rPr>
            </w:pPr>
            <w:r>
              <w:rPr>
                <w:b/>
                <w:w w:val="95"/>
                <w:sz w:val="18"/>
              </w:rPr>
              <w:t>12,018</w:t>
            </w:r>
          </w:p>
        </w:tc>
        <w:tc>
          <w:tcPr>
            <w:tcW w:w="516" w:type="dxa"/>
            <w:tcBorders>
              <w:bottom w:val="single" w:sz="0" w:space="0" w:color="000000"/>
            </w:tcBorders>
          </w:tcPr>
          <w:p>
            <w:pPr/>
          </w:p>
        </w:tc>
        <w:tc>
          <w:tcPr>
            <w:tcW w:w="880" w:type="dxa"/>
            <w:tcBorders>
              <w:bottom w:val="single" w:sz="0" w:space="0" w:color="000000"/>
            </w:tcBorders>
          </w:tcPr>
          <w:p>
            <w:pPr>
              <w:pStyle w:val="TableParagraph"/>
              <w:spacing w:before="18"/>
              <w:ind w:right="109"/>
              <w:jc w:val="right"/>
              <w:rPr>
                <w:sz w:val="18"/>
              </w:rPr>
            </w:pPr>
            <w:r>
              <w:rPr>
                <w:w w:val="95"/>
                <w:sz w:val="18"/>
              </w:rPr>
              <w:t>(4,873)</w:t>
            </w:r>
          </w:p>
        </w:tc>
        <w:tc>
          <w:tcPr>
            <w:tcW w:w="599" w:type="dxa"/>
            <w:tcBorders>
              <w:bottom w:val="single" w:sz="0" w:space="0" w:color="000000"/>
            </w:tcBorders>
          </w:tcPr>
          <w:p>
            <w:pPr/>
          </w:p>
        </w:tc>
        <w:tc>
          <w:tcPr>
            <w:tcW w:w="768" w:type="dxa"/>
            <w:tcBorders>
              <w:bottom w:val="single" w:sz="0" w:space="0" w:color="000000"/>
            </w:tcBorders>
          </w:tcPr>
          <w:p>
            <w:pPr>
              <w:pStyle w:val="TableParagraph"/>
              <w:spacing w:before="18"/>
              <w:ind w:right="71"/>
              <w:jc w:val="right"/>
              <w:rPr>
                <w:b/>
                <w:sz w:val="18"/>
              </w:rPr>
            </w:pPr>
            <w:r>
              <w:rPr>
                <w:b/>
                <w:w w:val="95"/>
                <w:sz w:val="18"/>
              </w:rPr>
              <w:t>10,746</w:t>
            </w:r>
          </w:p>
        </w:tc>
        <w:tc>
          <w:tcPr>
            <w:tcW w:w="516" w:type="dxa"/>
            <w:tcBorders>
              <w:bottom w:val="single" w:sz="0" w:space="0" w:color="000000"/>
            </w:tcBorders>
          </w:tcPr>
          <w:p>
            <w:pPr/>
          </w:p>
        </w:tc>
        <w:tc>
          <w:tcPr>
            <w:tcW w:w="795" w:type="dxa"/>
            <w:tcBorders>
              <w:bottom w:val="single" w:sz="0" w:space="0" w:color="000000"/>
            </w:tcBorders>
          </w:tcPr>
          <w:p>
            <w:pPr>
              <w:pStyle w:val="TableParagraph"/>
              <w:spacing w:before="18"/>
              <w:ind w:right="24"/>
              <w:jc w:val="right"/>
              <w:rPr>
                <w:sz w:val="18"/>
              </w:rPr>
            </w:pPr>
            <w:r>
              <w:rPr>
                <w:w w:val="95"/>
                <w:sz w:val="18"/>
              </w:rPr>
              <w:t>(4,873)</w:t>
            </w:r>
          </w:p>
        </w:tc>
      </w:tr>
      <w:tr>
        <w:trPr>
          <w:trHeight w:val="338" w:hRule="exact"/>
        </w:trPr>
        <w:tc>
          <w:tcPr>
            <w:tcW w:w="3459" w:type="dxa"/>
          </w:tcPr>
          <w:p>
            <w:pPr>
              <w:pStyle w:val="TableParagraph"/>
              <w:spacing w:before="123"/>
              <w:ind w:left="35"/>
              <w:rPr>
                <w:b/>
                <w:sz w:val="18"/>
              </w:rPr>
            </w:pPr>
            <w:r>
              <w:rPr>
                <w:b/>
                <w:sz w:val="18"/>
              </w:rPr>
              <w:t>Balance at 31 December</w:t>
            </w:r>
          </w:p>
        </w:tc>
        <w:tc>
          <w:tcPr>
            <w:tcW w:w="685" w:type="dxa"/>
            <w:tcBorders>
              <w:top w:val="single" w:sz="0" w:space="0" w:color="000000"/>
              <w:bottom w:val="single" w:sz="0" w:space="0" w:color="000000"/>
            </w:tcBorders>
          </w:tcPr>
          <w:p>
            <w:pPr/>
          </w:p>
        </w:tc>
        <w:tc>
          <w:tcPr>
            <w:tcW w:w="768" w:type="dxa"/>
            <w:tcBorders>
              <w:top w:val="single" w:sz="0" w:space="0" w:color="000000"/>
              <w:bottom w:val="single" w:sz="0" w:space="0" w:color="000000"/>
            </w:tcBorders>
          </w:tcPr>
          <w:p>
            <w:pPr>
              <w:pStyle w:val="TableParagraph"/>
              <w:spacing w:before="122"/>
              <w:ind w:right="71"/>
              <w:jc w:val="right"/>
              <w:rPr>
                <w:b/>
                <w:sz w:val="18"/>
              </w:rPr>
            </w:pPr>
            <w:r>
              <w:rPr>
                <w:b/>
                <w:w w:val="95"/>
                <w:sz w:val="18"/>
              </w:rPr>
              <w:t>1,903</w:t>
            </w:r>
          </w:p>
        </w:tc>
        <w:tc>
          <w:tcPr>
            <w:tcW w:w="516" w:type="dxa"/>
            <w:tcBorders>
              <w:top w:val="single" w:sz="0" w:space="0" w:color="000000"/>
              <w:bottom w:val="single" w:sz="0" w:space="0" w:color="000000"/>
            </w:tcBorders>
          </w:tcPr>
          <w:p>
            <w:pPr/>
          </w:p>
        </w:tc>
        <w:tc>
          <w:tcPr>
            <w:tcW w:w="880" w:type="dxa"/>
            <w:tcBorders>
              <w:top w:val="single" w:sz="0" w:space="0" w:color="000000"/>
              <w:bottom w:val="single" w:sz="0" w:space="0" w:color="000000"/>
            </w:tcBorders>
          </w:tcPr>
          <w:p>
            <w:pPr>
              <w:pStyle w:val="TableParagraph"/>
              <w:spacing w:before="122"/>
              <w:ind w:left="98"/>
              <w:rPr>
                <w:sz w:val="18"/>
              </w:rPr>
            </w:pPr>
            <w:r>
              <w:rPr>
                <w:sz w:val="18"/>
              </w:rPr>
              <w:t>(10,115)</w:t>
            </w:r>
          </w:p>
        </w:tc>
        <w:tc>
          <w:tcPr>
            <w:tcW w:w="599" w:type="dxa"/>
            <w:tcBorders>
              <w:top w:val="single" w:sz="0" w:space="0" w:color="000000"/>
              <w:bottom w:val="single" w:sz="0" w:space="0" w:color="000000"/>
            </w:tcBorders>
          </w:tcPr>
          <w:p>
            <w:pPr/>
          </w:p>
        </w:tc>
        <w:tc>
          <w:tcPr>
            <w:tcW w:w="768" w:type="dxa"/>
            <w:tcBorders>
              <w:top w:val="single" w:sz="0" w:space="0" w:color="000000"/>
              <w:bottom w:val="single" w:sz="0" w:space="0" w:color="000000"/>
            </w:tcBorders>
          </w:tcPr>
          <w:p>
            <w:pPr>
              <w:pStyle w:val="TableParagraph"/>
              <w:spacing w:before="122"/>
              <w:ind w:right="71"/>
              <w:jc w:val="right"/>
              <w:rPr>
                <w:b/>
                <w:sz w:val="18"/>
              </w:rPr>
            </w:pPr>
            <w:r>
              <w:rPr>
                <w:b/>
                <w:w w:val="95"/>
                <w:sz w:val="18"/>
              </w:rPr>
              <w:t>631</w:t>
            </w:r>
          </w:p>
        </w:tc>
        <w:tc>
          <w:tcPr>
            <w:tcW w:w="516" w:type="dxa"/>
            <w:tcBorders>
              <w:top w:val="single" w:sz="0" w:space="0" w:color="000000"/>
              <w:bottom w:val="single" w:sz="0" w:space="0" w:color="000000"/>
            </w:tcBorders>
          </w:tcPr>
          <w:p>
            <w:pPr/>
          </w:p>
        </w:tc>
        <w:tc>
          <w:tcPr>
            <w:tcW w:w="795" w:type="dxa"/>
            <w:tcBorders>
              <w:top w:val="single" w:sz="0" w:space="0" w:color="000000"/>
              <w:bottom w:val="single" w:sz="0" w:space="0" w:color="000000"/>
            </w:tcBorders>
          </w:tcPr>
          <w:p>
            <w:pPr>
              <w:pStyle w:val="TableParagraph"/>
              <w:spacing w:before="122"/>
              <w:ind w:left="98"/>
              <w:rPr>
                <w:sz w:val="18"/>
              </w:rPr>
            </w:pPr>
            <w:r>
              <w:rPr>
                <w:sz w:val="18"/>
              </w:rPr>
              <w:t>(10,115)</w:t>
            </w:r>
          </w:p>
        </w:tc>
      </w:tr>
      <w:tr>
        <w:trPr>
          <w:trHeight w:val="354" w:hRule="exact"/>
        </w:trPr>
        <w:tc>
          <w:tcPr>
            <w:tcW w:w="3459" w:type="dxa"/>
          </w:tcPr>
          <w:p>
            <w:pPr>
              <w:pStyle w:val="TableParagraph"/>
              <w:spacing w:before="123"/>
              <w:ind w:left="35"/>
              <w:rPr>
                <w:b/>
                <w:sz w:val="18"/>
              </w:rPr>
            </w:pPr>
            <w:r>
              <w:rPr>
                <w:b/>
                <w:sz w:val="18"/>
              </w:rPr>
              <w:t>Art work revaluation reserve</w:t>
            </w:r>
          </w:p>
        </w:tc>
        <w:tc>
          <w:tcPr>
            <w:tcW w:w="685" w:type="dxa"/>
            <w:tcBorders>
              <w:top w:val="single" w:sz="0" w:space="0" w:color="000000"/>
            </w:tcBorders>
          </w:tcPr>
          <w:p>
            <w:pPr/>
          </w:p>
        </w:tc>
        <w:tc>
          <w:tcPr>
            <w:tcW w:w="768" w:type="dxa"/>
            <w:tcBorders>
              <w:top w:val="single" w:sz="0" w:space="0" w:color="000000"/>
            </w:tcBorders>
          </w:tcPr>
          <w:p>
            <w:pPr/>
          </w:p>
        </w:tc>
        <w:tc>
          <w:tcPr>
            <w:tcW w:w="516" w:type="dxa"/>
            <w:tcBorders>
              <w:top w:val="single" w:sz="0" w:space="0" w:color="000000"/>
            </w:tcBorders>
          </w:tcPr>
          <w:p>
            <w:pPr/>
          </w:p>
        </w:tc>
        <w:tc>
          <w:tcPr>
            <w:tcW w:w="880" w:type="dxa"/>
            <w:tcBorders>
              <w:top w:val="single" w:sz="0" w:space="0" w:color="000000"/>
            </w:tcBorders>
          </w:tcPr>
          <w:p>
            <w:pPr/>
          </w:p>
        </w:tc>
        <w:tc>
          <w:tcPr>
            <w:tcW w:w="599" w:type="dxa"/>
            <w:tcBorders>
              <w:top w:val="single" w:sz="0" w:space="0" w:color="000000"/>
            </w:tcBorders>
          </w:tcPr>
          <w:p>
            <w:pPr/>
          </w:p>
        </w:tc>
        <w:tc>
          <w:tcPr>
            <w:tcW w:w="768" w:type="dxa"/>
            <w:tcBorders>
              <w:top w:val="single" w:sz="0" w:space="0" w:color="000000"/>
            </w:tcBorders>
          </w:tcPr>
          <w:p>
            <w:pPr/>
          </w:p>
        </w:tc>
        <w:tc>
          <w:tcPr>
            <w:tcW w:w="516" w:type="dxa"/>
            <w:tcBorders>
              <w:top w:val="single" w:sz="0" w:space="0" w:color="000000"/>
            </w:tcBorders>
          </w:tcPr>
          <w:p>
            <w:pPr/>
          </w:p>
        </w:tc>
        <w:tc>
          <w:tcPr>
            <w:tcW w:w="795" w:type="dxa"/>
            <w:tcBorders>
              <w:top w:val="single" w:sz="0" w:space="0" w:color="000000"/>
            </w:tcBorders>
          </w:tcPr>
          <w:p>
            <w:pPr/>
          </w:p>
        </w:tc>
      </w:tr>
      <w:tr>
        <w:trPr>
          <w:trHeight w:val="250" w:hRule="exact"/>
        </w:trPr>
        <w:tc>
          <w:tcPr>
            <w:tcW w:w="3459" w:type="dxa"/>
          </w:tcPr>
          <w:p>
            <w:pPr>
              <w:pStyle w:val="TableParagraph"/>
              <w:spacing w:before="6"/>
              <w:ind w:left="35"/>
              <w:rPr>
                <w:sz w:val="18"/>
              </w:rPr>
            </w:pPr>
            <w:r>
              <w:rPr>
                <w:sz w:val="18"/>
              </w:rPr>
              <w:t>Balance 1 January</w:t>
            </w:r>
          </w:p>
        </w:tc>
        <w:tc>
          <w:tcPr>
            <w:tcW w:w="685" w:type="dxa"/>
          </w:tcPr>
          <w:p>
            <w:pPr/>
          </w:p>
        </w:tc>
        <w:tc>
          <w:tcPr>
            <w:tcW w:w="768" w:type="dxa"/>
          </w:tcPr>
          <w:p>
            <w:pPr>
              <w:pStyle w:val="TableParagraph"/>
              <w:spacing w:before="4"/>
              <w:ind w:right="71"/>
              <w:jc w:val="right"/>
              <w:rPr>
                <w:b/>
                <w:sz w:val="18"/>
              </w:rPr>
            </w:pPr>
            <w:r>
              <w:rPr>
                <w:b/>
                <w:w w:val="95"/>
                <w:sz w:val="18"/>
              </w:rPr>
              <w:t>1,601</w:t>
            </w:r>
          </w:p>
        </w:tc>
        <w:tc>
          <w:tcPr>
            <w:tcW w:w="516" w:type="dxa"/>
          </w:tcPr>
          <w:p>
            <w:pPr/>
          </w:p>
        </w:tc>
        <w:tc>
          <w:tcPr>
            <w:tcW w:w="880" w:type="dxa"/>
          </w:tcPr>
          <w:p>
            <w:pPr>
              <w:pStyle w:val="TableParagraph"/>
              <w:spacing w:before="4"/>
              <w:ind w:left="258"/>
              <w:rPr>
                <w:sz w:val="18"/>
              </w:rPr>
            </w:pPr>
            <w:r>
              <w:rPr>
                <w:sz w:val="18"/>
              </w:rPr>
              <w:t>1,614</w:t>
            </w:r>
          </w:p>
        </w:tc>
        <w:tc>
          <w:tcPr>
            <w:tcW w:w="599" w:type="dxa"/>
          </w:tcPr>
          <w:p>
            <w:pPr/>
          </w:p>
        </w:tc>
        <w:tc>
          <w:tcPr>
            <w:tcW w:w="768" w:type="dxa"/>
          </w:tcPr>
          <w:p>
            <w:pPr>
              <w:pStyle w:val="TableParagraph"/>
              <w:spacing w:before="4"/>
              <w:ind w:right="71"/>
              <w:jc w:val="right"/>
              <w:rPr>
                <w:b/>
                <w:sz w:val="18"/>
              </w:rPr>
            </w:pPr>
            <w:r>
              <w:rPr>
                <w:b/>
                <w:w w:val="95"/>
                <w:sz w:val="18"/>
              </w:rPr>
              <w:t>1,601</w:t>
            </w:r>
          </w:p>
        </w:tc>
        <w:tc>
          <w:tcPr>
            <w:tcW w:w="516" w:type="dxa"/>
          </w:tcPr>
          <w:p>
            <w:pPr/>
          </w:p>
        </w:tc>
        <w:tc>
          <w:tcPr>
            <w:tcW w:w="795" w:type="dxa"/>
          </w:tcPr>
          <w:p>
            <w:pPr>
              <w:pStyle w:val="TableParagraph"/>
              <w:spacing w:before="4"/>
              <w:ind w:left="258"/>
              <w:rPr>
                <w:sz w:val="18"/>
              </w:rPr>
            </w:pPr>
            <w:r>
              <w:rPr>
                <w:sz w:val="18"/>
              </w:rPr>
              <w:t>1,614</w:t>
            </w:r>
          </w:p>
        </w:tc>
      </w:tr>
      <w:tr>
        <w:trPr>
          <w:trHeight w:val="262" w:hRule="exact"/>
        </w:trPr>
        <w:tc>
          <w:tcPr>
            <w:tcW w:w="3459" w:type="dxa"/>
          </w:tcPr>
          <w:p>
            <w:pPr>
              <w:pStyle w:val="TableParagraph"/>
              <w:spacing w:before="19"/>
              <w:ind w:left="35"/>
              <w:rPr>
                <w:sz w:val="18"/>
              </w:rPr>
            </w:pPr>
            <w:r>
              <w:rPr>
                <w:sz w:val="18"/>
              </w:rPr>
              <w:t>Revaluation - gross</w:t>
            </w:r>
          </w:p>
        </w:tc>
        <w:tc>
          <w:tcPr>
            <w:tcW w:w="685" w:type="dxa"/>
            <w:tcBorders>
              <w:bottom w:val="single" w:sz="0" w:space="0" w:color="000000"/>
            </w:tcBorders>
          </w:tcPr>
          <w:p>
            <w:pPr/>
          </w:p>
        </w:tc>
        <w:tc>
          <w:tcPr>
            <w:tcW w:w="768" w:type="dxa"/>
            <w:tcBorders>
              <w:bottom w:val="single" w:sz="0" w:space="0" w:color="000000"/>
            </w:tcBorders>
          </w:tcPr>
          <w:p>
            <w:pPr>
              <w:pStyle w:val="TableParagraph"/>
              <w:spacing w:before="18"/>
              <w:ind w:right="73"/>
              <w:jc w:val="right"/>
              <w:rPr>
                <w:b/>
                <w:sz w:val="18"/>
              </w:rPr>
            </w:pPr>
            <w:r>
              <w:rPr>
                <w:b/>
                <w:w w:val="99"/>
                <w:sz w:val="18"/>
              </w:rPr>
              <w:t>-</w:t>
            </w:r>
          </w:p>
        </w:tc>
        <w:tc>
          <w:tcPr>
            <w:tcW w:w="516" w:type="dxa"/>
            <w:tcBorders>
              <w:bottom w:val="single" w:sz="0" w:space="0" w:color="000000"/>
            </w:tcBorders>
          </w:tcPr>
          <w:p>
            <w:pPr/>
          </w:p>
        </w:tc>
        <w:tc>
          <w:tcPr>
            <w:tcW w:w="880" w:type="dxa"/>
            <w:tcBorders>
              <w:bottom w:val="single" w:sz="0" w:space="0" w:color="000000"/>
            </w:tcBorders>
          </w:tcPr>
          <w:p>
            <w:pPr>
              <w:pStyle w:val="TableParagraph"/>
              <w:spacing w:before="18"/>
              <w:ind w:right="110"/>
              <w:jc w:val="right"/>
              <w:rPr>
                <w:sz w:val="18"/>
              </w:rPr>
            </w:pPr>
            <w:r>
              <w:rPr>
                <w:w w:val="95"/>
                <w:sz w:val="18"/>
              </w:rPr>
              <w:t>(13)</w:t>
            </w:r>
          </w:p>
        </w:tc>
        <w:tc>
          <w:tcPr>
            <w:tcW w:w="599" w:type="dxa"/>
            <w:tcBorders>
              <w:bottom w:val="single" w:sz="0" w:space="0" w:color="000000"/>
            </w:tcBorders>
          </w:tcPr>
          <w:p>
            <w:pPr/>
          </w:p>
        </w:tc>
        <w:tc>
          <w:tcPr>
            <w:tcW w:w="768" w:type="dxa"/>
            <w:tcBorders>
              <w:bottom w:val="single" w:sz="0" w:space="0" w:color="000000"/>
            </w:tcBorders>
          </w:tcPr>
          <w:p>
            <w:pPr>
              <w:pStyle w:val="TableParagraph"/>
              <w:spacing w:before="18"/>
              <w:ind w:right="73"/>
              <w:jc w:val="right"/>
              <w:rPr>
                <w:b/>
                <w:sz w:val="18"/>
              </w:rPr>
            </w:pPr>
            <w:r>
              <w:rPr>
                <w:b/>
                <w:w w:val="99"/>
                <w:sz w:val="18"/>
              </w:rPr>
              <w:t>-</w:t>
            </w:r>
          </w:p>
        </w:tc>
        <w:tc>
          <w:tcPr>
            <w:tcW w:w="516" w:type="dxa"/>
            <w:tcBorders>
              <w:bottom w:val="single" w:sz="0" w:space="0" w:color="000000"/>
            </w:tcBorders>
          </w:tcPr>
          <w:p>
            <w:pPr/>
          </w:p>
        </w:tc>
        <w:tc>
          <w:tcPr>
            <w:tcW w:w="795" w:type="dxa"/>
            <w:tcBorders>
              <w:bottom w:val="single" w:sz="0" w:space="0" w:color="000000"/>
            </w:tcBorders>
          </w:tcPr>
          <w:p>
            <w:pPr>
              <w:pStyle w:val="TableParagraph"/>
              <w:spacing w:before="18"/>
              <w:ind w:right="24"/>
              <w:jc w:val="right"/>
              <w:rPr>
                <w:sz w:val="18"/>
              </w:rPr>
            </w:pPr>
            <w:r>
              <w:rPr>
                <w:w w:val="95"/>
                <w:sz w:val="18"/>
              </w:rPr>
              <w:t>(13)</w:t>
            </w:r>
          </w:p>
        </w:tc>
      </w:tr>
      <w:tr>
        <w:trPr>
          <w:trHeight w:val="338" w:hRule="exact"/>
        </w:trPr>
        <w:tc>
          <w:tcPr>
            <w:tcW w:w="3459" w:type="dxa"/>
          </w:tcPr>
          <w:p>
            <w:pPr>
              <w:pStyle w:val="TableParagraph"/>
              <w:spacing w:before="123"/>
              <w:ind w:left="35"/>
              <w:rPr>
                <w:b/>
                <w:sz w:val="18"/>
              </w:rPr>
            </w:pPr>
            <w:r>
              <w:rPr>
                <w:b/>
                <w:sz w:val="18"/>
              </w:rPr>
              <w:t>Balance at 31 December</w:t>
            </w:r>
          </w:p>
        </w:tc>
        <w:tc>
          <w:tcPr>
            <w:tcW w:w="685" w:type="dxa"/>
            <w:tcBorders>
              <w:top w:val="single" w:sz="0" w:space="0" w:color="000000"/>
              <w:bottom w:val="single" w:sz="0" w:space="0" w:color="000000"/>
            </w:tcBorders>
          </w:tcPr>
          <w:p>
            <w:pPr/>
          </w:p>
        </w:tc>
        <w:tc>
          <w:tcPr>
            <w:tcW w:w="768" w:type="dxa"/>
            <w:tcBorders>
              <w:top w:val="single" w:sz="0" w:space="0" w:color="000000"/>
              <w:bottom w:val="single" w:sz="0" w:space="0" w:color="000000"/>
            </w:tcBorders>
          </w:tcPr>
          <w:p>
            <w:pPr>
              <w:pStyle w:val="TableParagraph"/>
              <w:spacing w:before="122"/>
              <w:ind w:right="71"/>
              <w:jc w:val="right"/>
              <w:rPr>
                <w:b/>
                <w:sz w:val="18"/>
              </w:rPr>
            </w:pPr>
            <w:r>
              <w:rPr>
                <w:b/>
                <w:w w:val="95"/>
                <w:sz w:val="18"/>
              </w:rPr>
              <w:t>1,601</w:t>
            </w:r>
          </w:p>
        </w:tc>
        <w:tc>
          <w:tcPr>
            <w:tcW w:w="516" w:type="dxa"/>
            <w:tcBorders>
              <w:top w:val="single" w:sz="0" w:space="0" w:color="000000"/>
              <w:bottom w:val="single" w:sz="0" w:space="0" w:color="000000"/>
            </w:tcBorders>
          </w:tcPr>
          <w:p>
            <w:pPr/>
          </w:p>
        </w:tc>
        <w:tc>
          <w:tcPr>
            <w:tcW w:w="880" w:type="dxa"/>
            <w:tcBorders>
              <w:top w:val="single" w:sz="0" w:space="0" w:color="000000"/>
              <w:bottom w:val="single" w:sz="0" w:space="0" w:color="000000"/>
            </w:tcBorders>
          </w:tcPr>
          <w:p>
            <w:pPr>
              <w:pStyle w:val="TableParagraph"/>
              <w:spacing w:before="122"/>
              <w:ind w:left="258"/>
              <w:rPr>
                <w:sz w:val="18"/>
              </w:rPr>
            </w:pPr>
            <w:r>
              <w:rPr>
                <w:sz w:val="18"/>
              </w:rPr>
              <w:t>1,601</w:t>
            </w:r>
          </w:p>
        </w:tc>
        <w:tc>
          <w:tcPr>
            <w:tcW w:w="599" w:type="dxa"/>
            <w:tcBorders>
              <w:top w:val="single" w:sz="0" w:space="0" w:color="000000"/>
              <w:bottom w:val="single" w:sz="0" w:space="0" w:color="000000"/>
            </w:tcBorders>
          </w:tcPr>
          <w:p>
            <w:pPr/>
          </w:p>
        </w:tc>
        <w:tc>
          <w:tcPr>
            <w:tcW w:w="768" w:type="dxa"/>
            <w:tcBorders>
              <w:top w:val="single" w:sz="0" w:space="0" w:color="000000"/>
              <w:bottom w:val="single" w:sz="0" w:space="0" w:color="000000"/>
            </w:tcBorders>
          </w:tcPr>
          <w:p>
            <w:pPr>
              <w:pStyle w:val="TableParagraph"/>
              <w:spacing w:before="122"/>
              <w:ind w:right="71"/>
              <w:jc w:val="right"/>
              <w:rPr>
                <w:b/>
                <w:sz w:val="18"/>
              </w:rPr>
            </w:pPr>
            <w:r>
              <w:rPr>
                <w:b/>
                <w:w w:val="95"/>
                <w:sz w:val="18"/>
              </w:rPr>
              <w:t>1,601</w:t>
            </w:r>
          </w:p>
        </w:tc>
        <w:tc>
          <w:tcPr>
            <w:tcW w:w="516" w:type="dxa"/>
            <w:tcBorders>
              <w:top w:val="single" w:sz="0" w:space="0" w:color="000000"/>
              <w:bottom w:val="single" w:sz="0" w:space="0" w:color="000000"/>
            </w:tcBorders>
          </w:tcPr>
          <w:p>
            <w:pPr/>
          </w:p>
        </w:tc>
        <w:tc>
          <w:tcPr>
            <w:tcW w:w="795" w:type="dxa"/>
            <w:tcBorders>
              <w:top w:val="single" w:sz="0" w:space="0" w:color="000000"/>
              <w:bottom w:val="single" w:sz="0" w:space="0" w:color="000000"/>
            </w:tcBorders>
          </w:tcPr>
          <w:p>
            <w:pPr>
              <w:pStyle w:val="TableParagraph"/>
              <w:spacing w:before="122"/>
              <w:ind w:left="258"/>
              <w:rPr>
                <w:sz w:val="18"/>
              </w:rPr>
            </w:pPr>
            <w:r>
              <w:rPr>
                <w:sz w:val="18"/>
              </w:rPr>
              <w:t>1,601</w:t>
            </w:r>
          </w:p>
        </w:tc>
      </w:tr>
      <w:tr>
        <w:trPr>
          <w:trHeight w:val="354" w:hRule="exact"/>
        </w:trPr>
        <w:tc>
          <w:tcPr>
            <w:tcW w:w="3459" w:type="dxa"/>
          </w:tcPr>
          <w:p>
            <w:pPr>
              <w:pStyle w:val="TableParagraph"/>
              <w:spacing w:before="123"/>
              <w:ind w:left="35"/>
              <w:rPr>
                <w:b/>
                <w:sz w:val="18"/>
              </w:rPr>
            </w:pPr>
            <w:r>
              <w:rPr>
                <w:b/>
                <w:sz w:val="18"/>
              </w:rPr>
              <w:t>Livestock revaluation reserve</w:t>
            </w:r>
          </w:p>
        </w:tc>
        <w:tc>
          <w:tcPr>
            <w:tcW w:w="685" w:type="dxa"/>
            <w:tcBorders>
              <w:top w:val="single" w:sz="0" w:space="0" w:color="000000"/>
            </w:tcBorders>
          </w:tcPr>
          <w:p>
            <w:pPr/>
          </w:p>
        </w:tc>
        <w:tc>
          <w:tcPr>
            <w:tcW w:w="768" w:type="dxa"/>
            <w:tcBorders>
              <w:top w:val="single" w:sz="0" w:space="0" w:color="000000"/>
            </w:tcBorders>
          </w:tcPr>
          <w:p>
            <w:pPr/>
          </w:p>
        </w:tc>
        <w:tc>
          <w:tcPr>
            <w:tcW w:w="516" w:type="dxa"/>
            <w:tcBorders>
              <w:top w:val="single" w:sz="0" w:space="0" w:color="000000"/>
            </w:tcBorders>
          </w:tcPr>
          <w:p>
            <w:pPr/>
          </w:p>
        </w:tc>
        <w:tc>
          <w:tcPr>
            <w:tcW w:w="880" w:type="dxa"/>
            <w:tcBorders>
              <w:top w:val="single" w:sz="0" w:space="0" w:color="000000"/>
            </w:tcBorders>
          </w:tcPr>
          <w:p>
            <w:pPr/>
          </w:p>
        </w:tc>
        <w:tc>
          <w:tcPr>
            <w:tcW w:w="599" w:type="dxa"/>
            <w:tcBorders>
              <w:top w:val="single" w:sz="0" w:space="0" w:color="000000"/>
            </w:tcBorders>
          </w:tcPr>
          <w:p>
            <w:pPr/>
          </w:p>
        </w:tc>
        <w:tc>
          <w:tcPr>
            <w:tcW w:w="768" w:type="dxa"/>
            <w:tcBorders>
              <w:top w:val="single" w:sz="0" w:space="0" w:color="000000"/>
            </w:tcBorders>
          </w:tcPr>
          <w:p>
            <w:pPr/>
          </w:p>
        </w:tc>
        <w:tc>
          <w:tcPr>
            <w:tcW w:w="516" w:type="dxa"/>
            <w:tcBorders>
              <w:top w:val="single" w:sz="0" w:space="0" w:color="000000"/>
            </w:tcBorders>
          </w:tcPr>
          <w:p>
            <w:pPr/>
          </w:p>
        </w:tc>
        <w:tc>
          <w:tcPr>
            <w:tcW w:w="795" w:type="dxa"/>
            <w:tcBorders>
              <w:top w:val="single" w:sz="0" w:space="0" w:color="000000"/>
            </w:tcBorders>
          </w:tcPr>
          <w:p>
            <w:pPr/>
          </w:p>
        </w:tc>
      </w:tr>
      <w:tr>
        <w:trPr>
          <w:trHeight w:val="250" w:hRule="exact"/>
        </w:trPr>
        <w:tc>
          <w:tcPr>
            <w:tcW w:w="3459" w:type="dxa"/>
          </w:tcPr>
          <w:p>
            <w:pPr>
              <w:pStyle w:val="TableParagraph"/>
              <w:spacing w:before="6"/>
              <w:ind w:left="35"/>
              <w:rPr>
                <w:sz w:val="18"/>
              </w:rPr>
            </w:pPr>
            <w:r>
              <w:rPr>
                <w:sz w:val="18"/>
              </w:rPr>
              <w:t>Balance 1 January</w:t>
            </w:r>
          </w:p>
        </w:tc>
        <w:tc>
          <w:tcPr>
            <w:tcW w:w="685" w:type="dxa"/>
          </w:tcPr>
          <w:p>
            <w:pPr/>
          </w:p>
        </w:tc>
        <w:tc>
          <w:tcPr>
            <w:tcW w:w="768" w:type="dxa"/>
          </w:tcPr>
          <w:p>
            <w:pPr>
              <w:pStyle w:val="TableParagraph"/>
              <w:spacing w:before="4"/>
              <w:ind w:right="71"/>
              <w:jc w:val="right"/>
              <w:rPr>
                <w:b/>
                <w:sz w:val="18"/>
              </w:rPr>
            </w:pPr>
            <w:r>
              <w:rPr>
                <w:b/>
                <w:w w:val="95"/>
                <w:sz w:val="18"/>
              </w:rPr>
              <w:t>291</w:t>
            </w:r>
          </w:p>
        </w:tc>
        <w:tc>
          <w:tcPr>
            <w:tcW w:w="516" w:type="dxa"/>
          </w:tcPr>
          <w:p>
            <w:pPr/>
          </w:p>
        </w:tc>
        <w:tc>
          <w:tcPr>
            <w:tcW w:w="880" w:type="dxa"/>
          </w:tcPr>
          <w:p>
            <w:pPr>
              <w:pStyle w:val="TableParagraph"/>
              <w:spacing w:before="4"/>
              <w:ind w:left="408"/>
              <w:rPr>
                <w:sz w:val="18"/>
              </w:rPr>
            </w:pPr>
            <w:r>
              <w:rPr>
                <w:sz w:val="18"/>
              </w:rPr>
              <w:t>158</w:t>
            </w:r>
          </w:p>
        </w:tc>
        <w:tc>
          <w:tcPr>
            <w:tcW w:w="599" w:type="dxa"/>
          </w:tcPr>
          <w:p>
            <w:pPr/>
          </w:p>
        </w:tc>
        <w:tc>
          <w:tcPr>
            <w:tcW w:w="768" w:type="dxa"/>
          </w:tcPr>
          <w:p>
            <w:pPr>
              <w:pStyle w:val="TableParagraph"/>
              <w:spacing w:before="4"/>
              <w:ind w:right="72"/>
              <w:jc w:val="right"/>
              <w:rPr>
                <w:b/>
                <w:sz w:val="18"/>
              </w:rPr>
            </w:pPr>
            <w:r>
              <w:rPr>
                <w:b/>
                <w:w w:val="95"/>
                <w:sz w:val="18"/>
              </w:rPr>
              <w:t>291</w:t>
            </w:r>
          </w:p>
        </w:tc>
        <w:tc>
          <w:tcPr>
            <w:tcW w:w="516" w:type="dxa"/>
          </w:tcPr>
          <w:p>
            <w:pPr/>
          </w:p>
        </w:tc>
        <w:tc>
          <w:tcPr>
            <w:tcW w:w="795" w:type="dxa"/>
          </w:tcPr>
          <w:p>
            <w:pPr>
              <w:pStyle w:val="TableParagraph"/>
              <w:spacing w:before="4"/>
              <w:ind w:left="408"/>
              <w:rPr>
                <w:sz w:val="18"/>
              </w:rPr>
            </w:pPr>
            <w:r>
              <w:rPr>
                <w:sz w:val="18"/>
              </w:rPr>
              <w:t>158</w:t>
            </w:r>
          </w:p>
        </w:tc>
      </w:tr>
      <w:tr>
        <w:trPr>
          <w:trHeight w:val="262" w:hRule="exact"/>
        </w:trPr>
        <w:tc>
          <w:tcPr>
            <w:tcW w:w="3459" w:type="dxa"/>
          </w:tcPr>
          <w:p>
            <w:pPr>
              <w:pStyle w:val="TableParagraph"/>
              <w:spacing w:before="19"/>
              <w:ind w:left="35"/>
              <w:rPr>
                <w:sz w:val="18"/>
              </w:rPr>
            </w:pPr>
            <w:r>
              <w:rPr>
                <w:sz w:val="18"/>
              </w:rPr>
              <w:t>Revaluation - gross</w:t>
            </w:r>
          </w:p>
        </w:tc>
        <w:tc>
          <w:tcPr>
            <w:tcW w:w="685" w:type="dxa"/>
            <w:tcBorders>
              <w:bottom w:val="single" w:sz="0" w:space="0" w:color="000000"/>
            </w:tcBorders>
          </w:tcPr>
          <w:p>
            <w:pPr/>
          </w:p>
        </w:tc>
        <w:tc>
          <w:tcPr>
            <w:tcW w:w="768" w:type="dxa"/>
            <w:tcBorders>
              <w:bottom w:val="single" w:sz="0" w:space="0" w:color="000000"/>
            </w:tcBorders>
          </w:tcPr>
          <w:p>
            <w:pPr>
              <w:pStyle w:val="TableParagraph"/>
              <w:spacing w:before="18"/>
              <w:ind w:right="12"/>
              <w:jc w:val="right"/>
              <w:rPr>
                <w:b/>
                <w:sz w:val="18"/>
              </w:rPr>
            </w:pPr>
            <w:r>
              <w:rPr>
                <w:b/>
                <w:w w:val="95"/>
                <w:sz w:val="18"/>
              </w:rPr>
              <w:t>(69)</w:t>
            </w:r>
          </w:p>
        </w:tc>
        <w:tc>
          <w:tcPr>
            <w:tcW w:w="516" w:type="dxa"/>
            <w:tcBorders>
              <w:bottom w:val="single" w:sz="0" w:space="0" w:color="000000"/>
            </w:tcBorders>
          </w:tcPr>
          <w:p>
            <w:pPr/>
          </w:p>
        </w:tc>
        <w:tc>
          <w:tcPr>
            <w:tcW w:w="880" w:type="dxa"/>
            <w:tcBorders>
              <w:bottom w:val="single" w:sz="0" w:space="0" w:color="000000"/>
            </w:tcBorders>
          </w:tcPr>
          <w:p>
            <w:pPr>
              <w:pStyle w:val="TableParagraph"/>
              <w:spacing w:before="18"/>
              <w:ind w:left="408"/>
              <w:rPr>
                <w:sz w:val="18"/>
              </w:rPr>
            </w:pPr>
            <w:r>
              <w:rPr>
                <w:sz w:val="18"/>
              </w:rPr>
              <w:t>133</w:t>
            </w:r>
          </w:p>
        </w:tc>
        <w:tc>
          <w:tcPr>
            <w:tcW w:w="599" w:type="dxa"/>
            <w:tcBorders>
              <w:bottom w:val="single" w:sz="0" w:space="0" w:color="000000"/>
            </w:tcBorders>
          </w:tcPr>
          <w:p>
            <w:pPr/>
          </w:p>
        </w:tc>
        <w:tc>
          <w:tcPr>
            <w:tcW w:w="768" w:type="dxa"/>
            <w:tcBorders>
              <w:bottom w:val="single" w:sz="0" w:space="0" w:color="000000"/>
            </w:tcBorders>
          </w:tcPr>
          <w:p>
            <w:pPr>
              <w:pStyle w:val="TableParagraph"/>
              <w:spacing w:before="18"/>
              <w:ind w:right="12"/>
              <w:jc w:val="right"/>
              <w:rPr>
                <w:b/>
                <w:sz w:val="18"/>
              </w:rPr>
            </w:pPr>
            <w:r>
              <w:rPr>
                <w:b/>
                <w:w w:val="95"/>
                <w:sz w:val="18"/>
              </w:rPr>
              <w:t>(69)</w:t>
            </w:r>
          </w:p>
        </w:tc>
        <w:tc>
          <w:tcPr>
            <w:tcW w:w="516" w:type="dxa"/>
            <w:tcBorders>
              <w:bottom w:val="single" w:sz="0" w:space="0" w:color="000000"/>
            </w:tcBorders>
          </w:tcPr>
          <w:p>
            <w:pPr/>
          </w:p>
        </w:tc>
        <w:tc>
          <w:tcPr>
            <w:tcW w:w="795" w:type="dxa"/>
            <w:tcBorders>
              <w:bottom w:val="single" w:sz="0" w:space="0" w:color="000000"/>
            </w:tcBorders>
          </w:tcPr>
          <w:p>
            <w:pPr>
              <w:pStyle w:val="TableParagraph"/>
              <w:spacing w:before="18"/>
              <w:ind w:left="408"/>
              <w:rPr>
                <w:sz w:val="18"/>
              </w:rPr>
            </w:pPr>
            <w:r>
              <w:rPr>
                <w:sz w:val="18"/>
              </w:rPr>
              <w:t>133</w:t>
            </w:r>
          </w:p>
        </w:tc>
      </w:tr>
      <w:tr>
        <w:trPr>
          <w:trHeight w:val="338" w:hRule="exact"/>
        </w:trPr>
        <w:tc>
          <w:tcPr>
            <w:tcW w:w="3459" w:type="dxa"/>
          </w:tcPr>
          <w:p>
            <w:pPr>
              <w:pStyle w:val="TableParagraph"/>
              <w:spacing w:before="123"/>
              <w:ind w:left="35"/>
              <w:rPr>
                <w:b/>
                <w:sz w:val="18"/>
              </w:rPr>
            </w:pPr>
            <w:r>
              <w:rPr>
                <w:b/>
                <w:sz w:val="18"/>
              </w:rPr>
              <w:t>Balance at 31 December</w:t>
            </w:r>
          </w:p>
        </w:tc>
        <w:tc>
          <w:tcPr>
            <w:tcW w:w="685" w:type="dxa"/>
            <w:tcBorders>
              <w:top w:val="single" w:sz="0" w:space="0" w:color="000000"/>
              <w:bottom w:val="single" w:sz="0" w:space="0" w:color="000000"/>
            </w:tcBorders>
          </w:tcPr>
          <w:p>
            <w:pPr/>
          </w:p>
        </w:tc>
        <w:tc>
          <w:tcPr>
            <w:tcW w:w="768" w:type="dxa"/>
            <w:tcBorders>
              <w:top w:val="single" w:sz="0" w:space="0" w:color="000000"/>
              <w:bottom w:val="single" w:sz="0" w:space="0" w:color="000000"/>
            </w:tcBorders>
          </w:tcPr>
          <w:p>
            <w:pPr>
              <w:pStyle w:val="TableParagraph"/>
              <w:spacing w:before="122"/>
              <w:ind w:right="71"/>
              <w:jc w:val="right"/>
              <w:rPr>
                <w:b/>
                <w:sz w:val="18"/>
              </w:rPr>
            </w:pPr>
            <w:r>
              <w:rPr>
                <w:b/>
                <w:w w:val="95"/>
                <w:sz w:val="18"/>
              </w:rPr>
              <w:t>222</w:t>
            </w:r>
          </w:p>
        </w:tc>
        <w:tc>
          <w:tcPr>
            <w:tcW w:w="516" w:type="dxa"/>
            <w:tcBorders>
              <w:top w:val="single" w:sz="0" w:space="0" w:color="000000"/>
              <w:bottom w:val="single" w:sz="0" w:space="0" w:color="000000"/>
            </w:tcBorders>
          </w:tcPr>
          <w:p>
            <w:pPr/>
          </w:p>
        </w:tc>
        <w:tc>
          <w:tcPr>
            <w:tcW w:w="880" w:type="dxa"/>
            <w:tcBorders>
              <w:top w:val="single" w:sz="0" w:space="0" w:color="000000"/>
              <w:bottom w:val="single" w:sz="0" w:space="0" w:color="000000"/>
            </w:tcBorders>
          </w:tcPr>
          <w:p>
            <w:pPr>
              <w:pStyle w:val="TableParagraph"/>
              <w:spacing w:before="122"/>
              <w:ind w:left="408"/>
              <w:rPr>
                <w:sz w:val="18"/>
              </w:rPr>
            </w:pPr>
            <w:r>
              <w:rPr>
                <w:sz w:val="18"/>
              </w:rPr>
              <w:t>291</w:t>
            </w:r>
          </w:p>
        </w:tc>
        <w:tc>
          <w:tcPr>
            <w:tcW w:w="599" w:type="dxa"/>
            <w:tcBorders>
              <w:top w:val="single" w:sz="0" w:space="0" w:color="000000"/>
              <w:bottom w:val="single" w:sz="0" w:space="0" w:color="000000"/>
            </w:tcBorders>
          </w:tcPr>
          <w:p>
            <w:pPr/>
          </w:p>
        </w:tc>
        <w:tc>
          <w:tcPr>
            <w:tcW w:w="768" w:type="dxa"/>
            <w:tcBorders>
              <w:top w:val="single" w:sz="0" w:space="0" w:color="000000"/>
              <w:bottom w:val="single" w:sz="0" w:space="0" w:color="000000"/>
            </w:tcBorders>
          </w:tcPr>
          <w:p>
            <w:pPr>
              <w:pStyle w:val="TableParagraph"/>
              <w:spacing w:before="122"/>
              <w:ind w:right="71"/>
              <w:jc w:val="right"/>
              <w:rPr>
                <w:b/>
                <w:sz w:val="18"/>
              </w:rPr>
            </w:pPr>
            <w:r>
              <w:rPr>
                <w:b/>
                <w:w w:val="95"/>
                <w:sz w:val="18"/>
              </w:rPr>
              <w:t>222</w:t>
            </w:r>
          </w:p>
        </w:tc>
        <w:tc>
          <w:tcPr>
            <w:tcW w:w="516" w:type="dxa"/>
            <w:tcBorders>
              <w:top w:val="single" w:sz="0" w:space="0" w:color="000000"/>
              <w:bottom w:val="single" w:sz="0" w:space="0" w:color="000000"/>
            </w:tcBorders>
          </w:tcPr>
          <w:p>
            <w:pPr/>
          </w:p>
        </w:tc>
        <w:tc>
          <w:tcPr>
            <w:tcW w:w="795" w:type="dxa"/>
            <w:tcBorders>
              <w:top w:val="single" w:sz="0" w:space="0" w:color="000000"/>
              <w:bottom w:val="single" w:sz="0" w:space="0" w:color="000000"/>
            </w:tcBorders>
          </w:tcPr>
          <w:p>
            <w:pPr>
              <w:pStyle w:val="TableParagraph"/>
              <w:spacing w:before="122"/>
              <w:ind w:left="408"/>
              <w:rPr>
                <w:sz w:val="18"/>
              </w:rPr>
            </w:pPr>
            <w:r>
              <w:rPr>
                <w:sz w:val="18"/>
              </w:rPr>
              <w:t>291</w:t>
            </w:r>
          </w:p>
        </w:tc>
      </w:tr>
      <w:tr>
        <w:trPr>
          <w:trHeight w:val="353" w:hRule="exact"/>
        </w:trPr>
        <w:tc>
          <w:tcPr>
            <w:tcW w:w="3459" w:type="dxa"/>
          </w:tcPr>
          <w:p>
            <w:pPr>
              <w:pStyle w:val="TableParagraph"/>
              <w:spacing w:before="123"/>
              <w:ind w:left="35"/>
              <w:rPr>
                <w:b/>
                <w:sz w:val="18"/>
              </w:rPr>
            </w:pPr>
            <w:r>
              <w:rPr>
                <w:b/>
                <w:sz w:val="18"/>
              </w:rPr>
              <w:t>Total reserves</w:t>
            </w:r>
          </w:p>
        </w:tc>
        <w:tc>
          <w:tcPr>
            <w:tcW w:w="685" w:type="dxa"/>
            <w:tcBorders>
              <w:top w:val="single" w:sz="0" w:space="0" w:color="000000"/>
              <w:bottom w:val="single" w:sz="0" w:space="0" w:color="000000"/>
            </w:tcBorders>
          </w:tcPr>
          <w:p>
            <w:pPr/>
          </w:p>
        </w:tc>
        <w:tc>
          <w:tcPr>
            <w:tcW w:w="768" w:type="dxa"/>
            <w:tcBorders>
              <w:top w:val="single" w:sz="0" w:space="0" w:color="000000"/>
              <w:bottom w:val="single" w:sz="0" w:space="0" w:color="000000"/>
            </w:tcBorders>
          </w:tcPr>
          <w:p>
            <w:pPr>
              <w:pStyle w:val="TableParagraph"/>
              <w:spacing w:before="122"/>
              <w:ind w:right="70"/>
              <w:jc w:val="right"/>
              <w:rPr>
                <w:b/>
                <w:sz w:val="18"/>
              </w:rPr>
            </w:pPr>
            <w:r>
              <w:rPr>
                <w:b/>
                <w:w w:val="95"/>
                <w:sz w:val="18"/>
              </w:rPr>
              <w:t>526,713</w:t>
            </w:r>
          </w:p>
        </w:tc>
        <w:tc>
          <w:tcPr>
            <w:tcW w:w="516" w:type="dxa"/>
            <w:tcBorders>
              <w:top w:val="single" w:sz="0" w:space="0" w:color="000000"/>
              <w:bottom w:val="single" w:sz="0" w:space="0" w:color="000000"/>
            </w:tcBorders>
          </w:tcPr>
          <w:p>
            <w:pPr/>
          </w:p>
        </w:tc>
        <w:tc>
          <w:tcPr>
            <w:tcW w:w="880" w:type="dxa"/>
            <w:tcBorders>
              <w:top w:val="single" w:sz="0" w:space="0" w:color="000000"/>
              <w:bottom w:val="single" w:sz="0" w:space="0" w:color="000000"/>
            </w:tcBorders>
          </w:tcPr>
          <w:p>
            <w:pPr>
              <w:pStyle w:val="TableParagraph"/>
              <w:spacing w:before="122"/>
              <w:ind w:left="59"/>
              <w:rPr>
                <w:sz w:val="18"/>
              </w:rPr>
            </w:pPr>
            <w:r>
              <w:rPr>
                <w:sz w:val="18"/>
              </w:rPr>
              <w:t>500,760</w:t>
            </w:r>
          </w:p>
        </w:tc>
        <w:tc>
          <w:tcPr>
            <w:tcW w:w="599" w:type="dxa"/>
            <w:tcBorders>
              <w:top w:val="single" w:sz="0" w:space="0" w:color="000000"/>
              <w:bottom w:val="single" w:sz="0" w:space="0" w:color="000000"/>
            </w:tcBorders>
          </w:tcPr>
          <w:p>
            <w:pPr/>
          </w:p>
        </w:tc>
        <w:tc>
          <w:tcPr>
            <w:tcW w:w="768" w:type="dxa"/>
            <w:tcBorders>
              <w:top w:val="single" w:sz="0" w:space="0" w:color="000000"/>
              <w:bottom w:val="single" w:sz="0" w:space="0" w:color="000000"/>
            </w:tcBorders>
          </w:tcPr>
          <w:p>
            <w:pPr>
              <w:pStyle w:val="TableParagraph"/>
              <w:spacing w:before="122"/>
              <w:ind w:right="70"/>
              <w:jc w:val="right"/>
              <w:rPr>
                <w:b/>
                <w:sz w:val="18"/>
              </w:rPr>
            </w:pPr>
            <w:r>
              <w:rPr>
                <w:b/>
                <w:w w:val="95"/>
                <w:sz w:val="18"/>
              </w:rPr>
              <w:t>525,428</w:t>
            </w:r>
          </w:p>
        </w:tc>
        <w:tc>
          <w:tcPr>
            <w:tcW w:w="516" w:type="dxa"/>
            <w:tcBorders>
              <w:top w:val="single" w:sz="0" w:space="0" w:color="000000"/>
              <w:bottom w:val="single" w:sz="0" w:space="0" w:color="000000"/>
            </w:tcBorders>
          </w:tcPr>
          <w:p>
            <w:pPr/>
          </w:p>
        </w:tc>
        <w:tc>
          <w:tcPr>
            <w:tcW w:w="795" w:type="dxa"/>
            <w:tcBorders>
              <w:top w:val="single" w:sz="0" w:space="0" w:color="000000"/>
              <w:bottom w:val="single" w:sz="0" w:space="0" w:color="000000"/>
            </w:tcBorders>
          </w:tcPr>
          <w:p>
            <w:pPr>
              <w:pStyle w:val="TableParagraph"/>
              <w:spacing w:before="122"/>
              <w:ind w:left="59"/>
              <w:rPr>
                <w:sz w:val="18"/>
              </w:rPr>
            </w:pPr>
            <w:r>
              <w:rPr>
                <w:sz w:val="18"/>
              </w:rPr>
              <w:t>500,747</w:t>
            </w:r>
          </w:p>
        </w:tc>
      </w:tr>
    </w:tbl>
    <w:p>
      <w:pPr>
        <w:spacing w:after="0"/>
        <w:rPr>
          <w:sz w:val="18"/>
        </w:rPr>
        <w:sectPr>
          <w:type w:val="continuous"/>
          <w:pgSz w:w="11910" w:h="16840"/>
          <w:pgMar w:top="0" w:bottom="280" w:left="900" w:right="880"/>
        </w:sectPr>
      </w:pPr>
    </w:p>
    <w:p>
      <w:pPr>
        <w:pStyle w:val="BodyText"/>
        <w:rPr>
          <w:b/>
          <w:sz w:val="20"/>
        </w:rPr>
      </w:pPr>
    </w:p>
    <w:p>
      <w:pPr>
        <w:pStyle w:val="BodyText"/>
        <w:rPr>
          <w:b/>
          <w:sz w:val="20"/>
        </w:rPr>
      </w:pPr>
    </w:p>
    <w:p>
      <w:pPr>
        <w:pStyle w:val="BodyText"/>
        <w:spacing w:before="4"/>
        <w:rPr>
          <w:b/>
        </w:rPr>
      </w:pPr>
    </w:p>
    <w:p>
      <w:pPr>
        <w:pStyle w:val="ListParagraph"/>
        <w:numPr>
          <w:ilvl w:val="0"/>
          <w:numId w:val="18"/>
        </w:numPr>
        <w:tabs>
          <w:tab w:pos="506" w:val="left" w:leader="none"/>
        </w:tabs>
        <w:spacing w:line="240" w:lineRule="auto" w:before="0" w:after="0"/>
        <w:ind w:left="505" w:right="0" w:hanging="396"/>
        <w:jc w:val="left"/>
        <w:rPr>
          <w:b/>
          <w:sz w:val="18"/>
        </w:rPr>
      </w:pPr>
      <w:r>
        <w:rPr>
          <w:b/>
          <w:sz w:val="18"/>
        </w:rPr>
        <w:t>Reserves and retained earnings</w:t>
      </w:r>
      <w:r>
        <w:rPr>
          <w:b/>
          <w:spacing w:val="-3"/>
          <w:sz w:val="18"/>
        </w:rPr>
        <w:t> </w:t>
      </w:r>
      <w:r>
        <w:rPr>
          <w:b/>
          <w:sz w:val="18"/>
        </w:rPr>
        <w:t>(continued)</w:t>
      </w:r>
    </w:p>
    <w:p>
      <w:pPr>
        <w:pStyle w:val="BodyText"/>
        <w:spacing w:before="3"/>
        <w:rPr>
          <w:b/>
        </w:rPr>
      </w:pPr>
    </w:p>
    <w:p>
      <w:pPr>
        <w:pStyle w:val="ListParagraph"/>
        <w:numPr>
          <w:ilvl w:val="1"/>
          <w:numId w:val="16"/>
        </w:numPr>
        <w:tabs>
          <w:tab w:pos="1072" w:val="left" w:leader="none"/>
        </w:tabs>
        <w:spacing w:line="240" w:lineRule="auto" w:before="77" w:after="0"/>
        <w:ind w:left="1071" w:right="0" w:hanging="566"/>
        <w:jc w:val="left"/>
        <w:rPr>
          <w:sz w:val="18"/>
        </w:rPr>
      </w:pPr>
      <w:r>
        <w:rPr>
          <w:sz w:val="18"/>
        </w:rPr>
        <w:t>Movements in retained</w:t>
      </w:r>
      <w:r>
        <w:rPr>
          <w:spacing w:val="-1"/>
          <w:sz w:val="18"/>
        </w:rPr>
        <w:t> </w:t>
      </w:r>
      <w:r>
        <w:rPr>
          <w:sz w:val="18"/>
        </w:rPr>
        <w:t>earnings</w:t>
      </w:r>
    </w:p>
    <w:p>
      <w:pPr>
        <w:pStyle w:val="Heading9"/>
        <w:tabs>
          <w:tab w:pos="7303" w:val="left" w:leader="none"/>
        </w:tabs>
        <w:spacing w:before="33"/>
        <w:ind w:left="4539" w:right="596"/>
      </w:pPr>
      <w:r>
        <w:rPr/>
        <w:t>Consolidated</w:t>
        <w:tab/>
        <w:t>Parent</w:t>
      </w:r>
    </w:p>
    <w:p>
      <w:pPr>
        <w:spacing w:after="0"/>
        <w:sectPr>
          <w:pgSz w:w="11910" w:h="16840"/>
          <w:pgMar w:header="1038" w:footer="507" w:top="2220" w:bottom="700" w:left="900" w:right="840"/>
        </w:sectPr>
      </w:pPr>
    </w:p>
    <w:p>
      <w:pPr>
        <w:spacing w:before="66"/>
        <w:ind w:left="0" w:right="40" w:firstLine="0"/>
        <w:jc w:val="right"/>
        <w:rPr>
          <w:b/>
          <w:sz w:val="18"/>
        </w:rPr>
      </w:pPr>
      <w:r>
        <w:rPr>
          <w:b/>
          <w:w w:val="95"/>
          <w:sz w:val="18"/>
        </w:rPr>
        <w:t>2012</w:t>
      </w:r>
    </w:p>
    <w:p>
      <w:pPr>
        <w:spacing w:before="66"/>
        <w:ind w:left="0" w:right="0" w:firstLine="0"/>
        <w:jc w:val="right"/>
        <w:rPr>
          <w:b/>
          <w:sz w:val="18"/>
        </w:rPr>
      </w:pPr>
      <w:r>
        <w:rPr>
          <w:b/>
          <w:sz w:val="18"/>
        </w:rPr>
        <w:t>$'000</w:t>
      </w:r>
    </w:p>
    <w:p>
      <w:pPr>
        <w:spacing w:before="66"/>
        <w:ind w:left="786" w:right="-20" w:firstLine="0"/>
        <w:jc w:val="left"/>
        <w:rPr>
          <w:b/>
          <w:sz w:val="18"/>
        </w:rPr>
      </w:pPr>
      <w:r>
        <w:rPr/>
        <w:br w:type="column"/>
      </w:r>
      <w:r>
        <w:rPr>
          <w:b/>
          <w:sz w:val="18"/>
        </w:rPr>
        <w:t>2011</w:t>
      </w:r>
    </w:p>
    <w:p>
      <w:pPr>
        <w:spacing w:before="66"/>
        <w:ind w:left="786" w:right="-20" w:firstLine="0"/>
        <w:jc w:val="left"/>
        <w:rPr>
          <w:b/>
          <w:sz w:val="18"/>
        </w:rPr>
      </w:pPr>
      <w:r>
        <w:rPr>
          <w:b/>
          <w:sz w:val="18"/>
        </w:rPr>
        <w:t>$'000</w:t>
      </w:r>
    </w:p>
    <w:p>
      <w:pPr>
        <w:spacing w:before="66"/>
        <w:ind w:left="0" w:right="40" w:firstLine="0"/>
        <w:jc w:val="right"/>
        <w:rPr>
          <w:b/>
          <w:sz w:val="18"/>
        </w:rPr>
      </w:pPr>
      <w:r>
        <w:rPr/>
        <w:br w:type="column"/>
      </w:r>
      <w:r>
        <w:rPr>
          <w:b/>
          <w:sz w:val="18"/>
        </w:rPr>
        <w:t>2012</w:t>
      </w:r>
    </w:p>
    <w:p>
      <w:pPr>
        <w:spacing w:before="66"/>
        <w:ind w:left="0" w:right="0" w:firstLine="0"/>
        <w:jc w:val="right"/>
        <w:rPr>
          <w:b/>
          <w:sz w:val="18"/>
        </w:rPr>
      </w:pPr>
      <w:r>
        <w:rPr>
          <w:b/>
          <w:w w:val="95"/>
          <w:sz w:val="18"/>
        </w:rPr>
        <w:t>$'000</w:t>
      </w:r>
    </w:p>
    <w:p>
      <w:pPr>
        <w:spacing w:before="66"/>
        <w:ind w:left="726" w:right="932" w:firstLine="0"/>
        <w:jc w:val="center"/>
        <w:rPr>
          <w:b/>
          <w:sz w:val="18"/>
        </w:rPr>
      </w:pPr>
      <w:r>
        <w:rPr/>
        <w:br w:type="column"/>
      </w:r>
      <w:r>
        <w:rPr>
          <w:b/>
          <w:sz w:val="18"/>
        </w:rPr>
        <w:t>2011</w:t>
      </w:r>
    </w:p>
    <w:p>
      <w:pPr>
        <w:spacing w:before="66"/>
        <w:ind w:left="769" w:right="932" w:firstLine="0"/>
        <w:jc w:val="center"/>
        <w:rPr>
          <w:b/>
          <w:sz w:val="18"/>
        </w:rPr>
      </w:pPr>
      <w:r>
        <w:rPr>
          <w:b/>
          <w:sz w:val="18"/>
        </w:rPr>
        <w:t>$'000</w:t>
      </w:r>
    </w:p>
    <w:p>
      <w:pPr>
        <w:spacing w:after="0"/>
        <w:jc w:val="center"/>
        <w:rPr>
          <w:sz w:val="18"/>
        </w:rPr>
        <w:sectPr>
          <w:type w:val="continuous"/>
          <w:pgSz w:w="11910" w:h="16840"/>
          <w:pgMar w:top="0" w:bottom="280" w:left="900" w:right="840"/>
          <w:cols w:num="4" w:equalWidth="0">
            <w:col w:w="5180" w:space="40"/>
            <w:col w:w="1230" w:space="40"/>
            <w:col w:w="1454" w:space="40"/>
            <w:col w:w="2186"/>
          </w:cols>
        </w:sectPr>
      </w:pPr>
    </w:p>
    <w:p>
      <w:pPr>
        <w:tabs>
          <w:tab w:pos="5225" w:val="left" w:leader="none"/>
          <w:tab w:pos="6522" w:val="left" w:leader="none"/>
          <w:tab w:pos="7989" w:val="left" w:leader="none"/>
          <w:tab w:pos="9286" w:val="left" w:leader="none"/>
        </w:tabs>
        <w:spacing w:before="62"/>
        <w:ind w:left="549" w:right="104" w:firstLine="0"/>
        <w:jc w:val="left"/>
        <w:rPr>
          <w:sz w:val="18"/>
        </w:rPr>
      </w:pPr>
      <w:r>
        <w:rPr>
          <w:sz w:val="18"/>
        </w:rPr>
        <w:t>Retained earnings at</w:t>
      </w:r>
      <w:r>
        <w:rPr>
          <w:spacing w:val="-1"/>
          <w:sz w:val="18"/>
        </w:rPr>
        <w:t> </w:t>
      </w:r>
      <w:r>
        <w:rPr>
          <w:sz w:val="18"/>
        </w:rPr>
        <w:t>1</w:t>
      </w:r>
      <w:r>
        <w:rPr>
          <w:spacing w:val="-1"/>
          <w:sz w:val="18"/>
        </w:rPr>
        <w:t> </w:t>
      </w:r>
      <w:r>
        <w:rPr>
          <w:sz w:val="18"/>
        </w:rPr>
        <w:t>January</w:t>
        <w:tab/>
      </w:r>
      <w:r>
        <w:rPr>
          <w:b/>
          <w:sz w:val="18"/>
        </w:rPr>
        <w:t>733,637</w:t>
        <w:tab/>
      </w:r>
      <w:r>
        <w:rPr>
          <w:sz w:val="18"/>
        </w:rPr>
        <w:t>722,197</w:t>
        <w:tab/>
      </w:r>
      <w:r>
        <w:rPr>
          <w:b/>
          <w:sz w:val="18"/>
        </w:rPr>
        <w:t>696,533</w:t>
        <w:tab/>
      </w:r>
      <w:r>
        <w:rPr>
          <w:sz w:val="18"/>
        </w:rPr>
        <w:t>682,685</w:t>
      </w:r>
    </w:p>
    <w:p>
      <w:pPr>
        <w:pStyle w:val="BodyText"/>
        <w:tabs>
          <w:tab w:pos="5325" w:val="left" w:leader="none"/>
          <w:tab w:pos="6622" w:val="left" w:leader="none"/>
          <w:tab w:pos="8089" w:val="left" w:leader="none"/>
          <w:tab w:pos="9386" w:val="left" w:leader="none"/>
        </w:tabs>
        <w:spacing w:line="304" w:lineRule="auto" w:before="57"/>
        <w:ind w:left="549" w:right="225"/>
      </w:pPr>
      <w:r>
        <w:rPr/>
        <w:t>Operating result for</w:t>
      </w:r>
      <w:r>
        <w:rPr>
          <w:spacing w:val="-1"/>
        </w:rPr>
        <w:t> </w:t>
      </w:r>
      <w:r>
        <w:rPr/>
        <w:t>the</w:t>
      </w:r>
      <w:r>
        <w:rPr>
          <w:spacing w:val="-1"/>
        </w:rPr>
        <w:t> </w:t>
      </w:r>
      <w:r>
        <w:rPr/>
        <w:t>period</w:t>
        <w:tab/>
      </w:r>
      <w:r>
        <w:rPr>
          <w:b/>
        </w:rPr>
        <w:t>60,972</w:t>
        <w:tab/>
      </w:r>
      <w:r>
        <w:rPr/>
        <w:t>12,523</w:t>
        <w:tab/>
      </w:r>
      <w:r>
        <w:rPr>
          <w:b/>
        </w:rPr>
        <w:t>55,180</w:t>
        <w:tab/>
      </w:r>
      <w:r>
        <w:rPr/>
        <w:t>14,931 Actuarial gains/(losses) on</w:t>
      </w:r>
      <w:r>
        <w:rPr>
          <w:spacing w:val="-1"/>
        </w:rPr>
        <w:t> </w:t>
      </w:r>
      <w:r>
        <w:rPr/>
        <w:t>defined</w:t>
      </w:r>
    </w:p>
    <w:p>
      <w:pPr>
        <w:pStyle w:val="BodyText"/>
        <w:spacing w:line="152" w:lineRule="exact"/>
        <w:ind w:left="549" w:right="596"/>
      </w:pPr>
      <w:r>
        <w:rPr/>
        <w:t>benefit plans recognised directly in</w:t>
      </w:r>
    </w:p>
    <w:p>
      <w:pPr>
        <w:tabs>
          <w:tab w:pos="5515" w:val="left" w:leader="none"/>
          <w:tab w:pos="6662" w:val="left" w:leader="none"/>
          <w:tab w:pos="8278" w:val="left" w:leader="none"/>
          <w:tab w:pos="9425" w:val="left" w:leader="none"/>
        </w:tabs>
        <w:spacing w:line="207" w:lineRule="exact" w:before="0"/>
        <w:ind w:left="549" w:right="104" w:firstLine="0"/>
        <w:jc w:val="left"/>
        <w:rPr>
          <w:sz w:val="18"/>
        </w:rPr>
      </w:pPr>
      <w:r>
        <w:rPr/>
        <w:pict>
          <v:group style="position:absolute;margin-left:269.709991pt;margin-top:11.614608pt;width:276.5pt;height:1pt;mso-position-horizontal-relative:page;mso-position-vertical-relative:paragraph;z-index:3496;mso-wrap-distance-left:0;mso-wrap-distance-right:0" coordorigin="5394,232" coordsize="5530,20">
            <v:line style="position:absolute" from="5395,233" to="5564,233" stroked="true" strokeweight=".06pt" strokecolor="#000000"/>
            <v:line style="position:absolute" from="5395,234" to="5564,234" stroked="true" strokeweight=".06pt" strokecolor="#000000"/>
            <v:line style="position:absolute" from="5395,236" to="5564,236" stroked="true" strokeweight=".06pt" strokecolor="#000000"/>
            <v:line style="position:absolute" from="5395,237" to="5564,237" stroked="true" strokeweight=".06pt" strokecolor="#000000"/>
            <v:line style="position:absolute" from="5395,238" to="5564,238" stroked="true" strokeweight=".06pt" strokecolor="#000000"/>
            <v:line style="position:absolute" from="5395,239" to="5564,239" stroked="true" strokeweight=".06pt" strokecolor="#000000"/>
            <v:line style="position:absolute" from="5395,240" to="5564,240" stroked="true" strokeweight=".06pt" strokecolor="#000000"/>
            <v:line style="position:absolute" from="5395,242" to="5564,242" stroked="true" strokeweight=".06pt" strokecolor="#000000"/>
            <v:line style="position:absolute" from="5395,243" to="5564,243" stroked="true" strokeweight=".06pt" strokecolor="#000000"/>
            <v:line style="position:absolute" from="5395,244" to="5564,244" stroked="true" strokeweight=".06pt" strokecolor="#000000"/>
            <v:line style="position:absolute" from="5395,245" to="5564,245" stroked="true" strokeweight=".06pt" strokecolor="#000000"/>
            <v:line style="position:absolute" from="5395,246" to="5564,246" stroked="true" strokeweight=".06pt" strokecolor="#000000"/>
            <v:line style="position:absolute" from="5395,248" to="5564,248" stroked="true" strokeweight=".06pt" strokecolor="#000000"/>
            <v:line style="position:absolute" from="5395,249" to="5564,249" stroked="true" strokeweight=".06pt" strokecolor="#000000"/>
            <v:line style="position:absolute" from="5395,250" to="5564,250" stroked="true" strokeweight=".06pt" strokecolor="#000000"/>
            <v:line style="position:absolute" from="5395,251" to="5564,251" stroked="true" strokeweight=".06pt" strokecolor="#000000"/>
            <v:line style="position:absolute" from="5564,233" to="6862,233" stroked="true" strokeweight=".06pt" strokecolor="#000000"/>
            <v:line style="position:absolute" from="5564,234" to="6862,234" stroked="true" strokeweight=".06pt" strokecolor="#000000"/>
            <v:line style="position:absolute" from="5564,236" to="6862,236" stroked="true" strokeweight=".06pt" strokecolor="#000000"/>
            <v:line style="position:absolute" from="5564,237" to="6862,237" stroked="true" strokeweight=".06pt" strokecolor="#000000"/>
            <v:line style="position:absolute" from="5564,238" to="6862,238" stroked="true" strokeweight=".06pt" strokecolor="#000000"/>
            <v:line style="position:absolute" from="5564,239" to="6862,239" stroked="true" strokeweight=".06pt" strokecolor="#000000"/>
            <v:line style="position:absolute" from="5564,240" to="6862,240" stroked="true" strokeweight=".06pt" strokecolor="#000000"/>
            <v:line style="position:absolute" from="5564,242" to="6862,242" stroked="true" strokeweight=".06pt" strokecolor="#000000"/>
            <v:line style="position:absolute" from="5564,243" to="6862,243" stroked="true" strokeweight=".06pt" strokecolor="#000000"/>
            <v:line style="position:absolute" from="5564,244" to="6862,244" stroked="true" strokeweight=".06pt" strokecolor="#000000"/>
            <v:line style="position:absolute" from="5564,245" to="6862,245" stroked="true" strokeweight=".06pt" strokecolor="#000000"/>
            <v:line style="position:absolute" from="5564,246" to="6862,246" stroked="true" strokeweight=".06pt" strokecolor="#000000"/>
            <v:line style="position:absolute" from="5564,248" to="6862,248" stroked="true" strokeweight=".06pt" strokecolor="#000000"/>
            <v:line style="position:absolute" from="5564,249" to="6862,249" stroked="true" strokeweight=".06pt" strokecolor="#000000"/>
            <v:line style="position:absolute" from="5564,250" to="6862,250" stroked="true" strokeweight=".06pt" strokecolor="#000000"/>
            <v:line style="position:absolute" from="5564,251" to="6862,251" stroked="true" strokeweight=".06pt" strokecolor="#000000"/>
            <v:line style="position:absolute" from="6862,233" to="8159,233" stroked="true" strokeweight=".06pt" strokecolor="#000000"/>
            <v:line style="position:absolute" from="6862,234" to="8159,234" stroked="true" strokeweight=".06pt" strokecolor="#000000"/>
            <v:line style="position:absolute" from="6862,236" to="8159,236" stroked="true" strokeweight=".06pt" strokecolor="#000000"/>
            <v:line style="position:absolute" from="6862,237" to="8159,237" stroked="true" strokeweight=".06pt" strokecolor="#000000"/>
            <v:line style="position:absolute" from="6862,238" to="8159,238" stroked="true" strokeweight=".06pt" strokecolor="#000000"/>
            <v:line style="position:absolute" from="6862,239" to="8159,239" stroked="true" strokeweight=".06pt" strokecolor="#000000"/>
            <v:line style="position:absolute" from="6862,240" to="8159,240" stroked="true" strokeweight=".06pt" strokecolor="#000000"/>
            <v:line style="position:absolute" from="6862,242" to="8159,242" stroked="true" strokeweight=".06pt" strokecolor="#000000"/>
            <v:line style="position:absolute" from="6862,243" to="8159,243" stroked="true" strokeweight=".06pt" strokecolor="#000000"/>
            <v:line style="position:absolute" from="6862,244" to="8159,244" stroked="true" strokeweight=".06pt" strokecolor="#000000"/>
            <v:line style="position:absolute" from="6862,245" to="8159,245" stroked="true" strokeweight=".06pt" strokecolor="#000000"/>
            <v:line style="position:absolute" from="6862,246" to="8159,246" stroked="true" strokeweight=".06pt" strokecolor="#000000"/>
            <v:line style="position:absolute" from="6862,248" to="8159,248" stroked="true" strokeweight=".06pt" strokecolor="#000000"/>
            <v:line style="position:absolute" from="6862,249" to="8159,249" stroked="true" strokeweight=".06pt" strokecolor="#000000"/>
            <v:line style="position:absolute" from="6862,250" to="8159,250" stroked="true" strokeweight=".06pt" strokecolor="#000000"/>
            <v:line style="position:absolute" from="6862,251" to="8159,251" stroked="true" strokeweight=".06pt" strokecolor="#000000"/>
            <v:line style="position:absolute" from="8159,233" to="8328,233" stroked="true" strokeweight=".06pt" strokecolor="#000000"/>
            <v:line style="position:absolute" from="8159,234" to="8328,234" stroked="true" strokeweight=".06pt" strokecolor="#000000"/>
            <v:line style="position:absolute" from="8159,236" to="8328,236" stroked="true" strokeweight=".06pt" strokecolor="#000000"/>
            <v:line style="position:absolute" from="8159,237" to="8328,237" stroked="true" strokeweight=".06pt" strokecolor="#000000"/>
            <v:line style="position:absolute" from="8159,238" to="8328,238" stroked="true" strokeweight=".06pt" strokecolor="#000000"/>
            <v:line style="position:absolute" from="8159,239" to="8328,239" stroked="true" strokeweight=".06pt" strokecolor="#000000"/>
            <v:line style="position:absolute" from="8159,240" to="8328,240" stroked="true" strokeweight=".06pt" strokecolor="#000000"/>
            <v:line style="position:absolute" from="8159,242" to="8328,242" stroked="true" strokeweight=".06pt" strokecolor="#000000"/>
            <v:line style="position:absolute" from="8159,243" to="8328,243" stroked="true" strokeweight=".06pt" strokecolor="#000000"/>
            <v:line style="position:absolute" from="8159,244" to="8328,244" stroked="true" strokeweight=".06pt" strokecolor="#000000"/>
            <v:line style="position:absolute" from="8159,245" to="8328,245" stroked="true" strokeweight=".06pt" strokecolor="#000000"/>
            <v:line style="position:absolute" from="8159,246" to="8328,246" stroked="true" strokeweight=".06pt" strokecolor="#000000"/>
            <v:line style="position:absolute" from="8159,248" to="8328,248" stroked="true" strokeweight=".06pt" strokecolor="#000000"/>
            <v:line style="position:absolute" from="8159,249" to="8328,249" stroked="true" strokeweight=".06pt" strokecolor="#000000"/>
            <v:line style="position:absolute" from="8159,250" to="8328,250" stroked="true" strokeweight=".06pt" strokecolor="#000000"/>
            <v:line style="position:absolute" from="8159,251" to="8328,251" stroked="true" strokeweight=".06pt" strokecolor="#000000"/>
            <v:line style="position:absolute" from="8328,233" to="9625,233" stroked="true" strokeweight=".06pt" strokecolor="#000000"/>
            <v:line style="position:absolute" from="8328,234" to="9625,234" stroked="true" strokeweight=".06pt" strokecolor="#000000"/>
            <v:line style="position:absolute" from="8328,236" to="9625,236" stroked="true" strokeweight=".06pt" strokecolor="#000000"/>
            <v:line style="position:absolute" from="8328,237" to="9625,237" stroked="true" strokeweight=".06pt" strokecolor="#000000"/>
            <v:line style="position:absolute" from="8328,238" to="9625,238" stroked="true" strokeweight=".06pt" strokecolor="#000000"/>
            <v:line style="position:absolute" from="8328,239" to="9625,239" stroked="true" strokeweight=".06pt" strokecolor="#000000"/>
            <v:line style="position:absolute" from="8328,240" to="9625,240" stroked="true" strokeweight=".06pt" strokecolor="#000000"/>
            <v:line style="position:absolute" from="8328,242" to="9625,242" stroked="true" strokeweight=".06pt" strokecolor="#000000"/>
            <v:line style="position:absolute" from="8328,243" to="9625,243" stroked="true" strokeweight=".06pt" strokecolor="#000000"/>
            <v:line style="position:absolute" from="8328,244" to="9625,244" stroked="true" strokeweight=".06pt" strokecolor="#000000"/>
            <v:line style="position:absolute" from="8328,245" to="9625,245" stroked="true" strokeweight=".06pt" strokecolor="#000000"/>
            <v:line style="position:absolute" from="8328,246" to="9625,246" stroked="true" strokeweight=".06pt" strokecolor="#000000"/>
            <v:line style="position:absolute" from="8328,248" to="9625,248" stroked="true" strokeweight=".06pt" strokecolor="#000000"/>
            <v:line style="position:absolute" from="8328,249" to="9625,249" stroked="true" strokeweight=".06pt" strokecolor="#000000"/>
            <v:line style="position:absolute" from="8328,250" to="9625,250" stroked="true" strokeweight=".06pt" strokecolor="#000000"/>
            <v:line style="position:absolute" from="8328,251" to="9625,251" stroked="true" strokeweight=".06pt" strokecolor="#000000"/>
            <v:line style="position:absolute" from="9625,233" to="10922,233" stroked="true" strokeweight=".06pt" strokecolor="#000000"/>
            <v:line style="position:absolute" from="9625,234" to="10922,234" stroked="true" strokeweight=".06pt" strokecolor="#000000"/>
            <v:line style="position:absolute" from="9625,236" to="10922,236" stroked="true" strokeweight=".06pt" strokecolor="#000000"/>
            <v:line style="position:absolute" from="9625,237" to="10922,237" stroked="true" strokeweight=".06pt" strokecolor="#000000"/>
            <v:line style="position:absolute" from="9625,238" to="10922,238" stroked="true" strokeweight=".06pt" strokecolor="#000000"/>
            <v:line style="position:absolute" from="9625,239" to="10922,239" stroked="true" strokeweight=".06pt" strokecolor="#000000"/>
            <v:line style="position:absolute" from="9625,240" to="10922,240" stroked="true" strokeweight=".06pt" strokecolor="#000000"/>
            <v:line style="position:absolute" from="9625,242" to="10922,242" stroked="true" strokeweight=".06pt" strokecolor="#000000"/>
            <v:line style="position:absolute" from="9625,243" to="10922,243" stroked="true" strokeweight=".06pt" strokecolor="#000000"/>
            <v:line style="position:absolute" from="9625,244" to="10922,244" stroked="true" strokeweight=".06pt" strokecolor="#000000"/>
            <v:line style="position:absolute" from="9625,245" to="10922,245" stroked="true" strokeweight=".06pt" strokecolor="#000000"/>
            <v:line style="position:absolute" from="9625,246" to="10922,246" stroked="true" strokeweight=".06pt" strokecolor="#000000"/>
            <v:line style="position:absolute" from="9625,248" to="10922,248" stroked="true" strokeweight=".06pt" strokecolor="#000000"/>
            <v:line style="position:absolute" from="9625,249" to="10922,249" stroked="true" strokeweight=".06pt" strokecolor="#000000"/>
            <v:line style="position:absolute" from="9625,250" to="10922,250" stroked="true" strokeweight=".06pt" strokecolor="#000000"/>
            <v:line style="position:absolute" from="9625,251" to="10922,251" stroked="true" strokeweight=".06pt" strokecolor="#000000"/>
            <w10:wrap type="topAndBottom"/>
          </v:group>
        </w:pict>
      </w:r>
      <w:r>
        <w:rPr>
          <w:sz w:val="18"/>
        </w:rPr>
        <w:t>retained</w:t>
      </w:r>
      <w:r>
        <w:rPr>
          <w:spacing w:val="-1"/>
          <w:sz w:val="18"/>
        </w:rPr>
        <w:t> </w:t>
      </w:r>
      <w:r>
        <w:rPr>
          <w:sz w:val="18"/>
        </w:rPr>
        <w:t>earnings</w:t>
        <w:tab/>
      </w:r>
      <w:r>
        <w:rPr>
          <w:b/>
          <w:sz w:val="18"/>
        </w:rPr>
        <w:t>(299)</w:t>
        <w:tab/>
      </w:r>
      <w:r>
        <w:rPr>
          <w:sz w:val="18"/>
        </w:rPr>
        <w:t>(1,083)</w:t>
        <w:tab/>
      </w:r>
      <w:r>
        <w:rPr>
          <w:b/>
          <w:sz w:val="18"/>
        </w:rPr>
        <w:t>(299)</w:t>
        <w:tab/>
      </w:r>
      <w:r>
        <w:rPr>
          <w:sz w:val="18"/>
        </w:rPr>
        <w:t>(1,083)</w:t>
      </w:r>
    </w:p>
    <w:p>
      <w:pPr>
        <w:tabs>
          <w:tab w:pos="5225" w:val="left" w:leader="none"/>
          <w:tab w:pos="6523" w:val="left" w:leader="none"/>
          <w:tab w:pos="7989" w:val="left" w:leader="none"/>
          <w:tab w:pos="9286" w:val="left" w:leader="none"/>
        </w:tabs>
        <w:spacing w:before="84"/>
        <w:ind w:left="549" w:right="104" w:firstLine="0"/>
        <w:jc w:val="left"/>
        <w:rPr>
          <w:sz w:val="18"/>
        </w:rPr>
      </w:pPr>
      <w:r>
        <w:rPr>
          <w:b/>
          <w:sz w:val="18"/>
        </w:rPr>
        <w:t>Retained</w:t>
      </w:r>
      <w:r>
        <w:rPr>
          <w:b/>
          <w:spacing w:val="-1"/>
          <w:sz w:val="18"/>
        </w:rPr>
        <w:t> </w:t>
      </w:r>
      <w:r>
        <w:rPr>
          <w:b/>
          <w:sz w:val="18"/>
        </w:rPr>
        <w:t>earnings</w:t>
        <w:tab/>
        <w:t>794,310</w:t>
        <w:tab/>
      </w:r>
      <w:r>
        <w:rPr>
          <w:sz w:val="18"/>
        </w:rPr>
        <w:t>733,637</w:t>
        <w:tab/>
      </w:r>
      <w:r>
        <w:rPr>
          <w:b/>
          <w:sz w:val="18"/>
        </w:rPr>
        <w:t>751,414</w:t>
        <w:tab/>
      </w:r>
      <w:r>
        <w:rPr>
          <w:sz w:val="18"/>
        </w:rPr>
        <w:t>696,533</w:t>
      </w:r>
    </w:p>
    <w:p>
      <w:pPr>
        <w:pStyle w:val="BodyText"/>
        <w:spacing w:line="60" w:lineRule="exact"/>
        <w:ind w:left="4494"/>
        <w:rPr>
          <w:sz w:val="6"/>
        </w:rPr>
      </w:pPr>
      <w:r>
        <w:rPr>
          <w:position w:val="0"/>
          <w:sz w:val="6"/>
        </w:rPr>
        <w:pict>
          <v:group style="width:276.5pt;height:3.05pt;mso-position-horizontal-relative:char;mso-position-vertical-relative:line" coordorigin="0,0" coordsize="5530,61">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17" to="170,17" stroked="true" strokeweight=".06pt" strokecolor="#000000"/>
            <v:line style="position:absolute" from="1,18" to="170,18" stroked="true" strokeweight=".06pt" strokecolor="#000000"/>
            <v:line style="position:absolute" from="1,19" to="170,19" stroked="true" strokeweight=".06pt" strokecolor="#000000"/>
            <v:line style="position:absolute" from="1,42" to="170,42" stroked="true" strokeweight=".06pt" strokecolor="#000000"/>
            <v:line style="position:absolute" from="1,43" to="170,43" stroked="true" strokeweight=".06pt" strokecolor="#000000"/>
            <v:line style="position:absolute" from="1,44" to="170,44" stroked="true" strokeweight=".06pt" strokecolor="#000000"/>
            <v:line style="position:absolute" from="1,45" to="170,45" stroked="true" strokeweight=".06pt" strokecolor="#000000"/>
            <v:line style="position:absolute" from="1,47" to="170,47" stroked="true" strokeweight=".06pt" strokecolor="#000000"/>
            <v:line style="position:absolute" from="1,48" to="170,48" stroked="true" strokeweight=".06pt" strokecolor="#000000"/>
            <v:line style="position:absolute" from="1,49" to="170,49" stroked="true" strokeweight=".06pt" strokecolor="#000000"/>
            <v:line style="position:absolute" from="1,50" to="170,50" stroked="true" strokeweight=".06pt" strokecolor="#000000"/>
            <v:line style="position:absolute" from="1,51" to="170,51" stroked="true" strokeweight=".06pt" strokecolor="#000000"/>
            <v:line style="position:absolute" from="1,53" to="170,53" stroked="true" strokeweight=".06pt" strokecolor="#000000"/>
            <v:line style="position:absolute" from="1,54" to="170,54" stroked="true" strokeweight=".06pt" strokecolor="#000000"/>
            <v:line style="position:absolute" from="1,55" to="170,55" stroked="true" strokeweight=".06pt" strokecolor="#000000"/>
            <v:line style="position:absolute" from="1,56" to="170,56" stroked="true" strokeweight=".06pt" strokecolor="#000000"/>
            <v:line style="position:absolute" from="1,57" to="170,57" stroked="true" strokeweight=".06pt" strokecolor="#000000"/>
            <v:line style="position:absolute" from="1,59" to="170,59" stroked="true" strokeweight=".06pt" strokecolor="#000000"/>
            <v:line style="position:absolute" from="1,60" to="170,60" stroked="true" strokeweight=".06pt" strokecolor="#000000"/>
            <v:line style="position:absolute" from="170,1" to="1467,1" stroked="true" strokeweight=".06pt" strokecolor="#000000"/>
            <v:line style="position:absolute" from="170,2" to="1467,2" stroked="true" strokeweight=".06pt" strokecolor="#000000"/>
            <v:line style="position:absolute" from="170,3" to="1467,3" stroked="true" strokeweight=".06pt" strokecolor="#000000"/>
            <v:line style="position:absolute" from="170,5" to="1467,5" stroked="true" strokeweight=".06pt" strokecolor="#000000"/>
            <v:line style="position:absolute" from="170,6" to="1467,6" stroked="true" strokeweight=".06pt" strokecolor="#000000"/>
            <v:line style="position:absolute" from="170,7" to="1467,7" stroked="true" strokeweight=".06pt" strokecolor="#000000"/>
            <v:line style="position:absolute" from="170,8" to="1467,8" stroked="true" strokeweight=".06pt" strokecolor="#000000"/>
            <v:line style="position:absolute" from="170,9" to="1467,9" stroked="true" strokeweight=".06pt" strokecolor="#000000"/>
            <v:line style="position:absolute" from="170,11" to="1467,11" stroked="true" strokeweight=".06pt" strokecolor="#000000"/>
            <v:line style="position:absolute" from="170,12" to="1467,12" stroked="true" strokeweight=".06pt" strokecolor="#000000"/>
            <v:line style="position:absolute" from="170,13" to="1467,13" stroked="true" strokeweight=".06pt" strokecolor="#000000"/>
            <v:line style="position:absolute" from="170,14" to="1467,14" stroked="true" strokeweight=".06pt" strokecolor="#000000"/>
            <v:line style="position:absolute" from="170,15" to="1467,15" stroked="true" strokeweight=".06pt" strokecolor="#000000"/>
            <v:line style="position:absolute" from="170,17" to="1467,17" stroked="true" strokeweight=".06pt" strokecolor="#000000"/>
            <v:line style="position:absolute" from="170,18" to="1467,18" stroked="true" strokeweight=".06pt" strokecolor="#000000"/>
            <v:line style="position:absolute" from="170,19" to="1467,19" stroked="true" strokeweight=".06pt" strokecolor="#000000"/>
            <v:line style="position:absolute" from="170,42" to="1467,42" stroked="true" strokeweight=".06pt" strokecolor="#000000"/>
            <v:line style="position:absolute" from="170,43" to="1467,43" stroked="true" strokeweight=".06pt" strokecolor="#000000"/>
            <v:line style="position:absolute" from="170,44" to="1467,44" stroked="true" strokeweight=".06pt" strokecolor="#000000"/>
            <v:line style="position:absolute" from="170,45" to="1467,45" stroked="true" strokeweight=".06pt" strokecolor="#000000"/>
            <v:line style="position:absolute" from="170,47" to="1467,47" stroked="true" strokeweight=".06pt" strokecolor="#000000"/>
            <v:line style="position:absolute" from="170,48" to="1467,48" stroked="true" strokeweight=".06pt" strokecolor="#000000"/>
            <v:line style="position:absolute" from="170,49" to="1467,49" stroked="true" strokeweight=".06pt" strokecolor="#000000"/>
            <v:line style="position:absolute" from="170,50" to="1467,50" stroked="true" strokeweight=".06pt" strokecolor="#000000"/>
            <v:line style="position:absolute" from="170,51" to="1467,51" stroked="true" strokeweight=".06pt" strokecolor="#000000"/>
            <v:line style="position:absolute" from="170,53" to="1467,53" stroked="true" strokeweight=".06pt" strokecolor="#000000"/>
            <v:line style="position:absolute" from="170,54" to="1467,54" stroked="true" strokeweight=".06pt" strokecolor="#000000"/>
            <v:line style="position:absolute" from="170,55" to="1467,55" stroked="true" strokeweight=".06pt" strokecolor="#000000"/>
            <v:line style="position:absolute" from="170,56" to="1467,56" stroked="true" strokeweight=".06pt" strokecolor="#000000"/>
            <v:line style="position:absolute" from="170,57" to="1467,57" stroked="true" strokeweight=".06pt" strokecolor="#000000"/>
            <v:line style="position:absolute" from="170,59" to="1467,59" stroked="true" strokeweight=".06pt" strokecolor="#000000"/>
            <v:line style="position:absolute" from="170,60" to="1467,60" stroked="true" strokeweight=".06pt" strokecolor="#000000"/>
            <v:line style="position:absolute" from="1467,1" to="2765,1" stroked="true" strokeweight=".06pt" strokecolor="#000000"/>
            <v:line style="position:absolute" from="1467,2" to="2765,2" stroked="true" strokeweight=".06pt" strokecolor="#000000"/>
            <v:line style="position:absolute" from="1467,3" to="2765,3" stroked="true" strokeweight=".06pt" strokecolor="#000000"/>
            <v:line style="position:absolute" from="1467,5" to="2765,5" stroked="true" strokeweight=".06pt" strokecolor="#000000"/>
            <v:line style="position:absolute" from="1467,6" to="2765,6" stroked="true" strokeweight=".06pt" strokecolor="#000000"/>
            <v:line style="position:absolute" from="1467,7" to="2765,7" stroked="true" strokeweight=".06pt" strokecolor="#000000"/>
            <v:line style="position:absolute" from="1467,8" to="2765,8" stroked="true" strokeweight=".06pt" strokecolor="#000000"/>
            <v:line style="position:absolute" from="1467,9" to="2765,9" stroked="true" strokeweight=".06pt" strokecolor="#000000"/>
            <v:line style="position:absolute" from="1467,11" to="2765,11" stroked="true" strokeweight=".06pt" strokecolor="#000000"/>
            <v:line style="position:absolute" from="1467,12" to="2765,12" stroked="true" strokeweight=".06pt" strokecolor="#000000"/>
            <v:line style="position:absolute" from="1467,13" to="2765,13" stroked="true" strokeweight=".06pt" strokecolor="#000000"/>
            <v:line style="position:absolute" from="1467,14" to="2765,14" stroked="true" strokeweight=".06pt" strokecolor="#000000"/>
            <v:line style="position:absolute" from="1467,15" to="2765,15" stroked="true" strokeweight=".06pt" strokecolor="#000000"/>
            <v:line style="position:absolute" from="1467,17" to="2765,17" stroked="true" strokeweight=".06pt" strokecolor="#000000"/>
            <v:line style="position:absolute" from="1467,18" to="2765,18" stroked="true" strokeweight=".06pt" strokecolor="#000000"/>
            <v:line style="position:absolute" from="1467,19" to="2765,19" stroked="true" strokeweight=".06pt" strokecolor="#000000"/>
            <v:line style="position:absolute" from="1467,42" to="2765,42" stroked="true" strokeweight=".06pt" strokecolor="#000000"/>
            <v:line style="position:absolute" from="1467,43" to="2765,43" stroked="true" strokeweight=".06pt" strokecolor="#000000"/>
            <v:line style="position:absolute" from="1467,44" to="2765,44" stroked="true" strokeweight=".06pt" strokecolor="#000000"/>
            <v:line style="position:absolute" from="1467,45" to="2765,45" stroked="true" strokeweight=".06pt" strokecolor="#000000"/>
            <v:line style="position:absolute" from="1467,47" to="2765,47" stroked="true" strokeweight=".06pt" strokecolor="#000000"/>
            <v:line style="position:absolute" from="1467,48" to="2765,48" stroked="true" strokeweight=".06pt" strokecolor="#000000"/>
            <v:line style="position:absolute" from="1467,49" to="2765,49" stroked="true" strokeweight=".06pt" strokecolor="#000000"/>
            <v:line style="position:absolute" from="1467,50" to="2765,50" stroked="true" strokeweight=".06pt" strokecolor="#000000"/>
            <v:line style="position:absolute" from="1467,51" to="2765,51" stroked="true" strokeweight=".06pt" strokecolor="#000000"/>
            <v:line style="position:absolute" from="1467,53" to="2765,53" stroked="true" strokeweight=".06pt" strokecolor="#000000"/>
            <v:line style="position:absolute" from="1467,54" to="2765,54" stroked="true" strokeweight=".06pt" strokecolor="#000000"/>
            <v:line style="position:absolute" from="1467,55" to="2765,55" stroked="true" strokeweight=".06pt" strokecolor="#000000"/>
            <v:line style="position:absolute" from="1467,56" to="2765,56" stroked="true" strokeweight=".06pt" strokecolor="#000000"/>
            <v:line style="position:absolute" from="1467,57" to="2765,57" stroked="true" strokeweight=".06pt" strokecolor="#000000"/>
            <v:line style="position:absolute" from="1467,59" to="2765,59" stroked="true" strokeweight=".06pt" strokecolor="#000000"/>
            <v:line style="position:absolute" from="1467,60" to="2765,60" stroked="true" strokeweight=".06pt" strokecolor="#000000"/>
            <v:line style="position:absolute" from="2765,1" to="2934,1" stroked="true" strokeweight=".06pt" strokecolor="#000000"/>
            <v:line style="position:absolute" from="2765,2" to="2934,2" stroked="true" strokeweight=".06pt" strokecolor="#000000"/>
            <v:line style="position:absolute" from="2765,3" to="2934,3" stroked="true" strokeweight=".06pt" strokecolor="#000000"/>
            <v:line style="position:absolute" from="2765,5" to="2934,5" stroked="true" strokeweight=".06pt" strokecolor="#000000"/>
            <v:line style="position:absolute" from="2765,6" to="2934,6" stroked="true" strokeweight=".06pt" strokecolor="#000000"/>
            <v:line style="position:absolute" from="2765,7" to="2934,7" stroked="true" strokeweight=".06pt" strokecolor="#000000"/>
            <v:line style="position:absolute" from="2765,8" to="2934,8" stroked="true" strokeweight=".06pt" strokecolor="#000000"/>
            <v:line style="position:absolute" from="2765,9" to="2934,9" stroked="true" strokeweight=".06pt" strokecolor="#000000"/>
            <v:line style="position:absolute" from="2765,11" to="2934,11" stroked="true" strokeweight=".06pt" strokecolor="#000000"/>
            <v:line style="position:absolute" from="2765,12" to="2934,12" stroked="true" strokeweight=".06pt" strokecolor="#000000"/>
            <v:line style="position:absolute" from="2765,13" to="2934,13" stroked="true" strokeweight=".06pt" strokecolor="#000000"/>
            <v:line style="position:absolute" from="2765,14" to="2934,14" stroked="true" strokeweight=".06pt" strokecolor="#000000"/>
            <v:line style="position:absolute" from="2765,15" to="2934,15" stroked="true" strokeweight=".06pt" strokecolor="#000000"/>
            <v:line style="position:absolute" from="2765,17" to="2934,17" stroked="true" strokeweight=".06pt" strokecolor="#000000"/>
            <v:line style="position:absolute" from="2765,18" to="2934,18" stroked="true" strokeweight=".06pt" strokecolor="#000000"/>
            <v:line style="position:absolute" from="2765,19" to="2934,19" stroked="true" strokeweight=".06pt" strokecolor="#000000"/>
            <v:line style="position:absolute" from="2765,42" to="2934,42" stroked="true" strokeweight=".06pt" strokecolor="#000000"/>
            <v:line style="position:absolute" from="2765,43" to="2934,43" stroked="true" strokeweight=".06pt" strokecolor="#000000"/>
            <v:line style="position:absolute" from="2765,44" to="2934,44" stroked="true" strokeweight=".06pt" strokecolor="#000000"/>
            <v:line style="position:absolute" from="2765,45" to="2934,45" stroked="true" strokeweight=".06pt" strokecolor="#000000"/>
            <v:line style="position:absolute" from="2765,47" to="2934,47" stroked="true" strokeweight=".06pt" strokecolor="#000000"/>
            <v:line style="position:absolute" from="2765,48" to="2934,48" stroked="true" strokeweight=".06pt" strokecolor="#000000"/>
            <v:line style="position:absolute" from="2765,49" to="2934,49" stroked="true" strokeweight=".06pt" strokecolor="#000000"/>
            <v:line style="position:absolute" from="2765,50" to="2934,50" stroked="true" strokeweight=".06pt" strokecolor="#000000"/>
            <v:line style="position:absolute" from="2765,51" to="2934,51" stroked="true" strokeweight=".06pt" strokecolor="#000000"/>
            <v:line style="position:absolute" from="2765,53" to="2934,53" stroked="true" strokeweight=".06pt" strokecolor="#000000"/>
            <v:line style="position:absolute" from="2765,54" to="2934,54" stroked="true" strokeweight=".06pt" strokecolor="#000000"/>
            <v:line style="position:absolute" from="2765,55" to="2934,55" stroked="true" strokeweight=".06pt" strokecolor="#000000"/>
            <v:line style="position:absolute" from="2765,56" to="2934,56" stroked="true" strokeweight=".06pt" strokecolor="#000000"/>
            <v:line style="position:absolute" from="2765,57" to="2934,57" stroked="true" strokeweight=".06pt" strokecolor="#000000"/>
            <v:line style="position:absolute" from="2765,59" to="2934,59" stroked="true" strokeweight=".06pt" strokecolor="#000000"/>
            <v:line style="position:absolute" from="2765,60" to="2934,60" stroked="true" strokeweight=".06pt" strokecolor="#000000"/>
            <v:line style="position:absolute" from="2934,1" to="4231,1" stroked="true" strokeweight=".06pt" strokecolor="#000000"/>
            <v:line style="position:absolute" from="2934,2" to="4231,2" stroked="true" strokeweight=".06pt" strokecolor="#000000"/>
            <v:line style="position:absolute" from="2934,3" to="4231,3" stroked="true" strokeweight=".06pt" strokecolor="#000000"/>
            <v:line style="position:absolute" from="2934,5" to="4231,5" stroked="true" strokeweight=".06pt" strokecolor="#000000"/>
            <v:line style="position:absolute" from="2934,6" to="4231,6" stroked="true" strokeweight=".06pt" strokecolor="#000000"/>
            <v:line style="position:absolute" from="2934,7" to="4231,7" stroked="true" strokeweight=".06pt" strokecolor="#000000"/>
            <v:line style="position:absolute" from="2934,8" to="4231,8" stroked="true" strokeweight=".06pt" strokecolor="#000000"/>
            <v:line style="position:absolute" from="2934,9" to="4231,9" stroked="true" strokeweight=".06pt" strokecolor="#000000"/>
            <v:line style="position:absolute" from="2934,11" to="4231,11" stroked="true" strokeweight=".06pt" strokecolor="#000000"/>
            <v:line style="position:absolute" from="2934,12" to="4231,12" stroked="true" strokeweight=".06pt" strokecolor="#000000"/>
            <v:line style="position:absolute" from="2934,13" to="4231,13" stroked="true" strokeweight=".06pt" strokecolor="#000000"/>
            <v:line style="position:absolute" from="2934,14" to="4231,14" stroked="true" strokeweight=".06pt" strokecolor="#000000"/>
            <v:line style="position:absolute" from="2934,15" to="4231,15" stroked="true" strokeweight=".06pt" strokecolor="#000000"/>
            <v:line style="position:absolute" from="2934,17" to="4231,17" stroked="true" strokeweight=".06pt" strokecolor="#000000"/>
            <v:line style="position:absolute" from="2934,18" to="4231,18" stroked="true" strokeweight=".06pt" strokecolor="#000000"/>
            <v:line style="position:absolute" from="2934,19" to="4231,19" stroked="true" strokeweight=".06pt" strokecolor="#000000"/>
            <v:line style="position:absolute" from="2934,42" to="4231,42" stroked="true" strokeweight=".06pt" strokecolor="#000000"/>
            <v:line style="position:absolute" from="2934,43" to="4231,43" stroked="true" strokeweight=".06pt" strokecolor="#000000"/>
            <v:line style="position:absolute" from="2934,44" to="4231,44" stroked="true" strokeweight=".06pt" strokecolor="#000000"/>
            <v:line style="position:absolute" from="2934,45" to="4231,45" stroked="true" strokeweight=".06pt" strokecolor="#000000"/>
            <v:line style="position:absolute" from="2934,47" to="4231,47" stroked="true" strokeweight=".06pt" strokecolor="#000000"/>
            <v:line style="position:absolute" from="2934,48" to="4231,48" stroked="true" strokeweight=".06pt" strokecolor="#000000"/>
            <v:line style="position:absolute" from="2934,49" to="4231,49" stroked="true" strokeweight=".06pt" strokecolor="#000000"/>
            <v:line style="position:absolute" from="2934,50" to="4231,50" stroked="true" strokeweight=".06pt" strokecolor="#000000"/>
            <v:line style="position:absolute" from="2934,51" to="4231,51" stroked="true" strokeweight=".06pt" strokecolor="#000000"/>
            <v:line style="position:absolute" from="2934,53" to="4231,53" stroked="true" strokeweight=".06pt" strokecolor="#000000"/>
            <v:line style="position:absolute" from="2934,54" to="4231,54" stroked="true" strokeweight=".06pt" strokecolor="#000000"/>
            <v:line style="position:absolute" from="2934,55" to="4231,55" stroked="true" strokeweight=".06pt" strokecolor="#000000"/>
            <v:line style="position:absolute" from="2934,56" to="4231,56" stroked="true" strokeweight=".06pt" strokecolor="#000000"/>
            <v:line style="position:absolute" from="2934,57" to="4231,57" stroked="true" strokeweight=".06pt" strokecolor="#000000"/>
            <v:line style="position:absolute" from="2934,59" to="4231,59" stroked="true" strokeweight=".06pt" strokecolor="#000000"/>
            <v:line style="position:absolute" from="2934,60" to="4231,60" stroked="true" strokeweight=".06pt" strokecolor="#000000"/>
            <v:line style="position:absolute" from="4231,1" to="5528,1" stroked="true" strokeweight=".06pt" strokecolor="#000000"/>
            <v:line style="position:absolute" from="4231,2" to="5528,2" stroked="true" strokeweight=".06pt" strokecolor="#000000"/>
            <v:line style="position:absolute" from="4231,3" to="5528,3" stroked="true" strokeweight=".06pt" strokecolor="#000000"/>
            <v:line style="position:absolute" from="4231,5" to="5528,5" stroked="true" strokeweight=".06pt" strokecolor="#000000"/>
            <v:line style="position:absolute" from="4231,6" to="5528,6" stroked="true" strokeweight=".06pt" strokecolor="#000000"/>
            <v:line style="position:absolute" from="4231,7" to="5528,7" stroked="true" strokeweight=".06pt" strokecolor="#000000"/>
            <v:line style="position:absolute" from="4231,8" to="5528,8" stroked="true" strokeweight=".06pt" strokecolor="#000000"/>
            <v:line style="position:absolute" from="4231,9" to="5528,9" stroked="true" strokeweight=".06pt" strokecolor="#000000"/>
            <v:line style="position:absolute" from="4231,11" to="5528,11" stroked="true" strokeweight=".06pt" strokecolor="#000000"/>
            <v:line style="position:absolute" from="4231,12" to="5528,12" stroked="true" strokeweight=".06pt" strokecolor="#000000"/>
            <v:line style="position:absolute" from="4231,13" to="5528,13" stroked="true" strokeweight=".06pt" strokecolor="#000000"/>
            <v:line style="position:absolute" from="4231,14" to="5528,14" stroked="true" strokeweight=".06pt" strokecolor="#000000"/>
            <v:line style="position:absolute" from="4231,15" to="5528,15" stroked="true" strokeweight=".06pt" strokecolor="#000000"/>
            <v:line style="position:absolute" from="4231,17" to="5528,17" stroked="true" strokeweight=".06pt" strokecolor="#000000"/>
            <v:line style="position:absolute" from="4231,18" to="5528,18" stroked="true" strokeweight=".06pt" strokecolor="#000000"/>
            <v:line style="position:absolute" from="4231,19" to="5528,19" stroked="true" strokeweight=".06pt" strokecolor="#000000"/>
            <v:line style="position:absolute" from="4231,42" to="5528,42" stroked="true" strokeweight=".06pt" strokecolor="#000000"/>
            <v:line style="position:absolute" from="4231,43" to="5528,43" stroked="true" strokeweight=".06pt" strokecolor="#000000"/>
            <v:line style="position:absolute" from="4231,44" to="5528,44" stroked="true" strokeweight=".06pt" strokecolor="#000000"/>
            <v:line style="position:absolute" from="4231,45" to="5528,45" stroked="true" strokeweight=".06pt" strokecolor="#000000"/>
            <v:line style="position:absolute" from="4231,47" to="5528,47" stroked="true" strokeweight=".06pt" strokecolor="#000000"/>
            <v:line style="position:absolute" from="4231,48" to="5528,48" stroked="true" strokeweight=".06pt" strokecolor="#000000"/>
            <v:line style="position:absolute" from="4231,49" to="5528,49" stroked="true" strokeweight=".06pt" strokecolor="#000000"/>
            <v:line style="position:absolute" from="4231,50" to="5528,50" stroked="true" strokeweight=".06pt" strokecolor="#000000"/>
            <v:line style="position:absolute" from="4231,51" to="5528,51" stroked="true" strokeweight=".06pt" strokecolor="#000000"/>
            <v:line style="position:absolute" from="4231,53" to="5528,53" stroked="true" strokeweight=".06pt" strokecolor="#000000"/>
            <v:line style="position:absolute" from="4231,54" to="5528,54" stroked="true" strokeweight=".06pt" strokecolor="#000000"/>
            <v:line style="position:absolute" from="4231,55" to="5528,55" stroked="true" strokeweight=".06pt" strokecolor="#000000"/>
            <v:line style="position:absolute" from="4231,56" to="5528,56" stroked="true" strokeweight=".06pt" strokecolor="#000000"/>
            <v:line style="position:absolute" from="4231,57" to="5528,57" stroked="true" strokeweight=".06pt" strokecolor="#000000"/>
            <v:line style="position:absolute" from="4231,59" to="5528,59" stroked="true" strokeweight=".06pt" strokecolor="#000000"/>
            <v:line style="position:absolute" from="4231,60" to="5528,60" stroked="true" strokeweight=".06pt" strokecolor="#000000"/>
          </v:group>
        </w:pict>
      </w:r>
      <w:r>
        <w:rPr>
          <w:position w:val="0"/>
          <w:sz w:val="6"/>
        </w:rPr>
      </w:r>
    </w:p>
    <w:p>
      <w:pPr>
        <w:pStyle w:val="BodyText"/>
        <w:spacing w:before="3"/>
      </w:pPr>
    </w:p>
    <w:p>
      <w:pPr>
        <w:pStyle w:val="ListParagraph"/>
        <w:numPr>
          <w:ilvl w:val="1"/>
          <w:numId w:val="16"/>
        </w:numPr>
        <w:tabs>
          <w:tab w:pos="1072" w:val="left" w:leader="none"/>
        </w:tabs>
        <w:spacing w:line="240" w:lineRule="auto" w:before="77" w:after="0"/>
        <w:ind w:left="1071" w:right="0" w:hanging="566"/>
        <w:jc w:val="left"/>
        <w:rPr>
          <w:sz w:val="18"/>
        </w:rPr>
      </w:pPr>
      <w:r>
        <w:rPr>
          <w:sz w:val="18"/>
        </w:rPr>
        <w:t>Nature and purpose of</w:t>
      </w:r>
      <w:r>
        <w:rPr>
          <w:spacing w:val="-1"/>
          <w:sz w:val="18"/>
        </w:rPr>
        <w:t> </w:t>
      </w:r>
      <w:r>
        <w:rPr>
          <w:sz w:val="18"/>
        </w:rPr>
        <w:t>reserves</w:t>
      </w:r>
    </w:p>
    <w:p>
      <w:pPr>
        <w:pStyle w:val="BodyText"/>
        <w:rPr>
          <w:sz w:val="25"/>
        </w:rPr>
      </w:pPr>
    </w:p>
    <w:p>
      <w:pPr>
        <w:pStyle w:val="BodyText"/>
        <w:ind w:left="1072" w:right="102"/>
      </w:pPr>
      <w:r>
        <w:rPr/>
        <w:t>The asset revaluation reserve for property, plant and equipment reflects revaluation of all Group land, buildings and rare library collection. The reserve is the difference between the valuation and the book value as at valuation date.</w:t>
      </w:r>
    </w:p>
    <w:p>
      <w:pPr>
        <w:pStyle w:val="BodyText"/>
        <w:rPr>
          <w:sz w:val="25"/>
        </w:rPr>
      </w:pPr>
    </w:p>
    <w:p>
      <w:pPr>
        <w:pStyle w:val="BodyText"/>
        <w:ind w:left="1072" w:right="159"/>
      </w:pPr>
      <w:r>
        <w:rPr/>
        <w:t>The investment revaluation reserve is equal to the unrealised gains/(losses) on investments with the University's Fund Manager's for 2012 together with accumulated prior years unrealised gains and losses.</w:t>
      </w:r>
    </w:p>
    <w:p>
      <w:pPr>
        <w:pStyle w:val="BodyText"/>
        <w:rPr>
          <w:sz w:val="25"/>
        </w:rPr>
      </w:pPr>
    </w:p>
    <w:p>
      <w:pPr>
        <w:pStyle w:val="BodyText"/>
        <w:ind w:left="1072" w:right="274"/>
      </w:pPr>
      <w:r>
        <w:rPr/>
        <w:t>The asset revaluation reserve for art collection reflects the revaluation of all Group artworks. The reserve is the difference between the valuation and the book value at the valuation date.</w:t>
      </w:r>
    </w:p>
    <w:p>
      <w:pPr>
        <w:pStyle w:val="BodyText"/>
        <w:rPr>
          <w:sz w:val="25"/>
        </w:rPr>
      </w:pPr>
    </w:p>
    <w:p>
      <w:pPr>
        <w:pStyle w:val="BodyText"/>
        <w:ind w:left="1072" w:right="154"/>
      </w:pPr>
      <w:r>
        <w:rPr/>
        <w:t>The livestock revaluation reserve reflects the revaluation of Group livestock at fair (market) value. The reserve is the difference between the revaluation and the book value at the valuation date See note 1(q).</w:t>
      </w:r>
    </w:p>
    <w:p>
      <w:pPr>
        <w:pStyle w:val="BodyText"/>
        <w:spacing w:before="10"/>
        <w:rPr>
          <w:sz w:val="24"/>
        </w:rPr>
      </w:pPr>
    </w:p>
    <w:p>
      <w:pPr>
        <w:pStyle w:val="Heading9"/>
        <w:numPr>
          <w:ilvl w:val="0"/>
          <w:numId w:val="18"/>
        </w:numPr>
        <w:tabs>
          <w:tab w:pos="506" w:val="left" w:leader="none"/>
        </w:tabs>
        <w:spacing w:line="240" w:lineRule="auto" w:before="1" w:after="0"/>
        <w:ind w:left="505" w:right="0" w:hanging="396"/>
        <w:jc w:val="left"/>
      </w:pPr>
      <w:r>
        <w:rPr/>
        <w:t>Key Management Personnel</w:t>
      </w:r>
      <w:r>
        <w:rPr>
          <w:spacing w:val="-2"/>
        </w:rPr>
        <w:t> </w:t>
      </w:r>
      <w:r>
        <w:rPr/>
        <w:t>Disclosures</w:t>
      </w:r>
    </w:p>
    <w:p>
      <w:pPr>
        <w:pStyle w:val="BodyText"/>
        <w:spacing w:before="11"/>
        <w:rPr>
          <w:b/>
          <w:sz w:val="24"/>
        </w:rPr>
      </w:pPr>
    </w:p>
    <w:p>
      <w:pPr>
        <w:pStyle w:val="ListParagraph"/>
        <w:numPr>
          <w:ilvl w:val="1"/>
          <w:numId w:val="18"/>
        </w:numPr>
        <w:tabs>
          <w:tab w:pos="1072" w:val="left" w:leader="none"/>
        </w:tabs>
        <w:spacing w:line="240" w:lineRule="auto" w:before="0" w:after="0"/>
        <w:ind w:left="1071" w:right="0" w:hanging="566"/>
        <w:jc w:val="left"/>
        <w:rPr>
          <w:sz w:val="18"/>
        </w:rPr>
      </w:pPr>
      <w:r>
        <w:rPr>
          <w:sz w:val="18"/>
        </w:rPr>
        <w:t>Names of responsible persons and executive</w:t>
      </w:r>
      <w:r>
        <w:rPr>
          <w:spacing w:val="-1"/>
          <w:sz w:val="18"/>
        </w:rPr>
        <w:t> </w:t>
      </w:r>
      <w:r>
        <w:rPr>
          <w:sz w:val="18"/>
        </w:rPr>
        <w:t>officers</w:t>
      </w:r>
    </w:p>
    <w:p>
      <w:pPr>
        <w:pStyle w:val="BodyText"/>
        <w:spacing w:before="11"/>
        <w:rPr>
          <w:sz w:val="24"/>
        </w:rPr>
      </w:pPr>
    </w:p>
    <w:p>
      <w:pPr>
        <w:pStyle w:val="BodyText"/>
        <w:ind w:left="1072" w:right="104"/>
      </w:pPr>
      <w:r>
        <w:rPr/>
        <w:t>The following persons were responsible persons and executive officers of University of Western Sydney during the financial year:</w:t>
      </w:r>
    </w:p>
    <w:p>
      <w:pPr>
        <w:pStyle w:val="BodyText"/>
        <w:spacing w:before="11"/>
        <w:rPr>
          <w:sz w:val="24"/>
        </w:rPr>
      </w:pPr>
    </w:p>
    <w:p>
      <w:pPr>
        <w:pStyle w:val="ListParagraph"/>
        <w:numPr>
          <w:ilvl w:val="2"/>
          <w:numId w:val="18"/>
        </w:numPr>
        <w:tabs>
          <w:tab w:pos="1283" w:val="left" w:leader="none"/>
        </w:tabs>
        <w:spacing w:line="240" w:lineRule="auto" w:before="0" w:after="0"/>
        <w:ind w:left="1282" w:right="0" w:hanging="210"/>
        <w:jc w:val="left"/>
        <w:rPr>
          <w:i/>
          <w:sz w:val="18"/>
        </w:rPr>
      </w:pPr>
      <w:r>
        <w:rPr>
          <w:i/>
          <w:sz w:val="18"/>
        </w:rPr>
        <w:t>Responsible</w:t>
      </w:r>
      <w:r>
        <w:rPr>
          <w:i/>
          <w:spacing w:val="-1"/>
          <w:sz w:val="18"/>
        </w:rPr>
        <w:t> </w:t>
      </w:r>
      <w:r>
        <w:rPr>
          <w:i/>
          <w:sz w:val="18"/>
        </w:rPr>
        <w:t>Persons</w:t>
      </w:r>
    </w:p>
    <w:p>
      <w:pPr>
        <w:pStyle w:val="BodyText"/>
        <w:rPr>
          <w:i/>
          <w:sz w:val="25"/>
        </w:rPr>
      </w:pPr>
    </w:p>
    <w:p>
      <w:pPr>
        <w:pStyle w:val="BodyText"/>
        <w:ind w:left="1072" w:right="300"/>
      </w:pPr>
      <w:r>
        <w:rPr/>
        <w:t>'Responsible person' is defined to mean a member of the University's Board of Trustees and its Executive who had authority and responsibility for planning, directing and controlling activities of the University in 2012:</w:t>
      </w:r>
    </w:p>
    <w:p>
      <w:pPr>
        <w:pStyle w:val="BodyText"/>
      </w:pPr>
    </w:p>
    <w:p>
      <w:pPr>
        <w:spacing w:line="302" w:lineRule="auto" w:before="153"/>
        <w:ind w:left="1072" w:right="7527" w:firstLine="0"/>
        <w:jc w:val="left"/>
        <w:rPr>
          <w:sz w:val="18"/>
        </w:rPr>
      </w:pPr>
      <w:r>
        <w:rPr>
          <w:b/>
          <w:sz w:val="18"/>
        </w:rPr>
        <w:t>Board of Trustees </w:t>
      </w:r>
      <w:r>
        <w:rPr>
          <w:sz w:val="18"/>
        </w:rPr>
        <w:t>Peter Shergold, AC Janice Reid, AM Paul Wormell</w:t>
      </w:r>
    </w:p>
    <w:p>
      <w:pPr>
        <w:pStyle w:val="BodyText"/>
        <w:spacing w:line="302" w:lineRule="auto" w:before="2"/>
        <w:ind w:left="1072" w:right="7847"/>
      </w:pPr>
      <w:r>
        <w:rPr/>
        <w:t>John Banks Emma Stein Vivenne James Glen Sanford Ian Stone</w:t>
      </w:r>
    </w:p>
    <w:p>
      <w:pPr>
        <w:spacing w:after="0" w:line="302" w:lineRule="auto"/>
        <w:sectPr>
          <w:type w:val="continuous"/>
          <w:pgSz w:w="11910" w:h="16840"/>
          <w:pgMar w:top="0" w:bottom="280" w:left="900" w:right="840"/>
        </w:sectPr>
      </w:pPr>
    </w:p>
    <w:p>
      <w:pPr>
        <w:pStyle w:val="BodyText"/>
        <w:rPr>
          <w:sz w:val="20"/>
        </w:rPr>
      </w:pPr>
    </w:p>
    <w:p>
      <w:pPr>
        <w:pStyle w:val="BodyText"/>
        <w:rPr>
          <w:sz w:val="20"/>
        </w:rPr>
      </w:pPr>
    </w:p>
    <w:p>
      <w:pPr>
        <w:pStyle w:val="BodyText"/>
        <w:spacing w:before="4"/>
      </w:pPr>
    </w:p>
    <w:p>
      <w:pPr>
        <w:pStyle w:val="Heading9"/>
        <w:ind w:left="109" w:right="95"/>
      </w:pPr>
      <w:r>
        <w:rPr/>
        <w:t>28    Key Management Personnel Disclosures (continued)</w:t>
      </w:r>
    </w:p>
    <w:p>
      <w:pPr>
        <w:pStyle w:val="ListParagraph"/>
        <w:numPr>
          <w:ilvl w:val="0"/>
          <w:numId w:val="19"/>
        </w:numPr>
        <w:tabs>
          <w:tab w:pos="1072" w:val="left" w:leader="none"/>
        </w:tabs>
        <w:spacing w:line="568" w:lineRule="exact" w:before="2" w:after="0"/>
        <w:ind w:left="1072" w:right="3718" w:hanging="567"/>
        <w:jc w:val="left"/>
        <w:rPr>
          <w:sz w:val="18"/>
        </w:rPr>
      </w:pPr>
      <w:r>
        <w:rPr>
          <w:sz w:val="18"/>
        </w:rPr>
        <w:t>Names of responsible persons and executive officers (continued) Hon Kim Yeadon,</w:t>
      </w:r>
      <w:r>
        <w:rPr>
          <w:spacing w:val="-1"/>
          <w:sz w:val="18"/>
        </w:rPr>
        <w:t> </w:t>
      </w:r>
      <w:r>
        <w:rPr>
          <w:sz w:val="18"/>
        </w:rPr>
        <w:t>MP</w:t>
      </w:r>
    </w:p>
    <w:p>
      <w:pPr>
        <w:pStyle w:val="BodyText"/>
        <w:spacing w:line="186" w:lineRule="exact"/>
        <w:ind w:left="1072" w:right="95"/>
      </w:pPr>
      <w:r>
        <w:rPr/>
        <w:t>Christopher Brown</w:t>
      </w:r>
    </w:p>
    <w:p>
      <w:pPr>
        <w:pStyle w:val="BodyText"/>
        <w:spacing w:line="302" w:lineRule="auto" w:before="54"/>
        <w:ind w:left="1072" w:right="7557"/>
      </w:pPr>
      <w:r>
        <w:rPr/>
        <w:t>Gillian Shadwick Ken Langford</w:t>
      </w:r>
    </w:p>
    <w:p>
      <w:pPr>
        <w:pStyle w:val="BodyText"/>
        <w:spacing w:line="302" w:lineRule="auto" w:before="2"/>
        <w:ind w:left="1072" w:right="5585"/>
      </w:pPr>
      <w:r>
        <w:rPr/>
        <w:t>George Morgan - elected 1 January 2012 Lorraine Fordham</w:t>
      </w:r>
    </w:p>
    <w:p>
      <w:pPr>
        <w:pStyle w:val="BodyText"/>
        <w:spacing w:line="302" w:lineRule="auto" w:before="2"/>
        <w:ind w:left="1072" w:right="6036"/>
      </w:pPr>
      <w:r>
        <w:rPr/>
        <w:t>Jing Chen - elected 1 January 2012 Lynda Ayache</w:t>
      </w:r>
    </w:p>
    <w:p>
      <w:pPr>
        <w:pStyle w:val="BodyText"/>
        <w:spacing w:before="10"/>
        <w:rPr>
          <w:sz w:val="22"/>
        </w:rPr>
      </w:pPr>
    </w:p>
    <w:p>
      <w:pPr>
        <w:pStyle w:val="ListParagraph"/>
        <w:numPr>
          <w:ilvl w:val="2"/>
          <w:numId w:val="18"/>
        </w:numPr>
        <w:tabs>
          <w:tab w:pos="1323" w:val="left" w:leader="none"/>
        </w:tabs>
        <w:spacing w:line="240" w:lineRule="auto" w:before="0" w:after="0"/>
        <w:ind w:left="1322" w:right="0" w:hanging="250"/>
        <w:jc w:val="left"/>
        <w:rPr>
          <w:i/>
          <w:sz w:val="18"/>
        </w:rPr>
      </w:pPr>
      <w:r>
        <w:rPr>
          <w:i/>
          <w:sz w:val="18"/>
        </w:rPr>
        <w:t>Executive</w:t>
      </w:r>
      <w:r>
        <w:rPr>
          <w:i/>
          <w:spacing w:val="-1"/>
          <w:sz w:val="18"/>
        </w:rPr>
        <w:t> </w:t>
      </w:r>
      <w:r>
        <w:rPr>
          <w:i/>
          <w:sz w:val="18"/>
        </w:rPr>
        <w:t>Officers</w:t>
      </w:r>
    </w:p>
    <w:p>
      <w:pPr>
        <w:pStyle w:val="BodyText"/>
        <w:rPr>
          <w:i/>
          <w:sz w:val="25"/>
        </w:rPr>
      </w:pPr>
    </w:p>
    <w:p>
      <w:pPr>
        <w:pStyle w:val="BodyText"/>
        <w:ind w:left="1072" w:right="95"/>
      </w:pPr>
      <w:r>
        <w:rPr/>
        <w:t>'Executive' is defined to mean the Chief Executive Officer plus the members of the Executive Committee of the University.  In 2012 these were:</w:t>
      </w:r>
    </w:p>
    <w:p>
      <w:pPr>
        <w:pStyle w:val="BodyText"/>
      </w:pPr>
    </w:p>
    <w:p>
      <w:pPr>
        <w:spacing w:line="302" w:lineRule="auto" w:before="153"/>
        <w:ind w:left="1072" w:right="7117" w:firstLine="0"/>
        <w:jc w:val="left"/>
        <w:rPr>
          <w:sz w:val="18"/>
        </w:rPr>
      </w:pPr>
      <w:r>
        <w:rPr>
          <w:b/>
          <w:sz w:val="18"/>
        </w:rPr>
        <w:t>University Executive </w:t>
      </w:r>
      <w:r>
        <w:rPr>
          <w:sz w:val="18"/>
        </w:rPr>
        <w:t>Janice Reid, AM Rhonda Hawkins</w:t>
      </w:r>
    </w:p>
    <w:p>
      <w:pPr>
        <w:pStyle w:val="BodyText"/>
        <w:spacing w:line="302" w:lineRule="auto" w:before="2"/>
        <w:ind w:left="1072" w:right="4545"/>
      </w:pPr>
      <w:r>
        <w:rPr/>
        <w:t>Conal Wayne McKenna (resigned 31 December 2012) Steve Wilson (appointed 26 November 2012)</w:t>
      </w:r>
    </w:p>
    <w:p>
      <w:pPr>
        <w:pStyle w:val="BodyText"/>
        <w:spacing w:line="302" w:lineRule="auto" w:before="2"/>
        <w:ind w:left="1072" w:right="7529"/>
      </w:pPr>
      <w:r>
        <w:rPr/>
        <w:t>Gary  Smith Peter Pickering Kerri-Lee Krause</w:t>
      </w:r>
    </w:p>
    <w:p>
      <w:pPr>
        <w:pStyle w:val="BodyText"/>
        <w:spacing w:line="302" w:lineRule="auto" w:before="2"/>
        <w:ind w:left="1072" w:right="7399"/>
      </w:pPr>
      <w:r>
        <w:rPr/>
        <w:t>Andrew Cheetham Angelo Kourtis Ann</w:t>
      </w:r>
      <w:r>
        <w:rPr>
          <w:spacing w:val="-1"/>
        </w:rPr>
        <w:t> </w:t>
      </w:r>
      <w:r>
        <w:rPr/>
        <w:t>Tout</w:t>
      </w:r>
    </w:p>
    <w:p>
      <w:pPr>
        <w:pStyle w:val="BodyText"/>
        <w:spacing w:before="2"/>
        <w:ind w:left="1072" w:right="95"/>
      </w:pPr>
      <w:r>
        <w:rPr/>
        <w:t>Paul Rowland (appointed 13 February 2012)</w:t>
      </w:r>
    </w:p>
    <w:p>
      <w:pPr>
        <w:spacing w:after="0"/>
        <w:sectPr>
          <w:pgSz w:w="11910" w:h="16840"/>
          <w:pgMar w:header="1038" w:footer="507" w:top="2220" w:bottom="700" w:left="900" w:right="1040"/>
        </w:sectPr>
      </w:pPr>
    </w:p>
    <w:p>
      <w:pPr>
        <w:pStyle w:val="BodyText"/>
        <w:rPr>
          <w:sz w:val="20"/>
        </w:rPr>
      </w:pPr>
    </w:p>
    <w:p>
      <w:pPr>
        <w:pStyle w:val="BodyText"/>
        <w:rPr>
          <w:sz w:val="20"/>
        </w:rPr>
      </w:pPr>
    </w:p>
    <w:p>
      <w:pPr>
        <w:pStyle w:val="BodyText"/>
        <w:spacing w:before="4"/>
      </w:pPr>
    </w:p>
    <w:p>
      <w:pPr>
        <w:pStyle w:val="Heading9"/>
        <w:numPr>
          <w:ilvl w:val="0"/>
          <w:numId w:val="20"/>
        </w:numPr>
        <w:tabs>
          <w:tab w:pos="506" w:val="left" w:leader="none"/>
        </w:tabs>
        <w:spacing w:line="240" w:lineRule="auto" w:before="0" w:after="0"/>
        <w:ind w:left="505" w:right="0" w:hanging="396"/>
        <w:jc w:val="left"/>
      </w:pPr>
      <w:r>
        <w:rPr/>
        <w:t>Key Management Personnel Disclosures</w:t>
      </w:r>
      <w:r>
        <w:rPr>
          <w:spacing w:val="-2"/>
        </w:rPr>
        <w:t> </w:t>
      </w:r>
      <w:r>
        <w:rPr/>
        <w:t>(continued)</w:t>
      </w:r>
    </w:p>
    <w:p>
      <w:pPr>
        <w:pStyle w:val="BodyText"/>
        <w:spacing w:before="11"/>
        <w:rPr>
          <w:b/>
          <w:sz w:val="24"/>
        </w:rPr>
      </w:pPr>
    </w:p>
    <w:p>
      <w:pPr>
        <w:pStyle w:val="ListParagraph"/>
        <w:numPr>
          <w:ilvl w:val="0"/>
          <w:numId w:val="19"/>
        </w:numPr>
        <w:tabs>
          <w:tab w:pos="1072" w:val="left" w:leader="none"/>
        </w:tabs>
        <w:spacing w:line="240" w:lineRule="auto" w:before="0" w:after="36"/>
        <w:ind w:left="1071" w:right="0" w:hanging="566"/>
        <w:jc w:val="left"/>
        <w:rPr>
          <w:sz w:val="18"/>
        </w:rPr>
      </w:pPr>
      <w:r>
        <w:rPr>
          <w:sz w:val="18"/>
        </w:rPr>
        <w:t>Remuneration of board members and</w:t>
      </w:r>
      <w:r>
        <w:rPr>
          <w:spacing w:val="-1"/>
          <w:sz w:val="18"/>
        </w:rPr>
        <w:t> </w:t>
      </w:r>
      <w:r>
        <w:rPr>
          <w:sz w:val="18"/>
        </w:rPr>
        <w:t>executives</w:t>
      </w:r>
    </w:p>
    <w:tbl>
      <w:tblPr>
        <w:tblW w:w="0" w:type="auto"/>
        <w:jc w:val="left"/>
        <w:tblInd w:w="108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3"/>
        <w:gridCol w:w="1246"/>
        <w:gridCol w:w="200"/>
        <w:gridCol w:w="799"/>
        <w:gridCol w:w="499"/>
        <w:gridCol w:w="981"/>
        <w:gridCol w:w="485"/>
        <w:gridCol w:w="798"/>
        <w:gridCol w:w="520"/>
      </w:tblGrid>
      <w:tr>
        <w:trPr>
          <w:trHeight w:val="834" w:hRule="exact"/>
        </w:trPr>
        <w:tc>
          <w:tcPr>
            <w:tcW w:w="3413" w:type="dxa"/>
          </w:tcPr>
          <w:p>
            <w:pPr/>
          </w:p>
        </w:tc>
        <w:tc>
          <w:tcPr>
            <w:tcW w:w="1246" w:type="dxa"/>
          </w:tcPr>
          <w:p>
            <w:pPr>
              <w:pStyle w:val="TableParagraph"/>
              <w:spacing w:line="316" w:lineRule="auto"/>
              <w:ind w:left="241" w:right="14" w:hanging="170"/>
              <w:rPr>
                <w:b/>
                <w:sz w:val="18"/>
              </w:rPr>
            </w:pPr>
            <w:r>
              <w:rPr>
                <w:b/>
                <w:sz w:val="18"/>
              </w:rPr>
              <w:t>Consolidated 2012</w:t>
            </w:r>
          </w:p>
          <w:p>
            <w:pPr>
              <w:pStyle w:val="TableParagraph"/>
              <w:spacing w:before="2"/>
              <w:ind w:left="241"/>
              <w:rPr>
                <w:b/>
                <w:sz w:val="18"/>
              </w:rPr>
            </w:pPr>
            <w:r>
              <w:rPr>
                <w:b/>
                <w:w w:val="99"/>
                <w:sz w:val="18"/>
              </w:rPr>
              <w:t>#</w:t>
            </w:r>
          </w:p>
        </w:tc>
        <w:tc>
          <w:tcPr>
            <w:tcW w:w="200" w:type="dxa"/>
          </w:tcPr>
          <w:p>
            <w:pPr/>
          </w:p>
        </w:tc>
        <w:tc>
          <w:tcPr>
            <w:tcW w:w="799" w:type="dxa"/>
          </w:tcPr>
          <w:p>
            <w:pPr>
              <w:pStyle w:val="TableParagraph"/>
              <w:spacing w:before="6"/>
              <w:rPr>
                <w:sz w:val="23"/>
              </w:rPr>
            </w:pPr>
          </w:p>
          <w:p>
            <w:pPr>
              <w:pStyle w:val="TableParagraph"/>
              <w:ind w:left="65"/>
              <w:rPr>
                <w:b/>
                <w:sz w:val="18"/>
              </w:rPr>
            </w:pPr>
            <w:r>
              <w:rPr>
                <w:b/>
                <w:sz w:val="18"/>
              </w:rPr>
              <w:t>2011</w:t>
            </w:r>
          </w:p>
          <w:p>
            <w:pPr>
              <w:pStyle w:val="TableParagraph"/>
              <w:spacing w:before="66"/>
              <w:ind w:left="65"/>
              <w:rPr>
                <w:b/>
                <w:sz w:val="18"/>
              </w:rPr>
            </w:pPr>
            <w:r>
              <w:rPr>
                <w:b/>
                <w:w w:val="99"/>
                <w:sz w:val="18"/>
              </w:rPr>
              <w:t>#</w:t>
            </w:r>
          </w:p>
        </w:tc>
        <w:tc>
          <w:tcPr>
            <w:tcW w:w="499" w:type="dxa"/>
          </w:tcPr>
          <w:p>
            <w:pPr/>
          </w:p>
        </w:tc>
        <w:tc>
          <w:tcPr>
            <w:tcW w:w="981" w:type="dxa"/>
          </w:tcPr>
          <w:p>
            <w:pPr>
              <w:pStyle w:val="TableParagraph"/>
              <w:spacing w:line="204" w:lineRule="exact"/>
              <w:ind w:left="47" w:right="334"/>
              <w:jc w:val="center"/>
              <w:rPr>
                <w:b/>
                <w:sz w:val="18"/>
              </w:rPr>
            </w:pPr>
            <w:r>
              <w:rPr>
                <w:b/>
                <w:sz w:val="18"/>
              </w:rPr>
              <w:t>Parent</w:t>
            </w:r>
          </w:p>
          <w:p>
            <w:pPr>
              <w:pStyle w:val="TableParagraph"/>
              <w:spacing w:before="66"/>
              <w:ind w:left="262"/>
              <w:rPr>
                <w:b/>
                <w:sz w:val="18"/>
              </w:rPr>
            </w:pPr>
            <w:r>
              <w:rPr>
                <w:b/>
                <w:sz w:val="18"/>
              </w:rPr>
              <w:t>2012</w:t>
            </w:r>
          </w:p>
          <w:p>
            <w:pPr>
              <w:pStyle w:val="TableParagraph"/>
              <w:spacing w:before="66"/>
              <w:ind w:left="262"/>
              <w:rPr>
                <w:b/>
                <w:sz w:val="18"/>
              </w:rPr>
            </w:pPr>
            <w:r>
              <w:rPr>
                <w:b/>
                <w:w w:val="99"/>
                <w:sz w:val="18"/>
              </w:rPr>
              <w:t>#</w:t>
            </w:r>
          </w:p>
        </w:tc>
        <w:tc>
          <w:tcPr>
            <w:tcW w:w="485" w:type="dxa"/>
          </w:tcPr>
          <w:p>
            <w:pPr/>
          </w:p>
        </w:tc>
        <w:tc>
          <w:tcPr>
            <w:tcW w:w="798" w:type="dxa"/>
          </w:tcPr>
          <w:p>
            <w:pPr>
              <w:pStyle w:val="TableParagraph"/>
              <w:spacing w:before="6"/>
              <w:rPr>
                <w:sz w:val="23"/>
              </w:rPr>
            </w:pPr>
          </w:p>
          <w:p>
            <w:pPr>
              <w:pStyle w:val="TableParagraph"/>
              <w:ind w:left="65"/>
              <w:rPr>
                <w:b/>
                <w:sz w:val="18"/>
              </w:rPr>
            </w:pPr>
            <w:r>
              <w:rPr>
                <w:b/>
                <w:sz w:val="18"/>
              </w:rPr>
              <w:t>2011</w:t>
            </w:r>
          </w:p>
          <w:p>
            <w:pPr>
              <w:pStyle w:val="TableParagraph"/>
              <w:spacing w:before="66"/>
              <w:ind w:left="65"/>
              <w:rPr>
                <w:b/>
                <w:sz w:val="18"/>
              </w:rPr>
            </w:pPr>
            <w:r>
              <w:rPr>
                <w:b/>
                <w:w w:val="99"/>
                <w:sz w:val="18"/>
              </w:rPr>
              <w:t>#</w:t>
            </w:r>
          </w:p>
        </w:tc>
        <w:tc>
          <w:tcPr>
            <w:tcW w:w="520" w:type="dxa"/>
          </w:tcPr>
          <w:p>
            <w:pPr/>
          </w:p>
        </w:tc>
      </w:tr>
      <w:tr>
        <w:trPr>
          <w:trHeight w:val="544" w:hRule="exact"/>
        </w:trPr>
        <w:tc>
          <w:tcPr>
            <w:tcW w:w="3413" w:type="dxa"/>
          </w:tcPr>
          <w:p>
            <w:pPr>
              <w:pStyle w:val="TableParagraph"/>
              <w:spacing w:before="63"/>
              <w:ind w:left="35"/>
              <w:rPr>
                <w:b/>
                <w:sz w:val="18"/>
              </w:rPr>
            </w:pPr>
            <w:r>
              <w:rPr>
                <w:b/>
                <w:sz w:val="18"/>
              </w:rPr>
              <w:t>Remuneration of Board Members</w:t>
            </w:r>
          </w:p>
          <w:p>
            <w:pPr>
              <w:pStyle w:val="TableParagraph"/>
              <w:spacing w:before="29"/>
              <w:ind w:left="35"/>
              <w:rPr>
                <w:sz w:val="18"/>
              </w:rPr>
            </w:pPr>
            <w:r>
              <w:rPr>
                <w:sz w:val="18"/>
              </w:rPr>
              <w:t>Nil to $9,999</w:t>
            </w:r>
          </w:p>
        </w:tc>
        <w:tc>
          <w:tcPr>
            <w:tcW w:w="1246" w:type="dxa"/>
          </w:tcPr>
          <w:p>
            <w:pPr/>
          </w:p>
        </w:tc>
        <w:tc>
          <w:tcPr>
            <w:tcW w:w="200" w:type="dxa"/>
          </w:tcPr>
          <w:p>
            <w:pPr>
              <w:pStyle w:val="TableParagraph"/>
              <w:spacing w:before="11"/>
              <w:rPr>
                <w:sz w:val="25"/>
              </w:rPr>
            </w:pPr>
          </w:p>
          <w:p>
            <w:pPr>
              <w:pStyle w:val="TableParagraph"/>
              <w:ind w:left="33"/>
              <w:rPr>
                <w:b/>
                <w:sz w:val="18"/>
              </w:rPr>
            </w:pPr>
            <w:r>
              <w:rPr>
                <w:b/>
                <w:w w:val="99"/>
                <w:sz w:val="18"/>
              </w:rPr>
              <w:t>1</w:t>
            </w:r>
          </w:p>
        </w:tc>
        <w:tc>
          <w:tcPr>
            <w:tcW w:w="799" w:type="dxa"/>
          </w:tcPr>
          <w:p>
            <w:pPr/>
          </w:p>
        </w:tc>
        <w:tc>
          <w:tcPr>
            <w:tcW w:w="499" w:type="dxa"/>
          </w:tcPr>
          <w:p>
            <w:pPr>
              <w:pStyle w:val="TableParagraph"/>
              <w:spacing w:before="11"/>
              <w:rPr>
                <w:sz w:val="25"/>
              </w:rPr>
            </w:pPr>
          </w:p>
          <w:p>
            <w:pPr>
              <w:pStyle w:val="TableParagraph"/>
              <w:ind w:right="64"/>
              <w:jc w:val="right"/>
              <w:rPr>
                <w:sz w:val="18"/>
              </w:rPr>
            </w:pPr>
            <w:r>
              <w:rPr>
                <w:w w:val="99"/>
                <w:sz w:val="18"/>
              </w:rPr>
              <w:t>-</w:t>
            </w:r>
          </w:p>
        </w:tc>
        <w:tc>
          <w:tcPr>
            <w:tcW w:w="981" w:type="dxa"/>
          </w:tcPr>
          <w:p>
            <w:pPr/>
          </w:p>
        </w:tc>
        <w:tc>
          <w:tcPr>
            <w:tcW w:w="485" w:type="dxa"/>
          </w:tcPr>
          <w:p>
            <w:pPr>
              <w:pStyle w:val="TableParagraph"/>
              <w:spacing w:before="11"/>
              <w:rPr>
                <w:sz w:val="25"/>
              </w:rPr>
            </w:pPr>
          </w:p>
          <w:p>
            <w:pPr>
              <w:pStyle w:val="TableParagraph"/>
              <w:ind w:right="64"/>
              <w:jc w:val="right"/>
              <w:rPr>
                <w:b/>
                <w:sz w:val="18"/>
              </w:rPr>
            </w:pPr>
            <w:r>
              <w:rPr>
                <w:b/>
                <w:w w:val="99"/>
                <w:sz w:val="18"/>
              </w:rPr>
              <w:t>-</w:t>
            </w:r>
          </w:p>
        </w:tc>
        <w:tc>
          <w:tcPr>
            <w:tcW w:w="798" w:type="dxa"/>
          </w:tcPr>
          <w:p>
            <w:pPr/>
          </w:p>
        </w:tc>
        <w:tc>
          <w:tcPr>
            <w:tcW w:w="520" w:type="dxa"/>
          </w:tcPr>
          <w:p>
            <w:pPr>
              <w:pStyle w:val="TableParagraph"/>
              <w:spacing w:before="11"/>
              <w:rPr>
                <w:sz w:val="25"/>
              </w:rPr>
            </w:pPr>
          </w:p>
          <w:p>
            <w:pPr>
              <w:pStyle w:val="TableParagraph"/>
              <w:ind w:right="85"/>
              <w:jc w:val="right"/>
              <w:rPr>
                <w:sz w:val="18"/>
              </w:rPr>
            </w:pPr>
            <w:r>
              <w:rPr>
                <w:w w:val="99"/>
                <w:sz w:val="18"/>
              </w:rPr>
              <w:t>-</w:t>
            </w:r>
          </w:p>
        </w:tc>
      </w:tr>
      <w:tr>
        <w:trPr>
          <w:trHeight w:val="264" w:hRule="exact"/>
        </w:trPr>
        <w:tc>
          <w:tcPr>
            <w:tcW w:w="3413" w:type="dxa"/>
          </w:tcPr>
          <w:p>
            <w:pPr>
              <w:pStyle w:val="TableParagraph"/>
              <w:spacing w:before="19"/>
              <w:ind w:left="35"/>
              <w:rPr>
                <w:sz w:val="18"/>
              </w:rPr>
            </w:pPr>
            <w:r>
              <w:rPr>
                <w:sz w:val="18"/>
              </w:rPr>
              <w:t>$10,000 to $19,999</w:t>
            </w:r>
          </w:p>
        </w:tc>
        <w:tc>
          <w:tcPr>
            <w:tcW w:w="1246" w:type="dxa"/>
          </w:tcPr>
          <w:p>
            <w:pPr/>
          </w:p>
        </w:tc>
        <w:tc>
          <w:tcPr>
            <w:tcW w:w="200" w:type="dxa"/>
          </w:tcPr>
          <w:p>
            <w:pPr>
              <w:pStyle w:val="TableParagraph"/>
              <w:spacing w:before="18"/>
              <w:ind w:left="33"/>
              <w:rPr>
                <w:b/>
                <w:sz w:val="18"/>
              </w:rPr>
            </w:pPr>
            <w:r>
              <w:rPr>
                <w:b/>
                <w:w w:val="99"/>
                <w:sz w:val="18"/>
              </w:rPr>
              <w:t>2</w:t>
            </w:r>
          </w:p>
        </w:tc>
        <w:tc>
          <w:tcPr>
            <w:tcW w:w="799" w:type="dxa"/>
          </w:tcPr>
          <w:p>
            <w:pPr/>
          </w:p>
        </w:tc>
        <w:tc>
          <w:tcPr>
            <w:tcW w:w="499" w:type="dxa"/>
          </w:tcPr>
          <w:p>
            <w:pPr>
              <w:pStyle w:val="TableParagraph"/>
              <w:spacing w:before="18"/>
              <w:ind w:right="63"/>
              <w:jc w:val="right"/>
              <w:rPr>
                <w:sz w:val="18"/>
              </w:rPr>
            </w:pPr>
            <w:r>
              <w:rPr>
                <w:w w:val="99"/>
                <w:sz w:val="18"/>
              </w:rPr>
              <w:t>2</w:t>
            </w:r>
          </w:p>
        </w:tc>
        <w:tc>
          <w:tcPr>
            <w:tcW w:w="981" w:type="dxa"/>
          </w:tcPr>
          <w:p>
            <w:pPr/>
          </w:p>
        </w:tc>
        <w:tc>
          <w:tcPr>
            <w:tcW w:w="485" w:type="dxa"/>
          </w:tcPr>
          <w:p>
            <w:pPr>
              <w:pStyle w:val="TableParagraph"/>
              <w:spacing w:before="18"/>
              <w:ind w:right="64"/>
              <w:jc w:val="right"/>
              <w:rPr>
                <w:b/>
                <w:sz w:val="18"/>
              </w:rPr>
            </w:pPr>
            <w:r>
              <w:rPr>
                <w:b/>
                <w:w w:val="99"/>
                <w:sz w:val="18"/>
              </w:rPr>
              <w:t>-</w:t>
            </w:r>
          </w:p>
        </w:tc>
        <w:tc>
          <w:tcPr>
            <w:tcW w:w="798" w:type="dxa"/>
          </w:tcPr>
          <w:p>
            <w:pPr/>
          </w:p>
        </w:tc>
        <w:tc>
          <w:tcPr>
            <w:tcW w:w="520" w:type="dxa"/>
          </w:tcPr>
          <w:p>
            <w:pPr>
              <w:pStyle w:val="TableParagraph"/>
              <w:spacing w:before="18"/>
              <w:ind w:right="85"/>
              <w:jc w:val="right"/>
              <w:rPr>
                <w:sz w:val="18"/>
              </w:rPr>
            </w:pPr>
            <w:r>
              <w:rPr>
                <w:w w:val="99"/>
                <w:sz w:val="18"/>
              </w:rPr>
              <w:t>-</w:t>
            </w:r>
          </w:p>
        </w:tc>
      </w:tr>
      <w:tr>
        <w:trPr>
          <w:trHeight w:val="264" w:hRule="exact"/>
        </w:trPr>
        <w:tc>
          <w:tcPr>
            <w:tcW w:w="3413" w:type="dxa"/>
          </w:tcPr>
          <w:p>
            <w:pPr>
              <w:pStyle w:val="TableParagraph"/>
              <w:spacing w:before="19"/>
              <w:ind w:left="35"/>
              <w:rPr>
                <w:sz w:val="18"/>
              </w:rPr>
            </w:pPr>
            <w:r>
              <w:rPr>
                <w:sz w:val="18"/>
              </w:rPr>
              <w:t>$30,000 to $39,999</w:t>
            </w:r>
          </w:p>
        </w:tc>
        <w:tc>
          <w:tcPr>
            <w:tcW w:w="1246" w:type="dxa"/>
          </w:tcPr>
          <w:p>
            <w:pPr/>
          </w:p>
        </w:tc>
        <w:tc>
          <w:tcPr>
            <w:tcW w:w="200" w:type="dxa"/>
          </w:tcPr>
          <w:p>
            <w:pPr>
              <w:pStyle w:val="TableParagraph"/>
              <w:spacing w:before="18"/>
              <w:ind w:left="73"/>
              <w:rPr>
                <w:b/>
                <w:sz w:val="18"/>
              </w:rPr>
            </w:pPr>
            <w:r>
              <w:rPr>
                <w:b/>
                <w:w w:val="99"/>
                <w:sz w:val="18"/>
              </w:rPr>
              <w:t>-</w:t>
            </w:r>
          </w:p>
        </w:tc>
        <w:tc>
          <w:tcPr>
            <w:tcW w:w="799" w:type="dxa"/>
          </w:tcPr>
          <w:p>
            <w:pPr/>
          </w:p>
        </w:tc>
        <w:tc>
          <w:tcPr>
            <w:tcW w:w="499" w:type="dxa"/>
          </w:tcPr>
          <w:p>
            <w:pPr>
              <w:pStyle w:val="TableParagraph"/>
              <w:spacing w:before="18"/>
              <w:ind w:right="63"/>
              <w:jc w:val="right"/>
              <w:rPr>
                <w:sz w:val="18"/>
              </w:rPr>
            </w:pPr>
            <w:r>
              <w:rPr>
                <w:w w:val="99"/>
                <w:sz w:val="18"/>
              </w:rPr>
              <w:t>1</w:t>
            </w:r>
          </w:p>
        </w:tc>
        <w:tc>
          <w:tcPr>
            <w:tcW w:w="981" w:type="dxa"/>
          </w:tcPr>
          <w:p>
            <w:pPr/>
          </w:p>
        </w:tc>
        <w:tc>
          <w:tcPr>
            <w:tcW w:w="485" w:type="dxa"/>
          </w:tcPr>
          <w:p>
            <w:pPr>
              <w:pStyle w:val="TableParagraph"/>
              <w:spacing w:before="18"/>
              <w:ind w:right="64"/>
              <w:jc w:val="right"/>
              <w:rPr>
                <w:b/>
                <w:sz w:val="18"/>
              </w:rPr>
            </w:pPr>
            <w:r>
              <w:rPr>
                <w:b/>
                <w:w w:val="99"/>
                <w:sz w:val="18"/>
              </w:rPr>
              <w:t>-</w:t>
            </w:r>
          </w:p>
        </w:tc>
        <w:tc>
          <w:tcPr>
            <w:tcW w:w="798" w:type="dxa"/>
          </w:tcPr>
          <w:p>
            <w:pPr/>
          </w:p>
        </w:tc>
        <w:tc>
          <w:tcPr>
            <w:tcW w:w="520" w:type="dxa"/>
          </w:tcPr>
          <w:p>
            <w:pPr>
              <w:pStyle w:val="TableParagraph"/>
              <w:spacing w:before="18"/>
              <w:ind w:right="84"/>
              <w:jc w:val="right"/>
              <w:rPr>
                <w:sz w:val="18"/>
              </w:rPr>
            </w:pPr>
            <w:r>
              <w:rPr>
                <w:w w:val="99"/>
                <w:sz w:val="18"/>
              </w:rPr>
              <w:t>1</w:t>
            </w:r>
          </w:p>
        </w:tc>
      </w:tr>
      <w:tr>
        <w:trPr>
          <w:trHeight w:val="263" w:hRule="exact"/>
        </w:trPr>
        <w:tc>
          <w:tcPr>
            <w:tcW w:w="3413" w:type="dxa"/>
          </w:tcPr>
          <w:p>
            <w:pPr>
              <w:pStyle w:val="TableParagraph"/>
              <w:spacing w:before="19"/>
              <w:ind w:left="35"/>
              <w:rPr>
                <w:sz w:val="18"/>
              </w:rPr>
            </w:pPr>
            <w:r>
              <w:rPr>
                <w:sz w:val="18"/>
              </w:rPr>
              <w:t>$40,000 to $49,999</w:t>
            </w:r>
          </w:p>
        </w:tc>
        <w:tc>
          <w:tcPr>
            <w:tcW w:w="1246" w:type="dxa"/>
            <w:tcBorders>
              <w:bottom w:val="single" w:sz="0" w:space="0" w:color="000000"/>
            </w:tcBorders>
          </w:tcPr>
          <w:p>
            <w:pPr/>
          </w:p>
        </w:tc>
        <w:tc>
          <w:tcPr>
            <w:tcW w:w="200" w:type="dxa"/>
            <w:tcBorders>
              <w:bottom w:val="single" w:sz="0" w:space="0" w:color="000000"/>
            </w:tcBorders>
          </w:tcPr>
          <w:p>
            <w:pPr>
              <w:pStyle w:val="TableParagraph"/>
              <w:spacing w:before="18"/>
              <w:ind w:left="34"/>
              <w:rPr>
                <w:b/>
                <w:sz w:val="18"/>
              </w:rPr>
            </w:pPr>
            <w:r>
              <w:rPr>
                <w:b/>
                <w:w w:val="99"/>
                <w:sz w:val="18"/>
              </w:rPr>
              <w:t>1</w:t>
            </w:r>
          </w:p>
        </w:tc>
        <w:tc>
          <w:tcPr>
            <w:tcW w:w="799" w:type="dxa"/>
            <w:tcBorders>
              <w:bottom w:val="single" w:sz="0" w:space="0" w:color="000000"/>
            </w:tcBorders>
          </w:tcPr>
          <w:p>
            <w:pPr/>
          </w:p>
        </w:tc>
        <w:tc>
          <w:tcPr>
            <w:tcW w:w="499" w:type="dxa"/>
            <w:tcBorders>
              <w:bottom w:val="single" w:sz="0" w:space="0" w:color="000000"/>
            </w:tcBorders>
          </w:tcPr>
          <w:p>
            <w:pPr>
              <w:pStyle w:val="TableParagraph"/>
              <w:spacing w:before="18"/>
              <w:ind w:right="64"/>
              <w:jc w:val="right"/>
              <w:rPr>
                <w:sz w:val="18"/>
              </w:rPr>
            </w:pPr>
            <w:r>
              <w:rPr>
                <w:w w:val="99"/>
                <w:sz w:val="18"/>
              </w:rPr>
              <w:t>-</w:t>
            </w:r>
          </w:p>
        </w:tc>
        <w:tc>
          <w:tcPr>
            <w:tcW w:w="981" w:type="dxa"/>
            <w:tcBorders>
              <w:bottom w:val="single" w:sz="0" w:space="0" w:color="000000"/>
            </w:tcBorders>
          </w:tcPr>
          <w:p>
            <w:pPr/>
          </w:p>
        </w:tc>
        <w:tc>
          <w:tcPr>
            <w:tcW w:w="485" w:type="dxa"/>
            <w:tcBorders>
              <w:bottom w:val="single" w:sz="0" w:space="0" w:color="000000"/>
            </w:tcBorders>
          </w:tcPr>
          <w:p>
            <w:pPr>
              <w:pStyle w:val="TableParagraph"/>
              <w:spacing w:before="18"/>
              <w:ind w:right="63"/>
              <w:jc w:val="right"/>
              <w:rPr>
                <w:b/>
                <w:sz w:val="18"/>
              </w:rPr>
            </w:pPr>
            <w:r>
              <w:rPr>
                <w:b/>
                <w:w w:val="99"/>
                <w:sz w:val="18"/>
              </w:rPr>
              <w:t>1</w:t>
            </w:r>
          </w:p>
        </w:tc>
        <w:tc>
          <w:tcPr>
            <w:tcW w:w="798" w:type="dxa"/>
            <w:tcBorders>
              <w:bottom w:val="single" w:sz="0" w:space="0" w:color="000000"/>
            </w:tcBorders>
          </w:tcPr>
          <w:p>
            <w:pPr/>
          </w:p>
        </w:tc>
        <w:tc>
          <w:tcPr>
            <w:tcW w:w="520" w:type="dxa"/>
            <w:tcBorders>
              <w:bottom w:val="single" w:sz="0" w:space="0" w:color="000000"/>
            </w:tcBorders>
          </w:tcPr>
          <w:p>
            <w:pPr>
              <w:pStyle w:val="TableParagraph"/>
              <w:spacing w:before="18"/>
              <w:ind w:right="85"/>
              <w:jc w:val="right"/>
              <w:rPr>
                <w:sz w:val="18"/>
              </w:rPr>
            </w:pPr>
            <w:r>
              <w:rPr>
                <w:w w:val="99"/>
                <w:sz w:val="18"/>
              </w:rPr>
              <w:t>-</w:t>
            </w:r>
          </w:p>
        </w:tc>
      </w:tr>
      <w:tr>
        <w:trPr>
          <w:trHeight w:val="338" w:hRule="exact"/>
        </w:trPr>
        <w:tc>
          <w:tcPr>
            <w:tcW w:w="3413" w:type="dxa"/>
          </w:tcPr>
          <w:p>
            <w:pPr/>
          </w:p>
        </w:tc>
        <w:tc>
          <w:tcPr>
            <w:tcW w:w="1246" w:type="dxa"/>
            <w:tcBorders>
              <w:top w:val="single" w:sz="0" w:space="0" w:color="000000"/>
              <w:bottom w:val="single" w:sz="0" w:space="0" w:color="000000"/>
            </w:tcBorders>
          </w:tcPr>
          <w:p>
            <w:pPr/>
          </w:p>
        </w:tc>
        <w:tc>
          <w:tcPr>
            <w:tcW w:w="200" w:type="dxa"/>
            <w:tcBorders>
              <w:top w:val="single" w:sz="0" w:space="0" w:color="000000"/>
              <w:bottom w:val="single" w:sz="0" w:space="0" w:color="000000"/>
            </w:tcBorders>
          </w:tcPr>
          <w:p>
            <w:pPr>
              <w:pStyle w:val="TableParagraph"/>
              <w:spacing w:before="122"/>
              <w:ind w:left="33"/>
              <w:rPr>
                <w:b/>
                <w:sz w:val="18"/>
              </w:rPr>
            </w:pPr>
            <w:r>
              <w:rPr>
                <w:b/>
                <w:w w:val="99"/>
                <w:sz w:val="18"/>
              </w:rPr>
              <w:t>4</w:t>
            </w:r>
          </w:p>
        </w:tc>
        <w:tc>
          <w:tcPr>
            <w:tcW w:w="799" w:type="dxa"/>
            <w:tcBorders>
              <w:top w:val="single" w:sz="0" w:space="0" w:color="000000"/>
              <w:bottom w:val="single" w:sz="0" w:space="0" w:color="000000"/>
            </w:tcBorders>
          </w:tcPr>
          <w:p>
            <w:pPr/>
          </w:p>
        </w:tc>
        <w:tc>
          <w:tcPr>
            <w:tcW w:w="499" w:type="dxa"/>
            <w:tcBorders>
              <w:top w:val="single" w:sz="0" w:space="0" w:color="000000"/>
              <w:bottom w:val="single" w:sz="0" w:space="0" w:color="000000"/>
            </w:tcBorders>
          </w:tcPr>
          <w:p>
            <w:pPr>
              <w:pStyle w:val="TableParagraph"/>
              <w:spacing w:before="122"/>
              <w:ind w:right="65"/>
              <w:jc w:val="right"/>
              <w:rPr>
                <w:sz w:val="18"/>
              </w:rPr>
            </w:pPr>
            <w:r>
              <w:rPr>
                <w:w w:val="99"/>
                <w:sz w:val="18"/>
              </w:rPr>
              <w:t>3</w:t>
            </w:r>
          </w:p>
        </w:tc>
        <w:tc>
          <w:tcPr>
            <w:tcW w:w="981" w:type="dxa"/>
            <w:tcBorders>
              <w:top w:val="single" w:sz="0" w:space="0" w:color="000000"/>
              <w:bottom w:val="single" w:sz="0" w:space="0" w:color="000000"/>
            </w:tcBorders>
          </w:tcPr>
          <w:p>
            <w:pPr/>
          </w:p>
        </w:tc>
        <w:tc>
          <w:tcPr>
            <w:tcW w:w="485" w:type="dxa"/>
            <w:tcBorders>
              <w:top w:val="single" w:sz="0" w:space="0" w:color="000000"/>
              <w:bottom w:val="single" w:sz="0" w:space="0" w:color="000000"/>
            </w:tcBorders>
          </w:tcPr>
          <w:p>
            <w:pPr>
              <w:pStyle w:val="TableParagraph"/>
              <w:spacing w:before="122"/>
              <w:ind w:right="63"/>
              <w:jc w:val="right"/>
              <w:rPr>
                <w:b/>
                <w:sz w:val="18"/>
              </w:rPr>
            </w:pPr>
            <w:r>
              <w:rPr>
                <w:b/>
                <w:w w:val="99"/>
                <w:sz w:val="18"/>
              </w:rPr>
              <w:t>1</w:t>
            </w:r>
          </w:p>
        </w:tc>
        <w:tc>
          <w:tcPr>
            <w:tcW w:w="798" w:type="dxa"/>
            <w:tcBorders>
              <w:top w:val="single" w:sz="0" w:space="0" w:color="000000"/>
              <w:bottom w:val="single" w:sz="0" w:space="0" w:color="000000"/>
            </w:tcBorders>
          </w:tcPr>
          <w:p>
            <w:pPr/>
          </w:p>
        </w:tc>
        <w:tc>
          <w:tcPr>
            <w:tcW w:w="520" w:type="dxa"/>
            <w:tcBorders>
              <w:top w:val="single" w:sz="0" w:space="0" w:color="000000"/>
              <w:bottom w:val="single" w:sz="0" w:space="0" w:color="000000"/>
            </w:tcBorders>
          </w:tcPr>
          <w:p>
            <w:pPr>
              <w:pStyle w:val="TableParagraph"/>
              <w:spacing w:before="122"/>
              <w:ind w:right="85"/>
              <w:jc w:val="right"/>
              <w:rPr>
                <w:sz w:val="18"/>
              </w:rPr>
            </w:pPr>
            <w:r>
              <w:rPr>
                <w:w w:val="99"/>
                <w:sz w:val="18"/>
              </w:rPr>
              <w:t>1</w:t>
            </w:r>
          </w:p>
        </w:tc>
      </w:tr>
    </w:tbl>
    <w:p>
      <w:pPr>
        <w:pStyle w:val="BodyText"/>
        <w:rPr>
          <w:sz w:val="20"/>
        </w:rPr>
      </w:pPr>
    </w:p>
    <w:p>
      <w:pPr>
        <w:pStyle w:val="BodyText"/>
        <w:spacing w:before="1"/>
        <w:rPr>
          <w:sz w:val="20"/>
        </w:rPr>
      </w:pPr>
    </w:p>
    <w:tbl>
      <w:tblPr>
        <w:tblW w:w="0" w:type="auto"/>
        <w:jc w:val="left"/>
        <w:tblInd w:w="108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3"/>
        <w:gridCol w:w="1447"/>
        <w:gridCol w:w="747"/>
        <w:gridCol w:w="550"/>
        <w:gridCol w:w="930"/>
        <w:gridCol w:w="536"/>
        <w:gridCol w:w="747"/>
        <w:gridCol w:w="570"/>
      </w:tblGrid>
      <w:tr>
        <w:trPr>
          <w:trHeight w:val="914" w:hRule="exact"/>
        </w:trPr>
        <w:tc>
          <w:tcPr>
            <w:tcW w:w="3413" w:type="dxa"/>
          </w:tcPr>
          <w:p>
            <w:pPr/>
          </w:p>
        </w:tc>
        <w:tc>
          <w:tcPr>
            <w:tcW w:w="1447" w:type="dxa"/>
          </w:tcPr>
          <w:p>
            <w:pPr>
              <w:pStyle w:val="TableParagraph"/>
              <w:spacing w:line="316" w:lineRule="auto" w:before="77"/>
              <w:ind w:left="241" w:right="215" w:hanging="170"/>
              <w:rPr>
                <w:b/>
                <w:sz w:val="18"/>
              </w:rPr>
            </w:pPr>
            <w:r>
              <w:rPr>
                <w:b/>
                <w:sz w:val="18"/>
              </w:rPr>
              <w:t>Consolidated 2012</w:t>
            </w:r>
          </w:p>
          <w:p>
            <w:pPr>
              <w:pStyle w:val="TableParagraph"/>
              <w:spacing w:before="2"/>
              <w:ind w:left="241"/>
              <w:rPr>
                <w:b/>
                <w:sz w:val="18"/>
              </w:rPr>
            </w:pPr>
            <w:r>
              <w:rPr>
                <w:b/>
                <w:w w:val="99"/>
                <w:sz w:val="18"/>
              </w:rPr>
              <w:t>#</w:t>
            </w:r>
          </w:p>
        </w:tc>
        <w:tc>
          <w:tcPr>
            <w:tcW w:w="747" w:type="dxa"/>
          </w:tcPr>
          <w:p>
            <w:pPr>
              <w:pStyle w:val="TableParagraph"/>
              <w:rPr>
                <w:sz w:val="18"/>
              </w:rPr>
            </w:pPr>
          </w:p>
          <w:p>
            <w:pPr>
              <w:pStyle w:val="TableParagraph"/>
              <w:spacing w:before="143"/>
              <w:ind w:left="64"/>
              <w:rPr>
                <w:b/>
                <w:sz w:val="18"/>
              </w:rPr>
            </w:pPr>
            <w:r>
              <w:rPr>
                <w:b/>
                <w:sz w:val="18"/>
              </w:rPr>
              <w:t>2011</w:t>
            </w:r>
          </w:p>
          <w:p>
            <w:pPr>
              <w:pStyle w:val="TableParagraph"/>
              <w:spacing w:before="66"/>
              <w:ind w:left="64"/>
              <w:rPr>
                <w:b/>
                <w:sz w:val="18"/>
              </w:rPr>
            </w:pPr>
            <w:r>
              <w:rPr>
                <w:b/>
                <w:w w:val="99"/>
                <w:sz w:val="18"/>
              </w:rPr>
              <w:t>#</w:t>
            </w:r>
          </w:p>
        </w:tc>
        <w:tc>
          <w:tcPr>
            <w:tcW w:w="550" w:type="dxa"/>
          </w:tcPr>
          <w:p>
            <w:pPr/>
          </w:p>
        </w:tc>
        <w:tc>
          <w:tcPr>
            <w:tcW w:w="930" w:type="dxa"/>
          </w:tcPr>
          <w:p>
            <w:pPr>
              <w:pStyle w:val="TableParagraph"/>
              <w:spacing w:before="77"/>
              <w:ind w:left="45" w:right="284"/>
              <w:jc w:val="center"/>
              <w:rPr>
                <w:b/>
                <w:sz w:val="18"/>
              </w:rPr>
            </w:pPr>
            <w:r>
              <w:rPr>
                <w:b/>
                <w:sz w:val="18"/>
              </w:rPr>
              <w:t>Parent</w:t>
            </w:r>
          </w:p>
          <w:p>
            <w:pPr>
              <w:pStyle w:val="TableParagraph"/>
              <w:spacing w:before="66"/>
              <w:ind w:left="260"/>
              <w:rPr>
                <w:b/>
                <w:sz w:val="18"/>
              </w:rPr>
            </w:pPr>
            <w:r>
              <w:rPr>
                <w:b/>
                <w:sz w:val="18"/>
              </w:rPr>
              <w:t>2012</w:t>
            </w:r>
          </w:p>
          <w:p>
            <w:pPr>
              <w:pStyle w:val="TableParagraph"/>
              <w:spacing w:before="66"/>
              <w:ind w:left="260"/>
              <w:rPr>
                <w:b/>
                <w:sz w:val="18"/>
              </w:rPr>
            </w:pPr>
            <w:r>
              <w:rPr>
                <w:b/>
                <w:w w:val="99"/>
                <w:sz w:val="18"/>
              </w:rPr>
              <w:t>#</w:t>
            </w:r>
          </w:p>
        </w:tc>
        <w:tc>
          <w:tcPr>
            <w:tcW w:w="536" w:type="dxa"/>
          </w:tcPr>
          <w:p>
            <w:pPr/>
          </w:p>
        </w:tc>
        <w:tc>
          <w:tcPr>
            <w:tcW w:w="747" w:type="dxa"/>
          </w:tcPr>
          <w:p>
            <w:pPr>
              <w:pStyle w:val="TableParagraph"/>
              <w:rPr>
                <w:sz w:val="18"/>
              </w:rPr>
            </w:pPr>
          </w:p>
          <w:p>
            <w:pPr>
              <w:pStyle w:val="TableParagraph"/>
              <w:spacing w:before="143"/>
              <w:ind w:left="63"/>
              <w:rPr>
                <w:b/>
                <w:sz w:val="18"/>
              </w:rPr>
            </w:pPr>
            <w:r>
              <w:rPr>
                <w:b/>
                <w:sz w:val="18"/>
              </w:rPr>
              <w:t>2011</w:t>
            </w:r>
          </w:p>
          <w:p>
            <w:pPr>
              <w:pStyle w:val="TableParagraph"/>
              <w:spacing w:before="66"/>
              <w:ind w:left="63"/>
              <w:rPr>
                <w:b/>
                <w:sz w:val="18"/>
              </w:rPr>
            </w:pPr>
            <w:r>
              <w:rPr>
                <w:b/>
                <w:w w:val="99"/>
                <w:sz w:val="18"/>
              </w:rPr>
              <w:t>#</w:t>
            </w:r>
          </w:p>
        </w:tc>
        <w:tc>
          <w:tcPr>
            <w:tcW w:w="570" w:type="dxa"/>
          </w:tcPr>
          <w:p>
            <w:pPr/>
          </w:p>
        </w:tc>
      </w:tr>
      <w:tr>
        <w:trPr>
          <w:trHeight w:val="544" w:hRule="exact"/>
        </w:trPr>
        <w:tc>
          <w:tcPr>
            <w:tcW w:w="3413" w:type="dxa"/>
          </w:tcPr>
          <w:p>
            <w:pPr>
              <w:pStyle w:val="TableParagraph"/>
              <w:spacing w:before="63"/>
              <w:ind w:left="35"/>
              <w:rPr>
                <w:b/>
                <w:sz w:val="18"/>
              </w:rPr>
            </w:pPr>
            <w:r>
              <w:rPr>
                <w:b/>
                <w:sz w:val="18"/>
              </w:rPr>
              <w:t>Remuneration of executive officers</w:t>
            </w:r>
          </w:p>
          <w:p>
            <w:pPr>
              <w:pStyle w:val="TableParagraph"/>
              <w:spacing w:before="29"/>
              <w:ind w:left="35"/>
              <w:rPr>
                <w:sz w:val="18"/>
              </w:rPr>
            </w:pPr>
            <w:r>
              <w:rPr>
                <w:sz w:val="18"/>
              </w:rPr>
              <w:t>$180,000 to $189,999</w:t>
            </w:r>
          </w:p>
        </w:tc>
        <w:tc>
          <w:tcPr>
            <w:tcW w:w="1447" w:type="dxa"/>
          </w:tcPr>
          <w:p>
            <w:pPr>
              <w:pStyle w:val="TableParagraph"/>
              <w:spacing w:before="11"/>
              <w:rPr>
                <w:sz w:val="25"/>
              </w:rPr>
            </w:pPr>
          </w:p>
          <w:p>
            <w:pPr>
              <w:pStyle w:val="TableParagraph"/>
              <w:ind w:right="66"/>
              <w:jc w:val="right"/>
              <w:rPr>
                <w:b/>
                <w:sz w:val="18"/>
              </w:rPr>
            </w:pPr>
            <w:r>
              <w:rPr>
                <w:b/>
                <w:w w:val="99"/>
                <w:sz w:val="18"/>
              </w:rPr>
              <w:t>-</w:t>
            </w:r>
          </w:p>
        </w:tc>
        <w:tc>
          <w:tcPr>
            <w:tcW w:w="747" w:type="dxa"/>
          </w:tcPr>
          <w:p>
            <w:pPr/>
          </w:p>
        </w:tc>
        <w:tc>
          <w:tcPr>
            <w:tcW w:w="550" w:type="dxa"/>
          </w:tcPr>
          <w:p>
            <w:pPr>
              <w:pStyle w:val="TableParagraph"/>
              <w:spacing w:before="11"/>
              <w:rPr>
                <w:sz w:val="25"/>
              </w:rPr>
            </w:pPr>
          </w:p>
          <w:p>
            <w:pPr>
              <w:pStyle w:val="TableParagraph"/>
              <w:ind w:right="65"/>
              <w:jc w:val="right"/>
              <w:rPr>
                <w:sz w:val="18"/>
              </w:rPr>
            </w:pPr>
            <w:r>
              <w:rPr>
                <w:w w:val="99"/>
                <w:sz w:val="18"/>
              </w:rPr>
              <w:t>2</w:t>
            </w:r>
          </w:p>
        </w:tc>
        <w:tc>
          <w:tcPr>
            <w:tcW w:w="930" w:type="dxa"/>
          </w:tcPr>
          <w:p>
            <w:pPr/>
          </w:p>
        </w:tc>
        <w:tc>
          <w:tcPr>
            <w:tcW w:w="536" w:type="dxa"/>
          </w:tcPr>
          <w:p>
            <w:pPr>
              <w:pStyle w:val="TableParagraph"/>
              <w:spacing w:before="11"/>
              <w:rPr>
                <w:sz w:val="25"/>
              </w:rPr>
            </w:pPr>
          </w:p>
          <w:p>
            <w:pPr>
              <w:pStyle w:val="TableParagraph"/>
              <w:ind w:right="65"/>
              <w:jc w:val="right"/>
              <w:rPr>
                <w:b/>
                <w:sz w:val="18"/>
              </w:rPr>
            </w:pPr>
            <w:r>
              <w:rPr>
                <w:b/>
                <w:w w:val="99"/>
                <w:sz w:val="18"/>
              </w:rPr>
              <w:t>-</w:t>
            </w:r>
          </w:p>
        </w:tc>
        <w:tc>
          <w:tcPr>
            <w:tcW w:w="747" w:type="dxa"/>
          </w:tcPr>
          <w:p>
            <w:pPr/>
          </w:p>
        </w:tc>
        <w:tc>
          <w:tcPr>
            <w:tcW w:w="570" w:type="dxa"/>
          </w:tcPr>
          <w:p>
            <w:pPr>
              <w:pStyle w:val="TableParagraph"/>
              <w:spacing w:before="11"/>
              <w:rPr>
                <w:sz w:val="25"/>
              </w:rPr>
            </w:pPr>
          </w:p>
          <w:p>
            <w:pPr>
              <w:pStyle w:val="TableParagraph"/>
              <w:ind w:right="85"/>
              <w:jc w:val="right"/>
              <w:rPr>
                <w:sz w:val="18"/>
              </w:rPr>
            </w:pPr>
            <w:r>
              <w:rPr>
                <w:w w:val="99"/>
                <w:sz w:val="18"/>
              </w:rPr>
              <w:t>-</w:t>
            </w:r>
          </w:p>
        </w:tc>
      </w:tr>
      <w:tr>
        <w:trPr>
          <w:trHeight w:val="264" w:hRule="exact"/>
        </w:trPr>
        <w:tc>
          <w:tcPr>
            <w:tcW w:w="3413" w:type="dxa"/>
          </w:tcPr>
          <w:p>
            <w:pPr>
              <w:pStyle w:val="TableParagraph"/>
              <w:spacing w:before="19"/>
              <w:ind w:left="35"/>
              <w:rPr>
                <w:sz w:val="18"/>
              </w:rPr>
            </w:pPr>
            <w:r>
              <w:rPr>
                <w:sz w:val="18"/>
              </w:rPr>
              <w:t>$190,000 to $199,999</w:t>
            </w:r>
          </w:p>
        </w:tc>
        <w:tc>
          <w:tcPr>
            <w:tcW w:w="1447" w:type="dxa"/>
          </w:tcPr>
          <w:p>
            <w:pPr>
              <w:pStyle w:val="TableParagraph"/>
              <w:spacing w:before="18"/>
              <w:ind w:right="65"/>
              <w:jc w:val="right"/>
              <w:rPr>
                <w:b/>
                <w:sz w:val="18"/>
              </w:rPr>
            </w:pPr>
            <w:r>
              <w:rPr>
                <w:b/>
                <w:w w:val="99"/>
                <w:sz w:val="18"/>
              </w:rPr>
              <w:t>1</w:t>
            </w:r>
          </w:p>
        </w:tc>
        <w:tc>
          <w:tcPr>
            <w:tcW w:w="747" w:type="dxa"/>
          </w:tcPr>
          <w:p>
            <w:pPr/>
          </w:p>
        </w:tc>
        <w:tc>
          <w:tcPr>
            <w:tcW w:w="550" w:type="dxa"/>
          </w:tcPr>
          <w:p>
            <w:pPr>
              <w:pStyle w:val="TableParagraph"/>
              <w:spacing w:before="18"/>
              <w:ind w:right="65"/>
              <w:jc w:val="right"/>
              <w:rPr>
                <w:sz w:val="18"/>
              </w:rPr>
            </w:pPr>
            <w:r>
              <w:rPr>
                <w:w w:val="99"/>
                <w:sz w:val="18"/>
              </w:rPr>
              <w:t>-</w:t>
            </w:r>
          </w:p>
        </w:tc>
        <w:tc>
          <w:tcPr>
            <w:tcW w:w="930" w:type="dxa"/>
          </w:tcPr>
          <w:p>
            <w:pPr/>
          </w:p>
        </w:tc>
        <w:tc>
          <w:tcPr>
            <w:tcW w:w="536" w:type="dxa"/>
          </w:tcPr>
          <w:p>
            <w:pPr>
              <w:pStyle w:val="TableParagraph"/>
              <w:spacing w:before="18"/>
              <w:ind w:right="65"/>
              <w:jc w:val="right"/>
              <w:rPr>
                <w:b/>
                <w:sz w:val="18"/>
              </w:rPr>
            </w:pPr>
            <w:r>
              <w:rPr>
                <w:b/>
                <w:w w:val="99"/>
                <w:sz w:val="18"/>
              </w:rPr>
              <w:t>-</w:t>
            </w:r>
          </w:p>
        </w:tc>
        <w:tc>
          <w:tcPr>
            <w:tcW w:w="747" w:type="dxa"/>
          </w:tcPr>
          <w:p>
            <w:pPr/>
          </w:p>
        </w:tc>
        <w:tc>
          <w:tcPr>
            <w:tcW w:w="570" w:type="dxa"/>
          </w:tcPr>
          <w:p>
            <w:pPr>
              <w:pStyle w:val="TableParagraph"/>
              <w:spacing w:before="18"/>
              <w:ind w:right="85"/>
              <w:jc w:val="right"/>
              <w:rPr>
                <w:sz w:val="18"/>
              </w:rPr>
            </w:pPr>
            <w:r>
              <w:rPr>
                <w:w w:val="99"/>
                <w:sz w:val="18"/>
              </w:rPr>
              <w:t>-</w:t>
            </w:r>
          </w:p>
        </w:tc>
      </w:tr>
      <w:tr>
        <w:trPr>
          <w:trHeight w:val="264" w:hRule="exact"/>
        </w:trPr>
        <w:tc>
          <w:tcPr>
            <w:tcW w:w="3413" w:type="dxa"/>
          </w:tcPr>
          <w:p>
            <w:pPr>
              <w:pStyle w:val="TableParagraph"/>
              <w:spacing w:before="19"/>
              <w:ind w:left="35"/>
              <w:rPr>
                <w:sz w:val="18"/>
              </w:rPr>
            </w:pPr>
            <w:r>
              <w:rPr>
                <w:sz w:val="18"/>
              </w:rPr>
              <w:t>$210,000 to $219,999</w:t>
            </w:r>
          </w:p>
        </w:tc>
        <w:tc>
          <w:tcPr>
            <w:tcW w:w="1447" w:type="dxa"/>
          </w:tcPr>
          <w:p>
            <w:pPr>
              <w:pStyle w:val="TableParagraph"/>
              <w:spacing w:before="18"/>
              <w:ind w:right="65"/>
              <w:jc w:val="right"/>
              <w:rPr>
                <w:b/>
                <w:sz w:val="18"/>
              </w:rPr>
            </w:pPr>
            <w:r>
              <w:rPr>
                <w:b/>
                <w:w w:val="99"/>
                <w:sz w:val="18"/>
              </w:rPr>
              <w:t>-</w:t>
            </w:r>
          </w:p>
        </w:tc>
        <w:tc>
          <w:tcPr>
            <w:tcW w:w="747" w:type="dxa"/>
          </w:tcPr>
          <w:p>
            <w:pPr/>
          </w:p>
        </w:tc>
        <w:tc>
          <w:tcPr>
            <w:tcW w:w="550" w:type="dxa"/>
          </w:tcPr>
          <w:p>
            <w:pPr>
              <w:pStyle w:val="TableParagraph"/>
              <w:spacing w:before="18"/>
              <w:ind w:right="65"/>
              <w:jc w:val="right"/>
              <w:rPr>
                <w:sz w:val="18"/>
              </w:rPr>
            </w:pPr>
            <w:r>
              <w:rPr>
                <w:w w:val="99"/>
                <w:sz w:val="18"/>
              </w:rPr>
              <w:t>1</w:t>
            </w:r>
          </w:p>
        </w:tc>
        <w:tc>
          <w:tcPr>
            <w:tcW w:w="930" w:type="dxa"/>
          </w:tcPr>
          <w:p>
            <w:pPr/>
          </w:p>
        </w:tc>
        <w:tc>
          <w:tcPr>
            <w:tcW w:w="536" w:type="dxa"/>
          </w:tcPr>
          <w:p>
            <w:pPr>
              <w:pStyle w:val="TableParagraph"/>
              <w:spacing w:before="18"/>
              <w:ind w:right="65"/>
              <w:jc w:val="right"/>
              <w:rPr>
                <w:b/>
                <w:sz w:val="18"/>
              </w:rPr>
            </w:pPr>
            <w:r>
              <w:rPr>
                <w:b/>
                <w:w w:val="99"/>
                <w:sz w:val="18"/>
              </w:rPr>
              <w:t>-</w:t>
            </w:r>
          </w:p>
        </w:tc>
        <w:tc>
          <w:tcPr>
            <w:tcW w:w="747" w:type="dxa"/>
          </w:tcPr>
          <w:p>
            <w:pPr/>
          </w:p>
        </w:tc>
        <w:tc>
          <w:tcPr>
            <w:tcW w:w="570" w:type="dxa"/>
          </w:tcPr>
          <w:p>
            <w:pPr>
              <w:pStyle w:val="TableParagraph"/>
              <w:spacing w:before="18"/>
              <w:ind w:right="85"/>
              <w:jc w:val="right"/>
              <w:rPr>
                <w:sz w:val="18"/>
              </w:rPr>
            </w:pPr>
            <w:r>
              <w:rPr>
                <w:w w:val="99"/>
                <w:sz w:val="18"/>
              </w:rPr>
              <w:t>-</w:t>
            </w:r>
          </w:p>
        </w:tc>
      </w:tr>
      <w:tr>
        <w:trPr>
          <w:trHeight w:val="264" w:hRule="exact"/>
        </w:trPr>
        <w:tc>
          <w:tcPr>
            <w:tcW w:w="3413" w:type="dxa"/>
          </w:tcPr>
          <w:p>
            <w:pPr>
              <w:pStyle w:val="TableParagraph"/>
              <w:spacing w:before="19"/>
              <w:ind w:left="35"/>
              <w:rPr>
                <w:sz w:val="18"/>
              </w:rPr>
            </w:pPr>
            <w:r>
              <w:rPr>
                <w:sz w:val="18"/>
              </w:rPr>
              <w:t>$220,000 to $229,999</w:t>
            </w:r>
          </w:p>
        </w:tc>
        <w:tc>
          <w:tcPr>
            <w:tcW w:w="1447" w:type="dxa"/>
          </w:tcPr>
          <w:p>
            <w:pPr>
              <w:pStyle w:val="TableParagraph"/>
              <w:spacing w:before="18"/>
              <w:ind w:right="64"/>
              <w:jc w:val="right"/>
              <w:rPr>
                <w:b/>
                <w:sz w:val="18"/>
              </w:rPr>
            </w:pPr>
            <w:r>
              <w:rPr>
                <w:b/>
                <w:w w:val="99"/>
                <w:sz w:val="18"/>
              </w:rPr>
              <w:t>1</w:t>
            </w:r>
          </w:p>
        </w:tc>
        <w:tc>
          <w:tcPr>
            <w:tcW w:w="747" w:type="dxa"/>
          </w:tcPr>
          <w:p>
            <w:pPr/>
          </w:p>
        </w:tc>
        <w:tc>
          <w:tcPr>
            <w:tcW w:w="550" w:type="dxa"/>
          </w:tcPr>
          <w:p>
            <w:pPr>
              <w:pStyle w:val="TableParagraph"/>
              <w:spacing w:before="18"/>
              <w:ind w:right="65"/>
              <w:jc w:val="right"/>
              <w:rPr>
                <w:sz w:val="18"/>
              </w:rPr>
            </w:pPr>
            <w:r>
              <w:rPr>
                <w:w w:val="99"/>
                <w:sz w:val="18"/>
              </w:rPr>
              <w:t>-</w:t>
            </w:r>
          </w:p>
        </w:tc>
        <w:tc>
          <w:tcPr>
            <w:tcW w:w="930" w:type="dxa"/>
          </w:tcPr>
          <w:p>
            <w:pPr/>
          </w:p>
        </w:tc>
        <w:tc>
          <w:tcPr>
            <w:tcW w:w="536" w:type="dxa"/>
          </w:tcPr>
          <w:p>
            <w:pPr>
              <w:pStyle w:val="TableParagraph"/>
              <w:spacing w:before="18"/>
              <w:ind w:right="65"/>
              <w:jc w:val="right"/>
              <w:rPr>
                <w:b/>
                <w:sz w:val="18"/>
              </w:rPr>
            </w:pPr>
            <w:r>
              <w:rPr>
                <w:b/>
                <w:w w:val="99"/>
                <w:sz w:val="18"/>
              </w:rPr>
              <w:t>-</w:t>
            </w:r>
          </w:p>
        </w:tc>
        <w:tc>
          <w:tcPr>
            <w:tcW w:w="747" w:type="dxa"/>
          </w:tcPr>
          <w:p>
            <w:pPr/>
          </w:p>
        </w:tc>
        <w:tc>
          <w:tcPr>
            <w:tcW w:w="570" w:type="dxa"/>
          </w:tcPr>
          <w:p>
            <w:pPr>
              <w:pStyle w:val="TableParagraph"/>
              <w:spacing w:before="18"/>
              <w:ind w:right="85"/>
              <w:jc w:val="right"/>
              <w:rPr>
                <w:sz w:val="18"/>
              </w:rPr>
            </w:pPr>
            <w:r>
              <w:rPr>
                <w:w w:val="99"/>
                <w:sz w:val="18"/>
              </w:rPr>
              <w:t>-</w:t>
            </w:r>
          </w:p>
        </w:tc>
      </w:tr>
      <w:tr>
        <w:trPr>
          <w:trHeight w:val="264" w:hRule="exact"/>
        </w:trPr>
        <w:tc>
          <w:tcPr>
            <w:tcW w:w="3413" w:type="dxa"/>
          </w:tcPr>
          <w:p>
            <w:pPr>
              <w:pStyle w:val="TableParagraph"/>
              <w:spacing w:before="19"/>
              <w:ind w:left="35"/>
              <w:rPr>
                <w:sz w:val="18"/>
              </w:rPr>
            </w:pPr>
            <w:r>
              <w:rPr>
                <w:sz w:val="18"/>
              </w:rPr>
              <w:t>$240,000 to $249,999</w:t>
            </w:r>
          </w:p>
        </w:tc>
        <w:tc>
          <w:tcPr>
            <w:tcW w:w="1447" w:type="dxa"/>
          </w:tcPr>
          <w:p>
            <w:pPr>
              <w:pStyle w:val="TableParagraph"/>
              <w:spacing w:before="18"/>
              <w:ind w:right="65"/>
              <w:jc w:val="right"/>
              <w:rPr>
                <w:b/>
                <w:sz w:val="18"/>
              </w:rPr>
            </w:pPr>
            <w:r>
              <w:rPr>
                <w:b/>
                <w:w w:val="99"/>
                <w:sz w:val="18"/>
              </w:rPr>
              <w:t>-</w:t>
            </w:r>
          </w:p>
        </w:tc>
        <w:tc>
          <w:tcPr>
            <w:tcW w:w="747" w:type="dxa"/>
          </w:tcPr>
          <w:p>
            <w:pPr/>
          </w:p>
        </w:tc>
        <w:tc>
          <w:tcPr>
            <w:tcW w:w="550" w:type="dxa"/>
          </w:tcPr>
          <w:p>
            <w:pPr>
              <w:pStyle w:val="TableParagraph"/>
              <w:spacing w:before="18"/>
              <w:ind w:right="64"/>
              <w:jc w:val="right"/>
              <w:rPr>
                <w:sz w:val="18"/>
              </w:rPr>
            </w:pPr>
            <w:r>
              <w:rPr>
                <w:w w:val="99"/>
                <w:sz w:val="18"/>
              </w:rPr>
              <w:t>1</w:t>
            </w:r>
          </w:p>
        </w:tc>
        <w:tc>
          <w:tcPr>
            <w:tcW w:w="930" w:type="dxa"/>
          </w:tcPr>
          <w:p>
            <w:pPr/>
          </w:p>
        </w:tc>
        <w:tc>
          <w:tcPr>
            <w:tcW w:w="536" w:type="dxa"/>
          </w:tcPr>
          <w:p>
            <w:pPr>
              <w:pStyle w:val="TableParagraph"/>
              <w:spacing w:before="18"/>
              <w:ind w:right="65"/>
              <w:jc w:val="right"/>
              <w:rPr>
                <w:b/>
                <w:sz w:val="18"/>
              </w:rPr>
            </w:pPr>
            <w:r>
              <w:rPr>
                <w:b/>
                <w:w w:val="99"/>
                <w:sz w:val="18"/>
              </w:rPr>
              <w:t>-</w:t>
            </w:r>
          </w:p>
        </w:tc>
        <w:tc>
          <w:tcPr>
            <w:tcW w:w="747" w:type="dxa"/>
          </w:tcPr>
          <w:p>
            <w:pPr/>
          </w:p>
        </w:tc>
        <w:tc>
          <w:tcPr>
            <w:tcW w:w="570" w:type="dxa"/>
          </w:tcPr>
          <w:p>
            <w:pPr>
              <w:pStyle w:val="TableParagraph"/>
              <w:spacing w:before="18"/>
              <w:ind w:right="84"/>
              <w:jc w:val="right"/>
              <w:rPr>
                <w:sz w:val="18"/>
              </w:rPr>
            </w:pPr>
            <w:r>
              <w:rPr>
                <w:w w:val="99"/>
                <w:sz w:val="18"/>
              </w:rPr>
              <w:t>-</w:t>
            </w:r>
          </w:p>
        </w:tc>
      </w:tr>
      <w:tr>
        <w:trPr>
          <w:trHeight w:val="264" w:hRule="exact"/>
        </w:trPr>
        <w:tc>
          <w:tcPr>
            <w:tcW w:w="3413" w:type="dxa"/>
          </w:tcPr>
          <w:p>
            <w:pPr>
              <w:pStyle w:val="TableParagraph"/>
              <w:spacing w:before="19"/>
              <w:ind w:left="35"/>
              <w:rPr>
                <w:sz w:val="18"/>
              </w:rPr>
            </w:pPr>
            <w:r>
              <w:rPr>
                <w:sz w:val="18"/>
              </w:rPr>
              <w:t>$250,000 to $259,999</w:t>
            </w:r>
          </w:p>
        </w:tc>
        <w:tc>
          <w:tcPr>
            <w:tcW w:w="1447" w:type="dxa"/>
          </w:tcPr>
          <w:p>
            <w:pPr>
              <w:pStyle w:val="TableParagraph"/>
              <w:spacing w:before="18"/>
              <w:ind w:right="64"/>
              <w:jc w:val="right"/>
              <w:rPr>
                <w:b/>
                <w:sz w:val="18"/>
              </w:rPr>
            </w:pPr>
            <w:r>
              <w:rPr>
                <w:b/>
                <w:w w:val="99"/>
                <w:sz w:val="18"/>
              </w:rPr>
              <w:t>1</w:t>
            </w:r>
          </w:p>
        </w:tc>
        <w:tc>
          <w:tcPr>
            <w:tcW w:w="747" w:type="dxa"/>
          </w:tcPr>
          <w:p>
            <w:pPr/>
          </w:p>
        </w:tc>
        <w:tc>
          <w:tcPr>
            <w:tcW w:w="550" w:type="dxa"/>
          </w:tcPr>
          <w:p>
            <w:pPr>
              <w:pStyle w:val="TableParagraph"/>
              <w:spacing w:before="18"/>
              <w:ind w:right="64"/>
              <w:jc w:val="right"/>
              <w:rPr>
                <w:sz w:val="18"/>
              </w:rPr>
            </w:pPr>
            <w:r>
              <w:rPr>
                <w:w w:val="99"/>
                <w:sz w:val="18"/>
              </w:rPr>
              <w:t>1</w:t>
            </w:r>
          </w:p>
        </w:tc>
        <w:tc>
          <w:tcPr>
            <w:tcW w:w="930" w:type="dxa"/>
          </w:tcPr>
          <w:p>
            <w:pPr/>
          </w:p>
        </w:tc>
        <w:tc>
          <w:tcPr>
            <w:tcW w:w="536" w:type="dxa"/>
          </w:tcPr>
          <w:p>
            <w:pPr>
              <w:pStyle w:val="TableParagraph"/>
              <w:spacing w:before="18"/>
              <w:ind w:right="64"/>
              <w:jc w:val="right"/>
              <w:rPr>
                <w:b/>
                <w:sz w:val="18"/>
              </w:rPr>
            </w:pPr>
            <w:r>
              <w:rPr>
                <w:b/>
                <w:w w:val="99"/>
                <w:sz w:val="18"/>
              </w:rPr>
              <w:t>1</w:t>
            </w:r>
          </w:p>
        </w:tc>
        <w:tc>
          <w:tcPr>
            <w:tcW w:w="747" w:type="dxa"/>
          </w:tcPr>
          <w:p>
            <w:pPr/>
          </w:p>
        </w:tc>
        <w:tc>
          <w:tcPr>
            <w:tcW w:w="570" w:type="dxa"/>
          </w:tcPr>
          <w:p>
            <w:pPr>
              <w:pStyle w:val="TableParagraph"/>
              <w:spacing w:before="18"/>
              <w:ind w:right="84"/>
              <w:jc w:val="right"/>
              <w:rPr>
                <w:sz w:val="18"/>
              </w:rPr>
            </w:pPr>
            <w:r>
              <w:rPr>
                <w:w w:val="99"/>
                <w:sz w:val="18"/>
              </w:rPr>
              <w:t>1</w:t>
            </w:r>
          </w:p>
        </w:tc>
      </w:tr>
      <w:tr>
        <w:trPr>
          <w:trHeight w:val="264" w:hRule="exact"/>
        </w:trPr>
        <w:tc>
          <w:tcPr>
            <w:tcW w:w="3413" w:type="dxa"/>
          </w:tcPr>
          <w:p>
            <w:pPr>
              <w:pStyle w:val="TableParagraph"/>
              <w:spacing w:before="19"/>
              <w:ind w:left="36"/>
              <w:rPr>
                <w:sz w:val="18"/>
              </w:rPr>
            </w:pPr>
            <w:r>
              <w:rPr>
                <w:sz w:val="18"/>
              </w:rPr>
              <w:t>$260,000 to $269,999</w:t>
            </w:r>
          </w:p>
        </w:tc>
        <w:tc>
          <w:tcPr>
            <w:tcW w:w="1447" w:type="dxa"/>
          </w:tcPr>
          <w:p>
            <w:pPr>
              <w:pStyle w:val="TableParagraph"/>
              <w:spacing w:before="18"/>
              <w:ind w:right="64"/>
              <w:jc w:val="right"/>
              <w:rPr>
                <w:b/>
                <w:sz w:val="18"/>
              </w:rPr>
            </w:pPr>
            <w:r>
              <w:rPr>
                <w:b/>
                <w:w w:val="99"/>
                <w:sz w:val="18"/>
              </w:rPr>
              <w:t>1</w:t>
            </w:r>
          </w:p>
        </w:tc>
        <w:tc>
          <w:tcPr>
            <w:tcW w:w="747" w:type="dxa"/>
          </w:tcPr>
          <w:p>
            <w:pPr/>
          </w:p>
        </w:tc>
        <w:tc>
          <w:tcPr>
            <w:tcW w:w="550" w:type="dxa"/>
          </w:tcPr>
          <w:p>
            <w:pPr>
              <w:pStyle w:val="TableParagraph"/>
              <w:spacing w:before="18"/>
              <w:ind w:right="64"/>
              <w:jc w:val="right"/>
              <w:rPr>
                <w:sz w:val="18"/>
              </w:rPr>
            </w:pPr>
            <w:r>
              <w:rPr>
                <w:w w:val="99"/>
                <w:sz w:val="18"/>
              </w:rPr>
              <w:t>-</w:t>
            </w:r>
          </w:p>
        </w:tc>
        <w:tc>
          <w:tcPr>
            <w:tcW w:w="930" w:type="dxa"/>
          </w:tcPr>
          <w:p>
            <w:pPr/>
          </w:p>
        </w:tc>
        <w:tc>
          <w:tcPr>
            <w:tcW w:w="536" w:type="dxa"/>
          </w:tcPr>
          <w:p>
            <w:pPr>
              <w:pStyle w:val="TableParagraph"/>
              <w:spacing w:before="18"/>
              <w:ind w:right="64"/>
              <w:jc w:val="right"/>
              <w:rPr>
                <w:b/>
                <w:sz w:val="18"/>
              </w:rPr>
            </w:pPr>
            <w:r>
              <w:rPr>
                <w:b/>
                <w:w w:val="99"/>
                <w:sz w:val="18"/>
              </w:rPr>
              <w:t>1</w:t>
            </w:r>
          </w:p>
        </w:tc>
        <w:tc>
          <w:tcPr>
            <w:tcW w:w="747" w:type="dxa"/>
          </w:tcPr>
          <w:p>
            <w:pPr/>
          </w:p>
        </w:tc>
        <w:tc>
          <w:tcPr>
            <w:tcW w:w="570" w:type="dxa"/>
          </w:tcPr>
          <w:p>
            <w:pPr>
              <w:pStyle w:val="TableParagraph"/>
              <w:spacing w:before="18"/>
              <w:ind w:right="84"/>
              <w:jc w:val="right"/>
              <w:rPr>
                <w:sz w:val="18"/>
              </w:rPr>
            </w:pPr>
            <w:r>
              <w:rPr>
                <w:w w:val="99"/>
                <w:sz w:val="18"/>
              </w:rPr>
              <w:t>-</w:t>
            </w:r>
          </w:p>
        </w:tc>
      </w:tr>
      <w:tr>
        <w:trPr>
          <w:trHeight w:val="264" w:hRule="exact"/>
        </w:trPr>
        <w:tc>
          <w:tcPr>
            <w:tcW w:w="3413" w:type="dxa"/>
          </w:tcPr>
          <w:p>
            <w:pPr>
              <w:pStyle w:val="TableParagraph"/>
              <w:spacing w:before="19"/>
              <w:ind w:left="36"/>
              <w:rPr>
                <w:sz w:val="18"/>
              </w:rPr>
            </w:pPr>
            <w:r>
              <w:rPr>
                <w:sz w:val="18"/>
              </w:rPr>
              <w:t>$270,000 to $279,999</w:t>
            </w:r>
          </w:p>
        </w:tc>
        <w:tc>
          <w:tcPr>
            <w:tcW w:w="1447" w:type="dxa"/>
          </w:tcPr>
          <w:p>
            <w:pPr>
              <w:pStyle w:val="TableParagraph"/>
              <w:spacing w:before="18"/>
              <w:ind w:right="64"/>
              <w:jc w:val="right"/>
              <w:rPr>
                <w:b/>
                <w:sz w:val="18"/>
              </w:rPr>
            </w:pPr>
            <w:r>
              <w:rPr>
                <w:b/>
                <w:w w:val="99"/>
                <w:sz w:val="18"/>
              </w:rPr>
              <w:t>-</w:t>
            </w:r>
          </w:p>
        </w:tc>
        <w:tc>
          <w:tcPr>
            <w:tcW w:w="747" w:type="dxa"/>
          </w:tcPr>
          <w:p>
            <w:pPr/>
          </w:p>
        </w:tc>
        <w:tc>
          <w:tcPr>
            <w:tcW w:w="550" w:type="dxa"/>
          </w:tcPr>
          <w:p>
            <w:pPr>
              <w:pStyle w:val="TableParagraph"/>
              <w:spacing w:before="18"/>
              <w:ind w:right="64"/>
              <w:jc w:val="right"/>
              <w:rPr>
                <w:sz w:val="18"/>
              </w:rPr>
            </w:pPr>
            <w:r>
              <w:rPr>
                <w:w w:val="99"/>
                <w:sz w:val="18"/>
              </w:rPr>
              <w:t>1</w:t>
            </w:r>
          </w:p>
        </w:tc>
        <w:tc>
          <w:tcPr>
            <w:tcW w:w="930" w:type="dxa"/>
          </w:tcPr>
          <w:p>
            <w:pPr/>
          </w:p>
        </w:tc>
        <w:tc>
          <w:tcPr>
            <w:tcW w:w="536" w:type="dxa"/>
          </w:tcPr>
          <w:p>
            <w:pPr>
              <w:pStyle w:val="TableParagraph"/>
              <w:spacing w:before="18"/>
              <w:ind w:right="64"/>
              <w:jc w:val="right"/>
              <w:rPr>
                <w:b/>
                <w:sz w:val="18"/>
              </w:rPr>
            </w:pPr>
            <w:r>
              <w:rPr>
                <w:b/>
                <w:w w:val="99"/>
                <w:sz w:val="18"/>
              </w:rPr>
              <w:t>-</w:t>
            </w:r>
          </w:p>
        </w:tc>
        <w:tc>
          <w:tcPr>
            <w:tcW w:w="747" w:type="dxa"/>
          </w:tcPr>
          <w:p>
            <w:pPr/>
          </w:p>
        </w:tc>
        <w:tc>
          <w:tcPr>
            <w:tcW w:w="570" w:type="dxa"/>
          </w:tcPr>
          <w:p>
            <w:pPr>
              <w:pStyle w:val="TableParagraph"/>
              <w:spacing w:before="18"/>
              <w:ind w:right="83"/>
              <w:jc w:val="right"/>
              <w:rPr>
                <w:sz w:val="18"/>
              </w:rPr>
            </w:pPr>
            <w:r>
              <w:rPr>
                <w:w w:val="99"/>
                <w:sz w:val="18"/>
              </w:rPr>
              <w:t>1</w:t>
            </w:r>
          </w:p>
        </w:tc>
      </w:tr>
      <w:tr>
        <w:trPr>
          <w:trHeight w:val="264" w:hRule="exact"/>
        </w:trPr>
        <w:tc>
          <w:tcPr>
            <w:tcW w:w="3413" w:type="dxa"/>
          </w:tcPr>
          <w:p>
            <w:pPr>
              <w:pStyle w:val="TableParagraph"/>
              <w:spacing w:before="19"/>
              <w:ind w:left="36"/>
              <w:rPr>
                <w:sz w:val="18"/>
              </w:rPr>
            </w:pPr>
            <w:r>
              <w:rPr>
                <w:sz w:val="18"/>
              </w:rPr>
              <w:t>$280,000 to $289,999</w:t>
            </w:r>
          </w:p>
        </w:tc>
        <w:tc>
          <w:tcPr>
            <w:tcW w:w="1447" w:type="dxa"/>
          </w:tcPr>
          <w:p>
            <w:pPr>
              <w:pStyle w:val="TableParagraph"/>
              <w:spacing w:before="18"/>
              <w:ind w:right="64"/>
              <w:jc w:val="right"/>
              <w:rPr>
                <w:b/>
                <w:sz w:val="18"/>
              </w:rPr>
            </w:pPr>
            <w:r>
              <w:rPr>
                <w:b/>
                <w:w w:val="99"/>
                <w:sz w:val="18"/>
              </w:rPr>
              <w:t>-</w:t>
            </w:r>
          </w:p>
        </w:tc>
        <w:tc>
          <w:tcPr>
            <w:tcW w:w="747" w:type="dxa"/>
          </w:tcPr>
          <w:p>
            <w:pPr/>
          </w:p>
        </w:tc>
        <w:tc>
          <w:tcPr>
            <w:tcW w:w="550" w:type="dxa"/>
          </w:tcPr>
          <w:p>
            <w:pPr>
              <w:pStyle w:val="TableParagraph"/>
              <w:spacing w:before="18"/>
              <w:ind w:right="64"/>
              <w:jc w:val="right"/>
              <w:rPr>
                <w:sz w:val="18"/>
              </w:rPr>
            </w:pPr>
            <w:r>
              <w:rPr>
                <w:w w:val="99"/>
                <w:sz w:val="18"/>
              </w:rPr>
              <w:t>2</w:t>
            </w:r>
          </w:p>
        </w:tc>
        <w:tc>
          <w:tcPr>
            <w:tcW w:w="930" w:type="dxa"/>
          </w:tcPr>
          <w:p>
            <w:pPr/>
          </w:p>
        </w:tc>
        <w:tc>
          <w:tcPr>
            <w:tcW w:w="536" w:type="dxa"/>
          </w:tcPr>
          <w:p>
            <w:pPr>
              <w:pStyle w:val="TableParagraph"/>
              <w:spacing w:before="18"/>
              <w:ind w:right="64"/>
              <w:jc w:val="right"/>
              <w:rPr>
                <w:b/>
                <w:sz w:val="18"/>
              </w:rPr>
            </w:pPr>
            <w:r>
              <w:rPr>
                <w:b/>
                <w:w w:val="99"/>
                <w:sz w:val="18"/>
              </w:rPr>
              <w:t>-</w:t>
            </w:r>
          </w:p>
        </w:tc>
        <w:tc>
          <w:tcPr>
            <w:tcW w:w="747" w:type="dxa"/>
          </w:tcPr>
          <w:p>
            <w:pPr/>
          </w:p>
        </w:tc>
        <w:tc>
          <w:tcPr>
            <w:tcW w:w="570" w:type="dxa"/>
          </w:tcPr>
          <w:p>
            <w:pPr>
              <w:pStyle w:val="TableParagraph"/>
              <w:spacing w:before="18"/>
              <w:ind w:right="83"/>
              <w:jc w:val="right"/>
              <w:rPr>
                <w:sz w:val="18"/>
              </w:rPr>
            </w:pPr>
            <w:r>
              <w:rPr>
                <w:w w:val="99"/>
                <w:sz w:val="18"/>
              </w:rPr>
              <w:t>2</w:t>
            </w:r>
          </w:p>
        </w:tc>
      </w:tr>
      <w:tr>
        <w:trPr>
          <w:trHeight w:val="264" w:hRule="exact"/>
        </w:trPr>
        <w:tc>
          <w:tcPr>
            <w:tcW w:w="3413" w:type="dxa"/>
          </w:tcPr>
          <w:p>
            <w:pPr>
              <w:pStyle w:val="TableParagraph"/>
              <w:spacing w:before="19"/>
              <w:ind w:left="36"/>
              <w:rPr>
                <w:sz w:val="18"/>
              </w:rPr>
            </w:pPr>
            <w:r>
              <w:rPr>
                <w:sz w:val="18"/>
              </w:rPr>
              <w:t>$290,000 to $299,999</w:t>
            </w:r>
          </w:p>
        </w:tc>
        <w:tc>
          <w:tcPr>
            <w:tcW w:w="1447" w:type="dxa"/>
          </w:tcPr>
          <w:p>
            <w:pPr>
              <w:pStyle w:val="TableParagraph"/>
              <w:spacing w:before="18"/>
              <w:ind w:right="63"/>
              <w:jc w:val="right"/>
              <w:rPr>
                <w:b/>
                <w:sz w:val="18"/>
              </w:rPr>
            </w:pPr>
            <w:r>
              <w:rPr>
                <w:b/>
                <w:w w:val="99"/>
                <w:sz w:val="18"/>
              </w:rPr>
              <w:t>1</w:t>
            </w:r>
          </w:p>
        </w:tc>
        <w:tc>
          <w:tcPr>
            <w:tcW w:w="747" w:type="dxa"/>
          </w:tcPr>
          <w:p>
            <w:pPr/>
          </w:p>
        </w:tc>
        <w:tc>
          <w:tcPr>
            <w:tcW w:w="550" w:type="dxa"/>
          </w:tcPr>
          <w:p>
            <w:pPr>
              <w:pStyle w:val="TableParagraph"/>
              <w:spacing w:before="18"/>
              <w:ind w:right="64"/>
              <w:jc w:val="right"/>
              <w:rPr>
                <w:sz w:val="18"/>
              </w:rPr>
            </w:pPr>
            <w:r>
              <w:rPr>
                <w:w w:val="99"/>
                <w:sz w:val="18"/>
              </w:rPr>
              <w:t>-</w:t>
            </w:r>
          </w:p>
        </w:tc>
        <w:tc>
          <w:tcPr>
            <w:tcW w:w="930" w:type="dxa"/>
          </w:tcPr>
          <w:p>
            <w:pPr/>
          </w:p>
        </w:tc>
        <w:tc>
          <w:tcPr>
            <w:tcW w:w="536" w:type="dxa"/>
          </w:tcPr>
          <w:p>
            <w:pPr>
              <w:pStyle w:val="TableParagraph"/>
              <w:spacing w:before="18"/>
              <w:ind w:right="63"/>
              <w:jc w:val="right"/>
              <w:rPr>
                <w:b/>
                <w:sz w:val="18"/>
              </w:rPr>
            </w:pPr>
            <w:r>
              <w:rPr>
                <w:b/>
                <w:w w:val="99"/>
                <w:sz w:val="18"/>
              </w:rPr>
              <w:t>1</w:t>
            </w:r>
          </w:p>
        </w:tc>
        <w:tc>
          <w:tcPr>
            <w:tcW w:w="747" w:type="dxa"/>
          </w:tcPr>
          <w:p>
            <w:pPr/>
          </w:p>
        </w:tc>
        <w:tc>
          <w:tcPr>
            <w:tcW w:w="570" w:type="dxa"/>
          </w:tcPr>
          <w:p>
            <w:pPr>
              <w:pStyle w:val="TableParagraph"/>
              <w:spacing w:before="18"/>
              <w:ind w:right="83"/>
              <w:jc w:val="right"/>
              <w:rPr>
                <w:sz w:val="18"/>
              </w:rPr>
            </w:pPr>
            <w:r>
              <w:rPr>
                <w:w w:val="99"/>
                <w:sz w:val="18"/>
              </w:rPr>
              <w:t>-</w:t>
            </w:r>
          </w:p>
        </w:tc>
      </w:tr>
      <w:tr>
        <w:trPr>
          <w:trHeight w:val="264" w:hRule="exact"/>
        </w:trPr>
        <w:tc>
          <w:tcPr>
            <w:tcW w:w="3413" w:type="dxa"/>
          </w:tcPr>
          <w:p>
            <w:pPr>
              <w:pStyle w:val="TableParagraph"/>
              <w:spacing w:before="19"/>
              <w:ind w:left="36"/>
              <w:rPr>
                <w:sz w:val="18"/>
              </w:rPr>
            </w:pPr>
            <w:r>
              <w:rPr>
                <w:sz w:val="18"/>
              </w:rPr>
              <w:t>$310,000 to $319,999</w:t>
            </w:r>
          </w:p>
        </w:tc>
        <w:tc>
          <w:tcPr>
            <w:tcW w:w="1447" w:type="dxa"/>
          </w:tcPr>
          <w:p>
            <w:pPr>
              <w:pStyle w:val="TableParagraph"/>
              <w:spacing w:before="18"/>
              <w:ind w:right="64"/>
              <w:jc w:val="right"/>
              <w:rPr>
                <w:b/>
                <w:sz w:val="18"/>
              </w:rPr>
            </w:pPr>
            <w:r>
              <w:rPr>
                <w:b/>
                <w:w w:val="99"/>
                <w:sz w:val="18"/>
              </w:rPr>
              <w:t>-</w:t>
            </w:r>
          </w:p>
        </w:tc>
        <w:tc>
          <w:tcPr>
            <w:tcW w:w="747" w:type="dxa"/>
          </w:tcPr>
          <w:p>
            <w:pPr/>
          </w:p>
        </w:tc>
        <w:tc>
          <w:tcPr>
            <w:tcW w:w="550" w:type="dxa"/>
          </w:tcPr>
          <w:p>
            <w:pPr>
              <w:pStyle w:val="TableParagraph"/>
              <w:spacing w:before="18"/>
              <w:ind w:right="63"/>
              <w:jc w:val="right"/>
              <w:rPr>
                <w:sz w:val="18"/>
              </w:rPr>
            </w:pPr>
            <w:r>
              <w:rPr>
                <w:w w:val="99"/>
                <w:sz w:val="18"/>
              </w:rPr>
              <w:t>2</w:t>
            </w:r>
          </w:p>
        </w:tc>
        <w:tc>
          <w:tcPr>
            <w:tcW w:w="930" w:type="dxa"/>
          </w:tcPr>
          <w:p>
            <w:pPr/>
          </w:p>
        </w:tc>
        <w:tc>
          <w:tcPr>
            <w:tcW w:w="536" w:type="dxa"/>
          </w:tcPr>
          <w:p>
            <w:pPr>
              <w:pStyle w:val="TableParagraph"/>
              <w:spacing w:before="18"/>
              <w:ind w:right="64"/>
              <w:jc w:val="right"/>
              <w:rPr>
                <w:b/>
                <w:sz w:val="18"/>
              </w:rPr>
            </w:pPr>
            <w:r>
              <w:rPr>
                <w:b/>
                <w:w w:val="99"/>
                <w:sz w:val="18"/>
              </w:rPr>
              <w:t>-</w:t>
            </w:r>
          </w:p>
        </w:tc>
        <w:tc>
          <w:tcPr>
            <w:tcW w:w="747" w:type="dxa"/>
          </w:tcPr>
          <w:p>
            <w:pPr/>
          </w:p>
        </w:tc>
        <w:tc>
          <w:tcPr>
            <w:tcW w:w="570" w:type="dxa"/>
          </w:tcPr>
          <w:p>
            <w:pPr>
              <w:pStyle w:val="TableParagraph"/>
              <w:spacing w:before="18"/>
              <w:ind w:right="83"/>
              <w:jc w:val="right"/>
              <w:rPr>
                <w:sz w:val="18"/>
              </w:rPr>
            </w:pPr>
            <w:r>
              <w:rPr>
                <w:w w:val="99"/>
                <w:sz w:val="18"/>
              </w:rPr>
              <w:t>2</w:t>
            </w:r>
          </w:p>
        </w:tc>
      </w:tr>
      <w:tr>
        <w:trPr>
          <w:trHeight w:val="264" w:hRule="exact"/>
        </w:trPr>
        <w:tc>
          <w:tcPr>
            <w:tcW w:w="3413" w:type="dxa"/>
          </w:tcPr>
          <w:p>
            <w:pPr>
              <w:pStyle w:val="TableParagraph"/>
              <w:spacing w:before="19"/>
              <w:ind w:left="36"/>
              <w:rPr>
                <w:sz w:val="18"/>
              </w:rPr>
            </w:pPr>
            <w:r>
              <w:rPr>
                <w:sz w:val="18"/>
              </w:rPr>
              <w:t>$320,000 to $329,999</w:t>
            </w:r>
          </w:p>
        </w:tc>
        <w:tc>
          <w:tcPr>
            <w:tcW w:w="1447" w:type="dxa"/>
          </w:tcPr>
          <w:p>
            <w:pPr>
              <w:pStyle w:val="TableParagraph"/>
              <w:spacing w:before="18"/>
              <w:ind w:right="63"/>
              <w:jc w:val="right"/>
              <w:rPr>
                <w:b/>
                <w:sz w:val="18"/>
              </w:rPr>
            </w:pPr>
            <w:r>
              <w:rPr>
                <w:b/>
                <w:w w:val="99"/>
                <w:sz w:val="18"/>
              </w:rPr>
              <w:t>1</w:t>
            </w:r>
          </w:p>
        </w:tc>
        <w:tc>
          <w:tcPr>
            <w:tcW w:w="747" w:type="dxa"/>
          </w:tcPr>
          <w:p>
            <w:pPr/>
          </w:p>
        </w:tc>
        <w:tc>
          <w:tcPr>
            <w:tcW w:w="550" w:type="dxa"/>
          </w:tcPr>
          <w:p>
            <w:pPr>
              <w:pStyle w:val="TableParagraph"/>
              <w:spacing w:before="18"/>
              <w:ind w:right="63"/>
              <w:jc w:val="right"/>
              <w:rPr>
                <w:sz w:val="18"/>
              </w:rPr>
            </w:pPr>
            <w:r>
              <w:rPr>
                <w:w w:val="99"/>
                <w:sz w:val="18"/>
              </w:rPr>
              <w:t>1</w:t>
            </w:r>
          </w:p>
        </w:tc>
        <w:tc>
          <w:tcPr>
            <w:tcW w:w="930" w:type="dxa"/>
          </w:tcPr>
          <w:p>
            <w:pPr/>
          </w:p>
        </w:tc>
        <w:tc>
          <w:tcPr>
            <w:tcW w:w="536" w:type="dxa"/>
          </w:tcPr>
          <w:p>
            <w:pPr>
              <w:pStyle w:val="TableParagraph"/>
              <w:spacing w:before="18"/>
              <w:ind w:right="63"/>
              <w:jc w:val="right"/>
              <w:rPr>
                <w:b/>
                <w:sz w:val="18"/>
              </w:rPr>
            </w:pPr>
            <w:r>
              <w:rPr>
                <w:b/>
                <w:w w:val="99"/>
                <w:sz w:val="18"/>
              </w:rPr>
              <w:t>1</w:t>
            </w:r>
          </w:p>
        </w:tc>
        <w:tc>
          <w:tcPr>
            <w:tcW w:w="747" w:type="dxa"/>
          </w:tcPr>
          <w:p>
            <w:pPr/>
          </w:p>
        </w:tc>
        <w:tc>
          <w:tcPr>
            <w:tcW w:w="570" w:type="dxa"/>
          </w:tcPr>
          <w:p>
            <w:pPr>
              <w:pStyle w:val="TableParagraph"/>
              <w:spacing w:before="18"/>
              <w:ind w:right="83"/>
              <w:jc w:val="right"/>
              <w:rPr>
                <w:sz w:val="18"/>
              </w:rPr>
            </w:pPr>
            <w:r>
              <w:rPr>
                <w:w w:val="99"/>
                <w:sz w:val="18"/>
              </w:rPr>
              <w:t>1</w:t>
            </w:r>
          </w:p>
        </w:tc>
      </w:tr>
      <w:tr>
        <w:trPr>
          <w:trHeight w:val="264" w:hRule="exact"/>
        </w:trPr>
        <w:tc>
          <w:tcPr>
            <w:tcW w:w="3413" w:type="dxa"/>
          </w:tcPr>
          <w:p>
            <w:pPr>
              <w:pStyle w:val="TableParagraph"/>
              <w:spacing w:before="19"/>
              <w:ind w:left="37"/>
              <w:rPr>
                <w:sz w:val="18"/>
              </w:rPr>
            </w:pPr>
            <w:r>
              <w:rPr>
                <w:sz w:val="18"/>
              </w:rPr>
              <w:t>$340,000 to $349,999</w:t>
            </w:r>
          </w:p>
        </w:tc>
        <w:tc>
          <w:tcPr>
            <w:tcW w:w="1447" w:type="dxa"/>
          </w:tcPr>
          <w:p>
            <w:pPr>
              <w:pStyle w:val="TableParagraph"/>
              <w:spacing w:before="18"/>
              <w:ind w:right="63"/>
              <w:jc w:val="right"/>
              <w:rPr>
                <w:b/>
                <w:sz w:val="18"/>
              </w:rPr>
            </w:pPr>
            <w:r>
              <w:rPr>
                <w:b/>
                <w:w w:val="99"/>
                <w:sz w:val="18"/>
              </w:rPr>
              <w:t>1</w:t>
            </w:r>
          </w:p>
        </w:tc>
        <w:tc>
          <w:tcPr>
            <w:tcW w:w="747" w:type="dxa"/>
          </w:tcPr>
          <w:p>
            <w:pPr/>
          </w:p>
        </w:tc>
        <w:tc>
          <w:tcPr>
            <w:tcW w:w="550" w:type="dxa"/>
          </w:tcPr>
          <w:p>
            <w:pPr>
              <w:pStyle w:val="TableParagraph"/>
              <w:spacing w:before="18"/>
              <w:ind w:right="63"/>
              <w:jc w:val="right"/>
              <w:rPr>
                <w:sz w:val="18"/>
              </w:rPr>
            </w:pPr>
            <w:r>
              <w:rPr>
                <w:w w:val="99"/>
                <w:sz w:val="18"/>
              </w:rPr>
              <w:t>-</w:t>
            </w:r>
          </w:p>
        </w:tc>
        <w:tc>
          <w:tcPr>
            <w:tcW w:w="930" w:type="dxa"/>
          </w:tcPr>
          <w:p>
            <w:pPr/>
          </w:p>
        </w:tc>
        <w:tc>
          <w:tcPr>
            <w:tcW w:w="536" w:type="dxa"/>
          </w:tcPr>
          <w:p>
            <w:pPr>
              <w:pStyle w:val="TableParagraph"/>
              <w:spacing w:before="18"/>
              <w:ind w:right="63"/>
              <w:jc w:val="right"/>
              <w:rPr>
                <w:b/>
                <w:sz w:val="18"/>
              </w:rPr>
            </w:pPr>
            <w:r>
              <w:rPr>
                <w:b/>
                <w:w w:val="99"/>
                <w:sz w:val="18"/>
              </w:rPr>
              <w:t>1</w:t>
            </w:r>
          </w:p>
        </w:tc>
        <w:tc>
          <w:tcPr>
            <w:tcW w:w="747" w:type="dxa"/>
          </w:tcPr>
          <w:p>
            <w:pPr/>
          </w:p>
        </w:tc>
        <w:tc>
          <w:tcPr>
            <w:tcW w:w="570" w:type="dxa"/>
          </w:tcPr>
          <w:p>
            <w:pPr>
              <w:pStyle w:val="TableParagraph"/>
              <w:spacing w:before="18"/>
              <w:ind w:right="83"/>
              <w:jc w:val="right"/>
              <w:rPr>
                <w:sz w:val="18"/>
              </w:rPr>
            </w:pPr>
            <w:r>
              <w:rPr>
                <w:w w:val="99"/>
                <w:sz w:val="18"/>
              </w:rPr>
              <w:t>-</w:t>
            </w:r>
          </w:p>
        </w:tc>
      </w:tr>
      <w:tr>
        <w:trPr>
          <w:trHeight w:val="264" w:hRule="exact"/>
        </w:trPr>
        <w:tc>
          <w:tcPr>
            <w:tcW w:w="3413" w:type="dxa"/>
          </w:tcPr>
          <w:p>
            <w:pPr>
              <w:pStyle w:val="TableParagraph"/>
              <w:spacing w:before="19"/>
              <w:ind w:left="37"/>
              <w:rPr>
                <w:sz w:val="18"/>
              </w:rPr>
            </w:pPr>
            <w:r>
              <w:rPr>
                <w:sz w:val="18"/>
              </w:rPr>
              <w:t>$350,000 to $359,999</w:t>
            </w:r>
          </w:p>
        </w:tc>
        <w:tc>
          <w:tcPr>
            <w:tcW w:w="1447" w:type="dxa"/>
          </w:tcPr>
          <w:p>
            <w:pPr>
              <w:pStyle w:val="TableParagraph"/>
              <w:spacing w:before="18"/>
              <w:ind w:right="63"/>
              <w:jc w:val="right"/>
              <w:rPr>
                <w:b/>
                <w:sz w:val="18"/>
              </w:rPr>
            </w:pPr>
            <w:r>
              <w:rPr>
                <w:b/>
                <w:w w:val="99"/>
                <w:sz w:val="18"/>
              </w:rPr>
              <w:t>2</w:t>
            </w:r>
          </w:p>
        </w:tc>
        <w:tc>
          <w:tcPr>
            <w:tcW w:w="747" w:type="dxa"/>
          </w:tcPr>
          <w:p>
            <w:pPr/>
          </w:p>
        </w:tc>
        <w:tc>
          <w:tcPr>
            <w:tcW w:w="550" w:type="dxa"/>
          </w:tcPr>
          <w:p>
            <w:pPr>
              <w:pStyle w:val="TableParagraph"/>
              <w:spacing w:before="18"/>
              <w:ind w:right="63"/>
              <w:jc w:val="right"/>
              <w:rPr>
                <w:sz w:val="18"/>
              </w:rPr>
            </w:pPr>
            <w:r>
              <w:rPr>
                <w:w w:val="99"/>
                <w:sz w:val="18"/>
              </w:rPr>
              <w:t>1</w:t>
            </w:r>
          </w:p>
        </w:tc>
        <w:tc>
          <w:tcPr>
            <w:tcW w:w="930" w:type="dxa"/>
          </w:tcPr>
          <w:p>
            <w:pPr/>
          </w:p>
        </w:tc>
        <w:tc>
          <w:tcPr>
            <w:tcW w:w="536" w:type="dxa"/>
          </w:tcPr>
          <w:p>
            <w:pPr>
              <w:pStyle w:val="TableParagraph"/>
              <w:spacing w:before="18"/>
              <w:ind w:right="63"/>
              <w:jc w:val="right"/>
              <w:rPr>
                <w:b/>
                <w:sz w:val="18"/>
              </w:rPr>
            </w:pPr>
            <w:r>
              <w:rPr>
                <w:b/>
                <w:w w:val="99"/>
                <w:sz w:val="18"/>
              </w:rPr>
              <w:t>2</w:t>
            </w:r>
          </w:p>
        </w:tc>
        <w:tc>
          <w:tcPr>
            <w:tcW w:w="747" w:type="dxa"/>
          </w:tcPr>
          <w:p>
            <w:pPr/>
          </w:p>
        </w:tc>
        <w:tc>
          <w:tcPr>
            <w:tcW w:w="570" w:type="dxa"/>
          </w:tcPr>
          <w:p>
            <w:pPr>
              <w:pStyle w:val="TableParagraph"/>
              <w:spacing w:before="18"/>
              <w:ind w:right="82"/>
              <w:jc w:val="right"/>
              <w:rPr>
                <w:sz w:val="18"/>
              </w:rPr>
            </w:pPr>
            <w:r>
              <w:rPr>
                <w:w w:val="99"/>
                <w:sz w:val="18"/>
              </w:rPr>
              <w:t>1</w:t>
            </w:r>
          </w:p>
        </w:tc>
      </w:tr>
      <w:tr>
        <w:trPr>
          <w:trHeight w:val="264" w:hRule="exact"/>
        </w:trPr>
        <w:tc>
          <w:tcPr>
            <w:tcW w:w="3413" w:type="dxa"/>
          </w:tcPr>
          <w:p>
            <w:pPr>
              <w:pStyle w:val="TableParagraph"/>
              <w:spacing w:before="19"/>
              <w:ind w:left="37"/>
              <w:rPr>
                <w:sz w:val="18"/>
              </w:rPr>
            </w:pPr>
            <w:r>
              <w:rPr>
                <w:sz w:val="18"/>
              </w:rPr>
              <w:t>$360,000 to $369,999</w:t>
            </w:r>
          </w:p>
        </w:tc>
        <w:tc>
          <w:tcPr>
            <w:tcW w:w="1447" w:type="dxa"/>
          </w:tcPr>
          <w:p>
            <w:pPr>
              <w:pStyle w:val="TableParagraph"/>
              <w:spacing w:before="18"/>
              <w:ind w:right="62"/>
              <w:jc w:val="right"/>
              <w:rPr>
                <w:b/>
                <w:sz w:val="18"/>
              </w:rPr>
            </w:pPr>
            <w:r>
              <w:rPr>
                <w:b/>
                <w:w w:val="99"/>
                <w:sz w:val="18"/>
              </w:rPr>
              <w:t>1</w:t>
            </w:r>
          </w:p>
        </w:tc>
        <w:tc>
          <w:tcPr>
            <w:tcW w:w="747" w:type="dxa"/>
          </w:tcPr>
          <w:p>
            <w:pPr/>
          </w:p>
        </w:tc>
        <w:tc>
          <w:tcPr>
            <w:tcW w:w="550" w:type="dxa"/>
          </w:tcPr>
          <w:p>
            <w:pPr>
              <w:pStyle w:val="TableParagraph"/>
              <w:spacing w:before="18"/>
              <w:ind w:right="63"/>
              <w:jc w:val="right"/>
              <w:rPr>
                <w:sz w:val="18"/>
              </w:rPr>
            </w:pPr>
            <w:r>
              <w:rPr>
                <w:w w:val="99"/>
                <w:sz w:val="18"/>
              </w:rPr>
              <w:t>-</w:t>
            </w:r>
          </w:p>
        </w:tc>
        <w:tc>
          <w:tcPr>
            <w:tcW w:w="930" w:type="dxa"/>
          </w:tcPr>
          <w:p>
            <w:pPr/>
          </w:p>
        </w:tc>
        <w:tc>
          <w:tcPr>
            <w:tcW w:w="536" w:type="dxa"/>
          </w:tcPr>
          <w:p>
            <w:pPr>
              <w:pStyle w:val="TableParagraph"/>
              <w:spacing w:before="18"/>
              <w:ind w:right="62"/>
              <w:jc w:val="right"/>
              <w:rPr>
                <w:b/>
                <w:sz w:val="18"/>
              </w:rPr>
            </w:pPr>
            <w:r>
              <w:rPr>
                <w:b/>
                <w:w w:val="99"/>
                <w:sz w:val="18"/>
              </w:rPr>
              <w:t>1</w:t>
            </w:r>
          </w:p>
        </w:tc>
        <w:tc>
          <w:tcPr>
            <w:tcW w:w="747" w:type="dxa"/>
          </w:tcPr>
          <w:p>
            <w:pPr/>
          </w:p>
        </w:tc>
        <w:tc>
          <w:tcPr>
            <w:tcW w:w="570" w:type="dxa"/>
          </w:tcPr>
          <w:p>
            <w:pPr>
              <w:pStyle w:val="TableParagraph"/>
              <w:spacing w:before="18"/>
              <w:ind w:right="83"/>
              <w:jc w:val="right"/>
              <w:rPr>
                <w:sz w:val="18"/>
              </w:rPr>
            </w:pPr>
            <w:r>
              <w:rPr>
                <w:w w:val="99"/>
                <w:sz w:val="18"/>
              </w:rPr>
              <w:t>-</w:t>
            </w:r>
          </w:p>
        </w:tc>
      </w:tr>
      <w:tr>
        <w:trPr>
          <w:trHeight w:val="264" w:hRule="exact"/>
        </w:trPr>
        <w:tc>
          <w:tcPr>
            <w:tcW w:w="3413" w:type="dxa"/>
          </w:tcPr>
          <w:p>
            <w:pPr>
              <w:pStyle w:val="TableParagraph"/>
              <w:spacing w:before="19"/>
              <w:ind w:left="37"/>
              <w:rPr>
                <w:sz w:val="18"/>
              </w:rPr>
            </w:pPr>
            <w:r>
              <w:rPr>
                <w:sz w:val="18"/>
              </w:rPr>
              <w:t>$390,000 to $399,999</w:t>
            </w:r>
          </w:p>
        </w:tc>
        <w:tc>
          <w:tcPr>
            <w:tcW w:w="1447" w:type="dxa"/>
          </w:tcPr>
          <w:p>
            <w:pPr>
              <w:pStyle w:val="TableParagraph"/>
              <w:spacing w:before="18"/>
              <w:ind w:right="63"/>
              <w:jc w:val="right"/>
              <w:rPr>
                <w:b/>
                <w:sz w:val="18"/>
              </w:rPr>
            </w:pPr>
            <w:r>
              <w:rPr>
                <w:b/>
                <w:w w:val="99"/>
                <w:sz w:val="18"/>
              </w:rPr>
              <w:t>-</w:t>
            </w:r>
          </w:p>
        </w:tc>
        <w:tc>
          <w:tcPr>
            <w:tcW w:w="747" w:type="dxa"/>
          </w:tcPr>
          <w:p>
            <w:pPr/>
          </w:p>
        </w:tc>
        <w:tc>
          <w:tcPr>
            <w:tcW w:w="550" w:type="dxa"/>
          </w:tcPr>
          <w:p>
            <w:pPr>
              <w:pStyle w:val="TableParagraph"/>
              <w:spacing w:before="18"/>
              <w:ind w:right="62"/>
              <w:jc w:val="right"/>
              <w:rPr>
                <w:sz w:val="18"/>
              </w:rPr>
            </w:pPr>
            <w:r>
              <w:rPr>
                <w:w w:val="99"/>
                <w:sz w:val="18"/>
              </w:rPr>
              <w:t>1</w:t>
            </w:r>
          </w:p>
        </w:tc>
        <w:tc>
          <w:tcPr>
            <w:tcW w:w="930" w:type="dxa"/>
          </w:tcPr>
          <w:p>
            <w:pPr/>
          </w:p>
        </w:tc>
        <w:tc>
          <w:tcPr>
            <w:tcW w:w="536" w:type="dxa"/>
          </w:tcPr>
          <w:p>
            <w:pPr>
              <w:pStyle w:val="TableParagraph"/>
              <w:spacing w:before="18"/>
              <w:ind w:right="63"/>
              <w:jc w:val="right"/>
              <w:rPr>
                <w:b/>
                <w:sz w:val="18"/>
              </w:rPr>
            </w:pPr>
            <w:r>
              <w:rPr>
                <w:b/>
                <w:w w:val="99"/>
                <w:sz w:val="18"/>
              </w:rPr>
              <w:t>-</w:t>
            </w:r>
          </w:p>
        </w:tc>
        <w:tc>
          <w:tcPr>
            <w:tcW w:w="747" w:type="dxa"/>
          </w:tcPr>
          <w:p>
            <w:pPr/>
          </w:p>
        </w:tc>
        <w:tc>
          <w:tcPr>
            <w:tcW w:w="570" w:type="dxa"/>
          </w:tcPr>
          <w:p>
            <w:pPr>
              <w:pStyle w:val="TableParagraph"/>
              <w:spacing w:before="18"/>
              <w:ind w:right="82"/>
              <w:jc w:val="right"/>
              <w:rPr>
                <w:sz w:val="18"/>
              </w:rPr>
            </w:pPr>
            <w:r>
              <w:rPr>
                <w:w w:val="99"/>
                <w:sz w:val="18"/>
              </w:rPr>
              <w:t>1</w:t>
            </w:r>
          </w:p>
        </w:tc>
      </w:tr>
      <w:tr>
        <w:trPr>
          <w:trHeight w:val="264" w:hRule="exact"/>
        </w:trPr>
        <w:tc>
          <w:tcPr>
            <w:tcW w:w="3413" w:type="dxa"/>
          </w:tcPr>
          <w:p>
            <w:pPr>
              <w:pStyle w:val="TableParagraph"/>
              <w:spacing w:before="19"/>
              <w:ind w:left="37"/>
              <w:rPr>
                <w:sz w:val="18"/>
              </w:rPr>
            </w:pPr>
            <w:r>
              <w:rPr>
                <w:sz w:val="18"/>
              </w:rPr>
              <w:t>$510,000 to $519,999</w:t>
            </w:r>
          </w:p>
        </w:tc>
        <w:tc>
          <w:tcPr>
            <w:tcW w:w="1447" w:type="dxa"/>
          </w:tcPr>
          <w:p>
            <w:pPr>
              <w:pStyle w:val="TableParagraph"/>
              <w:spacing w:before="18"/>
              <w:ind w:right="62"/>
              <w:jc w:val="right"/>
              <w:rPr>
                <w:b/>
                <w:sz w:val="18"/>
              </w:rPr>
            </w:pPr>
            <w:r>
              <w:rPr>
                <w:b/>
                <w:w w:val="99"/>
                <w:sz w:val="18"/>
              </w:rPr>
              <w:t>1</w:t>
            </w:r>
          </w:p>
        </w:tc>
        <w:tc>
          <w:tcPr>
            <w:tcW w:w="747" w:type="dxa"/>
          </w:tcPr>
          <w:p>
            <w:pPr/>
          </w:p>
        </w:tc>
        <w:tc>
          <w:tcPr>
            <w:tcW w:w="550" w:type="dxa"/>
          </w:tcPr>
          <w:p>
            <w:pPr>
              <w:pStyle w:val="TableParagraph"/>
              <w:spacing w:before="18"/>
              <w:ind w:right="63"/>
              <w:jc w:val="right"/>
              <w:rPr>
                <w:sz w:val="18"/>
              </w:rPr>
            </w:pPr>
            <w:r>
              <w:rPr>
                <w:w w:val="99"/>
                <w:sz w:val="18"/>
              </w:rPr>
              <w:t>-</w:t>
            </w:r>
          </w:p>
        </w:tc>
        <w:tc>
          <w:tcPr>
            <w:tcW w:w="930" w:type="dxa"/>
          </w:tcPr>
          <w:p>
            <w:pPr/>
          </w:p>
        </w:tc>
        <w:tc>
          <w:tcPr>
            <w:tcW w:w="536" w:type="dxa"/>
          </w:tcPr>
          <w:p>
            <w:pPr>
              <w:pStyle w:val="TableParagraph"/>
              <w:spacing w:before="18"/>
              <w:ind w:right="62"/>
              <w:jc w:val="right"/>
              <w:rPr>
                <w:b/>
                <w:sz w:val="18"/>
              </w:rPr>
            </w:pPr>
            <w:r>
              <w:rPr>
                <w:b/>
                <w:w w:val="99"/>
                <w:sz w:val="18"/>
              </w:rPr>
              <w:t>1</w:t>
            </w:r>
          </w:p>
        </w:tc>
        <w:tc>
          <w:tcPr>
            <w:tcW w:w="747" w:type="dxa"/>
          </w:tcPr>
          <w:p>
            <w:pPr/>
          </w:p>
        </w:tc>
        <w:tc>
          <w:tcPr>
            <w:tcW w:w="570" w:type="dxa"/>
          </w:tcPr>
          <w:p>
            <w:pPr>
              <w:pStyle w:val="TableParagraph"/>
              <w:spacing w:before="18"/>
              <w:ind w:right="82"/>
              <w:jc w:val="right"/>
              <w:rPr>
                <w:sz w:val="18"/>
              </w:rPr>
            </w:pPr>
            <w:r>
              <w:rPr>
                <w:w w:val="99"/>
                <w:sz w:val="18"/>
              </w:rPr>
              <w:t>-</w:t>
            </w:r>
          </w:p>
        </w:tc>
      </w:tr>
      <w:tr>
        <w:trPr>
          <w:trHeight w:val="264" w:hRule="exact"/>
        </w:trPr>
        <w:tc>
          <w:tcPr>
            <w:tcW w:w="3413" w:type="dxa"/>
          </w:tcPr>
          <w:p>
            <w:pPr>
              <w:pStyle w:val="TableParagraph"/>
              <w:spacing w:before="19"/>
              <w:ind w:left="38"/>
              <w:rPr>
                <w:sz w:val="18"/>
              </w:rPr>
            </w:pPr>
            <w:r>
              <w:rPr>
                <w:sz w:val="18"/>
              </w:rPr>
              <w:t>$530,000 to $539,999</w:t>
            </w:r>
          </w:p>
        </w:tc>
        <w:tc>
          <w:tcPr>
            <w:tcW w:w="1447" w:type="dxa"/>
          </w:tcPr>
          <w:p>
            <w:pPr>
              <w:pStyle w:val="TableParagraph"/>
              <w:spacing w:before="18"/>
              <w:ind w:right="62"/>
              <w:jc w:val="right"/>
              <w:rPr>
                <w:b/>
                <w:sz w:val="18"/>
              </w:rPr>
            </w:pPr>
            <w:r>
              <w:rPr>
                <w:b/>
                <w:w w:val="99"/>
                <w:sz w:val="18"/>
              </w:rPr>
              <w:t>1</w:t>
            </w:r>
          </w:p>
        </w:tc>
        <w:tc>
          <w:tcPr>
            <w:tcW w:w="747" w:type="dxa"/>
          </w:tcPr>
          <w:p>
            <w:pPr/>
          </w:p>
        </w:tc>
        <w:tc>
          <w:tcPr>
            <w:tcW w:w="550" w:type="dxa"/>
          </w:tcPr>
          <w:p>
            <w:pPr>
              <w:pStyle w:val="TableParagraph"/>
              <w:spacing w:before="18"/>
              <w:ind w:right="62"/>
              <w:jc w:val="right"/>
              <w:rPr>
                <w:sz w:val="18"/>
              </w:rPr>
            </w:pPr>
            <w:r>
              <w:rPr>
                <w:w w:val="99"/>
                <w:sz w:val="18"/>
              </w:rPr>
              <w:t>-</w:t>
            </w:r>
          </w:p>
        </w:tc>
        <w:tc>
          <w:tcPr>
            <w:tcW w:w="930" w:type="dxa"/>
          </w:tcPr>
          <w:p>
            <w:pPr/>
          </w:p>
        </w:tc>
        <w:tc>
          <w:tcPr>
            <w:tcW w:w="536" w:type="dxa"/>
          </w:tcPr>
          <w:p>
            <w:pPr>
              <w:pStyle w:val="TableParagraph"/>
              <w:spacing w:before="18"/>
              <w:ind w:right="62"/>
              <w:jc w:val="right"/>
              <w:rPr>
                <w:b/>
                <w:sz w:val="18"/>
              </w:rPr>
            </w:pPr>
            <w:r>
              <w:rPr>
                <w:b/>
                <w:w w:val="99"/>
                <w:sz w:val="18"/>
              </w:rPr>
              <w:t>1</w:t>
            </w:r>
          </w:p>
        </w:tc>
        <w:tc>
          <w:tcPr>
            <w:tcW w:w="747" w:type="dxa"/>
          </w:tcPr>
          <w:p>
            <w:pPr/>
          </w:p>
        </w:tc>
        <w:tc>
          <w:tcPr>
            <w:tcW w:w="570" w:type="dxa"/>
          </w:tcPr>
          <w:p>
            <w:pPr>
              <w:pStyle w:val="TableParagraph"/>
              <w:spacing w:before="18"/>
              <w:ind w:right="82"/>
              <w:jc w:val="right"/>
              <w:rPr>
                <w:sz w:val="18"/>
              </w:rPr>
            </w:pPr>
            <w:r>
              <w:rPr>
                <w:w w:val="99"/>
                <w:sz w:val="18"/>
              </w:rPr>
              <w:t>-</w:t>
            </w:r>
          </w:p>
        </w:tc>
      </w:tr>
      <w:tr>
        <w:trPr>
          <w:trHeight w:val="264" w:hRule="exact"/>
        </w:trPr>
        <w:tc>
          <w:tcPr>
            <w:tcW w:w="3413" w:type="dxa"/>
          </w:tcPr>
          <w:p>
            <w:pPr>
              <w:pStyle w:val="TableParagraph"/>
              <w:spacing w:before="19"/>
              <w:ind w:left="38"/>
              <w:rPr>
                <w:sz w:val="18"/>
              </w:rPr>
            </w:pPr>
            <w:r>
              <w:rPr>
                <w:sz w:val="18"/>
              </w:rPr>
              <w:t>$560,000 to $569,999</w:t>
            </w:r>
          </w:p>
        </w:tc>
        <w:tc>
          <w:tcPr>
            <w:tcW w:w="1447" w:type="dxa"/>
          </w:tcPr>
          <w:p>
            <w:pPr>
              <w:pStyle w:val="TableParagraph"/>
              <w:spacing w:before="18"/>
              <w:ind w:right="62"/>
              <w:jc w:val="right"/>
              <w:rPr>
                <w:b/>
                <w:sz w:val="18"/>
              </w:rPr>
            </w:pPr>
            <w:r>
              <w:rPr>
                <w:b/>
                <w:w w:val="99"/>
                <w:sz w:val="18"/>
              </w:rPr>
              <w:t>-</w:t>
            </w:r>
          </w:p>
        </w:tc>
        <w:tc>
          <w:tcPr>
            <w:tcW w:w="747" w:type="dxa"/>
          </w:tcPr>
          <w:p>
            <w:pPr/>
          </w:p>
        </w:tc>
        <w:tc>
          <w:tcPr>
            <w:tcW w:w="550" w:type="dxa"/>
          </w:tcPr>
          <w:p>
            <w:pPr>
              <w:pStyle w:val="TableParagraph"/>
              <w:spacing w:before="18"/>
              <w:ind w:right="62"/>
              <w:jc w:val="right"/>
              <w:rPr>
                <w:sz w:val="18"/>
              </w:rPr>
            </w:pPr>
            <w:r>
              <w:rPr>
                <w:w w:val="99"/>
                <w:sz w:val="18"/>
              </w:rPr>
              <w:t>1</w:t>
            </w:r>
          </w:p>
        </w:tc>
        <w:tc>
          <w:tcPr>
            <w:tcW w:w="930" w:type="dxa"/>
          </w:tcPr>
          <w:p>
            <w:pPr/>
          </w:p>
        </w:tc>
        <w:tc>
          <w:tcPr>
            <w:tcW w:w="536" w:type="dxa"/>
          </w:tcPr>
          <w:p>
            <w:pPr>
              <w:pStyle w:val="TableParagraph"/>
              <w:spacing w:before="18"/>
              <w:ind w:right="63"/>
              <w:jc w:val="right"/>
              <w:rPr>
                <w:b/>
                <w:sz w:val="18"/>
              </w:rPr>
            </w:pPr>
            <w:r>
              <w:rPr>
                <w:b/>
                <w:w w:val="99"/>
                <w:sz w:val="18"/>
              </w:rPr>
              <w:t>-</w:t>
            </w:r>
          </w:p>
        </w:tc>
        <w:tc>
          <w:tcPr>
            <w:tcW w:w="747" w:type="dxa"/>
          </w:tcPr>
          <w:p>
            <w:pPr/>
          </w:p>
        </w:tc>
        <w:tc>
          <w:tcPr>
            <w:tcW w:w="570" w:type="dxa"/>
          </w:tcPr>
          <w:p>
            <w:pPr>
              <w:pStyle w:val="TableParagraph"/>
              <w:spacing w:before="18"/>
              <w:ind w:right="82"/>
              <w:jc w:val="right"/>
              <w:rPr>
                <w:sz w:val="18"/>
              </w:rPr>
            </w:pPr>
            <w:r>
              <w:rPr>
                <w:w w:val="99"/>
                <w:sz w:val="18"/>
              </w:rPr>
              <w:t>1</w:t>
            </w:r>
          </w:p>
        </w:tc>
      </w:tr>
      <w:tr>
        <w:trPr>
          <w:trHeight w:val="264" w:hRule="exact"/>
        </w:trPr>
        <w:tc>
          <w:tcPr>
            <w:tcW w:w="3413" w:type="dxa"/>
          </w:tcPr>
          <w:p>
            <w:pPr>
              <w:pStyle w:val="TableParagraph"/>
              <w:spacing w:before="19"/>
              <w:ind w:left="38"/>
              <w:rPr>
                <w:sz w:val="18"/>
              </w:rPr>
            </w:pPr>
            <w:r>
              <w:rPr>
                <w:sz w:val="18"/>
              </w:rPr>
              <w:t>$610,000 to $619,999</w:t>
            </w:r>
          </w:p>
        </w:tc>
        <w:tc>
          <w:tcPr>
            <w:tcW w:w="1447" w:type="dxa"/>
          </w:tcPr>
          <w:p>
            <w:pPr>
              <w:pStyle w:val="TableParagraph"/>
              <w:spacing w:before="18"/>
              <w:ind w:right="62"/>
              <w:jc w:val="right"/>
              <w:rPr>
                <w:b/>
                <w:sz w:val="18"/>
              </w:rPr>
            </w:pPr>
            <w:r>
              <w:rPr>
                <w:b/>
                <w:w w:val="99"/>
                <w:sz w:val="18"/>
              </w:rPr>
              <w:t>-</w:t>
            </w:r>
          </w:p>
        </w:tc>
        <w:tc>
          <w:tcPr>
            <w:tcW w:w="747" w:type="dxa"/>
          </w:tcPr>
          <w:p>
            <w:pPr/>
          </w:p>
        </w:tc>
        <w:tc>
          <w:tcPr>
            <w:tcW w:w="550" w:type="dxa"/>
          </w:tcPr>
          <w:p>
            <w:pPr>
              <w:pStyle w:val="TableParagraph"/>
              <w:spacing w:before="18"/>
              <w:ind w:right="62"/>
              <w:jc w:val="right"/>
              <w:rPr>
                <w:sz w:val="18"/>
              </w:rPr>
            </w:pPr>
            <w:r>
              <w:rPr>
                <w:w w:val="99"/>
                <w:sz w:val="18"/>
              </w:rPr>
              <w:t>1</w:t>
            </w:r>
          </w:p>
        </w:tc>
        <w:tc>
          <w:tcPr>
            <w:tcW w:w="930" w:type="dxa"/>
          </w:tcPr>
          <w:p>
            <w:pPr/>
          </w:p>
        </w:tc>
        <w:tc>
          <w:tcPr>
            <w:tcW w:w="536" w:type="dxa"/>
          </w:tcPr>
          <w:p>
            <w:pPr>
              <w:pStyle w:val="TableParagraph"/>
              <w:spacing w:before="18"/>
              <w:ind w:right="62"/>
              <w:jc w:val="right"/>
              <w:rPr>
                <w:b/>
                <w:sz w:val="18"/>
              </w:rPr>
            </w:pPr>
            <w:r>
              <w:rPr>
                <w:b/>
                <w:w w:val="99"/>
                <w:sz w:val="18"/>
              </w:rPr>
              <w:t>-</w:t>
            </w:r>
          </w:p>
        </w:tc>
        <w:tc>
          <w:tcPr>
            <w:tcW w:w="747" w:type="dxa"/>
          </w:tcPr>
          <w:p>
            <w:pPr/>
          </w:p>
        </w:tc>
        <w:tc>
          <w:tcPr>
            <w:tcW w:w="570" w:type="dxa"/>
          </w:tcPr>
          <w:p>
            <w:pPr>
              <w:pStyle w:val="TableParagraph"/>
              <w:spacing w:before="18"/>
              <w:ind w:right="83"/>
              <w:jc w:val="right"/>
              <w:rPr>
                <w:sz w:val="18"/>
              </w:rPr>
            </w:pPr>
            <w:r>
              <w:rPr>
                <w:w w:val="99"/>
                <w:sz w:val="18"/>
              </w:rPr>
              <w:t>1</w:t>
            </w:r>
          </w:p>
        </w:tc>
      </w:tr>
      <w:tr>
        <w:trPr>
          <w:trHeight w:val="264" w:hRule="exact"/>
        </w:trPr>
        <w:tc>
          <w:tcPr>
            <w:tcW w:w="3413" w:type="dxa"/>
          </w:tcPr>
          <w:p>
            <w:pPr>
              <w:pStyle w:val="TableParagraph"/>
              <w:spacing w:before="19"/>
              <w:ind w:left="38"/>
              <w:rPr>
                <w:sz w:val="18"/>
              </w:rPr>
            </w:pPr>
            <w:r>
              <w:rPr>
                <w:sz w:val="18"/>
              </w:rPr>
              <w:t>$760,000 to $769,999</w:t>
            </w:r>
          </w:p>
        </w:tc>
        <w:tc>
          <w:tcPr>
            <w:tcW w:w="1447" w:type="dxa"/>
          </w:tcPr>
          <w:p>
            <w:pPr>
              <w:pStyle w:val="TableParagraph"/>
              <w:spacing w:before="18"/>
              <w:ind w:right="62"/>
              <w:jc w:val="right"/>
              <w:rPr>
                <w:b/>
                <w:sz w:val="18"/>
              </w:rPr>
            </w:pPr>
            <w:r>
              <w:rPr>
                <w:b/>
                <w:w w:val="99"/>
                <w:sz w:val="18"/>
              </w:rPr>
              <w:t>-</w:t>
            </w:r>
          </w:p>
        </w:tc>
        <w:tc>
          <w:tcPr>
            <w:tcW w:w="747" w:type="dxa"/>
          </w:tcPr>
          <w:p>
            <w:pPr/>
          </w:p>
        </w:tc>
        <w:tc>
          <w:tcPr>
            <w:tcW w:w="550" w:type="dxa"/>
          </w:tcPr>
          <w:p>
            <w:pPr>
              <w:pStyle w:val="TableParagraph"/>
              <w:spacing w:before="18"/>
              <w:ind w:right="62"/>
              <w:jc w:val="right"/>
              <w:rPr>
                <w:sz w:val="18"/>
              </w:rPr>
            </w:pPr>
            <w:r>
              <w:rPr>
                <w:w w:val="99"/>
                <w:sz w:val="18"/>
              </w:rPr>
              <w:t>1</w:t>
            </w:r>
          </w:p>
        </w:tc>
        <w:tc>
          <w:tcPr>
            <w:tcW w:w="930" w:type="dxa"/>
          </w:tcPr>
          <w:p>
            <w:pPr/>
          </w:p>
        </w:tc>
        <w:tc>
          <w:tcPr>
            <w:tcW w:w="536" w:type="dxa"/>
          </w:tcPr>
          <w:p>
            <w:pPr>
              <w:pStyle w:val="TableParagraph"/>
              <w:spacing w:before="18"/>
              <w:ind w:right="62"/>
              <w:jc w:val="right"/>
              <w:rPr>
                <w:b/>
                <w:sz w:val="18"/>
              </w:rPr>
            </w:pPr>
            <w:r>
              <w:rPr>
                <w:b/>
                <w:w w:val="99"/>
                <w:sz w:val="18"/>
              </w:rPr>
              <w:t>-</w:t>
            </w:r>
          </w:p>
        </w:tc>
        <w:tc>
          <w:tcPr>
            <w:tcW w:w="747" w:type="dxa"/>
          </w:tcPr>
          <w:p>
            <w:pPr/>
          </w:p>
        </w:tc>
        <w:tc>
          <w:tcPr>
            <w:tcW w:w="570" w:type="dxa"/>
          </w:tcPr>
          <w:p>
            <w:pPr>
              <w:pStyle w:val="TableParagraph"/>
              <w:spacing w:before="18"/>
              <w:ind w:right="81"/>
              <w:jc w:val="right"/>
              <w:rPr>
                <w:sz w:val="18"/>
              </w:rPr>
            </w:pPr>
            <w:r>
              <w:rPr>
                <w:w w:val="99"/>
                <w:sz w:val="18"/>
              </w:rPr>
              <w:t>1</w:t>
            </w:r>
          </w:p>
        </w:tc>
      </w:tr>
      <w:tr>
        <w:trPr>
          <w:trHeight w:val="265" w:hRule="exact"/>
        </w:trPr>
        <w:tc>
          <w:tcPr>
            <w:tcW w:w="3413" w:type="dxa"/>
          </w:tcPr>
          <w:p>
            <w:pPr>
              <w:pStyle w:val="TableParagraph"/>
              <w:spacing w:before="19"/>
              <w:ind w:left="38"/>
              <w:rPr>
                <w:sz w:val="18"/>
              </w:rPr>
            </w:pPr>
            <w:r>
              <w:rPr>
                <w:sz w:val="18"/>
              </w:rPr>
              <w:t>$860,000 to $869,999*</w:t>
            </w:r>
          </w:p>
        </w:tc>
        <w:tc>
          <w:tcPr>
            <w:tcW w:w="1447" w:type="dxa"/>
            <w:tcBorders>
              <w:bottom w:val="single" w:sz="0" w:space="0" w:color="000000"/>
            </w:tcBorders>
          </w:tcPr>
          <w:p>
            <w:pPr>
              <w:pStyle w:val="TableParagraph"/>
              <w:spacing w:before="18"/>
              <w:ind w:right="62"/>
              <w:jc w:val="right"/>
              <w:rPr>
                <w:b/>
                <w:sz w:val="18"/>
              </w:rPr>
            </w:pPr>
            <w:r>
              <w:rPr>
                <w:b/>
                <w:w w:val="99"/>
                <w:sz w:val="18"/>
              </w:rPr>
              <w:t>1</w:t>
            </w:r>
          </w:p>
        </w:tc>
        <w:tc>
          <w:tcPr>
            <w:tcW w:w="747" w:type="dxa"/>
            <w:tcBorders>
              <w:bottom w:val="single" w:sz="0" w:space="0" w:color="000000"/>
            </w:tcBorders>
          </w:tcPr>
          <w:p>
            <w:pPr/>
          </w:p>
        </w:tc>
        <w:tc>
          <w:tcPr>
            <w:tcW w:w="550" w:type="dxa"/>
            <w:tcBorders>
              <w:bottom w:val="single" w:sz="0" w:space="0" w:color="000000"/>
            </w:tcBorders>
          </w:tcPr>
          <w:p>
            <w:pPr>
              <w:pStyle w:val="TableParagraph"/>
              <w:spacing w:before="18"/>
              <w:ind w:right="62"/>
              <w:jc w:val="right"/>
              <w:rPr>
                <w:sz w:val="18"/>
              </w:rPr>
            </w:pPr>
            <w:r>
              <w:rPr>
                <w:w w:val="99"/>
                <w:sz w:val="18"/>
              </w:rPr>
              <w:t>-</w:t>
            </w:r>
          </w:p>
        </w:tc>
        <w:tc>
          <w:tcPr>
            <w:tcW w:w="930" w:type="dxa"/>
            <w:tcBorders>
              <w:bottom w:val="single" w:sz="0" w:space="0" w:color="000000"/>
            </w:tcBorders>
          </w:tcPr>
          <w:p>
            <w:pPr/>
          </w:p>
        </w:tc>
        <w:tc>
          <w:tcPr>
            <w:tcW w:w="536" w:type="dxa"/>
            <w:tcBorders>
              <w:bottom w:val="single" w:sz="0" w:space="0" w:color="000000"/>
            </w:tcBorders>
          </w:tcPr>
          <w:p>
            <w:pPr>
              <w:pStyle w:val="TableParagraph"/>
              <w:spacing w:before="18"/>
              <w:ind w:right="63"/>
              <w:jc w:val="right"/>
              <w:rPr>
                <w:b/>
                <w:sz w:val="18"/>
              </w:rPr>
            </w:pPr>
            <w:r>
              <w:rPr>
                <w:b/>
                <w:w w:val="99"/>
                <w:sz w:val="18"/>
              </w:rPr>
              <w:t>1</w:t>
            </w:r>
          </w:p>
        </w:tc>
        <w:tc>
          <w:tcPr>
            <w:tcW w:w="747" w:type="dxa"/>
            <w:tcBorders>
              <w:bottom w:val="single" w:sz="0" w:space="0" w:color="000000"/>
            </w:tcBorders>
          </w:tcPr>
          <w:p>
            <w:pPr/>
          </w:p>
        </w:tc>
        <w:tc>
          <w:tcPr>
            <w:tcW w:w="570" w:type="dxa"/>
            <w:tcBorders>
              <w:bottom w:val="single" w:sz="0" w:space="0" w:color="000000"/>
            </w:tcBorders>
          </w:tcPr>
          <w:p>
            <w:pPr>
              <w:pStyle w:val="TableParagraph"/>
              <w:spacing w:before="18"/>
              <w:ind w:right="82"/>
              <w:jc w:val="right"/>
              <w:rPr>
                <w:sz w:val="18"/>
              </w:rPr>
            </w:pPr>
            <w:r>
              <w:rPr>
                <w:w w:val="99"/>
                <w:sz w:val="18"/>
              </w:rPr>
              <w:t>-</w:t>
            </w:r>
          </w:p>
        </w:tc>
      </w:tr>
      <w:tr>
        <w:trPr>
          <w:trHeight w:val="338" w:hRule="exact"/>
        </w:trPr>
        <w:tc>
          <w:tcPr>
            <w:tcW w:w="3413" w:type="dxa"/>
          </w:tcPr>
          <w:p>
            <w:pPr/>
          </w:p>
        </w:tc>
        <w:tc>
          <w:tcPr>
            <w:tcW w:w="1447" w:type="dxa"/>
            <w:tcBorders>
              <w:top w:val="single" w:sz="0" w:space="0" w:color="000000"/>
              <w:bottom w:val="single" w:sz="0" w:space="0" w:color="000000"/>
            </w:tcBorders>
          </w:tcPr>
          <w:p>
            <w:pPr>
              <w:pStyle w:val="TableParagraph"/>
              <w:spacing w:before="122"/>
              <w:ind w:right="64"/>
              <w:jc w:val="right"/>
              <w:rPr>
                <w:b/>
                <w:sz w:val="18"/>
              </w:rPr>
            </w:pPr>
            <w:r>
              <w:rPr>
                <w:b/>
                <w:sz w:val="18"/>
              </w:rPr>
              <w:t>13</w:t>
            </w:r>
          </w:p>
        </w:tc>
        <w:tc>
          <w:tcPr>
            <w:tcW w:w="747" w:type="dxa"/>
            <w:tcBorders>
              <w:top w:val="single" w:sz="0" w:space="0" w:color="000000"/>
              <w:bottom w:val="single" w:sz="0" w:space="0" w:color="000000"/>
            </w:tcBorders>
          </w:tcPr>
          <w:p>
            <w:pPr/>
          </w:p>
        </w:tc>
        <w:tc>
          <w:tcPr>
            <w:tcW w:w="550" w:type="dxa"/>
            <w:tcBorders>
              <w:top w:val="single" w:sz="0" w:space="0" w:color="000000"/>
              <w:bottom w:val="single" w:sz="0" w:space="0" w:color="000000"/>
            </w:tcBorders>
          </w:tcPr>
          <w:p>
            <w:pPr>
              <w:pStyle w:val="TableParagraph"/>
              <w:spacing w:before="122"/>
              <w:ind w:right="64"/>
              <w:jc w:val="right"/>
              <w:rPr>
                <w:sz w:val="18"/>
              </w:rPr>
            </w:pPr>
            <w:r>
              <w:rPr>
                <w:w w:val="95"/>
                <w:sz w:val="18"/>
              </w:rPr>
              <w:t>16</w:t>
            </w:r>
          </w:p>
        </w:tc>
        <w:tc>
          <w:tcPr>
            <w:tcW w:w="930" w:type="dxa"/>
            <w:tcBorders>
              <w:top w:val="single" w:sz="0" w:space="0" w:color="000000"/>
              <w:bottom w:val="single" w:sz="0" w:space="0" w:color="000000"/>
            </w:tcBorders>
          </w:tcPr>
          <w:p>
            <w:pPr/>
          </w:p>
        </w:tc>
        <w:tc>
          <w:tcPr>
            <w:tcW w:w="536" w:type="dxa"/>
            <w:tcBorders>
              <w:top w:val="single" w:sz="0" w:space="0" w:color="000000"/>
              <w:bottom w:val="single" w:sz="0" w:space="0" w:color="000000"/>
            </w:tcBorders>
          </w:tcPr>
          <w:p>
            <w:pPr>
              <w:pStyle w:val="TableParagraph"/>
              <w:spacing w:before="122"/>
              <w:ind w:right="64"/>
              <w:jc w:val="right"/>
              <w:rPr>
                <w:b/>
                <w:sz w:val="18"/>
              </w:rPr>
            </w:pPr>
            <w:r>
              <w:rPr>
                <w:b/>
                <w:w w:val="95"/>
                <w:sz w:val="18"/>
              </w:rPr>
              <w:t>11</w:t>
            </w:r>
          </w:p>
        </w:tc>
        <w:tc>
          <w:tcPr>
            <w:tcW w:w="747" w:type="dxa"/>
            <w:tcBorders>
              <w:top w:val="single" w:sz="0" w:space="0" w:color="000000"/>
              <w:bottom w:val="single" w:sz="0" w:space="0" w:color="000000"/>
            </w:tcBorders>
          </w:tcPr>
          <w:p>
            <w:pPr/>
          </w:p>
        </w:tc>
        <w:tc>
          <w:tcPr>
            <w:tcW w:w="570" w:type="dxa"/>
            <w:tcBorders>
              <w:top w:val="single" w:sz="0" w:space="0" w:color="000000"/>
              <w:bottom w:val="single" w:sz="0" w:space="0" w:color="000000"/>
            </w:tcBorders>
          </w:tcPr>
          <w:p>
            <w:pPr>
              <w:pStyle w:val="TableParagraph"/>
              <w:spacing w:before="122"/>
              <w:ind w:right="84"/>
              <w:jc w:val="right"/>
              <w:rPr>
                <w:sz w:val="18"/>
              </w:rPr>
            </w:pPr>
            <w:r>
              <w:rPr>
                <w:w w:val="95"/>
                <w:sz w:val="18"/>
              </w:rPr>
              <w:t>12</w:t>
            </w:r>
          </w:p>
        </w:tc>
      </w:tr>
    </w:tbl>
    <w:p>
      <w:pPr>
        <w:pStyle w:val="BodyText"/>
        <w:spacing w:before="3"/>
        <w:rPr>
          <w:sz w:val="19"/>
        </w:rPr>
      </w:pPr>
    </w:p>
    <w:p>
      <w:pPr>
        <w:pStyle w:val="BodyText"/>
        <w:spacing w:before="77"/>
        <w:ind w:left="1072" w:right="573"/>
      </w:pPr>
      <w:r>
        <w:rPr/>
        <w:t>* The Vice-Chancellor's total remuneration included paid salary, PAYG withholding tax, expense-of-office allowance, employee and employer superannuation contributions, a salary-sacrificed motor vehicle, Fringe Benefits Tax and housing allowance.  No additonal bonus is payable.</w:t>
      </w:r>
    </w:p>
    <w:p>
      <w:pPr>
        <w:spacing w:after="0"/>
        <w:sectPr>
          <w:pgSz w:w="11910" w:h="16840"/>
          <w:pgMar w:header="1038" w:footer="507" w:top="2220" w:bottom="700" w:left="900" w:right="880"/>
        </w:sectPr>
      </w:pPr>
    </w:p>
    <w:p>
      <w:pPr>
        <w:pStyle w:val="BodyText"/>
        <w:rPr>
          <w:sz w:val="20"/>
        </w:rPr>
      </w:pPr>
    </w:p>
    <w:p>
      <w:pPr>
        <w:pStyle w:val="BodyText"/>
        <w:rPr>
          <w:sz w:val="20"/>
        </w:rPr>
      </w:pPr>
    </w:p>
    <w:p>
      <w:pPr>
        <w:pStyle w:val="BodyText"/>
        <w:spacing w:before="8"/>
        <w:rPr>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6831"/>
        <w:gridCol w:w="1466"/>
        <w:gridCol w:w="1317"/>
      </w:tblGrid>
      <w:tr>
        <w:trPr>
          <w:trHeight w:val="644" w:hRule="exact"/>
        </w:trPr>
        <w:tc>
          <w:tcPr>
            <w:tcW w:w="333" w:type="dxa"/>
          </w:tcPr>
          <w:p>
            <w:pPr>
              <w:pStyle w:val="TableParagraph"/>
              <w:spacing w:before="77"/>
              <w:ind w:left="35"/>
              <w:rPr>
                <w:b/>
                <w:sz w:val="18"/>
              </w:rPr>
            </w:pPr>
            <w:r>
              <w:rPr>
                <w:b/>
                <w:sz w:val="18"/>
              </w:rPr>
              <w:t>28</w:t>
            </w:r>
          </w:p>
        </w:tc>
        <w:tc>
          <w:tcPr>
            <w:tcW w:w="6831" w:type="dxa"/>
          </w:tcPr>
          <w:p>
            <w:pPr>
              <w:pStyle w:val="TableParagraph"/>
              <w:spacing w:line="207" w:lineRule="exact" w:before="77"/>
              <w:ind w:left="97"/>
              <w:rPr>
                <w:b/>
                <w:sz w:val="18"/>
              </w:rPr>
            </w:pPr>
            <w:r>
              <w:rPr>
                <w:b/>
                <w:sz w:val="18"/>
              </w:rPr>
              <w:t>Key Management Personnel Disclosures (continued)</w:t>
            </w:r>
          </w:p>
          <w:p>
            <w:pPr>
              <w:pStyle w:val="TableParagraph"/>
              <w:tabs>
                <w:tab w:pos="664" w:val="left" w:leader="none"/>
              </w:tabs>
              <w:spacing w:line="207" w:lineRule="exact"/>
              <w:ind w:left="97"/>
              <w:rPr>
                <w:sz w:val="18"/>
              </w:rPr>
            </w:pPr>
            <w:r>
              <w:rPr>
                <w:sz w:val="18"/>
              </w:rPr>
              <w:t>(c)</w:t>
              <w:tab/>
              <w:t>Key management personnel</w:t>
            </w:r>
            <w:r>
              <w:rPr>
                <w:spacing w:val="-1"/>
                <w:sz w:val="18"/>
              </w:rPr>
              <w:t> </w:t>
            </w:r>
            <w:r>
              <w:rPr>
                <w:sz w:val="18"/>
              </w:rPr>
              <w:t>compensation</w:t>
            </w:r>
          </w:p>
        </w:tc>
        <w:tc>
          <w:tcPr>
            <w:tcW w:w="1466" w:type="dxa"/>
          </w:tcPr>
          <w:p>
            <w:pPr/>
          </w:p>
        </w:tc>
        <w:tc>
          <w:tcPr>
            <w:tcW w:w="1317" w:type="dxa"/>
            <w:vMerge w:val="restart"/>
          </w:tcPr>
          <w:p>
            <w:pPr/>
          </w:p>
        </w:tc>
      </w:tr>
      <w:tr>
        <w:trPr>
          <w:trHeight w:val="448" w:hRule="exact"/>
        </w:trPr>
        <w:tc>
          <w:tcPr>
            <w:tcW w:w="333" w:type="dxa"/>
          </w:tcPr>
          <w:p>
            <w:pPr/>
          </w:p>
        </w:tc>
        <w:tc>
          <w:tcPr>
            <w:tcW w:w="6831" w:type="dxa"/>
          </w:tcPr>
          <w:p>
            <w:pPr>
              <w:pStyle w:val="TableParagraph"/>
              <w:spacing w:before="134"/>
              <w:ind w:left="663"/>
              <w:rPr>
                <w:sz w:val="18"/>
              </w:rPr>
            </w:pPr>
            <w:r>
              <w:rPr>
                <w:sz w:val="18"/>
              </w:rPr>
              <w:t>Key management personnel include Board Members and Executives.</w:t>
            </w:r>
          </w:p>
        </w:tc>
        <w:tc>
          <w:tcPr>
            <w:tcW w:w="1466" w:type="dxa"/>
          </w:tcPr>
          <w:p>
            <w:pPr/>
          </w:p>
        </w:tc>
        <w:tc>
          <w:tcPr>
            <w:tcW w:w="1317" w:type="dxa"/>
            <w:vMerge/>
          </w:tcPr>
          <w:p>
            <w:pPr/>
          </w:p>
        </w:tc>
      </w:tr>
      <w:tr>
        <w:trPr>
          <w:trHeight w:val="337" w:hRule="exact"/>
        </w:trPr>
        <w:tc>
          <w:tcPr>
            <w:tcW w:w="333" w:type="dxa"/>
          </w:tcPr>
          <w:p>
            <w:pPr/>
          </w:p>
        </w:tc>
        <w:tc>
          <w:tcPr>
            <w:tcW w:w="6831" w:type="dxa"/>
          </w:tcPr>
          <w:p>
            <w:pPr>
              <w:pStyle w:val="TableParagraph"/>
              <w:spacing w:before="87"/>
              <w:ind w:left="4159"/>
              <w:rPr>
                <w:b/>
                <w:sz w:val="18"/>
              </w:rPr>
            </w:pPr>
            <w:r>
              <w:rPr>
                <w:b/>
                <w:sz w:val="18"/>
              </w:rPr>
              <w:t>Consolidated</w:t>
            </w:r>
          </w:p>
        </w:tc>
        <w:tc>
          <w:tcPr>
            <w:tcW w:w="1466" w:type="dxa"/>
          </w:tcPr>
          <w:p>
            <w:pPr>
              <w:pStyle w:val="TableParagraph"/>
              <w:spacing w:before="87"/>
              <w:ind w:left="64"/>
              <w:rPr>
                <w:b/>
                <w:sz w:val="18"/>
              </w:rPr>
            </w:pPr>
            <w:r>
              <w:rPr>
                <w:b/>
                <w:sz w:val="18"/>
              </w:rPr>
              <w:t>Parent</w:t>
            </w:r>
          </w:p>
        </w:tc>
        <w:tc>
          <w:tcPr>
            <w:tcW w:w="1317" w:type="dxa"/>
            <w:vMerge/>
          </w:tcPr>
          <w:p>
            <w:pPr/>
          </w:p>
        </w:tc>
      </w:tr>
      <w:tr>
        <w:trPr>
          <w:trHeight w:val="274" w:hRule="exact"/>
        </w:trPr>
        <w:tc>
          <w:tcPr>
            <w:tcW w:w="333" w:type="dxa"/>
          </w:tcPr>
          <w:p>
            <w:pPr/>
          </w:p>
        </w:tc>
        <w:tc>
          <w:tcPr>
            <w:tcW w:w="6831" w:type="dxa"/>
          </w:tcPr>
          <w:p>
            <w:pPr>
              <w:pStyle w:val="TableParagraph"/>
              <w:tabs>
                <w:tab w:pos="5598" w:val="left" w:leader="none"/>
              </w:tabs>
              <w:spacing w:before="24"/>
              <w:ind w:left="4329"/>
              <w:rPr>
                <w:b/>
                <w:sz w:val="18"/>
              </w:rPr>
            </w:pPr>
            <w:r>
              <w:rPr>
                <w:b/>
                <w:sz w:val="18"/>
              </w:rPr>
              <w:t>2012</w:t>
              <w:tab/>
              <w:t>2011</w:t>
            </w:r>
          </w:p>
        </w:tc>
        <w:tc>
          <w:tcPr>
            <w:tcW w:w="1466" w:type="dxa"/>
          </w:tcPr>
          <w:p>
            <w:pPr>
              <w:pStyle w:val="TableParagraph"/>
              <w:spacing w:before="24"/>
              <w:ind w:left="261"/>
              <w:rPr>
                <w:b/>
                <w:sz w:val="18"/>
              </w:rPr>
            </w:pPr>
            <w:r>
              <w:rPr>
                <w:b/>
                <w:sz w:val="18"/>
              </w:rPr>
              <w:t>2012</w:t>
            </w:r>
          </w:p>
        </w:tc>
        <w:tc>
          <w:tcPr>
            <w:tcW w:w="1317" w:type="dxa"/>
          </w:tcPr>
          <w:p>
            <w:pPr>
              <w:pStyle w:val="TableParagraph"/>
              <w:spacing w:before="24"/>
              <w:ind w:left="64"/>
              <w:rPr>
                <w:b/>
                <w:sz w:val="18"/>
              </w:rPr>
            </w:pPr>
            <w:r>
              <w:rPr>
                <w:b/>
                <w:sz w:val="18"/>
              </w:rPr>
              <w:t>2011</w:t>
            </w:r>
          </w:p>
        </w:tc>
      </w:tr>
      <w:tr>
        <w:trPr>
          <w:trHeight w:val="286" w:hRule="exact"/>
        </w:trPr>
        <w:tc>
          <w:tcPr>
            <w:tcW w:w="333" w:type="dxa"/>
          </w:tcPr>
          <w:p>
            <w:pPr/>
          </w:p>
        </w:tc>
        <w:tc>
          <w:tcPr>
            <w:tcW w:w="6831" w:type="dxa"/>
          </w:tcPr>
          <w:p>
            <w:pPr>
              <w:pStyle w:val="TableParagraph"/>
              <w:tabs>
                <w:tab w:pos="5598" w:val="left" w:leader="none"/>
              </w:tabs>
              <w:spacing w:before="24"/>
              <w:ind w:left="4329"/>
              <w:rPr>
                <w:b/>
                <w:sz w:val="18"/>
              </w:rPr>
            </w:pPr>
            <w:r>
              <w:rPr>
                <w:b/>
                <w:sz w:val="18"/>
              </w:rPr>
              <w:t>$'000</w:t>
              <w:tab/>
              <w:t>$'000</w:t>
            </w:r>
          </w:p>
        </w:tc>
        <w:tc>
          <w:tcPr>
            <w:tcW w:w="1466" w:type="dxa"/>
          </w:tcPr>
          <w:p>
            <w:pPr>
              <w:pStyle w:val="TableParagraph"/>
              <w:spacing w:before="24"/>
              <w:ind w:left="261"/>
              <w:rPr>
                <w:b/>
                <w:sz w:val="18"/>
              </w:rPr>
            </w:pPr>
            <w:r>
              <w:rPr>
                <w:b/>
                <w:sz w:val="18"/>
              </w:rPr>
              <w:t>$'000</w:t>
            </w:r>
          </w:p>
        </w:tc>
        <w:tc>
          <w:tcPr>
            <w:tcW w:w="1317" w:type="dxa"/>
          </w:tcPr>
          <w:p>
            <w:pPr>
              <w:pStyle w:val="TableParagraph"/>
              <w:spacing w:before="24"/>
              <w:ind w:left="64"/>
              <w:rPr>
                <w:b/>
                <w:sz w:val="18"/>
              </w:rPr>
            </w:pPr>
            <w:r>
              <w:rPr>
                <w:b/>
                <w:sz w:val="18"/>
              </w:rPr>
              <w:t>$'000</w:t>
            </w:r>
          </w:p>
        </w:tc>
      </w:tr>
      <w:tr>
        <w:trPr>
          <w:trHeight w:val="282" w:hRule="exact"/>
        </w:trPr>
        <w:tc>
          <w:tcPr>
            <w:tcW w:w="333" w:type="dxa"/>
          </w:tcPr>
          <w:p>
            <w:pPr/>
          </w:p>
        </w:tc>
        <w:tc>
          <w:tcPr>
            <w:tcW w:w="6831" w:type="dxa"/>
          </w:tcPr>
          <w:p>
            <w:pPr>
              <w:pStyle w:val="TableParagraph"/>
              <w:tabs>
                <w:tab w:pos="3959" w:val="left" w:leader="none"/>
                <w:tab w:pos="5257" w:val="left" w:leader="none"/>
              </w:tabs>
              <w:spacing w:before="37"/>
              <w:ind w:right="62"/>
              <w:jc w:val="right"/>
              <w:rPr>
                <w:sz w:val="18"/>
              </w:rPr>
            </w:pPr>
            <w:r>
              <w:rPr>
                <w:sz w:val="18"/>
              </w:rPr>
              <w:t>Short-term</w:t>
            </w:r>
            <w:r>
              <w:rPr>
                <w:spacing w:val="-1"/>
                <w:sz w:val="18"/>
              </w:rPr>
              <w:t> </w:t>
            </w:r>
            <w:r>
              <w:rPr>
                <w:sz w:val="18"/>
              </w:rPr>
              <w:t>employee</w:t>
            </w:r>
            <w:r>
              <w:rPr>
                <w:spacing w:val="-1"/>
                <w:sz w:val="18"/>
              </w:rPr>
              <w:t> </w:t>
            </w:r>
            <w:r>
              <w:rPr>
                <w:sz w:val="18"/>
              </w:rPr>
              <w:t>benefits</w:t>
              <w:tab/>
            </w:r>
            <w:r>
              <w:rPr>
                <w:b/>
                <w:sz w:val="18"/>
              </w:rPr>
              <w:t>4,972,812</w:t>
              <w:tab/>
            </w:r>
            <w:r>
              <w:rPr>
                <w:w w:val="95"/>
                <w:sz w:val="18"/>
              </w:rPr>
              <w:t>4,989,286</w:t>
            </w:r>
          </w:p>
        </w:tc>
        <w:tc>
          <w:tcPr>
            <w:tcW w:w="1466" w:type="dxa"/>
          </w:tcPr>
          <w:p>
            <w:pPr>
              <w:pStyle w:val="TableParagraph"/>
              <w:spacing w:before="36"/>
              <w:ind w:right="62"/>
              <w:jc w:val="right"/>
              <w:rPr>
                <w:b/>
                <w:sz w:val="18"/>
              </w:rPr>
            </w:pPr>
            <w:r>
              <w:rPr>
                <w:b/>
                <w:w w:val="95"/>
                <w:sz w:val="18"/>
              </w:rPr>
              <w:t>3,998,901</w:t>
            </w:r>
          </w:p>
        </w:tc>
        <w:tc>
          <w:tcPr>
            <w:tcW w:w="1317" w:type="dxa"/>
          </w:tcPr>
          <w:p>
            <w:pPr>
              <w:pStyle w:val="TableParagraph"/>
              <w:spacing w:before="36"/>
              <w:ind w:right="82"/>
              <w:jc w:val="right"/>
              <w:rPr>
                <w:sz w:val="18"/>
              </w:rPr>
            </w:pPr>
            <w:r>
              <w:rPr>
                <w:w w:val="95"/>
                <w:sz w:val="18"/>
              </w:rPr>
              <w:t>4,255,802</w:t>
            </w:r>
          </w:p>
        </w:tc>
      </w:tr>
      <w:tr>
        <w:trPr>
          <w:trHeight w:val="264" w:hRule="exact"/>
        </w:trPr>
        <w:tc>
          <w:tcPr>
            <w:tcW w:w="333" w:type="dxa"/>
          </w:tcPr>
          <w:p>
            <w:pPr/>
          </w:p>
        </w:tc>
        <w:tc>
          <w:tcPr>
            <w:tcW w:w="6831" w:type="dxa"/>
          </w:tcPr>
          <w:p>
            <w:pPr>
              <w:pStyle w:val="TableParagraph"/>
              <w:tabs>
                <w:tab w:pos="4109" w:val="left" w:leader="none"/>
                <w:tab w:pos="5407" w:val="left" w:leader="none"/>
              </w:tabs>
              <w:spacing w:before="19"/>
              <w:ind w:right="62"/>
              <w:jc w:val="right"/>
              <w:rPr>
                <w:sz w:val="18"/>
              </w:rPr>
            </w:pPr>
            <w:r>
              <w:rPr>
                <w:sz w:val="18"/>
              </w:rPr>
              <w:t>Post-employment</w:t>
            </w:r>
            <w:r>
              <w:rPr>
                <w:spacing w:val="-1"/>
                <w:sz w:val="18"/>
              </w:rPr>
              <w:t> </w:t>
            </w:r>
            <w:r>
              <w:rPr>
                <w:sz w:val="18"/>
              </w:rPr>
              <w:t>benefits</w:t>
              <w:tab/>
            </w:r>
            <w:r>
              <w:rPr>
                <w:b/>
                <w:sz w:val="18"/>
              </w:rPr>
              <w:t>632,501</w:t>
              <w:tab/>
            </w:r>
            <w:r>
              <w:rPr>
                <w:w w:val="95"/>
                <w:sz w:val="18"/>
              </w:rPr>
              <w:t>591,150</w:t>
            </w:r>
          </w:p>
        </w:tc>
        <w:tc>
          <w:tcPr>
            <w:tcW w:w="1466" w:type="dxa"/>
          </w:tcPr>
          <w:p>
            <w:pPr>
              <w:pStyle w:val="TableParagraph"/>
              <w:spacing w:before="18"/>
              <w:ind w:right="62"/>
              <w:jc w:val="right"/>
              <w:rPr>
                <w:b/>
                <w:sz w:val="18"/>
              </w:rPr>
            </w:pPr>
            <w:r>
              <w:rPr>
                <w:b/>
                <w:w w:val="95"/>
                <w:sz w:val="18"/>
              </w:rPr>
              <w:t>487,889</w:t>
            </w:r>
          </w:p>
        </w:tc>
        <w:tc>
          <w:tcPr>
            <w:tcW w:w="1317" w:type="dxa"/>
          </w:tcPr>
          <w:p>
            <w:pPr>
              <w:pStyle w:val="TableParagraph"/>
              <w:spacing w:before="18"/>
              <w:ind w:right="83"/>
              <w:jc w:val="right"/>
              <w:rPr>
                <w:sz w:val="18"/>
              </w:rPr>
            </w:pPr>
            <w:r>
              <w:rPr>
                <w:w w:val="95"/>
                <w:sz w:val="18"/>
              </w:rPr>
              <w:t>501,216</w:t>
            </w:r>
          </w:p>
        </w:tc>
      </w:tr>
      <w:tr>
        <w:trPr>
          <w:trHeight w:val="262" w:hRule="exact"/>
        </w:trPr>
        <w:tc>
          <w:tcPr>
            <w:tcW w:w="333" w:type="dxa"/>
          </w:tcPr>
          <w:p>
            <w:pPr/>
          </w:p>
        </w:tc>
        <w:tc>
          <w:tcPr>
            <w:tcW w:w="6831" w:type="dxa"/>
            <w:tcBorders>
              <w:bottom w:val="single" w:sz="0" w:space="0" w:color="000000"/>
            </w:tcBorders>
          </w:tcPr>
          <w:p>
            <w:pPr>
              <w:pStyle w:val="TableParagraph"/>
              <w:tabs>
                <w:tab w:pos="4109" w:val="left" w:leader="none"/>
                <w:tab w:pos="5407" w:val="left" w:leader="none"/>
              </w:tabs>
              <w:spacing w:before="19"/>
              <w:ind w:right="62"/>
              <w:jc w:val="right"/>
              <w:rPr>
                <w:sz w:val="18"/>
              </w:rPr>
            </w:pPr>
            <w:r>
              <w:rPr>
                <w:sz w:val="18"/>
              </w:rPr>
              <w:t>Termination</w:t>
            </w:r>
            <w:r>
              <w:rPr>
                <w:spacing w:val="-1"/>
                <w:sz w:val="18"/>
              </w:rPr>
              <w:t> </w:t>
            </w:r>
            <w:r>
              <w:rPr>
                <w:sz w:val="18"/>
              </w:rPr>
              <w:t>benefits</w:t>
              <w:tab/>
            </w:r>
            <w:r>
              <w:rPr>
                <w:b/>
                <w:sz w:val="18"/>
              </w:rPr>
              <w:t>433,006</w:t>
              <w:tab/>
            </w:r>
            <w:r>
              <w:rPr>
                <w:w w:val="95"/>
                <w:sz w:val="18"/>
              </w:rPr>
              <w:t>169,662</w:t>
            </w:r>
          </w:p>
        </w:tc>
        <w:tc>
          <w:tcPr>
            <w:tcW w:w="1466" w:type="dxa"/>
            <w:tcBorders>
              <w:bottom w:val="single" w:sz="0" w:space="0" w:color="000000"/>
            </w:tcBorders>
          </w:tcPr>
          <w:p>
            <w:pPr>
              <w:pStyle w:val="TableParagraph"/>
              <w:spacing w:before="18"/>
              <w:ind w:right="62"/>
              <w:jc w:val="right"/>
              <w:rPr>
                <w:b/>
                <w:sz w:val="18"/>
              </w:rPr>
            </w:pPr>
            <w:r>
              <w:rPr>
                <w:b/>
                <w:w w:val="95"/>
                <w:sz w:val="18"/>
              </w:rPr>
              <w:t>433,006</w:t>
            </w:r>
          </w:p>
        </w:tc>
        <w:tc>
          <w:tcPr>
            <w:tcW w:w="1317" w:type="dxa"/>
            <w:tcBorders>
              <w:bottom w:val="single" w:sz="0" w:space="0" w:color="000000"/>
            </w:tcBorders>
          </w:tcPr>
          <w:p>
            <w:pPr>
              <w:pStyle w:val="TableParagraph"/>
              <w:spacing w:before="18"/>
              <w:ind w:right="83"/>
              <w:jc w:val="right"/>
              <w:rPr>
                <w:sz w:val="18"/>
              </w:rPr>
            </w:pPr>
            <w:r>
              <w:rPr>
                <w:w w:val="95"/>
                <w:sz w:val="18"/>
              </w:rPr>
              <w:t>169,662</w:t>
            </w:r>
          </w:p>
        </w:tc>
      </w:tr>
      <w:tr>
        <w:trPr>
          <w:trHeight w:val="353" w:hRule="exact"/>
        </w:trPr>
        <w:tc>
          <w:tcPr>
            <w:tcW w:w="333" w:type="dxa"/>
          </w:tcPr>
          <w:p>
            <w:pPr/>
          </w:p>
        </w:tc>
        <w:tc>
          <w:tcPr>
            <w:tcW w:w="6831" w:type="dxa"/>
            <w:tcBorders>
              <w:top w:val="single" w:sz="0" w:space="0" w:color="000000"/>
              <w:bottom w:val="single" w:sz="0" w:space="0" w:color="000000"/>
            </w:tcBorders>
          </w:tcPr>
          <w:p>
            <w:pPr>
              <w:pStyle w:val="TableParagraph"/>
              <w:tabs>
                <w:tab w:pos="3959" w:val="left" w:leader="none"/>
                <w:tab w:pos="5257" w:val="left" w:leader="none"/>
              </w:tabs>
              <w:spacing w:before="122"/>
              <w:ind w:right="62"/>
              <w:jc w:val="right"/>
              <w:rPr>
                <w:sz w:val="18"/>
              </w:rPr>
            </w:pPr>
            <w:r>
              <w:rPr>
                <w:b/>
                <w:sz w:val="18"/>
              </w:rPr>
              <w:t>Total</w:t>
              <w:tab/>
              <w:t>6,038,319</w:t>
              <w:tab/>
            </w:r>
            <w:r>
              <w:rPr>
                <w:w w:val="95"/>
                <w:sz w:val="18"/>
              </w:rPr>
              <w:t>5,750,098</w:t>
            </w:r>
          </w:p>
        </w:tc>
        <w:tc>
          <w:tcPr>
            <w:tcW w:w="1466" w:type="dxa"/>
            <w:tcBorders>
              <w:top w:val="single" w:sz="0" w:space="0" w:color="000000"/>
              <w:bottom w:val="single" w:sz="0" w:space="0" w:color="000000"/>
            </w:tcBorders>
          </w:tcPr>
          <w:p>
            <w:pPr>
              <w:pStyle w:val="TableParagraph"/>
              <w:spacing w:before="122"/>
              <w:ind w:right="62"/>
              <w:jc w:val="right"/>
              <w:rPr>
                <w:b/>
                <w:sz w:val="18"/>
              </w:rPr>
            </w:pPr>
            <w:r>
              <w:rPr>
                <w:b/>
                <w:w w:val="95"/>
                <w:sz w:val="18"/>
              </w:rPr>
              <w:t>4,919,796</w:t>
            </w:r>
          </w:p>
        </w:tc>
        <w:tc>
          <w:tcPr>
            <w:tcW w:w="1317" w:type="dxa"/>
            <w:tcBorders>
              <w:top w:val="single" w:sz="0" w:space="0" w:color="000000"/>
              <w:bottom w:val="single" w:sz="0" w:space="0" w:color="000000"/>
            </w:tcBorders>
          </w:tcPr>
          <w:p>
            <w:pPr>
              <w:pStyle w:val="TableParagraph"/>
              <w:spacing w:before="122"/>
              <w:ind w:right="82"/>
              <w:jc w:val="right"/>
              <w:rPr>
                <w:sz w:val="18"/>
              </w:rPr>
            </w:pPr>
            <w:r>
              <w:rPr>
                <w:w w:val="95"/>
                <w:sz w:val="18"/>
              </w:rPr>
              <w:t>4,926,680</w:t>
            </w:r>
          </w:p>
        </w:tc>
      </w:tr>
      <w:tr>
        <w:trPr>
          <w:trHeight w:val="617" w:hRule="exact"/>
        </w:trPr>
        <w:tc>
          <w:tcPr>
            <w:tcW w:w="333" w:type="dxa"/>
          </w:tcPr>
          <w:p>
            <w:pPr/>
          </w:p>
        </w:tc>
        <w:tc>
          <w:tcPr>
            <w:tcW w:w="6831" w:type="dxa"/>
            <w:tcBorders>
              <w:top w:val="single" w:sz="0" w:space="0" w:color="000000"/>
            </w:tcBorders>
          </w:tcPr>
          <w:p>
            <w:pPr>
              <w:pStyle w:val="TableParagraph"/>
              <w:rPr>
                <w:sz w:val="18"/>
              </w:rPr>
            </w:pPr>
          </w:p>
          <w:p>
            <w:pPr>
              <w:pStyle w:val="TableParagraph"/>
              <w:tabs>
                <w:tab w:pos="664" w:val="left" w:leader="none"/>
              </w:tabs>
              <w:spacing w:before="106"/>
              <w:ind w:left="97"/>
              <w:rPr>
                <w:sz w:val="18"/>
              </w:rPr>
            </w:pPr>
            <w:r>
              <w:rPr>
                <w:sz w:val="18"/>
              </w:rPr>
              <w:t>(d)</w:t>
              <w:tab/>
              <w:t>Loans to key management</w:t>
            </w:r>
            <w:r>
              <w:rPr>
                <w:spacing w:val="-1"/>
                <w:sz w:val="18"/>
              </w:rPr>
              <w:t> </w:t>
            </w:r>
            <w:r>
              <w:rPr>
                <w:sz w:val="18"/>
              </w:rPr>
              <w:t>personnel</w:t>
            </w:r>
          </w:p>
        </w:tc>
        <w:tc>
          <w:tcPr>
            <w:tcW w:w="1466" w:type="dxa"/>
            <w:tcBorders>
              <w:top w:val="single" w:sz="0" w:space="0" w:color="000000"/>
            </w:tcBorders>
          </w:tcPr>
          <w:p>
            <w:pPr/>
          </w:p>
        </w:tc>
        <w:tc>
          <w:tcPr>
            <w:tcW w:w="1317" w:type="dxa"/>
            <w:tcBorders>
              <w:top w:val="single" w:sz="0" w:space="0" w:color="000000"/>
            </w:tcBorders>
          </w:tcPr>
          <w:p>
            <w:pPr/>
          </w:p>
        </w:tc>
      </w:tr>
    </w:tbl>
    <w:p>
      <w:pPr>
        <w:pStyle w:val="BodyText"/>
        <w:spacing w:before="10"/>
        <w:rPr>
          <w:sz w:val="9"/>
        </w:rPr>
      </w:pPr>
    </w:p>
    <w:p>
      <w:pPr>
        <w:pStyle w:val="BodyText"/>
        <w:spacing w:before="78"/>
        <w:ind w:left="525" w:right="1478"/>
        <w:jc w:val="center"/>
      </w:pPr>
      <w:r>
        <w:rPr/>
        <w:t>No loans were made to key management personnel during the financial year (2011: nil).</w:t>
      </w:r>
    </w:p>
    <w:p>
      <w:pPr>
        <w:pStyle w:val="BodyText"/>
        <w:rPr>
          <w:sz w:val="25"/>
        </w:rPr>
      </w:pPr>
    </w:p>
    <w:p>
      <w:pPr>
        <w:pStyle w:val="Heading9"/>
        <w:numPr>
          <w:ilvl w:val="0"/>
          <w:numId w:val="20"/>
        </w:numPr>
        <w:tabs>
          <w:tab w:pos="546" w:val="left" w:leader="none"/>
        </w:tabs>
        <w:spacing w:line="240" w:lineRule="auto" w:before="0" w:after="0"/>
        <w:ind w:left="545" w:right="0" w:hanging="396"/>
        <w:jc w:val="left"/>
      </w:pPr>
      <w:r>
        <w:rPr/>
        <w:t>Remuneration of Auditors</w:t>
      </w:r>
    </w:p>
    <w:p>
      <w:pPr>
        <w:pStyle w:val="BodyText"/>
        <w:rPr>
          <w:b/>
          <w:sz w:val="25"/>
        </w:rPr>
      </w:pPr>
    </w:p>
    <w:p>
      <w:pPr>
        <w:pStyle w:val="BodyText"/>
        <w:ind w:left="525" w:right="1610"/>
        <w:jc w:val="center"/>
      </w:pPr>
      <w:r>
        <w:rPr/>
        <w:t>During the year, the following fees were paid for services provided by the auditor of the parent entity:</w:t>
      </w:r>
    </w:p>
    <w:p>
      <w:pPr>
        <w:pStyle w:val="Heading9"/>
        <w:tabs>
          <w:tab w:pos="7298" w:val="left" w:leader="none"/>
        </w:tabs>
        <w:spacing w:before="32"/>
        <w:ind w:left="4562" w:right="596"/>
      </w:pPr>
      <w:r>
        <w:rPr/>
        <w:t>Consolidated</w:t>
        <w:tab/>
        <w:t>Parent</w:t>
      </w:r>
    </w:p>
    <w:p>
      <w:pPr>
        <w:spacing w:after="0"/>
        <w:sectPr>
          <w:pgSz w:w="11910" w:h="16840"/>
          <w:pgMar w:header="1038" w:footer="507" w:top="2220" w:bottom="700" w:left="860" w:right="880"/>
        </w:sectPr>
      </w:pPr>
    </w:p>
    <w:p>
      <w:pPr>
        <w:spacing w:before="66"/>
        <w:ind w:left="0" w:right="40" w:firstLine="0"/>
        <w:jc w:val="right"/>
        <w:rPr>
          <w:b/>
          <w:sz w:val="18"/>
        </w:rPr>
      </w:pPr>
      <w:r>
        <w:rPr>
          <w:b/>
          <w:w w:val="95"/>
          <w:sz w:val="18"/>
        </w:rPr>
        <w:t>2012</w:t>
      </w:r>
    </w:p>
    <w:p>
      <w:pPr>
        <w:spacing w:before="66"/>
        <w:ind w:left="0" w:right="0" w:firstLine="0"/>
        <w:jc w:val="right"/>
        <w:rPr>
          <w:b/>
          <w:sz w:val="18"/>
        </w:rPr>
      </w:pPr>
      <w:r>
        <w:rPr>
          <w:b/>
          <w:sz w:val="18"/>
        </w:rPr>
        <w:t>$'000</w:t>
      </w:r>
    </w:p>
    <w:p>
      <w:pPr>
        <w:spacing w:before="66"/>
        <w:ind w:left="786" w:right="-20" w:firstLine="0"/>
        <w:jc w:val="left"/>
        <w:rPr>
          <w:b/>
          <w:sz w:val="18"/>
        </w:rPr>
      </w:pPr>
      <w:r>
        <w:rPr/>
        <w:br w:type="column"/>
      </w:r>
      <w:r>
        <w:rPr>
          <w:b/>
          <w:sz w:val="18"/>
        </w:rPr>
        <w:t>2011</w:t>
      </w:r>
    </w:p>
    <w:p>
      <w:pPr>
        <w:spacing w:before="66"/>
        <w:ind w:left="786" w:right="-20" w:firstLine="0"/>
        <w:jc w:val="left"/>
        <w:rPr>
          <w:b/>
          <w:sz w:val="18"/>
        </w:rPr>
      </w:pPr>
      <w:r>
        <w:rPr>
          <w:b/>
          <w:sz w:val="18"/>
        </w:rPr>
        <w:t>$'000</w:t>
      </w:r>
    </w:p>
    <w:p>
      <w:pPr>
        <w:spacing w:before="66"/>
        <w:ind w:left="0" w:right="40" w:firstLine="0"/>
        <w:jc w:val="right"/>
        <w:rPr>
          <w:b/>
          <w:sz w:val="18"/>
        </w:rPr>
      </w:pPr>
      <w:r>
        <w:rPr/>
        <w:br w:type="column"/>
      </w:r>
      <w:r>
        <w:rPr>
          <w:b/>
          <w:sz w:val="18"/>
        </w:rPr>
        <w:t>2012</w:t>
      </w:r>
    </w:p>
    <w:p>
      <w:pPr>
        <w:spacing w:before="66"/>
        <w:ind w:left="0" w:right="0" w:firstLine="0"/>
        <w:jc w:val="right"/>
        <w:rPr>
          <w:b/>
          <w:sz w:val="18"/>
        </w:rPr>
      </w:pPr>
      <w:r>
        <w:rPr>
          <w:b/>
          <w:w w:val="95"/>
          <w:sz w:val="18"/>
        </w:rPr>
        <w:t>$'000</w:t>
      </w:r>
    </w:p>
    <w:p>
      <w:pPr>
        <w:spacing w:before="66"/>
        <w:ind w:left="699" w:right="909" w:firstLine="0"/>
        <w:jc w:val="center"/>
        <w:rPr>
          <w:b/>
          <w:sz w:val="18"/>
        </w:rPr>
      </w:pPr>
      <w:r>
        <w:rPr/>
        <w:br w:type="column"/>
      </w:r>
      <w:r>
        <w:rPr>
          <w:b/>
          <w:sz w:val="18"/>
        </w:rPr>
        <w:t>2011</w:t>
      </w:r>
    </w:p>
    <w:p>
      <w:pPr>
        <w:spacing w:before="66"/>
        <w:ind w:left="742" w:right="909" w:firstLine="0"/>
        <w:jc w:val="center"/>
        <w:rPr>
          <w:b/>
          <w:sz w:val="18"/>
        </w:rPr>
      </w:pPr>
      <w:r>
        <w:rPr>
          <w:b/>
          <w:sz w:val="18"/>
        </w:rPr>
        <w:t>$'000</w:t>
      </w:r>
    </w:p>
    <w:p>
      <w:pPr>
        <w:spacing w:after="0"/>
        <w:jc w:val="center"/>
        <w:rPr>
          <w:sz w:val="18"/>
        </w:rPr>
        <w:sectPr>
          <w:type w:val="continuous"/>
          <w:pgSz w:w="11910" w:h="16840"/>
          <w:pgMar w:top="0" w:bottom="280" w:left="860" w:right="880"/>
          <w:cols w:num="4" w:equalWidth="0">
            <w:col w:w="5176" w:space="40"/>
            <w:col w:w="1230" w:space="40"/>
            <w:col w:w="1454" w:space="40"/>
            <w:col w:w="2190"/>
          </w:cols>
        </w:sectPr>
      </w:pPr>
    </w:p>
    <w:p>
      <w:pPr>
        <w:pStyle w:val="BodyText"/>
        <w:spacing w:before="11"/>
        <w:rPr>
          <w:b/>
          <w:sz w:val="5"/>
        </w:rPr>
      </w:pPr>
    </w:p>
    <w:tbl>
      <w:tblPr>
        <w:tblW w:w="0" w:type="auto"/>
        <w:jc w:val="left"/>
        <w:tblInd w:w="5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715"/>
        <w:gridCol w:w="1188"/>
        <w:gridCol w:w="1382"/>
        <w:gridCol w:w="1382"/>
        <w:gridCol w:w="886"/>
      </w:tblGrid>
      <w:tr>
        <w:trPr>
          <w:trHeight w:val="513" w:hRule="exact"/>
        </w:trPr>
        <w:tc>
          <w:tcPr>
            <w:tcW w:w="4715" w:type="dxa"/>
          </w:tcPr>
          <w:p>
            <w:pPr>
              <w:pStyle w:val="TableParagraph"/>
              <w:spacing w:before="77"/>
              <w:ind w:left="62" w:right="1822"/>
              <w:rPr>
                <w:b/>
                <w:sz w:val="18"/>
              </w:rPr>
            </w:pPr>
            <w:r>
              <w:rPr>
                <w:b/>
                <w:sz w:val="18"/>
              </w:rPr>
              <w:t>Audit and review of the Financial Statements</w:t>
            </w:r>
          </w:p>
        </w:tc>
        <w:tc>
          <w:tcPr>
            <w:tcW w:w="4837" w:type="dxa"/>
            <w:gridSpan w:val="4"/>
          </w:tcPr>
          <w:p>
            <w:pPr/>
          </w:p>
        </w:tc>
      </w:tr>
      <w:tr>
        <w:trPr>
          <w:trHeight w:val="453" w:hRule="exact"/>
        </w:trPr>
        <w:tc>
          <w:tcPr>
            <w:tcW w:w="4715" w:type="dxa"/>
            <w:tcBorders>
              <w:bottom w:val="single" w:sz="0" w:space="0" w:color="000000"/>
            </w:tcBorders>
          </w:tcPr>
          <w:p>
            <w:pPr>
              <w:pStyle w:val="TableParagraph"/>
              <w:spacing w:before="4"/>
              <w:ind w:left="62" w:right="1752" w:hanging="1"/>
              <w:rPr>
                <w:sz w:val="18"/>
              </w:rPr>
            </w:pPr>
            <w:r>
              <w:rPr>
                <w:sz w:val="18"/>
              </w:rPr>
              <w:t>Fees paid to the Audit Office of New South Wales</w:t>
            </w:r>
          </w:p>
        </w:tc>
        <w:tc>
          <w:tcPr>
            <w:tcW w:w="1188" w:type="dxa"/>
            <w:tcBorders>
              <w:bottom w:val="single" w:sz="0" w:space="0" w:color="000000"/>
            </w:tcBorders>
          </w:tcPr>
          <w:p>
            <w:pPr>
              <w:pStyle w:val="TableParagraph"/>
              <w:spacing w:before="2"/>
              <w:rPr>
                <w:b/>
                <w:sz w:val="18"/>
              </w:rPr>
            </w:pPr>
          </w:p>
          <w:p>
            <w:pPr>
              <w:pStyle w:val="TableParagraph"/>
              <w:ind w:left="388"/>
              <w:rPr>
                <w:b/>
                <w:sz w:val="18"/>
              </w:rPr>
            </w:pPr>
            <w:r>
              <w:rPr>
                <w:b/>
                <w:sz w:val="18"/>
              </w:rPr>
              <w:t>389</w:t>
            </w:r>
          </w:p>
        </w:tc>
        <w:tc>
          <w:tcPr>
            <w:tcW w:w="1382" w:type="dxa"/>
            <w:tcBorders>
              <w:bottom w:val="single" w:sz="0" w:space="0" w:color="000000"/>
            </w:tcBorders>
          </w:tcPr>
          <w:p>
            <w:pPr>
              <w:pStyle w:val="TableParagraph"/>
              <w:spacing w:before="2"/>
              <w:rPr>
                <w:b/>
                <w:sz w:val="18"/>
              </w:rPr>
            </w:pPr>
          </w:p>
          <w:p>
            <w:pPr>
              <w:pStyle w:val="TableParagraph"/>
              <w:ind w:left="499"/>
              <w:rPr>
                <w:sz w:val="18"/>
              </w:rPr>
            </w:pPr>
            <w:r>
              <w:rPr>
                <w:sz w:val="18"/>
              </w:rPr>
              <w:t>375</w:t>
            </w:r>
          </w:p>
        </w:tc>
        <w:tc>
          <w:tcPr>
            <w:tcW w:w="1382" w:type="dxa"/>
            <w:tcBorders>
              <w:bottom w:val="single" w:sz="0" w:space="0" w:color="000000"/>
            </w:tcBorders>
          </w:tcPr>
          <w:p>
            <w:pPr>
              <w:pStyle w:val="TableParagraph"/>
              <w:spacing w:before="2"/>
              <w:rPr>
                <w:b/>
                <w:sz w:val="18"/>
              </w:rPr>
            </w:pPr>
          </w:p>
          <w:p>
            <w:pPr>
              <w:pStyle w:val="TableParagraph"/>
              <w:ind w:right="497"/>
              <w:jc w:val="right"/>
              <w:rPr>
                <w:b/>
                <w:sz w:val="18"/>
              </w:rPr>
            </w:pPr>
            <w:r>
              <w:rPr>
                <w:b/>
                <w:w w:val="95"/>
                <w:sz w:val="18"/>
              </w:rPr>
              <w:t>286</w:t>
            </w:r>
          </w:p>
        </w:tc>
        <w:tc>
          <w:tcPr>
            <w:tcW w:w="886" w:type="dxa"/>
            <w:tcBorders>
              <w:bottom w:val="single" w:sz="0" w:space="0" w:color="000000"/>
            </w:tcBorders>
          </w:tcPr>
          <w:p>
            <w:pPr>
              <w:pStyle w:val="TableParagraph"/>
              <w:spacing w:before="2"/>
              <w:rPr>
                <w:b/>
                <w:sz w:val="18"/>
              </w:rPr>
            </w:pPr>
          </w:p>
          <w:p>
            <w:pPr>
              <w:pStyle w:val="TableParagraph"/>
              <w:ind w:right="84"/>
              <w:jc w:val="right"/>
              <w:rPr>
                <w:sz w:val="18"/>
              </w:rPr>
            </w:pPr>
            <w:r>
              <w:rPr>
                <w:w w:val="95"/>
                <w:sz w:val="18"/>
              </w:rPr>
              <w:t>277</w:t>
            </w:r>
          </w:p>
        </w:tc>
      </w:tr>
      <w:tr>
        <w:trPr>
          <w:trHeight w:val="353" w:hRule="exact"/>
        </w:trPr>
        <w:tc>
          <w:tcPr>
            <w:tcW w:w="4715" w:type="dxa"/>
            <w:tcBorders>
              <w:top w:val="single" w:sz="0" w:space="0" w:color="000000"/>
              <w:bottom w:val="single" w:sz="0" w:space="0" w:color="000000"/>
            </w:tcBorders>
          </w:tcPr>
          <w:p>
            <w:pPr>
              <w:pStyle w:val="TableParagraph"/>
              <w:spacing w:before="122"/>
              <w:ind w:left="62" w:right="1822"/>
              <w:rPr>
                <w:b/>
                <w:sz w:val="18"/>
              </w:rPr>
            </w:pPr>
            <w:r>
              <w:rPr>
                <w:b/>
                <w:sz w:val="18"/>
              </w:rPr>
              <w:t>Total</w:t>
            </w:r>
          </w:p>
        </w:tc>
        <w:tc>
          <w:tcPr>
            <w:tcW w:w="1188" w:type="dxa"/>
            <w:tcBorders>
              <w:top w:val="single" w:sz="0" w:space="0" w:color="000000"/>
              <w:bottom w:val="single" w:sz="0" w:space="0" w:color="000000"/>
            </w:tcBorders>
          </w:tcPr>
          <w:p>
            <w:pPr>
              <w:pStyle w:val="TableParagraph"/>
              <w:spacing w:before="122"/>
              <w:ind w:left="388"/>
              <w:rPr>
                <w:b/>
                <w:sz w:val="18"/>
              </w:rPr>
            </w:pPr>
            <w:r>
              <w:rPr>
                <w:b/>
                <w:sz w:val="18"/>
              </w:rPr>
              <w:t>389</w:t>
            </w:r>
          </w:p>
        </w:tc>
        <w:tc>
          <w:tcPr>
            <w:tcW w:w="1382" w:type="dxa"/>
            <w:tcBorders>
              <w:top w:val="single" w:sz="0" w:space="0" w:color="000000"/>
              <w:bottom w:val="single" w:sz="0" w:space="0" w:color="000000"/>
            </w:tcBorders>
          </w:tcPr>
          <w:p>
            <w:pPr>
              <w:pStyle w:val="TableParagraph"/>
              <w:spacing w:before="122"/>
              <w:ind w:left="499"/>
              <w:rPr>
                <w:sz w:val="18"/>
              </w:rPr>
            </w:pPr>
            <w:r>
              <w:rPr>
                <w:sz w:val="18"/>
              </w:rPr>
              <w:t>375</w:t>
            </w:r>
          </w:p>
        </w:tc>
        <w:tc>
          <w:tcPr>
            <w:tcW w:w="1382" w:type="dxa"/>
            <w:tcBorders>
              <w:top w:val="single" w:sz="0" w:space="0" w:color="000000"/>
              <w:bottom w:val="single" w:sz="0" w:space="0" w:color="000000"/>
            </w:tcBorders>
          </w:tcPr>
          <w:p>
            <w:pPr>
              <w:pStyle w:val="TableParagraph"/>
              <w:spacing w:before="122"/>
              <w:ind w:right="497"/>
              <w:jc w:val="right"/>
              <w:rPr>
                <w:b/>
                <w:sz w:val="18"/>
              </w:rPr>
            </w:pPr>
            <w:r>
              <w:rPr>
                <w:b/>
                <w:w w:val="95"/>
                <w:sz w:val="18"/>
              </w:rPr>
              <w:t>286</w:t>
            </w:r>
          </w:p>
        </w:tc>
        <w:tc>
          <w:tcPr>
            <w:tcW w:w="886" w:type="dxa"/>
            <w:tcBorders>
              <w:top w:val="single" w:sz="0" w:space="0" w:color="000000"/>
              <w:bottom w:val="single" w:sz="0" w:space="0" w:color="000000"/>
            </w:tcBorders>
          </w:tcPr>
          <w:p>
            <w:pPr>
              <w:pStyle w:val="TableParagraph"/>
              <w:spacing w:before="122"/>
              <w:ind w:right="84"/>
              <w:jc w:val="right"/>
              <w:rPr>
                <w:sz w:val="18"/>
              </w:rPr>
            </w:pPr>
            <w:r>
              <w:rPr>
                <w:w w:val="95"/>
                <w:sz w:val="18"/>
              </w:rPr>
              <w:t>277</w:t>
            </w:r>
          </w:p>
        </w:tc>
      </w:tr>
      <w:tr>
        <w:trPr>
          <w:trHeight w:val="617" w:hRule="exact"/>
        </w:trPr>
        <w:tc>
          <w:tcPr>
            <w:tcW w:w="4715" w:type="dxa"/>
            <w:tcBorders>
              <w:top w:val="single" w:sz="0" w:space="0" w:color="000000"/>
            </w:tcBorders>
          </w:tcPr>
          <w:p>
            <w:pPr>
              <w:pStyle w:val="TableParagraph"/>
              <w:rPr>
                <w:b/>
                <w:sz w:val="18"/>
              </w:rPr>
            </w:pPr>
          </w:p>
          <w:p>
            <w:pPr>
              <w:pStyle w:val="TableParagraph"/>
              <w:spacing w:before="106"/>
              <w:ind w:left="35"/>
              <w:rPr>
                <w:sz w:val="18"/>
              </w:rPr>
            </w:pPr>
            <w:r>
              <w:rPr>
                <w:sz w:val="18"/>
              </w:rPr>
              <w:t>Fees shown are inclusive of Goods and Services Tax.</w:t>
            </w:r>
          </w:p>
        </w:tc>
        <w:tc>
          <w:tcPr>
            <w:tcW w:w="1188"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886" w:type="dxa"/>
            <w:tcBorders>
              <w:top w:val="single" w:sz="0" w:space="0" w:color="000000"/>
            </w:tcBorders>
          </w:tcPr>
          <w:p>
            <w:pPr/>
          </w:p>
        </w:tc>
      </w:tr>
    </w:tbl>
    <w:p>
      <w:pPr>
        <w:pStyle w:val="BodyText"/>
        <w:rPr>
          <w:b/>
          <w:sz w:val="20"/>
        </w:rPr>
      </w:pPr>
    </w:p>
    <w:p>
      <w:pPr>
        <w:pStyle w:val="BodyText"/>
        <w:rPr>
          <w:b/>
          <w:sz w:val="20"/>
        </w:rPr>
      </w:pPr>
    </w:p>
    <w:p>
      <w:pPr>
        <w:pStyle w:val="BodyText"/>
        <w:spacing w:before="7"/>
        <w:rPr>
          <w:b/>
          <w:sz w:val="19"/>
        </w:rPr>
      </w:pPr>
    </w:p>
    <w:p>
      <w:pPr>
        <w:pStyle w:val="ListParagraph"/>
        <w:numPr>
          <w:ilvl w:val="0"/>
          <w:numId w:val="20"/>
        </w:numPr>
        <w:tabs>
          <w:tab w:pos="546" w:val="left" w:leader="none"/>
        </w:tabs>
        <w:spacing w:line="240" w:lineRule="auto" w:before="0" w:after="0"/>
        <w:ind w:left="545" w:right="0" w:hanging="396"/>
        <w:jc w:val="left"/>
        <w:rPr>
          <w:b/>
          <w:sz w:val="18"/>
        </w:rPr>
      </w:pPr>
      <w:r>
        <w:rPr>
          <w:b/>
          <w:sz w:val="18"/>
        </w:rPr>
        <w:t>Contingencies</w:t>
      </w:r>
    </w:p>
    <w:p>
      <w:pPr>
        <w:pStyle w:val="BodyText"/>
        <w:rPr>
          <w:b/>
          <w:sz w:val="25"/>
        </w:rPr>
      </w:pPr>
    </w:p>
    <w:p>
      <w:pPr>
        <w:pStyle w:val="ListParagraph"/>
        <w:numPr>
          <w:ilvl w:val="1"/>
          <w:numId w:val="20"/>
        </w:numPr>
        <w:tabs>
          <w:tab w:pos="1112" w:val="left" w:leader="none"/>
        </w:tabs>
        <w:spacing w:line="240" w:lineRule="auto" w:before="0" w:after="0"/>
        <w:ind w:left="1111" w:right="0" w:hanging="566"/>
        <w:jc w:val="left"/>
        <w:rPr>
          <w:sz w:val="18"/>
        </w:rPr>
      </w:pPr>
      <w:r>
        <w:rPr>
          <w:sz w:val="18"/>
        </w:rPr>
        <w:t>Contingent</w:t>
      </w:r>
      <w:r>
        <w:rPr>
          <w:spacing w:val="-1"/>
          <w:sz w:val="18"/>
        </w:rPr>
        <w:t> </w:t>
      </w:r>
      <w:r>
        <w:rPr>
          <w:sz w:val="18"/>
        </w:rPr>
        <w:t>liabilities</w:t>
      </w:r>
    </w:p>
    <w:p>
      <w:pPr>
        <w:pStyle w:val="BodyText"/>
        <w:rPr>
          <w:sz w:val="25"/>
        </w:rPr>
      </w:pPr>
    </w:p>
    <w:p>
      <w:pPr>
        <w:pStyle w:val="BodyText"/>
        <w:ind w:left="545" w:right="596"/>
      </w:pPr>
      <w:r>
        <w:rPr/>
        <w:t>The University had contingent liabilities at  31 December 2012 in respect of:</w:t>
      </w:r>
    </w:p>
    <w:p>
      <w:pPr>
        <w:pStyle w:val="BodyText"/>
        <w:rPr>
          <w:sz w:val="25"/>
        </w:rPr>
      </w:pPr>
    </w:p>
    <w:p>
      <w:pPr>
        <w:pStyle w:val="ListParagraph"/>
        <w:numPr>
          <w:ilvl w:val="0"/>
          <w:numId w:val="21"/>
        </w:numPr>
        <w:tabs>
          <w:tab w:pos="828" w:val="left" w:leader="none"/>
        </w:tabs>
        <w:spacing w:line="240" w:lineRule="auto" w:before="0" w:after="0"/>
        <w:ind w:left="827" w:right="0" w:hanging="282"/>
        <w:jc w:val="left"/>
        <w:rPr>
          <w:sz w:val="18"/>
        </w:rPr>
      </w:pPr>
      <w:r>
        <w:rPr>
          <w:sz w:val="18"/>
        </w:rPr>
        <w:t>one Administrative Decisions Tribunal disability discrimination claim;</w:t>
      </w:r>
      <w:r>
        <w:rPr>
          <w:spacing w:val="-2"/>
          <w:sz w:val="18"/>
        </w:rPr>
        <w:t> </w:t>
      </w:r>
      <w:r>
        <w:rPr>
          <w:sz w:val="18"/>
        </w:rPr>
        <w:t>and</w:t>
      </w:r>
    </w:p>
    <w:p>
      <w:pPr>
        <w:pStyle w:val="BodyText"/>
        <w:rPr>
          <w:sz w:val="25"/>
        </w:rPr>
      </w:pPr>
    </w:p>
    <w:p>
      <w:pPr>
        <w:pStyle w:val="ListParagraph"/>
        <w:numPr>
          <w:ilvl w:val="0"/>
          <w:numId w:val="21"/>
        </w:numPr>
        <w:tabs>
          <w:tab w:pos="828" w:val="left" w:leader="none"/>
        </w:tabs>
        <w:spacing w:line="240" w:lineRule="auto" w:before="0" w:after="0"/>
        <w:ind w:left="827" w:right="0" w:hanging="282"/>
        <w:jc w:val="left"/>
        <w:rPr>
          <w:sz w:val="18"/>
        </w:rPr>
      </w:pPr>
      <w:r>
        <w:rPr>
          <w:sz w:val="18"/>
        </w:rPr>
        <w:t>one Administrative Decisions Tribunal privacy</w:t>
      </w:r>
      <w:r>
        <w:rPr>
          <w:spacing w:val="-1"/>
          <w:sz w:val="18"/>
        </w:rPr>
        <w:t> </w:t>
      </w:r>
      <w:r>
        <w:rPr>
          <w:sz w:val="18"/>
        </w:rPr>
        <w:t>claim.</w:t>
      </w:r>
    </w:p>
    <w:p>
      <w:pPr>
        <w:pStyle w:val="BodyText"/>
        <w:rPr>
          <w:sz w:val="25"/>
        </w:rPr>
      </w:pPr>
    </w:p>
    <w:p>
      <w:pPr>
        <w:pStyle w:val="BodyText"/>
        <w:ind w:left="545" w:right="109"/>
      </w:pPr>
      <w:r>
        <w:rPr/>
        <w:t>It is not envisaged that such matters will result in any financial settlement, and therefore none have been provided for in the financial statements.</w:t>
      </w:r>
    </w:p>
    <w:p>
      <w:pPr>
        <w:spacing w:after="0"/>
        <w:sectPr>
          <w:type w:val="continuous"/>
          <w:pgSz w:w="11910" w:h="16840"/>
          <w:pgMar w:top="0" w:bottom="280" w:left="860" w:right="880"/>
        </w:sectPr>
      </w:pPr>
    </w:p>
    <w:p>
      <w:pPr>
        <w:pStyle w:val="BodyText"/>
        <w:rPr>
          <w:sz w:val="20"/>
        </w:rPr>
      </w:pPr>
    </w:p>
    <w:p>
      <w:pPr>
        <w:pStyle w:val="BodyText"/>
        <w:rPr>
          <w:sz w:val="20"/>
        </w:rPr>
      </w:pPr>
    </w:p>
    <w:p>
      <w:pPr>
        <w:pStyle w:val="BodyText"/>
        <w:spacing w:before="4"/>
      </w:pPr>
    </w:p>
    <w:p>
      <w:pPr>
        <w:pStyle w:val="Heading9"/>
        <w:numPr>
          <w:ilvl w:val="0"/>
          <w:numId w:val="22"/>
        </w:numPr>
        <w:tabs>
          <w:tab w:pos="506" w:val="left" w:leader="none"/>
        </w:tabs>
        <w:spacing w:line="240" w:lineRule="auto" w:before="0" w:after="0"/>
        <w:ind w:left="505" w:right="0" w:hanging="396"/>
        <w:jc w:val="left"/>
      </w:pPr>
      <w:r>
        <w:rPr/>
        <w:t>Contingencies</w:t>
      </w:r>
      <w:r>
        <w:rPr>
          <w:spacing w:val="-3"/>
        </w:rPr>
        <w:t> </w:t>
      </w:r>
      <w:r>
        <w:rPr/>
        <w:t>(continued)</w:t>
      </w:r>
    </w:p>
    <w:p>
      <w:pPr>
        <w:pStyle w:val="BodyText"/>
        <w:spacing w:before="11"/>
        <w:rPr>
          <w:b/>
          <w:sz w:val="24"/>
        </w:rPr>
      </w:pPr>
    </w:p>
    <w:p>
      <w:pPr>
        <w:pStyle w:val="ListParagraph"/>
        <w:numPr>
          <w:ilvl w:val="1"/>
          <w:numId w:val="22"/>
        </w:numPr>
        <w:tabs>
          <w:tab w:pos="1072" w:val="left" w:leader="none"/>
        </w:tabs>
        <w:spacing w:line="207" w:lineRule="exact" w:before="0" w:after="0"/>
        <w:ind w:left="1071" w:right="0" w:hanging="566"/>
        <w:jc w:val="left"/>
        <w:rPr>
          <w:sz w:val="18"/>
        </w:rPr>
      </w:pPr>
      <w:r>
        <w:rPr>
          <w:sz w:val="18"/>
        </w:rPr>
        <w:t>Contingent liabilities</w:t>
      </w:r>
      <w:r>
        <w:rPr>
          <w:spacing w:val="-1"/>
          <w:sz w:val="18"/>
        </w:rPr>
        <w:t> </w:t>
      </w:r>
      <w:r>
        <w:rPr>
          <w:sz w:val="18"/>
        </w:rPr>
        <w:t>(continued)</w:t>
      </w:r>
    </w:p>
    <w:p>
      <w:pPr>
        <w:spacing w:line="207" w:lineRule="exact" w:before="0"/>
        <w:ind w:left="505" w:right="128" w:firstLine="0"/>
        <w:jc w:val="left"/>
        <w:rPr>
          <w:i/>
          <w:sz w:val="18"/>
        </w:rPr>
      </w:pPr>
      <w:r>
        <w:rPr>
          <w:i/>
          <w:sz w:val="18"/>
        </w:rPr>
        <w:t>Disclosure</w:t>
      </w:r>
    </w:p>
    <w:p>
      <w:pPr>
        <w:pStyle w:val="BodyText"/>
        <w:rPr>
          <w:i/>
          <w:sz w:val="25"/>
        </w:rPr>
      </w:pPr>
    </w:p>
    <w:p>
      <w:pPr>
        <w:pStyle w:val="BodyText"/>
        <w:ind w:left="505" w:right="321"/>
      </w:pPr>
      <w:r>
        <w:rPr/>
        <w:t>The University currently has a Project Delivery Agreement affecting Campbelltown campus with Landcom which may result in potential costs to the University from the removal of telecommunication equipment if the lease is terminated with the telecommunication company (costs associated with alternative site).</w:t>
      </w:r>
    </w:p>
    <w:p>
      <w:pPr>
        <w:pStyle w:val="BodyText"/>
        <w:rPr>
          <w:sz w:val="25"/>
        </w:rPr>
      </w:pPr>
    </w:p>
    <w:p>
      <w:pPr>
        <w:spacing w:before="0"/>
        <w:ind w:left="505" w:right="128" w:firstLine="0"/>
        <w:jc w:val="left"/>
        <w:rPr>
          <w:i/>
          <w:sz w:val="18"/>
        </w:rPr>
      </w:pPr>
      <w:r>
        <w:rPr>
          <w:i/>
          <w:sz w:val="18"/>
        </w:rPr>
        <w:t>Financial support and assistance</w:t>
      </w:r>
    </w:p>
    <w:p>
      <w:pPr>
        <w:pStyle w:val="BodyText"/>
        <w:rPr>
          <w:i/>
          <w:sz w:val="25"/>
        </w:rPr>
      </w:pPr>
    </w:p>
    <w:p>
      <w:pPr>
        <w:pStyle w:val="BodyText"/>
        <w:ind w:left="505" w:right="163"/>
        <w:jc w:val="both"/>
      </w:pPr>
      <w:r>
        <w:rPr/>
        <w:t>It is the University's current policy to provide Television Sydney (TVS) Ltd with such support and assistance as may be required to allow them to meet their financial obligations in conformity with generally accepted standards of commercial and financial prudence for the period 1 January 2013 up until approximately twelve months from the date of the signed financial statements to the expected date of the auditor's report  for the next annual reporting period.</w:t>
      </w:r>
    </w:p>
    <w:p>
      <w:pPr>
        <w:pStyle w:val="BodyText"/>
        <w:rPr>
          <w:sz w:val="25"/>
        </w:rPr>
      </w:pPr>
    </w:p>
    <w:p>
      <w:pPr>
        <w:pStyle w:val="Heading9"/>
        <w:numPr>
          <w:ilvl w:val="0"/>
          <w:numId w:val="22"/>
        </w:numPr>
        <w:tabs>
          <w:tab w:pos="506" w:val="left" w:leader="none"/>
        </w:tabs>
        <w:spacing w:line="240" w:lineRule="auto" w:before="0" w:after="0"/>
        <w:ind w:left="505" w:right="0" w:hanging="396"/>
        <w:jc w:val="left"/>
      </w:pPr>
      <w:r>
        <w:rPr/>
        <w:t>Commitments</w:t>
      </w:r>
    </w:p>
    <w:p>
      <w:pPr>
        <w:pStyle w:val="BodyText"/>
        <w:spacing w:before="10"/>
        <w:rPr>
          <w:b/>
          <w:sz w:val="24"/>
        </w:rPr>
      </w:pPr>
    </w:p>
    <w:p>
      <w:pPr>
        <w:pStyle w:val="ListParagraph"/>
        <w:numPr>
          <w:ilvl w:val="1"/>
          <w:numId w:val="22"/>
        </w:numPr>
        <w:tabs>
          <w:tab w:pos="1072" w:val="left" w:leader="none"/>
        </w:tabs>
        <w:spacing w:line="240" w:lineRule="auto" w:before="1" w:after="0"/>
        <w:ind w:left="1071" w:right="0" w:hanging="566"/>
        <w:jc w:val="left"/>
        <w:rPr>
          <w:sz w:val="18"/>
        </w:rPr>
      </w:pPr>
      <w:r>
        <w:rPr>
          <w:sz w:val="18"/>
        </w:rPr>
        <w:t>Capital</w:t>
      </w:r>
      <w:r>
        <w:rPr>
          <w:spacing w:val="-1"/>
          <w:sz w:val="18"/>
        </w:rPr>
        <w:t> </w:t>
      </w:r>
      <w:r>
        <w:rPr>
          <w:sz w:val="18"/>
        </w:rPr>
        <w:t>commitments</w:t>
      </w:r>
    </w:p>
    <w:p>
      <w:pPr>
        <w:pStyle w:val="BodyText"/>
        <w:rPr>
          <w:sz w:val="25"/>
        </w:rPr>
      </w:pPr>
    </w:p>
    <w:p>
      <w:pPr>
        <w:pStyle w:val="BodyText"/>
        <w:ind w:left="1072" w:right="128"/>
      </w:pPr>
      <w:r>
        <w:rPr/>
        <w:t>Capital expenditure contracted for at the reporting date but not recognised as liabilities are:</w:t>
      </w:r>
    </w:p>
    <w:p>
      <w:pPr>
        <w:pStyle w:val="Heading9"/>
        <w:tabs>
          <w:tab w:pos="7303" w:val="left" w:leader="none"/>
        </w:tabs>
        <w:spacing w:before="33"/>
        <w:ind w:left="4539" w:right="128"/>
      </w:pPr>
      <w:r>
        <w:rPr/>
        <w:t>Consolidated</w:t>
        <w:tab/>
        <w:t>Parent</w:t>
      </w:r>
    </w:p>
    <w:p>
      <w:pPr>
        <w:spacing w:after="0"/>
        <w:sectPr>
          <w:pgSz w:w="11910" w:h="16840"/>
          <w:pgMar w:header="1038" w:footer="507" w:top="2220" w:bottom="700" w:left="900" w:right="880"/>
        </w:sectPr>
      </w:pPr>
    </w:p>
    <w:p>
      <w:pPr>
        <w:spacing w:before="66"/>
        <w:ind w:left="0" w:right="40" w:firstLine="0"/>
        <w:jc w:val="right"/>
        <w:rPr>
          <w:b/>
          <w:sz w:val="18"/>
        </w:rPr>
      </w:pPr>
      <w:r>
        <w:rPr>
          <w:b/>
          <w:w w:val="95"/>
          <w:sz w:val="18"/>
        </w:rPr>
        <w:t>2012</w:t>
      </w:r>
    </w:p>
    <w:p>
      <w:pPr>
        <w:spacing w:before="66"/>
        <w:ind w:left="0" w:right="0" w:firstLine="0"/>
        <w:jc w:val="right"/>
        <w:rPr>
          <w:b/>
          <w:sz w:val="18"/>
        </w:rPr>
      </w:pPr>
      <w:r>
        <w:rPr>
          <w:b/>
          <w:sz w:val="18"/>
        </w:rPr>
        <w:t>$'000</w:t>
      </w:r>
    </w:p>
    <w:p>
      <w:pPr>
        <w:spacing w:before="66"/>
        <w:ind w:left="786" w:right="-20" w:firstLine="0"/>
        <w:jc w:val="left"/>
        <w:rPr>
          <w:b/>
          <w:sz w:val="18"/>
        </w:rPr>
      </w:pPr>
      <w:r>
        <w:rPr/>
        <w:br w:type="column"/>
      </w:r>
      <w:r>
        <w:rPr>
          <w:b/>
          <w:sz w:val="18"/>
        </w:rPr>
        <w:t>2011</w:t>
      </w:r>
    </w:p>
    <w:p>
      <w:pPr>
        <w:spacing w:before="66"/>
        <w:ind w:left="786" w:right="-20" w:firstLine="0"/>
        <w:jc w:val="left"/>
        <w:rPr>
          <w:b/>
          <w:sz w:val="18"/>
        </w:rPr>
      </w:pPr>
      <w:r>
        <w:rPr>
          <w:b/>
          <w:sz w:val="18"/>
        </w:rPr>
        <w:t>$'000</w:t>
      </w:r>
    </w:p>
    <w:p>
      <w:pPr>
        <w:spacing w:before="66"/>
        <w:ind w:left="0" w:right="40" w:firstLine="0"/>
        <w:jc w:val="right"/>
        <w:rPr>
          <w:b/>
          <w:sz w:val="18"/>
        </w:rPr>
      </w:pPr>
      <w:r>
        <w:rPr/>
        <w:br w:type="column"/>
      </w:r>
      <w:r>
        <w:rPr>
          <w:b/>
          <w:sz w:val="18"/>
        </w:rPr>
        <w:t>2012</w:t>
      </w:r>
    </w:p>
    <w:p>
      <w:pPr>
        <w:spacing w:before="66"/>
        <w:ind w:left="0" w:right="0" w:firstLine="0"/>
        <w:jc w:val="right"/>
        <w:rPr>
          <w:b/>
          <w:sz w:val="18"/>
        </w:rPr>
      </w:pPr>
      <w:r>
        <w:rPr>
          <w:b/>
          <w:w w:val="95"/>
          <w:sz w:val="18"/>
        </w:rPr>
        <w:t>$'000</w:t>
      </w:r>
    </w:p>
    <w:p>
      <w:pPr>
        <w:spacing w:before="66"/>
        <w:ind w:left="726" w:right="892" w:firstLine="0"/>
        <w:jc w:val="center"/>
        <w:rPr>
          <w:b/>
          <w:sz w:val="18"/>
        </w:rPr>
      </w:pPr>
      <w:r>
        <w:rPr/>
        <w:br w:type="column"/>
      </w:r>
      <w:r>
        <w:rPr>
          <w:b/>
          <w:sz w:val="18"/>
        </w:rPr>
        <w:t>2011</w:t>
      </w:r>
    </w:p>
    <w:p>
      <w:pPr>
        <w:spacing w:before="66"/>
        <w:ind w:left="763" w:right="886" w:firstLine="0"/>
        <w:jc w:val="center"/>
        <w:rPr>
          <w:b/>
          <w:sz w:val="18"/>
        </w:rPr>
      </w:pPr>
      <w:r>
        <w:rPr>
          <w:b/>
          <w:sz w:val="18"/>
        </w:rPr>
        <w:t>$'000</w:t>
      </w:r>
    </w:p>
    <w:p>
      <w:pPr>
        <w:spacing w:after="0"/>
        <w:jc w:val="center"/>
        <w:rPr>
          <w:sz w:val="18"/>
        </w:rPr>
        <w:sectPr>
          <w:type w:val="continuous"/>
          <w:pgSz w:w="11910" w:h="16840"/>
          <w:pgMar w:top="0" w:bottom="280" w:left="900" w:right="880"/>
          <w:cols w:num="4" w:equalWidth="0">
            <w:col w:w="5180" w:space="40"/>
            <w:col w:w="1230" w:space="40"/>
            <w:col w:w="1454" w:space="40"/>
            <w:col w:w="2146"/>
          </w:cols>
        </w:sectPr>
      </w:pPr>
    </w:p>
    <w:p>
      <w:pPr>
        <w:pStyle w:val="BodyText"/>
        <w:spacing w:before="11"/>
        <w:rPr>
          <w:b/>
          <w:sz w:val="5"/>
        </w:rPr>
      </w:pPr>
    </w:p>
    <w:tbl>
      <w:tblPr>
        <w:tblW w:w="0" w:type="auto"/>
        <w:jc w:val="left"/>
        <w:tblInd w:w="108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3"/>
        <w:gridCol w:w="1754"/>
        <w:gridCol w:w="1382"/>
        <w:gridCol w:w="1382"/>
        <w:gridCol w:w="1009"/>
      </w:tblGrid>
      <w:tr>
        <w:trPr>
          <w:trHeight w:val="626" w:hRule="exact"/>
        </w:trPr>
        <w:tc>
          <w:tcPr>
            <w:tcW w:w="3413" w:type="dxa"/>
          </w:tcPr>
          <w:p>
            <w:pPr>
              <w:pStyle w:val="TableParagraph"/>
              <w:spacing w:before="77"/>
              <w:ind w:left="35"/>
              <w:rPr>
                <w:b/>
                <w:sz w:val="18"/>
              </w:rPr>
            </w:pPr>
            <w:r>
              <w:rPr>
                <w:b/>
                <w:sz w:val="18"/>
              </w:rPr>
              <w:t>Property, plant and equipment</w:t>
            </w:r>
          </w:p>
          <w:p>
            <w:pPr>
              <w:pStyle w:val="TableParagraph"/>
              <w:spacing w:before="112"/>
              <w:ind w:left="35"/>
              <w:rPr>
                <w:sz w:val="18"/>
              </w:rPr>
            </w:pPr>
            <w:r>
              <w:rPr>
                <w:sz w:val="18"/>
              </w:rPr>
              <w:t>Payable:</w:t>
            </w:r>
          </w:p>
        </w:tc>
        <w:tc>
          <w:tcPr>
            <w:tcW w:w="5527" w:type="dxa"/>
            <w:gridSpan w:val="4"/>
          </w:tcPr>
          <w:p>
            <w:pPr/>
          </w:p>
        </w:tc>
      </w:tr>
      <w:tr>
        <w:trPr>
          <w:trHeight w:val="250" w:hRule="exact"/>
        </w:trPr>
        <w:tc>
          <w:tcPr>
            <w:tcW w:w="3413" w:type="dxa"/>
          </w:tcPr>
          <w:p>
            <w:pPr>
              <w:pStyle w:val="TableParagraph"/>
              <w:spacing w:before="4"/>
              <w:ind w:left="35"/>
              <w:rPr>
                <w:sz w:val="18"/>
              </w:rPr>
            </w:pPr>
            <w:r>
              <w:rPr>
                <w:sz w:val="18"/>
              </w:rPr>
              <w:t>Within one year</w:t>
            </w:r>
          </w:p>
        </w:tc>
        <w:tc>
          <w:tcPr>
            <w:tcW w:w="1754" w:type="dxa"/>
          </w:tcPr>
          <w:p>
            <w:pPr>
              <w:pStyle w:val="TableParagraph"/>
              <w:spacing w:before="5"/>
              <w:ind w:right="371"/>
              <w:jc w:val="right"/>
              <w:rPr>
                <w:b/>
                <w:sz w:val="18"/>
              </w:rPr>
            </w:pPr>
            <w:r>
              <w:rPr>
                <w:b/>
                <w:w w:val="95"/>
                <w:sz w:val="18"/>
              </w:rPr>
              <w:t>51,971</w:t>
            </w:r>
          </w:p>
        </w:tc>
        <w:tc>
          <w:tcPr>
            <w:tcW w:w="1382" w:type="dxa"/>
          </w:tcPr>
          <w:p>
            <w:pPr>
              <w:pStyle w:val="TableParagraph"/>
              <w:spacing w:before="5"/>
              <w:ind w:left="373"/>
              <w:rPr>
                <w:sz w:val="18"/>
              </w:rPr>
            </w:pPr>
            <w:r>
              <w:rPr>
                <w:sz w:val="18"/>
              </w:rPr>
              <w:t>74,354</w:t>
            </w:r>
          </w:p>
        </w:tc>
        <w:tc>
          <w:tcPr>
            <w:tcW w:w="1382" w:type="dxa"/>
          </w:tcPr>
          <w:p>
            <w:pPr>
              <w:pStyle w:val="TableParagraph"/>
              <w:spacing w:before="5"/>
              <w:ind w:right="371"/>
              <w:jc w:val="right"/>
              <w:rPr>
                <w:b/>
                <w:sz w:val="18"/>
              </w:rPr>
            </w:pPr>
            <w:r>
              <w:rPr>
                <w:b/>
                <w:w w:val="95"/>
                <w:sz w:val="18"/>
              </w:rPr>
              <w:t>51,971</w:t>
            </w:r>
          </w:p>
        </w:tc>
        <w:tc>
          <w:tcPr>
            <w:tcW w:w="1009" w:type="dxa"/>
          </w:tcPr>
          <w:p>
            <w:pPr>
              <w:pStyle w:val="TableParagraph"/>
              <w:spacing w:before="5"/>
              <w:ind w:right="83"/>
              <w:jc w:val="right"/>
              <w:rPr>
                <w:sz w:val="18"/>
              </w:rPr>
            </w:pPr>
            <w:r>
              <w:rPr>
                <w:w w:val="95"/>
                <w:sz w:val="18"/>
              </w:rPr>
              <w:t>74,327</w:t>
            </w:r>
          </w:p>
        </w:tc>
      </w:tr>
      <w:tr>
        <w:trPr>
          <w:trHeight w:val="263" w:hRule="exact"/>
        </w:trPr>
        <w:tc>
          <w:tcPr>
            <w:tcW w:w="3413" w:type="dxa"/>
          </w:tcPr>
          <w:p>
            <w:pPr>
              <w:pStyle w:val="TableParagraph"/>
              <w:spacing w:before="18"/>
              <w:ind w:left="35"/>
              <w:rPr>
                <w:sz w:val="18"/>
              </w:rPr>
            </w:pPr>
            <w:r>
              <w:rPr>
                <w:sz w:val="18"/>
              </w:rPr>
              <w:t>Between one and five years</w:t>
            </w:r>
          </w:p>
        </w:tc>
        <w:tc>
          <w:tcPr>
            <w:tcW w:w="1754" w:type="dxa"/>
            <w:tcBorders>
              <w:bottom w:val="single" w:sz="0" w:space="0" w:color="000000"/>
            </w:tcBorders>
          </w:tcPr>
          <w:p>
            <w:pPr>
              <w:pStyle w:val="TableParagraph"/>
              <w:spacing w:before="19"/>
              <w:ind w:right="373"/>
              <w:jc w:val="right"/>
              <w:rPr>
                <w:b/>
                <w:sz w:val="18"/>
              </w:rPr>
            </w:pPr>
            <w:r>
              <w:rPr>
                <w:b/>
                <w:w w:val="99"/>
                <w:sz w:val="18"/>
              </w:rPr>
              <w:t>-</w:t>
            </w:r>
          </w:p>
        </w:tc>
        <w:tc>
          <w:tcPr>
            <w:tcW w:w="1382" w:type="dxa"/>
            <w:tcBorders>
              <w:bottom w:val="single" w:sz="0" w:space="0" w:color="000000"/>
            </w:tcBorders>
          </w:tcPr>
          <w:p>
            <w:pPr>
              <w:pStyle w:val="TableParagraph"/>
              <w:spacing w:before="19"/>
              <w:ind w:left="373"/>
              <w:rPr>
                <w:sz w:val="18"/>
              </w:rPr>
            </w:pPr>
            <w:r>
              <w:rPr>
                <w:sz w:val="18"/>
              </w:rPr>
              <w:t>11,078</w:t>
            </w:r>
          </w:p>
        </w:tc>
        <w:tc>
          <w:tcPr>
            <w:tcW w:w="1382" w:type="dxa"/>
            <w:tcBorders>
              <w:bottom w:val="single" w:sz="0" w:space="0" w:color="000000"/>
            </w:tcBorders>
          </w:tcPr>
          <w:p>
            <w:pPr>
              <w:pStyle w:val="TableParagraph"/>
              <w:spacing w:before="19"/>
              <w:ind w:right="373"/>
              <w:jc w:val="right"/>
              <w:rPr>
                <w:b/>
                <w:sz w:val="18"/>
              </w:rPr>
            </w:pPr>
            <w:r>
              <w:rPr>
                <w:b/>
                <w:w w:val="99"/>
                <w:sz w:val="18"/>
              </w:rPr>
              <w:t>-</w:t>
            </w:r>
          </w:p>
        </w:tc>
        <w:tc>
          <w:tcPr>
            <w:tcW w:w="1009" w:type="dxa"/>
            <w:tcBorders>
              <w:bottom w:val="single" w:sz="0" w:space="0" w:color="000000"/>
            </w:tcBorders>
          </w:tcPr>
          <w:p>
            <w:pPr>
              <w:pStyle w:val="TableParagraph"/>
              <w:spacing w:before="19"/>
              <w:ind w:right="83"/>
              <w:jc w:val="right"/>
              <w:rPr>
                <w:sz w:val="18"/>
              </w:rPr>
            </w:pPr>
            <w:r>
              <w:rPr>
                <w:w w:val="95"/>
                <w:sz w:val="18"/>
              </w:rPr>
              <w:t>11,078</w:t>
            </w:r>
          </w:p>
        </w:tc>
      </w:tr>
      <w:tr>
        <w:trPr>
          <w:trHeight w:val="338" w:hRule="exact"/>
        </w:trPr>
        <w:tc>
          <w:tcPr>
            <w:tcW w:w="3413" w:type="dxa"/>
          </w:tcPr>
          <w:p>
            <w:pPr/>
          </w:p>
        </w:tc>
        <w:tc>
          <w:tcPr>
            <w:tcW w:w="1754" w:type="dxa"/>
            <w:tcBorders>
              <w:top w:val="single" w:sz="0" w:space="0" w:color="000000"/>
              <w:bottom w:val="single" w:sz="0" w:space="0" w:color="000000"/>
            </w:tcBorders>
          </w:tcPr>
          <w:p>
            <w:pPr>
              <w:pStyle w:val="TableParagraph"/>
              <w:spacing w:before="122"/>
              <w:ind w:right="371"/>
              <w:jc w:val="right"/>
              <w:rPr>
                <w:b/>
                <w:sz w:val="18"/>
              </w:rPr>
            </w:pPr>
            <w:r>
              <w:rPr>
                <w:b/>
                <w:w w:val="95"/>
                <w:sz w:val="18"/>
              </w:rPr>
              <w:t>51,971</w:t>
            </w:r>
          </w:p>
        </w:tc>
        <w:tc>
          <w:tcPr>
            <w:tcW w:w="1382" w:type="dxa"/>
            <w:tcBorders>
              <w:top w:val="single" w:sz="0" w:space="0" w:color="000000"/>
              <w:bottom w:val="single" w:sz="0" w:space="0" w:color="000000"/>
            </w:tcBorders>
          </w:tcPr>
          <w:p>
            <w:pPr>
              <w:pStyle w:val="TableParagraph"/>
              <w:spacing w:before="122"/>
              <w:ind w:left="373"/>
              <w:rPr>
                <w:sz w:val="18"/>
              </w:rPr>
            </w:pPr>
            <w:r>
              <w:rPr>
                <w:sz w:val="18"/>
              </w:rPr>
              <w:t>85,432</w:t>
            </w:r>
          </w:p>
        </w:tc>
        <w:tc>
          <w:tcPr>
            <w:tcW w:w="1382" w:type="dxa"/>
            <w:tcBorders>
              <w:top w:val="single" w:sz="0" w:space="0" w:color="000000"/>
              <w:bottom w:val="single" w:sz="0" w:space="0" w:color="000000"/>
            </w:tcBorders>
          </w:tcPr>
          <w:p>
            <w:pPr>
              <w:pStyle w:val="TableParagraph"/>
              <w:spacing w:before="122"/>
              <w:ind w:right="371"/>
              <w:jc w:val="right"/>
              <w:rPr>
                <w:b/>
                <w:sz w:val="18"/>
              </w:rPr>
            </w:pPr>
            <w:r>
              <w:rPr>
                <w:b/>
                <w:w w:val="95"/>
                <w:sz w:val="18"/>
              </w:rPr>
              <w:t>51,971</w:t>
            </w:r>
          </w:p>
        </w:tc>
        <w:tc>
          <w:tcPr>
            <w:tcW w:w="1009" w:type="dxa"/>
            <w:tcBorders>
              <w:top w:val="single" w:sz="0" w:space="0" w:color="000000"/>
              <w:bottom w:val="single" w:sz="0" w:space="0" w:color="000000"/>
            </w:tcBorders>
          </w:tcPr>
          <w:p>
            <w:pPr>
              <w:pStyle w:val="TableParagraph"/>
              <w:spacing w:before="122"/>
              <w:ind w:right="83"/>
              <w:jc w:val="right"/>
              <w:rPr>
                <w:sz w:val="18"/>
              </w:rPr>
            </w:pPr>
            <w:r>
              <w:rPr>
                <w:w w:val="95"/>
                <w:sz w:val="18"/>
              </w:rPr>
              <w:t>85,405</w:t>
            </w:r>
          </w:p>
        </w:tc>
      </w:tr>
    </w:tbl>
    <w:p>
      <w:pPr>
        <w:pStyle w:val="BodyText"/>
        <w:rPr>
          <w:b/>
          <w:sz w:val="20"/>
        </w:rPr>
      </w:pPr>
    </w:p>
    <w:p>
      <w:pPr>
        <w:pStyle w:val="BodyText"/>
        <w:rPr>
          <w:b/>
          <w:sz w:val="20"/>
        </w:rPr>
      </w:pPr>
    </w:p>
    <w:p>
      <w:pPr>
        <w:pStyle w:val="BodyText"/>
        <w:spacing w:before="3"/>
        <w:rPr>
          <w:b/>
          <w:sz w:val="22"/>
        </w:rPr>
      </w:pPr>
    </w:p>
    <w:p>
      <w:pPr>
        <w:pStyle w:val="ListParagraph"/>
        <w:numPr>
          <w:ilvl w:val="1"/>
          <w:numId w:val="22"/>
        </w:numPr>
        <w:tabs>
          <w:tab w:pos="1072" w:val="left" w:leader="none"/>
        </w:tabs>
        <w:spacing w:line="240" w:lineRule="auto" w:before="77" w:after="0"/>
        <w:ind w:left="1071" w:right="0" w:hanging="566"/>
        <w:jc w:val="left"/>
        <w:rPr>
          <w:sz w:val="18"/>
        </w:rPr>
      </w:pPr>
      <w:r>
        <w:rPr>
          <w:sz w:val="18"/>
        </w:rPr>
        <w:t>Lease</w:t>
      </w:r>
      <w:r>
        <w:rPr>
          <w:spacing w:val="-1"/>
          <w:sz w:val="18"/>
        </w:rPr>
        <w:t> </w:t>
      </w:r>
      <w:r>
        <w:rPr>
          <w:sz w:val="18"/>
        </w:rPr>
        <w:t>commitments</w:t>
      </w:r>
    </w:p>
    <w:p>
      <w:pPr>
        <w:pStyle w:val="BodyText"/>
        <w:spacing w:before="11"/>
        <w:rPr>
          <w:sz w:val="24"/>
        </w:rPr>
      </w:pPr>
    </w:p>
    <w:p>
      <w:pPr>
        <w:pStyle w:val="ListParagraph"/>
        <w:numPr>
          <w:ilvl w:val="2"/>
          <w:numId w:val="22"/>
        </w:numPr>
        <w:tabs>
          <w:tab w:pos="1225" w:val="left" w:leader="none"/>
        </w:tabs>
        <w:spacing w:line="240" w:lineRule="auto" w:before="0" w:after="0"/>
        <w:ind w:left="1224" w:right="0" w:hanging="209"/>
        <w:jc w:val="left"/>
        <w:rPr>
          <w:i/>
          <w:sz w:val="18"/>
        </w:rPr>
      </w:pPr>
      <w:r>
        <w:rPr>
          <w:i/>
          <w:sz w:val="18"/>
        </w:rPr>
        <w:t>Operating</w:t>
      </w:r>
      <w:r>
        <w:rPr>
          <w:i/>
          <w:spacing w:val="-1"/>
          <w:sz w:val="18"/>
        </w:rPr>
        <w:t> </w:t>
      </w:r>
      <w:r>
        <w:rPr>
          <w:i/>
          <w:sz w:val="18"/>
        </w:rPr>
        <w:t>Leases</w:t>
      </w:r>
    </w:p>
    <w:p>
      <w:pPr>
        <w:pStyle w:val="BodyText"/>
        <w:rPr>
          <w:i/>
          <w:sz w:val="25"/>
        </w:rPr>
      </w:pPr>
    </w:p>
    <w:p>
      <w:pPr>
        <w:pStyle w:val="BodyText"/>
        <w:ind w:left="1070" w:right="128"/>
      </w:pPr>
      <w:r>
        <w:rPr/>
        <w:t>The University leases computing and printing equipment under operating leases.</w:t>
      </w:r>
    </w:p>
    <w:p>
      <w:pPr>
        <w:pStyle w:val="BodyText"/>
        <w:rPr>
          <w:sz w:val="25"/>
        </w:rPr>
      </w:pPr>
    </w:p>
    <w:p>
      <w:pPr>
        <w:pStyle w:val="BodyText"/>
        <w:ind w:left="1070" w:right="595"/>
      </w:pPr>
      <w:r>
        <w:rPr/>
        <w:t>Commitments in relation to leases contracted for at the reporting date but not recognised as liabilities is as follows:</w:t>
      </w:r>
    </w:p>
    <w:p>
      <w:pPr>
        <w:pStyle w:val="BodyText"/>
      </w:pPr>
    </w:p>
    <w:p>
      <w:pPr>
        <w:pStyle w:val="BodyText"/>
      </w:pPr>
    </w:p>
    <w:p>
      <w:pPr>
        <w:pStyle w:val="Heading9"/>
        <w:tabs>
          <w:tab w:pos="7257" w:val="left" w:leader="none"/>
        </w:tabs>
        <w:spacing w:before="113" w:after="36"/>
        <w:ind w:left="4521" w:right="128"/>
      </w:pPr>
      <w:r>
        <w:rPr/>
        <w:t>Consolidated</w:t>
        <w:tab/>
        <w:t>Parent</w:t>
      </w:r>
    </w:p>
    <w:tbl>
      <w:tblPr>
        <w:tblW w:w="0" w:type="auto"/>
        <w:jc w:val="left"/>
        <w:tblInd w:w="10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88"/>
        <w:gridCol w:w="735"/>
        <w:gridCol w:w="688"/>
        <w:gridCol w:w="596"/>
        <w:gridCol w:w="801"/>
        <w:gridCol w:w="679"/>
        <w:gridCol w:w="688"/>
        <w:gridCol w:w="596"/>
        <w:gridCol w:w="745"/>
      </w:tblGrid>
      <w:tr>
        <w:trPr>
          <w:trHeight w:val="567" w:hRule="exact"/>
        </w:trPr>
        <w:tc>
          <w:tcPr>
            <w:tcW w:w="3488" w:type="dxa"/>
          </w:tcPr>
          <w:p>
            <w:pPr/>
          </w:p>
        </w:tc>
        <w:tc>
          <w:tcPr>
            <w:tcW w:w="735" w:type="dxa"/>
          </w:tcPr>
          <w:p>
            <w:pPr>
              <w:pStyle w:val="TableParagraph"/>
              <w:spacing w:before="30"/>
              <w:ind w:left="196"/>
              <w:rPr>
                <w:b/>
                <w:sz w:val="18"/>
              </w:rPr>
            </w:pPr>
            <w:r>
              <w:rPr>
                <w:b/>
                <w:sz w:val="18"/>
              </w:rPr>
              <w:t>2012</w:t>
            </w:r>
          </w:p>
          <w:p>
            <w:pPr>
              <w:pStyle w:val="TableParagraph"/>
              <w:spacing w:before="66"/>
              <w:ind w:left="196"/>
              <w:rPr>
                <w:b/>
                <w:sz w:val="18"/>
              </w:rPr>
            </w:pPr>
            <w:r>
              <w:rPr>
                <w:b/>
                <w:sz w:val="18"/>
              </w:rPr>
              <w:t>$'000</w:t>
            </w:r>
          </w:p>
        </w:tc>
        <w:tc>
          <w:tcPr>
            <w:tcW w:w="688" w:type="dxa"/>
          </w:tcPr>
          <w:p>
            <w:pPr/>
          </w:p>
        </w:tc>
        <w:tc>
          <w:tcPr>
            <w:tcW w:w="596" w:type="dxa"/>
          </w:tcPr>
          <w:p>
            <w:pPr>
              <w:pStyle w:val="TableParagraph"/>
              <w:spacing w:before="30"/>
              <w:ind w:left="43"/>
              <w:rPr>
                <w:b/>
                <w:sz w:val="18"/>
              </w:rPr>
            </w:pPr>
            <w:r>
              <w:rPr>
                <w:b/>
                <w:sz w:val="18"/>
              </w:rPr>
              <w:t>2011</w:t>
            </w:r>
          </w:p>
          <w:p>
            <w:pPr>
              <w:pStyle w:val="TableParagraph"/>
              <w:spacing w:before="66"/>
              <w:ind w:left="43"/>
              <w:rPr>
                <w:b/>
                <w:sz w:val="18"/>
              </w:rPr>
            </w:pPr>
            <w:r>
              <w:rPr>
                <w:b/>
                <w:sz w:val="18"/>
              </w:rPr>
              <w:t>$'000</w:t>
            </w:r>
          </w:p>
        </w:tc>
        <w:tc>
          <w:tcPr>
            <w:tcW w:w="801" w:type="dxa"/>
          </w:tcPr>
          <w:p>
            <w:pPr/>
          </w:p>
        </w:tc>
        <w:tc>
          <w:tcPr>
            <w:tcW w:w="679" w:type="dxa"/>
          </w:tcPr>
          <w:p>
            <w:pPr>
              <w:pStyle w:val="TableParagraph"/>
              <w:spacing w:before="30"/>
              <w:ind w:left="141"/>
              <w:rPr>
                <w:b/>
                <w:sz w:val="18"/>
              </w:rPr>
            </w:pPr>
            <w:r>
              <w:rPr>
                <w:b/>
                <w:sz w:val="18"/>
              </w:rPr>
              <w:t>2012</w:t>
            </w:r>
          </w:p>
          <w:p>
            <w:pPr>
              <w:pStyle w:val="TableParagraph"/>
              <w:spacing w:before="66"/>
              <w:ind w:left="141"/>
              <w:rPr>
                <w:b/>
                <w:sz w:val="18"/>
              </w:rPr>
            </w:pPr>
            <w:r>
              <w:rPr>
                <w:b/>
                <w:sz w:val="18"/>
              </w:rPr>
              <w:t>$'000</w:t>
            </w:r>
          </w:p>
        </w:tc>
        <w:tc>
          <w:tcPr>
            <w:tcW w:w="688" w:type="dxa"/>
          </w:tcPr>
          <w:p>
            <w:pPr/>
          </w:p>
        </w:tc>
        <w:tc>
          <w:tcPr>
            <w:tcW w:w="596" w:type="dxa"/>
          </w:tcPr>
          <w:p>
            <w:pPr>
              <w:pStyle w:val="TableParagraph"/>
              <w:spacing w:before="30"/>
              <w:ind w:left="43"/>
              <w:rPr>
                <w:b/>
                <w:sz w:val="18"/>
              </w:rPr>
            </w:pPr>
            <w:r>
              <w:rPr>
                <w:b/>
                <w:sz w:val="18"/>
              </w:rPr>
              <w:t>2011</w:t>
            </w:r>
          </w:p>
          <w:p>
            <w:pPr>
              <w:pStyle w:val="TableParagraph"/>
              <w:spacing w:before="66"/>
              <w:ind w:left="43"/>
              <w:rPr>
                <w:b/>
                <w:sz w:val="18"/>
              </w:rPr>
            </w:pPr>
            <w:r>
              <w:rPr>
                <w:b/>
                <w:sz w:val="18"/>
              </w:rPr>
              <w:t>$'000</w:t>
            </w:r>
          </w:p>
        </w:tc>
        <w:tc>
          <w:tcPr>
            <w:tcW w:w="745" w:type="dxa"/>
          </w:tcPr>
          <w:p>
            <w:pPr/>
          </w:p>
        </w:tc>
      </w:tr>
      <w:tr>
        <w:trPr>
          <w:trHeight w:val="282" w:hRule="exact"/>
        </w:trPr>
        <w:tc>
          <w:tcPr>
            <w:tcW w:w="3488" w:type="dxa"/>
          </w:tcPr>
          <w:p>
            <w:pPr>
              <w:pStyle w:val="TableParagraph"/>
              <w:spacing w:before="37"/>
              <w:ind w:left="35"/>
              <w:rPr>
                <w:sz w:val="18"/>
              </w:rPr>
            </w:pPr>
            <w:r>
              <w:rPr>
                <w:sz w:val="18"/>
              </w:rPr>
              <w:t>Within one year</w:t>
            </w:r>
          </w:p>
        </w:tc>
        <w:tc>
          <w:tcPr>
            <w:tcW w:w="735" w:type="dxa"/>
          </w:tcPr>
          <w:p>
            <w:pPr/>
          </w:p>
        </w:tc>
        <w:tc>
          <w:tcPr>
            <w:tcW w:w="688" w:type="dxa"/>
          </w:tcPr>
          <w:p>
            <w:pPr>
              <w:pStyle w:val="TableParagraph"/>
              <w:spacing w:before="36"/>
              <w:ind w:right="41"/>
              <w:jc w:val="right"/>
              <w:rPr>
                <w:b/>
                <w:sz w:val="18"/>
              </w:rPr>
            </w:pPr>
            <w:r>
              <w:rPr>
                <w:b/>
                <w:w w:val="95"/>
                <w:sz w:val="18"/>
              </w:rPr>
              <w:t>6,374</w:t>
            </w:r>
          </w:p>
        </w:tc>
        <w:tc>
          <w:tcPr>
            <w:tcW w:w="596" w:type="dxa"/>
          </w:tcPr>
          <w:p>
            <w:pPr/>
          </w:p>
        </w:tc>
        <w:tc>
          <w:tcPr>
            <w:tcW w:w="801" w:type="dxa"/>
          </w:tcPr>
          <w:p>
            <w:pPr>
              <w:pStyle w:val="TableParagraph"/>
              <w:spacing w:before="36"/>
              <w:ind w:right="139"/>
              <w:jc w:val="right"/>
              <w:rPr>
                <w:sz w:val="18"/>
              </w:rPr>
            </w:pPr>
            <w:r>
              <w:rPr>
                <w:w w:val="95"/>
                <w:sz w:val="18"/>
              </w:rPr>
              <w:t>7,767</w:t>
            </w:r>
          </w:p>
        </w:tc>
        <w:tc>
          <w:tcPr>
            <w:tcW w:w="679" w:type="dxa"/>
          </w:tcPr>
          <w:p>
            <w:pPr/>
          </w:p>
        </w:tc>
        <w:tc>
          <w:tcPr>
            <w:tcW w:w="688" w:type="dxa"/>
          </w:tcPr>
          <w:p>
            <w:pPr>
              <w:pStyle w:val="TableParagraph"/>
              <w:spacing w:before="36"/>
              <w:ind w:left="173" w:right="23"/>
              <w:jc w:val="center"/>
              <w:rPr>
                <w:b/>
                <w:sz w:val="18"/>
              </w:rPr>
            </w:pPr>
            <w:r>
              <w:rPr>
                <w:b/>
                <w:sz w:val="18"/>
              </w:rPr>
              <w:t>6,103</w:t>
            </w:r>
          </w:p>
        </w:tc>
        <w:tc>
          <w:tcPr>
            <w:tcW w:w="596" w:type="dxa"/>
          </w:tcPr>
          <w:p>
            <w:pPr/>
          </w:p>
        </w:tc>
        <w:tc>
          <w:tcPr>
            <w:tcW w:w="745" w:type="dxa"/>
          </w:tcPr>
          <w:p>
            <w:pPr>
              <w:pStyle w:val="TableParagraph"/>
              <w:spacing w:before="36"/>
              <w:ind w:left="187" w:right="65"/>
              <w:jc w:val="center"/>
              <w:rPr>
                <w:sz w:val="18"/>
              </w:rPr>
            </w:pPr>
            <w:r>
              <w:rPr>
                <w:sz w:val="18"/>
              </w:rPr>
              <w:t>7,280</w:t>
            </w:r>
          </w:p>
        </w:tc>
      </w:tr>
      <w:tr>
        <w:trPr>
          <w:trHeight w:val="262" w:hRule="exact"/>
        </w:trPr>
        <w:tc>
          <w:tcPr>
            <w:tcW w:w="3488" w:type="dxa"/>
          </w:tcPr>
          <w:p>
            <w:pPr>
              <w:pStyle w:val="TableParagraph"/>
              <w:spacing w:before="19"/>
              <w:ind w:left="35"/>
              <w:rPr>
                <w:sz w:val="18"/>
              </w:rPr>
            </w:pPr>
            <w:r>
              <w:rPr>
                <w:sz w:val="18"/>
              </w:rPr>
              <w:t>Between one year and five years</w:t>
            </w:r>
          </w:p>
        </w:tc>
        <w:tc>
          <w:tcPr>
            <w:tcW w:w="735" w:type="dxa"/>
            <w:tcBorders>
              <w:bottom w:val="single" w:sz="0" w:space="0" w:color="000000"/>
            </w:tcBorders>
          </w:tcPr>
          <w:p>
            <w:pPr/>
          </w:p>
        </w:tc>
        <w:tc>
          <w:tcPr>
            <w:tcW w:w="688" w:type="dxa"/>
            <w:tcBorders>
              <w:bottom w:val="single" w:sz="0" w:space="0" w:color="000000"/>
            </w:tcBorders>
          </w:tcPr>
          <w:p>
            <w:pPr>
              <w:pStyle w:val="TableParagraph"/>
              <w:spacing w:before="18"/>
              <w:ind w:right="41"/>
              <w:jc w:val="right"/>
              <w:rPr>
                <w:b/>
                <w:sz w:val="18"/>
              </w:rPr>
            </w:pPr>
            <w:r>
              <w:rPr>
                <w:b/>
                <w:w w:val="95"/>
                <w:sz w:val="18"/>
              </w:rPr>
              <w:t>5,797</w:t>
            </w:r>
          </w:p>
        </w:tc>
        <w:tc>
          <w:tcPr>
            <w:tcW w:w="596" w:type="dxa"/>
            <w:tcBorders>
              <w:bottom w:val="single" w:sz="0" w:space="0" w:color="000000"/>
            </w:tcBorders>
          </w:tcPr>
          <w:p>
            <w:pPr/>
          </w:p>
        </w:tc>
        <w:tc>
          <w:tcPr>
            <w:tcW w:w="801" w:type="dxa"/>
            <w:tcBorders>
              <w:bottom w:val="single" w:sz="0" w:space="0" w:color="000000"/>
            </w:tcBorders>
          </w:tcPr>
          <w:p>
            <w:pPr>
              <w:pStyle w:val="TableParagraph"/>
              <w:spacing w:before="18"/>
              <w:ind w:right="139"/>
              <w:jc w:val="right"/>
              <w:rPr>
                <w:sz w:val="18"/>
              </w:rPr>
            </w:pPr>
            <w:r>
              <w:rPr>
                <w:w w:val="95"/>
                <w:sz w:val="18"/>
              </w:rPr>
              <w:t>6,505</w:t>
            </w:r>
          </w:p>
        </w:tc>
        <w:tc>
          <w:tcPr>
            <w:tcW w:w="679" w:type="dxa"/>
            <w:tcBorders>
              <w:bottom w:val="single" w:sz="0" w:space="0" w:color="000000"/>
            </w:tcBorders>
          </w:tcPr>
          <w:p>
            <w:pPr/>
          </w:p>
        </w:tc>
        <w:tc>
          <w:tcPr>
            <w:tcW w:w="688" w:type="dxa"/>
            <w:tcBorders>
              <w:bottom w:val="single" w:sz="0" w:space="0" w:color="000000"/>
            </w:tcBorders>
          </w:tcPr>
          <w:p>
            <w:pPr>
              <w:pStyle w:val="TableParagraph"/>
              <w:spacing w:before="18"/>
              <w:ind w:left="173" w:right="23"/>
              <w:jc w:val="center"/>
              <w:rPr>
                <w:b/>
                <w:sz w:val="18"/>
              </w:rPr>
            </w:pPr>
            <w:r>
              <w:rPr>
                <w:b/>
                <w:sz w:val="18"/>
              </w:rPr>
              <w:t>5,761</w:t>
            </w:r>
          </w:p>
        </w:tc>
        <w:tc>
          <w:tcPr>
            <w:tcW w:w="596" w:type="dxa"/>
            <w:tcBorders>
              <w:bottom w:val="single" w:sz="0" w:space="0" w:color="000000"/>
            </w:tcBorders>
          </w:tcPr>
          <w:p>
            <w:pPr/>
          </w:p>
        </w:tc>
        <w:tc>
          <w:tcPr>
            <w:tcW w:w="745" w:type="dxa"/>
            <w:tcBorders>
              <w:bottom w:val="single" w:sz="0" w:space="0" w:color="000000"/>
            </w:tcBorders>
          </w:tcPr>
          <w:p>
            <w:pPr>
              <w:pStyle w:val="TableParagraph"/>
              <w:spacing w:before="18"/>
              <w:ind w:left="187" w:right="65"/>
              <w:jc w:val="center"/>
              <w:rPr>
                <w:sz w:val="18"/>
              </w:rPr>
            </w:pPr>
            <w:r>
              <w:rPr>
                <w:sz w:val="18"/>
              </w:rPr>
              <w:t>6,290</w:t>
            </w:r>
          </w:p>
        </w:tc>
      </w:tr>
      <w:tr>
        <w:trPr>
          <w:trHeight w:val="353" w:hRule="exact"/>
        </w:trPr>
        <w:tc>
          <w:tcPr>
            <w:tcW w:w="3488" w:type="dxa"/>
          </w:tcPr>
          <w:p>
            <w:pPr>
              <w:pStyle w:val="TableParagraph"/>
              <w:spacing w:before="95"/>
              <w:ind w:left="35"/>
              <w:rPr>
                <w:sz w:val="18"/>
              </w:rPr>
            </w:pPr>
            <w:r>
              <w:rPr>
                <w:sz w:val="18"/>
              </w:rPr>
              <w:t>Total future minimum lease payments</w:t>
            </w:r>
          </w:p>
        </w:tc>
        <w:tc>
          <w:tcPr>
            <w:tcW w:w="735" w:type="dxa"/>
            <w:tcBorders>
              <w:top w:val="single" w:sz="0" w:space="0" w:color="000000"/>
              <w:bottom w:val="single" w:sz="0" w:space="0" w:color="000000"/>
            </w:tcBorders>
          </w:tcPr>
          <w:p>
            <w:pPr/>
          </w:p>
        </w:tc>
        <w:tc>
          <w:tcPr>
            <w:tcW w:w="688" w:type="dxa"/>
            <w:tcBorders>
              <w:top w:val="single" w:sz="0" w:space="0" w:color="000000"/>
              <w:bottom w:val="single" w:sz="0" w:space="0" w:color="000000"/>
            </w:tcBorders>
          </w:tcPr>
          <w:p>
            <w:pPr>
              <w:pStyle w:val="TableParagraph"/>
              <w:spacing w:before="122"/>
              <w:ind w:right="41"/>
              <w:jc w:val="right"/>
              <w:rPr>
                <w:b/>
                <w:sz w:val="18"/>
              </w:rPr>
            </w:pPr>
            <w:r>
              <w:rPr>
                <w:b/>
                <w:w w:val="95"/>
                <w:sz w:val="18"/>
              </w:rPr>
              <w:t>12,171</w:t>
            </w:r>
          </w:p>
        </w:tc>
        <w:tc>
          <w:tcPr>
            <w:tcW w:w="596" w:type="dxa"/>
            <w:tcBorders>
              <w:top w:val="single" w:sz="0" w:space="0" w:color="000000"/>
              <w:bottom w:val="single" w:sz="0" w:space="0" w:color="000000"/>
            </w:tcBorders>
          </w:tcPr>
          <w:p>
            <w:pPr/>
          </w:p>
        </w:tc>
        <w:tc>
          <w:tcPr>
            <w:tcW w:w="801" w:type="dxa"/>
            <w:tcBorders>
              <w:top w:val="single" w:sz="0" w:space="0" w:color="000000"/>
              <w:bottom w:val="single" w:sz="0" w:space="0" w:color="000000"/>
            </w:tcBorders>
          </w:tcPr>
          <w:p>
            <w:pPr>
              <w:pStyle w:val="TableParagraph"/>
              <w:spacing w:before="122"/>
              <w:ind w:right="139"/>
              <w:jc w:val="right"/>
              <w:rPr>
                <w:sz w:val="18"/>
              </w:rPr>
            </w:pPr>
            <w:r>
              <w:rPr>
                <w:w w:val="95"/>
                <w:sz w:val="18"/>
              </w:rPr>
              <w:t>14,272</w:t>
            </w:r>
          </w:p>
        </w:tc>
        <w:tc>
          <w:tcPr>
            <w:tcW w:w="679" w:type="dxa"/>
            <w:tcBorders>
              <w:top w:val="single" w:sz="0" w:space="0" w:color="000000"/>
              <w:bottom w:val="single" w:sz="0" w:space="0" w:color="000000"/>
            </w:tcBorders>
          </w:tcPr>
          <w:p>
            <w:pPr/>
          </w:p>
        </w:tc>
        <w:tc>
          <w:tcPr>
            <w:tcW w:w="688" w:type="dxa"/>
            <w:tcBorders>
              <w:top w:val="single" w:sz="0" w:space="0" w:color="000000"/>
              <w:bottom w:val="single" w:sz="0" w:space="0" w:color="000000"/>
            </w:tcBorders>
          </w:tcPr>
          <w:p>
            <w:pPr>
              <w:pStyle w:val="TableParagraph"/>
              <w:spacing w:before="122"/>
              <w:ind w:left="74" w:right="23"/>
              <w:jc w:val="center"/>
              <w:rPr>
                <w:b/>
                <w:sz w:val="18"/>
              </w:rPr>
            </w:pPr>
            <w:r>
              <w:rPr>
                <w:b/>
                <w:sz w:val="18"/>
              </w:rPr>
              <w:t>11,864</w:t>
            </w:r>
          </w:p>
        </w:tc>
        <w:tc>
          <w:tcPr>
            <w:tcW w:w="596" w:type="dxa"/>
            <w:tcBorders>
              <w:top w:val="single" w:sz="0" w:space="0" w:color="000000"/>
              <w:bottom w:val="single" w:sz="0" w:space="0" w:color="000000"/>
            </w:tcBorders>
          </w:tcPr>
          <w:p>
            <w:pPr/>
          </w:p>
        </w:tc>
        <w:tc>
          <w:tcPr>
            <w:tcW w:w="745" w:type="dxa"/>
            <w:tcBorders>
              <w:top w:val="single" w:sz="0" w:space="0" w:color="000000"/>
              <w:bottom w:val="single" w:sz="0" w:space="0" w:color="000000"/>
            </w:tcBorders>
          </w:tcPr>
          <w:p>
            <w:pPr>
              <w:pStyle w:val="TableParagraph"/>
              <w:spacing w:before="122"/>
              <w:ind w:left="88" w:right="65"/>
              <w:jc w:val="center"/>
              <w:rPr>
                <w:sz w:val="18"/>
              </w:rPr>
            </w:pPr>
            <w:r>
              <w:rPr>
                <w:sz w:val="18"/>
              </w:rPr>
              <w:t>13,570</w:t>
            </w:r>
          </w:p>
        </w:tc>
      </w:tr>
    </w:tbl>
    <w:p>
      <w:pPr>
        <w:spacing w:after="0"/>
        <w:jc w:val="center"/>
        <w:rPr>
          <w:sz w:val="18"/>
        </w:rPr>
        <w:sectPr>
          <w:type w:val="continuous"/>
          <w:pgSz w:w="11910" w:h="16840"/>
          <w:pgMar w:top="0" w:bottom="280" w:left="900" w:right="880"/>
        </w:sectPr>
      </w:pPr>
    </w:p>
    <w:p>
      <w:pPr>
        <w:pStyle w:val="BodyText"/>
        <w:rPr>
          <w:b/>
          <w:sz w:val="20"/>
        </w:rPr>
      </w:pPr>
    </w:p>
    <w:p>
      <w:pPr>
        <w:pStyle w:val="BodyText"/>
        <w:rPr>
          <w:b/>
          <w:sz w:val="20"/>
        </w:rPr>
      </w:pPr>
    </w:p>
    <w:p>
      <w:pPr>
        <w:pStyle w:val="BodyText"/>
        <w:spacing w:before="4"/>
        <w:rPr>
          <w:b/>
        </w:rPr>
      </w:pPr>
    </w:p>
    <w:p>
      <w:pPr>
        <w:pStyle w:val="ListParagraph"/>
        <w:numPr>
          <w:ilvl w:val="0"/>
          <w:numId w:val="23"/>
        </w:numPr>
        <w:tabs>
          <w:tab w:pos="506" w:val="left" w:leader="none"/>
        </w:tabs>
        <w:spacing w:line="240" w:lineRule="auto" w:before="0" w:after="0"/>
        <w:ind w:left="505" w:right="0" w:hanging="396"/>
        <w:jc w:val="left"/>
        <w:rPr>
          <w:b/>
          <w:sz w:val="18"/>
        </w:rPr>
      </w:pPr>
      <w:r>
        <w:rPr>
          <w:b/>
          <w:sz w:val="18"/>
        </w:rPr>
        <w:t>Commitments</w:t>
      </w:r>
      <w:r>
        <w:rPr>
          <w:b/>
          <w:spacing w:val="-1"/>
          <w:sz w:val="18"/>
        </w:rPr>
        <w:t> </w:t>
      </w:r>
      <w:r>
        <w:rPr>
          <w:b/>
          <w:sz w:val="18"/>
        </w:rPr>
        <w:t>(continued)</w:t>
      </w:r>
    </w:p>
    <w:p>
      <w:pPr>
        <w:pStyle w:val="BodyText"/>
        <w:spacing w:before="11"/>
        <w:rPr>
          <w:b/>
          <w:sz w:val="24"/>
        </w:rPr>
      </w:pPr>
    </w:p>
    <w:p>
      <w:pPr>
        <w:pStyle w:val="BodyText"/>
        <w:tabs>
          <w:tab w:pos="1071" w:val="left" w:leader="none"/>
        </w:tabs>
        <w:spacing w:line="207" w:lineRule="exact"/>
        <w:ind w:left="505" w:right="128"/>
      </w:pPr>
      <w:r>
        <w:rPr/>
        <w:t>(b)</w:t>
        <w:tab/>
        <w:t>Lease commitments</w:t>
      </w:r>
      <w:r>
        <w:rPr>
          <w:spacing w:val="-1"/>
        </w:rPr>
        <w:t> </w:t>
      </w:r>
      <w:r>
        <w:rPr/>
        <w:t>(continued)</w:t>
      </w:r>
    </w:p>
    <w:p>
      <w:pPr>
        <w:pStyle w:val="ListParagraph"/>
        <w:numPr>
          <w:ilvl w:val="2"/>
          <w:numId w:val="22"/>
        </w:numPr>
        <w:tabs>
          <w:tab w:pos="1265" w:val="left" w:leader="none"/>
        </w:tabs>
        <w:spacing w:line="207" w:lineRule="exact" w:before="0" w:after="0"/>
        <w:ind w:left="1264" w:right="0" w:hanging="249"/>
        <w:jc w:val="left"/>
        <w:rPr>
          <w:i/>
          <w:sz w:val="18"/>
        </w:rPr>
      </w:pPr>
      <w:r>
        <w:rPr>
          <w:i/>
          <w:sz w:val="18"/>
        </w:rPr>
        <w:t>Finance</w:t>
      </w:r>
      <w:r>
        <w:rPr>
          <w:i/>
          <w:spacing w:val="-1"/>
          <w:sz w:val="18"/>
        </w:rPr>
        <w:t> </w:t>
      </w:r>
      <w:r>
        <w:rPr>
          <w:i/>
          <w:sz w:val="18"/>
        </w:rPr>
        <w:t>Leases</w:t>
      </w:r>
    </w:p>
    <w:p>
      <w:pPr>
        <w:pStyle w:val="BodyText"/>
        <w:rPr>
          <w:i/>
          <w:sz w:val="25"/>
        </w:rPr>
      </w:pPr>
    </w:p>
    <w:p>
      <w:pPr>
        <w:pStyle w:val="BodyText"/>
        <w:ind w:left="1070" w:right="128"/>
      </w:pPr>
      <w:r>
        <w:rPr/>
        <w:t>Commitments in relation to finance leases are payable as follows:</w:t>
      </w:r>
    </w:p>
    <w:p>
      <w:pPr>
        <w:pStyle w:val="BodyText"/>
        <w:spacing w:before="10"/>
        <w:rPr>
          <w:sz w:val="26"/>
        </w:rPr>
      </w:pPr>
    </w:p>
    <w:p>
      <w:pPr>
        <w:pStyle w:val="Heading9"/>
        <w:tabs>
          <w:tab w:pos="7302" w:val="left" w:leader="none"/>
        </w:tabs>
        <w:ind w:left="4538" w:right="128"/>
      </w:pPr>
      <w:r>
        <w:rPr/>
        <w:t>Consolidated</w:t>
        <w:tab/>
        <w:t>Parent</w:t>
      </w:r>
    </w:p>
    <w:p>
      <w:pPr>
        <w:pStyle w:val="BodyText"/>
        <w:rPr>
          <w:b/>
          <w:sz w:val="20"/>
        </w:rPr>
      </w:pPr>
    </w:p>
    <w:p>
      <w:pPr>
        <w:pStyle w:val="BodyText"/>
        <w:spacing w:before="1"/>
        <w:rPr>
          <w:b/>
          <w:sz w:val="26"/>
        </w:rPr>
      </w:pPr>
    </w:p>
    <w:p>
      <w:pPr>
        <w:pStyle w:val="BodyText"/>
        <w:spacing w:before="78"/>
        <w:ind w:left="1058" w:right="128"/>
      </w:pPr>
      <w:r>
        <w:rPr/>
        <w:pict>
          <v:shape style="position:absolute;margin-left:269.700012pt;margin-top:-24.693937pt;width:276.4pt;height:88.65pt;mso-position-horizontal-relative:page;mso-position-vertical-relative:paragraph;z-index:354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02"/>
                    <w:gridCol w:w="1214"/>
                    <w:gridCol w:w="626"/>
                    <w:gridCol w:w="924"/>
                    <w:gridCol w:w="1283"/>
                    <w:gridCol w:w="479"/>
                  </w:tblGrid>
                  <w:tr>
                    <w:trPr>
                      <w:trHeight w:val="817" w:hRule="exact"/>
                    </w:trPr>
                    <w:tc>
                      <w:tcPr>
                        <w:tcW w:w="1002" w:type="dxa"/>
                        <w:tcBorders>
                          <w:bottom w:val="single" w:sz="0" w:space="0" w:color="000000"/>
                        </w:tcBorders>
                      </w:tcPr>
                      <w:p>
                        <w:pPr>
                          <w:pStyle w:val="TableParagraph"/>
                          <w:spacing w:before="30"/>
                          <w:ind w:left="241"/>
                          <w:rPr>
                            <w:b/>
                            <w:sz w:val="18"/>
                          </w:rPr>
                        </w:pPr>
                        <w:r>
                          <w:rPr>
                            <w:b/>
                            <w:sz w:val="18"/>
                          </w:rPr>
                          <w:t>2012</w:t>
                        </w:r>
                      </w:p>
                      <w:p>
                        <w:pPr>
                          <w:pStyle w:val="TableParagraph"/>
                          <w:spacing w:before="66"/>
                          <w:ind w:left="241"/>
                          <w:rPr>
                            <w:b/>
                            <w:sz w:val="18"/>
                          </w:rPr>
                        </w:pPr>
                        <w:r>
                          <w:rPr>
                            <w:b/>
                            <w:sz w:val="18"/>
                          </w:rPr>
                          <w:t>$'000</w:t>
                        </w:r>
                      </w:p>
                    </w:tc>
                    <w:tc>
                      <w:tcPr>
                        <w:tcW w:w="1214" w:type="dxa"/>
                        <w:tcBorders>
                          <w:bottom w:val="single" w:sz="0" w:space="0" w:color="000000"/>
                        </w:tcBorders>
                      </w:tcPr>
                      <w:p>
                        <w:pPr>
                          <w:pStyle w:val="TableParagraph"/>
                          <w:spacing w:before="30"/>
                          <w:ind w:left="509"/>
                          <w:rPr>
                            <w:b/>
                            <w:sz w:val="18"/>
                          </w:rPr>
                        </w:pPr>
                        <w:r>
                          <w:rPr>
                            <w:b/>
                            <w:sz w:val="18"/>
                          </w:rPr>
                          <w:t>2011</w:t>
                        </w:r>
                      </w:p>
                      <w:p>
                        <w:pPr>
                          <w:pStyle w:val="TableParagraph"/>
                          <w:spacing w:before="66"/>
                          <w:ind w:left="509"/>
                          <w:rPr>
                            <w:b/>
                            <w:sz w:val="18"/>
                          </w:rPr>
                        </w:pPr>
                        <w:r>
                          <w:rPr>
                            <w:b/>
                            <w:sz w:val="18"/>
                          </w:rPr>
                          <w:t>$'000</w:t>
                        </w:r>
                      </w:p>
                      <w:p>
                        <w:pPr>
                          <w:pStyle w:val="TableParagraph"/>
                          <w:spacing w:before="61"/>
                          <w:ind w:left="317"/>
                          <w:rPr>
                            <w:b/>
                            <w:sz w:val="18"/>
                          </w:rPr>
                        </w:pPr>
                        <w:r>
                          <w:rPr>
                            <w:b/>
                            <w:w w:val="99"/>
                            <w:sz w:val="18"/>
                          </w:rPr>
                          <w:t>-</w:t>
                        </w:r>
                      </w:p>
                    </w:tc>
                    <w:tc>
                      <w:tcPr>
                        <w:tcW w:w="626" w:type="dxa"/>
                        <w:tcBorders>
                          <w:bottom w:val="single" w:sz="0" w:space="0" w:color="000000"/>
                        </w:tcBorders>
                      </w:tcPr>
                      <w:p>
                        <w:pPr>
                          <w:pStyle w:val="TableParagraph"/>
                          <w:rPr>
                            <w:sz w:val="18"/>
                          </w:rPr>
                        </w:pPr>
                      </w:p>
                      <w:p>
                        <w:pPr>
                          <w:pStyle w:val="TableParagraph"/>
                          <w:rPr>
                            <w:sz w:val="18"/>
                          </w:rPr>
                        </w:pPr>
                      </w:p>
                      <w:p>
                        <w:pPr>
                          <w:pStyle w:val="TableParagraph"/>
                          <w:spacing w:before="159"/>
                          <w:ind w:right="161"/>
                          <w:jc w:val="right"/>
                          <w:rPr>
                            <w:sz w:val="18"/>
                          </w:rPr>
                        </w:pPr>
                        <w:r>
                          <w:rPr>
                            <w:w w:val="95"/>
                            <w:sz w:val="18"/>
                          </w:rPr>
                          <w:t>12</w:t>
                        </w:r>
                      </w:p>
                    </w:tc>
                    <w:tc>
                      <w:tcPr>
                        <w:tcW w:w="924" w:type="dxa"/>
                        <w:tcBorders>
                          <w:bottom w:val="single" w:sz="0" w:space="0" w:color="000000"/>
                        </w:tcBorders>
                      </w:tcPr>
                      <w:p>
                        <w:pPr>
                          <w:pStyle w:val="TableParagraph"/>
                          <w:spacing w:before="30"/>
                          <w:ind w:left="163"/>
                          <w:rPr>
                            <w:b/>
                            <w:sz w:val="18"/>
                          </w:rPr>
                        </w:pPr>
                        <w:r>
                          <w:rPr>
                            <w:b/>
                            <w:sz w:val="18"/>
                          </w:rPr>
                          <w:t>2012</w:t>
                        </w:r>
                      </w:p>
                      <w:p>
                        <w:pPr>
                          <w:pStyle w:val="TableParagraph"/>
                          <w:spacing w:before="66"/>
                          <w:ind w:left="163"/>
                          <w:rPr>
                            <w:b/>
                            <w:sz w:val="18"/>
                          </w:rPr>
                        </w:pPr>
                        <w:r>
                          <w:rPr>
                            <w:b/>
                            <w:sz w:val="18"/>
                          </w:rPr>
                          <w:t>$'000</w:t>
                        </w:r>
                      </w:p>
                    </w:tc>
                    <w:tc>
                      <w:tcPr>
                        <w:tcW w:w="1283" w:type="dxa"/>
                        <w:tcBorders>
                          <w:bottom w:val="single" w:sz="0" w:space="0" w:color="000000"/>
                        </w:tcBorders>
                      </w:tcPr>
                      <w:p>
                        <w:pPr>
                          <w:pStyle w:val="TableParagraph"/>
                          <w:spacing w:before="30"/>
                          <w:ind w:left="509"/>
                          <w:rPr>
                            <w:b/>
                            <w:sz w:val="18"/>
                          </w:rPr>
                        </w:pPr>
                        <w:r>
                          <w:rPr>
                            <w:b/>
                            <w:sz w:val="18"/>
                          </w:rPr>
                          <w:t>2011</w:t>
                        </w:r>
                      </w:p>
                      <w:p>
                        <w:pPr>
                          <w:pStyle w:val="TableParagraph"/>
                          <w:spacing w:before="66"/>
                          <w:ind w:left="509"/>
                          <w:rPr>
                            <w:b/>
                            <w:sz w:val="18"/>
                          </w:rPr>
                        </w:pPr>
                        <w:r>
                          <w:rPr>
                            <w:b/>
                            <w:sz w:val="18"/>
                          </w:rPr>
                          <w:t>$'000</w:t>
                        </w:r>
                      </w:p>
                      <w:p>
                        <w:pPr>
                          <w:pStyle w:val="TableParagraph"/>
                          <w:spacing w:before="61"/>
                          <w:ind w:left="317"/>
                          <w:rPr>
                            <w:b/>
                            <w:sz w:val="18"/>
                          </w:rPr>
                        </w:pPr>
                        <w:r>
                          <w:rPr>
                            <w:b/>
                            <w:w w:val="99"/>
                            <w:sz w:val="18"/>
                          </w:rPr>
                          <w:t>-</w:t>
                        </w:r>
                      </w:p>
                    </w:tc>
                    <w:tc>
                      <w:tcPr>
                        <w:tcW w:w="479" w:type="dxa"/>
                        <w:tcBorders>
                          <w:bottom w:val="single" w:sz="0" w:space="0" w:color="000000"/>
                        </w:tcBorders>
                      </w:tcPr>
                      <w:p>
                        <w:pPr>
                          <w:pStyle w:val="TableParagraph"/>
                          <w:rPr>
                            <w:sz w:val="18"/>
                          </w:rPr>
                        </w:pPr>
                      </w:p>
                      <w:p>
                        <w:pPr>
                          <w:pStyle w:val="TableParagraph"/>
                          <w:rPr>
                            <w:sz w:val="18"/>
                          </w:rPr>
                        </w:pPr>
                      </w:p>
                      <w:p>
                        <w:pPr>
                          <w:pStyle w:val="TableParagraph"/>
                          <w:spacing w:before="159"/>
                          <w:ind w:right="85"/>
                          <w:jc w:val="right"/>
                          <w:rPr>
                            <w:sz w:val="18"/>
                          </w:rPr>
                        </w:pPr>
                        <w:r>
                          <w:rPr>
                            <w:w w:val="99"/>
                            <w:sz w:val="18"/>
                          </w:rPr>
                          <w:t>-</w:t>
                        </w:r>
                      </w:p>
                    </w:tc>
                  </w:tr>
                  <w:tr>
                    <w:trPr>
                      <w:trHeight w:val="602" w:hRule="exact"/>
                    </w:trPr>
                    <w:tc>
                      <w:tcPr>
                        <w:tcW w:w="1002" w:type="dxa"/>
                        <w:tcBorders>
                          <w:top w:val="single" w:sz="0" w:space="0" w:color="000000"/>
                          <w:bottom w:val="single" w:sz="0" w:space="0" w:color="000000"/>
                        </w:tcBorders>
                      </w:tcPr>
                      <w:p>
                        <w:pPr/>
                      </w:p>
                    </w:tc>
                    <w:tc>
                      <w:tcPr>
                        <w:tcW w:w="1214" w:type="dxa"/>
                        <w:tcBorders>
                          <w:top w:val="single" w:sz="0" w:space="0" w:color="000000"/>
                          <w:bottom w:val="single" w:sz="0" w:space="0" w:color="000000"/>
                        </w:tcBorders>
                      </w:tcPr>
                      <w:p>
                        <w:pPr>
                          <w:pStyle w:val="TableParagraph"/>
                          <w:spacing w:before="122"/>
                          <w:ind w:left="317"/>
                          <w:rPr>
                            <w:b/>
                            <w:sz w:val="18"/>
                          </w:rPr>
                        </w:pPr>
                        <w:r>
                          <w:rPr>
                            <w:b/>
                            <w:w w:val="99"/>
                            <w:sz w:val="18"/>
                          </w:rPr>
                          <w:t>-</w:t>
                        </w:r>
                      </w:p>
                      <w:p>
                        <w:pPr>
                          <w:pStyle w:val="TableParagraph"/>
                          <w:spacing w:before="28"/>
                          <w:ind w:left="317"/>
                          <w:rPr>
                            <w:b/>
                            <w:sz w:val="18"/>
                          </w:rPr>
                        </w:pPr>
                        <w:r>
                          <w:rPr>
                            <w:b/>
                            <w:w w:val="99"/>
                            <w:sz w:val="18"/>
                          </w:rPr>
                          <w:t>-</w:t>
                        </w:r>
                      </w:p>
                    </w:tc>
                    <w:tc>
                      <w:tcPr>
                        <w:tcW w:w="626" w:type="dxa"/>
                        <w:tcBorders>
                          <w:top w:val="single" w:sz="0" w:space="0" w:color="000000"/>
                          <w:bottom w:val="single" w:sz="0" w:space="0" w:color="000000"/>
                        </w:tcBorders>
                      </w:tcPr>
                      <w:p>
                        <w:pPr>
                          <w:pStyle w:val="TableParagraph"/>
                          <w:spacing w:before="122"/>
                          <w:ind w:left="241" w:right="144"/>
                          <w:jc w:val="center"/>
                          <w:rPr>
                            <w:sz w:val="18"/>
                          </w:rPr>
                        </w:pPr>
                        <w:r>
                          <w:rPr>
                            <w:sz w:val="18"/>
                          </w:rPr>
                          <w:t>12</w:t>
                        </w:r>
                      </w:p>
                      <w:p>
                        <w:pPr>
                          <w:pStyle w:val="TableParagraph"/>
                          <w:spacing w:before="28"/>
                          <w:ind w:left="235"/>
                          <w:jc w:val="center"/>
                          <w:rPr>
                            <w:sz w:val="18"/>
                          </w:rPr>
                        </w:pPr>
                        <w:r>
                          <w:rPr>
                            <w:w w:val="99"/>
                            <w:sz w:val="18"/>
                          </w:rPr>
                          <w:t>-</w:t>
                        </w:r>
                      </w:p>
                    </w:tc>
                    <w:tc>
                      <w:tcPr>
                        <w:tcW w:w="924" w:type="dxa"/>
                        <w:tcBorders>
                          <w:top w:val="single" w:sz="0" w:space="0" w:color="000000"/>
                          <w:bottom w:val="single" w:sz="0" w:space="0" w:color="000000"/>
                        </w:tcBorders>
                      </w:tcPr>
                      <w:p>
                        <w:pPr/>
                      </w:p>
                    </w:tc>
                    <w:tc>
                      <w:tcPr>
                        <w:tcW w:w="1283" w:type="dxa"/>
                        <w:tcBorders>
                          <w:top w:val="single" w:sz="0" w:space="0" w:color="000000"/>
                          <w:bottom w:val="single" w:sz="0" w:space="0" w:color="000000"/>
                        </w:tcBorders>
                      </w:tcPr>
                      <w:p>
                        <w:pPr>
                          <w:pStyle w:val="TableParagraph"/>
                          <w:spacing w:before="122"/>
                          <w:ind w:left="317"/>
                          <w:rPr>
                            <w:b/>
                            <w:sz w:val="18"/>
                          </w:rPr>
                        </w:pPr>
                        <w:r>
                          <w:rPr>
                            <w:b/>
                            <w:w w:val="99"/>
                            <w:sz w:val="18"/>
                          </w:rPr>
                          <w:t>-</w:t>
                        </w:r>
                      </w:p>
                      <w:p>
                        <w:pPr>
                          <w:pStyle w:val="TableParagraph"/>
                          <w:spacing w:before="28"/>
                          <w:ind w:left="317"/>
                          <w:rPr>
                            <w:b/>
                            <w:sz w:val="18"/>
                          </w:rPr>
                        </w:pPr>
                        <w:r>
                          <w:rPr>
                            <w:b/>
                            <w:w w:val="99"/>
                            <w:sz w:val="18"/>
                          </w:rPr>
                          <w:t>-</w:t>
                        </w:r>
                      </w:p>
                    </w:tc>
                    <w:tc>
                      <w:tcPr>
                        <w:tcW w:w="479" w:type="dxa"/>
                        <w:tcBorders>
                          <w:top w:val="single" w:sz="0" w:space="0" w:color="000000"/>
                          <w:bottom w:val="single" w:sz="0" w:space="0" w:color="000000"/>
                        </w:tcBorders>
                      </w:tcPr>
                      <w:p>
                        <w:pPr>
                          <w:pStyle w:val="TableParagraph"/>
                          <w:spacing w:before="122"/>
                          <w:ind w:right="85"/>
                          <w:jc w:val="right"/>
                          <w:rPr>
                            <w:sz w:val="18"/>
                          </w:rPr>
                        </w:pPr>
                        <w:r>
                          <w:rPr>
                            <w:w w:val="99"/>
                            <w:sz w:val="18"/>
                          </w:rPr>
                          <w:t>-</w:t>
                        </w:r>
                      </w:p>
                      <w:p>
                        <w:pPr>
                          <w:pStyle w:val="TableParagraph"/>
                          <w:spacing w:before="28"/>
                          <w:ind w:right="85"/>
                          <w:jc w:val="right"/>
                          <w:rPr>
                            <w:sz w:val="18"/>
                          </w:rPr>
                        </w:pPr>
                        <w:r>
                          <w:rPr>
                            <w:w w:val="99"/>
                            <w:sz w:val="18"/>
                          </w:rPr>
                          <w:t>-</w:t>
                        </w:r>
                      </w:p>
                    </w:tc>
                  </w:tr>
                  <w:tr>
                    <w:trPr>
                      <w:trHeight w:val="353" w:hRule="exact"/>
                    </w:trPr>
                    <w:tc>
                      <w:tcPr>
                        <w:tcW w:w="1002" w:type="dxa"/>
                        <w:tcBorders>
                          <w:top w:val="single" w:sz="0" w:space="0" w:color="000000"/>
                          <w:bottom w:val="single" w:sz="0" w:space="0" w:color="000000"/>
                        </w:tcBorders>
                      </w:tcPr>
                      <w:p>
                        <w:pPr/>
                      </w:p>
                    </w:tc>
                    <w:tc>
                      <w:tcPr>
                        <w:tcW w:w="1214" w:type="dxa"/>
                        <w:tcBorders>
                          <w:top w:val="single" w:sz="0" w:space="0" w:color="000000"/>
                          <w:bottom w:val="single" w:sz="0" w:space="0" w:color="000000"/>
                        </w:tcBorders>
                      </w:tcPr>
                      <w:p>
                        <w:pPr>
                          <w:pStyle w:val="TableParagraph"/>
                          <w:spacing w:before="122"/>
                          <w:ind w:left="317"/>
                          <w:rPr>
                            <w:b/>
                            <w:sz w:val="18"/>
                          </w:rPr>
                        </w:pPr>
                        <w:r>
                          <w:rPr>
                            <w:b/>
                            <w:w w:val="99"/>
                            <w:sz w:val="18"/>
                          </w:rPr>
                          <w:t>-</w:t>
                        </w:r>
                      </w:p>
                    </w:tc>
                    <w:tc>
                      <w:tcPr>
                        <w:tcW w:w="626" w:type="dxa"/>
                        <w:tcBorders>
                          <w:top w:val="single" w:sz="0" w:space="0" w:color="000000"/>
                          <w:bottom w:val="single" w:sz="0" w:space="0" w:color="000000"/>
                        </w:tcBorders>
                      </w:tcPr>
                      <w:p>
                        <w:pPr>
                          <w:pStyle w:val="TableParagraph"/>
                          <w:spacing w:before="122"/>
                          <w:ind w:right="161"/>
                          <w:jc w:val="right"/>
                          <w:rPr>
                            <w:sz w:val="18"/>
                          </w:rPr>
                        </w:pPr>
                        <w:r>
                          <w:rPr>
                            <w:w w:val="95"/>
                            <w:sz w:val="18"/>
                          </w:rPr>
                          <w:t>12</w:t>
                        </w:r>
                      </w:p>
                    </w:tc>
                    <w:tc>
                      <w:tcPr>
                        <w:tcW w:w="924" w:type="dxa"/>
                        <w:tcBorders>
                          <w:top w:val="single" w:sz="0" w:space="0" w:color="000000"/>
                          <w:bottom w:val="single" w:sz="0" w:space="0" w:color="000000"/>
                        </w:tcBorders>
                      </w:tcPr>
                      <w:p>
                        <w:pPr/>
                      </w:p>
                    </w:tc>
                    <w:tc>
                      <w:tcPr>
                        <w:tcW w:w="1283" w:type="dxa"/>
                        <w:tcBorders>
                          <w:top w:val="single" w:sz="0" w:space="0" w:color="000000"/>
                          <w:bottom w:val="single" w:sz="0" w:space="0" w:color="000000"/>
                        </w:tcBorders>
                      </w:tcPr>
                      <w:p>
                        <w:pPr>
                          <w:pStyle w:val="TableParagraph"/>
                          <w:spacing w:before="122"/>
                          <w:ind w:left="317"/>
                          <w:rPr>
                            <w:b/>
                            <w:sz w:val="18"/>
                          </w:rPr>
                        </w:pPr>
                        <w:r>
                          <w:rPr>
                            <w:b/>
                            <w:w w:val="99"/>
                            <w:sz w:val="18"/>
                          </w:rPr>
                          <w:t>-</w:t>
                        </w:r>
                      </w:p>
                    </w:tc>
                    <w:tc>
                      <w:tcPr>
                        <w:tcW w:w="479" w:type="dxa"/>
                        <w:tcBorders>
                          <w:top w:val="single" w:sz="0" w:space="0" w:color="000000"/>
                          <w:bottom w:val="single" w:sz="0" w:space="0" w:color="000000"/>
                        </w:tcBorders>
                      </w:tcPr>
                      <w:p>
                        <w:pPr>
                          <w:pStyle w:val="TableParagraph"/>
                          <w:spacing w:before="122"/>
                          <w:ind w:right="85"/>
                          <w:jc w:val="right"/>
                          <w:rPr>
                            <w:sz w:val="18"/>
                          </w:rPr>
                        </w:pPr>
                        <w:r>
                          <w:rPr>
                            <w:w w:val="99"/>
                            <w:sz w:val="18"/>
                          </w:rPr>
                          <w:t>-</w:t>
                        </w:r>
                      </w:p>
                    </w:tc>
                  </w:tr>
                </w:tbl>
                <w:p>
                  <w:pPr>
                    <w:pStyle w:val="BodyText"/>
                  </w:pPr>
                </w:p>
              </w:txbxContent>
            </v:textbox>
            <w10:wrap type="none"/>
          </v:shape>
        </w:pict>
      </w:r>
      <w:r>
        <w:rPr/>
        <w:t>Within one year</w:t>
      </w:r>
    </w:p>
    <w:p>
      <w:pPr>
        <w:pStyle w:val="BodyText"/>
        <w:spacing w:line="369" w:lineRule="auto" w:before="76"/>
        <w:ind w:left="1058" w:right="6050"/>
      </w:pPr>
      <w:r>
        <w:rPr/>
        <w:t>Total future minimum lease payments Future finance charges</w:t>
      </w:r>
    </w:p>
    <w:p>
      <w:pPr>
        <w:pStyle w:val="BodyText"/>
        <w:spacing w:line="175" w:lineRule="exact"/>
        <w:ind w:left="1058" w:right="128"/>
      </w:pPr>
      <w:r>
        <w:rPr/>
        <w:t>Recognised as a liability</w:t>
      </w:r>
    </w:p>
    <w:p>
      <w:pPr>
        <w:pStyle w:val="BodyText"/>
        <w:spacing w:before="11"/>
        <w:rPr>
          <w:sz w:val="29"/>
        </w:rPr>
      </w:pPr>
    </w:p>
    <w:p>
      <w:pPr>
        <w:pStyle w:val="Heading9"/>
        <w:numPr>
          <w:ilvl w:val="0"/>
          <w:numId w:val="23"/>
        </w:numPr>
        <w:tabs>
          <w:tab w:pos="506" w:val="left" w:leader="none"/>
        </w:tabs>
        <w:spacing w:line="240" w:lineRule="auto" w:before="77" w:after="0"/>
        <w:ind w:left="505" w:right="0" w:hanging="396"/>
        <w:jc w:val="left"/>
      </w:pPr>
      <w:r>
        <w:rPr/>
        <w:t>Financial Risk</w:t>
      </w:r>
      <w:r>
        <w:rPr>
          <w:spacing w:val="-2"/>
        </w:rPr>
        <w:t> </w:t>
      </w:r>
      <w:r>
        <w:rPr/>
        <w:t>Management</w:t>
      </w:r>
    </w:p>
    <w:p>
      <w:pPr>
        <w:pStyle w:val="BodyText"/>
        <w:spacing w:before="11"/>
        <w:rPr>
          <w:b/>
          <w:sz w:val="24"/>
        </w:rPr>
      </w:pPr>
    </w:p>
    <w:p>
      <w:pPr>
        <w:pStyle w:val="ListParagraph"/>
        <w:numPr>
          <w:ilvl w:val="1"/>
          <w:numId w:val="23"/>
        </w:numPr>
        <w:tabs>
          <w:tab w:pos="1072" w:val="left" w:leader="none"/>
        </w:tabs>
        <w:spacing w:line="240" w:lineRule="auto" w:before="0" w:after="0"/>
        <w:ind w:left="1071" w:right="0" w:hanging="566"/>
        <w:jc w:val="left"/>
        <w:rPr>
          <w:sz w:val="18"/>
        </w:rPr>
      </w:pPr>
      <w:r>
        <w:rPr>
          <w:sz w:val="18"/>
        </w:rPr>
        <w:t>Introduction</w:t>
      </w:r>
    </w:p>
    <w:p>
      <w:pPr>
        <w:pStyle w:val="BodyText"/>
        <w:rPr>
          <w:sz w:val="25"/>
        </w:rPr>
      </w:pPr>
    </w:p>
    <w:p>
      <w:pPr>
        <w:pStyle w:val="BodyText"/>
        <w:ind w:left="1072" w:right="128"/>
      </w:pPr>
      <w:r>
        <w:rPr/>
        <w:t>The Group's activities expose it to a variety of financial risks: market risk (including currency risk, fair value interest rate risk, cash flow interest rate risk and price risk), credit risk and liquidity risk. The Group's overall risk management program focuses on the unpredictability of financial markets and seeks to minimise potential adverse effects on the financial performance of the Group. The Group uses different methods to measure different types of risk to which it is exposed. These methods include sensitivity analysis in the case of interest rate, foreign exchange and other price risks and ageing analysis for credit risk.</w:t>
      </w:r>
    </w:p>
    <w:p>
      <w:pPr>
        <w:pStyle w:val="BodyText"/>
        <w:rPr>
          <w:sz w:val="25"/>
        </w:rPr>
      </w:pPr>
    </w:p>
    <w:p>
      <w:pPr>
        <w:pStyle w:val="BodyText"/>
        <w:spacing w:line="573" w:lineRule="auto"/>
        <w:ind w:left="1072" w:right="1249"/>
      </w:pPr>
      <w:r>
        <w:rPr/>
        <w:t>The Group's principal financial instruments are investments in units in managed investment funds. The main purposes of the managed investment funds are to:</w:t>
      </w:r>
    </w:p>
    <w:p>
      <w:pPr>
        <w:pStyle w:val="ListParagraph"/>
        <w:numPr>
          <w:ilvl w:val="2"/>
          <w:numId w:val="23"/>
        </w:numPr>
        <w:tabs>
          <w:tab w:pos="1223" w:val="left" w:leader="none"/>
        </w:tabs>
        <w:spacing w:line="240" w:lineRule="auto" w:before="8" w:after="0"/>
        <w:ind w:left="1072" w:right="705" w:firstLine="0"/>
        <w:jc w:val="left"/>
        <w:rPr>
          <w:sz w:val="18"/>
        </w:rPr>
      </w:pPr>
      <w:r>
        <w:rPr>
          <w:sz w:val="18"/>
        </w:rPr>
        <w:t>earn revenue to assist the Group in meeting operating expenses in a climate of diminshing government financial assistance,</w:t>
      </w:r>
      <w:r>
        <w:rPr>
          <w:spacing w:val="-1"/>
          <w:sz w:val="18"/>
        </w:rPr>
        <w:t> </w:t>
      </w:r>
      <w:r>
        <w:rPr>
          <w:sz w:val="18"/>
        </w:rPr>
        <w:t>and</w:t>
      </w:r>
    </w:p>
    <w:p>
      <w:pPr>
        <w:pStyle w:val="BodyText"/>
        <w:rPr>
          <w:sz w:val="25"/>
        </w:rPr>
      </w:pPr>
    </w:p>
    <w:p>
      <w:pPr>
        <w:pStyle w:val="ListParagraph"/>
        <w:numPr>
          <w:ilvl w:val="2"/>
          <w:numId w:val="23"/>
        </w:numPr>
        <w:tabs>
          <w:tab w:pos="1263" w:val="left" w:leader="none"/>
        </w:tabs>
        <w:spacing w:line="240" w:lineRule="auto" w:before="0" w:after="0"/>
        <w:ind w:left="1072" w:right="295" w:firstLine="0"/>
        <w:jc w:val="left"/>
        <w:rPr>
          <w:sz w:val="18"/>
        </w:rPr>
      </w:pPr>
      <w:r>
        <w:rPr>
          <w:sz w:val="18"/>
        </w:rPr>
        <w:t>provide long term capital growth so that the Group can provide sufficient funds to meet longer term liabilities including deferred employee</w:t>
      </w:r>
      <w:r>
        <w:rPr>
          <w:spacing w:val="-1"/>
          <w:sz w:val="18"/>
        </w:rPr>
        <w:t> </w:t>
      </w:r>
      <w:r>
        <w:rPr>
          <w:sz w:val="18"/>
        </w:rPr>
        <w:t>benefits.</w:t>
      </w:r>
    </w:p>
    <w:p>
      <w:pPr>
        <w:pStyle w:val="BodyText"/>
        <w:rPr>
          <w:sz w:val="25"/>
        </w:rPr>
      </w:pPr>
    </w:p>
    <w:p>
      <w:pPr>
        <w:pStyle w:val="BodyText"/>
        <w:ind w:left="1072"/>
      </w:pPr>
      <w:r>
        <w:rPr/>
        <w:t>The Group also has various other financial instruments such as cash, receivables, payables and finance leases.</w:t>
      </w:r>
    </w:p>
    <w:p>
      <w:pPr>
        <w:pStyle w:val="BodyText"/>
        <w:rPr>
          <w:sz w:val="25"/>
        </w:rPr>
      </w:pPr>
    </w:p>
    <w:p>
      <w:pPr>
        <w:pStyle w:val="Heading9"/>
        <w:ind w:left="1072" w:right="128"/>
      </w:pPr>
      <w:r>
        <w:rPr/>
        <w:t>Treasury Risk Management</w:t>
      </w:r>
    </w:p>
    <w:p>
      <w:pPr>
        <w:pStyle w:val="BodyText"/>
        <w:rPr>
          <w:b/>
          <w:sz w:val="25"/>
        </w:rPr>
      </w:pPr>
    </w:p>
    <w:p>
      <w:pPr>
        <w:pStyle w:val="BodyText"/>
        <w:ind w:left="1072" w:right="134"/>
      </w:pPr>
      <w:r>
        <w:rPr/>
        <w:t>The University of Western Sydney Act provides that the University can only invest funds via ‘funds managers’ approved by NSW Treasury. Approved funds managers use a wide range of diversified strategic asset allocations. The performance of the funds managers are closely monitored by the University of Western Sydney Finance and Investment Committee. The Finance and Investment Committee has a number of external members with a high level of experience and expertise in funds management. The Committee provides written principles for overall risk management, as well as policies covering specific areas, such as investment of excess liquidity. The Finance and Investment Committee also evaluates treasury management strategies in the context of the most recent economic conditions and forecasts and the Group’s activities. The Finance and Investment Committee reports regularly to the Board of Trustees.</w:t>
      </w:r>
    </w:p>
    <w:p>
      <w:pPr>
        <w:spacing w:after="0"/>
        <w:sectPr>
          <w:pgSz w:w="11910" w:h="16840"/>
          <w:pgMar w:header="1038" w:footer="507" w:top="2220" w:bottom="700" w:left="900" w:right="880"/>
        </w:sectPr>
      </w:pPr>
    </w:p>
    <w:p>
      <w:pPr>
        <w:pStyle w:val="BodyText"/>
        <w:rPr>
          <w:sz w:val="20"/>
        </w:rPr>
      </w:pPr>
    </w:p>
    <w:p>
      <w:pPr>
        <w:pStyle w:val="BodyText"/>
        <w:rPr>
          <w:sz w:val="20"/>
        </w:rPr>
      </w:pPr>
    </w:p>
    <w:p>
      <w:pPr>
        <w:pStyle w:val="BodyText"/>
        <w:spacing w:before="4"/>
      </w:pPr>
    </w:p>
    <w:p>
      <w:pPr>
        <w:pStyle w:val="Heading9"/>
        <w:ind w:left="109" w:right="596"/>
      </w:pPr>
      <w:r>
        <w:rPr/>
        <w:t>32    Financial Risk Management (continued)</w:t>
      </w:r>
    </w:p>
    <w:p>
      <w:pPr>
        <w:pStyle w:val="BodyText"/>
        <w:spacing w:before="11"/>
        <w:rPr>
          <w:b/>
          <w:sz w:val="24"/>
        </w:rPr>
      </w:pPr>
    </w:p>
    <w:p>
      <w:pPr>
        <w:pStyle w:val="ListParagraph"/>
        <w:numPr>
          <w:ilvl w:val="1"/>
          <w:numId w:val="23"/>
        </w:numPr>
        <w:tabs>
          <w:tab w:pos="1072" w:val="left" w:leader="none"/>
        </w:tabs>
        <w:spacing w:line="240" w:lineRule="auto" w:before="0" w:after="0"/>
        <w:ind w:left="1071" w:right="0" w:hanging="566"/>
        <w:jc w:val="left"/>
        <w:rPr>
          <w:sz w:val="18"/>
        </w:rPr>
      </w:pPr>
      <w:r>
        <w:rPr>
          <w:sz w:val="18"/>
        </w:rPr>
        <w:t>Market</w:t>
      </w:r>
      <w:r>
        <w:rPr>
          <w:spacing w:val="-1"/>
          <w:sz w:val="18"/>
        </w:rPr>
        <w:t> </w:t>
      </w:r>
      <w:r>
        <w:rPr>
          <w:sz w:val="18"/>
        </w:rPr>
        <w:t>risk</w:t>
      </w:r>
    </w:p>
    <w:p>
      <w:pPr>
        <w:pStyle w:val="BodyText"/>
        <w:rPr>
          <w:sz w:val="25"/>
        </w:rPr>
      </w:pPr>
    </w:p>
    <w:p>
      <w:pPr>
        <w:pStyle w:val="BodyText"/>
        <w:ind w:left="1072" w:right="103" w:hanging="2"/>
      </w:pPr>
      <w:r>
        <w:rPr/>
        <w:t>Market risk is the risk that changes in market prices, such as foreign exchange rates, interest rates and equity prices will affect the Group's income or the value of its holdings of financial instruments. The objective of market risk management is to manage and control market risk exposures within acceptable parameters, while optimising return.</w:t>
      </w:r>
    </w:p>
    <w:p>
      <w:pPr>
        <w:pStyle w:val="BodyText"/>
        <w:spacing w:before="11"/>
        <w:rPr>
          <w:sz w:val="24"/>
        </w:rPr>
      </w:pPr>
    </w:p>
    <w:p>
      <w:pPr>
        <w:pStyle w:val="ListParagraph"/>
        <w:numPr>
          <w:ilvl w:val="0"/>
          <w:numId w:val="24"/>
        </w:numPr>
        <w:tabs>
          <w:tab w:pos="1283" w:val="left" w:leader="none"/>
        </w:tabs>
        <w:spacing w:line="240" w:lineRule="auto" w:before="0" w:after="0"/>
        <w:ind w:left="1282" w:right="0" w:hanging="210"/>
        <w:jc w:val="left"/>
        <w:rPr>
          <w:sz w:val="18"/>
        </w:rPr>
      </w:pPr>
      <w:r>
        <w:rPr>
          <w:sz w:val="18"/>
        </w:rPr>
        <w:t>Foreign exchange</w:t>
      </w:r>
      <w:r>
        <w:rPr>
          <w:spacing w:val="-1"/>
          <w:sz w:val="18"/>
        </w:rPr>
        <w:t> </w:t>
      </w:r>
      <w:r>
        <w:rPr>
          <w:sz w:val="18"/>
        </w:rPr>
        <w:t>risk</w:t>
      </w:r>
    </w:p>
    <w:p>
      <w:pPr>
        <w:pStyle w:val="BodyText"/>
        <w:rPr>
          <w:sz w:val="25"/>
        </w:rPr>
      </w:pPr>
    </w:p>
    <w:p>
      <w:pPr>
        <w:pStyle w:val="BodyText"/>
        <w:ind w:left="1072" w:right="173"/>
      </w:pPr>
      <w:r>
        <w:rPr/>
        <w:t>Foreign exchange rate risk is the risk that the value of a financial instrument will fluctuate because of changes in foreign exchange rates. The Group is primarily exposed to foreign exchange risk on purchases that are denominated in a currency other than the Australian dollar (AUD). No form of hedging is undertaken. The Group ensures that its exposure is kept to an acceptable level by buying foreign currencies at spot rates when necessary to address any short term imbalances. The entity has no overseas investment operations likely to affect its statement of financial position by movement in exchange rates.</w:t>
      </w:r>
    </w:p>
    <w:p>
      <w:pPr>
        <w:pStyle w:val="BodyText"/>
        <w:spacing w:before="11"/>
        <w:rPr>
          <w:sz w:val="24"/>
        </w:rPr>
      </w:pPr>
    </w:p>
    <w:p>
      <w:pPr>
        <w:pStyle w:val="ListParagraph"/>
        <w:numPr>
          <w:ilvl w:val="0"/>
          <w:numId w:val="24"/>
        </w:numPr>
        <w:tabs>
          <w:tab w:pos="1323" w:val="left" w:leader="none"/>
        </w:tabs>
        <w:spacing w:line="240" w:lineRule="auto" w:before="0" w:after="0"/>
        <w:ind w:left="1322" w:right="0" w:hanging="250"/>
        <w:jc w:val="left"/>
        <w:rPr>
          <w:sz w:val="18"/>
        </w:rPr>
      </w:pPr>
      <w:r>
        <w:rPr>
          <w:sz w:val="18"/>
        </w:rPr>
        <w:t>Price</w:t>
      </w:r>
      <w:r>
        <w:rPr>
          <w:spacing w:val="-1"/>
          <w:sz w:val="18"/>
        </w:rPr>
        <w:t> </w:t>
      </w:r>
      <w:r>
        <w:rPr>
          <w:sz w:val="18"/>
        </w:rPr>
        <w:t>risk</w:t>
      </w:r>
    </w:p>
    <w:p>
      <w:pPr>
        <w:pStyle w:val="BodyText"/>
        <w:rPr>
          <w:sz w:val="25"/>
        </w:rPr>
      </w:pPr>
    </w:p>
    <w:p>
      <w:pPr>
        <w:pStyle w:val="BodyText"/>
        <w:ind w:left="1072" w:right="132"/>
      </w:pPr>
      <w:r>
        <w:rPr/>
        <w:t>Price risk is risk that the value of a financial instrument will fluctuate as a result of changes in market prices. This arises from investments held by the University and classified on the Statement of Financial Position as available for sale and at fair value through profit and loss. To manage price risk from investments in managed investment funds the University has contracted out the management of the portfolio to external fund managers. These fund managers are mandated to diversify investments of the portfolio under their management. The quantum of funds under management per external fund manager and the investment objectives of each external fund manager are in accordance with limits / policies set by the Finance and Investment Committee.</w:t>
      </w:r>
    </w:p>
    <w:p>
      <w:pPr>
        <w:pStyle w:val="BodyText"/>
        <w:spacing w:before="11"/>
        <w:rPr>
          <w:sz w:val="24"/>
        </w:rPr>
      </w:pPr>
    </w:p>
    <w:p>
      <w:pPr>
        <w:pStyle w:val="ListParagraph"/>
        <w:numPr>
          <w:ilvl w:val="0"/>
          <w:numId w:val="24"/>
        </w:numPr>
        <w:tabs>
          <w:tab w:pos="1362" w:val="left" w:leader="none"/>
        </w:tabs>
        <w:spacing w:line="240" w:lineRule="auto" w:before="0" w:after="0"/>
        <w:ind w:left="1361" w:right="0" w:hanging="289"/>
        <w:jc w:val="left"/>
        <w:rPr>
          <w:sz w:val="18"/>
        </w:rPr>
      </w:pPr>
      <w:r>
        <w:rPr>
          <w:sz w:val="18"/>
        </w:rPr>
        <w:t>Cash flow and fair value interest rate</w:t>
      </w:r>
      <w:r>
        <w:rPr>
          <w:spacing w:val="-1"/>
          <w:sz w:val="18"/>
        </w:rPr>
        <w:t> </w:t>
      </w:r>
      <w:r>
        <w:rPr>
          <w:sz w:val="18"/>
        </w:rPr>
        <w:t>risk</w:t>
      </w:r>
    </w:p>
    <w:p>
      <w:pPr>
        <w:pStyle w:val="BodyText"/>
        <w:rPr>
          <w:sz w:val="25"/>
        </w:rPr>
      </w:pPr>
    </w:p>
    <w:p>
      <w:pPr>
        <w:pStyle w:val="BodyText"/>
        <w:ind w:left="1072" w:right="264"/>
      </w:pPr>
      <w:r>
        <w:rPr/>
        <w:t>Fair value interest rate risk is the risk that the fair value of a financial instrument will fluctuate because of changes in interest rates. The Group’s exposure to interest rates risk is relatively small, however this is likely to increase as additional debt is utilised in future years.</w:t>
      </w:r>
    </w:p>
    <w:p>
      <w:pPr>
        <w:spacing w:after="0"/>
        <w:sectPr>
          <w:pgSz w:w="11910" w:h="16840"/>
          <w:pgMar w:header="1038" w:footer="507" w:top="2220" w:bottom="700" w:left="900" w:right="840"/>
        </w:sectPr>
      </w:pPr>
    </w:p>
    <w:p>
      <w:pPr>
        <w:pStyle w:val="BodyText"/>
        <w:rPr>
          <w:sz w:val="20"/>
        </w:rPr>
      </w:pPr>
    </w:p>
    <w:p>
      <w:pPr>
        <w:pStyle w:val="BodyText"/>
        <w:rPr>
          <w:sz w:val="20"/>
        </w:rPr>
      </w:pPr>
    </w:p>
    <w:p>
      <w:pPr>
        <w:pStyle w:val="BodyText"/>
        <w:spacing w:before="4"/>
      </w:pPr>
    </w:p>
    <w:p>
      <w:pPr>
        <w:pStyle w:val="Heading9"/>
        <w:ind w:left="109" w:right="429"/>
      </w:pPr>
      <w:r>
        <w:rPr/>
        <w:t>32    Financial Risk Management (continued)</w:t>
      </w:r>
    </w:p>
    <w:p>
      <w:pPr>
        <w:pStyle w:val="BodyText"/>
        <w:spacing w:before="11"/>
        <w:rPr>
          <w:b/>
          <w:sz w:val="24"/>
        </w:rPr>
      </w:pPr>
    </w:p>
    <w:p>
      <w:pPr>
        <w:pStyle w:val="ListParagraph"/>
        <w:numPr>
          <w:ilvl w:val="0"/>
          <w:numId w:val="25"/>
        </w:numPr>
        <w:tabs>
          <w:tab w:pos="1072" w:val="left" w:leader="none"/>
        </w:tabs>
        <w:spacing w:line="207" w:lineRule="exact" w:before="0" w:after="0"/>
        <w:ind w:left="1071" w:right="0" w:hanging="566"/>
        <w:jc w:val="left"/>
        <w:rPr>
          <w:sz w:val="18"/>
        </w:rPr>
      </w:pPr>
      <w:r>
        <w:rPr>
          <w:sz w:val="18"/>
        </w:rPr>
        <w:t>Market risk</w:t>
      </w:r>
      <w:r>
        <w:rPr>
          <w:spacing w:val="-1"/>
          <w:sz w:val="18"/>
        </w:rPr>
        <w:t> </w:t>
      </w:r>
      <w:r>
        <w:rPr>
          <w:sz w:val="18"/>
        </w:rPr>
        <w:t>(continued)</w:t>
      </w:r>
    </w:p>
    <w:p>
      <w:pPr>
        <w:pStyle w:val="ListParagraph"/>
        <w:numPr>
          <w:ilvl w:val="0"/>
          <w:numId w:val="24"/>
        </w:numPr>
        <w:tabs>
          <w:tab w:pos="1373" w:val="left" w:leader="none"/>
        </w:tabs>
        <w:spacing w:line="207" w:lineRule="exact" w:before="0" w:after="0"/>
        <w:ind w:left="1372" w:right="0" w:hanging="300"/>
        <w:jc w:val="left"/>
        <w:rPr>
          <w:sz w:val="18"/>
        </w:rPr>
      </w:pPr>
      <w:r>
        <w:rPr>
          <w:sz w:val="18"/>
        </w:rPr>
        <w:t>Summarised sensitivity</w:t>
      </w:r>
      <w:r>
        <w:rPr>
          <w:spacing w:val="-1"/>
          <w:sz w:val="18"/>
        </w:rPr>
        <w:t> </w:t>
      </w:r>
      <w:r>
        <w:rPr>
          <w:sz w:val="18"/>
        </w:rPr>
        <w:t>analysis</w:t>
      </w:r>
    </w:p>
    <w:p>
      <w:pPr>
        <w:pStyle w:val="BodyText"/>
        <w:rPr>
          <w:sz w:val="25"/>
        </w:rPr>
      </w:pPr>
    </w:p>
    <w:p>
      <w:pPr>
        <w:pStyle w:val="BodyText"/>
        <w:ind w:left="1072" w:right="429"/>
      </w:pPr>
      <w:r>
        <w:rPr/>
        <w:pict>
          <v:shape style="position:absolute;margin-left:173.880005pt;margin-top:21.039217pt;width:391.95pt;height:206.5pt;mso-position-horizontal-relative:page;mso-position-vertical-relative:paragraph;z-index:3568" type="#_x0000_t202" filled="false" stroked="false">
            <v:textbox inset="0,0,0,0">
              <w:txbxContent>
                <w:tbl>
                  <w:tblPr>
                    <w:tblW w:w="0" w:type="auto"/>
                    <w:jc w:val="left"/>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0" w:type="dxa"/>
                      <w:bottom w:w="0" w:type="dxa"/>
                      <w:right w:w="0" w:type="dxa"/>
                    </w:tblCellMar>
                    <w:tblLook w:val="01E0"/>
                  </w:tblPr>
                  <w:tblGrid>
                    <w:gridCol w:w="772"/>
                    <w:gridCol w:w="1196"/>
                    <w:gridCol w:w="601"/>
                    <w:gridCol w:w="561"/>
                    <w:gridCol w:w="1798"/>
                    <w:gridCol w:w="560"/>
                    <w:gridCol w:w="1197"/>
                    <w:gridCol w:w="474"/>
                    <w:gridCol w:w="104"/>
                    <w:gridCol w:w="575"/>
                  </w:tblGrid>
                  <w:tr>
                    <w:trPr>
                      <w:trHeight w:val="325" w:hRule="exact"/>
                    </w:trPr>
                    <w:tc>
                      <w:tcPr>
                        <w:tcW w:w="772" w:type="dxa"/>
                        <w:tcBorders>
                          <w:bottom w:val="nil"/>
                        </w:tcBorders>
                      </w:tcPr>
                      <w:p>
                        <w:pPr>
                          <w:pStyle w:val="TableParagraph"/>
                          <w:spacing w:before="7"/>
                          <w:rPr>
                            <w:b/>
                            <w:sz w:val="13"/>
                          </w:rPr>
                        </w:pPr>
                      </w:p>
                      <w:p>
                        <w:pPr>
                          <w:pStyle w:val="TableParagraph"/>
                          <w:ind w:left="56"/>
                          <w:rPr>
                            <w:b/>
                            <w:sz w:val="14"/>
                          </w:rPr>
                        </w:pPr>
                        <w:r>
                          <w:rPr>
                            <w:b/>
                            <w:sz w:val="14"/>
                          </w:rPr>
                          <w:t>Carrying</w:t>
                        </w:r>
                      </w:p>
                    </w:tc>
                    <w:tc>
                      <w:tcPr>
                        <w:tcW w:w="1196" w:type="dxa"/>
                        <w:tcBorders>
                          <w:bottom w:val="nil"/>
                          <w:right w:val="nil"/>
                        </w:tcBorders>
                      </w:tcPr>
                      <w:p>
                        <w:pPr/>
                      </w:p>
                    </w:tc>
                    <w:tc>
                      <w:tcPr>
                        <w:tcW w:w="601" w:type="dxa"/>
                        <w:tcBorders>
                          <w:left w:val="nil"/>
                          <w:bottom w:val="nil"/>
                          <w:right w:val="nil"/>
                        </w:tcBorders>
                      </w:tcPr>
                      <w:p>
                        <w:pPr/>
                      </w:p>
                    </w:tc>
                    <w:tc>
                      <w:tcPr>
                        <w:tcW w:w="561" w:type="dxa"/>
                        <w:tcBorders>
                          <w:left w:val="nil"/>
                          <w:bottom w:val="nil"/>
                        </w:tcBorders>
                      </w:tcPr>
                      <w:p>
                        <w:pPr/>
                      </w:p>
                    </w:tc>
                    <w:tc>
                      <w:tcPr>
                        <w:tcW w:w="1798" w:type="dxa"/>
                        <w:tcBorders>
                          <w:bottom w:val="nil"/>
                          <w:right w:val="nil"/>
                        </w:tcBorders>
                      </w:tcPr>
                      <w:p>
                        <w:pPr/>
                      </w:p>
                    </w:tc>
                    <w:tc>
                      <w:tcPr>
                        <w:tcW w:w="560" w:type="dxa"/>
                        <w:tcBorders>
                          <w:left w:val="nil"/>
                          <w:bottom w:val="nil"/>
                        </w:tcBorders>
                      </w:tcPr>
                      <w:p>
                        <w:pPr/>
                      </w:p>
                    </w:tc>
                    <w:tc>
                      <w:tcPr>
                        <w:tcW w:w="1197" w:type="dxa"/>
                        <w:tcBorders>
                          <w:bottom w:val="nil"/>
                          <w:right w:val="nil"/>
                        </w:tcBorders>
                      </w:tcPr>
                      <w:p>
                        <w:pPr/>
                      </w:p>
                    </w:tc>
                    <w:tc>
                      <w:tcPr>
                        <w:tcW w:w="474" w:type="dxa"/>
                        <w:tcBorders>
                          <w:left w:val="nil"/>
                          <w:bottom w:val="nil"/>
                          <w:right w:val="nil"/>
                        </w:tcBorders>
                      </w:tcPr>
                      <w:p>
                        <w:pPr/>
                      </w:p>
                    </w:tc>
                    <w:tc>
                      <w:tcPr>
                        <w:tcW w:w="104" w:type="dxa"/>
                        <w:tcBorders>
                          <w:left w:val="nil"/>
                          <w:bottom w:val="nil"/>
                          <w:right w:val="nil"/>
                        </w:tcBorders>
                      </w:tcPr>
                      <w:p>
                        <w:pPr/>
                      </w:p>
                    </w:tc>
                    <w:tc>
                      <w:tcPr>
                        <w:tcW w:w="575" w:type="dxa"/>
                        <w:tcBorders>
                          <w:left w:val="nil"/>
                          <w:bottom w:val="nil"/>
                        </w:tcBorders>
                      </w:tcPr>
                      <w:p>
                        <w:pPr/>
                      </w:p>
                    </w:tc>
                  </w:tr>
                  <w:tr>
                    <w:trPr>
                      <w:trHeight w:val="217" w:hRule="exact"/>
                    </w:trPr>
                    <w:tc>
                      <w:tcPr>
                        <w:tcW w:w="772" w:type="dxa"/>
                        <w:tcBorders>
                          <w:top w:val="nil"/>
                          <w:bottom w:val="nil"/>
                        </w:tcBorders>
                      </w:tcPr>
                      <w:p>
                        <w:pPr>
                          <w:pStyle w:val="TableParagraph"/>
                          <w:spacing w:line="154" w:lineRule="exact"/>
                          <w:ind w:left="56"/>
                          <w:rPr>
                            <w:b/>
                            <w:sz w:val="14"/>
                          </w:rPr>
                        </w:pPr>
                        <w:r>
                          <w:rPr>
                            <w:b/>
                            <w:sz w:val="14"/>
                          </w:rPr>
                          <w:t>amount</w:t>
                        </w:r>
                      </w:p>
                    </w:tc>
                    <w:tc>
                      <w:tcPr>
                        <w:tcW w:w="1196" w:type="dxa"/>
                        <w:tcBorders>
                          <w:top w:val="nil"/>
                          <w:bottom w:val="nil"/>
                          <w:right w:val="nil"/>
                        </w:tcBorders>
                      </w:tcPr>
                      <w:p>
                        <w:pPr>
                          <w:pStyle w:val="TableParagraph"/>
                          <w:spacing w:line="154" w:lineRule="exact"/>
                          <w:ind w:left="56"/>
                          <w:rPr>
                            <w:b/>
                            <w:sz w:val="14"/>
                          </w:rPr>
                        </w:pPr>
                        <w:r>
                          <w:rPr>
                            <w:b/>
                            <w:sz w:val="14"/>
                          </w:rPr>
                          <w:t>Interest rate risk</w:t>
                        </w:r>
                      </w:p>
                    </w:tc>
                    <w:tc>
                      <w:tcPr>
                        <w:tcW w:w="601" w:type="dxa"/>
                        <w:tcBorders>
                          <w:top w:val="nil"/>
                          <w:left w:val="nil"/>
                          <w:bottom w:val="nil"/>
                          <w:right w:val="nil"/>
                        </w:tcBorders>
                      </w:tcPr>
                      <w:p>
                        <w:pPr/>
                      </w:p>
                    </w:tc>
                    <w:tc>
                      <w:tcPr>
                        <w:tcW w:w="561" w:type="dxa"/>
                        <w:tcBorders>
                          <w:top w:val="nil"/>
                          <w:left w:val="nil"/>
                          <w:bottom w:val="nil"/>
                        </w:tcBorders>
                      </w:tcPr>
                      <w:p>
                        <w:pPr/>
                      </w:p>
                    </w:tc>
                    <w:tc>
                      <w:tcPr>
                        <w:tcW w:w="1798" w:type="dxa"/>
                        <w:tcBorders>
                          <w:top w:val="nil"/>
                          <w:bottom w:val="nil"/>
                          <w:right w:val="nil"/>
                        </w:tcBorders>
                      </w:tcPr>
                      <w:p>
                        <w:pPr>
                          <w:pStyle w:val="TableParagraph"/>
                          <w:spacing w:line="154" w:lineRule="exact"/>
                          <w:ind w:left="56"/>
                          <w:rPr>
                            <w:b/>
                            <w:sz w:val="14"/>
                          </w:rPr>
                        </w:pPr>
                        <w:r>
                          <w:rPr>
                            <w:b/>
                            <w:sz w:val="14"/>
                          </w:rPr>
                          <w:t>Foreign exchange risk</w:t>
                        </w:r>
                      </w:p>
                    </w:tc>
                    <w:tc>
                      <w:tcPr>
                        <w:tcW w:w="560" w:type="dxa"/>
                        <w:tcBorders>
                          <w:top w:val="nil"/>
                          <w:left w:val="nil"/>
                          <w:bottom w:val="nil"/>
                        </w:tcBorders>
                      </w:tcPr>
                      <w:p>
                        <w:pPr/>
                      </w:p>
                    </w:tc>
                    <w:tc>
                      <w:tcPr>
                        <w:tcW w:w="1197" w:type="dxa"/>
                        <w:tcBorders>
                          <w:top w:val="nil"/>
                          <w:bottom w:val="nil"/>
                          <w:right w:val="nil"/>
                        </w:tcBorders>
                      </w:tcPr>
                      <w:p>
                        <w:pPr>
                          <w:pStyle w:val="TableParagraph"/>
                          <w:spacing w:line="154" w:lineRule="exact"/>
                          <w:ind w:left="56"/>
                          <w:rPr>
                            <w:b/>
                            <w:sz w:val="14"/>
                          </w:rPr>
                        </w:pPr>
                        <w:r>
                          <w:rPr>
                            <w:b/>
                            <w:sz w:val="14"/>
                          </w:rPr>
                          <w:t>Other price risk</w:t>
                        </w:r>
                      </w:p>
                    </w:tc>
                    <w:tc>
                      <w:tcPr>
                        <w:tcW w:w="474" w:type="dxa"/>
                        <w:tcBorders>
                          <w:top w:val="nil"/>
                          <w:left w:val="nil"/>
                          <w:bottom w:val="nil"/>
                          <w:right w:val="nil"/>
                        </w:tcBorders>
                      </w:tcPr>
                      <w:p>
                        <w:pPr/>
                      </w:p>
                    </w:tc>
                    <w:tc>
                      <w:tcPr>
                        <w:tcW w:w="104" w:type="dxa"/>
                        <w:tcBorders>
                          <w:top w:val="nil"/>
                          <w:left w:val="nil"/>
                          <w:bottom w:val="nil"/>
                          <w:right w:val="nil"/>
                        </w:tcBorders>
                      </w:tcPr>
                      <w:p>
                        <w:pPr/>
                      </w:p>
                    </w:tc>
                    <w:tc>
                      <w:tcPr>
                        <w:tcW w:w="575" w:type="dxa"/>
                        <w:tcBorders>
                          <w:top w:val="nil"/>
                          <w:left w:val="nil"/>
                          <w:bottom w:val="nil"/>
                        </w:tcBorders>
                      </w:tcPr>
                      <w:p>
                        <w:pPr/>
                      </w:p>
                    </w:tc>
                  </w:tr>
                  <w:tr>
                    <w:trPr>
                      <w:trHeight w:val="251" w:hRule="exact"/>
                    </w:trPr>
                    <w:tc>
                      <w:tcPr>
                        <w:tcW w:w="772" w:type="dxa"/>
                        <w:tcBorders>
                          <w:top w:val="nil"/>
                          <w:bottom w:val="nil"/>
                        </w:tcBorders>
                      </w:tcPr>
                      <w:p>
                        <w:pPr/>
                      </w:p>
                    </w:tc>
                    <w:tc>
                      <w:tcPr>
                        <w:tcW w:w="1196" w:type="dxa"/>
                        <w:tcBorders>
                          <w:top w:val="nil"/>
                          <w:bottom w:val="nil"/>
                          <w:right w:val="nil"/>
                        </w:tcBorders>
                      </w:tcPr>
                      <w:p>
                        <w:pPr>
                          <w:pStyle w:val="TableParagraph"/>
                          <w:spacing w:before="49"/>
                          <w:ind w:left="56"/>
                          <w:rPr>
                            <w:b/>
                            <w:sz w:val="14"/>
                          </w:rPr>
                        </w:pPr>
                        <w:r>
                          <w:rPr>
                            <w:b/>
                            <w:sz w:val="14"/>
                          </w:rPr>
                          <w:t>-0.25%</w:t>
                        </w:r>
                      </w:p>
                    </w:tc>
                    <w:tc>
                      <w:tcPr>
                        <w:tcW w:w="601" w:type="dxa"/>
                        <w:tcBorders>
                          <w:top w:val="nil"/>
                          <w:left w:val="nil"/>
                          <w:bottom w:val="nil"/>
                          <w:right w:val="nil"/>
                        </w:tcBorders>
                      </w:tcPr>
                      <w:p>
                        <w:pPr>
                          <w:pStyle w:val="TableParagraph"/>
                          <w:spacing w:before="49"/>
                          <w:ind w:left="39"/>
                          <w:rPr>
                            <w:b/>
                            <w:sz w:val="14"/>
                          </w:rPr>
                        </w:pPr>
                        <w:r>
                          <w:rPr>
                            <w:b/>
                            <w:sz w:val="14"/>
                          </w:rPr>
                          <w:t>+0.25%</w:t>
                        </w:r>
                      </w:p>
                    </w:tc>
                    <w:tc>
                      <w:tcPr>
                        <w:tcW w:w="561" w:type="dxa"/>
                        <w:tcBorders>
                          <w:top w:val="nil"/>
                          <w:left w:val="nil"/>
                          <w:bottom w:val="nil"/>
                        </w:tcBorders>
                      </w:tcPr>
                      <w:p>
                        <w:pPr/>
                      </w:p>
                    </w:tc>
                    <w:tc>
                      <w:tcPr>
                        <w:tcW w:w="1798" w:type="dxa"/>
                        <w:tcBorders>
                          <w:top w:val="nil"/>
                          <w:bottom w:val="nil"/>
                          <w:right w:val="nil"/>
                        </w:tcBorders>
                      </w:tcPr>
                      <w:p>
                        <w:pPr>
                          <w:pStyle w:val="TableParagraph"/>
                          <w:tabs>
                            <w:tab w:pos="1235" w:val="left" w:leader="none"/>
                          </w:tabs>
                          <w:spacing w:before="49"/>
                          <w:ind w:left="56"/>
                          <w:rPr>
                            <w:b/>
                            <w:sz w:val="14"/>
                          </w:rPr>
                        </w:pPr>
                        <w:r>
                          <w:rPr>
                            <w:b/>
                            <w:sz w:val="14"/>
                          </w:rPr>
                          <w:t>-10%</w:t>
                          <w:tab/>
                          <w:t>+10%</w:t>
                        </w:r>
                      </w:p>
                    </w:tc>
                    <w:tc>
                      <w:tcPr>
                        <w:tcW w:w="560" w:type="dxa"/>
                        <w:tcBorders>
                          <w:top w:val="nil"/>
                          <w:left w:val="nil"/>
                          <w:bottom w:val="nil"/>
                        </w:tcBorders>
                      </w:tcPr>
                      <w:p>
                        <w:pPr/>
                      </w:p>
                    </w:tc>
                    <w:tc>
                      <w:tcPr>
                        <w:tcW w:w="1197" w:type="dxa"/>
                        <w:tcBorders>
                          <w:top w:val="nil"/>
                          <w:bottom w:val="nil"/>
                          <w:right w:val="nil"/>
                        </w:tcBorders>
                      </w:tcPr>
                      <w:p>
                        <w:pPr>
                          <w:pStyle w:val="TableParagraph"/>
                          <w:spacing w:before="49"/>
                          <w:ind w:left="56"/>
                          <w:rPr>
                            <w:b/>
                            <w:sz w:val="14"/>
                          </w:rPr>
                        </w:pPr>
                        <w:r>
                          <w:rPr>
                            <w:b/>
                            <w:sz w:val="14"/>
                          </w:rPr>
                          <w:t>-10%</w:t>
                        </w:r>
                      </w:p>
                    </w:tc>
                    <w:tc>
                      <w:tcPr>
                        <w:tcW w:w="474" w:type="dxa"/>
                        <w:tcBorders>
                          <w:top w:val="nil"/>
                          <w:left w:val="nil"/>
                          <w:bottom w:val="nil"/>
                          <w:right w:val="nil"/>
                        </w:tcBorders>
                      </w:tcPr>
                      <w:p>
                        <w:pPr>
                          <w:pStyle w:val="TableParagraph"/>
                          <w:spacing w:before="49"/>
                          <w:ind w:left="21" w:right="50"/>
                          <w:jc w:val="center"/>
                          <w:rPr>
                            <w:b/>
                            <w:sz w:val="14"/>
                          </w:rPr>
                        </w:pPr>
                        <w:r>
                          <w:rPr>
                            <w:b/>
                            <w:sz w:val="14"/>
                          </w:rPr>
                          <w:t>+10%</w:t>
                        </w:r>
                      </w:p>
                    </w:tc>
                    <w:tc>
                      <w:tcPr>
                        <w:tcW w:w="104" w:type="dxa"/>
                        <w:tcBorders>
                          <w:top w:val="nil"/>
                          <w:left w:val="nil"/>
                          <w:bottom w:val="nil"/>
                          <w:right w:val="nil"/>
                        </w:tcBorders>
                      </w:tcPr>
                      <w:p>
                        <w:pPr/>
                      </w:p>
                    </w:tc>
                    <w:tc>
                      <w:tcPr>
                        <w:tcW w:w="575" w:type="dxa"/>
                        <w:tcBorders>
                          <w:top w:val="nil"/>
                          <w:left w:val="nil"/>
                          <w:bottom w:val="nil"/>
                        </w:tcBorders>
                      </w:tcPr>
                      <w:p>
                        <w:pPr/>
                      </w:p>
                    </w:tc>
                  </w:tr>
                  <w:tr>
                    <w:trPr>
                      <w:trHeight w:val="228" w:hRule="exact"/>
                    </w:trPr>
                    <w:tc>
                      <w:tcPr>
                        <w:tcW w:w="772" w:type="dxa"/>
                        <w:tcBorders>
                          <w:top w:val="nil"/>
                          <w:bottom w:val="nil"/>
                        </w:tcBorders>
                      </w:tcPr>
                      <w:p>
                        <w:pPr/>
                      </w:p>
                    </w:tc>
                    <w:tc>
                      <w:tcPr>
                        <w:tcW w:w="1196" w:type="dxa"/>
                        <w:tcBorders>
                          <w:top w:val="nil"/>
                          <w:bottom w:val="nil"/>
                          <w:right w:val="nil"/>
                        </w:tcBorders>
                      </w:tcPr>
                      <w:p>
                        <w:pPr>
                          <w:pStyle w:val="TableParagraph"/>
                          <w:spacing w:before="26"/>
                          <w:ind w:left="56"/>
                          <w:rPr>
                            <w:b/>
                            <w:sz w:val="14"/>
                          </w:rPr>
                        </w:pPr>
                        <w:r>
                          <w:rPr>
                            <w:b/>
                            <w:sz w:val="14"/>
                          </w:rPr>
                          <w:t>Result    Equity</w:t>
                        </w:r>
                      </w:p>
                    </w:tc>
                    <w:tc>
                      <w:tcPr>
                        <w:tcW w:w="601" w:type="dxa"/>
                        <w:tcBorders>
                          <w:top w:val="nil"/>
                          <w:left w:val="nil"/>
                          <w:bottom w:val="nil"/>
                          <w:right w:val="nil"/>
                        </w:tcBorders>
                      </w:tcPr>
                      <w:p>
                        <w:pPr>
                          <w:pStyle w:val="TableParagraph"/>
                          <w:spacing w:before="26"/>
                          <w:ind w:left="39"/>
                          <w:rPr>
                            <w:b/>
                            <w:sz w:val="14"/>
                          </w:rPr>
                        </w:pPr>
                        <w:r>
                          <w:rPr>
                            <w:b/>
                            <w:sz w:val="14"/>
                          </w:rPr>
                          <w:t>Result</w:t>
                        </w:r>
                      </w:p>
                    </w:tc>
                    <w:tc>
                      <w:tcPr>
                        <w:tcW w:w="561" w:type="dxa"/>
                        <w:tcBorders>
                          <w:top w:val="nil"/>
                          <w:left w:val="nil"/>
                          <w:bottom w:val="nil"/>
                        </w:tcBorders>
                      </w:tcPr>
                      <w:p>
                        <w:pPr>
                          <w:pStyle w:val="TableParagraph"/>
                          <w:spacing w:before="26"/>
                          <w:ind w:left="28"/>
                          <w:rPr>
                            <w:b/>
                            <w:sz w:val="14"/>
                          </w:rPr>
                        </w:pPr>
                        <w:r>
                          <w:rPr>
                            <w:b/>
                            <w:sz w:val="14"/>
                          </w:rPr>
                          <w:t>Equity</w:t>
                        </w:r>
                      </w:p>
                    </w:tc>
                    <w:tc>
                      <w:tcPr>
                        <w:tcW w:w="1798" w:type="dxa"/>
                        <w:tcBorders>
                          <w:top w:val="nil"/>
                          <w:bottom w:val="nil"/>
                          <w:right w:val="nil"/>
                        </w:tcBorders>
                      </w:tcPr>
                      <w:p>
                        <w:pPr>
                          <w:pStyle w:val="TableParagraph"/>
                          <w:spacing w:before="26"/>
                          <w:ind w:left="56"/>
                          <w:rPr>
                            <w:b/>
                            <w:sz w:val="14"/>
                          </w:rPr>
                        </w:pPr>
                        <w:r>
                          <w:rPr>
                            <w:b/>
                            <w:sz w:val="14"/>
                          </w:rPr>
                          <w:t>Result    Equity    Result</w:t>
                        </w:r>
                      </w:p>
                    </w:tc>
                    <w:tc>
                      <w:tcPr>
                        <w:tcW w:w="560" w:type="dxa"/>
                        <w:tcBorders>
                          <w:top w:val="nil"/>
                          <w:left w:val="nil"/>
                          <w:bottom w:val="nil"/>
                        </w:tcBorders>
                      </w:tcPr>
                      <w:p>
                        <w:pPr>
                          <w:pStyle w:val="TableParagraph"/>
                          <w:spacing w:before="26"/>
                          <w:ind w:left="28"/>
                          <w:rPr>
                            <w:b/>
                            <w:sz w:val="14"/>
                          </w:rPr>
                        </w:pPr>
                        <w:r>
                          <w:rPr>
                            <w:b/>
                            <w:sz w:val="14"/>
                          </w:rPr>
                          <w:t>Equity</w:t>
                        </w:r>
                      </w:p>
                    </w:tc>
                    <w:tc>
                      <w:tcPr>
                        <w:tcW w:w="1197" w:type="dxa"/>
                        <w:tcBorders>
                          <w:top w:val="nil"/>
                          <w:bottom w:val="nil"/>
                          <w:right w:val="nil"/>
                        </w:tcBorders>
                      </w:tcPr>
                      <w:p>
                        <w:pPr>
                          <w:pStyle w:val="TableParagraph"/>
                          <w:spacing w:before="26"/>
                          <w:ind w:left="56"/>
                          <w:rPr>
                            <w:b/>
                            <w:sz w:val="14"/>
                          </w:rPr>
                        </w:pPr>
                        <w:r>
                          <w:rPr>
                            <w:b/>
                            <w:sz w:val="14"/>
                          </w:rPr>
                          <w:t>Result    Equity</w:t>
                        </w:r>
                      </w:p>
                    </w:tc>
                    <w:tc>
                      <w:tcPr>
                        <w:tcW w:w="474" w:type="dxa"/>
                        <w:tcBorders>
                          <w:top w:val="nil"/>
                          <w:left w:val="nil"/>
                          <w:bottom w:val="nil"/>
                          <w:right w:val="nil"/>
                        </w:tcBorders>
                      </w:tcPr>
                      <w:p>
                        <w:pPr>
                          <w:pStyle w:val="TableParagraph"/>
                          <w:spacing w:before="26"/>
                          <w:ind w:left="34"/>
                          <w:jc w:val="center"/>
                          <w:rPr>
                            <w:b/>
                            <w:sz w:val="14"/>
                          </w:rPr>
                        </w:pPr>
                        <w:r>
                          <w:rPr>
                            <w:b/>
                            <w:sz w:val="14"/>
                          </w:rPr>
                          <w:t>Result</w:t>
                        </w:r>
                      </w:p>
                    </w:tc>
                    <w:tc>
                      <w:tcPr>
                        <w:tcW w:w="104" w:type="dxa"/>
                        <w:tcBorders>
                          <w:top w:val="nil"/>
                          <w:left w:val="nil"/>
                          <w:bottom w:val="nil"/>
                          <w:right w:val="nil"/>
                        </w:tcBorders>
                      </w:tcPr>
                      <w:p>
                        <w:pPr/>
                      </w:p>
                    </w:tc>
                    <w:tc>
                      <w:tcPr>
                        <w:tcW w:w="575" w:type="dxa"/>
                        <w:tcBorders>
                          <w:top w:val="nil"/>
                          <w:left w:val="nil"/>
                          <w:bottom w:val="nil"/>
                        </w:tcBorders>
                      </w:tcPr>
                      <w:p>
                        <w:pPr>
                          <w:pStyle w:val="TableParagraph"/>
                          <w:spacing w:before="26"/>
                          <w:ind w:left="51"/>
                          <w:rPr>
                            <w:b/>
                            <w:sz w:val="14"/>
                          </w:rPr>
                        </w:pPr>
                        <w:r>
                          <w:rPr>
                            <w:b/>
                            <w:sz w:val="14"/>
                          </w:rPr>
                          <w:t>Equity</w:t>
                        </w:r>
                      </w:p>
                    </w:tc>
                  </w:tr>
                  <w:tr>
                    <w:trPr>
                      <w:trHeight w:val="229" w:hRule="exact"/>
                    </w:trPr>
                    <w:tc>
                      <w:tcPr>
                        <w:tcW w:w="772" w:type="dxa"/>
                        <w:tcBorders>
                          <w:top w:val="nil"/>
                        </w:tcBorders>
                      </w:tcPr>
                      <w:p>
                        <w:pPr>
                          <w:pStyle w:val="TableParagraph"/>
                          <w:spacing w:before="26"/>
                          <w:ind w:left="56"/>
                          <w:rPr>
                            <w:b/>
                            <w:sz w:val="14"/>
                          </w:rPr>
                        </w:pPr>
                        <w:r>
                          <w:rPr>
                            <w:b/>
                            <w:sz w:val="14"/>
                          </w:rPr>
                          <w:t>2012</w:t>
                        </w:r>
                      </w:p>
                    </w:tc>
                    <w:tc>
                      <w:tcPr>
                        <w:tcW w:w="1196" w:type="dxa"/>
                        <w:tcBorders>
                          <w:top w:val="nil"/>
                          <w:right w:val="nil"/>
                        </w:tcBorders>
                      </w:tcPr>
                      <w:p>
                        <w:pPr>
                          <w:pStyle w:val="TableParagraph"/>
                          <w:tabs>
                            <w:tab w:pos="645" w:val="left" w:leader="none"/>
                          </w:tabs>
                          <w:spacing w:before="26"/>
                          <w:ind w:left="56"/>
                          <w:rPr>
                            <w:b/>
                            <w:sz w:val="14"/>
                          </w:rPr>
                        </w:pPr>
                        <w:r>
                          <w:rPr>
                            <w:b/>
                            <w:sz w:val="14"/>
                          </w:rPr>
                          <w:t>$'000</w:t>
                          <w:tab/>
                          <w:t>$'000</w:t>
                        </w:r>
                      </w:p>
                    </w:tc>
                    <w:tc>
                      <w:tcPr>
                        <w:tcW w:w="601" w:type="dxa"/>
                        <w:tcBorders>
                          <w:top w:val="nil"/>
                          <w:left w:val="nil"/>
                          <w:right w:val="nil"/>
                        </w:tcBorders>
                      </w:tcPr>
                      <w:p>
                        <w:pPr>
                          <w:pStyle w:val="TableParagraph"/>
                          <w:spacing w:before="26"/>
                          <w:ind w:left="39"/>
                          <w:rPr>
                            <w:b/>
                            <w:sz w:val="14"/>
                          </w:rPr>
                        </w:pPr>
                        <w:r>
                          <w:rPr>
                            <w:b/>
                            <w:sz w:val="14"/>
                          </w:rPr>
                          <w:t>$'000</w:t>
                        </w:r>
                      </w:p>
                    </w:tc>
                    <w:tc>
                      <w:tcPr>
                        <w:tcW w:w="561" w:type="dxa"/>
                        <w:tcBorders>
                          <w:top w:val="nil"/>
                          <w:left w:val="nil"/>
                        </w:tcBorders>
                      </w:tcPr>
                      <w:p>
                        <w:pPr>
                          <w:pStyle w:val="TableParagraph"/>
                          <w:spacing w:before="26"/>
                          <w:ind w:left="28"/>
                          <w:rPr>
                            <w:b/>
                            <w:sz w:val="14"/>
                          </w:rPr>
                        </w:pPr>
                        <w:r>
                          <w:rPr>
                            <w:b/>
                            <w:sz w:val="14"/>
                          </w:rPr>
                          <w:t>$'000</w:t>
                        </w:r>
                      </w:p>
                    </w:tc>
                    <w:tc>
                      <w:tcPr>
                        <w:tcW w:w="1798" w:type="dxa"/>
                        <w:tcBorders>
                          <w:top w:val="nil"/>
                          <w:right w:val="nil"/>
                        </w:tcBorders>
                      </w:tcPr>
                      <w:p>
                        <w:pPr>
                          <w:pStyle w:val="TableParagraph"/>
                          <w:tabs>
                            <w:tab w:pos="645" w:val="left" w:leader="none"/>
                            <w:tab w:pos="1235" w:val="left" w:leader="none"/>
                          </w:tabs>
                          <w:spacing w:before="26"/>
                          <w:ind w:left="56"/>
                          <w:rPr>
                            <w:b/>
                            <w:sz w:val="14"/>
                          </w:rPr>
                        </w:pPr>
                        <w:r>
                          <w:rPr>
                            <w:b/>
                            <w:sz w:val="14"/>
                          </w:rPr>
                          <w:t>$'000</w:t>
                          <w:tab/>
                          <w:t>$'000</w:t>
                          <w:tab/>
                          <w:t>$'000</w:t>
                        </w:r>
                      </w:p>
                    </w:tc>
                    <w:tc>
                      <w:tcPr>
                        <w:tcW w:w="560" w:type="dxa"/>
                        <w:tcBorders>
                          <w:top w:val="nil"/>
                          <w:left w:val="nil"/>
                        </w:tcBorders>
                      </w:tcPr>
                      <w:p>
                        <w:pPr>
                          <w:pStyle w:val="TableParagraph"/>
                          <w:spacing w:before="26"/>
                          <w:ind w:left="28"/>
                          <w:rPr>
                            <w:b/>
                            <w:sz w:val="14"/>
                          </w:rPr>
                        </w:pPr>
                        <w:r>
                          <w:rPr>
                            <w:b/>
                            <w:sz w:val="14"/>
                          </w:rPr>
                          <w:t>$'000</w:t>
                        </w:r>
                      </w:p>
                    </w:tc>
                    <w:tc>
                      <w:tcPr>
                        <w:tcW w:w="1197" w:type="dxa"/>
                        <w:tcBorders>
                          <w:top w:val="nil"/>
                          <w:right w:val="nil"/>
                        </w:tcBorders>
                      </w:tcPr>
                      <w:p>
                        <w:pPr>
                          <w:pStyle w:val="TableParagraph"/>
                          <w:tabs>
                            <w:tab w:pos="646" w:val="left" w:leader="none"/>
                          </w:tabs>
                          <w:spacing w:before="26"/>
                          <w:ind w:left="56"/>
                          <w:rPr>
                            <w:b/>
                            <w:sz w:val="14"/>
                          </w:rPr>
                        </w:pPr>
                        <w:r>
                          <w:rPr>
                            <w:b/>
                            <w:sz w:val="14"/>
                          </w:rPr>
                          <w:t>$'000</w:t>
                          <w:tab/>
                          <w:t>$'000</w:t>
                        </w:r>
                      </w:p>
                    </w:tc>
                    <w:tc>
                      <w:tcPr>
                        <w:tcW w:w="474" w:type="dxa"/>
                        <w:tcBorders>
                          <w:top w:val="nil"/>
                          <w:left w:val="nil"/>
                          <w:right w:val="nil"/>
                        </w:tcBorders>
                      </w:tcPr>
                      <w:p>
                        <w:pPr>
                          <w:pStyle w:val="TableParagraph"/>
                          <w:spacing w:before="26"/>
                          <w:ind w:left="4" w:right="50"/>
                          <w:jc w:val="center"/>
                          <w:rPr>
                            <w:b/>
                            <w:sz w:val="14"/>
                          </w:rPr>
                        </w:pPr>
                        <w:r>
                          <w:rPr>
                            <w:b/>
                            <w:sz w:val="14"/>
                          </w:rPr>
                          <w:t>$'000</w:t>
                        </w:r>
                      </w:p>
                    </w:tc>
                    <w:tc>
                      <w:tcPr>
                        <w:tcW w:w="104" w:type="dxa"/>
                        <w:tcBorders>
                          <w:top w:val="nil"/>
                          <w:left w:val="nil"/>
                          <w:right w:val="nil"/>
                        </w:tcBorders>
                      </w:tcPr>
                      <w:p>
                        <w:pPr/>
                      </w:p>
                    </w:tc>
                    <w:tc>
                      <w:tcPr>
                        <w:tcW w:w="575" w:type="dxa"/>
                        <w:tcBorders>
                          <w:top w:val="nil"/>
                          <w:left w:val="nil"/>
                        </w:tcBorders>
                      </w:tcPr>
                      <w:p>
                        <w:pPr>
                          <w:pStyle w:val="TableParagraph"/>
                          <w:spacing w:before="26"/>
                          <w:ind w:left="51"/>
                          <w:rPr>
                            <w:b/>
                            <w:sz w:val="14"/>
                          </w:rPr>
                        </w:pPr>
                        <w:r>
                          <w:rPr>
                            <w:b/>
                            <w:sz w:val="14"/>
                          </w:rPr>
                          <w:t>$'000</w:t>
                        </w:r>
                      </w:p>
                    </w:tc>
                  </w:tr>
                  <w:tr>
                    <w:trPr>
                      <w:trHeight w:val="669" w:hRule="exact"/>
                    </w:trPr>
                    <w:tc>
                      <w:tcPr>
                        <w:tcW w:w="772" w:type="dxa"/>
                        <w:tcBorders>
                          <w:bottom w:val="nil"/>
                        </w:tcBorders>
                      </w:tcPr>
                      <w:p>
                        <w:pPr>
                          <w:pStyle w:val="TableParagraph"/>
                          <w:rPr>
                            <w:b/>
                            <w:sz w:val="14"/>
                          </w:rPr>
                        </w:pPr>
                      </w:p>
                      <w:p>
                        <w:pPr>
                          <w:pStyle w:val="TableParagraph"/>
                          <w:rPr>
                            <w:b/>
                            <w:sz w:val="14"/>
                          </w:rPr>
                        </w:pPr>
                      </w:p>
                      <w:p>
                        <w:pPr>
                          <w:pStyle w:val="TableParagraph"/>
                          <w:spacing w:before="11"/>
                          <w:rPr>
                            <w:b/>
                            <w:sz w:val="12"/>
                          </w:rPr>
                        </w:pPr>
                      </w:p>
                      <w:p>
                        <w:pPr>
                          <w:pStyle w:val="TableParagraph"/>
                          <w:ind w:right="67"/>
                          <w:jc w:val="right"/>
                          <w:rPr>
                            <w:sz w:val="14"/>
                          </w:rPr>
                        </w:pPr>
                        <w:r>
                          <w:rPr>
                            <w:sz w:val="14"/>
                          </w:rPr>
                          <w:t>75,577</w:t>
                        </w:r>
                      </w:p>
                    </w:tc>
                    <w:tc>
                      <w:tcPr>
                        <w:tcW w:w="1196" w:type="dxa"/>
                        <w:tcBorders>
                          <w:bottom w:val="nil"/>
                          <w:right w:val="nil"/>
                        </w:tcBorders>
                      </w:tcPr>
                      <w:p>
                        <w:pPr>
                          <w:pStyle w:val="TableParagraph"/>
                          <w:rPr>
                            <w:b/>
                            <w:sz w:val="14"/>
                          </w:rPr>
                        </w:pPr>
                      </w:p>
                      <w:p>
                        <w:pPr>
                          <w:pStyle w:val="TableParagraph"/>
                          <w:rPr>
                            <w:b/>
                            <w:sz w:val="14"/>
                          </w:rPr>
                        </w:pPr>
                      </w:p>
                      <w:p>
                        <w:pPr>
                          <w:pStyle w:val="TableParagraph"/>
                          <w:spacing w:before="11"/>
                          <w:rPr>
                            <w:b/>
                            <w:sz w:val="12"/>
                          </w:rPr>
                        </w:pPr>
                      </w:p>
                      <w:p>
                        <w:pPr>
                          <w:pStyle w:val="TableParagraph"/>
                          <w:tabs>
                            <w:tab w:pos="566" w:val="left" w:leader="none"/>
                          </w:tabs>
                          <w:ind w:right="37"/>
                          <w:jc w:val="right"/>
                          <w:rPr>
                            <w:sz w:val="14"/>
                          </w:rPr>
                        </w:pPr>
                        <w:r>
                          <w:rPr>
                            <w:sz w:val="14"/>
                          </w:rPr>
                          <w:t>(188)</w:t>
                          <w:tab/>
                        </w:r>
                        <w:r>
                          <w:rPr>
                            <w:spacing w:val="-1"/>
                            <w:sz w:val="14"/>
                          </w:rPr>
                          <w:t>(188)</w:t>
                        </w:r>
                      </w:p>
                    </w:tc>
                    <w:tc>
                      <w:tcPr>
                        <w:tcW w:w="601" w:type="dxa"/>
                        <w:tcBorders>
                          <w:left w:val="nil"/>
                          <w:bottom w:val="nil"/>
                          <w:right w:val="nil"/>
                        </w:tcBorders>
                      </w:tcPr>
                      <w:p>
                        <w:pPr>
                          <w:pStyle w:val="TableParagraph"/>
                          <w:rPr>
                            <w:b/>
                            <w:sz w:val="14"/>
                          </w:rPr>
                        </w:pPr>
                      </w:p>
                      <w:p>
                        <w:pPr>
                          <w:pStyle w:val="TableParagraph"/>
                          <w:rPr>
                            <w:b/>
                            <w:sz w:val="14"/>
                          </w:rPr>
                        </w:pPr>
                      </w:p>
                      <w:p>
                        <w:pPr>
                          <w:pStyle w:val="TableParagraph"/>
                          <w:spacing w:before="11"/>
                          <w:rPr>
                            <w:b/>
                            <w:sz w:val="12"/>
                          </w:rPr>
                        </w:pPr>
                      </w:p>
                      <w:p>
                        <w:pPr>
                          <w:pStyle w:val="TableParagraph"/>
                          <w:ind w:right="73"/>
                          <w:jc w:val="right"/>
                          <w:rPr>
                            <w:sz w:val="14"/>
                          </w:rPr>
                        </w:pPr>
                        <w:r>
                          <w:rPr>
                            <w:sz w:val="14"/>
                          </w:rPr>
                          <w:t>188</w:t>
                        </w:r>
                      </w:p>
                    </w:tc>
                    <w:tc>
                      <w:tcPr>
                        <w:tcW w:w="561" w:type="dxa"/>
                        <w:tcBorders>
                          <w:left w:val="nil"/>
                          <w:bottom w:val="nil"/>
                        </w:tcBorders>
                      </w:tcPr>
                      <w:p>
                        <w:pPr>
                          <w:pStyle w:val="TableParagraph"/>
                          <w:rPr>
                            <w:b/>
                            <w:sz w:val="14"/>
                          </w:rPr>
                        </w:pPr>
                      </w:p>
                      <w:p>
                        <w:pPr>
                          <w:pStyle w:val="TableParagraph"/>
                          <w:rPr>
                            <w:b/>
                            <w:sz w:val="14"/>
                          </w:rPr>
                        </w:pPr>
                      </w:p>
                      <w:p>
                        <w:pPr>
                          <w:pStyle w:val="TableParagraph"/>
                          <w:spacing w:before="11"/>
                          <w:rPr>
                            <w:b/>
                            <w:sz w:val="12"/>
                          </w:rPr>
                        </w:pPr>
                      </w:p>
                      <w:p>
                        <w:pPr>
                          <w:pStyle w:val="TableParagraph"/>
                          <w:ind w:right="66"/>
                          <w:jc w:val="right"/>
                          <w:rPr>
                            <w:sz w:val="14"/>
                          </w:rPr>
                        </w:pPr>
                        <w:r>
                          <w:rPr>
                            <w:sz w:val="14"/>
                          </w:rPr>
                          <w:t>188</w:t>
                        </w:r>
                      </w:p>
                    </w:tc>
                    <w:tc>
                      <w:tcPr>
                        <w:tcW w:w="1798" w:type="dxa"/>
                        <w:tcBorders>
                          <w:bottom w:val="nil"/>
                          <w:right w:val="nil"/>
                        </w:tcBorders>
                      </w:tcPr>
                      <w:p>
                        <w:pPr>
                          <w:pStyle w:val="TableParagraph"/>
                          <w:rPr>
                            <w:b/>
                            <w:sz w:val="14"/>
                          </w:rPr>
                        </w:pPr>
                      </w:p>
                      <w:p>
                        <w:pPr>
                          <w:pStyle w:val="TableParagraph"/>
                          <w:rPr>
                            <w:b/>
                            <w:sz w:val="14"/>
                          </w:rPr>
                        </w:pPr>
                      </w:p>
                      <w:p>
                        <w:pPr>
                          <w:pStyle w:val="TableParagraph"/>
                          <w:spacing w:before="11"/>
                          <w:rPr>
                            <w:b/>
                            <w:sz w:val="12"/>
                          </w:rPr>
                        </w:pPr>
                      </w:p>
                      <w:p>
                        <w:pPr>
                          <w:pStyle w:val="TableParagraph"/>
                          <w:tabs>
                            <w:tab w:pos="566" w:val="left" w:leader="none"/>
                            <w:tab w:pos="1179" w:val="left" w:leader="none"/>
                          </w:tabs>
                          <w:ind w:right="73"/>
                          <w:jc w:val="right"/>
                          <w:rPr>
                            <w:sz w:val="14"/>
                          </w:rPr>
                        </w:pPr>
                        <w:r>
                          <w:rPr>
                            <w:sz w:val="14"/>
                          </w:rPr>
                          <w:t>-</w:t>
                          <w:tab/>
                          <w:t>-</w:t>
                          <w:tab/>
                        </w:r>
                        <w:r>
                          <w:rPr>
                            <w:spacing w:val="-1"/>
                            <w:sz w:val="14"/>
                          </w:rPr>
                          <w:t>-</w:t>
                        </w:r>
                      </w:p>
                    </w:tc>
                    <w:tc>
                      <w:tcPr>
                        <w:tcW w:w="560" w:type="dxa"/>
                        <w:tcBorders>
                          <w:left w:val="nil"/>
                          <w:bottom w:val="nil"/>
                        </w:tcBorders>
                      </w:tcPr>
                      <w:p>
                        <w:pPr>
                          <w:pStyle w:val="TableParagraph"/>
                          <w:rPr>
                            <w:b/>
                            <w:sz w:val="14"/>
                          </w:rPr>
                        </w:pPr>
                      </w:p>
                      <w:p>
                        <w:pPr>
                          <w:pStyle w:val="TableParagraph"/>
                          <w:rPr>
                            <w:b/>
                            <w:sz w:val="14"/>
                          </w:rPr>
                        </w:pPr>
                      </w:p>
                      <w:p>
                        <w:pPr>
                          <w:pStyle w:val="TableParagraph"/>
                          <w:spacing w:before="11"/>
                          <w:rPr>
                            <w:b/>
                            <w:sz w:val="12"/>
                          </w:rPr>
                        </w:pPr>
                      </w:p>
                      <w:p>
                        <w:pPr>
                          <w:pStyle w:val="TableParagraph"/>
                          <w:ind w:right="66"/>
                          <w:jc w:val="right"/>
                          <w:rPr>
                            <w:sz w:val="14"/>
                          </w:rPr>
                        </w:pPr>
                        <w:r>
                          <w:rPr>
                            <w:w w:val="100"/>
                            <w:sz w:val="14"/>
                          </w:rPr>
                          <w:t>-</w:t>
                        </w:r>
                      </w:p>
                    </w:tc>
                    <w:tc>
                      <w:tcPr>
                        <w:tcW w:w="1197" w:type="dxa"/>
                        <w:tcBorders>
                          <w:bottom w:val="nil"/>
                          <w:right w:val="nil"/>
                        </w:tcBorders>
                      </w:tcPr>
                      <w:p>
                        <w:pPr>
                          <w:pStyle w:val="TableParagraph"/>
                          <w:rPr>
                            <w:b/>
                            <w:sz w:val="14"/>
                          </w:rPr>
                        </w:pPr>
                      </w:p>
                      <w:p>
                        <w:pPr>
                          <w:pStyle w:val="TableParagraph"/>
                          <w:rPr>
                            <w:b/>
                            <w:sz w:val="14"/>
                          </w:rPr>
                        </w:pPr>
                      </w:p>
                      <w:p>
                        <w:pPr>
                          <w:pStyle w:val="TableParagraph"/>
                          <w:spacing w:before="11"/>
                          <w:rPr>
                            <w:b/>
                            <w:sz w:val="12"/>
                          </w:rPr>
                        </w:pPr>
                      </w:p>
                      <w:p>
                        <w:pPr>
                          <w:pStyle w:val="TableParagraph"/>
                          <w:tabs>
                            <w:tab w:pos="567" w:val="left" w:leader="none"/>
                          </w:tabs>
                          <w:ind w:right="84"/>
                          <w:jc w:val="right"/>
                          <w:rPr>
                            <w:sz w:val="14"/>
                          </w:rPr>
                        </w:pPr>
                        <w:r>
                          <w:rPr>
                            <w:sz w:val="14"/>
                          </w:rPr>
                          <w:t>-</w:t>
                          <w:tab/>
                          <w:t>-</w:t>
                        </w:r>
                      </w:p>
                    </w:tc>
                    <w:tc>
                      <w:tcPr>
                        <w:tcW w:w="474" w:type="dxa"/>
                        <w:tcBorders>
                          <w:left w:val="nil"/>
                          <w:bottom w:val="nil"/>
                          <w:right w:val="nil"/>
                        </w:tcBorders>
                      </w:tcPr>
                      <w:p>
                        <w:pPr/>
                      </w:p>
                    </w:tc>
                    <w:tc>
                      <w:tcPr>
                        <w:tcW w:w="104" w:type="dxa"/>
                        <w:tcBorders>
                          <w:left w:val="nil"/>
                          <w:bottom w:val="nil"/>
                          <w:right w:val="nil"/>
                        </w:tcBorders>
                      </w:tcPr>
                      <w:p>
                        <w:pPr>
                          <w:pStyle w:val="TableParagraph"/>
                          <w:rPr>
                            <w:b/>
                            <w:sz w:val="14"/>
                          </w:rPr>
                        </w:pPr>
                      </w:p>
                      <w:p>
                        <w:pPr>
                          <w:pStyle w:val="TableParagraph"/>
                          <w:rPr>
                            <w:b/>
                            <w:sz w:val="14"/>
                          </w:rPr>
                        </w:pPr>
                      </w:p>
                      <w:p>
                        <w:pPr>
                          <w:pStyle w:val="TableParagraph"/>
                          <w:spacing w:before="11"/>
                          <w:rPr>
                            <w:b/>
                            <w:sz w:val="12"/>
                          </w:rPr>
                        </w:pPr>
                      </w:p>
                      <w:p>
                        <w:pPr>
                          <w:pStyle w:val="TableParagraph"/>
                          <w:ind w:right="44"/>
                          <w:jc w:val="center"/>
                          <w:rPr>
                            <w:sz w:val="14"/>
                          </w:rPr>
                        </w:pPr>
                        <w:r>
                          <w:rPr>
                            <w:w w:val="100"/>
                            <w:sz w:val="14"/>
                          </w:rPr>
                          <w:t>-</w:t>
                        </w:r>
                      </w:p>
                    </w:tc>
                    <w:tc>
                      <w:tcPr>
                        <w:tcW w:w="575" w:type="dxa"/>
                        <w:tcBorders>
                          <w:left w:val="nil"/>
                          <w:bottom w:val="nil"/>
                        </w:tcBorders>
                      </w:tcPr>
                      <w:p>
                        <w:pPr>
                          <w:pStyle w:val="TableParagraph"/>
                          <w:rPr>
                            <w:b/>
                            <w:sz w:val="14"/>
                          </w:rPr>
                        </w:pPr>
                      </w:p>
                      <w:p>
                        <w:pPr>
                          <w:pStyle w:val="TableParagraph"/>
                          <w:rPr>
                            <w:b/>
                            <w:sz w:val="14"/>
                          </w:rPr>
                        </w:pPr>
                      </w:p>
                      <w:p>
                        <w:pPr>
                          <w:pStyle w:val="TableParagraph"/>
                          <w:spacing w:before="11"/>
                          <w:rPr>
                            <w:b/>
                            <w:sz w:val="12"/>
                          </w:rPr>
                        </w:pPr>
                      </w:p>
                      <w:p>
                        <w:pPr>
                          <w:pStyle w:val="TableParagraph"/>
                          <w:ind w:right="58"/>
                          <w:jc w:val="right"/>
                          <w:rPr>
                            <w:sz w:val="14"/>
                          </w:rPr>
                        </w:pPr>
                        <w:r>
                          <w:rPr>
                            <w:w w:val="100"/>
                            <w:sz w:val="14"/>
                          </w:rPr>
                          <w:t>-</w:t>
                        </w:r>
                      </w:p>
                    </w:tc>
                  </w:tr>
                  <w:tr>
                    <w:trPr>
                      <w:trHeight w:val="218" w:hRule="exact"/>
                    </w:trPr>
                    <w:tc>
                      <w:tcPr>
                        <w:tcW w:w="772" w:type="dxa"/>
                        <w:tcBorders>
                          <w:top w:val="nil"/>
                          <w:bottom w:val="nil"/>
                        </w:tcBorders>
                      </w:tcPr>
                      <w:p>
                        <w:pPr>
                          <w:pStyle w:val="TableParagraph"/>
                          <w:spacing w:before="21"/>
                          <w:ind w:right="67"/>
                          <w:jc w:val="right"/>
                          <w:rPr>
                            <w:sz w:val="14"/>
                          </w:rPr>
                        </w:pPr>
                        <w:r>
                          <w:rPr>
                            <w:sz w:val="14"/>
                          </w:rPr>
                          <w:t>278,960</w:t>
                        </w:r>
                      </w:p>
                    </w:tc>
                    <w:tc>
                      <w:tcPr>
                        <w:tcW w:w="1196" w:type="dxa"/>
                        <w:tcBorders>
                          <w:top w:val="nil"/>
                          <w:bottom w:val="nil"/>
                          <w:right w:val="nil"/>
                        </w:tcBorders>
                      </w:tcPr>
                      <w:p>
                        <w:pPr>
                          <w:pStyle w:val="TableParagraph"/>
                          <w:tabs>
                            <w:tab w:pos="566" w:val="left" w:leader="none"/>
                          </w:tabs>
                          <w:spacing w:before="21"/>
                          <w:ind w:right="84"/>
                          <w:jc w:val="right"/>
                          <w:rPr>
                            <w:sz w:val="14"/>
                          </w:rPr>
                        </w:pPr>
                        <w:r>
                          <w:rPr>
                            <w:sz w:val="14"/>
                          </w:rPr>
                          <w:t>-</w:t>
                          <w:tab/>
                          <w:t>-</w:t>
                        </w:r>
                      </w:p>
                    </w:tc>
                    <w:tc>
                      <w:tcPr>
                        <w:tcW w:w="601" w:type="dxa"/>
                        <w:tcBorders>
                          <w:top w:val="nil"/>
                          <w:left w:val="nil"/>
                          <w:bottom w:val="nil"/>
                          <w:right w:val="nil"/>
                        </w:tcBorders>
                      </w:tcPr>
                      <w:p>
                        <w:pPr>
                          <w:pStyle w:val="TableParagraph"/>
                          <w:spacing w:before="21"/>
                          <w:ind w:right="73"/>
                          <w:jc w:val="right"/>
                          <w:rPr>
                            <w:sz w:val="14"/>
                          </w:rPr>
                        </w:pPr>
                        <w:r>
                          <w:rPr>
                            <w:w w:val="100"/>
                            <w:sz w:val="14"/>
                          </w:rPr>
                          <w:t>-</w:t>
                        </w:r>
                      </w:p>
                    </w:tc>
                    <w:tc>
                      <w:tcPr>
                        <w:tcW w:w="561" w:type="dxa"/>
                        <w:tcBorders>
                          <w:top w:val="nil"/>
                          <w:left w:val="nil"/>
                          <w:bottom w:val="nil"/>
                        </w:tcBorders>
                      </w:tcPr>
                      <w:p>
                        <w:pPr>
                          <w:pStyle w:val="TableParagraph"/>
                          <w:spacing w:before="21"/>
                          <w:ind w:right="66"/>
                          <w:jc w:val="right"/>
                          <w:rPr>
                            <w:sz w:val="14"/>
                          </w:rPr>
                        </w:pPr>
                        <w:r>
                          <w:rPr>
                            <w:w w:val="100"/>
                            <w:sz w:val="14"/>
                          </w:rPr>
                          <w:t>-</w:t>
                        </w:r>
                      </w:p>
                    </w:tc>
                    <w:tc>
                      <w:tcPr>
                        <w:tcW w:w="1798" w:type="dxa"/>
                        <w:tcBorders>
                          <w:top w:val="nil"/>
                          <w:bottom w:val="nil"/>
                          <w:right w:val="nil"/>
                        </w:tcBorders>
                      </w:tcPr>
                      <w:p>
                        <w:pPr>
                          <w:pStyle w:val="TableParagraph"/>
                          <w:tabs>
                            <w:tab w:pos="566" w:val="left" w:leader="none"/>
                            <w:tab w:pos="1179" w:val="left" w:leader="none"/>
                          </w:tabs>
                          <w:spacing w:before="21"/>
                          <w:ind w:right="73"/>
                          <w:jc w:val="right"/>
                          <w:rPr>
                            <w:sz w:val="14"/>
                          </w:rPr>
                        </w:pPr>
                        <w:r>
                          <w:rPr>
                            <w:sz w:val="14"/>
                          </w:rPr>
                          <w:t>-</w:t>
                          <w:tab/>
                          <w:t>-</w:t>
                          <w:tab/>
                          <w:t>-</w:t>
                        </w:r>
                      </w:p>
                    </w:tc>
                    <w:tc>
                      <w:tcPr>
                        <w:tcW w:w="560" w:type="dxa"/>
                        <w:tcBorders>
                          <w:top w:val="nil"/>
                          <w:left w:val="nil"/>
                          <w:bottom w:val="nil"/>
                        </w:tcBorders>
                      </w:tcPr>
                      <w:p>
                        <w:pPr>
                          <w:pStyle w:val="TableParagraph"/>
                          <w:spacing w:before="21"/>
                          <w:ind w:right="66"/>
                          <w:jc w:val="right"/>
                          <w:rPr>
                            <w:sz w:val="14"/>
                          </w:rPr>
                        </w:pPr>
                        <w:r>
                          <w:rPr>
                            <w:w w:val="100"/>
                            <w:sz w:val="14"/>
                          </w:rPr>
                          <w:t>-</w:t>
                        </w:r>
                      </w:p>
                    </w:tc>
                    <w:tc>
                      <w:tcPr>
                        <w:tcW w:w="1197" w:type="dxa"/>
                        <w:tcBorders>
                          <w:top w:val="nil"/>
                          <w:bottom w:val="nil"/>
                          <w:right w:val="nil"/>
                        </w:tcBorders>
                      </w:tcPr>
                      <w:p>
                        <w:pPr>
                          <w:pStyle w:val="TableParagraph"/>
                          <w:tabs>
                            <w:tab w:pos="567" w:val="left" w:leader="none"/>
                          </w:tabs>
                          <w:spacing w:before="21"/>
                          <w:ind w:right="84"/>
                          <w:jc w:val="right"/>
                          <w:rPr>
                            <w:sz w:val="14"/>
                          </w:rPr>
                        </w:pPr>
                        <w:r>
                          <w:rPr>
                            <w:sz w:val="14"/>
                          </w:rPr>
                          <w:t>-</w:t>
                          <w:tab/>
                          <w:t>-</w:t>
                        </w:r>
                      </w:p>
                    </w:tc>
                    <w:tc>
                      <w:tcPr>
                        <w:tcW w:w="474" w:type="dxa"/>
                        <w:tcBorders>
                          <w:top w:val="nil"/>
                          <w:left w:val="nil"/>
                          <w:bottom w:val="nil"/>
                          <w:right w:val="nil"/>
                        </w:tcBorders>
                      </w:tcPr>
                      <w:p>
                        <w:pPr/>
                      </w:p>
                    </w:tc>
                    <w:tc>
                      <w:tcPr>
                        <w:tcW w:w="104" w:type="dxa"/>
                        <w:tcBorders>
                          <w:top w:val="nil"/>
                          <w:left w:val="nil"/>
                          <w:bottom w:val="nil"/>
                          <w:right w:val="nil"/>
                        </w:tcBorders>
                      </w:tcPr>
                      <w:p>
                        <w:pPr>
                          <w:pStyle w:val="TableParagraph"/>
                          <w:spacing w:before="21"/>
                          <w:ind w:right="44"/>
                          <w:jc w:val="center"/>
                          <w:rPr>
                            <w:sz w:val="14"/>
                          </w:rPr>
                        </w:pPr>
                        <w:r>
                          <w:rPr>
                            <w:w w:val="100"/>
                            <w:sz w:val="14"/>
                          </w:rPr>
                          <w:t>-</w:t>
                        </w:r>
                      </w:p>
                    </w:tc>
                    <w:tc>
                      <w:tcPr>
                        <w:tcW w:w="575" w:type="dxa"/>
                        <w:tcBorders>
                          <w:top w:val="nil"/>
                          <w:left w:val="nil"/>
                          <w:bottom w:val="nil"/>
                        </w:tcBorders>
                      </w:tcPr>
                      <w:p>
                        <w:pPr>
                          <w:pStyle w:val="TableParagraph"/>
                          <w:spacing w:before="21"/>
                          <w:ind w:right="58"/>
                          <w:jc w:val="right"/>
                          <w:rPr>
                            <w:sz w:val="14"/>
                          </w:rPr>
                        </w:pPr>
                        <w:r>
                          <w:rPr>
                            <w:w w:val="100"/>
                            <w:sz w:val="14"/>
                          </w:rPr>
                          <w:t>-</w:t>
                        </w:r>
                      </w:p>
                    </w:tc>
                  </w:tr>
                  <w:tr>
                    <w:trPr>
                      <w:trHeight w:val="219" w:hRule="exact"/>
                    </w:trPr>
                    <w:tc>
                      <w:tcPr>
                        <w:tcW w:w="772" w:type="dxa"/>
                        <w:tcBorders>
                          <w:top w:val="nil"/>
                        </w:tcBorders>
                      </w:tcPr>
                      <w:p>
                        <w:pPr>
                          <w:pStyle w:val="TableParagraph"/>
                          <w:spacing w:before="21"/>
                          <w:ind w:right="67"/>
                          <w:jc w:val="right"/>
                          <w:rPr>
                            <w:sz w:val="14"/>
                          </w:rPr>
                        </w:pPr>
                        <w:r>
                          <w:rPr>
                            <w:sz w:val="14"/>
                          </w:rPr>
                          <w:t>35,156</w:t>
                        </w:r>
                      </w:p>
                    </w:tc>
                    <w:tc>
                      <w:tcPr>
                        <w:tcW w:w="1196" w:type="dxa"/>
                        <w:tcBorders>
                          <w:top w:val="nil"/>
                          <w:right w:val="nil"/>
                        </w:tcBorders>
                      </w:tcPr>
                      <w:p>
                        <w:pPr>
                          <w:pStyle w:val="TableParagraph"/>
                          <w:tabs>
                            <w:tab w:pos="566" w:val="left" w:leader="none"/>
                          </w:tabs>
                          <w:spacing w:before="21"/>
                          <w:ind w:right="84"/>
                          <w:jc w:val="right"/>
                          <w:rPr>
                            <w:sz w:val="14"/>
                          </w:rPr>
                        </w:pPr>
                        <w:r>
                          <w:rPr>
                            <w:sz w:val="14"/>
                          </w:rPr>
                          <w:t>-</w:t>
                          <w:tab/>
                          <w:t>-</w:t>
                        </w:r>
                      </w:p>
                    </w:tc>
                    <w:tc>
                      <w:tcPr>
                        <w:tcW w:w="601" w:type="dxa"/>
                        <w:tcBorders>
                          <w:top w:val="nil"/>
                          <w:left w:val="nil"/>
                          <w:right w:val="nil"/>
                        </w:tcBorders>
                      </w:tcPr>
                      <w:p>
                        <w:pPr>
                          <w:pStyle w:val="TableParagraph"/>
                          <w:spacing w:before="21"/>
                          <w:ind w:right="73"/>
                          <w:jc w:val="right"/>
                          <w:rPr>
                            <w:sz w:val="14"/>
                          </w:rPr>
                        </w:pPr>
                        <w:r>
                          <w:rPr>
                            <w:w w:val="100"/>
                            <w:sz w:val="14"/>
                          </w:rPr>
                          <w:t>-</w:t>
                        </w:r>
                      </w:p>
                    </w:tc>
                    <w:tc>
                      <w:tcPr>
                        <w:tcW w:w="561" w:type="dxa"/>
                        <w:tcBorders>
                          <w:top w:val="nil"/>
                          <w:left w:val="nil"/>
                        </w:tcBorders>
                      </w:tcPr>
                      <w:p>
                        <w:pPr>
                          <w:pStyle w:val="TableParagraph"/>
                          <w:spacing w:before="21"/>
                          <w:ind w:right="66"/>
                          <w:jc w:val="right"/>
                          <w:rPr>
                            <w:sz w:val="14"/>
                          </w:rPr>
                        </w:pPr>
                        <w:r>
                          <w:rPr>
                            <w:w w:val="100"/>
                            <w:sz w:val="14"/>
                          </w:rPr>
                          <w:t>-</w:t>
                        </w:r>
                      </w:p>
                    </w:tc>
                    <w:tc>
                      <w:tcPr>
                        <w:tcW w:w="1798" w:type="dxa"/>
                        <w:tcBorders>
                          <w:top w:val="nil"/>
                          <w:right w:val="nil"/>
                        </w:tcBorders>
                      </w:tcPr>
                      <w:p>
                        <w:pPr>
                          <w:pStyle w:val="TableParagraph"/>
                          <w:tabs>
                            <w:tab w:pos="566" w:val="left" w:leader="none"/>
                            <w:tab w:pos="1179" w:val="left" w:leader="none"/>
                          </w:tabs>
                          <w:spacing w:before="21"/>
                          <w:ind w:right="73"/>
                          <w:jc w:val="right"/>
                          <w:rPr>
                            <w:sz w:val="14"/>
                          </w:rPr>
                        </w:pPr>
                        <w:r>
                          <w:rPr>
                            <w:sz w:val="14"/>
                          </w:rPr>
                          <w:t>-</w:t>
                          <w:tab/>
                          <w:t>-</w:t>
                          <w:tab/>
                          <w:t>-</w:t>
                        </w:r>
                      </w:p>
                    </w:tc>
                    <w:tc>
                      <w:tcPr>
                        <w:tcW w:w="560" w:type="dxa"/>
                        <w:tcBorders>
                          <w:top w:val="nil"/>
                          <w:left w:val="nil"/>
                        </w:tcBorders>
                      </w:tcPr>
                      <w:p>
                        <w:pPr>
                          <w:pStyle w:val="TableParagraph"/>
                          <w:spacing w:before="21"/>
                          <w:ind w:right="66"/>
                          <w:jc w:val="right"/>
                          <w:rPr>
                            <w:sz w:val="14"/>
                          </w:rPr>
                        </w:pPr>
                        <w:r>
                          <w:rPr>
                            <w:w w:val="100"/>
                            <w:sz w:val="14"/>
                          </w:rPr>
                          <w:t>-</w:t>
                        </w:r>
                      </w:p>
                    </w:tc>
                    <w:tc>
                      <w:tcPr>
                        <w:tcW w:w="1197" w:type="dxa"/>
                        <w:tcBorders>
                          <w:top w:val="nil"/>
                          <w:right w:val="nil"/>
                        </w:tcBorders>
                      </w:tcPr>
                      <w:p>
                        <w:pPr>
                          <w:pStyle w:val="TableParagraph"/>
                          <w:tabs>
                            <w:tab w:pos="333" w:val="left" w:leader="none"/>
                          </w:tabs>
                          <w:spacing w:before="21"/>
                          <w:ind w:right="37"/>
                          <w:jc w:val="right"/>
                          <w:rPr>
                            <w:sz w:val="14"/>
                          </w:rPr>
                        </w:pPr>
                        <w:r>
                          <w:rPr>
                            <w:sz w:val="14"/>
                          </w:rPr>
                          <w:t>-</w:t>
                          <w:tab/>
                        </w:r>
                        <w:r>
                          <w:rPr>
                            <w:spacing w:val="-1"/>
                            <w:sz w:val="14"/>
                          </w:rPr>
                          <w:t>(352)</w:t>
                        </w:r>
                      </w:p>
                    </w:tc>
                    <w:tc>
                      <w:tcPr>
                        <w:tcW w:w="474" w:type="dxa"/>
                        <w:tcBorders>
                          <w:top w:val="nil"/>
                          <w:left w:val="nil"/>
                          <w:right w:val="nil"/>
                        </w:tcBorders>
                      </w:tcPr>
                      <w:p>
                        <w:pPr/>
                      </w:p>
                    </w:tc>
                    <w:tc>
                      <w:tcPr>
                        <w:tcW w:w="104" w:type="dxa"/>
                        <w:tcBorders>
                          <w:top w:val="nil"/>
                          <w:left w:val="nil"/>
                          <w:right w:val="nil"/>
                        </w:tcBorders>
                      </w:tcPr>
                      <w:p>
                        <w:pPr>
                          <w:pStyle w:val="TableParagraph"/>
                          <w:spacing w:before="21"/>
                          <w:ind w:right="44"/>
                          <w:jc w:val="center"/>
                          <w:rPr>
                            <w:sz w:val="14"/>
                          </w:rPr>
                        </w:pPr>
                        <w:r>
                          <w:rPr>
                            <w:w w:val="100"/>
                            <w:sz w:val="14"/>
                          </w:rPr>
                          <w:t>-</w:t>
                        </w:r>
                      </w:p>
                    </w:tc>
                    <w:tc>
                      <w:tcPr>
                        <w:tcW w:w="575" w:type="dxa"/>
                        <w:tcBorders>
                          <w:top w:val="nil"/>
                          <w:left w:val="nil"/>
                        </w:tcBorders>
                      </w:tcPr>
                      <w:p>
                        <w:pPr>
                          <w:pStyle w:val="TableParagraph"/>
                          <w:spacing w:before="21"/>
                          <w:ind w:right="57"/>
                          <w:jc w:val="right"/>
                          <w:rPr>
                            <w:sz w:val="14"/>
                          </w:rPr>
                        </w:pPr>
                        <w:r>
                          <w:rPr>
                            <w:sz w:val="14"/>
                          </w:rPr>
                          <w:t>352</w:t>
                        </w:r>
                      </w:p>
                    </w:tc>
                  </w:tr>
                  <w:tr>
                    <w:trPr>
                      <w:trHeight w:val="293" w:hRule="exact"/>
                    </w:trPr>
                    <w:tc>
                      <w:tcPr>
                        <w:tcW w:w="772" w:type="dxa"/>
                      </w:tcPr>
                      <w:p>
                        <w:pPr/>
                      </w:p>
                    </w:tc>
                    <w:tc>
                      <w:tcPr>
                        <w:tcW w:w="1196" w:type="dxa"/>
                        <w:tcBorders>
                          <w:right w:val="nil"/>
                        </w:tcBorders>
                      </w:tcPr>
                      <w:p>
                        <w:pPr>
                          <w:pStyle w:val="TableParagraph"/>
                          <w:tabs>
                            <w:tab w:pos="566" w:val="left" w:leader="none"/>
                          </w:tabs>
                          <w:spacing w:before="123"/>
                          <w:ind w:right="37"/>
                          <w:jc w:val="right"/>
                          <w:rPr>
                            <w:b/>
                            <w:sz w:val="14"/>
                          </w:rPr>
                        </w:pPr>
                        <w:r>
                          <w:rPr>
                            <w:b/>
                            <w:sz w:val="14"/>
                          </w:rPr>
                          <w:t>(188)</w:t>
                          <w:tab/>
                          <w:t>(188)</w:t>
                        </w:r>
                      </w:p>
                    </w:tc>
                    <w:tc>
                      <w:tcPr>
                        <w:tcW w:w="601" w:type="dxa"/>
                        <w:tcBorders>
                          <w:left w:val="nil"/>
                          <w:right w:val="nil"/>
                        </w:tcBorders>
                      </w:tcPr>
                      <w:p>
                        <w:pPr>
                          <w:pStyle w:val="TableParagraph"/>
                          <w:spacing w:before="123"/>
                          <w:ind w:right="73"/>
                          <w:jc w:val="right"/>
                          <w:rPr>
                            <w:b/>
                            <w:sz w:val="14"/>
                          </w:rPr>
                        </w:pPr>
                        <w:r>
                          <w:rPr>
                            <w:b/>
                            <w:sz w:val="14"/>
                          </w:rPr>
                          <w:t>188</w:t>
                        </w:r>
                      </w:p>
                    </w:tc>
                    <w:tc>
                      <w:tcPr>
                        <w:tcW w:w="561" w:type="dxa"/>
                        <w:tcBorders>
                          <w:left w:val="nil"/>
                        </w:tcBorders>
                      </w:tcPr>
                      <w:p>
                        <w:pPr>
                          <w:pStyle w:val="TableParagraph"/>
                          <w:spacing w:before="123"/>
                          <w:ind w:right="66"/>
                          <w:jc w:val="right"/>
                          <w:rPr>
                            <w:b/>
                            <w:sz w:val="14"/>
                          </w:rPr>
                        </w:pPr>
                        <w:r>
                          <w:rPr>
                            <w:b/>
                            <w:sz w:val="14"/>
                          </w:rPr>
                          <w:t>188</w:t>
                        </w:r>
                      </w:p>
                    </w:tc>
                    <w:tc>
                      <w:tcPr>
                        <w:tcW w:w="1798" w:type="dxa"/>
                        <w:tcBorders>
                          <w:right w:val="nil"/>
                        </w:tcBorders>
                      </w:tcPr>
                      <w:p>
                        <w:pPr>
                          <w:pStyle w:val="TableParagraph"/>
                          <w:tabs>
                            <w:tab w:pos="566" w:val="left" w:leader="none"/>
                            <w:tab w:pos="1179" w:val="left" w:leader="none"/>
                          </w:tabs>
                          <w:spacing w:before="123"/>
                          <w:ind w:right="73"/>
                          <w:jc w:val="right"/>
                          <w:rPr>
                            <w:b/>
                            <w:sz w:val="14"/>
                          </w:rPr>
                        </w:pPr>
                        <w:r>
                          <w:rPr>
                            <w:b/>
                            <w:sz w:val="14"/>
                          </w:rPr>
                          <w:t>-</w:t>
                          <w:tab/>
                          <w:t>-</w:t>
                          <w:tab/>
                          <w:t>-</w:t>
                        </w:r>
                      </w:p>
                    </w:tc>
                    <w:tc>
                      <w:tcPr>
                        <w:tcW w:w="560" w:type="dxa"/>
                        <w:tcBorders>
                          <w:left w:val="nil"/>
                        </w:tcBorders>
                      </w:tcPr>
                      <w:p>
                        <w:pPr>
                          <w:pStyle w:val="TableParagraph"/>
                          <w:spacing w:before="123"/>
                          <w:ind w:right="66"/>
                          <w:jc w:val="right"/>
                          <w:rPr>
                            <w:b/>
                            <w:sz w:val="14"/>
                          </w:rPr>
                        </w:pPr>
                        <w:r>
                          <w:rPr>
                            <w:b/>
                            <w:w w:val="100"/>
                            <w:sz w:val="14"/>
                          </w:rPr>
                          <w:t>-</w:t>
                        </w:r>
                      </w:p>
                    </w:tc>
                    <w:tc>
                      <w:tcPr>
                        <w:tcW w:w="1197" w:type="dxa"/>
                        <w:tcBorders>
                          <w:right w:val="nil"/>
                        </w:tcBorders>
                      </w:tcPr>
                      <w:p>
                        <w:pPr>
                          <w:pStyle w:val="TableParagraph"/>
                          <w:tabs>
                            <w:tab w:pos="333" w:val="left" w:leader="none"/>
                          </w:tabs>
                          <w:spacing w:before="123"/>
                          <w:ind w:right="37"/>
                          <w:jc w:val="right"/>
                          <w:rPr>
                            <w:b/>
                            <w:sz w:val="14"/>
                          </w:rPr>
                        </w:pPr>
                        <w:r>
                          <w:rPr>
                            <w:b/>
                            <w:sz w:val="14"/>
                          </w:rPr>
                          <w:t>-</w:t>
                          <w:tab/>
                          <w:t>(352)</w:t>
                        </w:r>
                      </w:p>
                    </w:tc>
                    <w:tc>
                      <w:tcPr>
                        <w:tcW w:w="474" w:type="dxa"/>
                        <w:tcBorders>
                          <w:left w:val="nil"/>
                          <w:right w:val="nil"/>
                        </w:tcBorders>
                      </w:tcPr>
                      <w:p>
                        <w:pPr/>
                      </w:p>
                    </w:tc>
                    <w:tc>
                      <w:tcPr>
                        <w:tcW w:w="104" w:type="dxa"/>
                        <w:tcBorders>
                          <w:left w:val="nil"/>
                          <w:right w:val="nil"/>
                        </w:tcBorders>
                      </w:tcPr>
                      <w:p>
                        <w:pPr>
                          <w:pStyle w:val="TableParagraph"/>
                          <w:spacing w:before="123"/>
                          <w:ind w:right="44"/>
                          <w:jc w:val="center"/>
                          <w:rPr>
                            <w:b/>
                            <w:sz w:val="14"/>
                          </w:rPr>
                        </w:pPr>
                        <w:r>
                          <w:rPr>
                            <w:b/>
                            <w:w w:val="100"/>
                            <w:sz w:val="14"/>
                          </w:rPr>
                          <w:t>-</w:t>
                        </w:r>
                      </w:p>
                    </w:tc>
                    <w:tc>
                      <w:tcPr>
                        <w:tcW w:w="575" w:type="dxa"/>
                        <w:tcBorders>
                          <w:left w:val="nil"/>
                        </w:tcBorders>
                      </w:tcPr>
                      <w:p>
                        <w:pPr>
                          <w:pStyle w:val="TableParagraph"/>
                          <w:spacing w:before="123"/>
                          <w:ind w:right="57"/>
                          <w:jc w:val="right"/>
                          <w:rPr>
                            <w:b/>
                            <w:sz w:val="14"/>
                          </w:rPr>
                        </w:pPr>
                        <w:r>
                          <w:rPr>
                            <w:b/>
                            <w:sz w:val="14"/>
                          </w:rPr>
                          <w:t>352</w:t>
                        </w:r>
                      </w:p>
                    </w:tc>
                  </w:tr>
                  <w:tr>
                    <w:trPr>
                      <w:trHeight w:val="510" w:hRule="exact"/>
                    </w:trPr>
                    <w:tc>
                      <w:tcPr>
                        <w:tcW w:w="772" w:type="dxa"/>
                        <w:tcBorders>
                          <w:bottom w:val="nil"/>
                        </w:tcBorders>
                      </w:tcPr>
                      <w:p>
                        <w:pPr>
                          <w:pStyle w:val="TableParagraph"/>
                          <w:rPr>
                            <w:b/>
                            <w:sz w:val="14"/>
                          </w:rPr>
                        </w:pPr>
                      </w:p>
                      <w:p>
                        <w:pPr>
                          <w:pStyle w:val="TableParagraph"/>
                          <w:spacing w:before="2"/>
                          <w:rPr>
                            <w:b/>
                            <w:sz w:val="13"/>
                          </w:rPr>
                        </w:pPr>
                      </w:p>
                      <w:p>
                        <w:pPr>
                          <w:pStyle w:val="TableParagraph"/>
                          <w:ind w:right="67"/>
                          <w:jc w:val="right"/>
                          <w:rPr>
                            <w:sz w:val="14"/>
                          </w:rPr>
                        </w:pPr>
                        <w:r>
                          <w:rPr>
                            <w:sz w:val="14"/>
                          </w:rPr>
                          <w:t>49,992</w:t>
                        </w:r>
                      </w:p>
                    </w:tc>
                    <w:tc>
                      <w:tcPr>
                        <w:tcW w:w="1196" w:type="dxa"/>
                        <w:tcBorders>
                          <w:bottom w:val="nil"/>
                          <w:right w:val="nil"/>
                        </w:tcBorders>
                      </w:tcPr>
                      <w:p>
                        <w:pPr>
                          <w:pStyle w:val="TableParagraph"/>
                          <w:rPr>
                            <w:b/>
                            <w:sz w:val="14"/>
                          </w:rPr>
                        </w:pPr>
                      </w:p>
                      <w:p>
                        <w:pPr>
                          <w:pStyle w:val="TableParagraph"/>
                          <w:spacing w:before="2"/>
                          <w:rPr>
                            <w:b/>
                            <w:sz w:val="13"/>
                          </w:rPr>
                        </w:pPr>
                      </w:p>
                      <w:p>
                        <w:pPr>
                          <w:pStyle w:val="TableParagraph"/>
                          <w:tabs>
                            <w:tab w:pos="566" w:val="left" w:leader="none"/>
                          </w:tabs>
                          <w:ind w:right="84"/>
                          <w:jc w:val="right"/>
                          <w:rPr>
                            <w:sz w:val="14"/>
                          </w:rPr>
                        </w:pPr>
                        <w:r>
                          <w:rPr>
                            <w:sz w:val="14"/>
                          </w:rPr>
                          <w:t>-</w:t>
                          <w:tab/>
                          <w:t>-</w:t>
                        </w:r>
                      </w:p>
                    </w:tc>
                    <w:tc>
                      <w:tcPr>
                        <w:tcW w:w="601" w:type="dxa"/>
                        <w:tcBorders>
                          <w:left w:val="nil"/>
                          <w:bottom w:val="nil"/>
                          <w:right w:val="nil"/>
                        </w:tcBorders>
                      </w:tcPr>
                      <w:p>
                        <w:pPr>
                          <w:pStyle w:val="TableParagraph"/>
                          <w:rPr>
                            <w:b/>
                            <w:sz w:val="14"/>
                          </w:rPr>
                        </w:pPr>
                      </w:p>
                      <w:p>
                        <w:pPr>
                          <w:pStyle w:val="TableParagraph"/>
                          <w:spacing w:before="2"/>
                          <w:rPr>
                            <w:b/>
                            <w:sz w:val="13"/>
                          </w:rPr>
                        </w:pPr>
                      </w:p>
                      <w:p>
                        <w:pPr>
                          <w:pStyle w:val="TableParagraph"/>
                          <w:ind w:right="73"/>
                          <w:jc w:val="right"/>
                          <w:rPr>
                            <w:sz w:val="14"/>
                          </w:rPr>
                        </w:pPr>
                        <w:r>
                          <w:rPr>
                            <w:w w:val="100"/>
                            <w:sz w:val="14"/>
                          </w:rPr>
                          <w:t>-</w:t>
                        </w:r>
                      </w:p>
                    </w:tc>
                    <w:tc>
                      <w:tcPr>
                        <w:tcW w:w="561" w:type="dxa"/>
                        <w:tcBorders>
                          <w:left w:val="nil"/>
                          <w:bottom w:val="nil"/>
                        </w:tcBorders>
                      </w:tcPr>
                      <w:p>
                        <w:pPr>
                          <w:pStyle w:val="TableParagraph"/>
                          <w:rPr>
                            <w:b/>
                            <w:sz w:val="14"/>
                          </w:rPr>
                        </w:pPr>
                      </w:p>
                      <w:p>
                        <w:pPr>
                          <w:pStyle w:val="TableParagraph"/>
                          <w:spacing w:before="2"/>
                          <w:rPr>
                            <w:b/>
                            <w:sz w:val="13"/>
                          </w:rPr>
                        </w:pPr>
                      </w:p>
                      <w:p>
                        <w:pPr>
                          <w:pStyle w:val="TableParagraph"/>
                          <w:ind w:right="66"/>
                          <w:jc w:val="right"/>
                          <w:rPr>
                            <w:sz w:val="14"/>
                          </w:rPr>
                        </w:pPr>
                        <w:r>
                          <w:rPr>
                            <w:w w:val="100"/>
                            <w:sz w:val="14"/>
                          </w:rPr>
                          <w:t>-</w:t>
                        </w:r>
                      </w:p>
                    </w:tc>
                    <w:tc>
                      <w:tcPr>
                        <w:tcW w:w="1798" w:type="dxa"/>
                        <w:tcBorders>
                          <w:bottom w:val="nil"/>
                          <w:right w:val="nil"/>
                        </w:tcBorders>
                      </w:tcPr>
                      <w:p>
                        <w:pPr>
                          <w:pStyle w:val="TableParagraph"/>
                          <w:rPr>
                            <w:b/>
                            <w:sz w:val="14"/>
                          </w:rPr>
                        </w:pPr>
                      </w:p>
                      <w:p>
                        <w:pPr>
                          <w:pStyle w:val="TableParagraph"/>
                          <w:spacing w:before="2"/>
                          <w:rPr>
                            <w:b/>
                            <w:sz w:val="13"/>
                          </w:rPr>
                        </w:pPr>
                      </w:p>
                      <w:p>
                        <w:pPr>
                          <w:pStyle w:val="TableParagraph"/>
                          <w:tabs>
                            <w:tab w:pos="566" w:val="left" w:leader="none"/>
                            <w:tab w:pos="1132" w:val="left" w:leader="none"/>
                          </w:tabs>
                          <w:ind w:right="26"/>
                          <w:jc w:val="right"/>
                          <w:rPr>
                            <w:sz w:val="14"/>
                          </w:rPr>
                        </w:pPr>
                        <w:r>
                          <w:rPr>
                            <w:sz w:val="14"/>
                          </w:rPr>
                          <w:t>31</w:t>
                          <w:tab/>
                          <w:t>31</w:t>
                          <w:tab/>
                          <w:t>(31)</w:t>
                        </w:r>
                      </w:p>
                    </w:tc>
                    <w:tc>
                      <w:tcPr>
                        <w:tcW w:w="560" w:type="dxa"/>
                        <w:tcBorders>
                          <w:left w:val="nil"/>
                          <w:bottom w:val="nil"/>
                        </w:tcBorders>
                      </w:tcPr>
                      <w:p>
                        <w:pPr>
                          <w:pStyle w:val="TableParagraph"/>
                          <w:rPr>
                            <w:b/>
                            <w:sz w:val="14"/>
                          </w:rPr>
                        </w:pPr>
                      </w:p>
                      <w:p>
                        <w:pPr>
                          <w:pStyle w:val="TableParagraph"/>
                          <w:spacing w:before="2"/>
                          <w:rPr>
                            <w:b/>
                            <w:sz w:val="13"/>
                          </w:rPr>
                        </w:pPr>
                      </w:p>
                      <w:p>
                        <w:pPr>
                          <w:pStyle w:val="TableParagraph"/>
                          <w:ind w:right="19"/>
                          <w:jc w:val="right"/>
                          <w:rPr>
                            <w:sz w:val="14"/>
                          </w:rPr>
                        </w:pPr>
                        <w:r>
                          <w:rPr>
                            <w:sz w:val="14"/>
                          </w:rPr>
                          <w:t>(31)</w:t>
                        </w:r>
                      </w:p>
                    </w:tc>
                    <w:tc>
                      <w:tcPr>
                        <w:tcW w:w="1197" w:type="dxa"/>
                        <w:tcBorders>
                          <w:bottom w:val="nil"/>
                          <w:right w:val="nil"/>
                        </w:tcBorders>
                      </w:tcPr>
                      <w:p>
                        <w:pPr>
                          <w:pStyle w:val="TableParagraph"/>
                          <w:rPr>
                            <w:b/>
                            <w:sz w:val="14"/>
                          </w:rPr>
                        </w:pPr>
                      </w:p>
                      <w:p>
                        <w:pPr>
                          <w:pStyle w:val="TableParagraph"/>
                          <w:spacing w:before="2"/>
                          <w:rPr>
                            <w:b/>
                            <w:sz w:val="13"/>
                          </w:rPr>
                        </w:pPr>
                      </w:p>
                      <w:p>
                        <w:pPr>
                          <w:pStyle w:val="TableParagraph"/>
                          <w:tabs>
                            <w:tab w:pos="567" w:val="left" w:leader="none"/>
                          </w:tabs>
                          <w:ind w:right="84"/>
                          <w:jc w:val="right"/>
                          <w:rPr>
                            <w:sz w:val="14"/>
                          </w:rPr>
                        </w:pPr>
                        <w:r>
                          <w:rPr>
                            <w:sz w:val="14"/>
                          </w:rPr>
                          <w:t>-</w:t>
                          <w:tab/>
                          <w:t>-</w:t>
                        </w:r>
                      </w:p>
                    </w:tc>
                    <w:tc>
                      <w:tcPr>
                        <w:tcW w:w="474" w:type="dxa"/>
                        <w:tcBorders>
                          <w:left w:val="nil"/>
                          <w:bottom w:val="nil"/>
                          <w:right w:val="nil"/>
                        </w:tcBorders>
                      </w:tcPr>
                      <w:p>
                        <w:pPr/>
                      </w:p>
                    </w:tc>
                    <w:tc>
                      <w:tcPr>
                        <w:tcW w:w="104" w:type="dxa"/>
                        <w:tcBorders>
                          <w:left w:val="nil"/>
                          <w:bottom w:val="nil"/>
                          <w:right w:val="nil"/>
                        </w:tcBorders>
                      </w:tcPr>
                      <w:p>
                        <w:pPr>
                          <w:pStyle w:val="TableParagraph"/>
                          <w:rPr>
                            <w:b/>
                            <w:sz w:val="14"/>
                          </w:rPr>
                        </w:pPr>
                      </w:p>
                      <w:p>
                        <w:pPr>
                          <w:pStyle w:val="TableParagraph"/>
                          <w:spacing w:before="2"/>
                          <w:rPr>
                            <w:b/>
                            <w:sz w:val="13"/>
                          </w:rPr>
                        </w:pPr>
                      </w:p>
                      <w:p>
                        <w:pPr>
                          <w:pStyle w:val="TableParagraph"/>
                          <w:ind w:right="44"/>
                          <w:jc w:val="center"/>
                          <w:rPr>
                            <w:sz w:val="14"/>
                          </w:rPr>
                        </w:pPr>
                        <w:r>
                          <w:rPr>
                            <w:w w:val="100"/>
                            <w:sz w:val="14"/>
                          </w:rPr>
                          <w:t>-</w:t>
                        </w:r>
                      </w:p>
                    </w:tc>
                    <w:tc>
                      <w:tcPr>
                        <w:tcW w:w="575" w:type="dxa"/>
                        <w:tcBorders>
                          <w:left w:val="nil"/>
                          <w:bottom w:val="nil"/>
                        </w:tcBorders>
                      </w:tcPr>
                      <w:p>
                        <w:pPr>
                          <w:pStyle w:val="TableParagraph"/>
                          <w:rPr>
                            <w:b/>
                            <w:sz w:val="14"/>
                          </w:rPr>
                        </w:pPr>
                      </w:p>
                      <w:p>
                        <w:pPr>
                          <w:pStyle w:val="TableParagraph"/>
                          <w:spacing w:before="2"/>
                          <w:rPr>
                            <w:b/>
                            <w:sz w:val="13"/>
                          </w:rPr>
                        </w:pPr>
                      </w:p>
                      <w:p>
                        <w:pPr>
                          <w:pStyle w:val="TableParagraph"/>
                          <w:ind w:right="58"/>
                          <w:jc w:val="right"/>
                          <w:rPr>
                            <w:sz w:val="14"/>
                          </w:rPr>
                        </w:pPr>
                        <w:r>
                          <w:rPr>
                            <w:w w:val="100"/>
                            <w:sz w:val="14"/>
                          </w:rPr>
                          <w:t>-</w:t>
                        </w:r>
                      </w:p>
                    </w:tc>
                  </w:tr>
                  <w:tr>
                    <w:trPr>
                      <w:trHeight w:val="218" w:hRule="exact"/>
                    </w:trPr>
                    <w:tc>
                      <w:tcPr>
                        <w:tcW w:w="772" w:type="dxa"/>
                        <w:tcBorders>
                          <w:top w:val="nil"/>
                          <w:bottom w:val="nil"/>
                        </w:tcBorders>
                      </w:tcPr>
                      <w:p>
                        <w:pPr>
                          <w:pStyle w:val="TableParagraph"/>
                          <w:spacing w:before="21"/>
                          <w:ind w:right="67"/>
                          <w:jc w:val="right"/>
                          <w:rPr>
                            <w:sz w:val="14"/>
                          </w:rPr>
                        </w:pPr>
                        <w:r>
                          <w:rPr>
                            <w:sz w:val="14"/>
                          </w:rPr>
                          <w:t>55,500</w:t>
                        </w:r>
                      </w:p>
                    </w:tc>
                    <w:tc>
                      <w:tcPr>
                        <w:tcW w:w="1196" w:type="dxa"/>
                        <w:tcBorders>
                          <w:top w:val="nil"/>
                          <w:bottom w:val="nil"/>
                          <w:right w:val="nil"/>
                        </w:tcBorders>
                      </w:tcPr>
                      <w:p>
                        <w:pPr>
                          <w:pStyle w:val="TableParagraph"/>
                          <w:tabs>
                            <w:tab w:pos="566" w:val="left" w:leader="none"/>
                          </w:tabs>
                          <w:spacing w:before="21"/>
                          <w:ind w:right="84"/>
                          <w:jc w:val="right"/>
                          <w:rPr>
                            <w:sz w:val="14"/>
                          </w:rPr>
                        </w:pPr>
                        <w:r>
                          <w:rPr>
                            <w:sz w:val="14"/>
                          </w:rPr>
                          <w:t>139</w:t>
                          <w:tab/>
                          <w:t>139</w:t>
                        </w:r>
                      </w:p>
                    </w:tc>
                    <w:tc>
                      <w:tcPr>
                        <w:tcW w:w="601" w:type="dxa"/>
                        <w:tcBorders>
                          <w:top w:val="nil"/>
                          <w:left w:val="nil"/>
                          <w:bottom w:val="nil"/>
                          <w:right w:val="nil"/>
                        </w:tcBorders>
                      </w:tcPr>
                      <w:p>
                        <w:pPr>
                          <w:pStyle w:val="TableParagraph"/>
                          <w:spacing w:before="21"/>
                          <w:ind w:right="26"/>
                          <w:jc w:val="right"/>
                          <w:rPr>
                            <w:sz w:val="14"/>
                          </w:rPr>
                        </w:pPr>
                        <w:r>
                          <w:rPr>
                            <w:sz w:val="14"/>
                          </w:rPr>
                          <w:t>(139)</w:t>
                        </w:r>
                      </w:p>
                    </w:tc>
                    <w:tc>
                      <w:tcPr>
                        <w:tcW w:w="561" w:type="dxa"/>
                        <w:tcBorders>
                          <w:top w:val="nil"/>
                          <w:left w:val="nil"/>
                          <w:bottom w:val="nil"/>
                        </w:tcBorders>
                      </w:tcPr>
                      <w:p>
                        <w:pPr>
                          <w:pStyle w:val="TableParagraph"/>
                          <w:spacing w:before="21"/>
                          <w:ind w:right="19"/>
                          <w:jc w:val="right"/>
                          <w:rPr>
                            <w:sz w:val="14"/>
                          </w:rPr>
                        </w:pPr>
                        <w:r>
                          <w:rPr>
                            <w:sz w:val="14"/>
                          </w:rPr>
                          <w:t>(139)</w:t>
                        </w:r>
                      </w:p>
                    </w:tc>
                    <w:tc>
                      <w:tcPr>
                        <w:tcW w:w="1798" w:type="dxa"/>
                        <w:tcBorders>
                          <w:top w:val="nil"/>
                          <w:bottom w:val="nil"/>
                          <w:right w:val="nil"/>
                        </w:tcBorders>
                      </w:tcPr>
                      <w:p>
                        <w:pPr>
                          <w:pStyle w:val="TableParagraph"/>
                          <w:tabs>
                            <w:tab w:pos="566" w:val="left" w:leader="none"/>
                            <w:tab w:pos="1179" w:val="left" w:leader="none"/>
                          </w:tabs>
                          <w:spacing w:before="21"/>
                          <w:ind w:right="73"/>
                          <w:jc w:val="right"/>
                          <w:rPr>
                            <w:sz w:val="14"/>
                          </w:rPr>
                        </w:pPr>
                        <w:r>
                          <w:rPr>
                            <w:sz w:val="14"/>
                          </w:rPr>
                          <w:t>-</w:t>
                          <w:tab/>
                          <w:t>-</w:t>
                          <w:tab/>
                          <w:t>-</w:t>
                        </w:r>
                      </w:p>
                    </w:tc>
                    <w:tc>
                      <w:tcPr>
                        <w:tcW w:w="560" w:type="dxa"/>
                        <w:tcBorders>
                          <w:top w:val="nil"/>
                          <w:left w:val="nil"/>
                          <w:bottom w:val="nil"/>
                        </w:tcBorders>
                      </w:tcPr>
                      <w:p>
                        <w:pPr>
                          <w:pStyle w:val="TableParagraph"/>
                          <w:spacing w:before="21"/>
                          <w:ind w:right="66"/>
                          <w:jc w:val="right"/>
                          <w:rPr>
                            <w:sz w:val="14"/>
                          </w:rPr>
                        </w:pPr>
                        <w:r>
                          <w:rPr>
                            <w:w w:val="100"/>
                            <w:sz w:val="14"/>
                          </w:rPr>
                          <w:t>-</w:t>
                        </w:r>
                      </w:p>
                    </w:tc>
                    <w:tc>
                      <w:tcPr>
                        <w:tcW w:w="1197" w:type="dxa"/>
                        <w:tcBorders>
                          <w:top w:val="nil"/>
                          <w:bottom w:val="nil"/>
                          <w:right w:val="nil"/>
                        </w:tcBorders>
                      </w:tcPr>
                      <w:p>
                        <w:pPr>
                          <w:pStyle w:val="TableParagraph"/>
                          <w:tabs>
                            <w:tab w:pos="567" w:val="left" w:leader="none"/>
                          </w:tabs>
                          <w:spacing w:before="21"/>
                          <w:ind w:right="84"/>
                          <w:jc w:val="right"/>
                          <w:rPr>
                            <w:sz w:val="14"/>
                          </w:rPr>
                        </w:pPr>
                        <w:r>
                          <w:rPr>
                            <w:sz w:val="14"/>
                          </w:rPr>
                          <w:t>-</w:t>
                          <w:tab/>
                          <w:t>-</w:t>
                        </w:r>
                      </w:p>
                    </w:tc>
                    <w:tc>
                      <w:tcPr>
                        <w:tcW w:w="474" w:type="dxa"/>
                        <w:tcBorders>
                          <w:top w:val="nil"/>
                          <w:left w:val="nil"/>
                          <w:bottom w:val="nil"/>
                          <w:right w:val="nil"/>
                        </w:tcBorders>
                      </w:tcPr>
                      <w:p>
                        <w:pPr/>
                      </w:p>
                    </w:tc>
                    <w:tc>
                      <w:tcPr>
                        <w:tcW w:w="104" w:type="dxa"/>
                        <w:tcBorders>
                          <w:top w:val="nil"/>
                          <w:left w:val="nil"/>
                          <w:bottom w:val="nil"/>
                          <w:right w:val="nil"/>
                        </w:tcBorders>
                      </w:tcPr>
                      <w:p>
                        <w:pPr>
                          <w:pStyle w:val="TableParagraph"/>
                          <w:spacing w:before="21"/>
                          <w:ind w:right="44"/>
                          <w:jc w:val="center"/>
                          <w:rPr>
                            <w:sz w:val="14"/>
                          </w:rPr>
                        </w:pPr>
                        <w:r>
                          <w:rPr>
                            <w:w w:val="100"/>
                            <w:sz w:val="14"/>
                          </w:rPr>
                          <w:t>-</w:t>
                        </w:r>
                      </w:p>
                    </w:tc>
                    <w:tc>
                      <w:tcPr>
                        <w:tcW w:w="575" w:type="dxa"/>
                        <w:tcBorders>
                          <w:top w:val="nil"/>
                          <w:left w:val="nil"/>
                          <w:bottom w:val="nil"/>
                        </w:tcBorders>
                      </w:tcPr>
                      <w:p>
                        <w:pPr>
                          <w:pStyle w:val="TableParagraph"/>
                          <w:spacing w:before="21"/>
                          <w:ind w:right="58"/>
                          <w:jc w:val="right"/>
                          <w:rPr>
                            <w:sz w:val="14"/>
                          </w:rPr>
                        </w:pPr>
                        <w:r>
                          <w:rPr>
                            <w:w w:val="100"/>
                            <w:sz w:val="14"/>
                          </w:rPr>
                          <w:t>-</w:t>
                        </w:r>
                      </w:p>
                    </w:tc>
                  </w:tr>
                  <w:tr>
                    <w:trPr>
                      <w:trHeight w:val="219" w:hRule="exact"/>
                    </w:trPr>
                    <w:tc>
                      <w:tcPr>
                        <w:tcW w:w="772" w:type="dxa"/>
                        <w:tcBorders>
                          <w:top w:val="nil"/>
                        </w:tcBorders>
                      </w:tcPr>
                      <w:p>
                        <w:pPr>
                          <w:pStyle w:val="TableParagraph"/>
                          <w:spacing w:before="21"/>
                          <w:ind w:right="67"/>
                          <w:jc w:val="right"/>
                          <w:rPr>
                            <w:sz w:val="14"/>
                          </w:rPr>
                        </w:pPr>
                        <w:r>
                          <w:rPr>
                            <w:sz w:val="14"/>
                          </w:rPr>
                          <w:t>3,913</w:t>
                        </w:r>
                      </w:p>
                    </w:tc>
                    <w:tc>
                      <w:tcPr>
                        <w:tcW w:w="1196" w:type="dxa"/>
                        <w:tcBorders>
                          <w:top w:val="nil"/>
                          <w:right w:val="nil"/>
                        </w:tcBorders>
                      </w:tcPr>
                      <w:p>
                        <w:pPr>
                          <w:pStyle w:val="TableParagraph"/>
                          <w:tabs>
                            <w:tab w:pos="566" w:val="left" w:leader="none"/>
                          </w:tabs>
                          <w:spacing w:before="21"/>
                          <w:ind w:right="84"/>
                          <w:jc w:val="right"/>
                          <w:rPr>
                            <w:sz w:val="14"/>
                          </w:rPr>
                        </w:pPr>
                        <w:r>
                          <w:rPr>
                            <w:sz w:val="14"/>
                          </w:rPr>
                          <w:t>-</w:t>
                          <w:tab/>
                          <w:t>-</w:t>
                        </w:r>
                      </w:p>
                    </w:tc>
                    <w:tc>
                      <w:tcPr>
                        <w:tcW w:w="601" w:type="dxa"/>
                        <w:tcBorders>
                          <w:top w:val="nil"/>
                          <w:left w:val="nil"/>
                          <w:right w:val="nil"/>
                        </w:tcBorders>
                      </w:tcPr>
                      <w:p>
                        <w:pPr>
                          <w:pStyle w:val="TableParagraph"/>
                          <w:spacing w:before="21"/>
                          <w:ind w:right="73"/>
                          <w:jc w:val="right"/>
                          <w:rPr>
                            <w:sz w:val="14"/>
                          </w:rPr>
                        </w:pPr>
                        <w:r>
                          <w:rPr>
                            <w:w w:val="100"/>
                            <w:sz w:val="14"/>
                          </w:rPr>
                          <w:t>-</w:t>
                        </w:r>
                      </w:p>
                    </w:tc>
                    <w:tc>
                      <w:tcPr>
                        <w:tcW w:w="561" w:type="dxa"/>
                        <w:tcBorders>
                          <w:top w:val="nil"/>
                          <w:left w:val="nil"/>
                        </w:tcBorders>
                      </w:tcPr>
                      <w:p>
                        <w:pPr>
                          <w:pStyle w:val="TableParagraph"/>
                          <w:spacing w:before="21"/>
                          <w:ind w:right="66"/>
                          <w:jc w:val="right"/>
                          <w:rPr>
                            <w:sz w:val="14"/>
                          </w:rPr>
                        </w:pPr>
                        <w:r>
                          <w:rPr>
                            <w:w w:val="100"/>
                            <w:sz w:val="14"/>
                          </w:rPr>
                          <w:t>-</w:t>
                        </w:r>
                      </w:p>
                    </w:tc>
                    <w:tc>
                      <w:tcPr>
                        <w:tcW w:w="1798" w:type="dxa"/>
                        <w:tcBorders>
                          <w:top w:val="nil"/>
                          <w:right w:val="nil"/>
                        </w:tcBorders>
                      </w:tcPr>
                      <w:p>
                        <w:pPr>
                          <w:pStyle w:val="TableParagraph"/>
                          <w:tabs>
                            <w:tab w:pos="566" w:val="left" w:leader="none"/>
                            <w:tab w:pos="1179" w:val="left" w:leader="none"/>
                          </w:tabs>
                          <w:spacing w:before="21"/>
                          <w:ind w:right="73"/>
                          <w:jc w:val="right"/>
                          <w:rPr>
                            <w:sz w:val="14"/>
                          </w:rPr>
                        </w:pPr>
                        <w:r>
                          <w:rPr>
                            <w:sz w:val="14"/>
                          </w:rPr>
                          <w:t>-</w:t>
                          <w:tab/>
                          <w:t>-</w:t>
                          <w:tab/>
                          <w:t>-</w:t>
                        </w:r>
                      </w:p>
                    </w:tc>
                    <w:tc>
                      <w:tcPr>
                        <w:tcW w:w="560" w:type="dxa"/>
                        <w:tcBorders>
                          <w:top w:val="nil"/>
                          <w:left w:val="nil"/>
                        </w:tcBorders>
                      </w:tcPr>
                      <w:p>
                        <w:pPr>
                          <w:pStyle w:val="TableParagraph"/>
                          <w:spacing w:before="21"/>
                          <w:ind w:right="66"/>
                          <w:jc w:val="right"/>
                          <w:rPr>
                            <w:sz w:val="14"/>
                          </w:rPr>
                        </w:pPr>
                        <w:r>
                          <w:rPr>
                            <w:w w:val="100"/>
                            <w:sz w:val="14"/>
                          </w:rPr>
                          <w:t>-</w:t>
                        </w:r>
                      </w:p>
                    </w:tc>
                    <w:tc>
                      <w:tcPr>
                        <w:tcW w:w="1197" w:type="dxa"/>
                        <w:tcBorders>
                          <w:top w:val="nil"/>
                          <w:right w:val="nil"/>
                        </w:tcBorders>
                      </w:tcPr>
                      <w:p>
                        <w:pPr>
                          <w:pStyle w:val="TableParagraph"/>
                          <w:tabs>
                            <w:tab w:pos="567" w:val="left" w:leader="none"/>
                          </w:tabs>
                          <w:spacing w:before="21"/>
                          <w:ind w:right="84"/>
                          <w:jc w:val="right"/>
                          <w:rPr>
                            <w:sz w:val="14"/>
                          </w:rPr>
                        </w:pPr>
                        <w:r>
                          <w:rPr>
                            <w:sz w:val="14"/>
                          </w:rPr>
                          <w:t>-</w:t>
                          <w:tab/>
                          <w:t>-</w:t>
                        </w:r>
                      </w:p>
                    </w:tc>
                    <w:tc>
                      <w:tcPr>
                        <w:tcW w:w="474" w:type="dxa"/>
                        <w:tcBorders>
                          <w:top w:val="nil"/>
                          <w:left w:val="nil"/>
                          <w:right w:val="nil"/>
                        </w:tcBorders>
                      </w:tcPr>
                      <w:p>
                        <w:pPr/>
                      </w:p>
                    </w:tc>
                    <w:tc>
                      <w:tcPr>
                        <w:tcW w:w="104" w:type="dxa"/>
                        <w:tcBorders>
                          <w:top w:val="nil"/>
                          <w:left w:val="nil"/>
                          <w:right w:val="nil"/>
                        </w:tcBorders>
                      </w:tcPr>
                      <w:p>
                        <w:pPr>
                          <w:pStyle w:val="TableParagraph"/>
                          <w:spacing w:before="21"/>
                          <w:ind w:right="44"/>
                          <w:jc w:val="center"/>
                          <w:rPr>
                            <w:sz w:val="14"/>
                          </w:rPr>
                        </w:pPr>
                        <w:r>
                          <w:rPr>
                            <w:w w:val="100"/>
                            <w:sz w:val="14"/>
                          </w:rPr>
                          <w:t>-</w:t>
                        </w:r>
                      </w:p>
                    </w:tc>
                    <w:tc>
                      <w:tcPr>
                        <w:tcW w:w="575" w:type="dxa"/>
                        <w:tcBorders>
                          <w:top w:val="nil"/>
                          <w:left w:val="nil"/>
                        </w:tcBorders>
                      </w:tcPr>
                      <w:p>
                        <w:pPr>
                          <w:pStyle w:val="TableParagraph"/>
                          <w:spacing w:before="21"/>
                          <w:ind w:right="58"/>
                          <w:jc w:val="right"/>
                          <w:rPr>
                            <w:sz w:val="14"/>
                          </w:rPr>
                        </w:pPr>
                        <w:r>
                          <w:rPr>
                            <w:w w:val="100"/>
                            <w:sz w:val="14"/>
                          </w:rPr>
                          <w:t>-</w:t>
                        </w:r>
                      </w:p>
                    </w:tc>
                  </w:tr>
                  <w:tr>
                    <w:trPr>
                      <w:trHeight w:val="293" w:hRule="exact"/>
                    </w:trPr>
                    <w:tc>
                      <w:tcPr>
                        <w:tcW w:w="772" w:type="dxa"/>
                      </w:tcPr>
                      <w:p>
                        <w:pPr/>
                      </w:p>
                    </w:tc>
                    <w:tc>
                      <w:tcPr>
                        <w:tcW w:w="1196" w:type="dxa"/>
                        <w:tcBorders>
                          <w:right w:val="nil"/>
                        </w:tcBorders>
                      </w:tcPr>
                      <w:p>
                        <w:pPr>
                          <w:pStyle w:val="TableParagraph"/>
                          <w:tabs>
                            <w:tab w:pos="566" w:val="left" w:leader="none"/>
                          </w:tabs>
                          <w:spacing w:before="123"/>
                          <w:ind w:right="84"/>
                          <w:jc w:val="right"/>
                          <w:rPr>
                            <w:b/>
                            <w:sz w:val="14"/>
                          </w:rPr>
                        </w:pPr>
                        <w:r>
                          <w:rPr>
                            <w:b/>
                            <w:sz w:val="14"/>
                          </w:rPr>
                          <w:t>139</w:t>
                          <w:tab/>
                          <w:t>139</w:t>
                        </w:r>
                      </w:p>
                    </w:tc>
                    <w:tc>
                      <w:tcPr>
                        <w:tcW w:w="601" w:type="dxa"/>
                        <w:tcBorders>
                          <w:left w:val="nil"/>
                          <w:right w:val="nil"/>
                        </w:tcBorders>
                      </w:tcPr>
                      <w:p>
                        <w:pPr>
                          <w:pStyle w:val="TableParagraph"/>
                          <w:spacing w:before="123"/>
                          <w:ind w:right="26"/>
                          <w:jc w:val="right"/>
                          <w:rPr>
                            <w:b/>
                            <w:sz w:val="14"/>
                          </w:rPr>
                        </w:pPr>
                        <w:r>
                          <w:rPr>
                            <w:b/>
                            <w:sz w:val="14"/>
                          </w:rPr>
                          <w:t>(139)</w:t>
                        </w:r>
                      </w:p>
                    </w:tc>
                    <w:tc>
                      <w:tcPr>
                        <w:tcW w:w="561" w:type="dxa"/>
                        <w:tcBorders>
                          <w:left w:val="nil"/>
                        </w:tcBorders>
                      </w:tcPr>
                      <w:p>
                        <w:pPr>
                          <w:pStyle w:val="TableParagraph"/>
                          <w:spacing w:before="123"/>
                          <w:ind w:right="19"/>
                          <w:jc w:val="right"/>
                          <w:rPr>
                            <w:b/>
                            <w:sz w:val="14"/>
                          </w:rPr>
                        </w:pPr>
                        <w:r>
                          <w:rPr>
                            <w:b/>
                            <w:sz w:val="14"/>
                          </w:rPr>
                          <w:t>(139)</w:t>
                        </w:r>
                      </w:p>
                    </w:tc>
                    <w:tc>
                      <w:tcPr>
                        <w:tcW w:w="1798" w:type="dxa"/>
                        <w:tcBorders>
                          <w:right w:val="nil"/>
                        </w:tcBorders>
                      </w:tcPr>
                      <w:p>
                        <w:pPr>
                          <w:pStyle w:val="TableParagraph"/>
                          <w:tabs>
                            <w:tab w:pos="566" w:val="left" w:leader="none"/>
                            <w:tab w:pos="1132" w:val="left" w:leader="none"/>
                          </w:tabs>
                          <w:spacing w:before="123"/>
                          <w:ind w:right="26"/>
                          <w:jc w:val="right"/>
                          <w:rPr>
                            <w:b/>
                            <w:sz w:val="14"/>
                          </w:rPr>
                        </w:pPr>
                        <w:r>
                          <w:rPr>
                            <w:b/>
                            <w:sz w:val="14"/>
                          </w:rPr>
                          <w:t>31</w:t>
                          <w:tab/>
                          <w:t>31</w:t>
                          <w:tab/>
                        </w:r>
                        <w:r>
                          <w:rPr>
                            <w:b/>
                            <w:spacing w:val="-1"/>
                            <w:sz w:val="14"/>
                          </w:rPr>
                          <w:t>(31)</w:t>
                        </w:r>
                      </w:p>
                    </w:tc>
                    <w:tc>
                      <w:tcPr>
                        <w:tcW w:w="560" w:type="dxa"/>
                        <w:tcBorders>
                          <w:left w:val="nil"/>
                        </w:tcBorders>
                      </w:tcPr>
                      <w:p>
                        <w:pPr>
                          <w:pStyle w:val="TableParagraph"/>
                          <w:spacing w:before="123"/>
                          <w:ind w:right="19"/>
                          <w:jc w:val="right"/>
                          <w:rPr>
                            <w:b/>
                            <w:sz w:val="14"/>
                          </w:rPr>
                        </w:pPr>
                        <w:r>
                          <w:rPr>
                            <w:b/>
                            <w:sz w:val="14"/>
                          </w:rPr>
                          <w:t>(31)</w:t>
                        </w:r>
                      </w:p>
                    </w:tc>
                    <w:tc>
                      <w:tcPr>
                        <w:tcW w:w="1197" w:type="dxa"/>
                        <w:tcBorders>
                          <w:right w:val="nil"/>
                        </w:tcBorders>
                      </w:tcPr>
                      <w:p>
                        <w:pPr>
                          <w:pStyle w:val="TableParagraph"/>
                          <w:tabs>
                            <w:tab w:pos="567" w:val="left" w:leader="none"/>
                          </w:tabs>
                          <w:spacing w:before="123"/>
                          <w:ind w:right="84"/>
                          <w:jc w:val="right"/>
                          <w:rPr>
                            <w:b/>
                            <w:sz w:val="14"/>
                          </w:rPr>
                        </w:pPr>
                        <w:r>
                          <w:rPr>
                            <w:b/>
                            <w:sz w:val="14"/>
                          </w:rPr>
                          <w:t>-</w:t>
                          <w:tab/>
                          <w:t>-</w:t>
                        </w:r>
                      </w:p>
                    </w:tc>
                    <w:tc>
                      <w:tcPr>
                        <w:tcW w:w="474" w:type="dxa"/>
                        <w:tcBorders>
                          <w:left w:val="nil"/>
                          <w:right w:val="nil"/>
                        </w:tcBorders>
                      </w:tcPr>
                      <w:p>
                        <w:pPr/>
                      </w:p>
                    </w:tc>
                    <w:tc>
                      <w:tcPr>
                        <w:tcW w:w="104" w:type="dxa"/>
                        <w:tcBorders>
                          <w:left w:val="nil"/>
                          <w:right w:val="nil"/>
                        </w:tcBorders>
                      </w:tcPr>
                      <w:p>
                        <w:pPr>
                          <w:pStyle w:val="TableParagraph"/>
                          <w:spacing w:before="123"/>
                          <w:ind w:right="44"/>
                          <w:jc w:val="center"/>
                          <w:rPr>
                            <w:b/>
                            <w:sz w:val="14"/>
                          </w:rPr>
                        </w:pPr>
                        <w:r>
                          <w:rPr>
                            <w:b/>
                            <w:w w:val="100"/>
                            <w:sz w:val="14"/>
                          </w:rPr>
                          <w:t>-</w:t>
                        </w:r>
                      </w:p>
                    </w:tc>
                    <w:tc>
                      <w:tcPr>
                        <w:tcW w:w="575" w:type="dxa"/>
                        <w:tcBorders>
                          <w:left w:val="nil"/>
                        </w:tcBorders>
                      </w:tcPr>
                      <w:p>
                        <w:pPr>
                          <w:pStyle w:val="TableParagraph"/>
                          <w:spacing w:before="123"/>
                          <w:ind w:right="58"/>
                          <w:jc w:val="right"/>
                          <w:rPr>
                            <w:b/>
                            <w:sz w:val="14"/>
                          </w:rPr>
                        </w:pPr>
                        <w:r>
                          <w:rPr>
                            <w:b/>
                            <w:w w:val="100"/>
                            <w:sz w:val="14"/>
                          </w:rPr>
                          <w:t>-</w:t>
                        </w:r>
                      </w:p>
                    </w:tc>
                  </w:tr>
                  <w:tr>
                    <w:trPr>
                      <w:trHeight w:val="238" w:hRule="exact"/>
                    </w:trPr>
                    <w:tc>
                      <w:tcPr>
                        <w:tcW w:w="772" w:type="dxa"/>
                      </w:tcPr>
                      <w:p>
                        <w:pPr/>
                      </w:p>
                    </w:tc>
                    <w:tc>
                      <w:tcPr>
                        <w:tcW w:w="1196" w:type="dxa"/>
                        <w:tcBorders>
                          <w:right w:val="nil"/>
                        </w:tcBorders>
                      </w:tcPr>
                      <w:p>
                        <w:pPr>
                          <w:pStyle w:val="TableParagraph"/>
                          <w:tabs>
                            <w:tab w:pos="566" w:val="left" w:leader="none"/>
                          </w:tabs>
                          <w:spacing w:before="39"/>
                          <w:ind w:right="37"/>
                          <w:jc w:val="right"/>
                          <w:rPr>
                            <w:sz w:val="14"/>
                          </w:rPr>
                        </w:pPr>
                        <w:r>
                          <w:rPr>
                            <w:sz w:val="14"/>
                          </w:rPr>
                          <w:t>(49)</w:t>
                          <w:tab/>
                          <w:t>(49)</w:t>
                        </w:r>
                      </w:p>
                    </w:tc>
                    <w:tc>
                      <w:tcPr>
                        <w:tcW w:w="601" w:type="dxa"/>
                        <w:tcBorders>
                          <w:left w:val="nil"/>
                          <w:right w:val="nil"/>
                        </w:tcBorders>
                      </w:tcPr>
                      <w:p>
                        <w:pPr>
                          <w:pStyle w:val="TableParagraph"/>
                          <w:spacing w:before="39"/>
                          <w:ind w:right="73"/>
                          <w:jc w:val="right"/>
                          <w:rPr>
                            <w:sz w:val="14"/>
                          </w:rPr>
                        </w:pPr>
                        <w:r>
                          <w:rPr>
                            <w:sz w:val="14"/>
                          </w:rPr>
                          <w:t>49</w:t>
                        </w:r>
                      </w:p>
                    </w:tc>
                    <w:tc>
                      <w:tcPr>
                        <w:tcW w:w="561" w:type="dxa"/>
                        <w:tcBorders>
                          <w:left w:val="nil"/>
                        </w:tcBorders>
                      </w:tcPr>
                      <w:p>
                        <w:pPr>
                          <w:pStyle w:val="TableParagraph"/>
                          <w:spacing w:before="39"/>
                          <w:ind w:right="66"/>
                          <w:jc w:val="right"/>
                          <w:rPr>
                            <w:sz w:val="14"/>
                          </w:rPr>
                        </w:pPr>
                        <w:r>
                          <w:rPr>
                            <w:sz w:val="14"/>
                          </w:rPr>
                          <w:t>49</w:t>
                        </w:r>
                      </w:p>
                    </w:tc>
                    <w:tc>
                      <w:tcPr>
                        <w:tcW w:w="1798" w:type="dxa"/>
                        <w:tcBorders>
                          <w:right w:val="nil"/>
                        </w:tcBorders>
                      </w:tcPr>
                      <w:p>
                        <w:pPr>
                          <w:pStyle w:val="TableParagraph"/>
                          <w:tabs>
                            <w:tab w:pos="566" w:val="left" w:leader="none"/>
                            <w:tab w:pos="1132" w:val="left" w:leader="none"/>
                          </w:tabs>
                          <w:spacing w:before="39"/>
                          <w:ind w:right="26"/>
                          <w:jc w:val="right"/>
                          <w:rPr>
                            <w:sz w:val="14"/>
                          </w:rPr>
                        </w:pPr>
                        <w:r>
                          <w:rPr>
                            <w:sz w:val="14"/>
                          </w:rPr>
                          <w:t>31</w:t>
                          <w:tab/>
                          <w:t>31</w:t>
                          <w:tab/>
                          <w:t>(31)</w:t>
                        </w:r>
                      </w:p>
                    </w:tc>
                    <w:tc>
                      <w:tcPr>
                        <w:tcW w:w="560" w:type="dxa"/>
                        <w:tcBorders>
                          <w:left w:val="nil"/>
                        </w:tcBorders>
                      </w:tcPr>
                      <w:p>
                        <w:pPr>
                          <w:pStyle w:val="TableParagraph"/>
                          <w:spacing w:before="39"/>
                          <w:ind w:right="19"/>
                          <w:jc w:val="right"/>
                          <w:rPr>
                            <w:sz w:val="14"/>
                          </w:rPr>
                        </w:pPr>
                        <w:r>
                          <w:rPr>
                            <w:sz w:val="14"/>
                          </w:rPr>
                          <w:t>(31)</w:t>
                        </w:r>
                      </w:p>
                    </w:tc>
                    <w:tc>
                      <w:tcPr>
                        <w:tcW w:w="1197" w:type="dxa"/>
                        <w:tcBorders>
                          <w:right w:val="nil"/>
                        </w:tcBorders>
                      </w:tcPr>
                      <w:p>
                        <w:pPr>
                          <w:pStyle w:val="TableParagraph"/>
                          <w:tabs>
                            <w:tab w:pos="333" w:val="left" w:leader="none"/>
                          </w:tabs>
                          <w:spacing w:before="39"/>
                          <w:ind w:right="37"/>
                          <w:jc w:val="right"/>
                          <w:rPr>
                            <w:sz w:val="14"/>
                          </w:rPr>
                        </w:pPr>
                        <w:r>
                          <w:rPr>
                            <w:sz w:val="14"/>
                          </w:rPr>
                          <w:t>-</w:t>
                          <w:tab/>
                        </w:r>
                        <w:r>
                          <w:rPr>
                            <w:spacing w:val="-1"/>
                            <w:sz w:val="14"/>
                          </w:rPr>
                          <w:t>(352)</w:t>
                        </w:r>
                      </w:p>
                    </w:tc>
                    <w:tc>
                      <w:tcPr>
                        <w:tcW w:w="474" w:type="dxa"/>
                        <w:tcBorders>
                          <w:left w:val="nil"/>
                          <w:right w:val="nil"/>
                        </w:tcBorders>
                      </w:tcPr>
                      <w:p>
                        <w:pPr/>
                      </w:p>
                    </w:tc>
                    <w:tc>
                      <w:tcPr>
                        <w:tcW w:w="104" w:type="dxa"/>
                        <w:tcBorders>
                          <w:left w:val="nil"/>
                          <w:right w:val="nil"/>
                        </w:tcBorders>
                      </w:tcPr>
                      <w:p>
                        <w:pPr>
                          <w:pStyle w:val="TableParagraph"/>
                          <w:spacing w:before="39"/>
                          <w:ind w:right="44"/>
                          <w:jc w:val="center"/>
                          <w:rPr>
                            <w:sz w:val="14"/>
                          </w:rPr>
                        </w:pPr>
                        <w:r>
                          <w:rPr>
                            <w:w w:val="100"/>
                            <w:sz w:val="14"/>
                          </w:rPr>
                          <w:t>-</w:t>
                        </w:r>
                      </w:p>
                    </w:tc>
                    <w:tc>
                      <w:tcPr>
                        <w:tcW w:w="575" w:type="dxa"/>
                        <w:tcBorders>
                          <w:left w:val="nil"/>
                        </w:tcBorders>
                      </w:tcPr>
                      <w:p>
                        <w:pPr>
                          <w:pStyle w:val="TableParagraph"/>
                          <w:spacing w:before="39"/>
                          <w:ind w:right="57"/>
                          <w:jc w:val="right"/>
                          <w:rPr>
                            <w:sz w:val="14"/>
                          </w:rPr>
                        </w:pPr>
                        <w:r>
                          <w:rPr>
                            <w:sz w:val="14"/>
                          </w:rPr>
                          <w:t>352</w:t>
                        </w:r>
                      </w:p>
                    </w:tc>
                  </w:tr>
                </w:tbl>
                <w:p>
                  <w:pPr>
                    <w:pStyle w:val="BodyText"/>
                  </w:pPr>
                </w:p>
              </w:txbxContent>
            </v:textbox>
            <w10:wrap type="none"/>
          </v:shape>
        </w:pict>
      </w:r>
      <w:r>
        <w:rPr/>
        <w:t>The following table summarises the sensitivity of the Group's financial assets and financial liabilities to interest rate risk, foreign exchange risk and other price risk.</w:t>
      </w:r>
    </w:p>
    <w:p>
      <w:pPr>
        <w:pStyle w:val="BodyText"/>
      </w:pPr>
    </w:p>
    <w:p>
      <w:pPr>
        <w:spacing w:before="119"/>
        <w:ind w:left="708" w:right="429" w:firstLine="0"/>
        <w:jc w:val="left"/>
        <w:rPr>
          <w:b/>
          <w:sz w:val="14"/>
        </w:rPr>
      </w:pPr>
      <w:r>
        <w:rPr>
          <w:b/>
          <w:sz w:val="14"/>
        </w:rPr>
        <w:t>31 December 2012</w:t>
      </w:r>
    </w:p>
    <w:p>
      <w:pPr>
        <w:pStyle w:val="BodyText"/>
        <w:rPr>
          <w:b/>
          <w:sz w:val="20"/>
        </w:rPr>
      </w:pPr>
    </w:p>
    <w:p>
      <w:pPr>
        <w:pStyle w:val="BodyText"/>
        <w:rPr>
          <w:b/>
          <w:sz w:val="20"/>
        </w:rPr>
      </w:pPr>
    </w:p>
    <w:p>
      <w:pPr>
        <w:pStyle w:val="BodyText"/>
        <w:rPr>
          <w:b/>
          <w:sz w:val="20"/>
        </w:rPr>
      </w:pPr>
    </w:p>
    <w:p>
      <w:pPr>
        <w:pStyle w:val="BodyText"/>
        <w:spacing w:before="9"/>
        <w:rPr>
          <w:b/>
          <w:sz w:val="17"/>
        </w:rPr>
      </w:pPr>
    </w:p>
    <w:p>
      <w:pPr>
        <w:spacing w:before="0"/>
        <w:ind w:left="708" w:right="429" w:firstLine="0"/>
        <w:jc w:val="left"/>
        <w:rPr>
          <w:b/>
          <w:sz w:val="14"/>
        </w:rPr>
      </w:pPr>
      <w:r>
        <w:rPr>
          <w:b/>
          <w:sz w:val="14"/>
        </w:rPr>
        <w:t>Financial assets</w:t>
      </w:r>
    </w:p>
    <w:p>
      <w:pPr>
        <w:spacing w:before="27"/>
        <w:ind w:left="708" w:right="7988" w:firstLine="0"/>
        <w:jc w:val="left"/>
        <w:rPr>
          <w:sz w:val="14"/>
        </w:rPr>
      </w:pPr>
      <w:r>
        <w:rPr>
          <w:sz w:val="14"/>
        </w:rPr>
        <w:t>Cash and Cash Equivalents - at bank</w:t>
      </w:r>
    </w:p>
    <w:p>
      <w:pPr>
        <w:spacing w:before="57"/>
        <w:ind w:left="707" w:right="429" w:firstLine="0"/>
        <w:jc w:val="left"/>
        <w:rPr>
          <w:rFonts w:ascii="Microsoft Sans Serif"/>
          <w:sz w:val="14"/>
        </w:rPr>
      </w:pPr>
      <w:r>
        <w:rPr>
          <w:sz w:val="14"/>
        </w:rPr>
        <w:t>Receivables</w:t>
      </w:r>
      <w:r>
        <w:rPr>
          <w:rFonts w:ascii="Microsoft Sans Serif"/>
          <w:w w:val="100"/>
          <w:sz w:val="14"/>
        </w:rPr>
        <w:t> </w:t>
      </w:r>
    </w:p>
    <w:p>
      <w:pPr>
        <w:spacing w:before="57"/>
        <w:ind w:left="708" w:right="429" w:firstLine="0"/>
        <w:jc w:val="left"/>
        <w:rPr>
          <w:sz w:val="14"/>
        </w:rPr>
      </w:pPr>
      <w:r>
        <w:rPr>
          <w:sz w:val="14"/>
        </w:rPr>
        <w:t>Other financial assets</w:t>
      </w:r>
    </w:p>
    <w:p>
      <w:pPr>
        <w:pStyle w:val="BodyText"/>
        <w:spacing w:before="9"/>
        <w:rPr>
          <w:sz w:val="13"/>
        </w:rPr>
      </w:pPr>
    </w:p>
    <w:p>
      <w:pPr>
        <w:spacing w:before="1"/>
        <w:ind w:left="708" w:right="429" w:firstLine="0"/>
        <w:jc w:val="left"/>
        <w:rPr>
          <w:b/>
          <w:sz w:val="14"/>
        </w:rPr>
      </w:pPr>
      <w:r>
        <w:rPr>
          <w:b/>
          <w:sz w:val="14"/>
        </w:rPr>
        <w:t>Sub Total</w:t>
      </w:r>
    </w:p>
    <w:p>
      <w:pPr>
        <w:pStyle w:val="BodyText"/>
        <w:spacing w:before="5"/>
        <w:rPr>
          <w:b/>
          <w:sz w:val="11"/>
        </w:rPr>
      </w:pPr>
    </w:p>
    <w:p>
      <w:pPr>
        <w:spacing w:line="304" w:lineRule="auto" w:before="0"/>
        <w:ind w:left="708" w:right="8211" w:firstLine="0"/>
        <w:jc w:val="left"/>
        <w:rPr>
          <w:sz w:val="14"/>
        </w:rPr>
      </w:pPr>
      <w:r>
        <w:rPr>
          <w:b/>
          <w:sz w:val="14"/>
        </w:rPr>
        <w:t>Financial liabilities </w:t>
      </w:r>
      <w:r>
        <w:rPr>
          <w:sz w:val="14"/>
        </w:rPr>
        <w:t>Trade and other payables Borrowings</w:t>
      </w:r>
    </w:p>
    <w:p>
      <w:pPr>
        <w:spacing w:before="15"/>
        <w:ind w:left="708" w:right="429" w:firstLine="0"/>
        <w:jc w:val="left"/>
        <w:rPr>
          <w:sz w:val="14"/>
        </w:rPr>
      </w:pPr>
      <w:r>
        <w:rPr>
          <w:sz w:val="14"/>
        </w:rPr>
        <w:t>Other</w:t>
      </w:r>
    </w:p>
    <w:p>
      <w:pPr>
        <w:pStyle w:val="BodyText"/>
        <w:spacing w:before="9"/>
        <w:rPr>
          <w:sz w:val="13"/>
        </w:rPr>
      </w:pPr>
    </w:p>
    <w:p>
      <w:pPr>
        <w:spacing w:before="1"/>
        <w:ind w:left="708" w:right="429" w:firstLine="0"/>
        <w:jc w:val="left"/>
        <w:rPr>
          <w:b/>
          <w:sz w:val="14"/>
        </w:rPr>
      </w:pPr>
      <w:r>
        <w:rPr>
          <w:b/>
          <w:sz w:val="14"/>
        </w:rPr>
        <w:t>Sub Total</w:t>
      </w:r>
    </w:p>
    <w:p>
      <w:pPr>
        <w:pStyle w:val="BodyText"/>
        <w:rPr>
          <w:b/>
          <w:sz w:val="20"/>
        </w:rPr>
      </w:pPr>
    </w:p>
    <w:p>
      <w:pPr>
        <w:pStyle w:val="BodyText"/>
        <w:rPr>
          <w:b/>
          <w:sz w:val="20"/>
        </w:rPr>
      </w:pPr>
    </w:p>
    <w:p>
      <w:pPr>
        <w:pStyle w:val="BodyText"/>
        <w:spacing w:before="11"/>
        <w:rPr>
          <w:b/>
          <w:sz w:val="23"/>
        </w:rPr>
      </w:pPr>
    </w:p>
    <w:p>
      <w:pPr>
        <w:spacing w:before="82"/>
        <w:ind w:left="708" w:right="429" w:firstLine="0"/>
        <w:jc w:val="left"/>
        <w:rPr>
          <w:b/>
          <w:sz w:val="14"/>
        </w:rPr>
      </w:pPr>
      <w:r>
        <w:rPr/>
        <w:pict>
          <v:shape style="position:absolute;margin-left:173.880005pt;margin-top:-11.833771pt;width:391.95pt;height:209.25pt;mso-position-horizontal-relative:page;mso-position-vertical-relative:paragraph;z-index:3592" type="#_x0000_t202" filled="false" stroked="false">
            <v:textbox inset="0,0,0,0">
              <w:txbxContent>
                <w:tbl>
                  <w:tblPr>
                    <w:tblW w:w="0" w:type="auto"/>
                    <w:jc w:val="left"/>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0" w:type="dxa"/>
                      <w:bottom w:w="0" w:type="dxa"/>
                      <w:right w:w="0" w:type="dxa"/>
                    </w:tblCellMar>
                    <w:tblLook w:val="01E0"/>
                  </w:tblPr>
                  <w:tblGrid>
                    <w:gridCol w:w="772"/>
                    <w:gridCol w:w="1196"/>
                    <w:gridCol w:w="601"/>
                    <w:gridCol w:w="561"/>
                    <w:gridCol w:w="1798"/>
                    <w:gridCol w:w="560"/>
                    <w:gridCol w:w="1197"/>
                    <w:gridCol w:w="577"/>
                    <w:gridCol w:w="575"/>
                  </w:tblGrid>
                  <w:tr>
                    <w:trPr>
                      <w:trHeight w:val="543" w:hRule="exact"/>
                    </w:trPr>
                    <w:tc>
                      <w:tcPr>
                        <w:tcW w:w="772" w:type="dxa"/>
                        <w:tcBorders>
                          <w:bottom w:val="nil"/>
                        </w:tcBorders>
                      </w:tcPr>
                      <w:p>
                        <w:pPr/>
                      </w:p>
                    </w:tc>
                    <w:tc>
                      <w:tcPr>
                        <w:tcW w:w="1196" w:type="dxa"/>
                        <w:tcBorders>
                          <w:bottom w:val="nil"/>
                          <w:right w:val="nil"/>
                        </w:tcBorders>
                      </w:tcPr>
                      <w:p>
                        <w:pPr>
                          <w:pStyle w:val="TableParagraph"/>
                          <w:rPr>
                            <w:b/>
                            <w:sz w:val="14"/>
                          </w:rPr>
                        </w:pPr>
                      </w:p>
                      <w:p>
                        <w:pPr>
                          <w:pStyle w:val="TableParagraph"/>
                          <w:spacing w:before="7"/>
                          <w:rPr>
                            <w:b/>
                            <w:sz w:val="13"/>
                          </w:rPr>
                        </w:pPr>
                      </w:p>
                      <w:p>
                        <w:pPr>
                          <w:pStyle w:val="TableParagraph"/>
                          <w:ind w:left="56"/>
                          <w:rPr>
                            <w:b/>
                            <w:sz w:val="14"/>
                          </w:rPr>
                        </w:pPr>
                        <w:r>
                          <w:rPr>
                            <w:b/>
                            <w:sz w:val="14"/>
                          </w:rPr>
                          <w:t>Interest rate risk</w:t>
                        </w:r>
                      </w:p>
                    </w:tc>
                    <w:tc>
                      <w:tcPr>
                        <w:tcW w:w="601" w:type="dxa"/>
                        <w:tcBorders>
                          <w:left w:val="nil"/>
                          <w:bottom w:val="nil"/>
                          <w:right w:val="nil"/>
                        </w:tcBorders>
                      </w:tcPr>
                      <w:p>
                        <w:pPr/>
                      </w:p>
                    </w:tc>
                    <w:tc>
                      <w:tcPr>
                        <w:tcW w:w="561" w:type="dxa"/>
                        <w:tcBorders>
                          <w:left w:val="nil"/>
                          <w:bottom w:val="nil"/>
                        </w:tcBorders>
                      </w:tcPr>
                      <w:p>
                        <w:pPr/>
                      </w:p>
                    </w:tc>
                    <w:tc>
                      <w:tcPr>
                        <w:tcW w:w="1798" w:type="dxa"/>
                        <w:tcBorders>
                          <w:bottom w:val="nil"/>
                          <w:right w:val="nil"/>
                        </w:tcBorders>
                      </w:tcPr>
                      <w:p>
                        <w:pPr>
                          <w:pStyle w:val="TableParagraph"/>
                          <w:rPr>
                            <w:b/>
                            <w:sz w:val="14"/>
                          </w:rPr>
                        </w:pPr>
                      </w:p>
                      <w:p>
                        <w:pPr>
                          <w:pStyle w:val="TableParagraph"/>
                          <w:spacing w:before="7"/>
                          <w:rPr>
                            <w:b/>
                            <w:sz w:val="13"/>
                          </w:rPr>
                        </w:pPr>
                      </w:p>
                      <w:p>
                        <w:pPr>
                          <w:pStyle w:val="TableParagraph"/>
                          <w:ind w:left="56"/>
                          <w:rPr>
                            <w:b/>
                            <w:sz w:val="14"/>
                          </w:rPr>
                        </w:pPr>
                        <w:r>
                          <w:rPr>
                            <w:b/>
                            <w:sz w:val="14"/>
                          </w:rPr>
                          <w:t>Foreign exchange risk</w:t>
                        </w:r>
                      </w:p>
                    </w:tc>
                    <w:tc>
                      <w:tcPr>
                        <w:tcW w:w="560" w:type="dxa"/>
                        <w:tcBorders>
                          <w:left w:val="nil"/>
                          <w:bottom w:val="nil"/>
                        </w:tcBorders>
                      </w:tcPr>
                      <w:p>
                        <w:pPr/>
                      </w:p>
                    </w:tc>
                    <w:tc>
                      <w:tcPr>
                        <w:tcW w:w="1197" w:type="dxa"/>
                        <w:tcBorders>
                          <w:bottom w:val="nil"/>
                          <w:right w:val="nil"/>
                        </w:tcBorders>
                      </w:tcPr>
                      <w:p>
                        <w:pPr>
                          <w:pStyle w:val="TableParagraph"/>
                          <w:rPr>
                            <w:b/>
                            <w:sz w:val="14"/>
                          </w:rPr>
                        </w:pPr>
                      </w:p>
                      <w:p>
                        <w:pPr>
                          <w:pStyle w:val="TableParagraph"/>
                          <w:spacing w:before="7"/>
                          <w:rPr>
                            <w:b/>
                            <w:sz w:val="13"/>
                          </w:rPr>
                        </w:pPr>
                      </w:p>
                      <w:p>
                        <w:pPr>
                          <w:pStyle w:val="TableParagraph"/>
                          <w:ind w:left="56"/>
                          <w:rPr>
                            <w:b/>
                            <w:sz w:val="14"/>
                          </w:rPr>
                        </w:pPr>
                        <w:r>
                          <w:rPr>
                            <w:b/>
                            <w:sz w:val="14"/>
                          </w:rPr>
                          <w:t>Other price risk</w:t>
                        </w:r>
                      </w:p>
                    </w:tc>
                    <w:tc>
                      <w:tcPr>
                        <w:tcW w:w="577" w:type="dxa"/>
                        <w:tcBorders>
                          <w:left w:val="nil"/>
                          <w:bottom w:val="nil"/>
                          <w:right w:val="nil"/>
                        </w:tcBorders>
                      </w:tcPr>
                      <w:p>
                        <w:pPr/>
                      </w:p>
                    </w:tc>
                    <w:tc>
                      <w:tcPr>
                        <w:tcW w:w="575" w:type="dxa"/>
                        <w:tcBorders>
                          <w:left w:val="nil"/>
                          <w:bottom w:val="nil"/>
                        </w:tcBorders>
                      </w:tcPr>
                      <w:p>
                        <w:pPr/>
                      </w:p>
                    </w:tc>
                  </w:tr>
                  <w:tr>
                    <w:trPr>
                      <w:trHeight w:val="251" w:hRule="exact"/>
                    </w:trPr>
                    <w:tc>
                      <w:tcPr>
                        <w:tcW w:w="772" w:type="dxa"/>
                        <w:tcBorders>
                          <w:top w:val="nil"/>
                          <w:bottom w:val="nil"/>
                        </w:tcBorders>
                      </w:tcPr>
                      <w:p>
                        <w:pPr/>
                      </w:p>
                    </w:tc>
                    <w:tc>
                      <w:tcPr>
                        <w:tcW w:w="1196" w:type="dxa"/>
                        <w:tcBorders>
                          <w:top w:val="nil"/>
                          <w:bottom w:val="nil"/>
                          <w:right w:val="nil"/>
                        </w:tcBorders>
                      </w:tcPr>
                      <w:p>
                        <w:pPr>
                          <w:pStyle w:val="TableParagraph"/>
                          <w:spacing w:before="49"/>
                          <w:ind w:left="56"/>
                          <w:rPr>
                            <w:b/>
                            <w:sz w:val="14"/>
                          </w:rPr>
                        </w:pPr>
                        <w:r>
                          <w:rPr>
                            <w:b/>
                            <w:sz w:val="14"/>
                          </w:rPr>
                          <w:t>-0.25%</w:t>
                        </w:r>
                      </w:p>
                    </w:tc>
                    <w:tc>
                      <w:tcPr>
                        <w:tcW w:w="601" w:type="dxa"/>
                        <w:tcBorders>
                          <w:top w:val="nil"/>
                          <w:left w:val="nil"/>
                          <w:bottom w:val="nil"/>
                          <w:right w:val="nil"/>
                        </w:tcBorders>
                      </w:tcPr>
                      <w:p>
                        <w:pPr>
                          <w:pStyle w:val="TableParagraph"/>
                          <w:spacing w:before="49"/>
                          <w:ind w:left="39"/>
                          <w:rPr>
                            <w:b/>
                            <w:sz w:val="14"/>
                          </w:rPr>
                        </w:pPr>
                        <w:r>
                          <w:rPr>
                            <w:b/>
                            <w:sz w:val="14"/>
                          </w:rPr>
                          <w:t>+0.25%</w:t>
                        </w:r>
                      </w:p>
                    </w:tc>
                    <w:tc>
                      <w:tcPr>
                        <w:tcW w:w="561" w:type="dxa"/>
                        <w:tcBorders>
                          <w:top w:val="nil"/>
                          <w:left w:val="nil"/>
                          <w:bottom w:val="nil"/>
                        </w:tcBorders>
                      </w:tcPr>
                      <w:p>
                        <w:pPr/>
                      </w:p>
                    </w:tc>
                    <w:tc>
                      <w:tcPr>
                        <w:tcW w:w="1798" w:type="dxa"/>
                        <w:tcBorders>
                          <w:top w:val="nil"/>
                          <w:bottom w:val="nil"/>
                          <w:right w:val="nil"/>
                        </w:tcBorders>
                      </w:tcPr>
                      <w:p>
                        <w:pPr>
                          <w:pStyle w:val="TableParagraph"/>
                          <w:tabs>
                            <w:tab w:pos="1235" w:val="left" w:leader="none"/>
                          </w:tabs>
                          <w:spacing w:before="49"/>
                          <w:ind w:left="56"/>
                          <w:rPr>
                            <w:b/>
                            <w:sz w:val="14"/>
                          </w:rPr>
                        </w:pPr>
                        <w:r>
                          <w:rPr>
                            <w:b/>
                            <w:sz w:val="14"/>
                          </w:rPr>
                          <w:t>-10%</w:t>
                          <w:tab/>
                          <w:t>+10%</w:t>
                        </w:r>
                      </w:p>
                    </w:tc>
                    <w:tc>
                      <w:tcPr>
                        <w:tcW w:w="560" w:type="dxa"/>
                        <w:tcBorders>
                          <w:top w:val="nil"/>
                          <w:left w:val="nil"/>
                          <w:bottom w:val="nil"/>
                        </w:tcBorders>
                      </w:tcPr>
                      <w:p>
                        <w:pPr/>
                      </w:p>
                    </w:tc>
                    <w:tc>
                      <w:tcPr>
                        <w:tcW w:w="1197" w:type="dxa"/>
                        <w:tcBorders>
                          <w:top w:val="nil"/>
                          <w:bottom w:val="nil"/>
                          <w:right w:val="nil"/>
                        </w:tcBorders>
                      </w:tcPr>
                      <w:p>
                        <w:pPr>
                          <w:pStyle w:val="TableParagraph"/>
                          <w:spacing w:before="49"/>
                          <w:ind w:left="56"/>
                          <w:rPr>
                            <w:b/>
                            <w:sz w:val="14"/>
                          </w:rPr>
                        </w:pPr>
                        <w:r>
                          <w:rPr>
                            <w:b/>
                            <w:sz w:val="14"/>
                          </w:rPr>
                          <w:t>-10%</w:t>
                        </w:r>
                      </w:p>
                    </w:tc>
                    <w:tc>
                      <w:tcPr>
                        <w:tcW w:w="577" w:type="dxa"/>
                        <w:tcBorders>
                          <w:top w:val="nil"/>
                          <w:left w:val="nil"/>
                          <w:bottom w:val="nil"/>
                          <w:right w:val="nil"/>
                        </w:tcBorders>
                      </w:tcPr>
                      <w:p>
                        <w:pPr>
                          <w:pStyle w:val="TableParagraph"/>
                          <w:spacing w:before="49"/>
                          <w:ind w:left="39"/>
                          <w:rPr>
                            <w:b/>
                            <w:sz w:val="14"/>
                          </w:rPr>
                        </w:pPr>
                        <w:r>
                          <w:rPr>
                            <w:b/>
                            <w:sz w:val="14"/>
                          </w:rPr>
                          <w:t>+10%</w:t>
                        </w:r>
                      </w:p>
                    </w:tc>
                    <w:tc>
                      <w:tcPr>
                        <w:tcW w:w="575" w:type="dxa"/>
                        <w:tcBorders>
                          <w:top w:val="nil"/>
                          <w:left w:val="nil"/>
                          <w:bottom w:val="nil"/>
                        </w:tcBorders>
                      </w:tcPr>
                      <w:p>
                        <w:pPr/>
                      </w:p>
                    </w:tc>
                  </w:tr>
                  <w:tr>
                    <w:trPr>
                      <w:trHeight w:val="228" w:hRule="exact"/>
                    </w:trPr>
                    <w:tc>
                      <w:tcPr>
                        <w:tcW w:w="772" w:type="dxa"/>
                        <w:tcBorders>
                          <w:top w:val="nil"/>
                          <w:bottom w:val="nil"/>
                        </w:tcBorders>
                      </w:tcPr>
                      <w:p>
                        <w:pPr/>
                      </w:p>
                    </w:tc>
                    <w:tc>
                      <w:tcPr>
                        <w:tcW w:w="1196" w:type="dxa"/>
                        <w:tcBorders>
                          <w:top w:val="nil"/>
                          <w:bottom w:val="nil"/>
                          <w:right w:val="nil"/>
                        </w:tcBorders>
                      </w:tcPr>
                      <w:p>
                        <w:pPr>
                          <w:pStyle w:val="TableParagraph"/>
                          <w:spacing w:before="26"/>
                          <w:ind w:left="56"/>
                          <w:rPr>
                            <w:b/>
                            <w:sz w:val="14"/>
                          </w:rPr>
                        </w:pPr>
                        <w:r>
                          <w:rPr>
                            <w:b/>
                            <w:sz w:val="14"/>
                          </w:rPr>
                          <w:t>Result    Equity</w:t>
                        </w:r>
                      </w:p>
                    </w:tc>
                    <w:tc>
                      <w:tcPr>
                        <w:tcW w:w="601" w:type="dxa"/>
                        <w:tcBorders>
                          <w:top w:val="nil"/>
                          <w:left w:val="nil"/>
                          <w:bottom w:val="nil"/>
                          <w:right w:val="nil"/>
                        </w:tcBorders>
                      </w:tcPr>
                      <w:p>
                        <w:pPr>
                          <w:pStyle w:val="TableParagraph"/>
                          <w:spacing w:before="26"/>
                          <w:ind w:left="39"/>
                          <w:rPr>
                            <w:b/>
                            <w:sz w:val="14"/>
                          </w:rPr>
                        </w:pPr>
                        <w:r>
                          <w:rPr>
                            <w:b/>
                            <w:sz w:val="14"/>
                          </w:rPr>
                          <w:t>Result</w:t>
                        </w:r>
                      </w:p>
                    </w:tc>
                    <w:tc>
                      <w:tcPr>
                        <w:tcW w:w="561" w:type="dxa"/>
                        <w:tcBorders>
                          <w:top w:val="nil"/>
                          <w:left w:val="nil"/>
                          <w:bottom w:val="nil"/>
                        </w:tcBorders>
                      </w:tcPr>
                      <w:p>
                        <w:pPr>
                          <w:pStyle w:val="TableParagraph"/>
                          <w:spacing w:before="26"/>
                          <w:ind w:left="28"/>
                          <w:rPr>
                            <w:b/>
                            <w:sz w:val="14"/>
                          </w:rPr>
                        </w:pPr>
                        <w:r>
                          <w:rPr>
                            <w:b/>
                            <w:sz w:val="14"/>
                          </w:rPr>
                          <w:t>Equity</w:t>
                        </w:r>
                      </w:p>
                    </w:tc>
                    <w:tc>
                      <w:tcPr>
                        <w:tcW w:w="1798" w:type="dxa"/>
                        <w:tcBorders>
                          <w:top w:val="nil"/>
                          <w:bottom w:val="nil"/>
                          <w:right w:val="nil"/>
                        </w:tcBorders>
                      </w:tcPr>
                      <w:p>
                        <w:pPr>
                          <w:pStyle w:val="TableParagraph"/>
                          <w:spacing w:before="26"/>
                          <w:ind w:left="56"/>
                          <w:rPr>
                            <w:b/>
                            <w:sz w:val="14"/>
                          </w:rPr>
                        </w:pPr>
                        <w:r>
                          <w:rPr>
                            <w:b/>
                            <w:sz w:val="14"/>
                          </w:rPr>
                          <w:t>Result    Equity    Result</w:t>
                        </w:r>
                      </w:p>
                    </w:tc>
                    <w:tc>
                      <w:tcPr>
                        <w:tcW w:w="560" w:type="dxa"/>
                        <w:tcBorders>
                          <w:top w:val="nil"/>
                          <w:left w:val="nil"/>
                          <w:bottom w:val="nil"/>
                        </w:tcBorders>
                      </w:tcPr>
                      <w:p>
                        <w:pPr>
                          <w:pStyle w:val="TableParagraph"/>
                          <w:spacing w:before="26"/>
                          <w:ind w:left="28"/>
                          <w:rPr>
                            <w:b/>
                            <w:sz w:val="14"/>
                          </w:rPr>
                        </w:pPr>
                        <w:r>
                          <w:rPr>
                            <w:b/>
                            <w:sz w:val="14"/>
                          </w:rPr>
                          <w:t>Equity</w:t>
                        </w:r>
                      </w:p>
                    </w:tc>
                    <w:tc>
                      <w:tcPr>
                        <w:tcW w:w="1197" w:type="dxa"/>
                        <w:tcBorders>
                          <w:top w:val="nil"/>
                          <w:bottom w:val="nil"/>
                          <w:right w:val="nil"/>
                        </w:tcBorders>
                      </w:tcPr>
                      <w:p>
                        <w:pPr>
                          <w:pStyle w:val="TableParagraph"/>
                          <w:spacing w:before="26"/>
                          <w:ind w:left="56"/>
                          <w:rPr>
                            <w:b/>
                            <w:sz w:val="14"/>
                          </w:rPr>
                        </w:pPr>
                        <w:r>
                          <w:rPr>
                            <w:b/>
                            <w:sz w:val="14"/>
                          </w:rPr>
                          <w:t>Result    Equity</w:t>
                        </w:r>
                      </w:p>
                    </w:tc>
                    <w:tc>
                      <w:tcPr>
                        <w:tcW w:w="577" w:type="dxa"/>
                        <w:tcBorders>
                          <w:top w:val="nil"/>
                          <w:left w:val="nil"/>
                          <w:bottom w:val="nil"/>
                          <w:right w:val="nil"/>
                        </w:tcBorders>
                      </w:tcPr>
                      <w:p>
                        <w:pPr>
                          <w:pStyle w:val="TableParagraph"/>
                          <w:spacing w:before="26"/>
                          <w:ind w:left="39"/>
                          <w:rPr>
                            <w:b/>
                            <w:sz w:val="14"/>
                          </w:rPr>
                        </w:pPr>
                        <w:r>
                          <w:rPr>
                            <w:b/>
                            <w:sz w:val="14"/>
                          </w:rPr>
                          <w:t>Result</w:t>
                        </w:r>
                      </w:p>
                    </w:tc>
                    <w:tc>
                      <w:tcPr>
                        <w:tcW w:w="575" w:type="dxa"/>
                        <w:tcBorders>
                          <w:top w:val="nil"/>
                          <w:left w:val="nil"/>
                          <w:bottom w:val="nil"/>
                        </w:tcBorders>
                      </w:tcPr>
                      <w:p>
                        <w:pPr>
                          <w:pStyle w:val="TableParagraph"/>
                          <w:spacing w:before="26"/>
                          <w:ind w:left="51"/>
                          <w:rPr>
                            <w:b/>
                            <w:sz w:val="14"/>
                          </w:rPr>
                        </w:pPr>
                        <w:r>
                          <w:rPr>
                            <w:b/>
                            <w:sz w:val="14"/>
                          </w:rPr>
                          <w:t>Equity</w:t>
                        </w:r>
                      </w:p>
                    </w:tc>
                  </w:tr>
                  <w:tr>
                    <w:trPr>
                      <w:trHeight w:val="229" w:hRule="exact"/>
                    </w:trPr>
                    <w:tc>
                      <w:tcPr>
                        <w:tcW w:w="772" w:type="dxa"/>
                        <w:tcBorders>
                          <w:top w:val="nil"/>
                        </w:tcBorders>
                      </w:tcPr>
                      <w:p>
                        <w:pPr>
                          <w:pStyle w:val="TableParagraph"/>
                          <w:spacing w:before="26"/>
                          <w:ind w:left="56"/>
                          <w:rPr>
                            <w:b/>
                            <w:sz w:val="14"/>
                          </w:rPr>
                        </w:pPr>
                        <w:r>
                          <w:rPr>
                            <w:b/>
                            <w:sz w:val="14"/>
                          </w:rPr>
                          <w:t>2012</w:t>
                        </w:r>
                      </w:p>
                    </w:tc>
                    <w:tc>
                      <w:tcPr>
                        <w:tcW w:w="1196" w:type="dxa"/>
                        <w:tcBorders>
                          <w:top w:val="nil"/>
                          <w:right w:val="nil"/>
                        </w:tcBorders>
                      </w:tcPr>
                      <w:p>
                        <w:pPr>
                          <w:pStyle w:val="TableParagraph"/>
                          <w:tabs>
                            <w:tab w:pos="645" w:val="left" w:leader="none"/>
                          </w:tabs>
                          <w:spacing w:before="26"/>
                          <w:ind w:left="56"/>
                          <w:rPr>
                            <w:b/>
                            <w:sz w:val="14"/>
                          </w:rPr>
                        </w:pPr>
                        <w:r>
                          <w:rPr>
                            <w:b/>
                            <w:sz w:val="14"/>
                          </w:rPr>
                          <w:t>$'000</w:t>
                          <w:tab/>
                          <w:t>$'000</w:t>
                        </w:r>
                      </w:p>
                    </w:tc>
                    <w:tc>
                      <w:tcPr>
                        <w:tcW w:w="601" w:type="dxa"/>
                        <w:tcBorders>
                          <w:top w:val="nil"/>
                          <w:left w:val="nil"/>
                          <w:right w:val="nil"/>
                        </w:tcBorders>
                      </w:tcPr>
                      <w:p>
                        <w:pPr>
                          <w:pStyle w:val="TableParagraph"/>
                          <w:spacing w:before="26"/>
                          <w:ind w:left="39"/>
                          <w:rPr>
                            <w:b/>
                            <w:sz w:val="14"/>
                          </w:rPr>
                        </w:pPr>
                        <w:r>
                          <w:rPr>
                            <w:b/>
                            <w:sz w:val="14"/>
                          </w:rPr>
                          <w:t>$'000</w:t>
                        </w:r>
                      </w:p>
                    </w:tc>
                    <w:tc>
                      <w:tcPr>
                        <w:tcW w:w="561" w:type="dxa"/>
                        <w:tcBorders>
                          <w:top w:val="nil"/>
                          <w:left w:val="nil"/>
                        </w:tcBorders>
                      </w:tcPr>
                      <w:p>
                        <w:pPr>
                          <w:pStyle w:val="TableParagraph"/>
                          <w:spacing w:before="26"/>
                          <w:ind w:left="28"/>
                          <w:rPr>
                            <w:b/>
                            <w:sz w:val="14"/>
                          </w:rPr>
                        </w:pPr>
                        <w:r>
                          <w:rPr>
                            <w:b/>
                            <w:sz w:val="14"/>
                          </w:rPr>
                          <w:t>$'000</w:t>
                        </w:r>
                      </w:p>
                    </w:tc>
                    <w:tc>
                      <w:tcPr>
                        <w:tcW w:w="1798" w:type="dxa"/>
                        <w:tcBorders>
                          <w:top w:val="nil"/>
                          <w:right w:val="nil"/>
                        </w:tcBorders>
                      </w:tcPr>
                      <w:p>
                        <w:pPr>
                          <w:pStyle w:val="TableParagraph"/>
                          <w:tabs>
                            <w:tab w:pos="645" w:val="left" w:leader="none"/>
                            <w:tab w:pos="1235" w:val="left" w:leader="none"/>
                          </w:tabs>
                          <w:spacing w:before="26"/>
                          <w:ind w:left="56"/>
                          <w:rPr>
                            <w:b/>
                            <w:sz w:val="14"/>
                          </w:rPr>
                        </w:pPr>
                        <w:r>
                          <w:rPr>
                            <w:b/>
                            <w:sz w:val="14"/>
                          </w:rPr>
                          <w:t>$'000</w:t>
                          <w:tab/>
                          <w:t>$'000</w:t>
                          <w:tab/>
                          <w:t>$'000</w:t>
                        </w:r>
                      </w:p>
                    </w:tc>
                    <w:tc>
                      <w:tcPr>
                        <w:tcW w:w="560" w:type="dxa"/>
                        <w:tcBorders>
                          <w:top w:val="nil"/>
                          <w:left w:val="nil"/>
                        </w:tcBorders>
                      </w:tcPr>
                      <w:p>
                        <w:pPr>
                          <w:pStyle w:val="TableParagraph"/>
                          <w:spacing w:before="26"/>
                          <w:ind w:left="28"/>
                          <w:rPr>
                            <w:b/>
                            <w:sz w:val="14"/>
                          </w:rPr>
                        </w:pPr>
                        <w:r>
                          <w:rPr>
                            <w:b/>
                            <w:sz w:val="14"/>
                          </w:rPr>
                          <w:t>$'000</w:t>
                        </w:r>
                      </w:p>
                    </w:tc>
                    <w:tc>
                      <w:tcPr>
                        <w:tcW w:w="1197" w:type="dxa"/>
                        <w:tcBorders>
                          <w:top w:val="nil"/>
                          <w:right w:val="nil"/>
                        </w:tcBorders>
                      </w:tcPr>
                      <w:p>
                        <w:pPr>
                          <w:pStyle w:val="TableParagraph"/>
                          <w:tabs>
                            <w:tab w:pos="646" w:val="left" w:leader="none"/>
                          </w:tabs>
                          <w:spacing w:before="26"/>
                          <w:ind w:left="56"/>
                          <w:rPr>
                            <w:b/>
                            <w:sz w:val="14"/>
                          </w:rPr>
                        </w:pPr>
                        <w:r>
                          <w:rPr>
                            <w:b/>
                            <w:sz w:val="14"/>
                          </w:rPr>
                          <w:t>$'000</w:t>
                          <w:tab/>
                          <w:t>$'000</w:t>
                        </w:r>
                      </w:p>
                    </w:tc>
                    <w:tc>
                      <w:tcPr>
                        <w:tcW w:w="577" w:type="dxa"/>
                        <w:tcBorders>
                          <w:top w:val="nil"/>
                          <w:left w:val="nil"/>
                          <w:right w:val="nil"/>
                        </w:tcBorders>
                      </w:tcPr>
                      <w:p>
                        <w:pPr>
                          <w:pStyle w:val="TableParagraph"/>
                          <w:spacing w:before="26"/>
                          <w:ind w:left="39"/>
                          <w:rPr>
                            <w:b/>
                            <w:sz w:val="14"/>
                          </w:rPr>
                        </w:pPr>
                        <w:r>
                          <w:rPr>
                            <w:b/>
                            <w:sz w:val="14"/>
                          </w:rPr>
                          <w:t>$'000</w:t>
                        </w:r>
                      </w:p>
                    </w:tc>
                    <w:tc>
                      <w:tcPr>
                        <w:tcW w:w="575" w:type="dxa"/>
                        <w:tcBorders>
                          <w:top w:val="nil"/>
                          <w:left w:val="nil"/>
                        </w:tcBorders>
                      </w:tcPr>
                      <w:p>
                        <w:pPr>
                          <w:pStyle w:val="TableParagraph"/>
                          <w:spacing w:before="26"/>
                          <w:ind w:left="51"/>
                          <w:rPr>
                            <w:b/>
                            <w:sz w:val="14"/>
                          </w:rPr>
                        </w:pPr>
                        <w:r>
                          <w:rPr>
                            <w:b/>
                            <w:sz w:val="14"/>
                          </w:rPr>
                          <w:t>$'000</w:t>
                        </w:r>
                      </w:p>
                    </w:tc>
                  </w:tr>
                  <w:tr>
                    <w:trPr>
                      <w:trHeight w:val="669" w:hRule="exact"/>
                    </w:trPr>
                    <w:tc>
                      <w:tcPr>
                        <w:tcW w:w="772" w:type="dxa"/>
                        <w:tcBorders>
                          <w:bottom w:val="nil"/>
                        </w:tcBorders>
                      </w:tcPr>
                      <w:p>
                        <w:pPr>
                          <w:pStyle w:val="TableParagraph"/>
                          <w:rPr>
                            <w:b/>
                            <w:sz w:val="14"/>
                          </w:rPr>
                        </w:pPr>
                      </w:p>
                      <w:p>
                        <w:pPr>
                          <w:pStyle w:val="TableParagraph"/>
                          <w:rPr>
                            <w:b/>
                            <w:sz w:val="14"/>
                          </w:rPr>
                        </w:pPr>
                      </w:p>
                      <w:p>
                        <w:pPr>
                          <w:pStyle w:val="TableParagraph"/>
                          <w:spacing w:before="11"/>
                          <w:rPr>
                            <w:b/>
                            <w:sz w:val="12"/>
                          </w:rPr>
                        </w:pPr>
                      </w:p>
                      <w:p>
                        <w:pPr>
                          <w:pStyle w:val="TableParagraph"/>
                          <w:ind w:right="67"/>
                          <w:jc w:val="right"/>
                          <w:rPr>
                            <w:sz w:val="14"/>
                          </w:rPr>
                        </w:pPr>
                        <w:r>
                          <w:rPr>
                            <w:sz w:val="14"/>
                          </w:rPr>
                          <w:t>29,852</w:t>
                        </w:r>
                      </w:p>
                    </w:tc>
                    <w:tc>
                      <w:tcPr>
                        <w:tcW w:w="1196" w:type="dxa"/>
                        <w:tcBorders>
                          <w:bottom w:val="nil"/>
                          <w:right w:val="nil"/>
                        </w:tcBorders>
                      </w:tcPr>
                      <w:p>
                        <w:pPr>
                          <w:pStyle w:val="TableParagraph"/>
                          <w:rPr>
                            <w:b/>
                            <w:sz w:val="14"/>
                          </w:rPr>
                        </w:pPr>
                      </w:p>
                      <w:p>
                        <w:pPr>
                          <w:pStyle w:val="TableParagraph"/>
                          <w:rPr>
                            <w:b/>
                            <w:sz w:val="14"/>
                          </w:rPr>
                        </w:pPr>
                      </w:p>
                      <w:p>
                        <w:pPr>
                          <w:pStyle w:val="TableParagraph"/>
                          <w:spacing w:before="11"/>
                          <w:rPr>
                            <w:b/>
                            <w:sz w:val="12"/>
                          </w:rPr>
                        </w:pPr>
                      </w:p>
                      <w:p>
                        <w:pPr>
                          <w:pStyle w:val="TableParagraph"/>
                          <w:tabs>
                            <w:tab w:pos="566" w:val="left" w:leader="none"/>
                          </w:tabs>
                          <w:ind w:right="37"/>
                          <w:jc w:val="right"/>
                          <w:rPr>
                            <w:sz w:val="14"/>
                          </w:rPr>
                        </w:pPr>
                        <w:r>
                          <w:rPr>
                            <w:sz w:val="14"/>
                          </w:rPr>
                          <w:t>(75)</w:t>
                          <w:tab/>
                          <w:t>(75)</w:t>
                        </w:r>
                      </w:p>
                    </w:tc>
                    <w:tc>
                      <w:tcPr>
                        <w:tcW w:w="601" w:type="dxa"/>
                        <w:tcBorders>
                          <w:left w:val="nil"/>
                          <w:bottom w:val="nil"/>
                          <w:right w:val="nil"/>
                        </w:tcBorders>
                      </w:tcPr>
                      <w:p>
                        <w:pPr>
                          <w:pStyle w:val="TableParagraph"/>
                          <w:rPr>
                            <w:b/>
                            <w:sz w:val="14"/>
                          </w:rPr>
                        </w:pPr>
                      </w:p>
                      <w:p>
                        <w:pPr>
                          <w:pStyle w:val="TableParagraph"/>
                          <w:rPr>
                            <w:b/>
                            <w:sz w:val="14"/>
                          </w:rPr>
                        </w:pPr>
                      </w:p>
                      <w:p>
                        <w:pPr>
                          <w:pStyle w:val="TableParagraph"/>
                          <w:spacing w:before="11"/>
                          <w:rPr>
                            <w:b/>
                            <w:sz w:val="12"/>
                          </w:rPr>
                        </w:pPr>
                      </w:p>
                      <w:p>
                        <w:pPr>
                          <w:pStyle w:val="TableParagraph"/>
                          <w:ind w:right="73"/>
                          <w:jc w:val="right"/>
                          <w:rPr>
                            <w:sz w:val="14"/>
                          </w:rPr>
                        </w:pPr>
                        <w:r>
                          <w:rPr>
                            <w:sz w:val="14"/>
                          </w:rPr>
                          <w:t>75</w:t>
                        </w:r>
                      </w:p>
                    </w:tc>
                    <w:tc>
                      <w:tcPr>
                        <w:tcW w:w="561" w:type="dxa"/>
                        <w:tcBorders>
                          <w:left w:val="nil"/>
                          <w:bottom w:val="nil"/>
                        </w:tcBorders>
                      </w:tcPr>
                      <w:p>
                        <w:pPr>
                          <w:pStyle w:val="TableParagraph"/>
                          <w:rPr>
                            <w:b/>
                            <w:sz w:val="14"/>
                          </w:rPr>
                        </w:pPr>
                      </w:p>
                      <w:p>
                        <w:pPr>
                          <w:pStyle w:val="TableParagraph"/>
                          <w:rPr>
                            <w:b/>
                            <w:sz w:val="14"/>
                          </w:rPr>
                        </w:pPr>
                      </w:p>
                      <w:p>
                        <w:pPr>
                          <w:pStyle w:val="TableParagraph"/>
                          <w:spacing w:before="11"/>
                          <w:rPr>
                            <w:b/>
                            <w:sz w:val="12"/>
                          </w:rPr>
                        </w:pPr>
                      </w:p>
                      <w:p>
                        <w:pPr>
                          <w:pStyle w:val="TableParagraph"/>
                          <w:ind w:right="66"/>
                          <w:jc w:val="right"/>
                          <w:rPr>
                            <w:sz w:val="14"/>
                          </w:rPr>
                        </w:pPr>
                        <w:r>
                          <w:rPr>
                            <w:sz w:val="14"/>
                          </w:rPr>
                          <w:t>75</w:t>
                        </w:r>
                      </w:p>
                    </w:tc>
                    <w:tc>
                      <w:tcPr>
                        <w:tcW w:w="1798" w:type="dxa"/>
                        <w:tcBorders>
                          <w:bottom w:val="nil"/>
                          <w:right w:val="nil"/>
                        </w:tcBorders>
                      </w:tcPr>
                      <w:p>
                        <w:pPr>
                          <w:pStyle w:val="TableParagraph"/>
                          <w:rPr>
                            <w:b/>
                            <w:sz w:val="14"/>
                          </w:rPr>
                        </w:pPr>
                      </w:p>
                      <w:p>
                        <w:pPr>
                          <w:pStyle w:val="TableParagraph"/>
                          <w:rPr>
                            <w:b/>
                            <w:sz w:val="14"/>
                          </w:rPr>
                        </w:pPr>
                      </w:p>
                      <w:p>
                        <w:pPr>
                          <w:pStyle w:val="TableParagraph"/>
                          <w:spacing w:before="11"/>
                          <w:rPr>
                            <w:b/>
                            <w:sz w:val="12"/>
                          </w:rPr>
                        </w:pPr>
                      </w:p>
                      <w:p>
                        <w:pPr>
                          <w:pStyle w:val="TableParagraph"/>
                          <w:tabs>
                            <w:tab w:pos="566" w:val="left" w:leader="none"/>
                            <w:tab w:pos="1179" w:val="left" w:leader="none"/>
                          </w:tabs>
                          <w:ind w:right="73"/>
                          <w:jc w:val="right"/>
                          <w:rPr>
                            <w:sz w:val="14"/>
                          </w:rPr>
                        </w:pPr>
                        <w:r>
                          <w:rPr>
                            <w:sz w:val="14"/>
                          </w:rPr>
                          <w:t>-</w:t>
                          <w:tab/>
                          <w:t>-</w:t>
                          <w:tab/>
                          <w:t>-</w:t>
                        </w:r>
                      </w:p>
                    </w:tc>
                    <w:tc>
                      <w:tcPr>
                        <w:tcW w:w="560" w:type="dxa"/>
                        <w:tcBorders>
                          <w:left w:val="nil"/>
                          <w:bottom w:val="nil"/>
                        </w:tcBorders>
                      </w:tcPr>
                      <w:p>
                        <w:pPr>
                          <w:pStyle w:val="TableParagraph"/>
                          <w:rPr>
                            <w:b/>
                            <w:sz w:val="14"/>
                          </w:rPr>
                        </w:pPr>
                      </w:p>
                      <w:p>
                        <w:pPr>
                          <w:pStyle w:val="TableParagraph"/>
                          <w:rPr>
                            <w:b/>
                            <w:sz w:val="14"/>
                          </w:rPr>
                        </w:pPr>
                      </w:p>
                      <w:p>
                        <w:pPr>
                          <w:pStyle w:val="TableParagraph"/>
                          <w:spacing w:before="11"/>
                          <w:rPr>
                            <w:b/>
                            <w:sz w:val="12"/>
                          </w:rPr>
                        </w:pPr>
                      </w:p>
                      <w:p>
                        <w:pPr>
                          <w:pStyle w:val="TableParagraph"/>
                          <w:ind w:right="66"/>
                          <w:jc w:val="right"/>
                          <w:rPr>
                            <w:sz w:val="14"/>
                          </w:rPr>
                        </w:pPr>
                        <w:r>
                          <w:rPr>
                            <w:w w:val="100"/>
                            <w:sz w:val="14"/>
                          </w:rPr>
                          <w:t>-</w:t>
                        </w:r>
                      </w:p>
                    </w:tc>
                    <w:tc>
                      <w:tcPr>
                        <w:tcW w:w="1197" w:type="dxa"/>
                        <w:tcBorders>
                          <w:bottom w:val="nil"/>
                          <w:right w:val="nil"/>
                        </w:tcBorders>
                      </w:tcPr>
                      <w:p>
                        <w:pPr>
                          <w:pStyle w:val="TableParagraph"/>
                          <w:rPr>
                            <w:b/>
                            <w:sz w:val="14"/>
                          </w:rPr>
                        </w:pPr>
                      </w:p>
                      <w:p>
                        <w:pPr>
                          <w:pStyle w:val="TableParagraph"/>
                          <w:rPr>
                            <w:b/>
                            <w:sz w:val="14"/>
                          </w:rPr>
                        </w:pPr>
                      </w:p>
                      <w:p>
                        <w:pPr>
                          <w:pStyle w:val="TableParagraph"/>
                          <w:spacing w:before="11"/>
                          <w:rPr>
                            <w:b/>
                            <w:sz w:val="12"/>
                          </w:rPr>
                        </w:pPr>
                      </w:p>
                      <w:p>
                        <w:pPr>
                          <w:pStyle w:val="TableParagraph"/>
                          <w:tabs>
                            <w:tab w:pos="567" w:val="left" w:leader="none"/>
                          </w:tabs>
                          <w:ind w:right="84"/>
                          <w:jc w:val="right"/>
                          <w:rPr>
                            <w:sz w:val="14"/>
                          </w:rPr>
                        </w:pPr>
                        <w:r>
                          <w:rPr>
                            <w:sz w:val="14"/>
                          </w:rPr>
                          <w:t>-</w:t>
                          <w:tab/>
                          <w:t>-</w:t>
                        </w:r>
                      </w:p>
                    </w:tc>
                    <w:tc>
                      <w:tcPr>
                        <w:tcW w:w="577" w:type="dxa"/>
                        <w:tcBorders>
                          <w:left w:val="nil"/>
                          <w:bottom w:val="nil"/>
                          <w:right w:val="nil"/>
                        </w:tcBorders>
                      </w:tcPr>
                      <w:p>
                        <w:pPr>
                          <w:pStyle w:val="TableParagraph"/>
                          <w:rPr>
                            <w:b/>
                            <w:sz w:val="14"/>
                          </w:rPr>
                        </w:pPr>
                      </w:p>
                      <w:p>
                        <w:pPr>
                          <w:pStyle w:val="TableParagraph"/>
                          <w:rPr>
                            <w:b/>
                            <w:sz w:val="14"/>
                          </w:rPr>
                        </w:pPr>
                      </w:p>
                      <w:p>
                        <w:pPr>
                          <w:pStyle w:val="TableParagraph"/>
                          <w:spacing w:before="11"/>
                          <w:rPr>
                            <w:b/>
                            <w:sz w:val="12"/>
                          </w:rPr>
                        </w:pPr>
                      </w:p>
                      <w:p>
                        <w:pPr>
                          <w:pStyle w:val="TableParagraph"/>
                          <w:ind w:right="49"/>
                          <w:jc w:val="right"/>
                          <w:rPr>
                            <w:sz w:val="14"/>
                          </w:rPr>
                        </w:pPr>
                        <w:r>
                          <w:rPr>
                            <w:w w:val="100"/>
                            <w:sz w:val="14"/>
                          </w:rPr>
                          <w:t>-</w:t>
                        </w:r>
                      </w:p>
                    </w:tc>
                    <w:tc>
                      <w:tcPr>
                        <w:tcW w:w="575" w:type="dxa"/>
                        <w:tcBorders>
                          <w:left w:val="nil"/>
                          <w:bottom w:val="nil"/>
                        </w:tcBorders>
                      </w:tcPr>
                      <w:p>
                        <w:pPr>
                          <w:pStyle w:val="TableParagraph"/>
                          <w:rPr>
                            <w:b/>
                            <w:sz w:val="14"/>
                          </w:rPr>
                        </w:pPr>
                      </w:p>
                      <w:p>
                        <w:pPr>
                          <w:pStyle w:val="TableParagraph"/>
                          <w:rPr>
                            <w:b/>
                            <w:sz w:val="14"/>
                          </w:rPr>
                        </w:pPr>
                      </w:p>
                      <w:p>
                        <w:pPr>
                          <w:pStyle w:val="TableParagraph"/>
                          <w:spacing w:before="11"/>
                          <w:rPr>
                            <w:b/>
                            <w:sz w:val="12"/>
                          </w:rPr>
                        </w:pPr>
                      </w:p>
                      <w:p>
                        <w:pPr>
                          <w:pStyle w:val="TableParagraph"/>
                          <w:ind w:right="58"/>
                          <w:jc w:val="right"/>
                          <w:rPr>
                            <w:sz w:val="14"/>
                          </w:rPr>
                        </w:pPr>
                        <w:r>
                          <w:rPr>
                            <w:w w:val="100"/>
                            <w:sz w:val="14"/>
                          </w:rPr>
                          <w:t>-</w:t>
                        </w:r>
                      </w:p>
                    </w:tc>
                  </w:tr>
                  <w:tr>
                    <w:trPr>
                      <w:trHeight w:val="218" w:hRule="exact"/>
                    </w:trPr>
                    <w:tc>
                      <w:tcPr>
                        <w:tcW w:w="772" w:type="dxa"/>
                        <w:tcBorders>
                          <w:top w:val="nil"/>
                          <w:bottom w:val="nil"/>
                        </w:tcBorders>
                      </w:tcPr>
                      <w:p>
                        <w:pPr>
                          <w:pStyle w:val="TableParagraph"/>
                          <w:spacing w:before="21"/>
                          <w:ind w:right="67"/>
                          <w:jc w:val="right"/>
                          <w:rPr>
                            <w:sz w:val="14"/>
                          </w:rPr>
                        </w:pPr>
                        <w:r>
                          <w:rPr>
                            <w:sz w:val="14"/>
                          </w:rPr>
                          <w:t>280,441</w:t>
                        </w:r>
                      </w:p>
                    </w:tc>
                    <w:tc>
                      <w:tcPr>
                        <w:tcW w:w="1196" w:type="dxa"/>
                        <w:tcBorders>
                          <w:top w:val="nil"/>
                          <w:bottom w:val="nil"/>
                          <w:right w:val="nil"/>
                        </w:tcBorders>
                      </w:tcPr>
                      <w:p>
                        <w:pPr>
                          <w:pStyle w:val="TableParagraph"/>
                          <w:tabs>
                            <w:tab w:pos="566" w:val="left" w:leader="none"/>
                          </w:tabs>
                          <w:spacing w:before="21"/>
                          <w:ind w:right="84"/>
                          <w:jc w:val="right"/>
                          <w:rPr>
                            <w:sz w:val="14"/>
                          </w:rPr>
                        </w:pPr>
                        <w:r>
                          <w:rPr>
                            <w:sz w:val="14"/>
                          </w:rPr>
                          <w:t>-</w:t>
                          <w:tab/>
                          <w:t>-</w:t>
                        </w:r>
                      </w:p>
                    </w:tc>
                    <w:tc>
                      <w:tcPr>
                        <w:tcW w:w="601" w:type="dxa"/>
                        <w:tcBorders>
                          <w:top w:val="nil"/>
                          <w:left w:val="nil"/>
                          <w:bottom w:val="nil"/>
                          <w:right w:val="nil"/>
                        </w:tcBorders>
                      </w:tcPr>
                      <w:p>
                        <w:pPr>
                          <w:pStyle w:val="TableParagraph"/>
                          <w:spacing w:before="21"/>
                          <w:ind w:right="73"/>
                          <w:jc w:val="right"/>
                          <w:rPr>
                            <w:sz w:val="14"/>
                          </w:rPr>
                        </w:pPr>
                        <w:r>
                          <w:rPr>
                            <w:w w:val="100"/>
                            <w:sz w:val="14"/>
                          </w:rPr>
                          <w:t>-</w:t>
                        </w:r>
                      </w:p>
                    </w:tc>
                    <w:tc>
                      <w:tcPr>
                        <w:tcW w:w="561" w:type="dxa"/>
                        <w:tcBorders>
                          <w:top w:val="nil"/>
                          <w:left w:val="nil"/>
                          <w:bottom w:val="nil"/>
                        </w:tcBorders>
                      </w:tcPr>
                      <w:p>
                        <w:pPr>
                          <w:pStyle w:val="TableParagraph"/>
                          <w:spacing w:before="21"/>
                          <w:ind w:right="66"/>
                          <w:jc w:val="right"/>
                          <w:rPr>
                            <w:sz w:val="14"/>
                          </w:rPr>
                        </w:pPr>
                        <w:r>
                          <w:rPr>
                            <w:w w:val="100"/>
                            <w:sz w:val="14"/>
                          </w:rPr>
                          <w:t>-</w:t>
                        </w:r>
                      </w:p>
                    </w:tc>
                    <w:tc>
                      <w:tcPr>
                        <w:tcW w:w="1798" w:type="dxa"/>
                        <w:tcBorders>
                          <w:top w:val="nil"/>
                          <w:bottom w:val="nil"/>
                          <w:right w:val="nil"/>
                        </w:tcBorders>
                      </w:tcPr>
                      <w:p>
                        <w:pPr>
                          <w:pStyle w:val="TableParagraph"/>
                          <w:tabs>
                            <w:tab w:pos="566" w:val="left" w:leader="none"/>
                            <w:tab w:pos="1179" w:val="left" w:leader="none"/>
                          </w:tabs>
                          <w:spacing w:before="21"/>
                          <w:ind w:right="73"/>
                          <w:jc w:val="right"/>
                          <w:rPr>
                            <w:sz w:val="14"/>
                          </w:rPr>
                        </w:pPr>
                        <w:r>
                          <w:rPr>
                            <w:sz w:val="14"/>
                          </w:rPr>
                          <w:t>-</w:t>
                          <w:tab/>
                          <w:t>-</w:t>
                          <w:tab/>
                          <w:t>-</w:t>
                        </w:r>
                      </w:p>
                    </w:tc>
                    <w:tc>
                      <w:tcPr>
                        <w:tcW w:w="560" w:type="dxa"/>
                        <w:tcBorders>
                          <w:top w:val="nil"/>
                          <w:left w:val="nil"/>
                          <w:bottom w:val="nil"/>
                        </w:tcBorders>
                      </w:tcPr>
                      <w:p>
                        <w:pPr>
                          <w:pStyle w:val="TableParagraph"/>
                          <w:spacing w:before="21"/>
                          <w:ind w:right="66"/>
                          <w:jc w:val="right"/>
                          <w:rPr>
                            <w:sz w:val="14"/>
                          </w:rPr>
                        </w:pPr>
                        <w:r>
                          <w:rPr>
                            <w:w w:val="100"/>
                            <w:sz w:val="14"/>
                          </w:rPr>
                          <w:t>-</w:t>
                        </w:r>
                      </w:p>
                    </w:tc>
                    <w:tc>
                      <w:tcPr>
                        <w:tcW w:w="1197" w:type="dxa"/>
                        <w:tcBorders>
                          <w:top w:val="nil"/>
                          <w:bottom w:val="nil"/>
                          <w:right w:val="nil"/>
                        </w:tcBorders>
                      </w:tcPr>
                      <w:p>
                        <w:pPr>
                          <w:pStyle w:val="TableParagraph"/>
                          <w:tabs>
                            <w:tab w:pos="567" w:val="left" w:leader="none"/>
                          </w:tabs>
                          <w:spacing w:before="21"/>
                          <w:ind w:right="84"/>
                          <w:jc w:val="right"/>
                          <w:rPr>
                            <w:sz w:val="14"/>
                          </w:rPr>
                        </w:pPr>
                        <w:r>
                          <w:rPr>
                            <w:sz w:val="14"/>
                          </w:rPr>
                          <w:t>-</w:t>
                          <w:tab/>
                          <w:t>-</w:t>
                        </w:r>
                      </w:p>
                    </w:tc>
                    <w:tc>
                      <w:tcPr>
                        <w:tcW w:w="577" w:type="dxa"/>
                        <w:tcBorders>
                          <w:top w:val="nil"/>
                          <w:left w:val="nil"/>
                          <w:bottom w:val="nil"/>
                          <w:right w:val="nil"/>
                        </w:tcBorders>
                      </w:tcPr>
                      <w:p>
                        <w:pPr>
                          <w:pStyle w:val="TableParagraph"/>
                          <w:spacing w:before="21"/>
                          <w:ind w:right="49"/>
                          <w:jc w:val="right"/>
                          <w:rPr>
                            <w:sz w:val="14"/>
                          </w:rPr>
                        </w:pPr>
                        <w:r>
                          <w:rPr>
                            <w:w w:val="100"/>
                            <w:sz w:val="14"/>
                          </w:rPr>
                          <w:t>-</w:t>
                        </w:r>
                      </w:p>
                    </w:tc>
                    <w:tc>
                      <w:tcPr>
                        <w:tcW w:w="575" w:type="dxa"/>
                        <w:tcBorders>
                          <w:top w:val="nil"/>
                          <w:left w:val="nil"/>
                          <w:bottom w:val="nil"/>
                        </w:tcBorders>
                      </w:tcPr>
                      <w:p>
                        <w:pPr>
                          <w:pStyle w:val="TableParagraph"/>
                          <w:spacing w:before="21"/>
                          <w:ind w:right="58"/>
                          <w:jc w:val="right"/>
                          <w:rPr>
                            <w:sz w:val="14"/>
                          </w:rPr>
                        </w:pPr>
                        <w:r>
                          <w:rPr>
                            <w:w w:val="100"/>
                            <w:sz w:val="14"/>
                          </w:rPr>
                          <w:t>-</w:t>
                        </w:r>
                      </w:p>
                    </w:tc>
                  </w:tr>
                  <w:tr>
                    <w:trPr>
                      <w:trHeight w:val="219" w:hRule="exact"/>
                    </w:trPr>
                    <w:tc>
                      <w:tcPr>
                        <w:tcW w:w="772" w:type="dxa"/>
                        <w:tcBorders>
                          <w:top w:val="nil"/>
                        </w:tcBorders>
                      </w:tcPr>
                      <w:p>
                        <w:pPr>
                          <w:pStyle w:val="TableParagraph"/>
                          <w:spacing w:before="21"/>
                          <w:ind w:right="67"/>
                          <w:jc w:val="right"/>
                          <w:rPr>
                            <w:sz w:val="14"/>
                          </w:rPr>
                        </w:pPr>
                        <w:r>
                          <w:rPr>
                            <w:sz w:val="14"/>
                          </w:rPr>
                          <w:t>49,918</w:t>
                        </w:r>
                      </w:p>
                    </w:tc>
                    <w:tc>
                      <w:tcPr>
                        <w:tcW w:w="1196" w:type="dxa"/>
                        <w:tcBorders>
                          <w:top w:val="nil"/>
                          <w:right w:val="nil"/>
                        </w:tcBorders>
                      </w:tcPr>
                      <w:p>
                        <w:pPr>
                          <w:pStyle w:val="TableParagraph"/>
                          <w:tabs>
                            <w:tab w:pos="566" w:val="left" w:leader="none"/>
                          </w:tabs>
                          <w:spacing w:before="21"/>
                          <w:ind w:right="84"/>
                          <w:jc w:val="right"/>
                          <w:rPr>
                            <w:sz w:val="14"/>
                          </w:rPr>
                        </w:pPr>
                        <w:r>
                          <w:rPr>
                            <w:sz w:val="14"/>
                          </w:rPr>
                          <w:t>-</w:t>
                          <w:tab/>
                          <w:t>-</w:t>
                        </w:r>
                      </w:p>
                    </w:tc>
                    <w:tc>
                      <w:tcPr>
                        <w:tcW w:w="601" w:type="dxa"/>
                        <w:tcBorders>
                          <w:top w:val="nil"/>
                          <w:left w:val="nil"/>
                          <w:right w:val="nil"/>
                        </w:tcBorders>
                      </w:tcPr>
                      <w:p>
                        <w:pPr>
                          <w:pStyle w:val="TableParagraph"/>
                          <w:spacing w:before="21"/>
                          <w:ind w:right="73"/>
                          <w:jc w:val="right"/>
                          <w:rPr>
                            <w:sz w:val="14"/>
                          </w:rPr>
                        </w:pPr>
                        <w:r>
                          <w:rPr>
                            <w:w w:val="100"/>
                            <w:sz w:val="14"/>
                          </w:rPr>
                          <w:t>-</w:t>
                        </w:r>
                      </w:p>
                    </w:tc>
                    <w:tc>
                      <w:tcPr>
                        <w:tcW w:w="561" w:type="dxa"/>
                        <w:tcBorders>
                          <w:top w:val="nil"/>
                          <w:left w:val="nil"/>
                        </w:tcBorders>
                      </w:tcPr>
                      <w:p>
                        <w:pPr>
                          <w:pStyle w:val="TableParagraph"/>
                          <w:spacing w:before="21"/>
                          <w:ind w:right="66"/>
                          <w:jc w:val="right"/>
                          <w:rPr>
                            <w:sz w:val="14"/>
                          </w:rPr>
                        </w:pPr>
                        <w:r>
                          <w:rPr>
                            <w:w w:val="100"/>
                            <w:sz w:val="14"/>
                          </w:rPr>
                          <w:t>-</w:t>
                        </w:r>
                      </w:p>
                    </w:tc>
                    <w:tc>
                      <w:tcPr>
                        <w:tcW w:w="1798" w:type="dxa"/>
                        <w:tcBorders>
                          <w:top w:val="nil"/>
                          <w:right w:val="nil"/>
                        </w:tcBorders>
                      </w:tcPr>
                      <w:p>
                        <w:pPr>
                          <w:pStyle w:val="TableParagraph"/>
                          <w:tabs>
                            <w:tab w:pos="566" w:val="left" w:leader="none"/>
                            <w:tab w:pos="1179" w:val="left" w:leader="none"/>
                          </w:tabs>
                          <w:spacing w:before="21"/>
                          <w:ind w:right="73"/>
                          <w:jc w:val="right"/>
                          <w:rPr>
                            <w:sz w:val="14"/>
                          </w:rPr>
                        </w:pPr>
                        <w:r>
                          <w:rPr>
                            <w:sz w:val="14"/>
                          </w:rPr>
                          <w:t>-</w:t>
                          <w:tab/>
                          <w:t>-</w:t>
                          <w:tab/>
                          <w:t>-</w:t>
                        </w:r>
                      </w:p>
                    </w:tc>
                    <w:tc>
                      <w:tcPr>
                        <w:tcW w:w="560" w:type="dxa"/>
                        <w:tcBorders>
                          <w:top w:val="nil"/>
                          <w:left w:val="nil"/>
                        </w:tcBorders>
                      </w:tcPr>
                      <w:p>
                        <w:pPr>
                          <w:pStyle w:val="TableParagraph"/>
                          <w:spacing w:before="21"/>
                          <w:ind w:right="66"/>
                          <w:jc w:val="right"/>
                          <w:rPr>
                            <w:sz w:val="14"/>
                          </w:rPr>
                        </w:pPr>
                        <w:r>
                          <w:rPr>
                            <w:w w:val="100"/>
                            <w:sz w:val="14"/>
                          </w:rPr>
                          <w:t>-</w:t>
                        </w:r>
                      </w:p>
                    </w:tc>
                    <w:tc>
                      <w:tcPr>
                        <w:tcW w:w="1197" w:type="dxa"/>
                        <w:tcBorders>
                          <w:top w:val="nil"/>
                          <w:right w:val="nil"/>
                        </w:tcBorders>
                      </w:tcPr>
                      <w:p>
                        <w:pPr>
                          <w:pStyle w:val="TableParagraph"/>
                          <w:spacing w:before="21"/>
                          <w:ind w:right="37"/>
                          <w:jc w:val="right"/>
                          <w:rPr>
                            <w:sz w:val="14"/>
                          </w:rPr>
                        </w:pPr>
                        <w:r>
                          <w:rPr>
                            <w:sz w:val="14"/>
                          </w:rPr>
                          <w:t>(965)   (4,992)</w:t>
                        </w:r>
                      </w:p>
                    </w:tc>
                    <w:tc>
                      <w:tcPr>
                        <w:tcW w:w="577" w:type="dxa"/>
                        <w:tcBorders>
                          <w:top w:val="nil"/>
                          <w:left w:val="nil"/>
                          <w:right w:val="nil"/>
                        </w:tcBorders>
                      </w:tcPr>
                      <w:p>
                        <w:pPr>
                          <w:pStyle w:val="TableParagraph"/>
                          <w:spacing w:before="21"/>
                          <w:ind w:right="49"/>
                          <w:jc w:val="right"/>
                          <w:rPr>
                            <w:sz w:val="14"/>
                          </w:rPr>
                        </w:pPr>
                        <w:r>
                          <w:rPr>
                            <w:sz w:val="14"/>
                          </w:rPr>
                          <w:t>965</w:t>
                        </w:r>
                      </w:p>
                    </w:tc>
                    <w:tc>
                      <w:tcPr>
                        <w:tcW w:w="575" w:type="dxa"/>
                        <w:tcBorders>
                          <w:top w:val="nil"/>
                          <w:left w:val="nil"/>
                        </w:tcBorders>
                      </w:tcPr>
                      <w:p>
                        <w:pPr>
                          <w:pStyle w:val="TableParagraph"/>
                          <w:spacing w:before="21"/>
                          <w:ind w:right="58"/>
                          <w:jc w:val="right"/>
                          <w:rPr>
                            <w:sz w:val="14"/>
                          </w:rPr>
                        </w:pPr>
                        <w:r>
                          <w:rPr>
                            <w:sz w:val="14"/>
                          </w:rPr>
                          <w:t>4,992</w:t>
                        </w:r>
                      </w:p>
                    </w:tc>
                  </w:tr>
                  <w:tr>
                    <w:trPr>
                      <w:trHeight w:val="293" w:hRule="exact"/>
                    </w:trPr>
                    <w:tc>
                      <w:tcPr>
                        <w:tcW w:w="772" w:type="dxa"/>
                      </w:tcPr>
                      <w:p>
                        <w:pPr/>
                      </w:p>
                    </w:tc>
                    <w:tc>
                      <w:tcPr>
                        <w:tcW w:w="1196" w:type="dxa"/>
                        <w:tcBorders>
                          <w:right w:val="nil"/>
                        </w:tcBorders>
                      </w:tcPr>
                      <w:p>
                        <w:pPr>
                          <w:pStyle w:val="TableParagraph"/>
                          <w:tabs>
                            <w:tab w:pos="566" w:val="left" w:leader="none"/>
                          </w:tabs>
                          <w:spacing w:before="123"/>
                          <w:ind w:right="37"/>
                          <w:jc w:val="right"/>
                          <w:rPr>
                            <w:b/>
                            <w:sz w:val="14"/>
                          </w:rPr>
                        </w:pPr>
                        <w:r>
                          <w:rPr>
                            <w:b/>
                            <w:sz w:val="14"/>
                          </w:rPr>
                          <w:t>(75)</w:t>
                          <w:tab/>
                          <w:t>(75)</w:t>
                        </w:r>
                      </w:p>
                    </w:tc>
                    <w:tc>
                      <w:tcPr>
                        <w:tcW w:w="601" w:type="dxa"/>
                        <w:tcBorders>
                          <w:left w:val="nil"/>
                          <w:right w:val="nil"/>
                        </w:tcBorders>
                      </w:tcPr>
                      <w:p>
                        <w:pPr>
                          <w:pStyle w:val="TableParagraph"/>
                          <w:spacing w:before="123"/>
                          <w:ind w:right="73"/>
                          <w:jc w:val="right"/>
                          <w:rPr>
                            <w:b/>
                            <w:sz w:val="14"/>
                          </w:rPr>
                        </w:pPr>
                        <w:r>
                          <w:rPr>
                            <w:b/>
                            <w:sz w:val="14"/>
                          </w:rPr>
                          <w:t>75</w:t>
                        </w:r>
                      </w:p>
                    </w:tc>
                    <w:tc>
                      <w:tcPr>
                        <w:tcW w:w="561" w:type="dxa"/>
                        <w:tcBorders>
                          <w:left w:val="nil"/>
                        </w:tcBorders>
                      </w:tcPr>
                      <w:p>
                        <w:pPr>
                          <w:pStyle w:val="TableParagraph"/>
                          <w:spacing w:before="123"/>
                          <w:ind w:right="66"/>
                          <w:jc w:val="right"/>
                          <w:rPr>
                            <w:b/>
                            <w:sz w:val="14"/>
                          </w:rPr>
                        </w:pPr>
                        <w:r>
                          <w:rPr>
                            <w:b/>
                            <w:sz w:val="14"/>
                          </w:rPr>
                          <w:t>75</w:t>
                        </w:r>
                      </w:p>
                    </w:tc>
                    <w:tc>
                      <w:tcPr>
                        <w:tcW w:w="1798" w:type="dxa"/>
                        <w:tcBorders>
                          <w:right w:val="nil"/>
                        </w:tcBorders>
                      </w:tcPr>
                      <w:p>
                        <w:pPr>
                          <w:pStyle w:val="TableParagraph"/>
                          <w:tabs>
                            <w:tab w:pos="566" w:val="left" w:leader="none"/>
                            <w:tab w:pos="1179" w:val="left" w:leader="none"/>
                          </w:tabs>
                          <w:spacing w:before="123"/>
                          <w:ind w:right="73"/>
                          <w:jc w:val="right"/>
                          <w:rPr>
                            <w:b/>
                            <w:sz w:val="14"/>
                          </w:rPr>
                        </w:pPr>
                        <w:r>
                          <w:rPr>
                            <w:b/>
                            <w:sz w:val="14"/>
                          </w:rPr>
                          <w:t>-</w:t>
                          <w:tab/>
                          <w:t>-</w:t>
                          <w:tab/>
                          <w:t>-</w:t>
                        </w:r>
                      </w:p>
                    </w:tc>
                    <w:tc>
                      <w:tcPr>
                        <w:tcW w:w="560" w:type="dxa"/>
                        <w:tcBorders>
                          <w:left w:val="nil"/>
                        </w:tcBorders>
                      </w:tcPr>
                      <w:p>
                        <w:pPr>
                          <w:pStyle w:val="TableParagraph"/>
                          <w:spacing w:before="123"/>
                          <w:ind w:right="66"/>
                          <w:jc w:val="right"/>
                          <w:rPr>
                            <w:b/>
                            <w:sz w:val="14"/>
                          </w:rPr>
                        </w:pPr>
                        <w:r>
                          <w:rPr>
                            <w:b/>
                            <w:w w:val="100"/>
                            <w:sz w:val="14"/>
                          </w:rPr>
                          <w:t>-</w:t>
                        </w:r>
                      </w:p>
                    </w:tc>
                    <w:tc>
                      <w:tcPr>
                        <w:tcW w:w="1197" w:type="dxa"/>
                        <w:tcBorders>
                          <w:right w:val="nil"/>
                        </w:tcBorders>
                      </w:tcPr>
                      <w:p>
                        <w:pPr>
                          <w:pStyle w:val="TableParagraph"/>
                          <w:spacing w:before="123"/>
                          <w:ind w:right="37"/>
                          <w:jc w:val="right"/>
                          <w:rPr>
                            <w:b/>
                            <w:sz w:val="14"/>
                          </w:rPr>
                        </w:pPr>
                        <w:r>
                          <w:rPr>
                            <w:b/>
                            <w:sz w:val="14"/>
                          </w:rPr>
                          <w:t>(965)   (4,992)</w:t>
                        </w:r>
                      </w:p>
                    </w:tc>
                    <w:tc>
                      <w:tcPr>
                        <w:tcW w:w="577" w:type="dxa"/>
                        <w:tcBorders>
                          <w:left w:val="nil"/>
                          <w:right w:val="nil"/>
                        </w:tcBorders>
                      </w:tcPr>
                      <w:p>
                        <w:pPr>
                          <w:pStyle w:val="TableParagraph"/>
                          <w:spacing w:before="123"/>
                          <w:ind w:right="49"/>
                          <w:jc w:val="right"/>
                          <w:rPr>
                            <w:b/>
                            <w:sz w:val="14"/>
                          </w:rPr>
                        </w:pPr>
                        <w:r>
                          <w:rPr>
                            <w:b/>
                            <w:sz w:val="14"/>
                          </w:rPr>
                          <w:t>965</w:t>
                        </w:r>
                      </w:p>
                    </w:tc>
                    <w:tc>
                      <w:tcPr>
                        <w:tcW w:w="575" w:type="dxa"/>
                        <w:tcBorders>
                          <w:left w:val="nil"/>
                        </w:tcBorders>
                      </w:tcPr>
                      <w:p>
                        <w:pPr>
                          <w:pStyle w:val="TableParagraph"/>
                          <w:spacing w:before="123"/>
                          <w:ind w:right="58"/>
                          <w:jc w:val="right"/>
                          <w:rPr>
                            <w:b/>
                            <w:sz w:val="14"/>
                          </w:rPr>
                        </w:pPr>
                        <w:r>
                          <w:rPr>
                            <w:b/>
                            <w:sz w:val="14"/>
                          </w:rPr>
                          <w:t>4,992</w:t>
                        </w:r>
                      </w:p>
                    </w:tc>
                  </w:tr>
                  <w:tr>
                    <w:trPr>
                      <w:trHeight w:val="510" w:hRule="exact"/>
                    </w:trPr>
                    <w:tc>
                      <w:tcPr>
                        <w:tcW w:w="772" w:type="dxa"/>
                        <w:tcBorders>
                          <w:bottom w:val="nil"/>
                        </w:tcBorders>
                      </w:tcPr>
                      <w:p>
                        <w:pPr>
                          <w:pStyle w:val="TableParagraph"/>
                          <w:rPr>
                            <w:b/>
                            <w:sz w:val="14"/>
                          </w:rPr>
                        </w:pPr>
                      </w:p>
                      <w:p>
                        <w:pPr>
                          <w:pStyle w:val="TableParagraph"/>
                          <w:spacing w:before="2"/>
                          <w:rPr>
                            <w:b/>
                            <w:sz w:val="13"/>
                          </w:rPr>
                        </w:pPr>
                      </w:p>
                      <w:p>
                        <w:pPr>
                          <w:pStyle w:val="TableParagraph"/>
                          <w:ind w:right="67"/>
                          <w:jc w:val="right"/>
                          <w:rPr>
                            <w:sz w:val="14"/>
                          </w:rPr>
                        </w:pPr>
                        <w:r>
                          <w:rPr>
                            <w:sz w:val="14"/>
                          </w:rPr>
                          <w:t>42,255</w:t>
                        </w:r>
                      </w:p>
                    </w:tc>
                    <w:tc>
                      <w:tcPr>
                        <w:tcW w:w="1196" w:type="dxa"/>
                        <w:tcBorders>
                          <w:bottom w:val="nil"/>
                          <w:right w:val="nil"/>
                        </w:tcBorders>
                      </w:tcPr>
                      <w:p>
                        <w:pPr>
                          <w:pStyle w:val="TableParagraph"/>
                          <w:rPr>
                            <w:b/>
                            <w:sz w:val="14"/>
                          </w:rPr>
                        </w:pPr>
                      </w:p>
                      <w:p>
                        <w:pPr>
                          <w:pStyle w:val="TableParagraph"/>
                          <w:spacing w:before="2"/>
                          <w:rPr>
                            <w:b/>
                            <w:sz w:val="13"/>
                          </w:rPr>
                        </w:pPr>
                      </w:p>
                      <w:p>
                        <w:pPr>
                          <w:pStyle w:val="TableParagraph"/>
                          <w:tabs>
                            <w:tab w:pos="566" w:val="left" w:leader="none"/>
                          </w:tabs>
                          <w:ind w:right="84"/>
                          <w:jc w:val="right"/>
                          <w:rPr>
                            <w:sz w:val="14"/>
                          </w:rPr>
                        </w:pPr>
                        <w:r>
                          <w:rPr>
                            <w:sz w:val="14"/>
                          </w:rPr>
                          <w:t>-</w:t>
                          <w:tab/>
                          <w:t>-</w:t>
                        </w:r>
                      </w:p>
                    </w:tc>
                    <w:tc>
                      <w:tcPr>
                        <w:tcW w:w="601" w:type="dxa"/>
                        <w:tcBorders>
                          <w:left w:val="nil"/>
                          <w:bottom w:val="nil"/>
                          <w:right w:val="nil"/>
                        </w:tcBorders>
                      </w:tcPr>
                      <w:p>
                        <w:pPr>
                          <w:pStyle w:val="TableParagraph"/>
                          <w:rPr>
                            <w:b/>
                            <w:sz w:val="14"/>
                          </w:rPr>
                        </w:pPr>
                      </w:p>
                      <w:p>
                        <w:pPr>
                          <w:pStyle w:val="TableParagraph"/>
                          <w:spacing w:before="2"/>
                          <w:rPr>
                            <w:b/>
                            <w:sz w:val="13"/>
                          </w:rPr>
                        </w:pPr>
                      </w:p>
                      <w:p>
                        <w:pPr>
                          <w:pStyle w:val="TableParagraph"/>
                          <w:ind w:right="73"/>
                          <w:jc w:val="right"/>
                          <w:rPr>
                            <w:sz w:val="14"/>
                          </w:rPr>
                        </w:pPr>
                        <w:r>
                          <w:rPr>
                            <w:w w:val="100"/>
                            <w:sz w:val="14"/>
                          </w:rPr>
                          <w:t>-</w:t>
                        </w:r>
                      </w:p>
                    </w:tc>
                    <w:tc>
                      <w:tcPr>
                        <w:tcW w:w="561" w:type="dxa"/>
                        <w:tcBorders>
                          <w:left w:val="nil"/>
                          <w:bottom w:val="nil"/>
                        </w:tcBorders>
                      </w:tcPr>
                      <w:p>
                        <w:pPr>
                          <w:pStyle w:val="TableParagraph"/>
                          <w:rPr>
                            <w:b/>
                            <w:sz w:val="14"/>
                          </w:rPr>
                        </w:pPr>
                      </w:p>
                      <w:p>
                        <w:pPr>
                          <w:pStyle w:val="TableParagraph"/>
                          <w:spacing w:before="2"/>
                          <w:rPr>
                            <w:b/>
                            <w:sz w:val="13"/>
                          </w:rPr>
                        </w:pPr>
                      </w:p>
                      <w:p>
                        <w:pPr>
                          <w:pStyle w:val="TableParagraph"/>
                          <w:ind w:right="66"/>
                          <w:jc w:val="right"/>
                          <w:rPr>
                            <w:sz w:val="14"/>
                          </w:rPr>
                        </w:pPr>
                        <w:r>
                          <w:rPr>
                            <w:w w:val="100"/>
                            <w:sz w:val="14"/>
                          </w:rPr>
                          <w:t>-</w:t>
                        </w:r>
                      </w:p>
                    </w:tc>
                    <w:tc>
                      <w:tcPr>
                        <w:tcW w:w="1798" w:type="dxa"/>
                        <w:tcBorders>
                          <w:bottom w:val="nil"/>
                          <w:right w:val="nil"/>
                        </w:tcBorders>
                      </w:tcPr>
                      <w:p>
                        <w:pPr>
                          <w:pStyle w:val="TableParagraph"/>
                          <w:rPr>
                            <w:b/>
                            <w:sz w:val="14"/>
                          </w:rPr>
                        </w:pPr>
                      </w:p>
                      <w:p>
                        <w:pPr>
                          <w:pStyle w:val="TableParagraph"/>
                          <w:spacing w:before="2"/>
                          <w:rPr>
                            <w:b/>
                            <w:sz w:val="13"/>
                          </w:rPr>
                        </w:pPr>
                      </w:p>
                      <w:p>
                        <w:pPr>
                          <w:pStyle w:val="TableParagraph"/>
                          <w:tabs>
                            <w:tab w:pos="566" w:val="left" w:leader="none"/>
                            <w:tab w:pos="1132" w:val="left" w:leader="none"/>
                          </w:tabs>
                          <w:ind w:right="26"/>
                          <w:jc w:val="right"/>
                          <w:rPr>
                            <w:sz w:val="14"/>
                          </w:rPr>
                        </w:pPr>
                        <w:r>
                          <w:rPr>
                            <w:sz w:val="14"/>
                          </w:rPr>
                          <w:t>8</w:t>
                          <w:tab/>
                          <w:t>8</w:t>
                          <w:tab/>
                        </w:r>
                        <w:r>
                          <w:rPr>
                            <w:spacing w:val="-1"/>
                            <w:sz w:val="14"/>
                          </w:rPr>
                          <w:t>(8)</w:t>
                        </w:r>
                      </w:p>
                    </w:tc>
                    <w:tc>
                      <w:tcPr>
                        <w:tcW w:w="560" w:type="dxa"/>
                        <w:tcBorders>
                          <w:left w:val="nil"/>
                          <w:bottom w:val="nil"/>
                        </w:tcBorders>
                      </w:tcPr>
                      <w:p>
                        <w:pPr>
                          <w:pStyle w:val="TableParagraph"/>
                          <w:rPr>
                            <w:b/>
                            <w:sz w:val="14"/>
                          </w:rPr>
                        </w:pPr>
                      </w:p>
                      <w:p>
                        <w:pPr>
                          <w:pStyle w:val="TableParagraph"/>
                          <w:spacing w:before="2"/>
                          <w:rPr>
                            <w:b/>
                            <w:sz w:val="13"/>
                          </w:rPr>
                        </w:pPr>
                      </w:p>
                      <w:p>
                        <w:pPr>
                          <w:pStyle w:val="TableParagraph"/>
                          <w:ind w:right="19"/>
                          <w:jc w:val="right"/>
                          <w:rPr>
                            <w:sz w:val="14"/>
                          </w:rPr>
                        </w:pPr>
                        <w:r>
                          <w:rPr>
                            <w:sz w:val="14"/>
                          </w:rPr>
                          <w:t>(8)</w:t>
                        </w:r>
                      </w:p>
                    </w:tc>
                    <w:tc>
                      <w:tcPr>
                        <w:tcW w:w="1197" w:type="dxa"/>
                        <w:tcBorders>
                          <w:bottom w:val="nil"/>
                          <w:right w:val="nil"/>
                        </w:tcBorders>
                      </w:tcPr>
                      <w:p>
                        <w:pPr>
                          <w:pStyle w:val="TableParagraph"/>
                          <w:rPr>
                            <w:b/>
                            <w:sz w:val="14"/>
                          </w:rPr>
                        </w:pPr>
                      </w:p>
                      <w:p>
                        <w:pPr>
                          <w:pStyle w:val="TableParagraph"/>
                          <w:spacing w:before="2"/>
                          <w:rPr>
                            <w:b/>
                            <w:sz w:val="13"/>
                          </w:rPr>
                        </w:pPr>
                      </w:p>
                      <w:p>
                        <w:pPr>
                          <w:pStyle w:val="TableParagraph"/>
                          <w:tabs>
                            <w:tab w:pos="567" w:val="left" w:leader="none"/>
                          </w:tabs>
                          <w:ind w:right="84"/>
                          <w:jc w:val="right"/>
                          <w:rPr>
                            <w:sz w:val="14"/>
                          </w:rPr>
                        </w:pPr>
                        <w:r>
                          <w:rPr>
                            <w:sz w:val="14"/>
                          </w:rPr>
                          <w:t>-</w:t>
                          <w:tab/>
                          <w:t>-</w:t>
                        </w:r>
                      </w:p>
                    </w:tc>
                    <w:tc>
                      <w:tcPr>
                        <w:tcW w:w="577" w:type="dxa"/>
                        <w:tcBorders>
                          <w:left w:val="nil"/>
                          <w:bottom w:val="nil"/>
                          <w:right w:val="nil"/>
                        </w:tcBorders>
                      </w:tcPr>
                      <w:p>
                        <w:pPr>
                          <w:pStyle w:val="TableParagraph"/>
                          <w:rPr>
                            <w:b/>
                            <w:sz w:val="14"/>
                          </w:rPr>
                        </w:pPr>
                      </w:p>
                      <w:p>
                        <w:pPr>
                          <w:pStyle w:val="TableParagraph"/>
                          <w:spacing w:before="2"/>
                          <w:rPr>
                            <w:b/>
                            <w:sz w:val="13"/>
                          </w:rPr>
                        </w:pPr>
                      </w:p>
                      <w:p>
                        <w:pPr>
                          <w:pStyle w:val="TableParagraph"/>
                          <w:ind w:right="49"/>
                          <w:jc w:val="right"/>
                          <w:rPr>
                            <w:sz w:val="14"/>
                          </w:rPr>
                        </w:pPr>
                        <w:r>
                          <w:rPr>
                            <w:w w:val="100"/>
                            <w:sz w:val="14"/>
                          </w:rPr>
                          <w:t>-</w:t>
                        </w:r>
                      </w:p>
                    </w:tc>
                    <w:tc>
                      <w:tcPr>
                        <w:tcW w:w="575" w:type="dxa"/>
                        <w:tcBorders>
                          <w:left w:val="nil"/>
                          <w:bottom w:val="nil"/>
                        </w:tcBorders>
                      </w:tcPr>
                      <w:p>
                        <w:pPr>
                          <w:pStyle w:val="TableParagraph"/>
                          <w:rPr>
                            <w:b/>
                            <w:sz w:val="14"/>
                          </w:rPr>
                        </w:pPr>
                      </w:p>
                      <w:p>
                        <w:pPr>
                          <w:pStyle w:val="TableParagraph"/>
                          <w:spacing w:before="2"/>
                          <w:rPr>
                            <w:b/>
                            <w:sz w:val="13"/>
                          </w:rPr>
                        </w:pPr>
                      </w:p>
                      <w:p>
                        <w:pPr>
                          <w:pStyle w:val="TableParagraph"/>
                          <w:ind w:right="58"/>
                          <w:jc w:val="right"/>
                          <w:rPr>
                            <w:sz w:val="14"/>
                          </w:rPr>
                        </w:pPr>
                        <w:r>
                          <w:rPr>
                            <w:w w:val="100"/>
                            <w:sz w:val="14"/>
                          </w:rPr>
                          <w:t>-</w:t>
                        </w:r>
                      </w:p>
                    </w:tc>
                  </w:tr>
                  <w:tr>
                    <w:trPr>
                      <w:trHeight w:val="218" w:hRule="exact"/>
                    </w:trPr>
                    <w:tc>
                      <w:tcPr>
                        <w:tcW w:w="772" w:type="dxa"/>
                        <w:tcBorders>
                          <w:top w:val="nil"/>
                          <w:bottom w:val="nil"/>
                        </w:tcBorders>
                      </w:tcPr>
                      <w:p>
                        <w:pPr>
                          <w:pStyle w:val="TableParagraph"/>
                          <w:spacing w:before="21"/>
                          <w:ind w:right="67"/>
                          <w:jc w:val="right"/>
                          <w:rPr>
                            <w:sz w:val="14"/>
                          </w:rPr>
                        </w:pPr>
                        <w:r>
                          <w:rPr>
                            <w:sz w:val="14"/>
                          </w:rPr>
                          <w:t>44,000</w:t>
                        </w:r>
                      </w:p>
                    </w:tc>
                    <w:tc>
                      <w:tcPr>
                        <w:tcW w:w="1196" w:type="dxa"/>
                        <w:tcBorders>
                          <w:top w:val="nil"/>
                          <w:bottom w:val="nil"/>
                          <w:right w:val="nil"/>
                        </w:tcBorders>
                      </w:tcPr>
                      <w:p>
                        <w:pPr>
                          <w:pStyle w:val="TableParagraph"/>
                          <w:tabs>
                            <w:tab w:pos="566" w:val="left" w:leader="none"/>
                          </w:tabs>
                          <w:spacing w:before="21"/>
                          <w:ind w:right="84"/>
                          <w:jc w:val="right"/>
                          <w:rPr>
                            <w:sz w:val="14"/>
                          </w:rPr>
                        </w:pPr>
                        <w:r>
                          <w:rPr>
                            <w:sz w:val="14"/>
                          </w:rPr>
                          <w:t>110</w:t>
                          <w:tab/>
                          <w:t>110</w:t>
                        </w:r>
                      </w:p>
                    </w:tc>
                    <w:tc>
                      <w:tcPr>
                        <w:tcW w:w="601" w:type="dxa"/>
                        <w:tcBorders>
                          <w:top w:val="nil"/>
                          <w:left w:val="nil"/>
                          <w:bottom w:val="nil"/>
                          <w:right w:val="nil"/>
                        </w:tcBorders>
                      </w:tcPr>
                      <w:p>
                        <w:pPr>
                          <w:pStyle w:val="TableParagraph"/>
                          <w:spacing w:before="21"/>
                          <w:ind w:right="26"/>
                          <w:jc w:val="right"/>
                          <w:rPr>
                            <w:sz w:val="14"/>
                          </w:rPr>
                        </w:pPr>
                        <w:r>
                          <w:rPr>
                            <w:sz w:val="14"/>
                          </w:rPr>
                          <w:t>(110)</w:t>
                        </w:r>
                      </w:p>
                    </w:tc>
                    <w:tc>
                      <w:tcPr>
                        <w:tcW w:w="561" w:type="dxa"/>
                        <w:tcBorders>
                          <w:top w:val="nil"/>
                          <w:left w:val="nil"/>
                          <w:bottom w:val="nil"/>
                        </w:tcBorders>
                      </w:tcPr>
                      <w:p>
                        <w:pPr>
                          <w:pStyle w:val="TableParagraph"/>
                          <w:spacing w:before="21"/>
                          <w:ind w:right="19"/>
                          <w:jc w:val="right"/>
                          <w:rPr>
                            <w:sz w:val="14"/>
                          </w:rPr>
                        </w:pPr>
                        <w:r>
                          <w:rPr>
                            <w:sz w:val="14"/>
                          </w:rPr>
                          <w:t>(110)</w:t>
                        </w:r>
                      </w:p>
                    </w:tc>
                    <w:tc>
                      <w:tcPr>
                        <w:tcW w:w="1798" w:type="dxa"/>
                        <w:tcBorders>
                          <w:top w:val="nil"/>
                          <w:bottom w:val="nil"/>
                          <w:right w:val="nil"/>
                        </w:tcBorders>
                      </w:tcPr>
                      <w:p>
                        <w:pPr>
                          <w:pStyle w:val="TableParagraph"/>
                          <w:tabs>
                            <w:tab w:pos="566" w:val="left" w:leader="none"/>
                            <w:tab w:pos="1179" w:val="left" w:leader="none"/>
                          </w:tabs>
                          <w:spacing w:before="21"/>
                          <w:ind w:right="73"/>
                          <w:jc w:val="right"/>
                          <w:rPr>
                            <w:sz w:val="14"/>
                          </w:rPr>
                        </w:pPr>
                        <w:r>
                          <w:rPr>
                            <w:sz w:val="14"/>
                          </w:rPr>
                          <w:t>-</w:t>
                          <w:tab/>
                          <w:t>-</w:t>
                          <w:tab/>
                          <w:t>-</w:t>
                        </w:r>
                      </w:p>
                    </w:tc>
                    <w:tc>
                      <w:tcPr>
                        <w:tcW w:w="560" w:type="dxa"/>
                        <w:tcBorders>
                          <w:top w:val="nil"/>
                          <w:left w:val="nil"/>
                          <w:bottom w:val="nil"/>
                        </w:tcBorders>
                      </w:tcPr>
                      <w:p>
                        <w:pPr>
                          <w:pStyle w:val="TableParagraph"/>
                          <w:spacing w:before="21"/>
                          <w:ind w:right="66"/>
                          <w:jc w:val="right"/>
                          <w:rPr>
                            <w:sz w:val="14"/>
                          </w:rPr>
                        </w:pPr>
                        <w:r>
                          <w:rPr>
                            <w:w w:val="100"/>
                            <w:sz w:val="14"/>
                          </w:rPr>
                          <w:t>-</w:t>
                        </w:r>
                      </w:p>
                    </w:tc>
                    <w:tc>
                      <w:tcPr>
                        <w:tcW w:w="1197" w:type="dxa"/>
                        <w:tcBorders>
                          <w:top w:val="nil"/>
                          <w:bottom w:val="nil"/>
                          <w:right w:val="nil"/>
                        </w:tcBorders>
                      </w:tcPr>
                      <w:p>
                        <w:pPr>
                          <w:pStyle w:val="TableParagraph"/>
                          <w:tabs>
                            <w:tab w:pos="567" w:val="left" w:leader="none"/>
                          </w:tabs>
                          <w:spacing w:before="21"/>
                          <w:ind w:right="84"/>
                          <w:jc w:val="right"/>
                          <w:rPr>
                            <w:sz w:val="14"/>
                          </w:rPr>
                        </w:pPr>
                        <w:r>
                          <w:rPr>
                            <w:sz w:val="14"/>
                          </w:rPr>
                          <w:t>-</w:t>
                          <w:tab/>
                          <w:t>-</w:t>
                        </w:r>
                      </w:p>
                    </w:tc>
                    <w:tc>
                      <w:tcPr>
                        <w:tcW w:w="577" w:type="dxa"/>
                        <w:tcBorders>
                          <w:top w:val="nil"/>
                          <w:left w:val="nil"/>
                          <w:bottom w:val="nil"/>
                          <w:right w:val="nil"/>
                        </w:tcBorders>
                      </w:tcPr>
                      <w:p>
                        <w:pPr>
                          <w:pStyle w:val="TableParagraph"/>
                          <w:spacing w:before="21"/>
                          <w:ind w:right="49"/>
                          <w:jc w:val="right"/>
                          <w:rPr>
                            <w:sz w:val="14"/>
                          </w:rPr>
                        </w:pPr>
                        <w:r>
                          <w:rPr>
                            <w:w w:val="100"/>
                            <w:sz w:val="14"/>
                          </w:rPr>
                          <w:t>-</w:t>
                        </w:r>
                      </w:p>
                    </w:tc>
                    <w:tc>
                      <w:tcPr>
                        <w:tcW w:w="575" w:type="dxa"/>
                        <w:tcBorders>
                          <w:top w:val="nil"/>
                          <w:left w:val="nil"/>
                          <w:bottom w:val="nil"/>
                        </w:tcBorders>
                      </w:tcPr>
                      <w:p>
                        <w:pPr>
                          <w:pStyle w:val="TableParagraph"/>
                          <w:spacing w:before="21"/>
                          <w:ind w:right="58"/>
                          <w:jc w:val="right"/>
                          <w:rPr>
                            <w:sz w:val="14"/>
                          </w:rPr>
                        </w:pPr>
                        <w:r>
                          <w:rPr>
                            <w:w w:val="100"/>
                            <w:sz w:val="14"/>
                          </w:rPr>
                          <w:t>-</w:t>
                        </w:r>
                      </w:p>
                    </w:tc>
                  </w:tr>
                  <w:tr>
                    <w:trPr>
                      <w:trHeight w:val="219" w:hRule="exact"/>
                    </w:trPr>
                    <w:tc>
                      <w:tcPr>
                        <w:tcW w:w="772" w:type="dxa"/>
                        <w:tcBorders>
                          <w:top w:val="nil"/>
                        </w:tcBorders>
                      </w:tcPr>
                      <w:p>
                        <w:pPr>
                          <w:pStyle w:val="TableParagraph"/>
                          <w:spacing w:before="21"/>
                          <w:ind w:right="67"/>
                          <w:jc w:val="right"/>
                          <w:rPr>
                            <w:sz w:val="14"/>
                          </w:rPr>
                        </w:pPr>
                        <w:r>
                          <w:rPr>
                            <w:sz w:val="14"/>
                          </w:rPr>
                          <w:t>1,951</w:t>
                        </w:r>
                      </w:p>
                    </w:tc>
                    <w:tc>
                      <w:tcPr>
                        <w:tcW w:w="1196" w:type="dxa"/>
                        <w:tcBorders>
                          <w:top w:val="nil"/>
                          <w:right w:val="nil"/>
                        </w:tcBorders>
                      </w:tcPr>
                      <w:p>
                        <w:pPr>
                          <w:pStyle w:val="TableParagraph"/>
                          <w:tabs>
                            <w:tab w:pos="566" w:val="left" w:leader="none"/>
                          </w:tabs>
                          <w:spacing w:before="21"/>
                          <w:ind w:right="84"/>
                          <w:jc w:val="right"/>
                          <w:rPr>
                            <w:sz w:val="14"/>
                          </w:rPr>
                        </w:pPr>
                        <w:r>
                          <w:rPr>
                            <w:sz w:val="14"/>
                          </w:rPr>
                          <w:t>-</w:t>
                          <w:tab/>
                          <w:t>-</w:t>
                        </w:r>
                      </w:p>
                    </w:tc>
                    <w:tc>
                      <w:tcPr>
                        <w:tcW w:w="601" w:type="dxa"/>
                        <w:tcBorders>
                          <w:top w:val="nil"/>
                          <w:left w:val="nil"/>
                          <w:right w:val="nil"/>
                        </w:tcBorders>
                      </w:tcPr>
                      <w:p>
                        <w:pPr>
                          <w:pStyle w:val="TableParagraph"/>
                          <w:spacing w:before="21"/>
                          <w:ind w:right="73"/>
                          <w:jc w:val="right"/>
                          <w:rPr>
                            <w:sz w:val="14"/>
                          </w:rPr>
                        </w:pPr>
                        <w:r>
                          <w:rPr>
                            <w:w w:val="100"/>
                            <w:sz w:val="14"/>
                          </w:rPr>
                          <w:t>-</w:t>
                        </w:r>
                      </w:p>
                    </w:tc>
                    <w:tc>
                      <w:tcPr>
                        <w:tcW w:w="561" w:type="dxa"/>
                        <w:tcBorders>
                          <w:top w:val="nil"/>
                          <w:left w:val="nil"/>
                        </w:tcBorders>
                      </w:tcPr>
                      <w:p>
                        <w:pPr>
                          <w:pStyle w:val="TableParagraph"/>
                          <w:spacing w:before="21"/>
                          <w:ind w:right="66"/>
                          <w:jc w:val="right"/>
                          <w:rPr>
                            <w:sz w:val="14"/>
                          </w:rPr>
                        </w:pPr>
                        <w:r>
                          <w:rPr>
                            <w:w w:val="100"/>
                            <w:sz w:val="14"/>
                          </w:rPr>
                          <w:t>-</w:t>
                        </w:r>
                      </w:p>
                    </w:tc>
                    <w:tc>
                      <w:tcPr>
                        <w:tcW w:w="1798" w:type="dxa"/>
                        <w:tcBorders>
                          <w:top w:val="nil"/>
                          <w:right w:val="nil"/>
                        </w:tcBorders>
                      </w:tcPr>
                      <w:p>
                        <w:pPr>
                          <w:pStyle w:val="TableParagraph"/>
                          <w:tabs>
                            <w:tab w:pos="566" w:val="left" w:leader="none"/>
                            <w:tab w:pos="1179" w:val="left" w:leader="none"/>
                          </w:tabs>
                          <w:spacing w:before="21"/>
                          <w:ind w:right="73"/>
                          <w:jc w:val="right"/>
                          <w:rPr>
                            <w:sz w:val="14"/>
                          </w:rPr>
                        </w:pPr>
                        <w:r>
                          <w:rPr>
                            <w:sz w:val="14"/>
                          </w:rPr>
                          <w:t>-</w:t>
                          <w:tab/>
                          <w:t>-</w:t>
                          <w:tab/>
                          <w:t>-</w:t>
                        </w:r>
                      </w:p>
                    </w:tc>
                    <w:tc>
                      <w:tcPr>
                        <w:tcW w:w="560" w:type="dxa"/>
                        <w:tcBorders>
                          <w:top w:val="nil"/>
                          <w:left w:val="nil"/>
                        </w:tcBorders>
                      </w:tcPr>
                      <w:p>
                        <w:pPr>
                          <w:pStyle w:val="TableParagraph"/>
                          <w:spacing w:before="21"/>
                          <w:ind w:right="66"/>
                          <w:jc w:val="right"/>
                          <w:rPr>
                            <w:sz w:val="14"/>
                          </w:rPr>
                        </w:pPr>
                        <w:r>
                          <w:rPr>
                            <w:w w:val="100"/>
                            <w:sz w:val="14"/>
                          </w:rPr>
                          <w:t>-</w:t>
                        </w:r>
                      </w:p>
                    </w:tc>
                    <w:tc>
                      <w:tcPr>
                        <w:tcW w:w="1197" w:type="dxa"/>
                        <w:tcBorders>
                          <w:top w:val="nil"/>
                          <w:right w:val="nil"/>
                        </w:tcBorders>
                      </w:tcPr>
                      <w:p>
                        <w:pPr>
                          <w:pStyle w:val="TableParagraph"/>
                          <w:tabs>
                            <w:tab w:pos="567" w:val="left" w:leader="none"/>
                          </w:tabs>
                          <w:spacing w:before="21"/>
                          <w:ind w:right="84"/>
                          <w:jc w:val="right"/>
                          <w:rPr>
                            <w:sz w:val="14"/>
                          </w:rPr>
                        </w:pPr>
                        <w:r>
                          <w:rPr>
                            <w:sz w:val="14"/>
                          </w:rPr>
                          <w:t>-</w:t>
                          <w:tab/>
                          <w:t>-</w:t>
                        </w:r>
                      </w:p>
                    </w:tc>
                    <w:tc>
                      <w:tcPr>
                        <w:tcW w:w="577" w:type="dxa"/>
                        <w:tcBorders>
                          <w:top w:val="nil"/>
                          <w:left w:val="nil"/>
                          <w:right w:val="nil"/>
                        </w:tcBorders>
                      </w:tcPr>
                      <w:p>
                        <w:pPr>
                          <w:pStyle w:val="TableParagraph"/>
                          <w:spacing w:before="21"/>
                          <w:ind w:right="49"/>
                          <w:jc w:val="right"/>
                          <w:rPr>
                            <w:sz w:val="14"/>
                          </w:rPr>
                        </w:pPr>
                        <w:r>
                          <w:rPr>
                            <w:w w:val="100"/>
                            <w:sz w:val="14"/>
                          </w:rPr>
                          <w:t>-</w:t>
                        </w:r>
                      </w:p>
                    </w:tc>
                    <w:tc>
                      <w:tcPr>
                        <w:tcW w:w="575" w:type="dxa"/>
                        <w:tcBorders>
                          <w:top w:val="nil"/>
                          <w:left w:val="nil"/>
                        </w:tcBorders>
                      </w:tcPr>
                      <w:p>
                        <w:pPr>
                          <w:pStyle w:val="TableParagraph"/>
                          <w:spacing w:before="21"/>
                          <w:ind w:right="58"/>
                          <w:jc w:val="right"/>
                          <w:rPr>
                            <w:sz w:val="14"/>
                          </w:rPr>
                        </w:pPr>
                        <w:r>
                          <w:rPr>
                            <w:w w:val="100"/>
                            <w:sz w:val="14"/>
                          </w:rPr>
                          <w:t>-</w:t>
                        </w:r>
                      </w:p>
                    </w:tc>
                  </w:tr>
                  <w:tr>
                    <w:trPr>
                      <w:trHeight w:val="293" w:hRule="exact"/>
                    </w:trPr>
                    <w:tc>
                      <w:tcPr>
                        <w:tcW w:w="772" w:type="dxa"/>
                      </w:tcPr>
                      <w:p>
                        <w:pPr/>
                      </w:p>
                    </w:tc>
                    <w:tc>
                      <w:tcPr>
                        <w:tcW w:w="1196" w:type="dxa"/>
                        <w:tcBorders>
                          <w:right w:val="nil"/>
                        </w:tcBorders>
                      </w:tcPr>
                      <w:p>
                        <w:pPr>
                          <w:pStyle w:val="TableParagraph"/>
                          <w:tabs>
                            <w:tab w:pos="566" w:val="left" w:leader="none"/>
                          </w:tabs>
                          <w:spacing w:before="123"/>
                          <w:ind w:right="84"/>
                          <w:jc w:val="right"/>
                          <w:rPr>
                            <w:b/>
                            <w:sz w:val="14"/>
                          </w:rPr>
                        </w:pPr>
                        <w:r>
                          <w:rPr>
                            <w:b/>
                            <w:sz w:val="14"/>
                          </w:rPr>
                          <w:t>110</w:t>
                          <w:tab/>
                          <w:t>110</w:t>
                        </w:r>
                      </w:p>
                    </w:tc>
                    <w:tc>
                      <w:tcPr>
                        <w:tcW w:w="601" w:type="dxa"/>
                        <w:tcBorders>
                          <w:left w:val="nil"/>
                          <w:right w:val="nil"/>
                        </w:tcBorders>
                      </w:tcPr>
                      <w:p>
                        <w:pPr>
                          <w:pStyle w:val="TableParagraph"/>
                          <w:spacing w:before="123"/>
                          <w:ind w:right="26"/>
                          <w:jc w:val="right"/>
                          <w:rPr>
                            <w:b/>
                            <w:sz w:val="14"/>
                          </w:rPr>
                        </w:pPr>
                        <w:r>
                          <w:rPr>
                            <w:b/>
                            <w:sz w:val="14"/>
                          </w:rPr>
                          <w:t>(110)</w:t>
                        </w:r>
                      </w:p>
                    </w:tc>
                    <w:tc>
                      <w:tcPr>
                        <w:tcW w:w="561" w:type="dxa"/>
                        <w:tcBorders>
                          <w:left w:val="nil"/>
                        </w:tcBorders>
                      </w:tcPr>
                      <w:p>
                        <w:pPr>
                          <w:pStyle w:val="TableParagraph"/>
                          <w:spacing w:before="123"/>
                          <w:ind w:right="19"/>
                          <w:jc w:val="right"/>
                          <w:rPr>
                            <w:b/>
                            <w:sz w:val="14"/>
                          </w:rPr>
                        </w:pPr>
                        <w:r>
                          <w:rPr>
                            <w:b/>
                            <w:sz w:val="14"/>
                          </w:rPr>
                          <w:t>(110)</w:t>
                        </w:r>
                      </w:p>
                    </w:tc>
                    <w:tc>
                      <w:tcPr>
                        <w:tcW w:w="1798" w:type="dxa"/>
                        <w:tcBorders>
                          <w:right w:val="nil"/>
                        </w:tcBorders>
                      </w:tcPr>
                      <w:p>
                        <w:pPr>
                          <w:pStyle w:val="TableParagraph"/>
                          <w:tabs>
                            <w:tab w:pos="566" w:val="left" w:leader="none"/>
                            <w:tab w:pos="1132" w:val="left" w:leader="none"/>
                          </w:tabs>
                          <w:spacing w:before="123"/>
                          <w:ind w:right="26"/>
                          <w:jc w:val="right"/>
                          <w:rPr>
                            <w:b/>
                            <w:sz w:val="14"/>
                          </w:rPr>
                        </w:pPr>
                        <w:r>
                          <w:rPr>
                            <w:b/>
                            <w:sz w:val="14"/>
                          </w:rPr>
                          <w:t>8</w:t>
                          <w:tab/>
                          <w:t>8</w:t>
                          <w:tab/>
                          <w:t>(8)</w:t>
                        </w:r>
                      </w:p>
                    </w:tc>
                    <w:tc>
                      <w:tcPr>
                        <w:tcW w:w="560" w:type="dxa"/>
                        <w:tcBorders>
                          <w:left w:val="nil"/>
                        </w:tcBorders>
                      </w:tcPr>
                      <w:p>
                        <w:pPr>
                          <w:pStyle w:val="TableParagraph"/>
                          <w:spacing w:before="123"/>
                          <w:ind w:right="19"/>
                          <w:jc w:val="right"/>
                          <w:rPr>
                            <w:b/>
                            <w:sz w:val="14"/>
                          </w:rPr>
                        </w:pPr>
                        <w:r>
                          <w:rPr>
                            <w:b/>
                            <w:sz w:val="14"/>
                          </w:rPr>
                          <w:t>(8)</w:t>
                        </w:r>
                      </w:p>
                    </w:tc>
                    <w:tc>
                      <w:tcPr>
                        <w:tcW w:w="1197" w:type="dxa"/>
                        <w:tcBorders>
                          <w:right w:val="nil"/>
                        </w:tcBorders>
                      </w:tcPr>
                      <w:p>
                        <w:pPr>
                          <w:pStyle w:val="TableParagraph"/>
                          <w:tabs>
                            <w:tab w:pos="567" w:val="left" w:leader="none"/>
                          </w:tabs>
                          <w:spacing w:before="123"/>
                          <w:ind w:right="84"/>
                          <w:jc w:val="right"/>
                          <w:rPr>
                            <w:b/>
                            <w:sz w:val="14"/>
                          </w:rPr>
                        </w:pPr>
                        <w:r>
                          <w:rPr>
                            <w:b/>
                            <w:sz w:val="14"/>
                          </w:rPr>
                          <w:t>-</w:t>
                          <w:tab/>
                          <w:t>-</w:t>
                        </w:r>
                      </w:p>
                    </w:tc>
                    <w:tc>
                      <w:tcPr>
                        <w:tcW w:w="577" w:type="dxa"/>
                        <w:tcBorders>
                          <w:left w:val="nil"/>
                          <w:right w:val="nil"/>
                        </w:tcBorders>
                      </w:tcPr>
                      <w:p>
                        <w:pPr>
                          <w:pStyle w:val="TableParagraph"/>
                          <w:spacing w:before="123"/>
                          <w:ind w:right="49"/>
                          <w:jc w:val="right"/>
                          <w:rPr>
                            <w:b/>
                            <w:sz w:val="14"/>
                          </w:rPr>
                        </w:pPr>
                        <w:r>
                          <w:rPr>
                            <w:b/>
                            <w:w w:val="100"/>
                            <w:sz w:val="14"/>
                          </w:rPr>
                          <w:t>-</w:t>
                        </w:r>
                      </w:p>
                    </w:tc>
                    <w:tc>
                      <w:tcPr>
                        <w:tcW w:w="575" w:type="dxa"/>
                        <w:tcBorders>
                          <w:left w:val="nil"/>
                        </w:tcBorders>
                      </w:tcPr>
                      <w:p>
                        <w:pPr>
                          <w:pStyle w:val="TableParagraph"/>
                          <w:spacing w:before="123"/>
                          <w:ind w:right="58"/>
                          <w:jc w:val="right"/>
                          <w:rPr>
                            <w:b/>
                            <w:sz w:val="14"/>
                          </w:rPr>
                        </w:pPr>
                        <w:r>
                          <w:rPr>
                            <w:b/>
                            <w:w w:val="100"/>
                            <w:sz w:val="14"/>
                          </w:rPr>
                          <w:t>-</w:t>
                        </w:r>
                      </w:p>
                    </w:tc>
                  </w:tr>
                  <w:tr>
                    <w:trPr>
                      <w:trHeight w:val="293" w:hRule="exact"/>
                    </w:trPr>
                    <w:tc>
                      <w:tcPr>
                        <w:tcW w:w="772" w:type="dxa"/>
                      </w:tcPr>
                      <w:p>
                        <w:pPr/>
                      </w:p>
                    </w:tc>
                    <w:tc>
                      <w:tcPr>
                        <w:tcW w:w="1196" w:type="dxa"/>
                        <w:tcBorders>
                          <w:right w:val="nil"/>
                        </w:tcBorders>
                      </w:tcPr>
                      <w:p>
                        <w:pPr>
                          <w:pStyle w:val="TableParagraph"/>
                          <w:tabs>
                            <w:tab w:pos="566" w:val="left" w:leader="none"/>
                          </w:tabs>
                          <w:spacing w:before="123"/>
                          <w:ind w:right="84"/>
                          <w:jc w:val="right"/>
                          <w:rPr>
                            <w:b/>
                            <w:sz w:val="14"/>
                          </w:rPr>
                        </w:pPr>
                        <w:r>
                          <w:rPr>
                            <w:b/>
                            <w:sz w:val="14"/>
                          </w:rPr>
                          <w:t>35</w:t>
                          <w:tab/>
                          <w:t>35</w:t>
                        </w:r>
                      </w:p>
                    </w:tc>
                    <w:tc>
                      <w:tcPr>
                        <w:tcW w:w="601" w:type="dxa"/>
                        <w:tcBorders>
                          <w:left w:val="nil"/>
                          <w:right w:val="nil"/>
                        </w:tcBorders>
                      </w:tcPr>
                      <w:p>
                        <w:pPr>
                          <w:pStyle w:val="TableParagraph"/>
                          <w:spacing w:before="123"/>
                          <w:ind w:right="26"/>
                          <w:jc w:val="right"/>
                          <w:rPr>
                            <w:b/>
                            <w:sz w:val="14"/>
                          </w:rPr>
                        </w:pPr>
                        <w:r>
                          <w:rPr>
                            <w:b/>
                            <w:sz w:val="14"/>
                          </w:rPr>
                          <w:t>(35)</w:t>
                        </w:r>
                      </w:p>
                    </w:tc>
                    <w:tc>
                      <w:tcPr>
                        <w:tcW w:w="561" w:type="dxa"/>
                        <w:tcBorders>
                          <w:left w:val="nil"/>
                        </w:tcBorders>
                      </w:tcPr>
                      <w:p>
                        <w:pPr>
                          <w:pStyle w:val="TableParagraph"/>
                          <w:spacing w:before="123"/>
                          <w:ind w:right="19"/>
                          <w:jc w:val="right"/>
                          <w:rPr>
                            <w:b/>
                            <w:sz w:val="14"/>
                          </w:rPr>
                        </w:pPr>
                        <w:r>
                          <w:rPr>
                            <w:b/>
                            <w:sz w:val="14"/>
                          </w:rPr>
                          <w:t>(35)</w:t>
                        </w:r>
                      </w:p>
                    </w:tc>
                    <w:tc>
                      <w:tcPr>
                        <w:tcW w:w="1798" w:type="dxa"/>
                        <w:tcBorders>
                          <w:right w:val="nil"/>
                        </w:tcBorders>
                      </w:tcPr>
                      <w:p>
                        <w:pPr>
                          <w:pStyle w:val="TableParagraph"/>
                          <w:tabs>
                            <w:tab w:pos="566" w:val="left" w:leader="none"/>
                            <w:tab w:pos="1132" w:val="left" w:leader="none"/>
                          </w:tabs>
                          <w:spacing w:before="123"/>
                          <w:ind w:right="26"/>
                          <w:jc w:val="right"/>
                          <w:rPr>
                            <w:b/>
                            <w:sz w:val="14"/>
                          </w:rPr>
                        </w:pPr>
                        <w:r>
                          <w:rPr>
                            <w:b/>
                            <w:sz w:val="14"/>
                          </w:rPr>
                          <w:t>8</w:t>
                          <w:tab/>
                          <w:t>8</w:t>
                          <w:tab/>
                          <w:t>(8)</w:t>
                        </w:r>
                      </w:p>
                    </w:tc>
                    <w:tc>
                      <w:tcPr>
                        <w:tcW w:w="560" w:type="dxa"/>
                        <w:tcBorders>
                          <w:left w:val="nil"/>
                        </w:tcBorders>
                      </w:tcPr>
                      <w:p>
                        <w:pPr>
                          <w:pStyle w:val="TableParagraph"/>
                          <w:spacing w:before="123"/>
                          <w:ind w:right="19"/>
                          <w:jc w:val="right"/>
                          <w:rPr>
                            <w:b/>
                            <w:sz w:val="14"/>
                          </w:rPr>
                        </w:pPr>
                        <w:r>
                          <w:rPr>
                            <w:b/>
                            <w:sz w:val="14"/>
                          </w:rPr>
                          <w:t>(8)</w:t>
                        </w:r>
                      </w:p>
                    </w:tc>
                    <w:tc>
                      <w:tcPr>
                        <w:tcW w:w="1197" w:type="dxa"/>
                        <w:tcBorders>
                          <w:right w:val="nil"/>
                        </w:tcBorders>
                      </w:tcPr>
                      <w:p>
                        <w:pPr>
                          <w:pStyle w:val="TableParagraph"/>
                          <w:spacing w:before="123"/>
                          <w:ind w:right="37"/>
                          <w:jc w:val="right"/>
                          <w:rPr>
                            <w:b/>
                            <w:sz w:val="14"/>
                          </w:rPr>
                        </w:pPr>
                        <w:r>
                          <w:rPr>
                            <w:b/>
                            <w:sz w:val="14"/>
                          </w:rPr>
                          <w:t>(965)   (4,992)</w:t>
                        </w:r>
                      </w:p>
                    </w:tc>
                    <w:tc>
                      <w:tcPr>
                        <w:tcW w:w="577" w:type="dxa"/>
                        <w:tcBorders>
                          <w:left w:val="nil"/>
                          <w:right w:val="nil"/>
                        </w:tcBorders>
                      </w:tcPr>
                      <w:p>
                        <w:pPr>
                          <w:pStyle w:val="TableParagraph"/>
                          <w:spacing w:before="123"/>
                          <w:ind w:right="49"/>
                          <w:jc w:val="right"/>
                          <w:rPr>
                            <w:b/>
                            <w:sz w:val="14"/>
                          </w:rPr>
                        </w:pPr>
                        <w:r>
                          <w:rPr>
                            <w:b/>
                            <w:sz w:val="14"/>
                          </w:rPr>
                          <w:t>965</w:t>
                        </w:r>
                      </w:p>
                    </w:tc>
                    <w:tc>
                      <w:tcPr>
                        <w:tcW w:w="575" w:type="dxa"/>
                        <w:tcBorders>
                          <w:left w:val="nil"/>
                        </w:tcBorders>
                      </w:tcPr>
                      <w:p>
                        <w:pPr>
                          <w:pStyle w:val="TableParagraph"/>
                          <w:spacing w:before="123"/>
                          <w:ind w:right="58"/>
                          <w:jc w:val="right"/>
                          <w:rPr>
                            <w:b/>
                            <w:sz w:val="14"/>
                          </w:rPr>
                        </w:pPr>
                        <w:r>
                          <w:rPr>
                            <w:b/>
                            <w:sz w:val="14"/>
                          </w:rPr>
                          <w:t>4,992</w:t>
                        </w:r>
                      </w:p>
                    </w:tc>
                  </w:tr>
                </w:tbl>
                <w:p>
                  <w:pPr>
                    <w:pStyle w:val="BodyText"/>
                  </w:pPr>
                </w:p>
              </w:txbxContent>
            </v:textbox>
            <w10:wrap type="none"/>
          </v:shape>
        </w:pict>
      </w:r>
      <w:r>
        <w:rPr>
          <w:b/>
          <w:sz w:val="14"/>
        </w:rPr>
        <w:t>31 December 2011</w:t>
      </w:r>
    </w:p>
    <w:p>
      <w:pPr>
        <w:pStyle w:val="BodyText"/>
        <w:rPr>
          <w:b/>
          <w:sz w:val="20"/>
        </w:rPr>
      </w:pPr>
    </w:p>
    <w:p>
      <w:pPr>
        <w:pStyle w:val="BodyText"/>
        <w:rPr>
          <w:b/>
          <w:sz w:val="20"/>
        </w:rPr>
      </w:pPr>
    </w:p>
    <w:p>
      <w:pPr>
        <w:pStyle w:val="BodyText"/>
        <w:rPr>
          <w:b/>
          <w:sz w:val="20"/>
        </w:rPr>
      </w:pPr>
    </w:p>
    <w:p>
      <w:pPr>
        <w:pStyle w:val="BodyText"/>
        <w:spacing w:before="9"/>
        <w:rPr>
          <w:b/>
          <w:sz w:val="17"/>
        </w:rPr>
      </w:pPr>
    </w:p>
    <w:p>
      <w:pPr>
        <w:spacing w:before="0"/>
        <w:ind w:left="708" w:right="429" w:firstLine="0"/>
        <w:jc w:val="left"/>
        <w:rPr>
          <w:b/>
          <w:sz w:val="14"/>
        </w:rPr>
      </w:pPr>
      <w:r>
        <w:rPr>
          <w:b/>
          <w:sz w:val="14"/>
        </w:rPr>
        <w:t>Financial assets</w:t>
      </w:r>
    </w:p>
    <w:p>
      <w:pPr>
        <w:spacing w:before="27"/>
        <w:ind w:left="708" w:right="7988" w:firstLine="0"/>
        <w:jc w:val="left"/>
        <w:rPr>
          <w:sz w:val="14"/>
        </w:rPr>
      </w:pPr>
      <w:r>
        <w:rPr>
          <w:sz w:val="14"/>
        </w:rPr>
        <w:t>Cash and Cash Equivalents - at bank</w:t>
      </w:r>
    </w:p>
    <w:p>
      <w:pPr>
        <w:spacing w:before="57"/>
        <w:ind w:left="708" w:right="429" w:firstLine="0"/>
        <w:jc w:val="left"/>
        <w:rPr>
          <w:sz w:val="14"/>
        </w:rPr>
      </w:pPr>
      <w:r>
        <w:rPr>
          <w:sz w:val="14"/>
        </w:rPr>
        <w:t>Receivables</w:t>
      </w:r>
    </w:p>
    <w:p>
      <w:pPr>
        <w:spacing w:before="57"/>
        <w:ind w:left="708" w:right="429" w:firstLine="0"/>
        <w:jc w:val="left"/>
        <w:rPr>
          <w:sz w:val="14"/>
        </w:rPr>
      </w:pPr>
      <w:r>
        <w:rPr>
          <w:sz w:val="14"/>
        </w:rPr>
        <w:t>Other financial assets</w:t>
      </w:r>
    </w:p>
    <w:p>
      <w:pPr>
        <w:pStyle w:val="BodyText"/>
        <w:spacing w:before="9"/>
        <w:rPr>
          <w:sz w:val="13"/>
        </w:rPr>
      </w:pPr>
    </w:p>
    <w:p>
      <w:pPr>
        <w:spacing w:before="1"/>
        <w:ind w:left="708" w:right="429" w:firstLine="0"/>
        <w:jc w:val="left"/>
        <w:rPr>
          <w:b/>
          <w:sz w:val="14"/>
        </w:rPr>
      </w:pPr>
      <w:r>
        <w:rPr>
          <w:b/>
          <w:sz w:val="14"/>
        </w:rPr>
        <w:t>Sub Total</w:t>
      </w:r>
    </w:p>
    <w:p>
      <w:pPr>
        <w:pStyle w:val="BodyText"/>
        <w:spacing w:before="5"/>
        <w:rPr>
          <w:b/>
          <w:sz w:val="11"/>
        </w:rPr>
      </w:pPr>
    </w:p>
    <w:p>
      <w:pPr>
        <w:spacing w:line="304" w:lineRule="auto" w:before="0"/>
        <w:ind w:left="708" w:right="8211" w:firstLine="0"/>
        <w:jc w:val="left"/>
        <w:rPr>
          <w:sz w:val="14"/>
        </w:rPr>
      </w:pPr>
      <w:r>
        <w:rPr>
          <w:b/>
          <w:sz w:val="14"/>
        </w:rPr>
        <w:t>Financial liabilities </w:t>
      </w:r>
      <w:r>
        <w:rPr>
          <w:sz w:val="14"/>
        </w:rPr>
        <w:t>Trade and other payables Borrowings</w:t>
      </w:r>
    </w:p>
    <w:p>
      <w:pPr>
        <w:spacing w:before="15"/>
        <w:ind w:left="708" w:right="429" w:firstLine="0"/>
        <w:jc w:val="left"/>
        <w:rPr>
          <w:sz w:val="14"/>
        </w:rPr>
      </w:pPr>
      <w:r>
        <w:rPr>
          <w:sz w:val="14"/>
        </w:rPr>
        <w:t>Other</w:t>
      </w:r>
    </w:p>
    <w:p>
      <w:pPr>
        <w:pStyle w:val="BodyText"/>
        <w:spacing w:before="9"/>
        <w:rPr>
          <w:sz w:val="13"/>
        </w:rPr>
      </w:pPr>
    </w:p>
    <w:p>
      <w:pPr>
        <w:spacing w:before="1"/>
        <w:ind w:left="708" w:right="429" w:firstLine="0"/>
        <w:jc w:val="left"/>
        <w:rPr>
          <w:b/>
          <w:sz w:val="14"/>
        </w:rPr>
      </w:pPr>
      <w:r>
        <w:rPr>
          <w:b/>
          <w:sz w:val="14"/>
        </w:rPr>
        <w:t>Sub Total</w:t>
      </w:r>
    </w:p>
    <w:p>
      <w:pPr>
        <w:pStyle w:val="BodyText"/>
        <w:spacing w:before="5"/>
        <w:rPr>
          <w:b/>
          <w:sz w:val="11"/>
        </w:rPr>
      </w:pPr>
    </w:p>
    <w:p>
      <w:pPr>
        <w:spacing w:before="0"/>
        <w:ind w:left="708" w:right="429" w:firstLine="0"/>
        <w:jc w:val="left"/>
        <w:rPr>
          <w:b/>
          <w:sz w:val="14"/>
        </w:rPr>
      </w:pPr>
      <w:r>
        <w:rPr>
          <w:b/>
          <w:sz w:val="14"/>
        </w:rPr>
        <w:t>Total increase/(decrease)</w:t>
      </w:r>
    </w:p>
    <w:p>
      <w:pPr>
        <w:spacing w:after="0"/>
        <w:jc w:val="left"/>
        <w:rPr>
          <w:sz w:val="14"/>
        </w:rPr>
        <w:sectPr>
          <w:pgSz w:w="11910" w:h="16840"/>
          <w:pgMar w:header="1038" w:footer="507" w:top="2220" w:bottom="700" w:left="900" w:right="480"/>
        </w:sectPr>
      </w:pPr>
    </w:p>
    <w:p>
      <w:pPr>
        <w:pStyle w:val="BodyText"/>
        <w:rPr>
          <w:b/>
          <w:sz w:val="20"/>
        </w:rPr>
      </w:pPr>
    </w:p>
    <w:p>
      <w:pPr>
        <w:pStyle w:val="BodyText"/>
        <w:rPr>
          <w:b/>
          <w:sz w:val="20"/>
        </w:rPr>
      </w:pPr>
    </w:p>
    <w:p>
      <w:pPr>
        <w:pStyle w:val="BodyText"/>
        <w:spacing w:before="4"/>
        <w:rPr>
          <w:b/>
        </w:rPr>
      </w:pPr>
    </w:p>
    <w:p>
      <w:pPr>
        <w:pStyle w:val="Heading9"/>
        <w:spacing w:line="207" w:lineRule="exact"/>
        <w:ind w:left="109" w:right="596"/>
      </w:pPr>
      <w:r>
        <w:rPr/>
        <w:t>32    Financial Risk Management (continued)</w:t>
      </w:r>
    </w:p>
    <w:p>
      <w:pPr>
        <w:pStyle w:val="ListParagraph"/>
        <w:numPr>
          <w:ilvl w:val="0"/>
          <w:numId w:val="25"/>
        </w:numPr>
        <w:tabs>
          <w:tab w:pos="1072" w:val="left" w:leader="none"/>
        </w:tabs>
        <w:spacing w:line="207" w:lineRule="exact" w:before="0" w:after="0"/>
        <w:ind w:left="1071" w:right="0" w:hanging="566"/>
        <w:jc w:val="left"/>
        <w:rPr>
          <w:sz w:val="18"/>
        </w:rPr>
      </w:pPr>
      <w:r>
        <w:rPr>
          <w:sz w:val="18"/>
        </w:rPr>
        <w:t>Credit</w:t>
      </w:r>
      <w:r>
        <w:rPr>
          <w:spacing w:val="-1"/>
          <w:sz w:val="18"/>
        </w:rPr>
        <w:t> </w:t>
      </w:r>
      <w:r>
        <w:rPr>
          <w:sz w:val="18"/>
        </w:rPr>
        <w:t>risk</w:t>
      </w:r>
    </w:p>
    <w:p>
      <w:pPr>
        <w:pStyle w:val="BodyText"/>
        <w:spacing w:before="11"/>
        <w:rPr>
          <w:sz w:val="24"/>
        </w:rPr>
      </w:pPr>
    </w:p>
    <w:p>
      <w:pPr>
        <w:pStyle w:val="BodyText"/>
        <w:ind w:left="1071" w:right="205"/>
      </w:pPr>
      <w:r>
        <w:rPr/>
        <w:t>Credit risk is the risk of financial loss to the Group if a customer or counterparty to a financial instrument fails to meet its contractual obligations and arises primarily from receivables from customers and investment securities.</w:t>
      </w:r>
    </w:p>
    <w:p>
      <w:pPr>
        <w:pStyle w:val="BodyText"/>
        <w:rPr>
          <w:sz w:val="25"/>
        </w:rPr>
      </w:pPr>
    </w:p>
    <w:p>
      <w:pPr>
        <w:spacing w:before="0"/>
        <w:ind w:left="1071" w:right="596" w:firstLine="0"/>
        <w:jc w:val="left"/>
        <w:rPr>
          <w:i/>
          <w:sz w:val="18"/>
        </w:rPr>
      </w:pPr>
      <w:r>
        <w:rPr>
          <w:i/>
          <w:sz w:val="18"/>
        </w:rPr>
        <w:t>Receivables</w:t>
      </w:r>
    </w:p>
    <w:p>
      <w:pPr>
        <w:pStyle w:val="BodyText"/>
        <w:rPr>
          <w:i/>
          <w:sz w:val="25"/>
        </w:rPr>
      </w:pPr>
    </w:p>
    <w:p>
      <w:pPr>
        <w:pStyle w:val="BodyText"/>
        <w:ind w:left="1072" w:right="474" w:hanging="2"/>
      </w:pPr>
      <w:r>
        <w:rPr/>
        <w:t>The Group’s exposure to credit risk is influenced mainly by the individual characteristics of each customer. Receivables are mainly attributable to sales transactions with a single customer. Apart from the Government deferred debtor, the Group does not have any material risk exposure to any other single debtor or group of debtors.</w:t>
      </w:r>
    </w:p>
    <w:p>
      <w:pPr>
        <w:pStyle w:val="BodyText"/>
        <w:rPr>
          <w:sz w:val="25"/>
        </w:rPr>
      </w:pPr>
    </w:p>
    <w:p>
      <w:pPr>
        <w:spacing w:before="0"/>
        <w:ind w:left="1071" w:right="596" w:firstLine="0"/>
        <w:jc w:val="left"/>
        <w:rPr>
          <w:i/>
          <w:sz w:val="18"/>
        </w:rPr>
      </w:pPr>
      <w:r>
        <w:rPr>
          <w:i/>
          <w:sz w:val="18"/>
        </w:rPr>
        <w:t>Investments</w:t>
      </w:r>
    </w:p>
    <w:p>
      <w:pPr>
        <w:pStyle w:val="BodyText"/>
        <w:rPr>
          <w:i/>
          <w:sz w:val="25"/>
        </w:rPr>
      </w:pPr>
    </w:p>
    <w:p>
      <w:pPr>
        <w:pStyle w:val="BodyText"/>
        <w:ind w:left="1072" w:right="106" w:hanging="2"/>
      </w:pPr>
      <w:r>
        <w:rPr/>
        <w:t>The Group limits its exposure to credit risk through its Credit Risk Policy which establishes eligible counterparties with credit limits based upon counterparty credit ratings and accessible shareholder funds. An eligible counterparty must be rated from Standard and Poors or Moodys at a level equivalent to A (Standard and Poors long term) or A2 (Standard and Poors short term) or better, and has accessible shareholder funds of at least</w:t>
      </w:r>
    </w:p>
    <w:p>
      <w:pPr>
        <w:pStyle w:val="BodyText"/>
        <w:ind w:left="1072" w:right="773"/>
      </w:pPr>
      <w:r>
        <w:rPr/>
        <w:t>$100m. Given these high credit ratings, management does not expect any counterparty to fail to meet its obligations. Funds managers are closely monitored to ensure adherence to the Credit Risk policy.</w:t>
      </w:r>
    </w:p>
    <w:p>
      <w:pPr>
        <w:pStyle w:val="BodyText"/>
      </w:pPr>
    </w:p>
    <w:p>
      <w:pPr>
        <w:pStyle w:val="BodyText"/>
        <w:spacing w:before="11"/>
        <w:rPr>
          <w:sz w:val="26"/>
        </w:rPr>
      </w:pPr>
    </w:p>
    <w:p>
      <w:pPr>
        <w:pStyle w:val="ListParagraph"/>
        <w:numPr>
          <w:ilvl w:val="0"/>
          <w:numId w:val="25"/>
        </w:numPr>
        <w:tabs>
          <w:tab w:pos="1072" w:val="left" w:leader="none"/>
        </w:tabs>
        <w:spacing w:line="240" w:lineRule="auto" w:before="0" w:after="0"/>
        <w:ind w:left="1071" w:right="0" w:hanging="566"/>
        <w:jc w:val="left"/>
        <w:rPr>
          <w:sz w:val="18"/>
        </w:rPr>
      </w:pPr>
      <w:r>
        <w:rPr>
          <w:sz w:val="18"/>
        </w:rPr>
        <w:t>Liquidity</w:t>
      </w:r>
      <w:r>
        <w:rPr>
          <w:spacing w:val="-1"/>
          <w:sz w:val="18"/>
        </w:rPr>
        <w:t> </w:t>
      </w:r>
      <w:r>
        <w:rPr>
          <w:sz w:val="18"/>
        </w:rPr>
        <w:t>risk</w:t>
      </w:r>
    </w:p>
    <w:p>
      <w:pPr>
        <w:pStyle w:val="BodyText"/>
        <w:spacing w:before="11"/>
        <w:rPr>
          <w:sz w:val="24"/>
        </w:rPr>
      </w:pPr>
    </w:p>
    <w:p>
      <w:pPr>
        <w:pStyle w:val="BodyText"/>
        <w:ind w:left="1072" w:right="133" w:hanging="2"/>
      </w:pPr>
      <w:r>
        <w:rPr/>
        <w:t>Liquidity risk is the risk that the Group will not be able to meets its financial obligations as they fall due. The Group’s approach to managing liquidity is to ensure, as far as possible, that it will have sufficient liquidity to meet its liabilities when due under both normal and stressed conditions, without incurring unacceptable losses or reputational risk.</w:t>
      </w:r>
    </w:p>
    <w:p>
      <w:pPr>
        <w:pStyle w:val="BodyText"/>
        <w:rPr>
          <w:sz w:val="25"/>
        </w:rPr>
      </w:pPr>
    </w:p>
    <w:p>
      <w:pPr>
        <w:pStyle w:val="BodyText"/>
        <w:ind w:left="1072" w:right="506" w:hanging="2"/>
      </w:pPr>
      <w:r>
        <w:rPr/>
        <w:t>The Group reviews its immediate and short term cash requirements on a daily basis with a three year rolling cash flow forecast regularly provided to management.</w:t>
      </w:r>
    </w:p>
    <w:p>
      <w:pPr>
        <w:spacing w:after="0"/>
        <w:sectPr>
          <w:footerReference w:type="default" r:id="rId84"/>
          <w:pgSz w:w="11910" w:h="16840"/>
          <w:pgMar w:footer="507" w:header="1038" w:top="2220" w:bottom="700" w:left="900" w:right="840"/>
        </w:sectPr>
      </w:pPr>
    </w:p>
    <w:p>
      <w:pPr>
        <w:pStyle w:val="Heading6"/>
        <w:spacing w:before="45"/>
        <w:ind w:right="0"/>
      </w:pPr>
      <w:r>
        <w:rPr/>
        <w:t>University of Western Sydney</w:t>
      </w:r>
    </w:p>
    <w:p>
      <w:pPr>
        <w:pStyle w:val="BodyText"/>
        <w:spacing w:before="5"/>
        <w:rPr>
          <w:b/>
          <w:sz w:val="29"/>
        </w:rPr>
      </w:pPr>
    </w:p>
    <w:p>
      <w:pPr>
        <w:spacing w:before="0"/>
        <w:ind w:left="107" w:right="0" w:firstLine="0"/>
        <w:jc w:val="left"/>
        <w:rPr>
          <w:b/>
          <w:sz w:val="28"/>
        </w:rPr>
      </w:pPr>
      <w:r>
        <w:rPr>
          <w:b/>
          <w:sz w:val="28"/>
        </w:rPr>
        <w:t>Notes to the Financial Statements</w:t>
      </w:r>
    </w:p>
    <w:p>
      <w:pPr>
        <w:spacing w:before="57"/>
        <w:ind w:left="107" w:right="0" w:firstLine="0"/>
        <w:jc w:val="left"/>
        <w:rPr>
          <w:b/>
          <w:sz w:val="22"/>
        </w:rPr>
      </w:pPr>
      <w:r>
        <w:rPr>
          <w:b/>
          <w:sz w:val="22"/>
        </w:rPr>
        <w:t>For the Year Ended 31 December 2012</w:t>
      </w:r>
    </w:p>
    <w:p>
      <w:pPr>
        <w:pStyle w:val="BodyText"/>
        <w:rPr>
          <w:b/>
          <w:sz w:val="22"/>
        </w:rPr>
      </w:pPr>
    </w:p>
    <w:p>
      <w:pPr>
        <w:pStyle w:val="BodyText"/>
        <w:rPr>
          <w:b/>
          <w:sz w:val="22"/>
        </w:rPr>
      </w:pPr>
    </w:p>
    <w:p>
      <w:pPr>
        <w:pStyle w:val="Heading9"/>
        <w:spacing w:before="160"/>
        <w:ind w:left="109"/>
      </w:pPr>
      <w:r>
        <w:rPr/>
        <w:t>32    Financial Risk Management (continued)</w:t>
      </w:r>
    </w:p>
    <w:p>
      <w:pPr>
        <w:pStyle w:val="BodyText"/>
        <w:spacing w:before="11"/>
        <w:rPr>
          <w:b/>
          <w:sz w:val="24"/>
        </w:rPr>
      </w:pPr>
    </w:p>
    <w:p>
      <w:pPr>
        <w:pStyle w:val="ListParagraph"/>
        <w:numPr>
          <w:ilvl w:val="0"/>
          <w:numId w:val="26"/>
        </w:numPr>
        <w:tabs>
          <w:tab w:pos="1072" w:val="left" w:leader="none"/>
        </w:tabs>
        <w:spacing w:line="207" w:lineRule="exact" w:before="0" w:after="0"/>
        <w:ind w:left="1071" w:right="0" w:hanging="566"/>
        <w:jc w:val="left"/>
        <w:rPr>
          <w:sz w:val="18"/>
        </w:rPr>
      </w:pPr>
      <w:r>
        <w:rPr>
          <w:sz w:val="18"/>
        </w:rPr>
        <w:t>Liquidity risk</w:t>
      </w:r>
      <w:r>
        <w:rPr>
          <w:spacing w:val="-1"/>
          <w:sz w:val="18"/>
        </w:rPr>
        <w:t> </w:t>
      </w:r>
      <w:r>
        <w:rPr>
          <w:sz w:val="18"/>
        </w:rPr>
        <w:t>(continued)</w:t>
      </w:r>
    </w:p>
    <w:p>
      <w:pPr>
        <w:pStyle w:val="BodyText"/>
        <w:spacing w:line="207" w:lineRule="exact"/>
        <w:ind w:left="1072"/>
      </w:pPr>
      <w:r>
        <w:rPr/>
        <w:t>The following tables summarise the maturity of the Group’s financial assets and financial liabilities:</w:t>
      </w:r>
    </w:p>
    <w:p>
      <w:pPr>
        <w:pStyle w:val="BodyText"/>
      </w:pPr>
    </w:p>
    <w:p>
      <w:pPr>
        <w:pStyle w:val="BodyText"/>
        <w:spacing w:before="5"/>
        <w:rPr>
          <w:sz w:val="15"/>
        </w:rPr>
      </w:pPr>
    </w:p>
    <w:p>
      <w:pPr>
        <w:spacing w:before="0"/>
        <w:ind w:left="3260" w:right="0" w:firstLine="0"/>
        <w:jc w:val="left"/>
        <w:rPr>
          <w:b/>
          <w:sz w:val="14"/>
        </w:rPr>
      </w:pPr>
      <w:r>
        <w:rPr>
          <w:b/>
          <w:sz w:val="14"/>
        </w:rPr>
        <w:t>Average Interest</w:t>
      </w:r>
    </w:p>
    <w:p>
      <w:pPr>
        <w:tabs>
          <w:tab w:pos="4450" w:val="left" w:leader="none"/>
          <w:tab w:pos="6208" w:val="left" w:leader="none"/>
          <w:tab w:pos="7965" w:val="left" w:leader="none"/>
          <w:tab w:pos="9722" w:val="left" w:leader="none"/>
          <w:tab w:pos="11479" w:val="left" w:leader="none"/>
          <w:tab w:pos="13236" w:val="left" w:leader="none"/>
        </w:tabs>
        <w:spacing w:before="0" w:after="37"/>
        <w:ind w:left="3260" w:right="0" w:firstLine="0"/>
        <w:jc w:val="left"/>
        <w:rPr>
          <w:b/>
          <w:sz w:val="14"/>
        </w:rPr>
      </w:pPr>
      <w:r>
        <w:rPr>
          <w:b/>
          <w:sz w:val="14"/>
        </w:rPr>
        <w:t>rate</w:t>
        <w:tab/>
        <w:t>Variable interest rate</w:t>
        <w:tab/>
        <w:t>Within 1 year</w:t>
        <w:tab/>
        <w:t>1 - 5 years</w:t>
        <w:tab/>
        <w:t>5+ years</w:t>
        <w:tab/>
        <w:t>Non Interest</w:t>
        <w:tab/>
        <w:t>Total</w:t>
      </w:r>
    </w:p>
    <w:tbl>
      <w:tblPr>
        <w:tblW w:w="0" w:type="auto"/>
        <w:jc w:val="left"/>
        <w:tblInd w:w="10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56"/>
        <w:gridCol w:w="600"/>
        <w:gridCol w:w="596"/>
        <w:gridCol w:w="385"/>
        <w:gridCol w:w="493"/>
        <w:gridCol w:w="857"/>
        <w:gridCol w:w="408"/>
        <w:gridCol w:w="516"/>
        <w:gridCol w:w="379"/>
        <w:gridCol w:w="477"/>
        <w:gridCol w:w="901"/>
        <w:gridCol w:w="856"/>
        <w:gridCol w:w="576"/>
        <w:gridCol w:w="955"/>
        <w:gridCol w:w="1127"/>
        <w:gridCol w:w="856"/>
        <w:gridCol w:w="901"/>
        <w:gridCol w:w="851"/>
      </w:tblGrid>
      <w:tr>
        <w:trPr>
          <w:trHeight w:val="499" w:hRule="exact"/>
        </w:trPr>
        <w:tc>
          <w:tcPr>
            <w:tcW w:w="2156" w:type="dxa"/>
          </w:tcPr>
          <w:p>
            <w:pPr/>
          </w:p>
        </w:tc>
        <w:tc>
          <w:tcPr>
            <w:tcW w:w="600" w:type="dxa"/>
          </w:tcPr>
          <w:p>
            <w:pPr>
              <w:pStyle w:val="TableParagraph"/>
              <w:spacing w:before="30"/>
              <w:ind w:left="33"/>
              <w:rPr>
                <w:b/>
                <w:sz w:val="14"/>
              </w:rPr>
            </w:pPr>
            <w:r>
              <w:rPr>
                <w:b/>
                <w:sz w:val="14"/>
              </w:rPr>
              <w:t>2012</w:t>
            </w:r>
          </w:p>
          <w:p>
            <w:pPr>
              <w:pStyle w:val="TableParagraph"/>
              <w:spacing w:before="67"/>
              <w:ind w:left="33"/>
              <w:rPr>
                <w:b/>
                <w:sz w:val="14"/>
              </w:rPr>
            </w:pPr>
            <w:r>
              <w:rPr>
                <w:b/>
                <w:sz w:val="14"/>
              </w:rPr>
              <w:t>$'000</w:t>
            </w:r>
          </w:p>
        </w:tc>
        <w:tc>
          <w:tcPr>
            <w:tcW w:w="596" w:type="dxa"/>
          </w:tcPr>
          <w:p>
            <w:pPr>
              <w:pStyle w:val="TableParagraph"/>
              <w:spacing w:before="30"/>
              <w:ind w:left="52"/>
              <w:rPr>
                <w:b/>
                <w:sz w:val="14"/>
              </w:rPr>
            </w:pPr>
            <w:r>
              <w:rPr>
                <w:b/>
                <w:sz w:val="14"/>
              </w:rPr>
              <w:t>2011</w:t>
            </w:r>
          </w:p>
          <w:p>
            <w:pPr>
              <w:pStyle w:val="TableParagraph"/>
              <w:spacing w:before="67"/>
              <w:ind w:left="52"/>
              <w:rPr>
                <w:b/>
                <w:sz w:val="14"/>
              </w:rPr>
            </w:pPr>
            <w:r>
              <w:rPr>
                <w:b/>
                <w:sz w:val="14"/>
              </w:rPr>
              <w:t>$'000</w:t>
            </w:r>
          </w:p>
        </w:tc>
        <w:tc>
          <w:tcPr>
            <w:tcW w:w="385" w:type="dxa"/>
          </w:tcPr>
          <w:p>
            <w:pPr>
              <w:pStyle w:val="TableParagraph"/>
              <w:spacing w:before="30"/>
              <w:ind w:left="28" w:right="-8"/>
              <w:rPr>
                <w:b/>
                <w:sz w:val="14"/>
              </w:rPr>
            </w:pPr>
            <w:r>
              <w:rPr>
                <w:b/>
                <w:sz w:val="14"/>
              </w:rPr>
              <w:t>2012</w:t>
            </w:r>
          </w:p>
          <w:p>
            <w:pPr>
              <w:pStyle w:val="TableParagraph"/>
              <w:spacing w:before="67"/>
              <w:ind w:left="28" w:right="-8"/>
              <w:rPr>
                <w:b/>
                <w:sz w:val="14"/>
              </w:rPr>
            </w:pPr>
            <w:r>
              <w:rPr>
                <w:b/>
                <w:sz w:val="14"/>
              </w:rPr>
              <w:t>$'000</w:t>
            </w:r>
          </w:p>
        </w:tc>
        <w:tc>
          <w:tcPr>
            <w:tcW w:w="1350" w:type="dxa"/>
            <w:gridSpan w:val="2"/>
          </w:tcPr>
          <w:p>
            <w:pPr>
              <w:pStyle w:val="TableParagraph"/>
              <w:spacing w:before="30"/>
              <w:ind w:left="493" w:right="439"/>
              <w:jc w:val="center"/>
              <w:rPr>
                <w:b/>
                <w:sz w:val="14"/>
              </w:rPr>
            </w:pPr>
            <w:r>
              <w:rPr>
                <w:b/>
                <w:sz w:val="14"/>
              </w:rPr>
              <w:t>2011</w:t>
            </w:r>
          </w:p>
          <w:p>
            <w:pPr>
              <w:pStyle w:val="TableParagraph"/>
              <w:spacing w:before="67"/>
              <w:ind w:left="526" w:right="439"/>
              <w:jc w:val="center"/>
              <w:rPr>
                <w:b/>
                <w:sz w:val="14"/>
              </w:rPr>
            </w:pPr>
            <w:r>
              <w:rPr>
                <w:b/>
                <w:sz w:val="14"/>
              </w:rPr>
              <w:t>$'000</w:t>
            </w:r>
          </w:p>
        </w:tc>
        <w:tc>
          <w:tcPr>
            <w:tcW w:w="408" w:type="dxa"/>
          </w:tcPr>
          <w:p>
            <w:pPr>
              <w:pStyle w:val="TableParagraph"/>
              <w:spacing w:before="30"/>
              <w:ind w:left="51" w:right="-8"/>
              <w:rPr>
                <w:b/>
                <w:sz w:val="14"/>
              </w:rPr>
            </w:pPr>
            <w:r>
              <w:rPr>
                <w:b/>
                <w:sz w:val="14"/>
              </w:rPr>
              <w:t>2012</w:t>
            </w:r>
          </w:p>
          <w:p>
            <w:pPr>
              <w:pStyle w:val="TableParagraph"/>
              <w:spacing w:before="67"/>
              <w:ind w:left="51" w:right="-8"/>
              <w:rPr>
                <w:b/>
                <w:sz w:val="14"/>
              </w:rPr>
            </w:pPr>
            <w:r>
              <w:rPr>
                <w:b/>
                <w:sz w:val="14"/>
              </w:rPr>
              <w:t>$'000</w:t>
            </w:r>
          </w:p>
        </w:tc>
        <w:tc>
          <w:tcPr>
            <w:tcW w:w="895" w:type="dxa"/>
            <w:gridSpan w:val="2"/>
          </w:tcPr>
          <w:p>
            <w:pPr>
              <w:pStyle w:val="TableParagraph"/>
              <w:spacing w:before="30"/>
              <w:ind w:left="544" w:right="-15"/>
              <w:rPr>
                <w:b/>
                <w:sz w:val="14"/>
              </w:rPr>
            </w:pPr>
            <w:r>
              <w:rPr>
                <w:b/>
                <w:sz w:val="14"/>
              </w:rPr>
              <w:t>2011</w:t>
            </w:r>
          </w:p>
          <w:p>
            <w:pPr>
              <w:pStyle w:val="TableParagraph"/>
              <w:spacing w:before="67"/>
              <w:ind w:left="544" w:right="-15"/>
              <w:rPr>
                <w:b/>
                <w:sz w:val="14"/>
              </w:rPr>
            </w:pPr>
            <w:r>
              <w:rPr>
                <w:b/>
                <w:sz w:val="14"/>
              </w:rPr>
              <w:t>$'000</w:t>
            </w:r>
          </w:p>
        </w:tc>
        <w:tc>
          <w:tcPr>
            <w:tcW w:w="1378" w:type="dxa"/>
            <w:gridSpan w:val="2"/>
          </w:tcPr>
          <w:p>
            <w:pPr>
              <w:pStyle w:val="TableParagraph"/>
              <w:spacing w:before="30"/>
              <w:ind w:left="453" w:right="505"/>
              <w:jc w:val="center"/>
              <w:rPr>
                <w:b/>
                <w:sz w:val="14"/>
              </w:rPr>
            </w:pPr>
            <w:r>
              <w:rPr>
                <w:b/>
                <w:sz w:val="14"/>
              </w:rPr>
              <w:t>2012</w:t>
            </w:r>
          </w:p>
          <w:p>
            <w:pPr>
              <w:pStyle w:val="TableParagraph"/>
              <w:spacing w:before="67"/>
              <w:ind w:left="487" w:right="505"/>
              <w:jc w:val="center"/>
              <w:rPr>
                <w:b/>
                <w:sz w:val="14"/>
              </w:rPr>
            </w:pPr>
            <w:r>
              <w:rPr>
                <w:b/>
                <w:sz w:val="14"/>
              </w:rPr>
              <w:t>$'000</w:t>
            </w:r>
          </w:p>
        </w:tc>
        <w:tc>
          <w:tcPr>
            <w:tcW w:w="856" w:type="dxa"/>
          </w:tcPr>
          <w:p>
            <w:pPr>
              <w:pStyle w:val="TableParagraph"/>
              <w:spacing w:before="30"/>
              <w:ind w:left="29"/>
              <w:rPr>
                <w:b/>
                <w:sz w:val="14"/>
              </w:rPr>
            </w:pPr>
            <w:r>
              <w:rPr>
                <w:b/>
                <w:sz w:val="14"/>
              </w:rPr>
              <w:t>2011</w:t>
            </w:r>
          </w:p>
          <w:p>
            <w:pPr>
              <w:pStyle w:val="TableParagraph"/>
              <w:spacing w:before="67"/>
              <w:ind w:left="29"/>
              <w:rPr>
                <w:b/>
                <w:sz w:val="14"/>
              </w:rPr>
            </w:pPr>
            <w:r>
              <w:rPr>
                <w:b/>
                <w:sz w:val="14"/>
              </w:rPr>
              <w:t>$'000</w:t>
            </w:r>
          </w:p>
        </w:tc>
        <w:tc>
          <w:tcPr>
            <w:tcW w:w="576" w:type="dxa"/>
          </w:tcPr>
          <w:p>
            <w:pPr>
              <w:pStyle w:val="TableParagraph"/>
              <w:spacing w:before="30"/>
              <w:ind w:left="28"/>
              <w:rPr>
                <w:b/>
                <w:sz w:val="14"/>
              </w:rPr>
            </w:pPr>
            <w:r>
              <w:rPr>
                <w:b/>
                <w:sz w:val="14"/>
              </w:rPr>
              <w:t>2012</w:t>
            </w:r>
          </w:p>
          <w:p>
            <w:pPr>
              <w:pStyle w:val="TableParagraph"/>
              <w:spacing w:before="67"/>
              <w:ind w:left="28"/>
              <w:rPr>
                <w:b/>
                <w:sz w:val="14"/>
              </w:rPr>
            </w:pPr>
            <w:r>
              <w:rPr>
                <w:b/>
                <w:sz w:val="14"/>
              </w:rPr>
              <w:t>$'000</w:t>
            </w:r>
          </w:p>
        </w:tc>
        <w:tc>
          <w:tcPr>
            <w:tcW w:w="955" w:type="dxa"/>
          </w:tcPr>
          <w:p>
            <w:pPr>
              <w:pStyle w:val="TableParagraph"/>
              <w:spacing w:before="30"/>
              <w:ind w:left="354"/>
              <w:rPr>
                <w:b/>
                <w:sz w:val="14"/>
              </w:rPr>
            </w:pPr>
            <w:r>
              <w:rPr>
                <w:b/>
                <w:sz w:val="14"/>
              </w:rPr>
              <w:t>2011</w:t>
            </w:r>
          </w:p>
          <w:p>
            <w:pPr>
              <w:pStyle w:val="TableParagraph"/>
              <w:spacing w:before="67"/>
              <w:ind w:left="354"/>
              <w:rPr>
                <w:b/>
                <w:sz w:val="14"/>
              </w:rPr>
            </w:pPr>
            <w:r>
              <w:rPr>
                <w:b/>
                <w:sz w:val="14"/>
              </w:rPr>
              <w:t>$'000</w:t>
            </w:r>
          </w:p>
        </w:tc>
        <w:tc>
          <w:tcPr>
            <w:tcW w:w="1127" w:type="dxa"/>
          </w:tcPr>
          <w:p>
            <w:pPr>
              <w:pStyle w:val="TableParagraph"/>
              <w:spacing w:before="30"/>
              <w:ind w:left="254"/>
              <w:rPr>
                <w:b/>
                <w:sz w:val="14"/>
              </w:rPr>
            </w:pPr>
            <w:r>
              <w:rPr>
                <w:b/>
                <w:sz w:val="14"/>
              </w:rPr>
              <w:t>2012</w:t>
            </w:r>
          </w:p>
          <w:p>
            <w:pPr>
              <w:pStyle w:val="TableParagraph"/>
              <w:spacing w:before="67"/>
              <w:ind w:left="254"/>
              <w:rPr>
                <w:b/>
                <w:sz w:val="14"/>
              </w:rPr>
            </w:pPr>
            <w:r>
              <w:rPr>
                <w:b/>
                <w:sz w:val="14"/>
              </w:rPr>
              <w:t>$'000</w:t>
            </w:r>
          </w:p>
        </w:tc>
        <w:tc>
          <w:tcPr>
            <w:tcW w:w="856" w:type="dxa"/>
          </w:tcPr>
          <w:p>
            <w:pPr>
              <w:pStyle w:val="TableParagraph"/>
              <w:spacing w:before="30"/>
              <w:ind w:left="29"/>
              <w:rPr>
                <w:b/>
                <w:sz w:val="14"/>
              </w:rPr>
            </w:pPr>
            <w:r>
              <w:rPr>
                <w:b/>
                <w:sz w:val="14"/>
              </w:rPr>
              <w:t>2011</w:t>
            </w:r>
          </w:p>
          <w:p>
            <w:pPr>
              <w:pStyle w:val="TableParagraph"/>
              <w:spacing w:before="67"/>
              <w:ind w:left="29"/>
              <w:rPr>
                <w:b/>
                <w:sz w:val="14"/>
              </w:rPr>
            </w:pPr>
            <w:r>
              <w:rPr>
                <w:b/>
                <w:sz w:val="14"/>
              </w:rPr>
              <w:t>$'000</w:t>
            </w:r>
          </w:p>
        </w:tc>
        <w:tc>
          <w:tcPr>
            <w:tcW w:w="901" w:type="dxa"/>
          </w:tcPr>
          <w:p>
            <w:pPr>
              <w:pStyle w:val="TableParagraph"/>
              <w:spacing w:before="30"/>
              <w:ind w:left="28"/>
              <w:rPr>
                <w:b/>
                <w:sz w:val="14"/>
              </w:rPr>
            </w:pPr>
            <w:r>
              <w:rPr>
                <w:b/>
                <w:sz w:val="14"/>
              </w:rPr>
              <w:t>2012</w:t>
            </w:r>
          </w:p>
          <w:p>
            <w:pPr>
              <w:pStyle w:val="TableParagraph"/>
              <w:spacing w:before="67"/>
              <w:ind w:left="28"/>
              <w:rPr>
                <w:b/>
                <w:sz w:val="14"/>
              </w:rPr>
            </w:pPr>
            <w:r>
              <w:rPr>
                <w:b/>
                <w:sz w:val="14"/>
              </w:rPr>
              <w:t>$'000</w:t>
            </w:r>
          </w:p>
        </w:tc>
        <w:tc>
          <w:tcPr>
            <w:tcW w:w="851" w:type="dxa"/>
          </w:tcPr>
          <w:p>
            <w:pPr>
              <w:pStyle w:val="TableParagraph"/>
              <w:spacing w:before="30"/>
              <w:ind w:left="28"/>
              <w:rPr>
                <w:b/>
                <w:sz w:val="14"/>
              </w:rPr>
            </w:pPr>
            <w:r>
              <w:rPr>
                <w:b/>
                <w:sz w:val="14"/>
              </w:rPr>
              <w:t>2011</w:t>
            </w:r>
          </w:p>
          <w:p>
            <w:pPr>
              <w:pStyle w:val="TableParagraph"/>
              <w:spacing w:before="67"/>
              <w:ind w:left="28"/>
              <w:rPr>
                <w:b/>
                <w:sz w:val="14"/>
              </w:rPr>
            </w:pPr>
            <w:r>
              <w:rPr>
                <w:b/>
                <w:sz w:val="14"/>
              </w:rPr>
              <w:t>$'000</w:t>
            </w:r>
          </w:p>
        </w:tc>
      </w:tr>
      <w:tr>
        <w:trPr>
          <w:trHeight w:val="248" w:hRule="exact"/>
        </w:trPr>
        <w:tc>
          <w:tcPr>
            <w:tcW w:w="2156" w:type="dxa"/>
          </w:tcPr>
          <w:p>
            <w:pPr>
              <w:pStyle w:val="TableParagraph"/>
              <w:spacing w:before="66"/>
              <w:ind w:left="35"/>
              <w:rPr>
                <w:b/>
                <w:sz w:val="14"/>
              </w:rPr>
            </w:pPr>
            <w:r>
              <w:rPr>
                <w:b/>
                <w:sz w:val="14"/>
              </w:rPr>
              <w:t>Financial Assets:</w:t>
            </w:r>
          </w:p>
        </w:tc>
        <w:tc>
          <w:tcPr>
            <w:tcW w:w="600" w:type="dxa"/>
          </w:tcPr>
          <w:p>
            <w:pPr/>
          </w:p>
        </w:tc>
        <w:tc>
          <w:tcPr>
            <w:tcW w:w="596" w:type="dxa"/>
          </w:tcPr>
          <w:p>
            <w:pPr/>
          </w:p>
        </w:tc>
        <w:tc>
          <w:tcPr>
            <w:tcW w:w="385" w:type="dxa"/>
          </w:tcPr>
          <w:p>
            <w:pPr/>
          </w:p>
        </w:tc>
        <w:tc>
          <w:tcPr>
            <w:tcW w:w="1350" w:type="dxa"/>
            <w:gridSpan w:val="2"/>
          </w:tcPr>
          <w:p>
            <w:pPr/>
          </w:p>
        </w:tc>
        <w:tc>
          <w:tcPr>
            <w:tcW w:w="408" w:type="dxa"/>
          </w:tcPr>
          <w:p>
            <w:pPr/>
          </w:p>
        </w:tc>
        <w:tc>
          <w:tcPr>
            <w:tcW w:w="895" w:type="dxa"/>
            <w:gridSpan w:val="2"/>
          </w:tcPr>
          <w:p>
            <w:pPr/>
          </w:p>
        </w:tc>
        <w:tc>
          <w:tcPr>
            <w:tcW w:w="1378" w:type="dxa"/>
            <w:gridSpan w:val="2"/>
          </w:tcPr>
          <w:p>
            <w:pPr/>
          </w:p>
        </w:tc>
        <w:tc>
          <w:tcPr>
            <w:tcW w:w="856" w:type="dxa"/>
          </w:tcPr>
          <w:p>
            <w:pPr/>
          </w:p>
        </w:tc>
        <w:tc>
          <w:tcPr>
            <w:tcW w:w="576" w:type="dxa"/>
          </w:tcPr>
          <w:p>
            <w:pPr/>
          </w:p>
        </w:tc>
        <w:tc>
          <w:tcPr>
            <w:tcW w:w="955" w:type="dxa"/>
          </w:tcPr>
          <w:p>
            <w:pPr/>
          </w:p>
        </w:tc>
        <w:tc>
          <w:tcPr>
            <w:tcW w:w="1127" w:type="dxa"/>
          </w:tcPr>
          <w:p>
            <w:pPr/>
          </w:p>
        </w:tc>
        <w:tc>
          <w:tcPr>
            <w:tcW w:w="856" w:type="dxa"/>
          </w:tcPr>
          <w:p>
            <w:pPr/>
          </w:p>
        </w:tc>
        <w:tc>
          <w:tcPr>
            <w:tcW w:w="901" w:type="dxa"/>
          </w:tcPr>
          <w:p>
            <w:pPr/>
          </w:p>
        </w:tc>
        <w:tc>
          <w:tcPr>
            <w:tcW w:w="851" w:type="dxa"/>
          </w:tcPr>
          <w:p>
            <w:pPr/>
          </w:p>
        </w:tc>
      </w:tr>
      <w:tr>
        <w:trPr>
          <w:trHeight w:val="204" w:hRule="exact"/>
        </w:trPr>
        <w:tc>
          <w:tcPr>
            <w:tcW w:w="2756" w:type="dxa"/>
            <w:gridSpan w:val="2"/>
          </w:tcPr>
          <w:p>
            <w:pPr>
              <w:pStyle w:val="TableParagraph"/>
              <w:tabs>
                <w:tab w:pos="2703" w:val="right" w:leader="none"/>
              </w:tabs>
              <w:spacing w:before="7"/>
              <w:ind w:left="35"/>
              <w:rPr>
                <w:b/>
                <w:sz w:val="14"/>
              </w:rPr>
            </w:pPr>
            <w:r>
              <w:rPr>
                <w:sz w:val="14"/>
              </w:rPr>
              <w:t>Cash and cash equivalents</w:t>
            </w:r>
            <w:r>
              <w:rPr>
                <w:b/>
                <w:sz w:val="14"/>
              </w:rPr>
              <w:tab/>
              <w:t>4.22</w:t>
            </w:r>
          </w:p>
        </w:tc>
        <w:tc>
          <w:tcPr>
            <w:tcW w:w="596" w:type="dxa"/>
          </w:tcPr>
          <w:p>
            <w:pPr>
              <w:pStyle w:val="TableParagraph"/>
              <w:spacing w:before="7"/>
              <w:ind w:right="73"/>
              <w:jc w:val="right"/>
              <w:rPr>
                <w:sz w:val="14"/>
              </w:rPr>
            </w:pPr>
            <w:r>
              <w:rPr>
                <w:sz w:val="14"/>
              </w:rPr>
              <w:t>5.13</w:t>
            </w:r>
          </w:p>
        </w:tc>
        <w:tc>
          <w:tcPr>
            <w:tcW w:w="878" w:type="dxa"/>
            <w:gridSpan w:val="2"/>
          </w:tcPr>
          <w:p>
            <w:pPr>
              <w:pStyle w:val="TableParagraph"/>
              <w:spacing w:before="7"/>
              <w:ind w:left="395"/>
              <w:rPr>
                <w:b/>
                <w:sz w:val="14"/>
              </w:rPr>
            </w:pPr>
            <w:r>
              <w:rPr>
                <w:b/>
                <w:sz w:val="14"/>
              </w:rPr>
              <w:t>30,539</w:t>
            </w:r>
          </w:p>
        </w:tc>
        <w:tc>
          <w:tcPr>
            <w:tcW w:w="857" w:type="dxa"/>
          </w:tcPr>
          <w:p>
            <w:pPr>
              <w:pStyle w:val="TableParagraph"/>
              <w:spacing w:before="7"/>
              <w:ind w:right="49"/>
              <w:jc w:val="right"/>
              <w:rPr>
                <w:sz w:val="14"/>
              </w:rPr>
            </w:pPr>
            <w:r>
              <w:rPr>
                <w:sz w:val="14"/>
              </w:rPr>
              <w:t>29,852</w:t>
            </w:r>
          </w:p>
        </w:tc>
        <w:tc>
          <w:tcPr>
            <w:tcW w:w="924" w:type="dxa"/>
            <w:gridSpan w:val="2"/>
          </w:tcPr>
          <w:p>
            <w:pPr>
              <w:pStyle w:val="TableParagraph"/>
              <w:spacing w:before="7"/>
              <w:ind w:left="418"/>
              <w:rPr>
                <w:b/>
                <w:sz w:val="14"/>
              </w:rPr>
            </w:pPr>
            <w:r>
              <w:rPr>
                <w:b/>
                <w:sz w:val="14"/>
              </w:rPr>
              <w:t>45,038</w:t>
            </w:r>
          </w:p>
        </w:tc>
        <w:tc>
          <w:tcPr>
            <w:tcW w:w="856" w:type="dxa"/>
            <w:gridSpan w:val="2"/>
          </w:tcPr>
          <w:p>
            <w:pPr>
              <w:pStyle w:val="TableParagraph"/>
              <w:spacing w:before="7"/>
              <w:ind w:right="72"/>
              <w:jc w:val="right"/>
              <w:rPr>
                <w:sz w:val="14"/>
              </w:rPr>
            </w:pPr>
            <w:r>
              <w:rPr>
                <w:w w:val="100"/>
                <w:sz w:val="14"/>
              </w:rPr>
              <w:t>-</w:t>
            </w:r>
          </w:p>
        </w:tc>
        <w:tc>
          <w:tcPr>
            <w:tcW w:w="901" w:type="dxa"/>
          </w:tcPr>
          <w:p>
            <w:pPr>
              <w:pStyle w:val="TableParagraph"/>
              <w:spacing w:before="7"/>
              <w:ind w:right="73"/>
              <w:jc w:val="right"/>
              <w:rPr>
                <w:b/>
                <w:sz w:val="14"/>
              </w:rPr>
            </w:pPr>
            <w:r>
              <w:rPr>
                <w:b/>
                <w:w w:val="100"/>
                <w:sz w:val="14"/>
              </w:rPr>
              <w:t>-</w:t>
            </w:r>
          </w:p>
        </w:tc>
        <w:tc>
          <w:tcPr>
            <w:tcW w:w="856" w:type="dxa"/>
          </w:tcPr>
          <w:p>
            <w:pPr>
              <w:pStyle w:val="TableParagraph"/>
              <w:spacing w:before="7"/>
              <w:ind w:right="72"/>
              <w:jc w:val="right"/>
              <w:rPr>
                <w:sz w:val="14"/>
              </w:rPr>
            </w:pPr>
            <w:r>
              <w:rPr>
                <w:w w:val="100"/>
                <w:sz w:val="14"/>
              </w:rPr>
              <w:t>-</w:t>
            </w:r>
          </w:p>
        </w:tc>
        <w:tc>
          <w:tcPr>
            <w:tcW w:w="2659" w:type="dxa"/>
            <w:gridSpan w:val="3"/>
          </w:tcPr>
          <w:p>
            <w:pPr>
              <w:pStyle w:val="TableParagraph"/>
              <w:tabs>
                <w:tab w:pos="1636" w:val="left" w:leader="none"/>
                <w:tab w:pos="2536" w:val="left" w:leader="none"/>
              </w:tabs>
              <w:spacing w:before="7"/>
              <w:ind w:left="778"/>
              <w:rPr>
                <w:b/>
                <w:sz w:val="14"/>
              </w:rPr>
            </w:pPr>
            <w:r>
              <w:rPr>
                <w:b/>
                <w:sz w:val="14"/>
              </w:rPr>
              <w:t>-</w:t>
              <w:tab/>
            </w:r>
            <w:r>
              <w:rPr>
                <w:sz w:val="14"/>
              </w:rPr>
              <w:t>-</w:t>
              <w:tab/>
            </w:r>
            <w:r>
              <w:rPr>
                <w:b/>
                <w:sz w:val="14"/>
              </w:rPr>
              <w:t>-</w:t>
            </w:r>
          </w:p>
        </w:tc>
        <w:tc>
          <w:tcPr>
            <w:tcW w:w="856" w:type="dxa"/>
          </w:tcPr>
          <w:p>
            <w:pPr>
              <w:pStyle w:val="TableParagraph"/>
              <w:spacing w:before="7"/>
              <w:ind w:right="72"/>
              <w:jc w:val="right"/>
              <w:rPr>
                <w:sz w:val="14"/>
              </w:rPr>
            </w:pPr>
            <w:r>
              <w:rPr>
                <w:w w:val="100"/>
                <w:sz w:val="14"/>
              </w:rPr>
              <w:t>-</w:t>
            </w:r>
          </w:p>
        </w:tc>
        <w:tc>
          <w:tcPr>
            <w:tcW w:w="901" w:type="dxa"/>
          </w:tcPr>
          <w:p>
            <w:pPr>
              <w:pStyle w:val="TableParagraph"/>
              <w:spacing w:before="7"/>
              <w:ind w:right="73"/>
              <w:jc w:val="right"/>
              <w:rPr>
                <w:b/>
                <w:sz w:val="14"/>
              </w:rPr>
            </w:pPr>
            <w:r>
              <w:rPr>
                <w:b/>
                <w:sz w:val="14"/>
              </w:rPr>
              <w:t>75,577</w:t>
            </w:r>
          </w:p>
        </w:tc>
        <w:tc>
          <w:tcPr>
            <w:tcW w:w="851" w:type="dxa"/>
          </w:tcPr>
          <w:p>
            <w:pPr>
              <w:pStyle w:val="TableParagraph"/>
              <w:spacing w:before="7"/>
              <w:ind w:right="67"/>
              <w:jc w:val="right"/>
              <w:rPr>
                <w:sz w:val="14"/>
              </w:rPr>
            </w:pPr>
            <w:r>
              <w:rPr>
                <w:sz w:val="14"/>
              </w:rPr>
              <w:t>29,852</w:t>
            </w:r>
          </w:p>
        </w:tc>
      </w:tr>
      <w:tr>
        <w:trPr>
          <w:trHeight w:val="434" w:hRule="exact"/>
        </w:trPr>
        <w:tc>
          <w:tcPr>
            <w:tcW w:w="2756" w:type="dxa"/>
            <w:gridSpan w:val="2"/>
          </w:tcPr>
          <w:p>
            <w:pPr>
              <w:pStyle w:val="TableParagraph"/>
              <w:tabs>
                <w:tab w:pos="2656" w:val="left" w:leader="none"/>
              </w:tabs>
              <w:spacing w:before="21"/>
              <w:ind w:left="35"/>
              <w:rPr>
                <w:b/>
                <w:sz w:val="14"/>
              </w:rPr>
            </w:pPr>
            <w:r>
              <w:rPr>
                <w:sz w:val="14"/>
              </w:rPr>
              <w:t>Receivables (b)</w:t>
              <w:tab/>
            </w:r>
            <w:r>
              <w:rPr>
                <w:b/>
                <w:sz w:val="14"/>
              </w:rPr>
              <w:t>-</w:t>
            </w:r>
          </w:p>
          <w:p>
            <w:pPr>
              <w:pStyle w:val="TableParagraph"/>
              <w:spacing w:before="3"/>
              <w:rPr>
                <w:b/>
                <w:sz w:val="12"/>
              </w:rPr>
            </w:pPr>
          </w:p>
          <w:p>
            <w:pPr>
              <w:pStyle w:val="TableParagraph"/>
              <w:spacing w:line="150" w:lineRule="exact"/>
              <w:ind w:left="35"/>
              <w:rPr>
                <w:sz w:val="14"/>
              </w:rPr>
            </w:pPr>
            <w:r>
              <w:rPr>
                <w:sz w:val="14"/>
              </w:rPr>
              <w:t>Other Financial Assets:</w:t>
            </w:r>
          </w:p>
        </w:tc>
        <w:tc>
          <w:tcPr>
            <w:tcW w:w="596" w:type="dxa"/>
          </w:tcPr>
          <w:p>
            <w:pPr>
              <w:pStyle w:val="TableParagraph"/>
              <w:spacing w:before="21"/>
              <w:ind w:right="72"/>
              <w:jc w:val="right"/>
              <w:rPr>
                <w:sz w:val="14"/>
              </w:rPr>
            </w:pPr>
            <w:r>
              <w:rPr>
                <w:w w:val="100"/>
                <w:sz w:val="14"/>
              </w:rPr>
              <w:t>-</w:t>
            </w:r>
          </w:p>
        </w:tc>
        <w:tc>
          <w:tcPr>
            <w:tcW w:w="878" w:type="dxa"/>
            <w:gridSpan w:val="2"/>
          </w:tcPr>
          <w:p>
            <w:pPr>
              <w:pStyle w:val="TableParagraph"/>
              <w:spacing w:before="21"/>
              <w:ind w:right="50"/>
              <w:jc w:val="right"/>
              <w:rPr>
                <w:b/>
                <w:sz w:val="14"/>
              </w:rPr>
            </w:pPr>
            <w:r>
              <w:rPr>
                <w:b/>
                <w:w w:val="100"/>
                <w:sz w:val="14"/>
              </w:rPr>
              <w:t>-</w:t>
            </w:r>
          </w:p>
        </w:tc>
        <w:tc>
          <w:tcPr>
            <w:tcW w:w="857" w:type="dxa"/>
          </w:tcPr>
          <w:p>
            <w:pPr>
              <w:pStyle w:val="TableParagraph"/>
              <w:spacing w:before="21"/>
              <w:ind w:right="49"/>
              <w:jc w:val="right"/>
              <w:rPr>
                <w:sz w:val="14"/>
              </w:rPr>
            </w:pPr>
            <w:r>
              <w:rPr>
                <w:w w:val="100"/>
                <w:sz w:val="14"/>
              </w:rPr>
              <w:t>-</w:t>
            </w:r>
          </w:p>
        </w:tc>
        <w:tc>
          <w:tcPr>
            <w:tcW w:w="924" w:type="dxa"/>
            <w:gridSpan w:val="2"/>
          </w:tcPr>
          <w:p>
            <w:pPr>
              <w:pStyle w:val="TableParagraph"/>
              <w:spacing w:before="21"/>
              <w:ind w:right="73"/>
              <w:jc w:val="right"/>
              <w:rPr>
                <w:b/>
                <w:sz w:val="14"/>
              </w:rPr>
            </w:pPr>
            <w:r>
              <w:rPr>
                <w:b/>
                <w:w w:val="100"/>
                <w:sz w:val="14"/>
              </w:rPr>
              <w:t>-</w:t>
            </w:r>
          </w:p>
        </w:tc>
        <w:tc>
          <w:tcPr>
            <w:tcW w:w="856" w:type="dxa"/>
            <w:gridSpan w:val="2"/>
          </w:tcPr>
          <w:p>
            <w:pPr>
              <w:pStyle w:val="TableParagraph"/>
              <w:spacing w:before="21"/>
              <w:ind w:right="72"/>
              <w:jc w:val="right"/>
              <w:rPr>
                <w:sz w:val="14"/>
              </w:rPr>
            </w:pPr>
            <w:r>
              <w:rPr>
                <w:w w:val="100"/>
                <w:sz w:val="14"/>
              </w:rPr>
              <w:t>-</w:t>
            </w:r>
          </w:p>
        </w:tc>
        <w:tc>
          <w:tcPr>
            <w:tcW w:w="901" w:type="dxa"/>
          </w:tcPr>
          <w:p>
            <w:pPr>
              <w:pStyle w:val="TableParagraph"/>
              <w:spacing w:before="21"/>
              <w:ind w:right="73"/>
              <w:jc w:val="right"/>
              <w:rPr>
                <w:b/>
                <w:sz w:val="14"/>
              </w:rPr>
            </w:pPr>
            <w:r>
              <w:rPr>
                <w:b/>
                <w:w w:val="100"/>
                <w:sz w:val="14"/>
              </w:rPr>
              <w:t>-</w:t>
            </w:r>
          </w:p>
        </w:tc>
        <w:tc>
          <w:tcPr>
            <w:tcW w:w="856" w:type="dxa"/>
          </w:tcPr>
          <w:p>
            <w:pPr>
              <w:pStyle w:val="TableParagraph"/>
              <w:spacing w:before="21"/>
              <w:ind w:right="72"/>
              <w:jc w:val="right"/>
              <w:rPr>
                <w:sz w:val="14"/>
              </w:rPr>
            </w:pPr>
            <w:r>
              <w:rPr>
                <w:w w:val="100"/>
                <w:sz w:val="14"/>
              </w:rPr>
              <w:t>-</w:t>
            </w:r>
          </w:p>
        </w:tc>
        <w:tc>
          <w:tcPr>
            <w:tcW w:w="2659" w:type="dxa"/>
            <w:gridSpan w:val="3"/>
          </w:tcPr>
          <w:p>
            <w:pPr>
              <w:pStyle w:val="TableParagraph"/>
              <w:tabs>
                <w:tab w:pos="1636" w:val="left" w:leader="none"/>
                <w:tab w:pos="2153" w:val="left" w:leader="none"/>
              </w:tabs>
              <w:spacing w:before="21"/>
              <w:ind w:left="778"/>
              <w:rPr>
                <w:b/>
                <w:sz w:val="14"/>
              </w:rPr>
            </w:pPr>
            <w:r>
              <w:rPr>
                <w:b/>
                <w:sz w:val="14"/>
              </w:rPr>
              <w:t>-</w:t>
              <w:tab/>
            </w:r>
            <w:r>
              <w:rPr>
                <w:sz w:val="14"/>
              </w:rPr>
              <w:t>-</w:t>
              <w:tab/>
            </w:r>
            <w:r>
              <w:rPr>
                <w:b/>
                <w:sz w:val="14"/>
              </w:rPr>
              <w:t>26,312</w:t>
            </w:r>
          </w:p>
        </w:tc>
        <w:tc>
          <w:tcPr>
            <w:tcW w:w="856" w:type="dxa"/>
          </w:tcPr>
          <w:p>
            <w:pPr>
              <w:pStyle w:val="TableParagraph"/>
              <w:spacing w:before="21"/>
              <w:ind w:left="351"/>
              <w:rPr>
                <w:sz w:val="14"/>
              </w:rPr>
            </w:pPr>
            <w:r>
              <w:rPr>
                <w:sz w:val="14"/>
              </w:rPr>
              <w:t>22,016</w:t>
            </w:r>
          </w:p>
        </w:tc>
        <w:tc>
          <w:tcPr>
            <w:tcW w:w="901" w:type="dxa"/>
          </w:tcPr>
          <w:p>
            <w:pPr>
              <w:pStyle w:val="TableParagraph"/>
              <w:spacing w:before="21"/>
              <w:ind w:right="73"/>
              <w:jc w:val="right"/>
              <w:rPr>
                <w:b/>
                <w:sz w:val="14"/>
              </w:rPr>
            </w:pPr>
            <w:r>
              <w:rPr>
                <w:b/>
                <w:sz w:val="14"/>
              </w:rPr>
              <w:t>26,312</w:t>
            </w:r>
          </w:p>
        </w:tc>
        <w:tc>
          <w:tcPr>
            <w:tcW w:w="851" w:type="dxa"/>
          </w:tcPr>
          <w:p>
            <w:pPr>
              <w:pStyle w:val="TableParagraph"/>
              <w:spacing w:before="21"/>
              <w:ind w:right="67"/>
              <w:jc w:val="right"/>
              <w:rPr>
                <w:sz w:val="14"/>
              </w:rPr>
            </w:pPr>
            <w:r>
              <w:rPr>
                <w:sz w:val="14"/>
              </w:rPr>
              <w:t>22,016</w:t>
            </w:r>
          </w:p>
        </w:tc>
      </w:tr>
      <w:tr>
        <w:trPr>
          <w:trHeight w:val="434" w:hRule="exact"/>
        </w:trPr>
        <w:tc>
          <w:tcPr>
            <w:tcW w:w="2756" w:type="dxa"/>
            <w:gridSpan w:val="2"/>
          </w:tcPr>
          <w:p>
            <w:pPr>
              <w:pStyle w:val="TableParagraph"/>
              <w:spacing w:line="161" w:lineRule="exact" w:before="78"/>
              <w:ind w:left="249"/>
              <w:rPr>
                <w:sz w:val="14"/>
              </w:rPr>
            </w:pPr>
            <w:r>
              <w:rPr>
                <w:sz w:val="14"/>
              </w:rPr>
              <w:t>Designated as at fair value</w:t>
            </w:r>
          </w:p>
          <w:p>
            <w:pPr>
              <w:pStyle w:val="TableParagraph"/>
              <w:tabs>
                <w:tab w:pos="2656" w:val="left" w:leader="none"/>
              </w:tabs>
              <w:spacing w:line="161" w:lineRule="exact"/>
              <w:ind w:left="249"/>
              <w:rPr>
                <w:b/>
                <w:sz w:val="14"/>
              </w:rPr>
            </w:pPr>
            <w:r>
              <w:rPr>
                <w:sz w:val="14"/>
              </w:rPr>
              <w:t>through profit</w:t>
            </w:r>
            <w:r>
              <w:rPr>
                <w:spacing w:val="1"/>
                <w:sz w:val="14"/>
              </w:rPr>
              <w:t> </w:t>
            </w:r>
            <w:r>
              <w:rPr>
                <w:sz w:val="14"/>
              </w:rPr>
              <w:t>or loss</w:t>
              <w:tab/>
            </w:r>
            <w:r>
              <w:rPr>
                <w:b/>
                <w:sz w:val="14"/>
              </w:rPr>
              <w:t>-</w:t>
            </w:r>
          </w:p>
        </w:tc>
        <w:tc>
          <w:tcPr>
            <w:tcW w:w="596" w:type="dxa"/>
          </w:tcPr>
          <w:p>
            <w:pPr>
              <w:pStyle w:val="TableParagraph"/>
              <w:spacing w:before="7"/>
              <w:rPr>
                <w:b/>
                <w:sz w:val="20"/>
              </w:rPr>
            </w:pPr>
          </w:p>
          <w:p>
            <w:pPr>
              <w:pStyle w:val="TableParagraph"/>
              <w:ind w:right="26"/>
              <w:jc w:val="right"/>
              <w:rPr>
                <w:sz w:val="14"/>
              </w:rPr>
            </w:pPr>
            <w:r>
              <w:rPr>
                <w:sz w:val="14"/>
              </w:rPr>
              <w:t>(4.11)</w:t>
            </w:r>
          </w:p>
        </w:tc>
        <w:tc>
          <w:tcPr>
            <w:tcW w:w="878" w:type="dxa"/>
            <w:gridSpan w:val="2"/>
          </w:tcPr>
          <w:p>
            <w:pPr>
              <w:pStyle w:val="TableParagraph"/>
              <w:spacing w:before="7"/>
              <w:rPr>
                <w:b/>
                <w:sz w:val="20"/>
              </w:rPr>
            </w:pPr>
          </w:p>
          <w:p>
            <w:pPr>
              <w:pStyle w:val="TableParagraph"/>
              <w:ind w:right="50"/>
              <w:jc w:val="right"/>
              <w:rPr>
                <w:b/>
                <w:sz w:val="14"/>
              </w:rPr>
            </w:pPr>
            <w:r>
              <w:rPr>
                <w:b/>
                <w:w w:val="100"/>
                <w:sz w:val="14"/>
              </w:rPr>
              <w:t>-</w:t>
            </w:r>
          </w:p>
        </w:tc>
        <w:tc>
          <w:tcPr>
            <w:tcW w:w="857" w:type="dxa"/>
          </w:tcPr>
          <w:p>
            <w:pPr>
              <w:pStyle w:val="TableParagraph"/>
              <w:spacing w:before="7"/>
              <w:rPr>
                <w:b/>
                <w:sz w:val="20"/>
              </w:rPr>
            </w:pPr>
          </w:p>
          <w:p>
            <w:pPr>
              <w:pStyle w:val="TableParagraph"/>
              <w:ind w:right="50"/>
              <w:jc w:val="right"/>
              <w:rPr>
                <w:sz w:val="14"/>
              </w:rPr>
            </w:pPr>
            <w:r>
              <w:rPr>
                <w:sz w:val="14"/>
              </w:rPr>
              <w:t>9,651</w:t>
            </w:r>
          </w:p>
        </w:tc>
        <w:tc>
          <w:tcPr>
            <w:tcW w:w="924" w:type="dxa"/>
            <w:gridSpan w:val="2"/>
          </w:tcPr>
          <w:p>
            <w:pPr>
              <w:pStyle w:val="TableParagraph"/>
              <w:spacing w:before="7"/>
              <w:rPr>
                <w:b/>
                <w:sz w:val="20"/>
              </w:rPr>
            </w:pPr>
          </w:p>
          <w:p>
            <w:pPr>
              <w:pStyle w:val="TableParagraph"/>
              <w:ind w:right="73"/>
              <w:jc w:val="right"/>
              <w:rPr>
                <w:b/>
                <w:sz w:val="14"/>
              </w:rPr>
            </w:pPr>
            <w:r>
              <w:rPr>
                <w:b/>
                <w:w w:val="100"/>
                <w:sz w:val="14"/>
              </w:rPr>
              <w:t>-</w:t>
            </w:r>
          </w:p>
        </w:tc>
        <w:tc>
          <w:tcPr>
            <w:tcW w:w="856" w:type="dxa"/>
            <w:gridSpan w:val="2"/>
          </w:tcPr>
          <w:p>
            <w:pPr>
              <w:pStyle w:val="TableParagraph"/>
              <w:spacing w:before="7"/>
              <w:rPr>
                <w:b/>
                <w:sz w:val="20"/>
              </w:rPr>
            </w:pPr>
          </w:p>
          <w:p>
            <w:pPr>
              <w:pStyle w:val="TableParagraph"/>
              <w:ind w:right="74"/>
              <w:jc w:val="right"/>
              <w:rPr>
                <w:sz w:val="14"/>
              </w:rPr>
            </w:pPr>
            <w:r>
              <w:rPr>
                <w:w w:val="100"/>
                <w:sz w:val="14"/>
              </w:rPr>
              <w:t>-</w:t>
            </w:r>
          </w:p>
        </w:tc>
        <w:tc>
          <w:tcPr>
            <w:tcW w:w="901" w:type="dxa"/>
          </w:tcPr>
          <w:p>
            <w:pPr>
              <w:pStyle w:val="TableParagraph"/>
              <w:spacing w:before="7"/>
              <w:rPr>
                <w:b/>
                <w:sz w:val="20"/>
              </w:rPr>
            </w:pPr>
          </w:p>
          <w:p>
            <w:pPr>
              <w:pStyle w:val="TableParagraph"/>
              <w:ind w:right="73"/>
              <w:jc w:val="right"/>
              <w:rPr>
                <w:b/>
                <w:sz w:val="14"/>
              </w:rPr>
            </w:pPr>
            <w:r>
              <w:rPr>
                <w:b/>
                <w:w w:val="100"/>
                <w:sz w:val="14"/>
              </w:rPr>
              <w:t>-</w:t>
            </w:r>
          </w:p>
        </w:tc>
        <w:tc>
          <w:tcPr>
            <w:tcW w:w="856" w:type="dxa"/>
          </w:tcPr>
          <w:p>
            <w:pPr>
              <w:pStyle w:val="TableParagraph"/>
              <w:spacing w:before="7"/>
              <w:rPr>
                <w:b/>
                <w:sz w:val="20"/>
              </w:rPr>
            </w:pPr>
          </w:p>
          <w:p>
            <w:pPr>
              <w:pStyle w:val="TableParagraph"/>
              <w:ind w:right="73"/>
              <w:jc w:val="right"/>
              <w:rPr>
                <w:sz w:val="14"/>
              </w:rPr>
            </w:pPr>
            <w:r>
              <w:rPr>
                <w:w w:val="100"/>
                <w:sz w:val="14"/>
              </w:rPr>
              <w:t>-</w:t>
            </w:r>
          </w:p>
        </w:tc>
        <w:tc>
          <w:tcPr>
            <w:tcW w:w="2659" w:type="dxa"/>
            <w:gridSpan w:val="3"/>
          </w:tcPr>
          <w:p>
            <w:pPr>
              <w:pStyle w:val="TableParagraph"/>
              <w:spacing w:before="7"/>
              <w:rPr>
                <w:b/>
                <w:sz w:val="20"/>
              </w:rPr>
            </w:pPr>
          </w:p>
          <w:p>
            <w:pPr>
              <w:pStyle w:val="TableParagraph"/>
              <w:tabs>
                <w:tab w:pos="1636" w:val="left" w:leader="none"/>
                <w:tab w:pos="2536" w:val="left" w:leader="none"/>
              </w:tabs>
              <w:ind w:left="778"/>
              <w:rPr>
                <w:b/>
                <w:sz w:val="14"/>
              </w:rPr>
            </w:pPr>
            <w:r>
              <w:rPr>
                <w:b/>
                <w:sz w:val="14"/>
              </w:rPr>
              <w:t>-</w:t>
              <w:tab/>
            </w:r>
            <w:r>
              <w:rPr>
                <w:sz w:val="14"/>
              </w:rPr>
              <w:t>-</w:t>
              <w:tab/>
            </w:r>
            <w:r>
              <w:rPr>
                <w:b/>
                <w:sz w:val="14"/>
              </w:rPr>
              <w:t>-</w:t>
            </w:r>
          </w:p>
        </w:tc>
        <w:tc>
          <w:tcPr>
            <w:tcW w:w="856" w:type="dxa"/>
          </w:tcPr>
          <w:p>
            <w:pPr>
              <w:pStyle w:val="TableParagraph"/>
              <w:spacing w:before="7"/>
              <w:rPr>
                <w:b/>
                <w:sz w:val="20"/>
              </w:rPr>
            </w:pPr>
          </w:p>
          <w:p>
            <w:pPr>
              <w:pStyle w:val="TableParagraph"/>
              <w:ind w:right="73"/>
              <w:jc w:val="right"/>
              <w:rPr>
                <w:sz w:val="14"/>
              </w:rPr>
            </w:pPr>
            <w:r>
              <w:rPr>
                <w:w w:val="100"/>
                <w:sz w:val="14"/>
              </w:rPr>
              <w:t>-</w:t>
            </w:r>
          </w:p>
        </w:tc>
        <w:tc>
          <w:tcPr>
            <w:tcW w:w="901" w:type="dxa"/>
          </w:tcPr>
          <w:p>
            <w:pPr>
              <w:pStyle w:val="TableParagraph"/>
              <w:spacing w:before="7"/>
              <w:rPr>
                <w:b/>
                <w:sz w:val="20"/>
              </w:rPr>
            </w:pPr>
          </w:p>
          <w:p>
            <w:pPr>
              <w:pStyle w:val="TableParagraph"/>
              <w:ind w:right="73"/>
              <w:jc w:val="right"/>
              <w:rPr>
                <w:b/>
                <w:sz w:val="14"/>
              </w:rPr>
            </w:pPr>
            <w:r>
              <w:rPr>
                <w:b/>
                <w:w w:val="100"/>
                <w:sz w:val="14"/>
              </w:rPr>
              <w:t>-</w:t>
            </w:r>
          </w:p>
        </w:tc>
        <w:tc>
          <w:tcPr>
            <w:tcW w:w="851" w:type="dxa"/>
          </w:tcPr>
          <w:p>
            <w:pPr>
              <w:pStyle w:val="TableParagraph"/>
              <w:spacing w:before="7"/>
              <w:rPr>
                <w:b/>
                <w:sz w:val="20"/>
              </w:rPr>
            </w:pPr>
          </w:p>
          <w:p>
            <w:pPr>
              <w:pStyle w:val="TableParagraph"/>
              <w:ind w:right="67"/>
              <w:jc w:val="right"/>
              <w:rPr>
                <w:sz w:val="14"/>
              </w:rPr>
            </w:pPr>
            <w:r>
              <w:rPr>
                <w:sz w:val="14"/>
              </w:rPr>
              <w:t>9,651</w:t>
            </w:r>
          </w:p>
        </w:tc>
      </w:tr>
      <w:tr>
        <w:trPr>
          <w:trHeight w:val="218" w:hRule="exact"/>
        </w:trPr>
        <w:tc>
          <w:tcPr>
            <w:tcW w:w="2756" w:type="dxa"/>
            <w:gridSpan w:val="2"/>
          </w:tcPr>
          <w:p>
            <w:pPr>
              <w:pStyle w:val="TableParagraph"/>
              <w:tabs>
                <w:tab w:pos="2656" w:val="left" w:leader="none"/>
              </w:tabs>
              <w:spacing w:before="21"/>
              <w:ind w:left="249"/>
              <w:rPr>
                <w:b/>
                <w:sz w:val="14"/>
              </w:rPr>
            </w:pPr>
            <w:r>
              <w:rPr>
                <w:sz w:val="14"/>
              </w:rPr>
              <w:t>Available for</w:t>
            </w:r>
            <w:r>
              <w:rPr>
                <w:spacing w:val="1"/>
                <w:sz w:val="14"/>
              </w:rPr>
              <w:t> </w:t>
            </w:r>
            <w:r>
              <w:rPr>
                <w:sz w:val="14"/>
              </w:rPr>
              <w:t>sale (TCorp)</w:t>
              <w:tab/>
            </w:r>
            <w:r>
              <w:rPr>
                <w:b/>
                <w:sz w:val="14"/>
              </w:rPr>
              <w:t>-</w:t>
            </w:r>
          </w:p>
        </w:tc>
        <w:tc>
          <w:tcPr>
            <w:tcW w:w="596" w:type="dxa"/>
          </w:tcPr>
          <w:p>
            <w:pPr>
              <w:pStyle w:val="TableParagraph"/>
              <w:spacing w:before="21"/>
              <w:ind w:right="26"/>
              <w:jc w:val="right"/>
              <w:rPr>
                <w:sz w:val="14"/>
              </w:rPr>
            </w:pPr>
            <w:r>
              <w:rPr>
                <w:sz w:val="14"/>
              </w:rPr>
              <w:t>(3.95)</w:t>
            </w:r>
          </w:p>
        </w:tc>
        <w:tc>
          <w:tcPr>
            <w:tcW w:w="878" w:type="dxa"/>
            <w:gridSpan w:val="2"/>
          </w:tcPr>
          <w:p>
            <w:pPr>
              <w:pStyle w:val="TableParagraph"/>
              <w:spacing w:before="21"/>
              <w:ind w:right="50"/>
              <w:jc w:val="right"/>
              <w:rPr>
                <w:b/>
                <w:sz w:val="14"/>
              </w:rPr>
            </w:pPr>
            <w:r>
              <w:rPr>
                <w:b/>
                <w:w w:val="100"/>
                <w:sz w:val="14"/>
              </w:rPr>
              <w:t>-</w:t>
            </w:r>
          </w:p>
        </w:tc>
        <w:tc>
          <w:tcPr>
            <w:tcW w:w="857" w:type="dxa"/>
          </w:tcPr>
          <w:p>
            <w:pPr>
              <w:pStyle w:val="TableParagraph"/>
              <w:spacing w:before="21"/>
              <w:ind w:right="49"/>
              <w:jc w:val="right"/>
              <w:rPr>
                <w:sz w:val="14"/>
              </w:rPr>
            </w:pPr>
            <w:r>
              <w:rPr>
                <w:sz w:val="14"/>
              </w:rPr>
              <w:t>12,092</w:t>
            </w:r>
          </w:p>
        </w:tc>
        <w:tc>
          <w:tcPr>
            <w:tcW w:w="924" w:type="dxa"/>
            <w:gridSpan w:val="2"/>
          </w:tcPr>
          <w:p>
            <w:pPr>
              <w:pStyle w:val="TableParagraph"/>
              <w:spacing w:before="21"/>
              <w:ind w:right="73"/>
              <w:jc w:val="right"/>
              <w:rPr>
                <w:b/>
                <w:sz w:val="14"/>
              </w:rPr>
            </w:pPr>
            <w:r>
              <w:rPr>
                <w:b/>
                <w:w w:val="100"/>
                <w:sz w:val="14"/>
              </w:rPr>
              <w:t>-</w:t>
            </w:r>
          </w:p>
        </w:tc>
        <w:tc>
          <w:tcPr>
            <w:tcW w:w="856" w:type="dxa"/>
            <w:gridSpan w:val="2"/>
          </w:tcPr>
          <w:p>
            <w:pPr>
              <w:pStyle w:val="TableParagraph"/>
              <w:spacing w:before="21"/>
              <w:ind w:right="72"/>
              <w:jc w:val="right"/>
              <w:rPr>
                <w:sz w:val="14"/>
              </w:rPr>
            </w:pPr>
            <w:r>
              <w:rPr>
                <w:w w:val="100"/>
                <w:sz w:val="14"/>
              </w:rPr>
              <w:t>-</w:t>
            </w:r>
          </w:p>
        </w:tc>
        <w:tc>
          <w:tcPr>
            <w:tcW w:w="901" w:type="dxa"/>
          </w:tcPr>
          <w:p>
            <w:pPr>
              <w:pStyle w:val="TableParagraph"/>
              <w:spacing w:before="21"/>
              <w:ind w:right="73"/>
              <w:jc w:val="right"/>
              <w:rPr>
                <w:b/>
                <w:sz w:val="14"/>
              </w:rPr>
            </w:pPr>
            <w:r>
              <w:rPr>
                <w:b/>
                <w:w w:val="100"/>
                <w:sz w:val="14"/>
              </w:rPr>
              <w:t>-</w:t>
            </w:r>
          </w:p>
        </w:tc>
        <w:tc>
          <w:tcPr>
            <w:tcW w:w="856" w:type="dxa"/>
          </w:tcPr>
          <w:p>
            <w:pPr>
              <w:pStyle w:val="TableParagraph"/>
              <w:spacing w:before="21"/>
              <w:ind w:right="72"/>
              <w:jc w:val="right"/>
              <w:rPr>
                <w:sz w:val="14"/>
              </w:rPr>
            </w:pPr>
            <w:r>
              <w:rPr>
                <w:w w:val="100"/>
                <w:sz w:val="14"/>
              </w:rPr>
              <w:t>-</w:t>
            </w:r>
          </w:p>
        </w:tc>
        <w:tc>
          <w:tcPr>
            <w:tcW w:w="2659" w:type="dxa"/>
            <w:gridSpan w:val="3"/>
          </w:tcPr>
          <w:p>
            <w:pPr>
              <w:pStyle w:val="TableParagraph"/>
              <w:tabs>
                <w:tab w:pos="1636" w:val="left" w:leader="none"/>
                <w:tab w:pos="2536" w:val="left" w:leader="none"/>
              </w:tabs>
              <w:spacing w:before="21"/>
              <w:ind w:left="778"/>
              <w:rPr>
                <w:b/>
                <w:sz w:val="14"/>
              </w:rPr>
            </w:pPr>
            <w:r>
              <w:rPr>
                <w:b/>
                <w:sz w:val="14"/>
              </w:rPr>
              <w:t>-</w:t>
              <w:tab/>
            </w:r>
            <w:r>
              <w:rPr>
                <w:sz w:val="14"/>
              </w:rPr>
              <w:t>-</w:t>
              <w:tab/>
            </w:r>
            <w:r>
              <w:rPr>
                <w:b/>
                <w:sz w:val="14"/>
              </w:rPr>
              <w:t>-</w:t>
            </w:r>
          </w:p>
        </w:tc>
        <w:tc>
          <w:tcPr>
            <w:tcW w:w="856" w:type="dxa"/>
          </w:tcPr>
          <w:p>
            <w:pPr>
              <w:pStyle w:val="TableParagraph"/>
              <w:spacing w:before="21"/>
              <w:ind w:right="72"/>
              <w:jc w:val="right"/>
              <w:rPr>
                <w:sz w:val="14"/>
              </w:rPr>
            </w:pPr>
            <w:r>
              <w:rPr>
                <w:w w:val="100"/>
                <w:sz w:val="14"/>
              </w:rPr>
              <w:t>-</w:t>
            </w:r>
          </w:p>
        </w:tc>
        <w:tc>
          <w:tcPr>
            <w:tcW w:w="901" w:type="dxa"/>
          </w:tcPr>
          <w:p>
            <w:pPr>
              <w:pStyle w:val="TableParagraph"/>
              <w:spacing w:before="21"/>
              <w:ind w:right="73"/>
              <w:jc w:val="right"/>
              <w:rPr>
                <w:b/>
                <w:sz w:val="14"/>
              </w:rPr>
            </w:pPr>
            <w:r>
              <w:rPr>
                <w:b/>
                <w:w w:val="100"/>
                <w:sz w:val="14"/>
              </w:rPr>
              <w:t>-</w:t>
            </w:r>
          </w:p>
        </w:tc>
        <w:tc>
          <w:tcPr>
            <w:tcW w:w="851" w:type="dxa"/>
          </w:tcPr>
          <w:p>
            <w:pPr>
              <w:pStyle w:val="TableParagraph"/>
              <w:spacing w:before="21"/>
              <w:ind w:right="67"/>
              <w:jc w:val="right"/>
              <w:rPr>
                <w:sz w:val="14"/>
              </w:rPr>
            </w:pPr>
            <w:r>
              <w:rPr>
                <w:sz w:val="14"/>
              </w:rPr>
              <w:t>12,092</w:t>
            </w:r>
          </w:p>
        </w:tc>
      </w:tr>
      <w:tr>
        <w:trPr>
          <w:trHeight w:val="298" w:hRule="exact"/>
        </w:trPr>
        <w:tc>
          <w:tcPr>
            <w:tcW w:w="2756" w:type="dxa"/>
            <w:gridSpan w:val="2"/>
          </w:tcPr>
          <w:p>
            <w:pPr>
              <w:pStyle w:val="TableParagraph"/>
              <w:tabs>
                <w:tab w:pos="2656" w:val="left" w:leader="none"/>
              </w:tabs>
              <w:spacing w:before="21"/>
              <w:ind w:left="249"/>
              <w:rPr>
                <w:b/>
                <w:sz w:val="14"/>
              </w:rPr>
            </w:pPr>
            <w:r>
              <w:rPr>
                <w:sz w:val="14"/>
              </w:rPr>
              <w:t>Available for</w:t>
            </w:r>
            <w:r>
              <w:rPr>
                <w:spacing w:val="1"/>
                <w:sz w:val="14"/>
              </w:rPr>
              <w:t> </w:t>
            </w:r>
            <w:r>
              <w:rPr>
                <w:sz w:val="14"/>
              </w:rPr>
              <w:t>sale (OnePath)</w:t>
              <w:tab/>
            </w:r>
            <w:r>
              <w:rPr>
                <w:b/>
                <w:sz w:val="14"/>
              </w:rPr>
              <w:t>-</w:t>
            </w:r>
          </w:p>
        </w:tc>
        <w:tc>
          <w:tcPr>
            <w:tcW w:w="596" w:type="dxa"/>
          </w:tcPr>
          <w:p>
            <w:pPr>
              <w:pStyle w:val="TableParagraph"/>
              <w:spacing w:before="21"/>
              <w:ind w:right="26"/>
              <w:jc w:val="right"/>
              <w:rPr>
                <w:sz w:val="14"/>
              </w:rPr>
            </w:pPr>
            <w:r>
              <w:rPr>
                <w:sz w:val="14"/>
              </w:rPr>
              <w:t>(6.22)</w:t>
            </w:r>
          </w:p>
        </w:tc>
        <w:tc>
          <w:tcPr>
            <w:tcW w:w="878" w:type="dxa"/>
            <w:gridSpan w:val="2"/>
          </w:tcPr>
          <w:p>
            <w:pPr>
              <w:pStyle w:val="TableParagraph"/>
              <w:spacing w:before="21"/>
              <w:ind w:right="50"/>
              <w:jc w:val="right"/>
              <w:rPr>
                <w:b/>
                <w:sz w:val="14"/>
              </w:rPr>
            </w:pPr>
            <w:r>
              <w:rPr>
                <w:b/>
                <w:w w:val="100"/>
                <w:sz w:val="14"/>
              </w:rPr>
              <w:t>-</w:t>
            </w:r>
          </w:p>
        </w:tc>
        <w:tc>
          <w:tcPr>
            <w:tcW w:w="857" w:type="dxa"/>
          </w:tcPr>
          <w:p>
            <w:pPr>
              <w:pStyle w:val="TableParagraph"/>
              <w:spacing w:before="21"/>
              <w:ind w:right="49"/>
              <w:jc w:val="right"/>
              <w:rPr>
                <w:sz w:val="14"/>
              </w:rPr>
            </w:pPr>
            <w:r>
              <w:rPr>
                <w:sz w:val="14"/>
              </w:rPr>
              <w:t>27,557</w:t>
            </w:r>
          </w:p>
        </w:tc>
        <w:tc>
          <w:tcPr>
            <w:tcW w:w="924" w:type="dxa"/>
            <w:gridSpan w:val="2"/>
          </w:tcPr>
          <w:p>
            <w:pPr>
              <w:pStyle w:val="TableParagraph"/>
              <w:spacing w:before="21"/>
              <w:ind w:right="73"/>
              <w:jc w:val="right"/>
              <w:rPr>
                <w:b/>
                <w:sz w:val="14"/>
              </w:rPr>
            </w:pPr>
            <w:r>
              <w:rPr>
                <w:b/>
                <w:w w:val="100"/>
                <w:sz w:val="14"/>
              </w:rPr>
              <w:t>-</w:t>
            </w:r>
          </w:p>
        </w:tc>
        <w:tc>
          <w:tcPr>
            <w:tcW w:w="856" w:type="dxa"/>
            <w:gridSpan w:val="2"/>
          </w:tcPr>
          <w:p>
            <w:pPr>
              <w:pStyle w:val="TableParagraph"/>
              <w:spacing w:before="21"/>
              <w:ind w:right="72"/>
              <w:jc w:val="right"/>
              <w:rPr>
                <w:sz w:val="14"/>
              </w:rPr>
            </w:pPr>
            <w:r>
              <w:rPr>
                <w:w w:val="100"/>
                <w:sz w:val="14"/>
              </w:rPr>
              <w:t>-</w:t>
            </w:r>
          </w:p>
        </w:tc>
        <w:tc>
          <w:tcPr>
            <w:tcW w:w="901" w:type="dxa"/>
          </w:tcPr>
          <w:p>
            <w:pPr>
              <w:pStyle w:val="TableParagraph"/>
              <w:spacing w:before="21"/>
              <w:ind w:right="73"/>
              <w:jc w:val="right"/>
              <w:rPr>
                <w:b/>
                <w:sz w:val="14"/>
              </w:rPr>
            </w:pPr>
            <w:r>
              <w:rPr>
                <w:b/>
                <w:w w:val="100"/>
                <w:sz w:val="14"/>
              </w:rPr>
              <w:t>-</w:t>
            </w:r>
          </w:p>
        </w:tc>
        <w:tc>
          <w:tcPr>
            <w:tcW w:w="856" w:type="dxa"/>
          </w:tcPr>
          <w:p>
            <w:pPr>
              <w:pStyle w:val="TableParagraph"/>
              <w:spacing w:before="21"/>
              <w:ind w:right="72"/>
              <w:jc w:val="right"/>
              <w:rPr>
                <w:sz w:val="14"/>
              </w:rPr>
            </w:pPr>
            <w:r>
              <w:rPr>
                <w:w w:val="100"/>
                <w:sz w:val="14"/>
              </w:rPr>
              <w:t>-</w:t>
            </w:r>
          </w:p>
        </w:tc>
        <w:tc>
          <w:tcPr>
            <w:tcW w:w="2659" w:type="dxa"/>
            <w:gridSpan w:val="3"/>
          </w:tcPr>
          <w:p>
            <w:pPr>
              <w:pStyle w:val="TableParagraph"/>
              <w:tabs>
                <w:tab w:pos="1636" w:val="left" w:leader="none"/>
                <w:tab w:pos="2536" w:val="left" w:leader="none"/>
              </w:tabs>
              <w:spacing w:before="21"/>
              <w:ind w:left="778"/>
              <w:rPr>
                <w:b/>
                <w:sz w:val="14"/>
              </w:rPr>
            </w:pPr>
            <w:r>
              <w:rPr>
                <w:b/>
                <w:sz w:val="14"/>
              </w:rPr>
              <w:t>-</w:t>
              <w:tab/>
            </w:r>
            <w:r>
              <w:rPr>
                <w:sz w:val="14"/>
              </w:rPr>
              <w:t>-</w:t>
              <w:tab/>
            </w:r>
            <w:r>
              <w:rPr>
                <w:b/>
                <w:sz w:val="14"/>
              </w:rPr>
              <w:t>-</w:t>
            </w:r>
          </w:p>
        </w:tc>
        <w:tc>
          <w:tcPr>
            <w:tcW w:w="856" w:type="dxa"/>
          </w:tcPr>
          <w:p>
            <w:pPr>
              <w:pStyle w:val="TableParagraph"/>
              <w:spacing w:before="21"/>
              <w:ind w:right="72"/>
              <w:jc w:val="right"/>
              <w:rPr>
                <w:sz w:val="14"/>
              </w:rPr>
            </w:pPr>
            <w:r>
              <w:rPr>
                <w:w w:val="100"/>
                <w:sz w:val="14"/>
              </w:rPr>
              <w:t>-</w:t>
            </w:r>
          </w:p>
        </w:tc>
        <w:tc>
          <w:tcPr>
            <w:tcW w:w="901" w:type="dxa"/>
          </w:tcPr>
          <w:p>
            <w:pPr>
              <w:pStyle w:val="TableParagraph"/>
              <w:spacing w:before="21"/>
              <w:ind w:right="73"/>
              <w:jc w:val="right"/>
              <w:rPr>
                <w:b/>
                <w:sz w:val="14"/>
              </w:rPr>
            </w:pPr>
            <w:r>
              <w:rPr>
                <w:b/>
                <w:w w:val="100"/>
                <w:sz w:val="14"/>
              </w:rPr>
              <w:t>-</w:t>
            </w:r>
          </w:p>
        </w:tc>
        <w:tc>
          <w:tcPr>
            <w:tcW w:w="851" w:type="dxa"/>
          </w:tcPr>
          <w:p>
            <w:pPr>
              <w:pStyle w:val="TableParagraph"/>
              <w:spacing w:before="21"/>
              <w:ind w:right="67"/>
              <w:jc w:val="right"/>
              <w:rPr>
                <w:sz w:val="14"/>
              </w:rPr>
            </w:pPr>
            <w:r>
              <w:rPr>
                <w:sz w:val="14"/>
              </w:rPr>
              <w:t>27,557</w:t>
            </w:r>
          </w:p>
        </w:tc>
      </w:tr>
      <w:tr>
        <w:trPr>
          <w:trHeight w:val="377" w:hRule="exact"/>
        </w:trPr>
        <w:tc>
          <w:tcPr>
            <w:tcW w:w="2756" w:type="dxa"/>
            <w:gridSpan w:val="2"/>
          </w:tcPr>
          <w:p>
            <w:pPr>
              <w:pStyle w:val="TableParagraph"/>
              <w:spacing w:line="102" w:lineRule="exact"/>
              <w:ind w:left="249"/>
              <w:rPr>
                <w:sz w:val="14"/>
              </w:rPr>
            </w:pPr>
            <w:r>
              <w:rPr>
                <w:sz w:val="14"/>
              </w:rPr>
              <w:t>Available for sale (Acadian)</w:t>
            </w:r>
          </w:p>
          <w:p>
            <w:pPr>
              <w:pStyle w:val="TableParagraph"/>
              <w:tabs>
                <w:tab w:pos="2656" w:val="left" w:leader="none"/>
              </w:tabs>
              <w:ind w:left="249"/>
              <w:rPr>
                <w:b/>
                <w:sz w:val="14"/>
              </w:rPr>
            </w:pPr>
            <w:r>
              <w:rPr>
                <w:sz w:val="14"/>
              </w:rPr>
              <w:t>(a)</w:t>
              <w:tab/>
            </w:r>
            <w:r>
              <w:rPr>
                <w:b/>
                <w:sz w:val="14"/>
              </w:rPr>
              <w:t>-</w:t>
            </w:r>
          </w:p>
        </w:tc>
        <w:tc>
          <w:tcPr>
            <w:tcW w:w="596" w:type="dxa"/>
          </w:tcPr>
          <w:p>
            <w:pPr>
              <w:pStyle w:val="TableParagraph"/>
              <w:spacing w:before="100"/>
              <w:ind w:right="74"/>
              <w:jc w:val="right"/>
              <w:rPr>
                <w:sz w:val="14"/>
              </w:rPr>
            </w:pPr>
            <w:r>
              <w:rPr>
                <w:w w:val="100"/>
                <w:sz w:val="14"/>
              </w:rPr>
              <w:t>-</w:t>
            </w:r>
          </w:p>
        </w:tc>
        <w:tc>
          <w:tcPr>
            <w:tcW w:w="878" w:type="dxa"/>
            <w:gridSpan w:val="2"/>
          </w:tcPr>
          <w:p>
            <w:pPr>
              <w:pStyle w:val="TableParagraph"/>
              <w:spacing w:before="100"/>
              <w:ind w:left="395"/>
              <w:rPr>
                <w:b/>
                <w:sz w:val="14"/>
              </w:rPr>
            </w:pPr>
            <w:r>
              <w:rPr>
                <w:b/>
                <w:sz w:val="14"/>
              </w:rPr>
              <w:t>34,683</w:t>
            </w:r>
          </w:p>
        </w:tc>
        <w:tc>
          <w:tcPr>
            <w:tcW w:w="857" w:type="dxa"/>
          </w:tcPr>
          <w:p>
            <w:pPr>
              <w:pStyle w:val="TableParagraph"/>
              <w:spacing w:before="100"/>
              <w:ind w:right="49"/>
              <w:jc w:val="right"/>
              <w:rPr>
                <w:sz w:val="14"/>
              </w:rPr>
            </w:pPr>
            <w:r>
              <w:rPr>
                <w:w w:val="100"/>
                <w:sz w:val="14"/>
              </w:rPr>
              <w:t>-</w:t>
            </w:r>
          </w:p>
        </w:tc>
        <w:tc>
          <w:tcPr>
            <w:tcW w:w="924" w:type="dxa"/>
            <w:gridSpan w:val="2"/>
          </w:tcPr>
          <w:p>
            <w:pPr>
              <w:pStyle w:val="TableParagraph"/>
              <w:spacing w:before="100"/>
              <w:ind w:right="73"/>
              <w:jc w:val="right"/>
              <w:rPr>
                <w:b/>
                <w:sz w:val="14"/>
              </w:rPr>
            </w:pPr>
            <w:r>
              <w:rPr>
                <w:b/>
                <w:w w:val="100"/>
                <w:sz w:val="14"/>
              </w:rPr>
              <w:t>-</w:t>
            </w:r>
          </w:p>
        </w:tc>
        <w:tc>
          <w:tcPr>
            <w:tcW w:w="856" w:type="dxa"/>
            <w:gridSpan w:val="2"/>
          </w:tcPr>
          <w:p>
            <w:pPr>
              <w:pStyle w:val="TableParagraph"/>
              <w:spacing w:before="100"/>
              <w:ind w:right="72"/>
              <w:jc w:val="right"/>
              <w:rPr>
                <w:sz w:val="14"/>
              </w:rPr>
            </w:pPr>
            <w:r>
              <w:rPr>
                <w:w w:val="100"/>
                <w:sz w:val="14"/>
              </w:rPr>
              <w:t>-</w:t>
            </w:r>
          </w:p>
        </w:tc>
        <w:tc>
          <w:tcPr>
            <w:tcW w:w="901" w:type="dxa"/>
          </w:tcPr>
          <w:p>
            <w:pPr>
              <w:pStyle w:val="TableParagraph"/>
              <w:spacing w:before="100"/>
              <w:ind w:right="73"/>
              <w:jc w:val="right"/>
              <w:rPr>
                <w:b/>
                <w:sz w:val="14"/>
              </w:rPr>
            </w:pPr>
            <w:r>
              <w:rPr>
                <w:b/>
                <w:w w:val="100"/>
                <w:sz w:val="14"/>
              </w:rPr>
              <w:t>-</w:t>
            </w:r>
          </w:p>
        </w:tc>
        <w:tc>
          <w:tcPr>
            <w:tcW w:w="856" w:type="dxa"/>
          </w:tcPr>
          <w:p>
            <w:pPr>
              <w:pStyle w:val="TableParagraph"/>
              <w:spacing w:before="100"/>
              <w:ind w:right="72"/>
              <w:jc w:val="right"/>
              <w:rPr>
                <w:sz w:val="14"/>
              </w:rPr>
            </w:pPr>
            <w:r>
              <w:rPr>
                <w:w w:val="100"/>
                <w:sz w:val="14"/>
              </w:rPr>
              <w:t>-</w:t>
            </w:r>
          </w:p>
        </w:tc>
        <w:tc>
          <w:tcPr>
            <w:tcW w:w="2659" w:type="dxa"/>
            <w:gridSpan w:val="3"/>
          </w:tcPr>
          <w:p>
            <w:pPr>
              <w:pStyle w:val="TableParagraph"/>
              <w:tabs>
                <w:tab w:pos="1636" w:val="left" w:leader="none"/>
                <w:tab w:pos="2536" w:val="left" w:leader="none"/>
              </w:tabs>
              <w:spacing w:before="100"/>
              <w:ind w:left="778"/>
              <w:rPr>
                <w:b/>
                <w:sz w:val="14"/>
              </w:rPr>
            </w:pPr>
            <w:r>
              <w:rPr>
                <w:b/>
                <w:sz w:val="14"/>
              </w:rPr>
              <w:t>-</w:t>
              <w:tab/>
            </w:r>
            <w:r>
              <w:rPr>
                <w:sz w:val="14"/>
              </w:rPr>
              <w:t>-</w:t>
              <w:tab/>
            </w:r>
            <w:r>
              <w:rPr>
                <w:b/>
                <w:sz w:val="14"/>
              </w:rPr>
              <w:t>-</w:t>
            </w:r>
          </w:p>
        </w:tc>
        <w:tc>
          <w:tcPr>
            <w:tcW w:w="856" w:type="dxa"/>
          </w:tcPr>
          <w:p>
            <w:pPr>
              <w:pStyle w:val="TableParagraph"/>
              <w:spacing w:before="100"/>
              <w:ind w:right="72"/>
              <w:jc w:val="right"/>
              <w:rPr>
                <w:sz w:val="14"/>
              </w:rPr>
            </w:pPr>
            <w:r>
              <w:rPr>
                <w:w w:val="100"/>
                <w:sz w:val="14"/>
              </w:rPr>
              <w:t>-</w:t>
            </w:r>
          </w:p>
        </w:tc>
        <w:tc>
          <w:tcPr>
            <w:tcW w:w="901" w:type="dxa"/>
          </w:tcPr>
          <w:p>
            <w:pPr>
              <w:pStyle w:val="TableParagraph"/>
              <w:spacing w:before="100"/>
              <w:ind w:right="73"/>
              <w:jc w:val="right"/>
              <w:rPr>
                <w:b/>
                <w:sz w:val="14"/>
              </w:rPr>
            </w:pPr>
            <w:r>
              <w:rPr>
                <w:b/>
                <w:sz w:val="14"/>
              </w:rPr>
              <w:t>34,683</w:t>
            </w:r>
          </w:p>
        </w:tc>
        <w:tc>
          <w:tcPr>
            <w:tcW w:w="851" w:type="dxa"/>
          </w:tcPr>
          <w:p>
            <w:pPr>
              <w:pStyle w:val="TableParagraph"/>
              <w:spacing w:before="100"/>
              <w:ind w:right="67"/>
              <w:jc w:val="right"/>
              <w:rPr>
                <w:sz w:val="14"/>
              </w:rPr>
            </w:pPr>
            <w:r>
              <w:rPr>
                <w:w w:val="100"/>
                <w:sz w:val="14"/>
              </w:rPr>
              <w:t>-</w:t>
            </w:r>
          </w:p>
        </w:tc>
      </w:tr>
      <w:tr>
        <w:trPr>
          <w:trHeight w:val="299" w:hRule="exact"/>
        </w:trPr>
        <w:tc>
          <w:tcPr>
            <w:tcW w:w="2756" w:type="dxa"/>
            <w:gridSpan w:val="2"/>
          </w:tcPr>
          <w:p>
            <w:pPr>
              <w:pStyle w:val="TableParagraph"/>
              <w:spacing w:line="102" w:lineRule="exact"/>
              <w:ind w:left="249"/>
              <w:rPr>
                <w:sz w:val="14"/>
              </w:rPr>
            </w:pPr>
            <w:r>
              <w:rPr>
                <w:sz w:val="14"/>
              </w:rPr>
              <w:t>Available for sale (Unlisted</w:t>
            </w:r>
          </w:p>
          <w:p>
            <w:pPr>
              <w:pStyle w:val="TableParagraph"/>
              <w:tabs>
                <w:tab w:pos="2656" w:val="left" w:leader="none"/>
              </w:tabs>
              <w:ind w:left="249"/>
              <w:rPr>
                <w:b/>
                <w:sz w:val="14"/>
              </w:rPr>
            </w:pPr>
            <w:r>
              <w:rPr>
                <w:sz w:val="14"/>
              </w:rPr>
              <w:t>securities)</w:t>
              <w:tab/>
            </w:r>
            <w:r>
              <w:rPr>
                <w:b/>
                <w:sz w:val="14"/>
              </w:rPr>
              <w:t>-</w:t>
            </w:r>
          </w:p>
        </w:tc>
        <w:tc>
          <w:tcPr>
            <w:tcW w:w="596" w:type="dxa"/>
            <w:tcBorders>
              <w:bottom w:val="single" w:sz="0" w:space="0" w:color="000000"/>
            </w:tcBorders>
          </w:tcPr>
          <w:p>
            <w:pPr>
              <w:pStyle w:val="TableParagraph"/>
              <w:spacing w:before="100"/>
              <w:ind w:right="74"/>
              <w:jc w:val="right"/>
              <w:rPr>
                <w:sz w:val="14"/>
              </w:rPr>
            </w:pPr>
            <w:r>
              <w:rPr>
                <w:w w:val="100"/>
                <w:sz w:val="14"/>
              </w:rPr>
              <w:t>-</w:t>
            </w:r>
          </w:p>
        </w:tc>
        <w:tc>
          <w:tcPr>
            <w:tcW w:w="878" w:type="dxa"/>
            <w:gridSpan w:val="2"/>
            <w:tcBorders>
              <w:bottom w:val="single" w:sz="0" w:space="0" w:color="000000"/>
            </w:tcBorders>
          </w:tcPr>
          <w:p>
            <w:pPr>
              <w:pStyle w:val="TableParagraph"/>
              <w:spacing w:before="100"/>
              <w:ind w:right="51"/>
              <w:jc w:val="right"/>
              <w:rPr>
                <w:b/>
                <w:sz w:val="14"/>
              </w:rPr>
            </w:pPr>
            <w:r>
              <w:rPr>
                <w:b/>
                <w:w w:val="100"/>
                <w:sz w:val="14"/>
              </w:rPr>
              <w:t>-</w:t>
            </w:r>
          </w:p>
        </w:tc>
        <w:tc>
          <w:tcPr>
            <w:tcW w:w="857" w:type="dxa"/>
            <w:tcBorders>
              <w:bottom w:val="single" w:sz="0" w:space="0" w:color="000000"/>
            </w:tcBorders>
          </w:tcPr>
          <w:p>
            <w:pPr>
              <w:pStyle w:val="TableParagraph"/>
              <w:spacing w:before="100"/>
              <w:ind w:right="49"/>
              <w:jc w:val="right"/>
              <w:rPr>
                <w:sz w:val="14"/>
              </w:rPr>
            </w:pPr>
            <w:r>
              <w:rPr>
                <w:w w:val="100"/>
                <w:sz w:val="14"/>
              </w:rPr>
              <w:t>-</w:t>
            </w:r>
          </w:p>
        </w:tc>
        <w:tc>
          <w:tcPr>
            <w:tcW w:w="924" w:type="dxa"/>
            <w:gridSpan w:val="2"/>
            <w:tcBorders>
              <w:bottom w:val="single" w:sz="0" w:space="0" w:color="000000"/>
            </w:tcBorders>
          </w:tcPr>
          <w:p>
            <w:pPr>
              <w:pStyle w:val="TableParagraph"/>
              <w:spacing w:before="100"/>
              <w:ind w:right="73"/>
              <w:jc w:val="right"/>
              <w:rPr>
                <w:b/>
                <w:sz w:val="14"/>
              </w:rPr>
            </w:pPr>
            <w:r>
              <w:rPr>
                <w:b/>
                <w:w w:val="100"/>
                <w:sz w:val="14"/>
              </w:rPr>
              <w:t>-</w:t>
            </w:r>
          </w:p>
        </w:tc>
        <w:tc>
          <w:tcPr>
            <w:tcW w:w="856" w:type="dxa"/>
            <w:gridSpan w:val="2"/>
            <w:tcBorders>
              <w:bottom w:val="single" w:sz="0" w:space="0" w:color="000000"/>
            </w:tcBorders>
          </w:tcPr>
          <w:p>
            <w:pPr>
              <w:pStyle w:val="TableParagraph"/>
              <w:spacing w:before="100"/>
              <w:ind w:right="73"/>
              <w:jc w:val="right"/>
              <w:rPr>
                <w:sz w:val="14"/>
              </w:rPr>
            </w:pPr>
            <w:r>
              <w:rPr>
                <w:w w:val="100"/>
                <w:sz w:val="14"/>
              </w:rPr>
              <w:t>-</w:t>
            </w:r>
          </w:p>
        </w:tc>
        <w:tc>
          <w:tcPr>
            <w:tcW w:w="901" w:type="dxa"/>
            <w:tcBorders>
              <w:bottom w:val="single" w:sz="0" w:space="0" w:color="000000"/>
            </w:tcBorders>
          </w:tcPr>
          <w:p>
            <w:pPr>
              <w:pStyle w:val="TableParagraph"/>
              <w:spacing w:before="100"/>
              <w:ind w:right="73"/>
              <w:jc w:val="right"/>
              <w:rPr>
                <w:b/>
                <w:sz w:val="14"/>
              </w:rPr>
            </w:pPr>
            <w:r>
              <w:rPr>
                <w:b/>
                <w:w w:val="100"/>
                <w:sz w:val="14"/>
              </w:rPr>
              <w:t>-</w:t>
            </w:r>
          </w:p>
        </w:tc>
        <w:tc>
          <w:tcPr>
            <w:tcW w:w="856" w:type="dxa"/>
            <w:tcBorders>
              <w:bottom w:val="single" w:sz="0" w:space="0" w:color="000000"/>
            </w:tcBorders>
          </w:tcPr>
          <w:p>
            <w:pPr>
              <w:pStyle w:val="TableParagraph"/>
              <w:spacing w:before="100"/>
              <w:ind w:right="73"/>
              <w:jc w:val="right"/>
              <w:rPr>
                <w:sz w:val="14"/>
              </w:rPr>
            </w:pPr>
            <w:r>
              <w:rPr>
                <w:w w:val="100"/>
                <w:sz w:val="14"/>
              </w:rPr>
              <w:t>-</w:t>
            </w:r>
          </w:p>
        </w:tc>
        <w:tc>
          <w:tcPr>
            <w:tcW w:w="2659" w:type="dxa"/>
            <w:gridSpan w:val="3"/>
            <w:tcBorders>
              <w:bottom w:val="single" w:sz="0" w:space="0" w:color="000000"/>
            </w:tcBorders>
          </w:tcPr>
          <w:p>
            <w:pPr>
              <w:pStyle w:val="TableParagraph"/>
              <w:tabs>
                <w:tab w:pos="1636" w:val="left" w:leader="none"/>
                <w:tab w:pos="2348" w:val="left" w:leader="none"/>
              </w:tabs>
              <w:spacing w:before="100"/>
              <w:ind w:left="778"/>
              <w:rPr>
                <w:b/>
                <w:sz w:val="14"/>
              </w:rPr>
            </w:pPr>
            <w:r>
              <w:rPr>
                <w:b/>
                <w:sz w:val="14"/>
              </w:rPr>
              <w:t>-</w:t>
              <w:tab/>
            </w:r>
            <w:r>
              <w:rPr>
                <w:sz w:val="14"/>
              </w:rPr>
              <w:t>-</w:t>
              <w:tab/>
            </w:r>
            <w:r>
              <w:rPr>
                <w:b/>
                <w:sz w:val="14"/>
              </w:rPr>
              <w:t>473</w:t>
            </w:r>
          </w:p>
        </w:tc>
        <w:tc>
          <w:tcPr>
            <w:tcW w:w="856" w:type="dxa"/>
            <w:tcBorders>
              <w:bottom w:val="single" w:sz="0" w:space="0" w:color="000000"/>
            </w:tcBorders>
          </w:tcPr>
          <w:p>
            <w:pPr>
              <w:pStyle w:val="TableParagraph"/>
              <w:spacing w:before="100"/>
              <w:ind w:right="72"/>
              <w:jc w:val="right"/>
              <w:rPr>
                <w:sz w:val="14"/>
              </w:rPr>
            </w:pPr>
            <w:r>
              <w:rPr>
                <w:sz w:val="14"/>
              </w:rPr>
              <w:t>618</w:t>
            </w:r>
          </w:p>
        </w:tc>
        <w:tc>
          <w:tcPr>
            <w:tcW w:w="901" w:type="dxa"/>
            <w:tcBorders>
              <w:bottom w:val="single" w:sz="0" w:space="0" w:color="000000"/>
            </w:tcBorders>
          </w:tcPr>
          <w:p>
            <w:pPr>
              <w:pStyle w:val="TableParagraph"/>
              <w:spacing w:before="100"/>
              <w:ind w:right="73"/>
              <w:jc w:val="right"/>
              <w:rPr>
                <w:b/>
                <w:sz w:val="14"/>
              </w:rPr>
            </w:pPr>
            <w:r>
              <w:rPr>
                <w:b/>
                <w:sz w:val="14"/>
              </w:rPr>
              <w:t>473</w:t>
            </w:r>
          </w:p>
        </w:tc>
        <w:tc>
          <w:tcPr>
            <w:tcW w:w="851" w:type="dxa"/>
            <w:tcBorders>
              <w:bottom w:val="single" w:sz="0" w:space="0" w:color="000000"/>
            </w:tcBorders>
          </w:tcPr>
          <w:p>
            <w:pPr>
              <w:pStyle w:val="TableParagraph"/>
              <w:spacing w:before="100"/>
              <w:ind w:right="67"/>
              <w:jc w:val="right"/>
              <w:rPr>
                <w:sz w:val="14"/>
              </w:rPr>
            </w:pPr>
            <w:r>
              <w:rPr>
                <w:sz w:val="14"/>
              </w:rPr>
              <w:t>618</w:t>
            </w:r>
          </w:p>
        </w:tc>
      </w:tr>
      <w:tr>
        <w:trPr>
          <w:trHeight w:val="291" w:hRule="exact"/>
        </w:trPr>
        <w:tc>
          <w:tcPr>
            <w:tcW w:w="2756" w:type="dxa"/>
            <w:gridSpan w:val="2"/>
          </w:tcPr>
          <w:p>
            <w:pPr>
              <w:pStyle w:val="TableParagraph"/>
              <w:spacing w:before="123"/>
              <w:ind w:left="34"/>
              <w:rPr>
                <w:b/>
                <w:sz w:val="14"/>
              </w:rPr>
            </w:pPr>
            <w:r>
              <w:rPr>
                <w:b/>
                <w:sz w:val="14"/>
              </w:rPr>
              <w:t>Total Financial Assets</w:t>
            </w:r>
          </w:p>
        </w:tc>
        <w:tc>
          <w:tcPr>
            <w:tcW w:w="596" w:type="dxa"/>
            <w:tcBorders>
              <w:top w:val="single" w:sz="0" w:space="0" w:color="000000"/>
              <w:bottom w:val="single" w:sz="0" w:space="0" w:color="000000"/>
            </w:tcBorders>
          </w:tcPr>
          <w:p>
            <w:pPr/>
          </w:p>
        </w:tc>
        <w:tc>
          <w:tcPr>
            <w:tcW w:w="878" w:type="dxa"/>
            <w:gridSpan w:val="2"/>
            <w:tcBorders>
              <w:top w:val="single" w:sz="0" w:space="0" w:color="000000"/>
              <w:bottom w:val="single" w:sz="0" w:space="0" w:color="000000"/>
            </w:tcBorders>
          </w:tcPr>
          <w:p>
            <w:pPr>
              <w:pStyle w:val="TableParagraph"/>
              <w:spacing w:before="123"/>
              <w:ind w:left="395"/>
              <w:rPr>
                <w:b/>
                <w:sz w:val="14"/>
              </w:rPr>
            </w:pPr>
            <w:r>
              <w:rPr>
                <w:b/>
                <w:sz w:val="14"/>
              </w:rPr>
              <w:t>65,222</w:t>
            </w:r>
          </w:p>
        </w:tc>
        <w:tc>
          <w:tcPr>
            <w:tcW w:w="857" w:type="dxa"/>
            <w:tcBorders>
              <w:top w:val="single" w:sz="0" w:space="0" w:color="000000"/>
              <w:bottom w:val="single" w:sz="0" w:space="0" w:color="000000"/>
            </w:tcBorders>
          </w:tcPr>
          <w:p>
            <w:pPr>
              <w:pStyle w:val="TableParagraph"/>
              <w:spacing w:before="123"/>
              <w:ind w:right="49"/>
              <w:jc w:val="right"/>
              <w:rPr>
                <w:sz w:val="14"/>
              </w:rPr>
            </w:pPr>
            <w:r>
              <w:rPr>
                <w:sz w:val="14"/>
              </w:rPr>
              <w:t>79,152</w:t>
            </w:r>
          </w:p>
        </w:tc>
        <w:tc>
          <w:tcPr>
            <w:tcW w:w="924" w:type="dxa"/>
            <w:gridSpan w:val="2"/>
            <w:tcBorders>
              <w:top w:val="single" w:sz="0" w:space="0" w:color="000000"/>
              <w:bottom w:val="single" w:sz="0" w:space="0" w:color="000000"/>
            </w:tcBorders>
          </w:tcPr>
          <w:p>
            <w:pPr>
              <w:pStyle w:val="TableParagraph"/>
              <w:spacing w:before="123"/>
              <w:ind w:left="418"/>
              <w:rPr>
                <w:b/>
                <w:sz w:val="14"/>
              </w:rPr>
            </w:pPr>
            <w:r>
              <w:rPr>
                <w:b/>
                <w:sz w:val="14"/>
              </w:rPr>
              <w:t>45,038</w:t>
            </w:r>
          </w:p>
        </w:tc>
        <w:tc>
          <w:tcPr>
            <w:tcW w:w="856" w:type="dxa"/>
            <w:gridSpan w:val="2"/>
            <w:tcBorders>
              <w:top w:val="single" w:sz="0" w:space="0" w:color="000000"/>
              <w:bottom w:val="single" w:sz="0" w:space="0" w:color="000000"/>
            </w:tcBorders>
          </w:tcPr>
          <w:p>
            <w:pPr>
              <w:pStyle w:val="TableParagraph"/>
              <w:spacing w:before="123"/>
              <w:ind w:right="72"/>
              <w:jc w:val="right"/>
              <w:rPr>
                <w:sz w:val="14"/>
              </w:rPr>
            </w:pPr>
            <w:r>
              <w:rPr>
                <w:w w:val="100"/>
                <w:sz w:val="14"/>
              </w:rPr>
              <w:t>-</w:t>
            </w:r>
          </w:p>
        </w:tc>
        <w:tc>
          <w:tcPr>
            <w:tcW w:w="901" w:type="dxa"/>
            <w:tcBorders>
              <w:top w:val="single" w:sz="0" w:space="0" w:color="000000"/>
              <w:bottom w:val="single" w:sz="0" w:space="0" w:color="000000"/>
            </w:tcBorders>
          </w:tcPr>
          <w:p>
            <w:pPr>
              <w:pStyle w:val="TableParagraph"/>
              <w:spacing w:before="123"/>
              <w:ind w:right="73"/>
              <w:jc w:val="right"/>
              <w:rPr>
                <w:b/>
                <w:sz w:val="14"/>
              </w:rPr>
            </w:pPr>
            <w:r>
              <w:rPr>
                <w:b/>
                <w:w w:val="100"/>
                <w:sz w:val="14"/>
              </w:rPr>
              <w:t>-</w:t>
            </w:r>
          </w:p>
        </w:tc>
        <w:tc>
          <w:tcPr>
            <w:tcW w:w="856" w:type="dxa"/>
            <w:tcBorders>
              <w:top w:val="single" w:sz="0" w:space="0" w:color="000000"/>
              <w:bottom w:val="single" w:sz="0" w:space="0" w:color="000000"/>
            </w:tcBorders>
          </w:tcPr>
          <w:p>
            <w:pPr>
              <w:pStyle w:val="TableParagraph"/>
              <w:spacing w:before="123"/>
              <w:ind w:right="74"/>
              <w:jc w:val="right"/>
              <w:rPr>
                <w:sz w:val="14"/>
              </w:rPr>
            </w:pPr>
            <w:r>
              <w:rPr>
                <w:w w:val="100"/>
                <w:sz w:val="14"/>
              </w:rPr>
              <w:t>-</w:t>
            </w:r>
          </w:p>
        </w:tc>
        <w:tc>
          <w:tcPr>
            <w:tcW w:w="2659" w:type="dxa"/>
            <w:gridSpan w:val="3"/>
            <w:tcBorders>
              <w:top w:val="single" w:sz="0" w:space="0" w:color="000000"/>
              <w:bottom w:val="single" w:sz="0" w:space="0" w:color="000000"/>
            </w:tcBorders>
          </w:tcPr>
          <w:p>
            <w:pPr>
              <w:pStyle w:val="TableParagraph"/>
              <w:tabs>
                <w:tab w:pos="1636" w:val="left" w:leader="none"/>
                <w:tab w:pos="2153" w:val="left" w:leader="none"/>
              </w:tabs>
              <w:spacing w:before="123"/>
              <w:ind w:left="778"/>
              <w:rPr>
                <w:b/>
                <w:sz w:val="14"/>
              </w:rPr>
            </w:pPr>
            <w:r>
              <w:rPr>
                <w:b/>
                <w:sz w:val="14"/>
              </w:rPr>
              <w:t>-</w:t>
              <w:tab/>
            </w:r>
            <w:r>
              <w:rPr>
                <w:sz w:val="14"/>
              </w:rPr>
              <w:t>-</w:t>
              <w:tab/>
            </w:r>
            <w:r>
              <w:rPr>
                <w:b/>
                <w:sz w:val="14"/>
              </w:rPr>
              <w:t>26,785</w:t>
            </w:r>
          </w:p>
        </w:tc>
        <w:tc>
          <w:tcPr>
            <w:tcW w:w="856" w:type="dxa"/>
            <w:tcBorders>
              <w:top w:val="single" w:sz="0" w:space="0" w:color="000000"/>
              <w:bottom w:val="single" w:sz="0" w:space="0" w:color="000000"/>
            </w:tcBorders>
          </w:tcPr>
          <w:p>
            <w:pPr>
              <w:pStyle w:val="TableParagraph"/>
              <w:spacing w:before="123"/>
              <w:ind w:left="351"/>
              <w:rPr>
                <w:sz w:val="14"/>
              </w:rPr>
            </w:pPr>
            <w:r>
              <w:rPr>
                <w:sz w:val="14"/>
              </w:rPr>
              <w:t>22,634</w:t>
            </w:r>
          </w:p>
        </w:tc>
        <w:tc>
          <w:tcPr>
            <w:tcW w:w="901" w:type="dxa"/>
            <w:tcBorders>
              <w:top w:val="single" w:sz="0" w:space="0" w:color="000000"/>
              <w:bottom w:val="single" w:sz="0" w:space="0" w:color="000000"/>
            </w:tcBorders>
          </w:tcPr>
          <w:p>
            <w:pPr>
              <w:pStyle w:val="TableParagraph"/>
              <w:spacing w:before="123"/>
              <w:ind w:right="73"/>
              <w:jc w:val="right"/>
              <w:rPr>
                <w:b/>
                <w:sz w:val="14"/>
              </w:rPr>
            </w:pPr>
            <w:r>
              <w:rPr>
                <w:b/>
                <w:sz w:val="14"/>
              </w:rPr>
              <w:t>137,045</w:t>
            </w:r>
          </w:p>
        </w:tc>
        <w:tc>
          <w:tcPr>
            <w:tcW w:w="851" w:type="dxa"/>
            <w:tcBorders>
              <w:top w:val="single" w:sz="0" w:space="0" w:color="000000"/>
              <w:bottom w:val="single" w:sz="0" w:space="0" w:color="000000"/>
            </w:tcBorders>
          </w:tcPr>
          <w:p>
            <w:pPr>
              <w:pStyle w:val="TableParagraph"/>
              <w:spacing w:before="123"/>
              <w:ind w:right="67"/>
              <w:jc w:val="right"/>
              <w:rPr>
                <w:sz w:val="14"/>
              </w:rPr>
            </w:pPr>
            <w:r>
              <w:rPr>
                <w:sz w:val="14"/>
              </w:rPr>
              <w:t>101,786</w:t>
            </w:r>
          </w:p>
        </w:tc>
      </w:tr>
      <w:tr>
        <w:trPr>
          <w:trHeight w:val="542" w:hRule="exact"/>
        </w:trPr>
        <w:tc>
          <w:tcPr>
            <w:tcW w:w="2756" w:type="dxa"/>
            <w:gridSpan w:val="2"/>
          </w:tcPr>
          <w:p>
            <w:pPr>
              <w:pStyle w:val="TableParagraph"/>
              <w:spacing w:before="6"/>
              <w:rPr>
                <w:b/>
                <w:sz w:val="13"/>
              </w:rPr>
            </w:pPr>
          </w:p>
          <w:p>
            <w:pPr>
              <w:pStyle w:val="TableParagraph"/>
              <w:ind w:left="34"/>
              <w:rPr>
                <w:b/>
                <w:sz w:val="14"/>
              </w:rPr>
            </w:pPr>
            <w:r>
              <w:rPr>
                <w:b/>
                <w:sz w:val="14"/>
              </w:rPr>
              <w:t>Financial Liabilities:</w:t>
            </w:r>
          </w:p>
          <w:p>
            <w:pPr>
              <w:pStyle w:val="TableParagraph"/>
              <w:tabs>
                <w:tab w:pos="2656" w:val="left" w:leader="none"/>
              </w:tabs>
              <w:spacing w:before="28"/>
              <w:ind w:left="34"/>
              <w:rPr>
                <w:b/>
                <w:sz w:val="14"/>
              </w:rPr>
            </w:pPr>
            <w:r>
              <w:rPr>
                <w:sz w:val="14"/>
              </w:rPr>
              <w:t>Payables</w:t>
              <w:tab/>
            </w:r>
            <w:r>
              <w:rPr>
                <w:b/>
                <w:sz w:val="14"/>
              </w:rPr>
              <w:t>-</w:t>
            </w:r>
          </w:p>
        </w:tc>
        <w:tc>
          <w:tcPr>
            <w:tcW w:w="596" w:type="dxa"/>
            <w:tcBorders>
              <w:top w:val="single" w:sz="0" w:space="0" w:color="000000"/>
            </w:tcBorders>
          </w:tcPr>
          <w:p>
            <w:pPr>
              <w:pStyle w:val="TableParagraph"/>
              <w:rPr>
                <w:b/>
                <w:sz w:val="14"/>
              </w:rPr>
            </w:pPr>
          </w:p>
          <w:p>
            <w:pPr>
              <w:pStyle w:val="TableParagraph"/>
              <w:spacing w:before="11"/>
              <w:rPr>
                <w:b/>
                <w:sz w:val="15"/>
              </w:rPr>
            </w:pPr>
          </w:p>
          <w:p>
            <w:pPr>
              <w:pStyle w:val="TableParagraph"/>
              <w:ind w:right="74"/>
              <w:jc w:val="right"/>
              <w:rPr>
                <w:sz w:val="14"/>
              </w:rPr>
            </w:pPr>
            <w:r>
              <w:rPr>
                <w:w w:val="100"/>
                <w:sz w:val="14"/>
              </w:rPr>
              <w:t>-</w:t>
            </w:r>
          </w:p>
        </w:tc>
        <w:tc>
          <w:tcPr>
            <w:tcW w:w="878" w:type="dxa"/>
            <w:gridSpan w:val="2"/>
            <w:tcBorders>
              <w:top w:val="single" w:sz="0" w:space="0" w:color="000000"/>
            </w:tcBorders>
          </w:tcPr>
          <w:p>
            <w:pPr>
              <w:pStyle w:val="TableParagraph"/>
              <w:rPr>
                <w:b/>
                <w:sz w:val="14"/>
              </w:rPr>
            </w:pPr>
          </w:p>
          <w:p>
            <w:pPr>
              <w:pStyle w:val="TableParagraph"/>
              <w:spacing w:before="11"/>
              <w:rPr>
                <w:b/>
                <w:sz w:val="15"/>
              </w:rPr>
            </w:pPr>
          </w:p>
          <w:p>
            <w:pPr>
              <w:pStyle w:val="TableParagraph"/>
              <w:ind w:right="51"/>
              <w:jc w:val="right"/>
              <w:rPr>
                <w:b/>
                <w:sz w:val="14"/>
              </w:rPr>
            </w:pPr>
            <w:r>
              <w:rPr>
                <w:b/>
                <w:w w:val="100"/>
                <w:sz w:val="14"/>
              </w:rPr>
              <w:t>-</w:t>
            </w:r>
          </w:p>
        </w:tc>
        <w:tc>
          <w:tcPr>
            <w:tcW w:w="857" w:type="dxa"/>
            <w:tcBorders>
              <w:top w:val="single" w:sz="0" w:space="0" w:color="000000"/>
            </w:tcBorders>
          </w:tcPr>
          <w:p>
            <w:pPr>
              <w:pStyle w:val="TableParagraph"/>
              <w:rPr>
                <w:b/>
                <w:sz w:val="14"/>
              </w:rPr>
            </w:pPr>
          </w:p>
          <w:p>
            <w:pPr>
              <w:pStyle w:val="TableParagraph"/>
              <w:spacing w:before="11"/>
              <w:rPr>
                <w:b/>
                <w:sz w:val="15"/>
              </w:rPr>
            </w:pPr>
          </w:p>
          <w:p>
            <w:pPr>
              <w:pStyle w:val="TableParagraph"/>
              <w:ind w:right="49"/>
              <w:jc w:val="right"/>
              <w:rPr>
                <w:sz w:val="14"/>
              </w:rPr>
            </w:pPr>
            <w:r>
              <w:rPr>
                <w:w w:val="100"/>
                <w:sz w:val="14"/>
              </w:rPr>
              <w:t>-</w:t>
            </w:r>
          </w:p>
        </w:tc>
        <w:tc>
          <w:tcPr>
            <w:tcW w:w="924" w:type="dxa"/>
            <w:gridSpan w:val="2"/>
            <w:tcBorders>
              <w:top w:val="single" w:sz="0" w:space="0" w:color="000000"/>
            </w:tcBorders>
          </w:tcPr>
          <w:p>
            <w:pPr>
              <w:pStyle w:val="TableParagraph"/>
              <w:rPr>
                <w:b/>
                <w:sz w:val="14"/>
              </w:rPr>
            </w:pPr>
          </w:p>
          <w:p>
            <w:pPr>
              <w:pStyle w:val="TableParagraph"/>
              <w:spacing w:before="11"/>
              <w:rPr>
                <w:b/>
                <w:sz w:val="15"/>
              </w:rPr>
            </w:pPr>
          </w:p>
          <w:p>
            <w:pPr>
              <w:pStyle w:val="TableParagraph"/>
              <w:ind w:right="73"/>
              <w:jc w:val="right"/>
              <w:rPr>
                <w:b/>
                <w:sz w:val="14"/>
              </w:rPr>
            </w:pPr>
            <w:r>
              <w:rPr>
                <w:b/>
                <w:w w:val="100"/>
                <w:sz w:val="14"/>
              </w:rPr>
              <w:t>-</w:t>
            </w:r>
          </w:p>
        </w:tc>
        <w:tc>
          <w:tcPr>
            <w:tcW w:w="856" w:type="dxa"/>
            <w:gridSpan w:val="2"/>
            <w:tcBorders>
              <w:top w:val="single" w:sz="0" w:space="0" w:color="000000"/>
            </w:tcBorders>
          </w:tcPr>
          <w:p>
            <w:pPr>
              <w:pStyle w:val="TableParagraph"/>
              <w:rPr>
                <w:b/>
                <w:sz w:val="14"/>
              </w:rPr>
            </w:pPr>
          </w:p>
          <w:p>
            <w:pPr>
              <w:pStyle w:val="TableParagraph"/>
              <w:spacing w:before="11"/>
              <w:rPr>
                <w:b/>
                <w:sz w:val="15"/>
              </w:rPr>
            </w:pPr>
          </w:p>
          <w:p>
            <w:pPr>
              <w:pStyle w:val="TableParagraph"/>
              <w:ind w:right="73"/>
              <w:jc w:val="right"/>
              <w:rPr>
                <w:sz w:val="14"/>
              </w:rPr>
            </w:pPr>
            <w:r>
              <w:rPr>
                <w:w w:val="100"/>
                <w:sz w:val="14"/>
              </w:rPr>
              <w:t>-</w:t>
            </w:r>
          </w:p>
        </w:tc>
        <w:tc>
          <w:tcPr>
            <w:tcW w:w="901" w:type="dxa"/>
            <w:tcBorders>
              <w:top w:val="single" w:sz="0" w:space="0" w:color="000000"/>
            </w:tcBorders>
          </w:tcPr>
          <w:p>
            <w:pPr>
              <w:pStyle w:val="TableParagraph"/>
              <w:rPr>
                <w:b/>
                <w:sz w:val="14"/>
              </w:rPr>
            </w:pPr>
          </w:p>
          <w:p>
            <w:pPr>
              <w:pStyle w:val="TableParagraph"/>
              <w:spacing w:before="11"/>
              <w:rPr>
                <w:b/>
                <w:sz w:val="15"/>
              </w:rPr>
            </w:pPr>
          </w:p>
          <w:p>
            <w:pPr>
              <w:pStyle w:val="TableParagraph"/>
              <w:ind w:right="73"/>
              <w:jc w:val="right"/>
              <w:rPr>
                <w:b/>
                <w:sz w:val="14"/>
              </w:rPr>
            </w:pPr>
            <w:r>
              <w:rPr>
                <w:b/>
                <w:w w:val="100"/>
                <w:sz w:val="14"/>
              </w:rPr>
              <w:t>-</w:t>
            </w:r>
          </w:p>
        </w:tc>
        <w:tc>
          <w:tcPr>
            <w:tcW w:w="856" w:type="dxa"/>
            <w:tcBorders>
              <w:top w:val="single" w:sz="0" w:space="0" w:color="000000"/>
            </w:tcBorders>
          </w:tcPr>
          <w:p>
            <w:pPr>
              <w:pStyle w:val="TableParagraph"/>
              <w:rPr>
                <w:b/>
                <w:sz w:val="14"/>
              </w:rPr>
            </w:pPr>
          </w:p>
          <w:p>
            <w:pPr>
              <w:pStyle w:val="TableParagraph"/>
              <w:spacing w:before="11"/>
              <w:rPr>
                <w:b/>
                <w:sz w:val="15"/>
              </w:rPr>
            </w:pPr>
          </w:p>
          <w:p>
            <w:pPr>
              <w:pStyle w:val="TableParagraph"/>
              <w:ind w:right="73"/>
              <w:jc w:val="right"/>
              <w:rPr>
                <w:sz w:val="14"/>
              </w:rPr>
            </w:pPr>
            <w:r>
              <w:rPr>
                <w:w w:val="100"/>
                <w:sz w:val="14"/>
              </w:rPr>
              <w:t>-</w:t>
            </w:r>
          </w:p>
        </w:tc>
        <w:tc>
          <w:tcPr>
            <w:tcW w:w="2659" w:type="dxa"/>
            <w:gridSpan w:val="3"/>
            <w:tcBorders>
              <w:top w:val="single" w:sz="0" w:space="0" w:color="000000"/>
            </w:tcBorders>
          </w:tcPr>
          <w:p>
            <w:pPr>
              <w:pStyle w:val="TableParagraph"/>
              <w:rPr>
                <w:b/>
                <w:sz w:val="14"/>
              </w:rPr>
            </w:pPr>
          </w:p>
          <w:p>
            <w:pPr>
              <w:pStyle w:val="TableParagraph"/>
              <w:spacing w:before="11"/>
              <w:rPr>
                <w:b/>
                <w:sz w:val="15"/>
              </w:rPr>
            </w:pPr>
          </w:p>
          <w:p>
            <w:pPr>
              <w:pStyle w:val="TableParagraph"/>
              <w:tabs>
                <w:tab w:pos="1636" w:val="left" w:leader="none"/>
                <w:tab w:pos="2106" w:val="left" w:leader="none"/>
              </w:tabs>
              <w:ind w:left="778"/>
              <w:rPr>
                <w:b/>
                <w:sz w:val="14"/>
              </w:rPr>
            </w:pPr>
            <w:r>
              <w:rPr>
                <w:b/>
                <w:sz w:val="14"/>
              </w:rPr>
              <w:t>-</w:t>
              <w:tab/>
            </w:r>
            <w:r>
              <w:rPr>
                <w:sz w:val="14"/>
              </w:rPr>
              <w:t>-</w:t>
              <w:tab/>
            </w:r>
            <w:r>
              <w:rPr>
                <w:b/>
                <w:sz w:val="14"/>
              </w:rPr>
              <w:t>(49,992)</w:t>
            </w:r>
          </w:p>
        </w:tc>
        <w:tc>
          <w:tcPr>
            <w:tcW w:w="856" w:type="dxa"/>
            <w:tcBorders>
              <w:top w:val="single" w:sz="0" w:space="0" w:color="000000"/>
            </w:tcBorders>
          </w:tcPr>
          <w:p>
            <w:pPr>
              <w:pStyle w:val="TableParagraph"/>
              <w:rPr>
                <w:b/>
                <w:sz w:val="14"/>
              </w:rPr>
            </w:pPr>
          </w:p>
          <w:p>
            <w:pPr>
              <w:pStyle w:val="TableParagraph"/>
              <w:spacing w:before="11"/>
              <w:rPr>
                <w:b/>
                <w:sz w:val="15"/>
              </w:rPr>
            </w:pPr>
          </w:p>
          <w:p>
            <w:pPr>
              <w:pStyle w:val="TableParagraph"/>
              <w:ind w:right="26"/>
              <w:jc w:val="right"/>
              <w:rPr>
                <w:sz w:val="14"/>
              </w:rPr>
            </w:pPr>
            <w:r>
              <w:rPr>
                <w:sz w:val="14"/>
              </w:rPr>
              <w:t>(42,255)</w:t>
            </w:r>
          </w:p>
        </w:tc>
        <w:tc>
          <w:tcPr>
            <w:tcW w:w="901" w:type="dxa"/>
            <w:tcBorders>
              <w:top w:val="single" w:sz="0" w:space="0" w:color="000000"/>
            </w:tcBorders>
          </w:tcPr>
          <w:p>
            <w:pPr>
              <w:pStyle w:val="TableParagraph"/>
              <w:rPr>
                <w:b/>
                <w:sz w:val="14"/>
              </w:rPr>
            </w:pPr>
          </w:p>
          <w:p>
            <w:pPr>
              <w:pStyle w:val="TableParagraph"/>
              <w:spacing w:before="11"/>
              <w:rPr>
                <w:b/>
                <w:sz w:val="15"/>
              </w:rPr>
            </w:pPr>
          </w:p>
          <w:p>
            <w:pPr>
              <w:pStyle w:val="TableParagraph"/>
              <w:ind w:right="27"/>
              <w:jc w:val="right"/>
              <w:rPr>
                <w:b/>
                <w:sz w:val="14"/>
              </w:rPr>
            </w:pPr>
            <w:r>
              <w:rPr>
                <w:b/>
                <w:sz w:val="14"/>
              </w:rPr>
              <w:t>(49,992)</w:t>
            </w:r>
          </w:p>
        </w:tc>
        <w:tc>
          <w:tcPr>
            <w:tcW w:w="851" w:type="dxa"/>
            <w:tcBorders>
              <w:top w:val="single" w:sz="0" w:space="0" w:color="000000"/>
            </w:tcBorders>
          </w:tcPr>
          <w:p>
            <w:pPr>
              <w:pStyle w:val="TableParagraph"/>
              <w:rPr>
                <w:b/>
                <w:sz w:val="14"/>
              </w:rPr>
            </w:pPr>
          </w:p>
          <w:p>
            <w:pPr>
              <w:pStyle w:val="TableParagraph"/>
              <w:spacing w:before="11"/>
              <w:rPr>
                <w:b/>
                <w:sz w:val="15"/>
              </w:rPr>
            </w:pPr>
          </w:p>
          <w:p>
            <w:pPr>
              <w:pStyle w:val="TableParagraph"/>
              <w:ind w:right="21"/>
              <w:jc w:val="right"/>
              <w:rPr>
                <w:sz w:val="14"/>
              </w:rPr>
            </w:pPr>
            <w:r>
              <w:rPr>
                <w:sz w:val="14"/>
              </w:rPr>
              <w:t>(42,255)</w:t>
            </w:r>
          </w:p>
        </w:tc>
      </w:tr>
      <w:tr>
        <w:trPr>
          <w:trHeight w:val="218" w:hRule="exact"/>
        </w:trPr>
        <w:tc>
          <w:tcPr>
            <w:tcW w:w="2756" w:type="dxa"/>
            <w:gridSpan w:val="2"/>
          </w:tcPr>
          <w:p>
            <w:pPr>
              <w:pStyle w:val="TableParagraph"/>
              <w:tabs>
                <w:tab w:pos="2703" w:val="right" w:leader="none"/>
              </w:tabs>
              <w:spacing w:before="21"/>
              <w:ind w:left="34"/>
              <w:rPr>
                <w:b/>
                <w:sz w:val="14"/>
              </w:rPr>
            </w:pPr>
            <w:r>
              <w:rPr>
                <w:sz w:val="14"/>
              </w:rPr>
              <w:t>Borrowings</w:t>
            </w:r>
            <w:r>
              <w:rPr>
                <w:b/>
                <w:sz w:val="14"/>
              </w:rPr>
              <w:tab/>
              <w:t>5.41</w:t>
            </w:r>
          </w:p>
        </w:tc>
        <w:tc>
          <w:tcPr>
            <w:tcW w:w="596" w:type="dxa"/>
          </w:tcPr>
          <w:p>
            <w:pPr>
              <w:pStyle w:val="TableParagraph"/>
              <w:spacing w:before="21"/>
              <w:ind w:right="73"/>
              <w:jc w:val="right"/>
              <w:rPr>
                <w:sz w:val="14"/>
              </w:rPr>
            </w:pPr>
            <w:r>
              <w:rPr>
                <w:sz w:val="14"/>
              </w:rPr>
              <w:t>6.23</w:t>
            </w:r>
          </w:p>
        </w:tc>
        <w:tc>
          <w:tcPr>
            <w:tcW w:w="878" w:type="dxa"/>
            <w:gridSpan w:val="2"/>
          </w:tcPr>
          <w:p>
            <w:pPr>
              <w:pStyle w:val="TableParagraph"/>
              <w:spacing w:before="21"/>
              <w:ind w:right="51"/>
              <w:jc w:val="right"/>
              <w:rPr>
                <w:b/>
                <w:sz w:val="14"/>
              </w:rPr>
            </w:pPr>
            <w:r>
              <w:rPr>
                <w:b/>
                <w:w w:val="100"/>
                <w:sz w:val="14"/>
              </w:rPr>
              <w:t>-</w:t>
            </w:r>
          </w:p>
        </w:tc>
        <w:tc>
          <w:tcPr>
            <w:tcW w:w="857" w:type="dxa"/>
          </w:tcPr>
          <w:p>
            <w:pPr>
              <w:pStyle w:val="TableParagraph"/>
              <w:spacing w:before="21"/>
              <w:ind w:right="49"/>
              <w:jc w:val="right"/>
              <w:rPr>
                <w:sz w:val="14"/>
              </w:rPr>
            </w:pPr>
            <w:r>
              <w:rPr>
                <w:w w:val="100"/>
                <w:sz w:val="14"/>
              </w:rPr>
              <w:t>-</w:t>
            </w:r>
          </w:p>
        </w:tc>
        <w:tc>
          <w:tcPr>
            <w:tcW w:w="924" w:type="dxa"/>
            <w:gridSpan w:val="2"/>
          </w:tcPr>
          <w:p>
            <w:pPr>
              <w:pStyle w:val="TableParagraph"/>
              <w:spacing w:before="21"/>
              <w:ind w:left="449"/>
              <w:rPr>
                <w:b/>
                <w:sz w:val="14"/>
              </w:rPr>
            </w:pPr>
            <w:r>
              <w:rPr>
                <w:b/>
                <w:sz w:val="14"/>
              </w:rPr>
              <w:t>(6,000)</w:t>
            </w:r>
          </w:p>
        </w:tc>
        <w:tc>
          <w:tcPr>
            <w:tcW w:w="856" w:type="dxa"/>
            <w:gridSpan w:val="2"/>
          </w:tcPr>
          <w:p>
            <w:pPr>
              <w:pStyle w:val="TableParagraph"/>
              <w:spacing w:before="21"/>
              <w:ind w:left="382"/>
              <w:rPr>
                <w:sz w:val="14"/>
              </w:rPr>
            </w:pPr>
            <w:r>
              <w:rPr>
                <w:sz w:val="14"/>
              </w:rPr>
              <w:t>(7,000)</w:t>
            </w:r>
          </w:p>
        </w:tc>
        <w:tc>
          <w:tcPr>
            <w:tcW w:w="901" w:type="dxa"/>
          </w:tcPr>
          <w:p>
            <w:pPr>
              <w:pStyle w:val="TableParagraph"/>
              <w:spacing w:before="21"/>
              <w:ind w:right="27"/>
              <w:jc w:val="right"/>
              <w:rPr>
                <w:b/>
                <w:sz w:val="14"/>
              </w:rPr>
            </w:pPr>
            <w:r>
              <w:rPr>
                <w:b/>
                <w:sz w:val="14"/>
              </w:rPr>
              <w:t>(49,500)</w:t>
            </w:r>
          </w:p>
        </w:tc>
        <w:tc>
          <w:tcPr>
            <w:tcW w:w="856" w:type="dxa"/>
          </w:tcPr>
          <w:p>
            <w:pPr>
              <w:pStyle w:val="TableParagraph"/>
              <w:spacing w:before="21"/>
              <w:ind w:right="26"/>
              <w:jc w:val="right"/>
              <w:rPr>
                <w:sz w:val="14"/>
              </w:rPr>
            </w:pPr>
            <w:r>
              <w:rPr>
                <w:sz w:val="14"/>
              </w:rPr>
              <w:t>(37,000)</w:t>
            </w:r>
          </w:p>
        </w:tc>
        <w:tc>
          <w:tcPr>
            <w:tcW w:w="2659" w:type="dxa"/>
            <w:gridSpan w:val="3"/>
          </w:tcPr>
          <w:p>
            <w:pPr>
              <w:pStyle w:val="TableParagraph"/>
              <w:tabs>
                <w:tab w:pos="1636" w:val="left" w:leader="none"/>
                <w:tab w:pos="2536" w:val="left" w:leader="none"/>
              </w:tabs>
              <w:spacing w:before="21"/>
              <w:ind w:left="778"/>
              <w:rPr>
                <w:b/>
                <w:sz w:val="14"/>
              </w:rPr>
            </w:pPr>
            <w:r>
              <w:rPr>
                <w:b/>
                <w:sz w:val="14"/>
              </w:rPr>
              <w:t>-</w:t>
              <w:tab/>
            </w:r>
            <w:r>
              <w:rPr>
                <w:sz w:val="14"/>
              </w:rPr>
              <w:t>-</w:t>
              <w:tab/>
            </w:r>
            <w:r>
              <w:rPr>
                <w:b/>
                <w:sz w:val="14"/>
              </w:rPr>
              <w:t>-</w:t>
            </w:r>
          </w:p>
        </w:tc>
        <w:tc>
          <w:tcPr>
            <w:tcW w:w="856" w:type="dxa"/>
          </w:tcPr>
          <w:p>
            <w:pPr>
              <w:pStyle w:val="TableParagraph"/>
              <w:spacing w:before="21"/>
              <w:ind w:right="72"/>
              <w:jc w:val="right"/>
              <w:rPr>
                <w:sz w:val="14"/>
              </w:rPr>
            </w:pPr>
            <w:r>
              <w:rPr>
                <w:w w:val="100"/>
                <w:sz w:val="14"/>
              </w:rPr>
              <w:t>-</w:t>
            </w:r>
          </w:p>
        </w:tc>
        <w:tc>
          <w:tcPr>
            <w:tcW w:w="901" w:type="dxa"/>
          </w:tcPr>
          <w:p>
            <w:pPr>
              <w:pStyle w:val="TableParagraph"/>
              <w:spacing w:before="21"/>
              <w:ind w:right="27"/>
              <w:jc w:val="right"/>
              <w:rPr>
                <w:b/>
                <w:sz w:val="14"/>
              </w:rPr>
            </w:pPr>
            <w:r>
              <w:rPr>
                <w:b/>
                <w:sz w:val="14"/>
              </w:rPr>
              <w:t>(55,500)</w:t>
            </w:r>
          </w:p>
        </w:tc>
        <w:tc>
          <w:tcPr>
            <w:tcW w:w="851" w:type="dxa"/>
          </w:tcPr>
          <w:p>
            <w:pPr>
              <w:pStyle w:val="TableParagraph"/>
              <w:spacing w:before="21"/>
              <w:ind w:right="21"/>
              <w:jc w:val="right"/>
              <w:rPr>
                <w:sz w:val="14"/>
              </w:rPr>
            </w:pPr>
            <w:r>
              <w:rPr>
                <w:sz w:val="14"/>
              </w:rPr>
              <w:t>(44,000)</w:t>
            </w:r>
          </w:p>
        </w:tc>
      </w:tr>
      <w:tr>
        <w:trPr>
          <w:trHeight w:val="219" w:hRule="exact"/>
        </w:trPr>
        <w:tc>
          <w:tcPr>
            <w:tcW w:w="2756" w:type="dxa"/>
            <w:gridSpan w:val="2"/>
          </w:tcPr>
          <w:p>
            <w:pPr>
              <w:pStyle w:val="TableParagraph"/>
              <w:tabs>
                <w:tab w:pos="2656" w:val="left" w:leader="none"/>
              </w:tabs>
              <w:spacing w:before="21"/>
              <w:ind w:left="34"/>
              <w:rPr>
                <w:b/>
                <w:sz w:val="14"/>
              </w:rPr>
            </w:pPr>
            <w:r>
              <w:rPr>
                <w:sz w:val="14"/>
              </w:rPr>
              <w:t>Other financial liabilities</w:t>
              <w:tab/>
            </w:r>
            <w:r>
              <w:rPr>
                <w:b/>
                <w:sz w:val="14"/>
              </w:rPr>
              <w:t>-</w:t>
            </w:r>
          </w:p>
        </w:tc>
        <w:tc>
          <w:tcPr>
            <w:tcW w:w="596" w:type="dxa"/>
            <w:tcBorders>
              <w:bottom w:val="single" w:sz="0" w:space="0" w:color="000000"/>
            </w:tcBorders>
          </w:tcPr>
          <w:p>
            <w:pPr>
              <w:pStyle w:val="TableParagraph"/>
              <w:spacing w:before="21"/>
              <w:ind w:right="74"/>
              <w:jc w:val="right"/>
              <w:rPr>
                <w:sz w:val="14"/>
              </w:rPr>
            </w:pPr>
            <w:r>
              <w:rPr>
                <w:w w:val="100"/>
                <w:sz w:val="14"/>
              </w:rPr>
              <w:t>-</w:t>
            </w:r>
          </w:p>
        </w:tc>
        <w:tc>
          <w:tcPr>
            <w:tcW w:w="878" w:type="dxa"/>
            <w:gridSpan w:val="2"/>
            <w:tcBorders>
              <w:bottom w:val="single" w:sz="0" w:space="0" w:color="000000"/>
            </w:tcBorders>
          </w:tcPr>
          <w:p>
            <w:pPr>
              <w:pStyle w:val="TableParagraph"/>
              <w:spacing w:before="21"/>
              <w:ind w:right="51"/>
              <w:jc w:val="right"/>
              <w:rPr>
                <w:b/>
                <w:sz w:val="14"/>
              </w:rPr>
            </w:pPr>
            <w:r>
              <w:rPr>
                <w:b/>
                <w:w w:val="100"/>
                <w:sz w:val="14"/>
              </w:rPr>
              <w:t>-</w:t>
            </w:r>
          </w:p>
        </w:tc>
        <w:tc>
          <w:tcPr>
            <w:tcW w:w="857" w:type="dxa"/>
            <w:tcBorders>
              <w:bottom w:val="single" w:sz="0" w:space="0" w:color="000000"/>
            </w:tcBorders>
          </w:tcPr>
          <w:p>
            <w:pPr>
              <w:pStyle w:val="TableParagraph"/>
              <w:spacing w:before="21"/>
              <w:ind w:right="49"/>
              <w:jc w:val="right"/>
              <w:rPr>
                <w:sz w:val="14"/>
              </w:rPr>
            </w:pPr>
            <w:r>
              <w:rPr>
                <w:w w:val="100"/>
                <w:sz w:val="14"/>
              </w:rPr>
              <w:t>-</w:t>
            </w:r>
          </w:p>
        </w:tc>
        <w:tc>
          <w:tcPr>
            <w:tcW w:w="924" w:type="dxa"/>
            <w:gridSpan w:val="2"/>
            <w:tcBorders>
              <w:bottom w:val="single" w:sz="0" w:space="0" w:color="000000"/>
            </w:tcBorders>
          </w:tcPr>
          <w:p>
            <w:pPr>
              <w:pStyle w:val="TableParagraph"/>
              <w:spacing w:before="21"/>
              <w:ind w:right="73"/>
              <w:jc w:val="right"/>
              <w:rPr>
                <w:b/>
                <w:sz w:val="14"/>
              </w:rPr>
            </w:pPr>
            <w:r>
              <w:rPr>
                <w:b/>
                <w:w w:val="100"/>
                <w:sz w:val="14"/>
              </w:rPr>
              <w:t>-</w:t>
            </w:r>
          </w:p>
        </w:tc>
        <w:tc>
          <w:tcPr>
            <w:tcW w:w="856" w:type="dxa"/>
            <w:gridSpan w:val="2"/>
            <w:tcBorders>
              <w:bottom w:val="single" w:sz="0" w:space="0" w:color="000000"/>
            </w:tcBorders>
          </w:tcPr>
          <w:p>
            <w:pPr>
              <w:pStyle w:val="TableParagraph"/>
              <w:spacing w:before="21"/>
              <w:ind w:right="73"/>
              <w:jc w:val="right"/>
              <w:rPr>
                <w:sz w:val="14"/>
              </w:rPr>
            </w:pPr>
            <w:r>
              <w:rPr>
                <w:w w:val="100"/>
                <w:sz w:val="14"/>
              </w:rPr>
              <w:t>-</w:t>
            </w:r>
          </w:p>
        </w:tc>
        <w:tc>
          <w:tcPr>
            <w:tcW w:w="901" w:type="dxa"/>
            <w:tcBorders>
              <w:bottom w:val="single" w:sz="0" w:space="0" w:color="000000"/>
            </w:tcBorders>
          </w:tcPr>
          <w:p>
            <w:pPr>
              <w:pStyle w:val="TableParagraph"/>
              <w:spacing w:before="21"/>
              <w:ind w:right="73"/>
              <w:jc w:val="right"/>
              <w:rPr>
                <w:b/>
                <w:sz w:val="14"/>
              </w:rPr>
            </w:pPr>
            <w:r>
              <w:rPr>
                <w:b/>
                <w:w w:val="100"/>
                <w:sz w:val="14"/>
              </w:rPr>
              <w:t>-</w:t>
            </w:r>
          </w:p>
        </w:tc>
        <w:tc>
          <w:tcPr>
            <w:tcW w:w="856" w:type="dxa"/>
            <w:tcBorders>
              <w:bottom w:val="single" w:sz="0" w:space="0" w:color="000000"/>
            </w:tcBorders>
          </w:tcPr>
          <w:p>
            <w:pPr>
              <w:pStyle w:val="TableParagraph"/>
              <w:spacing w:before="21"/>
              <w:ind w:right="73"/>
              <w:jc w:val="right"/>
              <w:rPr>
                <w:sz w:val="14"/>
              </w:rPr>
            </w:pPr>
            <w:r>
              <w:rPr>
                <w:w w:val="100"/>
                <w:sz w:val="14"/>
              </w:rPr>
              <w:t>-</w:t>
            </w:r>
          </w:p>
        </w:tc>
        <w:tc>
          <w:tcPr>
            <w:tcW w:w="2659" w:type="dxa"/>
            <w:gridSpan w:val="3"/>
            <w:tcBorders>
              <w:bottom w:val="single" w:sz="0" w:space="0" w:color="000000"/>
            </w:tcBorders>
          </w:tcPr>
          <w:p>
            <w:pPr>
              <w:pStyle w:val="TableParagraph"/>
              <w:tabs>
                <w:tab w:pos="1636" w:val="left" w:leader="none"/>
                <w:tab w:pos="2184" w:val="left" w:leader="none"/>
              </w:tabs>
              <w:spacing w:before="21"/>
              <w:ind w:left="778"/>
              <w:rPr>
                <w:b/>
                <w:sz w:val="14"/>
              </w:rPr>
            </w:pPr>
            <w:r>
              <w:rPr>
                <w:b/>
                <w:sz w:val="14"/>
              </w:rPr>
              <w:t>-</w:t>
              <w:tab/>
            </w:r>
            <w:r>
              <w:rPr>
                <w:sz w:val="14"/>
              </w:rPr>
              <w:t>-</w:t>
              <w:tab/>
            </w:r>
            <w:r>
              <w:rPr>
                <w:b/>
                <w:sz w:val="14"/>
              </w:rPr>
              <w:t>(3,913)</w:t>
            </w:r>
          </w:p>
        </w:tc>
        <w:tc>
          <w:tcPr>
            <w:tcW w:w="856" w:type="dxa"/>
            <w:tcBorders>
              <w:bottom w:val="single" w:sz="0" w:space="0" w:color="000000"/>
            </w:tcBorders>
          </w:tcPr>
          <w:p>
            <w:pPr>
              <w:pStyle w:val="TableParagraph"/>
              <w:spacing w:before="21"/>
              <w:ind w:right="26"/>
              <w:jc w:val="right"/>
              <w:rPr>
                <w:sz w:val="14"/>
              </w:rPr>
            </w:pPr>
            <w:r>
              <w:rPr>
                <w:sz w:val="14"/>
              </w:rPr>
              <w:t>(1,951)</w:t>
            </w:r>
          </w:p>
        </w:tc>
        <w:tc>
          <w:tcPr>
            <w:tcW w:w="901" w:type="dxa"/>
            <w:tcBorders>
              <w:bottom w:val="single" w:sz="0" w:space="0" w:color="000000"/>
            </w:tcBorders>
          </w:tcPr>
          <w:p>
            <w:pPr>
              <w:pStyle w:val="TableParagraph"/>
              <w:spacing w:before="21"/>
              <w:ind w:right="27"/>
              <w:jc w:val="right"/>
              <w:rPr>
                <w:b/>
                <w:sz w:val="14"/>
              </w:rPr>
            </w:pPr>
            <w:r>
              <w:rPr>
                <w:b/>
                <w:sz w:val="14"/>
              </w:rPr>
              <w:t>(3,913)</w:t>
            </w:r>
          </w:p>
        </w:tc>
        <w:tc>
          <w:tcPr>
            <w:tcW w:w="851" w:type="dxa"/>
            <w:tcBorders>
              <w:bottom w:val="single" w:sz="0" w:space="0" w:color="000000"/>
            </w:tcBorders>
          </w:tcPr>
          <w:p>
            <w:pPr>
              <w:pStyle w:val="TableParagraph"/>
              <w:spacing w:before="21"/>
              <w:ind w:right="21"/>
              <w:jc w:val="right"/>
              <w:rPr>
                <w:sz w:val="14"/>
              </w:rPr>
            </w:pPr>
            <w:r>
              <w:rPr>
                <w:sz w:val="14"/>
              </w:rPr>
              <w:t>(1,951)</w:t>
            </w:r>
          </w:p>
        </w:tc>
      </w:tr>
      <w:tr>
        <w:trPr>
          <w:trHeight w:val="308" w:hRule="exact"/>
        </w:trPr>
        <w:tc>
          <w:tcPr>
            <w:tcW w:w="2756" w:type="dxa"/>
            <w:gridSpan w:val="2"/>
          </w:tcPr>
          <w:p>
            <w:pPr>
              <w:pStyle w:val="TableParagraph"/>
              <w:spacing w:before="123"/>
              <w:ind w:left="34"/>
              <w:rPr>
                <w:b/>
                <w:sz w:val="14"/>
              </w:rPr>
            </w:pPr>
            <w:r>
              <w:rPr>
                <w:b/>
                <w:sz w:val="14"/>
              </w:rPr>
              <w:t>Total Financial Liabilities</w:t>
            </w:r>
          </w:p>
        </w:tc>
        <w:tc>
          <w:tcPr>
            <w:tcW w:w="596" w:type="dxa"/>
            <w:tcBorders>
              <w:top w:val="single" w:sz="0" w:space="0" w:color="000000"/>
              <w:bottom w:val="single" w:sz="0" w:space="0" w:color="000000"/>
            </w:tcBorders>
          </w:tcPr>
          <w:p>
            <w:pPr/>
          </w:p>
        </w:tc>
        <w:tc>
          <w:tcPr>
            <w:tcW w:w="878" w:type="dxa"/>
            <w:gridSpan w:val="2"/>
            <w:tcBorders>
              <w:top w:val="single" w:sz="0" w:space="0" w:color="000000"/>
              <w:bottom w:val="single" w:sz="0" w:space="0" w:color="000000"/>
            </w:tcBorders>
          </w:tcPr>
          <w:p>
            <w:pPr>
              <w:pStyle w:val="TableParagraph"/>
              <w:spacing w:before="123"/>
              <w:ind w:right="50"/>
              <w:jc w:val="right"/>
              <w:rPr>
                <w:b/>
                <w:sz w:val="14"/>
              </w:rPr>
            </w:pPr>
            <w:r>
              <w:rPr>
                <w:b/>
                <w:w w:val="100"/>
                <w:sz w:val="14"/>
              </w:rPr>
              <w:t>-</w:t>
            </w:r>
          </w:p>
        </w:tc>
        <w:tc>
          <w:tcPr>
            <w:tcW w:w="857" w:type="dxa"/>
            <w:tcBorders>
              <w:top w:val="single" w:sz="0" w:space="0" w:color="000000"/>
              <w:bottom w:val="single" w:sz="0" w:space="0" w:color="000000"/>
            </w:tcBorders>
          </w:tcPr>
          <w:p>
            <w:pPr>
              <w:pStyle w:val="TableParagraph"/>
              <w:spacing w:before="123"/>
              <w:ind w:right="49"/>
              <w:jc w:val="right"/>
              <w:rPr>
                <w:sz w:val="14"/>
              </w:rPr>
            </w:pPr>
            <w:r>
              <w:rPr>
                <w:w w:val="100"/>
                <w:sz w:val="14"/>
              </w:rPr>
              <w:t>-</w:t>
            </w:r>
          </w:p>
        </w:tc>
        <w:tc>
          <w:tcPr>
            <w:tcW w:w="924" w:type="dxa"/>
            <w:gridSpan w:val="2"/>
            <w:tcBorders>
              <w:top w:val="single" w:sz="0" w:space="0" w:color="000000"/>
              <w:bottom w:val="single" w:sz="0" w:space="0" w:color="000000"/>
            </w:tcBorders>
          </w:tcPr>
          <w:p>
            <w:pPr>
              <w:pStyle w:val="TableParagraph"/>
              <w:spacing w:before="123"/>
              <w:ind w:left="449"/>
              <w:rPr>
                <w:b/>
                <w:sz w:val="14"/>
              </w:rPr>
            </w:pPr>
            <w:r>
              <w:rPr>
                <w:b/>
                <w:sz w:val="14"/>
              </w:rPr>
              <w:t>(6,000)</w:t>
            </w:r>
          </w:p>
        </w:tc>
        <w:tc>
          <w:tcPr>
            <w:tcW w:w="856" w:type="dxa"/>
            <w:gridSpan w:val="2"/>
            <w:tcBorders>
              <w:top w:val="single" w:sz="0" w:space="0" w:color="000000"/>
              <w:bottom w:val="single" w:sz="0" w:space="0" w:color="000000"/>
            </w:tcBorders>
          </w:tcPr>
          <w:p>
            <w:pPr>
              <w:pStyle w:val="TableParagraph"/>
              <w:spacing w:before="123"/>
              <w:ind w:left="382"/>
              <w:rPr>
                <w:sz w:val="14"/>
              </w:rPr>
            </w:pPr>
            <w:r>
              <w:rPr>
                <w:sz w:val="14"/>
              </w:rPr>
              <w:t>(7,000)</w:t>
            </w:r>
          </w:p>
        </w:tc>
        <w:tc>
          <w:tcPr>
            <w:tcW w:w="901" w:type="dxa"/>
            <w:tcBorders>
              <w:top w:val="single" w:sz="0" w:space="0" w:color="000000"/>
              <w:bottom w:val="single" w:sz="0" w:space="0" w:color="000000"/>
            </w:tcBorders>
          </w:tcPr>
          <w:p>
            <w:pPr>
              <w:pStyle w:val="TableParagraph"/>
              <w:spacing w:before="123"/>
              <w:ind w:right="27"/>
              <w:jc w:val="right"/>
              <w:rPr>
                <w:b/>
                <w:sz w:val="14"/>
              </w:rPr>
            </w:pPr>
            <w:r>
              <w:rPr>
                <w:b/>
                <w:sz w:val="14"/>
              </w:rPr>
              <w:t>(49,500)</w:t>
            </w:r>
          </w:p>
        </w:tc>
        <w:tc>
          <w:tcPr>
            <w:tcW w:w="856" w:type="dxa"/>
            <w:tcBorders>
              <w:top w:val="single" w:sz="0" w:space="0" w:color="000000"/>
              <w:bottom w:val="single" w:sz="0" w:space="0" w:color="000000"/>
            </w:tcBorders>
          </w:tcPr>
          <w:p>
            <w:pPr>
              <w:pStyle w:val="TableParagraph"/>
              <w:spacing w:before="123"/>
              <w:ind w:right="26"/>
              <w:jc w:val="right"/>
              <w:rPr>
                <w:sz w:val="14"/>
              </w:rPr>
            </w:pPr>
            <w:r>
              <w:rPr>
                <w:sz w:val="14"/>
              </w:rPr>
              <w:t>(37,000)</w:t>
            </w:r>
          </w:p>
        </w:tc>
        <w:tc>
          <w:tcPr>
            <w:tcW w:w="2659" w:type="dxa"/>
            <w:gridSpan w:val="3"/>
            <w:tcBorders>
              <w:top w:val="single" w:sz="0" w:space="0" w:color="000000"/>
              <w:bottom w:val="single" w:sz="0" w:space="0" w:color="000000"/>
            </w:tcBorders>
          </w:tcPr>
          <w:p>
            <w:pPr>
              <w:pStyle w:val="TableParagraph"/>
              <w:tabs>
                <w:tab w:pos="1636" w:val="left" w:leader="none"/>
                <w:tab w:pos="2106" w:val="left" w:leader="none"/>
              </w:tabs>
              <w:spacing w:before="123"/>
              <w:ind w:left="778"/>
              <w:rPr>
                <w:b/>
                <w:sz w:val="14"/>
              </w:rPr>
            </w:pPr>
            <w:r>
              <w:rPr>
                <w:b/>
                <w:sz w:val="14"/>
              </w:rPr>
              <w:t>-</w:t>
              <w:tab/>
            </w:r>
            <w:r>
              <w:rPr>
                <w:sz w:val="14"/>
              </w:rPr>
              <w:t>-</w:t>
              <w:tab/>
            </w:r>
            <w:r>
              <w:rPr>
                <w:b/>
                <w:sz w:val="14"/>
              </w:rPr>
              <w:t>(53,905)</w:t>
            </w:r>
          </w:p>
        </w:tc>
        <w:tc>
          <w:tcPr>
            <w:tcW w:w="856" w:type="dxa"/>
            <w:tcBorders>
              <w:top w:val="single" w:sz="0" w:space="0" w:color="000000"/>
              <w:bottom w:val="single" w:sz="0" w:space="0" w:color="000000"/>
            </w:tcBorders>
          </w:tcPr>
          <w:p>
            <w:pPr>
              <w:pStyle w:val="TableParagraph"/>
              <w:spacing w:before="123"/>
              <w:ind w:right="26"/>
              <w:jc w:val="right"/>
              <w:rPr>
                <w:sz w:val="14"/>
              </w:rPr>
            </w:pPr>
            <w:r>
              <w:rPr>
                <w:sz w:val="14"/>
              </w:rPr>
              <w:t>(44,206)</w:t>
            </w:r>
          </w:p>
        </w:tc>
        <w:tc>
          <w:tcPr>
            <w:tcW w:w="901" w:type="dxa"/>
            <w:tcBorders>
              <w:top w:val="single" w:sz="0" w:space="0" w:color="000000"/>
              <w:bottom w:val="single" w:sz="0" w:space="0" w:color="000000"/>
            </w:tcBorders>
          </w:tcPr>
          <w:p>
            <w:pPr>
              <w:pStyle w:val="TableParagraph"/>
              <w:spacing w:before="123"/>
              <w:ind w:right="26"/>
              <w:jc w:val="right"/>
              <w:rPr>
                <w:b/>
                <w:sz w:val="14"/>
              </w:rPr>
            </w:pPr>
            <w:r>
              <w:rPr>
                <w:b/>
                <w:sz w:val="14"/>
              </w:rPr>
              <w:t>(109,405)</w:t>
            </w:r>
          </w:p>
        </w:tc>
        <w:tc>
          <w:tcPr>
            <w:tcW w:w="851" w:type="dxa"/>
            <w:tcBorders>
              <w:top w:val="single" w:sz="0" w:space="0" w:color="000000"/>
              <w:bottom w:val="single" w:sz="0" w:space="0" w:color="000000"/>
            </w:tcBorders>
          </w:tcPr>
          <w:p>
            <w:pPr>
              <w:pStyle w:val="TableParagraph"/>
              <w:spacing w:before="123"/>
              <w:ind w:right="21"/>
              <w:jc w:val="right"/>
              <w:rPr>
                <w:sz w:val="14"/>
              </w:rPr>
            </w:pPr>
            <w:r>
              <w:rPr>
                <w:sz w:val="14"/>
              </w:rPr>
              <w:t>(88,206)</w:t>
            </w:r>
          </w:p>
        </w:tc>
      </w:tr>
    </w:tbl>
    <w:p>
      <w:pPr>
        <w:pStyle w:val="BodyText"/>
        <w:spacing w:before="9"/>
        <w:rPr>
          <w:b/>
          <w:sz w:val="7"/>
        </w:rPr>
      </w:pPr>
    </w:p>
    <w:p>
      <w:pPr>
        <w:pStyle w:val="ListParagraph"/>
        <w:numPr>
          <w:ilvl w:val="1"/>
          <w:numId w:val="26"/>
        </w:numPr>
        <w:tabs>
          <w:tab w:pos="1281" w:val="left" w:leader="none"/>
        </w:tabs>
        <w:spacing w:line="240" w:lineRule="auto" w:before="82" w:after="0"/>
        <w:ind w:left="1070" w:right="288" w:firstLine="0"/>
        <w:jc w:val="left"/>
        <w:rPr>
          <w:sz w:val="14"/>
        </w:rPr>
      </w:pPr>
      <w:r>
        <w:rPr>
          <w:sz w:val="14"/>
        </w:rPr>
        <w:t>The Acadian Australian Equity High Yield fund’s inception date is 29 August 2012. The Group started its investments in this fund on the same date. Given the short life so far of this fund and how it’s performance can be affected either positively or negatively by short term and possibly abnormal fluctuations in the Australian equity market, it is considered misleading at this stage to recalculate and declare the fund’s performance since inception of 7.45% as an annualised average interest</w:t>
      </w:r>
      <w:r>
        <w:rPr>
          <w:spacing w:val="8"/>
          <w:sz w:val="14"/>
        </w:rPr>
        <w:t> </w:t>
      </w:r>
      <w:r>
        <w:rPr>
          <w:sz w:val="14"/>
        </w:rPr>
        <w:t>rate.</w:t>
      </w:r>
    </w:p>
    <w:p>
      <w:pPr>
        <w:pStyle w:val="BodyText"/>
        <w:spacing w:before="8"/>
        <w:rPr>
          <w:sz w:val="12"/>
        </w:rPr>
      </w:pPr>
    </w:p>
    <w:p>
      <w:pPr>
        <w:pStyle w:val="ListParagraph"/>
        <w:numPr>
          <w:ilvl w:val="1"/>
          <w:numId w:val="26"/>
        </w:numPr>
        <w:tabs>
          <w:tab w:pos="1281" w:val="left" w:leader="none"/>
        </w:tabs>
        <w:spacing w:line="240" w:lineRule="auto" w:before="0" w:after="0"/>
        <w:ind w:left="1070" w:right="145" w:firstLine="0"/>
        <w:jc w:val="left"/>
        <w:rPr>
          <w:sz w:val="14"/>
        </w:rPr>
      </w:pPr>
      <w:r>
        <w:rPr>
          <w:sz w:val="14"/>
        </w:rPr>
        <w:t>The University's deferrred government contribution for superannuation included in note 16 is not included in the above analysis as the timing of the cash flows cannot be determined due to the current discussions between the State and Federal Government as to responsibility for the amount</w:t>
      </w:r>
      <w:r>
        <w:rPr>
          <w:spacing w:val="12"/>
          <w:sz w:val="14"/>
        </w:rPr>
        <w:t> </w:t>
      </w:r>
      <w:r>
        <w:rPr>
          <w:sz w:val="14"/>
        </w:rPr>
        <w:t>payable.</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before="107"/>
        <w:ind w:left="7412" w:right="7450" w:firstLine="0"/>
        <w:jc w:val="center"/>
        <w:rPr>
          <w:sz w:val="16"/>
        </w:rPr>
      </w:pPr>
      <w:r>
        <w:rPr>
          <w:sz w:val="16"/>
        </w:rPr>
        <w:t>61</w:t>
      </w:r>
    </w:p>
    <w:p>
      <w:pPr>
        <w:spacing w:after="0"/>
        <w:jc w:val="center"/>
        <w:rPr>
          <w:sz w:val="16"/>
        </w:rPr>
        <w:sectPr>
          <w:headerReference w:type="default" r:id="rId85"/>
          <w:footerReference w:type="default" r:id="rId86"/>
          <w:pgSz w:w="16840" w:h="11910" w:orient="landscape"/>
          <w:pgMar w:header="0" w:footer="0" w:top="960" w:bottom="280" w:left="900" w:right="860"/>
        </w:sectPr>
      </w:pPr>
    </w:p>
    <w:p>
      <w:pPr>
        <w:pStyle w:val="BodyText"/>
        <w:rPr>
          <w:sz w:val="20"/>
        </w:rPr>
      </w:pPr>
    </w:p>
    <w:p>
      <w:pPr>
        <w:pStyle w:val="BodyText"/>
        <w:rPr>
          <w:sz w:val="20"/>
        </w:rPr>
      </w:pPr>
    </w:p>
    <w:p>
      <w:pPr>
        <w:pStyle w:val="BodyText"/>
        <w:spacing w:before="4"/>
      </w:pPr>
    </w:p>
    <w:p>
      <w:pPr>
        <w:pStyle w:val="Heading9"/>
        <w:spacing w:line="207" w:lineRule="exact"/>
        <w:ind w:left="109" w:right="125"/>
      </w:pPr>
      <w:r>
        <w:rPr/>
        <w:t>32    Financial Risk Management (continued)</w:t>
      </w:r>
    </w:p>
    <w:p>
      <w:pPr>
        <w:pStyle w:val="ListParagraph"/>
        <w:numPr>
          <w:ilvl w:val="0"/>
          <w:numId w:val="26"/>
        </w:numPr>
        <w:tabs>
          <w:tab w:pos="1072" w:val="left" w:leader="none"/>
        </w:tabs>
        <w:spacing w:line="207" w:lineRule="exact" w:before="0" w:after="0"/>
        <w:ind w:left="1071" w:right="0" w:hanging="566"/>
        <w:jc w:val="left"/>
        <w:rPr>
          <w:sz w:val="18"/>
        </w:rPr>
      </w:pPr>
      <w:r>
        <w:rPr>
          <w:sz w:val="18"/>
        </w:rPr>
        <w:t>Fair value</w:t>
      </w:r>
      <w:r>
        <w:rPr>
          <w:spacing w:val="-1"/>
          <w:sz w:val="18"/>
        </w:rPr>
        <w:t> </w:t>
      </w:r>
      <w:r>
        <w:rPr>
          <w:sz w:val="18"/>
        </w:rPr>
        <w:t>estimation</w:t>
      </w:r>
    </w:p>
    <w:p>
      <w:pPr>
        <w:pStyle w:val="BodyText"/>
        <w:rPr>
          <w:sz w:val="25"/>
        </w:rPr>
      </w:pPr>
    </w:p>
    <w:p>
      <w:pPr>
        <w:pStyle w:val="BodyText"/>
        <w:ind w:left="1072" w:right="273"/>
      </w:pPr>
      <w:r>
        <w:rPr/>
        <w:t>The fair value of financial assets and financial liabilities must be estimated for recognition and measurement or for disclosure purposes.</w:t>
      </w:r>
    </w:p>
    <w:p>
      <w:pPr>
        <w:pStyle w:val="BodyText"/>
        <w:rPr>
          <w:sz w:val="25"/>
        </w:rPr>
      </w:pPr>
    </w:p>
    <w:p>
      <w:pPr>
        <w:pStyle w:val="BodyText"/>
        <w:ind w:left="1072" w:right="125"/>
      </w:pPr>
      <w:r>
        <w:rPr/>
        <w:t>The fair value of financial instruments traded in active markets is based on quoted market prices at the reporting date. The quoted market price used for financial assets held by the Group is the last sale price.</w:t>
      </w:r>
    </w:p>
    <w:p>
      <w:pPr>
        <w:pStyle w:val="BodyText"/>
        <w:rPr>
          <w:sz w:val="25"/>
        </w:rPr>
      </w:pPr>
    </w:p>
    <w:p>
      <w:pPr>
        <w:pStyle w:val="BodyText"/>
        <w:ind w:left="1072" w:right="223"/>
      </w:pPr>
      <w:r>
        <w:rPr/>
        <w:t>The fair value of financial instruments that are not traded in an active market is determined using valuation techniques. The Group uses a variety of methods and makes assumptions that are based on market conditions existing at each balance date. Quoted market prices or dealer quotes for similar instruments are used for long term debt instruments held. Other techniques, such as estimated discounted cash flows, are used to determine fair value for the remaining financial instruments. The fair value of interest rate swaps is calculated as the present value of the estimated future cash flows. The fair value of forward exchange contracts is determined using forward exchange market rates at the reporting date.</w:t>
      </w:r>
    </w:p>
    <w:p>
      <w:pPr>
        <w:pStyle w:val="BodyText"/>
        <w:rPr>
          <w:sz w:val="25"/>
        </w:rPr>
      </w:pPr>
    </w:p>
    <w:p>
      <w:pPr>
        <w:pStyle w:val="BodyText"/>
        <w:ind w:left="1072" w:right="103"/>
      </w:pPr>
      <w:r>
        <w:rPr/>
        <w:t>The carrying value less impairment provision of trade receivables and payables is a reasonable approximation of their fair values due to the short term nature of trade receivables. The fair value of financial liabilities for disclosure purposes is estimated by discounting the future contractual cash flows at the current market interest rate that is available to the Group for similar financial instruments.</w:t>
      </w:r>
    </w:p>
    <w:p>
      <w:pPr>
        <w:pStyle w:val="BodyText"/>
        <w:rPr>
          <w:sz w:val="25"/>
        </w:rPr>
      </w:pPr>
    </w:p>
    <w:p>
      <w:pPr>
        <w:pStyle w:val="BodyText"/>
        <w:ind w:left="1072" w:right="102"/>
      </w:pPr>
      <w:r>
        <w:rPr/>
        <w:t>Due to the short term nature of the current receivables, their carrying value is assumed to approximate their fair value and based on credit history it is expected that the receivables that are neither past due nor impaired will be received when due.</w:t>
      </w:r>
    </w:p>
    <w:p>
      <w:pPr>
        <w:spacing w:after="0"/>
        <w:sectPr>
          <w:headerReference w:type="default" r:id="rId87"/>
          <w:footerReference w:type="default" r:id="rId88"/>
          <w:pgSz w:w="11910" w:h="16840"/>
          <w:pgMar w:header="1038" w:footer="507" w:top="2220" w:bottom="700" w:left="900" w:right="860"/>
          <w:pgNumType w:start="62"/>
        </w:sectPr>
      </w:pPr>
    </w:p>
    <w:p>
      <w:pPr>
        <w:pStyle w:val="BodyText"/>
        <w:rPr>
          <w:sz w:val="20"/>
        </w:rPr>
      </w:pPr>
    </w:p>
    <w:p>
      <w:pPr>
        <w:pStyle w:val="BodyText"/>
        <w:rPr>
          <w:sz w:val="20"/>
        </w:rPr>
      </w:pPr>
    </w:p>
    <w:p>
      <w:pPr>
        <w:pStyle w:val="BodyText"/>
        <w:spacing w:before="4"/>
      </w:pPr>
    </w:p>
    <w:p>
      <w:pPr>
        <w:pStyle w:val="Heading9"/>
        <w:ind w:left="109" w:right="128"/>
      </w:pPr>
      <w:r>
        <w:rPr/>
        <w:t>32    Financial Risk Management (continued)</w:t>
      </w:r>
    </w:p>
    <w:p>
      <w:pPr>
        <w:pStyle w:val="BodyText"/>
        <w:spacing w:before="11"/>
        <w:rPr>
          <w:b/>
          <w:sz w:val="24"/>
        </w:rPr>
      </w:pPr>
    </w:p>
    <w:p>
      <w:pPr>
        <w:pStyle w:val="BodyText"/>
        <w:tabs>
          <w:tab w:pos="1071" w:val="left" w:leader="none"/>
        </w:tabs>
        <w:spacing w:line="207" w:lineRule="exact"/>
        <w:ind w:left="505" w:right="128"/>
      </w:pPr>
      <w:r>
        <w:rPr/>
        <w:t>(e)</w:t>
        <w:tab/>
        <w:t>Fair value estimation</w:t>
      </w:r>
      <w:r>
        <w:rPr>
          <w:spacing w:val="-1"/>
        </w:rPr>
        <w:t> </w:t>
      </w:r>
      <w:r>
        <w:rPr/>
        <w:t>(continued)</w:t>
      </w:r>
    </w:p>
    <w:p>
      <w:pPr>
        <w:pStyle w:val="BodyText"/>
        <w:spacing w:line="207" w:lineRule="exact"/>
        <w:ind w:left="1072" w:right="128"/>
      </w:pPr>
      <w:r>
        <w:rPr/>
        <w:t>The carrying amounts and aggregate net fair values of financial assets and liabilities at balance date are:</w:t>
      </w:r>
    </w:p>
    <w:p>
      <w:pPr>
        <w:pStyle w:val="BodyText"/>
      </w:pPr>
    </w:p>
    <w:p>
      <w:pPr>
        <w:pStyle w:val="BodyText"/>
      </w:pPr>
    </w:p>
    <w:p>
      <w:pPr>
        <w:pStyle w:val="Heading9"/>
        <w:tabs>
          <w:tab w:pos="7502" w:val="left" w:leader="none"/>
        </w:tabs>
        <w:spacing w:before="113"/>
        <w:ind w:left="4908" w:right="128"/>
      </w:pPr>
      <w:r>
        <w:rPr/>
        <w:t>Carrying Amount</w:t>
        <w:tab/>
        <w:t>Fair Value</w:t>
      </w:r>
    </w:p>
    <w:p>
      <w:pPr>
        <w:spacing w:after="0"/>
        <w:sectPr>
          <w:pgSz w:w="11910" w:h="16840"/>
          <w:pgMar w:header="1038" w:footer="507" w:top="2220" w:bottom="700" w:left="900" w:right="880"/>
        </w:sectPr>
      </w:pPr>
    </w:p>
    <w:p>
      <w:pPr>
        <w:spacing w:before="66"/>
        <w:ind w:left="0" w:right="40" w:firstLine="0"/>
        <w:jc w:val="right"/>
        <w:rPr>
          <w:b/>
          <w:sz w:val="18"/>
        </w:rPr>
      </w:pPr>
      <w:r>
        <w:rPr>
          <w:b/>
          <w:w w:val="95"/>
          <w:sz w:val="18"/>
        </w:rPr>
        <w:t>2012</w:t>
      </w:r>
    </w:p>
    <w:p>
      <w:pPr>
        <w:spacing w:before="66"/>
        <w:ind w:left="0" w:right="0" w:firstLine="0"/>
        <w:jc w:val="right"/>
        <w:rPr>
          <w:b/>
          <w:sz w:val="18"/>
        </w:rPr>
      </w:pPr>
      <w:r>
        <w:rPr>
          <w:b/>
          <w:sz w:val="18"/>
        </w:rPr>
        <w:t>$'000</w:t>
      </w:r>
    </w:p>
    <w:p>
      <w:pPr>
        <w:spacing w:before="66"/>
        <w:ind w:left="814" w:right="-20" w:firstLine="0"/>
        <w:jc w:val="left"/>
        <w:rPr>
          <w:b/>
          <w:sz w:val="18"/>
        </w:rPr>
      </w:pPr>
      <w:r>
        <w:rPr/>
        <w:br w:type="column"/>
      </w:r>
      <w:r>
        <w:rPr>
          <w:b/>
          <w:sz w:val="18"/>
        </w:rPr>
        <w:t>2011</w:t>
      </w:r>
    </w:p>
    <w:p>
      <w:pPr>
        <w:spacing w:before="66"/>
        <w:ind w:left="814" w:right="-20" w:firstLine="0"/>
        <w:jc w:val="left"/>
        <w:rPr>
          <w:b/>
          <w:sz w:val="18"/>
        </w:rPr>
      </w:pPr>
      <w:r>
        <w:rPr>
          <w:b/>
          <w:sz w:val="18"/>
        </w:rPr>
        <w:t>$'000</w:t>
      </w:r>
    </w:p>
    <w:p>
      <w:pPr>
        <w:spacing w:before="66"/>
        <w:ind w:left="814" w:right="-20" w:firstLine="0"/>
        <w:jc w:val="left"/>
        <w:rPr>
          <w:b/>
          <w:sz w:val="18"/>
        </w:rPr>
      </w:pPr>
      <w:r>
        <w:rPr/>
        <w:br w:type="column"/>
      </w:r>
      <w:r>
        <w:rPr>
          <w:b/>
          <w:sz w:val="18"/>
        </w:rPr>
        <w:t>2012</w:t>
      </w:r>
    </w:p>
    <w:p>
      <w:pPr>
        <w:spacing w:before="66"/>
        <w:ind w:left="814" w:right="-20" w:firstLine="0"/>
        <w:jc w:val="left"/>
        <w:rPr>
          <w:b/>
          <w:sz w:val="18"/>
        </w:rPr>
      </w:pPr>
      <w:r>
        <w:rPr>
          <w:b/>
          <w:sz w:val="18"/>
        </w:rPr>
        <w:t>$'000</w:t>
      </w:r>
    </w:p>
    <w:p>
      <w:pPr>
        <w:spacing w:before="66"/>
        <w:ind w:left="753" w:right="861" w:firstLine="0"/>
        <w:jc w:val="center"/>
        <w:rPr>
          <w:b/>
          <w:sz w:val="18"/>
        </w:rPr>
      </w:pPr>
      <w:r>
        <w:rPr/>
        <w:br w:type="column"/>
      </w:r>
      <w:r>
        <w:rPr>
          <w:b/>
          <w:sz w:val="18"/>
        </w:rPr>
        <w:t>2011</w:t>
      </w:r>
    </w:p>
    <w:p>
      <w:pPr>
        <w:spacing w:before="66"/>
        <w:ind w:left="796" w:right="861" w:firstLine="0"/>
        <w:jc w:val="center"/>
        <w:rPr>
          <w:b/>
          <w:sz w:val="18"/>
        </w:rPr>
      </w:pPr>
      <w:r>
        <w:rPr>
          <w:b/>
          <w:sz w:val="18"/>
        </w:rPr>
        <w:t>$'000</w:t>
      </w:r>
    </w:p>
    <w:p>
      <w:pPr>
        <w:spacing w:after="0"/>
        <w:jc w:val="center"/>
        <w:rPr>
          <w:sz w:val="18"/>
        </w:rPr>
        <w:sectPr>
          <w:type w:val="continuous"/>
          <w:pgSz w:w="11910" w:h="16840"/>
          <w:pgMar w:top="0" w:bottom="280" w:left="900" w:right="880"/>
          <w:cols w:num="4" w:equalWidth="0">
            <w:col w:w="5352" w:space="40"/>
            <w:col w:w="1258" w:space="40"/>
            <w:col w:w="1258" w:space="40"/>
            <w:col w:w="2142"/>
          </w:cols>
        </w:sectPr>
      </w:pPr>
    </w:p>
    <w:p>
      <w:pPr>
        <w:pStyle w:val="BodyText"/>
        <w:spacing w:before="11"/>
        <w:rPr>
          <w:b/>
          <w:sz w:val="5"/>
        </w:rPr>
      </w:pPr>
    </w:p>
    <w:tbl>
      <w:tblPr>
        <w:tblW w:w="0" w:type="auto"/>
        <w:jc w:val="left"/>
        <w:tblInd w:w="108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53"/>
        <w:gridCol w:w="1549"/>
        <w:gridCol w:w="1297"/>
        <w:gridCol w:w="1297"/>
        <w:gridCol w:w="1045"/>
      </w:tblGrid>
      <w:tr>
        <w:trPr>
          <w:trHeight w:val="557" w:hRule="exact"/>
        </w:trPr>
        <w:tc>
          <w:tcPr>
            <w:tcW w:w="3753" w:type="dxa"/>
          </w:tcPr>
          <w:p>
            <w:pPr>
              <w:pStyle w:val="TableParagraph"/>
              <w:spacing w:before="77"/>
              <w:ind w:left="35" w:right="485"/>
              <w:rPr>
                <w:b/>
                <w:sz w:val="18"/>
              </w:rPr>
            </w:pPr>
            <w:r>
              <w:rPr>
                <w:b/>
                <w:sz w:val="18"/>
              </w:rPr>
              <w:t>Financial Assets</w:t>
            </w:r>
          </w:p>
          <w:p>
            <w:pPr>
              <w:pStyle w:val="TableParagraph"/>
              <w:spacing w:before="29"/>
              <w:ind w:left="35" w:right="485"/>
              <w:rPr>
                <w:sz w:val="18"/>
              </w:rPr>
            </w:pPr>
            <w:r>
              <w:rPr>
                <w:sz w:val="18"/>
              </w:rPr>
              <w:t>Cash and cash equivalents</w:t>
            </w:r>
          </w:p>
        </w:tc>
        <w:tc>
          <w:tcPr>
            <w:tcW w:w="1549" w:type="dxa"/>
          </w:tcPr>
          <w:p>
            <w:pPr>
              <w:pStyle w:val="TableParagraph"/>
              <w:rPr>
                <w:b/>
                <w:sz w:val="18"/>
              </w:rPr>
            </w:pPr>
          </w:p>
          <w:p>
            <w:pPr>
              <w:pStyle w:val="TableParagraph"/>
              <w:spacing w:before="105"/>
              <w:ind w:right="307"/>
              <w:jc w:val="right"/>
              <w:rPr>
                <w:sz w:val="18"/>
              </w:rPr>
            </w:pPr>
            <w:r>
              <w:rPr>
                <w:w w:val="95"/>
                <w:sz w:val="18"/>
              </w:rPr>
              <w:t>75,577</w:t>
            </w:r>
          </w:p>
        </w:tc>
        <w:tc>
          <w:tcPr>
            <w:tcW w:w="1297" w:type="dxa"/>
          </w:tcPr>
          <w:p>
            <w:pPr>
              <w:pStyle w:val="TableParagraph"/>
              <w:rPr>
                <w:b/>
                <w:sz w:val="18"/>
              </w:rPr>
            </w:pPr>
          </w:p>
          <w:p>
            <w:pPr>
              <w:pStyle w:val="TableParagraph"/>
              <w:spacing w:before="105"/>
              <w:ind w:right="335"/>
              <w:jc w:val="right"/>
              <w:rPr>
                <w:sz w:val="18"/>
              </w:rPr>
            </w:pPr>
            <w:r>
              <w:rPr>
                <w:w w:val="95"/>
                <w:sz w:val="18"/>
              </w:rPr>
              <w:t>29,852</w:t>
            </w:r>
          </w:p>
        </w:tc>
        <w:tc>
          <w:tcPr>
            <w:tcW w:w="1297" w:type="dxa"/>
          </w:tcPr>
          <w:p>
            <w:pPr>
              <w:pStyle w:val="TableParagraph"/>
              <w:rPr>
                <w:b/>
                <w:sz w:val="18"/>
              </w:rPr>
            </w:pPr>
          </w:p>
          <w:p>
            <w:pPr>
              <w:pStyle w:val="TableParagraph"/>
              <w:spacing w:before="105"/>
              <w:ind w:right="308"/>
              <w:jc w:val="right"/>
              <w:rPr>
                <w:sz w:val="18"/>
              </w:rPr>
            </w:pPr>
            <w:r>
              <w:rPr>
                <w:w w:val="95"/>
                <w:sz w:val="18"/>
              </w:rPr>
              <w:t>75,577</w:t>
            </w:r>
          </w:p>
        </w:tc>
        <w:tc>
          <w:tcPr>
            <w:tcW w:w="1045" w:type="dxa"/>
          </w:tcPr>
          <w:p>
            <w:pPr>
              <w:pStyle w:val="TableParagraph"/>
              <w:rPr>
                <w:b/>
                <w:sz w:val="18"/>
              </w:rPr>
            </w:pPr>
          </w:p>
          <w:p>
            <w:pPr>
              <w:pStyle w:val="TableParagraph"/>
              <w:spacing w:before="105"/>
              <w:ind w:right="83"/>
              <w:jc w:val="right"/>
              <w:rPr>
                <w:sz w:val="18"/>
              </w:rPr>
            </w:pPr>
            <w:r>
              <w:rPr>
                <w:w w:val="95"/>
                <w:sz w:val="18"/>
              </w:rPr>
              <w:t>29,852</w:t>
            </w:r>
          </w:p>
        </w:tc>
      </w:tr>
      <w:tr>
        <w:trPr>
          <w:trHeight w:val="265" w:hRule="exact"/>
        </w:trPr>
        <w:tc>
          <w:tcPr>
            <w:tcW w:w="3753" w:type="dxa"/>
          </w:tcPr>
          <w:p>
            <w:pPr>
              <w:pStyle w:val="TableParagraph"/>
              <w:spacing w:before="20"/>
              <w:ind w:left="35" w:right="485"/>
              <w:rPr>
                <w:rFonts w:ascii="Microsoft Sans Serif"/>
                <w:sz w:val="18"/>
              </w:rPr>
            </w:pPr>
            <w:r>
              <w:rPr>
                <w:sz w:val="18"/>
              </w:rPr>
              <w:t>Receivables</w:t>
            </w:r>
            <w:r>
              <w:rPr>
                <w:rFonts w:ascii="Microsoft Sans Serif"/>
                <w:sz w:val="18"/>
              </w:rPr>
              <w:t> </w:t>
            </w:r>
          </w:p>
        </w:tc>
        <w:tc>
          <w:tcPr>
            <w:tcW w:w="1549" w:type="dxa"/>
          </w:tcPr>
          <w:p>
            <w:pPr>
              <w:pStyle w:val="TableParagraph"/>
              <w:spacing w:before="19"/>
              <w:ind w:right="307"/>
              <w:jc w:val="right"/>
              <w:rPr>
                <w:sz w:val="18"/>
              </w:rPr>
            </w:pPr>
            <w:r>
              <w:rPr>
                <w:w w:val="95"/>
                <w:sz w:val="18"/>
              </w:rPr>
              <w:t>282,441</w:t>
            </w:r>
          </w:p>
        </w:tc>
        <w:tc>
          <w:tcPr>
            <w:tcW w:w="1297" w:type="dxa"/>
          </w:tcPr>
          <w:p>
            <w:pPr>
              <w:pStyle w:val="TableParagraph"/>
              <w:spacing w:before="19"/>
              <w:ind w:right="335"/>
              <w:jc w:val="right"/>
              <w:rPr>
                <w:sz w:val="18"/>
              </w:rPr>
            </w:pPr>
            <w:r>
              <w:rPr>
                <w:w w:val="95"/>
                <w:sz w:val="18"/>
              </w:rPr>
              <w:t>253,535</w:t>
            </w:r>
          </w:p>
        </w:tc>
        <w:tc>
          <w:tcPr>
            <w:tcW w:w="1297" w:type="dxa"/>
          </w:tcPr>
          <w:p>
            <w:pPr>
              <w:pStyle w:val="TableParagraph"/>
              <w:spacing w:before="19"/>
              <w:ind w:right="307"/>
              <w:jc w:val="right"/>
              <w:rPr>
                <w:sz w:val="18"/>
              </w:rPr>
            </w:pPr>
            <w:r>
              <w:rPr>
                <w:w w:val="95"/>
                <w:sz w:val="18"/>
              </w:rPr>
              <w:t>282,441</w:t>
            </w:r>
          </w:p>
        </w:tc>
        <w:tc>
          <w:tcPr>
            <w:tcW w:w="1045" w:type="dxa"/>
          </w:tcPr>
          <w:p>
            <w:pPr>
              <w:pStyle w:val="TableParagraph"/>
              <w:spacing w:before="19"/>
              <w:ind w:right="83"/>
              <w:jc w:val="right"/>
              <w:rPr>
                <w:sz w:val="18"/>
              </w:rPr>
            </w:pPr>
            <w:r>
              <w:rPr>
                <w:w w:val="95"/>
                <w:sz w:val="18"/>
              </w:rPr>
              <w:t>253,535</w:t>
            </w:r>
          </w:p>
        </w:tc>
      </w:tr>
      <w:tr>
        <w:trPr>
          <w:trHeight w:val="263" w:hRule="exact"/>
        </w:trPr>
        <w:tc>
          <w:tcPr>
            <w:tcW w:w="3753" w:type="dxa"/>
          </w:tcPr>
          <w:p>
            <w:pPr>
              <w:pStyle w:val="TableParagraph"/>
              <w:spacing w:before="19"/>
              <w:ind w:left="35" w:right="485"/>
              <w:rPr>
                <w:sz w:val="18"/>
              </w:rPr>
            </w:pPr>
            <w:r>
              <w:rPr>
                <w:sz w:val="18"/>
              </w:rPr>
              <w:t>Other financial assets</w:t>
            </w:r>
          </w:p>
        </w:tc>
        <w:tc>
          <w:tcPr>
            <w:tcW w:w="1549" w:type="dxa"/>
            <w:tcBorders>
              <w:bottom w:val="single" w:sz="0" w:space="0" w:color="000000"/>
            </w:tcBorders>
          </w:tcPr>
          <w:p>
            <w:pPr>
              <w:pStyle w:val="TableParagraph"/>
              <w:spacing w:before="18"/>
              <w:ind w:right="307"/>
              <w:jc w:val="right"/>
              <w:rPr>
                <w:sz w:val="18"/>
              </w:rPr>
            </w:pPr>
            <w:r>
              <w:rPr>
                <w:w w:val="95"/>
                <w:sz w:val="18"/>
              </w:rPr>
              <w:t>35,156</w:t>
            </w:r>
          </w:p>
        </w:tc>
        <w:tc>
          <w:tcPr>
            <w:tcW w:w="1297" w:type="dxa"/>
            <w:tcBorders>
              <w:bottom w:val="single" w:sz="0" w:space="0" w:color="000000"/>
            </w:tcBorders>
          </w:tcPr>
          <w:p>
            <w:pPr>
              <w:pStyle w:val="TableParagraph"/>
              <w:spacing w:before="18"/>
              <w:ind w:right="335"/>
              <w:jc w:val="right"/>
              <w:rPr>
                <w:sz w:val="18"/>
              </w:rPr>
            </w:pPr>
            <w:r>
              <w:rPr>
                <w:w w:val="95"/>
                <w:sz w:val="18"/>
              </w:rPr>
              <w:t>49,918</w:t>
            </w:r>
          </w:p>
        </w:tc>
        <w:tc>
          <w:tcPr>
            <w:tcW w:w="1297" w:type="dxa"/>
            <w:tcBorders>
              <w:bottom w:val="single" w:sz="0" w:space="0" w:color="000000"/>
            </w:tcBorders>
          </w:tcPr>
          <w:p>
            <w:pPr>
              <w:pStyle w:val="TableParagraph"/>
              <w:spacing w:before="18"/>
              <w:ind w:right="308"/>
              <w:jc w:val="right"/>
              <w:rPr>
                <w:sz w:val="18"/>
              </w:rPr>
            </w:pPr>
            <w:r>
              <w:rPr>
                <w:w w:val="95"/>
                <w:sz w:val="18"/>
              </w:rPr>
              <w:t>35,156</w:t>
            </w:r>
          </w:p>
        </w:tc>
        <w:tc>
          <w:tcPr>
            <w:tcW w:w="1045" w:type="dxa"/>
            <w:tcBorders>
              <w:bottom w:val="single" w:sz="0" w:space="0" w:color="000000"/>
            </w:tcBorders>
          </w:tcPr>
          <w:p>
            <w:pPr>
              <w:pStyle w:val="TableParagraph"/>
              <w:spacing w:before="18"/>
              <w:ind w:right="83"/>
              <w:jc w:val="right"/>
              <w:rPr>
                <w:sz w:val="18"/>
              </w:rPr>
            </w:pPr>
            <w:r>
              <w:rPr>
                <w:w w:val="95"/>
                <w:sz w:val="18"/>
              </w:rPr>
              <w:t>49,918</w:t>
            </w:r>
          </w:p>
        </w:tc>
      </w:tr>
      <w:tr>
        <w:trPr>
          <w:trHeight w:val="283" w:hRule="exact"/>
        </w:trPr>
        <w:tc>
          <w:tcPr>
            <w:tcW w:w="3753" w:type="dxa"/>
          </w:tcPr>
          <w:p>
            <w:pPr>
              <w:pStyle w:val="TableParagraph"/>
              <w:spacing w:before="40"/>
              <w:ind w:left="35" w:right="485"/>
              <w:rPr>
                <w:b/>
                <w:sz w:val="18"/>
              </w:rPr>
            </w:pPr>
            <w:r>
              <w:rPr>
                <w:b/>
                <w:sz w:val="18"/>
              </w:rPr>
              <w:t>Total Financial Assets</w:t>
            </w:r>
          </w:p>
        </w:tc>
        <w:tc>
          <w:tcPr>
            <w:tcW w:w="1549" w:type="dxa"/>
            <w:tcBorders>
              <w:top w:val="single" w:sz="0" w:space="0" w:color="000000"/>
              <w:bottom w:val="single" w:sz="0" w:space="0" w:color="000000"/>
            </w:tcBorders>
          </w:tcPr>
          <w:p>
            <w:pPr>
              <w:pStyle w:val="TableParagraph"/>
              <w:spacing w:before="38"/>
              <w:ind w:right="307"/>
              <w:jc w:val="right"/>
              <w:rPr>
                <w:b/>
                <w:sz w:val="18"/>
              </w:rPr>
            </w:pPr>
            <w:r>
              <w:rPr>
                <w:b/>
                <w:w w:val="95"/>
                <w:sz w:val="18"/>
              </w:rPr>
              <w:t>393,174</w:t>
            </w:r>
          </w:p>
        </w:tc>
        <w:tc>
          <w:tcPr>
            <w:tcW w:w="1297" w:type="dxa"/>
            <w:tcBorders>
              <w:top w:val="single" w:sz="0" w:space="0" w:color="000000"/>
              <w:bottom w:val="single" w:sz="0" w:space="0" w:color="000000"/>
            </w:tcBorders>
          </w:tcPr>
          <w:p>
            <w:pPr>
              <w:pStyle w:val="TableParagraph"/>
              <w:spacing w:before="38"/>
              <w:ind w:right="335"/>
              <w:jc w:val="right"/>
              <w:rPr>
                <w:b/>
                <w:sz w:val="18"/>
              </w:rPr>
            </w:pPr>
            <w:r>
              <w:rPr>
                <w:b/>
                <w:w w:val="95"/>
                <w:sz w:val="18"/>
              </w:rPr>
              <w:t>333,305</w:t>
            </w:r>
          </w:p>
        </w:tc>
        <w:tc>
          <w:tcPr>
            <w:tcW w:w="1297" w:type="dxa"/>
            <w:tcBorders>
              <w:top w:val="single" w:sz="0" w:space="0" w:color="000000"/>
              <w:bottom w:val="single" w:sz="0" w:space="0" w:color="000000"/>
            </w:tcBorders>
          </w:tcPr>
          <w:p>
            <w:pPr>
              <w:pStyle w:val="TableParagraph"/>
              <w:spacing w:before="38"/>
              <w:ind w:right="307"/>
              <w:jc w:val="right"/>
              <w:rPr>
                <w:b/>
                <w:sz w:val="18"/>
              </w:rPr>
            </w:pPr>
            <w:r>
              <w:rPr>
                <w:b/>
                <w:w w:val="95"/>
                <w:sz w:val="18"/>
              </w:rPr>
              <w:t>393,174</w:t>
            </w:r>
          </w:p>
        </w:tc>
        <w:tc>
          <w:tcPr>
            <w:tcW w:w="1045" w:type="dxa"/>
            <w:tcBorders>
              <w:top w:val="single" w:sz="0" w:space="0" w:color="000000"/>
              <w:bottom w:val="single" w:sz="0" w:space="0" w:color="000000"/>
            </w:tcBorders>
          </w:tcPr>
          <w:p>
            <w:pPr>
              <w:pStyle w:val="TableParagraph"/>
              <w:spacing w:before="38"/>
              <w:ind w:right="83"/>
              <w:jc w:val="right"/>
              <w:rPr>
                <w:b/>
                <w:sz w:val="18"/>
              </w:rPr>
            </w:pPr>
            <w:r>
              <w:rPr>
                <w:b/>
                <w:w w:val="95"/>
                <w:sz w:val="18"/>
              </w:rPr>
              <w:t>333,305</w:t>
            </w:r>
          </w:p>
        </w:tc>
      </w:tr>
      <w:tr>
        <w:trPr>
          <w:trHeight w:val="604" w:hRule="exact"/>
        </w:trPr>
        <w:tc>
          <w:tcPr>
            <w:tcW w:w="3753" w:type="dxa"/>
          </w:tcPr>
          <w:p>
            <w:pPr>
              <w:pStyle w:val="TableParagraph"/>
              <w:spacing w:before="123"/>
              <w:ind w:left="35" w:right="485"/>
              <w:rPr>
                <w:b/>
                <w:sz w:val="18"/>
              </w:rPr>
            </w:pPr>
            <w:r>
              <w:rPr>
                <w:b/>
                <w:sz w:val="18"/>
              </w:rPr>
              <w:t>Financial Liabilities</w:t>
            </w:r>
          </w:p>
          <w:p>
            <w:pPr>
              <w:pStyle w:val="TableParagraph"/>
              <w:spacing w:before="29"/>
              <w:ind w:left="35" w:right="485"/>
              <w:rPr>
                <w:sz w:val="18"/>
              </w:rPr>
            </w:pPr>
            <w:r>
              <w:rPr>
                <w:sz w:val="18"/>
              </w:rPr>
              <w:t>Trade and other payables</w:t>
            </w:r>
          </w:p>
        </w:tc>
        <w:tc>
          <w:tcPr>
            <w:tcW w:w="1549" w:type="dxa"/>
            <w:tcBorders>
              <w:top w:val="single" w:sz="0" w:space="0" w:color="000000"/>
            </w:tcBorders>
          </w:tcPr>
          <w:p>
            <w:pPr>
              <w:pStyle w:val="TableParagraph"/>
              <w:rPr>
                <w:b/>
                <w:sz w:val="18"/>
              </w:rPr>
            </w:pPr>
          </w:p>
          <w:p>
            <w:pPr>
              <w:pStyle w:val="TableParagraph"/>
              <w:spacing w:before="151"/>
              <w:ind w:right="308"/>
              <w:jc w:val="right"/>
              <w:rPr>
                <w:sz w:val="18"/>
              </w:rPr>
            </w:pPr>
            <w:r>
              <w:rPr>
                <w:w w:val="95"/>
                <w:sz w:val="18"/>
              </w:rPr>
              <w:t>50,317</w:t>
            </w:r>
          </w:p>
        </w:tc>
        <w:tc>
          <w:tcPr>
            <w:tcW w:w="1297" w:type="dxa"/>
            <w:tcBorders>
              <w:top w:val="single" w:sz="0" w:space="0" w:color="000000"/>
            </w:tcBorders>
          </w:tcPr>
          <w:p>
            <w:pPr>
              <w:pStyle w:val="TableParagraph"/>
              <w:rPr>
                <w:b/>
                <w:sz w:val="18"/>
              </w:rPr>
            </w:pPr>
          </w:p>
          <w:p>
            <w:pPr>
              <w:pStyle w:val="TableParagraph"/>
              <w:spacing w:before="151"/>
              <w:ind w:right="335"/>
              <w:jc w:val="right"/>
              <w:rPr>
                <w:sz w:val="18"/>
              </w:rPr>
            </w:pPr>
            <w:r>
              <w:rPr>
                <w:w w:val="95"/>
                <w:sz w:val="18"/>
              </w:rPr>
              <w:t>42,255</w:t>
            </w:r>
          </w:p>
        </w:tc>
        <w:tc>
          <w:tcPr>
            <w:tcW w:w="1297" w:type="dxa"/>
            <w:tcBorders>
              <w:top w:val="single" w:sz="0" w:space="0" w:color="000000"/>
            </w:tcBorders>
          </w:tcPr>
          <w:p>
            <w:pPr>
              <w:pStyle w:val="TableParagraph"/>
              <w:rPr>
                <w:b/>
                <w:sz w:val="18"/>
              </w:rPr>
            </w:pPr>
          </w:p>
          <w:p>
            <w:pPr>
              <w:pStyle w:val="TableParagraph"/>
              <w:spacing w:before="151"/>
              <w:ind w:right="308"/>
              <w:jc w:val="right"/>
              <w:rPr>
                <w:sz w:val="18"/>
              </w:rPr>
            </w:pPr>
            <w:r>
              <w:rPr>
                <w:w w:val="95"/>
                <w:sz w:val="18"/>
              </w:rPr>
              <w:t>50,317</w:t>
            </w:r>
          </w:p>
        </w:tc>
        <w:tc>
          <w:tcPr>
            <w:tcW w:w="1045" w:type="dxa"/>
            <w:tcBorders>
              <w:top w:val="single" w:sz="0" w:space="0" w:color="000000"/>
            </w:tcBorders>
          </w:tcPr>
          <w:p>
            <w:pPr>
              <w:pStyle w:val="TableParagraph"/>
              <w:rPr>
                <w:b/>
                <w:sz w:val="18"/>
              </w:rPr>
            </w:pPr>
          </w:p>
          <w:p>
            <w:pPr>
              <w:pStyle w:val="TableParagraph"/>
              <w:spacing w:before="151"/>
              <w:ind w:right="83"/>
              <w:jc w:val="right"/>
              <w:rPr>
                <w:sz w:val="18"/>
              </w:rPr>
            </w:pPr>
            <w:r>
              <w:rPr>
                <w:w w:val="95"/>
                <w:sz w:val="18"/>
              </w:rPr>
              <w:t>42,255</w:t>
            </w:r>
          </w:p>
        </w:tc>
      </w:tr>
      <w:tr>
        <w:trPr>
          <w:trHeight w:val="263" w:hRule="exact"/>
        </w:trPr>
        <w:tc>
          <w:tcPr>
            <w:tcW w:w="3753" w:type="dxa"/>
          </w:tcPr>
          <w:p>
            <w:pPr>
              <w:pStyle w:val="TableParagraph"/>
              <w:spacing w:before="19"/>
              <w:ind w:left="35" w:right="485"/>
              <w:rPr>
                <w:sz w:val="18"/>
              </w:rPr>
            </w:pPr>
            <w:r>
              <w:rPr>
                <w:sz w:val="18"/>
              </w:rPr>
              <w:t>Borrowings</w:t>
            </w:r>
          </w:p>
        </w:tc>
        <w:tc>
          <w:tcPr>
            <w:tcW w:w="1549" w:type="dxa"/>
          </w:tcPr>
          <w:p>
            <w:pPr>
              <w:pStyle w:val="TableParagraph"/>
              <w:spacing w:before="18"/>
              <w:ind w:right="308"/>
              <w:jc w:val="right"/>
              <w:rPr>
                <w:sz w:val="18"/>
              </w:rPr>
            </w:pPr>
            <w:r>
              <w:rPr>
                <w:w w:val="95"/>
                <w:sz w:val="18"/>
              </w:rPr>
              <w:t>55,500</w:t>
            </w:r>
          </w:p>
        </w:tc>
        <w:tc>
          <w:tcPr>
            <w:tcW w:w="1297" w:type="dxa"/>
          </w:tcPr>
          <w:p>
            <w:pPr>
              <w:pStyle w:val="TableParagraph"/>
              <w:spacing w:before="18"/>
              <w:ind w:right="335"/>
              <w:jc w:val="right"/>
              <w:rPr>
                <w:sz w:val="18"/>
              </w:rPr>
            </w:pPr>
            <w:r>
              <w:rPr>
                <w:w w:val="95"/>
                <w:sz w:val="18"/>
              </w:rPr>
              <w:t>44,000</w:t>
            </w:r>
          </w:p>
        </w:tc>
        <w:tc>
          <w:tcPr>
            <w:tcW w:w="1297" w:type="dxa"/>
          </w:tcPr>
          <w:p>
            <w:pPr>
              <w:pStyle w:val="TableParagraph"/>
              <w:spacing w:before="18"/>
              <w:ind w:right="308"/>
              <w:jc w:val="right"/>
              <w:rPr>
                <w:sz w:val="18"/>
              </w:rPr>
            </w:pPr>
            <w:r>
              <w:rPr>
                <w:w w:val="95"/>
                <w:sz w:val="18"/>
              </w:rPr>
              <w:t>55,500</w:t>
            </w:r>
          </w:p>
        </w:tc>
        <w:tc>
          <w:tcPr>
            <w:tcW w:w="1045" w:type="dxa"/>
          </w:tcPr>
          <w:p>
            <w:pPr>
              <w:pStyle w:val="TableParagraph"/>
              <w:spacing w:before="18"/>
              <w:ind w:right="83"/>
              <w:jc w:val="right"/>
              <w:rPr>
                <w:sz w:val="18"/>
              </w:rPr>
            </w:pPr>
            <w:r>
              <w:rPr>
                <w:w w:val="95"/>
                <w:sz w:val="18"/>
              </w:rPr>
              <w:t>44,000</w:t>
            </w:r>
          </w:p>
        </w:tc>
      </w:tr>
      <w:tr>
        <w:trPr>
          <w:trHeight w:val="263" w:hRule="exact"/>
        </w:trPr>
        <w:tc>
          <w:tcPr>
            <w:tcW w:w="3753" w:type="dxa"/>
          </w:tcPr>
          <w:p>
            <w:pPr>
              <w:pStyle w:val="TableParagraph"/>
              <w:spacing w:before="20"/>
              <w:ind w:left="35" w:right="485"/>
              <w:rPr>
                <w:rFonts w:ascii="Microsoft Sans Serif"/>
                <w:sz w:val="18"/>
              </w:rPr>
            </w:pPr>
            <w:r>
              <w:rPr>
                <w:sz w:val="18"/>
              </w:rPr>
              <w:t>Other financial liabilities</w:t>
            </w:r>
            <w:r>
              <w:rPr>
                <w:rFonts w:ascii="Microsoft Sans Serif"/>
                <w:sz w:val="18"/>
              </w:rPr>
              <w:t> </w:t>
            </w:r>
          </w:p>
        </w:tc>
        <w:tc>
          <w:tcPr>
            <w:tcW w:w="1549" w:type="dxa"/>
            <w:tcBorders>
              <w:bottom w:val="single" w:sz="0" w:space="0" w:color="000000"/>
            </w:tcBorders>
          </w:tcPr>
          <w:p>
            <w:pPr>
              <w:pStyle w:val="TableParagraph"/>
              <w:spacing w:before="19"/>
              <w:ind w:right="308"/>
              <w:jc w:val="right"/>
              <w:rPr>
                <w:sz w:val="18"/>
              </w:rPr>
            </w:pPr>
            <w:r>
              <w:rPr>
                <w:w w:val="95"/>
                <w:sz w:val="18"/>
              </w:rPr>
              <w:t>3,913</w:t>
            </w:r>
          </w:p>
        </w:tc>
        <w:tc>
          <w:tcPr>
            <w:tcW w:w="1297" w:type="dxa"/>
            <w:tcBorders>
              <w:bottom w:val="single" w:sz="0" w:space="0" w:color="000000"/>
            </w:tcBorders>
          </w:tcPr>
          <w:p>
            <w:pPr>
              <w:pStyle w:val="TableParagraph"/>
              <w:spacing w:before="19"/>
              <w:ind w:right="336"/>
              <w:jc w:val="right"/>
              <w:rPr>
                <w:sz w:val="18"/>
              </w:rPr>
            </w:pPr>
            <w:r>
              <w:rPr>
                <w:w w:val="95"/>
                <w:sz w:val="18"/>
              </w:rPr>
              <w:t>1,951</w:t>
            </w:r>
          </w:p>
        </w:tc>
        <w:tc>
          <w:tcPr>
            <w:tcW w:w="1297" w:type="dxa"/>
            <w:tcBorders>
              <w:bottom w:val="single" w:sz="0" w:space="0" w:color="000000"/>
            </w:tcBorders>
          </w:tcPr>
          <w:p>
            <w:pPr>
              <w:pStyle w:val="TableParagraph"/>
              <w:spacing w:before="19"/>
              <w:ind w:right="308"/>
              <w:jc w:val="right"/>
              <w:rPr>
                <w:sz w:val="18"/>
              </w:rPr>
            </w:pPr>
            <w:r>
              <w:rPr>
                <w:w w:val="95"/>
                <w:sz w:val="18"/>
              </w:rPr>
              <w:t>3,913</w:t>
            </w:r>
          </w:p>
        </w:tc>
        <w:tc>
          <w:tcPr>
            <w:tcW w:w="1045" w:type="dxa"/>
            <w:tcBorders>
              <w:bottom w:val="single" w:sz="0" w:space="0" w:color="000000"/>
            </w:tcBorders>
          </w:tcPr>
          <w:p>
            <w:pPr>
              <w:pStyle w:val="TableParagraph"/>
              <w:spacing w:before="19"/>
              <w:ind w:right="84"/>
              <w:jc w:val="right"/>
              <w:rPr>
                <w:sz w:val="18"/>
              </w:rPr>
            </w:pPr>
            <w:r>
              <w:rPr>
                <w:w w:val="95"/>
                <w:sz w:val="18"/>
              </w:rPr>
              <w:t>1,951</w:t>
            </w:r>
          </w:p>
        </w:tc>
      </w:tr>
      <w:tr>
        <w:trPr>
          <w:trHeight w:val="283" w:hRule="exact"/>
        </w:trPr>
        <w:tc>
          <w:tcPr>
            <w:tcW w:w="3753" w:type="dxa"/>
          </w:tcPr>
          <w:p>
            <w:pPr>
              <w:pStyle w:val="TableParagraph"/>
              <w:spacing w:before="40"/>
              <w:ind w:left="35" w:right="485"/>
              <w:rPr>
                <w:b/>
                <w:sz w:val="18"/>
              </w:rPr>
            </w:pPr>
            <w:r>
              <w:rPr>
                <w:b/>
                <w:sz w:val="18"/>
              </w:rPr>
              <w:t>Total Financial Liabilities</w:t>
            </w:r>
          </w:p>
        </w:tc>
        <w:tc>
          <w:tcPr>
            <w:tcW w:w="1549" w:type="dxa"/>
            <w:tcBorders>
              <w:top w:val="single" w:sz="0" w:space="0" w:color="000000"/>
              <w:bottom w:val="single" w:sz="0" w:space="0" w:color="000000"/>
            </w:tcBorders>
          </w:tcPr>
          <w:p>
            <w:pPr>
              <w:pStyle w:val="TableParagraph"/>
              <w:spacing w:before="38"/>
              <w:ind w:right="307"/>
              <w:jc w:val="right"/>
              <w:rPr>
                <w:b/>
                <w:sz w:val="18"/>
              </w:rPr>
            </w:pPr>
            <w:r>
              <w:rPr>
                <w:b/>
                <w:w w:val="95"/>
                <w:sz w:val="18"/>
              </w:rPr>
              <w:t>109,730</w:t>
            </w:r>
          </w:p>
        </w:tc>
        <w:tc>
          <w:tcPr>
            <w:tcW w:w="1297" w:type="dxa"/>
            <w:tcBorders>
              <w:top w:val="single" w:sz="0" w:space="0" w:color="000000"/>
              <w:bottom w:val="single" w:sz="0" w:space="0" w:color="000000"/>
            </w:tcBorders>
          </w:tcPr>
          <w:p>
            <w:pPr>
              <w:pStyle w:val="TableParagraph"/>
              <w:spacing w:before="38"/>
              <w:ind w:right="335"/>
              <w:jc w:val="right"/>
              <w:rPr>
                <w:b/>
                <w:sz w:val="18"/>
              </w:rPr>
            </w:pPr>
            <w:r>
              <w:rPr>
                <w:b/>
                <w:w w:val="95"/>
                <w:sz w:val="18"/>
              </w:rPr>
              <w:t>88,206</w:t>
            </w:r>
          </w:p>
        </w:tc>
        <w:tc>
          <w:tcPr>
            <w:tcW w:w="1297" w:type="dxa"/>
            <w:tcBorders>
              <w:top w:val="single" w:sz="0" w:space="0" w:color="000000"/>
              <w:bottom w:val="single" w:sz="0" w:space="0" w:color="000000"/>
            </w:tcBorders>
          </w:tcPr>
          <w:p>
            <w:pPr>
              <w:pStyle w:val="TableParagraph"/>
              <w:spacing w:before="38"/>
              <w:ind w:right="307"/>
              <w:jc w:val="right"/>
              <w:rPr>
                <w:b/>
                <w:sz w:val="18"/>
              </w:rPr>
            </w:pPr>
            <w:r>
              <w:rPr>
                <w:b/>
                <w:w w:val="95"/>
                <w:sz w:val="18"/>
              </w:rPr>
              <w:t>109,730</w:t>
            </w:r>
          </w:p>
        </w:tc>
        <w:tc>
          <w:tcPr>
            <w:tcW w:w="1045" w:type="dxa"/>
            <w:tcBorders>
              <w:top w:val="single" w:sz="0" w:space="0" w:color="000000"/>
              <w:bottom w:val="single" w:sz="0" w:space="0" w:color="000000"/>
            </w:tcBorders>
          </w:tcPr>
          <w:p>
            <w:pPr>
              <w:pStyle w:val="TableParagraph"/>
              <w:spacing w:before="38"/>
              <w:ind w:right="83"/>
              <w:jc w:val="right"/>
              <w:rPr>
                <w:b/>
                <w:sz w:val="18"/>
              </w:rPr>
            </w:pPr>
            <w:r>
              <w:rPr>
                <w:b/>
                <w:w w:val="95"/>
                <w:sz w:val="18"/>
              </w:rPr>
              <w:t>88,206</w:t>
            </w:r>
          </w:p>
        </w:tc>
      </w:tr>
    </w:tbl>
    <w:p>
      <w:pPr>
        <w:pStyle w:val="BodyText"/>
        <w:spacing w:before="3"/>
        <w:rPr>
          <w:b/>
          <w:sz w:val="19"/>
        </w:rPr>
      </w:pPr>
    </w:p>
    <w:p>
      <w:pPr>
        <w:pStyle w:val="BodyText"/>
        <w:spacing w:before="77" w:after="36"/>
        <w:ind w:left="1072" w:right="128"/>
      </w:pPr>
      <w:r>
        <w:rPr/>
        <w:t>Fair value measurements recognised in the statement of financial position are categorised into the following levels:</w:t>
      </w:r>
    </w:p>
    <w:tbl>
      <w:tblPr>
        <w:tblW w:w="0" w:type="auto"/>
        <w:jc w:val="left"/>
        <w:tblInd w:w="108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53"/>
        <w:gridCol w:w="603"/>
        <w:gridCol w:w="702"/>
        <w:gridCol w:w="1283"/>
        <w:gridCol w:w="937"/>
        <w:gridCol w:w="1664"/>
      </w:tblGrid>
      <w:tr>
        <w:trPr>
          <w:trHeight w:val="560" w:hRule="exact"/>
        </w:trPr>
        <w:tc>
          <w:tcPr>
            <w:tcW w:w="3753" w:type="dxa"/>
          </w:tcPr>
          <w:p>
            <w:pPr/>
          </w:p>
        </w:tc>
        <w:tc>
          <w:tcPr>
            <w:tcW w:w="603" w:type="dxa"/>
          </w:tcPr>
          <w:p>
            <w:pPr>
              <w:pStyle w:val="TableParagraph"/>
              <w:spacing w:line="204" w:lineRule="exact"/>
              <w:ind w:left="73"/>
              <w:rPr>
                <w:b/>
                <w:sz w:val="18"/>
              </w:rPr>
            </w:pPr>
            <w:r>
              <w:rPr>
                <w:b/>
                <w:sz w:val="18"/>
              </w:rPr>
              <w:t>2012</w:t>
            </w:r>
          </w:p>
          <w:p>
            <w:pPr>
              <w:pStyle w:val="TableParagraph"/>
              <w:spacing w:before="66"/>
              <w:ind w:left="73"/>
              <w:rPr>
                <w:b/>
                <w:sz w:val="18"/>
              </w:rPr>
            </w:pPr>
            <w:r>
              <w:rPr>
                <w:b/>
                <w:sz w:val="18"/>
              </w:rPr>
              <w:t>$'000</w:t>
            </w:r>
          </w:p>
        </w:tc>
        <w:tc>
          <w:tcPr>
            <w:tcW w:w="702" w:type="dxa"/>
          </w:tcPr>
          <w:p>
            <w:pPr/>
          </w:p>
        </w:tc>
        <w:tc>
          <w:tcPr>
            <w:tcW w:w="1283" w:type="dxa"/>
          </w:tcPr>
          <w:p>
            <w:pPr>
              <w:pStyle w:val="TableParagraph"/>
              <w:spacing w:line="204" w:lineRule="exact"/>
              <w:ind w:left="65"/>
              <w:rPr>
                <w:b/>
                <w:sz w:val="18"/>
              </w:rPr>
            </w:pPr>
            <w:r>
              <w:rPr>
                <w:b/>
                <w:sz w:val="18"/>
              </w:rPr>
              <w:t>Level 1</w:t>
            </w:r>
          </w:p>
          <w:p>
            <w:pPr>
              <w:pStyle w:val="TableParagraph"/>
              <w:spacing w:before="66"/>
              <w:ind w:left="65"/>
              <w:rPr>
                <w:b/>
                <w:sz w:val="18"/>
              </w:rPr>
            </w:pPr>
            <w:r>
              <w:rPr>
                <w:b/>
                <w:sz w:val="18"/>
              </w:rPr>
              <w:t>$'000</w:t>
            </w:r>
          </w:p>
        </w:tc>
        <w:tc>
          <w:tcPr>
            <w:tcW w:w="937" w:type="dxa"/>
          </w:tcPr>
          <w:p>
            <w:pPr>
              <w:pStyle w:val="TableParagraph"/>
              <w:spacing w:line="204" w:lineRule="exact"/>
              <w:ind w:left="79"/>
              <w:rPr>
                <w:b/>
                <w:sz w:val="18"/>
              </w:rPr>
            </w:pPr>
            <w:r>
              <w:rPr>
                <w:b/>
                <w:sz w:val="18"/>
              </w:rPr>
              <w:t>Level 2</w:t>
            </w:r>
          </w:p>
          <w:p>
            <w:pPr>
              <w:pStyle w:val="TableParagraph"/>
              <w:spacing w:before="66"/>
              <w:ind w:left="79"/>
              <w:rPr>
                <w:b/>
                <w:sz w:val="18"/>
              </w:rPr>
            </w:pPr>
            <w:r>
              <w:rPr>
                <w:b/>
                <w:sz w:val="18"/>
              </w:rPr>
              <w:t>$'000</w:t>
            </w:r>
          </w:p>
        </w:tc>
        <w:tc>
          <w:tcPr>
            <w:tcW w:w="1664" w:type="dxa"/>
          </w:tcPr>
          <w:p>
            <w:pPr>
              <w:pStyle w:val="TableParagraph"/>
              <w:spacing w:line="204" w:lineRule="exact"/>
              <w:ind w:left="440"/>
              <w:rPr>
                <w:b/>
                <w:sz w:val="18"/>
              </w:rPr>
            </w:pPr>
            <w:r>
              <w:rPr>
                <w:b/>
                <w:sz w:val="18"/>
              </w:rPr>
              <w:t>Level 3</w:t>
            </w:r>
          </w:p>
          <w:p>
            <w:pPr>
              <w:pStyle w:val="TableParagraph"/>
              <w:spacing w:before="66"/>
              <w:ind w:left="440"/>
              <w:rPr>
                <w:b/>
                <w:sz w:val="18"/>
              </w:rPr>
            </w:pPr>
            <w:r>
              <w:rPr>
                <w:b/>
                <w:sz w:val="18"/>
              </w:rPr>
              <w:t>$'000</w:t>
            </w:r>
          </w:p>
        </w:tc>
      </w:tr>
      <w:tr>
        <w:trPr>
          <w:trHeight w:val="544" w:hRule="exact"/>
        </w:trPr>
        <w:tc>
          <w:tcPr>
            <w:tcW w:w="3753" w:type="dxa"/>
          </w:tcPr>
          <w:p>
            <w:pPr>
              <w:pStyle w:val="TableParagraph"/>
              <w:spacing w:before="63"/>
              <w:ind w:left="35" w:right="485"/>
              <w:rPr>
                <w:b/>
                <w:sz w:val="18"/>
              </w:rPr>
            </w:pPr>
            <w:r>
              <w:rPr>
                <w:b/>
                <w:sz w:val="18"/>
              </w:rPr>
              <w:t>Financial Assets</w:t>
            </w:r>
          </w:p>
          <w:p>
            <w:pPr>
              <w:pStyle w:val="TableParagraph"/>
              <w:spacing w:before="29"/>
              <w:ind w:left="35" w:right="485"/>
              <w:rPr>
                <w:sz w:val="18"/>
              </w:rPr>
            </w:pPr>
            <w:r>
              <w:rPr>
                <w:sz w:val="18"/>
              </w:rPr>
              <w:t>Available for sale (Acadian)</w:t>
            </w:r>
          </w:p>
        </w:tc>
        <w:tc>
          <w:tcPr>
            <w:tcW w:w="603" w:type="dxa"/>
          </w:tcPr>
          <w:p>
            <w:pPr/>
          </w:p>
        </w:tc>
        <w:tc>
          <w:tcPr>
            <w:tcW w:w="702" w:type="dxa"/>
          </w:tcPr>
          <w:p>
            <w:pPr>
              <w:pStyle w:val="TableParagraph"/>
              <w:spacing w:before="11"/>
              <w:rPr>
                <w:sz w:val="25"/>
              </w:rPr>
            </w:pPr>
          </w:p>
          <w:p>
            <w:pPr>
              <w:pStyle w:val="TableParagraph"/>
              <w:ind w:right="63"/>
              <w:jc w:val="right"/>
              <w:rPr>
                <w:sz w:val="18"/>
              </w:rPr>
            </w:pPr>
            <w:r>
              <w:rPr>
                <w:w w:val="95"/>
                <w:sz w:val="18"/>
              </w:rPr>
              <w:t>34,683</w:t>
            </w:r>
          </w:p>
        </w:tc>
        <w:tc>
          <w:tcPr>
            <w:tcW w:w="1283" w:type="dxa"/>
          </w:tcPr>
          <w:p>
            <w:pPr>
              <w:pStyle w:val="TableParagraph"/>
              <w:spacing w:before="11"/>
              <w:rPr>
                <w:sz w:val="25"/>
              </w:rPr>
            </w:pPr>
          </w:p>
          <w:p>
            <w:pPr>
              <w:pStyle w:val="TableParagraph"/>
              <w:ind w:right="77"/>
              <w:jc w:val="right"/>
              <w:rPr>
                <w:sz w:val="18"/>
              </w:rPr>
            </w:pPr>
            <w:r>
              <w:rPr>
                <w:w w:val="95"/>
                <w:sz w:val="18"/>
              </w:rPr>
              <w:t>34,683</w:t>
            </w:r>
          </w:p>
        </w:tc>
        <w:tc>
          <w:tcPr>
            <w:tcW w:w="937" w:type="dxa"/>
          </w:tcPr>
          <w:p>
            <w:pPr/>
          </w:p>
        </w:tc>
        <w:tc>
          <w:tcPr>
            <w:tcW w:w="1664" w:type="dxa"/>
          </w:tcPr>
          <w:p>
            <w:pPr>
              <w:pStyle w:val="TableParagraph"/>
              <w:spacing w:before="11"/>
              <w:rPr>
                <w:sz w:val="25"/>
              </w:rPr>
            </w:pPr>
          </w:p>
          <w:p>
            <w:pPr>
              <w:pStyle w:val="TableParagraph"/>
              <w:tabs>
                <w:tab w:pos="1269" w:val="left" w:leader="none"/>
              </w:tabs>
              <w:ind w:right="85"/>
              <w:jc w:val="right"/>
              <w:rPr>
                <w:sz w:val="18"/>
              </w:rPr>
            </w:pPr>
            <w:r>
              <w:rPr>
                <w:sz w:val="18"/>
              </w:rPr>
              <w:t>-</w:t>
              <w:tab/>
              <w:t>-</w:t>
            </w:r>
          </w:p>
        </w:tc>
      </w:tr>
      <w:tr>
        <w:trPr>
          <w:trHeight w:val="262" w:hRule="exact"/>
        </w:trPr>
        <w:tc>
          <w:tcPr>
            <w:tcW w:w="3753" w:type="dxa"/>
          </w:tcPr>
          <w:p>
            <w:pPr>
              <w:pStyle w:val="TableParagraph"/>
              <w:spacing w:before="19"/>
              <w:ind w:left="35" w:right="485"/>
              <w:rPr>
                <w:sz w:val="18"/>
              </w:rPr>
            </w:pPr>
            <w:r>
              <w:rPr>
                <w:sz w:val="18"/>
              </w:rPr>
              <w:t>Available for sale (Unlisted securities)</w:t>
            </w:r>
          </w:p>
        </w:tc>
        <w:tc>
          <w:tcPr>
            <w:tcW w:w="603" w:type="dxa"/>
            <w:tcBorders>
              <w:bottom w:val="single" w:sz="0" w:space="0" w:color="000000"/>
            </w:tcBorders>
          </w:tcPr>
          <w:p>
            <w:pPr/>
          </w:p>
        </w:tc>
        <w:tc>
          <w:tcPr>
            <w:tcW w:w="702" w:type="dxa"/>
            <w:tcBorders>
              <w:bottom w:val="single" w:sz="0" w:space="0" w:color="000000"/>
            </w:tcBorders>
          </w:tcPr>
          <w:p>
            <w:pPr>
              <w:pStyle w:val="TableParagraph"/>
              <w:spacing w:before="18"/>
              <w:ind w:right="64"/>
              <w:jc w:val="right"/>
              <w:rPr>
                <w:sz w:val="18"/>
              </w:rPr>
            </w:pPr>
            <w:r>
              <w:rPr>
                <w:w w:val="95"/>
                <w:sz w:val="18"/>
              </w:rPr>
              <w:t>473</w:t>
            </w:r>
          </w:p>
        </w:tc>
        <w:tc>
          <w:tcPr>
            <w:tcW w:w="1283" w:type="dxa"/>
            <w:tcBorders>
              <w:bottom w:val="single" w:sz="0" w:space="0" w:color="000000"/>
            </w:tcBorders>
          </w:tcPr>
          <w:p>
            <w:pPr>
              <w:pStyle w:val="TableParagraph"/>
              <w:spacing w:before="18"/>
              <w:ind w:right="79"/>
              <w:jc w:val="right"/>
              <w:rPr>
                <w:sz w:val="18"/>
              </w:rPr>
            </w:pPr>
            <w:r>
              <w:rPr>
                <w:w w:val="99"/>
                <w:sz w:val="18"/>
              </w:rPr>
              <w:t>-</w:t>
            </w:r>
          </w:p>
        </w:tc>
        <w:tc>
          <w:tcPr>
            <w:tcW w:w="937" w:type="dxa"/>
            <w:tcBorders>
              <w:bottom w:val="single" w:sz="0" w:space="0" w:color="000000"/>
            </w:tcBorders>
          </w:tcPr>
          <w:p>
            <w:pPr/>
          </w:p>
        </w:tc>
        <w:tc>
          <w:tcPr>
            <w:tcW w:w="1664" w:type="dxa"/>
            <w:tcBorders>
              <w:bottom w:val="single" w:sz="0" w:space="0" w:color="000000"/>
            </w:tcBorders>
          </w:tcPr>
          <w:p>
            <w:pPr>
              <w:pStyle w:val="TableParagraph"/>
              <w:tabs>
                <w:tab w:pos="1030" w:val="left" w:leader="none"/>
              </w:tabs>
              <w:spacing w:before="18"/>
              <w:ind w:right="84"/>
              <w:jc w:val="right"/>
              <w:rPr>
                <w:sz w:val="18"/>
              </w:rPr>
            </w:pPr>
            <w:r>
              <w:rPr>
                <w:sz w:val="18"/>
              </w:rPr>
              <w:t>-</w:t>
              <w:tab/>
            </w:r>
            <w:r>
              <w:rPr>
                <w:w w:val="95"/>
                <w:sz w:val="18"/>
              </w:rPr>
              <w:t>473</w:t>
            </w:r>
          </w:p>
        </w:tc>
      </w:tr>
      <w:tr>
        <w:trPr>
          <w:trHeight w:val="283" w:hRule="exact"/>
        </w:trPr>
        <w:tc>
          <w:tcPr>
            <w:tcW w:w="3753" w:type="dxa"/>
          </w:tcPr>
          <w:p>
            <w:pPr>
              <w:pStyle w:val="TableParagraph"/>
              <w:spacing w:before="40"/>
              <w:ind w:left="35" w:right="485"/>
              <w:rPr>
                <w:sz w:val="18"/>
              </w:rPr>
            </w:pPr>
            <w:r>
              <w:rPr>
                <w:sz w:val="18"/>
              </w:rPr>
              <w:t>Total</w:t>
            </w:r>
          </w:p>
        </w:tc>
        <w:tc>
          <w:tcPr>
            <w:tcW w:w="603" w:type="dxa"/>
            <w:tcBorders>
              <w:top w:val="single" w:sz="0" w:space="0" w:color="000000"/>
              <w:bottom w:val="single" w:sz="0" w:space="0" w:color="000000"/>
            </w:tcBorders>
          </w:tcPr>
          <w:p>
            <w:pPr/>
          </w:p>
        </w:tc>
        <w:tc>
          <w:tcPr>
            <w:tcW w:w="702" w:type="dxa"/>
            <w:tcBorders>
              <w:top w:val="single" w:sz="0" w:space="0" w:color="000000"/>
              <w:bottom w:val="single" w:sz="0" w:space="0" w:color="000000"/>
            </w:tcBorders>
          </w:tcPr>
          <w:p>
            <w:pPr>
              <w:pStyle w:val="TableParagraph"/>
              <w:spacing w:before="38"/>
              <w:ind w:right="63"/>
              <w:jc w:val="right"/>
              <w:rPr>
                <w:sz w:val="18"/>
              </w:rPr>
            </w:pPr>
            <w:r>
              <w:rPr>
                <w:w w:val="95"/>
                <w:sz w:val="18"/>
              </w:rPr>
              <w:t>35,156</w:t>
            </w:r>
          </w:p>
        </w:tc>
        <w:tc>
          <w:tcPr>
            <w:tcW w:w="1283" w:type="dxa"/>
            <w:tcBorders>
              <w:top w:val="single" w:sz="0" w:space="0" w:color="000000"/>
              <w:bottom w:val="single" w:sz="0" w:space="0" w:color="000000"/>
            </w:tcBorders>
          </w:tcPr>
          <w:p>
            <w:pPr>
              <w:pStyle w:val="TableParagraph"/>
              <w:spacing w:before="38"/>
              <w:ind w:right="77"/>
              <w:jc w:val="right"/>
              <w:rPr>
                <w:sz w:val="18"/>
              </w:rPr>
            </w:pPr>
            <w:r>
              <w:rPr>
                <w:w w:val="95"/>
                <w:sz w:val="18"/>
              </w:rPr>
              <w:t>34,683</w:t>
            </w:r>
          </w:p>
        </w:tc>
        <w:tc>
          <w:tcPr>
            <w:tcW w:w="937" w:type="dxa"/>
            <w:tcBorders>
              <w:top w:val="single" w:sz="0" w:space="0" w:color="000000"/>
              <w:bottom w:val="single" w:sz="0" w:space="0" w:color="000000"/>
            </w:tcBorders>
          </w:tcPr>
          <w:p>
            <w:pPr/>
          </w:p>
        </w:tc>
        <w:tc>
          <w:tcPr>
            <w:tcW w:w="1664" w:type="dxa"/>
            <w:tcBorders>
              <w:top w:val="single" w:sz="0" w:space="0" w:color="000000"/>
              <w:bottom w:val="single" w:sz="0" w:space="0" w:color="000000"/>
            </w:tcBorders>
          </w:tcPr>
          <w:p>
            <w:pPr>
              <w:pStyle w:val="TableParagraph"/>
              <w:tabs>
                <w:tab w:pos="1030" w:val="left" w:leader="none"/>
              </w:tabs>
              <w:spacing w:before="38"/>
              <w:ind w:right="84"/>
              <w:jc w:val="right"/>
              <w:rPr>
                <w:sz w:val="18"/>
              </w:rPr>
            </w:pPr>
            <w:r>
              <w:rPr>
                <w:sz w:val="18"/>
              </w:rPr>
              <w:t>-</w:t>
              <w:tab/>
            </w:r>
            <w:r>
              <w:rPr>
                <w:w w:val="95"/>
                <w:sz w:val="18"/>
              </w:rPr>
              <w:t>473</w:t>
            </w:r>
          </w:p>
        </w:tc>
      </w:tr>
    </w:tbl>
    <w:p>
      <w:pPr>
        <w:pStyle w:val="BodyText"/>
        <w:rPr>
          <w:sz w:val="20"/>
        </w:rPr>
      </w:pPr>
    </w:p>
    <w:p>
      <w:pPr>
        <w:pStyle w:val="BodyText"/>
        <w:spacing w:before="1"/>
        <w:rPr>
          <w:sz w:val="20"/>
        </w:rPr>
      </w:pPr>
    </w:p>
    <w:tbl>
      <w:tblPr>
        <w:tblW w:w="0" w:type="auto"/>
        <w:jc w:val="left"/>
        <w:tblInd w:w="108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53"/>
        <w:gridCol w:w="603"/>
        <w:gridCol w:w="702"/>
        <w:gridCol w:w="1283"/>
        <w:gridCol w:w="692"/>
        <w:gridCol w:w="619"/>
        <w:gridCol w:w="790"/>
        <w:gridCol w:w="500"/>
      </w:tblGrid>
      <w:tr>
        <w:trPr>
          <w:trHeight w:val="640" w:hRule="exact"/>
        </w:trPr>
        <w:tc>
          <w:tcPr>
            <w:tcW w:w="3753" w:type="dxa"/>
          </w:tcPr>
          <w:p>
            <w:pPr/>
          </w:p>
        </w:tc>
        <w:tc>
          <w:tcPr>
            <w:tcW w:w="603" w:type="dxa"/>
          </w:tcPr>
          <w:p>
            <w:pPr>
              <w:pStyle w:val="TableParagraph"/>
              <w:spacing w:before="77"/>
              <w:ind w:left="73"/>
              <w:rPr>
                <w:b/>
                <w:sz w:val="18"/>
              </w:rPr>
            </w:pPr>
            <w:r>
              <w:rPr>
                <w:b/>
                <w:sz w:val="18"/>
              </w:rPr>
              <w:t>2011</w:t>
            </w:r>
          </w:p>
          <w:p>
            <w:pPr>
              <w:pStyle w:val="TableParagraph"/>
              <w:spacing w:before="66"/>
              <w:ind w:left="73"/>
              <w:rPr>
                <w:b/>
                <w:sz w:val="18"/>
              </w:rPr>
            </w:pPr>
            <w:r>
              <w:rPr>
                <w:b/>
                <w:sz w:val="18"/>
              </w:rPr>
              <w:t>$'000</w:t>
            </w:r>
          </w:p>
        </w:tc>
        <w:tc>
          <w:tcPr>
            <w:tcW w:w="702" w:type="dxa"/>
          </w:tcPr>
          <w:p>
            <w:pPr/>
          </w:p>
        </w:tc>
        <w:tc>
          <w:tcPr>
            <w:tcW w:w="1283" w:type="dxa"/>
          </w:tcPr>
          <w:p>
            <w:pPr>
              <w:pStyle w:val="TableParagraph"/>
              <w:spacing w:before="77"/>
              <w:ind w:left="65"/>
              <w:rPr>
                <w:b/>
                <w:sz w:val="18"/>
              </w:rPr>
            </w:pPr>
            <w:r>
              <w:rPr>
                <w:b/>
                <w:sz w:val="18"/>
              </w:rPr>
              <w:t>Level 1</w:t>
            </w:r>
          </w:p>
          <w:p>
            <w:pPr>
              <w:pStyle w:val="TableParagraph"/>
              <w:spacing w:before="66"/>
              <w:ind w:left="65"/>
              <w:rPr>
                <w:b/>
                <w:sz w:val="18"/>
              </w:rPr>
            </w:pPr>
            <w:r>
              <w:rPr>
                <w:b/>
                <w:sz w:val="18"/>
              </w:rPr>
              <w:t>$'000</w:t>
            </w:r>
          </w:p>
        </w:tc>
        <w:tc>
          <w:tcPr>
            <w:tcW w:w="692" w:type="dxa"/>
          </w:tcPr>
          <w:p>
            <w:pPr>
              <w:pStyle w:val="TableParagraph"/>
              <w:spacing w:before="77"/>
              <w:ind w:left="79" w:right="-18"/>
              <w:rPr>
                <w:b/>
                <w:sz w:val="18"/>
              </w:rPr>
            </w:pPr>
            <w:r>
              <w:rPr>
                <w:b/>
                <w:sz w:val="18"/>
              </w:rPr>
              <w:t>Level 2</w:t>
            </w:r>
          </w:p>
          <w:p>
            <w:pPr>
              <w:pStyle w:val="TableParagraph"/>
              <w:spacing w:before="66"/>
              <w:ind w:left="79" w:right="-18"/>
              <w:rPr>
                <w:b/>
                <w:sz w:val="18"/>
              </w:rPr>
            </w:pPr>
            <w:r>
              <w:rPr>
                <w:b/>
                <w:sz w:val="18"/>
              </w:rPr>
              <w:t>$'000</w:t>
            </w:r>
          </w:p>
        </w:tc>
        <w:tc>
          <w:tcPr>
            <w:tcW w:w="619" w:type="dxa"/>
          </w:tcPr>
          <w:p>
            <w:pPr/>
          </w:p>
        </w:tc>
        <w:tc>
          <w:tcPr>
            <w:tcW w:w="790" w:type="dxa"/>
          </w:tcPr>
          <w:p>
            <w:pPr>
              <w:pStyle w:val="TableParagraph"/>
              <w:spacing w:before="77"/>
              <w:ind w:left="65"/>
              <w:rPr>
                <w:b/>
                <w:sz w:val="18"/>
              </w:rPr>
            </w:pPr>
            <w:r>
              <w:rPr>
                <w:b/>
                <w:sz w:val="18"/>
              </w:rPr>
              <w:t>Level 3</w:t>
            </w:r>
          </w:p>
          <w:p>
            <w:pPr>
              <w:pStyle w:val="TableParagraph"/>
              <w:spacing w:before="66"/>
              <w:ind w:left="65"/>
              <w:rPr>
                <w:b/>
                <w:sz w:val="18"/>
              </w:rPr>
            </w:pPr>
            <w:r>
              <w:rPr>
                <w:b/>
                <w:sz w:val="18"/>
              </w:rPr>
              <w:t>$'000</w:t>
            </w:r>
          </w:p>
        </w:tc>
        <w:tc>
          <w:tcPr>
            <w:tcW w:w="500" w:type="dxa"/>
            <w:vMerge w:val="restart"/>
          </w:tcPr>
          <w:p>
            <w:pPr/>
          </w:p>
        </w:tc>
      </w:tr>
      <w:tr>
        <w:trPr>
          <w:trHeight w:val="293" w:hRule="exact"/>
        </w:trPr>
        <w:tc>
          <w:tcPr>
            <w:tcW w:w="3753" w:type="dxa"/>
          </w:tcPr>
          <w:p>
            <w:pPr>
              <w:pStyle w:val="TableParagraph"/>
              <w:spacing w:before="63"/>
              <w:ind w:left="35" w:right="485"/>
              <w:rPr>
                <w:b/>
                <w:sz w:val="18"/>
              </w:rPr>
            </w:pPr>
            <w:r>
              <w:rPr>
                <w:b/>
                <w:sz w:val="18"/>
              </w:rPr>
              <w:t>Financial Assets</w:t>
            </w:r>
          </w:p>
        </w:tc>
        <w:tc>
          <w:tcPr>
            <w:tcW w:w="603" w:type="dxa"/>
          </w:tcPr>
          <w:p>
            <w:pPr/>
          </w:p>
        </w:tc>
        <w:tc>
          <w:tcPr>
            <w:tcW w:w="702" w:type="dxa"/>
          </w:tcPr>
          <w:p>
            <w:pPr/>
          </w:p>
        </w:tc>
        <w:tc>
          <w:tcPr>
            <w:tcW w:w="1283" w:type="dxa"/>
          </w:tcPr>
          <w:p>
            <w:pPr/>
          </w:p>
        </w:tc>
        <w:tc>
          <w:tcPr>
            <w:tcW w:w="692" w:type="dxa"/>
          </w:tcPr>
          <w:p>
            <w:pPr/>
          </w:p>
        </w:tc>
        <w:tc>
          <w:tcPr>
            <w:tcW w:w="619" w:type="dxa"/>
          </w:tcPr>
          <w:p>
            <w:pPr/>
          </w:p>
        </w:tc>
        <w:tc>
          <w:tcPr>
            <w:tcW w:w="790" w:type="dxa"/>
          </w:tcPr>
          <w:p>
            <w:pPr/>
          </w:p>
        </w:tc>
        <w:tc>
          <w:tcPr>
            <w:tcW w:w="500" w:type="dxa"/>
            <w:vMerge/>
          </w:tcPr>
          <w:p>
            <w:pPr/>
          </w:p>
        </w:tc>
      </w:tr>
      <w:tr>
        <w:trPr>
          <w:trHeight w:val="455" w:hRule="exact"/>
        </w:trPr>
        <w:tc>
          <w:tcPr>
            <w:tcW w:w="3753" w:type="dxa"/>
          </w:tcPr>
          <w:p>
            <w:pPr>
              <w:pStyle w:val="TableParagraph"/>
              <w:spacing w:before="4"/>
              <w:ind w:left="35" w:right="485"/>
              <w:rPr>
                <w:sz w:val="18"/>
              </w:rPr>
            </w:pPr>
            <w:r>
              <w:rPr>
                <w:sz w:val="18"/>
              </w:rPr>
              <w:t>Designated at fair value through profit or loss</w:t>
            </w:r>
          </w:p>
        </w:tc>
        <w:tc>
          <w:tcPr>
            <w:tcW w:w="603" w:type="dxa"/>
          </w:tcPr>
          <w:p>
            <w:pPr/>
          </w:p>
        </w:tc>
        <w:tc>
          <w:tcPr>
            <w:tcW w:w="702" w:type="dxa"/>
          </w:tcPr>
          <w:p>
            <w:pPr>
              <w:pStyle w:val="TableParagraph"/>
              <w:spacing w:before="2"/>
              <w:rPr>
                <w:sz w:val="18"/>
              </w:rPr>
            </w:pPr>
          </w:p>
          <w:p>
            <w:pPr>
              <w:pStyle w:val="TableParagraph"/>
              <w:ind w:right="64"/>
              <w:jc w:val="right"/>
              <w:rPr>
                <w:sz w:val="18"/>
              </w:rPr>
            </w:pPr>
            <w:r>
              <w:rPr>
                <w:w w:val="95"/>
                <w:sz w:val="18"/>
              </w:rPr>
              <w:t>9,651</w:t>
            </w:r>
          </w:p>
        </w:tc>
        <w:tc>
          <w:tcPr>
            <w:tcW w:w="1283" w:type="dxa"/>
          </w:tcPr>
          <w:p>
            <w:pPr>
              <w:pStyle w:val="TableParagraph"/>
              <w:spacing w:before="2"/>
              <w:rPr>
                <w:sz w:val="18"/>
              </w:rPr>
            </w:pPr>
          </w:p>
          <w:p>
            <w:pPr>
              <w:pStyle w:val="TableParagraph"/>
              <w:ind w:right="78"/>
              <w:jc w:val="right"/>
              <w:rPr>
                <w:sz w:val="18"/>
              </w:rPr>
            </w:pPr>
            <w:r>
              <w:rPr>
                <w:w w:val="95"/>
                <w:sz w:val="18"/>
              </w:rPr>
              <w:t>9,651</w:t>
            </w:r>
          </w:p>
        </w:tc>
        <w:tc>
          <w:tcPr>
            <w:tcW w:w="692" w:type="dxa"/>
          </w:tcPr>
          <w:p>
            <w:pPr/>
          </w:p>
        </w:tc>
        <w:tc>
          <w:tcPr>
            <w:tcW w:w="619" w:type="dxa"/>
          </w:tcPr>
          <w:p>
            <w:pPr>
              <w:pStyle w:val="TableParagraph"/>
              <w:spacing w:before="2"/>
              <w:rPr>
                <w:sz w:val="18"/>
              </w:rPr>
            </w:pPr>
          </w:p>
          <w:p>
            <w:pPr>
              <w:pStyle w:val="TableParagraph"/>
              <w:ind w:right="65"/>
              <w:jc w:val="right"/>
              <w:rPr>
                <w:sz w:val="18"/>
              </w:rPr>
            </w:pPr>
            <w:r>
              <w:rPr>
                <w:w w:val="99"/>
                <w:sz w:val="18"/>
              </w:rPr>
              <w:t>-</w:t>
            </w:r>
          </w:p>
        </w:tc>
        <w:tc>
          <w:tcPr>
            <w:tcW w:w="790" w:type="dxa"/>
          </w:tcPr>
          <w:p>
            <w:pPr/>
          </w:p>
        </w:tc>
        <w:tc>
          <w:tcPr>
            <w:tcW w:w="500" w:type="dxa"/>
          </w:tcPr>
          <w:p>
            <w:pPr>
              <w:pStyle w:val="TableParagraph"/>
              <w:spacing w:before="2"/>
              <w:rPr>
                <w:sz w:val="18"/>
              </w:rPr>
            </w:pPr>
          </w:p>
          <w:p>
            <w:pPr>
              <w:pStyle w:val="TableParagraph"/>
              <w:ind w:right="85"/>
              <w:jc w:val="right"/>
              <w:rPr>
                <w:sz w:val="18"/>
              </w:rPr>
            </w:pPr>
            <w:r>
              <w:rPr>
                <w:w w:val="99"/>
                <w:sz w:val="18"/>
              </w:rPr>
              <w:t>-</w:t>
            </w:r>
          </w:p>
        </w:tc>
      </w:tr>
      <w:tr>
        <w:trPr>
          <w:trHeight w:val="264" w:hRule="exact"/>
        </w:trPr>
        <w:tc>
          <w:tcPr>
            <w:tcW w:w="3753" w:type="dxa"/>
          </w:tcPr>
          <w:p>
            <w:pPr>
              <w:pStyle w:val="TableParagraph"/>
              <w:spacing w:before="19"/>
              <w:ind w:left="35" w:right="485"/>
              <w:rPr>
                <w:sz w:val="18"/>
              </w:rPr>
            </w:pPr>
            <w:r>
              <w:rPr>
                <w:sz w:val="18"/>
              </w:rPr>
              <w:t>Available for sale (TCorp)</w:t>
            </w:r>
          </w:p>
        </w:tc>
        <w:tc>
          <w:tcPr>
            <w:tcW w:w="603" w:type="dxa"/>
          </w:tcPr>
          <w:p>
            <w:pPr/>
          </w:p>
        </w:tc>
        <w:tc>
          <w:tcPr>
            <w:tcW w:w="702" w:type="dxa"/>
          </w:tcPr>
          <w:p>
            <w:pPr>
              <w:pStyle w:val="TableParagraph"/>
              <w:spacing w:before="18"/>
              <w:ind w:right="63"/>
              <w:jc w:val="right"/>
              <w:rPr>
                <w:sz w:val="18"/>
              </w:rPr>
            </w:pPr>
            <w:r>
              <w:rPr>
                <w:w w:val="95"/>
                <w:sz w:val="18"/>
              </w:rPr>
              <w:t>12,092</w:t>
            </w:r>
          </w:p>
        </w:tc>
        <w:tc>
          <w:tcPr>
            <w:tcW w:w="1283" w:type="dxa"/>
          </w:tcPr>
          <w:p>
            <w:pPr>
              <w:pStyle w:val="TableParagraph"/>
              <w:spacing w:before="18"/>
              <w:ind w:right="79"/>
              <w:jc w:val="right"/>
              <w:rPr>
                <w:sz w:val="18"/>
              </w:rPr>
            </w:pPr>
            <w:r>
              <w:rPr>
                <w:w w:val="99"/>
                <w:sz w:val="18"/>
              </w:rPr>
              <w:t>-</w:t>
            </w:r>
          </w:p>
        </w:tc>
        <w:tc>
          <w:tcPr>
            <w:tcW w:w="692" w:type="dxa"/>
          </w:tcPr>
          <w:p>
            <w:pPr/>
          </w:p>
        </w:tc>
        <w:tc>
          <w:tcPr>
            <w:tcW w:w="619" w:type="dxa"/>
          </w:tcPr>
          <w:p>
            <w:pPr>
              <w:pStyle w:val="TableParagraph"/>
              <w:spacing w:before="18"/>
              <w:ind w:right="63"/>
              <w:jc w:val="right"/>
              <w:rPr>
                <w:sz w:val="18"/>
              </w:rPr>
            </w:pPr>
            <w:r>
              <w:rPr>
                <w:w w:val="95"/>
                <w:sz w:val="18"/>
              </w:rPr>
              <w:t>12,092</w:t>
            </w:r>
          </w:p>
        </w:tc>
        <w:tc>
          <w:tcPr>
            <w:tcW w:w="790" w:type="dxa"/>
          </w:tcPr>
          <w:p>
            <w:pPr/>
          </w:p>
        </w:tc>
        <w:tc>
          <w:tcPr>
            <w:tcW w:w="500" w:type="dxa"/>
          </w:tcPr>
          <w:p>
            <w:pPr>
              <w:pStyle w:val="TableParagraph"/>
              <w:spacing w:before="18"/>
              <w:ind w:right="85"/>
              <w:jc w:val="right"/>
              <w:rPr>
                <w:sz w:val="18"/>
              </w:rPr>
            </w:pPr>
            <w:r>
              <w:rPr>
                <w:w w:val="99"/>
                <w:sz w:val="18"/>
              </w:rPr>
              <w:t>-</w:t>
            </w:r>
          </w:p>
        </w:tc>
      </w:tr>
      <w:tr>
        <w:trPr>
          <w:trHeight w:val="264" w:hRule="exact"/>
        </w:trPr>
        <w:tc>
          <w:tcPr>
            <w:tcW w:w="3753" w:type="dxa"/>
          </w:tcPr>
          <w:p>
            <w:pPr>
              <w:pStyle w:val="TableParagraph"/>
              <w:spacing w:before="19"/>
              <w:ind w:left="35" w:right="485"/>
              <w:rPr>
                <w:sz w:val="18"/>
              </w:rPr>
            </w:pPr>
            <w:r>
              <w:rPr>
                <w:sz w:val="18"/>
              </w:rPr>
              <w:t>Available for sale (OnePath)</w:t>
            </w:r>
          </w:p>
        </w:tc>
        <w:tc>
          <w:tcPr>
            <w:tcW w:w="603" w:type="dxa"/>
          </w:tcPr>
          <w:p>
            <w:pPr/>
          </w:p>
        </w:tc>
        <w:tc>
          <w:tcPr>
            <w:tcW w:w="702" w:type="dxa"/>
          </w:tcPr>
          <w:p>
            <w:pPr>
              <w:pStyle w:val="TableParagraph"/>
              <w:spacing w:before="18"/>
              <w:ind w:right="63"/>
              <w:jc w:val="right"/>
              <w:rPr>
                <w:sz w:val="18"/>
              </w:rPr>
            </w:pPr>
            <w:r>
              <w:rPr>
                <w:w w:val="95"/>
                <w:sz w:val="18"/>
              </w:rPr>
              <w:t>27,557</w:t>
            </w:r>
          </w:p>
        </w:tc>
        <w:tc>
          <w:tcPr>
            <w:tcW w:w="1283" w:type="dxa"/>
          </w:tcPr>
          <w:p>
            <w:pPr>
              <w:pStyle w:val="TableParagraph"/>
              <w:spacing w:before="18"/>
              <w:ind w:right="77"/>
              <w:jc w:val="right"/>
              <w:rPr>
                <w:sz w:val="18"/>
              </w:rPr>
            </w:pPr>
            <w:r>
              <w:rPr>
                <w:w w:val="95"/>
                <w:sz w:val="18"/>
              </w:rPr>
              <w:t>27,557</w:t>
            </w:r>
          </w:p>
        </w:tc>
        <w:tc>
          <w:tcPr>
            <w:tcW w:w="692" w:type="dxa"/>
          </w:tcPr>
          <w:p>
            <w:pPr/>
          </w:p>
        </w:tc>
        <w:tc>
          <w:tcPr>
            <w:tcW w:w="619" w:type="dxa"/>
          </w:tcPr>
          <w:p>
            <w:pPr>
              <w:pStyle w:val="TableParagraph"/>
              <w:spacing w:before="18"/>
              <w:ind w:right="65"/>
              <w:jc w:val="right"/>
              <w:rPr>
                <w:sz w:val="18"/>
              </w:rPr>
            </w:pPr>
            <w:r>
              <w:rPr>
                <w:w w:val="99"/>
                <w:sz w:val="18"/>
              </w:rPr>
              <w:t>-</w:t>
            </w:r>
          </w:p>
        </w:tc>
        <w:tc>
          <w:tcPr>
            <w:tcW w:w="790" w:type="dxa"/>
          </w:tcPr>
          <w:p>
            <w:pPr/>
          </w:p>
        </w:tc>
        <w:tc>
          <w:tcPr>
            <w:tcW w:w="500" w:type="dxa"/>
          </w:tcPr>
          <w:p>
            <w:pPr>
              <w:pStyle w:val="TableParagraph"/>
              <w:spacing w:before="18"/>
              <w:ind w:right="85"/>
              <w:jc w:val="right"/>
              <w:rPr>
                <w:sz w:val="18"/>
              </w:rPr>
            </w:pPr>
            <w:r>
              <w:rPr>
                <w:w w:val="99"/>
                <w:sz w:val="18"/>
              </w:rPr>
              <w:t>-</w:t>
            </w:r>
          </w:p>
        </w:tc>
      </w:tr>
      <w:tr>
        <w:trPr>
          <w:trHeight w:val="262" w:hRule="exact"/>
        </w:trPr>
        <w:tc>
          <w:tcPr>
            <w:tcW w:w="3753" w:type="dxa"/>
          </w:tcPr>
          <w:p>
            <w:pPr>
              <w:pStyle w:val="TableParagraph"/>
              <w:spacing w:before="19"/>
              <w:ind w:left="35" w:right="485"/>
              <w:rPr>
                <w:sz w:val="18"/>
              </w:rPr>
            </w:pPr>
            <w:r>
              <w:rPr>
                <w:sz w:val="18"/>
              </w:rPr>
              <w:t>Available for sale (Unlisted securities)</w:t>
            </w:r>
          </w:p>
        </w:tc>
        <w:tc>
          <w:tcPr>
            <w:tcW w:w="603" w:type="dxa"/>
            <w:tcBorders>
              <w:bottom w:val="single" w:sz="0" w:space="0" w:color="000000"/>
            </w:tcBorders>
          </w:tcPr>
          <w:p>
            <w:pPr/>
          </w:p>
        </w:tc>
        <w:tc>
          <w:tcPr>
            <w:tcW w:w="702" w:type="dxa"/>
            <w:tcBorders>
              <w:bottom w:val="single" w:sz="0" w:space="0" w:color="000000"/>
            </w:tcBorders>
          </w:tcPr>
          <w:p>
            <w:pPr>
              <w:pStyle w:val="TableParagraph"/>
              <w:spacing w:before="18"/>
              <w:ind w:right="64"/>
              <w:jc w:val="right"/>
              <w:rPr>
                <w:sz w:val="18"/>
              </w:rPr>
            </w:pPr>
            <w:r>
              <w:rPr>
                <w:w w:val="95"/>
                <w:sz w:val="18"/>
              </w:rPr>
              <w:t>618</w:t>
            </w:r>
          </w:p>
        </w:tc>
        <w:tc>
          <w:tcPr>
            <w:tcW w:w="1283" w:type="dxa"/>
            <w:tcBorders>
              <w:bottom w:val="single" w:sz="0" w:space="0" w:color="000000"/>
            </w:tcBorders>
          </w:tcPr>
          <w:p>
            <w:pPr>
              <w:pStyle w:val="TableParagraph"/>
              <w:spacing w:before="18"/>
              <w:ind w:right="79"/>
              <w:jc w:val="right"/>
              <w:rPr>
                <w:sz w:val="18"/>
              </w:rPr>
            </w:pPr>
            <w:r>
              <w:rPr>
                <w:w w:val="99"/>
                <w:sz w:val="18"/>
              </w:rPr>
              <w:t>-</w:t>
            </w:r>
          </w:p>
        </w:tc>
        <w:tc>
          <w:tcPr>
            <w:tcW w:w="692" w:type="dxa"/>
            <w:tcBorders>
              <w:bottom w:val="single" w:sz="0" w:space="0" w:color="000000"/>
            </w:tcBorders>
          </w:tcPr>
          <w:p>
            <w:pPr/>
          </w:p>
        </w:tc>
        <w:tc>
          <w:tcPr>
            <w:tcW w:w="619" w:type="dxa"/>
            <w:tcBorders>
              <w:bottom w:val="single" w:sz="0" w:space="0" w:color="000000"/>
            </w:tcBorders>
          </w:tcPr>
          <w:p>
            <w:pPr>
              <w:pStyle w:val="TableParagraph"/>
              <w:spacing w:before="18"/>
              <w:ind w:right="65"/>
              <w:jc w:val="right"/>
              <w:rPr>
                <w:sz w:val="18"/>
              </w:rPr>
            </w:pPr>
            <w:r>
              <w:rPr>
                <w:w w:val="99"/>
                <w:sz w:val="18"/>
              </w:rPr>
              <w:t>-</w:t>
            </w:r>
          </w:p>
        </w:tc>
        <w:tc>
          <w:tcPr>
            <w:tcW w:w="790" w:type="dxa"/>
            <w:tcBorders>
              <w:bottom w:val="single" w:sz="0" w:space="0" w:color="000000"/>
            </w:tcBorders>
          </w:tcPr>
          <w:p>
            <w:pPr/>
          </w:p>
        </w:tc>
        <w:tc>
          <w:tcPr>
            <w:tcW w:w="500" w:type="dxa"/>
            <w:tcBorders>
              <w:bottom w:val="single" w:sz="0" w:space="0" w:color="000000"/>
            </w:tcBorders>
          </w:tcPr>
          <w:p>
            <w:pPr>
              <w:pStyle w:val="TableParagraph"/>
              <w:spacing w:before="18"/>
              <w:ind w:right="84"/>
              <w:jc w:val="right"/>
              <w:rPr>
                <w:sz w:val="18"/>
              </w:rPr>
            </w:pPr>
            <w:r>
              <w:rPr>
                <w:w w:val="95"/>
                <w:sz w:val="18"/>
              </w:rPr>
              <w:t>618</w:t>
            </w:r>
          </w:p>
        </w:tc>
      </w:tr>
      <w:tr>
        <w:trPr>
          <w:trHeight w:val="283" w:hRule="exact"/>
        </w:trPr>
        <w:tc>
          <w:tcPr>
            <w:tcW w:w="3753" w:type="dxa"/>
          </w:tcPr>
          <w:p>
            <w:pPr>
              <w:pStyle w:val="TableParagraph"/>
              <w:spacing w:before="40"/>
              <w:ind w:left="35" w:right="485"/>
              <w:rPr>
                <w:sz w:val="18"/>
              </w:rPr>
            </w:pPr>
            <w:r>
              <w:rPr>
                <w:sz w:val="18"/>
              </w:rPr>
              <w:t>Total</w:t>
            </w:r>
          </w:p>
        </w:tc>
        <w:tc>
          <w:tcPr>
            <w:tcW w:w="603" w:type="dxa"/>
            <w:tcBorders>
              <w:top w:val="single" w:sz="0" w:space="0" w:color="000000"/>
              <w:bottom w:val="single" w:sz="0" w:space="0" w:color="000000"/>
            </w:tcBorders>
          </w:tcPr>
          <w:p>
            <w:pPr/>
          </w:p>
        </w:tc>
        <w:tc>
          <w:tcPr>
            <w:tcW w:w="702" w:type="dxa"/>
            <w:tcBorders>
              <w:top w:val="single" w:sz="0" w:space="0" w:color="000000"/>
              <w:bottom w:val="single" w:sz="0" w:space="0" w:color="000000"/>
            </w:tcBorders>
          </w:tcPr>
          <w:p>
            <w:pPr>
              <w:pStyle w:val="TableParagraph"/>
              <w:spacing w:before="38"/>
              <w:ind w:right="63"/>
              <w:jc w:val="right"/>
              <w:rPr>
                <w:sz w:val="18"/>
              </w:rPr>
            </w:pPr>
            <w:r>
              <w:rPr>
                <w:w w:val="95"/>
                <w:sz w:val="18"/>
              </w:rPr>
              <w:t>49,918</w:t>
            </w:r>
          </w:p>
        </w:tc>
        <w:tc>
          <w:tcPr>
            <w:tcW w:w="1283" w:type="dxa"/>
            <w:tcBorders>
              <w:top w:val="single" w:sz="0" w:space="0" w:color="000000"/>
              <w:bottom w:val="single" w:sz="0" w:space="0" w:color="000000"/>
            </w:tcBorders>
          </w:tcPr>
          <w:p>
            <w:pPr>
              <w:pStyle w:val="TableParagraph"/>
              <w:spacing w:before="38"/>
              <w:ind w:right="77"/>
              <w:jc w:val="right"/>
              <w:rPr>
                <w:sz w:val="18"/>
              </w:rPr>
            </w:pPr>
            <w:r>
              <w:rPr>
                <w:w w:val="95"/>
                <w:sz w:val="18"/>
              </w:rPr>
              <w:t>37,208</w:t>
            </w:r>
          </w:p>
        </w:tc>
        <w:tc>
          <w:tcPr>
            <w:tcW w:w="692" w:type="dxa"/>
            <w:tcBorders>
              <w:top w:val="single" w:sz="0" w:space="0" w:color="000000"/>
              <w:bottom w:val="single" w:sz="0" w:space="0" w:color="000000"/>
            </w:tcBorders>
          </w:tcPr>
          <w:p>
            <w:pPr/>
          </w:p>
        </w:tc>
        <w:tc>
          <w:tcPr>
            <w:tcW w:w="619" w:type="dxa"/>
            <w:tcBorders>
              <w:top w:val="single" w:sz="0" w:space="0" w:color="000000"/>
              <w:bottom w:val="single" w:sz="0" w:space="0" w:color="000000"/>
            </w:tcBorders>
          </w:tcPr>
          <w:p>
            <w:pPr>
              <w:pStyle w:val="TableParagraph"/>
              <w:spacing w:before="38"/>
              <w:ind w:right="63"/>
              <w:jc w:val="right"/>
              <w:rPr>
                <w:sz w:val="18"/>
              </w:rPr>
            </w:pPr>
            <w:r>
              <w:rPr>
                <w:w w:val="95"/>
                <w:sz w:val="18"/>
              </w:rPr>
              <w:t>12,092</w:t>
            </w:r>
          </w:p>
        </w:tc>
        <w:tc>
          <w:tcPr>
            <w:tcW w:w="790" w:type="dxa"/>
            <w:tcBorders>
              <w:top w:val="single" w:sz="0" w:space="0" w:color="000000"/>
              <w:bottom w:val="single" w:sz="0" w:space="0" w:color="000000"/>
            </w:tcBorders>
          </w:tcPr>
          <w:p>
            <w:pPr/>
          </w:p>
        </w:tc>
        <w:tc>
          <w:tcPr>
            <w:tcW w:w="500" w:type="dxa"/>
            <w:tcBorders>
              <w:top w:val="single" w:sz="0" w:space="0" w:color="000000"/>
              <w:bottom w:val="single" w:sz="0" w:space="0" w:color="000000"/>
            </w:tcBorders>
          </w:tcPr>
          <w:p>
            <w:pPr>
              <w:pStyle w:val="TableParagraph"/>
              <w:spacing w:before="38"/>
              <w:ind w:right="84"/>
              <w:jc w:val="right"/>
              <w:rPr>
                <w:sz w:val="18"/>
              </w:rPr>
            </w:pPr>
            <w:r>
              <w:rPr>
                <w:w w:val="95"/>
                <w:sz w:val="18"/>
              </w:rPr>
              <w:t>618</w:t>
            </w:r>
          </w:p>
        </w:tc>
      </w:tr>
    </w:tbl>
    <w:p>
      <w:pPr>
        <w:spacing w:after="0"/>
        <w:jc w:val="right"/>
        <w:rPr>
          <w:sz w:val="18"/>
        </w:rPr>
        <w:sectPr>
          <w:type w:val="continuous"/>
          <w:pgSz w:w="11910" w:h="16840"/>
          <w:pgMar w:top="0" w:bottom="280" w:left="900" w:right="880"/>
        </w:sectPr>
      </w:pPr>
    </w:p>
    <w:p>
      <w:pPr>
        <w:pStyle w:val="BodyText"/>
        <w:rPr>
          <w:sz w:val="20"/>
        </w:rPr>
      </w:pPr>
    </w:p>
    <w:p>
      <w:pPr>
        <w:pStyle w:val="BodyText"/>
        <w:rPr>
          <w:sz w:val="20"/>
        </w:rPr>
      </w:pPr>
    </w:p>
    <w:p>
      <w:pPr>
        <w:pStyle w:val="BodyText"/>
        <w:spacing w:before="4"/>
      </w:pPr>
    </w:p>
    <w:p>
      <w:pPr>
        <w:pStyle w:val="Heading9"/>
        <w:numPr>
          <w:ilvl w:val="0"/>
          <w:numId w:val="27"/>
        </w:numPr>
        <w:tabs>
          <w:tab w:pos="506" w:val="left" w:leader="none"/>
        </w:tabs>
        <w:spacing w:line="240" w:lineRule="auto" w:before="0" w:after="0"/>
        <w:ind w:left="505" w:right="0" w:hanging="396"/>
        <w:jc w:val="left"/>
      </w:pPr>
      <w:r>
        <w:rPr/>
        <w:t>Financial Risk Management</w:t>
      </w:r>
      <w:r>
        <w:rPr>
          <w:spacing w:val="-3"/>
        </w:rPr>
        <w:t> </w:t>
      </w:r>
      <w:r>
        <w:rPr/>
        <w:t>(continued)</w:t>
      </w:r>
    </w:p>
    <w:p>
      <w:pPr>
        <w:pStyle w:val="BodyText"/>
        <w:spacing w:before="11"/>
        <w:rPr>
          <w:b/>
          <w:sz w:val="24"/>
        </w:rPr>
      </w:pPr>
    </w:p>
    <w:p>
      <w:pPr>
        <w:pStyle w:val="BodyText"/>
        <w:tabs>
          <w:tab w:pos="1071" w:val="left" w:leader="none"/>
        </w:tabs>
        <w:ind w:left="505"/>
      </w:pPr>
      <w:r>
        <w:rPr/>
        <w:t>(e)</w:t>
        <w:tab/>
        <w:t>Fair value estimation</w:t>
      </w:r>
      <w:r>
        <w:rPr>
          <w:spacing w:val="-1"/>
        </w:rPr>
        <w:t> </w:t>
      </w:r>
      <w:r>
        <w:rPr/>
        <w:t>(continued)</w:t>
      </w:r>
    </w:p>
    <w:p>
      <w:pPr>
        <w:pStyle w:val="BodyText"/>
        <w:spacing w:before="3"/>
      </w:pPr>
    </w:p>
    <w:p>
      <w:pPr>
        <w:spacing w:after="0"/>
        <w:sectPr>
          <w:pgSz w:w="11910" w:h="16840"/>
          <w:pgMar w:header="1038" w:footer="507" w:top="2220" w:bottom="700" w:left="900" w:right="1680"/>
        </w:sectPr>
      </w:pPr>
    </w:p>
    <w:p>
      <w:pPr>
        <w:pStyle w:val="Heading9"/>
        <w:spacing w:before="77"/>
        <w:ind w:left="1072" w:right="-19"/>
      </w:pPr>
      <w:r>
        <w:rPr/>
        <w:t>Reconciliation of financial assets categorised as Level 3:</w:t>
      </w:r>
    </w:p>
    <w:p>
      <w:pPr>
        <w:spacing w:before="33"/>
        <w:ind w:left="5040" w:right="44" w:firstLine="0"/>
        <w:jc w:val="left"/>
        <w:rPr>
          <w:b/>
          <w:sz w:val="18"/>
        </w:rPr>
      </w:pPr>
      <w:r>
        <w:rPr>
          <w:b/>
          <w:sz w:val="18"/>
        </w:rPr>
        <w:t>Unlisted securities</w:t>
      </w:r>
    </w:p>
    <w:p>
      <w:pPr>
        <w:spacing w:before="66"/>
        <w:ind w:left="0" w:right="459" w:firstLine="0"/>
        <w:jc w:val="right"/>
        <w:rPr>
          <w:b/>
          <w:sz w:val="18"/>
        </w:rPr>
      </w:pPr>
      <w:r>
        <w:rPr>
          <w:b/>
          <w:sz w:val="18"/>
        </w:rPr>
        <w:t>$'000</w:t>
      </w:r>
    </w:p>
    <w:p>
      <w:pPr>
        <w:pStyle w:val="BodyText"/>
        <w:rPr>
          <w:b/>
        </w:rPr>
      </w:pPr>
      <w:r>
        <w:rPr/>
        <w:br w:type="column"/>
      </w:r>
      <w:r>
        <w:rPr>
          <w:b/>
        </w:rPr>
      </w:r>
    </w:p>
    <w:p>
      <w:pPr>
        <w:pStyle w:val="BodyText"/>
        <w:rPr>
          <w:b/>
        </w:rPr>
      </w:pPr>
    </w:p>
    <w:p>
      <w:pPr>
        <w:spacing w:before="110"/>
        <w:ind w:left="46" w:right="0" w:firstLine="0"/>
        <w:jc w:val="left"/>
        <w:rPr>
          <w:b/>
          <w:sz w:val="18"/>
        </w:rPr>
      </w:pPr>
      <w:r>
        <w:rPr>
          <w:b/>
          <w:sz w:val="18"/>
        </w:rPr>
        <w:t>Total</w:t>
      </w:r>
    </w:p>
    <w:p>
      <w:pPr>
        <w:spacing w:before="66"/>
        <w:ind w:left="46" w:right="0" w:firstLine="0"/>
        <w:jc w:val="left"/>
        <w:rPr>
          <w:b/>
          <w:sz w:val="18"/>
        </w:rPr>
      </w:pPr>
      <w:r>
        <w:rPr>
          <w:b/>
          <w:sz w:val="18"/>
        </w:rPr>
        <w:t>$'000</w:t>
      </w:r>
    </w:p>
    <w:p>
      <w:pPr>
        <w:spacing w:after="0"/>
        <w:jc w:val="left"/>
        <w:rPr>
          <w:sz w:val="18"/>
        </w:rPr>
        <w:sectPr>
          <w:type w:val="continuous"/>
          <w:pgSz w:w="11910" w:h="16840"/>
          <w:pgMar w:top="0" w:bottom="280" w:left="900" w:right="1680"/>
          <w:cols w:num="2" w:equalWidth="0">
            <w:col w:w="5945" w:space="40"/>
            <w:col w:w="3345"/>
          </w:cols>
        </w:sectPr>
      </w:pPr>
    </w:p>
    <w:p>
      <w:pPr>
        <w:spacing w:before="146" w:after="36"/>
        <w:ind w:left="1071" w:right="0" w:firstLine="0"/>
        <w:jc w:val="left"/>
        <w:rPr>
          <w:b/>
          <w:sz w:val="18"/>
        </w:rPr>
      </w:pPr>
      <w:r>
        <w:rPr>
          <w:b/>
          <w:sz w:val="18"/>
        </w:rPr>
        <w:t>Level 3 Financial Assets 2012</w:t>
      </w:r>
    </w:p>
    <w:tbl>
      <w:tblPr>
        <w:tblW w:w="0" w:type="auto"/>
        <w:jc w:val="left"/>
        <w:tblInd w:w="10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04"/>
        <w:gridCol w:w="1208"/>
        <w:gridCol w:w="720"/>
      </w:tblGrid>
      <w:tr>
        <w:trPr>
          <w:trHeight w:val="571" w:hRule="exact"/>
        </w:trPr>
        <w:tc>
          <w:tcPr>
            <w:tcW w:w="4004" w:type="dxa"/>
          </w:tcPr>
          <w:p>
            <w:pPr>
              <w:pStyle w:val="TableParagraph"/>
              <w:spacing w:line="200" w:lineRule="exact"/>
              <w:ind w:left="35"/>
              <w:rPr>
                <w:sz w:val="18"/>
              </w:rPr>
            </w:pPr>
            <w:r>
              <w:rPr>
                <w:sz w:val="18"/>
              </w:rPr>
              <w:t>Opening balance</w:t>
            </w:r>
          </w:p>
          <w:p>
            <w:pPr>
              <w:pStyle w:val="TableParagraph"/>
              <w:spacing w:before="139"/>
              <w:ind w:left="35"/>
              <w:rPr>
                <w:b/>
                <w:sz w:val="18"/>
              </w:rPr>
            </w:pPr>
            <w:r>
              <w:rPr>
                <w:b/>
                <w:sz w:val="18"/>
              </w:rPr>
              <w:t>Total gains or losses</w:t>
            </w:r>
          </w:p>
        </w:tc>
        <w:tc>
          <w:tcPr>
            <w:tcW w:w="1208" w:type="dxa"/>
          </w:tcPr>
          <w:p>
            <w:pPr>
              <w:pStyle w:val="TableParagraph"/>
              <w:spacing w:line="199" w:lineRule="exact"/>
              <w:ind w:right="329"/>
              <w:jc w:val="right"/>
              <w:rPr>
                <w:sz w:val="18"/>
              </w:rPr>
            </w:pPr>
            <w:r>
              <w:rPr>
                <w:w w:val="95"/>
                <w:sz w:val="18"/>
              </w:rPr>
              <w:t>618</w:t>
            </w:r>
          </w:p>
        </w:tc>
        <w:tc>
          <w:tcPr>
            <w:tcW w:w="720" w:type="dxa"/>
          </w:tcPr>
          <w:p>
            <w:pPr>
              <w:pStyle w:val="TableParagraph"/>
              <w:spacing w:line="199" w:lineRule="exact"/>
              <w:ind w:right="85"/>
              <w:jc w:val="right"/>
              <w:rPr>
                <w:sz w:val="18"/>
              </w:rPr>
            </w:pPr>
            <w:r>
              <w:rPr>
                <w:w w:val="95"/>
                <w:sz w:val="18"/>
              </w:rPr>
              <w:t>618</w:t>
            </w:r>
          </w:p>
        </w:tc>
      </w:tr>
      <w:tr>
        <w:trPr>
          <w:trHeight w:val="250" w:hRule="exact"/>
        </w:trPr>
        <w:tc>
          <w:tcPr>
            <w:tcW w:w="4004" w:type="dxa"/>
          </w:tcPr>
          <w:p>
            <w:pPr>
              <w:pStyle w:val="TableParagraph"/>
              <w:spacing w:before="6"/>
              <w:ind w:left="249"/>
              <w:rPr>
                <w:sz w:val="18"/>
              </w:rPr>
            </w:pPr>
            <w:r>
              <w:rPr>
                <w:sz w:val="18"/>
              </w:rPr>
              <w:t>In other comprehensive income</w:t>
            </w:r>
          </w:p>
        </w:tc>
        <w:tc>
          <w:tcPr>
            <w:tcW w:w="1208" w:type="dxa"/>
          </w:tcPr>
          <w:p>
            <w:pPr>
              <w:pStyle w:val="TableParagraph"/>
              <w:spacing w:before="4"/>
              <w:ind w:right="270"/>
              <w:jc w:val="right"/>
              <w:rPr>
                <w:sz w:val="18"/>
              </w:rPr>
            </w:pPr>
            <w:r>
              <w:rPr>
                <w:w w:val="95"/>
                <w:sz w:val="18"/>
              </w:rPr>
              <w:t>(15)</w:t>
            </w:r>
          </w:p>
        </w:tc>
        <w:tc>
          <w:tcPr>
            <w:tcW w:w="720" w:type="dxa"/>
          </w:tcPr>
          <w:p>
            <w:pPr>
              <w:pStyle w:val="TableParagraph"/>
              <w:spacing w:before="4"/>
              <w:ind w:right="26"/>
              <w:jc w:val="right"/>
              <w:rPr>
                <w:sz w:val="18"/>
              </w:rPr>
            </w:pPr>
            <w:r>
              <w:rPr>
                <w:w w:val="95"/>
                <w:sz w:val="18"/>
              </w:rPr>
              <w:t>(15)</w:t>
            </w:r>
          </w:p>
        </w:tc>
      </w:tr>
      <w:tr>
        <w:trPr>
          <w:trHeight w:val="262" w:hRule="exact"/>
        </w:trPr>
        <w:tc>
          <w:tcPr>
            <w:tcW w:w="4004" w:type="dxa"/>
          </w:tcPr>
          <w:p>
            <w:pPr>
              <w:pStyle w:val="TableParagraph"/>
              <w:spacing w:before="19"/>
              <w:ind w:left="35"/>
              <w:rPr>
                <w:sz w:val="18"/>
              </w:rPr>
            </w:pPr>
            <w:r>
              <w:rPr>
                <w:sz w:val="18"/>
              </w:rPr>
              <w:t>Sales</w:t>
            </w:r>
          </w:p>
        </w:tc>
        <w:tc>
          <w:tcPr>
            <w:tcW w:w="1208" w:type="dxa"/>
            <w:tcBorders>
              <w:bottom w:val="single" w:sz="0" w:space="0" w:color="000000"/>
            </w:tcBorders>
          </w:tcPr>
          <w:p>
            <w:pPr>
              <w:pStyle w:val="TableParagraph"/>
              <w:spacing w:before="18"/>
              <w:ind w:right="269"/>
              <w:jc w:val="right"/>
              <w:rPr>
                <w:sz w:val="18"/>
              </w:rPr>
            </w:pPr>
            <w:r>
              <w:rPr>
                <w:sz w:val="18"/>
              </w:rPr>
              <w:t>(130)</w:t>
            </w:r>
          </w:p>
        </w:tc>
        <w:tc>
          <w:tcPr>
            <w:tcW w:w="720" w:type="dxa"/>
            <w:tcBorders>
              <w:bottom w:val="single" w:sz="0" w:space="0" w:color="000000"/>
            </w:tcBorders>
          </w:tcPr>
          <w:p>
            <w:pPr>
              <w:pStyle w:val="TableParagraph"/>
              <w:spacing w:before="18"/>
              <w:ind w:right="25"/>
              <w:jc w:val="right"/>
              <w:rPr>
                <w:sz w:val="18"/>
              </w:rPr>
            </w:pPr>
            <w:r>
              <w:rPr>
                <w:sz w:val="18"/>
              </w:rPr>
              <w:t>(130)</w:t>
            </w:r>
          </w:p>
        </w:tc>
      </w:tr>
      <w:tr>
        <w:trPr>
          <w:trHeight w:val="338" w:hRule="exact"/>
        </w:trPr>
        <w:tc>
          <w:tcPr>
            <w:tcW w:w="4004" w:type="dxa"/>
          </w:tcPr>
          <w:p>
            <w:pPr>
              <w:pStyle w:val="TableParagraph"/>
              <w:spacing w:before="95"/>
              <w:ind w:left="35"/>
              <w:rPr>
                <w:sz w:val="18"/>
              </w:rPr>
            </w:pPr>
            <w:r>
              <w:rPr>
                <w:sz w:val="18"/>
              </w:rPr>
              <w:t>Closing balance</w:t>
            </w:r>
          </w:p>
        </w:tc>
        <w:tc>
          <w:tcPr>
            <w:tcW w:w="1208" w:type="dxa"/>
            <w:tcBorders>
              <w:top w:val="single" w:sz="0" w:space="0" w:color="000000"/>
              <w:bottom w:val="single" w:sz="0" w:space="0" w:color="000000"/>
            </w:tcBorders>
          </w:tcPr>
          <w:p>
            <w:pPr>
              <w:pStyle w:val="TableParagraph"/>
              <w:spacing w:before="122"/>
              <w:ind w:right="329"/>
              <w:jc w:val="right"/>
              <w:rPr>
                <w:sz w:val="18"/>
              </w:rPr>
            </w:pPr>
            <w:r>
              <w:rPr>
                <w:w w:val="95"/>
                <w:sz w:val="18"/>
              </w:rPr>
              <w:t>473</w:t>
            </w:r>
          </w:p>
        </w:tc>
        <w:tc>
          <w:tcPr>
            <w:tcW w:w="720" w:type="dxa"/>
            <w:tcBorders>
              <w:top w:val="single" w:sz="0" w:space="0" w:color="000000"/>
              <w:bottom w:val="single" w:sz="0" w:space="0" w:color="000000"/>
            </w:tcBorders>
          </w:tcPr>
          <w:p>
            <w:pPr>
              <w:pStyle w:val="TableParagraph"/>
              <w:spacing w:before="122"/>
              <w:ind w:right="85"/>
              <w:jc w:val="right"/>
              <w:rPr>
                <w:sz w:val="18"/>
              </w:rPr>
            </w:pPr>
            <w:r>
              <w:rPr>
                <w:w w:val="95"/>
                <w:sz w:val="18"/>
              </w:rPr>
              <w:t>473</w:t>
            </w:r>
          </w:p>
        </w:tc>
      </w:tr>
    </w:tbl>
    <w:p>
      <w:pPr>
        <w:pStyle w:val="BodyText"/>
        <w:rPr>
          <w:b/>
          <w:sz w:val="20"/>
        </w:rPr>
      </w:pPr>
    </w:p>
    <w:p>
      <w:pPr>
        <w:pStyle w:val="BodyText"/>
        <w:spacing w:before="1"/>
        <w:rPr>
          <w:b/>
          <w:sz w:val="20"/>
        </w:rPr>
      </w:pPr>
    </w:p>
    <w:p>
      <w:pPr>
        <w:spacing w:after="0"/>
        <w:rPr>
          <w:sz w:val="20"/>
        </w:rPr>
        <w:sectPr>
          <w:type w:val="continuous"/>
          <w:pgSz w:w="11910" w:h="16840"/>
          <w:pgMar w:top="0" w:bottom="280" w:left="900" w:right="1680"/>
        </w:sectPr>
      </w:pPr>
    </w:p>
    <w:p>
      <w:pPr>
        <w:pStyle w:val="BodyText"/>
        <w:rPr>
          <w:b/>
        </w:rPr>
      </w:pPr>
    </w:p>
    <w:p>
      <w:pPr>
        <w:pStyle w:val="BodyText"/>
        <w:rPr>
          <w:b/>
        </w:rPr>
      </w:pPr>
    </w:p>
    <w:p>
      <w:pPr>
        <w:pStyle w:val="BodyText"/>
        <w:rPr>
          <w:b/>
        </w:rPr>
      </w:pPr>
    </w:p>
    <w:p>
      <w:pPr>
        <w:pStyle w:val="BodyText"/>
        <w:spacing w:before="2"/>
        <w:rPr>
          <w:b/>
          <w:sz w:val="25"/>
        </w:rPr>
      </w:pPr>
    </w:p>
    <w:p>
      <w:pPr>
        <w:spacing w:before="0"/>
        <w:ind w:left="1071" w:right="-19" w:firstLine="0"/>
        <w:jc w:val="left"/>
        <w:rPr>
          <w:b/>
          <w:sz w:val="18"/>
        </w:rPr>
      </w:pPr>
      <w:r>
        <w:rPr>
          <w:b/>
          <w:sz w:val="18"/>
        </w:rPr>
        <w:t>Level 3 Financial Assets 2011</w:t>
      </w:r>
    </w:p>
    <w:p>
      <w:pPr>
        <w:spacing w:before="77"/>
        <w:ind w:left="1071" w:right="-19" w:firstLine="0"/>
        <w:jc w:val="left"/>
        <w:rPr>
          <w:b/>
          <w:sz w:val="18"/>
        </w:rPr>
      </w:pPr>
      <w:r>
        <w:rPr/>
        <w:br w:type="column"/>
      </w:r>
      <w:r>
        <w:rPr>
          <w:b/>
          <w:sz w:val="18"/>
        </w:rPr>
        <w:t>Unlisted securities</w:t>
      </w:r>
    </w:p>
    <w:p>
      <w:pPr>
        <w:spacing w:before="66"/>
        <w:ind w:left="1071" w:right="-19" w:firstLine="0"/>
        <w:jc w:val="left"/>
        <w:rPr>
          <w:b/>
          <w:sz w:val="18"/>
        </w:rPr>
      </w:pPr>
      <w:r>
        <w:rPr>
          <w:b/>
          <w:sz w:val="18"/>
        </w:rPr>
        <w:t>$'000</w:t>
      </w:r>
    </w:p>
    <w:p>
      <w:pPr>
        <w:pStyle w:val="BodyText"/>
        <w:spacing w:before="8"/>
        <w:rPr>
          <w:b/>
          <w:sz w:val="24"/>
        </w:rPr>
      </w:pPr>
      <w:r>
        <w:rPr/>
        <w:br w:type="column"/>
      </w:r>
      <w:r>
        <w:rPr>
          <w:b/>
          <w:sz w:val="24"/>
        </w:rPr>
      </w:r>
    </w:p>
    <w:p>
      <w:pPr>
        <w:spacing w:before="0"/>
        <w:ind w:left="110" w:right="0" w:firstLine="0"/>
        <w:jc w:val="left"/>
        <w:rPr>
          <w:b/>
          <w:sz w:val="18"/>
        </w:rPr>
      </w:pPr>
      <w:r>
        <w:rPr>
          <w:b/>
          <w:sz w:val="18"/>
        </w:rPr>
        <w:t>Total</w:t>
      </w:r>
    </w:p>
    <w:p>
      <w:pPr>
        <w:spacing w:before="66"/>
        <w:ind w:left="110" w:right="0" w:firstLine="0"/>
        <w:jc w:val="left"/>
        <w:rPr>
          <w:b/>
          <w:sz w:val="18"/>
        </w:rPr>
      </w:pPr>
      <w:r>
        <w:rPr>
          <w:b/>
          <w:sz w:val="18"/>
        </w:rPr>
        <w:t>$'000</w:t>
      </w:r>
    </w:p>
    <w:p>
      <w:pPr>
        <w:spacing w:after="0"/>
        <w:jc w:val="left"/>
        <w:rPr>
          <w:sz w:val="18"/>
        </w:rPr>
        <w:sectPr>
          <w:type w:val="continuous"/>
          <w:pgSz w:w="11910" w:h="16840"/>
          <w:pgMar w:top="0" w:bottom="280" w:left="900" w:right="1680"/>
          <w:cols w:num="3" w:equalWidth="0">
            <w:col w:w="3604" w:space="365"/>
            <w:col w:w="1913" w:space="40"/>
            <w:col w:w="3408"/>
          </w:cols>
        </w:sectPr>
      </w:pPr>
    </w:p>
    <w:p>
      <w:pPr>
        <w:pStyle w:val="BodyText"/>
        <w:tabs>
          <w:tab w:pos="5616" w:val="left" w:leader="none"/>
          <w:tab w:pos="6879" w:val="right" w:leader="none"/>
        </w:tabs>
        <w:spacing w:before="29"/>
        <w:ind w:left="1071"/>
      </w:pPr>
      <w:r>
        <w:rPr/>
        <w:t>Opening</w:t>
      </w:r>
      <w:r>
        <w:rPr>
          <w:spacing w:val="-1"/>
        </w:rPr>
        <w:t> </w:t>
      </w:r>
      <w:r>
        <w:rPr/>
        <w:t>balance</w:t>
        <w:tab/>
        <w:t>535</w:t>
      </w:r>
      <w:r>
        <w:rPr>
          <w:rFonts w:ascii="Times New Roman"/>
        </w:rPr>
        <w:tab/>
      </w:r>
      <w:r>
        <w:rPr/>
        <w:t>535</w:t>
      </w:r>
    </w:p>
    <w:p>
      <w:pPr>
        <w:pStyle w:val="Heading9"/>
        <w:spacing w:before="139"/>
        <w:ind w:left="1071"/>
      </w:pPr>
      <w:r>
        <w:rPr/>
        <w:t>Total gains or losses</w:t>
      </w:r>
    </w:p>
    <w:p>
      <w:pPr>
        <w:pStyle w:val="BodyText"/>
        <w:tabs>
          <w:tab w:pos="5715" w:val="left" w:leader="none"/>
          <w:tab w:pos="6879" w:val="right" w:leader="none"/>
        </w:tabs>
        <w:spacing w:before="29"/>
        <w:ind w:left="1286"/>
      </w:pPr>
      <w:r>
        <w:rPr/>
        <w:pict>
          <v:group style="position:absolute;margin-left:296.950012pt;margin-top:13.085192pt;width:96.5pt;height:1pt;mso-position-horizontal-relative:page;mso-position-vertical-relative:paragraph;z-index:3616" coordorigin="5939,262" coordsize="1930,20">
            <v:line style="position:absolute" from="5940,263" to="6904,263" stroked="true" strokeweight=".06pt" strokecolor="#000000"/>
            <v:line style="position:absolute" from="5940,264" to="6904,264" stroked="true" strokeweight=".06pt" strokecolor="#000000"/>
            <v:line style="position:absolute" from="5940,265" to="6904,265" stroked="true" strokeweight=".06pt" strokecolor="#000000"/>
            <v:line style="position:absolute" from="5940,266" to="6904,266" stroked="true" strokeweight=".06pt" strokecolor="#000000"/>
            <v:line style="position:absolute" from="5940,268" to="6904,268" stroked="true" strokeweight=".06pt" strokecolor="#000000"/>
            <v:line style="position:absolute" from="5940,269" to="6904,269" stroked="true" strokeweight=".06pt" strokecolor="#000000"/>
            <v:line style="position:absolute" from="5940,270" to="6904,270" stroked="true" strokeweight=".06pt" strokecolor="#000000"/>
            <v:line style="position:absolute" from="5940,271" to="6904,271" stroked="true" strokeweight=".06pt" strokecolor="#000000"/>
            <v:line style="position:absolute" from="5940,272" to="6904,272" stroked="true" strokeweight=".06pt" strokecolor="#000000"/>
            <v:line style="position:absolute" from="5940,274" to="6904,274" stroked="true" strokeweight=".06pt" strokecolor="#000000"/>
            <v:line style="position:absolute" from="5940,275" to="6904,275" stroked="true" strokeweight=".06pt" strokecolor="#000000"/>
            <v:line style="position:absolute" from="5940,276" to="6904,276" stroked="true" strokeweight=".06pt" strokecolor="#000000"/>
            <v:line style="position:absolute" from="5940,277" to="6904,277" stroked="true" strokeweight=".06pt" strokecolor="#000000"/>
            <v:line style="position:absolute" from="5940,278" to="6904,278" stroked="true" strokeweight=".06pt" strokecolor="#000000"/>
            <v:line style="position:absolute" from="5940,280" to="6904,280" stroked="true" strokeweight=".06pt" strokecolor="#000000"/>
            <v:line style="position:absolute" from="5940,281" to="6904,281" stroked="true" strokeweight=".06pt" strokecolor="#000000"/>
            <v:line style="position:absolute" from="6904,263" to="7867,263" stroked="true" strokeweight=".06pt" strokecolor="#000000"/>
            <v:line style="position:absolute" from="6904,264" to="7867,264" stroked="true" strokeweight=".06pt" strokecolor="#000000"/>
            <v:line style="position:absolute" from="6904,265" to="7867,265" stroked="true" strokeweight=".06pt" strokecolor="#000000"/>
            <v:line style="position:absolute" from="6904,266" to="7867,266" stroked="true" strokeweight=".06pt" strokecolor="#000000"/>
            <v:line style="position:absolute" from="6904,268" to="7867,268" stroked="true" strokeweight=".06pt" strokecolor="#000000"/>
            <v:line style="position:absolute" from="6904,269" to="7867,269" stroked="true" strokeweight=".06pt" strokecolor="#000000"/>
            <v:line style="position:absolute" from="6904,270" to="7867,270" stroked="true" strokeweight=".06pt" strokecolor="#000000"/>
            <v:line style="position:absolute" from="6904,271" to="7867,271" stroked="true" strokeweight=".06pt" strokecolor="#000000"/>
            <v:line style="position:absolute" from="6904,272" to="7867,272" stroked="true" strokeweight=".06pt" strokecolor="#000000"/>
            <v:line style="position:absolute" from="6904,274" to="7867,274" stroked="true" strokeweight=".06pt" strokecolor="#000000"/>
            <v:line style="position:absolute" from="6904,275" to="7867,275" stroked="true" strokeweight=".06pt" strokecolor="#000000"/>
            <v:line style="position:absolute" from="6904,276" to="7867,276" stroked="true" strokeweight=".06pt" strokecolor="#000000"/>
            <v:line style="position:absolute" from="6904,277" to="7867,277" stroked="true" strokeweight=".06pt" strokecolor="#000000"/>
            <v:line style="position:absolute" from="6904,278" to="7867,278" stroked="true" strokeweight=".06pt" strokecolor="#000000"/>
            <v:line style="position:absolute" from="6904,280" to="7867,280" stroked="true" strokeweight=".06pt" strokecolor="#000000"/>
            <v:line style="position:absolute" from="6904,281" to="7867,281" stroked="true" strokeweight=".06pt" strokecolor="#000000"/>
            <w10:wrap type="none"/>
          </v:group>
        </w:pict>
      </w:r>
      <w:r>
        <w:rPr/>
        <w:t>In other</w:t>
      </w:r>
      <w:r>
        <w:rPr>
          <w:spacing w:val="-1"/>
        </w:rPr>
        <w:t> </w:t>
      </w:r>
      <w:r>
        <w:rPr/>
        <w:t>comprehensive</w:t>
      </w:r>
      <w:r>
        <w:rPr>
          <w:spacing w:val="-1"/>
        </w:rPr>
        <w:t> </w:t>
      </w:r>
      <w:r>
        <w:rPr/>
        <w:t>income</w:t>
        <w:tab/>
        <w:t>83</w:t>
      </w:r>
      <w:r>
        <w:rPr>
          <w:rFonts w:ascii="Times New Roman"/>
        </w:rPr>
        <w:tab/>
      </w:r>
      <w:r>
        <w:rPr/>
        <w:t>83</w:t>
      </w:r>
    </w:p>
    <w:p>
      <w:pPr>
        <w:pStyle w:val="BodyText"/>
        <w:tabs>
          <w:tab w:pos="5615" w:val="left" w:leader="none"/>
          <w:tab w:pos="6879" w:val="right" w:leader="none"/>
        </w:tabs>
        <w:spacing w:before="131"/>
        <w:ind w:left="1071"/>
      </w:pPr>
      <w:r>
        <w:rPr/>
        <w:pict>
          <v:group style="position:absolute;margin-left:296.950012pt;margin-top:18.185209pt;width:96.5pt;height:1pt;mso-position-horizontal-relative:page;mso-position-vertical-relative:paragraph;z-index:-1310584" coordorigin="5939,364" coordsize="1930,20">
            <v:line style="position:absolute" from="5940,365" to="6904,365" stroked="true" strokeweight=".06pt" strokecolor="#000000"/>
            <v:line style="position:absolute" from="5940,366" to="6904,366" stroked="true" strokeweight=".06pt" strokecolor="#000000"/>
            <v:line style="position:absolute" from="5940,367" to="6904,367" stroked="true" strokeweight=".06pt" strokecolor="#000000"/>
            <v:line style="position:absolute" from="5940,368" to="6904,368" stroked="true" strokeweight=".06pt" strokecolor="#000000"/>
            <v:line style="position:absolute" from="5940,370" to="6904,370" stroked="true" strokeweight=".06pt" strokecolor="#000000"/>
            <v:line style="position:absolute" from="5940,371" to="6904,371" stroked="true" strokeweight=".06pt" strokecolor="#000000"/>
            <v:line style="position:absolute" from="5940,372" to="6904,372" stroked="true" strokeweight=".06pt" strokecolor="#000000"/>
            <v:line style="position:absolute" from="5940,373" to="6904,373" stroked="true" strokeweight=".06pt" strokecolor="#000000"/>
            <v:line style="position:absolute" from="5940,374" to="6904,374" stroked="true" strokeweight=".06pt" strokecolor="#000000"/>
            <v:line style="position:absolute" from="5940,376" to="6904,376" stroked="true" strokeweight=".06pt" strokecolor="#000000"/>
            <v:line style="position:absolute" from="5940,377" to="6904,377" stroked="true" strokeweight=".06pt" strokecolor="#000000"/>
            <v:line style="position:absolute" from="5940,378" to="6904,378" stroked="true" strokeweight=".06pt" strokecolor="#000000"/>
            <v:line style="position:absolute" from="5940,379" to="6904,379" stroked="true" strokeweight=".06pt" strokecolor="#000000"/>
            <v:line style="position:absolute" from="5940,380" to="6904,380" stroked="true" strokeweight=".06pt" strokecolor="#000000"/>
            <v:line style="position:absolute" from="5940,382" to="6904,382" stroked="true" strokeweight=".06pt" strokecolor="#000000"/>
            <v:line style="position:absolute" from="5940,383" to="6904,383" stroked="true" strokeweight=".06pt" strokecolor="#000000"/>
            <v:line style="position:absolute" from="6904,365" to="7867,365" stroked="true" strokeweight=".06pt" strokecolor="#000000"/>
            <v:line style="position:absolute" from="6904,366" to="7867,366" stroked="true" strokeweight=".06pt" strokecolor="#000000"/>
            <v:line style="position:absolute" from="6904,367" to="7867,367" stroked="true" strokeweight=".06pt" strokecolor="#000000"/>
            <v:line style="position:absolute" from="6904,368" to="7867,368" stroked="true" strokeweight=".06pt" strokecolor="#000000"/>
            <v:line style="position:absolute" from="6904,370" to="7867,370" stroked="true" strokeweight=".06pt" strokecolor="#000000"/>
            <v:line style="position:absolute" from="6904,371" to="7867,371" stroked="true" strokeweight=".06pt" strokecolor="#000000"/>
            <v:line style="position:absolute" from="6904,372" to="7867,372" stroked="true" strokeweight=".06pt" strokecolor="#000000"/>
            <v:line style="position:absolute" from="6904,373" to="7867,373" stroked="true" strokeweight=".06pt" strokecolor="#000000"/>
            <v:line style="position:absolute" from="6904,374" to="7867,374" stroked="true" strokeweight=".06pt" strokecolor="#000000"/>
            <v:line style="position:absolute" from="6904,376" to="7867,376" stroked="true" strokeweight=".06pt" strokecolor="#000000"/>
            <v:line style="position:absolute" from="6904,377" to="7867,377" stroked="true" strokeweight=".06pt" strokecolor="#000000"/>
            <v:line style="position:absolute" from="6904,378" to="7867,378" stroked="true" strokeweight=".06pt" strokecolor="#000000"/>
            <v:line style="position:absolute" from="6904,379" to="7867,379" stroked="true" strokeweight=".06pt" strokecolor="#000000"/>
            <v:line style="position:absolute" from="6904,380" to="7867,380" stroked="true" strokeweight=".06pt" strokecolor="#000000"/>
            <v:line style="position:absolute" from="6904,382" to="7867,382" stroked="true" strokeweight=".06pt" strokecolor="#000000"/>
            <v:line style="position:absolute" from="6904,383" to="7867,383" stroked="true" strokeweight=".06pt" strokecolor="#000000"/>
            <w10:wrap type="none"/>
          </v:group>
        </w:pict>
      </w:r>
      <w:r>
        <w:rPr/>
        <w:t>Closing</w:t>
      </w:r>
      <w:r>
        <w:rPr>
          <w:spacing w:val="-1"/>
        </w:rPr>
        <w:t> </w:t>
      </w:r>
      <w:r>
        <w:rPr/>
        <w:t>balance</w:t>
        <w:tab/>
      </w:r>
      <w:r>
        <w:rPr>
          <w:position w:val="-2"/>
        </w:rPr>
        <w:t>618</w:t>
      </w:r>
      <w:r>
        <w:rPr>
          <w:rFonts w:ascii="Times New Roman"/>
          <w:position w:val="-2"/>
        </w:rPr>
        <w:tab/>
      </w:r>
      <w:r>
        <w:rPr>
          <w:position w:val="-2"/>
        </w:rPr>
        <w:t>618</w:t>
      </w:r>
    </w:p>
    <w:p>
      <w:pPr>
        <w:pStyle w:val="BodyText"/>
        <w:spacing w:before="304"/>
        <w:ind w:left="1072"/>
      </w:pPr>
      <w:r>
        <w:rPr/>
        <w:t>Refer to note 1(o) for the accounting policy of fair value estimation.</w:t>
      </w:r>
    </w:p>
    <w:p>
      <w:pPr>
        <w:spacing w:after="0"/>
        <w:sectPr>
          <w:type w:val="continuous"/>
          <w:pgSz w:w="11910" w:h="16840"/>
          <w:pgMar w:top="0" w:bottom="280" w:left="900" w:right="1680"/>
        </w:sectPr>
      </w:pPr>
    </w:p>
    <w:p>
      <w:pPr>
        <w:pStyle w:val="Heading9"/>
        <w:numPr>
          <w:ilvl w:val="0"/>
          <w:numId w:val="27"/>
        </w:numPr>
        <w:tabs>
          <w:tab w:pos="506" w:val="left" w:leader="none"/>
        </w:tabs>
        <w:spacing w:line="240" w:lineRule="auto" w:before="383" w:after="0"/>
        <w:ind w:left="505" w:right="0" w:hanging="396"/>
        <w:jc w:val="left"/>
      </w:pPr>
      <w:r>
        <w:rPr/>
        <w:t>Subsidiaries</w:t>
      </w:r>
    </w:p>
    <w:p>
      <w:pPr>
        <w:pStyle w:val="BodyText"/>
        <w:spacing w:before="287"/>
        <w:ind w:left="505" w:right="640"/>
      </w:pPr>
      <w:r>
        <w:rPr/>
        <w:t>The consolidated financial statements incorporate the assets, liabilities and results of the following subsidiaries in accordance with the accounting policy described in note 1(b):</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5"/>
        </w:rPr>
      </w:pPr>
    </w:p>
    <w:p>
      <w:pPr>
        <w:pStyle w:val="BodyText"/>
        <w:tabs>
          <w:tab w:pos="8532" w:val="left" w:leader="none"/>
          <w:tab w:pos="9637" w:val="left" w:leader="none"/>
        </w:tabs>
        <w:ind w:left="6440" w:right="125"/>
      </w:pPr>
      <w:r>
        <w:rPr/>
        <w:pict>
          <v:shape style="position:absolute;margin-left:70.669998pt;margin-top:-67.319923pt;width:473.05pt;height:124.3pt;mso-position-horizontal-relative:page;mso-position-vertical-relative:paragraph;z-index:371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796"/>
                    <w:gridCol w:w="2177"/>
                    <w:gridCol w:w="776"/>
                    <w:gridCol w:w="636"/>
                    <w:gridCol w:w="482"/>
                    <w:gridCol w:w="592"/>
                  </w:tblGrid>
                  <w:tr>
                    <w:trPr>
                      <w:trHeight w:val="431" w:hRule="exact"/>
                    </w:trPr>
                    <w:tc>
                      <w:tcPr>
                        <w:tcW w:w="4796" w:type="dxa"/>
                      </w:tcPr>
                      <w:p>
                        <w:pPr>
                          <w:pStyle w:val="TableParagraph"/>
                          <w:spacing w:before="183"/>
                          <w:ind w:left="35"/>
                          <w:rPr>
                            <w:b/>
                            <w:sz w:val="18"/>
                          </w:rPr>
                        </w:pPr>
                        <w:r>
                          <w:rPr>
                            <w:b/>
                            <w:sz w:val="18"/>
                          </w:rPr>
                          <w:t>Name of Entity</w:t>
                        </w:r>
                      </w:p>
                    </w:tc>
                    <w:tc>
                      <w:tcPr>
                        <w:tcW w:w="2177" w:type="dxa"/>
                      </w:tcPr>
                      <w:p>
                        <w:pPr>
                          <w:pStyle w:val="TableParagraph"/>
                          <w:spacing w:line="184" w:lineRule="exact"/>
                          <w:ind w:left="539"/>
                          <w:rPr>
                            <w:b/>
                            <w:sz w:val="18"/>
                          </w:rPr>
                        </w:pPr>
                        <w:r>
                          <w:rPr>
                            <w:b/>
                            <w:sz w:val="18"/>
                          </w:rPr>
                          <w:t>Country of</w:t>
                        </w:r>
                      </w:p>
                      <w:p>
                        <w:pPr>
                          <w:pStyle w:val="TableParagraph"/>
                          <w:spacing w:line="207" w:lineRule="exact"/>
                          <w:ind w:left="539"/>
                          <w:rPr>
                            <w:b/>
                            <w:sz w:val="18"/>
                          </w:rPr>
                        </w:pPr>
                        <w:r>
                          <w:rPr>
                            <w:b/>
                            <w:sz w:val="18"/>
                          </w:rPr>
                          <w:t>Incorporation</w:t>
                        </w:r>
                      </w:p>
                    </w:tc>
                    <w:tc>
                      <w:tcPr>
                        <w:tcW w:w="776" w:type="dxa"/>
                      </w:tcPr>
                      <w:p>
                        <w:pPr>
                          <w:pStyle w:val="TableParagraph"/>
                          <w:spacing w:line="117" w:lineRule="exact"/>
                          <w:ind w:left="345"/>
                          <w:rPr>
                            <w:b/>
                            <w:sz w:val="18"/>
                          </w:rPr>
                        </w:pPr>
                        <w:r>
                          <w:rPr>
                            <w:b/>
                            <w:sz w:val="18"/>
                          </w:rPr>
                          <w:t>2012</w:t>
                        </w:r>
                      </w:p>
                      <w:p>
                        <w:pPr>
                          <w:pStyle w:val="TableParagraph"/>
                          <w:spacing w:before="66"/>
                          <w:ind w:left="75"/>
                          <w:jc w:val="center"/>
                          <w:rPr>
                            <w:b/>
                            <w:sz w:val="18"/>
                          </w:rPr>
                        </w:pPr>
                        <w:r>
                          <w:rPr>
                            <w:b/>
                            <w:w w:val="99"/>
                            <w:sz w:val="18"/>
                          </w:rPr>
                          <w:t>%</w:t>
                        </w:r>
                      </w:p>
                    </w:tc>
                    <w:tc>
                      <w:tcPr>
                        <w:tcW w:w="636" w:type="dxa"/>
                      </w:tcPr>
                      <w:p>
                        <w:pPr/>
                      </w:p>
                    </w:tc>
                    <w:tc>
                      <w:tcPr>
                        <w:tcW w:w="482" w:type="dxa"/>
                      </w:tcPr>
                      <w:p>
                        <w:pPr>
                          <w:pStyle w:val="TableParagraph"/>
                          <w:spacing w:line="117" w:lineRule="exact"/>
                          <w:ind w:left="65" w:right="-4"/>
                          <w:rPr>
                            <w:b/>
                            <w:sz w:val="18"/>
                          </w:rPr>
                        </w:pPr>
                        <w:r>
                          <w:rPr>
                            <w:b/>
                            <w:sz w:val="18"/>
                          </w:rPr>
                          <w:t>2011</w:t>
                        </w:r>
                      </w:p>
                      <w:p>
                        <w:pPr>
                          <w:pStyle w:val="TableParagraph"/>
                          <w:spacing w:before="66"/>
                          <w:ind w:left="65"/>
                          <w:rPr>
                            <w:b/>
                            <w:sz w:val="18"/>
                          </w:rPr>
                        </w:pPr>
                        <w:r>
                          <w:rPr>
                            <w:b/>
                            <w:w w:val="99"/>
                            <w:sz w:val="18"/>
                          </w:rPr>
                          <w:t>%</w:t>
                        </w:r>
                      </w:p>
                    </w:tc>
                    <w:tc>
                      <w:tcPr>
                        <w:tcW w:w="592" w:type="dxa"/>
                      </w:tcPr>
                      <w:p>
                        <w:pPr/>
                      </w:p>
                    </w:tc>
                  </w:tr>
                  <w:tr>
                    <w:trPr>
                      <w:trHeight w:val="267" w:hRule="exact"/>
                    </w:trPr>
                    <w:tc>
                      <w:tcPr>
                        <w:tcW w:w="4796" w:type="dxa"/>
                      </w:tcPr>
                      <w:p>
                        <w:pPr>
                          <w:pStyle w:val="TableParagraph"/>
                          <w:spacing w:before="22"/>
                          <w:ind w:left="35"/>
                          <w:rPr>
                            <w:sz w:val="18"/>
                          </w:rPr>
                        </w:pPr>
                        <w:r>
                          <w:rPr>
                            <w:sz w:val="18"/>
                          </w:rPr>
                          <w:t>Cadre Design Pty Limited and Unit Trust (#1)</w:t>
                        </w:r>
                      </w:p>
                    </w:tc>
                    <w:tc>
                      <w:tcPr>
                        <w:tcW w:w="2177" w:type="dxa"/>
                      </w:tcPr>
                      <w:p>
                        <w:pPr>
                          <w:pStyle w:val="TableParagraph"/>
                          <w:spacing w:before="21"/>
                          <w:ind w:right="343"/>
                          <w:jc w:val="right"/>
                          <w:rPr>
                            <w:sz w:val="18"/>
                          </w:rPr>
                        </w:pPr>
                        <w:r>
                          <w:rPr>
                            <w:w w:val="95"/>
                            <w:sz w:val="18"/>
                          </w:rPr>
                          <w:t>Australia</w:t>
                        </w:r>
                      </w:p>
                    </w:tc>
                    <w:tc>
                      <w:tcPr>
                        <w:tcW w:w="776" w:type="dxa"/>
                      </w:tcPr>
                      <w:p>
                        <w:pPr/>
                      </w:p>
                    </w:tc>
                    <w:tc>
                      <w:tcPr>
                        <w:tcW w:w="636" w:type="dxa"/>
                      </w:tcPr>
                      <w:p>
                        <w:pPr>
                          <w:pStyle w:val="TableParagraph"/>
                          <w:spacing w:before="21"/>
                          <w:ind w:right="65"/>
                          <w:jc w:val="right"/>
                          <w:rPr>
                            <w:sz w:val="18"/>
                          </w:rPr>
                        </w:pPr>
                        <w:r>
                          <w:rPr>
                            <w:w w:val="99"/>
                            <w:sz w:val="18"/>
                          </w:rPr>
                          <w:t>-</w:t>
                        </w:r>
                      </w:p>
                    </w:tc>
                    <w:tc>
                      <w:tcPr>
                        <w:tcW w:w="482" w:type="dxa"/>
                      </w:tcPr>
                      <w:p>
                        <w:pPr/>
                      </w:p>
                    </w:tc>
                    <w:tc>
                      <w:tcPr>
                        <w:tcW w:w="592" w:type="dxa"/>
                      </w:tcPr>
                      <w:p>
                        <w:pPr>
                          <w:pStyle w:val="TableParagraph"/>
                          <w:spacing w:before="21"/>
                          <w:ind w:right="33"/>
                          <w:jc w:val="right"/>
                          <w:rPr>
                            <w:sz w:val="18"/>
                          </w:rPr>
                        </w:pPr>
                        <w:r>
                          <w:rPr>
                            <w:sz w:val="18"/>
                          </w:rPr>
                          <w:t>85</w:t>
                        </w:r>
                      </w:p>
                    </w:tc>
                  </w:tr>
                  <w:tr>
                    <w:trPr>
                      <w:trHeight w:val="264" w:hRule="exact"/>
                    </w:trPr>
                    <w:tc>
                      <w:tcPr>
                        <w:tcW w:w="4796" w:type="dxa"/>
                      </w:tcPr>
                      <w:p>
                        <w:pPr>
                          <w:pStyle w:val="TableParagraph"/>
                          <w:spacing w:before="19"/>
                          <w:ind w:left="35"/>
                          <w:rPr>
                            <w:sz w:val="18"/>
                          </w:rPr>
                        </w:pPr>
                        <w:r>
                          <w:rPr>
                            <w:sz w:val="18"/>
                          </w:rPr>
                          <w:t>Television Sydney (TVS) Limited</w:t>
                        </w:r>
                      </w:p>
                    </w:tc>
                    <w:tc>
                      <w:tcPr>
                        <w:tcW w:w="2177" w:type="dxa"/>
                      </w:tcPr>
                      <w:p>
                        <w:pPr>
                          <w:pStyle w:val="TableParagraph"/>
                          <w:spacing w:before="18"/>
                          <w:ind w:right="343"/>
                          <w:jc w:val="right"/>
                          <w:rPr>
                            <w:sz w:val="18"/>
                          </w:rPr>
                        </w:pPr>
                        <w:r>
                          <w:rPr>
                            <w:w w:val="95"/>
                            <w:sz w:val="18"/>
                          </w:rPr>
                          <w:t>Australia</w:t>
                        </w:r>
                      </w:p>
                    </w:tc>
                    <w:tc>
                      <w:tcPr>
                        <w:tcW w:w="776" w:type="dxa"/>
                      </w:tcPr>
                      <w:p>
                        <w:pPr/>
                      </w:p>
                    </w:tc>
                    <w:tc>
                      <w:tcPr>
                        <w:tcW w:w="636" w:type="dxa"/>
                      </w:tcPr>
                      <w:p>
                        <w:pPr>
                          <w:pStyle w:val="TableParagraph"/>
                          <w:spacing w:before="18"/>
                          <w:ind w:right="64"/>
                          <w:jc w:val="right"/>
                          <w:rPr>
                            <w:sz w:val="18"/>
                          </w:rPr>
                        </w:pPr>
                        <w:r>
                          <w:rPr>
                            <w:w w:val="95"/>
                            <w:sz w:val="18"/>
                          </w:rPr>
                          <w:t>75</w:t>
                        </w:r>
                      </w:p>
                    </w:tc>
                    <w:tc>
                      <w:tcPr>
                        <w:tcW w:w="482" w:type="dxa"/>
                      </w:tcPr>
                      <w:p>
                        <w:pPr/>
                      </w:p>
                    </w:tc>
                    <w:tc>
                      <w:tcPr>
                        <w:tcW w:w="592" w:type="dxa"/>
                      </w:tcPr>
                      <w:p>
                        <w:pPr>
                          <w:pStyle w:val="TableParagraph"/>
                          <w:spacing w:before="18"/>
                          <w:ind w:right="33"/>
                          <w:jc w:val="right"/>
                          <w:rPr>
                            <w:sz w:val="18"/>
                          </w:rPr>
                        </w:pPr>
                        <w:r>
                          <w:rPr>
                            <w:sz w:val="18"/>
                          </w:rPr>
                          <w:t>75</w:t>
                        </w:r>
                      </w:p>
                    </w:tc>
                  </w:tr>
                  <w:tr>
                    <w:trPr>
                      <w:trHeight w:val="223" w:hRule="exact"/>
                    </w:trPr>
                    <w:tc>
                      <w:tcPr>
                        <w:tcW w:w="4796" w:type="dxa"/>
                      </w:tcPr>
                      <w:p>
                        <w:pPr>
                          <w:pStyle w:val="TableParagraph"/>
                          <w:spacing w:before="19"/>
                          <w:ind w:left="35"/>
                          <w:rPr>
                            <w:sz w:val="18"/>
                          </w:rPr>
                        </w:pPr>
                        <w:r>
                          <w:rPr>
                            <w:sz w:val="18"/>
                          </w:rPr>
                          <w:t>Television Sydney Foundation Limited and Trust (#2)</w:t>
                        </w:r>
                      </w:p>
                    </w:tc>
                    <w:tc>
                      <w:tcPr>
                        <w:tcW w:w="2177" w:type="dxa"/>
                      </w:tcPr>
                      <w:p>
                        <w:pPr>
                          <w:pStyle w:val="TableParagraph"/>
                          <w:spacing w:before="18"/>
                          <w:ind w:right="343"/>
                          <w:jc w:val="right"/>
                          <w:rPr>
                            <w:sz w:val="18"/>
                          </w:rPr>
                        </w:pPr>
                        <w:r>
                          <w:rPr>
                            <w:w w:val="95"/>
                            <w:sz w:val="18"/>
                          </w:rPr>
                          <w:t>Australia</w:t>
                        </w:r>
                      </w:p>
                    </w:tc>
                    <w:tc>
                      <w:tcPr>
                        <w:tcW w:w="776" w:type="dxa"/>
                      </w:tcPr>
                      <w:p>
                        <w:pPr/>
                      </w:p>
                    </w:tc>
                    <w:tc>
                      <w:tcPr>
                        <w:tcW w:w="636" w:type="dxa"/>
                      </w:tcPr>
                      <w:p>
                        <w:pPr>
                          <w:pStyle w:val="TableParagraph"/>
                          <w:spacing w:before="18"/>
                          <w:ind w:right="65"/>
                          <w:jc w:val="right"/>
                          <w:rPr>
                            <w:sz w:val="18"/>
                          </w:rPr>
                        </w:pPr>
                        <w:r>
                          <w:rPr>
                            <w:w w:val="99"/>
                            <w:sz w:val="18"/>
                          </w:rPr>
                          <w:t>-</w:t>
                        </w:r>
                      </w:p>
                    </w:tc>
                    <w:tc>
                      <w:tcPr>
                        <w:tcW w:w="482" w:type="dxa"/>
                      </w:tcPr>
                      <w:p>
                        <w:pPr/>
                      </w:p>
                    </w:tc>
                    <w:tc>
                      <w:tcPr>
                        <w:tcW w:w="592" w:type="dxa"/>
                      </w:tcPr>
                      <w:p>
                        <w:pPr>
                          <w:pStyle w:val="TableParagraph"/>
                          <w:spacing w:before="18"/>
                          <w:ind w:right="33"/>
                          <w:jc w:val="right"/>
                          <w:rPr>
                            <w:sz w:val="18"/>
                          </w:rPr>
                        </w:pPr>
                        <w:r>
                          <w:rPr>
                            <w:w w:val="95"/>
                            <w:sz w:val="18"/>
                          </w:rPr>
                          <w:t>100</w:t>
                        </w:r>
                      </w:p>
                    </w:tc>
                  </w:tr>
                  <w:tr>
                    <w:trPr>
                      <w:trHeight w:val="275" w:hRule="exact"/>
                    </w:trPr>
                    <w:tc>
                      <w:tcPr>
                        <w:tcW w:w="4796" w:type="dxa"/>
                      </w:tcPr>
                      <w:p>
                        <w:pPr>
                          <w:pStyle w:val="TableParagraph"/>
                          <w:spacing w:before="59"/>
                          <w:ind w:left="35"/>
                          <w:rPr>
                            <w:sz w:val="18"/>
                          </w:rPr>
                        </w:pPr>
                        <w:r>
                          <w:rPr>
                            <w:sz w:val="18"/>
                          </w:rPr>
                          <w:t>University of Western Sydney Foundation Limited and</w:t>
                        </w:r>
                      </w:p>
                    </w:tc>
                    <w:tc>
                      <w:tcPr>
                        <w:tcW w:w="2177" w:type="dxa"/>
                      </w:tcPr>
                      <w:p>
                        <w:pPr/>
                      </w:p>
                    </w:tc>
                    <w:tc>
                      <w:tcPr>
                        <w:tcW w:w="776" w:type="dxa"/>
                      </w:tcPr>
                      <w:p>
                        <w:pPr/>
                      </w:p>
                    </w:tc>
                    <w:tc>
                      <w:tcPr>
                        <w:tcW w:w="636" w:type="dxa"/>
                      </w:tcPr>
                      <w:p>
                        <w:pPr/>
                      </w:p>
                    </w:tc>
                    <w:tc>
                      <w:tcPr>
                        <w:tcW w:w="482" w:type="dxa"/>
                      </w:tcPr>
                      <w:p>
                        <w:pPr/>
                      </w:p>
                    </w:tc>
                    <w:tc>
                      <w:tcPr>
                        <w:tcW w:w="592" w:type="dxa"/>
                      </w:tcPr>
                      <w:p>
                        <w:pPr/>
                      </w:p>
                    </w:tc>
                  </w:tr>
                  <w:tr>
                    <w:trPr>
                      <w:trHeight w:val="235" w:hRule="exact"/>
                    </w:trPr>
                    <w:tc>
                      <w:tcPr>
                        <w:tcW w:w="4796" w:type="dxa"/>
                      </w:tcPr>
                      <w:p>
                        <w:pPr>
                          <w:pStyle w:val="TableParagraph"/>
                          <w:spacing w:line="184" w:lineRule="exact"/>
                          <w:ind w:left="35"/>
                          <w:rPr>
                            <w:sz w:val="18"/>
                          </w:rPr>
                        </w:pPr>
                        <w:r>
                          <w:rPr>
                            <w:sz w:val="18"/>
                          </w:rPr>
                          <w:t>Trust</w:t>
                        </w:r>
                      </w:p>
                    </w:tc>
                    <w:tc>
                      <w:tcPr>
                        <w:tcW w:w="2177" w:type="dxa"/>
                      </w:tcPr>
                      <w:p>
                        <w:pPr/>
                      </w:p>
                    </w:tc>
                    <w:tc>
                      <w:tcPr>
                        <w:tcW w:w="1413" w:type="dxa"/>
                        <w:gridSpan w:val="2"/>
                      </w:tcPr>
                      <w:p>
                        <w:pPr/>
                      </w:p>
                    </w:tc>
                    <w:tc>
                      <w:tcPr>
                        <w:tcW w:w="1074" w:type="dxa"/>
                        <w:gridSpan w:val="2"/>
                      </w:tcPr>
                      <w:p>
                        <w:pPr/>
                      </w:p>
                    </w:tc>
                  </w:tr>
                  <w:tr>
                    <w:trPr>
                      <w:trHeight w:val="264" w:hRule="exact"/>
                    </w:trPr>
                    <w:tc>
                      <w:tcPr>
                        <w:tcW w:w="4796" w:type="dxa"/>
                      </w:tcPr>
                      <w:p>
                        <w:pPr>
                          <w:pStyle w:val="TableParagraph"/>
                          <w:spacing w:before="19"/>
                          <w:ind w:left="35"/>
                          <w:rPr>
                            <w:sz w:val="18"/>
                          </w:rPr>
                        </w:pPr>
                        <w:r>
                          <w:rPr>
                            <w:sz w:val="18"/>
                          </w:rPr>
                          <w:t>UWS College Pty Limited</w:t>
                        </w:r>
                      </w:p>
                    </w:tc>
                    <w:tc>
                      <w:tcPr>
                        <w:tcW w:w="2177" w:type="dxa"/>
                      </w:tcPr>
                      <w:p>
                        <w:pPr>
                          <w:pStyle w:val="TableParagraph"/>
                          <w:spacing w:before="18"/>
                          <w:ind w:right="344"/>
                          <w:jc w:val="right"/>
                          <w:rPr>
                            <w:sz w:val="18"/>
                          </w:rPr>
                        </w:pPr>
                        <w:r>
                          <w:rPr>
                            <w:w w:val="95"/>
                            <w:sz w:val="18"/>
                          </w:rPr>
                          <w:t>Australia</w:t>
                        </w:r>
                      </w:p>
                    </w:tc>
                    <w:tc>
                      <w:tcPr>
                        <w:tcW w:w="1413" w:type="dxa"/>
                        <w:gridSpan w:val="2"/>
                      </w:tcPr>
                      <w:p>
                        <w:pPr>
                          <w:pStyle w:val="TableParagraph"/>
                          <w:spacing w:before="18"/>
                          <w:ind w:right="65"/>
                          <w:jc w:val="right"/>
                          <w:rPr>
                            <w:sz w:val="18"/>
                          </w:rPr>
                        </w:pPr>
                        <w:r>
                          <w:rPr>
                            <w:w w:val="95"/>
                            <w:sz w:val="18"/>
                          </w:rPr>
                          <w:t>100</w:t>
                        </w:r>
                      </w:p>
                    </w:tc>
                    <w:tc>
                      <w:tcPr>
                        <w:tcW w:w="1074" w:type="dxa"/>
                        <w:gridSpan w:val="2"/>
                      </w:tcPr>
                      <w:p>
                        <w:pPr>
                          <w:pStyle w:val="TableParagraph"/>
                          <w:spacing w:before="18"/>
                          <w:ind w:right="33"/>
                          <w:jc w:val="right"/>
                          <w:rPr>
                            <w:sz w:val="18"/>
                          </w:rPr>
                        </w:pPr>
                        <w:r>
                          <w:rPr>
                            <w:w w:val="95"/>
                            <w:sz w:val="18"/>
                          </w:rPr>
                          <w:t>100</w:t>
                        </w:r>
                      </w:p>
                    </w:tc>
                  </w:tr>
                  <w:tr>
                    <w:trPr>
                      <w:trHeight w:val="264" w:hRule="exact"/>
                    </w:trPr>
                    <w:tc>
                      <w:tcPr>
                        <w:tcW w:w="4796" w:type="dxa"/>
                      </w:tcPr>
                      <w:p>
                        <w:pPr>
                          <w:pStyle w:val="TableParagraph"/>
                          <w:spacing w:before="19"/>
                          <w:ind w:left="35"/>
                          <w:rPr>
                            <w:sz w:val="18"/>
                          </w:rPr>
                        </w:pPr>
                        <w:r>
                          <w:rPr>
                            <w:sz w:val="18"/>
                          </w:rPr>
                          <w:t>UWS Early Learning Limited</w:t>
                        </w:r>
                      </w:p>
                    </w:tc>
                    <w:tc>
                      <w:tcPr>
                        <w:tcW w:w="2177" w:type="dxa"/>
                      </w:tcPr>
                      <w:p>
                        <w:pPr>
                          <w:pStyle w:val="TableParagraph"/>
                          <w:spacing w:before="18"/>
                          <w:ind w:right="344"/>
                          <w:jc w:val="right"/>
                          <w:rPr>
                            <w:sz w:val="18"/>
                          </w:rPr>
                        </w:pPr>
                        <w:r>
                          <w:rPr>
                            <w:w w:val="95"/>
                            <w:sz w:val="18"/>
                          </w:rPr>
                          <w:t>Australia</w:t>
                        </w:r>
                      </w:p>
                    </w:tc>
                    <w:tc>
                      <w:tcPr>
                        <w:tcW w:w="1413" w:type="dxa"/>
                        <w:gridSpan w:val="2"/>
                      </w:tcPr>
                      <w:p>
                        <w:pPr>
                          <w:pStyle w:val="TableParagraph"/>
                          <w:spacing w:before="18"/>
                          <w:ind w:right="64"/>
                          <w:jc w:val="right"/>
                          <w:rPr>
                            <w:sz w:val="18"/>
                          </w:rPr>
                        </w:pPr>
                        <w:r>
                          <w:rPr>
                            <w:w w:val="95"/>
                            <w:sz w:val="18"/>
                          </w:rPr>
                          <w:t>100</w:t>
                        </w:r>
                      </w:p>
                    </w:tc>
                    <w:tc>
                      <w:tcPr>
                        <w:tcW w:w="1074" w:type="dxa"/>
                        <w:gridSpan w:val="2"/>
                      </w:tcPr>
                      <w:p>
                        <w:pPr>
                          <w:pStyle w:val="TableParagraph"/>
                          <w:spacing w:before="18"/>
                          <w:ind w:right="33"/>
                          <w:jc w:val="right"/>
                          <w:rPr>
                            <w:sz w:val="18"/>
                          </w:rPr>
                        </w:pPr>
                        <w:r>
                          <w:rPr>
                            <w:w w:val="95"/>
                            <w:sz w:val="18"/>
                          </w:rPr>
                          <w:t>100</w:t>
                        </w:r>
                      </w:p>
                    </w:tc>
                  </w:tr>
                  <w:tr>
                    <w:trPr>
                      <w:trHeight w:val="264" w:hRule="exact"/>
                    </w:trPr>
                    <w:tc>
                      <w:tcPr>
                        <w:tcW w:w="4796" w:type="dxa"/>
                      </w:tcPr>
                      <w:p>
                        <w:pPr>
                          <w:pStyle w:val="TableParagraph"/>
                          <w:spacing w:before="19"/>
                          <w:ind w:left="35"/>
                          <w:rPr>
                            <w:sz w:val="18"/>
                          </w:rPr>
                        </w:pPr>
                        <w:r>
                          <w:rPr>
                            <w:sz w:val="18"/>
                          </w:rPr>
                          <w:t>uwsconnect Limited</w:t>
                        </w:r>
                      </w:p>
                    </w:tc>
                    <w:tc>
                      <w:tcPr>
                        <w:tcW w:w="2177" w:type="dxa"/>
                      </w:tcPr>
                      <w:p>
                        <w:pPr>
                          <w:pStyle w:val="TableParagraph"/>
                          <w:spacing w:before="18"/>
                          <w:ind w:right="344"/>
                          <w:jc w:val="right"/>
                          <w:rPr>
                            <w:sz w:val="18"/>
                          </w:rPr>
                        </w:pPr>
                        <w:r>
                          <w:rPr>
                            <w:w w:val="95"/>
                            <w:sz w:val="18"/>
                          </w:rPr>
                          <w:t>Australia</w:t>
                        </w:r>
                      </w:p>
                    </w:tc>
                    <w:tc>
                      <w:tcPr>
                        <w:tcW w:w="1413" w:type="dxa"/>
                        <w:gridSpan w:val="2"/>
                      </w:tcPr>
                      <w:p>
                        <w:pPr>
                          <w:pStyle w:val="TableParagraph"/>
                          <w:spacing w:before="18"/>
                          <w:ind w:right="64"/>
                          <w:jc w:val="right"/>
                          <w:rPr>
                            <w:sz w:val="18"/>
                          </w:rPr>
                        </w:pPr>
                        <w:r>
                          <w:rPr>
                            <w:w w:val="95"/>
                            <w:sz w:val="18"/>
                          </w:rPr>
                          <w:t>100</w:t>
                        </w:r>
                      </w:p>
                    </w:tc>
                    <w:tc>
                      <w:tcPr>
                        <w:tcW w:w="1074" w:type="dxa"/>
                        <w:gridSpan w:val="2"/>
                      </w:tcPr>
                      <w:p>
                        <w:pPr>
                          <w:pStyle w:val="TableParagraph"/>
                          <w:spacing w:before="18"/>
                          <w:ind w:right="33"/>
                          <w:jc w:val="right"/>
                          <w:rPr>
                            <w:sz w:val="18"/>
                          </w:rPr>
                        </w:pPr>
                        <w:r>
                          <w:rPr>
                            <w:w w:val="95"/>
                            <w:sz w:val="18"/>
                          </w:rPr>
                          <w:t>100</w:t>
                        </w:r>
                      </w:p>
                    </w:tc>
                  </w:tr>
                </w:tbl>
                <w:p>
                  <w:pPr>
                    <w:pStyle w:val="BodyText"/>
                  </w:pPr>
                </w:p>
              </w:txbxContent>
            </v:textbox>
            <w10:wrap type="none"/>
          </v:shape>
        </w:pict>
      </w:r>
      <w:r>
        <w:rPr/>
        <w:t>Australia</w:t>
        <w:tab/>
        <w:t>100</w:t>
      </w:r>
      <w:r>
        <w:rPr>
          <w:rFonts w:ascii="Times New Roman"/>
        </w:rPr>
        <w:tab/>
      </w:r>
      <w:r>
        <w:rPr/>
        <w:t>100</w:t>
      </w:r>
    </w:p>
    <w:p>
      <w:pPr>
        <w:pStyle w:val="BodyText"/>
        <w:rPr>
          <w:sz w:val="20"/>
        </w:rPr>
      </w:pPr>
    </w:p>
    <w:p>
      <w:pPr>
        <w:pStyle w:val="BodyText"/>
        <w:rPr>
          <w:sz w:val="20"/>
        </w:rPr>
      </w:pPr>
    </w:p>
    <w:p>
      <w:pPr>
        <w:pStyle w:val="BodyText"/>
        <w:rPr>
          <w:sz w:val="20"/>
        </w:rPr>
      </w:pPr>
    </w:p>
    <w:p>
      <w:pPr>
        <w:pStyle w:val="BodyText"/>
        <w:spacing w:before="10"/>
        <w:rPr>
          <w:sz w:val="15"/>
        </w:rPr>
      </w:pPr>
    </w:p>
    <w:p>
      <w:pPr>
        <w:pStyle w:val="BodyText"/>
        <w:spacing w:line="155" w:lineRule="exact" w:before="77"/>
        <w:ind w:left="548" w:right="125"/>
      </w:pPr>
      <w:r>
        <w:rPr/>
        <w:t>Whitlam Institute (within University of Western Sydney)</w:t>
      </w:r>
    </w:p>
    <w:p>
      <w:pPr>
        <w:pStyle w:val="BodyText"/>
        <w:tabs>
          <w:tab w:pos="6440" w:val="left" w:leader="none"/>
          <w:tab w:pos="8532" w:val="left" w:leader="none"/>
          <w:tab w:pos="9938" w:val="right" w:leader="none"/>
        </w:tabs>
        <w:spacing w:line="255" w:lineRule="exact"/>
        <w:ind w:left="548"/>
      </w:pPr>
      <w:r>
        <w:rPr>
          <w:position w:val="-9"/>
        </w:rPr>
        <w:t>Limited</w:t>
      </w:r>
      <w:r>
        <w:rPr>
          <w:spacing w:val="-1"/>
          <w:position w:val="-9"/>
        </w:rPr>
        <w:t> </w:t>
      </w:r>
      <w:r>
        <w:rPr>
          <w:position w:val="-9"/>
        </w:rPr>
        <w:t>and</w:t>
      </w:r>
      <w:r>
        <w:rPr>
          <w:spacing w:val="-1"/>
          <w:position w:val="-9"/>
        </w:rPr>
        <w:t> </w:t>
      </w:r>
      <w:r>
        <w:rPr>
          <w:position w:val="-9"/>
        </w:rPr>
        <w:t>Trust</w:t>
        <w:tab/>
      </w:r>
      <w:r>
        <w:rPr/>
        <w:t>Australia</w:t>
        <w:tab/>
        <w:t>100</w:t>
      </w:r>
      <w:r>
        <w:rPr>
          <w:rFonts w:ascii="Times New Roman"/>
        </w:rPr>
        <w:tab/>
      </w:r>
      <w:r>
        <w:rPr/>
        <w:t>100</w:t>
      </w:r>
    </w:p>
    <w:p>
      <w:pPr>
        <w:pStyle w:val="BodyText"/>
        <w:spacing w:before="318"/>
        <w:ind w:left="560" w:right="125"/>
      </w:pPr>
      <w:r>
        <w:rPr/>
        <w:t>#1 The University disposed of its interest in Cadre Design Pty Limited and Unit Trust on 19 April 2012.</w:t>
      </w:r>
    </w:p>
    <w:p>
      <w:pPr>
        <w:pStyle w:val="BodyText"/>
        <w:spacing w:before="287"/>
        <w:ind w:left="560" w:right="125"/>
      </w:pPr>
      <w:r>
        <w:rPr/>
        <w:t>#2 Television Sydney Foundation Limited &amp; Trust were deregistered on 7 April 2012.</w:t>
      </w:r>
    </w:p>
    <w:p>
      <w:pPr>
        <w:spacing w:after="0"/>
        <w:sectPr>
          <w:pgSz w:w="11910" w:h="16840"/>
          <w:pgMar w:header="1038" w:footer="507" w:top="2220" w:bottom="700" w:left="900" w:right="860"/>
        </w:sectPr>
      </w:pPr>
    </w:p>
    <w:sdt>
      <w:sdtPr>
        <w:docPartObj>
          <w:docPartGallery w:val="Table of Contents"/>
          <w:docPartUnique/>
        </w:docPartObj>
      </w:sdtPr>
      <w:sdtEndPr/>
      <w:sdtContent>
        <w:p>
          <w:pPr>
            <w:pStyle w:val="TOC2"/>
            <w:numPr>
              <w:ilvl w:val="1"/>
              <w:numId w:val="27"/>
            </w:numPr>
            <w:tabs>
              <w:tab w:pos="1072" w:val="left" w:leader="none"/>
            </w:tabs>
            <w:spacing w:line="240" w:lineRule="auto" w:before="287" w:after="0"/>
            <w:ind w:left="1071" w:right="0" w:hanging="566"/>
            <w:jc w:val="left"/>
          </w:pPr>
          <w:r>
            <w:rPr/>
            <w:t>Loans to controlled</w:t>
          </w:r>
          <w:r>
            <w:rPr>
              <w:spacing w:val="-1"/>
            </w:rPr>
            <w:t> </w:t>
          </w:r>
          <w:r>
            <w:rPr/>
            <w:t>entities</w:t>
          </w:r>
        </w:p>
        <w:p>
          <w:pPr>
            <w:pStyle w:val="TOC1"/>
            <w:spacing w:before="557"/>
          </w:pPr>
          <w:hyperlink w:history="true" w:anchor="_TOC_250003">
            <w:r>
              <w:rPr>
                <w:b w:val="0"/>
              </w:rPr>
              <w:br w:type="column"/>
            </w:r>
            <w:r>
              <w:rPr/>
              <w:t>2012</w:t>
            </w:r>
          </w:hyperlink>
        </w:p>
        <w:p>
          <w:pPr>
            <w:pStyle w:val="TOC1"/>
          </w:pPr>
          <w:hyperlink w:history="true" w:anchor="_TOC_250002">
            <w:r>
              <w:rPr/>
              <w:t>$'000</w:t>
            </w:r>
          </w:hyperlink>
        </w:p>
        <w:p>
          <w:pPr>
            <w:pStyle w:val="TOC1"/>
            <w:spacing w:before="557"/>
            <w:ind w:right="0"/>
          </w:pPr>
          <w:hyperlink w:history="true" w:anchor="_TOC_250001">
            <w:r>
              <w:rPr>
                <w:b w:val="0"/>
              </w:rPr>
              <w:br w:type="column"/>
            </w:r>
            <w:r>
              <w:rPr/>
              <w:t>2011</w:t>
            </w:r>
          </w:hyperlink>
        </w:p>
        <w:p>
          <w:pPr>
            <w:pStyle w:val="TOC1"/>
            <w:ind w:right="0"/>
          </w:pPr>
          <w:hyperlink w:history="true" w:anchor="_TOC_250000">
            <w:r>
              <w:rPr/>
              <w:t>$'000</w:t>
            </w:r>
          </w:hyperlink>
        </w:p>
      </w:sdtContent>
    </w:sdt>
    <w:p>
      <w:pPr>
        <w:spacing w:after="0"/>
        <w:sectPr>
          <w:type w:val="continuous"/>
          <w:pgSz w:w="11910" w:h="16840"/>
          <w:pgMar w:top="0" w:bottom="280" w:left="900" w:right="860"/>
          <w:cols w:num="3" w:equalWidth="0">
            <w:col w:w="3213" w:space="3713"/>
            <w:col w:w="949" w:space="348"/>
            <w:col w:w="1927"/>
          </w:cols>
        </w:sectPr>
      </w:pPr>
    </w:p>
    <w:p>
      <w:pPr>
        <w:pStyle w:val="BodyText"/>
        <w:tabs>
          <w:tab w:pos="8192" w:val="left" w:leader="none"/>
          <w:tab w:pos="9489" w:val="left" w:leader="none"/>
        </w:tabs>
        <w:spacing w:before="93"/>
        <w:ind w:left="1071" w:right="125"/>
      </w:pPr>
      <w:r>
        <w:rPr/>
        <w:t>Television Sydney</w:t>
      </w:r>
      <w:r>
        <w:rPr>
          <w:spacing w:val="-1"/>
        </w:rPr>
        <w:t> </w:t>
      </w:r>
      <w:r>
        <w:rPr/>
        <w:t>(TVS)</w:t>
      </w:r>
      <w:r>
        <w:rPr>
          <w:spacing w:val="-1"/>
        </w:rPr>
        <w:t> </w:t>
      </w:r>
      <w:r>
        <w:rPr/>
        <w:t>Limited</w:t>
        <w:tab/>
        <w:t>5,320</w:t>
        <w:tab/>
        <w:t>5,091</w:t>
      </w:r>
    </w:p>
    <w:p>
      <w:pPr>
        <w:pStyle w:val="BodyText"/>
        <w:tabs>
          <w:tab w:pos="8192" w:val="left" w:leader="none"/>
          <w:tab w:pos="9489" w:val="left" w:leader="none"/>
        </w:tabs>
        <w:spacing w:before="57"/>
        <w:ind w:left="1071" w:right="125"/>
      </w:pPr>
      <w:r>
        <w:rPr/>
        <w:t>uwsconnect</w:t>
      </w:r>
      <w:r>
        <w:rPr>
          <w:spacing w:val="-1"/>
        </w:rPr>
        <w:t> </w:t>
      </w:r>
      <w:r>
        <w:rPr/>
        <w:t>Limited</w:t>
        <w:tab/>
        <w:t>1,611</w:t>
        <w:tab/>
        <w:t>1,875</w:t>
      </w:r>
    </w:p>
    <w:p>
      <w:pPr>
        <w:pStyle w:val="BodyText"/>
        <w:tabs>
          <w:tab w:pos="8581" w:val="left" w:leader="none"/>
          <w:tab w:pos="9639" w:val="left" w:leader="none"/>
        </w:tabs>
        <w:spacing w:before="57"/>
        <w:ind w:left="1071" w:right="125"/>
      </w:pPr>
      <w:r>
        <w:rPr/>
        <w:pict>
          <v:group style="position:absolute;margin-left:416.529999pt;margin-top:14.491206pt;width:129.85pt;height:1pt;mso-position-horizontal-relative:page;mso-position-vertical-relative:paragraph;z-index:3664" coordorigin="8331,290" coordsize="2597,20">
            <v:line style="position:absolute" from="8332,291" to="9629,291" stroked="true" strokeweight=".06pt" strokecolor="#000000"/>
            <v:line style="position:absolute" from="8332,292" to="9629,292" stroked="true" strokeweight=".06pt" strokecolor="#000000"/>
            <v:line style="position:absolute" from="8332,293" to="9629,293" stroked="true" strokeweight=".06pt" strokecolor="#000000"/>
            <v:line style="position:absolute" from="8332,294" to="9629,294" stroked="true" strokeweight=".06pt" strokecolor="#000000"/>
            <v:line style="position:absolute" from="8332,296" to="9629,296" stroked="true" strokeweight=".06pt" strokecolor="#000000"/>
            <v:line style="position:absolute" from="8332,297" to="9629,297" stroked="true" strokeweight=".06pt" strokecolor="#000000"/>
            <v:line style="position:absolute" from="8332,298" to="9629,298" stroked="true" strokeweight=".06pt" strokecolor="#000000"/>
            <v:line style="position:absolute" from="8332,299" to="9629,299" stroked="true" strokeweight=".06pt" strokecolor="#000000"/>
            <v:line style="position:absolute" from="8332,300" to="9629,300" stroked="true" strokeweight=".06pt" strokecolor="#000000"/>
            <v:line style="position:absolute" from="8332,302" to="9629,302" stroked="true" strokeweight=".06pt" strokecolor="#000000"/>
            <v:line style="position:absolute" from="8332,303" to="9629,303" stroked="true" strokeweight=".06pt" strokecolor="#000000"/>
            <v:line style="position:absolute" from="8332,304" to="9629,304" stroked="true" strokeweight=".06pt" strokecolor="#000000"/>
            <v:line style="position:absolute" from="8332,305" to="9629,305" stroked="true" strokeweight=".06pt" strokecolor="#000000"/>
            <v:line style="position:absolute" from="8332,306" to="9629,306" stroked="true" strokeweight=".06pt" strokecolor="#000000"/>
            <v:line style="position:absolute" from="8332,308" to="9629,308" stroked="true" strokeweight=".06pt" strokecolor="#000000"/>
            <v:line style="position:absolute" from="8332,309" to="9629,309" stroked="true" strokeweight=".06pt" strokecolor="#000000"/>
            <v:line style="position:absolute" from="9629,291" to="10926,291" stroked="true" strokeweight=".06pt" strokecolor="#000000"/>
            <v:line style="position:absolute" from="9629,292" to="10926,292" stroked="true" strokeweight=".06pt" strokecolor="#000000"/>
            <v:line style="position:absolute" from="9629,293" to="10926,293" stroked="true" strokeweight=".06pt" strokecolor="#000000"/>
            <v:line style="position:absolute" from="9629,294" to="10926,294" stroked="true" strokeweight=".06pt" strokecolor="#000000"/>
            <v:line style="position:absolute" from="9629,296" to="10926,296" stroked="true" strokeweight=".06pt" strokecolor="#000000"/>
            <v:line style="position:absolute" from="9629,297" to="10926,297" stroked="true" strokeweight=".06pt" strokecolor="#000000"/>
            <v:line style="position:absolute" from="9629,298" to="10926,298" stroked="true" strokeweight=".06pt" strokecolor="#000000"/>
            <v:line style="position:absolute" from="9629,299" to="10926,299" stroked="true" strokeweight=".06pt" strokecolor="#000000"/>
            <v:line style="position:absolute" from="9629,300" to="10926,300" stroked="true" strokeweight=".06pt" strokecolor="#000000"/>
            <v:line style="position:absolute" from="9629,302" to="10926,302" stroked="true" strokeweight=".06pt" strokecolor="#000000"/>
            <v:line style="position:absolute" from="9629,303" to="10926,303" stroked="true" strokeweight=".06pt" strokecolor="#000000"/>
            <v:line style="position:absolute" from="9629,304" to="10926,304" stroked="true" strokeweight=".06pt" strokecolor="#000000"/>
            <v:line style="position:absolute" from="9629,305" to="10926,305" stroked="true" strokeweight=".06pt" strokecolor="#000000"/>
            <v:line style="position:absolute" from="9629,306" to="10926,306" stroked="true" strokeweight=".06pt" strokecolor="#000000"/>
            <v:line style="position:absolute" from="9629,308" to="10926,308" stroked="true" strokeweight=".06pt" strokecolor="#000000"/>
            <v:line style="position:absolute" from="9629,309" to="10926,309" stroked="true" strokeweight=".06pt" strokecolor="#000000"/>
            <v:line style="position:absolute" from="8332,291" to="9629,291" stroked="true" strokeweight=".06pt" strokecolor="#000000"/>
            <v:line style="position:absolute" from="8332,292" to="9629,292" stroked="true" strokeweight=".06pt" strokecolor="#000000"/>
            <v:line style="position:absolute" from="8332,293" to="9629,293" stroked="true" strokeweight=".06pt" strokecolor="#000000"/>
            <v:line style="position:absolute" from="8332,294" to="9629,294" stroked="true" strokeweight=".06pt" strokecolor="#000000"/>
            <v:line style="position:absolute" from="8332,296" to="9629,296" stroked="true" strokeweight=".06pt" strokecolor="#000000"/>
            <v:line style="position:absolute" from="8332,297" to="9629,297" stroked="true" strokeweight=".06pt" strokecolor="#000000"/>
            <v:line style="position:absolute" from="8332,298" to="9629,298" stroked="true" strokeweight=".06pt" strokecolor="#000000"/>
            <v:line style="position:absolute" from="8332,299" to="9629,299" stroked="true" strokeweight=".06pt" strokecolor="#000000"/>
            <v:line style="position:absolute" from="8332,300" to="9629,300" stroked="true" strokeweight=".06pt" strokecolor="#000000"/>
            <v:line style="position:absolute" from="8332,302" to="9629,302" stroked="true" strokeweight=".06pt" strokecolor="#000000"/>
            <v:line style="position:absolute" from="8332,303" to="9629,303" stroked="true" strokeweight=".06pt" strokecolor="#000000"/>
            <v:line style="position:absolute" from="8332,304" to="9629,304" stroked="true" strokeweight=".06pt" strokecolor="#000000"/>
            <v:line style="position:absolute" from="8332,305" to="9629,305" stroked="true" strokeweight=".06pt" strokecolor="#000000"/>
            <v:line style="position:absolute" from="8332,306" to="9629,306" stroked="true" strokeweight=".06pt" strokecolor="#000000"/>
            <v:line style="position:absolute" from="8332,308" to="9629,308" stroked="true" strokeweight=".06pt" strokecolor="#000000"/>
            <v:line style="position:absolute" from="8332,309" to="9629,309" stroked="true" strokeweight=".06pt" strokecolor="#000000"/>
            <v:line style="position:absolute" from="9629,291" to="10926,291" stroked="true" strokeweight=".06pt" strokecolor="#000000"/>
            <v:line style="position:absolute" from="9629,292" to="10926,292" stroked="true" strokeweight=".06pt" strokecolor="#000000"/>
            <v:line style="position:absolute" from="9629,293" to="10926,293" stroked="true" strokeweight=".06pt" strokecolor="#000000"/>
            <v:line style="position:absolute" from="9629,294" to="10926,294" stroked="true" strokeweight=".06pt" strokecolor="#000000"/>
            <v:line style="position:absolute" from="9629,296" to="10926,296" stroked="true" strokeweight=".06pt" strokecolor="#000000"/>
            <v:line style="position:absolute" from="9629,297" to="10926,297" stroked="true" strokeweight=".06pt" strokecolor="#000000"/>
            <v:line style="position:absolute" from="9629,298" to="10926,298" stroked="true" strokeweight=".06pt" strokecolor="#000000"/>
            <v:line style="position:absolute" from="9629,299" to="10926,299" stroked="true" strokeweight=".06pt" strokecolor="#000000"/>
            <v:line style="position:absolute" from="9629,300" to="10926,300" stroked="true" strokeweight=".06pt" strokecolor="#000000"/>
            <v:line style="position:absolute" from="9629,302" to="10926,302" stroked="true" strokeweight=".06pt" strokecolor="#000000"/>
            <v:line style="position:absolute" from="9629,303" to="10926,303" stroked="true" strokeweight=".06pt" strokecolor="#000000"/>
            <v:line style="position:absolute" from="9629,304" to="10926,304" stroked="true" strokeweight=".06pt" strokecolor="#000000"/>
            <v:line style="position:absolute" from="9629,305" to="10926,305" stroked="true" strokeweight=".06pt" strokecolor="#000000"/>
            <v:line style="position:absolute" from="9629,306" to="10926,306" stroked="true" strokeweight=".06pt" strokecolor="#000000"/>
            <v:line style="position:absolute" from="9629,308" to="10926,308" stroked="true" strokeweight=".06pt" strokecolor="#000000"/>
            <v:line style="position:absolute" from="9629,309" to="10926,309" stroked="true" strokeweight=".06pt" strokecolor="#000000"/>
            <w10:wrap type="none"/>
          </v:group>
        </w:pict>
      </w:r>
      <w:r>
        <w:rPr/>
        <w:t>Cadre Design</w:t>
      </w:r>
      <w:r>
        <w:rPr>
          <w:spacing w:val="-1"/>
        </w:rPr>
        <w:t> </w:t>
      </w:r>
      <w:r>
        <w:rPr/>
        <w:t>Pty</w:t>
      </w:r>
      <w:r>
        <w:rPr>
          <w:spacing w:val="-1"/>
        </w:rPr>
        <w:t> </w:t>
      </w:r>
      <w:r>
        <w:rPr/>
        <w:t>Limited</w:t>
        <w:tab/>
        <w:t>-</w:t>
      </w:r>
      <w:r>
        <w:rPr>
          <w:rFonts w:ascii="Times New Roman"/>
        </w:rPr>
        <w:tab/>
      </w:r>
      <w:r>
        <w:rPr/>
        <w:t>264</w:t>
      </w:r>
    </w:p>
    <w:p>
      <w:pPr>
        <w:tabs>
          <w:tab w:pos="8192" w:val="left" w:leader="none"/>
          <w:tab w:pos="9489" w:val="left" w:leader="none"/>
        </w:tabs>
        <w:spacing w:before="159"/>
        <w:ind w:left="1071" w:right="125" w:firstLine="0"/>
        <w:jc w:val="left"/>
        <w:rPr>
          <w:sz w:val="18"/>
        </w:rPr>
      </w:pPr>
      <w:r>
        <w:rPr/>
        <w:pict>
          <v:group style="position:absolute;margin-left:416.529999pt;margin-top:18.202307pt;width:129.85pt;height:1pt;mso-position-horizontal-relative:page;mso-position-vertical-relative:paragraph;z-index:-1310536" coordorigin="8331,364" coordsize="2597,20">
            <v:line style="position:absolute" from="8332,365" to="9629,365" stroked="true" strokeweight=".06pt" strokecolor="#000000"/>
            <v:line style="position:absolute" from="8332,366" to="9629,366" stroked="true" strokeweight=".06pt" strokecolor="#000000"/>
            <v:line style="position:absolute" from="8332,367" to="9629,367" stroked="true" strokeweight=".06pt" strokecolor="#000000"/>
            <v:line style="position:absolute" from="8332,369" to="9629,369" stroked="true" strokeweight=".06pt" strokecolor="#000000"/>
            <v:line style="position:absolute" from="8332,370" to="9629,370" stroked="true" strokeweight=".06pt" strokecolor="#000000"/>
            <v:line style="position:absolute" from="8332,371" to="9629,371" stroked="true" strokeweight=".06pt" strokecolor="#000000"/>
            <v:line style="position:absolute" from="8332,372" to="9629,372" stroked="true" strokeweight=".06pt" strokecolor="#000000"/>
            <v:line style="position:absolute" from="8332,373" to="9629,373" stroked="true" strokeweight=".06pt" strokecolor="#000000"/>
            <v:line style="position:absolute" from="8332,375" to="9629,375" stroked="true" strokeweight=".06pt" strokecolor="#000000"/>
            <v:line style="position:absolute" from="8332,376" to="9629,376" stroked="true" strokeweight=".06pt" strokecolor="#000000"/>
            <v:line style="position:absolute" from="8332,377" to="9629,377" stroked="true" strokeweight=".06pt" strokecolor="#000000"/>
            <v:line style="position:absolute" from="8332,378" to="9629,378" stroked="true" strokeweight=".06pt" strokecolor="#000000"/>
            <v:line style="position:absolute" from="8332,379" to="9629,379" stroked="true" strokeweight=".06pt" strokecolor="#000000"/>
            <v:line style="position:absolute" from="8332,381" to="9629,381" stroked="true" strokeweight=".06pt" strokecolor="#000000"/>
            <v:line style="position:absolute" from="8332,382" to="9629,382" stroked="true" strokeweight=".06pt" strokecolor="#000000"/>
            <v:line style="position:absolute" from="8332,383" to="9629,383" stroked="true" strokeweight=".06pt" strokecolor="#000000"/>
            <v:line style="position:absolute" from="9629,365" to="10926,365" stroked="true" strokeweight=".06pt" strokecolor="#000000"/>
            <v:line style="position:absolute" from="9629,366" to="10926,366" stroked="true" strokeweight=".06pt" strokecolor="#000000"/>
            <v:line style="position:absolute" from="9629,367" to="10926,367" stroked="true" strokeweight=".06pt" strokecolor="#000000"/>
            <v:line style="position:absolute" from="9629,369" to="10926,369" stroked="true" strokeweight=".06pt" strokecolor="#000000"/>
            <v:line style="position:absolute" from="9629,370" to="10926,370" stroked="true" strokeweight=".06pt" strokecolor="#000000"/>
            <v:line style="position:absolute" from="9629,371" to="10926,371" stroked="true" strokeweight=".06pt" strokecolor="#000000"/>
            <v:line style="position:absolute" from="9629,372" to="10926,372" stroked="true" strokeweight=".06pt" strokecolor="#000000"/>
            <v:line style="position:absolute" from="9629,373" to="10926,373" stroked="true" strokeweight=".06pt" strokecolor="#000000"/>
            <v:line style="position:absolute" from="9629,375" to="10926,375" stroked="true" strokeweight=".06pt" strokecolor="#000000"/>
            <v:line style="position:absolute" from="9629,376" to="10926,376" stroked="true" strokeweight=".06pt" strokecolor="#000000"/>
            <v:line style="position:absolute" from="9629,377" to="10926,377" stroked="true" strokeweight=".06pt" strokecolor="#000000"/>
            <v:line style="position:absolute" from="9629,378" to="10926,378" stroked="true" strokeweight=".06pt" strokecolor="#000000"/>
            <v:line style="position:absolute" from="9629,379" to="10926,379" stroked="true" strokeweight=".06pt" strokecolor="#000000"/>
            <v:line style="position:absolute" from="9629,381" to="10926,381" stroked="true" strokeweight=".06pt" strokecolor="#000000"/>
            <v:line style="position:absolute" from="9629,382" to="10926,382" stroked="true" strokeweight=".06pt" strokecolor="#000000"/>
            <v:line style="position:absolute" from="9629,383" to="10926,383" stroked="true" strokeweight=".06pt" strokecolor="#000000"/>
            <w10:wrap type="none"/>
          </v:group>
        </w:pict>
      </w:r>
      <w:r>
        <w:rPr>
          <w:b/>
          <w:sz w:val="18"/>
        </w:rPr>
        <w:t>Total</w:t>
        <w:tab/>
        <w:t>6,931</w:t>
        <w:tab/>
      </w:r>
      <w:r>
        <w:rPr>
          <w:sz w:val="18"/>
        </w:rPr>
        <w:t>7,230</w:t>
      </w:r>
    </w:p>
    <w:p>
      <w:pPr>
        <w:pStyle w:val="BodyText"/>
        <w:spacing w:before="306"/>
        <w:ind w:left="1070" w:right="454"/>
      </w:pPr>
      <w:r>
        <w:rPr/>
        <w:t>A provision for doubtful debt ($5.320M) (2011:$5.091M) has been raised in relation to the Television Sydney (TVS) loan.</w:t>
      </w:r>
    </w:p>
    <w:p>
      <w:pPr>
        <w:spacing w:after="0"/>
        <w:sectPr>
          <w:type w:val="continuous"/>
          <w:pgSz w:w="11910" w:h="16840"/>
          <w:pgMar w:top="0" w:bottom="280" w:left="900" w:right="860"/>
        </w:sectPr>
      </w:pPr>
    </w:p>
    <w:p>
      <w:pPr>
        <w:pStyle w:val="BodyText"/>
        <w:rPr>
          <w:sz w:val="20"/>
        </w:rPr>
      </w:pPr>
    </w:p>
    <w:p>
      <w:pPr>
        <w:pStyle w:val="BodyText"/>
        <w:rPr>
          <w:sz w:val="20"/>
        </w:rPr>
      </w:pPr>
    </w:p>
    <w:p>
      <w:pPr>
        <w:pStyle w:val="BodyText"/>
        <w:spacing w:before="4"/>
      </w:pPr>
    </w:p>
    <w:p>
      <w:pPr>
        <w:pStyle w:val="Heading9"/>
        <w:numPr>
          <w:ilvl w:val="0"/>
          <w:numId w:val="27"/>
        </w:numPr>
        <w:tabs>
          <w:tab w:pos="506" w:val="left" w:leader="none"/>
        </w:tabs>
        <w:spacing w:line="240" w:lineRule="auto" w:before="0" w:after="0"/>
        <w:ind w:left="505" w:right="0" w:hanging="396"/>
        <w:jc w:val="left"/>
      </w:pPr>
      <w:r>
        <w:rPr/>
        <w:t>Reconciliation of Operating Results to Net Cash Flows From Operating</w:t>
      </w:r>
      <w:r>
        <w:rPr>
          <w:spacing w:val="-2"/>
        </w:rPr>
        <w:t> </w:t>
      </w:r>
      <w:r>
        <w:rPr/>
        <w:t>Activities</w:t>
      </w:r>
    </w:p>
    <w:p>
      <w:pPr>
        <w:tabs>
          <w:tab w:pos="7303" w:val="left" w:leader="none"/>
        </w:tabs>
        <w:spacing w:before="33"/>
        <w:ind w:left="4539" w:right="128" w:firstLine="0"/>
        <w:jc w:val="left"/>
        <w:rPr>
          <w:b/>
          <w:sz w:val="18"/>
        </w:rPr>
      </w:pPr>
      <w:r>
        <w:rPr>
          <w:b/>
          <w:sz w:val="18"/>
        </w:rPr>
        <w:t>Consolidated</w:t>
        <w:tab/>
        <w:t>Parent</w:t>
      </w:r>
    </w:p>
    <w:p>
      <w:pPr>
        <w:spacing w:after="0"/>
        <w:jc w:val="left"/>
        <w:rPr>
          <w:sz w:val="18"/>
        </w:rPr>
        <w:sectPr>
          <w:pgSz w:w="11910" w:h="16840"/>
          <w:pgMar w:header="1038" w:footer="507" w:top="2220" w:bottom="700" w:left="900" w:right="880"/>
        </w:sectPr>
      </w:pPr>
    </w:p>
    <w:p>
      <w:pPr>
        <w:spacing w:before="66"/>
        <w:ind w:left="0" w:right="40" w:firstLine="0"/>
        <w:jc w:val="right"/>
        <w:rPr>
          <w:b/>
          <w:sz w:val="18"/>
        </w:rPr>
      </w:pPr>
      <w:r>
        <w:rPr>
          <w:b/>
          <w:w w:val="95"/>
          <w:sz w:val="18"/>
        </w:rPr>
        <w:t>2012</w:t>
      </w:r>
    </w:p>
    <w:p>
      <w:pPr>
        <w:spacing w:before="66"/>
        <w:ind w:left="0" w:right="0" w:firstLine="0"/>
        <w:jc w:val="right"/>
        <w:rPr>
          <w:b/>
          <w:sz w:val="18"/>
        </w:rPr>
      </w:pPr>
      <w:r>
        <w:rPr>
          <w:b/>
          <w:sz w:val="18"/>
        </w:rPr>
        <w:t>$'000</w:t>
      </w:r>
    </w:p>
    <w:p>
      <w:pPr>
        <w:spacing w:before="66"/>
        <w:ind w:left="786" w:right="-20" w:firstLine="0"/>
        <w:jc w:val="left"/>
        <w:rPr>
          <w:b/>
          <w:sz w:val="18"/>
        </w:rPr>
      </w:pPr>
      <w:r>
        <w:rPr/>
        <w:br w:type="column"/>
      </w:r>
      <w:r>
        <w:rPr>
          <w:b/>
          <w:sz w:val="18"/>
        </w:rPr>
        <w:t>2011</w:t>
      </w:r>
    </w:p>
    <w:p>
      <w:pPr>
        <w:spacing w:before="66"/>
        <w:ind w:left="786" w:right="-20" w:firstLine="0"/>
        <w:jc w:val="left"/>
        <w:rPr>
          <w:b/>
          <w:sz w:val="18"/>
        </w:rPr>
      </w:pPr>
      <w:r>
        <w:rPr>
          <w:b/>
          <w:sz w:val="18"/>
        </w:rPr>
        <w:t>$'000</w:t>
      </w:r>
    </w:p>
    <w:p>
      <w:pPr>
        <w:spacing w:before="66"/>
        <w:ind w:left="0" w:right="40" w:firstLine="0"/>
        <w:jc w:val="right"/>
        <w:rPr>
          <w:b/>
          <w:sz w:val="18"/>
        </w:rPr>
      </w:pPr>
      <w:r>
        <w:rPr/>
        <w:br w:type="column"/>
      </w:r>
      <w:r>
        <w:rPr>
          <w:b/>
          <w:sz w:val="18"/>
        </w:rPr>
        <w:t>2012</w:t>
      </w:r>
    </w:p>
    <w:p>
      <w:pPr>
        <w:spacing w:before="66"/>
        <w:ind w:left="0" w:right="0" w:firstLine="0"/>
        <w:jc w:val="right"/>
        <w:rPr>
          <w:b/>
          <w:sz w:val="18"/>
        </w:rPr>
      </w:pPr>
      <w:r>
        <w:rPr>
          <w:b/>
          <w:w w:val="95"/>
          <w:sz w:val="18"/>
        </w:rPr>
        <w:t>$'000</w:t>
      </w:r>
    </w:p>
    <w:p>
      <w:pPr>
        <w:spacing w:before="66"/>
        <w:ind w:left="726" w:right="892" w:firstLine="0"/>
        <w:jc w:val="center"/>
        <w:rPr>
          <w:b/>
          <w:sz w:val="18"/>
        </w:rPr>
      </w:pPr>
      <w:r>
        <w:rPr/>
        <w:br w:type="column"/>
      </w:r>
      <w:r>
        <w:rPr>
          <w:b/>
          <w:sz w:val="18"/>
        </w:rPr>
        <w:t>2011</w:t>
      </w:r>
    </w:p>
    <w:p>
      <w:pPr>
        <w:spacing w:before="66"/>
        <w:ind w:left="763" w:right="886" w:firstLine="0"/>
        <w:jc w:val="center"/>
        <w:rPr>
          <w:b/>
          <w:sz w:val="18"/>
        </w:rPr>
      </w:pPr>
      <w:r>
        <w:rPr>
          <w:b/>
          <w:sz w:val="18"/>
        </w:rPr>
        <w:t>$'000</w:t>
      </w:r>
    </w:p>
    <w:p>
      <w:pPr>
        <w:spacing w:after="0"/>
        <w:jc w:val="center"/>
        <w:rPr>
          <w:sz w:val="18"/>
        </w:rPr>
        <w:sectPr>
          <w:type w:val="continuous"/>
          <w:pgSz w:w="11910" w:h="16840"/>
          <w:pgMar w:top="0" w:bottom="280" w:left="900" w:right="880"/>
          <w:cols w:num="4" w:equalWidth="0">
            <w:col w:w="5180" w:space="40"/>
            <w:col w:w="1230" w:space="40"/>
            <w:col w:w="1454" w:space="40"/>
            <w:col w:w="2146"/>
          </w:cols>
        </w:sectPr>
      </w:pPr>
    </w:p>
    <w:p>
      <w:pPr>
        <w:tabs>
          <w:tab w:pos="5325" w:val="left" w:leader="none"/>
          <w:tab w:pos="6622" w:val="left" w:leader="none"/>
          <w:tab w:pos="8089" w:val="left" w:leader="none"/>
          <w:tab w:pos="9386" w:val="left" w:leader="none"/>
        </w:tabs>
        <w:spacing w:before="62" w:after="36"/>
        <w:ind w:left="549" w:right="128" w:firstLine="0"/>
        <w:jc w:val="left"/>
        <w:rPr>
          <w:sz w:val="18"/>
        </w:rPr>
      </w:pPr>
      <w:r>
        <w:rPr>
          <w:sz w:val="18"/>
        </w:rPr>
        <w:t>Operating result for</w:t>
      </w:r>
      <w:r>
        <w:rPr>
          <w:spacing w:val="-1"/>
          <w:sz w:val="18"/>
        </w:rPr>
        <w:t> </w:t>
      </w:r>
      <w:r>
        <w:rPr>
          <w:sz w:val="18"/>
        </w:rPr>
        <w:t>the</w:t>
      </w:r>
      <w:r>
        <w:rPr>
          <w:spacing w:val="-1"/>
          <w:sz w:val="18"/>
        </w:rPr>
        <w:t> </w:t>
      </w:r>
      <w:r>
        <w:rPr>
          <w:sz w:val="18"/>
        </w:rPr>
        <w:t>year</w:t>
        <w:tab/>
      </w:r>
      <w:r>
        <w:rPr>
          <w:b/>
          <w:sz w:val="18"/>
        </w:rPr>
        <w:t>60,972</w:t>
        <w:tab/>
      </w:r>
      <w:r>
        <w:rPr>
          <w:sz w:val="18"/>
        </w:rPr>
        <w:t>12,523</w:t>
        <w:tab/>
      </w:r>
      <w:r>
        <w:rPr>
          <w:b/>
          <w:sz w:val="18"/>
        </w:rPr>
        <w:t>55,180</w:t>
        <w:tab/>
      </w:r>
      <w:r>
        <w:rPr>
          <w:sz w:val="18"/>
        </w:rPr>
        <w:t>14,931</w:t>
      </w:r>
    </w:p>
    <w:tbl>
      <w:tblPr>
        <w:tblW w:w="0" w:type="auto"/>
        <w:jc w:val="left"/>
        <w:tblInd w:w="72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66"/>
        <w:gridCol w:w="1754"/>
        <w:gridCol w:w="1382"/>
        <w:gridCol w:w="1382"/>
        <w:gridCol w:w="1009"/>
      </w:tblGrid>
      <w:tr>
        <w:trPr>
          <w:trHeight w:val="470" w:hRule="exact"/>
        </w:trPr>
        <w:tc>
          <w:tcPr>
            <w:tcW w:w="3766" w:type="dxa"/>
          </w:tcPr>
          <w:p>
            <w:pPr>
              <w:pStyle w:val="TableParagraph"/>
              <w:spacing w:before="20"/>
              <w:ind w:left="35" w:right="1319"/>
              <w:rPr>
                <w:sz w:val="18"/>
              </w:rPr>
            </w:pPr>
            <w:r>
              <w:rPr>
                <w:sz w:val="18"/>
              </w:rPr>
              <w:t>Net (gain)/loss on disposal of property, plant and equipment</w:t>
            </w:r>
          </w:p>
        </w:tc>
        <w:tc>
          <w:tcPr>
            <w:tcW w:w="1754" w:type="dxa"/>
          </w:tcPr>
          <w:p>
            <w:pPr>
              <w:pStyle w:val="TableParagraph"/>
              <w:spacing w:before="6"/>
              <w:rPr>
                <w:sz w:val="19"/>
              </w:rPr>
            </w:pPr>
          </w:p>
          <w:p>
            <w:pPr>
              <w:pStyle w:val="TableParagraph"/>
              <w:ind w:right="372"/>
              <w:jc w:val="right"/>
              <w:rPr>
                <w:b/>
                <w:sz w:val="18"/>
              </w:rPr>
            </w:pPr>
            <w:r>
              <w:rPr>
                <w:b/>
                <w:w w:val="95"/>
                <w:sz w:val="18"/>
              </w:rPr>
              <w:t>3,130</w:t>
            </w:r>
          </w:p>
        </w:tc>
        <w:tc>
          <w:tcPr>
            <w:tcW w:w="1382" w:type="dxa"/>
          </w:tcPr>
          <w:p>
            <w:pPr>
              <w:pStyle w:val="TableParagraph"/>
              <w:spacing w:before="6"/>
              <w:rPr>
                <w:sz w:val="19"/>
              </w:rPr>
            </w:pPr>
          </w:p>
          <w:p>
            <w:pPr>
              <w:pStyle w:val="TableParagraph"/>
              <w:ind w:left="472"/>
              <w:rPr>
                <w:sz w:val="18"/>
              </w:rPr>
            </w:pPr>
            <w:r>
              <w:rPr>
                <w:sz w:val="18"/>
              </w:rPr>
              <w:t>2,073</w:t>
            </w:r>
          </w:p>
        </w:tc>
        <w:tc>
          <w:tcPr>
            <w:tcW w:w="1382" w:type="dxa"/>
          </w:tcPr>
          <w:p>
            <w:pPr>
              <w:pStyle w:val="TableParagraph"/>
              <w:spacing w:before="6"/>
              <w:rPr>
                <w:sz w:val="19"/>
              </w:rPr>
            </w:pPr>
          </w:p>
          <w:p>
            <w:pPr>
              <w:pStyle w:val="TableParagraph"/>
              <w:ind w:right="372"/>
              <w:jc w:val="right"/>
              <w:rPr>
                <w:b/>
                <w:sz w:val="18"/>
              </w:rPr>
            </w:pPr>
            <w:r>
              <w:rPr>
                <w:b/>
                <w:w w:val="95"/>
                <w:sz w:val="18"/>
              </w:rPr>
              <w:t>3,126</w:t>
            </w:r>
          </w:p>
        </w:tc>
        <w:tc>
          <w:tcPr>
            <w:tcW w:w="1009" w:type="dxa"/>
          </w:tcPr>
          <w:p>
            <w:pPr>
              <w:pStyle w:val="TableParagraph"/>
              <w:spacing w:before="6"/>
              <w:rPr>
                <w:sz w:val="19"/>
              </w:rPr>
            </w:pPr>
          </w:p>
          <w:p>
            <w:pPr>
              <w:pStyle w:val="TableParagraph"/>
              <w:ind w:right="83"/>
              <w:jc w:val="right"/>
              <w:rPr>
                <w:sz w:val="18"/>
              </w:rPr>
            </w:pPr>
            <w:r>
              <w:rPr>
                <w:w w:val="95"/>
                <w:sz w:val="18"/>
              </w:rPr>
              <w:t>2,052</w:t>
            </w:r>
          </w:p>
        </w:tc>
      </w:tr>
      <w:tr>
        <w:trPr>
          <w:trHeight w:val="263" w:hRule="exact"/>
        </w:trPr>
        <w:tc>
          <w:tcPr>
            <w:tcW w:w="3766" w:type="dxa"/>
          </w:tcPr>
          <w:p>
            <w:pPr>
              <w:pStyle w:val="TableParagraph"/>
              <w:spacing w:before="17"/>
              <w:ind w:left="35" w:right="1319"/>
              <w:rPr>
                <w:sz w:val="18"/>
              </w:rPr>
            </w:pPr>
            <w:r>
              <w:rPr>
                <w:sz w:val="18"/>
              </w:rPr>
              <w:t>Superannuation adjustments</w:t>
            </w:r>
          </w:p>
        </w:tc>
        <w:tc>
          <w:tcPr>
            <w:tcW w:w="1754" w:type="dxa"/>
          </w:tcPr>
          <w:p>
            <w:pPr>
              <w:pStyle w:val="TableParagraph"/>
              <w:spacing w:before="19"/>
              <w:ind w:right="311"/>
              <w:jc w:val="right"/>
              <w:rPr>
                <w:b/>
                <w:sz w:val="18"/>
              </w:rPr>
            </w:pPr>
            <w:r>
              <w:rPr>
                <w:b/>
                <w:w w:val="95"/>
                <w:sz w:val="18"/>
              </w:rPr>
              <w:t>(24,909)</w:t>
            </w:r>
          </w:p>
        </w:tc>
        <w:tc>
          <w:tcPr>
            <w:tcW w:w="1382" w:type="dxa"/>
          </w:tcPr>
          <w:p>
            <w:pPr>
              <w:pStyle w:val="TableParagraph"/>
              <w:spacing w:before="19"/>
              <w:ind w:right="396"/>
              <w:jc w:val="right"/>
              <w:rPr>
                <w:sz w:val="18"/>
              </w:rPr>
            </w:pPr>
            <w:r>
              <w:rPr>
                <w:w w:val="95"/>
                <w:sz w:val="18"/>
              </w:rPr>
              <w:t>(89,123)</w:t>
            </w:r>
          </w:p>
        </w:tc>
        <w:tc>
          <w:tcPr>
            <w:tcW w:w="1382" w:type="dxa"/>
          </w:tcPr>
          <w:p>
            <w:pPr>
              <w:pStyle w:val="TableParagraph"/>
              <w:spacing w:before="19"/>
              <w:ind w:right="311"/>
              <w:jc w:val="right"/>
              <w:rPr>
                <w:b/>
                <w:sz w:val="18"/>
              </w:rPr>
            </w:pPr>
            <w:r>
              <w:rPr>
                <w:b/>
                <w:w w:val="95"/>
                <w:sz w:val="18"/>
              </w:rPr>
              <w:t>(24,909)</w:t>
            </w:r>
          </w:p>
        </w:tc>
        <w:tc>
          <w:tcPr>
            <w:tcW w:w="1009" w:type="dxa"/>
          </w:tcPr>
          <w:p>
            <w:pPr>
              <w:pStyle w:val="TableParagraph"/>
              <w:spacing w:before="19"/>
              <w:ind w:right="23"/>
              <w:jc w:val="right"/>
              <w:rPr>
                <w:sz w:val="18"/>
              </w:rPr>
            </w:pPr>
            <w:r>
              <w:rPr>
                <w:w w:val="95"/>
                <w:sz w:val="18"/>
              </w:rPr>
              <w:t>(89,123)</w:t>
            </w:r>
          </w:p>
        </w:tc>
      </w:tr>
      <w:tr>
        <w:trPr>
          <w:trHeight w:val="264" w:hRule="exact"/>
        </w:trPr>
        <w:tc>
          <w:tcPr>
            <w:tcW w:w="3766" w:type="dxa"/>
          </w:tcPr>
          <w:p>
            <w:pPr>
              <w:pStyle w:val="TableParagraph"/>
              <w:spacing w:before="18"/>
              <w:ind w:left="35"/>
              <w:rPr>
                <w:sz w:val="18"/>
              </w:rPr>
            </w:pPr>
            <w:r>
              <w:rPr>
                <w:sz w:val="18"/>
              </w:rPr>
              <w:t>Depreciation and amortisation</w:t>
            </w:r>
          </w:p>
        </w:tc>
        <w:tc>
          <w:tcPr>
            <w:tcW w:w="1754" w:type="dxa"/>
          </w:tcPr>
          <w:p>
            <w:pPr>
              <w:pStyle w:val="TableParagraph"/>
              <w:spacing w:before="19"/>
              <w:ind w:right="371"/>
              <w:jc w:val="right"/>
              <w:rPr>
                <w:b/>
                <w:sz w:val="18"/>
              </w:rPr>
            </w:pPr>
            <w:r>
              <w:rPr>
                <w:b/>
                <w:w w:val="95"/>
                <w:sz w:val="18"/>
              </w:rPr>
              <w:t>35,288</w:t>
            </w:r>
          </w:p>
        </w:tc>
        <w:tc>
          <w:tcPr>
            <w:tcW w:w="1382" w:type="dxa"/>
          </w:tcPr>
          <w:p>
            <w:pPr>
              <w:pStyle w:val="TableParagraph"/>
              <w:spacing w:before="19"/>
              <w:ind w:left="373"/>
              <w:rPr>
                <w:sz w:val="18"/>
              </w:rPr>
            </w:pPr>
            <w:r>
              <w:rPr>
                <w:sz w:val="18"/>
              </w:rPr>
              <w:t>31,942</w:t>
            </w:r>
          </w:p>
        </w:tc>
        <w:tc>
          <w:tcPr>
            <w:tcW w:w="1382" w:type="dxa"/>
          </w:tcPr>
          <w:p>
            <w:pPr>
              <w:pStyle w:val="TableParagraph"/>
              <w:spacing w:before="19"/>
              <w:ind w:right="371"/>
              <w:jc w:val="right"/>
              <w:rPr>
                <w:b/>
                <w:sz w:val="18"/>
              </w:rPr>
            </w:pPr>
            <w:r>
              <w:rPr>
                <w:b/>
                <w:w w:val="95"/>
                <w:sz w:val="18"/>
              </w:rPr>
              <w:t>34,242</w:t>
            </w:r>
          </w:p>
        </w:tc>
        <w:tc>
          <w:tcPr>
            <w:tcW w:w="1009" w:type="dxa"/>
          </w:tcPr>
          <w:p>
            <w:pPr>
              <w:pStyle w:val="TableParagraph"/>
              <w:spacing w:before="19"/>
              <w:ind w:left="373"/>
              <w:rPr>
                <w:sz w:val="18"/>
              </w:rPr>
            </w:pPr>
            <w:r>
              <w:rPr>
                <w:sz w:val="18"/>
              </w:rPr>
              <w:t>31,195</w:t>
            </w:r>
          </w:p>
        </w:tc>
      </w:tr>
      <w:tr>
        <w:trPr>
          <w:trHeight w:val="264" w:hRule="exact"/>
        </w:trPr>
        <w:tc>
          <w:tcPr>
            <w:tcW w:w="3766" w:type="dxa"/>
          </w:tcPr>
          <w:p>
            <w:pPr>
              <w:pStyle w:val="TableParagraph"/>
              <w:spacing w:before="18"/>
              <w:ind w:left="35" w:right="1319"/>
              <w:rPr>
                <w:sz w:val="18"/>
              </w:rPr>
            </w:pPr>
            <w:r>
              <w:rPr>
                <w:sz w:val="18"/>
              </w:rPr>
              <w:t>Impairment of receivables</w:t>
            </w:r>
          </w:p>
        </w:tc>
        <w:tc>
          <w:tcPr>
            <w:tcW w:w="1754" w:type="dxa"/>
          </w:tcPr>
          <w:p>
            <w:pPr>
              <w:pStyle w:val="TableParagraph"/>
              <w:spacing w:before="19"/>
              <w:ind w:right="311"/>
              <w:jc w:val="right"/>
              <w:rPr>
                <w:b/>
                <w:sz w:val="18"/>
              </w:rPr>
            </w:pPr>
            <w:r>
              <w:rPr>
                <w:b/>
                <w:w w:val="95"/>
                <w:sz w:val="18"/>
              </w:rPr>
              <w:t>(417)</w:t>
            </w:r>
          </w:p>
        </w:tc>
        <w:tc>
          <w:tcPr>
            <w:tcW w:w="1382" w:type="dxa"/>
          </w:tcPr>
          <w:p>
            <w:pPr>
              <w:pStyle w:val="TableParagraph"/>
              <w:spacing w:before="19"/>
              <w:ind w:left="623"/>
              <w:rPr>
                <w:sz w:val="18"/>
              </w:rPr>
            </w:pPr>
            <w:r>
              <w:rPr>
                <w:sz w:val="18"/>
              </w:rPr>
              <w:t>679</w:t>
            </w:r>
          </w:p>
        </w:tc>
        <w:tc>
          <w:tcPr>
            <w:tcW w:w="1382" w:type="dxa"/>
          </w:tcPr>
          <w:p>
            <w:pPr>
              <w:pStyle w:val="TableParagraph"/>
              <w:spacing w:before="19"/>
              <w:ind w:right="312"/>
              <w:jc w:val="right"/>
              <w:rPr>
                <w:b/>
                <w:sz w:val="18"/>
              </w:rPr>
            </w:pPr>
            <w:r>
              <w:rPr>
                <w:b/>
                <w:sz w:val="18"/>
              </w:rPr>
              <w:t>(170)</w:t>
            </w:r>
          </w:p>
        </w:tc>
        <w:tc>
          <w:tcPr>
            <w:tcW w:w="1009" w:type="dxa"/>
          </w:tcPr>
          <w:p>
            <w:pPr>
              <w:pStyle w:val="TableParagraph"/>
              <w:spacing w:before="19"/>
              <w:ind w:right="83"/>
              <w:jc w:val="right"/>
              <w:rPr>
                <w:sz w:val="18"/>
              </w:rPr>
            </w:pPr>
            <w:r>
              <w:rPr>
                <w:w w:val="95"/>
                <w:sz w:val="18"/>
              </w:rPr>
              <w:t>1,188</w:t>
            </w:r>
          </w:p>
        </w:tc>
      </w:tr>
      <w:tr>
        <w:trPr>
          <w:trHeight w:val="264" w:hRule="exact"/>
        </w:trPr>
        <w:tc>
          <w:tcPr>
            <w:tcW w:w="3766" w:type="dxa"/>
          </w:tcPr>
          <w:p>
            <w:pPr>
              <w:pStyle w:val="TableParagraph"/>
              <w:spacing w:before="18"/>
              <w:ind w:left="35" w:right="1319"/>
              <w:rPr>
                <w:sz w:val="18"/>
              </w:rPr>
            </w:pPr>
            <w:r>
              <w:rPr>
                <w:sz w:val="18"/>
              </w:rPr>
              <w:t>Cost of goods sold - livestock</w:t>
            </w:r>
          </w:p>
        </w:tc>
        <w:tc>
          <w:tcPr>
            <w:tcW w:w="1754" w:type="dxa"/>
          </w:tcPr>
          <w:p>
            <w:pPr>
              <w:pStyle w:val="TableParagraph"/>
              <w:spacing w:before="19"/>
              <w:ind w:right="312"/>
              <w:jc w:val="right"/>
              <w:rPr>
                <w:b/>
                <w:sz w:val="18"/>
              </w:rPr>
            </w:pPr>
            <w:r>
              <w:rPr>
                <w:b/>
                <w:w w:val="95"/>
                <w:sz w:val="18"/>
              </w:rPr>
              <w:t>(64)</w:t>
            </w:r>
          </w:p>
        </w:tc>
        <w:tc>
          <w:tcPr>
            <w:tcW w:w="1382" w:type="dxa"/>
          </w:tcPr>
          <w:p>
            <w:pPr>
              <w:pStyle w:val="TableParagraph"/>
              <w:spacing w:before="19"/>
              <w:ind w:right="396"/>
              <w:jc w:val="right"/>
              <w:rPr>
                <w:sz w:val="18"/>
              </w:rPr>
            </w:pPr>
            <w:r>
              <w:rPr>
                <w:w w:val="95"/>
                <w:sz w:val="18"/>
              </w:rPr>
              <w:t>(22)</w:t>
            </w:r>
          </w:p>
        </w:tc>
        <w:tc>
          <w:tcPr>
            <w:tcW w:w="1382" w:type="dxa"/>
          </w:tcPr>
          <w:p>
            <w:pPr>
              <w:pStyle w:val="TableParagraph"/>
              <w:spacing w:before="19"/>
              <w:ind w:right="312"/>
              <w:jc w:val="right"/>
              <w:rPr>
                <w:b/>
                <w:sz w:val="18"/>
              </w:rPr>
            </w:pPr>
            <w:r>
              <w:rPr>
                <w:b/>
                <w:w w:val="95"/>
                <w:sz w:val="18"/>
              </w:rPr>
              <w:t>(64)</w:t>
            </w:r>
          </w:p>
        </w:tc>
        <w:tc>
          <w:tcPr>
            <w:tcW w:w="1009" w:type="dxa"/>
          </w:tcPr>
          <w:p>
            <w:pPr>
              <w:pStyle w:val="TableParagraph"/>
              <w:spacing w:before="19"/>
              <w:ind w:right="23"/>
              <w:jc w:val="right"/>
              <w:rPr>
                <w:sz w:val="18"/>
              </w:rPr>
            </w:pPr>
            <w:r>
              <w:rPr>
                <w:w w:val="95"/>
                <w:sz w:val="18"/>
              </w:rPr>
              <w:t>(22)</w:t>
            </w:r>
          </w:p>
        </w:tc>
      </w:tr>
      <w:tr>
        <w:trPr>
          <w:trHeight w:val="234" w:hRule="exact"/>
        </w:trPr>
        <w:tc>
          <w:tcPr>
            <w:tcW w:w="3766" w:type="dxa"/>
          </w:tcPr>
          <w:p>
            <w:pPr>
              <w:pStyle w:val="TableParagraph"/>
              <w:spacing w:before="18"/>
              <w:ind w:left="35"/>
              <w:rPr>
                <w:sz w:val="18"/>
              </w:rPr>
            </w:pPr>
            <w:r>
              <w:rPr>
                <w:sz w:val="18"/>
              </w:rPr>
              <w:t>HECS up-front excess and trust fund</w:t>
            </w:r>
          </w:p>
        </w:tc>
        <w:tc>
          <w:tcPr>
            <w:tcW w:w="1754" w:type="dxa"/>
          </w:tcPr>
          <w:p>
            <w:pPr/>
          </w:p>
        </w:tc>
        <w:tc>
          <w:tcPr>
            <w:tcW w:w="1382" w:type="dxa"/>
          </w:tcPr>
          <w:p>
            <w:pPr/>
          </w:p>
        </w:tc>
        <w:tc>
          <w:tcPr>
            <w:tcW w:w="1382" w:type="dxa"/>
          </w:tcPr>
          <w:p>
            <w:pPr/>
          </w:p>
        </w:tc>
        <w:tc>
          <w:tcPr>
            <w:tcW w:w="1009" w:type="dxa"/>
          </w:tcPr>
          <w:p>
            <w:pPr/>
          </w:p>
        </w:tc>
      </w:tr>
      <w:tr>
        <w:trPr>
          <w:trHeight w:val="235" w:hRule="exact"/>
        </w:trPr>
        <w:tc>
          <w:tcPr>
            <w:tcW w:w="3766" w:type="dxa"/>
          </w:tcPr>
          <w:p>
            <w:pPr>
              <w:pStyle w:val="TableParagraph"/>
              <w:spacing w:line="198" w:lineRule="exact"/>
              <w:ind w:left="35" w:right="1319"/>
              <w:rPr>
                <w:sz w:val="18"/>
              </w:rPr>
            </w:pPr>
            <w:r>
              <w:rPr>
                <w:sz w:val="18"/>
              </w:rPr>
              <w:t>advances</w:t>
            </w:r>
          </w:p>
        </w:tc>
        <w:tc>
          <w:tcPr>
            <w:tcW w:w="1754" w:type="dxa"/>
          </w:tcPr>
          <w:p>
            <w:pPr>
              <w:pStyle w:val="TableParagraph"/>
              <w:spacing w:line="197" w:lineRule="exact"/>
              <w:ind w:right="371"/>
              <w:jc w:val="right"/>
              <w:rPr>
                <w:b/>
                <w:sz w:val="18"/>
              </w:rPr>
            </w:pPr>
            <w:r>
              <w:rPr>
                <w:b/>
                <w:w w:val="95"/>
                <w:sz w:val="18"/>
              </w:rPr>
              <w:t>407</w:t>
            </w:r>
          </w:p>
        </w:tc>
        <w:tc>
          <w:tcPr>
            <w:tcW w:w="1382" w:type="dxa"/>
          </w:tcPr>
          <w:p>
            <w:pPr>
              <w:pStyle w:val="TableParagraph"/>
              <w:spacing w:line="197" w:lineRule="exact"/>
              <w:ind w:left="473"/>
              <w:rPr>
                <w:sz w:val="18"/>
              </w:rPr>
            </w:pPr>
            <w:r>
              <w:rPr>
                <w:sz w:val="18"/>
              </w:rPr>
              <w:t>4,087</w:t>
            </w:r>
          </w:p>
        </w:tc>
        <w:tc>
          <w:tcPr>
            <w:tcW w:w="1382" w:type="dxa"/>
          </w:tcPr>
          <w:p>
            <w:pPr>
              <w:pStyle w:val="TableParagraph"/>
              <w:spacing w:line="197" w:lineRule="exact"/>
              <w:ind w:right="371"/>
              <w:jc w:val="right"/>
              <w:rPr>
                <w:b/>
                <w:sz w:val="18"/>
              </w:rPr>
            </w:pPr>
            <w:r>
              <w:rPr>
                <w:b/>
                <w:w w:val="95"/>
                <w:sz w:val="18"/>
              </w:rPr>
              <w:t>407</w:t>
            </w:r>
          </w:p>
        </w:tc>
        <w:tc>
          <w:tcPr>
            <w:tcW w:w="1009" w:type="dxa"/>
          </w:tcPr>
          <w:p>
            <w:pPr>
              <w:pStyle w:val="TableParagraph"/>
              <w:spacing w:line="197" w:lineRule="exact"/>
              <w:ind w:right="83"/>
              <w:jc w:val="right"/>
              <w:rPr>
                <w:sz w:val="18"/>
              </w:rPr>
            </w:pPr>
            <w:r>
              <w:rPr>
                <w:w w:val="95"/>
                <w:sz w:val="18"/>
              </w:rPr>
              <w:t>4,087</w:t>
            </w:r>
          </w:p>
        </w:tc>
      </w:tr>
      <w:tr>
        <w:trPr>
          <w:trHeight w:val="233" w:hRule="exact"/>
        </w:trPr>
        <w:tc>
          <w:tcPr>
            <w:tcW w:w="3766" w:type="dxa"/>
          </w:tcPr>
          <w:p>
            <w:pPr>
              <w:pStyle w:val="TableParagraph"/>
              <w:spacing w:before="18"/>
              <w:ind w:left="35"/>
              <w:rPr>
                <w:sz w:val="18"/>
              </w:rPr>
            </w:pPr>
            <w:r>
              <w:rPr>
                <w:sz w:val="18"/>
              </w:rPr>
              <w:t>Unrealised surplus / (deficit) on</w:t>
            </w:r>
          </w:p>
        </w:tc>
        <w:tc>
          <w:tcPr>
            <w:tcW w:w="1754" w:type="dxa"/>
          </w:tcPr>
          <w:p>
            <w:pPr/>
          </w:p>
        </w:tc>
        <w:tc>
          <w:tcPr>
            <w:tcW w:w="1382" w:type="dxa"/>
          </w:tcPr>
          <w:p>
            <w:pPr/>
          </w:p>
        </w:tc>
        <w:tc>
          <w:tcPr>
            <w:tcW w:w="1382" w:type="dxa"/>
          </w:tcPr>
          <w:p>
            <w:pPr/>
          </w:p>
        </w:tc>
        <w:tc>
          <w:tcPr>
            <w:tcW w:w="1009" w:type="dxa"/>
          </w:tcPr>
          <w:p>
            <w:pPr/>
          </w:p>
        </w:tc>
      </w:tr>
      <w:tr>
        <w:trPr>
          <w:trHeight w:val="235" w:hRule="exact"/>
        </w:trPr>
        <w:tc>
          <w:tcPr>
            <w:tcW w:w="3766" w:type="dxa"/>
          </w:tcPr>
          <w:p>
            <w:pPr>
              <w:pStyle w:val="TableParagraph"/>
              <w:spacing w:line="198" w:lineRule="exact"/>
              <w:ind w:left="35" w:right="1319"/>
              <w:rPr>
                <w:sz w:val="18"/>
              </w:rPr>
            </w:pPr>
            <w:r>
              <w:rPr>
                <w:sz w:val="18"/>
              </w:rPr>
              <w:t>investments</w:t>
            </w:r>
          </w:p>
        </w:tc>
        <w:tc>
          <w:tcPr>
            <w:tcW w:w="1754" w:type="dxa"/>
          </w:tcPr>
          <w:p>
            <w:pPr>
              <w:pStyle w:val="TableParagraph"/>
              <w:spacing w:line="197" w:lineRule="exact"/>
              <w:ind w:right="372"/>
              <w:jc w:val="right"/>
              <w:rPr>
                <w:b/>
                <w:sz w:val="18"/>
              </w:rPr>
            </w:pPr>
            <w:r>
              <w:rPr>
                <w:b/>
                <w:w w:val="95"/>
                <w:sz w:val="18"/>
              </w:rPr>
              <w:t>7,905</w:t>
            </w:r>
          </w:p>
        </w:tc>
        <w:tc>
          <w:tcPr>
            <w:tcW w:w="1382" w:type="dxa"/>
          </w:tcPr>
          <w:p>
            <w:pPr>
              <w:pStyle w:val="TableParagraph"/>
              <w:spacing w:line="197" w:lineRule="exact"/>
              <w:ind w:left="472"/>
              <w:rPr>
                <w:sz w:val="18"/>
              </w:rPr>
            </w:pPr>
            <w:r>
              <w:rPr>
                <w:sz w:val="18"/>
              </w:rPr>
              <w:t>1,284</w:t>
            </w:r>
          </w:p>
        </w:tc>
        <w:tc>
          <w:tcPr>
            <w:tcW w:w="1382" w:type="dxa"/>
          </w:tcPr>
          <w:p>
            <w:pPr>
              <w:pStyle w:val="TableParagraph"/>
              <w:spacing w:line="197" w:lineRule="exact"/>
              <w:ind w:right="372"/>
              <w:jc w:val="right"/>
              <w:rPr>
                <w:b/>
                <w:sz w:val="18"/>
              </w:rPr>
            </w:pPr>
            <w:r>
              <w:rPr>
                <w:b/>
                <w:w w:val="95"/>
                <w:sz w:val="18"/>
              </w:rPr>
              <w:t>8,867</w:t>
            </w:r>
          </w:p>
        </w:tc>
        <w:tc>
          <w:tcPr>
            <w:tcW w:w="1009" w:type="dxa"/>
          </w:tcPr>
          <w:p>
            <w:pPr>
              <w:pStyle w:val="TableParagraph"/>
              <w:spacing w:line="197" w:lineRule="exact"/>
              <w:ind w:right="84"/>
              <w:jc w:val="right"/>
              <w:rPr>
                <w:sz w:val="18"/>
              </w:rPr>
            </w:pPr>
            <w:r>
              <w:rPr>
                <w:w w:val="95"/>
                <w:sz w:val="18"/>
              </w:rPr>
              <w:t>101</w:t>
            </w:r>
          </w:p>
        </w:tc>
      </w:tr>
      <w:tr>
        <w:trPr>
          <w:trHeight w:val="263" w:hRule="exact"/>
        </w:trPr>
        <w:tc>
          <w:tcPr>
            <w:tcW w:w="3766" w:type="dxa"/>
          </w:tcPr>
          <w:p>
            <w:pPr>
              <w:pStyle w:val="TableParagraph"/>
              <w:spacing w:before="17"/>
              <w:ind w:left="35"/>
              <w:rPr>
                <w:sz w:val="18"/>
              </w:rPr>
            </w:pPr>
            <w:r>
              <w:rPr>
                <w:sz w:val="18"/>
              </w:rPr>
              <w:t>Impairment of building - fire damage</w:t>
            </w:r>
          </w:p>
        </w:tc>
        <w:tc>
          <w:tcPr>
            <w:tcW w:w="1754" w:type="dxa"/>
          </w:tcPr>
          <w:p>
            <w:pPr>
              <w:pStyle w:val="TableParagraph"/>
              <w:spacing w:before="19"/>
              <w:ind w:right="312"/>
              <w:jc w:val="right"/>
              <w:rPr>
                <w:b/>
                <w:sz w:val="18"/>
              </w:rPr>
            </w:pPr>
            <w:r>
              <w:rPr>
                <w:b/>
                <w:w w:val="95"/>
                <w:sz w:val="18"/>
              </w:rPr>
              <w:t>(5,586)</w:t>
            </w:r>
          </w:p>
        </w:tc>
        <w:tc>
          <w:tcPr>
            <w:tcW w:w="1382" w:type="dxa"/>
          </w:tcPr>
          <w:p>
            <w:pPr>
              <w:pStyle w:val="TableParagraph"/>
              <w:spacing w:before="19"/>
              <w:ind w:right="458"/>
              <w:jc w:val="right"/>
              <w:rPr>
                <w:sz w:val="18"/>
              </w:rPr>
            </w:pPr>
            <w:r>
              <w:rPr>
                <w:w w:val="99"/>
                <w:sz w:val="18"/>
              </w:rPr>
              <w:t>-</w:t>
            </w:r>
          </w:p>
        </w:tc>
        <w:tc>
          <w:tcPr>
            <w:tcW w:w="1382" w:type="dxa"/>
          </w:tcPr>
          <w:p>
            <w:pPr>
              <w:pStyle w:val="TableParagraph"/>
              <w:spacing w:before="19"/>
              <w:ind w:right="312"/>
              <w:jc w:val="right"/>
              <w:rPr>
                <w:b/>
                <w:sz w:val="18"/>
              </w:rPr>
            </w:pPr>
            <w:r>
              <w:rPr>
                <w:b/>
                <w:w w:val="95"/>
                <w:sz w:val="18"/>
              </w:rPr>
              <w:t>(5,586)</w:t>
            </w:r>
          </w:p>
        </w:tc>
        <w:tc>
          <w:tcPr>
            <w:tcW w:w="1009" w:type="dxa"/>
          </w:tcPr>
          <w:p>
            <w:pPr>
              <w:pStyle w:val="TableParagraph"/>
              <w:spacing w:before="19"/>
              <w:ind w:right="85"/>
              <w:jc w:val="right"/>
              <w:rPr>
                <w:sz w:val="18"/>
              </w:rPr>
            </w:pPr>
            <w:r>
              <w:rPr>
                <w:w w:val="99"/>
                <w:sz w:val="18"/>
              </w:rPr>
              <w:t>-</w:t>
            </w:r>
          </w:p>
        </w:tc>
      </w:tr>
      <w:tr>
        <w:trPr>
          <w:trHeight w:val="264" w:hRule="exact"/>
        </w:trPr>
        <w:tc>
          <w:tcPr>
            <w:tcW w:w="3766" w:type="dxa"/>
          </w:tcPr>
          <w:p>
            <w:pPr>
              <w:pStyle w:val="TableParagraph"/>
              <w:spacing w:before="18"/>
              <w:ind w:left="35" w:right="1319"/>
              <w:rPr>
                <w:sz w:val="18"/>
              </w:rPr>
            </w:pPr>
            <w:r>
              <w:rPr>
                <w:sz w:val="18"/>
              </w:rPr>
              <w:t>Donated assets</w:t>
            </w:r>
          </w:p>
        </w:tc>
        <w:tc>
          <w:tcPr>
            <w:tcW w:w="1754" w:type="dxa"/>
          </w:tcPr>
          <w:p>
            <w:pPr>
              <w:pStyle w:val="TableParagraph"/>
              <w:spacing w:before="19"/>
              <w:ind w:right="312"/>
              <w:jc w:val="right"/>
              <w:rPr>
                <w:b/>
                <w:sz w:val="18"/>
              </w:rPr>
            </w:pPr>
            <w:r>
              <w:rPr>
                <w:b/>
                <w:w w:val="95"/>
                <w:sz w:val="18"/>
              </w:rPr>
              <w:t>(198)</w:t>
            </w:r>
          </w:p>
        </w:tc>
        <w:tc>
          <w:tcPr>
            <w:tcW w:w="1382" w:type="dxa"/>
          </w:tcPr>
          <w:p>
            <w:pPr>
              <w:pStyle w:val="TableParagraph"/>
              <w:spacing w:before="19"/>
              <w:ind w:right="458"/>
              <w:jc w:val="right"/>
              <w:rPr>
                <w:sz w:val="18"/>
              </w:rPr>
            </w:pPr>
            <w:r>
              <w:rPr>
                <w:w w:val="99"/>
                <w:sz w:val="18"/>
              </w:rPr>
              <w:t>-</w:t>
            </w:r>
          </w:p>
        </w:tc>
        <w:tc>
          <w:tcPr>
            <w:tcW w:w="1382" w:type="dxa"/>
          </w:tcPr>
          <w:p>
            <w:pPr>
              <w:pStyle w:val="TableParagraph"/>
              <w:spacing w:before="19"/>
              <w:ind w:right="373"/>
              <w:jc w:val="right"/>
              <w:rPr>
                <w:b/>
                <w:sz w:val="18"/>
              </w:rPr>
            </w:pPr>
            <w:r>
              <w:rPr>
                <w:b/>
                <w:w w:val="99"/>
                <w:sz w:val="18"/>
              </w:rPr>
              <w:t>-</w:t>
            </w:r>
          </w:p>
        </w:tc>
        <w:tc>
          <w:tcPr>
            <w:tcW w:w="1009" w:type="dxa"/>
          </w:tcPr>
          <w:p>
            <w:pPr>
              <w:pStyle w:val="TableParagraph"/>
              <w:spacing w:before="19"/>
              <w:ind w:right="85"/>
              <w:jc w:val="right"/>
              <w:rPr>
                <w:sz w:val="18"/>
              </w:rPr>
            </w:pPr>
            <w:r>
              <w:rPr>
                <w:w w:val="99"/>
                <w:sz w:val="18"/>
              </w:rPr>
              <w:t>-</w:t>
            </w:r>
          </w:p>
        </w:tc>
      </w:tr>
      <w:tr>
        <w:trPr>
          <w:trHeight w:val="264" w:hRule="exact"/>
        </w:trPr>
        <w:tc>
          <w:tcPr>
            <w:tcW w:w="3766" w:type="dxa"/>
          </w:tcPr>
          <w:p>
            <w:pPr>
              <w:pStyle w:val="TableParagraph"/>
              <w:spacing w:before="18"/>
              <w:ind w:left="35"/>
              <w:rPr>
                <w:sz w:val="18"/>
              </w:rPr>
            </w:pPr>
            <w:r>
              <w:rPr>
                <w:sz w:val="18"/>
              </w:rPr>
              <w:t>(Increase)/decrease in trade debtors</w:t>
            </w:r>
          </w:p>
        </w:tc>
        <w:tc>
          <w:tcPr>
            <w:tcW w:w="1754" w:type="dxa"/>
          </w:tcPr>
          <w:p>
            <w:pPr>
              <w:pStyle w:val="TableParagraph"/>
              <w:spacing w:before="19"/>
              <w:ind w:right="312"/>
              <w:jc w:val="right"/>
              <w:rPr>
                <w:b/>
                <w:sz w:val="18"/>
              </w:rPr>
            </w:pPr>
            <w:r>
              <w:rPr>
                <w:b/>
                <w:w w:val="95"/>
                <w:sz w:val="18"/>
              </w:rPr>
              <w:t>(4,195)</w:t>
            </w:r>
          </w:p>
        </w:tc>
        <w:tc>
          <w:tcPr>
            <w:tcW w:w="1382" w:type="dxa"/>
          </w:tcPr>
          <w:p>
            <w:pPr>
              <w:pStyle w:val="TableParagraph"/>
              <w:spacing w:before="19"/>
              <w:ind w:left="622"/>
              <w:rPr>
                <w:sz w:val="18"/>
              </w:rPr>
            </w:pPr>
            <w:r>
              <w:rPr>
                <w:sz w:val="18"/>
              </w:rPr>
              <w:t>963</w:t>
            </w:r>
          </w:p>
        </w:tc>
        <w:tc>
          <w:tcPr>
            <w:tcW w:w="1382" w:type="dxa"/>
          </w:tcPr>
          <w:p>
            <w:pPr>
              <w:pStyle w:val="TableParagraph"/>
              <w:spacing w:before="19"/>
              <w:ind w:right="312"/>
              <w:jc w:val="right"/>
              <w:rPr>
                <w:b/>
                <w:sz w:val="18"/>
              </w:rPr>
            </w:pPr>
            <w:r>
              <w:rPr>
                <w:b/>
                <w:w w:val="95"/>
                <w:sz w:val="18"/>
              </w:rPr>
              <w:t>(6,333)</w:t>
            </w:r>
          </w:p>
        </w:tc>
        <w:tc>
          <w:tcPr>
            <w:tcW w:w="1009" w:type="dxa"/>
          </w:tcPr>
          <w:p>
            <w:pPr>
              <w:pStyle w:val="TableParagraph"/>
              <w:spacing w:before="19"/>
              <w:ind w:right="85"/>
              <w:jc w:val="right"/>
              <w:rPr>
                <w:sz w:val="18"/>
              </w:rPr>
            </w:pPr>
            <w:r>
              <w:rPr>
                <w:w w:val="95"/>
                <w:sz w:val="18"/>
              </w:rPr>
              <w:t>1,366</w:t>
            </w:r>
          </w:p>
        </w:tc>
      </w:tr>
      <w:tr>
        <w:trPr>
          <w:trHeight w:val="468" w:hRule="exact"/>
        </w:trPr>
        <w:tc>
          <w:tcPr>
            <w:tcW w:w="3766" w:type="dxa"/>
          </w:tcPr>
          <w:p>
            <w:pPr>
              <w:pStyle w:val="TableParagraph"/>
              <w:spacing w:before="18"/>
              <w:ind w:left="35" w:right="1459"/>
              <w:rPr>
                <w:sz w:val="18"/>
              </w:rPr>
            </w:pPr>
            <w:r>
              <w:rPr>
                <w:sz w:val="18"/>
              </w:rPr>
              <w:t>Increase/(decrease) in other operating liabilities</w:t>
            </w:r>
          </w:p>
        </w:tc>
        <w:tc>
          <w:tcPr>
            <w:tcW w:w="1754" w:type="dxa"/>
          </w:tcPr>
          <w:p>
            <w:pPr>
              <w:pStyle w:val="TableParagraph"/>
              <w:spacing w:before="5"/>
              <w:rPr>
                <w:sz w:val="19"/>
              </w:rPr>
            </w:pPr>
          </w:p>
          <w:p>
            <w:pPr>
              <w:pStyle w:val="TableParagraph"/>
              <w:ind w:right="372"/>
              <w:jc w:val="right"/>
              <w:rPr>
                <w:b/>
                <w:sz w:val="18"/>
              </w:rPr>
            </w:pPr>
            <w:r>
              <w:rPr>
                <w:b/>
                <w:w w:val="95"/>
                <w:sz w:val="18"/>
              </w:rPr>
              <w:t>3,750</w:t>
            </w:r>
          </w:p>
        </w:tc>
        <w:tc>
          <w:tcPr>
            <w:tcW w:w="1382" w:type="dxa"/>
          </w:tcPr>
          <w:p>
            <w:pPr>
              <w:pStyle w:val="TableParagraph"/>
              <w:spacing w:before="5"/>
              <w:rPr>
                <w:sz w:val="19"/>
              </w:rPr>
            </w:pPr>
          </w:p>
          <w:p>
            <w:pPr>
              <w:pStyle w:val="TableParagraph"/>
              <w:ind w:right="396"/>
              <w:jc w:val="right"/>
              <w:rPr>
                <w:sz w:val="18"/>
              </w:rPr>
            </w:pPr>
            <w:r>
              <w:rPr>
                <w:sz w:val="18"/>
              </w:rPr>
              <w:t>(655)</w:t>
            </w:r>
          </w:p>
        </w:tc>
        <w:tc>
          <w:tcPr>
            <w:tcW w:w="1382" w:type="dxa"/>
          </w:tcPr>
          <w:p>
            <w:pPr>
              <w:pStyle w:val="TableParagraph"/>
              <w:spacing w:before="5"/>
              <w:rPr>
                <w:sz w:val="19"/>
              </w:rPr>
            </w:pPr>
          </w:p>
          <w:p>
            <w:pPr>
              <w:pStyle w:val="TableParagraph"/>
              <w:ind w:right="372"/>
              <w:jc w:val="right"/>
              <w:rPr>
                <w:b/>
                <w:sz w:val="18"/>
              </w:rPr>
            </w:pPr>
            <w:r>
              <w:rPr>
                <w:b/>
                <w:w w:val="95"/>
                <w:sz w:val="18"/>
              </w:rPr>
              <w:t>3,510</w:t>
            </w:r>
          </w:p>
        </w:tc>
        <w:tc>
          <w:tcPr>
            <w:tcW w:w="1009" w:type="dxa"/>
          </w:tcPr>
          <w:p>
            <w:pPr>
              <w:pStyle w:val="TableParagraph"/>
              <w:spacing w:before="5"/>
              <w:rPr>
                <w:sz w:val="19"/>
              </w:rPr>
            </w:pPr>
          </w:p>
          <w:p>
            <w:pPr>
              <w:pStyle w:val="TableParagraph"/>
              <w:ind w:right="84"/>
              <w:jc w:val="right"/>
              <w:rPr>
                <w:sz w:val="18"/>
              </w:rPr>
            </w:pPr>
            <w:r>
              <w:rPr>
                <w:sz w:val="18"/>
              </w:rPr>
              <w:t>32</w:t>
            </w:r>
          </w:p>
        </w:tc>
      </w:tr>
      <w:tr>
        <w:trPr>
          <w:trHeight w:val="263" w:hRule="exact"/>
        </w:trPr>
        <w:tc>
          <w:tcPr>
            <w:tcW w:w="3766" w:type="dxa"/>
          </w:tcPr>
          <w:p>
            <w:pPr>
              <w:pStyle w:val="TableParagraph"/>
              <w:spacing w:before="17"/>
              <w:ind w:left="35"/>
              <w:rPr>
                <w:sz w:val="18"/>
              </w:rPr>
            </w:pPr>
            <w:r>
              <w:rPr>
                <w:sz w:val="18"/>
              </w:rPr>
              <w:t>(Increase)/decrease in inventories</w:t>
            </w:r>
          </w:p>
        </w:tc>
        <w:tc>
          <w:tcPr>
            <w:tcW w:w="1754" w:type="dxa"/>
          </w:tcPr>
          <w:p>
            <w:pPr>
              <w:pStyle w:val="TableParagraph"/>
              <w:spacing w:before="19"/>
              <w:ind w:right="312"/>
              <w:jc w:val="right"/>
              <w:rPr>
                <w:b/>
                <w:sz w:val="18"/>
              </w:rPr>
            </w:pPr>
            <w:r>
              <w:rPr>
                <w:b/>
                <w:w w:val="95"/>
                <w:sz w:val="18"/>
              </w:rPr>
              <w:t>(400)</w:t>
            </w:r>
          </w:p>
        </w:tc>
        <w:tc>
          <w:tcPr>
            <w:tcW w:w="1382" w:type="dxa"/>
          </w:tcPr>
          <w:p>
            <w:pPr>
              <w:pStyle w:val="TableParagraph"/>
              <w:spacing w:before="19"/>
              <w:ind w:right="396"/>
              <w:jc w:val="right"/>
              <w:rPr>
                <w:sz w:val="18"/>
              </w:rPr>
            </w:pPr>
            <w:r>
              <w:rPr>
                <w:w w:val="95"/>
                <w:sz w:val="18"/>
              </w:rPr>
              <w:t>(1,323)</w:t>
            </w:r>
          </w:p>
        </w:tc>
        <w:tc>
          <w:tcPr>
            <w:tcW w:w="1382" w:type="dxa"/>
          </w:tcPr>
          <w:p>
            <w:pPr>
              <w:pStyle w:val="TableParagraph"/>
              <w:spacing w:before="19"/>
              <w:ind w:right="373"/>
              <w:jc w:val="right"/>
              <w:rPr>
                <w:b/>
                <w:sz w:val="18"/>
              </w:rPr>
            </w:pPr>
            <w:r>
              <w:rPr>
                <w:b/>
                <w:w w:val="99"/>
                <w:sz w:val="18"/>
              </w:rPr>
              <w:t>-</w:t>
            </w:r>
          </w:p>
        </w:tc>
        <w:tc>
          <w:tcPr>
            <w:tcW w:w="1009" w:type="dxa"/>
          </w:tcPr>
          <w:p>
            <w:pPr>
              <w:pStyle w:val="TableParagraph"/>
              <w:spacing w:before="19"/>
              <w:ind w:right="85"/>
              <w:jc w:val="right"/>
              <w:rPr>
                <w:sz w:val="18"/>
              </w:rPr>
            </w:pPr>
            <w:r>
              <w:rPr>
                <w:w w:val="99"/>
                <w:sz w:val="18"/>
              </w:rPr>
              <w:t>-</w:t>
            </w:r>
          </w:p>
        </w:tc>
      </w:tr>
      <w:tr>
        <w:trPr>
          <w:trHeight w:val="234" w:hRule="exact"/>
        </w:trPr>
        <w:tc>
          <w:tcPr>
            <w:tcW w:w="3766" w:type="dxa"/>
          </w:tcPr>
          <w:p>
            <w:pPr>
              <w:pStyle w:val="TableParagraph"/>
              <w:spacing w:before="18"/>
              <w:ind w:left="35" w:right="1319"/>
              <w:rPr>
                <w:sz w:val="18"/>
              </w:rPr>
            </w:pPr>
            <w:r>
              <w:rPr>
                <w:sz w:val="18"/>
              </w:rPr>
              <w:t>Increase/(decrease) in trade</w:t>
            </w:r>
          </w:p>
        </w:tc>
        <w:tc>
          <w:tcPr>
            <w:tcW w:w="1754" w:type="dxa"/>
          </w:tcPr>
          <w:p>
            <w:pPr/>
          </w:p>
        </w:tc>
        <w:tc>
          <w:tcPr>
            <w:tcW w:w="1382" w:type="dxa"/>
          </w:tcPr>
          <w:p>
            <w:pPr/>
          </w:p>
        </w:tc>
        <w:tc>
          <w:tcPr>
            <w:tcW w:w="1382" w:type="dxa"/>
          </w:tcPr>
          <w:p>
            <w:pPr/>
          </w:p>
        </w:tc>
        <w:tc>
          <w:tcPr>
            <w:tcW w:w="1009" w:type="dxa"/>
          </w:tcPr>
          <w:p>
            <w:pPr/>
          </w:p>
        </w:tc>
      </w:tr>
      <w:tr>
        <w:trPr>
          <w:trHeight w:val="235" w:hRule="exact"/>
        </w:trPr>
        <w:tc>
          <w:tcPr>
            <w:tcW w:w="3766" w:type="dxa"/>
          </w:tcPr>
          <w:p>
            <w:pPr>
              <w:pStyle w:val="TableParagraph"/>
              <w:spacing w:line="198" w:lineRule="exact"/>
              <w:ind w:left="35" w:right="1319"/>
              <w:rPr>
                <w:sz w:val="18"/>
              </w:rPr>
            </w:pPr>
            <w:r>
              <w:rPr>
                <w:sz w:val="18"/>
              </w:rPr>
              <w:t>creditors</w:t>
            </w:r>
          </w:p>
        </w:tc>
        <w:tc>
          <w:tcPr>
            <w:tcW w:w="1754" w:type="dxa"/>
          </w:tcPr>
          <w:p>
            <w:pPr>
              <w:pStyle w:val="TableParagraph"/>
              <w:spacing w:line="197" w:lineRule="exact"/>
              <w:ind w:right="372"/>
              <w:jc w:val="right"/>
              <w:rPr>
                <w:b/>
                <w:sz w:val="18"/>
              </w:rPr>
            </w:pPr>
            <w:r>
              <w:rPr>
                <w:b/>
                <w:w w:val="95"/>
                <w:sz w:val="18"/>
              </w:rPr>
              <w:t>8,062</w:t>
            </w:r>
          </w:p>
        </w:tc>
        <w:tc>
          <w:tcPr>
            <w:tcW w:w="1382" w:type="dxa"/>
          </w:tcPr>
          <w:p>
            <w:pPr>
              <w:pStyle w:val="TableParagraph"/>
              <w:spacing w:line="197" w:lineRule="exact"/>
              <w:ind w:left="472"/>
              <w:rPr>
                <w:sz w:val="18"/>
              </w:rPr>
            </w:pPr>
            <w:r>
              <w:rPr>
                <w:sz w:val="18"/>
              </w:rPr>
              <w:t>8,867</w:t>
            </w:r>
          </w:p>
        </w:tc>
        <w:tc>
          <w:tcPr>
            <w:tcW w:w="1382" w:type="dxa"/>
          </w:tcPr>
          <w:p>
            <w:pPr>
              <w:pStyle w:val="TableParagraph"/>
              <w:spacing w:line="197" w:lineRule="exact"/>
              <w:ind w:right="372"/>
              <w:jc w:val="right"/>
              <w:rPr>
                <w:b/>
                <w:sz w:val="18"/>
              </w:rPr>
            </w:pPr>
            <w:r>
              <w:rPr>
                <w:b/>
                <w:w w:val="95"/>
                <w:sz w:val="18"/>
              </w:rPr>
              <w:t>6,579</w:t>
            </w:r>
          </w:p>
        </w:tc>
        <w:tc>
          <w:tcPr>
            <w:tcW w:w="1009" w:type="dxa"/>
          </w:tcPr>
          <w:p>
            <w:pPr>
              <w:pStyle w:val="TableParagraph"/>
              <w:spacing w:line="197" w:lineRule="exact"/>
              <w:ind w:right="83"/>
              <w:jc w:val="right"/>
              <w:rPr>
                <w:sz w:val="18"/>
              </w:rPr>
            </w:pPr>
            <w:r>
              <w:rPr>
                <w:w w:val="95"/>
                <w:sz w:val="18"/>
              </w:rPr>
              <w:t>7,447</w:t>
            </w:r>
          </w:p>
        </w:tc>
      </w:tr>
      <w:tr>
        <w:trPr>
          <w:trHeight w:val="233" w:hRule="exact"/>
        </w:trPr>
        <w:tc>
          <w:tcPr>
            <w:tcW w:w="3766" w:type="dxa"/>
          </w:tcPr>
          <w:p>
            <w:pPr>
              <w:pStyle w:val="TableParagraph"/>
              <w:spacing w:before="17"/>
              <w:ind w:left="35" w:right="1319"/>
              <w:rPr>
                <w:sz w:val="18"/>
              </w:rPr>
            </w:pPr>
            <w:r>
              <w:rPr>
                <w:sz w:val="18"/>
              </w:rPr>
              <w:t>Increase/(decrease) in other</w:t>
            </w:r>
          </w:p>
        </w:tc>
        <w:tc>
          <w:tcPr>
            <w:tcW w:w="1754" w:type="dxa"/>
          </w:tcPr>
          <w:p>
            <w:pPr/>
          </w:p>
        </w:tc>
        <w:tc>
          <w:tcPr>
            <w:tcW w:w="1382" w:type="dxa"/>
          </w:tcPr>
          <w:p>
            <w:pPr/>
          </w:p>
        </w:tc>
        <w:tc>
          <w:tcPr>
            <w:tcW w:w="1382" w:type="dxa"/>
          </w:tcPr>
          <w:p>
            <w:pPr/>
          </w:p>
        </w:tc>
        <w:tc>
          <w:tcPr>
            <w:tcW w:w="1009" w:type="dxa"/>
          </w:tcPr>
          <w:p>
            <w:pPr/>
          </w:p>
        </w:tc>
      </w:tr>
      <w:tr>
        <w:trPr>
          <w:trHeight w:val="233" w:hRule="exact"/>
        </w:trPr>
        <w:tc>
          <w:tcPr>
            <w:tcW w:w="3766" w:type="dxa"/>
          </w:tcPr>
          <w:p>
            <w:pPr>
              <w:pStyle w:val="TableParagraph"/>
              <w:spacing w:line="198" w:lineRule="exact"/>
              <w:ind w:left="35" w:right="1319"/>
              <w:rPr>
                <w:sz w:val="18"/>
              </w:rPr>
            </w:pPr>
            <w:r>
              <w:rPr>
                <w:sz w:val="18"/>
              </w:rPr>
              <w:t>provisions</w:t>
            </w:r>
          </w:p>
        </w:tc>
        <w:tc>
          <w:tcPr>
            <w:tcW w:w="1754" w:type="dxa"/>
            <w:tcBorders>
              <w:bottom w:val="single" w:sz="0" w:space="0" w:color="000000"/>
            </w:tcBorders>
          </w:tcPr>
          <w:p>
            <w:pPr>
              <w:pStyle w:val="TableParagraph"/>
              <w:spacing w:line="197" w:lineRule="exact"/>
              <w:ind w:right="371"/>
              <w:jc w:val="right"/>
              <w:rPr>
                <w:b/>
                <w:sz w:val="18"/>
              </w:rPr>
            </w:pPr>
            <w:r>
              <w:rPr>
                <w:b/>
                <w:w w:val="95"/>
                <w:sz w:val="18"/>
              </w:rPr>
              <w:t>31,670</w:t>
            </w:r>
          </w:p>
        </w:tc>
        <w:tc>
          <w:tcPr>
            <w:tcW w:w="1382" w:type="dxa"/>
            <w:tcBorders>
              <w:bottom w:val="single" w:sz="0" w:space="0" w:color="000000"/>
            </w:tcBorders>
          </w:tcPr>
          <w:p>
            <w:pPr>
              <w:pStyle w:val="TableParagraph"/>
              <w:spacing w:line="197" w:lineRule="exact"/>
              <w:ind w:left="373"/>
              <w:rPr>
                <w:sz w:val="18"/>
              </w:rPr>
            </w:pPr>
            <w:r>
              <w:rPr>
                <w:sz w:val="18"/>
              </w:rPr>
              <w:t>96,428</w:t>
            </w:r>
          </w:p>
        </w:tc>
        <w:tc>
          <w:tcPr>
            <w:tcW w:w="1382" w:type="dxa"/>
            <w:tcBorders>
              <w:bottom w:val="single" w:sz="0" w:space="0" w:color="000000"/>
            </w:tcBorders>
          </w:tcPr>
          <w:p>
            <w:pPr>
              <w:pStyle w:val="TableParagraph"/>
              <w:spacing w:line="197" w:lineRule="exact"/>
              <w:ind w:right="371"/>
              <w:jc w:val="right"/>
              <w:rPr>
                <w:b/>
                <w:sz w:val="18"/>
              </w:rPr>
            </w:pPr>
            <w:r>
              <w:rPr>
                <w:b/>
                <w:w w:val="95"/>
                <w:sz w:val="18"/>
              </w:rPr>
              <w:t>31,538</w:t>
            </w:r>
          </w:p>
        </w:tc>
        <w:tc>
          <w:tcPr>
            <w:tcW w:w="1009" w:type="dxa"/>
            <w:tcBorders>
              <w:bottom w:val="single" w:sz="0" w:space="0" w:color="000000"/>
            </w:tcBorders>
          </w:tcPr>
          <w:p>
            <w:pPr>
              <w:pStyle w:val="TableParagraph"/>
              <w:spacing w:line="197" w:lineRule="exact"/>
              <w:ind w:left="373"/>
              <w:rPr>
                <w:sz w:val="18"/>
              </w:rPr>
            </w:pPr>
            <w:r>
              <w:rPr>
                <w:sz w:val="18"/>
              </w:rPr>
              <w:t>95,987</w:t>
            </w:r>
          </w:p>
        </w:tc>
      </w:tr>
    </w:tbl>
    <w:p>
      <w:pPr>
        <w:pStyle w:val="Heading9"/>
        <w:spacing w:line="207" w:lineRule="exact" w:before="123"/>
        <w:ind w:left="549" w:right="128"/>
      </w:pPr>
      <w:r>
        <w:rPr/>
        <w:t>Net cash provided by operating</w:t>
      </w:r>
    </w:p>
    <w:p>
      <w:pPr>
        <w:tabs>
          <w:tab w:pos="5225" w:val="left" w:leader="none"/>
          <w:tab w:pos="6622" w:val="left" w:leader="none"/>
          <w:tab w:pos="7989" w:val="left" w:leader="none"/>
          <w:tab w:pos="9386" w:val="left" w:leader="none"/>
        </w:tabs>
        <w:spacing w:line="207" w:lineRule="exact" w:before="0"/>
        <w:ind w:left="549" w:right="128" w:firstLine="0"/>
        <w:jc w:val="left"/>
        <w:rPr>
          <w:sz w:val="18"/>
        </w:rPr>
      </w:pPr>
      <w:r>
        <w:rPr>
          <w:b/>
          <w:sz w:val="18"/>
        </w:rPr>
        <w:t>activities</w:t>
        <w:tab/>
        <w:t>115,415</w:t>
        <w:tab/>
      </w:r>
      <w:r>
        <w:rPr>
          <w:sz w:val="18"/>
        </w:rPr>
        <w:t>67,723</w:t>
        <w:tab/>
      </w:r>
      <w:r>
        <w:rPr>
          <w:b/>
          <w:sz w:val="18"/>
        </w:rPr>
        <w:t>106,387</w:t>
        <w:tab/>
      </w:r>
      <w:r>
        <w:rPr>
          <w:sz w:val="18"/>
        </w:rPr>
        <w:t>69,241</w:t>
      </w:r>
    </w:p>
    <w:p>
      <w:pPr>
        <w:pStyle w:val="BodyText"/>
        <w:spacing w:line="50" w:lineRule="exact"/>
        <w:ind w:left="4494"/>
        <w:rPr>
          <w:sz w:val="5"/>
        </w:rPr>
      </w:pPr>
      <w:r>
        <w:rPr>
          <w:position w:val="0"/>
          <w:sz w:val="5"/>
        </w:rPr>
        <w:pict>
          <v:group style="width:276.5pt;height:2.5pt;mso-position-horizontal-relative:char;mso-position-vertical-relative:line" coordorigin="0,0" coordsize="5530,5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35" to="170,35" stroked="true" strokeweight=".06pt" strokecolor="#000000"/>
            <v:line style="position:absolute" from="1,36" to="170,36" stroked="true" strokeweight=".06pt" strokecolor="#000000"/>
            <v:line style="position:absolute" from="1,37" to="170,37" stroked="true" strokeweight=".06pt" strokecolor="#000000"/>
            <v:line style="position:absolute" from="1,38" to="170,38" stroked="true" strokeweight=".06pt" strokecolor="#000000"/>
            <v:line style="position:absolute" from="1,39" to="170,39" stroked="true" strokeweight=".06pt" strokecolor="#000000"/>
            <v:line style="position:absolute" from="1,41" to="170,41" stroked="true" strokeweight=".06pt" strokecolor="#000000"/>
            <v:line style="position:absolute" from="1,42" to="170,42" stroked="true" strokeweight=".06pt" strokecolor="#000000"/>
            <v:line style="position:absolute" from="1,43" to="170,43" stroked="true" strokeweight=".06pt" strokecolor="#000000"/>
            <v:line style="position:absolute" from="1,44" to="170,44" stroked="true" strokeweight=".06pt" strokecolor="#000000"/>
            <v:line style="position:absolute" from="1,45" to="170,45" stroked="true" strokeweight=".06pt" strokecolor="#000000"/>
            <v:line style="position:absolute" from="1,47" to="170,47" stroked="true" strokeweight=".06pt" strokecolor="#000000"/>
            <v:line style="position:absolute" from="1,48" to="170,48" stroked="true" strokeweight=".06pt" strokecolor="#000000"/>
            <v:line style="position:absolute" from="1,49" to="170,49" stroked="true" strokeweight=".06pt" strokecolor="#000000"/>
            <v:line style="position:absolute" from="170,1" to="1467,1" stroked="true" strokeweight=".06pt" strokecolor="#000000"/>
            <v:line style="position:absolute" from="170,2" to="1467,2" stroked="true" strokeweight=".06pt" strokecolor="#000000"/>
            <v:line style="position:absolute" from="170,3" to="1467,3" stroked="true" strokeweight=".06pt" strokecolor="#000000"/>
            <v:line style="position:absolute" from="170,5" to="1467,5" stroked="true" strokeweight=".06pt" strokecolor="#000000"/>
            <v:line style="position:absolute" from="170,6" to="1467,6" stroked="true" strokeweight=".06pt" strokecolor="#000000"/>
            <v:line style="position:absolute" from="170,7" to="1467,7" stroked="true" strokeweight=".06pt" strokecolor="#000000"/>
            <v:line style="position:absolute" from="170,8" to="1467,8" stroked="true" strokeweight=".06pt" strokecolor="#000000"/>
            <v:line style="position:absolute" from="170,9" to="1467,9" stroked="true" strokeweight=".06pt" strokecolor="#000000"/>
            <v:line style="position:absolute" from="170,11" to="1467,11" stroked="true" strokeweight=".06pt" strokecolor="#000000"/>
            <v:line style="position:absolute" from="170,12" to="1467,12" stroked="true" strokeweight=".06pt" strokecolor="#000000"/>
            <v:line style="position:absolute" from="170,13" to="1467,13" stroked="true" strokeweight=".06pt" strokecolor="#000000"/>
            <v:line style="position:absolute" from="170,14" to="1467,14" stroked="true" strokeweight=".06pt" strokecolor="#000000"/>
            <v:line style="position:absolute" from="170,15" to="1467,15" stroked="true" strokeweight=".06pt" strokecolor="#000000"/>
            <v:line style="position:absolute" from="170,35" to="1467,35" stroked="true" strokeweight=".06pt" strokecolor="#000000"/>
            <v:line style="position:absolute" from="170,36" to="1467,36" stroked="true" strokeweight=".06pt" strokecolor="#000000"/>
            <v:line style="position:absolute" from="170,37" to="1467,37" stroked="true" strokeweight=".06pt" strokecolor="#000000"/>
            <v:line style="position:absolute" from="170,38" to="1467,38" stroked="true" strokeweight=".06pt" strokecolor="#000000"/>
            <v:line style="position:absolute" from="170,39" to="1467,39" stroked="true" strokeweight=".06pt" strokecolor="#000000"/>
            <v:line style="position:absolute" from="170,41" to="1467,41" stroked="true" strokeweight=".06pt" strokecolor="#000000"/>
            <v:line style="position:absolute" from="170,42" to="1467,42" stroked="true" strokeweight=".06pt" strokecolor="#000000"/>
            <v:line style="position:absolute" from="170,43" to="1467,43" stroked="true" strokeweight=".06pt" strokecolor="#000000"/>
            <v:line style="position:absolute" from="170,44" to="1467,44" stroked="true" strokeweight=".06pt" strokecolor="#000000"/>
            <v:line style="position:absolute" from="170,45" to="1467,45" stroked="true" strokeweight=".06pt" strokecolor="#000000"/>
            <v:line style="position:absolute" from="170,47" to="1467,47" stroked="true" strokeweight=".06pt" strokecolor="#000000"/>
            <v:line style="position:absolute" from="170,48" to="1467,48" stroked="true" strokeweight=".06pt" strokecolor="#000000"/>
            <v:line style="position:absolute" from="170,49" to="1467,49" stroked="true" strokeweight=".06pt" strokecolor="#000000"/>
            <v:line style="position:absolute" from="1467,1" to="2765,1" stroked="true" strokeweight=".06pt" strokecolor="#000000"/>
            <v:line style="position:absolute" from="1467,2" to="2765,2" stroked="true" strokeweight=".06pt" strokecolor="#000000"/>
            <v:line style="position:absolute" from="1467,3" to="2765,3" stroked="true" strokeweight=".06pt" strokecolor="#000000"/>
            <v:line style="position:absolute" from="1467,5" to="2765,5" stroked="true" strokeweight=".06pt" strokecolor="#000000"/>
            <v:line style="position:absolute" from="1467,6" to="2765,6" stroked="true" strokeweight=".06pt" strokecolor="#000000"/>
            <v:line style="position:absolute" from="1467,7" to="2765,7" stroked="true" strokeweight=".06pt" strokecolor="#000000"/>
            <v:line style="position:absolute" from="1467,8" to="2765,8" stroked="true" strokeweight=".06pt" strokecolor="#000000"/>
            <v:line style="position:absolute" from="1467,9" to="2765,9" stroked="true" strokeweight=".06pt" strokecolor="#000000"/>
            <v:line style="position:absolute" from="1467,11" to="2765,11" stroked="true" strokeweight=".06pt" strokecolor="#000000"/>
            <v:line style="position:absolute" from="1467,12" to="2765,12" stroked="true" strokeweight=".06pt" strokecolor="#000000"/>
            <v:line style="position:absolute" from="1467,13" to="2765,13" stroked="true" strokeweight=".06pt" strokecolor="#000000"/>
            <v:line style="position:absolute" from="1467,14" to="2765,14" stroked="true" strokeweight=".06pt" strokecolor="#000000"/>
            <v:line style="position:absolute" from="1467,15" to="2765,15" stroked="true" strokeweight=".06pt" strokecolor="#000000"/>
            <v:line style="position:absolute" from="1467,35" to="2765,35" stroked="true" strokeweight=".06pt" strokecolor="#000000"/>
            <v:line style="position:absolute" from="1467,36" to="2765,36" stroked="true" strokeweight=".06pt" strokecolor="#000000"/>
            <v:line style="position:absolute" from="1467,37" to="2765,37" stroked="true" strokeweight=".06pt" strokecolor="#000000"/>
            <v:line style="position:absolute" from="1467,38" to="2765,38" stroked="true" strokeweight=".06pt" strokecolor="#000000"/>
            <v:line style="position:absolute" from="1467,39" to="2765,39" stroked="true" strokeweight=".06pt" strokecolor="#000000"/>
            <v:line style="position:absolute" from="1467,41" to="2765,41" stroked="true" strokeweight=".06pt" strokecolor="#000000"/>
            <v:line style="position:absolute" from="1467,42" to="2765,42" stroked="true" strokeweight=".06pt" strokecolor="#000000"/>
            <v:line style="position:absolute" from="1467,43" to="2765,43" stroked="true" strokeweight=".06pt" strokecolor="#000000"/>
            <v:line style="position:absolute" from="1467,44" to="2765,44" stroked="true" strokeweight=".06pt" strokecolor="#000000"/>
            <v:line style="position:absolute" from="1467,45" to="2765,45" stroked="true" strokeweight=".06pt" strokecolor="#000000"/>
            <v:line style="position:absolute" from="1467,47" to="2765,47" stroked="true" strokeweight=".06pt" strokecolor="#000000"/>
            <v:line style="position:absolute" from="1467,48" to="2765,48" stroked="true" strokeweight=".06pt" strokecolor="#000000"/>
            <v:line style="position:absolute" from="1467,49" to="2765,49" stroked="true" strokeweight=".06pt" strokecolor="#000000"/>
            <v:line style="position:absolute" from="2765,1" to="2934,1" stroked="true" strokeweight=".06pt" strokecolor="#000000"/>
            <v:line style="position:absolute" from="2765,2" to="2934,2" stroked="true" strokeweight=".06pt" strokecolor="#000000"/>
            <v:line style="position:absolute" from="2765,3" to="2934,3" stroked="true" strokeweight=".06pt" strokecolor="#000000"/>
            <v:line style="position:absolute" from="2765,5" to="2934,5" stroked="true" strokeweight=".06pt" strokecolor="#000000"/>
            <v:line style="position:absolute" from="2765,6" to="2934,6" stroked="true" strokeweight=".06pt" strokecolor="#000000"/>
            <v:line style="position:absolute" from="2765,7" to="2934,7" stroked="true" strokeweight=".06pt" strokecolor="#000000"/>
            <v:line style="position:absolute" from="2765,8" to="2934,8" stroked="true" strokeweight=".06pt" strokecolor="#000000"/>
            <v:line style="position:absolute" from="2765,9" to="2934,9" stroked="true" strokeweight=".06pt" strokecolor="#000000"/>
            <v:line style="position:absolute" from="2765,11" to="2934,11" stroked="true" strokeweight=".06pt" strokecolor="#000000"/>
            <v:line style="position:absolute" from="2765,12" to="2934,12" stroked="true" strokeweight=".06pt" strokecolor="#000000"/>
            <v:line style="position:absolute" from="2765,13" to="2934,13" stroked="true" strokeweight=".06pt" strokecolor="#000000"/>
            <v:line style="position:absolute" from="2765,14" to="2934,14" stroked="true" strokeweight=".06pt" strokecolor="#000000"/>
            <v:line style="position:absolute" from="2765,15" to="2934,15" stroked="true" strokeweight=".06pt" strokecolor="#000000"/>
            <v:line style="position:absolute" from="2765,35" to="2934,35" stroked="true" strokeweight=".06pt" strokecolor="#000000"/>
            <v:line style="position:absolute" from="2765,36" to="2934,36" stroked="true" strokeweight=".06pt" strokecolor="#000000"/>
            <v:line style="position:absolute" from="2765,37" to="2934,37" stroked="true" strokeweight=".06pt" strokecolor="#000000"/>
            <v:line style="position:absolute" from="2765,38" to="2934,38" stroked="true" strokeweight=".06pt" strokecolor="#000000"/>
            <v:line style="position:absolute" from="2765,39" to="2934,39" stroked="true" strokeweight=".06pt" strokecolor="#000000"/>
            <v:line style="position:absolute" from="2765,41" to="2934,41" stroked="true" strokeweight=".06pt" strokecolor="#000000"/>
            <v:line style="position:absolute" from="2765,42" to="2934,42" stroked="true" strokeweight=".06pt" strokecolor="#000000"/>
            <v:line style="position:absolute" from="2765,43" to="2934,43" stroked="true" strokeweight=".06pt" strokecolor="#000000"/>
            <v:line style="position:absolute" from="2765,44" to="2934,44" stroked="true" strokeweight=".06pt" strokecolor="#000000"/>
            <v:line style="position:absolute" from="2765,45" to="2934,45" stroked="true" strokeweight=".06pt" strokecolor="#000000"/>
            <v:line style="position:absolute" from="2765,47" to="2934,47" stroked="true" strokeweight=".06pt" strokecolor="#000000"/>
            <v:line style="position:absolute" from="2765,48" to="2934,48" stroked="true" strokeweight=".06pt" strokecolor="#000000"/>
            <v:line style="position:absolute" from="2765,49" to="2934,49" stroked="true" strokeweight=".06pt" strokecolor="#000000"/>
            <v:line style="position:absolute" from="2934,1" to="4231,1" stroked="true" strokeweight=".06pt" strokecolor="#000000"/>
            <v:line style="position:absolute" from="2934,2" to="4231,2" stroked="true" strokeweight=".06pt" strokecolor="#000000"/>
            <v:line style="position:absolute" from="2934,3" to="4231,3" stroked="true" strokeweight=".06pt" strokecolor="#000000"/>
            <v:line style="position:absolute" from="2934,5" to="4231,5" stroked="true" strokeweight=".06pt" strokecolor="#000000"/>
            <v:line style="position:absolute" from="2934,6" to="4231,6" stroked="true" strokeweight=".06pt" strokecolor="#000000"/>
            <v:line style="position:absolute" from="2934,7" to="4231,7" stroked="true" strokeweight=".06pt" strokecolor="#000000"/>
            <v:line style="position:absolute" from="2934,8" to="4231,8" stroked="true" strokeweight=".06pt" strokecolor="#000000"/>
            <v:line style="position:absolute" from="2934,9" to="4231,9" stroked="true" strokeweight=".06pt" strokecolor="#000000"/>
            <v:line style="position:absolute" from="2934,11" to="4231,11" stroked="true" strokeweight=".06pt" strokecolor="#000000"/>
            <v:line style="position:absolute" from="2934,12" to="4231,12" stroked="true" strokeweight=".06pt" strokecolor="#000000"/>
            <v:line style="position:absolute" from="2934,13" to="4231,13" stroked="true" strokeweight=".06pt" strokecolor="#000000"/>
            <v:line style="position:absolute" from="2934,14" to="4231,14" stroked="true" strokeweight=".06pt" strokecolor="#000000"/>
            <v:line style="position:absolute" from="2934,15" to="4231,15" stroked="true" strokeweight=".06pt" strokecolor="#000000"/>
            <v:line style="position:absolute" from="2934,35" to="4231,35" stroked="true" strokeweight=".06pt" strokecolor="#000000"/>
            <v:line style="position:absolute" from="2934,36" to="4231,36" stroked="true" strokeweight=".06pt" strokecolor="#000000"/>
            <v:line style="position:absolute" from="2934,37" to="4231,37" stroked="true" strokeweight=".06pt" strokecolor="#000000"/>
            <v:line style="position:absolute" from="2934,38" to="4231,38" stroked="true" strokeweight=".06pt" strokecolor="#000000"/>
            <v:line style="position:absolute" from="2934,39" to="4231,39" stroked="true" strokeweight=".06pt" strokecolor="#000000"/>
            <v:line style="position:absolute" from="2934,41" to="4231,41" stroked="true" strokeweight=".06pt" strokecolor="#000000"/>
            <v:line style="position:absolute" from="2934,42" to="4231,42" stroked="true" strokeweight=".06pt" strokecolor="#000000"/>
            <v:line style="position:absolute" from="2934,43" to="4231,43" stroked="true" strokeweight=".06pt" strokecolor="#000000"/>
            <v:line style="position:absolute" from="2934,44" to="4231,44" stroked="true" strokeweight=".06pt" strokecolor="#000000"/>
            <v:line style="position:absolute" from="2934,45" to="4231,45" stroked="true" strokeweight=".06pt" strokecolor="#000000"/>
            <v:line style="position:absolute" from="2934,47" to="4231,47" stroked="true" strokeweight=".06pt" strokecolor="#000000"/>
            <v:line style="position:absolute" from="2934,48" to="4231,48" stroked="true" strokeweight=".06pt" strokecolor="#000000"/>
            <v:line style="position:absolute" from="2934,49" to="4231,49" stroked="true" strokeweight=".06pt" strokecolor="#000000"/>
            <v:line style="position:absolute" from="4231,1" to="5528,1" stroked="true" strokeweight=".06pt" strokecolor="#000000"/>
            <v:line style="position:absolute" from="4231,2" to="5528,2" stroked="true" strokeweight=".06pt" strokecolor="#000000"/>
            <v:line style="position:absolute" from="4231,3" to="5528,3" stroked="true" strokeweight=".06pt" strokecolor="#000000"/>
            <v:line style="position:absolute" from="4231,5" to="5528,5" stroked="true" strokeweight=".06pt" strokecolor="#000000"/>
            <v:line style="position:absolute" from="4231,6" to="5528,6" stroked="true" strokeweight=".06pt" strokecolor="#000000"/>
            <v:line style="position:absolute" from="4231,7" to="5528,7" stroked="true" strokeweight=".06pt" strokecolor="#000000"/>
            <v:line style="position:absolute" from="4231,8" to="5528,8" stroked="true" strokeweight=".06pt" strokecolor="#000000"/>
            <v:line style="position:absolute" from="4231,9" to="5528,9" stroked="true" strokeweight=".06pt" strokecolor="#000000"/>
            <v:line style="position:absolute" from="4231,11" to="5528,11" stroked="true" strokeweight=".06pt" strokecolor="#000000"/>
            <v:line style="position:absolute" from="4231,12" to="5528,12" stroked="true" strokeweight=".06pt" strokecolor="#000000"/>
            <v:line style="position:absolute" from="4231,13" to="5528,13" stroked="true" strokeweight=".06pt" strokecolor="#000000"/>
            <v:line style="position:absolute" from="4231,14" to="5528,14" stroked="true" strokeweight=".06pt" strokecolor="#000000"/>
            <v:line style="position:absolute" from="4231,15" to="5528,15" stroked="true" strokeweight=".06pt" strokecolor="#000000"/>
            <v:line style="position:absolute" from="4231,35" to="5528,35" stroked="true" strokeweight=".06pt" strokecolor="#000000"/>
            <v:line style="position:absolute" from="4231,36" to="5528,36" stroked="true" strokeweight=".06pt" strokecolor="#000000"/>
            <v:line style="position:absolute" from="4231,37" to="5528,37" stroked="true" strokeweight=".06pt" strokecolor="#000000"/>
            <v:line style="position:absolute" from="4231,38" to="5528,38" stroked="true" strokeweight=".06pt" strokecolor="#000000"/>
            <v:line style="position:absolute" from="4231,39" to="5528,39" stroked="true" strokeweight=".06pt" strokecolor="#000000"/>
            <v:line style="position:absolute" from="4231,41" to="5528,41" stroked="true" strokeweight=".06pt" strokecolor="#000000"/>
            <v:line style="position:absolute" from="4231,42" to="5528,42" stroked="true" strokeweight=".06pt" strokecolor="#000000"/>
            <v:line style="position:absolute" from="4231,43" to="5528,43" stroked="true" strokeweight=".06pt" strokecolor="#000000"/>
            <v:line style="position:absolute" from="4231,44" to="5528,44" stroked="true" strokeweight=".06pt" strokecolor="#000000"/>
            <v:line style="position:absolute" from="4231,45" to="5528,45" stroked="true" strokeweight=".06pt" strokecolor="#000000"/>
            <v:line style="position:absolute" from="4231,47" to="5528,47" stroked="true" strokeweight=".06pt" strokecolor="#000000"/>
            <v:line style="position:absolute" from="4231,48" to="5528,48" stroked="true" strokeweight=".06pt" strokecolor="#000000"/>
            <v:line style="position:absolute" from="4231,49" to="5528,49" stroked="true" strokeweight=".06pt" strokecolor="#000000"/>
          </v:group>
        </w:pict>
      </w:r>
      <w:r>
        <w:rPr>
          <w:position w:val="0"/>
          <w:sz w:val="5"/>
        </w:rPr>
      </w:r>
    </w:p>
    <w:p>
      <w:pPr>
        <w:spacing w:after="0" w:line="50" w:lineRule="exact"/>
        <w:rPr>
          <w:sz w:val="5"/>
        </w:rPr>
        <w:sectPr>
          <w:type w:val="continuous"/>
          <w:pgSz w:w="11910" w:h="16840"/>
          <w:pgMar w:top="0" w:bottom="280" w:left="900" w:right="880"/>
        </w:sectPr>
      </w:pPr>
    </w:p>
    <w:p>
      <w:pPr>
        <w:pStyle w:val="BodyText"/>
        <w:spacing w:before="7"/>
        <w:rPr>
          <w:sz w:val="26"/>
        </w:rPr>
      </w:pPr>
    </w:p>
    <w:p>
      <w:pPr>
        <w:pStyle w:val="Heading9"/>
        <w:numPr>
          <w:ilvl w:val="0"/>
          <w:numId w:val="27"/>
        </w:numPr>
        <w:tabs>
          <w:tab w:pos="505" w:val="left" w:leader="none"/>
        </w:tabs>
        <w:spacing w:line="240" w:lineRule="auto" w:before="77" w:after="0"/>
        <w:ind w:left="505" w:right="0" w:hanging="396"/>
        <w:jc w:val="left"/>
      </w:pPr>
      <w:r>
        <w:rPr/>
        <w:t>Acquittal of Australian Government Financial</w:t>
      </w:r>
      <w:r>
        <w:rPr>
          <w:spacing w:val="-2"/>
        </w:rPr>
        <w:t> </w:t>
      </w:r>
      <w:r>
        <w:rPr/>
        <w:t>Assistance</w:t>
      </w:r>
    </w:p>
    <w:p>
      <w:pPr>
        <w:pStyle w:val="BodyText"/>
        <w:spacing w:before="3"/>
        <w:rPr>
          <w:b/>
        </w:rPr>
      </w:pPr>
    </w:p>
    <w:p>
      <w:pPr>
        <w:spacing w:after="0"/>
        <w:sectPr>
          <w:headerReference w:type="default" r:id="rId89"/>
          <w:footerReference w:type="default" r:id="rId90"/>
          <w:pgSz w:w="16840" w:h="11910" w:orient="landscape"/>
          <w:pgMar w:header="1038" w:footer="507" w:top="2220" w:bottom="700" w:left="900" w:right="880"/>
          <w:pgNumType w:start="67"/>
        </w:sectPr>
      </w:pPr>
    </w:p>
    <w:p>
      <w:pPr>
        <w:pStyle w:val="ListParagraph"/>
        <w:numPr>
          <w:ilvl w:val="1"/>
          <w:numId w:val="27"/>
        </w:numPr>
        <w:tabs>
          <w:tab w:pos="1072" w:val="left" w:leader="none"/>
        </w:tabs>
        <w:spacing w:line="240" w:lineRule="auto" w:before="77" w:after="0"/>
        <w:ind w:left="1071" w:right="0" w:hanging="566"/>
        <w:jc w:val="left"/>
        <w:rPr>
          <w:sz w:val="18"/>
        </w:rPr>
      </w:pPr>
      <w:r>
        <w:rPr>
          <w:sz w:val="18"/>
        </w:rPr>
        <w:t>DIISRTE - CGS and other DIISRTE</w:t>
      </w:r>
      <w:r>
        <w:rPr>
          <w:spacing w:val="-1"/>
          <w:sz w:val="18"/>
        </w:rPr>
        <w:t> </w:t>
      </w:r>
      <w:r>
        <w:rPr>
          <w:sz w:val="18"/>
        </w:rPr>
        <w:t>Grants</w:t>
      </w:r>
    </w:p>
    <w:p>
      <w:pPr>
        <w:pStyle w:val="BodyText"/>
        <w:rPr>
          <w:sz w:val="16"/>
        </w:rPr>
      </w:pPr>
      <w:r>
        <w:rPr/>
        <w:br w:type="column"/>
      </w:r>
      <w:r>
        <w:rPr>
          <w:sz w:val="16"/>
        </w:rPr>
      </w:r>
    </w:p>
    <w:p>
      <w:pPr>
        <w:pStyle w:val="BodyText"/>
        <w:rPr>
          <w:sz w:val="16"/>
        </w:rPr>
      </w:pPr>
    </w:p>
    <w:p>
      <w:pPr>
        <w:spacing w:before="132"/>
        <w:ind w:left="505" w:right="-17" w:firstLine="0"/>
        <w:jc w:val="left"/>
        <w:rPr>
          <w:b/>
          <w:sz w:val="16"/>
        </w:rPr>
      </w:pPr>
      <w:r>
        <w:rPr>
          <w:b/>
          <w:sz w:val="16"/>
        </w:rPr>
        <w:t>Commonwealth Grants  Indigenous</w:t>
      </w:r>
      <w:r>
        <w:rPr>
          <w:b/>
          <w:spacing w:val="-11"/>
          <w:sz w:val="16"/>
        </w:rPr>
        <w:t> </w:t>
      </w:r>
      <w:r>
        <w:rPr>
          <w:b/>
          <w:sz w:val="16"/>
        </w:rPr>
        <w:t>Support</w:t>
      </w:r>
    </w:p>
    <w:p>
      <w:pPr>
        <w:pStyle w:val="BodyText"/>
        <w:rPr>
          <w:b/>
          <w:sz w:val="16"/>
        </w:rPr>
      </w:pPr>
      <w:r>
        <w:rPr/>
        <w:br w:type="column"/>
      </w:r>
      <w:r>
        <w:rPr>
          <w:b/>
          <w:sz w:val="16"/>
        </w:rPr>
      </w:r>
    </w:p>
    <w:p>
      <w:pPr>
        <w:spacing w:line="184" w:lineRule="exact" w:before="133"/>
        <w:ind w:left="185" w:right="-5" w:firstLine="0"/>
        <w:jc w:val="left"/>
        <w:rPr>
          <w:b/>
          <w:sz w:val="16"/>
        </w:rPr>
      </w:pPr>
      <w:r>
        <w:rPr>
          <w:b/>
          <w:sz w:val="16"/>
        </w:rPr>
        <w:t>Partnership &amp;</w:t>
      </w:r>
    </w:p>
    <w:p>
      <w:pPr>
        <w:spacing w:line="184" w:lineRule="exact" w:before="0"/>
        <w:ind w:left="185" w:right="-5" w:firstLine="0"/>
        <w:jc w:val="left"/>
        <w:rPr>
          <w:b/>
          <w:sz w:val="16"/>
        </w:rPr>
      </w:pPr>
      <w:r>
        <w:rPr>
          <w:b/>
          <w:sz w:val="16"/>
        </w:rPr>
        <w:t>Participation Program Disability Support</w:t>
      </w:r>
    </w:p>
    <w:p>
      <w:pPr>
        <w:pStyle w:val="BodyText"/>
        <w:rPr>
          <w:b/>
          <w:sz w:val="16"/>
        </w:rPr>
      </w:pPr>
      <w:r>
        <w:rPr/>
        <w:br w:type="column"/>
      </w:r>
      <w:r>
        <w:rPr>
          <w:b/>
          <w:sz w:val="16"/>
        </w:rPr>
      </w:r>
    </w:p>
    <w:p>
      <w:pPr>
        <w:pStyle w:val="BodyText"/>
        <w:rPr>
          <w:b/>
          <w:sz w:val="16"/>
        </w:rPr>
      </w:pPr>
    </w:p>
    <w:p>
      <w:pPr>
        <w:spacing w:before="132"/>
        <w:ind w:left="327" w:right="0" w:firstLine="0"/>
        <w:jc w:val="left"/>
        <w:rPr>
          <w:b/>
          <w:sz w:val="16"/>
        </w:rPr>
      </w:pPr>
      <w:r>
        <w:rPr>
          <w:b/>
          <w:sz w:val="16"/>
        </w:rPr>
        <w:t>Workplace Reform</w:t>
      </w:r>
    </w:p>
    <w:p>
      <w:pPr>
        <w:spacing w:after="0"/>
        <w:jc w:val="left"/>
        <w:rPr>
          <w:sz w:val="16"/>
        </w:rPr>
        <w:sectPr>
          <w:type w:val="continuous"/>
          <w:pgSz w:w="16840" w:h="11910" w:orient="landscape"/>
          <w:pgMar w:top="0" w:bottom="280" w:left="900" w:right="880"/>
          <w:cols w:num="4" w:equalWidth="0">
            <w:col w:w="4493" w:space="1211"/>
            <w:col w:w="3849" w:space="40"/>
            <w:col w:w="3285" w:space="40"/>
            <w:col w:w="2142"/>
          </w:cols>
        </w:sectPr>
      </w:pPr>
    </w:p>
    <w:p>
      <w:pPr>
        <w:spacing w:line="183" w:lineRule="exact" w:before="0"/>
        <w:ind w:left="0" w:right="0" w:firstLine="0"/>
        <w:jc w:val="right"/>
        <w:rPr>
          <w:b/>
          <w:sz w:val="16"/>
        </w:rPr>
      </w:pPr>
      <w:r>
        <w:rPr>
          <w:b/>
          <w:w w:val="95"/>
          <w:sz w:val="16"/>
        </w:rPr>
        <w:t>Scheme#1</w:t>
      </w:r>
    </w:p>
    <w:p>
      <w:pPr>
        <w:tabs>
          <w:tab w:pos="2739" w:val="left" w:leader="none"/>
        </w:tabs>
        <w:spacing w:line="184" w:lineRule="exact" w:before="0"/>
        <w:ind w:left="1006" w:right="0" w:firstLine="0"/>
        <w:jc w:val="left"/>
        <w:rPr>
          <w:b/>
          <w:sz w:val="16"/>
        </w:rPr>
      </w:pPr>
      <w:r>
        <w:rPr/>
        <w:br w:type="column"/>
      </w:r>
      <w:r>
        <w:rPr>
          <w:b/>
          <w:sz w:val="16"/>
        </w:rPr>
        <w:t>Program</w:t>
        <w:tab/>
      </w:r>
      <w:r>
        <w:rPr>
          <w:b/>
          <w:w w:val="95"/>
          <w:sz w:val="16"/>
        </w:rPr>
        <w:t>#2</w:t>
      </w:r>
    </w:p>
    <w:p>
      <w:pPr>
        <w:spacing w:line="184" w:lineRule="exact" w:before="0"/>
        <w:ind w:left="0" w:right="0" w:firstLine="0"/>
        <w:jc w:val="right"/>
        <w:rPr>
          <w:b/>
          <w:sz w:val="16"/>
        </w:rPr>
      </w:pPr>
      <w:r>
        <w:rPr/>
        <w:br w:type="column"/>
      </w:r>
      <w:r>
        <w:rPr>
          <w:b/>
          <w:sz w:val="16"/>
        </w:rPr>
        <w:t>Program</w:t>
      </w:r>
    </w:p>
    <w:p>
      <w:pPr>
        <w:spacing w:line="184" w:lineRule="exact" w:before="0"/>
        <w:ind w:left="1016" w:right="1138" w:firstLine="0"/>
        <w:jc w:val="center"/>
        <w:rPr>
          <w:b/>
          <w:sz w:val="16"/>
        </w:rPr>
      </w:pPr>
      <w:r>
        <w:rPr/>
        <w:br w:type="column"/>
      </w:r>
      <w:r>
        <w:rPr>
          <w:b/>
          <w:sz w:val="16"/>
        </w:rPr>
        <w:t>Program</w:t>
      </w:r>
    </w:p>
    <w:p>
      <w:pPr>
        <w:spacing w:after="0" w:line="184" w:lineRule="exact"/>
        <w:jc w:val="center"/>
        <w:rPr>
          <w:sz w:val="16"/>
        </w:rPr>
        <w:sectPr>
          <w:type w:val="continuous"/>
          <w:pgSz w:w="16840" w:h="11910" w:orient="landscape"/>
          <w:pgMar w:top="0" w:bottom="280" w:left="900" w:right="880"/>
          <w:cols w:num="4" w:equalWidth="0">
            <w:col w:w="6999" w:space="40"/>
            <w:col w:w="2917" w:space="40"/>
            <w:col w:w="2172" w:space="40"/>
            <w:col w:w="2852"/>
          </w:cols>
        </w:sectPr>
      </w:pPr>
    </w:p>
    <w:p>
      <w:pPr>
        <w:pStyle w:val="BodyText"/>
        <w:spacing w:before="1"/>
        <w:rPr>
          <w:b/>
          <w:sz w:val="3"/>
        </w:rPr>
      </w:pPr>
    </w:p>
    <w:tbl>
      <w:tblPr>
        <w:tblW w:w="0" w:type="auto"/>
        <w:jc w:val="left"/>
        <w:tblInd w:w="107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34"/>
        <w:gridCol w:w="497"/>
        <w:gridCol w:w="994"/>
        <w:gridCol w:w="918"/>
        <w:gridCol w:w="866"/>
        <w:gridCol w:w="866"/>
        <w:gridCol w:w="866"/>
        <w:gridCol w:w="866"/>
        <w:gridCol w:w="443"/>
        <w:gridCol w:w="423"/>
        <w:gridCol w:w="443"/>
        <w:gridCol w:w="423"/>
        <w:gridCol w:w="488"/>
        <w:gridCol w:w="379"/>
        <w:gridCol w:w="866"/>
      </w:tblGrid>
      <w:tr>
        <w:trPr>
          <w:trHeight w:val="718" w:hRule="exact"/>
        </w:trPr>
        <w:tc>
          <w:tcPr>
            <w:tcW w:w="4534" w:type="dxa"/>
          </w:tcPr>
          <w:p>
            <w:pPr>
              <w:pStyle w:val="TableParagraph"/>
              <w:rPr>
                <w:b/>
                <w:sz w:val="16"/>
              </w:rPr>
            </w:pPr>
          </w:p>
          <w:p>
            <w:pPr>
              <w:pStyle w:val="TableParagraph"/>
              <w:spacing w:before="97"/>
              <w:ind w:left="35" w:right="1254"/>
              <w:rPr>
                <w:b/>
                <w:sz w:val="16"/>
              </w:rPr>
            </w:pPr>
            <w:r>
              <w:rPr>
                <w:b/>
                <w:sz w:val="16"/>
              </w:rPr>
              <w:t>Parent Entity (University) Only</w:t>
            </w:r>
          </w:p>
          <w:p>
            <w:pPr>
              <w:pStyle w:val="TableParagraph"/>
              <w:spacing w:before="61"/>
              <w:ind w:left="35" w:right="1254"/>
              <w:rPr>
                <w:sz w:val="16"/>
              </w:rPr>
            </w:pPr>
            <w:r>
              <w:rPr>
                <w:sz w:val="16"/>
              </w:rPr>
              <w:t>Financial assistance received in CASH</w:t>
            </w:r>
          </w:p>
        </w:tc>
        <w:tc>
          <w:tcPr>
            <w:tcW w:w="497" w:type="dxa"/>
          </w:tcPr>
          <w:p>
            <w:pPr>
              <w:pStyle w:val="TableParagraph"/>
              <w:rPr>
                <w:b/>
                <w:sz w:val="16"/>
              </w:rPr>
            </w:pPr>
          </w:p>
          <w:p>
            <w:pPr>
              <w:pStyle w:val="TableParagraph"/>
              <w:spacing w:before="97"/>
              <w:ind w:left="40"/>
              <w:rPr>
                <w:b/>
                <w:sz w:val="16"/>
              </w:rPr>
            </w:pPr>
            <w:r>
              <w:rPr>
                <w:b/>
                <w:sz w:val="16"/>
              </w:rPr>
              <w:t>Note</w:t>
            </w:r>
          </w:p>
        </w:tc>
        <w:tc>
          <w:tcPr>
            <w:tcW w:w="994" w:type="dxa"/>
          </w:tcPr>
          <w:p>
            <w:pPr>
              <w:pStyle w:val="TableParagraph"/>
              <w:spacing w:before="30"/>
              <w:ind w:left="101"/>
              <w:rPr>
                <w:b/>
                <w:sz w:val="16"/>
              </w:rPr>
            </w:pPr>
            <w:r>
              <w:rPr>
                <w:b/>
                <w:sz w:val="16"/>
              </w:rPr>
              <w:t>2012</w:t>
            </w:r>
          </w:p>
          <w:p>
            <w:pPr>
              <w:pStyle w:val="TableParagraph"/>
              <w:spacing w:before="66"/>
              <w:ind w:left="101"/>
              <w:rPr>
                <w:b/>
                <w:sz w:val="16"/>
              </w:rPr>
            </w:pPr>
            <w:r>
              <w:rPr>
                <w:b/>
                <w:sz w:val="16"/>
              </w:rPr>
              <w:t>$'000</w:t>
            </w:r>
          </w:p>
        </w:tc>
        <w:tc>
          <w:tcPr>
            <w:tcW w:w="918" w:type="dxa"/>
          </w:tcPr>
          <w:p>
            <w:pPr>
              <w:pStyle w:val="TableParagraph"/>
              <w:spacing w:before="30"/>
              <w:ind w:left="25"/>
              <w:rPr>
                <w:b/>
                <w:sz w:val="16"/>
              </w:rPr>
            </w:pPr>
            <w:r>
              <w:rPr>
                <w:b/>
                <w:sz w:val="16"/>
              </w:rPr>
              <w:t>2011</w:t>
            </w:r>
          </w:p>
          <w:p>
            <w:pPr>
              <w:pStyle w:val="TableParagraph"/>
              <w:spacing w:before="66"/>
              <w:ind w:left="25"/>
              <w:rPr>
                <w:b/>
                <w:sz w:val="16"/>
              </w:rPr>
            </w:pPr>
            <w:r>
              <w:rPr>
                <w:b/>
                <w:sz w:val="16"/>
              </w:rPr>
              <w:t>$'000</w:t>
            </w:r>
          </w:p>
        </w:tc>
        <w:tc>
          <w:tcPr>
            <w:tcW w:w="866" w:type="dxa"/>
          </w:tcPr>
          <w:p>
            <w:pPr>
              <w:pStyle w:val="TableParagraph"/>
              <w:spacing w:before="30"/>
              <w:ind w:left="24"/>
              <w:rPr>
                <w:b/>
                <w:sz w:val="16"/>
              </w:rPr>
            </w:pPr>
            <w:r>
              <w:rPr>
                <w:b/>
                <w:sz w:val="16"/>
              </w:rPr>
              <w:t>2012</w:t>
            </w:r>
          </w:p>
          <w:p>
            <w:pPr>
              <w:pStyle w:val="TableParagraph"/>
              <w:spacing w:before="66"/>
              <w:ind w:left="24"/>
              <w:rPr>
                <w:b/>
                <w:sz w:val="16"/>
              </w:rPr>
            </w:pPr>
            <w:r>
              <w:rPr>
                <w:b/>
                <w:sz w:val="16"/>
              </w:rPr>
              <w:t>$'000</w:t>
            </w:r>
          </w:p>
        </w:tc>
        <w:tc>
          <w:tcPr>
            <w:tcW w:w="866" w:type="dxa"/>
          </w:tcPr>
          <w:p>
            <w:pPr>
              <w:pStyle w:val="TableParagraph"/>
              <w:spacing w:before="30"/>
              <w:ind w:left="25"/>
              <w:rPr>
                <w:b/>
                <w:sz w:val="16"/>
              </w:rPr>
            </w:pPr>
            <w:r>
              <w:rPr>
                <w:b/>
                <w:sz w:val="16"/>
              </w:rPr>
              <w:t>2011</w:t>
            </w:r>
          </w:p>
          <w:p>
            <w:pPr>
              <w:pStyle w:val="TableParagraph"/>
              <w:spacing w:before="66"/>
              <w:ind w:left="25"/>
              <w:rPr>
                <w:b/>
                <w:sz w:val="16"/>
              </w:rPr>
            </w:pPr>
            <w:r>
              <w:rPr>
                <w:b/>
                <w:sz w:val="16"/>
              </w:rPr>
              <w:t>$'000</w:t>
            </w:r>
          </w:p>
        </w:tc>
        <w:tc>
          <w:tcPr>
            <w:tcW w:w="866" w:type="dxa"/>
          </w:tcPr>
          <w:p>
            <w:pPr>
              <w:pStyle w:val="TableParagraph"/>
              <w:spacing w:before="30"/>
              <w:ind w:left="25"/>
              <w:rPr>
                <w:b/>
                <w:sz w:val="16"/>
              </w:rPr>
            </w:pPr>
            <w:r>
              <w:rPr>
                <w:b/>
                <w:sz w:val="16"/>
              </w:rPr>
              <w:t>2012</w:t>
            </w:r>
          </w:p>
          <w:p>
            <w:pPr>
              <w:pStyle w:val="TableParagraph"/>
              <w:spacing w:before="66"/>
              <w:ind w:left="25"/>
              <w:rPr>
                <w:b/>
                <w:sz w:val="16"/>
              </w:rPr>
            </w:pPr>
            <w:r>
              <w:rPr>
                <w:b/>
                <w:sz w:val="16"/>
              </w:rPr>
              <w:t>$'000</w:t>
            </w:r>
          </w:p>
        </w:tc>
        <w:tc>
          <w:tcPr>
            <w:tcW w:w="866" w:type="dxa"/>
          </w:tcPr>
          <w:p>
            <w:pPr>
              <w:pStyle w:val="TableParagraph"/>
              <w:spacing w:before="30"/>
              <w:ind w:left="25"/>
              <w:rPr>
                <w:b/>
                <w:sz w:val="16"/>
              </w:rPr>
            </w:pPr>
            <w:r>
              <w:rPr>
                <w:b/>
                <w:sz w:val="16"/>
              </w:rPr>
              <w:t>2011</w:t>
            </w:r>
          </w:p>
          <w:p>
            <w:pPr>
              <w:pStyle w:val="TableParagraph"/>
              <w:spacing w:before="66"/>
              <w:ind w:left="25"/>
              <w:rPr>
                <w:b/>
                <w:sz w:val="16"/>
              </w:rPr>
            </w:pPr>
            <w:r>
              <w:rPr>
                <w:b/>
                <w:sz w:val="16"/>
              </w:rPr>
              <w:t>$'000</w:t>
            </w:r>
          </w:p>
        </w:tc>
        <w:tc>
          <w:tcPr>
            <w:tcW w:w="443" w:type="dxa"/>
          </w:tcPr>
          <w:p>
            <w:pPr>
              <w:pStyle w:val="TableParagraph"/>
              <w:spacing w:before="30"/>
              <w:ind w:left="25"/>
              <w:rPr>
                <w:b/>
                <w:sz w:val="16"/>
              </w:rPr>
            </w:pPr>
            <w:r>
              <w:rPr>
                <w:b/>
                <w:sz w:val="16"/>
              </w:rPr>
              <w:t>2012</w:t>
            </w:r>
          </w:p>
          <w:p>
            <w:pPr>
              <w:pStyle w:val="TableParagraph"/>
              <w:spacing w:before="66"/>
              <w:ind w:left="25"/>
              <w:rPr>
                <w:b/>
                <w:sz w:val="16"/>
              </w:rPr>
            </w:pPr>
            <w:r>
              <w:rPr>
                <w:b/>
                <w:sz w:val="16"/>
              </w:rPr>
              <w:t>$'000</w:t>
            </w:r>
          </w:p>
        </w:tc>
        <w:tc>
          <w:tcPr>
            <w:tcW w:w="423" w:type="dxa"/>
          </w:tcPr>
          <w:p>
            <w:pPr/>
          </w:p>
        </w:tc>
        <w:tc>
          <w:tcPr>
            <w:tcW w:w="443" w:type="dxa"/>
          </w:tcPr>
          <w:p>
            <w:pPr>
              <w:pStyle w:val="TableParagraph"/>
              <w:spacing w:before="30"/>
              <w:ind w:left="25"/>
              <w:rPr>
                <w:b/>
                <w:sz w:val="16"/>
              </w:rPr>
            </w:pPr>
            <w:r>
              <w:rPr>
                <w:b/>
                <w:sz w:val="16"/>
              </w:rPr>
              <w:t>2011</w:t>
            </w:r>
          </w:p>
          <w:p>
            <w:pPr>
              <w:pStyle w:val="TableParagraph"/>
              <w:spacing w:before="66"/>
              <w:ind w:left="25"/>
              <w:rPr>
                <w:b/>
                <w:sz w:val="16"/>
              </w:rPr>
            </w:pPr>
            <w:r>
              <w:rPr>
                <w:b/>
                <w:sz w:val="16"/>
              </w:rPr>
              <w:t>$'000</w:t>
            </w:r>
          </w:p>
        </w:tc>
        <w:tc>
          <w:tcPr>
            <w:tcW w:w="423" w:type="dxa"/>
          </w:tcPr>
          <w:p>
            <w:pPr/>
          </w:p>
        </w:tc>
        <w:tc>
          <w:tcPr>
            <w:tcW w:w="488" w:type="dxa"/>
          </w:tcPr>
          <w:p>
            <w:pPr>
              <w:pStyle w:val="TableParagraph"/>
              <w:spacing w:before="30"/>
              <w:ind w:left="25"/>
              <w:rPr>
                <w:b/>
                <w:sz w:val="16"/>
              </w:rPr>
            </w:pPr>
            <w:r>
              <w:rPr>
                <w:b/>
                <w:sz w:val="16"/>
              </w:rPr>
              <w:t>2012</w:t>
            </w:r>
          </w:p>
          <w:p>
            <w:pPr>
              <w:pStyle w:val="TableParagraph"/>
              <w:spacing w:before="66"/>
              <w:ind w:left="25"/>
              <w:rPr>
                <w:b/>
                <w:sz w:val="16"/>
              </w:rPr>
            </w:pPr>
            <w:r>
              <w:rPr>
                <w:b/>
                <w:sz w:val="16"/>
              </w:rPr>
              <w:t>$'000</w:t>
            </w:r>
          </w:p>
        </w:tc>
        <w:tc>
          <w:tcPr>
            <w:tcW w:w="379" w:type="dxa"/>
          </w:tcPr>
          <w:p>
            <w:pPr/>
          </w:p>
        </w:tc>
        <w:tc>
          <w:tcPr>
            <w:tcW w:w="866" w:type="dxa"/>
          </w:tcPr>
          <w:p>
            <w:pPr>
              <w:pStyle w:val="TableParagraph"/>
              <w:spacing w:before="30"/>
              <w:ind w:left="25"/>
              <w:rPr>
                <w:b/>
                <w:sz w:val="16"/>
              </w:rPr>
            </w:pPr>
            <w:r>
              <w:rPr>
                <w:b/>
                <w:sz w:val="16"/>
              </w:rPr>
              <w:t>2011</w:t>
            </w:r>
          </w:p>
          <w:p>
            <w:pPr>
              <w:pStyle w:val="TableParagraph"/>
              <w:spacing w:before="66"/>
              <w:ind w:left="25"/>
              <w:rPr>
                <w:b/>
                <w:sz w:val="16"/>
              </w:rPr>
            </w:pPr>
            <w:r>
              <w:rPr>
                <w:b/>
                <w:sz w:val="16"/>
              </w:rPr>
              <w:t>$'000</w:t>
            </w:r>
          </w:p>
        </w:tc>
      </w:tr>
      <w:tr>
        <w:trPr>
          <w:trHeight w:val="579" w:hRule="exact"/>
        </w:trPr>
        <w:tc>
          <w:tcPr>
            <w:tcW w:w="4534" w:type="dxa"/>
          </w:tcPr>
          <w:p>
            <w:pPr>
              <w:pStyle w:val="TableParagraph"/>
              <w:ind w:left="35" w:right="1254"/>
              <w:rPr>
                <w:sz w:val="16"/>
              </w:rPr>
            </w:pPr>
            <w:r>
              <w:rPr>
                <w:sz w:val="16"/>
              </w:rPr>
              <w:t>during the reporting period (total cash received from Australian Government for the program)</w:t>
            </w:r>
          </w:p>
        </w:tc>
        <w:tc>
          <w:tcPr>
            <w:tcW w:w="497" w:type="dxa"/>
          </w:tcPr>
          <w:p>
            <w:pPr/>
          </w:p>
        </w:tc>
        <w:tc>
          <w:tcPr>
            <w:tcW w:w="994" w:type="dxa"/>
          </w:tcPr>
          <w:p>
            <w:pPr>
              <w:pStyle w:val="TableParagraph"/>
              <w:rPr>
                <w:b/>
                <w:sz w:val="16"/>
              </w:rPr>
            </w:pPr>
          </w:p>
          <w:p>
            <w:pPr>
              <w:pStyle w:val="TableParagraph"/>
              <w:rPr>
                <w:b/>
                <w:sz w:val="15"/>
              </w:rPr>
            </w:pPr>
          </w:p>
          <w:p>
            <w:pPr>
              <w:pStyle w:val="TableParagraph"/>
              <w:ind w:right="76"/>
              <w:jc w:val="right"/>
              <w:rPr>
                <w:sz w:val="16"/>
              </w:rPr>
            </w:pPr>
            <w:r>
              <w:rPr>
                <w:w w:val="95"/>
                <w:sz w:val="16"/>
              </w:rPr>
              <w:t>244,739</w:t>
            </w:r>
          </w:p>
        </w:tc>
        <w:tc>
          <w:tcPr>
            <w:tcW w:w="918" w:type="dxa"/>
          </w:tcPr>
          <w:p>
            <w:pPr>
              <w:pStyle w:val="TableParagraph"/>
              <w:rPr>
                <w:b/>
                <w:sz w:val="16"/>
              </w:rPr>
            </w:pPr>
          </w:p>
          <w:p>
            <w:pPr>
              <w:pStyle w:val="TableParagraph"/>
              <w:rPr>
                <w:b/>
                <w:sz w:val="15"/>
              </w:rPr>
            </w:pPr>
          </w:p>
          <w:p>
            <w:pPr>
              <w:pStyle w:val="TableParagraph"/>
              <w:ind w:right="76"/>
              <w:jc w:val="right"/>
              <w:rPr>
                <w:sz w:val="16"/>
              </w:rPr>
            </w:pPr>
            <w:r>
              <w:rPr>
                <w:w w:val="95"/>
                <w:sz w:val="16"/>
              </w:rPr>
              <w:t>199,868</w:t>
            </w:r>
          </w:p>
        </w:tc>
        <w:tc>
          <w:tcPr>
            <w:tcW w:w="866" w:type="dxa"/>
          </w:tcPr>
          <w:p>
            <w:pPr>
              <w:pStyle w:val="TableParagraph"/>
              <w:rPr>
                <w:b/>
                <w:sz w:val="16"/>
              </w:rPr>
            </w:pPr>
          </w:p>
          <w:p>
            <w:pPr>
              <w:pStyle w:val="TableParagraph"/>
              <w:rPr>
                <w:b/>
                <w:sz w:val="15"/>
              </w:rPr>
            </w:pPr>
          </w:p>
          <w:p>
            <w:pPr>
              <w:pStyle w:val="TableParagraph"/>
              <w:ind w:right="76"/>
              <w:jc w:val="right"/>
              <w:rPr>
                <w:sz w:val="16"/>
              </w:rPr>
            </w:pPr>
            <w:r>
              <w:rPr>
                <w:w w:val="95"/>
                <w:sz w:val="16"/>
              </w:rPr>
              <w:t>1,397</w:t>
            </w:r>
          </w:p>
        </w:tc>
        <w:tc>
          <w:tcPr>
            <w:tcW w:w="866" w:type="dxa"/>
          </w:tcPr>
          <w:p>
            <w:pPr>
              <w:pStyle w:val="TableParagraph"/>
              <w:rPr>
                <w:b/>
                <w:sz w:val="16"/>
              </w:rPr>
            </w:pPr>
          </w:p>
          <w:p>
            <w:pPr>
              <w:pStyle w:val="TableParagraph"/>
              <w:rPr>
                <w:b/>
                <w:sz w:val="15"/>
              </w:rPr>
            </w:pPr>
          </w:p>
          <w:p>
            <w:pPr>
              <w:pStyle w:val="TableParagraph"/>
              <w:ind w:right="76"/>
              <w:jc w:val="right"/>
              <w:rPr>
                <w:sz w:val="16"/>
              </w:rPr>
            </w:pPr>
            <w:r>
              <w:rPr>
                <w:w w:val="95"/>
                <w:sz w:val="16"/>
              </w:rPr>
              <w:t>1,397</w:t>
            </w:r>
          </w:p>
        </w:tc>
        <w:tc>
          <w:tcPr>
            <w:tcW w:w="866" w:type="dxa"/>
          </w:tcPr>
          <w:p>
            <w:pPr>
              <w:pStyle w:val="TableParagraph"/>
              <w:rPr>
                <w:b/>
                <w:sz w:val="16"/>
              </w:rPr>
            </w:pPr>
          </w:p>
          <w:p>
            <w:pPr>
              <w:pStyle w:val="TableParagraph"/>
              <w:rPr>
                <w:b/>
                <w:sz w:val="15"/>
              </w:rPr>
            </w:pPr>
          </w:p>
          <w:p>
            <w:pPr>
              <w:pStyle w:val="TableParagraph"/>
              <w:ind w:right="76"/>
              <w:jc w:val="right"/>
              <w:rPr>
                <w:sz w:val="16"/>
              </w:rPr>
            </w:pPr>
            <w:r>
              <w:rPr>
                <w:w w:val="95"/>
                <w:sz w:val="16"/>
              </w:rPr>
              <w:t>20,108</w:t>
            </w:r>
          </w:p>
        </w:tc>
        <w:tc>
          <w:tcPr>
            <w:tcW w:w="866" w:type="dxa"/>
          </w:tcPr>
          <w:p>
            <w:pPr>
              <w:pStyle w:val="TableParagraph"/>
              <w:rPr>
                <w:b/>
                <w:sz w:val="16"/>
              </w:rPr>
            </w:pPr>
          </w:p>
          <w:p>
            <w:pPr>
              <w:pStyle w:val="TableParagraph"/>
              <w:rPr>
                <w:b/>
                <w:sz w:val="15"/>
              </w:rPr>
            </w:pPr>
          </w:p>
          <w:p>
            <w:pPr>
              <w:pStyle w:val="TableParagraph"/>
              <w:ind w:right="76"/>
              <w:jc w:val="right"/>
              <w:rPr>
                <w:sz w:val="16"/>
              </w:rPr>
            </w:pPr>
            <w:r>
              <w:rPr>
                <w:w w:val="95"/>
                <w:sz w:val="16"/>
              </w:rPr>
              <w:t>5,690</w:t>
            </w:r>
          </w:p>
        </w:tc>
        <w:tc>
          <w:tcPr>
            <w:tcW w:w="443" w:type="dxa"/>
          </w:tcPr>
          <w:p>
            <w:pPr/>
          </w:p>
        </w:tc>
        <w:tc>
          <w:tcPr>
            <w:tcW w:w="423" w:type="dxa"/>
          </w:tcPr>
          <w:p>
            <w:pPr>
              <w:pStyle w:val="TableParagraph"/>
              <w:rPr>
                <w:b/>
                <w:sz w:val="16"/>
              </w:rPr>
            </w:pPr>
          </w:p>
          <w:p>
            <w:pPr>
              <w:pStyle w:val="TableParagraph"/>
              <w:rPr>
                <w:b/>
                <w:sz w:val="15"/>
              </w:rPr>
            </w:pPr>
          </w:p>
          <w:p>
            <w:pPr>
              <w:pStyle w:val="TableParagraph"/>
              <w:ind w:right="76"/>
              <w:jc w:val="right"/>
              <w:rPr>
                <w:sz w:val="16"/>
              </w:rPr>
            </w:pPr>
            <w:r>
              <w:rPr>
                <w:w w:val="95"/>
                <w:sz w:val="16"/>
              </w:rPr>
              <w:t>642</w:t>
            </w:r>
          </w:p>
        </w:tc>
        <w:tc>
          <w:tcPr>
            <w:tcW w:w="443" w:type="dxa"/>
          </w:tcPr>
          <w:p>
            <w:pPr/>
          </w:p>
        </w:tc>
        <w:tc>
          <w:tcPr>
            <w:tcW w:w="423" w:type="dxa"/>
          </w:tcPr>
          <w:p>
            <w:pPr>
              <w:pStyle w:val="TableParagraph"/>
              <w:rPr>
                <w:b/>
                <w:sz w:val="16"/>
              </w:rPr>
            </w:pPr>
          </w:p>
          <w:p>
            <w:pPr>
              <w:pStyle w:val="TableParagraph"/>
              <w:rPr>
                <w:b/>
                <w:sz w:val="15"/>
              </w:rPr>
            </w:pPr>
          </w:p>
          <w:p>
            <w:pPr>
              <w:pStyle w:val="TableParagraph"/>
              <w:ind w:left="78"/>
              <w:rPr>
                <w:sz w:val="16"/>
              </w:rPr>
            </w:pPr>
            <w:r>
              <w:rPr>
                <w:sz w:val="16"/>
              </w:rPr>
              <w:t>576</w:t>
            </w:r>
          </w:p>
        </w:tc>
        <w:tc>
          <w:tcPr>
            <w:tcW w:w="488" w:type="dxa"/>
          </w:tcPr>
          <w:p>
            <w:pPr/>
          </w:p>
        </w:tc>
        <w:tc>
          <w:tcPr>
            <w:tcW w:w="379" w:type="dxa"/>
          </w:tcPr>
          <w:p>
            <w:pPr>
              <w:pStyle w:val="TableParagraph"/>
              <w:rPr>
                <w:b/>
                <w:sz w:val="16"/>
              </w:rPr>
            </w:pPr>
          </w:p>
          <w:p>
            <w:pPr>
              <w:pStyle w:val="TableParagraph"/>
              <w:rPr>
                <w:b/>
                <w:sz w:val="15"/>
              </w:rPr>
            </w:pPr>
          </w:p>
          <w:p>
            <w:pPr>
              <w:pStyle w:val="TableParagraph"/>
              <w:ind w:right="76"/>
              <w:jc w:val="right"/>
              <w:rPr>
                <w:sz w:val="16"/>
              </w:rPr>
            </w:pPr>
            <w:r>
              <w:rPr>
                <w:w w:val="99"/>
                <w:sz w:val="16"/>
              </w:rPr>
              <w:t>-</w:t>
            </w:r>
          </w:p>
        </w:tc>
        <w:tc>
          <w:tcPr>
            <w:tcW w:w="866" w:type="dxa"/>
          </w:tcPr>
          <w:p>
            <w:pPr>
              <w:pStyle w:val="TableParagraph"/>
              <w:rPr>
                <w:b/>
                <w:sz w:val="16"/>
              </w:rPr>
            </w:pPr>
          </w:p>
          <w:p>
            <w:pPr>
              <w:pStyle w:val="TableParagraph"/>
              <w:rPr>
                <w:b/>
                <w:sz w:val="15"/>
              </w:rPr>
            </w:pPr>
          </w:p>
          <w:p>
            <w:pPr>
              <w:pStyle w:val="TableParagraph"/>
              <w:ind w:right="75"/>
              <w:jc w:val="right"/>
              <w:rPr>
                <w:sz w:val="16"/>
              </w:rPr>
            </w:pPr>
            <w:r>
              <w:rPr>
                <w:w w:val="99"/>
                <w:sz w:val="16"/>
              </w:rPr>
              <w:t>-</w:t>
            </w:r>
          </w:p>
        </w:tc>
      </w:tr>
      <w:tr>
        <w:trPr>
          <w:trHeight w:val="241" w:hRule="exact"/>
        </w:trPr>
        <w:tc>
          <w:tcPr>
            <w:tcW w:w="4534" w:type="dxa"/>
          </w:tcPr>
          <w:p>
            <w:pPr>
              <w:pStyle w:val="TableParagraph"/>
              <w:spacing w:before="20"/>
              <w:ind w:left="35" w:right="1254"/>
              <w:rPr>
                <w:sz w:val="16"/>
              </w:rPr>
            </w:pPr>
            <w:r>
              <w:rPr>
                <w:sz w:val="16"/>
              </w:rPr>
              <w:t>Net accrual adjustments</w:t>
            </w:r>
          </w:p>
        </w:tc>
        <w:tc>
          <w:tcPr>
            <w:tcW w:w="497" w:type="dxa"/>
            <w:tcBorders>
              <w:bottom w:val="single" w:sz="0" w:space="0" w:color="000000"/>
            </w:tcBorders>
          </w:tcPr>
          <w:p>
            <w:pPr/>
          </w:p>
        </w:tc>
        <w:tc>
          <w:tcPr>
            <w:tcW w:w="994" w:type="dxa"/>
            <w:tcBorders>
              <w:bottom w:val="single" w:sz="0" w:space="0" w:color="000000"/>
            </w:tcBorders>
          </w:tcPr>
          <w:p>
            <w:pPr>
              <w:pStyle w:val="TableParagraph"/>
              <w:spacing w:before="19"/>
              <w:ind w:right="75"/>
              <w:jc w:val="right"/>
              <w:rPr>
                <w:sz w:val="16"/>
              </w:rPr>
            </w:pPr>
            <w:r>
              <w:rPr>
                <w:w w:val="99"/>
                <w:sz w:val="16"/>
              </w:rPr>
              <w:t>-</w:t>
            </w:r>
          </w:p>
        </w:tc>
        <w:tc>
          <w:tcPr>
            <w:tcW w:w="918" w:type="dxa"/>
            <w:tcBorders>
              <w:bottom w:val="single" w:sz="0" w:space="0" w:color="000000"/>
            </w:tcBorders>
          </w:tcPr>
          <w:p>
            <w:pPr>
              <w:pStyle w:val="TableParagraph"/>
              <w:spacing w:before="19"/>
              <w:ind w:right="22"/>
              <w:jc w:val="right"/>
              <w:rPr>
                <w:sz w:val="16"/>
              </w:rPr>
            </w:pPr>
            <w:r>
              <w:rPr>
                <w:w w:val="95"/>
                <w:sz w:val="16"/>
              </w:rPr>
              <w:t>(35)</w:t>
            </w:r>
          </w:p>
        </w:tc>
        <w:tc>
          <w:tcPr>
            <w:tcW w:w="866" w:type="dxa"/>
            <w:tcBorders>
              <w:bottom w:val="single" w:sz="0" w:space="0" w:color="000000"/>
            </w:tcBorders>
          </w:tcPr>
          <w:p>
            <w:pPr>
              <w:pStyle w:val="TableParagraph"/>
              <w:spacing w:before="19"/>
              <w:ind w:right="75"/>
              <w:jc w:val="right"/>
              <w:rPr>
                <w:sz w:val="16"/>
              </w:rPr>
            </w:pPr>
            <w:r>
              <w:rPr>
                <w:w w:val="99"/>
                <w:sz w:val="16"/>
              </w:rPr>
              <w:t>-</w:t>
            </w:r>
          </w:p>
        </w:tc>
        <w:tc>
          <w:tcPr>
            <w:tcW w:w="866" w:type="dxa"/>
            <w:tcBorders>
              <w:bottom w:val="single" w:sz="0" w:space="0" w:color="000000"/>
            </w:tcBorders>
          </w:tcPr>
          <w:p>
            <w:pPr>
              <w:pStyle w:val="TableParagraph"/>
              <w:spacing w:before="19"/>
              <w:ind w:right="75"/>
              <w:jc w:val="right"/>
              <w:rPr>
                <w:sz w:val="16"/>
              </w:rPr>
            </w:pPr>
            <w:r>
              <w:rPr>
                <w:w w:val="99"/>
                <w:sz w:val="16"/>
              </w:rPr>
              <w:t>-</w:t>
            </w:r>
          </w:p>
        </w:tc>
        <w:tc>
          <w:tcPr>
            <w:tcW w:w="866" w:type="dxa"/>
            <w:tcBorders>
              <w:bottom w:val="single" w:sz="0" w:space="0" w:color="000000"/>
            </w:tcBorders>
          </w:tcPr>
          <w:p>
            <w:pPr>
              <w:pStyle w:val="TableParagraph"/>
              <w:spacing w:before="19"/>
              <w:ind w:right="75"/>
              <w:jc w:val="right"/>
              <w:rPr>
                <w:sz w:val="16"/>
              </w:rPr>
            </w:pPr>
            <w:r>
              <w:rPr>
                <w:w w:val="99"/>
                <w:sz w:val="16"/>
              </w:rPr>
              <w:t>-</w:t>
            </w:r>
          </w:p>
        </w:tc>
        <w:tc>
          <w:tcPr>
            <w:tcW w:w="866" w:type="dxa"/>
            <w:tcBorders>
              <w:bottom w:val="single" w:sz="0" w:space="0" w:color="000000"/>
            </w:tcBorders>
          </w:tcPr>
          <w:p>
            <w:pPr>
              <w:pStyle w:val="TableParagraph"/>
              <w:spacing w:before="19"/>
              <w:ind w:right="75"/>
              <w:jc w:val="right"/>
              <w:rPr>
                <w:sz w:val="16"/>
              </w:rPr>
            </w:pPr>
            <w:r>
              <w:rPr>
                <w:w w:val="99"/>
                <w:sz w:val="16"/>
              </w:rPr>
              <w:t>-</w:t>
            </w:r>
          </w:p>
        </w:tc>
        <w:tc>
          <w:tcPr>
            <w:tcW w:w="443" w:type="dxa"/>
            <w:tcBorders>
              <w:bottom w:val="single" w:sz="0" w:space="0" w:color="000000"/>
            </w:tcBorders>
          </w:tcPr>
          <w:p>
            <w:pPr/>
          </w:p>
        </w:tc>
        <w:tc>
          <w:tcPr>
            <w:tcW w:w="423" w:type="dxa"/>
            <w:tcBorders>
              <w:bottom w:val="single" w:sz="0" w:space="0" w:color="000000"/>
            </w:tcBorders>
          </w:tcPr>
          <w:p>
            <w:pPr>
              <w:pStyle w:val="TableParagraph"/>
              <w:spacing w:before="19"/>
              <w:ind w:right="75"/>
              <w:jc w:val="right"/>
              <w:rPr>
                <w:sz w:val="16"/>
              </w:rPr>
            </w:pPr>
            <w:r>
              <w:rPr>
                <w:w w:val="99"/>
                <w:sz w:val="16"/>
              </w:rPr>
              <w:t>-</w:t>
            </w:r>
          </w:p>
        </w:tc>
        <w:tc>
          <w:tcPr>
            <w:tcW w:w="443" w:type="dxa"/>
            <w:tcBorders>
              <w:bottom w:val="single" w:sz="0" w:space="0" w:color="000000"/>
            </w:tcBorders>
          </w:tcPr>
          <w:p>
            <w:pPr/>
          </w:p>
        </w:tc>
        <w:tc>
          <w:tcPr>
            <w:tcW w:w="423" w:type="dxa"/>
            <w:tcBorders>
              <w:bottom w:val="single" w:sz="0" w:space="0" w:color="000000"/>
            </w:tcBorders>
          </w:tcPr>
          <w:p>
            <w:pPr>
              <w:pStyle w:val="TableParagraph"/>
              <w:spacing w:before="19"/>
              <w:ind w:right="75"/>
              <w:jc w:val="right"/>
              <w:rPr>
                <w:sz w:val="16"/>
              </w:rPr>
            </w:pPr>
            <w:r>
              <w:rPr>
                <w:w w:val="99"/>
                <w:sz w:val="16"/>
              </w:rPr>
              <w:t>-</w:t>
            </w:r>
          </w:p>
        </w:tc>
        <w:tc>
          <w:tcPr>
            <w:tcW w:w="488" w:type="dxa"/>
            <w:tcBorders>
              <w:bottom w:val="single" w:sz="0" w:space="0" w:color="000000"/>
            </w:tcBorders>
          </w:tcPr>
          <w:p>
            <w:pPr/>
          </w:p>
        </w:tc>
        <w:tc>
          <w:tcPr>
            <w:tcW w:w="379" w:type="dxa"/>
            <w:tcBorders>
              <w:bottom w:val="single" w:sz="0" w:space="0" w:color="000000"/>
            </w:tcBorders>
          </w:tcPr>
          <w:p>
            <w:pPr>
              <w:pStyle w:val="TableParagraph"/>
              <w:spacing w:before="19"/>
              <w:ind w:right="75"/>
              <w:jc w:val="right"/>
              <w:rPr>
                <w:sz w:val="16"/>
              </w:rPr>
            </w:pPr>
            <w:r>
              <w:rPr>
                <w:w w:val="99"/>
                <w:sz w:val="16"/>
              </w:rPr>
              <w:t>-</w:t>
            </w:r>
          </w:p>
        </w:tc>
        <w:tc>
          <w:tcPr>
            <w:tcW w:w="866" w:type="dxa"/>
            <w:tcBorders>
              <w:bottom w:val="single" w:sz="0" w:space="0" w:color="000000"/>
            </w:tcBorders>
          </w:tcPr>
          <w:p>
            <w:pPr>
              <w:pStyle w:val="TableParagraph"/>
              <w:spacing w:before="19"/>
              <w:ind w:right="74"/>
              <w:jc w:val="right"/>
              <w:rPr>
                <w:sz w:val="16"/>
              </w:rPr>
            </w:pPr>
            <w:r>
              <w:rPr>
                <w:w w:val="99"/>
                <w:sz w:val="16"/>
              </w:rPr>
              <w:t>-</w:t>
            </w:r>
          </w:p>
        </w:tc>
      </w:tr>
      <w:tr>
        <w:trPr>
          <w:trHeight w:val="261" w:hRule="exact"/>
        </w:trPr>
        <w:tc>
          <w:tcPr>
            <w:tcW w:w="4534" w:type="dxa"/>
          </w:tcPr>
          <w:p>
            <w:pPr>
              <w:pStyle w:val="TableParagraph"/>
              <w:spacing w:before="40"/>
              <w:ind w:left="35" w:right="1254"/>
              <w:rPr>
                <w:rFonts w:ascii="Microsoft Sans Serif"/>
                <w:sz w:val="15"/>
              </w:rPr>
            </w:pPr>
            <w:r>
              <w:rPr>
                <w:sz w:val="16"/>
              </w:rPr>
              <w:t>Revenue for the period</w:t>
            </w:r>
            <w:r>
              <w:rPr>
                <w:rFonts w:ascii="Microsoft Sans Serif"/>
                <w:w w:val="103"/>
                <w:sz w:val="15"/>
              </w:rPr>
              <w:t> </w:t>
            </w:r>
          </w:p>
        </w:tc>
        <w:tc>
          <w:tcPr>
            <w:tcW w:w="497" w:type="dxa"/>
            <w:tcBorders>
              <w:top w:val="single" w:sz="0" w:space="0" w:color="000000"/>
            </w:tcBorders>
          </w:tcPr>
          <w:p>
            <w:pPr>
              <w:pStyle w:val="TableParagraph"/>
              <w:spacing w:before="37"/>
              <w:ind w:left="40"/>
              <w:rPr>
                <w:sz w:val="16"/>
              </w:rPr>
            </w:pPr>
            <w:r>
              <w:rPr>
                <w:sz w:val="16"/>
              </w:rPr>
              <w:t>2(a)</w:t>
            </w:r>
          </w:p>
        </w:tc>
        <w:tc>
          <w:tcPr>
            <w:tcW w:w="994" w:type="dxa"/>
            <w:tcBorders>
              <w:top w:val="single" w:sz="0" w:space="0" w:color="000000"/>
            </w:tcBorders>
          </w:tcPr>
          <w:p>
            <w:pPr>
              <w:pStyle w:val="TableParagraph"/>
              <w:spacing w:before="38"/>
              <w:ind w:right="76"/>
              <w:jc w:val="right"/>
              <w:rPr>
                <w:sz w:val="16"/>
              </w:rPr>
            </w:pPr>
            <w:r>
              <w:rPr>
                <w:w w:val="95"/>
                <w:sz w:val="16"/>
              </w:rPr>
              <w:t>244,739</w:t>
            </w:r>
          </w:p>
        </w:tc>
        <w:tc>
          <w:tcPr>
            <w:tcW w:w="918" w:type="dxa"/>
            <w:tcBorders>
              <w:top w:val="single" w:sz="0" w:space="0" w:color="000000"/>
            </w:tcBorders>
          </w:tcPr>
          <w:p>
            <w:pPr>
              <w:pStyle w:val="TableParagraph"/>
              <w:spacing w:before="38"/>
              <w:ind w:right="78"/>
              <w:jc w:val="right"/>
              <w:rPr>
                <w:sz w:val="16"/>
              </w:rPr>
            </w:pPr>
            <w:r>
              <w:rPr>
                <w:w w:val="95"/>
                <w:sz w:val="16"/>
              </w:rPr>
              <w:t>199,833</w:t>
            </w:r>
          </w:p>
        </w:tc>
        <w:tc>
          <w:tcPr>
            <w:tcW w:w="866" w:type="dxa"/>
            <w:tcBorders>
              <w:top w:val="single" w:sz="0" w:space="0" w:color="000000"/>
            </w:tcBorders>
          </w:tcPr>
          <w:p>
            <w:pPr>
              <w:pStyle w:val="TableParagraph"/>
              <w:spacing w:before="38"/>
              <w:ind w:right="76"/>
              <w:jc w:val="right"/>
              <w:rPr>
                <w:sz w:val="16"/>
              </w:rPr>
            </w:pPr>
            <w:r>
              <w:rPr>
                <w:w w:val="95"/>
                <w:sz w:val="16"/>
              </w:rPr>
              <w:t>1,397</w:t>
            </w:r>
          </w:p>
        </w:tc>
        <w:tc>
          <w:tcPr>
            <w:tcW w:w="866" w:type="dxa"/>
            <w:tcBorders>
              <w:top w:val="single" w:sz="0" w:space="0" w:color="000000"/>
            </w:tcBorders>
          </w:tcPr>
          <w:p>
            <w:pPr>
              <w:pStyle w:val="TableParagraph"/>
              <w:spacing w:before="38"/>
              <w:ind w:right="76"/>
              <w:jc w:val="right"/>
              <w:rPr>
                <w:sz w:val="16"/>
              </w:rPr>
            </w:pPr>
            <w:r>
              <w:rPr>
                <w:w w:val="95"/>
                <w:sz w:val="16"/>
              </w:rPr>
              <w:t>1,397</w:t>
            </w:r>
          </w:p>
        </w:tc>
        <w:tc>
          <w:tcPr>
            <w:tcW w:w="866" w:type="dxa"/>
            <w:tcBorders>
              <w:top w:val="single" w:sz="0" w:space="0" w:color="000000"/>
            </w:tcBorders>
          </w:tcPr>
          <w:p>
            <w:pPr>
              <w:pStyle w:val="TableParagraph"/>
              <w:spacing w:before="38"/>
              <w:ind w:right="76"/>
              <w:jc w:val="right"/>
              <w:rPr>
                <w:sz w:val="16"/>
              </w:rPr>
            </w:pPr>
            <w:r>
              <w:rPr>
                <w:w w:val="95"/>
                <w:sz w:val="16"/>
              </w:rPr>
              <w:t>20,108</w:t>
            </w:r>
          </w:p>
        </w:tc>
        <w:tc>
          <w:tcPr>
            <w:tcW w:w="866" w:type="dxa"/>
            <w:tcBorders>
              <w:top w:val="single" w:sz="0" w:space="0" w:color="000000"/>
            </w:tcBorders>
          </w:tcPr>
          <w:p>
            <w:pPr>
              <w:pStyle w:val="TableParagraph"/>
              <w:spacing w:before="38"/>
              <w:ind w:right="76"/>
              <w:jc w:val="right"/>
              <w:rPr>
                <w:sz w:val="16"/>
              </w:rPr>
            </w:pPr>
            <w:r>
              <w:rPr>
                <w:w w:val="95"/>
                <w:sz w:val="16"/>
              </w:rPr>
              <w:t>5,690</w:t>
            </w:r>
          </w:p>
        </w:tc>
        <w:tc>
          <w:tcPr>
            <w:tcW w:w="443" w:type="dxa"/>
            <w:tcBorders>
              <w:top w:val="single" w:sz="0" w:space="0" w:color="000000"/>
            </w:tcBorders>
          </w:tcPr>
          <w:p>
            <w:pPr/>
          </w:p>
        </w:tc>
        <w:tc>
          <w:tcPr>
            <w:tcW w:w="423" w:type="dxa"/>
            <w:tcBorders>
              <w:top w:val="single" w:sz="0" w:space="0" w:color="000000"/>
            </w:tcBorders>
          </w:tcPr>
          <w:p>
            <w:pPr>
              <w:pStyle w:val="TableParagraph"/>
              <w:spacing w:before="38"/>
              <w:ind w:right="76"/>
              <w:jc w:val="right"/>
              <w:rPr>
                <w:sz w:val="16"/>
              </w:rPr>
            </w:pPr>
            <w:r>
              <w:rPr>
                <w:sz w:val="16"/>
              </w:rPr>
              <w:t>642</w:t>
            </w:r>
          </w:p>
        </w:tc>
        <w:tc>
          <w:tcPr>
            <w:tcW w:w="443" w:type="dxa"/>
            <w:tcBorders>
              <w:top w:val="single" w:sz="0" w:space="0" w:color="000000"/>
            </w:tcBorders>
          </w:tcPr>
          <w:p>
            <w:pPr/>
          </w:p>
        </w:tc>
        <w:tc>
          <w:tcPr>
            <w:tcW w:w="423" w:type="dxa"/>
            <w:tcBorders>
              <w:top w:val="single" w:sz="0" w:space="0" w:color="000000"/>
            </w:tcBorders>
          </w:tcPr>
          <w:p>
            <w:pPr>
              <w:pStyle w:val="TableParagraph"/>
              <w:spacing w:before="38"/>
              <w:ind w:left="78"/>
              <w:rPr>
                <w:sz w:val="16"/>
              </w:rPr>
            </w:pPr>
            <w:r>
              <w:rPr>
                <w:sz w:val="16"/>
              </w:rPr>
              <w:t>576</w:t>
            </w:r>
          </w:p>
        </w:tc>
        <w:tc>
          <w:tcPr>
            <w:tcW w:w="488" w:type="dxa"/>
            <w:tcBorders>
              <w:top w:val="single" w:sz="0" w:space="0" w:color="000000"/>
            </w:tcBorders>
          </w:tcPr>
          <w:p>
            <w:pPr/>
          </w:p>
        </w:tc>
        <w:tc>
          <w:tcPr>
            <w:tcW w:w="379" w:type="dxa"/>
            <w:tcBorders>
              <w:top w:val="single" w:sz="0" w:space="0" w:color="000000"/>
            </w:tcBorders>
          </w:tcPr>
          <w:p>
            <w:pPr>
              <w:pStyle w:val="TableParagraph"/>
              <w:spacing w:before="38"/>
              <w:ind w:right="75"/>
              <w:jc w:val="right"/>
              <w:rPr>
                <w:sz w:val="16"/>
              </w:rPr>
            </w:pPr>
            <w:r>
              <w:rPr>
                <w:w w:val="99"/>
                <w:sz w:val="16"/>
              </w:rPr>
              <w:t>-</w:t>
            </w:r>
          </w:p>
        </w:tc>
        <w:tc>
          <w:tcPr>
            <w:tcW w:w="866" w:type="dxa"/>
            <w:tcBorders>
              <w:top w:val="single" w:sz="0" w:space="0" w:color="000000"/>
            </w:tcBorders>
          </w:tcPr>
          <w:p>
            <w:pPr>
              <w:pStyle w:val="TableParagraph"/>
              <w:spacing w:before="38"/>
              <w:ind w:right="75"/>
              <w:jc w:val="right"/>
              <w:rPr>
                <w:sz w:val="16"/>
              </w:rPr>
            </w:pPr>
            <w:r>
              <w:rPr>
                <w:w w:val="99"/>
                <w:sz w:val="16"/>
              </w:rPr>
              <w:t>-</w:t>
            </w:r>
          </w:p>
        </w:tc>
      </w:tr>
      <w:tr>
        <w:trPr>
          <w:trHeight w:val="241" w:hRule="exact"/>
        </w:trPr>
        <w:tc>
          <w:tcPr>
            <w:tcW w:w="4534" w:type="dxa"/>
          </w:tcPr>
          <w:p>
            <w:pPr>
              <w:pStyle w:val="TableParagraph"/>
              <w:spacing w:before="20"/>
              <w:ind w:left="35" w:right="1254"/>
              <w:rPr>
                <w:sz w:val="16"/>
              </w:rPr>
            </w:pPr>
            <w:r>
              <w:rPr>
                <w:sz w:val="16"/>
              </w:rPr>
              <w:t>Surplus/(deficit) from the previous year</w:t>
            </w:r>
          </w:p>
        </w:tc>
        <w:tc>
          <w:tcPr>
            <w:tcW w:w="497" w:type="dxa"/>
            <w:tcBorders>
              <w:bottom w:val="single" w:sz="0" w:space="0" w:color="000000"/>
            </w:tcBorders>
          </w:tcPr>
          <w:p>
            <w:pPr/>
          </w:p>
        </w:tc>
        <w:tc>
          <w:tcPr>
            <w:tcW w:w="994" w:type="dxa"/>
            <w:tcBorders>
              <w:bottom w:val="single" w:sz="0" w:space="0" w:color="000000"/>
            </w:tcBorders>
          </w:tcPr>
          <w:p>
            <w:pPr>
              <w:pStyle w:val="TableParagraph"/>
              <w:spacing w:before="19"/>
              <w:ind w:right="75"/>
              <w:jc w:val="right"/>
              <w:rPr>
                <w:sz w:val="16"/>
              </w:rPr>
            </w:pPr>
            <w:r>
              <w:rPr>
                <w:w w:val="99"/>
                <w:sz w:val="16"/>
              </w:rPr>
              <w:t>-</w:t>
            </w:r>
          </w:p>
        </w:tc>
        <w:tc>
          <w:tcPr>
            <w:tcW w:w="918" w:type="dxa"/>
            <w:tcBorders>
              <w:bottom w:val="single" w:sz="0" w:space="0" w:color="000000"/>
            </w:tcBorders>
          </w:tcPr>
          <w:p>
            <w:pPr>
              <w:pStyle w:val="TableParagraph"/>
              <w:spacing w:before="19"/>
              <w:ind w:right="76"/>
              <w:jc w:val="right"/>
              <w:rPr>
                <w:sz w:val="16"/>
              </w:rPr>
            </w:pPr>
            <w:r>
              <w:rPr>
                <w:w w:val="99"/>
                <w:sz w:val="16"/>
              </w:rPr>
              <w:t>-</w:t>
            </w:r>
          </w:p>
        </w:tc>
        <w:tc>
          <w:tcPr>
            <w:tcW w:w="866" w:type="dxa"/>
            <w:tcBorders>
              <w:bottom w:val="single" w:sz="0" w:space="0" w:color="000000"/>
            </w:tcBorders>
          </w:tcPr>
          <w:p>
            <w:pPr>
              <w:pStyle w:val="TableParagraph"/>
              <w:spacing w:before="19"/>
              <w:ind w:right="75"/>
              <w:jc w:val="right"/>
              <w:rPr>
                <w:sz w:val="16"/>
              </w:rPr>
            </w:pPr>
            <w:r>
              <w:rPr>
                <w:w w:val="99"/>
                <w:sz w:val="16"/>
              </w:rPr>
              <w:t>-</w:t>
            </w:r>
          </w:p>
        </w:tc>
        <w:tc>
          <w:tcPr>
            <w:tcW w:w="866" w:type="dxa"/>
            <w:tcBorders>
              <w:bottom w:val="single" w:sz="0" w:space="0" w:color="000000"/>
            </w:tcBorders>
          </w:tcPr>
          <w:p>
            <w:pPr>
              <w:pStyle w:val="TableParagraph"/>
              <w:spacing w:before="19"/>
              <w:ind w:right="75"/>
              <w:jc w:val="right"/>
              <w:rPr>
                <w:sz w:val="16"/>
              </w:rPr>
            </w:pPr>
            <w:r>
              <w:rPr>
                <w:w w:val="99"/>
                <w:sz w:val="16"/>
              </w:rPr>
              <w:t>-</w:t>
            </w:r>
          </w:p>
        </w:tc>
        <w:tc>
          <w:tcPr>
            <w:tcW w:w="866" w:type="dxa"/>
            <w:tcBorders>
              <w:bottom w:val="single" w:sz="0" w:space="0" w:color="000000"/>
            </w:tcBorders>
          </w:tcPr>
          <w:p>
            <w:pPr>
              <w:pStyle w:val="TableParagraph"/>
              <w:spacing w:before="19"/>
              <w:ind w:right="76"/>
              <w:jc w:val="right"/>
              <w:rPr>
                <w:sz w:val="16"/>
              </w:rPr>
            </w:pPr>
            <w:r>
              <w:rPr>
                <w:w w:val="95"/>
                <w:sz w:val="16"/>
              </w:rPr>
              <w:t>183</w:t>
            </w:r>
          </w:p>
        </w:tc>
        <w:tc>
          <w:tcPr>
            <w:tcW w:w="866" w:type="dxa"/>
            <w:tcBorders>
              <w:bottom w:val="single" w:sz="0" w:space="0" w:color="000000"/>
            </w:tcBorders>
          </w:tcPr>
          <w:p>
            <w:pPr>
              <w:pStyle w:val="TableParagraph"/>
              <w:spacing w:before="19"/>
              <w:ind w:right="76"/>
              <w:jc w:val="right"/>
              <w:rPr>
                <w:sz w:val="16"/>
              </w:rPr>
            </w:pPr>
            <w:r>
              <w:rPr>
                <w:w w:val="95"/>
                <w:sz w:val="16"/>
              </w:rPr>
              <w:t>321</w:t>
            </w:r>
          </w:p>
        </w:tc>
        <w:tc>
          <w:tcPr>
            <w:tcW w:w="443" w:type="dxa"/>
            <w:tcBorders>
              <w:bottom w:val="single" w:sz="0" w:space="0" w:color="000000"/>
            </w:tcBorders>
          </w:tcPr>
          <w:p>
            <w:pPr/>
          </w:p>
        </w:tc>
        <w:tc>
          <w:tcPr>
            <w:tcW w:w="423" w:type="dxa"/>
            <w:tcBorders>
              <w:bottom w:val="single" w:sz="0" w:space="0" w:color="000000"/>
            </w:tcBorders>
          </w:tcPr>
          <w:p>
            <w:pPr>
              <w:pStyle w:val="TableParagraph"/>
              <w:spacing w:before="19"/>
              <w:ind w:right="76"/>
              <w:jc w:val="right"/>
              <w:rPr>
                <w:sz w:val="16"/>
              </w:rPr>
            </w:pPr>
            <w:r>
              <w:rPr>
                <w:w w:val="95"/>
                <w:sz w:val="16"/>
              </w:rPr>
              <w:t>38</w:t>
            </w:r>
          </w:p>
        </w:tc>
        <w:tc>
          <w:tcPr>
            <w:tcW w:w="443" w:type="dxa"/>
            <w:tcBorders>
              <w:bottom w:val="single" w:sz="0" w:space="0" w:color="000000"/>
            </w:tcBorders>
          </w:tcPr>
          <w:p>
            <w:pPr/>
          </w:p>
        </w:tc>
        <w:tc>
          <w:tcPr>
            <w:tcW w:w="423" w:type="dxa"/>
            <w:tcBorders>
              <w:bottom w:val="single" w:sz="0" w:space="0" w:color="000000"/>
            </w:tcBorders>
          </w:tcPr>
          <w:p>
            <w:pPr>
              <w:pStyle w:val="TableParagraph"/>
              <w:spacing w:before="19"/>
              <w:ind w:left="78"/>
              <w:rPr>
                <w:sz w:val="16"/>
              </w:rPr>
            </w:pPr>
            <w:r>
              <w:rPr>
                <w:sz w:val="16"/>
              </w:rPr>
              <w:t>141</w:t>
            </w:r>
          </w:p>
        </w:tc>
        <w:tc>
          <w:tcPr>
            <w:tcW w:w="488" w:type="dxa"/>
            <w:tcBorders>
              <w:bottom w:val="single" w:sz="0" w:space="0" w:color="000000"/>
            </w:tcBorders>
          </w:tcPr>
          <w:p>
            <w:pPr/>
          </w:p>
        </w:tc>
        <w:tc>
          <w:tcPr>
            <w:tcW w:w="379" w:type="dxa"/>
            <w:tcBorders>
              <w:bottom w:val="single" w:sz="0" w:space="0" w:color="000000"/>
            </w:tcBorders>
          </w:tcPr>
          <w:p>
            <w:pPr>
              <w:pStyle w:val="TableParagraph"/>
              <w:spacing w:before="19"/>
              <w:ind w:right="76"/>
              <w:jc w:val="right"/>
              <w:rPr>
                <w:sz w:val="16"/>
              </w:rPr>
            </w:pPr>
            <w:r>
              <w:rPr>
                <w:w w:val="95"/>
                <w:sz w:val="16"/>
              </w:rPr>
              <w:t>77</w:t>
            </w:r>
          </w:p>
        </w:tc>
        <w:tc>
          <w:tcPr>
            <w:tcW w:w="866" w:type="dxa"/>
            <w:tcBorders>
              <w:bottom w:val="single" w:sz="0" w:space="0" w:color="000000"/>
            </w:tcBorders>
          </w:tcPr>
          <w:p>
            <w:pPr>
              <w:pStyle w:val="TableParagraph"/>
              <w:spacing w:before="19"/>
              <w:ind w:right="76"/>
              <w:jc w:val="right"/>
              <w:rPr>
                <w:sz w:val="16"/>
              </w:rPr>
            </w:pPr>
            <w:r>
              <w:rPr>
                <w:w w:val="95"/>
                <w:sz w:val="16"/>
              </w:rPr>
              <w:t>1,066</w:t>
            </w:r>
          </w:p>
        </w:tc>
      </w:tr>
      <w:tr>
        <w:trPr>
          <w:trHeight w:val="261" w:hRule="exact"/>
        </w:trPr>
        <w:tc>
          <w:tcPr>
            <w:tcW w:w="4534" w:type="dxa"/>
          </w:tcPr>
          <w:p>
            <w:pPr>
              <w:pStyle w:val="TableParagraph"/>
              <w:spacing w:before="40"/>
              <w:ind w:left="35" w:right="1254"/>
              <w:rPr>
                <w:sz w:val="16"/>
              </w:rPr>
            </w:pPr>
            <w:r>
              <w:rPr>
                <w:sz w:val="16"/>
              </w:rPr>
              <w:t>Total revenue including accrued revenue</w:t>
            </w:r>
          </w:p>
        </w:tc>
        <w:tc>
          <w:tcPr>
            <w:tcW w:w="497" w:type="dxa"/>
            <w:tcBorders>
              <w:top w:val="single" w:sz="0" w:space="0" w:color="000000"/>
            </w:tcBorders>
          </w:tcPr>
          <w:p>
            <w:pPr/>
          </w:p>
        </w:tc>
        <w:tc>
          <w:tcPr>
            <w:tcW w:w="994" w:type="dxa"/>
            <w:tcBorders>
              <w:top w:val="single" w:sz="0" w:space="0" w:color="000000"/>
            </w:tcBorders>
          </w:tcPr>
          <w:p>
            <w:pPr>
              <w:pStyle w:val="TableParagraph"/>
              <w:spacing w:before="38"/>
              <w:ind w:right="76"/>
              <w:jc w:val="right"/>
              <w:rPr>
                <w:sz w:val="16"/>
              </w:rPr>
            </w:pPr>
            <w:r>
              <w:rPr>
                <w:w w:val="95"/>
                <w:sz w:val="16"/>
              </w:rPr>
              <w:t>244,739</w:t>
            </w:r>
          </w:p>
        </w:tc>
        <w:tc>
          <w:tcPr>
            <w:tcW w:w="918" w:type="dxa"/>
            <w:tcBorders>
              <w:top w:val="single" w:sz="0" w:space="0" w:color="000000"/>
            </w:tcBorders>
          </w:tcPr>
          <w:p>
            <w:pPr>
              <w:pStyle w:val="TableParagraph"/>
              <w:spacing w:before="38"/>
              <w:ind w:right="78"/>
              <w:jc w:val="right"/>
              <w:rPr>
                <w:sz w:val="16"/>
              </w:rPr>
            </w:pPr>
            <w:r>
              <w:rPr>
                <w:w w:val="95"/>
                <w:sz w:val="16"/>
              </w:rPr>
              <w:t>199,833</w:t>
            </w:r>
          </w:p>
        </w:tc>
        <w:tc>
          <w:tcPr>
            <w:tcW w:w="866" w:type="dxa"/>
            <w:tcBorders>
              <w:top w:val="single" w:sz="0" w:space="0" w:color="000000"/>
            </w:tcBorders>
          </w:tcPr>
          <w:p>
            <w:pPr>
              <w:pStyle w:val="TableParagraph"/>
              <w:spacing w:before="38"/>
              <w:ind w:right="76"/>
              <w:jc w:val="right"/>
              <w:rPr>
                <w:sz w:val="16"/>
              </w:rPr>
            </w:pPr>
            <w:r>
              <w:rPr>
                <w:w w:val="95"/>
                <w:sz w:val="16"/>
              </w:rPr>
              <w:t>1,397</w:t>
            </w:r>
          </w:p>
        </w:tc>
        <w:tc>
          <w:tcPr>
            <w:tcW w:w="866" w:type="dxa"/>
            <w:tcBorders>
              <w:top w:val="single" w:sz="0" w:space="0" w:color="000000"/>
            </w:tcBorders>
          </w:tcPr>
          <w:p>
            <w:pPr>
              <w:pStyle w:val="TableParagraph"/>
              <w:spacing w:before="38"/>
              <w:ind w:right="76"/>
              <w:jc w:val="right"/>
              <w:rPr>
                <w:sz w:val="16"/>
              </w:rPr>
            </w:pPr>
            <w:r>
              <w:rPr>
                <w:w w:val="95"/>
                <w:sz w:val="16"/>
              </w:rPr>
              <w:t>1,397</w:t>
            </w:r>
          </w:p>
        </w:tc>
        <w:tc>
          <w:tcPr>
            <w:tcW w:w="866" w:type="dxa"/>
            <w:tcBorders>
              <w:top w:val="single" w:sz="0" w:space="0" w:color="000000"/>
            </w:tcBorders>
          </w:tcPr>
          <w:p>
            <w:pPr>
              <w:pStyle w:val="TableParagraph"/>
              <w:spacing w:before="38"/>
              <w:ind w:right="76"/>
              <w:jc w:val="right"/>
              <w:rPr>
                <w:sz w:val="16"/>
              </w:rPr>
            </w:pPr>
            <w:r>
              <w:rPr>
                <w:w w:val="95"/>
                <w:sz w:val="16"/>
              </w:rPr>
              <w:t>20,291</w:t>
            </w:r>
          </w:p>
        </w:tc>
        <w:tc>
          <w:tcPr>
            <w:tcW w:w="866" w:type="dxa"/>
            <w:tcBorders>
              <w:top w:val="single" w:sz="0" w:space="0" w:color="000000"/>
            </w:tcBorders>
          </w:tcPr>
          <w:p>
            <w:pPr>
              <w:pStyle w:val="TableParagraph"/>
              <w:spacing w:before="38"/>
              <w:ind w:right="76"/>
              <w:jc w:val="right"/>
              <w:rPr>
                <w:sz w:val="16"/>
              </w:rPr>
            </w:pPr>
            <w:r>
              <w:rPr>
                <w:w w:val="95"/>
                <w:sz w:val="16"/>
              </w:rPr>
              <w:t>6,011</w:t>
            </w:r>
          </w:p>
        </w:tc>
        <w:tc>
          <w:tcPr>
            <w:tcW w:w="443" w:type="dxa"/>
            <w:tcBorders>
              <w:top w:val="single" w:sz="0" w:space="0" w:color="000000"/>
            </w:tcBorders>
          </w:tcPr>
          <w:p>
            <w:pPr/>
          </w:p>
        </w:tc>
        <w:tc>
          <w:tcPr>
            <w:tcW w:w="423" w:type="dxa"/>
            <w:tcBorders>
              <w:top w:val="single" w:sz="0" w:space="0" w:color="000000"/>
            </w:tcBorders>
          </w:tcPr>
          <w:p>
            <w:pPr>
              <w:pStyle w:val="TableParagraph"/>
              <w:spacing w:before="38"/>
              <w:ind w:right="76"/>
              <w:jc w:val="right"/>
              <w:rPr>
                <w:sz w:val="16"/>
              </w:rPr>
            </w:pPr>
            <w:r>
              <w:rPr>
                <w:w w:val="95"/>
                <w:sz w:val="16"/>
              </w:rPr>
              <w:t>680</w:t>
            </w:r>
          </w:p>
        </w:tc>
        <w:tc>
          <w:tcPr>
            <w:tcW w:w="443" w:type="dxa"/>
            <w:tcBorders>
              <w:top w:val="single" w:sz="0" w:space="0" w:color="000000"/>
            </w:tcBorders>
          </w:tcPr>
          <w:p>
            <w:pPr/>
          </w:p>
        </w:tc>
        <w:tc>
          <w:tcPr>
            <w:tcW w:w="423" w:type="dxa"/>
            <w:tcBorders>
              <w:top w:val="single" w:sz="0" w:space="0" w:color="000000"/>
            </w:tcBorders>
          </w:tcPr>
          <w:p>
            <w:pPr>
              <w:pStyle w:val="TableParagraph"/>
              <w:spacing w:before="38"/>
              <w:ind w:left="78"/>
              <w:rPr>
                <w:sz w:val="16"/>
              </w:rPr>
            </w:pPr>
            <w:r>
              <w:rPr>
                <w:sz w:val="16"/>
              </w:rPr>
              <w:t>717</w:t>
            </w:r>
          </w:p>
        </w:tc>
        <w:tc>
          <w:tcPr>
            <w:tcW w:w="488" w:type="dxa"/>
            <w:tcBorders>
              <w:top w:val="single" w:sz="0" w:space="0" w:color="000000"/>
            </w:tcBorders>
          </w:tcPr>
          <w:p>
            <w:pPr/>
          </w:p>
        </w:tc>
        <w:tc>
          <w:tcPr>
            <w:tcW w:w="379" w:type="dxa"/>
            <w:tcBorders>
              <w:top w:val="single" w:sz="0" w:space="0" w:color="000000"/>
            </w:tcBorders>
          </w:tcPr>
          <w:p>
            <w:pPr>
              <w:pStyle w:val="TableParagraph"/>
              <w:spacing w:before="38"/>
              <w:ind w:right="76"/>
              <w:jc w:val="right"/>
              <w:rPr>
                <w:sz w:val="16"/>
              </w:rPr>
            </w:pPr>
            <w:r>
              <w:rPr>
                <w:w w:val="95"/>
                <w:sz w:val="16"/>
              </w:rPr>
              <w:t>77</w:t>
            </w:r>
          </w:p>
        </w:tc>
        <w:tc>
          <w:tcPr>
            <w:tcW w:w="866" w:type="dxa"/>
            <w:tcBorders>
              <w:top w:val="single" w:sz="0" w:space="0" w:color="000000"/>
            </w:tcBorders>
          </w:tcPr>
          <w:p>
            <w:pPr>
              <w:pStyle w:val="TableParagraph"/>
              <w:spacing w:before="38"/>
              <w:ind w:right="76"/>
              <w:jc w:val="right"/>
              <w:rPr>
                <w:sz w:val="16"/>
              </w:rPr>
            </w:pPr>
            <w:r>
              <w:rPr>
                <w:w w:val="95"/>
                <w:sz w:val="16"/>
              </w:rPr>
              <w:t>1,066</w:t>
            </w:r>
          </w:p>
        </w:tc>
      </w:tr>
      <w:tr>
        <w:trPr>
          <w:trHeight w:val="241" w:hRule="exact"/>
        </w:trPr>
        <w:tc>
          <w:tcPr>
            <w:tcW w:w="4534" w:type="dxa"/>
          </w:tcPr>
          <w:p>
            <w:pPr>
              <w:pStyle w:val="TableParagraph"/>
              <w:spacing w:before="20"/>
              <w:ind w:left="35" w:right="1254"/>
              <w:rPr>
                <w:sz w:val="16"/>
              </w:rPr>
            </w:pPr>
            <w:r>
              <w:rPr>
                <w:sz w:val="16"/>
              </w:rPr>
              <w:t>Less expenses including accrued expenses</w:t>
            </w:r>
          </w:p>
        </w:tc>
        <w:tc>
          <w:tcPr>
            <w:tcW w:w="497" w:type="dxa"/>
            <w:tcBorders>
              <w:bottom w:val="single" w:sz="0" w:space="0" w:color="000000"/>
            </w:tcBorders>
          </w:tcPr>
          <w:p>
            <w:pPr/>
          </w:p>
        </w:tc>
        <w:tc>
          <w:tcPr>
            <w:tcW w:w="994" w:type="dxa"/>
            <w:tcBorders>
              <w:bottom w:val="single" w:sz="0" w:space="0" w:color="000000"/>
            </w:tcBorders>
          </w:tcPr>
          <w:p>
            <w:pPr>
              <w:pStyle w:val="TableParagraph"/>
              <w:spacing w:before="19"/>
              <w:ind w:right="23"/>
              <w:jc w:val="right"/>
              <w:rPr>
                <w:sz w:val="16"/>
              </w:rPr>
            </w:pPr>
            <w:r>
              <w:rPr>
                <w:w w:val="95"/>
                <w:sz w:val="16"/>
              </w:rPr>
              <w:t>(244,739)</w:t>
            </w:r>
          </w:p>
        </w:tc>
        <w:tc>
          <w:tcPr>
            <w:tcW w:w="918" w:type="dxa"/>
            <w:tcBorders>
              <w:bottom w:val="single" w:sz="0" w:space="0" w:color="000000"/>
            </w:tcBorders>
          </w:tcPr>
          <w:p>
            <w:pPr>
              <w:pStyle w:val="TableParagraph"/>
              <w:spacing w:before="19"/>
              <w:ind w:right="23"/>
              <w:jc w:val="right"/>
              <w:rPr>
                <w:sz w:val="16"/>
              </w:rPr>
            </w:pPr>
            <w:r>
              <w:rPr>
                <w:w w:val="95"/>
                <w:sz w:val="16"/>
              </w:rPr>
              <w:t>(199,833)</w:t>
            </w:r>
          </w:p>
        </w:tc>
        <w:tc>
          <w:tcPr>
            <w:tcW w:w="866" w:type="dxa"/>
            <w:tcBorders>
              <w:bottom w:val="single" w:sz="0" w:space="0" w:color="000000"/>
            </w:tcBorders>
          </w:tcPr>
          <w:p>
            <w:pPr>
              <w:pStyle w:val="TableParagraph"/>
              <w:spacing w:before="19"/>
              <w:ind w:right="23"/>
              <w:jc w:val="right"/>
              <w:rPr>
                <w:sz w:val="16"/>
              </w:rPr>
            </w:pPr>
            <w:r>
              <w:rPr>
                <w:sz w:val="16"/>
              </w:rPr>
              <w:t>(1,397)</w:t>
            </w:r>
          </w:p>
        </w:tc>
        <w:tc>
          <w:tcPr>
            <w:tcW w:w="866" w:type="dxa"/>
            <w:tcBorders>
              <w:bottom w:val="single" w:sz="0" w:space="0" w:color="000000"/>
            </w:tcBorders>
          </w:tcPr>
          <w:p>
            <w:pPr>
              <w:pStyle w:val="TableParagraph"/>
              <w:spacing w:before="19"/>
              <w:ind w:right="23"/>
              <w:jc w:val="right"/>
              <w:rPr>
                <w:sz w:val="16"/>
              </w:rPr>
            </w:pPr>
            <w:r>
              <w:rPr>
                <w:sz w:val="16"/>
              </w:rPr>
              <w:t>(1,397)</w:t>
            </w:r>
          </w:p>
        </w:tc>
        <w:tc>
          <w:tcPr>
            <w:tcW w:w="866" w:type="dxa"/>
            <w:tcBorders>
              <w:bottom w:val="single" w:sz="0" w:space="0" w:color="000000"/>
            </w:tcBorders>
          </w:tcPr>
          <w:p>
            <w:pPr>
              <w:pStyle w:val="TableParagraph"/>
              <w:spacing w:before="19"/>
              <w:ind w:right="23"/>
              <w:jc w:val="right"/>
              <w:rPr>
                <w:sz w:val="16"/>
              </w:rPr>
            </w:pPr>
            <w:r>
              <w:rPr>
                <w:sz w:val="16"/>
              </w:rPr>
              <w:t>(17,239)</w:t>
            </w:r>
          </w:p>
        </w:tc>
        <w:tc>
          <w:tcPr>
            <w:tcW w:w="866" w:type="dxa"/>
            <w:tcBorders>
              <w:bottom w:val="single" w:sz="0" w:space="0" w:color="000000"/>
            </w:tcBorders>
          </w:tcPr>
          <w:p>
            <w:pPr>
              <w:pStyle w:val="TableParagraph"/>
              <w:spacing w:before="19"/>
              <w:ind w:right="23"/>
              <w:jc w:val="right"/>
              <w:rPr>
                <w:sz w:val="16"/>
              </w:rPr>
            </w:pPr>
            <w:r>
              <w:rPr>
                <w:sz w:val="16"/>
              </w:rPr>
              <w:t>(5,828)</w:t>
            </w:r>
          </w:p>
        </w:tc>
        <w:tc>
          <w:tcPr>
            <w:tcW w:w="443" w:type="dxa"/>
            <w:tcBorders>
              <w:bottom w:val="single" w:sz="0" w:space="0" w:color="000000"/>
            </w:tcBorders>
          </w:tcPr>
          <w:p>
            <w:pPr/>
          </w:p>
        </w:tc>
        <w:tc>
          <w:tcPr>
            <w:tcW w:w="423" w:type="dxa"/>
            <w:tcBorders>
              <w:bottom w:val="single" w:sz="0" w:space="0" w:color="000000"/>
            </w:tcBorders>
          </w:tcPr>
          <w:p>
            <w:pPr>
              <w:pStyle w:val="TableParagraph"/>
              <w:spacing w:before="19"/>
              <w:ind w:right="23"/>
              <w:jc w:val="right"/>
              <w:rPr>
                <w:sz w:val="16"/>
              </w:rPr>
            </w:pPr>
            <w:r>
              <w:rPr>
                <w:w w:val="95"/>
                <w:sz w:val="16"/>
              </w:rPr>
              <w:t>(651)</w:t>
            </w:r>
          </w:p>
        </w:tc>
        <w:tc>
          <w:tcPr>
            <w:tcW w:w="443" w:type="dxa"/>
            <w:tcBorders>
              <w:bottom w:val="single" w:sz="0" w:space="0" w:color="000000"/>
            </w:tcBorders>
          </w:tcPr>
          <w:p>
            <w:pPr/>
          </w:p>
        </w:tc>
        <w:tc>
          <w:tcPr>
            <w:tcW w:w="423" w:type="dxa"/>
            <w:tcBorders>
              <w:bottom w:val="single" w:sz="0" w:space="0" w:color="000000"/>
            </w:tcBorders>
          </w:tcPr>
          <w:p>
            <w:pPr>
              <w:pStyle w:val="TableParagraph"/>
              <w:spacing w:before="19"/>
              <w:ind w:left="25"/>
              <w:rPr>
                <w:sz w:val="16"/>
              </w:rPr>
            </w:pPr>
            <w:r>
              <w:rPr>
                <w:sz w:val="16"/>
              </w:rPr>
              <w:t>(679)</w:t>
            </w:r>
          </w:p>
        </w:tc>
        <w:tc>
          <w:tcPr>
            <w:tcW w:w="488" w:type="dxa"/>
            <w:tcBorders>
              <w:bottom w:val="single" w:sz="0" w:space="0" w:color="000000"/>
            </w:tcBorders>
          </w:tcPr>
          <w:p>
            <w:pPr/>
          </w:p>
        </w:tc>
        <w:tc>
          <w:tcPr>
            <w:tcW w:w="379" w:type="dxa"/>
            <w:tcBorders>
              <w:bottom w:val="single" w:sz="0" w:space="0" w:color="000000"/>
            </w:tcBorders>
          </w:tcPr>
          <w:p>
            <w:pPr>
              <w:pStyle w:val="TableParagraph"/>
              <w:spacing w:before="19"/>
              <w:ind w:right="23"/>
              <w:jc w:val="right"/>
              <w:rPr>
                <w:sz w:val="16"/>
              </w:rPr>
            </w:pPr>
            <w:r>
              <w:rPr>
                <w:w w:val="95"/>
                <w:sz w:val="16"/>
              </w:rPr>
              <w:t>(61)</w:t>
            </w:r>
          </w:p>
        </w:tc>
        <w:tc>
          <w:tcPr>
            <w:tcW w:w="866" w:type="dxa"/>
            <w:tcBorders>
              <w:bottom w:val="single" w:sz="0" w:space="0" w:color="000000"/>
            </w:tcBorders>
          </w:tcPr>
          <w:p>
            <w:pPr>
              <w:pStyle w:val="TableParagraph"/>
              <w:spacing w:before="19"/>
              <w:ind w:right="23"/>
              <w:jc w:val="right"/>
              <w:rPr>
                <w:sz w:val="16"/>
              </w:rPr>
            </w:pPr>
            <w:r>
              <w:rPr>
                <w:w w:val="95"/>
                <w:sz w:val="16"/>
              </w:rPr>
              <w:t>(989)</w:t>
            </w:r>
          </w:p>
        </w:tc>
      </w:tr>
      <w:tr>
        <w:trPr>
          <w:trHeight w:val="275" w:hRule="exact"/>
        </w:trPr>
        <w:tc>
          <w:tcPr>
            <w:tcW w:w="4534" w:type="dxa"/>
          </w:tcPr>
          <w:p>
            <w:pPr>
              <w:pStyle w:val="TableParagraph"/>
              <w:spacing w:before="40"/>
              <w:ind w:left="35" w:right="1254"/>
              <w:rPr>
                <w:sz w:val="16"/>
              </w:rPr>
            </w:pPr>
            <w:r>
              <w:rPr>
                <w:sz w:val="16"/>
              </w:rPr>
              <w:t>Surplus/(deficit) for the reporting period</w:t>
            </w:r>
          </w:p>
        </w:tc>
        <w:tc>
          <w:tcPr>
            <w:tcW w:w="497" w:type="dxa"/>
            <w:tcBorders>
              <w:top w:val="single" w:sz="0" w:space="0" w:color="000000"/>
              <w:bottom w:val="single" w:sz="0" w:space="0" w:color="000000"/>
            </w:tcBorders>
          </w:tcPr>
          <w:p>
            <w:pPr/>
          </w:p>
        </w:tc>
        <w:tc>
          <w:tcPr>
            <w:tcW w:w="994" w:type="dxa"/>
            <w:tcBorders>
              <w:top w:val="single" w:sz="0" w:space="0" w:color="000000"/>
              <w:bottom w:val="single" w:sz="0" w:space="0" w:color="000000"/>
            </w:tcBorders>
          </w:tcPr>
          <w:p>
            <w:pPr>
              <w:pStyle w:val="TableParagraph"/>
              <w:spacing w:before="38"/>
              <w:ind w:right="75"/>
              <w:jc w:val="right"/>
              <w:rPr>
                <w:sz w:val="16"/>
              </w:rPr>
            </w:pPr>
            <w:r>
              <w:rPr>
                <w:w w:val="99"/>
                <w:sz w:val="16"/>
              </w:rPr>
              <w:t>-</w:t>
            </w:r>
          </w:p>
        </w:tc>
        <w:tc>
          <w:tcPr>
            <w:tcW w:w="918" w:type="dxa"/>
            <w:tcBorders>
              <w:top w:val="single" w:sz="0" w:space="0" w:color="000000"/>
              <w:bottom w:val="single" w:sz="0" w:space="0" w:color="000000"/>
            </w:tcBorders>
          </w:tcPr>
          <w:p>
            <w:pPr>
              <w:pStyle w:val="TableParagraph"/>
              <w:spacing w:before="38"/>
              <w:ind w:right="76"/>
              <w:jc w:val="right"/>
              <w:rPr>
                <w:sz w:val="16"/>
              </w:rPr>
            </w:pPr>
            <w:r>
              <w:rPr>
                <w:w w:val="99"/>
                <w:sz w:val="16"/>
              </w:rPr>
              <w:t>-</w:t>
            </w:r>
          </w:p>
        </w:tc>
        <w:tc>
          <w:tcPr>
            <w:tcW w:w="866" w:type="dxa"/>
            <w:tcBorders>
              <w:top w:val="single" w:sz="0" w:space="0" w:color="000000"/>
              <w:bottom w:val="single" w:sz="0" w:space="0" w:color="000000"/>
            </w:tcBorders>
          </w:tcPr>
          <w:p>
            <w:pPr>
              <w:pStyle w:val="TableParagraph"/>
              <w:spacing w:before="38"/>
              <w:ind w:right="75"/>
              <w:jc w:val="right"/>
              <w:rPr>
                <w:sz w:val="16"/>
              </w:rPr>
            </w:pPr>
            <w:r>
              <w:rPr>
                <w:w w:val="99"/>
                <w:sz w:val="16"/>
              </w:rPr>
              <w:t>-</w:t>
            </w:r>
          </w:p>
        </w:tc>
        <w:tc>
          <w:tcPr>
            <w:tcW w:w="866" w:type="dxa"/>
            <w:tcBorders>
              <w:top w:val="single" w:sz="0" w:space="0" w:color="000000"/>
              <w:bottom w:val="single" w:sz="0" w:space="0" w:color="000000"/>
            </w:tcBorders>
          </w:tcPr>
          <w:p>
            <w:pPr>
              <w:pStyle w:val="TableParagraph"/>
              <w:spacing w:before="38"/>
              <w:ind w:right="75"/>
              <w:jc w:val="right"/>
              <w:rPr>
                <w:sz w:val="16"/>
              </w:rPr>
            </w:pPr>
            <w:r>
              <w:rPr>
                <w:w w:val="99"/>
                <w:sz w:val="16"/>
              </w:rPr>
              <w:t>-</w:t>
            </w:r>
          </w:p>
        </w:tc>
        <w:tc>
          <w:tcPr>
            <w:tcW w:w="866" w:type="dxa"/>
            <w:tcBorders>
              <w:top w:val="single" w:sz="0" w:space="0" w:color="000000"/>
              <w:bottom w:val="single" w:sz="0" w:space="0" w:color="000000"/>
            </w:tcBorders>
          </w:tcPr>
          <w:p>
            <w:pPr>
              <w:pStyle w:val="TableParagraph"/>
              <w:spacing w:before="38"/>
              <w:ind w:right="76"/>
              <w:jc w:val="right"/>
              <w:rPr>
                <w:sz w:val="16"/>
              </w:rPr>
            </w:pPr>
            <w:r>
              <w:rPr>
                <w:w w:val="95"/>
                <w:sz w:val="16"/>
              </w:rPr>
              <w:t>3,052</w:t>
            </w:r>
          </w:p>
        </w:tc>
        <w:tc>
          <w:tcPr>
            <w:tcW w:w="866" w:type="dxa"/>
            <w:tcBorders>
              <w:top w:val="single" w:sz="0" w:space="0" w:color="000000"/>
              <w:bottom w:val="single" w:sz="0" w:space="0" w:color="000000"/>
            </w:tcBorders>
          </w:tcPr>
          <w:p>
            <w:pPr>
              <w:pStyle w:val="TableParagraph"/>
              <w:spacing w:before="38"/>
              <w:ind w:right="76"/>
              <w:jc w:val="right"/>
              <w:rPr>
                <w:sz w:val="16"/>
              </w:rPr>
            </w:pPr>
            <w:r>
              <w:rPr>
                <w:sz w:val="16"/>
              </w:rPr>
              <w:t>183</w:t>
            </w:r>
          </w:p>
        </w:tc>
        <w:tc>
          <w:tcPr>
            <w:tcW w:w="443" w:type="dxa"/>
            <w:tcBorders>
              <w:top w:val="single" w:sz="0" w:space="0" w:color="000000"/>
              <w:bottom w:val="single" w:sz="0" w:space="0" w:color="000000"/>
            </w:tcBorders>
          </w:tcPr>
          <w:p>
            <w:pPr/>
          </w:p>
        </w:tc>
        <w:tc>
          <w:tcPr>
            <w:tcW w:w="423" w:type="dxa"/>
            <w:tcBorders>
              <w:top w:val="single" w:sz="0" w:space="0" w:color="000000"/>
              <w:bottom w:val="single" w:sz="0" w:space="0" w:color="000000"/>
            </w:tcBorders>
          </w:tcPr>
          <w:p>
            <w:pPr>
              <w:pStyle w:val="TableParagraph"/>
              <w:spacing w:before="38"/>
              <w:ind w:right="76"/>
              <w:jc w:val="right"/>
              <w:rPr>
                <w:sz w:val="16"/>
              </w:rPr>
            </w:pPr>
            <w:r>
              <w:rPr>
                <w:w w:val="95"/>
                <w:sz w:val="16"/>
              </w:rPr>
              <w:t>29</w:t>
            </w:r>
          </w:p>
        </w:tc>
        <w:tc>
          <w:tcPr>
            <w:tcW w:w="443" w:type="dxa"/>
            <w:tcBorders>
              <w:top w:val="single" w:sz="0" w:space="0" w:color="000000"/>
              <w:bottom w:val="single" w:sz="0" w:space="0" w:color="000000"/>
            </w:tcBorders>
          </w:tcPr>
          <w:p>
            <w:pPr/>
          </w:p>
        </w:tc>
        <w:tc>
          <w:tcPr>
            <w:tcW w:w="423" w:type="dxa"/>
            <w:tcBorders>
              <w:top w:val="single" w:sz="0" w:space="0" w:color="000000"/>
              <w:bottom w:val="single" w:sz="0" w:space="0" w:color="000000"/>
            </w:tcBorders>
          </w:tcPr>
          <w:p>
            <w:pPr>
              <w:pStyle w:val="TableParagraph"/>
              <w:spacing w:before="38"/>
              <w:ind w:left="167"/>
              <w:rPr>
                <w:sz w:val="16"/>
              </w:rPr>
            </w:pPr>
            <w:r>
              <w:rPr>
                <w:sz w:val="16"/>
              </w:rPr>
              <w:t>38</w:t>
            </w:r>
          </w:p>
        </w:tc>
        <w:tc>
          <w:tcPr>
            <w:tcW w:w="488" w:type="dxa"/>
            <w:tcBorders>
              <w:top w:val="single" w:sz="0" w:space="0" w:color="000000"/>
              <w:bottom w:val="single" w:sz="0" w:space="0" w:color="000000"/>
            </w:tcBorders>
          </w:tcPr>
          <w:p>
            <w:pPr/>
          </w:p>
        </w:tc>
        <w:tc>
          <w:tcPr>
            <w:tcW w:w="379" w:type="dxa"/>
            <w:tcBorders>
              <w:top w:val="single" w:sz="0" w:space="0" w:color="000000"/>
              <w:bottom w:val="single" w:sz="0" w:space="0" w:color="000000"/>
            </w:tcBorders>
          </w:tcPr>
          <w:p>
            <w:pPr>
              <w:pStyle w:val="TableParagraph"/>
              <w:spacing w:before="38"/>
              <w:ind w:right="76"/>
              <w:jc w:val="right"/>
              <w:rPr>
                <w:sz w:val="16"/>
              </w:rPr>
            </w:pPr>
            <w:r>
              <w:rPr>
                <w:w w:val="95"/>
                <w:sz w:val="16"/>
              </w:rPr>
              <w:t>16</w:t>
            </w:r>
          </w:p>
        </w:tc>
        <w:tc>
          <w:tcPr>
            <w:tcW w:w="866" w:type="dxa"/>
            <w:tcBorders>
              <w:top w:val="single" w:sz="0" w:space="0" w:color="000000"/>
              <w:bottom w:val="single" w:sz="0" w:space="0" w:color="000000"/>
            </w:tcBorders>
          </w:tcPr>
          <w:p>
            <w:pPr>
              <w:pStyle w:val="TableParagraph"/>
              <w:spacing w:before="38"/>
              <w:ind w:right="76"/>
              <w:jc w:val="right"/>
              <w:rPr>
                <w:sz w:val="16"/>
              </w:rPr>
            </w:pPr>
            <w:r>
              <w:rPr>
                <w:w w:val="95"/>
                <w:sz w:val="16"/>
              </w:rPr>
              <w:t>77</w:t>
            </w:r>
          </w:p>
        </w:tc>
      </w:tr>
    </w:tbl>
    <w:p>
      <w:pPr>
        <w:pStyle w:val="BodyText"/>
        <w:spacing w:before="6"/>
        <w:rPr>
          <w:b/>
          <w:sz w:val="10"/>
        </w:rPr>
      </w:pPr>
    </w:p>
    <w:p>
      <w:pPr>
        <w:spacing w:after="0"/>
        <w:rPr>
          <w:sz w:val="10"/>
        </w:rPr>
        <w:sectPr>
          <w:type w:val="continuous"/>
          <w:pgSz w:w="16840" w:h="11910" w:orient="landscape"/>
          <w:pgMar w:top="0" w:bottom="280" w:left="900" w:right="880"/>
        </w:sectPr>
      </w:pPr>
    </w:p>
    <w:p>
      <w:pPr>
        <w:pStyle w:val="BodyText"/>
        <w:spacing w:before="10"/>
        <w:rPr>
          <w:b/>
          <w:sz w:val="22"/>
        </w:rPr>
      </w:pPr>
    </w:p>
    <w:p>
      <w:pPr>
        <w:spacing w:before="1"/>
        <w:ind w:left="0" w:right="0" w:firstLine="0"/>
        <w:jc w:val="right"/>
        <w:rPr>
          <w:b/>
          <w:sz w:val="16"/>
        </w:rPr>
      </w:pPr>
      <w:r>
        <w:rPr>
          <w:b/>
          <w:sz w:val="16"/>
        </w:rPr>
        <w:t>Learning &amp; Teaching</w:t>
      </w:r>
    </w:p>
    <w:p>
      <w:pPr>
        <w:pStyle w:val="BodyText"/>
        <w:spacing w:before="10"/>
        <w:rPr>
          <w:b/>
          <w:sz w:val="22"/>
        </w:rPr>
      </w:pPr>
      <w:r>
        <w:rPr/>
        <w:br w:type="column"/>
      </w:r>
      <w:r>
        <w:rPr>
          <w:b/>
          <w:sz w:val="22"/>
        </w:rPr>
      </w:r>
    </w:p>
    <w:p>
      <w:pPr>
        <w:spacing w:before="1"/>
        <w:ind w:left="114" w:right="-19" w:firstLine="0"/>
        <w:jc w:val="left"/>
        <w:rPr>
          <w:b/>
          <w:sz w:val="16"/>
        </w:rPr>
      </w:pPr>
      <w:r>
        <w:rPr>
          <w:b/>
          <w:sz w:val="16"/>
        </w:rPr>
        <w:t>Capital</w:t>
      </w:r>
      <w:r>
        <w:rPr>
          <w:b/>
          <w:spacing w:val="-5"/>
          <w:sz w:val="16"/>
        </w:rPr>
        <w:t> </w:t>
      </w:r>
      <w:r>
        <w:rPr>
          <w:b/>
          <w:sz w:val="16"/>
        </w:rPr>
        <w:t>Development</w:t>
      </w:r>
    </w:p>
    <w:p>
      <w:pPr>
        <w:spacing w:line="184" w:lineRule="exact" w:before="80"/>
        <w:ind w:left="114" w:right="-15" w:firstLine="0"/>
        <w:jc w:val="left"/>
        <w:rPr>
          <w:b/>
          <w:sz w:val="16"/>
        </w:rPr>
      </w:pPr>
      <w:r>
        <w:rPr/>
        <w:br w:type="column"/>
      </w:r>
      <w:r>
        <w:rPr>
          <w:b/>
          <w:sz w:val="16"/>
        </w:rPr>
        <w:t>Diversity and</w:t>
      </w:r>
    </w:p>
    <w:p>
      <w:pPr>
        <w:spacing w:line="184" w:lineRule="exact" w:before="0"/>
        <w:ind w:left="114" w:right="-15" w:firstLine="0"/>
        <w:jc w:val="left"/>
        <w:rPr>
          <w:b/>
          <w:sz w:val="16"/>
        </w:rPr>
      </w:pPr>
      <w:r>
        <w:rPr>
          <w:b/>
          <w:sz w:val="16"/>
        </w:rPr>
        <w:t>Structural Adjustment Transitional Cost</w:t>
      </w:r>
    </w:p>
    <w:p>
      <w:pPr>
        <w:spacing w:before="80"/>
        <w:ind w:left="389" w:right="120" w:firstLine="0"/>
        <w:jc w:val="left"/>
        <w:rPr>
          <w:b/>
          <w:sz w:val="16"/>
        </w:rPr>
      </w:pPr>
      <w:r>
        <w:rPr/>
        <w:br w:type="column"/>
      </w:r>
      <w:r>
        <w:rPr>
          <w:b/>
          <w:sz w:val="16"/>
        </w:rPr>
        <w:t>Promo of Excellence in Learning and</w:t>
      </w:r>
    </w:p>
    <w:p>
      <w:pPr>
        <w:spacing w:after="0"/>
        <w:jc w:val="left"/>
        <w:rPr>
          <w:sz w:val="16"/>
        </w:rPr>
        <w:sectPr>
          <w:type w:val="continuous"/>
          <w:pgSz w:w="16840" w:h="11910" w:orient="landscape"/>
          <w:pgMar w:top="0" w:bottom="280" w:left="900" w:right="880"/>
          <w:cols w:num="4" w:equalWidth="0">
            <w:col w:w="7890" w:space="40"/>
            <w:col w:w="1693" w:space="40"/>
            <w:col w:w="3151" w:space="40"/>
            <w:col w:w="2206"/>
          </w:cols>
        </w:sectPr>
      </w:pPr>
    </w:p>
    <w:p>
      <w:pPr>
        <w:spacing w:line="184" w:lineRule="exact" w:before="0"/>
        <w:ind w:left="0" w:right="0" w:firstLine="0"/>
        <w:jc w:val="right"/>
        <w:rPr>
          <w:b/>
          <w:sz w:val="16"/>
        </w:rPr>
      </w:pPr>
      <w:r>
        <w:rPr>
          <w:b/>
          <w:sz w:val="16"/>
        </w:rPr>
        <w:t>Performance Fund</w:t>
      </w:r>
    </w:p>
    <w:p>
      <w:pPr>
        <w:spacing w:line="184" w:lineRule="exact" w:before="0"/>
        <w:ind w:left="282" w:right="-3" w:firstLine="0"/>
        <w:jc w:val="left"/>
        <w:rPr>
          <w:b/>
          <w:sz w:val="16"/>
        </w:rPr>
      </w:pPr>
      <w:r>
        <w:rPr/>
        <w:br w:type="column"/>
      </w:r>
      <w:r>
        <w:rPr>
          <w:b/>
          <w:w w:val="95"/>
          <w:sz w:val="16"/>
        </w:rPr>
        <w:t>Pool</w:t>
      </w:r>
    </w:p>
    <w:p>
      <w:pPr>
        <w:spacing w:line="184" w:lineRule="exact" w:before="0"/>
        <w:ind w:left="0" w:right="0" w:firstLine="0"/>
        <w:jc w:val="right"/>
        <w:rPr>
          <w:b/>
          <w:sz w:val="16"/>
        </w:rPr>
      </w:pPr>
      <w:r>
        <w:rPr/>
        <w:br w:type="column"/>
      </w:r>
      <w:r>
        <w:rPr>
          <w:b/>
          <w:sz w:val="16"/>
        </w:rPr>
        <w:t>Fund #3</w:t>
      </w:r>
    </w:p>
    <w:p>
      <w:pPr>
        <w:spacing w:line="184" w:lineRule="exact" w:before="0"/>
        <w:ind w:left="1080" w:right="0" w:firstLine="0"/>
        <w:jc w:val="left"/>
        <w:rPr>
          <w:b/>
          <w:sz w:val="16"/>
        </w:rPr>
      </w:pPr>
      <w:r>
        <w:rPr/>
        <w:br w:type="column"/>
      </w:r>
      <w:r>
        <w:rPr>
          <w:b/>
          <w:w w:val="95"/>
          <w:sz w:val="16"/>
        </w:rPr>
        <w:t>Program</w:t>
      </w:r>
    </w:p>
    <w:p>
      <w:pPr>
        <w:spacing w:line="183" w:lineRule="exact" w:before="0"/>
        <w:ind w:left="1015" w:right="1094" w:firstLine="0"/>
        <w:jc w:val="center"/>
        <w:rPr>
          <w:b/>
          <w:sz w:val="16"/>
        </w:rPr>
      </w:pPr>
      <w:r>
        <w:rPr/>
        <w:br w:type="column"/>
      </w:r>
      <w:r>
        <w:rPr>
          <w:b/>
          <w:sz w:val="16"/>
        </w:rPr>
        <w:t>Teaching</w:t>
      </w:r>
    </w:p>
    <w:p>
      <w:pPr>
        <w:spacing w:after="0" w:line="183" w:lineRule="exact"/>
        <w:jc w:val="center"/>
        <w:rPr>
          <w:sz w:val="16"/>
        </w:rPr>
        <w:sectPr>
          <w:type w:val="continuous"/>
          <w:pgSz w:w="16840" w:h="11910" w:orient="landscape"/>
          <w:pgMar w:top="0" w:bottom="280" w:left="900" w:right="880"/>
          <w:cols w:num="5" w:equalWidth="0">
            <w:col w:w="7721" w:space="40"/>
            <w:col w:w="629" w:space="40"/>
            <w:col w:w="1959" w:space="40"/>
            <w:col w:w="1738" w:space="40"/>
            <w:col w:w="2853"/>
          </w:cols>
        </w:sectPr>
      </w:pPr>
    </w:p>
    <w:p>
      <w:pPr>
        <w:pStyle w:val="BodyText"/>
        <w:spacing w:before="1"/>
        <w:rPr>
          <w:b/>
          <w:sz w:val="3"/>
        </w:rPr>
      </w:pPr>
    </w:p>
    <w:tbl>
      <w:tblPr>
        <w:tblW w:w="0" w:type="auto"/>
        <w:jc w:val="left"/>
        <w:tblInd w:w="107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36"/>
        <w:gridCol w:w="496"/>
        <w:gridCol w:w="943"/>
        <w:gridCol w:w="840"/>
        <w:gridCol w:w="603"/>
        <w:gridCol w:w="1156"/>
        <w:gridCol w:w="866"/>
        <w:gridCol w:w="866"/>
        <w:gridCol w:w="443"/>
        <w:gridCol w:w="423"/>
        <w:gridCol w:w="488"/>
        <w:gridCol w:w="379"/>
        <w:gridCol w:w="470"/>
        <w:gridCol w:w="370"/>
        <w:gridCol w:w="603"/>
        <w:gridCol w:w="289"/>
      </w:tblGrid>
      <w:tr>
        <w:trPr>
          <w:trHeight w:val="718" w:hRule="exact"/>
        </w:trPr>
        <w:tc>
          <w:tcPr>
            <w:tcW w:w="4636" w:type="dxa"/>
          </w:tcPr>
          <w:p>
            <w:pPr>
              <w:pStyle w:val="TableParagraph"/>
              <w:rPr>
                <w:b/>
                <w:sz w:val="16"/>
              </w:rPr>
            </w:pPr>
          </w:p>
          <w:p>
            <w:pPr>
              <w:pStyle w:val="TableParagraph"/>
              <w:spacing w:before="97"/>
              <w:ind w:left="35" w:right="1356"/>
              <w:rPr>
                <w:b/>
                <w:sz w:val="16"/>
              </w:rPr>
            </w:pPr>
            <w:r>
              <w:rPr>
                <w:b/>
                <w:sz w:val="16"/>
              </w:rPr>
              <w:t>Parent Entity (University) Only</w:t>
            </w:r>
          </w:p>
          <w:p>
            <w:pPr>
              <w:pStyle w:val="TableParagraph"/>
              <w:spacing w:before="61"/>
              <w:ind w:left="35" w:right="1356"/>
              <w:rPr>
                <w:sz w:val="16"/>
              </w:rPr>
            </w:pPr>
            <w:r>
              <w:rPr>
                <w:sz w:val="16"/>
              </w:rPr>
              <w:t>Financial assistance received in CASH</w:t>
            </w:r>
          </w:p>
        </w:tc>
        <w:tc>
          <w:tcPr>
            <w:tcW w:w="496" w:type="dxa"/>
          </w:tcPr>
          <w:p>
            <w:pPr>
              <w:pStyle w:val="TableParagraph"/>
              <w:rPr>
                <w:b/>
                <w:sz w:val="16"/>
              </w:rPr>
            </w:pPr>
          </w:p>
          <w:p>
            <w:pPr>
              <w:pStyle w:val="TableParagraph"/>
              <w:spacing w:before="97"/>
              <w:ind w:left="40"/>
              <w:rPr>
                <w:b/>
                <w:sz w:val="16"/>
              </w:rPr>
            </w:pPr>
            <w:r>
              <w:rPr>
                <w:b/>
                <w:sz w:val="16"/>
              </w:rPr>
              <w:t>Note</w:t>
            </w:r>
          </w:p>
        </w:tc>
        <w:tc>
          <w:tcPr>
            <w:tcW w:w="943" w:type="dxa"/>
          </w:tcPr>
          <w:p>
            <w:pPr>
              <w:pStyle w:val="TableParagraph"/>
              <w:spacing w:before="30"/>
              <w:ind w:left="101"/>
              <w:rPr>
                <w:b/>
                <w:sz w:val="16"/>
              </w:rPr>
            </w:pPr>
            <w:r>
              <w:rPr>
                <w:b/>
                <w:sz w:val="16"/>
              </w:rPr>
              <w:t>2012</w:t>
            </w:r>
          </w:p>
          <w:p>
            <w:pPr>
              <w:pStyle w:val="TableParagraph"/>
              <w:spacing w:before="66"/>
              <w:ind w:left="101"/>
              <w:rPr>
                <w:b/>
                <w:sz w:val="16"/>
              </w:rPr>
            </w:pPr>
            <w:r>
              <w:rPr>
                <w:b/>
                <w:sz w:val="16"/>
              </w:rPr>
              <w:t>$'000</w:t>
            </w:r>
          </w:p>
        </w:tc>
        <w:tc>
          <w:tcPr>
            <w:tcW w:w="840" w:type="dxa"/>
          </w:tcPr>
          <w:p>
            <w:pPr>
              <w:pStyle w:val="TableParagraph"/>
              <w:spacing w:before="30"/>
              <w:ind w:left="24"/>
              <w:rPr>
                <w:b/>
                <w:sz w:val="16"/>
              </w:rPr>
            </w:pPr>
            <w:r>
              <w:rPr>
                <w:b/>
                <w:sz w:val="16"/>
              </w:rPr>
              <w:t>2011</w:t>
            </w:r>
          </w:p>
          <w:p>
            <w:pPr>
              <w:pStyle w:val="TableParagraph"/>
              <w:spacing w:before="66"/>
              <w:ind w:left="24"/>
              <w:rPr>
                <w:b/>
                <w:sz w:val="16"/>
              </w:rPr>
            </w:pPr>
            <w:r>
              <w:rPr>
                <w:b/>
                <w:sz w:val="16"/>
              </w:rPr>
              <w:t>$'000</w:t>
            </w:r>
          </w:p>
        </w:tc>
        <w:tc>
          <w:tcPr>
            <w:tcW w:w="603" w:type="dxa"/>
          </w:tcPr>
          <w:p>
            <w:pPr>
              <w:pStyle w:val="TableParagraph"/>
              <w:spacing w:before="30"/>
              <w:ind w:left="51"/>
              <w:rPr>
                <w:b/>
                <w:sz w:val="16"/>
              </w:rPr>
            </w:pPr>
            <w:r>
              <w:rPr>
                <w:b/>
                <w:sz w:val="16"/>
              </w:rPr>
              <w:t>2012</w:t>
            </w:r>
          </w:p>
          <w:p>
            <w:pPr>
              <w:pStyle w:val="TableParagraph"/>
              <w:spacing w:before="66"/>
              <w:ind w:left="51"/>
              <w:rPr>
                <w:b/>
                <w:sz w:val="16"/>
              </w:rPr>
            </w:pPr>
            <w:r>
              <w:rPr>
                <w:b/>
                <w:sz w:val="16"/>
              </w:rPr>
              <w:t>$'000</w:t>
            </w:r>
          </w:p>
        </w:tc>
        <w:tc>
          <w:tcPr>
            <w:tcW w:w="1156" w:type="dxa"/>
          </w:tcPr>
          <w:p>
            <w:pPr>
              <w:pStyle w:val="TableParagraph"/>
              <w:spacing w:before="30"/>
              <w:ind w:left="314"/>
              <w:rPr>
                <w:b/>
                <w:sz w:val="16"/>
              </w:rPr>
            </w:pPr>
            <w:r>
              <w:rPr>
                <w:b/>
                <w:sz w:val="16"/>
              </w:rPr>
              <w:t>2011</w:t>
            </w:r>
          </w:p>
          <w:p>
            <w:pPr>
              <w:pStyle w:val="TableParagraph"/>
              <w:spacing w:before="66"/>
              <w:ind w:left="314"/>
              <w:rPr>
                <w:b/>
                <w:sz w:val="16"/>
              </w:rPr>
            </w:pPr>
            <w:r>
              <w:rPr>
                <w:b/>
                <w:sz w:val="16"/>
              </w:rPr>
              <w:t>$'000</w:t>
            </w:r>
          </w:p>
        </w:tc>
        <w:tc>
          <w:tcPr>
            <w:tcW w:w="866" w:type="dxa"/>
          </w:tcPr>
          <w:p>
            <w:pPr>
              <w:pStyle w:val="TableParagraph"/>
              <w:spacing w:before="30"/>
              <w:ind w:left="25"/>
              <w:rPr>
                <w:b/>
                <w:sz w:val="16"/>
              </w:rPr>
            </w:pPr>
            <w:r>
              <w:rPr>
                <w:b/>
                <w:sz w:val="16"/>
              </w:rPr>
              <w:t>2012</w:t>
            </w:r>
          </w:p>
          <w:p>
            <w:pPr>
              <w:pStyle w:val="TableParagraph"/>
              <w:spacing w:before="66"/>
              <w:ind w:left="25"/>
              <w:rPr>
                <w:b/>
                <w:sz w:val="16"/>
              </w:rPr>
            </w:pPr>
            <w:r>
              <w:rPr>
                <w:b/>
                <w:sz w:val="16"/>
              </w:rPr>
              <w:t>$'000</w:t>
            </w:r>
          </w:p>
        </w:tc>
        <w:tc>
          <w:tcPr>
            <w:tcW w:w="866" w:type="dxa"/>
          </w:tcPr>
          <w:p>
            <w:pPr>
              <w:pStyle w:val="TableParagraph"/>
              <w:spacing w:before="30"/>
              <w:ind w:left="25"/>
              <w:rPr>
                <w:b/>
                <w:sz w:val="16"/>
              </w:rPr>
            </w:pPr>
            <w:r>
              <w:rPr>
                <w:b/>
                <w:sz w:val="16"/>
              </w:rPr>
              <w:t>2011</w:t>
            </w:r>
          </w:p>
          <w:p>
            <w:pPr>
              <w:pStyle w:val="TableParagraph"/>
              <w:spacing w:before="66"/>
              <w:ind w:left="25"/>
              <w:rPr>
                <w:b/>
                <w:sz w:val="16"/>
              </w:rPr>
            </w:pPr>
            <w:r>
              <w:rPr>
                <w:b/>
                <w:sz w:val="16"/>
              </w:rPr>
              <w:t>$'000</w:t>
            </w:r>
          </w:p>
        </w:tc>
        <w:tc>
          <w:tcPr>
            <w:tcW w:w="443" w:type="dxa"/>
          </w:tcPr>
          <w:p>
            <w:pPr>
              <w:pStyle w:val="TableParagraph"/>
              <w:spacing w:before="30"/>
              <w:ind w:left="25"/>
              <w:rPr>
                <w:b/>
                <w:sz w:val="16"/>
              </w:rPr>
            </w:pPr>
            <w:r>
              <w:rPr>
                <w:b/>
                <w:sz w:val="16"/>
              </w:rPr>
              <w:t>2012</w:t>
            </w:r>
          </w:p>
          <w:p>
            <w:pPr>
              <w:pStyle w:val="TableParagraph"/>
              <w:spacing w:before="66"/>
              <w:ind w:left="25"/>
              <w:rPr>
                <w:b/>
                <w:sz w:val="16"/>
              </w:rPr>
            </w:pPr>
            <w:r>
              <w:rPr>
                <w:b/>
                <w:sz w:val="16"/>
              </w:rPr>
              <w:t>$'000</w:t>
            </w:r>
          </w:p>
        </w:tc>
        <w:tc>
          <w:tcPr>
            <w:tcW w:w="423" w:type="dxa"/>
          </w:tcPr>
          <w:p>
            <w:pPr/>
          </w:p>
        </w:tc>
        <w:tc>
          <w:tcPr>
            <w:tcW w:w="488" w:type="dxa"/>
          </w:tcPr>
          <w:p>
            <w:pPr>
              <w:pStyle w:val="TableParagraph"/>
              <w:spacing w:before="30"/>
              <w:ind w:left="25"/>
              <w:rPr>
                <w:b/>
                <w:sz w:val="16"/>
              </w:rPr>
            </w:pPr>
            <w:r>
              <w:rPr>
                <w:b/>
                <w:sz w:val="16"/>
              </w:rPr>
              <w:t>2011</w:t>
            </w:r>
          </w:p>
          <w:p>
            <w:pPr>
              <w:pStyle w:val="TableParagraph"/>
              <w:spacing w:before="66"/>
              <w:ind w:left="25"/>
              <w:rPr>
                <w:b/>
                <w:sz w:val="16"/>
              </w:rPr>
            </w:pPr>
            <w:r>
              <w:rPr>
                <w:b/>
                <w:sz w:val="16"/>
              </w:rPr>
              <w:t>$'000</w:t>
            </w:r>
          </w:p>
        </w:tc>
        <w:tc>
          <w:tcPr>
            <w:tcW w:w="379" w:type="dxa"/>
          </w:tcPr>
          <w:p>
            <w:pPr/>
          </w:p>
        </w:tc>
        <w:tc>
          <w:tcPr>
            <w:tcW w:w="470" w:type="dxa"/>
          </w:tcPr>
          <w:p>
            <w:pPr>
              <w:pStyle w:val="TableParagraph"/>
              <w:spacing w:before="30"/>
              <w:ind w:left="24"/>
              <w:rPr>
                <w:b/>
                <w:sz w:val="16"/>
              </w:rPr>
            </w:pPr>
            <w:r>
              <w:rPr>
                <w:b/>
                <w:sz w:val="16"/>
              </w:rPr>
              <w:t>2012</w:t>
            </w:r>
          </w:p>
          <w:p>
            <w:pPr>
              <w:pStyle w:val="TableParagraph"/>
              <w:spacing w:before="66"/>
              <w:ind w:left="24"/>
              <w:rPr>
                <w:b/>
                <w:sz w:val="16"/>
              </w:rPr>
            </w:pPr>
            <w:r>
              <w:rPr>
                <w:b/>
                <w:sz w:val="16"/>
              </w:rPr>
              <w:t>$'000</w:t>
            </w:r>
          </w:p>
        </w:tc>
        <w:tc>
          <w:tcPr>
            <w:tcW w:w="370" w:type="dxa"/>
          </w:tcPr>
          <w:p>
            <w:pPr/>
          </w:p>
        </w:tc>
        <w:tc>
          <w:tcPr>
            <w:tcW w:w="603" w:type="dxa"/>
          </w:tcPr>
          <w:p>
            <w:pPr>
              <w:pStyle w:val="TableParagraph"/>
              <w:spacing w:before="30"/>
              <w:ind w:left="51"/>
              <w:rPr>
                <w:b/>
                <w:sz w:val="16"/>
              </w:rPr>
            </w:pPr>
            <w:r>
              <w:rPr>
                <w:b/>
                <w:sz w:val="16"/>
              </w:rPr>
              <w:t>2011</w:t>
            </w:r>
          </w:p>
          <w:p>
            <w:pPr>
              <w:pStyle w:val="TableParagraph"/>
              <w:spacing w:before="66"/>
              <w:ind w:left="51"/>
              <w:rPr>
                <w:b/>
                <w:sz w:val="16"/>
              </w:rPr>
            </w:pPr>
            <w:r>
              <w:rPr>
                <w:b/>
                <w:sz w:val="16"/>
              </w:rPr>
              <w:t>$'000</w:t>
            </w:r>
          </w:p>
        </w:tc>
        <w:tc>
          <w:tcPr>
            <w:tcW w:w="289" w:type="dxa"/>
          </w:tcPr>
          <w:p>
            <w:pPr/>
          </w:p>
        </w:tc>
      </w:tr>
      <w:tr>
        <w:trPr>
          <w:trHeight w:val="579" w:hRule="exact"/>
        </w:trPr>
        <w:tc>
          <w:tcPr>
            <w:tcW w:w="4636" w:type="dxa"/>
          </w:tcPr>
          <w:p>
            <w:pPr>
              <w:pStyle w:val="TableParagraph"/>
              <w:ind w:left="35" w:right="1356"/>
              <w:rPr>
                <w:sz w:val="16"/>
              </w:rPr>
            </w:pPr>
            <w:r>
              <w:rPr>
                <w:sz w:val="16"/>
              </w:rPr>
              <w:t>during the reporting period (total cash received from Australian Government for the program)</w:t>
            </w:r>
          </w:p>
        </w:tc>
        <w:tc>
          <w:tcPr>
            <w:tcW w:w="496" w:type="dxa"/>
          </w:tcPr>
          <w:p>
            <w:pPr/>
          </w:p>
        </w:tc>
        <w:tc>
          <w:tcPr>
            <w:tcW w:w="943" w:type="dxa"/>
          </w:tcPr>
          <w:p>
            <w:pPr>
              <w:pStyle w:val="TableParagraph"/>
              <w:rPr>
                <w:b/>
                <w:sz w:val="16"/>
              </w:rPr>
            </w:pPr>
          </w:p>
          <w:p>
            <w:pPr>
              <w:pStyle w:val="TableParagraph"/>
              <w:rPr>
                <w:b/>
                <w:sz w:val="15"/>
              </w:rPr>
            </w:pPr>
          </w:p>
          <w:p>
            <w:pPr>
              <w:pStyle w:val="TableParagraph"/>
              <w:ind w:right="75"/>
              <w:jc w:val="right"/>
              <w:rPr>
                <w:sz w:val="16"/>
              </w:rPr>
            </w:pPr>
            <w:r>
              <w:rPr>
                <w:w w:val="99"/>
                <w:sz w:val="16"/>
              </w:rPr>
              <w:t>-</w:t>
            </w:r>
          </w:p>
        </w:tc>
        <w:tc>
          <w:tcPr>
            <w:tcW w:w="840" w:type="dxa"/>
          </w:tcPr>
          <w:p>
            <w:pPr>
              <w:pStyle w:val="TableParagraph"/>
              <w:rPr>
                <w:b/>
                <w:sz w:val="16"/>
              </w:rPr>
            </w:pPr>
          </w:p>
          <w:p>
            <w:pPr>
              <w:pStyle w:val="TableParagraph"/>
              <w:rPr>
                <w:b/>
                <w:sz w:val="15"/>
              </w:rPr>
            </w:pPr>
          </w:p>
          <w:p>
            <w:pPr>
              <w:pStyle w:val="TableParagraph"/>
              <w:ind w:right="49"/>
              <w:jc w:val="right"/>
              <w:rPr>
                <w:sz w:val="16"/>
              </w:rPr>
            </w:pPr>
            <w:r>
              <w:rPr>
                <w:w w:val="99"/>
                <w:sz w:val="16"/>
              </w:rPr>
              <w:t>-</w:t>
            </w:r>
          </w:p>
        </w:tc>
        <w:tc>
          <w:tcPr>
            <w:tcW w:w="603" w:type="dxa"/>
          </w:tcPr>
          <w:p>
            <w:pPr/>
          </w:p>
        </w:tc>
        <w:tc>
          <w:tcPr>
            <w:tcW w:w="1156" w:type="dxa"/>
          </w:tcPr>
          <w:p>
            <w:pPr>
              <w:pStyle w:val="TableParagraph"/>
              <w:rPr>
                <w:b/>
                <w:sz w:val="16"/>
              </w:rPr>
            </w:pPr>
          </w:p>
          <w:p>
            <w:pPr>
              <w:pStyle w:val="TableParagraph"/>
              <w:rPr>
                <w:b/>
                <w:sz w:val="15"/>
              </w:rPr>
            </w:pPr>
          </w:p>
          <w:p>
            <w:pPr>
              <w:pStyle w:val="TableParagraph"/>
              <w:tabs>
                <w:tab w:pos="519" w:val="left" w:leader="none"/>
              </w:tabs>
              <w:ind w:right="75"/>
              <w:jc w:val="right"/>
              <w:rPr>
                <w:sz w:val="16"/>
              </w:rPr>
            </w:pPr>
            <w:r>
              <w:rPr>
                <w:sz w:val="16"/>
              </w:rPr>
              <w:t>-</w:t>
              <w:tab/>
            </w:r>
            <w:r>
              <w:rPr>
                <w:w w:val="95"/>
                <w:sz w:val="16"/>
              </w:rPr>
              <w:t>4,149</w:t>
            </w:r>
          </w:p>
        </w:tc>
        <w:tc>
          <w:tcPr>
            <w:tcW w:w="866" w:type="dxa"/>
          </w:tcPr>
          <w:p>
            <w:pPr>
              <w:pStyle w:val="TableParagraph"/>
              <w:rPr>
                <w:b/>
                <w:sz w:val="16"/>
              </w:rPr>
            </w:pPr>
          </w:p>
          <w:p>
            <w:pPr>
              <w:pStyle w:val="TableParagraph"/>
              <w:rPr>
                <w:b/>
                <w:sz w:val="15"/>
              </w:rPr>
            </w:pPr>
          </w:p>
          <w:p>
            <w:pPr>
              <w:pStyle w:val="TableParagraph"/>
              <w:ind w:right="75"/>
              <w:jc w:val="right"/>
              <w:rPr>
                <w:sz w:val="16"/>
              </w:rPr>
            </w:pPr>
            <w:r>
              <w:rPr>
                <w:w w:val="95"/>
                <w:sz w:val="16"/>
              </w:rPr>
              <w:t>5,060</w:t>
            </w:r>
          </w:p>
        </w:tc>
        <w:tc>
          <w:tcPr>
            <w:tcW w:w="866" w:type="dxa"/>
          </w:tcPr>
          <w:p>
            <w:pPr>
              <w:pStyle w:val="TableParagraph"/>
              <w:rPr>
                <w:b/>
                <w:sz w:val="16"/>
              </w:rPr>
            </w:pPr>
          </w:p>
          <w:p>
            <w:pPr>
              <w:pStyle w:val="TableParagraph"/>
              <w:rPr>
                <w:b/>
                <w:sz w:val="15"/>
              </w:rPr>
            </w:pPr>
          </w:p>
          <w:p>
            <w:pPr>
              <w:pStyle w:val="TableParagraph"/>
              <w:ind w:right="75"/>
              <w:jc w:val="right"/>
              <w:rPr>
                <w:sz w:val="16"/>
              </w:rPr>
            </w:pPr>
            <w:r>
              <w:rPr>
                <w:sz w:val="16"/>
              </w:rPr>
              <w:t>350</w:t>
            </w:r>
          </w:p>
        </w:tc>
        <w:tc>
          <w:tcPr>
            <w:tcW w:w="443" w:type="dxa"/>
          </w:tcPr>
          <w:p>
            <w:pPr/>
          </w:p>
        </w:tc>
        <w:tc>
          <w:tcPr>
            <w:tcW w:w="423" w:type="dxa"/>
          </w:tcPr>
          <w:p>
            <w:pPr>
              <w:pStyle w:val="TableParagraph"/>
              <w:rPr>
                <w:b/>
                <w:sz w:val="16"/>
              </w:rPr>
            </w:pPr>
          </w:p>
          <w:p>
            <w:pPr>
              <w:pStyle w:val="TableParagraph"/>
              <w:rPr>
                <w:b/>
                <w:sz w:val="15"/>
              </w:rPr>
            </w:pPr>
          </w:p>
          <w:p>
            <w:pPr>
              <w:pStyle w:val="TableParagraph"/>
              <w:ind w:right="76"/>
              <w:jc w:val="right"/>
              <w:rPr>
                <w:sz w:val="16"/>
              </w:rPr>
            </w:pPr>
            <w:r>
              <w:rPr>
                <w:sz w:val="16"/>
              </w:rPr>
              <w:t>134</w:t>
            </w:r>
          </w:p>
        </w:tc>
        <w:tc>
          <w:tcPr>
            <w:tcW w:w="488" w:type="dxa"/>
          </w:tcPr>
          <w:p>
            <w:pPr/>
          </w:p>
        </w:tc>
        <w:tc>
          <w:tcPr>
            <w:tcW w:w="379" w:type="dxa"/>
          </w:tcPr>
          <w:p>
            <w:pPr>
              <w:pStyle w:val="TableParagraph"/>
              <w:rPr>
                <w:b/>
                <w:sz w:val="16"/>
              </w:rPr>
            </w:pPr>
          </w:p>
          <w:p>
            <w:pPr>
              <w:pStyle w:val="TableParagraph"/>
              <w:rPr>
                <w:b/>
                <w:sz w:val="15"/>
              </w:rPr>
            </w:pPr>
          </w:p>
          <w:p>
            <w:pPr>
              <w:pStyle w:val="TableParagraph"/>
              <w:ind w:left="70"/>
              <w:rPr>
                <w:sz w:val="16"/>
              </w:rPr>
            </w:pPr>
            <w:r>
              <w:rPr>
                <w:sz w:val="16"/>
              </w:rPr>
              <w:t>(33)</w:t>
            </w:r>
          </w:p>
        </w:tc>
        <w:tc>
          <w:tcPr>
            <w:tcW w:w="470" w:type="dxa"/>
          </w:tcPr>
          <w:p>
            <w:pPr/>
          </w:p>
        </w:tc>
        <w:tc>
          <w:tcPr>
            <w:tcW w:w="370" w:type="dxa"/>
          </w:tcPr>
          <w:p>
            <w:pPr>
              <w:pStyle w:val="TableParagraph"/>
              <w:rPr>
                <w:b/>
                <w:sz w:val="16"/>
              </w:rPr>
            </w:pPr>
          </w:p>
          <w:p>
            <w:pPr>
              <w:pStyle w:val="TableParagraph"/>
              <w:rPr>
                <w:b/>
                <w:sz w:val="15"/>
              </w:rPr>
            </w:pPr>
          </w:p>
          <w:p>
            <w:pPr>
              <w:pStyle w:val="TableParagraph"/>
              <w:ind w:right="50"/>
              <w:jc w:val="right"/>
              <w:rPr>
                <w:sz w:val="16"/>
              </w:rPr>
            </w:pPr>
            <w:r>
              <w:rPr>
                <w:sz w:val="16"/>
              </w:rPr>
              <w:t>340</w:t>
            </w:r>
          </w:p>
        </w:tc>
        <w:tc>
          <w:tcPr>
            <w:tcW w:w="603" w:type="dxa"/>
          </w:tcPr>
          <w:p>
            <w:pPr/>
          </w:p>
        </w:tc>
        <w:tc>
          <w:tcPr>
            <w:tcW w:w="289" w:type="dxa"/>
          </w:tcPr>
          <w:p>
            <w:pPr>
              <w:pStyle w:val="TableParagraph"/>
              <w:rPr>
                <w:b/>
                <w:sz w:val="16"/>
              </w:rPr>
            </w:pPr>
          </w:p>
          <w:p>
            <w:pPr>
              <w:pStyle w:val="TableParagraph"/>
              <w:rPr>
                <w:b/>
                <w:sz w:val="15"/>
              </w:rPr>
            </w:pPr>
          </w:p>
          <w:p>
            <w:pPr>
              <w:pStyle w:val="TableParagraph"/>
              <w:ind w:right="75"/>
              <w:jc w:val="right"/>
              <w:rPr>
                <w:sz w:val="16"/>
              </w:rPr>
            </w:pPr>
            <w:r>
              <w:rPr>
                <w:w w:val="99"/>
                <w:sz w:val="16"/>
              </w:rPr>
              <w:t>-</w:t>
            </w:r>
          </w:p>
        </w:tc>
      </w:tr>
      <w:tr>
        <w:trPr>
          <w:trHeight w:val="241" w:hRule="exact"/>
        </w:trPr>
        <w:tc>
          <w:tcPr>
            <w:tcW w:w="4636" w:type="dxa"/>
          </w:tcPr>
          <w:p>
            <w:pPr>
              <w:pStyle w:val="TableParagraph"/>
              <w:spacing w:before="20"/>
              <w:ind w:left="35" w:right="1356"/>
              <w:rPr>
                <w:sz w:val="16"/>
              </w:rPr>
            </w:pPr>
            <w:r>
              <w:rPr>
                <w:sz w:val="16"/>
              </w:rPr>
              <w:t>Net accrual adjustments</w:t>
            </w:r>
          </w:p>
        </w:tc>
        <w:tc>
          <w:tcPr>
            <w:tcW w:w="496" w:type="dxa"/>
            <w:tcBorders>
              <w:bottom w:val="single" w:sz="0" w:space="0" w:color="000000"/>
            </w:tcBorders>
          </w:tcPr>
          <w:p>
            <w:pPr/>
          </w:p>
        </w:tc>
        <w:tc>
          <w:tcPr>
            <w:tcW w:w="943" w:type="dxa"/>
            <w:tcBorders>
              <w:bottom w:val="single" w:sz="0" w:space="0" w:color="000000"/>
            </w:tcBorders>
          </w:tcPr>
          <w:p>
            <w:pPr>
              <w:pStyle w:val="TableParagraph"/>
              <w:spacing w:before="19"/>
              <w:ind w:right="75"/>
              <w:jc w:val="right"/>
              <w:rPr>
                <w:sz w:val="16"/>
              </w:rPr>
            </w:pPr>
            <w:r>
              <w:rPr>
                <w:w w:val="99"/>
                <w:sz w:val="16"/>
              </w:rPr>
              <w:t>-</w:t>
            </w:r>
          </w:p>
        </w:tc>
        <w:tc>
          <w:tcPr>
            <w:tcW w:w="840" w:type="dxa"/>
            <w:tcBorders>
              <w:bottom w:val="single" w:sz="0" w:space="0" w:color="000000"/>
            </w:tcBorders>
          </w:tcPr>
          <w:p>
            <w:pPr>
              <w:pStyle w:val="TableParagraph"/>
              <w:spacing w:before="19"/>
              <w:ind w:right="49"/>
              <w:jc w:val="right"/>
              <w:rPr>
                <w:sz w:val="16"/>
              </w:rPr>
            </w:pPr>
            <w:r>
              <w:rPr>
                <w:w w:val="99"/>
                <w:sz w:val="16"/>
              </w:rPr>
              <w:t>-</w:t>
            </w:r>
          </w:p>
        </w:tc>
        <w:tc>
          <w:tcPr>
            <w:tcW w:w="603" w:type="dxa"/>
            <w:tcBorders>
              <w:bottom w:val="single" w:sz="0" w:space="0" w:color="000000"/>
            </w:tcBorders>
          </w:tcPr>
          <w:p>
            <w:pPr/>
          </w:p>
        </w:tc>
        <w:tc>
          <w:tcPr>
            <w:tcW w:w="1156" w:type="dxa"/>
            <w:tcBorders>
              <w:bottom w:val="single" w:sz="0" w:space="0" w:color="000000"/>
            </w:tcBorders>
          </w:tcPr>
          <w:p>
            <w:pPr>
              <w:pStyle w:val="TableParagraph"/>
              <w:tabs>
                <w:tab w:pos="866" w:val="left" w:leader="none"/>
              </w:tabs>
              <w:spacing w:before="19"/>
              <w:ind w:right="75"/>
              <w:jc w:val="right"/>
              <w:rPr>
                <w:sz w:val="16"/>
              </w:rPr>
            </w:pPr>
            <w:r>
              <w:rPr>
                <w:sz w:val="16"/>
              </w:rPr>
              <w:t>-</w:t>
              <w:tab/>
            </w:r>
            <w:r>
              <w:rPr>
                <w:w w:val="95"/>
                <w:sz w:val="16"/>
              </w:rPr>
              <w:t>-</w:t>
            </w:r>
          </w:p>
        </w:tc>
        <w:tc>
          <w:tcPr>
            <w:tcW w:w="866" w:type="dxa"/>
            <w:tcBorders>
              <w:bottom w:val="single" w:sz="0" w:space="0" w:color="000000"/>
            </w:tcBorders>
          </w:tcPr>
          <w:p>
            <w:pPr>
              <w:pStyle w:val="TableParagraph"/>
              <w:spacing w:before="19"/>
              <w:ind w:right="75"/>
              <w:jc w:val="right"/>
              <w:rPr>
                <w:sz w:val="16"/>
              </w:rPr>
            </w:pPr>
            <w:r>
              <w:rPr>
                <w:w w:val="99"/>
                <w:sz w:val="16"/>
              </w:rPr>
              <w:t>-</w:t>
            </w:r>
          </w:p>
        </w:tc>
        <w:tc>
          <w:tcPr>
            <w:tcW w:w="866" w:type="dxa"/>
            <w:tcBorders>
              <w:bottom w:val="single" w:sz="0" w:space="0" w:color="000000"/>
            </w:tcBorders>
          </w:tcPr>
          <w:p>
            <w:pPr>
              <w:pStyle w:val="TableParagraph"/>
              <w:spacing w:before="19"/>
              <w:ind w:right="75"/>
              <w:jc w:val="right"/>
              <w:rPr>
                <w:sz w:val="16"/>
              </w:rPr>
            </w:pPr>
            <w:r>
              <w:rPr>
                <w:w w:val="99"/>
                <w:sz w:val="16"/>
              </w:rPr>
              <w:t>-</w:t>
            </w:r>
          </w:p>
        </w:tc>
        <w:tc>
          <w:tcPr>
            <w:tcW w:w="443" w:type="dxa"/>
            <w:tcBorders>
              <w:bottom w:val="single" w:sz="0" w:space="0" w:color="000000"/>
            </w:tcBorders>
          </w:tcPr>
          <w:p>
            <w:pPr/>
          </w:p>
        </w:tc>
        <w:tc>
          <w:tcPr>
            <w:tcW w:w="423" w:type="dxa"/>
            <w:tcBorders>
              <w:bottom w:val="single" w:sz="0" w:space="0" w:color="000000"/>
            </w:tcBorders>
          </w:tcPr>
          <w:p>
            <w:pPr>
              <w:pStyle w:val="TableParagraph"/>
              <w:spacing w:before="19"/>
              <w:ind w:right="75"/>
              <w:jc w:val="right"/>
              <w:rPr>
                <w:sz w:val="16"/>
              </w:rPr>
            </w:pPr>
            <w:r>
              <w:rPr>
                <w:w w:val="99"/>
                <w:sz w:val="16"/>
              </w:rPr>
              <w:t>-</w:t>
            </w:r>
          </w:p>
        </w:tc>
        <w:tc>
          <w:tcPr>
            <w:tcW w:w="488" w:type="dxa"/>
            <w:tcBorders>
              <w:bottom w:val="single" w:sz="0" w:space="0" w:color="000000"/>
            </w:tcBorders>
          </w:tcPr>
          <w:p>
            <w:pPr/>
          </w:p>
        </w:tc>
        <w:tc>
          <w:tcPr>
            <w:tcW w:w="379" w:type="dxa"/>
            <w:tcBorders>
              <w:bottom w:val="single" w:sz="0" w:space="0" w:color="000000"/>
            </w:tcBorders>
          </w:tcPr>
          <w:p>
            <w:pPr>
              <w:pStyle w:val="TableParagraph"/>
              <w:spacing w:before="19"/>
              <w:ind w:left="248"/>
              <w:rPr>
                <w:sz w:val="16"/>
              </w:rPr>
            </w:pPr>
            <w:r>
              <w:rPr>
                <w:w w:val="99"/>
                <w:sz w:val="16"/>
              </w:rPr>
              <w:t>-</w:t>
            </w:r>
          </w:p>
        </w:tc>
        <w:tc>
          <w:tcPr>
            <w:tcW w:w="470" w:type="dxa"/>
            <w:tcBorders>
              <w:bottom w:val="single" w:sz="0" w:space="0" w:color="000000"/>
            </w:tcBorders>
          </w:tcPr>
          <w:p>
            <w:pPr/>
          </w:p>
        </w:tc>
        <w:tc>
          <w:tcPr>
            <w:tcW w:w="370" w:type="dxa"/>
            <w:tcBorders>
              <w:bottom w:val="single" w:sz="0" w:space="0" w:color="000000"/>
            </w:tcBorders>
          </w:tcPr>
          <w:p>
            <w:pPr>
              <w:pStyle w:val="TableParagraph"/>
              <w:spacing w:before="19"/>
              <w:ind w:right="49"/>
              <w:jc w:val="right"/>
              <w:rPr>
                <w:sz w:val="16"/>
              </w:rPr>
            </w:pPr>
            <w:r>
              <w:rPr>
                <w:w w:val="99"/>
                <w:sz w:val="16"/>
              </w:rPr>
              <w:t>-</w:t>
            </w:r>
          </w:p>
        </w:tc>
        <w:tc>
          <w:tcPr>
            <w:tcW w:w="603" w:type="dxa"/>
            <w:tcBorders>
              <w:bottom w:val="single" w:sz="0" w:space="0" w:color="000000"/>
            </w:tcBorders>
          </w:tcPr>
          <w:p>
            <w:pPr/>
          </w:p>
        </w:tc>
        <w:tc>
          <w:tcPr>
            <w:tcW w:w="289" w:type="dxa"/>
            <w:tcBorders>
              <w:bottom w:val="single" w:sz="0" w:space="0" w:color="000000"/>
            </w:tcBorders>
          </w:tcPr>
          <w:p>
            <w:pPr>
              <w:pStyle w:val="TableParagraph"/>
              <w:spacing w:before="19"/>
              <w:ind w:right="74"/>
              <w:jc w:val="right"/>
              <w:rPr>
                <w:sz w:val="16"/>
              </w:rPr>
            </w:pPr>
            <w:r>
              <w:rPr>
                <w:w w:val="99"/>
                <w:sz w:val="16"/>
              </w:rPr>
              <w:t>-</w:t>
            </w:r>
          </w:p>
        </w:tc>
      </w:tr>
      <w:tr>
        <w:trPr>
          <w:trHeight w:val="261" w:hRule="exact"/>
        </w:trPr>
        <w:tc>
          <w:tcPr>
            <w:tcW w:w="4636" w:type="dxa"/>
          </w:tcPr>
          <w:p>
            <w:pPr>
              <w:pStyle w:val="TableParagraph"/>
              <w:spacing w:before="40"/>
              <w:ind w:left="35" w:right="1356"/>
              <w:rPr>
                <w:rFonts w:ascii="Microsoft Sans Serif"/>
                <w:sz w:val="15"/>
              </w:rPr>
            </w:pPr>
            <w:r>
              <w:rPr>
                <w:sz w:val="16"/>
              </w:rPr>
              <w:t>Revenue for the period</w:t>
            </w:r>
            <w:r>
              <w:rPr>
                <w:rFonts w:ascii="Microsoft Sans Serif"/>
                <w:w w:val="103"/>
                <w:sz w:val="15"/>
              </w:rPr>
              <w:t> </w:t>
            </w:r>
          </w:p>
        </w:tc>
        <w:tc>
          <w:tcPr>
            <w:tcW w:w="496" w:type="dxa"/>
            <w:tcBorders>
              <w:top w:val="single" w:sz="0" w:space="0" w:color="000000"/>
            </w:tcBorders>
          </w:tcPr>
          <w:p>
            <w:pPr>
              <w:pStyle w:val="TableParagraph"/>
              <w:spacing w:before="37"/>
              <w:ind w:left="40"/>
              <w:rPr>
                <w:sz w:val="16"/>
              </w:rPr>
            </w:pPr>
            <w:r>
              <w:rPr>
                <w:sz w:val="16"/>
              </w:rPr>
              <w:t>2(a)</w:t>
            </w:r>
          </w:p>
        </w:tc>
        <w:tc>
          <w:tcPr>
            <w:tcW w:w="943" w:type="dxa"/>
            <w:tcBorders>
              <w:top w:val="single" w:sz="0" w:space="0" w:color="000000"/>
            </w:tcBorders>
          </w:tcPr>
          <w:p>
            <w:pPr>
              <w:pStyle w:val="TableParagraph"/>
              <w:spacing w:before="38"/>
              <w:ind w:right="75"/>
              <w:jc w:val="right"/>
              <w:rPr>
                <w:sz w:val="16"/>
              </w:rPr>
            </w:pPr>
            <w:r>
              <w:rPr>
                <w:w w:val="99"/>
                <w:sz w:val="16"/>
              </w:rPr>
              <w:t>-</w:t>
            </w:r>
          </w:p>
        </w:tc>
        <w:tc>
          <w:tcPr>
            <w:tcW w:w="840" w:type="dxa"/>
            <w:tcBorders>
              <w:top w:val="single" w:sz="0" w:space="0" w:color="000000"/>
            </w:tcBorders>
          </w:tcPr>
          <w:p>
            <w:pPr>
              <w:pStyle w:val="TableParagraph"/>
              <w:spacing w:before="38"/>
              <w:ind w:right="49"/>
              <w:jc w:val="right"/>
              <w:rPr>
                <w:sz w:val="16"/>
              </w:rPr>
            </w:pPr>
            <w:r>
              <w:rPr>
                <w:w w:val="99"/>
                <w:sz w:val="16"/>
              </w:rPr>
              <w:t>-</w:t>
            </w:r>
          </w:p>
        </w:tc>
        <w:tc>
          <w:tcPr>
            <w:tcW w:w="603" w:type="dxa"/>
            <w:tcBorders>
              <w:top w:val="single" w:sz="0" w:space="0" w:color="000000"/>
            </w:tcBorders>
          </w:tcPr>
          <w:p>
            <w:pPr/>
          </w:p>
        </w:tc>
        <w:tc>
          <w:tcPr>
            <w:tcW w:w="1156" w:type="dxa"/>
            <w:tcBorders>
              <w:top w:val="single" w:sz="0" w:space="0" w:color="000000"/>
            </w:tcBorders>
          </w:tcPr>
          <w:p>
            <w:pPr>
              <w:pStyle w:val="TableParagraph"/>
              <w:tabs>
                <w:tab w:pos="519" w:val="left" w:leader="none"/>
              </w:tabs>
              <w:spacing w:before="38"/>
              <w:ind w:right="76"/>
              <w:jc w:val="right"/>
              <w:rPr>
                <w:sz w:val="16"/>
              </w:rPr>
            </w:pPr>
            <w:r>
              <w:rPr>
                <w:sz w:val="16"/>
              </w:rPr>
              <w:t>-</w:t>
              <w:tab/>
            </w:r>
            <w:r>
              <w:rPr>
                <w:w w:val="95"/>
                <w:sz w:val="16"/>
              </w:rPr>
              <w:t>4,149</w:t>
            </w:r>
          </w:p>
        </w:tc>
        <w:tc>
          <w:tcPr>
            <w:tcW w:w="866" w:type="dxa"/>
            <w:tcBorders>
              <w:top w:val="single" w:sz="0" w:space="0" w:color="000000"/>
            </w:tcBorders>
          </w:tcPr>
          <w:p>
            <w:pPr>
              <w:pStyle w:val="TableParagraph"/>
              <w:spacing w:before="38"/>
              <w:ind w:right="76"/>
              <w:jc w:val="right"/>
              <w:rPr>
                <w:sz w:val="16"/>
              </w:rPr>
            </w:pPr>
            <w:r>
              <w:rPr>
                <w:w w:val="95"/>
                <w:sz w:val="16"/>
              </w:rPr>
              <w:t>5,060</w:t>
            </w:r>
          </w:p>
        </w:tc>
        <w:tc>
          <w:tcPr>
            <w:tcW w:w="866" w:type="dxa"/>
            <w:tcBorders>
              <w:top w:val="single" w:sz="0" w:space="0" w:color="000000"/>
            </w:tcBorders>
          </w:tcPr>
          <w:p>
            <w:pPr>
              <w:pStyle w:val="TableParagraph"/>
              <w:spacing w:before="38"/>
              <w:ind w:right="76"/>
              <w:jc w:val="right"/>
              <w:rPr>
                <w:sz w:val="16"/>
              </w:rPr>
            </w:pPr>
            <w:r>
              <w:rPr>
                <w:sz w:val="16"/>
              </w:rPr>
              <w:t>350</w:t>
            </w:r>
          </w:p>
        </w:tc>
        <w:tc>
          <w:tcPr>
            <w:tcW w:w="443" w:type="dxa"/>
            <w:tcBorders>
              <w:top w:val="single" w:sz="0" w:space="0" w:color="000000"/>
            </w:tcBorders>
          </w:tcPr>
          <w:p>
            <w:pPr/>
          </w:p>
        </w:tc>
        <w:tc>
          <w:tcPr>
            <w:tcW w:w="423" w:type="dxa"/>
            <w:tcBorders>
              <w:top w:val="single" w:sz="0" w:space="0" w:color="000000"/>
            </w:tcBorders>
          </w:tcPr>
          <w:p>
            <w:pPr>
              <w:pStyle w:val="TableParagraph"/>
              <w:spacing w:before="38"/>
              <w:ind w:right="76"/>
              <w:jc w:val="right"/>
              <w:rPr>
                <w:sz w:val="16"/>
              </w:rPr>
            </w:pPr>
            <w:r>
              <w:rPr>
                <w:sz w:val="16"/>
              </w:rPr>
              <w:t>134</w:t>
            </w:r>
          </w:p>
        </w:tc>
        <w:tc>
          <w:tcPr>
            <w:tcW w:w="488" w:type="dxa"/>
            <w:tcBorders>
              <w:top w:val="single" w:sz="0" w:space="0" w:color="000000"/>
            </w:tcBorders>
          </w:tcPr>
          <w:p>
            <w:pPr/>
          </w:p>
        </w:tc>
        <w:tc>
          <w:tcPr>
            <w:tcW w:w="379" w:type="dxa"/>
            <w:tcBorders>
              <w:top w:val="single" w:sz="0" w:space="0" w:color="000000"/>
            </w:tcBorders>
          </w:tcPr>
          <w:p>
            <w:pPr>
              <w:pStyle w:val="TableParagraph"/>
              <w:spacing w:before="38"/>
              <w:ind w:left="69"/>
              <w:rPr>
                <w:sz w:val="16"/>
              </w:rPr>
            </w:pPr>
            <w:r>
              <w:rPr>
                <w:sz w:val="16"/>
              </w:rPr>
              <w:t>(33)</w:t>
            </w:r>
          </w:p>
        </w:tc>
        <w:tc>
          <w:tcPr>
            <w:tcW w:w="470" w:type="dxa"/>
            <w:tcBorders>
              <w:top w:val="single" w:sz="0" w:space="0" w:color="000000"/>
            </w:tcBorders>
          </w:tcPr>
          <w:p>
            <w:pPr/>
          </w:p>
        </w:tc>
        <w:tc>
          <w:tcPr>
            <w:tcW w:w="370" w:type="dxa"/>
            <w:tcBorders>
              <w:top w:val="single" w:sz="0" w:space="0" w:color="000000"/>
            </w:tcBorders>
          </w:tcPr>
          <w:p>
            <w:pPr>
              <w:pStyle w:val="TableParagraph"/>
              <w:spacing w:before="38"/>
              <w:ind w:right="50"/>
              <w:jc w:val="right"/>
              <w:rPr>
                <w:sz w:val="16"/>
              </w:rPr>
            </w:pPr>
            <w:r>
              <w:rPr>
                <w:sz w:val="16"/>
              </w:rPr>
              <w:t>340</w:t>
            </w:r>
          </w:p>
        </w:tc>
        <w:tc>
          <w:tcPr>
            <w:tcW w:w="603" w:type="dxa"/>
            <w:tcBorders>
              <w:top w:val="single" w:sz="0" w:space="0" w:color="000000"/>
            </w:tcBorders>
          </w:tcPr>
          <w:p>
            <w:pPr/>
          </w:p>
        </w:tc>
        <w:tc>
          <w:tcPr>
            <w:tcW w:w="289" w:type="dxa"/>
            <w:tcBorders>
              <w:top w:val="single" w:sz="0" w:space="0" w:color="000000"/>
            </w:tcBorders>
          </w:tcPr>
          <w:p>
            <w:pPr>
              <w:pStyle w:val="TableParagraph"/>
              <w:spacing w:before="38"/>
              <w:ind w:right="75"/>
              <w:jc w:val="right"/>
              <w:rPr>
                <w:sz w:val="16"/>
              </w:rPr>
            </w:pPr>
            <w:r>
              <w:rPr>
                <w:w w:val="99"/>
                <w:sz w:val="16"/>
              </w:rPr>
              <w:t>-</w:t>
            </w:r>
          </w:p>
        </w:tc>
      </w:tr>
      <w:tr>
        <w:trPr>
          <w:trHeight w:val="241" w:hRule="exact"/>
        </w:trPr>
        <w:tc>
          <w:tcPr>
            <w:tcW w:w="4636" w:type="dxa"/>
          </w:tcPr>
          <w:p>
            <w:pPr>
              <w:pStyle w:val="TableParagraph"/>
              <w:spacing w:before="20"/>
              <w:ind w:left="35" w:right="1356"/>
              <w:rPr>
                <w:sz w:val="16"/>
              </w:rPr>
            </w:pPr>
            <w:r>
              <w:rPr>
                <w:sz w:val="16"/>
              </w:rPr>
              <w:t>Surplus/(deficit) from the previous year</w:t>
            </w:r>
          </w:p>
        </w:tc>
        <w:tc>
          <w:tcPr>
            <w:tcW w:w="496" w:type="dxa"/>
            <w:tcBorders>
              <w:bottom w:val="single" w:sz="0" w:space="0" w:color="000000"/>
            </w:tcBorders>
          </w:tcPr>
          <w:p>
            <w:pPr/>
          </w:p>
        </w:tc>
        <w:tc>
          <w:tcPr>
            <w:tcW w:w="943" w:type="dxa"/>
            <w:tcBorders>
              <w:bottom w:val="single" w:sz="0" w:space="0" w:color="000000"/>
            </w:tcBorders>
          </w:tcPr>
          <w:p>
            <w:pPr>
              <w:pStyle w:val="TableParagraph"/>
              <w:spacing w:before="19"/>
              <w:ind w:right="76"/>
              <w:jc w:val="right"/>
              <w:rPr>
                <w:sz w:val="16"/>
              </w:rPr>
            </w:pPr>
            <w:r>
              <w:rPr>
                <w:w w:val="95"/>
                <w:sz w:val="16"/>
              </w:rPr>
              <w:t>1,487</w:t>
            </w:r>
          </w:p>
        </w:tc>
        <w:tc>
          <w:tcPr>
            <w:tcW w:w="840" w:type="dxa"/>
            <w:tcBorders>
              <w:bottom w:val="single" w:sz="0" w:space="0" w:color="000000"/>
            </w:tcBorders>
          </w:tcPr>
          <w:p>
            <w:pPr>
              <w:pStyle w:val="TableParagraph"/>
              <w:spacing w:before="19"/>
              <w:ind w:right="50"/>
              <w:jc w:val="right"/>
              <w:rPr>
                <w:sz w:val="16"/>
              </w:rPr>
            </w:pPr>
            <w:r>
              <w:rPr>
                <w:w w:val="95"/>
                <w:sz w:val="16"/>
              </w:rPr>
              <w:t>1,487</w:t>
            </w:r>
          </w:p>
        </w:tc>
        <w:tc>
          <w:tcPr>
            <w:tcW w:w="603" w:type="dxa"/>
            <w:tcBorders>
              <w:bottom w:val="single" w:sz="0" w:space="0" w:color="000000"/>
            </w:tcBorders>
          </w:tcPr>
          <w:p>
            <w:pPr/>
          </w:p>
        </w:tc>
        <w:tc>
          <w:tcPr>
            <w:tcW w:w="1156" w:type="dxa"/>
            <w:tcBorders>
              <w:bottom w:val="single" w:sz="0" w:space="0" w:color="000000"/>
            </w:tcBorders>
          </w:tcPr>
          <w:p>
            <w:pPr>
              <w:pStyle w:val="TableParagraph"/>
              <w:tabs>
                <w:tab w:pos="652" w:val="left" w:leader="none"/>
              </w:tabs>
              <w:spacing w:before="19"/>
              <w:ind w:right="76"/>
              <w:jc w:val="right"/>
              <w:rPr>
                <w:sz w:val="16"/>
              </w:rPr>
            </w:pPr>
            <w:r>
              <w:rPr>
                <w:sz w:val="16"/>
              </w:rPr>
              <w:t>-</w:t>
              <w:tab/>
            </w:r>
            <w:r>
              <w:rPr>
                <w:spacing w:val="-1"/>
                <w:sz w:val="16"/>
              </w:rPr>
              <w:t>106</w:t>
            </w:r>
          </w:p>
        </w:tc>
        <w:tc>
          <w:tcPr>
            <w:tcW w:w="866" w:type="dxa"/>
            <w:tcBorders>
              <w:bottom w:val="single" w:sz="0" w:space="0" w:color="000000"/>
            </w:tcBorders>
          </w:tcPr>
          <w:p>
            <w:pPr>
              <w:pStyle w:val="TableParagraph"/>
              <w:spacing w:before="19"/>
              <w:ind w:right="76"/>
              <w:jc w:val="right"/>
              <w:rPr>
                <w:sz w:val="16"/>
              </w:rPr>
            </w:pPr>
            <w:r>
              <w:rPr>
                <w:w w:val="95"/>
                <w:sz w:val="16"/>
              </w:rPr>
              <w:t>928</w:t>
            </w:r>
          </w:p>
        </w:tc>
        <w:tc>
          <w:tcPr>
            <w:tcW w:w="866" w:type="dxa"/>
            <w:tcBorders>
              <w:bottom w:val="single" w:sz="0" w:space="0" w:color="000000"/>
            </w:tcBorders>
          </w:tcPr>
          <w:p>
            <w:pPr>
              <w:pStyle w:val="TableParagraph"/>
              <w:spacing w:before="19"/>
              <w:ind w:right="77"/>
              <w:jc w:val="right"/>
              <w:rPr>
                <w:sz w:val="16"/>
              </w:rPr>
            </w:pPr>
            <w:r>
              <w:rPr>
                <w:w w:val="95"/>
                <w:sz w:val="16"/>
              </w:rPr>
              <w:t>2,370</w:t>
            </w:r>
          </w:p>
        </w:tc>
        <w:tc>
          <w:tcPr>
            <w:tcW w:w="443" w:type="dxa"/>
            <w:tcBorders>
              <w:bottom w:val="single" w:sz="0" w:space="0" w:color="000000"/>
            </w:tcBorders>
          </w:tcPr>
          <w:p>
            <w:pPr/>
          </w:p>
        </w:tc>
        <w:tc>
          <w:tcPr>
            <w:tcW w:w="423" w:type="dxa"/>
            <w:tcBorders>
              <w:bottom w:val="single" w:sz="0" w:space="0" w:color="000000"/>
            </w:tcBorders>
          </w:tcPr>
          <w:p>
            <w:pPr>
              <w:pStyle w:val="TableParagraph"/>
              <w:spacing w:before="19"/>
              <w:ind w:right="76"/>
              <w:jc w:val="right"/>
              <w:rPr>
                <w:sz w:val="16"/>
              </w:rPr>
            </w:pPr>
            <w:r>
              <w:rPr>
                <w:w w:val="99"/>
                <w:sz w:val="16"/>
              </w:rPr>
              <w:t>-</w:t>
            </w:r>
          </w:p>
        </w:tc>
        <w:tc>
          <w:tcPr>
            <w:tcW w:w="488" w:type="dxa"/>
            <w:tcBorders>
              <w:bottom w:val="single" w:sz="0" w:space="0" w:color="000000"/>
            </w:tcBorders>
          </w:tcPr>
          <w:p>
            <w:pPr/>
          </w:p>
        </w:tc>
        <w:tc>
          <w:tcPr>
            <w:tcW w:w="379" w:type="dxa"/>
            <w:tcBorders>
              <w:bottom w:val="single" w:sz="0" w:space="0" w:color="000000"/>
            </w:tcBorders>
          </w:tcPr>
          <w:p>
            <w:pPr>
              <w:pStyle w:val="TableParagraph"/>
              <w:spacing w:before="19"/>
              <w:ind w:left="247"/>
              <w:rPr>
                <w:sz w:val="16"/>
              </w:rPr>
            </w:pPr>
            <w:r>
              <w:rPr>
                <w:w w:val="99"/>
                <w:sz w:val="16"/>
              </w:rPr>
              <w:t>-</w:t>
            </w:r>
          </w:p>
        </w:tc>
        <w:tc>
          <w:tcPr>
            <w:tcW w:w="470" w:type="dxa"/>
            <w:tcBorders>
              <w:bottom w:val="single" w:sz="0" w:space="0" w:color="000000"/>
            </w:tcBorders>
          </w:tcPr>
          <w:p>
            <w:pPr/>
          </w:p>
        </w:tc>
        <w:tc>
          <w:tcPr>
            <w:tcW w:w="370" w:type="dxa"/>
            <w:tcBorders>
              <w:bottom w:val="single" w:sz="0" w:space="0" w:color="000000"/>
            </w:tcBorders>
          </w:tcPr>
          <w:p>
            <w:pPr>
              <w:pStyle w:val="TableParagraph"/>
              <w:spacing w:before="19"/>
              <w:ind w:right="50"/>
              <w:jc w:val="right"/>
              <w:rPr>
                <w:sz w:val="16"/>
              </w:rPr>
            </w:pPr>
            <w:r>
              <w:rPr>
                <w:w w:val="99"/>
                <w:sz w:val="16"/>
              </w:rPr>
              <w:t>-</w:t>
            </w:r>
          </w:p>
        </w:tc>
        <w:tc>
          <w:tcPr>
            <w:tcW w:w="603" w:type="dxa"/>
            <w:tcBorders>
              <w:bottom w:val="single" w:sz="0" w:space="0" w:color="000000"/>
            </w:tcBorders>
          </w:tcPr>
          <w:p>
            <w:pPr/>
          </w:p>
        </w:tc>
        <w:tc>
          <w:tcPr>
            <w:tcW w:w="289" w:type="dxa"/>
            <w:tcBorders>
              <w:bottom w:val="single" w:sz="0" w:space="0" w:color="000000"/>
            </w:tcBorders>
          </w:tcPr>
          <w:p>
            <w:pPr>
              <w:pStyle w:val="TableParagraph"/>
              <w:spacing w:before="19"/>
              <w:ind w:right="75"/>
              <w:jc w:val="right"/>
              <w:rPr>
                <w:sz w:val="16"/>
              </w:rPr>
            </w:pPr>
            <w:r>
              <w:rPr>
                <w:w w:val="99"/>
                <w:sz w:val="16"/>
              </w:rPr>
              <w:t>-</w:t>
            </w:r>
          </w:p>
        </w:tc>
      </w:tr>
      <w:tr>
        <w:trPr>
          <w:trHeight w:val="261" w:hRule="exact"/>
        </w:trPr>
        <w:tc>
          <w:tcPr>
            <w:tcW w:w="4636" w:type="dxa"/>
          </w:tcPr>
          <w:p>
            <w:pPr>
              <w:pStyle w:val="TableParagraph"/>
              <w:spacing w:before="40"/>
              <w:ind w:left="35" w:right="1356"/>
              <w:rPr>
                <w:sz w:val="16"/>
              </w:rPr>
            </w:pPr>
            <w:r>
              <w:rPr>
                <w:sz w:val="16"/>
              </w:rPr>
              <w:t>Total revenue including accrued revenue</w:t>
            </w:r>
          </w:p>
        </w:tc>
        <w:tc>
          <w:tcPr>
            <w:tcW w:w="496" w:type="dxa"/>
            <w:tcBorders>
              <w:top w:val="single" w:sz="0" w:space="0" w:color="000000"/>
            </w:tcBorders>
          </w:tcPr>
          <w:p>
            <w:pPr/>
          </w:p>
        </w:tc>
        <w:tc>
          <w:tcPr>
            <w:tcW w:w="943" w:type="dxa"/>
            <w:tcBorders>
              <w:top w:val="single" w:sz="0" w:space="0" w:color="000000"/>
            </w:tcBorders>
          </w:tcPr>
          <w:p>
            <w:pPr>
              <w:pStyle w:val="TableParagraph"/>
              <w:spacing w:before="38"/>
              <w:ind w:right="76"/>
              <w:jc w:val="right"/>
              <w:rPr>
                <w:sz w:val="16"/>
              </w:rPr>
            </w:pPr>
            <w:r>
              <w:rPr>
                <w:w w:val="95"/>
                <w:sz w:val="16"/>
              </w:rPr>
              <w:t>1,487</w:t>
            </w:r>
          </w:p>
        </w:tc>
        <w:tc>
          <w:tcPr>
            <w:tcW w:w="840" w:type="dxa"/>
            <w:tcBorders>
              <w:top w:val="single" w:sz="0" w:space="0" w:color="000000"/>
            </w:tcBorders>
          </w:tcPr>
          <w:p>
            <w:pPr>
              <w:pStyle w:val="TableParagraph"/>
              <w:spacing w:before="38"/>
              <w:ind w:right="50"/>
              <w:jc w:val="right"/>
              <w:rPr>
                <w:sz w:val="16"/>
              </w:rPr>
            </w:pPr>
            <w:r>
              <w:rPr>
                <w:w w:val="95"/>
                <w:sz w:val="16"/>
              </w:rPr>
              <w:t>1,487</w:t>
            </w:r>
          </w:p>
        </w:tc>
        <w:tc>
          <w:tcPr>
            <w:tcW w:w="603" w:type="dxa"/>
            <w:tcBorders>
              <w:top w:val="single" w:sz="0" w:space="0" w:color="000000"/>
            </w:tcBorders>
          </w:tcPr>
          <w:p>
            <w:pPr/>
          </w:p>
        </w:tc>
        <w:tc>
          <w:tcPr>
            <w:tcW w:w="1156" w:type="dxa"/>
            <w:tcBorders>
              <w:top w:val="single" w:sz="0" w:space="0" w:color="000000"/>
            </w:tcBorders>
          </w:tcPr>
          <w:p>
            <w:pPr>
              <w:pStyle w:val="TableParagraph"/>
              <w:tabs>
                <w:tab w:pos="519" w:val="left" w:leader="none"/>
              </w:tabs>
              <w:spacing w:before="38"/>
              <w:ind w:right="76"/>
              <w:jc w:val="right"/>
              <w:rPr>
                <w:sz w:val="16"/>
              </w:rPr>
            </w:pPr>
            <w:r>
              <w:rPr>
                <w:sz w:val="16"/>
              </w:rPr>
              <w:t>-</w:t>
              <w:tab/>
            </w:r>
            <w:r>
              <w:rPr>
                <w:w w:val="95"/>
                <w:sz w:val="16"/>
              </w:rPr>
              <w:t>4,255</w:t>
            </w:r>
          </w:p>
        </w:tc>
        <w:tc>
          <w:tcPr>
            <w:tcW w:w="866" w:type="dxa"/>
            <w:tcBorders>
              <w:top w:val="single" w:sz="0" w:space="0" w:color="000000"/>
            </w:tcBorders>
          </w:tcPr>
          <w:p>
            <w:pPr>
              <w:pStyle w:val="TableParagraph"/>
              <w:spacing w:before="38"/>
              <w:ind w:right="76"/>
              <w:jc w:val="right"/>
              <w:rPr>
                <w:sz w:val="16"/>
              </w:rPr>
            </w:pPr>
            <w:r>
              <w:rPr>
                <w:w w:val="95"/>
                <w:sz w:val="16"/>
              </w:rPr>
              <w:t>5,988</w:t>
            </w:r>
          </w:p>
        </w:tc>
        <w:tc>
          <w:tcPr>
            <w:tcW w:w="866" w:type="dxa"/>
            <w:tcBorders>
              <w:top w:val="single" w:sz="0" w:space="0" w:color="000000"/>
            </w:tcBorders>
          </w:tcPr>
          <w:p>
            <w:pPr>
              <w:pStyle w:val="TableParagraph"/>
              <w:spacing w:before="38"/>
              <w:ind w:right="76"/>
              <w:jc w:val="right"/>
              <w:rPr>
                <w:sz w:val="16"/>
              </w:rPr>
            </w:pPr>
            <w:r>
              <w:rPr>
                <w:w w:val="95"/>
                <w:sz w:val="16"/>
              </w:rPr>
              <w:t>2,720</w:t>
            </w:r>
          </w:p>
        </w:tc>
        <w:tc>
          <w:tcPr>
            <w:tcW w:w="443" w:type="dxa"/>
            <w:tcBorders>
              <w:top w:val="single" w:sz="0" w:space="0" w:color="000000"/>
            </w:tcBorders>
          </w:tcPr>
          <w:p>
            <w:pPr/>
          </w:p>
        </w:tc>
        <w:tc>
          <w:tcPr>
            <w:tcW w:w="423" w:type="dxa"/>
            <w:tcBorders>
              <w:top w:val="single" w:sz="0" w:space="0" w:color="000000"/>
            </w:tcBorders>
          </w:tcPr>
          <w:p>
            <w:pPr>
              <w:pStyle w:val="TableParagraph"/>
              <w:spacing w:before="38"/>
              <w:ind w:right="76"/>
              <w:jc w:val="right"/>
              <w:rPr>
                <w:sz w:val="16"/>
              </w:rPr>
            </w:pPr>
            <w:r>
              <w:rPr>
                <w:sz w:val="16"/>
              </w:rPr>
              <w:t>134</w:t>
            </w:r>
          </w:p>
        </w:tc>
        <w:tc>
          <w:tcPr>
            <w:tcW w:w="488" w:type="dxa"/>
            <w:tcBorders>
              <w:top w:val="single" w:sz="0" w:space="0" w:color="000000"/>
            </w:tcBorders>
          </w:tcPr>
          <w:p>
            <w:pPr/>
          </w:p>
        </w:tc>
        <w:tc>
          <w:tcPr>
            <w:tcW w:w="379" w:type="dxa"/>
            <w:tcBorders>
              <w:top w:val="single" w:sz="0" w:space="0" w:color="000000"/>
            </w:tcBorders>
          </w:tcPr>
          <w:p>
            <w:pPr>
              <w:pStyle w:val="TableParagraph"/>
              <w:spacing w:before="38"/>
              <w:ind w:left="69"/>
              <w:rPr>
                <w:sz w:val="16"/>
              </w:rPr>
            </w:pPr>
            <w:r>
              <w:rPr>
                <w:sz w:val="16"/>
              </w:rPr>
              <w:t>(33)</w:t>
            </w:r>
          </w:p>
        </w:tc>
        <w:tc>
          <w:tcPr>
            <w:tcW w:w="470" w:type="dxa"/>
            <w:tcBorders>
              <w:top w:val="single" w:sz="0" w:space="0" w:color="000000"/>
            </w:tcBorders>
          </w:tcPr>
          <w:p>
            <w:pPr/>
          </w:p>
        </w:tc>
        <w:tc>
          <w:tcPr>
            <w:tcW w:w="370" w:type="dxa"/>
            <w:tcBorders>
              <w:top w:val="single" w:sz="0" w:space="0" w:color="000000"/>
            </w:tcBorders>
          </w:tcPr>
          <w:p>
            <w:pPr>
              <w:pStyle w:val="TableParagraph"/>
              <w:spacing w:before="38"/>
              <w:ind w:right="50"/>
              <w:jc w:val="right"/>
              <w:rPr>
                <w:sz w:val="16"/>
              </w:rPr>
            </w:pPr>
            <w:r>
              <w:rPr>
                <w:sz w:val="16"/>
              </w:rPr>
              <w:t>340</w:t>
            </w:r>
          </w:p>
        </w:tc>
        <w:tc>
          <w:tcPr>
            <w:tcW w:w="603" w:type="dxa"/>
            <w:tcBorders>
              <w:top w:val="single" w:sz="0" w:space="0" w:color="000000"/>
            </w:tcBorders>
          </w:tcPr>
          <w:p>
            <w:pPr/>
          </w:p>
        </w:tc>
        <w:tc>
          <w:tcPr>
            <w:tcW w:w="289" w:type="dxa"/>
            <w:tcBorders>
              <w:top w:val="single" w:sz="0" w:space="0" w:color="000000"/>
            </w:tcBorders>
          </w:tcPr>
          <w:p>
            <w:pPr>
              <w:pStyle w:val="TableParagraph"/>
              <w:spacing w:before="38"/>
              <w:ind w:right="75"/>
              <w:jc w:val="right"/>
              <w:rPr>
                <w:sz w:val="16"/>
              </w:rPr>
            </w:pPr>
            <w:r>
              <w:rPr>
                <w:w w:val="99"/>
                <w:sz w:val="16"/>
              </w:rPr>
              <w:t>-</w:t>
            </w:r>
          </w:p>
        </w:tc>
      </w:tr>
      <w:tr>
        <w:trPr>
          <w:trHeight w:val="241" w:hRule="exact"/>
        </w:trPr>
        <w:tc>
          <w:tcPr>
            <w:tcW w:w="4636" w:type="dxa"/>
          </w:tcPr>
          <w:p>
            <w:pPr>
              <w:pStyle w:val="TableParagraph"/>
              <w:spacing w:before="20"/>
              <w:ind w:left="35" w:right="1356"/>
              <w:rPr>
                <w:sz w:val="16"/>
              </w:rPr>
            </w:pPr>
            <w:r>
              <w:rPr>
                <w:sz w:val="16"/>
              </w:rPr>
              <w:t>Less expenses including accrued expenses</w:t>
            </w:r>
          </w:p>
        </w:tc>
        <w:tc>
          <w:tcPr>
            <w:tcW w:w="496" w:type="dxa"/>
            <w:tcBorders>
              <w:bottom w:val="single" w:sz="0" w:space="0" w:color="000000"/>
            </w:tcBorders>
          </w:tcPr>
          <w:p>
            <w:pPr/>
          </w:p>
        </w:tc>
        <w:tc>
          <w:tcPr>
            <w:tcW w:w="943" w:type="dxa"/>
            <w:tcBorders>
              <w:bottom w:val="single" w:sz="0" w:space="0" w:color="000000"/>
            </w:tcBorders>
          </w:tcPr>
          <w:p>
            <w:pPr>
              <w:pStyle w:val="TableParagraph"/>
              <w:spacing w:before="19"/>
              <w:ind w:right="22"/>
              <w:jc w:val="right"/>
              <w:rPr>
                <w:sz w:val="16"/>
              </w:rPr>
            </w:pPr>
            <w:r>
              <w:rPr>
                <w:sz w:val="16"/>
              </w:rPr>
              <w:t>(1,487)</w:t>
            </w:r>
          </w:p>
        </w:tc>
        <w:tc>
          <w:tcPr>
            <w:tcW w:w="840" w:type="dxa"/>
            <w:tcBorders>
              <w:bottom w:val="single" w:sz="0" w:space="0" w:color="000000"/>
            </w:tcBorders>
          </w:tcPr>
          <w:p>
            <w:pPr>
              <w:pStyle w:val="TableParagraph"/>
              <w:spacing w:before="19"/>
              <w:ind w:right="49"/>
              <w:jc w:val="right"/>
              <w:rPr>
                <w:sz w:val="16"/>
              </w:rPr>
            </w:pPr>
            <w:r>
              <w:rPr>
                <w:w w:val="99"/>
                <w:sz w:val="16"/>
              </w:rPr>
              <w:t>-</w:t>
            </w:r>
          </w:p>
        </w:tc>
        <w:tc>
          <w:tcPr>
            <w:tcW w:w="603" w:type="dxa"/>
            <w:tcBorders>
              <w:bottom w:val="single" w:sz="0" w:space="0" w:color="000000"/>
            </w:tcBorders>
          </w:tcPr>
          <w:p>
            <w:pPr/>
          </w:p>
        </w:tc>
        <w:tc>
          <w:tcPr>
            <w:tcW w:w="1156" w:type="dxa"/>
            <w:tcBorders>
              <w:bottom w:val="single" w:sz="0" w:space="0" w:color="000000"/>
            </w:tcBorders>
          </w:tcPr>
          <w:p>
            <w:pPr>
              <w:pStyle w:val="TableParagraph"/>
              <w:tabs>
                <w:tab w:pos="466" w:val="left" w:leader="none"/>
              </w:tabs>
              <w:spacing w:before="19"/>
              <w:ind w:right="23"/>
              <w:jc w:val="right"/>
              <w:rPr>
                <w:sz w:val="16"/>
              </w:rPr>
            </w:pPr>
            <w:r>
              <w:rPr>
                <w:sz w:val="16"/>
              </w:rPr>
              <w:t>-</w:t>
              <w:tab/>
            </w:r>
            <w:r>
              <w:rPr>
                <w:spacing w:val="-1"/>
                <w:sz w:val="16"/>
              </w:rPr>
              <w:t>(4,255)</w:t>
            </w:r>
          </w:p>
        </w:tc>
        <w:tc>
          <w:tcPr>
            <w:tcW w:w="866" w:type="dxa"/>
            <w:tcBorders>
              <w:bottom w:val="single" w:sz="0" w:space="0" w:color="000000"/>
            </w:tcBorders>
          </w:tcPr>
          <w:p>
            <w:pPr>
              <w:pStyle w:val="TableParagraph"/>
              <w:spacing w:before="19"/>
              <w:ind w:right="23"/>
              <w:jc w:val="right"/>
              <w:rPr>
                <w:sz w:val="16"/>
              </w:rPr>
            </w:pPr>
            <w:r>
              <w:rPr>
                <w:sz w:val="16"/>
              </w:rPr>
              <w:t>(1,287)</w:t>
            </w:r>
          </w:p>
        </w:tc>
        <w:tc>
          <w:tcPr>
            <w:tcW w:w="866" w:type="dxa"/>
            <w:tcBorders>
              <w:bottom w:val="single" w:sz="0" w:space="0" w:color="000000"/>
            </w:tcBorders>
          </w:tcPr>
          <w:p>
            <w:pPr>
              <w:pStyle w:val="TableParagraph"/>
              <w:spacing w:before="19"/>
              <w:ind w:right="23"/>
              <w:jc w:val="right"/>
              <w:rPr>
                <w:sz w:val="16"/>
              </w:rPr>
            </w:pPr>
            <w:r>
              <w:rPr>
                <w:sz w:val="16"/>
              </w:rPr>
              <w:t>(1,792)</w:t>
            </w:r>
          </w:p>
        </w:tc>
        <w:tc>
          <w:tcPr>
            <w:tcW w:w="443" w:type="dxa"/>
            <w:tcBorders>
              <w:bottom w:val="single" w:sz="0" w:space="0" w:color="000000"/>
            </w:tcBorders>
          </w:tcPr>
          <w:p>
            <w:pPr/>
          </w:p>
        </w:tc>
        <w:tc>
          <w:tcPr>
            <w:tcW w:w="423" w:type="dxa"/>
            <w:tcBorders>
              <w:bottom w:val="single" w:sz="0" w:space="0" w:color="000000"/>
            </w:tcBorders>
          </w:tcPr>
          <w:p>
            <w:pPr>
              <w:pStyle w:val="TableParagraph"/>
              <w:spacing w:before="19"/>
              <w:ind w:right="23"/>
              <w:jc w:val="right"/>
              <w:rPr>
                <w:sz w:val="16"/>
              </w:rPr>
            </w:pPr>
            <w:r>
              <w:rPr>
                <w:w w:val="95"/>
                <w:sz w:val="16"/>
              </w:rPr>
              <w:t>(134)</w:t>
            </w:r>
          </w:p>
        </w:tc>
        <w:tc>
          <w:tcPr>
            <w:tcW w:w="488" w:type="dxa"/>
            <w:tcBorders>
              <w:bottom w:val="single" w:sz="0" w:space="0" w:color="000000"/>
            </w:tcBorders>
          </w:tcPr>
          <w:p>
            <w:pPr/>
          </w:p>
        </w:tc>
        <w:tc>
          <w:tcPr>
            <w:tcW w:w="379" w:type="dxa"/>
            <w:tcBorders>
              <w:bottom w:val="single" w:sz="0" w:space="0" w:color="000000"/>
            </w:tcBorders>
          </w:tcPr>
          <w:p>
            <w:pPr>
              <w:pStyle w:val="TableParagraph"/>
              <w:spacing w:before="19"/>
              <w:ind w:left="122"/>
              <w:rPr>
                <w:sz w:val="16"/>
              </w:rPr>
            </w:pPr>
            <w:r>
              <w:rPr>
                <w:sz w:val="16"/>
              </w:rPr>
              <w:t>33</w:t>
            </w:r>
          </w:p>
        </w:tc>
        <w:tc>
          <w:tcPr>
            <w:tcW w:w="470" w:type="dxa"/>
            <w:tcBorders>
              <w:bottom w:val="single" w:sz="0" w:space="0" w:color="000000"/>
            </w:tcBorders>
          </w:tcPr>
          <w:p>
            <w:pPr/>
          </w:p>
        </w:tc>
        <w:tc>
          <w:tcPr>
            <w:tcW w:w="370" w:type="dxa"/>
            <w:tcBorders>
              <w:bottom w:val="single" w:sz="0" w:space="0" w:color="000000"/>
            </w:tcBorders>
          </w:tcPr>
          <w:p>
            <w:pPr>
              <w:pStyle w:val="TableParagraph"/>
              <w:spacing w:before="19"/>
              <w:ind w:right="50"/>
              <w:jc w:val="right"/>
              <w:rPr>
                <w:sz w:val="16"/>
              </w:rPr>
            </w:pPr>
            <w:r>
              <w:rPr>
                <w:w w:val="99"/>
                <w:sz w:val="16"/>
              </w:rPr>
              <w:t>-</w:t>
            </w:r>
          </w:p>
        </w:tc>
        <w:tc>
          <w:tcPr>
            <w:tcW w:w="603" w:type="dxa"/>
            <w:tcBorders>
              <w:bottom w:val="single" w:sz="0" w:space="0" w:color="000000"/>
            </w:tcBorders>
          </w:tcPr>
          <w:p>
            <w:pPr/>
          </w:p>
        </w:tc>
        <w:tc>
          <w:tcPr>
            <w:tcW w:w="289" w:type="dxa"/>
            <w:tcBorders>
              <w:bottom w:val="single" w:sz="0" w:space="0" w:color="000000"/>
            </w:tcBorders>
          </w:tcPr>
          <w:p>
            <w:pPr>
              <w:pStyle w:val="TableParagraph"/>
              <w:spacing w:before="19"/>
              <w:ind w:right="77"/>
              <w:jc w:val="right"/>
              <w:rPr>
                <w:sz w:val="16"/>
              </w:rPr>
            </w:pPr>
            <w:r>
              <w:rPr>
                <w:w w:val="99"/>
                <w:sz w:val="16"/>
              </w:rPr>
              <w:t>-</w:t>
            </w:r>
          </w:p>
        </w:tc>
      </w:tr>
      <w:tr>
        <w:trPr>
          <w:trHeight w:val="275" w:hRule="exact"/>
        </w:trPr>
        <w:tc>
          <w:tcPr>
            <w:tcW w:w="4636" w:type="dxa"/>
          </w:tcPr>
          <w:p>
            <w:pPr>
              <w:pStyle w:val="TableParagraph"/>
              <w:spacing w:before="40"/>
              <w:ind w:left="35" w:right="1356"/>
              <w:rPr>
                <w:sz w:val="16"/>
              </w:rPr>
            </w:pPr>
            <w:r>
              <w:rPr>
                <w:sz w:val="16"/>
              </w:rPr>
              <w:t>Surplus/(deficit) for the reporting period</w:t>
            </w:r>
          </w:p>
        </w:tc>
        <w:tc>
          <w:tcPr>
            <w:tcW w:w="496" w:type="dxa"/>
            <w:tcBorders>
              <w:top w:val="single" w:sz="0" w:space="0" w:color="000000"/>
              <w:bottom w:val="single" w:sz="0" w:space="0" w:color="000000"/>
            </w:tcBorders>
          </w:tcPr>
          <w:p>
            <w:pPr/>
          </w:p>
        </w:tc>
        <w:tc>
          <w:tcPr>
            <w:tcW w:w="943" w:type="dxa"/>
            <w:tcBorders>
              <w:top w:val="single" w:sz="0" w:space="0" w:color="000000"/>
              <w:bottom w:val="single" w:sz="0" w:space="0" w:color="000000"/>
            </w:tcBorders>
          </w:tcPr>
          <w:p>
            <w:pPr>
              <w:pStyle w:val="TableParagraph"/>
              <w:spacing w:before="38"/>
              <w:ind w:right="75"/>
              <w:jc w:val="right"/>
              <w:rPr>
                <w:sz w:val="16"/>
              </w:rPr>
            </w:pPr>
            <w:r>
              <w:rPr>
                <w:w w:val="99"/>
                <w:sz w:val="16"/>
              </w:rPr>
              <w:t>-</w:t>
            </w:r>
          </w:p>
        </w:tc>
        <w:tc>
          <w:tcPr>
            <w:tcW w:w="840" w:type="dxa"/>
            <w:tcBorders>
              <w:top w:val="single" w:sz="0" w:space="0" w:color="000000"/>
              <w:bottom w:val="single" w:sz="0" w:space="0" w:color="000000"/>
            </w:tcBorders>
          </w:tcPr>
          <w:p>
            <w:pPr>
              <w:pStyle w:val="TableParagraph"/>
              <w:spacing w:before="38"/>
              <w:ind w:right="50"/>
              <w:jc w:val="right"/>
              <w:rPr>
                <w:sz w:val="16"/>
              </w:rPr>
            </w:pPr>
            <w:r>
              <w:rPr>
                <w:w w:val="95"/>
                <w:sz w:val="16"/>
              </w:rPr>
              <w:t>1,487</w:t>
            </w:r>
          </w:p>
        </w:tc>
        <w:tc>
          <w:tcPr>
            <w:tcW w:w="603" w:type="dxa"/>
            <w:tcBorders>
              <w:top w:val="single" w:sz="0" w:space="0" w:color="000000"/>
              <w:bottom w:val="single" w:sz="0" w:space="0" w:color="000000"/>
            </w:tcBorders>
          </w:tcPr>
          <w:p>
            <w:pPr/>
          </w:p>
        </w:tc>
        <w:tc>
          <w:tcPr>
            <w:tcW w:w="1156" w:type="dxa"/>
            <w:tcBorders>
              <w:top w:val="single" w:sz="0" w:space="0" w:color="000000"/>
              <w:bottom w:val="single" w:sz="0" w:space="0" w:color="000000"/>
            </w:tcBorders>
          </w:tcPr>
          <w:p>
            <w:pPr>
              <w:pStyle w:val="TableParagraph"/>
              <w:tabs>
                <w:tab w:pos="866" w:val="left" w:leader="none"/>
              </w:tabs>
              <w:spacing w:before="38"/>
              <w:ind w:right="75"/>
              <w:jc w:val="right"/>
              <w:rPr>
                <w:sz w:val="16"/>
              </w:rPr>
            </w:pPr>
            <w:r>
              <w:rPr>
                <w:sz w:val="16"/>
              </w:rPr>
              <w:t>-</w:t>
              <w:tab/>
            </w:r>
            <w:r>
              <w:rPr>
                <w:w w:val="95"/>
                <w:sz w:val="16"/>
              </w:rPr>
              <w:t>-</w:t>
            </w:r>
          </w:p>
        </w:tc>
        <w:tc>
          <w:tcPr>
            <w:tcW w:w="866" w:type="dxa"/>
            <w:tcBorders>
              <w:top w:val="single" w:sz="0" w:space="0" w:color="000000"/>
              <w:bottom w:val="single" w:sz="0" w:space="0" w:color="000000"/>
            </w:tcBorders>
          </w:tcPr>
          <w:p>
            <w:pPr>
              <w:pStyle w:val="TableParagraph"/>
              <w:spacing w:before="38"/>
              <w:ind w:right="76"/>
              <w:jc w:val="right"/>
              <w:rPr>
                <w:sz w:val="16"/>
              </w:rPr>
            </w:pPr>
            <w:r>
              <w:rPr>
                <w:w w:val="95"/>
                <w:sz w:val="16"/>
              </w:rPr>
              <w:t>4,701</w:t>
            </w:r>
          </w:p>
        </w:tc>
        <w:tc>
          <w:tcPr>
            <w:tcW w:w="866" w:type="dxa"/>
            <w:tcBorders>
              <w:top w:val="single" w:sz="0" w:space="0" w:color="000000"/>
              <w:bottom w:val="single" w:sz="0" w:space="0" w:color="000000"/>
            </w:tcBorders>
          </w:tcPr>
          <w:p>
            <w:pPr>
              <w:pStyle w:val="TableParagraph"/>
              <w:spacing w:before="38"/>
              <w:ind w:right="76"/>
              <w:jc w:val="right"/>
              <w:rPr>
                <w:sz w:val="16"/>
              </w:rPr>
            </w:pPr>
            <w:r>
              <w:rPr>
                <w:w w:val="95"/>
                <w:sz w:val="16"/>
              </w:rPr>
              <w:t>928</w:t>
            </w:r>
          </w:p>
        </w:tc>
        <w:tc>
          <w:tcPr>
            <w:tcW w:w="443" w:type="dxa"/>
            <w:tcBorders>
              <w:top w:val="single" w:sz="0" w:space="0" w:color="000000"/>
              <w:bottom w:val="single" w:sz="0" w:space="0" w:color="000000"/>
            </w:tcBorders>
          </w:tcPr>
          <w:p>
            <w:pPr/>
          </w:p>
        </w:tc>
        <w:tc>
          <w:tcPr>
            <w:tcW w:w="423" w:type="dxa"/>
            <w:tcBorders>
              <w:top w:val="single" w:sz="0" w:space="0" w:color="000000"/>
              <w:bottom w:val="single" w:sz="0" w:space="0" w:color="000000"/>
            </w:tcBorders>
          </w:tcPr>
          <w:p>
            <w:pPr>
              <w:pStyle w:val="TableParagraph"/>
              <w:spacing w:before="38"/>
              <w:ind w:right="76"/>
              <w:jc w:val="right"/>
              <w:rPr>
                <w:sz w:val="16"/>
              </w:rPr>
            </w:pPr>
            <w:r>
              <w:rPr>
                <w:w w:val="99"/>
                <w:sz w:val="16"/>
              </w:rPr>
              <w:t>-</w:t>
            </w:r>
          </w:p>
        </w:tc>
        <w:tc>
          <w:tcPr>
            <w:tcW w:w="488" w:type="dxa"/>
            <w:tcBorders>
              <w:top w:val="single" w:sz="0" w:space="0" w:color="000000"/>
              <w:bottom w:val="single" w:sz="0" w:space="0" w:color="000000"/>
            </w:tcBorders>
          </w:tcPr>
          <w:p>
            <w:pPr/>
          </w:p>
        </w:tc>
        <w:tc>
          <w:tcPr>
            <w:tcW w:w="379" w:type="dxa"/>
            <w:tcBorders>
              <w:top w:val="single" w:sz="0" w:space="0" w:color="000000"/>
              <w:bottom w:val="single" w:sz="0" w:space="0" w:color="000000"/>
            </w:tcBorders>
          </w:tcPr>
          <w:p>
            <w:pPr>
              <w:pStyle w:val="TableParagraph"/>
              <w:spacing w:before="38"/>
              <w:ind w:left="247"/>
              <w:rPr>
                <w:sz w:val="16"/>
              </w:rPr>
            </w:pPr>
            <w:r>
              <w:rPr>
                <w:w w:val="99"/>
                <w:sz w:val="16"/>
              </w:rPr>
              <w:t>-</w:t>
            </w:r>
          </w:p>
        </w:tc>
        <w:tc>
          <w:tcPr>
            <w:tcW w:w="470" w:type="dxa"/>
            <w:tcBorders>
              <w:top w:val="single" w:sz="0" w:space="0" w:color="000000"/>
              <w:bottom w:val="single" w:sz="0" w:space="0" w:color="000000"/>
            </w:tcBorders>
          </w:tcPr>
          <w:p>
            <w:pPr/>
          </w:p>
        </w:tc>
        <w:tc>
          <w:tcPr>
            <w:tcW w:w="370" w:type="dxa"/>
            <w:tcBorders>
              <w:top w:val="single" w:sz="0" w:space="0" w:color="000000"/>
              <w:bottom w:val="single" w:sz="0" w:space="0" w:color="000000"/>
            </w:tcBorders>
          </w:tcPr>
          <w:p>
            <w:pPr>
              <w:pStyle w:val="TableParagraph"/>
              <w:spacing w:before="38"/>
              <w:ind w:right="50"/>
              <w:jc w:val="right"/>
              <w:rPr>
                <w:sz w:val="16"/>
              </w:rPr>
            </w:pPr>
            <w:r>
              <w:rPr>
                <w:w w:val="95"/>
                <w:sz w:val="16"/>
              </w:rPr>
              <w:t>340</w:t>
            </w:r>
          </w:p>
        </w:tc>
        <w:tc>
          <w:tcPr>
            <w:tcW w:w="603" w:type="dxa"/>
            <w:tcBorders>
              <w:top w:val="single" w:sz="0" w:space="0" w:color="000000"/>
              <w:bottom w:val="single" w:sz="0" w:space="0" w:color="000000"/>
            </w:tcBorders>
          </w:tcPr>
          <w:p>
            <w:pPr/>
          </w:p>
        </w:tc>
        <w:tc>
          <w:tcPr>
            <w:tcW w:w="289" w:type="dxa"/>
            <w:tcBorders>
              <w:top w:val="single" w:sz="0" w:space="0" w:color="000000"/>
              <w:bottom w:val="single" w:sz="0" w:space="0" w:color="000000"/>
            </w:tcBorders>
          </w:tcPr>
          <w:p>
            <w:pPr>
              <w:pStyle w:val="TableParagraph"/>
              <w:spacing w:before="38"/>
              <w:ind w:right="75"/>
              <w:jc w:val="right"/>
              <w:rPr>
                <w:sz w:val="16"/>
              </w:rPr>
            </w:pPr>
            <w:r>
              <w:rPr>
                <w:w w:val="99"/>
                <w:sz w:val="16"/>
              </w:rPr>
              <w:t>-</w:t>
            </w:r>
          </w:p>
        </w:tc>
      </w:tr>
    </w:tbl>
    <w:p>
      <w:pPr>
        <w:spacing w:after="0"/>
        <w:jc w:val="right"/>
        <w:rPr>
          <w:sz w:val="16"/>
        </w:rPr>
        <w:sectPr>
          <w:type w:val="continuous"/>
          <w:pgSz w:w="16840" w:h="11910" w:orient="landscape"/>
          <w:pgMar w:top="0" w:bottom="280" w:left="900" w:right="880"/>
        </w:sectPr>
      </w:pPr>
    </w:p>
    <w:p>
      <w:pPr>
        <w:pStyle w:val="BodyText"/>
        <w:rPr>
          <w:b/>
          <w:sz w:val="20"/>
        </w:rPr>
      </w:pPr>
    </w:p>
    <w:p>
      <w:pPr>
        <w:pStyle w:val="BodyText"/>
        <w:rPr>
          <w:b/>
          <w:sz w:val="20"/>
        </w:rPr>
      </w:pPr>
    </w:p>
    <w:p>
      <w:pPr>
        <w:pStyle w:val="BodyText"/>
        <w:spacing w:before="4"/>
        <w:rPr>
          <w:b/>
        </w:rPr>
      </w:pPr>
    </w:p>
    <w:p>
      <w:pPr>
        <w:pStyle w:val="Heading9"/>
        <w:ind w:left="109"/>
      </w:pPr>
      <w:r>
        <w:rPr/>
        <w:t>35    Acquittal of Australian Government Financial Assistance (continued)</w:t>
      </w:r>
    </w:p>
    <w:p>
      <w:pPr>
        <w:pStyle w:val="BodyText"/>
        <w:spacing w:before="11"/>
        <w:rPr>
          <w:b/>
          <w:sz w:val="24"/>
        </w:rPr>
      </w:pPr>
    </w:p>
    <w:p>
      <w:pPr>
        <w:pStyle w:val="ListParagraph"/>
        <w:numPr>
          <w:ilvl w:val="0"/>
          <w:numId w:val="28"/>
        </w:numPr>
        <w:tabs>
          <w:tab w:pos="1072" w:val="left" w:leader="none"/>
        </w:tabs>
        <w:spacing w:line="240" w:lineRule="auto" w:before="0" w:after="0"/>
        <w:ind w:left="1071" w:right="0" w:hanging="566"/>
        <w:jc w:val="left"/>
        <w:rPr>
          <w:sz w:val="18"/>
        </w:rPr>
      </w:pPr>
      <w:r>
        <w:rPr>
          <w:sz w:val="18"/>
        </w:rPr>
        <w:t>DIISRTE - CGS AND OTHER DIISRTE GRANTS</w:t>
      </w:r>
      <w:r>
        <w:rPr>
          <w:spacing w:val="-2"/>
          <w:sz w:val="18"/>
        </w:rPr>
        <w:t> </w:t>
      </w:r>
      <w:r>
        <w:rPr>
          <w:sz w:val="18"/>
        </w:rPr>
        <w:t>(CONTINUED)</w:t>
      </w:r>
    </w:p>
    <w:p>
      <w:pPr>
        <w:pStyle w:val="BodyText"/>
        <w:spacing w:before="10"/>
        <w:rPr>
          <w:sz w:val="27"/>
        </w:rPr>
      </w:pPr>
    </w:p>
    <w:p>
      <w:pPr>
        <w:tabs>
          <w:tab w:pos="11411" w:val="left" w:leader="none"/>
          <w:tab w:pos="13144" w:val="left" w:leader="none"/>
        </w:tabs>
        <w:spacing w:before="79"/>
        <w:ind w:left="9679" w:right="0" w:firstLine="0"/>
        <w:jc w:val="left"/>
        <w:rPr>
          <w:b/>
          <w:sz w:val="16"/>
        </w:rPr>
      </w:pPr>
      <w:r>
        <w:rPr>
          <w:b/>
          <w:sz w:val="16"/>
        </w:rPr>
        <w:t>Reward</w:t>
      </w:r>
      <w:r>
        <w:rPr>
          <w:b/>
          <w:spacing w:val="-2"/>
          <w:sz w:val="16"/>
        </w:rPr>
        <w:t> </w:t>
      </w:r>
      <w:r>
        <w:rPr>
          <w:b/>
          <w:sz w:val="16"/>
        </w:rPr>
        <w:t>Funding</w:t>
        <w:tab/>
        <w:t>Other</w:t>
        <w:tab/>
        <w:t>Total</w:t>
      </w:r>
    </w:p>
    <w:p>
      <w:pPr>
        <w:spacing w:after="0"/>
        <w:jc w:val="left"/>
        <w:rPr>
          <w:sz w:val="16"/>
        </w:rPr>
        <w:sectPr>
          <w:pgSz w:w="16840" w:h="11910" w:orient="landscape"/>
          <w:pgMar w:header="1038" w:footer="507" w:top="2220" w:bottom="700" w:left="900" w:right="880"/>
        </w:sectPr>
      </w:pPr>
    </w:p>
    <w:p>
      <w:pPr>
        <w:pStyle w:val="BodyText"/>
        <w:rPr>
          <w:b/>
          <w:sz w:val="16"/>
        </w:rPr>
      </w:pPr>
    </w:p>
    <w:p>
      <w:pPr>
        <w:tabs>
          <w:tab w:pos="9122" w:val="left" w:leader="none"/>
        </w:tabs>
        <w:spacing w:before="133"/>
        <w:ind w:left="1112" w:right="0" w:firstLine="0"/>
        <w:jc w:val="left"/>
        <w:rPr>
          <w:b/>
          <w:sz w:val="16"/>
        </w:rPr>
      </w:pPr>
      <w:r>
        <w:rPr>
          <w:b/>
          <w:sz w:val="16"/>
        </w:rPr>
        <w:t>Parent Entity</w:t>
      </w:r>
      <w:r>
        <w:rPr>
          <w:b/>
          <w:spacing w:val="-5"/>
          <w:sz w:val="16"/>
        </w:rPr>
        <w:t> </w:t>
      </w:r>
      <w:r>
        <w:rPr>
          <w:b/>
          <w:sz w:val="16"/>
        </w:rPr>
        <w:t>(University)</w:t>
      </w:r>
      <w:r>
        <w:rPr>
          <w:b/>
          <w:spacing w:val="-3"/>
          <w:sz w:val="16"/>
        </w:rPr>
        <w:t> </w:t>
      </w:r>
      <w:r>
        <w:rPr>
          <w:b/>
          <w:sz w:val="16"/>
        </w:rPr>
        <w:t>Only</w:t>
        <w:tab/>
      </w:r>
      <w:r>
        <w:rPr>
          <w:b/>
          <w:w w:val="95"/>
          <w:sz w:val="16"/>
        </w:rPr>
        <w:t>Note</w:t>
      </w:r>
    </w:p>
    <w:p>
      <w:pPr>
        <w:spacing w:before="67"/>
        <w:ind w:left="162" w:right="-20" w:firstLine="0"/>
        <w:jc w:val="left"/>
        <w:rPr>
          <w:b/>
          <w:sz w:val="16"/>
        </w:rPr>
      </w:pPr>
      <w:r>
        <w:rPr/>
        <w:br w:type="column"/>
      </w:r>
      <w:r>
        <w:rPr>
          <w:b/>
          <w:sz w:val="16"/>
        </w:rPr>
        <w:t>2012</w:t>
      </w:r>
    </w:p>
    <w:p>
      <w:pPr>
        <w:spacing w:before="66"/>
        <w:ind w:left="162" w:right="-1" w:firstLine="0"/>
        <w:jc w:val="left"/>
        <w:rPr>
          <w:b/>
          <w:sz w:val="16"/>
        </w:rPr>
      </w:pPr>
      <w:r>
        <w:rPr>
          <w:b/>
          <w:w w:val="95"/>
          <w:sz w:val="16"/>
        </w:rPr>
        <w:t>$'000</w:t>
      </w:r>
    </w:p>
    <w:p>
      <w:pPr>
        <w:spacing w:before="67"/>
        <w:ind w:left="433" w:right="-1" w:firstLine="0"/>
        <w:jc w:val="left"/>
        <w:rPr>
          <w:b/>
          <w:sz w:val="16"/>
        </w:rPr>
      </w:pPr>
      <w:r>
        <w:rPr/>
        <w:br w:type="column"/>
      </w:r>
      <w:r>
        <w:rPr>
          <w:b/>
          <w:sz w:val="16"/>
        </w:rPr>
        <w:t>2011</w:t>
      </w:r>
    </w:p>
    <w:p>
      <w:pPr>
        <w:spacing w:before="66"/>
        <w:ind w:left="433" w:right="-1" w:firstLine="0"/>
        <w:jc w:val="left"/>
        <w:rPr>
          <w:b/>
          <w:sz w:val="16"/>
        </w:rPr>
      </w:pPr>
      <w:r>
        <w:rPr>
          <w:b/>
          <w:w w:val="95"/>
          <w:sz w:val="16"/>
        </w:rPr>
        <w:t>$'000</w:t>
      </w:r>
    </w:p>
    <w:p>
      <w:pPr>
        <w:spacing w:before="67"/>
        <w:ind w:left="433" w:right="-1" w:firstLine="0"/>
        <w:jc w:val="left"/>
        <w:rPr>
          <w:b/>
          <w:sz w:val="16"/>
        </w:rPr>
      </w:pPr>
      <w:r>
        <w:rPr/>
        <w:br w:type="column"/>
      </w:r>
      <w:r>
        <w:rPr>
          <w:b/>
          <w:sz w:val="16"/>
        </w:rPr>
        <w:t>2012</w:t>
      </w:r>
    </w:p>
    <w:p>
      <w:pPr>
        <w:spacing w:before="66"/>
        <w:ind w:left="433" w:right="-1" w:firstLine="0"/>
        <w:jc w:val="left"/>
        <w:rPr>
          <w:b/>
          <w:sz w:val="16"/>
        </w:rPr>
      </w:pPr>
      <w:r>
        <w:rPr>
          <w:b/>
          <w:w w:val="95"/>
          <w:sz w:val="16"/>
        </w:rPr>
        <w:t>$'000</w:t>
      </w:r>
    </w:p>
    <w:p>
      <w:pPr>
        <w:spacing w:before="67"/>
        <w:ind w:left="433" w:right="-1" w:firstLine="0"/>
        <w:jc w:val="left"/>
        <w:rPr>
          <w:b/>
          <w:sz w:val="16"/>
        </w:rPr>
      </w:pPr>
      <w:r>
        <w:rPr/>
        <w:br w:type="column"/>
      </w:r>
      <w:r>
        <w:rPr>
          <w:b/>
          <w:sz w:val="16"/>
        </w:rPr>
        <w:t>2011</w:t>
      </w:r>
    </w:p>
    <w:p>
      <w:pPr>
        <w:spacing w:before="66"/>
        <w:ind w:left="433" w:right="-1" w:firstLine="0"/>
        <w:jc w:val="left"/>
        <w:rPr>
          <w:b/>
          <w:sz w:val="16"/>
        </w:rPr>
      </w:pPr>
      <w:r>
        <w:rPr>
          <w:b/>
          <w:w w:val="95"/>
          <w:sz w:val="16"/>
        </w:rPr>
        <w:t>$'000</w:t>
      </w:r>
    </w:p>
    <w:p>
      <w:pPr>
        <w:spacing w:before="67"/>
        <w:ind w:left="433" w:right="-1" w:firstLine="0"/>
        <w:jc w:val="left"/>
        <w:rPr>
          <w:b/>
          <w:sz w:val="16"/>
        </w:rPr>
      </w:pPr>
      <w:r>
        <w:rPr/>
        <w:br w:type="column"/>
      </w:r>
      <w:r>
        <w:rPr>
          <w:b/>
          <w:sz w:val="16"/>
        </w:rPr>
        <w:t>2012</w:t>
      </w:r>
    </w:p>
    <w:p>
      <w:pPr>
        <w:spacing w:before="66"/>
        <w:ind w:left="433" w:right="-1" w:firstLine="0"/>
        <w:jc w:val="left"/>
        <w:rPr>
          <w:b/>
          <w:sz w:val="16"/>
        </w:rPr>
      </w:pPr>
      <w:r>
        <w:rPr>
          <w:b/>
          <w:w w:val="95"/>
          <w:sz w:val="16"/>
        </w:rPr>
        <w:t>$'000</w:t>
      </w:r>
    </w:p>
    <w:p>
      <w:pPr>
        <w:spacing w:before="67"/>
        <w:ind w:left="485" w:right="0" w:firstLine="0"/>
        <w:jc w:val="left"/>
        <w:rPr>
          <w:b/>
          <w:sz w:val="16"/>
        </w:rPr>
      </w:pPr>
      <w:r>
        <w:rPr/>
        <w:br w:type="column"/>
      </w:r>
      <w:r>
        <w:rPr>
          <w:b/>
          <w:sz w:val="16"/>
        </w:rPr>
        <w:t>2011</w:t>
      </w:r>
    </w:p>
    <w:p>
      <w:pPr>
        <w:spacing w:before="66"/>
        <w:ind w:left="485" w:right="0" w:firstLine="0"/>
        <w:jc w:val="left"/>
        <w:rPr>
          <w:b/>
          <w:sz w:val="16"/>
        </w:rPr>
      </w:pPr>
      <w:r>
        <w:rPr>
          <w:b/>
          <w:sz w:val="16"/>
        </w:rPr>
        <w:t>$'000</w:t>
      </w:r>
    </w:p>
    <w:p>
      <w:pPr>
        <w:spacing w:after="0"/>
        <w:jc w:val="left"/>
        <w:rPr>
          <w:sz w:val="16"/>
        </w:rPr>
        <w:sectPr>
          <w:type w:val="continuous"/>
          <w:pgSz w:w="16840" w:h="11910" w:orient="landscape"/>
          <w:pgMar w:top="0" w:bottom="280" w:left="900" w:right="880"/>
          <w:cols w:num="7" w:equalWidth="0">
            <w:col w:w="9477" w:space="40"/>
            <w:col w:w="556" w:space="40"/>
            <w:col w:w="827" w:space="40"/>
            <w:col w:w="827" w:space="40"/>
            <w:col w:w="827" w:space="40"/>
            <w:col w:w="827" w:space="40"/>
            <w:col w:w="1479"/>
          </w:cols>
        </w:sectPr>
      </w:pPr>
    </w:p>
    <w:p>
      <w:pPr>
        <w:pStyle w:val="BodyText"/>
        <w:spacing w:before="1"/>
        <w:rPr>
          <w:b/>
          <w:sz w:val="3"/>
        </w:rPr>
      </w:pPr>
    </w:p>
    <w:tbl>
      <w:tblPr>
        <w:tblW w:w="0" w:type="auto"/>
        <w:jc w:val="left"/>
        <w:tblInd w:w="107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004"/>
        <w:gridCol w:w="616"/>
        <w:gridCol w:w="1178"/>
        <w:gridCol w:w="1573"/>
        <w:gridCol w:w="763"/>
        <w:gridCol w:w="918"/>
        <w:gridCol w:w="826"/>
      </w:tblGrid>
      <w:tr>
        <w:trPr>
          <w:trHeight w:val="796" w:hRule="exact"/>
        </w:trPr>
        <w:tc>
          <w:tcPr>
            <w:tcW w:w="8004" w:type="dxa"/>
          </w:tcPr>
          <w:p>
            <w:pPr>
              <w:pStyle w:val="TableParagraph"/>
              <w:spacing w:before="24"/>
              <w:ind w:left="35" w:right="4796"/>
              <w:rPr>
                <w:sz w:val="16"/>
              </w:rPr>
            </w:pPr>
            <w:r>
              <w:rPr>
                <w:sz w:val="16"/>
              </w:rPr>
              <w:t>Financial assistance received in CASH during the reporting period (total cash received from Australian Government for the program)</w:t>
            </w:r>
          </w:p>
        </w:tc>
        <w:tc>
          <w:tcPr>
            <w:tcW w:w="616" w:type="dxa"/>
          </w:tcPr>
          <w:p>
            <w:pPr/>
          </w:p>
        </w:tc>
        <w:tc>
          <w:tcPr>
            <w:tcW w:w="1178" w:type="dxa"/>
          </w:tcPr>
          <w:p>
            <w:pPr>
              <w:pStyle w:val="TableParagraph"/>
              <w:rPr>
                <w:b/>
                <w:sz w:val="16"/>
              </w:rPr>
            </w:pPr>
          </w:p>
          <w:p>
            <w:pPr>
              <w:pStyle w:val="TableParagraph"/>
              <w:rPr>
                <w:b/>
                <w:sz w:val="16"/>
              </w:rPr>
            </w:pPr>
          </w:p>
          <w:p>
            <w:pPr>
              <w:pStyle w:val="TableParagraph"/>
              <w:spacing w:before="10"/>
              <w:rPr>
                <w:b/>
                <w:sz w:val="17"/>
              </w:rPr>
            </w:pPr>
          </w:p>
          <w:p>
            <w:pPr>
              <w:pStyle w:val="TableParagraph"/>
              <w:ind w:right="431"/>
              <w:jc w:val="right"/>
              <w:rPr>
                <w:sz w:val="16"/>
              </w:rPr>
            </w:pPr>
            <w:r>
              <w:rPr>
                <w:w w:val="95"/>
                <w:sz w:val="16"/>
              </w:rPr>
              <w:t>1,218</w:t>
            </w:r>
          </w:p>
        </w:tc>
        <w:tc>
          <w:tcPr>
            <w:tcW w:w="1573" w:type="dxa"/>
          </w:tcPr>
          <w:p>
            <w:pPr>
              <w:pStyle w:val="TableParagraph"/>
              <w:rPr>
                <w:b/>
                <w:sz w:val="16"/>
              </w:rPr>
            </w:pPr>
          </w:p>
          <w:p>
            <w:pPr>
              <w:pStyle w:val="TableParagraph"/>
              <w:rPr>
                <w:b/>
                <w:sz w:val="16"/>
              </w:rPr>
            </w:pPr>
          </w:p>
          <w:p>
            <w:pPr>
              <w:pStyle w:val="TableParagraph"/>
              <w:spacing w:before="10"/>
              <w:rPr>
                <w:b/>
                <w:sz w:val="17"/>
              </w:rPr>
            </w:pPr>
          </w:p>
          <w:p>
            <w:pPr>
              <w:pStyle w:val="TableParagraph"/>
              <w:tabs>
                <w:tab w:pos="866" w:val="left" w:leader="none"/>
              </w:tabs>
              <w:ind w:right="271"/>
              <w:jc w:val="right"/>
              <w:rPr>
                <w:sz w:val="16"/>
              </w:rPr>
            </w:pPr>
            <w:r>
              <w:rPr>
                <w:sz w:val="16"/>
              </w:rPr>
              <w:t>-</w:t>
              <w:tab/>
            </w:r>
            <w:r>
              <w:rPr>
                <w:w w:val="95"/>
                <w:sz w:val="16"/>
              </w:rPr>
              <w:t>-</w:t>
            </w:r>
          </w:p>
        </w:tc>
        <w:tc>
          <w:tcPr>
            <w:tcW w:w="763" w:type="dxa"/>
          </w:tcPr>
          <w:p>
            <w:pPr>
              <w:pStyle w:val="TableParagraph"/>
              <w:rPr>
                <w:b/>
                <w:sz w:val="16"/>
              </w:rPr>
            </w:pPr>
          </w:p>
          <w:p>
            <w:pPr>
              <w:pStyle w:val="TableParagraph"/>
              <w:rPr>
                <w:b/>
                <w:sz w:val="16"/>
              </w:rPr>
            </w:pPr>
          </w:p>
          <w:p>
            <w:pPr>
              <w:pStyle w:val="TableParagraph"/>
              <w:spacing w:before="10"/>
              <w:rPr>
                <w:b/>
                <w:sz w:val="17"/>
              </w:rPr>
            </w:pPr>
          </w:p>
          <w:p>
            <w:pPr>
              <w:pStyle w:val="TableParagraph"/>
              <w:ind w:right="168"/>
              <w:jc w:val="right"/>
              <w:rPr>
                <w:sz w:val="16"/>
              </w:rPr>
            </w:pPr>
            <w:r>
              <w:rPr>
                <w:w w:val="95"/>
                <w:sz w:val="16"/>
              </w:rPr>
              <w:t>545</w:t>
            </w:r>
          </w:p>
        </w:tc>
        <w:tc>
          <w:tcPr>
            <w:tcW w:w="918" w:type="dxa"/>
          </w:tcPr>
          <w:p>
            <w:pPr>
              <w:pStyle w:val="TableParagraph"/>
              <w:rPr>
                <w:b/>
                <w:sz w:val="16"/>
              </w:rPr>
            </w:pPr>
          </w:p>
          <w:p>
            <w:pPr>
              <w:pStyle w:val="TableParagraph"/>
              <w:rPr>
                <w:b/>
                <w:sz w:val="16"/>
              </w:rPr>
            </w:pPr>
          </w:p>
          <w:p>
            <w:pPr>
              <w:pStyle w:val="TableParagraph"/>
              <w:spacing w:before="10"/>
              <w:rPr>
                <w:b/>
                <w:sz w:val="17"/>
              </w:rPr>
            </w:pPr>
          </w:p>
          <w:p>
            <w:pPr>
              <w:pStyle w:val="TableParagraph"/>
              <w:ind w:right="168"/>
              <w:jc w:val="right"/>
              <w:rPr>
                <w:sz w:val="16"/>
              </w:rPr>
            </w:pPr>
            <w:r>
              <w:rPr>
                <w:w w:val="95"/>
                <w:sz w:val="16"/>
              </w:rPr>
              <w:t>273,638</w:t>
            </w:r>
          </w:p>
        </w:tc>
        <w:tc>
          <w:tcPr>
            <w:tcW w:w="826" w:type="dxa"/>
          </w:tcPr>
          <w:p>
            <w:pPr>
              <w:pStyle w:val="TableParagraph"/>
              <w:rPr>
                <w:b/>
                <w:sz w:val="16"/>
              </w:rPr>
            </w:pPr>
          </w:p>
          <w:p>
            <w:pPr>
              <w:pStyle w:val="TableParagraph"/>
              <w:rPr>
                <w:b/>
                <w:sz w:val="16"/>
              </w:rPr>
            </w:pPr>
          </w:p>
          <w:p>
            <w:pPr>
              <w:pStyle w:val="TableParagraph"/>
              <w:spacing w:before="10"/>
              <w:rPr>
                <w:b/>
                <w:sz w:val="17"/>
              </w:rPr>
            </w:pPr>
          </w:p>
          <w:p>
            <w:pPr>
              <w:pStyle w:val="TableParagraph"/>
              <w:ind w:right="76"/>
              <w:jc w:val="right"/>
              <w:rPr>
                <w:sz w:val="16"/>
              </w:rPr>
            </w:pPr>
            <w:r>
              <w:rPr>
                <w:w w:val="95"/>
                <w:sz w:val="16"/>
              </w:rPr>
              <w:t>212,542</w:t>
            </w:r>
          </w:p>
        </w:tc>
      </w:tr>
      <w:tr>
        <w:trPr>
          <w:trHeight w:val="241" w:hRule="exact"/>
        </w:trPr>
        <w:tc>
          <w:tcPr>
            <w:tcW w:w="8004" w:type="dxa"/>
          </w:tcPr>
          <w:p>
            <w:pPr>
              <w:pStyle w:val="TableParagraph"/>
              <w:spacing w:before="20"/>
              <w:ind w:left="35" w:right="4796"/>
              <w:rPr>
                <w:sz w:val="16"/>
              </w:rPr>
            </w:pPr>
            <w:r>
              <w:rPr>
                <w:sz w:val="16"/>
              </w:rPr>
              <w:t>Net accrual adjustments</w:t>
            </w:r>
          </w:p>
        </w:tc>
        <w:tc>
          <w:tcPr>
            <w:tcW w:w="616" w:type="dxa"/>
            <w:tcBorders>
              <w:bottom w:val="single" w:sz="0" w:space="0" w:color="000000"/>
            </w:tcBorders>
          </w:tcPr>
          <w:p>
            <w:pPr/>
          </w:p>
        </w:tc>
        <w:tc>
          <w:tcPr>
            <w:tcW w:w="1178" w:type="dxa"/>
            <w:tcBorders>
              <w:bottom w:val="single" w:sz="0" w:space="0" w:color="000000"/>
            </w:tcBorders>
          </w:tcPr>
          <w:p>
            <w:pPr>
              <w:pStyle w:val="TableParagraph"/>
              <w:spacing w:before="19"/>
              <w:ind w:right="430"/>
              <w:jc w:val="right"/>
              <w:rPr>
                <w:sz w:val="16"/>
              </w:rPr>
            </w:pPr>
            <w:r>
              <w:rPr>
                <w:w w:val="99"/>
                <w:sz w:val="16"/>
              </w:rPr>
              <w:t>-</w:t>
            </w:r>
          </w:p>
        </w:tc>
        <w:tc>
          <w:tcPr>
            <w:tcW w:w="1573" w:type="dxa"/>
            <w:tcBorders>
              <w:bottom w:val="single" w:sz="0" w:space="0" w:color="000000"/>
            </w:tcBorders>
          </w:tcPr>
          <w:p>
            <w:pPr>
              <w:pStyle w:val="TableParagraph"/>
              <w:tabs>
                <w:tab w:pos="866" w:val="left" w:leader="none"/>
              </w:tabs>
              <w:spacing w:before="19"/>
              <w:ind w:right="271"/>
              <w:jc w:val="right"/>
              <w:rPr>
                <w:sz w:val="16"/>
              </w:rPr>
            </w:pPr>
            <w:r>
              <w:rPr>
                <w:sz w:val="16"/>
              </w:rPr>
              <w:t>-</w:t>
              <w:tab/>
            </w:r>
            <w:r>
              <w:rPr>
                <w:w w:val="95"/>
                <w:sz w:val="16"/>
              </w:rPr>
              <w:t>-</w:t>
            </w:r>
          </w:p>
        </w:tc>
        <w:tc>
          <w:tcPr>
            <w:tcW w:w="763" w:type="dxa"/>
            <w:tcBorders>
              <w:bottom w:val="single" w:sz="0" w:space="0" w:color="000000"/>
            </w:tcBorders>
          </w:tcPr>
          <w:p>
            <w:pPr>
              <w:pStyle w:val="TableParagraph"/>
              <w:spacing w:before="19"/>
              <w:ind w:right="167"/>
              <w:jc w:val="right"/>
              <w:rPr>
                <w:sz w:val="16"/>
              </w:rPr>
            </w:pPr>
            <w:r>
              <w:rPr>
                <w:w w:val="99"/>
                <w:sz w:val="16"/>
              </w:rPr>
              <w:t>-</w:t>
            </w:r>
          </w:p>
        </w:tc>
        <w:tc>
          <w:tcPr>
            <w:tcW w:w="918" w:type="dxa"/>
            <w:tcBorders>
              <w:bottom w:val="single" w:sz="0" w:space="0" w:color="000000"/>
            </w:tcBorders>
          </w:tcPr>
          <w:p>
            <w:pPr>
              <w:pStyle w:val="TableParagraph"/>
              <w:spacing w:before="19"/>
              <w:ind w:right="167"/>
              <w:jc w:val="right"/>
              <w:rPr>
                <w:sz w:val="16"/>
              </w:rPr>
            </w:pPr>
            <w:r>
              <w:rPr>
                <w:w w:val="99"/>
                <w:sz w:val="16"/>
              </w:rPr>
              <w:t>-</w:t>
            </w:r>
          </w:p>
        </w:tc>
        <w:tc>
          <w:tcPr>
            <w:tcW w:w="826" w:type="dxa"/>
            <w:tcBorders>
              <w:bottom w:val="single" w:sz="0" w:space="0" w:color="000000"/>
            </w:tcBorders>
          </w:tcPr>
          <w:p>
            <w:pPr>
              <w:pStyle w:val="TableParagraph"/>
              <w:spacing w:before="19"/>
              <w:ind w:right="22"/>
              <w:jc w:val="right"/>
              <w:rPr>
                <w:sz w:val="16"/>
              </w:rPr>
            </w:pPr>
            <w:r>
              <w:rPr>
                <w:w w:val="95"/>
                <w:sz w:val="16"/>
              </w:rPr>
              <w:t>(35)</w:t>
            </w:r>
          </w:p>
        </w:tc>
      </w:tr>
      <w:tr>
        <w:trPr>
          <w:trHeight w:val="261" w:hRule="exact"/>
        </w:trPr>
        <w:tc>
          <w:tcPr>
            <w:tcW w:w="8004" w:type="dxa"/>
          </w:tcPr>
          <w:p>
            <w:pPr>
              <w:pStyle w:val="TableParagraph"/>
              <w:spacing w:before="40"/>
              <w:ind w:left="35" w:right="4796"/>
              <w:rPr>
                <w:rFonts w:ascii="Microsoft Sans Serif"/>
                <w:sz w:val="15"/>
              </w:rPr>
            </w:pPr>
            <w:r>
              <w:rPr>
                <w:sz w:val="16"/>
              </w:rPr>
              <w:t>Revenue for the period</w:t>
            </w:r>
            <w:r>
              <w:rPr>
                <w:rFonts w:ascii="Microsoft Sans Serif"/>
                <w:w w:val="103"/>
                <w:sz w:val="15"/>
              </w:rPr>
              <w:t> </w:t>
            </w:r>
          </w:p>
        </w:tc>
        <w:tc>
          <w:tcPr>
            <w:tcW w:w="616" w:type="dxa"/>
            <w:tcBorders>
              <w:top w:val="single" w:sz="0" w:space="0" w:color="000000"/>
            </w:tcBorders>
          </w:tcPr>
          <w:p>
            <w:pPr>
              <w:pStyle w:val="TableParagraph"/>
              <w:spacing w:before="37"/>
              <w:ind w:left="40"/>
              <w:rPr>
                <w:sz w:val="16"/>
              </w:rPr>
            </w:pPr>
            <w:r>
              <w:rPr>
                <w:sz w:val="16"/>
              </w:rPr>
              <w:t>2(a)</w:t>
            </w:r>
          </w:p>
        </w:tc>
        <w:tc>
          <w:tcPr>
            <w:tcW w:w="1178" w:type="dxa"/>
            <w:tcBorders>
              <w:top w:val="single" w:sz="0" w:space="0" w:color="000000"/>
            </w:tcBorders>
          </w:tcPr>
          <w:p>
            <w:pPr>
              <w:pStyle w:val="TableParagraph"/>
              <w:spacing w:before="38"/>
              <w:ind w:right="431"/>
              <w:jc w:val="right"/>
              <w:rPr>
                <w:sz w:val="16"/>
              </w:rPr>
            </w:pPr>
            <w:r>
              <w:rPr>
                <w:w w:val="95"/>
                <w:sz w:val="16"/>
              </w:rPr>
              <w:t>1,218</w:t>
            </w:r>
          </w:p>
        </w:tc>
        <w:tc>
          <w:tcPr>
            <w:tcW w:w="1573" w:type="dxa"/>
            <w:tcBorders>
              <w:top w:val="single" w:sz="0" w:space="0" w:color="000000"/>
            </w:tcBorders>
          </w:tcPr>
          <w:p>
            <w:pPr>
              <w:pStyle w:val="TableParagraph"/>
              <w:tabs>
                <w:tab w:pos="866" w:val="left" w:leader="none"/>
              </w:tabs>
              <w:spacing w:before="38"/>
              <w:ind w:right="271"/>
              <w:jc w:val="right"/>
              <w:rPr>
                <w:sz w:val="16"/>
              </w:rPr>
            </w:pPr>
            <w:r>
              <w:rPr>
                <w:sz w:val="16"/>
              </w:rPr>
              <w:t>-</w:t>
              <w:tab/>
            </w:r>
            <w:r>
              <w:rPr>
                <w:w w:val="95"/>
                <w:sz w:val="16"/>
              </w:rPr>
              <w:t>-</w:t>
            </w:r>
          </w:p>
        </w:tc>
        <w:tc>
          <w:tcPr>
            <w:tcW w:w="763" w:type="dxa"/>
            <w:tcBorders>
              <w:top w:val="single" w:sz="0" w:space="0" w:color="000000"/>
            </w:tcBorders>
          </w:tcPr>
          <w:p>
            <w:pPr>
              <w:pStyle w:val="TableParagraph"/>
              <w:spacing w:before="38"/>
              <w:ind w:right="168"/>
              <w:jc w:val="right"/>
              <w:rPr>
                <w:sz w:val="16"/>
              </w:rPr>
            </w:pPr>
            <w:r>
              <w:rPr>
                <w:w w:val="95"/>
                <w:sz w:val="16"/>
              </w:rPr>
              <w:t>545</w:t>
            </w:r>
          </w:p>
        </w:tc>
        <w:tc>
          <w:tcPr>
            <w:tcW w:w="918" w:type="dxa"/>
            <w:tcBorders>
              <w:top w:val="single" w:sz="0" w:space="0" w:color="000000"/>
            </w:tcBorders>
          </w:tcPr>
          <w:p>
            <w:pPr>
              <w:pStyle w:val="TableParagraph"/>
              <w:spacing w:before="38"/>
              <w:ind w:right="168"/>
              <w:jc w:val="right"/>
              <w:rPr>
                <w:sz w:val="16"/>
              </w:rPr>
            </w:pPr>
            <w:r>
              <w:rPr>
                <w:w w:val="95"/>
                <w:sz w:val="16"/>
              </w:rPr>
              <w:t>273,638</w:t>
            </w:r>
          </w:p>
        </w:tc>
        <w:tc>
          <w:tcPr>
            <w:tcW w:w="826" w:type="dxa"/>
            <w:tcBorders>
              <w:top w:val="single" w:sz="0" w:space="0" w:color="000000"/>
            </w:tcBorders>
          </w:tcPr>
          <w:p>
            <w:pPr>
              <w:pStyle w:val="TableParagraph"/>
              <w:spacing w:before="38"/>
              <w:ind w:right="76"/>
              <w:jc w:val="right"/>
              <w:rPr>
                <w:sz w:val="16"/>
              </w:rPr>
            </w:pPr>
            <w:r>
              <w:rPr>
                <w:w w:val="95"/>
                <w:sz w:val="16"/>
              </w:rPr>
              <w:t>212,507</w:t>
            </w:r>
          </w:p>
        </w:tc>
      </w:tr>
      <w:tr>
        <w:trPr>
          <w:trHeight w:val="241" w:hRule="exact"/>
        </w:trPr>
        <w:tc>
          <w:tcPr>
            <w:tcW w:w="8004" w:type="dxa"/>
          </w:tcPr>
          <w:p>
            <w:pPr>
              <w:pStyle w:val="TableParagraph"/>
              <w:spacing w:before="20"/>
              <w:ind w:left="35" w:right="4796"/>
              <w:rPr>
                <w:sz w:val="16"/>
              </w:rPr>
            </w:pPr>
            <w:r>
              <w:rPr>
                <w:sz w:val="16"/>
              </w:rPr>
              <w:t>Surplus/(deficit) from the previous year</w:t>
            </w:r>
          </w:p>
        </w:tc>
        <w:tc>
          <w:tcPr>
            <w:tcW w:w="616" w:type="dxa"/>
            <w:tcBorders>
              <w:bottom w:val="single" w:sz="0" w:space="0" w:color="000000"/>
            </w:tcBorders>
          </w:tcPr>
          <w:p>
            <w:pPr/>
          </w:p>
        </w:tc>
        <w:tc>
          <w:tcPr>
            <w:tcW w:w="1178" w:type="dxa"/>
            <w:tcBorders>
              <w:bottom w:val="single" w:sz="0" w:space="0" w:color="000000"/>
            </w:tcBorders>
          </w:tcPr>
          <w:p>
            <w:pPr>
              <w:pStyle w:val="TableParagraph"/>
              <w:spacing w:before="19"/>
              <w:ind w:right="432"/>
              <w:jc w:val="right"/>
              <w:rPr>
                <w:sz w:val="16"/>
              </w:rPr>
            </w:pPr>
            <w:r>
              <w:rPr>
                <w:w w:val="99"/>
                <w:sz w:val="16"/>
              </w:rPr>
              <w:t>-</w:t>
            </w:r>
          </w:p>
        </w:tc>
        <w:tc>
          <w:tcPr>
            <w:tcW w:w="1573" w:type="dxa"/>
            <w:tcBorders>
              <w:bottom w:val="single" w:sz="0" w:space="0" w:color="000000"/>
            </w:tcBorders>
          </w:tcPr>
          <w:p>
            <w:pPr>
              <w:pStyle w:val="TableParagraph"/>
              <w:tabs>
                <w:tab w:pos="652" w:val="left" w:leader="none"/>
              </w:tabs>
              <w:spacing w:before="19"/>
              <w:ind w:right="272"/>
              <w:jc w:val="right"/>
              <w:rPr>
                <w:sz w:val="16"/>
              </w:rPr>
            </w:pPr>
            <w:r>
              <w:rPr>
                <w:sz w:val="16"/>
              </w:rPr>
              <w:t>-</w:t>
              <w:tab/>
            </w:r>
            <w:r>
              <w:rPr>
                <w:spacing w:val="-1"/>
                <w:sz w:val="16"/>
              </w:rPr>
              <w:t>216</w:t>
            </w:r>
          </w:p>
        </w:tc>
        <w:tc>
          <w:tcPr>
            <w:tcW w:w="763" w:type="dxa"/>
            <w:tcBorders>
              <w:bottom w:val="single" w:sz="0" w:space="0" w:color="000000"/>
            </w:tcBorders>
          </w:tcPr>
          <w:p>
            <w:pPr>
              <w:pStyle w:val="TableParagraph"/>
              <w:spacing w:before="19"/>
              <w:ind w:right="168"/>
              <w:jc w:val="right"/>
              <w:rPr>
                <w:sz w:val="16"/>
              </w:rPr>
            </w:pPr>
            <w:r>
              <w:rPr>
                <w:w w:val="95"/>
                <w:sz w:val="16"/>
              </w:rPr>
              <w:t>174</w:t>
            </w:r>
          </w:p>
        </w:tc>
        <w:tc>
          <w:tcPr>
            <w:tcW w:w="918" w:type="dxa"/>
            <w:tcBorders>
              <w:bottom w:val="single" w:sz="0" w:space="0" w:color="000000"/>
            </w:tcBorders>
          </w:tcPr>
          <w:p>
            <w:pPr>
              <w:pStyle w:val="TableParagraph"/>
              <w:spacing w:before="19"/>
              <w:ind w:right="168"/>
              <w:jc w:val="right"/>
              <w:rPr>
                <w:sz w:val="16"/>
              </w:rPr>
            </w:pPr>
            <w:r>
              <w:rPr>
                <w:w w:val="95"/>
                <w:sz w:val="16"/>
              </w:rPr>
              <w:t>2,929</w:t>
            </w:r>
          </w:p>
        </w:tc>
        <w:tc>
          <w:tcPr>
            <w:tcW w:w="826" w:type="dxa"/>
            <w:tcBorders>
              <w:bottom w:val="single" w:sz="0" w:space="0" w:color="000000"/>
            </w:tcBorders>
          </w:tcPr>
          <w:p>
            <w:pPr>
              <w:pStyle w:val="TableParagraph"/>
              <w:spacing w:before="19"/>
              <w:ind w:right="76"/>
              <w:jc w:val="right"/>
              <w:rPr>
                <w:sz w:val="16"/>
              </w:rPr>
            </w:pPr>
            <w:r>
              <w:rPr>
                <w:w w:val="95"/>
                <w:sz w:val="16"/>
              </w:rPr>
              <w:t>5,665</w:t>
            </w:r>
          </w:p>
        </w:tc>
      </w:tr>
      <w:tr>
        <w:trPr>
          <w:trHeight w:val="261" w:hRule="exact"/>
        </w:trPr>
        <w:tc>
          <w:tcPr>
            <w:tcW w:w="8004" w:type="dxa"/>
          </w:tcPr>
          <w:p>
            <w:pPr>
              <w:pStyle w:val="TableParagraph"/>
              <w:spacing w:before="40"/>
              <w:ind w:left="35" w:right="4796"/>
              <w:rPr>
                <w:sz w:val="16"/>
              </w:rPr>
            </w:pPr>
            <w:r>
              <w:rPr>
                <w:sz w:val="16"/>
              </w:rPr>
              <w:t>Total revenue including accrued revenue</w:t>
            </w:r>
          </w:p>
        </w:tc>
        <w:tc>
          <w:tcPr>
            <w:tcW w:w="616" w:type="dxa"/>
            <w:tcBorders>
              <w:top w:val="single" w:sz="0" w:space="0" w:color="000000"/>
            </w:tcBorders>
          </w:tcPr>
          <w:p>
            <w:pPr/>
          </w:p>
        </w:tc>
        <w:tc>
          <w:tcPr>
            <w:tcW w:w="1178" w:type="dxa"/>
            <w:tcBorders>
              <w:top w:val="single" w:sz="0" w:space="0" w:color="000000"/>
            </w:tcBorders>
          </w:tcPr>
          <w:p>
            <w:pPr>
              <w:pStyle w:val="TableParagraph"/>
              <w:spacing w:before="38"/>
              <w:ind w:right="431"/>
              <w:jc w:val="right"/>
              <w:rPr>
                <w:sz w:val="16"/>
              </w:rPr>
            </w:pPr>
            <w:r>
              <w:rPr>
                <w:w w:val="95"/>
                <w:sz w:val="16"/>
              </w:rPr>
              <w:t>1,218</w:t>
            </w:r>
          </w:p>
        </w:tc>
        <w:tc>
          <w:tcPr>
            <w:tcW w:w="1573" w:type="dxa"/>
            <w:tcBorders>
              <w:top w:val="single" w:sz="0" w:space="0" w:color="000000"/>
            </w:tcBorders>
          </w:tcPr>
          <w:p>
            <w:pPr>
              <w:pStyle w:val="TableParagraph"/>
              <w:tabs>
                <w:tab w:pos="652" w:val="left" w:leader="none"/>
              </w:tabs>
              <w:spacing w:before="38"/>
              <w:ind w:right="272"/>
              <w:jc w:val="right"/>
              <w:rPr>
                <w:sz w:val="16"/>
              </w:rPr>
            </w:pPr>
            <w:r>
              <w:rPr>
                <w:sz w:val="16"/>
              </w:rPr>
              <w:t>-</w:t>
              <w:tab/>
            </w:r>
            <w:r>
              <w:rPr>
                <w:spacing w:val="-1"/>
                <w:sz w:val="16"/>
              </w:rPr>
              <w:t>216</w:t>
            </w:r>
          </w:p>
        </w:tc>
        <w:tc>
          <w:tcPr>
            <w:tcW w:w="763" w:type="dxa"/>
            <w:tcBorders>
              <w:top w:val="single" w:sz="0" w:space="0" w:color="000000"/>
            </w:tcBorders>
          </w:tcPr>
          <w:p>
            <w:pPr>
              <w:pStyle w:val="TableParagraph"/>
              <w:spacing w:before="38"/>
              <w:ind w:right="168"/>
              <w:jc w:val="right"/>
              <w:rPr>
                <w:sz w:val="16"/>
              </w:rPr>
            </w:pPr>
            <w:r>
              <w:rPr>
                <w:w w:val="95"/>
                <w:sz w:val="16"/>
              </w:rPr>
              <w:t>719</w:t>
            </w:r>
          </w:p>
        </w:tc>
        <w:tc>
          <w:tcPr>
            <w:tcW w:w="918" w:type="dxa"/>
            <w:tcBorders>
              <w:top w:val="single" w:sz="0" w:space="0" w:color="000000"/>
            </w:tcBorders>
          </w:tcPr>
          <w:p>
            <w:pPr>
              <w:pStyle w:val="TableParagraph"/>
              <w:spacing w:before="38"/>
              <w:ind w:right="168"/>
              <w:jc w:val="right"/>
              <w:rPr>
                <w:sz w:val="16"/>
              </w:rPr>
            </w:pPr>
            <w:r>
              <w:rPr>
                <w:w w:val="95"/>
                <w:sz w:val="16"/>
              </w:rPr>
              <w:t>276,567</w:t>
            </w:r>
          </w:p>
        </w:tc>
        <w:tc>
          <w:tcPr>
            <w:tcW w:w="826" w:type="dxa"/>
            <w:tcBorders>
              <w:top w:val="single" w:sz="0" w:space="0" w:color="000000"/>
            </w:tcBorders>
          </w:tcPr>
          <w:p>
            <w:pPr>
              <w:pStyle w:val="TableParagraph"/>
              <w:spacing w:before="38"/>
              <w:ind w:right="76"/>
              <w:jc w:val="right"/>
              <w:rPr>
                <w:sz w:val="16"/>
              </w:rPr>
            </w:pPr>
            <w:r>
              <w:rPr>
                <w:w w:val="95"/>
                <w:sz w:val="16"/>
              </w:rPr>
              <w:t>218,172</w:t>
            </w:r>
          </w:p>
        </w:tc>
      </w:tr>
      <w:tr>
        <w:trPr>
          <w:trHeight w:val="241" w:hRule="exact"/>
        </w:trPr>
        <w:tc>
          <w:tcPr>
            <w:tcW w:w="8004" w:type="dxa"/>
          </w:tcPr>
          <w:p>
            <w:pPr>
              <w:pStyle w:val="TableParagraph"/>
              <w:spacing w:before="20"/>
              <w:ind w:left="35" w:right="4796"/>
              <w:rPr>
                <w:sz w:val="16"/>
              </w:rPr>
            </w:pPr>
            <w:r>
              <w:rPr>
                <w:sz w:val="16"/>
              </w:rPr>
              <w:t>Less expenses including accrued expenses</w:t>
            </w:r>
          </w:p>
        </w:tc>
        <w:tc>
          <w:tcPr>
            <w:tcW w:w="616" w:type="dxa"/>
            <w:tcBorders>
              <w:bottom w:val="single" w:sz="0" w:space="0" w:color="000000"/>
            </w:tcBorders>
          </w:tcPr>
          <w:p>
            <w:pPr/>
          </w:p>
        </w:tc>
        <w:tc>
          <w:tcPr>
            <w:tcW w:w="1178" w:type="dxa"/>
            <w:tcBorders>
              <w:bottom w:val="single" w:sz="0" w:space="0" w:color="000000"/>
            </w:tcBorders>
          </w:tcPr>
          <w:p>
            <w:pPr>
              <w:pStyle w:val="TableParagraph"/>
              <w:spacing w:before="19"/>
              <w:ind w:right="378"/>
              <w:jc w:val="right"/>
              <w:rPr>
                <w:sz w:val="16"/>
              </w:rPr>
            </w:pPr>
            <w:r>
              <w:rPr>
                <w:sz w:val="16"/>
              </w:rPr>
              <w:t>(1,218)</w:t>
            </w:r>
          </w:p>
        </w:tc>
        <w:tc>
          <w:tcPr>
            <w:tcW w:w="1573" w:type="dxa"/>
            <w:tcBorders>
              <w:bottom w:val="single" w:sz="0" w:space="0" w:color="000000"/>
            </w:tcBorders>
          </w:tcPr>
          <w:p>
            <w:pPr>
              <w:pStyle w:val="TableParagraph"/>
              <w:tabs>
                <w:tab w:pos="866" w:val="left" w:leader="none"/>
              </w:tabs>
              <w:spacing w:before="19"/>
              <w:ind w:right="271"/>
              <w:jc w:val="right"/>
              <w:rPr>
                <w:sz w:val="16"/>
              </w:rPr>
            </w:pPr>
            <w:r>
              <w:rPr>
                <w:sz w:val="16"/>
              </w:rPr>
              <w:t>-</w:t>
              <w:tab/>
            </w:r>
            <w:r>
              <w:rPr>
                <w:w w:val="95"/>
                <w:sz w:val="16"/>
              </w:rPr>
              <w:t>-</w:t>
            </w:r>
          </w:p>
        </w:tc>
        <w:tc>
          <w:tcPr>
            <w:tcW w:w="763" w:type="dxa"/>
            <w:tcBorders>
              <w:bottom w:val="single" w:sz="0" w:space="0" w:color="000000"/>
            </w:tcBorders>
          </w:tcPr>
          <w:p>
            <w:pPr>
              <w:pStyle w:val="TableParagraph"/>
              <w:spacing w:before="19"/>
              <w:ind w:right="115"/>
              <w:jc w:val="right"/>
              <w:rPr>
                <w:sz w:val="16"/>
              </w:rPr>
            </w:pPr>
            <w:r>
              <w:rPr>
                <w:w w:val="95"/>
                <w:sz w:val="16"/>
              </w:rPr>
              <w:t>(503)</w:t>
            </w:r>
          </w:p>
        </w:tc>
        <w:tc>
          <w:tcPr>
            <w:tcW w:w="918" w:type="dxa"/>
            <w:tcBorders>
              <w:bottom w:val="single" w:sz="0" w:space="0" w:color="000000"/>
            </w:tcBorders>
          </w:tcPr>
          <w:p>
            <w:pPr>
              <w:pStyle w:val="TableParagraph"/>
              <w:spacing w:before="19"/>
              <w:ind w:right="115"/>
              <w:jc w:val="right"/>
              <w:rPr>
                <w:sz w:val="16"/>
              </w:rPr>
            </w:pPr>
            <w:r>
              <w:rPr>
                <w:w w:val="95"/>
                <w:sz w:val="16"/>
              </w:rPr>
              <w:t>(268,213)</w:t>
            </w:r>
          </w:p>
        </w:tc>
        <w:tc>
          <w:tcPr>
            <w:tcW w:w="826" w:type="dxa"/>
            <w:tcBorders>
              <w:bottom w:val="single" w:sz="0" w:space="0" w:color="000000"/>
            </w:tcBorders>
          </w:tcPr>
          <w:p>
            <w:pPr>
              <w:pStyle w:val="TableParagraph"/>
              <w:spacing w:before="19"/>
              <w:ind w:right="23"/>
              <w:jc w:val="right"/>
              <w:rPr>
                <w:sz w:val="16"/>
              </w:rPr>
            </w:pPr>
            <w:r>
              <w:rPr>
                <w:w w:val="95"/>
                <w:sz w:val="16"/>
              </w:rPr>
              <w:t>(215,243)</w:t>
            </w:r>
          </w:p>
        </w:tc>
      </w:tr>
      <w:tr>
        <w:trPr>
          <w:trHeight w:val="275" w:hRule="exact"/>
        </w:trPr>
        <w:tc>
          <w:tcPr>
            <w:tcW w:w="8004" w:type="dxa"/>
          </w:tcPr>
          <w:p>
            <w:pPr>
              <w:pStyle w:val="TableParagraph"/>
              <w:spacing w:before="40"/>
              <w:ind w:left="35" w:right="4796"/>
              <w:rPr>
                <w:sz w:val="16"/>
              </w:rPr>
            </w:pPr>
            <w:r>
              <w:rPr>
                <w:sz w:val="16"/>
              </w:rPr>
              <w:t>Surplus/(deficit) for the reporting period</w:t>
            </w:r>
          </w:p>
        </w:tc>
        <w:tc>
          <w:tcPr>
            <w:tcW w:w="616" w:type="dxa"/>
            <w:tcBorders>
              <w:top w:val="single" w:sz="0" w:space="0" w:color="000000"/>
              <w:bottom w:val="single" w:sz="0" w:space="0" w:color="000000"/>
            </w:tcBorders>
          </w:tcPr>
          <w:p>
            <w:pPr/>
          </w:p>
        </w:tc>
        <w:tc>
          <w:tcPr>
            <w:tcW w:w="1178" w:type="dxa"/>
            <w:tcBorders>
              <w:top w:val="single" w:sz="0" w:space="0" w:color="000000"/>
              <w:bottom w:val="single" w:sz="0" w:space="0" w:color="000000"/>
            </w:tcBorders>
          </w:tcPr>
          <w:p>
            <w:pPr>
              <w:pStyle w:val="TableParagraph"/>
              <w:spacing w:before="38"/>
              <w:ind w:right="430"/>
              <w:jc w:val="right"/>
              <w:rPr>
                <w:sz w:val="16"/>
              </w:rPr>
            </w:pPr>
            <w:r>
              <w:rPr>
                <w:w w:val="99"/>
                <w:sz w:val="16"/>
              </w:rPr>
              <w:t>-</w:t>
            </w:r>
          </w:p>
        </w:tc>
        <w:tc>
          <w:tcPr>
            <w:tcW w:w="1573" w:type="dxa"/>
            <w:tcBorders>
              <w:top w:val="single" w:sz="0" w:space="0" w:color="000000"/>
              <w:bottom w:val="single" w:sz="0" w:space="0" w:color="000000"/>
            </w:tcBorders>
          </w:tcPr>
          <w:p>
            <w:pPr>
              <w:pStyle w:val="TableParagraph"/>
              <w:tabs>
                <w:tab w:pos="652" w:val="left" w:leader="none"/>
              </w:tabs>
              <w:spacing w:before="38"/>
              <w:ind w:right="272"/>
              <w:jc w:val="right"/>
              <w:rPr>
                <w:sz w:val="16"/>
              </w:rPr>
            </w:pPr>
            <w:r>
              <w:rPr>
                <w:sz w:val="16"/>
              </w:rPr>
              <w:t>-</w:t>
              <w:tab/>
            </w:r>
            <w:r>
              <w:rPr>
                <w:spacing w:val="-1"/>
                <w:sz w:val="16"/>
              </w:rPr>
              <w:t>216</w:t>
            </w:r>
          </w:p>
        </w:tc>
        <w:tc>
          <w:tcPr>
            <w:tcW w:w="763" w:type="dxa"/>
            <w:tcBorders>
              <w:top w:val="single" w:sz="0" w:space="0" w:color="000000"/>
              <w:bottom w:val="single" w:sz="0" w:space="0" w:color="000000"/>
            </w:tcBorders>
          </w:tcPr>
          <w:p>
            <w:pPr>
              <w:pStyle w:val="TableParagraph"/>
              <w:spacing w:before="38"/>
              <w:ind w:right="168"/>
              <w:jc w:val="right"/>
              <w:rPr>
                <w:sz w:val="16"/>
              </w:rPr>
            </w:pPr>
            <w:r>
              <w:rPr>
                <w:w w:val="95"/>
                <w:sz w:val="16"/>
              </w:rPr>
              <w:t>216</w:t>
            </w:r>
          </w:p>
        </w:tc>
        <w:tc>
          <w:tcPr>
            <w:tcW w:w="918" w:type="dxa"/>
            <w:tcBorders>
              <w:top w:val="single" w:sz="0" w:space="0" w:color="000000"/>
              <w:bottom w:val="single" w:sz="0" w:space="0" w:color="000000"/>
            </w:tcBorders>
          </w:tcPr>
          <w:p>
            <w:pPr>
              <w:pStyle w:val="TableParagraph"/>
              <w:spacing w:before="38"/>
              <w:ind w:right="168"/>
              <w:jc w:val="right"/>
              <w:rPr>
                <w:sz w:val="16"/>
              </w:rPr>
            </w:pPr>
            <w:r>
              <w:rPr>
                <w:w w:val="95"/>
                <w:sz w:val="16"/>
              </w:rPr>
              <w:t>8,354</w:t>
            </w:r>
          </w:p>
        </w:tc>
        <w:tc>
          <w:tcPr>
            <w:tcW w:w="826" w:type="dxa"/>
            <w:tcBorders>
              <w:top w:val="single" w:sz="0" w:space="0" w:color="000000"/>
              <w:bottom w:val="single" w:sz="0" w:space="0" w:color="000000"/>
            </w:tcBorders>
          </w:tcPr>
          <w:p>
            <w:pPr>
              <w:pStyle w:val="TableParagraph"/>
              <w:spacing w:before="38"/>
              <w:ind w:right="76"/>
              <w:jc w:val="right"/>
              <w:rPr>
                <w:sz w:val="16"/>
              </w:rPr>
            </w:pPr>
            <w:r>
              <w:rPr>
                <w:w w:val="95"/>
                <w:sz w:val="16"/>
              </w:rPr>
              <w:t>2,929</w:t>
            </w:r>
          </w:p>
        </w:tc>
      </w:tr>
    </w:tbl>
    <w:p>
      <w:pPr>
        <w:pStyle w:val="BodyText"/>
        <w:spacing w:before="7"/>
        <w:rPr>
          <w:b/>
          <w:sz w:val="20"/>
        </w:rPr>
      </w:pPr>
    </w:p>
    <w:p>
      <w:pPr>
        <w:pStyle w:val="BodyText"/>
        <w:spacing w:before="77"/>
        <w:ind w:left="1070"/>
      </w:pPr>
      <w:r>
        <w:rPr/>
        <w:t>#1 Basic CGS grant amount, CGS – Regional Loading, CGS – Enabling Loading, Maths and Science Transition Loading and Full Fee Places Transition Loading.</w:t>
      </w:r>
    </w:p>
    <w:p>
      <w:pPr>
        <w:pStyle w:val="BodyText"/>
        <w:rPr>
          <w:sz w:val="25"/>
        </w:rPr>
      </w:pPr>
    </w:p>
    <w:p>
      <w:pPr>
        <w:pStyle w:val="BodyText"/>
        <w:ind w:left="1070"/>
      </w:pPr>
      <w:r>
        <w:rPr/>
        <w:t>#2 Includes Equity Support Program.</w:t>
      </w:r>
    </w:p>
    <w:p>
      <w:pPr>
        <w:pStyle w:val="BodyText"/>
        <w:rPr>
          <w:sz w:val="25"/>
        </w:rPr>
      </w:pPr>
    </w:p>
    <w:p>
      <w:pPr>
        <w:pStyle w:val="BodyText"/>
        <w:ind w:left="1070"/>
      </w:pPr>
      <w:r>
        <w:rPr/>
        <w:t>#3 Includes Collaboration and Structural Adjustments Program</w:t>
      </w:r>
    </w:p>
    <w:p>
      <w:pPr>
        <w:spacing w:after="0"/>
        <w:sectPr>
          <w:type w:val="continuous"/>
          <w:pgSz w:w="16840" w:h="11910" w:orient="landscape"/>
          <w:pgMar w:top="0" w:bottom="280" w:left="900" w:right="880"/>
        </w:sectPr>
      </w:pPr>
    </w:p>
    <w:p>
      <w:pPr>
        <w:pStyle w:val="BodyText"/>
        <w:rPr>
          <w:sz w:val="20"/>
        </w:rPr>
      </w:pPr>
    </w:p>
    <w:p>
      <w:pPr>
        <w:pStyle w:val="BodyText"/>
        <w:rPr>
          <w:sz w:val="20"/>
        </w:rPr>
      </w:pPr>
    </w:p>
    <w:p>
      <w:pPr>
        <w:pStyle w:val="BodyText"/>
        <w:spacing w:before="4"/>
      </w:pPr>
    </w:p>
    <w:p>
      <w:pPr>
        <w:pStyle w:val="Heading9"/>
        <w:ind w:left="109"/>
      </w:pPr>
      <w:r>
        <w:rPr/>
        <w:t>35    Acquittal of Australian Government Financial Assistance (continued)</w:t>
      </w:r>
    </w:p>
    <w:p>
      <w:pPr>
        <w:pStyle w:val="BodyText"/>
        <w:spacing w:before="3"/>
        <w:rPr>
          <w:b/>
        </w:rPr>
      </w:pPr>
    </w:p>
    <w:p>
      <w:pPr>
        <w:spacing w:after="0"/>
        <w:sectPr>
          <w:pgSz w:w="16840" w:h="11910" w:orient="landscape"/>
          <w:pgMar w:header="1038" w:footer="507" w:top="2220" w:bottom="700" w:left="900" w:right="880"/>
        </w:sectPr>
      </w:pPr>
    </w:p>
    <w:p>
      <w:pPr>
        <w:pStyle w:val="ListParagraph"/>
        <w:numPr>
          <w:ilvl w:val="0"/>
          <w:numId w:val="28"/>
        </w:numPr>
        <w:tabs>
          <w:tab w:pos="1072" w:val="left" w:leader="none"/>
        </w:tabs>
        <w:spacing w:line="240" w:lineRule="auto" w:before="77" w:after="0"/>
        <w:ind w:left="1071" w:right="0" w:hanging="566"/>
        <w:jc w:val="left"/>
        <w:rPr>
          <w:sz w:val="18"/>
        </w:rPr>
      </w:pPr>
      <w:r>
        <w:rPr>
          <w:sz w:val="18"/>
        </w:rPr>
        <w:t>Higher Education Loan Programs (excl</w:t>
      </w:r>
      <w:r>
        <w:rPr>
          <w:spacing w:val="-1"/>
          <w:sz w:val="18"/>
        </w:rPr>
        <w:t> </w:t>
      </w:r>
      <w:r>
        <w:rPr>
          <w:sz w:val="18"/>
        </w:rPr>
        <w:t>OS-HELP)</w:t>
      </w:r>
    </w:p>
    <w:p>
      <w:pPr>
        <w:pStyle w:val="BodyText"/>
        <w:rPr>
          <w:sz w:val="16"/>
        </w:rPr>
      </w:pPr>
      <w:r>
        <w:rPr/>
        <w:br w:type="column"/>
      </w:r>
      <w:r>
        <w:rPr>
          <w:sz w:val="16"/>
        </w:rPr>
      </w:r>
    </w:p>
    <w:p>
      <w:pPr>
        <w:spacing w:line="184" w:lineRule="exact" w:before="133"/>
        <w:ind w:left="505" w:right="0" w:firstLine="0"/>
        <w:jc w:val="left"/>
        <w:rPr>
          <w:b/>
          <w:sz w:val="16"/>
        </w:rPr>
      </w:pPr>
      <w:r>
        <w:rPr>
          <w:b/>
          <w:sz w:val="16"/>
        </w:rPr>
        <w:t>HECS-HELP (Aust.</w:t>
      </w:r>
    </w:p>
    <w:p>
      <w:pPr>
        <w:spacing w:line="184" w:lineRule="exact" w:before="0"/>
        <w:ind w:left="505" w:right="0" w:firstLine="0"/>
        <w:jc w:val="left"/>
        <w:rPr>
          <w:b/>
          <w:sz w:val="16"/>
        </w:rPr>
      </w:pPr>
      <w:r>
        <w:rPr>
          <w:b/>
          <w:sz w:val="16"/>
        </w:rPr>
        <w:t>Government</w:t>
      </w:r>
    </w:p>
    <w:p>
      <w:pPr>
        <w:tabs>
          <w:tab w:pos="2136" w:val="left" w:leader="none"/>
          <w:tab w:pos="3769" w:val="left" w:leader="none"/>
          <w:tab w:pos="5400" w:val="left" w:leader="none"/>
        </w:tabs>
        <w:spacing w:before="0"/>
        <w:ind w:left="505" w:right="0" w:firstLine="0"/>
        <w:jc w:val="left"/>
        <w:rPr>
          <w:b/>
          <w:sz w:val="16"/>
        </w:rPr>
      </w:pPr>
      <w:r>
        <w:rPr>
          <w:b/>
          <w:sz w:val="16"/>
        </w:rPr>
        <w:t>payments</w:t>
      </w:r>
      <w:r>
        <w:rPr>
          <w:b/>
          <w:spacing w:val="-2"/>
          <w:sz w:val="16"/>
        </w:rPr>
        <w:t> </w:t>
      </w:r>
      <w:r>
        <w:rPr>
          <w:b/>
          <w:sz w:val="16"/>
        </w:rPr>
        <w:t>only)</w:t>
        <w:tab/>
        <w:t>FEE-HELP</w:t>
      </w:r>
      <w:r>
        <w:rPr>
          <w:b/>
          <w:spacing w:val="-2"/>
          <w:sz w:val="16"/>
        </w:rPr>
        <w:t> </w:t>
      </w:r>
      <w:r>
        <w:rPr>
          <w:b/>
          <w:sz w:val="16"/>
        </w:rPr>
        <w:t>#4</w:t>
        <w:tab/>
        <w:t>SA-HELP</w:t>
        <w:tab/>
        <w:t>Total</w:t>
      </w:r>
    </w:p>
    <w:p>
      <w:pPr>
        <w:spacing w:after="0"/>
        <w:jc w:val="left"/>
        <w:rPr>
          <w:sz w:val="16"/>
        </w:rPr>
        <w:sectPr>
          <w:type w:val="continuous"/>
          <w:pgSz w:w="16840" w:h="11910" w:orient="landscape"/>
          <w:pgMar w:top="0" w:bottom="280" w:left="900" w:right="880"/>
          <w:cols w:num="2" w:equalWidth="0">
            <w:col w:w="5064" w:space="2888"/>
            <w:col w:w="7108"/>
          </w:cols>
        </w:sectPr>
      </w:pPr>
    </w:p>
    <w:p>
      <w:pPr>
        <w:pStyle w:val="BodyText"/>
        <w:spacing w:before="1"/>
        <w:rPr>
          <w:b/>
          <w:sz w:val="3"/>
        </w:rPr>
      </w:pPr>
    </w:p>
    <w:tbl>
      <w:tblPr>
        <w:tblW w:w="0" w:type="auto"/>
        <w:jc w:val="left"/>
        <w:tblInd w:w="107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81"/>
        <w:gridCol w:w="497"/>
        <w:gridCol w:w="865"/>
        <w:gridCol w:w="843"/>
        <w:gridCol w:w="789"/>
        <w:gridCol w:w="816"/>
        <w:gridCol w:w="843"/>
        <w:gridCol w:w="551"/>
        <w:gridCol w:w="1081"/>
        <w:gridCol w:w="817"/>
      </w:tblGrid>
      <w:tr>
        <w:trPr>
          <w:trHeight w:val="718" w:hRule="exact"/>
        </w:trPr>
        <w:tc>
          <w:tcPr>
            <w:tcW w:w="6781" w:type="dxa"/>
          </w:tcPr>
          <w:p>
            <w:pPr>
              <w:pStyle w:val="TableParagraph"/>
              <w:rPr>
                <w:b/>
                <w:sz w:val="16"/>
              </w:rPr>
            </w:pPr>
          </w:p>
          <w:p>
            <w:pPr>
              <w:pStyle w:val="TableParagraph"/>
              <w:spacing w:before="97"/>
              <w:ind w:left="35" w:right="2737"/>
              <w:rPr>
                <w:b/>
                <w:sz w:val="16"/>
              </w:rPr>
            </w:pPr>
            <w:r>
              <w:rPr>
                <w:b/>
                <w:sz w:val="16"/>
              </w:rPr>
              <w:t>Parent Entity (University) Only</w:t>
            </w:r>
          </w:p>
          <w:p>
            <w:pPr>
              <w:pStyle w:val="TableParagraph"/>
              <w:spacing w:before="61"/>
              <w:ind w:left="35" w:right="2737"/>
              <w:rPr>
                <w:sz w:val="16"/>
              </w:rPr>
            </w:pPr>
            <w:r>
              <w:rPr>
                <w:sz w:val="16"/>
              </w:rPr>
              <w:t>Cash Payable/(Receivable) at the beginning of the</w:t>
            </w:r>
          </w:p>
        </w:tc>
        <w:tc>
          <w:tcPr>
            <w:tcW w:w="497" w:type="dxa"/>
          </w:tcPr>
          <w:p>
            <w:pPr>
              <w:pStyle w:val="TableParagraph"/>
              <w:rPr>
                <w:b/>
                <w:sz w:val="16"/>
              </w:rPr>
            </w:pPr>
          </w:p>
          <w:p>
            <w:pPr>
              <w:pStyle w:val="TableParagraph"/>
              <w:spacing w:before="97"/>
              <w:ind w:left="40"/>
              <w:rPr>
                <w:b/>
                <w:sz w:val="16"/>
              </w:rPr>
            </w:pPr>
            <w:r>
              <w:rPr>
                <w:b/>
                <w:sz w:val="16"/>
              </w:rPr>
              <w:t>Note</w:t>
            </w:r>
          </w:p>
        </w:tc>
        <w:tc>
          <w:tcPr>
            <w:tcW w:w="865" w:type="dxa"/>
          </w:tcPr>
          <w:p>
            <w:pPr>
              <w:pStyle w:val="TableParagraph"/>
              <w:spacing w:before="30"/>
              <w:ind w:left="101"/>
              <w:rPr>
                <w:b/>
                <w:sz w:val="16"/>
              </w:rPr>
            </w:pPr>
            <w:r>
              <w:rPr>
                <w:b/>
                <w:sz w:val="16"/>
              </w:rPr>
              <w:t>2012</w:t>
            </w:r>
          </w:p>
          <w:p>
            <w:pPr>
              <w:pStyle w:val="TableParagraph"/>
              <w:spacing w:before="66"/>
              <w:ind w:left="101"/>
              <w:rPr>
                <w:b/>
                <w:sz w:val="16"/>
              </w:rPr>
            </w:pPr>
            <w:r>
              <w:rPr>
                <w:b/>
                <w:sz w:val="16"/>
              </w:rPr>
              <w:t>$'000</w:t>
            </w:r>
          </w:p>
        </w:tc>
        <w:tc>
          <w:tcPr>
            <w:tcW w:w="843" w:type="dxa"/>
          </w:tcPr>
          <w:p>
            <w:pPr>
              <w:pStyle w:val="TableParagraph"/>
              <w:spacing w:before="30"/>
              <w:ind w:left="52"/>
              <w:rPr>
                <w:b/>
                <w:sz w:val="16"/>
              </w:rPr>
            </w:pPr>
            <w:r>
              <w:rPr>
                <w:b/>
                <w:sz w:val="16"/>
              </w:rPr>
              <w:t>2011</w:t>
            </w:r>
          </w:p>
          <w:p>
            <w:pPr>
              <w:pStyle w:val="TableParagraph"/>
              <w:spacing w:before="66"/>
              <w:ind w:left="52"/>
              <w:rPr>
                <w:b/>
                <w:sz w:val="16"/>
              </w:rPr>
            </w:pPr>
            <w:r>
              <w:rPr>
                <w:b/>
                <w:sz w:val="16"/>
              </w:rPr>
              <w:t>$'000</w:t>
            </w:r>
          </w:p>
        </w:tc>
        <w:tc>
          <w:tcPr>
            <w:tcW w:w="789" w:type="dxa"/>
          </w:tcPr>
          <w:p>
            <w:pPr>
              <w:pStyle w:val="TableParagraph"/>
              <w:spacing w:before="30"/>
              <w:ind w:left="25"/>
              <w:rPr>
                <w:b/>
                <w:sz w:val="16"/>
              </w:rPr>
            </w:pPr>
            <w:r>
              <w:rPr>
                <w:b/>
                <w:sz w:val="16"/>
              </w:rPr>
              <w:t>2012</w:t>
            </w:r>
          </w:p>
          <w:p>
            <w:pPr>
              <w:pStyle w:val="TableParagraph"/>
              <w:spacing w:before="66"/>
              <w:ind w:left="25"/>
              <w:rPr>
                <w:b/>
                <w:sz w:val="16"/>
              </w:rPr>
            </w:pPr>
            <w:r>
              <w:rPr>
                <w:b/>
                <w:sz w:val="16"/>
              </w:rPr>
              <w:t>$'000</w:t>
            </w:r>
          </w:p>
        </w:tc>
        <w:tc>
          <w:tcPr>
            <w:tcW w:w="816" w:type="dxa"/>
          </w:tcPr>
          <w:p>
            <w:pPr>
              <w:pStyle w:val="TableParagraph"/>
              <w:spacing w:before="30"/>
              <w:ind w:left="52"/>
              <w:rPr>
                <w:b/>
                <w:sz w:val="16"/>
              </w:rPr>
            </w:pPr>
            <w:r>
              <w:rPr>
                <w:b/>
                <w:sz w:val="16"/>
              </w:rPr>
              <w:t>2011</w:t>
            </w:r>
          </w:p>
          <w:p>
            <w:pPr>
              <w:pStyle w:val="TableParagraph"/>
              <w:spacing w:before="66"/>
              <w:ind w:left="52"/>
              <w:rPr>
                <w:b/>
                <w:sz w:val="16"/>
              </w:rPr>
            </w:pPr>
            <w:r>
              <w:rPr>
                <w:b/>
                <w:sz w:val="16"/>
              </w:rPr>
              <w:t>$'000</w:t>
            </w:r>
          </w:p>
        </w:tc>
        <w:tc>
          <w:tcPr>
            <w:tcW w:w="843" w:type="dxa"/>
          </w:tcPr>
          <w:p>
            <w:pPr>
              <w:pStyle w:val="TableParagraph"/>
              <w:spacing w:before="30"/>
              <w:ind w:left="52"/>
              <w:rPr>
                <w:b/>
                <w:sz w:val="16"/>
              </w:rPr>
            </w:pPr>
            <w:r>
              <w:rPr>
                <w:b/>
                <w:sz w:val="16"/>
              </w:rPr>
              <w:t>2012</w:t>
            </w:r>
          </w:p>
          <w:p>
            <w:pPr>
              <w:pStyle w:val="TableParagraph"/>
              <w:spacing w:before="66"/>
              <w:ind w:left="52"/>
              <w:rPr>
                <w:b/>
                <w:sz w:val="16"/>
              </w:rPr>
            </w:pPr>
            <w:r>
              <w:rPr>
                <w:b/>
                <w:sz w:val="16"/>
              </w:rPr>
              <w:t>$'000</w:t>
            </w:r>
          </w:p>
        </w:tc>
        <w:tc>
          <w:tcPr>
            <w:tcW w:w="551" w:type="dxa"/>
          </w:tcPr>
          <w:p>
            <w:pPr>
              <w:pStyle w:val="TableParagraph"/>
              <w:spacing w:before="30"/>
              <w:ind w:left="25"/>
              <w:rPr>
                <w:b/>
                <w:sz w:val="16"/>
              </w:rPr>
            </w:pPr>
            <w:r>
              <w:rPr>
                <w:b/>
                <w:sz w:val="16"/>
              </w:rPr>
              <w:t>2011</w:t>
            </w:r>
          </w:p>
          <w:p>
            <w:pPr>
              <w:pStyle w:val="TableParagraph"/>
              <w:spacing w:before="66"/>
              <w:ind w:left="25"/>
              <w:rPr>
                <w:b/>
                <w:sz w:val="16"/>
              </w:rPr>
            </w:pPr>
            <w:r>
              <w:rPr>
                <w:b/>
                <w:sz w:val="16"/>
              </w:rPr>
              <w:t>$'000</w:t>
            </w:r>
          </w:p>
        </w:tc>
        <w:tc>
          <w:tcPr>
            <w:tcW w:w="1081" w:type="dxa"/>
          </w:tcPr>
          <w:p>
            <w:pPr>
              <w:pStyle w:val="TableParagraph"/>
              <w:spacing w:before="30"/>
              <w:ind w:left="290"/>
              <w:rPr>
                <w:b/>
                <w:sz w:val="16"/>
              </w:rPr>
            </w:pPr>
            <w:r>
              <w:rPr>
                <w:b/>
                <w:sz w:val="16"/>
              </w:rPr>
              <w:t>2012</w:t>
            </w:r>
          </w:p>
          <w:p>
            <w:pPr>
              <w:pStyle w:val="TableParagraph"/>
              <w:spacing w:before="66"/>
              <w:ind w:left="290"/>
              <w:rPr>
                <w:b/>
                <w:sz w:val="16"/>
              </w:rPr>
            </w:pPr>
            <w:r>
              <w:rPr>
                <w:b/>
                <w:sz w:val="16"/>
              </w:rPr>
              <w:t>$'000</w:t>
            </w:r>
          </w:p>
        </w:tc>
        <w:tc>
          <w:tcPr>
            <w:tcW w:w="817" w:type="dxa"/>
          </w:tcPr>
          <w:p>
            <w:pPr>
              <w:pStyle w:val="TableParagraph"/>
              <w:spacing w:before="30"/>
              <w:ind w:left="25"/>
              <w:rPr>
                <w:b/>
                <w:sz w:val="16"/>
              </w:rPr>
            </w:pPr>
            <w:r>
              <w:rPr>
                <w:b/>
                <w:sz w:val="16"/>
              </w:rPr>
              <w:t>2011</w:t>
            </w:r>
          </w:p>
          <w:p>
            <w:pPr>
              <w:pStyle w:val="TableParagraph"/>
              <w:spacing w:before="66"/>
              <w:ind w:left="25"/>
              <w:rPr>
                <w:b/>
                <w:sz w:val="16"/>
              </w:rPr>
            </w:pPr>
            <w:r>
              <w:rPr>
                <w:b/>
                <w:sz w:val="16"/>
              </w:rPr>
              <w:t>$'000</w:t>
            </w:r>
          </w:p>
        </w:tc>
      </w:tr>
      <w:tr>
        <w:trPr>
          <w:trHeight w:val="212" w:hRule="exact"/>
        </w:trPr>
        <w:tc>
          <w:tcPr>
            <w:tcW w:w="6781" w:type="dxa"/>
          </w:tcPr>
          <w:p>
            <w:pPr>
              <w:pStyle w:val="TableParagraph"/>
              <w:spacing w:line="176" w:lineRule="exact"/>
              <w:ind w:left="35" w:right="2737"/>
              <w:rPr>
                <w:sz w:val="16"/>
              </w:rPr>
            </w:pPr>
            <w:r>
              <w:rPr>
                <w:sz w:val="16"/>
              </w:rPr>
              <w:t>year</w:t>
            </w:r>
          </w:p>
        </w:tc>
        <w:tc>
          <w:tcPr>
            <w:tcW w:w="497" w:type="dxa"/>
          </w:tcPr>
          <w:p>
            <w:pPr/>
          </w:p>
        </w:tc>
        <w:tc>
          <w:tcPr>
            <w:tcW w:w="865" w:type="dxa"/>
          </w:tcPr>
          <w:p>
            <w:pPr>
              <w:pStyle w:val="TableParagraph"/>
              <w:spacing w:line="175" w:lineRule="exact"/>
              <w:ind w:right="50"/>
              <w:jc w:val="right"/>
              <w:rPr>
                <w:sz w:val="16"/>
              </w:rPr>
            </w:pPr>
            <w:r>
              <w:rPr>
                <w:w w:val="95"/>
                <w:sz w:val="16"/>
              </w:rPr>
              <w:t>358</w:t>
            </w:r>
          </w:p>
        </w:tc>
        <w:tc>
          <w:tcPr>
            <w:tcW w:w="843" w:type="dxa"/>
          </w:tcPr>
          <w:p>
            <w:pPr>
              <w:pStyle w:val="TableParagraph"/>
              <w:spacing w:line="175" w:lineRule="exact"/>
              <w:ind w:right="23"/>
              <w:jc w:val="right"/>
              <w:rPr>
                <w:sz w:val="16"/>
              </w:rPr>
            </w:pPr>
            <w:r>
              <w:rPr>
                <w:sz w:val="16"/>
              </w:rPr>
              <w:t>(3,729)</w:t>
            </w:r>
          </w:p>
        </w:tc>
        <w:tc>
          <w:tcPr>
            <w:tcW w:w="789" w:type="dxa"/>
          </w:tcPr>
          <w:p>
            <w:pPr>
              <w:pStyle w:val="TableParagraph"/>
              <w:spacing w:line="175" w:lineRule="exact"/>
              <w:ind w:right="50"/>
              <w:jc w:val="right"/>
              <w:rPr>
                <w:sz w:val="16"/>
              </w:rPr>
            </w:pPr>
            <w:r>
              <w:rPr>
                <w:w w:val="95"/>
                <w:sz w:val="16"/>
              </w:rPr>
              <w:t>1,096</w:t>
            </w:r>
          </w:p>
        </w:tc>
        <w:tc>
          <w:tcPr>
            <w:tcW w:w="816" w:type="dxa"/>
          </w:tcPr>
          <w:p>
            <w:pPr>
              <w:pStyle w:val="TableParagraph"/>
              <w:spacing w:line="175" w:lineRule="exact"/>
              <w:ind w:right="50"/>
              <w:jc w:val="right"/>
              <w:rPr>
                <w:sz w:val="16"/>
              </w:rPr>
            </w:pPr>
            <w:r>
              <w:rPr>
                <w:w w:val="95"/>
                <w:sz w:val="16"/>
              </w:rPr>
              <w:t>645</w:t>
            </w:r>
          </w:p>
        </w:tc>
        <w:tc>
          <w:tcPr>
            <w:tcW w:w="843" w:type="dxa"/>
          </w:tcPr>
          <w:p>
            <w:pPr>
              <w:pStyle w:val="TableParagraph"/>
              <w:spacing w:line="175" w:lineRule="exact"/>
              <w:ind w:right="76"/>
              <w:jc w:val="right"/>
              <w:rPr>
                <w:sz w:val="16"/>
              </w:rPr>
            </w:pPr>
            <w:r>
              <w:rPr>
                <w:w w:val="99"/>
                <w:sz w:val="16"/>
              </w:rPr>
              <w:t>-</w:t>
            </w:r>
          </w:p>
        </w:tc>
        <w:tc>
          <w:tcPr>
            <w:tcW w:w="551" w:type="dxa"/>
          </w:tcPr>
          <w:p>
            <w:pPr/>
          </w:p>
        </w:tc>
        <w:tc>
          <w:tcPr>
            <w:tcW w:w="1081" w:type="dxa"/>
          </w:tcPr>
          <w:p>
            <w:pPr>
              <w:pStyle w:val="TableParagraph"/>
              <w:tabs>
                <w:tab w:pos="522" w:val="left" w:leader="none"/>
              </w:tabs>
              <w:spacing w:line="175" w:lineRule="exact"/>
              <w:ind w:left="53"/>
              <w:jc w:val="center"/>
              <w:rPr>
                <w:sz w:val="16"/>
              </w:rPr>
            </w:pPr>
            <w:r>
              <w:rPr>
                <w:sz w:val="16"/>
              </w:rPr>
              <w:t>-</w:t>
              <w:tab/>
              <w:t>1,454</w:t>
            </w:r>
          </w:p>
        </w:tc>
        <w:tc>
          <w:tcPr>
            <w:tcW w:w="817" w:type="dxa"/>
          </w:tcPr>
          <w:p>
            <w:pPr>
              <w:pStyle w:val="TableParagraph"/>
              <w:spacing w:line="175" w:lineRule="exact"/>
              <w:ind w:right="24"/>
              <w:jc w:val="right"/>
              <w:rPr>
                <w:sz w:val="16"/>
              </w:rPr>
            </w:pPr>
            <w:r>
              <w:rPr>
                <w:sz w:val="16"/>
              </w:rPr>
              <w:t>(3,084)</w:t>
            </w:r>
          </w:p>
        </w:tc>
      </w:tr>
      <w:tr>
        <w:trPr>
          <w:trHeight w:val="423" w:hRule="exact"/>
        </w:trPr>
        <w:tc>
          <w:tcPr>
            <w:tcW w:w="6781" w:type="dxa"/>
          </w:tcPr>
          <w:p>
            <w:pPr>
              <w:pStyle w:val="TableParagraph"/>
              <w:spacing w:before="19"/>
              <w:ind w:left="35" w:right="2737"/>
              <w:rPr>
                <w:sz w:val="16"/>
              </w:rPr>
            </w:pPr>
            <w:r>
              <w:rPr>
                <w:sz w:val="16"/>
              </w:rPr>
              <w:t>Financial assistance received in cash during the reporting period</w:t>
            </w:r>
          </w:p>
        </w:tc>
        <w:tc>
          <w:tcPr>
            <w:tcW w:w="497" w:type="dxa"/>
            <w:tcBorders>
              <w:bottom w:val="single" w:sz="0" w:space="0" w:color="000000"/>
            </w:tcBorders>
          </w:tcPr>
          <w:p>
            <w:pPr/>
          </w:p>
        </w:tc>
        <w:tc>
          <w:tcPr>
            <w:tcW w:w="865" w:type="dxa"/>
            <w:tcBorders>
              <w:bottom w:val="single" w:sz="0" w:space="0" w:color="000000"/>
            </w:tcBorders>
          </w:tcPr>
          <w:p>
            <w:pPr>
              <w:pStyle w:val="TableParagraph"/>
              <w:spacing w:before="5"/>
              <w:rPr>
                <w:b/>
                <w:sz w:val="17"/>
              </w:rPr>
            </w:pPr>
          </w:p>
          <w:p>
            <w:pPr>
              <w:pStyle w:val="TableParagraph"/>
              <w:ind w:right="50"/>
              <w:jc w:val="right"/>
              <w:rPr>
                <w:sz w:val="16"/>
              </w:rPr>
            </w:pPr>
            <w:r>
              <w:rPr>
                <w:w w:val="95"/>
                <w:sz w:val="16"/>
              </w:rPr>
              <w:t>156,638</w:t>
            </w:r>
          </w:p>
        </w:tc>
        <w:tc>
          <w:tcPr>
            <w:tcW w:w="843" w:type="dxa"/>
            <w:tcBorders>
              <w:bottom w:val="single" w:sz="0" w:space="0" w:color="000000"/>
            </w:tcBorders>
          </w:tcPr>
          <w:p>
            <w:pPr>
              <w:pStyle w:val="TableParagraph"/>
              <w:spacing w:before="5"/>
              <w:rPr>
                <w:b/>
                <w:sz w:val="17"/>
              </w:rPr>
            </w:pPr>
          </w:p>
          <w:p>
            <w:pPr>
              <w:pStyle w:val="TableParagraph"/>
              <w:ind w:right="77"/>
              <w:jc w:val="right"/>
              <w:rPr>
                <w:sz w:val="16"/>
              </w:rPr>
            </w:pPr>
            <w:r>
              <w:rPr>
                <w:w w:val="95"/>
                <w:sz w:val="16"/>
              </w:rPr>
              <w:t>148,766</w:t>
            </w:r>
          </w:p>
        </w:tc>
        <w:tc>
          <w:tcPr>
            <w:tcW w:w="789" w:type="dxa"/>
            <w:tcBorders>
              <w:bottom w:val="single" w:sz="0" w:space="0" w:color="000000"/>
            </w:tcBorders>
          </w:tcPr>
          <w:p>
            <w:pPr>
              <w:pStyle w:val="TableParagraph"/>
              <w:spacing w:before="5"/>
              <w:rPr>
                <w:b/>
                <w:sz w:val="17"/>
              </w:rPr>
            </w:pPr>
          </w:p>
          <w:p>
            <w:pPr>
              <w:pStyle w:val="TableParagraph"/>
              <w:ind w:right="50"/>
              <w:jc w:val="right"/>
              <w:rPr>
                <w:sz w:val="16"/>
              </w:rPr>
            </w:pPr>
            <w:r>
              <w:rPr>
                <w:w w:val="95"/>
                <w:sz w:val="16"/>
              </w:rPr>
              <w:t>7,874</w:t>
            </w:r>
          </w:p>
        </w:tc>
        <w:tc>
          <w:tcPr>
            <w:tcW w:w="816" w:type="dxa"/>
            <w:tcBorders>
              <w:bottom w:val="single" w:sz="0" w:space="0" w:color="000000"/>
            </w:tcBorders>
          </w:tcPr>
          <w:p>
            <w:pPr>
              <w:pStyle w:val="TableParagraph"/>
              <w:spacing w:before="5"/>
              <w:rPr>
                <w:b/>
                <w:sz w:val="17"/>
              </w:rPr>
            </w:pPr>
          </w:p>
          <w:p>
            <w:pPr>
              <w:pStyle w:val="TableParagraph"/>
              <w:ind w:right="50"/>
              <w:jc w:val="right"/>
              <w:rPr>
                <w:sz w:val="16"/>
              </w:rPr>
            </w:pPr>
            <w:r>
              <w:rPr>
                <w:w w:val="95"/>
                <w:sz w:val="16"/>
              </w:rPr>
              <w:t>9,117</w:t>
            </w:r>
          </w:p>
        </w:tc>
        <w:tc>
          <w:tcPr>
            <w:tcW w:w="843" w:type="dxa"/>
            <w:tcBorders>
              <w:bottom w:val="single" w:sz="0" w:space="0" w:color="000000"/>
            </w:tcBorders>
          </w:tcPr>
          <w:p>
            <w:pPr>
              <w:pStyle w:val="TableParagraph"/>
              <w:spacing w:before="5"/>
              <w:rPr>
                <w:b/>
                <w:sz w:val="17"/>
              </w:rPr>
            </w:pPr>
          </w:p>
          <w:p>
            <w:pPr>
              <w:pStyle w:val="TableParagraph"/>
              <w:ind w:right="77"/>
              <w:jc w:val="right"/>
              <w:rPr>
                <w:sz w:val="16"/>
              </w:rPr>
            </w:pPr>
            <w:r>
              <w:rPr>
                <w:w w:val="95"/>
                <w:sz w:val="16"/>
              </w:rPr>
              <w:t>2,316</w:t>
            </w:r>
          </w:p>
        </w:tc>
        <w:tc>
          <w:tcPr>
            <w:tcW w:w="551" w:type="dxa"/>
            <w:tcBorders>
              <w:bottom w:val="single" w:sz="0" w:space="0" w:color="000000"/>
            </w:tcBorders>
          </w:tcPr>
          <w:p>
            <w:pPr/>
          </w:p>
        </w:tc>
        <w:tc>
          <w:tcPr>
            <w:tcW w:w="1081" w:type="dxa"/>
            <w:tcBorders>
              <w:bottom w:val="single" w:sz="0" w:space="0" w:color="000000"/>
            </w:tcBorders>
          </w:tcPr>
          <w:p>
            <w:pPr>
              <w:pStyle w:val="TableParagraph"/>
              <w:spacing w:before="5"/>
              <w:rPr>
                <w:b/>
                <w:sz w:val="17"/>
              </w:rPr>
            </w:pPr>
          </w:p>
          <w:p>
            <w:pPr>
              <w:pStyle w:val="TableParagraph"/>
              <w:tabs>
                <w:tab w:pos="344" w:val="left" w:leader="none"/>
              </w:tabs>
              <w:ind w:left="52"/>
              <w:jc w:val="center"/>
              <w:rPr>
                <w:sz w:val="16"/>
              </w:rPr>
            </w:pPr>
            <w:r>
              <w:rPr>
                <w:sz w:val="16"/>
              </w:rPr>
              <w:t>-</w:t>
              <w:tab/>
              <w:t>166,828</w:t>
            </w:r>
          </w:p>
        </w:tc>
        <w:tc>
          <w:tcPr>
            <w:tcW w:w="817" w:type="dxa"/>
            <w:tcBorders>
              <w:bottom w:val="single" w:sz="0" w:space="0" w:color="000000"/>
            </w:tcBorders>
          </w:tcPr>
          <w:p>
            <w:pPr>
              <w:pStyle w:val="TableParagraph"/>
              <w:spacing w:before="5"/>
              <w:rPr>
                <w:b/>
                <w:sz w:val="17"/>
              </w:rPr>
            </w:pPr>
          </w:p>
          <w:p>
            <w:pPr>
              <w:pStyle w:val="TableParagraph"/>
              <w:ind w:right="78"/>
              <w:jc w:val="right"/>
              <w:rPr>
                <w:sz w:val="16"/>
              </w:rPr>
            </w:pPr>
            <w:r>
              <w:rPr>
                <w:w w:val="95"/>
                <w:sz w:val="16"/>
              </w:rPr>
              <w:t>157,883</w:t>
            </w:r>
          </w:p>
        </w:tc>
      </w:tr>
      <w:tr>
        <w:trPr>
          <w:trHeight w:val="260" w:hRule="exact"/>
        </w:trPr>
        <w:tc>
          <w:tcPr>
            <w:tcW w:w="6781" w:type="dxa"/>
          </w:tcPr>
          <w:p>
            <w:pPr>
              <w:pStyle w:val="TableParagraph"/>
              <w:spacing w:before="40"/>
              <w:ind w:left="35" w:right="2737"/>
              <w:rPr>
                <w:sz w:val="16"/>
              </w:rPr>
            </w:pPr>
            <w:r>
              <w:rPr>
                <w:sz w:val="16"/>
              </w:rPr>
              <w:t>Cash available for the period</w:t>
            </w:r>
          </w:p>
        </w:tc>
        <w:tc>
          <w:tcPr>
            <w:tcW w:w="497" w:type="dxa"/>
            <w:tcBorders>
              <w:top w:val="single" w:sz="0" w:space="0" w:color="000000"/>
              <w:bottom w:val="single" w:sz="0" w:space="0" w:color="000000"/>
            </w:tcBorders>
          </w:tcPr>
          <w:p>
            <w:pPr/>
          </w:p>
        </w:tc>
        <w:tc>
          <w:tcPr>
            <w:tcW w:w="865" w:type="dxa"/>
            <w:tcBorders>
              <w:top w:val="single" w:sz="0" w:space="0" w:color="000000"/>
              <w:bottom w:val="single" w:sz="0" w:space="0" w:color="000000"/>
            </w:tcBorders>
          </w:tcPr>
          <w:p>
            <w:pPr>
              <w:pStyle w:val="TableParagraph"/>
              <w:spacing w:before="38"/>
              <w:ind w:right="50"/>
              <w:jc w:val="right"/>
              <w:rPr>
                <w:sz w:val="16"/>
              </w:rPr>
            </w:pPr>
            <w:r>
              <w:rPr>
                <w:w w:val="95"/>
                <w:sz w:val="16"/>
              </w:rPr>
              <w:t>156,996</w:t>
            </w:r>
          </w:p>
        </w:tc>
        <w:tc>
          <w:tcPr>
            <w:tcW w:w="843" w:type="dxa"/>
            <w:tcBorders>
              <w:top w:val="single" w:sz="0" w:space="0" w:color="000000"/>
              <w:bottom w:val="single" w:sz="0" w:space="0" w:color="000000"/>
            </w:tcBorders>
          </w:tcPr>
          <w:p>
            <w:pPr>
              <w:pStyle w:val="TableParagraph"/>
              <w:spacing w:before="38"/>
              <w:ind w:right="77"/>
              <w:jc w:val="right"/>
              <w:rPr>
                <w:sz w:val="16"/>
              </w:rPr>
            </w:pPr>
            <w:r>
              <w:rPr>
                <w:w w:val="95"/>
                <w:sz w:val="16"/>
              </w:rPr>
              <w:t>145,037</w:t>
            </w:r>
          </w:p>
        </w:tc>
        <w:tc>
          <w:tcPr>
            <w:tcW w:w="789" w:type="dxa"/>
            <w:tcBorders>
              <w:top w:val="single" w:sz="0" w:space="0" w:color="000000"/>
              <w:bottom w:val="single" w:sz="0" w:space="0" w:color="000000"/>
            </w:tcBorders>
          </w:tcPr>
          <w:p>
            <w:pPr>
              <w:pStyle w:val="TableParagraph"/>
              <w:spacing w:before="38"/>
              <w:ind w:right="50"/>
              <w:jc w:val="right"/>
              <w:rPr>
                <w:sz w:val="16"/>
              </w:rPr>
            </w:pPr>
            <w:r>
              <w:rPr>
                <w:w w:val="95"/>
                <w:sz w:val="16"/>
              </w:rPr>
              <w:t>8,970</w:t>
            </w:r>
          </w:p>
        </w:tc>
        <w:tc>
          <w:tcPr>
            <w:tcW w:w="816" w:type="dxa"/>
            <w:tcBorders>
              <w:top w:val="single" w:sz="0" w:space="0" w:color="000000"/>
              <w:bottom w:val="single" w:sz="0" w:space="0" w:color="000000"/>
            </w:tcBorders>
          </w:tcPr>
          <w:p>
            <w:pPr>
              <w:pStyle w:val="TableParagraph"/>
              <w:spacing w:before="38"/>
              <w:ind w:right="50"/>
              <w:jc w:val="right"/>
              <w:rPr>
                <w:sz w:val="16"/>
              </w:rPr>
            </w:pPr>
            <w:r>
              <w:rPr>
                <w:w w:val="95"/>
                <w:sz w:val="16"/>
              </w:rPr>
              <w:t>9,762</w:t>
            </w:r>
          </w:p>
        </w:tc>
        <w:tc>
          <w:tcPr>
            <w:tcW w:w="843" w:type="dxa"/>
            <w:tcBorders>
              <w:top w:val="single" w:sz="0" w:space="0" w:color="000000"/>
              <w:bottom w:val="single" w:sz="0" w:space="0" w:color="000000"/>
            </w:tcBorders>
          </w:tcPr>
          <w:p>
            <w:pPr>
              <w:pStyle w:val="TableParagraph"/>
              <w:spacing w:before="38"/>
              <w:ind w:right="76"/>
              <w:jc w:val="right"/>
              <w:rPr>
                <w:sz w:val="16"/>
              </w:rPr>
            </w:pPr>
            <w:r>
              <w:rPr>
                <w:w w:val="95"/>
                <w:sz w:val="16"/>
              </w:rPr>
              <w:t>2,316</w:t>
            </w:r>
          </w:p>
        </w:tc>
        <w:tc>
          <w:tcPr>
            <w:tcW w:w="551" w:type="dxa"/>
            <w:tcBorders>
              <w:top w:val="single" w:sz="0" w:space="0" w:color="000000"/>
              <w:bottom w:val="single" w:sz="0" w:space="0" w:color="000000"/>
            </w:tcBorders>
          </w:tcPr>
          <w:p>
            <w:pPr/>
          </w:p>
        </w:tc>
        <w:tc>
          <w:tcPr>
            <w:tcW w:w="1081" w:type="dxa"/>
            <w:tcBorders>
              <w:top w:val="single" w:sz="0" w:space="0" w:color="000000"/>
              <w:bottom w:val="single" w:sz="0" w:space="0" w:color="000000"/>
            </w:tcBorders>
          </w:tcPr>
          <w:p>
            <w:pPr>
              <w:pStyle w:val="TableParagraph"/>
              <w:tabs>
                <w:tab w:pos="345" w:val="left" w:leader="none"/>
              </w:tabs>
              <w:spacing w:before="38"/>
              <w:ind w:left="54"/>
              <w:jc w:val="center"/>
              <w:rPr>
                <w:sz w:val="16"/>
              </w:rPr>
            </w:pPr>
            <w:r>
              <w:rPr>
                <w:sz w:val="16"/>
              </w:rPr>
              <w:t>-</w:t>
              <w:tab/>
              <w:t>168,282</w:t>
            </w:r>
          </w:p>
        </w:tc>
        <w:tc>
          <w:tcPr>
            <w:tcW w:w="817" w:type="dxa"/>
            <w:tcBorders>
              <w:top w:val="single" w:sz="0" w:space="0" w:color="000000"/>
              <w:bottom w:val="single" w:sz="0" w:space="0" w:color="000000"/>
            </w:tcBorders>
          </w:tcPr>
          <w:p>
            <w:pPr>
              <w:pStyle w:val="TableParagraph"/>
              <w:spacing w:before="38"/>
              <w:ind w:right="77"/>
              <w:jc w:val="right"/>
              <w:rPr>
                <w:sz w:val="16"/>
              </w:rPr>
            </w:pPr>
            <w:r>
              <w:rPr>
                <w:w w:val="95"/>
                <w:sz w:val="16"/>
              </w:rPr>
              <w:t>154,799</w:t>
            </w:r>
          </w:p>
        </w:tc>
      </w:tr>
      <w:tr>
        <w:trPr>
          <w:trHeight w:val="261" w:hRule="exact"/>
        </w:trPr>
        <w:tc>
          <w:tcPr>
            <w:tcW w:w="6781" w:type="dxa"/>
          </w:tcPr>
          <w:p>
            <w:pPr>
              <w:pStyle w:val="TableParagraph"/>
              <w:spacing w:before="40"/>
              <w:ind w:left="35" w:right="2737"/>
              <w:rPr>
                <w:sz w:val="16"/>
              </w:rPr>
            </w:pPr>
            <w:r>
              <w:rPr>
                <w:sz w:val="16"/>
              </w:rPr>
              <w:t>Revenue earned</w:t>
            </w:r>
          </w:p>
        </w:tc>
        <w:tc>
          <w:tcPr>
            <w:tcW w:w="497" w:type="dxa"/>
            <w:tcBorders>
              <w:top w:val="single" w:sz="0" w:space="0" w:color="000000"/>
            </w:tcBorders>
          </w:tcPr>
          <w:p>
            <w:pPr>
              <w:pStyle w:val="TableParagraph"/>
              <w:spacing w:before="37"/>
              <w:ind w:left="40"/>
              <w:rPr>
                <w:sz w:val="16"/>
              </w:rPr>
            </w:pPr>
            <w:r>
              <w:rPr>
                <w:sz w:val="16"/>
              </w:rPr>
              <w:t>2(b)</w:t>
            </w:r>
          </w:p>
        </w:tc>
        <w:tc>
          <w:tcPr>
            <w:tcW w:w="865" w:type="dxa"/>
            <w:tcBorders>
              <w:top w:val="single" w:sz="0" w:space="0" w:color="000000"/>
            </w:tcBorders>
          </w:tcPr>
          <w:p>
            <w:pPr>
              <w:pStyle w:val="TableParagraph"/>
              <w:spacing w:before="38"/>
              <w:ind w:right="50"/>
              <w:jc w:val="right"/>
              <w:rPr>
                <w:sz w:val="16"/>
              </w:rPr>
            </w:pPr>
            <w:r>
              <w:rPr>
                <w:w w:val="95"/>
                <w:sz w:val="16"/>
              </w:rPr>
              <w:t>156,231</w:t>
            </w:r>
          </w:p>
        </w:tc>
        <w:tc>
          <w:tcPr>
            <w:tcW w:w="843" w:type="dxa"/>
            <w:tcBorders>
              <w:top w:val="single" w:sz="0" w:space="0" w:color="000000"/>
            </w:tcBorders>
          </w:tcPr>
          <w:p>
            <w:pPr>
              <w:pStyle w:val="TableParagraph"/>
              <w:spacing w:before="38"/>
              <w:ind w:right="77"/>
              <w:jc w:val="right"/>
              <w:rPr>
                <w:sz w:val="16"/>
              </w:rPr>
            </w:pPr>
            <w:r>
              <w:rPr>
                <w:w w:val="95"/>
                <w:sz w:val="16"/>
              </w:rPr>
              <w:t>144,679</w:t>
            </w:r>
          </w:p>
        </w:tc>
        <w:tc>
          <w:tcPr>
            <w:tcW w:w="789" w:type="dxa"/>
            <w:tcBorders>
              <w:top w:val="single" w:sz="0" w:space="0" w:color="000000"/>
            </w:tcBorders>
          </w:tcPr>
          <w:p>
            <w:pPr>
              <w:pStyle w:val="TableParagraph"/>
              <w:spacing w:before="38"/>
              <w:ind w:right="50"/>
              <w:jc w:val="right"/>
              <w:rPr>
                <w:sz w:val="16"/>
              </w:rPr>
            </w:pPr>
            <w:r>
              <w:rPr>
                <w:w w:val="95"/>
                <w:sz w:val="16"/>
              </w:rPr>
              <w:t>8,618</w:t>
            </w:r>
          </w:p>
        </w:tc>
        <w:tc>
          <w:tcPr>
            <w:tcW w:w="816" w:type="dxa"/>
            <w:tcBorders>
              <w:top w:val="single" w:sz="0" w:space="0" w:color="000000"/>
            </w:tcBorders>
          </w:tcPr>
          <w:p>
            <w:pPr>
              <w:pStyle w:val="TableParagraph"/>
              <w:spacing w:before="38"/>
              <w:ind w:right="50"/>
              <w:jc w:val="right"/>
              <w:rPr>
                <w:sz w:val="16"/>
              </w:rPr>
            </w:pPr>
            <w:r>
              <w:rPr>
                <w:w w:val="95"/>
                <w:sz w:val="16"/>
              </w:rPr>
              <w:t>8,666</w:t>
            </w:r>
          </w:p>
        </w:tc>
        <w:tc>
          <w:tcPr>
            <w:tcW w:w="843" w:type="dxa"/>
            <w:tcBorders>
              <w:top w:val="single" w:sz="0" w:space="0" w:color="000000"/>
            </w:tcBorders>
          </w:tcPr>
          <w:p>
            <w:pPr>
              <w:pStyle w:val="TableParagraph"/>
              <w:spacing w:before="38"/>
              <w:ind w:right="76"/>
              <w:jc w:val="right"/>
              <w:rPr>
                <w:sz w:val="16"/>
              </w:rPr>
            </w:pPr>
            <w:r>
              <w:rPr>
                <w:w w:val="95"/>
                <w:sz w:val="16"/>
              </w:rPr>
              <w:t>5,044</w:t>
            </w:r>
          </w:p>
        </w:tc>
        <w:tc>
          <w:tcPr>
            <w:tcW w:w="551" w:type="dxa"/>
            <w:tcBorders>
              <w:top w:val="single" w:sz="0" w:space="0" w:color="000000"/>
            </w:tcBorders>
          </w:tcPr>
          <w:p>
            <w:pPr/>
          </w:p>
        </w:tc>
        <w:tc>
          <w:tcPr>
            <w:tcW w:w="1081" w:type="dxa"/>
            <w:tcBorders>
              <w:top w:val="single" w:sz="0" w:space="0" w:color="000000"/>
            </w:tcBorders>
          </w:tcPr>
          <w:p>
            <w:pPr>
              <w:pStyle w:val="TableParagraph"/>
              <w:tabs>
                <w:tab w:pos="345" w:val="left" w:leader="none"/>
              </w:tabs>
              <w:spacing w:before="38"/>
              <w:ind w:left="54"/>
              <w:jc w:val="center"/>
              <w:rPr>
                <w:sz w:val="16"/>
              </w:rPr>
            </w:pPr>
            <w:r>
              <w:rPr>
                <w:sz w:val="16"/>
              </w:rPr>
              <w:t>-</w:t>
              <w:tab/>
              <w:t>169,893</w:t>
            </w:r>
          </w:p>
        </w:tc>
        <w:tc>
          <w:tcPr>
            <w:tcW w:w="817" w:type="dxa"/>
            <w:tcBorders>
              <w:top w:val="single" w:sz="0" w:space="0" w:color="000000"/>
            </w:tcBorders>
          </w:tcPr>
          <w:p>
            <w:pPr>
              <w:pStyle w:val="TableParagraph"/>
              <w:spacing w:before="38"/>
              <w:ind w:right="77"/>
              <w:jc w:val="right"/>
              <w:rPr>
                <w:sz w:val="16"/>
              </w:rPr>
            </w:pPr>
            <w:r>
              <w:rPr>
                <w:w w:val="95"/>
                <w:sz w:val="16"/>
              </w:rPr>
              <w:t>153,345</w:t>
            </w:r>
          </w:p>
        </w:tc>
      </w:tr>
      <w:tr>
        <w:trPr>
          <w:trHeight w:val="239" w:hRule="exact"/>
        </w:trPr>
        <w:tc>
          <w:tcPr>
            <w:tcW w:w="6781" w:type="dxa"/>
          </w:tcPr>
          <w:p>
            <w:pPr>
              <w:pStyle w:val="TableParagraph"/>
              <w:spacing w:before="20"/>
              <w:ind w:left="35" w:right="2737"/>
              <w:rPr>
                <w:sz w:val="16"/>
              </w:rPr>
            </w:pPr>
            <w:r>
              <w:rPr>
                <w:sz w:val="16"/>
              </w:rPr>
              <w:t>Cash Payable/(Receivable) at the end of the year</w:t>
            </w:r>
          </w:p>
        </w:tc>
        <w:tc>
          <w:tcPr>
            <w:tcW w:w="497" w:type="dxa"/>
            <w:tcBorders>
              <w:bottom w:val="single" w:sz="0" w:space="0" w:color="000000"/>
            </w:tcBorders>
          </w:tcPr>
          <w:p>
            <w:pPr/>
          </w:p>
        </w:tc>
        <w:tc>
          <w:tcPr>
            <w:tcW w:w="865" w:type="dxa"/>
            <w:tcBorders>
              <w:bottom w:val="single" w:sz="0" w:space="0" w:color="000000"/>
            </w:tcBorders>
          </w:tcPr>
          <w:p>
            <w:pPr>
              <w:pStyle w:val="TableParagraph"/>
              <w:spacing w:before="19"/>
              <w:ind w:right="50"/>
              <w:jc w:val="right"/>
              <w:rPr>
                <w:sz w:val="16"/>
              </w:rPr>
            </w:pPr>
            <w:r>
              <w:rPr>
                <w:w w:val="95"/>
                <w:sz w:val="16"/>
              </w:rPr>
              <w:t>765</w:t>
            </w:r>
          </w:p>
        </w:tc>
        <w:tc>
          <w:tcPr>
            <w:tcW w:w="843" w:type="dxa"/>
            <w:tcBorders>
              <w:bottom w:val="single" w:sz="0" w:space="0" w:color="000000"/>
            </w:tcBorders>
          </w:tcPr>
          <w:p>
            <w:pPr>
              <w:pStyle w:val="TableParagraph"/>
              <w:spacing w:before="19"/>
              <w:ind w:right="77"/>
              <w:jc w:val="right"/>
              <w:rPr>
                <w:sz w:val="16"/>
              </w:rPr>
            </w:pPr>
            <w:r>
              <w:rPr>
                <w:w w:val="95"/>
                <w:sz w:val="16"/>
              </w:rPr>
              <w:t>358</w:t>
            </w:r>
          </w:p>
        </w:tc>
        <w:tc>
          <w:tcPr>
            <w:tcW w:w="789" w:type="dxa"/>
            <w:tcBorders>
              <w:bottom w:val="single" w:sz="0" w:space="0" w:color="000000"/>
            </w:tcBorders>
          </w:tcPr>
          <w:p>
            <w:pPr>
              <w:pStyle w:val="TableParagraph"/>
              <w:spacing w:before="19"/>
              <w:ind w:right="50"/>
              <w:jc w:val="right"/>
              <w:rPr>
                <w:sz w:val="16"/>
              </w:rPr>
            </w:pPr>
            <w:r>
              <w:rPr>
                <w:w w:val="95"/>
                <w:sz w:val="16"/>
              </w:rPr>
              <w:t>352</w:t>
            </w:r>
          </w:p>
        </w:tc>
        <w:tc>
          <w:tcPr>
            <w:tcW w:w="816" w:type="dxa"/>
            <w:tcBorders>
              <w:bottom w:val="single" w:sz="0" w:space="0" w:color="000000"/>
            </w:tcBorders>
          </w:tcPr>
          <w:p>
            <w:pPr>
              <w:pStyle w:val="TableParagraph"/>
              <w:spacing w:before="19"/>
              <w:ind w:right="50"/>
              <w:jc w:val="right"/>
              <w:rPr>
                <w:sz w:val="16"/>
              </w:rPr>
            </w:pPr>
            <w:r>
              <w:rPr>
                <w:w w:val="95"/>
                <w:sz w:val="16"/>
              </w:rPr>
              <w:t>1,096</w:t>
            </w:r>
          </w:p>
        </w:tc>
        <w:tc>
          <w:tcPr>
            <w:tcW w:w="843" w:type="dxa"/>
            <w:tcBorders>
              <w:bottom w:val="single" w:sz="0" w:space="0" w:color="000000"/>
            </w:tcBorders>
          </w:tcPr>
          <w:p>
            <w:pPr>
              <w:pStyle w:val="TableParagraph"/>
              <w:spacing w:before="19"/>
              <w:ind w:right="23"/>
              <w:jc w:val="right"/>
              <w:rPr>
                <w:sz w:val="16"/>
              </w:rPr>
            </w:pPr>
            <w:r>
              <w:rPr>
                <w:sz w:val="16"/>
              </w:rPr>
              <w:t>(2,728)</w:t>
            </w:r>
          </w:p>
        </w:tc>
        <w:tc>
          <w:tcPr>
            <w:tcW w:w="551" w:type="dxa"/>
            <w:tcBorders>
              <w:bottom w:val="single" w:sz="0" w:space="0" w:color="000000"/>
            </w:tcBorders>
          </w:tcPr>
          <w:p>
            <w:pPr/>
          </w:p>
        </w:tc>
        <w:tc>
          <w:tcPr>
            <w:tcW w:w="1081" w:type="dxa"/>
            <w:tcBorders>
              <w:bottom w:val="single" w:sz="0" w:space="0" w:color="000000"/>
            </w:tcBorders>
          </w:tcPr>
          <w:p>
            <w:pPr>
              <w:pStyle w:val="TableParagraph"/>
              <w:tabs>
                <w:tab w:pos="522" w:val="left" w:leader="none"/>
              </w:tabs>
              <w:spacing w:before="19"/>
              <w:ind w:left="106"/>
              <w:jc w:val="center"/>
              <w:rPr>
                <w:sz w:val="16"/>
              </w:rPr>
            </w:pPr>
            <w:r>
              <w:rPr>
                <w:sz w:val="16"/>
              </w:rPr>
              <w:t>-</w:t>
              <w:tab/>
              <w:t>(1,611)</w:t>
            </w:r>
          </w:p>
        </w:tc>
        <w:tc>
          <w:tcPr>
            <w:tcW w:w="817" w:type="dxa"/>
            <w:tcBorders>
              <w:bottom w:val="single" w:sz="0" w:space="0" w:color="000000"/>
            </w:tcBorders>
          </w:tcPr>
          <w:p>
            <w:pPr>
              <w:pStyle w:val="TableParagraph"/>
              <w:spacing w:before="19"/>
              <w:ind w:right="78"/>
              <w:jc w:val="right"/>
              <w:rPr>
                <w:sz w:val="16"/>
              </w:rPr>
            </w:pPr>
            <w:r>
              <w:rPr>
                <w:w w:val="95"/>
                <w:sz w:val="16"/>
              </w:rPr>
              <w:t>1,454</w:t>
            </w:r>
          </w:p>
        </w:tc>
      </w:tr>
    </w:tbl>
    <w:p>
      <w:pPr>
        <w:pStyle w:val="BodyText"/>
        <w:spacing w:before="1"/>
        <w:rPr>
          <w:b/>
          <w:sz w:val="22"/>
        </w:rPr>
      </w:pPr>
    </w:p>
    <w:p>
      <w:pPr>
        <w:pStyle w:val="BodyText"/>
        <w:spacing w:before="77"/>
        <w:ind w:left="1069"/>
      </w:pPr>
      <w:r>
        <w:rPr/>
        <w:t>#4 Program is in respect of FEE-HELP for Higher Education only and excludes funds received in respect of VET FEE-HELP</w:t>
      </w:r>
    </w:p>
    <w:p>
      <w:pPr>
        <w:spacing w:after="0"/>
        <w:sectPr>
          <w:type w:val="continuous"/>
          <w:pgSz w:w="16840" w:h="11910" w:orient="landscape"/>
          <w:pgMar w:top="0" w:bottom="280" w:left="900" w:right="880"/>
        </w:sectPr>
      </w:pPr>
    </w:p>
    <w:p>
      <w:pPr>
        <w:pStyle w:val="BodyText"/>
        <w:rPr>
          <w:sz w:val="20"/>
        </w:rPr>
      </w:pPr>
    </w:p>
    <w:p>
      <w:pPr>
        <w:pStyle w:val="BodyText"/>
        <w:rPr>
          <w:sz w:val="20"/>
        </w:rPr>
      </w:pPr>
    </w:p>
    <w:p>
      <w:pPr>
        <w:pStyle w:val="BodyText"/>
        <w:spacing w:before="4"/>
      </w:pPr>
    </w:p>
    <w:p>
      <w:pPr>
        <w:pStyle w:val="Heading9"/>
        <w:ind w:left="109"/>
      </w:pPr>
      <w:r>
        <w:rPr/>
        <w:t>35    Acquittal of Australian Government Financial Assistance (continued)</w:t>
      </w:r>
    </w:p>
    <w:p>
      <w:pPr>
        <w:pStyle w:val="BodyText"/>
        <w:spacing w:before="3"/>
        <w:rPr>
          <w:b/>
        </w:rPr>
      </w:pPr>
    </w:p>
    <w:p>
      <w:pPr>
        <w:spacing w:after="0"/>
        <w:sectPr>
          <w:footerReference w:type="default" r:id="rId91"/>
          <w:pgSz w:w="16840" w:h="11910" w:orient="landscape"/>
          <w:pgMar w:footer="507" w:header="1038" w:top="2220" w:bottom="700" w:left="900" w:right="880"/>
        </w:sectPr>
      </w:pPr>
    </w:p>
    <w:p>
      <w:pPr>
        <w:pStyle w:val="ListParagraph"/>
        <w:numPr>
          <w:ilvl w:val="0"/>
          <w:numId w:val="28"/>
        </w:numPr>
        <w:tabs>
          <w:tab w:pos="1072" w:val="left" w:leader="none"/>
        </w:tabs>
        <w:spacing w:line="240" w:lineRule="auto" w:before="77" w:after="0"/>
        <w:ind w:left="1071" w:right="0" w:hanging="566"/>
        <w:jc w:val="left"/>
        <w:rPr>
          <w:sz w:val="18"/>
        </w:rPr>
      </w:pPr>
      <w:r>
        <w:rPr>
          <w:sz w:val="18"/>
        </w:rPr>
        <w:t>Scholarships</w:t>
      </w:r>
    </w:p>
    <w:p>
      <w:pPr>
        <w:pStyle w:val="BodyText"/>
        <w:rPr>
          <w:sz w:val="16"/>
        </w:rPr>
      </w:pPr>
      <w:r>
        <w:rPr/>
        <w:br w:type="column"/>
      </w:r>
      <w:r>
        <w:rPr>
          <w:sz w:val="16"/>
        </w:rPr>
      </w:r>
    </w:p>
    <w:p>
      <w:pPr>
        <w:pStyle w:val="BodyText"/>
        <w:rPr>
          <w:sz w:val="16"/>
        </w:rPr>
      </w:pPr>
    </w:p>
    <w:p>
      <w:pPr>
        <w:spacing w:before="132"/>
        <w:ind w:left="505" w:right="0" w:hanging="1"/>
        <w:jc w:val="left"/>
        <w:rPr>
          <w:b/>
          <w:sz w:val="16"/>
        </w:rPr>
      </w:pPr>
      <w:r>
        <w:rPr>
          <w:b/>
          <w:sz w:val="16"/>
        </w:rPr>
        <w:t>Australian </w:t>
      </w:r>
      <w:r>
        <w:rPr>
          <w:b/>
          <w:w w:val="95"/>
          <w:sz w:val="16"/>
        </w:rPr>
        <w:t>Postgraduate </w:t>
      </w:r>
      <w:r>
        <w:rPr>
          <w:b/>
          <w:sz w:val="16"/>
        </w:rPr>
        <w:t>Awards</w:t>
      </w:r>
    </w:p>
    <w:p>
      <w:pPr>
        <w:pStyle w:val="BodyText"/>
        <w:rPr>
          <w:b/>
          <w:sz w:val="16"/>
        </w:rPr>
      </w:pPr>
      <w:r>
        <w:rPr/>
        <w:br w:type="column"/>
      </w:r>
      <w:r>
        <w:rPr>
          <w:b/>
          <w:sz w:val="16"/>
        </w:rPr>
      </w:r>
    </w:p>
    <w:p>
      <w:pPr>
        <w:spacing w:before="133"/>
        <w:ind w:left="468" w:right="-4" w:firstLine="0"/>
        <w:jc w:val="left"/>
        <w:rPr>
          <w:b/>
          <w:sz w:val="16"/>
        </w:rPr>
      </w:pPr>
      <w:r>
        <w:rPr>
          <w:b/>
          <w:sz w:val="16"/>
        </w:rPr>
        <w:t>International </w:t>
      </w:r>
      <w:r>
        <w:rPr>
          <w:b/>
          <w:w w:val="95"/>
          <w:sz w:val="16"/>
        </w:rPr>
        <w:t>Postgraduate </w:t>
      </w:r>
      <w:r>
        <w:rPr>
          <w:b/>
          <w:sz w:val="16"/>
        </w:rPr>
        <w:t>Research Scholarships</w:t>
      </w:r>
    </w:p>
    <w:p>
      <w:pPr>
        <w:pStyle w:val="BodyText"/>
        <w:rPr>
          <w:b/>
          <w:sz w:val="16"/>
        </w:rPr>
      </w:pPr>
      <w:r>
        <w:rPr/>
        <w:br w:type="column"/>
      </w:r>
      <w:r>
        <w:rPr>
          <w:b/>
          <w:sz w:val="16"/>
        </w:rPr>
      </w:r>
    </w:p>
    <w:p>
      <w:pPr>
        <w:pStyle w:val="BodyText"/>
        <w:rPr>
          <w:b/>
          <w:sz w:val="16"/>
        </w:rPr>
      </w:pPr>
    </w:p>
    <w:p>
      <w:pPr>
        <w:spacing w:before="132"/>
        <w:ind w:left="468" w:right="0" w:firstLine="0"/>
        <w:jc w:val="both"/>
        <w:rPr>
          <w:b/>
          <w:sz w:val="16"/>
        </w:rPr>
      </w:pPr>
      <w:r>
        <w:rPr>
          <w:b/>
          <w:sz w:val="16"/>
        </w:rPr>
        <w:t>Commonwealth Education Cost Scholarships</w:t>
      </w:r>
      <w:r>
        <w:rPr>
          <w:b/>
          <w:spacing w:val="-4"/>
          <w:sz w:val="16"/>
        </w:rPr>
        <w:t> </w:t>
      </w:r>
      <w:r>
        <w:rPr>
          <w:b/>
          <w:sz w:val="16"/>
        </w:rPr>
        <w:t>#5</w:t>
      </w:r>
    </w:p>
    <w:p>
      <w:pPr>
        <w:pStyle w:val="BodyText"/>
        <w:rPr>
          <w:b/>
          <w:sz w:val="16"/>
        </w:rPr>
      </w:pPr>
      <w:r>
        <w:rPr/>
        <w:br w:type="column"/>
      </w:r>
      <w:r>
        <w:rPr>
          <w:b/>
          <w:sz w:val="16"/>
        </w:rPr>
      </w:r>
    </w:p>
    <w:p>
      <w:pPr>
        <w:pStyle w:val="BodyText"/>
        <w:rPr>
          <w:b/>
          <w:sz w:val="16"/>
        </w:rPr>
      </w:pPr>
    </w:p>
    <w:p>
      <w:pPr>
        <w:spacing w:before="132"/>
        <w:ind w:left="264" w:right="0" w:firstLine="0"/>
        <w:jc w:val="left"/>
        <w:rPr>
          <w:b/>
          <w:sz w:val="16"/>
        </w:rPr>
      </w:pPr>
      <w:r>
        <w:rPr>
          <w:b/>
          <w:sz w:val="16"/>
        </w:rPr>
        <w:t>Commonwealth </w:t>
      </w:r>
      <w:r>
        <w:rPr>
          <w:b/>
          <w:w w:val="95"/>
          <w:sz w:val="16"/>
        </w:rPr>
        <w:t>Accommodation </w:t>
      </w:r>
      <w:r>
        <w:rPr>
          <w:b/>
          <w:sz w:val="16"/>
        </w:rPr>
        <w:t>Scholarships #5</w:t>
      </w:r>
    </w:p>
    <w:p>
      <w:pPr>
        <w:pStyle w:val="BodyText"/>
        <w:rPr>
          <w:b/>
          <w:sz w:val="16"/>
        </w:rPr>
      </w:pPr>
      <w:r>
        <w:rPr/>
        <w:br w:type="column"/>
      </w:r>
      <w:r>
        <w:rPr>
          <w:b/>
          <w:sz w:val="16"/>
        </w:rPr>
      </w:r>
    </w:p>
    <w:p>
      <w:pPr>
        <w:pStyle w:val="BodyText"/>
        <w:rPr>
          <w:b/>
          <w:sz w:val="16"/>
        </w:rPr>
      </w:pPr>
    </w:p>
    <w:p>
      <w:pPr>
        <w:pStyle w:val="BodyText"/>
        <w:rPr>
          <w:b/>
          <w:sz w:val="16"/>
        </w:rPr>
      </w:pPr>
    </w:p>
    <w:p>
      <w:pPr>
        <w:tabs>
          <w:tab w:pos="1767" w:val="left" w:leader="none"/>
        </w:tabs>
        <w:spacing w:before="132"/>
        <w:ind w:left="238" w:right="1229" w:firstLine="0"/>
        <w:jc w:val="left"/>
        <w:rPr>
          <w:b/>
          <w:sz w:val="16"/>
        </w:rPr>
      </w:pPr>
      <w:r>
        <w:rPr>
          <w:b/>
          <w:sz w:val="16"/>
        </w:rPr>
        <w:t>Indigenous Access Scholarship</w:t>
        <w:tab/>
        <w:t>Total</w:t>
      </w:r>
    </w:p>
    <w:p>
      <w:pPr>
        <w:spacing w:after="0"/>
        <w:jc w:val="left"/>
        <w:rPr>
          <w:sz w:val="16"/>
        </w:rPr>
        <w:sectPr>
          <w:type w:val="continuous"/>
          <w:pgSz w:w="16840" w:h="11910" w:orient="landscape"/>
          <w:pgMar w:top="0" w:bottom="280" w:left="900" w:right="880"/>
          <w:cols w:num="6" w:equalWidth="0">
            <w:col w:w="2102" w:space="3196"/>
            <w:col w:w="1525" w:space="40"/>
            <w:col w:w="1489" w:space="40"/>
            <w:col w:w="1694" w:space="40"/>
            <w:col w:w="1515" w:space="40"/>
            <w:col w:w="3379"/>
          </w:cols>
        </w:sectPr>
      </w:pPr>
    </w:p>
    <w:p>
      <w:pPr>
        <w:pStyle w:val="BodyText"/>
        <w:spacing w:before="1"/>
        <w:rPr>
          <w:b/>
          <w:sz w:val="3"/>
        </w:rPr>
      </w:pPr>
    </w:p>
    <w:tbl>
      <w:tblPr>
        <w:tblW w:w="0" w:type="auto"/>
        <w:jc w:val="left"/>
        <w:tblInd w:w="107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28"/>
        <w:gridCol w:w="496"/>
        <w:gridCol w:w="841"/>
        <w:gridCol w:w="764"/>
        <w:gridCol w:w="764"/>
        <w:gridCol w:w="764"/>
        <w:gridCol w:w="765"/>
        <w:gridCol w:w="764"/>
        <w:gridCol w:w="481"/>
        <w:gridCol w:w="283"/>
        <w:gridCol w:w="481"/>
        <w:gridCol w:w="283"/>
        <w:gridCol w:w="463"/>
        <w:gridCol w:w="301"/>
        <w:gridCol w:w="437"/>
        <w:gridCol w:w="328"/>
        <w:gridCol w:w="765"/>
        <w:gridCol w:w="763"/>
      </w:tblGrid>
      <w:tr>
        <w:trPr>
          <w:trHeight w:val="718" w:hRule="exact"/>
        </w:trPr>
        <w:tc>
          <w:tcPr>
            <w:tcW w:w="4128" w:type="dxa"/>
          </w:tcPr>
          <w:p>
            <w:pPr>
              <w:pStyle w:val="TableParagraph"/>
              <w:rPr>
                <w:b/>
                <w:sz w:val="16"/>
              </w:rPr>
            </w:pPr>
          </w:p>
          <w:p>
            <w:pPr>
              <w:pStyle w:val="TableParagraph"/>
              <w:spacing w:before="97"/>
              <w:ind w:left="35" w:right="849"/>
              <w:rPr>
                <w:b/>
                <w:sz w:val="16"/>
              </w:rPr>
            </w:pPr>
            <w:r>
              <w:rPr>
                <w:b/>
                <w:sz w:val="16"/>
              </w:rPr>
              <w:t>Parent Entity (University) Only</w:t>
            </w:r>
          </w:p>
          <w:p>
            <w:pPr>
              <w:pStyle w:val="TableParagraph"/>
              <w:spacing w:before="61"/>
              <w:ind w:left="35" w:right="849"/>
              <w:rPr>
                <w:sz w:val="16"/>
              </w:rPr>
            </w:pPr>
            <w:r>
              <w:rPr>
                <w:sz w:val="16"/>
              </w:rPr>
              <w:t>Financial assistance received in CASH</w:t>
            </w:r>
          </w:p>
        </w:tc>
        <w:tc>
          <w:tcPr>
            <w:tcW w:w="496" w:type="dxa"/>
          </w:tcPr>
          <w:p>
            <w:pPr>
              <w:pStyle w:val="TableParagraph"/>
              <w:rPr>
                <w:b/>
                <w:sz w:val="16"/>
              </w:rPr>
            </w:pPr>
          </w:p>
          <w:p>
            <w:pPr>
              <w:pStyle w:val="TableParagraph"/>
              <w:spacing w:before="97"/>
              <w:ind w:left="40"/>
              <w:rPr>
                <w:b/>
                <w:sz w:val="16"/>
              </w:rPr>
            </w:pPr>
            <w:r>
              <w:rPr>
                <w:b/>
                <w:sz w:val="16"/>
              </w:rPr>
              <w:t>Note</w:t>
            </w:r>
          </w:p>
        </w:tc>
        <w:tc>
          <w:tcPr>
            <w:tcW w:w="841" w:type="dxa"/>
          </w:tcPr>
          <w:p>
            <w:pPr>
              <w:pStyle w:val="TableParagraph"/>
              <w:spacing w:before="30"/>
              <w:ind w:left="101"/>
              <w:rPr>
                <w:b/>
                <w:sz w:val="16"/>
              </w:rPr>
            </w:pPr>
            <w:r>
              <w:rPr>
                <w:b/>
                <w:sz w:val="16"/>
              </w:rPr>
              <w:t>2012</w:t>
            </w:r>
          </w:p>
          <w:p>
            <w:pPr>
              <w:pStyle w:val="TableParagraph"/>
              <w:spacing w:before="66"/>
              <w:ind w:left="101"/>
              <w:rPr>
                <w:b/>
                <w:sz w:val="16"/>
              </w:rPr>
            </w:pPr>
            <w:r>
              <w:rPr>
                <w:b/>
                <w:sz w:val="16"/>
              </w:rPr>
              <w:t>$'000</w:t>
            </w:r>
          </w:p>
        </w:tc>
        <w:tc>
          <w:tcPr>
            <w:tcW w:w="764" w:type="dxa"/>
          </w:tcPr>
          <w:p>
            <w:pPr>
              <w:pStyle w:val="TableParagraph"/>
              <w:spacing w:before="30"/>
              <w:ind w:left="25"/>
              <w:rPr>
                <w:b/>
                <w:sz w:val="16"/>
              </w:rPr>
            </w:pPr>
            <w:r>
              <w:rPr>
                <w:b/>
                <w:sz w:val="16"/>
              </w:rPr>
              <w:t>2011</w:t>
            </w:r>
          </w:p>
          <w:p>
            <w:pPr>
              <w:pStyle w:val="TableParagraph"/>
              <w:spacing w:before="66"/>
              <w:ind w:left="25"/>
              <w:rPr>
                <w:b/>
                <w:sz w:val="16"/>
              </w:rPr>
            </w:pPr>
            <w:r>
              <w:rPr>
                <w:b/>
                <w:sz w:val="16"/>
              </w:rPr>
              <w:t>$'000</w:t>
            </w:r>
          </w:p>
        </w:tc>
        <w:tc>
          <w:tcPr>
            <w:tcW w:w="764" w:type="dxa"/>
          </w:tcPr>
          <w:p>
            <w:pPr>
              <w:pStyle w:val="TableParagraph"/>
              <w:spacing w:before="30"/>
              <w:ind w:left="25"/>
              <w:rPr>
                <w:b/>
                <w:sz w:val="16"/>
              </w:rPr>
            </w:pPr>
            <w:r>
              <w:rPr>
                <w:b/>
                <w:sz w:val="16"/>
              </w:rPr>
              <w:t>2012</w:t>
            </w:r>
          </w:p>
          <w:p>
            <w:pPr>
              <w:pStyle w:val="TableParagraph"/>
              <w:spacing w:before="66"/>
              <w:ind w:left="25"/>
              <w:rPr>
                <w:b/>
                <w:sz w:val="16"/>
              </w:rPr>
            </w:pPr>
            <w:r>
              <w:rPr>
                <w:b/>
                <w:sz w:val="16"/>
              </w:rPr>
              <w:t>$'000</w:t>
            </w:r>
          </w:p>
        </w:tc>
        <w:tc>
          <w:tcPr>
            <w:tcW w:w="764" w:type="dxa"/>
          </w:tcPr>
          <w:p>
            <w:pPr>
              <w:pStyle w:val="TableParagraph"/>
              <w:spacing w:before="30"/>
              <w:ind w:left="25"/>
              <w:rPr>
                <w:b/>
                <w:sz w:val="16"/>
              </w:rPr>
            </w:pPr>
            <w:r>
              <w:rPr>
                <w:b/>
                <w:sz w:val="16"/>
              </w:rPr>
              <w:t>2011</w:t>
            </w:r>
          </w:p>
          <w:p>
            <w:pPr>
              <w:pStyle w:val="TableParagraph"/>
              <w:spacing w:before="66"/>
              <w:ind w:left="25"/>
              <w:rPr>
                <w:b/>
                <w:sz w:val="16"/>
              </w:rPr>
            </w:pPr>
            <w:r>
              <w:rPr>
                <w:b/>
                <w:sz w:val="16"/>
              </w:rPr>
              <w:t>$'000</w:t>
            </w:r>
          </w:p>
        </w:tc>
        <w:tc>
          <w:tcPr>
            <w:tcW w:w="765" w:type="dxa"/>
          </w:tcPr>
          <w:p>
            <w:pPr>
              <w:pStyle w:val="TableParagraph"/>
              <w:spacing w:before="30"/>
              <w:ind w:left="25"/>
              <w:rPr>
                <w:b/>
                <w:sz w:val="16"/>
              </w:rPr>
            </w:pPr>
            <w:r>
              <w:rPr>
                <w:b/>
                <w:sz w:val="16"/>
              </w:rPr>
              <w:t>2012</w:t>
            </w:r>
          </w:p>
          <w:p>
            <w:pPr>
              <w:pStyle w:val="TableParagraph"/>
              <w:spacing w:before="66"/>
              <w:ind w:left="25"/>
              <w:rPr>
                <w:b/>
                <w:sz w:val="16"/>
              </w:rPr>
            </w:pPr>
            <w:r>
              <w:rPr>
                <w:b/>
                <w:sz w:val="16"/>
              </w:rPr>
              <w:t>$'000</w:t>
            </w:r>
          </w:p>
        </w:tc>
        <w:tc>
          <w:tcPr>
            <w:tcW w:w="764" w:type="dxa"/>
          </w:tcPr>
          <w:p>
            <w:pPr>
              <w:pStyle w:val="TableParagraph"/>
              <w:spacing w:before="30"/>
              <w:ind w:left="24"/>
              <w:rPr>
                <w:b/>
                <w:sz w:val="16"/>
              </w:rPr>
            </w:pPr>
            <w:r>
              <w:rPr>
                <w:b/>
                <w:sz w:val="16"/>
              </w:rPr>
              <w:t>2011</w:t>
            </w:r>
          </w:p>
          <w:p>
            <w:pPr>
              <w:pStyle w:val="TableParagraph"/>
              <w:spacing w:before="66"/>
              <w:ind w:left="24"/>
              <w:rPr>
                <w:b/>
                <w:sz w:val="16"/>
              </w:rPr>
            </w:pPr>
            <w:r>
              <w:rPr>
                <w:b/>
                <w:sz w:val="16"/>
              </w:rPr>
              <w:t>$'000</w:t>
            </w:r>
          </w:p>
        </w:tc>
        <w:tc>
          <w:tcPr>
            <w:tcW w:w="481" w:type="dxa"/>
          </w:tcPr>
          <w:p>
            <w:pPr>
              <w:pStyle w:val="TableParagraph"/>
              <w:spacing w:before="30"/>
              <w:ind w:left="25"/>
              <w:rPr>
                <w:b/>
                <w:sz w:val="16"/>
              </w:rPr>
            </w:pPr>
            <w:r>
              <w:rPr>
                <w:b/>
                <w:sz w:val="16"/>
              </w:rPr>
              <w:t>2012</w:t>
            </w:r>
          </w:p>
          <w:p>
            <w:pPr>
              <w:pStyle w:val="TableParagraph"/>
              <w:spacing w:before="66"/>
              <w:ind w:left="25"/>
              <w:rPr>
                <w:b/>
                <w:sz w:val="16"/>
              </w:rPr>
            </w:pPr>
            <w:r>
              <w:rPr>
                <w:b/>
                <w:sz w:val="16"/>
              </w:rPr>
              <w:t>$'000</w:t>
            </w:r>
          </w:p>
        </w:tc>
        <w:tc>
          <w:tcPr>
            <w:tcW w:w="283" w:type="dxa"/>
          </w:tcPr>
          <w:p>
            <w:pPr/>
          </w:p>
        </w:tc>
        <w:tc>
          <w:tcPr>
            <w:tcW w:w="481" w:type="dxa"/>
          </w:tcPr>
          <w:p>
            <w:pPr>
              <w:pStyle w:val="TableParagraph"/>
              <w:spacing w:before="30"/>
              <w:ind w:left="25"/>
              <w:rPr>
                <w:b/>
                <w:sz w:val="16"/>
              </w:rPr>
            </w:pPr>
            <w:r>
              <w:rPr>
                <w:b/>
                <w:sz w:val="16"/>
              </w:rPr>
              <w:t>2011</w:t>
            </w:r>
          </w:p>
          <w:p>
            <w:pPr>
              <w:pStyle w:val="TableParagraph"/>
              <w:spacing w:before="66"/>
              <w:ind w:left="25"/>
              <w:rPr>
                <w:b/>
                <w:sz w:val="16"/>
              </w:rPr>
            </w:pPr>
            <w:r>
              <w:rPr>
                <w:b/>
                <w:sz w:val="16"/>
              </w:rPr>
              <w:t>$'000</w:t>
            </w:r>
          </w:p>
        </w:tc>
        <w:tc>
          <w:tcPr>
            <w:tcW w:w="283" w:type="dxa"/>
          </w:tcPr>
          <w:p>
            <w:pPr/>
          </w:p>
        </w:tc>
        <w:tc>
          <w:tcPr>
            <w:tcW w:w="463" w:type="dxa"/>
          </w:tcPr>
          <w:p>
            <w:pPr>
              <w:pStyle w:val="TableParagraph"/>
              <w:spacing w:before="30"/>
              <w:ind w:left="25"/>
              <w:rPr>
                <w:b/>
                <w:sz w:val="16"/>
              </w:rPr>
            </w:pPr>
            <w:r>
              <w:rPr>
                <w:b/>
                <w:sz w:val="16"/>
              </w:rPr>
              <w:t>2012</w:t>
            </w:r>
          </w:p>
          <w:p>
            <w:pPr>
              <w:pStyle w:val="TableParagraph"/>
              <w:spacing w:before="66"/>
              <w:ind w:left="25"/>
              <w:rPr>
                <w:b/>
                <w:sz w:val="16"/>
              </w:rPr>
            </w:pPr>
            <w:r>
              <w:rPr>
                <w:b/>
                <w:sz w:val="16"/>
              </w:rPr>
              <w:t>$'000</w:t>
            </w:r>
          </w:p>
        </w:tc>
        <w:tc>
          <w:tcPr>
            <w:tcW w:w="301" w:type="dxa"/>
          </w:tcPr>
          <w:p>
            <w:pPr/>
          </w:p>
        </w:tc>
        <w:tc>
          <w:tcPr>
            <w:tcW w:w="437" w:type="dxa"/>
          </w:tcPr>
          <w:p>
            <w:pPr>
              <w:pStyle w:val="TableParagraph"/>
              <w:spacing w:before="30"/>
              <w:ind w:left="25" w:right="-3"/>
              <w:rPr>
                <w:b/>
                <w:sz w:val="16"/>
              </w:rPr>
            </w:pPr>
            <w:r>
              <w:rPr>
                <w:b/>
                <w:sz w:val="16"/>
              </w:rPr>
              <w:t>2011</w:t>
            </w:r>
          </w:p>
          <w:p>
            <w:pPr>
              <w:pStyle w:val="TableParagraph"/>
              <w:spacing w:before="66"/>
              <w:ind w:left="25" w:right="-3"/>
              <w:rPr>
                <w:b/>
                <w:sz w:val="16"/>
              </w:rPr>
            </w:pPr>
            <w:r>
              <w:rPr>
                <w:b/>
                <w:sz w:val="16"/>
              </w:rPr>
              <w:t>$'000</w:t>
            </w:r>
          </w:p>
        </w:tc>
        <w:tc>
          <w:tcPr>
            <w:tcW w:w="328" w:type="dxa"/>
          </w:tcPr>
          <w:p>
            <w:pPr/>
          </w:p>
        </w:tc>
        <w:tc>
          <w:tcPr>
            <w:tcW w:w="765" w:type="dxa"/>
          </w:tcPr>
          <w:p>
            <w:pPr>
              <w:pStyle w:val="TableParagraph"/>
              <w:spacing w:before="30"/>
              <w:ind w:left="25"/>
              <w:rPr>
                <w:b/>
                <w:sz w:val="16"/>
              </w:rPr>
            </w:pPr>
            <w:r>
              <w:rPr>
                <w:b/>
                <w:sz w:val="16"/>
              </w:rPr>
              <w:t>2012</w:t>
            </w:r>
          </w:p>
          <w:p>
            <w:pPr>
              <w:pStyle w:val="TableParagraph"/>
              <w:spacing w:before="66"/>
              <w:ind w:left="25"/>
              <w:rPr>
                <w:b/>
                <w:sz w:val="16"/>
              </w:rPr>
            </w:pPr>
            <w:r>
              <w:rPr>
                <w:b/>
                <w:sz w:val="16"/>
              </w:rPr>
              <w:t>$'000</w:t>
            </w:r>
          </w:p>
        </w:tc>
        <w:tc>
          <w:tcPr>
            <w:tcW w:w="763" w:type="dxa"/>
          </w:tcPr>
          <w:p>
            <w:pPr>
              <w:pStyle w:val="TableParagraph"/>
              <w:spacing w:before="30"/>
              <w:ind w:left="24"/>
              <w:rPr>
                <w:b/>
                <w:sz w:val="16"/>
              </w:rPr>
            </w:pPr>
            <w:r>
              <w:rPr>
                <w:b/>
                <w:sz w:val="16"/>
              </w:rPr>
              <w:t>2011</w:t>
            </w:r>
          </w:p>
          <w:p>
            <w:pPr>
              <w:pStyle w:val="TableParagraph"/>
              <w:spacing w:before="66"/>
              <w:ind w:left="24"/>
              <w:rPr>
                <w:b/>
                <w:sz w:val="16"/>
              </w:rPr>
            </w:pPr>
            <w:r>
              <w:rPr>
                <w:b/>
                <w:sz w:val="16"/>
              </w:rPr>
              <w:t>$'000</w:t>
            </w:r>
          </w:p>
        </w:tc>
      </w:tr>
      <w:tr>
        <w:trPr>
          <w:trHeight w:val="579" w:hRule="exact"/>
        </w:trPr>
        <w:tc>
          <w:tcPr>
            <w:tcW w:w="4128" w:type="dxa"/>
          </w:tcPr>
          <w:p>
            <w:pPr>
              <w:pStyle w:val="TableParagraph"/>
              <w:ind w:left="35" w:right="849"/>
              <w:rPr>
                <w:sz w:val="16"/>
              </w:rPr>
            </w:pPr>
            <w:r>
              <w:rPr>
                <w:sz w:val="16"/>
              </w:rPr>
              <w:t>during the reporting period (total cash received from Australian Government for the program)</w:t>
            </w:r>
          </w:p>
        </w:tc>
        <w:tc>
          <w:tcPr>
            <w:tcW w:w="496" w:type="dxa"/>
          </w:tcPr>
          <w:p>
            <w:pPr/>
          </w:p>
        </w:tc>
        <w:tc>
          <w:tcPr>
            <w:tcW w:w="841" w:type="dxa"/>
          </w:tcPr>
          <w:p>
            <w:pPr>
              <w:pStyle w:val="TableParagraph"/>
              <w:rPr>
                <w:b/>
                <w:sz w:val="16"/>
              </w:rPr>
            </w:pPr>
          </w:p>
          <w:p>
            <w:pPr>
              <w:pStyle w:val="TableParagraph"/>
              <w:rPr>
                <w:b/>
                <w:sz w:val="15"/>
              </w:rPr>
            </w:pPr>
          </w:p>
          <w:p>
            <w:pPr>
              <w:pStyle w:val="TableParagraph"/>
              <w:ind w:right="75"/>
              <w:jc w:val="right"/>
              <w:rPr>
                <w:sz w:val="16"/>
              </w:rPr>
            </w:pPr>
            <w:r>
              <w:rPr>
                <w:w w:val="95"/>
                <w:sz w:val="16"/>
              </w:rPr>
              <w:t>2,988</w:t>
            </w:r>
          </w:p>
        </w:tc>
        <w:tc>
          <w:tcPr>
            <w:tcW w:w="764" w:type="dxa"/>
          </w:tcPr>
          <w:p>
            <w:pPr>
              <w:pStyle w:val="TableParagraph"/>
              <w:rPr>
                <w:b/>
                <w:sz w:val="16"/>
              </w:rPr>
            </w:pPr>
          </w:p>
          <w:p>
            <w:pPr>
              <w:pStyle w:val="TableParagraph"/>
              <w:rPr>
                <w:b/>
                <w:sz w:val="15"/>
              </w:rPr>
            </w:pPr>
          </w:p>
          <w:p>
            <w:pPr>
              <w:pStyle w:val="TableParagraph"/>
              <w:ind w:right="75"/>
              <w:jc w:val="right"/>
              <w:rPr>
                <w:sz w:val="16"/>
              </w:rPr>
            </w:pPr>
            <w:r>
              <w:rPr>
                <w:w w:val="95"/>
                <w:sz w:val="16"/>
              </w:rPr>
              <w:t>2,651</w:t>
            </w:r>
          </w:p>
        </w:tc>
        <w:tc>
          <w:tcPr>
            <w:tcW w:w="764" w:type="dxa"/>
          </w:tcPr>
          <w:p>
            <w:pPr>
              <w:pStyle w:val="TableParagraph"/>
              <w:rPr>
                <w:b/>
                <w:sz w:val="16"/>
              </w:rPr>
            </w:pPr>
          </w:p>
          <w:p>
            <w:pPr>
              <w:pStyle w:val="TableParagraph"/>
              <w:rPr>
                <w:b/>
                <w:sz w:val="15"/>
              </w:rPr>
            </w:pPr>
          </w:p>
          <w:p>
            <w:pPr>
              <w:pStyle w:val="TableParagraph"/>
              <w:ind w:right="75"/>
              <w:jc w:val="right"/>
              <w:rPr>
                <w:sz w:val="16"/>
              </w:rPr>
            </w:pPr>
            <w:r>
              <w:rPr>
                <w:w w:val="95"/>
                <w:sz w:val="16"/>
              </w:rPr>
              <w:t>256</w:t>
            </w:r>
          </w:p>
        </w:tc>
        <w:tc>
          <w:tcPr>
            <w:tcW w:w="764" w:type="dxa"/>
          </w:tcPr>
          <w:p>
            <w:pPr>
              <w:pStyle w:val="TableParagraph"/>
              <w:rPr>
                <w:b/>
                <w:sz w:val="16"/>
              </w:rPr>
            </w:pPr>
          </w:p>
          <w:p>
            <w:pPr>
              <w:pStyle w:val="TableParagraph"/>
              <w:rPr>
                <w:b/>
                <w:sz w:val="15"/>
              </w:rPr>
            </w:pPr>
          </w:p>
          <w:p>
            <w:pPr>
              <w:pStyle w:val="TableParagraph"/>
              <w:ind w:right="75"/>
              <w:jc w:val="right"/>
              <w:rPr>
                <w:sz w:val="16"/>
              </w:rPr>
            </w:pPr>
            <w:r>
              <w:rPr>
                <w:w w:val="95"/>
                <w:sz w:val="16"/>
              </w:rPr>
              <w:t>247</w:t>
            </w:r>
          </w:p>
        </w:tc>
        <w:tc>
          <w:tcPr>
            <w:tcW w:w="765" w:type="dxa"/>
          </w:tcPr>
          <w:p>
            <w:pPr>
              <w:pStyle w:val="TableParagraph"/>
              <w:rPr>
                <w:b/>
                <w:sz w:val="16"/>
              </w:rPr>
            </w:pPr>
          </w:p>
          <w:p>
            <w:pPr>
              <w:pStyle w:val="TableParagraph"/>
              <w:rPr>
                <w:b/>
                <w:sz w:val="15"/>
              </w:rPr>
            </w:pPr>
          </w:p>
          <w:p>
            <w:pPr>
              <w:pStyle w:val="TableParagraph"/>
              <w:ind w:right="76"/>
              <w:jc w:val="right"/>
              <w:rPr>
                <w:sz w:val="16"/>
              </w:rPr>
            </w:pPr>
            <w:r>
              <w:rPr>
                <w:w w:val="95"/>
                <w:sz w:val="16"/>
              </w:rPr>
              <w:t>338</w:t>
            </w:r>
          </w:p>
        </w:tc>
        <w:tc>
          <w:tcPr>
            <w:tcW w:w="764" w:type="dxa"/>
          </w:tcPr>
          <w:p>
            <w:pPr>
              <w:pStyle w:val="TableParagraph"/>
              <w:rPr>
                <w:b/>
                <w:sz w:val="16"/>
              </w:rPr>
            </w:pPr>
          </w:p>
          <w:p>
            <w:pPr>
              <w:pStyle w:val="TableParagraph"/>
              <w:rPr>
                <w:b/>
                <w:sz w:val="15"/>
              </w:rPr>
            </w:pPr>
          </w:p>
          <w:p>
            <w:pPr>
              <w:pStyle w:val="TableParagraph"/>
              <w:ind w:right="77"/>
              <w:jc w:val="right"/>
              <w:rPr>
                <w:sz w:val="16"/>
              </w:rPr>
            </w:pPr>
            <w:r>
              <w:rPr>
                <w:w w:val="95"/>
                <w:sz w:val="16"/>
              </w:rPr>
              <w:t>1,978</w:t>
            </w:r>
          </w:p>
        </w:tc>
        <w:tc>
          <w:tcPr>
            <w:tcW w:w="481" w:type="dxa"/>
          </w:tcPr>
          <w:p>
            <w:pPr/>
          </w:p>
        </w:tc>
        <w:tc>
          <w:tcPr>
            <w:tcW w:w="283" w:type="dxa"/>
          </w:tcPr>
          <w:p>
            <w:pPr>
              <w:pStyle w:val="TableParagraph"/>
              <w:rPr>
                <w:b/>
                <w:sz w:val="16"/>
              </w:rPr>
            </w:pPr>
          </w:p>
          <w:p>
            <w:pPr>
              <w:pStyle w:val="TableParagraph"/>
              <w:rPr>
                <w:b/>
                <w:sz w:val="15"/>
              </w:rPr>
            </w:pPr>
          </w:p>
          <w:p>
            <w:pPr>
              <w:pStyle w:val="TableParagraph"/>
              <w:ind w:left="116"/>
              <w:rPr>
                <w:sz w:val="16"/>
              </w:rPr>
            </w:pPr>
            <w:r>
              <w:rPr>
                <w:w w:val="99"/>
                <w:sz w:val="16"/>
              </w:rPr>
              <w:t>5</w:t>
            </w:r>
          </w:p>
        </w:tc>
        <w:tc>
          <w:tcPr>
            <w:tcW w:w="481" w:type="dxa"/>
          </w:tcPr>
          <w:p>
            <w:pPr/>
          </w:p>
        </w:tc>
        <w:tc>
          <w:tcPr>
            <w:tcW w:w="283" w:type="dxa"/>
          </w:tcPr>
          <w:p>
            <w:pPr>
              <w:pStyle w:val="TableParagraph"/>
              <w:rPr>
                <w:b/>
                <w:sz w:val="16"/>
              </w:rPr>
            </w:pPr>
          </w:p>
          <w:p>
            <w:pPr>
              <w:pStyle w:val="TableParagraph"/>
              <w:rPr>
                <w:b/>
                <w:sz w:val="15"/>
              </w:rPr>
            </w:pPr>
          </w:p>
          <w:p>
            <w:pPr>
              <w:pStyle w:val="TableParagraph"/>
              <w:ind w:left="38"/>
              <w:jc w:val="center"/>
              <w:rPr>
                <w:sz w:val="16"/>
              </w:rPr>
            </w:pPr>
            <w:r>
              <w:rPr>
                <w:w w:val="99"/>
                <w:sz w:val="16"/>
              </w:rPr>
              <w:t>9</w:t>
            </w:r>
          </w:p>
        </w:tc>
        <w:tc>
          <w:tcPr>
            <w:tcW w:w="463" w:type="dxa"/>
          </w:tcPr>
          <w:p>
            <w:pPr/>
          </w:p>
        </w:tc>
        <w:tc>
          <w:tcPr>
            <w:tcW w:w="301" w:type="dxa"/>
          </w:tcPr>
          <w:p>
            <w:pPr>
              <w:pStyle w:val="TableParagraph"/>
              <w:rPr>
                <w:b/>
                <w:sz w:val="16"/>
              </w:rPr>
            </w:pPr>
          </w:p>
          <w:p>
            <w:pPr>
              <w:pStyle w:val="TableParagraph"/>
              <w:rPr>
                <w:b/>
                <w:sz w:val="15"/>
              </w:rPr>
            </w:pPr>
          </w:p>
          <w:p>
            <w:pPr>
              <w:pStyle w:val="TableParagraph"/>
              <w:ind w:left="45"/>
              <w:rPr>
                <w:sz w:val="16"/>
              </w:rPr>
            </w:pPr>
            <w:r>
              <w:rPr>
                <w:sz w:val="16"/>
              </w:rPr>
              <w:t>36</w:t>
            </w:r>
          </w:p>
        </w:tc>
        <w:tc>
          <w:tcPr>
            <w:tcW w:w="437" w:type="dxa"/>
          </w:tcPr>
          <w:p>
            <w:pPr/>
          </w:p>
        </w:tc>
        <w:tc>
          <w:tcPr>
            <w:tcW w:w="328" w:type="dxa"/>
          </w:tcPr>
          <w:p>
            <w:pPr>
              <w:pStyle w:val="TableParagraph"/>
              <w:rPr>
                <w:b/>
                <w:sz w:val="16"/>
              </w:rPr>
            </w:pPr>
          </w:p>
          <w:p>
            <w:pPr>
              <w:pStyle w:val="TableParagraph"/>
              <w:rPr>
                <w:b/>
                <w:sz w:val="15"/>
              </w:rPr>
            </w:pPr>
          </w:p>
          <w:p>
            <w:pPr>
              <w:pStyle w:val="TableParagraph"/>
              <w:ind w:right="76"/>
              <w:jc w:val="right"/>
              <w:rPr>
                <w:sz w:val="16"/>
              </w:rPr>
            </w:pPr>
            <w:r>
              <w:rPr>
                <w:w w:val="95"/>
                <w:sz w:val="16"/>
              </w:rPr>
              <w:t>43</w:t>
            </w:r>
          </w:p>
        </w:tc>
        <w:tc>
          <w:tcPr>
            <w:tcW w:w="765" w:type="dxa"/>
          </w:tcPr>
          <w:p>
            <w:pPr>
              <w:pStyle w:val="TableParagraph"/>
              <w:rPr>
                <w:b/>
                <w:sz w:val="16"/>
              </w:rPr>
            </w:pPr>
          </w:p>
          <w:p>
            <w:pPr>
              <w:pStyle w:val="TableParagraph"/>
              <w:rPr>
                <w:b/>
                <w:sz w:val="15"/>
              </w:rPr>
            </w:pPr>
          </w:p>
          <w:p>
            <w:pPr>
              <w:pStyle w:val="TableParagraph"/>
              <w:ind w:right="77"/>
              <w:jc w:val="right"/>
              <w:rPr>
                <w:sz w:val="16"/>
              </w:rPr>
            </w:pPr>
            <w:r>
              <w:rPr>
                <w:w w:val="95"/>
                <w:sz w:val="16"/>
              </w:rPr>
              <w:t>3,623</w:t>
            </w:r>
          </w:p>
        </w:tc>
        <w:tc>
          <w:tcPr>
            <w:tcW w:w="763" w:type="dxa"/>
          </w:tcPr>
          <w:p>
            <w:pPr>
              <w:pStyle w:val="TableParagraph"/>
              <w:rPr>
                <w:b/>
                <w:sz w:val="16"/>
              </w:rPr>
            </w:pPr>
          </w:p>
          <w:p>
            <w:pPr>
              <w:pStyle w:val="TableParagraph"/>
              <w:rPr>
                <w:b/>
                <w:sz w:val="15"/>
              </w:rPr>
            </w:pPr>
          </w:p>
          <w:p>
            <w:pPr>
              <w:pStyle w:val="TableParagraph"/>
              <w:ind w:right="76"/>
              <w:jc w:val="right"/>
              <w:rPr>
                <w:sz w:val="16"/>
              </w:rPr>
            </w:pPr>
            <w:r>
              <w:rPr>
                <w:w w:val="95"/>
                <w:sz w:val="16"/>
              </w:rPr>
              <w:t>4,928</w:t>
            </w:r>
          </w:p>
        </w:tc>
      </w:tr>
      <w:tr>
        <w:trPr>
          <w:trHeight w:val="241" w:hRule="exact"/>
        </w:trPr>
        <w:tc>
          <w:tcPr>
            <w:tcW w:w="4128" w:type="dxa"/>
          </w:tcPr>
          <w:p>
            <w:pPr>
              <w:pStyle w:val="TableParagraph"/>
              <w:spacing w:before="20"/>
              <w:ind w:left="35" w:right="849"/>
              <w:rPr>
                <w:sz w:val="16"/>
              </w:rPr>
            </w:pPr>
            <w:r>
              <w:rPr>
                <w:sz w:val="16"/>
              </w:rPr>
              <w:t>Net accrual adjustments</w:t>
            </w:r>
          </w:p>
        </w:tc>
        <w:tc>
          <w:tcPr>
            <w:tcW w:w="496" w:type="dxa"/>
            <w:tcBorders>
              <w:bottom w:val="single" w:sz="0" w:space="0" w:color="000000"/>
            </w:tcBorders>
          </w:tcPr>
          <w:p>
            <w:pPr/>
          </w:p>
        </w:tc>
        <w:tc>
          <w:tcPr>
            <w:tcW w:w="841" w:type="dxa"/>
            <w:tcBorders>
              <w:bottom w:val="single" w:sz="0" w:space="0" w:color="000000"/>
            </w:tcBorders>
          </w:tcPr>
          <w:p>
            <w:pPr>
              <w:pStyle w:val="TableParagraph"/>
              <w:spacing w:before="19"/>
              <w:ind w:right="74"/>
              <w:jc w:val="right"/>
              <w:rPr>
                <w:sz w:val="16"/>
              </w:rPr>
            </w:pPr>
            <w:r>
              <w:rPr>
                <w:w w:val="99"/>
                <w:sz w:val="16"/>
              </w:rPr>
              <w:t>-</w:t>
            </w:r>
          </w:p>
        </w:tc>
        <w:tc>
          <w:tcPr>
            <w:tcW w:w="764" w:type="dxa"/>
            <w:tcBorders>
              <w:bottom w:val="single" w:sz="0" w:space="0" w:color="000000"/>
            </w:tcBorders>
          </w:tcPr>
          <w:p>
            <w:pPr>
              <w:pStyle w:val="TableParagraph"/>
              <w:spacing w:before="19"/>
              <w:ind w:right="74"/>
              <w:jc w:val="right"/>
              <w:rPr>
                <w:sz w:val="16"/>
              </w:rPr>
            </w:pPr>
            <w:r>
              <w:rPr>
                <w:w w:val="99"/>
                <w:sz w:val="16"/>
              </w:rPr>
              <w:t>-</w:t>
            </w:r>
          </w:p>
        </w:tc>
        <w:tc>
          <w:tcPr>
            <w:tcW w:w="764" w:type="dxa"/>
            <w:tcBorders>
              <w:bottom w:val="single" w:sz="0" w:space="0" w:color="000000"/>
            </w:tcBorders>
          </w:tcPr>
          <w:p>
            <w:pPr>
              <w:pStyle w:val="TableParagraph"/>
              <w:spacing w:before="19"/>
              <w:ind w:right="75"/>
              <w:jc w:val="right"/>
              <w:rPr>
                <w:sz w:val="16"/>
              </w:rPr>
            </w:pPr>
            <w:r>
              <w:rPr>
                <w:w w:val="99"/>
                <w:sz w:val="16"/>
              </w:rPr>
              <w:t>-</w:t>
            </w:r>
          </w:p>
        </w:tc>
        <w:tc>
          <w:tcPr>
            <w:tcW w:w="764" w:type="dxa"/>
            <w:tcBorders>
              <w:bottom w:val="single" w:sz="0" w:space="0" w:color="000000"/>
            </w:tcBorders>
          </w:tcPr>
          <w:p>
            <w:pPr>
              <w:pStyle w:val="TableParagraph"/>
              <w:spacing w:before="19"/>
              <w:ind w:right="75"/>
              <w:jc w:val="right"/>
              <w:rPr>
                <w:sz w:val="16"/>
              </w:rPr>
            </w:pPr>
            <w:r>
              <w:rPr>
                <w:w w:val="99"/>
                <w:sz w:val="16"/>
              </w:rPr>
              <w:t>-</w:t>
            </w:r>
          </w:p>
        </w:tc>
        <w:tc>
          <w:tcPr>
            <w:tcW w:w="765" w:type="dxa"/>
            <w:tcBorders>
              <w:bottom w:val="single" w:sz="0" w:space="0" w:color="000000"/>
            </w:tcBorders>
          </w:tcPr>
          <w:p>
            <w:pPr>
              <w:pStyle w:val="TableParagraph"/>
              <w:spacing w:before="19"/>
              <w:ind w:right="22"/>
              <w:jc w:val="right"/>
              <w:rPr>
                <w:sz w:val="16"/>
              </w:rPr>
            </w:pPr>
            <w:r>
              <w:rPr>
                <w:w w:val="95"/>
                <w:sz w:val="16"/>
              </w:rPr>
              <w:t>(252)</w:t>
            </w:r>
          </w:p>
        </w:tc>
        <w:tc>
          <w:tcPr>
            <w:tcW w:w="764" w:type="dxa"/>
            <w:tcBorders>
              <w:bottom w:val="single" w:sz="0" w:space="0" w:color="000000"/>
            </w:tcBorders>
          </w:tcPr>
          <w:p>
            <w:pPr>
              <w:pStyle w:val="TableParagraph"/>
              <w:spacing w:before="19"/>
              <w:ind w:right="74"/>
              <w:jc w:val="right"/>
              <w:rPr>
                <w:sz w:val="16"/>
              </w:rPr>
            </w:pPr>
            <w:r>
              <w:rPr>
                <w:w w:val="99"/>
                <w:sz w:val="16"/>
              </w:rPr>
              <w:t>-</w:t>
            </w:r>
          </w:p>
        </w:tc>
        <w:tc>
          <w:tcPr>
            <w:tcW w:w="481" w:type="dxa"/>
            <w:tcBorders>
              <w:bottom w:val="single" w:sz="0" w:space="0" w:color="000000"/>
            </w:tcBorders>
          </w:tcPr>
          <w:p>
            <w:pPr/>
          </w:p>
        </w:tc>
        <w:tc>
          <w:tcPr>
            <w:tcW w:w="283" w:type="dxa"/>
            <w:tcBorders>
              <w:bottom w:val="single" w:sz="0" w:space="0" w:color="000000"/>
            </w:tcBorders>
          </w:tcPr>
          <w:p>
            <w:pPr>
              <w:pStyle w:val="TableParagraph"/>
              <w:spacing w:before="19"/>
              <w:ind w:left="153"/>
              <w:rPr>
                <w:sz w:val="16"/>
              </w:rPr>
            </w:pPr>
            <w:r>
              <w:rPr>
                <w:w w:val="99"/>
                <w:sz w:val="16"/>
              </w:rPr>
              <w:t>-</w:t>
            </w:r>
          </w:p>
        </w:tc>
        <w:tc>
          <w:tcPr>
            <w:tcW w:w="481" w:type="dxa"/>
            <w:tcBorders>
              <w:bottom w:val="single" w:sz="0" w:space="0" w:color="000000"/>
            </w:tcBorders>
          </w:tcPr>
          <w:p>
            <w:pPr/>
          </w:p>
        </w:tc>
        <w:tc>
          <w:tcPr>
            <w:tcW w:w="283" w:type="dxa"/>
            <w:tcBorders>
              <w:bottom w:val="single" w:sz="0" w:space="0" w:color="000000"/>
            </w:tcBorders>
          </w:tcPr>
          <w:p>
            <w:pPr>
              <w:pStyle w:val="TableParagraph"/>
              <w:spacing w:before="19"/>
              <w:ind w:left="76"/>
              <w:jc w:val="center"/>
              <w:rPr>
                <w:sz w:val="16"/>
              </w:rPr>
            </w:pPr>
            <w:r>
              <w:rPr>
                <w:w w:val="99"/>
                <w:sz w:val="16"/>
              </w:rPr>
              <w:t>-</w:t>
            </w:r>
          </w:p>
        </w:tc>
        <w:tc>
          <w:tcPr>
            <w:tcW w:w="463" w:type="dxa"/>
            <w:tcBorders>
              <w:bottom w:val="single" w:sz="0" w:space="0" w:color="000000"/>
            </w:tcBorders>
          </w:tcPr>
          <w:p>
            <w:pPr/>
          </w:p>
        </w:tc>
        <w:tc>
          <w:tcPr>
            <w:tcW w:w="301" w:type="dxa"/>
            <w:tcBorders>
              <w:bottom w:val="single" w:sz="0" w:space="0" w:color="000000"/>
            </w:tcBorders>
          </w:tcPr>
          <w:p>
            <w:pPr>
              <w:pStyle w:val="TableParagraph"/>
              <w:spacing w:before="19"/>
              <w:ind w:left="170"/>
              <w:rPr>
                <w:sz w:val="16"/>
              </w:rPr>
            </w:pPr>
            <w:r>
              <w:rPr>
                <w:w w:val="99"/>
                <w:sz w:val="16"/>
              </w:rPr>
              <w:t>-</w:t>
            </w:r>
          </w:p>
        </w:tc>
        <w:tc>
          <w:tcPr>
            <w:tcW w:w="437" w:type="dxa"/>
            <w:tcBorders>
              <w:bottom w:val="single" w:sz="0" w:space="0" w:color="000000"/>
            </w:tcBorders>
          </w:tcPr>
          <w:p>
            <w:pPr/>
          </w:p>
        </w:tc>
        <w:tc>
          <w:tcPr>
            <w:tcW w:w="328" w:type="dxa"/>
            <w:tcBorders>
              <w:bottom w:val="single" w:sz="0" w:space="0" w:color="000000"/>
            </w:tcBorders>
          </w:tcPr>
          <w:p>
            <w:pPr>
              <w:pStyle w:val="TableParagraph"/>
              <w:spacing w:before="19"/>
              <w:ind w:right="74"/>
              <w:jc w:val="right"/>
              <w:rPr>
                <w:sz w:val="16"/>
              </w:rPr>
            </w:pPr>
            <w:r>
              <w:rPr>
                <w:w w:val="99"/>
                <w:sz w:val="16"/>
              </w:rPr>
              <w:t>-</w:t>
            </w:r>
          </w:p>
        </w:tc>
        <w:tc>
          <w:tcPr>
            <w:tcW w:w="765" w:type="dxa"/>
            <w:tcBorders>
              <w:bottom w:val="single" w:sz="0" w:space="0" w:color="000000"/>
            </w:tcBorders>
          </w:tcPr>
          <w:p>
            <w:pPr>
              <w:pStyle w:val="TableParagraph"/>
              <w:spacing w:before="19"/>
              <w:ind w:right="22"/>
              <w:jc w:val="right"/>
              <w:rPr>
                <w:sz w:val="16"/>
              </w:rPr>
            </w:pPr>
            <w:r>
              <w:rPr>
                <w:w w:val="95"/>
                <w:sz w:val="16"/>
              </w:rPr>
              <w:t>(252)</w:t>
            </w:r>
          </w:p>
        </w:tc>
        <w:tc>
          <w:tcPr>
            <w:tcW w:w="763" w:type="dxa"/>
            <w:tcBorders>
              <w:bottom w:val="single" w:sz="0" w:space="0" w:color="000000"/>
            </w:tcBorders>
          </w:tcPr>
          <w:p>
            <w:pPr>
              <w:pStyle w:val="TableParagraph"/>
              <w:spacing w:before="19"/>
              <w:ind w:right="74"/>
              <w:jc w:val="right"/>
              <w:rPr>
                <w:sz w:val="16"/>
              </w:rPr>
            </w:pPr>
            <w:r>
              <w:rPr>
                <w:w w:val="99"/>
                <w:sz w:val="16"/>
              </w:rPr>
              <w:t>-</w:t>
            </w:r>
          </w:p>
        </w:tc>
      </w:tr>
      <w:tr>
        <w:trPr>
          <w:trHeight w:val="261" w:hRule="exact"/>
        </w:trPr>
        <w:tc>
          <w:tcPr>
            <w:tcW w:w="4128" w:type="dxa"/>
          </w:tcPr>
          <w:p>
            <w:pPr>
              <w:pStyle w:val="TableParagraph"/>
              <w:spacing w:before="40"/>
              <w:ind w:left="35" w:right="849"/>
              <w:rPr>
                <w:sz w:val="16"/>
              </w:rPr>
            </w:pPr>
            <w:r>
              <w:rPr>
                <w:sz w:val="16"/>
              </w:rPr>
              <w:t>Revenue for the period</w:t>
            </w:r>
          </w:p>
        </w:tc>
        <w:tc>
          <w:tcPr>
            <w:tcW w:w="496" w:type="dxa"/>
            <w:tcBorders>
              <w:top w:val="single" w:sz="0" w:space="0" w:color="000000"/>
            </w:tcBorders>
          </w:tcPr>
          <w:p>
            <w:pPr>
              <w:pStyle w:val="TableParagraph"/>
              <w:spacing w:before="37"/>
              <w:ind w:left="40"/>
              <w:rPr>
                <w:sz w:val="16"/>
              </w:rPr>
            </w:pPr>
            <w:r>
              <w:rPr>
                <w:sz w:val="16"/>
              </w:rPr>
              <w:t>2(c)</w:t>
            </w:r>
          </w:p>
        </w:tc>
        <w:tc>
          <w:tcPr>
            <w:tcW w:w="841" w:type="dxa"/>
            <w:tcBorders>
              <w:top w:val="single" w:sz="0" w:space="0" w:color="000000"/>
            </w:tcBorders>
          </w:tcPr>
          <w:p>
            <w:pPr>
              <w:pStyle w:val="TableParagraph"/>
              <w:spacing w:before="38"/>
              <w:ind w:right="76"/>
              <w:jc w:val="right"/>
              <w:rPr>
                <w:sz w:val="16"/>
              </w:rPr>
            </w:pPr>
            <w:r>
              <w:rPr>
                <w:w w:val="95"/>
                <w:sz w:val="16"/>
              </w:rPr>
              <w:t>2,988</w:t>
            </w:r>
          </w:p>
        </w:tc>
        <w:tc>
          <w:tcPr>
            <w:tcW w:w="764" w:type="dxa"/>
            <w:tcBorders>
              <w:top w:val="single" w:sz="0" w:space="0" w:color="000000"/>
            </w:tcBorders>
          </w:tcPr>
          <w:p>
            <w:pPr>
              <w:pStyle w:val="TableParagraph"/>
              <w:spacing w:before="38"/>
              <w:ind w:right="76"/>
              <w:jc w:val="right"/>
              <w:rPr>
                <w:sz w:val="16"/>
              </w:rPr>
            </w:pPr>
            <w:r>
              <w:rPr>
                <w:w w:val="95"/>
                <w:sz w:val="16"/>
              </w:rPr>
              <w:t>2,651</w:t>
            </w:r>
          </w:p>
        </w:tc>
        <w:tc>
          <w:tcPr>
            <w:tcW w:w="764" w:type="dxa"/>
            <w:tcBorders>
              <w:top w:val="single" w:sz="0" w:space="0" w:color="000000"/>
            </w:tcBorders>
          </w:tcPr>
          <w:p>
            <w:pPr>
              <w:pStyle w:val="TableParagraph"/>
              <w:spacing w:before="38"/>
              <w:ind w:right="76"/>
              <w:jc w:val="right"/>
              <w:rPr>
                <w:sz w:val="16"/>
              </w:rPr>
            </w:pPr>
            <w:r>
              <w:rPr>
                <w:w w:val="95"/>
                <w:sz w:val="16"/>
              </w:rPr>
              <w:t>256</w:t>
            </w:r>
          </w:p>
        </w:tc>
        <w:tc>
          <w:tcPr>
            <w:tcW w:w="764" w:type="dxa"/>
            <w:tcBorders>
              <w:top w:val="single" w:sz="0" w:space="0" w:color="000000"/>
            </w:tcBorders>
          </w:tcPr>
          <w:p>
            <w:pPr>
              <w:pStyle w:val="TableParagraph"/>
              <w:spacing w:before="38"/>
              <w:ind w:right="76"/>
              <w:jc w:val="right"/>
              <w:rPr>
                <w:sz w:val="16"/>
              </w:rPr>
            </w:pPr>
            <w:r>
              <w:rPr>
                <w:w w:val="95"/>
                <w:sz w:val="16"/>
              </w:rPr>
              <w:t>247</w:t>
            </w:r>
          </w:p>
        </w:tc>
        <w:tc>
          <w:tcPr>
            <w:tcW w:w="765" w:type="dxa"/>
            <w:tcBorders>
              <w:top w:val="single" w:sz="0" w:space="0" w:color="000000"/>
            </w:tcBorders>
          </w:tcPr>
          <w:p>
            <w:pPr>
              <w:pStyle w:val="TableParagraph"/>
              <w:spacing w:before="38"/>
              <w:ind w:right="77"/>
              <w:jc w:val="right"/>
              <w:rPr>
                <w:sz w:val="16"/>
              </w:rPr>
            </w:pPr>
            <w:r>
              <w:rPr>
                <w:sz w:val="16"/>
              </w:rPr>
              <w:t>86</w:t>
            </w:r>
          </w:p>
        </w:tc>
        <w:tc>
          <w:tcPr>
            <w:tcW w:w="764" w:type="dxa"/>
            <w:tcBorders>
              <w:top w:val="single" w:sz="0" w:space="0" w:color="000000"/>
            </w:tcBorders>
          </w:tcPr>
          <w:p>
            <w:pPr>
              <w:pStyle w:val="TableParagraph"/>
              <w:spacing w:before="38"/>
              <w:ind w:right="76"/>
              <w:jc w:val="right"/>
              <w:rPr>
                <w:sz w:val="16"/>
              </w:rPr>
            </w:pPr>
            <w:r>
              <w:rPr>
                <w:w w:val="95"/>
                <w:sz w:val="16"/>
              </w:rPr>
              <w:t>1,978</w:t>
            </w:r>
          </w:p>
        </w:tc>
        <w:tc>
          <w:tcPr>
            <w:tcW w:w="481" w:type="dxa"/>
            <w:tcBorders>
              <w:top w:val="single" w:sz="0" w:space="0" w:color="000000"/>
            </w:tcBorders>
          </w:tcPr>
          <w:p>
            <w:pPr/>
          </w:p>
        </w:tc>
        <w:tc>
          <w:tcPr>
            <w:tcW w:w="283" w:type="dxa"/>
            <w:tcBorders>
              <w:top w:val="single" w:sz="0" w:space="0" w:color="000000"/>
            </w:tcBorders>
          </w:tcPr>
          <w:p>
            <w:pPr>
              <w:pStyle w:val="TableParagraph"/>
              <w:spacing w:before="38"/>
              <w:ind w:left="116"/>
              <w:rPr>
                <w:sz w:val="16"/>
              </w:rPr>
            </w:pPr>
            <w:r>
              <w:rPr>
                <w:w w:val="99"/>
                <w:sz w:val="16"/>
              </w:rPr>
              <w:t>5</w:t>
            </w:r>
          </w:p>
        </w:tc>
        <w:tc>
          <w:tcPr>
            <w:tcW w:w="481" w:type="dxa"/>
            <w:tcBorders>
              <w:top w:val="single" w:sz="0" w:space="0" w:color="000000"/>
            </w:tcBorders>
          </w:tcPr>
          <w:p>
            <w:pPr/>
          </w:p>
        </w:tc>
        <w:tc>
          <w:tcPr>
            <w:tcW w:w="283" w:type="dxa"/>
            <w:tcBorders>
              <w:top w:val="single" w:sz="0" w:space="0" w:color="000000"/>
            </w:tcBorders>
          </w:tcPr>
          <w:p>
            <w:pPr>
              <w:pStyle w:val="TableParagraph"/>
              <w:spacing w:before="38"/>
              <w:ind w:left="37"/>
              <w:jc w:val="center"/>
              <w:rPr>
                <w:sz w:val="16"/>
              </w:rPr>
            </w:pPr>
            <w:r>
              <w:rPr>
                <w:w w:val="99"/>
                <w:sz w:val="16"/>
              </w:rPr>
              <w:t>9</w:t>
            </w:r>
          </w:p>
        </w:tc>
        <w:tc>
          <w:tcPr>
            <w:tcW w:w="463" w:type="dxa"/>
            <w:tcBorders>
              <w:top w:val="single" w:sz="0" w:space="0" w:color="000000"/>
            </w:tcBorders>
          </w:tcPr>
          <w:p>
            <w:pPr/>
          </w:p>
        </w:tc>
        <w:tc>
          <w:tcPr>
            <w:tcW w:w="301" w:type="dxa"/>
            <w:tcBorders>
              <w:top w:val="single" w:sz="0" w:space="0" w:color="000000"/>
            </w:tcBorders>
          </w:tcPr>
          <w:p>
            <w:pPr>
              <w:pStyle w:val="TableParagraph"/>
              <w:spacing w:before="38"/>
              <w:ind w:left="44"/>
              <w:rPr>
                <w:sz w:val="16"/>
              </w:rPr>
            </w:pPr>
            <w:r>
              <w:rPr>
                <w:sz w:val="16"/>
              </w:rPr>
              <w:t>36</w:t>
            </w:r>
          </w:p>
        </w:tc>
        <w:tc>
          <w:tcPr>
            <w:tcW w:w="437" w:type="dxa"/>
            <w:tcBorders>
              <w:top w:val="single" w:sz="0" w:space="0" w:color="000000"/>
            </w:tcBorders>
          </w:tcPr>
          <w:p>
            <w:pPr/>
          </w:p>
        </w:tc>
        <w:tc>
          <w:tcPr>
            <w:tcW w:w="328" w:type="dxa"/>
            <w:tcBorders>
              <w:top w:val="single" w:sz="0" w:space="0" w:color="000000"/>
            </w:tcBorders>
          </w:tcPr>
          <w:p>
            <w:pPr>
              <w:pStyle w:val="TableParagraph"/>
              <w:spacing w:before="38"/>
              <w:ind w:right="76"/>
              <w:jc w:val="right"/>
              <w:rPr>
                <w:sz w:val="16"/>
              </w:rPr>
            </w:pPr>
            <w:r>
              <w:rPr>
                <w:w w:val="95"/>
                <w:sz w:val="16"/>
              </w:rPr>
              <w:t>43</w:t>
            </w:r>
          </w:p>
        </w:tc>
        <w:tc>
          <w:tcPr>
            <w:tcW w:w="765" w:type="dxa"/>
            <w:tcBorders>
              <w:top w:val="single" w:sz="0" w:space="0" w:color="000000"/>
            </w:tcBorders>
          </w:tcPr>
          <w:p>
            <w:pPr>
              <w:pStyle w:val="TableParagraph"/>
              <w:spacing w:before="38"/>
              <w:ind w:right="77"/>
              <w:jc w:val="right"/>
              <w:rPr>
                <w:sz w:val="16"/>
              </w:rPr>
            </w:pPr>
            <w:r>
              <w:rPr>
                <w:w w:val="95"/>
                <w:sz w:val="16"/>
              </w:rPr>
              <w:t>3,371</w:t>
            </w:r>
          </w:p>
        </w:tc>
        <w:tc>
          <w:tcPr>
            <w:tcW w:w="763" w:type="dxa"/>
            <w:tcBorders>
              <w:top w:val="single" w:sz="0" w:space="0" w:color="000000"/>
            </w:tcBorders>
          </w:tcPr>
          <w:p>
            <w:pPr>
              <w:pStyle w:val="TableParagraph"/>
              <w:spacing w:before="38"/>
              <w:ind w:right="76"/>
              <w:jc w:val="right"/>
              <w:rPr>
                <w:sz w:val="16"/>
              </w:rPr>
            </w:pPr>
            <w:r>
              <w:rPr>
                <w:w w:val="95"/>
                <w:sz w:val="16"/>
              </w:rPr>
              <w:t>4,928</w:t>
            </w:r>
          </w:p>
        </w:tc>
      </w:tr>
      <w:tr>
        <w:trPr>
          <w:trHeight w:val="241" w:hRule="exact"/>
        </w:trPr>
        <w:tc>
          <w:tcPr>
            <w:tcW w:w="4128" w:type="dxa"/>
          </w:tcPr>
          <w:p>
            <w:pPr>
              <w:pStyle w:val="TableParagraph"/>
              <w:spacing w:before="20"/>
              <w:ind w:left="35" w:right="849"/>
              <w:rPr>
                <w:sz w:val="16"/>
              </w:rPr>
            </w:pPr>
            <w:r>
              <w:rPr>
                <w:sz w:val="16"/>
              </w:rPr>
              <w:t>Surplus/(deficit) from the previous year</w:t>
            </w:r>
          </w:p>
        </w:tc>
        <w:tc>
          <w:tcPr>
            <w:tcW w:w="496" w:type="dxa"/>
            <w:tcBorders>
              <w:bottom w:val="single" w:sz="0" w:space="0" w:color="000000"/>
            </w:tcBorders>
          </w:tcPr>
          <w:p>
            <w:pPr/>
          </w:p>
        </w:tc>
        <w:tc>
          <w:tcPr>
            <w:tcW w:w="841" w:type="dxa"/>
            <w:tcBorders>
              <w:bottom w:val="single" w:sz="0" w:space="0" w:color="000000"/>
            </w:tcBorders>
          </w:tcPr>
          <w:p>
            <w:pPr>
              <w:pStyle w:val="TableParagraph"/>
              <w:spacing w:before="19"/>
              <w:ind w:right="76"/>
              <w:jc w:val="right"/>
              <w:rPr>
                <w:sz w:val="16"/>
              </w:rPr>
            </w:pPr>
            <w:r>
              <w:rPr>
                <w:w w:val="95"/>
                <w:sz w:val="16"/>
              </w:rPr>
              <w:t>1,110</w:t>
            </w:r>
          </w:p>
        </w:tc>
        <w:tc>
          <w:tcPr>
            <w:tcW w:w="764" w:type="dxa"/>
            <w:tcBorders>
              <w:bottom w:val="single" w:sz="0" w:space="0" w:color="000000"/>
            </w:tcBorders>
          </w:tcPr>
          <w:p>
            <w:pPr>
              <w:pStyle w:val="TableParagraph"/>
              <w:spacing w:before="19"/>
              <w:ind w:right="76"/>
              <w:jc w:val="right"/>
              <w:rPr>
                <w:sz w:val="16"/>
              </w:rPr>
            </w:pPr>
            <w:r>
              <w:rPr>
                <w:sz w:val="16"/>
              </w:rPr>
              <w:t>959</w:t>
            </w:r>
          </w:p>
        </w:tc>
        <w:tc>
          <w:tcPr>
            <w:tcW w:w="764" w:type="dxa"/>
            <w:tcBorders>
              <w:bottom w:val="single" w:sz="0" w:space="0" w:color="000000"/>
            </w:tcBorders>
          </w:tcPr>
          <w:p>
            <w:pPr>
              <w:pStyle w:val="TableParagraph"/>
              <w:spacing w:before="19"/>
              <w:ind w:right="76"/>
              <w:jc w:val="right"/>
              <w:rPr>
                <w:sz w:val="16"/>
              </w:rPr>
            </w:pPr>
            <w:r>
              <w:rPr>
                <w:w w:val="99"/>
                <w:sz w:val="16"/>
              </w:rPr>
              <w:t>-</w:t>
            </w:r>
          </w:p>
        </w:tc>
        <w:tc>
          <w:tcPr>
            <w:tcW w:w="764" w:type="dxa"/>
            <w:tcBorders>
              <w:bottom w:val="single" w:sz="0" w:space="0" w:color="000000"/>
            </w:tcBorders>
          </w:tcPr>
          <w:p>
            <w:pPr>
              <w:pStyle w:val="TableParagraph"/>
              <w:spacing w:before="19"/>
              <w:ind w:right="76"/>
              <w:jc w:val="right"/>
              <w:rPr>
                <w:sz w:val="16"/>
              </w:rPr>
            </w:pPr>
            <w:r>
              <w:rPr>
                <w:w w:val="99"/>
                <w:sz w:val="16"/>
              </w:rPr>
              <w:t>-</w:t>
            </w:r>
          </w:p>
        </w:tc>
        <w:tc>
          <w:tcPr>
            <w:tcW w:w="765" w:type="dxa"/>
            <w:tcBorders>
              <w:bottom w:val="single" w:sz="0" w:space="0" w:color="000000"/>
            </w:tcBorders>
          </w:tcPr>
          <w:p>
            <w:pPr>
              <w:pStyle w:val="TableParagraph"/>
              <w:spacing w:before="19"/>
              <w:ind w:right="77"/>
              <w:jc w:val="right"/>
              <w:rPr>
                <w:sz w:val="16"/>
              </w:rPr>
            </w:pPr>
            <w:r>
              <w:rPr>
                <w:sz w:val="16"/>
              </w:rPr>
              <w:t>911</w:t>
            </w:r>
          </w:p>
        </w:tc>
        <w:tc>
          <w:tcPr>
            <w:tcW w:w="764" w:type="dxa"/>
            <w:tcBorders>
              <w:bottom w:val="single" w:sz="0" w:space="0" w:color="000000"/>
            </w:tcBorders>
          </w:tcPr>
          <w:p>
            <w:pPr>
              <w:pStyle w:val="TableParagraph"/>
              <w:spacing w:before="19"/>
              <w:ind w:right="76"/>
              <w:jc w:val="right"/>
              <w:rPr>
                <w:sz w:val="16"/>
              </w:rPr>
            </w:pPr>
            <w:r>
              <w:rPr>
                <w:w w:val="95"/>
                <w:sz w:val="16"/>
              </w:rPr>
              <w:t>13</w:t>
            </w:r>
          </w:p>
        </w:tc>
        <w:tc>
          <w:tcPr>
            <w:tcW w:w="481" w:type="dxa"/>
            <w:tcBorders>
              <w:bottom w:val="single" w:sz="0" w:space="0" w:color="000000"/>
            </w:tcBorders>
          </w:tcPr>
          <w:p>
            <w:pPr/>
          </w:p>
        </w:tc>
        <w:tc>
          <w:tcPr>
            <w:tcW w:w="283" w:type="dxa"/>
            <w:tcBorders>
              <w:bottom w:val="single" w:sz="0" w:space="0" w:color="000000"/>
            </w:tcBorders>
          </w:tcPr>
          <w:p>
            <w:pPr>
              <w:pStyle w:val="TableParagraph"/>
              <w:spacing w:before="19"/>
              <w:ind w:left="151"/>
              <w:rPr>
                <w:sz w:val="16"/>
              </w:rPr>
            </w:pPr>
            <w:r>
              <w:rPr>
                <w:w w:val="99"/>
                <w:sz w:val="16"/>
              </w:rPr>
              <w:t>-</w:t>
            </w:r>
          </w:p>
        </w:tc>
        <w:tc>
          <w:tcPr>
            <w:tcW w:w="481" w:type="dxa"/>
            <w:tcBorders>
              <w:bottom w:val="single" w:sz="0" w:space="0" w:color="000000"/>
            </w:tcBorders>
          </w:tcPr>
          <w:p>
            <w:pPr/>
          </w:p>
        </w:tc>
        <w:tc>
          <w:tcPr>
            <w:tcW w:w="283" w:type="dxa"/>
            <w:tcBorders>
              <w:bottom w:val="single" w:sz="0" w:space="0" w:color="000000"/>
            </w:tcBorders>
          </w:tcPr>
          <w:p>
            <w:pPr>
              <w:pStyle w:val="TableParagraph"/>
              <w:spacing w:before="19"/>
              <w:ind w:left="73"/>
              <w:jc w:val="center"/>
              <w:rPr>
                <w:sz w:val="16"/>
              </w:rPr>
            </w:pPr>
            <w:r>
              <w:rPr>
                <w:w w:val="99"/>
                <w:sz w:val="16"/>
              </w:rPr>
              <w:t>-</w:t>
            </w:r>
          </w:p>
        </w:tc>
        <w:tc>
          <w:tcPr>
            <w:tcW w:w="463" w:type="dxa"/>
            <w:tcBorders>
              <w:bottom w:val="single" w:sz="0" w:space="0" w:color="000000"/>
            </w:tcBorders>
          </w:tcPr>
          <w:p>
            <w:pPr/>
          </w:p>
        </w:tc>
        <w:tc>
          <w:tcPr>
            <w:tcW w:w="301" w:type="dxa"/>
            <w:tcBorders>
              <w:bottom w:val="single" w:sz="0" w:space="0" w:color="000000"/>
            </w:tcBorders>
          </w:tcPr>
          <w:p>
            <w:pPr>
              <w:pStyle w:val="TableParagraph"/>
              <w:spacing w:before="19"/>
              <w:ind w:left="133"/>
              <w:rPr>
                <w:sz w:val="16"/>
              </w:rPr>
            </w:pPr>
            <w:r>
              <w:rPr>
                <w:w w:val="99"/>
                <w:sz w:val="16"/>
              </w:rPr>
              <w:t>5</w:t>
            </w:r>
          </w:p>
        </w:tc>
        <w:tc>
          <w:tcPr>
            <w:tcW w:w="437" w:type="dxa"/>
            <w:tcBorders>
              <w:bottom w:val="single" w:sz="0" w:space="0" w:color="000000"/>
            </w:tcBorders>
          </w:tcPr>
          <w:p>
            <w:pPr/>
          </w:p>
        </w:tc>
        <w:tc>
          <w:tcPr>
            <w:tcW w:w="328" w:type="dxa"/>
            <w:tcBorders>
              <w:bottom w:val="single" w:sz="0" w:space="0" w:color="000000"/>
            </w:tcBorders>
          </w:tcPr>
          <w:p>
            <w:pPr>
              <w:pStyle w:val="TableParagraph"/>
              <w:spacing w:before="19"/>
              <w:ind w:right="76"/>
              <w:jc w:val="right"/>
              <w:rPr>
                <w:sz w:val="16"/>
              </w:rPr>
            </w:pPr>
            <w:r>
              <w:rPr>
                <w:w w:val="99"/>
                <w:sz w:val="16"/>
              </w:rPr>
              <w:t>5</w:t>
            </w:r>
          </w:p>
        </w:tc>
        <w:tc>
          <w:tcPr>
            <w:tcW w:w="765" w:type="dxa"/>
            <w:tcBorders>
              <w:bottom w:val="single" w:sz="0" w:space="0" w:color="000000"/>
            </w:tcBorders>
          </w:tcPr>
          <w:p>
            <w:pPr>
              <w:pStyle w:val="TableParagraph"/>
              <w:spacing w:before="19"/>
              <w:ind w:right="78"/>
              <w:jc w:val="right"/>
              <w:rPr>
                <w:sz w:val="16"/>
              </w:rPr>
            </w:pPr>
            <w:r>
              <w:rPr>
                <w:w w:val="95"/>
                <w:sz w:val="16"/>
              </w:rPr>
              <w:t>2,026</w:t>
            </w:r>
          </w:p>
        </w:tc>
        <w:tc>
          <w:tcPr>
            <w:tcW w:w="763" w:type="dxa"/>
            <w:tcBorders>
              <w:bottom w:val="single" w:sz="0" w:space="0" w:color="000000"/>
            </w:tcBorders>
          </w:tcPr>
          <w:p>
            <w:pPr>
              <w:pStyle w:val="TableParagraph"/>
              <w:spacing w:before="19"/>
              <w:ind w:right="76"/>
              <w:jc w:val="right"/>
              <w:rPr>
                <w:sz w:val="16"/>
              </w:rPr>
            </w:pPr>
            <w:r>
              <w:rPr>
                <w:sz w:val="16"/>
              </w:rPr>
              <w:t>977</w:t>
            </w:r>
          </w:p>
        </w:tc>
      </w:tr>
      <w:tr>
        <w:trPr>
          <w:trHeight w:val="261" w:hRule="exact"/>
        </w:trPr>
        <w:tc>
          <w:tcPr>
            <w:tcW w:w="4128" w:type="dxa"/>
          </w:tcPr>
          <w:p>
            <w:pPr>
              <w:pStyle w:val="TableParagraph"/>
              <w:spacing w:before="40"/>
              <w:ind w:left="35" w:right="849"/>
              <w:rPr>
                <w:sz w:val="16"/>
              </w:rPr>
            </w:pPr>
            <w:r>
              <w:rPr>
                <w:sz w:val="16"/>
              </w:rPr>
              <w:t>Total revenue including accrued revenue</w:t>
            </w:r>
          </w:p>
        </w:tc>
        <w:tc>
          <w:tcPr>
            <w:tcW w:w="496" w:type="dxa"/>
            <w:tcBorders>
              <w:top w:val="single" w:sz="0" w:space="0" w:color="000000"/>
            </w:tcBorders>
          </w:tcPr>
          <w:p>
            <w:pPr/>
          </w:p>
        </w:tc>
        <w:tc>
          <w:tcPr>
            <w:tcW w:w="841" w:type="dxa"/>
            <w:tcBorders>
              <w:top w:val="single" w:sz="0" w:space="0" w:color="000000"/>
            </w:tcBorders>
          </w:tcPr>
          <w:p>
            <w:pPr>
              <w:pStyle w:val="TableParagraph"/>
              <w:spacing w:before="38"/>
              <w:ind w:right="76"/>
              <w:jc w:val="right"/>
              <w:rPr>
                <w:sz w:val="16"/>
              </w:rPr>
            </w:pPr>
            <w:r>
              <w:rPr>
                <w:w w:val="95"/>
                <w:sz w:val="16"/>
              </w:rPr>
              <w:t>4,098</w:t>
            </w:r>
          </w:p>
        </w:tc>
        <w:tc>
          <w:tcPr>
            <w:tcW w:w="764" w:type="dxa"/>
            <w:tcBorders>
              <w:top w:val="single" w:sz="0" w:space="0" w:color="000000"/>
            </w:tcBorders>
          </w:tcPr>
          <w:p>
            <w:pPr>
              <w:pStyle w:val="TableParagraph"/>
              <w:spacing w:before="38"/>
              <w:ind w:right="76"/>
              <w:jc w:val="right"/>
              <w:rPr>
                <w:sz w:val="16"/>
              </w:rPr>
            </w:pPr>
            <w:r>
              <w:rPr>
                <w:w w:val="95"/>
                <w:sz w:val="16"/>
              </w:rPr>
              <w:t>3,610</w:t>
            </w:r>
          </w:p>
        </w:tc>
        <w:tc>
          <w:tcPr>
            <w:tcW w:w="764" w:type="dxa"/>
            <w:tcBorders>
              <w:top w:val="single" w:sz="0" w:space="0" w:color="000000"/>
            </w:tcBorders>
          </w:tcPr>
          <w:p>
            <w:pPr>
              <w:pStyle w:val="TableParagraph"/>
              <w:spacing w:before="38"/>
              <w:ind w:right="76"/>
              <w:jc w:val="right"/>
              <w:rPr>
                <w:sz w:val="16"/>
              </w:rPr>
            </w:pPr>
            <w:r>
              <w:rPr>
                <w:sz w:val="16"/>
              </w:rPr>
              <w:t>256</w:t>
            </w:r>
          </w:p>
        </w:tc>
        <w:tc>
          <w:tcPr>
            <w:tcW w:w="764" w:type="dxa"/>
            <w:tcBorders>
              <w:top w:val="single" w:sz="0" w:space="0" w:color="000000"/>
            </w:tcBorders>
          </w:tcPr>
          <w:p>
            <w:pPr>
              <w:pStyle w:val="TableParagraph"/>
              <w:spacing w:before="38"/>
              <w:ind w:right="76"/>
              <w:jc w:val="right"/>
              <w:rPr>
                <w:sz w:val="16"/>
              </w:rPr>
            </w:pPr>
            <w:r>
              <w:rPr>
                <w:sz w:val="16"/>
              </w:rPr>
              <w:t>247</w:t>
            </w:r>
          </w:p>
        </w:tc>
        <w:tc>
          <w:tcPr>
            <w:tcW w:w="765" w:type="dxa"/>
            <w:tcBorders>
              <w:top w:val="single" w:sz="0" w:space="0" w:color="000000"/>
            </w:tcBorders>
          </w:tcPr>
          <w:p>
            <w:pPr>
              <w:pStyle w:val="TableParagraph"/>
              <w:spacing w:before="38"/>
              <w:ind w:right="77"/>
              <w:jc w:val="right"/>
              <w:rPr>
                <w:sz w:val="16"/>
              </w:rPr>
            </w:pPr>
            <w:r>
              <w:rPr>
                <w:sz w:val="16"/>
              </w:rPr>
              <w:t>997</w:t>
            </w:r>
          </w:p>
        </w:tc>
        <w:tc>
          <w:tcPr>
            <w:tcW w:w="764" w:type="dxa"/>
            <w:tcBorders>
              <w:top w:val="single" w:sz="0" w:space="0" w:color="000000"/>
            </w:tcBorders>
          </w:tcPr>
          <w:p>
            <w:pPr>
              <w:pStyle w:val="TableParagraph"/>
              <w:spacing w:before="38"/>
              <w:ind w:right="76"/>
              <w:jc w:val="right"/>
              <w:rPr>
                <w:sz w:val="16"/>
              </w:rPr>
            </w:pPr>
            <w:r>
              <w:rPr>
                <w:w w:val="95"/>
                <w:sz w:val="16"/>
              </w:rPr>
              <w:t>1,991</w:t>
            </w:r>
          </w:p>
        </w:tc>
        <w:tc>
          <w:tcPr>
            <w:tcW w:w="481" w:type="dxa"/>
            <w:tcBorders>
              <w:top w:val="single" w:sz="0" w:space="0" w:color="000000"/>
            </w:tcBorders>
          </w:tcPr>
          <w:p>
            <w:pPr/>
          </w:p>
        </w:tc>
        <w:tc>
          <w:tcPr>
            <w:tcW w:w="283" w:type="dxa"/>
            <w:tcBorders>
              <w:top w:val="single" w:sz="0" w:space="0" w:color="000000"/>
            </w:tcBorders>
          </w:tcPr>
          <w:p>
            <w:pPr>
              <w:pStyle w:val="TableParagraph"/>
              <w:spacing w:before="38"/>
              <w:ind w:left="116"/>
              <w:rPr>
                <w:sz w:val="16"/>
              </w:rPr>
            </w:pPr>
            <w:r>
              <w:rPr>
                <w:w w:val="99"/>
                <w:sz w:val="16"/>
              </w:rPr>
              <w:t>5</w:t>
            </w:r>
          </w:p>
        </w:tc>
        <w:tc>
          <w:tcPr>
            <w:tcW w:w="481" w:type="dxa"/>
            <w:tcBorders>
              <w:top w:val="single" w:sz="0" w:space="0" w:color="000000"/>
            </w:tcBorders>
          </w:tcPr>
          <w:p>
            <w:pPr/>
          </w:p>
        </w:tc>
        <w:tc>
          <w:tcPr>
            <w:tcW w:w="283" w:type="dxa"/>
            <w:tcBorders>
              <w:top w:val="single" w:sz="0" w:space="0" w:color="000000"/>
            </w:tcBorders>
          </w:tcPr>
          <w:p>
            <w:pPr>
              <w:pStyle w:val="TableParagraph"/>
              <w:spacing w:before="38"/>
              <w:ind w:left="37"/>
              <w:jc w:val="center"/>
              <w:rPr>
                <w:sz w:val="16"/>
              </w:rPr>
            </w:pPr>
            <w:r>
              <w:rPr>
                <w:w w:val="99"/>
                <w:sz w:val="16"/>
              </w:rPr>
              <w:t>9</w:t>
            </w:r>
          </w:p>
        </w:tc>
        <w:tc>
          <w:tcPr>
            <w:tcW w:w="463" w:type="dxa"/>
            <w:tcBorders>
              <w:top w:val="single" w:sz="0" w:space="0" w:color="000000"/>
            </w:tcBorders>
          </w:tcPr>
          <w:p>
            <w:pPr/>
          </w:p>
        </w:tc>
        <w:tc>
          <w:tcPr>
            <w:tcW w:w="301" w:type="dxa"/>
            <w:tcBorders>
              <w:top w:val="single" w:sz="0" w:space="0" w:color="000000"/>
            </w:tcBorders>
          </w:tcPr>
          <w:p>
            <w:pPr>
              <w:pStyle w:val="TableParagraph"/>
              <w:spacing w:before="38"/>
              <w:ind w:left="44"/>
              <w:rPr>
                <w:sz w:val="16"/>
              </w:rPr>
            </w:pPr>
            <w:r>
              <w:rPr>
                <w:sz w:val="16"/>
              </w:rPr>
              <w:t>41</w:t>
            </w:r>
          </w:p>
        </w:tc>
        <w:tc>
          <w:tcPr>
            <w:tcW w:w="437" w:type="dxa"/>
            <w:tcBorders>
              <w:top w:val="single" w:sz="0" w:space="0" w:color="000000"/>
            </w:tcBorders>
          </w:tcPr>
          <w:p>
            <w:pPr/>
          </w:p>
        </w:tc>
        <w:tc>
          <w:tcPr>
            <w:tcW w:w="328" w:type="dxa"/>
            <w:tcBorders>
              <w:top w:val="single" w:sz="0" w:space="0" w:color="000000"/>
            </w:tcBorders>
          </w:tcPr>
          <w:p>
            <w:pPr>
              <w:pStyle w:val="TableParagraph"/>
              <w:spacing w:before="38"/>
              <w:ind w:right="76"/>
              <w:jc w:val="right"/>
              <w:rPr>
                <w:sz w:val="16"/>
              </w:rPr>
            </w:pPr>
            <w:r>
              <w:rPr>
                <w:w w:val="95"/>
                <w:sz w:val="16"/>
              </w:rPr>
              <w:t>48</w:t>
            </w:r>
          </w:p>
        </w:tc>
        <w:tc>
          <w:tcPr>
            <w:tcW w:w="765" w:type="dxa"/>
            <w:tcBorders>
              <w:top w:val="single" w:sz="0" w:space="0" w:color="000000"/>
            </w:tcBorders>
          </w:tcPr>
          <w:p>
            <w:pPr>
              <w:pStyle w:val="TableParagraph"/>
              <w:spacing w:before="38"/>
              <w:ind w:right="77"/>
              <w:jc w:val="right"/>
              <w:rPr>
                <w:sz w:val="16"/>
              </w:rPr>
            </w:pPr>
            <w:r>
              <w:rPr>
                <w:w w:val="95"/>
                <w:sz w:val="16"/>
              </w:rPr>
              <w:t>5,397</w:t>
            </w:r>
          </w:p>
        </w:tc>
        <w:tc>
          <w:tcPr>
            <w:tcW w:w="763" w:type="dxa"/>
            <w:tcBorders>
              <w:top w:val="single" w:sz="0" w:space="0" w:color="000000"/>
            </w:tcBorders>
          </w:tcPr>
          <w:p>
            <w:pPr>
              <w:pStyle w:val="TableParagraph"/>
              <w:spacing w:before="38"/>
              <w:ind w:right="76"/>
              <w:jc w:val="right"/>
              <w:rPr>
                <w:sz w:val="16"/>
              </w:rPr>
            </w:pPr>
            <w:r>
              <w:rPr>
                <w:w w:val="95"/>
                <w:sz w:val="16"/>
              </w:rPr>
              <w:t>5,905</w:t>
            </w:r>
          </w:p>
        </w:tc>
      </w:tr>
      <w:tr>
        <w:trPr>
          <w:trHeight w:val="241" w:hRule="exact"/>
        </w:trPr>
        <w:tc>
          <w:tcPr>
            <w:tcW w:w="4128" w:type="dxa"/>
          </w:tcPr>
          <w:p>
            <w:pPr>
              <w:pStyle w:val="TableParagraph"/>
              <w:spacing w:before="20"/>
              <w:ind w:left="35" w:right="849"/>
              <w:rPr>
                <w:sz w:val="16"/>
              </w:rPr>
            </w:pPr>
            <w:r>
              <w:rPr>
                <w:sz w:val="16"/>
              </w:rPr>
              <w:t>Less expenses including accrued expenses</w:t>
            </w:r>
          </w:p>
        </w:tc>
        <w:tc>
          <w:tcPr>
            <w:tcW w:w="496" w:type="dxa"/>
            <w:tcBorders>
              <w:bottom w:val="single" w:sz="0" w:space="0" w:color="000000"/>
            </w:tcBorders>
          </w:tcPr>
          <w:p>
            <w:pPr/>
          </w:p>
        </w:tc>
        <w:tc>
          <w:tcPr>
            <w:tcW w:w="841" w:type="dxa"/>
            <w:tcBorders>
              <w:bottom w:val="single" w:sz="0" w:space="0" w:color="000000"/>
            </w:tcBorders>
          </w:tcPr>
          <w:p>
            <w:pPr>
              <w:pStyle w:val="TableParagraph"/>
              <w:spacing w:before="19"/>
              <w:ind w:right="23"/>
              <w:jc w:val="right"/>
              <w:rPr>
                <w:sz w:val="16"/>
              </w:rPr>
            </w:pPr>
            <w:r>
              <w:rPr>
                <w:sz w:val="16"/>
              </w:rPr>
              <w:t>(3,777)</w:t>
            </w:r>
          </w:p>
        </w:tc>
        <w:tc>
          <w:tcPr>
            <w:tcW w:w="764" w:type="dxa"/>
            <w:tcBorders>
              <w:bottom w:val="single" w:sz="0" w:space="0" w:color="000000"/>
            </w:tcBorders>
          </w:tcPr>
          <w:p>
            <w:pPr>
              <w:pStyle w:val="TableParagraph"/>
              <w:spacing w:before="19"/>
              <w:ind w:right="23"/>
              <w:jc w:val="right"/>
              <w:rPr>
                <w:sz w:val="16"/>
              </w:rPr>
            </w:pPr>
            <w:r>
              <w:rPr>
                <w:sz w:val="16"/>
              </w:rPr>
              <w:t>(2,500)</w:t>
            </w:r>
          </w:p>
        </w:tc>
        <w:tc>
          <w:tcPr>
            <w:tcW w:w="764" w:type="dxa"/>
            <w:tcBorders>
              <w:bottom w:val="single" w:sz="0" w:space="0" w:color="000000"/>
            </w:tcBorders>
          </w:tcPr>
          <w:p>
            <w:pPr>
              <w:pStyle w:val="TableParagraph"/>
              <w:spacing w:before="19"/>
              <w:ind w:right="23"/>
              <w:jc w:val="right"/>
              <w:rPr>
                <w:sz w:val="16"/>
              </w:rPr>
            </w:pPr>
            <w:r>
              <w:rPr>
                <w:w w:val="95"/>
                <w:sz w:val="16"/>
              </w:rPr>
              <w:t>(256)</w:t>
            </w:r>
          </w:p>
        </w:tc>
        <w:tc>
          <w:tcPr>
            <w:tcW w:w="764" w:type="dxa"/>
            <w:tcBorders>
              <w:bottom w:val="single" w:sz="0" w:space="0" w:color="000000"/>
            </w:tcBorders>
          </w:tcPr>
          <w:p>
            <w:pPr>
              <w:pStyle w:val="TableParagraph"/>
              <w:spacing w:before="19"/>
              <w:ind w:right="23"/>
              <w:jc w:val="right"/>
              <w:rPr>
                <w:sz w:val="16"/>
              </w:rPr>
            </w:pPr>
            <w:r>
              <w:rPr>
                <w:w w:val="95"/>
                <w:sz w:val="16"/>
              </w:rPr>
              <w:t>(247)</w:t>
            </w:r>
          </w:p>
        </w:tc>
        <w:tc>
          <w:tcPr>
            <w:tcW w:w="765" w:type="dxa"/>
            <w:tcBorders>
              <w:bottom w:val="single" w:sz="0" w:space="0" w:color="000000"/>
            </w:tcBorders>
          </w:tcPr>
          <w:p>
            <w:pPr>
              <w:pStyle w:val="TableParagraph"/>
              <w:spacing w:before="19"/>
              <w:ind w:right="23"/>
              <w:jc w:val="right"/>
              <w:rPr>
                <w:sz w:val="16"/>
              </w:rPr>
            </w:pPr>
            <w:r>
              <w:rPr>
                <w:w w:val="95"/>
                <w:sz w:val="16"/>
              </w:rPr>
              <w:t>(473)</w:t>
            </w:r>
          </w:p>
        </w:tc>
        <w:tc>
          <w:tcPr>
            <w:tcW w:w="764" w:type="dxa"/>
            <w:tcBorders>
              <w:bottom w:val="single" w:sz="0" w:space="0" w:color="000000"/>
            </w:tcBorders>
          </w:tcPr>
          <w:p>
            <w:pPr>
              <w:pStyle w:val="TableParagraph"/>
              <w:spacing w:before="19"/>
              <w:ind w:right="23"/>
              <w:jc w:val="right"/>
              <w:rPr>
                <w:sz w:val="16"/>
              </w:rPr>
            </w:pPr>
            <w:r>
              <w:rPr>
                <w:sz w:val="16"/>
              </w:rPr>
              <w:t>(1,080)</w:t>
            </w:r>
          </w:p>
        </w:tc>
        <w:tc>
          <w:tcPr>
            <w:tcW w:w="481" w:type="dxa"/>
            <w:tcBorders>
              <w:bottom w:val="single" w:sz="0" w:space="0" w:color="000000"/>
            </w:tcBorders>
          </w:tcPr>
          <w:p>
            <w:pPr/>
          </w:p>
        </w:tc>
        <w:tc>
          <w:tcPr>
            <w:tcW w:w="283" w:type="dxa"/>
            <w:tcBorders>
              <w:bottom w:val="single" w:sz="0" w:space="0" w:color="000000"/>
            </w:tcBorders>
          </w:tcPr>
          <w:p>
            <w:pPr>
              <w:pStyle w:val="TableParagraph"/>
              <w:spacing w:before="19"/>
              <w:ind w:left="62"/>
              <w:rPr>
                <w:sz w:val="16"/>
              </w:rPr>
            </w:pPr>
            <w:r>
              <w:rPr>
                <w:sz w:val="16"/>
              </w:rPr>
              <w:t>(5)</w:t>
            </w:r>
          </w:p>
        </w:tc>
        <w:tc>
          <w:tcPr>
            <w:tcW w:w="481" w:type="dxa"/>
            <w:tcBorders>
              <w:bottom w:val="single" w:sz="0" w:space="0" w:color="000000"/>
            </w:tcBorders>
          </w:tcPr>
          <w:p>
            <w:pPr/>
          </w:p>
        </w:tc>
        <w:tc>
          <w:tcPr>
            <w:tcW w:w="283" w:type="dxa"/>
            <w:tcBorders>
              <w:bottom w:val="single" w:sz="0" w:space="0" w:color="000000"/>
            </w:tcBorders>
          </w:tcPr>
          <w:p>
            <w:pPr>
              <w:pStyle w:val="TableParagraph"/>
              <w:spacing w:before="19"/>
              <w:ind w:left="42" w:right="5"/>
              <w:jc w:val="center"/>
              <w:rPr>
                <w:sz w:val="16"/>
              </w:rPr>
            </w:pPr>
            <w:r>
              <w:rPr>
                <w:sz w:val="16"/>
              </w:rPr>
              <w:t>(9)</w:t>
            </w:r>
          </w:p>
        </w:tc>
        <w:tc>
          <w:tcPr>
            <w:tcW w:w="463" w:type="dxa"/>
            <w:tcBorders>
              <w:bottom w:val="single" w:sz="0" w:space="0" w:color="000000"/>
            </w:tcBorders>
          </w:tcPr>
          <w:p>
            <w:pPr/>
          </w:p>
        </w:tc>
        <w:tc>
          <w:tcPr>
            <w:tcW w:w="301" w:type="dxa"/>
            <w:tcBorders>
              <w:bottom w:val="single" w:sz="0" w:space="0" w:color="000000"/>
            </w:tcBorders>
          </w:tcPr>
          <w:p>
            <w:pPr>
              <w:pStyle w:val="TableParagraph"/>
              <w:spacing w:before="19"/>
              <w:ind w:left="80"/>
              <w:rPr>
                <w:sz w:val="16"/>
              </w:rPr>
            </w:pPr>
            <w:r>
              <w:rPr>
                <w:sz w:val="16"/>
              </w:rPr>
              <w:t>(5)</w:t>
            </w:r>
          </w:p>
        </w:tc>
        <w:tc>
          <w:tcPr>
            <w:tcW w:w="437" w:type="dxa"/>
            <w:tcBorders>
              <w:bottom w:val="single" w:sz="0" w:space="0" w:color="000000"/>
            </w:tcBorders>
          </w:tcPr>
          <w:p>
            <w:pPr/>
          </w:p>
        </w:tc>
        <w:tc>
          <w:tcPr>
            <w:tcW w:w="328" w:type="dxa"/>
            <w:tcBorders>
              <w:bottom w:val="single" w:sz="0" w:space="0" w:color="000000"/>
            </w:tcBorders>
          </w:tcPr>
          <w:p>
            <w:pPr>
              <w:pStyle w:val="TableParagraph"/>
              <w:spacing w:before="19"/>
              <w:ind w:right="23"/>
              <w:jc w:val="right"/>
              <w:rPr>
                <w:sz w:val="16"/>
              </w:rPr>
            </w:pPr>
            <w:r>
              <w:rPr>
                <w:w w:val="95"/>
                <w:sz w:val="16"/>
              </w:rPr>
              <w:t>(43)</w:t>
            </w:r>
          </w:p>
        </w:tc>
        <w:tc>
          <w:tcPr>
            <w:tcW w:w="765" w:type="dxa"/>
            <w:tcBorders>
              <w:bottom w:val="single" w:sz="0" w:space="0" w:color="000000"/>
            </w:tcBorders>
          </w:tcPr>
          <w:p>
            <w:pPr>
              <w:pStyle w:val="TableParagraph"/>
              <w:spacing w:before="19"/>
              <w:ind w:right="24"/>
              <w:jc w:val="right"/>
              <w:rPr>
                <w:sz w:val="16"/>
              </w:rPr>
            </w:pPr>
            <w:r>
              <w:rPr>
                <w:sz w:val="16"/>
              </w:rPr>
              <w:t>(4,516)</w:t>
            </w:r>
          </w:p>
        </w:tc>
        <w:tc>
          <w:tcPr>
            <w:tcW w:w="763" w:type="dxa"/>
            <w:tcBorders>
              <w:bottom w:val="single" w:sz="0" w:space="0" w:color="000000"/>
            </w:tcBorders>
          </w:tcPr>
          <w:p>
            <w:pPr>
              <w:pStyle w:val="TableParagraph"/>
              <w:spacing w:before="19"/>
              <w:ind w:right="23"/>
              <w:jc w:val="right"/>
              <w:rPr>
                <w:sz w:val="16"/>
              </w:rPr>
            </w:pPr>
            <w:r>
              <w:rPr>
                <w:sz w:val="16"/>
              </w:rPr>
              <w:t>(3,879)</w:t>
            </w:r>
          </w:p>
        </w:tc>
      </w:tr>
      <w:tr>
        <w:trPr>
          <w:trHeight w:val="275" w:hRule="exact"/>
        </w:trPr>
        <w:tc>
          <w:tcPr>
            <w:tcW w:w="4128" w:type="dxa"/>
          </w:tcPr>
          <w:p>
            <w:pPr>
              <w:pStyle w:val="TableParagraph"/>
              <w:spacing w:before="40"/>
              <w:ind w:left="35" w:right="849"/>
              <w:rPr>
                <w:sz w:val="16"/>
              </w:rPr>
            </w:pPr>
            <w:r>
              <w:rPr>
                <w:sz w:val="16"/>
              </w:rPr>
              <w:t>Surplus/(deficit) for the reporting period</w:t>
            </w:r>
          </w:p>
        </w:tc>
        <w:tc>
          <w:tcPr>
            <w:tcW w:w="496" w:type="dxa"/>
            <w:tcBorders>
              <w:top w:val="single" w:sz="0" w:space="0" w:color="000000"/>
              <w:bottom w:val="single" w:sz="0" w:space="0" w:color="000000"/>
            </w:tcBorders>
          </w:tcPr>
          <w:p>
            <w:pPr/>
          </w:p>
        </w:tc>
        <w:tc>
          <w:tcPr>
            <w:tcW w:w="841" w:type="dxa"/>
            <w:tcBorders>
              <w:top w:val="single" w:sz="0" w:space="0" w:color="000000"/>
              <w:bottom w:val="single" w:sz="0" w:space="0" w:color="000000"/>
            </w:tcBorders>
          </w:tcPr>
          <w:p>
            <w:pPr>
              <w:pStyle w:val="TableParagraph"/>
              <w:spacing w:before="38"/>
              <w:ind w:right="76"/>
              <w:jc w:val="right"/>
              <w:rPr>
                <w:sz w:val="16"/>
              </w:rPr>
            </w:pPr>
            <w:r>
              <w:rPr>
                <w:sz w:val="16"/>
              </w:rPr>
              <w:t>321</w:t>
            </w:r>
          </w:p>
        </w:tc>
        <w:tc>
          <w:tcPr>
            <w:tcW w:w="764" w:type="dxa"/>
            <w:tcBorders>
              <w:top w:val="single" w:sz="0" w:space="0" w:color="000000"/>
              <w:bottom w:val="single" w:sz="0" w:space="0" w:color="000000"/>
            </w:tcBorders>
          </w:tcPr>
          <w:p>
            <w:pPr>
              <w:pStyle w:val="TableParagraph"/>
              <w:spacing w:before="38"/>
              <w:ind w:right="76"/>
              <w:jc w:val="right"/>
              <w:rPr>
                <w:sz w:val="16"/>
              </w:rPr>
            </w:pPr>
            <w:r>
              <w:rPr>
                <w:w w:val="95"/>
                <w:sz w:val="16"/>
              </w:rPr>
              <w:t>1,110</w:t>
            </w:r>
          </w:p>
        </w:tc>
        <w:tc>
          <w:tcPr>
            <w:tcW w:w="764" w:type="dxa"/>
            <w:tcBorders>
              <w:top w:val="single" w:sz="0" w:space="0" w:color="000000"/>
              <w:bottom w:val="single" w:sz="0" w:space="0" w:color="000000"/>
            </w:tcBorders>
          </w:tcPr>
          <w:p>
            <w:pPr>
              <w:pStyle w:val="TableParagraph"/>
              <w:spacing w:before="38"/>
              <w:ind w:right="77"/>
              <w:jc w:val="right"/>
              <w:rPr>
                <w:sz w:val="16"/>
              </w:rPr>
            </w:pPr>
            <w:r>
              <w:rPr>
                <w:w w:val="99"/>
                <w:sz w:val="16"/>
              </w:rPr>
              <w:t>-</w:t>
            </w:r>
          </w:p>
        </w:tc>
        <w:tc>
          <w:tcPr>
            <w:tcW w:w="764" w:type="dxa"/>
            <w:tcBorders>
              <w:top w:val="single" w:sz="0" w:space="0" w:color="000000"/>
              <w:bottom w:val="single" w:sz="0" w:space="0" w:color="000000"/>
            </w:tcBorders>
          </w:tcPr>
          <w:p>
            <w:pPr>
              <w:pStyle w:val="TableParagraph"/>
              <w:spacing w:before="38"/>
              <w:ind w:right="77"/>
              <w:jc w:val="right"/>
              <w:rPr>
                <w:sz w:val="16"/>
              </w:rPr>
            </w:pPr>
            <w:r>
              <w:rPr>
                <w:w w:val="99"/>
                <w:sz w:val="16"/>
              </w:rPr>
              <w:t>-</w:t>
            </w:r>
          </w:p>
        </w:tc>
        <w:tc>
          <w:tcPr>
            <w:tcW w:w="765" w:type="dxa"/>
            <w:tcBorders>
              <w:top w:val="single" w:sz="0" w:space="0" w:color="000000"/>
              <w:bottom w:val="single" w:sz="0" w:space="0" w:color="000000"/>
            </w:tcBorders>
          </w:tcPr>
          <w:p>
            <w:pPr>
              <w:pStyle w:val="TableParagraph"/>
              <w:spacing w:before="38"/>
              <w:ind w:right="77"/>
              <w:jc w:val="right"/>
              <w:rPr>
                <w:sz w:val="16"/>
              </w:rPr>
            </w:pPr>
            <w:r>
              <w:rPr>
                <w:sz w:val="16"/>
              </w:rPr>
              <w:t>524</w:t>
            </w:r>
          </w:p>
        </w:tc>
        <w:tc>
          <w:tcPr>
            <w:tcW w:w="764" w:type="dxa"/>
            <w:tcBorders>
              <w:top w:val="single" w:sz="0" w:space="0" w:color="000000"/>
              <w:bottom w:val="single" w:sz="0" w:space="0" w:color="000000"/>
            </w:tcBorders>
          </w:tcPr>
          <w:p>
            <w:pPr>
              <w:pStyle w:val="TableParagraph"/>
              <w:spacing w:before="38"/>
              <w:ind w:right="76"/>
              <w:jc w:val="right"/>
              <w:rPr>
                <w:sz w:val="16"/>
              </w:rPr>
            </w:pPr>
            <w:r>
              <w:rPr>
                <w:sz w:val="16"/>
              </w:rPr>
              <w:t>911</w:t>
            </w:r>
          </w:p>
        </w:tc>
        <w:tc>
          <w:tcPr>
            <w:tcW w:w="481" w:type="dxa"/>
            <w:tcBorders>
              <w:top w:val="single" w:sz="0" w:space="0" w:color="000000"/>
              <w:bottom w:val="single" w:sz="0" w:space="0" w:color="000000"/>
            </w:tcBorders>
          </w:tcPr>
          <w:p>
            <w:pPr/>
          </w:p>
        </w:tc>
        <w:tc>
          <w:tcPr>
            <w:tcW w:w="283" w:type="dxa"/>
            <w:tcBorders>
              <w:top w:val="single" w:sz="0" w:space="0" w:color="000000"/>
              <w:bottom w:val="single" w:sz="0" w:space="0" w:color="000000"/>
            </w:tcBorders>
          </w:tcPr>
          <w:p>
            <w:pPr>
              <w:pStyle w:val="TableParagraph"/>
              <w:spacing w:before="38"/>
              <w:ind w:left="152"/>
              <w:rPr>
                <w:sz w:val="16"/>
              </w:rPr>
            </w:pPr>
            <w:r>
              <w:rPr>
                <w:w w:val="99"/>
                <w:sz w:val="16"/>
              </w:rPr>
              <w:t>-</w:t>
            </w:r>
          </w:p>
        </w:tc>
        <w:tc>
          <w:tcPr>
            <w:tcW w:w="481" w:type="dxa"/>
            <w:tcBorders>
              <w:top w:val="single" w:sz="0" w:space="0" w:color="000000"/>
              <w:bottom w:val="single" w:sz="0" w:space="0" w:color="000000"/>
            </w:tcBorders>
          </w:tcPr>
          <w:p>
            <w:pPr/>
          </w:p>
        </w:tc>
        <w:tc>
          <w:tcPr>
            <w:tcW w:w="283" w:type="dxa"/>
            <w:tcBorders>
              <w:top w:val="single" w:sz="0" w:space="0" w:color="000000"/>
              <w:bottom w:val="single" w:sz="0" w:space="0" w:color="000000"/>
            </w:tcBorders>
          </w:tcPr>
          <w:p>
            <w:pPr>
              <w:pStyle w:val="TableParagraph"/>
              <w:spacing w:before="38"/>
              <w:ind w:left="74"/>
              <w:jc w:val="center"/>
              <w:rPr>
                <w:sz w:val="16"/>
              </w:rPr>
            </w:pPr>
            <w:r>
              <w:rPr>
                <w:w w:val="99"/>
                <w:sz w:val="16"/>
              </w:rPr>
              <w:t>-</w:t>
            </w:r>
          </w:p>
        </w:tc>
        <w:tc>
          <w:tcPr>
            <w:tcW w:w="463" w:type="dxa"/>
            <w:tcBorders>
              <w:top w:val="single" w:sz="0" w:space="0" w:color="000000"/>
              <w:bottom w:val="single" w:sz="0" w:space="0" w:color="000000"/>
            </w:tcBorders>
          </w:tcPr>
          <w:p>
            <w:pPr/>
          </w:p>
        </w:tc>
        <w:tc>
          <w:tcPr>
            <w:tcW w:w="301" w:type="dxa"/>
            <w:tcBorders>
              <w:top w:val="single" w:sz="0" w:space="0" w:color="000000"/>
              <w:bottom w:val="single" w:sz="0" w:space="0" w:color="000000"/>
            </w:tcBorders>
          </w:tcPr>
          <w:p>
            <w:pPr>
              <w:pStyle w:val="TableParagraph"/>
              <w:spacing w:before="38"/>
              <w:ind w:left="44"/>
              <w:rPr>
                <w:sz w:val="16"/>
              </w:rPr>
            </w:pPr>
            <w:r>
              <w:rPr>
                <w:sz w:val="16"/>
              </w:rPr>
              <w:t>36</w:t>
            </w:r>
          </w:p>
        </w:tc>
        <w:tc>
          <w:tcPr>
            <w:tcW w:w="437" w:type="dxa"/>
            <w:tcBorders>
              <w:top w:val="single" w:sz="0" w:space="0" w:color="000000"/>
              <w:bottom w:val="single" w:sz="0" w:space="0" w:color="000000"/>
            </w:tcBorders>
          </w:tcPr>
          <w:p>
            <w:pPr/>
          </w:p>
        </w:tc>
        <w:tc>
          <w:tcPr>
            <w:tcW w:w="328" w:type="dxa"/>
            <w:tcBorders>
              <w:top w:val="single" w:sz="0" w:space="0" w:color="000000"/>
              <w:bottom w:val="single" w:sz="0" w:space="0" w:color="000000"/>
            </w:tcBorders>
          </w:tcPr>
          <w:p>
            <w:pPr>
              <w:pStyle w:val="TableParagraph"/>
              <w:spacing w:before="38"/>
              <w:ind w:right="76"/>
              <w:jc w:val="right"/>
              <w:rPr>
                <w:sz w:val="16"/>
              </w:rPr>
            </w:pPr>
            <w:r>
              <w:rPr>
                <w:w w:val="99"/>
                <w:sz w:val="16"/>
              </w:rPr>
              <w:t>5</w:t>
            </w:r>
          </w:p>
        </w:tc>
        <w:tc>
          <w:tcPr>
            <w:tcW w:w="765" w:type="dxa"/>
            <w:tcBorders>
              <w:top w:val="single" w:sz="0" w:space="0" w:color="000000"/>
              <w:bottom w:val="single" w:sz="0" w:space="0" w:color="000000"/>
            </w:tcBorders>
          </w:tcPr>
          <w:p>
            <w:pPr>
              <w:pStyle w:val="TableParagraph"/>
              <w:spacing w:before="38"/>
              <w:ind w:right="77"/>
              <w:jc w:val="right"/>
              <w:rPr>
                <w:sz w:val="16"/>
              </w:rPr>
            </w:pPr>
            <w:r>
              <w:rPr>
                <w:sz w:val="16"/>
              </w:rPr>
              <w:t>881</w:t>
            </w:r>
          </w:p>
        </w:tc>
        <w:tc>
          <w:tcPr>
            <w:tcW w:w="763" w:type="dxa"/>
            <w:tcBorders>
              <w:top w:val="single" w:sz="0" w:space="0" w:color="000000"/>
              <w:bottom w:val="single" w:sz="0" w:space="0" w:color="000000"/>
            </w:tcBorders>
          </w:tcPr>
          <w:p>
            <w:pPr>
              <w:pStyle w:val="TableParagraph"/>
              <w:spacing w:before="38"/>
              <w:ind w:right="76"/>
              <w:jc w:val="right"/>
              <w:rPr>
                <w:sz w:val="16"/>
              </w:rPr>
            </w:pPr>
            <w:r>
              <w:rPr>
                <w:w w:val="95"/>
                <w:sz w:val="16"/>
              </w:rPr>
              <w:t>2,026</w:t>
            </w:r>
          </w:p>
        </w:tc>
      </w:tr>
    </w:tbl>
    <w:p>
      <w:pPr>
        <w:pStyle w:val="BodyText"/>
        <w:spacing w:before="7"/>
        <w:rPr>
          <w:b/>
          <w:sz w:val="20"/>
        </w:rPr>
      </w:pPr>
    </w:p>
    <w:p>
      <w:pPr>
        <w:pStyle w:val="BodyText"/>
        <w:spacing w:before="77"/>
        <w:ind w:left="1070"/>
      </w:pPr>
      <w:r>
        <w:rPr/>
        <w:t>#5 Includes Grandfathered Scholarships, National Priority and National Accommodation Priority Scholarships respectively.</w:t>
      </w:r>
    </w:p>
    <w:p>
      <w:pPr>
        <w:spacing w:after="0"/>
        <w:sectPr>
          <w:type w:val="continuous"/>
          <w:pgSz w:w="16840" w:h="11910" w:orient="landscape"/>
          <w:pgMar w:top="0" w:bottom="280" w:left="900" w:right="880"/>
        </w:sectPr>
      </w:pPr>
    </w:p>
    <w:p>
      <w:pPr>
        <w:pStyle w:val="BodyText"/>
        <w:rPr>
          <w:sz w:val="20"/>
        </w:rPr>
      </w:pPr>
    </w:p>
    <w:p>
      <w:pPr>
        <w:pStyle w:val="BodyText"/>
        <w:rPr>
          <w:sz w:val="20"/>
        </w:rPr>
      </w:pPr>
    </w:p>
    <w:p>
      <w:pPr>
        <w:pStyle w:val="BodyText"/>
        <w:spacing w:before="4"/>
      </w:pPr>
    </w:p>
    <w:p>
      <w:pPr>
        <w:pStyle w:val="Heading9"/>
        <w:ind w:left="109"/>
      </w:pPr>
      <w:r>
        <w:rPr/>
        <w:t>35    Acquittal of Australian Government Financial Assistance (continued)</w:t>
      </w:r>
    </w:p>
    <w:p>
      <w:pPr>
        <w:pStyle w:val="BodyText"/>
        <w:spacing w:before="3"/>
        <w:rPr>
          <w:b/>
        </w:rPr>
      </w:pPr>
    </w:p>
    <w:p>
      <w:pPr>
        <w:spacing w:after="0"/>
        <w:sectPr>
          <w:footerReference w:type="default" r:id="rId92"/>
          <w:pgSz w:w="16840" w:h="11910" w:orient="landscape"/>
          <w:pgMar w:footer="507" w:header="1038" w:top="2220" w:bottom="700" w:left="900" w:right="880"/>
          <w:pgNumType w:start="71"/>
        </w:sectPr>
      </w:pPr>
    </w:p>
    <w:p>
      <w:pPr>
        <w:pStyle w:val="ListParagraph"/>
        <w:numPr>
          <w:ilvl w:val="0"/>
          <w:numId w:val="28"/>
        </w:numPr>
        <w:tabs>
          <w:tab w:pos="1072" w:val="left" w:leader="none"/>
        </w:tabs>
        <w:spacing w:line="240" w:lineRule="auto" w:before="77" w:after="0"/>
        <w:ind w:left="1071" w:right="0" w:hanging="566"/>
        <w:jc w:val="left"/>
        <w:rPr>
          <w:sz w:val="18"/>
        </w:rPr>
      </w:pPr>
      <w:r>
        <w:rPr>
          <w:sz w:val="18"/>
        </w:rPr>
        <w:t>DIISRTE</w:t>
      </w:r>
      <w:r>
        <w:rPr>
          <w:spacing w:val="-1"/>
          <w:sz w:val="18"/>
        </w:rPr>
        <w:t> </w:t>
      </w:r>
      <w:r>
        <w:rPr>
          <w:sz w:val="18"/>
        </w:rPr>
        <w:t>Research</w:t>
      </w:r>
    </w:p>
    <w:p>
      <w:pPr>
        <w:pStyle w:val="BodyText"/>
        <w:rPr>
          <w:sz w:val="16"/>
        </w:rPr>
      </w:pPr>
      <w:r>
        <w:rPr/>
        <w:br w:type="column"/>
      </w:r>
      <w:r>
        <w:rPr>
          <w:sz w:val="16"/>
        </w:rPr>
      </w:r>
    </w:p>
    <w:p>
      <w:pPr>
        <w:pStyle w:val="BodyText"/>
        <w:rPr>
          <w:sz w:val="16"/>
        </w:rPr>
      </w:pPr>
    </w:p>
    <w:p>
      <w:pPr>
        <w:pStyle w:val="BodyText"/>
        <w:rPr>
          <w:sz w:val="16"/>
        </w:rPr>
      </w:pPr>
    </w:p>
    <w:p>
      <w:pPr>
        <w:spacing w:before="132"/>
        <w:ind w:left="505" w:right="-19" w:firstLine="0"/>
        <w:jc w:val="left"/>
        <w:rPr>
          <w:b/>
          <w:sz w:val="10"/>
        </w:rPr>
      </w:pPr>
      <w:r>
        <w:rPr>
          <w:b/>
          <w:sz w:val="16"/>
        </w:rPr>
        <w:t>Joint</w:t>
      </w:r>
      <w:r>
        <w:rPr>
          <w:b/>
          <w:spacing w:val="-4"/>
          <w:sz w:val="16"/>
        </w:rPr>
        <w:t> </w:t>
      </w:r>
      <w:r>
        <w:rPr>
          <w:b/>
          <w:sz w:val="16"/>
        </w:rPr>
        <w:t>Research</w:t>
      </w:r>
      <w:r>
        <w:rPr>
          <w:b/>
          <w:w w:val="99"/>
          <w:sz w:val="16"/>
        </w:rPr>
        <w:t> </w:t>
      </w:r>
      <w:r>
        <w:rPr>
          <w:b/>
          <w:sz w:val="16"/>
        </w:rPr>
        <w:t>Engagement</w:t>
      </w:r>
      <w:r>
        <w:rPr>
          <w:b/>
          <w:position w:val="5"/>
          <w:sz w:val="10"/>
        </w:rPr>
        <w:t>#6</w:t>
      </w:r>
    </w:p>
    <w:p>
      <w:pPr>
        <w:pStyle w:val="BodyText"/>
        <w:rPr>
          <w:b/>
          <w:sz w:val="16"/>
        </w:rPr>
      </w:pPr>
      <w:r>
        <w:rPr/>
        <w:br w:type="column"/>
      </w:r>
      <w:r>
        <w:rPr>
          <w:b/>
          <w:sz w:val="16"/>
        </w:rPr>
      </w:r>
    </w:p>
    <w:p>
      <w:pPr>
        <w:pStyle w:val="BodyText"/>
        <w:rPr>
          <w:b/>
          <w:sz w:val="16"/>
        </w:rPr>
      </w:pPr>
    </w:p>
    <w:p>
      <w:pPr>
        <w:pStyle w:val="BodyText"/>
        <w:rPr>
          <w:b/>
          <w:sz w:val="16"/>
        </w:rPr>
      </w:pPr>
    </w:p>
    <w:p>
      <w:pPr>
        <w:spacing w:before="132"/>
        <w:ind w:left="356" w:right="-17" w:firstLine="0"/>
        <w:jc w:val="left"/>
        <w:rPr>
          <w:b/>
          <w:sz w:val="16"/>
        </w:rPr>
      </w:pPr>
      <w:r>
        <w:rPr>
          <w:b/>
          <w:sz w:val="16"/>
        </w:rPr>
        <w:t>Research</w:t>
      </w:r>
      <w:r>
        <w:rPr>
          <w:b/>
          <w:spacing w:val="-5"/>
          <w:sz w:val="16"/>
        </w:rPr>
        <w:t> </w:t>
      </w:r>
      <w:r>
        <w:rPr>
          <w:b/>
          <w:sz w:val="16"/>
        </w:rPr>
        <w:t>Training Scheme</w:t>
      </w:r>
    </w:p>
    <w:p>
      <w:pPr>
        <w:pStyle w:val="BodyText"/>
        <w:rPr>
          <w:b/>
          <w:sz w:val="16"/>
        </w:rPr>
      </w:pPr>
      <w:r>
        <w:rPr/>
        <w:br w:type="column"/>
      </w:r>
      <w:r>
        <w:rPr>
          <w:b/>
          <w:sz w:val="16"/>
        </w:rPr>
      </w:r>
    </w:p>
    <w:p>
      <w:pPr>
        <w:pStyle w:val="BodyText"/>
        <w:rPr>
          <w:b/>
          <w:sz w:val="16"/>
        </w:rPr>
      </w:pPr>
    </w:p>
    <w:p>
      <w:pPr>
        <w:spacing w:before="132"/>
        <w:ind w:left="108" w:right="0" w:firstLine="0"/>
        <w:jc w:val="left"/>
        <w:rPr>
          <w:b/>
          <w:sz w:val="16"/>
        </w:rPr>
      </w:pPr>
      <w:r>
        <w:rPr>
          <w:b/>
          <w:sz w:val="16"/>
        </w:rPr>
        <w:t>Research </w:t>
      </w:r>
      <w:r>
        <w:rPr>
          <w:b/>
          <w:w w:val="95"/>
          <w:sz w:val="16"/>
        </w:rPr>
        <w:t>Infrastructure </w:t>
      </w:r>
      <w:r>
        <w:rPr>
          <w:b/>
          <w:sz w:val="16"/>
        </w:rPr>
        <w:t>Block Grants</w:t>
      </w:r>
    </w:p>
    <w:p>
      <w:pPr>
        <w:pStyle w:val="BodyText"/>
        <w:rPr>
          <w:b/>
          <w:sz w:val="16"/>
        </w:rPr>
      </w:pPr>
      <w:r>
        <w:rPr/>
        <w:br w:type="column"/>
      </w:r>
      <w:r>
        <w:rPr>
          <w:b/>
          <w:sz w:val="16"/>
        </w:rPr>
      </w:r>
    </w:p>
    <w:p>
      <w:pPr>
        <w:pStyle w:val="BodyText"/>
        <w:rPr>
          <w:b/>
          <w:sz w:val="16"/>
        </w:rPr>
      </w:pPr>
    </w:p>
    <w:p>
      <w:pPr>
        <w:spacing w:before="132"/>
        <w:ind w:left="259" w:right="0" w:firstLine="0"/>
        <w:jc w:val="left"/>
        <w:rPr>
          <w:b/>
          <w:sz w:val="16"/>
        </w:rPr>
      </w:pPr>
      <w:r>
        <w:rPr>
          <w:b/>
          <w:w w:val="95"/>
          <w:sz w:val="16"/>
        </w:rPr>
        <w:t>Implementation </w:t>
      </w:r>
      <w:r>
        <w:rPr>
          <w:b/>
          <w:sz w:val="16"/>
        </w:rPr>
        <w:t>Assistance Programme</w:t>
      </w:r>
    </w:p>
    <w:p>
      <w:pPr>
        <w:pStyle w:val="BodyText"/>
        <w:rPr>
          <w:b/>
          <w:sz w:val="16"/>
        </w:rPr>
      </w:pPr>
      <w:r>
        <w:rPr/>
        <w:br w:type="column"/>
      </w:r>
      <w:r>
        <w:rPr>
          <w:b/>
          <w:sz w:val="16"/>
        </w:rPr>
      </w:r>
    </w:p>
    <w:p>
      <w:pPr>
        <w:pStyle w:val="BodyText"/>
        <w:rPr>
          <w:b/>
          <w:sz w:val="16"/>
        </w:rPr>
      </w:pPr>
    </w:p>
    <w:p>
      <w:pPr>
        <w:pStyle w:val="BodyText"/>
        <w:rPr>
          <w:b/>
          <w:sz w:val="16"/>
        </w:rPr>
      </w:pPr>
    </w:p>
    <w:p>
      <w:pPr>
        <w:spacing w:before="132"/>
        <w:ind w:left="65" w:right="0" w:firstLine="0"/>
        <w:jc w:val="left"/>
        <w:rPr>
          <w:b/>
          <w:sz w:val="16"/>
        </w:rPr>
      </w:pPr>
      <w:r>
        <w:rPr>
          <w:b/>
          <w:w w:val="95"/>
          <w:sz w:val="16"/>
        </w:rPr>
        <w:t>Commercialisation </w:t>
      </w:r>
      <w:r>
        <w:rPr>
          <w:b/>
          <w:sz w:val="16"/>
        </w:rPr>
        <w:t>Training Scheme</w:t>
      </w:r>
    </w:p>
    <w:p>
      <w:pPr>
        <w:pStyle w:val="BodyText"/>
        <w:rPr>
          <w:b/>
          <w:sz w:val="16"/>
        </w:rPr>
      </w:pPr>
      <w:r>
        <w:rPr/>
        <w:br w:type="column"/>
      </w:r>
      <w:r>
        <w:rPr>
          <w:b/>
          <w:sz w:val="16"/>
        </w:rPr>
      </w:r>
    </w:p>
    <w:p>
      <w:pPr>
        <w:spacing w:before="133"/>
        <w:ind w:left="72" w:right="1635" w:firstLine="0"/>
        <w:jc w:val="left"/>
        <w:rPr>
          <w:b/>
          <w:sz w:val="16"/>
        </w:rPr>
      </w:pPr>
      <w:r>
        <w:rPr>
          <w:b/>
          <w:sz w:val="16"/>
        </w:rPr>
        <w:t>Sustainable Research Excellence in</w:t>
      </w:r>
    </w:p>
    <w:p>
      <w:pPr>
        <w:tabs>
          <w:tab w:pos="1613" w:val="left" w:leader="none"/>
        </w:tabs>
        <w:spacing w:line="184" w:lineRule="exact" w:before="0"/>
        <w:ind w:left="72" w:right="0" w:firstLine="0"/>
        <w:jc w:val="left"/>
        <w:rPr>
          <w:b/>
          <w:sz w:val="16"/>
        </w:rPr>
      </w:pPr>
      <w:r>
        <w:rPr>
          <w:b/>
          <w:sz w:val="16"/>
        </w:rPr>
        <w:t>Universities</w:t>
        <w:tab/>
        <w:t>Total</w:t>
      </w:r>
    </w:p>
    <w:p>
      <w:pPr>
        <w:spacing w:after="0" w:line="184" w:lineRule="exact"/>
        <w:jc w:val="left"/>
        <w:rPr>
          <w:sz w:val="16"/>
        </w:rPr>
        <w:sectPr>
          <w:type w:val="continuous"/>
          <w:pgSz w:w="16840" w:h="11910" w:orient="landscape"/>
          <w:pgMar w:top="0" w:bottom="280" w:left="900" w:right="880"/>
          <w:cols w:num="7" w:equalWidth="0">
            <w:col w:w="2602" w:space="1544"/>
            <w:col w:w="1650" w:space="40"/>
            <w:col w:w="1750" w:space="40"/>
            <w:col w:w="1146" w:space="40"/>
            <w:col w:w="1439" w:space="40"/>
            <w:col w:w="1494" w:space="40"/>
            <w:col w:w="3235"/>
          </w:cols>
        </w:sectPr>
      </w:pPr>
    </w:p>
    <w:p>
      <w:pPr>
        <w:pStyle w:val="BodyText"/>
        <w:spacing w:before="1"/>
        <w:rPr>
          <w:b/>
          <w:sz w:val="3"/>
        </w:rPr>
      </w:pPr>
    </w:p>
    <w:tbl>
      <w:tblPr>
        <w:tblW w:w="0" w:type="auto"/>
        <w:jc w:val="left"/>
        <w:tblInd w:w="107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82"/>
        <w:gridCol w:w="497"/>
        <w:gridCol w:w="846"/>
        <w:gridCol w:w="770"/>
        <w:gridCol w:w="770"/>
        <w:gridCol w:w="770"/>
        <w:gridCol w:w="668"/>
        <w:gridCol w:w="668"/>
        <w:gridCol w:w="1285"/>
        <w:gridCol w:w="554"/>
        <w:gridCol w:w="987"/>
        <w:gridCol w:w="770"/>
        <w:gridCol w:w="770"/>
        <w:gridCol w:w="770"/>
        <w:gridCol w:w="770"/>
      </w:tblGrid>
      <w:tr>
        <w:trPr>
          <w:trHeight w:val="718" w:hRule="exact"/>
        </w:trPr>
        <w:tc>
          <w:tcPr>
            <w:tcW w:w="2982" w:type="dxa"/>
          </w:tcPr>
          <w:p>
            <w:pPr>
              <w:pStyle w:val="TableParagraph"/>
              <w:rPr>
                <w:b/>
                <w:sz w:val="16"/>
              </w:rPr>
            </w:pPr>
          </w:p>
          <w:p>
            <w:pPr>
              <w:pStyle w:val="TableParagraph"/>
              <w:spacing w:before="97"/>
              <w:ind w:left="35" w:right="263"/>
              <w:rPr>
                <w:b/>
                <w:sz w:val="10"/>
              </w:rPr>
            </w:pPr>
            <w:r>
              <w:rPr>
                <w:b/>
                <w:sz w:val="16"/>
              </w:rPr>
              <w:t>Parent Entity (University) Only </w:t>
            </w:r>
            <w:r>
              <w:rPr>
                <w:b/>
                <w:position w:val="5"/>
                <w:sz w:val="10"/>
              </w:rPr>
              <w:t>#7</w:t>
            </w:r>
          </w:p>
          <w:p>
            <w:pPr>
              <w:pStyle w:val="TableParagraph"/>
              <w:spacing w:before="61"/>
              <w:ind w:left="35" w:right="263"/>
              <w:rPr>
                <w:sz w:val="16"/>
              </w:rPr>
            </w:pPr>
            <w:r>
              <w:rPr>
                <w:sz w:val="16"/>
              </w:rPr>
              <w:t>Financial assistance received in</w:t>
            </w:r>
          </w:p>
        </w:tc>
        <w:tc>
          <w:tcPr>
            <w:tcW w:w="497" w:type="dxa"/>
          </w:tcPr>
          <w:p>
            <w:pPr>
              <w:pStyle w:val="TableParagraph"/>
              <w:rPr>
                <w:b/>
                <w:sz w:val="16"/>
              </w:rPr>
            </w:pPr>
          </w:p>
          <w:p>
            <w:pPr>
              <w:pStyle w:val="TableParagraph"/>
              <w:spacing w:before="97"/>
              <w:ind w:left="40"/>
              <w:rPr>
                <w:b/>
                <w:sz w:val="16"/>
              </w:rPr>
            </w:pPr>
            <w:r>
              <w:rPr>
                <w:b/>
                <w:sz w:val="16"/>
              </w:rPr>
              <w:t>Note</w:t>
            </w:r>
          </w:p>
        </w:tc>
        <w:tc>
          <w:tcPr>
            <w:tcW w:w="846" w:type="dxa"/>
          </w:tcPr>
          <w:p>
            <w:pPr>
              <w:pStyle w:val="TableParagraph"/>
              <w:spacing w:before="30"/>
              <w:ind w:left="101"/>
              <w:rPr>
                <w:b/>
                <w:sz w:val="16"/>
              </w:rPr>
            </w:pPr>
            <w:r>
              <w:rPr>
                <w:b/>
                <w:sz w:val="16"/>
              </w:rPr>
              <w:t>2012</w:t>
            </w:r>
          </w:p>
          <w:p>
            <w:pPr>
              <w:pStyle w:val="TableParagraph"/>
              <w:spacing w:before="66"/>
              <w:ind w:left="101"/>
              <w:rPr>
                <w:b/>
                <w:sz w:val="16"/>
              </w:rPr>
            </w:pPr>
            <w:r>
              <w:rPr>
                <w:b/>
                <w:sz w:val="16"/>
              </w:rPr>
              <w:t>$'000</w:t>
            </w:r>
          </w:p>
        </w:tc>
        <w:tc>
          <w:tcPr>
            <w:tcW w:w="770" w:type="dxa"/>
          </w:tcPr>
          <w:p>
            <w:pPr>
              <w:pStyle w:val="TableParagraph"/>
              <w:spacing w:before="30"/>
              <w:ind w:left="25"/>
              <w:rPr>
                <w:b/>
                <w:sz w:val="16"/>
              </w:rPr>
            </w:pPr>
            <w:r>
              <w:rPr>
                <w:b/>
                <w:sz w:val="16"/>
              </w:rPr>
              <w:t>2011</w:t>
            </w:r>
          </w:p>
          <w:p>
            <w:pPr>
              <w:pStyle w:val="TableParagraph"/>
              <w:spacing w:before="66"/>
              <w:ind w:left="25"/>
              <w:rPr>
                <w:b/>
                <w:sz w:val="16"/>
              </w:rPr>
            </w:pPr>
            <w:r>
              <w:rPr>
                <w:b/>
                <w:sz w:val="16"/>
              </w:rPr>
              <w:t>$'000</w:t>
            </w:r>
          </w:p>
        </w:tc>
        <w:tc>
          <w:tcPr>
            <w:tcW w:w="770" w:type="dxa"/>
          </w:tcPr>
          <w:p>
            <w:pPr>
              <w:pStyle w:val="TableParagraph"/>
              <w:spacing w:before="30"/>
              <w:ind w:left="25"/>
              <w:rPr>
                <w:b/>
                <w:sz w:val="16"/>
              </w:rPr>
            </w:pPr>
            <w:r>
              <w:rPr>
                <w:b/>
                <w:sz w:val="16"/>
              </w:rPr>
              <w:t>2012</w:t>
            </w:r>
          </w:p>
          <w:p>
            <w:pPr>
              <w:pStyle w:val="TableParagraph"/>
              <w:spacing w:before="66"/>
              <w:ind w:left="25"/>
              <w:rPr>
                <w:b/>
                <w:sz w:val="16"/>
              </w:rPr>
            </w:pPr>
            <w:r>
              <w:rPr>
                <w:b/>
                <w:sz w:val="16"/>
              </w:rPr>
              <w:t>$'000</w:t>
            </w:r>
          </w:p>
        </w:tc>
        <w:tc>
          <w:tcPr>
            <w:tcW w:w="770" w:type="dxa"/>
          </w:tcPr>
          <w:p>
            <w:pPr>
              <w:pStyle w:val="TableParagraph"/>
              <w:spacing w:before="30"/>
              <w:ind w:left="25"/>
              <w:rPr>
                <w:b/>
                <w:sz w:val="16"/>
              </w:rPr>
            </w:pPr>
            <w:r>
              <w:rPr>
                <w:b/>
                <w:sz w:val="16"/>
              </w:rPr>
              <w:t>2011</w:t>
            </w:r>
          </w:p>
          <w:p>
            <w:pPr>
              <w:pStyle w:val="TableParagraph"/>
              <w:spacing w:before="66"/>
              <w:ind w:left="25"/>
              <w:rPr>
                <w:b/>
                <w:sz w:val="16"/>
              </w:rPr>
            </w:pPr>
            <w:r>
              <w:rPr>
                <w:b/>
                <w:sz w:val="16"/>
              </w:rPr>
              <w:t>$'000</w:t>
            </w:r>
          </w:p>
        </w:tc>
        <w:tc>
          <w:tcPr>
            <w:tcW w:w="668" w:type="dxa"/>
          </w:tcPr>
          <w:p>
            <w:pPr>
              <w:pStyle w:val="TableParagraph"/>
              <w:spacing w:before="30"/>
              <w:ind w:left="25"/>
              <w:rPr>
                <w:b/>
                <w:sz w:val="16"/>
              </w:rPr>
            </w:pPr>
            <w:r>
              <w:rPr>
                <w:b/>
                <w:sz w:val="16"/>
              </w:rPr>
              <w:t>2012</w:t>
            </w:r>
          </w:p>
          <w:p>
            <w:pPr>
              <w:pStyle w:val="TableParagraph"/>
              <w:spacing w:before="66"/>
              <w:ind w:left="25"/>
              <w:rPr>
                <w:b/>
                <w:sz w:val="16"/>
              </w:rPr>
            </w:pPr>
            <w:r>
              <w:rPr>
                <w:b/>
                <w:sz w:val="16"/>
              </w:rPr>
              <w:t>$'000</w:t>
            </w:r>
          </w:p>
        </w:tc>
        <w:tc>
          <w:tcPr>
            <w:tcW w:w="668" w:type="dxa"/>
          </w:tcPr>
          <w:p>
            <w:pPr>
              <w:pStyle w:val="TableParagraph"/>
              <w:spacing w:before="30"/>
              <w:ind w:left="25"/>
              <w:rPr>
                <w:b/>
                <w:sz w:val="16"/>
              </w:rPr>
            </w:pPr>
            <w:r>
              <w:rPr>
                <w:b/>
                <w:sz w:val="16"/>
              </w:rPr>
              <w:t>2011</w:t>
            </w:r>
          </w:p>
          <w:p>
            <w:pPr>
              <w:pStyle w:val="TableParagraph"/>
              <w:spacing w:before="66"/>
              <w:ind w:left="25"/>
              <w:rPr>
                <w:b/>
                <w:sz w:val="16"/>
              </w:rPr>
            </w:pPr>
            <w:r>
              <w:rPr>
                <w:b/>
                <w:sz w:val="16"/>
              </w:rPr>
              <w:t>$'000</w:t>
            </w:r>
          </w:p>
        </w:tc>
        <w:tc>
          <w:tcPr>
            <w:tcW w:w="1285" w:type="dxa"/>
          </w:tcPr>
          <w:p>
            <w:pPr>
              <w:pStyle w:val="TableParagraph"/>
              <w:tabs>
                <w:tab w:pos="641" w:val="left" w:leader="none"/>
              </w:tabs>
              <w:spacing w:before="30"/>
              <w:ind w:left="25"/>
              <w:rPr>
                <w:b/>
                <w:sz w:val="16"/>
              </w:rPr>
            </w:pPr>
            <w:r>
              <w:rPr>
                <w:b/>
                <w:sz w:val="16"/>
              </w:rPr>
              <w:t>2012</w:t>
              <w:tab/>
              <w:t>2011</w:t>
            </w:r>
          </w:p>
          <w:p>
            <w:pPr>
              <w:pStyle w:val="TableParagraph"/>
              <w:tabs>
                <w:tab w:pos="641" w:val="left" w:leader="none"/>
              </w:tabs>
              <w:spacing w:before="66"/>
              <w:ind w:left="25"/>
              <w:rPr>
                <w:b/>
                <w:sz w:val="16"/>
              </w:rPr>
            </w:pPr>
            <w:r>
              <w:rPr>
                <w:b/>
                <w:sz w:val="16"/>
              </w:rPr>
              <w:t>$'000</w:t>
              <w:tab/>
              <w:t>$'000</w:t>
            </w:r>
          </w:p>
        </w:tc>
        <w:tc>
          <w:tcPr>
            <w:tcW w:w="554" w:type="dxa"/>
          </w:tcPr>
          <w:p>
            <w:pPr>
              <w:pStyle w:val="TableParagraph"/>
              <w:spacing w:before="30"/>
              <w:ind w:left="25"/>
              <w:rPr>
                <w:b/>
                <w:sz w:val="16"/>
              </w:rPr>
            </w:pPr>
            <w:r>
              <w:rPr>
                <w:b/>
                <w:sz w:val="16"/>
              </w:rPr>
              <w:t>2012</w:t>
            </w:r>
          </w:p>
          <w:p>
            <w:pPr>
              <w:pStyle w:val="TableParagraph"/>
              <w:spacing w:before="66"/>
              <w:ind w:left="25"/>
              <w:rPr>
                <w:b/>
                <w:sz w:val="16"/>
              </w:rPr>
            </w:pPr>
            <w:r>
              <w:rPr>
                <w:b/>
                <w:sz w:val="16"/>
              </w:rPr>
              <w:t>$'000</w:t>
            </w:r>
          </w:p>
        </w:tc>
        <w:tc>
          <w:tcPr>
            <w:tcW w:w="987" w:type="dxa"/>
          </w:tcPr>
          <w:p>
            <w:pPr>
              <w:pStyle w:val="TableParagraph"/>
              <w:spacing w:before="30"/>
              <w:ind w:left="293"/>
              <w:rPr>
                <w:b/>
                <w:sz w:val="16"/>
              </w:rPr>
            </w:pPr>
            <w:r>
              <w:rPr>
                <w:b/>
                <w:sz w:val="16"/>
              </w:rPr>
              <w:t>2011</w:t>
            </w:r>
          </w:p>
          <w:p>
            <w:pPr>
              <w:pStyle w:val="TableParagraph"/>
              <w:spacing w:before="66"/>
              <w:ind w:left="293"/>
              <w:rPr>
                <w:b/>
                <w:sz w:val="16"/>
              </w:rPr>
            </w:pPr>
            <w:r>
              <w:rPr>
                <w:b/>
                <w:sz w:val="16"/>
              </w:rPr>
              <w:t>$'000</w:t>
            </w:r>
          </w:p>
        </w:tc>
        <w:tc>
          <w:tcPr>
            <w:tcW w:w="770" w:type="dxa"/>
          </w:tcPr>
          <w:p>
            <w:pPr>
              <w:pStyle w:val="TableParagraph"/>
              <w:spacing w:before="30"/>
              <w:ind w:left="25"/>
              <w:rPr>
                <w:b/>
                <w:sz w:val="16"/>
              </w:rPr>
            </w:pPr>
            <w:r>
              <w:rPr>
                <w:b/>
                <w:sz w:val="16"/>
              </w:rPr>
              <w:t>2012</w:t>
            </w:r>
          </w:p>
          <w:p>
            <w:pPr>
              <w:pStyle w:val="TableParagraph"/>
              <w:spacing w:before="66"/>
              <w:ind w:left="25"/>
              <w:rPr>
                <w:b/>
                <w:sz w:val="16"/>
              </w:rPr>
            </w:pPr>
            <w:r>
              <w:rPr>
                <w:b/>
                <w:sz w:val="16"/>
              </w:rPr>
              <w:t>$'000</w:t>
            </w:r>
          </w:p>
        </w:tc>
        <w:tc>
          <w:tcPr>
            <w:tcW w:w="770" w:type="dxa"/>
          </w:tcPr>
          <w:p>
            <w:pPr>
              <w:pStyle w:val="TableParagraph"/>
              <w:spacing w:before="30"/>
              <w:ind w:left="25"/>
              <w:rPr>
                <w:b/>
                <w:sz w:val="16"/>
              </w:rPr>
            </w:pPr>
            <w:r>
              <w:rPr>
                <w:b/>
                <w:sz w:val="16"/>
              </w:rPr>
              <w:t>2011</w:t>
            </w:r>
          </w:p>
          <w:p>
            <w:pPr>
              <w:pStyle w:val="TableParagraph"/>
              <w:spacing w:before="66"/>
              <w:ind w:left="25"/>
              <w:rPr>
                <w:b/>
                <w:sz w:val="16"/>
              </w:rPr>
            </w:pPr>
            <w:r>
              <w:rPr>
                <w:b/>
                <w:sz w:val="16"/>
              </w:rPr>
              <w:t>$'000</w:t>
            </w:r>
          </w:p>
        </w:tc>
        <w:tc>
          <w:tcPr>
            <w:tcW w:w="770" w:type="dxa"/>
          </w:tcPr>
          <w:p>
            <w:pPr>
              <w:pStyle w:val="TableParagraph"/>
              <w:spacing w:before="30"/>
              <w:ind w:left="25"/>
              <w:rPr>
                <w:b/>
                <w:sz w:val="16"/>
              </w:rPr>
            </w:pPr>
            <w:r>
              <w:rPr>
                <w:b/>
                <w:sz w:val="16"/>
              </w:rPr>
              <w:t>2012</w:t>
            </w:r>
          </w:p>
          <w:p>
            <w:pPr>
              <w:pStyle w:val="TableParagraph"/>
              <w:spacing w:before="66"/>
              <w:ind w:left="25"/>
              <w:rPr>
                <w:b/>
                <w:sz w:val="16"/>
              </w:rPr>
            </w:pPr>
            <w:r>
              <w:rPr>
                <w:b/>
                <w:sz w:val="16"/>
              </w:rPr>
              <w:t>$'000</w:t>
            </w:r>
          </w:p>
        </w:tc>
        <w:tc>
          <w:tcPr>
            <w:tcW w:w="770" w:type="dxa"/>
          </w:tcPr>
          <w:p>
            <w:pPr>
              <w:pStyle w:val="TableParagraph"/>
              <w:spacing w:before="30"/>
              <w:ind w:left="25"/>
              <w:rPr>
                <w:b/>
                <w:sz w:val="16"/>
              </w:rPr>
            </w:pPr>
            <w:r>
              <w:rPr>
                <w:b/>
                <w:sz w:val="16"/>
              </w:rPr>
              <w:t>2011</w:t>
            </w:r>
          </w:p>
          <w:p>
            <w:pPr>
              <w:pStyle w:val="TableParagraph"/>
              <w:spacing w:before="66"/>
              <w:ind w:left="25"/>
              <w:rPr>
                <w:b/>
                <w:sz w:val="16"/>
              </w:rPr>
            </w:pPr>
            <w:r>
              <w:rPr>
                <w:b/>
                <w:sz w:val="16"/>
              </w:rPr>
              <w:t>$'000</w:t>
            </w:r>
          </w:p>
        </w:tc>
      </w:tr>
      <w:tr>
        <w:trPr>
          <w:trHeight w:val="579" w:hRule="exact"/>
        </w:trPr>
        <w:tc>
          <w:tcPr>
            <w:tcW w:w="2982" w:type="dxa"/>
          </w:tcPr>
          <w:p>
            <w:pPr>
              <w:pStyle w:val="TableParagraph"/>
              <w:ind w:left="35" w:right="263"/>
              <w:rPr>
                <w:sz w:val="16"/>
              </w:rPr>
            </w:pPr>
            <w:r>
              <w:rPr>
                <w:sz w:val="16"/>
              </w:rPr>
              <w:t>CASH during the reporting period (total cash received from Australian Government for the program)</w:t>
            </w:r>
          </w:p>
        </w:tc>
        <w:tc>
          <w:tcPr>
            <w:tcW w:w="497" w:type="dxa"/>
          </w:tcPr>
          <w:p>
            <w:pPr/>
          </w:p>
        </w:tc>
        <w:tc>
          <w:tcPr>
            <w:tcW w:w="846" w:type="dxa"/>
          </w:tcPr>
          <w:p>
            <w:pPr>
              <w:pStyle w:val="TableParagraph"/>
              <w:rPr>
                <w:b/>
                <w:sz w:val="16"/>
              </w:rPr>
            </w:pPr>
          </w:p>
          <w:p>
            <w:pPr>
              <w:pStyle w:val="TableParagraph"/>
              <w:rPr>
                <w:b/>
                <w:sz w:val="15"/>
              </w:rPr>
            </w:pPr>
          </w:p>
          <w:p>
            <w:pPr>
              <w:pStyle w:val="TableParagraph"/>
              <w:ind w:right="76"/>
              <w:jc w:val="right"/>
              <w:rPr>
                <w:sz w:val="16"/>
              </w:rPr>
            </w:pPr>
            <w:r>
              <w:rPr>
                <w:w w:val="95"/>
                <w:sz w:val="16"/>
              </w:rPr>
              <w:t>3,229</w:t>
            </w:r>
          </w:p>
        </w:tc>
        <w:tc>
          <w:tcPr>
            <w:tcW w:w="770" w:type="dxa"/>
          </w:tcPr>
          <w:p>
            <w:pPr>
              <w:pStyle w:val="TableParagraph"/>
              <w:rPr>
                <w:b/>
                <w:sz w:val="16"/>
              </w:rPr>
            </w:pPr>
          </w:p>
          <w:p>
            <w:pPr>
              <w:pStyle w:val="TableParagraph"/>
              <w:rPr>
                <w:b/>
                <w:sz w:val="15"/>
              </w:rPr>
            </w:pPr>
          </w:p>
          <w:p>
            <w:pPr>
              <w:pStyle w:val="TableParagraph"/>
              <w:ind w:left="292"/>
              <w:rPr>
                <w:sz w:val="16"/>
              </w:rPr>
            </w:pPr>
            <w:r>
              <w:rPr>
                <w:sz w:val="16"/>
              </w:rPr>
              <w:t>3,046</w:t>
            </w:r>
          </w:p>
        </w:tc>
        <w:tc>
          <w:tcPr>
            <w:tcW w:w="770" w:type="dxa"/>
          </w:tcPr>
          <w:p>
            <w:pPr>
              <w:pStyle w:val="TableParagraph"/>
              <w:rPr>
                <w:b/>
                <w:sz w:val="16"/>
              </w:rPr>
            </w:pPr>
          </w:p>
          <w:p>
            <w:pPr>
              <w:pStyle w:val="TableParagraph"/>
              <w:rPr>
                <w:b/>
                <w:sz w:val="15"/>
              </w:rPr>
            </w:pPr>
          </w:p>
          <w:p>
            <w:pPr>
              <w:pStyle w:val="TableParagraph"/>
              <w:ind w:left="292"/>
              <w:rPr>
                <w:sz w:val="16"/>
              </w:rPr>
            </w:pPr>
            <w:r>
              <w:rPr>
                <w:sz w:val="16"/>
              </w:rPr>
              <w:t>7,238</w:t>
            </w:r>
          </w:p>
        </w:tc>
        <w:tc>
          <w:tcPr>
            <w:tcW w:w="770" w:type="dxa"/>
          </w:tcPr>
          <w:p>
            <w:pPr>
              <w:pStyle w:val="TableParagraph"/>
              <w:rPr>
                <w:b/>
                <w:sz w:val="16"/>
              </w:rPr>
            </w:pPr>
          </w:p>
          <w:p>
            <w:pPr>
              <w:pStyle w:val="TableParagraph"/>
              <w:rPr>
                <w:b/>
                <w:sz w:val="15"/>
              </w:rPr>
            </w:pPr>
          </w:p>
          <w:p>
            <w:pPr>
              <w:pStyle w:val="TableParagraph"/>
              <w:ind w:right="76"/>
              <w:jc w:val="right"/>
              <w:rPr>
                <w:sz w:val="16"/>
              </w:rPr>
            </w:pPr>
            <w:r>
              <w:rPr>
                <w:w w:val="95"/>
                <w:sz w:val="16"/>
              </w:rPr>
              <w:t>7,319</w:t>
            </w:r>
          </w:p>
        </w:tc>
        <w:tc>
          <w:tcPr>
            <w:tcW w:w="668" w:type="dxa"/>
          </w:tcPr>
          <w:p>
            <w:pPr>
              <w:pStyle w:val="TableParagraph"/>
              <w:rPr>
                <w:b/>
                <w:sz w:val="16"/>
              </w:rPr>
            </w:pPr>
          </w:p>
          <w:p>
            <w:pPr>
              <w:pStyle w:val="TableParagraph"/>
              <w:rPr>
                <w:b/>
                <w:sz w:val="15"/>
              </w:rPr>
            </w:pPr>
          </w:p>
          <w:p>
            <w:pPr>
              <w:pStyle w:val="TableParagraph"/>
              <w:ind w:left="190"/>
              <w:rPr>
                <w:sz w:val="16"/>
              </w:rPr>
            </w:pPr>
            <w:r>
              <w:rPr>
                <w:sz w:val="16"/>
              </w:rPr>
              <w:t>1,758</w:t>
            </w:r>
          </w:p>
        </w:tc>
        <w:tc>
          <w:tcPr>
            <w:tcW w:w="668" w:type="dxa"/>
          </w:tcPr>
          <w:p>
            <w:pPr>
              <w:pStyle w:val="TableParagraph"/>
              <w:rPr>
                <w:b/>
                <w:sz w:val="16"/>
              </w:rPr>
            </w:pPr>
          </w:p>
          <w:p>
            <w:pPr>
              <w:pStyle w:val="TableParagraph"/>
              <w:rPr>
                <w:b/>
                <w:sz w:val="15"/>
              </w:rPr>
            </w:pPr>
          </w:p>
          <w:p>
            <w:pPr>
              <w:pStyle w:val="TableParagraph"/>
              <w:ind w:right="76"/>
              <w:jc w:val="right"/>
              <w:rPr>
                <w:sz w:val="16"/>
              </w:rPr>
            </w:pPr>
            <w:r>
              <w:rPr>
                <w:w w:val="95"/>
                <w:sz w:val="16"/>
              </w:rPr>
              <w:t>1,496</w:t>
            </w:r>
          </w:p>
        </w:tc>
        <w:tc>
          <w:tcPr>
            <w:tcW w:w="1285" w:type="dxa"/>
          </w:tcPr>
          <w:p>
            <w:pPr>
              <w:pStyle w:val="TableParagraph"/>
              <w:rPr>
                <w:b/>
                <w:sz w:val="16"/>
              </w:rPr>
            </w:pPr>
          </w:p>
          <w:p>
            <w:pPr>
              <w:pStyle w:val="TableParagraph"/>
              <w:rPr>
                <w:b/>
                <w:sz w:val="15"/>
              </w:rPr>
            </w:pPr>
          </w:p>
          <w:p>
            <w:pPr>
              <w:pStyle w:val="TableParagraph"/>
              <w:tabs>
                <w:tab w:pos="668" w:val="left" w:leader="none"/>
              </w:tabs>
              <w:ind w:right="76"/>
              <w:jc w:val="right"/>
              <w:rPr>
                <w:sz w:val="16"/>
              </w:rPr>
            </w:pPr>
            <w:r>
              <w:rPr>
                <w:sz w:val="16"/>
              </w:rPr>
              <w:t>-</w:t>
              <w:tab/>
            </w:r>
            <w:r>
              <w:rPr>
                <w:w w:val="95"/>
                <w:sz w:val="16"/>
              </w:rPr>
              <w:t>-</w:t>
            </w:r>
          </w:p>
        </w:tc>
        <w:tc>
          <w:tcPr>
            <w:tcW w:w="554" w:type="dxa"/>
          </w:tcPr>
          <w:p>
            <w:pPr/>
          </w:p>
        </w:tc>
        <w:tc>
          <w:tcPr>
            <w:tcW w:w="987" w:type="dxa"/>
          </w:tcPr>
          <w:p>
            <w:pPr>
              <w:pStyle w:val="TableParagraph"/>
              <w:rPr>
                <w:b/>
                <w:sz w:val="16"/>
              </w:rPr>
            </w:pPr>
          </w:p>
          <w:p>
            <w:pPr>
              <w:pStyle w:val="TableParagraph"/>
              <w:rPr>
                <w:b/>
                <w:sz w:val="15"/>
              </w:rPr>
            </w:pPr>
          </w:p>
          <w:p>
            <w:pPr>
              <w:pStyle w:val="TableParagraph"/>
              <w:tabs>
                <w:tab w:pos="595" w:val="left" w:leader="none"/>
              </w:tabs>
              <w:ind w:right="76"/>
              <w:jc w:val="right"/>
              <w:rPr>
                <w:sz w:val="16"/>
              </w:rPr>
            </w:pPr>
            <w:r>
              <w:rPr>
                <w:sz w:val="16"/>
              </w:rPr>
              <w:t>-</w:t>
              <w:tab/>
            </w:r>
            <w:r>
              <w:rPr>
                <w:spacing w:val="-1"/>
                <w:sz w:val="16"/>
              </w:rPr>
              <w:t>90</w:t>
            </w:r>
          </w:p>
        </w:tc>
        <w:tc>
          <w:tcPr>
            <w:tcW w:w="770" w:type="dxa"/>
          </w:tcPr>
          <w:p>
            <w:pPr>
              <w:pStyle w:val="TableParagraph"/>
              <w:rPr>
                <w:b/>
                <w:sz w:val="16"/>
              </w:rPr>
            </w:pPr>
          </w:p>
          <w:p>
            <w:pPr>
              <w:pStyle w:val="TableParagraph"/>
              <w:rPr>
                <w:b/>
                <w:sz w:val="15"/>
              </w:rPr>
            </w:pPr>
          </w:p>
          <w:p>
            <w:pPr>
              <w:pStyle w:val="TableParagraph"/>
              <w:ind w:right="76"/>
              <w:jc w:val="right"/>
              <w:rPr>
                <w:sz w:val="16"/>
              </w:rPr>
            </w:pPr>
            <w:r>
              <w:rPr>
                <w:w w:val="95"/>
                <w:sz w:val="16"/>
              </w:rPr>
              <w:t>1,300</w:t>
            </w:r>
          </w:p>
        </w:tc>
        <w:tc>
          <w:tcPr>
            <w:tcW w:w="770" w:type="dxa"/>
          </w:tcPr>
          <w:p>
            <w:pPr>
              <w:pStyle w:val="TableParagraph"/>
              <w:rPr>
                <w:b/>
                <w:sz w:val="16"/>
              </w:rPr>
            </w:pPr>
          </w:p>
          <w:p>
            <w:pPr>
              <w:pStyle w:val="TableParagraph"/>
              <w:rPr>
                <w:b/>
                <w:sz w:val="15"/>
              </w:rPr>
            </w:pPr>
          </w:p>
          <w:p>
            <w:pPr>
              <w:pStyle w:val="TableParagraph"/>
              <w:ind w:left="292"/>
              <w:rPr>
                <w:sz w:val="16"/>
              </w:rPr>
            </w:pPr>
            <w:r>
              <w:rPr>
                <w:sz w:val="16"/>
              </w:rPr>
              <w:t>1,174</w:t>
            </w:r>
          </w:p>
        </w:tc>
        <w:tc>
          <w:tcPr>
            <w:tcW w:w="770" w:type="dxa"/>
          </w:tcPr>
          <w:p>
            <w:pPr>
              <w:pStyle w:val="TableParagraph"/>
              <w:rPr>
                <w:b/>
                <w:sz w:val="16"/>
              </w:rPr>
            </w:pPr>
          </w:p>
          <w:p>
            <w:pPr>
              <w:pStyle w:val="TableParagraph"/>
              <w:rPr>
                <w:b/>
                <w:sz w:val="15"/>
              </w:rPr>
            </w:pPr>
          </w:p>
          <w:p>
            <w:pPr>
              <w:pStyle w:val="TableParagraph"/>
              <w:ind w:right="77"/>
              <w:jc w:val="right"/>
              <w:rPr>
                <w:sz w:val="16"/>
              </w:rPr>
            </w:pPr>
            <w:r>
              <w:rPr>
                <w:w w:val="95"/>
                <w:sz w:val="16"/>
              </w:rPr>
              <w:t>13,525</w:t>
            </w:r>
          </w:p>
        </w:tc>
        <w:tc>
          <w:tcPr>
            <w:tcW w:w="770" w:type="dxa"/>
          </w:tcPr>
          <w:p>
            <w:pPr>
              <w:pStyle w:val="TableParagraph"/>
              <w:rPr>
                <w:b/>
                <w:sz w:val="16"/>
              </w:rPr>
            </w:pPr>
          </w:p>
          <w:p>
            <w:pPr>
              <w:pStyle w:val="TableParagraph"/>
              <w:rPr>
                <w:b/>
                <w:sz w:val="15"/>
              </w:rPr>
            </w:pPr>
          </w:p>
          <w:p>
            <w:pPr>
              <w:pStyle w:val="TableParagraph"/>
              <w:ind w:right="77"/>
              <w:jc w:val="right"/>
              <w:rPr>
                <w:sz w:val="16"/>
              </w:rPr>
            </w:pPr>
            <w:r>
              <w:rPr>
                <w:w w:val="95"/>
                <w:sz w:val="16"/>
              </w:rPr>
              <w:t>13,125</w:t>
            </w:r>
          </w:p>
        </w:tc>
      </w:tr>
      <w:tr>
        <w:trPr>
          <w:trHeight w:val="241" w:hRule="exact"/>
        </w:trPr>
        <w:tc>
          <w:tcPr>
            <w:tcW w:w="2982" w:type="dxa"/>
          </w:tcPr>
          <w:p>
            <w:pPr>
              <w:pStyle w:val="TableParagraph"/>
              <w:spacing w:before="20"/>
              <w:ind w:left="35" w:right="263"/>
              <w:rPr>
                <w:sz w:val="16"/>
              </w:rPr>
            </w:pPr>
            <w:r>
              <w:rPr>
                <w:sz w:val="16"/>
              </w:rPr>
              <w:t>Net accrual adjustments</w:t>
            </w:r>
          </w:p>
        </w:tc>
        <w:tc>
          <w:tcPr>
            <w:tcW w:w="497" w:type="dxa"/>
            <w:tcBorders>
              <w:bottom w:val="single" w:sz="0" w:space="0" w:color="000000"/>
            </w:tcBorders>
          </w:tcPr>
          <w:p>
            <w:pPr/>
          </w:p>
        </w:tc>
        <w:tc>
          <w:tcPr>
            <w:tcW w:w="846" w:type="dxa"/>
            <w:tcBorders>
              <w:bottom w:val="single" w:sz="0" w:space="0" w:color="000000"/>
            </w:tcBorders>
          </w:tcPr>
          <w:p>
            <w:pPr>
              <w:pStyle w:val="TableParagraph"/>
              <w:spacing w:before="19"/>
              <w:ind w:right="75"/>
              <w:jc w:val="right"/>
              <w:rPr>
                <w:sz w:val="16"/>
              </w:rPr>
            </w:pPr>
            <w:r>
              <w:rPr>
                <w:w w:val="99"/>
                <w:sz w:val="16"/>
              </w:rPr>
              <w:t>-</w:t>
            </w:r>
          </w:p>
        </w:tc>
        <w:tc>
          <w:tcPr>
            <w:tcW w:w="770" w:type="dxa"/>
            <w:tcBorders>
              <w:bottom w:val="single" w:sz="0" w:space="0" w:color="000000"/>
            </w:tcBorders>
          </w:tcPr>
          <w:p>
            <w:pPr>
              <w:pStyle w:val="TableParagraph"/>
              <w:spacing w:before="19"/>
              <w:ind w:right="75"/>
              <w:jc w:val="right"/>
              <w:rPr>
                <w:sz w:val="16"/>
              </w:rPr>
            </w:pPr>
            <w:r>
              <w:rPr>
                <w:w w:val="99"/>
                <w:sz w:val="16"/>
              </w:rPr>
              <w:t>-</w:t>
            </w:r>
          </w:p>
        </w:tc>
        <w:tc>
          <w:tcPr>
            <w:tcW w:w="770" w:type="dxa"/>
            <w:tcBorders>
              <w:bottom w:val="single" w:sz="0" w:space="0" w:color="000000"/>
            </w:tcBorders>
          </w:tcPr>
          <w:p>
            <w:pPr>
              <w:pStyle w:val="TableParagraph"/>
              <w:spacing w:before="19"/>
              <w:ind w:right="75"/>
              <w:jc w:val="right"/>
              <w:rPr>
                <w:sz w:val="16"/>
              </w:rPr>
            </w:pPr>
            <w:r>
              <w:rPr>
                <w:w w:val="99"/>
                <w:sz w:val="16"/>
              </w:rPr>
              <w:t>-</w:t>
            </w:r>
          </w:p>
        </w:tc>
        <w:tc>
          <w:tcPr>
            <w:tcW w:w="770" w:type="dxa"/>
            <w:tcBorders>
              <w:bottom w:val="single" w:sz="0" w:space="0" w:color="000000"/>
            </w:tcBorders>
          </w:tcPr>
          <w:p>
            <w:pPr>
              <w:pStyle w:val="TableParagraph"/>
              <w:spacing w:before="19"/>
              <w:ind w:right="75"/>
              <w:jc w:val="right"/>
              <w:rPr>
                <w:sz w:val="16"/>
              </w:rPr>
            </w:pPr>
            <w:r>
              <w:rPr>
                <w:w w:val="99"/>
                <w:sz w:val="16"/>
              </w:rPr>
              <w:t>-</w:t>
            </w:r>
          </w:p>
        </w:tc>
        <w:tc>
          <w:tcPr>
            <w:tcW w:w="668" w:type="dxa"/>
            <w:tcBorders>
              <w:bottom w:val="single" w:sz="0" w:space="0" w:color="000000"/>
            </w:tcBorders>
          </w:tcPr>
          <w:p>
            <w:pPr>
              <w:pStyle w:val="TableParagraph"/>
              <w:spacing w:before="19"/>
              <w:ind w:right="75"/>
              <w:jc w:val="right"/>
              <w:rPr>
                <w:sz w:val="16"/>
              </w:rPr>
            </w:pPr>
            <w:r>
              <w:rPr>
                <w:w w:val="99"/>
                <w:sz w:val="16"/>
              </w:rPr>
              <w:t>-</w:t>
            </w:r>
          </w:p>
        </w:tc>
        <w:tc>
          <w:tcPr>
            <w:tcW w:w="668" w:type="dxa"/>
            <w:tcBorders>
              <w:bottom w:val="single" w:sz="0" w:space="0" w:color="000000"/>
            </w:tcBorders>
          </w:tcPr>
          <w:p>
            <w:pPr>
              <w:pStyle w:val="TableParagraph"/>
              <w:spacing w:before="19"/>
              <w:ind w:right="75"/>
              <w:jc w:val="right"/>
              <w:rPr>
                <w:sz w:val="16"/>
              </w:rPr>
            </w:pPr>
            <w:r>
              <w:rPr>
                <w:w w:val="99"/>
                <w:sz w:val="16"/>
              </w:rPr>
              <w:t>-</w:t>
            </w:r>
          </w:p>
        </w:tc>
        <w:tc>
          <w:tcPr>
            <w:tcW w:w="1285" w:type="dxa"/>
            <w:tcBorders>
              <w:bottom w:val="single" w:sz="0" w:space="0" w:color="000000"/>
            </w:tcBorders>
          </w:tcPr>
          <w:p>
            <w:pPr>
              <w:pStyle w:val="TableParagraph"/>
              <w:tabs>
                <w:tab w:pos="668" w:val="left" w:leader="none"/>
              </w:tabs>
              <w:spacing w:before="19"/>
              <w:ind w:right="75"/>
              <w:jc w:val="right"/>
              <w:rPr>
                <w:sz w:val="16"/>
              </w:rPr>
            </w:pPr>
            <w:r>
              <w:rPr>
                <w:sz w:val="16"/>
              </w:rPr>
              <w:t>-</w:t>
              <w:tab/>
            </w:r>
            <w:r>
              <w:rPr>
                <w:w w:val="95"/>
                <w:sz w:val="16"/>
              </w:rPr>
              <w:t>-</w:t>
            </w:r>
          </w:p>
        </w:tc>
        <w:tc>
          <w:tcPr>
            <w:tcW w:w="554" w:type="dxa"/>
            <w:tcBorders>
              <w:bottom w:val="single" w:sz="0" w:space="0" w:color="000000"/>
            </w:tcBorders>
          </w:tcPr>
          <w:p>
            <w:pPr/>
          </w:p>
        </w:tc>
        <w:tc>
          <w:tcPr>
            <w:tcW w:w="987" w:type="dxa"/>
            <w:tcBorders>
              <w:bottom w:val="single" w:sz="0" w:space="0" w:color="000000"/>
            </w:tcBorders>
          </w:tcPr>
          <w:p>
            <w:pPr>
              <w:pStyle w:val="TableParagraph"/>
              <w:tabs>
                <w:tab w:pos="719" w:val="left" w:leader="none"/>
              </w:tabs>
              <w:spacing w:before="19"/>
              <w:ind w:right="75"/>
              <w:jc w:val="right"/>
              <w:rPr>
                <w:sz w:val="16"/>
              </w:rPr>
            </w:pPr>
            <w:r>
              <w:rPr>
                <w:sz w:val="16"/>
              </w:rPr>
              <w:t>-</w:t>
              <w:tab/>
            </w:r>
            <w:r>
              <w:rPr>
                <w:w w:val="95"/>
                <w:sz w:val="16"/>
              </w:rPr>
              <w:t>-</w:t>
            </w:r>
          </w:p>
        </w:tc>
        <w:tc>
          <w:tcPr>
            <w:tcW w:w="770" w:type="dxa"/>
            <w:tcBorders>
              <w:bottom w:val="single" w:sz="0" w:space="0" w:color="000000"/>
            </w:tcBorders>
          </w:tcPr>
          <w:p>
            <w:pPr>
              <w:pStyle w:val="TableParagraph"/>
              <w:spacing w:before="19"/>
              <w:ind w:right="75"/>
              <w:jc w:val="right"/>
              <w:rPr>
                <w:sz w:val="16"/>
              </w:rPr>
            </w:pPr>
            <w:r>
              <w:rPr>
                <w:w w:val="99"/>
                <w:sz w:val="16"/>
              </w:rPr>
              <w:t>-</w:t>
            </w:r>
          </w:p>
        </w:tc>
        <w:tc>
          <w:tcPr>
            <w:tcW w:w="770" w:type="dxa"/>
            <w:tcBorders>
              <w:bottom w:val="single" w:sz="0" w:space="0" w:color="000000"/>
            </w:tcBorders>
          </w:tcPr>
          <w:p>
            <w:pPr>
              <w:pStyle w:val="TableParagraph"/>
              <w:spacing w:before="19"/>
              <w:ind w:right="75"/>
              <w:jc w:val="right"/>
              <w:rPr>
                <w:sz w:val="16"/>
              </w:rPr>
            </w:pPr>
            <w:r>
              <w:rPr>
                <w:w w:val="99"/>
                <w:sz w:val="16"/>
              </w:rPr>
              <w:t>-</w:t>
            </w:r>
          </w:p>
        </w:tc>
        <w:tc>
          <w:tcPr>
            <w:tcW w:w="770" w:type="dxa"/>
            <w:tcBorders>
              <w:bottom w:val="single" w:sz="0" w:space="0" w:color="000000"/>
            </w:tcBorders>
          </w:tcPr>
          <w:p>
            <w:pPr>
              <w:pStyle w:val="TableParagraph"/>
              <w:spacing w:before="19"/>
              <w:ind w:right="75"/>
              <w:jc w:val="right"/>
              <w:rPr>
                <w:sz w:val="16"/>
              </w:rPr>
            </w:pPr>
            <w:r>
              <w:rPr>
                <w:w w:val="99"/>
                <w:sz w:val="16"/>
              </w:rPr>
              <w:t>-</w:t>
            </w:r>
          </w:p>
        </w:tc>
        <w:tc>
          <w:tcPr>
            <w:tcW w:w="770" w:type="dxa"/>
            <w:tcBorders>
              <w:bottom w:val="single" w:sz="0" w:space="0" w:color="000000"/>
            </w:tcBorders>
          </w:tcPr>
          <w:p>
            <w:pPr>
              <w:pStyle w:val="TableParagraph"/>
              <w:spacing w:before="19"/>
              <w:ind w:right="75"/>
              <w:jc w:val="right"/>
              <w:rPr>
                <w:sz w:val="16"/>
              </w:rPr>
            </w:pPr>
            <w:r>
              <w:rPr>
                <w:w w:val="99"/>
                <w:sz w:val="16"/>
              </w:rPr>
              <w:t>-</w:t>
            </w:r>
          </w:p>
        </w:tc>
      </w:tr>
      <w:tr>
        <w:trPr>
          <w:trHeight w:val="259" w:hRule="exact"/>
        </w:trPr>
        <w:tc>
          <w:tcPr>
            <w:tcW w:w="2982" w:type="dxa"/>
          </w:tcPr>
          <w:p>
            <w:pPr/>
          </w:p>
        </w:tc>
        <w:tc>
          <w:tcPr>
            <w:tcW w:w="497" w:type="dxa"/>
            <w:tcBorders>
              <w:top w:val="single" w:sz="0" w:space="0" w:color="000000"/>
            </w:tcBorders>
          </w:tcPr>
          <w:p>
            <w:pPr>
              <w:pStyle w:val="TableParagraph"/>
              <w:spacing w:before="37"/>
              <w:ind w:left="40"/>
              <w:rPr>
                <w:sz w:val="16"/>
              </w:rPr>
            </w:pPr>
            <w:r>
              <w:rPr>
                <w:sz w:val="16"/>
              </w:rPr>
              <w:t>2(d)</w:t>
            </w:r>
          </w:p>
        </w:tc>
        <w:tc>
          <w:tcPr>
            <w:tcW w:w="846" w:type="dxa"/>
            <w:tcBorders>
              <w:top w:val="single" w:sz="0" w:space="0" w:color="000000"/>
            </w:tcBorders>
          </w:tcPr>
          <w:p>
            <w:pPr>
              <w:pStyle w:val="TableParagraph"/>
              <w:spacing w:before="38"/>
              <w:ind w:right="76"/>
              <w:jc w:val="right"/>
              <w:rPr>
                <w:sz w:val="16"/>
              </w:rPr>
            </w:pPr>
            <w:r>
              <w:rPr>
                <w:w w:val="95"/>
                <w:sz w:val="16"/>
              </w:rPr>
              <w:t>3,229</w:t>
            </w:r>
          </w:p>
        </w:tc>
        <w:tc>
          <w:tcPr>
            <w:tcW w:w="770" w:type="dxa"/>
            <w:tcBorders>
              <w:top w:val="single" w:sz="0" w:space="0" w:color="000000"/>
            </w:tcBorders>
          </w:tcPr>
          <w:p>
            <w:pPr>
              <w:pStyle w:val="TableParagraph"/>
              <w:spacing w:before="38"/>
              <w:ind w:left="292"/>
              <w:rPr>
                <w:sz w:val="16"/>
              </w:rPr>
            </w:pPr>
            <w:r>
              <w:rPr>
                <w:sz w:val="16"/>
              </w:rPr>
              <w:t>3,046</w:t>
            </w:r>
          </w:p>
        </w:tc>
        <w:tc>
          <w:tcPr>
            <w:tcW w:w="770" w:type="dxa"/>
            <w:tcBorders>
              <w:top w:val="single" w:sz="0" w:space="0" w:color="000000"/>
            </w:tcBorders>
          </w:tcPr>
          <w:p>
            <w:pPr>
              <w:pStyle w:val="TableParagraph"/>
              <w:spacing w:before="38"/>
              <w:ind w:left="292"/>
              <w:rPr>
                <w:sz w:val="16"/>
              </w:rPr>
            </w:pPr>
            <w:r>
              <w:rPr>
                <w:sz w:val="16"/>
              </w:rPr>
              <w:t>7,238</w:t>
            </w:r>
          </w:p>
        </w:tc>
        <w:tc>
          <w:tcPr>
            <w:tcW w:w="770" w:type="dxa"/>
            <w:tcBorders>
              <w:top w:val="single" w:sz="0" w:space="0" w:color="000000"/>
            </w:tcBorders>
          </w:tcPr>
          <w:p>
            <w:pPr>
              <w:pStyle w:val="TableParagraph"/>
              <w:spacing w:before="38"/>
              <w:ind w:right="76"/>
              <w:jc w:val="right"/>
              <w:rPr>
                <w:sz w:val="16"/>
              </w:rPr>
            </w:pPr>
            <w:r>
              <w:rPr>
                <w:w w:val="95"/>
                <w:sz w:val="16"/>
              </w:rPr>
              <w:t>7,319</w:t>
            </w:r>
          </w:p>
        </w:tc>
        <w:tc>
          <w:tcPr>
            <w:tcW w:w="668" w:type="dxa"/>
            <w:tcBorders>
              <w:top w:val="single" w:sz="0" w:space="0" w:color="000000"/>
            </w:tcBorders>
          </w:tcPr>
          <w:p>
            <w:pPr>
              <w:pStyle w:val="TableParagraph"/>
              <w:spacing w:before="38"/>
              <w:ind w:left="190"/>
              <w:rPr>
                <w:sz w:val="16"/>
              </w:rPr>
            </w:pPr>
            <w:r>
              <w:rPr>
                <w:sz w:val="16"/>
              </w:rPr>
              <w:t>1,758</w:t>
            </w:r>
          </w:p>
        </w:tc>
        <w:tc>
          <w:tcPr>
            <w:tcW w:w="668" w:type="dxa"/>
            <w:tcBorders>
              <w:top w:val="single" w:sz="0" w:space="0" w:color="000000"/>
            </w:tcBorders>
          </w:tcPr>
          <w:p>
            <w:pPr>
              <w:pStyle w:val="TableParagraph"/>
              <w:spacing w:before="38"/>
              <w:ind w:right="76"/>
              <w:jc w:val="right"/>
              <w:rPr>
                <w:sz w:val="16"/>
              </w:rPr>
            </w:pPr>
            <w:r>
              <w:rPr>
                <w:w w:val="95"/>
                <w:sz w:val="16"/>
              </w:rPr>
              <w:t>1,496</w:t>
            </w:r>
          </w:p>
        </w:tc>
        <w:tc>
          <w:tcPr>
            <w:tcW w:w="1285" w:type="dxa"/>
            <w:tcBorders>
              <w:top w:val="single" w:sz="0" w:space="0" w:color="000000"/>
            </w:tcBorders>
          </w:tcPr>
          <w:p>
            <w:pPr>
              <w:pStyle w:val="TableParagraph"/>
              <w:tabs>
                <w:tab w:pos="668" w:val="left" w:leader="none"/>
              </w:tabs>
              <w:spacing w:before="38"/>
              <w:ind w:right="75"/>
              <w:jc w:val="right"/>
              <w:rPr>
                <w:sz w:val="16"/>
              </w:rPr>
            </w:pPr>
            <w:r>
              <w:rPr>
                <w:sz w:val="16"/>
              </w:rPr>
              <w:t>-</w:t>
              <w:tab/>
            </w:r>
            <w:r>
              <w:rPr>
                <w:w w:val="95"/>
                <w:sz w:val="16"/>
              </w:rPr>
              <w:t>-</w:t>
            </w:r>
          </w:p>
        </w:tc>
        <w:tc>
          <w:tcPr>
            <w:tcW w:w="554" w:type="dxa"/>
            <w:tcBorders>
              <w:top w:val="single" w:sz="0" w:space="0" w:color="000000"/>
            </w:tcBorders>
          </w:tcPr>
          <w:p>
            <w:pPr/>
          </w:p>
        </w:tc>
        <w:tc>
          <w:tcPr>
            <w:tcW w:w="987" w:type="dxa"/>
            <w:tcBorders>
              <w:top w:val="single" w:sz="0" w:space="0" w:color="000000"/>
            </w:tcBorders>
          </w:tcPr>
          <w:p>
            <w:pPr>
              <w:pStyle w:val="TableParagraph"/>
              <w:tabs>
                <w:tab w:pos="595" w:val="left" w:leader="none"/>
              </w:tabs>
              <w:spacing w:before="38"/>
              <w:ind w:right="76"/>
              <w:jc w:val="right"/>
              <w:rPr>
                <w:sz w:val="16"/>
              </w:rPr>
            </w:pPr>
            <w:r>
              <w:rPr>
                <w:sz w:val="16"/>
              </w:rPr>
              <w:t>-</w:t>
              <w:tab/>
            </w:r>
            <w:r>
              <w:rPr>
                <w:spacing w:val="-1"/>
                <w:sz w:val="16"/>
              </w:rPr>
              <w:t>90</w:t>
            </w:r>
          </w:p>
        </w:tc>
        <w:tc>
          <w:tcPr>
            <w:tcW w:w="770" w:type="dxa"/>
            <w:tcBorders>
              <w:top w:val="single" w:sz="0" w:space="0" w:color="000000"/>
            </w:tcBorders>
          </w:tcPr>
          <w:p>
            <w:pPr>
              <w:pStyle w:val="TableParagraph"/>
              <w:spacing w:before="38"/>
              <w:ind w:right="76"/>
              <w:jc w:val="right"/>
              <w:rPr>
                <w:sz w:val="16"/>
              </w:rPr>
            </w:pPr>
            <w:r>
              <w:rPr>
                <w:w w:val="95"/>
                <w:sz w:val="16"/>
              </w:rPr>
              <w:t>1,300</w:t>
            </w:r>
          </w:p>
        </w:tc>
        <w:tc>
          <w:tcPr>
            <w:tcW w:w="770" w:type="dxa"/>
            <w:tcBorders>
              <w:top w:val="single" w:sz="0" w:space="0" w:color="000000"/>
            </w:tcBorders>
          </w:tcPr>
          <w:p>
            <w:pPr>
              <w:pStyle w:val="TableParagraph"/>
              <w:spacing w:before="38"/>
              <w:ind w:left="292"/>
              <w:rPr>
                <w:sz w:val="16"/>
              </w:rPr>
            </w:pPr>
            <w:r>
              <w:rPr>
                <w:sz w:val="16"/>
              </w:rPr>
              <w:t>1,174</w:t>
            </w:r>
          </w:p>
        </w:tc>
        <w:tc>
          <w:tcPr>
            <w:tcW w:w="770" w:type="dxa"/>
            <w:tcBorders>
              <w:top w:val="single" w:sz="0" w:space="0" w:color="000000"/>
            </w:tcBorders>
          </w:tcPr>
          <w:p>
            <w:pPr>
              <w:pStyle w:val="TableParagraph"/>
              <w:spacing w:before="38"/>
              <w:ind w:right="76"/>
              <w:jc w:val="right"/>
              <w:rPr>
                <w:sz w:val="16"/>
              </w:rPr>
            </w:pPr>
            <w:r>
              <w:rPr>
                <w:w w:val="95"/>
                <w:sz w:val="16"/>
              </w:rPr>
              <w:t>13,525</w:t>
            </w:r>
          </w:p>
        </w:tc>
        <w:tc>
          <w:tcPr>
            <w:tcW w:w="770" w:type="dxa"/>
            <w:tcBorders>
              <w:top w:val="single" w:sz="0" w:space="0" w:color="000000"/>
            </w:tcBorders>
          </w:tcPr>
          <w:p>
            <w:pPr>
              <w:pStyle w:val="TableParagraph"/>
              <w:spacing w:before="38"/>
              <w:ind w:right="76"/>
              <w:jc w:val="right"/>
              <w:rPr>
                <w:sz w:val="16"/>
              </w:rPr>
            </w:pPr>
            <w:r>
              <w:rPr>
                <w:w w:val="95"/>
                <w:sz w:val="16"/>
              </w:rPr>
              <w:t>13,125</w:t>
            </w:r>
          </w:p>
        </w:tc>
      </w:tr>
      <w:tr>
        <w:trPr>
          <w:trHeight w:val="423" w:hRule="exact"/>
        </w:trPr>
        <w:tc>
          <w:tcPr>
            <w:tcW w:w="2982" w:type="dxa"/>
          </w:tcPr>
          <w:p>
            <w:pPr>
              <w:pStyle w:val="TableParagraph"/>
              <w:spacing w:before="19"/>
              <w:ind w:left="35" w:right="263"/>
              <w:rPr>
                <w:sz w:val="16"/>
              </w:rPr>
            </w:pPr>
            <w:r>
              <w:rPr>
                <w:sz w:val="16"/>
              </w:rPr>
              <w:t>Surplus/(deficit) from the previous year</w:t>
            </w:r>
          </w:p>
        </w:tc>
        <w:tc>
          <w:tcPr>
            <w:tcW w:w="497" w:type="dxa"/>
            <w:tcBorders>
              <w:bottom w:val="single" w:sz="0" w:space="0" w:color="000000"/>
            </w:tcBorders>
          </w:tcPr>
          <w:p>
            <w:pPr/>
          </w:p>
        </w:tc>
        <w:tc>
          <w:tcPr>
            <w:tcW w:w="846" w:type="dxa"/>
            <w:tcBorders>
              <w:bottom w:val="single" w:sz="0" w:space="0" w:color="000000"/>
            </w:tcBorders>
          </w:tcPr>
          <w:p>
            <w:pPr>
              <w:pStyle w:val="TableParagraph"/>
              <w:spacing w:before="6"/>
              <w:rPr>
                <w:b/>
                <w:sz w:val="17"/>
              </w:rPr>
            </w:pPr>
          </w:p>
          <w:p>
            <w:pPr>
              <w:pStyle w:val="TableParagraph"/>
              <w:ind w:right="76"/>
              <w:jc w:val="right"/>
              <w:rPr>
                <w:sz w:val="16"/>
              </w:rPr>
            </w:pPr>
            <w:r>
              <w:rPr>
                <w:w w:val="95"/>
                <w:sz w:val="16"/>
              </w:rPr>
              <w:t>516</w:t>
            </w:r>
          </w:p>
        </w:tc>
        <w:tc>
          <w:tcPr>
            <w:tcW w:w="770" w:type="dxa"/>
            <w:tcBorders>
              <w:bottom w:val="single" w:sz="0" w:space="0" w:color="000000"/>
            </w:tcBorders>
          </w:tcPr>
          <w:p>
            <w:pPr>
              <w:pStyle w:val="TableParagraph"/>
              <w:spacing w:before="6"/>
              <w:rPr>
                <w:b/>
                <w:sz w:val="17"/>
              </w:rPr>
            </w:pPr>
          </w:p>
          <w:p>
            <w:pPr>
              <w:pStyle w:val="TableParagraph"/>
              <w:ind w:right="76"/>
              <w:jc w:val="right"/>
              <w:rPr>
                <w:sz w:val="16"/>
              </w:rPr>
            </w:pPr>
            <w:r>
              <w:rPr>
                <w:w w:val="95"/>
                <w:sz w:val="16"/>
              </w:rPr>
              <w:t>814</w:t>
            </w:r>
          </w:p>
        </w:tc>
        <w:tc>
          <w:tcPr>
            <w:tcW w:w="770" w:type="dxa"/>
            <w:tcBorders>
              <w:bottom w:val="single" w:sz="0" w:space="0" w:color="000000"/>
            </w:tcBorders>
          </w:tcPr>
          <w:p>
            <w:pPr>
              <w:pStyle w:val="TableParagraph"/>
              <w:spacing w:before="6"/>
              <w:rPr>
                <w:b/>
                <w:sz w:val="17"/>
              </w:rPr>
            </w:pPr>
          </w:p>
          <w:p>
            <w:pPr>
              <w:pStyle w:val="TableParagraph"/>
              <w:ind w:right="75"/>
              <w:jc w:val="right"/>
              <w:rPr>
                <w:sz w:val="16"/>
              </w:rPr>
            </w:pPr>
            <w:r>
              <w:rPr>
                <w:w w:val="99"/>
                <w:sz w:val="16"/>
              </w:rPr>
              <w:t>-</w:t>
            </w:r>
          </w:p>
        </w:tc>
        <w:tc>
          <w:tcPr>
            <w:tcW w:w="770" w:type="dxa"/>
            <w:tcBorders>
              <w:bottom w:val="single" w:sz="0" w:space="0" w:color="000000"/>
            </w:tcBorders>
          </w:tcPr>
          <w:p>
            <w:pPr>
              <w:pStyle w:val="TableParagraph"/>
              <w:spacing w:before="6"/>
              <w:rPr>
                <w:b/>
                <w:sz w:val="17"/>
              </w:rPr>
            </w:pPr>
          </w:p>
          <w:p>
            <w:pPr>
              <w:pStyle w:val="TableParagraph"/>
              <w:ind w:right="76"/>
              <w:jc w:val="right"/>
              <w:rPr>
                <w:sz w:val="16"/>
              </w:rPr>
            </w:pPr>
            <w:r>
              <w:rPr>
                <w:w w:val="95"/>
                <w:sz w:val="16"/>
              </w:rPr>
              <w:t>455</w:t>
            </w:r>
          </w:p>
        </w:tc>
        <w:tc>
          <w:tcPr>
            <w:tcW w:w="668" w:type="dxa"/>
            <w:tcBorders>
              <w:bottom w:val="single" w:sz="0" w:space="0" w:color="000000"/>
            </w:tcBorders>
          </w:tcPr>
          <w:p>
            <w:pPr>
              <w:pStyle w:val="TableParagraph"/>
              <w:spacing w:before="6"/>
              <w:rPr>
                <w:b/>
                <w:sz w:val="17"/>
              </w:rPr>
            </w:pPr>
          </w:p>
          <w:p>
            <w:pPr>
              <w:pStyle w:val="TableParagraph"/>
              <w:ind w:left="323"/>
              <w:rPr>
                <w:sz w:val="16"/>
              </w:rPr>
            </w:pPr>
            <w:r>
              <w:rPr>
                <w:sz w:val="16"/>
              </w:rPr>
              <w:t>178</w:t>
            </w:r>
          </w:p>
        </w:tc>
        <w:tc>
          <w:tcPr>
            <w:tcW w:w="668" w:type="dxa"/>
            <w:tcBorders>
              <w:bottom w:val="single" w:sz="0" w:space="0" w:color="000000"/>
            </w:tcBorders>
          </w:tcPr>
          <w:p>
            <w:pPr>
              <w:pStyle w:val="TableParagraph"/>
              <w:spacing w:before="6"/>
              <w:rPr>
                <w:b/>
                <w:sz w:val="17"/>
              </w:rPr>
            </w:pPr>
          </w:p>
          <w:p>
            <w:pPr>
              <w:pStyle w:val="TableParagraph"/>
              <w:ind w:right="76"/>
              <w:jc w:val="right"/>
              <w:rPr>
                <w:sz w:val="16"/>
              </w:rPr>
            </w:pPr>
            <w:r>
              <w:rPr>
                <w:w w:val="95"/>
                <w:sz w:val="16"/>
              </w:rPr>
              <w:t>372</w:t>
            </w:r>
          </w:p>
        </w:tc>
        <w:tc>
          <w:tcPr>
            <w:tcW w:w="1285" w:type="dxa"/>
            <w:tcBorders>
              <w:bottom w:val="single" w:sz="0" w:space="0" w:color="000000"/>
            </w:tcBorders>
          </w:tcPr>
          <w:p>
            <w:pPr>
              <w:pStyle w:val="TableParagraph"/>
              <w:spacing w:before="6"/>
              <w:rPr>
                <w:b/>
                <w:sz w:val="17"/>
              </w:rPr>
            </w:pPr>
          </w:p>
          <w:p>
            <w:pPr>
              <w:pStyle w:val="TableParagraph"/>
              <w:tabs>
                <w:tab w:pos="454" w:val="left" w:leader="none"/>
              </w:tabs>
              <w:ind w:right="76"/>
              <w:jc w:val="right"/>
              <w:rPr>
                <w:sz w:val="16"/>
              </w:rPr>
            </w:pPr>
            <w:r>
              <w:rPr>
                <w:sz w:val="16"/>
              </w:rPr>
              <w:t>-</w:t>
              <w:tab/>
            </w:r>
            <w:r>
              <w:rPr>
                <w:w w:val="95"/>
                <w:sz w:val="16"/>
              </w:rPr>
              <w:t>125</w:t>
            </w:r>
          </w:p>
        </w:tc>
        <w:tc>
          <w:tcPr>
            <w:tcW w:w="554" w:type="dxa"/>
            <w:tcBorders>
              <w:bottom w:val="single" w:sz="0" w:space="0" w:color="000000"/>
            </w:tcBorders>
          </w:tcPr>
          <w:p>
            <w:pPr/>
          </w:p>
        </w:tc>
        <w:tc>
          <w:tcPr>
            <w:tcW w:w="987" w:type="dxa"/>
            <w:tcBorders>
              <w:bottom w:val="single" w:sz="0" w:space="0" w:color="000000"/>
            </w:tcBorders>
          </w:tcPr>
          <w:p>
            <w:pPr>
              <w:pStyle w:val="TableParagraph"/>
              <w:spacing w:before="6"/>
              <w:rPr>
                <w:b/>
                <w:sz w:val="17"/>
              </w:rPr>
            </w:pPr>
          </w:p>
          <w:p>
            <w:pPr>
              <w:pStyle w:val="TableParagraph"/>
              <w:tabs>
                <w:tab w:pos="595" w:val="left" w:leader="none"/>
              </w:tabs>
              <w:ind w:right="76"/>
              <w:jc w:val="right"/>
              <w:rPr>
                <w:sz w:val="16"/>
              </w:rPr>
            </w:pPr>
            <w:r>
              <w:rPr>
                <w:sz w:val="16"/>
              </w:rPr>
              <w:t>-</w:t>
              <w:tab/>
            </w:r>
            <w:r>
              <w:rPr>
                <w:spacing w:val="-1"/>
                <w:sz w:val="16"/>
              </w:rPr>
              <w:t>34</w:t>
            </w:r>
          </w:p>
        </w:tc>
        <w:tc>
          <w:tcPr>
            <w:tcW w:w="770" w:type="dxa"/>
            <w:tcBorders>
              <w:bottom w:val="single" w:sz="0" w:space="0" w:color="000000"/>
            </w:tcBorders>
          </w:tcPr>
          <w:p>
            <w:pPr>
              <w:pStyle w:val="TableParagraph"/>
              <w:spacing w:before="6"/>
              <w:rPr>
                <w:b/>
                <w:sz w:val="17"/>
              </w:rPr>
            </w:pPr>
          </w:p>
          <w:p>
            <w:pPr>
              <w:pStyle w:val="TableParagraph"/>
              <w:ind w:right="76"/>
              <w:jc w:val="right"/>
              <w:rPr>
                <w:sz w:val="16"/>
              </w:rPr>
            </w:pPr>
            <w:r>
              <w:rPr>
                <w:w w:val="95"/>
                <w:sz w:val="16"/>
              </w:rPr>
              <w:t>414</w:t>
            </w:r>
          </w:p>
        </w:tc>
        <w:tc>
          <w:tcPr>
            <w:tcW w:w="770" w:type="dxa"/>
            <w:tcBorders>
              <w:bottom w:val="single" w:sz="0" w:space="0" w:color="000000"/>
            </w:tcBorders>
          </w:tcPr>
          <w:p>
            <w:pPr>
              <w:pStyle w:val="TableParagraph"/>
              <w:spacing w:before="6"/>
              <w:rPr>
                <w:b/>
                <w:sz w:val="17"/>
              </w:rPr>
            </w:pPr>
          </w:p>
          <w:p>
            <w:pPr>
              <w:pStyle w:val="TableParagraph"/>
              <w:ind w:right="76"/>
              <w:jc w:val="right"/>
              <w:rPr>
                <w:sz w:val="16"/>
              </w:rPr>
            </w:pPr>
            <w:r>
              <w:rPr>
                <w:w w:val="95"/>
                <w:sz w:val="16"/>
              </w:rPr>
              <w:t>631</w:t>
            </w:r>
          </w:p>
        </w:tc>
        <w:tc>
          <w:tcPr>
            <w:tcW w:w="770" w:type="dxa"/>
            <w:tcBorders>
              <w:bottom w:val="single" w:sz="0" w:space="0" w:color="000000"/>
            </w:tcBorders>
          </w:tcPr>
          <w:p>
            <w:pPr>
              <w:pStyle w:val="TableParagraph"/>
              <w:spacing w:before="6"/>
              <w:rPr>
                <w:b/>
                <w:sz w:val="17"/>
              </w:rPr>
            </w:pPr>
          </w:p>
          <w:p>
            <w:pPr>
              <w:pStyle w:val="TableParagraph"/>
              <w:ind w:right="77"/>
              <w:jc w:val="right"/>
              <w:rPr>
                <w:sz w:val="16"/>
              </w:rPr>
            </w:pPr>
            <w:r>
              <w:rPr>
                <w:w w:val="95"/>
                <w:sz w:val="16"/>
              </w:rPr>
              <w:t>1,108</w:t>
            </w:r>
          </w:p>
        </w:tc>
        <w:tc>
          <w:tcPr>
            <w:tcW w:w="770" w:type="dxa"/>
            <w:tcBorders>
              <w:bottom w:val="single" w:sz="0" w:space="0" w:color="000000"/>
            </w:tcBorders>
          </w:tcPr>
          <w:p>
            <w:pPr>
              <w:pStyle w:val="TableParagraph"/>
              <w:spacing w:before="6"/>
              <w:rPr>
                <w:b/>
                <w:sz w:val="17"/>
              </w:rPr>
            </w:pPr>
          </w:p>
          <w:p>
            <w:pPr>
              <w:pStyle w:val="TableParagraph"/>
              <w:ind w:right="77"/>
              <w:jc w:val="right"/>
              <w:rPr>
                <w:sz w:val="16"/>
              </w:rPr>
            </w:pPr>
            <w:r>
              <w:rPr>
                <w:w w:val="95"/>
                <w:sz w:val="16"/>
              </w:rPr>
              <w:t>2,431</w:t>
            </w:r>
          </w:p>
        </w:tc>
      </w:tr>
      <w:tr>
        <w:trPr>
          <w:trHeight w:val="441" w:hRule="exact"/>
        </w:trPr>
        <w:tc>
          <w:tcPr>
            <w:tcW w:w="2982" w:type="dxa"/>
          </w:tcPr>
          <w:p>
            <w:pPr>
              <w:pStyle w:val="TableParagraph"/>
              <w:spacing w:before="37"/>
              <w:ind w:left="35" w:right="263"/>
              <w:rPr>
                <w:sz w:val="16"/>
              </w:rPr>
            </w:pPr>
            <w:r>
              <w:rPr>
                <w:sz w:val="16"/>
              </w:rPr>
              <w:t>Total revenue including accrued revenue</w:t>
            </w:r>
          </w:p>
        </w:tc>
        <w:tc>
          <w:tcPr>
            <w:tcW w:w="497" w:type="dxa"/>
            <w:tcBorders>
              <w:top w:val="single" w:sz="0" w:space="0" w:color="000000"/>
            </w:tcBorders>
          </w:tcPr>
          <w:p>
            <w:pPr/>
          </w:p>
        </w:tc>
        <w:tc>
          <w:tcPr>
            <w:tcW w:w="846" w:type="dxa"/>
            <w:tcBorders>
              <w:top w:val="single" w:sz="0" w:space="0" w:color="000000"/>
            </w:tcBorders>
          </w:tcPr>
          <w:p>
            <w:pPr>
              <w:pStyle w:val="TableParagraph"/>
              <w:spacing w:before="1"/>
              <w:rPr>
                <w:b/>
                <w:sz w:val="19"/>
              </w:rPr>
            </w:pPr>
          </w:p>
          <w:p>
            <w:pPr>
              <w:pStyle w:val="TableParagraph"/>
              <w:ind w:right="76"/>
              <w:jc w:val="right"/>
              <w:rPr>
                <w:sz w:val="16"/>
              </w:rPr>
            </w:pPr>
            <w:r>
              <w:rPr>
                <w:w w:val="95"/>
                <w:sz w:val="16"/>
              </w:rPr>
              <w:t>3,745</w:t>
            </w:r>
          </w:p>
        </w:tc>
        <w:tc>
          <w:tcPr>
            <w:tcW w:w="770" w:type="dxa"/>
            <w:tcBorders>
              <w:top w:val="single" w:sz="0" w:space="0" w:color="000000"/>
            </w:tcBorders>
          </w:tcPr>
          <w:p>
            <w:pPr>
              <w:pStyle w:val="TableParagraph"/>
              <w:spacing w:before="1"/>
              <w:rPr>
                <w:b/>
                <w:sz w:val="19"/>
              </w:rPr>
            </w:pPr>
          </w:p>
          <w:p>
            <w:pPr>
              <w:pStyle w:val="TableParagraph"/>
              <w:ind w:left="292"/>
              <w:rPr>
                <w:sz w:val="16"/>
              </w:rPr>
            </w:pPr>
            <w:r>
              <w:rPr>
                <w:sz w:val="16"/>
              </w:rPr>
              <w:t>3,860</w:t>
            </w:r>
          </w:p>
        </w:tc>
        <w:tc>
          <w:tcPr>
            <w:tcW w:w="770" w:type="dxa"/>
            <w:tcBorders>
              <w:top w:val="single" w:sz="0" w:space="0" w:color="000000"/>
            </w:tcBorders>
          </w:tcPr>
          <w:p>
            <w:pPr>
              <w:pStyle w:val="TableParagraph"/>
              <w:spacing w:before="1"/>
              <w:rPr>
                <w:b/>
                <w:sz w:val="19"/>
              </w:rPr>
            </w:pPr>
          </w:p>
          <w:p>
            <w:pPr>
              <w:pStyle w:val="TableParagraph"/>
              <w:ind w:left="292"/>
              <w:rPr>
                <w:sz w:val="16"/>
              </w:rPr>
            </w:pPr>
            <w:r>
              <w:rPr>
                <w:sz w:val="16"/>
              </w:rPr>
              <w:t>7,238</w:t>
            </w:r>
          </w:p>
        </w:tc>
        <w:tc>
          <w:tcPr>
            <w:tcW w:w="770" w:type="dxa"/>
            <w:tcBorders>
              <w:top w:val="single" w:sz="0" w:space="0" w:color="000000"/>
            </w:tcBorders>
          </w:tcPr>
          <w:p>
            <w:pPr>
              <w:pStyle w:val="TableParagraph"/>
              <w:spacing w:before="1"/>
              <w:rPr>
                <w:b/>
                <w:sz w:val="19"/>
              </w:rPr>
            </w:pPr>
          </w:p>
          <w:p>
            <w:pPr>
              <w:pStyle w:val="TableParagraph"/>
              <w:ind w:right="76"/>
              <w:jc w:val="right"/>
              <w:rPr>
                <w:sz w:val="16"/>
              </w:rPr>
            </w:pPr>
            <w:r>
              <w:rPr>
                <w:w w:val="95"/>
                <w:sz w:val="16"/>
              </w:rPr>
              <w:t>7,774</w:t>
            </w:r>
          </w:p>
        </w:tc>
        <w:tc>
          <w:tcPr>
            <w:tcW w:w="668" w:type="dxa"/>
            <w:tcBorders>
              <w:top w:val="single" w:sz="0" w:space="0" w:color="000000"/>
            </w:tcBorders>
          </w:tcPr>
          <w:p>
            <w:pPr>
              <w:pStyle w:val="TableParagraph"/>
              <w:spacing w:before="1"/>
              <w:rPr>
                <w:b/>
                <w:sz w:val="19"/>
              </w:rPr>
            </w:pPr>
          </w:p>
          <w:p>
            <w:pPr>
              <w:pStyle w:val="TableParagraph"/>
              <w:ind w:left="190"/>
              <w:rPr>
                <w:sz w:val="16"/>
              </w:rPr>
            </w:pPr>
            <w:r>
              <w:rPr>
                <w:sz w:val="16"/>
              </w:rPr>
              <w:t>1,936</w:t>
            </w:r>
          </w:p>
        </w:tc>
        <w:tc>
          <w:tcPr>
            <w:tcW w:w="668" w:type="dxa"/>
            <w:tcBorders>
              <w:top w:val="single" w:sz="0" w:space="0" w:color="000000"/>
            </w:tcBorders>
          </w:tcPr>
          <w:p>
            <w:pPr>
              <w:pStyle w:val="TableParagraph"/>
              <w:spacing w:before="1"/>
              <w:rPr>
                <w:b/>
                <w:sz w:val="19"/>
              </w:rPr>
            </w:pPr>
          </w:p>
          <w:p>
            <w:pPr>
              <w:pStyle w:val="TableParagraph"/>
              <w:ind w:right="76"/>
              <w:jc w:val="right"/>
              <w:rPr>
                <w:sz w:val="16"/>
              </w:rPr>
            </w:pPr>
            <w:r>
              <w:rPr>
                <w:w w:val="95"/>
                <w:sz w:val="16"/>
              </w:rPr>
              <w:t>1,868</w:t>
            </w:r>
          </w:p>
        </w:tc>
        <w:tc>
          <w:tcPr>
            <w:tcW w:w="1285" w:type="dxa"/>
            <w:tcBorders>
              <w:top w:val="single" w:sz="0" w:space="0" w:color="000000"/>
            </w:tcBorders>
          </w:tcPr>
          <w:p>
            <w:pPr>
              <w:pStyle w:val="TableParagraph"/>
              <w:spacing w:before="1"/>
              <w:rPr>
                <w:b/>
                <w:sz w:val="19"/>
              </w:rPr>
            </w:pPr>
          </w:p>
          <w:p>
            <w:pPr>
              <w:pStyle w:val="TableParagraph"/>
              <w:tabs>
                <w:tab w:pos="454" w:val="left" w:leader="none"/>
              </w:tabs>
              <w:ind w:right="76"/>
              <w:jc w:val="right"/>
              <w:rPr>
                <w:sz w:val="16"/>
              </w:rPr>
            </w:pPr>
            <w:r>
              <w:rPr>
                <w:sz w:val="16"/>
              </w:rPr>
              <w:t>-</w:t>
              <w:tab/>
            </w:r>
            <w:r>
              <w:rPr>
                <w:w w:val="95"/>
                <w:sz w:val="16"/>
              </w:rPr>
              <w:t>125</w:t>
            </w:r>
          </w:p>
        </w:tc>
        <w:tc>
          <w:tcPr>
            <w:tcW w:w="554" w:type="dxa"/>
            <w:tcBorders>
              <w:top w:val="single" w:sz="0" w:space="0" w:color="000000"/>
            </w:tcBorders>
          </w:tcPr>
          <w:p>
            <w:pPr/>
          </w:p>
        </w:tc>
        <w:tc>
          <w:tcPr>
            <w:tcW w:w="987" w:type="dxa"/>
            <w:tcBorders>
              <w:top w:val="single" w:sz="0" w:space="0" w:color="000000"/>
            </w:tcBorders>
          </w:tcPr>
          <w:p>
            <w:pPr>
              <w:pStyle w:val="TableParagraph"/>
              <w:spacing w:before="1"/>
              <w:rPr>
                <w:b/>
                <w:sz w:val="19"/>
              </w:rPr>
            </w:pPr>
          </w:p>
          <w:p>
            <w:pPr>
              <w:pStyle w:val="TableParagraph"/>
              <w:tabs>
                <w:tab w:pos="506" w:val="left" w:leader="none"/>
              </w:tabs>
              <w:ind w:right="76"/>
              <w:jc w:val="right"/>
              <w:rPr>
                <w:sz w:val="16"/>
              </w:rPr>
            </w:pPr>
            <w:r>
              <w:rPr>
                <w:sz w:val="16"/>
              </w:rPr>
              <w:t>-</w:t>
              <w:tab/>
            </w:r>
            <w:r>
              <w:rPr>
                <w:w w:val="95"/>
                <w:sz w:val="16"/>
              </w:rPr>
              <w:t>124</w:t>
            </w:r>
          </w:p>
        </w:tc>
        <w:tc>
          <w:tcPr>
            <w:tcW w:w="770" w:type="dxa"/>
            <w:tcBorders>
              <w:top w:val="single" w:sz="0" w:space="0" w:color="000000"/>
            </w:tcBorders>
          </w:tcPr>
          <w:p>
            <w:pPr>
              <w:pStyle w:val="TableParagraph"/>
              <w:spacing w:before="1"/>
              <w:rPr>
                <w:b/>
                <w:sz w:val="19"/>
              </w:rPr>
            </w:pPr>
          </w:p>
          <w:p>
            <w:pPr>
              <w:pStyle w:val="TableParagraph"/>
              <w:ind w:right="76"/>
              <w:jc w:val="right"/>
              <w:rPr>
                <w:sz w:val="16"/>
              </w:rPr>
            </w:pPr>
            <w:r>
              <w:rPr>
                <w:w w:val="95"/>
                <w:sz w:val="16"/>
              </w:rPr>
              <w:t>1,714</w:t>
            </w:r>
          </w:p>
        </w:tc>
        <w:tc>
          <w:tcPr>
            <w:tcW w:w="770" w:type="dxa"/>
            <w:tcBorders>
              <w:top w:val="single" w:sz="0" w:space="0" w:color="000000"/>
            </w:tcBorders>
          </w:tcPr>
          <w:p>
            <w:pPr>
              <w:pStyle w:val="TableParagraph"/>
              <w:spacing w:before="1"/>
              <w:rPr>
                <w:b/>
                <w:sz w:val="19"/>
              </w:rPr>
            </w:pPr>
          </w:p>
          <w:p>
            <w:pPr>
              <w:pStyle w:val="TableParagraph"/>
              <w:ind w:left="292"/>
              <w:rPr>
                <w:sz w:val="16"/>
              </w:rPr>
            </w:pPr>
            <w:r>
              <w:rPr>
                <w:sz w:val="16"/>
              </w:rPr>
              <w:t>1,805</w:t>
            </w:r>
          </w:p>
        </w:tc>
        <w:tc>
          <w:tcPr>
            <w:tcW w:w="770" w:type="dxa"/>
            <w:tcBorders>
              <w:top w:val="single" w:sz="0" w:space="0" w:color="000000"/>
            </w:tcBorders>
          </w:tcPr>
          <w:p>
            <w:pPr>
              <w:pStyle w:val="TableParagraph"/>
              <w:spacing w:before="1"/>
              <w:rPr>
                <w:b/>
                <w:sz w:val="19"/>
              </w:rPr>
            </w:pPr>
          </w:p>
          <w:p>
            <w:pPr>
              <w:pStyle w:val="TableParagraph"/>
              <w:ind w:right="76"/>
              <w:jc w:val="right"/>
              <w:rPr>
                <w:sz w:val="16"/>
              </w:rPr>
            </w:pPr>
            <w:r>
              <w:rPr>
                <w:w w:val="95"/>
                <w:sz w:val="16"/>
              </w:rPr>
              <w:t>14,633</w:t>
            </w:r>
          </w:p>
        </w:tc>
        <w:tc>
          <w:tcPr>
            <w:tcW w:w="770" w:type="dxa"/>
            <w:tcBorders>
              <w:top w:val="single" w:sz="0" w:space="0" w:color="000000"/>
            </w:tcBorders>
          </w:tcPr>
          <w:p>
            <w:pPr>
              <w:pStyle w:val="TableParagraph"/>
              <w:spacing w:before="1"/>
              <w:rPr>
                <w:b/>
                <w:sz w:val="19"/>
              </w:rPr>
            </w:pPr>
          </w:p>
          <w:p>
            <w:pPr>
              <w:pStyle w:val="TableParagraph"/>
              <w:ind w:right="76"/>
              <w:jc w:val="right"/>
              <w:rPr>
                <w:sz w:val="16"/>
              </w:rPr>
            </w:pPr>
            <w:r>
              <w:rPr>
                <w:w w:val="95"/>
                <w:sz w:val="16"/>
              </w:rPr>
              <w:t>15,556</w:t>
            </w:r>
          </w:p>
        </w:tc>
      </w:tr>
      <w:tr>
        <w:trPr>
          <w:trHeight w:val="423" w:hRule="exact"/>
        </w:trPr>
        <w:tc>
          <w:tcPr>
            <w:tcW w:w="2982" w:type="dxa"/>
          </w:tcPr>
          <w:p>
            <w:pPr>
              <w:pStyle w:val="TableParagraph"/>
              <w:spacing w:before="19"/>
              <w:ind w:left="35" w:right="263"/>
              <w:rPr>
                <w:sz w:val="16"/>
              </w:rPr>
            </w:pPr>
            <w:r>
              <w:rPr>
                <w:sz w:val="16"/>
              </w:rPr>
              <w:t>Less expenses including accrued expenses</w:t>
            </w:r>
          </w:p>
        </w:tc>
        <w:tc>
          <w:tcPr>
            <w:tcW w:w="497" w:type="dxa"/>
            <w:tcBorders>
              <w:bottom w:val="single" w:sz="0" w:space="0" w:color="000000"/>
            </w:tcBorders>
          </w:tcPr>
          <w:p>
            <w:pPr/>
          </w:p>
        </w:tc>
        <w:tc>
          <w:tcPr>
            <w:tcW w:w="846" w:type="dxa"/>
            <w:tcBorders>
              <w:bottom w:val="single" w:sz="0" w:space="0" w:color="000000"/>
            </w:tcBorders>
          </w:tcPr>
          <w:p>
            <w:pPr>
              <w:pStyle w:val="TableParagraph"/>
              <w:spacing w:before="5"/>
              <w:rPr>
                <w:b/>
                <w:sz w:val="17"/>
              </w:rPr>
            </w:pPr>
          </w:p>
          <w:p>
            <w:pPr>
              <w:pStyle w:val="TableParagraph"/>
              <w:ind w:right="23"/>
              <w:jc w:val="right"/>
              <w:rPr>
                <w:sz w:val="16"/>
              </w:rPr>
            </w:pPr>
            <w:r>
              <w:rPr>
                <w:sz w:val="16"/>
              </w:rPr>
              <w:t>(3,334)</w:t>
            </w:r>
          </w:p>
        </w:tc>
        <w:tc>
          <w:tcPr>
            <w:tcW w:w="770" w:type="dxa"/>
            <w:tcBorders>
              <w:bottom w:val="single" w:sz="0" w:space="0" w:color="000000"/>
            </w:tcBorders>
          </w:tcPr>
          <w:p>
            <w:pPr>
              <w:pStyle w:val="TableParagraph"/>
              <w:spacing w:before="5"/>
              <w:rPr>
                <w:b/>
                <w:sz w:val="17"/>
              </w:rPr>
            </w:pPr>
          </w:p>
          <w:p>
            <w:pPr>
              <w:pStyle w:val="TableParagraph"/>
              <w:ind w:right="23"/>
              <w:jc w:val="right"/>
              <w:rPr>
                <w:sz w:val="16"/>
              </w:rPr>
            </w:pPr>
            <w:r>
              <w:rPr>
                <w:sz w:val="16"/>
              </w:rPr>
              <w:t>(3,344)</w:t>
            </w:r>
          </w:p>
        </w:tc>
        <w:tc>
          <w:tcPr>
            <w:tcW w:w="770" w:type="dxa"/>
            <w:tcBorders>
              <w:bottom w:val="single" w:sz="0" w:space="0" w:color="000000"/>
            </w:tcBorders>
          </w:tcPr>
          <w:p>
            <w:pPr>
              <w:pStyle w:val="TableParagraph"/>
              <w:spacing w:before="5"/>
              <w:rPr>
                <w:b/>
                <w:sz w:val="17"/>
              </w:rPr>
            </w:pPr>
          </w:p>
          <w:p>
            <w:pPr>
              <w:pStyle w:val="TableParagraph"/>
              <w:ind w:right="23"/>
              <w:jc w:val="right"/>
              <w:rPr>
                <w:sz w:val="16"/>
              </w:rPr>
            </w:pPr>
            <w:r>
              <w:rPr>
                <w:sz w:val="16"/>
              </w:rPr>
              <w:t>(7,238)</w:t>
            </w:r>
          </w:p>
        </w:tc>
        <w:tc>
          <w:tcPr>
            <w:tcW w:w="770" w:type="dxa"/>
            <w:tcBorders>
              <w:bottom w:val="single" w:sz="0" w:space="0" w:color="000000"/>
            </w:tcBorders>
          </w:tcPr>
          <w:p>
            <w:pPr>
              <w:pStyle w:val="TableParagraph"/>
              <w:spacing w:before="5"/>
              <w:rPr>
                <w:b/>
                <w:sz w:val="17"/>
              </w:rPr>
            </w:pPr>
          </w:p>
          <w:p>
            <w:pPr>
              <w:pStyle w:val="TableParagraph"/>
              <w:ind w:right="23"/>
              <w:jc w:val="right"/>
              <w:rPr>
                <w:sz w:val="16"/>
              </w:rPr>
            </w:pPr>
            <w:r>
              <w:rPr>
                <w:sz w:val="16"/>
              </w:rPr>
              <w:t>(7,774)</w:t>
            </w:r>
          </w:p>
        </w:tc>
        <w:tc>
          <w:tcPr>
            <w:tcW w:w="668" w:type="dxa"/>
            <w:tcBorders>
              <w:bottom w:val="single" w:sz="0" w:space="0" w:color="000000"/>
            </w:tcBorders>
          </w:tcPr>
          <w:p>
            <w:pPr>
              <w:pStyle w:val="TableParagraph"/>
              <w:spacing w:before="5"/>
              <w:rPr>
                <w:b/>
                <w:sz w:val="17"/>
              </w:rPr>
            </w:pPr>
          </w:p>
          <w:p>
            <w:pPr>
              <w:pStyle w:val="TableParagraph"/>
              <w:ind w:right="23"/>
              <w:jc w:val="right"/>
              <w:rPr>
                <w:sz w:val="16"/>
              </w:rPr>
            </w:pPr>
            <w:r>
              <w:rPr>
                <w:sz w:val="16"/>
              </w:rPr>
              <w:t>(1,799)</w:t>
            </w:r>
          </w:p>
        </w:tc>
        <w:tc>
          <w:tcPr>
            <w:tcW w:w="668" w:type="dxa"/>
            <w:tcBorders>
              <w:bottom w:val="single" w:sz="0" w:space="0" w:color="000000"/>
            </w:tcBorders>
          </w:tcPr>
          <w:p>
            <w:pPr>
              <w:pStyle w:val="TableParagraph"/>
              <w:spacing w:before="5"/>
              <w:rPr>
                <w:b/>
                <w:sz w:val="17"/>
              </w:rPr>
            </w:pPr>
          </w:p>
          <w:p>
            <w:pPr>
              <w:pStyle w:val="TableParagraph"/>
              <w:ind w:right="23"/>
              <w:jc w:val="right"/>
              <w:rPr>
                <w:sz w:val="16"/>
              </w:rPr>
            </w:pPr>
            <w:r>
              <w:rPr>
                <w:sz w:val="16"/>
              </w:rPr>
              <w:t>(1,690)</w:t>
            </w:r>
          </w:p>
        </w:tc>
        <w:tc>
          <w:tcPr>
            <w:tcW w:w="1285" w:type="dxa"/>
            <w:tcBorders>
              <w:bottom w:val="single" w:sz="0" w:space="0" w:color="000000"/>
            </w:tcBorders>
          </w:tcPr>
          <w:p>
            <w:pPr>
              <w:pStyle w:val="TableParagraph"/>
              <w:spacing w:before="5"/>
              <w:rPr>
                <w:b/>
                <w:sz w:val="17"/>
              </w:rPr>
            </w:pPr>
          </w:p>
          <w:p>
            <w:pPr>
              <w:pStyle w:val="TableParagraph"/>
              <w:tabs>
                <w:tab w:pos="401" w:val="left" w:leader="none"/>
              </w:tabs>
              <w:ind w:right="23"/>
              <w:jc w:val="right"/>
              <w:rPr>
                <w:sz w:val="16"/>
              </w:rPr>
            </w:pPr>
            <w:r>
              <w:rPr>
                <w:sz w:val="16"/>
              </w:rPr>
              <w:t>-</w:t>
              <w:tab/>
            </w:r>
            <w:r>
              <w:rPr>
                <w:spacing w:val="-1"/>
                <w:sz w:val="16"/>
              </w:rPr>
              <w:t>(125)</w:t>
            </w:r>
          </w:p>
        </w:tc>
        <w:tc>
          <w:tcPr>
            <w:tcW w:w="554" w:type="dxa"/>
            <w:tcBorders>
              <w:bottom w:val="single" w:sz="0" w:space="0" w:color="000000"/>
            </w:tcBorders>
          </w:tcPr>
          <w:p>
            <w:pPr/>
          </w:p>
        </w:tc>
        <w:tc>
          <w:tcPr>
            <w:tcW w:w="987" w:type="dxa"/>
            <w:tcBorders>
              <w:bottom w:val="single" w:sz="0" w:space="0" w:color="000000"/>
            </w:tcBorders>
          </w:tcPr>
          <w:p>
            <w:pPr>
              <w:pStyle w:val="TableParagraph"/>
              <w:spacing w:before="5"/>
              <w:rPr>
                <w:b/>
                <w:sz w:val="17"/>
              </w:rPr>
            </w:pPr>
          </w:p>
          <w:p>
            <w:pPr>
              <w:pStyle w:val="TableParagraph"/>
              <w:tabs>
                <w:tab w:pos="453" w:val="left" w:leader="none"/>
              </w:tabs>
              <w:ind w:right="23"/>
              <w:jc w:val="right"/>
              <w:rPr>
                <w:sz w:val="16"/>
              </w:rPr>
            </w:pPr>
            <w:r>
              <w:rPr>
                <w:sz w:val="16"/>
              </w:rPr>
              <w:t>-</w:t>
              <w:tab/>
            </w:r>
            <w:r>
              <w:rPr>
                <w:spacing w:val="-1"/>
                <w:sz w:val="16"/>
              </w:rPr>
              <w:t>(124)</w:t>
            </w:r>
          </w:p>
        </w:tc>
        <w:tc>
          <w:tcPr>
            <w:tcW w:w="770" w:type="dxa"/>
            <w:tcBorders>
              <w:bottom w:val="single" w:sz="0" w:space="0" w:color="000000"/>
            </w:tcBorders>
          </w:tcPr>
          <w:p>
            <w:pPr>
              <w:pStyle w:val="TableParagraph"/>
              <w:spacing w:before="5"/>
              <w:rPr>
                <w:b/>
                <w:sz w:val="17"/>
              </w:rPr>
            </w:pPr>
          </w:p>
          <w:p>
            <w:pPr>
              <w:pStyle w:val="TableParagraph"/>
              <w:ind w:right="23"/>
              <w:jc w:val="right"/>
              <w:rPr>
                <w:sz w:val="16"/>
              </w:rPr>
            </w:pPr>
            <w:r>
              <w:rPr>
                <w:sz w:val="16"/>
              </w:rPr>
              <w:t>(1,714)</w:t>
            </w:r>
          </w:p>
        </w:tc>
        <w:tc>
          <w:tcPr>
            <w:tcW w:w="770" w:type="dxa"/>
            <w:tcBorders>
              <w:bottom w:val="single" w:sz="0" w:space="0" w:color="000000"/>
            </w:tcBorders>
          </w:tcPr>
          <w:p>
            <w:pPr>
              <w:pStyle w:val="TableParagraph"/>
              <w:spacing w:before="5"/>
              <w:rPr>
                <w:b/>
                <w:sz w:val="17"/>
              </w:rPr>
            </w:pPr>
          </w:p>
          <w:p>
            <w:pPr>
              <w:pStyle w:val="TableParagraph"/>
              <w:ind w:right="23"/>
              <w:jc w:val="right"/>
              <w:rPr>
                <w:sz w:val="16"/>
              </w:rPr>
            </w:pPr>
            <w:r>
              <w:rPr>
                <w:sz w:val="16"/>
              </w:rPr>
              <w:t>(1,391)</w:t>
            </w:r>
          </w:p>
        </w:tc>
        <w:tc>
          <w:tcPr>
            <w:tcW w:w="770" w:type="dxa"/>
            <w:tcBorders>
              <w:bottom w:val="single" w:sz="0" w:space="0" w:color="000000"/>
            </w:tcBorders>
          </w:tcPr>
          <w:p>
            <w:pPr>
              <w:pStyle w:val="TableParagraph"/>
              <w:spacing w:before="5"/>
              <w:rPr>
                <w:b/>
                <w:sz w:val="17"/>
              </w:rPr>
            </w:pPr>
          </w:p>
          <w:p>
            <w:pPr>
              <w:pStyle w:val="TableParagraph"/>
              <w:ind w:right="23"/>
              <w:jc w:val="right"/>
              <w:rPr>
                <w:sz w:val="16"/>
              </w:rPr>
            </w:pPr>
            <w:r>
              <w:rPr>
                <w:sz w:val="16"/>
              </w:rPr>
              <w:t>(14,085)</w:t>
            </w:r>
          </w:p>
        </w:tc>
        <w:tc>
          <w:tcPr>
            <w:tcW w:w="770" w:type="dxa"/>
            <w:tcBorders>
              <w:bottom w:val="single" w:sz="0" w:space="0" w:color="000000"/>
            </w:tcBorders>
          </w:tcPr>
          <w:p>
            <w:pPr>
              <w:pStyle w:val="TableParagraph"/>
              <w:spacing w:before="5"/>
              <w:rPr>
                <w:b/>
                <w:sz w:val="17"/>
              </w:rPr>
            </w:pPr>
          </w:p>
          <w:p>
            <w:pPr>
              <w:pStyle w:val="TableParagraph"/>
              <w:ind w:right="23"/>
              <w:jc w:val="right"/>
              <w:rPr>
                <w:sz w:val="16"/>
              </w:rPr>
            </w:pPr>
            <w:r>
              <w:rPr>
                <w:sz w:val="16"/>
              </w:rPr>
              <w:t>(14,448)</w:t>
            </w:r>
          </w:p>
        </w:tc>
      </w:tr>
      <w:tr>
        <w:trPr>
          <w:trHeight w:val="457" w:hRule="exact"/>
        </w:trPr>
        <w:tc>
          <w:tcPr>
            <w:tcW w:w="2982" w:type="dxa"/>
          </w:tcPr>
          <w:p>
            <w:pPr>
              <w:pStyle w:val="TableParagraph"/>
              <w:spacing w:before="37"/>
              <w:ind w:left="35" w:right="263"/>
              <w:rPr>
                <w:sz w:val="16"/>
              </w:rPr>
            </w:pPr>
            <w:r>
              <w:rPr>
                <w:sz w:val="16"/>
              </w:rPr>
              <w:t>Surplus/(deficit) for the reporting period</w:t>
            </w:r>
          </w:p>
        </w:tc>
        <w:tc>
          <w:tcPr>
            <w:tcW w:w="497" w:type="dxa"/>
            <w:tcBorders>
              <w:top w:val="single" w:sz="0" w:space="0" w:color="000000"/>
              <w:bottom w:val="single" w:sz="0" w:space="0" w:color="000000"/>
            </w:tcBorders>
          </w:tcPr>
          <w:p>
            <w:pPr/>
          </w:p>
        </w:tc>
        <w:tc>
          <w:tcPr>
            <w:tcW w:w="846" w:type="dxa"/>
            <w:tcBorders>
              <w:top w:val="single" w:sz="0" w:space="0" w:color="000000"/>
              <w:bottom w:val="single" w:sz="0" w:space="0" w:color="000000"/>
            </w:tcBorders>
          </w:tcPr>
          <w:p>
            <w:pPr>
              <w:pStyle w:val="TableParagraph"/>
              <w:spacing w:before="1"/>
              <w:rPr>
                <w:b/>
                <w:sz w:val="19"/>
              </w:rPr>
            </w:pPr>
          </w:p>
          <w:p>
            <w:pPr>
              <w:pStyle w:val="TableParagraph"/>
              <w:ind w:right="76"/>
              <w:jc w:val="right"/>
              <w:rPr>
                <w:sz w:val="16"/>
              </w:rPr>
            </w:pPr>
            <w:r>
              <w:rPr>
                <w:w w:val="95"/>
                <w:sz w:val="16"/>
              </w:rPr>
              <w:t>411</w:t>
            </w:r>
          </w:p>
        </w:tc>
        <w:tc>
          <w:tcPr>
            <w:tcW w:w="770" w:type="dxa"/>
            <w:tcBorders>
              <w:top w:val="single" w:sz="0" w:space="0" w:color="000000"/>
              <w:bottom w:val="single" w:sz="0" w:space="0" w:color="000000"/>
            </w:tcBorders>
          </w:tcPr>
          <w:p>
            <w:pPr>
              <w:pStyle w:val="TableParagraph"/>
              <w:spacing w:before="1"/>
              <w:rPr>
                <w:b/>
                <w:sz w:val="19"/>
              </w:rPr>
            </w:pPr>
          </w:p>
          <w:p>
            <w:pPr>
              <w:pStyle w:val="TableParagraph"/>
              <w:ind w:right="76"/>
              <w:jc w:val="right"/>
              <w:rPr>
                <w:sz w:val="16"/>
              </w:rPr>
            </w:pPr>
            <w:r>
              <w:rPr>
                <w:w w:val="95"/>
                <w:sz w:val="16"/>
              </w:rPr>
              <w:t>516</w:t>
            </w:r>
          </w:p>
        </w:tc>
        <w:tc>
          <w:tcPr>
            <w:tcW w:w="770" w:type="dxa"/>
            <w:tcBorders>
              <w:top w:val="single" w:sz="0" w:space="0" w:color="000000"/>
              <w:bottom w:val="single" w:sz="0" w:space="0" w:color="000000"/>
            </w:tcBorders>
          </w:tcPr>
          <w:p>
            <w:pPr>
              <w:pStyle w:val="TableParagraph"/>
              <w:spacing w:before="1"/>
              <w:rPr>
                <w:b/>
                <w:sz w:val="19"/>
              </w:rPr>
            </w:pPr>
          </w:p>
          <w:p>
            <w:pPr>
              <w:pStyle w:val="TableParagraph"/>
              <w:ind w:right="75"/>
              <w:jc w:val="right"/>
              <w:rPr>
                <w:sz w:val="16"/>
              </w:rPr>
            </w:pPr>
            <w:r>
              <w:rPr>
                <w:w w:val="99"/>
                <w:sz w:val="16"/>
              </w:rPr>
              <w:t>-</w:t>
            </w:r>
          </w:p>
        </w:tc>
        <w:tc>
          <w:tcPr>
            <w:tcW w:w="770" w:type="dxa"/>
            <w:tcBorders>
              <w:top w:val="single" w:sz="0" w:space="0" w:color="000000"/>
              <w:bottom w:val="single" w:sz="0" w:space="0" w:color="000000"/>
            </w:tcBorders>
          </w:tcPr>
          <w:p>
            <w:pPr>
              <w:pStyle w:val="TableParagraph"/>
              <w:spacing w:before="1"/>
              <w:rPr>
                <w:b/>
                <w:sz w:val="19"/>
              </w:rPr>
            </w:pPr>
          </w:p>
          <w:p>
            <w:pPr>
              <w:pStyle w:val="TableParagraph"/>
              <w:ind w:right="75"/>
              <w:jc w:val="right"/>
              <w:rPr>
                <w:sz w:val="16"/>
              </w:rPr>
            </w:pPr>
            <w:r>
              <w:rPr>
                <w:w w:val="99"/>
                <w:sz w:val="16"/>
              </w:rPr>
              <w:t>-</w:t>
            </w:r>
          </w:p>
        </w:tc>
        <w:tc>
          <w:tcPr>
            <w:tcW w:w="668" w:type="dxa"/>
            <w:tcBorders>
              <w:top w:val="single" w:sz="0" w:space="0" w:color="000000"/>
              <w:bottom w:val="single" w:sz="0" w:space="0" w:color="000000"/>
            </w:tcBorders>
          </w:tcPr>
          <w:p>
            <w:pPr>
              <w:pStyle w:val="TableParagraph"/>
              <w:spacing w:before="1"/>
              <w:rPr>
                <w:b/>
                <w:sz w:val="19"/>
              </w:rPr>
            </w:pPr>
          </w:p>
          <w:p>
            <w:pPr>
              <w:pStyle w:val="TableParagraph"/>
              <w:ind w:left="323"/>
              <w:rPr>
                <w:sz w:val="16"/>
              </w:rPr>
            </w:pPr>
            <w:r>
              <w:rPr>
                <w:sz w:val="16"/>
              </w:rPr>
              <w:t>137</w:t>
            </w:r>
          </w:p>
        </w:tc>
        <w:tc>
          <w:tcPr>
            <w:tcW w:w="668" w:type="dxa"/>
            <w:tcBorders>
              <w:top w:val="single" w:sz="0" w:space="0" w:color="000000"/>
              <w:bottom w:val="single" w:sz="0" w:space="0" w:color="000000"/>
            </w:tcBorders>
          </w:tcPr>
          <w:p>
            <w:pPr>
              <w:pStyle w:val="TableParagraph"/>
              <w:spacing w:before="1"/>
              <w:rPr>
                <w:b/>
                <w:sz w:val="19"/>
              </w:rPr>
            </w:pPr>
          </w:p>
          <w:p>
            <w:pPr>
              <w:pStyle w:val="TableParagraph"/>
              <w:ind w:right="76"/>
              <w:jc w:val="right"/>
              <w:rPr>
                <w:sz w:val="16"/>
              </w:rPr>
            </w:pPr>
            <w:r>
              <w:rPr>
                <w:w w:val="95"/>
                <w:sz w:val="16"/>
              </w:rPr>
              <w:t>178</w:t>
            </w:r>
          </w:p>
        </w:tc>
        <w:tc>
          <w:tcPr>
            <w:tcW w:w="1285" w:type="dxa"/>
            <w:tcBorders>
              <w:top w:val="single" w:sz="0" w:space="0" w:color="000000"/>
              <w:bottom w:val="single" w:sz="0" w:space="0" w:color="000000"/>
            </w:tcBorders>
          </w:tcPr>
          <w:p>
            <w:pPr>
              <w:pStyle w:val="TableParagraph"/>
              <w:spacing w:before="1"/>
              <w:rPr>
                <w:b/>
                <w:sz w:val="19"/>
              </w:rPr>
            </w:pPr>
          </w:p>
          <w:p>
            <w:pPr>
              <w:pStyle w:val="TableParagraph"/>
              <w:tabs>
                <w:tab w:pos="668" w:val="left" w:leader="none"/>
              </w:tabs>
              <w:ind w:right="75"/>
              <w:jc w:val="right"/>
              <w:rPr>
                <w:sz w:val="16"/>
              </w:rPr>
            </w:pPr>
            <w:r>
              <w:rPr>
                <w:sz w:val="16"/>
              </w:rPr>
              <w:t>-</w:t>
              <w:tab/>
            </w:r>
            <w:r>
              <w:rPr>
                <w:w w:val="95"/>
                <w:sz w:val="16"/>
              </w:rPr>
              <w:t>-</w:t>
            </w:r>
          </w:p>
        </w:tc>
        <w:tc>
          <w:tcPr>
            <w:tcW w:w="554" w:type="dxa"/>
            <w:tcBorders>
              <w:top w:val="single" w:sz="0" w:space="0" w:color="000000"/>
              <w:bottom w:val="single" w:sz="0" w:space="0" w:color="000000"/>
            </w:tcBorders>
          </w:tcPr>
          <w:p>
            <w:pPr/>
          </w:p>
        </w:tc>
        <w:tc>
          <w:tcPr>
            <w:tcW w:w="987" w:type="dxa"/>
            <w:tcBorders>
              <w:top w:val="single" w:sz="0" w:space="0" w:color="000000"/>
              <w:bottom w:val="single" w:sz="0" w:space="0" w:color="000000"/>
            </w:tcBorders>
          </w:tcPr>
          <w:p>
            <w:pPr>
              <w:pStyle w:val="TableParagraph"/>
              <w:spacing w:before="1"/>
              <w:rPr>
                <w:b/>
                <w:sz w:val="19"/>
              </w:rPr>
            </w:pPr>
          </w:p>
          <w:p>
            <w:pPr>
              <w:pStyle w:val="TableParagraph"/>
              <w:tabs>
                <w:tab w:pos="719" w:val="left" w:leader="none"/>
              </w:tabs>
              <w:ind w:right="75"/>
              <w:jc w:val="right"/>
              <w:rPr>
                <w:sz w:val="16"/>
              </w:rPr>
            </w:pPr>
            <w:r>
              <w:rPr>
                <w:sz w:val="16"/>
              </w:rPr>
              <w:t>-</w:t>
              <w:tab/>
            </w:r>
            <w:r>
              <w:rPr>
                <w:w w:val="95"/>
                <w:sz w:val="16"/>
              </w:rPr>
              <w:t>-</w:t>
            </w:r>
          </w:p>
        </w:tc>
        <w:tc>
          <w:tcPr>
            <w:tcW w:w="770" w:type="dxa"/>
            <w:tcBorders>
              <w:top w:val="single" w:sz="0" w:space="0" w:color="000000"/>
              <w:bottom w:val="single" w:sz="0" w:space="0" w:color="000000"/>
            </w:tcBorders>
          </w:tcPr>
          <w:p>
            <w:pPr>
              <w:pStyle w:val="TableParagraph"/>
              <w:spacing w:before="1"/>
              <w:rPr>
                <w:b/>
                <w:sz w:val="19"/>
              </w:rPr>
            </w:pPr>
          </w:p>
          <w:p>
            <w:pPr>
              <w:pStyle w:val="TableParagraph"/>
              <w:ind w:right="75"/>
              <w:jc w:val="right"/>
              <w:rPr>
                <w:sz w:val="16"/>
              </w:rPr>
            </w:pPr>
            <w:r>
              <w:rPr>
                <w:w w:val="99"/>
                <w:sz w:val="16"/>
              </w:rPr>
              <w:t>-</w:t>
            </w:r>
          </w:p>
        </w:tc>
        <w:tc>
          <w:tcPr>
            <w:tcW w:w="770" w:type="dxa"/>
            <w:tcBorders>
              <w:top w:val="single" w:sz="0" w:space="0" w:color="000000"/>
              <w:bottom w:val="single" w:sz="0" w:space="0" w:color="000000"/>
            </w:tcBorders>
          </w:tcPr>
          <w:p>
            <w:pPr>
              <w:pStyle w:val="TableParagraph"/>
              <w:spacing w:before="1"/>
              <w:rPr>
                <w:b/>
                <w:sz w:val="19"/>
              </w:rPr>
            </w:pPr>
          </w:p>
          <w:p>
            <w:pPr>
              <w:pStyle w:val="TableParagraph"/>
              <w:ind w:right="76"/>
              <w:jc w:val="right"/>
              <w:rPr>
                <w:sz w:val="16"/>
              </w:rPr>
            </w:pPr>
            <w:r>
              <w:rPr>
                <w:w w:val="95"/>
                <w:sz w:val="16"/>
              </w:rPr>
              <w:t>414</w:t>
            </w:r>
          </w:p>
        </w:tc>
        <w:tc>
          <w:tcPr>
            <w:tcW w:w="770" w:type="dxa"/>
            <w:tcBorders>
              <w:top w:val="single" w:sz="0" w:space="0" w:color="000000"/>
              <w:bottom w:val="single" w:sz="0" w:space="0" w:color="000000"/>
            </w:tcBorders>
          </w:tcPr>
          <w:p>
            <w:pPr>
              <w:pStyle w:val="TableParagraph"/>
              <w:spacing w:before="1"/>
              <w:rPr>
                <w:b/>
                <w:sz w:val="19"/>
              </w:rPr>
            </w:pPr>
          </w:p>
          <w:p>
            <w:pPr>
              <w:pStyle w:val="TableParagraph"/>
              <w:ind w:right="76"/>
              <w:jc w:val="right"/>
              <w:rPr>
                <w:sz w:val="16"/>
              </w:rPr>
            </w:pPr>
            <w:r>
              <w:rPr>
                <w:w w:val="95"/>
                <w:sz w:val="16"/>
              </w:rPr>
              <w:t>548</w:t>
            </w:r>
          </w:p>
        </w:tc>
        <w:tc>
          <w:tcPr>
            <w:tcW w:w="770" w:type="dxa"/>
            <w:tcBorders>
              <w:top w:val="single" w:sz="0" w:space="0" w:color="000000"/>
              <w:bottom w:val="single" w:sz="0" w:space="0" w:color="000000"/>
            </w:tcBorders>
          </w:tcPr>
          <w:p>
            <w:pPr>
              <w:pStyle w:val="TableParagraph"/>
              <w:spacing w:before="1"/>
              <w:rPr>
                <w:b/>
                <w:sz w:val="19"/>
              </w:rPr>
            </w:pPr>
          </w:p>
          <w:p>
            <w:pPr>
              <w:pStyle w:val="TableParagraph"/>
              <w:ind w:right="76"/>
              <w:jc w:val="right"/>
              <w:rPr>
                <w:sz w:val="16"/>
              </w:rPr>
            </w:pPr>
            <w:r>
              <w:rPr>
                <w:w w:val="95"/>
                <w:sz w:val="16"/>
              </w:rPr>
              <w:t>1,108</w:t>
            </w:r>
          </w:p>
        </w:tc>
      </w:tr>
    </w:tbl>
    <w:p>
      <w:pPr>
        <w:pStyle w:val="BodyText"/>
        <w:spacing w:before="7"/>
        <w:rPr>
          <w:b/>
          <w:sz w:val="20"/>
        </w:rPr>
      </w:pPr>
    </w:p>
    <w:p>
      <w:pPr>
        <w:pStyle w:val="BodyText"/>
        <w:spacing w:before="77"/>
        <w:ind w:left="1070"/>
      </w:pPr>
      <w:r>
        <w:rPr/>
        <w:t>#6 Includes Institutional Grants Scheme</w:t>
      </w:r>
    </w:p>
    <w:p>
      <w:pPr>
        <w:pStyle w:val="BodyText"/>
        <w:rPr>
          <w:sz w:val="25"/>
        </w:rPr>
      </w:pPr>
    </w:p>
    <w:p>
      <w:pPr>
        <w:pStyle w:val="BodyText"/>
        <w:ind w:left="1070"/>
      </w:pPr>
      <w:r>
        <w:rPr/>
        <w:t>#7 The reported Surplus for Joint Research Engagement ($0.411M) and Research Infrastructure Block Grants ($0.137M) for 2012 is requested as a rollover.</w:t>
      </w:r>
    </w:p>
    <w:p>
      <w:pPr>
        <w:spacing w:after="0"/>
        <w:sectPr>
          <w:type w:val="continuous"/>
          <w:pgSz w:w="16840" w:h="11910" w:orient="landscape"/>
          <w:pgMar w:top="0" w:bottom="280" w:left="900" w:right="880"/>
        </w:sectPr>
      </w:pPr>
    </w:p>
    <w:p>
      <w:pPr>
        <w:pStyle w:val="BodyText"/>
        <w:rPr>
          <w:sz w:val="20"/>
        </w:rPr>
      </w:pPr>
    </w:p>
    <w:p>
      <w:pPr>
        <w:pStyle w:val="BodyText"/>
        <w:rPr>
          <w:sz w:val="20"/>
        </w:rPr>
      </w:pPr>
    </w:p>
    <w:p>
      <w:pPr>
        <w:pStyle w:val="BodyText"/>
        <w:spacing w:before="4"/>
      </w:pPr>
    </w:p>
    <w:p>
      <w:pPr>
        <w:pStyle w:val="Heading9"/>
        <w:ind w:left="109"/>
      </w:pPr>
      <w:r>
        <w:rPr/>
        <w:t>35    Acquittal of Australian Government Financial Assistance (continued)</w:t>
      </w:r>
    </w:p>
    <w:p>
      <w:pPr>
        <w:pStyle w:val="BodyText"/>
        <w:spacing w:before="3"/>
        <w:rPr>
          <w:b/>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407"/>
        <w:gridCol w:w="497"/>
        <w:gridCol w:w="1911"/>
        <w:gridCol w:w="1836"/>
        <w:gridCol w:w="918"/>
        <w:gridCol w:w="919"/>
      </w:tblGrid>
      <w:tr>
        <w:trPr>
          <w:trHeight w:val="509" w:hRule="exact"/>
        </w:trPr>
        <w:tc>
          <w:tcPr>
            <w:tcW w:w="8407" w:type="dxa"/>
          </w:tcPr>
          <w:p>
            <w:pPr>
              <w:pStyle w:val="TableParagraph"/>
              <w:tabs>
                <w:tab w:pos="601" w:val="left" w:leader="none"/>
              </w:tabs>
              <w:spacing w:before="77"/>
              <w:ind w:left="35" w:right="4593"/>
              <w:rPr>
                <w:sz w:val="18"/>
              </w:rPr>
            </w:pPr>
            <w:r>
              <w:rPr>
                <w:sz w:val="18"/>
              </w:rPr>
              <w:t>(e)</w:t>
              <w:tab/>
              <w:t>Other Capital</w:t>
            </w:r>
            <w:r>
              <w:rPr>
                <w:spacing w:val="-1"/>
                <w:sz w:val="18"/>
              </w:rPr>
              <w:t> </w:t>
            </w:r>
            <w:r>
              <w:rPr>
                <w:sz w:val="18"/>
              </w:rPr>
              <w:t>Funding</w:t>
            </w:r>
          </w:p>
        </w:tc>
        <w:tc>
          <w:tcPr>
            <w:tcW w:w="497" w:type="dxa"/>
          </w:tcPr>
          <w:p>
            <w:pPr/>
          </w:p>
        </w:tc>
        <w:tc>
          <w:tcPr>
            <w:tcW w:w="1911" w:type="dxa"/>
          </w:tcPr>
          <w:p>
            <w:pPr>
              <w:pStyle w:val="TableParagraph"/>
              <w:rPr>
                <w:b/>
                <w:sz w:val="16"/>
              </w:rPr>
            </w:pPr>
          </w:p>
          <w:p>
            <w:pPr>
              <w:pStyle w:val="TableParagraph"/>
              <w:spacing w:before="132"/>
              <w:ind w:left="102"/>
              <w:rPr>
                <w:b/>
                <w:sz w:val="16"/>
              </w:rPr>
            </w:pPr>
            <w:r>
              <w:rPr>
                <w:b/>
                <w:sz w:val="16"/>
              </w:rPr>
              <w:t>Better Universities</w:t>
            </w:r>
          </w:p>
        </w:tc>
        <w:tc>
          <w:tcPr>
            <w:tcW w:w="1836" w:type="dxa"/>
          </w:tcPr>
          <w:p>
            <w:pPr>
              <w:pStyle w:val="TableParagraph"/>
              <w:rPr>
                <w:b/>
                <w:sz w:val="16"/>
              </w:rPr>
            </w:pPr>
          </w:p>
          <w:p>
            <w:pPr>
              <w:pStyle w:val="TableParagraph"/>
              <w:spacing w:before="132"/>
              <w:ind w:left="28"/>
              <w:rPr>
                <w:b/>
                <w:sz w:val="16"/>
              </w:rPr>
            </w:pPr>
            <w:r>
              <w:rPr>
                <w:b/>
                <w:sz w:val="16"/>
              </w:rPr>
              <w:t>Education Investment</w:t>
            </w:r>
          </w:p>
        </w:tc>
        <w:tc>
          <w:tcPr>
            <w:tcW w:w="918" w:type="dxa"/>
          </w:tcPr>
          <w:p>
            <w:pPr/>
          </w:p>
        </w:tc>
        <w:tc>
          <w:tcPr>
            <w:tcW w:w="919" w:type="dxa"/>
            <w:vMerge w:val="restart"/>
          </w:tcPr>
          <w:p>
            <w:pPr/>
          </w:p>
        </w:tc>
      </w:tr>
      <w:tr>
        <w:trPr>
          <w:trHeight w:val="217" w:hRule="exact"/>
        </w:trPr>
        <w:tc>
          <w:tcPr>
            <w:tcW w:w="8407" w:type="dxa"/>
          </w:tcPr>
          <w:p>
            <w:pPr/>
          </w:p>
        </w:tc>
        <w:tc>
          <w:tcPr>
            <w:tcW w:w="497" w:type="dxa"/>
          </w:tcPr>
          <w:p>
            <w:pPr/>
          </w:p>
        </w:tc>
        <w:tc>
          <w:tcPr>
            <w:tcW w:w="1911" w:type="dxa"/>
          </w:tcPr>
          <w:p>
            <w:pPr>
              <w:pStyle w:val="TableParagraph"/>
              <w:spacing w:line="175" w:lineRule="exact"/>
              <w:ind w:left="102"/>
              <w:rPr>
                <w:b/>
                <w:sz w:val="16"/>
              </w:rPr>
            </w:pPr>
            <w:r>
              <w:rPr>
                <w:b/>
                <w:sz w:val="16"/>
              </w:rPr>
              <w:t>Renewal Fund</w:t>
            </w:r>
          </w:p>
        </w:tc>
        <w:tc>
          <w:tcPr>
            <w:tcW w:w="1836" w:type="dxa"/>
          </w:tcPr>
          <w:p>
            <w:pPr>
              <w:pStyle w:val="TableParagraph"/>
              <w:spacing w:line="175" w:lineRule="exact"/>
              <w:ind w:left="27"/>
              <w:rPr>
                <w:b/>
                <w:sz w:val="16"/>
              </w:rPr>
            </w:pPr>
            <w:r>
              <w:rPr>
                <w:b/>
                <w:sz w:val="16"/>
              </w:rPr>
              <w:t>Fund</w:t>
            </w:r>
          </w:p>
        </w:tc>
        <w:tc>
          <w:tcPr>
            <w:tcW w:w="918" w:type="dxa"/>
          </w:tcPr>
          <w:p>
            <w:pPr>
              <w:pStyle w:val="TableParagraph"/>
              <w:spacing w:line="175" w:lineRule="exact"/>
              <w:ind w:left="28"/>
              <w:rPr>
                <w:b/>
                <w:sz w:val="16"/>
              </w:rPr>
            </w:pPr>
            <w:r>
              <w:rPr>
                <w:b/>
                <w:sz w:val="16"/>
              </w:rPr>
              <w:t>Total</w:t>
            </w:r>
          </w:p>
        </w:tc>
        <w:tc>
          <w:tcPr>
            <w:tcW w:w="919" w:type="dxa"/>
            <w:vMerge/>
          </w:tcPr>
          <w:p>
            <w:pPr/>
          </w:p>
        </w:tc>
      </w:tr>
      <w:tr>
        <w:trPr>
          <w:trHeight w:val="251" w:hRule="exact"/>
        </w:trPr>
        <w:tc>
          <w:tcPr>
            <w:tcW w:w="8407" w:type="dxa"/>
          </w:tcPr>
          <w:p>
            <w:pPr/>
          </w:p>
        </w:tc>
        <w:tc>
          <w:tcPr>
            <w:tcW w:w="497" w:type="dxa"/>
          </w:tcPr>
          <w:p>
            <w:pPr/>
          </w:p>
        </w:tc>
        <w:tc>
          <w:tcPr>
            <w:tcW w:w="1911" w:type="dxa"/>
          </w:tcPr>
          <w:p>
            <w:pPr>
              <w:pStyle w:val="TableParagraph"/>
              <w:tabs>
                <w:tab w:pos="1020" w:val="left" w:leader="none"/>
              </w:tabs>
              <w:spacing w:before="25"/>
              <w:ind w:left="102"/>
              <w:rPr>
                <w:b/>
                <w:sz w:val="16"/>
              </w:rPr>
            </w:pPr>
            <w:r>
              <w:rPr>
                <w:b/>
                <w:sz w:val="16"/>
              </w:rPr>
              <w:t>2012</w:t>
              <w:tab/>
              <w:t>2011</w:t>
            </w:r>
          </w:p>
        </w:tc>
        <w:tc>
          <w:tcPr>
            <w:tcW w:w="1836" w:type="dxa"/>
          </w:tcPr>
          <w:p>
            <w:pPr>
              <w:pStyle w:val="TableParagraph"/>
              <w:tabs>
                <w:tab w:pos="945" w:val="left" w:leader="none"/>
              </w:tabs>
              <w:spacing w:before="25"/>
              <w:ind w:left="27"/>
              <w:rPr>
                <w:b/>
                <w:sz w:val="16"/>
              </w:rPr>
            </w:pPr>
            <w:r>
              <w:rPr>
                <w:b/>
                <w:sz w:val="16"/>
              </w:rPr>
              <w:t>2012</w:t>
              <w:tab/>
              <w:t>2011</w:t>
            </w:r>
          </w:p>
        </w:tc>
        <w:tc>
          <w:tcPr>
            <w:tcW w:w="918" w:type="dxa"/>
          </w:tcPr>
          <w:p>
            <w:pPr>
              <w:pStyle w:val="TableParagraph"/>
              <w:spacing w:before="25"/>
              <w:ind w:left="28"/>
              <w:rPr>
                <w:b/>
                <w:sz w:val="16"/>
              </w:rPr>
            </w:pPr>
            <w:r>
              <w:rPr>
                <w:b/>
                <w:sz w:val="16"/>
              </w:rPr>
              <w:t>2012</w:t>
            </w:r>
          </w:p>
        </w:tc>
        <w:tc>
          <w:tcPr>
            <w:tcW w:w="919" w:type="dxa"/>
          </w:tcPr>
          <w:p>
            <w:pPr>
              <w:pStyle w:val="TableParagraph"/>
              <w:spacing w:before="25"/>
              <w:ind w:left="28"/>
              <w:rPr>
                <w:b/>
                <w:sz w:val="16"/>
              </w:rPr>
            </w:pPr>
            <w:r>
              <w:rPr>
                <w:b/>
                <w:sz w:val="16"/>
              </w:rPr>
              <w:t>2011</w:t>
            </w:r>
          </w:p>
        </w:tc>
      </w:tr>
      <w:tr>
        <w:trPr>
          <w:trHeight w:val="248" w:hRule="exact"/>
        </w:trPr>
        <w:tc>
          <w:tcPr>
            <w:tcW w:w="8407" w:type="dxa"/>
          </w:tcPr>
          <w:p>
            <w:pPr/>
          </w:p>
        </w:tc>
        <w:tc>
          <w:tcPr>
            <w:tcW w:w="497" w:type="dxa"/>
          </w:tcPr>
          <w:p>
            <w:pPr>
              <w:pStyle w:val="TableParagraph"/>
              <w:spacing w:before="25"/>
              <w:ind w:left="20" w:right="81"/>
              <w:jc w:val="center"/>
              <w:rPr>
                <w:b/>
                <w:sz w:val="16"/>
              </w:rPr>
            </w:pPr>
            <w:r>
              <w:rPr>
                <w:b/>
                <w:sz w:val="16"/>
              </w:rPr>
              <w:t>Note</w:t>
            </w:r>
          </w:p>
        </w:tc>
        <w:tc>
          <w:tcPr>
            <w:tcW w:w="1911" w:type="dxa"/>
          </w:tcPr>
          <w:p>
            <w:pPr>
              <w:pStyle w:val="TableParagraph"/>
              <w:tabs>
                <w:tab w:pos="1020" w:val="left" w:leader="none"/>
              </w:tabs>
              <w:spacing w:before="25"/>
              <w:ind w:left="102"/>
              <w:rPr>
                <w:b/>
                <w:sz w:val="16"/>
              </w:rPr>
            </w:pPr>
            <w:r>
              <w:rPr>
                <w:b/>
                <w:sz w:val="16"/>
              </w:rPr>
              <w:t>$'000</w:t>
              <w:tab/>
              <w:t>$'000</w:t>
            </w:r>
          </w:p>
        </w:tc>
        <w:tc>
          <w:tcPr>
            <w:tcW w:w="1836" w:type="dxa"/>
          </w:tcPr>
          <w:p>
            <w:pPr>
              <w:pStyle w:val="TableParagraph"/>
              <w:tabs>
                <w:tab w:pos="945" w:val="left" w:leader="none"/>
              </w:tabs>
              <w:spacing w:before="25"/>
              <w:ind w:left="27"/>
              <w:rPr>
                <w:b/>
                <w:sz w:val="16"/>
              </w:rPr>
            </w:pPr>
            <w:r>
              <w:rPr>
                <w:b/>
                <w:sz w:val="16"/>
              </w:rPr>
              <w:t>$'000</w:t>
              <w:tab/>
              <w:t>$'000</w:t>
            </w:r>
          </w:p>
        </w:tc>
        <w:tc>
          <w:tcPr>
            <w:tcW w:w="918" w:type="dxa"/>
          </w:tcPr>
          <w:p>
            <w:pPr>
              <w:pStyle w:val="TableParagraph"/>
              <w:spacing w:before="25"/>
              <w:ind w:left="28"/>
              <w:rPr>
                <w:b/>
                <w:sz w:val="16"/>
              </w:rPr>
            </w:pPr>
            <w:r>
              <w:rPr>
                <w:b/>
                <w:sz w:val="16"/>
              </w:rPr>
              <w:t>$'000</w:t>
            </w:r>
          </w:p>
        </w:tc>
        <w:tc>
          <w:tcPr>
            <w:tcW w:w="919" w:type="dxa"/>
          </w:tcPr>
          <w:p>
            <w:pPr>
              <w:pStyle w:val="TableParagraph"/>
              <w:spacing w:before="25"/>
              <w:ind w:left="28"/>
              <w:rPr>
                <w:b/>
                <w:sz w:val="16"/>
              </w:rPr>
            </w:pPr>
            <w:r>
              <w:rPr>
                <w:b/>
                <w:sz w:val="16"/>
              </w:rPr>
              <w:t>$'000</w:t>
            </w:r>
          </w:p>
        </w:tc>
      </w:tr>
      <w:tr>
        <w:trPr>
          <w:trHeight w:val="793" w:hRule="exact"/>
        </w:trPr>
        <w:tc>
          <w:tcPr>
            <w:tcW w:w="8407" w:type="dxa"/>
          </w:tcPr>
          <w:p>
            <w:pPr>
              <w:pStyle w:val="TableParagraph"/>
              <w:spacing w:before="22"/>
              <w:ind w:left="641" w:right="4593"/>
              <w:rPr>
                <w:sz w:val="16"/>
              </w:rPr>
            </w:pPr>
            <w:r>
              <w:rPr>
                <w:sz w:val="16"/>
              </w:rPr>
              <w:t>Financial assistance received in CASH during the reporting period (total cash received from Australian Government for the program)</w:t>
            </w:r>
          </w:p>
        </w:tc>
        <w:tc>
          <w:tcPr>
            <w:tcW w:w="497" w:type="dxa"/>
          </w:tcPr>
          <w:p>
            <w:pPr/>
          </w:p>
        </w:tc>
        <w:tc>
          <w:tcPr>
            <w:tcW w:w="1911" w:type="dxa"/>
          </w:tcPr>
          <w:p>
            <w:pPr>
              <w:pStyle w:val="TableParagraph"/>
              <w:rPr>
                <w:b/>
                <w:sz w:val="16"/>
              </w:rPr>
            </w:pPr>
          </w:p>
          <w:p>
            <w:pPr>
              <w:pStyle w:val="TableParagraph"/>
              <w:rPr>
                <w:b/>
                <w:sz w:val="16"/>
              </w:rPr>
            </w:pPr>
          </w:p>
          <w:p>
            <w:pPr>
              <w:pStyle w:val="TableParagraph"/>
              <w:spacing w:before="7"/>
              <w:rPr>
                <w:b/>
                <w:sz w:val="17"/>
              </w:rPr>
            </w:pPr>
          </w:p>
          <w:p>
            <w:pPr>
              <w:pStyle w:val="TableParagraph"/>
              <w:tabs>
                <w:tab w:pos="917" w:val="left" w:leader="none"/>
              </w:tabs>
              <w:ind w:right="78"/>
              <w:jc w:val="right"/>
              <w:rPr>
                <w:sz w:val="16"/>
              </w:rPr>
            </w:pPr>
            <w:r>
              <w:rPr>
                <w:sz w:val="16"/>
              </w:rPr>
              <w:t>-</w:t>
              <w:tab/>
            </w:r>
            <w:r>
              <w:rPr>
                <w:w w:val="95"/>
                <w:sz w:val="16"/>
              </w:rPr>
              <w:t>-</w:t>
            </w:r>
          </w:p>
        </w:tc>
        <w:tc>
          <w:tcPr>
            <w:tcW w:w="1836" w:type="dxa"/>
          </w:tcPr>
          <w:p>
            <w:pPr>
              <w:pStyle w:val="TableParagraph"/>
              <w:rPr>
                <w:b/>
                <w:sz w:val="16"/>
              </w:rPr>
            </w:pPr>
          </w:p>
          <w:p>
            <w:pPr>
              <w:pStyle w:val="TableParagraph"/>
              <w:rPr>
                <w:b/>
                <w:sz w:val="16"/>
              </w:rPr>
            </w:pPr>
          </w:p>
          <w:p>
            <w:pPr>
              <w:pStyle w:val="TableParagraph"/>
              <w:spacing w:before="7"/>
              <w:rPr>
                <w:b/>
                <w:sz w:val="17"/>
              </w:rPr>
            </w:pPr>
          </w:p>
          <w:p>
            <w:pPr>
              <w:pStyle w:val="TableParagraph"/>
              <w:tabs>
                <w:tab w:pos="917" w:val="left" w:leader="none"/>
              </w:tabs>
              <w:ind w:right="78"/>
              <w:jc w:val="right"/>
              <w:rPr>
                <w:sz w:val="16"/>
              </w:rPr>
            </w:pPr>
            <w:r>
              <w:rPr>
                <w:sz w:val="16"/>
              </w:rPr>
              <w:t>-</w:t>
              <w:tab/>
            </w:r>
            <w:r>
              <w:rPr>
                <w:w w:val="95"/>
                <w:sz w:val="16"/>
              </w:rPr>
              <w:t>-</w:t>
            </w:r>
          </w:p>
        </w:tc>
        <w:tc>
          <w:tcPr>
            <w:tcW w:w="918" w:type="dxa"/>
          </w:tcPr>
          <w:p>
            <w:pPr>
              <w:pStyle w:val="TableParagraph"/>
              <w:rPr>
                <w:b/>
                <w:sz w:val="16"/>
              </w:rPr>
            </w:pPr>
          </w:p>
          <w:p>
            <w:pPr>
              <w:pStyle w:val="TableParagraph"/>
              <w:rPr>
                <w:b/>
                <w:sz w:val="16"/>
              </w:rPr>
            </w:pPr>
          </w:p>
          <w:p>
            <w:pPr>
              <w:pStyle w:val="TableParagraph"/>
              <w:spacing w:before="7"/>
              <w:rPr>
                <w:b/>
                <w:sz w:val="17"/>
              </w:rPr>
            </w:pPr>
          </w:p>
          <w:p>
            <w:pPr>
              <w:pStyle w:val="TableParagraph"/>
              <w:ind w:right="78"/>
              <w:jc w:val="right"/>
              <w:rPr>
                <w:sz w:val="16"/>
              </w:rPr>
            </w:pPr>
            <w:r>
              <w:rPr>
                <w:w w:val="99"/>
                <w:sz w:val="16"/>
              </w:rPr>
              <w:t>-</w:t>
            </w:r>
          </w:p>
        </w:tc>
        <w:tc>
          <w:tcPr>
            <w:tcW w:w="919" w:type="dxa"/>
          </w:tcPr>
          <w:p>
            <w:pPr>
              <w:pStyle w:val="TableParagraph"/>
              <w:rPr>
                <w:b/>
                <w:sz w:val="16"/>
              </w:rPr>
            </w:pPr>
          </w:p>
          <w:p>
            <w:pPr>
              <w:pStyle w:val="TableParagraph"/>
              <w:rPr>
                <w:b/>
                <w:sz w:val="16"/>
              </w:rPr>
            </w:pPr>
          </w:p>
          <w:p>
            <w:pPr>
              <w:pStyle w:val="TableParagraph"/>
              <w:spacing w:before="7"/>
              <w:rPr>
                <w:b/>
                <w:sz w:val="17"/>
              </w:rPr>
            </w:pPr>
          </w:p>
          <w:p>
            <w:pPr>
              <w:pStyle w:val="TableParagraph"/>
              <w:ind w:right="79"/>
              <w:jc w:val="right"/>
              <w:rPr>
                <w:sz w:val="16"/>
              </w:rPr>
            </w:pPr>
            <w:r>
              <w:rPr>
                <w:w w:val="99"/>
                <w:sz w:val="16"/>
              </w:rPr>
              <w:t>-</w:t>
            </w:r>
          </w:p>
        </w:tc>
      </w:tr>
      <w:tr>
        <w:trPr>
          <w:trHeight w:val="241" w:hRule="exact"/>
        </w:trPr>
        <w:tc>
          <w:tcPr>
            <w:tcW w:w="8407" w:type="dxa"/>
          </w:tcPr>
          <w:p>
            <w:pPr>
              <w:pStyle w:val="TableParagraph"/>
              <w:spacing w:before="20"/>
              <w:ind w:left="641" w:right="4593"/>
              <w:rPr>
                <w:sz w:val="16"/>
              </w:rPr>
            </w:pPr>
            <w:r>
              <w:rPr>
                <w:sz w:val="16"/>
              </w:rPr>
              <w:t>Net accrual adjustments</w:t>
            </w:r>
          </w:p>
        </w:tc>
        <w:tc>
          <w:tcPr>
            <w:tcW w:w="497" w:type="dxa"/>
            <w:tcBorders>
              <w:bottom w:val="single" w:sz="0" w:space="0" w:color="000000"/>
            </w:tcBorders>
          </w:tcPr>
          <w:p>
            <w:pPr/>
          </w:p>
        </w:tc>
        <w:tc>
          <w:tcPr>
            <w:tcW w:w="1911" w:type="dxa"/>
            <w:tcBorders>
              <w:bottom w:val="single" w:sz="0" w:space="0" w:color="000000"/>
            </w:tcBorders>
          </w:tcPr>
          <w:p>
            <w:pPr>
              <w:pStyle w:val="TableParagraph"/>
              <w:tabs>
                <w:tab w:pos="917" w:val="left" w:leader="none"/>
              </w:tabs>
              <w:spacing w:before="19"/>
              <w:ind w:right="78"/>
              <w:jc w:val="right"/>
              <w:rPr>
                <w:sz w:val="16"/>
              </w:rPr>
            </w:pPr>
            <w:r>
              <w:rPr>
                <w:sz w:val="16"/>
              </w:rPr>
              <w:t>-</w:t>
              <w:tab/>
            </w:r>
            <w:r>
              <w:rPr>
                <w:w w:val="95"/>
                <w:sz w:val="16"/>
              </w:rPr>
              <w:t>-</w:t>
            </w:r>
          </w:p>
        </w:tc>
        <w:tc>
          <w:tcPr>
            <w:tcW w:w="1836" w:type="dxa"/>
            <w:tcBorders>
              <w:bottom w:val="single" w:sz="0" w:space="0" w:color="000000"/>
            </w:tcBorders>
          </w:tcPr>
          <w:p>
            <w:pPr>
              <w:pStyle w:val="TableParagraph"/>
              <w:tabs>
                <w:tab w:pos="1353" w:val="left" w:leader="none"/>
              </w:tabs>
              <w:spacing w:before="19"/>
              <w:ind w:right="78"/>
              <w:jc w:val="right"/>
              <w:rPr>
                <w:sz w:val="16"/>
              </w:rPr>
            </w:pPr>
            <w:r>
              <w:rPr>
                <w:sz w:val="16"/>
              </w:rPr>
              <w:t>12,574</w:t>
              <w:tab/>
            </w:r>
            <w:r>
              <w:rPr>
                <w:spacing w:val="-1"/>
                <w:sz w:val="16"/>
              </w:rPr>
              <w:t>-</w:t>
            </w:r>
          </w:p>
        </w:tc>
        <w:tc>
          <w:tcPr>
            <w:tcW w:w="918" w:type="dxa"/>
            <w:tcBorders>
              <w:bottom w:val="single" w:sz="0" w:space="0" w:color="000000"/>
            </w:tcBorders>
          </w:tcPr>
          <w:p>
            <w:pPr>
              <w:pStyle w:val="TableParagraph"/>
              <w:spacing w:before="19"/>
              <w:ind w:right="79"/>
              <w:jc w:val="right"/>
              <w:rPr>
                <w:sz w:val="16"/>
              </w:rPr>
            </w:pPr>
            <w:r>
              <w:rPr>
                <w:w w:val="95"/>
                <w:sz w:val="16"/>
              </w:rPr>
              <w:t>12,574</w:t>
            </w:r>
          </w:p>
        </w:tc>
        <w:tc>
          <w:tcPr>
            <w:tcW w:w="919" w:type="dxa"/>
            <w:tcBorders>
              <w:bottom w:val="single" w:sz="0" w:space="0" w:color="000000"/>
            </w:tcBorders>
          </w:tcPr>
          <w:p>
            <w:pPr>
              <w:pStyle w:val="TableParagraph"/>
              <w:spacing w:before="19"/>
              <w:ind w:right="79"/>
              <w:jc w:val="right"/>
              <w:rPr>
                <w:sz w:val="16"/>
              </w:rPr>
            </w:pPr>
            <w:r>
              <w:rPr>
                <w:w w:val="99"/>
                <w:sz w:val="16"/>
              </w:rPr>
              <w:t>-</w:t>
            </w:r>
          </w:p>
        </w:tc>
      </w:tr>
      <w:tr>
        <w:trPr>
          <w:trHeight w:val="261" w:hRule="exact"/>
        </w:trPr>
        <w:tc>
          <w:tcPr>
            <w:tcW w:w="8407" w:type="dxa"/>
          </w:tcPr>
          <w:p>
            <w:pPr>
              <w:pStyle w:val="TableParagraph"/>
              <w:spacing w:before="40"/>
              <w:ind w:left="641" w:right="4593"/>
              <w:rPr>
                <w:sz w:val="16"/>
              </w:rPr>
            </w:pPr>
            <w:r>
              <w:rPr>
                <w:sz w:val="16"/>
              </w:rPr>
              <w:t>Revenue for the period</w:t>
            </w:r>
          </w:p>
        </w:tc>
        <w:tc>
          <w:tcPr>
            <w:tcW w:w="497" w:type="dxa"/>
            <w:tcBorders>
              <w:top w:val="single" w:sz="0" w:space="0" w:color="000000"/>
            </w:tcBorders>
          </w:tcPr>
          <w:p>
            <w:pPr>
              <w:pStyle w:val="TableParagraph"/>
              <w:spacing w:before="37"/>
              <w:ind w:left="20" w:right="152"/>
              <w:jc w:val="center"/>
              <w:rPr>
                <w:sz w:val="16"/>
              </w:rPr>
            </w:pPr>
            <w:r>
              <w:rPr>
                <w:sz w:val="16"/>
              </w:rPr>
              <w:t>2(e)</w:t>
            </w:r>
          </w:p>
        </w:tc>
        <w:tc>
          <w:tcPr>
            <w:tcW w:w="1911" w:type="dxa"/>
            <w:tcBorders>
              <w:top w:val="single" w:sz="0" w:space="0" w:color="000000"/>
            </w:tcBorders>
          </w:tcPr>
          <w:p>
            <w:pPr>
              <w:pStyle w:val="TableParagraph"/>
              <w:tabs>
                <w:tab w:pos="917" w:val="left" w:leader="none"/>
              </w:tabs>
              <w:spacing w:before="38"/>
              <w:ind w:right="78"/>
              <w:jc w:val="right"/>
              <w:rPr>
                <w:sz w:val="16"/>
              </w:rPr>
            </w:pPr>
            <w:r>
              <w:rPr>
                <w:sz w:val="16"/>
              </w:rPr>
              <w:t>-</w:t>
              <w:tab/>
            </w:r>
            <w:r>
              <w:rPr>
                <w:w w:val="95"/>
                <w:sz w:val="16"/>
              </w:rPr>
              <w:t>-</w:t>
            </w:r>
          </w:p>
        </w:tc>
        <w:tc>
          <w:tcPr>
            <w:tcW w:w="1836" w:type="dxa"/>
            <w:tcBorders>
              <w:top w:val="single" w:sz="0" w:space="0" w:color="000000"/>
            </w:tcBorders>
          </w:tcPr>
          <w:p>
            <w:pPr>
              <w:pStyle w:val="TableParagraph"/>
              <w:tabs>
                <w:tab w:pos="1353" w:val="left" w:leader="none"/>
              </w:tabs>
              <w:spacing w:before="38"/>
              <w:ind w:right="78"/>
              <w:jc w:val="right"/>
              <w:rPr>
                <w:sz w:val="16"/>
              </w:rPr>
            </w:pPr>
            <w:r>
              <w:rPr>
                <w:sz w:val="16"/>
              </w:rPr>
              <w:t>12,574</w:t>
              <w:tab/>
            </w:r>
            <w:r>
              <w:rPr>
                <w:spacing w:val="-1"/>
                <w:sz w:val="16"/>
              </w:rPr>
              <w:t>-</w:t>
            </w:r>
          </w:p>
        </w:tc>
        <w:tc>
          <w:tcPr>
            <w:tcW w:w="918" w:type="dxa"/>
            <w:tcBorders>
              <w:top w:val="single" w:sz="0" w:space="0" w:color="000000"/>
            </w:tcBorders>
          </w:tcPr>
          <w:p>
            <w:pPr>
              <w:pStyle w:val="TableParagraph"/>
              <w:spacing w:before="38"/>
              <w:ind w:right="79"/>
              <w:jc w:val="right"/>
              <w:rPr>
                <w:sz w:val="16"/>
              </w:rPr>
            </w:pPr>
            <w:r>
              <w:rPr>
                <w:w w:val="95"/>
                <w:sz w:val="16"/>
              </w:rPr>
              <w:t>12,574</w:t>
            </w:r>
          </w:p>
        </w:tc>
        <w:tc>
          <w:tcPr>
            <w:tcW w:w="919" w:type="dxa"/>
            <w:tcBorders>
              <w:top w:val="single" w:sz="0" w:space="0" w:color="000000"/>
            </w:tcBorders>
          </w:tcPr>
          <w:p>
            <w:pPr>
              <w:pStyle w:val="TableParagraph"/>
              <w:spacing w:before="38"/>
              <w:ind w:right="79"/>
              <w:jc w:val="right"/>
              <w:rPr>
                <w:sz w:val="16"/>
              </w:rPr>
            </w:pPr>
            <w:r>
              <w:rPr>
                <w:w w:val="99"/>
                <w:sz w:val="16"/>
              </w:rPr>
              <w:t>-</w:t>
            </w:r>
          </w:p>
        </w:tc>
      </w:tr>
      <w:tr>
        <w:trPr>
          <w:trHeight w:val="241" w:hRule="exact"/>
        </w:trPr>
        <w:tc>
          <w:tcPr>
            <w:tcW w:w="8407" w:type="dxa"/>
          </w:tcPr>
          <w:p>
            <w:pPr>
              <w:pStyle w:val="TableParagraph"/>
              <w:spacing w:before="20"/>
              <w:ind w:left="641" w:right="4593"/>
              <w:rPr>
                <w:sz w:val="16"/>
              </w:rPr>
            </w:pPr>
            <w:r>
              <w:rPr>
                <w:sz w:val="16"/>
              </w:rPr>
              <w:t>Surplus/(deficit) from the previous year</w:t>
            </w:r>
          </w:p>
        </w:tc>
        <w:tc>
          <w:tcPr>
            <w:tcW w:w="497" w:type="dxa"/>
            <w:tcBorders>
              <w:bottom w:val="single" w:sz="0" w:space="0" w:color="000000"/>
            </w:tcBorders>
          </w:tcPr>
          <w:p>
            <w:pPr/>
          </w:p>
        </w:tc>
        <w:tc>
          <w:tcPr>
            <w:tcW w:w="1911" w:type="dxa"/>
            <w:tcBorders>
              <w:bottom w:val="single" w:sz="0" w:space="0" w:color="000000"/>
            </w:tcBorders>
          </w:tcPr>
          <w:p>
            <w:pPr>
              <w:pStyle w:val="TableParagraph"/>
              <w:tabs>
                <w:tab w:pos="571" w:val="left" w:leader="none"/>
              </w:tabs>
              <w:spacing w:before="19"/>
              <w:ind w:right="79"/>
              <w:jc w:val="right"/>
              <w:rPr>
                <w:sz w:val="16"/>
              </w:rPr>
            </w:pPr>
            <w:r>
              <w:rPr>
                <w:sz w:val="16"/>
              </w:rPr>
              <w:t>-</w:t>
              <w:tab/>
            </w:r>
            <w:r>
              <w:rPr>
                <w:spacing w:val="-1"/>
                <w:sz w:val="16"/>
              </w:rPr>
              <w:t>3,310</w:t>
            </w:r>
          </w:p>
        </w:tc>
        <w:tc>
          <w:tcPr>
            <w:tcW w:w="1836" w:type="dxa"/>
            <w:tcBorders>
              <w:bottom w:val="single" w:sz="0" w:space="0" w:color="000000"/>
            </w:tcBorders>
          </w:tcPr>
          <w:p>
            <w:pPr>
              <w:pStyle w:val="TableParagraph"/>
              <w:tabs>
                <w:tab w:pos="482" w:val="left" w:leader="none"/>
              </w:tabs>
              <w:spacing w:before="19"/>
              <w:ind w:right="79"/>
              <w:jc w:val="right"/>
              <w:rPr>
                <w:sz w:val="16"/>
              </w:rPr>
            </w:pPr>
            <w:r>
              <w:rPr>
                <w:sz w:val="16"/>
              </w:rPr>
              <w:t>-</w:t>
              <w:tab/>
            </w:r>
            <w:r>
              <w:rPr>
                <w:w w:val="95"/>
                <w:sz w:val="16"/>
              </w:rPr>
              <w:t>14,308</w:t>
            </w:r>
          </w:p>
        </w:tc>
        <w:tc>
          <w:tcPr>
            <w:tcW w:w="918" w:type="dxa"/>
            <w:tcBorders>
              <w:bottom w:val="single" w:sz="0" w:space="0" w:color="000000"/>
            </w:tcBorders>
          </w:tcPr>
          <w:p>
            <w:pPr>
              <w:pStyle w:val="TableParagraph"/>
              <w:spacing w:before="19"/>
              <w:ind w:right="78"/>
              <w:jc w:val="right"/>
              <w:rPr>
                <w:sz w:val="16"/>
              </w:rPr>
            </w:pPr>
            <w:r>
              <w:rPr>
                <w:w w:val="99"/>
                <w:sz w:val="16"/>
              </w:rPr>
              <w:t>-</w:t>
            </w:r>
          </w:p>
        </w:tc>
        <w:tc>
          <w:tcPr>
            <w:tcW w:w="919" w:type="dxa"/>
            <w:tcBorders>
              <w:bottom w:val="single" w:sz="0" w:space="0" w:color="000000"/>
            </w:tcBorders>
          </w:tcPr>
          <w:p>
            <w:pPr>
              <w:pStyle w:val="TableParagraph"/>
              <w:spacing w:before="19"/>
              <w:ind w:right="80"/>
              <w:jc w:val="right"/>
              <w:rPr>
                <w:sz w:val="16"/>
              </w:rPr>
            </w:pPr>
            <w:r>
              <w:rPr>
                <w:w w:val="95"/>
                <w:sz w:val="16"/>
              </w:rPr>
              <w:t>17,618</w:t>
            </w:r>
          </w:p>
        </w:tc>
      </w:tr>
      <w:tr>
        <w:trPr>
          <w:trHeight w:val="261" w:hRule="exact"/>
        </w:trPr>
        <w:tc>
          <w:tcPr>
            <w:tcW w:w="8407" w:type="dxa"/>
          </w:tcPr>
          <w:p>
            <w:pPr>
              <w:pStyle w:val="TableParagraph"/>
              <w:spacing w:before="40"/>
              <w:ind w:left="641" w:right="4593"/>
              <w:rPr>
                <w:sz w:val="16"/>
              </w:rPr>
            </w:pPr>
            <w:r>
              <w:rPr>
                <w:sz w:val="16"/>
              </w:rPr>
              <w:t>Total revenue including accrued revenue</w:t>
            </w:r>
          </w:p>
        </w:tc>
        <w:tc>
          <w:tcPr>
            <w:tcW w:w="497" w:type="dxa"/>
            <w:tcBorders>
              <w:top w:val="single" w:sz="0" w:space="0" w:color="000000"/>
            </w:tcBorders>
          </w:tcPr>
          <w:p>
            <w:pPr/>
          </w:p>
        </w:tc>
        <w:tc>
          <w:tcPr>
            <w:tcW w:w="1911" w:type="dxa"/>
            <w:tcBorders>
              <w:top w:val="single" w:sz="0" w:space="0" w:color="000000"/>
            </w:tcBorders>
          </w:tcPr>
          <w:p>
            <w:pPr>
              <w:pStyle w:val="TableParagraph"/>
              <w:tabs>
                <w:tab w:pos="571" w:val="left" w:leader="none"/>
              </w:tabs>
              <w:spacing w:before="38"/>
              <w:ind w:right="79"/>
              <w:jc w:val="right"/>
              <w:rPr>
                <w:sz w:val="16"/>
              </w:rPr>
            </w:pPr>
            <w:r>
              <w:rPr>
                <w:sz w:val="16"/>
              </w:rPr>
              <w:t>-</w:t>
              <w:tab/>
            </w:r>
            <w:r>
              <w:rPr>
                <w:spacing w:val="-1"/>
                <w:sz w:val="16"/>
              </w:rPr>
              <w:t>3,310</w:t>
            </w:r>
          </w:p>
        </w:tc>
        <w:tc>
          <w:tcPr>
            <w:tcW w:w="1836" w:type="dxa"/>
            <w:tcBorders>
              <w:top w:val="single" w:sz="0" w:space="0" w:color="000000"/>
            </w:tcBorders>
          </w:tcPr>
          <w:p>
            <w:pPr>
              <w:pStyle w:val="TableParagraph"/>
              <w:tabs>
                <w:tab w:pos="917" w:val="left" w:leader="none"/>
              </w:tabs>
              <w:spacing w:before="38"/>
              <w:ind w:right="79"/>
              <w:jc w:val="right"/>
              <w:rPr>
                <w:sz w:val="16"/>
              </w:rPr>
            </w:pPr>
            <w:r>
              <w:rPr>
                <w:sz w:val="16"/>
              </w:rPr>
              <w:t>12,574</w:t>
              <w:tab/>
            </w:r>
            <w:r>
              <w:rPr>
                <w:w w:val="95"/>
                <w:sz w:val="16"/>
              </w:rPr>
              <w:t>14,308</w:t>
            </w:r>
          </w:p>
        </w:tc>
        <w:tc>
          <w:tcPr>
            <w:tcW w:w="918" w:type="dxa"/>
            <w:tcBorders>
              <w:top w:val="single" w:sz="0" w:space="0" w:color="000000"/>
            </w:tcBorders>
          </w:tcPr>
          <w:p>
            <w:pPr>
              <w:pStyle w:val="TableParagraph"/>
              <w:spacing w:before="38"/>
              <w:ind w:right="79"/>
              <w:jc w:val="right"/>
              <w:rPr>
                <w:sz w:val="16"/>
              </w:rPr>
            </w:pPr>
            <w:r>
              <w:rPr>
                <w:w w:val="95"/>
                <w:sz w:val="16"/>
              </w:rPr>
              <w:t>12,574</w:t>
            </w:r>
          </w:p>
        </w:tc>
        <w:tc>
          <w:tcPr>
            <w:tcW w:w="919" w:type="dxa"/>
            <w:tcBorders>
              <w:top w:val="single" w:sz="0" w:space="0" w:color="000000"/>
            </w:tcBorders>
          </w:tcPr>
          <w:p>
            <w:pPr>
              <w:pStyle w:val="TableParagraph"/>
              <w:spacing w:before="38"/>
              <w:ind w:right="79"/>
              <w:jc w:val="right"/>
              <w:rPr>
                <w:sz w:val="16"/>
              </w:rPr>
            </w:pPr>
            <w:r>
              <w:rPr>
                <w:w w:val="95"/>
                <w:sz w:val="16"/>
              </w:rPr>
              <w:t>17,618</w:t>
            </w:r>
          </w:p>
        </w:tc>
      </w:tr>
      <w:tr>
        <w:trPr>
          <w:trHeight w:val="241" w:hRule="exact"/>
        </w:trPr>
        <w:tc>
          <w:tcPr>
            <w:tcW w:w="8407" w:type="dxa"/>
          </w:tcPr>
          <w:p>
            <w:pPr>
              <w:pStyle w:val="TableParagraph"/>
              <w:spacing w:before="20"/>
              <w:ind w:left="640" w:right="4593"/>
              <w:rPr>
                <w:sz w:val="16"/>
              </w:rPr>
            </w:pPr>
            <w:r>
              <w:rPr>
                <w:sz w:val="16"/>
              </w:rPr>
              <w:t>Less expenses including accrued expenses</w:t>
            </w:r>
          </w:p>
        </w:tc>
        <w:tc>
          <w:tcPr>
            <w:tcW w:w="497" w:type="dxa"/>
            <w:tcBorders>
              <w:bottom w:val="single" w:sz="0" w:space="0" w:color="000000"/>
            </w:tcBorders>
          </w:tcPr>
          <w:p>
            <w:pPr/>
          </w:p>
        </w:tc>
        <w:tc>
          <w:tcPr>
            <w:tcW w:w="1911" w:type="dxa"/>
            <w:tcBorders>
              <w:bottom w:val="single" w:sz="0" w:space="0" w:color="000000"/>
            </w:tcBorders>
          </w:tcPr>
          <w:p>
            <w:pPr>
              <w:pStyle w:val="TableParagraph"/>
              <w:tabs>
                <w:tab w:pos="518" w:val="left" w:leader="none"/>
              </w:tabs>
              <w:spacing w:before="19"/>
              <w:ind w:right="27"/>
              <w:jc w:val="right"/>
              <w:rPr>
                <w:sz w:val="16"/>
              </w:rPr>
            </w:pPr>
            <w:r>
              <w:rPr>
                <w:sz w:val="16"/>
              </w:rPr>
              <w:t>-</w:t>
              <w:tab/>
            </w:r>
            <w:r>
              <w:rPr>
                <w:spacing w:val="-1"/>
                <w:sz w:val="16"/>
              </w:rPr>
              <w:t>(3,310)</w:t>
            </w:r>
          </w:p>
        </w:tc>
        <w:tc>
          <w:tcPr>
            <w:tcW w:w="1836" w:type="dxa"/>
            <w:tcBorders>
              <w:bottom w:val="single" w:sz="0" w:space="0" w:color="000000"/>
            </w:tcBorders>
          </w:tcPr>
          <w:p>
            <w:pPr>
              <w:pStyle w:val="TableParagraph"/>
              <w:tabs>
                <w:tab w:pos="829" w:val="left" w:leader="none"/>
              </w:tabs>
              <w:spacing w:before="19"/>
              <w:ind w:right="26"/>
              <w:jc w:val="right"/>
              <w:rPr>
                <w:sz w:val="16"/>
              </w:rPr>
            </w:pPr>
            <w:r>
              <w:rPr>
                <w:sz w:val="16"/>
              </w:rPr>
              <w:t>(2,852)</w:t>
              <w:tab/>
            </w:r>
            <w:r>
              <w:rPr>
                <w:w w:val="95"/>
                <w:sz w:val="16"/>
              </w:rPr>
              <w:t>(14,308)</w:t>
            </w:r>
          </w:p>
        </w:tc>
        <w:tc>
          <w:tcPr>
            <w:tcW w:w="918" w:type="dxa"/>
            <w:tcBorders>
              <w:bottom w:val="single" w:sz="0" w:space="0" w:color="000000"/>
            </w:tcBorders>
          </w:tcPr>
          <w:p>
            <w:pPr>
              <w:pStyle w:val="TableParagraph"/>
              <w:spacing w:before="19"/>
              <w:ind w:right="26"/>
              <w:jc w:val="right"/>
              <w:rPr>
                <w:sz w:val="16"/>
              </w:rPr>
            </w:pPr>
            <w:r>
              <w:rPr>
                <w:sz w:val="16"/>
              </w:rPr>
              <w:t>(2,852)</w:t>
            </w:r>
          </w:p>
        </w:tc>
        <w:tc>
          <w:tcPr>
            <w:tcW w:w="919" w:type="dxa"/>
            <w:tcBorders>
              <w:bottom w:val="single" w:sz="0" w:space="0" w:color="000000"/>
            </w:tcBorders>
          </w:tcPr>
          <w:p>
            <w:pPr>
              <w:pStyle w:val="TableParagraph"/>
              <w:spacing w:before="19"/>
              <w:ind w:right="26"/>
              <w:jc w:val="right"/>
              <w:rPr>
                <w:sz w:val="16"/>
              </w:rPr>
            </w:pPr>
            <w:r>
              <w:rPr>
                <w:sz w:val="16"/>
              </w:rPr>
              <w:t>(17,618)</w:t>
            </w:r>
          </w:p>
        </w:tc>
      </w:tr>
      <w:tr>
        <w:trPr>
          <w:trHeight w:val="275" w:hRule="exact"/>
        </w:trPr>
        <w:tc>
          <w:tcPr>
            <w:tcW w:w="8407" w:type="dxa"/>
          </w:tcPr>
          <w:p>
            <w:pPr>
              <w:pStyle w:val="TableParagraph"/>
              <w:spacing w:before="40"/>
              <w:ind w:left="641" w:right="4593"/>
              <w:rPr>
                <w:sz w:val="16"/>
              </w:rPr>
            </w:pPr>
            <w:r>
              <w:rPr>
                <w:sz w:val="16"/>
              </w:rPr>
              <w:t>Surplus/(deficit) for the reporting period</w:t>
            </w:r>
          </w:p>
        </w:tc>
        <w:tc>
          <w:tcPr>
            <w:tcW w:w="497" w:type="dxa"/>
            <w:tcBorders>
              <w:top w:val="single" w:sz="0" w:space="0" w:color="000000"/>
              <w:bottom w:val="single" w:sz="0" w:space="0" w:color="000000"/>
            </w:tcBorders>
          </w:tcPr>
          <w:p>
            <w:pPr/>
          </w:p>
        </w:tc>
        <w:tc>
          <w:tcPr>
            <w:tcW w:w="1911" w:type="dxa"/>
            <w:tcBorders>
              <w:top w:val="single" w:sz="0" w:space="0" w:color="000000"/>
              <w:bottom w:val="single" w:sz="0" w:space="0" w:color="000000"/>
            </w:tcBorders>
          </w:tcPr>
          <w:p>
            <w:pPr>
              <w:pStyle w:val="TableParagraph"/>
              <w:tabs>
                <w:tab w:pos="917" w:val="left" w:leader="none"/>
              </w:tabs>
              <w:spacing w:before="38"/>
              <w:ind w:right="78"/>
              <w:jc w:val="right"/>
              <w:rPr>
                <w:sz w:val="16"/>
              </w:rPr>
            </w:pPr>
            <w:r>
              <w:rPr>
                <w:sz w:val="16"/>
              </w:rPr>
              <w:t>-</w:t>
              <w:tab/>
            </w:r>
            <w:r>
              <w:rPr>
                <w:w w:val="95"/>
                <w:sz w:val="16"/>
              </w:rPr>
              <w:t>-</w:t>
            </w:r>
          </w:p>
        </w:tc>
        <w:tc>
          <w:tcPr>
            <w:tcW w:w="1836" w:type="dxa"/>
            <w:tcBorders>
              <w:top w:val="single" w:sz="0" w:space="0" w:color="000000"/>
              <w:bottom w:val="single" w:sz="0" w:space="0" w:color="000000"/>
            </w:tcBorders>
          </w:tcPr>
          <w:p>
            <w:pPr>
              <w:pStyle w:val="TableParagraph"/>
              <w:tabs>
                <w:tab w:pos="1264" w:val="left" w:leader="none"/>
              </w:tabs>
              <w:spacing w:before="38"/>
              <w:ind w:right="78"/>
              <w:jc w:val="right"/>
              <w:rPr>
                <w:sz w:val="16"/>
              </w:rPr>
            </w:pPr>
            <w:r>
              <w:rPr>
                <w:sz w:val="16"/>
              </w:rPr>
              <w:t>9,722</w:t>
              <w:tab/>
            </w:r>
            <w:r>
              <w:rPr>
                <w:spacing w:val="-1"/>
                <w:sz w:val="16"/>
              </w:rPr>
              <w:t>-</w:t>
            </w:r>
          </w:p>
        </w:tc>
        <w:tc>
          <w:tcPr>
            <w:tcW w:w="918" w:type="dxa"/>
            <w:tcBorders>
              <w:top w:val="single" w:sz="0" w:space="0" w:color="000000"/>
              <w:bottom w:val="single" w:sz="0" w:space="0" w:color="000000"/>
            </w:tcBorders>
          </w:tcPr>
          <w:p>
            <w:pPr>
              <w:pStyle w:val="TableParagraph"/>
              <w:spacing w:before="38"/>
              <w:ind w:right="79"/>
              <w:jc w:val="right"/>
              <w:rPr>
                <w:sz w:val="16"/>
              </w:rPr>
            </w:pPr>
            <w:r>
              <w:rPr>
                <w:w w:val="95"/>
                <w:sz w:val="16"/>
              </w:rPr>
              <w:t>9,722</w:t>
            </w:r>
          </w:p>
        </w:tc>
        <w:tc>
          <w:tcPr>
            <w:tcW w:w="919" w:type="dxa"/>
            <w:tcBorders>
              <w:top w:val="single" w:sz="0" w:space="0" w:color="000000"/>
              <w:bottom w:val="single" w:sz="0" w:space="0" w:color="000000"/>
            </w:tcBorders>
          </w:tcPr>
          <w:p>
            <w:pPr>
              <w:pStyle w:val="TableParagraph"/>
              <w:spacing w:before="38"/>
              <w:ind w:right="79"/>
              <w:jc w:val="right"/>
              <w:rPr>
                <w:sz w:val="16"/>
              </w:rPr>
            </w:pPr>
            <w:r>
              <w:rPr>
                <w:w w:val="99"/>
                <w:sz w:val="16"/>
              </w:rPr>
              <w:t>-</w:t>
            </w:r>
          </w:p>
        </w:tc>
      </w:tr>
    </w:tbl>
    <w:p>
      <w:pPr>
        <w:spacing w:after="0"/>
        <w:jc w:val="right"/>
        <w:rPr>
          <w:sz w:val="16"/>
        </w:rPr>
        <w:sectPr>
          <w:pgSz w:w="16840" w:h="11910" w:orient="landscape"/>
          <w:pgMar w:header="1038" w:footer="507" w:top="2220" w:bottom="700" w:left="900" w:right="880"/>
        </w:sectPr>
      </w:pPr>
    </w:p>
    <w:p>
      <w:pPr>
        <w:pStyle w:val="BodyText"/>
        <w:rPr>
          <w:b/>
          <w:sz w:val="20"/>
        </w:rPr>
      </w:pPr>
    </w:p>
    <w:p>
      <w:pPr>
        <w:pStyle w:val="BodyText"/>
        <w:rPr>
          <w:b/>
          <w:sz w:val="20"/>
        </w:rPr>
      </w:pPr>
    </w:p>
    <w:p>
      <w:pPr>
        <w:pStyle w:val="BodyText"/>
        <w:spacing w:before="4"/>
        <w:rPr>
          <w:b/>
        </w:rPr>
      </w:pPr>
    </w:p>
    <w:p>
      <w:pPr>
        <w:spacing w:before="0"/>
        <w:ind w:left="109" w:right="0" w:firstLine="0"/>
        <w:jc w:val="left"/>
        <w:rPr>
          <w:b/>
          <w:sz w:val="18"/>
        </w:rPr>
      </w:pPr>
      <w:r>
        <w:rPr>
          <w:b/>
          <w:sz w:val="18"/>
        </w:rPr>
        <w:t>35    Acquittal of Australian Government Financial Assistance (continued)</w:t>
      </w:r>
    </w:p>
    <w:p>
      <w:pPr>
        <w:pStyle w:val="BodyText"/>
        <w:spacing w:before="3"/>
        <w:rPr>
          <w:b/>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3"/>
        <w:gridCol w:w="6167"/>
        <w:gridCol w:w="1492"/>
        <w:gridCol w:w="913"/>
        <w:gridCol w:w="941"/>
        <w:gridCol w:w="449"/>
        <w:gridCol w:w="449"/>
        <w:gridCol w:w="1387"/>
        <w:gridCol w:w="449"/>
        <w:gridCol w:w="918"/>
        <w:gridCol w:w="919"/>
      </w:tblGrid>
      <w:tr>
        <w:trPr>
          <w:trHeight w:val="509" w:hRule="exact"/>
        </w:trPr>
        <w:tc>
          <w:tcPr>
            <w:tcW w:w="403" w:type="dxa"/>
          </w:tcPr>
          <w:p>
            <w:pPr>
              <w:pStyle w:val="TableParagraph"/>
              <w:spacing w:before="77"/>
              <w:ind w:left="35"/>
              <w:rPr>
                <w:sz w:val="18"/>
              </w:rPr>
            </w:pPr>
            <w:r>
              <w:rPr>
                <w:sz w:val="18"/>
              </w:rPr>
              <w:t>(f)</w:t>
            </w:r>
          </w:p>
        </w:tc>
        <w:tc>
          <w:tcPr>
            <w:tcW w:w="6167" w:type="dxa"/>
          </w:tcPr>
          <w:p>
            <w:pPr>
              <w:pStyle w:val="TableParagraph"/>
              <w:spacing w:before="77"/>
              <w:ind w:left="198" w:right="2321"/>
              <w:rPr>
                <w:sz w:val="18"/>
              </w:rPr>
            </w:pPr>
            <w:r>
              <w:rPr>
                <w:sz w:val="18"/>
              </w:rPr>
              <w:t>Australian Research Council Grants</w:t>
            </w:r>
          </w:p>
        </w:tc>
        <w:tc>
          <w:tcPr>
            <w:tcW w:w="1492" w:type="dxa"/>
          </w:tcPr>
          <w:p>
            <w:pPr/>
          </w:p>
        </w:tc>
        <w:tc>
          <w:tcPr>
            <w:tcW w:w="913" w:type="dxa"/>
          </w:tcPr>
          <w:p>
            <w:pPr/>
          </w:p>
        </w:tc>
        <w:tc>
          <w:tcPr>
            <w:tcW w:w="941" w:type="dxa"/>
          </w:tcPr>
          <w:p>
            <w:pPr/>
          </w:p>
        </w:tc>
        <w:tc>
          <w:tcPr>
            <w:tcW w:w="449" w:type="dxa"/>
          </w:tcPr>
          <w:p>
            <w:pPr/>
          </w:p>
        </w:tc>
        <w:tc>
          <w:tcPr>
            <w:tcW w:w="449" w:type="dxa"/>
          </w:tcPr>
          <w:p>
            <w:pPr/>
          </w:p>
        </w:tc>
        <w:tc>
          <w:tcPr>
            <w:tcW w:w="1387" w:type="dxa"/>
          </w:tcPr>
          <w:p>
            <w:pPr>
              <w:pStyle w:val="TableParagraph"/>
              <w:rPr>
                <w:b/>
                <w:sz w:val="16"/>
              </w:rPr>
            </w:pPr>
          </w:p>
          <w:p>
            <w:pPr>
              <w:pStyle w:val="TableParagraph"/>
              <w:spacing w:before="132"/>
              <w:ind w:left="22"/>
              <w:rPr>
                <w:b/>
                <w:sz w:val="16"/>
              </w:rPr>
            </w:pPr>
            <w:r>
              <w:rPr>
                <w:b/>
                <w:sz w:val="16"/>
              </w:rPr>
              <w:t>Indigenous</w:t>
            </w:r>
          </w:p>
        </w:tc>
        <w:tc>
          <w:tcPr>
            <w:tcW w:w="2286" w:type="dxa"/>
            <w:gridSpan w:val="3"/>
          </w:tcPr>
          <w:p>
            <w:pPr/>
          </w:p>
        </w:tc>
      </w:tr>
      <w:tr>
        <w:trPr>
          <w:trHeight w:val="401" w:hRule="exact"/>
        </w:trPr>
        <w:tc>
          <w:tcPr>
            <w:tcW w:w="403" w:type="dxa"/>
          </w:tcPr>
          <w:p>
            <w:pPr/>
          </w:p>
        </w:tc>
        <w:tc>
          <w:tcPr>
            <w:tcW w:w="6167" w:type="dxa"/>
          </w:tcPr>
          <w:p>
            <w:pPr/>
          </w:p>
        </w:tc>
        <w:tc>
          <w:tcPr>
            <w:tcW w:w="1492" w:type="dxa"/>
          </w:tcPr>
          <w:p>
            <w:pPr>
              <w:pStyle w:val="TableParagraph"/>
              <w:spacing w:before="2"/>
              <w:rPr>
                <w:b/>
                <w:sz w:val="15"/>
              </w:rPr>
            </w:pPr>
          </w:p>
          <w:p>
            <w:pPr>
              <w:pStyle w:val="TableParagraph"/>
              <w:ind w:left="593"/>
              <w:rPr>
                <w:b/>
                <w:sz w:val="16"/>
              </w:rPr>
            </w:pPr>
            <w:r>
              <w:rPr>
                <w:b/>
                <w:sz w:val="16"/>
              </w:rPr>
              <w:t>Projects</w:t>
            </w:r>
          </w:p>
        </w:tc>
        <w:tc>
          <w:tcPr>
            <w:tcW w:w="913" w:type="dxa"/>
          </w:tcPr>
          <w:p>
            <w:pPr/>
          </w:p>
        </w:tc>
        <w:tc>
          <w:tcPr>
            <w:tcW w:w="941" w:type="dxa"/>
          </w:tcPr>
          <w:p>
            <w:pPr>
              <w:pStyle w:val="TableParagraph"/>
              <w:spacing w:before="2"/>
              <w:rPr>
                <w:b/>
                <w:sz w:val="15"/>
              </w:rPr>
            </w:pPr>
          </w:p>
          <w:p>
            <w:pPr>
              <w:pStyle w:val="TableParagraph"/>
              <w:jc w:val="right"/>
              <w:rPr>
                <w:b/>
                <w:sz w:val="16"/>
              </w:rPr>
            </w:pPr>
            <w:r>
              <w:rPr>
                <w:b/>
                <w:w w:val="95"/>
                <w:sz w:val="16"/>
              </w:rPr>
              <w:t>Fellowships</w:t>
            </w:r>
          </w:p>
        </w:tc>
        <w:tc>
          <w:tcPr>
            <w:tcW w:w="449" w:type="dxa"/>
          </w:tcPr>
          <w:p>
            <w:pPr/>
          </w:p>
        </w:tc>
        <w:tc>
          <w:tcPr>
            <w:tcW w:w="449" w:type="dxa"/>
          </w:tcPr>
          <w:p>
            <w:pPr/>
          </w:p>
        </w:tc>
        <w:tc>
          <w:tcPr>
            <w:tcW w:w="1387" w:type="dxa"/>
          </w:tcPr>
          <w:p>
            <w:pPr>
              <w:pStyle w:val="TableParagraph"/>
              <w:ind w:left="22"/>
              <w:rPr>
                <w:b/>
                <w:sz w:val="16"/>
              </w:rPr>
            </w:pPr>
            <w:r>
              <w:rPr>
                <w:b/>
                <w:sz w:val="16"/>
              </w:rPr>
              <w:t>Researchers </w:t>
            </w:r>
            <w:r>
              <w:rPr>
                <w:b/>
                <w:w w:val="95"/>
                <w:sz w:val="16"/>
              </w:rPr>
              <w:t>Development</w:t>
            </w:r>
          </w:p>
        </w:tc>
        <w:tc>
          <w:tcPr>
            <w:tcW w:w="449" w:type="dxa"/>
          </w:tcPr>
          <w:p>
            <w:pPr/>
          </w:p>
        </w:tc>
        <w:tc>
          <w:tcPr>
            <w:tcW w:w="918" w:type="dxa"/>
          </w:tcPr>
          <w:p>
            <w:pPr>
              <w:pStyle w:val="TableParagraph"/>
              <w:spacing w:before="2"/>
              <w:rPr>
                <w:b/>
                <w:sz w:val="15"/>
              </w:rPr>
            </w:pPr>
          </w:p>
          <w:p>
            <w:pPr>
              <w:pStyle w:val="TableParagraph"/>
              <w:ind w:left="22"/>
              <w:rPr>
                <w:b/>
                <w:sz w:val="16"/>
              </w:rPr>
            </w:pPr>
            <w:r>
              <w:rPr>
                <w:b/>
                <w:sz w:val="16"/>
              </w:rPr>
              <w:t>Total</w:t>
            </w:r>
          </w:p>
        </w:tc>
        <w:tc>
          <w:tcPr>
            <w:tcW w:w="919" w:type="dxa"/>
          </w:tcPr>
          <w:p>
            <w:pPr/>
          </w:p>
        </w:tc>
      </w:tr>
      <w:tr>
        <w:trPr>
          <w:trHeight w:val="251" w:hRule="exact"/>
        </w:trPr>
        <w:tc>
          <w:tcPr>
            <w:tcW w:w="403" w:type="dxa"/>
          </w:tcPr>
          <w:p>
            <w:pPr/>
          </w:p>
        </w:tc>
        <w:tc>
          <w:tcPr>
            <w:tcW w:w="6167" w:type="dxa"/>
          </w:tcPr>
          <w:p>
            <w:pPr>
              <w:pStyle w:val="TableParagraph"/>
              <w:spacing w:before="24"/>
              <w:ind w:left="237" w:right="2321"/>
              <w:rPr>
                <w:b/>
                <w:sz w:val="16"/>
              </w:rPr>
            </w:pPr>
            <w:r>
              <w:rPr>
                <w:b/>
                <w:sz w:val="16"/>
              </w:rPr>
              <w:t>(i) Discovery</w:t>
            </w:r>
          </w:p>
        </w:tc>
        <w:tc>
          <w:tcPr>
            <w:tcW w:w="1492" w:type="dxa"/>
          </w:tcPr>
          <w:p>
            <w:pPr>
              <w:pStyle w:val="TableParagraph"/>
              <w:spacing w:before="24"/>
              <w:ind w:left="593"/>
              <w:rPr>
                <w:b/>
                <w:sz w:val="16"/>
              </w:rPr>
            </w:pPr>
            <w:r>
              <w:rPr>
                <w:b/>
                <w:sz w:val="16"/>
              </w:rPr>
              <w:t>2012</w:t>
            </w:r>
          </w:p>
        </w:tc>
        <w:tc>
          <w:tcPr>
            <w:tcW w:w="913" w:type="dxa"/>
          </w:tcPr>
          <w:p>
            <w:pPr>
              <w:pStyle w:val="TableParagraph"/>
              <w:spacing w:before="24"/>
              <w:ind w:left="25"/>
              <w:rPr>
                <w:b/>
                <w:sz w:val="16"/>
              </w:rPr>
            </w:pPr>
            <w:r>
              <w:rPr>
                <w:b/>
                <w:sz w:val="16"/>
              </w:rPr>
              <w:t>2011</w:t>
            </w:r>
          </w:p>
        </w:tc>
        <w:tc>
          <w:tcPr>
            <w:tcW w:w="941" w:type="dxa"/>
          </w:tcPr>
          <w:p>
            <w:pPr>
              <w:pStyle w:val="TableParagraph"/>
              <w:spacing w:before="24"/>
              <w:ind w:left="25"/>
              <w:rPr>
                <w:b/>
                <w:sz w:val="16"/>
              </w:rPr>
            </w:pPr>
            <w:r>
              <w:rPr>
                <w:b/>
                <w:sz w:val="16"/>
              </w:rPr>
              <w:t>2012</w:t>
            </w:r>
          </w:p>
        </w:tc>
        <w:tc>
          <w:tcPr>
            <w:tcW w:w="449" w:type="dxa"/>
          </w:tcPr>
          <w:p>
            <w:pPr>
              <w:pStyle w:val="TableParagraph"/>
              <w:spacing w:before="24"/>
              <w:ind w:left="2"/>
              <w:rPr>
                <w:b/>
                <w:sz w:val="16"/>
              </w:rPr>
            </w:pPr>
            <w:r>
              <w:rPr>
                <w:b/>
                <w:sz w:val="16"/>
              </w:rPr>
              <w:t>2011</w:t>
            </w:r>
          </w:p>
        </w:tc>
        <w:tc>
          <w:tcPr>
            <w:tcW w:w="449" w:type="dxa"/>
          </w:tcPr>
          <w:p>
            <w:pPr/>
          </w:p>
        </w:tc>
        <w:tc>
          <w:tcPr>
            <w:tcW w:w="1387" w:type="dxa"/>
          </w:tcPr>
          <w:p>
            <w:pPr>
              <w:pStyle w:val="TableParagraph"/>
              <w:tabs>
                <w:tab w:pos="940" w:val="left" w:leader="none"/>
              </w:tabs>
              <w:spacing w:before="24"/>
              <w:ind w:left="22"/>
              <w:rPr>
                <w:b/>
                <w:sz w:val="16"/>
              </w:rPr>
            </w:pPr>
            <w:r>
              <w:rPr>
                <w:b/>
                <w:sz w:val="16"/>
              </w:rPr>
              <w:t>2012</w:t>
              <w:tab/>
              <w:t>2011</w:t>
            </w:r>
          </w:p>
        </w:tc>
        <w:tc>
          <w:tcPr>
            <w:tcW w:w="449" w:type="dxa"/>
          </w:tcPr>
          <w:p>
            <w:pPr/>
          </w:p>
        </w:tc>
        <w:tc>
          <w:tcPr>
            <w:tcW w:w="918" w:type="dxa"/>
          </w:tcPr>
          <w:p>
            <w:pPr>
              <w:pStyle w:val="TableParagraph"/>
              <w:spacing w:before="24"/>
              <w:ind w:left="23"/>
              <w:rPr>
                <w:b/>
                <w:sz w:val="16"/>
              </w:rPr>
            </w:pPr>
            <w:r>
              <w:rPr>
                <w:b/>
                <w:sz w:val="16"/>
              </w:rPr>
              <w:t>2012</w:t>
            </w:r>
          </w:p>
        </w:tc>
        <w:tc>
          <w:tcPr>
            <w:tcW w:w="919" w:type="dxa"/>
          </w:tcPr>
          <w:p>
            <w:pPr>
              <w:pStyle w:val="TableParagraph"/>
              <w:spacing w:before="24"/>
              <w:ind w:left="23"/>
              <w:rPr>
                <w:b/>
                <w:sz w:val="16"/>
              </w:rPr>
            </w:pPr>
            <w:r>
              <w:rPr>
                <w:b/>
                <w:sz w:val="16"/>
              </w:rPr>
              <w:t>2011</w:t>
            </w:r>
          </w:p>
        </w:tc>
      </w:tr>
      <w:tr>
        <w:trPr>
          <w:trHeight w:val="248" w:hRule="exact"/>
        </w:trPr>
        <w:tc>
          <w:tcPr>
            <w:tcW w:w="403" w:type="dxa"/>
          </w:tcPr>
          <w:p>
            <w:pPr/>
          </w:p>
        </w:tc>
        <w:tc>
          <w:tcPr>
            <w:tcW w:w="6167" w:type="dxa"/>
          </w:tcPr>
          <w:p>
            <w:pPr>
              <w:pStyle w:val="TableParagraph"/>
              <w:spacing w:before="25"/>
              <w:ind w:left="237" w:right="2321"/>
              <w:rPr>
                <w:b/>
                <w:sz w:val="16"/>
              </w:rPr>
            </w:pPr>
            <w:r>
              <w:rPr>
                <w:b/>
                <w:sz w:val="16"/>
              </w:rPr>
              <w:t>Parent Entity (University) Only</w:t>
            </w:r>
          </w:p>
        </w:tc>
        <w:tc>
          <w:tcPr>
            <w:tcW w:w="1492" w:type="dxa"/>
          </w:tcPr>
          <w:p>
            <w:pPr>
              <w:pStyle w:val="TableParagraph"/>
              <w:spacing w:before="25"/>
              <w:ind w:left="593"/>
              <w:rPr>
                <w:b/>
                <w:sz w:val="16"/>
              </w:rPr>
            </w:pPr>
            <w:r>
              <w:rPr>
                <w:b/>
                <w:sz w:val="16"/>
              </w:rPr>
              <w:t>$'000</w:t>
            </w:r>
          </w:p>
        </w:tc>
        <w:tc>
          <w:tcPr>
            <w:tcW w:w="913" w:type="dxa"/>
          </w:tcPr>
          <w:p>
            <w:pPr>
              <w:pStyle w:val="TableParagraph"/>
              <w:spacing w:before="25"/>
              <w:ind w:left="25"/>
              <w:rPr>
                <w:b/>
                <w:sz w:val="16"/>
              </w:rPr>
            </w:pPr>
            <w:r>
              <w:rPr>
                <w:b/>
                <w:sz w:val="16"/>
              </w:rPr>
              <w:t>$'000</w:t>
            </w:r>
          </w:p>
        </w:tc>
        <w:tc>
          <w:tcPr>
            <w:tcW w:w="941" w:type="dxa"/>
          </w:tcPr>
          <w:p>
            <w:pPr>
              <w:pStyle w:val="TableParagraph"/>
              <w:spacing w:before="25"/>
              <w:ind w:left="25"/>
              <w:rPr>
                <w:b/>
                <w:sz w:val="16"/>
              </w:rPr>
            </w:pPr>
            <w:r>
              <w:rPr>
                <w:b/>
                <w:sz w:val="16"/>
              </w:rPr>
              <w:t>$'000</w:t>
            </w:r>
          </w:p>
        </w:tc>
        <w:tc>
          <w:tcPr>
            <w:tcW w:w="449" w:type="dxa"/>
          </w:tcPr>
          <w:p>
            <w:pPr>
              <w:pStyle w:val="TableParagraph"/>
              <w:spacing w:before="25"/>
              <w:ind w:left="2"/>
              <w:rPr>
                <w:b/>
                <w:sz w:val="16"/>
              </w:rPr>
            </w:pPr>
            <w:r>
              <w:rPr>
                <w:b/>
                <w:sz w:val="16"/>
              </w:rPr>
              <w:t>$'000</w:t>
            </w:r>
          </w:p>
        </w:tc>
        <w:tc>
          <w:tcPr>
            <w:tcW w:w="449" w:type="dxa"/>
          </w:tcPr>
          <w:p>
            <w:pPr/>
          </w:p>
        </w:tc>
        <w:tc>
          <w:tcPr>
            <w:tcW w:w="1387" w:type="dxa"/>
          </w:tcPr>
          <w:p>
            <w:pPr>
              <w:pStyle w:val="TableParagraph"/>
              <w:tabs>
                <w:tab w:pos="940" w:val="left" w:leader="none"/>
              </w:tabs>
              <w:spacing w:before="25"/>
              <w:ind w:left="22"/>
              <w:rPr>
                <w:b/>
                <w:sz w:val="16"/>
              </w:rPr>
            </w:pPr>
            <w:r>
              <w:rPr>
                <w:b/>
                <w:sz w:val="16"/>
              </w:rPr>
              <w:t>$'000</w:t>
              <w:tab/>
              <w:t>$'000</w:t>
            </w:r>
          </w:p>
        </w:tc>
        <w:tc>
          <w:tcPr>
            <w:tcW w:w="449" w:type="dxa"/>
          </w:tcPr>
          <w:p>
            <w:pPr/>
          </w:p>
        </w:tc>
        <w:tc>
          <w:tcPr>
            <w:tcW w:w="918" w:type="dxa"/>
          </w:tcPr>
          <w:p>
            <w:pPr>
              <w:pStyle w:val="TableParagraph"/>
              <w:spacing w:before="25"/>
              <w:ind w:left="23"/>
              <w:rPr>
                <w:b/>
                <w:sz w:val="16"/>
              </w:rPr>
            </w:pPr>
            <w:r>
              <w:rPr>
                <w:b/>
                <w:sz w:val="16"/>
              </w:rPr>
              <w:t>$'000</w:t>
            </w:r>
          </w:p>
        </w:tc>
        <w:tc>
          <w:tcPr>
            <w:tcW w:w="919" w:type="dxa"/>
          </w:tcPr>
          <w:p>
            <w:pPr>
              <w:pStyle w:val="TableParagraph"/>
              <w:spacing w:before="25"/>
              <w:ind w:left="23"/>
              <w:rPr>
                <w:b/>
                <w:sz w:val="16"/>
              </w:rPr>
            </w:pPr>
            <w:r>
              <w:rPr>
                <w:b/>
                <w:sz w:val="16"/>
              </w:rPr>
              <w:t>$'000</w:t>
            </w:r>
          </w:p>
        </w:tc>
      </w:tr>
      <w:tr>
        <w:trPr>
          <w:trHeight w:val="610" w:hRule="exact"/>
        </w:trPr>
        <w:tc>
          <w:tcPr>
            <w:tcW w:w="403" w:type="dxa"/>
          </w:tcPr>
          <w:p>
            <w:pPr/>
          </w:p>
        </w:tc>
        <w:tc>
          <w:tcPr>
            <w:tcW w:w="6167" w:type="dxa"/>
          </w:tcPr>
          <w:p>
            <w:pPr>
              <w:pStyle w:val="TableParagraph"/>
              <w:spacing w:before="22"/>
              <w:ind w:left="237" w:right="2321"/>
              <w:rPr>
                <w:sz w:val="16"/>
              </w:rPr>
            </w:pPr>
            <w:r>
              <w:rPr>
                <w:sz w:val="16"/>
              </w:rPr>
              <w:t>Financial assistance received in CASH during the reporting period (total cash received from Australian Government for the program)</w:t>
            </w:r>
          </w:p>
        </w:tc>
        <w:tc>
          <w:tcPr>
            <w:tcW w:w="1492" w:type="dxa"/>
          </w:tcPr>
          <w:p>
            <w:pPr>
              <w:pStyle w:val="TableParagraph"/>
              <w:rPr>
                <w:b/>
                <w:sz w:val="16"/>
              </w:rPr>
            </w:pPr>
          </w:p>
          <w:p>
            <w:pPr>
              <w:pStyle w:val="TableParagraph"/>
              <w:spacing w:before="8"/>
              <w:rPr>
                <w:b/>
                <w:sz w:val="17"/>
              </w:rPr>
            </w:pPr>
          </w:p>
          <w:p>
            <w:pPr>
              <w:pStyle w:val="TableParagraph"/>
              <w:ind w:right="77"/>
              <w:jc w:val="right"/>
              <w:rPr>
                <w:sz w:val="16"/>
              </w:rPr>
            </w:pPr>
            <w:r>
              <w:rPr>
                <w:w w:val="95"/>
                <w:sz w:val="16"/>
              </w:rPr>
              <w:t>3,377</w:t>
            </w:r>
          </w:p>
        </w:tc>
        <w:tc>
          <w:tcPr>
            <w:tcW w:w="913" w:type="dxa"/>
          </w:tcPr>
          <w:p>
            <w:pPr>
              <w:pStyle w:val="TableParagraph"/>
              <w:rPr>
                <w:b/>
                <w:sz w:val="16"/>
              </w:rPr>
            </w:pPr>
          </w:p>
          <w:p>
            <w:pPr>
              <w:pStyle w:val="TableParagraph"/>
              <w:spacing w:before="8"/>
              <w:rPr>
                <w:b/>
                <w:sz w:val="17"/>
              </w:rPr>
            </w:pPr>
          </w:p>
          <w:p>
            <w:pPr>
              <w:pStyle w:val="TableParagraph"/>
              <w:ind w:right="76"/>
              <w:jc w:val="right"/>
              <w:rPr>
                <w:sz w:val="16"/>
              </w:rPr>
            </w:pPr>
            <w:r>
              <w:rPr>
                <w:w w:val="95"/>
                <w:sz w:val="16"/>
              </w:rPr>
              <w:t>3,441</w:t>
            </w:r>
          </w:p>
        </w:tc>
        <w:tc>
          <w:tcPr>
            <w:tcW w:w="941" w:type="dxa"/>
          </w:tcPr>
          <w:p>
            <w:pPr>
              <w:pStyle w:val="TableParagraph"/>
              <w:rPr>
                <w:b/>
                <w:sz w:val="16"/>
              </w:rPr>
            </w:pPr>
          </w:p>
          <w:p>
            <w:pPr>
              <w:pStyle w:val="TableParagraph"/>
              <w:spacing w:before="8"/>
              <w:rPr>
                <w:b/>
                <w:sz w:val="17"/>
              </w:rPr>
            </w:pPr>
          </w:p>
          <w:p>
            <w:pPr>
              <w:pStyle w:val="TableParagraph"/>
              <w:ind w:right="94"/>
              <w:jc w:val="right"/>
              <w:rPr>
                <w:sz w:val="16"/>
              </w:rPr>
            </w:pPr>
            <w:r>
              <w:rPr>
                <w:w w:val="95"/>
                <w:sz w:val="16"/>
              </w:rPr>
              <w:t>1,760</w:t>
            </w:r>
          </w:p>
        </w:tc>
        <w:tc>
          <w:tcPr>
            <w:tcW w:w="449" w:type="dxa"/>
          </w:tcPr>
          <w:p>
            <w:pPr/>
          </w:p>
        </w:tc>
        <w:tc>
          <w:tcPr>
            <w:tcW w:w="449" w:type="dxa"/>
          </w:tcPr>
          <w:p>
            <w:pPr>
              <w:pStyle w:val="TableParagraph"/>
              <w:rPr>
                <w:b/>
                <w:sz w:val="16"/>
              </w:rPr>
            </w:pPr>
          </w:p>
          <w:p>
            <w:pPr>
              <w:pStyle w:val="TableParagraph"/>
              <w:spacing w:before="8"/>
              <w:rPr>
                <w:b/>
                <w:sz w:val="17"/>
              </w:rPr>
            </w:pPr>
          </w:p>
          <w:p>
            <w:pPr>
              <w:pStyle w:val="TableParagraph"/>
              <w:ind w:left="106"/>
              <w:rPr>
                <w:sz w:val="16"/>
              </w:rPr>
            </w:pPr>
            <w:r>
              <w:rPr>
                <w:sz w:val="16"/>
              </w:rPr>
              <w:t>437</w:t>
            </w:r>
          </w:p>
        </w:tc>
        <w:tc>
          <w:tcPr>
            <w:tcW w:w="1387" w:type="dxa"/>
          </w:tcPr>
          <w:p>
            <w:pPr>
              <w:pStyle w:val="TableParagraph"/>
              <w:rPr>
                <w:b/>
                <w:sz w:val="16"/>
              </w:rPr>
            </w:pPr>
          </w:p>
          <w:p>
            <w:pPr>
              <w:pStyle w:val="TableParagraph"/>
              <w:spacing w:before="8"/>
              <w:rPr>
                <w:b/>
                <w:sz w:val="17"/>
              </w:rPr>
            </w:pPr>
          </w:p>
          <w:p>
            <w:pPr>
              <w:pStyle w:val="TableParagraph"/>
              <w:ind w:left="500" w:right="471"/>
              <w:jc w:val="center"/>
              <w:rPr>
                <w:sz w:val="16"/>
              </w:rPr>
            </w:pPr>
            <w:r>
              <w:rPr>
                <w:sz w:val="16"/>
              </w:rPr>
              <w:t>290</w:t>
            </w:r>
          </w:p>
        </w:tc>
        <w:tc>
          <w:tcPr>
            <w:tcW w:w="449" w:type="dxa"/>
          </w:tcPr>
          <w:p>
            <w:pPr>
              <w:pStyle w:val="TableParagraph"/>
              <w:rPr>
                <w:b/>
                <w:sz w:val="16"/>
              </w:rPr>
            </w:pPr>
          </w:p>
          <w:p>
            <w:pPr>
              <w:pStyle w:val="TableParagraph"/>
              <w:spacing w:before="8"/>
              <w:rPr>
                <w:b/>
                <w:sz w:val="17"/>
              </w:rPr>
            </w:pPr>
          </w:p>
          <w:p>
            <w:pPr>
              <w:pStyle w:val="TableParagraph"/>
              <w:ind w:right="74"/>
              <w:jc w:val="right"/>
              <w:rPr>
                <w:sz w:val="16"/>
              </w:rPr>
            </w:pPr>
            <w:r>
              <w:rPr>
                <w:w w:val="95"/>
                <w:sz w:val="16"/>
              </w:rPr>
              <w:t>468</w:t>
            </w:r>
          </w:p>
        </w:tc>
        <w:tc>
          <w:tcPr>
            <w:tcW w:w="918" w:type="dxa"/>
          </w:tcPr>
          <w:p>
            <w:pPr>
              <w:pStyle w:val="TableParagraph"/>
              <w:rPr>
                <w:b/>
                <w:sz w:val="16"/>
              </w:rPr>
            </w:pPr>
          </w:p>
          <w:p>
            <w:pPr>
              <w:pStyle w:val="TableParagraph"/>
              <w:spacing w:before="8"/>
              <w:rPr>
                <w:b/>
                <w:sz w:val="17"/>
              </w:rPr>
            </w:pPr>
          </w:p>
          <w:p>
            <w:pPr>
              <w:pStyle w:val="TableParagraph"/>
              <w:ind w:right="74"/>
              <w:jc w:val="right"/>
              <w:rPr>
                <w:sz w:val="16"/>
              </w:rPr>
            </w:pPr>
            <w:r>
              <w:rPr>
                <w:w w:val="95"/>
                <w:sz w:val="16"/>
              </w:rPr>
              <w:t>5,427</w:t>
            </w:r>
          </w:p>
        </w:tc>
        <w:tc>
          <w:tcPr>
            <w:tcW w:w="919" w:type="dxa"/>
          </w:tcPr>
          <w:p>
            <w:pPr>
              <w:pStyle w:val="TableParagraph"/>
              <w:rPr>
                <w:b/>
                <w:sz w:val="16"/>
              </w:rPr>
            </w:pPr>
          </w:p>
          <w:p>
            <w:pPr>
              <w:pStyle w:val="TableParagraph"/>
              <w:spacing w:before="8"/>
              <w:rPr>
                <w:b/>
                <w:sz w:val="17"/>
              </w:rPr>
            </w:pPr>
          </w:p>
          <w:p>
            <w:pPr>
              <w:pStyle w:val="TableParagraph"/>
              <w:ind w:right="75"/>
              <w:jc w:val="right"/>
              <w:rPr>
                <w:sz w:val="16"/>
              </w:rPr>
            </w:pPr>
            <w:r>
              <w:rPr>
                <w:w w:val="95"/>
                <w:sz w:val="16"/>
              </w:rPr>
              <w:t>4,346</w:t>
            </w:r>
          </w:p>
        </w:tc>
      </w:tr>
      <w:tr>
        <w:trPr>
          <w:trHeight w:val="241" w:hRule="exact"/>
        </w:trPr>
        <w:tc>
          <w:tcPr>
            <w:tcW w:w="403" w:type="dxa"/>
          </w:tcPr>
          <w:p>
            <w:pPr/>
          </w:p>
        </w:tc>
        <w:tc>
          <w:tcPr>
            <w:tcW w:w="6167" w:type="dxa"/>
          </w:tcPr>
          <w:p>
            <w:pPr>
              <w:pStyle w:val="TableParagraph"/>
              <w:spacing w:before="20"/>
              <w:ind w:left="237" w:right="2321"/>
              <w:rPr>
                <w:sz w:val="16"/>
              </w:rPr>
            </w:pPr>
            <w:r>
              <w:rPr>
                <w:sz w:val="16"/>
              </w:rPr>
              <w:t>Net accrual adjustments</w:t>
            </w:r>
          </w:p>
        </w:tc>
        <w:tc>
          <w:tcPr>
            <w:tcW w:w="1492" w:type="dxa"/>
            <w:tcBorders>
              <w:bottom w:val="single" w:sz="0" w:space="0" w:color="000000"/>
            </w:tcBorders>
          </w:tcPr>
          <w:p>
            <w:pPr>
              <w:pStyle w:val="TableParagraph"/>
              <w:spacing w:before="19"/>
              <w:ind w:right="76"/>
              <w:jc w:val="right"/>
              <w:rPr>
                <w:sz w:val="16"/>
              </w:rPr>
            </w:pPr>
            <w:r>
              <w:rPr>
                <w:w w:val="95"/>
                <w:sz w:val="16"/>
              </w:rPr>
              <w:t>30</w:t>
            </w:r>
          </w:p>
        </w:tc>
        <w:tc>
          <w:tcPr>
            <w:tcW w:w="913" w:type="dxa"/>
            <w:tcBorders>
              <w:bottom w:val="single" w:sz="0" w:space="0" w:color="000000"/>
            </w:tcBorders>
          </w:tcPr>
          <w:p>
            <w:pPr>
              <w:pStyle w:val="TableParagraph"/>
              <w:spacing w:before="19"/>
              <w:ind w:right="76"/>
              <w:jc w:val="right"/>
              <w:rPr>
                <w:sz w:val="16"/>
              </w:rPr>
            </w:pPr>
            <w:r>
              <w:rPr>
                <w:sz w:val="16"/>
              </w:rPr>
              <w:t>154</w:t>
            </w:r>
          </w:p>
        </w:tc>
        <w:tc>
          <w:tcPr>
            <w:tcW w:w="941" w:type="dxa"/>
            <w:tcBorders>
              <w:bottom w:val="single" w:sz="0" w:space="0" w:color="000000"/>
            </w:tcBorders>
          </w:tcPr>
          <w:p>
            <w:pPr>
              <w:pStyle w:val="TableParagraph"/>
              <w:spacing w:before="19"/>
              <w:ind w:right="94"/>
              <w:jc w:val="right"/>
              <w:rPr>
                <w:sz w:val="16"/>
              </w:rPr>
            </w:pPr>
            <w:r>
              <w:rPr>
                <w:w w:val="99"/>
                <w:sz w:val="16"/>
              </w:rPr>
              <w:t>4</w:t>
            </w:r>
          </w:p>
        </w:tc>
        <w:tc>
          <w:tcPr>
            <w:tcW w:w="449" w:type="dxa"/>
            <w:tcBorders>
              <w:bottom w:val="single" w:sz="0" w:space="0" w:color="000000"/>
            </w:tcBorders>
          </w:tcPr>
          <w:p>
            <w:pPr/>
          </w:p>
        </w:tc>
        <w:tc>
          <w:tcPr>
            <w:tcW w:w="449" w:type="dxa"/>
            <w:tcBorders>
              <w:bottom w:val="single" w:sz="0" w:space="0" w:color="000000"/>
            </w:tcBorders>
          </w:tcPr>
          <w:p>
            <w:pPr>
              <w:pStyle w:val="TableParagraph"/>
              <w:spacing w:before="19"/>
              <w:ind w:right="73"/>
              <w:jc w:val="right"/>
              <w:rPr>
                <w:sz w:val="16"/>
              </w:rPr>
            </w:pPr>
            <w:r>
              <w:rPr>
                <w:w w:val="99"/>
                <w:sz w:val="16"/>
              </w:rPr>
              <w:t>-</w:t>
            </w:r>
          </w:p>
        </w:tc>
        <w:tc>
          <w:tcPr>
            <w:tcW w:w="1387" w:type="dxa"/>
            <w:tcBorders>
              <w:bottom w:val="single" w:sz="0" w:space="0" w:color="000000"/>
            </w:tcBorders>
          </w:tcPr>
          <w:p>
            <w:pPr>
              <w:pStyle w:val="TableParagraph"/>
              <w:spacing w:before="19"/>
              <w:ind w:left="244"/>
              <w:jc w:val="center"/>
              <w:rPr>
                <w:sz w:val="16"/>
              </w:rPr>
            </w:pPr>
            <w:r>
              <w:rPr>
                <w:w w:val="99"/>
                <w:sz w:val="16"/>
              </w:rPr>
              <w:t>-</w:t>
            </w:r>
          </w:p>
        </w:tc>
        <w:tc>
          <w:tcPr>
            <w:tcW w:w="449" w:type="dxa"/>
            <w:tcBorders>
              <w:bottom w:val="single" w:sz="0" w:space="0" w:color="000000"/>
            </w:tcBorders>
          </w:tcPr>
          <w:p>
            <w:pPr>
              <w:pStyle w:val="TableParagraph"/>
              <w:spacing w:before="19"/>
              <w:ind w:right="73"/>
              <w:jc w:val="right"/>
              <w:rPr>
                <w:sz w:val="16"/>
              </w:rPr>
            </w:pPr>
            <w:r>
              <w:rPr>
                <w:w w:val="99"/>
                <w:sz w:val="16"/>
              </w:rPr>
              <w:t>-</w:t>
            </w:r>
          </w:p>
        </w:tc>
        <w:tc>
          <w:tcPr>
            <w:tcW w:w="918" w:type="dxa"/>
            <w:tcBorders>
              <w:bottom w:val="single" w:sz="0" w:space="0" w:color="000000"/>
            </w:tcBorders>
          </w:tcPr>
          <w:p>
            <w:pPr>
              <w:pStyle w:val="TableParagraph"/>
              <w:spacing w:before="19"/>
              <w:ind w:right="73"/>
              <w:jc w:val="right"/>
              <w:rPr>
                <w:sz w:val="16"/>
              </w:rPr>
            </w:pPr>
            <w:r>
              <w:rPr>
                <w:w w:val="95"/>
                <w:sz w:val="16"/>
              </w:rPr>
              <w:t>34</w:t>
            </w:r>
          </w:p>
        </w:tc>
        <w:tc>
          <w:tcPr>
            <w:tcW w:w="919" w:type="dxa"/>
            <w:tcBorders>
              <w:bottom w:val="single" w:sz="0" w:space="0" w:color="000000"/>
            </w:tcBorders>
          </w:tcPr>
          <w:p>
            <w:pPr>
              <w:pStyle w:val="TableParagraph"/>
              <w:spacing w:before="19"/>
              <w:ind w:right="75"/>
              <w:jc w:val="right"/>
              <w:rPr>
                <w:sz w:val="16"/>
              </w:rPr>
            </w:pPr>
            <w:r>
              <w:rPr>
                <w:sz w:val="16"/>
              </w:rPr>
              <w:t>154</w:t>
            </w:r>
          </w:p>
        </w:tc>
      </w:tr>
      <w:tr>
        <w:trPr>
          <w:trHeight w:val="261" w:hRule="exact"/>
        </w:trPr>
        <w:tc>
          <w:tcPr>
            <w:tcW w:w="403" w:type="dxa"/>
          </w:tcPr>
          <w:p>
            <w:pPr/>
          </w:p>
        </w:tc>
        <w:tc>
          <w:tcPr>
            <w:tcW w:w="6167" w:type="dxa"/>
          </w:tcPr>
          <w:p>
            <w:pPr>
              <w:pStyle w:val="TableParagraph"/>
              <w:spacing w:before="40"/>
              <w:ind w:left="237" w:right="2321"/>
              <w:rPr>
                <w:sz w:val="16"/>
              </w:rPr>
            </w:pPr>
            <w:r>
              <w:rPr>
                <w:sz w:val="16"/>
              </w:rPr>
              <w:t>Revenue for the period</w:t>
            </w:r>
          </w:p>
        </w:tc>
        <w:tc>
          <w:tcPr>
            <w:tcW w:w="1492" w:type="dxa"/>
            <w:tcBorders>
              <w:top w:val="single" w:sz="0" w:space="0" w:color="000000"/>
            </w:tcBorders>
          </w:tcPr>
          <w:p>
            <w:pPr>
              <w:pStyle w:val="TableParagraph"/>
              <w:spacing w:before="38"/>
              <w:ind w:right="77"/>
              <w:jc w:val="right"/>
              <w:rPr>
                <w:sz w:val="16"/>
              </w:rPr>
            </w:pPr>
            <w:r>
              <w:rPr>
                <w:w w:val="95"/>
                <w:sz w:val="16"/>
              </w:rPr>
              <w:t>3,407</w:t>
            </w:r>
          </w:p>
        </w:tc>
        <w:tc>
          <w:tcPr>
            <w:tcW w:w="913" w:type="dxa"/>
            <w:tcBorders>
              <w:top w:val="single" w:sz="0" w:space="0" w:color="000000"/>
            </w:tcBorders>
          </w:tcPr>
          <w:p>
            <w:pPr>
              <w:pStyle w:val="TableParagraph"/>
              <w:spacing w:before="38"/>
              <w:ind w:right="76"/>
              <w:jc w:val="right"/>
              <w:rPr>
                <w:sz w:val="16"/>
              </w:rPr>
            </w:pPr>
            <w:r>
              <w:rPr>
                <w:w w:val="95"/>
                <w:sz w:val="16"/>
              </w:rPr>
              <w:t>3,595</w:t>
            </w:r>
          </w:p>
        </w:tc>
        <w:tc>
          <w:tcPr>
            <w:tcW w:w="941" w:type="dxa"/>
            <w:tcBorders>
              <w:top w:val="single" w:sz="0" w:space="0" w:color="000000"/>
            </w:tcBorders>
          </w:tcPr>
          <w:p>
            <w:pPr>
              <w:pStyle w:val="TableParagraph"/>
              <w:spacing w:before="38"/>
              <w:ind w:right="94"/>
              <w:jc w:val="right"/>
              <w:rPr>
                <w:sz w:val="16"/>
              </w:rPr>
            </w:pPr>
            <w:r>
              <w:rPr>
                <w:w w:val="95"/>
                <w:sz w:val="16"/>
              </w:rPr>
              <w:t>1,764</w:t>
            </w:r>
          </w:p>
        </w:tc>
        <w:tc>
          <w:tcPr>
            <w:tcW w:w="449" w:type="dxa"/>
            <w:tcBorders>
              <w:top w:val="single" w:sz="0" w:space="0" w:color="000000"/>
            </w:tcBorders>
          </w:tcPr>
          <w:p>
            <w:pPr/>
          </w:p>
        </w:tc>
        <w:tc>
          <w:tcPr>
            <w:tcW w:w="449" w:type="dxa"/>
            <w:tcBorders>
              <w:top w:val="single" w:sz="0" w:space="0" w:color="000000"/>
            </w:tcBorders>
          </w:tcPr>
          <w:p>
            <w:pPr>
              <w:pStyle w:val="TableParagraph"/>
              <w:spacing w:before="38"/>
              <w:ind w:left="106"/>
              <w:rPr>
                <w:sz w:val="16"/>
              </w:rPr>
            </w:pPr>
            <w:r>
              <w:rPr>
                <w:sz w:val="16"/>
              </w:rPr>
              <w:t>437</w:t>
            </w:r>
          </w:p>
        </w:tc>
        <w:tc>
          <w:tcPr>
            <w:tcW w:w="1387" w:type="dxa"/>
            <w:tcBorders>
              <w:top w:val="single" w:sz="0" w:space="0" w:color="000000"/>
            </w:tcBorders>
          </w:tcPr>
          <w:p>
            <w:pPr>
              <w:pStyle w:val="TableParagraph"/>
              <w:spacing w:before="38"/>
              <w:ind w:left="501" w:right="471"/>
              <w:jc w:val="center"/>
              <w:rPr>
                <w:sz w:val="16"/>
              </w:rPr>
            </w:pPr>
            <w:r>
              <w:rPr>
                <w:sz w:val="16"/>
              </w:rPr>
              <w:t>290</w:t>
            </w:r>
          </w:p>
        </w:tc>
        <w:tc>
          <w:tcPr>
            <w:tcW w:w="449" w:type="dxa"/>
            <w:tcBorders>
              <w:top w:val="single" w:sz="0" w:space="0" w:color="000000"/>
            </w:tcBorders>
          </w:tcPr>
          <w:p>
            <w:pPr>
              <w:pStyle w:val="TableParagraph"/>
              <w:spacing w:before="38"/>
              <w:ind w:right="73"/>
              <w:jc w:val="right"/>
              <w:rPr>
                <w:sz w:val="16"/>
              </w:rPr>
            </w:pPr>
            <w:r>
              <w:rPr>
                <w:sz w:val="16"/>
              </w:rPr>
              <w:t>468</w:t>
            </w:r>
          </w:p>
        </w:tc>
        <w:tc>
          <w:tcPr>
            <w:tcW w:w="918" w:type="dxa"/>
            <w:tcBorders>
              <w:top w:val="single" w:sz="0" w:space="0" w:color="000000"/>
            </w:tcBorders>
          </w:tcPr>
          <w:p>
            <w:pPr>
              <w:pStyle w:val="TableParagraph"/>
              <w:spacing w:before="38"/>
              <w:ind w:right="73"/>
              <w:jc w:val="right"/>
              <w:rPr>
                <w:sz w:val="16"/>
              </w:rPr>
            </w:pPr>
            <w:r>
              <w:rPr>
                <w:w w:val="95"/>
                <w:sz w:val="16"/>
              </w:rPr>
              <w:t>5,461</w:t>
            </w:r>
          </w:p>
        </w:tc>
        <w:tc>
          <w:tcPr>
            <w:tcW w:w="919" w:type="dxa"/>
            <w:tcBorders>
              <w:top w:val="single" w:sz="0" w:space="0" w:color="000000"/>
            </w:tcBorders>
          </w:tcPr>
          <w:p>
            <w:pPr>
              <w:pStyle w:val="TableParagraph"/>
              <w:spacing w:before="38"/>
              <w:ind w:right="75"/>
              <w:jc w:val="right"/>
              <w:rPr>
                <w:sz w:val="16"/>
              </w:rPr>
            </w:pPr>
            <w:r>
              <w:rPr>
                <w:w w:val="95"/>
                <w:sz w:val="16"/>
              </w:rPr>
              <w:t>4,500</w:t>
            </w:r>
          </w:p>
        </w:tc>
      </w:tr>
      <w:tr>
        <w:trPr>
          <w:trHeight w:val="241" w:hRule="exact"/>
        </w:trPr>
        <w:tc>
          <w:tcPr>
            <w:tcW w:w="403" w:type="dxa"/>
          </w:tcPr>
          <w:p>
            <w:pPr/>
          </w:p>
        </w:tc>
        <w:tc>
          <w:tcPr>
            <w:tcW w:w="6167" w:type="dxa"/>
          </w:tcPr>
          <w:p>
            <w:pPr>
              <w:pStyle w:val="TableParagraph"/>
              <w:spacing w:before="20"/>
              <w:ind w:left="237" w:right="2321"/>
              <w:rPr>
                <w:sz w:val="16"/>
              </w:rPr>
            </w:pPr>
            <w:r>
              <w:rPr>
                <w:sz w:val="16"/>
              </w:rPr>
              <w:t>Surplus/(deficit) from the previous year</w:t>
            </w:r>
          </w:p>
        </w:tc>
        <w:tc>
          <w:tcPr>
            <w:tcW w:w="1492" w:type="dxa"/>
            <w:tcBorders>
              <w:bottom w:val="single" w:sz="0" w:space="0" w:color="000000"/>
            </w:tcBorders>
          </w:tcPr>
          <w:p>
            <w:pPr>
              <w:pStyle w:val="TableParagraph"/>
              <w:spacing w:before="19"/>
              <w:ind w:right="77"/>
              <w:jc w:val="right"/>
              <w:rPr>
                <w:sz w:val="16"/>
              </w:rPr>
            </w:pPr>
            <w:r>
              <w:rPr>
                <w:sz w:val="16"/>
              </w:rPr>
              <w:t>3,114</w:t>
            </w:r>
          </w:p>
        </w:tc>
        <w:tc>
          <w:tcPr>
            <w:tcW w:w="913" w:type="dxa"/>
            <w:tcBorders>
              <w:bottom w:val="single" w:sz="0" w:space="0" w:color="000000"/>
            </w:tcBorders>
          </w:tcPr>
          <w:p>
            <w:pPr>
              <w:pStyle w:val="TableParagraph"/>
              <w:spacing w:before="19"/>
              <w:ind w:right="76"/>
              <w:jc w:val="right"/>
              <w:rPr>
                <w:sz w:val="16"/>
              </w:rPr>
            </w:pPr>
            <w:r>
              <w:rPr>
                <w:w w:val="95"/>
                <w:sz w:val="16"/>
              </w:rPr>
              <w:t>2,751</w:t>
            </w:r>
          </w:p>
        </w:tc>
        <w:tc>
          <w:tcPr>
            <w:tcW w:w="941" w:type="dxa"/>
            <w:tcBorders>
              <w:bottom w:val="single" w:sz="0" w:space="0" w:color="000000"/>
            </w:tcBorders>
          </w:tcPr>
          <w:p>
            <w:pPr>
              <w:pStyle w:val="TableParagraph"/>
              <w:spacing w:before="19"/>
              <w:ind w:right="94"/>
              <w:jc w:val="right"/>
              <w:rPr>
                <w:sz w:val="16"/>
              </w:rPr>
            </w:pPr>
            <w:r>
              <w:rPr>
                <w:w w:val="95"/>
                <w:sz w:val="16"/>
              </w:rPr>
              <w:t>169</w:t>
            </w:r>
          </w:p>
        </w:tc>
        <w:tc>
          <w:tcPr>
            <w:tcW w:w="449" w:type="dxa"/>
            <w:tcBorders>
              <w:bottom w:val="single" w:sz="0" w:space="0" w:color="000000"/>
            </w:tcBorders>
          </w:tcPr>
          <w:p>
            <w:pPr/>
          </w:p>
        </w:tc>
        <w:tc>
          <w:tcPr>
            <w:tcW w:w="449" w:type="dxa"/>
            <w:tcBorders>
              <w:bottom w:val="single" w:sz="0" w:space="0" w:color="000000"/>
            </w:tcBorders>
          </w:tcPr>
          <w:p>
            <w:pPr>
              <w:pStyle w:val="TableParagraph"/>
              <w:spacing w:before="19"/>
              <w:ind w:left="106"/>
              <w:rPr>
                <w:sz w:val="16"/>
              </w:rPr>
            </w:pPr>
            <w:r>
              <w:rPr>
                <w:sz w:val="16"/>
              </w:rPr>
              <w:t>130</w:t>
            </w:r>
          </w:p>
        </w:tc>
        <w:tc>
          <w:tcPr>
            <w:tcW w:w="1387" w:type="dxa"/>
            <w:tcBorders>
              <w:bottom w:val="single" w:sz="0" w:space="0" w:color="000000"/>
            </w:tcBorders>
          </w:tcPr>
          <w:p>
            <w:pPr>
              <w:pStyle w:val="TableParagraph"/>
              <w:spacing w:before="19"/>
              <w:ind w:left="500" w:right="471"/>
              <w:jc w:val="center"/>
              <w:rPr>
                <w:sz w:val="16"/>
              </w:rPr>
            </w:pPr>
            <w:r>
              <w:rPr>
                <w:sz w:val="16"/>
              </w:rPr>
              <w:t>494</w:t>
            </w:r>
          </w:p>
        </w:tc>
        <w:tc>
          <w:tcPr>
            <w:tcW w:w="449" w:type="dxa"/>
            <w:tcBorders>
              <w:bottom w:val="single" w:sz="0" w:space="0" w:color="000000"/>
            </w:tcBorders>
          </w:tcPr>
          <w:p>
            <w:pPr>
              <w:pStyle w:val="TableParagraph"/>
              <w:spacing w:before="19"/>
              <w:ind w:right="74"/>
              <w:jc w:val="right"/>
              <w:rPr>
                <w:sz w:val="16"/>
              </w:rPr>
            </w:pPr>
            <w:r>
              <w:rPr>
                <w:w w:val="95"/>
                <w:sz w:val="16"/>
              </w:rPr>
              <w:t>417</w:t>
            </w:r>
          </w:p>
        </w:tc>
        <w:tc>
          <w:tcPr>
            <w:tcW w:w="918" w:type="dxa"/>
            <w:tcBorders>
              <w:bottom w:val="single" w:sz="0" w:space="0" w:color="000000"/>
            </w:tcBorders>
          </w:tcPr>
          <w:p>
            <w:pPr>
              <w:pStyle w:val="TableParagraph"/>
              <w:spacing w:before="19"/>
              <w:ind w:right="74"/>
              <w:jc w:val="right"/>
              <w:rPr>
                <w:sz w:val="16"/>
              </w:rPr>
            </w:pPr>
            <w:r>
              <w:rPr>
                <w:w w:val="95"/>
                <w:sz w:val="16"/>
              </w:rPr>
              <w:t>3,777</w:t>
            </w:r>
          </w:p>
        </w:tc>
        <w:tc>
          <w:tcPr>
            <w:tcW w:w="919" w:type="dxa"/>
            <w:tcBorders>
              <w:bottom w:val="single" w:sz="0" w:space="0" w:color="000000"/>
            </w:tcBorders>
          </w:tcPr>
          <w:p>
            <w:pPr>
              <w:pStyle w:val="TableParagraph"/>
              <w:spacing w:before="19"/>
              <w:ind w:right="75"/>
              <w:jc w:val="right"/>
              <w:rPr>
                <w:sz w:val="16"/>
              </w:rPr>
            </w:pPr>
            <w:r>
              <w:rPr>
                <w:w w:val="95"/>
                <w:sz w:val="16"/>
              </w:rPr>
              <w:t>3,298</w:t>
            </w:r>
          </w:p>
        </w:tc>
      </w:tr>
      <w:tr>
        <w:trPr>
          <w:trHeight w:val="261" w:hRule="exact"/>
        </w:trPr>
        <w:tc>
          <w:tcPr>
            <w:tcW w:w="403" w:type="dxa"/>
          </w:tcPr>
          <w:p>
            <w:pPr/>
          </w:p>
        </w:tc>
        <w:tc>
          <w:tcPr>
            <w:tcW w:w="6167" w:type="dxa"/>
          </w:tcPr>
          <w:p>
            <w:pPr>
              <w:pStyle w:val="TableParagraph"/>
              <w:spacing w:before="40"/>
              <w:ind w:left="237" w:right="2321"/>
              <w:rPr>
                <w:sz w:val="16"/>
              </w:rPr>
            </w:pPr>
            <w:r>
              <w:rPr>
                <w:sz w:val="16"/>
              </w:rPr>
              <w:t>Total revenue including accrued revenue</w:t>
            </w:r>
          </w:p>
        </w:tc>
        <w:tc>
          <w:tcPr>
            <w:tcW w:w="1492" w:type="dxa"/>
            <w:tcBorders>
              <w:top w:val="single" w:sz="0" w:space="0" w:color="000000"/>
            </w:tcBorders>
          </w:tcPr>
          <w:p>
            <w:pPr>
              <w:pStyle w:val="TableParagraph"/>
              <w:spacing w:before="38"/>
              <w:ind w:right="77"/>
              <w:jc w:val="right"/>
              <w:rPr>
                <w:sz w:val="16"/>
              </w:rPr>
            </w:pPr>
            <w:r>
              <w:rPr>
                <w:sz w:val="16"/>
              </w:rPr>
              <w:t>6,521</w:t>
            </w:r>
          </w:p>
        </w:tc>
        <w:tc>
          <w:tcPr>
            <w:tcW w:w="913" w:type="dxa"/>
            <w:tcBorders>
              <w:top w:val="single" w:sz="0" w:space="0" w:color="000000"/>
            </w:tcBorders>
          </w:tcPr>
          <w:p>
            <w:pPr>
              <w:pStyle w:val="TableParagraph"/>
              <w:spacing w:before="38"/>
              <w:ind w:right="76"/>
              <w:jc w:val="right"/>
              <w:rPr>
                <w:sz w:val="16"/>
              </w:rPr>
            </w:pPr>
            <w:r>
              <w:rPr>
                <w:w w:val="95"/>
                <w:sz w:val="16"/>
              </w:rPr>
              <w:t>6,346</w:t>
            </w:r>
          </w:p>
        </w:tc>
        <w:tc>
          <w:tcPr>
            <w:tcW w:w="941" w:type="dxa"/>
            <w:tcBorders>
              <w:top w:val="single" w:sz="0" w:space="0" w:color="000000"/>
            </w:tcBorders>
          </w:tcPr>
          <w:p>
            <w:pPr>
              <w:pStyle w:val="TableParagraph"/>
              <w:spacing w:before="38"/>
              <w:ind w:right="94"/>
              <w:jc w:val="right"/>
              <w:rPr>
                <w:sz w:val="16"/>
              </w:rPr>
            </w:pPr>
            <w:r>
              <w:rPr>
                <w:w w:val="95"/>
                <w:sz w:val="16"/>
              </w:rPr>
              <w:t>1,933</w:t>
            </w:r>
          </w:p>
        </w:tc>
        <w:tc>
          <w:tcPr>
            <w:tcW w:w="449" w:type="dxa"/>
            <w:tcBorders>
              <w:top w:val="single" w:sz="0" w:space="0" w:color="000000"/>
            </w:tcBorders>
          </w:tcPr>
          <w:p>
            <w:pPr/>
          </w:p>
        </w:tc>
        <w:tc>
          <w:tcPr>
            <w:tcW w:w="449" w:type="dxa"/>
            <w:tcBorders>
              <w:top w:val="single" w:sz="0" w:space="0" w:color="000000"/>
            </w:tcBorders>
          </w:tcPr>
          <w:p>
            <w:pPr>
              <w:pStyle w:val="TableParagraph"/>
              <w:spacing w:before="38"/>
              <w:ind w:left="106"/>
              <w:rPr>
                <w:sz w:val="16"/>
              </w:rPr>
            </w:pPr>
            <w:r>
              <w:rPr>
                <w:sz w:val="16"/>
              </w:rPr>
              <w:t>567</w:t>
            </w:r>
          </w:p>
        </w:tc>
        <w:tc>
          <w:tcPr>
            <w:tcW w:w="1387" w:type="dxa"/>
            <w:tcBorders>
              <w:top w:val="single" w:sz="0" w:space="0" w:color="000000"/>
            </w:tcBorders>
          </w:tcPr>
          <w:p>
            <w:pPr>
              <w:pStyle w:val="TableParagraph"/>
              <w:spacing w:before="38"/>
              <w:ind w:left="501" w:right="471"/>
              <w:jc w:val="center"/>
              <w:rPr>
                <w:sz w:val="16"/>
              </w:rPr>
            </w:pPr>
            <w:r>
              <w:rPr>
                <w:sz w:val="16"/>
              </w:rPr>
              <w:t>784</w:t>
            </w:r>
          </w:p>
        </w:tc>
        <w:tc>
          <w:tcPr>
            <w:tcW w:w="449" w:type="dxa"/>
            <w:tcBorders>
              <w:top w:val="single" w:sz="0" w:space="0" w:color="000000"/>
            </w:tcBorders>
          </w:tcPr>
          <w:p>
            <w:pPr>
              <w:pStyle w:val="TableParagraph"/>
              <w:spacing w:before="38"/>
              <w:ind w:right="73"/>
              <w:jc w:val="right"/>
              <w:rPr>
                <w:sz w:val="16"/>
              </w:rPr>
            </w:pPr>
            <w:r>
              <w:rPr>
                <w:w w:val="95"/>
                <w:sz w:val="16"/>
              </w:rPr>
              <w:t>885</w:t>
            </w:r>
          </w:p>
        </w:tc>
        <w:tc>
          <w:tcPr>
            <w:tcW w:w="918" w:type="dxa"/>
            <w:tcBorders>
              <w:top w:val="single" w:sz="0" w:space="0" w:color="000000"/>
            </w:tcBorders>
          </w:tcPr>
          <w:p>
            <w:pPr>
              <w:pStyle w:val="TableParagraph"/>
              <w:spacing w:before="38"/>
              <w:ind w:right="73"/>
              <w:jc w:val="right"/>
              <w:rPr>
                <w:sz w:val="16"/>
              </w:rPr>
            </w:pPr>
            <w:r>
              <w:rPr>
                <w:w w:val="95"/>
                <w:sz w:val="16"/>
              </w:rPr>
              <w:t>9,238</w:t>
            </w:r>
          </w:p>
        </w:tc>
        <w:tc>
          <w:tcPr>
            <w:tcW w:w="919" w:type="dxa"/>
            <w:tcBorders>
              <w:top w:val="single" w:sz="0" w:space="0" w:color="000000"/>
            </w:tcBorders>
          </w:tcPr>
          <w:p>
            <w:pPr>
              <w:pStyle w:val="TableParagraph"/>
              <w:spacing w:before="38"/>
              <w:ind w:right="75"/>
              <w:jc w:val="right"/>
              <w:rPr>
                <w:sz w:val="16"/>
              </w:rPr>
            </w:pPr>
            <w:r>
              <w:rPr>
                <w:w w:val="95"/>
                <w:sz w:val="16"/>
              </w:rPr>
              <w:t>7,798</w:t>
            </w:r>
          </w:p>
        </w:tc>
      </w:tr>
      <w:tr>
        <w:trPr>
          <w:trHeight w:val="241" w:hRule="exact"/>
        </w:trPr>
        <w:tc>
          <w:tcPr>
            <w:tcW w:w="403" w:type="dxa"/>
          </w:tcPr>
          <w:p>
            <w:pPr/>
          </w:p>
        </w:tc>
        <w:tc>
          <w:tcPr>
            <w:tcW w:w="6167" w:type="dxa"/>
          </w:tcPr>
          <w:p>
            <w:pPr>
              <w:pStyle w:val="TableParagraph"/>
              <w:spacing w:before="20"/>
              <w:ind w:left="237" w:right="2321"/>
              <w:rPr>
                <w:sz w:val="16"/>
              </w:rPr>
            </w:pPr>
            <w:r>
              <w:rPr>
                <w:sz w:val="16"/>
              </w:rPr>
              <w:t>Less expenses including accrued expenses</w:t>
            </w:r>
          </w:p>
        </w:tc>
        <w:tc>
          <w:tcPr>
            <w:tcW w:w="1492" w:type="dxa"/>
            <w:tcBorders>
              <w:bottom w:val="single" w:sz="0" w:space="0" w:color="000000"/>
            </w:tcBorders>
          </w:tcPr>
          <w:p>
            <w:pPr>
              <w:pStyle w:val="TableParagraph"/>
              <w:spacing w:before="19"/>
              <w:ind w:right="23"/>
              <w:jc w:val="right"/>
              <w:rPr>
                <w:sz w:val="16"/>
              </w:rPr>
            </w:pPr>
            <w:r>
              <w:rPr>
                <w:sz w:val="16"/>
              </w:rPr>
              <w:t>(3,685)</w:t>
            </w:r>
          </w:p>
        </w:tc>
        <w:tc>
          <w:tcPr>
            <w:tcW w:w="913" w:type="dxa"/>
            <w:tcBorders>
              <w:bottom w:val="single" w:sz="0" w:space="0" w:color="000000"/>
            </w:tcBorders>
          </w:tcPr>
          <w:p>
            <w:pPr>
              <w:pStyle w:val="TableParagraph"/>
              <w:spacing w:before="19"/>
              <w:ind w:right="23"/>
              <w:jc w:val="right"/>
              <w:rPr>
                <w:sz w:val="16"/>
              </w:rPr>
            </w:pPr>
            <w:r>
              <w:rPr>
                <w:sz w:val="16"/>
              </w:rPr>
              <w:t>(3,232)</w:t>
            </w:r>
          </w:p>
        </w:tc>
        <w:tc>
          <w:tcPr>
            <w:tcW w:w="941" w:type="dxa"/>
            <w:tcBorders>
              <w:bottom w:val="single" w:sz="0" w:space="0" w:color="000000"/>
            </w:tcBorders>
          </w:tcPr>
          <w:p>
            <w:pPr>
              <w:pStyle w:val="TableParagraph"/>
              <w:spacing w:before="19"/>
              <w:ind w:right="41"/>
              <w:jc w:val="right"/>
              <w:rPr>
                <w:sz w:val="16"/>
              </w:rPr>
            </w:pPr>
            <w:r>
              <w:rPr>
                <w:sz w:val="16"/>
              </w:rPr>
              <w:t>(1,087)</w:t>
            </w:r>
          </w:p>
        </w:tc>
        <w:tc>
          <w:tcPr>
            <w:tcW w:w="449" w:type="dxa"/>
            <w:tcBorders>
              <w:bottom w:val="single" w:sz="0" w:space="0" w:color="000000"/>
            </w:tcBorders>
          </w:tcPr>
          <w:p>
            <w:pPr/>
          </w:p>
        </w:tc>
        <w:tc>
          <w:tcPr>
            <w:tcW w:w="449" w:type="dxa"/>
            <w:tcBorders>
              <w:bottom w:val="single" w:sz="0" w:space="0" w:color="000000"/>
            </w:tcBorders>
          </w:tcPr>
          <w:p>
            <w:pPr>
              <w:pStyle w:val="TableParagraph"/>
              <w:spacing w:before="19"/>
              <w:ind w:left="53"/>
              <w:rPr>
                <w:sz w:val="16"/>
              </w:rPr>
            </w:pPr>
            <w:r>
              <w:rPr>
                <w:sz w:val="16"/>
              </w:rPr>
              <w:t>(398)</w:t>
            </w:r>
          </w:p>
        </w:tc>
        <w:tc>
          <w:tcPr>
            <w:tcW w:w="1387" w:type="dxa"/>
            <w:tcBorders>
              <w:bottom w:val="single" w:sz="0" w:space="0" w:color="000000"/>
            </w:tcBorders>
          </w:tcPr>
          <w:p>
            <w:pPr>
              <w:pStyle w:val="TableParagraph"/>
              <w:spacing w:before="19"/>
              <w:ind w:left="501" w:right="471"/>
              <w:jc w:val="center"/>
              <w:rPr>
                <w:sz w:val="16"/>
              </w:rPr>
            </w:pPr>
            <w:r>
              <w:rPr>
                <w:sz w:val="16"/>
              </w:rPr>
              <w:t>(545)</w:t>
            </w:r>
          </w:p>
        </w:tc>
        <w:tc>
          <w:tcPr>
            <w:tcW w:w="449" w:type="dxa"/>
            <w:tcBorders>
              <w:bottom w:val="single" w:sz="0" w:space="0" w:color="000000"/>
            </w:tcBorders>
          </w:tcPr>
          <w:p>
            <w:pPr>
              <w:pStyle w:val="TableParagraph"/>
              <w:spacing w:before="19"/>
              <w:ind w:right="20"/>
              <w:jc w:val="right"/>
              <w:rPr>
                <w:sz w:val="16"/>
              </w:rPr>
            </w:pPr>
            <w:r>
              <w:rPr>
                <w:w w:val="95"/>
                <w:sz w:val="16"/>
              </w:rPr>
              <w:t>(391)</w:t>
            </w:r>
          </w:p>
        </w:tc>
        <w:tc>
          <w:tcPr>
            <w:tcW w:w="918" w:type="dxa"/>
            <w:tcBorders>
              <w:bottom w:val="single" w:sz="0" w:space="0" w:color="000000"/>
            </w:tcBorders>
          </w:tcPr>
          <w:p>
            <w:pPr>
              <w:pStyle w:val="TableParagraph"/>
              <w:spacing w:before="19"/>
              <w:ind w:right="21"/>
              <w:jc w:val="right"/>
              <w:rPr>
                <w:sz w:val="16"/>
              </w:rPr>
            </w:pPr>
            <w:r>
              <w:rPr>
                <w:sz w:val="16"/>
              </w:rPr>
              <w:t>(5,317)</w:t>
            </w:r>
          </w:p>
        </w:tc>
        <w:tc>
          <w:tcPr>
            <w:tcW w:w="919" w:type="dxa"/>
            <w:tcBorders>
              <w:bottom w:val="single" w:sz="0" w:space="0" w:color="000000"/>
            </w:tcBorders>
          </w:tcPr>
          <w:p>
            <w:pPr>
              <w:pStyle w:val="TableParagraph"/>
              <w:spacing w:before="19"/>
              <w:ind w:right="22"/>
              <w:jc w:val="right"/>
              <w:rPr>
                <w:sz w:val="16"/>
              </w:rPr>
            </w:pPr>
            <w:r>
              <w:rPr>
                <w:sz w:val="16"/>
              </w:rPr>
              <w:t>(4,021)</w:t>
            </w:r>
          </w:p>
        </w:tc>
      </w:tr>
      <w:tr>
        <w:trPr>
          <w:trHeight w:val="275" w:hRule="exact"/>
        </w:trPr>
        <w:tc>
          <w:tcPr>
            <w:tcW w:w="403" w:type="dxa"/>
          </w:tcPr>
          <w:p>
            <w:pPr/>
          </w:p>
        </w:tc>
        <w:tc>
          <w:tcPr>
            <w:tcW w:w="6167" w:type="dxa"/>
          </w:tcPr>
          <w:p>
            <w:pPr>
              <w:pStyle w:val="TableParagraph"/>
              <w:spacing w:before="40"/>
              <w:ind w:left="237" w:right="2321"/>
              <w:rPr>
                <w:sz w:val="16"/>
              </w:rPr>
            </w:pPr>
            <w:r>
              <w:rPr>
                <w:sz w:val="16"/>
              </w:rPr>
              <w:t>Surplus/(deficit) for the reporting period</w:t>
            </w:r>
          </w:p>
        </w:tc>
        <w:tc>
          <w:tcPr>
            <w:tcW w:w="1492" w:type="dxa"/>
            <w:tcBorders>
              <w:top w:val="single" w:sz="0" w:space="0" w:color="000000"/>
              <w:bottom w:val="single" w:sz="0" w:space="0" w:color="000000"/>
            </w:tcBorders>
          </w:tcPr>
          <w:p>
            <w:pPr>
              <w:pStyle w:val="TableParagraph"/>
              <w:spacing w:before="38"/>
              <w:ind w:right="77"/>
              <w:jc w:val="right"/>
              <w:rPr>
                <w:sz w:val="16"/>
              </w:rPr>
            </w:pPr>
            <w:r>
              <w:rPr>
                <w:w w:val="95"/>
                <w:sz w:val="16"/>
              </w:rPr>
              <w:t>2,836</w:t>
            </w:r>
          </w:p>
        </w:tc>
        <w:tc>
          <w:tcPr>
            <w:tcW w:w="913" w:type="dxa"/>
            <w:tcBorders>
              <w:top w:val="single" w:sz="0" w:space="0" w:color="000000"/>
              <w:bottom w:val="single" w:sz="0" w:space="0" w:color="000000"/>
            </w:tcBorders>
          </w:tcPr>
          <w:p>
            <w:pPr>
              <w:pStyle w:val="TableParagraph"/>
              <w:spacing w:before="38"/>
              <w:ind w:right="76"/>
              <w:jc w:val="right"/>
              <w:rPr>
                <w:sz w:val="16"/>
              </w:rPr>
            </w:pPr>
            <w:r>
              <w:rPr>
                <w:w w:val="95"/>
                <w:sz w:val="16"/>
              </w:rPr>
              <w:t>3,114</w:t>
            </w:r>
          </w:p>
        </w:tc>
        <w:tc>
          <w:tcPr>
            <w:tcW w:w="941" w:type="dxa"/>
            <w:tcBorders>
              <w:top w:val="single" w:sz="0" w:space="0" w:color="000000"/>
              <w:bottom w:val="single" w:sz="0" w:space="0" w:color="000000"/>
            </w:tcBorders>
          </w:tcPr>
          <w:p>
            <w:pPr>
              <w:pStyle w:val="TableParagraph"/>
              <w:spacing w:before="38"/>
              <w:ind w:right="94"/>
              <w:jc w:val="right"/>
              <w:rPr>
                <w:sz w:val="16"/>
              </w:rPr>
            </w:pPr>
            <w:r>
              <w:rPr>
                <w:sz w:val="16"/>
              </w:rPr>
              <w:t>846</w:t>
            </w:r>
          </w:p>
        </w:tc>
        <w:tc>
          <w:tcPr>
            <w:tcW w:w="449" w:type="dxa"/>
            <w:tcBorders>
              <w:top w:val="single" w:sz="0" w:space="0" w:color="000000"/>
              <w:bottom w:val="single" w:sz="0" w:space="0" w:color="000000"/>
            </w:tcBorders>
          </w:tcPr>
          <w:p>
            <w:pPr/>
          </w:p>
        </w:tc>
        <w:tc>
          <w:tcPr>
            <w:tcW w:w="449" w:type="dxa"/>
            <w:tcBorders>
              <w:top w:val="single" w:sz="0" w:space="0" w:color="000000"/>
              <w:bottom w:val="single" w:sz="0" w:space="0" w:color="000000"/>
            </w:tcBorders>
          </w:tcPr>
          <w:p>
            <w:pPr>
              <w:pStyle w:val="TableParagraph"/>
              <w:spacing w:before="38"/>
              <w:ind w:left="106"/>
              <w:rPr>
                <w:sz w:val="16"/>
              </w:rPr>
            </w:pPr>
            <w:r>
              <w:rPr>
                <w:sz w:val="16"/>
              </w:rPr>
              <w:t>169</w:t>
            </w:r>
          </w:p>
        </w:tc>
        <w:tc>
          <w:tcPr>
            <w:tcW w:w="1387" w:type="dxa"/>
            <w:tcBorders>
              <w:top w:val="single" w:sz="0" w:space="0" w:color="000000"/>
              <w:bottom w:val="single" w:sz="0" w:space="0" w:color="000000"/>
            </w:tcBorders>
          </w:tcPr>
          <w:p>
            <w:pPr>
              <w:pStyle w:val="TableParagraph"/>
              <w:spacing w:before="38"/>
              <w:ind w:left="501" w:right="471"/>
              <w:jc w:val="center"/>
              <w:rPr>
                <w:sz w:val="16"/>
              </w:rPr>
            </w:pPr>
            <w:r>
              <w:rPr>
                <w:sz w:val="16"/>
              </w:rPr>
              <w:t>239</w:t>
            </w:r>
          </w:p>
        </w:tc>
        <w:tc>
          <w:tcPr>
            <w:tcW w:w="449" w:type="dxa"/>
            <w:tcBorders>
              <w:top w:val="single" w:sz="0" w:space="0" w:color="000000"/>
              <w:bottom w:val="single" w:sz="0" w:space="0" w:color="000000"/>
            </w:tcBorders>
          </w:tcPr>
          <w:p>
            <w:pPr>
              <w:pStyle w:val="TableParagraph"/>
              <w:spacing w:before="38"/>
              <w:ind w:right="73"/>
              <w:jc w:val="right"/>
              <w:rPr>
                <w:sz w:val="16"/>
              </w:rPr>
            </w:pPr>
            <w:r>
              <w:rPr>
                <w:sz w:val="16"/>
              </w:rPr>
              <w:t>494</w:t>
            </w:r>
          </w:p>
        </w:tc>
        <w:tc>
          <w:tcPr>
            <w:tcW w:w="918" w:type="dxa"/>
            <w:tcBorders>
              <w:top w:val="single" w:sz="0" w:space="0" w:color="000000"/>
              <w:bottom w:val="single" w:sz="0" w:space="0" w:color="000000"/>
            </w:tcBorders>
          </w:tcPr>
          <w:p>
            <w:pPr>
              <w:pStyle w:val="TableParagraph"/>
              <w:spacing w:before="38"/>
              <w:ind w:right="73"/>
              <w:jc w:val="right"/>
              <w:rPr>
                <w:sz w:val="16"/>
              </w:rPr>
            </w:pPr>
            <w:r>
              <w:rPr>
                <w:w w:val="95"/>
                <w:sz w:val="16"/>
              </w:rPr>
              <w:t>3,921</w:t>
            </w:r>
          </w:p>
        </w:tc>
        <w:tc>
          <w:tcPr>
            <w:tcW w:w="919" w:type="dxa"/>
            <w:tcBorders>
              <w:top w:val="single" w:sz="0" w:space="0" w:color="000000"/>
              <w:bottom w:val="single" w:sz="0" w:space="0" w:color="000000"/>
            </w:tcBorders>
          </w:tcPr>
          <w:p>
            <w:pPr>
              <w:pStyle w:val="TableParagraph"/>
              <w:spacing w:before="38"/>
              <w:ind w:right="75"/>
              <w:jc w:val="right"/>
              <w:rPr>
                <w:sz w:val="16"/>
              </w:rPr>
            </w:pPr>
            <w:r>
              <w:rPr>
                <w:w w:val="95"/>
                <w:sz w:val="16"/>
              </w:rPr>
              <w:t>3,777</w:t>
            </w:r>
          </w:p>
        </w:tc>
      </w:tr>
    </w:tbl>
    <w:p>
      <w:pPr>
        <w:spacing w:after="0"/>
        <w:jc w:val="right"/>
        <w:rPr>
          <w:sz w:val="16"/>
        </w:rPr>
        <w:sectPr>
          <w:pgSz w:w="16840" w:h="11910" w:orient="landscape"/>
          <w:pgMar w:header="1038" w:footer="507" w:top="2220" w:bottom="700" w:left="900" w:right="880"/>
        </w:sectPr>
      </w:pPr>
    </w:p>
    <w:p>
      <w:pPr>
        <w:pStyle w:val="BodyText"/>
        <w:rPr>
          <w:b/>
          <w:sz w:val="20"/>
        </w:rPr>
      </w:pPr>
    </w:p>
    <w:p>
      <w:pPr>
        <w:pStyle w:val="BodyText"/>
        <w:rPr>
          <w:b/>
          <w:sz w:val="20"/>
        </w:rPr>
      </w:pPr>
    </w:p>
    <w:p>
      <w:pPr>
        <w:pStyle w:val="BodyText"/>
        <w:spacing w:before="4"/>
        <w:rPr>
          <w:b/>
        </w:rPr>
      </w:pPr>
    </w:p>
    <w:p>
      <w:pPr>
        <w:spacing w:before="0"/>
        <w:ind w:left="109" w:right="0" w:firstLine="0"/>
        <w:jc w:val="left"/>
        <w:rPr>
          <w:b/>
          <w:sz w:val="18"/>
        </w:rPr>
      </w:pPr>
      <w:r>
        <w:rPr>
          <w:b/>
          <w:sz w:val="18"/>
        </w:rPr>
        <w:t>35    Acquittal of Australian Government Financial Assistance (continued)</w:t>
      </w:r>
    </w:p>
    <w:p>
      <w:pPr>
        <w:pStyle w:val="BodyText"/>
        <w:spacing w:before="3"/>
        <w:rPr>
          <w:b/>
        </w:rPr>
      </w:pPr>
    </w:p>
    <w:p>
      <w:pPr>
        <w:spacing w:after="0"/>
        <w:sectPr>
          <w:pgSz w:w="16840" w:h="11910" w:orient="landscape"/>
          <w:pgMar w:header="1038" w:footer="507" w:top="2220" w:bottom="700" w:left="900" w:right="880"/>
        </w:sectPr>
      </w:pPr>
    </w:p>
    <w:p>
      <w:pPr>
        <w:pStyle w:val="ListParagraph"/>
        <w:numPr>
          <w:ilvl w:val="0"/>
          <w:numId w:val="29"/>
        </w:numPr>
        <w:tabs>
          <w:tab w:pos="1072" w:val="left" w:leader="none"/>
        </w:tabs>
        <w:spacing w:line="240" w:lineRule="auto" w:before="77" w:after="0"/>
        <w:ind w:left="1071" w:right="0" w:hanging="566"/>
        <w:jc w:val="left"/>
        <w:rPr>
          <w:sz w:val="18"/>
        </w:rPr>
      </w:pPr>
      <w:r>
        <w:rPr>
          <w:sz w:val="18"/>
        </w:rPr>
        <w:t>Australian Research Council Grants</w:t>
      </w:r>
      <w:r>
        <w:rPr>
          <w:spacing w:val="-1"/>
          <w:sz w:val="18"/>
        </w:rPr>
        <w:t> </w:t>
      </w:r>
      <w:r>
        <w:rPr>
          <w:sz w:val="18"/>
        </w:rPr>
        <w:t>(continued)</w:t>
      </w:r>
    </w:p>
    <w:p>
      <w:pPr>
        <w:pStyle w:val="BodyText"/>
        <w:rPr>
          <w:sz w:val="16"/>
        </w:rPr>
      </w:pPr>
      <w:r>
        <w:rPr/>
        <w:br w:type="column"/>
      </w:r>
      <w:r>
        <w:rPr>
          <w:sz w:val="16"/>
        </w:rPr>
      </w:r>
    </w:p>
    <w:p>
      <w:pPr>
        <w:spacing w:line="184" w:lineRule="exact" w:before="133"/>
        <w:ind w:left="505" w:right="0" w:firstLine="0"/>
        <w:jc w:val="left"/>
        <w:rPr>
          <w:b/>
          <w:sz w:val="16"/>
        </w:rPr>
      </w:pPr>
      <w:r>
        <w:rPr>
          <w:b/>
          <w:sz w:val="16"/>
        </w:rPr>
        <w:t>Special Research</w:t>
      </w:r>
    </w:p>
    <w:p>
      <w:pPr>
        <w:tabs>
          <w:tab w:pos="2340" w:val="left" w:leader="none"/>
          <w:tab w:pos="4176" w:val="left" w:leader="none"/>
          <w:tab w:pos="6012" w:val="left" w:leader="none"/>
          <w:tab w:pos="7848" w:val="left" w:leader="none"/>
        </w:tabs>
        <w:spacing w:line="184" w:lineRule="exact" w:before="0"/>
        <w:ind w:left="505" w:right="0" w:firstLine="0"/>
        <w:jc w:val="left"/>
        <w:rPr>
          <w:b/>
          <w:sz w:val="16"/>
        </w:rPr>
      </w:pPr>
      <w:r>
        <w:rPr>
          <w:b/>
          <w:sz w:val="16"/>
        </w:rPr>
        <w:t>Initiatives</w:t>
        <w:tab/>
        <w:t>Infrastructure</w:t>
        <w:tab/>
        <w:t>International</w:t>
        <w:tab/>
        <w:t>Projects</w:t>
        <w:tab/>
        <w:t>Total</w:t>
      </w:r>
    </w:p>
    <w:p>
      <w:pPr>
        <w:spacing w:after="0" w:line="184" w:lineRule="exact"/>
        <w:jc w:val="left"/>
        <w:rPr>
          <w:sz w:val="16"/>
        </w:rPr>
        <w:sectPr>
          <w:type w:val="continuous"/>
          <w:pgSz w:w="16840" w:h="11910" w:orient="landscape"/>
          <w:pgMar w:top="0" w:bottom="280" w:left="900" w:right="880"/>
          <w:cols w:num="2" w:equalWidth="0">
            <w:col w:w="4884" w:space="426"/>
            <w:col w:w="9750"/>
          </w:cols>
        </w:sectPr>
      </w:pPr>
    </w:p>
    <w:p>
      <w:pPr>
        <w:pStyle w:val="BodyText"/>
        <w:spacing w:before="1"/>
        <w:rPr>
          <w:b/>
          <w:sz w:val="3"/>
        </w:rPr>
      </w:pPr>
    </w:p>
    <w:tbl>
      <w:tblPr>
        <w:tblW w:w="0" w:type="auto"/>
        <w:jc w:val="left"/>
        <w:tblInd w:w="107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28"/>
        <w:gridCol w:w="1062"/>
        <w:gridCol w:w="460"/>
        <w:gridCol w:w="895"/>
        <w:gridCol w:w="570"/>
        <w:gridCol w:w="371"/>
        <w:gridCol w:w="457"/>
        <w:gridCol w:w="438"/>
        <w:gridCol w:w="552"/>
        <w:gridCol w:w="389"/>
        <w:gridCol w:w="502"/>
        <w:gridCol w:w="394"/>
        <w:gridCol w:w="941"/>
        <w:gridCol w:w="895"/>
        <w:gridCol w:w="941"/>
        <w:gridCol w:w="888"/>
      </w:tblGrid>
      <w:tr>
        <w:trPr>
          <w:trHeight w:val="718" w:hRule="exact"/>
        </w:trPr>
        <w:tc>
          <w:tcPr>
            <w:tcW w:w="4128" w:type="dxa"/>
          </w:tcPr>
          <w:p>
            <w:pPr>
              <w:pStyle w:val="TableParagraph"/>
              <w:spacing w:before="30"/>
              <w:ind w:left="35" w:right="485"/>
              <w:rPr>
                <w:b/>
                <w:sz w:val="16"/>
              </w:rPr>
            </w:pPr>
            <w:r>
              <w:rPr>
                <w:b/>
                <w:sz w:val="16"/>
              </w:rPr>
              <w:t>(ii) Linkages</w:t>
            </w:r>
          </w:p>
          <w:p>
            <w:pPr>
              <w:pStyle w:val="TableParagraph"/>
              <w:spacing w:before="66"/>
              <w:ind w:left="35" w:right="485"/>
              <w:rPr>
                <w:b/>
                <w:sz w:val="16"/>
              </w:rPr>
            </w:pPr>
            <w:r>
              <w:rPr>
                <w:b/>
                <w:sz w:val="16"/>
              </w:rPr>
              <w:t>Parent Entity (University) Only</w:t>
            </w:r>
          </w:p>
          <w:p>
            <w:pPr>
              <w:pStyle w:val="TableParagraph"/>
              <w:spacing w:before="61"/>
              <w:ind w:left="35" w:right="485"/>
              <w:rPr>
                <w:sz w:val="16"/>
              </w:rPr>
            </w:pPr>
            <w:r>
              <w:rPr>
                <w:sz w:val="16"/>
              </w:rPr>
              <w:t>Financial assistance received in CASH during the</w:t>
            </w:r>
          </w:p>
        </w:tc>
        <w:tc>
          <w:tcPr>
            <w:tcW w:w="1062" w:type="dxa"/>
          </w:tcPr>
          <w:p>
            <w:pPr>
              <w:pStyle w:val="TableParagraph"/>
              <w:spacing w:before="30"/>
              <w:ind w:left="611"/>
              <w:rPr>
                <w:b/>
                <w:sz w:val="16"/>
              </w:rPr>
            </w:pPr>
            <w:r>
              <w:rPr>
                <w:b/>
                <w:sz w:val="16"/>
              </w:rPr>
              <w:t>2012</w:t>
            </w:r>
          </w:p>
          <w:p>
            <w:pPr>
              <w:pStyle w:val="TableParagraph"/>
              <w:spacing w:before="66"/>
              <w:ind w:left="611"/>
              <w:rPr>
                <w:b/>
                <w:sz w:val="16"/>
              </w:rPr>
            </w:pPr>
            <w:r>
              <w:rPr>
                <w:b/>
                <w:sz w:val="16"/>
              </w:rPr>
              <w:t>$'000</w:t>
            </w:r>
          </w:p>
        </w:tc>
        <w:tc>
          <w:tcPr>
            <w:tcW w:w="460" w:type="dxa"/>
          </w:tcPr>
          <w:p>
            <w:pPr/>
          </w:p>
        </w:tc>
        <w:tc>
          <w:tcPr>
            <w:tcW w:w="895" w:type="dxa"/>
          </w:tcPr>
          <w:p>
            <w:pPr>
              <w:pStyle w:val="TableParagraph"/>
              <w:spacing w:before="30"/>
              <w:ind w:left="30"/>
              <w:rPr>
                <w:b/>
                <w:sz w:val="16"/>
              </w:rPr>
            </w:pPr>
            <w:r>
              <w:rPr>
                <w:b/>
                <w:sz w:val="16"/>
              </w:rPr>
              <w:t>2011</w:t>
            </w:r>
          </w:p>
          <w:p>
            <w:pPr>
              <w:pStyle w:val="TableParagraph"/>
              <w:spacing w:before="66"/>
              <w:ind w:left="30"/>
              <w:rPr>
                <w:b/>
                <w:sz w:val="16"/>
              </w:rPr>
            </w:pPr>
            <w:r>
              <w:rPr>
                <w:b/>
                <w:sz w:val="16"/>
              </w:rPr>
              <w:t>$'000</w:t>
            </w:r>
          </w:p>
        </w:tc>
        <w:tc>
          <w:tcPr>
            <w:tcW w:w="570" w:type="dxa"/>
          </w:tcPr>
          <w:p>
            <w:pPr>
              <w:pStyle w:val="TableParagraph"/>
              <w:spacing w:before="30"/>
              <w:ind w:left="31"/>
              <w:rPr>
                <w:b/>
                <w:sz w:val="16"/>
              </w:rPr>
            </w:pPr>
            <w:r>
              <w:rPr>
                <w:b/>
                <w:sz w:val="16"/>
              </w:rPr>
              <w:t>2012</w:t>
            </w:r>
          </w:p>
          <w:p>
            <w:pPr>
              <w:pStyle w:val="TableParagraph"/>
              <w:spacing w:before="66"/>
              <w:ind w:left="31"/>
              <w:rPr>
                <w:b/>
                <w:sz w:val="16"/>
              </w:rPr>
            </w:pPr>
            <w:r>
              <w:rPr>
                <w:b/>
                <w:sz w:val="16"/>
              </w:rPr>
              <w:t>$'000</w:t>
            </w:r>
          </w:p>
        </w:tc>
        <w:tc>
          <w:tcPr>
            <w:tcW w:w="371" w:type="dxa"/>
          </w:tcPr>
          <w:p>
            <w:pPr/>
          </w:p>
        </w:tc>
        <w:tc>
          <w:tcPr>
            <w:tcW w:w="457" w:type="dxa"/>
          </w:tcPr>
          <w:p>
            <w:pPr>
              <w:pStyle w:val="TableParagraph"/>
              <w:spacing w:before="30"/>
              <w:ind w:left="30"/>
              <w:rPr>
                <w:b/>
                <w:sz w:val="16"/>
              </w:rPr>
            </w:pPr>
            <w:r>
              <w:rPr>
                <w:b/>
                <w:sz w:val="16"/>
              </w:rPr>
              <w:t>2011</w:t>
            </w:r>
          </w:p>
          <w:p>
            <w:pPr>
              <w:pStyle w:val="TableParagraph"/>
              <w:spacing w:before="66"/>
              <w:ind w:left="30"/>
              <w:rPr>
                <w:b/>
                <w:sz w:val="16"/>
              </w:rPr>
            </w:pPr>
            <w:r>
              <w:rPr>
                <w:b/>
                <w:sz w:val="16"/>
              </w:rPr>
              <w:t>$'000</w:t>
            </w:r>
          </w:p>
        </w:tc>
        <w:tc>
          <w:tcPr>
            <w:tcW w:w="438" w:type="dxa"/>
          </w:tcPr>
          <w:p>
            <w:pPr/>
          </w:p>
        </w:tc>
        <w:tc>
          <w:tcPr>
            <w:tcW w:w="552" w:type="dxa"/>
          </w:tcPr>
          <w:p>
            <w:pPr>
              <w:pStyle w:val="TableParagraph"/>
              <w:spacing w:before="30"/>
              <w:ind w:left="31"/>
              <w:rPr>
                <w:b/>
                <w:sz w:val="16"/>
              </w:rPr>
            </w:pPr>
            <w:r>
              <w:rPr>
                <w:b/>
                <w:sz w:val="16"/>
              </w:rPr>
              <w:t>2012</w:t>
            </w:r>
          </w:p>
          <w:p>
            <w:pPr>
              <w:pStyle w:val="TableParagraph"/>
              <w:spacing w:before="66"/>
              <w:ind w:left="31"/>
              <w:rPr>
                <w:b/>
                <w:sz w:val="16"/>
              </w:rPr>
            </w:pPr>
            <w:r>
              <w:rPr>
                <w:b/>
                <w:sz w:val="16"/>
              </w:rPr>
              <w:t>$'000</w:t>
            </w:r>
          </w:p>
        </w:tc>
        <w:tc>
          <w:tcPr>
            <w:tcW w:w="389" w:type="dxa"/>
          </w:tcPr>
          <w:p>
            <w:pPr/>
          </w:p>
        </w:tc>
        <w:tc>
          <w:tcPr>
            <w:tcW w:w="502" w:type="dxa"/>
          </w:tcPr>
          <w:p>
            <w:pPr>
              <w:pStyle w:val="TableParagraph"/>
              <w:spacing w:before="30"/>
              <w:ind w:left="30"/>
              <w:rPr>
                <w:b/>
                <w:sz w:val="16"/>
              </w:rPr>
            </w:pPr>
            <w:r>
              <w:rPr>
                <w:b/>
                <w:sz w:val="16"/>
              </w:rPr>
              <w:t>2011</w:t>
            </w:r>
          </w:p>
          <w:p>
            <w:pPr>
              <w:pStyle w:val="TableParagraph"/>
              <w:spacing w:before="66"/>
              <w:ind w:left="30"/>
              <w:rPr>
                <w:b/>
                <w:sz w:val="16"/>
              </w:rPr>
            </w:pPr>
            <w:r>
              <w:rPr>
                <w:b/>
                <w:sz w:val="16"/>
              </w:rPr>
              <w:t>$'000</w:t>
            </w:r>
          </w:p>
        </w:tc>
        <w:tc>
          <w:tcPr>
            <w:tcW w:w="394" w:type="dxa"/>
          </w:tcPr>
          <w:p>
            <w:pPr/>
          </w:p>
        </w:tc>
        <w:tc>
          <w:tcPr>
            <w:tcW w:w="941" w:type="dxa"/>
          </w:tcPr>
          <w:p>
            <w:pPr>
              <w:pStyle w:val="TableParagraph"/>
              <w:spacing w:before="30"/>
              <w:ind w:left="31"/>
              <w:rPr>
                <w:b/>
                <w:sz w:val="16"/>
              </w:rPr>
            </w:pPr>
            <w:r>
              <w:rPr>
                <w:b/>
                <w:sz w:val="16"/>
              </w:rPr>
              <w:t>2012</w:t>
            </w:r>
          </w:p>
          <w:p>
            <w:pPr>
              <w:pStyle w:val="TableParagraph"/>
              <w:spacing w:before="66"/>
              <w:ind w:left="31"/>
              <w:rPr>
                <w:b/>
                <w:sz w:val="16"/>
              </w:rPr>
            </w:pPr>
            <w:r>
              <w:rPr>
                <w:b/>
                <w:sz w:val="16"/>
              </w:rPr>
              <w:t>$'000</w:t>
            </w:r>
          </w:p>
        </w:tc>
        <w:tc>
          <w:tcPr>
            <w:tcW w:w="895" w:type="dxa"/>
          </w:tcPr>
          <w:p>
            <w:pPr>
              <w:pStyle w:val="TableParagraph"/>
              <w:spacing w:before="30"/>
              <w:ind w:left="30"/>
              <w:rPr>
                <w:b/>
                <w:sz w:val="16"/>
              </w:rPr>
            </w:pPr>
            <w:r>
              <w:rPr>
                <w:b/>
                <w:sz w:val="16"/>
              </w:rPr>
              <w:t>2011</w:t>
            </w:r>
          </w:p>
          <w:p>
            <w:pPr>
              <w:pStyle w:val="TableParagraph"/>
              <w:spacing w:before="66"/>
              <w:ind w:left="30"/>
              <w:rPr>
                <w:b/>
                <w:sz w:val="16"/>
              </w:rPr>
            </w:pPr>
            <w:r>
              <w:rPr>
                <w:b/>
                <w:sz w:val="16"/>
              </w:rPr>
              <w:t>$'000</w:t>
            </w:r>
          </w:p>
        </w:tc>
        <w:tc>
          <w:tcPr>
            <w:tcW w:w="941" w:type="dxa"/>
          </w:tcPr>
          <w:p>
            <w:pPr>
              <w:pStyle w:val="TableParagraph"/>
              <w:spacing w:before="30"/>
              <w:ind w:left="31"/>
              <w:rPr>
                <w:b/>
                <w:sz w:val="16"/>
              </w:rPr>
            </w:pPr>
            <w:r>
              <w:rPr>
                <w:b/>
                <w:sz w:val="16"/>
              </w:rPr>
              <w:t>2012</w:t>
            </w:r>
          </w:p>
          <w:p>
            <w:pPr>
              <w:pStyle w:val="TableParagraph"/>
              <w:spacing w:before="66"/>
              <w:ind w:left="31"/>
              <w:rPr>
                <w:b/>
                <w:sz w:val="16"/>
              </w:rPr>
            </w:pPr>
            <w:r>
              <w:rPr>
                <w:b/>
                <w:sz w:val="16"/>
              </w:rPr>
              <w:t>$'000</w:t>
            </w:r>
          </w:p>
        </w:tc>
        <w:tc>
          <w:tcPr>
            <w:tcW w:w="888" w:type="dxa"/>
          </w:tcPr>
          <w:p>
            <w:pPr>
              <w:pStyle w:val="TableParagraph"/>
              <w:spacing w:before="30"/>
              <w:ind w:left="30"/>
              <w:rPr>
                <w:b/>
                <w:sz w:val="16"/>
              </w:rPr>
            </w:pPr>
            <w:r>
              <w:rPr>
                <w:b/>
                <w:sz w:val="16"/>
              </w:rPr>
              <w:t>2011</w:t>
            </w:r>
          </w:p>
          <w:p>
            <w:pPr>
              <w:pStyle w:val="TableParagraph"/>
              <w:spacing w:before="66"/>
              <w:ind w:left="30"/>
              <w:rPr>
                <w:b/>
                <w:sz w:val="16"/>
              </w:rPr>
            </w:pPr>
            <w:r>
              <w:rPr>
                <w:b/>
                <w:sz w:val="16"/>
              </w:rPr>
              <w:t>$'000</w:t>
            </w:r>
          </w:p>
        </w:tc>
      </w:tr>
      <w:tr>
        <w:trPr>
          <w:trHeight w:val="396" w:hRule="exact"/>
        </w:trPr>
        <w:tc>
          <w:tcPr>
            <w:tcW w:w="4128" w:type="dxa"/>
          </w:tcPr>
          <w:p>
            <w:pPr>
              <w:pStyle w:val="TableParagraph"/>
              <w:ind w:left="35" w:right="485" w:hanging="1"/>
              <w:rPr>
                <w:sz w:val="16"/>
              </w:rPr>
            </w:pPr>
            <w:r>
              <w:rPr>
                <w:sz w:val="16"/>
              </w:rPr>
              <w:t>reporting period (total cash received from Australian Government for the program)</w:t>
            </w:r>
          </w:p>
        </w:tc>
        <w:tc>
          <w:tcPr>
            <w:tcW w:w="1062" w:type="dxa"/>
          </w:tcPr>
          <w:p>
            <w:pPr/>
          </w:p>
        </w:tc>
        <w:tc>
          <w:tcPr>
            <w:tcW w:w="460" w:type="dxa"/>
          </w:tcPr>
          <w:p>
            <w:pPr>
              <w:pStyle w:val="TableParagraph"/>
              <w:spacing w:before="1"/>
              <w:rPr>
                <w:b/>
                <w:sz w:val="15"/>
              </w:rPr>
            </w:pPr>
          </w:p>
          <w:p>
            <w:pPr>
              <w:pStyle w:val="TableParagraph"/>
              <w:ind w:right="81"/>
              <w:jc w:val="right"/>
              <w:rPr>
                <w:sz w:val="16"/>
              </w:rPr>
            </w:pPr>
            <w:r>
              <w:rPr>
                <w:w w:val="99"/>
                <w:sz w:val="16"/>
              </w:rPr>
              <w:t>-</w:t>
            </w:r>
          </w:p>
        </w:tc>
        <w:tc>
          <w:tcPr>
            <w:tcW w:w="895" w:type="dxa"/>
          </w:tcPr>
          <w:p>
            <w:pPr>
              <w:pStyle w:val="TableParagraph"/>
              <w:spacing w:before="1"/>
              <w:rPr>
                <w:b/>
                <w:sz w:val="15"/>
              </w:rPr>
            </w:pPr>
          </w:p>
          <w:p>
            <w:pPr>
              <w:pStyle w:val="TableParagraph"/>
              <w:ind w:right="84"/>
              <w:jc w:val="right"/>
              <w:rPr>
                <w:sz w:val="16"/>
              </w:rPr>
            </w:pPr>
            <w:r>
              <w:rPr>
                <w:w w:val="95"/>
                <w:sz w:val="16"/>
              </w:rPr>
              <w:t>374</w:t>
            </w:r>
          </w:p>
        </w:tc>
        <w:tc>
          <w:tcPr>
            <w:tcW w:w="570" w:type="dxa"/>
          </w:tcPr>
          <w:p>
            <w:pPr/>
          </w:p>
        </w:tc>
        <w:tc>
          <w:tcPr>
            <w:tcW w:w="371" w:type="dxa"/>
          </w:tcPr>
          <w:p>
            <w:pPr>
              <w:pStyle w:val="TableParagraph"/>
              <w:spacing w:before="1"/>
              <w:rPr>
                <w:b/>
                <w:sz w:val="15"/>
              </w:rPr>
            </w:pPr>
          </w:p>
          <w:p>
            <w:pPr>
              <w:pStyle w:val="TableParagraph"/>
              <w:ind w:left="150"/>
              <w:jc w:val="center"/>
              <w:rPr>
                <w:sz w:val="16"/>
              </w:rPr>
            </w:pPr>
            <w:r>
              <w:rPr>
                <w:w w:val="99"/>
                <w:sz w:val="16"/>
              </w:rPr>
              <w:t>-</w:t>
            </w:r>
          </w:p>
        </w:tc>
        <w:tc>
          <w:tcPr>
            <w:tcW w:w="457" w:type="dxa"/>
          </w:tcPr>
          <w:p>
            <w:pPr/>
          </w:p>
        </w:tc>
        <w:tc>
          <w:tcPr>
            <w:tcW w:w="438" w:type="dxa"/>
          </w:tcPr>
          <w:p>
            <w:pPr>
              <w:pStyle w:val="TableParagraph"/>
              <w:spacing w:before="1"/>
              <w:rPr>
                <w:b/>
                <w:sz w:val="15"/>
              </w:rPr>
            </w:pPr>
          </w:p>
          <w:p>
            <w:pPr>
              <w:pStyle w:val="TableParagraph"/>
              <w:ind w:right="82"/>
              <w:jc w:val="right"/>
              <w:rPr>
                <w:sz w:val="16"/>
              </w:rPr>
            </w:pPr>
            <w:r>
              <w:rPr>
                <w:w w:val="99"/>
                <w:sz w:val="16"/>
              </w:rPr>
              <w:t>-</w:t>
            </w:r>
          </w:p>
        </w:tc>
        <w:tc>
          <w:tcPr>
            <w:tcW w:w="552" w:type="dxa"/>
          </w:tcPr>
          <w:p>
            <w:pPr/>
          </w:p>
        </w:tc>
        <w:tc>
          <w:tcPr>
            <w:tcW w:w="389" w:type="dxa"/>
          </w:tcPr>
          <w:p>
            <w:pPr>
              <w:pStyle w:val="TableParagraph"/>
              <w:spacing w:before="1"/>
              <w:rPr>
                <w:b/>
                <w:sz w:val="15"/>
              </w:rPr>
            </w:pPr>
          </w:p>
          <w:p>
            <w:pPr>
              <w:pStyle w:val="TableParagraph"/>
              <w:ind w:right="81"/>
              <w:jc w:val="right"/>
              <w:rPr>
                <w:sz w:val="16"/>
              </w:rPr>
            </w:pPr>
            <w:r>
              <w:rPr>
                <w:w w:val="99"/>
                <w:sz w:val="16"/>
              </w:rPr>
              <w:t>-</w:t>
            </w:r>
          </w:p>
        </w:tc>
        <w:tc>
          <w:tcPr>
            <w:tcW w:w="502" w:type="dxa"/>
          </w:tcPr>
          <w:p>
            <w:pPr/>
          </w:p>
        </w:tc>
        <w:tc>
          <w:tcPr>
            <w:tcW w:w="394" w:type="dxa"/>
          </w:tcPr>
          <w:p>
            <w:pPr>
              <w:pStyle w:val="TableParagraph"/>
              <w:spacing w:before="1"/>
              <w:rPr>
                <w:b/>
                <w:sz w:val="15"/>
              </w:rPr>
            </w:pPr>
          </w:p>
          <w:p>
            <w:pPr>
              <w:pStyle w:val="TableParagraph"/>
              <w:ind w:right="82"/>
              <w:jc w:val="right"/>
              <w:rPr>
                <w:sz w:val="16"/>
              </w:rPr>
            </w:pPr>
            <w:r>
              <w:rPr>
                <w:w w:val="99"/>
                <w:sz w:val="16"/>
              </w:rPr>
              <w:t>-</w:t>
            </w:r>
          </w:p>
        </w:tc>
        <w:tc>
          <w:tcPr>
            <w:tcW w:w="941" w:type="dxa"/>
          </w:tcPr>
          <w:p>
            <w:pPr>
              <w:pStyle w:val="TableParagraph"/>
              <w:spacing w:before="1"/>
              <w:rPr>
                <w:b/>
                <w:sz w:val="15"/>
              </w:rPr>
            </w:pPr>
          </w:p>
          <w:p>
            <w:pPr>
              <w:pStyle w:val="TableParagraph"/>
              <w:ind w:right="81"/>
              <w:jc w:val="right"/>
              <w:rPr>
                <w:sz w:val="16"/>
              </w:rPr>
            </w:pPr>
            <w:r>
              <w:rPr>
                <w:w w:val="95"/>
                <w:sz w:val="16"/>
              </w:rPr>
              <w:t>1,098</w:t>
            </w:r>
          </w:p>
        </w:tc>
        <w:tc>
          <w:tcPr>
            <w:tcW w:w="895" w:type="dxa"/>
          </w:tcPr>
          <w:p>
            <w:pPr>
              <w:pStyle w:val="TableParagraph"/>
              <w:spacing w:before="1"/>
              <w:rPr>
                <w:b/>
                <w:sz w:val="15"/>
              </w:rPr>
            </w:pPr>
          </w:p>
          <w:p>
            <w:pPr>
              <w:pStyle w:val="TableParagraph"/>
              <w:ind w:right="83"/>
              <w:jc w:val="right"/>
              <w:rPr>
                <w:sz w:val="16"/>
              </w:rPr>
            </w:pPr>
            <w:r>
              <w:rPr>
                <w:w w:val="95"/>
                <w:sz w:val="16"/>
              </w:rPr>
              <w:t>1,132</w:t>
            </w:r>
          </w:p>
        </w:tc>
        <w:tc>
          <w:tcPr>
            <w:tcW w:w="941" w:type="dxa"/>
          </w:tcPr>
          <w:p>
            <w:pPr>
              <w:pStyle w:val="TableParagraph"/>
              <w:spacing w:before="1"/>
              <w:rPr>
                <w:b/>
                <w:sz w:val="15"/>
              </w:rPr>
            </w:pPr>
          </w:p>
          <w:p>
            <w:pPr>
              <w:pStyle w:val="TableParagraph"/>
              <w:ind w:right="81"/>
              <w:jc w:val="right"/>
              <w:rPr>
                <w:sz w:val="16"/>
              </w:rPr>
            </w:pPr>
            <w:r>
              <w:rPr>
                <w:w w:val="95"/>
                <w:sz w:val="16"/>
              </w:rPr>
              <w:t>1,098</w:t>
            </w:r>
          </w:p>
        </w:tc>
        <w:tc>
          <w:tcPr>
            <w:tcW w:w="888" w:type="dxa"/>
          </w:tcPr>
          <w:p>
            <w:pPr>
              <w:pStyle w:val="TableParagraph"/>
              <w:spacing w:before="1"/>
              <w:rPr>
                <w:b/>
                <w:sz w:val="15"/>
              </w:rPr>
            </w:pPr>
          </w:p>
          <w:p>
            <w:pPr>
              <w:pStyle w:val="TableParagraph"/>
              <w:ind w:right="75"/>
              <w:jc w:val="right"/>
              <w:rPr>
                <w:sz w:val="16"/>
              </w:rPr>
            </w:pPr>
            <w:r>
              <w:rPr>
                <w:w w:val="95"/>
                <w:sz w:val="16"/>
              </w:rPr>
              <w:t>1,506</w:t>
            </w:r>
          </w:p>
        </w:tc>
      </w:tr>
      <w:tr>
        <w:trPr>
          <w:trHeight w:val="241" w:hRule="exact"/>
        </w:trPr>
        <w:tc>
          <w:tcPr>
            <w:tcW w:w="4128" w:type="dxa"/>
          </w:tcPr>
          <w:p>
            <w:pPr>
              <w:pStyle w:val="TableParagraph"/>
              <w:spacing w:before="20"/>
              <w:ind w:left="35" w:right="485"/>
              <w:rPr>
                <w:sz w:val="16"/>
              </w:rPr>
            </w:pPr>
            <w:r>
              <w:rPr>
                <w:sz w:val="16"/>
              </w:rPr>
              <w:t>Net accrual adjustments</w:t>
            </w:r>
          </w:p>
        </w:tc>
        <w:tc>
          <w:tcPr>
            <w:tcW w:w="1062" w:type="dxa"/>
            <w:tcBorders>
              <w:bottom w:val="single" w:sz="0" w:space="0" w:color="000000"/>
            </w:tcBorders>
          </w:tcPr>
          <w:p>
            <w:pPr/>
          </w:p>
        </w:tc>
        <w:tc>
          <w:tcPr>
            <w:tcW w:w="460" w:type="dxa"/>
            <w:tcBorders>
              <w:bottom w:val="single" w:sz="0" w:space="0" w:color="000000"/>
            </w:tcBorders>
          </w:tcPr>
          <w:p>
            <w:pPr>
              <w:pStyle w:val="TableParagraph"/>
              <w:spacing w:before="19"/>
              <w:ind w:right="81"/>
              <w:jc w:val="right"/>
              <w:rPr>
                <w:sz w:val="16"/>
              </w:rPr>
            </w:pPr>
            <w:r>
              <w:rPr>
                <w:sz w:val="16"/>
              </w:rPr>
              <w:t>121</w:t>
            </w:r>
          </w:p>
        </w:tc>
        <w:tc>
          <w:tcPr>
            <w:tcW w:w="895" w:type="dxa"/>
            <w:tcBorders>
              <w:bottom w:val="single" w:sz="0" w:space="0" w:color="000000"/>
            </w:tcBorders>
          </w:tcPr>
          <w:p>
            <w:pPr>
              <w:pStyle w:val="TableParagraph"/>
              <w:spacing w:before="19"/>
              <w:ind w:right="83"/>
              <w:jc w:val="right"/>
              <w:rPr>
                <w:sz w:val="16"/>
              </w:rPr>
            </w:pPr>
            <w:r>
              <w:rPr>
                <w:w w:val="95"/>
                <w:sz w:val="16"/>
              </w:rPr>
              <w:t>44</w:t>
            </w:r>
          </w:p>
        </w:tc>
        <w:tc>
          <w:tcPr>
            <w:tcW w:w="570" w:type="dxa"/>
            <w:tcBorders>
              <w:bottom w:val="single" w:sz="0" w:space="0" w:color="000000"/>
            </w:tcBorders>
          </w:tcPr>
          <w:p>
            <w:pPr/>
          </w:p>
        </w:tc>
        <w:tc>
          <w:tcPr>
            <w:tcW w:w="371" w:type="dxa"/>
            <w:tcBorders>
              <w:bottom w:val="single" w:sz="0" w:space="0" w:color="000000"/>
            </w:tcBorders>
          </w:tcPr>
          <w:p>
            <w:pPr>
              <w:pStyle w:val="TableParagraph"/>
              <w:spacing w:before="19"/>
              <w:ind w:left="150"/>
              <w:jc w:val="center"/>
              <w:rPr>
                <w:sz w:val="16"/>
              </w:rPr>
            </w:pPr>
            <w:r>
              <w:rPr>
                <w:w w:val="99"/>
                <w:sz w:val="16"/>
              </w:rPr>
              <w:t>-</w:t>
            </w:r>
          </w:p>
        </w:tc>
        <w:tc>
          <w:tcPr>
            <w:tcW w:w="457" w:type="dxa"/>
            <w:tcBorders>
              <w:bottom w:val="single" w:sz="0" w:space="0" w:color="000000"/>
            </w:tcBorders>
          </w:tcPr>
          <w:p>
            <w:pPr/>
          </w:p>
        </w:tc>
        <w:tc>
          <w:tcPr>
            <w:tcW w:w="438" w:type="dxa"/>
            <w:tcBorders>
              <w:bottom w:val="single" w:sz="0" w:space="0" w:color="000000"/>
            </w:tcBorders>
          </w:tcPr>
          <w:p>
            <w:pPr>
              <w:pStyle w:val="TableParagraph"/>
              <w:spacing w:before="19"/>
              <w:ind w:left="264"/>
              <w:rPr>
                <w:sz w:val="16"/>
              </w:rPr>
            </w:pPr>
            <w:r>
              <w:rPr>
                <w:w w:val="99"/>
                <w:sz w:val="16"/>
              </w:rPr>
              <w:t>8</w:t>
            </w:r>
          </w:p>
        </w:tc>
        <w:tc>
          <w:tcPr>
            <w:tcW w:w="552" w:type="dxa"/>
            <w:tcBorders>
              <w:bottom w:val="single" w:sz="0" w:space="0" w:color="000000"/>
            </w:tcBorders>
          </w:tcPr>
          <w:p>
            <w:pPr/>
          </w:p>
        </w:tc>
        <w:tc>
          <w:tcPr>
            <w:tcW w:w="389" w:type="dxa"/>
            <w:tcBorders>
              <w:bottom w:val="single" w:sz="0" w:space="0" w:color="000000"/>
            </w:tcBorders>
          </w:tcPr>
          <w:p>
            <w:pPr>
              <w:pStyle w:val="TableParagraph"/>
              <w:spacing w:before="19"/>
              <w:ind w:right="81"/>
              <w:jc w:val="right"/>
              <w:rPr>
                <w:sz w:val="16"/>
              </w:rPr>
            </w:pPr>
            <w:r>
              <w:rPr>
                <w:w w:val="99"/>
                <w:sz w:val="16"/>
              </w:rPr>
              <w:t>-</w:t>
            </w:r>
          </w:p>
        </w:tc>
        <w:tc>
          <w:tcPr>
            <w:tcW w:w="502" w:type="dxa"/>
            <w:tcBorders>
              <w:bottom w:val="single" w:sz="0" w:space="0" w:color="000000"/>
            </w:tcBorders>
          </w:tcPr>
          <w:p>
            <w:pPr/>
          </w:p>
        </w:tc>
        <w:tc>
          <w:tcPr>
            <w:tcW w:w="394" w:type="dxa"/>
            <w:tcBorders>
              <w:bottom w:val="single" w:sz="0" w:space="0" w:color="000000"/>
            </w:tcBorders>
          </w:tcPr>
          <w:p>
            <w:pPr>
              <w:pStyle w:val="TableParagraph"/>
              <w:spacing w:before="19"/>
              <w:ind w:right="82"/>
              <w:jc w:val="right"/>
              <w:rPr>
                <w:sz w:val="16"/>
              </w:rPr>
            </w:pPr>
            <w:r>
              <w:rPr>
                <w:w w:val="99"/>
                <w:sz w:val="16"/>
              </w:rPr>
              <w:t>-</w:t>
            </w:r>
          </w:p>
        </w:tc>
        <w:tc>
          <w:tcPr>
            <w:tcW w:w="941" w:type="dxa"/>
            <w:tcBorders>
              <w:bottom w:val="single" w:sz="0" w:space="0" w:color="000000"/>
            </w:tcBorders>
          </w:tcPr>
          <w:p>
            <w:pPr>
              <w:pStyle w:val="TableParagraph"/>
              <w:spacing w:before="19"/>
              <w:ind w:right="81"/>
              <w:jc w:val="right"/>
              <w:rPr>
                <w:sz w:val="16"/>
              </w:rPr>
            </w:pPr>
            <w:r>
              <w:rPr>
                <w:sz w:val="16"/>
              </w:rPr>
              <w:t>148</w:t>
            </w:r>
          </w:p>
        </w:tc>
        <w:tc>
          <w:tcPr>
            <w:tcW w:w="895" w:type="dxa"/>
            <w:tcBorders>
              <w:bottom w:val="single" w:sz="0" w:space="0" w:color="000000"/>
            </w:tcBorders>
          </w:tcPr>
          <w:p>
            <w:pPr>
              <w:pStyle w:val="TableParagraph"/>
              <w:spacing w:before="19"/>
              <w:ind w:right="84"/>
              <w:jc w:val="right"/>
              <w:rPr>
                <w:sz w:val="16"/>
              </w:rPr>
            </w:pPr>
            <w:r>
              <w:rPr>
                <w:w w:val="95"/>
                <w:sz w:val="16"/>
              </w:rPr>
              <w:t>71</w:t>
            </w:r>
          </w:p>
        </w:tc>
        <w:tc>
          <w:tcPr>
            <w:tcW w:w="941" w:type="dxa"/>
            <w:tcBorders>
              <w:bottom w:val="single" w:sz="0" w:space="0" w:color="000000"/>
            </w:tcBorders>
          </w:tcPr>
          <w:p>
            <w:pPr>
              <w:pStyle w:val="TableParagraph"/>
              <w:spacing w:before="19"/>
              <w:ind w:right="81"/>
              <w:jc w:val="right"/>
              <w:rPr>
                <w:sz w:val="16"/>
              </w:rPr>
            </w:pPr>
            <w:r>
              <w:rPr>
                <w:sz w:val="16"/>
              </w:rPr>
              <w:t>269</w:t>
            </w:r>
          </w:p>
        </w:tc>
        <w:tc>
          <w:tcPr>
            <w:tcW w:w="888" w:type="dxa"/>
            <w:tcBorders>
              <w:bottom w:val="single" w:sz="0" w:space="0" w:color="000000"/>
            </w:tcBorders>
          </w:tcPr>
          <w:p>
            <w:pPr>
              <w:pStyle w:val="TableParagraph"/>
              <w:spacing w:before="19"/>
              <w:ind w:right="75"/>
              <w:jc w:val="right"/>
              <w:rPr>
                <w:sz w:val="16"/>
              </w:rPr>
            </w:pPr>
            <w:r>
              <w:rPr>
                <w:sz w:val="16"/>
              </w:rPr>
              <w:t>123</w:t>
            </w:r>
          </w:p>
        </w:tc>
      </w:tr>
      <w:tr>
        <w:trPr>
          <w:trHeight w:val="261" w:hRule="exact"/>
        </w:trPr>
        <w:tc>
          <w:tcPr>
            <w:tcW w:w="4128" w:type="dxa"/>
          </w:tcPr>
          <w:p>
            <w:pPr>
              <w:pStyle w:val="TableParagraph"/>
              <w:spacing w:before="40"/>
              <w:ind w:left="35" w:right="485"/>
              <w:rPr>
                <w:sz w:val="16"/>
              </w:rPr>
            </w:pPr>
            <w:r>
              <w:rPr>
                <w:sz w:val="16"/>
              </w:rPr>
              <w:t>Revenue for the period</w:t>
            </w:r>
          </w:p>
        </w:tc>
        <w:tc>
          <w:tcPr>
            <w:tcW w:w="1062" w:type="dxa"/>
            <w:tcBorders>
              <w:top w:val="single" w:sz="0" w:space="0" w:color="000000"/>
            </w:tcBorders>
          </w:tcPr>
          <w:p>
            <w:pPr/>
          </w:p>
        </w:tc>
        <w:tc>
          <w:tcPr>
            <w:tcW w:w="460" w:type="dxa"/>
            <w:tcBorders>
              <w:top w:val="single" w:sz="0" w:space="0" w:color="000000"/>
            </w:tcBorders>
          </w:tcPr>
          <w:p>
            <w:pPr>
              <w:pStyle w:val="TableParagraph"/>
              <w:spacing w:before="38"/>
              <w:ind w:right="81"/>
              <w:jc w:val="right"/>
              <w:rPr>
                <w:sz w:val="16"/>
              </w:rPr>
            </w:pPr>
            <w:r>
              <w:rPr>
                <w:sz w:val="16"/>
              </w:rPr>
              <w:t>121</w:t>
            </w:r>
          </w:p>
        </w:tc>
        <w:tc>
          <w:tcPr>
            <w:tcW w:w="895" w:type="dxa"/>
            <w:tcBorders>
              <w:top w:val="single" w:sz="0" w:space="0" w:color="000000"/>
            </w:tcBorders>
          </w:tcPr>
          <w:p>
            <w:pPr>
              <w:pStyle w:val="TableParagraph"/>
              <w:spacing w:before="38"/>
              <w:ind w:right="83"/>
              <w:jc w:val="right"/>
              <w:rPr>
                <w:sz w:val="16"/>
              </w:rPr>
            </w:pPr>
            <w:r>
              <w:rPr>
                <w:sz w:val="16"/>
              </w:rPr>
              <w:t>418</w:t>
            </w:r>
          </w:p>
        </w:tc>
        <w:tc>
          <w:tcPr>
            <w:tcW w:w="570" w:type="dxa"/>
            <w:tcBorders>
              <w:top w:val="single" w:sz="0" w:space="0" w:color="000000"/>
            </w:tcBorders>
          </w:tcPr>
          <w:p>
            <w:pPr/>
          </w:p>
        </w:tc>
        <w:tc>
          <w:tcPr>
            <w:tcW w:w="371" w:type="dxa"/>
            <w:tcBorders>
              <w:top w:val="single" w:sz="0" w:space="0" w:color="000000"/>
            </w:tcBorders>
          </w:tcPr>
          <w:p>
            <w:pPr>
              <w:pStyle w:val="TableParagraph"/>
              <w:spacing w:before="38"/>
              <w:ind w:left="151"/>
              <w:jc w:val="center"/>
              <w:rPr>
                <w:sz w:val="16"/>
              </w:rPr>
            </w:pPr>
            <w:r>
              <w:rPr>
                <w:w w:val="99"/>
                <w:sz w:val="16"/>
              </w:rPr>
              <w:t>-</w:t>
            </w:r>
          </w:p>
        </w:tc>
        <w:tc>
          <w:tcPr>
            <w:tcW w:w="457" w:type="dxa"/>
            <w:tcBorders>
              <w:top w:val="single" w:sz="0" w:space="0" w:color="000000"/>
            </w:tcBorders>
          </w:tcPr>
          <w:p>
            <w:pPr/>
          </w:p>
        </w:tc>
        <w:tc>
          <w:tcPr>
            <w:tcW w:w="438" w:type="dxa"/>
            <w:tcBorders>
              <w:top w:val="single" w:sz="0" w:space="0" w:color="000000"/>
            </w:tcBorders>
          </w:tcPr>
          <w:p>
            <w:pPr>
              <w:pStyle w:val="TableParagraph"/>
              <w:spacing w:before="38"/>
              <w:ind w:left="264"/>
              <w:rPr>
                <w:sz w:val="16"/>
              </w:rPr>
            </w:pPr>
            <w:r>
              <w:rPr>
                <w:w w:val="99"/>
                <w:sz w:val="16"/>
              </w:rPr>
              <w:t>8</w:t>
            </w:r>
          </w:p>
        </w:tc>
        <w:tc>
          <w:tcPr>
            <w:tcW w:w="552" w:type="dxa"/>
            <w:tcBorders>
              <w:top w:val="single" w:sz="0" w:space="0" w:color="000000"/>
            </w:tcBorders>
          </w:tcPr>
          <w:p>
            <w:pPr/>
          </w:p>
        </w:tc>
        <w:tc>
          <w:tcPr>
            <w:tcW w:w="389" w:type="dxa"/>
            <w:tcBorders>
              <w:top w:val="single" w:sz="0" w:space="0" w:color="000000"/>
            </w:tcBorders>
          </w:tcPr>
          <w:p>
            <w:pPr>
              <w:pStyle w:val="TableParagraph"/>
              <w:spacing w:before="38"/>
              <w:ind w:right="81"/>
              <w:jc w:val="right"/>
              <w:rPr>
                <w:sz w:val="16"/>
              </w:rPr>
            </w:pPr>
            <w:r>
              <w:rPr>
                <w:w w:val="99"/>
                <w:sz w:val="16"/>
              </w:rPr>
              <w:t>-</w:t>
            </w:r>
          </w:p>
        </w:tc>
        <w:tc>
          <w:tcPr>
            <w:tcW w:w="502" w:type="dxa"/>
            <w:tcBorders>
              <w:top w:val="single" w:sz="0" w:space="0" w:color="000000"/>
            </w:tcBorders>
          </w:tcPr>
          <w:p>
            <w:pPr/>
          </w:p>
        </w:tc>
        <w:tc>
          <w:tcPr>
            <w:tcW w:w="394" w:type="dxa"/>
            <w:tcBorders>
              <w:top w:val="single" w:sz="0" w:space="0" w:color="000000"/>
            </w:tcBorders>
          </w:tcPr>
          <w:p>
            <w:pPr>
              <w:pStyle w:val="TableParagraph"/>
              <w:spacing w:before="38"/>
              <w:ind w:right="82"/>
              <w:jc w:val="right"/>
              <w:rPr>
                <w:sz w:val="16"/>
              </w:rPr>
            </w:pPr>
            <w:r>
              <w:rPr>
                <w:w w:val="99"/>
                <w:sz w:val="16"/>
              </w:rPr>
              <w:t>-</w:t>
            </w:r>
          </w:p>
        </w:tc>
        <w:tc>
          <w:tcPr>
            <w:tcW w:w="941" w:type="dxa"/>
            <w:tcBorders>
              <w:top w:val="single" w:sz="0" w:space="0" w:color="000000"/>
            </w:tcBorders>
          </w:tcPr>
          <w:p>
            <w:pPr>
              <w:pStyle w:val="TableParagraph"/>
              <w:spacing w:before="38"/>
              <w:ind w:right="81"/>
              <w:jc w:val="right"/>
              <w:rPr>
                <w:sz w:val="16"/>
              </w:rPr>
            </w:pPr>
            <w:r>
              <w:rPr>
                <w:w w:val="95"/>
                <w:sz w:val="16"/>
              </w:rPr>
              <w:t>1,246</w:t>
            </w:r>
          </w:p>
        </w:tc>
        <w:tc>
          <w:tcPr>
            <w:tcW w:w="895" w:type="dxa"/>
            <w:tcBorders>
              <w:top w:val="single" w:sz="0" w:space="0" w:color="000000"/>
            </w:tcBorders>
          </w:tcPr>
          <w:p>
            <w:pPr>
              <w:pStyle w:val="TableParagraph"/>
              <w:spacing w:before="38"/>
              <w:ind w:right="82"/>
              <w:jc w:val="right"/>
              <w:rPr>
                <w:sz w:val="16"/>
              </w:rPr>
            </w:pPr>
            <w:r>
              <w:rPr>
                <w:w w:val="95"/>
                <w:sz w:val="16"/>
              </w:rPr>
              <w:t>1,203</w:t>
            </w:r>
          </w:p>
        </w:tc>
        <w:tc>
          <w:tcPr>
            <w:tcW w:w="941" w:type="dxa"/>
            <w:tcBorders>
              <w:top w:val="single" w:sz="0" w:space="0" w:color="000000"/>
            </w:tcBorders>
          </w:tcPr>
          <w:p>
            <w:pPr>
              <w:pStyle w:val="TableParagraph"/>
              <w:spacing w:before="38"/>
              <w:ind w:right="81"/>
              <w:jc w:val="right"/>
              <w:rPr>
                <w:sz w:val="16"/>
              </w:rPr>
            </w:pPr>
            <w:r>
              <w:rPr>
                <w:w w:val="95"/>
                <w:sz w:val="16"/>
              </w:rPr>
              <w:t>1,367</w:t>
            </w:r>
          </w:p>
        </w:tc>
        <w:tc>
          <w:tcPr>
            <w:tcW w:w="888" w:type="dxa"/>
            <w:tcBorders>
              <w:top w:val="single" w:sz="0" w:space="0" w:color="000000"/>
            </w:tcBorders>
          </w:tcPr>
          <w:p>
            <w:pPr>
              <w:pStyle w:val="TableParagraph"/>
              <w:spacing w:before="38"/>
              <w:ind w:right="75"/>
              <w:jc w:val="right"/>
              <w:rPr>
                <w:sz w:val="16"/>
              </w:rPr>
            </w:pPr>
            <w:r>
              <w:rPr>
                <w:w w:val="95"/>
                <w:sz w:val="16"/>
              </w:rPr>
              <w:t>1,629</w:t>
            </w:r>
          </w:p>
        </w:tc>
      </w:tr>
      <w:tr>
        <w:trPr>
          <w:trHeight w:val="241" w:hRule="exact"/>
        </w:trPr>
        <w:tc>
          <w:tcPr>
            <w:tcW w:w="4128" w:type="dxa"/>
          </w:tcPr>
          <w:p>
            <w:pPr>
              <w:pStyle w:val="TableParagraph"/>
              <w:spacing w:before="20"/>
              <w:ind w:left="35" w:right="485"/>
              <w:rPr>
                <w:sz w:val="16"/>
              </w:rPr>
            </w:pPr>
            <w:r>
              <w:rPr>
                <w:sz w:val="16"/>
              </w:rPr>
              <w:t>Surplus/(deficit) from the previous year</w:t>
            </w:r>
          </w:p>
        </w:tc>
        <w:tc>
          <w:tcPr>
            <w:tcW w:w="1062" w:type="dxa"/>
            <w:tcBorders>
              <w:bottom w:val="single" w:sz="0" w:space="0" w:color="000000"/>
            </w:tcBorders>
          </w:tcPr>
          <w:p>
            <w:pPr/>
          </w:p>
        </w:tc>
        <w:tc>
          <w:tcPr>
            <w:tcW w:w="460" w:type="dxa"/>
            <w:tcBorders>
              <w:bottom w:val="single" w:sz="0" w:space="0" w:color="000000"/>
            </w:tcBorders>
          </w:tcPr>
          <w:p>
            <w:pPr>
              <w:pStyle w:val="TableParagraph"/>
              <w:spacing w:before="19"/>
              <w:ind w:right="81"/>
              <w:jc w:val="right"/>
              <w:rPr>
                <w:sz w:val="16"/>
              </w:rPr>
            </w:pPr>
            <w:r>
              <w:rPr>
                <w:sz w:val="16"/>
              </w:rPr>
              <w:t>508</w:t>
            </w:r>
          </w:p>
        </w:tc>
        <w:tc>
          <w:tcPr>
            <w:tcW w:w="895" w:type="dxa"/>
            <w:tcBorders>
              <w:bottom w:val="single" w:sz="0" w:space="0" w:color="000000"/>
            </w:tcBorders>
          </w:tcPr>
          <w:p>
            <w:pPr>
              <w:pStyle w:val="TableParagraph"/>
              <w:spacing w:before="19"/>
              <w:ind w:right="83"/>
              <w:jc w:val="right"/>
              <w:rPr>
                <w:sz w:val="16"/>
              </w:rPr>
            </w:pPr>
            <w:r>
              <w:rPr>
                <w:sz w:val="16"/>
              </w:rPr>
              <w:t>826</w:t>
            </w:r>
          </w:p>
        </w:tc>
        <w:tc>
          <w:tcPr>
            <w:tcW w:w="570" w:type="dxa"/>
            <w:tcBorders>
              <w:bottom w:val="single" w:sz="0" w:space="0" w:color="000000"/>
            </w:tcBorders>
          </w:tcPr>
          <w:p>
            <w:pPr/>
          </w:p>
        </w:tc>
        <w:tc>
          <w:tcPr>
            <w:tcW w:w="371" w:type="dxa"/>
            <w:tcBorders>
              <w:bottom w:val="single" w:sz="0" w:space="0" w:color="000000"/>
            </w:tcBorders>
          </w:tcPr>
          <w:p>
            <w:pPr>
              <w:pStyle w:val="TableParagraph"/>
              <w:spacing w:before="19"/>
              <w:ind w:left="114"/>
              <w:jc w:val="center"/>
              <w:rPr>
                <w:sz w:val="16"/>
              </w:rPr>
            </w:pPr>
            <w:r>
              <w:rPr>
                <w:w w:val="99"/>
                <w:sz w:val="16"/>
              </w:rPr>
              <w:t>5</w:t>
            </w:r>
          </w:p>
        </w:tc>
        <w:tc>
          <w:tcPr>
            <w:tcW w:w="457" w:type="dxa"/>
            <w:tcBorders>
              <w:bottom w:val="single" w:sz="0" w:space="0" w:color="000000"/>
            </w:tcBorders>
          </w:tcPr>
          <w:p>
            <w:pPr/>
          </w:p>
        </w:tc>
        <w:tc>
          <w:tcPr>
            <w:tcW w:w="438" w:type="dxa"/>
            <w:tcBorders>
              <w:bottom w:val="single" w:sz="0" w:space="0" w:color="000000"/>
            </w:tcBorders>
          </w:tcPr>
          <w:p>
            <w:pPr>
              <w:pStyle w:val="TableParagraph"/>
              <w:spacing w:before="19"/>
              <w:ind w:left="86"/>
              <w:rPr>
                <w:sz w:val="16"/>
              </w:rPr>
            </w:pPr>
            <w:r>
              <w:rPr>
                <w:sz w:val="16"/>
              </w:rPr>
              <w:t>604</w:t>
            </w:r>
          </w:p>
        </w:tc>
        <w:tc>
          <w:tcPr>
            <w:tcW w:w="552" w:type="dxa"/>
            <w:tcBorders>
              <w:bottom w:val="single" w:sz="0" w:space="0" w:color="000000"/>
            </w:tcBorders>
          </w:tcPr>
          <w:p>
            <w:pPr/>
          </w:p>
        </w:tc>
        <w:tc>
          <w:tcPr>
            <w:tcW w:w="389" w:type="dxa"/>
            <w:tcBorders>
              <w:bottom w:val="single" w:sz="0" w:space="0" w:color="000000"/>
            </w:tcBorders>
          </w:tcPr>
          <w:p>
            <w:pPr>
              <w:pStyle w:val="TableParagraph"/>
              <w:spacing w:before="19"/>
              <w:ind w:right="81"/>
              <w:jc w:val="right"/>
              <w:rPr>
                <w:sz w:val="16"/>
              </w:rPr>
            </w:pPr>
            <w:r>
              <w:rPr>
                <w:w w:val="95"/>
                <w:sz w:val="16"/>
              </w:rPr>
              <w:t>17</w:t>
            </w:r>
          </w:p>
        </w:tc>
        <w:tc>
          <w:tcPr>
            <w:tcW w:w="502" w:type="dxa"/>
            <w:tcBorders>
              <w:bottom w:val="single" w:sz="0" w:space="0" w:color="000000"/>
            </w:tcBorders>
          </w:tcPr>
          <w:p>
            <w:pPr/>
          </w:p>
        </w:tc>
        <w:tc>
          <w:tcPr>
            <w:tcW w:w="394" w:type="dxa"/>
            <w:tcBorders>
              <w:bottom w:val="single" w:sz="0" w:space="0" w:color="000000"/>
            </w:tcBorders>
          </w:tcPr>
          <w:p>
            <w:pPr>
              <w:pStyle w:val="TableParagraph"/>
              <w:spacing w:before="19"/>
              <w:ind w:right="83"/>
              <w:jc w:val="right"/>
              <w:rPr>
                <w:sz w:val="16"/>
              </w:rPr>
            </w:pPr>
            <w:r>
              <w:rPr>
                <w:w w:val="95"/>
                <w:sz w:val="16"/>
              </w:rPr>
              <w:t>28</w:t>
            </w:r>
          </w:p>
        </w:tc>
        <w:tc>
          <w:tcPr>
            <w:tcW w:w="941" w:type="dxa"/>
            <w:tcBorders>
              <w:bottom w:val="single" w:sz="0" w:space="0" w:color="000000"/>
            </w:tcBorders>
          </w:tcPr>
          <w:p>
            <w:pPr>
              <w:pStyle w:val="TableParagraph"/>
              <w:spacing w:before="19"/>
              <w:ind w:right="81"/>
              <w:jc w:val="right"/>
              <w:rPr>
                <w:sz w:val="16"/>
              </w:rPr>
            </w:pPr>
            <w:r>
              <w:rPr>
                <w:w w:val="95"/>
                <w:sz w:val="16"/>
              </w:rPr>
              <w:t>1,832</w:t>
            </w:r>
          </w:p>
        </w:tc>
        <w:tc>
          <w:tcPr>
            <w:tcW w:w="895" w:type="dxa"/>
            <w:tcBorders>
              <w:bottom w:val="single" w:sz="0" w:space="0" w:color="000000"/>
            </w:tcBorders>
          </w:tcPr>
          <w:p>
            <w:pPr>
              <w:pStyle w:val="TableParagraph"/>
              <w:spacing w:before="19"/>
              <w:ind w:right="83"/>
              <w:jc w:val="right"/>
              <w:rPr>
                <w:sz w:val="16"/>
              </w:rPr>
            </w:pPr>
            <w:r>
              <w:rPr>
                <w:w w:val="95"/>
                <w:sz w:val="16"/>
              </w:rPr>
              <w:t>1,955</w:t>
            </w:r>
          </w:p>
        </w:tc>
        <w:tc>
          <w:tcPr>
            <w:tcW w:w="941" w:type="dxa"/>
            <w:tcBorders>
              <w:bottom w:val="single" w:sz="0" w:space="0" w:color="000000"/>
            </w:tcBorders>
          </w:tcPr>
          <w:p>
            <w:pPr>
              <w:pStyle w:val="TableParagraph"/>
              <w:spacing w:before="19"/>
              <w:ind w:right="81"/>
              <w:jc w:val="right"/>
              <w:rPr>
                <w:sz w:val="16"/>
              </w:rPr>
            </w:pPr>
            <w:r>
              <w:rPr>
                <w:w w:val="95"/>
                <w:sz w:val="16"/>
              </w:rPr>
              <w:t>2,362</w:t>
            </w:r>
          </w:p>
        </w:tc>
        <w:tc>
          <w:tcPr>
            <w:tcW w:w="888" w:type="dxa"/>
            <w:tcBorders>
              <w:bottom w:val="single" w:sz="0" w:space="0" w:color="000000"/>
            </w:tcBorders>
          </w:tcPr>
          <w:p>
            <w:pPr>
              <w:pStyle w:val="TableParagraph"/>
              <w:spacing w:before="19"/>
              <w:ind w:right="75"/>
              <w:jc w:val="right"/>
              <w:rPr>
                <w:sz w:val="16"/>
              </w:rPr>
            </w:pPr>
            <w:r>
              <w:rPr>
                <w:w w:val="95"/>
                <w:sz w:val="16"/>
              </w:rPr>
              <w:t>3,413</w:t>
            </w:r>
          </w:p>
        </w:tc>
      </w:tr>
      <w:tr>
        <w:trPr>
          <w:trHeight w:val="261" w:hRule="exact"/>
        </w:trPr>
        <w:tc>
          <w:tcPr>
            <w:tcW w:w="4128" w:type="dxa"/>
          </w:tcPr>
          <w:p>
            <w:pPr>
              <w:pStyle w:val="TableParagraph"/>
              <w:spacing w:before="40"/>
              <w:ind w:left="35" w:right="485"/>
              <w:rPr>
                <w:sz w:val="16"/>
              </w:rPr>
            </w:pPr>
            <w:r>
              <w:rPr>
                <w:sz w:val="16"/>
              </w:rPr>
              <w:t>Total revenue including accrued revenue</w:t>
            </w:r>
          </w:p>
        </w:tc>
        <w:tc>
          <w:tcPr>
            <w:tcW w:w="1062" w:type="dxa"/>
            <w:tcBorders>
              <w:top w:val="single" w:sz="0" w:space="0" w:color="000000"/>
            </w:tcBorders>
          </w:tcPr>
          <w:p>
            <w:pPr/>
          </w:p>
        </w:tc>
        <w:tc>
          <w:tcPr>
            <w:tcW w:w="460" w:type="dxa"/>
            <w:tcBorders>
              <w:top w:val="single" w:sz="0" w:space="0" w:color="000000"/>
            </w:tcBorders>
          </w:tcPr>
          <w:p>
            <w:pPr>
              <w:pStyle w:val="TableParagraph"/>
              <w:spacing w:before="38"/>
              <w:ind w:right="81"/>
              <w:jc w:val="right"/>
              <w:rPr>
                <w:sz w:val="16"/>
              </w:rPr>
            </w:pPr>
            <w:r>
              <w:rPr>
                <w:w w:val="95"/>
                <w:sz w:val="16"/>
              </w:rPr>
              <w:t>629</w:t>
            </w:r>
          </w:p>
        </w:tc>
        <w:tc>
          <w:tcPr>
            <w:tcW w:w="895" w:type="dxa"/>
            <w:tcBorders>
              <w:top w:val="single" w:sz="0" w:space="0" w:color="000000"/>
            </w:tcBorders>
          </w:tcPr>
          <w:p>
            <w:pPr>
              <w:pStyle w:val="TableParagraph"/>
              <w:spacing w:before="38"/>
              <w:ind w:right="83"/>
              <w:jc w:val="right"/>
              <w:rPr>
                <w:sz w:val="16"/>
              </w:rPr>
            </w:pPr>
            <w:r>
              <w:rPr>
                <w:w w:val="95"/>
                <w:sz w:val="16"/>
              </w:rPr>
              <w:t>1,244</w:t>
            </w:r>
          </w:p>
        </w:tc>
        <w:tc>
          <w:tcPr>
            <w:tcW w:w="570" w:type="dxa"/>
            <w:tcBorders>
              <w:top w:val="single" w:sz="0" w:space="0" w:color="000000"/>
            </w:tcBorders>
          </w:tcPr>
          <w:p>
            <w:pPr/>
          </w:p>
        </w:tc>
        <w:tc>
          <w:tcPr>
            <w:tcW w:w="371" w:type="dxa"/>
            <w:tcBorders>
              <w:top w:val="single" w:sz="0" w:space="0" w:color="000000"/>
            </w:tcBorders>
          </w:tcPr>
          <w:p>
            <w:pPr>
              <w:pStyle w:val="TableParagraph"/>
              <w:spacing w:before="38"/>
              <w:ind w:left="114"/>
              <w:jc w:val="center"/>
              <w:rPr>
                <w:sz w:val="16"/>
              </w:rPr>
            </w:pPr>
            <w:r>
              <w:rPr>
                <w:w w:val="99"/>
                <w:sz w:val="16"/>
              </w:rPr>
              <w:t>5</w:t>
            </w:r>
          </w:p>
        </w:tc>
        <w:tc>
          <w:tcPr>
            <w:tcW w:w="457" w:type="dxa"/>
            <w:tcBorders>
              <w:top w:val="single" w:sz="0" w:space="0" w:color="000000"/>
            </w:tcBorders>
          </w:tcPr>
          <w:p>
            <w:pPr/>
          </w:p>
        </w:tc>
        <w:tc>
          <w:tcPr>
            <w:tcW w:w="438" w:type="dxa"/>
            <w:tcBorders>
              <w:top w:val="single" w:sz="0" w:space="0" w:color="000000"/>
            </w:tcBorders>
          </w:tcPr>
          <w:p>
            <w:pPr>
              <w:pStyle w:val="TableParagraph"/>
              <w:spacing w:before="38"/>
              <w:ind w:left="86"/>
              <w:rPr>
                <w:sz w:val="16"/>
              </w:rPr>
            </w:pPr>
            <w:r>
              <w:rPr>
                <w:sz w:val="16"/>
              </w:rPr>
              <w:t>612</w:t>
            </w:r>
          </w:p>
        </w:tc>
        <w:tc>
          <w:tcPr>
            <w:tcW w:w="552" w:type="dxa"/>
            <w:tcBorders>
              <w:top w:val="single" w:sz="0" w:space="0" w:color="000000"/>
            </w:tcBorders>
          </w:tcPr>
          <w:p>
            <w:pPr/>
          </w:p>
        </w:tc>
        <w:tc>
          <w:tcPr>
            <w:tcW w:w="389" w:type="dxa"/>
            <w:tcBorders>
              <w:top w:val="single" w:sz="0" w:space="0" w:color="000000"/>
            </w:tcBorders>
          </w:tcPr>
          <w:p>
            <w:pPr>
              <w:pStyle w:val="TableParagraph"/>
              <w:spacing w:before="38"/>
              <w:ind w:right="81"/>
              <w:jc w:val="right"/>
              <w:rPr>
                <w:sz w:val="16"/>
              </w:rPr>
            </w:pPr>
            <w:r>
              <w:rPr>
                <w:w w:val="95"/>
                <w:sz w:val="16"/>
              </w:rPr>
              <w:t>17</w:t>
            </w:r>
          </w:p>
        </w:tc>
        <w:tc>
          <w:tcPr>
            <w:tcW w:w="502" w:type="dxa"/>
            <w:tcBorders>
              <w:top w:val="single" w:sz="0" w:space="0" w:color="000000"/>
            </w:tcBorders>
          </w:tcPr>
          <w:p>
            <w:pPr/>
          </w:p>
        </w:tc>
        <w:tc>
          <w:tcPr>
            <w:tcW w:w="394" w:type="dxa"/>
            <w:tcBorders>
              <w:top w:val="single" w:sz="0" w:space="0" w:color="000000"/>
            </w:tcBorders>
          </w:tcPr>
          <w:p>
            <w:pPr>
              <w:pStyle w:val="TableParagraph"/>
              <w:spacing w:before="38"/>
              <w:ind w:right="82"/>
              <w:jc w:val="right"/>
              <w:rPr>
                <w:sz w:val="16"/>
              </w:rPr>
            </w:pPr>
            <w:r>
              <w:rPr>
                <w:w w:val="95"/>
                <w:sz w:val="16"/>
              </w:rPr>
              <w:t>28</w:t>
            </w:r>
          </w:p>
        </w:tc>
        <w:tc>
          <w:tcPr>
            <w:tcW w:w="941" w:type="dxa"/>
            <w:tcBorders>
              <w:top w:val="single" w:sz="0" w:space="0" w:color="000000"/>
            </w:tcBorders>
          </w:tcPr>
          <w:p>
            <w:pPr>
              <w:pStyle w:val="TableParagraph"/>
              <w:spacing w:before="38"/>
              <w:ind w:right="81"/>
              <w:jc w:val="right"/>
              <w:rPr>
                <w:sz w:val="16"/>
              </w:rPr>
            </w:pPr>
            <w:r>
              <w:rPr>
                <w:w w:val="95"/>
                <w:sz w:val="16"/>
              </w:rPr>
              <w:t>3,078</w:t>
            </w:r>
          </w:p>
        </w:tc>
        <w:tc>
          <w:tcPr>
            <w:tcW w:w="895" w:type="dxa"/>
            <w:tcBorders>
              <w:top w:val="single" w:sz="0" w:space="0" w:color="000000"/>
            </w:tcBorders>
          </w:tcPr>
          <w:p>
            <w:pPr>
              <w:pStyle w:val="TableParagraph"/>
              <w:spacing w:before="38"/>
              <w:ind w:right="82"/>
              <w:jc w:val="right"/>
              <w:rPr>
                <w:sz w:val="16"/>
              </w:rPr>
            </w:pPr>
            <w:r>
              <w:rPr>
                <w:w w:val="95"/>
                <w:sz w:val="16"/>
              </w:rPr>
              <w:t>3,158</w:t>
            </w:r>
          </w:p>
        </w:tc>
        <w:tc>
          <w:tcPr>
            <w:tcW w:w="941" w:type="dxa"/>
            <w:tcBorders>
              <w:top w:val="single" w:sz="0" w:space="0" w:color="000000"/>
            </w:tcBorders>
          </w:tcPr>
          <w:p>
            <w:pPr>
              <w:pStyle w:val="TableParagraph"/>
              <w:spacing w:before="38"/>
              <w:ind w:right="81"/>
              <w:jc w:val="right"/>
              <w:rPr>
                <w:sz w:val="16"/>
              </w:rPr>
            </w:pPr>
            <w:r>
              <w:rPr>
                <w:w w:val="95"/>
                <w:sz w:val="16"/>
              </w:rPr>
              <w:t>3,729</w:t>
            </w:r>
          </w:p>
        </w:tc>
        <w:tc>
          <w:tcPr>
            <w:tcW w:w="888" w:type="dxa"/>
            <w:tcBorders>
              <w:top w:val="single" w:sz="0" w:space="0" w:color="000000"/>
            </w:tcBorders>
          </w:tcPr>
          <w:p>
            <w:pPr>
              <w:pStyle w:val="TableParagraph"/>
              <w:spacing w:before="38"/>
              <w:ind w:right="75"/>
              <w:jc w:val="right"/>
              <w:rPr>
                <w:sz w:val="16"/>
              </w:rPr>
            </w:pPr>
            <w:r>
              <w:rPr>
                <w:w w:val="95"/>
                <w:sz w:val="16"/>
              </w:rPr>
              <w:t>5,042</w:t>
            </w:r>
          </w:p>
        </w:tc>
      </w:tr>
      <w:tr>
        <w:trPr>
          <w:trHeight w:val="241" w:hRule="exact"/>
        </w:trPr>
        <w:tc>
          <w:tcPr>
            <w:tcW w:w="4128" w:type="dxa"/>
          </w:tcPr>
          <w:p>
            <w:pPr>
              <w:pStyle w:val="TableParagraph"/>
              <w:spacing w:before="20"/>
              <w:ind w:left="35" w:right="485"/>
              <w:rPr>
                <w:sz w:val="16"/>
              </w:rPr>
            </w:pPr>
            <w:r>
              <w:rPr>
                <w:sz w:val="16"/>
              </w:rPr>
              <w:t>Less expenses including accrued expenses</w:t>
            </w:r>
          </w:p>
        </w:tc>
        <w:tc>
          <w:tcPr>
            <w:tcW w:w="1062" w:type="dxa"/>
            <w:tcBorders>
              <w:bottom w:val="single" w:sz="0" w:space="0" w:color="000000"/>
            </w:tcBorders>
          </w:tcPr>
          <w:p>
            <w:pPr/>
          </w:p>
        </w:tc>
        <w:tc>
          <w:tcPr>
            <w:tcW w:w="460" w:type="dxa"/>
            <w:tcBorders>
              <w:bottom w:val="single" w:sz="0" w:space="0" w:color="000000"/>
            </w:tcBorders>
          </w:tcPr>
          <w:p>
            <w:pPr>
              <w:pStyle w:val="TableParagraph"/>
              <w:spacing w:before="19"/>
              <w:ind w:right="28"/>
              <w:jc w:val="right"/>
              <w:rPr>
                <w:sz w:val="16"/>
              </w:rPr>
            </w:pPr>
            <w:r>
              <w:rPr>
                <w:w w:val="95"/>
                <w:sz w:val="16"/>
              </w:rPr>
              <w:t>(545)</w:t>
            </w:r>
          </w:p>
        </w:tc>
        <w:tc>
          <w:tcPr>
            <w:tcW w:w="895" w:type="dxa"/>
            <w:tcBorders>
              <w:bottom w:val="single" w:sz="0" w:space="0" w:color="000000"/>
            </w:tcBorders>
          </w:tcPr>
          <w:p>
            <w:pPr>
              <w:pStyle w:val="TableParagraph"/>
              <w:spacing w:before="19"/>
              <w:ind w:right="29"/>
              <w:jc w:val="right"/>
              <w:rPr>
                <w:sz w:val="16"/>
              </w:rPr>
            </w:pPr>
            <w:r>
              <w:rPr>
                <w:w w:val="95"/>
                <w:sz w:val="16"/>
              </w:rPr>
              <w:t>(736)</w:t>
            </w:r>
          </w:p>
        </w:tc>
        <w:tc>
          <w:tcPr>
            <w:tcW w:w="570" w:type="dxa"/>
            <w:tcBorders>
              <w:bottom w:val="single" w:sz="0" w:space="0" w:color="000000"/>
            </w:tcBorders>
          </w:tcPr>
          <w:p>
            <w:pPr/>
          </w:p>
        </w:tc>
        <w:tc>
          <w:tcPr>
            <w:tcW w:w="371" w:type="dxa"/>
            <w:tcBorders>
              <w:bottom w:val="single" w:sz="0" w:space="0" w:color="000000"/>
            </w:tcBorders>
          </w:tcPr>
          <w:p>
            <w:pPr>
              <w:pStyle w:val="TableParagraph"/>
              <w:spacing w:before="19"/>
              <w:ind w:left="125" w:right="10"/>
              <w:jc w:val="center"/>
              <w:rPr>
                <w:sz w:val="16"/>
              </w:rPr>
            </w:pPr>
            <w:r>
              <w:rPr>
                <w:sz w:val="16"/>
              </w:rPr>
              <w:t>(2)</w:t>
            </w:r>
          </w:p>
        </w:tc>
        <w:tc>
          <w:tcPr>
            <w:tcW w:w="457" w:type="dxa"/>
            <w:tcBorders>
              <w:bottom w:val="single" w:sz="0" w:space="0" w:color="000000"/>
            </w:tcBorders>
          </w:tcPr>
          <w:p>
            <w:pPr/>
          </w:p>
        </w:tc>
        <w:tc>
          <w:tcPr>
            <w:tcW w:w="438" w:type="dxa"/>
            <w:tcBorders>
              <w:bottom w:val="single" w:sz="0" w:space="0" w:color="000000"/>
            </w:tcBorders>
          </w:tcPr>
          <w:p>
            <w:pPr>
              <w:pStyle w:val="TableParagraph"/>
              <w:spacing w:before="19"/>
              <w:ind w:left="33"/>
              <w:rPr>
                <w:sz w:val="16"/>
              </w:rPr>
            </w:pPr>
            <w:r>
              <w:rPr>
                <w:sz w:val="16"/>
              </w:rPr>
              <w:t>(607)</w:t>
            </w:r>
          </w:p>
        </w:tc>
        <w:tc>
          <w:tcPr>
            <w:tcW w:w="552" w:type="dxa"/>
            <w:tcBorders>
              <w:bottom w:val="single" w:sz="0" w:space="0" w:color="000000"/>
            </w:tcBorders>
          </w:tcPr>
          <w:p>
            <w:pPr/>
          </w:p>
        </w:tc>
        <w:tc>
          <w:tcPr>
            <w:tcW w:w="389" w:type="dxa"/>
            <w:tcBorders>
              <w:bottom w:val="single" w:sz="0" w:space="0" w:color="000000"/>
            </w:tcBorders>
          </w:tcPr>
          <w:p>
            <w:pPr>
              <w:pStyle w:val="TableParagraph"/>
              <w:spacing w:before="19"/>
              <w:ind w:right="28"/>
              <w:jc w:val="right"/>
              <w:rPr>
                <w:sz w:val="16"/>
              </w:rPr>
            </w:pPr>
            <w:r>
              <w:rPr>
                <w:w w:val="95"/>
                <w:sz w:val="16"/>
              </w:rPr>
              <w:t>(4)</w:t>
            </w:r>
          </w:p>
        </w:tc>
        <w:tc>
          <w:tcPr>
            <w:tcW w:w="502" w:type="dxa"/>
            <w:tcBorders>
              <w:bottom w:val="single" w:sz="0" w:space="0" w:color="000000"/>
            </w:tcBorders>
          </w:tcPr>
          <w:p>
            <w:pPr/>
          </w:p>
        </w:tc>
        <w:tc>
          <w:tcPr>
            <w:tcW w:w="394" w:type="dxa"/>
            <w:tcBorders>
              <w:bottom w:val="single" w:sz="0" w:space="0" w:color="000000"/>
            </w:tcBorders>
          </w:tcPr>
          <w:p>
            <w:pPr>
              <w:pStyle w:val="TableParagraph"/>
              <w:spacing w:before="19"/>
              <w:ind w:right="29"/>
              <w:jc w:val="right"/>
              <w:rPr>
                <w:sz w:val="16"/>
              </w:rPr>
            </w:pPr>
            <w:r>
              <w:rPr>
                <w:w w:val="95"/>
                <w:sz w:val="16"/>
              </w:rPr>
              <w:t>(11)</w:t>
            </w:r>
          </w:p>
        </w:tc>
        <w:tc>
          <w:tcPr>
            <w:tcW w:w="941" w:type="dxa"/>
            <w:tcBorders>
              <w:bottom w:val="single" w:sz="0" w:space="0" w:color="000000"/>
            </w:tcBorders>
          </w:tcPr>
          <w:p>
            <w:pPr>
              <w:pStyle w:val="TableParagraph"/>
              <w:spacing w:before="19"/>
              <w:ind w:right="28"/>
              <w:jc w:val="right"/>
              <w:rPr>
                <w:sz w:val="16"/>
              </w:rPr>
            </w:pPr>
            <w:r>
              <w:rPr>
                <w:sz w:val="16"/>
              </w:rPr>
              <w:t>(1,034)</w:t>
            </w:r>
          </w:p>
        </w:tc>
        <w:tc>
          <w:tcPr>
            <w:tcW w:w="895" w:type="dxa"/>
            <w:tcBorders>
              <w:bottom w:val="single" w:sz="0" w:space="0" w:color="000000"/>
            </w:tcBorders>
          </w:tcPr>
          <w:p>
            <w:pPr>
              <w:pStyle w:val="TableParagraph"/>
              <w:spacing w:before="19"/>
              <w:ind w:right="29"/>
              <w:jc w:val="right"/>
              <w:rPr>
                <w:sz w:val="16"/>
              </w:rPr>
            </w:pPr>
            <w:r>
              <w:rPr>
                <w:sz w:val="16"/>
              </w:rPr>
              <w:t>(1,326)</w:t>
            </w:r>
          </w:p>
        </w:tc>
        <w:tc>
          <w:tcPr>
            <w:tcW w:w="941" w:type="dxa"/>
            <w:tcBorders>
              <w:bottom w:val="single" w:sz="0" w:space="0" w:color="000000"/>
            </w:tcBorders>
          </w:tcPr>
          <w:p>
            <w:pPr>
              <w:pStyle w:val="TableParagraph"/>
              <w:spacing w:before="19"/>
              <w:ind w:right="28"/>
              <w:jc w:val="right"/>
              <w:rPr>
                <w:sz w:val="16"/>
              </w:rPr>
            </w:pPr>
            <w:r>
              <w:rPr>
                <w:sz w:val="16"/>
              </w:rPr>
              <w:t>(1,585)</w:t>
            </w:r>
          </w:p>
        </w:tc>
        <w:tc>
          <w:tcPr>
            <w:tcW w:w="888" w:type="dxa"/>
            <w:tcBorders>
              <w:bottom w:val="single" w:sz="0" w:space="0" w:color="000000"/>
            </w:tcBorders>
          </w:tcPr>
          <w:p>
            <w:pPr>
              <w:pStyle w:val="TableParagraph"/>
              <w:spacing w:before="19"/>
              <w:ind w:right="21"/>
              <w:jc w:val="right"/>
              <w:rPr>
                <w:sz w:val="16"/>
              </w:rPr>
            </w:pPr>
            <w:r>
              <w:rPr>
                <w:sz w:val="16"/>
              </w:rPr>
              <w:t>(2,680)</w:t>
            </w:r>
          </w:p>
        </w:tc>
      </w:tr>
      <w:tr>
        <w:trPr>
          <w:trHeight w:val="275" w:hRule="exact"/>
        </w:trPr>
        <w:tc>
          <w:tcPr>
            <w:tcW w:w="4128" w:type="dxa"/>
          </w:tcPr>
          <w:p>
            <w:pPr>
              <w:pStyle w:val="TableParagraph"/>
              <w:spacing w:before="40"/>
              <w:ind w:left="35" w:right="485"/>
              <w:rPr>
                <w:sz w:val="16"/>
              </w:rPr>
            </w:pPr>
            <w:r>
              <w:rPr>
                <w:sz w:val="16"/>
              </w:rPr>
              <w:t>Surplus/(deficit) for the reporting period</w:t>
            </w:r>
          </w:p>
        </w:tc>
        <w:tc>
          <w:tcPr>
            <w:tcW w:w="1062" w:type="dxa"/>
            <w:tcBorders>
              <w:top w:val="single" w:sz="0" w:space="0" w:color="000000"/>
              <w:bottom w:val="single" w:sz="0" w:space="0" w:color="000000"/>
            </w:tcBorders>
          </w:tcPr>
          <w:p>
            <w:pPr/>
          </w:p>
        </w:tc>
        <w:tc>
          <w:tcPr>
            <w:tcW w:w="460" w:type="dxa"/>
            <w:tcBorders>
              <w:top w:val="single" w:sz="0" w:space="0" w:color="000000"/>
              <w:bottom w:val="single" w:sz="0" w:space="0" w:color="000000"/>
            </w:tcBorders>
          </w:tcPr>
          <w:p>
            <w:pPr>
              <w:pStyle w:val="TableParagraph"/>
              <w:spacing w:before="38"/>
              <w:ind w:right="81"/>
              <w:jc w:val="right"/>
              <w:rPr>
                <w:sz w:val="16"/>
              </w:rPr>
            </w:pPr>
            <w:r>
              <w:rPr>
                <w:w w:val="95"/>
                <w:sz w:val="16"/>
              </w:rPr>
              <w:t>84</w:t>
            </w:r>
          </w:p>
        </w:tc>
        <w:tc>
          <w:tcPr>
            <w:tcW w:w="895" w:type="dxa"/>
            <w:tcBorders>
              <w:top w:val="single" w:sz="0" w:space="0" w:color="000000"/>
              <w:bottom w:val="single" w:sz="0" w:space="0" w:color="000000"/>
            </w:tcBorders>
          </w:tcPr>
          <w:p>
            <w:pPr>
              <w:pStyle w:val="TableParagraph"/>
              <w:spacing w:before="38"/>
              <w:ind w:right="83"/>
              <w:jc w:val="right"/>
              <w:rPr>
                <w:sz w:val="16"/>
              </w:rPr>
            </w:pPr>
            <w:r>
              <w:rPr>
                <w:w w:val="95"/>
                <w:sz w:val="16"/>
              </w:rPr>
              <w:t>508</w:t>
            </w:r>
          </w:p>
        </w:tc>
        <w:tc>
          <w:tcPr>
            <w:tcW w:w="570" w:type="dxa"/>
            <w:tcBorders>
              <w:top w:val="single" w:sz="0" w:space="0" w:color="000000"/>
              <w:bottom w:val="single" w:sz="0" w:space="0" w:color="000000"/>
            </w:tcBorders>
          </w:tcPr>
          <w:p>
            <w:pPr/>
          </w:p>
        </w:tc>
        <w:tc>
          <w:tcPr>
            <w:tcW w:w="371" w:type="dxa"/>
            <w:tcBorders>
              <w:top w:val="single" w:sz="0" w:space="0" w:color="000000"/>
              <w:bottom w:val="single" w:sz="0" w:space="0" w:color="000000"/>
            </w:tcBorders>
          </w:tcPr>
          <w:p>
            <w:pPr>
              <w:pStyle w:val="TableParagraph"/>
              <w:spacing w:before="38"/>
              <w:ind w:left="114"/>
              <w:jc w:val="center"/>
              <w:rPr>
                <w:sz w:val="16"/>
              </w:rPr>
            </w:pPr>
            <w:r>
              <w:rPr>
                <w:w w:val="99"/>
                <w:sz w:val="16"/>
              </w:rPr>
              <w:t>3</w:t>
            </w:r>
          </w:p>
        </w:tc>
        <w:tc>
          <w:tcPr>
            <w:tcW w:w="457" w:type="dxa"/>
            <w:tcBorders>
              <w:top w:val="single" w:sz="0" w:space="0" w:color="000000"/>
              <w:bottom w:val="single" w:sz="0" w:space="0" w:color="000000"/>
            </w:tcBorders>
          </w:tcPr>
          <w:p>
            <w:pPr/>
          </w:p>
        </w:tc>
        <w:tc>
          <w:tcPr>
            <w:tcW w:w="438" w:type="dxa"/>
            <w:tcBorders>
              <w:top w:val="single" w:sz="0" w:space="0" w:color="000000"/>
              <w:bottom w:val="single" w:sz="0" w:space="0" w:color="000000"/>
            </w:tcBorders>
          </w:tcPr>
          <w:p>
            <w:pPr>
              <w:pStyle w:val="TableParagraph"/>
              <w:spacing w:before="38"/>
              <w:ind w:left="264"/>
              <w:rPr>
                <w:sz w:val="16"/>
              </w:rPr>
            </w:pPr>
            <w:r>
              <w:rPr>
                <w:w w:val="99"/>
                <w:sz w:val="16"/>
              </w:rPr>
              <w:t>5</w:t>
            </w:r>
          </w:p>
        </w:tc>
        <w:tc>
          <w:tcPr>
            <w:tcW w:w="552" w:type="dxa"/>
            <w:tcBorders>
              <w:top w:val="single" w:sz="0" w:space="0" w:color="000000"/>
              <w:bottom w:val="single" w:sz="0" w:space="0" w:color="000000"/>
            </w:tcBorders>
          </w:tcPr>
          <w:p>
            <w:pPr/>
          </w:p>
        </w:tc>
        <w:tc>
          <w:tcPr>
            <w:tcW w:w="389" w:type="dxa"/>
            <w:tcBorders>
              <w:top w:val="single" w:sz="0" w:space="0" w:color="000000"/>
              <w:bottom w:val="single" w:sz="0" w:space="0" w:color="000000"/>
            </w:tcBorders>
          </w:tcPr>
          <w:p>
            <w:pPr>
              <w:pStyle w:val="TableParagraph"/>
              <w:spacing w:before="38"/>
              <w:ind w:right="81"/>
              <w:jc w:val="right"/>
              <w:rPr>
                <w:sz w:val="16"/>
              </w:rPr>
            </w:pPr>
            <w:r>
              <w:rPr>
                <w:w w:val="95"/>
                <w:sz w:val="16"/>
              </w:rPr>
              <w:t>13</w:t>
            </w:r>
          </w:p>
        </w:tc>
        <w:tc>
          <w:tcPr>
            <w:tcW w:w="502" w:type="dxa"/>
            <w:tcBorders>
              <w:top w:val="single" w:sz="0" w:space="0" w:color="000000"/>
              <w:bottom w:val="single" w:sz="0" w:space="0" w:color="000000"/>
            </w:tcBorders>
          </w:tcPr>
          <w:p>
            <w:pPr/>
          </w:p>
        </w:tc>
        <w:tc>
          <w:tcPr>
            <w:tcW w:w="394" w:type="dxa"/>
            <w:tcBorders>
              <w:top w:val="single" w:sz="0" w:space="0" w:color="000000"/>
              <w:bottom w:val="single" w:sz="0" w:space="0" w:color="000000"/>
            </w:tcBorders>
          </w:tcPr>
          <w:p>
            <w:pPr>
              <w:pStyle w:val="TableParagraph"/>
              <w:spacing w:before="38"/>
              <w:ind w:right="82"/>
              <w:jc w:val="right"/>
              <w:rPr>
                <w:sz w:val="16"/>
              </w:rPr>
            </w:pPr>
            <w:r>
              <w:rPr>
                <w:w w:val="95"/>
                <w:sz w:val="16"/>
              </w:rPr>
              <w:t>17</w:t>
            </w:r>
          </w:p>
        </w:tc>
        <w:tc>
          <w:tcPr>
            <w:tcW w:w="941" w:type="dxa"/>
            <w:tcBorders>
              <w:top w:val="single" w:sz="0" w:space="0" w:color="000000"/>
              <w:bottom w:val="single" w:sz="0" w:space="0" w:color="000000"/>
            </w:tcBorders>
          </w:tcPr>
          <w:p>
            <w:pPr>
              <w:pStyle w:val="TableParagraph"/>
              <w:spacing w:before="38"/>
              <w:ind w:right="81"/>
              <w:jc w:val="right"/>
              <w:rPr>
                <w:sz w:val="16"/>
              </w:rPr>
            </w:pPr>
            <w:r>
              <w:rPr>
                <w:w w:val="95"/>
                <w:sz w:val="16"/>
              </w:rPr>
              <w:t>2,044</w:t>
            </w:r>
          </w:p>
        </w:tc>
        <w:tc>
          <w:tcPr>
            <w:tcW w:w="895" w:type="dxa"/>
            <w:tcBorders>
              <w:top w:val="single" w:sz="0" w:space="0" w:color="000000"/>
              <w:bottom w:val="single" w:sz="0" w:space="0" w:color="000000"/>
            </w:tcBorders>
          </w:tcPr>
          <w:p>
            <w:pPr>
              <w:pStyle w:val="TableParagraph"/>
              <w:spacing w:before="38"/>
              <w:ind w:right="82"/>
              <w:jc w:val="right"/>
              <w:rPr>
                <w:sz w:val="16"/>
              </w:rPr>
            </w:pPr>
            <w:r>
              <w:rPr>
                <w:w w:val="95"/>
                <w:sz w:val="16"/>
              </w:rPr>
              <w:t>1,832</w:t>
            </w:r>
          </w:p>
        </w:tc>
        <w:tc>
          <w:tcPr>
            <w:tcW w:w="941" w:type="dxa"/>
            <w:tcBorders>
              <w:top w:val="single" w:sz="0" w:space="0" w:color="000000"/>
              <w:bottom w:val="single" w:sz="0" w:space="0" w:color="000000"/>
            </w:tcBorders>
          </w:tcPr>
          <w:p>
            <w:pPr>
              <w:pStyle w:val="TableParagraph"/>
              <w:spacing w:before="38"/>
              <w:ind w:right="81"/>
              <w:jc w:val="right"/>
              <w:rPr>
                <w:sz w:val="16"/>
              </w:rPr>
            </w:pPr>
            <w:r>
              <w:rPr>
                <w:w w:val="95"/>
                <w:sz w:val="16"/>
              </w:rPr>
              <w:t>2,144</w:t>
            </w:r>
          </w:p>
        </w:tc>
        <w:tc>
          <w:tcPr>
            <w:tcW w:w="888" w:type="dxa"/>
            <w:tcBorders>
              <w:top w:val="single" w:sz="0" w:space="0" w:color="000000"/>
              <w:bottom w:val="single" w:sz="0" w:space="0" w:color="000000"/>
            </w:tcBorders>
          </w:tcPr>
          <w:p>
            <w:pPr>
              <w:pStyle w:val="TableParagraph"/>
              <w:spacing w:before="38"/>
              <w:ind w:right="75"/>
              <w:jc w:val="right"/>
              <w:rPr>
                <w:sz w:val="16"/>
              </w:rPr>
            </w:pPr>
            <w:r>
              <w:rPr>
                <w:w w:val="95"/>
                <w:sz w:val="16"/>
              </w:rPr>
              <w:t>2,362</w:t>
            </w:r>
          </w:p>
        </w:tc>
      </w:tr>
    </w:tbl>
    <w:p>
      <w:pPr>
        <w:spacing w:after="0"/>
        <w:jc w:val="right"/>
        <w:rPr>
          <w:sz w:val="16"/>
        </w:rPr>
        <w:sectPr>
          <w:type w:val="continuous"/>
          <w:pgSz w:w="16840" w:h="11910" w:orient="landscape"/>
          <w:pgMar w:top="0" w:bottom="280" w:left="900" w:right="880"/>
        </w:sectPr>
      </w:pPr>
    </w:p>
    <w:p>
      <w:pPr>
        <w:pStyle w:val="BodyText"/>
        <w:rPr>
          <w:b/>
          <w:sz w:val="20"/>
        </w:rPr>
      </w:pPr>
    </w:p>
    <w:p>
      <w:pPr>
        <w:pStyle w:val="BodyText"/>
        <w:rPr>
          <w:b/>
          <w:sz w:val="20"/>
        </w:rPr>
      </w:pPr>
    </w:p>
    <w:p>
      <w:pPr>
        <w:pStyle w:val="BodyText"/>
        <w:spacing w:before="4"/>
        <w:rPr>
          <w:b/>
        </w:rPr>
      </w:pPr>
    </w:p>
    <w:p>
      <w:pPr>
        <w:pStyle w:val="Heading9"/>
        <w:ind w:left="109"/>
      </w:pPr>
      <w:r>
        <w:rPr/>
        <w:t>35    Acquittal of Australian Government Financial Assistance (continued)</w:t>
      </w:r>
    </w:p>
    <w:p>
      <w:pPr>
        <w:pStyle w:val="BodyText"/>
        <w:spacing w:before="3"/>
        <w:rPr>
          <w:b/>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407"/>
        <w:gridCol w:w="2139"/>
        <w:gridCol w:w="275"/>
        <w:gridCol w:w="717"/>
        <w:gridCol w:w="814"/>
        <w:gridCol w:w="877"/>
        <w:gridCol w:w="371"/>
        <w:gridCol w:w="544"/>
        <w:gridCol w:w="344"/>
      </w:tblGrid>
      <w:tr>
        <w:trPr>
          <w:trHeight w:val="565" w:hRule="exact"/>
        </w:trPr>
        <w:tc>
          <w:tcPr>
            <w:tcW w:w="8407" w:type="dxa"/>
          </w:tcPr>
          <w:p>
            <w:pPr>
              <w:pStyle w:val="TableParagraph"/>
              <w:tabs>
                <w:tab w:pos="601" w:val="left" w:leader="none"/>
              </w:tabs>
              <w:spacing w:before="77"/>
              <w:ind w:left="35"/>
              <w:rPr>
                <w:sz w:val="18"/>
              </w:rPr>
            </w:pPr>
            <w:r>
              <w:rPr>
                <w:sz w:val="18"/>
              </w:rPr>
              <w:t>(f)</w:t>
              <w:tab/>
              <w:t>Australian Research Council Grants</w:t>
            </w:r>
            <w:r>
              <w:rPr>
                <w:spacing w:val="-1"/>
                <w:sz w:val="18"/>
              </w:rPr>
              <w:t> </w:t>
            </w:r>
            <w:r>
              <w:rPr>
                <w:sz w:val="18"/>
              </w:rPr>
              <w:t>(continued)</w:t>
            </w:r>
          </w:p>
        </w:tc>
        <w:tc>
          <w:tcPr>
            <w:tcW w:w="2139" w:type="dxa"/>
          </w:tcPr>
          <w:p>
            <w:pPr>
              <w:pStyle w:val="TableParagraph"/>
              <w:rPr>
                <w:b/>
                <w:sz w:val="16"/>
              </w:rPr>
            </w:pPr>
          </w:p>
          <w:p>
            <w:pPr>
              <w:pStyle w:val="TableParagraph"/>
              <w:spacing w:before="5"/>
              <w:rPr>
                <w:b/>
                <w:sz w:val="13"/>
              </w:rPr>
            </w:pPr>
          </w:p>
          <w:p>
            <w:pPr>
              <w:pStyle w:val="TableParagraph"/>
              <w:spacing w:before="1"/>
              <w:ind w:left="611"/>
              <w:rPr>
                <w:b/>
                <w:sz w:val="16"/>
              </w:rPr>
            </w:pPr>
            <w:r>
              <w:rPr>
                <w:b/>
                <w:sz w:val="16"/>
              </w:rPr>
              <w:t>Research Networks</w:t>
            </w:r>
          </w:p>
        </w:tc>
        <w:tc>
          <w:tcPr>
            <w:tcW w:w="275" w:type="dxa"/>
          </w:tcPr>
          <w:p>
            <w:pPr/>
          </w:p>
        </w:tc>
        <w:tc>
          <w:tcPr>
            <w:tcW w:w="717" w:type="dxa"/>
          </w:tcPr>
          <w:p>
            <w:pPr>
              <w:pStyle w:val="TableParagraph"/>
              <w:rPr>
                <w:b/>
                <w:sz w:val="16"/>
              </w:rPr>
            </w:pPr>
          </w:p>
          <w:p>
            <w:pPr>
              <w:pStyle w:val="TableParagraph"/>
              <w:spacing w:before="5"/>
              <w:rPr>
                <w:b/>
                <w:sz w:val="13"/>
              </w:rPr>
            </w:pPr>
          </w:p>
          <w:p>
            <w:pPr>
              <w:pStyle w:val="TableParagraph"/>
              <w:spacing w:before="1"/>
              <w:ind w:left="33"/>
              <w:rPr>
                <w:b/>
                <w:sz w:val="16"/>
              </w:rPr>
            </w:pPr>
            <w:r>
              <w:rPr>
                <w:b/>
                <w:sz w:val="16"/>
              </w:rPr>
              <w:t>Centres</w:t>
            </w:r>
          </w:p>
        </w:tc>
        <w:tc>
          <w:tcPr>
            <w:tcW w:w="814" w:type="dxa"/>
          </w:tcPr>
          <w:p>
            <w:pPr/>
          </w:p>
        </w:tc>
        <w:tc>
          <w:tcPr>
            <w:tcW w:w="877" w:type="dxa"/>
          </w:tcPr>
          <w:p>
            <w:pPr>
              <w:pStyle w:val="TableParagraph"/>
              <w:rPr>
                <w:b/>
                <w:sz w:val="16"/>
              </w:rPr>
            </w:pPr>
          </w:p>
          <w:p>
            <w:pPr>
              <w:pStyle w:val="TableParagraph"/>
              <w:spacing w:before="5"/>
              <w:rPr>
                <w:b/>
                <w:sz w:val="13"/>
              </w:rPr>
            </w:pPr>
          </w:p>
          <w:p>
            <w:pPr>
              <w:pStyle w:val="TableParagraph"/>
              <w:spacing w:before="1"/>
              <w:ind w:right="155"/>
              <w:jc w:val="right"/>
              <w:rPr>
                <w:b/>
                <w:sz w:val="16"/>
              </w:rPr>
            </w:pPr>
            <w:r>
              <w:rPr>
                <w:b/>
                <w:w w:val="95"/>
                <w:sz w:val="16"/>
              </w:rPr>
              <w:t>Total</w:t>
            </w:r>
          </w:p>
        </w:tc>
        <w:tc>
          <w:tcPr>
            <w:tcW w:w="1258" w:type="dxa"/>
            <w:gridSpan w:val="3"/>
          </w:tcPr>
          <w:p>
            <w:pPr/>
          </w:p>
        </w:tc>
      </w:tr>
      <w:tr>
        <w:trPr>
          <w:trHeight w:val="251" w:hRule="exact"/>
        </w:trPr>
        <w:tc>
          <w:tcPr>
            <w:tcW w:w="8407" w:type="dxa"/>
          </w:tcPr>
          <w:p>
            <w:pPr>
              <w:pStyle w:val="TableParagraph"/>
              <w:spacing w:before="25"/>
              <w:ind w:left="641" w:right="4593"/>
              <w:rPr>
                <w:b/>
                <w:sz w:val="16"/>
              </w:rPr>
            </w:pPr>
            <w:r>
              <w:rPr>
                <w:b/>
                <w:sz w:val="16"/>
              </w:rPr>
              <w:t>(iii) Networks and Centres</w:t>
            </w:r>
          </w:p>
        </w:tc>
        <w:tc>
          <w:tcPr>
            <w:tcW w:w="2139" w:type="dxa"/>
          </w:tcPr>
          <w:p>
            <w:pPr>
              <w:pStyle w:val="TableParagraph"/>
              <w:tabs>
                <w:tab w:pos="1551" w:val="left" w:leader="none"/>
              </w:tabs>
              <w:spacing w:before="25"/>
              <w:ind w:left="611"/>
              <w:rPr>
                <w:b/>
                <w:sz w:val="16"/>
              </w:rPr>
            </w:pPr>
            <w:r>
              <w:rPr>
                <w:b/>
                <w:sz w:val="16"/>
              </w:rPr>
              <w:t>2012</w:t>
              <w:tab/>
              <w:t>2011</w:t>
            </w:r>
          </w:p>
        </w:tc>
        <w:tc>
          <w:tcPr>
            <w:tcW w:w="275" w:type="dxa"/>
          </w:tcPr>
          <w:p>
            <w:pPr/>
          </w:p>
        </w:tc>
        <w:tc>
          <w:tcPr>
            <w:tcW w:w="717" w:type="dxa"/>
          </w:tcPr>
          <w:p>
            <w:pPr>
              <w:pStyle w:val="TableParagraph"/>
              <w:spacing w:before="25"/>
              <w:ind w:left="33"/>
              <w:rPr>
                <w:b/>
                <w:sz w:val="16"/>
              </w:rPr>
            </w:pPr>
            <w:r>
              <w:rPr>
                <w:b/>
                <w:sz w:val="16"/>
              </w:rPr>
              <w:t>2012</w:t>
            </w:r>
          </w:p>
        </w:tc>
        <w:tc>
          <w:tcPr>
            <w:tcW w:w="814" w:type="dxa"/>
          </w:tcPr>
          <w:p>
            <w:pPr>
              <w:pStyle w:val="TableParagraph"/>
              <w:spacing w:before="25"/>
              <w:ind w:right="200"/>
              <w:jc w:val="right"/>
              <w:rPr>
                <w:b/>
                <w:sz w:val="16"/>
              </w:rPr>
            </w:pPr>
            <w:r>
              <w:rPr>
                <w:b/>
                <w:w w:val="95"/>
                <w:sz w:val="16"/>
              </w:rPr>
              <w:t>2011</w:t>
            </w:r>
          </w:p>
        </w:tc>
        <w:tc>
          <w:tcPr>
            <w:tcW w:w="877" w:type="dxa"/>
          </w:tcPr>
          <w:p>
            <w:pPr>
              <w:pStyle w:val="TableParagraph"/>
              <w:spacing w:before="25"/>
              <w:ind w:right="181"/>
              <w:jc w:val="right"/>
              <w:rPr>
                <w:b/>
                <w:sz w:val="16"/>
              </w:rPr>
            </w:pPr>
            <w:r>
              <w:rPr>
                <w:b/>
                <w:w w:val="95"/>
                <w:sz w:val="16"/>
              </w:rPr>
              <w:t>2012</w:t>
            </w:r>
          </w:p>
        </w:tc>
        <w:tc>
          <w:tcPr>
            <w:tcW w:w="371" w:type="dxa"/>
          </w:tcPr>
          <w:p>
            <w:pPr/>
          </w:p>
        </w:tc>
        <w:tc>
          <w:tcPr>
            <w:tcW w:w="544" w:type="dxa"/>
          </w:tcPr>
          <w:p>
            <w:pPr>
              <w:pStyle w:val="TableParagraph"/>
              <w:spacing w:before="25"/>
              <w:ind w:left="30"/>
              <w:rPr>
                <w:b/>
                <w:sz w:val="16"/>
              </w:rPr>
            </w:pPr>
            <w:r>
              <w:rPr>
                <w:b/>
                <w:sz w:val="16"/>
              </w:rPr>
              <w:t>2011</w:t>
            </w:r>
          </w:p>
        </w:tc>
        <w:tc>
          <w:tcPr>
            <w:tcW w:w="344" w:type="dxa"/>
          </w:tcPr>
          <w:p>
            <w:pPr/>
          </w:p>
        </w:tc>
      </w:tr>
      <w:tr>
        <w:trPr>
          <w:trHeight w:val="248" w:hRule="exact"/>
        </w:trPr>
        <w:tc>
          <w:tcPr>
            <w:tcW w:w="8407" w:type="dxa"/>
          </w:tcPr>
          <w:p>
            <w:pPr>
              <w:pStyle w:val="TableParagraph"/>
              <w:spacing w:before="25"/>
              <w:ind w:left="641" w:right="4593"/>
              <w:rPr>
                <w:b/>
                <w:sz w:val="16"/>
              </w:rPr>
            </w:pPr>
            <w:r>
              <w:rPr>
                <w:b/>
                <w:sz w:val="16"/>
              </w:rPr>
              <w:t>Parent Entity (University) Only</w:t>
            </w:r>
          </w:p>
        </w:tc>
        <w:tc>
          <w:tcPr>
            <w:tcW w:w="2139" w:type="dxa"/>
          </w:tcPr>
          <w:p>
            <w:pPr>
              <w:pStyle w:val="TableParagraph"/>
              <w:tabs>
                <w:tab w:pos="1551" w:val="left" w:leader="none"/>
              </w:tabs>
              <w:spacing w:before="25"/>
              <w:ind w:left="611"/>
              <w:rPr>
                <w:b/>
                <w:sz w:val="16"/>
              </w:rPr>
            </w:pPr>
            <w:r>
              <w:rPr>
                <w:b/>
                <w:sz w:val="16"/>
              </w:rPr>
              <w:t>$'000</w:t>
              <w:tab/>
              <w:t>$'000</w:t>
            </w:r>
          </w:p>
        </w:tc>
        <w:tc>
          <w:tcPr>
            <w:tcW w:w="275" w:type="dxa"/>
          </w:tcPr>
          <w:p>
            <w:pPr/>
          </w:p>
        </w:tc>
        <w:tc>
          <w:tcPr>
            <w:tcW w:w="717" w:type="dxa"/>
          </w:tcPr>
          <w:p>
            <w:pPr>
              <w:pStyle w:val="TableParagraph"/>
              <w:spacing w:before="25"/>
              <w:ind w:left="33"/>
              <w:rPr>
                <w:b/>
                <w:sz w:val="16"/>
              </w:rPr>
            </w:pPr>
            <w:r>
              <w:rPr>
                <w:b/>
                <w:sz w:val="16"/>
              </w:rPr>
              <w:t>$'000</w:t>
            </w:r>
          </w:p>
        </w:tc>
        <w:tc>
          <w:tcPr>
            <w:tcW w:w="814" w:type="dxa"/>
          </w:tcPr>
          <w:p>
            <w:pPr>
              <w:pStyle w:val="TableParagraph"/>
              <w:spacing w:before="25"/>
              <w:ind w:right="162"/>
              <w:jc w:val="right"/>
              <w:rPr>
                <w:b/>
                <w:sz w:val="16"/>
              </w:rPr>
            </w:pPr>
            <w:r>
              <w:rPr>
                <w:b/>
                <w:w w:val="95"/>
                <w:sz w:val="16"/>
              </w:rPr>
              <w:t>$'000</w:t>
            </w:r>
          </w:p>
        </w:tc>
        <w:tc>
          <w:tcPr>
            <w:tcW w:w="877" w:type="dxa"/>
          </w:tcPr>
          <w:p>
            <w:pPr>
              <w:pStyle w:val="TableParagraph"/>
              <w:spacing w:before="25"/>
              <w:ind w:right="143"/>
              <w:jc w:val="right"/>
              <w:rPr>
                <w:b/>
                <w:sz w:val="16"/>
              </w:rPr>
            </w:pPr>
            <w:r>
              <w:rPr>
                <w:b/>
                <w:w w:val="95"/>
                <w:sz w:val="16"/>
              </w:rPr>
              <w:t>$'000</w:t>
            </w:r>
          </w:p>
        </w:tc>
        <w:tc>
          <w:tcPr>
            <w:tcW w:w="371" w:type="dxa"/>
          </w:tcPr>
          <w:p>
            <w:pPr/>
          </w:p>
        </w:tc>
        <w:tc>
          <w:tcPr>
            <w:tcW w:w="544" w:type="dxa"/>
          </w:tcPr>
          <w:p>
            <w:pPr>
              <w:pStyle w:val="TableParagraph"/>
              <w:spacing w:before="25"/>
              <w:ind w:left="30"/>
              <w:rPr>
                <w:b/>
                <w:sz w:val="16"/>
              </w:rPr>
            </w:pPr>
            <w:r>
              <w:rPr>
                <w:b/>
                <w:sz w:val="16"/>
              </w:rPr>
              <w:t>$'000</w:t>
            </w:r>
          </w:p>
        </w:tc>
        <w:tc>
          <w:tcPr>
            <w:tcW w:w="344" w:type="dxa"/>
          </w:tcPr>
          <w:p>
            <w:pPr/>
          </w:p>
        </w:tc>
      </w:tr>
      <w:tr>
        <w:trPr>
          <w:trHeight w:val="610" w:hRule="exact"/>
        </w:trPr>
        <w:tc>
          <w:tcPr>
            <w:tcW w:w="8407" w:type="dxa"/>
          </w:tcPr>
          <w:p>
            <w:pPr>
              <w:pStyle w:val="TableParagraph"/>
              <w:spacing w:before="22"/>
              <w:ind w:left="640" w:right="4158"/>
              <w:rPr>
                <w:sz w:val="16"/>
              </w:rPr>
            </w:pPr>
            <w:r>
              <w:rPr>
                <w:sz w:val="16"/>
              </w:rPr>
              <w:t>Financial assistance received in CASH during the reporting period (total cash received from Australian Government for the program)</w:t>
            </w:r>
          </w:p>
        </w:tc>
        <w:tc>
          <w:tcPr>
            <w:tcW w:w="2139" w:type="dxa"/>
          </w:tcPr>
          <w:p>
            <w:pPr>
              <w:pStyle w:val="TableParagraph"/>
              <w:rPr>
                <w:b/>
                <w:sz w:val="16"/>
              </w:rPr>
            </w:pPr>
          </w:p>
          <w:p>
            <w:pPr>
              <w:pStyle w:val="TableParagraph"/>
              <w:spacing w:before="8"/>
              <w:rPr>
                <w:b/>
                <w:sz w:val="17"/>
              </w:rPr>
            </w:pPr>
          </w:p>
          <w:p>
            <w:pPr>
              <w:pStyle w:val="TableParagraph"/>
              <w:ind w:left="1384"/>
              <w:rPr>
                <w:sz w:val="16"/>
              </w:rPr>
            </w:pPr>
            <w:r>
              <w:rPr>
                <w:w w:val="99"/>
                <w:sz w:val="16"/>
              </w:rPr>
              <w:t>-</w:t>
            </w:r>
          </w:p>
        </w:tc>
        <w:tc>
          <w:tcPr>
            <w:tcW w:w="275" w:type="dxa"/>
          </w:tcPr>
          <w:p>
            <w:pPr>
              <w:pStyle w:val="TableParagraph"/>
              <w:rPr>
                <w:b/>
                <w:sz w:val="16"/>
              </w:rPr>
            </w:pPr>
          </w:p>
          <w:p>
            <w:pPr>
              <w:pStyle w:val="TableParagraph"/>
              <w:spacing w:before="8"/>
              <w:rPr>
                <w:b/>
                <w:sz w:val="17"/>
              </w:rPr>
            </w:pPr>
          </w:p>
          <w:p>
            <w:pPr>
              <w:pStyle w:val="TableParagraph"/>
              <w:ind w:left="47"/>
              <w:jc w:val="center"/>
              <w:rPr>
                <w:sz w:val="16"/>
              </w:rPr>
            </w:pPr>
            <w:r>
              <w:rPr>
                <w:w w:val="99"/>
                <w:sz w:val="16"/>
              </w:rPr>
              <w:t>-</w:t>
            </w:r>
          </w:p>
        </w:tc>
        <w:tc>
          <w:tcPr>
            <w:tcW w:w="717" w:type="dxa"/>
          </w:tcPr>
          <w:p>
            <w:pPr/>
          </w:p>
        </w:tc>
        <w:tc>
          <w:tcPr>
            <w:tcW w:w="814" w:type="dxa"/>
          </w:tcPr>
          <w:p>
            <w:pPr>
              <w:pStyle w:val="TableParagraph"/>
              <w:rPr>
                <w:b/>
                <w:sz w:val="16"/>
              </w:rPr>
            </w:pPr>
          </w:p>
          <w:p>
            <w:pPr>
              <w:pStyle w:val="TableParagraph"/>
              <w:spacing w:before="8"/>
              <w:rPr>
                <w:b/>
                <w:sz w:val="17"/>
              </w:rPr>
            </w:pPr>
          </w:p>
          <w:p>
            <w:pPr>
              <w:pStyle w:val="TableParagraph"/>
              <w:ind w:left="89"/>
              <w:rPr>
                <w:sz w:val="16"/>
              </w:rPr>
            </w:pPr>
            <w:r>
              <w:rPr>
                <w:w w:val="99"/>
                <w:sz w:val="16"/>
              </w:rPr>
              <w:t>-</w:t>
            </w:r>
          </w:p>
        </w:tc>
        <w:tc>
          <w:tcPr>
            <w:tcW w:w="877" w:type="dxa"/>
          </w:tcPr>
          <w:p>
            <w:pPr>
              <w:pStyle w:val="TableParagraph"/>
              <w:rPr>
                <w:b/>
                <w:sz w:val="16"/>
              </w:rPr>
            </w:pPr>
          </w:p>
          <w:p>
            <w:pPr>
              <w:pStyle w:val="TableParagraph"/>
              <w:spacing w:before="8"/>
              <w:rPr>
                <w:b/>
                <w:sz w:val="17"/>
              </w:rPr>
            </w:pPr>
          </w:p>
          <w:p>
            <w:pPr>
              <w:pStyle w:val="TableParagraph"/>
              <w:ind w:left="164"/>
              <w:rPr>
                <w:sz w:val="16"/>
              </w:rPr>
            </w:pPr>
            <w:r>
              <w:rPr>
                <w:w w:val="99"/>
                <w:sz w:val="16"/>
              </w:rPr>
              <w:t>-</w:t>
            </w:r>
          </w:p>
        </w:tc>
        <w:tc>
          <w:tcPr>
            <w:tcW w:w="371" w:type="dxa"/>
          </w:tcPr>
          <w:p>
            <w:pPr>
              <w:pStyle w:val="TableParagraph"/>
              <w:rPr>
                <w:b/>
                <w:sz w:val="16"/>
              </w:rPr>
            </w:pPr>
          </w:p>
          <w:p>
            <w:pPr>
              <w:pStyle w:val="TableParagraph"/>
              <w:spacing w:before="8"/>
              <w:rPr>
                <w:b/>
                <w:sz w:val="17"/>
              </w:rPr>
            </w:pPr>
          </w:p>
          <w:p>
            <w:pPr>
              <w:pStyle w:val="TableParagraph"/>
              <w:ind w:right="81"/>
              <w:jc w:val="right"/>
              <w:rPr>
                <w:sz w:val="16"/>
              </w:rPr>
            </w:pPr>
            <w:r>
              <w:rPr>
                <w:w w:val="99"/>
                <w:sz w:val="16"/>
              </w:rPr>
              <w:t>-</w:t>
            </w:r>
          </w:p>
        </w:tc>
        <w:tc>
          <w:tcPr>
            <w:tcW w:w="544" w:type="dxa"/>
          </w:tcPr>
          <w:p>
            <w:pPr/>
          </w:p>
        </w:tc>
        <w:tc>
          <w:tcPr>
            <w:tcW w:w="344" w:type="dxa"/>
          </w:tcPr>
          <w:p>
            <w:pPr>
              <w:pStyle w:val="TableParagraph"/>
              <w:rPr>
                <w:b/>
                <w:sz w:val="16"/>
              </w:rPr>
            </w:pPr>
          </w:p>
          <w:p>
            <w:pPr>
              <w:pStyle w:val="TableParagraph"/>
              <w:spacing w:before="8"/>
              <w:rPr>
                <w:b/>
                <w:sz w:val="17"/>
              </w:rPr>
            </w:pPr>
          </w:p>
          <w:p>
            <w:pPr>
              <w:pStyle w:val="TableParagraph"/>
              <w:ind w:left="127"/>
              <w:jc w:val="center"/>
              <w:rPr>
                <w:sz w:val="16"/>
              </w:rPr>
            </w:pPr>
            <w:r>
              <w:rPr>
                <w:w w:val="99"/>
                <w:sz w:val="16"/>
              </w:rPr>
              <w:t>-</w:t>
            </w:r>
          </w:p>
        </w:tc>
      </w:tr>
      <w:tr>
        <w:trPr>
          <w:trHeight w:val="241" w:hRule="exact"/>
        </w:trPr>
        <w:tc>
          <w:tcPr>
            <w:tcW w:w="8407" w:type="dxa"/>
          </w:tcPr>
          <w:p>
            <w:pPr>
              <w:pStyle w:val="TableParagraph"/>
              <w:spacing w:before="20"/>
              <w:ind w:left="640" w:right="4593"/>
              <w:rPr>
                <w:sz w:val="16"/>
              </w:rPr>
            </w:pPr>
            <w:r>
              <w:rPr>
                <w:sz w:val="16"/>
              </w:rPr>
              <w:t>Net accrual adjustments</w:t>
            </w:r>
          </w:p>
        </w:tc>
        <w:tc>
          <w:tcPr>
            <w:tcW w:w="2139" w:type="dxa"/>
            <w:tcBorders>
              <w:bottom w:val="single" w:sz="0" w:space="0" w:color="000000"/>
            </w:tcBorders>
          </w:tcPr>
          <w:p>
            <w:pPr>
              <w:pStyle w:val="TableParagraph"/>
              <w:spacing w:before="19"/>
              <w:ind w:left="1384"/>
              <w:rPr>
                <w:sz w:val="16"/>
              </w:rPr>
            </w:pPr>
            <w:r>
              <w:rPr>
                <w:w w:val="99"/>
                <w:sz w:val="16"/>
              </w:rPr>
              <w:t>-</w:t>
            </w:r>
          </w:p>
        </w:tc>
        <w:tc>
          <w:tcPr>
            <w:tcW w:w="275" w:type="dxa"/>
            <w:tcBorders>
              <w:bottom w:val="single" w:sz="0" w:space="0" w:color="000000"/>
            </w:tcBorders>
          </w:tcPr>
          <w:p>
            <w:pPr>
              <w:pStyle w:val="TableParagraph"/>
              <w:spacing w:before="19"/>
              <w:ind w:left="47"/>
              <w:jc w:val="center"/>
              <w:rPr>
                <w:sz w:val="16"/>
              </w:rPr>
            </w:pPr>
            <w:r>
              <w:rPr>
                <w:w w:val="99"/>
                <w:sz w:val="16"/>
              </w:rPr>
              <w:t>-</w:t>
            </w:r>
          </w:p>
        </w:tc>
        <w:tc>
          <w:tcPr>
            <w:tcW w:w="717" w:type="dxa"/>
            <w:tcBorders>
              <w:bottom w:val="single" w:sz="0" w:space="0" w:color="000000"/>
            </w:tcBorders>
          </w:tcPr>
          <w:p>
            <w:pPr/>
          </w:p>
        </w:tc>
        <w:tc>
          <w:tcPr>
            <w:tcW w:w="814" w:type="dxa"/>
            <w:tcBorders>
              <w:bottom w:val="single" w:sz="0" w:space="0" w:color="000000"/>
            </w:tcBorders>
          </w:tcPr>
          <w:p>
            <w:pPr>
              <w:pStyle w:val="TableParagraph"/>
              <w:spacing w:before="19"/>
              <w:ind w:left="89"/>
              <w:rPr>
                <w:sz w:val="16"/>
              </w:rPr>
            </w:pPr>
            <w:r>
              <w:rPr>
                <w:w w:val="99"/>
                <w:sz w:val="16"/>
              </w:rPr>
              <w:t>-</w:t>
            </w:r>
          </w:p>
        </w:tc>
        <w:tc>
          <w:tcPr>
            <w:tcW w:w="877" w:type="dxa"/>
            <w:tcBorders>
              <w:bottom w:val="single" w:sz="0" w:space="0" w:color="000000"/>
            </w:tcBorders>
          </w:tcPr>
          <w:p>
            <w:pPr>
              <w:pStyle w:val="TableParagraph"/>
              <w:spacing w:before="19"/>
              <w:ind w:left="164"/>
              <w:rPr>
                <w:sz w:val="16"/>
              </w:rPr>
            </w:pPr>
            <w:r>
              <w:rPr>
                <w:w w:val="99"/>
                <w:sz w:val="16"/>
              </w:rPr>
              <w:t>-</w:t>
            </w:r>
          </w:p>
        </w:tc>
        <w:tc>
          <w:tcPr>
            <w:tcW w:w="371" w:type="dxa"/>
            <w:tcBorders>
              <w:bottom w:val="single" w:sz="0" w:space="0" w:color="000000"/>
            </w:tcBorders>
          </w:tcPr>
          <w:p>
            <w:pPr>
              <w:pStyle w:val="TableParagraph"/>
              <w:spacing w:before="19"/>
              <w:ind w:right="81"/>
              <w:jc w:val="right"/>
              <w:rPr>
                <w:sz w:val="16"/>
              </w:rPr>
            </w:pPr>
            <w:r>
              <w:rPr>
                <w:w w:val="99"/>
                <w:sz w:val="16"/>
              </w:rPr>
              <w:t>-</w:t>
            </w:r>
          </w:p>
        </w:tc>
        <w:tc>
          <w:tcPr>
            <w:tcW w:w="544" w:type="dxa"/>
            <w:tcBorders>
              <w:bottom w:val="single" w:sz="0" w:space="0" w:color="000000"/>
            </w:tcBorders>
          </w:tcPr>
          <w:p>
            <w:pPr/>
          </w:p>
        </w:tc>
        <w:tc>
          <w:tcPr>
            <w:tcW w:w="344" w:type="dxa"/>
            <w:tcBorders>
              <w:bottom w:val="single" w:sz="0" w:space="0" w:color="000000"/>
            </w:tcBorders>
          </w:tcPr>
          <w:p>
            <w:pPr>
              <w:pStyle w:val="TableParagraph"/>
              <w:spacing w:before="19"/>
              <w:ind w:left="127"/>
              <w:jc w:val="center"/>
              <w:rPr>
                <w:sz w:val="16"/>
              </w:rPr>
            </w:pPr>
            <w:r>
              <w:rPr>
                <w:w w:val="99"/>
                <w:sz w:val="16"/>
              </w:rPr>
              <w:t>-</w:t>
            </w:r>
          </w:p>
        </w:tc>
      </w:tr>
      <w:tr>
        <w:trPr>
          <w:trHeight w:val="261" w:hRule="exact"/>
        </w:trPr>
        <w:tc>
          <w:tcPr>
            <w:tcW w:w="8407" w:type="dxa"/>
          </w:tcPr>
          <w:p>
            <w:pPr>
              <w:pStyle w:val="TableParagraph"/>
              <w:spacing w:before="40"/>
              <w:ind w:left="641" w:right="4593"/>
              <w:rPr>
                <w:sz w:val="16"/>
              </w:rPr>
            </w:pPr>
            <w:r>
              <w:rPr>
                <w:sz w:val="16"/>
              </w:rPr>
              <w:t>Revenue for the period</w:t>
            </w:r>
          </w:p>
        </w:tc>
        <w:tc>
          <w:tcPr>
            <w:tcW w:w="2139" w:type="dxa"/>
            <w:tcBorders>
              <w:top w:val="single" w:sz="0" w:space="0" w:color="000000"/>
            </w:tcBorders>
          </w:tcPr>
          <w:p>
            <w:pPr>
              <w:pStyle w:val="TableParagraph"/>
              <w:spacing w:before="38"/>
              <w:ind w:left="1384"/>
              <w:rPr>
                <w:sz w:val="16"/>
              </w:rPr>
            </w:pPr>
            <w:r>
              <w:rPr>
                <w:w w:val="99"/>
                <w:sz w:val="16"/>
              </w:rPr>
              <w:t>-</w:t>
            </w:r>
          </w:p>
        </w:tc>
        <w:tc>
          <w:tcPr>
            <w:tcW w:w="275" w:type="dxa"/>
            <w:tcBorders>
              <w:top w:val="single" w:sz="0" w:space="0" w:color="000000"/>
            </w:tcBorders>
          </w:tcPr>
          <w:p>
            <w:pPr>
              <w:pStyle w:val="TableParagraph"/>
              <w:spacing w:before="38"/>
              <w:ind w:left="47"/>
              <w:jc w:val="center"/>
              <w:rPr>
                <w:sz w:val="16"/>
              </w:rPr>
            </w:pPr>
            <w:r>
              <w:rPr>
                <w:w w:val="99"/>
                <w:sz w:val="16"/>
              </w:rPr>
              <w:t>-</w:t>
            </w:r>
          </w:p>
        </w:tc>
        <w:tc>
          <w:tcPr>
            <w:tcW w:w="717" w:type="dxa"/>
            <w:tcBorders>
              <w:top w:val="single" w:sz="0" w:space="0" w:color="000000"/>
            </w:tcBorders>
          </w:tcPr>
          <w:p>
            <w:pPr/>
          </w:p>
        </w:tc>
        <w:tc>
          <w:tcPr>
            <w:tcW w:w="814" w:type="dxa"/>
            <w:tcBorders>
              <w:top w:val="single" w:sz="0" w:space="0" w:color="000000"/>
            </w:tcBorders>
          </w:tcPr>
          <w:p>
            <w:pPr>
              <w:pStyle w:val="TableParagraph"/>
              <w:spacing w:before="38"/>
              <w:ind w:left="89"/>
              <w:rPr>
                <w:sz w:val="16"/>
              </w:rPr>
            </w:pPr>
            <w:r>
              <w:rPr>
                <w:w w:val="99"/>
                <w:sz w:val="16"/>
              </w:rPr>
              <w:t>-</w:t>
            </w:r>
          </w:p>
        </w:tc>
        <w:tc>
          <w:tcPr>
            <w:tcW w:w="877" w:type="dxa"/>
            <w:tcBorders>
              <w:top w:val="single" w:sz="0" w:space="0" w:color="000000"/>
            </w:tcBorders>
          </w:tcPr>
          <w:p>
            <w:pPr>
              <w:pStyle w:val="TableParagraph"/>
              <w:spacing w:before="38"/>
              <w:ind w:left="164"/>
              <w:rPr>
                <w:sz w:val="16"/>
              </w:rPr>
            </w:pPr>
            <w:r>
              <w:rPr>
                <w:w w:val="99"/>
                <w:sz w:val="16"/>
              </w:rPr>
              <w:t>-</w:t>
            </w:r>
          </w:p>
        </w:tc>
        <w:tc>
          <w:tcPr>
            <w:tcW w:w="371" w:type="dxa"/>
            <w:tcBorders>
              <w:top w:val="single" w:sz="0" w:space="0" w:color="000000"/>
            </w:tcBorders>
          </w:tcPr>
          <w:p>
            <w:pPr>
              <w:pStyle w:val="TableParagraph"/>
              <w:spacing w:before="38"/>
              <w:ind w:right="81"/>
              <w:jc w:val="right"/>
              <w:rPr>
                <w:sz w:val="16"/>
              </w:rPr>
            </w:pPr>
            <w:r>
              <w:rPr>
                <w:w w:val="99"/>
                <w:sz w:val="16"/>
              </w:rPr>
              <w:t>-</w:t>
            </w:r>
          </w:p>
        </w:tc>
        <w:tc>
          <w:tcPr>
            <w:tcW w:w="544" w:type="dxa"/>
            <w:tcBorders>
              <w:top w:val="single" w:sz="0" w:space="0" w:color="000000"/>
            </w:tcBorders>
          </w:tcPr>
          <w:p>
            <w:pPr/>
          </w:p>
        </w:tc>
        <w:tc>
          <w:tcPr>
            <w:tcW w:w="344" w:type="dxa"/>
            <w:tcBorders>
              <w:top w:val="single" w:sz="0" w:space="0" w:color="000000"/>
            </w:tcBorders>
          </w:tcPr>
          <w:p>
            <w:pPr>
              <w:pStyle w:val="TableParagraph"/>
              <w:spacing w:before="38"/>
              <w:ind w:left="128"/>
              <w:jc w:val="center"/>
              <w:rPr>
                <w:sz w:val="16"/>
              </w:rPr>
            </w:pPr>
            <w:r>
              <w:rPr>
                <w:w w:val="99"/>
                <w:sz w:val="16"/>
              </w:rPr>
              <w:t>-</w:t>
            </w:r>
          </w:p>
        </w:tc>
      </w:tr>
      <w:tr>
        <w:trPr>
          <w:trHeight w:val="241" w:hRule="exact"/>
        </w:trPr>
        <w:tc>
          <w:tcPr>
            <w:tcW w:w="8407" w:type="dxa"/>
          </w:tcPr>
          <w:p>
            <w:pPr>
              <w:pStyle w:val="TableParagraph"/>
              <w:spacing w:before="20"/>
              <w:ind w:left="641" w:right="4593"/>
              <w:rPr>
                <w:sz w:val="16"/>
              </w:rPr>
            </w:pPr>
            <w:r>
              <w:rPr>
                <w:sz w:val="16"/>
              </w:rPr>
              <w:t>Surplus/(deficit) from the previous year</w:t>
            </w:r>
          </w:p>
        </w:tc>
        <w:tc>
          <w:tcPr>
            <w:tcW w:w="2139" w:type="dxa"/>
            <w:tcBorders>
              <w:bottom w:val="single" w:sz="0" w:space="0" w:color="000000"/>
            </w:tcBorders>
          </w:tcPr>
          <w:p>
            <w:pPr>
              <w:pStyle w:val="TableParagraph"/>
              <w:spacing w:before="19"/>
              <w:ind w:left="1296"/>
              <w:rPr>
                <w:sz w:val="16"/>
              </w:rPr>
            </w:pPr>
            <w:r>
              <w:rPr>
                <w:sz w:val="16"/>
              </w:rPr>
              <w:t>(3)</w:t>
            </w:r>
          </w:p>
        </w:tc>
        <w:tc>
          <w:tcPr>
            <w:tcW w:w="275" w:type="dxa"/>
            <w:tcBorders>
              <w:bottom w:val="single" w:sz="0" w:space="0" w:color="000000"/>
            </w:tcBorders>
          </w:tcPr>
          <w:p>
            <w:pPr>
              <w:pStyle w:val="TableParagraph"/>
              <w:spacing w:before="19"/>
              <w:ind w:left="25" w:right="13"/>
              <w:jc w:val="center"/>
              <w:rPr>
                <w:sz w:val="16"/>
              </w:rPr>
            </w:pPr>
            <w:r>
              <w:rPr>
                <w:sz w:val="16"/>
              </w:rPr>
              <w:t>(3)</w:t>
            </w:r>
          </w:p>
        </w:tc>
        <w:tc>
          <w:tcPr>
            <w:tcW w:w="717" w:type="dxa"/>
            <w:tcBorders>
              <w:bottom w:val="single" w:sz="0" w:space="0" w:color="000000"/>
            </w:tcBorders>
          </w:tcPr>
          <w:p>
            <w:pPr/>
          </w:p>
        </w:tc>
        <w:tc>
          <w:tcPr>
            <w:tcW w:w="814" w:type="dxa"/>
            <w:tcBorders>
              <w:bottom w:val="single" w:sz="0" w:space="0" w:color="000000"/>
            </w:tcBorders>
          </w:tcPr>
          <w:p>
            <w:pPr>
              <w:pStyle w:val="TableParagraph"/>
              <w:spacing w:before="19"/>
              <w:ind w:left="89"/>
              <w:rPr>
                <w:sz w:val="16"/>
              </w:rPr>
            </w:pPr>
            <w:r>
              <w:rPr>
                <w:w w:val="99"/>
                <w:sz w:val="16"/>
              </w:rPr>
              <w:t>-</w:t>
            </w:r>
          </w:p>
        </w:tc>
        <w:tc>
          <w:tcPr>
            <w:tcW w:w="877" w:type="dxa"/>
            <w:tcBorders>
              <w:bottom w:val="single" w:sz="0" w:space="0" w:color="000000"/>
            </w:tcBorders>
          </w:tcPr>
          <w:p>
            <w:pPr>
              <w:pStyle w:val="TableParagraph"/>
              <w:spacing w:before="19"/>
              <w:ind w:left="164"/>
              <w:rPr>
                <w:sz w:val="16"/>
              </w:rPr>
            </w:pPr>
            <w:r>
              <w:rPr>
                <w:w w:val="99"/>
                <w:sz w:val="16"/>
              </w:rPr>
              <w:t>-</w:t>
            </w:r>
          </w:p>
        </w:tc>
        <w:tc>
          <w:tcPr>
            <w:tcW w:w="371" w:type="dxa"/>
            <w:tcBorders>
              <w:bottom w:val="single" w:sz="0" w:space="0" w:color="000000"/>
            </w:tcBorders>
          </w:tcPr>
          <w:p>
            <w:pPr>
              <w:pStyle w:val="TableParagraph"/>
              <w:spacing w:before="19"/>
              <w:ind w:right="28"/>
              <w:jc w:val="right"/>
              <w:rPr>
                <w:sz w:val="16"/>
              </w:rPr>
            </w:pPr>
            <w:r>
              <w:rPr>
                <w:w w:val="95"/>
                <w:sz w:val="16"/>
              </w:rPr>
              <w:t>(3)</w:t>
            </w:r>
          </w:p>
        </w:tc>
        <w:tc>
          <w:tcPr>
            <w:tcW w:w="544" w:type="dxa"/>
            <w:tcBorders>
              <w:bottom w:val="single" w:sz="0" w:space="0" w:color="000000"/>
            </w:tcBorders>
          </w:tcPr>
          <w:p>
            <w:pPr/>
          </w:p>
        </w:tc>
        <w:tc>
          <w:tcPr>
            <w:tcW w:w="344" w:type="dxa"/>
            <w:tcBorders>
              <w:bottom w:val="single" w:sz="0" w:space="0" w:color="000000"/>
            </w:tcBorders>
          </w:tcPr>
          <w:p>
            <w:pPr>
              <w:pStyle w:val="TableParagraph"/>
              <w:spacing w:before="19"/>
              <w:ind w:left="100" w:right="8"/>
              <w:jc w:val="center"/>
              <w:rPr>
                <w:sz w:val="16"/>
              </w:rPr>
            </w:pPr>
            <w:r>
              <w:rPr>
                <w:sz w:val="16"/>
              </w:rPr>
              <w:t>(3)</w:t>
            </w:r>
          </w:p>
        </w:tc>
      </w:tr>
      <w:tr>
        <w:trPr>
          <w:trHeight w:val="261" w:hRule="exact"/>
        </w:trPr>
        <w:tc>
          <w:tcPr>
            <w:tcW w:w="8407" w:type="dxa"/>
          </w:tcPr>
          <w:p>
            <w:pPr>
              <w:pStyle w:val="TableParagraph"/>
              <w:spacing w:before="40"/>
              <w:ind w:left="641" w:right="4593"/>
              <w:rPr>
                <w:sz w:val="16"/>
              </w:rPr>
            </w:pPr>
            <w:r>
              <w:rPr>
                <w:sz w:val="16"/>
              </w:rPr>
              <w:t>Total revenue including accrued revenue</w:t>
            </w:r>
          </w:p>
        </w:tc>
        <w:tc>
          <w:tcPr>
            <w:tcW w:w="2139" w:type="dxa"/>
            <w:tcBorders>
              <w:top w:val="single" w:sz="0" w:space="0" w:color="000000"/>
            </w:tcBorders>
          </w:tcPr>
          <w:p>
            <w:pPr>
              <w:pStyle w:val="TableParagraph"/>
              <w:spacing w:before="38"/>
              <w:ind w:left="1295"/>
              <w:rPr>
                <w:sz w:val="16"/>
              </w:rPr>
            </w:pPr>
            <w:r>
              <w:rPr>
                <w:sz w:val="16"/>
              </w:rPr>
              <w:t>(3)</w:t>
            </w:r>
          </w:p>
        </w:tc>
        <w:tc>
          <w:tcPr>
            <w:tcW w:w="275" w:type="dxa"/>
            <w:tcBorders>
              <w:top w:val="single" w:sz="0" w:space="0" w:color="000000"/>
            </w:tcBorders>
          </w:tcPr>
          <w:p>
            <w:pPr>
              <w:pStyle w:val="TableParagraph"/>
              <w:spacing w:before="38"/>
              <w:ind w:left="25" w:right="13"/>
              <w:jc w:val="center"/>
              <w:rPr>
                <w:sz w:val="16"/>
              </w:rPr>
            </w:pPr>
            <w:r>
              <w:rPr>
                <w:sz w:val="16"/>
              </w:rPr>
              <w:t>(3)</w:t>
            </w:r>
          </w:p>
        </w:tc>
        <w:tc>
          <w:tcPr>
            <w:tcW w:w="717" w:type="dxa"/>
            <w:tcBorders>
              <w:top w:val="single" w:sz="0" w:space="0" w:color="000000"/>
            </w:tcBorders>
          </w:tcPr>
          <w:p>
            <w:pPr/>
          </w:p>
        </w:tc>
        <w:tc>
          <w:tcPr>
            <w:tcW w:w="814" w:type="dxa"/>
            <w:tcBorders>
              <w:top w:val="single" w:sz="0" w:space="0" w:color="000000"/>
            </w:tcBorders>
          </w:tcPr>
          <w:p>
            <w:pPr>
              <w:pStyle w:val="TableParagraph"/>
              <w:spacing w:before="38"/>
              <w:ind w:left="89"/>
              <w:rPr>
                <w:sz w:val="16"/>
              </w:rPr>
            </w:pPr>
            <w:r>
              <w:rPr>
                <w:w w:val="99"/>
                <w:sz w:val="16"/>
              </w:rPr>
              <w:t>-</w:t>
            </w:r>
          </w:p>
        </w:tc>
        <w:tc>
          <w:tcPr>
            <w:tcW w:w="877" w:type="dxa"/>
            <w:tcBorders>
              <w:top w:val="single" w:sz="0" w:space="0" w:color="000000"/>
            </w:tcBorders>
          </w:tcPr>
          <w:p>
            <w:pPr>
              <w:pStyle w:val="TableParagraph"/>
              <w:spacing w:before="38"/>
              <w:ind w:left="164"/>
              <w:rPr>
                <w:sz w:val="16"/>
              </w:rPr>
            </w:pPr>
            <w:r>
              <w:rPr>
                <w:w w:val="99"/>
                <w:sz w:val="16"/>
              </w:rPr>
              <w:t>-</w:t>
            </w:r>
          </w:p>
        </w:tc>
        <w:tc>
          <w:tcPr>
            <w:tcW w:w="371" w:type="dxa"/>
            <w:tcBorders>
              <w:top w:val="single" w:sz="0" w:space="0" w:color="000000"/>
            </w:tcBorders>
          </w:tcPr>
          <w:p>
            <w:pPr>
              <w:pStyle w:val="TableParagraph"/>
              <w:spacing w:before="38"/>
              <w:ind w:right="28"/>
              <w:jc w:val="right"/>
              <w:rPr>
                <w:sz w:val="16"/>
              </w:rPr>
            </w:pPr>
            <w:r>
              <w:rPr>
                <w:w w:val="95"/>
                <w:sz w:val="16"/>
              </w:rPr>
              <w:t>(3)</w:t>
            </w:r>
          </w:p>
        </w:tc>
        <w:tc>
          <w:tcPr>
            <w:tcW w:w="544" w:type="dxa"/>
            <w:tcBorders>
              <w:top w:val="single" w:sz="0" w:space="0" w:color="000000"/>
            </w:tcBorders>
          </w:tcPr>
          <w:p>
            <w:pPr/>
          </w:p>
        </w:tc>
        <w:tc>
          <w:tcPr>
            <w:tcW w:w="344" w:type="dxa"/>
            <w:tcBorders>
              <w:top w:val="single" w:sz="0" w:space="0" w:color="000000"/>
            </w:tcBorders>
          </w:tcPr>
          <w:p>
            <w:pPr>
              <w:pStyle w:val="TableParagraph"/>
              <w:spacing w:before="38"/>
              <w:ind w:left="100" w:right="8"/>
              <w:jc w:val="center"/>
              <w:rPr>
                <w:sz w:val="16"/>
              </w:rPr>
            </w:pPr>
            <w:r>
              <w:rPr>
                <w:sz w:val="16"/>
              </w:rPr>
              <w:t>(3)</w:t>
            </w:r>
          </w:p>
        </w:tc>
      </w:tr>
      <w:tr>
        <w:trPr>
          <w:trHeight w:val="241" w:hRule="exact"/>
        </w:trPr>
        <w:tc>
          <w:tcPr>
            <w:tcW w:w="8407" w:type="dxa"/>
          </w:tcPr>
          <w:p>
            <w:pPr>
              <w:pStyle w:val="TableParagraph"/>
              <w:spacing w:before="20"/>
              <w:ind w:left="640" w:right="4593"/>
              <w:rPr>
                <w:sz w:val="16"/>
              </w:rPr>
            </w:pPr>
            <w:r>
              <w:rPr>
                <w:sz w:val="16"/>
              </w:rPr>
              <w:t>Less expenses including accrued expenses</w:t>
            </w:r>
          </w:p>
        </w:tc>
        <w:tc>
          <w:tcPr>
            <w:tcW w:w="2139" w:type="dxa"/>
            <w:tcBorders>
              <w:bottom w:val="single" w:sz="0" w:space="0" w:color="000000"/>
            </w:tcBorders>
          </w:tcPr>
          <w:p>
            <w:pPr>
              <w:pStyle w:val="TableParagraph"/>
              <w:spacing w:before="19"/>
              <w:ind w:left="1348"/>
              <w:rPr>
                <w:sz w:val="16"/>
              </w:rPr>
            </w:pPr>
            <w:r>
              <w:rPr>
                <w:w w:val="99"/>
                <w:sz w:val="16"/>
              </w:rPr>
              <w:t>3</w:t>
            </w:r>
          </w:p>
        </w:tc>
        <w:tc>
          <w:tcPr>
            <w:tcW w:w="275" w:type="dxa"/>
            <w:tcBorders>
              <w:bottom w:val="single" w:sz="0" w:space="0" w:color="000000"/>
            </w:tcBorders>
          </w:tcPr>
          <w:p>
            <w:pPr>
              <w:pStyle w:val="TableParagraph"/>
              <w:spacing w:before="19"/>
              <w:ind w:left="47"/>
              <w:jc w:val="center"/>
              <w:rPr>
                <w:sz w:val="16"/>
              </w:rPr>
            </w:pPr>
            <w:r>
              <w:rPr>
                <w:w w:val="99"/>
                <w:sz w:val="16"/>
              </w:rPr>
              <w:t>-</w:t>
            </w:r>
          </w:p>
        </w:tc>
        <w:tc>
          <w:tcPr>
            <w:tcW w:w="717" w:type="dxa"/>
            <w:tcBorders>
              <w:bottom w:val="single" w:sz="0" w:space="0" w:color="000000"/>
            </w:tcBorders>
          </w:tcPr>
          <w:p>
            <w:pPr/>
          </w:p>
        </w:tc>
        <w:tc>
          <w:tcPr>
            <w:tcW w:w="814" w:type="dxa"/>
            <w:tcBorders>
              <w:bottom w:val="single" w:sz="0" w:space="0" w:color="000000"/>
            </w:tcBorders>
          </w:tcPr>
          <w:p>
            <w:pPr>
              <w:pStyle w:val="TableParagraph"/>
              <w:spacing w:before="19"/>
              <w:ind w:left="89"/>
              <w:rPr>
                <w:sz w:val="16"/>
              </w:rPr>
            </w:pPr>
            <w:r>
              <w:rPr>
                <w:w w:val="99"/>
                <w:sz w:val="16"/>
              </w:rPr>
              <w:t>-</w:t>
            </w:r>
          </w:p>
        </w:tc>
        <w:tc>
          <w:tcPr>
            <w:tcW w:w="877" w:type="dxa"/>
            <w:tcBorders>
              <w:bottom w:val="single" w:sz="0" w:space="0" w:color="000000"/>
            </w:tcBorders>
          </w:tcPr>
          <w:p>
            <w:pPr>
              <w:pStyle w:val="TableParagraph"/>
              <w:spacing w:before="19"/>
              <w:ind w:left="164"/>
              <w:rPr>
                <w:sz w:val="16"/>
              </w:rPr>
            </w:pPr>
            <w:r>
              <w:rPr>
                <w:w w:val="99"/>
                <w:sz w:val="16"/>
              </w:rPr>
              <w:t>-</w:t>
            </w:r>
          </w:p>
        </w:tc>
        <w:tc>
          <w:tcPr>
            <w:tcW w:w="371" w:type="dxa"/>
            <w:tcBorders>
              <w:bottom w:val="single" w:sz="0" w:space="0" w:color="000000"/>
            </w:tcBorders>
          </w:tcPr>
          <w:p>
            <w:pPr>
              <w:pStyle w:val="TableParagraph"/>
              <w:spacing w:before="19"/>
              <w:ind w:right="81"/>
              <w:jc w:val="right"/>
              <w:rPr>
                <w:sz w:val="16"/>
              </w:rPr>
            </w:pPr>
            <w:r>
              <w:rPr>
                <w:w w:val="99"/>
                <w:sz w:val="16"/>
              </w:rPr>
              <w:t>3</w:t>
            </w:r>
          </w:p>
        </w:tc>
        <w:tc>
          <w:tcPr>
            <w:tcW w:w="544" w:type="dxa"/>
            <w:tcBorders>
              <w:bottom w:val="single" w:sz="0" w:space="0" w:color="000000"/>
            </w:tcBorders>
          </w:tcPr>
          <w:p>
            <w:pPr/>
          </w:p>
        </w:tc>
        <w:tc>
          <w:tcPr>
            <w:tcW w:w="344" w:type="dxa"/>
            <w:tcBorders>
              <w:bottom w:val="single" w:sz="0" w:space="0" w:color="000000"/>
            </w:tcBorders>
          </w:tcPr>
          <w:p>
            <w:pPr>
              <w:pStyle w:val="TableParagraph"/>
              <w:spacing w:before="19"/>
              <w:ind w:left="127"/>
              <w:jc w:val="center"/>
              <w:rPr>
                <w:sz w:val="16"/>
              </w:rPr>
            </w:pPr>
            <w:r>
              <w:rPr>
                <w:w w:val="99"/>
                <w:sz w:val="16"/>
              </w:rPr>
              <w:t>-</w:t>
            </w:r>
          </w:p>
        </w:tc>
      </w:tr>
      <w:tr>
        <w:trPr>
          <w:trHeight w:val="275" w:hRule="exact"/>
        </w:trPr>
        <w:tc>
          <w:tcPr>
            <w:tcW w:w="8407" w:type="dxa"/>
          </w:tcPr>
          <w:p>
            <w:pPr>
              <w:pStyle w:val="TableParagraph"/>
              <w:spacing w:before="40"/>
              <w:ind w:left="641" w:right="4593"/>
              <w:rPr>
                <w:sz w:val="16"/>
              </w:rPr>
            </w:pPr>
            <w:r>
              <w:rPr>
                <w:sz w:val="16"/>
              </w:rPr>
              <w:t>Surplus/(deficit) for the reporting period</w:t>
            </w:r>
          </w:p>
        </w:tc>
        <w:tc>
          <w:tcPr>
            <w:tcW w:w="2139" w:type="dxa"/>
            <w:tcBorders>
              <w:top w:val="single" w:sz="0" w:space="0" w:color="000000"/>
              <w:bottom w:val="single" w:sz="0" w:space="0" w:color="000000"/>
            </w:tcBorders>
          </w:tcPr>
          <w:p>
            <w:pPr>
              <w:pStyle w:val="TableParagraph"/>
              <w:spacing w:before="38"/>
              <w:ind w:left="1384"/>
              <w:rPr>
                <w:sz w:val="16"/>
              </w:rPr>
            </w:pPr>
            <w:r>
              <w:rPr>
                <w:w w:val="99"/>
                <w:sz w:val="16"/>
              </w:rPr>
              <w:t>-</w:t>
            </w:r>
          </w:p>
        </w:tc>
        <w:tc>
          <w:tcPr>
            <w:tcW w:w="275" w:type="dxa"/>
            <w:tcBorders>
              <w:top w:val="single" w:sz="0" w:space="0" w:color="000000"/>
              <w:bottom w:val="single" w:sz="0" w:space="0" w:color="000000"/>
            </w:tcBorders>
          </w:tcPr>
          <w:p>
            <w:pPr>
              <w:pStyle w:val="TableParagraph"/>
              <w:spacing w:before="38"/>
              <w:ind w:left="25" w:right="13"/>
              <w:jc w:val="center"/>
              <w:rPr>
                <w:sz w:val="16"/>
              </w:rPr>
            </w:pPr>
            <w:r>
              <w:rPr>
                <w:sz w:val="16"/>
              </w:rPr>
              <w:t>(3)</w:t>
            </w:r>
          </w:p>
        </w:tc>
        <w:tc>
          <w:tcPr>
            <w:tcW w:w="717" w:type="dxa"/>
            <w:tcBorders>
              <w:top w:val="single" w:sz="0" w:space="0" w:color="000000"/>
              <w:bottom w:val="single" w:sz="0" w:space="0" w:color="000000"/>
            </w:tcBorders>
          </w:tcPr>
          <w:p>
            <w:pPr/>
          </w:p>
        </w:tc>
        <w:tc>
          <w:tcPr>
            <w:tcW w:w="814" w:type="dxa"/>
            <w:tcBorders>
              <w:top w:val="single" w:sz="0" w:space="0" w:color="000000"/>
              <w:bottom w:val="single" w:sz="0" w:space="0" w:color="000000"/>
            </w:tcBorders>
          </w:tcPr>
          <w:p>
            <w:pPr>
              <w:pStyle w:val="TableParagraph"/>
              <w:spacing w:before="38"/>
              <w:ind w:left="89"/>
              <w:rPr>
                <w:sz w:val="16"/>
              </w:rPr>
            </w:pPr>
            <w:r>
              <w:rPr>
                <w:w w:val="99"/>
                <w:sz w:val="16"/>
              </w:rPr>
              <w:t>-</w:t>
            </w:r>
          </w:p>
        </w:tc>
        <w:tc>
          <w:tcPr>
            <w:tcW w:w="877" w:type="dxa"/>
            <w:tcBorders>
              <w:top w:val="single" w:sz="0" w:space="0" w:color="000000"/>
              <w:bottom w:val="single" w:sz="0" w:space="0" w:color="000000"/>
            </w:tcBorders>
          </w:tcPr>
          <w:p>
            <w:pPr>
              <w:pStyle w:val="TableParagraph"/>
              <w:spacing w:before="38"/>
              <w:ind w:left="164"/>
              <w:rPr>
                <w:sz w:val="16"/>
              </w:rPr>
            </w:pPr>
            <w:r>
              <w:rPr>
                <w:w w:val="99"/>
                <w:sz w:val="16"/>
              </w:rPr>
              <w:t>-</w:t>
            </w:r>
          </w:p>
        </w:tc>
        <w:tc>
          <w:tcPr>
            <w:tcW w:w="371" w:type="dxa"/>
            <w:tcBorders>
              <w:top w:val="single" w:sz="0" w:space="0" w:color="000000"/>
              <w:bottom w:val="single" w:sz="0" w:space="0" w:color="000000"/>
            </w:tcBorders>
          </w:tcPr>
          <w:p>
            <w:pPr>
              <w:pStyle w:val="TableParagraph"/>
              <w:spacing w:before="38"/>
              <w:ind w:right="81"/>
              <w:jc w:val="right"/>
              <w:rPr>
                <w:sz w:val="16"/>
              </w:rPr>
            </w:pPr>
            <w:r>
              <w:rPr>
                <w:w w:val="99"/>
                <w:sz w:val="16"/>
              </w:rPr>
              <w:t>-</w:t>
            </w:r>
          </w:p>
        </w:tc>
        <w:tc>
          <w:tcPr>
            <w:tcW w:w="544" w:type="dxa"/>
            <w:tcBorders>
              <w:top w:val="single" w:sz="0" w:space="0" w:color="000000"/>
              <w:bottom w:val="single" w:sz="0" w:space="0" w:color="000000"/>
            </w:tcBorders>
          </w:tcPr>
          <w:p>
            <w:pPr/>
          </w:p>
        </w:tc>
        <w:tc>
          <w:tcPr>
            <w:tcW w:w="344" w:type="dxa"/>
            <w:tcBorders>
              <w:top w:val="single" w:sz="0" w:space="0" w:color="000000"/>
              <w:bottom w:val="single" w:sz="0" w:space="0" w:color="000000"/>
            </w:tcBorders>
          </w:tcPr>
          <w:p>
            <w:pPr>
              <w:pStyle w:val="TableParagraph"/>
              <w:spacing w:before="38"/>
              <w:ind w:left="100" w:right="8"/>
              <w:jc w:val="center"/>
              <w:rPr>
                <w:sz w:val="16"/>
              </w:rPr>
            </w:pPr>
            <w:r>
              <w:rPr>
                <w:sz w:val="16"/>
              </w:rPr>
              <w:t>(3)</w:t>
            </w:r>
          </w:p>
        </w:tc>
      </w:tr>
    </w:tbl>
    <w:p>
      <w:pPr>
        <w:spacing w:after="0"/>
        <w:jc w:val="center"/>
        <w:rPr>
          <w:sz w:val="16"/>
        </w:rPr>
        <w:sectPr>
          <w:pgSz w:w="16840" w:h="11910" w:orient="landscape"/>
          <w:pgMar w:header="1038" w:footer="507" w:top="2220" w:bottom="700" w:left="900" w:right="880"/>
        </w:sectPr>
      </w:pPr>
    </w:p>
    <w:p>
      <w:pPr>
        <w:pStyle w:val="BodyText"/>
        <w:rPr>
          <w:b/>
          <w:sz w:val="20"/>
        </w:rPr>
      </w:pPr>
    </w:p>
    <w:p>
      <w:pPr>
        <w:pStyle w:val="BodyText"/>
        <w:rPr>
          <w:b/>
          <w:sz w:val="20"/>
        </w:rPr>
      </w:pPr>
    </w:p>
    <w:p>
      <w:pPr>
        <w:pStyle w:val="BodyText"/>
        <w:spacing w:before="4"/>
        <w:rPr>
          <w:b/>
        </w:rPr>
      </w:pPr>
    </w:p>
    <w:p>
      <w:pPr>
        <w:pStyle w:val="ListParagraph"/>
        <w:numPr>
          <w:ilvl w:val="0"/>
          <w:numId w:val="30"/>
        </w:numPr>
        <w:tabs>
          <w:tab w:pos="505" w:val="left" w:leader="none"/>
        </w:tabs>
        <w:spacing w:line="240" w:lineRule="auto" w:before="0" w:after="0"/>
        <w:ind w:left="505" w:right="0" w:hanging="396"/>
        <w:jc w:val="left"/>
        <w:rPr>
          <w:b/>
          <w:sz w:val="18"/>
        </w:rPr>
      </w:pPr>
      <w:r>
        <w:rPr>
          <w:b/>
          <w:sz w:val="18"/>
        </w:rPr>
        <w:t>Acquittal of Australian Government Financial Assistance</w:t>
      </w:r>
      <w:r>
        <w:rPr>
          <w:b/>
          <w:spacing w:val="-2"/>
          <w:sz w:val="18"/>
        </w:rPr>
        <w:t> </w:t>
      </w:r>
      <w:r>
        <w:rPr>
          <w:b/>
          <w:sz w:val="18"/>
        </w:rPr>
        <w:t>(continued)</w:t>
      </w:r>
    </w:p>
    <w:p>
      <w:pPr>
        <w:pStyle w:val="BodyText"/>
        <w:spacing w:before="11"/>
        <w:rPr>
          <w:b/>
          <w:sz w:val="24"/>
        </w:rPr>
      </w:pPr>
    </w:p>
    <w:p>
      <w:pPr>
        <w:pStyle w:val="ListParagraph"/>
        <w:numPr>
          <w:ilvl w:val="0"/>
          <w:numId w:val="29"/>
        </w:numPr>
        <w:tabs>
          <w:tab w:pos="1072" w:val="left" w:leader="none"/>
        </w:tabs>
        <w:spacing w:line="240" w:lineRule="auto" w:before="0" w:after="0"/>
        <w:ind w:left="1071" w:right="0" w:hanging="566"/>
        <w:jc w:val="left"/>
        <w:rPr>
          <w:sz w:val="18"/>
        </w:rPr>
      </w:pPr>
      <w:r>
        <w:rPr>
          <w:sz w:val="18"/>
        </w:rPr>
        <w:t>OS-HELP</w:t>
      </w:r>
    </w:p>
    <w:p>
      <w:pPr>
        <w:pStyle w:val="BodyText"/>
        <w:rPr>
          <w:sz w:val="20"/>
        </w:rPr>
      </w:pPr>
    </w:p>
    <w:p>
      <w:pPr>
        <w:pStyle w:val="BodyText"/>
        <w:spacing w:before="6"/>
        <w:rPr>
          <w:sz w:val="23"/>
        </w:rPr>
      </w:pPr>
    </w:p>
    <w:p>
      <w:pPr>
        <w:spacing w:after="0"/>
        <w:rPr>
          <w:sz w:val="23"/>
        </w:rPr>
        <w:sectPr>
          <w:pgSz w:w="16840" w:h="11910" w:orient="landscape"/>
          <w:pgMar w:header="1038" w:footer="507" w:top="2220" w:bottom="700" w:left="900" w:right="2420"/>
        </w:sectPr>
      </w:pPr>
    </w:p>
    <w:p>
      <w:pPr>
        <w:pStyle w:val="BodyText"/>
        <w:rPr>
          <w:sz w:val="16"/>
        </w:rPr>
      </w:pPr>
    </w:p>
    <w:p>
      <w:pPr>
        <w:pStyle w:val="BodyText"/>
        <w:spacing w:before="8"/>
        <w:rPr>
          <w:sz w:val="12"/>
        </w:rPr>
      </w:pPr>
    </w:p>
    <w:p>
      <w:pPr>
        <w:spacing w:before="0"/>
        <w:ind w:left="0" w:right="0" w:firstLine="0"/>
        <w:jc w:val="right"/>
        <w:rPr>
          <w:b/>
          <w:sz w:val="16"/>
        </w:rPr>
      </w:pPr>
      <w:r>
        <w:rPr>
          <w:b/>
          <w:w w:val="95"/>
          <w:sz w:val="16"/>
        </w:rPr>
        <w:t>Note</w:t>
      </w:r>
    </w:p>
    <w:p>
      <w:pPr>
        <w:spacing w:before="79"/>
        <w:ind w:left="205" w:right="-1" w:firstLine="0"/>
        <w:jc w:val="left"/>
        <w:rPr>
          <w:b/>
          <w:sz w:val="16"/>
        </w:rPr>
      </w:pPr>
      <w:r>
        <w:rPr/>
        <w:br w:type="column"/>
      </w:r>
      <w:r>
        <w:rPr>
          <w:b/>
          <w:sz w:val="16"/>
        </w:rPr>
        <w:t>2012</w:t>
      </w:r>
    </w:p>
    <w:p>
      <w:pPr>
        <w:spacing w:before="66"/>
        <w:ind w:left="205" w:right="-1" w:firstLine="0"/>
        <w:jc w:val="left"/>
        <w:rPr>
          <w:b/>
          <w:sz w:val="16"/>
        </w:rPr>
      </w:pPr>
      <w:r>
        <w:rPr>
          <w:b/>
          <w:w w:val="95"/>
          <w:sz w:val="16"/>
        </w:rPr>
        <w:t>$'000</w:t>
      </w:r>
    </w:p>
    <w:p>
      <w:pPr>
        <w:spacing w:before="79"/>
        <w:ind w:left="485" w:right="0" w:firstLine="0"/>
        <w:jc w:val="left"/>
        <w:rPr>
          <w:b/>
          <w:sz w:val="16"/>
        </w:rPr>
      </w:pPr>
      <w:r>
        <w:rPr/>
        <w:br w:type="column"/>
      </w:r>
      <w:r>
        <w:rPr>
          <w:b/>
          <w:sz w:val="16"/>
        </w:rPr>
        <w:t>2011</w:t>
      </w:r>
    </w:p>
    <w:p>
      <w:pPr>
        <w:spacing w:before="66"/>
        <w:ind w:left="485" w:right="0" w:firstLine="0"/>
        <w:jc w:val="left"/>
        <w:rPr>
          <w:b/>
          <w:sz w:val="16"/>
        </w:rPr>
      </w:pPr>
      <w:r>
        <w:rPr>
          <w:b/>
          <w:sz w:val="16"/>
        </w:rPr>
        <w:t>$'000</w:t>
      </w:r>
    </w:p>
    <w:p>
      <w:pPr>
        <w:spacing w:after="0"/>
        <w:jc w:val="left"/>
        <w:rPr>
          <w:sz w:val="16"/>
        </w:rPr>
        <w:sectPr>
          <w:type w:val="continuous"/>
          <w:pgSz w:w="16840" w:h="11910" w:orient="landscape"/>
          <w:pgMar w:top="0" w:bottom="280" w:left="900" w:right="2420"/>
          <w:cols w:num="3" w:equalWidth="0">
            <w:col w:w="5701" w:space="40"/>
            <w:col w:w="599" w:space="40"/>
            <w:col w:w="7140"/>
          </w:cols>
        </w:sectPr>
      </w:pPr>
    </w:p>
    <w:p>
      <w:pPr>
        <w:pStyle w:val="BodyText"/>
        <w:spacing w:before="8"/>
        <w:rPr>
          <w:b/>
          <w:sz w:val="12"/>
        </w:rPr>
      </w:pPr>
    </w:p>
    <w:p>
      <w:pPr>
        <w:spacing w:before="0"/>
        <w:ind w:left="1110" w:right="0" w:firstLine="0"/>
        <w:jc w:val="left"/>
        <w:rPr>
          <w:b/>
          <w:sz w:val="16"/>
        </w:rPr>
      </w:pPr>
      <w:r>
        <w:rPr>
          <w:b/>
          <w:sz w:val="16"/>
        </w:rPr>
        <w:t>Parent Entity (University) Only</w:t>
      </w:r>
    </w:p>
    <w:p>
      <w:pPr>
        <w:tabs>
          <w:tab w:pos="6476" w:val="left" w:leader="none"/>
          <w:tab w:pos="7632" w:val="right" w:leader="none"/>
        </w:tabs>
        <w:spacing w:before="29"/>
        <w:ind w:left="1111" w:right="0" w:firstLine="0"/>
        <w:jc w:val="left"/>
        <w:rPr>
          <w:sz w:val="16"/>
        </w:rPr>
      </w:pPr>
      <w:r>
        <w:rPr>
          <w:sz w:val="16"/>
        </w:rPr>
        <w:t>Cash received during the</w:t>
      </w:r>
      <w:r>
        <w:rPr>
          <w:spacing w:val="-9"/>
          <w:sz w:val="16"/>
        </w:rPr>
        <w:t> </w:t>
      </w:r>
      <w:r>
        <w:rPr>
          <w:sz w:val="16"/>
        </w:rPr>
        <w:t>reporting</w:t>
      </w:r>
      <w:r>
        <w:rPr>
          <w:spacing w:val="-3"/>
          <w:sz w:val="16"/>
        </w:rPr>
        <w:t> </w:t>
      </w:r>
      <w:r>
        <w:rPr>
          <w:sz w:val="16"/>
        </w:rPr>
        <w:t>period</w:t>
        <w:tab/>
        <w:t>531</w:t>
      </w:r>
      <w:r>
        <w:rPr>
          <w:rFonts w:ascii="Times New Roman"/>
          <w:sz w:val="16"/>
        </w:rPr>
        <w:tab/>
      </w:r>
      <w:r>
        <w:rPr>
          <w:sz w:val="16"/>
        </w:rPr>
        <w:t>454</w:t>
      </w:r>
    </w:p>
    <w:p>
      <w:pPr>
        <w:tabs>
          <w:tab w:pos="6423" w:val="left" w:leader="none"/>
          <w:tab w:pos="7313" w:val="left" w:leader="none"/>
        </w:tabs>
        <w:spacing w:before="57"/>
        <w:ind w:left="1111" w:right="0" w:firstLine="0"/>
        <w:jc w:val="left"/>
        <w:rPr>
          <w:sz w:val="16"/>
        </w:rPr>
      </w:pPr>
      <w:r>
        <w:rPr/>
        <w:pict>
          <v:group style="position:absolute;margin-left:310.260986pt;margin-top:13.366127pt;width:120.55pt;height:1pt;mso-position-horizontal-relative:page;mso-position-vertical-relative:paragraph;z-index:3784" coordorigin="6205,267" coordsize="2411,20">
            <v:line style="position:absolute" from="6206,268" to="6779,268" stroked="true" strokeweight=".06pt" strokecolor="#000000"/>
            <v:line style="position:absolute" from="6206,270" to="6779,270" stroked="true" strokeweight=".06pt" strokecolor="#000000"/>
            <v:line style="position:absolute" from="6206,271" to="6779,271" stroked="true" strokeweight=".06pt" strokecolor="#000000"/>
            <v:line style="position:absolute" from="6206,272" to="6779,272" stroked="true" strokeweight=".06pt" strokecolor="#000000"/>
            <v:line style="position:absolute" from="6206,273" to="6779,273" stroked="true" strokeweight=".06pt" strokecolor="#000000"/>
            <v:line style="position:absolute" from="6206,274" to="6779,274" stroked="true" strokeweight=".06pt" strokecolor="#000000"/>
            <v:line style="position:absolute" from="6206,276" to="6779,276" stroked="true" strokeweight=".06pt" strokecolor="#000000"/>
            <v:line style="position:absolute" from="6206,277" to="6779,277" stroked="true" strokeweight=".06pt" strokecolor="#000000"/>
            <v:line style="position:absolute" from="6206,278" to="6779,278" stroked="true" strokeweight=".06pt" strokecolor="#000000"/>
            <v:line style="position:absolute" from="6206,279" to="6779,279" stroked="true" strokeweight=".06pt" strokecolor="#000000"/>
            <v:line style="position:absolute" from="6206,280" to="6779,280" stroked="true" strokeweight=".06pt" strokecolor="#000000"/>
            <v:line style="position:absolute" from="6206,282" to="6779,282" stroked="true" strokeweight=".06pt" strokecolor="#000000"/>
            <v:line style="position:absolute" from="6206,283" to="6779,283" stroked="true" strokeweight=".06pt" strokecolor="#000000"/>
            <v:line style="position:absolute" from="6206,284" to="6779,284" stroked="true" strokeweight=".06pt" strokecolor="#000000"/>
            <v:line style="position:absolute" from="6206,285" to="6779,285" stroked="true" strokeweight=".06pt" strokecolor="#000000"/>
            <v:line style="position:absolute" from="6206,286" to="6779,286" stroked="true" strokeweight=".06pt" strokecolor="#000000"/>
            <v:line style="position:absolute" from="6779,268" to="7697,268" stroked="true" strokeweight=".06pt" strokecolor="#000000"/>
            <v:line style="position:absolute" from="6779,270" to="7697,270" stroked="true" strokeweight=".06pt" strokecolor="#000000"/>
            <v:line style="position:absolute" from="6779,271" to="7697,271" stroked="true" strokeweight=".06pt" strokecolor="#000000"/>
            <v:line style="position:absolute" from="6779,272" to="7697,272" stroked="true" strokeweight=".06pt" strokecolor="#000000"/>
            <v:line style="position:absolute" from="6779,273" to="7697,273" stroked="true" strokeweight=".06pt" strokecolor="#000000"/>
            <v:line style="position:absolute" from="6779,274" to="7697,274" stroked="true" strokeweight=".06pt" strokecolor="#000000"/>
            <v:line style="position:absolute" from="6779,276" to="7697,276" stroked="true" strokeweight=".06pt" strokecolor="#000000"/>
            <v:line style="position:absolute" from="6779,277" to="7697,277" stroked="true" strokeweight=".06pt" strokecolor="#000000"/>
            <v:line style="position:absolute" from="6779,278" to="7697,278" stroked="true" strokeweight=".06pt" strokecolor="#000000"/>
            <v:line style="position:absolute" from="6779,279" to="7697,279" stroked="true" strokeweight=".06pt" strokecolor="#000000"/>
            <v:line style="position:absolute" from="6779,280" to="7697,280" stroked="true" strokeweight=".06pt" strokecolor="#000000"/>
            <v:line style="position:absolute" from="6779,282" to="7697,282" stroked="true" strokeweight=".06pt" strokecolor="#000000"/>
            <v:line style="position:absolute" from="6779,283" to="7697,283" stroked="true" strokeweight=".06pt" strokecolor="#000000"/>
            <v:line style="position:absolute" from="6779,284" to="7697,284" stroked="true" strokeweight=".06pt" strokecolor="#000000"/>
            <v:line style="position:absolute" from="6779,285" to="7697,285" stroked="true" strokeweight=".06pt" strokecolor="#000000"/>
            <v:line style="position:absolute" from="6779,286" to="7697,286" stroked="true" strokeweight=".06pt" strokecolor="#000000"/>
            <v:line style="position:absolute" from="7697,268" to="8615,268" stroked="true" strokeweight=".06pt" strokecolor="#000000"/>
            <v:line style="position:absolute" from="7697,270" to="8615,270" stroked="true" strokeweight=".06pt" strokecolor="#000000"/>
            <v:line style="position:absolute" from="7697,271" to="8615,271" stroked="true" strokeweight=".06pt" strokecolor="#000000"/>
            <v:line style="position:absolute" from="7697,272" to="8615,272" stroked="true" strokeweight=".06pt" strokecolor="#000000"/>
            <v:line style="position:absolute" from="7697,273" to="8615,273" stroked="true" strokeweight=".06pt" strokecolor="#000000"/>
            <v:line style="position:absolute" from="7697,274" to="8615,274" stroked="true" strokeweight=".06pt" strokecolor="#000000"/>
            <v:line style="position:absolute" from="7697,276" to="8615,276" stroked="true" strokeweight=".06pt" strokecolor="#000000"/>
            <v:line style="position:absolute" from="7697,277" to="8615,277" stroked="true" strokeweight=".06pt" strokecolor="#000000"/>
            <v:line style="position:absolute" from="7697,278" to="8615,278" stroked="true" strokeweight=".06pt" strokecolor="#000000"/>
            <v:line style="position:absolute" from="7697,279" to="8615,279" stroked="true" strokeweight=".06pt" strokecolor="#000000"/>
            <v:line style="position:absolute" from="7697,280" to="8615,280" stroked="true" strokeweight=".06pt" strokecolor="#000000"/>
            <v:line style="position:absolute" from="7697,282" to="8615,282" stroked="true" strokeweight=".06pt" strokecolor="#000000"/>
            <v:line style="position:absolute" from="7697,283" to="8615,283" stroked="true" strokeweight=".06pt" strokecolor="#000000"/>
            <v:line style="position:absolute" from="7697,284" to="8615,284" stroked="true" strokeweight=".06pt" strokecolor="#000000"/>
            <v:line style="position:absolute" from="7697,285" to="8615,285" stroked="true" strokeweight=".06pt" strokecolor="#000000"/>
            <v:line style="position:absolute" from="7697,286" to="8615,286" stroked="true" strokeweight=".06pt" strokecolor="#000000"/>
            <v:line style="position:absolute" from="6206,268" to="6779,268" stroked="true" strokeweight=".06pt" strokecolor="#000000"/>
            <v:line style="position:absolute" from="6206,270" to="6779,270" stroked="true" strokeweight=".06pt" strokecolor="#000000"/>
            <v:line style="position:absolute" from="6206,271" to="6779,271" stroked="true" strokeweight=".06pt" strokecolor="#000000"/>
            <v:line style="position:absolute" from="6206,272" to="6779,272" stroked="true" strokeweight=".06pt" strokecolor="#000000"/>
            <v:line style="position:absolute" from="6206,273" to="6779,273" stroked="true" strokeweight=".06pt" strokecolor="#000000"/>
            <v:line style="position:absolute" from="6206,274" to="6779,274" stroked="true" strokeweight=".06pt" strokecolor="#000000"/>
            <v:line style="position:absolute" from="6206,276" to="6779,276" stroked="true" strokeweight=".06pt" strokecolor="#000000"/>
            <v:line style="position:absolute" from="6206,277" to="6779,277" stroked="true" strokeweight=".06pt" strokecolor="#000000"/>
            <v:line style="position:absolute" from="6206,278" to="6779,278" stroked="true" strokeweight=".06pt" strokecolor="#000000"/>
            <v:line style="position:absolute" from="6206,279" to="6779,279" stroked="true" strokeweight=".06pt" strokecolor="#000000"/>
            <v:line style="position:absolute" from="6206,280" to="6779,280" stroked="true" strokeweight=".06pt" strokecolor="#000000"/>
            <v:line style="position:absolute" from="6206,282" to="6779,282" stroked="true" strokeweight=".06pt" strokecolor="#000000"/>
            <v:line style="position:absolute" from="6206,283" to="6779,283" stroked="true" strokeweight=".06pt" strokecolor="#000000"/>
            <v:line style="position:absolute" from="6206,284" to="6779,284" stroked="true" strokeweight=".06pt" strokecolor="#000000"/>
            <v:line style="position:absolute" from="6206,285" to="6779,285" stroked="true" strokeweight=".06pt" strokecolor="#000000"/>
            <v:line style="position:absolute" from="6206,286" to="6779,286" stroked="true" strokeweight=".06pt" strokecolor="#000000"/>
            <v:line style="position:absolute" from="6779,268" to="7697,268" stroked="true" strokeweight=".06pt" strokecolor="#000000"/>
            <v:line style="position:absolute" from="6779,270" to="7697,270" stroked="true" strokeweight=".06pt" strokecolor="#000000"/>
            <v:line style="position:absolute" from="6779,271" to="7697,271" stroked="true" strokeweight=".06pt" strokecolor="#000000"/>
            <v:line style="position:absolute" from="6779,272" to="7697,272" stroked="true" strokeweight=".06pt" strokecolor="#000000"/>
            <v:line style="position:absolute" from="6779,273" to="7697,273" stroked="true" strokeweight=".06pt" strokecolor="#000000"/>
            <v:line style="position:absolute" from="6779,274" to="7697,274" stroked="true" strokeweight=".06pt" strokecolor="#000000"/>
            <v:line style="position:absolute" from="6779,276" to="7697,276" stroked="true" strokeweight=".06pt" strokecolor="#000000"/>
            <v:line style="position:absolute" from="6779,277" to="7697,277" stroked="true" strokeweight=".06pt" strokecolor="#000000"/>
            <v:line style="position:absolute" from="6779,278" to="7697,278" stroked="true" strokeweight=".06pt" strokecolor="#000000"/>
            <v:line style="position:absolute" from="6779,279" to="7697,279" stroked="true" strokeweight=".06pt" strokecolor="#000000"/>
            <v:line style="position:absolute" from="6779,280" to="7697,280" stroked="true" strokeweight=".06pt" strokecolor="#000000"/>
            <v:line style="position:absolute" from="6779,282" to="7697,282" stroked="true" strokeweight=".06pt" strokecolor="#000000"/>
            <v:line style="position:absolute" from="6779,283" to="7697,283" stroked="true" strokeweight=".06pt" strokecolor="#000000"/>
            <v:line style="position:absolute" from="6779,284" to="7697,284" stroked="true" strokeweight=".06pt" strokecolor="#000000"/>
            <v:line style="position:absolute" from="6779,285" to="7697,285" stroked="true" strokeweight=".06pt" strokecolor="#000000"/>
            <v:line style="position:absolute" from="6779,286" to="7697,286" stroked="true" strokeweight=".06pt" strokecolor="#000000"/>
            <v:line style="position:absolute" from="7697,268" to="8615,268" stroked="true" strokeweight=".06pt" strokecolor="#000000"/>
            <v:line style="position:absolute" from="7697,270" to="8615,270" stroked="true" strokeweight=".06pt" strokecolor="#000000"/>
            <v:line style="position:absolute" from="7697,271" to="8615,271" stroked="true" strokeweight=".06pt" strokecolor="#000000"/>
            <v:line style="position:absolute" from="7697,272" to="8615,272" stroked="true" strokeweight=".06pt" strokecolor="#000000"/>
            <v:line style="position:absolute" from="7697,273" to="8615,273" stroked="true" strokeweight=".06pt" strokecolor="#000000"/>
            <v:line style="position:absolute" from="7697,274" to="8615,274" stroked="true" strokeweight=".06pt" strokecolor="#000000"/>
            <v:line style="position:absolute" from="7697,276" to="8615,276" stroked="true" strokeweight=".06pt" strokecolor="#000000"/>
            <v:line style="position:absolute" from="7697,277" to="8615,277" stroked="true" strokeweight=".06pt" strokecolor="#000000"/>
            <v:line style="position:absolute" from="7697,278" to="8615,278" stroked="true" strokeweight=".06pt" strokecolor="#000000"/>
            <v:line style="position:absolute" from="7697,279" to="8615,279" stroked="true" strokeweight=".06pt" strokecolor="#000000"/>
            <v:line style="position:absolute" from="7697,280" to="8615,280" stroked="true" strokeweight=".06pt" strokecolor="#000000"/>
            <v:line style="position:absolute" from="7697,282" to="8615,282" stroked="true" strokeweight=".06pt" strokecolor="#000000"/>
            <v:line style="position:absolute" from="7697,283" to="8615,283" stroked="true" strokeweight=".06pt" strokecolor="#000000"/>
            <v:line style="position:absolute" from="7697,284" to="8615,284" stroked="true" strokeweight=".06pt" strokecolor="#000000"/>
            <v:line style="position:absolute" from="7697,285" to="8615,285" stroked="true" strokeweight=".06pt" strokecolor="#000000"/>
            <v:line style="position:absolute" from="7697,286" to="8615,286" stroked="true" strokeweight=".06pt" strokecolor="#000000"/>
            <w10:wrap type="none"/>
          </v:group>
        </w:pict>
      </w:r>
      <w:r>
        <w:rPr>
          <w:sz w:val="16"/>
        </w:rPr>
        <w:t>Cash spent during the</w:t>
      </w:r>
      <w:r>
        <w:rPr>
          <w:spacing w:val="-8"/>
          <w:sz w:val="16"/>
        </w:rPr>
        <w:t> </w:t>
      </w:r>
      <w:r>
        <w:rPr>
          <w:sz w:val="16"/>
        </w:rPr>
        <w:t>reporting</w:t>
      </w:r>
      <w:r>
        <w:rPr>
          <w:spacing w:val="-2"/>
          <w:sz w:val="16"/>
        </w:rPr>
        <w:t> </w:t>
      </w:r>
      <w:r>
        <w:rPr>
          <w:sz w:val="16"/>
        </w:rPr>
        <w:t>period</w:t>
        <w:tab/>
        <w:t>(535)</w:t>
        <w:tab/>
        <w:t>(290)</w:t>
      </w:r>
    </w:p>
    <w:p>
      <w:pPr>
        <w:tabs>
          <w:tab w:pos="6600" w:val="left" w:leader="none"/>
          <w:tab w:pos="7632" w:val="right" w:leader="none"/>
        </w:tabs>
        <w:spacing w:before="76"/>
        <w:ind w:left="1111" w:right="0" w:firstLine="0"/>
        <w:jc w:val="left"/>
        <w:rPr>
          <w:sz w:val="16"/>
        </w:rPr>
      </w:pPr>
      <w:r>
        <w:rPr>
          <w:sz w:val="16"/>
        </w:rPr>
        <w:t>Net</w:t>
      </w:r>
      <w:r>
        <w:rPr>
          <w:spacing w:val="-2"/>
          <w:sz w:val="16"/>
        </w:rPr>
        <w:t> </w:t>
      </w:r>
      <w:r>
        <w:rPr>
          <w:sz w:val="16"/>
        </w:rPr>
        <w:t>cash</w:t>
      </w:r>
      <w:r>
        <w:rPr>
          <w:spacing w:val="-2"/>
          <w:sz w:val="16"/>
        </w:rPr>
        <w:t> </w:t>
      </w:r>
      <w:r>
        <w:rPr>
          <w:sz w:val="16"/>
        </w:rPr>
        <w:t>received</w:t>
        <w:tab/>
        <w:t>(4)</w:t>
      </w:r>
      <w:r>
        <w:rPr>
          <w:rFonts w:ascii="Times New Roman"/>
          <w:sz w:val="16"/>
        </w:rPr>
        <w:tab/>
      </w:r>
      <w:r>
        <w:rPr>
          <w:sz w:val="16"/>
        </w:rPr>
        <w:t>164</w:t>
      </w:r>
    </w:p>
    <w:p>
      <w:pPr>
        <w:tabs>
          <w:tab w:pos="6476" w:val="left" w:leader="none"/>
          <w:tab w:pos="7632" w:val="right" w:leader="none"/>
        </w:tabs>
        <w:spacing w:before="57"/>
        <w:ind w:left="1110" w:right="0" w:firstLine="0"/>
        <w:jc w:val="left"/>
        <w:rPr>
          <w:sz w:val="16"/>
        </w:rPr>
      </w:pPr>
      <w:r>
        <w:rPr/>
        <w:pict>
          <v:group style="position:absolute;margin-left:310.260986pt;margin-top:13.362295pt;width:120.55pt;height:1pt;mso-position-horizontal-relative:page;mso-position-vertical-relative:paragraph;z-index:3808" coordorigin="6205,267" coordsize="2411,20">
            <v:line style="position:absolute" from="6206,268" to="6779,268" stroked="true" strokeweight=".06pt" strokecolor="#000000"/>
            <v:line style="position:absolute" from="6206,269" to="6779,269" stroked="true" strokeweight=".06pt" strokecolor="#000000"/>
            <v:line style="position:absolute" from="6206,271" to="6779,271" stroked="true" strokeweight=".06pt" strokecolor="#000000"/>
            <v:line style="position:absolute" from="6206,272" to="6779,272" stroked="true" strokeweight=".06pt" strokecolor="#000000"/>
            <v:line style="position:absolute" from="6206,273" to="6779,273" stroked="true" strokeweight=".06pt" strokecolor="#000000"/>
            <v:line style="position:absolute" from="6206,274" to="6779,274" stroked="true" strokeweight=".06pt" strokecolor="#000000"/>
            <v:line style="position:absolute" from="6206,275" to="6779,275" stroked="true" strokeweight=".06pt" strokecolor="#000000"/>
            <v:line style="position:absolute" from="6206,277" to="6779,277" stroked="true" strokeweight=".06pt" strokecolor="#000000"/>
            <v:line style="position:absolute" from="6206,278" to="6779,278" stroked="true" strokeweight=".06pt" strokecolor="#000000"/>
            <v:line style="position:absolute" from="6206,279" to="6779,279" stroked="true" strokeweight=".06pt" strokecolor="#000000"/>
            <v:line style="position:absolute" from="6206,280" to="6779,280" stroked="true" strokeweight=".06pt" strokecolor="#000000"/>
            <v:line style="position:absolute" from="6206,281" to="6779,281" stroked="true" strokeweight=".06pt" strokecolor="#000000"/>
            <v:line style="position:absolute" from="6206,283" to="6779,283" stroked="true" strokeweight=".06pt" strokecolor="#000000"/>
            <v:line style="position:absolute" from="6206,284" to="6779,284" stroked="true" strokeweight=".06pt" strokecolor="#000000"/>
            <v:line style="position:absolute" from="6206,285" to="6779,285" stroked="true" strokeweight=".06pt" strokecolor="#000000"/>
            <v:line style="position:absolute" from="6206,286" to="6779,286" stroked="true" strokeweight=".06pt" strokecolor="#000000"/>
            <v:line style="position:absolute" from="6779,268" to="7697,268" stroked="true" strokeweight=".06pt" strokecolor="#000000"/>
            <v:line style="position:absolute" from="6779,269" to="7697,269" stroked="true" strokeweight=".06pt" strokecolor="#000000"/>
            <v:line style="position:absolute" from="6779,271" to="7697,271" stroked="true" strokeweight=".06pt" strokecolor="#000000"/>
            <v:line style="position:absolute" from="6779,272" to="7697,272" stroked="true" strokeweight=".06pt" strokecolor="#000000"/>
            <v:line style="position:absolute" from="6779,273" to="7697,273" stroked="true" strokeweight=".06pt" strokecolor="#000000"/>
            <v:line style="position:absolute" from="6779,274" to="7697,274" stroked="true" strokeweight=".06pt" strokecolor="#000000"/>
            <v:line style="position:absolute" from="6779,275" to="7697,275" stroked="true" strokeweight=".06pt" strokecolor="#000000"/>
            <v:line style="position:absolute" from="6779,277" to="7697,277" stroked="true" strokeweight=".06pt" strokecolor="#000000"/>
            <v:line style="position:absolute" from="6779,278" to="7697,278" stroked="true" strokeweight=".06pt" strokecolor="#000000"/>
            <v:line style="position:absolute" from="6779,279" to="7697,279" stroked="true" strokeweight=".06pt" strokecolor="#000000"/>
            <v:line style="position:absolute" from="6779,280" to="7697,280" stroked="true" strokeweight=".06pt" strokecolor="#000000"/>
            <v:line style="position:absolute" from="6779,281" to="7697,281" stroked="true" strokeweight=".06pt" strokecolor="#000000"/>
            <v:line style="position:absolute" from="6779,283" to="7697,283" stroked="true" strokeweight=".06pt" strokecolor="#000000"/>
            <v:line style="position:absolute" from="6779,284" to="7697,284" stroked="true" strokeweight=".06pt" strokecolor="#000000"/>
            <v:line style="position:absolute" from="6779,285" to="7697,285" stroked="true" strokeweight=".06pt" strokecolor="#000000"/>
            <v:line style="position:absolute" from="6779,286" to="7697,286" stroked="true" strokeweight=".06pt" strokecolor="#000000"/>
            <v:line style="position:absolute" from="7697,268" to="8615,268" stroked="true" strokeweight=".06pt" strokecolor="#000000"/>
            <v:line style="position:absolute" from="7697,269" to="8615,269" stroked="true" strokeweight=".06pt" strokecolor="#000000"/>
            <v:line style="position:absolute" from="7697,271" to="8615,271" stroked="true" strokeweight=".06pt" strokecolor="#000000"/>
            <v:line style="position:absolute" from="7697,272" to="8615,272" stroked="true" strokeweight=".06pt" strokecolor="#000000"/>
            <v:line style="position:absolute" from="7697,273" to="8615,273" stroked="true" strokeweight=".06pt" strokecolor="#000000"/>
            <v:line style="position:absolute" from="7697,274" to="8615,274" stroked="true" strokeweight=".06pt" strokecolor="#000000"/>
            <v:line style="position:absolute" from="7697,275" to="8615,275" stroked="true" strokeweight=".06pt" strokecolor="#000000"/>
            <v:line style="position:absolute" from="7697,277" to="8615,277" stroked="true" strokeweight=".06pt" strokecolor="#000000"/>
            <v:line style="position:absolute" from="7697,278" to="8615,278" stroked="true" strokeweight=".06pt" strokecolor="#000000"/>
            <v:line style="position:absolute" from="7697,279" to="8615,279" stroked="true" strokeweight=".06pt" strokecolor="#000000"/>
            <v:line style="position:absolute" from="7697,280" to="8615,280" stroked="true" strokeweight=".06pt" strokecolor="#000000"/>
            <v:line style="position:absolute" from="7697,281" to="8615,281" stroked="true" strokeweight=".06pt" strokecolor="#000000"/>
            <v:line style="position:absolute" from="7697,283" to="8615,283" stroked="true" strokeweight=".06pt" strokecolor="#000000"/>
            <v:line style="position:absolute" from="7697,284" to="8615,284" stroked="true" strokeweight=".06pt" strokecolor="#000000"/>
            <v:line style="position:absolute" from="7697,285" to="8615,285" stroked="true" strokeweight=".06pt" strokecolor="#000000"/>
            <v:line style="position:absolute" from="7697,286" to="8615,286" stroked="true" strokeweight=".06pt" strokecolor="#000000"/>
            <v:line style="position:absolute" from="6206,268" to="6779,268" stroked="true" strokeweight=".06pt" strokecolor="#000000"/>
            <v:line style="position:absolute" from="6206,269" to="6779,269" stroked="true" strokeweight=".06pt" strokecolor="#000000"/>
            <v:line style="position:absolute" from="6206,271" to="6779,271" stroked="true" strokeweight=".06pt" strokecolor="#000000"/>
            <v:line style="position:absolute" from="6206,272" to="6779,272" stroked="true" strokeweight=".06pt" strokecolor="#000000"/>
            <v:line style="position:absolute" from="6206,273" to="6779,273" stroked="true" strokeweight=".06pt" strokecolor="#000000"/>
            <v:line style="position:absolute" from="6206,274" to="6779,274" stroked="true" strokeweight=".06pt" strokecolor="#000000"/>
            <v:line style="position:absolute" from="6206,275" to="6779,275" stroked="true" strokeweight=".06pt" strokecolor="#000000"/>
            <v:line style="position:absolute" from="6206,277" to="6779,277" stroked="true" strokeweight=".06pt" strokecolor="#000000"/>
            <v:line style="position:absolute" from="6206,278" to="6779,278" stroked="true" strokeweight=".06pt" strokecolor="#000000"/>
            <v:line style="position:absolute" from="6206,279" to="6779,279" stroked="true" strokeweight=".06pt" strokecolor="#000000"/>
            <v:line style="position:absolute" from="6206,280" to="6779,280" stroked="true" strokeweight=".06pt" strokecolor="#000000"/>
            <v:line style="position:absolute" from="6206,281" to="6779,281" stroked="true" strokeweight=".06pt" strokecolor="#000000"/>
            <v:line style="position:absolute" from="6206,283" to="6779,283" stroked="true" strokeweight=".06pt" strokecolor="#000000"/>
            <v:line style="position:absolute" from="6206,284" to="6779,284" stroked="true" strokeweight=".06pt" strokecolor="#000000"/>
            <v:line style="position:absolute" from="6206,285" to="6779,285" stroked="true" strokeweight=".06pt" strokecolor="#000000"/>
            <v:line style="position:absolute" from="6206,286" to="6779,286" stroked="true" strokeweight=".06pt" strokecolor="#000000"/>
            <v:line style="position:absolute" from="6779,268" to="7697,268" stroked="true" strokeweight=".06pt" strokecolor="#000000"/>
            <v:line style="position:absolute" from="6779,269" to="7697,269" stroked="true" strokeweight=".06pt" strokecolor="#000000"/>
            <v:line style="position:absolute" from="6779,271" to="7697,271" stroked="true" strokeweight=".06pt" strokecolor="#000000"/>
            <v:line style="position:absolute" from="6779,272" to="7697,272" stroked="true" strokeweight=".06pt" strokecolor="#000000"/>
            <v:line style="position:absolute" from="6779,273" to="7697,273" stroked="true" strokeweight=".06pt" strokecolor="#000000"/>
            <v:line style="position:absolute" from="6779,274" to="7697,274" stroked="true" strokeweight=".06pt" strokecolor="#000000"/>
            <v:line style="position:absolute" from="6779,275" to="7697,275" stroked="true" strokeweight=".06pt" strokecolor="#000000"/>
            <v:line style="position:absolute" from="6779,277" to="7697,277" stroked="true" strokeweight=".06pt" strokecolor="#000000"/>
            <v:line style="position:absolute" from="6779,278" to="7697,278" stroked="true" strokeweight=".06pt" strokecolor="#000000"/>
            <v:line style="position:absolute" from="6779,279" to="7697,279" stroked="true" strokeweight=".06pt" strokecolor="#000000"/>
            <v:line style="position:absolute" from="6779,280" to="7697,280" stroked="true" strokeweight=".06pt" strokecolor="#000000"/>
            <v:line style="position:absolute" from="6779,281" to="7697,281" stroked="true" strokeweight=".06pt" strokecolor="#000000"/>
            <v:line style="position:absolute" from="6779,283" to="7697,283" stroked="true" strokeweight=".06pt" strokecolor="#000000"/>
            <v:line style="position:absolute" from="6779,284" to="7697,284" stroked="true" strokeweight=".06pt" strokecolor="#000000"/>
            <v:line style="position:absolute" from="6779,285" to="7697,285" stroked="true" strokeweight=".06pt" strokecolor="#000000"/>
            <v:line style="position:absolute" from="6779,286" to="7697,286" stroked="true" strokeweight=".06pt" strokecolor="#000000"/>
            <v:line style="position:absolute" from="7697,268" to="8615,268" stroked="true" strokeweight=".06pt" strokecolor="#000000"/>
            <v:line style="position:absolute" from="7697,269" to="8615,269" stroked="true" strokeweight=".06pt" strokecolor="#000000"/>
            <v:line style="position:absolute" from="7697,271" to="8615,271" stroked="true" strokeweight=".06pt" strokecolor="#000000"/>
            <v:line style="position:absolute" from="7697,272" to="8615,272" stroked="true" strokeweight=".06pt" strokecolor="#000000"/>
            <v:line style="position:absolute" from="7697,273" to="8615,273" stroked="true" strokeweight=".06pt" strokecolor="#000000"/>
            <v:line style="position:absolute" from="7697,274" to="8615,274" stroked="true" strokeweight=".06pt" strokecolor="#000000"/>
            <v:line style="position:absolute" from="7697,275" to="8615,275" stroked="true" strokeweight=".06pt" strokecolor="#000000"/>
            <v:line style="position:absolute" from="7697,277" to="8615,277" stroked="true" strokeweight=".06pt" strokecolor="#000000"/>
            <v:line style="position:absolute" from="7697,278" to="8615,278" stroked="true" strokeweight=".06pt" strokecolor="#000000"/>
            <v:line style="position:absolute" from="7697,279" to="8615,279" stroked="true" strokeweight=".06pt" strokecolor="#000000"/>
            <v:line style="position:absolute" from="7697,280" to="8615,280" stroked="true" strokeweight=".06pt" strokecolor="#000000"/>
            <v:line style="position:absolute" from="7697,281" to="8615,281" stroked="true" strokeweight=".06pt" strokecolor="#000000"/>
            <v:line style="position:absolute" from="7697,283" to="8615,283" stroked="true" strokeweight=".06pt" strokecolor="#000000"/>
            <v:line style="position:absolute" from="7697,284" to="8615,284" stroked="true" strokeweight=".06pt" strokecolor="#000000"/>
            <v:line style="position:absolute" from="7697,285" to="8615,285" stroked="true" strokeweight=".06pt" strokecolor="#000000"/>
            <v:line style="position:absolute" from="7697,286" to="8615,286" stroked="true" strokeweight=".06pt" strokecolor="#000000"/>
            <w10:wrap type="none"/>
          </v:group>
        </w:pict>
      </w:r>
      <w:r>
        <w:rPr>
          <w:sz w:val="16"/>
        </w:rPr>
        <w:t>Cash surplus/(Deficit) from the</w:t>
      </w:r>
      <w:r>
        <w:rPr>
          <w:spacing w:val="-9"/>
          <w:sz w:val="16"/>
        </w:rPr>
        <w:t> </w:t>
      </w:r>
      <w:r>
        <w:rPr>
          <w:sz w:val="16"/>
        </w:rPr>
        <w:t>previous</w:t>
      </w:r>
      <w:r>
        <w:rPr>
          <w:spacing w:val="-3"/>
          <w:sz w:val="16"/>
        </w:rPr>
        <w:t> </w:t>
      </w:r>
      <w:r>
        <w:rPr>
          <w:sz w:val="16"/>
        </w:rPr>
        <w:t>period</w:t>
        <w:tab/>
        <w:t>216</w:t>
      </w:r>
      <w:r>
        <w:rPr>
          <w:rFonts w:ascii="Times New Roman"/>
          <w:sz w:val="16"/>
        </w:rPr>
        <w:tab/>
      </w:r>
      <w:r>
        <w:rPr>
          <w:sz w:val="16"/>
        </w:rPr>
        <w:t>52</w:t>
      </w:r>
    </w:p>
    <w:p>
      <w:pPr>
        <w:tabs>
          <w:tab w:pos="5345" w:val="left" w:leader="none"/>
          <w:tab w:pos="6476" w:val="left" w:leader="none"/>
          <w:tab w:pos="7632" w:val="right" w:leader="none"/>
        </w:tabs>
        <w:spacing w:before="69"/>
        <w:ind w:left="1111" w:right="0" w:firstLine="0"/>
        <w:jc w:val="left"/>
        <w:rPr>
          <w:sz w:val="16"/>
        </w:rPr>
      </w:pPr>
      <w:r>
        <w:rPr>
          <w:b/>
          <w:sz w:val="16"/>
        </w:rPr>
        <w:t>Surplus/(Deficit) for the</w:t>
      </w:r>
      <w:r>
        <w:rPr>
          <w:b/>
          <w:spacing w:val="-6"/>
          <w:sz w:val="16"/>
        </w:rPr>
        <w:t> </w:t>
      </w:r>
      <w:r>
        <w:rPr>
          <w:b/>
          <w:sz w:val="16"/>
        </w:rPr>
        <w:t>reporting</w:t>
      </w:r>
      <w:r>
        <w:rPr>
          <w:b/>
          <w:spacing w:val="-2"/>
          <w:sz w:val="16"/>
        </w:rPr>
        <w:t> </w:t>
      </w:r>
      <w:r>
        <w:rPr>
          <w:b/>
          <w:sz w:val="16"/>
        </w:rPr>
        <w:t>period</w:t>
        <w:tab/>
      </w:r>
      <w:r>
        <w:rPr>
          <w:position w:val="9"/>
          <w:sz w:val="16"/>
        </w:rPr>
        <w:t>22</w:t>
        <w:tab/>
      </w:r>
      <w:r>
        <w:rPr>
          <w:position w:val="3"/>
          <w:sz w:val="16"/>
        </w:rPr>
        <w:t>212</w:t>
      </w:r>
      <w:r>
        <w:rPr>
          <w:rFonts w:ascii="Times New Roman"/>
          <w:position w:val="3"/>
          <w:sz w:val="16"/>
        </w:rPr>
        <w:tab/>
      </w:r>
      <w:r>
        <w:rPr>
          <w:position w:val="3"/>
          <w:sz w:val="16"/>
        </w:rPr>
        <w:t>216</w:t>
      </w:r>
    </w:p>
    <w:p>
      <w:pPr>
        <w:pStyle w:val="BodyText"/>
        <w:spacing w:line="50" w:lineRule="exact"/>
        <w:ind w:left="5305"/>
        <w:rPr>
          <w:sz w:val="5"/>
        </w:rPr>
      </w:pPr>
      <w:r>
        <w:rPr>
          <w:position w:val="0"/>
          <w:sz w:val="5"/>
        </w:rPr>
        <w:pict>
          <v:group style="width:120.55pt;height:2.5pt;mso-position-horizontal-relative:char;mso-position-vertical-relative:line" coordorigin="0,0" coordsize="2411,50">
            <v:line style="position:absolute" from="1,1" to="573,1" stroked="true" strokeweight=".06pt" strokecolor="#000000"/>
            <v:line style="position:absolute" from="1,2" to="573,2" stroked="true" strokeweight=".06pt" strokecolor="#000000"/>
            <v:line style="position:absolute" from="1,3" to="573,3" stroked="true" strokeweight=".06pt" strokecolor="#000000"/>
            <v:line style="position:absolute" from="1,5" to="573,5" stroked="true" strokeweight=".06pt" strokecolor="#000000"/>
            <v:line style="position:absolute" from="1,6" to="573,6" stroked="true" strokeweight=".06pt" strokecolor="#000000"/>
            <v:line style="position:absolute" from="1,7" to="573,7" stroked="true" strokeweight=".06pt" strokecolor="#000000"/>
            <v:line style="position:absolute" from="1,8" to="573,8" stroked="true" strokeweight=".06pt" strokecolor="#000000"/>
            <v:line style="position:absolute" from="1,9" to="573,9" stroked="true" strokeweight=".06pt" strokecolor="#000000"/>
            <v:line style="position:absolute" from="1,11" to="573,11" stroked="true" strokeweight=".06pt" strokecolor="#000000"/>
            <v:line style="position:absolute" from="1,12" to="573,12" stroked="true" strokeweight=".06pt" strokecolor="#000000"/>
            <v:line style="position:absolute" from="1,13" to="573,13" stroked="true" strokeweight=".06pt" strokecolor="#000000"/>
            <v:line style="position:absolute" from="1,14" to="573,14" stroked="true" strokeweight=".06pt" strokecolor="#000000"/>
            <v:line style="position:absolute" from="1,15" to="573,15" stroked="true" strokeweight=".06pt" strokecolor="#000000"/>
            <v:line style="position:absolute" from="1,35" to="573,35" stroked="true" strokeweight=".06pt" strokecolor="#000000"/>
            <v:line style="position:absolute" from="1,36" to="573,36" stroked="true" strokeweight=".06pt" strokecolor="#000000"/>
            <v:line style="position:absolute" from="1,37" to="573,37" stroked="true" strokeweight=".06pt" strokecolor="#000000"/>
            <v:line style="position:absolute" from="1,38" to="573,38" stroked="true" strokeweight=".06pt" strokecolor="#000000"/>
            <v:line style="position:absolute" from="1,39" to="573,39" stroked="true" strokeweight=".06pt" strokecolor="#000000"/>
            <v:line style="position:absolute" from="1,41" to="573,41" stroked="true" strokeweight=".06pt" strokecolor="#000000"/>
            <v:line style="position:absolute" from="1,42" to="573,42" stroked="true" strokeweight=".06pt" strokecolor="#000000"/>
            <v:line style="position:absolute" from="1,43" to="573,43" stroked="true" strokeweight=".06pt" strokecolor="#000000"/>
            <v:line style="position:absolute" from="1,44" to="573,44" stroked="true" strokeweight=".06pt" strokecolor="#000000"/>
            <v:line style="position:absolute" from="1,45" to="573,45" stroked="true" strokeweight=".06pt" strokecolor="#000000"/>
            <v:line style="position:absolute" from="1,47" to="573,47" stroked="true" strokeweight=".06pt" strokecolor="#000000"/>
            <v:line style="position:absolute" from="1,48" to="573,48" stroked="true" strokeweight=".06pt" strokecolor="#000000"/>
            <v:line style="position:absolute" from="1,49" to="573,49" stroked="true" strokeweight=".06pt" strokecolor="#000000"/>
            <v:line style="position:absolute" from="573,1" to="1491,1" stroked="true" strokeweight=".06pt" strokecolor="#000000"/>
            <v:line style="position:absolute" from="573,2" to="1491,2" stroked="true" strokeweight=".06pt" strokecolor="#000000"/>
            <v:line style="position:absolute" from="573,3" to="1491,3" stroked="true" strokeweight=".06pt" strokecolor="#000000"/>
            <v:line style="position:absolute" from="573,5" to="1491,5" stroked="true" strokeweight=".06pt" strokecolor="#000000"/>
            <v:line style="position:absolute" from="573,6" to="1491,6" stroked="true" strokeweight=".06pt" strokecolor="#000000"/>
            <v:line style="position:absolute" from="573,7" to="1491,7" stroked="true" strokeweight=".06pt" strokecolor="#000000"/>
            <v:line style="position:absolute" from="573,8" to="1491,8" stroked="true" strokeweight=".06pt" strokecolor="#000000"/>
            <v:line style="position:absolute" from="573,9" to="1491,9" stroked="true" strokeweight=".06pt" strokecolor="#000000"/>
            <v:line style="position:absolute" from="573,11" to="1491,11" stroked="true" strokeweight=".06pt" strokecolor="#000000"/>
            <v:line style="position:absolute" from="573,12" to="1491,12" stroked="true" strokeweight=".06pt" strokecolor="#000000"/>
            <v:line style="position:absolute" from="573,13" to="1491,13" stroked="true" strokeweight=".06pt" strokecolor="#000000"/>
            <v:line style="position:absolute" from="573,14" to="1491,14" stroked="true" strokeweight=".06pt" strokecolor="#000000"/>
            <v:line style="position:absolute" from="573,15" to="1491,15" stroked="true" strokeweight=".06pt" strokecolor="#000000"/>
            <v:line style="position:absolute" from="573,35" to="1491,35" stroked="true" strokeweight=".06pt" strokecolor="#000000"/>
            <v:line style="position:absolute" from="573,36" to="1491,36" stroked="true" strokeweight=".06pt" strokecolor="#000000"/>
            <v:line style="position:absolute" from="573,37" to="1491,37" stroked="true" strokeweight=".06pt" strokecolor="#000000"/>
            <v:line style="position:absolute" from="573,38" to="1491,38" stroked="true" strokeweight=".06pt" strokecolor="#000000"/>
            <v:line style="position:absolute" from="573,39" to="1491,39" stroked="true" strokeweight=".06pt" strokecolor="#000000"/>
            <v:line style="position:absolute" from="573,41" to="1491,41" stroked="true" strokeweight=".06pt" strokecolor="#000000"/>
            <v:line style="position:absolute" from="573,42" to="1491,42" stroked="true" strokeweight=".06pt" strokecolor="#000000"/>
            <v:line style="position:absolute" from="573,43" to="1491,43" stroked="true" strokeweight=".06pt" strokecolor="#000000"/>
            <v:line style="position:absolute" from="573,44" to="1491,44" stroked="true" strokeweight=".06pt" strokecolor="#000000"/>
            <v:line style="position:absolute" from="573,45" to="1491,45" stroked="true" strokeweight=".06pt" strokecolor="#000000"/>
            <v:line style="position:absolute" from="573,47" to="1491,47" stroked="true" strokeweight=".06pt" strokecolor="#000000"/>
            <v:line style="position:absolute" from="573,48" to="1491,48" stroked="true" strokeweight=".06pt" strokecolor="#000000"/>
            <v:line style="position:absolute" from="573,49" to="1491,49" stroked="true" strokeweight=".06pt" strokecolor="#000000"/>
            <v:line style="position:absolute" from="1491,1" to="2409,1" stroked="true" strokeweight=".06pt" strokecolor="#000000"/>
            <v:line style="position:absolute" from="1491,2" to="2409,2" stroked="true" strokeweight=".06pt" strokecolor="#000000"/>
            <v:line style="position:absolute" from="1491,3" to="2409,3" stroked="true" strokeweight=".06pt" strokecolor="#000000"/>
            <v:line style="position:absolute" from="1491,5" to="2409,5" stroked="true" strokeweight=".06pt" strokecolor="#000000"/>
            <v:line style="position:absolute" from="1491,6" to="2409,6" stroked="true" strokeweight=".06pt" strokecolor="#000000"/>
            <v:line style="position:absolute" from="1491,7" to="2409,7" stroked="true" strokeweight=".06pt" strokecolor="#000000"/>
            <v:line style="position:absolute" from="1491,8" to="2409,8" stroked="true" strokeweight=".06pt" strokecolor="#000000"/>
            <v:line style="position:absolute" from="1491,9" to="2409,9" stroked="true" strokeweight=".06pt" strokecolor="#000000"/>
            <v:line style="position:absolute" from="1491,11" to="2409,11" stroked="true" strokeweight=".06pt" strokecolor="#000000"/>
            <v:line style="position:absolute" from="1491,12" to="2409,12" stroked="true" strokeweight=".06pt" strokecolor="#000000"/>
            <v:line style="position:absolute" from="1491,13" to="2409,13" stroked="true" strokeweight=".06pt" strokecolor="#000000"/>
            <v:line style="position:absolute" from="1491,14" to="2409,14" stroked="true" strokeweight=".06pt" strokecolor="#000000"/>
            <v:line style="position:absolute" from="1491,15" to="2409,15" stroked="true" strokeweight=".06pt" strokecolor="#000000"/>
            <v:line style="position:absolute" from="1491,35" to="2409,35" stroked="true" strokeweight=".06pt" strokecolor="#000000"/>
            <v:line style="position:absolute" from="1491,36" to="2409,36" stroked="true" strokeweight=".06pt" strokecolor="#000000"/>
            <v:line style="position:absolute" from="1491,37" to="2409,37" stroked="true" strokeweight=".06pt" strokecolor="#000000"/>
            <v:line style="position:absolute" from="1491,38" to="2409,38" stroked="true" strokeweight=".06pt" strokecolor="#000000"/>
            <v:line style="position:absolute" from="1491,39" to="2409,39" stroked="true" strokeweight=".06pt" strokecolor="#000000"/>
            <v:line style="position:absolute" from="1491,41" to="2409,41" stroked="true" strokeweight=".06pt" strokecolor="#000000"/>
            <v:line style="position:absolute" from="1491,42" to="2409,42" stroked="true" strokeweight=".06pt" strokecolor="#000000"/>
            <v:line style="position:absolute" from="1491,43" to="2409,43" stroked="true" strokeweight=".06pt" strokecolor="#000000"/>
            <v:line style="position:absolute" from="1491,44" to="2409,44" stroked="true" strokeweight=".06pt" strokecolor="#000000"/>
            <v:line style="position:absolute" from="1491,45" to="2409,45" stroked="true" strokeweight=".06pt" strokecolor="#000000"/>
            <v:line style="position:absolute" from="1491,47" to="2409,47" stroked="true" strokeweight=".06pt" strokecolor="#000000"/>
            <v:line style="position:absolute" from="1491,48" to="2409,48" stroked="true" strokeweight=".06pt" strokecolor="#000000"/>
            <v:line style="position:absolute" from="1491,49" to="2409,49" stroked="true" strokeweight=".06pt" strokecolor="#000000"/>
          </v:group>
        </w:pict>
      </w:r>
      <w:r>
        <w:rPr>
          <w:position w:val="0"/>
          <w:sz w:val="5"/>
        </w:rPr>
      </w:r>
    </w:p>
    <w:p>
      <w:pPr>
        <w:pStyle w:val="BodyText"/>
        <w:rPr>
          <w:sz w:val="20"/>
        </w:rPr>
      </w:pPr>
    </w:p>
    <w:p>
      <w:pPr>
        <w:pStyle w:val="BodyText"/>
        <w:rPr>
          <w:sz w:val="20"/>
        </w:rPr>
      </w:pPr>
    </w:p>
    <w:p>
      <w:pPr>
        <w:pStyle w:val="BodyText"/>
        <w:spacing w:before="3"/>
        <w:rPr>
          <w:sz w:val="21"/>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836"/>
        <w:gridCol w:w="517"/>
        <w:gridCol w:w="1007"/>
        <w:gridCol w:w="589"/>
        <w:gridCol w:w="296"/>
      </w:tblGrid>
      <w:tr>
        <w:trPr>
          <w:trHeight w:val="816" w:hRule="exact"/>
        </w:trPr>
        <w:tc>
          <w:tcPr>
            <w:tcW w:w="4836" w:type="dxa"/>
          </w:tcPr>
          <w:p>
            <w:pPr>
              <w:pStyle w:val="TableParagraph"/>
              <w:tabs>
                <w:tab w:pos="601" w:val="left" w:leader="none"/>
              </w:tabs>
              <w:spacing w:before="77"/>
              <w:ind w:left="35" w:right="583"/>
              <w:rPr>
                <w:sz w:val="18"/>
              </w:rPr>
            </w:pPr>
            <w:r>
              <w:rPr>
                <w:sz w:val="18"/>
              </w:rPr>
              <w:t>(h)</w:t>
              <w:tab/>
              <w:t>Student Services and Amenities</w:t>
            </w:r>
            <w:r>
              <w:rPr>
                <w:spacing w:val="-1"/>
                <w:sz w:val="18"/>
              </w:rPr>
              <w:t> </w:t>
            </w:r>
            <w:r>
              <w:rPr>
                <w:sz w:val="18"/>
              </w:rPr>
              <w:t>Fee</w:t>
            </w:r>
          </w:p>
        </w:tc>
        <w:tc>
          <w:tcPr>
            <w:tcW w:w="517" w:type="dxa"/>
          </w:tcPr>
          <w:p>
            <w:pPr/>
          </w:p>
        </w:tc>
        <w:tc>
          <w:tcPr>
            <w:tcW w:w="1007" w:type="dxa"/>
          </w:tcPr>
          <w:p>
            <w:pPr>
              <w:pStyle w:val="TableParagraph"/>
              <w:rPr>
                <w:sz w:val="16"/>
              </w:rPr>
            </w:pPr>
          </w:p>
          <w:p>
            <w:pPr>
              <w:pStyle w:val="TableParagraph"/>
              <w:rPr>
                <w:sz w:val="16"/>
              </w:rPr>
            </w:pPr>
          </w:p>
          <w:p>
            <w:pPr>
              <w:pStyle w:val="TableParagraph"/>
              <w:spacing w:before="3"/>
              <w:rPr>
                <w:sz w:val="19"/>
              </w:rPr>
            </w:pPr>
          </w:p>
          <w:p>
            <w:pPr>
              <w:pStyle w:val="TableParagraph"/>
              <w:ind w:left="122" w:right="67"/>
              <w:rPr>
                <w:b/>
                <w:sz w:val="16"/>
              </w:rPr>
            </w:pPr>
            <w:r>
              <w:rPr>
                <w:b/>
                <w:sz w:val="16"/>
              </w:rPr>
              <w:t>2012</w:t>
            </w:r>
          </w:p>
        </w:tc>
        <w:tc>
          <w:tcPr>
            <w:tcW w:w="589" w:type="dxa"/>
          </w:tcPr>
          <w:p>
            <w:pPr>
              <w:pStyle w:val="TableParagraph"/>
              <w:rPr>
                <w:sz w:val="16"/>
              </w:rPr>
            </w:pPr>
          </w:p>
          <w:p>
            <w:pPr>
              <w:pStyle w:val="TableParagraph"/>
              <w:rPr>
                <w:sz w:val="16"/>
              </w:rPr>
            </w:pPr>
          </w:p>
          <w:p>
            <w:pPr>
              <w:pStyle w:val="TableParagraph"/>
              <w:spacing w:before="3"/>
              <w:rPr>
                <w:sz w:val="19"/>
              </w:rPr>
            </w:pPr>
          </w:p>
          <w:p>
            <w:pPr>
              <w:pStyle w:val="TableParagraph"/>
              <w:ind w:left="34"/>
              <w:rPr>
                <w:b/>
                <w:sz w:val="16"/>
              </w:rPr>
            </w:pPr>
            <w:r>
              <w:rPr>
                <w:b/>
                <w:sz w:val="16"/>
              </w:rPr>
              <w:t>2011</w:t>
            </w:r>
          </w:p>
        </w:tc>
        <w:tc>
          <w:tcPr>
            <w:tcW w:w="296" w:type="dxa"/>
            <w:vMerge w:val="restart"/>
          </w:tcPr>
          <w:p>
            <w:pPr/>
          </w:p>
        </w:tc>
      </w:tr>
      <w:tr>
        <w:trPr>
          <w:trHeight w:val="248" w:hRule="exact"/>
        </w:trPr>
        <w:tc>
          <w:tcPr>
            <w:tcW w:w="4836" w:type="dxa"/>
          </w:tcPr>
          <w:p>
            <w:pPr>
              <w:pStyle w:val="TableParagraph"/>
              <w:spacing w:before="25"/>
              <w:ind w:left="641" w:right="583"/>
              <w:rPr>
                <w:b/>
                <w:sz w:val="16"/>
              </w:rPr>
            </w:pPr>
            <w:r>
              <w:rPr>
                <w:b/>
                <w:sz w:val="16"/>
              </w:rPr>
              <w:t>Parent Entity (University) Only</w:t>
            </w:r>
          </w:p>
        </w:tc>
        <w:tc>
          <w:tcPr>
            <w:tcW w:w="517" w:type="dxa"/>
          </w:tcPr>
          <w:p>
            <w:pPr>
              <w:pStyle w:val="TableParagraph"/>
              <w:spacing w:before="25"/>
              <w:ind w:left="39"/>
              <w:rPr>
                <w:b/>
                <w:sz w:val="16"/>
              </w:rPr>
            </w:pPr>
            <w:r>
              <w:rPr>
                <w:b/>
                <w:sz w:val="16"/>
              </w:rPr>
              <w:t>Note</w:t>
            </w:r>
          </w:p>
        </w:tc>
        <w:tc>
          <w:tcPr>
            <w:tcW w:w="1007" w:type="dxa"/>
          </w:tcPr>
          <w:p>
            <w:pPr>
              <w:pStyle w:val="TableParagraph"/>
              <w:spacing w:before="25"/>
              <w:ind w:left="122" w:right="67"/>
              <w:rPr>
                <w:b/>
                <w:sz w:val="16"/>
              </w:rPr>
            </w:pPr>
            <w:r>
              <w:rPr>
                <w:b/>
                <w:sz w:val="16"/>
              </w:rPr>
              <w:t>$'000</w:t>
            </w:r>
          </w:p>
        </w:tc>
        <w:tc>
          <w:tcPr>
            <w:tcW w:w="589" w:type="dxa"/>
          </w:tcPr>
          <w:p>
            <w:pPr>
              <w:pStyle w:val="TableParagraph"/>
              <w:spacing w:before="25"/>
              <w:ind w:left="34"/>
              <w:rPr>
                <w:b/>
                <w:sz w:val="16"/>
              </w:rPr>
            </w:pPr>
            <w:r>
              <w:rPr>
                <w:b/>
                <w:sz w:val="16"/>
              </w:rPr>
              <w:t>$'000</w:t>
            </w:r>
          </w:p>
        </w:tc>
        <w:tc>
          <w:tcPr>
            <w:tcW w:w="296" w:type="dxa"/>
            <w:vMerge/>
          </w:tcPr>
          <w:p>
            <w:pPr/>
          </w:p>
        </w:tc>
      </w:tr>
      <w:tr>
        <w:trPr>
          <w:trHeight w:val="485" w:hRule="exact"/>
        </w:trPr>
        <w:tc>
          <w:tcPr>
            <w:tcW w:w="4836" w:type="dxa"/>
          </w:tcPr>
          <w:p>
            <w:pPr>
              <w:pStyle w:val="TableParagraph"/>
              <w:spacing w:line="314" w:lineRule="auto" w:before="23"/>
              <w:ind w:left="641" w:right="583"/>
              <w:rPr>
                <w:sz w:val="16"/>
              </w:rPr>
            </w:pPr>
            <w:r>
              <w:rPr>
                <w:sz w:val="16"/>
              </w:rPr>
              <w:t>Unspent/(overspent) revenue from previous period SA-HELP Revenue Earned</w:t>
            </w:r>
          </w:p>
        </w:tc>
        <w:tc>
          <w:tcPr>
            <w:tcW w:w="517" w:type="dxa"/>
          </w:tcPr>
          <w:p>
            <w:pPr>
              <w:pStyle w:val="TableParagraph"/>
              <w:spacing w:before="9"/>
              <w:rPr>
                <w:sz w:val="22"/>
              </w:rPr>
            </w:pPr>
          </w:p>
          <w:p>
            <w:pPr>
              <w:pStyle w:val="TableParagraph"/>
              <w:ind w:left="39"/>
              <w:rPr>
                <w:sz w:val="16"/>
              </w:rPr>
            </w:pPr>
            <w:r>
              <w:rPr>
                <w:sz w:val="16"/>
              </w:rPr>
              <w:t>2(b)</w:t>
            </w:r>
          </w:p>
        </w:tc>
        <w:tc>
          <w:tcPr>
            <w:tcW w:w="1007" w:type="dxa"/>
          </w:tcPr>
          <w:p>
            <w:pPr>
              <w:pStyle w:val="TableParagraph"/>
              <w:spacing w:line="314" w:lineRule="auto" w:before="22"/>
              <w:ind w:left="519" w:right="67" w:firstLine="346"/>
              <w:rPr>
                <w:sz w:val="16"/>
              </w:rPr>
            </w:pPr>
            <w:r>
              <w:rPr>
                <w:sz w:val="16"/>
              </w:rPr>
              <w:t>- 5,044</w:t>
            </w:r>
          </w:p>
        </w:tc>
        <w:tc>
          <w:tcPr>
            <w:tcW w:w="589" w:type="dxa"/>
          </w:tcPr>
          <w:p>
            <w:pPr/>
          </w:p>
        </w:tc>
        <w:tc>
          <w:tcPr>
            <w:tcW w:w="296" w:type="dxa"/>
          </w:tcPr>
          <w:p>
            <w:pPr>
              <w:pStyle w:val="TableParagraph"/>
              <w:spacing w:before="22"/>
              <w:ind w:left="161"/>
              <w:rPr>
                <w:sz w:val="16"/>
              </w:rPr>
            </w:pPr>
            <w:r>
              <w:rPr>
                <w:w w:val="99"/>
                <w:sz w:val="16"/>
              </w:rPr>
              <w:t>-</w:t>
            </w:r>
          </w:p>
          <w:p>
            <w:pPr>
              <w:pStyle w:val="TableParagraph"/>
              <w:spacing w:before="57"/>
              <w:ind w:left="161"/>
              <w:rPr>
                <w:sz w:val="16"/>
              </w:rPr>
            </w:pPr>
            <w:r>
              <w:rPr>
                <w:w w:val="99"/>
                <w:sz w:val="16"/>
              </w:rPr>
              <w:t>-</w:t>
            </w:r>
          </w:p>
        </w:tc>
      </w:tr>
      <w:tr>
        <w:trPr>
          <w:trHeight w:val="241" w:hRule="exact"/>
        </w:trPr>
        <w:tc>
          <w:tcPr>
            <w:tcW w:w="4836" w:type="dxa"/>
          </w:tcPr>
          <w:p>
            <w:pPr>
              <w:pStyle w:val="TableParagraph"/>
              <w:spacing w:before="21"/>
              <w:ind w:left="641" w:right="583"/>
              <w:rPr>
                <w:sz w:val="16"/>
              </w:rPr>
            </w:pPr>
            <w:r>
              <w:rPr>
                <w:sz w:val="16"/>
              </w:rPr>
              <w:t>Student service fees direct from students</w:t>
            </w:r>
          </w:p>
        </w:tc>
        <w:tc>
          <w:tcPr>
            <w:tcW w:w="517" w:type="dxa"/>
            <w:tcBorders>
              <w:bottom w:val="single" w:sz="0" w:space="0" w:color="000000"/>
            </w:tcBorders>
          </w:tcPr>
          <w:p>
            <w:pPr>
              <w:pStyle w:val="TableParagraph"/>
              <w:spacing w:before="19"/>
              <w:ind w:left="39"/>
              <w:rPr>
                <w:sz w:val="16"/>
              </w:rPr>
            </w:pPr>
            <w:r>
              <w:rPr>
                <w:w w:val="99"/>
                <w:sz w:val="16"/>
              </w:rPr>
              <w:t>4</w:t>
            </w:r>
          </w:p>
        </w:tc>
        <w:tc>
          <w:tcPr>
            <w:tcW w:w="1007" w:type="dxa"/>
            <w:tcBorders>
              <w:bottom w:val="single" w:sz="0" w:space="0" w:color="000000"/>
            </w:tcBorders>
          </w:tcPr>
          <w:p>
            <w:pPr>
              <w:pStyle w:val="TableParagraph"/>
              <w:spacing w:before="20"/>
              <w:ind w:right="85"/>
              <w:jc w:val="right"/>
              <w:rPr>
                <w:sz w:val="16"/>
              </w:rPr>
            </w:pPr>
            <w:r>
              <w:rPr>
                <w:w w:val="95"/>
                <w:sz w:val="16"/>
              </w:rPr>
              <w:t>2,590</w:t>
            </w:r>
          </w:p>
        </w:tc>
        <w:tc>
          <w:tcPr>
            <w:tcW w:w="589" w:type="dxa"/>
            <w:tcBorders>
              <w:bottom w:val="single" w:sz="0" w:space="0" w:color="000000"/>
            </w:tcBorders>
          </w:tcPr>
          <w:p>
            <w:pPr/>
          </w:p>
        </w:tc>
        <w:tc>
          <w:tcPr>
            <w:tcW w:w="296" w:type="dxa"/>
            <w:tcBorders>
              <w:bottom w:val="single" w:sz="0" w:space="0" w:color="000000"/>
            </w:tcBorders>
          </w:tcPr>
          <w:p>
            <w:pPr>
              <w:pStyle w:val="TableParagraph"/>
              <w:spacing w:before="20"/>
              <w:ind w:right="79"/>
              <w:jc w:val="right"/>
              <w:rPr>
                <w:sz w:val="16"/>
              </w:rPr>
            </w:pPr>
            <w:r>
              <w:rPr>
                <w:w w:val="99"/>
                <w:sz w:val="16"/>
              </w:rPr>
              <w:t>-</w:t>
            </w:r>
          </w:p>
        </w:tc>
      </w:tr>
      <w:tr>
        <w:trPr>
          <w:trHeight w:val="261" w:hRule="exact"/>
        </w:trPr>
        <w:tc>
          <w:tcPr>
            <w:tcW w:w="4836" w:type="dxa"/>
          </w:tcPr>
          <w:p>
            <w:pPr>
              <w:pStyle w:val="TableParagraph"/>
              <w:spacing w:before="40"/>
              <w:ind w:left="641" w:right="583"/>
              <w:rPr>
                <w:sz w:val="16"/>
              </w:rPr>
            </w:pPr>
            <w:r>
              <w:rPr>
                <w:sz w:val="16"/>
              </w:rPr>
              <w:t>Total revenue expendable in period</w:t>
            </w:r>
          </w:p>
        </w:tc>
        <w:tc>
          <w:tcPr>
            <w:tcW w:w="517" w:type="dxa"/>
            <w:tcBorders>
              <w:top w:val="single" w:sz="0" w:space="0" w:color="000000"/>
            </w:tcBorders>
          </w:tcPr>
          <w:p>
            <w:pPr/>
          </w:p>
        </w:tc>
        <w:tc>
          <w:tcPr>
            <w:tcW w:w="1007" w:type="dxa"/>
            <w:tcBorders>
              <w:top w:val="single" w:sz="0" w:space="0" w:color="000000"/>
            </w:tcBorders>
          </w:tcPr>
          <w:p>
            <w:pPr>
              <w:pStyle w:val="TableParagraph"/>
              <w:spacing w:before="38"/>
              <w:ind w:right="85"/>
              <w:jc w:val="right"/>
              <w:rPr>
                <w:sz w:val="16"/>
              </w:rPr>
            </w:pPr>
            <w:r>
              <w:rPr>
                <w:w w:val="95"/>
                <w:sz w:val="16"/>
              </w:rPr>
              <w:t>7,634</w:t>
            </w:r>
          </w:p>
        </w:tc>
        <w:tc>
          <w:tcPr>
            <w:tcW w:w="589" w:type="dxa"/>
            <w:tcBorders>
              <w:top w:val="single" w:sz="0" w:space="0" w:color="000000"/>
            </w:tcBorders>
          </w:tcPr>
          <w:p>
            <w:pPr/>
          </w:p>
        </w:tc>
        <w:tc>
          <w:tcPr>
            <w:tcW w:w="296" w:type="dxa"/>
            <w:tcBorders>
              <w:top w:val="single" w:sz="0" w:space="0" w:color="000000"/>
            </w:tcBorders>
          </w:tcPr>
          <w:p>
            <w:pPr>
              <w:pStyle w:val="TableParagraph"/>
              <w:spacing w:before="38"/>
              <w:ind w:right="79"/>
              <w:jc w:val="right"/>
              <w:rPr>
                <w:sz w:val="16"/>
              </w:rPr>
            </w:pPr>
            <w:r>
              <w:rPr>
                <w:w w:val="99"/>
                <w:sz w:val="16"/>
              </w:rPr>
              <w:t>-</w:t>
            </w:r>
          </w:p>
        </w:tc>
      </w:tr>
      <w:tr>
        <w:trPr>
          <w:trHeight w:val="241" w:hRule="exact"/>
        </w:trPr>
        <w:tc>
          <w:tcPr>
            <w:tcW w:w="4836" w:type="dxa"/>
          </w:tcPr>
          <w:p>
            <w:pPr>
              <w:pStyle w:val="TableParagraph"/>
              <w:spacing w:before="20"/>
              <w:ind w:left="640" w:right="583"/>
              <w:rPr>
                <w:sz w:val="16"/>
              </w:rPr>
            </w:pPr>
            <w:r>
              <w:rPr>
                <w:sz w:val="16"/>
              </w:rPr>
              <w:t>Student services expenses during period</w:t>
            </w:r>
          </w:p>
        </w:tc>
        <w:tc>
          <w:tcPr>
            <w:tcW w:w="517" w:type="dxa"/>
            <w:tcBorders>
              <w:bottom w:val="single" w:sz="0" w:space="0" w:color="000000"/>
            </w:tcBorders>
          </w:tcPr>
          <w:p>
            <w:pPr/>
          </w:p>
        </w:tc>
        <w:tc>
          <w:tcPr>
            <w:tcW w:w="1007" w:type="dxa"/>
            <w:tcBorders>
              <w:bottom w:val="single" w:sz="0" w:space="0" w:color="000000"/>
            </w:tcBorders>
          </w:tcPr>
          <w:p>
            <w:pPr>
              <w:pStyle w:val="TableParagraph"/>
              <w:spacing w:before="19"/>
              <w:ind w:right="32"/>
              <w:jc w:val="right"/>
              <w:rPr>
                <w:sz w:val="16"/>
              </w:rPr>
            </w:pPr>
            <w:r>
              <w:rPr>
                <w:sz w:val="16"/>
              </w:rPr>
              <w:t>(7,634)</w:t>
            </w:r>
          </w:p>
        </w:tc>
        <w:tc>
          <w:tcPr>
            <w:tcW w:w="589" w:type="dxa"/>
            <w:tcBorders>
              <w:bottom w:val="single" w:sz="0" w:space="0" w:color="000000"/>
            </w:tcBorders>
          </w:tcPr>
          <w:p>
            <w:pPr/>
          </w:p>
        </w:tc>
        <w:tc>
          <w:tcPr>
            <w:tcW w:w="296" w:type="dxa"/>
            <w:tcBorders>
              <w:bottom w:val="single" w:sz="0" w:space="0" w:color="000000"/>
            </w:tcBorders>
          </w:tcPr>
          <w:p>
            <w:pPr>
              <w:pStyle w:val="TableParagraph"/>
              <w:spacing w:before="19"/>
              <w:ind w:right="79"/>
              <w:jc w:val="right"/>
              <w:rPr>
                <w:sz w:val="16"/>
              </w:rPr>
            </w:pPr>
            <w:r>
              <w:rPr>
                <w:w w:val="99"/>
                <w:sz w:val="16"/>
              </w:rPr>
              <w:t>-</w:t>
            </w:r>
          </w:p>
        </w:tc>
      </w:tr>
      <w:tr>
        <w:trPr>
          <w:trHeight w:val="275" w:hRule="exact"/>
        </w:trPr>
        <w:tc>
          <w:tcPr>
            <w:tcW w:w="4836" w:type="dxa"/>
          </w:tcPr>
          <w:p>
            <w:pPr>
              <w:pStyle w:val="TableParagraph"/>
              <w:spacing w:before="40"/>
              <w:ind w:left="641" w:right="583"/>
              <w:rPr>
                <w:sz w:val="16"/>
              </w:rPr>
            </w:pPr>
            <w:r>
              <w:rPr>
                <w:sz w:val="16"/>
              </w:rPr>
              <w:t>Unspent/(overspent) student services revenue</w:t>
            </w:r>
          </w:p>
        </w:tc>
        <w:tc>
          <w:tcPr>
            <w:tcW w:w="517" w:type="dxa"/>
            <w:tcBorders>
              <w:top w:val="single" w:sz="0" w:space="0" w:color="000000"/>
              <w:bottom w:val="single" w:sz="0" w:space="0" w:color="000000"/>
            </w:tcBorders>
          </w:tcPr>
          <w:p>
            <w:pPr/>
          </w:p>
        </w:tc>
        <w:tc>
          <w:tcPr>
            <w:tcW w:w="1007" w:type="dxa"/>
            <w:tcBorders>
              <w:top w:val="single" w:sz="0" w:space="0" w:color="000000"/>
              <w:bottom w:val="single" w:sz="0" w:space="0" w:color="000000"/>
            </w:tcBorders>
          </w:tcPr>
          <w:p>
            <w:pPr>
              <w:pStyle w:val="TableParagraph"/>
              <w:spacing w:before="38"/>
              <w:ind w:right="84"/>
              <w:jc w:val="right"/>
              <w:rPr>
                <w:sz w:val="16"/>
              </w:rPr>
            </w:pPr>
            <w:r>
              <w:rPr>
                <w:w w:val="99"/>
                <w:sz w:val="16"/>
              </w:rPr>
              <w:t>-</w:t>
            </w:r>
          </w:p>
        </w:tc>
        <w:tc>
          <w:tcPr>
            <w:tcW w:w="589" w:type="dxa"/>
            <w:tcBorders>
              <w:top w:val="single" w:sz="0" w:space="0" w:color="000000"/>
              <w:bottom w:val="single" w:sz="0" w:space="0" w:color="000000"/>
            </w:tcBorders>
          </w:tcPr>
          <w:p>
            <w:pPr/>
          </w:p>
        </w:tc>
        <w:tc>
          <w:tcPr>
            <w:tcW w:w="296" w:type="dxa"/>
            <w:tcBorders>
              <w:top w:val="single" w:sz="0" w:space="0" w:color="000000"/>
              <w:bottom w:val="single" w:sz="0" w:space="0" w:color="000000"/>
            </w:tcBorders>
          </w:tcPr>
          <w:p>
            <w:pPr>
              <w:pStyle w:val="TableParagraph"/>
              <w:spacing w:before="38"/>
              <w:ind w:right="79"/>
              <w:jc w:val="right"/>
              <w:rPr>
                <w:sz w:val="16"/>
              </w:rPr>
            </w:pPr>
            <w:r>
              <w:rPr>
                <w:w w:val="99"/>
                <w:sz w:val="16"/>
              </w:rPr>
              <w:t>-</w:t>
            </w:r>
          </w:p>
        </w:tc>
      </w:tr>
    </w:tbl>
    <w:p>
      <w:pPr>
        <w:spacing w:after="0"/>
        <w:jc w:val="right"/>
        <w:rPr>
          <w:sz w:val="16"/>
        </w:rPr>
        <w:sectPr>
          <w:type w:val="continuous"/>
          <w:pgSz w:w="16840" w:h="11910" w:orient="landscape"/>
          <w:pgMar w:top="0" w:bottom="280" w:left="900" w:right="2420"/>
        </w:sectPr>
      </w:pPr>
    </w:p>
    <w:p>
      <w:pPr>
        <w:pStyle w:val="BodyText"/>
        <w:spacing w:before="7"/>
        <w:rPr>
          <w:sz w:val="26"/>
        </w:rPr>
      </w:pPr>
    </w:p>
    <w:p>
      <w:pPr>
        <w:pStyle w:val="Heading9"/>
        <w:numPr>
          <w:ilvl w:val="0"/>
          <w:numId w:val="30"/>
        </w:numPr>
        <w:tabs>
          <w:tab w:pos="506" w:val="left" w:leader="none"/>
        </w:tabs>
        <w:spacing w:line="240" w:lineRule="auto" w:before="77" w:after="0"/>
        <w:ind w:left="505" w:right="0" w:hanging="396"/>
        <w:jc w:val="left"/>
      </w:pPr>
      <w:r>
        <w:rPr/>
        <w:t>Defined Benefits Plans</w:t>
      </w:r>
    </w:p>
    <w:p>
      <w:pPr>
        <w:pStyle w:val="BodyText"/>
        <w:spacing w:before="11"/>
        <w:rPr>
          <w:b/>
          <w:sz w:val="24"/>
        </w:rPr>
      </w:pPr>
    </w:p>
    <w:p>
      <w:pPr>
        <w:pStyle w:val="ListParagraph"/>
        <w:numPr>
          <w:ilvl w:val="1"/>
          <w:numId w:val="30"/>
        </w:numPr>
        <w:tabs>
          <w:tab w:pos="1072" w:val="left" w:leader="none"/>
        </w:tabs>
        <w:spacing w:line="240" w:lineRule="auto" w:before="0" w:after="0"/>
        <w:ind w:left="1071" w:right="0" w:hanging="566"/>
        <w:jc w:val="left"/>
        <w:rPr>
          <w:sz w:val="18"/>
        </w:rPr>
      </w:pPr>
      <w:r>
        <w:rPr>
          <w:sz w:val="18"/>
        </w:rPr>
        <w:t>Fund specific</w:t>
      </w:r>
      <w:r>
        <w:rPr>
          <w:spacing w:val="-1"/>
          <w:sz w:val="18"/>
        </w:rPr>
        <w:t> </w:t>
      </w:r>
      <w:r>
        <w:rPr>
          <w:sz w:val="18"/>
        </w:rPr>
        <w:t>disclosure</w:t>
      </w:r>
    </w:p>
    <w:p>
      <w:pPr>
        <w:pStyle w:val="BodyText"/>
        <w:rPr>
          <w:sz w:val="25"/>
        </w:rPr>
      </w:pPr>
    </w:p>
    <w:p>
      <w:pPr>
        <w:pStyle w:val="BodyText"/>
        <w:ind w:left="1072" w:right="128"/>
      </w:pPr>
      <w:r>
        <w:rPr/>
        <w:t>The Pooled Fund holds in trust the investments of the closed NSW public sector superannuation schemes, namely State Authorities Superannuation Scheme (SASS), State Superannuation Scheme (SSS) and State Authorities Non contributory Superannuation Scheme (SANCS), are State schemes and subject to reimbursement rights. These three schemes are all defined benefit schemes - at least a component of the final benefit is derived from a multiple of member salary and years of membership.</w:t>
      </w:r>
    </w:p>
    <w:p>
      <w:pPr>
        <w:pStyle w:val="BodyText"/>
        <w:rPr>
          <w:sz w:val="25"/>
        </w:rPr>
      </w:pPr>
    </w:p>
    <w:p>
      <w:pPr>
        <w:pStyle w:val="BodyText"/>
        <w:ind w:left="1072" w:right="963"/>
      </w:pPr>
      <w:r>
        <w:rPr/>
        <w:t>These unfunded liabilities recorded in the Statement of Financial Position under provisions have been determined by independent actuaries.</w:t>
      </w:r>
    </w:p>
    <w:p>
      <w:pPr>
        <w:pStyle w:val="BodyText"/>
        <w:rPr>
          <w:sz w:val="25"/>
        </w:rPr>
      </w:pPr>
    </w:p>
    <w:p>
      <w:pPr>
        <w:pStyle w:val="BodyText"/>
        <w:ind w:left="1072" w:right="112"/>
      </w:pPr>
      <w:r>
        <w:rPr/>
        <w:t>The Australian Government and the State Government are reviewing the current arrangements relating to superannuation payments in respect of current and past members unfunded State superannuation schemes. The University is of the view that the Commonwealth and State Governments will continue to progressively meet this amount in accordance with current practice.</w:t>
      </w:r>
    </w:p>
    <w:p>
      <w:pPr>
        <w:pStyle w:val="BodyText"/>
        <w:rPr>
          <w:sz w:val="25"/>
        </w:rPr>
      </w:pPr>
    </w:p>
    <w:p>
      <w:pPr>
        <w:pStyle w:val="BodyText"/>
        <w:ind w:left="1072" w:right="102"/>
      </w:pPr>
      <w:r>
        <w:rPr/>
        <w:t>Recent correspondence from the Commonwealth Government indicated the reimbursement right in respect of SANCS has become questionable and the relevant receivable has been reduced to nil. The amount owing in respect of the remaining two schemes as at 31 December 2012 was $256.129M (2011: $231.519M) and this is reflected in Note 16 as Non-current receivables. Accordingly the unfunded liabilities have been recognised in the statement of financial position under provisions with a corresponding asset recognised under receivables. The recognition of both the asset and liability consequently does not affect the year end net position of the University and its controlled entities for those schemes, except as otherwise disclosed.</w:t>
      </w:r>
    </w:p>
    <w:p>
      <w:pPr>
        <w:pStyle w:val="BodyText"/>
        <w:rPr>
          <w:sz w:val="25"/>
        </w:rPr>
      </w:pPr>
    </w:p>
    <w:p>
      <w:pPr>
        <w:pStyle w:val="BodyText"/>
        <w:ind w:left="1072" w:firstLine="50"/>
      </w:pPr>
      <w:r>
        <w:rPr/>
        <w:t>The Company expects to make a contribution of $2.295 million (2011: $2.583 million) to the defined benefit plan during the next financial year.</w:t>
      </w:r>
    </w:p>
    <w:p>
      <w:pPr>
        <w:pStyle w:val="BodyText"/>
      </w:pPr>
    </w:p>
    <w:p>
      <w:pPr>
        <w:pStyle w:val="BodyText"/>
      </w:pPr>
    </w:p>
    <w:p>
      <w:pPr>
        <w:pStyle w:val="BodyText"/>
      </w:pPr>
    </w:p>
    <w:p>
      <w:pPr>
        <w:pStyle w:val="ListParagraph"/>
        <w:numPr>
          <w:ilvl w:val="1"/>
          <w:numId w:val="30"/>
        </w:numPr>
        <w:tabs>
          <w:tab w:pos="1072" w:val="left" w:leader="none"/>
        </w:tabs>
        <w:spacing w:line="240" w:lineRule="auto" w:before="161" w:after="0"/>
        <w:ind w:left="1071" w:right="0" w:hanging="566"/>
        <w:jc w:val="left"/>
        <w:rPr>
          <w:sz w:val="18"/>
        </w:rPr>
      </w:pPr>
      <w:r>
        <w:rPr>
          <w:sz w:val="18"/>
        </w:rPr>
        <w:t>Principal</w:t>
      </w:r>
      <w:r>
        <w:rPr>
          <w:spacing w:val="-1"/>
          <w:sz w:val="18"/>
        </w:rPr>
        <w:t> </w:t>
      </w:r>
      <w:r>
        <w:rPr>
          <w:sz w:val="18"/>
        </w:rPr>
        <w:t>assumptions</w:t>
      </w:r>
    </w:p>
    <w:p>
      <w:pPr>
        <w:pStyle w:val="BodyText"/>
        <w:rPr>
          <w:sz w:val="25"/>
        </w:rPr>
      </w:pPr>
    </w:p>
    <w:p>
      <w:pPr>
        <w:pStyle w:val="BodyText"/>
        <w:ind w:left="1072" w:right="603"/>
      </w:pPr>
      <w:r>
        <w:rPr/>
        <w:t>The principal assumptions used for the purposes of the actuarial valuations were as follows (expressed as weighted averages):</w:t>
      </w:r>
    </w:p>
    <w:p>
      <w:pPr>
        <w:spacing w:after="0"/>
        <w:sectPr>
          <w:headerReference w:type="default" r:id="rId93"/>
          <w:footerReference w:type="default" r:id="rId94"/>
          <w:pgSz w:w="11910" w:h="16840"/>
          <w:pgMar w:header="1038" w:footer="507" w:top="2220" w:bottom="700" w:left="900" w:right="880"/>
          <w:pgNumType w:start="77"/>
        </w:sectPr>
      </w:pPr>
    </w:p>
    <w:p>
      <w:pPr>
        <w:pStyle w:val="Heading9"/>
        <w:spacing w:before="33"/>
        <w:ind w:left="0"/>
        <w:jc w:val="right"/>
      </w:pPr>
      <w:r>
        <w:rPr/>
        <w:t>2012</w:t>
      </w:r>
    </w:p>
    <w:p>
      <w:pPr>
        <w:spacing w:before="66"/>
        <w:ind w:left="0" w:right="238" w:firstLine="0"/>
        <w:jc w:val="right"/>
        <w:rPr>
          <w:b/>
          <w:sz w:val="18"/>
        </w:rPr>
      </w:pPr>
      <w:r>
        <w:rPr>
          <w:b/>
          <w:w w:val="99"/>
          <w:sz w:val="18"/>
        </w:rPr>
        <w:t>%</w:t>
      </w:r>
    </w:p>
    <w:p>
      <w:pPr>
        <w:spacing w:before="33"/>
        <w:ind w:left="811" w:right="931" w:firstLine="0"/>
        <w:jc w:val="center"/>
        <w:rPr>
          <w:b/>
          <w:sz w:val="18"/>
        </w:rPr>
      </w:pPr>
      <w:r>
        <w:rPr/>
        <w:br w:type="column"/>
      </w:r>
      <w:r>
        <w:rPr>
          <w:b/>
          <w:sz w:val="18"/>
        </w:rPr>
        <w:t>2011</w:t>
      </w:r>
    </w:p>
    <w:p>
      <w:pPr>
        <w:spacing w:before="66"/>
        <w:ind w:left="0" w:right="360" w:firstLine="0"/>
        <w:jc w:val="center"/>
        <w:rPr>
          <w:b/>
          <w:sz w:val="18"/>
        </w:rPr>
      </w:pPr>
      <w:r>
        <w:rPr>
          <w:b/>
          <w:w w:val="99"/>
          <w:sz w:val="18"/>
        </w:rPr>
        <w:t>%</w:t>
      </w:r>
    </w:p>
    <w:p>
      <w:pPr>
        <w:spacing w:after="0"/>
        <w:jc w:val="center"/>
        <w:rPr>
          <w:sz w:val="18"/>
        </w:rPr>
        <w:sectPr>
          <w:type w:val="continuous"/>
          <w:pgSz w:w="11910" w:h="16840"/>
          <w:pgMar w:top="0" w:bottom="280" w:left="900" w:right="880"/>
          <w:cols w:num="2" w:equalWidth="0">
            <w:col w:w="7906" w:space="40"/>
            <w:col w:w="2184"/>
          </w:cols>
        </w:sectPr>
      </w:pPr>
    </w:p>
    <w:p>
      <w:pPr>
        <w:pStyle w:val="BodyText"/>
        <w:tabs>
          <w:tab w:pos="8292" w:val="left" w:leader="none"/>
          <w:tab w:pos="9938" w:val="right" w:leader="none"/>
        </w:tabs>
        <w:spacing w:before="63"/>
        <w:ind w:left="1116"/>
      </w:pPr>
      <w:r>
        <w:rPr/>
        <w:t>Discount</w:t>
      </w:r>
      <w:r>
        <w:rPr>
          <w:spacing w:val="-1"/>
        </w:rPr>
        <w:t> </w:t>
      </w:r>
      <w:r>
        <w:rPr/>
        <w:t>rate</w:t>
        <w:tab/>
      </w:r>
      <w:r>
        <w:rPr>
          <w:b/>
        </w:rPr>
        <w:t>3.30</w:t>
      </w:r>
      <w:r>
        <w:rPr>
          <w:rFonts w:ascii="Times New Roman"/>
        </w:rPr>
        <w:tab/>
      </w:r>
      <w:r>
        <w:rPr/>
        <w:t>3.70</w:t>
      </w:r>
    </w:p>
    <w:p>
      <w:pPr>
        <w:pStyle w:val="BodyText"/>
        <w:tabs>
          <w:tab w:pos="8292" w:val="left" w:leader="none"/>
          <w:tab w:pos="9938" w:val="right" w:leader="none"/>
        </w:tabs>
        <w:spacing w:before="57"/>
        <w:ind w:left="1116"/>
      </w:pPr>
      <w:r>
        <w:rPr/>
        <w:t>Expected return on</w:t>
      </w:r>
      <w:r>
        <w:rPr>
          <w:spacing w:val="-1"/>
        </w:rPr>
        <w:t> </w:t>
      </w:r>
      <w:r>
        <w:rPr/>
        <w:t>plan</w:t>
      </w:r>
      <w:r>
        <w:rPr>
          <w:spacing w:val="-1"/>
        </w:rPr>
        <w:t> </w:t>
      </w:r>
      <w:r>
        <w:rPr/>
        <w:t>assets</w:t>
        <w:tab/>
      </w:r>
      <w:r>
        <w:rPr>
          <w:b/>
        </w:rPr>
        <w:t>8.60</w:t>
      </w:r>
      <w:r>
        <w:rPr>
          <w:rFonts w:ascii="Times New Roman"/>
        </w:rPr>
        <w:tab/>
      </w:r>
      <w:r>
        <w:rPr/>
        <w:t>8.60</w:t>
      </w:r>
    </w:p>
    <w:p>
      <w:pPr>
        <w:pStyle w:val="BodyText"/>
        <w:tabs>
          <w:tab w:pos="8292" w:val="left" w:leader="none"/>
          <w:tab w:pos="9938" w:val="right" w:leader="none"/>
        </w:tabs>
        <w:spacing w:before="57"/>
        <w:ind w:left="1116"/>
      </w:pPr>
      <w:r>
        <w:rPr/>
        <w:t>Expected rate of</w:t>
      </w:r>
      <w:r>
        <w:rPr>
          <w:spacing w:val="-1"/>
        </w:rPr>
        <w:t> </w:t>
      </w:r>
      <w:r>
        <w:rPr/>
        <w:t>salary</w:t>
      </w:r>
      <w:r>
        <w:rPr>
          <w:spacing w:val="-1"/>
        </w:rPr>
        <w:t> </w:t>
      </w:r>
      <w:r>
        <w:rPr/>
        <w:t>increase</w:t>
        <w:tab/>
      </w:r>
      <w:r>
        <w:rPr>
          <w:b/>
        </w:rPr>
        <w:t>2.50</w:t>
      </w:r>
      <w:r>
        <w:rPr>
          <w:rFonts w:ascii="Times New Roman"/>
        </w:rPr>
        <w:tab/>
      </w:r>
      <w:r>
        <w:rPr/>
        <w:t>2.50</w:t>
      </w:r>
    </w:p>
    <w:p>
      <w:pPr>
        <w:pStyle w:val="BodyText"/>
        <w:tabs>
          <w:tab w:pos="8292" w:val="left" w:leader="none"/>
          <w:tab w:pos="9938" w:val="right" w:leader="none"/>
        </w:tabs>
        <w:spacing w:before="57"/>
        <w:ind w:left="1116"/>
      </w:pPr>
      <w:r>
        <w:rPr/>
        <w:t>Expected rate of</w:t>
      </w:r>
      <w:r>
        <w:rPr>
          <w:spacing w:val="-1"/>
        </w:rPr>
        <w:t> </w:t>
      </w:r>
      <w:r>
        <w:rPr/>
        <w:t>CPI</w:t>
      </w:r>
      <w:r>
        <w:rPr>
          <w:spacing w:val="-1"/>
        </w:rPr>
        <w:t> </w:t>
      </w:r>
      <w:r>
        <w:rPr/>
        <w:t>increase</w:t>
        <w:tab/>
      </w:r>
      <w:r>
        <w:rPr>
          <w:b/>
        </w:rPr>
        <w:t>2.50</w:t>
      </w:r>
      <w:r>
        <w:rPr>
          <w:rFonts w:ascii="Times New Roman"/>
        </w:rPr>
        <w:tab/>
      </w:r>
      <w:r>
        <w:rPr/>
        <w:t>2.50</w:t>
      </w:r>
    </w:p>
    <w:p>
      <w:pPr>
        <w:pStyle w:val="BodyText"/>
        <w:tabs>
          <w:tab w:pos="8292" w:val="left" w:leader="none"/>
          <w:tab w:pos="9938" w:val="right" w:leader="none"/>
        </w:tabs>
        <w:spacing w:before="57"/>
        <w:ind w:left="1116"/>
      </w:pPr>
      <w:r>
        <w:rPr/>
        <w:t>Expected return on</w:t>
      </w:r>
      <w:r>
        <w:rPr>
          <w:spacing w:val="-1"/>
        </w:rPr>
        <w:t> </w:t>
      </w:r>
      <w:r>
        <w:rPr/>
        <w:t>reimbursement</w:t>
      </w:r>
      <w:r>
        <w:rPr>
          <w:spacing w:val="-1"/>
        </w:rPr>
        <w:t> </w:t>
      </w:r>
      <w:r>
        <w:rPr/>
        <w:t>rights</w:t>
        <w:tab/>
      </w:r>
      <w:r>
        <w:rPr>
          <w:b/>
        </w:rPr>
        <w:t>1.59</w:t>
      </w:r>
      <w:r>
        <w:rPr>
          <w:rFonts w:ascii="Times New Roman"/>
        </w:rPr>
        <w:tab/>
      </w:r>
      <w:r>
        <w:rPr/>
        <w:t>2.39</w:t>
      </w:r>
    </w:p>
    <w:p>
      <w:pPr>
        <w:spacing w:after="0"/>
        <w:sectPr>
          <w:type w:val="continuous"/>
          <w:pgSz w:w="11910" w:h="16840"/>
          <w:pgMar w:top="0" w:bottom="280" w:left="900" w:right="880"/>
        </w:sectPr>
      </w:pPr>
    </w:p>
    <w:p>
      <w:pPr>
        <w:pStyle w:val="BodyText"/>
      </w:pPr>
    </w:p>
    <w:p>
      <w:pPr>
        <w:pStyle w:val="BodyText"/>
      </w:pPr>
    </w:p>
    <w:p>
      <w:pPr>
        <w:pStyle w:val="BodyText"/>
        <w:spacing w:before="4"/>
        <w:rPr>
          <w:sz w:val="22"/>
        </w:rPr>
      </w:pPr>
    </w:p>
    <w:p>
      <w:pPr>
        <w:spacing w:before="0"/>
        <w:ind w:left="109" w:right="125" w:firstLine="0"/>
        <w:jc w:val="left"/>
        <w:rPr>
          <w:b/>
          <w:sz w:val="18"/>
        </w:rPr>
      </w:pPr>
      <w:r>
        <w:rPr>
          <w:b/>
          <w:sz w:val="18"/>
        </w:rPr>
        <w:t>36    Defined Benefits Plans (continued)</w:t>
      </w:r>
    </w:p>
    <w:p>
      <w:pPr>
        <w:pStyle w:val="BodyText"/>
        <w:spacing w:before="11"/>
        <w:rPr>
          <w:b/>
          <w:sz w:val="24"/>
        </w:rPr>
      </w:pPr>
    </w:p>
    <w:p>
      <w:pPr>
        <w:pStyle w:val="ListParagraph"/>
        <w:numPr>
          <w:ilvl w:val="1"/>
          <w:numId w:val="30"/>
        </w:numPr>
        <w:tabs>
          <w:tab w:pos="1072" w:val="left" w:leader="none"/>
        </w:tabs>
        <w:spacing w:line="240" w:lineRule="auto" w:before="0" w:after="0"/>
        <w:ind w:left="1071" w:right="0" w:hanging="566"/>
        <w:jc w:val="left"/>
        <w:rPr>
          <w:sz w:val="18"/>
        </w:rPr>
      </w:pPr>
      <w:r>
        <w:rPr>
          <w:sz w:val="18"/>
        </w:rPr>
        <w:t>Analysis of the plan</w:t>
      </w:r>
      <w:r>
        <w:rPr>
          <w:spacing w:val="-1"/>
          <w:sz w:val="18"/>
        </w:rPr>
        <w:t> </w:t>
      </w:r>
      <w:r>
        <w:rPr>
          <w:sz w:val="18"/>
        </w:rPr>
        <w:t>assets</w:t>
      </w:r>
    </w:p>
    <w:p>
      <w:pPr>
        <w:pStyle w:val="BodyText"/>
        <w:rPr>
          <w:sz w:val="25"/>
        </w:rPr>
      </w:pPr>
    </w:p>
    <w:p>
      <w:pPr>
        <w:pStyle w:val="BodyText"/>
        <w:spacing w:after="36"/>
        <w:ind w:left="1072" w:right="633"/>
      </w:pPr>
      <w:r>
        <w:rPr/>
        <w:t>The analysis of plan assets and the expected rate of return at the statement of financial position date is as follows:</w:t>
      </w:r>
    </w:p>
    <w:tbl>
      <w:tblPr>
        <w:tblW w:w="0" w:type="auto"/>
        <w:jc w:val="left"/>
        <w:tblInd w:w="10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54"/>
        <w:gridCol w:w="2412"/>
        <w:gridCol w:w="659"/>
        <w:gridCol w:w="623"/>
        <w:gridCol w:w="643"/>
      </w:tblGrid>
      <w:tr>
        <w:trPr>
          <w:trHeight w:val="785" w:hRule="exact"/>
        </w:trPr>
        <w:tc>
          <w:tcPr>
            <w:tcW w:w="4554" w:type="dxa"/>
          </w:tcPr>
          <w:p>
            <w:pPr>
              <w:pStyle w:val="TableParagraph"/>
              <w:rPr>
                <w:sz w:val="18"/>
              </w:rPr>
            </w:pPr>
          </w:p>
          <w:p>
            <w:pPr>
              <w:pStyle w:val="TableParagraph"/>
              <w:rPr>
                <w:sz w:val="18"/>
              </w:rPr>
            </w:pPr>
          </w:p>
          <w:p>
            <w:pPr>
              <w:pStyle w:val="TableParagraph"/>
              <w:spacing w:before="126"/>
              <w:ind w:left="35"/>
              <w:rPr>
                <w:sz w:val="18"/>
              </w:rPr>
            </w:pPr>
            <w:r>
              <w:rPr>
                <w:sz w:val="18"/>
              </w:rPr>
              <w:t>Australian equities</w:t>
            </w:r>
          </w:p>
        </w:tc>
        <w:tc>
          <w:tcPr>
            <w:tcW w:w="2412" w:type="dxa"/>
          </w:tcPr>
          <w:p>
            <w:pPr>
              <w:pStyle w:val="TableParagraph"/>
              <w:spacing w:line="204" w:lineRule="exact"/>
              <w:ind w:right="141"/>
              <w:jc w:val="right"/>
              <w:rPr>
                <w:b/>
                <w:sz w:val="18"/>
              </w:rPr>
            </w:pPr>
            <w:r>
              <w:rPr>
                <w:b/>
                <w:sz w:val="18"/>
              </w:rPr>
              <w:t>2012</w:t>
            </w:r>
          </w:p>
          <w:p>
            <w:pPr>
              <w:pStyle w:val="TableParagraph"/>
              <w:spacing w:before="66"/>
              <w:ind w:right="381"/>
              <w:jc w:val="right"/>
              <w:rPr>
                <w:b/>
                <w:sz w:val="18"/>
              </w:rPr>
            </w:pPr>
            <w:r>
              <w:rPr>
                <w:b/>
                <w:w w:val="99"/>
                <w:sz w:val="18"/>
              </w:rPr>
              <w:t>%</w:t>
            </w:r>
          </w:p>
        </w:tc>
        <w:tc>
          <w:tcPr>
            <w:tcW w:w="659" w:type="dxa"/>
          </w:tcPr>
          <w:p>
            <w:pPr>
              <w:pStyle w:val="TableParagraph"/>
              <w:rPr>
                <w:sz w:val="18"/>
              </w:rPr>
            </w:pPr>
          </w:p>
          <w:p>
            <w:pPr>
              <w:pStyle w:val="TableParagraph"/>
              <w:rPr>
                <w:sz w:val="18"/>
              </w:rPr>
            </w:pPr>
          </w:p>
          <w:p>
            <w:pPr>
              <w:pStyle w:val="TableParagraph"/>
              <w:spacing w:before="125"/>
              <w:ind w:right="63"/>
              <w:jc w:val="right"/>
              <w:rPr>
                <w:b/>
                <w:sz w:val="18"/>
              </w:rPr>
            </w:pPr>
            <w:r>
              <w:rPr>
                <w:b/>
                <w:w w:val="95"/>
                <w:sz w:val="18"/>
              </w:rPr>
              <w:t>31.00</w:t>
            </w:r>
          </w:p>
        </w:tc>
        <w:tc>
          <w:tcPr>
            <w:tcW w:w="623" w:type="dxa"/>
          </w:tcPr>
          <w:p>
            <w:pPr>
              <w:pStyle w:val="TableParagraph"/>
              <w:spacing w:line="204" w:lineRule="exact"/>
              <w:ind w:left="65"/>
              <w:rPr>
                <w:b/>
                <w:sz w:val="18"/>
              </w:rPr>
            </w:pPr>
            <w:r>
              <w:rPr>
                <w:b/>
                <w:sz w:val="18"/>
              </w:rPr>
              <w:t>2011</w:t>
            </w:r>
          </w:p>
          <w:p>
            <w:pPr>
              <w:pStyle w:val="TableParagraph"/>
              <w:spacing w:before="66"/>
              <w:ind w:left="65"/>
              <w:rPr>
                <w:b/>
                <w:sz w:val="18"/>
              </w:rPr>
            </w:pPr>
            <w:r>
              <w:rPr>
                <w:b/>
                <w:w w:val="99"/>
                <w:sz w:val="18"/>
              </w:rPr>
              <w:t>%</w:t>
            </w:r>
          </w:p>
        </w:tc>
        <w:tc>
          <w:tcPr>
            <w:tcW w:w="643" w:type="dxa"/>
          </w:tcPr>
          <w:p>
            <w:pPr>
              <w:pStyle w:val="TableParagraph"/>
              <w:rPr>
                <w:sz w:val="18"/>
              </w:rPr>
            </w:pPr>
          </w:p>
          <w:p>
            <w:pPr>
              <w:pStyle w:val="TableParagraph"/>
              <w:rPr>
                <w:sz w:val="18"/>
              </w:rPr>
            </w:pPr>
          </w:p>
          <w:p>
            <w:pPr>
              <w:pStyle w:val="TableParagraph"/>
              <w:spacing w:before="125"/>
              <w:ind w:right="33"/>
              <w:jc w:val="right"/>
              <w:rPr>
                <w:sz w:val="18"/>
              </w:rPr>
            </w:pPr>
            <w:r>
              <w:rPr>
                <w:w w:val="95"/>
                <w:sz w:val="18"/>
              </w:rPr>
              <w:t>32.10</w:t>
            </w:r>
          </w:p>
        </w:tc>
      </w:tr>
      <w:tr>
        <w:trPr>
          <w:trHeight w:val="264" w:hRule="exact"/>
        </w:trPr>
        <w:tc>
          <w:tcPr>
            <w:tcW w:w="4554" w:type="dxa"/>
          </w:tcPr>
          <w:p>
            <w:pPr>
              <w:pStyle w:val="TableParagraph"/>
              <w:spacing w:before="19"/>
              <w:ind w:left="35"/>
              <w:rPr>
                <w:sz w:val="18"/>
              </w:rPr>
            </w:pPr>
            <w:r>
              <w:rPr>
                <w:sz w:val="18"/>
              </w:rPr>
              <w:t>Overseas equities</w:t>
            </w:r>
          </w:p>
        </w:tc>
        <w:tc>
          <w:tcPr>
            <w:tcW w:w="2412" w:type="dxa"/>
          </w:tcPr>
          <w:p>
            <w:pPr/>
          </w:p>
        </w:tc>
        <w:tc>
          <w:tcPr>
            <w:tcW w:w="659" w:type="dxa"/>
          </w:tcPr>
          <w:p>
            <w:pPr>
              <w:pStyle w:val="TableParagraph"/>
              <w:spacing w:before="18"/>
              <w:ind w:right="63"/>
              <w:jc w:val="right"/>
              <w:rPr>
                <w:b/>
                <w:sz w:val="18"/>
              </w:rPr>
            </w:pPr>
            <w:r>
              <w:rPr>
                <w:b/>
                <w:w w:val="95"/>
                <w:sz w:val="18"/>
              </w:rPr>
              <w:t>24.30</w:t>
            </w:r>
          </w:p>
        </w:tc>
        <w:tc>
          <w:tcPr>
            <w:tcW w:w="623" w:type="dxa"/>
          </w:tcPr>
          <w:p>
            <w:pPr/>
          </w:p>
        </w:tc>
        <w:tc>
          <w:tcPr>
            <w:tcW w:w="643" w:type="dxa"/>
          </w:tcPr>
          <w:p>
            <w:pPr>
              <w:pStyle w:val="TableParagraph"/>
              <w:spacing w:before="18"/>
              <w:ind w:right="33"/>
              <w:jc w:val="right"/>
              <w:rPr>
                <w:sz w:val="18"/>
              </w:rPr>
            </w:pPr>
            <w:r>
              <w:rPr>
                <w:w w:val="95"/>
                <w:sz w:val="18"/>
              </w:rPr>
              <w:t>29.00</w:t>
            </w:r>
          </w:p>
        </w:tc>
      </w:tr>
      <w:tr>
        <w:trPr>
          <w:trHeight w:val="264" w:hRule="exact"/>
        </w:trPr>
        <w:tc>
          <w:tcPr>
            <w:tcW w:w="4554" w:type="dxa"/>
          </w:tcPr>
          <w:p>
            <w:pPr>
              <w:pStyle w:val="TableParagraph"/>
              <w:spacing w:before="19"/>
              <w:ind w:left="35"/>
              <w:rPr>
                <w:sz w:val="18"/>
              </w:rPr>
            </w:pPr>
            <w:r>
              <w:rPr>
                <w:sz w:val="18"/>
              </w:rPr>
              <w:t>Australian fixedinterest securities</w:t>
            </w:r>
          </w:p>
        </w:tc>
        <w:tc>
          <w:tcPr>
            <w:tcW w:w="2412" w:type="dxa"/>
          </w:tcPr>
          <w:p>
            <w:pPr/>
          </w:p>
        </w:tc>
        <w:tc>
          <w:tcPr>
            <w:tcW w:w="659" w:type="dxa"/>
          </w:tcPr>
          <w:p>
            <w:pPr>
              <w:pStyle w:val="TableParagraph"/>
              <w:spacing w:before="18"/>
              <w:ind w:right="63"/>
              <w:jc w:val="right"/>
              <w:rPr>
                <w:b/>
                <w:sz w:val="18"/>
              </w:rPr>
            </w:pPr>
            <w:r>
              <w:rPr>
                <w:b/>
                <w:w w:val="95"/>
                <w:sz w:val="18"/>
              </w:rPr>
              <w:t>6.20</w:t>
            </w:r>
          </w:p>
        </w:tc>
        <w:tc>
          <w:tcPr>
            <w:tcW w:w="623" w:type="dxa"/>
          </w:tcPr>
          <w:p>
            <w:pPr/>
          </w:p>
        </w:tc>
        <w:tc>
          <w:tcPr>
            <w:tcW w:w="643" w:type="dxa"/>
          </w:tcPr>
          <w:p>
            <w:pPr>
              <w:pStyle w:val="TableParagraph"/>
              <w:spacing w:before="18"/>
              <w:ind w:right="33"/>
              <w:jc w:val="right"/>
              <w:rPr>
                <w:sz w:val="18"/>
              </w:rPr>
            </w:pPr>
            <w:r>
              <w:rPr>
                <w:w w:val="95"/>
                <w:sz w:val="18"/>
              </w:rPr>
              <w:t>5.60</w:t>
            </w:r>
          </w:p>
        </w:tc>
      </w:tr>
      <w:tr>
        <w:trPr>
          <w:trHeight w:val="264" w:hRule="exact"/>
        </w:trPr>
        <w:tc>
          <w:tcPr>
            <w:tcW w:w="4554" w:type="dxa"/>
          </w:tcPr>
          <w:p>
            <w:pPr>
              <w:pStyle w:val="TableParagraph"/>
              <w:spacing w:before="19"/>
              <w:ind w:left="35"/>
              <w:rPr>
                <w:sz w:val="18"/>
              </w:rPr>
            </w:pPr>
            <w:r>
              <w:rPr>
                <w:sz w:val="18"/>
              </w:rPr>
              <w:t>Overseas fixed interest securities</w:t>
            </w:r>
          </w:p>
        </w:tc>
        <w:tc>
          <w:tcPr>
            <w:tcW w:w="2412" w:type="dxa"/>
          </w:tcPr>
          <w:p>
            <w:pPr/>
          </w:p>
        </w:tc>
        <w:tc>
          <w:tcPr>
            <w:tcW w:w="659" w:type="dxa"/>
          </w:tcPr>
          <w:p>
            <w:pPr>
              <w:pStyle w:val="TableParagraph"/>
              <w:spacing w:before="18"/>
              <w:ind w:right="63"/>
              <w:jc w:val="right"/>
              <w:rPr>
                <w:b/>
                <w:sz w:val="18"/>
              </w:rPr>
            </w:pPr>
            <w:r>
              <w:rPr>
                <w:b/>
                <w:w w:val="95"/>
                <w:sz w:val="18"/>
              </w:rPr>
              <w:t>2.40</w:t>
            </w:r>
          </w:p>
        </w:tc>
        <w:tc>
          <w:tcPr>
            <w:tcW w:w="623" w:type="dxa"/>
          </w:tcPr>
          <w:p>
            <w:pPr/>
          </w:p>
        </w:tc>
        <w:tc>
          <w:tcPr>
            <w:tcW w:w="643" w:type="dxa"/>
          </w:tcPr>
          <w:p>
            <w:pPr>
              <w:pStyle w:val="TableParagraph"/>
              <w:spacing w:before="18"/>
              <w:ind w:right="33"/>
              <w:jc w:val="right"/>
              <w:rPr>
                <w:sz w:val="18"/>
              </w:rPr>
            </w:pPr>
            <w:r>
              <w:rPr>
                <w:w w:val="95"/>
                <w:sz w:val="18"/>
              </w:rPr>
              <w:t>2.60</w:t>
            </w:r>
          </w:p>
        </w:tc>
      </w:tr>
      <w:tr>
        <w:trPr>
          <w:trHeight w:val="264" w:hRule="exact"/>
        </w:trPr>
        <w:tc>
          <w:tcPr>
            <w:tcW w:w="4554" w:type="dxa"/>
          </w:tcPr>
          <w:p>
            <w:pPr>
              <w:pStyle w:val="TableParagraph"/>
              <w:spacing w:before="19"/>
              <w:ind w:left="35"/>
              <w:rPr>
                <w:sz w:val="18"/>
              </w:rPr>
            </w:pPr>
            <w:r>
              <w:rPr>
                <w:sz w:val="18"/>
              </w:rPr>
              <w:t>Property</w:t>
            </w:r>
          </w:p>
        </w:tc>
        <w:tc>
          <w:tcPr>
            <w:tcW w:w="2412" w:type="dxa"/>
          </w:tcPr>
          <w:p>
            <w:pPr/>
          </w:p>
        </w:tc>
        <w:tc>
          <w:tcPr>
            <w:tcW w:w="659" w:type="dxa"/>
          </w:tcPr>
          <w:p>
            <w:pPr>
              <w:pStyle w:val="TableParagraph"/>
              <w:spacing w:before="18"/>
              <w:ind w:right="63"/>
              <w:jc w:val="right"/>
              <w:rPr>
                <w:b/>
                <w:sz w:val="18"/>
              </w:rPr>
            </w:pPr>
            <w:r>
              <w:rPr>
                <w:b/>
                <w:w w:val="95"/>
                <w:sz w:val="18"/>
              </w:rPr>
              <w:t>8.70</w:t>
            </w:r>
          </w:p>
        </w:tc>
        <w:tc>
          <w:tcPr>
            <w:tcW w:w="623" w:type="dxa"/>
          </w:tcPr>
          <w:p>
            <w:pPr/>
          </w:p>
        </w:tc>
        <w:tc>
          <w:tcPr>
            <w:tcW w:w="643" w:type="dxa"/>
          </w:tcPr>
          <w:p>
            <w:pPr>
              <w:pStyle w:val="TableParagraph"/>
              <w:spacing w:before="18"/>
              <w:ind w:right="33"/>
              <w:jc w:val="right"/>
              <w:rPr>
                <w:sz w:val="18"/>
              </w:rPr>
            </w:pPr>
            <w:r>
              <w:rPr>
                <w:w w:val="95"/>
                <w:sz w:val="18"/>
              </w:rPr>
              <w:t>9.50</w:t>
            </w:r>
          </w:p>
        </w:tc>
      </w:tr>
      <w:tr>
        <w:trPr>
          <w:trHeight w:val="264" w:hRule="exact"/>
        </w:trPr>
        <w:tc>
          <w:tcPr>
            <w:tcW w:w="4554" w:type="dxa"/>
          </w:tcPr>
          <w:p>
            <w:pPr>
              <w:pStyle w:val="TableParagraph"/>
              <w:spacing w:before="19"/>
              <w:ind w:left="35"/>
              <w:rPr>
                <w:sz w:val="18"/>
              </w:rPr>
            </w:pPr>
            <w:r>
              <w:rPr>
                <w:sz w:val="18"/>
              </w:rPr>
              <w:t>Cash</w:t>
            </w:r>
          </w:p>
        </w:tc>
        <w:tc>
          <w:tcPr>
            <w:tcW w:w="2412" w:type="dxa"/>
          </w:tcPr>
          <w:p>
            <w:pPr/>
          </w:p>
        </w:tc>
        <w:tc>
          <w:tcPr>
            <w:tcW w:w="659" w:type="dxa"/>
          </w:tcPr>
          <w:p>
            <w:pPr>
              <w:pStyle w:val="TableParagraph"/>
              <w:spacing w:before="18"/>
              <w:ind w:right="63"/>
              <w:jc w:val="right"/>
              <w:rPr>
                <w:b/>
                <w:sz w:val="18"/>
              </w:rPr>
            </w:pPr>
            <w:r>
              <w:rPr>
                <w:b/>
                <w:w w:val="95"/>
                <w:sz w:val="18"/>
              </w:rPr>
              <w:t>13.40</w:t>
            </w:r>
          </w:p>
        </w:tc>
        <w:tc>
          <w:tcPr>
            <w:tcW w:w="623" w:type="dxa"/>
          </w:tcPr>
          <w:p>
            <w:pPr/>
          </w:p>
        </w:tc>
        <w:tc>
          <w:tcPr>
            <w:tcW w:w="643" w:type="dxa"/>
          </w:tcPr>
          <w:p>
            <w:pPr>
              <w:pStyle w:val="TableParagraph"/>
              <w:spacing w:before="18"/>
              <w:ind w:right="33"/>
              <w:jc w:val="right"/>
              <w:rPr>
                <w:sz w:val="18"/>
              </w:rPr>
            </w:pPr>
            <w:r>
              <w:rPr>
                <w:w w:val="95"/>
                <w:sz w:val="18"/>
              </w:rPr>
              <w:t>6.60</w:t>
            </w:r>
          </w:p>
        </w:tc>
      </w:tr>
      <w:tr>
        <w:trPr>
          <w:trHeight w:val="323" w:hRule="exact"/>
        </w:trPr>
        <w:tc>
          <w:tcPr>
            <w:tcW w:w="4554" w:type="dxa"/>
          </w:tcPr>
          <w:p>
            <w:pPr>
              <w:pStyle w:val="TableParagraph"/>
              <w:spacing w:before="19"/>
              <w:ind w:left="35"/>
              <w:rPr>
                <w:sz w:val="18"/>
              </w:rPr>
            </w:pPr>
            <w:r>
              <w:rPr>
                <w:sz w:val="18"/>
              </w:rPr>
              <w:t>Other</w:t>
            </w:r>
          </w:p>
        </w:tc>
        <w:tc>
          <w:tcPr>
            <w:tcW w:w="2412" w:type="dxa"/>
          </w:tcPr>
          <w:p>
            <w:pPr/>
          </w:p>
        </w:tc>
        <w:tc>
          <w:tcPr>
            <w:tcW w:w="659" w:type="dxa"/>
          </w:tcPr>
          <w:p>
            <w:pPr>
              <w:pStyle w:val="TableParagraph"/>
              <w:spacing w:before="18"/>
              <w:ind w:right="63"/>
              <w:jc w:val="right"/>
              <w:rPr>
                <w:b/>
                <w:sz w:val="18"/>
              </w:rPr>
            </w:pPr>
            <w:r>
              <w:rPr>
                <w:b/>
                <w:w w:val="95"/>
                <w:sz w:val="18"/>
              </w:rPr>
              <w:t>14.00</w:t>
            </w:r>
          </w:p>
        </w:tc>
        <w:tc>
          <w:tcPr>
            <w:tcW w:w="623" w:type="dxa"/>
          </w:tcPr>
          <w:p>
            <w:pPr/>
          </w:p>
        </w:tc>
        <w:tc>
          <w:tcPr>
            <w:tcW w:w="643" w:type="dxa"/>
          </w:tcPr>
          <w:p>
            <w:pPr>
              <w:pStyle w:val="TableParagraph"/>
              <w:spacing w:before="18"/>
              <w:ind w:right="33"/>
              <w:jc w:val="right"/>
              <w:rPr>
                <w:sz w:val="18"/>
              </w:rPr>
            </w:pPr>
            <w:r>
              <w:rPr>
                <w:w w:val="95"/>
                <w:sz w:val="18"/>
              </w:rPr>
              <w:t>14.60</w:t>
            </w:r>
          </w:p>
        </w:tc>
      </w:tr>
    </w:tbl>
    <w:p>
      <w:pPr>
        <w:pStyle w:val="BodyText"/>
        <w:rPr>
          <w:sz w:val="14"/>
        </w:rPr>
      </w:pPr>
    </w:p>
    <w:p>
      <w:pPr>
        <w:pStyle w:val="BodyText"/>
        <w:spacing w:before="77"/>
        <w:ind w:left="1070" w:right="331"/>
      </w:pPr>
      <w:r>
        <w:rPr/>
        <w:t>The overall expected rate of return is a weighted average of the expected returns of the various categories of plan assets held. The University's assessment of the expected returns is based on historical return trends and actuarial predictions of the market for the asset in the next 12 months</w:t>
      </w:r>
    </w:p>
    <w:p>
      <w:pPr>
        <w:pStyle w:val="BodyText"/>
        <w:spacing w:before="11"/>
        <w:rPr>
          <w:sz w:val="24"/>
        </w:rPr>
      </w:pPr>
    </w:p>
    <w:p>
      <w:pPr>
        <w:pStyle w:val="ListParagraph"/>
        <w:numPr>
          <w:ilvl w:val="1"/>
          <w:numId w:val="30"/>
        </w:numPr>
        <w:tabs>
          <w:tab w:pos="1072" w:val="left" w:leader="none"/>
        </w:tabs>
        <w:spacing w:line="240" w:lineRule="auto" w:before="0" w:after="36"/>
        <w:ind w:left="1071" w:right="0" w:hanging="566"/>
        <w:jc w:val="left"/>
        <w:rPr>
          <w:sz w:val="18"/>
        </w:rPr>
      </w:pPr>
      <w:r>
        <w:rPr>
          <w:sz w:val="18"/>
        </w:rPr>
        <w:t>The history of experience adjustments is as</w:t>
      </w:r>
      <w:r>
        <w:rPr>
          <w:spacing w:val="-1"/>
          <w:sz w:val="18"/>
        </w:rPr>
        <w:t> </w:t>
      </w:r>
      <w:r>
        <w:rPr>
          <w:sz w:val="18"/>
        </w:rPr>
        <w:t>follows:</w:t>
      </w:r>
    </w:p>
    <w:tbl>
      <w:tblPr>
        <w:tblW w:w="0" w:type="auto"/>
        <w:jc w:val="left"/>
        <w:tblInd w:w="1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66"/>
        <w:gridCol w:w="1224"/>
        <w:gridCol w:w="1007"/>
        <w:gridCol w:w="1008"/>
        <w:gridCol w:w="1008"/>
        <w:gridCol w:w="1008"/>
      </w:tblGrid>
      <w:tr>
        <w:trPr>
          <w:trHeight w:val="244" w:hRule="exact"/>
        </w:trPr>
        <w:tc>
          <w:tcPr>
            <w:tcW w:w="3666" w:type="dxa"/>
          </w:tcPr>
          <w:p>
            <w:pPr/>
          </w:p>
        </w:tc>
        <w:tc>
          <w:tcPr>
            <w:tcW w:w="1224" w:type="dxa"/>
          </w:tcPr>
          <w:p>
            <w:pPr>
              <w:pStyle w:val="TableParagraph"/>
              <w:spacing w:line="204" w:lineRule="exact"/>
              <w:ind w:left="279"/>
              <w:rPr>
                <w:b/>
                <w:sz w:val="18"/>
              </w:rPr>
            </w:pPr>
            <w:r>
              <w:rPr>
                <w:b/>
                <w:sz w:val="18"/>
              </w:rPr>
              <w:t>2012</w:t>
            </w:r>
          </w:p>
        </w:tc>
        <w:tc>
          <w:tcPr>
            <w:tcW w:w="1007" w:type="dxa"/>
          </w:tcPr>
          <w:p>
            <w:pPr>
              <w:pStyle w:val="TableParagraph"/>
              <w:spacing w:line="204" w:lineRule="exact"/>
              <w:ind w:left="34"/>
              <w:rPr>
                <w:b/>
                <w:sz w:val="18"/>
              </w:rPr>
            </w:pPr>
            <w:r>
              <w:rPr>
                <w:b/>
                <w:sz w:val="18"/>
              </w:rPr>
              <w:t>2011</w:t>
            </w:r>
          </w:p>
        </w:tc>
        <w:tc>
          <w:tcPr>
            <w:tcW w:w="1008" w:type="dxa"/>
          </w:tcPr>
          <w:p>
            <w:pPr>
              <w:pStyle w:val="TableParagraph"/>
              <w:spacing w:line="204" w:lineRule="exact"/>
              <w:ind w:left="35"/>
              <w:rPr>
                <w:b/>
                <w:sz w:val="18"/>
              </w:rPr>
            </w:pPr>
            <w:r>
              <w:rPr>
                <w:b/>
                <w:sz w:val="18"/>
              </w:rPr>
              <w:t>2010</w:t>
            </w:r>
          </w:p>
        </w:tc>
        <w:tc>
          <w:tcPr>
            <w:tcW w:w="1008" w:type="dxa"/>
          </w:tcPr>
          <w:p>
            <w:pPr>
              <w:pStyle w:val="TableParagraph"/>
              <w:spacing w:line="204" w:lineRule="exact"/>
              <w:ind w:left="35"/>
              <w:rPr>
                <w:b/>
                <w:sz w:val="18"/>
              </w:rPr>
            </w:pPr>
            <w:r>
              <w:rPr>
                <w:b/>
                <w:sz w:val="18"/>
              </w:rPr>
              <w:t>2009</w:t>
            </w:r>
          </w:p>
        </w:tc>
        <w:tc>
          <w:tcPr>
            <w:tcW w:w="1008" w:type="dxa"/>
          </w:tcPr>
          <w:p>
            <w:pPr>
              <w:pStyle w:val="TableParagraph"/>
              <w:spacing w:line="204" w:lineRule="exact"/>
              <w:ind w:left="35"/>
              <w:rPr>
                <w:b/>
                <w:sz w:val="18"/>
              </w:rPr>
            </w:pPr>
            <w:r>
              <w:rPr>
                <w:b/>
                <w:sz w:val="18"/>
              </w:rPr>
              <w:t>2008</w:t>
            </w:r>
          </w:p>
        </w:tc>
      </w:tr>
      <w:tr>
        <w:trPr>
          <w:trHeight w:val="267" w:hRule="exact"/>
        </w:trPr>
        <w:tc>
          <w:tcPr>
            <w:tcW w:w="3666" w:type="dxa"/>
          </w:tcPr>
          <w:p>
            <w:pPr>
              <w:pStyle w:val="TableParagraph"/>
              <w:spacing w:before="22"/>
              <w:ind w:left="35"/>
              <w:rPr>
                <w:sz w:val="18"/>
              </w:rPr>
            </w:pPr>
            <w:r>
              <w:rPr>
                <w:sz w:val="18"/>
              </w:rPr>
              <w:t>Fair value of plan assets</w:t>
            </w:r>
          </w:p>
        </w:tc>
        <w:tc>
          <w:tcPr>
            <w:tcW w:w="1224" w:type="dxa"/>
          </w:tcPr>
          <w:p>
            <w:pPr>
              <w:pStyle w:val="TableParagraph"/>
              <w:spacing w:before="21"/>
              <w:ind w:right="92"/>
              <w:jc w:val="right"/>
              <w:rPr>
                <w:sz w:val="18"/>
              </w:rPr>
            </w:pPr>
            <w:r>
              <w:rPr>
                <w:w w:val="95"/>
                <w:sz w:val="18"/>
              </w:rPr>
              <w:t>148,222</w:t>
            </w:r>
          </w:p>
        </w:tc>
        <w:tc>
          <w:tcPr>
            <w:tcW w:w="1007" w:type="dxa"/>
          </w:tcPr>
          <w:p>
            <w:pPr>
              <w:pStyle w:val="TableParagraph"/>
              <w:spacing w:before="21"/>
              <w:ind w:right="93"/>
              <w:jc w:val="right"/>
              <w:rPr>
                <w:sz w:val="18"/>
              </w:rPr>
            </w:pPr>
            <w:r>
              <w:rPr>
                <w:w w:val="95"/>
                <w:sz w:val="18"/>
              </w:rPr>
              <w:t>145,765</w:t>
            </w:r>
          </w:p>
        </w:tc>
        <w:tc>
          <w:tcPr>
            <w:tcW w:w="1008" w:type="dxa"/>
          </w:tcPr>
          <w:p>
            <w:pPr>
              <w:pStyle w:val="TableParagraph"/>
              <w:spacing w:before="21"/>
              <w:ind w:right="93"/>
              <w:jc w:val="right"/>
              <w:rPr>
                <w:sz w:val="18"/>
              </w:rPr>
            </w:pPr>
            <w:r>
              <w:rPr>
                <w:w w:val="95"/>
                <w:sz w:val="18"/>
              </w:rPr>
              <w:t>160,529</w:t>
            </w:r>
          </w:p>
        </w:tc>
        <w:tc>
          <w:tcPr>
            <w:tcW w:w="1008" w:type="dxa"/>
          </w:tcPr>
          <w:p>
            <w:pPr>
              <w:pStyle w:val="TableParagraph"/>
              <w:spacing w:before="21"/>
              <w:ind w:left="262"/>
              <w:rPr>
                <w:sz w:val="18"/>
              </w:rPr>
            </w:pPr>
            <w:r>
              <w:rPr>
                <w:sz w:val="18"/>
              </w:rPr>
              <w:t>168,623</w:t>
            </w:r>
          </w:p>
        </w:tc>
        <w:tc>
          <w:tcPr>
            <w:tcW w:w="1008" w:type="dxa"/>
          </w:tcPr>
          <w:p>
            <w:pPr>
              <w:pStyle w:val="TableParagraph"/>
              <w:spacing w:before="21"/>
              <w:ind w:left="262"/>
              <w:rPr>
                <w:sz w:val="18"/>
              </w:rPr>
            </w:pPr>
            <w:r>
              <w:rPr>
                <w:sz w:val="18"/>
              </w:rPr>
              <w:t>165,864</w:t>
            </w:r>
          </w:p>
        </w:tc>
      </w:tr>
      <w:tr>
        <w:trPr>
          <w:trHeight w:val="264" w:hRule="exact"/>
        </w:trPr>
        <w:tc>
          <w:tcPr>
            <w:tcW w:w="3666" w:type="dxa"/>
          </w:tcPr>
          <w:p>
            <w:pPr>
              <w:pStyle w:val="TableParagraph"/>
              <w:spacing w:before="19"/>
              <w:ind w:left="35"/>
              <w:rPr>
                <w:sz w:val="18"/>
              </w:rPr>
            </w:pPr>
            <w:r>
              <w:rPr>
                <w:sz w:val="18"/>
              </w:rPr>
              <w:t>Present value of defined benefit obligation</w:t>
            </w:r>
          </w:p>
        </w:tc>
        <w:tc>
          <w:tcPr>
            <w:tcW w:w="1224" w:type="dxa"/>
          </w:tcPr>
          <w:p>
            <w:pPr>
              <w:pStyle w:val="TableParagraph"/>
              <w:spacing w:before="18"/>
              <w:ind w:right="92"/>
              <w:jc w:val="right"/>
              <w:rPr>
                <w:sz w:val="18"/>
              </w:rPr>
            </w:pPr>
            <w:r>
              <w:rPr>
                <w:w w:val="95"/>
                <w:sz w:val="18"/>
              </w:rPr>
              <w:t>407,634</w:t>
            </w:r>
          </w:p>
        </w:tc>
        <w:tc>
          <w:tcPr>
            <w:tcW w:w="1007" w:type="dxa"/>
          </w:tcPr>
          <w:p>
            <w:pPr>
              <w:pStyle w:val="TableParagraph"/>
              <w:spacing w:before="18"/>
              <w:ind w:right="93"/>
              <w:jc w:val="right"/>
              <w:rPr>
                <w:sz w:val="18"/>
              </w:rPr>
            </w:pPr>
            <w:r>
              <w:rPr>
                <w:w w:val="95"/>
                <w:sz w:val="18"/>
              </w:rPr>
              <w:t>380,524</w:t>
            </w:r>
          </w:p>
        </w:tc>
        <w:tc>
          <w:tcPr>
            <w:tcW w:w="1008" w:type="dxa"/>
          </w:tcPr>
          <w:p>
            <w:pPr>
              <w:pStyle w:val="TableParagraph"/>
              <w:spacing w:before="18"/>
              <w:ind w:right="93"/>
              <w:jc w:val="right"/>
              <w:rPr>
                <w:sz w:val="18"/>
              </w:rPr>
            </w:pPr>
            <w:r>
              <w:rPr>
                <w:w w:val="95"/>
                <w:sz w:val="18"/>
              </w:rPr>
              <w:t>306,417</w:t>
            </w:r>
          </w:p>
        </w:tc>
        <w:tc>
          <w:tcPr>
            <w:tcW w:w="1008" w:type="dxa"/>
          </w:tcPr>
          <w:p>
            <w:pPr>
              <w:pStyle w:val="TableParagraph"/>
              <w:spacing w:before="18"/>
              <w:ind w:left="262"/>
              <w:rPr>
                <w:sz w:val="18"/>
              </w:rPr>
            </w:pPr>
            <w:r>
              <w:rPr>
                <w:sz w:val="18"/>
              </w:rPr>
              <w:t>295,726</w:t>
            </w:r>
          </w:p>
        </w:tc>
        <w:tc>
          <w:tcPr>
            <w:tcW w:w="1008" w:type="dxa"/>
          </w:tcPr>
          <w:p>
            <w:pPr>
              <w:pStyle w:val="TableParagraph"/>
              <w:spacing w:before="18"/>
              <w:ind w:left="262"/>
              <w:rPr>
                <w:sz w:val="18"/>
              </w:rPr>
            </w:pPr>
            <w:r>
              <w:rPr>
                <w:sz w:val="18"/>
              </w:rPr>
              <w:t>329,732</w:t>
            </w:r>
          </w:p>
        </w:tc>
      </w:tr>
      <w:tr>
        <w:trPr>
          <w:trHeight w:val="264" w:hRule="exact"/>
        </w:trPr>
        <w:tc>
          <w:tcPr>
            <w:tcW w:w="3666" w:type="dxa"/>
          </w:tcPr>
          <w:p>
            <w:pPr>
              <w:pStyle w:val="TableParagraph"/>
              <w:spacing w:before="19"/>
              <w:ind w:left="35"/>
              <w:rPr>
                <w:sz w:val="18"/>
              </w:rPr>
            </w:pPr>
            <w:r>
              <w:rPr>
                <w:sz w:val="18"/>
              </w:rPr>
              <w:t>Surplus/(deficit)</w:t>
            </w:r>
          </w:p>
        </w:tc>
        <w:tc>
          <w:tcPr>
            <w:tcW w:w="1224" w:type="dxa"/>
          </w:tcPr>
          <w:p>
            <w:pPr>
              <w:pStyle w:val="TableParagraph"/>
              <w:spacing w:before="18"/>
              <w:ind w:right="32"/>
              <w:jc w:val="right"/>
              <w:rPr>
                <w:sz w:val="18"/>
              </w:rPr>
            </w:pPr>
            <w:r>
              <w:rPr>
                <w:w w:val="95"/>
                <w:sz w:val="18"/>
              </w:rPr>
              <w:t>(259,411)</w:t>
            </w:r>
          </w:p>
        </w:tc>
        <w:tc>
          <w:tcPr>
            <w:tcW w:w="1007" w:type="dxa"/>
          </w:tcPr>
          <w:p>
            <w:pPr>
              <w:pStyle w:val="TableParagraph"/>
              <w:spacing w:before="18"/>
              <w:ind w:right="33"/>
              <w:jc w:val="right"/>
              <w:rPr>
                <w:sz w:val="18"/>
              </w:rPr>
            </w:pPr>
            <w:r>
              <w:rPr>
                <w:w w:val="95"/>
                <w:sz w:val="18"/>
              </w:rPr>
              <w:t>(234,759)</w:t>
            </w:r>
          </w:p>
        </w:tc>
        <w:tc>
          <w:tcPr>
            <w:tcW w:w="1008" w:type="dxa"/>
          </w:tcPr>
          <w:p>
            <w:pPr>
              <w:pStyle w:val="TableParagraph"/>
              <w:spacing w:before="18"/>
              <w:ind w:right="33"/>
              <w:jc w:val="right"/>
              <w:rPr>
                <w:sz w:val="18"/>
              </w:rPr>
            </w:pPr>
            <w:r>
              <w:rPr>
                <w:w w:val="95"/>
                <w:sz w:val="18"/>
              </w:rPr>
              <w:t>(145,888)</w:t>
            </w:r>
          </w:p>
        </w:tc>
        <w:tc>
          <w:tcPr>
            <w:tcW w:w="1008" w:type="dxa"/>
          </w:tcPr>
          <w:p>
            <w:pPr>
              <w:pStyle w:val="TableParagraph"/>
              <w:spacing w:before="18"/>
              <w:ind w:right="33"/>
              <w:jc w:val="right"/>
              <w:rPr>
                <w:sz w:val="18"/>
              </w:rPr>
            </w:pPr>
            <w:r>
              <w:rPr>
                <w:w w:val="95"/>
                <w:sz w:val="18"/>
              </w:rPr>
              <w:t>(127,103)</w:t>
            </w:r>
          </w:p>
        </w:tc>
        <w:tc>
          <w:tcPr>
            <w:tcW w:w="1008" w:type="dxa"/>
          </w:tcPr>
          <w:p>
            <w:pPr>
              <w:pStyle w:val="TableParagraph"/>
              <w:spacing w:before="18"/>
              <w:ind w:left="202"/>
              <w:rPr>
                <w:sz w:val="18"/>
              </w:rPr>
            </w:pPr>
            <w:r>
              <w:rPr>
                <w:sz w:val="18"/>
              </w:rPr>
              <w:t>(163,868)</w:t>
            </w:r>
          </w:p>
        </w:tc>
      </w:tr>
      <w:tr>
        <w:trPr>
          <w:trHeight w:val="264" w:hRule="exact"/>
        </w:trPr>
        <w:tc>
          <w:tcPr>
            <w:tcW w:w="3666" w:type="dxa"/>
          </w:tcPr>
          <w:p>
            <w:pPr>
              <w:pStyle w:val="TableParagraph"/>
              <w:spacing w:before="19"/>
              <w:ind w:left="35"/>
              <w:rPr>
                <w:sz w:val="18"/>
              </w:rPr>
            </w:pPr>
            <w:r>
              <w:rPr>
                <w:sz w:val="18"/>
              </w:rPr>
              <w:t>Experience adjustments on plan liabilities</w:t>
            </w:r>
          </w:p>
        </w:tc>
        <w:tc>
          <w:tcPr>
            <w:tcW w:w="1224" w:type="dxa"/>
          </w:tcPr>
          <w:p>
            <w:pPr>
              <w:pStyle w:val="TableParagraph"/>
              <w:spacing w:before="18"/>
              <w:ind w:right="93"/>
              <w:jc w:val="right"/>
              <w:rPr>
                <w:sz w:val="18"/>
              </w:rPr>
            </w:pPr>
            <w:r>
              <w:rPr>
                <w:w w:val="95"/>
                <w:sz w:val="18"/>
              </w:rPr>
              <w:t>28,491</w:t>
            </w:r>
          </w:p>
        </w:tc>
        <w:tc>
          <w:tcPr>
            <w:tcW w:w="1007" w:type="dxa"/>
          </w:tcPr>
          <w:p>
            <w:pPr>
              <w:pStyle w:val="TableParagraph"/>
              <w:spacing w:before="18"/>
              <w:ind w:right="93"/>
              <w:jc w:val="right"/>
              <w:rPr>
                <w:sz w:val="18"/>
              </w:rPr>
            </w:pPr>
            <w:r>
              <w:rPr>
                <w:w w:val="95"/>
                <w:sz w:val="18"/>
              </w:rPr>
              <w:t>70,285</w:t>
            </w:r>
          </w:p>
        </w:tc>
        <w:tc>
          <w:tcPr>
            <w:tcW w:w="1008" w:type="dxa"/>
          </w:tcPr>
          <w:p>
            <w:pPr>
              <w:pStyle w:val="TableParagraph"/>
              <w:spacing w:before="18"/>
              <w:ind w:right="93"/>
              <w:jc w:val="right"/>
              <w:rPr>
                <w:sz w:val="18"/>
              </w:rPr>
            </w:pPr>
            <w:r>
              <w:rPr>
                <w:w w:val="95"/>
                <w:sz w:val="18"/>
              </w:rPr>
              <w:t>8,151</w:t>
            </w:r>
          </w:p>
        </w:tc>
        <w:tc>
          <w:tcPr>
            <w:tcW w:w="1008" w:type="dxa"/>
          </w:tcPr>
          <w:p>
            <w:pPr>
              <w:pStyle w:val="TableParagraph"/>
              <w:spacing w:before="18"/>
              <w:ind w:right="33"/>
              <w:jc w:val="right"/>
              <w:rPr>
                <w:sz w:val="18"/>
              </w:rPr>
            </w:pPr>
            <w:r>
              <w:rPr>
                <w:w w:val="95"/>
                <w:sz w:val="18"/>
              </w:rPr>
              <w:t>(33,890)</w:t>
            </w:r>
          </w:p>
        </w:tc>
        <w:tc>
          <w:tcPr>
            <w:tcW w:w="1008" w:type="dxa"/>
          </w:tcPr>
          <w:p>
            <w:pPr>
              <w:pStyle w:val="TableParagraph"/>
              <w:spacing w:before="18"/>
              <w:ind w:left="362"/>
              <w:rPr>
                <w:sz w:val="18"/>
              </w:rPr>
            </w:pPr>
            <w:r>
              <w:rPr>
                <w:sz w:val="18"/>
              </w:rPr>
              <w:t>68,370</w:t>
            </w:r>
          </w:p>
        </w:tc>
      </w:tr>
      <w:tr>
        <w:trPr>
          <w:trHeight w:val="323" w:hRule="exact"/>
        </w:trPr>
        <w:tc>
          <w:tcPr>
            <w:tcW w:w="3666" w:type="dxa"/>
          </w:tcPr>
          <w:p>
            <w:pPr>
              <w:pStyle w:val="TableParagraph"/>
              <w:spacing w:before="19"/>
              <w:ind w:left="35"/>
              <w:rPr>
                <w:sz w:val="18"/>
              </w:rPr>
            </w:pPr>
            <w:r>
              <w:rPr>
                <w:sz w:val="18"/>
              </w:rPr>
              <w:t>Experience adjustments on plan assets</w:t>
            </w:r>
          </w:p>
        </w:tc>
        <w:tc>
          <w:tcPr>
            <w:tcW w:w="1224" w:type="dxa"/>
          </w:tcPr>
          <w:p>
            <w:pPr>
              <w:pStyle w:val="TableParagraph"/>
              <w:spacing w:before="18"/>
              <w:ind w:right="33"/>
              <w:jc w:val="right"/>
              <w:rPr>
                <w:sz w:val="18"/>
              </w:rPr>
            </w:pPr>
            <w:r>
              <w:rPr>
                <w:w w:val="95"/>
                <w:sz w:val="18"/>
              </w:rPr>
              <w:t>(5,630)</w:t>
            </w:r>
          </w:p>
        </w:tc>
        <w:tc>
          <w:tcPr>
            <w:tcW w:w="1007" w:type="dxa"/>
          </w:tcPr>
          <w:p>
            <w:pPr>
              <w:pStyle w:val="TableParagraph"/>
              <w:spacing w:before="18"/>
              <w:ind w:right="93"/>
              <w:jc w:val="right"/>
              <w:rPr>
                <w:sz w:val="18"/>
              </w:rPr>
            </w:pPr>
            <w:r>
              <w:rPr>
                <w:w w:val="95"/>
                <w:sz w:val="18"/>
              </w:rPr>
              <w:t>15,408</w:t>
            </w:r>
          </w:p>
        </w:tc>
        <w:tc>
          <w:tcPr>
            <w:tcW w:w="1008" w:type="dxa"/>
          </w:tcPr>
          <w:p>
            <w:pPr>
              <w:pStyle w:val="TableParagraph"/>
              <w:spacing w:before="18"/>
              <w:ind w:right="93"/>
              <w:jc w:val="right"/>
              <w:rPr>
                <w:sz w:val="18"/>
              </w:rPr>
            </w:pPr>
            <w:r>
              <w:rPr>
                <w:w w:val="95"/>
                <w:sz w:val="18"/>
              </w:rPr>
              <w:t>7,975</w:t>
            </w:r>
          </w:p>
        </w:tc>
        <w:tc>
          <w:tcPr>
            <w:tcW w:w="1008" w:type="dxa"/>
          </w:tcPr>
          <w:p>
            <w:pPr>
              <w:pStyle w:val="TableParagraph"/>
              <w:spacing w:before="18"/>
              <w:ind w:right="34"/>
              <w:jc w:val="right"/>
              <w:rPr>
                <w:sz w:val="18"/>
              </w:rPr>
            </w:pPr>
            <w:r>
              <w:rPr>
                <w:w w:val="95"/>
                <w:sz w:val="18"/>
              </w:rPr>
              <w:t>(2,983)</w:t>
            </w:r>
          </w:p>
        </w:tc>
        <w:tc>
          <w:tcPr>
            <w:tcW w:w="1008" w:type="dxa"/>
          </w:tcPr>
          <w:p>
            <w:pPr>
              <w:pStyle w:val="TableParagraph"/>
              <w:spacing w:before="18"/>
              <w:ind w:left="361"/>
              <w:rPr>
                <w:sz w:val="18"/>
              </w:rPr>
            </w:pPr>
            <w:r>
              <w:rPr>
                <w:sz w:val="18"/>
              </w:rPr>
              <w:t>56,029</w:t>
            </w:r>
          </w:p>
        </w:tc>
      </w:tr>
    </w:tbl>
    <w:p>
      <w:pPr>
        <w:spacing w:after="0"/>
        <w:rPr>
          <w:sz w:val="18"/>
        </w:rPr>
        <w:sectPr>
          <w:pgSz w:w="11910" w:h="16840"/>
          <w:pgMar w:header="1038" w:footer="507" w:top="2220" w:bottom="700" w:left="900" w:right="860"/>
        </w:sectPr>
      </w:pPr>
    </w:p>
    <w:p>
      <w:pPr>
        <w:pStyle w:val="BodyText"/>
        <w:rPr>
          <w:sz w:val="20"/>
        </w:rPr>
      </w:pPr>
    </w:p>
    <w:p>
      <w:pPr>
        <w:pStyle w:val="BodyText"/>
        <w:rPr>
          <w:sz w:val="20"/>
        </w:rPr>
      </w:pPr>
    </w:p>
    <w:p>
      <w:pPr>
        <w:pStyle w:val="BodyText"/>
        <w:spacing w:before="4"/>
      </w:pPr>
    </w:p>
    <w:p>
      <w:pPr>
        <w:pStyle w:val="Heading9"/>
        <w:ind w:left="109" w:right="125"/>
      </w:pPr>
      <w:r>
        <w:rPr/>
        <w:t>36    Defined Benefits Plans (continued)</w:t>
      </w:r>
    </w:p>
    <w:p>
      <w:pPr>
        <w:pStyle w:val="BodyText"/>
        <w:spacing w:before="11"/>
        <w:rPr>
          <w:b/>
          <w:sz w:val="24"/>
        </w:rPr>
      </w:pPr>
    </w:p>
    <w:p>
      <w:pPr>
        <w:pStyle w:val="BodyText"/>
        <w:ind w:left="505" w:right="125"/>
      </w:pPr>
      <w:r>
        <w:rPr/>
        <w:pict>
          <v:shape style="position:absolute;margin-left:96.829521pt;margin-top:-3.850925pt;width:449.5pt;height:572.5pt;mso-position-horizontal-relative:page;mso-position-vertical-relative:paragraph;z-index:383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00"/>
                    <w:gridCol w:w="1169"/>
                    <w:gridCol w:w="73"/>
                    <w:gridCol w:w="437"/>
                    <w:gridCol w:w="600"/>
                    <w:gridCol w:w="541"/>
                    <w:gridCol w:w="495"/>
                    <w:gridCol w:w="391"/>
                    <w:gridCol w:w="646"/>
                    <w:gridCol w:w="390"/>
                    <w:gridCol w:w="647"/>
                  </w:tblGrid>
                  <w:tr>
                    <w:trPr>
                      <w:trHeight w:val="519" w:hRule="exact"/>
                    </w:trPr>
                    <w:tc>
                      <w:tcPr>
                        <w:tcW w:w="3600" w:type="dxa"/>
                      </w:tcPr>
                      <w:p>
                        <w:pPr>
                          <w:pStyle w:val="TableParagraph"/>
                          <w:spacing w:before="77"/>
                          <w:ind w:left="35"/>
                          <w:rPr>
                            <w:sz w:val="18"/>
                          </w:rPr>
                        </w:pPr>
                        <w:r>
                          <w:rPr>
                            <w:sz w:val="18"/>
                          </w:rPr>
                          <w:t>Present value obligations (Current)</w:t>
                        </w:r>
                      </w:p>
                    </w:tc>
                    <w:tc>
                      <w:tcPr>
                        <w:tcW w:w="1169" w:type="dxa"/>
                      </w:tcPr>
                      <w:p>
                        <w:pPr/>
                      </w:p>
                    </w:tc>
                    <w:tc>
                      <w:tcPr>
                        <w:tcW w:w="510" w:type="dxa"/>
                        <w:gridSpan w:val="2"/>
                      </w:tcPr>
                      <w:p>
                        <w:pPr>
                          <w:pStyle w:val="TableParagraph"/>
                          <w:rPr>
                            <w:sz w:val="14"/>
                          </w:rPr>
                        </w:pPr>
                      </w:p>
                      <w:p>
                        <w:pPr>
                          <w:pStyle w:val="TableParagraph"/>
                          <w:spacing w:before="6"/>
                          <w:rPr>
                            <w:sz w:val="13"/>
                          </w:rPr>
                        </w:pPr>
                      </w:p>
                      <w:p>
                        <w:pPr>
                          <w:pStyle w:val="TableParagraph"/>
                          <w:spacing w:before="1"/>
                          <w:ind w:left="73"/>
                          <w:rPr>
                            <w:b/>
                            <w:sz w:val="14"/>
                          </w:rPr>
                        </w:pPr>
                        <w:r>
                          <w:rPr>
                            <w:b/>
                            <w:sz w:val="14"/>
                          </w:rPr>
                          <w:t>SASS</w:t>
                        </w:r>
                      </w:p>
                    </w:tc>
                    <w:tc>
                      <w:tcPr>
                        <w:tcW w:w="600" w:type="dxa"/>
                      </w:tcPr>
                      <w:p>
                        <w:pPr/>
                      </w:p>
                    </w:tc>
                    <w:tc>
                      <w:tcPr>
                        <w:tcW w:w="541" w:type="dxa"/>
                      </w:tcPr>
                      <w:p>
                        <w:pPr>
                          <w:pStyle w:val="TableParagraph"/>
                          <w:rPr>
                            <w:sz w:val="14"/>
                          </w:rPr>
                        </w:pPr>
                      </w:p>
                      <w:p>
                        <w:pPr>
                          <w:pStyle w:val="TableParagraph"/>
                          <w:spacing w:before="6"/>
                          <w:rPr>
                            <w:sz w:val="13"/>
                          </w:rPr>
                        </w:pPr>
                      </w:p>
                      <w:p>
                        <w:pPr>
                          <w:pStyle w:val="TableParagraph"/>
                          <w:spacing w:before="1"/>
                          <w:ind w:left="22"/>
                          <w:rPr>
                            <w:b/>
                            <w:sz w:val="14"/>
                          </w:rPr>
                        </w:pPr>
                        <w:r>
                          <w:rPr>
                            <w:b/>
                            <w:sz w:val="14"/>
                          </w:rPr>
                          <w:t>SANCS</w:t>
                        </w:r>
                      </w:p>
                    </w:tc>
                    <w:tc>
                      <w:tcPr>
                        <w:tcW w:w="495" w:type="dxa"/>
                      </w:tcPr>
                      <w:p>
                        <w:pPr/>
                      </w:p>
                    </w:tc>
                    <w:tc>
                      <w:tcPr>
                        <w:tcW w:w="391" w:type="dxa"/>
                      </w:tcPr>
                      <w:p>
                        <w:pPr>
                          <w:pStyle w:val="TableParagraph"/>
                          <w:rPr>
                            <w:sz w:val="14"/>
                          </w:rPr>
                        </w:pPr>
                      </w:p>
                      <w:p>
                        <w:pPr>
                          <w:pStyle w:val="TableParagraph"/>
                          <w:spacing w:before="6"/>
                          <w:rPr>
                            <w:sz w:val="13"/>
                          </w:rPr>
                        </w:pPr>
                      </w:p>
                      <w:p>
                        <w:pPr>
                          <w:pStyle w:val="TableParagraph"/>
                          <w:spacing w:before="1"/>
                          <w:ind w:left="22"/>
                          <w:rPr>
                            <w:b/>
                            <w:sz w:val="14"/>
                          </w:rPr>
                        </w:pPr>
                        <w:r>
                          <w:rPr>
                            <w:b/>
                            <w:sz w:val="14"/>
                          </w:rPr>
                          <w:t>SSS</w:t>
                        </w:r>
                      </w:p>
                    </w:tc>
                    <w:tc>
                      <w:tcPr>
                        <w:tcW w:w="646" w:type="dxa"/>
                      </w:tcPr>
                      <w:p>
                        <w:pPr/>
                      </w:p>
                    </w:tc>
                    <w:tc>
                      <w:tcPr>
                        <w:tcW w:w="390" w:type="dxa"/>
                      </w:tcPr>
                      <w:p>
                        <w:pPr>
                          <w:pStyle w:val="TableParagraph"/>
                          <w:rPr>
                            <w:sz w:val="14"/>
                          </w:rPr>
                        </w:pPr>
                      </w:p>
                      <w:p>
                        <w:pPr>
                          <w:pStyle w:val="TableParagraph"/>
                          <w:spacing w:before="6"/>
                          <w:rPr>
                            <w:sz w:val="13"/>
                          </w:rPr>
                        </w:pPr>
                      </w:p>
                      <w:p>
                        <w:pPr>
                          <w:pStyle w:val="TableParagraph"/>
                          <w:spacing w:before="1"/>
                          <w:ind w:left="2" w:right="9"/>
                          <w:jc w:val="center"/>
                          <w:rPr>
                            <w:b/>
                            <w:sz w:val="14"/>
                          </w:rPr>
                        </w:pPr>
                        <w:r>
                          <w:rPr>
                            <w:b/>
                            <w:sz w:val="14"/>
                          </w:rPr>
                          <w:t>Total</w:t>
                        </w:r>
                      </w:p>
                    </w:tc>
                    <w:tc>
                      <w:tcPr>
                        <w:tcW w:w="647" w:type="dxa"/>
                        <w:vMerge w:val="restart"/>
                      </w:tcPr>
                      <w:p>
                        <w:pPr/>
                      </w:p>
                    </w:tc>
                  </w:tr>
                  <w:tr>
                    <w:trPr>
                      <w:trHeight w:val="268" w:hRule="exact"/>
                    </w:trPr>
                    <w:tc>
                      <w:tcPr>
                        <w:tcW w:w="3600" w:type="dxa"/>
                      </w:tcPr>
                      <w:p>
                        <w:pPr/>
                      </w:p>
                    </w:tc>
                    <w:tc>
                      <w:tcPr>
                        <w:tcW w:w="1169" w:type="dxa"/>
                      </w:tcPr>
                      <w:p>
                        <w:pPr>
                          <w:pStyle w:val="TableParagraph"/>
                          <w:spacing w:before="26"/>
                          <w:ind w:left="783"/>
                          <w:rPr>
                            <w:b/>
                            <w:sz w:val="14"/>
                          </w:rPr>
                        </w:pPr>
                        <w:r>
                          <w:rPr>
                            <w:b/>
                            <w:sz w:val="14"/>
                          </w:rPr>
                          <w:t>Note</w:t>
                        </w:r>
                      </w:p>
                    </w:tc>
                    <w:tc>
                      <w:tcPr>
                        <w:tcW w:w="510" w:type="dxa"/>
                        <w:gridSpan w:val="2"/>
                      </w:tcPr>
                      <w:p>
                        <w:pPr>
                          <w:pStyle w:val="TableParagraph"/>
                          <w:spacing w:before="26"/>
                          <w:ind w:left="73"/>
                          <w:rPr>
                            <w:b/>
                            <w:sz w:val="14"/>
                          </w:rPr>
                        </w:pPr>
                        <w:r>
                          <w:rPr>
                            <w:b/>
                            <w:sz w:val="14"/>
                          </w:rPr>
                          <w:t>$'000</w:t>
                        </w:r>
                      </w:p>
                    </w:tc>
                    <w:tc>
                      <w:tcPr>
                        <w:tcW w:w="600" w:type="dxa"/>
                      </w:tcPr>
                      <w:p>
                        <w:pPr/>
                      </w:p>
                    </w:tc>
                    <w:tc>
                      <w:tcPr>
                        <w:tcW w:w="541" w:type="dxa"/>
                      </w:tcPr>
                      <w:p>
                        <w:pPr>
                          <w:pStyle w:val="TableParagraph"/>
                          <w:spacing w:before="26"/>
                          <w:ind w:left="22"/>
                          <w:rPr>
                            <w:b/>
                            <w:sz w:val="14"/>
                          </w:rPr>
                        </w:pPr>
                        <w:r>
                          <w:rPr>
                            <w:b/>
                            <w:sz w:val="14"/>
                          </w:rPr>
                          <w:t>$'000</w:t>
                        </w:r>
                      </w:p>
                    </w:tc>
                    <w:tc>
                      <w:tcPr>
                        <w:tcW w:w="495" w:type="dxa"/>
                      </w:tcPr>
                      <w:p>
                        <w:pPr/>
                      </w:p>
                    </w:tc>
                    <w:tc>
                      <w:tcPr>
                        <w:tcW w:w="391" w:type="dxa"/>
                      </w:tcPr>
                      <w:p>
                        <w:pPr>
                          <w:pStyle w:val="TableParagraph"/>
                          <w:spacing w:before="26"/>
                          <w:ind w:left="22"/>
                          <w:rPr>
                            <w:b/>
                            <w:sz w:val="14"/>
                          </w:rPr>
                        </w:pPr>
                        <w:r>
                          <w:rPr>
                            <w:b/>
                            <w:sz w:val="14"/>
                          </w:rPr>
                          <w:t>$'000</w:t>
                        </w:r>
                      </w:p>
                    </w:tc>
                    <w:tc>
                      <w:tcPr>
                        <w:tcW w:w="646" w:type="dxa"/>
                      </w:tcPr>
                      <w:p>
                        <w:pPr/>
                      </w:p>
                    </w:tc>
                    <w:tc>
                      <w:tcPr>
                        <w:tcW w:w="390" w:type="dxa"/>
                      </w:tcPr>
                      <w:p>
                        <w:pPr>
                          <w:pStyle w:val="TableParagraph"/>
                          <w:spacing w:before="26"/>
                          <w:ind w:left="2" w:right="2"/>
                          <w:jc w:val="center"/>
                          <w:rPr>
                            <w:b/>
                            <w:sz w:val="14"/>
                          </w:rPr>
                        </w:pPr>
                        <w:r>
                          <w:rPr>
                            <w:b/>
                            <w:sz w:val="14"/>
                          </w:rPr>
                          <w:t>$'000</w:t>
                        </w:r>
                      </w:p>
                    </w:tc>
                    <w:tc>
                      <w:tcPr>
                        <w:tcW w:w="647" w:type="dxa"/>
                        <w:vMerge/>
                      </w:tcPr>
                      <w:p>
                        <w:pPr/>
                      </w:p>
                    </w:tc>
                  </w:tr>
                  <w:tr>
                    <w:trPr>
                      <w:trHeight w:val="248" w:hRule="exact"/>
                    </w:trPr>
                    <w:tc>
                      <w:tcPr>
                        <w:tcW w:w="3600" w:type="dxa"/>
                      </w:tcPr>
                      <w:p>
                        <w:pPr>
                          <w:pStyle w:val="TableParagraph"/>
                          <w:spacing w:before="66"/>
                          <w:ind w:left="35"/>
                          <w:rPr>
                            <w:b/>
                            <w:sz w:val="14"/>
                          </w:rPr>
                        </w:pPr>
                        <w:r>
                          <w:rPr>
                            <w:b/>
                            <w:sz w:val="14"/>
                          </w:rPr>
                          <w:t>Present value obligations - 2012</w:t>
                        </w:r>
                      </w:p>
                    </w:tc>
                    <w:tc>
                      <w:tcPr>
                        <w:tcW w:w="1169" w:type="dxa"/>
                      </w:tcPr>
                      <w:p>
                        <w:pPr/>
                      </w:p>
                    </w:tc>
                    <w:tc>
                      <w:tcPr>
                        <w:tcW w:w="510" w:type="dxa"/>
                        <w:gridSpan w:val="2"/>
                      </w:tcPr>
                      <w:p>
                        <w:pPr/>
                      </w:p>
                    </w:tc>
                    <w:tc>
                      <w:tcPr>
                        <w:tcW w:w="600" w:type="dxa"/>
                      </w:tcPr>
                      <w:p>
                        <w:pPr/>
                      </w:p>
                    </w:tc>
                    <w:tc>
                      <w:tcPr>
                        <w:tcW w:w="541" w:type="dxa"/>
                      </w:tcPr>
                      <w:p>
                        <w:pPr/>
                      </w:p>
                    </w:tc>
                    <w:tc>
                      <w:tcPr>
                        <w:tcW w:w="495" w:type="dxa"/>
                      </w:tcPr>
                      <w:p>
                        <w:pPr/>
                      </w:p>
                    </w:tc>
                    <w:tc>
                      <w:tcPr>
                        <w:tcW w:w="391" w:type="dxa"/>
                      </w:tcPr>
                      <w:p>
                        <w:pPr/>
                      </w:p>
                    </w:tc>
                    <w:tc>
                      <w:tcPr>
                        <w:tcW w:w="646" w:type="dxa"/>
                      </w:tcPr>
                      <w:p>
                        <w:pPr/>
                      </w:p>
                    </w:tc>
                    <w:tc>
                      <w:tcPr>
                        <w:tcW w:w="390" w:type="dxa"/>
                      </w:tcPr>
                      <w:p>
                        <w:pPr/>
                      </w:p>
                    </w:tc>
                    <w:tc>
                      <w:tcPr>
                        <w:tcW w:w="647" w:type="dxa"/>
                        <w:vMerge/>
                      </w:tcPr>
                      <w:p>
                        <w:pPr/>
                      </w:p>
                    </w:tc>
                  </w:tr>
                  <w:tr>
                    <w:trPr>
                      <w:trHeight w:val="205" w:hRule="exact"/>
                    </w:trPr>
                    <w:tc>
                      <w:tcPr>
                        <w:tcW w:w="3600" w:type="dxa"/>
                      </w:tcPr>
                      <w:p>
                        <w:pPr>
                          <w:pStyle w:val="TableParagraph"/>
                          <w:spacing w:before="8"/>
                          <w:ind w:left="35"/>
                          <w:rPr>
                            <w:sz w:val="14"/>
                          </w:rPr>
                        </w:pPr>
                        <w:r>
                          <w:rPr>
                            <w:sz w:val="14"/>
                          </w:rPr>
                          <w:t>Opening defined benefit obligation</w:t>
                        </w:r>
                      </w:p>
                    </w:tc>
                    <w:tc>
                      <w:tcPr>
                        <w:tcW w:w="1169" w:type="dxa"/>
                      </w:tcPr>
                      <w:p>
                        <w:pPr/>
                      </w:p>
                    </w:tc>
                    <w:tc>
                      <w:tcPr>
                        <w:tcW w:w="510" w:type="dxa"/>
                        <w:gridSpan w:val="2"/>
                      </w:tcPr>
                      <w:p>
                        <w:pPr/>
                      </w:p>
                    </w:tc>
                    <w:tc>
                      <w:tcPr>
                        <w:tcW w:w="600" w:type="dxa"/>
                      </w:tcPr>
                      <w:p>
                        <w:pPr>
                          <w:pStyle w:val="TableParagraph"/>
                          <w:spacing w:before="7"/>
                          <w:ind w:right="67"/>
                          <w:jc w:val="right"/>
                          <w:rPr>
                            <w:sz w:val="14"/>
                          </w:rPr>
                        </w:pPr>
                        <w:r>
                          <w:rPr>
                            <w:sz w:val="14"/>
                          </w:rPr>
                          <w:t>39,820</w:t>
                        </w:r>
                      </w:p>
                    </w:tc>
                    <w:tc>
                      <w:tcPr>
                        <w:tcW w:w="541" w:type="dxa"/>
                      </w:tcPr>
                      <w:p>
                        <w:pPr/>
                      </w:p>
                    </w:tc>
                    <w:tc>
                      <w:tcPr>
                        <w:tcW w:w="495" w:type="dxa"/>
                      </w:tcPr>
                      <w:p>
                        <w:pPr>
                          <w:pStyle w:val="TableParagraph"/>
                          <w:spacing w:before="7"/>
                          <w:ind w:right="68"/>
                          <w:jc w:val="right"/>
                          <w:rPr>
                            <w:sz w:val="14"/>
                          </w:rPr>
                        </w:pPr>
                        <w:r>
                          <w:rPr>
                            <w:sz w:val="14"/>
                          </w:rPr>
                          <w:t>7,922</w:t>
                        </w:r>
                      </w:p>
                    </w:tc>
                    <w:tc>
                      <w:tcPr>
                        <w:tcW w:w="391" w:type="dxa"/>
                      </w:tcPr>
                      <w:p>
                        <w:pPr/>
                      </w:p>
                    </w:tc>
                    <w:tc>
                      <w:tcPr>
                        <w:tcW w:w="646" w:type="dxa"/>
                      </w:tcPr>
                      <w:p>
                        <w:pPr>
                          <w:pStyle w:val="TableParagraph"/>
                          <w:spacing w:before="7"/>
                          <w:ind w:right="68"/>
                          <w:jc w:val="right"/>
                          <w:rPr>
                            <w:sz w:val="14"/>
                          </w:rPr>
                        </w:pPr>
                        <w:r>
                          <w:rPr>
                            <w:sz w:val="14"/>
                          </w:rPr>
                          <w:t>332,783</w:t>
                        </w:r>
                      </w:p>
                    </w:tc>
                    <w:tc>
                      <w:tcPr>
                        <w:tcW w:w="390" w:type="dxa"/>
                      </w:tcPr>
                      <w:p>
                        <w:pPr/>
                      </w:p>
                    </w:tc>
                    <w:tc>
                      <w:tcPr>
                        <w:tcW w:w="647" w:type="dxa"/>
                      </w:tcPr>
                      <w:p>
                        <w:pPr>
                          <w:pStyle w:val="TableParagraph"/>
                          <w:spacing w:before="7"/>
                          <w:ind w:left="4" w:right="4"/>
                          <w:jc w:val="center"/>
                          <w:rPr>
                            <w:sz w:val="14"/>
                          </w:rPr>
                        </w:pPr>
                        <w:r>
                          <w:rPr>
                            <w:sz w:val="14"/>
                          </w:rPr>
                          <w:t>380,525</w:t>
                        </w:r>
                      </w:p>
                    </w:tc>
                  </w:tr>
                  <w:tr>
                    <w:trPr>
                      <w:trHeight w:val="218" w:hRule="exact"/>
                    </w:trPr>
                    <w:tc>
                      <w:tcPr>
                        <w:tcW w:w="3600" w:type="dxa"/>
                      </w:tcPr>
                      <w:p>
                        <w:pPr>
                          <w:pStyle w:val="TableParagraph"/>
                          <w:spacing w:before="22"/>
                          <w:ind w:left="35"/>
                          <w:rPr>
                            <w:sz w:val="14"/>
                          </w:rPr>
                        </w:pPr>
                        <w:r>
                          <w:rPr>
                            <w:sz w:val="14"/>
                          </w:rPr>
                          <w:t>Current service cost</w:t>
                        </w:r>
                      </w:p>
                    </w:tc>
                    <w:tc>
                      <w:tcPr>
                        <w:tcW w:w="1169" w:type="dxa"/>
                      </w:tcPr>
                      <w:p>
                        <w:pPr/>
                      </w:p>
                    </w:tc>
                    <w:tc>
                      <w:tcPr>
                        <w:tcW w:w="510" w:type="dxa"/>
                        <w:gridSpan w:val="2"/>
                      </w:tcPr>
                      <w:p>
                        <w:pPr/>
                      </w:p>
                    </w:tc>
                    <w:tc>
                      <w:tcPr>
                        <w:tcW w:w="600" w:type="dxa"/>
                      </w:tcPr>
                      <w:p>
                        <w:pPr>
                          <w:pStyle w:val="TableParagraph"/>
                          <w:spacing w:before="20"/>
                          <w:ind w:right="67"/>
                          <w:jc w:val="right"/>
                          <w:rPr>
                            <w:sz w:val="14"/>
                          </w:rPr>
                        </w:pPr>
                        <w:r>
                          <w:rPr>
                            <w:sz w:val="14"/>
                          </w:rPr>
                          <w:t>1,428</w:t>
                        </w:r>
                      </w:p>
                    </w:tc>
                    <w:tc>
                      <w:tcPr>
                        <w:tcW w:w="541" w:type="dxa"/>
                      </w:tcPr>
                      <w:p>
                        <w:pPr/>
                      </w:p>
                    </w:tc>
                    <w:tc>
                      <w:tcPr>
                        <w:tcW w:w="495" w:type="dxa"/>
                      </w:tcPr>
                      <w:p>
                        <w:pPr>
                          <w:pStyle w:val="TableParagraph"/>
                          <w:spacing w:before="20"/>
                          <w:ind w:right="67"/>
                          <w:jc w:val="right"/>
                          <w:rPr>
                            <w:sz w:val="14"/>
                          </w:rPr>
                        </w:pPr>
                        <w:r>
                          <w:rPr>
                            <w:sz w:val="14"/>
                          </w:rPr>
                          <w:t>334</w:t>
                        </w:r>
                      </w:p>
                    </w:tc>
                    <w:tc>
                      <w:tcPr>
                        <w:tcW w:w="391" w:type="dxa"/>
                      </w:tcPr>
                      <w:p>
                        <w:pPr/>
                      </w:p>
                    </w:tc>
                    <w:tc>
                      <w:tcPr>
                        <w:tcW w:w="646" w:type="dxa"/>
                      </w:tcPr>
                      <w:p>
                        <w:pPr>
                          <w:pStyle w:val="TableParagraph"/>
                          <w:spacing w:before="20"/>
                          <w:ind w:right="67"/>
                          <w:jc w:val="right"/>
                          <w:rPr>
                            <w:sz w:val="14"/>
                          </w:rPr>
                        </w:pPr>
                        <w:r>
                          <w:rPr>
                            <w:sz w:val="14"/>
                          </w:rPr>
                          <w:t>437</w:t>
                        </w:r>
                      </w:p>
                    </w:tc>
                    <w:tc>
                      <w:tcPr>
                        <w:tcW w:w="390" w:type="dxa"/>
                      </w:tcPr>
                      <w:p>
                        <w:pPr/>
                      </w:p>
                    </w:tc>
                    <w:tc>
                      <w:tcPr>
                        <w:tcW w:w="647" w:type="dxa"/>
                      </w:tcPr>
                      <w:p>
                        <w:pPr>
                          <w:pStyle w:val="TableParagraph"/>
                          <w:spacing w:before="20"/>
                          <w:ind w:left="157" w:right="4"/>
                          <w:jc w:val="center"/>
                          <w:rPr>
                            <w:sz w:val="14"/>
                          </w:rPr>
                        </w:pPr>
                        <w:r>
                          <w:rPr>
                            <w:sz w:val="14"/>
                          </w:rPr>
                          <w:t>2,199</w:t>
                        </w:r>
                      </w:p>
                    </w:tc>
                  </w:tr>
                  <w:tr>
                    <w:trPr>
                      <w:trHeight w:val="218" w:hRule="exact"/>
                    </w:trPr>
                    <w:tc>
                      <w:tcPr>
                        <w:tcW w:w="3600" w:type="dxa"/>
                      </w:tcPr>
                      <w:p>
                        <w:pPr>
                          <w:pStyle w:val="TableParagraph"/>
                          <w:spacing w:before="22"/>
                          <w:ind w:left="35"/>
                          <w:rPr>
                            <w:sz w:val="14"/>
                          </w:rPr>
                        </w:pPr>
                        <w:r>
                          <w:rPr>
                            <w:sz w:val="14"/>
                          </w:rPr>
                          <w:t>Interest cost</w:t>
                        </w:r>
                      </w:p>
                    </w:tc>
                    <w:tc>
                      <w:tcPr>
                        <w:tcW w:w="1169" w:type="dxa"/>
                      </w:tcPr>
                      <w:p>
                        <w:pPr/>
                      </w:p>
                    </w:tc>
                    <w:tc>
                      <w:tcPr>
                        <w:tcW w:w="510" w:type="dxa"/>
                        <w:gridSpan w:val="2"/>
                      </w:tcPr>
                      <w:p>
                        <w:pPr/>
                      </w:p>
                    </w:tc>
                    <w:tc>
                      <w:tcPr>
                        <w:tcW w:w="600" w:type="dxa"/>
                      </w:tcPr>
                      <w:p>
                        <w:pPr>
                          <w:pStyle w:val="TableParagraph"/>
                          <w:spacing w:before="20"/>
                          <w:ind w:right="67"/>
                          <w:jc w:val="right"/>
                          <w:rPr>
                            <w:sz w:val="14"/>
                          </w:rPr>
                        </w:pPr>
                        <w:r>
                          <w:rPr>
                            <w:sz w:val="14"/>
                          </w:rPr>
                          <w:t>1,381</w:t>
                        </w:r>
                      </w:p>
                    </w:tc>
                    <w:tc>
                      <w:tcPr>
                        <w:tcW w:w="541" w:type="dxa"/>
                      </w:tcPr>
                      <w:p>
                        <w:pPr/>
                      </w:p>
                    </w:tc>
                    <w:tc>
                      <w:tcPr>
                        <w:tcW w:w="495" w:type="dxa"/>
                      </w:tcPr>
                      <w:p>
                        <w:pPr>
                          <w:pStyle w:val="TableParagraph"/>
                          <w:spacing w:before="20"/>
                          <w:ind w:right="67"/>
                          <w:jc w:val="right"/>
                          <w:rPr>
                            <w:sz w:val="14"/>
                          </w:rPr>
                        </w:pPr>
                        <w:r>
                          <w:rPr>
                            <w:sz w:val="14"/>
                          </w:rPr>
                          <w:t>271</w:t>
                        </w:r>
                      </w:p>
                    </w:tc>
                    <w:tc>
                      <w:tcPr>
                        <w:tcW w:w="391" w:type="dxa"/>
                      </w:tcPr>
                      <w:p>
                        <w:pPr/>
                      </w:p>
                    </w:tc>
                    <w:tc>
                      <w:tcPr>
                        <w:tcW w:w="646" w:type="dxa"/>
                      </w:tcPr>
                      <w:p>
                        <w:pPr>
                          <w:pStyle w:val="TableParagraph"/>
                          <w:spacing w:before="20"/>
                          <w:ind w:right="68"/>
                          <w:jc w:val="right"/>
                          <w:rPr>
                            <w:sz w:val="14"/>
                          </w:rPr>
                        </w:pPr>
                        <w:r>
                          <w:rPr>
                            <w:sz w:val="14"/>
                          </w:rPr>
                          <w:t>12,038</w:t>
                        </w:r>
                      </w:p>
                    </w:tc>
                    <w:tc>
                      <w:tcPr>
                        <w:tcW w:w="390" w:type="dxa"/>
                      </w:tcPr>
                      <w:p>
                        <w:pPr/>
                      </w:p>
                    </w:tc>
                    <w:tc>
                      <w:tcPr>
                        <w:tcW w:w="647" w:type="dxa"/>
                      </w:tcPr>
                      <w:p>
                        <w:pPr>
                          <w:pStyle w:val="TableParagraph"/>
                          <w:spacing w:before="20"/>
                          <w:ind w:left="79" w:right="4"/>
                          <w:jc w:val="center"/>
                          <w:rPr>
                            <w:sz w:val="14"/>
                          </w:rPr>
                        </w:pPr>
                        <w:r>
                          <w:rPr>
                            <w:sz w:val="14"/>
                          </w:rPr>
                          <w:t>13,690</w:t>
                        </w:r>
                      </w:p>
                    </w:tc>
                  </w:tr>
                  <w:tr>
                    <w:trPr>
                      <w:trHeight w:val="218" w:hRule="exact"/>
                    </w:trPr>
                    <w:tc>
                      <w:tcPr>
                        <w:tcW w:w="3600" w:type="dxa"/>
                      </w:tcPr>
                      <w:p>
                        <w:pPr>
                          <w:pStyle w:val="TableParagraph"/>
                          <w:spacing w:before="22"/>
                          <w:ind w:left="35"/>
                          <w:rPr>
                            <w:sz w:val="14"/>
                          </w:rPr>
                        </w:pPr>
                        <w:r>
                          <w:rPr>
                            <w:sz w:val="14"/>
                          </w:rPr>
                          <w:t>Contributions from plan participants</w:t>
                        </w:r>
                      </w:p>
                    </w:tc>
                    <w:tc>
                      <w:tcPr>
                        <w:tcW w:w="1169" w:type="dxa"/>
                      </w:tcPr>
                      <w:p>
                        <w:pPr/>
                      </w:p>
                    </w:tc>
                    <w:tc>
                      <w:tcPr>
                        <w:tcW w:w="510" w:type="dxa"/>
                        <w:gridSpan w:val="2"/>
                      </w:tcPr>
                      <w:p>
                        <w:pPr/>
                      </w:p>
                    </w:tc>
                    <w:tc>
                      <w:tcPr>
                        <w:tcW w:w="600" w:type="dxa"/>
                      </w:tcPr>
                      <w:p>
                        <w:pPr>
                          <w:pStyle w:val="TableParagraph"/>
                          <w:spacing w:before="20"/>
                          <w:ind w:right="66"/>
                          <w:jc w:val="right"/>
                          <w:rPr>
                            <w:sz w:val="14"/>
                          </w:rPr>
                        </w:pPr>
                        <w:r>
                          <w:rPr>
                            <w:sz w:val="14"/>
                          </w:rPr>
                          <w:t>667</w:t>
                        </w:r>
                      </w:p>
                    </w:tc>
                    <w:tc>
                      <w:tcPr>
                        <w:tcW w:w="541" w:type="dxa"/>
                      </w:tcPr>
                      <w:p>
                        <w:pPr/>
                      </w:p>
                    </w:tc>
                    <w:tc>
                      <w:tcPr>
                        <w:tcW w:w="495" w:type="dxa"/>
                      </w:tcPr>
                      <w:p>
                        <w:pPr>
                          <w:pStyle w:val="TableParagraph"/>
                          <w:spacing w:before="20"/>
                          <w:ind w:right="67"/>
                          <w:jc w:val="right"/>
                          <w:rPr>
                            <w:sz w:val="14"/>
                          </w:rPr>
                        </w:pPr>
                        <w:r>
                          <w:rPr>
                            <w:w w:val="100"/>
                            <w:sz w:val="14"/>
                          </w:rPr>
                          <w:t>-</w:t>
                        </w:r>
                      </w:p>
                    </w:tc>
                    <w:tc>
                      <w:tcPr>
                        <w:tcW w:w="391" w:type="dxa"/>
                      </w:tcPr>
                      <w:p>
                        <w:pPr/>
                      </w:p>
                    </w:tc>
                    <w:tc>
                      <w:tcPr>
                        <w:tcW w:w="646" w:type="dxa"/>
                      </w:tcPr>
                      <w:p>
                        <w:pPr>
                          <w:pStyle w:val="TableParagraph"/>
                          <w:spacing w:before="20"/>
                          <w:ind w:right="67"/>
                          <w:jc w:val="right"/>
                          <w:rPr>
                            <w:sz w:val="14"/>
                          </w:rPr>
                        </w:pPr>
                        <w:r>
                          <w:rPr>
                            <w:sz w:val="14"/>
                          </w:rPr>
                          <w:t>660</w:t>
                        </w:r>
                      </w:p>
                    </w:tc>
                    <w:tc>
                      <w:tcPr>
                        <w:tcW w:w="390" w:type="dxa"/>
                      </w:tcPr>
                      <w:p>
                        <w:pPr/>
                      </w:p>
                    </w:tc>
                    <w:tc>
                      <w:tcPr>
                        <w:tcW w:w="647" w:type="dxa"/>
                      </w:tcPr>
                      <w:p>
                        <w:pPr>
                          <w:pStyle w:val="TableParagraph"/>
                          <w:spacing w:before="20"/>
                          <w:ind w:left="157" w:right="4"/>
                          <w:jc w:val="center"/>
                          <w:rPr>
                            <w:sz w:val="14"/>
                          </w:rPr>
                        </w:pPr>
                        <w:r>
                          <w:rPr>
                            <w:sz w:val="14"/>
                          </w:rPr>
                          <w:t>1,327</w:t>
                        </w:r>
                      </w:p>
                    </w:tc>
                  </w:tr>
                  <w:tr>
                    <w:trPr>
                      <w:trHeight w:val="218" w:hRule="exact"/>
                    </w:trPr>
                    <w:tc>
                      <w:tcPr>
                        <w:tcW w:w="3600" w:type="dxa"/>
                      </w:tcPr>
                      <w:p>
                        <w:pPr>
                          <w:pStyle w:val="TableParagraph"/>
                          <w:spacing w:before="22"/>
                          <w:ind w:left="35"/>
                          <w:rPr>
                            <w:sz w:val="14"/>
                          </w:rPr>
                        </w:pPr>
                        <w:r>
                          <w:rPr>
                            <w:sz w:val="14"/>
                          </w:rPr>
                          <w:t>Actuarial losses/(gains)</w:t>
                        </w:r>
                      </w:p>
                    </w:tc>
                    <w:tc>
                      <w:tcPr>
                        <w:tcW w:w="1169" w:type="dxa"/>
                      </w:tcPr>
                      <w:p>
                        <w:pPr/>
                      </w:p>
                    </w:tc>
                    <w:tc>
                      <w:tcPr>
                        <w:tcW w:w="510" w:type="dxa"/>
                        <w:gridSpan w:val="2"/>
                      </w:tcPr>
                      <w:p>
                        <w:pPr/>
                      </w:p>
                    </w:tc>
                    <w:tc>
                      <w:tcPr>
                        <w:tcW w:w="600" w:type="dxa"/>
                      </w:tcPr>
                      <w:p>
                        <w:pPr>
                          <w:pStyle w:val="TableParagraph"/>
                          <w:spacing w:before="21"/>
                          <w:ind w:right="67"/>
                          <w:jc w:val="right"/>
                          <w:rPr>
                            <w:sz w:val="14"/>
                          </w:rPr>
                        </w:pPr>
                        <w:r>
                          <w:rPr>
                            <w:sz w:val="14"/>
                          </w:rPr>
                          <w:t>3,426</w:t>
                        </w:r>
                      </w:p>
                    </w:tc>
                    <w:tc>
                      <w:tcPr>
                        <w:tcW w:w="541" w:type="dxa"/>
                      </w:tcPr>
                      <w:p>
                        <w:pPr/>
                      </w:p>
                    </w:tc>
                    <w:tc>
                      <w:tcPr>
                        <w:tcW w:w="495" w:type="dxa"/>
                      </w:tcPr>
                      <w:p>
                        <w:pPr>
                          <w:pStyle w:val="TableParagraph"/>
                          <w:spacing w:before="21"/>
                          <w:ind w:right="67"/>
                          <w:jc w:val="right"/>
                          <w:rPr>
                            <w:sz w:val="14"/>
                          </w:rPr>
                        </w:pPr>
                        <w:r>
                          <w:rPr>
                            <w:sz w:val="14"/>
                          </w:rPr>
                          <w:t>408</w:t>
                        </w:r>
                      </w:p>
                    </w:tc>
                    <w:tc>
                      <w:tcPr>
                        <w:tcW w:w="391" w:type="dxa"/>
                      </w:tcPr>
                      <w:p>
                        <w:pPr/>
                      </w:p>
                    </w:tc>
                    <w:tc>
                      <w:tcPr>
                        <w:tcW w:w="646" w:type="dxa"/>
                      </w:tcPr>
                      <w:p>
                        <w:pPr>
                          <w:pStyle w:val="TableParagraph"/>
                          <w:spacing w:before="21"/>
                          <w:ind w:right="68"/>
                          <w:jc w:val="right"/>
                          <w:rPr>
                            <w:sz w:val="14"/>
                          </w:rPr>
                        </w:pPr>
                        <w:r>
                          <w:rPr>
                            <w:sz w:val="14"/>
                          </w:rPr>
                          <w:t>24,648</w:t>
                        </w:r>
                      </w:p>
                    </w:tc>
                    <w:tc>
                      <w:tcPr>
                        <w:tcW w:w="390" w:type="dxa"/>
                      </w:tcPr>
                      <w:p>
                        <w:pPr/>
                      </w:p>
                    </w:tc>
                    <w:tc>
                      <w:tcPr>
                        <w:tcW w:w="647" w:type="dxa"/>
                      </w:tcPr>
                      <w:p>
                        <w:pPr>
                          <w:pStyle w:val="TableParagraph"/>
                          <w:spacing w:before="21"/>
                          <w:ind w:left="79" w:right="4"/>
                          <w:jc w:val="center"/>
                          <w:rPr>
                            <w:sz w:val="14"/>
                          </w:rPr>
                        </w:pPr>
                        <w:r>
                          <w:rPr>
                            <w:sz w:val="14"/>
                          </w:rPr>
                          <w:t>28,482</w:t>
                        </w:r>
                      </w:p>
                    </w:tc>
                  </w:tr>
                  <w:tr>
                    <w:trPr>
                      <w:trHeight w:val="219" w:hRule="exact"/>
                    </w:trPr>
                    <w:tc>
                      <w:tcPr>
                        <w:tcW w:w="3600" w:type="dxa"/>
                      </w:tcPr>
                      <w:p>
                        <w:pPr>
                          <w:pStyle w:val="TableParagraph"/>
                          <w:spacing w:before="22"/>
                          <w:ind w:left="35"/>
                          <w:rPr>
                            <w:sz w:val="14"/>
                          </w:rPr>
                        </w:pPr>
                        <w:r>
                          <w:rPr>
                            <w:sz w:val="14"/>
                          </w:rPr>
                          <w:t>Benefits paid</w:t>
                        </w:r>
                      </w:p>
                    </w:tc>
                    <w:tc>
                      <w:tcPr>
                        <w:tcW w:w="1169" w:type="dxa"/>
                      </w:tcPr>
                      <w:p>
                        <w:pPr/>
                      </w:p>
                    </w:tc>
                    <w:tc>
                      <w:tcPr>
                        <w:tcW w:w="510" w:type="dxa"/>
                        <w:gridSpan w:val="2"/>
                        <w:tcBorders>
                          <w:bottom w:val="single" w:sz="0" w:space="0" w:color="000000"/>
                        </w:tcBorders>
                      </w:tcPr>
                      <w:p>
                        <w:pPr/>
                      </w:p>
                    </w:tc>
                    <w:tc>
                      <w:tcPr>
                        <w:tcW w:w="600" w:type="dxa"/>
                        <w:tcBorders>
                          <w:bottom w:val="single" w:sz="0" w:space="0" w:color="000000"/>
                        </w:tcBorders>
                      </w:tcPr>
                      <w:p>
                        <w:pPr>
                          <w:pStyle w:val="TableParagraph"/>
                          <w:spacing w:before="20"/>
                          <w:ind w:right="20"/>
                          <w:jc w:val="right"/>
                          <w:rPr>
                            <w:sz w:val="14"/>
                          </w:rPr>
                        </w:pPr>
                        <w:r>
                          <w:rPr>
                            <w:sz w:val="14"/>
                          </w:rPr>
                          <w:t>(4,081)</w:t>
                        </w:r>
                      </w:p>
                    </w:tc>
                    <w:tc>
                      <w:tcPr>
                        <w:tcW w:w="541" w:type="dxa"/>
                        <w:tcBorders>
                          <w:bottom w:val="single" w:sz="0" w:space="0" w:color="000000"/>
                        </w:tcBorders>
                      </w:tcPr>
                      <w:p>
                        <w:pPr/>
                      </w:p>
                    </w:tc>
                    <w:tc>
                      <w:tcPr>
                        <w:tcW w:w="495" w:type="dxa"/>
                        <w:tcBorders>
                          <w:bottom w:val="single" w:sz="0" w:space="0" w:color="000000"/>
                        </w:tcBorders>
                      </w:tcPr>
                      <w:p>
                        <w:pPr>
                          <w:pStyle w:val="TableParagraph"/>
                          <w:spacing w:before="20"/>
                          <w:ind w:right="21"/>
                          <w:jc w:val="right"/>
                          <w:rPr>
                            <w:sz w:val="14"/>
                          </w:rPr>
                        </w:pPr>
                        <w:r>
                          <w:rPr>
                            <w:sz w:val="14"/>
                          </w:rPr>
                          <w:t>(1,076)</w:t>
                        </w:r>
                      </w:p>
                    </w:tc>
                    <w:tc>
                      <w:tcPr>
                        <w:tcW w:w="391" w:type="dxa"/>
                        <w:tcBorders>
                          <w:bottom w:val="single" w:sz="0" w:space="0" w:color="000000"/>
                        </w:tcBorders>
                      </w:tcPr>
                      <w:p>
                        <w:pPr/>
                      </w:p>
                    </w:tc>
                    <w:tc>
                      <w:tcPr>
                        <w:tcW w:w="646" w:type="dxa"/>
                        <w:tcBorders>
                          <w:bottom w:val="single" w:sz="0" w:space="0" w:color="000000"/>
                        </w:tcBorders>
                      </w:tcPr>
                      <w:p>
                        <w:pPr>
                          <w:pStyle w:val="TableParagraph"/>
                          <w:spacing w:before="20"/>
                          <w:ind w:right="21"/>
                          <w:jc w:val="right"/>
                          <w:rPr>
                            <w:sz w:val="14"/>
                          </w:rPr>
                        </w:pPr>
                        <w:r>
                          <w:rPr>
                            <w:sz w:val="14"/>
                          </w:rPr>
                          <w:t>(13,432)</w:t>
                        </w:r>
                      </w:p>
                    </w:tc>
                    <w:tc>
                      <w:tcPr>
                        <w:tcW w:w="390" w:type="dxa"/>
                        <w:tcBorders>
                          <w:bottom w:val="single" w:sz="0" w:space="0" w:color="000000"/>
                        </w:tcBorders>
                      </w:tcPr>
                      <w:p>
                        <w:pPr/>
                      </w:p>
                    </w:tc>
                    <w:tc>
                      <w:tcPr>
                        <w:tcW w:w="647" w:type="dxa"/>
                        <w:tcBorders>
                          <w:bottom w:val="single" w:sz="0" w:space="0" w:color="000000"/>
                        </w:tcBorders>
                      </w:tcPr>
                      <w:p>
                        <w:pPr>
                          <w:pStyle w:val="TableParagraph"/>
                          <w:spacing w:before="20"/>
                          <w:ind w:left="79" w:right="4"/>
                          <w:jc w:val="center"/>
                          <w:rPr>
                            <w:sz w:val="14"/>
                          </w:rPr>
                        </w:pPr>
                        <w:r>
                          <w:rPr>
                            <w:sz w:val="14"/>
                          </w:rPr>
                          <w:t>(18,589)</w:t>
                        </w:r>
                      </w:p>
                    </w:tc>
                  </w:tr>
                  <w:tr>
                    <w:trPr>
                      <w:trHeight w:val="238" w:hRule="exact"/>
                    </w:trPr>
                    <w:tc>
                      <w:tcPr>
                        <w:tcW w:w="3600" w:type="dxa"/>
                      </w:tcPr>
                      <w:p>
                        <w:pPr>
                          <w:pStyle w:val="TableParagraph"/>
                          <w:spacing w:before="40"/>
                          <w:ind w:left="35"/>
                          <w:rPr>
                            <w:sz w:val="14"/>
                          </w:rPr>
                        </w:pPr>
                        <w:r>
                          <w:rPr>
                            <w:sz w:val="14"/>
                          </w:rPr>
                          <w:t>Closing defined benefit obligation</w:t>
                        </w:r>
                      </w:p>
                    </w:tc>
                    <w:tc>
                      <w:tcPr>
                        <w:tcW w:w="1169" w:type="dxa"/>
                      </w:tcPr>
                      <w:p>
                        <w:pPr/>
                      </w:p>
                    </w:tc>
                    <w:tc>
                      <w:tcPr>
                        <w:tcW w:w="510" w:type="dxa"/>
                        <w:gridSpan w:val="2"/>
                        <w:tcBorders>
                          <w:top w:val="single" w:sz="0" w:space="0" w:color="000000"/>
                          <w:bottom w:val="single" w:sz="0" w:space="0" w:color="000000"/>
                        </w:tcBorders>
                      </w:tcPr>
                      <w:p>
                        <w:pPr/>
                      </w:p>
                    </w:tc>
                    <w:tc>
                      <w:tcPr>
                        <w:tcW w:w="600" w:type="dxa"/>
                        <w:tcBorders>
                          <w:top w:val="single" w:sz="0" w:space="0" w:color="000000"/>
                          <w:bottom w:val="single" w:sz="0" w:space="0" w:color="000000"/>
                        </w:tcBorders>
                      </w:tcPr>
                      <w:p>
                        <w:pPr>
                          <w:pStyle w:val="TableParagraph"/>
                          <w:spacing w:before="39"/>
                          <w:ind w:right="67"/>
                          <w:jc w:val="right"/>
                          <w:rPr>
                            <w:sz w:val="14"/>
                          </w:rPr>
                        </w:pPr>
                        <w:r>
                          <w:rPr>
                            <w:sz w:val="14"/>
                          </w:rPr>
                          <w:t>42,641</w:t>
                        </w:r>
                      </w:p>
                    </w:tc>
                    <w:tc>
                      <w:tcPr>
                        <w:tcW w:w="541" w:type="dxa"/>
                        <w:tcBorders>
                          <w:top w:val="single" w:sz="0" w:space="0" w:color="000000"/>
                          <w:bottom w:val="single" w:sz="0" w:space="0" w:color="000000"/>
                        </w:tcBorders>
                      </w:tcPr>
                      <w:p>
                        <w:pPr/>
                      </w:p>
                    </w:tc>
                    <w:tc>
                      <w:tcPr>
                        <w:tcW w:w="495" w:type="dxa"/>
                        <w:tcBorders>
                          <w:top w:val="single" w:sz="0" w:space="0" w:color="000000"/>
                          <w:bottom w:val="single" w:sz="0" w:space="0" w:color="000000"/>
                        </w:tcBorders>
                      </w:tcPr>
                      <w:p>
                        <w:pPr>
                          <w:pStyle w:val="TableParagraph"/>
                          <w:spacing w:before="39"/>
                          <w:ind w:right="67"/>
                          <w:jc w:val="right"/>
                          <w:rPr>
                            <w:sz w:val="14"/>
                          </w:rPr>
                        </w:pPr>
                        <w:r>
                          <w:rPr>
                            <w:sz w:val="14"/>
                          </w:rPr>
                          <w:t>7,859</w:t>
                        </w:r>
                      </w:p>
                    </w:tc>
                    <w:tc>
                      <w:tcPr>
                        <w:tcW w:w="391" w:type="dxa"/>
                        <w:tcBorders>
                          <w:top w:val="single" w:sz="0" w:space="0" w:color="000000"/>
                          <w:bottom w:val="single" w:sz="0" w:space="0" w:color="000000"/>
                        </w:tcBorders>
                      </w:tcPr>
                      <w:p>
                        <w:pPr/>
                      </w:p>
                    </w:tc>
                    <w:tc>
                      <w:tcPr>
                        <w:tcW w:w="646" w:type="dxa"/>
                        <w:tcBorders>
                          <w:top w:val="single" w:sz="0" w:space="0" w:color="000000"/>
                          <w:bottom w:val="single" w:sz="0" w:space="0" w:color="000000"/>
                        </w:tcBorders>
                      </w:tcPr>
                      <w:p>
                        <w:pPr>
                          <w:pStyle w:val="TableParagraph"/>
                          <w:spacing w:before="39"/>
                          <w:ind w:right="67"/>
                          <w:jc w:val="right"/>
                          <w:rPr>
                            <w:sz w:val="14"/>
                          </w:rPr>
                        </w:pPr>
                        <w:r>
                          <w:rPr>
                            <w:sz w:val="14"/>
                          </w:rPr>
                          <w:t>357,134</w:t>
                        </w:r>
                      </w:p>
                    </w:tc>
                    <w:tc>
                      <w:tcPr>
                        <w:tcW w:w="390" w:type="dxa"/>
                        <w:tcBorders>
                          <w:top w:val="single" w:sz="0" w:space="0" w:color="000000"/>
                          <w:bottom w:val="single" w:sz="0" w:space="0" w:color="000000"/>
                        </w:tcBorders>
                      </w:tcPr>
                      <w:p>
                        <w:pPr/>
                      </w:p>
                    </w:tc>
                    <w:tc>
                      <w:tcPr>
                        <w:tcW w:w="647" w:type="dxa"/>
                        <w:tcBorders>
                          <w:top w:val="single" w:sz="0" w:space="0" w:color="000000"/>
                          <w:bottom w:val="single" w:sz="0" w:space="0" w:color="000000"/>
                        </w:tcBorders>
                      </w:tcPr>
                      <w:p>
                        <w:pPr>
                          <w:pStyle w:val="TableParagraph"/>
                          <w:spacing w:before="39"/>
                          <w:ind w:left="3" w:right="4"/>
                          <w:jc w:val="center"/>
                          <w:rPr>
                            <w:sz w:val="14"/>
                          </w:rPr>
                        </w:pPr>
                        <w:r>
                          <w:rPr>
                            <w:sz w:val="14"/>
                          </w:rPr>
                          <w:t>407,634</w:t>
                        </w:r>
                      </w:p>
                    </w:tc>
                  </w:tr>
                  <w:tr>
                    <w:trPr>
                      <w:trHeight w:val="306" w:hRule="exact"/>
                    </w:trPr>
                    <w:tc>
                      <w:tcPr>
                        <w:tcW w:w="3600" w:type="dxa"/>
                      </w:tcPr>
                      <w:p>
                        <w:pPr>
                          <w:pStyle w:val="TableParagraph"/>
                          <w:spacing w:before="123"/>
                          <w:ind w:left="35"/>
                          <w:rPr>
                            <w:b/>
                            <w:sz w:val="14"/>
                          </w:rPr>
                        </w:pPr>
                        <w:r>
                          <w:rPr>
                            <w:b/>
                            <w:sz w:val="14"/>
                          </w:rPr>
                          <w:t>Present value of plan assets - 2012</w:t>
                        </w:r>
                      </w:p>
                    </w:tc>
                    <w:tc>
                      <w:tcPr>
                        <w:tcW w:w="1169" w:type="dxa"/>
                      </w:tcPr>
                      <w:p>
                        <w:pPr/>
                      </w:p>
                    </w:tc>
                    <w:tc>
                      <w:tcPr>
                        <w:tcW w:w="510" w:type="dxa"/>
                        <w:gridSpan w:val="2"/>
                        <w:tcBorders>
                          <w:top w:val="single" w:sz="0" w:space="0" w:color="000000"/>
                        </w:tcBorders>
                      </w:tcPr>
                      <w:p>
                        <w:pPr/>
                      </w:p>
                    </w:tc>
                    <w:tc>
                      <w:tcPr>
                        <w:tcW w:w="600" w:type="dxa"/>
                        <w:tcBorders>
                          <w:top w:val="single" w:sz="0" w:space="0" w:color="000000"/>
                        </w:tcBorders>
                      </w:tcPr>
                      <w:p>
                        <w:pPr/>
                      </w:p>
                    </w:tc>
                    <w:tc>
                      <w:tcPr>
                        <w:tcW w:w="541" w:type="dxa"/>
                        <w:tcBorders>
                          <w:top w:val="single" w:sz="0" w:space="0" w:color="000000"/>
                        </w:tcBorders>
                      </w:tcPr>
                      <w:p>
                        <w:pPr/>
                      </w:p>
                    </w:tc>
                    <w:tc>
                      <w:tcPr>
                        <w:tcW w:w="495" w:type="dxa"/>
                        <w:tcBorders>
                          <w:top w:val="single" w:sz="0" w:space="0" w:color="000000"/>
                        </w:tcBorders>
                      </w:tcPr>
                      <w:p>
                        <w:pPr/>
                      </w:p>
                    </w:tc>
                    <w:tc>
                      <w:tcPr>
                        <w:tcW w:w="391" w:type="dxa"/>
                        <w:tcBorders>
                          <w:top w:val="single" w:sz="0" w:space="0" w:color="000000"/>
                        </w:tcBorders>
                      </w:tcPr>
                      <w:p>
                        <w:pPr/>
                      </w:p>
                    </w:tc>
                    <w:tc>
                      <w:tcPr>
                        <w:tcW w:w="646" w:type="dxa"/>
                        <w:tcBorders>
                          <w:top w:val="single" w:sz="0" w:space="0" w:color="000000"/>
                        </w:tcBorders>
                      </w:tcPr>
                      <w:p>
                        <w:pPr/>
                      </w:p>
                    </w:tc>
                    <w:tc>
                      <w:tcPr>
                        <w:tcW w:w="390" w:type="dxa"/>
                        <w:tcBorders>
                          <w:top w:val="single" w:sz="0" w:space="0" w:color="000000"/>
                        </w:tcBorders>
                      </w:tcPr>
                      <w:p>
                        <w:pPr/>
                      </w:p>
                    </w:tc>
                    <w:tc>
                      <w:tcPr>
                        <w:tcW w:w="647" w:type="dxa"/>
                        <w:tcBorders>
                          <w:top w:val="single" w:sz="0" w:space="0" w:color="000000"/>
                        </w:tcBorders>
                      </w:tcPr>
                      <w:p>
                        <w:pPr/>
                      </w:p>
                    </w:tc>
                  </w:tr>
                  <w:tr>
                    <w:trPr>
                      <w:trHeight w:val="205" w:hRule="exact"/>
                    </w:trPr>
                    <w:tc>
                      <w:tcPr>
                        <w:tcW w:w="3600" w:type="dxa"/>
                      </w:tcPr>
                      <w:p>
                        <w:pPr>
                          <w:pStyle w:val="TableParagraph"/>
                          <w:spacing w:before="8"/>
                          <w:ind w:left="35"/>
                          <w:rPr>
                            <w:sz w:val="14"/>
                          </w:rPr>
                        </w:pPr>
                        <w:r>
                          <w:rPr>
                            <w:sz w:val="14"/>
                          </w:rPr>
                          <w:t>Opening fair value of plan assets</w:t>
                        </w:r>
                      </w:p>
                    </w:tc>
                    <w:tc>
                      <w:tcPr>
                        <w:tcW w:w="1169" w:type="dxa"/>
                      </w:tcPr>
                      <w:p>
                        <w:pPr/>
                      </w:p>
                    </w:tc>
                    <w:tc>
                      <w:tcPr>
                        <w:tcW w:w="510" w:type="dxa"/>
                        <w:gridSpan w:val="2"/>
                      </w:tcPr>
                      <w:p>
                        <w:pPr/>
                      </w:p>
                    </w:tc>
                    <w:tc>
                      <w:tcPr>
                        <w:tcW w:w="600" w:type="dxa"/>
                      </w:tcPr>
                      <w:p>
                        <w:pPr>
                          <w:pStyle w:val="TableParagraph"/>
                          <w:spacing w:before="7"/>
                          <w:ind w:right="67"/>
                          <w:jc w:val="right"/>
                          <w:rPr>
                            <w:sz w:val="14"/>
                          </w:rPr>
                        </w:pPr>
                        <w:r>
                          <w:rPr>
                            <w:sz w:val="14"/>
                          </w:rPr>
                          <w:t>30,161</w:t>
                        </w:r>
                      </w:p>
                    </w:tc>
                    <w:tc>
                      <w:tcPr>
                        <w:tcW w:w="541" w:type="dxa"/>
                      </w:tcPr>
                      <w:p>
                        <w:pPr/>
                      </w:p>
                    </w:tc>
                    <w:tc>
                      <w:tcPr>
                        <w:tcW w:w="495" w:type="dxa"/>
                      </w:tcPr>
                      <w:p>
                        <w:pPr>
                          <w:pStyle w:val="TableParagraph"/>
                          <w:spacing w:before="7"/>
                          <w:ind w:right="68"/>
                          <w:jc w:val="right"/>
                          <w:rPr>
                            <w:sz w:val="14"/>
                          </w:rPr>
                        </w:pPr>
                        <w:r>
                          <w:rPr>
                            <w:sz w:val="14"/>
                          </w:rPr>
                          <w:t>4,682</w:t>
                        </w:r>
                      </w:p>
                    </w:tc>
                    <w:tc>
                      <w:tcPr>
                        <w:tcW w:w="391" w:type="dxa"/>
                      </w:tcPr>
                      <w:p>
                        <w:pPr/>
                      </w:p>
                    </w:tc>
                    <w:tc>
                      <w:tcPr>
                        <w:tcW w:w="646" w:type="dxa"/>
                      </w:tcPr>
                      <w:p>
                        <w:pPr>
                          <w:pStyle w:val="TableParagraph"/>
                          <w:spacing w:before="7"/>
                          <w:ind w:right="68"/>
                          <w:jc w:val="right"/>
                          <w:rPr>
                            <w:sz w:val="14"/>
                          </w:rPr>
                        </w:pPr>
                        <w:r>
                          <w:rPr>
                            <w:sz w:val="14"/>
                          </w:rPr>
                          <w:t>110,922</w:t>
                        </w:r>
                      </w:p>
                    </w:tc>
                    <w:tc>
                      <w:tcPr>
                        <w:tcW w:w="390" w:type="dxa"/>
                      </w:tcPr>
                      <w:p>
                        <w:pPr/>
                      </w:p>
                    </w:tc>
                    <w:tc>
                      <w:tcPr>
                        <w:tcW w:w="647" w:type="dxa"/>
                      </w:tcPr>
                      <w:p>
                        <w:pPr>
                          <w:pStyle w:val="TableParagraph"/>
                          <w:spacing w:before="7"/>
                          <w:ind w:left="4" w:right="4"/>
                          <w:jc w:val="center"/>
                          <w:rPr>
                            <w:sz w:val="14"/>
                          </w:rPr>
                        </w:pPr>
                        <w:r>
                          <w:rPr>
                            <w:sz w:val="14"/>
                          </w:rPr>
                          <w:t>145,765</w:t>
                        </w:r>
                      </w:p>
                    </w:tc>
                  </w:tr>
                  <w:tr>
                    <w:trPr>
                      <w:trHeight w:val="218" w:hRule="exact"/>
                    </w:trPr>
                    <w:tc>
                      <w:tcPr>
                        <w:tcW w:w="3600" w:type="dxa"/>
                      </w:tcPr>
                      <w:p>
                        <w:pPr>
                          <w:pStyle w:val="TableParagraph"/>
                          <w:spacing w:before="22"/>
                          <w:ind w:left="35"/>
                          <w:rPr>
                            <w:sz w:val="14"/>
                          </w:rPr>
                        </w:pPr>
                        <w:r>
                          <w:rPr>
                            <w:sz w:val="14"/>
                          </w:rPr>
                          <w:t>Expected return on plan assets</w:t>
                        </w:r>
                      </w:p>
                    </w:tc>
                    <w:tc>
                      <w:tcPr>
                        <w:tcW w:w="1169" w:type="dxa"/>
                      </w:tcPr>
                      <w:p>
                        <w:pPr/>
                      </w:p>
                    </w:tc>
                    <w:tc>
                      <w:tcPr>
                        <w:tcW w:w="510" w:type="dxa"/>
                        <w:gridSpan w:val="2"/>
                      </w:tcPr>
                      <w:p>
                        <w:pPr/>
                      </w:p>
                    </w:tc>
                    <w:tc>
                      <w:tcPr>
                        <w:tcW w:w="600" w:type="dxa"/>
                      </w:tcPr>
                      <w:p>
                        <w:pPr>
                          <w:pStyle w:val="TableParagraph"/>
                          <w:spacing w:before="20"/>
                          <w:ind w:right="67"/>
                          <w:jc w:val="right"/>
                          <w:rPr>
                            <w:sz w:val="14"/>
                          </w:rPr>
                        </w:pPr>
                        <w:r>
                          <w:rPr>
                            <w:sz w:val="14"/>
                          </w:rPr>
                          <w:t>2,379</w:t>
                        </w:r>
                      </w:p>
                    </w:tc>
                    <w:tc>
                      <w:tcPr>
                        <w:tcW w:w="541" w:type="dxa"/>
                      </w:tcPr>
                      <w:p>
                        <w:pPr/>
                      </w:p>
                    </w:tc>
                    <w:tc>
                      <w:tcPr>
                        <w:tcW w:w="495" w:type="dxa"/>
                      </w:tcPr>
                      <w:p>
                        <w:pPr>
                          <w:pStyle w:val="TableParagraph"/>
                          <w:spacing w:before="20"/>
                          <w:ind w:right="67"/>
                          <w:jc w:val="right"/>
                          <w:rPr>
                            <w:sz w:val="14"/>
                          </w:rPr>
                        </w:pPr>
                        <w:r>
                          <w:rPr>
                            <w:sz w:val="14"/>
                          </w:rPr>
                          <w:t>451</w:t>
                        </w:r>
                      </w:p>
                    </w:tc>
                    <w:tc>
                      <w:tcPr>
                        <w:tcW w:w="391" w:type="dxa"/>
                      </w:tcPr>
                      <w:p>
                        <w:pPr/>
                      </w:p>
                    </w:tc>
                    <w:tc>
                      <w:tcPr>
                        <w:tcW w:w="646" w:type="dxa"/>
                      </w:tcPr>
                      <w:p>
                        <w:pPr>
                          <w:pStyle w:val="TableParagraph"/>
                          <w:spacing w:before="20"/>
                          <w:ind w:right="68"/>
                          <w:jc w:val="right"/>
                          <w:rPr>
                            <w:sz w:val="14"/>
                          </w:rPr>
                        </w:pPr>
                        <w:r>
                          <w:rPr>
                            <w:sz w:val="14"/>
                          </w:rPr>
                          <w:t>8,900</w:t>
                        </w:r>
                      </w:p>
                    </w:tc>
                    <w:tc>
                      <w:tcPr>
                        <w:tcW w:w="390" w:type="dxa"/>
                      </w:tcPr>
                      <w:p>
                        <w:pPr/>
                      </w:p>
                    </w:tc>
                    <w:tc>
                      <w:tcPr>
                        <w:tcW w:w="647" w:type="dxa"/>
                      </w:tcPr>
                      <w:p>
                        <w:pPr>
                          <w:pStyle w:val="TableParagraph"/>
                          <w:spacing w:before="20"/>
                          <w:ind w:left="79" w:right="4"/>
                          <w:jc w:val="center"/>
                          <w:rPr>
                            <w:sz w:val="14"/>
                          </w:rPr>
                        </w:pPr>
                        <w:r>
                          <w:rPr>
                            <w:sz w:val="14"/>
                          </w:rPr>
                          <w:t>11,730</w:t>
                        </w:r>
                      </w:p>
                    </w:tc>
                  </w:tr>
                  <w:tr>
                    <w:trPr>
                      <w:trHeight w:val="218" w:hRule="exact"/>
                    </w:trPr>
                    <w:tc>
                      <w:tcPr>
                        <w:tcW w:w="3600" w:type="dxa"/>
                      </w:tcPr>
                      <w:p>
                        <w:pPr>
                          <w:pStyle w:val="TableParagraph"/>
                          <w:spacing w:before="22"/>
                          <w:ind w:left="35"/>
                          <w:rPr>
                            <w:sz w:val="14"/>
                          </w:rPr>
                        </w:pPr>
                        <w:r>
                          <w:rPr>
                            <w:sz w:val="14"/>
                          </w:rPr>
                          <w:t>Actuarial gains/(losses)</w:t>
                        </w:r>
                      </w:p>
                    </w:tc>
                    <w:tc>
                      <w:tcPr>
                        <w:tcW w:w="1169" w:type="dxa"/>
                      </w:tcPr>
                      <w:p>
                        <w:pPr/>
                      </w:p>
                    </w:tc>
                    <w:tc>
                      <w:tcPr>
                        <w:tcW w:w="510" w:type="dxa"/>
                        <w:gridSpan w:val="2"/>
                      </w:tcPr>
                      <w:p>
                        <w:pPr/>
                      </w:p>
                    </w:tc>
                    <w:tc>
                      <w:tcPr>
                        <w:tcW w:w="600" w:type="dxa"/>
                      </w:tcPr>
                      <w:p>
                        <w:pPr>
                          <w:pStyle w:val="TableParagraph"/>
                          <w:spacing w:before="21"/>
                          <w:ind w:right="67"/>
                          <w:jc w:val="right"/>
                          <w:rPr>
                            <w:sz w:val="14"/>
                          </w:rPr>
                        </w:pPr>
                        <w:r>
                          <w:rPr>
                            <w:sz w:val="14"/>
                          </w:rPr>
                          <w:t>2,114</w:t>
                        </w:r>
                      </w:p>
                    </w:tc>
                    <w:tc>
                      <w:tcPr>
                        <w:tcW w:w="541" w:type="dxa"/>
                      </w:tcPr>
                      <w:p>
                        <w:pPr/>
                      </w:p>
                    </w:tc>
                    <w:tc>
                      <w:tcPr>
                        <w:tcW w:w="495" w:type="dxa"/>
                      </w:tcPr>
                      <w:p>
                        <w:pPr>
                          <w:pStyle w:val="TableParagraph"/>
                          <w:spacing w:before="21"/>
                          <w:ind w:right="67"/>
                          <w:jc w:val="right"/>
                          <w:rPr>
                            <w:sz w:val="14"/>
                          </w:rPr>
                        </w:pPr>
                        <w:r>
                          <w:rPr>
                            <w:sz w:val="14"/>
                          </w:rPr>
                          <w:t>109</w:t>
                        </w:r>
                      </w:p>
                    </w:tc>
                    <w:tc>
                      <w:tcPr>
                        <w:tcW w:w="391" w:type="dxa"/>
                      </w:tcPr>
                      <w:p>
                        <w:pPr/>
                      </w:p>
                    </w:tc>
                    <w:tc>
                      <w:tcPr>
                        <w:tcW w:w="646" w:type="dxa"/>
                      </w:tcPr>
                      <w:p>
                        <w:pPr>
                          <w:pStyle w:val="TableParagraph"/>
                          <w:spacing w:before="21"/>
                          <w:ind w:right="68"/>
                          <w:jc w:val="right"/>
                          <w:rPr>
                            <w:sz w:val="14"/>
                          </w:rPr>
                        </w:pPr>
                        <w:r>
                          <w:rPr>
                            <w:sz w:val="14"/>
                          </w:rPr>
                          <w:t>3,408</w:t>
                        </w:r>
                      </w:p>
                    </w:tc>
                    <w:tc>
                      <w:tcPr>
                        <w:tcW w:w="390" w:type="dxa"/>
                      </w:tcPr>
                      <w:p>
                        <w:pPr/>
                      </w:p>
                    </w:tc>
                    <w:tc>
                      <w:tcPr>
                        <w:tcW w:w="647" w:type="dxa"/>
                      </w:tcPr>
                      <w:p>
                        <w:pPr>
                          <w:pStyle w:val="TableParagraph"/>
                          <w:spacing w:before="21"/>
                          <w:ind w:left="157" w:right="4"/>
                          <w:jc w:val="center"/>
                          <w:rPr>
                            <w:sz w:val="14"/>
                          </w:rPr>
                        </w:pPr>
                        <w:r>
                          <w:rPr>
                            <w:sz w:val="14"/>
                          </w:rPr>
                          <w:t>5,631</w:t>
                        </w:r>
                      </w:p>
                    </w:tc>
                  </w:tr>
                  <w:tr>
                    <w:trPr>
                      <w:trHeight w:val="218" w:hRule="exact"/>
                    </w:trPr>
                    <w:tc>
                      <w:tcPr>
                        <w:tcW w:w="3600" w:type="dxa"/>
                      </w:tcPr>
                      <w:p>
                        <w:pPr>
                          <w:pStyle w:val="TableParagraph"/>
                          <w:spacing w:before="22"/>
                          <w:ind w:left="35"/>
                          <w:rPr>
                            <w:sz w:val="14"/>
                          </w:rPr>
                        </w:pPr>
                        <w:r>
                          <w:rPr>
                            <w:sz w:val="14"/>
                          </w:rPr>
                          <w:t>Contributions from the employer</w:t>
                        </w:r>
                      </w:p>
                    </w:tc>
                    <w:tc>
                      <w:tcPr>
                        <w:tcW w:w="1169" w:type="dxa"/>
                      </w:tcPr>
                      <w:p>
                        <w:pPr/>
                      </w:p>
                    </w:tc>
                    <w:tc>
                      <w:tcPr>
                        <w:tcW w:w="510" w:type="dxa"/>
                        <w:gridSpan w:val="2"/>
                      </w:tcPr>
                      <w:p>
                        <w:pPr/>
                      </w:p>
                    </w:tc>
                    <w:tc>
                      <w:tcPr>
                        <w:tcW w:w="600" w:type="dxa"/>
                      </w:tcPr>
                      <w:p>
                        <w:pPr>
                          <w:pStyle w:val="TableParagraph"/>
                          <w:spacing w:before="21"/>
                          <w:ind w:right="67"/>
                          <w:jc w:val="right"/>
                          <w:rPr>
                            <w:sz w:val="14"/>
                          </w:rPr>
                        </w:pPr>
                        <w:r>
                          <w:rPr>
                            <w:sz w:val="14"/>
                          </w:rPr>
                          <w:t>1,361</w:t>
                        </w:r>
                      </w:p>
                    </w:tc>
                    <w:tc>
                      <w:tcPr>
                        <w:tcW w:w="541" w:type="dxa"/>
                      </w:tcPr>
                      <w:p>
                        <w:pPr/>
                      </w:p>
                    </w:tc>
                    <w:tc>
                      <w:tcPr>
                        <w:tcW w:w="495" w:type="dxa"/>
                      </w:tcPr>
                      <w:p>
                        <w:pPr>
                          <w:pStyle w:val="TableParagraph"/>
                          <w:spacing w:before="21"/>
                          <w:ind w:right="67"/>
                          <w:jc w:val="right"/>
                          <w:rPr>
                            <w:sz w:val="14"/>
                          </w:rPr>
                        </w:pPr>
                        <w:r>
                          <w:rPr>
                            <w:sz w:val="14"/>
                          </w:rPr>
                          <w:t>410</w:t>
                        </w:r>
                      </w:p>
                    </w:tc>
                    <w:tc>
                      <w:tcPr>
                        <w:tcW w:w="391" w:type="dxa"/>
                      </w:tcPr>
                      <w:p>
                        <w:pPr/>
                      </w:p>
                    </w:tc>
                    <w:tc>
                      <w:tcPr>
                        <w:tcW w:w="646" w:type="dxa"/>
                      </w:tcPr>
                      <w:p>
                        <w:pPr>
                          <w:pStyle w:val="TableParagraph"/>
                          <w:spacing w:before="21"/>
                          <w:ind w:right="67"/>
                          <w:jc w:val="right"/>
                          <w:rPr>
                            <w:sz w:val="14"/>
                          </w:rPr>
                        </w:pPr>
                        <w:r>
                          <w:rPr>
                            <w:sz w:val="14"/>
                          </w:rPr>
                          <w:t>587</w:t>
                        </w:r>
                      </w:p>
                    </w:tc>
                    <w:tc>
                      <w:tcPr>
                        <w:tcW w:w="390" w:type="dxa"/>
                      </w:tcPr>
                      <w:p>
                        <w:pPr/>
                      </w:p>
                    </w:tc>
                    <w:tc>
                      <w:tcPr>
                        <w:tcW w:w="647" w:type="dxa"/>
                      </w:tcPr>
                      <w:p>
                        <w:pPr>
                          <w:pStyle w:val="TableParagraph"/>
                          <w:spacing w:before="21"/>
                          <w:ind w:left="157" w:right="4"/>
                          <w:jc w:val="center"/>
                          <w:rPr>
                            <w:sz w:val="14"/>
                          </w:rPr>
                        </w:pPr>
                        <w:r>
                          <w:rPr>
                            <w:sz w:val="14"/>
                          </w:rPr>
                          <w:t>2,358</w:t>
                        </w:r>
                      </w:p>
                    </w:tc>
                  </w:tr>
                  <w:tr>
                    <w:trPr>
                      <w:trHeight w:val="218" w:hRule="exact"/>
                    </w:trPr>
                    <w:tc>
                      <w:tcPr>
                        <w:tcW w:w="3600" w:type="dxa"/>
                      </w:tcPr>
                      <w:p>
                        <w:pPr>
                          <w:pStyle w:val="TableParagraph"/>
                          <w:spacing w:before="22"/>
                          <w:ind w:left="35"/>
                          <w:rPr>
                            <w:sz w:val="14"/>
                          </w:rPr>
                        </w:pPr>
                        <w:r>
                          <w:rPr>
                            <w:sz w:val="14"/>
                          </w:rPr>
                          <w:t>Contributions from plan participants</w:t>
                        </w:r>
                      </w:p>
                    </w:tc>
                    <w:tc>
                      <w:tcPr>
                        <w:tcW w:w="1169" w:type="dxa"/>
                      </w:tcPr>
                      <w:p>
                        <w:pPr/>
                      </w:p>
                    </w:tc>
                    <w:tc>
                      <w:tcPr>
                        <w:tcW w:w="510" w:type="dxa"/>
                        <w:gridSpan w:val="2"/>
                      </w:tcPr>
                      <w:p>
                        <w:pPr/>
                      </w:p>
                    </w:tc>
                    <w:tc>
                      <w:tcPr>
                        <w:tcW w:w="600" w:type="dxa"/>
                      </w:tcPr>
                      <w:p>
                        <w:pPr>
                          <w:pStyle w:val="TableParagraph"/>
                          <w:spacing w:before="21"/>
                          <w:ind w:right="66"/>
                          <w:jc w:val="right"/>
                          <w:rPr>
                            <w:sz w:val="14"/>
                          </w:rPr>
                        </w:pPr>
                        <w:r>
                          <w:rPr>
                            <w:sz w:val="14"/>
                          </w:rPr>
                          <w:t>667</w:t>
                        </w:r>
                      </w:p>
                    </w:tc>
                    <w:tc>
                      <w:tcPr>
                        <w:tcW w:w="541" w:type="dxa"/>
                      </w:tcPr>
                      <w:p>
                        <w:pPr/>
                      </w:p>
                    </w:tc>
                    <w:tc>
                      <w:tcPr>
                        <w:tcW w:w="495" w:type="dxa"/>
                      </w:tcPr>
                      <w:p>
                        <w:pPr>
                          <w:pStyle w:val="TableParagraph"/>
                          <w:spacing w:before="21"/>
                          <w:ind w:right="67"/>
                          <w:jc w:val="right"/>
                          <w:rPr>
                            <w:sz w:val="14"/>
                          </w:rPr>
                        </w:pPr>
                        <w:r>
                          <w:rPr>
                            <w:w w:val="100"/>
                            <w:sz w:val="14"/>
                          </w:rPr>
                          <w:t>-</w:t>
                        </w:r>
                      </w:p>
                    </w:tc>
                    <w:tc>
                      <w:tcPr>
                        <w:tcW w:w="391" w:type="dxa"/>
                      </w:tcPr>
                      <w:p>
                        <w:pPr/>
                      </w:p>
                    </w:tc>
                    <w:tc>
                      <w:tcPr>
                        <w:tcW w:w="646" w:type="dxa"/>
                      </w:tcPr>
                      <w:p>
                        <w:pPr>
                          <w:pStyle w:val="TableParagraph"/>
                          <w:spacing w:before="21"/>
                          <w:ind w:right="67"/>
                          <w:jc w:val="right"/>
                          <w:rPr>
                            <w:sz w:val="14"/>
                          </w:rPr>
                        </w:pPr>
                        <w:r>
                          <w:rPr>
                            <w:sz w:val="14"/>
                          </w:rPr>
                          <w:t>660</w:t>
                        </w:r>
                      </w:p>
                    </w:tc>
                    <w:tc>
                      <w:tcPr>
                        <w:tcW w:w="390" w:type="dxa"/>
                      </w:tcPr>
                      <w:p>
                        <w:pPr/>
                      </w:p>
                    </w:tc>
                    <w:tc>
                      <w:tcPr>
                        <w:tcW w:w="647" w:type="dxa"/>
                      </w:tcPr>
                      <w:p>
                        <w:pPr>
                          <w:pStyle w:val="TableParagraph"/>
                          <w:spacing w:before="21"/>
                          <w:ind w:left="157" w:right="4"/>
                          <w:jc w:val="center"/>
                          <w:rPr>
                            <w:sz w:val="14"/>
                          </w:rPr>
                        </w:pPr>
                        <w:r>
                          <w:rPr>
                            <w:sz w:val="14"/>
                          </w:rPr>
                          <w:t>1,327</w:t>
                        </w:r>
                      </w:p>
                    </w:tc>
                  </w:tr>
                  <w:tr>
                    <w:trPr>
                      <w:trHeight w:val="219" w:hRule="exact"/>
                    </w:trPr>
                    <w:tc>
                      <w:tcPr>
                        <w:tcW w:w="3600" w:type="dxa"/>
                      </w:tcPr>
                      <w:p>
                        <w:pPr>
                          <w:pStyle w:val="TableParagraph"/>
                          <w:spacing w:before="22"/>
                          <w:ind w:left="35"/>
                          <w:rPr>
                            <w:sz w:val="14"/>
                          </w:rPr>
                        </w:pPr>
                        <w:r>
                          <w:rPr>
                            <w:sz w:val="14"/>
                          </w:rPr>
                          <w:t>Benefits paid</w:t>
                        </w:r>
                      </w:p>
                    </w:tc>
                    <w:tc>
                      <w:tcPr>
                        <w:tcW w:w="1169" w:type="dxa"/>
                      </w:tcPr>
                      <w:p>
                        <w:pPr/>
                      </w:p>
                    </w:tc>
                    <w:tc>
                      <w:tcPr>
                        <w:tcW w:w="510" w:type="dxa"/>
                        <w:gridSpan w:val="2"/>
                        <w:tcBorders>
                          <w:bottom w:val="single" w:sz="0" w:space="0" w:color="000000"/>
                        </w:tcBorders>
                      </w:tcPr>
                      <w:p>
                        <w:pPr/>
                      </w:p>
                    </w:tc>
                    <w:tc>
                      <w:tcPr>
                        <w:tcW w:w="600" w:type="dxa"/>
                        <w:tcBorders>
                          <w:bottom w:val="single" w:sz="0" w:space="0" w:color="000000"/>
                        </w:tcBorders>
                      </w:tcPr>
                      <w:p>
                        <w:pPr>
                          <w:pStyle w:val="TableParagraph"/>
                          <w:spacing w:before="20"/>
                          <w:ind w:right="20"/>
                          <w:jc w:val="right"/>
                          <w:rPr>
                            <w:sz w:val="14"/>
                          </w:rPr>
                        </w:pPr>
                        <w:r>
                          <w:rPr>
                            <w:sz w:val="14"/>
                          </w:rPr>
                          <w:t>(4,081)</w:t>
                        </w:r>
                      </w:p>
                    </w:tc>
                    <w:tc>
                      <w:tcPr>
                        <w:tcW w:w="541" w:type="dxa"/>
                        <w:tcBorders>
                          <w:bottom w:val="single" w:sz="0" w:space="0" w:color="000000"/>
                        </w:tcBorders>
                      </w:tcPr>
                      <w:p>
                        <w:pPr/>
                      </w:p>
                    </w:tc>
                    <w:tc>
                      <w:tcPr>
                        <w:tcW w:w="495" w:type="dxa"/>
                        <w:tcBorders>
                          <w:bottom w:val="single" w:sz="0" w:space="0" w:color="000000"/>
                        </w:tcBorders>
                      </w:tcPr>
                      <w:p>
                        <w:pPr>
                          <w:pStyle w:val="TableParagraph"/>
                          <w:spacing w:before="20"/>
                          <w:ind w:right="21"/>
                          <w:jc w:val="right"/>
                          <w:rPr>
                            <w:sz w:val="14"/>
                          </w:rPr>
                        </w:pPr>
                        <w:r>
                          <w:rPr>
                            <w:sz w:val="14"/>
                          </w:rPr>
                          <w:t>(1,076)</w:t>
                        </w:r>
                      </w:p>
                    </w:tc>
                    <w:tc>
                      <w:tcPr>
                        <w:tcW w:w="391" w:type="dxa"/>
                        <w:tcBorders>
                          <w:bottom w:val="single" w:sz="0" w:space="0" w:color="000000"/>
                        </w:tcBorders>
                      </w:tcPr>
                      <w:p>
                        <w:pPr/>
                      </w:p>
                    </w:tc>
                    <w:tc>
                      <w:tcPr>
                        <w:tcW w:w="646" w:type="dxa"/>
                        <w:tcBorders>
                          <w:bottom w:val="single" w:sz="0" w:space="0" w:color="000000"/>
                        </w:tcBorders>
                      </w:tcPr>
                      <w:p>
                        <w:pPr>
                          <w:pStyle w:val="TableParagraph"/>
                          <w:spacing w:before="20"/>
                          <w:ind w:right="21"/>
                          <w:jc w:val="right"/>
                          <w:rPr>
                            <w:sz w:val="14"/>
                          </w:rPr>
                        </w:pPr>
                        <w:r>
                          <w:rPr>
                            <w:sz w:val="14"/>
                          </w:rPr>
                          <w:t>(13,432)</w:t>
                        </w:r>
                      </w:p>
                    </w:tc>
                    <w:tc>
                      <w:tcPr>
                        <w:tcW w:w="390" w:type="dxa"/>
                        <w:tcBorders>
                          <w:bottom w:val="single" w:sz="0" w:space="0" w:color="000000"/>
                        </w:tcBorders>
                      </w:tcPr>
                      <w:p>
                        <w:pPr/>
                      </w:p>
                    </w:tc>
                    <w:tc>
                      <w:tcPr>
                        <w:tcW w:w="647" w:type="dxa"/>
                        <w:tcBorders>
                          <w:bottom w:val="single" w:sz="0" w:space="0" w:color="000000"/>
                        </w:tcBorders>
                      </w:tcPr>
                      <w:p>
                        <w:pPr>
                          <w:pStyle w:val="TableParagraph"/>
                          <w:spacing w:before="20"/>
                          <w:ind w:left="79" w:right="4"/>
                          <w:jc w:val="center"/>
                          <w:rPr>
                            <w:sz w:val="14"/>
                          </w:rPr>
                        </w:pPr>
                        <w:r>
                          <w:rPr>
                            <w:sz w:val="14"/>
                          </w:rPr>
                          <w:t>(18,589)</w:t>
                        </w:r>
                      </w:p>
                    </w:tc>
                  </w:tr>
                  <w:tr>
                    <w:trPr>
                      <w:trHeight w:val="293" w:hRule="exact"/>
                    </w:trPr>
                    <w:tc>
                      <w:tcPr>
                        <w:tcW w:w="3600" w:type="dxa"/>
                      </w:tcPr>
                      <w:p>
                        <w:pPr>
                          <w:pStyle w:val="TableParagraph"/>
                          <w:spacing w:before="123"/>
                          <w:ind w:left="35"/>
                          <w:rPr>
                            <w:b/>
                            <w:sz w:val="14"/>
                          </w:rPr>
                        </w:pPr>
                        <w:r>
                          <w:rPr>
                            <w:b/>
                            <w:sz w:val="14"/>
                          </w:rPr>
                          <w:t>Closing fair value of plans assets</w:t>
                        </w:r>
                      </w:p>
                    </w:tc>
                    <w:tc>
                      <w:tcPr>
                        <w:tcW w:w="1169" w:type="dxa"/>
                      </w:tcPr>
                      <w:p>
                        <w:pPr/>
                      </w:p>
                    </w:tc>
                    <w:tc>
                      <w:tcPr>
                        <w:tcW w:w="510" w:type="dxa"/>
                        <w:gridSpan w:val="2"/>
                        <w:tcBorders>
                          <w:top w:val="single" w:sz="0" w:space="0" w:color="000000"/>
                          <w:bottom w:val="single" w:sz="0" w:space="0" w:color="000000"/>
                        </w:tcBorders>
                      </w:tcPr>
                      <w:p>
                        <w:pPr/>
                      </w:p>
                    </w:tc>
                    <w:tc>
                      <w:tcPr>
                        <w:tcW w:w="600" w:type="dxa"/>
                        <w:tcBorders>
                          <w:top w:val="single" w:sz="0" w:space="0" w:color="000000"/>
                          <w:bottom w:val="single" w:sz="0" w:space="0" w:color="000000"/>
                        </w:tcBorders>
                      </w:tcPr>
                      <w:p>
                        <w:pPr>
                          <w:pStyle w:val="TableParagraph"/>
                          <w:spacing w:before="123"/>
                          <w:ind w:right="67"/>
                          <w:jc w:val="right"/>
                          <w:rPr>
                            <w:sz w:val="14"/>
                          </w:rPr>
                        </w:pPr>
                        <w:r>
                          <w:rPr>
                            <w:sz w:val="14"/>
                          </w:rPr>
                          <w:t>32,601</w:t>
                        </w:r>
                      </w:p>
                    </w:tc>
                    <w:tc>
                      <w:tcPr>
                        <w:tcW w:w="541" w:type="dxa"/>
                        <w:tcBorders>
                          <w:top w:val="single" w:sz="0" w:space="0" w:color="000000"/>
                          <w:bottom w:val="single" w:sz="0" w:space="0" w:color="000000"/>
                        </w:tcBorders>
                      </w:tcPr>
                      <w:p>
                        <w:pPr/>
                      </w:p>
                    </w:tc>
                    <w:tc>
                      <w:tcPr>
                        <w:tcW w:w="495" w:type="dxa"/>
                        <w:tcBorders>
                          <w:top w:val="single" w:sz="0" w:space="0" w:color="000000"/>
                          <w:bottom w:val="single" w:sz="0" w:space="0" w:color="000000"/>
                        </w:tcBorders>
                      </w:tcPr>
                      <w:p>
                        <w:pPr>
                          <w:pStyle w:val="TableParagraph"/>
                          <w:spacing w:before="123"/>
                          <w:ind w:right="67"/>
                          <w:jc w:val="right"/>
                          <w:rPr>
                            <w:sz w:val="14"/>
                          </w:rPr>
                        </w:pPr>
                        <w:r>
                          <w:rPr>
                            <w:sz w:val="14"/>
                          </w:rPr>
                          <w:t>4,576</w:t>
                        </w:r>
                      </w:p>
                    </w:tc>
                    <w:tc>
                      <w:tcPr>
                        <w:tcW w:w="391" w:type="dxa"/>
                        <w:tcBorders>
                          <w:top w:val="single" w:sz="0" w:space="0" w:color="000000"/>
                          <w:bottom w:val="single" w:sz="0" w:space="0" w:color="000000"/>
                        </w:tcBorders>
                      </w:tcPr>
                      <w:p>
                        <w:pPr/>
                      </w:p>
                    </w:tc>
                    <w:tc>
                      <w:tcPr>
                        <w:tcW w:w="646" w:type="dxa"/>
                        <w:tcBorders>
                          <w:top w:val="single" w:sz="0" w:space="0" w:color="000000"/>
                          <w:bottom w:val="single" w:sz="0" w:space="0" w:color="000000"/>
                        </w:tcBorders>
                      </w:tcPr>
                      <w:p>
                        <w:pPr>
                          <w:pStyle w:val="TableParagraph"/>
                          <w:spacing w:before="123"/>
                          <w:ind w:right="67"/>
                          <w:jc w:val="right"/>
                          <w:rPr>
                            <w:sz w:val="14"/>
                          </w:rPr>
                        </w:pPr>
                        <w:r>
                          <w:rPr>
                            <w:sz w:val="14"/>
                          </w:rPr>
                          <w:t>111,045</w:t>
                        </w:r>
                      </w:p>
                    </w:tc>
                    <w:tc>
                      <w:tcPr>
                        <w:tcW w:w="390" w:type="dxa"/>
                        <w:tcBorders>
                          <w:top w:val="single" w:sz="0" w:space="0" w:color="000000"/>
                          <w:bottom w:val="single" w:sz="0" w:space="0" w:color="000000"/>
                        </w:tcBorders>
                      </w:tcPr>
                      <w:p>
                        <w:pPr/>
                      </w:p>
                    </w:tc>
                    <w:tc>
                      <w:tcPr>
                        <w:tcW w:w="647" w:type="dxa"/>
                        <w:tcBorders>
                          <w:top w:val="single" w:sz="0" w:space="0" w:color="000000"/>
                          <w:bottom w:val="single" w:sz="0" w:space="0" w:color="000000"/>
                        </w:tcBorders>
                      </w:tcPr>
                      <w:p>
                        <w:pPr>
                          <w:pStyle w:val="TableParagraph"/>
                          <w:spacing w:before="123"/>
                          <w:ind w:left="3" w:right="4"/>
                          <w:jc w:val="center"/>
                          <w:rPr>
                            <w:sz w:val="14"/>
                          </w:rPr>
                        </w:pPr>
                        <w:r>
                          <w:rPr>
                            <w:sz w:val="14"/>
                          </w:rPr>
                          <w:t>148,222</w:t>
                        </w:r>
                      </w:p>
                    </w:tc>
                  </w:tr>
                  <w:tr>
                    <w:trPr>
                      <w:trHeight w:val="306" w:hRule="exact"/>
                    </w:trPr>
                    <w:tc>
                      <w:tcPr>
                        <w:tcW w:w="3600" w:type="dxa"/>
                      </w:tcPr>
                      <w:p>
                        <w:pPr>
                          <w:pStyle w:val="TableParagraph"/>
                          <w:spacing w:before="123"/>
                          <w:ind w:left="35"/>
                          <w:rPr>
                            <w:b/>
                            <w:sz w:val="14"/>
                          </w:rPr>
                        </w:pPr>
                        <w:r>
                          <w:rPr>
                            <w:b/>
                            <w:sz w:val="14"/>
                          </w:rPr>
                          <w:t>Reimbursement rights - 2012</w:t>
                        </w:r>
                      </w:p>
                    </w:tc>
                    <w:tc>
                      <w:tcPr>
                        <w:tcW w:w="1169" w:type="dxa"/>
                      </w:tcPr>
                      <w:p>
                        <w:pPr/>
                      </w:p>
                    </w:tc>
                    <w:tc>
                      <w:tcPr>
                        <w:tcW w:w="510" w:type="dxa"/>
                        <w:gridSpan w:val="2"/>
                        <w:tcBorders>
                          <w:top w:val="single" w:sz="0" w:space="0" w:color="000000"/>
                        </w:tcBorders>
                      </w:tcPr>
                      <w:p>
                        <w:pPr/>
                      </w:p>
                    </w:tc>
                    <w:tc>
                      <w:tcPr>
                        <w:tcW w:w="600" w:type="dxa"/>
                        <w:tcBorders>
                          <w:top w:val="single" w:sz="0" w:space="0" w:color="000000"/>
                        </w:tcBorders>
                      </w:tcPr>
                      <w:p>
                        <w:pPr/>
                      </w:p>
                    </w:tc>
                    <w:tc>
                      <w:tcPr>
                        <w:tcW w:w="541" w:type="dxa"/>
                        <w:tcBorders>
                          <w:top w:val="single" w:sz="0" w:space="0" w:color="000000"/>
                        </w:tcBorders>
                      </w:tcPr>
                      <w:p>
                        <w:pPr/>
                      </w:p>
                    </w:tc>
                    <w:tc>
                      <w:tcPr>
                        <w:tcW w:w="495" w:type="dxa"/>
                        <w:tcBorders>
                          <w:top w:val="single" w:sz="0" w:space="0" w:color="000000"/>
                        </w:tcBorders>
                      </w:tcPr>
                      <w:p>
                        <w:pPr/>
                      </w:p>
                    </w:tc>
                    <w:tc>
                      <w:tcPr>
                        <w:tcW w:w="391" w:type="dxa"/>
                        <w:tcBorders>
                          <w:top w:val="single" w:sz="0" w:space="0" w:color="000000"/>
                        </w:tcBorders>
                      </w:tcPr>
                      <w:p>
                        <w:pPr/>
                      </w:p>
                    </w:tc>
                    <w:tc>
                      <w:tcPr>
                        <w:tcW w:w="646" w:type="dxa"/>
                        <w:tcBorders>
                          <w:top w:val="single" w:sz="0" w:space="0" w:color="000000"/>
                        </w:tcBorders>
                      </w:tcPr>
                      <w:p>
                        <w:pPr/>
                      </w:p>
                    </w:tc>
                    <w:tc>
                      <w:tcPr>
                        <w:tcW w:w="390" w:type="dxa"/>
                        <w:tcBorders>
                          <w:top w:val="single" w:sz="0" w:space="0" w:color="000000"/>
                        </w:tcBorders>
                      </w:tcPr>
                      <w:p>
                        <w:pPr/>
                      </w:p>
                    </w:tc>
                    <w:tc>
                      <w:tcPr>
                        <w:tcW w:w="647" w:type="dxa"/>
                        <w:tcBorders>
                          <w:top w:val="single" w:sz="0" w:space="0" w:color="000000"/>
                        </w:tcBorders>
                      </w:tcPr>
                      <w:p>
                        <w:pPr/>
                      </w:p>
                    </w:tc>
                  </w:tr>
                  <w:tr>
                    <w:trPr>
                      <w:trHeight w:val="205" w:hRule="exact"/>
                    </w:trPr>
                    <w:tc>
                      <w:tcPr>
                        <w:tcW w:w="3600" w:type="dxa"/>
                      </w:tcPr>
                      <w:p>
                        <w:pPr>
                          <w:pStyle w:val="TableParagraph"/>
                          <w:spacing w:before="8"/>
                          <w:ind w:left="35"/>
                          <w:rPr>
                            <w:sz w:val="14"/>
                          </w:rPr>
                        </w:pPr>
                        <w:r>
                          <w:rPr>
                            <w:sz w:val="14"/>
                          </w:rPr>
                          <w:t>Opening value of reimbursement right</w:t>
                        </w:r>
                      </w:p>
                    </w:tc>
                    <w:tc>
                      <w:tcPr>
                        <w:tcW w:w="1169" w:type="dxa"/>
                      </w:tcPr>
                      <w:p>
                        <w:pPr/>
                      </w:p>
                    </w:tc>
                    <w:tc>
                      <w:tcPr>
                        <w:tcW w:w="510" w:type="dxa"/>
                        <w:gridSpan w:val="2"/>
                      </w:tcPr>
                      <w:p>
                        <w:pPr/>
                      </w:p>
                    </w:tc>
                    <w:tc>
                      <w:tcPr>
                        <w:tcW w:w="600" w:type="dxa"/>
                      </w:tcPr>
                      <w:p>
                        <w:pPr>
                          <w:pStyle w:val="TableParagraph"/>
                          <w:spacing w:before="7"/>
                          <w:ind w:right="67"/>
                          <w:jc w:val="right"/>
                          <w:rPr>
                            <w:sz w:val="14"/>
                          </w:rPr>
                        </w:pPr>
                        <w:r>
                          <w:rPr>
                            <w:sz w:val="14"/>
                          </w:rPr>
                          <w:t>9,658</w:t>
                        </w:r>
                      </w:p>
                    </w:tc>
                    <w:tc>
                      <w:tcPr>
                        <w:tcW w:w="541" w:type="dxa"/>
                      </w:tcPr>
                      <w:p>
                        <w:pPr/>
                      </w:p>
                    </w:tc>
                    <w:tc>
                      <w:tcPr>
                        <w:tcW w:w="495" w:type="dxa"/>
                      </w:tcPr>
                      <w:p>
                        <w:pPr>
                          <w:pStyle w:val="TableParagraph"/>
                          <w:spacing w:before="7"/>
                          <w:ind w:right="67"/>
                          <w:jc w:val="right"/>
                          <w:rPr>
                            <w:sz w:val="14"/>
                          </w:rPr>
                        </w:pPr>
                        <w:r>
                          <w:rPr>
                            <w:w w:val="100"/>
                            <w:sz w:val="14"/>
                          </w:rPr>
                          <w:t>-</w:t>
                        </w:r>
                      </w:p>
                    </w:tc>
                    <w:tc>
                      <w:tcPr>
                        <w:tcW w:w="391" w:type="dxa"/>
                      </w:tcPr>
                      <w:p>
                        <w:pPr/>
                      </w:p>
                    </w:tc>
                    <w:tc>
                      <w:tcPr>
                        <w:tcW w:w="646" w:type="dxa"/>
                      </w:tcPr>
                      <w:p>
                        <w:pPr>
                          <w:pStyle w:val="TableParagraph"/>
                          <w:spacing w:before="7"/>
                          <w:ind w:right="67"/>
                          <w:jc w:val="right"/>
                          <w:rPr>
                            <w:sz w:val="14"/>
                          </w:rPr>
                        </w:pPr>
                        <w:r>
                          <w:rPr>
                            <w:sz w:val="14"/>
                          </w:rPr>
                          <w:t>221,861</w:t>
                        </w:r>
                      </w:p>
                    </w:tc>
                    <w:tc>
                      <w:tcPr>
                        <w:tcW w:w="390" w:type="dxa"/>
                      </w:tcPr>
                      <w:p>
                        <w:pPr/>
                      </w:p>
                    </w:tc>
                    <w:tc>
                      <w:tcPr>
                        <w:tcW w:w="647" w:type="dxa"/>
                      </w:tcPr>
                      <w:p>
                        <w:pPr>
                          <w:pStyle w:val="TableParagraph"/>
                          <w:spacing w:before="7"/>
                          <w:ind w:left="3" w:right="4"/>
                          <w:jc w:val="center"/>
                          <w:rPr>
                            <w:sz w:val="14"/>
                          </w:rPr>
                        </w:pPr>
                        <w:r>
                          <w:rPr>
                            <w:sz w:val="14"/>
                          </w:rPr>
                          <w:t>231,519</w:t>
                        </w:r>
                      </w:p>
                    </w:tc>
                  </w:tr>
                  <w:tr>
                    <w:trPr>
                      <w:trHeight w:val="218" w:hRule="exact"/>
                    </w:trPr>
                    <w:tc>
                      <w:tcPr>
                        <w:tcW w:w="3600" w:type="dxa"/>
                      </w:tcPr>
                      <w:p>
                        <w:pPr>
                          <w:pStyle w:val="TableParagraph"/>
                          <w:spacing w:before="22"/>
                          <w:ind w:left="35"/>
                          <w:rPr>
                            <w:sz w:val="14"/>
                          </w:rPr>
                        </w:pPr>
                        <w:r>
                          <w:rPr>
                            <w:sz w:val="14"/>
                          </w:rPr>
                          <w:t>Actuarial gains/(losses)</w:t>
                        </w:r>
                      </w:p>
                    </w:tc>
                    <w:tc>
                      <w:tcPr>
                        <w:tcW w:w="1169" w:type="dxa"/>
                      </w:tcPr>
                      <w:p>
                        <w:pPr/>
                      </w:p>
                    </w:tc>
                    <w:tc>
                      <w:tcPr>
                        <w:tcW w:w="510" w:type="dxa"/>
                        <w:gridSpan w:val="2"/>
                      </w:tcPr>
                      <w:p>
                        <w:pPr/>
                      </w:p>
                    </w:tc>
                    <w:tc>
                      <w:tcPr>
                        <w:tcW w:w="600" w:type="dxa"/>
                      </w:tcPr>
                      <w:p>
                        <w:pPr>
                          <w:pStyle w:val="TableParagraph"/>
                          <w:spacing w:before="21"/>
                          <w:ind w:right="67"/>
                          <w:jc w:val="right"/>
                          <w:rPr>
                            <w:sz w:val="14"/>
                          </w:rPr>
                        </w:pPr>
                        <w:r>
                          <w:rPr>
                            <w:sz w:val="14"/>
                          </w:rPr>
                          <w:t>1,312</w:t>
                        </w:r>
                      </w:p>
                    </w:tc>
                    <w:tc>
                      <w:tcPr>
                        <w:tcW w:w="541" w:type="dxa"/>
                      </w:tcPr>
                      <w:p>
                        <w:pPr/>
                      </w:p>
                    </w:tc>
                    <w:tc>
                      <w:tcPr>
                        <w:tcW w:w="495" w:type="dxa"/>
                      </w:tcPr>
                      <w:p>
                        <w:pPr>
                          <w:pStyle w:val="TableParagraph"/>
                          <w:spacing w:before="21"/>
                          <w:ind w:right="67"/>
                          <w:jc w:val="right"/>
                          <w:rPr>
                            <w:sz w:val="14"/>
                          </w:rPr>
                        </w:pPr>
                        <w:r>
                          <w:rPr>
                            <w:w w:val="100"/>
                            <w:sz w:val="14"/>
                          </w:rPr>
                          <w:t>-</w:t>
                        </w:r>
                      </w:p>
                    </w:tc>
                    <w:tc>
                      <w:tcPr>
                        <w:tcW w:w="391" w:type="dxa"/>
                      </w:tcPr>
                      <w:p>
                        <w:pPr/>
                      </w:p>
                    </w:tc>
                    <w:tc>
                      <w:tcPr>
                        <w:tcW w:w="646" w:type="dxa"/>
                      </w:tcPr>
                      <w:p>
                        <w:pPr>
                          <w:pStyle w:val="TableParagraph"/>
                          <w:spacing w:before="21"/>
                          <w:ind w:right="67"/>
                          <w:jc w:val="right"/>
                          <w:rPr>
                            <w:sz w:val="14"/>
                          </w:rPr>
                        </w:pPr>
                        <w:r>
                          <w:rPr>
                            <w:sz w:val="14"/>
                          </w:rPr>
                          <w:t>21,240</w:t>
                        </w:r>
                      </w:p>
                    </w:tc>
                    <w:tc>
                      <w:tcPr>
                        <w:tcW w:w="390" w:type="dxa"/>
                      </w:tcPr>
                      <w:p>
                        <w:pPr/>
                      </w:p>
                    </w:tc>
                    <w:tc>
                      <w:tcPr>
                        <w:tcW w:w="647" w:type="dxa"/>
                      </w:tcPr>
                      <w:p>
                        <w:pPr>
                          <w:pStyle w:val="TableParagraph"/>
                          <w:spacing w:before="21"/>
                          <w:ind w:left="79" w:right="4"/>
                          <w:jc w:val="center"/>
                          <w:rPr>
                            <w:sz w:val="14"/>
                          </w:rPr>
                        </w:pPr>
                        <w:r>
                          <w:rPr>
                            <w:sz w:val="14"/>
                          </w:rPr>
                          <w:t>22,552</w:t>
                        </w:r>
                      </w:p>
                    </w:tc>
                  </w:tr>
                  <w:tr>
                    <w:trPr>
                      <w:trHeight w:val="218" w:hRule="exact"/>
                    </w:trPr>
                    <w:tc>
                      <w:tcPr>
                        <w:tcW w:w="3600" w:type="dxa"/>
                      </w:tcPr>
                      <w:p>
                        <w:pPr>
                          <w:pStyle w:val="TableParagraph"/>
                          <w:spacing w:before="22"/>
                          <w:ind w:left="35"/>
                          <w:rPr>
                            <w:sz w:val="14"/>
                          </w:rPr>
                        </w:pPr>
                        <w:r>
                          <w:rPr>
                            <w:sz w:val="14"/>
                          </w:rPr>
                          <w:t>Employer contributions</w:t>
                        </w:r>
                      </w:p>
                    </w:tc>
                    <w:tc>
                      <w:tcPr>
                        <w:tcW w:w="1169" w:type="dxa"/>
                      </w:tcPr>
                      <w:p>
                        <w:pPr/>
                      </w:p>
                    </w:tc>
                    <w:tc>
                      <w:tcPr>
                        <w:tcW w:w="510" w:type="dxa"/>
                        <w:gridSpan w:val="2"/>
                      </w:tcPr>
                      <w:p>
                        <w:pPr/>
                      </w:p>
                    </w:tc>
                    <w:tc>
                      <w:tcPr>
                        <w:tcW w:w="600" w:type="dxa"/>
                      </w:tcPr>
                      <w:p>
                        <w:pPr>
                          <w:pStyle w:val="TableParagraph"/>
                          <w:spacing w:before="20"/>
                          <w:ind w:right="20"/>
                          <w:jc w:val="right"/>
                          <w:rPr>
                            <w:sz w:val="14"/>
                          </w:rPr>
                        </w:pPr>
                        <w:r>
                          <w:rPr>
                            <w:sz w:val="14"/>
                          </w:rPr>
                          <w:t>(1,361)</w:t>
                        </w:r>
                      </w:p>
                    </w:tc>
                    <w:tc>
                      <w:tcPr>
                        <w:tcW w:w="541" w:type="dxa"/>
                      </w:tcPr>
                      <w:p>
                        <w:pPr/>
                      </w:p>
                    </w:tc>
                    <w:tc>
                      <w:tcPr>
                        <w:tcW w:w="495" w:type="dxa"/>
                      </w:tcPr>
                      <w:p>
                        <w:pPr>
                          <w:pStyle w:val="TableParagraph"/>
                          <w:spacing w:before="20"/>
                          <w:ind w:right="67"/>
                          <w:jc w:val="right"/>
                          <w:rPr>
                            <w:sz w:val="14"/>
                          </w:rPr>
                        </w:pPr>
                        <w:r>
                          <w:rPr>
                            <w:w w:val="100"/>
                            <w:sz w:val="14"/>
                          </w:rPr>
                          <w:t>-</w:t>
                        </w:r>
                      </w:p>
                    </w:tc>
                    <w:tc>
                      <w:tcPr>
                        <w:tcW w:w="391" w:type="dxa"/>
                      </w:tcPr>
                      <w:p>
                        <w:pPr/>
                      </w:p>
                    </w:tc>
                    <w:tc>
                      <w:tcPr>
                        <w:tcW w:w="646" w:type="dxa"/>
                      </w:tcPr>
                      <w:p>
                        <w:pPr>
                          <w:pStyle w:val="TableParagraph"/>
                          <w:spacing w:before="20"/>
                          <w:ind w:right="20"/>
                          <w:jc w:val="right"/>
                          <w:rPr>
                            <w:sz w:val="14"/>
                          </w:rPr>
                        </w:pPr>
                        <w:r>
                          <w:rPr>
                            <w:sz w:val="14"/>
                          </w:rPr>
                          <w:t>(587)</w:t>
                        </w:r>
                      </w:p>
                    </w:tc>
                    <w:tc>
                      <w:tcPr>
                        <w:tcW w:w="390" w:type="dxa"/>
                      </w:tcPr>
                      <w:p>
                        <w:pPr/>
                      </w:p>
                    </w:tc>
                    <w:tc>
                      <w:tcPr>
                        <w:tcW w:w="647" w:type="dxa"/>
                      </w:tcPr>
                      <w:p>
                        <w:pPr>
                          <w:pStyle w:val="TableParagraph"/>
                          <w:spacing w:before="20"/>
                          <w:ind w:left="157" w:right="4"/>
                          <w:jc w:val="center"/>
                          <w:rPr>
                            <w:sz w:val="14"/>
                          </w:rPr>
                        </w:pPr>
                        <w:r>
                          <w:rPr>
                            <w:sz w:val="14"/>
                          </w:rPr>
                          <w:t>(1,948)</w:t>
                        </w:r>
                      </w:p>
                    </w:tc>
                  </w:tr>
                  <w:tr>
                    <w:trPr>
                      <w:trHeight w:val="219" w:hRule="exact"/>
                    </w:trPr>
                    <w:tc>
                      <w:tcPr>
                        <w:tcW w:w="3600" w:type="dxa"/>
                      </w:tcPr>
                      <w:p>
                        <w:pPr>
                          <w:pStyle w:val="TableParagraph"/>
                          <w:spacing w:before="22"/>
                          <w:ind w:left="35"/>
                          <w:rPr>
                            <w:sz w:val="14"/>
                          </w:rPr>
                        </w:pPr>
                        <w:r>
                          <w:rPr>
                            <w:sz w:val="14"/>
                          </w:rPr>
                          <w:t>Expected return on reimbursement rights</w:t>
                        </w:r>
                      </w:p>
                    </w:tc>
                    <w:tc>
                      <w:tcPr>
                        <w:tcW w:w="1169" w:type="dxa"/>
                      </w:tcPr>
                      <w:p>
                        <w:pPr/>
                      </w:p>
                    </w:tc>
                    <w:tc>
                      <w:tcPr>
                        <w:tcW w:w="510" w:type="dxa"/>
                        <w:gridSpan w:val="2"/>
                        <w:tcBorders>
                          <w:bottom w:val="single" w:sz="0" w:space="0" w:color="000000"/>
                        </w:tcBorders>
                      </w:tcPr>
                      <w:p>
                        <w:pPr/>
                      </w:p>
                    </w:tc>
                    <w:tc>
                      <w:tcPr>
                        <w:tcW w:w="600" w:type="dxa"/>
                        <w:tcBorders>
                          <w:bottom w:val="single" w:sz="0" w:space="0" w:color="000000"/>
                        </w:tcBorders>
                      </w:tcPr>
                      <w:p>
                        <w:pPr>
                          <w:pStyle w:val="TableParagraph"/>
                          <w:spacing w:before="20"/>
                          <w:ind w:right="66"/>
                          <w:jc w:val="right"/>
                          <w:rPr>
                            <w:sz w:val="14"/>
                          </w:rPr>
                        </w:pPr>
                        <w:r>
                          <w:rPr>
                            <w:sz w:val="14"/>
                          </w:rPr>
                          <w:t>431</w:t>
                        </w:r>
                      </w:p>
                    </w:tc>
                    <w:tc>
                      <w:tcPr>
                        <w:tcW w:w="541" w:type="dxa"/>
                        <w:tcBorders>
                          <w:bottom w:val="single" w:sz="0" w:space="0" w:color="000000"/>
                        </w:tcBorders>
                      </w:tcPr>
                      <w:p>
                        <w:pPr/>
                      </w:p>
                    </w:tc>
                    <w:tc>
                      <w:tcPr>
                        <w:tcW w:w="495" w:type="dxa"/>
                        <w:tcBorders>
                          <w:bottom w:val="single" w:sz="0" w:space="0" w:color="000000"/>
                        </w:tcBorders>
                      </w:tcPr>
                      <w:p>
                        <w:pPr>
                          <w:pStyle w:val="TableParagraph"/>
                          <w:spacing w:before="20"/>
                          <w:ind w:right="67"/>
                          <w:jc w:val="right"/>
                          <w:rPr>
                            <w:sz w:val="14"/>
                          </w:rPr>
                        </w:pPr>
                        <w:r>
                          <w:rPr>
                            <w:w w:val="100"/>
                            <w:sz w:val="14"/>
                          </w:rPr>
                          <w:t>-</w:t>
                        </w:r>
                      </w:p>
                    </w:tc>
                    <w:tc>
                      <w:tcPr>
                        <w:tcW w:w="391" w:type="dxa"/>
                        <w:tcBorders>
                          <w:bottom w:val="single" w:sz="0" w:space="0" w:color="000000"/>
                        </w:tcBorders>
                      </w:tcPr>
                      <w:p>
                        <w:pPr/>
                      </w:p>
                    </w:tc>
                    <w:tc>
                      <w:tcPr>
                        <w:tcW w:w="646" w:type="dxa"/>
                        <w:tcBorders>
                          <w:bottom w:val="single" w:sz="0" w:space="0" w:color="000000"/>
                        </w:tcBorders>
                      </w:tcPr>
                      <w:p>
                        <w:pPr>
                          <w:pStyle w:val="TableParagraph"/>
                          <w:spacing w:before="20"/>
                          <w:ind w:right="67"/>
                          <w:jc w:val="right"/>
                          <w:rPr>
                            <w:sz w:val="14"/>
                          </w:rPr>
                        </w:pPr>
                        <w:r>
                          <w:rPr>
                            <w:sz w:val="14"/>
                          </w:rPr>
                          <w:t>3,575</w:t>
                        </w:r>
                      </w:p>
                    </w:tc>
                    <w:tc>
                      <w:tcPr>
                        <w:tcW w:w="390" w:type="dxa"/>
                        <w:tcBorders>
                          <w:bottom w:val="single" w:sz="0" w:space="0" w:color="000000"/>
                        </w:tcBorders>
                      </w:tcPr>
                      <w:p>
                        <w:pPr/>
                      </w:p>
                    </w:tc>
                    <w:tc>
                      <w:tcPr>
                        <w:tcW w:w="647" w:type="dxa"/>
                        <w:tcBorders>
                          <w:bottom w:val="single" w:sz="0" w:space="0" w:color="000000"/>
                        </w:tcBorders>
                      </w:tcPr>
                      <w:p>
                        <w:pPr>
                          <w:pStyle w:val="TableParagraph"/>
                          <w:spacing w:before="20"/>
                          <w:ind w:left="157" w:right="4"/>
                          <w:jc w:val="center"/>
                          <w:rPr>
                            <w:sz w:val="14"/>
                          </w:rPr>
                        </w:pPr>
                        <w:r>
                          <w:rPr>
                            <w:sz w:val="14"/>
                          </w:rPr>
                          <w:t>4,006</w:t>
                        </w:r>
                      </w:p>
                    </w:tc>
                  </w:tr>
                  <w:tr>
                    <w:trPr>
                      <w:trHeight w:val="238" w:hRule="exact"/>
                    </w:trPr>
                    <w:tc>
                      <w:tcPr>
                        <w:tcW w:w="3600" w:type="dxa"/>
                      </w:tcPr>
                      <w:p>
                        <w:pPr>
                          <w:pStyle w:val="TableParagraph"/>
                          <w:spacing w:before="41"/>
                          <w:ind w:left="35"/>
                          <w:rPr>
                            <w:b/>
                            <w:sz w:val="14"/>
                          </w:rPr>
                        </w:pPr>
                        <w:r>
                          <w:rPr>
                            <w:b/>
                            <w:sz w:val="14"/>
                          </w:rPr>
                          <w:t>Closing value of reimbursement right</w:t>
                        </w:r>
                      </w:p>
                    </w:tc>
                    <w:tc>
                      <w:tcPr>
                        <w:tcW w:w="1169" w:type="dxa"/>
                      </w:tcPr>
                      <w:p>
                        <w:pPr/>
                      </w:p>
                    </w:tc>
                    <w:tc>
                      <w:tcPr>
                        <w:tcW w:w="510" w:type="dxa"/>
                        <w:gridSpan w:val="2"/>
                        <w:tcBorders>
                          <w:top w:val="single" w:sz="0" w:space="0" w:color="000000"/>
                          <w:bottom w:val="single" w:sz="0" w:space="0" w:color="000000"/>
                        </w:tcBorders>
                      </w:tcPr>
                      <w:p>
                        <w:pPr/>
                      </w:p>
                    </w:tc>
                    <w:tc>
                      <w:tcPr>
                        <w:tcW w:w="600" w:type="dxa"/>
                        <w:tcBorders>
                          <w:top w:val="single" w:sz="0" w:space="0" w:color="000000"/>
                          <w:bottom w:val="single" w:sz="0" w:space="0" w:color="000000"/>
                        </w:tcBorders>
                      </w:tcPr>
                      <w:p>
                        <w:pPr>
                          <w:pStyle w:val="TableParagraph"/>
                          <w:spacing w:before="39"/>
                          <w:ind w:right="67"/>
                          <w:jc w:val="right"/>
                          <w:rPr>
                            <w:sz w:val="14"/>
                          </w:rPr>
                        </w:pPr>
                        <w:r>
                          <w:rPr>
                            <w:sz w:val="14"/>
                          </w:rPr>
                          <w:t>10,040</w:t>
                        </w:r>
                      </w:p>
                    </w:tc>
                    <w:tc>
                      <w:tcPr>
                        <w:tcW w:w="541" w:type="dxa"/>
                        <w:tcBorders>
                          <w:top w:val="single" w:sz="0" w:space="0" w:color="000000"/>
                          <w:bottom w:val="single" w:sz="0" w:space="0" w:color="000000"/>
                        </w:tcBorders>
                      </w:tcPr>
                      <w:p>
                        <w:pPr/>
                      </w:p>
                    </w:tc>
                    <w:tc>
                      <w:tcPr>
                        <w:tcW w:w="495" w:type="dxa"/>
                        <w:tcBorders>
                          <w:top w:val="single" w:sz="0" w:space="0" w:color="000000"/>
                          <w:bottom w:val="single" w:sz="0" w:space="0" w:color="000000"/>
                        </w:tcBorders>
                      </w:tcPr>
                      <w:p>
                        <w:pPr>
                          <w:pStyle w:val="TableParagraph"/>
                          <w:spacing w:before="39"/>
                          <w:ind w:right="67"/>
                          <w:jc w:val="right"/>
                          <w:rPr>
                            <w:sz w:val="14"/>
                          </w:rPr>
                        </w:pPr>
                        <w:r>
                          <w:rPr>
                            <w:w w:val="100"/>
                            <w:sz w:val="14"/>
                          </w:rPr>
                          <w:t>-</w:t>
                        </w:r>
                      </w:p>
                    </w:tc>
                    <w:tc>
                      <w:tcPr>
                        <w:tcW w:w="391" w:type="dxa"/>
                        <w:tcBorders>
                          <w:top w:val="single" w:sz="0" w:space="0" w:color="000000"/>
                          <w:bottom w:val="single" w:sz="0" w:space="0" w:color="000000"/>
                        </w:tcBorders>
                      </w:tcPr>
                      <w:p>
                        <w:pPr/>
                      </w:p>
                    </w:tc>
                    <w:tc>
                      <w:tcPr>
                        <w:tcW w:w="646" w:type="dxa"/>
                        <w:tcBorders>
                          <w:top w:val="single" w:sz="0" w:space="0" w:color="000000"/>
                          <w:bottom w:val="single" w:sz="0" w:space="0" w:color="000000"/>
                        </w:tcBorders>
                      </w:tcPr>
                      <w:p>
                        <w:pPr>
                          <w:pStyle w:val="TableParagraph"/>
                          <w:spacing w:before="39"/>
                          <w:ind w:right="67"/>
                          <w:jc w:val="right"/>
                          <w:rPr>
                            <w:sz w:val="14"/>
                          </w:rPr>
                        </w:pPr>
                        <w:r>
                          <w:rPr>
                            <w:sz w:val="14"/>
                          </w:rPr>
                          <w:t>246,089</w:t>
                        </w:r>
                      </w:p>
                    </w:tc>
                    <w:tc>
                      <w:tcPr>
                        <w:tcW w:w="390" w:type="dxa"/>
                        <w:tcBorders>
                          <w:top w:val="single" w:sz="0" w:space="0" w:color="000000"/>
                          <w:bottom w:val="single" w:sz="0" w:space="0" w:color="000000"/>
                        </w:tcBorders>
                      </w:tcPr>
                      <w:p>
                        <w:pPr/>
                      </w:p>
                    </w:tc>
                    <w:tc>
                      <w:tcPr>
                        <w:tcW w:w="647" w:type="dxa"/>
                        <w:tcBorders>
                          <w:top w:val="single" w:sz="0" w:space="0" w:color="000000"/>
                          <w:bottom w:val="single" w:sz="0" w:space="0" w:color="000000"/>
                        </w:tcBorders>
                      </w:tcPr>
                      <w:p>
                        <w:pPr>
                          <w:pStyle w:val="TableParagraph"/>
                          <w:spacing w:before="39"/>
                          <w:ind w:left="3" w:right="4"/>
                          <w:jc w:val="center"/>
                          <w:rPr>
                            <w:sz w:val="14"/>
                          </w:rPr>
                        </w:pPr>
                        <w:r>
                          <w:rPr>
                            <w:sz w:val="14"/>
                          </w:rPr>
                          <w:t>256,129</w:t>
                        </w:r>
                      </w:p>
                    </w:tc>
                  </w:tr>
                  <w:tr>
                    <w:trPr>
                      <w:trHeight w:val="306" w:hRule="exact"/>
                    </w:trPr>
                    <w:tc>
                      <w:tcPr>
                        <w:tcW w:w="3600" w:type="dxa"/>
                      </w:tcPr>
                      <w:p>
                        <w:pPr>
                          <w:pStyle w:val="TableParagraph"/>
                          <w:spacing w:before="123"/>
                          <w:ind w:left="35"/>
                          <w:rPr>
                            <w:b/>
                            <w:sz w:val="14"/>
                          </w:rPr>
                        </w:pPr>
                        <w:r>
                          <w:rPr>
                            <w:b/>
                            <w:sz w:val="14"/>
                          </w:rPr>
                          <w:t>Net liability - 2012</w:t>
                        </w:r>
                      </w:p>
                    </w:tc>
                    <w:tc>
                      <w:tcPr>
                        <w:tcW w:w="1169" w:type="dxa"/>
                      </w:tcPr>
                      <w:p>
                        <w:pPr/>
                      </w:p>
                    </w:tc>
                    <w:tc>
                      <w:tcPr>
                        <w:tcW w:w="510" w:type="dxa"/>
                        <w:gridSpan w:val="2"/>
                        <w:tcBorders>
                          <w:top w:val="single" w:sz="0" w:space="0" w:color="000000"/>
                        </w:tcBorders>
                      </w:tcPr>
                      <w:p>
                        <w:pPr/>
                      </w:p>
                    </w:tc>
                    <w:tc>
                      <w:tcPr>
                        <w:tcW w:w="600" w:type="dxa"/>
                        <w:tcBorders>
                          <w:top w:val="single" w:sz="0" w:space="0" w:color="000000"/>
                        </w:tcBorders>
                      </w:tcPr>
                      <w:p>
                        <w:pPr/>
                      </w:p>
                    </w:tc>
                    <w:tc>
                      <w:tcPr>
                        <w:tcW w:w="541" w:type="dxa"/>
                        <w:tcBorders>
                          <w:top w:val="single" w:sz="0" w:space="0" w:color="000000"/>
                        </w:tcBorders>
                      </w:tcPr>
                      <w:p>
                        <w:pPr/>
                      </w:p>
                    </w:tc>
                    <w:tc>
                      <w:tcPr>
                        <w:tcW w:w="495" w:type="dxa"/>
                        <w:tcBorders>
                          <w:top w:val="single" w:sz="0" w:space="0" w:color="000000"/>
                        </w:tcBorders>
                      </w:tcPr>
                      <w:p>
                        <w:pPr/>
                      </w:p>
                    </w:tc>
                    <w:tc>
                      <w:tcPr>
                        <w:tcW w:w="391" w:type="dxa"/>
                        <w:tcBorders>
                          <w:top w:val="single" w:sz="0" w:space="0" w:color="000000"/>
                        </w:tcBorders>
                      </w:tcPr>
                      <w:p>
                        <w:pPr/>
                      </w:p>
                    </w:tc>
                    <w:tc>
                      <w:tcPr>
                        <w:tcW w:w="646" w:type="dxa"/>
                        <w:tcBorders>
                          <w:top w:val="single" w:sz="0" w:space="0" w:color="000000"/>
                        </w:tcBorders>
                      </w:tcPr>
                      <w:p>
                        <w:pPr/>
                      </w:p>
                    </w:tc>
                    <w:tc>
                      <w:tcPr>
                        <w:tcW w:w="390" w:type="dxa"/>
                        <w:tcBorders>
                          <w:top w:val="single" w:sz="0" w:space="0" w:color="000000"/>
                        </w:tcBorders>
                      </w:tcPr>
                      <w:p>
                        <w:pPr/>
                      </w:p>
                    </w:tc>
                    <w:tc>
                      <w:tcPr>
                        <w:tcW w:w="647" w:type="dxa"/>
                        <w:tcBorders>
                          <w:top w:val="single" w:sz="0" w:space="0" w:color="000000"/>
                        </w:tcBorders>
                      </w:tcPr>
                      <w:p>
                        <w:pPr/>
                      </w:p>
                    </w:tc>
                  </w:tr>
                  <w:tr>
                    <w:trPr>
                      <w:trHeight w:val="205" w:hRule="exact"/>
                    </w:trPr>
                    <w:tc>
                      <w:tcPr>
                        <w:tcW w:w="3600" w:type="dxa"/>
                      </w:tcPr>
                      <w:p>
                        <w:pPr>
                          <w:pStyle w:val="TableParagraph"/>
                          <w:spacing w:before="8"/>
                          <w:ind w:left="35"/>
                          <w:rPr>
                            <w:sz w:val="14"/>
                          </w:rPr>
                        </w:pPr>
                        <w:r>
                          <w:rPr>
                            <w:sz w:val="14"/>
                          </w:rPr>
                          <w:t>Defined benefit obligation</w:t>
                        </w:r>
                      </w:p>
                    </w:tc>
                    <w:tc>
                      <w:tcPr>
                        <w:tcW w:w="1169" w:type="dxa"/>
                      </w:tcPr>
                      <w:p>
                        <w:pPr/>
                      </w:p>
                    </w:tc>
                    <w:tc>
                      <w:tcPr>
                        <w:tcW w:w="510" w:type="dxa"/>
                        <w:gridSpan w:val="2"/>
                      </w:tcPr>
                      <w:p>
                        <w:pPr/>
                      </w:p>
                    </w:tc>
                    <w:tc>
                      <w:tcPr>
                        <w:tcW w:w="600" w:type="dxa"/>
                      </w:tcPr>
                      <w:p>
                        <w:pPr>
                          <w:pStyle w:val="TableParagraph"/>
                          <w:spacing w:before="7"/>
                          <w:ind w:right="67"/>
                          <w:jc w:val="right"/>
                          <w:rPr>
                            <w:sz w:val="14"/>
                          </w:rPr>
                        </w:pPr>
                        <w:r>
                          <w:rPr>
                            <w:sz w:val="14"/>
                          </w:rPr>
                          <w:t>42,641</w:t>
                        </w:r>
                      </w:p>
                    </w:tc>
                    <w:tc>
                      <w:tcPr>
                        <w:tcW w:w="541" w:type="dxa"/>
                      </w:tcPr>
                      <w:p>
                        <w:pPr/>
                      </w:p>
                    </w:tc>
                    <w:tc>
                      <w:tcPr>
                        <w:tcW w:w="495" w:type="dxa"/>
                      </w:tcPr>
                      <w:p>
                        <w:pPr>
                          <w:pStyle w:val="TableParagraph"/>
                          <w:spacing w:before="7"/>
                          <w:ind w:right="68"/>
                          <w:jc w:val="right"/>
                          <w:rPr>
                            <w:sz w:val="14"/>
                          </w:rPr>
                        </w:pPr>
                        <w:r>
                          <w:rPr>
                            <w:sz w:val="14"/>
                          </w:rPr>
                          <w:t>7,859</w:t>
                        </w:r>
                      </w:p>
                    </w:tc>
                    <w:tc>
                      <w:tcPr>
                        <w:tcW w:w="391" w:type="dxa"/>
                      </w:tcPr>
                      <w:p>
                        <w:pPr/>
                      </w:p>
                    </w:tc>
                    <w:tc>
                      <w:tcPr>
                        <w:tcW w:w="646" w:type="dxa"/>
                      </w:tcPr>
                      <w:p>
                        <w:pPr>
                          <w:pStyle w:val="TableParagraph"/>
                          <w:spacing w:before="7"/>
                          <w:ind w:right="68"/>
                          <w:jc w:val="right"/>
                          <w:rPr>
                            <w:sz w:val="14"/>
                          </w:rPr>
                        </w:pPr>
                        <w:r>
                          <w:rPr>
                            <w:sz w:val="14"/>
                          </w:rPr>
                          <w:t>357,134</w:t>
                        </w:r>
                      </w:p>
                    </w:tc>
                    <w:tc>
                      <w:tcPr>
                        <w:tcW w:w="390" w:type="dxa"/>
                      </w:tcPr>
                      <w:p>
                        <w:pPr/>
                      </w:p>
                    </w:tc>
                    <w:tc>
                      <w:tcPr>
                        <w:tcW w:w="647" w:type="dxa"/>
                      </w:tcPr>
                      <w:p>
                        <w:pPr>
                          <w:pStyle w:val="TableParagraph"/>
                          <w:spacing w:before="7"/>
                          <w:ind w:left="4" w:right="4"/>
                          <w:jc w:val="center"/>
                          <w:rPr>
                            <w:sz w:val="14"/>
                          </w:rPr>
                        </w:pPr>
                        <w:r>
                          <w:rPr>
                            <w:sz w:val="14"/>
                          </w:rPr>
                          <w:t>407,634</w:t>
                        </w:r>
                      </w:p>
                    </w:tc>
                  </w:tr>
                  <w:tr>
                    <w:trPr>
                      <w:trHeight w:val="218" w:hRule="exact"/>
                    </w:trPr>
                    <w:tc>
                      <w:tcPr>
                        <w:tcW w:w="3600" w:type="dxa"/>
                      </w:tcPr>
                      <w:p>
                        <w:pPr>
                          <w:pStyle w:val="TableParagraph"/>
                          <w:spacing w:before="22"/>
                          <w:ind w:left="35"/>
                          <w:rPr>
                            <w:sz w:val="14"/>
                          </w:rPr>
                        </w:pPr>
                        <w:r>
                          <w:rPr>
                            <w:sz w:val="14"/>
                          </w:rPr>
                          <w:t>Fair value of plan assets</w:t>
                        </w:r>
                      </w:p>
                    </w:tc>
                    <w:tc>
                      <w:tcPr>
                        <w:tcW w:w="1169" w:type="dxa"/>
                      </w:tcPr>
                      <w:p>
                        <w:pPr/>
                      </w:p>
                    </w:tc>
                    <w:tc>
                      <w:tcPr>
                        <w:tcW w:w="510" w:type="dxa"/>
                        <w:gridSpan w:val="2"/>
                      </w:tcPr>
                      <w:p>
                        <w:pPr/>
                      </w:p>
                    </w:tc>
                    <w:tc>
                      <w:tcPr>
                        <w:tcW w:w="600" w:type="dxa"/>
                      </w:tcPr>
                      <w:p>
                        <w:pPr>
                          <w:pStyle w:val="TableParagraph"/>
                          <w:spacing w:before="20"/>
                          <w:ind w:right="20"/>
                          <w:jc w:val="right"/>
                          <w:rPr>
                            <w:sz w:val="14"/>
                          </w:rPr>
                        </w:pPr>
                        <w:r>
                          <w:rPr>
                            <w:sz w:val="14"/>
                          </w:rPr>
                          <w:t>(32,601)</w:t>
                        </w:r>
                      </w:p>
                    </w:tc>
                    <w:tc>
                      <w:tcPr>
                        <w:tcW w:w="541" w:type="dxa"/>
                      </w:tcPr>
                      <w:p>
                        <w:pPr/>
                      </w:p>
                    </w:tc>
                    <w:tc>
                      <w:tcPr>
                        <w:tcW w:w="495" w:type="dxa"/>
                      </w:tcPr>
                      <w:p>
                        <w:pPr>
                          <w:pStyle w:val="TableParagraph"/>
                          <w:spacing w:before="20"/>
                          <w:ind w:right="21"/>
                          <w:jc w:val="right"/>
                          <w:rPr>
                            <w:sz w:val="14"/>
                          </w:rPr>
                        </w:pPr>
                        <w:r>
                          <w:rPr>
                            <w:sz w:val="14"/>
                          </w:rPr>
                          <w:t>(4,576)</w:t>
                        </w:r>
                      </w:p>
                    </w:tc>
                    <w:tc>
                      <w:tcPr>
                        <w:tcW w:w="391" w:type="dxa"/>
                      </w:tcPr>
                      <w:p>
                        <w:pPr/>
                      </w:p>
                    </w:tc>
                    <w:tc>
                      <w:tcPr>
                        <w:tcW w:w="646" w:type="dxa"/>
                      </w:tcPr>
                      <w:p>
                        <w:pPr>
                          <w:pStyle w:val="TableParagraph"/>
                          <w:spacing w:before="20"/>
                          <w:ind w:right="21"/>
                          <w:jc w:val="right"/>
                          <w:rPr>
                            <w:sz w:val="14"/>
                          </w:rPr>
                        </w:pPr>
                        <w:r>
                          <w:rPr>
                            <w:sz w:val="14"/>
                          </w:rPr>
                          <w:t>(111,045)</w:t>
                        </w:r>
                      </w:p>
                    </w:tc>
                    <w:tc>
                      <w:tcPr>
                        <w:tcW w:w="390" w:type="dxa"/>
                      </w:tcPr>
                      <w:p>
                        <w:pPr/>
                      </w:p>
                    </w:tc>
                    <w:tc>
                      <w:tcPr>
                        <w:tcW w:w="647" w:type="dxa"/>
                      </w:tcPr>
                      <w:p>
                        <w:pPr>
                          <w:pStyle w:val="TableParagraph"/>
                          <w:spacing w:before="20"/>
                          <w:ind w:left="4" w:right="4"/>
                          <w:jc w:val="center"/>
                          <w:rPr>
                            <w:sz w:val="14"/>
                          </w:rPr>
                        </w:pPr>
                        <w:r>
                          <w:rPr>
                            <w:sz w:val="14"/>
                          </w:rPr>
                          <w:t>(148,222)</w:t>
                        </w:r>
                      </w:p>
                    </w:tc>
                  </w:tr>
                  <w:tr>
                    <w:trPr>
                      <w:trHeight w:val="219" w:hRule="exact"/>
                    </w:trPr>
                    <w:tc>
                      <w:tcPr>
                        <w:tcW w:w="3600" w:type="dxa"/>
                      </w:tcPr>
                      <w:p>
                        <w:pPr>
                          <w:pStyle w:val="TableParagraph"/>
                          <w:spacing w:before="22"/>
                          <w:ind w:left="35"/>
                          <w:rPr>
                            <w:sz w:val="14"/>
                          </w:rPr>
                        </w:pPr>
                        <w:r>
                          <w:rPr>
                            <w:sz w:val="14"/>
                          </w:rPr>
                          <w:t>Reimbursement right</w:t>
                        </w:r>
                      </w:p>
                    </w:tc>
                    <w:tc>
                      <w:tcPr>
                        <w:tcW w:w="1169" w:type="dxa"/>
                      </w:tcPr>
                      <w:p>
                        <w:pPr>
                          <w:pStyle w:val="TableParagraph"/>
                          <w:spacing w:before="20"/>
                          <w:ind w:left="783"/>
                          <w:rPr>
                            <w:sz w:val="14"/>
                          </w:rPr>
                        </w:pPr>
                        <w:r>
                          <w:rPr>
                            <w:sz w:val="14"/>
                          </w:rPr>
                          <w:t>16</w:t>
                        </w:r>
                      </w:p>
                    </w:tc>
                    <w:tc>
                      <w:tcPr>
                        <w:tcW w:w="510" w:type="dxa"/>
                        <w:gridSpan w:val="2"/>
                        <w:tcBorders>
                          <w:bottom w:val="single" w:sz="0" w:space="0" w:color="000000"/>
                        </w:tcBorders>
                      </w:tcPr>
                      <w:p>
                        <w:pPr/>
                      </w:p>
                    </w:tc>
                    <w:tc>
                      <w:tcPr>
                        <w:tcW w:w="600" w:type="dxa"/>
                        <w:tcBorders>
                          <w:bottom w:val="single" w:sz="0" w:space="0" w:color="000000"/>
                        </w:tcBorders>
                      </w:tcPr>
                      <w:p>
                        <w:pPr>
                          <w:pStyle w:val="TableParagraph"/>
                          <w:spacing w:before="21"/>
                          <w:ind w:right="20"/>
                          <w:jc w:val="right"/>
                          <w:rPr>
                            <w:sz w:val="14"/>
                          </w:rPr>
                        </w:pPr>
                        <w:r>
                          <w:rPr>
                            <w:sz w:val="14"/>
                          </w:rPr>
                          <w:t>(10,040)</w:t>
                        </w:r>
                      </w:p>
                    </w:tc>
                    <w:tc>
                      <w:tcPr>
                        <w:tcW w:w="541" w:type="dxa"/>
                        <w:tcBorders>
                          <w:bottom w:val="single" w:sz="0" w:space="0" w:color="000000"/>
                        </w:tcBorders>
                      </w:tcPr>
                      <w:p>
                        <w:pPr/>
                      </w:p>
                    </w:tc>
                    <w:tc>
                      <w:tcPr>
                        <w:tcW w:w="495" w:type="dxa"/>
                        <w:tcBorders>
                          <w:bottom w:val="single" w:sz="0" w:space="0" w:color="000000"/>
                        </w:tcBorders>
                      </w:tcPr>
                      <w:p>
                        <w:pPr>
                          <w:pStyle w:val="TableParagraph"/>
                          <w:spacing w:before="21"/>
                          <w:ind w:right="67"/>
                          <w:jc w:val="right"/>
                          <w:rPr>
                            <w:sz w:val="14"/>
                          </w:rPr>
                        </w:pPr>
                        <w:r>
                          <w:rPr>
                            <w:w w:val="100"/>
                            <w:sz w:val="14"/>
                          </w:rPr>
                          <w:t>-</w:t>
                        </w:r>
                      </w:p>
                    </w:tc>
                    <w:tc>
                      <w:tcPr>
                        <w:tcW w:w="391" w:type="dxa"/>
                        <w:tcBorders>
                          <w:bottom w:val="single" w:sz="0" w:space="0" w:color="000000"/>
                        </w:tcBorders>
                      </w:tcPr>
                      <w:p>
                        <w:pPr/>
                      </w:p>
                    </w:tc>
                    <w:tc>
                      <w:tcPr>
                        <w:tcW w:w="646" w:type="dxa"/>
                        <w:tcBorders>
                          <w:bottom w:val="single" w:sz="0" w:space="0" w:color="000000"/>
                        </w:tcBorders>
                      </w:tcPr>
                      <w:p>
                        <w:pPr>
                          <w:pStyle w:val="TableParagraph"/>
                          <w:spacing w:before="21"/>
                          <w:ind w:right="21"/>
                          <w:jc w:val="right"/>
                          <w:rPr>
                            <w:sz w:val="14"/>
                          </w:rPr>
                        </w:pPr>
                        <w:r>
                          <w:rPr>
                            <w:sz w:val="14"/>
                          </w:rPr>
                          <w:t>(246,089)</w:t>
                        </w:r>
                      </w:p>
                    </w:tc>
                    <w:tc>
                      <w:tcPr>
                        <w:tcW w:w="390" w:type="dxa"/>
                        <w:tcBorders>
                          <w:bottom w:val="single" w:sz="0" w:space="0" w:color="000000"/>
                        </w:tcBorders>
                      </w:tcPr>
                      <w:p>
                        <w:pPr/>
                      </w:p>
                    </w:tc>
                    <w:tc>
                      <w:tcPr>
                        <w:tcW w:w="647" w:type="dxa"/>
                        <w:tcBorders>
                          <w:bottom w:val="single" w:sz="0" w:space="0" w:color="000000"/>
                        </w:tcBorders>
                      </w:tcPr>
                      <w:p>
                        <w:pPr>
                          <w:pStyle w:val="TableParagraph"/>
                          <w:spacing w:before="21"/>
                          <w:ind w:left="4" w:right="4"/>
                          <w:jc w:val="center"/>
                          <w:rPr>
                            <w:sz w:val="14"/>
                          </w:rPr>
                        </w:pPr>
                        <w:r>
                          <w:rPr>
                            <w:sz w:val="14"/>
                          </w:rPr>
                          <w:t>(256,129)</w:t>
                        </w:r>
                      </w:p>
                    </w:tc>
                  </w:tr>
                  <w:tr>
                    <w:trPr>
                      <w:trHeight w:val="282" w:hRule="exact"/>
                    </w:trPr>
                    <w:tc>
                      <w:tcPr>
                        <w:tcW w:w="3600" w:type="dxa"/>
                      </w:tcPr>
                      <w:p>
                        <w:pPr>
                          <w:pStyle w:val="TableParagraph"/>
                          <w:spacing w:before="123"/>
                          <w:ind w:left="35"/>
                          <w:rPr>
                            <w:b/>
                            <w:sz w:val="14"/>
                          </w:rPr>
                        </w:pPr>
                        <w:r>
                          <w:rPr>
                            <w:b/>
                            <w:sz w:val="14"/>
                          </w:rPr>
                          <w:t>Total net liability/(asset) in balance</w:t>
                        </w:r>
                      </w:p>
                    </w:tc>
                    <w:tc>
                      <w:tcPr>
                        <w:tcW w:w="1169" w:type="dxa"/>
                      </w:tcPr>
                      <w:p>
                        <w:pPr/>
                      </w:p>
                    </w:tc>
                    <w:tc>
                      <w:tcPr>
                        <w:tcW w:w="510" w:type="dxa"/>
                        <w:gridSpan w:val="2"/>
                        <w:tcBorders>
                          <w:top w:val="single" w:sz="0" w:space="0" w:color="000000"/>
                        </w:tcBorders>
                      </w:tcPr>
                      <w:p>
                        <w:pPr/>
                      </w:p>
                    </w:tc>
                    <w:tc>
                      <w:tcPr>
                        <w:tcW w:w="600" w:type="dxa"/>
                        <w:tcBorders>
                          <w:top w:val="single" w:sz="0" w:space="0" w:color="000000"/>
                        </w:tcBorders>
                      </w:tcPr>
                      <w:p>
                        <w:pPr/>
                      </w:p>
                    </w:tc>
                    <w:tc>
                      <w:tcPr>
                        <w:tcW w:w="541" w:type="dxa"/>
                        <w:tcBorders>
                          <w:top w:val="single" w:sz="0" w:space="0" w:color="000000"/>
                        </w:tcBorders>
                      </w:tcPr>
                      <w:p>
                        <w:pPr/>
                      </w:p>
                    </w:tc>
                    <w:tc>
                      <w:tcPr>
                        <w:tcW w:w="495" w:type="dxa"/>
                        <w:tcBorders>
                          <w:top w:val="single" w:sz="0" w:space="0" w:color="000000"/>
                        </w:tcBorders>
                      </w:tcPr>
                      <w:p>
                        <w:pPr/>
                      </w:p>
                    </w:tc>
                    <w:tc>
                      <w:tcPr>
                        <w:tcW w:w="391" w:type="dxa"/>
                        <w:tcBorders>
                          <w:top w:val="single" w:sz="0" w:space="0" w:color="000000"/>
                        </w:tcBorders>
                      </w:tcPr>
                      <w:p>
                        <w:pPr/>
                      </w:p>
                    </w:tc>
                    <w:tc>
                      <w:tcPr>
                        <w:tcW w:w="646" w:type="dxa"/>
                        <w:tcBorders>
                          <w:top w:val="single" w:sz="0" w:space="0" w:color="000000"/>
                        </w:tcBorders>
                      </w:tcPr>
                      <w:p>
                        <w:pPr/>
                      </w:p>
                    </w:tc>
                    <w:tc>
                      <w:tcPr>
                        <w:tcW w:w="390" w:type="dxa"/>
                        <w:tcBorders>
                          <w:top w:val="single" w:sz="0" w:space="0" w:color="000000"/>
                        </w:tcBorders>
                      </w:tcPr>
                      <w:p>
                        <w:pPr/>
                      </w:p>
                    </w:tc>
                    <w:tc>
                      <w:tcPr>
                        <w:tcW w:w="647" w:type="dxa"/>
                        <w:tcBorders>
                          <w:top w:val="single" w:sz="0" w:space="0" w:color="000000"/>
                        </w:tcBorders>
                      </w:tcPr>
                      <w:p>
                        <w:pPr/>
                      </w:p>
                    </w:tc>
                  </w:tr>
                  <w:tr>
                    <w:trPr>
                      <w:trHeight w:val="478" w:hRule="exact"/>
                    </w:trPr>
                    <w:tc>
                      <w:tcPr>
                        <w:tcW w:w="8989" w:type="dxa"/>
                        <w:gridSpan w:val="11"/>
                      </w:tcPr>
                      <w:p>
                        <w:pPr>
                          <w:pStyle w:val="TableParagraph"/>
                          <w:tabs>
                            <w:tab w:pos="4842" w:val="left" w:leader="none"/>
                            <w:tab w:pos="5762" w:val="left" w:leader="none"/>
                            <w:tab w:pos="6493" w:val="left" w:leader="none"/>
                            <w:tab w:pos="7834" w:val="left" w:leader="none"/>
                            <w:tab w:pos="8566" w:val="left" w:leader="none"/>
                          </w:tabs>
                          <w:spacing w:before="3"/>
                          <w:ind w:left="35"/>
                          <w:rPr>
                            <w:sz w:val="14"/>
                          </w:rPr>
                        </w:pPr>
                        <w:r>
                          <w:rPr>
                            <w:b/>
                            <w:sz w:val="14"/>
                          </w:rPr>
                          <w:t>sheet</w:t>
                          <w:tab/>
                        </w:r>
                        <w:r>
                          <w:rPr>
                            <w:rFonts w:ascii="Times New Roman"/>
                            <w:sz w:val="14"/>
                            <w:u w:val="single"/>
                          </w:rPr>
                          <w:t> </w:t>
                          <w:tab/>
                        </w:r>
                        <w:r>
                          <w:rPr>
                            <w:sz w:val="14"/>
                            <w:u w:val="single"/>
                          </w:rPr>
                          <w:t>-</w:t>
                          <w:tab/>
                          <w:t>3,283</w:t>
                          <w:tab/>
                          <w:t>-</w:t>
                          <w:tab/>
                          <w:t>3,283</w:t>
                        </w:r>
                      </w:p>
                      <w:p>
                        <w:pPr>
                          <w:pStyle w:val="TableParagraph"/>
                          <w:spacing w:before="5"/>
                          <w:rPr>
                            <w:sz w:val="11"/>
                          </w:rPr>
                        </w:pPr>
                      </w:p>
                      <w:p>
                        <w:pPr>
                          <w:pStyle w:val="TableParagraph"/>
                          <w:ind w:left="35"/>
                          <w:rPr>
                            <w:b/>
                            <w:sz w:val="14"/>
                          </w:rPr>
                        </w:pPr>
                        <w:r>
                          <w:rPr>
                            <w:b/>
                            <w:sz w:val="14"/>
                          </w:rPr>
                          <w:t>Expense recognised - 2012</w:t>
                        </w:r>
                      </w:p>
                    </w:tc>
                  </w:tr>
                  <w:tr>
                    <w:trPr>
                      <w:trHeight w:val="205" w:hRule="exact"/>
                    </w:trPr>
                    <w:tc>
                      <w:tcPr>
                        <w:tcW w:w="4842" w:type="dxa"/>
                        <w:gridSpan w:val="3"/>
                      </w:tcPr>
                      <w:p>
                        <w:pPr>
                          <w:pStyle w:val="TableParagraph"/>
                          <w:spacing w:before="8"/>
                          <w:ind w:left="35"/>
                          <w:rPr>
                            <w:sz w:val="14"/>
                          </w:rPr>
                        </w:pPr>
                        <w:r>
                          <w:rPr>
                            <w:sz w:val="14"/>
                          </w:rPr>
                          <w:t>Current service cost</w:t>
                        </w:r>
                      </w:p>
                    </w:tc>
                    <w:tc>
                      <w:tcPr>
                        <w:tcW w:w="1036" w:type="dxa"/>
                        <w:gridSpan w:val="2"/>
                      </w:tcPr>
                      <w:p>
                        <w:pPr>
                          <w:pStyle w:val="TableParagraph"/>
                          <w:spacing w:before="7"/>
                          <w:ind w:left="615"/>
                          <w:rPr>
                            <w:sz w:val="14"/>
                          </w:rPr>
                        </w:pPr>
                        <w:r>
                          <w:rPr>
                            <w:sz w:val="14"/>
                          </w:rPr>
                          <w:t>1,428</w:t>
                        </w:r>
                      </w:p>
                    </w:tc>
                    <w:tc>
                      <w:tcPr>
                        <w:tcW w:w="1036" w:type="dxa"/>
                        <w:gridSpan w:val="2"/>
                      </w:tcPr>
                      <w:p>
                        <w:pPr>
                          <w:pStyle w:val="TableParagraph"/>
                          <w:spacing w:before="7"/>
                          <w:ind w:right="67"/>
                          <w:jc w:val="right"/>
                          <w:rPr>
                            <w:sz w:val="14"/>
                          </w:rPr>
                        </w:pPr>
                        <w:r>
                          <w:rPr>
                            <w:sz w:val="14"/>
                          </w:rPr>
                          <w:t>334</w:t>
                        </w:r>
                      </w:p>
                    </w:tc>
                    <w:tc>
                      <w:tcPr>
                        <w:tcW w:w="1037" w:type="dxa"/>
                        <w:gridSpan w:val="2"/>
                      </w:tcPr>
                      <w:p>
                        <w:pPr>
                          <w:pStyle w:val="TableParagraph"/>
                          <w:spacing w:before="7"/>
                          <w:ind w:right="67"/>
                          <w:jc w:val="right"/>
                          <w:rPr>
                            <w:sz w:val="14"/>
                          </w:rPr>
                        </w:pPr>
                        <w:r>
                          <w:rPr>
                            <w:sz w:val="14"/>
                          </w:rPr>
                          <w:t>437</w:t>
                        </w:r>
                      </w:p>
                    </w:tc>
                    <w:tc>
                      <w:tcPr>
                        <w:tcW w:w="1038" w:type="dxa"/>
                        <w:gridSpan w:val="2"/>
                      </w:tcPr>
                      <w:p>
                        <w:pPr>
                          <w:pStyle w:val="TableParagraph"/>
                          <w:spacing w:before="7"/>
                          <w:ind w:left="615"/>
                          <w:rPr>
                            <w:sz w:val="14"/>
                          </w:rPr>
                        </w:pPr>
                        <w:r>
                          <w:rPr>
                            <w:sz w:val="14"/>
                          </w:rPr>
                          <w:t>2,199</w:t>
                        </w:r>
                      </w:p>
                    </w:tc>
                  </w:tr>
                  <w:tr>
                    <w:trPr>
                      <w:trHeight w:val="218" w:hRule="exact"/>
                    </w:trPr>
                    <w:tc>
                      <w:tcPr>
                        <w:tcW w:w="4842" w:type="dxa"/>
                        <w:gridSpan w:val="3"/>
                      </w:tcPr>
                      <w:p>
                        <w:pPr>
                          <w:pStyle w:val="TableParagraph"/>
                          <w:spacing w:before="22"/>
                          <w:ind w:left="35"/>
                          <w:rPr>
                            <w:sz w:val="14"/>
                          </w:rPr>
                        </w:pPr>
                        <w:r>
                          <w:rPr>
                            <w:sz w:val="14"/>
                          </w:rPr>
                          <w:t>Interest on obligation</w:t>
                        </w:r>
                      </w:p>
                    </w:tc>
                    <w:tc>
                      <w:tcPr>
                        <w:tcW w:w="1036" w:type="dxa"/>
                        <w:gridSpan w:val="2"/>
                      </w:tcPr>
                      <w:p>
                        <w:pPr>
                          <w:pStyle w:val="TableParagraph"/>
                          <w:spacing w:before="20"/>
                          <w:ind w:left="615"/>
                          <w:rPr>
                            <w:sz w:val="14"/>
                          </w:rPr>
                        </w:pPr>
                        <w:r>
                          <w:rPr>
                            <w:sz w:val="14"/>
                          </w:rPr>
                          <w:t>1,381</w:t>
                        </w:r>
                      </w:p>
                    </w:tc>
                    <w:tc>
                      <w:tcPr>
                        <w:tcW w:w="1036" w:type="dxa"/>
                        <w:gridSpan w:val="2"/>
                      </w:tcPr>
                      <w:p>
                        <w:pPr>
                          <w:pStyle w:val="TableParagraph"/>
                          <w:spacing w:before="20"/>
                          <w:ind w:right="67"/>
                          <w:jc w:val="right"/>
                          <w:rPr>
                            <w:sz w:val="14"/>
                          </w:rPr>
                        </w:pPr>
                        <w:r>
                          <w:rPr>
                            <w:sz w:val="14"/>
                          </w:rPr>
                          <w:t>271</w:t>
                        </w:r>
                      </w:p>
                    </w:tc>
                    <w:tc>
                      <w:tcPr>
                        <w:tcW w:w="1037" w:type="dxa"/>
                        <w:gridSpan w:val="2"/>
                      </w:tcPr>
                      <w:p>
                        <w:pPr>
                          <w:pStyle w:val="TableParagraph"/>
                          <w:spacing w:before="20"/>
                          <w:ind w:left="537"/>
                          <w:rPr>
                            <w:sz w:val="14"/>
                          </w:rPr>
                        </w:pPr>
                        <w:r>
                          <w:rPr>
                            <w:sz w:val="14"/>
                          </w:rPr>
                          <w:t>12,038</w:t>
                        </w:r>
                      </w:p>
                    </w:tc>
                    <w:tc>
                      <w:tcPr>
                        <w:tcW w:w="1038" w:type="dxa"/>
                        <w:gridSpan w:val="2"/>
                      </w:tcPr>
                      <w:p>
                        <w:pPr>
                          <w:pStyle w:val="TableParagraph"/>
                          <w:spacing w:before="20"/>
                          <w:ind w:left="537"/>
                          <w:rPr>
                            <w:sz w:val="14"/>
                          </w:rPr>
                        </w:pPr>
                        <w:r>
                          <w:rPr>
                            <w:sz w:val="14"/>
                          </w:rPr>
                          <w:t>13,690</w:t>
                        </w:r>
                      </w:p>
                    </w:tc>
                  </w:tr>
                  <w:tr>
                    <w:trPr>
                      <w:trHeight w:val="218" w:hRule="exact"/>
                    </w:trPr>
                    <w:tc>
                      <w:tcPr>
                        <w:tcW w:w="4842" w:type="dxa"/>
                        <w:gridSpan w:val="3"/>
                      </w:tcPr>
                      <w:p>
                        <w:pPr>
                          <w:pStyle w:val="TableParagraph"/>
                          <w:spacing w:before="22"/>
                          <w:ind w:left="35"/>
                          <w:rPr>
                            <w:sz w:val="14"/>
                          </w:rPr>
                        </w:pPr>
                        <w:r>
                          <w:rPr>
                            <w:sz w:val="14"/>
                          </w:rPr>
                          <w:t>Expected return on plan assets</w:t>
                        </w:r>
                      </w:p>
                    </w:tc>
                    <w:tc>
                      <w:tcPr>
                        <w:tcW w:w="1036" w:type="dxa"/>
                        <w:gridSpan w:val="2"/>
                      </w:tcPr>
                      <w:p>
                        <w:pPr>
                          <w:pStyle w:val="TableParagraph"/>
                          <w:spacing w:before="20"/>
                          <w:ind w:left="568"/>
                          <w:rPr>
                            <w:sz w:val="14"/>
                          </w:rPr>
                        </w:pPr>
                        <w:r>
                          <w:rPr>
                            <w:sz w:val="14"/>
                          </w:rPr>
                          <w:t>(2,379)</w:t>
                        </w:r>
                      </w:p>
                    </w:tc>
                    <w:tc>
                      <w:tcPr>
                        <w:tcW w:w="1036" w:type="dxa"/>
                        <w:gridSpan w:val="2"/>
                      </w:tcPr>
                      <w:p>
                        <w:pPr>
                          <w:pStyle w:val="TableParagraph"/>
                          <w:spacing w:before="20"/>
                          <w:ind w:left="685"/>
                          <w:rPr>
                            <w:sz w:val="14"/>
                          </w:rPr>
                        </w:pPr>
                        <w:r>
                          <w:rPr>
                            <w:sz w:val="14"/>
                          </w:rPr>
                          <w:t>(451)</w:t>
                        </w:r>
                      </w:p>
                    </w:tc>
                    <w:tc>
                      <w:tcPr>
                        <w:tcW w:w="1037" w:type="dxa"/>
                        <w:gridSpan w:val="2"/>
                      </w:tcPr>
                      <w:p>
                        <w:pPr>
                          <w:pStyle w:val="TableParagraph"/>
                          <w:spacing w:before="20"/>
                          <w:ind w:left="568"/>
                          <w:rPr>
                            <w:sz w:val="14"/>
                          </w:rPr>
                        </w:pPr>
                        <w:r>
                          <w:rPr>
                            <w:sz w:val="14"/>
                          </w:rPr>
                          <w:t>(8,900)</w:t>
                        </w:r>
                      </w:p>
                    </w:tc>
                    <w:tc>
                      <w:tcPr>
                        <w:tcW w:w="1038" w:type="dxa"/>
                        <w:gridSpan w:val="2"/>
                      </w:tcPr>
                      <w:p>
                        <w:pPr>
                          <w:pStyle w:val="TableParagraph"/>
                          <w:spacing w:before="20"/>
                          <w:ind w:left="490"/>
                          <w:rPr>
                            <w:sz w:val="14"/>
                          </w:rPr>
                        </w:pPr>
                        <w:r>
                          <w:rPr>
                            <w:sz w:val="14"/>
                          </w:rPr>
                          <w:t>(11,730)</w:t>
                        </w:r>
                      </w:p>
                    </w:tc>
                  </w:tr>
                  <w:tr>
                    <w:trPr>
                      <w:trHeight w:val="219" w:hRule="exact"/>
                    </w:trPr>
                    <w:tc>
                      <w:tcPr>
                        <w:tcW w:w="4842" w:type="dxa"/>
                        <w:gridSpan w:val="3"/>
                      </w:tcPr>
                      <w:p>
                        <w:pPr>
                          <w:pStyle w:val="TableParagraph"/>
                          <w:spacing w:before="22"/>
                          <w:ind w:left="35"/>
                          <w:rPr>
                            <w:sz w:val="14"/>
                          </w:rPr>
                        </w:pPr>
                        <w:r>
                          <w:rPr>
                            <w:sz w:val="14"/>
                          </w:rPr>
                          <w:t>Expected return on reimbursement rights</w:t>
                        </w:r>
                      </w:p>
                    </w:tc>
                    <w:tc>
                      <w:tcPr>
                        <w:tcW w:w="1036" w:type="dxa"/>
                        <w:gridSpan w:val="2"/>
                        <w:tcBorders>
                          <w:bottom w:val="single" w:sz="0" w:space="0" w:color="000000"/>
                        </w:tcBorders>
                      </w:tcPr>
                      <w:p>
                        <w:pPr>
                          <w:pStyle w:val="TableParagraph"/>
                          <w:spacing w:before="20"/>
                          <w:ind w:left="686"/>
                          <w:rPr>
                            <w:sz w:val="14"/>
                          </w:rPr>
                        </w:pPr>
                        <w:r>
                          <w:rPr>
                            <w:sz w:val="14"/>
                          </w:rPr>
                          <w:t>(431)</w:t>
                        </w:r>
                      </w:p>
                    </w:tc>
                    <w:tc>
                      <w:tcPr>
                        <w:tcW w:w="1036" w:type="dxa"/>
                        <w:gridSpan w:val="2"/>
                        <w:tcBorders>
                          <w:bottom w:val="single" w:sz="0" w:space="0" w:color="000000"/>
                        </w:tcBorders>
                      </w:tcPr>
                      <w:p>
                        <w:pPr>
                          <w:pStyle w:val="TableParagraph"/>
                          <w:spacing w:before="20"/>
                          <w:ind w:right="67"/>
                          <w:jc w:val="right"/>
                          <w:rPr>
                            <w:sz w:val="14"/>
                          </w:rPr>
                        </w:pPr>
                        <w:r>
                          <w:rPr>
                            <w:w w:val="100"/>
                            <w:sz w:val="14"/>
                          </w:rPr>
                          <w:t>-</w:t>
                        </w:r>
                      </w:p>
                    </w:tc>
                    <w:tc>
                      <w:tcPr>
                        <w:tcW w:w="1037" w:type="dxa"/>
                        <w:gridSpan w:val="2"/>
                        <w:tcBorders>
                          <w:bottom w:val="single" w:sz="0" w:space="0" w:color="000000"/>
                        </w:tcBorders>
                      </w:tcPr>
                      <w:p>
                        <w:pPr>
                          <w:pStyle w:val="TableParagraph"/>
                          <w:spacing w:before="20"/>
                          <w:ind w:left="568"/>
                          <w:rPr>
                            <w:sz w:val="14"/>
                          </w:rPr>
                        </w:pPr>
                        <w:r>
                          <w:rPr>
                            <w:sz w:val="14"/>
                          </w:rPr>
                          <w:t>(3,575)</w:t>
                        </w:r>
                      </w:p>
                    </w:tc>
                    <w:tc>
                      <w:tcPr>
                        <w:tcW w:w="1038" w:type="dxa"/>
                        <w:gridSpan w:val="2"/>
                        <w:tcBorders>
                          <w:bottom w:val="single" w:sz="0" w:space="0" w:color="000000"/>
                        </w:tcBorders>
                      </w:tcPr>
                      <w:p>
                        <w:pPr>
                          <w:pStyle w:val="TableParagraph"/>
                          <w:spacing w:before="20"/>
                          <w:ind w:left="568"/>
                          <w:rPr>
                            <w:sz w:val="14"/>
                          </w:rPr>
                        </w:pPr>
                        <w:r>
                          <w:rPr>
                            <w:sz w:val="14"/>
                          </w:rPr>
                          <w:t>(4,006)</w:t>
                        </w:r>
                      </w:p>
                    </w:tc>
                  </w:tr>
                  <w:tr>
                    <w:trPr>
                      <w:trHeight w:val="238" w:hRule="exact"/>
                    </w:trPr>
                    <w:tc>
                      <w:tcPr>
                        <w:tcW w:w="4842" w:type="dxa"/>
                        <w:gridSpan w:val="3"/>
                      </w:tcPr>
                      <w:p>
                        <w:pPr>
                          <w:pStyle w:val="TableParagraph"/>
                          <w:spacing w:before="41"/>
                          <w:ind w:left="35"/>
                          <w:rPr>
                            <w:b/>
                            <w:sz w:val="14"/>
                          </w:rPr>
                        </w:pPr>
                        <w:r>
                          <w:rPr>
                            <w:b/>
                            <w:sz w:val="14"/>
                          </w:rPr>
                          <w:t>Expense/(income)</w:t>
                        </w:r>
                      </w:p>
                    </w:tc>
                    <w:tc>
                      <w:tcPr>
                        <w:tcW w:w="1036" w:type="dxa"/>
                        <w:gridSpan w:val="2"/>
                        <w:tcBorders>
                          <w:top w:val="single" w:sz="0" w:space="0" w:color="000000"/>
                          <w:bottom w:val="single" w:sz="0" w:space="0" w:color="000000"/>
                        </w:tcBorders>
                      </w:tcPr>
                      <w:p>
                        <w:pPr>
                          <w:pStyle w:val="TableParagraph"/>
                          <w:spacing w:before="39"/>
                          <w:ind w:right="67"/>
                          <w:jc w:val="right"/>
                          <w:rPr>
                            <w:sz w:val="14"/>
                          </w:rPr>
                        </w:pPr>
                        <w:r>
                          <w:rPr>
                            <w:w w:val="100"/>
                            <w:sz w:val="14"/>
                          </w:rPr>
                          <w:t>-</w:t>
                        </w:r>
                      </w:p>
                    </w:tc>
                    <w:tc>
                      <w:tcPr>
                        <w:tcW w:w="1036" w:type="dxa"/>
                        <w:gridSpan w:val="2"/>
                        <w:tcBorders>
                          <w:top w:val="single" w:sz="0" w:space="0" w:color="000000"/>
                          <w:bottom w:val="single" w:sz="0" w:space="0" w:color="000000"/>
                        </w:tcBorders>
                      </w:tcPr>
                      <w:p>
                        <w:pPr>
                          <w:pStyle w:val="TableParagraph"/>
                          <w:spacing w:before="39"/>
                          <w:ind w:right="67"/>
                          <w:jc w:val="right"/>
                          <w:rPr>
                            <w:sz w:val="14"/>
                          </w:rPr>
                        </w:pPr>
                        <w:r>
                          <w:rPr>
                            <w:sz w:val="14"/>
                          </w:rPr>
                          <w:t>154</w:t>
                        </w:r>
                      </w:p>
                    </w:tc>
                    <w:tc>
                      <w:tcPr>
                        <w:tcW w:w="1037" w:type="dxa"/>
                        <w:gridSpan w:val="2"/>
                        <w:tcBorders>
                          <w:top w:val="single" w:sz="0" w:space="0" w:color="000000"/>
                          <w:bottom w:val="single" w:sz="0" w:space="0" w:color="000000"/>
                        </w:tcBorders>
                      </w:tcPr>
                      <w:p>
                        <w:pPr>
                          <w:pStyle w:val="TableParagraph"/>
                          <w:spacing w:before="39"/>
                          <w:ind w:right="67"/>
                          <w:jc w:val="right"/>
                          <w:rPr>
                            <w:sz w:val="14"/>
                          </w:rPr>
                        </w:pPr>
                        <w:r>
                          <w:rPr>
                            <w:w w:val="100"/>
                            <w:sz w:val="14"/>
                          </w:rPr>
                          <w:t>-</w:t>
                        </w:r>
                      </w:p>
                    </w:tc>
                    <w:tc>
                      <w:tcPr>
                        <w:tcW w:w="1038" w:type="dxa"/>
                        <w:gridSpan w:val="2"/>
                        <w:tcBorders>
                          <w:top w:val="single" w:sz="0" w:space="0" w:color="000000"/>
                          <w:bottom w:val="single" w:sz="0" w:space="0" w:color="000000"/>
                        </w:tcBorders>
                      </w:tcPr>
                      <w:p>
                        <w:pPr>
                          <w:pStyle w:val="TableParagraph"/>
                          <w:spacing w:before="39"/>
                          <w:ind w:right="68"/>
                          <w:jc w:val="right"/>
                          <w:rPr>
                            <w:sz w:val="14"/>
                          </w:rPr>
                        </w:pPr>
                        <w:r>
                          <w:rPr>
                            <w:sz w:val="14"/>
                          </w:rPr>
                          <w:t>154</w:t>
                        </w:r>
                      </w:p>
                    </w:tc>
                  </w:tr>
                  <w:tr>
                    <w:trPr>
                      <w:trHeight w:val="306" w:hRule="exact"/>
                    </w:trPr>
                    <w:tc>
                      <w:tcPr>
                        <w:tcW w:w="4842" w:type="dxa"/>
                        <w:gridSpan w:val="3"/>
                      </w:tcPr>
                      <w:p>
                        <w:pPr>
                          <w:pStyle w:val="TableParagraph"/>
                          <w:spacing w:before="123"/>
                          <w:ind w:left="35"/>
                          <w:rPr>
                            <w:b/>
                            <w:sz w:val="14"/>
                          </w:rPr>
                        </w:pPr>
                        <w:r>
                          <w:rPr>
                            <w:b/>
                            <w:sz w:val="14"/>
                          </w:rPr>
                          <w:t>Actual returns - 2012</w:t>
                        </w:r>
                      </w:p>
                    </w:tc>
                    <w:tc>
                      <w:tcPr>
                        <w:tcW w:w="1036" w:type="dxa"/>
                        <w:gridSpan w:val="2"/>
                        <w:tcBorders>
                          <w:top w:val="single" w:sz="0" w:space="0" w:color="000000"/>
                        </w:tcBorders>
                      </w:tcPr>
                      <w:p>
                        <w:pPr/>
                      </w:p>
                    </w:tc>
                    <w:tc>
                      <w:tcPr>
                        <w:tcW w:w="1036" w:type="dxa"/>
                        <w:gridSpan w:val="2"/>
                        <w:tcBorders>
                          <w:top w:val="single" w:sz="0" w:space="0" w:color="000000"/>
                        </w:tcBorders>
                      </w:tcPr>
                      <w:p>
                        <w:pPr/>
                      </w:p>
                    </w:tc>
                    <w:tc>
                      <w:tcPr>
                        <w:tcW w:w="1037" w:type="dxa"/>
                        <w:gridSpan w:val="2"/>
                        <w:tcBorders>
                          <w:top w:val="single" w:sz="0" w:space="0" w:color="000000"/>
                        </w:tcBorders>
                      </w:tcPr>
                      <w:p>
                        <w:pPr/>
                      </w:p>
                    </w:tc>
                    <w:tc>
                      <w:tcPr>
                        <w:tcW w:w="1038" w:type="dxa"/>
                        <w:gridSpan w:val="2"/>
                        <w:tcBorders>
                          <w:top w:val="single" w:sz="0" w:space="0" w:color="000000"/>
                        </w:tcBorders>
                      </w:tcPr>
                      <w:p>
                        <w:pPr/>
                      </w:p>
                    </w:tc>
                  </w:tr>
                  <w:tr>
                    <w:trPr>
                      <w:trHeight w:val="205" w:hRule="exact"/>
                    </w:trPr>
                    <w:tc>
                      <w:tcPr>
                        <w:tcW w:w="4842" w:type="dxa"/>
                        <w:gridSpan w:val="3"/>
                      </w:tcPr>
                      <w:p>
                        <w:pPr>
                          <w:pStyle w:val="TableParagraph"/>
                          <w:spacing w:before="8"/>
                          <w:ind w:left="35"/>
                          <w:rPr>
                            <w:sz w:val="14"/>
                          </w:rPr>
                        </w:pPr>
                        <w:r>
                          <w:rPr>
                            <w:sz w:val="14"/>
                          </w:rPr>
                          <w:t>Actual return on plan assets</w:t>
                        </w:r>
                      </w:p>
                    </w:tc>
                    <w:tc>
                      <w:tcPr>
                        <w:tcW w:w="1036" w:type="dxa"/>
                        <w:gridSpan w:val="2"/>
                      </w:tcPr>
                      <w:p>
                        <w:pPr>
                          <w:pStyle w:val="TableParagraph"/>
                          <w:spacing w:before="7"/>
                          <w:ind w:left="615"/>
                          <w:rPr>
                            <w:sz w:val="14"/>
                          </w:rPr>
                        </w:pPr>
                        <w:r>
                          <w:rPr>
                            <w:sz w:val="14"/>
                          </w:rPr>
                          <w:t>3,522</w:t>
                        </w:r>
                      </w:p>
                    </w:tc>
                    <w:tc>
                      <w:tcPr>
                        <w:tcW w:w="1036" w:type="dxa"/>
                        <w:gridSpan w:val="2"/>
                      </w:tcPr>
                      <w:p>
                        <w:pPr>
                          <w:pStyle w:val="TableParagraph"/>
                          <w:spacing w:before="7"/>
                          <w:ind w:right="67"/>
                          <w:jc w:val="right"/>
                          <w:rPr>
                            <w:sz w:val="14"/>
                          </w:rPr>
                        </w:pPr>
                        <w:r>
                          <w:rPr>
                            <w:sz w:val="14"/>
                          </w:rPr>
                          <w:t>559</w:t>
                        </w:r>
                      </w:p>
                    </w:tc>
                    <w:tc>
                      <w:tcPr>
                        <w:tcW w:w="1037" w:type="dxa"/>
                        <w:gridSpan w:val="2"/>
                      </w:tcPr>
                      <w:p>
                        <w:pPr>
                          <w:pStyle w:val="TableParagraph"/>
                          <w:spacing w:before="7"/>
                          <w:ind w:left="537"/>
                          <w:rPr>
                            <w:sz w:val="14"/>
                          </w:rPr>
                        </w:pPr>
                        <w:r>
                          <w:rPr>
                            <w:sz w:val="14"/>
                          </w:rPr>
                          <w:t>12,928</w:t>
                        </w:r>
                      </w:p>
                    </w:tc>
                    <w:tc>
                      <w:tcPr>
                        <w:tcW w:w="1038" w:type="dxa"/>
                        <w:gridSpan w:val="2"/>
                      </w:tcPr>
                      <w:p>
                        <w:pPr>
                          <w:pStyle w:val="TableParagraph"/>
                          <w:spacing w:before="7"/>
                          <w:ind w:left="537"/>
                          <w:rPr>
                            <w:sz w:val="14"/>
                          </w:rPr>
                        </w:pPr>
                        <w:r>
                          <w:rPr>
                            <w:sz w:val="14"/>
                          </w:rPr>
                          <w:t>17,009</w:t>
                        </w:r>
                      </w:p>
                    </w:tc>
                  </w:tr>
                  <w:tr>
                    <w:trPr>
                      <w:trHeight w:val="219" w:hRule="exact"/>
                    </w:trPr>
                    <w:tc>
                      <w:tcPr>
                        <w:tcW w:w="4842" w:type="dxa"/>
                        <w:gridSpan w:val="3"/>
                      </w:tcPr>
                      <w:p>
                        <w:pPr>
                          <w:pStyle w:val="TableParagraph"/>
                          <w:spacing w:before="22"/>
                          <w:ind w:left="35"/>
                          <w:rPr>
                            <w:sz w:val="14"/>
                          </w:rPr>
                        </w:pPr>
                        <w:r>
                          <w:rPr>
                            <w:sz w:val="14"/>
                          </w:rPr>
                          <w:t>Actual return on reimbursement right</w:t>
                        </w:r>
                      </w:p>
                    </w:tc>
                    <w:tc>
                      <w:tcPr>
                        <w:tcW w:w="1036" w:type="dxa"/>
                        <w:gridSpan w:val="2"/>
                        <w:tcBorders>
                          <w:bottom w:val="single" w:sz="0" w:space="0" w:color="000000"/>
                        </w:tcBorders>
                      </w:tcPr>
                      <w:p>
                        <w:pPr>
                          <w:pStyle w:val="TableParagraph"/>
                          <w:spacing w:before="21"/>
                          <w:ind w:right="66"/>
                          <w:jc w:val="right"/>
                          <w:rPr>
                            <w:sz w:val="14"/>
                          </w:rPr>
                        </w:pPr>
                        <w:r>
                          <w:rPr>
                            <w:sz w:val="14"/>
                          </w:rPr>
                          <w:t>431</w:t>
                        </w:r>
                      </w:p>
                    </w:tc>
                    <w:tc>
                      <w:tcPr>
                        <w:tcW w:w="1036" w:type="dxa"/>
                        <w:gridSpan w:val="2"/>
                        <w:tcBorders>
                          <w:bottom w:val="single" w:sz="0" w:space="0" w:color="000000"/>
                        </w:tcBorders>
                      </w:tcPr>
                      <w:p>
                        <w:pPr>
                          <w:pStyle w:val="TableParagraph"/>
                          <w:spacing w:before="21"/>
                          <w:ind w:right="67"/>
                          <w:jc w:val="right"/>
                          <w:rPr>
                            <w:sz w:val="14"/>
                          </w:rPr>
                        </w:pPr>
                        <w:r>
                          <w:rPr>
                            <w:w w:val="100"/>
                            <w:sz w:val="14"/>
                          </w:rPr>
                          <w:t>-</w:t>
                        </w:r>
                      </w:p>
                    </w:tc>
                    <w:tc>
                      <w:tcPr>
                        <w:tcW w:w="1037" w:type="dxa"/>
                        <w:gridSpan w:val="2"/>
                        <w:tcBorders>
                          <w:bottom w:val="single" w:sz="0" w:space="0" w:color="000000"/>
                        </w:tcBorders>
                      </w:tcPr>
                      <w:p>
                        <w:pPr>
                          <w:pStyle w:val="TableParagraph"/>
                          <w:spacing w:before="21"/>
                          <w:ind w:left="615"/>
                          <w:rPr>
                            <w:sz w:val="14"/>
                          </w:rPr>
                        </w:pPr>
                        <w:r>
                          <w:rPr>
                            <w:sz w:val="14"/>
                          </w:rPr>
                          <w:t>3,575</w:t>
                        </w:r>
                      </w:p>
                    </w:tc>
                    <w:tc>
                      <w:tcPr>
                        <w:tcW w:w="1038" w:type="dxa"/>
                        <w:gridSpan w:val="2"/>
                        <w:tcBorders>
                          <w:bottom w:val="single" w:sz="0" w:space="0" w:color="000000"/>
                        </w:tcBorders>
                      </w:tcPr>
                      <w:p>
                        <w:pPr>
                          <w:pStyle w:val="TableParagraph"/>
                          <w:spacing w:before="21"/>
                          <w:ind w:left="615"/>
                          <w:rPr>
                            <w:sz w:val="14"/>
                          </w:rPr>
                        </w:pPr>
                        <w:r>
                          <w:rPr>
                            <w:sz w:val="14"/>
                          </w:rPr>
                          <w:t>4,006</w:t>
                        </w:r>
                      </w:p>
                    </w:tc>
                  </w:tr>
                  <w:tr>
                    <w:trPr>
                      <w:trHeight w:val="238" w:hRule="exact"/>
                    </w:trPr>
                    <w:tc>
                      <w:tcPr>
                        <w:tcW w:w="4842" w:type="dxa"/>
                        <w:gridSpan w:val="3"/>
                      </w:tcPr>
                      <w:p>
                        <w:pPr/>
                      </w:p>
                    </w:tc>
                    <w:tc>
                      <w:tcPr>
                        <w:tcW w:w="1036" w:type="dxa"/>
                        <w:gridSpan w:val="2"/>
                        <w:tcBorders>
                          <w:top w:val="single" w:sz="0" w:space="0" w:color="000000"/>
                          <w:bottom w:val="single" w:sz="0" w:space="0" w:color="000000"/>
                        </w:tcBorders>
                      </w:tcPr>
                      <w:p>
                        <w:pPr>
                          <w:pStyle w:val="TableParagraph"/>
                          <w:spacing w:before="39"/>
                          <w:ind w:left="615"/>
                          <w:rPr>
                            <w:sz w:val="14"/>
                          </w:rPr>
                        </w:pPr>
                        <w:r>
                          <w:rPr>
                            <w:sz w:val="14"/>
                          </w:rPr>
                          <w:t>3,953</w:t>
                        </w:r>
                      </w:p>
                    </w:tc>
                    <w:tc>
                      <w:tcPr>
                        <w:tcW w:w="1036" w:type="dxa"/>
                        <w:gridSpan w:val="2"/>
                        <w:tcBorders>
                          <w:top w:val="single" w:sz="0" w:space="0" w:color="000000"/>
                          <w:bottom w:val="single" w:sz="0" w:space="0" w:color="000000"/>
                        </w:tcBorders>
                      </w:tcPr>
                      <w:p>
                        <w:pPr>
                          <w:pStyle w:val="TableParagraph"/>
                          <w:spacing w:before="39"/>
                          <w:ind w:right="67"/>
                          <w:jc w:val="right"/>
                          <w:rPr>
                            <w:sz w:val="14"/>
                          </w:rPr>
                        </w:pPr>
                        <w:r>
                          <w:rPr>
                            <w:sz w:val="14"/>
                          </w:rPr>
                          <w:t>559</w:t>
                        </w:r>
                      </w:p>
                    </w:tc>
                    <w:tc>
                      <w:tcPr>
                        <w:tcW w:w="1037" w:type="dxa"/>
                        <w:gridSpan w:val="2"/>
                        <w:tcBorders>
                          <w:top w:val="single" w:sz="0" w:space="0" w:color="000000"/>
                          <w:bottom w:val="single" w:sz="0" w:space="0" w:color="000000"/>
                        </w:tcBorders>
                      </w:tcPr>
                      <w:p>
                        <w:pPr>
                          <w:pStyle w:val="TableParagraph"/>
                          <w:spacing w:before="39"/>
                          <w:ind w:left="537"/>
                          <w:rPr>
                            <w:sz w:val="14"/>
                          </w:rPr>
                        </w:pPr>
                        <w:r>
                          <w:rPr>
                            <w:sz w:val="14"/>
                          </w:rPr>
                          <w:t>16,503</w:t>
                        </w:r>
                      </w:p>
                    </w:tc>
                    <w:tc>
                      <w:tcPr>
                        <w:tcW w:w="1038" w:type="dxa"/>
                        <w:gridSpan w:val="2"/>
                        <w:tcBorders>
                          <w:top w:val="single" w:sz="0" w:space="0" w:color="000000"/>
                          <w:bottom w:val="single" w:sz="0" w:space="0" w:color="000000"/>
                        </w:tcBorders>
                      </w:tcPr>
                      <w:p>
                        <w:pPr>
                          <w:pStyle w:val="TableParagraph"/>
                          <w:spacing w:before="39"/>
                          <w:ind w:left="537"/>
                          <w:rPr>
                            <w:sz w:val="14"/>
                          </w:rPr>
                        </w:pPr>
                        <w:r>
                          <w:rPr>
                            <w:sz w:val="14"/>
                          </w:rPr>
                          <w:t>21,015</w:t>
                        </w:r>
                      </w:p>
                    </w:tc>
                  </w:tr>
                  <w:tr>
                    <w:trPr>
                      <w:trHeight w:val="306" w:hRule="exact"/>
                    </w:trPr>
                    <w:tc>
                      <w:tcPr>
                        <w:tcW w:w="4842" w:type="dxa"/>
                        <w:gridSpan w:val="3"/>
                      </w:tcPr>
                      <w:p>
                        <w:pPr>
                          <w:pStyle w:val="TableParagraph"/>
                          <w:spacing w:before="123"/>
                          <w:ind w:left="35"/>
                          <w:rPr>
                            <w:b/>
                            <w:sz w:val="14"/>
                          </w:rPr>
                        </w:pPr>
                        <w:r>
                          <w:rPr>
                            <w:b/>
                            <w:sz w:val="14"/>
                          </w:rPr>
                          <w:t>Other comprehensive income - 2012</w:t>
                        </w:r>
                      </w:p>
                    </w:tc>
                    <w:tc>
                      <w:tcPr>
                        <w:tcW w:w="1036" w:type="dxa"/>
                        <w:gridSpan w:val="2"/>
                        <w:tcBorders>
                          <w:top w:val="single" w:sz="0" w:space="0" w:color="000000"/>
                        </w:tcBorders>
                      </w:tcPr>
                      <w:p>
                        <w:pPr/>
                      </w:p>
                    </w:tc>
                    <w:tc>
                      <w:tcPr>
                        <w:tcW w:w="1036" w:type="dxa"/>
                        <w:gridSpan w:val="2"/>
                        <w:tcBorders>
                          <w:top w:val="single" w:sz="0" w:space="0" w:color="000000"/>
                        </w:tcBorders>
                      </w:tcPr>
                      <w:p>
                        <w:pPr/>
                      </w:p>
                    </w:tc>
                    <w:tc>
                      <w:tcPr>
                        <w:tcW w:w="1037" w:type="dxa"/>
                        <w:gridSpan w:val="2"/>
                        <w:tcBorders>
                          <w:top w:val="single" w:sz="0" w:space="0" w:color="000000"/>
                        </w:tcBorders>
                      </w:tcPr>
                      <w:p>
                        <w:pPr/>
                      </w:p>
                    </w:tc>
                    <w:tc>
                      <w:tcPr>
                        <w:tcW w:w="1038" w:type="dxa"/>
                        <w:gridSpan w:val="2"/>
                        <w:tcBorders>
                          <w:top w:val="single" w:sz="0" w:space="0" w:color="000000"/>
                        </w:tcBorders>
                      </w:tcPr>
                      <w:p>
                        <w:pPr/>
                      </w:p>
                    </w:tc>
                  </w:tr>
                  <w:tr>
                    <w:trPr>
                      <w:trHeight w:val="364" w:hRule="exact"/>
                    </w:trPr>
                    <w:tc>
                      <w:tcPr>
                        <w:tcW w:w="4842" w:type="dxa"/>
                        <w:gridSpan w:val="3"/>
                      </w:tcPr>
                      <w:p>
                        <w:pPr>
                          <w:pStyle w:val="TableParagraph"/>
                          <w:spacing w:before="6"/>
                          <w:ind w:left="35" w:right="2648" w:hanging="1"/>
                          <w:rPr>
                            <w:sz w:val="14"/>
                          </w:rPr>
                        </w:pPr>
                        <w:r>
                          <w:rPr>
                            <w:sz w:val="14"/>
                          </w:rPr>
                          <w:t>Actuarial losses/(gains) on defined benefit</w:t>
                        </w:r>
                      </w:p>
                    </w:tc>
                    <w:tc>
                      <w:tcPr>
                        <w:tcW w:w="1036" w:type="dxa"/>
                        <w:gridSpan w:val="2"/>
                      </w:tcPr>
                      <w:p>
                        <w:pPr>
                          <w:pStyle w:val="TableParagraph"/>
                          <w:spacing w:before="4"/>
                          <w:rPr>
                            <w:sz w:val="14"/>
                          </w:rPr>
                        </w:pPr>
                      </w:p>
                      <w:p>
                        <w:pPr>
                          <w:pStyle w:val="TableParagraph"/>
                          <w:spacing w:before="1"/>
                          <w:ind w:left="568"/>
                          <w:rPr>
                            <w:sz w:val="14"/>
                          </w:rPr>
                        </w:pPr>
                        <w:r>
                          <w:rPr>
                            <w:sz w:val="14"/>
                          </w:rPr>
                          <w:t>(3,426)</w:t>
                        </w:r>
                      </w:p>
                    </w:tc>
                    <w:tc>
                      <w:tcPr>
                        <w:tcW w:w="1036" w:type="dxa"/>
                        <w:gridSpan w:val="2"/>
                      </w:tcPr>
                      <w:p>
                        <w:pPr>
                          <w:pStyle w:val="TableParagraph"/>
                          <w:spacing w:before="4"/>
                          <w:rPr>
                            <w:sz w:val="14"/>
                          </w:rPr>
                        </w:pPr>
                      </w:p>
                      <w:p>
                        <w:pPr>
                          <w:pStyle w:val="TableParagraph"/>
                          <w:spacing w:before="1"/>
                          <w:ind w:left="685"/>
                          <w:rPr>
                            <w:sz w:val="14"/>
                          </w:rPr>
                        </w:pPr>
                        <w:r>
                          <w:rPr>
                            <w:sz w:val="14"/>
                          </w:rPr>
                          <w:t>(408)</w:t>
                        </w:r>
                      </w:p>
                    </w:tc>
                    <w:tc>
                      <w:tcPr>
                        <w:tcW w:w="1037" w:type="dxa"/>
                        <w:gridSpan w:val="2"/>
                      </w:tcPr>
                      <w:p>
                        <w:pPr>
                          <w:pStyle w:val="TableParagraph"/>
                          <w:spacing w:before="4"/>
                          <w:rPr>
                            <w:sz w:val="14"/>
                          </w:rPr>
                        </w:pPr>
                      </w:p>
                      <w:p>
                        <w:pPr>
                          <w:pStyle w:val="TableParagraph"/>
                          <w:spacing w:before="1"/>
                          <w:ind w:left="490"/>
                          <w:rPr>
                            <w:sz w:val="14"/>
                          </w:rPr>
                        </w:pPr>
                        <w:r>
                          <w:rPr>
                            <w:sz w:val="14"/>
                          </w:rPr>
                          <w:t>(24,648)</w:t>
                        </w:r>
                      </w:p>
                    </w:tc>
                    <w:tc>
                      <w:tcPr>
                        <w:tcW w:w="1038" w:type="dxa"/>
                        <w:gridSpan w:val="2"/>
                      </w:tcPr>
                      <w:p>
                        <w:pPr>
                          <w:pStyle w:val="TableParagraph"/>
                          <w:spacing w:before="4"/>
                          <w:rPr>
                            <w:sz w:val="14"/>
                          </w:rPr>
                        </w:pPr>
                      </w:p>
                      <w:p>
                        <w:pPr>
                          <w:pStyle w:val="TableParagraph"/>
                          <w:spacing w:before="1"/>
                          <w:ind w:left="490"/>
                          <w:rPr>
                            <w:sz w:val="14"/>
                          </w:rPr>
                        </w:pPr>
                        <w:r>
                          <w:rPr>
                            <w:sz w:val="14"/>
                          </w:rPr>
                          <w:t>(28,482)</w:t>
                        </w:r>
                      </w:p>
                    </w:tc>
                  </w:tr>
                  <w:tr>
                    <w:trPr>
                      <w:trHeight w:val="218" w:hRule="exact"/>
                    </w:trPr>
                    <w:tc>
                      <w:tcPr>
                        <w:tcW w:w="4842" w:type="dxa"/>
                        <w:gridSpan w:val="3"/>
                      </w:tcPr>
                      <w:p>
                        <w:pPr>
                          <w:pStyle w:val="TableParagraph"/>
                          <w:spacing w:before="22"/>
                          <w:ind w:left="35"/>
                          <w:rPr>
                            <w:sz w:val="14"/>
                          </w:rPr>
                        </w:pPr>
                        <w:r>
                          <w:rPr>
                            <w:sz w:val="14"/>
                          </w:rPr>
                          <w:t>Actuarial (losses)/gains on plan assets</w:t>
                        </w:r>
                      </w:p>
                    </w:tc>
                    <w:tc>
                      <w:tcPr>
                        <w:tcW w:w="1036" w:type="dxa"/>
                        <w:gridSpan w:val="2"/>
                      </w:tcPr>
                      <w:p>
                        <w:pPr>
                          <w:pStyle w:val="TableParagraph"/>
                          <w:spacing w:before="21"/>
                          <w:ind w:left="615"/>
                          <w:rPr>
                            <w:sz w:val="14"/>
                          </w:rPr>
                        </w:pPr>
                        <w:r>
                          <w:rPr>
                            <w:sz w:val="14"/>
                          </w:rPr>
                          <w:t>2,114</w:t>
                        </w:r>
                      </w:p>
                    </w:tc>
                    <w:tc>
                      <w:tcPr>
                        <w:tcW w:w="1036" w:type="dxa"/>
                        <w:gridSpan w:val="2"/>
                      </w:tcPr>
                      <w:p>
                        <w:pPr>
                          <w:pStyle w:val="TableParagraph"/>
                          <w:spacing w:before="21"/>
                          <w:ind w:right="67"/>
                          <w:jc w:val="right"/>
                          <w:rPr>
                            <w:sz w:val="14"/>
                          </w:rPr>
                        </w:pPr>
                        <w:r>
                          <w:rPr>
                            <w:sz w:val="14"/>
                          </w:rPr>
                          <w:t>109</w:t>
                        </w:r>
                      </w:p>
                    </w:tc>
                    <w:tc>
                      <w:tcPr>
                        <w:tcW w:w="1037" w:type="dxa"/>
                        <w:gridSpan w:val="2"/>
                      </w:tcPr>
                      <w:p>
                        <w:pPr>
                          <w:pStyle w:val="TableParagraph"/>
                          <w:spacing w:before="21"/>
                          <w:ind w:left="615"/>
                          <w:rPr>
                            <w:sz w:val="14"/>
                          </w:rPr>
                        </w:pPr>
                        <w:r>
                          <w:rPr>
                            <w:sz w:val="14"/>
                          </w:rPr>
                          <w:t>3,408</w:t>
                        </w:r>
                      </w:p>
                    </w:tc>
                    <w:tc>
                      <w:tcPr>
                        <w:tcW w:w="1038" w:type="dxa"/>
                        <w:gridSpan w:val="2"/>
                      </w:tcPr>
                      <w:p>
                        <w:pPr>
                          <w:pStyle w:val="TableParagraph"/>
                          <w:spacing w:before="21"/>
                          <w:ind w:left="615"/>
                          <w:rPr>
                            <w:sz w:val="14"/>
                          </w:rPr>
                        </w:pPr>
                        <w:r>
                          <w:rPr>
                            <w:sz w:val="14"/>
                          </w:rPr>
                          <w:t>5,631</w:t>
                        </w:r>
                      </w:p>
                    </w:tc>
                  </w:tr>
                  <w:tr>
                    <w:trPr>
                      <w:trHeight w:val="378" w:hRule="exact"/>
                    </w:trPr>
                    <w:tc>
                      <w:tcPr>
                        <w:tcW w:w="4842" w:type="dxa"/>
                        <w:gridSpan w:val="3"/>
                      </w:tcPr>
                      <w:p>
                        <w:pPr>
                          <w:pStyle w:val="TableParagraph"/>
                          <w:spacing w:before="20"/>
                          <w:ind w:left="35" w:right="2530"/>
                          <w:rPr>
                            <w:sz w:val="14"/>
                          </w:rPr>
                        </w:pPr>
                        <w:r>
                          <w:rPr>
                            <w:sz w:val="14"/>
                          </w:rPr>
                          <w:t>Actuarial (losses)/gains in reimburse rights</w:t>
                        </w:r>
                      </w:p>
                    </w:tc>
                    <w:tc>
                      <w:tcPr>
                        <w:tcW w:w="1036" w:type="dxa"/>
                        <w:gridSpan w:val="2"/>
                        <w:tcBorders>
                          <w:bottom w:val="single" w:sz="0" w:space="0" w:color="000000"/>
                        </w:tcBorders>
                      </w:tcPr>
                      <w:p>
                        <w:pPr>
                          <w:pStyle w:val="TableParagraph"/>
                          <w:spacing w:before="7"/>
                          <w:rPr>
                            <w:sz w:val="15"/>
                          </w:rPr>
                        </w:pPr>
                      </w:p>
                      <w:p>
                        <w:pPr>
                          <w:pStyle w:val="TableParagraph"/>
                          <w:ind w:left="615"/>
                          <w:rPr>
                            <w:sz w:val="14"/>
                          </w:rPr>
                        </w:pPr>
                        <w:r>
                          <w:rPr>
                            <w:sz w:val="14"/>
                          </w:rPr>
                          <w:t>1,312</w:t>
                        </w:r>
                      </w:p>
                    </w:tc>
                    <w:tc>
                      <w:tcPr>
                        <w:tcW w:w="1036" w:type="dxa"/>
                        <w:gridSpan w:val="2"/>
                        <w:tcBorders>
                          <w:bottom w:val="single" w:sz="0" w:space="0" w:color="000000"/>
                        </w:tcBorders>
                      </w:tcPr>
                      <w:p>
                        <w:pPr>
                          <w:pStyle w:val="TableParagraph"/>
                          <w:spacing w:before="7"/>
                          <w:rPr>
                            <w:sz w:val="15"/>
                          </w:rPr>
                        </w:pPr>
                      </w:p>
                      <w:p>
                        <w:pPr>
                          <w:pStyle w:val="TableParagraph"/>
                          <w:ind w:right="67"/>
                          <w:jc w:val="right"/>
                          <w:rPr>
                            <w:sz w:val="14"/>
                          </w:rPr>
                        </w:pPr>
                        <w:r>
                          <w:rPr>
                            <w:w w:val="100"/>
                            <w:sz w:val="14"/>
                          </w:rPr>
                          <w:t>-</w:t>
                        </w:r>
                      </w:p>
                    </w:tc>
                    <w:tc>
                      <w:tcPr>
                        <w:tcW w:w="1037" w:type="dxa"/>
                        <w:gridSpan w:val="2"/>
                        <w:tcBorders>
                          <w:bottom w:val="single" w:sz="0" w:space="0" w:color="000000"/>
                        </w:tcBorders>
                      </w:tcPr>
                      <w:p>
                        <w:pPr>
                          <w:pStyle w:val="TableParagraph"/>
                          <w:spacing w:before="7"/>
                          <w:rPr>
                            <w:sz w:val="15"/>
                          </w:rPr>
                        </w:pPr>
                      </w:p>
                      <w:p>
                        <w:pPr>
                          <w:pStyle w:val="TableParagraph"/>
                          <w:ind w:left="537"/>
                          <w:rPr>
                            <w:sz w:val="14"/>
                          </w:rPr>
                        </w:pPr>
                        <w:r>
                          <w:rPr>
                            <w:sz w:val="14"/>
                          </w:rPr>
                          <w:t>21,240</w:t>
                        </w:r>
                      </w:p>
                    </w:tc>
                    <w:tc>
                      <w:tcPr>
                        <w:tcW w:w="1038" w:type="dxa"/>
                        <w:gridSpan w:val="2"/>
                        <w:tcBorders>
                          <w:bottom w:val="single" w:sz="0" w:space="0" w:color="000000"/>
                        </w:tcBorders>
                      </w:tcPr>
                      <w:p>
                        <w:pPr>
                          <w:pStyle w:val="TableParagraph"/>
                          <w:spacing w:before="7"/>
                          <w:rPr>
                            <w:sz w:val="15"/>
                          </w:rPr>
                        </w:pPr>
                      </w:p>
                      <w:p>
                        <w:pPr>
                          <w:pStyle w:val="TableParagraph"/>
                          <w:ind w:left="537"/>
                          <w:rPr>
                            <w:sz w:val="14"/>
                          </w:rPr>
                        </w:pPr>
                        <w:r>
                          <w:rPr>
                            <w:sz w:val="14"/>
                          </w:rPr>
                          <w:t>22,552</w:t>
                        </w:r>
                      </w:p>
                    </w:tc>
                  </w:tr>
                  <w:tr>
                    <w:trPr>
                      <w:trHeight w:val="282" w:hRule="exact"/>
                    </w:trPr>
                    <w:tc>
                      <w:tcPr>
                        <w:tcW w:w="4842" w:type="dxa"/>
                        <w:gridSpan w:val="3"/>
                      </w:tcPr>
                      <w:p>
                        <w:pPr>
                          <w:pStyle w:val="TableParagraph"/>
                          <w:spacing w:before="123"/>
                          <w:ind w:left="35"/>
                          <w:rPr>
                            <w:b/>
                            <w:sz w:val="14"/>
                          </w:rPr>
                        </w:pPr>
                        <w:r>
                          <w:rPr>
                            <w:b/>
                            <w:sz w:val="14"/>
                          </w:rPr>
                          <w:t>Net actuarial (loss) / gain recognised</w:t>
                        </w:r>
                      </w:p>
                    </w:tc>
                    <w:tc>
                      <w:tcPr>
                        <w:tcW w:w="1036" w:type="dxa"/>
                        <w:gridSpan w:val="2"/>
                        <w:tcBorders>
                          <w:top w:val="single" w:sz="0" w:space="0" w:color="000000"/>
                        </w:tcBorders>
                      </w:tcPr>
                      <w:p>
                        <w:pPr/>
                      </w:p>
                    </w:tc>
                    <w:tc>
                      <w:tcPr>
                        <w:tcW w:w="1036" w:type="dxa"/>
                        <w:gridSpan w:val="2"/>
                        <w:tcBorders>
                          <w:top w:val="single" w:sz="0" w:space="0" w:color="000000"/>
                        </w:tcBorders>
                      </w:tcPr>
                      <w:p>
                        <w:pPr/>
                      </w:p>
                    </w:tc>
                    <w:tc>
                      <w:tcPr>
                        <w:tcW w:w="1037" w:type="dxa"/>
                        <w:gridSpan w:val="2"/>
                        <w:tcBorders>
                          <w:top w:val="single" w:sz="0" w:space="0" w:color="000000"/>
                        </w:tcBorders>
                      </w:tcPr>
                      <w:p>
                        <w:pPr/>
                      </w:p>
                    </w:tc>
                    <w:tc>
                      <w:tcPr>
                        <w:tcW w:w="1038" w:type="dxa"/>
                        <w:gridSpan w:val="2"/>
                        <w:tcBorders>
                          <w:top w:val="single" w:sz="0" w:space="0" w:color="000000"/>
                        </w:tcBorders>
                      </w:tcPr>
                      <w:p>
                        <w:pPr/>
                      </w:p>
                    </w:tc>
                  </w:tr>
                  <w:tr>
                    <w:trPr>
                      <w:trHeight w:val="261" w:hRule="exact"/>
                    </w:trPr>
                    <w:tc>
                      <w:tcPr>
                        <w:tcW w:w="8989" w:type="dxa"/>
                        <w:gridSpan w:val="11"/>
                      </w:tcPr>
                      <w:p>
                        <w:pPr>
                          <w:pStyle w:val="TableParagraph"/>
                          <w:tabs>
                            <w:tab w:pos="4842" w:val="left" w:leader="none"/>
                            <w:tab w:pos="5762" w:val="left" w:leader="none"/>
                            <w:tab w:pos="6564" w:val="left" w:leader="none"/>
                            <w:tab w:pos="7834" w:val="left" w:leader="none"/>
                            <w:tab w:pos="8637" w:val="left" w:leader="none"/>
                          </w:tabs>
                          <w:spacing w:before="3"/>
                          <w:ind w:left="35"/>
                          <w:rPr>
                            <w:sz w:val="14"/>
                          </w:rPr>
                        </w:pPr>
                        <w:r>
                          <w:rPr>
                            <w:b/>
                            <w:sz w:val="14"/>
                          </w:rPr>
                          <w:t>in other</w:t>
                        </w:r>
                        <w:r>
                          <w:rPr>
                            <w:b/>
                            <w:spacing w:val="2"/>
                            <w:sz w:val="14"/>
                          </w:rPr>
                          <w:t> </w:t>
                        </w:r>
                        <w:r>
                          <w:rPr>
                            <w:b/>
                            <w:sz w:val="14"/>
                          </w:rPr>
                          <w:t>comprehensive</w:t>
                        </w:r>
                        <w:r>
                          <w:rPr>
                            <w:b/>
                            <w:spacing w:val="1"/>
                            <w:sz w:val="14"/>
                          </w:rPr>
                          <w:t> </w:t>
                        </w:r>
                        <w:r>
                          <w:rPr>
                            <w:b/>
                            <w:sz w:val="14"/>
                          </w:rPr>
                          <w:t>income</w:t>
                          <w:tab/>
                        </w:r>
                        <w:r>
                          <w:rPr>
                            <w:rFonts w:ascii="Times New Roman"/>
                            <w:sz w:val="14"/>
                            <w:u w:val="single"/>
                          </w:rPr>
                          <w:t> </w:t>
                          <w:tab/>
                        </w:r>
                        <w:r>
                          <w:rPr>
                            <w:sz w:val="14"/>
                            <w:u w:val="single"/>
                          </w:rPr>
                          <w:t>-</w:t>
                          <w:tab/>
                          <w:t>(299)</w:t>
                          <w:tab/>
                          <w:t>-</w:t>
                          <w:tab/>
                          <w:t>(299)</w:t>
                        </w:r>
                      </w:p>
                    </w:tc>
                  </w:tr>
                </w:tbl>
                <w:p>
                  <w:pPr>
                    <w:pStyle w:val="BodyText"/>
                  </w:pPr>
                </w:p>
              </w:txbxContent>
            </v:textbox>
            <w10:wrap type="none"/>
          </v:shape>
        </w:pict>
      </w:r>
      <w:r>
        <w:rPr/>
        <w: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p>
    <w:p>
      <w:pPr>
        <w:spacing w:line="161" w:lineRule="exact" w:before="83"/>
        <w:ind w:left="1071" w:right="125" w:firstLine="0"/>
        <w:jc w:val="left"/>
        <w:rPr>
          <w:b/>
          <w:sz w:val="14"/>
        </w:rPr>
      </w:pPr>
      <w:r>
        <w:rPr>
          <w:b/>
          <w:sz w:val="14"/>
        </w:rPr>
        <w:t>Cumulative total net actuarial</w:t>
      </w:r>
    </w:p>
    <w:p>
      <w:pPr>
        <w:tabs>
          <w:tab w:pos="6799" w:val="left" w:leader="none"/>
          <w:tab w:pos="7483" w:val="left" w:leader="none"/>
          <w:tab w:pos="8871" w:val="left" w:leader="none"/>
          <w:tab w:pos="9556" w:val="left" w:leader="none"/>
        </w:tabs>
        <w:spacing w:before="0"/>
        <w:ind w:left="1071" w:right="92" w:firstLine="0"/>
        <w:jc w:val="left"/>
        <w:rPr>
          <w:sz w:val="14"/>
        </w:rPr>
      </w:pPr>
      <w:r>
        <w:rPr>
          <w:b/>
          <w:sz w:val="14"/>
        </w:rPr>
        <w:t>(losses)/gains</w:t>
        <w:tab/>
      </w:r>
      <w:r>
        <w:rPr>
          <w:sz w:val="14"/>
        </w:rPr>
        <w:t>-</w:t>
        <w:tab/>
        <w:t>(1,176)</w:t>
        <w:tab/>
        <w:t>-</w:t>
        <w:tab/>
        <w:t>(1,176)</w:t>
      </w:r>
    </w:p>
    <w:p>
      <w:pPr>
        <w:spacing w:after="0"/>
        <w:jc w:val="left"/>
        <w:rPr>
          <w:sz w:val="14"/>
        </w:rPr>
        <w:sectPr>
          <w:pgSz w:w="11910" w:h="16840"/>
          <w:pgMar w:header="1038" w:footer="507" w:top="2220" w:bottom="700" w:left="900" w:right="860"/>
        </w:sectPr>
      </w:pPr>
    </w:p>
    <w:p>
      <w:pPr>
        <w:pStyle w:val="BodyText"/>
        <w:rPr>
          <w:sz w:val="20"/>
        </w:rPr>
      </w:pPr>
    </w:p>
    <w:p>
      <w:pPr>
        <w:pStyle w:val="BodyText"/>
        <w:rPr>
          <w:sz w:val="20"/>
        </w:rPr>
      </w:pPr>
    </w:p>
    <w:p>
      <w:pPr>
        <w:pStyle w:val="BodyText"/>
        <w:spacing w:before="4"/>
      </w:pPr>
    </w:p>
    <w:p>
      <w:pPr>
        <w:pStyle w:val="Heading9"/>
        <w:numPr>
          <w:ilvl w:val="0"/>
          <w:numId w:val="31"/>
        </w:numPr>
        <w:tabs>
          <w:tab w:pos="506" w:val="left" w:leader="none"/>
        </w:tabs>
        <w:spacing w:line="240" w:lineRule="auto" w:before="0" w:after="0"/>
        <w:ind w:left="505" w:right="0" w:hanging="396"/>
        <w:jc w:val="left"/>
      </w:pPr>
      <w:r>
        <w:rPr/>
        <w:t>Defined Benefits Plans</w:t>
      </w:r>
      <w:r>
        <w:rPr>
          <w:spacing w:val="-1"/>
        </w:rPr>
        <w:t> </w:t>
      </w:r>
      <w:r>
        <w:rPr/>
        <w:t>(continued)</w:t>
      </w:r>
    </w:p>
    <w:p>
      <w:pPr>
        <w:pStyle w:val="BodyText"/>
        <w:spacing w:before="11"/>
        <w:rPr>
          <w:b/>
          <w:sz w:val="24"/>
        </w:rPr>
      </w:pPr>
    </w:p>
    <w:p>
      <w:pPr>
        <w:pStyle w:val="BodyText"/>
        <w:ind w:left="505" w:right="125"/>
      </w:pPr>
      <w:r>
        <w:rPr/>
        <w:pict>
          <v:shape style="position:absolute;margin-left:96.829819pt;margin-top:-3.850925pt;width:449.6pt;height:536.15pt;mso-position-horizontal-relative:page;mso-position-vertical-relative:paragraph;z-index:385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546"/>
                    <w:gridCol w:w="1171"/>
                    <w:gridCol w:w="520"/>
                    <w:gridCol w:w="607"/>
                    <w:gridCol w:w="547"/>
                    <w:gridCol w:w="501"/>
                    <w:gridCol w:w="396"/>
                    <w:gridCol w:w="652"/>
                    <w:gridCol w:w="396"/>
                    <w:gridCol w:w="653"/>
                  </w:tblGrid>
                  <w:tr>
                    <w:trPr>
                      <w:trHeight w:val="519" w:hRule="exact"/>
                    </w:trPr>
                    <w:tc>
                      <w:tcPr>
                        <w:tcW w:w="3546" w:type="dxa"/>
                      </w:tcPr>
                      <w:p>
                        <w:pPr>
                          <w:pStyle w:val="TableParagraph"/>
                          <w:spacing w:before="77"/>
                          <w:ind w:left="35"/>
                          <w:rPr>
                            <w:sz w:val="18"/>
                          </w:rPr>
                        </w:pPr>
                        <w:r>
                          <w:rPr>
                            <w:sz w:val="18"/>
                          </w:rPr>
                          <w:t>Present value obligations (Prior)</w:t>
                        </w:r>
                      </w:p>
                    </w:tc>
                    <w:tc>
                      <w:tcPr>
                        <w:tcW w:w="1171" w:type="dxa"/>
                      </w:tcPr>
                      <w:p>
                        <w:pPr/>
                      </w:p>
                    </w:tc>
                    <w:tc>
                      <w:tcPr>
                        <w:tcW w:w="520" w:type="dxa"/>
                      </w:tcPr>
                      <w:p>
                        <w:pPr>
                          <w:pStyle w:val="TableParagraph"/>
                          <w:rPr>
                            <w:sz w:val="14"/>
                          </w:rPr>
                        </w:pPr>
                      </w:p>
                      <w:p>
                        <w:pPr>
                          <w:pStyle w:val="TableParagraph"/>
                          <w:spacing w:before="6"/>
                          <w:rPr>
                            <w:sz w:val="13"/>
                          </w:rPr>
                        </w:pPr>
                      </w:p>
                      <w:p>
                        <w:pPr>
                          <w:pStyle w:val="TableParagraph"/>
                          <w:spacing w:before="1"/>
                          <w:ind w:left="79"/>
                          <w:rPr>
                            <w:b/>
                            <w:sz w:val="14"/>
                          </w:rPr>
                        </w:pPr>
                        <w:r>
                          <w:rPr>
                            <w:b/>
                            <w:sz w:val="14"/>
                          </w:rPr>
                          <w:t>SASS</w:t>
                        </w:r>
                      </w:p>
                    </w:tc>
                    <w:tc>
                      <w:tcPr>
                        <w:tcW w:w="607" w:type="dxa"/>
                      </w:tcPr>
                      <w:p>
                        <w:pPr/>
                      </w:p>
                    </w:tc>
                    <w:tc>
                      <w:tcPr>
                        <w:tcW w:w="547" w:type="dxa"/>
                      </w:tcPr>
                      <w:p>
                        <w:pPr>
                          <w:pStyle w:val="TableParagraph"/>
                          <w:rPr>
                            <w:sz w:val="14"/>
                          </w:rPr>
                        </w:pPr>
                      </w:p>
                      <w:p>
                        <w:pPr>
                          <w:pStyle w:val="TableParagraph"/>
                          <w:spacing w:before="6"/>
                          <w:rPr>
                            <w:sz w:val="13"/>
                          </w:rPr>
                        </w:pPr>
                      </w:p>
                      <w:p>
                        <w:pPr>
                          <w:pStyle w:val="TableParagraph"/>
                          <w:spacing w:before="1"/>
                          <w:ind w:left="25"/>
                          <w:rPr>
                            <w:b/>
                            <w:sz w:val="14"/>
                          </w:rPr>
                        </w:pPr>
                        <w:r>
                          <w:rPr>
                            <w:b/>
                            <w:sz w:val="14"/>
                          </w:rPr>
                          <w:t>SANCS</w:t>
                        </w:r>
                      </w:p>
                    </w:tc>
                    <w:tc>
                      <w:tcPr>
                        <w:tcW w:w="501" w:type="dxa"/>
                      </w:tcPr>
                      <w:p>
                        <w:pPr/>
                      </w:p>
                    </w:tc>
                    <w:tc>
                      <w:tcPr>
                        <w:tcW w:w="396" w:type="dxa"/>
                      </w:tcPr>
                      <w:p>
                        <w:pPr>
                          <w:pStyle w:val="TableParagraph"/>
                          <w:rPr>
                            <w:sz w:val="14"/>
                          </w:rPr>
                        </w:pPr>
                      </w:p>
                      <w:p>
                        <w:pPr>
                          <w:pStyle w:val="TableParagraph"/>
                          <w:spacing w:before="6"/>
                          <w:rPr>
                            <w:sz w:val="13"/>
                          </w:rPr>
                        </w:pPr>
                      </w:p>
                      <w:p>
                        <w:pPr>
                          <w:pStyle w:val="TableParagraph"/>
                          <w:spacing w:before="1"/>
                          <w:ind w:left="25"/>
                          <w:rPr>
                            <w:b/>
                            <w:sz w:val="14"/>
                          </w:rPr>
                        </w:pPr>
                        <w:r>
                          <w:rPr>
                            <w:b/>
                            <w:sz w:val="14"/>
                          </w:rPr>
                          <w:t>SSS</w:t>
                        </w:r>
                      </w:p>
                    </w:tc>
                    <w:tc>
                      <w:tcPr>
                        <w:tcW w:w="652" w:type="dxa"/>
                      </w:tcPr>
                      <w:p>
                        <w:pPr/>
                      </w:p>
                    </w:tc>
                    <w:tc>
                      <w:tcPr>
                        <w:tcW w:w="396" w:type="dxa"/>
                      </w:tcPr>
                      <w:p>
                        <w:pPr>
                          <w:pStyle w:val="TableParagraph"/>
                          <w:rPr>
                            <w:sz w:val="14"/>
                          </w:rPr>
                        </w:pPr>
                      </w:p>
                      <w:p>
                        <w:pPr>
                          <w:pStyle w:val="TableParagraph"/>
                          <w:spacing w:before="6"/>
                          <w:rPr>
                            <w:sz w:val="13"/>
                          </w:rPr>
                        </w:pPr>
                      </w:p>
                      <w:p>
                        <w:pPr>
                          <w:pStyle w:val="TableParagraph"/>
                          <w:spacing w:before="1"/>
                          <w:ind w:right="33"/>
                          <w:jc w:val="right"/>
                          <w:rPr>
                            <w:b/>
                            <w:sz w:val="14"/>
                          </w:rPr>
                        </w:pPr>
                        <w:r>
                          <w:rPr>
                            <w:b/>
                            <w:sz w:val="14"/>
                          </w:rPr>
                          <w:t>Total</w:t>
                        </w:r>
                      </w:p>
                    </w:tc>
                    <w:tc>
                      <w:tcPr>
                        <w:tcW w:w="653" w:type="dxa"/>
                        <w:vMerge w:val="restart"/>
                      </w:tcPr>
                      <w:p>
                        <w:pPr/>
                      </w:p>
                    </w:tc>
                  </w:tr>
                  <w:tr>
                    <w:trPr>
                      <w:trHeight w:val="268" w:hRule="exact"/>
                    </w:trPr>
                    <w:tc>
                      <w:tcPr>
                        <w:tcW w:w="3546" w:type="dxa"/>
                      </w:tcPr>
                      <w:p>
                        <w:pPr/>
                      </w:p>
                    </w:tc>
                    <w:tc>
                      <w:tcPr>
                        <w:tcW w:w="1171" w:type="dxa"/>
                      </w:tcPr>
                      <w:p>
                        <w:pPr>
                          <w:pStyle w:val="TableParagraph"/>
                          <w:spacing w:before="26"/>
                          <w:ind w:left="780"/>
                          <w:rPr>
                            <w:b/>
                            <w:sz w:val="14"/>
                          </w:rPr>
                        </w:pPr>
                        <w:r>
                          <w:rPr>
                            <w:b/>
                            <w:sz w:val="14"/>
                          </w:rPr>
                          <w:t>Note</w:t>
                        </w:r>
                      </w:p>
                    </w:tc>
                    <w:tc>
                      <w:tcPr>
                        <w:tcW w:w="520" w:type="dxa"/>
                      </w:tcPr>
                      <w:p>
                        <w:pPr>
                          <w:pStyle w:val="TableParagraph"/>
                          <w:spacing w:before="26"/>
                          <w:ind w:left="79"/>
                          <w:rPr>
                            <w:b/>
                            <w:sz w:val="14"/>
                          </w:rPr>
                        </w:pPr>
                        <w:r>
                          <w:rPr>
                            <w:b/>
                            <w:sz w:val="14"/>
                          </w:rPr>
                          <w:t>$'000</w:t>
                        </w:r>
                      </w:p>
                    </w:tc>
                    <w:tc>
                      <w:tcPr>
                        <w:tcW w:w="607" w:type="dxa"/>
                      </w:tcPr>
                      <w:p>
                        <w:pPr/>
                      </w:p>
                    </w:tc>
                    <w:tc>
                      <w:tcPr>
                        <w:tcW w:w="547" w:type="dxa"/>
                      </w:tcPr>
                      <w:p>
                        <w:pPr>
                          <w:pStyle w:val="TableParagraph"/>
                          <w:spacing w:before="26"/>
                          <w:ind w:left="25"/>
                          <w:rPr>
                            <w:b/>
                            <w:sz w:val="14"/>
                          </w:rPr>
                        </w:pPr>
                        <w:r>
                          <w:rPr>
                            <w:b/>
                            <w:sz w:val="14"/>
                          </w:rPr>
                          <w:t>$'000</w:t>
                        </w:r>
                      </w:p>
                    </w:tc>
                    <w:tc>
                      <w:tcPr>
                        <w:tcW w:w="501" w:type="dxa"/>
                      </w:tcPr>
                      <w:p>
                        <w:pPr/>
                      </w:p>
                    </w:tc>
                    <w:tc>
                      <w:tcPr>
                        <w:tcW w:w="396" w:type="dxa"/>
                      </w:tcPr>
                      <w:p>
                        <w:pPr>
                          <w:pStyle w:val="TableParagraph"/>
                          <w:spacing w:before="26"/>
                          <w:ind w:left="25"/>
                          <w:rPr>
                            <w:b/>
                            <w:sz w:val="14"/>
                          </w:rPr>
                        </w:pPr>
                        <w:r>
                          <w:rPr>
                            <w:b/>
                            <w:sz w:val="14"/>
                          </w:rPr>
                          <w:t>$'000</w:t>
                        </w:r>
                      </w:p>
                    </w:tc>
                    <w:tc>
                      <w:tcPr>
                        <w:tcW w:w="652" w:type="dxa"/>
                      </w:tcPr>
                      <w:p>
                        <w:pPr/>
                      </w:p>
                    </w:tc>
                    <w:tc>
                      <w:tcPr>
                        <w:tcW w:w="396" w:type="dxa"/>
                      </w:tcPr>
                      <w:p>
                        <w:pPr>
                          <w:pStyle w:val="TableParagraph"/>
                          <w:spacing w:before="26"/>
                          <w:ind w:right="23"/>
                          <w:jc w:val="right"/>
                          <w:rPr>
                            <w:b/>
                            <w:sz w:val="14"/>
                          </w:rPr>
                        </w:pPr>
                        <w:r>
                          <w:rPr>
                            <w:b/>
                            <w:sz w:val="14"/>
                          </w:rPr>
                          <w:t>$'000</w:t>
                        </w:r>
                      </w:p>
                    </w:tc>
                    <w:tc>
                      <w:tcPr>
                        <w:tcW w:w="653" w:type="dxa"/>
                        <w:vMerge/>
                      </w:tcPr>
                      <w:p>
                        <w:pPr/>
                      </w:p>
                    </w:tc>
                  </w:tr>
                  <w:tr>
                    <w:trPr>
                      <w:trHeight w:val="453" w:hRule="exact"/>
                    </w:trPr>
                    <w:tc>
                      <w:tcPr>
                        <w:tcW w:w="3546" w:type="dxa"/>
                      </w:tcPr>
                      <w:p>
                        <w:pPr>
                          <w:pStyle w:val="TableParagraph"/>
                          <w:spacing w:before="66"/>
                          <w:ind w:left="35"/>
                          <w:rPr>
                            <w:b/>
                            <w:sz w:val="14"/>
                          </w:rPr>
                        </w:pPr>
                        <w:r>
                          <w:rPr>
                            <w:b/>
                            <w:sz w:val="14"/>
                          </w:rPr>
                          <w:t>Present value obligations - 2011</w:t>
                        </w:r>
                      </w:p>
                      <w:p>
                        <w:pPr>
                          <w:pStyle w:val="TableParagraph"/>
                          <w:spacing w:before="30"/>
                          <w:ind w:left="35"/>
                          <w:rPr>
                            <w:sz w:val="14"/>
                          </w:rPr>
                        </w:pPr>
                        <w:r>
                          <w:rPr>
                            <w:sz w:val="14"/>
                          </w:rPr>
                          <w:t>Opening defined benefit obligation</w:t>
                        </w:r>
                      </w:p>
                    </w:tc>
                    <w:tc>
                      <w:tcPr>
                        <w:tcW w:w="1171" w:type="dxa"/>
                      </w:tcPr>
                      <w:p>
                        <w:pPr/>
                      </w:p>
                    </w:tc>
                    <w:tc>
                      <w:tcPr>
                        <w:tcW w:w="520" w:type="dxa"/>
                      </w:tcPr>
                      <w:p>
                        <w:pPr/>
                      </w:p>
                    </w:tc>
                    <w:tc>
                      <w:tcPr>
                        <w:tcW w:w="607" w:type="dxa"/>
                      </w:tcPr>
                      <w:p>
                        <w:pPr>
                          <w:pStyle w:val="TableParagraph"/>
                          <w:rPr>
                            <w:sz w:val="14"/>
                          </w:rPr>
                        </w:pPr>
                      </w:p>
                      <w:p>
                        <w:pPr>
                          <w:pStyle w:val="TableParagraph"/>
                          <w:spacing w:before="94"/>
                          <w:ind w:right="70"/>
                          <w:jc w:val="right"/>
                          <w:rPr>
                            <w:sz w:val="14"/>
                          </w:rPr>
                        </w:pPr>
                        <w:r>
                          <w:rPr>
                            <w:sz w:val="14"/>
                          </w:rPr>
                          <w:t>38,509</w:t>
                        </w:r>
                      </w:p>
                    </w:tc>
                    <w:tc>
                      <w:tcPr>
                        <w:tcW w:w="547" w:type="dxa"/>
                      </w:tcPr>
                      <w:p>
                        <w:pPr/>
                      </w:p>
                    </w:tc>
                    <w:tc>
                      <w:tcPr>
                        <w:tcW w:w="501" w:type="dxa"/>
                      </w:tcPr>
                      <w:p>
                        <w:pPr>
                          <w:pStyle w:val="TableParagraph"/>
                          <w:rPr>
                            <w:sz w:val="14"/>
                          </w:rPr>
                        </w:pPr>
                      </w:p>
                      <w:p>
                        <w:pPr>
                          <w:pStyle w:val="TableParagraph"/>
                          <w:spacing w:before="94"/>
                          <w:ind w:left="77"/>
                          <w:rPr>
                            <w:sz w:val="14"/>
                          </w:rPr>
                        </w:pPr>
                        <w:r>
                          <w:rPr>
                            <w:sz w:val="14"/>
                          </w:rPr>
                          <w:t>7,998</w:t>
                        </w:r>
                      </w:p>
                    </w:tc>
                    <w:tc>
                      <w:tcPr>
                        <w:tcW w:w="396" w:type="dxa"/>
                      </w:tcPr>
                      <w:p>
                        <w:pPr/>
                      </w:p>
                    </w:tc>
                    <w:tc>
                      <w:tcPr>
                        <w:tcW w:w="652" w:type="dxa"/>
                      </w:tcPr>
                      <w:p>
                        <w:pPr>
                          <w:pStyle w:val="TableParagraph"/>
                          <w:rPr>
                            <w:sz w:val="14"/>
                          </w:rPr>
                        </w:pPr>
                      </w:p>
                      <w:p>
                        <w:pPr>
                          <w:pStyle w:val="TableParagraph"/>
                          <w:spacing w:before="94"/>
                          <w:ind w:right="71"/>
                          <w:jc w:val="right"/>
                          <w:rPr>
                            <w:sz w:val="14"/>
                          </w:rPr>
                        </w:pPr>
                        <w:r>
                          <w:rPr>
                            <w:sz w:val="14"/>
                          </w:rPr>
                          <w:t>259,910</w:t>
                        </w:r>
                      </w:p>
                    </w:tc>
                    <w:tc>
                      <w:tcPr>
                        <w:tcW w:w="396" w:type="dxa"/>
                      </w:tcPr>
                      <w:p>
                        <w:pPr/>
                      </w:p>
                    </w:tc>
                    <w:tc>
                      <w:tcPr>
                        <w:tcW w:w="653" w:type="dxa"/>
                      </w:tcPr>
                      <w:p>
                        <w:pPr>
                          <w:pStyle w:val="TableParagraph"/>
                          <w:rPr>
                            <w:sz w:val="14"/>
                          </w:rPr>
                        </w:pPr>
                      </w:p>
                      <w:p>
                        <w:pPr>
                          <w:pStyle w:val="TableParagraph"/>
                          <w:spacing w:before="94"/>
                          <w:ind w:right="71"/>
                          <w:jc w:val="right"/>
                          <w:rPr>
                            <w:sz w:val="14"/>
                          </w:rPr>
                        </w:pPr>
                        <w:r>
                          <w:rPr>
                            <w:sz w:val="14"/>
                          </w:rPr>
                          <w:t>306,417</w:t>
                        </w:r>
                      </w:p>
                    </w:tc>
                  </w:tr>
                  <w:tr>
                    <w:trPr>
                      <w:trHeight w:val="218" w:hRule="exact"/>
                    </w:trPr>
                    <w:tc>
                      <w:tcPr>
                        <w:tcW w:w="3546" w:type="dxa"/>
                      </w:tcPr>
                      <w:p>
                        <w:pPr>
                          <w:pStyle w:val="TableParagraph"/>
                          <w:spacing w:before="22"/>
                          <w:ind w:left="35"/>
                          <w:rPr>
                            <w:sz w:val="14"/>
                          </w:rPr>
                        </w:pPr>
                        <w:r>
                          <w:rPr>
                            <w:sz w:val="14"/>
                          </w:rPr>
                          <w:t>Current service cost</w:t>
                        </w:r>
                      </w:p>
                    </w:tc>
                    <w:tc>
                      <w:tcPr>
                        <w:tcW w:w="1171" w:type="dxa"/>
                      </w:tcPr>
                      <w:p>
                        <w:pPr/>
                      </w:p>
                    </w:tc>
                    <w:tc>
                      <w:tcPr>
                        <w:tcW w:w="520" w:type="dxa"/>
                      </w:tcPr>
                      <w:p>
                        <w:pPr/>
                      </w:p>
                    </w:tc>
                    <w:tc>
                      <w:tcPr>
                        <w:tcW w:w="607" w:type="dxa"/>
                      </w:tcPr>
                      <w:p>
                        <w:pPr>
                          <w:pStyle w:val="TableParagraph"/>
                          <w:spacing w:before="20"/>
                          <w:ind w:right="70"/>
                          <w:jc w:val="right"/>
                          <w:rPr>
                            <w:sz w:val="14"/>
                          </w:rPr>
                        </w:pPr>
                        <w:r>
                          <w:rPr>
                            <w:sz w:val="14"/>
                          </w:rPr>
                          <w:t>1,400</w:t>
                        </w:r>
                      </w:p>
                    </w:tc>
                    <w:tc>
                      <w:tcPr>
                        <w:tcW w:w="547" w:type="dxa"/>
                      </w:tcPr>
                      <w:p>
                        <w:pPr/>
                      </w:p>
                    </w:tc>
                    <w:tc>
                      <w:tcPr>
                        <w:tcW w:w="501" w:type="dxa"/>
                      </w:tcPr>
                      <w:p>
                        <w:pPr>
                          <w:pStyle w:val="TableParagraph"/>
                          <w:spacing w:before="20"/>
                          <w:ind w:left="194"/>
                          <w:rPr>
                            <w:sz w:val="14"/>
                          </w:rPr>
                        </w:pPr>
                        <w:r>
                          <w:rPr>
                            <w:sz w:val="14"/>
                          </w:rPr>
                          <w:t>346</w:t>
                        </w:r>
                      </w:p>
                    </w:tc>
                    <w:tc>
                      <w:tcPr>
                        <w:tcW w:w="396" w:type="dxa"/>
                      </w:tcPr>
                      <w:p>
                        <w:pPr/>
                      </w:p>
                    </w:tc>
                    <w:tc>
                      <w:tcPr>
                        <w:tcW w:w="652" w:type="dxa"/>
                      </w:tcPr>
                      <w:p>
                        <w:pPr>
                          <w:pStyle w:val="TableParagraph"/>
                          <w:spacing w:before="20"/>
                          <w:ind w:right="70"/>
                          <w:jc w:val="right"/>
                          <w:rPr>
                            <w:sz w:val="14"/>
                          </w:rPr>
                        </w:pPr>
                        <w:r>
                          <w:rPr>
                            <w:sz w:val="14"/>
                          </w:rPr>
                          <w:t>380</w:t>
                        </w:r>
                      </w:p>
                    </w:tc>
                    <w:tc>
                      <w:tcPr>
                        <w:tcW w:w="396" w:type="dxa"/>
                      </w:tcPr>
                      <w:p>
                        <w:pPr/>
                      </w:p>
                    </w:tc>
                    <w:tc>
                      <w:tcPr>
                        <w:tcW w:w="653" w:type="dxa"/>
                      </w:tcPr>
                      <w:p>
                        <w:pPr>
                          <w:pStyle w:val="TableParagraph"/>
                          <w:spacing w:before="20"/>
                          <w:ind w:right="71"/>
                          <w:jc w:val="right"/>
                          <w:rPr>
                            <w:sz w:val="14"/>
                          </w:rPr>
                        </w:pPr>
                        <w:r>
                          <w:rPr>
                            <w:sz w:val="14"/>
                          </w:rPr>
                          <w:t>2,126</w:t>
                        </w:r>
                      </w:p>
                    </w:tc>
                  </w:tr>
                  <w:tr>
                    <w:trPr>
                      <w:trHeight w:val="218" w:hRule="exact"/>
                    </w:trPr>
                    <w:tc>
                      <w:tcPr>
                        <w:tcW w:w="3546" w:type="dxa"/>
                      </w:tcPr>
                      <w:p>
                        <w:pPr>
                          <w:pStyle w:val="TableParagraph"/>
                          <w:spacing w:before="22"/>
                          <w:ind w:left="35"/>
                          <w:rPr>
                            <w:sz w:val="14"/>
                          </w:rPr>
                        </w:pPr>
                        <w:r>
                          <w:rPr>
                            <w:sz w:val="14"/>
                          </w:rPr>
                          <w:t>Interest cost</w:t>
                        </w:r>
                      </w:p>
                    </w:tc>
                    <w:tc>
                      <w:tcPr>
                        <w:tcW w:w="1171" w:type="dxa"/>
                      </w:tcPr>
                      <w:p>
                        <w:pPr/>
                      </w:p>
                    </w:tc>
                    <w:tc>
                      <w:tcPr>
                        <w:tcW w:w="520" w:type="dxa"/>
                      </w:tcPr>
                      <w:p>
                        <w:pPr/>
                      </w:p>
                    </w:tc>
                    <w:tc>
                      <w:tcPr>
                        <w:tcW w:w="607" w:type="dxa"/>
                      </w:tcPr>
                      <w:p>
                        <w:pPr>
                          <w:pStyle w:val="TableParagraph"/>
                          <w:spacing w:before="20"/>
                          <w:ind w:right="70"/>
                          <w:jc w:val="right"/>
                          <w:rPr>
                            <w:sz w:val="14"/>
                          </w:rPr>
                        </w:pPr>
                        <w:r>
                          <w:rPr>
                            <w:sz w:val="14"/>
                          </w:rPr>
                          <w:t>2,038</w:t>
                        </w:r>
                      </w:p>
                    </w:tc>
                    <w:tc>
                      <w:tcPr>
                        <w:tcW w:w="547" w:type="dxa"/>
                      </w:tcPr>
                      <w:p>
                        <w:pPr/>
                      </w:p>
                    </w:tc>
                    <w:tc>
                      <w:tcPr>
                        <w:tcW w:w="501" w:type="dxa"/>
                      </w:tcPr>
                      <w:p>
                        <w:pPr>
                          <w:pStyle w:val="TableParagraph"/>
                          <w:spacing w:before="20"/>
                          <w:ind w:left="194"/>
                          <w:rPr>
                            <w:sz w:val="14"/>
                          </w:rPr>
                        </w:pPr>
                        <w:r>
                          <w:rPr>
                            <w:sz w:val="14"/>
                          </w:rPr>
                          <w:t>417</w:t>
                        </w:r>
                      </w:p>
                    </w:tc>
                    <w:tc>
                      <w:tcPr>
                        <w:tcW w:w="396" w:type="dxa"/>
                      </w:tcPr>
                      <w:p>
                        <w:pPr/>
                      </w:p>
                    </w:tc>
                    <w:tc>
                      <w:tcPr>
                        <w:tcW w:w="652" w:type="dxa"/>
                      </w:tcPr>
                      <w:p>
                        <w:pPr>
                          <w:pStyle w:val="TableParagraph"/>
                          <w:spacing w:before="20"/>
                          <w:ind w:right="71"/>
                          <w:jc w:val="right"/>
                          <w:rPr>
                            <w:sz w:val="14"/>
                          </w:rPr>
                        </w:pPr>
                        <w:r>
                          <w:rPr>
                            <w:sz w:val="14"/>
                          </w:rPr>
                          <w:t>14,141</w:t>
                        </w:r>
                      </w:p>
                    </w:tc>
                    <w:tc>
                      <w:tcPr>
                        <w:tcW w:w="396" w:type="dxa"/>
                      </w:tcPr>
                      <w:p>
                        <w:pPr/>
                      </w:p>
                    </w:tc>
                    <w:tc>
                      <w:tcPr>
                        <w:tcW w:w="653" w:type="dxa"/>
                      </w:tcPr>
                      <w:p>
                        <w:pPr>
                          <w:pStyle w:val="TableParagraph"/>
                          <w:spacing w:before="20"/>
                          <w:ind w:right="71"/>
                          <w:jc w:val="right"/>
                          <w:rPr>
                            <w:sz w:val="14"/>
                          </w:rPr>
                        </w:pPr>
                        <w:r>
                          <w:rPr>
                            <w:sz w:val="14"/>
                          </w:rPr>
                          <w:t>16,596</w:t>
                        </w:r>
                      </w:p>
                    </w:tc>
                  </w:tr>
                  <w:tr>
                    <w:trPr>
                      <w:trHeight w:val="218" w:hRule="exact"/>
                    </w:trPr>
                    <w:tc>
                      <w:tcPr>
                        <w:tcW w:w="3546" w:type="dxa"/>
                      </w:tcPr>
                      <w:p>
                        <w:pPr>
                          <w:pStyle w:val="TableParagraph"/>
                          <w:spacing w:before="22"/>
                          <w:ind w:left="35"/>
                          <w:rPr>
                            <w:sz w:val="14"/>
                          </w:rPr>
                        </w:pPr>
                        <w:r>
                          <w:rPr>
                            <w:sz w:val="14"/>
                          </w:rPr>
                          <w:t>Contributions from plan participants</w:t>
                        </w:r>
                      </w:p>
                    </w:tc>
                    <w:tc>
                      <w:tcPr>
                        <w:tcW w:w="1171" w:type="dxa"/>
                      </w:tcPr>
                      <w:p>
                        <w:pPr/>
                      </w:p>
                    </w:tc>
                    <w:tc>
                      <w:tcPr>
                        <w:tcW w:w="520" w:type="dxa"/>
                      </w:tcPr>
                      <w:p>
                        <w:pPr/>
                      </w:p>
                    </w:tc>
                    <w:tc>
                      <w:tcPr>
                        <w:tcW w:w="607" w:type="dxa"/>
                      </w:tcPr>
                      <w:p>
                        <w:pPr>
                          <w:pStyle w:val="TableParagraph"/>
                          <w:spacing w:before="20"/>
                          <w:ind w:right="70"/>
                          <w:jc w:val="right"/>
                          <w:rPr>
                            <w:sz w:val="14"/>
                          </w:rPr>
                        </w:pPr>
                        <w:r>
                          <w:rPr>
                            <w:sz w:val="14"/>
                          </w:rPr>
                          <w:t>632</w:t>
                        </w:r>
                      </w:p>
                    </w:tc>
                    <w:tc>
                      <w:tcPr>
                        <w:tcW w:w="547" w:type="dxa"/>
                      </w:tcPr>
                      <w:p>
                        <w:pPr/>
                      </w:p>
                    </w:tc>
                    <w:tc>
                      <w:tcPr>
                        <w:tcW w:w="501" w:type="dxa"/>
                      </w:tcPr>
                      <w:p>
                        <w:pPr>
                          <w:pStyle w:val="TableParagraph"/>
                          <w:spacing w:before="20"/>
                          <w:ind w:right="70"/>
                          <w:jc w:val="right"/>
                          <w:rPr>
                            <w:sz w:val="14"/>
                          </w:rPr>
                        </w:pPr>
                        <w:r>
                          <w:rPr>
                            <w:w w:val="100"/>
                            <w:sz w:val="14"/>
                          </w:rPr>
                          <w:t>-</w:t>
                        </w:r>
                      </w:p>
                    </w:tc>
                    <w:tc>
                      <w:tcPr>
                        <w:tcW w:w="396" w:type="dxa"/>
                      </w:tcPr>
                      <w:p>
                        <w:pPr/>
                      </w:p>
                    </w:tc>
                    <w:tc>
                      <w:tcPr>
                        <w:tcW w:w="652" w:type="dxa"/>
                      </w:tcPr>
                      <w:p>
                        <w:pPr>
                          <w:pStyle w:val="TableParagraph"/>
                          <w:spacing w:before="20"/>
                          <w:ind w:right="70"/>
                          <w:jc w:val="right"/>
                          <w:rPr>
                            <w:sz w:val="14"/>
                          </w:rPr>
                        </w:pPr>
                        <w:r>
                          <w:rPr>
                            <w:sz w:val="14"/>
                          </w:rPr>
                          <w:t>738</w:t>
                        </w:r>
                      </w:p>
                    </w:tc>
                    <w:tc>
                      <w:tcPr>
                        <w:tcW w:w="396" w:type="dxa"/>
                      </w:tcPr>
                      <w:p>
                        <w:pPr/>
                      </w:p>
                    </w:tc>
                    <w:tc>
                      <w:tcPr>
                        <w:tcW w:w="653" w:type="dxa"/>
                      </w:tcPr>
                      <w:p>
                        <w:pPr>
                          <w:pStyle w:val="TableParagraph"/>
                          <w:spacing w:before="20"/>
                          <w:ind w:right="71"/>
                          <w:jc w:val="right"/>
                          <w:rPr>
                            <w:sz w:val="14"/>
                          </w:rPr>
                        </w:pPr>
                        <w:r>
                          <w:rPr>
                            <w:sz w:val="14"/>
                          </w:rPr>
                          <w:t>1,370</w:t>
                        </w:r>
                      </w:p>
                    </w:tc>
                  </w:tr>
                  <w:tr>
                    <w:trPr>
                      <w:trHeight w:val="218" w:hRule="exact"/>
                    </w:trPr>
                    <w:tc>
                      <w:tcPr>
                        <w:tcW w:w="3546" w:type="dxa"/>
                      </w:tcPr>
                      <w:p>
                        <w:pPr>
                          <w:pStyle w:val="TableParagraph"/>
                          <w:spacing w:before="22"/>
                          <w:ind w:left="35"/>
                          <w:rPr>
                            <w:sz w:val="14"/>
                          </w:rPr>
                        </w:pPr>
                        <w:r>
                          <w:rPr>
                            <w:sz w:val="14"/>
                          </w:rPr>
                          <w:t>Actuarial losses/(gains)</w:t>
                        </w:r>
                      </w:p>
                    </w:tc>
                    <w:tc>
                      <w:tcPr>
                        <w:tcW w:w="1171" w:type="dxa"/>
                      </w:tcPr>
                      <w:p>
                        <w:pPr/>
                      </w:p>
                    </w:tc>
                    <w:tc>
                      <w:tcPr>
                        <w:tcW w:w="520" w:type="dxa"/>
                      </w:tcPr>
                      <w:p>
                        <w:pPr/>
                      </w:p>
                    </w:tc>
                    <w:tc>
                      <w:tcPr>
                        <w:tcW w:w="607" w:type="dxa"/>
                      </w:tcPr>
                      <w:p>
                        <w:pPr>
                          <w:pStyle w:val="TableParagraph"/>
                          <w:spacing w:before="21"/>
                          <w:ind w:right="70"/>
                          <w:jc w:val="right"/>
                          <w:rPr>
                            <w:sz w:val="14"/>
                          </w:rPr>
                        </w:pPr>
                        <w:r>
                          <w:rPr>
                            <w:sz w:val="14"/>
                          </w:rPr>
                          <w:t>1,675</w:t>
                        </w:r>
                      </w:p>
                    </w:tc>
                    <w:tc>
                      <w:tcPr>
                        <w:tcW w:w="547" w:type="dxa"/>
                      </w:tcPr>
                      <w:p>
                        <w:pPr/>
                      </w:p>
                    </w:tc>
                    <w:tc>
                      <w:tcPr>
                        <w:tcW w:w="501" w:type="dxa"/>
                      </w:tcPr>
                      <w:p>
                        <w:pPr>
                          <w:pStyle w:val="TableParagraph"/>
                          <w:spacing w:before="21"/>
                          <w:ind w:left="194"/>
                          <w:rPr>
                            <w:sz w:val="14"/>
                          </w:rPr>
                        </w:pPr>
                        <w:r>
                          <w:rPr>
                            <w:sz w:val="14"/>
                          </w:rPr>
                          <w:t>431</w:t>
                        </w:r>
                      </w:p>
                    </w:tc>
                    <w:tc>
                      <w:tcPr>
                        <w:tcW w:w="396" w:type="dxa"/>
                      </w:tcPr>
                      <w:p>
                        <w:pPr/>
                      </w:p>
                    </w:tc>
                    <w:tc>
                      <w:tcPr>
                        <w:tcW w:w="652" w:type="dxa"/>
                      </w:tcPr>
                      <w:p>
                        <w:pPr>
                          <w:pStyle w:val="TableParagraph"/>
                          <w:spacing w:before="21"/>
                          <w:ind w:right="71"/>
                          <w:jc w:val="right"/>
                          <w:rPr>
                            <w:sz w:val="14"/>
                          </w:rPr>
                        </w:pPr>
                        <w:r>
                          <w:rPr>
                            <w:sz w:val="14"/>
                          </w:rPr>
                          <w:t>68,180</w:t>
                        </w:r>
                      </w:p>
                    </w:tc>
                    <w:tc>
                      <w:tcPr>
                        <w:tcW w:w="396" w:type="dxa"/>
                      </w:tcPr>
                      <w:p>
                        <w:pPr/>
                      </w:p>
                    </w:tc>
                    <w:tc>
                      <w:tcPr>
                        <w:tcW w:w="653" w:type="dxa"/>
                      </w:tcPr>
                      <w:p>
                        <w:pPr>
                          <w:pStyle w:val="TableParagraph"/>
                          <w:spacing w:before="21"/>
                          <w:ind w:right="71"/>
                          <w:jc w:val="right"/>
                          <w:rPr>
                            <w:sz w:val="14"/>
                          </w:rPr>
                        </w:pPr>
                        <w:r>
                          <w:rPr>
                            <w:sz w:val="14"/>
                          </w:rPr>
                          <w:t>70,286</w:t>
                        </w:r>
                      </w:p>
                    </w:tc>
                  </w:tr>
                  <w:tr>
                    <w:trPr>
                      <w:trHeight w:val="219" w:hRule="exact"/>
                    </w:trPr>
                    <w:tc>
                      <w:tcPr>
                        <w:tcW w:w="3546" w:type="dxa"/>
                      </w:tcPr>
                      <w:p>
                        <w:pPr>
                          <w:pStyle w:val="TableParagraph"/>
                          <w:spacing w:before="22"/>
                          <w:ind w:left="35"/>
                          <w:rPr>
                            <w:sz w:val="14"/>
                          </w:rPr>
                        </w:pPr>
                        <w:r>
                          <w:rPr>
                            <w:sz w:val="14"/>
                          </w:rPr>
                          <w:t>Benefits paid</w:t>
                        </w:r>
                      </w:p>
                    </w:tc>
                    <w:tc>
                      <w:tcPr>
                        <w:tcW w:w="1171" w:type="dxa"/>
                      </w:tcPr>
                      <w:p>
                        <w:pPr/>
                      </w:p>
                    </w:tc>
                    <w:tc>
                      <w:tcPr>
                        <w:tcW w:w="520" w:type="dxa"/>
                        <w:tcBorders>
                          <w:bottom w:val="single" w:sz="0" w:space="0" w:color="000000"/>
                        </w:tcBorders>
                      </w:tcPr>
                      <w:p>
                        <w:pPr/>
                      </w:p>
                    </w:tc>
                    <w:tc>
                      <w:tcPr>
                        <w:tcW w:w="607" w:type="dxa"/>
                        <w:tcBorders>
                          <w:bottom w:val="single" w:sz="0" w:space="0" w:color="000000"/>
                        </w:tcBorders>
                      </w:tcPr>
                      <w:p>
                        <w:pPr>
                          <w:pStyle w:val="TableParagraph"/>
                          <w:spacing w:before="20"/>
                          <w:ind w:right="24"/>
                          <w:jc w:val="right"/>
                          <w:rPr>
                            <w:sz w:val="14"/>
                          </w:rPr>
                        </w:pPr>
                        <w:r>
                          <w:rPr>
                            <w:sz w:val="14"/>
                          </w:rPr>
                          <w:t>(4,434)</w:t>
                        </w:r>
                      </w:p>
                    </w:tc>
                    <w:tc>
                      <w:tcPr>
                        <w:tcW w:w="547" w:type="dxa"/>
                        <w:tcBorders>
                          <w:bottom w:val="single" w:sz="0" w:space="0" w:color="000000"/>
                        </w:tcBorders>
                      </w:tcPr>
                      <w:p>
                        <w:pPr/>
                      </w:p>
                    </w:tc>
                    <w:tc>
                      <w:tcPr>
                        <w:tcW w:w="501" w:type="dxa"/>
                        <w:tcBorders>
                          <w:bottom w:val="single" w:sz="0" w:space="0" w:color="000000"/>
                        </w:tcBorders>
                      </w:tcPr>
                      <w:p>
                        <w:pPr>
                          <w:pStyle w:val="TableParagraph"/>
                          <w:spacing w:before="20"/>
                          <w:ind w:right="24"/>
                          <w:jc w:val="right"/>
                          <w:rPr>
                            <w:sz w:val="14"/>
                          </w:rPr>
                        </w:pPr>
                        <w:r>
                          <w:rPr>
                            <w:sz w:val="14"/>
                          </w:rPr>
                          <w:t>(1,270)</w:t>
                        </w:r>
                      </w:p>
                    </w:tc>
                    <w:tc>
                      <w:tcPr>
                        <w:tcW w:w="396" w:type="dxa"/>
                        <w:tcBorders>
                          <w:bottom w:val="single" w:sz="0" w:space="0" w:color="000000"/>
                        </w:tcBorders>
                      </w:tcPr>
                      <w:p>
                        <w:pPr/>
                      </w:p>
                    </w:tc>
                    <w:tc>
                      <w:tcPr>
                        <w:tcW w:w="652" w:type="dxa"/>
                        <w:tcBorders>
                          <w:bottom w:val="single" w:sz="0" w:space="0" w:color="000000"/>
                        </w:tcBorders>
                      </w:tcPr>
                      <w:p>
                        <w:pPr>
                          <w:pStyle w:val="TableParagraph"/>
                          <w:spacing w:before="20"/>
                          <w:ind w:right="24"/>
                          <w:jc w:val="right"/>
                          <w:rPr>
                            <w:sz w:val="14"/>
                          </w:rPr>
                        </w:pPr>
                        <w:r>
                          <w:rPr>
                            <w:sz w:val="14"/>
                          </w:rPr>
                          <w:t>(10,566)</w:t>
                        </w:r>
                      </w:p>
                    </w:tc>
                    <w:tc>
                      <w:tcPr>
                        <w:tcW w:w="396" w:type="dxa"/>
                        <w:tcBorders>
                          <w:bottom w:val="single" w:sz="0" w:space="0" w:color="000000"/>
                        </w:tcBorders>
                      </w:tcPr>
                      <w:p>
                        <w:pPr/>
                      </w:p>
                    </w:tc>
                    <w:tc>
                      <w:tcPr>
                        <w:tcW w:w="653" w:type="dxa"/>
                        <w:tcBorders>
                          <w:bottom w:val="single" w:sz="0" w:space="0" w:color="000000"/>
                        </w:tcBorders>
                      </w:tcPr>
                      <w:p>
                        <w:pPr>
                          <w:pStyle w:val="TableParagraph"/>
                          <w:spacing w:before="20"/>
                          <w:ind w:right="24"/>
                          <w:jc w:val="right"/>
                          <w:rPr>
                            <w:sz w:val="14"/>
                          </w:rPr>
                        </w:pPr>
                        <w:r>
                          <w:rPr>
                            <w:sz w:val="14"/>
                          </w:rPr>
                          <w:t>(16,270)</w:t>
                        </w:r>
                      </w:p>
                    </w:tc>
                  </w:tr>
                  <w:tr>
                    <w:trPr>
                      <w:trHeight w:val="293" w:hRule="exact"/>
                    </w:trPr>
                    <w:tc>
                      <w:tcPr>
                        <w:tcW w:w="3546" w:type="dxa"/>
                      </w:tcPr>
                      <w:p>
                        <w:pPr>
                          <w:pStyle w:val="TableParagraph"/>
                          <w:spacing w:before="123"/>
                          <w:ind w:left="35"/>
                          <w:rPr>
                            <w:b/>
                            <w:sz w:val="14"/>
                          </w:rPr>
                        </w:pPr>
                        <w:r>
                          <w:rPr>
                            <w:b/>
                            <w:sz w:val="14"/>
                          </w:rPr>
                          <w:t>Closing defined benefit obligation</w:t>
                        </w:r>
                      </w:p>
                    </w:tc>
                    <w:tc>
                      <w:tcPr>
                        <w:tcW w:w="1171" w:type="dxa"/>
                      </w:tcPr>
                      <w:p>
                        <w:pPr/>
                      </w:p>
                    </w:tc>
                    <w:tc>
                      <w:tcPr>
                        <w:tcW w:w="520" w:type="dxa"/>
                        <w:tcBorders>
                          <w:top w:val="single" w:sz="0" w:space="0" w:color="000000"/>
                          <w:bottom w:val="single" w:sz="0" w:space="0" w:color="000000"/>
                        </w:tcBorders>
                      </w:tcPr>
                      <w:p>
                        <w:pPr/>
                      </w:p>
                    </w:tc>
                    <w:tc>
                      <w:tcPr>
                        <w:tcW w:w="607" w:type="dxa"/>
                        <w:tcBorders>
                          <w:top w:val="single" w:sz="0" w:space="0" w:color="000000"/>
                          <w:bottom w:val="single" w:sz="0" w:space="0" w:color="000000"/>
                        </w:tcBorders>
                      </w:tcPr>
                      <w:p>
                        <w:pPr>
                          <w:pStyle w:val="TableParagraph"/>
                          <w:spacing w:before="123"/>
                          <w:ind w:right="70"/>
                          <w:jc w:val="right"/>
                          <w:rPr>
                            <w:sz w:val="14"/>
                          </w:rPr>
                        </w:pPr>
                        <w:r>
                          <w:rPr>
                            <w:sz w:val="14"/>
                          </w:rPr>
                          <w:t>39,820</w:t>
                        </w:r>
                      </w:p>
                    </w:tc>
                    <w:tc>
                      <w:tcPr>
                        <w:tcW w:w="547" w:type="dxa"/>
                        <w:tcBorders>
                          <w:top w:val="single" w:sz="0" w:space="0" w:color="000000"/>
                          <w:bottom w:val="single" w:sz="0" w:space="0" w:color="000000"/>
                        </w:tcBorders>
                      </w:tcPr>
                      <w:p>
                        <w:pPr/>
                      </w:p>
                    </w:tc>
                    <w:tc>
                      <w:tcPr>
                        <w:tcW w:w="501" w:type="dxa"/>
                        <w:tcBorders>
                          <w:top w:val="single" w:sz="0" w:space="0" w:color="000000"/>
                          <w:bottom w:val="single" w:sz="0" w:space="0" w:color="000000"/>
                        </w:tcBorders>
                      </w:tcPr>
                      <w:p>
                        <w:pPr>
                          <w:pStyle w:val="TableParagraph"/>
                          <w:spacing w:before="123"/>
                          <w:ind w:left="77"/>
                          <w:rPr>
                            <w:sz w:val="14"/>
                          </w:rPr>
                        </w:pPr>
                        <w:r>
                          <w:rPr>
                            <w:sz w:val="14"/>
                          </w:rPr>
                          <w:t>7,922</w:t>
                        </w:r>
                      </w:p>
                    </w:tc>
                    <w:tc>
                      <w:tcPr>
                        <w:tcW w:w="396" w:type="dxa"/>
                        <w:tcBorders>
                          <w:top w:val="single" w:sz="0" w:space="0" w:color="000000"/>
                          <w:bottom w:val="single" w:sz="0" w:space="0" w:color="000000"/>
                        </w:tcBorders>
                      </w:tcPr>
                      <w:p>
                        <w:pPr/>
                      </w:p>
                    </w:tc>
                    <w:tc>
                      <w:tcPr>
                        <w:tcW w:w="652" w:type="dxa"/>
                        <w:tcBorders>
                          <w:top w:val="single" w:sz="0" w:space="0" w:color="000000"/>
                          <w:bottom w:val="single" w:sz="0" w:space="0" w:color="000000"/>
                        </w:tcBorders>
                      </w:tcPr>
                      <w:p>
                        <w:pPr>
                          <w:pStyle w:val="TableParagraph"/>
                          <w:spacing w:before="123"/>
                          <w:ind w:right="70"/>
                          <w:jc w:val="right"/>
                          <w:rPr>
                            <w:sz w:val="14"/>
                          </w:rPr>
                        </w:pPr>
                        <w:r>
                          <w:rPr>
                            <w:sz w:val="14"/>
                          </w:rPr>
                          <w:t>332,783</w:t>
                        </w:r>
                      </w:p>
                    </w:tc>
                    <w:tc>
                      <w:tcPr>
                        <w:tcW w:w="396" w:type="dxa"/>
                        <w:tcBorders>
                          <w:top w:val="single" w:sz="0" w:space="0" w:color="000000"/>
                          <w:bottom w:val="single" w:sz="0" w:space="0" w:color="000000"/>
                        </w:tcBorders>
                      </w:tcPr>
                      <w:p>
                        <w:pPr/>
                      </w:p>
                    </w:tc>
                    <w:tc>
                      <w:tcPr>
                        <w:tcW w:w="653" w:type="dxa"/>
                        <w:tcBorders>
                          <w:top w:val="single" w:sz="0" w:space="0" w:color="000000"/>
                          <w:bottom w:val="single" w:sz="0" w:space="0" w:color="000000"/>
                        </w:tcBorders>
                      </w:tcPr>
                      <w:p>
                        <w:pPr>
                          <w:pStyle w:val="TableParagraph"/>
                          <w:spacing w:before="123"/>
                          <w:ind w:right="71"/>
                          <w:jc w:val="right"/>
                          <w:rPr>
                            <w:sz w:val="14"/>
                          </w:rPr>
                        </w:pPr>
                        <w:r>
                          <w:rPr>
                            <w:sz w:val="14"/>
                          </w:rPr>
                          <w:t>380,525</w:t>
                        </w:r>
                      </w:p>
                    </w:tc>
                  </w:tr>
                  <w:tr>
                    <w:trPr>
                      <w:trHeight w:val="511" w:hRule="exact"/>
                    </w:trPr>
                    <w:tc>
                      <w:tcPr>
                        <w:tcW w:w="3546" w:type="dxa"/>
                      </w:tcPr>
                      <w:p>
                        <w:pPr>
                          <w:pStyle w:val="TableParagraph"/>
                          <w:spacing w:before="123"/>
                          <w:ind w:left="35"/>
                          <w:rPr>
                            <w:b/>
                            <w:sz w:val="14"/>
                          </w:rPr>
                        </w:pPr>
                        <w:r>
                          <w:rPr>
                            <w:b/>
                            <w:sz w:val="14"/>
                          </w:rPr>
                          <w:t>Present value of plan assets - 2011</w:t>
                        </w:r>
                      </w:p>
                      <w:p>
                        <w:pPr>
                          <w:pStyle w:val="TableParagraph"/>
                          <w:spacing w:before="30"/>
                          <w:ind w:left="35"/>
                          <w:rPr>
                            <w:sz w:val="14"/>
                          </w:rPr>
                        </w:pPr>
                        <w:r>
                          <w:rPr>
                            <w:sz w:val="14"/>
                          </w:rPr>
                          <w:t>Opening fair value of plan assets</w:t>
                        </w:r>
                      </w:p>
                    </w:tc>
                    <w:tc>
                      <w:tcPr>
                        <w:tcW w:w="1171" w:type="dxa"/>
                      </w:tcPr>
                      <w:p>
                        <w:pPr/>
                      </w:p>
                    </w:tc>
                    <w:tc>
                      <w:tcPr>
                        <w:tcW w:w="520" w:type="dxa"/>
                        <w:tcBorders>
                          <w:top w:val="single" w:sz="0" w:space="0" w:color="000000"/>
                        </w:tcBorders>
                      </w:tcPr>
                      <w:p>
                        <w:pPr/>
                      </w:p>
                    </w:tc>
                    <w:tc>
                      <w:tcPr>
                        <w:tcW w:w="607" w:type="dxa"/>
                        <w:tcBorders>
                          <w:top w:val="single" w:sz="0" w:space="0" w:color="000000"/>
                        </w:tcBorders>
                      </w:tcPr>
                      <w:p>
                        <w:pPr>
                          <w:pStyle w:val="TableParagraph"/>
                          <w:rPr>
                            <w:sz w:val="14"/>
                          </w:rPr>
                        </w:pPr>
                      </w:p>
                      <w:p>
                        <w:pPr>
                          <w:pStyle w:val="TableParagraph"/>
                          <w:spacing w:before="2"/>
                          <w:rPr>
                            <w:sz w:val="13"/>
                          </w:rPr>
                        </w:pPr>
                      </w:p>
                      <w:p>
                        <w:pPr>
                          <w:pStyle w:val="TableParagraph"/>
                          <w:ind w:right="70"/>
                          <w:jc w:val="right"/>
                          <w:rPr>
                            <w:sz w:val="14"/>
                          </w:rPr>
                        </w:pPr>
                        <w:r>
                          <w:rPr>
                            <w:sz w:val="14"/>
                          </w:rPr>
                          <w:t>32,500</w:t>
                        </w:r>
                      </w:p>
                    </w:tc>
                    <w:tc>
                      <w:tcPr>
                        <w:tcW w:w="547" w:type="dxa"/>
                        <w:tcBorders>
                          <w:top w:val="single" w:sz="0" w:space="0" w:color="000000"/>
                        </w:tcBorders>
                      </w:tcPr>
                      <w:p>
                        <w:pPr/>
                      </w:p>
                    </w:tc>
                    <w:tc>
                      <w:tcPr>
                        <w:tcW w:w="501" w:type="dxa"/>
                        <w:tcBorders>
                          <w:top w:val="single" w:sz="0" w:space="0" w:color="000000"/>
                        </w:tcBorders>
                      </w:tcPr>
                      <w:p>
                        <w:pPr>
                          <w:pStyle w:val="TableParagraph"/>
                          <w:rPr>
                            <w:sz w:val="14"/>
                          </w:rPr>
                        </w:pPr>
                      </w:p>
                      <w:p>
                        <w:pPr>
                          <w:pStyle w:val="TableParagraph"/>
                          <w:spacing w:before="2"/>
                          <w:rPr>
                            <w:sz w:val="13"/>
                          </w:rPr>
                        </w:pPr>
                      </w:p>
                      <w:p>
                        <w:pPr>
                          <w:pStyle w:val="TableParagraph"/>
                          <w:ind w:left="76"/>
                          <w:rPr>
                            <w:sz w:val="14"/>
                          </w:rPr>
                        </w:pPr>
                        <w:r>
                          <w:rPr>
                            <w:sz w:val="14"/>
                          </w:rPr>
                          <w:t>5,589</w:t>
                        </w:r>
                      </w:p>
                    </w:tc>
                    <w:tc>
                      <w:tcPr>
                        <w:tcW w:w="396" w:type="dxa"/>
                        <w:tcBorders>
                          <w:top w:val="single" w:sz="0" w:space="0" w:color="000000"/>
                        </w:tcBorders>
                      </w:tcPr>
                      <w:p>
                        <w:pPr/>
                      </w:p>
                    </w:tc>
                    <w:tc>
                      <w:tcPr>
                        <w:tcW w:w="652" w:type="dxa"/>
                        <w:tcBorders>
                          <w:top w:val="single" w:sz="0" w:space="0" w:color="000000"/>
                        </w:tcBorders>
                      </w:tcPr>
                      <w:p>
                        <w:pPr>
                          <w:pStyle w:val="TableParagraph"/>
                          <w:rPr>
                            <w:sz w:val="14"/>
                          </w:rPr>
                        </w:pPr>
                      </w:p>
                      <w:p>
                        <w:pPr>
                          <w:pStyle w:val="TableParagraph"/>
                          <w:spacing w:before="2"/>
                          <w:rPr>
                            <w:sz w:val="13"/>
                          </w:rPr>
                        </w:pPr>
                      </w:p>
                      <w:p>
                        <w:pPr>
                          <w:pStyle w:val="TableParagraph"/>
                          <w:ind w:right="71"/>
                          <w:jc w:val="right"/>
                          <w:rPr>
                            <w:sz w:val="14"/>
                          </w:rPr>
                        </w:pPr>
                        <w:r>
                          <w:rPr>
                            <w:sz w:val="14"/>
                          </w:rPr>
                          <w:t>122,440</w:t>
                        </w:r>
                      </w:p>
                    </w:tc>
                    <w:tc>
                      <w:tcPr>
                        <w:tcW w:w="396" w:type="dxa"/>
                        <w:tcBorders>
                          <w:top w:val="single" w:sz="0" w:space="0" w:color="000000"/>
                        </w:tcBorders>
                      </w:tcPr>
                      <w:p>
                        <w:pPr/>
                      </w:p>
                    </w:tc>
                    <w:tc>
                      <w:tcPr>
                        <w:tcW w:w="653" w:type="dxa"/>
                        <w:tcBorders>
                          <w:top w:val="single" w:sz="0" w:space="0" w:color="000000"/>
                        </w:tcBorders>
                      </w:tcPr>
                      <w:p>
                        <w:pPr>
                          <w:pStyle w:val="TableParagraph"/>
                          <w:rPr>
                            <w:sz w:val="14"/>
                          </w:rPr>
                        </w:pPr>
                      </w:p>
                      <w:p>
                        <w:pPr>
                          <w:pStyle w:val="TableParagraph"/>
                          <w:spacing w:before="2"/>
                          <w:rPr>
                            <w:sz w:val="13"/>
                          </w:rPr>
                        </w:pPr>
                      </w:p>
                      <w:p>
                        <w:pPr>
                          <w:pStyle w:val="TableParagraph"/>
                          <w:ind w:right="71"/>
                          <w:jc w:val="right"/>
                          <w:rPr>
                            <w:sz w:val="14"/>
                          </w:rPr>
                        </w:pPr>
                        <w:r>
                          <w:rPr>
                            <w:sz w:val="14"/>
                          </w:rPr>
                          <w:t>160,529</w:t>
                        </w:r>
                      </w:p>
                    </w:tc>
                  </w:tr>
                  <w:tr>
                    <w:trPr>
                      <w:trHeight w:val="218" w:hRule="exact"/>
                    </w:trPr>
                    <w:tc>
                      <w:tcPr>
                        <w:tcW w:w="3546" w:type="dxa"/>
                      </w:tcPr>
                      <w:p>
                        <w:pPr>
                          <w:pStyle w:val="TableParagraph"/>
                          <w:spacing w:before="22"/>
                          <w:ind w:left="35"/>
                          <w:rPr>
                            <w:sz w:val="14"/>
                          </w:rPr>
                        </w:pPr>
                        <w:r>
                          <w:rPr>
                            <w:sz w:val="14"/>
                          </w:rPr>
                          <w:t>Expected return on plan assets</w:t>
                        </w:r>
                      </w:p>
                    </w:tc>
                    <w:tc>
                      <w:tcPr>
                        <w:tcW w:w="1171" w:type="dxa"/>
                      </w:tcPr>
                      <w:p>
                        <w:pPr/>
                      </w:p>
                    </w:tc>
                    <w:tc>
                      <w:tcPr>
                        <w:tcW w:w="520" w:type="dxa"/>
                      </w:tcPr>
                      <w:p>
                        <w:pPr/>
                      </w:p>
                    </w:tc>
                    <w:tc>
                      <w:tcPr>
                        <w:tcW w:w="607" w:type="dxa"/>
                      </w:tcPr>
                      <w:p>
                        <w:pPr>
                          <w:pStyle w:val="TableParagraph"/>
                          <w:spacing w:before="20"/>
                          <w:ind w:right="70"/>
                          <w:jc w:val="right"/>
                          <w:rPr>
                            <w:sz w:val="14"/>
                          </w:rPr>
                        </w:pPr>
                        <w:r>
                          <w:rPr>
                            <w:sz w:val="14"/>
                          </w:rPr>
                          <w:t>2,618</w:t>
                        </w:r>
                      </w:p>
                    </w:tc>
                    <w:tc>
                      <w:tcPr>
                        <w:tcW w:w="547" w:type="dxa"/>
                      </w:tcPr>
                      <w:p>
                        <w:pPr/>
                      </w:p>
                    </w:tc>
                    <w:tc>
                      <w:tcPr>
                        <w:tcW w:w="501" w:type="dxa"/>
                      </w:tcPr>
                      <w:p>
                        <w:pPr>
                          <w:pStyle w:val="TableParagraph"/>
                          <w:spacing w:before="20"/>
                          <w:ind w:left="194"/>
                          <w:rPr>
                            <w:sz w:val="14"/>
                          </w:rPr>
                        </w:pPr>
                        <w:r>
                          <w:rPr>
                            <w:sz w:val="14"/>
                          </w:rPr>
                          <w:t>545</w:t>
                        </w:r>
                      </w:p>
                    </w:tc>
                    <w:tc>
                      <w:tcPr>
                        <w:tcW w:w="396" w:type="dxa"/>
                      </w:tcPr>
                      <w:p>
                        <w:pPr/>
                      </w:p>
                    </w:tc>
                    <w:tc>
                      <w:tcPr>
                        <w:tcW w:w="652" w:type="dxa"/>
                      </w:tcPr>
                      <w:p>
                        <w:pPr>
                          <w:pStyle w:val="TableParagraph"/>
                          <w:spacing w:before="20"/>
                          <w:ind w:right="71"/>
                          <w:jc w:val="right"/>
                          <w:rPr>
                            <w:sz w:val="14"/>
                          </w:rPr>
                        </w:pPr>
                        <w:r>
                          <w:rPr>
                            <w:sz w:val="14"/>
                          </w:rPr>
                          <w:t>9,933</w:t>
                        </w:r>
                      </w:p>
                    </w:tc>
                    <w:tc>
                      <w:tcPr>
                        <w:tcW w:w="396" w:type="dxa"/>
                      </w:tcPr>
                      <w:p>
                        <w:pPr/>
                      </w:p>
                    </w:tc>
                    <w:tc>
                      <w:tcPr>
                        <w:tcW w:w="653" w:type="dxa"/>
                      </w:tcPr>
                      <w:p>
                        <w:pPr>
                          <w:pStyle w:val="TableParagraph"/>
                          <w:spacing w:before="20"/>
                          <w:ind w:right="71"/>
                          <w:jc w:val="right"/>
                          <w:rPr>
                            <w:sz w:val="14"/>
                          </w:rPr>
                        </w:pPr>
                        <w:r>
                          <w:rPr>
                            <w:sz w:val="14"/>
                          </w:rPr>
                          <w:t>13,096</w:t>
                        </w:r>
                      </w:p>
                    </w:tc>
                  </w:tr>
                  <w:tr>
                    <w:trPr>
                      <w:trHeight w:val="218" w:hRule="exact"/>
                    </w:trPr>
                    <w:tc>
                      <w:tcPr>
                        <w:tcW w:w="3546" w:type="dxa"/>
                      </w:tcPr>
                      <w:p>
                        <w:pPr>
                          <w:pStyle w:val="TableParagraph"/>
                          <w:spacing w:before="22"/>
                          <w:ind w:left="35"/>
                          <w:rPr>
                            <w:sz w:val="14"/>
                          </w:rPr>
                        </w:pPr>
                        <w:r>
                          <w:rPr>
                            <w:sz w:val="14"/>
                          </w:rPr>
                          <w:t>Actuarial gains/(losses)</w:t>
                        </w:r>
                      </w:p>
                    </w:tc>
                    <w:tc>
                      <w:tcPr>
                        <w:tcW w:w="1171" w:type="dxa"/>
                      </w:tcPr>
                      <w:p>
                        <w:pPr/>
                      </w:p>
                    </w:tc>
                    <w:tc>
                      <w:tcPr>
                        <w:tcW w:w="520" w:type="dxa"/>
                      </w:tcPr>
                      <w:p>
                        <w:pPr/>
                      </w:p>
                    </w:tc>
                    <w:tc>
                      <w:tcPr>
                        <w:tcW w:w="607" w:type="dxa"/>
                      </w:tcPr>
                      <w:p>
                        <w:pPr>
                          <w:pStyle w:val="TableParagraph"/>
                          <w:spacing w:before="21"/>
                          <w:ind w:right="24"/>
                          <w:jc w:val="right"/>
                          <w:rPr>
                            <w:sz w:val="14"/>
                          </w:rPr>
                        </w:pPr>
                        <w:r>
                          <w:rPr>
                            <w:sz w:val="14"/>
                          </w:rPr>
                          <w:t>(2,563)</w:t>
                        </w:r>
                      </w:p>
                    </w:tc>
                    <w:tc>
                      <w:tcPr>
                        <w:tcW w:w="547" w:type="dxa"/>
                      </w:tcPr>
                      <w:p>
                        <w:pPr/>
                      </w:p>
                    </w:tc>
                    <w:tc>
                      <w:tcPr>
                        <w:tcW w:w="501" w:type="dxa"/>
                      </w:tcPr>
                      <w:p>
                        <w:pPr>
                          <w:pStyle w:val="TableParagraph"/>
                          <w:spacing w:before="21"/>
                          <w:ind w:right="23"/>
                          <w:jc w:val="right"/>
                          <w:rPr>
                            <w:sz w:val="14"/>
                          </w:rPr>
                        </w:pPr>
                        <w:r>
                          <w:rPr>
                            <w:sz w:val="14"/>
                          </w:rPr>
                          <w:t>(652)</w:t>
                        </w:r>
                      </w:p>
                    </w:tc>
                    <w:tc>
                      <w:tcPr>
                        <w:tcW w:w="396" w:type="dxa"/>
                      </w:tcPr>
                      <w:p>
                        <w:pPr/>
                      </w:p>
                    </w:tc>
                    <w:tc>
                      <w:tcPr>
                        <w:tcW w:w="652" w:type="dxa"/>
                      </w:tcPr>
                      <w:p>
                        <w:pPr>
                          <w:pStyle w:val="TableParagraph"/>
                          <w:spacing w:before="21"/>
                          <w:ind w:right="24"/>
                          <w:jc w:val="right"/>
                          <w:rPr>
                            <w:sz w:val="14"/>
                          </w:rPr>
                        </w:pPr>
                        <w:r>
                          <w:rPr>
                            <w:sz w:val="14"/>
                          </w:rPr>
                          <w:t>(12,193)</w:t>
                        </w:r>
                      </w:p>
                    </w:tc>
                    <w:tc>
                      <w:tcPr>
                        <w:tcW w:w="396" w:type="dxa"/>
                      </w:tcPr>
                      <w:p>
                        <w:pPr/>
                      </w:p>
                    </w:tc>
                    <w:tc>
                      <w:tcPr>
                        <w:tcW w:w="653" w:type="dxa"/>
                      </w:tcPr>
                      <w:p>
                        <w:pPr>
                          <w:pStyle w:val="TableParagraph"/>
                          <w:spacing w:before="21"/>
                          <w:ind w:right="25"/>
                          <w:jc w:val="right"/>
                          <w:rPr>
                            <w:sz w:val="14"/>
                          </w:rPr>
                        </w:pPr>
                        <w:r>
                          <w:rPr>
                            <w:sz w:val="14"/>
                          </w:rPr>
                          <w:t>(15,408)</w:t>
                        </w:r>
                      </w:p>
                    </w:tc>
                  </w:tr>
                  <w:tr>
                    <w:trPr>
                      <w:trHeight w:val="218" w:hRule="exact"/>
                    </w:trPr>
                    <w:tc>
                      <w:tcPr>
                        <w:tcW w:w="3546" w:type="dxa"/>
                      </w:tcPr>
                      <w:p>
                        <w:pPr>
                          <w:pStyle w:val="TableParagraph"/>
                          <w:spacing w:before="22"/>
                          <w:ind w:left="35"/>
                          <w:rPr>
                            <w:sz w:val="14"/>
                          </w:rPr>
                        </w:pPr>
                        <w:r>
                          <w:rPr>
                            <w:sz w:val="14"/>
                          </w:rPr>
                          <w:t>Contributions from the employer</w:t>
                        </w:r>
                      </w:p>
                    </w:tc>
                    <w:tc>
                      <w:tcPr>
                        <w:tcW w:w="1171" w:type="dxa"/>
                      </w:tcPr>
                      <w:p>
                        <w:pPr/>
                      </w:p>
                    </w:tc>
                    <w:tc>
                      <w:tcPr>
                        <w:tcW w:w="520" w:type="dxa"/>
                      </w:tcPr>
                      <w:p>
                        <w:pPr/>
                      </w:p>
                    </w:tc>
                    <w:tc>
                      <w:tcPr>
                        <w:tcW w:w="607" w:type="dxa"/>
                      </w:tcPr>
                      <w:p>
                        <w:pPr>
                          <w:pStyle w:val="TableParagraph"/>
                          <w:spacing w:before="21"/>
                          <w:ind w:right="70"/>
                          <w:jc w:val="right"/>
                          <w:rPr>
                            <w:sz w:val="14"/>
                          </w:rPr>
                        </w:pPr>
                        <w:r>
                          <w:rPr>
                            <w:sz w:val="14"/>
                          </w:rPr>
                          <w:t>1,407</w:t>
                        </w:r>
                      </w:p>
                    </w:tc>
                    <w:tc>
                      <w:tcPr>
                        <w:tcW w:w="547" w:type="dxa"/>
                      </w:tcPr>
                      <w:p>
                        <w:pPr/>
                      </w:p>
                    </w:tc>
                    <w:tc>
                      <w:tcPr>
                        <w:tcW w:w="501" w:type="dxa"/>
                      </w:tcPr>
                      <w:p>
                        <w:pPr>
                          <w:pStyle w:val="TableParagraph"/>
                          <w:spacing w:before="21"/>
                          <w:ind w:left="194"/>
                          <w:rPr>
                            <w:sz w:val="14"/>
                          </w:rPr>
                        </w:pPr>
                        <w:r>
                          <w:rPr>
                            <w:sz w:val="14"/>
                          </w:rPr>
                          <w:t>470</w:t>
                        </w:r>
                      </w:p>
                    </w:tc>
                    <w:tc>
                      <w:tcPr>
                        <w:tcW w:w="396" w:type="dxa"/>
                      </w:tcPr>
                      <w:p>
                        <w:pPr/>
                      </w:p>
                    </w:tc>
                    <w:tc>
                      <w:tcPr>
                        <w:tcW w:w="652" w:type="dxa"/>
                      </w:tcPr>
                      <w:p>
                        <w:pPr>
                          <w:pStyle w:val="TableParagraph"/>
                          <w:spacing w:before="21"/>
                          <w:ind w:right="70"/>
                          <w:jc w:val="right"/>
                          <w:rPr>
                            <w:sz w:val="14"/>
                          </w:rPr>
                        </w:pPr>
                        <w:r>
                          <w:rPr>
                            <w:sz w:val="14"/>
                          </w:rPr>
                          <w:t>570</w:t>
                        </w:r>
                      </w:p>
                    </w:tc>
                    <w:tc>
                      <w:tcPr>
                        <w:tcW w:w="396" w:type="dxa"/>
                      </w:tcPr>
                      <w:p>
                        <w:pPr/>
                      </w:p>
                    </w:tc>
                    <w:tc>
                      <w:tcPr>
                        <w:tcW w:w="653" w:type="dxa"/>
                      </w:tcPr>
                      <w:p>
                        <w:pPr>
                          <w:pStyle w:val="TableParagraph"/>
                          <w:spacing w:before="21"/>
                          <w:ind w:right="71"/>
                          <w:jc w:val="right"/>
                          <w:rPr>
                            <w:sz w:val="14"/>
                          </w:rPr>
                        </w:pPr>
                        <w:r>
                          <w:rPr>
                            <w:sz w:val="14"/>
                          </w:rPr>
                          <w:t>2,447</w:t>
                        </w:r>
                      </w:p>
                    </w:tc>
                  </w:tr>
                  <w:tr>
                    <w:trPr>
                      <w:trHeight w:val="218" w:hRule="exact"/>
                    </w:trPr>
                    <w:tc>
                      <w:tcPr>
                        <w:tcW w:w="3546" w:type="dxa"/>
                      </w:tcPr>
                      <w:p>
                        <w:pPr>
                          <w:pStyle w:val="TableParagraph"/>
                          <w:spacing w:before="22"/>
                          <w:ind w:left="35"/>
                          <w:rPr>
                            <w:sz w:val="14"/>
                          </w:rPr>
                        </w:pPr>
                        <w:r>
                          <w:rPr>
                            <w:sz w:val="14"/>
                          </w:rPr>
                          <w:t>Contributions from plan participants</w:t>
                        </w:r>
                      </w:p>
                    </w:tc>
                    <w:tc>
                      <w:tcPr>
                        <w:tcW w:w="1171" w:type="dxa"/>
                      </w:tcPr>
                      <w:p>
                        <w:pPr/>
                      </w:p>
                    </w:tc>
                    <w:tc>
                      <w:tcPr>
                        <w:tcW w:w="520" w:type="dxa"/>
                      </w:tcPr>
                      <w:p>
                        <w:pPr/>
                      </w:p>
                    </w:tc>
                    <w:tc>
                      <w:tcPr>
                        <w:tcW w:w="607" w:type="dxa"/>
                      </w:tcPr>
                      <w:p>
                        <w:pPr>
                          <w:pStyle w:val="TableParagraph"/>
                          <w:spacing w:before="21"/>
                          <w:ind w:right="70"/>
                          <w:jc w:val="right"/>
                          <w:rPr>
                            <w:sz w:val="14"/>
                          </w:rPr>
                        </w:pPr>
                        <w:r>
                          <w:rPr>
                            <w:sz w:val="14"/>
                          </w:rPr>
                          <w:t>633</w:t>
                        </w:r>
                      </w:p>
                    </w:tc>
                    <w:tc>
                      <w:tcPr>
                        <w:tcW w:w="547" w:type="dxa"/>
                      </w:tcPr>
                      <w:p>
                        <w:pPr/>
                      </w:p>
                    </w:tc>
                    <w:tc>
                      <w:tcPr>
                        <w:tcW w:w="501" w:type="dxa"/>
                      </w:tcPr>
                      <w:p>
                        <w:pPr>
                          <w:pStyle w:val="TableParagraph"/>
                          <w:spacing w:before="21"/>
                          <w:ind w:right="70"/>
                          <w:jc w:val="right"/>
                          <w:rPr>
                            <w:sz w:val="14"/>
                          </w:rPr>
                        </w:pPr>
                        <w:r>
                          <w:rPr>
                            <w:w w:val="100"/>
                            <w:sz w:val="14"/>
                          </w:rPr>
                          <w:t>-</w:t>
                        </w:r>
                      </w:p>
                    </w:tc>
                    <w:tc>
                      <w:tcPr>
                        <w:tcW w:w="396" w:type="dxa"/>
                      </w:tcPr>
                      <w:p>
                        <w:pPr/>
                      </w:p>
                    </w:tc>
                    <w:tc>
                      <w:tcPr>
                        <w:tcW w:w="652" w:type="dxa"/>
                      </w:tcPr>
                      <w:p>
                        <w:pPr>
                          <w:pStyle w:val="TableParagraph"/>
                          <w:spacing w:before="21"/>
                          <w:ind w:right="70"/>
                          <w:jc w:val="right"/>
                          <w:rPr>
                            <w:sz w:val="14"/>
                          </w:rPr>
                        </w:pPr>
                        <w:r>
                          <w:rPr>
                            <w:sz w:val="14"/>
                          </w:rPr>
                          <w:t>738</w:t>
                        </w:r>
                      </w:p>
                    </w:tc>
                    <w:tc>
                      <w:tcPr>
                        <w:tcW w:w="396" w:type="dxa"/>
                      </w:tcPr>
                      <w:p>
                        <w:pPr/>
                      </w:p>
                    </w:tc>
                    <w:tc>
                      <w:tcPr>
                        <w:tcW w:w="653" w:type="dxa"/>
                      </w:tcPr>
                      <w:p>
                        <w:pPr>
                          <w:pStyle w:val="TableParagraph"/>
                          <w:spacing w:before="21"/>
                          <w:ind w:right="71"/>
                          <w:jc w:val="right"/>
                          <w:rPr>
                            <w:sz w:val="14"/>
                          </w:rPr>
                        </w:pPr>
                        <w:r>
                          <w:rPr>
                            <w:sz w:val="14"/>
                          </w:rPr>
                          <w:t>1,371</w:t>
                        </w:r>
                      </w:p>
                    </w:tc>
                  </w:tr>
                  <w:tr>
                    <w:trPr>
                      <w:trHeight w:val="219" w:hRule="exact"/>
                    </w:trPr>
                    <w:tc>
                      <w:tcPr>
                        <w:tcW w:w="3546" w:type="dxa"/>
                      </w:tcPr>
                      <w:p>
                        <w:pPr>
                          <w:pStyle w:val="TableParagraph"/>
                          <w:spacing w:before="22"/>
                          <w:ind w:left="35"/>
                          <w:rPr>
                            <w:sz w:val="14"/>
                          </w:rPr>
                        </w:pPr>
                        <w:r>
                          <w:rPr>
                            <w:sz w:val="14"/>
                          </w:rPr>
                          <w:t>Benefits paid</w:t>
                        </w:r>
                      </w:p>
                    </w:tc>
                    <w:tc>
                      <w:tcPr>
                        <w:tcW w:w="1171" w:type="dxa"/>
                      </w:tcPr>
                      <w:p>
                        <w:pPr/>
                      </w:p>
                    </w:tc>
                    <w:tc>
                      <w:tcPr>
                        <w:tcW w:w="520" w:type="dxa"/>
                        <w:tcBorders>
                          <w:bottom w:val="single" w:sz="0" w:space="0" w:color="000000"/>
                        </w:tcBorders>
                      </w:tcPr>
                      <w:p>
                        <w:pPr/>
                      </w:p>
                    </w:tc>
                    <w:tc>
                      <w:tcPr>
                        <w:tcW w:w="607" w:type="dxa"/>
                        <w:tcBorders>
                          <w:bottom w:val="single" w:sz="0" w:space="0" w:color="000000"/>
                        </w:tcBorders>
                      </w:tcPr>
                      <w:p>
                        <w:pPr>
                          <w:pStyle w:val="TableParagraph"/>
                          <w:spacing w:before="20"/>
                          <w:ind w:right="24"/>
                          <w:jc w:val="right"/>
                          <w:rPr>
                            <w:sz w:val="14"/>
                          </w:rPr>
                        </w:pPr>
                        <w:r>
                          <w:rPr>
                            <w:sz w:val="14"/>
                          </w:rPr>
                          <w:t>(4,434)</w:t>
                        </w:r>
                      </w:p>
                    </w:tc>
                    <w:tc>
                      <w:tcPr>
                        <w:tcW w:w="547" w:type="dxa"/>
                        <w:tcBorders>
                          <w:bottom w:val="single" w:sz="0" w:space="0" w:color="000000"/>
                        </w:tcBorders>
                      </w:tcPr>
                      <w:p>
                        <w:pPr/>
                      </w:p>
                    </w:tc>
                    <w:tc>
                      <w:tcPr>
                        <w:tcW w:w="501" w:type="dxa"/>
                        <w:tcBorders>
                          <w:bottom w:val="single" w:sz="0" w:space="0" w:color="000000"/>
                        </w:tcBorders>
                      </w:tcPr>
                      <w:p>
                        <w:pPr>
                          <w:pStyle w:val="TableParagraph"/>
                          <w:spacing w:before="20"/>
                          <w:ind w:right="24"/>
                          <w:jc w:val="right"/>
                          <w:rPr>
                            <w:sz w:val="14"/>
                          </w:rPr>
                        </w:pPr>
                        <w:r>
                          <w:rPr>
                            <w:sz w:val="14"/>
                          </w:rPr>
                          <w:t>(1,270)</w:t>
                        </w:r>
                      </w:p>
                    </w:tc>
                    <w:tc>
                      <w:tcPr>
                        <w:tcW w:w="396" w:type="dxa"/>
                        <w:tcBorders>
                          <w:bottom w:val="single" w:sz="0" w:space="0" w:color="000000"/>
                        </w:tcBorders>
                      </w:tcPr>
                      <w:p>
                        <w:pPr/>
                      </w:p>
                    </w:tc>
                    <w:tc>
                      <w:tcPr>
                        <w:tcW w:w="652" w:type="dxa"/>
                        <w:tcBorders>
                          <w:bottom w:val="single" w:sz="0" w:space="0" w:color="000000"/>
                        </w:tcBorders>
                      </w:tcPr>
                      <w:p>
                        <w:pPr>
                          <w:pStyle w:val="TableParagraph"/>
                          <w:spacing w:before="20"/>
                          <w:ind w:right="24"/>
                          <w:jc w:val="right"/>
                          <w:rPr>
                            <w:sz w:val="14"/>
                          </w:rPr>
                        </w:pPr>
                        <w:r>
                          <w:rPr>
                            <w:sz w:val="14"/>
                          </w:rPr>
                          <w:t>(10,566)</w:t>
                        </w:r>
                      </w:p>
                    </w:tc>
                    <w:tc>
                      <w:tcPr>
                        <w:tcW w:w="396" w:type="dxa"/>
                        <w:tcBorders>
                          <w:bottom w:val="single" w:sz="0" w:space="0" w:color="000000"/>
                        </w:tcBorders>
                      </w:tcPr>
                      <w:p>
                        <w:pPr/>
                      </w:p>
                    </w:tc>
                    <w:tc>
                      <w:tcPr>
                        <w:tcW w:w="653" w:type="dxa"/>
                        <w:tcBorders>
                          <w:bottom w:val="single" w:sz="0" w:space="0" w:color="000000"/>
                        </w:tcBorders>
                      </w:tcPr>
                      <w:p>
                        <w:pPr>
                          <w:pStyle w:val="TableParagraph"/>
                          <w:spacing w:before="20"/>
                          <w:ind w:right="24"/>
                          <w:jc w:val="right"/>
                          <w:rPr>
                            <w:sz w:val="14"/>
                          </w:rPr>
                        </w:pPr>
                        <w:r>
                          <w:rPr>
                            <w:sz w:val="14"/>
                          </w:rPr>
                          <w:t>(16,270)</w:t>
                        </w:r>
                      </w:p>
                    </w:tc>
                  </w:tr>
                  <w:tr>
                    <w:trPr>
                      <w:trHeight w:val="293" w:hRule="exact"/>
                    </w:trPr>
                    <w:tc>
                      <w:tcPr>
                        <w:tcW w:w="3546" w:type="dxa"/>
                      </w:tcPr>
                      <w:p>
                        <w:pPr>
                          <w:pStyle w:val="TableParagraph"/>
                          <w:spacing w:before="123"/>
                          <w:ind w:left="35"/>
                          <w:rPr>
                            <w:b/>
                            <w:sz w:val="14"/>
                          </w:rPr>
                        </w:pPr>
                        <w:r>
                          <w:rPr>
                            <w:b/>
                            <w:sz w:val="14"/>
                          </w:rPr>
                          <w:t>Closing fair value of plans assets</w:t>
                        </w:r>
                      </w:p>
                    </w:tc>
                    <w:tc>
                      <w:tcPr>
                        <w:tcW w:w="1171" w:type="dxa"/>
                      </w:tcPr>
                      <w:p>
                        <w:pPr/>
                      </w:p>
                    </w:tc>
                    <w:tc>
                      <w:tcPr>
                        <w:tcW w:w="520" w:type="dxa"/>
                        <w:tcBorders>
                          <w:top w:val="single" w:sz="0" w:space="0" w:color="000000"/>
                          <w:bottom w:val="single" w:sz="0" w:space="0" w:color="000000"/>
                        </w:tcBorders>
                      </w:tcPr>
                      <w:p>
                        <w:pPr/>
                      </w:p>
                    </w:tc>
                    <w:tc>
                      <w:tcPr>
                        <w:tcW w:w="607" w:type="dxa"/>
                        <w:tcBorders>
                          <w:top w:val="single" w:sz="0" w:space="0" w:color="000000"/>
                          <w:bottom w:val="single" w:sz="0" w:space="0" w:color="000000"/>
                        </w:tcBorders>
                      </w:tcPr>
                      <w:p>
                        <w:pPr>
                          <w:pStyle w:val="TableParagraph"/>
                          <w:spacing w:before="123"/>
                          <w:ind w:right="70"/>
                          <w:jc w:val="right"/>
                          <w:rPr>
                            <w:sz w:val="14"/>
                          </w:rPr>
                        </w:pPr>
                        <w:r>
                          <w:rPr>
                            <w:sz w:val="14"/>
                          </w:rPr>
                          <w:t>30,161</w:t>
                        </w:r>
                      </w:p>
                    </w:tc>
                    <w:tc>
                      <w:tcPr>
                        <w:tcW w:w="547" w:type="dxa"/>
                        <w:tcBorders>
                          <w:top w:val="single" w:sz="0" w:space="0" w:color="000000"/>
                          <w:bottom w:val="single" w:sz="0" w:space="0" w:color="000000"/>
                        </w:tcBorders>
                      </w:tcPr>
                      <w:p>
                        <w:pPr/>
                      </w:p>
                    </w:tc>
                    <w:tc>
                      <w:tcPr>
                        <w:tcW w:w="501" w:type="dxa"/>
                        <w:tcBorders>
                          <w:top w:val="single" w:sz="0" w:space="0" w:color="000000"/>
                          <w:bottom w:val="single" w:sz="0" w:space="0" w:color="000000"/>
                        </w:tcBorders>
                      </w:tcPr>
                      <w:p>
                        <w:pPr>
                          <w:pStyle w:val="TableParagraph"/>
                          <w:spacing w:before="123"/>
                          <w:ind w:left="77"/>
                          <w:rPr>
                            <w:sz w:val="14"/>
                          </w:rPr>
                        </w:pPr>
                        <w:r>
                          <w:rPr>
                            <w:sz w:val="14"/>
                          </w:rPr>
                          <w:t>4,682</w:t>
                        </w:r>
                      </w:p>
                    </w:tc>
                    <w:tc>
                      <w:tcPr>
                        <w:tcW w:w="396" w:type="dxa"/>
                        <w:tcBorders>
                          <w:top w:val="single" w:sz="0" w:space="0" w:color="000000"/>
                          <w:bottom w:val="single" w:sz="0" w:space="0" w:color="000000"/>
                        </w:tcBorders>
                      </w:tcPr>
                      <w:p>
                        <w:pPr/>
                      </w:p>
                    </w:tc>
                    <w:tc>
                      <w:tcPr>
                        <w:tcW w:w="652" w:type="dxa"/>
                        <w:tcBorders>
                          <w:top w:val="single" w:sz="0" w:space="0" w:color="000000"/>
                          <w:bottom w:val="single" w:sz="0" w:space="0" w:color="000000"/>
                        </w:tcBorders>
                      </w:tcPr>
                      <w:p>
                        <w:pPr>
                          <w:pStyle w:val="TableParagraph"/>
                          <w:spacing w:before="123"/>
                          <w:ind w:right="70"/>
                          <w:jc w:val="right"/>
                          <w:rPr>
                            <w:sz w:val="14"/>
                          </w:rPr>
                        </w:pPr>
                        <w:r>
                          <w:rPr>
                            <w:sz w:val="14"/>
                          </w:rPr>
                          <w:t>110,922</w:t>
                        </w:r>
                      </w:p>
                    </w:tc>
                    <w:tc>
                      <w:tcPr>
                        <w:tcW w:w="396" w:type="dxa"/>
                        <w:tcBorders>
                          <w:top w:val="single" w:sz="0" w:space="0" w:color="000000"/>
                          <w:bottom w:val="single" w:sz="0" w:space="0" w:color="000000"/>
                        </w:tcBorders>
                      </w:tcPr>
                      <w:p>
                        <w:pPr/>
                      </w:p>
                    </w:tc>
                    <w:tc>
                      <w:tcPr>
                        <w:tcW w:w="653" w:type="dxa"/>
                        <w:tcBorders>
                          <w:top w:val="single" w:sz="0" w:space="0" w:color="000000"/>
                          <w:bottom w:val="single" w:sz="0" w:space="0" w:color="000000"/>
                        </w:tcBorders>
                      </w:tcPr>
                      <w:p>
                        <w:pPr>
                          <w:pStyle w:val="TableParagraph"/>
                          <w:spacing w:before="123"/>
                          <w:ind w:right="71"/>
                          <w:jc w:val="right"/>
                          <w:rPr>
                            <w:sz w:val="14"/>
                          </w:rPr>
                        </w:pPr>
                        <w:r>
                          <w:rPr>
                            <w:sz w:val="14"/>
                          </w:rPr>
                          <w:t>145,765</w:t>
                        </w:r>
                      </w:p>
                    </w:tc>
                  </w:tr>
                  <w:tr>
                    <w:trPr>
                      <w:trHeight w:val="511" w:hRule="exact"/>
                    </w:trPr>
                    <w:tc>
                      <w:tcPr>
                        <w:tcW w:w="3546" w:type="dxa"/>
                      </w:tcPr>
                      <w:p>
                        <w:pPr>
                          <w:pStyle w:val="TableParagraph"/>
                          <w:spacing w:before="123"/>
                          <w:ind w:left="35"/>
                          <w:rPr>
                            <w:b/>
                            <w:sz w:val="14"/>
                          </w:rPr>
                        </w:pPr>
                        <w:r>
                          <w:rPr>
                            <w:b/>
                            <w:sz w:val="14"/>
                          </w:rPr>
                          <w:t>Reimbursement rights - 2011</w:t>
                        </w:r>
                      </w:p>
                      <w:p>
                        <w:pPr>
                          <w:pStyle w:val="TableParagraph"/>
                          <w:spacing w:before="30"/>
                          <w:ind w:left="35"/>
                          <w:rPr>
                            <w:sz w:val="14"/>
                          </w:rPr>
                        </w:pPr>
                        <w:r>
                          <w:rPr>
                            <w:sz w:val="14"/>
                          </w:rPr>
                          <w:t>Opening value of reimbursement right</w:t>
                        </w:r>
                      </w:p>
                    </w:tc>
                    <w:tc>
                      <w:tcPr>
                        <w:tcW w:w="1171" w:type="dxa"/>
                      </w:tcPr>
                      <w:p>
                        <w:pPr/>
                      </w:p>
                    </w:tc>
                    <w:tc>
                      <w:tcPr>
                        <w:tcW w:w="520" w:type="dxa"/>
                        <w:tcBorders>
                          <w:top w:val="single" w:sz="0" w:space="0" w:color="000000"/>
                        </w:tcBorders>
                      </w:tcPr>
                      <w:p>
                        <w:pPr/>
                      </w:p>
                    </w:tc>
                    <w:tc>
                      <w:tcPr>
                        <w:tcW w:w="607" w:type="dxa"/>
                        <w:tcBorders>
                          <w:top w:val="single" w:sz="0" w:space="0" w:color="000000"/>
                        </w:tcBorders>
                      </w:tcPr>
                      <w:p>
                        <w:pPr>
                          <w:pStyle w:val="TableParagraph"/>
                          <w:rPr>
                            <w:sz w:val="14"/>
                          </w:rPr>
                        </w:pPr>
                      </w:p>
                      <w:p>
                        <w:pPr>
                          <w:pStyle w:val="TableParagraph"/>
                          <w:spacing w:before="2"/>
                          <w:rPr>
                            <w:sz w:val="13"/>
                          </w:rPr>
                        </w:pPr>
                      </w:p>
                      <w:p>
                        <w:pPr>
                          <w:pStyle w:val="TableParagraph"/>
                          <w:ind w:right="70"/>
                          <w:jc w:val="right"/>
                          <w:rPr>
                            <w:sz w:val="14"/>
                          </w:rPr>
                        </w:pPr>
                        <w:r>
                          <w:rPr>
                            <w:sz w:val="14"/>
                          </w:rPr>
                          <w:t>6,009</w:t>
                        </w:r>
                      </w:p>
                    </w:tc>
                    <w:tc>
                      <w:tcPr>
                        <w:tcW w:w="547" w:type="dxa"/>
                        <w:tcBorders>
                          <w:top w:val="single" w:sz="0" w:space="0" w:color="000000"/>
                        </w:tcBorders>
                      </w:tcPr>
                      <w:p>
                        <w:pPr/>
                      </w:p>
                    </w:tc>
                    <w:tc>
                      <w:tcPr>
                        <w:tcW w:w="501" w:type="dxa"/>
                        <w:tcBorders>
                          <w:top w:val="single" w:sz="0" w:space="0" w:color="000000"/>
                        </w:tcBorders>
                      </w:tcPr>
                      <w:p>
                        <w:pPr>
                          <w:pStyle w:val="TableParagraph"/>
                          <w:rPr>
                            <w:sz w:val="14"/>
                          </w:rPr>
                        </w:pPr>
                      </w:p>
                      <w:p>
                        <w:pPr>
                          <w:pStyle w:val="TableParagraph"/>
                          <w:spacing w:before="2"/>
                          <w:rPr>
                            <w:sz w:val="13"/>
                          </w:rPr>
                        </w:pPr>
                      </w:p>
                      <w:p>
                        <w:pPr>
                          <w:pStyle w:val="TableParagraph"/>
                          <w:ind w:right="70"/>
                          <w:jc w:val="right"/>
                          <w:rPr>
                            <w:sz w:val="14"/>
                          </w:rPr>
                        </w:pPr>
                        <w:r>
                          <w:rPr>
                            <w:w w:val="100"/>
                            <w:sz w:val="14"/>
                          </w:rPr>
                          <w:t>-</w:t>
                        </w:r>
                      </w:p>
                    </w:tc>
                    <w:tc>
                      <w:tcPr>
                        <w:tcW w:w="396" w:type="dxa"/>
                        <w:tcBorders>
                          <w:top w:val="single" w:sz="0" w:space="0" w:color="000000"/>
                        </w:tcBorders>
                      </w:tcPr>
                      <w:p>
                        <w:pPr/>
                      </w:p>
                    </w:tc>
                    <w:tc>
                      <w:tcPr>
                        <w:tcW w:w="652" w:type="dxa"/>
                        <w:tcBorders>
                          <w:top w:val="single" w:sz="0" w:space="0" w:color="000000"/>
                        </w:tcBorders>
                      </w:tcPr>
                      <w:p>
                        <w:pPr>
                          <w:pStyle w:val="TableParagraph"/>
                          <w:rPr>
                            <w:sz w:val="14"/>
                          </w:rPr>
                        </w:pPr>
                      </w:p>
                      <w:p>
                        <w:pPr>
                          <w:pStyle w:val="TableParagraph"/>
                          <w:spacing w:before="2"/>
                          <w:rPr>
                            <w:sz w:val="13"/>
                          </w:rPr>
                        </w:pPr>
                      </w:p>
                      <w:p>
                        <w:pPr>
                          <w:pStyle w:val="TableParagraph"/>
                          <w:ind w:right="70"/>
                          <w:jc w:val="right"/>
                          <w:rPr>
                            <w:sz w:val="14"/>
                          </w:rPr>
                        </w:pPr>
                        <w:r>
                          <w:rPr>
                            <w:sz w:val="14"/>
                          </w:rPr>
                          <w:t>137,470</w:t>
                        </w:r>
                      </w:p>
                    </w:tc>
                    <w:tc>
                      <w:tcPr>
                        <w:tcW w:w="396" w:type="dxa"/>
                        <w:tcBorders>
                          <w:top w:val="single" w:sz="0" w:space="0" w:color="000000"/>
                        </w:tcBorders>
                      </w:tcPr>
                      <w:p>
                        <w:pPr/>
                      </w:p>
                    </w:tc>
                    <w:tc>
                      <w:tcPr>
                        <w:tcW w:w="653" w:type="dxa"/>
                        <w:tcBorders>
                          <w:top w:val="single" w:sz="0" w:space="0" w:color="000000"/>
                        </w:tcBorders>
                      </w:tcPr>
                      <w:p>
                        <w:pPr>
                          <w:pStyle w:val="TableParagraph"/>
                          <w:rPr>
                            <w:sz w:val="14"/>
                          </w:rPr>
                        </w:pPr>
                      </w:p>
                      <w:p>
                        <w:pPr>
                          <w:pStyle w:val="TableParagraph"/>
                          <w:spacing w:before="2"/>
                          <w:rPr>
                            <w:sz w:val="13"/>
                          </w:rPr>
                        </w:pPr>
                      </w:p>
                      <w:p>
                        <w:pPr>
                          <w:pStyle w:val="TableParagraph"/>
                          <w:ind w:right="71"/>
                          <w:jc w:val="right"/>
                          <w:rPr>
                            <w:sz w:val="14"/>
                          </w:rPr>
                        </w:pPr>
                        <w:r>
                          <w:rPr>
                            <w:sz w:val="14"/>
                          </w:rPr>
                          <w:t>143,479</w:t>
                        </w:r>
                      </w:p>
                    </w:tc>
                  </w:tr>
                  <w:tr>
                    <w:trPr>
                      <w:trHeight w:val="218" w:hRule="exact"/>
                    </w:trPr>
                    <w:tc>
                      <w:tcPr>
                        <w:tcW w:w="3546" w:type="dxa"/>
                      </w:tcPr>
                      <w:p>
                        <w:pPr>
                          <w:pStyle w:val="TableParagraph"/>
                          <w:spacing w:before="22"/>
                          <w:ind w:left="35"/>
                          <w:rPr>
                            <w:sz w:val="14"/>
                          </w:rPr>
                        </w:pPr>
                        <w:r>
                          <w:rPr>
                            <w:sz w:val="14"/>
                          </w:rPr>
                          <w:t>Actuarial gains/(losses)</w:t>
                        </w:r>
                      </w:p>
                    </w:tc>
                    <w:tc>
                      <w:tcPr>
                        <w:tcW w:w="1171" w:type="dxa"/>
                      </w:tcPr>
                      <w:p>
                        <w:pPr/>
                      </w:p>
                    </w:tc>
                    <w:tc>
                      <w:tcPr>
                        <w:tcW w:w="520" w:type="dxa"/>
                      </w:tcPr>
                      <w:p>
                        <w:pPr/>
                      </w:p>
                    </w:tc>
                    <w:tc>
                      <w:tcPr>
                        <w:tcW w:w="607" w:type="dxa"/>
                      </w:tcPr>
                      <w:p>
                        <w:pPr>
                          <w:pStyle w:val="TableParagraph"/>
                          <w:spacing w:before="21"/>
                          <w:ind w:right="70"/>
                          <w:jc w:val="right"/>
                          <w:rPr>
                            <w:sz w:val="14"/>
                          </w:rPr>
                        </w:pPr>
                        <w:r>
                          <w:rPr>
                            <w:sz w:val="14"/>
                          </w:rPr>
                          <w:t>4,237</w:t>
                        </w:r>
                      </w:p>
                    </w:tc>
                    <w:tc>
                      <w:tcPr>
                        <w:tcW w:w="547" w:type="dxa"/>
                      </w:tcPr>
                      <w:p>
                        <w:pPr/>
                      </w:p>
                    </w:tc>
                    <w:tc>
                      <w:tcPr>
                        <w:tcW w:w="501" w:type="dxa"/>
                      </w:tcPr>
                      <w:p>
                        <w:pPr>
                          <w:pStyle w:val="TableParagraph"/>
                          <w:spacing w:before="21"/>
                          <w:ind w:right="70"/>
                          <w:jc w:val="right"/>
                          <w:rPr>
                            <w:sz w:val="14"/>
                          </w:rPr>
                        </w:pPr>
                        <w:r>
                          <w:rPr>
                            <w:w w:val="100"/>
                            <w:sz w:val="14"/>
                          </w:rPr>
                          <w:t>-</w:t>
                        </w:r>
                      </w:p>
                    </w:tc>
                    <w:tc>
                      <w:tcPr>
                        <w:tcW w:w="396" w:type="dxa"/>
                      </w:tcPr>
                      <w:p>
                        <w:pPr/>
                      </w:p>
                    </w:tc>
                    <w:tc>
                      <w:tcPr>
                        <w:tcW w:w="652" w:type="dxa"/>
                      </w:tcPr>
                      <w:p>
                        <w:pPr>
                          <w:pStyle w:val="TableParagraph"/>
                          <w:spacing w:before="21"/>
                          <w:ind w:right="70"/>
                          <w:jc w:val="right"/>
                          <w:rPr>
                            <w:sz w:val="14"/>
                          </w:rPr>
                        </w:pPr>
                        <w:r>
                          <w:rPr>
                            <w:sz w:val="14"/>
                          </w:rPr>
                          <w:t>80,372</w:t>
                        </w:r>
                      </w:p>
                    </w:tc>
                    <w:tc>
                      <w:tcPr>
                        <w:tcW w:w="396" w:type="dxa"/>
                      </w:tcPr>
                      <w:p>
                        <w:pPr/>
                      </w:p>
                    </w:tc>
                    <w:tc>
                      <w:tcPr>
                        <w:tcW w:w="653" w:type="dxa"/>
                      </w:tcPr>
                      <w:p>
                        <w:pPr>
                          <w:pStyle w:val="TableParagraph"/>
                          <w:spacing w:before="21"/>
                          <w:ind w:right="71"/>
                          <w:jc w:val="right"/>
                          <w:rPr>
                            <w:sz w:val="14"/>
                          </w:rPr>
                        </w:pPr>
                        <w:r>
                          <w:rPr>
                            <w:sz w:val="14"/>
                          </w:rPr>
                          <w:t>84,609</w:t>
                        </w:r>
                      </w:p>
                    </w:tc>
                  </w:tr>
                  <w:tr>
                    <w:trPr>
                      <w:trHeight w:val="218" w:hRule="exact"/>
                    </w:trPr>
                    <w:tc>
                      <w:tcPr>
                        <w:tcW w:w="3546" w:type="dxa"/>
                      </w:tcPr>
                      <w:p>
                        <w:pPr>
                          <w:pStyle w:val="TableParagraph"/>
                          <w:spacing w:before="22"/>
                          <w:ind w:left="35"/>
                          <w:rPr>
                            <w:sz w:val="14"/>
                          </w:rPr>
                        </w:pPr>
                        <w:r>
                          <w:rPr>
                            <w:sz w:val="14"/>
                          </w:rPr>
                          <w:t>Employer contributions</w:t>
                        </w:r>
                      </w:p>
                    </w:tc>
                    <w:tc>
                      <w:tcPr>
                        <w:tcW w:w="1171" w:type="dxa"/>
                      </w:tcPr>
                      <w:p>
                        <w:pPr/>
                      </w:p>
                    </w:tc>
                    <w:tc>
                      <w:tcPr>
                        <w:tcW w:w="520" w:type="dxa"/>
                      </w:tcPr>
                      <w:p>
                        <w:pPr/>
                      </w:p>
                    </w:tc>
                    <w:tc>
                      <w:tcPr>
                        <w:tcW w:w="607" w:type="dxa"/>
                      </w:tcPr>
                      <w:p>
                        <w:pPr>
                          <w:pStyle w:val="TableParagraph"/>
                          <w:spacing w:before="20"/>
                          <w:ind w:right="24"/>
                          <w:jc w:val="right"/>
                          <w:rPr>
                            <w:sz w:val="14"/>
                          </w:rPr>
                        </w:pPr>
                        <w:r>
                          <w:rPr>
                            <w:sz w:val="14"/>
                          </w:rPr>
                          <w:t>(1,407)</w:t>
                        </w:r>
                      </w:p>
                    </w:tc>
                    <w:tc>
                      <w:tcPr>
                        <w:tcW w:w="547" w:type="dxa"/>
                      </w:tcPr>
                      <w:p>
                        <w:pPr/>
                      </w:p>
                    </w:tc>
                    <w:tc>
                      <w:tcPr>
                        <w:tcW w:w="501" w:type="dxa"/>
                      </w:tcPr>
                      <w:p>
                        <w:pPr>
                          <w:pStyle w:val="TableParagraph"/>
                          <w:spacing w:before="20"/>
                          <w:ind w:right="70"/>
                          <w:jc w:val="right"/>
                          <w:rPr>
                            <w:sz w:val="14"/>
                          </w:rPr>
                        </w:pPr>
                        <w:r>
                          <w:rPr>
                            <w:w w:val="100"/>
                            <w:sz w:val="14"/>
                          </w:rPr>
                          <w:t>-</w:t>
                        </w:r>
                      </w:p>
                    </w:tc>
                    <w:tc>
                      <w:tcPr>
                        <w:tcW w:w="396" w:type="dxa"/>
                      </w:tcPr>
                      <w:p>
                        <w:pPr/>
                      </w:p>
                    </w:tc>
                    <w:tc>
                      <w:tcPr>
                        <w:tcW w:w="652" w:type="dxa"/>
                      </w:tcPr>
                      <w:p>
                        <w:pPr>
                          <w:pStyle w:val="TableParagraph"/>
                          <w:spacing w:before="20"/>
                          <w:ind w:right="23"/>
                          <w:jc w:val="right"/>
                          <w:rPr>
                            <w:sz w:val="14"/>
                          </w:rPr>
                        </w:pPr>
                        <w:r>
                          <w:rPr>
                            <w:sz w:val="14"/>
                          </w:rPr>
                          <w:t>(570)</w:t>
                        </w:r>
                      </w:p>
                    </w:tc>
                    <w:tc>
                      <w:tcPr>
                        <w:tcW w:w="396" w:type="dxa"/>
                      </w:tcPr>
                      <w:p>
                        <w:pPr/>
                      </w:p>
                    </w:tc>
                    <w:tc>
                      <w:tcPr>
                        <w:tcW w:w="653" w:type="dxa"/>
                      </w:tcPr>
                      <w:p>
                        <w:pPr>
                          <w:pStyle w:val="TableParagraph"/>
                          <w:spacing w:before="20"/>
                          <w:ind w:right="24"/>
                          <w:jc w:val="right"/>
                          <w:rPr>
                            <w:sz w:val="14"/>
                          </w:rPr>
                        </w:pPr>
                        <w:r>
                          <w:rPr>
                            <w:sz w:val="14"/>
                          </w:rPr>
                          <w:t>(1,977)</w:t>
                        </w:r>
                      </w:p>
                    </w:tc>
                  </w:tr>
                  <w:tr>
                    <w:trPr>
                      <w:trHeight w:val="219" w:hRule="exact"/>
                    </w:trPr>
                    <w:tc>
                      <w:tcPr>
                        <w:tcW w:w="3546" w:type="dxa"/>
                      </w:tcPr>
                      <w:p>
                        <w:pPr>
                          <w:pStyle w:val="TableParagraph"/>
                          <w:spacing w:before="22"/>
                          <w:ind w:left="35"/>
                          <w:rPr>
                            <w:sz w:val="14"/>
                          </w:rPr>
                        </w:pPr>
                        <w:r>
                          <w:rPr>
                            <w:sz w:val="14"/>
                          </w:rPr>
                          <w:t>Expected return on reimbursement rights</w:t>
                        </w:r>
                      </w:p>
                    </w:tc>
                    <w:tc>
                      <w:tcPr>
                        <w:tcW w:w="1171" w:type="dxa"/>
                      </w:tcPr>
                      <w:p>
                        <w:pPr/>
                      </w:p>
                    </w:tc>
                    <w:tc>
                      <w:tcPr>
                        <w:tcW w:w="520" w:type="dxa"/>
                        <w:tcBorders>
                          <w:bottom w:val="single" w:sz="0" w:space="0" w:color="000000"/>
                        </w:tcBorders>
                      </w:tcPr>
                      <w:p>
                        <w:pPr/>
                      </w:p>
                    </w:tc>
                    <w:tc>
                      <w:tcPr>
                        <w:tcW w:w="607" w:type="dxa"/>
                        <w:tcBorders>
                          <w:bottom w:val="single" w:sz="0" w:space="0" w:color="000000"/>
                        </w:tcBorders>
                      </w:tcPr>
                      <w:p>
                        <w:pPr>
                          <w:pStyle w:val="TableParagraph"/>
                          <w:spacing w:before="20"/>
                          <w:ind w:right="70"/>
                          <w:jc w:val="right"/>
                          <w:rPr>
                            <w:sz w:val="14"/>
                          </w:rPr>
                        </w:pPr>
                        <w:r>
                          <w:rPr>
                            <w:sz w:val="14"/>
                          </w:rPr>
                          <w:t>820</w:t>
                        </w:r>
                      </w:p>
                    </w:tc>
                    <w:tc>
                      <w:tcPr>
                        <w:tcW w:w="547" w:type="dxa"/>
                        <w:tcBorders>
                          <w:bottom w:val="single" w:sz="0" w:space="0" w:color="000000"/>
                        </w:tcBorders>
                      </w:tcPr>
                      <w:p>
                        <w:pPr/>
                      </w:p>
                    </w:tc>
                    <w:tc>
                      <w:tcPr>
                        <w:tcW w:w="501" w:type="dxa"/>
                        <w:tcBorders>
                          <w:bottom w:val="single" w:sz="0" w:space="0" w:color="000000"/>
                        </w:tcBorders>
                      </w:tcPr>
                      <w:p>
                        <w:pPr>
                          <w:pStyle w:val="TableParagraph"/>
                          <w:spacing w:before="20"/>
                          <w:ind w:right="70"/>
                          <w:jc w:val="right"/>
                          <w:rPr>
                            <w:sz w:val="14"/>
                          </w:rPr>
                        </w:pPr>
                        <w:r>
                          <w:rPr>
                            <w:w w:val="100"/>
                            <w:sz w:val="14"/>
                          </w:rPr>
                          <w:t>-</w:t>
                        </w:r>
                      </w:p>
                    </w:tc>
                    <w:tc>
                      <w:tcPr>
                        <w:tcW w:w="396" w:type="dxa"/>
                        <w:tcBorders>
                          <w:bottom w:val="single" w:sz="0" w:space="0" w:color="000000"/>
                        </w:tcBorders>
                      </w:tcPr>
                      <w:p>
                        <w:pPr/>
                      </w:p>
                    </w:tc>
                    <w:tc>
                      <w:tcPr>
                        <w:tcW w:w="652" w:type="dxa"/>
                        <w:tcBorders>
                          <w:bottom w:val="single" w:sz="0" w:space="0" w:color="000000"/>
                        </w:tcBorders>
                      </w:tcPr>
                      <w:p>
                        <w:pPr>
                          <w:pStyle w:val="TableParagraph"/>
                          <w:spacing w:before="20"/>
                          <w:ind w:right="70"/>
                          <w:jc w:val="right"/>
                          <w:rPr>
                            <w:sz w:val="14"/>
                          </w:rPr>
                        </w:pPr>
                        <w:r>
                          <w:rPr>
                            <w:sz w:val="14"/>
                          </w:rPr>
                          <w:t>4,589</w:t>
                        </w:r>
                      </w:p>
                    </w:tc>
                    <w:tc>
                      <w:tcPr>
                        <w:tcW w:w="396" w:type="dxa"/>
                        <w:tcBorders>
                          <w:bottom w:val="single" w:sz="0" w:space="0" w:color="000000"/>
                        </w:tcBorders>
                      </w:tcPr>
                      <w:p>
                        <w:pPr/>
                      </w:p>
                    </w:tc>
                    <w:tc>
                      <w:tcPr>
                        <w:tcW w:w="653" w:type="dxa"/>
                        <w:tcBorders>
                          <w:bottom w:val="single" w:sz="0" w:space="0" w:color="000000"/>
                        </w:tcBorders>
                      </w:tcPr>
                      <w:p>
                        <w:pPr>
                          <w:pStyle w:val="TableParagraph"/>
                          <w:spacing w:before="20"/>
                          <w:ind w:right="71"/>
                          <w:jc w:val="right"/>
                          <w:rPr>
                            <w:sz w:val="14"/>
                          </w:rPr>
                        </w:pPr>
                        <w:r>
                          <w:rPr>
                            <w:sz w:val="14"/>
                          </w:rPr>
                          <w:t>5,409</w:t>
                        </w:r>
                      </w:p>
                    </w:tc>
                  </w:tr>
                  <w:tr>
                    <w:trPr>
                      <w:trHeight w:val="238" w:hRule="exact"/>
                    </w:trPr>
                    <w:tc>
                      <w:tcPr>
                        <w:tcW w:w="3546" w:type="dxa"/>
                      </w:tcPr>
                      <w:p>
                        <w:pPr>
                          <w:pStyle w:val="TableParagraph"/>
                          <w:spacing w:before="41"/>
                          <w:ind w:left="35"/>
                          <w:rPr>
                            <w:sz w:val="14"/>
                          </w:rPr>
                        </w:pPr>
                        <w:r>
                          <w:rPr>
                            <w:sz w:val="14"/>
                          </w:rPr>
                          <w:t>Closing value of reimbursement right</w:t>
                        </w:r>
                      </w:p>
                    </w:tc>
                    <w:tc>
                      <w:tcPr>
                        <w:tcW w:w="1171" w:type="dxa"/>
                      </w:tcPr>
                      <w:p>
                        <w:pPr/>
                      </w:p>
                    </w:tc>
                    <w:tc>
                      <w:tcPr>
                        <w:tcW w:w="520" w:type="dxa"/>
                        <w:tcBorders>
                          <w:top w:val="single" w:sz="0" w:space="0" w:color="000000"/>
                          <w:bottom w:val="single" w:sz="0" w:space="0" w:color="000000"/>
                        </w:tcBorders>
                      </w:tcPr>
                      <w:p>
                        <w:pPr/>
                      </w:p>
                    </w:tc>
                    <w:tc>
                      <w:tcPr>
                        <w:tcW w:w="607" w:type="dxa"/>
                        <w:tcBorders>
                          <w:top w:val="single" w:sz="0" w:space="0" w:color="000000"/>
                          <w:bottom w:val="single" w:sz="0" w:space="0" w:color="000000"/>
                        </w:tcBorders>
                      </w:tcPr>
                      <w:p>
                        <w:pPr>
                          <w:pStyle w:val="TableParagraph"/>
                          <w:spacing w:before="39"/>
                          <w:ind w:right="70"/>
                          <w:jc w:val="right"/>
                          <w:rPr>
                            <w:sz w:val="14"/>
                          </w:rPr>
                        </w:pPr>
                        <w:r>
                          <w:rPr>
                            <w:sz w:val="14"/>
                          </w:rPr>
                          <w:t>9,658</w:t>
                        </w:r>
                      </w:p>
                    </w:tc>
                    <w:tc>
                      <w:tcPr>
                        <w:tcW w:w="547" w:type="dxa"/>
                        <w:tcBorders>
                          <w:top w:val="single" w:sz="0" w:space="0" w:color="000000"/>
                          <w:bottom w:val="single" w:sz="0" w:space="0" w:color="000000"/>
                        </w:tcBorders>
                      </w:tcPr>
                      <w:p>
                        <w:pPr/>
                      </w:p>
                    </w:tc>
                    <w:tc>
                      <w:tcPr>
                        <w:tcW w:w="501" w:type="dxa"/>
                        <w:tcBorders>
                          <w:top w:val="single" w:sz="0" w:space="0" w:color="000000"/>
                          <w:bottom w:val="single" w:sz="0" w:space="0" w:color="000000"/>
                        </w:tcBorders>
                      </w:tcPr>
                      <w:p>
                        <w:pPr>
                          <w:pStyle w:val="TableParagraph"/>
                          <w:spacing w:before="39"/>
                          <w:ind w:right="70"/>
                          <w:jc w:val="right"/>
                          <w:rPr>
                            <w:sz w:val="14"/>
                          </w:rPr>
                        </w:pPr>
                        <w:r>
                          <w:rPr>
                            <w:w w:val="100"/>
                            <w:sz w:val="14"/>
                          </w:rPr>
                          <w:t>-</w:t>
                        </w:r>
                      </w:p>
                    </w:tc>
                    <w:tc>
                      <w:tcPr>
                        <w:tcW w:w="396" w:type="dxa"/>
                        <w:tcBorders>
                          <w:top w:val="single" w:sz="0" w:space="0" w:color="000000"/>
                          <w:bottom w:val="single" w:sz="0" w:space="0" w:color="000000"/>
                        </w:tcBorders>
                      </w:tcPr>
                      <w:p>
                        <w:pPr/>
                      </w:p>
                    </w:tc>
                    <w:tc>
                      <w:tcPr>
                        <w:tcW w:w="652" w:type="dxa"/>
                        <w:tcBorders>
                          <w:top w:val="single" w:sz="0" w:space="0" w:color="000000"/>
                          <w:bottom w:val="single" w:sz="0" w:space="0" w:color="000000"/>
                        </w:tcBorders>
                      </w:tcPr>
                      <w:p>
                        <w:pPr>
                          <w:pStyle w:val="TableParagraph"/>
                          <w:spacing w:before="39"/>
                          <w:ind w:right="70"/>
                          <w:jc w:val="right"/>
                          <w:rPr>
                            <w:sz w:val="14"/>
                          </w:rPr>
                        </w:pPr>
                        <w:r>
                          <w:rPr>
                            <w:sz w:val="14"/>
                          </w:rPr>
                          <w:t>221,861</w:t>
                        </w:r>
                      </w:p>
                    </w:tc>
                    <w:tc>
                      <w:tcPr>
                        <w:tcW w:w="396" w:type="dxa"/>
                        <w:tcBorders>
                          <w:top w:val="single" w:sz="0" w:space="0" w:color="000000"/>
                          <w:bottom w:val="single" w:sz="0" w:space="0" w:color="000000"/>
                        </w:tcBorders>
                      </w:tcPr>
                      <w:p>
                        <w:pPr/>
                      </w:p>
                    </w:tc>
                    <w:tc>
                      <w:tcPr>
                        <w:tcW w:w="653" w:type="dxa"/>
                        <w:tcBorders>
                          <w:top w:val="single" w:sz="0" w:space="0" w:color="000000"/>
                          <w:bottom w:val="single" w:sz="0" w:space="0" w:color="000000"/>
                        </w:tcBorders>
                      </w:tcPr>
                      <w:p>
                        <w:pPr>
                          <w:pStyle w:val="TableParagraph"/>
                          <w:spacing w:before="39"/>
                          <w:ind w:right="71"/>
                          <w:jc w:val="right"/>
                          <w:rPr>
                            <w:sz w:val="14"/>
                          </w:rPr>
                        </w:pPr>
                        <w:r>
                          <w:rPr>
                            <w:sz w:val="14"/>
                          </w:rPr>
                          <w:t>231,519</w:t>
                        </w:r>
                      </w:p>
                    </w:tc>
                  </w:tr>
                  <w:tr>
                    <w:trPr>
                      <w:trHeight w:val="511" w:hRule="exact"/>
                    </w:trPr>
                    <w:tc>
                      <w:tcPr>
                        <w:tcW w:w="3546" w:type="dxa"/>
                      </w:tcPr>
                      <w:p>
                        <w:pPr>
                          <w:pStyle w:val="TableParagraph"/>
                          <w:spacing w:before="123"/>
                          <w:ind w:left="35"/>
                          <w:rPr>
                            <w:b/>
                            <w:sz w:val="14"/>
                          </w:rPr>
                        </w:pPr>
                        <w:r>
                          <w:rPr>
                            <w:b/>
                            <w:sz w:val="14"/>
                          </w:rPr>
                          <w:t>Net liability - 2011</w:t>
                        </w:r>
                      </w:p>
                      <w:p>
                        <w:pPr>
                          <w:pStyle w:val="TableParagraph"/>
                          <w:spacing w:before="30"/>
                          <w:ind w:left="35"/>
                          <w:rPr>
                            <w:sz w:val="14"/>
                          </w:rPr>
                        </w:pPr>
                        <w:r>
                          <w:rPr>
                            <w:sz w:val="14"/>
                          </w:rPr>
                          <w:t>Defined benefit obligation</w:t>
                        </w:r>
                      </w:p>
                    </w:tc>
                    <w:tc>
                      <w:tcPr>
                        <w:tcW w:w="1171" w:type="dxa"/>
                      </w:tcPr>
                      <w:p>
                        <w:pPr/>
                      </w:p>
                    </w:tc>
                    <w:tc>
                      <w:tcPr>
                        <w:tcW w:w="520" w:type="dxa"/>
                        <w:tcBorders>
                          <w:top w:val="single" w:sz="0" w:space="0" w:color="000000"/>
                        </w:tcBorders>
                      </w:tcPr>
                      <w:p>
                        <w:pPr/>
                      </w:p>
                    </w:tc>
                    <w:tc>
                      <w:tcPr>
                        <w:tcW w:w="607" w:type="dxa"/>
                        <w:tcBorders>
                          <w:top w:val="single" w:sz="0" w:space="0" w:color="000000"/>
                        </w:tcBorders>
                      </w:tcPr>
                      <w:p>
                        <w:pPr>
                          <w:pStyle w:val="TableParagraph"/>
                          <w:rPr>
                            <w:sz w:val="14"/>
                          </w:rPr>
                        </w:pPr>
                      </w:p>
                      <w:p>
                        <w:pPr>
                          <w:pStyle w:val="TableParagraph"/>
                          <w:spacing w:before="2"/>
                          <w:rPr>
                            <w:sz w:val="13"/>
                          </w:rPr>
                        </w:pPr>
                      </w:p>
                      <w:p>
                        <w:pPr>
                          <w:pStyle w:val="TableParagraph"/>
                          <w:ind w:right="70"/>
                          <w:jc w:val="right"/>
                          <w:rPr>
                            <w:sz w:val="14"/>
                          </w:rPr>
                        </w:pPr>
                        <w:r>
                          <w:rPr>
                            <w:sz w:val="14"/>
                          </w:rPr>
                          <w:t>39,819</w:t>
                        </w:r>
                      </w:p>
                    </w:tc>
                    <w:tc>
                      <w:tcPr>
                        <w:tcW w:w="547" w:type="dxa"/>
                        <w:tcBorders>
                          <w:top w:val="single" w:sz="0" w:space="0" w:color="000000"/>
                        </w:tcBorders>
                      </w:tcPr>
                      <w:p>
                        <w:pPr/>
                      </w:p>
                    </w:tc>
                    <w:tc>
                      <w:tcPr>
                        <w:tcW w:w="501" w:type="dxa"/>
                        <w:tcBorders>
                          <w:top w:val="single" w:sz="0" w:space="0" w:color="000000"/>
                        </w:tcBorders>
                      </w:tcPr>
                      <w:p>
                        <w:pPr>
                          <w:pStyle w:val="TableParagraph"/>
                          <w:rPr>
                            <w:sz w:val="14"/>
                          </w:rPr>
                        </w:pPr>
                      </w:p>
                      <w:p>
                        <w:pPr>
                          <w:pStyle w:val="TableParagraph"/>
                          <w:spacing w:before="2"/>
                          <w:rPr>
                            <w:sz w:val="13"/>
                          </w:rPr>
                        </w:pPr>
                      </w:p>
                      <w:p>
                        <w:pPr>
                          <w:pStyle w:val="TableParagraph"/>
                          <w:ind w:left="77"/>
                          <w:rPr>
                            <w:sz w:val="14"/>
                          </w:rPr>
                        </w:pPr>
                        <w:r>
                          <w:rPr>
                            <w:sz w:val="14"/>
                          </w:rPr>
                          <w:t>7,922</w:t>
                        </w:r>
                      </w:p>
                    </w:tc>
                    <w:tc>
                      <w:tcPr>
                        <w:tcW w:w="396" w:type="dxa"/>
                        <w:tcBorders>
                          <w:top w:val="single" w:sz="0" w:space="0" w:color="000000"/>
                        </w:tcBorders>
                      </w:tcPr>
                      <w:p>
                        <w:pPr/>
                      </w:p>
                    </w:tc>
                    <w:tc>
                      <w:tcPr>
                        <w:tcW w:w="652" w:type="dxa"/>
                        <w:tcBorders>
                          <w:top w:val="single" w:sz="0" w:space="0" w:color="000000"/>
                        </w:tcBorders>
                      </w:tcPr>
                      <w:p>
                        <w:pPr>
                          <w:pStyle w:val="TableParagraph"/>
                          <w:rPr>
                            <w:sz w:val="14"/>
                          </w:rPr>
                        </w:pPr>
                      </w:p>
                      <w:p>
                        <w:pPr>
                          <w:pStyle w:val="TableParagraph"/>
                          <w:spacing w:before="2"/>
                          <w:rPr>
                            <w:sz w:val="13"/>
                          </w:rPr>
                        </w:pPr>
                      </w:p>
                      <w:p>
                        <w:pPr>
                          <w:pStyle w:val="TableParagraph"/>
                          <w:ind w:right="71"/>
                          <w:jc w:val="right"/>
                          <w:rPr>
                            <w:sz w:val="14"/>
                          </w:rPr>
                        </w:pPr>
                        <w:r>
                          <w:rPr>
                            <w:sz w:val="14"/>
                          </w:rPr>
                          <w:t>332,783</w:t>
                        </w:r>
                      </w:p>
                    </w:tc>
                    <w:tc>
                      <w:tcPr>
                        <w:tcW w:w="396" w:type="dxa"/>
                        <w:tcBorders>
                          <w:top w:val="single" w:sz="0" w:space="0" w:color="000000"/>
                        </w:tcBorders>
                      </w:tcPr>
                      <w:p>
                        <w:pPr/>
                      </w:p>
                    </w:tc>
                    <w:tc>
                      <w:tcPr>
                        <w:tcW w:w="653" w:type="dxa"/>
                        <w:tcBorders>
                          <w:top w:val="single" w:sz="0" w:space="0" w:color="000000"/>
                        </w:tcBorders>
                      </w:tcPr>
                      <w:p>
                        <w:pPr>
                          <w:pStyle w:val="TableParagraph"/>
                          <w:rPr>
                            <w:sz w:val="14"/>
                          </w:rPr>
                        </w:pPr>
                      </w:p>
                      <w:p>
                        <w:pPr>
                          <w:pStyle w:val="TableParagraph"/>
                          <w:spacing w:before="2"/>
                          <w:rPr>
                            <w:sz w:val="13"/>
                          </w:rPr>
                        </w:pPr>
                      </w:p>
                      <w:p>
                        <w:pPr>
                          <w:pStyle w:val="TableParagraph"/>
                          <w:ind w:right="71"/>
                          <w:jc w:val="right"/>
                          <w:rPr>
                            <w:sz w:val="14"/>
                          </w:rPr>
                        </w:pPr>
                        <w:r>
                          <w:rPr>
                            <w:sz w:val="14"/>
                          </w:rPr>
                          <w:t>380,524</w:t>
                        </w:r>
                      </w:p>
                    </w:tc>
                  </w:tr>
                  <w:tr>
                    <w:trPr>
                      <w:trHeight w:val="218" w:hRule="exact"/>
                    </w:trPr>
                    <w:tc>
                      <w:tcPr>
                        <w:tcW w:w="3546" w:type="dxa"/>
                      </w:tcPr>
                      <w:p>
                        <w:pPr>
                          <w:pStyle w:val="TableParagraph"/>
                          <w:spacing w:before="22"/>
                          <w:ind w:left="35"/>
                          <w:rPr>
                            <w:sz w:val="14"/>
                          </w:rPr>
                        </w:pPr>
                        <w:r>
                          <w:rPr>
                            <w:sz w:val="14"/>
                          </w:rPr>
                          <w:t>Fair value of plan assets</w:t>
                        </w:r>
                      </w:p>
                    </w:tc>
                    <w:tc>
                      <w:tcPr>
                        <w:tcW w:w="1171" w:type="dxa"/>
                      </w:tcPr>
                      <w:p>
                        <w:pPr/>
                      </w:p>
                    </w:tc>
                    <w:tc>
                      <w:tcPr>
                        <w:tcW w:w="520" w:type="dxa"/>
                      </w:tcPr>
                      <w:p>
                        <w:pPr/>
                      </w:p>
                    </w:tc>
                    <w:tc>
                      <w:tcPr>
                        <w:tcW w:w="607" w:type="dxa"/>
                      </w:tcPr>
                      <w:p>
                        <w:pPr>
                          <w:pStyle w:val="TableParagraph"/>
                          <w:spacing w:before="20"/>
                          <w:ind w:right="24"/>
                          <w:jc w:val="right"/>
                          <w:rPr>
                            <w:sz w:val="14"/>
                          </w:rPr>
                        </w:pPr>
                        <w:r>
                          <w:rPr>
                            <w:sz w:val="14"/>
                          </w:rPr>
                          <w:t>(30,161)</w:t>
                        </w:r>
                      </w:p>
                    </w:tc>
                    <w:tc>
                      <w:tcPr>
                        <w:tcW w:w="547" w:type="dxa"/>
                      </w:tcPr>
                      <w:p>
                        <w:pPr/>
                      </w:p>
                    </w:tc>
                    <w:tc>
                      <w:tcPr>
                        <w:tcW w:w="501" w:type="dxa"/>
                      </w:tcPr>
                      <w:p>
                        <w:pPr>
                          <w:pStyle w:val="TableParagraph"/>
                          <w:spacing w:before="20"/>
                          <w:ind w:right="24"/>
                          <w:jc w:val="right"/>
                          <w:rPr>
                            <w:sz w:val="14"/>
                          </w:rPr>
                        </w:pPr>
                        <w:r>
                          <w:rPr>
                            <w:sz w:val="14"/>
                          </w:rPr>
                          <w:t>(4,682)</w:t>
                        </w:r>
                      </w:p>
                    </w:tc>
                    <w:tc>
                      <w:tcPr>
                        <w:tcW w:w="396" w:type="dxa"/>
                      </w:tcPr>
                      <w:p>
                        <w:pPr/>
                      </w:p>
                    </w:tc>
                    <w:tc>
                      <w:tcPr>
                        <w:tcW w:w="652" w:type="dxa"/>
                      </w:tcPr>
                      <w:p>
                        <w:pPr>
                          <w:pStyle w:val="TableParagraph"/>
                          <w:spacing w:before="20"/>
                          <w:ind w:right="24"/>
                          <w:jc w:val="right"/>
                          <w:rPr>
                            <w:sz w:val="14"/>
                          </w:rPr>
                        </w:pPr>
                        <w:r>
                          <w:rPr>
                            <w:sz w:val="14"/>
                          </w:rPr>
                          <w:t>(110,922)</w:t>
                        </w:r>
                      </w:p>
                    </w:tc>
                    <w:tc>
                      <w:tcPr>
                        <w:tcW w:w="396" w:type="dxa"/>
                      </w:tcPr>
                      <w:p>
                        <w:pPr/>
                      </w:p>
                    </w:tc>
                    <w:tc>
                      <w:tcPr>
                        <w:tcW w:w="653" w:type="dxa"/>
                      </w:tcPr>
                      <w:p>
                        <w:pPr>
                          <w:pStyle w:val="TableParagraph"/>
                          <w:spacing w:before="20"/>
                          <w:ind w:right="25"/>
                          <w:jc w:val="right"/>
                          <w:rPr>
                            <w:sz w:val="14"/>
                          </w:rPr>
                        </w:pPr>
                        <w:r>
                          <w:rPr>
                            <w:sz w:val="14"/>
                          </w:rPr>
                          <w:t>(145,765)</w:t>
                        </w:r>
                      </w:p>
                    </w:tc>
                  </w:tr>
                  <w:tr>
                    <w:trPr>
                      <w:trHeight w:val="219" w:hRule="exact"/>
                    </w:trPr>
                    <w:tc>
                      <w:tcPr>
                        <w:tcW w:w="3546" w:type="dxa"/>
                      </w:tcPr>
                      <w:p>
                        <w:pPr>
                          <w:pStyle w:val="TableParagraph"/>
                          <w:spacing w:before="22"/>
                          <w:ind w:left="35"/>
                          <w:rPr>
                            <w:sz w:val="14"/>
                          </w:rPr>
                        </w:pPr>
                        <w:r>
                          <w:rPr>
                            <w:sz w:val="14"/>
                          </w:rPr>
                          <w:t>Reimbursement right</w:t>
                        </w:r>
                      </w:p>
                    </w:tc>
                    <w:tc>
                      <w:tcPr>
                        <w:tcW w:w="1171" w:type="dxa"/>
                      </w:tcPr>
                      <w:p>
                        <w:pPr>
                          <w:pStyle w:val="TableParagraph"/>
                          <w:spacing w:before="20"/>
                          <w:ind w:left="780"/>
                          <w:rPr>
                            <w:sz w:val="14"/>
                          </w:rPr>
                        </w:pPr>
                        <w:r>
                          <w:rPr>
                            <w:sz w:val="14"/>
                          </w:rPr>
                          <w:t>16</w:t>
                        </w:r>
                      </w:p>
                    </w:tc>
                    <w:tc>
                      <w:tcPr>
                        <w:tcW w:w="520" w:type="dxa"/>
                        <w:tcBorders>
                          <w:bottom w:val="single" w:sz="0" w:space="0" w:color="000000"/>
                        </w:tcBorders>
                      </w:tcPr>
                      <w:p>
                        <w:pPr/>
                      </w:p>
                    </w:tc>
                    <w:tc>
                      <w:tcPr>
                        <w:tcW w:w="607" w:type="dxa"/>
                        <w:tcBorders>
                          <w:bottom w:val="single" w:sz="0" w:space="0" w:color="000000"/>
                        </w:tcBorders>
                      </w:tcPr>
                      <w:p>
                        <w:pPr>
                          <w:pStyle w:val="TableParagraph"/>
                          <w:spacing w:before="21"/>
                          <w:ind w:right="24"/>
                          <w:jc w:val="right"/>
                          <w:rPr>
                            <w:sz w:val="14"/>
                          </w:rPr>
                        </w:pPr>
                        <w:r>
                          <w:rPr>
                            <w:sz w:val="14"/>
                          </w:rPr>
                          <w:t>(9,658)</w:t>
                        </w:r>
                      </w:p>
                    </w:tc>
                    <w:tc>
                      <w:tcPr>
                        <w:tcW w:w="547" w:type="dxa"/>
                        <w:tcBorders>
                          <w:bottom w:val="single" w:sz="0" w:space="0" w:color="000000"/>
                        </w:tcBorders>
                      </w:tcPr>
                      <w:p>
                        <w:pPr/>
                      </w:p>
                    </w:tc>
                    <w:tc>
                      <w:tcPr>
                        <w:tcW w:w="501" w:type="dxa"/>
                        <w:tcBorders>
                          <w:bottom w:val="single" w:sz="0" w:space="0" w:color="000000"/>
                        </w:tcBorders>
                      </w:tcPr>
                      <w:p>
                        <w:pPr>
                          <w:pStyle w:val="TableParagraph"/>
                          <w:spacing w:before="21"/>
                          <w:ind w:right="70"/>
                          <w:jc w:val="right"/>
                          <w:rPr>
                            <w:sz w:val="14"/>
                          </w:rPr>
                        </w:pPr>
                        <w:r>
                          <w:rPr>
                            <w:w w:val="100"/>
                            <w:sz w:val="14"/>
                          </w:rPr>
                          <w:t>-</w:t>
                        </w:r>
                      </w:p>
                    </w:tc>
                    <w:tc>
                      <w:tcPr>
                        <w:tcW w:w="396" w:type="dxa"/>
                        <w:tcBorders>
                          <w:bottom w:val="single" w:sz="0" w:space="0" w:color="000000"/>
                        </w:tcBorders>
                      </w:tcPr>
                      <w:p>
                        <w:pPr/>
                      </w:p>
                    </w:tc>
                    <w:tc>
                      <w:tcPr>
                        <w:tcW w:w="652" w:type="dxa"/>
                        <w:tcBorders>
                          <w:bottom w:val="single" w:sz="0" w:space="0" w:color="000000"/>
                        </w:tcBorders>
                      </w:tcPr>
                      <w:p>
                        <w:pPr>
                          <w:pStyle w:val="TableParagraph"/>
                          <w:spacing w:before="21"/>
                          <w:ind w:right="24"/>
                          <w:jc w:val="right"/>
                          <w:rPr>
                            <w:sz w:val="14"/>
                          </w:rPr>
                        </w:pPr>
                        <w:r>
                          <w:rPr>
                            <w:sz w:val="14"/>
                          </w:rPr>
                          <w:t>(221,861)</w:t>
                        </w:r>
                      </w:p>
                    </w:tc>
                    <w:tc>
                      <w:tcPr>
                        <w:tcW w:w="396" w:type="dxa"/>
                        <w:tcBorders>
                          <w:bottom w:val="single" w:sz="0" w:space="0" w:color="000000"/>
                        </w:tcBorders>
                      </w:tcPr>
                      <w:p>
                        <w:pPr/>
                      </w:p>
                    </w:tc>
                    <w:tc>
                      <w:tcPr>
                        <w:tcW w:w="653" w:type="dxa"/>
                        <w:tcBorders>
                          <w:bottom w:val="single" w:sz="0" w:space="0" w:color="000000"/>
                        </w:tcBorders>
                      </w:tcPr>
                      <w:p>
                        <w:pPr>
                          <w:pStyle w:val="TableParagraph"/>
                          <w:spacing w:before="21"/>
                          <w:ind w:right="24"/>
                          <w:jc w:val="right"/>
                          <w:rPr>
                            <w:sz w:val="14"/>
                          </w:rPr>
                        </w:pPr>
                        <w:r>
                          <w:rPr>
                            <w:sz w:val="14"/>
                          </w:rPr>
                          <w:t>(231,519)</w:t>
                        </w:r>
                      </w:p>
                    </w:tc>
                  </w:tr>
                  <w:tr>
                    <w:trPr>
                      <w:trHeight w:val="293" w:hRule="exact"/>
                    </w:trPr>
                    <w:tc>
                      <w:tcPr>
                        <w:tcW w:w="3546" w:type="dxa"/>
                      </w:tcPr>
                      <w:p>
                        <w:pPr>
                          <w:pStyle w:val="TableParagraph"/>
                          <w:spacing w:before="123"/>
                          <w:ind w:left="35"/>
                          <w:rPr>
                            <w:b/>
                            <w:sz w:val="14"/>
                          </w:rPr>
                        </w:pPr>
                        <w:r>
                          <w:rPr>
                            <w:b/>
                            <w:sz w:val="14"/>
                          </w:rPr>
                          <w:t>Total net liability/(asset) in balance sheet</w:t>
                        </w:r>
                      </w:p>
                    </w:tc>
                    <w:tc>
                      <w:tcPr>
                        <w:tcW w:w="1171" w:type="dxa"/>
                      </w:tcPr>
                      <w:p>
                        <w:pPr/>
                      </w:p>
                    </w:tc>
                    <w:tc>
                      <w:tcPr>
                        <w:tcW w:w="520" w:type="dxa"/>
                        <w:tcBorders>
                          <w:top w:val="single" w:sz="0" w:space="0" w:color="000000"/>
                          <w:bottom w:val="single" w:sz="0" w:space="0" w:color="000000"/>
                        </w:tcBorders>
                      </w:tcPr>
                      <w:p>
                        <w:pPr/>
                      </w:p>
                    </w:tc>
                    <w:tc>
                      <w:tcPr>
                        <w:tcW w:w="607" w:type="dxa"/>
                        <w:tcBorders>
                          <w:top w:val="single" w:sz="0" w:space="0" w:color="000000"/>
                          <w:bottom w:val="single" w:sz="0" w:space="0" w:color="000000"/>
                        </w:tcBorders>
                      </w:tcPr>
                      <w:p>
                        <w:pPr>
                          <w:pStyle w:val="TableParagraph"/>
                          <w:spacing w:before="123"/>
                          <w:ind w:right="70"/>
                          <w:jc w:val="right"/>
                          <w:rPr>
                            <w:sz w:val="14"/>
                          </w:rPr>
                        </w:pPr>
                        <w:r>
                          <w:rPr>
                            <w:w w:val="100"/>
                            <w:sz w:val="14"/>
                          </w:rPr>
                          <w:t>-</w:t>
                        </w:r>
                      </w:p>
                    </w:tc>
                    <w:tc>
                      <w:tcPr>
                        <w:tcW w:w="547" w:type="dxa"/>
                        <w:tcBorders>
                          <w:top w:val="single" w:sz="0" w:space="0" w:color="000000"/>
                          <w:bottom w:val="single" w:sz="0" w:space="0" w:color="000000"/>
                        </w:tcBorders>
                      </w:tcPr>
                      <w:p>
                        <w:pPr/>
                      </w:p>
                    </w:tc>
                    <w:tc>
                      <w:tcPr>
                        <w:tcW w:w="501" w:type="dxa"/>
                        <w:tcBorders>
                          <w:top w:val="single" w:sz="0" w:space="0" w:color="000000"/>
                          <w:bottom w:val="single" w:sz="0" w:space="0" w:color="000000"/>
                        </w:tcBorders>
                      </w:tcPr>
                      <w:p>
                        <w:pPr>
                          <w:pStyle w:val="TableParagraph"/>
                          <w:spacing w:before="123"/>
                          <w:ind w:left="77"/>
                          <w:rPr>
                            <w:sz w:val="14"/>
                          </w:rPr>
                        </w:pPr>
                        <w:r>
                          <w:rPr>
                            <w:sz w:val="14"/>
                          </w:rPr>
                          <w:t>3,240</w:t>
                        </w:r>
                      </w:p>
                    </w:tc>
                    <w:tc>
                      <w:tcPr>
                        <w:tcW w:w="396" w:type="dxa"/>
                        <w:tcBorders>
                          <w:top w:val="single" w:sz="0" w:space="0" w:color="000000"/>
                          <w:bottom w:val="single" w:sz="0" w:space="0" w:color="000000"/>
                        </w:tcBorders>
                      </w:tcPr>
                      <w:p>
                        <w:pPr/>
                      </w:p>
                    </w:tc>
                    <w:tc>
                      <w:tcPr>
                        <w:tcW w:w="652" w:type="dxa"/>
                        <w:tcBorders>
                          <w:top w:val="single" w:sz="0" w:space="0" w:color="000000"/>
                          <w:bottom w:val="single" w:sz="0" w:space="0" w:color="000000"/>
                        </w:tcBorders>
                      </w:tcPr>
                      <w:p>
                        <w:pPr>
                          <w:pStyle w:val="TableParagraph"/>
                          <w:spacing w:before="123"/>
                          <w:ind w:right="70"/>
                          <w:jc w:val="right"/>
                          <w:rPr>
                            <w:sz w:val="14"/>
                          </w:rPr>
                        </w:pPr>
                        <w:r>
                          <w:rPr>
                            <w:w w:val="100"/>
                            <w:sz w:val="14"/>
                          </w:rPr>
                          <w:t>-</w:t>
                        </w:r>
                      </w:p>
                    </w:tc>
                    <w:tc>
                      <w:tcPr>
                        <w:tcW w:w="396" w:type="dxa"/>
                        <w:tcBorders>
                          <w:top w:val="single" w:sz="0" w:space="0" w:color="000000"/>
                          <w:bottom w:val="single" w:sz="0" w:space="0" w:color="000000"/>
                        </w:tcBorders>
                      </w:tcPr>
                      <w:p>
                        <w:pPr/>
                      </w:p>
                    </w:tc>
                    <w:tc>
                      <w:tcPr>
                        <w:tcW w:w="653" w:type="dxa"/>
                        <w:tcBorders>
                          <w:top w:val="single" w:sz="0" w:space="0" w:color="000000"/>
                          <w:bottom w:val="single" w:sz="0" w:space="0" w:color="000000"/>
                        </w:tcBorders>
                      </w:tcPr>
                      <w:p>
                        <w:pPr>
                          <w:pStyle w:val="TableParagraph"/>
                          <w:spacing w:before="123"/>
                          <w:ind w:right="71"/>
                          <w:jc w:val="right"/>
                          <w:rPr>
                            <w:sz w:val="14"/>
                          </w:rPr>
                        </w:pPr>
                        <w:r>
                          <w:rPr>
                            <w:sz w:val="14"/>
                          </w:rPr>
                          <w:t>3,240</w:t>
                        </w:r>
                      </w:p>
                    </w:tc>
                  </w:tr>
                  <w:tr>
                    <w:trPr>
                      <w:trHeight w:val="511" w:hRule="exact"/>
                    </w:trPr>
                    <w:tc>
                      <w:tcPr>
                        <w:tcW w:w="3546" w:type="dxa"/>
                      </w:tcPr>
                      <w:p>
                        <w:pPr>
                          <w:pStyle w:val="TableParagraph"/>
                          <w:spacing w:before="123"/>
                          <w:ind w:left="35"/>
                          <w:rPr>
                            <w:b/>
                            <w:sz w:val="14"/>
                          </w:rPr>
                        </w:pPr>
                        <w:r>
                          <w:rPr>
                            <w:b/>
                            <w:sz w:val="14"/>
                          </w:rPr>
                          <w:t>Expense recognised - 2011</w:t>
                        </w:r>
                      </w:p>
                      <w:p>
                        <w:pPr>
                          <w:pStyle w:val="TableParagraph"/>
                          <w:spacing w:before="30"/>
                          <w:ind w:left="35"/>
                          <w:rPr>
                            <w:sz w:val="14"/>
                          </w:rPr>
                        </w:pPr>
                        <w:r>
                          <w:rPr>
                            <w:sz w:val="14"/>
                          </w:rPr>
                          <w:t>Current service cost</w:t>
                        </w:r>
                      </w:p>
                    </w:tc>
                    <w:tc>
                      <w:tcPr>
                        <w:tcW w:w="1171" w:type="dxa"/>
                      </w:tcPr>
                      <w:p>
                        <w:pPr/>
                      </w:p>
                    </w:tc>
                    <w:tc>
                      <w:tcPr>
                        <w:tcW w:w="520" w:type="dxa"/>
                        <w:tcBorders>
                          <w:top w:val="single" w:sz="0" w:space="0" w:color="000000"/>
                        </w:tcBorders>
                      </w:tcPr>
                      <w:p>
                        <w:pPr/>
                      </w:p>
                    </w:tc>
                    <w:tc>
                      <w:tcPr>
                        <w:tcW w:w="607" w:type="dxa"/>
                        <w:tcBorders>
                          <w:top w:val="single" w:sz="0" w:space="0" w:color="000000"/>
                        </w:tcBorders>
                      </w:tcPr>
                      <w:p>
                        <w:pPr>
                          <w:pStyle w:val="TableParagraph"/>
                          <w:rPr>
                            <w:sz w:val="14"/>
                          </w:rPr>
                        </w:pPr>
                      </w:p>
                      <w:p>
                        <w:pPr>
                          <w:pStyle w:val="TableParagraph"/>
                          <w:spacing w:before="2"/>
                          <w:rPr>
                            <w:sz w:val="13"/>
                          </w:rPr>
                        </w:pPr>
                      </w:p>
                      <w:p>
                        <w:pPr>
                          <w:pStyle w:val="TableParagraph"/>
                          <w:ind w:right="70"/>
                          <w:jc w:val="right"/>
                          <w:rPr>
                            <w:sz w:val="14"/>
                          </w:rPr>
                        </w:pPr>
                        <w:r>
                          <w:rPr>
                            <w:sz w:val="14"/>
                          </w:rPr>
                          <w:t>1,400</w:t>
                        </w:r>
                      </w:p>
                    </w:tc>
                    <w:tc>
                      <w:tcPr>
                        <w:tcW w:w="547" w:type="dxa"/>
                        <w:tcBorders>
                          <w:top w:val="single" w:sz="0" w:space="0" w:color="000000"/>
                        </w:tcBorders>
                      </w:tcPr>
                      <w:p>
                        <w:pPr/>
                      </w:p>
                    </w:tc>
                    <w:tc>
                      <w:tcPr>
                        <w:tcW w:w="501" w:type="dxa"/>
                        <w:tcBorders>
                          <w:top w:val="single" w:sz="0" w:space="0" w:color="000000"/>
                        </w:tcBorders>
                      </w:tcPr>
                      <w:p>
                        <w:pPr>
                          <w:pStyle w:val="TableParagraph"/>
                          <w:rPr>
                            <w:sz w:val="14"/>
                          </w:rPr>
                        </w:pPr>
                      </w:p>
                      <w:p>
                        <w:pPr>
                          <w:pStyle w:val="TableParagraph"/>
                          <w:spacing w:before="2"/>
                          <w:rPr>
                            <w:sz w:val="13"/>
                          </w:rPr>
                        </w:pPr>
                      </w:p>
                      <w:p>
                        <w:pPr>
                          <w:pStyle w:val="TableParagraph"/>
                          <w:ind w:left="194"/>
                          <w:rPr>
                            <w:sz w:val="14"/>
                          </w:rPr>
                        </w:pPr>
                        <w:r>
                          <w:rPr>
                            <w:sz w:val="14"/>
                          </w:rPr>
                          <w:t>347</w:t>
                        </w:r>
                      </w:p>
                    </w:tc>
                    <w:tc>
                      <w:tcPr>
                        <w:tcW w:w="396" w:type="dxa"/>
                        <w:tcBorders>
                          <w:top w:val="single" w:sz="0" w:space="0" w:color="000000"/>
                        </w:tcBorders>
                      </w:tcPr>
                      <w:p>
                        <w:pPr/>
                      </w:p>
                    </w:tc>
                    <w:tc>
                      <w:tcPr>
                        <w:tcW w:w="652" w:type="dxa"/>
                        <w:tcBorders>
                          <w:top w:val="single" w:sz="0" w:space="0" w:color="000000"/>
                        </w:tcBorders>
                      </w:tcPr>
                      <w:p>
                        <w:pPr>
                          <w:pStyle w:val="TableParagraph"/>
                          <w:rPr>
                            <w:sz w:val="14"/>
                          </w:rPr>
                        </w:pPr>
                      </w:p>
                      <w:p>
                        <w:pPr>
                          <w:pStyle w:val="TableParagraph"/>
                          <w:spacing w:before="2"/>
                          <w:rPr>
                            <w:sz w:val="13"/>
                          </w:rPr>
                        </w:pPr>
                      </w:p>
                      <w:p>
                        <w:pPr>
                          <w:pStyle w:val="TableParagraph"/>
                          <w:ind w:right="70"/>
                          <w:jc w:val="right"/>
                          <w:rPr>
                            <w:sz w:val="14"/>
                          </w:rPr>
                        </w:pPr>
                        <w:r>
                          <w:rPr>
                            <w:sz w:val="14"/>
                          </w:rPr>
                          <w:t>380</w:t>
                        </w:r>
                      </w:p>
                    </w:tc>
                    <w:tc>
                      <w:tcPr>
                        <w:tcW w:w="396" w:type="dxa"/>
                        <w:tcBorders>
                          <w:top w:val="single" w:sz="0" w:space="0" w:color="000000"/>
                        </w:tcBorders>
                      </w:tcPr>
                      <w:p>
                        <w:pPr/>
                      </w:p>
                    </w:tc>
                    <w:tc>
                      <w:tcPr>
                        <w:tcW w:w="653" w:type="dxa"/>
                        <w:tcBorders>
                          <w:top w:val="single" w:sz="0" w:space="0" w:color="000000"/>
                        </w:tcBorders>
                      </w:tcPr>
                      <w:p>
                        <w:pPr>
                          <w:pStyle w:val="TableParagraph"/>
                          <w:rPr>
                            <w:sz w:val="14"/>
                          </w:rPr>
                        </w:pPr>
                      </w:p>
                      <w:p>
                        <w:pPr>
                          <w:pStyle w:val="TableParagraph"/>
                          <w:spacing w:before="2"/>
                          <w:rPr>
                            <w:sz w:val="13"/>
                          </w:rPr>
                        </w:pPr>
                      </w:p>
                      <w:p>
                        <w:pPr>
                          <w:pStyle w:val="TableParagraph"/>
                          <w:ind w:right="71"/>
                          <w:jc w:val="right"/>
                          <w:rPr>
                            <w:sz w:val="14"/>
                          </w:rPr>
                        </w:pPr>
                        <w:r>
                          <w:rPr>
                            <w:sz w:val="14"/>
                          </w:rPr>
                          <w:t>2,127</w:t>
                        </w:r>
                      </w:p>
                    </w:tc>
                  </w:tr>
                  <w:tr>
                    <w:trPr>
                      <w:trHeight w:val="218" w:hRule="exact"/>
                    </w:trPr>
                    <w:tc>
                      <w:tcPr>
                        <w:tcW w:w="3546" w:type="dxa"/>
                      </w:tcPr>
                      <w:p>
                        <w:pPr>
                          <w:pStyle w:val="TableParagraph"/>
                          <w:spacing w:before="22"/>
                          <w:ind w:left="35"/>
                          <w:rPr>
                            <w:sz w:val="14"/>
                          </w:rPr>
                        </w:pPr>
                        <w:r>
                          <w:rPr>
                            <w:sz w:val="14"/>
                          </w:rPr>
                          <w:t>Interest on obligation</w:t>
                        </w:r>
                      </w:p>
                    </w:tc>
                    <w:tc>
                      <w:tcPr>
                        <w:tcW w:w="1171" w:type="dxa"/>
                      </w:tcPr>
                      <w:p>
                        <w:pPr/>
                      </w:p>
                    </w:tc>
                    <w:tc>
                      <w:tcPr>
                        <w:tcW w:w="520" w:type="dxa"/>
                      </w:tcPr>
                      <w:p>
                        <w:pPr/>
                      </w:p>
                    </w:tc>
                    <w:tc>
                      <w:tcPr>
                        <w:tcW w:w="607" w:type="dxa"/>
                      </w:tcPr>
                      <w:p>
                        <w:pPr>
                          <w:pStyle w:val="TableParagraph"/>
                          <w:spacing w:before="20"/>
                          <w:ind w:right="70"/>
                          <w:jc w:val="right"/>
                          <w:rPr>
                            <w:sz w:val="14"/>
                          </w:rPr>
                        </w:pPr>
                        <w:r>
                          <w:rPr>
                            <w:sz w:val="14"/>
                          </w:rPr>
                          <w:t>2,038</w:t>
                        </w:r>
                      </w:p>
                    </w:tc>
                    <w:tc>
                      <w:tcPr>
                        <w:tcW w:w="547" w:type="dxa"/>
                      </w:tcPr>
                      <w:p>
                        <w:pPr/>
                      </w:p>
                    </w:tc>
                    <w:tc>
                      <w:tcPr>
                        <w:tcW w:w="501" w:type="dxa"/>
                      </w:tcPr>
                      <w:p>
                        <w:pPr>
                          <w:pStyle w:val="TableParagraph"/>
                          <w:spacing w:before="20"/>
                          <w:ind w:left="194"/>
                          <w:rPr>
                            <w:sz w:val="14"/>
                          </w:rPr>
                        </w:pPr>
                        <w:r>
                          <w:rPr>
                            <w:sz w:val="14"/>
                          </w:rPr>
                          <w:t>417</w:t>
                        </w:r>
                      </w:p>
                    </w:tc>
                    <w:tc>
                      <w:tcPr>
                        <w:tcW w:w="396" w:type="dxa"/>
                      </w:tcPr>
                      <w:p>
                        <w:pPr/>
                      </w:p>
                    </w:tc>
                    <w:tc>
                      <w:tcPr>
                        <w:tcW w:w="652" w:type="dxa"/>
                      </w:tcPr>
                      <w:p>
                        <w:pPr>
                          <w:pStyle w:val="TableParagraph"/>
                          <w:spacing w:before="20"/>
                          <w:ind w:right="71"/>
                          <w:jc w:val="right"/>
                          <w:rPr>
                            <w:sz w:val="14"/>
                          </w:rPr>
                        </w:pPr>
                        <w:r>
                          <w:rPr>
                            <w:sz w:val="14"/>
                          </w:rPr>
                          <w:t>14,141</w:t>
                        </w:r>
                      </w:p>
                    </w:tc>
                    <w:tc>
                      <w:tcPr>
                        <w:tcW w:w="396" w:type="dxa"/>
                      </w:tcPr>
                      <w:p>
                        <w:pPr/>
                      </w:p>
                    </w:tc>
                    <w:tc>
                      <w:tcPr>
                        <w:tcW w:w="653" w:type="dxa"/>
                      </w:tcPr>
                      <w:p>
                        <w:pPr>
                          <w:pStyle w:val="TableParagraph"/>
                          <w:spacing w:before="20"/>
                          <w:ind w:right="71"/>
                          <w:jc w:val="right"/>
                          <w:rPr>
                            <w:sz w:val="14"/>
                          </w:rPr>
                        </w:pPr>
                        <w:r>
                          <w:rPr>
                            <w:sz w:val="14"/>
                          </w:rPr>
                          <w:t>16,596</w:t>
                        </w:r>
                      </w:p>
                    </w:tc>
                  </w:tr>
                  <w:tr>
                    <w:trPr>
                      <w:trHeight w:val="218" w:hRule="exact"/>
                    </w:trPr>
                    <w:tc>
                      <w:tcPr>
                        <w:tcW w:w="3546" w:type="dxa"/>
                      </w:tcPr>
                      <w:p>
                        <w:pPr>
                          <w:pStyle w:val="TableParagraph"/>
                          <w:spacing w:before="22"/>
                          <w:ind w:left="35"/>
                          <w:rPr>
                            <w:sz w:val="14"/>
                          </w:rPr>
                        </w:pPr>
                        <w:r>
                          <w:rPr>
                            <w:sz w:val="14"/>
                          </w:rPr>
                          <w:t>Expected return on plan assets</w:t>
                        </w:r>
                      </w:p>
                    </w:tc>
                    <w:tc>
                      <w:tcPr>
                        <w:tcW w:w="1171" w:type="dxa"/>
                      </w:tcPr>
                      <w:p>
                        <w:pPr/>
                      </w:p>
                    </w:tc>
                    <w:tc>
                      <w:tcPr>
                        <w:tcW w:w="520" w:type="dxa"/>
                      </w:tcPr>
                      <w:p>
                        <w:pPr/>
                      </w:p>
                    </w:tc>
                    <w:tc>
                      <w:tcPr>
                        <w:tcW w:w="607" w:type="dxa"/>
                      </w:tcPr>
                      <w:p>
                        <w:pPr>
                          <w:pStyle w:val="TableParagraph"/>
                          <w:spacing w:before="20"/>
                          <w:ind w:right="24"/>
                          <w:jc w:val="right"/>
                          <w:rPr>
                            <w:sz w:val="14"/>
                          </w:rPr>
                        </w:pPr>
                        <w:r>
                          <w:rPr>
                            <w:sz w:val="14"/>
                          </w:rPr>
                          <w:t>(2,618)</w:t>
                        </w:r>
                      </w:p>
                    </w:tc>
                    <w:tc>
                      <w:tcPr>
                        <w:tcW w:w="547" w:type="dxa"/>
                      </w:tcPr>
                      <w:p>
                        <w:pPr/>
                      </w:p>
                    </w:tc>
                    <w:tc>
                      <w:tcPr>
                        <w:tcW w:w="501" w:type="dxa"/>
                      </w:tcPr>
                      <w:p>
                        <w:pPr>
                          <w:pStyle w:val="TableParagraph"/>
                          <w:spacing w:before="20"/>
                          <w:ind w:right="23"/>
                          <w:jc w:val="right"/>
                          <w:rPr>
                            <w:sz w:val="14"/>
                          </w:rPr>
                        </w:pPr>
                        <w:r>
                          <w:rPr>
                            <w:sz w:val="14"/>
                          </w:rPr>
                          <w:t>(545)</w:t>
                        </w:r>
                      </w:p>
                    </w:tc>
                    <w:tc>
                      <w:tcPr>
                        <w:tcW w:w="396" w:type="dxa"/>
                      </w:tcPr>
                      <w:p>
                        <w:pPr/>
                      </w:p>
                    </w:tc>
                    <w:tc>
                      <w:tcPr>
                        <w:tcW w:w="652" w:type="dxa"/>
                      </w:tcPr>
                      <w:p>
                        <w:pPr>
                          <w:pStyle w:val="TableParagraph"/>
                          <w:spacing w:before="20"/>
                          <w:ind w:right="24"/>
                          <w:jc w:val="right"/>
                          <w:rPr>
                            <w:sz w:val="14"/>
                          </w:rPr>
                        </w:pPr>
                        <w:r>
                          <w:rPr>
                            <w:sz w:val="14"/>
                          </w:rPr>
                          <w:t>(9,933)</w:t>
                        </w:r>
                      </w:p>
                    </w:tc>
                    <w:tc>
                      <w:tcPr>
                        <w:tcW w:w="396" w:type="dxa"/>
                      </w:tcPr>
                      <w:p>
                        <w:pPr/>
                      </w:p>
                    </w:tc>
                    <w:tc>
                      <w:tcPr>
                        <w:tcW w:w="653" w:type="dxa"/>
                      </w:tcPr>
                      <w:p>
                        <w:pPr>
                          <w:pStyle w:val="TableParagraph"/>
                          <w:spacing w:before="20"/>
                          <w:ind w:right="24"/>
                          <w:jc w:val="right"/>
                          <w:rPr>
                            <w:sz w:val="14"/>
                          </w:rPr>
                        </w:pPr>
                        <w:r>
                          <w:rPr>
                            <w:sz w:val="14"/>
                          </w:rPr>
                          <w:t>(13,096)</w:t>
                        </w:r>
                      </w:p>
                    </w:tc>
                  </w:tr>
                  <w:tr>
                    <w:trPr>
                      <w:trHeight w:val="219" w:hRule="exact"/>
                    </w:trPr>
                    <w:tc>
                      <w:tcPr>
                        <w:tcW w:w="3546" w:type="dxa"/>
                      </w:tcPr>
                      <w:p>
                        <w:pPr>
                          <w:pStyle w:val="TableParagraph"/>
                          <w:spacing w:before="22"/>
                          <w:ind w:left="35"/>
                          <w:rPr>
                            <w:sz w:val="14"/>
                          </w:rPr>
                        </w:pPr>
                        <w:r>
                          <w:rPr>
                            <w:sz w:val="14"/>
                          </w:rPr>
                          <w:t>Expected return on reimbursement rights</w:t>
                        </w:r>
                      </w:p>
                    </w:tc>
                    <w:tc>
                      <w:tcPr>
                        <w:tcW w:w="1171" w:type="dxa"/>
                      </w:tcPr>
                      <w:p>
                        <w:pPr/>
                      </w:p>
                    </w:tc>
                    <w:tc>
                      <w:tcPr>
                        <w:tcW w:w="520" w:type="dxa"/>
                        <w:tcBorders>
                          <w:bottom w:val="single" w:sz="0" w:space="0" w:color="000000"/>
                        </w:tcBorders>
                      </w:tcPr>
                      <w:p>
                        <w:pPr/>
                      </w:p>
                    </w:tc>
                    <w:tc>
                      <w:tcPr>
                        <w:tcW w:w="607" w:type="dxa"/>
                        <w:tcBorders>
                          <w:bottom w:val="single" w:sz="0" w:space="0" w:color="000000"/>
                        </w:tcBorders>
                      </w:tcPr>
                      <w:p>
                        <w:pPr>
                          <w:pStyle w:val="TableParagraph"/>
                          <w:spacing w:before="20"/>
                          <w:ind w:right="23"/>
                          <w:jc w:val="right"/>
                          <w:rPr>
                            <w:sz w:val="14"/>
                          </w:rPr>
                        </w:pPr>
                        <w:r>
                          <w:rPr>
                            <w:sz w:val="14"/>
                          </w:rPr>
                          <w:t>(820)</w:t>
                        </w:r>
                      </w:p>
                    </w:tc>
                    <w:tc>
                      <w:tcPr>
                        <w:tcW w:w="547" w:type="dxa"/>
                        <w:tcBorders>
                          <w:bottom w:val="single" w:sz="0" w:space="0" w:color="000000"/>
                        </w:tcBorders>
                      </w:tcPr>
                      <w:p>
                        <w:pPr/>
                      </w:p>
                    </w:tc>
                    <w:tc>
                      <w:tcPr>
                        <w:tcW w:w="501" w:type="dxa"/>
                        <w:tcBorders>
                          <w:bottom w:val="single" w:sz="0" w:space="0" w:color="000000"/>
                        </w:tcBorders>
                      </w:tcPr>
                      <w:p>
                        <w:pPr>
                          <w:pStyle w:val="TableParagraph"/>
                          <w:spacing w:before="20"/>
                          <w:ind w:right="70"/>
                          <w:jc w:val="right"/>
                          <w:rPr>
                            <w:sz w:val="14"/>
                          </w:rPr>
                        </w:pPr>
                        <w:r>
                          <w:rPr>
                            <w:w w:val="100"/>
                            <w:sz w:val="14"/>
                          </w:rPr>
                          <w:t>-</w:t>
                        </w:r>
                      </w:p>
                    </w:tc>
                    <w:tc>
                      <w:tcPr>
                        <w:tcW w:w="396" w:type="dxa"/>
                        <w:tcBorders>
                          <w:bottom w:val="single" w:sz="0" w:space="0" w:color="000000"/>
                        </w:tcBorders>
                      </w:tcPr>
                      <w:p>
                        <w:pPr/>
                      </w:p>
                    </w:tc>
                    <w:tc>
                      <w:tcPr>
                        <w:tcW w:w="652" w:type="dxa"/>
                        <w:tcBorders>
                          <w:bottom w:val="single" w:sz="0" w:space="0" w:color="000000"/>
                        </w:tcBorders>
                      </w:tcPr>
                      <w:p>
                        <w:pPr>
                          <w:pStyle w:val="TableParagraph"/>
                          <w:spacing w:before="20"/>
                          <w:ind w:right="24"/>
                          <w:jc w:val="right"/>
                          <w:rPr>
                            <w:sz w:val="14"/>
                          </w:rPr>
                        </w:pPr>
                        <w:r>
                          <w:rPr>
                            <w:sz w:val="14"/>
                          </w:rPr>
                          <w:t>(4,589)</w:t>
                        </w:r>
                      </w:p>
                    </w:tc>
                    <w:tc>
                      <w:tcPr>
                        <w:tcW w:w="396" w:type="dxa"/>
                        <w:tcBorders>
                          <w:bottom w:val="single" w:sz="0" w:space="0" w:color="000000"/>
                        </w:tcBorders>
                      </w:tcPr>
                      <w:p>
                        <w:pPr/>
                      </w:p>
                    </w:tc>
                    <w:tc>
                      <w:tcPr>
                        <w:tcW w:w="653" w:type="dxa"/>
                        <w:tcBorders>
                          <w:bottom w:val="single" w:sz="0" w:space="0" w:color="000000"/>
                        </w:tcBorders>
                      </w:tcPr>
                      <w:p>
                        <w:pPr>
                          <w:pStyle w:val="TableParagraph"/>
                          <w:spacing w:before="20"/>
                          <w:ind w:right="24"/>
                          <w:jc w:val="right"/>
                          <w:rPr>
                            <w:sz w:val="14"/>
                          </w:rPr>
                        </w:pPr>
                        <w:r>
                          <w:rPr>
                            <w:sz w:val="14"/>
                          </w:rPr>
                          <w:t>(5,409)</w:t>
                        </w:r>
                      </w:p>
                    </w:tc>
                  </w:tr>
                  <w:tr>
                    <w:trPr>
                      <w:trHeight w:val="238" w:hRule="exact"/>
                    </w:trPr>
                    <w:tc>
                      <w:tcPr>
                        <w:tcW w:w="3546" w:type="dxa"/>
                      </w:tcPr>
                      <w:p>
                        <w:pPr>
                          <w:pStyle w:val="TableParagraph"/>
                          <w:spacing w:before="40"/>
                          <w:ind w:left="35"/>
                          <w:rPr>
                            <w:sz w:val="14"/>
                          </w:rPr>
                        </w:pPr>
                        <w:r>
                          <w:rPr>
                            <w:sz w:val="14"/>
                          </w:rPr>
                          <w:t>Expense / (income)</w:t>
                        </w:r>
                      </w:p>
                    </w:tc>
                    <w:tc>
                      <w:tcPr>
                        <w:tcW w:w="1171" w:type="dxa"/>
                      </w:tcPr>
                      <w:p>
                        <w:pPr/>
                      </w:p>
                    </w:tc>
                    <w:tc>
                      <w:tcPr>
                        <w:tcW w:w="520" w:type="dxa"/>
                        <w:tcBorders>
                          <w:top w:val="single" w:sz="0" w:space="0" w:color="000000"/>
                          <w:bottom w:val="single" w:sz="0" w:space="0" w:color="000000"/>
                        </w:tcBorders>
                      </w:tcPr>
                      <w:p>
                        <w:pPr/>
                      </w:p>
                    </w:tc>
                    <w:tc>
                      <w:tcPr>
                        <w:tcW w:w="607" w:type="dxa"/>
                        <w:tcBorders>
                          <w:top w:val="single" w:sz="0" w:space="0" w:color="000000"/>
                          <w:bottom w:val="single" w:sz="0" w:space="0" w:color="000000"/>
                        </w:tcBorders>
                      </w:tcPr>
                      <w:p>
                        <w:pPr>
                          <w:pStyle w:val="TableParagraph"/>
                          <w:spacing w:before="39"/>
                          <w:ind w:right="70"/>
                          <w:jc w:val="right"/>
                          <w:rPr>
                            <w:sz w:val="14"/>
                          </w:rPr>
                        </w:pPr>
                        <w:r>
                          <w:rPr>
                            <w:w w:val="100"/>
                            <w:sz w:val="14"/>
                          </w:rPr>
                          <w:t>-</w:t>
                        </w:r>
                      </w:p>
                    </w:tc>
                    <w:tc>
                      <w:tcPr>
                        <w:tcW w:w="547" w:type="dxa"/>
                        <w:tcBorders>
                          <w:top w:val="single" w:sz="0" w:space="0" w:color="000000"/>
                          <w:bottom w:val="single" w:sz="0" w:space="0" w:color="000000"/>
                        </w:tcBorders>
                      </w:tcPr>
                      <w:p>
                        <w:pPr/>
                      </w:p>
                    </w:tc>
                    <w:tc>
                      <w:tcPr>
                        <w:tcW w:w="501" w:type="dxa"/>
                        <w:tcBorders>
                          <w:top w:val="single" w:sz="0" w:space="0" w:color="000000"/>
                          <w:bottom w:val="single" w:sz="0" w:space="0" w:color="000000"/>
                        </w:tcBorders>
                      </w:tcPr>
                      <w:p>
                        <w:pPr>
                          <w:pStyle w:val="TableParagraph"/>
                          <w:spacing w:before="39"/>
                          <w:ind w:left="194"/>
                          <w:rPr>
                            <w:sz w:val="14"/>
                          </w:rPr>
                        </w:pPr>
                        <w:r>
                          <w:rPr>
                            <w:sz w:val="14"/>
                          </w:rPr>
                          <w:t>218</w:t>
                        </w:r>
                      </w:p>
                    </w:tc>
                    <w:tc>
                      <w:tcPr>
                        <w:tcW w:w="396" w:type="dxa"/>
                        <w:tcBorders>
                          <w:top w:val="single" w:sz="0" w:space="0" w:color="000000"/>
                          <w:bottom w:val="single" w:sz="0" w:space="0" w:color="000000"/>
                        </w:tcBorders>
                      </w:tcPr>
                      <w:p>
                        <w:pPr/>
                      </w:p>
                    </w:tc>
                    <w:tc>
                      <w:tcPr>
                        <w:tcW w:w="652" w:type="dxa"/>
                        <w:tcBorders>
                          <w:top w:val="single" w:sz="0" w:space="0" w:color="000000"/>
                          <w:bottom w:val="single" w:sz="0" w:space="0" w:color="000000"/>
                        </w:tcBorders>
                      </w:tcPr>
                      <w:p>
                        <w:pPr>
                          <w:pStyle w:val="TableParagraph"/>
                          <w:spacing w:before="39"/>
                          <w:ind w:right="70"/>
                          <w:jc w:val="right"/>
                          <w:rPr>
                            <w:sz w:val="14"/>
                          </w:rPr>
                        </w:pPr>
                        <w:r>
                          <w:rPr>
                            <w:w w:val="100"/>
                            <w:sz w:val="14"/>
                          </w:rPr>
                          <w:t>-</w:t>
                        </w:r>
                      </w:p>
                    </w:tc>
                    <w:tc>
                      <w:tcPr>
                        <w:tcW w:w="396" w:type="dxa"/>
                        <w:tcBorders>
                          <w:top w:val="single" w:sz="0" w:space="0" w:color="000000"/>
                          <w:bottom w:val="single" w:sz="0" w:space="0" w:color="000000"/>
                        </w:tcBorders>
                      </w:tcPr>
                      <w:p>
                        <w:pPr/>
                      </w:p>
                    </w:tc>
                    <w:tc>
                      <w:tcPr>
                        <w:tcW w:w="653" w:type="dxa"/>
                        <w:tcBorders>
                          <w:top w:val="single" w:sz="0" w:space="0" w:color="000000"/>
                          <w:bottom w:val="single" w:sz="0" w:space="0" w:color="000000"/>
                        </w:tcBorders>
                      </w:tcPr>
                      <w:p>
                        <w:pPr>
                          <w:pStyle w:val="TableParagraph"/>
                          <w:spacing w:before="39"/>
                          <w:ind w:right="71"/>
                          <w:jc w:val="right"/>
                          <w:rPr>
                            <w:sz w:val="14"/>
                          </w:rPr>
                        </w:pPr>
                        <w:r>
                          <w:rPr>
                            <w:sz w:val="14"/>
                          </w:rPr>
                          <w:t>218</w:t>
                        </w:r>
                      </w:p>
                    </w:tc>
                  </w:tr>
                  <w:tr>
                    <w:trPr>
                      <w:trHeight w:val="511" w:hRule="exact"/>
                    </w:trPr>
                    <w:tc>
                      <w:tcPr>
                        <w:tcW w:w="3546" w:type="dxa"/>
                      </w:tcPr>
                      <w:p>
                        <w:pPr>
                          <w:pStyle w:val="TableParagraph"/>
                          <w:spacing w:before="123"/>
                          <w:ind w:left="35"/>
                          <w:rPr>
                            <w:b/>
                            <w:sz w:val="14"/>
                          </w:rPr>
                        </w:pPr>
                        <w:r>
                          <w:rPr>
                            <w:b/>
                            <w:sz w:val="14"/>
                          </w:rPr>
                          <w:t>Actual returns - 2011</w:t>
                        </w:r>
                      </w:p>
                      <w:p>
                        <w:pPr>
                          <w:pStyle w:val="TableParagraph"/>
                          <w:spacing w:before="30"/>
                          <w:ind w:left="35"/>
                          <w:rPr>
                            <w:sz w:val="14"/>
                          </w:rPr>
                        </w:pPr>
                        <w:r>
                          <w:rPr>
                            <w:sz w:val="14"/>
                          </w:rPr>
                          <w:t>Actual return on plan assets</w:t>
                        </w:r>
                      </w:p>
                    </w:tc>
                    <w:tc>
                      <w:tcPr>
                        <w:tcW w:w="1171" w:type="dxa"/>
                      </w:tcPr>
                      <w:p>
                        <w:pPr/>
                      </w:p>
                    </w:tc>
                    <w:tc>
                      <w:tcPr>
                        <w:tcW w:w="520" w:type="dxa"/>
                        <w:tcBorders>
                          <w:top w:val="single" w:sz="0" w:space="0" w:color="000000"/>
                        </w:tcBorders>
                      </w:tcPr>
                      <w:p>
                        <w:pPr/>
                      </w:p>
                    </w:tc>
                    <w:tc>
                      <w:tcPr>
                        <w:tcW w:w="607" w:type="dxa"/>
                        <w:tcBorders>
                          <w:top w:val="single" w:sz="0" w:space="0" w:color="000000"/>
                        </w:tcBorders>
                      </w:tcPr>
                      <w:p>
                        <w:pPr>
                          <w:pStyle w:val="TableParagraph"/>
                          <w:rPr>
                            <w:sz w:val="14"/>
                          </w:rPr>
                        </w:pPr>
                      </w:p>
                      <w:p>
                        <w:pPr>
                          <w:pStyle w:val="TableParagraph"/>
                          <w:spacing w:before="2"/>
                          <w:rPr>
                            <w:sz w:val="13"/>
                          </w:rPr>
                        </w:pPr>
                      </w:p>
                      <w:p>
                        <w:pPr>
                          <w:pStyle w:val="TableParagraph"/>
                          <w:ind w:right="23"/>
                          <w:jc w:val="right"/>
                          <w:rPr>
                            <w:sz w:val="14"/>
                          </w:rPr>
                        </w:pPr>
                        <w:r>
                          <w:rPr>
                            <w:sz w:val="14"/>
                          </w:rPr>
                          <w:t>(614)</w:t>
                        </w:r>
                      </w:p>
                    </w:tc>
                    <w:tc>
                      <w:tcPr>
                        <w:tcW w:w="547" w:type="dxa"/>
                        <w:tcBorders>
                          <w:top w:val="single" w:sz="0" w:space="0" w:color="000000"/>
                        </w:tcBorders>
                      </w:tcPr>
                      <w:p>
                        <w:pPr/>
                      </w:p>
                    </w:tc>
                    <w:tc>
                      <w:tcPr>
                        <w:tcW w:w="501" w:type="dxa"/>
                        <w:tcBorders>
                          <w:top w:val="single" w:sz="0" w:space="0" w:color="000000"/>
                        </w:tcBorders>
                      </w:tcPr>
                      <w:p>
                        <w:pPr>
                          <w:pStyle w:val="TableParagraph"/>
                          <w:rPr>
                            <w:sz w:val="14"/>
                          </w:rPr>
                        </w:pPr>
                      </w:p>
                      <w:p>
                        <w:pPr>
                          <w:pStyle w:val="TableParagraph"/>
                          <w:spacing w:before="2"/>
                          <w:rPr>
                            <w:sz w:val="13"/>
                          </w:rPr>
                        </w:pPr>
                      </w:p>
                      <w:p>
                        <w:pPr>
                          <w:pStyle w:val="TableParagraph"/>
                          <w:ind w:right="23"/>
                          <w:jc w:val="right"/>
                          <w:rPr>
                            <w:sz w:val="14"/>
                          </w:rPr>
                        </w:pPr>
                        <w:r>
                          <w:rPr>
                            <w:sz w:val="14"/>
                          </w:rPr>
                          <w:t>(107)</w:t>
                        </w:r>
                      </w:p>
                    </w:tc>
                    <w:tc>
                      <w:tcPr>
                        <w:tcW w:w="396" w:type="dxa"/>
                        <w:tcBorders>
                          <w:top w:val="single" w:sz="0" w:space="0" w:color="000000"/>
                        </w:tcBorders>
                      </w:tcPr>
                      <w:p>
                        <w:pPr/>
                      </w:p>
                    </w:tc>
                    <w:tc>
                      <w:tcPr>
                        <w:tcW w:w="652" w:type="dxa"/>
                        <w:tcBorders>
                          <w:top w:val="single" w:sz="0" w:space="0" w:color="000000"/>
                        </w:tcBorders>
                      </w:tcPr>
                      <w:p>
                        <w:pPr>
                          <w:pStyle w:val="TableParagraph"/>
                          <w:rPr>
                            <w:sz w:val="14"/>
                          </w:rPr>
                        </w:pPr>
                      </w:p>
                      <w:p>
                        <w:pPr>
                          <w:pStyle w:val="TableParagraph"/>
                          <w:spacing w:before="2"/>
                          <w:rPr>
                            <w:sz w:val="13"/>
                          </w:rPr>
                        </w:pPr>
                      </w:p>
                      <w:p>
                        <w:pPr>
                          <w:pStyle w:val="TableParagraph"/>
                          <w:ind w:right="24"/>
                          <w:jc w:val="right"/>
                          <w:rPr>
                            <w:sz w:val="14"/>
                          </w:rPr>
                        </w:pPr>
                        <w:r>
                          <w:rPr>
                            <w:sz w:val="14"/>
                          </w:rPr>
                          <w:t>(2,414)</w:t>
                        </w:r>
                      </w:p>
                    </w:tc>
                    <w:tc>
                      <w:tcPr>
                        <w:tcW w:w="396" w:type="dxa"/>
                        <w:tcBorders>
                          <w:top w:val="single" w:sz="0" w:space="0" w:color="000000"/>
                        </w:tcBorders>
                      </w:tcPr>
                      <w:p>
                        <w:pPr/>
                      </w:p>
                    </w:tc>
                    <w:tc>
                      <w:tcPr>
                        <w:tcW w:w="653" w:type="dxa"/>
                        <w:tcBorders>
                          <w:top w:val="single" w:sz="0" w:space="0" w:color="000000"/>
                        </w:tcBorders>
                      </w:tcPr>
                      <w:p>
                        <w:pPr>
                          <w:pStyle w:val="TableParagraph"/>
                          <w:rPr>
                            <w:sz w:val="14"/>
                          </w:rPr>
                        </w:pPr>
                      </w:p>
                      <w:p>
                        <w:pPr>
                          <w:pStyle w:val="TableParagraph"/>
                          <w:spacing w:before="2"/>
                          <w:rPr>
                            <w:sz w:val="13"/>
                          </w:rPr>
                        </w:pPr>
                      </w:p>
                      <w:p>
                        <w:pPr>
                          <w:pStyle w:val="TableParagraph"/>
                          <w:ind w:right="24"/>
                          <w:jc w:val="right"/>
                          <w:rPr>
                            <w:sz w:val="14"/>
                          </w:rPr>
                        </w:pPr>
                        <w:r>
                          <w:rPr>
                            <w:sz w:val="14"/>
                          </w:rPr>
                          <w:t>(3,135)</w:t>
                        </w:r>
                      </w:p>
                    </w:tc>
                  </w:tr>
                  <w:tr>
                    <w:trPr>
                      <w:trHeight w:val="219" w:hRule="exact"/>
                    </w:trPr>
                    <w:tc>
                      <w:tcPr>
                        <w:tcW w:w="3546" w:type="dxa"/>
                      </w:tcPr>
                      <w:p>
                        <w:pPr>
                          <w:pStyle w:val="TableParagraph"/>
                          <w:spacing w:before="22"/>
                          <w:ind w:left="35"/>
                          <w:rPr>
                            <w:sz w:val="14"/>
                          </w:rPr>
                        </w:pPr>
                        <w:r>
                          <w:rPr>
                            <w:sz w:val="14"/>
                          </w:rPr>
                          <w:t>Actual return on reimbursement right</w:t>
                        </w:r>
                      </w:p>
                    </w:tc>
                    <w:tc>
                      <w:tcPr>
                        <w:tcW w:w="1171" w:type="dxa"/>
                      </w:tcPr>
                      <w:p>
                        <w:pPr/>
                      </w:p>
                    </w:tc>
                    <w:tc>
                      <w:tcPr>
                        <w:tcW w:w="520" w:type="dxa"/>
                        <w:tcBorders>
                          <w:bottom w:val="single" w:sz="0" w:space="0" w:color="000000"/>
                        </w:tcBorders>
                      </w:tcPr>
                      <w:p>
                        <w:pPr/>
                      </w:p>
                    </w:tc>
                    <w:tc>
                      <w:tcPr>
                        <w:tcW w:w="607" w:type="dxa"/>
                        <w:tcBorders>
                          <w:bottom w:val="single" w:sz="0" w:space="0" w:color="000000"/>
                        </w:tcBorders>
                      </w:tcPr>
                      <w:p>
                        <w:pPr>
                          <w:pStyle w:val="TableParagraph"/>
                          <w:spacing w:before="21"/>
                          <w:ind w:right="70"/>
                          <w:jc w:val="right"/>
                          <w:rPr>
                            <w:sz w:val="14"/>
                          </w:rPr>
                        </w:pPr>
                        <w:r>
                          <w:rPr>
                            <w:sz w:val="14"/>
                          </w:rPr>
                          <w:t>820</w:t>
                        </w:r>
                      </w:p>
                    </w:tc>
                    <w:tc>
                      <w:tcPr>
                        <w:tcW w:w="547" w:type="dxa"/>
                        <w:tcBorders>
                          <w:bottom w:val="single" w:sz="0" w:space="0" w:color="000000"/>
                        </w:tcBorders>
                      </w:tcPr>
                      <w:p>
                        <w:pPr/>
                      </w:p>
                    </w:tc>
                    <w:tc>
                      <w:tcPr>
                        <w:tcW w:w="501" w:type="dxa"/>
                        <w:tcBorders>
                          <w:bottom w:val="single" w:sz="0" w:space="0" w:color="000000"/>
                        </w:tcBorders>
                      </w:tcPr>
                      <w:p>
                        <w:pPr>
                          <w:pStyle w:val="TableParagraph"/>
                          <w:spacing w:before="21"/>
                          <w:ind w:right="70"/>
                          <w:jc w:val="right"/>
                          <w:rPr>
                            <w:sz w:val="14"/>
                          </w:rPr>
                        </w:pPr>
                        <w:r>
                          <w:rPr>
                            <w:w w:val="100"/>
                            <w:sz w:val="14"/>
                          </w:rPr>
                          <w:t>-</w:t>
                        </w:r>
                      </w:p>
                    </w:tc>
                    <w:tc>
                      <w:tcPr>
                        <w:tcW w:w="396" w:type="dxa"/>
                        <w:tcBorders>
                          <w:bottom w:val="single" w:sz="0" w:space="0" w:color="000000"/>
                        </w:tcBorders>
                      </w:tcPr>
                      <w:p>
                        <w:pPr/>
                      </w:p>
                    </w:tc>
                    <w:tc>
                      <w:tcPr>
                        <w:tcW w:w="652" w:type="dxa"/>
                        <w:tcBorders>
                          <w:bottom w:val="single" w:sz="0" w:space="0" w:color="000000"/>
                        </w:tcBorders>
                      </w:tcPr>
                      <w:p>
                        <w:pPr>
                          <w:pStyle w:val="TableParagraph"/>
                          <w:spacing w:before="21"/>
                          <w:ind w:right="70"/>
                          <w:jc w:val="right"/>
                          <w:rPr>
                            <w:sz w:val="14"/>
                          </w:rPr>
                        </w:pPr>
                        <w:r>
                          <w:rPr>
                            <w:sz w:val="14"/>
                          </w:rPr>
                          <w:t>4,589</w:t>
                        </w:r>
                      </w:p>
                    </w:tc>
                    <w:tc>
                      <w:tcPr>
                        <w:tcW w:w="396" w:type="dxa"/>
                        <w:tcBorders>
                          <w:bottom w:val="single" w:sz="0" w:space="0" w:color="000000"/>
                        </w:tcBorders>
                      </w:tcPr>
                      <w:p>
                        <w:pPr/>
                      </w:p>
                    </w:tc>
                    <w:tc>
                      <w:tcPr>
                        <w:tcW w:w="653" w:type="dxa"/>
                        <w:tcBorders>
                          <w:bottom w:val="single" w:sz="0" w:space="0" w:color="000000"/>
                        </w:tcBorders>
                      </w:tcPr>
                      <w:p>
                        <w:pPr>
                          <w:pStyle w:val="TableParagraph"/>
                          <w:spacing w:before="21"/>
                          <w:ind w:right="71"/>
                          <w:jc w:val="right"/>
                          <w:rPr>
                            <w:sz w:val="14"/>
                          </w:rPr>
                        </w:pPr>
                        <w:r>
                          <w:rPr>
                            <w:sz w:val="14"/>
                          </w:rPr>
                          <w:t>5,409</w:t>
                        </w:r>
                      </w:p>
                    </w:tc>
                  </w:tr>
                  <w:tr>
                    <w:trPr>
                      <w:trHeight w:val="238" w:hRule="exact"/>
                    </w:trPr>
                    <w:tc>
                      <w:tcPr>
                        <w:tcW w:w="3546" w:type="dxa"/>
                      </w:tcPr>
                      <w:p>
                        <w:pPr/>
                      </w:p>
                    </w:tc>
                    <w:tc>
                      <w:tcPr>
                        <w:tcW w:w="1171" w:type="dxa"/>
                      </w:tcPr>
                      <w:p>
                        <w:pPr/>
                      </w:p>
                    </w:tc>
                    <w:tc>
                      <w:tcPr>
                        <w:tcW w:w="520" w:type="dxa"/>
                        <w:tcBorders>
                          <w:top w:val="single" w:sz="0" w:space="0" w:color="000000"/>
                          <w:bottom w:val="single" w:sz="0" w:space="0" w:color="000000"/>
                        </w:tcBorders>
                      </w:tcPr>
                      <w:p>
                        <w:pPr/>
                      </w:p>
                    </w:tc>
                    <w:tc>
                      <w:tcPr>
                        <w:tcW w:w="607" w:type="dxa"/>
                        <w:tcBorders>
                          <w:top w:val="single" w:sz="0" w:space="0" w:color="000000"/>
                          <w:bottom w:val="single" w:sz="0" w:space="0" w:color="000000"/>
                        </w:tcBorders>
                      </w:tcPr>
                      <w:p>
                        <w:pPr>
                          <w:pStyle w:val="TableParagraph"/>
                          <w:spacing w:before="39"/>
                          <w:ind w:right="70"/>
                          <w:jc w:val="right"/>
                          <w:rPr>
                            <w:sz w:val="14"/>
                          </w:rPr>
                        </w:pPr>
                        <w:r>
                          <w:rPr>
                            <w:sz w:val="14"/>
                          </w:rPr>
                          <w:t>206</w:t>
                        </w:r>
                      </w:p>
                    </w:tc>
                    <w:tc>
                      <w:tcPr>
                        <w:tcW w:w="547" w:type="dxa"/>
                        <w:tcBorders>
                          <w:top w:val="single" w:sz="0" w:space="0" w:color="000000"/>
                          <w:bottom w:val="single" w:sz="0" w:space="0" w:color="000000"/>
                        </w:tcBorders>
                      </w:tcPr>
                      <w:p>
                        <w:pPr/>
                      </w:p>
                    </w:tc>
                    <w:tc>
                      <w:tcPr>
                        <w:tcW w:w="501" w:type="dxa"/>
                        <w:tcBorders>
                          <w:top w:val="single" w:sz="0" w:space="0" w:color="000000"/>
                          <w:bottom w:val="single" w:sz="0" w:space="0" w:color="000000"/>
                        </w:tcBorders>
                      </w:tcPr>
                      <w:p>
                        <w:pPr>
                          <w:pStyle w:val="TableParagraph"/>
                          <w:spacing w:before="39"/>
                          <w:ind w:right="23"/>
                          <w:jc w:val="right"/>
                          <w:rPr>
                            <w:sz w:val="14"/>
                          </w:rPr>
                        </w:pPr>
                        <w:r>
                          <w:rPr>
                            <w:sz w:val="14"/>
                          </w:rPr>
                          <w:t>(107)</w:t>
                        </w:r>
                      </w:p>
                    </w:tc>
                    <w:tc>
                      <w:tcPr>
                        <w:tcW w:w="396" w:type="dxa"/>
                        <w:tcBorders>
                          <w:top w:val="single" w:sz="0" w:space="0" w:color="000000"/>
                          <w:bottom w:val="single" w:sz="0" w:space="0" w:color="000000"/>
                        </w:tcBorders>
                      </w:tcPr>
                      <w:p>
                        <w:pPr/>
                      </w:p>
                    </w:tc>
                    <w:tc>
                      <w:tcPr>
                        <w:tcW w:w="652" w:type="dxa"/>
                        <w:tcBorders>
                          <w:top w:val="single" w:sz="0" w:space="0" w:color="000000"/>
                          <w:bottom w:val="single" w:sz="0" w:space="0" w:color="000000"/>
                        </w:tcBorders>
                      </w:tcPr>
                      <w:p>
                        <w:pPr>
                          <w:pStyle w:val="TableParagraph"/>
                          <w:spacing w:before="39"/>
                          <w:ind w:right="70"/>
                          <w:jc w:val="right"/>
                          <w:rPr>
                            <w:sz w:val="14"/>
                          </w:rPr>
                        </w:pPr>
                        <w:r>
                          <w:rPr>
                            <w:sz w:val="14"/>
                          </w:rPr>
                          <w:t>2,175</w:t>
                        </w:r>
                      </w:p>
                    </w:tc>
                    <w:tc>
                      <w:tcPr>
                        <w:tcW w:w="396" w:type="dxa"/>
                        <w:tcBorders>
                          <w:top w:val="single" w:sz="0" w:space="0" w:color="000000"/>
                          <w:bottom w:val="single" w:sz="0" w:space="0" w:color="000000"/>
                        </w:tcBorders>
                      </w:tcPr>
                      <w:p>
                        <w:pPr/>
                      </w:p>
                    </w:tc>
                    <w:tc>
                      <w:tcPr>
                        <w:tcW w:w="653" w:type="dxa"/>
                        <w:tcBorders>
                          <w:top w:val="single" w:sz="0" w:space="0" w:color="000000"/>
                          <w:bottom w:val="single" w:sz="0" w:space="0" w:color="000000"/>
                        </w:tcBorders>
                      </w:tcPr>
                      <w:p>
                        <w:pPr>
                          <w:pStyle w:val="TableParagraph"/>
                          <w:spacing w:before="39"/>
                          <w:ind w:right="71"/>
                          <w:jc w:val="right"/>
                          <w:rPr>
                            <w:sz w:val="14"/>
                          </w:rPr>
                        </w:pPr>
                        <w:r>
                          <w:rPr>
                            <w:sz w:val="14"/>
                          </w:rPr>
                          <w:t>2,274</w:t>
                        </w:r>
                      </w:p>
                    </w:tc>
                  </w:tr>
                  <w:tr>
                    <w:trPr>
                      <w:trHeight w:val="511" w:hRule="exact"/>
                    </w:trPr>
                    <w:tc>
                      <w:tcPr>
                        <w:tcW w:w="3546" w:type="dxa"/>
                      </w:tcPr>
                      <w:p>
                        <w:pPr>
                          <w:pStyle w:val="TableParagraph"/>
                          <w:spacing w:before="123"/>
                          <w:ind w:left="35"/>
                          <w:rPr>
                            <w:b/>
                            <w:sz w:val="14"/>
                          </w:rPr>
                        </w:pPr>
                        <w:r>
                          <w:rPr>
                            <w:b/>
                            <w:sz w:val="14"/>
                          </w:rPr>
                          <w:t>Other comprehensive income - 2011</w:t>
                        </w:r>
                      </w:p>
                      <w:p>
                        <w:pPr>
                          <w:pStyle w:val="TableParagraph"/>
                          <w:spacing w:before="30"/>
                          <w:ind w:left="35"/>
                          <w:rPr>
                            <w:sz w:val="14"/>
                          </w:rPr>
                        </w:pPr>
                        <w:r>
                          <w:rPr>
                            <w:sz w:val="14"/>
                          </w:rPr>
                          <w:t>Actuarial losses/(gains) on defined benefit</w:t>
                        </w:r>
                      </w:p>
                    </w:tc>
                    <w:tc>
                      <w:tcPr>
                        <w:tcW w:w="1171" w:type="dxa"/>
                      </w:tcPr>
                      <w:p>
                        <w:pPr/>
                      </w:p>
                    </w:tc>
                    <w:tc>
                      <w:tcPr>
                        <w:tcW w:w="520" w:type="dxa"/>
                        <w:tcBorders>
                          <w:top w:val="single" w:sz="0" w:space="0" w:color="000000"/>
                        </w:tcBorders>
                      </w:tcPr>
                      <w:p>
                        <w:pPr/>
                      </w:p>
                    </w:tc>
                    <w:tc>
                      <w:tcPr>
                        <w:tcW w:w="607" w:type="dxa"/>
                        <w:tcBorders>
                          <w:top w:val="single" w:sz="0" w:space="0" w:color="000000"/>
                        </w:tcBorders>
                      </w:tcPr>
                      <w:p>
                        <w:pPr>
                          <w:pStyle w:val="TableParagraph"/>
                          <w:rPr>
                            <w:sz w:val="14"/>
                          </w:rPr>
                        </w:pPr>
                      </w:p>
                      <w:p>
                        <w:pPr>
                          <w:pStyle w:val="TableParagraph"/>
                          <w:spacing w:before="2"/>
                          <w:rPr>
                            <w:sz w:val="13"/>
                          </w:rPr>
                        </w:pPr>
                      </w:p>
                      <w:p>
                        <w:pPr>
                          <w:pStyle w:val="TableParagraph"/>
                          <w:ind w:right="24"/>
                          <w:jc w:val="right"/>
                          <w:rPr>
                            <w:sz w:val="14"/>
                          </w:rPr>
                        </w:pPr>
                        <w:r>
                          <w:rPr>
                            <w:sz w:val="14"/>
                          </w:rPr>
                          <w:t>(1,675)</w:t>
                        </w:r>
                      </w:p>
                    </w:tc>
                    <w:tc>
                      <w:tcPr>
                        <w:tcW w:w="547" w:type="dxa"/>
                        <w:tcBorders>
                          <w:top w:val="single" w:sz="0" w:space="0" w:color="000000"/>
                        </w:tcBorders>
                      </w:tcPr>
                      <w:p>
                        <w:pPr/>
                      </w:p>
                    </w:tc>
                    <w:tc>
                      <w:tcPr>
                        <w:tcW w:w="501" w:type="dxa"/>
                        <w:tcBorders>
                          <w:top w:val="single" w:sz="0" w:space="0" w:color="000000"/>
                        </w:tcBorders>
                      </w:tcPr>
                      <w:p>
                        <w:pPr>
                          <w:pStyle w:val="TableParagraph"/>
                          <w:rPr>
                            <w:sz w:val="14"/>
                          </w:rPr>
                        </w:pPr>
                      </w:p>
                      <w:p>
                        <w:pPr>
                          <w:pStyle w:val="TableParagraph"/>
                          <w:spacing w:before="2"/>
                          <w:rPr>
                            <w:sz w:val="13"/>
                          </w:rPr>
                        </w:pPr>
                      </w:p>
                      <w:p>
                        <w:pPr>
                          <w:pStyle w:val="TableParagraph"/>
                          <w:ind w:right="23"/>
                          <w:jc w:val="right"/>
                          <w:rPr>
                            <w:sz w:val="14"/>
                          </w:rPr>
                        </w:pPr>
                        <w:r>
                          <w:rPr>
                            <w:sz w:val="14"/>
                          </w:rPr>
                          <w:t>(431)</w:t>
                        </w:r>
                      </w:p>
                    </w:tc>
                    <w:tc>
                      <w:tcPr>
                        <w:tcW w:w="396" w:type="dxa"/>
                        <w:tcBorders>
                          <w:top w:val="single" w:sz="0" w:space="0" w:color="000000"/>
                        </w:tcBorders>
                      </w:tcPr>
                      <w:p>
                        <w:pPr/>
                      </w:p>
                    </w:tc>
                    <w:tc>
                      <w:tcPr>
                        <w:tcW w:w="652" w:type="dxa"/>
                        <w:tcBorders>
                          <w:top w:val="single" w:sz="0" w:space="0" w:color="000000"/>
                        </w:tcBorders>
                      </w:tcPr>
                      <w:p>
                        <w:pPr>
                          <w:pStyle w:val="TableParagraph"/>
                          <w:rPr>
                            <w:sz w:val="14"/>
                          </w:rPr>
                        </w:pPr>
                      </w:p>
                      <w:p>
                        <w:pPr>
                          <w:pStyle w:val="TableParagraph"/>
                          <w:spacing w:before="2"/>
                          <w:rPr>
                            <w:sz w:val="13"/>
                          </w:rPr>
                        </w:pPr>
                      </w:p>
                      <w:p>
                        <w:pPr>
                          <w:pStyle w:val="TableParagraph"/>
                          <w:ind w:right="24"/>
                          <w:jc w:val="right"/>
                          <w:rPr>
                            <w:sz w:val="14"/>
                          </w:rPr>
                        </w:pPr>
                        <w:r>
                          <w:rPr>
                            <w:sz w:val="14"/>
                          </w:rPr>
                          <w:t>(68,179)</w:t>
                        </w:r>
                      </w:p>
                    </w:tc>
                    <w:tc>
                      <w:tcPr>
                        <w:tcW w:w="396" w:type="dxa"/>
                        <w:tcBorders>
                          <w:top w:val="single" w:sz="0" w:space="0" w:color="000000"/>
                        </w:tcBorders>
                      </w:tcPr>
                      <w:p>
                        <w:pPr/>
                      </w:p>
                    </w:tc>
                    <w:tc>
                      <w:tcPr>
                        <w:tcW w:w="653" w:type="dxa"/>
                        <w:tcBorders>
                          <w:top w:val="single" w:sz="0" w:space="0" w:color="000000"/>
                        </w:tcBorders>
                      </w:tcPr>
                      <w:p>
                        <w:pPr>
                          <w:pStyle w:val="TableParagraph"/>
                          <w:rPr>
                            <w:sz w:val="14"/>
                          </w:rPr>
                        </w:pPr>
                      </w:p>
                      <w:p>
                        <w:pPr>
                          <w:pStyle w:val="TableParagraph"/>
                          <w:spacing w:before="2"/>
                          <w:rPr>
                            <w:sz w:val="13"/>
                          </w:rPr>
                        </w:pPr>
                      </w:p>
                      <w:p>
                        <w:pPr>
                          <w:pStyle w:val="TableParagraph"/>
                          <w:ind w:right="25"/>
                          <w:jc w:val="right"/>
                          <w:rPr>
                            <w:sz w:val="14"/>
                          </w:rPr>
                        </w:pPr>
                        <w:r>
                          <w:rPr>
                            <w:sz w:val="14"/>
                          </w:rPr>
                          <w:t>(70,285)</w:t>
                        </w:r>
                      </w:p>
                    </w:tc>
                  </w:tr>
                  <w:tr>
                    <w:trPr>
                      <w:trHeight w:val="218" w:hRule="exact"/>
                    </w:trPr>
                    <w:tc>
                      <w:tcPr>
                        <w:tcW w:w="3546" w:type="dxa"/>
                      </w:tcPr>
                      <w:p>
                        <w:pPr>
                          <w:pStyle w:val="TableParagraph"/>
                          <w:spacing w:before="22"/>
                          <w:ind w:left="35"/>
                          <w:rPr>
                            <w:sz w:val="14"/>
                          </w:rPr>
                        </w:pPr>
                        <w:r>
                          <w:rPr>
                            <w:sz w:val="14"/>
                          </w:rPr>
                          <w:t>Actuarial (losses)/gains on plan assets</w:t>
                        </w:r>
                      </w:p>
                    </w:tc>
                    <w:tc>
                      <w:tcPr>
                        <w:tcW w:w="1171" w:type="dxa"/>
                      </w:tcPr>
                      <w:p>
                        <w:pPr/>
                      </w:p>
                    </w:tc>
                    <w:tc>
                      <w:tcPr>
                        <w:tcW w:w="520" w:type="dxa"/>
                      </w:tcPr>
                      <w:p>
                        <w:pPr/>
                      </w:p>
                    </w:tc>
                    <w:tc>
                      <w:tcPr>
                        <w:tcW w:w="607" w:type="dxa"/>
                      </w:tcPr>
                      <w:p>
                        <w:pPr>
                          <w:pStyle w:val="TableParagraph"/>
                          <w:spacing w:before="21"/>
                          <w:ind w:right="24"/>
                          <w:jc w:val="right"/>
                          <w:rPr>
                            <w:sz w:val="14"/>
                          </w:rPr>
                        </w:pPr>
                        <w:r>
                          <w:rPr>
                            <w:sz w:val="14"/>
                          </w:rPr>
                          <w:t>(2,563)</w:t>
                        </w:r>
                      </w:p>
                    </w:tc>
                    <w:tc>
                      <w:tcPr>
                        <w:tcW w:w="547" w:type="dxa"/>
                      </w:tcPr>
                      <w:p>
                        <w:pPr/>
                      </w:p>
                    </w:tc>
                    <w:tc>
                      <w:tcPr>
                        <w:tcW w:w="501" w:type="dxa"/>
                      </w:tcPr>
                      <w:p>
                        <w:pPr>
                          <w:pStyle w:val="TableParagraph"/>
                          <w:spacing w:before="21"/>
                          <w:ind w:right="23"/>
                          <w:jc w:val="right"/>
                          <w:rPr>
                            <w:sz w:val="14"/>
                          </w:rPr>
                        </w:pPr>
                        <w:r>
                          <w:rPr>
                            <w:sz w:val="14"/>
                          </w:rPr>
                          <w:t>(652)</w:t>
                        </w:r>
                      </w:p>
                    </w:tc>
                    <w:tc>
                      <w:tcPr>
                        <w:tcW w:w="396" w:type="dxa"/>
                      </w:tcPr>
                      <w:p>
                        <w:pPr/>
                      </w:p>
                    </w:tc>
                    <w:tc>
                      <w:tcPr>
                        <w:tcW w:w="652" w:type="dxa"/>
                      </w:tcPr>
                      <w:p>
                        <w:pPr>
                          <w:pStyle w:val="TableParagraph"/>
                          <w:spacing w:before="21"/>
                          <w:ind w:right="24"/>
                          <w:jc w:val="right"/>
                          <w:rPr>
                            <w:sz w:val="14"/>
                          </w:rPr>
                        </w:pPr>
                        <w:r>
                          <w:rPr>
                            <w:sz w:val="14"/>
                          </w:rPr>
                          <w:t>(12,193)</w:t>
                        </w:r>
                      </w:p>
                    </w:tc>
                    <w:tc>
                      <w:tcPr>
                        <w:tcW w:w="396" w:type="dxa"/>
                      </w:tcPr>
                      <w:p>
                        <w:pPr/>
                      </w:p>
                    </w:tc>
                    <w:tc>
                      <w:tcPr>
                        <w:tcW w:w="653" w:type="dxa"/>
                      </w:tcPr>
                      <w:p>
                        <w:pPr>
                          <w:pStyle w:val="TableParagraph"/>
                          <w:spacing w:before="21"/>
                          <w:ind w:right="25"/>
                          <w:jc w:val="right"/>
                          <w:rPr>
                            <w:sz w:val="14"/>
                          </w:rPr>
                        </w:pPr>
                        <w:r>
                          <w:rPr>
                            <w:sz w:val="14"/>
                          </w:rPr>
                          <w:t>(15,408)</w:t>
                        </w:r>
                      </w:p>
                    </w:tc>
                  </w:tr>
                  <w:tr>
                    <w:trPr>
                      <w:trHeight w:val="219" w:hRule="exact"/>
                    </w:trPr>
                    <w:tc>
                      <w:tcPr>
                        <w:tcW w:w="3546" w:type="dxa"/>
                      </w:tcPr>
                      <w:p>
                        <w:pPr>
                          <w:pStyle w:val="TableParagraph"/>
                          <w:spacing w:before="22"/>
                          <w:ind w:left="35"/>
                          <w:rPr>
                            <w:sz w:val="14"/>
                          </w:rPr>
                        </w:pPr>
                        <w:r>
                          <w:rPr>
                            <w:sz w:val="14"/>
                          </w:rPr>
                          <w:t>Actuarial (losses)/gains in reimburse rights</w:t>
                        </w:r>
                      </w:p>
                    </w:tc>
                    <w:tc>
                      <w:tcPr>
                        <w:tcW w:w="1171" w:type="dxa"/>
                      </w:tcPr>
                      <w:p>
                        <w:pPr/>
                      </w:p>
                    </w:tc>
                    <w:tc>
                      <w:tcPr>
                        <w:tcW w:w="520" w:type="dxa"/>
                        <w:tcBorders>
                          <w:bottom w:val="single" w:sz="0" w:space="0" w:color="000000"/>
                        </w:tcBorders>
                      </w:tcPr>
                      <w:p>
                        <w:pPr/>
                      </w:p>
                    </w:tc>
                    <w:tc>
                      <w:tcPr>
                        <w:tcW w:w="607" w:type="dxa"/>
                        <w:tcBorders>
                          <w:bottom w:val="single" w:sz="0" w:space="0" w:color="000000"/>
                        </w:tcBorders>
                      </w:tcPr>
                      <w:p>
                        <w:pPr>
                          <w:pStyle w:val="TableParagraph"/>
                          <w:spacing w:before="21"/>
                          <w:ind w:right="70"/>
                          <w:jc w:val="right"/>
                          <w:rPr>
                            <w:sz w:val="14"/>
                          </w:rPr>
                        </w:pPr>
                        <w:r>
                          <w:rPr>
                            <w:sz w:val="14"/>
                          </w:rPr>
                          <w:t>4,238</w:t>
                        </w:r>
                      </w:p>
                    </w:tc>
                    <w:tc>
                      <w:tcPr>
                        <w:tcW w:w="547" w:type="dxa"/>
                        <w:tcBorders>
                          <w:bottom w:val="single" w:sz="0" w:space="0" w:color="000000"/>
                        </w:tcBorders>
                      </w:tcPr>
                      <w:p>
                        <w:pPr/>
                      </w:p>
                    </w:tc>
                    <w:tc>
                      <w:tcPr>
                        <w:tcW w:w="501" w:type="dxa"/>
                        <w:tcBorders>
                          <w:bottom w:val="single" w:sz="0" w:space="0" w:color="000000"/>
                        </w:tcBorders>
                      </w:tcPr>
                      <w:p>
                        <w:pPr>
                          <w:pStyle w:val="TableParagraph"/>
                          <w:spacing w:before="21"/>
                          <w:ind w:right="70"/>
                          <w:jc w:val="right"/>
                          <w:rPr>
                            <w:sz w:val="14"/>
                          </w:rPr>
                        </w:pPr>
                        <w:r>
                          <w:rPr>
                            <w:w w:val="100"/>
                            <w:sz w:val="14"/>
                          </w:rPr>
                          <w:t>-</w:t>
                        </w:r>
                      </w:p>
                    </w:tc>
                    <w:tc>
                      <w:tcPr>
                        <w:tcW w:w="396" w:type="dxa"/>
                        <w:tcBorders>
                          <w:bottom w:val="single" w:sz="0" w:space="0" w:color="000000"/>
                        </w:tcBorders>
                      </w:tcPr>
                      <w:p>
                        <w:pPr/>
                      </w:p>
                    </w:tc>
                    <w:tc>
                      <w:tcPr>
                        <w:tcW w:w="652" w:type="dxa"/>
                        <w:tcBorders>
                          <w:bottom w:val="single" w:sz="0" w:space="0" w:color="000000"/>
                        </w:tcBorders>
                      </w:tcPr>
                      <w:p>
                        <w:pPr>
                          <w:pStyle w:val="TableParagraph"/>
                          <w:spacing w:before="21"/>
                          <w:ind w:right="70"/>
                          <w:jc w:val="right"/>
                          <w:rPr>
                            <w:sz w:val="14"/>
                          </w:rPr>
                        </w:pPr>
                        <w:r>
                          <w:rPr>
                            <w:sz w:val="14"/>
                          </w:rPr>
                          <w:t>80,372</w:t>
                        </w:r>
                      </w:p>
                    </w:tc>
                    <w:tc>
                      <w:tcPr>
                        <w:tcW w:w="396" w:type="dxa"/>
                        <w:tcBorders>
                          <w:bottom w:val="single" w:sz="0" w:space="0" w:color="000000"/>
                        </w:tcBorders>
                      </w:tcPr>
                      <w:p>
                        <w:pPr/>
                      </w:p>
                    </w:tc>
                    <w:tc>
                      <w:tcPr>
                        <w:tcW w:w="653" w:type="dxa"/>
                        <w:tcBorders>
                          <w:bottom w:val="single" w:sz="0" w:space="0" w:color="000000"/>
                        </w:tcBorders>
                      </w:tcPr>
                      <w:p>
                        <w:pPr>
                          <w:pStyle w:val="TableParagraph"/>
                          <w:spacing w:before="21"/>
                          <w:ind w:right="71"/>
                          <w:jc w:val="right"/>
                          <w:rPr>
                            <w:sz w:val="14"/>
                          </w:rPr>
                        </w:pPr>
                        <w:r>
                          <w:rPr>
                            <w:sz w:val="14"/>
                          </w:rPr>
                          <w:t>84,610</w:t>
                        </w:r>
                      </w:p>
                    </w:tc>
                  </w:tr>
                  <w:tr>
                    <w:trPr>
                      <w:trHeight w:val="238" w:hRule="exact"/>
                    </w:trPr>
                    <w:tc>
                      <w:tcPr>
                        <w:tcW w:w="3546" w:type="dxa"/>
                      </w:tcPr>
                      <w:p>
                        <w:pPr>
                          <w:pStyle w:val="TableParagraph"/>
                          <w:spacing w:before="41"/>
                          <w:ind w:left="35"/>
                          <w:rPr>
                            <w:sz w:val="14"/>
                          </w:rPr>
                        </w:pPr>
                        <w:r>
                          <w:rPr>
                            <w:sz w:val="14"/>
                          </w:rPr>
                          <w:t>Recognised in other comprehensive income</w:t>
                        </w:r>
                      </w:p>
                    </w:tc>
                    <w:tc>
                      <w:tcPr>
                        <w:tcW w:w="1171" w:type="dxa"/>
                      </w:tcPr>
                      <w:p>
                        <w:pPr/>
                      </w:p>
                    </w:tc>
                    <w:tc>
                      <w:tcPr>
                        <w:tcW w:w="520" w:type="dxa"/>
                        <w:tcBorders>
                          <w:top w:val="single" w:sz="0" w:space="0" w:color="000000"/>
                          <w:bottom w:val="single" w:sz="0" w:space="0" w:color="000000"/>
                        </w:tcBorders>
                      </w:tcPr>
                      <w:p>
                        <w:pPr/>
                      </w:p>
                    </w:tc>
                    <w:tc>
                      <w:tcPr>
                        <w:tcW w:w="607" w:type="dxa"/>
                        <w:tcBorders>
                          <w:top w:val="single" w:sz="0" w:space="0" w:color="000000"/>
                          <w:bottom w:val="single" w:sz="0" w:space="0" w:color="000000"/>
                        </w:tcBorders>
                      </w:tcPr>
                      <w:p>
                        <w:pPr>
                          <w:pStyle w:val="TableParagraph"/>
                          <w:spacing w:before="39"/>
                          <w:ind w:right="70"/>
                          <w:jc w:val="right"/>
                          <w:rPr>
                            <w:sz w:val="14"/>
                          </w:rPr>
                        </w:pPr>
                        <w:r>
                          <w:rPr>
                            <w:w w:val="100"/>
                            <w:sz w:val="14"/>
                          </w:rPr>
                          <w:t>-</w:t>
                        </w:r>
                      </w:p>
                    </w:tc>
                    <w:tc>
                      <w:tcPr>
                        <w:tcW w:w="547" w:type="dxa"/>
                        <w:tcBorders>
                          <w:top w:val="single" w:sz="0" w:space="0" w:color="000000"/>
                          <w:bottom w:val="single" w:sz="0" w:space="0" w:color="000000"/>
                        </w:tcBorders>
                      </w:tcPr>
                      <w:p>
                        <w:pPr/>
                      </w:p>
                    </w:tc>
                    <w:tc>
                      <w:tcPr>
                        <w:tcW w:w="501" w:type="dxa"/>
                        <w:tcBorders>
                          <w:top w:val="single" w:sz="0" w:space="0" w:color="000000"/>
                          <w:bottom w:val="single" w:sz="0" w:space="0" w:color="000000"/>
                        </w:tcBorders>
                      </w:tcPr>
                      <w:p>
                        <w:pPr>
                          <w:pStyle w:val="TableParagraph"/>
                          <w:spacing w:before="39"/>
                          <w:ind w:right="24"/>
                          <w:jc w:val="right"/>
                          <w:rPr>
                            <w:sz w:val="14"/>
                          </w:rPr>
                        </w:pPr>
                        <w:r>
                          <w:rPr>
                            <w:sz w:val="14"/>
                          </w:rPr>
                          <w:t>(1,083)</w:t>
                        </w:r>
                      </w:p>
                    </w:tc>
                    <w:tc>
                      <w:tcPr>
                        <w:tcW w:w="396" w:type="dxa"/>
                        <w:tcBorders>
                          <w:top w:val="single" w:sz="0" w:space="0" w:color="000000"/>
                          <w:bottom w:val="single" w:sz="0" w:space="0" w:color="000000"/>
                        </w:tcBorders>
                      </w:tcPr>
                      <w:p>
                        <w:pPr/>
                      </w:p>
                    </w:tc>
                    <w:tc>
                      <w:tcPr>
                        <w:tcW w:w="652" w:type="dxa"/>
                        <w:tcBorders>
                          <w:top w:val="single" w:sz="0" w:space="0" w:color="000000"/>
                          <w:bottom w:val="single" w:sz="0" w:space="0" w:color="000000"/>
                        </w:tcBorders>
                      </w:tcPr>
                      <w:p>
                        <w:pPr>
                          <w:pStyle w:val="TableParagraph"/>
                          <w:spacing w:before="39"/>
                          <w:ind w:right="70"/>
                          <w:jc w:val="right"/>
                          <w:rPr>
                            <w:sz w:val="14"/>
                          </w:rPr>
                        </w:pPr>
                        <w:r>
                          <w:rPr>
                            <w:w w:val="100"/>
                            <w:sz w:val="14"/>
                          </w:rPr>
                          <w:t>-</w:t>
                        </w:r>
                      </w:p>
                    </w:tc>
                    <w:tc>
                      <w:tcPr>
                        <w:tcW w:w="396" w:type="dxa"/>
                        <w:tcBorders>
                          <w:top w:val="single" w:sz="0" w:space="0" w:color="000000"/>
                          <w:bottom w:val="single" w:sz="0" w:space="0" w:color="000000"/>
                        </w:tcBorders>
                      </w:tcPr>
                      <w:p>
                        <w:pPr/>
                      </w:p>
                    </w:tc>
                    <w:tc>
                      <w:tcPr>
                        <w:tcW w:w="653" w:type="dxa"/>
                        <w:tcBorders>
                          <w:top w:val="single" w:sz="0" w:space="0" w:color="000000"/>
                          <w:bottom w:val="single" w:sz="0" w:space="0" w:color="000000"/>
                        </w:tcBorders>
                      </w:tcPr>
                      <w:p>
                        <w:pPr>
                          <w:pStyle w:val="TableParagraph"/>
                          <w:spacing w:before="39"/>
                          <w:ind w:right="24"/>
                          <w:jc w:val="right"/>
                          <w:rPr>
                            <w:sz w:val="14"/>
                          </w:rPr>
                        </w:pPr>
                        <w:r>
                          <w:rPr>
                            <w:sz w:val="14"/>
                          </w:rPr>
                          <w:t>(1,083)</w:t>
                        </w:r>
                      </w:p>
                    </w:tc>
                  </w:tr>
                </w:tbl>
                <w:p>
                  <w:pPr>
                    <w:pStyle w:val="BodyText"/>
                  </w:pPr>
                </w:p>
              </w:txbxContent>
            </v:textbox>
            <w10:wrap type="none"/>
          </v:shape>
        </w:pict>
      </w:r>
      <w:r>
        <w:rPr/>
        <w:t>(f)</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p>
    <w:p>
      <w:pPr>
        <w:tabs>
          <w:tab w:pos="6761" w:val="left" w:leader="none"/>
          <w:tab w:pos="7576" w:val="left" w:leader="none"/>
          <w:tab w:pos="8859" w:val="left" w:leader="none"/>
          <w:tab w:pos="9673" w:val="left" w:leader="none"/>
        </w:tabs>
        <w:spacing w:before="83"/>
        <w:ind w:left="1071" w:right="92" w:firstLine="0"/>
        <w:jc w:val="left"/>
        <w:rPr>
          <w:sz w:val="14"/>
        </w:rPr>
      </w:pPr>
      <w:r>
        <w:rPr>
          <w:sz w:val="14"/>
        </w:rPr>
        <w:t>Cumulative total net actuarial (losses)</w:t>
      </w:r>
      <w:r>
        <w:rPr>
          <w:spacing w:val="4"/>
          <w:sz w:val="14"/>
        </w:rPr>
        <w:t> </w:t>
      </w:r>
      <w:r>
        <w:rPr>
          <w:sz w:val="14"/>
        </w:rPr>
        <w:t>/ gains</w:t>
        <w:tab/>
        <w:t>-</w:t>
        <w:tab/>
        <w:t>(877)</w:t>
        <w:tab/>
        <w:t>-</w:t>
        <w:tab/>
        <w:t>(877)</w:t>
      </w:r>
    </w:p>
    <w:p>
      <w:pPr>
        <w:spacing w:after="0"/>
        <w:jc w:val="left"/>
        <w:rPr>
          <w:sz w:val="14"/>
        </w:rPr>
        <w:sectPr>
          <w:footerReference w:type="default" r:id="rId95"/>
          <w:pgSz w:w="11910" w:h="16840"/>
          <w:pgMar w:footer="507" w:header="1038" w:top="2220" w:bottom="700" w:left="900" w:right="860"/>
        </w:sectPr>
      </w:pPr>
    </w:p>
    <w:p>
      <w:pPr>
        <w:pStyle w:val="BodyText"/>
        <w:rPr>
          <w:sz w:val="20"/>
        </w:rPr>
      </w:pPr>
    </w:p>
    <w:p>
      <w:pPr>
        <w:pStyle w:val="BodyText"/>
        <w:rPr>
          <w:sz w:val="20"/>
        </w:rPr>
      </w:pPr>
    </w:p>
    <w:p>
      <w:pPr>
        <w:pStyle w:val="BodyText"/>
        <w:spacing w:before="4"/>
      </w:pPr>
    </w:p>
    <w:p>
      <w:pPr>
        <w:pStyle w:val="Heading9"/>
        <w:numPr>
          <w:ilvl w:val="0"/>
          <w:numId w:val="31"/>
        </w:numPr>
        <w:tabs>
          <w:tab w:pos="506" w:val="left" w:leader="none"/>
        </w:tabs>
        <w:spacing w:line="240" w:lineRule="auto" w:before="0" w:after="0"/>
        <w:ind w:left="505" w:right="0" w:hanging="396"/>
        <w:jc w:val="left"/>
      </w:pPr>
      <w:r>
        <w:rPr/>
        <w:t>Events Occurring After the Reporting</w:t>
      </w:r>
      <w:r>
        <w:rPr>
          <w:spacing w:val="-2"/>
        </w:rPr>
        <w:t> </w:t>
      </w:r>
      <w:r>
        <w:rPr/>
        <w:t>Date</w:t>
      </w:r>
    </w:p>
    <w:p>
      <w:pPr>
        <w:pStyle w:val="BodyText"/>
        <w:spacing w:before="11"/>
        <w:rPr>
          <w:b/>
          <w:sz w:val="24"/>
        </w:rPr>
      </w:pPr>
    </w:p>
    <w:p>
      <w:pPr>
        <w:pStyle w:val="BodyText"/>
        <w:ind w:left="505" w:right="99"/>
      </w:pPr>
      <w:r>
        <w:rPr/>
        <w:t>There are no events identified after the Statement of Financial Position date that would have a material impact on the financial statements.</w:t>
      </w:r>
    </w:p>
    <w:p>
      <w:pPr>
        <w:pStyle w:val="BodyText"/>
      </w:pPr>
    </w:p>
    <w:p>
      <w:pPr>
        <w:pStyle w:val="BodyText"/>
      </w:pPr>
    </w:p>
    <w:p>
      <w:pPr>
        <w:pStyle w:val="BodyText"/>
      </w:pPr>
    </w:p>
    <w:p>
      <w:pPr>
        <w:pStyle w:val="Heading9"/>
        <w:spacing w:before="161"/>
        <w:ind w:left="109" w:right="99"/>
      </w:pPr>
      <w:r>
        <w:rPr/>
        <w:t>End of Audited Financial Statements.</w:t>
      </w:r>
    </w:p>
    <w:p>
      <w:pPr>
        <w:spacing w:after="0"/>
        <w:sectPr>
          <w:footerReference w:type="default" r:id="rId96"/>
          <w:pgSz w:w="11910" w:h="16840"/>
          <w:pgMar w:footer="507" w:header="1038" w:top="2220" w:bottom="700" w:left="900" w:right="1080"/>
        </w:sectPr>
      </w:pPr>
    </w:p>
    <w:p>
      <w:pPr>
        <w:pStyle w:val="BodyText"/>
        <w:ind w:left="4466"/>
        <w:rPr>
          <w:sz w:val="20"/>
        </w:rPr>
      </w:pPr>
      <w:r>
        <w:rPr>
          <w:sz w:val="20"/>
        </w:rPr>
        <w:drawing>
          <wp:inline distT="0" distB="0" distL="0" distR="0">
            <wp:extent cx="1011936" cy="1060703"/>
            <wp:effectExtent l="0" t="0" r="0" b="0"/>
            <wp:docPr id="39" name="image47.jpeg" descr=""/>
            <wp:cNvGraphicFramePr>
              <a:graphicFrameLocks noChangeAspect="1"/>
            </wp:cNvGraphicFramePr>
            <a:graphic>
              <a:graphicData uri="http://schemas.openxmlformats.org/drawingml/2006/picture">
                <pic:pic>
                  <pic:nvPicPr>
                    <pic:cNvPr id="40" name="image47.jpeg"/>
                    <pic:cNvPicPr/>
                  </pic:nvPicPr>
                  <pic:blipFill>
                    <a:blip r:embed="rId99" cstate="print"/>
                    <a:stretch>
                      <a:fillRect/>
                    </a:stretch>
                  </pic:blipFill>
                  <pic:spPr>
                    <a:xfrm>
                      <a:off x="0" y="0"/>
                      <a:ext cx="1011936" cy="1060703"/>
                    </a:xfrm>
                    <a:prstGeom prst="rect">
                      <a:avLst/>
                    </a:prstGeom>
                  </pic:spPr>
                </pic:pic>
              </a:graphicData>
            </a:graphic>
          </wp:inline>
        </w:drawing>
      </w:r>
      <w:r>
        <w:rPr>
          <w:sz w:val="20"/>
        </w:rPr>
      </w:r>
    </w:p>
    <w:p>
      <w:pPr>
        <w:pStyle w:val="BodyText"/>
        <w:spacing w:before="8"/>
        <w:rPr>
          <w:b/>
          <w:sz w:val="22"/>
        </w:rPr>
      </w:pPr>
    </w:p>
    <w:p>
      <w:pPr>
        <w:spacing w:before="70"/>
        <w:ind w:left="3194" w:right="894" w:firstLine="0"/>
        <w:jc w:val="left"/>
        <w:rPr>
          <w:b/>
          <w:sz w:val="23"/>
        </w:rPr>
      </w:pPr>
      <w:r>
        <w:rPr>
          <w:b/>
          <w:color w:val="0F0F11"/>
          <w:w w:val="105"/>
          <w:sz w:val="23"/>
        </w:rPr>
        <w:t>INDEPENDENT AUDITOR'S REPORT</w:t>
      </w:r>
    </w:p>
    <w:p>
      <w:pPr>
        <w:pStyle w:val="BodyText"/>
        <w:spacing w:before="1"/>
        <w:rPr>
          <w:b/>
          <w:sz w:val="21"/>
        </w:rPr>
      </w:pPr>
    </w:p>
    <w:p>
      <w:pPr>
        <w:spacing w:before="1"/>
        <w:ind w:left="3871" w:right="894" w:firstLine="0"/>
        <w:jc w:val="left"/>
        <w:rPr>
          <w:b/>
          <w:sz w:val="19"/>
        </w:rPr>
      </w:pPr>
      <w:r>
        <w:rPr>
          <w:b/>
          <w:color w:val="0F0F11"/>
          <w:w w:val="105"/>
          <w:sz w:val="19"/>
        </w:rPr>
        <w:t>University of Western Sydney</w:t>
      </w:r>
    </w:p>
    <w:p>
      <w:pPr>
        <w:pStyle w:val="BodyText"/>
        <w:rPr>
          <w:b/>
        </w:rPr>
      </w:pPr>
    </w:p>
    <w:p>
      <w:pPr>
        <w:pStyle w:val="BodyText"/>
        <w:spacing w:before="3"/>
        <w:rPr>
          <w:b/>
          <w:sz w:val="22"/>
        </w:rPr>
      </w:pPr>
    </w:p>
    <w:p>
      <w:pPr>
        <w:spacing w:before="0"/>
        <w:ind w:left="727" w:right="0" w:firstLine="0"/>
        <w:jc w:val="both"/>
        <w:rPr>
          <w:sz w:val="20"/>
        </w:rPr>
      </w:pPr>
      <w:r>
        <w:rPr>
          <w:color w:val="0F0F11"/>
          <w:sz w:val="20"/>
        </w:rPr>
        <w:t>To Members of the New South Wales Parliament</w:t>
      </w:r>
    </w:p>
    <w:p>
      <w:pPr>
        <w:pStyle w:val="BodyText"/>
        <w:spacing w:before="7"/>
        <w:rPr>
          <w:sz w:val="19"/>
        </w:rPr>
      </w:pPr>
    </w:p>
    <w:p>
      <w:pPr>
        <w:spacing w:line="240" w:lineRule="auto" w:before="0"/>
        <w:ind w:left="722" w:right="624" w:firstLine="14"/>
        <w:jc w:val="both"/>
        <w:rPr>
          <w:sz w:val="20"/>
        </w:rPr>
      </w:pPr>
      <w:r>
        <w:rPr>
          <w:color w:val="0F0F11"/>
          <w:sz w:val="20"/>
        </w:rPr>
        <w:t>I have audited the accompanying financial statements of University of Western Sydney (the University), which comprise the statement of financial pos</w:t>
      </w:r>
      <w:r>
        <w:rPr>
          <w:color w:val="2D2D2D"/>
          <w:sz w:val="20"/>
        </w:rPr>
        <w:t>i</w:t>
      </w:r>
      <w:r>
        <w:rPr>
          <w:color w:val="0F0F11"/>
          <w:sz w:val="20"/>
        </w:rPr>
        <w:t>tion as at 31 December 2012, the income statement, the statement of comprehensive income, the statement of changes in equity and the statements of cash flows for the year then ended, notes comprising a summary of significant accounting policies and other explanatory information of the University and the consolidated entity.  The consolidated entity comprises the University and the entities it controlled at the </w:t>
      </w:r>
      <w:r>
        <w:rPr>
          <w:color w:val="0F0F11"/>
          <w:spacing w:val="3"/>
          <w:sz w:val="20"/>
        </w:rPr>
        <w:t>year</w:t>
      </w:r>
      <w:r>
        <w:rPr>
          <w:color w:val="2D2D2D"/>
          <w:spacing w:val="3"/>
          <w:sz w:val="20"/>
        </w:rPr>
        <w:t>'</w:t>
      </w:r>
      <w:r>
        <w:rPr>
          <w:color w:val="0F0F11"/>
          <w:spacing w:val="3"/>
          <w:sz w:val="20"/>
        </w:rPr>
        <w:t>s </w:t>
      </w:r>
      <w:r>
        <w:rPr>
          <w:color w:val="0F0F11"/>
          <w:sz w:val="20"/>
        </w:rPr>
        <w:t>end or from time to time during the financial</w:t>
      </w:r>
      <w:r>
        <w:rPr>
          <w:color w:val="0F0F11"/>
          <w:spacing w:val="-9"/>
          <w:sz w:val="20"/>
        </w:rPr>
        <w:t> </w:t>
      </w:r>
      <w:r>
        <w:rPr>
          <w:color w:val="0F0F11"/>
          <w:sz w:val="20"/>
        </w:rPr>
        <w:t>year.</w:t>
      </w:r>
    </w:p>
    <w:p>
      <w:pPr>
        <w:pStyle w:val="BodyText"/>
        <w:spacing w:before="6"/>
        <w:rPr>
          <w:sz w:val="20"/>
        </w:rPr>
      </w:pPr>
    </w:p>
    <w:p>
      <w:pPr>
        <w:spacing w:before="0"/>
        <w:ind w:left="727" w:right="0" w:firstLine="0"/>
        <w:jc w:val="both"/>
        <w:rPr>
          <w:b/>
          <w:sz w:val="23"/>
        </w:rPr>
      </w:pPr>
      <w:r>
        <w:rPr>
          <w:b/>
          <w:color w:val="0F0F11"/>
          <w:w w:val="105"/>
          <w:sz w:val="23"/>
        </w:rPr>
        <w:t>Opinion</w:t>
      </w:r>
    </w:p>
    <w:p>
      <w:pPr>
        <w:pStyle w:val="BodyText"/>
        <w:spacing w:before="10"/>
        <w:rPr>
          <w:b/>
          <w:sz w:val="19"/>
        </w:rPr>
      </w:pPr>
    </w:p>
    <w:p>
      <w:pPr>
        <w:spacing w:before="0"/>
        <w:ind w:left="736" w:right="0" w:firstLine="0"/>
        <w:jc w:val="both"/>
        <w:rPr>
          <w:sz w:val="20"/>
        </w:rPr>
      </w:pPr>
      <w:r>
        <w:rPr>
          <w:color w:val="0F0F11"/>
          <w:sz w:val="20"/>
        </w:rPr>
        <w:t>In my opinion</w:t>
      </w:r>
      <w:r>
        <w:rPr>
          <w:color w:val="2D2D2D"/>
          <w:sz w:val="20"/>
        </w:rPr>
        <w:t>, </w:t>
      </w:r>
      <w:r>
        <w:rPr>
          <w:color w:val="0F0F11"/>
          <w:sz w:val="20"/>
        </w:rPr>
        <w:t>the financial statements </w:t>
      </w:r>
      <w:r>
        <w:rPr>
          <w:color w:val="2D2D2D"/>
          <w:sz w:val="20"/>
        </w:rPr>
        <w:t>:</w:t>
      </w:r>
    </w:p>
    <w:p>
      <w:pPr>
        <w:pStyle w:val="BodyText"/>
        <w:spacing w:before="7"/>
        <w:rPr>
          <w:sz w:val="24"/>
        </w:rPr>
      </w:pPr>
    </w:p>
    <w:p>
      <w:pPr>
        <w:pStyle w:val="ListParagraph"/>
        <w:numPr>
          <w:ilvl w:val="1"/>
          <w:numId w:val="31"/>
        </w:numPr>
        <w:tabs>
          <w:tab w:pos="1294" w:val="left" w:leader="none"/>
        </w:tabs>
        <w:spacing w:line="240" w:lineRule="auto" w:before="0" w:after="0"/>
        <w:ind w:left="1298" w:right="627" w:hanging="571"/>
        <w:jc w:val="both"/>
        <w:rPr>
          <w:sz w:val="20"/>
        </w:rPr>
      </w:pPr>
      <w:r>
        <w:rPr>
          <w:color w:val="0F0F11"/>
          <w:sz w:val="20"/>
        </w:rPr>
        <w:t>give a true and fair view of the financial position of the University and the consolidated entity, as at 31 December 2012, and of the financial performance and cash flows for the year then ended in accordance with Australian Accounting</w:t>
      </w:r>
      <w:r>
        <w:rPr>
          <w:color w:val="0F0F11"/>
          <w:spacing w:val="-18"/>
          <w:sz w:val="20"/>
        </w:rPr>
        <w:t> </w:t>
      </w:r>
      <w:r>
        <w:rPr>
          <w:color w:val="0F0F11"/>
          <w:sz w:val="20"/>
        </w:rPr>
        <w:t>Standards</w:t>
      </w:r>
    </w:p>
    <w:p>
      <w:pPr>
        <w:pStyle w:val="ListParagraph"/>
        <w:numPr>
          <w:ilvl w:val="1"/>
          <w:numId w:val="31"/>
        </w:numPr>
        <w:tabs>
          <w:tab w:pos="1294" w:val="left" w:leader="none"/>
        </w:tabs>
        <w:spacing w:line="240" w:lineRule="auto" w:before="58" w:after="0"/>
        <w:ind w:left="1293" w:right="641" w:hanging="571"/>
        <w:jc w:val="both"/>
        <w:rPr>
          <w:sz w:val="20"/>
        </w:rPr>
      </w:pPr>
      <w:r>
        <w:rPr>
          <w:color w:val="0F0F11"/>
          <w:sz w:val="20"/>
        </w:rPr>
        <w:t>are in accordance with section </w:t>
      </w:r>
      <w:r>
        <w:rPr>
          <w:color w:val="0F0F11"/>
          <w:spacing w:val="5"/>
          <w:sz w:val="20"/>
        </w:rPr>
        <w:t>41B </w:t>
      </w:r>
      <w:r>
        <w:rPr>
          <w:color w:val="0F0F11"/>
          <w:sz w:val="20"/>
        </w:rPr>
        <w:t>of the </w:t>
      </w:r>
      <w:r>
        <w:rPr>
          <w:i/>
          <w:color w:val="0F0F11"/>
          <w:sz w:val="20"/>
        </w:rPr>
        <w:t>Public Finance and Audit Act 1983 </w:t>
      </w:r>
      <w:r>
        <w:rPr>
          <w:color w:val="0F0F11"/>
          <w:sz w:val="20"/>
        </w:rPr>
        <w:t>(the PF&amp;A Act) and the Public Finance and Audit Regulation</w:t>
      </w:r>
      <w:r>
        <w:rPr>
          <w:color w:val="0F0F11"/>
          <w:spacing w:val="-12"/>
          <w:sz w:val="20"/>
        </w:rPr>
        <w:t> </w:t>
      </w:r>
      <w:r>
        <w:rPr>
          <w:color w:val="0F0F11"/>
          <w:sz w:val="20"/>
        </w:rPr>
        <w:t>2010</w:t>
      </w:r>
    </w:p>
    <w:p>
      <w:pPr>
        <w:pStyle w:val="ListParagraph"/>
        <w:numPr>
          <w:ilvl w:val="1"/>
          <w:numId w:val="31"/>
        </w:numPr>
        <w:tabs>
          <w:tab w:pos="1294" w:val="left" w:leader="none"/>
        </w:tabs>
        <w:spacing w:line="240" w:lineRule="auto" w:before="58" w:after="0"/>
        <w:ind w:left="1293" w:right="634" w:hanging="571"/>
        <w:jc w:val="both"/>
        <w:rPr>
          <w:i/>
          <w:sz w:val="20"/>
        </w:rPr>
      </w:pPr>
      <w:r>
        <w:rPr>
          <w:color w:val="0F0F11"/>
          <w:sz w:val="20"/>
        </w:rPr>
        <w:t>comply with the 'F</w:t>
      </w:r>
      <w:r>
        <w:rPr>
          <w:color w:val="2D2D2D"/>
          <w:sz w:val="20"/>
        </w:rPr>
        <w:t>i</w:t>
      </w:r>
      <w:r>
        <w:rPr>
          <w:color w:val="0F0F11"/>
          <w:sz w:val="20"/>
        </w:rPr>
        <w:t>nancial Statement Guidel</w:t>
      </w:r>
      <w:r>
        <w:rPr>
          <w:color w:val="2D2D2D"/>
          <w:sz w:val="20"/>
        </w:rPr>
        <w:t>i</w:t>
      </w:r>
      <w:r>
        <w:rPr>
          <w:color w:val="0F0F11"/>
          <w:sz w:val="20"/>
        </w:rPr>
        <w:t>nes for Australian Higher Education Providers for the 2012 Reporting Period</w:t>
      </w:r>
      <w:r>
        <w:rPr>
          <w:color w:val="2D2D2D"/>
          <w:sz w:val="20"/>
        </w:rPr>
        <w:t>' </w:t>
      </w:r>
      <w:r>
        <w:rPr>
          <w:color w:val="0F0F11"/>
          <w:sz w:val="20"/>
        </w:rPr>
        <w:t>(the Guidelines), issued by the Australian Government Department of Industry</w:t>
      </w:r>
      <w:r>
        <w:rPr>
          <w:color w:val="2D2D2D"/>
          <w:sz w:val="20"/>
        </w:rPr>
        <w:t>, </w:t>
      </w:r>
      <w:r>
        <w:rPr>
          <w:color w:val="0F0F11"/>
          <w:sz w:val="20"/>
        </w:rPr>
        <w:t>Innovation, Science, Research and Tertiary Education, pursuant to the </w:t>
      </w:r>
      <w:r>
        <w:rPr>
          <w:i/>
          <w:color w:val="0F0F11"/>
          <w:sz w:val="20"/>
        </w:rPr>
        <w:t>Higher </w:t>
      </w:r>
      <w:r>
        <w:rPr>
          <w:i/>
          <w:color w:val="0F0F11"/>
          <w:sz w:val="20"/>
        </w:rPr>
        <w:t>Education Support Act 2003, </w:t>
      </w:r>
      <w:r>
        <w:rPr>
          <w:color w:val="0F0F11"/>
          <w:sz w:val="20"/>
        </w:rPr>
        <w:t>the </w:t>
      </w:r>
      <w:r>
        <w:rPr>
          <w:i/>
          <w:color w:val="0F0F11"/>
          <w:sz w:val="20"/>
        </w:rPr>
        <w:t>Higher Education Funding Act 1988 </w:t>
      </w:r>
      <w:r>
        <w:rPr>
          <w:color w:val="0F0F11"/>
          <w:sz w:val="20"/>
        </w:rPr>
        <w:t>and the </w:t>
      </w:r>
      <w:r>
        <w:rPr>
          <w:i/>
          <w:color w:val="0F0F11"/>
          <w:sz w:val="20"/>
        </w:rPr>
        <w:t>Australian </w:t>
      </w:r>
      <w:r>
        <w:rPr>
          <w:i/>
          <w:color w:val="0F0F11"/>
          <w:sz w:val="20"/>
        </w:rPr>
        <w:t>Research Council Act</w:t>
      </w:r>
      <w:r>
        <w:rPr>
          <w:i/>
          <w:color w:val="0F0F11"/>
          <w:spacing w:val="-2"/>
          <w:sz w:val="20"/>
        </w:rPr>
        <w:t> </w:t>
      </w:r>
      <w:r>
        <w:rPr>
          <w:i/>
          <w:color w:val="0F0F11"/>
          <w:sz w:val="20"/>
        </w:rPr>
        <w:t>2001</w:t>
      </w:r>
    </w:p>
    <w:p>
      <w:pPr>
        <w:pStyle w:val="BodyText"/>
        <w:rPr>
          <w:i/>
          <w:sz w:val="25"/>
        </w:rPr>
      </w:pPr>
    </w:p>
    <w:p>
      <w:pPr>
        <w:spacing w:before="1"/>
        <w:ind w:left="727" w:right="0" w:firstLine="0"/>
        <w:jc w:val="both"/>
        <w:rPr>
          <w:sz w:val="20"/>
        </w:rPr>
      </w:pPr>
      <w:r>
        <w:rPr>
          <w:color w:val="0F0F11"/>
          <w:sz w:val="20"/>
        </w:rPr>
        <w:t>My opinion should be read in conjunction with the rest of this report.</w:t>
      </w:r>
    </w:p>
    <w:p>
      <w:pPr>
        <w:pStyle w:val="BodyText"/>
        <w:spacing w:before="6"/>
        <w:rPr>
          <w:sz w:val="20"/>
        </w:rPr>
      </w:pPr>
    </w:p>
    <w:p>
      <w:pPr>
        <w:spacing w:before="0"/>
        <w:ind w:left="727" w:right="0" w:firstLine="0"/>
        <w:jc w:val="both"/>
        <w:rPr>
          <w:b/>
          <w:sz w:val="23"/>
        </w:rPr>
      </w:pPr>
      <w:r>
        <w:rPr>
          <w:b/>
          <w:color w:val="0F0F11"/>
          <w:sz w:val="23"/>
        </w:rPr>
        <w:t>University  Board of Trustees'  Responsibility  for  the  Financial Statements</w:t>
      </w:r>
    </w:p>
    <w:p>
      <w:pPr>
        <w:pStyle w:val="BodyText"/>
        <w:spacing w:before="10"/>
        <w:rPr>
          <w:b/>
          <w:sz w:val="19"/>
        </w:rPr>
      </w:pPr>
    </w:p>
    <w:p>
      <w:pPr>
        <w:spacing w:before="0"/>
        <w:ind w:left="712" w:right="636" w:firstLine="0"/>
        <w:jc w:val="both"/>
        <w:rPr>
          <w:sz w:val="20"/>
        </w:rPr>
      </w:pPr>
      <w:r>
        <w:rPr>
          <w:color w:val="0F0F11"/>
          <w:sz w:val="20"/>
        </w:rPr>
        <w:t>The Board of Trustees of the University are respons</w:t>
      </w:r>
      <w:r>
        <w:rPr>
          <w:color w:val="2D2D2D"/>
          <w:sz w:val="20"/>
        </w:rPr>
        <w:t>i</w:t>
      </w:r>
      <w:r>
        <w:rPr>
          <w:color w:val="0F0F11"/>
          <w:sz w:val="20"/>
        </w:rPr>
        <w:t>ble for the preparation of the financial statements that give a true and fair view in accordance with Australian Accounting Standards</w:t>
      </w:r>
      <w:r>
        <w:rPr>
          <w:color w:val="2D2D2D"/>
          <w:sz w:val="20"/>
        </w:rPr>
        <w:t>, </w:t>
      </w:r>
      <w:r>
        <w:rPr>
          <w:color w:val="0F0F11"/>
          <w:sz w:val="20"/>
        </w:rPr>
        <w:t>the PF&amp;A Act and the Gu</w:t>
      </w:r>
      <w:r>
        <w:rPr>
          <w:color w:val="2D2D2D"/>
          <w:sz w:val="20"/>
        </w:rPr>
        <w:t>i</w:t>
      </w:r>
      <w:r>
        <w:rPr>
          <w:color w:val="0F0F11"/>
          <w:sz w:val="20"/>
        </w:rPr>
        <w:t>del</w:t>
      </w:r>
      <w:r>
        <w:rPr>
          <w:color w:val="2D2D2D"/>
          <w:sz w:val="20"/>
        </w:rPr>
        <w:t>i</w:t>
      </w:r>
      <w:r>
        <w:rPr>
          <w:color w:val="0F0F11"/>
          <w:sz w:val="20"/>
        </w:rPr>
        <w:t>nes, and for such internal control as the Board of Trustees determine is necessary to  enable the preparation of the financial statements that are free from material misstatement</w:t>
      </w:r>
      <w:r>
        <w:rPr>
          <w:color w:val="2D2D2D"/>
          <w:sz w:val="20"/>
        </w:rPr>
        <w:t>, </w:t>
      </w:r>
      <w:r>
        <w:rPr>
          <w:color w:val="0F0F11"/>
          <w:sz w:val="20"/>
        </w:rPr>
        <w:t>whether due to fraud or</w:t>
      </w:r>
      <w:r>
        <w:rPr>
          <w:color w:val="0F0F11"/>
          <w:spacing w:val="12"/>
          <w:sz w:val="20"/>
        </w:rPr>
        <w:t> </w:t>
      </w:r>
      <w:r>
        <w:rPr>
          <w:color w:val="0F0F11"/>
          <w:spacing w:val="2"/>
          <w:sz w:val="20"/>
        </w:rPr>
        <w:t>error</w:t>
      </w:r>
      <w:r>
        <w:rPr>
          <w:color w:val="2D2D2D"/>
          <w:spacing w:val="2"/>
          <w:sz w:val="20"/>
        </w:rPr>
        <w:t>.</w:t>
      </w:r>
    </w:p>
    <w:p>
      <w:pPr>
        <w:pStyle w:val="BodyText"/>
        <w:spacing w:before="6"/>
        <w:rPr>
          <w:sz w:val="20"/>
        </w:rPr>
      </w:pPr>
    </w:p>
    <w:p>
      <w:pPr>
        <w:spacing w:before="0"/>
        <w:ind w:left="708" w:right="0" w:firstLine="0"/>
        <w:jc w:val="both"/>
        <w:rPr>
          <w:b/>
          <w:sz w:val="23"/>
        </w:rPr>
      </w:pPr>
      <w:r>
        <w:rPr>
          <w:b/>
          <w:color w:val="0F0F11"/>
          <w:w w:val="105"/>
          <w:sz w:val="23"/>
        </w:rPr>
        <w:t>Auditor's Responsibility</w:t>
      </w:r>
    </w:p>
    <w:p>
      <w:pPr>
        <w:pStyle w:val="BodyText"/>
        <w:spacing w:before="10"/>
        <w:rPr>
          <w:b/>
          <w:sz w:val="19"/>
        </w:rPr>
      </w:pPr>
    </w:p>
    <w:p>
      <w:pPr>
        <w:spacing w:line="240" w:lineRule="auto" w:before="0"/>
        <w:ind w:left="708" w:right="643" w:firstLine="9"/>
        <w:jc w:val="both"/>
        <w:rPr>
          <w:sz w:val="20"/>
        </w:rPr>
      </w:pPr>
      <w:r>
        <w:rPr>
          <w:color w:val="0F0F11"/>
          <w:sz w:val="20"/>
        </w:rPr>
        <w:t>My responsibility is to express an opinion on the financial statements based on my audit. </w:t>
      </w:r>
      <w:r>
        <w:rPr>
          <w:color w:val="2D2D2D"/>
          <w:sz w:val="20"/>
        </w:rPr>
        <w:t>I </w:t>
      </w:r>
      <w:r>
        <w:rPr>
          <w:color w:val="0F0F11"/>
          <w:sz w:val="20"/>
        </w:rPr>
        <w:t>conducted my audit in accordance with Australian Auditing Standards. Those Standards require that  I comply  with relevant ethical requirements relating to audit engagements and plan and perform the audit to obtain reasonable assurance about whether the financial statements are free from material misstatement.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r>
        <w:rPr/>
        <w:pict>
          <v:line style="position:absolute;mso-position-horizontal-relative:page;mso-position-vertical-relative:paragraph;z-index:3880;mso-wrap-distance-left:0;mso-wrap-distance-right:0" from="39.12001pt,18.766726pt" to="548.640010pt,18.766726pt" stroked="true" strokeweight=".48pt" strokecolor="#2f2f2f">
            <w10:wrap type="topAndBottom"/>
          </v:line>
        </w:pict>
      </w:r>
    </w:p>
    <w:p>
      <w:pPr>
        <w:spacing w:after="0"/>
        <w:rPr>
          <w:sz w:val="28"/>
        </w:rPr>
        <w:sectPr>
          <w:headerReference w:type="default" r:id="rId97"/>
          <w:footerReference w:type="default" r:id="rId98"/>
          <w:pgSz w:w="11910" w:h="16840"/>
          <w:pgMar w:header="0" w:footer="567" w:top="960" w:bottom="760" w:left="660" w:right="820"/>
        </w:sectPr>
      </w:pPr>
    </w:p>
    <w:p>
      <w:pPr>
        <w:pStyle w:val="Heading8"/>
        <w:spacing w:before="50"/>
        <w:ind w:left="413" w:right="122"/>
      </w:pPr>
      <w:bookmarkStart w:name="Blank Page" w:id="7"/>
      <w:bookmarkEnd w:id="7"/>
      <w:r>
        <w:rPr/>
      </w:r>
      <w:r>
        <w:rPr>
          <w:color w:val="111113"/>
        </w:rPr>
        <w:t>An audit</w:t>
      </w:r>
      <w:r>
        <w:rPr>
          <w:color w:val="7C7C80"/>
        </w:rPr>
        <w:t>·</w:t>
      </w:r>
      <w:r>
        <w:rPr>
          <w:color w:val="111113"/>
        </w:rPr>
        <w:t>involves performing procedures to obtain audit evidence about the amounts and disclosures in the financial statements. The procedures selected depend on the auditor's judgement, including the assessment of the risks of material misstatement of the financial statements, whether due to fraud or error. In making those risk assessments, the auditor considers internal control relevant to the entity's preparation of the financial statements that give a true and fair view in order to design audit procedures that are appropriate in the circumstances, but not for the purpose of expressing an opinion on the effectiveness of the entity's </w:t>
      </w:r>
      <w:r>
        <w:rPr>
          <w:color w:val="262628"/>
        </w:rPr>
        <w:t>internal </w:t>
      </w:r>
      <w:r>
        <w:rPr>
          <w:color w:val="111113"/>
        </w:rPr>
        <w:t>control. An </w:t>
      </w:r>
      <w:r>
        <w:rPr>
          <w:color w:val="111113"/>
          <w:spacing w:val="-7"/>
        </w:rPr>
        <w:t>a</w:t>
      </w:r>
      <w:r>
        <w:rPr>
          <w:color w:val="BDBDBF"/>
          <w:spacing w:val="-7"/>
        </w:rPr>
        <w:t>·</w:t>
      </w:r>
      <w:r>
        <w:rPr>
          <w:color w:val="111113"/>
          <w:spacing w:val="-7"/>
        </w:rPr>
        <w:t>udit </w:t>
      </w:r>
      <w:r>
        <w:rPr>
          <w:color w:val="111113"/>
        </w:rPr>
        <w:t>also includes evaluating the appropriateness of accounting policies used and the reasonableness of accounting estimates made</w:t>
      </w:r>
      <w:r>
        <w:rPr>
          <w:color w:val="111113"/>
          <w:spacing w:val="-22"/>
        </w:rPr>
        <w:t> </w:t>
      </w:r>
      <w:r>
        <w:rPr>
          <w:color w:val="111113"/>
        </w:rPr>
        <w:t>by the Board of Trustees, as well as evaluating the overall presentation of the financial</w:t>
      </w:r>
      <w:r>
        <w:rPr>
          <w:color w:val="111113"/>
          <w:spacing w:val="-30"/>
        </w:rPr>
        <w:t> </w:t>
      </w:r>
      <w:r>
        <w:rPr>
          <w:color w:val="111113"/>
          <w:spacing w:val="2"/>
        </w:rPr>
        <w:t>statements</w:t>
      </w:r>
      <w:r>
        <w:rPr>
          <w:color w:val="565656"/>
          <w:spacing w:val="2"/>
        </w:rPr>
        <w:t>.</w:t>
      </w:r>
    </w:p>
    <w:p>
      <w:pPr>
        <w:pStyle w:val="BodyText"/>
        <w:rPr>
          <w:sz w:val="20"/>
        </w:rPr>
      </w:pPr>
    </w:p>
    <w:p>
      <w:pPr>
        <w:spacing w:before="0"/>
        <w:ind w:left="418" w:right="117" w:firstLine="4"/>
        <w:jc w:val="both"/>
        <w:rPr>
          <w:sz w:val="20"/>
        </w:rPr>
      </w:pPr>
      <w:r>
        <w:rPr>
          <w:color w:val="111113"/>
          <w:sz w:val="20"/>
        </w:rPr>
        <w:t>I believe that the audit evidence I have obtained is sufficient and appropriate to provide a basis for my audit opinion</w:t>
      </w:r>
      <w:r>
        <w:rPr>
          <w:color w:val="565656"/>
          <w:sz w:val="20"/>
        </w:rPr>
        <w:t>.</w:t>
      </w:r>
    </w:p>
    <w:p>
      <w:pPr>
        <w:pStyle w:val="BodyText"/>
        <w:spacing w:before="9"/>
        <w:rPr>
          <w:sz w:val="16"/>
        </w:rPr>
      </w:pPr>
    </w:p>
    <w:p>
      <w:pPr>
        <w:spacing w:before="0"/>
        <w:ind w:left="423" w:right="0" w:firstLine="0"/>
        <w:jc w:val="both"/>
        <w:rPr>
          <w:sz w:val="20"/>
        </w:rPr>
      </w:pPr>
      <w:r>
        <w:rPr>
          <w:color w:val="111113"/>
          <w:sz w:val="20"/>
        </w:rPr>
        <w:t>My opinion does </w:t>
      </w:r>
      <w:r>
        <w:rPr>
          <w:rFonts w:ascii="Times New Roman"/>
          <w:i/>
          <w:color w:val="111113"/>
          <w:sz w:val="24"/>
        </w:rPr>
        <w:t>not </w:t>
      </w:r>
      <w:r>
        <w:rPr>
          <w:color w:val="111113"/>
          <w:sz w:val="20"/>
        </w:rPr>
        <w:t>provide assurance </w:t>
      </w:r>
      <w:r>
        <w:rPr>
          <w:color w:val="424142"/>
          <w:sz w:val="20"/>
        </w:rPr>
        <w:t>:</w:t>
      </w:r>
    </w:p>
    <w:p>
      <w:pPr>
        <w:pStyle w:val="BodyText"/>
        <w:spacing w:before="2"/>
        <w:rPr>
          <w:sz w:val="24"/>
        </w:rPr>
      </w:pPr>
    </w:p>
    <w:p>
      <w:pPr>
        <w:pStyle w:val="ListParagraph"/>
        <w:numPr>
          <w:ilvl w:val="0"/>
          <w:numId w:val="32"/>
        </w:numPr>
        <w:tabs>
          <w:tab w:pos="984" w:val="left" w:leader="none"/>
        </w:tabs>
        <w:spacing w:line="240" w:lineRule="auto" w:before="0" w:after="0"/>
        <w:ind w:left="983" w:right="0" w:hanging="565"/>
        <w:jc w:val="both"/>
        <w:rPr>
          <w:color w:val="111113"/>
          <w:sz w:val="22"/>
        </w:rPr>
      </w:pPr>
      <w:r>
        <w:rPr>
          <w:color w:val="111113"/>
          <w:sz w:val="20"/>
        </w:rPr>
        <w:t>about the future viability of the University or the consolidated</w:t>
      </w:r>
      <w:r>
        <w:rPr>
          <w:color w:val="111113"/>
          <w:spacing w:val="-26"/>
          <w:sz w:val="20"/>
        </w:rPr>
        <w:t> </w:t>
      </w:r>
      <w:r>
        <w:rPr>
          <w:color w:val="111113"/>
          <w:sz w:val="20"/>
        </w:rPr>
        <w:t>entity</w:t>
      </w:r>
    </w:p>
    <w:p>
      <w:pPr>
        <w:spacing w:before="22"/>
        <w:ind w:left="978" w:right="0" w:firstLine="0"/>
        <w:jc w:val="left"/>
        <w:rPr>
          <w:sz w:val="20"/>
        </w:rPr>
      </w:pPr>
      <w:r>
        <w:rPr>
          <w:color w:val="111113"/>
          <w:sz w:val="20"/>
        </w:rPr>
        <w:t>that they have carried out their activities effectively </w:t>
      </w:r>
      <w:r>
        <w:rPr>
          <w:color w:val="424142"/>
          <w:sz w:val="20"/>
        </w:rPr>
        <w:t>, </w:t>
      </w:r>
      <w:r>
        <w:rPr>
          <w:color w:val="111113"/>
          <w:sz w:val="20"/>
        </w:rPr>
        <w:t>efficiently and economically</w:t>
      </w:r>
    </w:p>
    <w:p>
      <w:pPr>
        <w:pStyle w:val="ListParagraph"/>
        <w:numPr>
          <w:ilvl w:val="0"/>
          <w:numId w:val="32"/>
        </w:numPr>
        <w:tabs>
          <w:tab w:pos="984" w:val="left" w:leader="none"/>
        </w:tabs>
        <w:spacing w:line="240" w:lineRule="auto" w:before="62" w:after="0"/>
        <w:ind w:left="983" w:right="0" w:hanging="570"/>
        <w:jc w:val="left"/>
        <w:rPr>
          <w:color w:val="111113"/>
          <w:sz w:val="22"/>
        </w:rPr>
      </w:pPr>
      <w:r>
        <w:rPr>
          <w:color w:val="111113"/>
          <w:sz w:val="20"/>
        </w:rPr>
        <w:t>about the effectiveness of their internal</w:t>
      </w:r>
      <w:r>
        <w:rPr>
          <w:color w:val="111113"/>
          <w:spacing w:val="-14"/>
          <w:sz w:val="20"/>
        </w:rPr>
        <w:t> </w:t>
      </w:r>
      <w:r>
        <w:rPr>
          <w:color w:val="111113"/>
          <w:sz w:val="20"/>
        </w:rPr>
        <w:t>control</w:t>
      </w:r>
    </w:p>
    <w:p>
      <w:pPr>
        <w:pStyle w:val="ListParagraph"/>
        <w:numPr>
          <w:ilvl w:val="0"/>
          <w:numId w:val="32"/>
        </w:numPr>
        <w:tabs>
          <w:tab w:pos="984" w:val="left" w:leader="none"/>
        </w:tabs>
        <w:spacing w:line="230" w:lineRule="exact" w:before="26" w:after="0"/>
        <w:ind w:left="983" w:right="134" w:hanging="570"/>
        <w:jc w:val="left"/>
        <w:rPr>
          <w:color w:val="111113"/>
          <w:sz w:val="23"/>
        </w:rPr>
      </w:pPr>
      <w:r>
        <w:rPr>
          <w:color w:val="111113"/>
          <w:sz w:val="20"/>
        </w:rPr>
        <w:t>about the security and controls over the electronic publication of the audited financial  statements on any website where they may be</w:t>
      </w:r>
      <w:r>
        <w:rPr>
          <w:color w:val="111113"/>
          <w:spacing w:val="-21"/>
          <w:sz w:val="20"/>
        </w:rPr>
        <w:t> </w:t>
      </w:r>
      <w:r>
        <w:rPr>
          <w:color w:val="111113"/>
          <w:sz w:val="20"/>
        </w:rPr>
        <w:t>presented</w:t>
      </w:r>
    </w:p>
    <w:p>
      <w:pPr>
        <w:spacing w:before="54"/>
        <w:ind w:left="983" w:right="0" w:firstLine="0"/>
        <w:jc w:val="left"/>
        <w:rPr>
          <w:sz w:val="20"/>
        </w:rPr>
      </w:pPr>
      <w:r>
        <w:rPr>
          <w:color w:val="111113"/>
          <w:sz w:val="20"/>
        </w:rPr>
        <w:t>about any other information which may have been hyperlinked to/from the financial statements.</w:t>
      </w:r>
    </w:p>
    <w:p>
      <w:pPr>
        <w:pStyle w:val="BodyText"/>
        <w:spacing w:before="2"/>
        <w:rPr>
          <w:sz w:val="20"/>
        </w:rPr>
      </w:pPr>
    </w:p>
    <w:p>
      <w:pPr>
        <w:spacing w:before="70"/>
        <w:ind w:left="423" w:right="0" w:firstLine="0"/>
        <w:jc w:val="both"/>
        <w:rPr>
          <w:b/>
          <w:sz w:val="23"/>
        </w:rPr>
      </w:pPr>
      <w:r>
        <w:rPr>
          <w:b/>
          <w:color w:val="111113"/>
          <w:w w:val="105"/>
          <w:sz w:val="23"/>
        </w:rPr>
        <w:t>Independence</w:t>
      </w:r>
    </w:p>
    <w:p>
      <w:pPr>
        <w:pStyle w:val="BodyText"/>
        <w:spacing w:before="10"/>
        <w:rPr>
          <w:b/>
          <w:sz w:val="19"/>
        </w:rPr>
      </w:pPr>
    </w:p>
    <w:p>
      <w:pPr>
        <w:spacing w:line="240" w:lineRule="auto" w:before="0"/>
        <w:ind w:left="408" w:right="126" w:firstLine="14"/>
        <w:jc w:val="both"/>
        <w:rPr>
          <w:sz w:val="20"/>
        </w:rPr>
      </w:pPr>
      <w:r>
        <w:rPr>
          <w:color w:val="111113"/>
          <w:sz w:val="20"/>
        </w:rPr>
        <w:t>In conducting my audit, I have complied with the independence requirements of the  Australian Auditing Standards and other relevant ethical pronouncements. The PF&amp;A Act further promotes </w:t>
      </w:r>
      <w:r>
        <w:rPr>
          <w:color w:val="111113"/>
          <w:w w:val="95"/>
          <w:sz w:val="20"/>
        </w:rPr>
        <w:t>independence by:</w:t>
      </w:r>
    </w:p>
    <w:p>
      <w:pPr>
        <w:pStyle w:val="BodyText"/>
        <w:spacing w:before="6"/>
        <w:rPr>
          <w:sz w:val="24"/>
        </w:rPr>
      </w:pPr>
    </w:p>
    <w:p>
      <w:pPr>
        <w:pStyle w:val="ListParagraph"/>
        <w:numPr>
          <w:ilvl w:val="0"/>
          <w:numId w:val="33"/>
        </w:numPr>
        <w:tabs>
          <w:tab w:pos="989" w:val="left" w:leader="none"/>
        </w:tabs>
        <w:spacing w:line="244" w:lineRule="auto" w:before="1" w:after="0"/>
        <w:ind w:left="978" w:right="120" w:hanging="565"/>
        <w:jc w:val="both"/>
        <w:rPr>
          <w:sz w:val="20"/>
        </w:rPr>
      </w:pPr>
      <w:r>
        <w:rPr>
          <w:color w:val="111113"/>
          <w:sz w:val="20"/>
        </w:rPr>
        <w:t>providing that only Parliament, and not the executive government, can remove an Auditor-General</w:t>
      </w:r>
    </w:p>
    <w:p>
      <w:pPr>
        <w:pStyle w:val="ListParagraph"/>
        <w:numPr>
          <w:ilvl w:val="0"/>
          <w:numId w:val="33"/>
        </w:numPr>
        <w:tabs>
          <w:tab w:pos="993" w:val="left" w:leader="none"/>
        </w:tabs>
        <w:spacing w:line="240" w:lineRule="auto" w:before="48" w:after="0"/>
        <w:ind w:left="978" w:right="123" w:hanging="560"/>
        <w:jc w:val="both"/>
        <w:rPr>
          <w:sz w:val="20"/>
        </w:rPr>
      </w:pPr>
      <w:r>
        <w:rPr>
          <w:color w:val="111113"/>
          <w:sz w:val="20"/>
        </w:rPr>
        <w:t>mandating the Auditor-General as auditor of public sector agencies but precluding the provision of non-audit services, thus ensuring the Auditor-General and the Audit Office of New South Wales are not compromised in their roles by the possibility of losing clients or</w:t>
      </w:r>
      <w:r>
        <w:rPr>
          <w:color w:val="111113"/>
          <w:spacing w:val="-15"/>
          <w:sz w:val="20"/>
        </w:rPr>
        <w:t> </w:t>
      </w:r>
      <w:r>
        <w:rPr>
          <w:color w:val="111113"/>
          <w:sz w:val="20"/>
        </w:rPr>
        <w:t>income.</w:t>
      </w:r>
    </w:p>
    <w:p>
      <w:pPr>
        <w:pStyle w:val="BodyText"/>
        <w:rPr>
          <w:sz w:val="20"/>
        </w:rPr>
      </w:pPr>
    </w:p>
    <w:p>
      <w:pPr>
        <w:pStyle w:val="BodyText"/>
        <w:rPr>
          <w:sz w:val="15"/>
        </w:rPr>
      </w:pPr>
      <w:r>
        <w:rPr/>
        <w:drawing>
          <wp:anchor distT="0" distB="0" distL="0" distR="0" allowOverlap="1" layoutInCell="1" locked="0" behindDoc="0" simplePos="0" relativeHeight="3904">
            <wp:simplePos x="0" y="0"/>
            <wp:positionH relativeFrom="page">
              <wp:posOffset>694944</wp:posOffset>
            </wp:positionH>
            <wp:positionV relativeFrom="paragraph">
              <wp:posOffset>134423</wp:posOffset>
            </wp:positionV>
            <wp:extent cx="1463039" cy="609600"/>
            <wp:effectExtent l="0" t="0" r="0" b="0"/>
            <wp:wrapTopAndBottom/>
            <wp:docPr id="41" name="image48.jpeg" descr=""/>
            <wp:cNvGraphicFramePr>
              <a:graphicFrameLocks noChangeAspect="1"/>
            </wp:cNvGraphicFramePr>
            <a:graphic>
              <a:graphicData uri="http://schemas.openxmlformats.org/drawingml/2006/picture">
                <pic:pic>
                  <pic:nvPicPr>
                    <pic:cNvPr id="42" name="image48.jpeg"/>
                    <pic:cNvPicPr/>
                  </pic:nvPicPr>
                  <pic:blipFill>
                    <a:blip r:embed="rId102" cstate="print"/>
                    <a:stretch>
                      <a:fillRect/>
                    </a:stretch>
                  </pic:blipFill>
                  <pic:spPr>
                    <a:xfrm>
                      <a:off x="0" y="0"/>
                      <a:ext cx="1463039" cy="609600"/>
                    </a:xfrm>
                    <a:prstGeom prst="rect">
                      <a:avLst/>
                    </a:prstGeom>
                  </pic:spPr>
                </pic:pic>
              </a:graphicData>
            </a:graphic>
          </wp:anchor>
        </w:drawing>
      </w:r>
    </w:p>
    <w:p>
      <w:pPr>
        <w:spacing w:before="7"/>
        <w:ind w:left="418" w:right="6228" w:firstLine="0"/>
        <w:jc w:val="left"/>
        <w:rPr>
          <w:sz w:val="20"/>
        </w:rPr>
      </w:pPr>
      <w:r>
        <w:rPr>
          <w:color w:val="111113"/>
          <w:sz w:val="20"/>
        </w:rPr>
        <w:t>Renee Meimaroglou, CA Director, Financial Audit</w:t>
      </w:r>
      <w:r>
        <w:rPr>
          <w:color w:val="111113"/>
          <w:spacing w:val="-22"/>
          <w:sz w:val="20"/>
        </w:rPr>
        <w:t> </w:t>
      </w:r>
      <w:r>
        <w:rPr>
          <w:color w:val="111113"/>
          <w:sz w:val="20"/>
        </w:rPr>
        <w:t>Services</w:t>
      </w:r>
    </w:p>
    <w:p>
      <w:pPr>
        <w:pStyle w:val="BodyText"/>
        <w:rPr>
          <w:sz w:val="20"/>
        </w:rPr>
      </w:pPr>
    </w:p>
    <w:p>
      <w:pPr>
        <w:spacing w:before="0"/>
        <w:ind w:left="413" w:right="7186" w:firstLine="9"/>
        <w:jc w:val="left"/>
        <w:rPr>
          <w:sz w:val="20"/>
        </w:rPr>
      </w:pPr>
      <w:r>
        <w:rPr>
          <w:color w:val="111113"/>
          <w:sz w:val="20"/>
        </w:rPr>
        <w:t>10 April 2013 SYDNEY</w:t>
      </w:r>
    </w:p>
    <w:p>
      <w:pPr>
        <w:spacing w:after="0"/>
        <w:jc w:val="left"/>
        <w:rPr>
          <w:sz w:val="20"/>
        </w:rPr>
        <w:sectPr>
          <w:headerReference w:type="default" r:id="rId100"/>
          <w:footerReference w:type="default" r:id="rId101"/>
          <w:pgSz w:w="11910" w:h="16840"/>
          <w:pgMar w:header="0" w:footer="507" w:top="1440" w:bottom="700" w:left="980" w:right="1340"/>
          <w:pgNumType w:start="8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before="56"/>
        <w:ind w:left="2883" w:right="2884" w:firstLine="0"/>
        <w:jc w:val="center"/>
        <w:rPr>
          <w:rFonts w:ascii="Calibri"/>
          <w:sz w:val="22"/>
        </w:rPr>
      </w:pPr>
      <w:bookmarkStart w:name="Blank Page" w:id="8"/>
      <w:bookmarkEnd w:id="8"/>
      <w:r>
        <w:rPr/>
      </w:r>
      <w:r>
        <w:rPr>
          <w:rFonts w:ascii="Calibri"/>
          <w:sz w:val="22"/>
        </w:rPr>
        <w:t>This page is intentionally blank</w:t>
      </w:r>
    </w:p>
    <w:p>
      <w:pPr>
        <w:spacing w:after="0"/>
        <w:jc w:val="center"/>
        <w:rPr>
          <w:rFonts w:ascii="Calibri"/>
          <w:sz w:val="22"/>
        </w:rPr>
        <w:sectPr>
          <w:headerReference w:type="default" r:id="rId103"/>
          <w:footerReference w:type="default" r:id="rId104"/>
          <w:pgSz w:w="11910" w:h="16840"/>
          <w:pgMar w:header="0" w:footer="507" w:top="1580" w:bottom="700" w:left="1680" w:right="1680"/>
          <w:pgNumType w:start="84"/>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1"/>
        <w:rPr>
          <w:rFonts w:ascii="Calibri"/>
          <w:sz w:val="26"/>
        </w:rPr>
      </w:pPr>
    </w:p>
    <w:p>
      <w:pPr>
        <w:pStyle w:val="Heading1"/>
        <w:spacing w:line="641" w:lineRule="exact" w:before="28"/>
      </w:pPr>
      <w:r>
        <w:rPr/>
        <w:t>Television Sydney (TVS) Limited</w:t>
      </w:r>
    </w:p>
    <w:p>
      <w:pPr>
        <w:spacing w:line="227" w:lineRule="exact" w:before="0"/>
        <w:ind w:left="107" w:right="0" w:firstLine="0"/>
        <w:jc w:val="left"/>
        <w:rPr>
          <w:b/>
          <w:sz w:val="20"/>
        </w:rPr>
      </w:pPr>
      <w:r>
        <w:rPr>
          <w:b/>
          <w:sz w:val="20"/>
        </w:rPr>
        <w:t>ABN 27104674124</w:t>
      </w:r>
    </w:p>
    <w:p>
      <w:pPr>
        <w:pStyle w:val="BodyText"/>
        <w:spacing w:before="10"/>
        <w:rPr>
          <w:b/>
          <w:sz w:val="27"/>
        </w:rPr>
      </w:pPr>
    </w:p>
    <w:p>
      <w:pPr>
        <w:spacing w:before="1"/>
        <w:ind w:left="107" w:right="0" w:firstLine="0"/>
        <w:jc w:val="left"/>
        <w:rPr>
          <w:b/>
          <w:sz w:val="28"/>
        </w:rPr>
      </w:pPr>
      <w:r>
        <w:rPr>
          <w:b/>
          <w:sz w:val="28"/>
        </w:rPr>
        <w:t>Financial Statements</w:t>
      </w:r>
    </w:p>
    <w:p>
      <w:pPr>
        <w:spacing w:before="228"/>
        <w:ind w:left="107" w:right="0" w:firstLine="0"/>
        <w:jc w:val="left"/>
        <w:rPr>
          <w:b/>
          <w:sz w:val="20"/>
        </w:rPr>
      </w:pPr>
      <w:r>
        <w:rPr>
          <w:b/>
          <w:sz w:val="20"/>
        </w:rPr>
        <w:t>For the Year Ended 31 December 2012</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9"/>
        </w:rPr>
      </w:pPr>
    </w:p>
    <w:p>
      <w:pPr>
        <w:pStyle w:val="BodyText"/>
        <w:spacing w:line="204" w:lineRule="exact"/>
        <w:ind w:left="107"/>
      </w:pPr>
      <w:r>
        <w:rPr/>
        <w:t>These financial statements are the individual entity statements of Television Sydney (TVS) Limited (the Company). The financial statements are presented in Australian Currency.</w:t>
      </w:r>
    </w:p>
    <w:p>
      <w:pPr>
        <w:pStyle w:val="BodyText"/>
        <w:spacing w:before="6"/>
        <w:rPr>
          <w:sz w:val="14"/>
        </w:rPr>
      </w:pPr>
    </w:p>
    <w:p>
      <w:pPr>
        <w:pStyle w:val="BodyText"/>
        <w:ind w:left="108"/>
      </w:pPr>
      <w:r>
        <w:rPr/>
        <w:t>The company is a company limited by guarantee, incorporated and domiciled in Australia.</w:t>
      </w:r>
    </w:p>
    <w:p>
      <w:pPr>
        <w:pStyle w:val="BodyText"/>
        <w:spacing w:before="8"/>
        <w:rPr>
          <w:sz w:val="14"/>
        </w:rPr>
      </w:pPr>
    </w:p>
    <w:p>
      <w:pPr>
        <w:pStyle w:val="BodyText"/>
        <w:ind w:left="108"/>
      </w:pPr>
      <w:r>
        <w:rPr/>
        <w:t>It's registered office is:</w:t>
      </w:r>
    </w:p>
    <w:p>
      <w:pPr>
        <w:pStyle w:val="BodyText"/>
        <w:spacing w:before="25"/>
        <w:ind w:left="787"/>
      </w:pPr>
      <w:r>
        <w:rPr/>
        <w:t>Television Sydney Limited</w:t>
      </w:r>
    </w:p>
    <w:p>
      <w:pPr>
        <w:pStyle w:val="BodyText"/>
        <w:spacing w:line="273" w:lineRule="auto" w:before="28"/>
        <w:ind w:left="787" w:right="4951"/>
      </w:pPr>
      <w:r>
        <w:rPr/>
        <w:t>UWS Company Secretary, Entities, Finance Office Building M16 College Drive</w:t>
      </w:r>
    </w:p>
    <w:p>
      <w:pPr>
        <w:pStyle w:val="BodyText"/>
        <w:ind w:left="787"/>
      </w:pPr>
      <w:r>
        <w:rPr/>
        <w:t>Richmond NSW 2753</w:t>
      </w:r>
    </w:p>
    <w:p>
      <w:pPr>
        <w:pStyle w:val="BodyText"/>
        <w:spacing w:before="10"/>
        <w:rPr>
          <w:sz w:val="22"/>
        </w:rPr>
      </w:pPr>
    </w:p>
    <w:p>
      <w:pPr>
        <w:pStyle w:val="BodyText"/>
        <w:ind w:left="107"/>
      </w:pPr>
      <w:r>
        <w:rPr/>
        <w:t>The principal place of business is:</w:t>
      </w:r>
    </w:p>
    <w:p>
      <w:pPr>
        <w:pStyle w:val="BodyText"/>
        <w:spacing w:before="28"/>
        <w:ind w:left="787"/>
      </w:pPr>
      <w:r>
        <w:rPr/>
        <w:t>Building BD</w:t>
      </w:r>
    </w:p>
    <w:p>
      <w:pPr>
        <w:pStyle w:val="BodyText"/>
        <w:spacing w:line="273" w:lineRule="auto" w:before="25"/>
        <w:ind w:left="787" w:right="6842"/>
      </w:pPr>
      <w:r>
        <w:rPr/>
        <w:t>Werrington South Campus Penrith NSW 2750</w:t>
      </w:r>
    </w:p>
    <w:p>
      <w:pPr>
        <w:pStyle w:val="BodyText"/>
      </w:pPr>
    </w:p>
    <w:p>
      <w:pPr>
        <w:pStyle w:val="BodyText"/>
        <w:spacing w:before="11"/>
        <w:rPr>
          <w:sz w:val="14"/>
        </w:rPr>
      </w:pPr>
    </w:p>
    <w:p>
      <w:pPr>
        <w:pStyle w:val="BodyText"/>
        <w:spacing w:line="202" w:lineRule="exact"/>
        <w:ind w:left="107" w:right="513"/>
      </w:pPr>
      <w:r>
        <w:rPr/>
        <w:t>A description of the nature of the Company's operations and its principal activities is included in the directors report which form part of these financial statements.</w:t>
      </w:r>
    </w:p>
    <w:p>
      <w:pPr>
        <w:pStyle w:val="BodyText"/>
        <w:spacing w:before="8"/>
        <w:rPr>
          <w:sz w:val="14"/>
        </w:rPr>
      </w:pPr>
    </w:p>
    <w:p>
      <w:pPr>
        <w:pStyle w:val="BodyText"/>
        <w:spacing w:before="1"/>
        <w:ind w:left="107" w:right="958"/>
      </w:pPr>
      <w:r>
        <w:rPr/>
        <w:t>The financial statements were authorised for issue by the directors on 25 March 2013. The directors have the power to amend and reissue the financial statements.</w:t>
      </w:r>
    </w:p>
    <w:p>
      <w:pPr>
        <w:spacing w:after="0"/>
        <w:sectPr>
          <w:headerReference w:type="default" r:id="rId105"/>
          <w:footerReference w:type="default" r:id="rId106"/>
          <w:pgSz w:w="11930" w:h="16850"/>
          <w:pgMar w:header="0" w:footer="507" w:top="1600" w:bottom="700" w:left="900" w:right="1260"/>
          <w:pgNumType w:start="85"/>
        </w:sectPr>
      </w:pPr>
    </w:p>
    <w:p>
      <w:pPr>
        <w:pStyle w:val="BodyText"/>
        <w:spacing w:before="5"/>
        <w:rPr>
          <w:sz w:val="22"/>
        </w:rPr>
      </w:pPr>
    </w:p>
    <w:p>
      <w:pPr>
        <w:spacing w:line="280" w:lineRule="auto" w:before="65"/>
        <w:ind w:left="107" w:right="7289" w:firstLine="26"/>
        <w:jc w:val="left"/>
        <w:rPr>
          <w:b/>
          <w:sz w:val="28"/>
        </w:rPr>
      </w:pPr>
      <w:r>
        <w:rPr>
          <w:b/>
          <w:sz w:val="28"/>
        </w:rPr>
        <w:t>Directors' Report 31 December 2012</w:t>
      </w:r>
    </w:p>
    <w:p>
      <w:pPr>
        <w:pStyle w:val="BodyText"/>
        <w:rPr>
          <w:b/>
          <w:sz w:val="28"/>
        </w:rPr>
      </w:pPr>
    </w:p>
    <w:p>
      <w:pPr>
        <w:pStyle w:val="BodyText"/>
        <w:spacing w:before="1"/>
        <w:rPr>
          <w:b/>
          <w:sz w:val="25"/>
        </w:rPr>
      </w:pPr>
    </w:p>
    <w:p>
      <w:pPr>
        <w:pStyle w:val="Heading9"/>
        <w:spacing w:before="1"/>
        <w:ind w:left="504" w:right="7289"/>
      </w:pPr>
      <w:r>
        <w:rPr/>
        <w:t>Information on Directors</w:t>
      </w:r>
    </w:p>
    <w:p>
      <w:pPr>
        <w:pStyle w:val="BodyText"/>
        <w:spacing w:before="2"/>
        <w:rPr>
          <w:b/>
          <w:sz w:val="25"/>
        </w:rPr>
      </w:pPr>
    </w:p>
    <w:p>
      <w:pPr>
        <w:pStyle w:val="BodyText"/>
        <w:ind w:left="503" w:right="85"/>
      </w:pPr>
      <w:r>
        <w:rPr/>
        <w:t>Your directors present their report on Television Sydney (TVS) Limited (hereafter referred to as "the company") for the financial year ended 31 December 2012.</w:t>
      </w:r>
    </w:p>
    <w:p>
      <w:pPr>
        <w:pStyle w:val="BodyText"/>
        <w:spacing w:before="6"/>
        <w:rPr>
          <w:sz w:val="24"/>
        </w:rPr>
      </w:pPr>
    </w:p>
    <w:p>
      <w:pPr>
        <w:pStyle w:val="Heading9"/>
        <w:ind w:left="504" w:right="7289"/>
      </w:pPr>
      <w:r>
        <w:rPr/>
        <w:t>Directors</w:t>
      </w:r>
    </w:p>
    <w:p>
      <w:pPr>
        <w:pStyle w:val="BodyText"/>
        <w:spacing w:before="4"/>
        <w:rPr>
          <w:b/>
          <w:sz w:val="25"/>
        </w:rPr>
      </w:pPr>
    </w:p>
    <w:p>
      <w:pPr>
        <w:pStyle w:val="BodyText"/>
        <w:spacing w:line="273" w:lineRule="auto"/>
        <w:ind w:left="504" w:right="1289" w:hanging="1"/>
      </w:pPr>
      <w:r>
        <w:rPr/>
        <w:t>The names of each person who has been a director during the year and to the date of this report are: Harold C Mitchell</w:t>
      </w:r>
    </w:p>
    <w:p>
      <w:pPr>
        <w:pStyle w:val="BodyText"/>
        <w:tabs>
          <w:tab w:pos="3079" w:val="left" w:leader="none"/>
        </w:tabs>
        <w:spacing w:before="29"/>
        <w:ind w:left="504" w:right="85"/>
      </w:pPr>
      <w:r>
        <w:rPr/>
        <w:t>Qualifications</w:t>
        <w:tab/>
        <w:t>AC</w:t>
      </w:r>
    </w:p>
    <w:p>
      <w:pPr>
        <w:pStyle w:val="BodyText"/>
        <w:tabs>
          <w:tab w:pos="3079" w:val="left" w:leader="none"/>
        </w:tabs>
        <w:spacing w:line="237" w:lineRule="auto" w:before="58"/>
        <w:ind w:left="3081" w:right="1289" w:hanging="2578"/>
      </w:pPr>
      <w:r>
        <w:rPr/>
        <w:t>Experience</w:t>
        <w:tab/>
        <w:t>Appointed as Director 27 September 2006. Harold Mitchell</w:t>
      </w:r>
      <w:r>
        <w:rPr>
          <w:spacing w:val="-23"/>
        </w:rPr>
        <w:t> </w:t>
      </w:r>
      <w:r>
        <w:rPr/>
        <w:t>is</w:t>
      </w:r>
      <w:r>
        <w:rPr>
          <w:spacing w:val="-4"/>
        </w:rPr>
        <w:t> </w:t>
      </w:r>
      <w:r>
        <w:rPr/>
        <w:t>the</w:t>
      </w:r>
      <w:r>
        <w:rPr>
          <w:w w:val="99"/>
        </w:rPr>
        <w:t> </w:t>
      </w:r>
      <w:r>
        <w:rPr/>
        <w:t>founder of Mitchell &amp; Partners and Executive Chairman of Aegis Media, Australia and New Zealand. Since he started Mitchell &amp; Partners in 1976, the company has evolved to become the largest media and communications group in Australia today, with a growing presence in New Zealand and across the Asia-Pacific region. Harold holds a large number of community roles including Chairman CARE Australia; Chairman of the Melbourne Symphony Orchestra; Chairman and Majority Owner of the Melbourne Rebels Rugby Union team; Chairman of TVS; Chairman of Art Exhibitions Australia; Vice President of Tennis Australia; Chairman of The Florey Institute of Neuroscience and Mental Health; Board Member New York Philharmonic and Non-Executive Director, Crown Limited. Harold was awarded the Victorian Australian of the Year for</w:t>
      </w:r>
      <w:r>
        <w:rPr>
          <w:spacing w:val="-20"/>
        </w:rPr>
        <w:t> </w:t>
      </w:r>
      <w:r>
        <w:rPr/>
        <w:t>2013.</w:t>
      </w:r>
    </w:p>
    <w:p>
      <w:pPr>
        <w:pStyle w:val="BodyText"/>
        <w:tabs>
          <w:tab w:pos="3079" w:val="left" w:leader="none"/>
        </w:tabs>
        <w:spacing w:before="57"/>
        <w:ind w:left="504" w:right="85"/>
      </w:pPr>
      <w:r>
        <w:rPr/>
        <w:t>Special</w:t>
      </w:r>
      <w:r>
        <w:rPr>
          <w:spacing w:val="-3"/>
        </w:rPr>
        <w:t> </w:t>
      </w:r>
      <w:r>
        <w:rPr/>
        <w:t>responsibilities</w:t>
        <w:tab/>
        <w:t>Non executive</w:t>
      </w:r>
      <w:r>
        <w:rPr>
          <w:spacing w:val="-9"/>
        </w:rPr>
        <w:t> </w:t>
      </w:r>
      <w:r>
        <w:rPr/>
        <w:t>chairman</w:t>
      </w:r>
    </w:p>
    <w:p>
      <w:pPr>
        <w:pStyle w:val="BodyText"/>
        <w:spacing w:before="8"/>
        <w:rPr>
          <w:sz w:val="25"/>
        </w:rPr>
      </w:pPr>
    </w:p>
    <w:p>
      <w:pPr>
        <w:pStyle w:val="BodyText"/>
        <w:spacing w:before="1"/>
        <w:ind w:left="504" w:right="7289"/>
      </w:pPr>
      <w:r>
        <w:rPr/>
        <w:t>Sharon Bell</w:t>
      </w:r>
    </w:p>
    <w:p>
      <w:pPr>
        <w:pStyle w:val="BodyText"/>
        <w:tabs>
          <w:tab w:pos="3079" w:val="left" w:leader="none"/>
        </w:tabs>
        <w:spacing w:before="57"/>
        <w:ind w:left="504" w:right="85"/>
      </w:pPr>
      <w:r>
        <w:rPr/>
        <w:t>Qualifications</w:t>
        <w:tab/>
        <w:t>BA Hons, PhD (University of</w:t>
      </w:r>
      <w:r>
        <w:rPr>
          <w:spacing w:val="-17"/>
        </w:rPr>
        <w:t> </w:t>
      </w:r>
      <w:r>
        <w:rPr/>
        <w:t>Sydney)</w:t>
      </w:r>
    </w:p>
    <w:p>
      <w:pPr>
        <w:pStyle w:val="BodyText"/>
        <w:tabs>
          <w:tab w:pos="3079" w:val="left" w:leader="none"/>
        </w:tabs>
        <w:spacing w:line="237" w:lineRule="auto" w:before="61"/>
        <w:ind w:left="3081" w:right="1322" w:hanging="2578"/>
      </w:pPr>
      <w:r>
        <w:rPr/>
        <w:t>Experience</w:t>
        <w:tab/>
        <w:t>Appointed as Director 15 December 2009. Professor Sharon</w:t>
      </w:r>
      <w:r>
        <w:rPr>
          <w:spacing w:val="-28"/>
        </w:rPr>
        <w:t> </w:t>
      </w:r>
      <w:r>
        <w:rPr/>
        <w:t>Bell</w:t>
      </w:r>
      <w:r>
        <w:rPr>
          <w:spacing w:val="-2"/>
        </w:rPr>
        <w:t> </w:t>
      </w:r>
      <w:r>
        <w:rPr/>
        <w:t>is Deputy Vice Chancellor at the Charles Darwin University. Sharon brings to the TVS Board a background as a senior academic administrator, a documentary filmmaker and an anthropologist. Before taking on senior university leadership roles Sharon was a member of Film Australia's Ethnographic Film Unit and Head of Fulltime Program then Head of Studies at the Australian Film, Television and Radio School (AFTRS). Professor Bell has a PhD in Anthropology from the University of Sydney, documentary film production experience and extensive knowledge of film and television education and</w:t>
      </w:r>
      <w:r>
        <w:rPr>
          <w:spacing w:val="-28"/>
        </w:rPr>
        <w:t> </w:t>
      </w:r>
      <w:r>
        <w:rPr/>
        <w:t>training.</w:t>
      </w:r>
    </w:p>
    <w:p>
      <w:pPr>
        <w:pStyle w:val="BodyText"/>
        <w:tabs>
          <w:tab w:pos="3079" w:val="left" w:leader="none"/>
        </w:tabs>
        <w:spacing w:before="57"/>
        <w:ind w:left="504" w:right="85"/>
      </w:pPr>
      <w:r>
        <w:rPr/>
        <w:t>Special</w:t>
      </w:r>
      <w:r>
        <w:rPr>
          <w:spacing w:val="-3"/>
        </w:rPr>
        <w:t> </w:t>
      </w:r>
      <w:r>
        <w:rPr/>
        <w:t>responsibilities</w:t>
        <w:tab/>
        <w:t>Non</w:t>
      </w:r>
      <w:r>
        <w:rPr>
          <w:spacing w:val="-6"/>
        </w:rPr>
        <w:t> </w:t>
      </w:r>
      <w:r>
        <w:rPr/>
        <w:t>executive</w:t>
      </w:r>
    </w:p>
    <w:p>
      <w:pPr>
        <w:pStyle w:val="BodyText"/>
        <w:spacing w:before="9"/>
        <w:rPr>
          <w:sz w:val="25"/>
        </w:rPr>
      </w:pPr>
    </w:p>
    <w:p>
      <w:pPr>
        <w:pStyle w:val="BodyText"/>
        <w:ind w:left="504" w:right="7289"/>
      </w:pPr>
      <w:r>
        <w:rPr/>
        <w:t>Marcus Gillezeau</w:t>
      </w:r>
    </w:p>
    <w:p>
      <w:pPr>
        <w:pStyle w:val="BodyText"/>
        <w:tabs>
          <w:tab w:pos="3079" w:val="left" w:leader="none"/>
        </w:tabs>
        <w:spacing w:before="57"/>
        <w:ind w:left="504" w:right="85"/>
      </w:pPr>
      <w:r>
        <w:rPr/>
        <w:t>Qualifications</w:t>
        <w:tab/>
        <w:t>Masters in Media Arts Production</w:t>
      </w:r>
      <w:r>
        <w:rPr>
          <w:spacing w:val="-13"/>
        </w:rPr>
        <w:t> </w:t>
      </w:r>
      <w:r>
        <w:rPr/>
        <w:t>(UTS)</w:t>
      </w:r>
    </w:p>
    <w:p>
      <w:pPr>
        <w:pStyle w:val="BodyText"/>
        <w:tabs>
          <w:tab w:pos="3079" w:val="left" w:leader="none"/>
        </w:tabs>
        <w:spacing w:line="237" w:lineRule="auto" w:before="61"/>
        <w:ind w:left="3081" w:right="1360" w:hanging="2578"/>
      </w:pPr>
      <w:r>
        <w:rPr/>
        <w:t>Experience</w:t>
        <w:tab/>
        <w:t>Appointed as Director 21 June 2011. Marcus Gillezeau</w:t>
      </w:r>
      <w:r>
        <w:rPr>
          <w:spacing w:val="-23"/>
        </w:rPr>
        <w:t> </w:t>
      </w:r>
      <w:r>
        <w:rPr/>
        <w:t>is</w:t>
      </w:r>
      <w:r>
        <w:rPr>
          <w:spacing w:val="-3"/>
        </w:rPr>
        <w:t> </w:t>
      </w:r>
      <w:r>
        <w:rPr/>
        <w:t>an</w:t>
      </w:r>
      <w:r>
        <w:rPr>
          <w:w w:val="99"/>
        </w:rPr>
        <w:t> </w:t>
      </w:r>
      <w:r>
        <w:rPr/>
        <w:t>International Emmy® Award winning producer who specialises in all- media drama and documentary production. He is a principal in Firelight Productions. Marcus began his film career 20 years ago as a drama editor but was soon drawn to producing. The past five years have seen a focus on writing and directing all-media drama and documentaries. Most recently he completed Scorched, an all-media drama for Nine Network and nine MSN for which he received an International Digital Emmy® Award. The project was also nominated for an AMIA award and AFI Award and won the Content and Technology award for Rich</w:t>
      </w:r>
      <w:r>
        <w:rPr>
          <w:spacing w:val="-12"/>
        </w:rPr>
        <w:t> </w:t>
      </w:r>
      <w:r>
        <w:rPr/>
        <w:t>Media.</w:t>
      </w:r>
    </w:p>
    <w:p>
      <w:pPr>
        <w:pStyle w:val="BodyText"/>
        <w:tabs>
          <w:tab w:pos="3079" w:val="left" w:leader="none"/>
        </w:tabs>
        <w:spacing w:before="88"/>
        <w:ind w:left="504" w:right="85"/>
      </w:pPr>
      <w:r>
        <w:rPr/>
        <w:t>Special</w:t>
      </w:r>
      <w:r>
        <w:rPr>
          <w:spacing w:val="-3"/>
        </w:rPr>
        <w:t> </w:t>
      </w:r>
      <w:r>
        <w:rPr/>
        <w:t>responsibilities</w:t>
        <w:tab/>
        <w:t>Non</w:t>
      </w:r>
      <w:r>
        <w:rPr>
          <w:spacing w:val="-6"/>
        </w:rPr>
        <w:t> </w:t>
      </w:r>
      <w:r>
        <w:rPr/>
        <w:t>executive</w:t>
      </w:r>
    </w:p>
    <w:p>
      <w:pPr>
        <w:spacing w:after="0"/>
        <w:sectPr>
          <w:headerReference w:type="default" r:id="rId107"/>
          <w:pgSz w:w="11930" w:h="16850"/>
          <w:pgMar w:header="1035" w:footer="507" w:top="1460" w:bottom="700" w:left="900" w:right="1040"/>
        </w:sectPr>
      </w:pPr>
    </w:p>
    <w:p>
      <w:pPr>
        <w:pStyle w:val="BodyText"/>
        <w:spacing w:before="5"/>
        <w:rPr>
          <w:sz w:val="22"/>
        </w:rPr>
      </w:pPr>
    </w:p>
    <w:p>
      <w:pPr>
        <w:pStyle w:val="Heading3"/>
        <w:spacing w:line="280" w:lineRule="auto"/>
        <w:ind w:left="134" w:right="6648"/>
      </w:pPr>
      <w:r>
        <w:rPr/>
        <w:t>Directors' Report 31 December 2012</w:t>
      </w:r>
    </w:p>
    <w:p>
      <w:pPr>
        <w:pStyle w:val="Heading9"/>
        <w:spacing w:before="232"/>
        <w:ind w:left="504" w:right="6648"/>
      </w:pPr>
      <w:r>
        <w:rPr/>
        <w:t>Directors continued</w:t>
      </w:r>
    </w:p>
    <w:p>
      <w:pPr>
        <w:pStyle w:val="BodyText"/>
        <w:spacing w:before="33"/>
        <w:ind w:left="504" w:right="6648"/>
      </w:pPr>
      <w:r>
        <w:rPr/>
        <w:t>Rhonda C Hawkins</w:t>
      </w:r>
    </w:p>
    <w:p>
      <w:pPr>
        <w:pStyle w:val="BodyText"/>
        <w:tabs>
          <w:tab w:pos="3079" w:val="left" w:leader="none"/>
        </w:tabs>
        <w:spacing w:before="57"/>
        <w:ind w:left="504" w:right="653"/>
      </w:pPr>
      <w:r>
        <w:rPr/>
        <w:t>Qualifications</w:t>
        <w:tab/>
        <w:t>BSc,</w:t>
      </w:r>
      <w:r>
        <w:rPr>
          <w:spacing w:val="-3"/>
        </w:rPr>
        <w:t> </w:t>
      </w:r>
      <w:r>
        <w:rPr/>
        <w:t>M.P.P.</w:t>
      </w:r>
    </w:p>
    <w:p>
      <w:pPr>
        <w:pStyle w:val="BodyText"/>
        <w:tabs>
          <w:tab w:pos="3079" w:val="left" w:leader="none"/>
        </w:tabs>
        <w:spacing w:line="237" w:lineRule="auto" w:before="61"/>
        <w:ind w:left="3081" w:right="653" w:hanging="2578"/>
      </w:pPr>
      <w:r>
        <w:rPr/>
        <w:t>Experience</w:t>
        <w:tab/>
        <w:t>Appointed as Director 22 November 2007. Rhonda Hawkins</w:t>
      </w:r>
      <w:r>
        <w:rPr>
          <w:spacing w:val="-25"/>
        </w:rPr>
        <w:t> </w:t>
      </w:r>
      <w:r>
        <w:rPr/>
        <w:t>is</w:t>
      </w:r>
      <w:r>
        <w:rPr>
          <w:spacing w:val="-3"/>
        </w:rPr>
        <w:t> </w:t>
      </w:r>
      <w:r>
        <w:rPr/>
        <w:t>a</w:t>
      </w:r>
      <w:r>
        <w:rPr>
          <w:w w:val="99"/>
        </w:rPr>
        <w:t> </w:t>
      </w:r>
      <w:r>
        <w:rPr/>
        <w:t>member of the UWS Senior Executive, Secretary to University’s Board of Trustees and leads the Division which comprises Pro Vice- Chancellor (Students); Student Support Services; Student Recruitment; Widening Participation; Marketing, Communications; Higher Education Policy Project Unit; Student and Academic Administration; Strategy Quality Management; Business Intelligence; Management Information; Capital Works, Finance, Campus Development, Information Technology; Campus Safety and Security, Complaints Resolution, Entity Management, Records and Archive Management; Policy and Governance; University Legal Counsel; People and Culture including Human Resources and Professional Development, Audit Risk Management; Equity and Diversity. Rhonda manages relationships with Government and external stakeholders and leads the development and implementation of strategic plans and risk management framework and she oversees all student non- academic misconduct and staff disciplinary processes at the University.</w:t>
      </w:r>
    </w:p>
    <w:p>
      <w:pPr>
        <w:pStyle w:val="BodyText"/>
        <w:tabs>
          <w:tab w:pos="3079" w:val="left" w:leader="none"/>
        </w:tabs>
        <w:spacing w:before="57"/>
        <w:ind w:left="504" w:right="653"/>
      </w:pPr>
      <w:r>
        <w:rPr/>
        <w:t>Special</w:t>
      </w:r>
      <w:r>
        <w:rPr>
          <w:spacing w:val="-3"/>
        </w:rPr>
        <w:t> </w:t>
      </w:r>
      <w:r>
        <w:rPr/>
        <w:t>responsibilities</w:t>
        <w:tab/>
        <w:t>Non</w:t>
      </w:r>
      <w:r>
        <w:rPr>
          <w:spacing w:val="-6"/>
        </w:rPr>
        <w:t> </w:t>
      </w:r>
      <w:r>
        <w:rPr/>
        <w:t>executive</w:t>
      </w:r>
    </w:p>
    <w:p>
      <w:pPr>
        <w:pStyle w:val="BodyText"/>
        <w:spacing w:before="8"/>
        <w:rPr>
          <w:sz w:val="25"/>
        </w:rPr>
      </w:pPr>
    </w:p>
    <w:p>
      <w:pPr>
        <w:pStyle w:val="BodyText"/>
        <w:spacing w:before="1"/>
        <w:ind w:left="504" w:right="6648"/>
      </w:pPr>
      <w:r>
        <w:rPr/>
        <w:t>Angelo N Kourtis</w:t>
      </w:r>
    </w:p>
    <w:p>
      <w:pPr>
        <w:pStyle w:val="BodyText"/>
        <w:tabs>
          <w:tab w:pos="3079" w:val="left" w:leader="none"/>
        </w:tabs>
        <w:spacing w:before="54"/>
        <w:ind w:left="504" w:right="653"/>
      </w:pPr>
      <w:r>
        <w:rPr/>
        <w:t>Qualifications</w:t>
        <w:tab/>
        <w:t>BA (UWS</w:t>
      </w:r>
      <w:r>
        <w:rPr>
          <w:spacing w:val="-5"/>
        </w:rPr>
        <w:t> </w:t>
      </w:r>
      <w:r>
        <w:rPr/>
        <w:t>Macarthur)</w:t>
      </w:r>
    </w:p>
    <w:p>
      <w:pPr>
        <w:pStyle w:val="BodyText"/>
        <w:tabs>
          <w:tab w:pos="3079" w:val="left" w:leader="none"/>
        </w:tabs>
        <w:spacing w:line="237" w:lineRule="auto" w:before="61"/>
        <w:ind w:left="3081" w:right="749" w:hanging="2578"/>
      </w:pPr>
      <w:r>
        <w:rPr/>
        <w:t>Experience</w:t>
        <w:tab/>
        <w:t>Appointed as Director 21 May 2010. Angelo Kourtis has</w:t>
      </w:r>
      <w:r>
        <w:rPr>
          <w:spacing w:val="-24"/>
        </w:rPr>
        <w:t> </w:t>
      </w:r>
      <w:r>
        <w:rPr/>
        <w:t>been</w:t>
      </w:r>
      <w:r>
        <w:rPr>
          <w:spacing w:val="-2"/>
        </w:rPr>
        <w:t> </w:t>
      </w:r>
      <w:r>
        <w:rPr/>
        <w:t>a</w:t>
      </w:r>
      <w:r>
        <w:rPr>
          <w:w w:val="99"/>
        </w:rPr>
        <w:t> </w:t>
      </w:r>
      <w:r>
        <w:rPr/>
        <w:t>member of the UWS community since 1986, as a student, graduate and commencing as a UWS staff member 1992. Angelo has held senior positions at the University since 2004 and was appointed Pro Vice-Chancellor (Students) in October 2011. Angelo is a member of the University Executive, the Senate Education Committee, and is also on the Board of Directors for the UWSCollege. Over the past 20 years, Angelo has played a leading role at UWS and in the University sector.</w:t>
      </w:r>
    </w:p>
    <w:p>
      <w:pPr>
        <w:pStyle w:val="BodyText"/>
        <w:tabs>
          <w:tab w:pos="3079" w:val="left" w:leader="none"/>
        </w:tabs>
        <w:spacing w:before="57"/>
        <w:ind w:left="504" w:right="653"/>
      </w:pPr>
      <w:r>
        <w:rPr/>
        <w:t>Special</w:t>
      </w:r>
      <w:r>
        <w:rPr>
          <w:spacing w:val="-3"/>
        </w:rPr>
        <w:t> </w:t>
      </w:r>
      <w:r>
        <w:rPr/>
        <w:t>responsibilities</w:t>
        <w:tab/>
        <w:t>Non</w:t>
      </w:r>
      <w:r>
        <w:rPr>
          <w:spacing w:val="-6"/>
        </w:rPr>
        <w:t> </w:t>
      </w:r>
      <w:r>
        <w:rPr/>
        <w:t>executive</w:t>
      </w:r>
    </w:p>
    <w:p>
      <w:pPr>
        <w:pStyle w:val="BodyText"/>
        <w:spacing w:before="9"/>
        <w:rPr>
          <w:sz w:val="25"/>
        </w:rPr>
      </w:pPr>
    </w:p>
    <w:p>
      <w:pPr>
        <w:pStyle w:val="BodyText"/>
        <w:ind w:left="504" w:right="6648"/>
      </w:pPr>
      <w:r>
        <w:rPr/>
        <w:t>Alexander F Marinos</w:t>
      </w:r>
    </w:p>
    <w:p>
      <w:pPr>
        <w:pStyle w:val="BodyText"/>
        <w:tabs>
          <w:tab w:pos="3079" w:val="left" w:leader="none"/>
        </w:tabs>
        <w:spacing w:before="57"/>
        <w:ind w:left="503" w:right="653"/>
      </w:pPr>
      <w:r>
        <w:rPr/>
        <w:t>Qualifications</w:t>
        <w:tab/>
        <w:t>OAM, BA (Hons</w:t>
      </w:r>
      <w:r>
        <w:rPr>
          <w:spacing w:val="-3"/>
        </w:rPr>
        <w:t> </w:t>
      </w:r>
      <w:r>
        <w:rPr/>
        <w:t>Drama)(UNSW)</w:t>
      </w:r>
    </w:p>
    <w:p>
      <w:pPr>
        <w:pStyle w:val="BodyText"/>
        <w:tabs>
          <w:tab w:pos="3079" w:val="left" w:leader="none"/>
        </w:tabs>
        <w:spacing w:line="237" w:lineRule="auto" w:before="61"/>
        <w:ind w:left="3081" w:right="682" w:hanging="2578"/>
      </w:pPr>
      <w:r>
        <w:rPr/>
        <w:t>Experience</w:t>
        <w:tab/>
        <w:t>Appointed as Director 6 February 2008. Lex Marinos has worked</w:t>
      </w:r>
      <w:r>
        <w:rPr>
          <w:spacing w:val="-26"/>
        </w:rPr>
        <w:t> </w:t>
      </w:r>
      <w:r>
        <w:rPr/>
        <w:t>in</w:t>
      </w:r>
      <w:r>
        <w:rPr>
          <w:spacing w:val="-1"/>
        </w:rPr>
        <w:t> </w:t>
      </w:r>
      <w:r>
        <w:rPr/>
        <w:t>all</w:t>
      </w:r>
      <w:r>
        <w:rPr>
          <w:w w:val="99"/>
        </w:rPr>
        <w:t> </w:t>
      </w:r>
      <w:r>
        <w:rPr/>
        <w:t>areas of the entertainment industry as an actor, director, writer, teacher and broadcaster. In 1994 he was awarded an OAM for services to the performing arts. Lex has held many advisory and governance positions within the arts and cultural organisations. He was also a former Deputy Chair of the Australia Council and the Community Cultural Development Fund of the Australia</w:t>
      </w:r>
      <w:r>
        <w:rPr>
          <w:spacing w:val="-27"/>
        </w:rPr>
        <w:t> </w:t>
      </w:r>
      <w:r>
        <w:rPr/>
        <w:t>Council.</w:t>
      </w:r>
    </w:p>
    <w:p>
      <w:pPr>
        <w:pStyle w:val="BodyText"/>
        <w:tabs>
          <w:tab w:pos="3079" w:val="left" w:leader="none"/>
        </w:tabs>
        <w:spacing w:before="57"/>
        <w:ind w:left="503" w:right="653"/>
      </w:pPr>
      <w:r>
        <w:rPr/>
        <w:t>Special</w:t>
      </w:r>
      <w:r>
        <w:rPr>
          <w:spacing w:val="-3"/>
        </w:rPr>
        <w:t> </w:t>
      </w:r>
      <w:r>
        <w:rPr/>
        <w:t>responsibilities</w:t>
        <w:tab/>
        <w:t>Non</w:t>
      </w:r>
      <w:r>
        <w:rPr>
          <w:spacing w:val="-6"/>
        </w:rPr>
        <w:t> </w:t>
      </w:r>
      <w:r>
        <w:rPr/>
        <w:t>executive</w:t>
      </w:r>
    </w:p>
    <w:p>
      <w:pPr>
        <w:pStyle w:val="BodyText"/>
        <w:spacing w:before="9"/>
        <w:rPr>
          <w:sz w:val="25"/>
        </w:rPr>
      </w:pPr>
    </w:p>
    <w:p>
      <w:pPr>
        <w:pStyle w:val="BodyText"/>
        <w:ind w:left="504" w:right="6648"/>
      </w:pPr>
      <w:r>
        <w:rPr/>
        <w:t>Wayne F McKenna</w:t>
      </w:r>
    </w:p>
    <w:p>
      <w:pPr>
        <w:pStyle w:val="BodyText"/>
        <w:tabs>
          <w:tab w:pos="3079" w:val="left" w:leader="none"/>
        </w:tabs>
        <w:spacing w:before="54"/>
        <w:ind w:left="504" w:right="653"/>
      </w:pPr>
      <w:r>
        <w:rPr/>
        <w:t>Qualifications</w:t>
        <w:tab/>
        <w:t>BA (Hons), PhD (University of</w:t>
      </w:r>
      <w:r>
        <w:rPr>
          <w:spacing w:val="-13"/>
        </w:rPr>
        <w:t> </w:t>
      </w:r>
      <w:r>
        <w:rPr/>
        <w:t>Leeds)</w:t>
      </w:r>
    </w:p>
    <w:p>
      <w:pPr>
        <w:pStyle w:val="BodyText"/>
        <w:tabs>
          <w:tab w:pos="3079" w:val="left" w:leader="none"/>
        </w:tabs>
        <w:spacing w:line="237" w:lineRule="auto" w:before="61"/>
        <w:ind w:left="3081" w:right="671" w:hanging="2578"/>
      </w:pPr>
      <w:r>
        <w:rPr/>
        <w:t>Experience</w:t>
        <w:tab/>
        <w:t>Appointed as Director 6 February 2008. Professor</w:t>
      </w:r>
      <w:r>
        <w:rPr>
          <w:spacing w:val="-24"/>
        </w:rPr>
        <w:t> </w:t>
      </w:r>
      <w:r>
        <w:rPr/>
        <w:t>Wayne</w:t>
      </w:r>
      <w:r>
        <w:rPr>
          <w:spacing w:val="-1"/>
        </w:rPr>
        <w:t> </w:t>
      </w:r>
      <w:r>
        <w:rPr/>
        <w:t>McKenna</w:t>
      </w:r>
      <w:r>
        <w:rPr>
          <w:w w:val="99"/>
        </w:rPr>
        <w:t> </w:t>
      </w:r>
      <w:r>
        <w:rPr/>
        <w:t>has fifteen years experience in senior management roles in universities, including periods as Deputy Vice-Chancellor (Academic and Research) at UWS and Deputy Vice-Chancellor (Research) at the Australian Catholic</w:t>
      </w:r>
      <w:r>
        <w:rPr>
          <w:spacing w:val="-15"/>
        </w:rPr>
        <w:t> </w:t>
      </w:r>
      <w:r>
        <w:rPr/>
        <w:t>University.</w:t>
      </w:r>
    </w:p>
    <w:p>
      <w:pPr>
        <w:pStyle w:val="BodyText"/>
        <w:spacing w:before="1"/>
        <w:rPr>
          <w:sz w:val="14"/>
        </w:rPr>
      </w:pPr>
    </w:p>
    <w:p>
      <w:pPr>
        <w:pStyle w:val="BodyText"/>
        <w:tabs>
          <w:tab w:pos="3079" w:val="left" w:leader="none"/>
        </w:tabs>
        <w:spacing w:before="77"/>
        <w:ind w:left="504" w:right="653"/>
      </w:pPr>
      <w:r>
        <w:rPr/>
        <w:t>Special</w:t>
      </w:r>
      <w:r>
        <w:rPr>
          <w:spacing w:val="-3"/>
        </w:rPr>
        <w:t> </w:t>
      </w:r>
      <w:r>
        <w:rPr/>
        <w:t>responsibilities</w:t>
        <w:tab/>
        <w:t>Non</w:t>
      </w:r>
      <w:r>
        <w:rPr>
          <w:spacing w:val="-6"/>
        </w:rPr>
        <w:t> </w:t>
      </w:r>
      <w:r>
        <w:rPr/>
        <w:t>executive</w:t>
      </w:r>
    </w:p>
    <w:p>
      <w:pPr>
        <w:spacing w:after="0"/>
        <w:sectPr>
          <w:pgSz w:w="11930" w:h="16850"/>
          <w:pgMar w:header="1035" w:footer="507" w:top="1460" w:bottom="700" w:left="900" w:right="1680"/>
        </w:sectPr>
      </w:pPr>
    </w:p>
    <w:p>
      <w:pPr>
        <w:pStyle w:val="BodyText"/>
        <w:spacing w:before="5"/>
        <w:rPr>
          <w:sz w:val="22"/>
        </w:rPr>
      </w:pPr>
    </w:p>
    <w:p>
      <w:pPr>
        <w:pStyle w:val="Heading3"/>
        <w:spacing w:line="280" w:lineRule="auto"/>
        <w:ind w:left="134" w:right="6908"/>
      </w:pPr>
      <w:r>
        <w:rPr/>
        <w:t>Directors' Report 31 December 2012</w:t>
      </w:r>
    </w:p>
    <w:p>
      <w:pPr>
        <w:pStyle w:val="Heading9"/>
        <w:spacing w:before="232"/>
        <w:ind w:left="504" w:right="6908"/>
      </w:pPr>
      <w:r>
        <w:rPr/>
        <w:t>Directors continued</w:t>
      </w:r>
    </w:p>
    <w:p>
      <w:pPr>
        <w:pStyle w:val="BodyText"/>
        <w:spacing w:before="8"/>
        <w:rPr>
          <w:b/>
          <w:sz w:val="23"/>
        </w:rPr>
      </w:pPr>
    </w:p>
    <w:p>
      <w:pPr>
        <w:pStyle w:val="BodyText"/>
        <w:ind w:left="504" w:right="6908"/>
      </w:pPr>
      <w:r>
        <w:rPr/>
        <w:t>Geoffrey M Roberson</w:t>
      </w:r>
    </w:p>
    <w:p>
      <w:pPr>
        <w:pStyle w:val="BodyText"/>
        <w:tabs>
          <w:tab w:pos="3079" w:val="left" w:leader="none"/>
        </w:tabs>
        <w:spacing w:before="54"/>
        <w:ind w:left="504" w:right="954"/>
      </w:pPr>
      <w:r>
        <w:rPr/>
        <w:t>Qualifications</w:t>
        <w:tab/>
        <w:t>HonDLit</w:t>
      </w:r>
      <w:r>
        <w:rPr>
          <w:spacing w:val="-5"/>
        </w:rPr>
        <w:t> </w:t>
      </w:r>
      <w:r>
        <w:rPr/>
        <w:t>(UWS)</w:t>
      </w:r>
    </w:p>
    <w:p>
      <w:pPr>
        <w:pStyle w:val="BodyText"/>
        <w:tabs>
          <w:tab w:pos="3079" w:val="left" w:leader="none"/>
        </w:tabs>
        <w:spacing w:line="237" w:lineRule="auto" w:before="61"/>
        <w:ind w:left="3081" w:right="954" w:hanging="2578"/>
      </w:pPr>
      <w:r>
        <w:rPr/>
        <w:t>Experience</w:t>
        <w:tab/>
        <w:t>Appointed as Director 3 June 2004. Geoffrey Roberson</w:t>
      </w:r>
      <w:r>
        <w:rPr>
          <w:spacing w:val="-26"/>
        </w:rPr>
        <w:t> </w:t>
      </w:r>
      <w:r>
        <w:rPr/>
        <w:t>is</w:t>
      </w:r>
      <w:r>
        <w:rPr>
          <w:spacing w:val="-2"/>
        </w:rPr>
        <w:t> </w:t>
      </w:r>
      <w:r>
        <w:rPr/>
        <w:t>Chairman</w:t>
      </w:r>
      <w:r>
        <w:rPr>
          <w:w w:val="99"/>
        </w:rPr>
        <w:t> </w:t>
      </w:r>
      <w:r>
        <w:rPr/>
        <w:t>and Managing Director of Champion Legal and leads the firm’s Commercial, Litigation and Dispute Resolution practice. He has over 40 years’ experience as a commercial lawyer and litigator. He is a solicitor of the Supreme Court of NSW and an Accredited Specialist in Commercial Litigation. He provides strategic advice to boards and management teams on all aspects of the Corporations Act, including: constitutions, board and committee roles and processes, director duties, employee incentive schemes, conflicts and</w:t>
      </w:r>
      <w:r>
        <w:rPr>
          <w:spacing w:val="-28"/>
        </w:rPr>
        <w:t> </w:t>
      </w:r>
      <w:r>
        <w:rPr/>
        <w:t>disclosure.</w:t>
      </w:r>
    </w:p>
    <w:p>
      <w:pPr>
        <w:pStyle w:val="BodyText"/>
        <w:ind w:left="3081" w:right="1126"/>
      </w:pPr>
      <w:r>
        <w:rPr/>
        <w:t>Geoffrey is a former Deputy Chancellor of the University of Western Sydney and is still very actively involved in a number of University activities. He was the founding Chairman of the University’s entity, uwsconnect. He also was founding Chairman of Television Sydney. He remains a Director of both uwsconnect. and Television Sydney and chairs the board of the Whitlam Institute. He was recently appointed an Emeritus Member of The College of Law.</w:t>
      </w:r>
    </w:p>
    <w:p>
      <w:pPr>
        <w:pStyle w:val="BodyText"/>
        <w:tabs>
          <w:tab w:pos="3079" w:val="left" w:leader="none"/>
        </w:tabs>
        <w:spacing w:before="57"/>
        <w:ind w:left="504" w:right="954"/>
      </w:pPr>
      <w:r>
        <w:rPr/>
        <w:t>Special</w:t>
      </w:r>
      <w:r>
        <w:rPr>
          <w:spacing w:val="-3"/>
        </w:rPr>
        <w:t> </w:t>
      </w:r>
      <w:r>
        <w:rPr/>
        <w:t>responsibilities</w:t>
        <w:tab/>
        <w:t>Non</w:t>
      </w:r>
      <w:r>
        <w:rPr>
          <w:spacing w:val="-6"/>
        </w:rPr>
        <w:t> </w:t>
      </w:r>
      <w:r>
        <w:rPr/>
        <w:t>executive</w:t>
      </w:r>
    </w:p>
    <w:p>
      <w:pPr>
        <w:pStyle w:val="BodyText"/>
        <w:spacing w:before="9"/>
        <w:rPr>
          <w:sz w:val="25"/>
        </w:rPr>
      </w:pPr>
    </w:p>
    <w:p>
      <w:pPr>
        <w:pStyle w:val="BodyText"/>
        <w:ind w:left="504" w:right="6908"/>
      </w:pPr>
      <w:r>
        <w:rPr/>
        <w:t>Christina L Alvarez</w:t>
      </w:r>
    </w:p>
    <w:p>
      <w:pPr>
        <w:pStyle w:val="BodyText"/>
        <w:tabs>
          <w:tab w:pos="3079" w:val="left" w:leader="none"/>
        </w:tabs>
        <w:spacing w:before="54"/>
        <w:ind w:left="503" w:right="954"/>
      </w:pPr>
      <w:r>
        <w:rPr/>
        <w:t>Qualifications</w:t>
        <w:tab/>
        <w:t>BA Comms (Macquarie Uni), MA Comms (Ohio Uni.</w:t>
      </w:r>
      <w:r>
        <w:rPr>
          <w:spacing w:val="-19"/>
        </w:rPr>
        <w:t> </w:t>
      </w:r>
      <w:r>
        <w:rPr/>
        <w:t>UWS)</w:t>
      </w:r>
    </w:p>
    <w:p>
      <w:pPr>
        <w:pStyle w:val="BodyText"/>
        <w:tabs>
          <w:tab w:pos="3079" w:val="left" w:leader="none"/>
        </w:tabs>
        <w:spacing w:before="57"/>
        <w:ind w:left="3081" w:right="1033" w:hanging="2578"/>
      </w:pPr>
      <w:r>
        <w:rPr/>
        <w:t>Experience</w:t>
        <w:tab/>
        <w:t>Appointed as Alternate Director 21 June 2011. Christina</w:t>
      </w:r>
      <w:r>
        <w:rPr>
          <w:spacing w:val="-24"/>
        </w:rPr>
        <w:t> </w:t>
      </w:r>
      <w:r>
        <w:rPr/>
        <w:t>Alvarez</w:t>
      </w:r>
      <w:r>
        <w:rPr>
          <w:spacing w:val="-4"/>
        </w:rPr>
        <w:t> </w:t>
      </w:r>
      <w:r>
        <w:rPr/>
        <w:t>is Chief Executive Officer of Metro Screen Ltd and is a specialist in not- for-profit screen media arts</w:t>
      </w:r>
      <w:r>
        <w:rPr>
          <w:spacing w:val="-16"/>
        </w:rPr>
        <w:t> </w:t>
      </w:r>
      <w:r>
        <w:rPr/>
        <w:t>management.</w:t>
      </w:r>
    </w:p>
    <w:p>
      <w:pPr>
        <w:pStyle w:val="BodyText"/>
        <w:tabs>
          <w:tab w:pos="3079" w:val="left" w:leader="none"/>
        </w:tabs>
        <w:spacing w:before="59"/>
        <w:ind w:left="504" w:right="954"/>
      </w:pPr>
      <w:r>
        <w:rPr/>
        <w:t>Special</w:t>
      </w:r>
      <w:r>
        <w:rPr>
          <w:spacing w:val="-3"/>
        </w:rPr>
        <w:t> </w:t>
      </w:r>
      <w:r>
        <w:rPr/>
        <w:t>responsibilities</w:t>
        <w:tab/>
        <w:t>Non executive - alternate for Marcus</w:t>
      </w:r>
      <w:r>
        <w:rPr>
          <w:spacing w:val="-19"/>
        </w:rPr>
        <w:t> </w:t>
      </w:r>
      <w:r>
        <w:rPr/>
        <w:t>Gillezeau.</w:t>
      </w:r>
    </w:p>
    <w:p>
      <w:pPr>
        <w:pStyle w:val="BodyText"/>
        <w:spacing w:before="9"/>
        <w:rPr>
          <w:sz w:val="25"/>
        </w:rPr>
      </w:pPr>
    </w:p>
    <w:p>
      <w:pPr>
        <w:pStyle w:val="BodyText"/>
        <w:ind w:left="504" w:right="6908"/>
      </w:pPr>
      <w:r>
        <w:rPr/>
        <w:t>Lynette Burns</w:t>
      </w:r>
    </w:p>
    <w:p>
      <w:pPr>
        <w:pStyle w:val="BodyText"/>
        <w:tabs>
          <w:tab w:pos="3079" w:val="left" w:leader="none"/>
        </w:tabs>
        <w:spacing w:before="54"/>
        <w:ind w:left="504" w:right="954"/>
      </w:pPr>
      <w:r>
        <w:rPr/>
        <w:t>Qualifications</w:t>
        <w:tab/>
        <w:t>(BA  Journalism RMIT,  PhD University of</w:t>
      </w:r>
      <w:r>
        <w:rPr>
          <w:spacing w:val="-20"/>
        </w:rPr>
        <w:t> </w:t>
      </w:r>
      <w:r>
        <w:rPr/>
        <w:t>Newcastle)</w:t>
      </w:r>
    </w:p>
    <w:p>
      <w:pPr>
        <w:pStyle w:val="BodyText"/>
        <w:tabs>
          <w:tab w:pos="3079" w:val="left" w:leader="none"/>
        </w:tabs>
        <w:spacing w:line="237" w:lineRule="auto" w:before="61"/>
        <w:ind w:left="3081" w:right="1121" w:hanging="2578"/>
      </w:pPr>
      <w:r>
        <w:rPr/>
        <w:t>Experience</w:t>
        <w:tab/>
        <w:t>Appointed as Alternate Director 19 March 2010.</w:t>
      </w:r>
      <w:r>
        <w:rPr>
          <w:spacing w:val="-24"/>
        </w:rPr>
        <w:t> </w:t>
      </w:r>
      <w:r>
        <w:rPr/>
        <w:t>Lynette</w:t>
      </w:r>
      <w:r>
        <w:rPr>
          <w:spacing w:val="-3"/>
        </w:rPr>
        <w:t> </w:t>
      </w:r>
      <w:r>
        <w:rPr/>
        <w:t>Sheridan</w:t>
      </w:r>
      <w:r>
        <w:rPr>
          <w:w w:val="99"/>
        </w:rPr>
        <w:t> </w:t>
      </w:r>
      <w:r>
        <w:rPr/>
        <w:t>Burns is Professor of Journalism and Deputy Dean, Humanities and Communication Arts, at the University of Western</w:t>
      </w:r>
      <w:r>
        <w:rPr>
          <w:spacing w:val="-23"/>
        </w:rPr>
        <w:t> </w:t>
      </w:r>
      <w:r>
        <w:rPr/>
        <w:t>Sydney.</w:t>
      </w:r>
    </w:p>
    <w:p>
      <w:pPr>
        <w:pStyle w:val="BodyText"/>
        <w:tabs>
          <w:tab w:pos="3079" w:val="left" w:leader="none"/>
        </w:tabs>
        <w:spacing w:before="57"/>
        <w:ind w:left="504" w:right="954"/>
      </w:pPr>
      <w:r>
        <w:rPr/>
        <w:t>Special</w:t>
      </w:r>
      <w:r>
        <w:rPr>
          <w:spacing w:val="-3"/>
        </w:rPr>
        <w:t> </w:t>
      </w:r>
      <w:r>
        <w:rPr/>
        <w:t>responsibilities</w:t>
        <w:tab/>
        <w:t>Non executive - alternate for Wayne</w:t>
      </w:r>
      <w:r>
        <w:rPr>
          <w:spacing w:val="-15"/>
        </w:rPr>
        <w:t> </w:t>
      </w:r>
      <w:r>
        <w:rPr/>
        <w:t>McKenna.</w:t>
      </w:r>
    </w:p>
    <w:p>
      <w:pPr>
        <w:pStyle w:val="BodyText"/>
        <w:spacing w:before="9"/>
        <w:rPr>
          <w:sz w:val="25"/>
        </w:rPr>
      </w:pPr>
    </w:p>
    <w:p>
      <w:pPr>
        <w:pStyle w:val="BodyText"/>
        <w:ind w:left="504" w:right="6908"/>
      </w:pPr>
      <w:r>
        <w:rPr/>
        <w:t>Peter A Malecki</w:t>
      </w:r>
    </w:p>
    <w:p>
      <w:pPr>
        <w:pStyle w:val="BodyText"/>
        <w:tabs>
          <w:tab w:pos="3079" w:val="left" w:leader="none"/>
        </w:tabs>
        <w:spacing w:before="57"/>
        <w:ind w:left="503" w:right="954"/>
      </w:pPr>
      <w:r>
        <w:rPr/>
        <w:t>Qualifications</w:t>
        <w:tab/>
        <w:t>BA LLB</w:t>
      </w:r>
      <w:r>
        <w:rPr>
          <w:spacing w:val="-3"/>
        </w:rPr>
        <w:t> </w:t>
      </w:r>
      <w:r>
        <w:rPr/>
        <w:t>GAICD</w:t>
      </w:r>
    </w:p>
    <w:p>
      <w:pPr>
        <w:pStyle w:val="BodyText"/>
        <w:tabs>
          <w:tab w:pos="3079" w:val="left" w:leader="none"/>
        </w:tabs>
        <w:spacing w:before="54"/>
        <w:ind w:left="3081" w:right="1001" w:hanging="2578"/>
      </w:pPr>
      <w:r>
        <w:rPr/>
        <w:t>Experience</w:t>
        <w:tab/>
        <w:t>Appointed as Alternate Director 1 February 2010. Peter</w:t>
      </w:r>
      <w:r>
        <w:rPr>
          <w:spacing w:val="-23"/>
        </w:rPr>
        <w:t> </w:t>
      </w:r>
      <w:r>
        <w:rPr/>
        <w:t>Malecki</w:t>
      </w:r>
      <w:r>
        <w:rPr>
          <w:spacing w:val="-5"/>
        </w:rPr>
        <w:t> </w:t>
      </w:r>
      <w:r>
        <w:rPr/>
        <w:t>has 25 years experience as a commercial lawyer with an emphasis on intellectual property, working both in Australia and overseas in a wide variety of</w:t>
      </w:r>
      <w:r>
        <w:rPr>
          <w:spacing w:val="-6"/>
        </w:rPr>
        <w:t> </w:t>
      </w:r>
      <w:r>
        <w:rPr/>
        <w:t>sectors.</w:t>
      </w:r>
    </w:p>
    <w:p>
      <w:pPr>
        <w:pStyle w:val="BodyText"/>
        <w:tabs>
          <w:tab w:pos="3079" w:val="left" w:leader="none"/>
        </w:tabs>
        <w:spacing w:before="57"/>
        <w:ind w:left="503" w:right="954"/>
      </w:pPr>
      <w:r>
        <w:rPr/>
        <w:t>Special</w:t>
      </w:r>
      <w:r>
        <w:rPr>
          <w:spacing w:val="-3"/>
        </w:rPr>
        <w:t> </w:t>
      </w:r>
      <w:r>
        <w:rPr/>
        <w:t>responsibilities</w:t>
        <w:tab/>
        <w:t>Non executive - alternate for Rhonda</w:t>
      </w:r>
      <w:r>
        <w:rPr>
          <w:spacing w:val="-17"/>
        </w:rPr>
        <w:t> </w:t>
      </w:r>
      <w:r>
        <w:rPr/>
        <w:t>Hawkins.</w:t>
      </w:r>
    </w:p>
    <w:p>
      <w:pPr>
        <w:pStyle w:val="BodyText"/>
      </w:pPr>
    </w:p>
    <w:p>
      <w:pPr>
        <w:pStyle w:val="Heading9"/>
        <w:spacing w:before="142"/>
        <w:ind w:left="504" w:right="6908"/>
      </w:pPr>
      <w:r>
        <w:rPr/>
        <w:t>Company Secretary</w:t>
      </w:r>
    </w:p>
    <w:p>
      <w:pPr>
        <w:pStyle w:val="BodyText"/>
        <w:tabs>
          <w:tab w:pos="3079" w:val="left" w:leader="none"/>
        </w:tabs>
        <w:spacing w:before="59"/>
        <w:ind w:left="504" w:right="954"/>
      </w:pPr>
      <w:r>
        <w:rPr/>
        <w:t>Kerry</w:t>
      </w:r>
      <w:r>
        <w:rPr>
          <w:spacing w:val="-2"/>
        </w:rPr>
        <w:t> </w:t>
      </w:r>
      <w:r>
        <w:rPr/>
        <w:t>O'Reilly</w:t>
        <w:tab/>
        <w:t>.</w:t>
      </w:r>
    </w:p>
    <w:p>
      <w:pPr>
        <w:pStyle w:val="BodyText"/>
        <w:tabs>
          <w:tab w:pos="3079" w:val="left" w:leader="none"/>
        </w:tabs>
        <w:spacing w:before="57"/>
        <w:ind w:left="504" w:right="954"/>
      </w:pPr>
      <w:r>
        <w:rPr/>
        <w:t>Qualifications</w:t>
        <w:tab/>
        <w:t>BEc, FIPA, JP</w:t>
      </w:r>
    </w:p>
    <w:p>
      <w:pPr>
        <w:pStyle w:val="BodyText"/>
        <w:tabs>
          <w:tab w:pos="3079" w:val="left" w:leader="none"/>
        </w:tabs>
        <w:spacing w:line="237" w:lineRule="auto" w:before="61"/>
        <w:ind w:left="3081" w:right="1033" w:hanging="2578"/>
      </w:pPr>
      <w:r>
        <w:rPr/>
        <w:t>Experience</w:t>
        <w:tab/>
        <w:t>Appointed as company secretary from 23 November 2011.</w:t>
      </w:r>
      <w:r>
        <w:rPr>
          <w:spacing w:val="-22"/>
        </w:rPr>
        <w:t> </w:t>
      </w:r>
      <w:r>
        <w:rPr/>
        <w:t>Kerry</w:t>
      </w:r>
      <w:r>
        <w:rPr>
          <w:spacing w:val="-3"/>
        </w:rPr>
        <w:t> </w:t>
      </w:r>
      <w:r>
        <w:rPr/>
        <w:t>has</w:t>
      </w:r>
      <w:r>
        <w:rPr>
          <w:w w:val="99"/>
        </w:rPr>
        <w:t> </w:t>
      </w:r>
      <w:r>
        <w:rPr/>
        <w:t>extensive experience in both the private business sector as well as the education sector. He has gained some 13 years experience as a Company Secretary and Company</w:t>
      </w:r>
      <w:r>
        <w:rPr>
          <w:spacing w:val="-14"/>
        </w:rPr>
        <w:t> </w:t>
      </w:r>
      <w:r>
        <w:rPr/>
        <w:t>Director.</w:t>
      </w:r>
    </w:p>
    <w:p>
      <w:pPr>
        <w:pStyle w:val="BodyText"/>
      </w:pPr>
    </w:p>
    <w:p>
      <w:pPr>
        <w:pStyle w:val="BodyText"/>
        <w:spacing w:before="109"/>
        <w:ind w:left="504"/>
      </w:pPr>
      <w:r>
        <w:rPr/>
        <w:t>Directors have been in office since the start of the financial year to the date of this report unless otherwise stated.</w:t>
      </w:r>
    </w:p>
    <w:p>
      <w:pPr>
        <w:spacing w:after="0"/>
        <w:sectPr>
          <w:pgSz w:w="11930" w:h="16850"/>
          <w:pgMar w:header="1035" w:footer="507" w:top="1460" w:bottom="700" w:left="900" w:right="1420"/>
        </w:sectPr>
      </w:pPr>
    </w:p>
    <w:p>
      <w:pPr>
        <w:pStyle w:val="BodyText"/>
        <w:spacing w:before="5"/>
        <w:rPr>
          <w:sz w:val="22"/>
        </w:rPr>
      </w:pPr>
    </w:p>
    <w:p>
      <w:pPr>
        <w:pStyle w:val="Heading3"/>
        <w:spacing w:line="280" w:lineRule="auto"/>
        <w:ind w:left="134" w:right="7528"/>
      </w:pPr>
      <w:r>
        <w:rPr/>
        <w:t>Directors' Report 31 December 2012</w:t>
      </w:r>
    </w:p>
    <w:p>
      <w:pPr>
        <w:pStyle w:val="Heading9"/>
        <w:spacing w:before="232"/>
        <w:ind w:left="504"/>
        <w:jc w:val="both"/>
      </w:pPr>
      <w:r>
        <w:rPr/>
        <w:t>Principal activities</w:t>
      </w:r>
    </w:p>
    <w:p>
      <w:pPr>
        <w:pStyle w:val="BodyText"/>
        <w:spacing w:before="4"/>
        <w:rPr>
          <w:b/>
          <w:sz w:val="25"/>
        </w:rPr>
      </w:pPr>
    </w:p>
    <w:p>
      <w:pPr>
        <w:pStyle w:val="BodyText"/>
        <w:ind w:left="504" w:right="117" w:hanging="1"/>
        <w:jc w:val="both"/>
      </w:pPr>
      <w:r>
        <w:rPr/>
        <w:t>The principal activity of Television Sydney (TVS) Limited during the financial year was to operate  a  Community Television Station in accordance with the licence granted to the Company under the Broadcasting Services Act 1992 (Cth). The operation of the Community Television station is essential for the Company to meet its objectives.</w:t>
      </w:r>
    </w:p>
    <w:p>
      <w:pPr>
        <w:pStyle w:val="BodyText"/>
      </w:pPr>
    </w:p>
    <w:p>
      <w:pPr>
        <w:pStyle w:val="BodyText"/>
        <w:spacing w:before="6"/>
        <w:rPr>
          <w:sz w:val="26"/>
        </w:rPr>
      </w:pPr>
    </w:p>
    <w:p>
      <w:pPr>
        <w:pStyle w:val="Heading9"/>
        <w:spacing w:before="1"/>
        <w:ind w:left="504"/>
        <w:jc w:val="both"/>
      </w:pPr>
      <w:r>
        <w:rPr/>
        <w:t>Short and long term objectives</w:t>
      </w:r>
    </w:p>
    <w:p>
      <w:pPr>
        <w:pStyle w:val="BodyText"/>
        <w:spacing w:before="6"/>
        <w:rPr>
          <w:b/>
          <w:sz w:val="25"/>
        </w:rPr>
      </w:pPr>
    </w:p>
    <w:p>
      <w:pPr>
        <w:pStyle w:val="BodyText"/>
        <w:spacing w:line="237" w:lineRule="auto"/>
        <w:ind w:left="504" w:right="122"/>
        <w:jc w:val="both"/>
      </w:pPr>
      <w:r>
        <w:rPr/>
        <w:t>Television Sydney (TVS) Ltd is the only free-to-air not-for-profit community television licence holder in Sydney. The company began operating in Sydney in 2006 and broadcasts on Digital Channel 44. The company is established as a majority owned entity of the University of Western Sydney (UWS) in accordance with section 81(1) of the Broadcasting Services Act 1992, which prescribes that a holder of a community television licence must be a company limited by guarantee.</w:t>
      </w:r>
    </w:p>
    <w:p>
      <w:pPr>
        <w:pStyle w:val="BodyText"/>
        <w:rPr>
          <w:sz w:val="25"/>
        </w:rPr>
      </w:pPr>
    </w:p>
    <w:p>
      <w:pPr>
        <w:pStyle w:val="BodyText"/>
        <w:ind w:left="503" w:right="161"/>
      </w:pPr>
      <w:r>
        <w:rPr/>
        <w:t>The University’s vision is that a community television station in Western Sydney is a powerful resource to raise, address and promote issues of local significance in partnership with the regional community.</w:t>
      </w:r>
    </w:p>
    <w:p>
      <w:pPr>
        <w:pStyle w:val="BodyText"/>
        <w:spacing w:before="11"/>
        <w:rPr>
          <w:sz w:val="24"/>
        </w:rPr>
      </w:pPr>
    </w:p>
    <w:p>
      <w:pPr>
        <w:pStyle w:val="BodyText"/>
        <w:ind w:left="504"/>
        <w:jc w:val="both"/>
      </w:pPr>
      <w:r>
        <w:rPr/>
        <w:t>As a controlled entity of UWS the company’s mission is:</w:t>
      </w:r>
    </w:p>
    <w:p>
      <w:pPr>
        <w:pStyle w:val="BodyText"/>
        <w:spacing w:before="11"/>
        <w:rPr>
          <w:sz w:val="24"/>
        </w:rPr>
      </w:pPr>
    </w:p>
    <w:p>
      <w:pPr>
        <w:pStyle w:val="ListParagraph"/>
        <w:numPr>
          <w:ilvl w:val="0"/>
          <w:numId w:val="34"/>
        </w:numPr>
        <w:tabs>
          <w:tab w:pos="615" w:val="left" w:leader="none"/>
        </w:tabs>
        <w:spacing w:line="240" w:lineRule="auto" w:before="0" w:after="0"/>
        <w:ind w:left="504" w:right="0" w:firstLine="0"/>
        <w:jc w:val="both"/>
        <w:rPr>
          <w:sz w:val="18"/>
        </w:rPr>
      </w:pPr>
      <w:r>
        <w:rPr>
          <w:sz w:val="18"/>
        </w:rPr>
        <w:t>To</w:t>
      </w:r>
      <w:r>
        <w:rPr>
          <w:spacing w:val="-2"/>
          <w:sz w:val="18"/>
        </w:rPr>
        <w:t> </w:t>
      </w:r>
      <w:r>
        <w:rPr>
          <w:sz w:val="18"/>
        </w:rPr>
        <w:t>be</w:t>
      </w:r>
      <w:r>
        <w:rPr>
          <w:spacing w:val="-2"/>
          <w:sz w:val="18"/>
        </w:rPr>
        <w:t> </w:t>
      </w:r>
      <w:r>
        <w:rPr>
          <w:sz w:val="18"/>
        </w:rPr>
        <w:t>the</w:t>
      </w:r>
      <w:r>
        <w:rPr>
          <w:spacing w:val="-5"/>
          <w:sz w:val="18"/>
        </w:rPr>
        <w:t> </w:t>
      </w:r>
      <w:r>
        <w:rPr>
          <w:sz w:val="18"/>
        </w:rPr>
        <w:t>strategic</w:t>
      </w:r>
      <w:r>
        <w:rPr>
          <w:spacing w:val="-2"/>
          <w:sz w:val="18"/>
        </w:rPr>
        <w:t> </w:t>
      </w:r>
      <w:r>
        <w:rPr>
          <w:sz w:val="18"/>
        </w:rPr>
        <w:t>resource</w:t>
      </w:r>
      <w:r>
        <w:rPr>
          <w:spacing w:val="-5"/>
          <w:sz w:val="18"/>
        </w:rPr>
        <w:t> </w:t>
      </w:r>
      <w:r>
        <w:rPr>
          <w:sz w:val="18"/>
        </w:rPr>
        <w:t>for</w:t>
      </w:r>
      <w:r>
        <w:rPr>
          <w:spacing w:val="-3"/>
          <w:sz w:val="18"/>
        </w:rPr>
        <w:t> </w:t>
      </w:r>
      <w:r>
        <w:rPr>
          <w:sz w:val="18"/>
        </w:rPr>
        <w:t>UWS</w:t>
      </w:r>
      <w:r>
        <w:rPr>
          <w:spacing w:val="-6"/>
          <w:sz w:val="18"/>
        </w:rPr>
        <w:t> </w:t>
      </w:r>
      <w:r>
        <w:rPr>
          <w:sz w:val="18"/>
        </w:rPr>
        <w:t>academic</w:t>
      </w:r>
      <w:r>
        <w:rPr>
          <w:spacing w:val="-2"/>
          <w:sz w:val="18"/>
        </w:rPr>
        <w:t> </w:t>
      </w:r>
      <w:r>
        <w:rPr>
          <w:sz w:val="18"/>
        </w:rPr>
        <w:t>courses</w:t>
      </w:r>
      <w:r>
        <w:rPr>
          <w:spacing w:val="-4"/>
          <w:sz w:val="18"/>
        </w:rPr>
        <w:t> </w:t>
      </w:r>
      <w:r>
        <w:rPr>
          <w:sz w:val="18"/>
        </w:rPr>
        <w:t>in</w:t>
      </w:r>
      <w:r>
        <w:rPr>
          <w:spacing w:val="-5"/>
          <w:sz w:val="18"/>
        </w:rPr>
        <w:t> </w:t>
      </w:r>
      <w:r>
        <w:rPr>
          <w:sz w:val="18"/>
        </w:rPr>
        <w:t>communication,</w:t>
      </w:r>
      <w:r>
        <w:rPr>
          <w:spacing w:val="-3"/>
          <w:sz w:val="18"/>
        </w:rPr>
        <w:t> </w:t>
      </w:r>
      <w:r>
        <w:rPr>
          <w:sz w:val="18"/>
        </w:rPr>
        <w:t>design,</w:t>
      </w:r>
      <w:r>
        <w:rPr>
          <w:spacing w:val="-5"/>
          <w:sz w:val="18"/>
        </w:rPr>
        <w:t> </w:t>
      </w:r>
      <w:r>
        <w:rPr>
          <w:sz w:val="18"/>
        </w:rPr>
        <w:t>music</w:t>
      </w:r>
      <w:r>
        <w:rPr>
          <w:spacing w:val="-4"/>
          <w:sz w:val="18"/>
        </w:rPr>
        <w:t> </w:t>
      </w:r>
      <w:r>
        <w:rPr>
          <w:sz w:val="18"/>
        </w:rPr>
        <w:t>and</w:t>
      </w:r>
      <w:r>
        <w:rPr>
          <w:spacing w:val="-5"/>
          <w:sz w:val="18"/>
        </w:rPr>
        <w:t> </w:t>
      </w:r>
      <w:r>
        <w:rPr>
          <w:sz w:val="18"/>
        </w:rPr>
        <w:t>convergent</w:t>
      </w:r>
      <w:r>
        <w:rPr>
          <w:spacing w:val="-5"/>
          <w:sz w:val="18"/>
        </w:rPr>
        <w:t> </w:t>
      </w:r>
      <w:r>
        <w:rPr>
          <w:sz w:val="18"/>
        </w:rPr>
        <w:t>media;</w:t>
      </w:r>
    </w:p>
    <w:p>
      <w:pPr>
        <w:pStyle w:val="BodyText"/>
        <w:spacing w:before="9"/>
        <w:rPr>
          <w:sz w:val="24"/>
        </w:rPr>
      </w:pPr>
    </w:p>
    <w:p>
      <w:pPr>
        <w:pStyle w:val="ListParagraph"/>
        <w:numPr>
          <w:ilvl w:val="0"/>
          <w:numId w:val="34"/>
        </w:numPr>
        <w:tabs>
          <w:tab w:pos="615" w:val="left" w:leader="none"/>
        </w:tabs>
        <w:spacing w:line="240" w:lineRule="auto" w:before="0" w:after="0"/>
        <w:ind w:left="614" w:right="0" w:hanging="110"/>
        <w:jc w:val="both"/>
        <w:rPr>
          <w:sz w:val="18"/>
        </w:rPr>
      </w:pPr>
      <w:r>
        <w:rPr>
          <w:sz w:val="18"/>
        </w:rPr>
        <w:t>To promote and enhance UWS’s community engagement agenda;</w:t>
      </w:r>
      <w:r>
        <w:rPr>
          <w:spacing w:val="-23"/>
          <w:sz w:val="18"/>
        </w:rPr>
        <w:t> </w:t>
      </w:r>
      <w:r>
        <w:rPr>
          <w:sz w:val="18"/>
        </w:rPr>
        <w:t>and</w:t>
      </w:r>
    </w:p>
    <w:p>
      <w:pPr>
        <w:pStyle w:val="BodyText"/>
        <w:spacing w:before="11"/>
        <w:rPr>
          <w:sz w:val="24"/>
        </w:rPr>
      </w:pPr>
    </w:p>
    <w:p>
      <w:pPr>
        <w:pStyle w:val="ListParagraph"/>
        <w:numPr>
          <w:ilvl w:val="0"/>
          <w:numId w:val="34"/>
        </w:numPr>
        <w:tabs>
          <w:tab w:pos="615" w:val="left" w:leader="none"/>
        </w:tabs>
        <w:spacing w:line="240" w:lineRule="auto" w:before="0" w:after="0"/>
        <w:ind w:left="614" w:right="0" w:hanging="110"/>
        <w:jc w:val="both"/>
        <w:rPr>
          <w:sz w:val="18"/>
        </w:rPr>
      </w:pPr>
      <w:r>
        <w:rPr>
          <w:sz w:val="18"/>
        </w:rPr>
        <w:t>To raise awareness of UWS and higher</w:t>
      </w:r>
      <w:r>
        <w:rPr>
          <w:spacing w:val="-21"/>
          <w:sz w:val="18"/>
        </w:rPr>
        <w:t> </w:t>
      </w:r>
      <w:r>
        <w:rPr>
          <w:sz w:val="18"/>
        </w:rPr>
        <w:t>education.</w:t>
      </w:r>
    </w:p>
    <w:p>
      <w:pPr>
        <w:pStyle w:val="BodyText"/>
        <w:spacing w:before="6"/>
        <w:rPr>
          <w:sz w:val="24"/>
        </w:rPr>
      </w:pPr>
    </w:p>
    <w:p>
      <w:pPr>
        <w:pStyle w:val="Heading9"/>
        <w:ind w:left="504"/>
        <w:jc w:val="both"/>
      </w:pPr>
      <w:r>
        <w:rPr/>
        <w:t>Strategy</w:t>
      </w:r>
    </w:p>
    <w:p>
      <w:pPr>
        <w:pStyle w:val="BodyText"/>
        <w:spacing w:before="4"/>
        <w:rPr>
          <w:b/>
          <w:sz w:val="25"/>
        </w:rPr>
      </w:pPr>
    </w:p>
    <w:p>
      <w:pPr>
        <w:pStyle w:val="BodyText"/>
        <w:ind w:left="504"/>
        <w:jc w:val="both"/>
      </w:pPr>
      <w:r>
        <w:rPr/>
        <w:t>In this context UWS has two key expectations:</w:t>
      </w:r>
    </w:p>
    <w:p>
      <w:pPr>
        <w:pStyle w:val="BodyText"/>
        <w:spacing w:before="9"/>
        <w:rPr>
          <w:sz w:val="24"/>
        </w:rPr>
      </w:pPr>
    </w:p>
    <w:p>
      <w:pPr>
        <w:pStyle w:val="ListParagraph"/>
        <w:numPr>
          <w:ilvl w:val="0"/>
          <w:numId w:val="34"/>
        </w:numPr>
        <w:tabs>
          <w:tab w:pos="672" w:val="left" w:leader="none"/>
        </w:tabs>
        <w:spacing w:line="240" w:lineRule="auto" w:before="0" w:after="0"/>
        <w:ind w:left="504" w:right="165" w:firstLine="0"/>
        <w:jc w:val="left"/>
        <w:rPr>
          <w:sz w:val="18"/>
        </w:rPr>
      </w:pPr>
      <w:r>
        <w:rPr>
          <w:sz w:val="18"/>
        </w:rPr>
        <w:t>The company will provide a venue for the broadcast of material produced by UWS students as part of the undergraduate</w:t>
      </w:r>
      <w:r>
        <w:rPr>
          <w:spacing w:val="-5"/>
          <w:sz w:val="18"/>
        </w:rPr>
        <w:t> </w:t>
      </w:r>
      <w:r>
        <w:rPr>
          <w:sz w:val="18"/>
        </w:rPr>
        <w:t>and</w:t>
      </w:r>
      <w:r>
        <w:rPr>
          <w:spacing w:val="-5"/>
          <w:sz w:val="18"/>
        </w:rPr>
        <w:t> </w:t>
      </w:r>
      <w:r>
        <w:rPr>
          <w:sz w:val="18"/>
        </w:rPr>
        <w:t>postgraduate</w:t>
      </w:r>
      <w:r>
        <w:rPr>
          <w:spacing w:val="-2"/>
          <w:sz w:val="18"/>
        </w:rPr>
        <w:t> </w:t>
      </w:r>
      <w:r>
        <w:rPr>
          <w:sz w:val="18"/>
        </w:rPr>
        <w:t>coursework.</w:t>
      </w:r>
      <w:r>
        <w:rPr>
          <w:spacing w:val="-3"/>
          <w:sz w:val="18"/>
        </w:rPr>
        <w:t> </w:t>
      </w:r>
      <w:r>
        <w:rPr>
          <w:sz w:val="18"/>
        </w:rPr>
        <w:t>This</w:t>
      </w:r>
      <w:r>
        <w:rPr>
          <w:spacing w:val="-2"/>
          <w:sz w:val="18"/>
        </w:rPr>
        <w:t> </w:t>
      </w:r>
      <w:r>
        <w:rPr>
          <w:sz w:val="18"/>
        </w:rPr>
        <w:t>will</w:t>
      </w:r>
      <w:r>
        <w:rPr>
          <w:spacing w:val="-2"/>
          <w:sz w:val="18"/>
        </w:rPr>
        <w:t> </w:t>
      </w:r>
      <w:r>
        <w:rPr>
          <w:sz w:val="18"/>
        </w:rPr>
        <w:t>require</w:t>
      </w:r>
      <w:r>
        <w:rPr>
          <w:spacing w:val="-2"/>
          <w:sz w:val="18"/>
        </w:rPr>
        <w:t> </w:t>
      </w:r>
      <w:r>
        <w:rPr>
          <w:sz w:val="18"/>
        </w:rPr>
        <w:t>guaranteed</w:t>
      </w:r>
      <w:r>
        <w:rPr>
          <w:spacing w:val="-2"/>
          <w:sz w:val="18"/>
        </w:rPr>
        <w:t> </w:t>
      </w:r>
      <w:r>
        <w:rPr>
          <w:sz w:val="18"/>
        </w:rPr>
        <w:t>UWS</w:t>
      </w:r>
      <w:r>
        <w:rPr>
          <w:spacing w:val="-8"/>
          <w:sz w:val="18"/>
        </w:rPr>
        <w:t> </w:t>
      </w:r>
      <w:r>
        <w:rPr>
          <w:sz w:val="18"/>
        </w:rPr>
        <w:t>student</w:t>
      </w:r>
      <w:r>
        <w:rPr>
          <w:spacing w:val="-5"/>
          <w:sz w:val="18"/>
        </w:rPr>
        <w:t> </w:t>
      </w:r>
      <w:r>
        <w:rPr>
          <w:sz w:val="18"/>
        </w:rPr>
        <w:t>access</w:t>
      </w:r>
      <w:r>
        <w:rPr>
          <w:spacing w:val="-4"/>
          <w:sz w:val="18"/>
        </w:rPr>
        <w:t> </w:t>
      </w:r>
      <w:r>
        <w:rPr>
          <w:sz w:val="18"/>
        </w:rPr>
        <w:t>to</w:t>
      </w:r>
      <w:r>
        <w:rPr>
          <w:spacing w:val="-2"/>
          <w:sz w:val="18"/>
        </w:rPr>
        <w:t> </w:t>
      </w:r>
      <w:r>
        <w:rPr>
          <w:sz w:val="18"/>
        </w:rPr>
        <w:t>broadcast</w:t>
      </w:r>
      <w:r>
        <w:rPr>
          <w:spacing w:val="-3"/>
          <w:sz w:val="18"/>
        </w:rPr>
        <w:t> </w:t>
      </w:r>
      <w:r>
        <w:rPr>
          <w:sz w:val="18"/>
        </w:rPr>
        <w:t>air</w:t>
      </w:r>
      <w:r>
        <w:rPr>
          <w:spacing w:val="-5"/>
          <w:sz w:val="18"/>
        </w:rPr>
        <w:t> </w:t>
      </w:r>
      <w:r>
        <w:rPr>
          <w:sz w:val="18"/>
        </w:rPr>
        <w:t>time.</w:t>
      </w:r>
    </w:p>
    <w:p>
      <w:pPr>
        <w:pStyle w:val="BodyText"/>
        <w:spacing w:before="1"/>
        <w:rPr>
          <w:sz w:val="25"/>
        </w:rPr>
      </w:pPr>
    </w:p>
    <w:p>
      <w:pPr>
        <w:pStyle w:val="ListParagraph"/>
        <w:numPr>
          <w:ilvl w:val="0"/>
          <w:numId w:val="34"/>
        </w:numPr>
        <w:tabs>
          <w:tab w:pos="641" w:val="left" w:leader="none"/>
        </w:tabs>
        <w:spacing w:line="237" w:lineRule="auto" w:before="0" w:after="0"/>
        <w:ind w:left="503" w:right="121" w:firstLine="1"/>
        <w:jc w:val="both"/>
        <w:rPr>
          <w:sz w:val="18"/>
        </w:rPr>
      </w:pPr>
      <w:r>
        <w:rPr>
          <w:sz w:val="18"/>
        </w:rPr>
        <w:t>Broadcast air time will be available to promote the activities of UWS in general and specifically in the coverage of  UWS community engagement activities in a range of areas consistent with the University's overarching Engagement  Plan including the production of programs by community groups and partners. This will require a strong connection between the company and the community within which the company plays an active role in identifying developing community programming options and</w:t>
      </w:r>
      <w:r>
        <w:rPr>
          <w:spacing w:val="-16"/>
          <w:sz w:val="18"/>
        </w:rPr>
        <w:t> </w:t>
      </w:r>
      <w:r>
        <w:rPr>
          <w:sz w:val="18"/>
        </w:rPr>
        <w:t>outcomes.</w:t>
      </w:r>
    </w:p>
    <w:p>
      <w:pPr>
        <w:pStyle w:val="BodyText"/>
      </w:pPr>
    </w:p>
    <w:p>
      <w:pPr>
        <w:pStyle w:val="BodyText"/>
        <w:spacing w:before="9"/>
        <w:rPr>
          <w:sz w:val="26"/>
        </w:rPr>
      </w:pPr>
    </w:p>
    <w:p>
      <w:pPr>
        <w:pStyle w:val="Heading9"/>
        <w:ind w:left="504"/>
        <w:jc w:val="both"/>
      </w:pPr>
      <w:r>
        <w:rPr/>
        <w:t>Dividends</w:t>
      </w:r>
    </w:p>
    <w:p>
      <w:pPr>
        <w:pStyle w:val="BodyText"/>
        <w:spacing w:before="9"/>
        <w:rPr>
          <w:b/>
        </w:rPr>
      </w:pPr>
    </w:p>
    <w:p>
      <w:pPr>
        <w:pStyle w:val="BodyText"/>
        <w:spacing w:line="204" w:lineRule="exact"/>
        <w:ind w:left="503" w:right="463"/>
      </w:pPr>
      <w:r>
        <w:rPr/>
        <w:t>No dividend is paid or payable since the commencement of the financial year and up to and including the date of  signing of this report (2011: $</w:t>
      </w:r>
      <w:r>
        <w:rPr>
          <w:spacing w:val="-17"/>
        </w:rPr>
        <w:t> </w:t>
      </w:r>
      <w:r>
        <w:rPr/>
        <w:t>Nil).</w:t>
      </w:r>
    </w:p>
    <w:p>
      <w:pPr>
        <w:pStyle w:val="BodyText"/>
      </w:pPr>
    </w:p>
    <w:p>
      <w:pPr>
        <w:pStyle w:val="BodyText"/>
        <w:spacing w:before="4"/>
        <w:rPr>
          <w:sz w:val="17"/>
        </w:rPr>
      </w:pPr>
    </w:p>
    <w:p>
      <w:pPr>
        <w:pStyle w:val="Heading9"/>
        <w:ind w:left="504"/>
        <w:jc w:val="both"/>
      </w:pPr>
      <w:r>
        <w:rPr/>
        <w:t>Significant changes in the state of affairs</w:t>
      </w:r>
    </w:p>
    <w:p>
      <w:pPr>
        <w:pStyle w:val="BodyText"/>
        <w:spacing w:before="2"/>
        <w:rPr>
          <w:b/>
          <w:sz w:val="25"/>
        </w:rPr>
      </w:pPr>
    </w:p>
    <w:p>
      <w:pPr>
        <w:pStyle w:val="BodyText"/>
        <w:ind w:left="504"/>
        <w:jc w:val="both"/>
      </w:pPr>
      <w:r>
        <w:rPr/>
        <w:t>No significant changes in the nature of the Company's activities occurred during the financial year.</w:t>
      </w:r>
    </w:p>
    <w:p>
      <w:pPr>
        <w:spacing w:after="0"/>
        <w:jc w:val="both"/>
        <w:sectPr>
          <w:pgSz w:w="11930" w:h="16850"/>
          <w:pgMar w:header="1035" w:footer="507" w:top="1460" w:bottom="700" w:left="900" w:right="800"/>
        </w:sectPr>
      </w:pPr>
    </w:p>
    <w:p>
      <w:pPr>
        <w:pStyle w:val="BodyText"/>
        <w:spacing w:before="5"/>
        <w:rPr>
          <w:sz w:val="22"/>
        </w:rPr>
      </w:pPr>
    </w:p>
    <w:p>
      <w:pPr>
        <w:pStyle w:val="Heading3"/>
        <w:spacing w:line="280" w:lineRule="auto"/>
        <w:ind w:left="134" w:right="7535" w:hanging="27"/>
      </w:pPr>
      <w:r>
        <w:rPr/>
        <w:t>Directors' Report 31 December 2012</w:t>
      </w:r>
    </w:p>
    <w:p>
      <w:pPr>
        <w:pStyle w:val="Heading9"/>
        <w:spacing w:before="232"/>
        <w:ind w:left="504"/>
        <w:jc w:val="both"/>
      </w:pPr>
      <w:r>
        <w:rPr/>
        <w:t>Review of operations</w:t>
      </w:r>
    </w:p>
    <w:p>
      <w:pPr>
        <w:pStyle w:val="BodyText"/>
        <w:spacing w:before="4"/>
        <w:rPr>
          <w:b/>
          <w:sz w:val="25"/>
        </w:rPr>
      </w:pPr>
    </w:p>
    <w:p>
      <w:pPr>
        <w:pStyle w:val="BodyText"/>
        <w:ind w:left="504"/>
        <w:jc w:val="both"/>
      </w:pPr>
      <w:r>
        <w:rPr/>
        <w:t>The surplus for the year ended 31st December 2012 is $485,892 (2011: deficit $825,217).</w:t>
      </w:r>
    </w:p>
    <w:p>
      <w:pPr>
        <w:pStyle w:val="BodyText"/>
        <w:spacing w:before="6"/>
        <w:rPr>
          <w:sz w:val="24"/>
        </w:rPr>
      </w:pPr>
    </w:p>
    <w:p>
      <w:pPr>
        <w:pStyle w:val="Heading9"/>
        <w:ind w:left="504"/>
        <w:jc w:val="both"/>
      </w:pPr>
      <w:r>
        <w:rPr/>
        <w:t>Matters subsequent to the end of the financial year</w:t>
      </w:r>
    </w:p>
    <w:p>
      <w:pPr>
        <w:pStyle w:val="BodyText"/>
        <w:spacing w:before="6"/>
        <w:rPr>
          <w:b/>
          <w:sz w:val="25"/>
        </w:rPr>
      </w:pPr>
    </w:p>
    <w:p>
      <w:pPr>
        <w:pStyle w:val="BodyText"/>
        <w:spacing w:line="237" w:lineRule="auto"/>
        <w:ind w:left="503" w:right="101"/>
        <w:jc w:val="both"/>
      </w:pPr>
      <w:r>
        <w:rPr/>
        <w:t>There has not been any matter or circumstance, other than that referred to in the financial statements or notes thereto, that has arisen since the end of the financial year, that has significantly affected, or may significantly affect, the operations of the Company, the results of the operation, or the state of affairs of the company in future financial years.</w:t>
      </w:r>
    </w:p>
    <w:p>
      <w:pPr>
        <w:pStyle w:val="BodyText"/>
        <w:spacing w:before="7"/>
        <w:rPr>
          <w:sz w:val="24"/>
        </w:rPr>
      </w:pPr>
    </w:p>
    <w:p>
      <w:pPr>
        <w:pStyle w:val="Heading9"/>
        <w:ind w:left="504"/>
        <w:jc w:val="both"/>
      </w:pPr>
      <w:r>
        <w:rPr/>
        <w:t>Likely developments and expected results of operations</w:t>
      </w:r>
    </w:p>
    <w:p>
      <w:pPr>
        <w:pStyle w:val="BodyText"/>
        <w:spacing w:before="4"/>
        <w:rPr>
          <w:b/>
          <w:sz w:val="25"/>
        </w:rPr>
      </w:pPr>
    </w:p>
    <w:p>
      <w:pPr>
        <w:pStyle w:val="BodyText"/>
        <w:ind w:left="504" w:right="806"/>
      </w:pPr>
      <w:r>
        <w:rPr/>
        <w:t>Likely developments in the entity's operations in future financial years are not expected to significantly affect the expected results of the Company.</w:t>
      </w:r>
    </w:p>
    <w:p>
      <w:pPr>
        <w:pStyle w:val="BodyText"/>
        <w:spacing w:before="6"/>
        <w:rPr>
          <w:sz w:val="24"/>
        </w:rPr>
      </w:pPr>
    </w:p>
    <w:p>
      <w:pPr>
        <w:pStyle w:val="Heading9"/>
        <w:ind w:left="504"/>
        <w:jc w:val="both"/>
      </w:pPr>
      <w:r>
        <w:rPr/>
        <w:t>Performance measures</w:t>
      </w:r>
    </w:p>
    <w:p>
      <w:pPr>
        <w:pStyle w:val="BodyText"/>
        <w:spacing w:before="2"/>
        <w:rPr>
          <w:b/>
          <w:sz w:val="25"/>
        </w:rPr>
      </w:pPr>
    </w:p>
    <w:p>
      <w:pPr>
        <w:pStyle w:val="BodyText"/>
        <w:ind w:left="504" w:right="431"/>
      </w:pPr>
      <w:r>
        <w:rPr/>
        <w:t>The Company measures its performance by the use of financial, quantitative and qualitative methods. The Company uses the following key performance indicators to measure its performance:</w:t>
      </w:r>
    </w:p>
    <w:p>
      <w:pPr>
        <w:pStyle w:val="BodyText"/>
        <w:spacing w:before="11"/>
        <w:rPr>
          <w:sz w:val="24"/>
        </w:rPr>
      </w:pPr>
    </w:p>
    <w:p>
      <w:pPr>
        <w:pStyle w:val="ListParagraph"/>
        <w:numPr>
          <w:ilvl w:val="0"/>
          <w:numId w:val="35"/>
        </w:numPr>
        <w:tabs>
          <w:tab w:pos="790" w:val="left" w:leader="none"/>
        </w:tabs>
        <w:spacing w:line="205" w:lineRule="exact" w:before="0" w:after="0"/>
        <w:ind w:left="789" w:right="0" w:hanging="285"/>
        <w:jc w:val="both"/>
        <w:rPr>
          <w:sz w:val="18"/>
        </w:rPr>
      </w:pPr>
      <w:r>
        <w:rPr>
          <w:sz w:val="18"/>
        </w:rPr>
        <w:t>Financial</w:t>
      </w:r>
      <w:r>
        <w:rPr>
          <w:spacing w:val="-10"/>
          <w:sz w:val="18"/>
        </w:rPr>
        <w:t> </w:t>
      </w:r>
      <w:r>
        <w:rPr>
          <w:sz w:val="18"/>
        </w:rPr>
        <w:t>statements</w:t>
      </w:r>
    </w:p>
    <w:p>
      <w:pPr>
        <w:pStyle w:val="ListParagraph"/>
        <w:numPr>
          <w:ilvl w:val="0"/>
          <w:numId w:val="35"/>
        </w:numPr>
        <w:tabs>
          <w:tab w:pos="790" w:val="left" w:leader="none"/>
        </w:tabs>
        <w:spacing w:line="205" w:lineRule="exact" w:before="0" w:after="0"/>
        <w:ind w:left="789" w:right="0" w:hanging="285"/>
        <w:jc w:val="both"/>
        <w:rPr>
          <w:sz w:val="18"/>
        </w:rPr>
      </w:pPr>
      <w:r>
        <w:rPr>
          <w:sz w:val="18"/>
        </w:rPr>
        <w:t>Advertising and sponsorship</w:t>
      </w:r>
      <w:r>
        <w:rPr>
          <w:spacing w:val="-18"/>
          <w:sz w:val="18"/>
        </w:rPr>
        <w:t> </w:t>
      </w:r>
      <w:r>
        <w:rPr>
          <w:sz w:val="18"/>
        </w:rPr>
        <w:t>revenues</w:t>
      </w:r>
    </w:p>
    <w:p>
      <w:pPr>
        <w:pStyle w:val="ListParagraph"/>
        <w:numPr>
          <w:ilvl w:val="0"/>
          <w:numId w:val="35"/>
        </w:numPr>
        <w:tabs>
          <w:tab w:pos="790" w:val="left" w:leader="none"/>
        </w:tabs>
        <w:spacing w:line="205" w:lineRule="exact" w:before="0" w:after="0"/>
        <w:ind w:left="789" w:right="0" w:hanging="285"/>
        <w:jc w:val="both"/>
        <w:rPr>
          <w:sz w:val="18"/>
        </w:rPr>
      </w:pPr>
      <w:r>
        <w:rPr>
          <w:sz w:val="18"/>
        </w:rPr>
        <w:t>Audience</w:t>
      </w:r>
      <w:r>
        <w:rPr>
          <w:spacing w:val="-11"/>
          <w:sz w:val="18"/>
        </w:rPr>
        <w:t> </w:t>
      </w:r>
      <w:r>
        <w:rPr>
          <w:sz w:val="18"/>
        </w:rPr>
        <w:t>estimates</w:t>
      </w:r>
    </w:p>
    <w:p>
      <w:pPr>
        <w:pStyle w:val="ListParagraph"/>
        <w:numPr>
          <w:ilvl w:val="0"/>
          <w:numId w:val="35"/>
        </w:numPr>
        <w:tabs>
          <w:tab w:pos="791" w:val="left" w:leader="none"/>
        </w:tabs>
        <w:spacing w:line="205" w:lineRule="exact" w:before="0" w:after="0"/>
        <w:ind w:left="790" w:right="0" w:hanging="286"/>
        <w:jc w:val="both"/>
        <w:rPr>
          <w:sz w:val="18"/>
        </w:rPr>
      </w:pPr>
      <w:r>
        <w:rPr>
          <w:sz w:val="18"/>
        </w:rPr>
        <w:t>ACMA feedback and decisions on compliance</w:t>
      </w:r>
      <w:r>
        <w:rPr>
          <w:spacing w:val="-28"/>
          <w:sz w:val="18"/>
        </w:rPr>
        <w:t> </w:t>
      </w:r>
      <w:r>
        <w:rPr>
          <w:sz w:val="18"/>
        </w:rPr>
        <w:t>measures.</w:t>
      </w:r>
    </w:p>
    <w:p>
      <w:pPr>
        <w:pStyle w:val="BodyText"/>
        <w:rPr>
          <w:sz w:val="25"/>
        </w:rPr>
      </w:pPr>
    </w:p>
    <w:p>
      <w:pPr>
        <w:pStyle w:val="Heading9"/>
        <w:ind w:left="504"/>
        <w:jc w:val="both"/>
      </w:pPr>
      <w:r>
        <w:rPr/>
        <w:t>Members</w:t>
      </w:r>
    </w:p>
    <w:p>
      <w:pPr>
        <w:pStyle w:val="BodyText"/>
        <w:spacing w:before="2"/>
        <w:rPr>
          <w:b/>
          <w:sz w:val="25"/>
        </w:rPr>
      </w:pPr>
    </w:p>
    <w:p>
      <w:pPr>
        <w:pStyle w:val="BodyText"/>
        <w:ind w:left="503" w:right="99"/>
        <w:jc w:val="both"/>
      </w:pPr>
      <w:r>
        <w:rPr/>
        <w:t>During the year the Company had two members; University of Western Sydney (UWS) as the Community Member and Metro Screen as the Education Member. Throughout the entirety of the financial year ending 31 December 2012, the company remained a controlled entity of UWS.</w:t>
      </w:r>
    </w:p>
    <w:p>
      <w:pPr>
        <w:pStyle w:val="BodyText"/>
        <w:spacing w:before="6"/>
        <w:rPr>
          <w:sz w:val="24"/>
        </w:rPr>
      </w:pPr>
    </w:p>
    <w:p>
      <w:pPr>
        <w:pStyle w:val="Heading9"/>
        <w:ind w:left="504"/>
        <w:jc w:val="both"/>
      </w:pPr>
      <w:r>
        <w:rPr/>
        <w:t>Members guarantee</w:t>
      </w:r>
    </w:p>
    <w:p>
      <w:pPr>
        <w:pStyle w:val="BodyText"/>
        <w:spacing w:before="6"/>
        <w:rPr>
          <w:b/>
          <w:sz w:val="25"/>
        </w:rPr>
      </w:pPr>
    </w:p>
    <w:p>
      <w:pPr>
        <w:pStyle w:val="BodyText"/>
        <w:spacing w:line="237" w:lineRule="auto"/>
        <w:ind w:left="502" w:right="103" w:firstLine="1"/>
        <w:jc w:val="both"/>
      </w:pPr>
      <w:r>
        <w:rPr/>
        <w:t>The liability of members of the Company is limited. If the Company is wound up during the time of a member's membership or within one year afterwards, each Community and Educational member of the company is liable to contribute an amount not greater than $10.00.</w:t>
      </w:r>
    </w:p>
    <w:p>
      <w:pPr>
        <w:pStyle w:val="BodyText"/>
        <w:spacing w:before="5"/>
        <w:rPr>
          <w:sz w:val="25"/>
        </w:rPr>
      </w:pPr>
    </w:p>
    <w:p>
      <w:pPr>
        <w:pStyle w:val="BodyText"/>
        <w:spacing w:line="204" w:lineRule="exact" w:before="1"/>
        <w:ind w:left="504"/>
      </w:pPr>
      <w:r>
        <w:rPr/>
        <w:t>As the Company has only two members, the total amount that members of the Company are liable to contribute if the Company is wound up is $20.00.</w:t>
      </w:r>
    </w:p>
    <w:p>
      <w:pPr>
        <w:pStyle w:val="BodyText"/>
        <w:spacing w:before="6"/>
        <w:rPr>
          <w:sz w:val="24"/>
        </w:rPr>
      </w:pPr>
    </w:p>
    <w:p>
      <w:pPr>
        <w:pStyle w:val="Heading9"/>
        <w:ind w:left="504"/>
        <w:jc w:val="both"/>
      </w:pPr>
      <w:r>
        <w:rPr/>
        <w:t>Environmental regulation</w:t>
      </w:r>
    </w:p>
    <w:p>
      <w:pPr>
        <w:pStyle w:val="BodyText"/>
        <w:spacing w:before="4"/>
        <w:rPr>
          <w:b/>
          <w:sz w:val="25"/>
        </w:rPr>
      </w:pPr>
    </w:p>
    <w:p>
      <w:pPr>
        <w:pStyle w:val="BodyText"/>
        <w:ind w:left="504"/>
        <w:jc w:val="both"/>
      </w:pPr>
      <w:r>
        <w:rPr/>
        <w:t>The company is not subject to any significant environmental regulations.</w:t>
      </w:r>
    </w:p>
    <w:p>
      <w:pPr>
        <w:spacing w:after="0"/>
        <w:jc w:val="both"/>
        <w:sectPr>
          <w:pgSz w:w="11930" w:h="16850"/>
          <w:pgMar w:header="1035" w:footer="507" w:top="1460" w:bottom="700" w:left="900" w:right="820"/>
        </w:sectPr>
      </w:pPr>
    </w:p>
    <w:p>
      <w:pPr>
        <w:pStyle w:val="BodyText"/>
        <w:spacing w:before="5"/>
        <w:rPr>
          <w:sz w:val="22"/>
        </w:rPr>
      </w:pPr>
    </w:p>
    <w:p>
      <w:pPr>
        <w:pStyle w:val="Heading3"/>
        <w:spacing w:line="280" w:lineRule="auto"/>
        <w:ind w:left="134" w:right="7535" w:hanging="27"/>
      </w:pPr>
      <w:r>
        <w:rPr/>
        <w:t>Directors' Report 31 December 2012</w:t>
      </w:r>
    </w:p>
    <w:p>
      <w:pPr>
        <w:pStyle w:val="Heading9"/>
        <w:spacing w:before="232"/>
        <w:ind w:left="504" w:right="7535"/>
      </w:pPr>
      <w:r>
        <w:rPr/>
        <w:t>Meetings of directors</w:t>
      </w:r>
    </w:p>
    <w:p>
      <w:pPr>
        <w:pStyle w:val="BodyText"/>
        <w:spacing w:before="4"/>
        <w:rPr>
          <w:b/>
          <w:sz w:val="25"/>
        </w:rPr>
      </w:pPr>
    </w:p>
    <w:p>
      <w:pPr>
        <w:pStyle w:val="BodyText"/>
        <w:ind w:left="504" w:right="366"/>
      </w:pPr>
      <w:r>
        <w:rPr/>
        <w:t>The number of meetings of the Company's board of directors held during the year ended 31 December 2012, and the number of meetings attended by each director were:</w:t>
      </w:r>
    </w:p>
    <w:p>
      <w:pPr>
        <w:pStyle w:val="BodyText"/>
        <w:spacing w:before="11"/>
        <w:rPr>
          <w:sz w:val="24"/>
        </w:rPr>
      </w:pPr>
    </w:p>
    <w:p>
      <w:pPr>
        <w:pStyle w:val="BodyText"/>
        <w:ind w:left="504" w:right="806"/>
      </w:pPr>
      <w:r>
        <w:rPr/>
        <w:t>The following table details the director’s attendance at these meetings:</w:t>
      </w:r>
    </w:p>
    <w:p>
      <w:pPr>
        <w:pStyle w:val="BodyText"/>
      </w:pPr>
    </w:p>
    <w:p>
      <w:pPr>
        <w:spacing w:before="128"/>
        <w:ind w:left="3822" w:right="4867" w:firstLine="0"/>
        <w:jc w:val="center"/>
        <w:rPr>
          <w:b/>
          <w:sz w:val="16"/>
        </w:rPr>
      </w:pPr>
      <w:r>
        <w:rPr>
          <w:b/>
          <w:sz w:val="16"/>
        </w:rPr>
        <w:t>Directors' Meetings</w:t>
      </w:r>
    </w:p>
    <w:p>
      <w:pPr>
        <w:spacing w:before="96" w:after="37"/>
        <w:ind w:left="2872" w:right="4868" w:firstLine="0"/>
        <w:jc w:val="center"/>
        <w:rPr>
          <w:b/>
          <w:sz w:val="14"/>
        </w:rPr>
      </w:pPr>
      <w:r>
        <w:rPr>
          <w:b/>
          <w:sz w:val="14"/>
        </w:rPr>
        <w:t>Number</w:t>
      </w:r>
    </w:p>
    <w:tbl>
      <w:tblPr>
        <w:tblW w:w="0" w:type="auto"/>
        <w:jc w:val="left"/>
        <w:tblInd w:w="52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9"/>
        <w:gridCol w:w="1224"/>
        <w:gridCol w:w="793"/>
      </w:tblGrid>
      <w:tr>
        <w:trPr>
          <w:trHeight w:val="378" w:hRule="exact"/>
        </w:trPr>
        <w:tc>
          <w:tcPr>
            <w:tcW w:w="2829" w:type="dxa"/>
          </w:tcPr>
          <w:p>
            <w:pPr/>
          </w:p>
        </w:tc>
        <w:tc>
          <w:tcPr>
            <w:tcW w:w="1224" w:type="dxa"/>
          </w:tcPr>
          <w:p>
            <w:pPr>
              <w:pStyle w:val="TableParagraph"/>
              <w:spacing w:line="146" w:lineRule="exact"/>
              <w:ind w:left="377" w:right="154"/>
              <w:jc w:val="center"/>
              <w:rPr>
                <w:b/>
                <w:sz w:val="14"/>
              </w:rPr>
            </w:pPr>
            <w:r>
              <w:rPr>
                <w:b/>
                <w:sz w:val="14"/>
              </w:rPr>
              <w:t>eligible to</w:t>
            </w:r>
          </w:p>
          <w:p>
            <w:pPr>
              <w:pStyle w:val="TableParagraph"/>
              <w:spacing w:before="24"/>
              <w:ind w:left="377" w:right="147"/>
              <w:jc w:val="center"/>
              <w:rPr>
                <w:b/>
                <w:sz w:val="14"/>
              </w:rPr>
            </w:pPr>
            <w:r>
              <w:rPr>
                <w:b/>
                <w:sz w:val="14"/>
              </w:rPr>
              <w:t>attend</w:t>
            </w:r>
          </w:p>
        </w:tc>
        <w:tc>
          <w:tcPr>
            <w:tcW w:w="793" w:type="dxa"/>
          </w:tcPr>
          <w:p>
            <w:pPr>
              <w:pStyle w:val="TableParagraph"/>
              <w:spacing w:line="146" w:lineRule="exact"/>
              <w:ind w:left="174" w:firstLine="28"/>
              <w:rPr>
                <w:b/>
                <w:sz w:val="14"/>
              </w:rPr>
            </w:pPr>
            <w:r>
              <w:rPr>
                <w:b/>
                <w:sz w:val="14"/>
              </w:rPr>
              <w:t>Number</w:t>
            </w:r>
          </w:p>
          <w:p>
            <w:pPr>
              <w:pStyle w:val="TableParagraph"/>
              <w:spacing w:before="24"/>
              <w:ind w:left="174"/>
              <w:rPr>
                <w:b/>
                <w:sz w:val="14"/>
              </w:rPr>
            </w:pPr>
            <w:r>
              <w:rPr>
                <w:b/>
                <w:sz w:val="14"/>
              </w:rPr>
              <w:t>attended</w:t>
            </w:r>
          </w:p>
        </w:tc>
      </w:tr>
      <w:tr>
        <w:trPr>
          <w:trHeight w:val="228" w:hRule="exact"/>
        </w:trPr>
        <w:tc>
          <w:tcPr>
            <w:tcW w:w="2829" w:type="dxa"/>
          </w:tcPr>
          <w:p>
            <w:pPr>
              <w:pStyle w:val="TableParagraph"/>
              <w:spacing w:before="32"/>
              <w:ind w:left="35"/>
              <w:rPr>
                <w:sz w:val="14"/>
              </w:rPr>
            </w:pPr>
            <w:r>
              <w:rPr>
                <w:sz w:val="14"/>
              </w:rPr>
              <w:t>Harold C Mitchell</w:t>
            </w:r>
          </w:p>
        </w:tc>
        <w:tc>
          <w:tcPr>
            <w:tcW w:w="1224" w:type="dxa"/>
          </w:tcPr>
          <w:p>
            <w:pPr>
              <w:pStyle w:val="TableParagraph"/>
              <w:spacing w:before="32"/>
              <w:ind w:right="403"/>
              <w:jc w:val="right"/>
              <w:rPr>
                <w:sz w:val="14"/>
              </w:rPr>
            </w:pPr>
            <w:r>
              <w:rPr>
                <w:w w:val="99"/>
                <w:sz w:val="14"/>
              </w:rPr>
              <w:t>5</w:t>
            </w:r>
          </w:p>
        </w:tc>
        <w:tc>
          <w:tcPr>
            <w:tcW w:w="793" w:type="dxa"/>
          </w:tcPr>
          <w:p>
            <w:pPr>
              <w:pStyle w:val="TableParagraph"/>
              <w:spacing w:before="32"/>
              <w:ind w:right="231"/>
              <w:jc w:val="right"/>
              <w:rPr>
                <w:sz w:val="14"/>
              </w:rPr>
            </w:pPr>
            <w:r>
              <w:rPr>
                <w:w w:val="99"/>
                <w:sz w:val="14"/>
              </w:rPr>
              <w:t>5</w:t>
            </w:r>
          </w:p>
        </w:tc>
      </w:tr>
      <w:tr>
        <w:trPr>
          <w:trHeight w:val="217" w:hRule="exact"/>
        </w:trPr>
        <w:tc>
          <w:tcPr>
            <w:tcW w:w="2829" w:type="dxa"/>
          </w:tcPr>
          <w:p>
            <w:pPr>
              <w:pStyle w:val="TableParagraph"/>
              <w:spacing w:before="20"/>
              <w:ind w:left="35"/>
              <w:rPr>
                <w:sz w:val="14"/>
              </w:rPr>
            </w:pPr>
            <w:r>
              <w:rPr>
                <w:sz w:val="14"/>
              </w:rPr>
              <w:t>Geoffrey M Roberson</w:t>
            </w:r>
          </w:p>
        </w:tc>
        <w:tc>
          <w:tcPr>
            <w:tcW w:w="1224" w:type="dxa"/>
          </w:tcPr>
          <w:p>
            <w:pPr>
              <w:pStyle w:val="TableParagraph"/>
              <w:spacing w:before="20"/>
              <w:ind w:right="401"/>
              <w:jc w:val="right"/>
              <w:rPr>
                <w:sz w:val="14"/>
              </w:rPr>
            </w:pPr>
            <w:r>
              <w:rPr>
                <w:w w:val="99"/>
                <w:sz w:val="14"/>
              </w:rPr>
              <w:t>5</w:t>
            </w:r>
          </w:p>
        </w:tc>
        <w:tc>
          <w:tcPr>
            <w:tcW w:w="793" w:type="dxa"/>
          </w:tcPr>
          <w:p>
            <w:pPr>
              <w:pStyle w:val="TableParagraph"/>
              <w:spacing w:before="20"/>
              <w:ind w:right="229"/>
              <w:jc w:val="right"/>
              <w:rPr>
                <w:sz w:val="14"/>
              </w:rPr>
            </w:pPr>
            <w:r>
              <w:rPr>
                <w:w w:val="99"/>
                <w:sz w:val="14"/>
              </w:rPr>
              <w:t>3</w:t>
            </w:r>
          </w:p>
        </w:tc>
      </w:tr>
      <w:tr>
        <w:trPr>
          <w:trHeight w:val="218" w:hRule="exact"/>
        </w:trPr>
        <w:tc>
          <w:tcPr>
            <w:tcW w:w="2829" w:type="dxa"/>
          </w:tcPr>
          <w:p>
            <w:pPr>
              <w:pStyle w:val="TableParagraph"/>
              <w:spacing w:before="21"/>
              <w:ind w:left="35"/>
              <w:rPr>
                <w:sz w:val="14"/>
              </w:rPr>
            </w:pPr>
            <w:r>
              <w:rPr>
                <w:sz w:val="14"/>
              </w:rPr>
              <w:t>Rhonda C Hawkins</w:t>
            </w:r>
          </w:p>
        </w:tc>
        <w:tc>
          <w:tcPr>
            <w:tcW w:w="1224" w:type="dxa"/>
          </w:tcPr>
          <w:p>
            <w:pPr>
              <w:pStyle w:val="TableParagraph"/>
              <w:spacing w:before="21"/>
              <w:ind w:right="403"/>
              <w:jc w:val="right"/>
              <w:rPr>
                <w:sz w:val="14"/>
              </w:rPr>
            </w:pPr>
            <w:r>
              <w:rPr>
                <w:w w:val="99"/>
                <w:sz w:val="14"/>
              </w:rPr>
              <w:t>5</w:t>
            </w:r>
          </w:p>
        </w:tc>
        <w:tc>
          <w:tcPr>
            <w:tcW w:w="793" w:type="dxa"/>
          </w:tcPr>
          <w:p>
            <w:pPr>
              <w:pStyle w:val="TableParagraph"/>
              <w:spacing w:before="21"/>
              <w:ind w:right="231"/>
              <w:jc w:val="right"/>
              <w:rPr>
                <w:sz w:val="14"/>
              </w:rPr>
            </w:pPr>
            <w:r>
              <w:rPr>
                <w:w w:val="99"/>
                <w:sz w:val="14"/>
              </w:rPr>
              <w:t>3</w:t>
            </w:r>
          </w:p>
        </w:tc>
      </w:tr>
      <w:tr>
        <w:trPr>
          <w:trHeight w:val="218" w:hRule="exact"/>
        </w:trPr>
        <w:tc>
          <w:tcPr>
            <w:tcW w:w="2829" w:type="dxa"/>
          </w:tcPr>
          <w:p>
            <w:pPr>
              <w:pStyle w:val="TableParagraph"/>
              <w:spacing w:before="21"/>
              <w:ind w:left="35"/>
              <w:rPr>
                <w:sz w:val="14"/>
              </w:rPr>
            </w:pPr>
            <w:r>
              <w:rPr>
                <w:sz w:val="14"/>
              </w:rPr>
              <w:t>Alexander F Marinos</w:t>
            </w:r>
          </w:p>
        </w:tc>
        <w:tc>
          <w:tcPr>
            <w:tcW w:w="1224" w:type="dxa"/>
          </w:tcPr>
          <w:p>
            <w:pPr>
              <w:pStyle w:val="TableParagraph"/>
              <w:spacing w:before="21"/>
              <w:ind w:right="403"/>
              <w:jc w:val="right"/>
              <w:rPr>
                <w:sz w:val="14"/>
              </w:rPr>
            </w:pPr>
            <w:r>
              <w:rPr>
                <w:w w:val="99"/>
                <w:sz w:val="14"/>
              </w:rPr>
              <w:t>5</w:t>
            </w:r>
          </w:p>
        </w:tc>
        <w:tc>
          <w:tcPr>
            <w:tcW w:w="793" w:type="dxa"/>
          </w:tcPr>
          <w:p>
            <w:pPr>
              <w:pStyle w:val="TableParagraph"/>
              <w:spacing w:before="21"/>
              <w:ind w:right="231"/>
              <w:jc w:val="right"/>
              <w:rPr>
                <w:sz w:val="14"/>
              </w:rPr>
            </w:pPr>
            <w:r>
              <w:rPr>
                <w:w w:val="99"/>
                <w:sz w:val="14"/>
              </w:rPr>
              <w:t>2</w:t>
            </w:r>
          </w:p>
        </w:tc>
      </w:tr>
      <w:tr>
        <w:trPr>
          <w:trHeight w:val="218" w:hRule="exact"/>
        </w:trPr>
        <w:tc>
          <w:tcPr>
            <w:tcW w:w="2829" w:type="dxa"/>
          </w:tcPr>
          <w:p>
            <w:pPr>
              <w:pStyle w:val="TableParagraph"/>
              <w:spacing w:before="21"/>
              <w:ind w:left="35"/>
              <w:rPr>
                <w:sz w:val="14"/>
              </w:rPr>
            </w:pPr>
            <w:r>
              <w:rPr>
                <w:sz w:val="14"/>
              </w:rPr>
              <w:t>Wayne F McKenna</w:t>
            </w:r>
          </w:p>
        </w:tc>
        <w:tc>
          <w:tcPr>
            <w:tcW w:w="1224" w:type="dxa"/>
          </w:tcPr>
          <w:p>
            <w:pPr>
              <w:pStyle w:val="TableParagraph"/>
              <w:spacing w:before="21"/>
              <w:ind w:right="403"/>
              <w:jc w:val="right"/>
              <w:rPr>
                <w:sz w:val="14"/>
              </w:rPr>
            </w:pPr>
            <w:r>
              <w:rPr>
                <w:w w:val="99"/>
                <w:sz w:val="14"/>
              </w:rPr>
              <w:t>5</w:t>
            </w:r>
          </w:p>
        </w:tc>
        <w:tc>
          <w:tcPr>
            <w:tcW w:w="793" w:type="dxa"/>
          </w:tcPr>
          <w:p>
            <w:pPr>
              <w:pStyle w:val="TableParagraph"/>
              <w:spacing w:before="21"/>
              <w:ind w:right="231"/>
              <w:jc w:val="right"/>
              <w:rPr>
                <w:sz w:val="14"/>
              </w:rPr>
            </w:pPr>
            <w:r>
              <w:rPr>
                <w:w w:val="99"/>
                <w:sz w:val="14"/>
              </w:rPr>
              <w:t>4</w:t>
            </w:r>
          </w:p>
        </w:tc>
      </w:tr>
      <w:tr>
        <w:trPr>
          <w:trHeight w:val="218" w:hRule="exact"/>
        </w:trPr>
        <w:tc>
          <w:tcPr>
            <w:tcW w:w="2829" w:type="dxa"/>
          </w:tcPr>
          <w:p>
            <w:pPr>
              <w:pStyle w:val="TableParagraph"/>
              <w:spacing w:before="21"/>
              <w:ind w:left="35"/>
              <w:rPr>
                <w:sz w:val="14"/>
              </w:rPr>
            </w:pPr>
            <w:r>
              <w:rPr>
                <w:sz w:val="14"/>
              </w:rPr>
              <w:t>Sharon Bell</w:t>
            </w:r>
          </w:p>
        </w:tc>
        <w:tc>
          <w:tcPr>
            <w:tcW w:w="1224" w:type="dxa"/>
          </w:tcPr>
          <w:p>
            <w:pPr>
              <w:pStyle w:val="TableParagraph"/>
              <w:spacing w:before="21"/>
              <w:ind w:right="401"/>
              <w:jc w:val="right"/>
              <w:rPr>
                <w:sz w:val="14"/>
              </w:rPr>
            </w:pPr>
            <w:r>
              <w:rPr>
                <w:w w:val="99"/>
                <w:sz w:val="14"/>
              </w:rPr>
              <w:t>5</w:t>
            </w:r>
          </w:p>
        </w:tc>
        <w:tc>
          <w:tcPr>
            <w:tcW w:w="793" w:type="dxa"/>
          </w:tcPr>
          <w:p>
            <w:pPr>
              <w:pStyle w:val="TableParagraph"/>
              <w:spacing w:before="21"/>
              <w:ind w:right="229"/>
              <w:jc w:val="right"/>
              <w:rPr>
                <w:sz w:val="14"/>
              </w:rPr>
            </w:pPr>
            <w:r>
              <w:rPr>
                <w:w w:val="99"/>
                <w:sz w:val="14"/>
              </w:rPr>
              <w:t>4</w:t>
            </w:r>
          </w:p>
        </w:tc>
      </w:tr>
      <w:tr>
        <w:trPr>
          <w:trHeight w:val="217" w:hRule="exact"/>
        </w:trPr>
        <w:tc>
          <w:tcPr>
            <w:tcW w:w="2829" w:type="dxa"/>
          </w:tcPr>
          <w:p>
            <w:pPr>
              <w:pStyle w:val="TableParagraph"/>
              <w:spacing w:before="21"/>
              <w:ind w:left="35"/>
              <w:rPr>
                <w:sz w:val="14"/>
              </w:rPr>
            </w:pPr>
            <w:r>
              <w:rPr>
                <w:sz w:val="14"/>
              </w:rPr>
              <w:t>Angelo N Kourtis</w:t>
            </w:r>
          </w:p>
        </w:tc>
        <w:tc>
          <w:tcPr>
            <w:tcW w:w="1224" w:type="dxa"/>
          </w:tcPr>
          <w:p>
            <w:pPr>
              <w:pStyle w:val="TableParagraph"/>
              <w:spacing w:before="21"/>
              <w:ind w:right="403"/>
              <w:jc w:val="right"/>
              <w:rPr>
                <w:sz w:val="14"/>
              </w:rPr>
            </w:pPr>
            <w:r>
              <w:rPr>
                <w:w w:val="99"/>
                <w:sz w:val="14"/>
              </w:rPr>
              <w:t>5</w:t>
            </w:r>
          </w:p>
        </w:tc>
        <w:tc>
          <w:tcPr>
            <w:tcW w:w="793" w:type="dxa"/>
          </w:tcPr>
          <w:p>
            <w:pPr>
              <w:pStyle w:val="TableParagraph"/>
              <w:spacing w:before="21"/>
              <w:ind w:right="232"/>
              <w:jc w:val="right"/>
              <w:rPr>
                <w:sz w:val="14"/>
              </w:rPr>
            </w:pPr>
            <w:r>
              <w:rPr>
                <w:w w:val="99"/>
                <w:sz w:val="14"/>
              </w:rPr>
              <w:t>3</w:t>
            </w:r>
          </w:p>
        </w:tc>
      </w:tr>
      <w:tr>
        <w:trPr>
          <w:trHeight w:val="217" w:hRule="exact"/>
        </w:trPr>
        <w:tc>
          <w:tcPr>
            <w:tcW w:w="2829" w:type="dxa"/>
          </w:tcPr>
          <w:p>
            <w:pPr>
              <w:pStyle w:val="TableParagraph"/>
              <w:spacing w:before="20"/>
              <w:ind w:left="35"/>
              <w:rPr>
                <w:sz w:val="14"/>
              </w:rPr>
            </w:pPr>
            <w:r>
              <w:rPr>
                <w:sz w:val="14"/>
              </w:rPr>
              <w:t>Marcus Gillezeau</w:t>
            </w:r>
          </w:p>
        </w:tc>
        <w:tc>
          <w:tcPr>
            <w:tcW w:w="1224" w:type="dxa"/>
          </w:tcPr>
          <w:p>
            <w:pPr>
              <w:pStyle w:val="TableParagraph"/>
              <w:spacing w:before="20"/>
              <w:ind w:right="403"/>
              <w:jc w:val="right"/>
              <w:rPr>
                <w:sz w:val="14"/>
              </w:rPr>
            </w:pPr>
            <w:r>
              <w:rPr>
                <w:w w:val="99"/>
                <w:sz w:val="14"/>
              </w:rPr>
              <w:t>5</w:t>
            </w:r>
          </w:p>
        </w:tc>
        <w:tc>
          <w:tcPr>
            <w:tcW w:w="793" w:type="dxa"/>
          </w:tcPr>
          <w:p>
            <w:pPr>
              <w:pStyle w:val="TableParagraph"/>
              <w:spacing w:before="20"/>
              <w:ind w:right="232"/>
              <w:jc w:val="right"/>
              <w:rPr>
                <w:sz w:val="14"/>
              </w:rPr>
            </w:pPr>
            <w:r>
              <w:rPr>
                <w:w w:val="99"/>
                <w:sz w:val="14"/>
              </w:rPr>
              <w:t>2</w:t>
            </w:r>
          </w:p>
        </w:tc>
      </w:tr>
      <w:tr>
        <w:trPr>
          <w:trHeight w:val="218" w:hRule="exact"/>
        </w:trPr>
        <w:tc>
          <w:tcPr>
            <w:tcW w:w="2829" w:type="dxa"/>
          </w:tcPr>
          <w:p>
            <w:pPr>
              <w:pStyle w:val="TableParagraph"/>
              <w:spacing w:before="21"/>
              <w:ind w:left="35"/>
              <w:rPr>
                <w:sz w:val="14"/>
              </w:rPr>
            </w:pPr>
            <w:r>
              <w:rPr>
                <w:sz w:val="14"/>
              </w:rPr>
              <w:t>Peter A Malecki (Alternate Director)</w:t>
            </w:r>
          </w:p>
        </w:tc>
        <w:tc>
          <w:tcPr>
            <w:tcW w:w="1224" w:type="dxa"/>
          </w:tcPr>
          <w:p>
            <w:pPr>
              <w:pStyle w:val="TableParagraph"/>
              <w:spacing w:before="21"/>
              <w:ind w:right="403"/>
              <w:jc w:val="right"/>
              <w:rPr>
                <w:sz w:val="14"/>
              </w:rPr>
            </w:pPr>
            <w:r>
              <w:rPr>
                <w:w w:val="99"/>
                <w:sz w:val="14"/>
              </w:rPr>
              <w:t>2</w:t>
            </w:r>
          </w:p>
        </w:tc>
        <w:tc>
          <w:tcPr>
            <w:tcW w:w="793" w:type="dxa"/>
          </w:tcPr>
          <w:p>
            <w:pPr>
              <w:pStyle w:val="TableParagraph"/>
              <w:spacing w:before="21"/>
              <w:ind w:right="232"/>
              <w:jc w:val="right"/>
              <w:rPr>
                <w:sz w:val="14"/>
              </w:rPr>
            </w:pPr>
            <w:r>
              <w:rPr>
                <w:w w:val="99"/>
                <w:sz w:val="14"/>
              </w:rPr>
              <w:t>2</w:t>
            </w:r>
          </w:p>
        </w:tc>
      </w:tr>
      <w:tr>
        <w:trPr>
          <w:trHeight w:val="218" w:hRule="exact"/>
        </w:trPr>
        <w:tc>
          <w:tcPr>
            <w:tcW w:w="2829" w:type="dxa"/>
          </w:tcPr>
          <w:p>
            <w:pPr>
              <w:pStyle w:val="TableParagraph"/>
              <w:spacing w:before="21"/>
              <w:ind w:left="35"/>
              <w:rPr>
                <w:sz w:val="14"/>
              </w:rPr>
            </w:pPr>
            <w:r>
              <w:rPr>
                <w:sz w:val="14"/>
              </w:rPr>
              <w:t>Christina L Alvarez (Alternate Director)</w:t>
            </w:r>
          </w:p>
        </w:tc>
        <w:tc>
          <w:tcPr>
            <w:tcW w:w="1224" w:type="dxa"/>
          </w:tcPr>
          <w:p>
            <w:pPr>
              <w:pStyle w:val="TableParagraph"/>
              <w:spacing w:before="21"/>
              <w:ind w:right="413"/>
              <w:jc w:val="right"/>
              <w:rPr>
                <w:sz w:val="14"/>
              </w:rPr>
            </w:pPr>
            <w:r>
              <w:rPr>
                <w:w w:val="99"/>
                <w:sz w:val="14"/>
              </w:rPr>
              <w:t>-</w:t>
            </w:r>
          </w:p>
        </w:tc>
        <w:tc>
          <w:tcPr>
            <w:tcW w:w="793" w:type="dxa"/>
          </w:tcPr>
          <w:p>
            <w:pPr>
              <w:pStyle w:val="TableParagraph"/>
              <w:spacing w:before="21"/>
              <w:ind w:right="227"/>
              <w:jc w:val="right"/>
              <w:rPr>
                <w:sz w:val="14"/>
              </w:rPr>
            </w:pPr>
            <w:r>
              <w:rPr>
                <w:w w:val="99"/>
                <w:sz w:val="14"/>
              </w:rPr>
              <w:t>-</w:t>
            </w:r>
          </w:p>
        </w:tc>
      </w:tr>
      <w:tr>
        <w:trPr>
          <w:trHeight w:val="279" w:hRule="exact"/>
        </w:trPr>
        <w:tc>
          <w:tcPr>
            <w:tcW w:w="2829" w:type="dxa"/>
          </w:tcPr>
          <w:p>
            <w:pPr>
              <w:pStyle w:val="TableParagraph"/>
              <w:spacing w:before="21"/>
              <w:ind w:left="35"/>
              <w:rPr>
                <w:sz w:val="14"/>
              </w:rPr>
            </w:pPr>
            <w:r>
              <w:rPr>
                <w:sz w:val="14"/>
              </w:rPr>
              <w:t>Lynette S Burns (Alternate Director)</w:t>
            </w:r>
          </w:p>
        </w:tc>
        <w:tc>
          <w:tcPr>
            <w:tcW w:w="1224" w:type="dxa"/>
          </w:tcPr>
          <w:p>
            <w:pPr>
              <w:pStyle w:val="TableParagraph"/>
              <w:spacing w:before="21"/>
              <w:ind w:right="413"/>
              <w:jc w:val="right"/>
              <w:rPr>
                <w:sz w:val="14"/>
              </w:rPr>
            </w:pPr>
            <w:r>
              <w:rPr>
                <w:w w:val="99"/>
                <w:sz w:val="14"/>
              </w:rPr>
              <w:t>-</w:t>
            </w:r>
          </w:p>
        </w:tc>
        <w:tc>
          <w:tcPr>
            <w:tcW w:w="793" w:type="dxa"/>
          </w:tcPr>
          <w:p>
            <w:pPr>
              <w:pStyle w:val="TableParagraph"/>
              <w:spacing w:before="21"/>
              <w:ind w:right="227"/>
              <w:jc w:val="right"/>
              <w:rPr>
                <w:sz w:val="14"/>
              </w:rPr>
            </w:pPr>
            <w:r>
              <w:rPr>
                <w:w w:val="99"/>
                <w:sz w:val="14"/>
              </w:rPr>
              <w:t>-</w:t>
            </w:r>
          </w:p>
        </w:tc>
      </w:tr>
    </w:tbl>
    <w:p>
      <w:pPr>
        <w:pStyle w:val="BodyText"/>
        <w:rPr>
          <w:b/>
          <w:sz w:val="20"/>
        </w:rPr>
      </w:pPr>
    </w:p>
    <w:p>
      <w:pPr>
        <w:pStyle w:val="BodyText"/>
        <w:spacing w:before="6"/>
        <w:rPr>
          <w:b/>
          <w:sz w:val="21"/>
        </w:rPr>
      </w:pPr>
    </w:p>
    <w:p>
      <w:pPr>
        <w:pStyle w:val="BodyText"/>
        <w:spacing w:line="204" w:lineRule="exact" w:before="1"/>
        <w:ind w:left="504" w:right="147" w:hanging="1"/>
        <w:jc w:val="both"/>
      </w:pPr>
      <w:r>
        <w:rPr/>
        <w:t>In addition to the above meetings and pursuant to clause 17.1, of the Television Sydney (TVS) Limited Constitution, the directors passed a number of resolutions via circular resolutions during the year ending 31 December 2012.</w:t>
      </w:r>
    </w:p>
    <w:p>
      <w:pPr>
        <w:pStyle w:val="BodyText"/>
        <w:spacing w:before="6"/>
        <w:rPr>
          <w:sz w:val="24"/>
        </w:rPr>
      </w:pPr>
    </w:p>
    <w:p>
      <w:pPr>
        <w:pStyle w:val="Heading9"/>
        <w:ind w:left="504"/>
        <w:jc w:val="both"/>
      </w:pPr>
      <w:r>
        <w:rPr/>
        <w:t>Proceedings on behalf of company</w:t>
      </w:r>
    </w:p>
    <w:p>
      <w:pPr>
        <w:pStyle w:val="BodyText"/>
        <w:spacing w:before="2"/>
        <w:rPr>
          <w:b/>
          <w:sz w:val="25"/>
        </w:rPr>
      </w:pPr>
    </w:p>
    <w:p>
      <w:pPr>
        <w:pStyle w:val="BodyText"/>
        <w:ind w:left="503" w:right="98"/>
        <w:jc w:val="both"/>
      </w:pPr>
      <w:r>
        <w:rPr/>
        <w:t>No person has applied for leave of court under Section 237 of the </w:t>
      </w:r>
      <w:r>
        <w:rPr>
          <w:i/>
        </w:rPr>
        <w:t>Corporations Act 2001 </w:t>
      </w:r>
      <w:r>
        <w:rPr/>
        <w:t>to bring proceedings on behalf of the Company or intervene in any proceedings to which the Company is a party for the purpose of taking responsibility on behalf of the Company for all or any part of those proceedings.</w:t>
      </w:r>
    </w:p>
    <w:p>
      <w:pPr>
        <w:pStyle w:val="BodyText"/>
        <w:spacing w:before="11"/>
        <w:rPr>
          <w:sz w:val="24"/>
        </w:rPr>
      </w:pPr>
    </w:p>
    <w:p>
      <w:pPr>
        <w:pStyle w:val="BodyText"/>
        <w:ind w:left="504"/>
        <w:jc w:val="both"/>
      </w:pPr>
      <w:r>
        <w:rPr/>
        <w:t>The Company was not a party to any such proceedings during the year.</w:t>
      </w:r>
    </w:p>
    <w:p>
      <w:pPr>
        <w:pStyle w:val="BodyText"/>
        <w:spacing w:before="6"/>
        <w:rPr>
          <w:sz w:val="24"/>
        </w:rPr>
      </w:pPr>
    </w:p>
    <w:p>
      <w:pPr>
        <w:pStyle w:val="Heading9"/>
        <w:ind w:left="504"/>
        <w:jc w:val="both"/>
      </w:pPr>
      <w:r>
        <w:rPr/>
        <w:t>Auditor's independence declaration</w:t>
      </w:r>
    </w:p>
    <w:p>
      <w:pPr>
        <w:pStyle w:val="BodyText"/>
        <w:spacing w:before="2"/>
        <w:rPr>
          <w:b/>
          <w:sz w:val="25"/>
        </w:rPr>
      </w:pPr>
    </w:p>
    <w:p>
      <w:pPr>
        <w:pStyle w:val="BodyText"/>
        <w:ind w:left="503" w:right="144"/>
        <w:jc w:val="both"/>
      </w:pPr>
      <w:r>
        <w:rPr/>
        <w:t>The lead auditor's independence declaration in accordance with section 307C of the </w:t>
      </w:r>
      <w:r>
        <w:rPr>
          <w:i/>
        </w:rPr>
        <w:t>Corporations Act 2001</w:t>
      </w:r>
      <w:r>
        <w:rPr/>
        <w:t>, for the year ended 31 December 2012 has been received and can be found on page 92 of the financial report.</w:t>
      </w:r>
    </w:p>
    <w:p>
      <w:pPr>
        <w:pStyle w:val="BodyText"/>
        <w:rPr>
          <w:sz w:val="20"/>
        </w:rPr>
      </w:pPr>
    </w:p>
    <w:p>
      <w:pPr>
        <w:pStyle w:val="BodyText"/>
        <w:spacing w:before="6"/>
        <w:rPr>
          <w:sz w:val="17"/>
        </w:rPr>
      </w:pPr>
      <w:r>
        <w:rPr/>
        <w:drawing>
          <wp:anchor distT="0" distB="0" distL="0" distR="0" allowOverlap="1" layoutInCell="1" locked="0" behindDoc="0" simplePos="0" relativeHeight="3928">
            <wp:simplePos x="0" y="0"/>
            <wp:positionH relativeFrom="page">
              <wp:posOffset>842010</wp:posOffset>
            </wp:positionH>
            <wp:positionV relativeFrom="paragraph">
              <wp:posOffset>152790</wp:posOffset>
            </wp:positionV>
            <wp:extent cx="6118556" cy="1195387"/>
            <wp:effectExtent l="0" t="0" r="0" b="0"/>
            <wp:wrapTopAndBottom/>
            <wp:docPr id="43" name="image49.png" descr=""/>
            <wp:cNvGraphicFramePr>
              <a:graphicFrameLocks noChangeAspect="1"/>
            </wp:cNvGraphicFramePr>
            <a:graphic>
              <a:graphicData uri="http://schemas.openxmlformats.org/drawingml/2006/picture">
                <pic:pic>
                  <pic:nvPicPr>
                    <pic:cNvPr id="44" name="image49.png"/>
                    <pic:cNvPicPr/>
                  </pic:nvPicPr>
                  <pic:blipFill>
                    <a:blip r:embed="rId108" cstate="print"/>
                    <a:stretch>
                      <a:fillRect/>
                    </a:stretch>
                  </pic:blipFill>
                  <pic:spPr>
                    <a:xfrm>
                      <a:off x="0" y="0"/>
                      <a:ext cx="6118556" cy="1195387"/>
                    </a:xfrm>
                    <a:prstGeom prst="rect">
                      <a:avLst/>
                    </a:prstGeom>
                  </pic:spPr>
                </pic:pic>
              </a:graphicData>
            </a:graphic>
          </wp:anchor>
        </w:drawing>
      </w:r>
    </w:p>
    <w:p>
      <w:pPr>
        <w:pStyle w:val="BodyText"/>
        <w:spacing w:before="10"/>
        <w:rPr>
          <w:sz w:val="29"/>
        </w:rPr>
      </w:pPr>
    </w:p>
    <w:p>
      <w:pPr>
        <w:pStyle w:val="BodyText"/>
        <w:spacing w:before="77"/>
        <w:ind w:left="504" w:right="7535"/>
      </w:pPr>
      <w:r>
        <w:rPr/>
        <w:t>Dated 25 March 2013</w:t>
      </w:r>
    </w:p>
    <w:p>
      <w:pPr>
        <w:spacing w:after="0"/>
        <w:sectPr>
          <w:pgSz w:w="11930" w:h="16850"/>
          <w:pgMar w:header="1035" w:footer="507" w:top="1460" w:bottom="700" w:left="900" w:right="820"/>
        </w:sectPr>
      </w:pPr>
    </w:p>
    <w:p>
      <w:pPr>
        <w:spacing w:before="45"/>
        <w:ind w:left="368" w:right="0" w:firstLine="0"/>
        <w:jc w:val="left"/>
        <w:rPr>
          <w:b/>
          <w:sz w:val="22"/>
        </w:rPr>
      </w:pPr>
      <w:r>
        <w:rPr>
          <w:b/>
          <w:sz w:val="22"/>
        </w:rPr>
        <w:t>Television Sydney (TVS) Limited</w:t>
      </w:r>
    </w:p>
    <w:p>
      <w:pPr>
        <w:spacing w:before="57"/>
        <w:ind w:left="368" w:right="0" w:firstLine="0"/>
        <w:jc w:val="left"/>
        <w:rPr>
          <w:b/>
          <w:sz w:val="14"/>
        </w:rPr>
      </w:pPr>
      <w:r>
        <w:rPr>
          <w:b/>
          <w:sz w:val="14"/>
        </w:rPr>
        <w:t>ABN 27104674124</w:t>
      </w:r>
    </w:p>
    <w:p>
      <w:pPr>
        <w:pStyle w:val="BodyText"/>
        <w:rPr>
          <w:b/>
          <w:sz w:val="20"/>
        </w:rPr>
      </w:pPr>
    </w:p>
    <w:p>
      <w:pPr>
        <w:pStyle w:val="BodyText"/>
        <w:spacing w:before="4"/>
        <w:rPr>
          <w:b/>
          <w:sz w:val="16"/>
        </w:rPr>
      </w:pPr>
      <w:r>
        <w:rPr/>
        <w:drawing>
          <wp:anchor distT="0" distB="0" distL="0" distR="0" allowOverlap="1" layoutInCell="1" locked="0" behindDoc="0" simplePos="0" relativeHeight="3952">
            <wp:simplePos x="0" y="0"/>
            <wp:positionH relativeFrom="page">
              <wp:posOffset>3397430</wp:posOffset>
            </wp:positionH>
            <wp:positionV relativeFrom="paragraph">
              <wp:posOffset>144495</wp:posOffset>
            </wp:positionV>
            <wp:extent cx="1030222" cy="1051941"/>
            <wp:effectExtent l="0" t="0" r="0" b="0"/>
            <wp:wrapTopAndBottom/>
            <wp:docPr id="45" name="image50.jpeg" descr=""/>
            <wp:cNvGraphicFramePr>
              <a:graphicFrameLocks noChangeAspect="1"/>
            </wp:cNvGraphicFramePr>
            <a:graphic>
              <a:graphicData uri="http://schemas.openxmlformats.org/drawingml/2006/picture">
                <pic:pic>
                  <pic:nvPicPr>
                    <pic:cNvPr id="46" name="image50.jpeg"/>
                    <pic:cNvPicPr/>
                  </pic:nvPicPr>
                  <pic:blipFill>
                    <a:blip r:embed="rId111" cstate="print"/>
                    <a:stretch>
                      <a:fillRect/>
                    </a:stretch>
                  </pic:blipFill>
                  <pic:spPr>
                    <a:xfrm>
                      <a:off x="0" y="0"/>
                      <a:ext cx="1030222" cy="1051941"/>
                    </a:xfrm>
                    <a:prstGeom prst="rect">
                      <a:avLst/>
                    </a:prstGeom>
                  </pic:spPr>
                </pic:pic>
              </a:graphicData>
            </a:graphic>
          </wp:anchor>
        </w:drawing>
      </w:r>
    </w:p>
    <w:p>
      <w:pPr>
        <w:pStyle w:val="BodyText"/>
        <w:rPr>
          <w:b/>
          <w:sz w:val="14"/>
        </w:rPr>
      </w:pPr>
    </w:p>
    <w:p>
      <w:pPr>
        <w:pStyle w:val="BodyText"/>
        <w:rPr>
          <w:b/>
          <w:sz w:val="14"/>
        </w:rPr>
      </w:pPr>
    </w:p>
    <w:p>
      <w:pPr>
        <w:pStyle w:val="BodyText"/>
        <w:rPr>
          <w:b/>
          <w:sz w:val="14"/>
        </w:rPr>
      </w:pPr>
    </w:p>
    <w:p>
      <w:pPr>
        <w:pStyle w:val="BodyText"/>
        <w:rPr>
          <w:b/>
          <w:sz w:val="14"/>
        </w:rPr>
      </w:pPr>
    </w:p>
    <w:p>
      <w:pPr>
        <w:pStyle w:val="Heading8"/>
        <w:spacing w:before="94"/>
        <w:ind w:left="958"/>
      </w:pPr>
      <w:r>
        <w:rPr>
          <w:color w:val="0F0F15"/>
        </w:rPr>
        <w:t>To the Directors</w:t>
      </w:r>
    </w:p>
    <w:p>
      <w:pPr>
        <w:spacing w:before="7"/>
        <w:ind w:left="953" w:right="0" w:firstLine="0"/>
        <w:jc w:val="both"/>
        <w:rPr>
          <w:sz w:val="20"/>
        </w:rPr>
      </w:pPr>
      <w:r>
        <w:rPr>
          <w:color w:val="0F0F15"/>
          <w:sz w:val="20"/>
        </w:rPr>
        <w:t>Television Sydney (TVS) Limited</w:t>
      </w:r>
    </w:p>
    <w:p>
      <w:pPr>
        <w:pStyle w:val="BodyText"/>
        <w:rPr>
          <w:sz w:val="20"/>
        </w:rPr>
      </w:pPr>
    </w:p>
    <w:p>
      <w:pPr>
        <w:pStyle w:val="BodyText"/>
        <w:spacing w:before="10"/>
      </w:pPr>
    </w:p>
    <w:p>
      <w:pPr>
        <w:spacing w:before="0"/>
        <w:ind w:left="3617" w:right="0" w:firstLine="0"/>
        <w:jc w:val="left"/>
        <w:rPr>
          <w:b/>
          <w:sz w:val="23"/>
        </w:rPr>
      </w:pPr>
      <w:r>
        <w:rPr>
          <w:b/>
          <w:color w:val="0F0F15"/>
          <w:sz w:val="23"/>
        </w:rPr>
        <w:t>Auditor's  Independence  Declaration</w:t>
      </w:r>
    </w:p>
    <w:p>
      <w:pPr>
        <w:pStyle w:val="BodyText"/>
        <w:rPr>
          <w:b/>
          <w:sz w:val="22"/>
        </w:rPr>
      </w:pPr>
    </w:p>
    <w:p>
      <w:pPr>
        <w:pStyle w:val="BodyText"/>
        <w:spacing w:before="6"/>
        <w:rPr>
          <w:b/>
        </w:rPr>
      </w:pPr>
    </w:p>
    <w:p>
      <w:pPr>
        <w:spacing w:before="1"/>
        <w:ind w:left="957" w:right="605" w:hanging="5"/>
        <w:jc w:val="both"/>
        <w:rPr>
          <w:sz w:val="20"/>
        </w:rPr>
      </w:pPr>
      <w:r>
        <w:rPr>
          <w:color w:val="0F0F15"/>
          <w:sz w:val="20"/>
        </w:rPr>
        <w:t>As auditor  for the audit  of  the financial statements  of Television Sydney (TVS) Limited for the  year ended 31 December 2012, I declare that, to the best of my knowledge and belief, there have been no contraventions</w:t>
      </w:r>
      <w:r>
        <w:rPr>
          <w:color w:val="0F0F15"/>
          <w:spacing w:val="-7"/>
          <w:sz w:val="20"/>
        </w:rPr>
        <w:t> </w:t>
      </w:r>
      <w:r>
        <w:rPr>
          <w:color w:val="0F0F15"/>
          <w:sz w:val="20"/>
        </w:rPr>
        <w:t>of</w:t>
      </w:r>
      <w:r>
        <w:rPr>
          <w:color w:val="2A2A2B"/>
          <w:sz w:val="20"/>
        </w:rPr>
        <w:t>:</w:t>
      </w:r>
    </w:p>
    <w:p>
      <w:pPr>
        <w:pStyle w:val="BodyText"/>
        <w:spacing w:before="7"/>
        <w:rPr>
          <w:sz w:val="24"/>
        </w:rPr>
      </w:pPr>
    </w:p>
    <w:p>
      <w:pPr>
        <w:pStyle w:val="ListParagraph"/>
        <w:numPr>
          <w:ilvl w:val="1"/>
          <w:numId w:val="35"/>
        </w:numPr>
        <w:tabs>
          <w:tab w:pos="1249" w:val="left" w:leader="none"/>
        </w:tabs>
        <w:spacing w:line="240" w:lineRule="auto" w:before="0" w:after="0"/>
        <w:ind w:left="1248" w:right="0" w:hanging="290"/>
        <w:jc w:val="both"/>
        <w:rPr>
          <w:sz w:val="20"/>
        </w:rPr>
      </w:pPr>
      <w:r>
        <w:rPr>
          <w:color w:val="0F0F15"/>
          <w:sz w:val="20"/>
        </w:rPr>
        <w:t>the auditor independence requirements of the </w:t>
      </w:r>
      <w:r>
        <w:rPr>
          <w:i/>
          <w:color w:val="0F0F15"/>
          <w:sz w:val="19"/>
        </w:rPr>
        <w:t>Corporations  Act 2001 </w:t>
      </w:r>
      <w:r>
        <w:rPr>
          <w:color w:val="0F0F15"/>
          <w:sz w:val="20"/>
        </w:rPr>
        <w:t>in relation to the audit,</w:t>
      </w:r>
      <w:r>
        <w:rPr>
          <w:color w:val="0F0F15"/>
          <w:spacing w:val="-27"/>
          <w:sz w:val="20"/>
        </w:rPr>
        <w:t> </w:t>
      </w:r>
      <w:r>
        <w:rPr>
          <w:color w:val="0F0F15"/>
          <w:sz w:val="20"/>
        </w:rPr>
        <w:t>and</w:t>
      </w:r>
    </w:p>
    <w:p>
      <w:pPr>
        <w:pStyle w:val="Heading8"/>
        <w:numPr>
          <w:ilvl w:val="1"/>
          <w:numId w:val="35"/>
        </w:numPr>
        <w:tabs>
          <w:tab w:pos="1194" w:val="left" w:leader="none"/>
        </w:tabs>
        <w:spacing w:line="240" w:lineRule="auto" w:before="65" w:after="0"/>
        <w:ind w:left="1193" w:right="0" w:hanging="235"/>
        <w:jc w:val="both"/>
      </w:pPr>
      <w:r>
        <w:rPr>
          <w:color w:val="0F0F15"/>
        </w:rPr>
        <w:t>any applicable code of professional conduct in relat</w:t>
      </w:r>
      <w:r>
        <w:rPr>
          <w:color w:val="2A2A2B"/>
        </w:rPr>
        <w:t>i</w:t>
      </w:r>
      <w:r>
        <w:rPr>
          <w:color w:val="0F0F15"/>
        </w:rPr>
        <w:t>on to the</w:t>
      </w:r>
      <w:r>
        <w:rPr>
          <w:color w:val="0F0F15"/>
          <w:spacing w:val="-35"/>
        </w:rPr>
        <w:t> </w:t>
      </w:r>
      <w:r>
        <w:rPr>
          <w:color w:val="0F0F15"/>
        </w:rPr>
        <w:t>audit.</w:t>
      </w:r>
    </w:p>
    <w:p>
      <w:pPr>
        <w:pStyle w:val="BodyText"/>
        <w:rPr>
          <w:sz w:val="20"/>
        </w:rPr>
      </w:pPr>
    </w:p>
    <w:p>
      <w:pPr>
        <w:pStyle w:val="BodyText"/>
        <w:spacing w:before="4"/>
        <w:rPr>
          <w:sz w:val="28"/>
        </w:rPr>
      </w:pPr>
      <w:r>
        <w:rPr/>
        <w:drawing>
          <wp:anchor distT="0" distB="0" distL="0" distR="0" allowOverlap="1" layoutInCell="1" locked="0" behindDoc="0" simplePos="0" relativeHeight="3976">
            <wp:simplePos x="0" y="0"/>
            <wp:positionH relativeFrom="page">
              <wp:posOffset>776147</wp:posOffset>
            </wp:positionH>
            <wp:positionV relativeFrom="paragraph">
              <wp:posOffset>231814</wp:posOffset>
            </wp:positionV>
            <wp:extent cx="1620807" cy="511301"/>
            <wp:effectExtent l="0" t="0" r="0" b="0"/>
            <wp:wrapTopAndBottom/>
            <wp:docPr id="47" name="image51.jpeg" descr=""/>
            <wp:cNvGraphicFramePr>
              <a:graphicFrameLocks noChangeAspect="1"/>
            </wp:cNvGraphicFramePr>
            <a:graphic>
              <a:graphicData uri="http://schemas.openxmlformats.org/drawingml/2006/picture">
                <pic:pic>
                  <pic:nvPicPr>
                    <pic:cNvPr id="48" name="image51.jpeg"/>
                    <pic:cNvPicPr/>
                  </pic:nvPicPr>
                  <pic:blipFill>
                    <a:blip r:embed="rId112" cstate="print"/>
                    <a:stretch>
                      <a:fillRect/>
                    </a:stretch>
                  </pic:blipFill>
                  <pic:spPr>
                    <a:xfrm>
                      <a:off x="0" y="0"/>
                      <a:ext cx="1620807" cy="5113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spacing w:line="215" w:lineRule="exact" w:before="123"/>
        <w:ind w:left="979" w:right="0" w:firstLine="0"/>
        <w:jc w:val="both"/>
        <w:rPr>
          <w:sz w:val="20"/>
        </w:rPr>
      </w:pPr>
      <w:r>
        <w:rPr>
          <w:sz w:val="20"/>
        </w:rPr>
        <w:t>Renee Meimaroglou</w:t>
      </w:r>
    </w:p>
    <w:p>
      <w:pPr>
        <w:spacing w:line="215" w:lineRule="exact" w:before="0"/>
        <w:ind w:left="979" w:right="0" w:firstLine="0"/>
        <w:jc w:val="both"/>
        <w:rPr>
          <w:sz w:val="20"/>
        </w:rPr>
      </w:pPr>
      <w:r>
        <w:rPr>
          <w:sz w:val="20"/>
        </w:rPr>
        <w:t>Director Financial Audit Services</w:t>
      </w:r>
    </w:p>
    <w:p>
      <w:pPr>
        <w:pStyle w:val="BodyText"/>
        <w:rPr>
          <w:sz w:val="20"/>
        </w:rPr>
      </w:pPr>
    </w:p>
    <w:p>
      <w:pPr>
        <w:spacing w:line="202" w:lineRule="exact" w:before="166"/>
        <w:ind w:left="979" w:right="8116" w:firstLine="0"/>
        <w:jc w:val="left"/>
        <w:rPr>
          <w:sz w:val="20"/>
        </w:rPr>
      </w:pPr>
      <w:r>
        <w:rPr>
          <w:sz w:val="20"/>
        </w:rPr>
        <w:t>19 March 2013 SYDNEY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r>
        <w:rPr/>
        <w:pict>
          <v:line style="position:absolute;mso-position-horizontal-relative:page;mso-position-vertical-relative:paragraph;z-index:4000;mso-wrap-distance-left:0;mso-wrap-distance-right:0" from="38.150002pt,13.943644pt" to="548.150002pt,13.943644pt" stroked="true" strokeweight=".48pt" strokecolor="#272727">
            <w10:wrap type="topAndBottom"/>
          </v:line>
        </w:pict>
      </w:r>
    </w:p>
    <w:p>
      <w:pPr>
        <w:spacing w:before="95"/>
        <w:ind w:left="118" w:right="0" w:firstLine="0"/>
        <w:jc w:val="left"/>
        <w:rPr>
          <w:sz w:val="13"/>
        </w:rPr>
      </w:pPr>
      <w:r>
        <w:rPr>
          <w:color w:val="0F0F15"/>
          <w:w w:val="112"/>
          <w:sz w:val="13"/>
        </w:rPr>
        <w:t>Le</w:t>
      </w:r>
      <w:r>
        <w:rPr>
          <w:color w:val="0F0F15"/>
          <w:spacing w:val="1"/>
          <w:w w:val="112"/>
          <w:sz w:val="13"/>
        </w:rPr>
        <w:t>v</w:t>
      </w:r>
      <w:r>
        <w:rPr>
          <w:color w:val="0F0F15"/>
          <w:w w:val="112"/>
          <w:sz w:val="13"/>
        </w:rPr>
        <w:t>e</w:t>
      </w:r>
      <w:r>
        <w:rPr>
          <w:color w:val="0F0F15"/>
          <w:spacing w:val="1"/>
          <w:w w:val="112"/>
          <w:sz w:val="13"/>
        </w:rPr>
        <w:t>l</w:t>
      </w:r>
      <w:r>
        <w:rPr>
          <w:color w:val="0F0F15"/>
          <w:w w:val="112"/>
          <w:sz w:val="13"/>
        </w:rPr>
        <w:t>15,</w:t>
      </w:r>
      <w:r>
        <w:rPr>
          <w:color w:val="0F0F15"/>
          <w:spacing w:val="-3"/>
          <w:sz w:val="13"/>
        </w:rPr>
        <w:t> </w:t>
      </w:r>
      <w:r>
        <w:rPr>
          <w:color w:val="0F0F15"/>
          <w:w w:val="112"/>
          <w:sz w:val="13"/>
        </w:rPr>
        <w:t>1</w:t>
      </w:r>
      <w:r>
        <w:rPr>
          <w:color w:val="0F0F15"/>
          <w:spacing w:val="7"/>
          <w:sz w:val="13"/>
        </w:rPr>
        <w:t> </w:t>
      </w:r>
      <w:r>
        <w:rPr>
          <w:color w:val="0F0F15"/>
          <w:w w:val="112"/>
          <w:sz w:val="13"/>
        </w:rPr>
        <w:t>M</w:t>
      </w:r>
      <w:r>
        <w:rPr>
          <w:color w:val="0F0F15"/>
          <w:w w:val="112"/>
          <w:sz w:val="13"/>
        </w:rPr>
        <w:t>a</w:t>
      </w:r>
      <w:r>
        <w:rPr>
          <w:color w:val="0F0F15"/>
          <w:spacing w:val="-1"/>
          <w:w w:val="112"/>
          <w:sz w:val="13"/>
        </w:rPr>
        <w:t>r</w:t>
      </w:r>
      <w:r>
        <w:rPr>
          <w:color w:val="0F0F15"/>
          <w:w w:val="112"/>
          <w:sz w:val="13"/>
        </w:rPr>
        <w:t>ga</w:t>
      </w:r>
      <w:r>
        <w:rPr>
          <w:color w:val="0F0F15"/>
          <w:spacing w:val="-1"/>
          <w:w w:val="112"/>
          <w:sz w:val="13"/>
        </w:rPr>
        <w:t>r</w:t>
      </w:r>
      <w:r>
        <w:rPr>
          <w:color w:val="0F0F15"/>
          <w:w w:val="112"/>
          <w:sz w:val="13"/>
        </w:rPr>
        <w:t>et</w:t>
      </w:r>
      <w:r>
        <w:rPr>
          <w:color w:val="0F0F15"/>
          <w:spacing w:val="-12"/>
          <w:sz w:val="13"/>
        </w:rPr>
        <w:t> </w:t>
      </w:r>
      <w:r>
        <w:rPr>
          <w:color w:val="0F0F15"/>
          <w:w w:val="99"/>
          <w:sz w:val="13"/>
        </w:rPr>
        <w:t>Str</w:t>
      </w:r>
      <w:r>
        <w:rPr>
          <w:color w:val="0F0F15"/>
          <w:spacing w:val="-1"/>
          <w:w w:val="99"/>
          <w:sz w:val="13"/>
        </w:rPr>
        <w:t>e</w:t>
      </w:r>
      <w:r>
        <w:rPr>
          <w:color w:val="0F0F15"/>
          <w:w w:val="99"/>
          <w:sz w:val="13"/>
        </w:rPr>
        <w:t>et,</w:t>
      </w:r>
      <w:r>
        <w:rPr>
          <w:color w:val="0F0F15"/>
          <w:sz w:val="13"/>
        </w:rPr>
        <w:t> </w:t>
      </w:r>
      <w:r>
        <w:rPr>
          <w:color w:val="0F0F15"/>
          <w:spacing w:val="2"/>
          <w:sz w:val="13"/>
        </w:rPr>
        <w:t> </w:t>
      </w:r>
      <w:r>
        <w:rPr>
          <w:color w:val="0F0F15"/>
          <w:w w:val="99"/>
          <w:sz w:val="13"/>
        </w:rPr>
        <w:t>Sy</w:t>
      </w:r>
      <w:r>
        <w:rPr>
          <w:color w:val="0F0F15"/>
          <w:spacing w:val="2"/>
          <w:w w:val="99"/>
          <w:sz w:val="13"/>
        </w:rPr>
        <w:t>d</w:t>
      </w:r>
      <w:r>
        <w:rPr>
          <w:color w:val="0F0F15"/>
          <w:spacing w:val="-3"/>
          <w:w w:val="99"/>
          <w:sz w:val="13"/>
        </w:rPr>
        <w:t>n</w:t>
      </w:r>
      <w:r>
        <w:rPr>
          <w:color w:val="0F0F15"/>
          <w:spacing w:val="-1"/>
          <w:w w:val="99"/>
          <w:sz w:val="13"/>
        </w:rPr>
        <w:t>e</w:t>
      </w:r>
      <w:r>
        <w:rPr>
          <w:color w:val="0F0F15"/>
          <w:w w:val="99"/>
          <w:sz w:val="13"/>
        </w:rPr>
        <w:t>y</w:t>
      </w:r>
      <w:r>
        <w:rPr>
          <w:color w:val="0F0F15"/>
          <w:sz w:val="13"/>
        </w:rPr>
        <w:t> </w:t>
      </w:r>
      <w:r>
        <w:rPr>
          <w:color w:val="0F0F15"/>
          <w:spacing w:val="-3"/>
          <w:sz w:val="13"/>
        </w:rPr>
        <w:t> </w:t>
      </w:r>
      <w:r>
        <w:rPr>
          <w:color w:val="0F0F15"/>
          <w:spacing w:val="2"/>
          <w:w w:val="99"/>
          <w:sz w:val="13"/>
        </w:rPr>
        <w:t>N</w:t>
      </w:r>
      <w:r>
        <w:rPr>
          <w:color w:val="0F0F15"/>
          <w:spacing w:val="-3"/>
          <w:w w:val="99"/>
          <w:sz w:val="13"/>
        </w:rPr>
        <w:t>S</w:t>
      </w:r>
      <w:r>
        <w:rPr>
          <w:color w:val="0F0F15"/>
          <w:w w:val="99"/>
          <w:sz w:val="13"/>
        </w:rPr>
        <w:t>W</w:t>
      </w:r>
      <w:r>
        <w:rPr>
          <w:color w:val="0F0F15"/>
          <w:sz w:val="13"/>
        </w:rPr>
        <w:t> </w:t>
      </w:r>
      <w:r>
        <w:rPr>
          <w:color w:val="0F0F15"/>
          <w:spacing w:val="-10"/>
          <w:sz w:val="13"/>
        </w:rPr>
        <w:t> </w:t>
      </w:r>
      <w:r>
        <w:rPr>
          <w:color w:val="0F0F15"/>
          <w:w w:val="99"/>
          <w:sz w:val="13"/>
        </w:rPr>
        <w:t>2</w:t>
      </w:r>
      <w:r>
        <w:rPr>
          <w:color w:val="0F0F15"/>
          <w:spacing w:val="-1"/>
          <w:w w:val="99"/>
          <w:sz w:val="13"/>
        </w:rPr>
        <w:t>0</w:t>
      </w:r>
      <w:r>
        <w:rPr>
          <w:color w:val="0F0F15"/>
          <w:w w:val="99"/>
          <w:sz w:val="13"/>
        </w:rPr>
        <w:t>00</w:t>
      </w:r>
      <w:r>
        <w:rPr>
          <w:color w:val="0F0F15"/>
          <w:sz w:val="13"/>
        </w:rPr>
        <w:t>  </w:t>
      </w:r>
      <w:r>
        <w:rPr>
          <w:color w:val="0F0F15"/>
          <w:spacing w:val="-4"/>
          <w:sz w:val="13"/>
        </w:rPr>
        <w:t> </w:t>
      </w:r>
      <w:r>
        <w:rPr>
          <w:color w:val="0F0F15"/>
          <w:w w:val="78"/>
          <w:sz w:val="19"/>
        </w:rPr>
        <w:t>I</w:t>
      </w:r>
      <w:r>
        <w:rPr>
          <w:color w:val="0F0F15"/>
          <w:spacing w:val="4"/>
          <w:sz w:val="19"/>
        </w:rPr>
        <w:t> </w:t>
      </w:r>
      <w:r>
        <w:rPr>
          <w:color w:val="2A2A2B"/>
          <w:w w:val="99"/>
          <w:sz w:val="13"/>
        </w:rPr>
        <w:t>G</w:t>
      </w:r>
      <w:r>
        <w:rPr>
          <w:color w:val="0F0F15"/>
          <w:spacing w:val="-3"/>
          <w:w w:val="99"/>
          <w:sz w:val="13"/>
        </w:rPr>
        <w:t>P</w:t>
      </w:r>
      <w:r>
        <w:rPr>
          <w:color w:val="2A2A2B"/>
          <w:w w:val="99"/>
          <w:sz w:val="13"/>
        </w:rPr>
        <w:t>O</w:t>
      </w:r>
      <w:r>
        <w:rPr>
          <w:color w:val="2A2A2B"/>
          <w:spacing w:val="7"/>
          <w:sz w:val="13"/>
        </w:rPr>
        <w:t> </w:t>
      </w:r>
      <w:r>
        <w:rPr>
          <w:color w:val="0F0F15"/>
          <w:spacing w:val="-3"/>
          <w:w w:val="99"/>
          <w:sz w:val="13"/>
        </w:rPr>
        <w:t>B</w:t>
      </w:r>
      <w:r>
        <w:rPr>
          <w:color w:val="2A2A2B"/>
          <w:spacing w:val="2"/>
          <w:w w:val="99"/>
          <w:sz w:val="13"/>
        </w:rPr>
        <w:t>o</w:t>
      </w:r>
      <w:r>
        <w:rPr>
          <w:color w:val="2A2A2B"/>
          <w:w w:val="99"/>
          <w:sz w:val="13"/>
        </w:rPr>
        <w:t>x</w:t>
      </w:r>
      <w:r>
        <w:rPr>
          <w:color w:val="2A2A2B"/>
          <w:spacing w:val="14"/>
          <w:sz w:val="13"/>
        </w:rPr>
        <w:t> </w:t>
      </w:r>
      <w:r>
        <w:rPr>
          <w:color w:val="0F0F15"/>
          <w:spacing w:val="7"/>
          <w:w w:val="99"/>
          <w:sz w:val="13"/>
        </w:rPr>
        <w:t>1</w:t>
      </w:r>
      <w:r>
        <w:rPr>
          <w:color w:val="2A2A2B"/>
          <w:w w:val="99"/>
          <w:sz w:val="13"/>
        </w:rPr>
        <w:t>2</w:t>
      </w:r>
      <w:r>
        <w:rPr>
          <w:color w:val="2A2A2B"/>
          <w:w w:val="99"/>
          <w:sz w:val="13"/>
        </w:rPr>
        <w:t>,</w:t>
      </w:r>
      <w:r>
        <w:rPr>
          <w:color w:val="2A2A2B"/>
          <w:spacing w:val="4"/>
          <w:sz w:val="13"/>
        </w:rPr>
        <w:t> </w:t>
      </w:r>
      <w:r>
        <w:rPr>
          <w:color w:val="2A2A2B"/>
          <w:w w:val="99"/>
          <w:sz w:val="13"/>
        </w:rPr>
        <w:t>Sy</w:t>
      </w:r>
      <w:r>
        <w:rPr>
          <w:color w:val="0F0F15"/>
          <w:spacing w:val="2"/>
          <w:w w:val="99"/>
          <w:sz w:val="13"/>
        </w:rPr>
        <w:t>d</w:t>
      </w:r>
      <w:r>
        <w:rPr>
          <w:color w:val="0F0F15"/>
          <w:spacing w:val="-10"/>
          <w:w w:val="99"/>
          <w:sz w:val="13"/>
        </w:rPr>
        <w:t>n</w:t>
      </w:r>
      <w:r>
        <w:rPr>
          <w:color w:val="2A2A2B"/>
          <w:w w:val="99"/>
          <w:sz w:val="13"/>
        </w:rPr>
        <w:t>e</w:t>
      </w:r>
      <w:r>
        <w:rPr>
          <w:color w:val="2A2A2B"/>
          <w:w w:val="99"/>
          <w:sz w:val="13"/>
        </w:rPr>
        <w:t>y</w:t>
      </w:r>
      <w:r>
        <w:rPr>
          <w:color w:val="2A2A2B"/>
          <w:spacing w:val="14"/>
          <w:sz w:val="13"/>
        </w:rPr>
        <w:t> </w:t>
      </w:r>
      <w:r>
        <w:rPr>
          <w:color w:val="0F0F15"/>
          <w:spacing w:val="-5"/>
          <w:w w:val="99"/>
          <w:sz w:val="13"/>
        </w:rPr>
        <w:t>N</w:t>
      </w:r>
      <w:r>
        <w:rPr>
          <w:color w:val="2A2A2B"/>
          <w:spacing w:val="-3"/>
          <w:w w:val="99"/>
          <w:sz w:val="13"/>
        </w:rPr>
        <w:t>S</w:t>
      </w:r>
      <w:r>
        <w:rPr>
          <w:color w:val="2A2A2B"/>
          <w:w w:val="99"/>
          <w:sz w:val="13"/>
        </w:rPr>
        <w:t>W</w:t>
      </w:r>
      <w:r>
        <w:rPr>
          <w:color w:val="2A2A2B"/>
          <w:sz w:val="13"/>
        </w:rPr>
        <w:t> </w:t>
      </w:r>
      <w:r>
        <w:rPr>
          <w:color w:val="2A2A2B"/>
          <w:spacing w:val="-18"/>
          <w:sz w:val="13"/>
        </w:rPr>
        <w:t> </w:t>
      </w:r>
      <w:r>
        <w:rPr>
          <w:color w:val="2A2A2B"/>
          <w:w w:val="99"/>
          <w:sz w:val="13"/>
        </w:rPr>
        <w:t>2</w:t>
      </w:r>
      <w:r>
        <w:rPr>
          <w:color w:val="2A2A2B"/>
          <w:spacing w:val="-1"/>
          <w:w w:val="99"/>
          <w:sz w:val="13"/>
        </w:rPr>
        <w:t>0</w:t>
      </w:r>
      <w:r>
        <w:rPr>
          <w:color w:val="2A2A2B"/>
          <w:spacing w:val="-3"/>
          <w:w w:val="99"/>
          <w:sz w:val="13"/>
        </w:rPr>
        <w:t>0</w:t>
      </w:r>
      <w:r>
        <w:rPr>
          <w:color w:val="0F0F15"/>
          <w:w w:val="99"/>
          <w:sz w:val="13"/>
        </w:rPr>
        <w:t>1</w:t>
      </w:r>
      <w:r>
        <w:rPr>
          <w:color w:val="0F0F15"/>
          <w:sz w:val="13"/>
        </w:rPr>
        <w:t>  </w:t>
      </w:r>
      <w:r>
        <w:rPr>
          <w:color w:val="0F0F15"/>
          <w:spacing w:val="-10"/>
          <w:sz w:val="13"/>
        </w:rPr>
        <w:t> </w:t>
      </w:r>
      <w:r>
        <w:rPr>
          <w:color w:val="0F0F15"/>
          <w:w w:val="52"/>
          <w:sz w:val="19"/>
        </w:rPr>
        <w:t>I</w:t>
      </w:r>
      <w:r>
        <w:rPr>
          <w:color w:val="0F0F15"/>
          <w:spacing w:val="15"/>
          <w:sz w:val="19"/>
        </w:rPr>
        <w:t> </w:t>
      </w:r>
      <w:r>
        <w:rPr>
          <w:color w:val="0F0F15"/>
          <w:w w:val="128"/>
          <w:sz w:val="13"/>
        </w:rPr>
        <w:t>t</w:t>
      </w:r>
      <w:r>
        <w:rPr>
          <w:color w:val="0F0F15"/>
          <w:spacing w:val="1"/>
          <w:sz w:val="13"/>
        </w:rPr>
        <w:t> </w:t>
      </w:r>
      <w:r>
        <w:rPr>
          <w:color w:val="2A2A2B"/>
          <w:w w:val="99"/>
          <w:sz w:val="13"/>
        </w:rPr>
        <w:t>02</w:t>
      </w:r>
      <w:r>
        <w:rPr>
          <w:color w:val="2A2A2B"/>
          <w:spacing w:val="11"/>
          <w:sz w:val="13"/>
        </w:rPr>
        <w:t> </w:t>
      </w:r>
      <w:r>
        <w:rPr>
          <w:color w:val="2A2A2B"/>
          <w:w w:val="99"/>
          <w:sz w:val="13"/>
        </w:rPr>
        <w:t>9</w:t>
      </w:r>
      <w:r>
        <w:rPr>
          <w:color w:val="2A2A2B"/>
          <w:spacing w:val="-1"/>
          <w:w w:val="99"/>
          <w:sz w:val="13"/>
        </w:rPr>
        <w:t>2</w:t>
      </w:r>
      <w:r>
        <w:rPr>
          <w:color w:val="2A2A2B"/>
          <w:w w:val="99"/>
          <w:sz w:val="13"/>
        </w:rPr>
        <w:t>75</w:t>
      </w:r>
      <w:r>
        <w:rPr>
          <w:color w:val="2A2A2B"/>
          <w:sz w:val="13"/>
        </w:rPr>
        <w:t> </w:t>
      </w:r>
      <w:r>
        <w:rPr>
          <w:color w:val="2A2A2B"/>
          <w:spacing w:val="-18"/>
          <w:sz w:val="13"/>
        </w:rPr>
        <w:t> </w:t>
      </w:r>
      <w:r>
        <w:rPr>
          <w:color w:val="2A2A2B"/>
          <w:spacing w:val="-3"/>
          <w:w w:val="99"/>
          <w:sz w:val="13"/>
        </w:rPr>
        <w:t>7</w:t>
      </w:r>
      <w:r>
        <w:rPr>
          <w:color w:val="0F0F15"/>
          <w:spacing w:val="-5"/>
          <w:w w:val="99"/>
          <w:sz w:val="13"/>
        </w:rPr>
        <w:t>1</w:t>
      </w:r>
      <w:r>
        <w:rPr>
          <w:color w:val="2A2A2B"/>
          <w:spacing w:val="-8"/>
          <w:w w:val="99"/>
          <w:sz w:val="13"/>
        </w:rPr>
        <w:t>0</w:t>
      </w:r>
      <w:r>
        <w:rPr>
          <w:color w:val="0F0F15"/>
          <w:w w:val="99"/>
          <w:sz w:val="13"/>
        </w:rPr>
        <w:t>1</w:t>
      </w:r>
      <w:r>
        <w:rPr>
          <w:color w:val="0F0F15"/>
          <w:sz w:val="13"/>
        </w:rPr>
        <w:t>  </w:t>
      </w:r>
      <w:r>
        <w:rPr>
          <w:color w:val="0F0F15"/>
          <w:spacing w:val="6"/>
          <w:sz w:val="13"/>
        </w:rPr>
        <w:t> </w:t>
      </w:r>
      <w:r>
        <w:rPr>
          <w:color w:val="0F0F15"/>
          <w:w w:val="78"/>
          <w:sz w:val="19"/>
        </w:rPr>
        <w:t>I</w:t>
      </w:r>
      <w:r>
        <w:rPr>
          <w:color w:val="0F0F15"/>
          <w:spacing w:val="4"/>
          <w:sz w:val="19"/>
        </w:rPr>
        <w:t> </w:t>
      </w:r>
      <w:r>
        <w:rPr>
          <w:color w:val="0F0F15"/>
          <w:w w:val="99"/>
          <w:sz w:val="13"/>
        </w:rPr>
        <w:t>f</w:t>
      </w:r>
      <w:r>
        <w:rPr>
          <w:color w:val="0F0F15"/>
          <w:spacing w:val="4"/>
          <w:sz w:val="13"/>
        </w:rPr>
        <w:t> </w:t>
      </w:r>
      <w:r>
        <w:rPr>
          <w:color w:val="2A2A2B"/>
          <w:w w:val="99"/>
          <w:sz w:val="13"/>
        </w:rPr>
        <w:t>02</w:t>
      </w:r>
      <w:r>
        <w:rPr>
          <w:color w:val="2A2A2B"/>
          <w:spacing w:val="11"/>
          <w:sz w:val="13"/>
        </w:rPr>
        <w:t> </w:t>
      </w:r>
      <w:r>
        <w:rPr>
          <w:color w:val="2A2A2B"/>
          <w:spacing w:val="2"/>
          <w:w w:val="99"/>
          <w:sz w:val="13"/>
        </w:rPr>
        <w:t>9</w:t>
      </w:r>
      <w:r>
        <w:rPr>
          <w:color w:val="2A2A2B"/>
          <w:spacing w:val="-5"/>
          <w:w w:val="99"/>
          <w:sz w:val="13"/>
        </w:rPr>
        <w:t>2</w:t>
      </w:r>
      <w:r>
        <w:rPr>
          <w:color w:val="0F0F15"/>
          <w:spacing w:val="2"/>
          <w:w w:val="99"/>
          <w:sz w:val="13"/>
        </w:rPr>
        <w:t>7</w:t>
      </w:r>
      <w:r>
        <w:rPr>
          <w:color w:val="2A2A2B"/>
          <w:w w:val="99"/>
          <w:sz w:val="13"/>
        </w:rPr>
        <w:t>5</w:t>
      </w:r>
      <w:r>
        <w:rPr>
          <w:color w:val="2A2A2B"/>
          <w:sz w:val="13"/>
        </w:rPr>
        <w:t> </w:t>
      </w:r>
      <w:r>
        <w:rPr>
          <w:color w:val="2A2A2B"/>
          <w:spacing w:val="-15"/>
          <w:sz w:val="13"/>
        </w:rPr>
        <w:t> </w:t>
      </w:r>
      <w:r>
        <w:rPr>
          <w:color w:val="2A2A2B"/>
          <w:spacing w:val="2"/>
          <w:w w:val="99"/>
          <w:sz w:val="13"/>
        </w:rPr>
        <w:t>7</w:t>
      </w:r>
      <w:r>
        <w:rPr>
          <w:color w:val="0F0F15"/>
          <w:spacing w:val="4"/>
          <w:w w:val="99"/>
          <w:sz w:val="13"/>
        </w:rPr>
        <w:t>1</w:t>
      </w:r>
      <w:r>
        <w:rPr>
          <w:color w:val="2A2A2B"/>
          <w:spacing w:val="2"/>
          <w:w w:val="99"/>
          <w:sz w:val="13"/>
        </w:rPr>
        <w:t>7</w:t>
      </w:r>
      <w:r>
        <w:rPr>
          <w:color w:val="2A2A2B"/>
          <w:w w:val="99"/>
          <w:sz w:val="13"/>
        </w:rPr>
        <w:t>9</w:t>
      </w:r>
      <w:r>
        <w:rPr>
          <w:color w:val="2A2A2B"/>
          <w:sz w:val="13"/>
        </w:rPr>
        <w:t>  </w:t>
      </w:r>
      <w:r>
        <w:rPr>
          <w:color w:val="2A2A2B"/>
          <w:spacing w:val="-18"/>
          <w:sz w:val="13"/>
        </w:rPr>
        <w:t> </w:t>
      </w:r>
      <w:r>
        <w:rPr>
          <w:color w:val="2A2A2B"/>
          <w:w w:val="78"/>
          <w:sz w:val="19"/>
        </w:rPr>
        <w:t>I</w:t>
      </w:r>
      <w:r>
        <w:rPr>
          <w:color w:val="2A2A2B"/>
          <w:spacing w:val="4"/>
          <w:sz w:val="19"/>
        </w:rPr>
        <w:t> </w:t>
      </w:r>
      <w:r>
        <w:rPr>
          <w:color w:val="0F0F15"/>
          <w:w w:val="99"/>
          <w:sz w:val="13"/>
        </w:rPr>
        <w:t>e</w:t>
      </w:r>
      <w:r>
        <w:rPr>
          <w:color w:val="0F0F15"/>
          <w:spacing w:val="4"/>
          <w:sz w:val="13"/>
        </w:rPr>
        <w:t> </w:t>
      </w:r>
      <w:hyperlink r:id="rId113">
        <w:r>
          <w:rPr>
            <w:color w:val="2A2A2B"/>
            <w:w w:val="99"/>
            <w:sz w:val="13"/>
          </w:rPr>
          <w:t>m</w:t>
        </w:r>
        <w:r>
          <w:rPr>
            <w:color w:val="2A2A2B"/>
            <w:w w:val="99"/>
            <w:sz w:val="13"/>
          </w:rPr>
          <w:t>a</w:t>
        </w:r>
        <w:r>
          <w:rPr>
            <w:color w:val="2A2A2B"/>
            <w:spacing w:val="2"/>
            <w:w w:val="99"/>
            <w:sz w:val="13"/>
          </w:rPr>
          <w:t>il</w:t>
        </w:r>
        <w:r>
          <w:rPr>
            <w:color w:val="2A2A2B"/>
            <w:w w:val="99"/>
            <w:sz w:val="13"/>
          </w:rPr>
          <w:t>@</w:t>
        </w:r>
        <w:r>
          <w:rPr>
            <w:color w:val="2A2A2B"/>
            <w:spacing w:val="-5"/>
            <w:w w:val="99"/>
            <w:sz w:val="13"/>
          </w:rPr>
          <w:t>a</w:t>
        </w:r>
        <w:r>
          <w:rPr>
            <w:color w:val="0F0F15"/>
            <w:spacing w:val="-3"/>
            <w:w w:val="99"/>
            <w:sz w:val="13"/>
          </w:rPr>
          <w:t>u</w:t>
        </w:r>
        <w:r>
          <w:rPr>
            <w:color w:val="2A2A2B"/>
            <w:w w:val="99"/>
            <w:sz w:val="13"/>
          </w:rPr>
          <w:t>d</w:t>
        </w:r>
        <w:r>
          <w:rPr>
            <w:color w:val="2A2A2B"/>
            <w:spacing w:val="2"/>
            <w:w w:val="99"/>
            <w:sz w:val="13"/>
          </w:rPr>
          <w:t>i</w:t>
        </w:r>
        <w:r>
          <w:rPr>
            <w:color w:val="2A2A2B"/>
            <w:spacing w:val="-1"/>
            <w:w w:val="99"/>
            <w:sz w:val="13"/>
          </w:rPr>
          <w:t>t</w:t>
        </w:r>
        <w:r>
          <w:rPr>
            <w:color w:val="2A2A2B"/>
            <w:w w:val="99"/>
            <w:sz w:val="13"/>
          </w:rPr>
          <w:t>.</w:t>
        </w:r>
        <w:r>
          <w:rPr>
            <w:color w:val="0F0F15"/>
            <w:spacing w:val="-10"/>
            <w:w w:val="99"/>
            <w:sz w:val="13"/>
          </w:rPr>
          <w:t>n</w:t>
        </w:r>
        <w:r>
          <w:rPr>
            <w:color w:val="2A2A2B"/>
            <w:w w:val="99"/>
            <w:sz w:val="13"/>
          </w:rPr>
          <w:t>sw.g</w:t>
        </w:r>
        <w:r>
          <w:rPr>
            <w:color w:val="2A2A2B"/>
            <w:spacing w:val="-1"/>
            <w:w w:val="99"/>
            <w:sz w:val="13"/>
          </w:rPr>
          <w:t>o</w:t>
        </w:r>
        <w:r>
          <w:rPr>
            <w:color w:val="2A2A2B"/>
            <w:w w:val="99"/>
            <w:sz w:val="13"/>
          </w:rPr>
          <w:t>v</w:t>
        </w:r>
        <w:r>
          <w:rPr>
            <w:color w:val="2A2A2B"/>
            <w:spacing w:val="2"/>
            <w:w w:val="99"/>
            <w:sz w:val="13"/>
          </w:rPr>
          <w:t>.</w:t>
        </w:r>
        <w:r>
          <w:rPr>
            <w:color w:val="2A2A2B"/>
            <w:spacing w:val="2"/>
            <w:w w:val="99"/>
            <w:sz w:val="13"/>
          </w:rPr>
          <w:t>a</w:t>
        </w:r>
        <w:r>
          <w:rPr>
            <w:color w:val="2A2A2B"/>
            <w:w w:val="99"/>
            <w:sz w:val="13"/>
          </w:rPr>
          <w:t>u</w:t>
        </w:r>
        <w:r>
          <w:rPr>
            <w:color w:val="2A2A2B"/>
            <w:sz w:val="13"/>
          </w:rPr>
          <w:t> </w:t>
        </w:r>
        <w:r>
          <w:rPr>
            <w:color w:val="2A2A2B"/>
            <w:spacing w:val="4"/>
            <w:sz w:val="13"/>
          </w:rPr>
          <w:t> </w:t>
        </w:r>
        <w:r>
          <w:rPr>
            <w:color w:val="0F0F15"/>
            <w:spacing w:val="-2"/>
            <w:w w:val="52"/>
            <w:sz w:val="19"/>
          </w:rPr>
          <w:t>I</w:t>
        </w:r>
      </w:hyperlink>
      <w:r>
        <w:rPr>
          <w:color w:val="0F0F15"/>
          <w:spacing w:val="1"/>
          <w:w w:val="107"/>
          <w:sz w:val="13"/>
        </w:rPr>
        <w:t>aud</w:t>
      </w:r>
      <w:r>
        <w:rPr>
          <w:color w:val="0F0F15"/>
          <w:w w:val="107"/>
          <w:sz w:val="13"/>
        </w:rPr>
        <w:t>i</w:t>
      </w:r>
      <w:r>
        <w:rPr>
          <w:color w:val="0F0F15"/>
          <w:spacing w:val="1"/>
          <w:w w:val="108"/>
          <w:sz w:val="13"/>
        </w:rPr>
        <w:t>t</w:t>
      </w:r>
      <w:r>
        <w:rPr>
          <w:color w:val="0F0F15"/>
          <w:spacing w:val="-1"/>
          <w:w w:val="108"/>
          <w:sz w:val="13"/>
        </w:rPr>
        <w:t>.</w:t>
      </w:r>
      <w:r>
        <w:rPr>
          <w:color w:val="0F0F15"/>
          <w:spacing w:val="1"/>
          <w:w w:val="107"/>
          <w:sz w:val="13"/>
        </w:rPr>
        <w:t>n</w:t>
      </w:r>
      <w:r>
        <w:rPr>
          <w:color w:val="0F0F15"/>
          <w:spacing w:val="-1"/>
          <w:w w:val="107"/>
          <w:sz w:val="13"/>
        </w:rPr>
        <w:t>s</w:t>
      </w:r>
      <w:r>
        <w:rPr>
          <w:color w:val="0F0F15"/>
          <w:spacing w:val="-3"/>
          <w:w w:val="107"/>
          <w:sz w:val="13"/>
        </w:rPr>
        <w:t>w</w:t>
      </w:r>
      <w:r>
        <w:rPr>
          <w:color w:val="413F42"/>
          <w:spacing w:val="-4"/>
          <w:w w:val="182"/>
          <w:sz w:val="13"/>
        </w:rPr>
        <w:t>.</w:t>
      </w:r>
      <w:r>
        <w:rPr>
          <w:color w:val="0F0F15"/>
          <w:spacing w:val="1"/>
          <w:w w:val="103"/>
          <w:sz w:val="13"/>
        </w:rPr>
        <w:t>go</w:t>
      </w:r>
      <w:r>
        <w:rPr>
          <w:color w:val="0F0F15"/>
          <w:spacing w:val="2"/>
          <w:w w:val="103"/>
          <w:sz w:val="13"/>
        </w:rPr>
        <w:t>v</w:t>
      </w:r>
      <w:r>
        <w:rPr>
          <w:color w:val="0F0F15"/>
          <w:spacing w:val="3"/>
          <w:w w:val="103"/>
          <w:sz w:val="13"/>
        </w:rPr>
        <w:t>.</w:t>
      </w:r>
      <w:r>
        <w:rPr>
          <w:color w:val="0F0F15"/>
          <w:spacing w:val="1"/>
          <w:w w:val="103"/>
          <w:sz w:val="13"/>
        </w:rPr>
        <w:t>au</w:t>
      </w:r>
    </w:p>
    <w:p>
      <w:pPr>
        <w:spacing w:after="0"/>
        <w:jc w:val="left"/>
        <w:rPr>
          <w:sz w:val="13"/>
        </w:rPr>
        <w:sectPr>
          <w:headerReference w:type="default" r:id="rId109"/>
          <w:footerReference w:type="default" r:id="rId110"/>
          <w:pgSz w:w="11930" w:h="16850"/>
          <w:pgMar w:header="0" w:footer="507" w:top="1560" w:bottom="700" w:left="640" w:right="840"/>
          <w:pgNumType w:start="92"/>
        </w:sectPr>
      </w:pPr>
    </w:p>
    <w:p>
      <w:pPr>
        <w:pStyle w:val="BodyText"/>
        <w:spacing w:before="5"/>
        <w:rPr>
          <w:sz w:val="22"/>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78"/>
        <w:gridCol w:w="1381"/>
        <w:gridCol w:w="1451"/>
        <w:gridCol w:w="1115"/>
      </w:tblGrid>
      <w:tr>
        <w:trPr>
          <w:trHeight w:val="980" w:hRule="exact"/>
        </w:trPr>
        <w:tc>
          <w:tcPr>
            <w:tcW w:w="5978" w:type="dxa"/>
          </w:tcPr>
          <w:p>
            <w:pPr>
              <w:pStyle w:val="TableParagraph"/>
              <w:spacing w:line="285" w:lineRule="auto" w:before="65"/>
              <w:ind w:left="35" w:right="885" w:hanging="1"/>
              <w:rPr>
                <w:b/>
                <w:sz w:val="28"/>
              </w:rPr>
            </w:pPr>
            <w:r>
              <w:rPr>
                <w:b/>
                <w:sz w:val="28"/>
              </w:rPr>
              <w:t>Statement of Comprehensive Income For the Year Ended 31 December</w:t>
            </w:r>
            <w:r>
              <w:rPr>
                <w:b/>
                <w:spacing w:val="-52"/>
                <w:sz w:val="28"/>
              </w:rPr>
              <w:t> </w:t>
            </w:r>
            <w:r>
              <w:rPr>
                <w:b/>
                <w:sz w:val="28"/>
              </w:rPr>
              <w:t>2012</w:t>
            </w:r>
          </w:p>
        </w:tc>
        <w:tc>
          <w:tcPr>
            <w:tcW w:w="3947" w:type="dxa"/>
            <w:gridSpan w:val="3"/>
          </w:tcPr>
          <w:p>
            <w:pPr/>
          </w:p>
        </w:tc>
      </w:tr>
      <w:tr>
        <w:trPr>
          <w:trHeight w:val="444" w:hRule="exact"/>
        </w:trPr>
        <w:tc>
          <w:tcPr>
            <w:tcW w:w="5978" w:type="dxa"/>
          </w:tcPr>
          <w:p>
            <w:pPr/>
          </w:p>
        </w:tc>
        <w:tc>
          <w:tcPr>
            <w:tcW w:w="1381" w:type="dxa"/>
          </w:tcPr>
          <w:p>
            <w:pPr/>
          </w:p>
        </w:tc>
        <w:tc>
          <w:tcPr>
            <w:tcW w:w="1451" w:type="dxa"/>
          </w:tcPr>
          <w:p>
            <w:pPr>
              <w:pStyle w:val="TableParagraph"/>
              <w:spacing w:before="10"/>
              <w:rPr>
                <w:sz w:val="16"/>
              </w:rPr>
            </w:pPr>
          </w:p>
          <w:p>
            <w:pPr>
              <w:pStyle w:val="TableParagraph"/>
              <w:ind w:left="456"/>
              <w:rPr>
                <w:b/>
                <w:sz w:val="18"/>
              </w:rPr>
            </w:pPr>
            <w:r>
              <w:rPr>
                <w:b/>
                <w:sz w:val="18"/>
              </w:rPr>
              <w:t>2012</w:t>
            </w:r>
          </w:p>
        </w:tc>
        <w:tc>
          <w:tcPr>
            <w:tcW w:w="1115" w:type="dxa"/>
          </w:tcPr>
          <w:p>
            <w:pPr>
              <w:pStyle w:val="TableParagraph"/>
              <w:spacing w:before="10"/>
              <w:rPr>
                <w:sz w:val="16"/>
              </w:rPr>
            </w:pPr>
          </w:p>
          <w:p>
            <w:pPr>
              <w:pStyle w:val="TableParagraph"/>
              <w:ind w:left="311"/>
              <w:rPr>
                <w:b/>
                <w:sz w:val="18"/>
              </w:rPr>
            </w:pPr>
            <w:r>
              <w:rPr>
                <w:b/>
                <w:sz w:val="18"/>
              </w:rPr>
              <w:t>2011</w:t>
            </w:r>
          </w:p>
        </w:tc>
      </w:tr>
      <w:tr>
        <w:trPr>
          <w:trHeight w:val="318" w:hRule="exact"/>
        </w:trPr>
        <w:tc>
          <w:tcPr>
            <w:tcW w:w="5978" w:type="dxa"/>
          </w:tcPr>
          <w:p>
            <w:pPr/>
          </w:p>
        </w:tc>
        <w:tc>
          <w:tcPr>
            <w:tcW w:w="1381" w:type="dxa"/>
          </w:tcPr>
          <w:p>
            <w:pPr>
              <w:pStyle w:val="TableParagraph"/>
              <w:spacing w:before="26"/>
              <w:ind w:left="872" w:right="69"/>
              <w:jc w:val="center"/>
              <w:rPr>
                <w:b/>
                <w:sz w:val="18"/>
              </w:rPr>
            </w:pPr>
            <w:r>
              <w:rPr>
                <w:b/>
                <w:sz w:val="18"/>
              </w:rPr>
              <w:t>Note</w:t>
            </w:r>
          </w:p>
        </w:tc>
        <w:tc>
          <w:tcPr>
            <w:tcW w:w="1451" w:type="dxa"/>
          </w:tcPr>
          <w:p>
            <w:pPr>
              <w:pStyle w:val="TableParagraph"/>
              <w:spacing w:before="24"/>
              <w:ind w:right="137"/>
              <w:jc w:val="center"/>
              <w:rPr>
                <w:b/>
                <w:sz w:val="18"/>
              </w:rPr>
            </w:pPr>
            <w:r>
              <w:rPr>
                <w:b/>
                <w:w w:val="99"/>
                <w:sz w:val="18"/>
              </w:rPr>
              <w:t>$</w:t>
            </w:r>
          </w:p>
        </w:tc>
        <w:tc>
          <w:tcPr>
            <w:tcW w:w="1115" w:type="dxa"/>
          </w:tcPr>
          <w:p>
            <w:pPr>
              <w:pStyle w:val="TableParagraph"/>
              <w:spacing w:before="24"/>
              <w:ind w:right="91"/>
              <w:jc w:val="center"/>
              <w:rPr>
                <w:b/>
                <w:sz w:val="18"/>
              </w:rPr>
            </w:pPr>
            <w:r>
              <w:rPr>
                <w:b/>
                <w:w w:val="99"/>
                <w:sz w:val="18"/>
              </w:rPr>
              <w:t>$</w:t>
            </w:r>
          </w:p>
        </w:tc>
      </w:tr>
      <w:tr>
        <w:trPr>
          <w:trHeight w:val="544" w:hRule="exact"/>
        </w:trPr>
        <w:tc>
          <w:tcPr>
            <w:tcW w:w="5978" w:type="dxa"/>
          </w:tcPr>
          <w:p>
            <w:pPr>
              <w:pStyle w:val="TableParagraph"/>
              <w:spacing w:before="66"/>
              <w:ind w:left="63" w:right="885"/>
              <w:rPr>
                <w:b/>
                <w:sz w:val="18"/>
              </w:rPr>
            </w:pPr>
            <w:r>
              <w:rPr>
                <w:b/>
                <w:sz w:val="18"/>
              </w:rPr>
              <w:t>Revenue</w:t>
            </w:r>
          </w:p>
          <w:p>
            <w:pPr>
              <w:pStyle w:val="TableParagraph"/>
              <w:spacing w:before="21"/>
              <w:ind w:left="64" w:right="885"/>
              <w:rPr>
                <w:sz w:val="18"/>
              </w:rPr>
            </w:pPr>
            <w:r>
              <w:rPr>
                <w:sz w:val="18"/>
              </w:rPr>
              <w:t>Rendering of services</w:t>
            </w:r>
          </w:p>
        </w:tc>
        <w:tc>
          <w:tcPr>
            <w:tcW w:w="1381" w:type="dxa"/>
          </w:tcPr>
          <w:p>
            <w:pPr>
              <w:pStyle w:val="TableParagraph"/>
              <w:spacing w:before="6"/>
              <w:rPr>
                <w:sz w:val="25"/>
              </w:rPr>
            </w:pPr>
          </w:p>
          <w:p>
            <w:pPr>
              <w:pStyle w:val="TableParagraph"/>
              <w:ind w:left="777"/>
              <w:jc w:val="center"/>
              <w:rPr>
                <w:sz w:val="18"/>
              </w:rPr>
            </w:pPr>
            <w:r>
              <w:rPr>
                <w:w w:val="99"/>
                <w:sz w:val="18"/>
              </w:rPr>
              <w:t>2</w:t>
            </w:r>
          </w:p>
        </w:tc>
        <w:tc>
          <w:tcPr>
            <w:tcW w:w="1451" w:type="dxa"/>
          </w:tcPr>
          <w:p>
            <w:pPr>
              <w:pStyle w:val="TableParagraph"/>
              <w:spacing w:before="6"/>
              <w:rPr>
                <w:sz w:val="25"/>
              </w:rPr>
            </w:pPr>
          </w:p>
          <w:p>
            <w:pPr>
              <w:pStyle w:val="TableParagraph"/>
              <w:ind w:right="247"/>
              <w:jc w:val="right"/>
              <w:rPr>
                <w:b/>
                <w:sz w:val="18"/>
              </w:rPr>
            </w:pPr>
            <w:r>
              <w:rPr>
                <w:b/>
                <w:sz w:val="18"/>
              </w:rPr>
              <w:t>525,665</w:t>
            </w:r>
          </w:p>
        </w:tc>
        <w:tc>
          <w:tcPr>
            <w:tcW w:w="1115" w:type="dxa"/>
          </w:tcPr>
          <w:p>
            <w:pPr>
              <w:pStyle w:val="TableParagraph"/>
              <w:spacing w:before="6"/>
              <w:rPr>
                <w:sz w:val="25"/>
              </w:rPr>
            </w:pPr>
          </w:p>
          <w:p>
            <w:pPr>
              <w:pStyle w:val="TableParagraph"/>
              <w:ind w:right="62"/>
              <w:jc w:val="right"/>
              <w:rPr>
                <w:sz w:val="18"/>
              </w:rPr>
            </w:pPr>
            <w:r>
              <w:rPr>
                <w:sz w:val="18"/>
              </w:rPr>
              <w:t>471,650</w:t>
            </w:r>
          </w:p>
        </w:tc>
      </w:tr>
      <w:tr>
        <w:trPr>
          <w:trHeight w:val="271" w:hRule="exact"/>
        </w:trPr>
        <w:tc>
          <w:tcPr>
            <w:tcW w:w="5978" w:type="dxa"/>
          </w:tcPr>
          <w:p>
            <w:pPr>
              <w:pStyle w:val="TableParagraph"/>
              <w:spacing w:before="24"/>
              <w:ind w:left="64" w:right="885"/>
              <w:rPr>
                <w:sz w:val="18"/>
              </w:rPr>
            </w:pPr>
            <w:r>
              <w:rPr>
                <w:sz w:val="18"/>
              </w:rPr>
              <w:t>Other revenue</w:t>
            </w:r>
          </w:p>
        </w:tc>
        <w:tc>
          <w:tcPr>
            <w:tcW w:w="1381" w:type="dxa"/>
          </w:tcPr>
          <w:p>
            <w:pPr>
              <w:pStyle w:val="TableParagraph"/>
              <w:spacing w:before="24"/>
              <w:ind w:left="777"/>
              <w:jc w:val="center"/>
              <w:rPr>
                <w:sz w:val="18"/>
              </w:rPr>
            </w:pPr>
            <w:r>
              <w:rPr>
                <w:w w:val="99"/>
                <w:sz w:val="18"/>
              </w:rPr>
              <w:t>2</w:t>
            </w:r>
          </w:p>
        </w:tc>
        <w:tc>
          <w:tcPr>
            <w:tcW w:w="1451" w:type="dxa"/>
            <w:tcBorders>
              <w:bottom w:val="single" w:sz="8" w:space="0" w:color="000000"/>
            </w:tcBorders>
          </w:tcPr>
          <w:p>
            <w:pPr>
              <w:pStyle w:val="TableParagraph"/>
              <w:spacing w:before="24"/>
              <w:ind w:right="247"/>
              <w:jc w:val="right"/>
              <w:rPr>
                <w:b/>
                <w:sz w:val="18"/>
              </w:rPr>
            </w:pPr>
            <w:r>
              <w:rPr>
                <w:b/>
                <w:sz w:val="18"/>
              </w:rPr>
              <w:t>255,554</w:t>
            </w:r>
          </w:p>
        </w:tc>
        <w:tc>
          <w:tcPr>
            <w:tcW w:w="1115" w:type="dxa"/>
            <w:tcBorders>
              <w:bottom w:val="single" w:sz="8" w:space="0" w:color="000000"/>
            </w:tcBorders>
          </w:tcPr>
          <w:p>
            <w:pPr>
              <w:pStyle w:val="TableParagraph"/>
              <w:spacing w:before="24"/>
              <w:ind w:right="62"/>
              <w:jc w:val="right"/>
              <w:rPr>
                <w:sz w:val="18"/>
              </w:rPr>
            </w:pPr>
            <w:r>
              <w:rPr>
                <w:sz w:val="18"/>
              </w:rPr>
              <w:t>262,453</w:t>
            </w:r>
          </w:p>
        </w:tc>
      </w:tr>
      <w:tr>
        <w:trPr>
          <w:trHeight w:val="334" w:hRule="exact"/>
        </w:trPr>
        <w:tc>
          <w:tcPr>
            <w:tcW w:w="5978" w:type="dxa"/>
          </w:tcPr>
          <w:p>
            <w:pPr>
              <w:pStyle w:val="TableParagraph"/>
              <w:spacing w:before="118"/>
              <w:ind w:left="63" w:right="885"/>
              <w:rPr>
                <w:b/>
                <w:sz w:val="18"/>
              </w:rPr>
            </w:pPr>
            <w:r>
              <w:rPr>
                <w:b/>
                <w:sz w:val="18"/>
              </w:rPr>
              <w:t>Total revenue</w:t>
            </w:r>
          </w:p>
        </w:tc>
        <w:tc>
          <w:tcPr>
            <w:tcW w:w="1381" w:type="dxa"/>
          </w:tcPr>
          <w:p>
            <w:pPr/>
          </w:p>
        </w:tc>
        <w:tc>
          <w:tcPr>
            <w:tcW w:w="1451" w:type="dxa"/>
            <w:tcBorders>
              <w:top w:val="single" w:sz="8" w:space="0" w:color="000000"/>
              <w:bottom w:val="single" w:sz="8" w:space="0" w:color="000000"/>
            </w:tcBorders>
          </w:tcPr>
          <w:p>
            <w:pPr>
              <w:pStyle w:val="TableParagraph"/>
              <w:spacing w:before="108"/>
              <w:ind w:right="247"/>
              <w:jc w:val="right"/>
              <w:rPr>
                <w:b/>
                <w:sz w:val="18"/>
              </w:rPr>
            </w:pPr>
            <w:r>
              <w:rPr>
                <w:b/>
                <w:sz w:val="18"/>
              </w:rPr>
              <w:t>781,219</w:t>
            </w:r>
          </w:p>
        </w:tc>
        <w:tc>
          <w:tcPr>
            <w:tcW w:w="1115" w:type="dxa"/>
            <w:tcBorders>
              <w:top w:val="single" w:sz="8" w:space="0" w:color="000000"/>
              <w:bottom w:val="single" w:sz="8" w:space="0" w:color="000000"/>
            </w:tcBorders>
          </w:tcPr>
          <w:p>
            <w:pPr>
              <w:pStyle w:val="TableParagraph"/>
              <w:spacing w:before="108"/>
              <w:ind w:right="62"/>
              <w:jc w:val="right"/>
              <w:rPr>
                <w:sz w:val="18"/>
              </w:rPr>
            </w:pPr>
            <w:r>
              <w:rPr>
                <w:sz w:val="18"/>
              </w:rPr>
              <w:t>734,103</w:t>
            </w:r>
          </w:p>
        </w:tc>
      </w:tr>
      <w:tr>
        <w:trPr>
          <w:trHeight w:val="564" w:hRule="exact"/>
        </w:trPr>
        <w:tc>
          <w:tcPr>
            <w:tcW w:w="5978" w:type="dxa"/>
          </w:tcPr>
          <w:p>
            <w:pPr>
              <w:pStyle w:val="TableParagraph"/>
              <w:rPr>
                <w:sz w:val="18"/>
              </w:rPr>
            </w:pPr>
          </w:p>
          <w:p>
            <w:pPr>
              <w:pStyle w:val="TableParagraph"/>
              <w:spacing w:before="107"/>
              <w:ind w:left="63" w:right="885"/>
              <w:rPr>
                <w:sz w:val="18"/>
              </w:rPr>
            </w:pPr>
            <w:r>
              <w:rPr>
                <w:sz w:val="18"/>
              </w:rPr>
              <w:t>HEPP Project funding</w:t>
            </w:r>
          </w:p>
        </w:tc>
        <w:tc>
          <w:tcPr>
            <w:tcW w:w="1381" w:type="dxa"/>
          </w:tcPr>
          <w:p>
            <w:pPr/>
          </w:p>
        </w:tc>
        <w:tc>
          <w:tcPr>
            <w:tcW w:w="1451" w:type="dxa"/>
            <w:tcBorders>
              <w:top w:val="single" w:sz="8" w:space="0" w:color="000000"/>
            </w:tcBorders>
          </w:tcPr>
          <w:p>
            <w:pPr>
              <w:pStyle w:val="TableParagraph"/>
              <w:spacing w:before="5"/>
              <w:rPr>
                <w:sz w:val="26"/>
              </w:rPr>
            </w:pPr>
          </w:p>
          <w:p>
            <w:pPr>
              <w:pStyle w:val="TableParagraph"/>
              <w:ind w:left="408"/>
              <w:rPr>
                <w:b/>
                <w:sz w:val="18"/>
              </w:rPr>
            </w:pPr>
            <w:r>
              <w:rPr>
                <w:b/>
                <w:sz w:val="18"/>
              </w:rPr>
              <w:t>1,653,202</w:t>
            </w:r>
          </w:p>
        </w:tc>
        <w:tc>
          <w:tcPr>
            <w:tcW w:w="1115" w:type="dxa"/>
            <w:tcBorders>
              <w:top w:val="single" w:sz="8" w:space="0" w:color="000000"/>
            </w:tcBorders>
          </w:tcPr>
          <w:p>
            <w:pPr>
              <w:pStyle w:val="TableParagraph"/>
              <w:spacing w:before="5"/>
              <w:rPr>
                <w:sz w:val="26"/>
              </w:rPr>
            </w:pPr>
          </w:p>
          <w:p>
            <w:pPr>
              <w:pStyle w:val="TableParagraph"/>
              <w:ind w:right="76"/>
              <w:jc w:val="right"/>
              <w:rPr>
                <w:sz w:val="18"/>
              </w:rPr>
            </w:pPr>
            <w:r>
              <w:rPr>
                <w:w w:val="99"/>
                <w:sz w:val="18"/>
              </w:rPr>
              <w:t>-</w:t>
            </w:r>
          </w:p>
        </w:tc>
      </w:tr>
      <w:tr>
        <w:trPr>
          <w:trHeight w:val="271" w:hRule="exact"/>
        </w:trPr>
        <w:tc>
          <w:tcPr>
            <w:tcW w:w="5978" w:type="dxa"/>
          </w:tcPr>
          <w:p>
            <w:pPr>
              <w:pStyle w:val="TableParagraph"/>
              <w:spacing w:before="24"/>
              <w:ind w:left="63" w:right="885"/>
              <w:rPr>
                <w:sz w:val="18"/>
              </w:rPr>
            </w:pPr>
            <w:r>
              <w:rPr>
                <w:sz w:val="18"/>
              </w:rPr>
              <w:t>Other income</w:t>
            </w:r>
          </w:p>
        </w:tc>
        <w:tc>
          <w:tcPr>
            <w:tcW w:w="1381" w:type="dxa"/>
          </w:tcPr>
          <w:p>
            <w:pPr/>
          </w:p>
        </w:tc>
        <w:tc>
          <w:tcPr>
            <w:tcW w:w="1451" w:type="dxa"/>
            <w:tcBorders>
              <w:bottom w:val="single" w:sz="8" w:space="0" w:color="000000"/>
            </w:tcBorders>
          </w:tcPr>
          <w:p>
            <w:pPr>
              <w:pStyle w:val="TableParagraph"/>
              <w:spacing w:before="24"/>
              <w:ind w:right="248"/>
              <w:jc w:val="right"/>
              <w:rPr>
                <w:b/>
                <w:sz w:val="18"/>
              </w:rPr>
            </w:pPr>
            <w:r>
              <w:rPr>
                <w:b/>
                <w:sz w:val="18"/>
              </w:rPr>
              <w:t>36,805</w:t>
            </w:r>
          </w:p>
        </w:tc>
        <w:tc>
          <w:tcPr>
            <w:tcW w:w="1115" w:type="dxa"/>
            <w:tcBorders>
              <w:bottom w:val="single" w:sz="8" w:space="0" w:color="000000"/>
            </w:tcBorders>
          </w:tcPr>
          <w:p>
            <w:pPr>
              <w:pStyle w:val="TableParagraph"/>
              <w:spacing w:before="24"/>
              <w:ind w:right="62"/>
              <w:jc w:val="right"/>
              <w:rPr>
                <w:sz w:val="18"/>
              </w:rPr>
            </w:pPr>
            <w:r>
              <w:rPr>
                <w:sz w:val="18"/>
              </w:rPr>
              <w:t>7,727</w:t>
            </w:r>
          </w:p>
        </w:tc>
      </w:tr>
      <w:tr>
        <w:trPr>
          <w:trHeight w:val="334" w:hRule="exact"/>
        </w:trPr>
        <w:tc>
          <w:tcPr>
            <w:tcW w:w="5978" w:type="dxa"/>
          </w:tcPr>
          <w:p>
            <w:pPr>
              <w:pStyle w:val="TableParagraph"/>
              <w:spacing w:before="110"/>
              <w:ind w:left="63" w:right="885"/>
              <w:rPr>
                <w:b/>
                <w:sz w:val="18"/>
              </w:rPr>
            </w:pPr>
            <w:r>
              <w:rPr>
                <w:b/>
                <w:sz w:val="18"/>
              </w:rPr>
              <w:t>Total income</w:t>
            </w:r>
          </w:p>
        </w:tc>
        <w:tc>
          <w:tcPr>
            <w:tcW w:w="1381" w:type="dxa"/>
          </w:tcPr>
          <w:p>
            <w:pPr/>
          </w:p>
        </w:tc>
        <w:tc>
          <w:tcPr>
            <w:tcW w:w="1451" w:type="dxa"/>
            <w:tcBorders>
              <w:top w:val="single" w:sz="8" w:space="0" w:color="000000"/>
              <w:bottom w:val="single" w:sz="8" w:space="0" w:color="000000"/>
            </w:tcBorders>
          </w:tcPr>
          <w:p>
            <w:pPr>
              <w:pStyle w:val="TableParagraph"/>
              <w:spacing w:before="100"/>
              <w:ind w:left="408"/>
              <w:rPr>
                <w:b/>
                <w:sz w:val="18"/>
              </w:rPr>
            </w:pPr>
            <w:r>
              <w:rPr>
                <w:b/>
                <w:sz w:val="18"/>
              </w:rPr>
              <w:t>2,471,226</w:t>
            </w:r>
          </w:p>
        </w:tc>
        <w:tc>
          <w:tcPr>
            <w:tcW w:w="1115" w:type="dxa"/>
            <w:tcBorders>
              <w:top w:val="single" w:sz="8" w:space="0" w:color="000000"/>
              <w:bottom w:val="single" w:sz="8" w:space="0" w:color="000000"/>
            </w:tcBorders>
          </w:tcPr>
          <w:p>
            <w:pPr>
              <w:pStyle w:val="TableParagraph"/>
              <w:spacing w:before="100"/>
              <w:ind w:right="62"/>
              <w:jc w:val="right"/>
              <w:rPr>
                <w:sz w:val="18"/>
              </w:rPr>
            </w:pPr>
            <w:r>
              <w:rPr>
                <w:sz w:val="18"/>
              </w:rPr>
              <w:t>741,830</w:t>
            </w:r>
          </w:p>
        </w:tc>
      </w:tr>
      <w:tr>
        <w:trPr>
          <w:trHeight w:val="593" w:hRule="exact"/>
        </w:trPr>
        <w:tc>
          <w:tcPr>
            <w:tcW w:w="5978" w:type="dxa"/>
          </w:tcPr>
          <w:p>
            <w:pPr>
              <w:pStyle w:val="TableParagraph"/>
              <w:spacing w:before="115"/>
              <w:ind w:left="63" w:right="885"/>
              <w:rPr>
                <w:b/>
                <w:sz w:val="18"/>
              </w:rPr>
            </w:pPr>
            <w:r>
              <w:rPr>
                <w:b/>
                <w:sz w:val="18"/>
              </w:rPr>
              <w:t>Expenses</w:t>
            </w:r>
          </w:p>
          <w:p>
            <w:pPr>
              <w:pStyle w:val="TableParagraph"/>
              <w:spacing w:before="25"/>
              <w:ind w:left="63" w:right="885"/>
              <w:rPr>
                <w:sz w:val="18"/>
              </w:rPr>
            </w:pPr>
            <w:r>
              <w:rPr>
                <w:sz w:val="18"/>
              </w:rPr>
              <w:t>Employee benefits expense</w:t>
            </w:r>
          </w:p>
        </w:tc>
        <w:tc>
          <w:tcPr>
            <w:tcW w:w="1381" w:type="dxa"/>
          </w:tcPr>
          <w:p>
            <w:pPr>
              <w:pStyle w:val="TableParagraph"/>
              <w:rPr>
                <w:sz w:val="18"/>
              </w:rPr>
            </w:pPr>
          </w:p>
          <w:p>
            <w:pPr>
              <w:pStyle w:val="TableParagraph"/>
              <w:spacing w:before="140"/>
              <w:ind w:left="777"/>
              <w:jc w:val="center"/>
              <w:rPr>
                <w:sz w:val="18"/>
              </w:rPr>
            </w:pPr>
            <w:r>
              <w:rPr>
                <w:w w:val="99"/>
                <w:sz w:val="18"/>
              </w:rPr>
              <w:t>3</w:t>
            </w:r>
          </w:p>
        </w:tc>
        <w:tc>
          <w:tcPr>
            <w:tcW w:w="1451" w:type="dxa"/>
            <w:tcBorders>
              <w:top w:val="single" w:sz="8" w:space="0" w:color="000000"/>
            </w:tcBorders>
          </w:tcPr>
          <w:p>
            <w:pPr>
              <w:pStyle w:val="TableParagraph"/>
              <w:rPr>
                <w:sz w:val="18"/>
              </w:rPr>
            </w:pPr>
          </w:p>
          <w:p>
            <w:pPr>
              <w:pStyle w:val="TableParagraph"/>
              <w:spacing w:before="131"/>
              <w:ind w:left="487"/>
              <w:rPr>
                <w:b/>
                <w:sz w:val="18"/>
              </w:rPr>
            </w:pPr>
            <w:r>
              <w:rPr>
                <w:b/>
                <w:sz w:val="18"/>
              </w:rPr>
              <w:t>(556,631)</w:t>
            </w:r>
          </w:p>
        </w:tc>
        <w:tc>
          <w:tcPr>
            <w:tcW w:w="1115" w:type="dxa"/>
            <w:tcBorders>
              <w:top w:val="single" w:sz="8" w:space="0" w:color="000000"/>
            </w:tcBorders>
          </w:tcPr>
          <w:p>
            <w:pPr>
              <w:pStyle w:val="TableParagraph"/>
              <w:rPr>
                <w:sz w:val="18"/>
              </w:rPr>
            </w:pPr>
          </w:p>
          <w:p>
            <w:pPr>
              <w:pStyle w:val="TableParagraph"/>
              <w:spacing w:before="131"/>
              <w:ind w:right="1"/>
              <w:jc w:val="right"/>
              <w:rPr>
                <w:sz w:val="18"/>
              </w:rPr>
            </w:pPr>
            <w:r>
              <w:rPr>
                <w:sz w:val="18"/>
              </w:rPr>
              <w:t>(605,439)</w:t>
            </w:r>
          </w:p>
        </w:tc>
      </w:tr>
      <w:tr>
        <w:trPr>
          <w:trHeight w:val="264" w:hRule="exact"/>
        </w:trPr>
        <w:tc>
          <w:tcPr>
            <w:tcW w:w="5978" w:type="dxa"/>
          </w:tcPr>
          <w:p>
            <w:pPr>
              <w:pStyle w:val="TableParagraph"/>
              <w:spacing w:before="19"/>
              <w:ind w:left="63" w:right="885"/>
              <w:rPr>
                <w:sz w:val="18"/>
              </w:rPr>
            </w:pPr>
            <w:r>
              <w:rPr>
                <w:sz w:val="18"/>
              </w:rPr>
              <w:t>Depreciation and amortisation expense</w:t>
            </w:r>
          </w:p>
        </w:tc>
        <w:tc>
          <w:tcPr>
            <w:tcW w:w="1381" w:type="dxa"/>
          </w:tcPr>
          <w:p>
            <w:pPr>
              <w:pStyle w:val="TableParagraph"/>
              <w:spacing w:before="19"/>
              <w:ind w:left="777"/>
              <w:jc w:val="center"/>
              <w:rPr>
                <w:sz w:val="18"/>
              </w:rPr>
            </w:pPr>
            <w:r>
              <w:rPr>
                <w:w w:val="99"/>
                <w:sz w:val="18"/>
              </w:rPr>
              <w:t>3</w:t>
            </w:r>
          </w:p>
        </w:tc>
        <w:tc>
          <w:tcPr>
            <w:tcW w:w="1451" w:type="dxa"/>
          </w:tcPr>
          <w:p>
            <w:pPr>
              <w:pStyle w:val="TableParagraph"/>
              <w:spacing w:before="19"/>
              <w:ind w:right="187"/>
              <w:jc w:val="right"/>
              <w:rPr>
                <w:b/>
                <w:sz w:val="18"/>
              </w:rPr>
            </w:pPr>
            <w:r>
              <w:rPr>
                <w:b/>
                <w:sz w:val="18"/>
              </w:rPr>
              <w:t>(88,088)</w:t>
            </w:r>
          </w:p>
        </w:tc>
        <w:tc>
          <w:tcPr>
            <w:tcW w:w="1115" w:type="dxa"/>
          </w:tcPr>
          <w:p>
            <w:pPr>
              <w:pStyle w:val="TableParagraph"/>
              <w:spacing w:before="19"/>
              <w:ind w:right="4"/>
              <w:jc w:val="right"/>
              <w:rPr>
                <w:sz w:val="18"/>
              </w:rPr>
            </w:pPr>
            <w:r>
              <w:rPr>
                <w:w w:val="95"/>
                <w:sz w:val="18"/>
              </w:rPr>
              <w:t>(83,920)</w:t>
            </w:r>
          </w:p>
        </w:tc>
      </w:tr>
      <w:tr>
        <w:trPr>
          <w:trHeight w:val="264" w:hRule="exact"/>
        </w:trPr>
        <w:tc>
          <w:tcPr>
            <w:tcW w:w="5978" w:type="dxa"/>
          </w:tcPr>
          <w:p>
            <w:pPr>
              <w:pStyle w:val="TableParagraph"/>
              <w:spacing w:before="19"/>
              <w:ind w:left="63" w:right="885"/>
              <w:rPr>
                <w:sz w:val="18"/>
              </w:rPr>
            </w:pPr>
            <w:r>
              <w:rPr>
                <w:sz w:val="18"/>
              </w:rPr>
              <w:t>Transmission expenses</w:t>
            </w:r>
          </w:p>
        </w:tc>
        <w:tc>
          <w:tcPr>
            <w:tcW w:w="1381" w:type="dxa"/>
          </w:tcPr>
          <w:p>
            <w:pPr/>
          </w:p>
        </w:tc>
        <w:tc>
          <w:tcPr>
            <w:tcW w:w="1451" w:type="dxa"/>
          </w:tcPr>
          <w:p>
            <w:pPr>
              <w:pStyle w:val="TableParagraph"/>
              <w:spacing w:before="19"/>
              <w:ind w:left="488"/>
              <w:rPr>
                <w:b/>
                <w:sz w:val="18"/>
              </w:rPr>
            </w:pPr>
            <w:r>
              <w:rPr>
                <w:b/>
                <w:sz w:val="18"/>
              </w:rPr>
              <w:t>(151,818)</w:t>
            </w:r>
          </w:p>
        </w:tc>
        <w:tc>
          <w:tcPr>
            <w:tcW w:w="1115" w:type="dxa"/>
          </w:tcPr>
          <w:p>
            <w:pPr>
              <w:pStyle w:val="TableParagraph"/>
              <w:spacing w:before="19"/>
              <w:ind w:right="1"/>
              <w:jc w:val="right"/>
              <w:rPr>
                <w:sz w:val="18"/>
              </w:rPr>
            </w:pPr>
            <w:r>
              <w:rPr>
                <w:sz w:val="18"/>
              </w:rPr>
              <w:t>(466,267)</w:t>
            </w:r>
          </w:p>
        </w:tc>
      </w:tr>
      <w:tr>
        <w:trPr>
          <w:trHeight w:val="264" w:hRule="exact"/>
        </w:trPr>
        <w:tc>
          <w:tcPr>
            <w:tcW w:w="5978" w:type="dxa"/>
          </w:tcPr>
          <w:p>
            <w:pPr>
              <w:pStyle w:val="TableParagraph"/>
              <w:spacing w:before="19"/>
              <w:ind w:left="63" w:right="885"/>
              <w:rPr>
                <w:sz w:val="18"/>
              </w:rPr>
            </w:pPr>
            <w:r>
              <w:rPr>
                <w:sz w:val="18"/>
              </w:rPr>
              <w:t>Advertising, marketing and promotional expenses</w:t>
            </w:r>
          </w:p>
        </w:tc>
        <w:tc>
          <w:tcPr>
            <w:tcW w:w="1381" w:type="dxa"/>
          </w:tcPr>
          <w:p>
            <w:pPr/>
          </w:p>
        </w:tc>
        <w:tc>
          <w:tcPr>
            <w:tcW w:w="1451" w:type="dxa"/>
          </w:tcPr>
          <w:p>
            <w:pPr>
              <w:pStyle w:val="TableParagraph"/>
              <w:spacing w:before="19"/>
              <w:ind w:left="488"/>
              <w:rPr>
                <w:b/>
                <w:sz w:val="18"/>
              </w:rPr>
            </w:pPr>
            <w:r>
              <w:rPr>
                <w:b/>
                <w:sz w:val="18"/>
              </w:rPr>
              <w:t>(187,924)</w:t>
            </w:r>
          </w:p>
        </w:tc>
        <w:tc>
          <w:tcPr>
            <w:tcW w:w="1115" w:type="dxa"/>
          </w:tcPr>
          <w:p>
            <w:pPr>
              <w:pStyle w:val="TableParagraph"/>
              <w:spacing w:before="19"/>
              <w:ind w:right="1"/>
              <w:jc w:val="right"/>
              <w:rPr>
                <w:sz w:val="18"/>
              </w:rPr>
            </w:pPr>
            <w:r>
              <w:rPr>
                <w:sz w:val="18"/>
              </w:rPr>
              <w:t>(240,942)</w:t>
            </w:r>
          </w:p>
        </w:tc>
      </w:tr>
      <w:tr>
        <w:trPr>
          <w:trHeight w:val="264" w:hRule="exact"/>
        </w:trPr>
        <w:tc>
          <w:tcPr>
            <w:tcW w:w="5978" w:type="dxa"/>
          </w:tcPr>
          <w:p>
            <w:pPr>
              <w:pStyle w:val="TableParagraph"/>
              <w:spacing w:before="19"/>
              <w:ind w:left="63" w:right="885"/>
              <w:rPr>
                <w:sz w:val="18"/>
              </w:rPr>
            </w:pPr>
            <w:r>
              <w:rPr>
                <w:sz w:val="18"/>
              </w:rPr>
              <w:t>HEPP Project expenses</w:t>
            </w:r>
          </w:p>
        </w:tc>
        <w:tc>
          <w:tcPr>
            <w:tcW w:w="1381" w:type="dxa"/>
          </w:tcPr>
          <w:p>
            <w:pPr>
              <w:pStyle w:val="TableParagraph"/>
              <w:spacing w:before="19"/>
              <w:ind w:left="777"/>
              <w:jc w:val="center"/>
              <w:rPr>
                <w:sz w:val="18"/>
              </w:rPr>
            </w:pPr>
            <w:r>
              <w:rPr>
                <w:w w:val="99"/>
                <w:sz w:val="18"/>
              </w:rPr>
              <w:t>4</w:t>
            </w:r>
          </w:p>
        </w:tc>
        <w:tc>
          <w:tcPr>
            <w:tcW w:w="1451" w:type="dxa"/>
          </w:tcPr>
          <w:p>
            <w:pPr>
              <w:pStyle w:val="TableParagraph"/>
              <w:spacing w:before="19"/>
              <w:ind w:left="488"/>
              <w:rPr>
                <w:b/>
                <w:sz w:val="18"/>
              </w:rPr>
            </w:pPr>
            <w:r>
              <w:rPr>
                <w:b/>
                <w:sz w:val="18"/>
              </w:rPr>
              <w:t>(849,386)</w:t>
            </w:r>
          </w:p>
        </w:tc>
        <w:tc>
          <w:tcPr>
            <w:tcW w:w="1115" w:type="dxa"/>
          </w:tcPr>
          <w:p>
            <w:pPr>
              <w:pStyle w:val="TableParagraph"/>
              <w:spacing w:before="19"/>
              <w:ind w:right="76"/>
              <w:jc w:val="right"/>
              <w:rPr>
                <w:sz w:val="18"/>
              </w:rPr>
            </w:pPr>
            <w:r>
              <w:rPr>
                <w:w w:val="99"/>
                <w:sz w:val="18"/>
              </w:rPr>
              <w:t>-</w:t>
            </w:r>
          </w:p>
        </w:tc>
      </w:tr>
      <w:tr>
        <w:trPr>
          <w:trHeight w:val="264" w:hRule="exact"/>
        </w:trPr>
        <w:tc>
          <w:tcPr>
            <w:tcW w:w="5978" w:type="dxa"/>
          </w:tcPr>
          <w:p>
            <w:pPr>
              <w:pStyle w:val="TableParagraph"/>
              <w:spacing w:before="19"/>
              <w:ind w:left="64" w:right="885"/>
              <w:rPr>
                <w:sz w:val="18"/>
              </w:rPr>
            </w:pPr>
            <w:r>
              <w:rPr>
                <w:sz w:val="18"/>
              </w:rPr>
              <w:t>Finance costs</w:t>
            </w:r>
          </w:p>
        </w:tc>
        <w:tc>
          <w:tcPr>
            <w:tcW w:w="1381" w:type="dxa"/>
          </w:tcPr>
          <w:p>
            <w:pPr/>
          </w:p>
        </w:tc>
        <w:tc>
          <w:tcPr>
            <w:tcW w:w="1451" w:type="dxa"/>
          </w:tcPr>
          <w:p>
            <w:pPr>
              <w:pStyle w:val="TableParagraph"/>
              <w:spacing w:before="19"/>
              <w:ind w:right="186"/>
              <w:jc w:val="right"/>
              <w:rPr>
                <w:b/>
                <w:sz w:val="18"/>
              </w:rPr>
            </w:pPr>
            <w:r>
              <w:rPr>
                <w:b/>
                <w:sz w:val="18"/>
              </w:rPr>
              <w:t>(73,847)</w:t>
            </w:r>
          </w:p>
        </w:tc>
        <w:tc>
          <w:tcPr>
            <w:tcW w:w="1115" w:type="dxa"/>
          </w:tcPr>
          <w:p>
            <w:pPr>
              <w:pStyle w:val="TableParagraph"/>
              <w:spacing w:before="19"/>
              <w:ind w:right="4"/>
              <w:jc w:val="right"/>
              <w:rPr>
                <w:sz w:val="18"/>
              </w:rPr>
            </w:pPr>
            <w:r>
              <w:rPr>
                <w:w w:val="95"/>
                <w:sz w:val="18"/>
              </w:rPr>
              <w:t>(79,264)</w:t>
            </w:r>
          </w:p>
        </w:tc>
      </w:tr>
      <w:tr>
        <w:trPr>
          <w:trHeight w:val="277" w:hRule="exact"/>
        </w:trPr>
        <w:tc>
          <w:tcPr>
            <w:tcW w:w="5978" w:type="dxa"/>
          </w:tcPr>
          <w:p>
            <w:pPr>
              <w:pStyle w:val="TableParagraph"/>
              <w:spacing w:before="19"/>
              <w:ind w:left="63" w:right="885"/>
              <w:rPr>
                <w:sz w:val="18"/>
              </w:rPr>
            </w:pPr>
            <w:r>
              <w:rPr>
                <w:sz w:val="18"/>
              </w:rPr>
              <w:t>Other expenses</w:t>
            </w:r>
          </w:p>
        </w:tc>
        <w:tc>
          <w:tcPr>
            <w:tcW w:w="1381" w:type="dxa"/>
          </w:tcPr>
          <w:p>
            <w:pPr/>
          </w:p>
        </w:tc>
        <w:tc>
          <w:tcPr>
            <w:tcW w:w="1451" w:type="dxa"/>
            <w:tcBorders>
              <w:bottom w:val="single" w:sz="8" w:space="0" w:color="000000"/>
            </w:tcBorders>
          </w:tcPr>
          <w:p>
            <w:pPr>
              <w:pStyle w:val="TableParagraph"/>
              <w:spacing w:before="19"/>
              <w:ind w:right="187"/>
              <w:jc w:val="right"/>
              <w:rPr>
                <w:b/>
                <w:sz w:val="18"/>
              </w:rPr>
            </w:pPr>
            <w:r>
              <w:rPr>
                <w:b/>
                <w:sz w:val="18"/>
              </w:rPr>
              <w:t>(77,640)</w:t>
            </w:r>
          </w:p>
        </w:tc>
        <w:tc>
          <w:tcPr>
            <w:tcW w:w="1115" w:type="dxa"/>
            <w:tcBorders>
              <w:bottom w:val="single" w:sz="8" w:space="0" w:color="000000"/>
            </w:tcBorders>
          </w:tcPr>
          <w:p>
            <w:pPr>
              <w:pStyle w:val="TableParagraph"/>
              <w:spacing w:before="19"/>
              <w:ind w:right="4"/>
              <w:jc w:val="right"/>
              <w:rPr>
                <w:sz w:val="18"/>
              </w:rPr>
            </w:pPr>
            <w:r>
              <w:rPr>
                <w:w w:val="95"/>
                <w:sz w:val="18"/>
              </w:rPr>
              <w:t>(91,215)</w:t>
            </w:r>
          </w:p>
        </w:tc>
      </w:tr>
      <w:tr>
        <w:trPr>
          <w:trHeight w:val="335" w:hRule="exact"/>
        </w:trPr>
        <w:tc>
          <w:tcPr>
            <w:tcW w:w="5978" w:type="dxa"/>
          </w:tcPr>
          <w:p>
            <w:pPr>
              <w:pStyle w:val="TableParagraph"/>
              <w:spacing w:before="113"/>
              <w:ind w:left="63" w:right="885"/>
              <w:rPr>
                <w:b/>
                <w:sz w:val="18"/>
              </w:rPr>
            </w:pPr>
            <w:r>
              <w:rPr>
                <w:b/>
                <w:sz w:val="18"/>
              </w:rPr>
              <w:t>Total expenses</w:t>
            </w:r>
          </w:p>
        </w:tc>
        <w:tc>
          <w:tcPr>
            <w:tcW w:w="1381" w:type="dxa"/>
          </w:tcPr>
          <w:p>
            <w:pPr/>
          </w:p>
        </w:tc>
        <w:tc>
          <w:tcPr>
            <w:tcW w:w="1451" w:type="dxa"/>
            <w:tcBorders>
              <w:top w:val="single" w:sz="8" w:space="0" w:color="000000"/>
              <w:bottom w:val="single" w:sz="8" w:space="0" w:color="000000"/>
            </w:tcBorders>
          </w:tcPr>
          <w:p>
            <w:pPr>
              <w:pStyle w:val="TableParagraph"/>
              <w:spacing w:before="104"/>
              <w:ind w:right="175"/>
              <w:jc w:val="right"/>
              <w:rPr>
                <w:b/>
                <w:sz w:val="18"/>
              </w:rPr>
            </w:pPr>
            <w:r>
              <w:rPr>
                <w:b/>
                <w:sz w:val="18"/>
              </w:rPr>
              <w:t>(1,985,334)</w:t>
            </w:r>
          </w:p>
        </w:tc>
        <w:tc>
          <w:tcPr>
            <w:tcW w:w="1115" w:type="dxa"/>
            <w:tcBorders>
              <w:top w:val="single" w:sz="8" w:space="0" w:color="000000"/>
              <w:bottom w:val="single" w:sz="8" w:space="0" w:color="000000"/>
            </w:tcBorders>
          </w:tcPr>
          <w:p>
            <w:pPr>
              <w:pStyle w:val="TableParagraph"/>
              <w:spacing w:before="104"/>
              <w:ind w:right="11"/>
              <w:jc w:val="right"/>
              <w:rPr>
                <w:sz w:val="18"/>
              </w:rPr>
            </w:pPr>
            <w:r>
              <w:rPr>
                <w:sz w:val="18"/>
              </w:rPr>
              <w:t>(1,567,047)</w:t>
            </w:r>
          </w:p>
        </w:tc>
      </w:tr>
      <w:tr>
        <w:trPr>
          <w:trHeight w:val="352" w:hRule="exact"/>
        </w:trPr>
        <w:tc>
          <w:tcPr>
            <w:tcW w:w="5978" w:type="dxa"/>
          </w:tcPr>
          <w:p>
            <w:pPr>
              <w:pStyle w:val="TableParagraph"/>
              <w:spacing w:before="122"/>
              <w:ind w:left="63" w:right="885"/>
              <w:rPr>
                <w:b/>
                <w:sz w:val="18"/>
              </w:rPr>
            </w:pPr>
            <w:r>
              <w:rPr>
                <w:b/>
                <w:sz w:val="18"/>
              </w:rPr>
              <w:t>Surplus / (deficit) for the year</w:t>
            </w:r>
          </w:p>
        </w:tc>
        <w:tc>
          <w:tcPr>
            <w:tcW w:w="1381" w:type="dxa"/>
          </w:tcPr>
          <w:p>
            <w:pPr/>
          </w:p>
        </w:tc>
        <w:tc>
          <w:tcPr>
            <w:tcW w:w="1451" w:type="dxa"/>
            <w:tcBorders>
              <w:top w:val="single" w:sz="8" w:space="0" w:color="000000"/>
              <w:bottom w:val="single" w:sz="5" w:space="0" w:color="000000"/>
            </w:tcBorders>
          </w:tcPr>
          <w:p>
            <w:pPr>
              <w:pStyle w:val="TableParagraph"/>
              <w:spacing w:before="112"/>
              <w:ind w:right="248"/>
              <w:jc w:val="right"/>
              <w:rPr>
                <w:b/>
                <w:sz w:val="18"/>
              </w:rPr>
            </w:pPr>
            <w:r>
              <w:rPr>
                <w:b/>
                <w:sz w:val="18"/>
              </w:rPr>
              <w:t>485,892</w:t>
            </w:r>
          </w:p>
        </w:tc>
        <w:tc>
          <w:tcPr>
            <w:tcW w:w="1115" w:type="dxa"/>
            <w:tcBorders>
              <w:top w:val="single" w:sz="8" w:space="0" w:color="000000"/>
              <w:bottom w:val="single" w:sz="5" w:space="0" w:color="000000"/>
            </w:tcBorders>
          </w:tcPr>
          <w:p>
            <w:pPr>
              <w:pStyle w:val="TableParagraph"/>
              <w:spacing w:before="112"/>
              <w:ind w:right="1"/>
              <w:jc w:val="right"/>
              <w:rPr>
                <w:sz w:val="18"/>
              </w:rPr>
            </w:pPr>
            <w:r>
              <w:rPr>
                <w:sz w:val="18"/>
              </w:rPr>
              <w:t>(825,217)</w:t>
            </w:r>
          </w:p>
        </w:tc>
      </w:tr>
      <w:tr>
        <w:trPr>
          <w:trHeight w:val="583" w:hRule="exact"/>
        </w:trPr>
        <w:tc>
          <w:tcPr>
            <w:tcW w:w="5978" w:type="dxa"/>
          </w:tcPr>
          <w:p>
            <w:pPr>
              <w:pStyle w:val="TableParagraph"/>
              <w:rPr>
                <w:sz w:val="18"/>
              </w:rPr>
            </w:pPr>
          </w:p>
          <w:p>
            <w:pPr>
              <w:pStyle w:val="TableParagraph"/>
              <w:spacing w:before="134"/>
              <w:ind w:left="63" w:right="885"/>
              <w:rPr>
                <w:sz w:val="18"/>
              </w:rPr>
            </w:pPr>
            <w:r>
              <w:rPr>
                <w:sz w:val="18"/>
              </w:rPr>
              <w:t>Other comprehensive income for the year</w:t>
            </w:r>
          </w:p>
        </w:tc>
        <w:tc>
          <w:tcPr>
            <w:tcW w:w="1381" w:type="dxa"/>
          </w:tcPr>
          <w:p>
            <w:pPr/>
          </w:p>
        </w:tc>
        <w:tc>
          <w:tcPr>
            <w:tcW w:w="1451" w:type="dxa"/>
            <w:tcBorders>
              <w:top w:val="single" w:sz="5" w:space="0" w:color="000000"/>
              <w:bottom w:val="single" w:sz="8" w:space="0" w:color="000000"/>
            </w:tcBorders>
          </w:tcPr>
          <w:p>
            <w:pPr>
              <w:pStyle w:val="TableParagraph"/>
              <w:rPr>
                <w:sz w:val="18"/>
              </w:rPr>
            </w:pPr>
          </w:p>
          <w:p>
            <w:pPr>
              <w:pStyle w:val="TableParagraph"/>
              <w:spacing w:before="128"/>
              <w:ind w:right="240"/>
              <w:jc w:val="right"/>
              <w:rPr>
                <w:b/>
                <w:sz w:val="18"/>
              </w:rPr>
            </w:pPr>
            <w:r>
              <w:rPr>
                <w:b/>
                <w:w w:val="99"/>
                <w:sz w:val="18"/>
              </w:rPr>
              <w:t>-</w:t>
            </w:r>
          </w:p>
        </w:tc>
        <w:tc>
          <w:tcPr>
            <w:tcW w:w="1115" w:type="dxa"/>
            <w:tcBorders>
              <w:top w:val="single" w:sz="5" w:space="0" w:color="000000"/>
              <w:bottom w:val="single" w:sz="8" w:space="0" w:color="000000"/>
            </w:tcBorders>
          </w:tcPr>
          <w:p>
            <w:pPr>
              <w:pStyle w:val="TableParagraph"/>
              <w:rPr>
                <w:sz w:val="18"/>
              </w:rPr>
            </w:pPr>
          </w:p>
          <w:p>
            <w:pPr>
              <w:pStyle w:val="TableParagraph"/>
              <w:spacing w:before="128"/>
              <w:ind w:right="76"/>
              <w:jc w:val="right"/>
              <w:rPr>
                <w:sz w:val="18"/>
              </w:rPr>
            </w:pPr>
            <w:r>
              <w:rPr>
                <w:w w:val="99"/>
                <w:sz w:val="18"/>
              </w:rPr>
              <w:t>-</w:t>
            </w:r>
          </w:p>
        </w:tc>
      </w:tr>
      <w:tr>
        <w:trPr>
          <w:trHeight w:val="438" w:hRule="exact"/>
        </w:trPr>
        <w:tc>
          <w:tcPr>
            <w:tcW w:w="5978" w:type="dxa"/>
          </w:tcPr>
          <w:p>
            <w:pPr>
              <w:pStyle w:val="TableParagraph"/>
              <w:spacing w:before="8"/>
              <w:rPr>
                <w:sz w:val="15"/>
              </w:rPr>
            </w:pPr>
          </w:p>
          <w:p>
            <w:pPr>
              <w:pStyle w:val="TableParagraph"/>
              <w:ind w:left="63" w:right="885"/>
              <w:rPr>
                <w:b/>
                <w:sz w:val="18"/>
              </w:rPr>
            </w:pPr>
            <w:r>
              <w:rPr>
                <w:b/>
                <w:sz w:val="18"/>
              </w:rPr>
              <w:t>Total comprehensive income for the year</w:t>
            </w:r>
          </w:p>
        </w:tc>
        <w:tc>
          <w:tcPr>
            <w:tcW w:w="1381" w:type="dxa"/>
          </w:tcPr>
          <w:p>
            <w:pPr/>
          </w:p>
        </w:tc>
        <w:tc>
          <w:tcPr>
            <w:tcW w:w="1451" w:type="dxa"/>
            <w:tcBorders>
              <w:top w:val="single" w:sz="8" w:space="0" w:color="000000"/>
              <w:bottom w:val="single" w:sz="5" w:space="0" w:color="000000"/>
            </w:tcBorders>
          </w:tcPr>
          <w:p>
            <w:pPr>
              <w:pStyle w:val="TableParagraph"/>
              <w:spacing w:before="9"/>
              <w:rPr>
                <w:sz w:val="14"/>
              </w:rPr>
            </w:pPr>
          </w:p>
          <w:p>
            <w:pPr>
              <w:pStyle w:val="TableParagraph"/>
              <w:spacing w:before="1"/>
              <w:ind w:right="247"/>
              <w:jc w:val="right"/>
              <w:rPr>
                <w:b/>
                <w:sz w:val="18"/>
              </w:rPr>
            </w:pPr>
            <w:r>
              <w:rPr>
                <w:b/>
                <w:sz w:val="18"/>
              </w:rPr>
              <w:t>485,892</w:t>
            </w:r>
          </w:p>
        </w:tc>
        <w:tc>
          <w:tcPr>
            <w:tcW w:w="1115" w:type="dxa"/>
            <w:tcBorders>
              <w:top w:val="single" w:sz="8" w:space="0" w:color="000000"/>
              <w:bottom w:val="single" w:sz="5" w:space="0" w:color="000000"/>
            </w:tcBorders>
          </w:tcPr>
          <w:p>
            <w:pPr>
              <w:pStyle w:val="TableParagraph"/>
              <w:spacing w:before="9"/>
              <w:rPr>
                <w:sz w:val="14"/>
              </w:rPr>
            </w:pPr>
          </w:p>
          <w:p>
            <w:pPr>
              <w:pStyle w:val="TableParagraph"/>
              <w:spacing w:before="1"/>
              <w:ind w:right="1"/>
              <w:jc w:val="right"/>
              <w:rPr>
                <w:sz w:val="18"/>
              </w:rPr>
            </w:pPr>
            <w:r>
              <w:rPr>
                <w:sz w:val="18"/>
              </w:rPr>
              <w:t>(825,217)</w:t>
            </w:r>
          </w:p>
        </w:tc>
      </w:tr>
      <w:tr>
        <w:trPr>
          <w:trHeight w:val="645" w:hRule="exact"/>
        </w:trPr>
        <w:tc>
          <w:tcPr>
            <w:tcW w:w="5978" w:type="dxa"/>
          </w:tcPr>
          <w:p>
            <w:pPr>
              <w:pStyle w:val="TableParagraph"/>
              <w:rPr>
                <w:sz w:val="18"/>
              </w:rPr>
            </w:pPr>
          </w:p>
          <w:p>
            <w:pPr>
              <w:pStyle w:val="TableParagraph"/>
              <w:rPr>
                <w:sz w:val="18"/>
              </w:rPr>
            </w:pPr>
          </w:p>
          <w:p>
            <w:pPr>
              <w:pStyle w:val="TableParagraph"/>
              <w:ind w:left="63" w:right="885"/>
              <w:rPr>
                <w:b/>
                <w:sz w:val="18"/>
              </w:rPr>
            </w:pPr>
            <w:r>
              <w:rPr>
                <w:b/>
                <w:sz w:val="18"/>
              </w:rPr>
              <w:t>Comprehensive income for the year attributable to:</w:t>
            </w:r>
          </w:p>
        </w:tc>
        <w:tc>
          <w:tcPr>
            <w:tcW w:w="1381" w:type="dxa"/>
          </w:tcPr>
          <w:p>
            <w:pPr/>
          </w:p>
        </w:tc>
        <w:tc>
          <w:tcPr>
            <w:tcW w:w="1451" w:type="dxa"/>
            <w:tcBorders>
              <w:top w:val="single" w:sz="5" w:space="0" w:color="000000"/>
            </w:tcBorders>
          </w:tcPr>
          <w:p>
            <w:pPr/>
          </w:p>
        </w:tc>
        <w:tc>
          <w:tcPr>
            <w:tcW w:w="1115" w:type="dxa"/>
            <w:tcBorders>
              <w:top w:val="single" w:sz="5" w:space="0" w:color="000000"/>
            </w:tcBorders>
          </w:tcPr>
          <w:p>
            <w:pPr/>
          </w:p>
        </w:tc>
      </w:tr>
      <w:tr>
        <w:trPr>
          <w:trHeight w:val="254" w:hRule="exact"/>
        </w:trPr>
        <w:tc>
          <w:tcPr>
            <w:tcW w:w="5978" w:type="dxa"/>
          </w:tcPr>
          <w:p>
            <w:pPr>
              <w:pStyle w:val="TableParagraph"/>
              <w:spacing w:before="4"/>
              <w:ind w:left="63" w:right="885"/>
              <w:rPr>
                <w:sz w:val="18"/>
              </w:rPr>
            </w:pPr>
            <w:r>
              <w:rPr>
                <w:sz w:val="18"/>
              </w:rPr>
              <w:t>Non-controlling interests</w:t>
            </w:r>
          </w:p>
        </w:tc>
        <w:tc>
          <w:tcPr>
            <w:tcW w:w="1381" w:type="dxa"/>
          </w:tcPr>
          <w:p>
            <w:pPr/>
          </w:p>
        </w:tc>
        <w:tc>
          <w:tcPr>
            <w:tcW w:w="1451" w:type="dxa"/>
          </w:tcPr>
          <w:p>
            <w:pPr>
              <w:pStyle w:val="TableParagraph"/>
              <w:spacing w:before="4"/>
              <w:ind w:right="247"/>
              <w:jc w:val="right"/>
              <w:rPr>
                <w:b/>
                <w:sz w:val="18"/>
              </w:rPr>
            </w:pPr>
            <w:r>
              <w:rPr>
                <w:b/>
                <w:sz w:val="18"/>
              </w:rPr>
              <w:t>121,473</w:t>
            </w:r>
          </w:p>
        </w:tc>
        <w:tc>
          <w:tcPr>
            <w:tcW w:w="1115" w:type="dxa"/>
          </w:tcPr>
          <w:p>
            <w:pPr>
              <w:pStyle w:val="TableParagraph"/>
              <w:spacing w:before="4"/>
              <w:ind w:right="1"/>
              <w:jc w:val="right"/>
              <w:rPr>
                <w:sz w:val="18"/>
              </w:rPr>
            </w:pPr>
            <w:r>
              <w:rPr>
                <w:sz w:val="18"/>
              </w:rPr>
              <w:t>(206,304)</w:t>
            </w:r>
          </w:p>
        </w:tc>
      </w:tr>
      <w:tr>
        <w:trPr>
          <w:trHeight w:val="265" w:hRule="exact"/>
        </w:trPr>
        <w:tc>
          <w:tcPr>
            <w:tcW w:w="5978" w:type="dxa"/>
          </w:tcPr>
          <w:p>
            <w:pPr>
              <w:pStyle w:val="TableParagraph"/>
              <w:spacing w:before="24"/>
              <w:ind w:left="63" w:right="885"/>
              <w:rPr>
                <w:sz w:val="18"/>
              </w:rPr>
            </w:pPr>
            <w:r>
              <w:rPr>
                <w:sz w:val="18"/>
              </w:rPr>
              <w:t>Owners of the parent</w:t>
            </w:r>
          </w:p>
        </w:tc>
        <w:tc>
          <w:tcPr>
            <w:tcW w:w="1381" w:type="dxa"/>
          </w:tcPr>
          <w:p>
            <w:pPr/>
          </w:p>
        </w:tc>
        <w:tc>
          <w:tcPr>
            <w:tcW w:w="1451" w:type="dxa"/>
            <w:tcBorders>
              <w:bottom w:val="single" w:sz="5" w:space="0" w:color="000000"/>
            </w:tcBorders>
          </w:tcPr>
          <w:p>
            <w:pPr>
              <w:pStyle w:val="TableParagraph"/>
              <w:spacing w:before="24"/>
              <w:ind w:right="248"/>
              <w:jc w:val="right"/>
              <w:rPr>
                <w:b/>
                <w:sz w:val="18"/>
              </w:rPr>
            </w:pPr>
            <w:r>
              <w:rPr>
                <w:b/>
                <w:sz w:val="18"/>
              </w:rPr>
              <w:t>364,419</w:t>
            </w:r>
          </w:p>
        </w:tc>
        <w:tc>
          <w:tcPr>
            <w:tcW w:w="1115" w:type="dxa"/>
            <w:tcBorders>
              <w:bottom w:val="single" w:sz="5" w:space="0" w:color="000000"/>
            </w:tcBorders>
          </w:tcPr>
          <w:p>
            <w:pPr>
              <w:pStyle w:val="TableParagraph"/>
              <w:spacing w:before="24"/>
              <w:ind w:right="1"/>
              <w:jc w:val="right"/>
              <w:rPr>
                <w:sz w:val="18"/>
              </w:rPr>
            </w:pPr>
            <w:r>
              <w:rPr>
                <w:sz w:val="18"/>
              </w:rPr>
              <w:t>(618,913)</w:t>
            </w:r>
          </w:p>
        </w:tc>
      </w:tr>
      <w:tr>
        <w:trPr>
          <w:trHeight w:val="354" w:hRule="exact"/>
        </w:trPr>
        <w:tc>
          <w:tcPr>
            <w:tcW w:w="5978" w:type="dxa"/>
          </w:tcPr>
          <w:p>
            <w:pPr>
              <w:pStyle w:val="TableParagraph"/>
              <w:spacing w:before="118"/>
              <w:ind w:left="63" w:right="885"/>
              <w:rPr>
                <w:b/>
                <w:sz w:val="18"/>
              </w:rPr>
            </w:pPr>
            <w:r>
              <w:rPr>
                <w:b/>
                <w:sz w:val="18"/>
              </w:rPr>
              <w:t>Total comprehensive income for the year</w:t>
            </w:r>
          </w:p>
        </w:tc>
        <w:tc>
          <w:tcPr>
            <w:tcW w:w="1381" w:type="dxa"/>
          </w:tcPr>
          <w:p>
            <w:pPr/>
          </w:p>
        </w:tc>
        <w:tc>
          <w:tcPr>
            <w:tcW w:w="1451" w:type="dxa"/>
            <w:tcBorders>
              <w:top w:val="single" w:sz="5" w:space="0" w:color="000000"/>
              <w:bottom w:val="single" w:sz="5" w:space="0" w:color="000000"/>
            </w:tcBorders>
          </w:tcPr>
          <w:p>
            <w:pPr>
              <w:pStyle w:val="TableParagraph"/>
              <w:spacing w:before="112"/>
              <w:ind w:right="247"/>
              <w:jc w:val="right"/>
              <w:rPr>
                <w:b/>
                <w:sz w:val="18"/>
              </w:rPr>
            </w:pPr>
            <w:r>
              <w:rPr>
                <w:b/>
                <w:sz w:val="18"/>
              </w:rPr>
              <w:t>485,892</w:t>
            </w:r>
          </w:p>
        </w:tc>
        <w:tc>
          <w:tcPr>
            <w:tcW w:w="1115" w:type="dxa"/>
            <w:tcBorders>
              <w:top w:val="single" w:sz="5" w:space="0" w:color="000000"/>
              <w:bottom w:val="single" w:sz="5" w:space="0" w:color="000000"/>
            </w:tcBorders>
          </w:tcPr>
          <w:p>
            <w:pPr>
              <w:pStyle w:val="TableParagraph"/>
              <w:spacing w:before="112"/>
              <w:ind w:right="1"/>
              <w:jc w:val="right"/>
              <w:rPr>
                <w:sz w:val="18"/>
              </w:rPr>
            </w:pPr>
            <w:r>
              <w:rPr>
                <w:sz w:val="18"/>
              </w:rPr>
              <w:t>(825,217)</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p>
    <w:p>
      <w:pPr>
        <w:pStyle w:val="BodyText"/>
        <w:spacing w:before="77"/>
        <w:ind w:left="2531" w:right="125"/>
      </w:pPr>
      <w:r>
        <w:rPr/>
        <w:t>The accompanying notes form part of these financial statements.</w:t>
      </w:r>
    </w:p>
    <w:p>
      <w:pPr>
        <w:spacing w:after="0"/>
        <w:sectPr>
          <w:headerReference w:type="default" r:id="rId114"/>
          <w:pgSz w:w="11930" w:h="16850"/>
          <w:pgMar w:header="1035" w:footer="507" w:top="1460" w:bottom="700" w:left="860" w:right="920"/>
        </w:sectPr>
      </w:pPr>
    </w:p>
    <w:p>
      <w:pPr>
        <w:pStyle w:val="BodyText"/>
        <w:spacing w:before="5"/>
        <w:rPr>
          <w:sz w:val="22"/>
        </w:rPr>
      </w:pPr>
    </w:p>
    <w:p>
      <w:pPr>
        <w:pStyle w:val="Heading3"/>
        <w:spacing w:line="285" w:lineRule="auto"/>
        <w:ind w:left="287" w:right="5535"/>
      </w:pPr>
      <w:r>
        <w:rPr/>
        <w:t>Statement of Financial Position As at 31 December 2012</w:t>
      </w:r>
    </w:p>
    <w:p>
      <w:pPr>
        <w:pStyle w:val="BodyText"/>
        <w:spacing w:before="4"/>
        <w:rPr>
          <w:b/>
          <w:sz w:val="23"/>
        </w:rPr>
      </w:pPr>
    </w:p>
    <w:p>
      <w:pPr>
        <w:spacing w:after="0"/>
        <w:rPr>
          <w:sz w:val="23"/>
        </w:rPr>
        <w:sectPr>
          <w:pgSz w:w="11930" w:h="16850"/>
          <w:pgMar w:header="1035" w:footer="507" w:top="1460" w:bottom="700" w:left="720" w:right="880"/>
        </w:sectPr>
      </w:pPr>
    </w:p>
    <w:p>
      <w:pPr>
        <w:pStyle w:val="BodyText"/>
        <w:rPr>
          <w:b/>
        </w:rPr>
      </w:pPr>
    </w:p>
    <w:p>
      <w:pPr>
        <w:pStyle w:val="Heading9"/>
        <w:spacing w:before="146"/>
        <w:ind w:left="0"/>
        <w:jc w:val="right"/>
      </w:pPr>
      <w:r>
        <w:rPr/>
        <w:t>Note</w:t>
      </w:r>
    </w:p>
    <w:p>
      <w:pPr>
        <w:spacing w:before="77"/>
        <w:ind w:left="486" w:right="0" w:firstLine="0"/>
        <w:jc w:val="center"/>
        <w:rPr>
          <w:b/>
          <w:sz w:val="18"/>
        </w:rPr>
      </w:pPr>
      <w:r>
        <w:rPr/>
        <w:br w:type="column"/>
      </w:r>
      <w:r>
        <w:rPr>
          <w:b/>
          <w:sz w:val="18"/>
        </w:rPr>
        <w:t>2012</w:t>
      </w:r>
    </w:p>
    <w:p>
      <w:pPr>
        <w:spacing w:before="66"/>
        <w:ind w:left="0" w:right="152" w:firstLine="0"/>
        <w:jc w:val="right"/>
        <w:rPr>
          <w:b/>
          <w:sz w:val="18"/>
        </w:rPr>
      </w:pPr>
      <w:r>
        <w:rPr>
          <w:b/>
          <w:w w:val="99"/>
          <w:sz w:val="18"/>
        </w:rPr>
        <w:t>$</w:t>
      </w:r>
    </w:p>
    <w:p>
      <w:pPr>
        <w:spacing w:before="77"/>
        <w:ind w:left="845" w:right="531" w:firstLine="0"/>
        <w:jc w:val="center"/>
        <w:rPr>
          <w:b/>
          <w:sz w:val="18"/>
        </w:rPr>
      </w:pPr>
      <w:r>
        <w:rPr/>
        <w:br w:type="column"/>
      </w:r>
      <w:r>
        <w:rPr>
          <w:b/>
          <w:sz w:val="18"/>
        </w:rPr>
        <w:t>2011</w:t>
      </w:r>
    </w:p>
    <w:p>
      <w:pPr>
        <w:spacing w:before="66"/>
        <w:ind w:left="309" w:right="0" w:firstLine="0"/>
        <w:jc w:val="center"/>
        <w:rPr>
          <w:b/>
          <w:sz w:val="18"/>
        </w:rPr>
      </w:pPr>
      <w:r>
        <w:rPr>
          <w:b/>
          <w:w w:val="99"/>
          <w:sz w:val="18"/>
        </w:rPr>
        <w:t>$</w:t>
      </w:r>
    </w:p>
    <w:p>
      <w:pPr>
        <w:spacing w:after="0"/>
        <w:jc w:val="center"/>
        <w:rPr>
          <w:sz w:val="18"/>
        </w:rPr>
        <w:sectPr>
          <w:type w:val="continuous"/>
          <w:pgSz w:w="11930" w:h="16850"/>
          <w:pgMar w:top="0" w:bottom="280" w:left="720" w:right="880"/>
          <w:cols w:num="3" w:equalWidth="0">
            <w:col w:w="7543" w:space="40"/>
            <w:col w:w="890" w:space="40"/>
            <w:col w:w="1817"/>
          </w:cols>
        </w:sectPr>
      </w:pPr>
    </w:p>
    <w:p>
      <w:pPr>
        <w:pStyle w:val="BodyText"/>
        <w:spacing w:before="7" w:after="1"/>
        <w:rPr>
          <w:b/>
          <w:sz w:val="14"/>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870"/>
        <w:gridCol w:w="2624"/>
        <w:gridCol w:w="1461"/>
        <w:gridCol w:w="1148"/>
      </w:tblGrid>
      <w:tr>
        <w:trPr>
          <w:trHeight w:val="527" w:hRule="exact"/>
        </w:trPr>
        <w:tc>
          <w:tcPr>
            <w:tcW w:w="4870" w:type="dxa"/>
          </w:tcPr>
          <w:p>
            <w:pPr>
              <w:pStyle w:val="TableParagraph"/>
              <w:spacing w:line="184" w:lineRule="exact"/>
              <w:ind w:left="200"/>
              <w:rPr>
                <w:b/>
                <w:sz w:val="18"/>
              </w:rPr>
            </w:pPr>
            <w:r>
              <w:rPr>
                <w:b/>
                <w:sz w:val="18"/>
              </w:rPr>
              <w:t>ASSETS</w:t>
            </w:r>
          </w:p>
          <w:p>
            <w:pPr>
              <w:pStyle w:val="TableParagraph"/>
              <w:spacing w:before="112"/>
              <w:ind w:left="200"/>
              <w:rPr>
                <w:b/>
                <w:sz w:val="18"/>
              </w:rPr>
            </w:pPr>
            <w:r>
              <w:rPr>
                <w:b/>
                <w:sz w:val="18"/>
              </w:rPr>
              <w:t>Current assets</w:t>
            </w:r>
          </w:p>
        </w:tc>
        <w:tc>
          <w:tcPr>
            <w:tcW w:w="2624" w:type="dxa"/>
          </w:tcPr>
          <w:p>
            <w:pPr/>
          </w:p>
        </w:tc>
        <w:tc>
          <w:tcPr>
            <w:tcW w:w="1461" w:type="dxa"/>
          </w:tcPr>
          <w:p>
            <w:pPr/>
          </w:p>
        </w:tc>
        <w:tc>
          <w:tcPr>
            <w:tcW w:w="1148" w:type="dxa"/>
          </w:tcPr>
          <w:p>
            <w:pPr/>
          </w:p>
        </w:tc>
      </w:tr>
      <w:tr>
        <w:trPr>
          <w:trHeight w:val="252" w:hRule="exact"/>
        </w:trPr>
        <w:tc>
          <w:tcPr>
            <w:tcW w:w="4870" w:type="dxa"/>
          </w:tcPr>
          <w:p>
            <w:pPr>
              <w:pStyle w:val="TableParagraph"/>
              <w:spacing w:before="7"/>
              <w:ind w:left="200"/>
              <w:rPr>
                <w:sz w:val="18"/>
              </w:rPr>
            </w:pPr>
            <w:r>
              <w:rPr>
                <w:sz w:val="18"/>
              </w:rPr>
              <w:t>Cash and cash equivalents</w:t>
            </w:r>
          </w:p>
        </w:tc>
        <w:tc>
          <w:tcPr>
            <w:tcW w:w="2624" w:type="dxa"/>
          </w:tcPr>
          <w:p>
            <w:pPr>
              <w:pStyle w:val="TableParagraph"/>
              <w:spacing w:before="9"/>
              <w:ind w:right="217"/>
              <w:jc w:val="right"/>
              <w:rPr>
                <w:sz w:val="18"/>
              </w:rPr>
            </w:pPr>
            <w:r>
              <w:rPr>
                <w:w w:val="99"/>
                <w:sz w:val="18"/>
              </w:rPr>
              <w:t>5</w:t>
            </w:r>
          </w:p>
        </w:tc>
        <w:tc>
          <w:tcPr>
            <w:tcW w:w="1461" w:type="dxa"/>
          </w:tcPr>
          <w:p>
            <w:pPr>
              <w:pStyle w:val="TableParagraph"/>
              <w:spacing w:before="4"/>
              <w:ind w:left="410"/>
              <w:rPr>
                <w:b/>
                <w:sz w:val="18"/>
              </w:rPr>
            </w:pPr>
            <w:r>
              <w:rPr>
                <w:b/>
                <w:sz w:val="18"/>
              </w:rPr>
              <w:t>1,002,818</w:t>
            </w:r>
          </w:p>
        </w:tc>
        <w:tc>
          <w:tcPr>
            <w:tcW w:w="1148" w:type="dxa"/>
          </w:tcPr>
          <w:p>
            <w:pPr>
              <w:pStyle w:val="TableParagraph"/>
              <w:spacing w:before="9"/>
              <w:ind w:right="96"/>
              <w:jc w:val="right"/>
              <w:rPr>
                <w:sz w:val="18"/>
              </w:rPr>
            </w:pPr>
            <w:r>
              <w:rPr>
                <w:sz w:val="18"/>
              </w:rPr>
              <w:t>160,932</w:t>
            </w:r>
          </w:p>
        </w:tc>
      </w:tr>
      <w:tr>
        <w:trPr>
          <w:trHeight w:val="280" w:hRule="exact"/>
        </w:trPr>
        <w:tc>
          <w:tcPr>
            <w:tcW w:w="4870" w:type="dxa"/>
          </w:tcPr>
          <w:p>
            <w:pPr>
              <w:pStyle w:val="TableParagraph"/>
              <w:spacing w:before="19"/>
              <w:ind w:left="200"/>
              <w:rPr>
                <w:sz w:val="18"/>
              </w:rPr>
            </w:pPr>
            <w:r>
              <w:rPr>
                <w:sz w:val="18"/>
              </w:rPr>
              <w:t>Trade and other receivables</w:t>
            </w:r>
          </w:p>
        </w:tc>
        <w:tc>
          <w:tcPr>
            <w:tcW w:w="2624" w:type="dxa"/>
          </w:tcPr>
          <w:p>
            <w:pPr>
              <w:pStyle w:val="TableParagraph"/>
              <w:spacing w:before="21"/>
              <w:ind w:right="217"/>
              <w:jc w:val="right"/>
              <w:rPr>
                <w:sz w:val="18"/>
              </w:rPr>
            </w:pPr>
            <w:r>
              <w:rPr>
                <w:w w:val="99"/>
                <w:sz w:val="18"/>
              </w:rPr>
              <w:t>6</w:t>
            </w:r>
          </w:p>
        </w:tc>
        <w:tc>
          <w:tcPr>
            <w:tcW w:w="1461" w:type="dxa"/>
            <w:tcBorders>
              <w:bottom w:val="single" w:sz="5" w:space="0" w:color="000000"/>
            </w:tcBorders>
          </w:tcPr>
          <w:p>
            <w:pPr>
              <w:pStyle w:val="TableParagraph"/>
              <w:spacing w:before="16"/>
              <w:ind w:right="246"/>
              <w:jc w:val="right"/>
              <w:rPr>
                <w:b/>
                <w:sz w:val="18"/>
              </w:rPr>
            </w:pPr>
            <w:r>
              <w:rPr>
                <w:b/>
                <w:sz w:val="18"/>
              </w:rPr>
              <w:t>118,406</w:t>
            </w:r>
          </w:p>
        </w:tc>
        <w:tc>
          <w:tcPr>
            <w:tcW w:w="1148" w:type="dxa"/>
            <w:tcBorders>
              <w:bottom w:val="single" w:sz="5" w:space="0" w:color="000000"/>
            </w:tcBorders>
          </w:tcPr>
          <w:p>
            <w:pPr>
              <w:pStyle w:val="TableParagraph"/>
              <w:spacing w:before="21"/>
              <w:ind w:right="96"/>
              <w:jc w:val="right"/>
              <w:rPr>
                <w:sz w:val="18"/>
              </w:rPr>
            </w:pPr>
            <w:r>
              <w:rPr>
                <w:sz w:val="18"/>
              </w:rPr>
              <w:t>107,083</w:t>
            </w:r>
          </w:p>
        </w:tc>
      </w:tr>
      <w:tr>
        <w:trPr>
          <w:trHeight w:val="338" w:hRule="exact"/>
        </w:trPr>
        <w:tc>
          <w:tcPr>
            <w:tcW w:w="4870" w:type="dxa"/>
          </w:tcPr>
          <w:p>
            <w:pPr>
              <w:pStyle w:val="TableParagraph"/>
              <w:spacing w:before="31"/>
              <w:ind w:left="200"/>
              <w:rPr>
                <w:sz w:val="18"/>
              </w:rPr>
            </w:pPr>
            <w:r>
              <w:rPr>
                <w:sz w:val="18"/>
              </w:rPr>
              <w:t>Total current assets</w:t>
            </w:r>
          </w:p>
        </w:tc>
        <w:tc>
          <w:tcPr>
            <w:tcW w:w="2624" w:type="dxa"/>
          </w:tcPr>
          <w:p>
            <w:pPr/>
          </w:p>
        </w:tc>
        <w:tc>
          <w:tcPr>
            <w:tcW w:w="1461" w:type="dxa"/>
            <w:tcBorders>
              <w:top w:val="single" w:sz="5" w:space="0" w:color="000000"/>
              <w:bottom w:val="single" w:sz="5" w:space="0" w:color="000000"/>
            </w:tcBorders>
          </w:tcPr>
          <w:p>
            <w:pPr>
              <w:pStyle w:val="TableParagraph"/>
              <w:spacing w:before="109"/>
              <w:ind w:left="410"/>
              <w:rPr>
                <w:b/>
                <w:sz w:val="18"/>
              </w:rPr>
            </w:pPr>
            <w:r>
              <w:rPr>
                <w:b/>
                <w:sz w:val="18"/>
              </w:rPr>
              <w:t>1,121,224</w:t>
            </w:r>
          </w:p>
        </w:tc>
        <w:tc>
          <w:tcPr>
            <w:tcW w:w="1148" w:type="dxa"/>
            <w:tcBorders>
              <w:top w:val="single" w:sz="5" w:space="0" w:color="000000"/>
              <w:bottom w:val="single" w:sz="5" w:space="0" w:color="000000"/>
            </w:tcBorders>
          </w:tcPr>
          <w:p>
            <w:pPr>
              <w:pStyle w:val="TableParagraph"/>
              <w:spacing w:before="114"/>
              <w:ind w:right="96"/>
              <w:jc w:val="right"/>
              <w:rPr>
                <w:sz w:val="18"/>
              </w:rPr>
            </w:pPr>
            <w:r>
              <w:rPr>
                <w:sz w:val="18"/>
              </w:rPr>
              <w:t>268,015</w:t>
            </w:r>
          </w:p>
        </w:tc>
      </w:tr>
      <w:tr>
        <w:trPr>
          <w:trHeight w:val="734" w:hRule="exact"/>
        </w:trPr>
        <w:tc>
          <w:tcPr>
            <w:tcW w:w="4870" w:type="dxa"/>
          </w:tcPr>
          <w:p>
            <w:pPr>
              <w:pStyle w:val="TableParagraph"/>
              <w:spacing w:before="4"/>
              <w:rPr>
                <w:b/>
                <w:sz w:val="22"/>
              </w:rPr>
            </w:pPr>
          </w:p>
          <w:p>
            <w:pPr>
              <w:pStyle w:val="TableParagraph"/>
              <w:ind w:left="200"/>
              <w:rPr>
                <w:b/>
                <w:sz w:val="18"/>
              </w:rPr>
            </w:pPr>
            <w:r>
              <w:rPr>
                <w:b/>
                <w:sz w:val="18"/>
              </w:rPr>
              <w:t>Non-current assets</w:t>
            </w:r>
          </w:p>
          <w:p>
            <w:pPr>
              <w:pStyle w:val="TableParagraph"/>
              <w:spacing w:before="30"/>
              <w:ind w:left="200"/>
              <w:rPr>
                <w:sz w:val="18"/>
              </w:rPr>
            </w:pPr>
            <w:r>
              <w:rPr>
                <w:sz w:val="18"/>
              </w:rPr>
              <w:t>Property, plant and equipment</w:t>
            </w:r>
          </w:p>
        </w:tc>
        <w:tc>
          <w:tcPr>
            <w:tcW w:w="2624" w:type="dxa"/>
          </w:tcPr>
          <w:p>
            <w:pPr>
              <w:pStyle w:val="TableParagraph"/>
              <w:rPr>
                <w:b/>
                <w:sz w:val="18"/>
              </w:rPr>
            </w:pPr>
          </w:p>
          <w:p>
            <w:pPr>
              <w:pStyle w:val="TableParagraph"/>
              <w:spacing w:before="2"/>
              <w:rPr>
                <w:b/>
                <w:sz w:val="25"/>
              </w:rPr>
            </w:pPr>
          </w:p>
          <w:p>
            <w:pPr>
              <w:pStyle w:val="TableParagraph"/>
              <w:ind w:right="217"/>
              <w:jc w:val="right"/>
              <w:rPr>
                <w:sz w:val="18"/>
              </w:rPr>
            </w:pPr>
            <w:r>
              <w:rPr>
                <w:w w:val="99"/>
                <w:sz w:val="18"/>
              </w:rPr>
              <w:t>7</w:t>
            </w:r>
          </w:p>
        </w:tc>
        <w:tc>
          <w:tcPr>
            <w:tcW w:w="1461" w:type="dxa"/>
            <w:tcBorders>
              <w:top w:val="single" w:sz="5" w:space="0" w:color="000000"/>
            </w:tcBorders>
          </w:tcPr>
          <w:p>
            <w:pPr>
              <w:pStyle w:val="TableParagraph"/>
              <w:rPr>
                <w:b/>
                <w:sz w:val="18"/>
              </w:rPr>
            </w:pPr>
          </w:p>
          <w:p>
            <w:pPr>
              <w:pStyle w:val="TableParagraph"/>
              <w:spacing w:before="3"/>
              <w:rPr>
                <w:b/>
                <w:sz w:val="24"/>
              </w:rPr>
            </w:pPr>
          </w:p>
          <w:p>
            <w:pPr>
              <w:pStyle w:val="TableParagraph"/>
              <w:ind w:right="246"/>
              <w:jc w:val="right"/>
              <w:rPr>
                <w:b/>
                <w:sz w:val="18"/>
              </w:rPr>
            </w:pPr>
            <w:r>
              <w:rPr>
                <w:b/>
                <w:sz w:val="18"/>
              </w:rPr>
              <w:t>172,142</w:t>
            </w:r>
          </w:p>
        </w:tc>
        <w:tc>
          <w:tcPr>
            <w:tcW w:w="1148" w:type="dxa"/>
            <w:tcBorders>
              <w:top w:val="single" w:sz="5" w:space="0" w:color="000000"/>
            </w:tcBorders>
          </w:tcPr>
          <w:p>
            <w:pPr>
              <w:pStyle w:val="TableParagraph"/>
              <w:rPr>
                <w:b/>
                <w:sz w:val="18"/>
              </w:rPr>
            </w:pPr>
          </w:p>
          <w:p>
            <w:pPr>
              <w:pStyle w:val="TableParagraph"/>
              <w:spacing w:before="8"/>
              <w:rPr>
                <w:b/>
                <w:sz w:val="24"/>
              </w:rPr>
            </w:pPr>
          </w:p>
          <w:p>
            <w:pPr>
              <w:pStyle w:val="TableParagraph"/>
              <w:ind w:right="96"/>
              <w:jc w:val="right"/>
              <w:rPr>
                <w:sz w:val="18"/>
              </w:rPr>
            </w:pPr>
            <w:r>
              <w:rPr>
                <w:sz w:val="18"/>
              </w:rPr>
              <w:t>203,377</w:t>
            </w:r>
          </w:p>
        </w:tc>
      </w:tr>
      <w:tr>
        <w:trPr>
          <w:trHeight w:val="274" w:hRule="exact"/>
        </w:trPr>
        <w:tc>
          <w:tcPr>
            <w:tcW w:w="4870" w:type="dxa"/>
          </w:tcPr>
          <w:p>
            <w:pPr>
              <w:pStyle w:val="TableParagraph"/>
              <w:spacing w:before="13"/>
              <w:ind w:left="200"/>
              <w:rPr>
                <w:sz w:val="18"/>
              </w:rPr>
            </w:pPr>
            <w:r>
              <w:rPr>
                <w:sz w:val="18"/>
              </w:rPr>
              <w:t>Intangible assets</w:t>
            </w:r>
          </w:p>
        </w:tc>
        <w:tc>
          <w:tcPr>
            <w:tcW w:w="2624" w:type="dxa"/>
          </w:tcPr>
          <w:p>
            <w:pPr>
              <w:pStyle w:val="TableParagraph"/>
              <w:spacing w:before="15"/>
              <w:ind w:right="217"/>
              <w:jc w:val="right"/>
              <w:rPr>
                <w:sz w:val="18"/>
              </w:rPr>
            </w:pPr>
            <w:r>
              <w:rPr>
                <w:w w:val="99"/>
                <w:sz w:val="18"/>
              </w:rPr>
              <w:t>8</w:t>
            </w:r>
          </w:p>
        </w:tc>
        <w:tc>
          <w:tcPr>
            <w:tcW w:w="1461" w:type="dxa"/>
            <w:tcBorders>
              <w:bottom w:val="single" w:sz="5" w:space="0" w:color="000000"/>
            </w:tcBorders>
          </w:tcPr>
          <w:p>
            <w:pPr>
              <w:pStyle w:val="TableParagraph"/>
              <w:spacing w:before="10"/>
              <w:ind w:right="246"/>
              <w:jc w:val="right"/>
              <w:rPr>
                <w:b/>
                <w:sz w:val="18"/>
              </w:rPr>
            </w:pPr>
            <w:r>
              <w:rPr>
                <w:b/>
                <w:sz w:val="18"/>
              </w:rPr>
              <w:t>118,569</w:t>
            </w:r>
          </w:p>
        </w:tc>
        <w:tc>
          <w:tcPr>
            <w:tcW w:w="1148" w:type="dxa"/>
            <w:tcBorders>
              <w:bottom w:val="single" w:sz="5" w:space="0" w:color="000000"/>
            </w:tcBorders>
          </w:tcPr>
          <w:p>
            <w:pPr>
              <w:pStyle w:val="TableParagraph"/>
              <w:spacing w:before="15"/>
              <w:ind w:right="96"/>
              <w:jc w:val="right"/>
              <w:rPr>
                <w:sz w:val="18"/>
              </w:rPr>
            </w:pPr>
            <w:r>
              <w:rPr>
                <w:sz w:val="18"/>
              </w:rPr>
              <w:t>158,569</w:t>
            </w:r>
          </w:p>
        </w:tc>
      </w:tr>
      <w:tr>
        <w:trPr>
          <w:trHeight w:val="338" w:hRule="exact"/>
        </w:trPr>
        <w:tc>
          <w:tcPr>
            <w:tcW w:w="4870" w:type="dxa"/>
          </w:tcPr>
          <w:p>
            <w:pPr>
              <w:pStyle w:val="TableParagraph"/>
              <w:spacing w:before="31"/>
              <w:ind w:left="200"/>
              <w:rPr>
                <w:sz w:val="18"/>
              </w:rPr>
            </w:pPr>
            <w:r>
              <w:rPr>
                <w:sz w:val="18"/>
              </w:rPr>
              <w:t>Total non-current assets</w:t>
            </w:r>
          </w:p>
        </w:tc>
        <w:tc>
          <w:tcPr>
            <w:tcW w:w="2624" w:type="dxa"/>
          </w:tcPr>
          <w:p>
            <w:pPr/>
          </w:p>
        </w:tc>
        <w:tc>
          <w:tcPr>
            <w:tcW w:w="1461" w:type="dxa"/>
            <w:tcBorders>
              <w:top w:val="single" w:sz="5" w:space="0" w:color="000000"/>
              <w:bottom w:val="single" w:sz="5" w:space="0" w:color="000000"/>
            </w:tcBorders>
          </w:tcPr>
          <w:p>
            <w:pPr>
              <w:pStyle w:val="TableParagraph"/>
              <w:spacing w:before="109"/>
              <w:ind w:right="246"/>
              <w:jc w:val="right"/>
              <w:rPr>
                <w:b/>
                <w:sz w:val="18"/>
              </w:rPr>
            </w:pPr>
            <w:r>
              <w:rPr>
                <w:b/>
                <w:sz w:val="18"/>
              </w:rPr>
              <w:t>290,711</w:t>
            </w:r>
          </w:p>
        </w:tc>
        <w:tc>
          <w:tcPr>
            <w:tcW w:w="1148" w:type="dxa"/>
            <w:tcBorders>
              <w:top w:val="single" w:sz="5" w:space="0" w:color="000000"/>
              <w:bottom w:val="single" w:sz="5" w:space="0" w:color="000000"/>
            </w:tcBorders>
          </w:tcPr>
          <w:p>
            <w:pPr>
              <w:pStyle w:val="TableParagraph"/>
              <w:spacing w:before="114"/>
              <w:ind w:right="96"/>
              <w:jc w:val="right"/>
              <w:rPr>
                <w:sz w:val="18"/>
              </w:rPr>
            </w:pPr>
            <w:r>
              <w:rPr>
                <w:sz w:val="18"/>
              </w:rPr>
              <w:t>361,946</w:t>
            </w:r>
          </w:p>
        </w:tc>
      </w:tr>
      <w:tr>
        <w:trPr>
          <w:trHeight w:val="540" w:hRule="exact"/>
        </w:trPr>
        <w:tc>
          <w:tcPr>
            <w:tcW w:w="4870" w:type="dxa"/>
          </w:tcPr>
          <w:p>
            <w:pPr>
              <w:pStyle w:val="TableParagraph"/>
              <w:spacing w:before="6"/>
              <w:rPr>
                <w:b/>
                <w:sz w:val="22"/>
              </w:rPr>
            </w:pPr>
          </w:p>
          <w:p>
            <w:pPr>
              <w:pStyle w:val="TableParagraph"/>
              <w:ind w:left="200"/>
              <w:rPr>
                <w:sz w:val="18"/>
              </w:rPr>
            </w:pPr>
            <w:r>
              <w:rPr>
                <w:sz w:val="18"/>
              </w:rPr>
              <w:t>TOTAL ASSETS</w:t>
            </w:r>
          </w:p>
        </w:tc>
        <w:tc>
          <w:tcPr>
            <w:tcW w:w="2624" w:type="dxa"/>
          </w:tcPr>
          <w:p>
            <w:pPr/>
          </w:p>
        </w:tc>
        <w:tc>
          <w:tcPr>
            <w:tcW w:w="1461" w:type="dxa"/>
            <w:tcBorders>
              <w:top w:val="single" w:sz="5" w:space="0" w:color="000000"/>
              <w:bottom w:val="single" w:sz="5" w:space="0" w:color="000000"/>
            </w:tcBorders>
          </w:tcPr>
          <w:p>
            <w:pPr>
              <w:pStyle w:val="TableParagraph"/>
              <w:spacing w:before="1"/>
              <w:rPr>
                <w:b/>
                <w:sz w:val="24"/>
              </w:rPr>
            </w:pPr>
          </w:p>
          <w:p>
            <w:pPr>
              <w:pStyle w:val="TableParagraph"/>
              <w:ind w:left="410"/>
              <w:rPr>
                <w:b/>
                <w:sz w:val="18"/>
              </w:rPr>
            </w:pPr>
            <w:r>
              <w:rPr>
                <w:b/>
                <w:sz w:val="18"/>
              </w:rPr>
              <w:t>1,411,935</w:t>
            </w:r>
          </w:p>
        </w:tc>
        <w:tc>
          <w:tcPr>
            <w:tcW w:w="1148" w:type="dxa"/>
            <w:tcBorders>
              <w:top w:val="single" w:sz="5" w:space="0" w:color="000000"/>
              <w:bottom w:val="single" w:sz="4" w:space="0" w:color="000000"/>
            </w:tcBorders>
          </w:tcPr>
          <w:p>
            <w:pPr>
              <w:pStyle w:val="TableParagraph"/>
              <w:spacing w:before="6"/>
              <w:rPr>
                <w:b/>
                <w:sz w:val="24"/>
              </w:rPr>
            </w:pPr>
          </w:p>
          <w:p>
            <w:pPr>
              <w:pStyle w:val="TableParagraph"/>
              <w:ind w:right="96"/>
              <w:jc w:val="right"/>
              <w:rPr>
                <w:sz w:val="18"/>
              </w:rPr>
            </w:pPr>
            <w:r>
              <w:rPr>
                <w:sz w:val="18"/>
              </w:rPr>
              <w:t>629,961</w:t>
            </w:r>
          </w:p>
        </w:tc>
      </w:tr>
      <w:tr>
        <w:trPr>
          <w:trHeight w:val="1203" w:hRule="exact"/>
        </w:trPr>
        <w:tc>
          <w:tcPr>
            <w:tcW w:w="4870" w:type="dxa"/>
          </w:tcPr>
          <w:p>
            <w:pPr>
              <w:pStyle w:val="TableParagraph"/>
              <w:rPr>
                <w:b/>
                <w:sz w:val="18"/>
              </w:rPr>
            </w:pPr>
          </w:p>
          <w:p>
            <w:pPr>
              <w:pStyle w:val="TableParagraph"/>
              <w:spacing w:before="5"/>
              <w:rPr>
                <w:b/>
                <w:sz w:val="16"/>
              </w:rPr>
            </w:pPr>
          </w:p>
          <w:p>
            <w:pPr>
              <w:pStyle w:val="TableParagraph"/>
              <w:ind w:left="200"/>
              <w:rPr>
                <w:b/>
                <w:sz w:val="18"/>
              </w:rPr>
            </w:pPr>
            <w:r>
              <w:rPr>
                <w:b/>
                <w:sz w:val="18"/>
              </w:rPr>
              <w:t>LIABILITIES</w:t>
            </w:r>
          </w:p>
          <w:p>
            <w:pPr>
              <w:pStyle w:val="TableParagraph"/>
              <w:spacing w:before="114"/>
              <w:ind w:left="200"/>
              <w:rPr>
                <w:b/>
                <w:sz w:val="18"/>
              </w:rPr>
            </w:pPr>
            <w:r>
              <w:rPr>
                <w:b/>
                <w:sz w:val="18"/>
              </w:rPr>
              <w:t>Current liabilities</w:t>
            </w:r>
          </w:p>
          <w:p>
            <w:pPr>
              <w:pStyle w:val="TableParagraph"/>
              <w:spacing w:before="30"/>
              <w:ind w:left="200"/>
              <w:rPr>
                <w:sz w:val="18"/>
              </w:rPr>
            </w:pPr>
            <w:r>
              <w:rPr>
                <w:sz w:val="18"/>
              </w:rPr>
              <w:t>Trade and other payables</w:t>
            </w:r>
          </w:p>
        </w:tc>
        <w:tc>
          <w:tcPr>
            <w:tcW w:w="2624"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30"/>
              <w:ind w:right="217"/>
              <w:jc w:val="right"/>
              <w:rPr>
                <w:sz w:val="18"/>
              </w:rPr>
            </w:pPr>
            <w:r>
              <w:rPr>
                <w:w w:val="99"/>
                <w:sz w:val="18"/>
              </w:rPr>
              <w:t>9</w:t>
            </w:r>
          </w:p>
        </w:tc>
        <w:tc>
          <w:tcPr>
            <w:tcW w:w="1461" w:type="dxa"/>
            <w:tcBorders>
              <w:top w:val="single" w:sz="5" w:space="0" w:color="000000"/>
            </w:tcBorders>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33"/>
              <w:ind w:right="247"/>
              <w:jc w:val="right"/>
              <w:rPr>
                <w:b/>
                <w:sz w:val="18"/>
              </w:rPr>
            </w:pPr>
            <w:r>
              <w:rPr>
                <w:b/>
                <w:sz w:val="18"/>
              </w:rPr>
              <w:t>199,976</w:t>
            </w:r>
          </w:p>
        </w:tc>
        <w:tc>
          <w:tcPr>
            <w:tcW w:w="1148" w:type="dxa"/>
            <w:tcBorders>
              <w:top w:val="single" w:sz="4" w:space="0" w:color="000000"/>
            </w:tcBorders>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42"/>
              <w:ind w:right="96"/>
              <w:jc w:val="right"/>
              <w:rPr>
                <w:sz w:val="18"/>
              </w:rPr>
            </w:pPr>
            <w:r>
              <w:rPr>
                <w:sz w:val="18"/>
              </w:rPr>
              <w:t>122,345</w:t>
            </w:r>
          </w:p>
        </w:tc>
      </w:tr>
      <w:tr>
        <w:trPr>
          <w:trHeight w:val="250" w:hRule="exact"/>
        </w:trPr>
        <w:tc>
          <w:tcPr>
            <w:tcW w:w="4870" w:type="dxa"/>
          </w:tcPr>
          <w:p>
            <w:pPr>
              <w:pStyle w:val="TableParagraph"/>
              <w:spacing w:before="4"/>
              <w:ind w:left="200"/>
              <w:rPr>
                <w:sz w:val="18"/>
              </w:rPr>
            </w:pPr>
            <w:r>
              <w:rPr>
                <w:sz w:val="18"/>
              </w:rPr>
              <w:t>Provisions</w:t>
            </w:r>
          </w:p>
        </w:tc>
        <w:tc>
          <w:tcPr>
            <w:tcW w:w="2624" w:type="dxa"/>
          </w:tcPr>
          <w:p>
            <w:pPr>
              <w:pStyle w:val="TableParagraph"/>
              <w:spacing w:before="7"/>
              <w:ind w:right="166"/>
              <w:jc w:val="right"/>
              <w:rPr>
                <w:sz w:val="18"/>
              </w:rPr>
            </w:pPr>
            <w:r>
              <w:rPr>
                <w:w w:val="95"/>
                <w:sz w:val="18"/>
              </w:rPr>
              <w:t>11</w:t>
            </w:r>
          </w:p>
        </w:tc>
        <w:tc>
          <w:tcPr>
            <w:tcW w:w="1461" w:type="dxa"/>
          </w:tcPr>
          <w:p>
            <w:pPr>
              <w:pStyle w:val="TableParagraph"/>
              <w:spacing w:before="2"/>
              <w:ind w:right="247"/>
              <w:jc w:val="right"/>
              <w:rPr>
                <w:b/>
                <w:sz w:val="18"/>
              </w:rPr>
            </w:pPr>
            <w:r>
              <w:rPr>
                <w:b/>
                <w:sz w:val="18"/>
              </w:rPr>
              <w:t>57,780</w:t>
            </w:r>
          </w:p>
        </w:tc>
        <w:tc>
          <w:tcPr>
            <w:tcW w:w="1148" w:type="dxa"/>
          </w:tcPr>
          <w:p>
            <w:pPr>
              <w:pStyle w:val="TableParagraph"/>
              <w:spacing w:before="7"/>
              <w:ind w:right="99"/>
              <w:jc w:val="right"/>
              <w:rPr>
                <w:sz w:val="18"/>
              </w:rPr>
            </w:pPr>
            <w:r>
              <w:rPr>
                <w:sz w:val="18"/>
              </w:rPr>
              <w:t>52,613</w:t>
            </w:r>
          </w:p>
        </w:tc>
      </w:tr>
      <w:tr>
        <w:trPr>
          <w:trHeight w:val="280" w:hRule="exact"/>
        </w:trPr>
        <w:tc>
          <w:tcPr>
            <w:tcW w:w="4870" w:type="dxa"/>
          </w:tcPr>
          <w:p>
            <w:pPr>
              <w:pStyle w:val="TableParagraph"/>
              <w:spacing w:before="19"/>
              <w:ind w:left="200"/>
              <w:rPr>
                <w:sz w:val="18"/>
              </w:rPr>
            </w:pPr>
            <w:r>
              <w:rPr>
                <w:sz w:val="18"/>
              </w:rPr>
              <w:t>Deferred income</w:t>
            </w:r>
          </w:p>
        </w:tc>
        <w:tc>
          <w:tcPr>
            <w:tcW w:w="2624" w:type="dxa"/>
          </w:tcPr>
          <w:p>
            <w:pPr/>
          </w:p>
        </w:tc>
        <w:tc>
          <w:tcPr>
            <w:tcW w:w="1461" w:type="dxa"/>
            <w:tcBorders>
              <w:bottom w:val="single" w:sz="5" w:space="0" w:color="000000"/>
            </w:tcBorders>
          </w:tcPr>
          <w:p>
            <w:pPr>
              <w:pStyle w:val="TableParagraph"/>
              <w:spacing w:before="16"/>
              <w:ind w:right="231"/>
              <w:jc w:val="right"/>
              <w:rPr>
                <w:b/>
                <w:sz w:val="18"/>
              </w:rPr>
            </w:pPr>
            <w:r>
              <w:rPr>
                <w:b/>
                <w:w w:val="99"/>
                <w:sz w:val="18"/>
              </w:rPr>
              <w:t>-</w:t>
            </w:r>
          </w:p>
        </w:tc>
        <w:tc>
          <w:tcPr>
            <w:tcW w:w="1148" w:type="dxa"/>
            <w:tcBorders>
              <w:bottom w:val="single" w:sz="5" w:space="0" w:color="000000"/>
            </w:tcBorders>
          </w:tcPr>
          <w:p>
            <w:pPr>
              <w:pStyle w:val="TableParagraph"/>
              <w:spacing w:before="21"/>
              <w:ind w:right="99"/>
              <w:jc w:val="right"/>
              <w:rPr>
                <w:sz w:val="18"/>
              </w:rPr>
            </w:pPr>
            <w:r>
              <w:rPr>
                <w:sz w:val="18"/>
              </w:rPr>
              <w:t>22,610</w:t>
            </w:r>
          </w:p>
        </w:tc>
      </w:tr>
      <w:tr>
        <w:trPr>
          <w:trHeight w:val="338" w:hRule="exact"/>
        </w:trPr>
        <w:tc>
          <w:tcPr>
            <w:tcW w:w="4870" w:type="dxa"/>
          </w:tcPr>
          <w:p>
            <w:pPr>
              <w:pStyle w:val="TableParagraph"/>
              <w:spacing w:before="31"/>
              <w:ind w:left="200"/>
              <w:rPr>
                <w:sz w:val="18"/>
              </w:rPr>
            </w:pPr>
            <w:r>
              <w:rPr>
                <w:sz w:val="18"/>
              </w:rPr>
              <w:t>Total current liabilities</w:t>
            </w:r>
          </w:p>
        </w:tc>
        <w:tc>
          <w:tcPr>
            <w:tcW w:w="2624" w:type="dxa"/>
          </w:tcPr>
          <w:p>
            <w:pPr/>
          </w:p>
        </w:tc>
        <w:tc>
          <w:tcPr>
            <w:tcW w:w="1461" w:type="dxa"/>
            <w:tcBorders>
              <w:top w:val="single" w:sz="5" w:space="0" w:color="000000"/>
              <w:bottom w:val="single" w:sz="5" w:space="0" w:color="000000"/>
            </w:tcBorders>
          </w:tcPr>
          <w:p>
            <w:pPr>
              <w:pStyle w:val="TableParagraph"/>
              <w:spacing w:before="109"/>
              <w:ind w:right="246"/>
              <w:jc w:val="right"/>
              <w:rPr>
                <w:b/>
                <w:sz w:val="18"/>
              </w:rPr>
            </w:pPr>
            <w:r>
              <w:rPr>
                <w:b/>
                <w:sz w:val="18"/>
              </w:rPr>
              <w:t>257,756</w:t>
            </w:r>
          </w:p>
        </w:tc>
        <w:tc>
          <w:tcPr>
            <w:tcW w:w="1148" w:type="dxa"/>
            <w:tcBorders>
              <w:top w:val="single" w:sz="5" w:space="0" w:color="000000"/>
              <w:bottom w:val="single" w:sz="5" w:space="0" w:color="000000"/>
            </w:tcBorders>
          </w:tcPr>
          <w:p>
            <w:pPr>
              <w:pStyle w:val="TableParagraph"/>
              <w:spacing w:before="114"/>
              <w:ind w:right="96"/>
              <w:jc w:val="right"/>
              <w:rPr>
                <w:sz w:val="18"/>
              </w:rPr>
            </w:pPr>
            <w:r>
              <w:rPr>
                <w:sz w:val="18"/>
              </w:rPr>
              <w:t>197,568</w:t>
            </w:r>
          </w:p>
        </w:tc>
      </w:tr>
      <w:tr>
        <w:trPr>
          <w:trHeight w:val="734" w:hRule="exact"/>
        </w:trPr>
        <w:tc>
          <w:tcPr>
            <w:tcW w:w="4870" w:type="dxa"/>
          </w:tcPr>
          <w:p>
            <w:pPr>
              <w:pStyle w:val="TableParagraph"/>
              <w:spacing w:before="1"/>
              <w:rPr>
                <w:b/>
                <w:sz w:val="22"/>
              </w:rPr>
            </w:pPr>
          </w:p>
          <w:p>
            <w:pPr>
              <w:pStyle w:val="TableParagraph"/>
              <w:ind w:left="200"/>
              <w:rPr>
                <w:b/>
                <w:sz w:val="18"/>
              </w:rPr>
            </w:pPr>
            <w:r>
              <w:rPr>
                <w:b/>
                <w:sz w:val="18"/>
              </w:rPr>
              <w:t>Non-current liabilities</w:t>
            </w:r>
          </w:p>
          <w:p>
            <w:pPr>
              <w:pStyle w:val="TableParagraph"/>
              <w:spacing w:before="33"/>
              <w:ind w:left="200"/>
              <w:rPr>
                <w:sz w:val="18"/>
              </w:rPr>
            </w:pPr>
            <w:r>
              <w:rPr>
                <w:sz w:val="18"/>
              </w:rPr>
              <w:t>Related party payables</w:t>
            </w:r>
          </w:p>
        </w:tc>
        <w:tc>
          <w:tcPr>
            <w:tcW w:w="2624" w:type="dxa"/>
          </w:tcPr>
          <w:p>
            <w:pPr>
              <w:pStyle w:val="TableParagraph"/>
              <w:rPr>
                <w:b/>
                <w:sz w:val="18"/>
              </w:rPr>
            </w:pPr>
          </w:p>
          <w:p>
            <w:pPr>
              <w:pStyle w:val="TableParagraph"/>
              <w:spacing w:before="2"/>
              <w:rPr>
                <w:b/>
                <w:sz w:val="25"/>
              </w:rPr>
            </w:pPr>
          </w:p>
          <w:p>
            <w:pPr>
              <w:pStyle w:val="TableParagraph"/>
              <w:ind w:right="217"/>
              <w:jc w:val="right"/>
              <w:rPr>
                <w:sz w:val="18"/>
              </w:rPr>
            </w:pPr>
            <w:r>
              <w:rPr>
                <w:w w:val="99"/>
                <w:sz w:val="18"/>
              </w:rPr>
              <w:t>9</w:t>
            </w:r>
          </w:p>
        </w:tc>
        <w:tc>
          <w:tcPr>
            <w:tcW w:w="1461" w:type="dxa"/>
            <w:tcBorders>
              <w:top w:val="single" w:sz="5" w:space="0" w:color="000000"/>
            </w:tcBorders>
          </w:tcPr>
          <w:p>
            <w:pPr>
              <w:pStyle w:val="TableParagraph"/>
              <w:rPr>
                <w:b/>
                <w:sz w:val="18"/>
              </w:rPr>
            </w:pPr>
          </w:p>
          <w:p>
            <w:pPr>
              <w:pStyle w:val="TableParagraph"/>
              <w:spacing w:before="3"/>
              <w:rPr>
                <w:b/>
                <w:sz w:val="24"/>
              </w:rPr>
            </w:pPr>
          </w:p>
          <w:p>
            <w:pPr>
              <w:pStyle w:val="TableParagraph"/>
              <w:ind w:left="410"/>
              <w:rPr>
                <w:b/>
                <w:sz w:val="18"/>
              </w:rPr>
            </w:pPr>
            <w:r>
              <w:rPr>
                <w:b/>
                <w:sz w:val="18"/>
              </w:rPr>
              <w:t>3,780,410</w:t>
            </w:r>
          </w:p>
        </w:tc>
        <w:tc>
          <w:tcPr>
            <w:tcW w:w="1148" w:type="dxa"/>
            <w:tcBorders>
              <w:top w:val="single" w:sz="5" w:space="0" w:color="000000"/>
            </w:tcBorders>
          </w:tcPr>
          <w:p>
            <w:pPr>
              <w:pStyle w:val="TableParagraph"/>
              <w:rPr>
                <w:b/>
                <w:sz w:val="18"/>
              </w:rPr>
            </w:pPr>
          </w:p>
          <w:p>
            <w:pPr>
              <w:pStyle w:val="TableParagraph"/>
              <w:spacing w:before="8"/>
              <w:rPr>
                <w:b/>
                <w:sz w:val="24"/>
              </w:rPr>
            </w:pPr>
          </w:p>
          <w:p>
            <w:pPr>
              <w:pStyle w:val="TableParagraph"/>
              <w:ind w:right="96"/>
              <w:jc w:val="right"/>
              <w:rPr>
                <w:sz w:val="18"/>
              </w:rPr>
            </w:pPr>
            <w:r>
              <w:rPr>
                <w:sz w:val="18"/>
              </w:rPr>
              <w:t>3,551,469</w:t>
            </w:r>
          </w:p>
        </w:tc>
      </w:tr>
      <w:tr>
        <w:trPr>
          <w:trHeight w:val="258" w:hRule="exact"/>
        </w:trPr>
        <w:tc>
          <w:tcPr>
            <w:tcW w:w="4870" w:type="dxa"/>
          </w:tcPr>
          <w:p>
            <w:pPr>
              <w:pStyle w:val="TableParagraph"/>
              <w:spacing w:before="13"/>
              <w:ind w:left="200"/>
              <w:rPr>
                <w:sz w:val="18"/>
              </w:rPr>
            </w:pPr>
            <w:r>
              <w:rPr>
                <w:sz w:val="18"/>
              </w:rPr>
              <w:t>Borrowings</w:t>
            </w:r>
          </w:p>
        </w:tc>
        <w:tc>
          <w:tcPr>
            <w:tcW w:w="2624" w:type="dxa"/>
          </w:tcPr>
          <w:p>
            <w:pPr>
              <w:pStyle w:val="TableParagraph"/>
              <w:spacing w:before="15"/>
              <w:ind w:right="165"/>
              <w:jc w:val="right"/>
              <w:rPr>
                <w:sz w:val="18"/>
              </w:rPr>
            </w:pPr>
            <w:r>
              <w:rPr>
                <w:w w:val="95"/>
                <w:sz w:val="18"/>
              </w:rPr>
              <w:t>10</w:t>
            </w:r>
          </w:p>
        </w:tc>
        <w:tc>
          <w:tcPr>
            <w:tcW w:w="1461" w:type="dxa"/>
          </w:tcPr>
          <w:p>
            <w:pPr>
              <w:pStyle w:val="TableParagraph"/>
              <w:spacing w:before="10"/>
              <w:ind w:left="410"/>
              <w:rPr>
                <w:b/>
                <w:sz w:val="18"/>
              </w:rPr>
            </w:pPr>
            <w:r>
              <w:rPr>
                <w:b/>
                <w:sz w:val="18"/>
              </w:rPr>
              <w:t>1,539,874</w:t>
            </w:r>
          </w:p>
        </w:tc>
        <w:tc>
          <w:tcPr>
            <w:tcW w:w="1148" w:type="dxa"/>
          </w:tcPr>
          <w:p>
            <w:pPr>
              <w:pStyle w:val="TableParagraph"/>
              <w:spacing w:before="15"/>
              <w:ind w:right="96"/>
              <w:jc w:val="right"/>
              <w:rPr>
                <w:sz w:val="18"/>
              </w:rPr>
            </w:pPr>
            <w:r>
              <w:rPr>
                <w:sz w:val="18"/>
              </w:rPr>
              <w:t>1,539,874</w:t>
            </w:r>
          </w:p>
        </w:tc>
      </w:tr>
      <w:tr>
        <w:trPr>
          <w:trHeight w:val="280" w:hRule="exact"/>
        </w:trPr>
        <w:tc>
          <w:tcPr>
            <w:tcW w:w="4870" w:type="dxa"/>
          </w:tcPr>
          <w:p>
            <w:pPr>
              <w:pStyle w:val="TableParagraph"/>
              <w:spacing w:before="19"/>
              <w:ind w:left="200"/>
              <w:rPr>
                <w:sz w:val="18"/>
              </w:rPr>
            </w:pPr>
            <w:r>
              <w:rPr>
                <w:sz w:val="18"/>
              </w:rPr>
              <w:t>Provisions</w:t>
            </w:r>
          </w:p>
        </w:tc>
        <w:tc>
          <w:tcPr>
            <w:tcW w:w="2624" w:type="dxa"/>
          </w:tcPr>
          <w:p>
            <w:pPr>
              <w:pStyle w:val="TableParagraph"/>
              <w:spacing w:before="21"/>
              <w:ind w:right="165"/>
              <w:jc w:val="right"/>
              <w:rPr>
                <w:sz w:val="18"/>
              </w:rPr>
            </w:pPr>
            <w:r>
              <w:rPr>
                <w:w w:val="95"/>
                <w:sz w:val="18"/>
              </w:rPr>
              <w:t>11</w:t>
            </w:r>
          </w:p>
        </w:tc>
        <w:tc>
          <w:tcPr>
            <w:tcW w:w="1461" w:type="dxa"/>
            <w:tcBorders>
              <w:bottom w:val="single" w:sz="5" w:space="0" w:color="000000"/>
            </w:tcBorders>
          </w:tcPr>
          <w:p>
            <w:pPr>
              <w:pStyle w:val="TableParagraph"/>
              <w:spacing w:before="16"/>
              <w:ind w:right="247"/>
              <w:jc w:val="right"/>
              <w:rPr>
                <w:b/>
                <w:sz w:val="18"/>
              </w:rPr>
            </w:pPr>
            <w:r>
              <w:rPr>
                <w:b/>
                <w:sz w:val="18"/>
              </w:rPr>
              <w:t>31,095</w:t>
            </w:r>
          </w:p>
        </w:tc>
        <w:tc>
          <w:tcPr>
            <w:tcW w:w="1148" w:type="dxa"/>
            <w:tcBorders>
              <w:bottom w:val="single" w:sz="5" w:space="0" w:color="000000"/>
            </w:tcBorders>
          </w:tcPr>
          <w:p>
            <w:pPr>
              <w:pStyle w:val="TableParagraph"/>
              <w:spacing w:before="21"/>
              <w:ind w:right="99"/>
              <w:jc w:val="right"/>
              <w:rPr>
                <w:sz w:val="18"/>
              </w:rPr>
            </w:pPr>
            <w:r>
              <w:rPr>
                <w:sz w:val="18"/>
              </w:rPr>
              <w:t>24,142</w:t>
            </w:r>
          </w:p>
        </w:tc>
      </w:tr>
      <w:tr>
        <w:trPr>
          <w:trHeight w:val="338" w:hRule="exact"/>
        </w:trPr>
        <w:tc>
          <w:tcPr>
            <w:tcW w:w="4870" w:type="dxa"/>
          </w:tcPr>
          <w:p>
            <w:pPr>
              <w:pStyle w:val="TableParagraph"/>
              <w:spacing w:before="31"/>
              <w:ind w:left="200"/>
              <w:rPr>
                <w:sz w:val="18"/>
              </w:rPr>
            </w:pPr>
            <w:r>
              <w:rPr>
                <w:sz w:val="18"/>
              </w:rPr>
              <w:t>Total non-current liabilities</w:t>
            </w:r>
          </w:p>
        </w:tc>
        <w:tc>
          <w:tcPr>
            <w:tcW w:w="2624" w:type="dxa"/>
          </w:tcPr>
          <w:p>
            <w:pPr/>
          </w:p>
        </w:tc>
        <w:tc>
          <w:tcPr>
            <w:tcW w:w="1461" w:type="dxa"/>
            <w:tcBorders>
              <w:top w:val="single" w:sz="5" w:space="0" w:color="000000"/>
              <w:bottom w:val="single" w:sz="5" w:space="0" w:color="000000"/>
            </w:tcBorders>
          </w:tcPr>
          <w:p>
            <w:pPr>
              <w:pStyle w:val="TableParagraph"/>
              <w:spacing w:before="109"/>
              <w:ind w:left="410"/>
              <w:rPr>
                <w:b/>
                <w:sz w:val="18"/>
              </w:rPr>
            </w:pPr>
            <w:r>
              <w:rPr>
                <w:b/>
                <w:sz w:val="18"/>
              </w:rPr>
              <w:t>5,351,379</w:t>
            </w:r>
          </w:p>
        </w:tc>
        <w:tc>
          <w:tcPr>
            <w:tcW w:w="1148" w:type="dxa"/>
            <w:tcBorders>
              <w:top w:val="single" w:sz="5" w:space="0" w:color="000000"/>
              <w:bottom w:val="single" w:sz="5" w:space="0" w:color="000000"/>
            </w:tcBorders>
          </w:tcPr>
          <w:p>
            <w:pPr>
              <w:pStyle w:val="TableParagraph"/>
              <w:spacing w:before="114"/>
              <w:ind w:right="96"/>
              <w:jc w:val="right"/>
              <w:rPr>
                <w:sz w:val="18"/>
              </w:rPr>
            </w:pPr>
            <w:r>
              <w:rPr>
                <w:sz w:val="18"/>
              </w:rPr>
              <w:t>5,115,485</w:t>
            </w:r>
          </w:p>
        </w:tc>
      </w:tr>
      <w:tr>
        <w:trPr>
          <w:trHeight w:val="509" w:hRule="exact"/>
        </w:trPr>
        <w:tc>
          <w:tcPr>
            <w:tcW w:w="4870" w:type="dxa"/>
          </w:tcPr>
          <w:p>
            <w:pPr>
              <w:pStyle w:val="TableParagraph"/>
              <w:spacing w:before="6"/>
              <w:rPr>
                <w:b/>
                <w:sz w:val="22"/>
              </w:rPr>
            </w:pPr>
          </w:p>
          <w:p>
            <w:pPr>
              <w:pStyle w:val="TableParagraph"/>
              <w:ind w:left="200"/>
              <w:rPr>
                <w:sz w:val="18"/>
              </w:rPr>
            </w:pPr>
            <w:r>
              <w:rPr>
                <w:sz w:val="18"/>
              </w:rPr>
              <w:t>TOTAL LIABILITIES</w:t>
            </w:r>
          </w:p>
        </w:tc>
        <w:tc>
          <w:tcPr>
            <w:tcW w:w="2624" w:type="dxa"/>
          </w:tcPr>
          <w:p>
            <w:pPr/>
          </w:p>
        </w:tc>
        <w:tc>
          <w:tcPr>
            <w:tcW w:w="1461" w:type="dxa"/>
            <w:tcBorders>
              <w:top w:val="single" w:sz="5" w:space="0" w:color="000000"/>
              <w:bottom w:val="single" w:sz="5" w:space="0" w:color="000000"/>
            </w:tcBorders>
          </w:tcPr>
          <w:p>
            <w:pPr>
              <w:pStyle w:val="TableParagraph"/>
              <w:spacing w:before="1"/>
              <w:rPr>
                <w:b/>
                <w:sz w:val="24"/>
              </w:rPr>
            </w:pPr>
          </w:p>
          <w:p>
            <w:pPr>
              <w:pStyle w:val="TableParagraph"/>
              <w:ind w:left="410"/>
              <w:rPr>
                <w:b/>
                <w:sz w:val="18"/>
              </w:rPr>
            </w:pPr>
            <w:r>
              <w:rPr>
                <w:b/>
                <w:sz w:val="18"/>
              </w:rPr>
              <w:t>5,609,135</w:t>
            </w:r>
          </w:p>
        </w:tc>
        <w:tc>
          <w:tcPr>
            <w:tcW w:w="1148" w:type="dxa"/>
            <w:tcBorders>
              <w:top w:val="single" w:sz="5" w:space="0" w:color="000000"/>
              <w:bottom w:val="single" w:sz="5" w:space="0" w:color="000000"/>
            </w:tcBorders>
          </w:tcPr>
          <w:p>
            <w:pPr>
              <w:pStyle w:val="TableParagraph"/>
              <w:spacing w:before="6"/>
              <w:rPr>
                <w:b/>
                <w:sz w:val="24"/>
              </w:rPr>
            </w:pPr>
          </w:p>
          <w:p>
            <w:pPr>
              <w:pStyle w:val="TableParagraph"/>
              <w:ind w:right="96"/>
              <w:jc w:val="right"/>
              <w:rPr>
                <w:sz w:val="18"/>
              </w:rPr>
            </w:pPr>
            <w:r>
              <w:rPr>
                <w:sz w:val="18"/>
              </w:rPr>
              <w:t>5,313,053</w:t>
            </w:r>
          </w:p>
        </w:tc>
      </w:tr>
      <w:tr>
        <w:trPr>
          <w:trHeight w:val="540" w:hRule="exact"/>
        </w:trPr>
        <w:tc>
          <w:tcPr>
            <w:tcW w:w="4870" w:type="dxa"/>
          </w:tcPr>
          <w:p>
            <w:pPr>
              <w:pStyle w:val="TableParagraph"/>
              <w:spacing w:before="6"/>
              <w:rPr>
                <w:b/>
                <w:sz w:val="22"/>
              </w:rPr>
            </w:pPr>
          </w:p>
          <w:p>
            <w:pPr>
              <w:pStyle w:val="TableParagraph"/>
              <w:ind w:left="200"/>
              <w:rPr>
                <w:sz w:val="18"/>
              </w:rPr>
            </w:pPr>
            <w:r>
              <w:rPr>
                <w:sz w:val="18"/>
              </w:rPr>
              <w:t>Net assets</w:t>
            </w:r>
          </w:p>
        </w:tc>
        <w:tc>
          <w:tcPr>
            <w:tcW w:w="2624" w:type="dxa"/>
          </w:tcPr>
          <w:p>
            <w:pPr/>
          </w:p>
        </w:tc>
        <w:tc>
          <w:tcPr>
            <w:tcW w:w="1461" w:type="dxa"/>
            <w:tcBorders>
              <w:top w:val="single" w:sz="5" w:space="0" w:color="000000"/>
              <w:bottom w:val="single" w:sz="5" w:space="0" w:color="000000"/>
            </w:tcBorders>
          </w:tcPr>
          <w:p>
            <w:pPr>
              <w:pStyle w:val="TableParagraph"/>
              <w:spacing w:before="1"/>
              <w:rPr>
                <w:b/>
                <w:sz w:val="24"/>
              </w:rPr>
            </w:pPr>
          </w:p>
          <w:p>
            <w:pPr>
              <w:pStyle w:val="TableParagraph"/>
              <w:ind w:right="183"/>
              <w:jc w:val="right"/>
              <w:rPr>
                <w:b/>
                <w:sz w:val="18"/>
              </w:rPr>
            </w:pPr>
            <w:r>
              <w:rPr>
                <w:b/>
                <w:sz w:val="18"/>
              </w:rPr>
              <w:t>(4,197,200)</w:t>
            </w:r>
          </w:p>
        </w:tc>
        <w:tc>
          <w:tcPr>
            <w:tcW w:w="1148" w:type="dxa"/>
            <w:tcBorders>
              <w:top w:val="single" w:sz="5" w:space="0" w:color="000000"/>
              <w:bottom w:val="single" w:sz="4" w:space="0" w:color="000000"/>
            </w:tcBorders>
          </w:tcPr>
          <w:p>
            <w:pPr>
              <w:pStyle w:val="TableParagraph"/>
              <w:spacing w:before="6"/>
              <w:rPr>
                <w:b/>
                <w:sz w:val="24"/>
              </w:rPr>
            </w:pPr>
          </w:p>
          <w:p>
            <w:pPr>
              <w:pStyle w:val="TableParagraph"/>
              <w:ind w:right="35"/>
              <w:jc w:val="right"/>
              <w:rPr>
                <w:sz w:val="18"/>
              </w:rPr>
            </w:pPr>
            <w:r>
              <w:rPr>
                <w:sz w:val="18"/>
              </w:rPr>
              <w:t>(4,683,092)</w:t>
            </w:r>
          </w:p>
        </w:tc>
      </w:tr>
      <w:tr>
        <w:trPr>
          <w:trHeight w:val="898" w:hRule="exact"/>
        </w:trPr>
        <w:tc>
          <w:tcPr>
            <w:tcW w:w="4870" w:type="dxa"/>
          </w:tcPr>
          <w:p>
            <w:pPr>
              <w:pStyle w:val="TableParagraph"/>
              <w:rPr>
                <w:b/>
                <w:sz w:val="18"/>
              </w:rPr>
            </w:pPr>
          </w:p>
          <w:p>
            <w:pPr>
              <w:pStyle w:val="TableParagraph"/>
              <w:spacing w:before="5"/>
              <w:rPr>
                <w:b/>
                <w:sz w:val="17"/>
              </w:rPr>
            </w:pPr>
          </w:p>
          <w:p>
            <w:pPr>
              <w:pStyle w:val="TableParagraph"/>
              <w:spacing w:before="1"/>
              <w:ind w:left="200"/>
              <w:rPr>
                <w:b/>
                <w:sz w:val="18"/>
              </w:rPr>
            </w:pPr>
            <w:r>
              <w:rPr>
                <w:b/>
                <w:sz w:val="18"/>
              </w:rPr>
              <w:t>EQUITY</w:t>
            </w:r>
          </w:p>
          <w:p>
            <w:pPr>
              <w:pStyle w:val="TableParagraph"/>
              <w:spacing w:before="30"/>
              <w:ind w:left="200"/>
              <w:rPr>
                <w:sz w:val="18"/>
              </w:rPr>
            </w:pPr>
            <w:r>
              <w:rPr>
                <w:sz w:val="18"/>
              </w:rPr>
              <w:t>Retained earnings</w:t>
            </w:r>
          </w:p>
        </w:tc>
        <w:tc>
          <w:tcPr>
            <w:tcW w:w="2624" w:type="dxa"/>
          </w:tcPr>
          <w:p>
            <w:pPr>
              <w:pStyle w:val="TableParagraph"/>
              <w:rPr>
                <w:b/>
                <w:sz w:val="18"/>
              </w:rPr>
            </w:pPr>
          </w:p>
          <w:p>
            <w:pPr>
              <w:pStyle w:val="TableParagraph"/>
              <w:rPr>
                <w:b/>
                <w:sz w:val="18"/>
              </w:rPr>
            </w:pPr>
          </w:p>
          <w:p>
            <w:pPr>
              <w:pStyle w:val="TableParagraph"/>
              <w:spacing w:before="4"/>
              <w:rPr>
                <w:b/>
                <w:sz w:val="20"/>
              </w:rPr>
            </w:pPr>
          </w:p>
          <w:p>
            <w:pPr>
              <w:pStyle w:val="TableParagraph"/>
              <w:ind w:right="167"/>
              <w:jc w:val="right"/>
              <w:rPr>
                <w:sz w:val="18"/>
              </w:rPr>
            </w:pPr>
            <w:r>
              <w:rPr>
                <w:w w:val="95"/>
                <w:sz w:val="18"/>
              </w:rPr>
              <w:t>12</w:t>
            </w:r>
          </w:p>
        </w:tc>
        <w:tc>
          <w:tcPr>
            <w:tcW w:w="1461" w:type="dxa"/>
            <w:tcBorders>
              <w:top w:val="single" w:sz="5" w:space="0" w:color="000000"/>
              <w:bottom w:val="single" w:sz="5" w:space="0" w:color="000000"/>
            </w:tcBorders>
          </w:tcPr>
          <w:p>
            <w:pPr>
              <w:pStyle w:val="TableParagraph"/>
              <w:rPr>
                <w:b/>
                <w:sz w:val="18"/>
              </w:rPr>
            </w:pPr>
          </w:p>
          <w:p>
            <w:pPr>
              <w:pStyle w:val="TableParagraph"/>
              <w:rPr>
                <w:b/>
                <w:sz w:val="18"/>
              </w:rPr>
            </w:pPr>
          </w:p>
          <w:p>
            <w:pPr>
              <w:pStyle w:val="TableParagraph"/>
              <w:spacing w:before="10"/>
              <w:rPr>
                <w:b/>
                <w:sz w:val="20"/>
              </w:rPr>
            </w:pPr>
          </w:p>
          <w:p>
            <w:pPr>
              <w:pStyle w:val="TableParagraph"/>
              <w:ind w:right="183"/>
              <w:jc w:val="right"/>
              <w:rPr>
                <w:b/>
                <w:sz w:val="18"/>
              </w:rPr>
            </w:pPr>
            <w:r>
              <w:rPr>
                <w:b/>
                <w:sz w:val="18"/>
              </w:rPr>
              <w:t>(4,197,200)</w:t>
            </w:r>
          </w:p>
        </w:tc>
        <w:tc>
          <w:tcPr>
            <w:tcW w:w="1148" w:type="dxa"/>
            <w:tcBorders>
              <w:top w:val="single" w:sz="4" w:space="0" w:color="000000"/>
              <w:bottom w:val="single" w:sz="5" w:space="0" w:color="000000"/>
            </w:tcBorders>
          </w:tcPr>
          <w:p>
            <w:pPr>
              <w:pStyle w:val="TableParagraph"/>
              <w:rPr>
                <w:b/>
                <w:sz w:val="18"/>
              </w:rPr>
            </w:pPr>
          </w:p>
          <w:p>
            <w:pPr>
              <w:pStyle w:val="TableParagraph"/>
              <w:rPr>
                <w:b/>
                <w:sz w:val="18"/>
              </w:rPr>
            </w:pPr>
          </w:p>
          <w:p>
            <w:pPr>
              <w:pStyle w:val="TableParagraph"/>
              <w:spacing w:before="4"/>
              <w:rPr>
                <w:b/>
                <w:sz w:val="21"/>
              </w:rPr>
            </w:pPr>
          </w:p>
          <w:p>
            <w:pPr>
              <w:pStyle w:val="TableParagraph"/>
              <w:spacing w:before="1"/>
              <w:ind w:right="35"/>
              <w:jc w:val="right"/>
              <w:rPr>
                <w:sz w:val="18"/>
              </w:rPr>
            </w:pPr>
            <w:r>
              <w:rPr>
                <w:sz w:val="18"/>
              </w:rPr>
              <w:t>(4,683,092)</w:t>
            </w:r>
          </w:p>
        </w:tc>
      </w:tr>
      <w:tr>
        <w:trPr>
          <w:trHeight w:val="367" w:hRule="exact"/>
        </w:trPr>
        <w:tc>
          <w:tcPr>
            <w:tcW w:w="4870" w:type="dxa"/>
          </w:tcPr>
          <w:p>
            <w:pPr>
              <w:pStyle w:val="TableParagraph"/>
              <w:spacing w:before="31"/>
              <w:ind w:left="200"/>
              <w:rPr>
                <w:sz w:val="18"/>
              </w:rPr>
            </w:pPr>
            <w:r>
              <w:rPr>
                <w:sz w:val="18"/>
              </w:rPr>
              <w:t>TOTAL EQUITY</w:t>
            </w:r>
          </w:p>
        </w:tc>
        <w:tc>
          <w:tcPr>
            <w:tcW w:w="2624" w:type="dxa"/>
          </w:tcPr>
          <w:p>
            <w:pPr/>
          </w:p>
        </w:tc>
        <w:tc>
          <w:tcPr>
            <w:tcW w:w="1461" w:type="dxa"/>
            <w:tcBorders>
              <w:top w:val="single" w:sz="5" w:space="0" w:color="000000"/>
              <w:bottom w:val="single" w:sz="5" w:space="0" w:color="000000"/>
            </w:tcBorders>
          </w:tcPr>
          <w:p>
            <w:pPr>
              <w:pStyle w:val="TableParagraph"/>
              <w:spacing w:before="107"/>
              <w:ind w:right="183"/>
              <w:jc w:val="right"/>
              <w:rPr>
                <w:b/>
                <w:sz w:val="18"/>
              </w:rPr>
            </w:pPr>
            <w:r>
              <w:rPr>
                <w:b/>
                <w:sz w:val="18"/>
              </w:rPr>
              <w:t>(4,197,200)</w:t>
            </w:r>
          </w:p>
        </w:tc>
        <w:tc>
          <w:tcPr>
            <w:tcW w:w="1148" w:type="dxa"/>
            <w:tcBorders>
              <w:top w:val="single" w:sz="5" w:space="0" w:color="000000"/>
              <w:bottom w:val="single" w:sz="4" w:space="0" w:color="000000"/>
            </w:tcBorders>
          </w:tcPr>
          <w:p>
            <w:pPr>
              <w:pStyle w:val="TableParagraph"/>
              <w:spacing w:before="112"/>
              <w:ind w:right="35"/>
              <w:jc w:val="right"/>
              <w:rPr>
                <w:sz w:val="18"/>
              </w:rPr>
            </w:pPr>
            <w:r>
              <w:rPr>
                <w:sz w:val="18"/>
              </w:rPr>
              <w:t>(4,683,092)</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7"/>
        </w:rPr>
      </w:pPr>
    </w:p>
    <w:p>
      <w:pPr>
        <w:pStyle w:val="BodyText"/>
        <w:spacing w:before="77"/>
        <w:ind w:left="2671"/>
      </w:pPr>
      <w:r>
        <w:rPr/>
        <w:t>The accompanying notes form part of these financial statements.</w:t>
      </w:r>
    </w:p>
    <w:p>
      <w:pPr>
        <w:spacing w:after="0"/>
        <w:sectPr>
          <w:type w:val="continuous"/>
          <w:pgSz w:w="11930" w:h="16850"/>
          <w:pgMar w:top="0" w:bottom="280" w:left="720" w:right="880"/>
        </w:sectPr>
      </w:pPr>
    </w:p>
    <w:p>
      <w:pPr>
        <w:pStyle w:val="BodyText"/>
        <w:spacing w:before="5"/>
        <w:rPr>
          <w:sz w:val="22"/>
        </w:rPr>
      </w:pPr>
    </w:p>
    <w:p>
      <w:pPr>
        <w:pStyle w:val="Heading3"/>
      </w:pPr>
      <w:r>
        <w:rPr/>
        <w:t>Statement of Changes in Equity</w:t>
      </w:r>
    </w:p>
    <w:p>
      <w:pPr>
        <w:spacing w:before="59"/>
        <w:ind w:left="108" w:right="125" w:firstLine="0"/>
        <w:jc w:val="left"/>
        <w:rPr>
          <w:b/>
          <w:sz w:val="28"/>
        </w:rPr>
      </w:pPr>
      <w:r>
        <w:rPr>
          <w:b/>
          <w:sz w:val="28"/>
        </w:rPr>
        <w:t>For the Year Ended 31 December</w:t>
      </w:r>
      <w:r>
        <w:rPr>
          <w:b/>
          <w:spacing w:val="-52"/>
          <w:sz w:val="28"/>
        </w:rPr>
        <w:t> </w:t>
      </w:r>
      <w:r>
        <w:rPr>
          <w:b/>
          <w:sz w:val="28"/>
        </w:rPr>
        <w:t>2012</w:t>
      </w:r>
    </w:p>
    <w:p>
      <w:pPr>
        <w:pStyle w:val="BodyText"/>
        <w:spacing w:before="6"/>
        <w:rPr>
          <w:b/>
          <w:sz w:val="28"/>
        </w:rPr>
      </w:pPr>
    </w:p>
    <w:p>
      <w:pPr>
        <w:spacing w:after="0"/>
        <w:rPr>
          <w:sz w:val="28"/>
        </w:rPr>
        <w:sectPr>
          <w:pgSz w:w="11930" w:h="16850"/>
          <w:pgMar w:header="1035" w:footer="507" w:top="1460" w:bottom="700" w:left="900" w:right="880"/>
        </w:sectPr>
      </w:pPr>
    </w:p>
    <w:p>
      <w:pPr>
        <w:pStyle w:val="Heading9"/>
        <w:spacing w:before="77"/>
        <w:ind w:left="7824" w:firstLine="4"/>
        <w:jc w:val="right"/>
      </w:pPr>
      <w:r>
        <w:rPr/>
        <w:t>Retained Earnings</w:t>
      </w:r>
    </w:p>
    <w:p>
      <w:pPr>
        <w:spacing w:before="74"/>
        <w:ind w:left="0" w:right="333" w:firstLine="0"/>
        <w:jc w:val="right"/>
        <w:rPr>
          <w:b/>
          <w:sz w:val="18"/>
        </w:rPr>
      </w:pPr>
      <w:r>
        <w:rPr>
          <w:b/>
          <w:w w:val="99"/>
          <w:sz w:val="18"/>
        </w:rPr>
        <w:t>$</w:t>
      </w:r>
    </w:p>
    <w:p>
      <w:pPr>
        <w:pStyle w:val="BodyText"/>
        <w:spacing w:before="7"/>
        <w:rPr>
          <w:b/>
          <w:sz w:val="24"/>
        </w:rPr>
      </w:pPr>
      <w:r>
        <w:rPr/>
        <w:br w:type="column"/>
      </w:r>
      <w:r>
        <w:rPr>
          <w:b/>
          <w:sz w:val="24"/>
        </w:rPr>
      </w:r>
    </w:p>
    <w:p>
      <w:pPr>
        <w:spacing w:before="1"/>
        <w:ind w:left="261" w:right="202" w:firstLine="0"/>
        <w:jc w:val="center"/>
        <w:rPr>
          <w:b/>
          <w:sz w:val="18"/>
        </w:rPr>
      </w:pPr>
      <w:r>
        <w:rPr>
          <w:b/>
          <w:sz w:val="18"/>
        </w:rPr>
        <w:t>Total equity</w:t>
      </w:r>
    </w:p>
    <w:p>
      <w:pPr>
        <w:spacing w:before="76"/>
        <w:ind w:left="57" w:right="0" w:firstLine="0"/>
        <w:jc w:val="center"/>
        <w:rPr>
          <w:b/>
          <w:sz w:val="18"/>
        </w:rPr>
      </w:pPr>
      <w:r>
        <w:rPr>
          <w:b/>
          <w:w w:val="99"/>
          <w:sz w:val="18"/>
        </w:rPr>
        <w:t>$</w:t>
      </w:r>
    </w:p>
    <w:p>
      <w:pPr>
        <w:spacing w:after="0"/>
        <w:jc w:val="center"/>
        <w:rPr>
          <w:sz w:val="18"/>
        </w:rPr>
        <w:sectPr>
          <w:type w:val="continuous"/>
          <w:pgSz w:w="11930" w:h="16850"/>
          <w:pgMar w:top="0" w:bottom="280" w:left="900" w:right="880"/>
          <w:cols w:num="2" w:equalWidth="0">
            <w:col w:w="8597" w:space="40"/>
            <w:col w:w="1513"/>
          </w:cols>
        </w:sectPr>
      </w:pPr>
    </w:p>
    <w:p>
      <w:pPr>
        <w:pStyle w:val="BodyText"/>
        <w:spacing w:before="5"/>
        <w:rPr>
          <w:b/>
          <w:sz w:val="2"/>
        </w:rPr>
      </w:pPr>
    </w:p>
    <w:p>
      <w:pPr>
        <w:pStyle w:val="BodyText"/>
        <w:spacing w:line="20" w:lineRule="exact"/>
        <w:ind w:left="7570"/>
        <w:rPr>
          <w:sz w:val="2"/>
        </w:rPr>
      </w:pPr>
      <w:r>
        <w:rPr>
          <w:sz w:val="2"/>
        </w:rPr>
        <w:pict>
          <v:group style="width:123.15pt;height:1pt;mso-position-horizontal-relative:char;mso-position-vertical-relative:line" coordorigin="0,0" coordsize="2463,20">
            <v:line style="position:absolute" from="8,6" to="1232,6" stroked="true" strokeweight=".6pt" strokecolor="#000000"/>
            <v:line style="position:absolute" from="8,12" to="2456,12" stroked="true" strokeweight=".72pt" strokecolor="#000000"/>
            <v:line style="position:absolute" from="1232,6" to="2456,6" stroked="true" strokeweight=".6pt" strokecolor="#000000"/>
            <v:line style="position:absolute" from="8,12" to="2456,12" stroked="true" strokeweight=".72pt" strokecolor="#000000"/>
            <v:line style="position:absolute" from="8,6" to="1232,6" stroked="true" strokeweight=".6pt" strokecolor="#000000"/>
            <v:line style="position:absolute" from="8,12" to="2456,12" stroked="true" strokeweight=".72pt" strokecolor="#000000"/>
            <v:line style="position:absolute" from="1232,6" to="2456,6" stroked="true" strokeweight=".6pt" strokecolor="#000000"/>
            <v:line style="position:absolute" from="1232,16" to="2456,16" stroked="true" strokeweight=".36pt" strokecolor="#000000"/>
          </v:group>
        </w:pict>
      </w:r>
      <w:r>
        <w:rPr>
          <w:sz w:val="2"/>
        </w:rPr>
      </w:r>
    </w:p>
    <w:p>
      <w:pPr>
        <w:tabs>
          <w:tab w:pos="7749" w:val="left" w:leader="none"/>
          <w:tab w:pos="8971" w:val="left" w:leader="none"/>
        </w:tabs>
        <w:spacing w:before="33"/>
        <w:ind w:left="33" w:right="0" w:firstLine="0"/>
        <w:jc w:val="center"/>
        <w:rPr>
          <w:b/>
          <w:sz w:val="18"/>
        </w:rPr>
      </w:pPr>
      <w:r>
        <w:rPr>
          <w:b/>
          <w:sz w:val="18"/>
        </w:rPr>
        <w:t>Balance at 1</w:t>
      </w:r>
      <w:r>
        <w:rPr>
          <w:b/>
          <w:spacing w:val="-7"/>
          <w:sz w:val="18"/>
        </w:rPr>
        <w:t> </w:t>
      </w:r>
      <w:r>
        <w:rPr>
          <w:b/>
          <w:sz w:val="18"/>
        </w:rPr>
        <w:t>January</w:t>
      </w:r>
      <w:r>
        <w:rPr>
          <w:b/>
          <w:spacing w:val="-10"/>
          <w:sz w:val="18"/>
        </w:rPr>
        <w:t> </w:t>
      </w:r>
      <w:r>
        <w:rPr>
          <w:b/>
          <w:sz w:val="18"/>
        </w:rPr>
        <w:t>2012</w:t>
        <w:tab/>
        <w:t>(4,683,092)</w:t>
        <w:tab/>
        <w:t>(4,683,092)</w:t>
      </w:r>
    </w:p>
    <w:p>
      <w:pPr>
        <w:pStyle w:val="BodyText"/>
        <w:spacing w:before="146"/>
        <w:ind w:left="136" w:right="125"/>
      </w:pPr>
      <w:r>
        <w:rPr/>
        <w:t>Comprehensive income for the year</w:t>
      </w:r>
    </w:p>
    <w:p>
      <w:pPr>
        <w:tabs>
          <w:tab w:pos="7887" w:val="left" w:leader="none"/>
          <w:tab w:pos="9107" w:val="left" w:leader="none"/>
        </w:tabs>
        <w:spacing w:before="23"/>
        <w:ind w:left="112" w:right="0" w:firstLine="0"/>
        <w:jc w:val="center"/>
        <w:rPr>
          <w:b/>
          <w:sz w:val="18"/>
        </w:rPr>
      </w:pPr>
      <w:r>
        <w:rPr>
          <w:sz w:val="18"/>
        </w:rPr>
        <w:t>Surplus / (deficit) for</w:t>
      </w:r>
      <w:r>
        <w:rPr>
          <w:spacing w:val="-7"/>
          <w:sz w:val="18"/>
        </w:rPr>
        <w:t> </w:t>
      </w:r>
      <w:r>
        <w:rPr>
          <w:sz w:val="18"/>
        </w:rPr>
        <w:t>the</w:t>
      </w:r>
      <w:r>
        <w:rPr>
          <w:spacing w:val="-1"/>
          <w:sz w:val="18"/>
        </w:rPr>
        <w:t> </w:t>
      </w:r>
      <w:r>
        <w:rPr>
          <w:sz w:val="18"/>
        </w:rPr>
        <w:t>year</w:t>
        <w:tab/>
      </w:r>
      <w:r>
        <w:rPr>
          <w:b/>
          <w:sz w:val="18"/>
        </w:rPr>
        <w:t>485,892</w:t>
        <w:tab/>
        <w:t>485,892</w:t>
      </w:r>
    </w:p>
    <w:p>
      <w:pPr>
        <w:pStyle w:val="BodyText"/>
        <w:tabs>
          <w:tab w:pos="8463" w:val="left" w:leader="none"/>
          <w:tab w:pos="9704" w:val="left" w:leader="none"/>
        </w:tabs>
        <w:spacing w:before="64"/>
        <w:ind w:left="109"/>
        <w:jc w:val="center"/>
        <w:rPr>
          <w:b/>
        </w:rPr>
      </w:pPr>
      <w:r>
        <w:rPr/>
        <w:pict>
          <v:group style="position:absolute;margin-left:423.524994pt;margin-top:14.79888pt;width:121.75pt;height:1pt;mso-position-horizontal-relative:page;mso-position-vertical-relative:paragraph;z-index:4048;mso-wrap-distance-left:0;mso-wrap-distance-right:0" coordorigin="8470,296" coordsize="2435,20">
            <v:line style="position:absolute" from="8478,302" to="9702,302" stroked="true" strokeweight=".6pt" strokecolor="#000000"/>
            <v:line style="position:absolute" from="8478,308" to="10898,308" stroked="true" strokeweight=".72pt" strokecolor="#000000"/>
            <v:line style="position:absolute" from="9702,302" to="10898,302" stroked="true" strokeweight=".6pt" strokecolor="#000000"/>
            <v:line style="position:absolute" from="8478,308" to="10898,308" stroked="true" strokeweight=".72pt" strokecolor="#000000"/>
            <v:line style="position:absolute" from="8478,302" to="9702,302" stroked="true" strokeweight=".6pt" strokecolor="#000000"/>
            <v:line style="position:absolute" from="8478,308" to="10898,308" stroked="true" strokeweight=".72pt" strokecolor="#000000"/>
            <v:line style="position:absolute" from="9702,302" to="10898,302" stroked="true" strokeweight=".6pt" strokecolor="#000000"/>
            <v:line style="position:absolute" from="9702,312" to="10898,312" stroked="true" strokeweight=".36pt" strokecolor="#000000"/>
            <w10:wrap type="topAndBottom"/>
          </v:group>
        </w:pict>
      </w:r>
      <w:r>
        <w:rPr/>
        <w:pict>
          <v:group style="position:absolute;margin-left:423.524994pt;margin-top:31.698879pt;width:123.15pt;height:1pt;mso-position-horizontal-relative:page;mso-position-vertical-relative:paragraph;z-index:-1310056" coordorigin="8470,634" coordsize="2463,20">
            <v:line style="position:absolute" from="8478,640" to="9702,640" stroked="true" strokeweight=".6pt" strokecolor="#000000"/>
            <v:line style="position:absolute" from="8478,646" to="10926,646" stroked="true" strokeweight=".72pt" strokecolor="#000000"/>
            <v:line style="position:absolute" from="9702,640" to="10926,640" stroked="true" strokeweight=".6pt" strokecolor="#000000"/>
            <v:line style="position:absolute" from="9702,650" to="10926,650" stroked="true" strokeweight=".36pt" strokecolor="#000000"/>
            <w10:wrap type="none"/>
          </v:group>
        </w:pict>
      </w:r>
      <w:r>
        <w:rPr/>
        <w:pict>
          <v:group style="position:absolute;margin-left:423.524994pt;margin-top:48.598881pt;width:123.15pt;height:1pt;mso-position-horizontal-relative:page;mso-position-vertical-relative:paragraph;z-index:-1310032" coordorigin="8470,972" coordsize="2463,20">
            <v:line style="position:absolute" from="8478,978" to="9702,978" stroked="true" strokeweight=".6pt" strokecolor="#000000"/>
            <v:line style="position:absolute" from="8478,984" to="10926,984" stroked="true" strokeweight=".72pt" strokecolor="#000000"/>
            <v:line style="position:absolute" from="9702,978" to="10926,978" stroked="true" strokeweight=".6pt" strokecolor="#000000"/>
            <v:line style="position:absolute" from="9702,988" to="10926,988" stroked="true" strokeweight=".36pt" strokecolor="#000000"/>
            <w10:wrap type="none"/>
          </v:group>
        </w:pict>
      </w:r>
      <w:r>
        <w:rPr/>
        <w:t>Total other</w:t>
      </w:r>
      <w:r>
        <w:rPr>
          <w:spacing w:val="-6"/>
        </w:rPr>
        <w:t> </w:t>
      </w:r>
      <w:r>
        <w:rPr/>
        <w:t>comprehensive</w:t>
      </w:r>
      <w:r>
        <w:rPr>
          <w:spacing w:val="-2"/>
        </w:rPr>
        <w:t> </w:t>
      </w:r>
      <w:r>
        <w:rPr/>
        <w:t>income</w:t>
        <w:tab/>
      </w:r>
      <w:r>
        <w:rPr>
          <w:b/>
        </w:rPr>
        <w:t>-</w:t>
        <w:tab/>
        <w:t>-</w:t>
      </w:r>
    </w:p>
    <w:p>
      <w:pPr>
        <w:tabs>
          <w:tab w:pos="7840" w:val="left" w:leader="none"/>
          <w:tab w:pos="8007" w:val="left" w:leader="none"/>
          <w:tab w:pos="9059" w:val="left" w:leader="none"/>
          <w:tab w:pos="9229" w:val="left" w:leader="none"/>
        </w:tabs>
        <w:spacing w:line="400" w:lineRule="auto" w:before="79"/>
        <w:ind w:left="136" w:right="154" w:hanging="52"/>
        <w:jc w:val="center"/>
        <w:rPr>
          <w:b/>
          <w:sz w:val="18"/>
        </w:rPr>
      </w:pPr>
      <w:r>
        <w:rPr>
          <w:sz w:val="18"/>
        </w:rPr>
        <w:t>Total comprehensive income for</w:t>
      </w:r>
      <w:r>
        <w:rPr>
          <w:spacing w:val="-5"/>
          <w:sz w:val="18"/>
        </w:rPr>
        <w:t> </w:t>
      </w:r>
      <w:r>
        <w:rPr>
          <w:sz w:val="18"/>
        </w:rPr>
        <w:t>the</w:t>
      </w:r>
      <w:r>
        <w:rPr>
          <w:spacing w:val="-1"/>
          <w:sz w:val="18"/>
        </w:rPr>
        <w:t> </w:t>
      </w:r>
      <w:r>
        <w:rPr>
          <w:sz w:val="18"/>
        </w:rPr>
        <w:t>year</w:t>
        <w:tab/>
        <w:tab/>
      </w:r>
      <w:r>
        <w:rPr>
          <w:b/>
          <w:sz w:val="18"/>
        </w:rPr>
        <w:t>485,892</w:t>
        <w:tab/>
        <w:tab/>
        <w:t>485,892 Balance at 31</w:t>
      </w:r>
      <w:r>
        <w:rPr>
          <w:b/>
          <w:spacing w:val="-11"/>
          <w:sz w:val="18"/>
        </w:rPr>
        <w:t> </w:t>
      </w:r>
      <w:r>
        <w:rPr>
          <w:b/>
          <w:sz w:val="18"/>
        </w:rPr>
        <w:t>December</w:t>
      </w:r>
      <w:r>
        <w:rPr>
          <w:b/>
          <w:spacing w:val="-2"/>
          <w:sz w:val="18"/>
        </w:rPr>
        <w:t> </w:t>
      </w:r>
      <w:r>
        <w:rPr>
          <w:b/>
          <w:sz w:val="18"/>
        </w:rPr>
        <w:t>2012</w:t>
        <w:tab/>
        <w:t>(4,197,200)</w:t>
        <w:tab/>
        <w:t>(4,197,200)</w:t>
      </w:r>
    </w:p>
    <w:p>
      <w:pPr>
        <w:pStyle w:val="BodyText"/>
        <w:rPr>
          <w:b/>
          <w:sz w:val="20"/>
        </w:rPr>
      </w:pPr>
    </w:p>
    <w:p>
      <w:pPr>
        <w:pStyle w:val="BodyText"/>
        <w:rPr>
          <w:b/>
          <w:sz w:val="20"/>
        </w:rPr>
      </w:pPr>
    </w:p>
    <w:p>
      <w:pPr>
        <w:pStyle w:val="BodyText"/>
        <w:spacing w:before="2"/>
        <w:rPr>
          <w:b/>
          <w:sz w:val="20"/>
        </w:rPr>
      </w:pPr>
    </w:p>
    <w:p>
      <w:pPr>
        <w:spacing w:after="0"/>
        <w:rPr>
          <w:sz w:val="20"/>
        </w:rPr>
        <w:sectPr>
          <w:type w:val="continuous"/>
          <w:pgSz w:w="11930" w:h="16850"/>
          <w:pgMar w:top="0" w:bottom="280" w:left="900" w:right="880"/>
        </w:sectPr>
      </w:pPr>
    </w:p>
    <w:p>
      <w:pPr>
        <w:pStyle w:val="Heading9"/>
        <w:spacing w:before="77"/>
        <w:ind w:left="7824" w:firstLine="4"/>
        <w:jc w:val="right"/>
      </w:pPr>
      <w:r>
        <w:rPr/>
        <w:t>Retained Earnings</w:t>
      </w:r>
    </w:p>
    <w:p>
      <w:pPr>
        <w:spacing w:before="74"/>
        <w:ind w:left="0" w:right="333" w:firstLine="0"/>
        <w:jc w:val="right"/>
        <w:rPr>
          <w:b/>
          <w:sz w:val="18"/>
        </w:rPr>
      </w:pPr>
      <w:r>
        <w:rPr>
          <w:b/>
          <w:w w:val="99"/>
          <w:sz w:val="18"/>
        </w:rPr>
        <w:t>$</w:t>
      </w:r>
    </w:p>
    <w:p>
      <w:pPr>
        <w:pStyle w:val="BodyText"/>
        <w:spacing w:before="7"/>
        <w:rPr>
          <w:b/>
          <w:sz w:val="24"/>
        </w:rPr>
      </w:pPr>
      <w:r>
        <w:rPr/>
        <w:br w:type="column"/>
      </w:r>
      <w:r>
        <w:rPr>
          <w:b/>
          <w:sz w:val="24"/>
        </w:rPr>
      </w:r>
    </w:p>
    <w:p>
      <w:pPr>
        <w:spacing w:before="1"/>
        <w:ind w:left="261" w:right="202" w:firstLine="0"/>
        <w:jc w:val="center"/>
        <w:rPr>
          <w:b/>
          <w:sz w:val="18"/>
        </w:rPr>
      </w:pPr>
      <w:r>
        <w:rPr>
          <w:b/>
          <w:sz w:val="18"/>
        </w:rPr>
        <w:t>Total equity</w:t>
      </w:r>
    </w:p>
    <w:p>
      <w:pPr>
        <w:spacing w:before="76"/>
        <w:ind w:left="57" w:right="0" w:firstLine="0"/>
        <w:jc w:val="center"/>
        <w:rPr>
          <w:b/>
          <w:sz w:val="18"/>
        </w:rPr>
      </w:pPr>
      <w:r>
        <w:rPr>
          <w:b/>
          <w:w w:val="99"/>
          <w:sz w:val="18"/>
        </w:rPr>
        <w:t>$</w:t>
      </w:r>
    </w:p>
    <w:p>
      <w:pPr>
        <w:spacing w:after="0"/>
        <w:jc w:val="center"/>
        <w:rPr>
          <w:sz w:val="18"/>
        </w:rPr>
        <w:sectPr>
          <w:type w:val="continuous"/>
          <w:pgSz w:w="11930" w:h="16850"/>
          <w:pgMar w:top="0" w:bottom="280" w:left="900" w:right="880"/>
          <w:cols w:num="2" w:equalWidth="0">
            <w:col w:w="8597" w:space="40"/>
            <w:col w:w="1513"/>
          </w:cols>
        </w:sectPr>
      </w:pPr>
    </w:p>
    <w:p>
      <w:pPr>
        <w:pStyle w:val="BodyText"/>
        <w:spacing w:before="5"/>
        <w:rPr>
          <w:b/>
          <w:sz w:val="2"/>
        </w:rPr>
      </w:pPr>
    </w:p>
    <w:p>
      <w:pPr>
        <w:pStyle w:val="BodyText"/>
        <w:spacing w:line="20" w:lineRule="exact"/>
        <w:ind w:left="7570"/>
        <w:rPr>
          <w:sz w:val="2"/>
        </w:rPr>
      </w:pPr>
      <w:r>
        <w:rPr>
          <w:sz w:val="2"/>
        </w:rPr>
        <w:pict>
          <v:group style="width:123.15pt;height:1pt;mso-position-horizontal-relative:char;mso-position-vertical-relative:line" coordorigin="0,0" coordsize="2463,20">
            <v:line style="position:absolute" from="8,6" to="1232,6" stroked="true" strokeweight=".6pt" strokecolor="#000000"/>
            <v:line style="position:absolute" from="8,12" to="2456,12" stroked="true" strokeweight=".72pt" strokecolor="#000000"/>
            <v:line style="position:absolute" from="1232,6" to="2456,6" stroked="true" strokeweight=".6pt" strokecolor="#000000"/>
            <v:line style="position:absolute" from="8,12" to="2456,12" stroked="true" strokeweight=".72pt" strokecolor="#000000"/>
            <v:line style="position:absolute" from="8,6" to="1232,6" stroked="true" strokeweight=".6pt" strokecolor="#000000"/>
            <v:line style="position:absolute" from="8,12" to="2456,12" stroked="true" strokeweight=".72pt" strokecolor="#000000"/>
            <v:line style="position:absolute" from="1232,6" to="2456,6" stroked="true" strokeweight=".6pt" strokecolor="#000000"/>
            <v:line style="position:absolute" from="1232,16" to="2456,16" stroked="true" strokeweight=".36pt" strokecolor="#000000"/>
          </v:group>
        </w:pict>
      </w:r>
      <w:r>
        <w:rPr>
          <w:sz w:val="2"/>
        </w:rPr>
      </w:r>
    </w:p>
    <w:p>
      <w:pPr>
        <w:tabs>
          <w:tab w:pos="7749" w:val="left" w:leader="none"/>
          <w:tab w:pos="8971" w:val="left" w:leader="none"/>
        </w:tabs>
        <w:spacing w:before="33"/>
        <w:ind w:left="33" w:right="0" w:firstLine="0"/>
        <w:jc w:val="center"/>
        <w:rPr>
          <w:sz w:val="18"/>
        </w:rPr>
      </w:pPr>
      <w:r>
        <w:rPr>
          <w:b/>
          <w:sz w:val="18"/>
        </w:rPr>
        <w:t>Balance at 1</w:t>
      </w:r>
      <w:r>
        <w:rPr>
          <w:b/>
          <w:spacing w:val="-6"/>
          <w:sz w:val="18"/>
        </w:rPr>
        <w:t> </w:t>
      </w:r>
      <w:r>
        <w:rPr>
          <w:b/>
          <w:sz w:val="18"/>
        </w:rPr>
        <w:t>January</w:t>
      </w:r>
      <w:r>
        <w:rPr>
          <w:b/>
          <w:spacing w:val="-8"/>
          <w:sz w:val="18"/>
        </w:rPr>
        <w:t> </w:t>
      </w:r>
      <w:r>
        <w:rPr>
          <w:b/>
          <w:sz w:val="18"/>
        </w:rPr>
        <w:t>2011</w:t>
        <w:tab/>
      </w:r>
      <w:r>
        <w:rPr>
          <w:sz w:val="18"/>
        </w:rPr>
        <w:t>(3,857,875)</w:t>
        <w:tab/>
        <w:t>(3,857,875)</w:t>
      </w:r>
    </w:p>
    <w:p>
      <w:pPr>
        <w:pStyle w:val="BodyText"/>
        <w:spacing w:before="146"/>
        <w:ind w:left="136" w:right="125"/>
      </w:pPr>
      <w:r>
        <w:rPr/>
        <w:t>Comprehensive income for the year</w:t>
      </w:r>
    </w:p>
    <w:p>
      <w:pPr>
        <w:pStyle w:val="BodyText"/>
        <w:tabs>
          <w:tab w:pos="7888" w:val="left" w:leader="none"/>
          <w:tab w:pos="9107" w:val="left" w:leader="none"/>
        </w:tabs>
        <w:spacing w:before="28"/>
        <w:ind w:left="172"/>
        <w:jc w:val="center"/>
      </w:pPr>
      <w:r>
        <w:rPr/>
        <w:t>Surplus / (deficit) for</w:t>
      </w:r>
      <w:r>
        <w:rPr>
          <w:spacing w:val="-7"/>
        </w:rPr>
        <w:t> </w:t>
      </w:r>
      <w:r>
        <w:rPr/>
        <w:t>the</w:t>
      </w:r>
      <w:r>
        <w:rPr>
          <w:spacing w:val="-1"/>
        </w:rPr>
        <w:t> </w:t>
      </w:r>
      <w:r>
        <w:rPr/>
        <w:t>year</w:t>
        <w:tab/>
        <w:t>(825,217)</w:t>
        <w:tab/>
        <w:t>(825,217)</w:t>
      </w:r>
    </w:p>
    <w:p>
      <w:pPr>
        <w:pStyle w:val="BodyText"/>
        <w:tabs>
          <w:tab w:pos="8463" w:val="left" w:leader="none"/>
          <w:tab w:pos="9704" w:val="left" w:leader="none"/>
        </w:tabs>
        <w:spacing w:before="81" w:after="23"/>
        <w:ind w:left="109"/>
        <w:jc w:val="center"/>
      </w:pPr>
      <w:r>
        <w:rPr/>
        <w:t>Total other</w:t>
      </w:r>
      <w:r>
        <w:rPr>
          <w:spacing w:val="-6"/>
        </w:rPr>
        <w:t> </w:t>
      </w:r>
      <w:r>
        <w:rPr/>
        <w:t>comprehensive</w:t>
      </w:r>
      <w:r>
        <w:rPr>
          <w:spacing w:val="-2"/>
        </w:rPr>
        <w:t> </w:t>
      </w:r>
      <w:r>
        <w:rPr/>
        <w:t>income</w:t>
        <w:tab/>
        <w:t>-</w:t>
        <w:tab/>
        <w:t>-</w:t>
      </w:r>
    </w:p>
    <w:p>
      <w:pPr>
        <w:pStyle w:val="BodyText"/>
        <w:spacing w:line="20" w:lineRule="exact"/>
        <w:ind w:left="7570"/>
        <w:rPr>
          <w:sz w:val="2"/>
        </w:rPr>
      </w:pPr>
      <w:r>
        <w:rPr>
          <w:sz w:val="2"/>
        </w:rPr>
        <w:pict>
          <v:group style="width:121.75pt;height:1pt;mso-position-horizontal-relative:char;mso-position-vertical-relative:line" coordorigin="0,0" coordsize="2435,20">
            <v:line style="position:absolute" from="8,6" to="1232,6" stroked="true" strokeweight=".6pt" strokecolor="#000000"/>
            <v:line style="position:absolute" from="8,12" to="2428,12" stroked="true" strokeweight=".72pt" strokecolor="#000000"/>
            <v:line style="position:absolute" from="1232,6" to="2428,6" stroked="true" strokeweight=".6pt" strokecolor="#000000"/>
            <v:line style="position:absolute" from="8,12" to="2428,12" stroked="true" strokeweight=".72pt" strokecolor="#000000"/>
            <v:line style="position:absolute" from="8,6" to="1232,6" stroked="true" strokeweight=".6pt" strokecolor="#000000"/>
            <v:line style="position:absolute" from="8,12" to="2428,12" stroked="true" strokeweight=".72pt" strokecolor="#000000"/>
            <v:line style="position:absolute" from="1232,6" to="2428,6" stroked="true" strokeweight=".6pt" strokecolor="#000000"/>
            <v:line style="position:absolute" from="1232,16" to="2428,16" stroked="true" strokeweight=".36pt" strokecolor="#000000"/>
          </v:group>
        </w:pict>
      </w:r>
      <w:r>
        <w:rPr>
          <w:sz w:val="2"/>
        </w:rPr>
      </w:r>
    </w:p>
    <w:p>
      <w:pPr>
        <w:pStyle w:val="BodyText"/>
        <w:tabs>
          <w:tab w:pos="7862" w:val="left" w:leader="none"/>
          <w:tab w:pos="9083" w:val="left" w:leader="none"/>
        </w:tabs>
        <w:spacing w:before="112"/>
        <w:ind w:right="7"/>
        <w:jc w:val="center"/>
      </w:pPr>
      <w:r>
        <w:rPr/>
        <w:t>Total comprehensive income for</w:t>
      </w:r>
      <w:r>
        <w:rPr>
          <w:spacing w:val="-5"/>
        </w:rPr>
        <w:t> </w:t>
      </w:r>
      <w:r>
        <w:rPr/>
        <w:t>the</w:t>
      </w:r>
      <w:r>
        <w:rPr>
          <w:spacing w:val="-1"/>
        </w:rPr>
        <w:t> </w:t>
      </w:r>
      <w:r>
        <w:rPr/>
        <w:t>year</w:t>
        <w:tab/>
        <w:t>(825,217)</w:t>
        <w:tab/>
        <w:t>(825,217)</w:t>
      </w:r>
    </w:p>
    <w:p>
      <w:pPr>
        <w:pStyle w:val="BodyText"/>
        <w:spacing w:line="20" w:lineRule="exact"/>
        <w:ind w:left="7570"/>
        <w:rPr>
          <w:sz w:val="2"/>
        </w:rPr>
      </w:pPr>
      <w:r>
        <w:rPr>
          <w:sz w:val="2"/>
        </w:rPr>
        <w:pict>
          <v:group style="width:123.15pt;height:1pt;mso-position-horizontal-relative:char;mso-position-vertical-relative:line" coordorigin="0,0" coordsize="2463,20">
            <v:line style="position:absolute" from="8,6" to="1232,6" stroked="true" strokeweight=".6pt" strokecolor="#000000"/>
            <v:line style="position:absolute" from="8,12" to="2456,12" stroked="true" strokeweight=".72pt" strokecolor="#000000"/>
            <v:line style="position:absolute" from="1232,6" to="2456,6" stroked="true" strokeweight=".6pt" strokecolor="#000000"/>
            <v:line style="position:absolute" from="8,12" to="2456,12" stroked="true" strokeweight=".72pt" strokecolor="#000000"/>
            <v:line style="position:absolute" from="8,6" to="1232,6" stroked="true" strokeweight=".6pt" strokecolor="#000000"/>
            <v:line style="position:absolute" from="8,12" to="2456,12" stroked="true" strokeweight=".72pt" strokecolor="#000000"/>
            <v:line style="position:absolute" from="1232,6" to="2456,6" stroked="true" strokeweight=".6pt" strokecolor="#000000"/>
            <v:line style="position:absolute" from="1232,16" to="2456,16" stroked="true" strokeweight=".36pt" strokecolor="#000000"/>
          </v:group>
        </w:pict>
      </w:r>
      <w:r>
        <w:rPr>
          <w:sz w:val="2"/>
        </w:rPr>
      </w:r>
    </w:p>
    <w:p>
      <w:pPr>
        <w:tabs>
          <w:tab w:pos="7703" w:val="left" w:leader="none"/>
          <w:tab w:pos="8923" w:val="left" w:leader="none"/>
        </w:tabs>
        <w:spacing w:before="106" w:after="3"/>
        <w:ind w:left="0" w:right="17" w:firstLine="0"/>
        <w:jc w:val="center"/>
        <w:rPr>
          <w:sz w:val="18"/>
        </w:rPr>
      </w:pPr>
      <w:r>
        <w:rPr>
          <w:b/>
          <w:sz w:val="18"/>
        </w:rPr>
        <w:t>Balance at 31</w:t>
      </w:r>
      <w:r>
        <w:rPr>
          <w:b/>
          <w:spacing w:val="-10"/>
          <w:sz w:val="18"/>
        </w:rPr>
        <w:t> </w:t>
      </w:r>
      <w:r>
        <w:rPr>
          <w:b/>
          <w:sz w:val="18"/>
        </w:rPr>
        <w:t>December</w:t>
      </w:r>
      <w:r>
        <w:rPr>
          <w:b/>
          <w:spacing w:val="-2"/>
          <w:sz w:val="18"/>
        </w:rPr>
        <w:t> </w:t>
      </w:r>
      <w:r>
        <w:rPr>
          <w:b/>
          <w:sz w:val="18"/>
        </w:rPr>
        <w:t>2011</w:t>
        <w:tab/>
      </w:r>
      <w:r>
        <w:rPr>
          <w:sz w:val="18"/>
        </w:rPr>
        <w:t>(4,683,092)</w:t>
        <w:tab/>
        <w:t>(4,683,092)</w:t>
      </w:r>
    </w:p>
    <w:p>
      <w:pPr>
        <w:pStyle w:val="BodyText"/>
        <w:spacing w:line="20" w:lineRule="exact"/>
        <w:ind w:left="7570"/>
        <w:rPr>
          <w:sz w:val="2"/>
        </w:rPr>
      </w:pPr>
      <w:r>
        <w:rPr>
          <w:sz w:val="2"/>
        </w:rPr>
        <w:pict>
          <v:group style="width:123.15pt;height:1pt;mso-position-horizontal-relative:char;mso-position-vertical-relative:line" coordorigin="0,0" coordsize="2463,20">
            <v:line style="position:absolute" from="8,6" to="1232,6" stroked="true" strokeweight=".6pt" strokecolor="#000000"/>
            <v:line style="position:absolute" from="8,12" to="2456,12" stroked="true" strokeweight=".72pt" strokecolor="#000000"/>
            <v:line style="position:absolute" from="1232,6" to="2456,6" stroked="true" strokeweight=".6pt" strokecolor="#000000"/>
            <v:line style="position:absolute" from="1232,16" to="2456,16" stroked="true" strokeweight=".36pt" strokecolor="#000000"/>
          </v:group>
        </w:pic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before="77"/>
        <w:ind w:left="2491" w:right="125"/>
      </w:pPr>
      <w:r>
        <w:rPr/>
        <w:t>The accompanying notes form part of these financial statements.</w:t>
      </w:r>
    </w:p>
    <w:p>
      <w:pPr>
        <w:spacing w:after="0"/>
        <w:sectPr>
          <w:type w:val="continuous"/>
          <w:pgSz w:w="11930" w:h="16850"/>
          <w:pgMar w:top="0" w:bottom="280" w:left="900" w:right="880"/>
        </w:sectPr>
      </w:pPr>
    </w:p>
    <w:p>
      <w:pPr>
        <w:pStyle w:val="BodyText"/>
        <w:spacing w:before="5"/>
        <w:rPr>
          <w:sz w:val="22"/>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78"/>
        <w:gridCol w:w="1407"/>
        <w:gridCol w:w="1491"/>
        <w:gridCol w:w="1048"/>
      </w:tblGrid>
      <w:tr>
        <w:trPr>
          <w:trHeight w:val="980" w:hRule="exact"/>
        </w:trPr>
        <w:tc>
          <w:tcPr>
            <w:tcW w:w="5978" w:type="dxa"/>
          </w:tcPr>
          <w:p>
            <w:pPr>
              <w:pStyle w:val="TableParagraph"/>
              <w:spacing w:before="65"/>
              <w:ind w:left="35" w:right="885"/>
              <w:rPr>
                <w:b/>
                <w:sz w:val="28"/>
              </w:rPr>
            </w:pPr>
            <w:r>
              <w:rPr>
                <w:b/>
                <w:sz w:val="28"/>
              </w:rPr>
              <w:t>Statement of Cash Flows</w:t>
            </w:r>
          </w:p>
          <w:p>
            <w:pPr>
              <w:pStyle w:val="TableParagraph"/>
              <w:spacing w:before="59"/>
              <w:ind w:left="35"/>
              <w:rPr>
                <w:b/>
                <w:sz w:val="28"/>
              </w:rPr>
            </w:pPr>
            <w:r>
              <w:rPr>
                <w:b/>
                <w:sz w:val="28"/>
              </w:rPr>
              <w:t>For the Year Ended 31 December</w:t>
            </w:r>
            <w:r>
              <w:rPr>
                <w:b/>
                <w:spacing w:val="-52"/>
                <w:sz w:val="28"/>
              </w:rPr>
              <w:t> </w:t>
            </w:r>
            <w:r>
              <w:rPr>
                <w:b/>
                <w:sz w:val="28"/>
              </w:rPr>
              <w:t>2012</w:t>
            </w:r>
          </w:p>
        </w:tc>
        <w:tc>
          <w:tcPr>
            <w:tcW w:w="3946" w:type="dxa"/>
            <w:gridSpan w:val="3"/>
          </w:tcPr>
          <w:p>
            <w:pPr/>
          </w:p>
        </w:tc>
      </w:tr>
      <w:tr>
        <w:trPr>
          <w:trHeight w:val="444" w:hRule="exact"/>
        </w:trPr>
        <w:tc>
          <w:tcPr>
            <w:tcW w:w="5978" w:type="dxa"/>
          </w:tcPr>
          <w:p>
            <w:pPr/>
          </w:p>
        </w:tc>
        <w:tc>
          <w:tcPr>
            <w:tcW w:w="1407" w:type="dxa"/>
          </w:tcPr>
          <w:p>
            <w:pPr/>
          </w:p>
        </w:tc>
        <w:tc>
          <w:tcPr>
            <w:tcW w:w="1491" w:type="dxa"/>
          </w:tcPr>
          <w:p>
            <w:pPr>
              <w:pStyle w:val="TableParagraph"/>
              <w:spacing w:before="10"/>
              <w:rPr>
                <w:sz w:val="16"/>
              </w:rPr>
            </w:pPr>
          </w:p>
          <w:p>
            <w:pPr>
              <w:pStyle w:val="TableParagraph"/>
              <w:ind w:left="430"/>
              <w:rPr>
                <w:b/>
                <w:sz w:val="18"/>
              </w:rPr>
            </w:pPr>
            <w:r>
              <w:rPr>
                <w:b/>
                <w:sz w:val="18"/>
              </w:rPr>
              <w:t>2012</w:t>
            </w:r>
          </w:p>
        </w:tc>
        <w:tc>
          <w:tcPr>
            <w:tcW w:w="1048" w:type="dxa"/>
          </w:tcPr>
          <w:p>
            <w:pPr>
              <w:pStyle w:val="TableParagraph"/>
              <w:spacing w:before="10"/>
              <w:rPr>
                <w:sz w:val="16"/>
              </w:rPr>
            </w:pPr>
          </w:p>
          <w:p>
            <w:pPr>
              <w:pStyle w:val="TableParagraph"/>
              <w:ind w:left="243"/>
              <w:rPr>
                <w:b/>
                <w:sz w:val="18"/>
              </w:rPr>
            </w:pPr>
            <w:r>
              <w:rPr>
                <w:b/>
                <w:sz w:val="18"/>
              </w:rPr>
              <w:t>2011</w:t>
            </w:r>
          </w:p>
        </w:tc>
      </w:tr>
      <w:tr>
        <w:trPr>
          <w:trHeight w:val="318" w:hRule="exact"/>
        </w:trPr>
        <w:tc>
          <w:tcPr>
            <w:tcW w:w="5978" w:type="dxa"/>
          </w:tcPr>
          <w:p>
            <w:pPr/>
          </w:p>
        </w:tc>
        <w:tc>
          <w:tcPr>
            <w:tcW w:w="1407" w:type="dxa"/>
          </w:tcPr>
          <w:p>
            <w:pPr>
              <w:pStyle w:val="TableParagraph"/>
              <w:spacing w:before="26"/>
              <w:ind w:right="112"/>
              <w:jc w:val="right"/>
              <w:rPr>
                <w:b/>
                <w:sz w:val="18"/>
              </w:rPr>
            </w:pPr>
            <w:r>
              <w:rPr>
                <w:b/>
                <w:sz w:val="18"/>
              </w:rPr>
              <w:t>Note</w:t>
            </w:r>
          </w:p>
        </w:tc>
        <w:tc>
          <w:tcPr>
            <w:tcW w:w="1491" w:type="dxa"/>
          </w:tcPr>
          <w:p>
            <w:pPr>
              <w:pStyle w:val="TableParagraph"/>
              <w:spacing w:before="24"/>
              <w:ind w:right="229"/>
              <w:jc w:val="center"/>
              <w:rPr>
                <w:b/>
                <w:sz w:val="18"/>
              </w:rPr>
            </w:pPr>
            <w:r>
              <w:rPr>
                <w:b/>
                <w:w w:val="99"/>
                <w:sz w:val="18"/>
              </w:rPr>
              <w:t>$</w:t>
            </w:r>
          </w:p>
        </w:tc>
        <w:tc>
          <w:tcPr>
            <w:tcW w:w="1048" w:type="dxa"/>
          </w:tcPr>
          <w:p>
            <w:pPr>
              <w:pStyle w:val="TableParagraph"/>
              <w:spacing w:before="24"/>
              <w:ind w:right="161"/>
              <w:jc w:val="center"/>
              <w:rPr>
                <w:b/>
                <w:sz w:val="18"/>
              </w:rPr>
            </w:pPr>
            <w:r>
              <w:rPr>
                <w:b/>
                <w:w w:val="99"/>
                <w:sz w:val="18"/>
              </w:rPr>
              <w:t>$</w:t>
            </w:r>
          </w:p>
        </w:tc>
      </w:tr>
      <w:tr>
        <w:trPr>
          <w:trHeight w:val="544" w:hRule="exact"/>
        </w:trPr>
        <w:tc>
          <w:tcPr>
            <w:tcW w:w="5978" w:type="dxa"/>
          </w:tcPr>
          <w:p>
            <w:pPr>
              <w:pStyle w:val="TableParagraph"/>
              <w:spacing w:before="66"/>
              <w:ind w:left="63" w:right="885"/>
              <w:rPr>
                <w:b/>
                <w:sz w:val="18"/>
              </w:rPr>
            </w:pPr>
            <w:r>
              <w:rPr>
                <w:b/>
                <w:sz w:val="18"/>
              </w:rPr>
              <w:t>CASH FLOWS FROM OPERATING ACTIVITIES</w:t>
            </w:r>
          </w:p>
          <w:p>
            <w:pPr>
              <w:pStyle w:val="TableParagraph"/>
              <w:spacing w:before="21"/>
              <w:ind w:left="64" w:right="885"/>
              <w:rPr>
                <w:sz w:val="18"/>
              </w:rPr>
            </w:pPr>
            <w:r>
              <w:rPr>
                <w:sz w:val="18"/>
              </w:rPr>
              <w:t>Receipts from customers</w:t>
            </w:r>
          </w:p>
        </w:tc>
        <w:tc>
          <w:tcPr>
            <w:tcW w:w="1407" w:type="dxa"/>
          </w:tcPr>
          <w:p>
            <w:pPr/>
          </w:p>
        </w:tc>
        <w:tc>
          <w:tcPr>
            <w:tcW w:w="1491" w:type="dxa"/>
          </w:tcPr>
          <w:p>
            <w:pPr>
              <w:pStyle w:val="TableParagraph"/>
              <w:spacing w:before="6"/>
              <w:rPr>
                <w:sz w:val="25"/>
              </w:rPr>
            </w:pPr>
          </w:p>
          <w:p>
            <w:pPr>
              <w:pStyle w:val="TableParagraph"/>
              <w:ind w:left="383"/>
              <w:rPr>
                <w:b/>
                <w:sz w:val="18"/>
              </w:rPr>
            </w:pPr>
            <w:r>
              <w:rPr>
                <w:b/>
                <w:sz w:val="18"/>
              </w:rPr>
              <w:t>2,629,845</w:t>
            </w:r>
          </w:p>
        </w:tc>
        <w:tc>
          <w:tcPr>
            <w:tcW w:w="1048" w:type="dxa"/>
          </w:tcPr>
          <w:p>
            <w:pPr>
              <w:pStyle w:val="TableParagraph"/>
              <w:spacing w:before="6"/>
              <w:rPr>
                <w:sz w:val="25"/>
              </w:rPr>
            </w:pPr>
          </w:p>
          <w:p>
            <w:pPr>
              <w:pStyle w:val="TableParagraph"/>
              <w:ind w:left="332"/>
              <w:rPr>
                <w:sz w:val="18"/>
              </w:rPr>
            </w:pPr>
            <w:r>
              <w:rPr>
                <w:sz w:val="18"/>
              </w:rPr>
              <w:t>818,290</w:t>
            </w:r>
          </w:p>
        </w:tc>
      </w:tr>
      <w:tr>
        <w:trPr>
          <w:trHeight w:val="265" w:hRule="exact"/>
        </w:trPr>
        <w:tc>
          <w:tcPr>
            <w:tcW w:w="5978" w:type="dxa"/>
          </w:tcPr>
          <w:p>
            <w:pPr>
              <w:pStyle w:val="TableParagraph"/>
              <w:spacing w:before="24"/>
              <w:ind w:left="64" w:right="885"/>
              <w:rPr>
                <w:sz w:val="18"/>
              </w:rPr>
            </w:pPr>
            <w:r>
              <w:rPr>
                <w:sz w:val="18"/>
              </w:rPr>
              <w:t>Payments to suppliers and employees</w:t>
            </w:r>
          </w:p>
        </w:tc>
        <w:tc>
          <w:tcPr>
            <w:tcW w:w="1407" w:type="dxa"/>
          </w:tcPr>
          <w:p>
            <w:pPr/>
          </w:p>
        </w:tc>
        <w:tc>
          <w:tcPr>
            <w:tcW w:w="1491" w:type="dxa"/>
            <w:tcBorders>
              <w:bottom w:val="single" w:sz="5" w:space="0" w:color="000000"/>
            </w:tcBorders>
          </w:tcPr>
          <w:p>
            <w:pPr>
              <w:pStyle w:val="TableParagraph"/>
              <w:spacing w:before="24"/>
              <w:ind w:right="241"/>
              <w:jc w:val="right"/>
              <w:rPr>
                <w:b/>
                <w:sz w:val="18"/>
              </w:rPr>
            </w:pPr>
            <w:r>
              <w:rPr>
                <w:b/>
                <w:sz w:val="18"/>
              </w:rPr>
              <w:t>(1,786,177)</w:t>
            </w:r>
          </w:p>
        </w:tc>
        <w:tc>
          <w:tcPr>
            <w:tcW w:w="1048" w:type="dxa"/>
            <w:tcBorders>
              <w:bottom w:val="single" w:sz="5" w:space="0" w:color="000000"/>
            </w:tcBorders>
          </w:tcPr>
          <w:p>
            <w:pPr>
              <w:pStyle w:val="TableParagraph"/>
              <w:spacing w:before="24"/>
              <w:jc w:val="right"/>
              <w:rPr>
                <w:sz w:val="18"/>
              </w:rPr>
            </w:pPr>
            <w:r>
              <w:rPr>
                <w:sz w:val="18"/>
              </w:rPr>
              <w:t>(867,861)</w:t>
            </w:r>
          </w:p>
        </w:tc>
      </w:tr>
      <w:tr>
        <w:trPr>
          <w:trHeight w:val="347" w:hRule="exact"/>
        </w:trPr>
        <w:tc>
          <w:tcPr>
            <w:tcW w:w="5978" w:type="dxa"/>
          </w:tcPr>
          <w:p>
            <w:pPr/>
          </w:p>
        </w:tc>
        <w:tc>
          <w:tcPr>
            <w:tcW w:w="1407" w:type="dxa"/>
          </w:tcPr>
          <w:p>
            <w:pPr/>
          </w:p>
        </w:tc>
        <w:tc>
          <w:tcPr>
            <w:tcW w:w="1491" w:type="dxa"/>
            <w:tcBorders>
              <w:top w:val="single" w:sz="5" w:space="0" w:color="000000"/>
            </w:tcBorders>
          </w:tcPr>
          <w:p>
            <w:pPr>
              <w:pStyle w:val="TableParagraph"/>
              <w:spacing w:before="110"/>
              <w:ind w:left="534"/>
              <w:rPr>
                <w:b/>
                <w:sz w:val="18"/>
              </w:rPr>
            </w:pPr>
            <w:r>
              <w:rPr>
                <w:b/>
                <w:sz w:val="18"/>
              </w:rPr>
              <w:t>843,668</w:t>
            </w:r>
          </w:p>
        </w:tc>
        <w:tc>
          <w:tcPr>
            <w:tcW w:w="1048" w:type="dxa"/>
            <w:tcBorders>
              <w:top w:val="single" w:sz="5" w:space="0" w:color="000000"/>
            </w:tcBorders>
          </w:tcPr>
          <w:p>
            <w:pPr>
              <w:pStyle w:val="TableParagraph"/>
              <w:spacing w:before="110"/>
              <w:ind w:right="3"/>
              <w:jc w:val="right"/>
              <w:rPr>
                <w:sz w:val="18"/>
              </w:rPr>
            </w:pPr>
            <w:r>
              <w:rPr>
                <w:sz w:val="18"/>
              </w:rPr>
              <w:t>(49,571)</w:t>
            </w:r>
          </w:p>
        </w:tc>
      </w:tr>
      <w:tr>
        <w:trPr>
          <w:trHeight w:val="257" w:hRule="exact"/>
        </w:trPr>
        <w:tc>
          <w:tcPr>
            <w:tcW w:w="5978" w:type="dxa"/>
          </w:tcPr>
          <w:p>
            <w:pPr>
              <w:pStyle w:val="TableParagraph"/>
              <w:spacing w:before="4"/>
              <w:ind w:left="63" w:right="885"/>
              <w:rPr>
                <w:sz w:val="18"/>
              </w:rPr>
            </w:pPr>
            <w:r>
              <w:rPr>
                <w:sz w:val="18"/>
              </w:rPr>
              <w:t>Interest received</w:t>
            </w:r>
          </w:p>
        </w:tc>
        <w:tc>
          <w:tcPr>
            <w:tcW w:w="1407" w:type="dxa"/>
          </w:tcPr>
          <w:p>
            <w:pPr/>
          </w:p>
        </w:tc>
        <w:tc>
          <w:tcPr>
            <w:tcW w:w="1491" w:type="dxa"/>
            <w:tcBorders>
              <w:bottom w:val="single" w:sz="8" w:space="0" w:color="000000"/>
            </w:tcBorders>
          </w:tcPr>
          <w:p>
            <w:pPr>
              <w:pStyle w:val="TableParagraph"/>
              <w:spacing w:before="4"/>
              <w:ind w:right="314"/>
              <w:jc w:val="right"/>
              <w:rPr>
                <w:b/>
                <w:sz w:val="18"/>
              </w:rPr>
            </w:pPr>
            <w:r>
              <w:rPr>
                <w:b/>
                <w:sz w:val="18"/>
              </w:rPr>
              <w:t>16,756</w:t>
            </w:r>
          </w:p>
        </w:tc>
        <w:tc>
          <w:tcPr>
            <w:tcW w:w="1048" w:type="dxa"/>
            <w:tcBorders>
              <w:bottom w:val="single" w:sz="8" w:space="0" w:color="000000"/>
            </w:tcBorders>
          </w:tcPr>
          <w:p>
            <w:pPr>
              <w:pStyle w:val="TableParagraph"/>
              <w:spacing w:before="4"/>
              <w:ind w:right="63"/>
              <w:jc w:val="right"/>
              <w:rPr>
                <w:sz w:val="18"/>
              </w:rPr>
            </w:pPr>
            <w:r>
              <w:rPr>
                <w:sz w:val="18"/>
              </w:rPr>
              <w:t>12,453</w:t>
            </w:r>
          </w:p>
        </w:tc>
      </w:tr>
      <w:tr>
        <w:trPr>
          <w:trHeight w:val="338" w:hRule="exact"/>
        </w:trPr>
        <w:tc>
          <w:tcPr>
            <w:tcW w:w="5978" w:type="dxa"/>
          </w:tcPr>
          <w:p>
            <w:pPr>
              <w:pStyle w:val="TableParagraph"/>
              <w:spacing w:before="31"/>
              <w:ind w:left="63" w:right="885"/>
              <w:rPr>
                <w:sz w:val="18"/>
              </w:rPr>
            </w:pPr>
            <w:r>
              <w:rPr>
                <w:sz w:val="18"/>
              </w:rPr>
              <w:t>Net cash flows from operating activities</w:t>
            </w:r>
          </w:p>
        </w:tc>
        <w:tc>
          <w:tcPr>
            <w:tcW w:w="1407" w:type="dxa"/>
          </w:tcPr>
          <w:p>
            <w:pPr>
              <w:pStyle w:val="TableParagraph"/>
              <w:spacing w:before="31"/>
              <w:ind w:right="215"/>
              <w:jc w:val="right"/>
              <w:rPr>
                <w:sz w:val="18"/>
              </w:rPr>
            </w:pPr>
            <w:r>
              <w:rPr>
                <w:sz w:val="18"/>
              </w:rPr>
              <w:t>18</w:t>
            </w:r>
          </w:p>
        </w:tc>
        <w:tc>
          <w:tcPr>
            <w:tcW w:w="1491" w:type="dxa"/>
            <w:tcBorders>
              <w:top w:val="single" w:sz="8" w:space="0" w:color="000000"/>
              <w:bottom w:val="single" w:sz="8" w:space="0" w:color="000000"/>
            </w:tcBorders>
          </w:tcPr>
          <w:p>
            <w:pPr>
              <w:pStyle w:val="TableParagraph"/>
              <w:spacing w:before="100"/>
              <w:ind w:left="522"/>
              <w:rPr>
                <w:b/>
                <w:sz w:val="18"/>
              </w:rPr>
            </w:pPr>
            <w:r>
              <w:rPr>
                <w:b/>
                <w:sz w:val="18"/>
              </w:rPr>
              <w:t>860,424</w:t>
            </w:r>
          </w:p>
        </w:tc>
        <w:tc>
          <w:tcPr>
            <w:tcW w:w="1048" w:type="dxa"/>
            <w:tcBorders>
              <w:top w:val="single" w:sz="8" w:space="0" w:color="000000"/>
              <w:bottom w:val="single" w:sz="8" w:space="0" w:color="000000"/>
            </w:tcBorders>
          </w:tcPr>
          <w:p>
            <w:pPr>
              <w:pStyle w:val="TableParagraph"/>
              <w:spacing w:before="100"/>
              <w:ind w:right="2"/>
              <w:jc w:val="right"/>
              <w:rPr>
                <w:sz w:val="18"/>
              </w:rPr>
            </w:pPr>
            <w:r>
              <w:rPr>
                <w:sz w:val="18"/>
              </w:rPr>
              <w:t>(37,118)</w:t>
            </w:r>
          </w:p>
        </w:tc>
      </w:tr>
      <w:tr>
        <w:trPr>
          <w:trHeight w:val="641" w:hRule="exact"/>
        </w:trPr>
        <w:tc>
          <w:tcPr>
            <w:tcW w:w="5978" w:type="dxa"/>
          </w:tcPr>
          <w:p>
            <w:pPr>
              <w:pStyle w:val="TableParagraph"/>
              <w:rPr>
                <w:sz w:val="18"/>
              </w:rPr>
            </w:pPr>
          </w:p>
          <w:p>
            <w:pPr>
              <w:pStyle w:val="TableParagraph"/>
              <w:spacing w:before="8"/>
              <w:rPr>
                <w:sz w:val="17"/>
              </w:rPr>
            </w:pPr>
          </w:p>
          <w:p>
            <w:pPr>
              <w:pStyle w:val="TableParagraph"/>
              <w:ind w:left="63" w:right="885"/>
              <w:rPr>
                <w:b/>
                <w:sz w:val="18"/>
              </w:rPr>
            </w:pPr>
            <w:r>
              <w:rPr>
                <w:b/>
                <w:sz w:val="18"/>
              </w:rPr>
              <w:t>CASH FLOWS FROM INVESTING ACTIVITIES</w:t>
            </w:r>
          </w:p>
        </w:tc>
        <w:tc>
          <w:tcPr>
            <w:tcW w:w="1407" w:type="dxa"/>
          </w:tcPr>
          <w:p>
            <w:pPr/>
          </w:p>
        </w:tc>
        <w:tc>
          <w:tcPr>
            <w:tcW w:w="1491" w:type="dxa"/>
            <w:tcBorders>
              <w:top w:val="single" w:sz="8" w:space="0" w:color="000000"/>
            </w:tcBorders>
          </w:tcPr>
          <w:p>
            <w:pPr/>
          </w:p>
        </w:tc>
        <w:tc>
          <w:tcPr>
            <w:tcW w:w="1048" w:type="dxa"/>
            <w:tcBorders>
              <w:top w:val="single" w:sz="8" w:space="0" w:color="000000"/>
            </w:tcBorders>
          </w:tcPr>
          <w:p>
            <w:pPr/>
          </w:p>
        </w:tc>
      </w:tr>
      <w:tr>
        <w:trPr>
          <w:trHeight w:val="257" w:hRule="exact"/>
        </w:trPr>
        <w:tc>
          <w:tcPr>
            <w:tcW w:w="5978" w:type="dxa"/>
          </w:tcPr>
          <w:p>
            <w:pPr>
              <w:pStyle w:val="TableParagraph"/>
              <w:spacing w:before="4"/>
              <w:ind w:left="63" w:right="885"/>
              <w:rPr>
                <w:sz w:val="18"/>
              </w:rPr>
            </w:pPr>
            <w:r>
              <w:rPr>
                <w:sz w:val="18"/>
              </w:rPr>
              <w:t>Purchase of property, plant and equipment</w:t>
            </w:r>
          </w:p>
        </w:tc>
        <w:tc>
          <w:tcPr>
            <w:tcW w:w="1407" w:type="dxa"/>
          </w:tcPr>
          <w:p>
            <w:pPr/>
          </w:p>
        </w:tc>
        <w:tc>
          <w:tcPr>
            <w:tcW w:w="1491" w:type="dxa"/>
            <w:tcBorders>
              <w:bottom w:val="single" w:sz="8" w:space="0" w:color="000000"/>
            </w:tcBorders>
          </w:tcPr>
          <w:p>
            <w:pPr>
              <w:pStyle w:val="TableParagraph"/>
              <w:spacing w:before="4"/>
              <w:ind w:left="562"/>
              <w:rPr>
                <w:b/>
                <w:sz w:val="18"/>
              </w:rPr>
            </w:pPr>
            <w:r>
              <w:rPr>
                <w:b/>
                <w:sz w:val="18"/>
              </w:rPr>
              <w:t>(18,538)</w:t>
            </w:r>
          </w:p>
        </w:tc>
        <w:tc>
          <w:tcPr>
            <w:tcW w:w="1048" w:type="dxa"/>
            <w:tcBorders>
              <w:bottom w:val="single" w:sz="8" w:space="0" w:color="000000"/>
            </w:tcBorders>
          </w:tcPr>
          <w:p>
            <w:pPr>
              <w:pStyle w:val="TableParagraph"/>
              <w:spacing w:before="4"/>
              <w:ind w:right="3"/>
              <w:jc w:val="right"/>
              <w:rPr>
                <w:sz w:val="18"/>
              </w:rPr>
            </w:pPr>
            <w:r>
              <w:rPr>
                <w:sz w:val="18"/>
              </w:rPr>
              <w:t>(12,228)</w:t>
            </w:r>
          </w:p>
        </w:tc>
      </w:tr>
      <w:tr>
        <w:trPr>
          <w:trHeight w:val="339" w:hRule="exact"/>
        </w:trPr>
        <w:tc>
          <w:tcPr>
            <w:tcW w:w="5978" w:type="dxa"/>
          </w:tcPr>
          <w:p>
            <w:pPr>
              <w:pStyle w:val="TableParagraph"/>
              <w:spacing w:before="36"/>
              <w:ind w:left="63" w:right="885"/>
              <w:rPr>
                <w:sz w:val="18"/>
              </w:rPr>
            </w:pPr>
            <w:r>
              <w:rPr>
                <w:sz w:val="18"/>
              </w:rPr>
              <w:t>Net cash flows from investing activities</w:t>
            </w:r>
          </w:p>
        </w:tc>
        <w:tc>
          <w:tcPr>
            <w:tcW w:w="1407" w:type="dxa"/>
          </w:tcPr>
          <w:p>
            <w:pPr/>
          </w:p>
        </w:tc>
        <w:tc>
          <w:tcPr>
            <w:tcW w:w="1491" w:type="dxa"/>
            <w:tcBorders>
              <w:top w:val="single" w:sz="8" w:space="0" w:color="000000"/>
              <w:bottom w:val="single" w:sz="6" w:space="0" w:color="000000"/>
            </w:tcBorders>
          </w:tcPr>
          <w:p>
            <w:pPr>
              <w:pStyle w:val="TableParagraph"/>
              <w:spacing w:before="105"/>
              <w:ind w:left="562"/>
              <w:rPr>
                <w:b/>
                <w:sz w:val="18"/>
              </w:rPr>
            </w:pPr>
            <w:r>
              <w:rPr>
                <w:b/>
                <w:sz w:val="18"/>
              </w:rPr>
              <w:t>(18,538)</w:t>
            </w:r>
          </w:p>
        </w:tc>
        <w:tc>
          <w:tcPr>
            <w:tcW w:w="1048" w:type="dxa"/>
            <w:tcBorders>
              <w:top w:val="single" w:sz="8" w:space="0" w:color="000000"/>
              <w:bottom w:val="single" w:sz="6" w:space="0" w:color="000000"/>
            </w:tcBorders>
          </w:tcPr>
          <w:p>
            <w:pPr>
              <w:pStyle w:val="TableParagraph"/>
              <w:spacing w:before="105"/>
              <w:ind w:right="3"/>
              <w:jc w:val="right"/>
              <w:rPr>
                <w:sz w:val="18"/>
              </w:rPr>
            </w:pPr>
            <w:r>
              <w:rPr>
                <w:sz w:val="18"/>
              </w:rPr>
              <w:t>(12,228)</w:t>
            </w:r>
          </w:p>
        </w:tc>
      </w:tr>
      <w:tr>
        <w:trPr>
          <w:trHeight w:val="633" w:hRule="exact"/>
        </w:trPr>
        <w:tc>
          <w:tcPr>
            <w:tcW w:w="5978" w:type="dxa"/>
          </w:tcPr>
          <w:p>
            <w:pPr>
              <w:pStyle w:val="TableParagraph"/>
              <w:rPr>
                <w:sz w:val="18"/>
              </w:rPr>
            </w:pPr>
          </w:p>
          <w:p>
            <w:pPr>
              <w:pStyle w:val="TableParagraph"/>
              <w:spacing w:before="7"/>
              <w:rPr>
                <w:sz w:val="17"/>
              </w:rPr>
            </w:pPr>
          </w:p>
          <w:p>
            <w:pPr>
              <w:pStyle w:val="TableParagraph"/>
              <w:ind w:left="63" w:right="885"/>
              <w:rPr>
                <w:b/>
                <w:sz w:val="18"/>
              </w:rPr>
            </w:pPr>
            <w:r>
              <w:rPr>
                <w:b/>
                <w:sz w:val="18"/>
              </w:rPr>
              <w:t>CASH FLOWS FROM FINANCING ACTIVITIES</w:t>
            </w:r>
          </w:p>
        </w:tc>
        <w:tc>
          <w:tcPr>
            <w:tcW w:w="1407" w:type="dxa"/>
          </w:tcPr>
          <w:p>
            <w:pPr/>
          </w:p>
        </w:tc>
        <w:tc>
          <w:tcPr>
            <w:tcW w:w="1491" w:type="dxa"/>
            <w:tcBorders>
              <w:top w:val="single" w:sz="6" w:space="0" w:color="000000"/>
              <w:bottom w:val="single" w:sz="8" w:space="0" w:color="000000"/>
            </w:tcBorders>
          </w:tcPr>
          <w:p>
            <w:pPr/>
          </w:p>
        </w:tc>
        <w:tc>
          <w:tcPr>
            <w:tcW w:w="1048" w:type="dxa"/>
            <w:tcBorders>
              <w:top w:val="single" w:sz="6" w:space="0" w:color="000000"/>
              <w:bottom w:val="single" w:sz="8" w:space="0" w:color="000000"/>
            </w:tcBorders>
          </w:tcPr>
          <w:p>
            <w:pPr/>
          </w:p>
        </w:tc>
      </w:tr>
      <w:tr>
        <w:trPr>
          <w:trHeight w:val="339" w:hRule="exact"/>
        </w:trPr>
        <w:tc>
          <w:tcPr>
            <w:tcW w:w="5978" w:type="dxa"/>
          </w:tcPr>
          <w:p>
            <w:pPr>
              <w:pStyle w:val="TableParagraph"/>
              <w:spacing w:before="38"/>
              <w:ind w:left="63" w:right="885"/>
              <w:rPr>
                <w:sz w:val="18"/>
              </w:rPr>
            </w:pPr>
            <w:r>
              <w:rPr>
                <w:sz w:val="18"/>
              </w:rPr>
              <w:t>Net cash flows from financing activities</w:t>
            </w:r>
          </w:p>
        </w:tc>
        <w:tc>
          <w:tcPr>
            <w:tcW w:w="1407" w:type="dxa"/>
          </w:tcPr>
          <w:p>
            <w:pPr/>
          </w:p>
        </w:tc>
        <w:tc>
          <w:tcPr>
            <w:tcW w:w="1491" w:type="dxa"/>
            <w:tcBorders>
              <w:top w:val="single" w:sz="8" w:space="0" w:color="000000"/>
              <w:bottom w:val="single" w:sz="6" w:space="0" w:color="000000"/>
            </w:tcBorders>
          </w:tcPr>
          <w:p>
            <w:pPr>
              <w:pStyle w:val="TableParagraph"/>
              <w:spacing w:before="107"/>
              <w:ind w:right="326"/>
              <w:jc w:val="right"/>
              <w:rPr>
                <w:b/>
                <w:sz w:val="18"/>
              </w:rPr>
            </w:pPr>
            <w:r>
              <w:rPr>
                <w:b/>
                <w:w w:val="99"/>
                <w:sz w:val="18"/>
              </w:rPr>
              <w:t>-</w:t>
            </w:r>
          </w:p>
        </w:tc>
        <w:tc>
          <w:tcPr>
            <w:tcW w:w="1048" w:type="dxa"/>
            <w:tcBorders>
              <w:top w:val="single" w:sz="8" w:space="0" w:color="000000"/>
              <w:bottom w:val="single" w:sz="6" w:space="0" w:color="000000"/>
            </w:tcBorders>
          </w:tcPr>
          <w:p>
            <w:pPr>
              <w:pStyle w:val="TableParagraph"/>
              <w:spacing w:before="107"/>
              <w:ind w:right="75"/>
              <w:jc w:val="right"/>
              <w:rPr>
                <w:sz w:val="18"/>
              </w:rPr>
            </w:pPr>
            <w:r>
              <w:rPr>
                <w:w w:val="99"/>
                <w:sz w:val="18"/>
              </w:rPr>
              <w:t>-</w:t>
            </w:r>
          </w:p>
        </w:tc>
      </w:tr>
      <w:tr>
        <w:trPr>
          <w:trHeight w:val="568" w:hRule="exact"/>
        </w:trPr>
        <w:tc>
          <w:tcPr>
            <w:tcW w:w="5978" w:type="dxa"/>
          </w:tcPr>
          <w:p>
            <w:pPr>
              <w:pStyle w:val="TableParagraph"/>
              <w:rPr>
                <w:sz w:val="18"/>
              </w:rPr>
            </w:pPr>
          </w:p>
          <w:p>
            <w:pPr>
              <w:pStyle w:val="TableParagraph"/>
              <w:spacing w:before="116"/>
              <w:ind w:left="63" w:right="885"/>
              <w:rPr>
                <w:b/>
                <w:sz w:val="18"/>
              </w:rPr>
            </w:pPr>
            <w:r>
              <w:rPr>
                <w:b/>
                <w:sz w:val="18"/>
              </w:rPr>
              <w:t>Net increase (decrease) in cash and cash equivalents held</w:t>
            </w:r>
          </w:p>
        </w:tc>
        <w:tc>
          <w:tcPr>
            <w:tcW w:w="1407" w:type="dxa"/>
          </w:tcPr>
          <w:p>
            <w:pPr/>
          </w:p>
        </w:tc>
        <w:tc>
          <w:tcPr>
            <w:tcW w:w="1491" w:type="dxa"/>
            <w:tcBorders>
              <w:top w:val="single" w:sz="6" w:space="0" w:color="000000"/>
            </w:tcBorders>
          </w:tcPr>
          <w:p>
            <w:pPr>
              <w:pStyle w:val="TableParagraph"/>
              <w:rPr>
                <w:sz w:val="18"/>
              </w:rPr>
            </w:pPr>
          </w:p>
          <w:p>
            <w:pPr>
              <w:pStyle w:val="TableParagraph"/>
              <w:spacing w:before="109"/>
              <w:ind w:left="521"/>
              <w:rPr>
                <w:b/>
                <w:sz w:val="18"/>
              </w:rPr>
            </w:pPr>
            <w:r>
              <w:rPr>
                <w:b/>
                <w:sz w:val="18"/>
              </w:rPr>
              <w:t>841,886</w:t>
            </w:r>
          </w:p>
        </w:tc>
        <w:tc>
          <w:tcPr>
            <w:tcW w:w="1048" w:type="dxa"/>
            <w:tcBorders>
              <w:top w:val="single" w:sz="6" w:space="0" w:color="000000"/>
            </w:tcBorders>
          </w:tcPr>
          <w:p>
            <w:pPr>
              <w:pStyle w:val="TableParagraph"/>
              <w:rPr>
                <w:sz w:val="18"/>
              </w:rPr>
            </w:pPr>
          </w:p>
          <w:p>
            <w:pPr>
              <w:pStyle w:val="TableParagraph"/>
              <w:spacing w:before="109"/>
              <w:jc w:val="right"/>
              <w:rPr>
                <w:sz w:val="18"/>
              </w:rPr>
            </w:pPr>
            <w:r>
              <w:rPr>
                <w:w w:val="95"/>
                <w:sz w:val="18"/>
              </w:rPr>
              <w:t>(49,346)</w:t>
            </w:r>
          </w:p>
        </w:tc>
      </w:tr>
      <w:tr>
        <w:trPr>
          <w:trHeight w:val="273" w:hRule="exact"/>
        </w:trPr>
        <w:tc>
          <w:tcPr>
            <w:tcW w:w="5978" w:type="dxa"/>
          </w:tcPr>
          <w:p>
            <w:pPr>
              <w:pStyle w:val="TableParagraph"/>
              <w:spacing w:before="19"/>
              <w:ind w:left="63" w:right="885"/>
              <w:rPr>
                <w:sz w:val="18"/>
              </w:rPr>
            </w:pPr>
            <w:r>
              <w:rPr>
                <w:sz w:val="18"/>
              </w:rPr>
              <w:t>Cash and cash equivalents at beginning of the financial year</w:t>
            </w:r>
          </w:p>
        </w:tc>
        <w:tc>
          <w:tcPr>
            <w:tcW w:w="1407" w:type="dxa"/>
          </w:tcPr>
          <w:p>
            <w:pPr/>
          </w:p>
        </w:tc>
        <w:tc>
          <w:tcPr>
            <w:tcW w:w="1491" w:type="dxa"/>
            <w:tcBorders>
              <w:bottom w:val="single" w:sz="8" w:space="0" w:color="000000"/>
            </w:tcBorders>
          </w:tcPr>
          <w:p>
            <w:pPr>
              <w:pStyle w:val="TableParagraph"/>
              <w:spacing w:before="19"/>
              <w:ind w:left="522"/>
              <w:rPr>
                <w:b/>
                <w:sz w:val="18"/>
              </w:rPr>
            </w:pPr>
            <w:r>
              <w:rPr>
                <w:b/>
                <w:sz w:val="18"/>
              </w:rPr>
              <w:t>160,932</w:t>
            </w:r>
          </w:p>
        </w:tc>
        <w:tc>
          <w:tcPr>
            <w:tcW w:w="1048" w:type="dxa"/>
            <w:tcBorders>
              <w:bottom w:val="single" w:sz="8" w:space="0" w:color="000000"/>
            </w:tcBorders>
          </w:tcPr>
          <w:p>
            <w:pPr>
              <w:pStyle w:val="TableParagraph"/>
              <w:spacing w:before="19"/>
              <w:ind w:left="331"/>
              <w:rPr>
                <w:sz w:val="18"/>
              </w:rPr>
            </w:pPr>
            <w:r>
              <w:rPr>
                <w:sz w:val="18"/>
              </w:rPr>
              <w:t>210,278</w:t>
            </w:r>
          </w:p>
        </w:tc>
      </w:tr>
    </w:tbl>
    <w:p>
      <w:pPr>
        <w:pStyle w:val="Heading9"/>
        <w:tabs>
          <w:tab w:pos="7880" w:val="left" w:leader="none"/>
          <w:tab w:pos="9320" w:val="left" w:leader="none"/>
        </w:tabs>
        <w:spacing w:before="10"/>
        <w:ind w:left="176" w:right="59"/>
        <w:rPr>
          <w:b w:val="0"/>
        </w:rPr>
      </w:pPr>
      <w:r>
        <w:rPr/>
        <w:t>Cash and cash equivalents at end of the</w:t>
      </w:r>
      <w:r>
        <w:rPr>
          <w:spacing w:val="-11"/>
        </w:rPr>
        <w:t> </w:t>
      </w:r>
      <w:r>
        <w:rPr/>
        <w:t>financial</w:t>
      </w:r>
      <w:r>
        <w:rPr>
          <w:spacing w:val="2"/>
        </w:rPr>
        <w:t> </w:t>
      </w:r>
      <w:r>
        <w:rPr>
          <w:spacing w:val="-3"/>
        </w:rPr>
        <w:t>year</w:t>
        <w:tab/>
      </w:r>
      <w:r>
        <w:rPr>
          <w:position w:val="-8"/>
        </w:rPr>
        <w:t>1,002,818</w:t>
        <w:tab/>
      </w:r>
      <w:r>
        <w:rPr>
          <w:b w:val="0"/>
          <w:position w:val="-8"/>
        </w:rPr>
        <w:t>160,932</w:t>
      </w:r>
    </w:p>
    <w:p>
      <w:pPr>
        <w:pStyle w:val="BodyText"/>
        <w:spacing w:line="49" w:lineRule="exact"/>
        <w:ind w:left="7463"/>
        <w:rPr>
          <w:sz w:val="4"/>
        </w:rPr>
      </w:pPr>
      <w:r>
        <w:rPr>
          <w:position w:val="0"/>
          <w:sz w:val="4"/>
        </w:rPr>
        <w:pict>
          <v:group style="width:130.4500pt;height:2.450pt;mso-position-horizontal-relative:char;mso-position-vertical-relative:line" coordorigin="0,0" coordsize="2609,49">
            <v:line style="position:absolute" from="7,6" to="1305,6" stroked="true" strokeweight=".6pt" strokecolor="#000000"/>
            <v:line style="position:absolute" from="7,9" to="2602,9" stroked="true" strokeweight=".66pt" strokecolor="#000000"/>
            <v:line style="position:absolute" from="7,39" to="1305,39" stroked="true" strokeweight=".6pt" strokecolor="#000000"/>
            <v:line style="position:absolute" from="7,42" to="2602,42" stroked="true" strokeweight=".66pt" strokecolor="#000000"/>
            <v:line style="position:absolute" from="1305,6" to="2602,6" stroked="true" strokeweight=".6pt" strokecolor="#000000"/>
            <v:line style="position:absolute" from="1305,13" to="2602,13" stroked="true" strokeweight=".18pt" strokecolor="#000000"/>
            <v:line style="position:absolute" from="1305,39" to="2602,39" stroked="true" strokeweight=".6pt" strokecolor="#000000"/>
            <v:line style="position:absolute" from="1305,47" to="2602,47" stroked="true" strokeweight=".18pt" strokecolor="#000000"/>
          </v:group>
        </w:pict>
      </w:r>
      <w:r>
        <w:rPr>
          <w:position w:val="0"/>
          <w:sz w:val="4"/>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pStyle w:val="BodyText"/>
        <w:spacing w:before="77"/>
        <w:ind w:left="2531" w:right="685"/>
      </w:pPr>
      <w:r>
        <w:rPr/>
        <w:t>The accompanying notes form part of these financial statements.</w:t>
      </w:r>
    </w:p>
    <w:p>
      <w:pPr>
        <w:spacing w:after="0"/>
        <w:sectPr>
          <w:pgSz w:w="11930" w:h="16850"/>
          <w:pgMar w:header="1035" w:footer="507" w:top="1460" w:bottom="700" w:left="860" w:right="880"/>
        </w:sectPr>
      </w:pPr>
    </w:p>
    <w:p>
      <w:pPr>
        <w:pStyle w:val="BodyText"/>
        <w:spacing w:before="5"/>
        <w:rPr>
          <w:sz w:val="22"/>
        </w:rPr>
      </w:pPr>
    </w:p>
    <w:p>
      <w:pPr>
        <w:pStyle w:val="Heading3"/>
        <w:ind w:right="806"/>
      </w:pPr>
      <w:r>
        <w:rPr/>
        <w:t>Notes to the Financial Statements</w:t>
      </w:r>
    </w:p>
    <w:p>
      <w:pPr>
        <w:spacing w:before="55"/>
        <w:ind w:left="107" w:right="806" w:firstLine="0"/>
        <w:jc w:val="left"/>
        <w:rPr>
          <w:b/>
          <w:sz w:val="28"/>
        </w:rPr>
      </w:pPr>
      <w:r>
        <w:rPr>
          <w:b/>
          <w:sz w:val="28"/>
        </w:rPr>
        <w:t>For the Year Ended 31 December</w:t>
      </w:r>
      <w:r>
        <w:rPr>
          <w:b/>
          <w:spacing w:val="-52"/>
          <w:sz w:val="28"/>
        </w:rPr>
        <w:t> </w:t>
      </w:r>
      <w:r>
        <w:rPr>
          <w:b/>
          <w:sz w:val="28"/>
        </w:rPr>
        <w:t>2012</w:t>
      </w:r>
    </w:p>
    <w:p>
      <w:pPr>
        <w:pStyle w:val="BodyText"/>
        <w:rPr>
          <w:b/>
          <w:sz w:val="28"/>
        </w:rPr>
      </w:pPr>
    </w:p>
    <w:p>
      <w:pPr>
        <w:pStyle w:val="BodyText"/>
        <w:spacing w:before="9"/>
        <w:rPr>
          <w:b/>
          <w:sz w:val="29"/>
        </w:rPr>
      </w:pPr>
    </w:p>
    <w:p>
      <w:pPr>
        <w:pStyle w:val="Heading9"/>
        <w:tabs>
          <w:tab w:pos="499" w:val="left" w:leader="none"/>
        </w:tabs>
        <w:ind w:left="107" w:right="806"/>
      </w:pPr>
      <w:r>
        <w:rPr/>
        <w:t>1</w:t>
        <w:tab/>
        <w:t>Summary of Significant Accounting</w:t>
      </w:r>
      <w:r>
        <w:rPr>
          <w:spacing w:val="-14"/>
        </w:rPr>
        <w:t> </w:t>
      </w:r>
      <w:r>
        <w:rPr/>
        <w:t>Policies</w:t>
      </w:r>
    </w:p>
    <w:p>
      <w:pPr>
        <w:pStyle w:val="BodyText"/>
        <w:spacing w:before="4"/>
        <w:rPr>
          <w:b/>
          <w:sz w:val="25"/>
        </w:rPr>
      </w:pPr>
    </w:p>
    <w:p>
      <w:pPr>
        <w:pStyle w:val="BodyText"/>
        <w:ind w:left="504" w:right="806"/>
      </w:pPr>
      <w:r>
        <w:rPr/>
        <w:t>Television Sydney (TVS) Limited (the Company) is a not-for-profit company limited by guarantee.</w:t>
      </w:r>
    </w:p>
    <w:p>
      <w:pPr>
        <w:pStyle w:val="BodyText"/>
        <w:spacing w:before="11"/>
        <w:rPr>
          <w:sz w:val="24"/>
        </w:rPr>
      </w:pPr>
    </w:p>
    <w:p>
      <w:pPr>
        <w:pStyle w:val="BodyText"/>
        <w:ind w:left="504" w:hanging="1"/>
      </w:pPr>
      <w:r>
        <w:rPr/>
        <w:t>The principal accounting policies adopted in preparation of the financial statements are set out below and have been consistently applied unless otherwise stated.</w:t>
      </w:r>
    </w:p>
    <w:p>
      <w:pPr>
        <w:pStyle w:val="BodyText"/>
        <w:spacing w:before="6"/>
        <w:rPr>
          <w:sz w:val="24"/>
        </w:rPr>
      </w:pPr>
    </w:p>
    <w:p>
      <w:pPr>
        <w:pStyle w:val="Heading9"/>
        <w:numPr>
          <w:ilvl w:val="0"/>
          <w:numId w:val="36"/>
        </w:numPr>
        <w:tabs>
          <w:tab w:pos="1061" w:val="left" w:leader="none"/>
        </w:tabs>
        <w:spacing w:line="240" w:lineRule="auto" w:before="0" w:after="0"/>
        <w:ind w:left="1060" w:right="0" w:hanging="556"/>
        <w:jc w:val="left"/>
      </w:pPr>
      <w:r>
        <w:rPr/>
        <w:t>Basis of</w:t>
      </w:r>
      <w:r>
        <w:rPr>
          <w:spacing w:val="-7"/>
        </w:rPr>
        <w:t> </w:t>
      </w:r>
      <w:r>
        <w:rPr/>
        <w:t>Preparation</w:t>
      </w:r>
    </w:p>
    <w:p>
      <w:pPr>
        <w:pStyle w:val="BodyText"/>
        <w:spacing w:before="2"/>
        <w:rPr>
          <w:b/>
          <w:sz w:val="25"/>
        </w:rPr>
      </w:pPr>
    </w:p>
    <w:p>
      <w:pPr>
        <w:pStyle w:val="BodyText"/>
        <w:ind w:left="1070" w:right="99"/>
        <w:jc w:val="both"/>
      </w:pPr>
      <w:r>
        <w:rPr/>
        <w:t>This general purpose financial report has been prepared on an accruals basis and in accordance with Australian Accounting Standards, the Corporations Act 2001, Section 41B(1) of the Public Finance &amp; Audit Act 1983, Public Finance and Audit Regulation 2010, other authoritative pronouncements of the Australian Accounting Standards Board and Urgent Issues Group Interpretations</w:t>
      </w:r>
    </w:p>
    <w:p>
      <w:pPr>
        <w:pStyle w:val="BodyText"/>
        <w:spacing w:before="8"/>
        <w:rPr>
          <w:sz w:val="24"/>
        </w:rPr>
      </w:pPr>
    </w:p>
    <w:p>
      <w:pPr>
        <w:pStyle w:val="ListParagraph"/>
        <w:numPr>
          <w:ilvl w:val="1"/>
          <w:numId w:val="36"/>
        </w:numPr>
        <w:tabs>
          <w:tab w:pos="1282" w:val="left" w:leader="none"/>
        </w:tabs>
        <w:spacing w:line="240" w:lineRule="auto" w:before="1" w:after="0"/>
        <w:ind w:left="1281" w:right="0" w:hanging="211"/>
        <w:jc w:val="both"/>
        <w:rPr>
          <w:i/>
          <w:sz w:val="18"/>
        </w:rPr>
      </w:pPr>
      <w:r>
        <w:rPr>
          <w:i/>
          <w:sz w:val="18"/>
        </w:rPr>
        <w:t>Compliance with</w:t>
      </w:r>
      <w:r>
        <w:rPr>
          <w:i/>
          <w:spacing w:val="-11"/>
          <w:sz w:val="18"/>
        </w:rPr>
        <w:t> </w:t>
      </w:r>
      <w:r>
        <w:rPr>
          <w:i/>
          <w:sz w:val="18"/>
        </w:rPr>
        <w:t>IFRS</w:t>
      </w:r>
    </w:p>
    <w:p>
      <w:pPr>
        <w:pStyle w:val="BodyText"/>
        <w:spacing w:before="11"/>
        <w:rPr>
          <w:i/>
          <w:sz w:val="24"/>
        </w:rPr>
      </w:pPr>
    </w:p>
    <w:p>
      <w:pPr>
        <w:pStyle w:val="BodyText"/>
        <w:ind w:left="1070" w:right="102" w:hanging="1"/>
        <w:jc w:val="both"/>
      </w:pPr>
      <w:r>
        <w:rPr/>
        <w:t>The financial statements of the Company comply with Australian Accounting Standards some of which contain requirements specific to not for profit entities that are inconsistent with International Financial Reporting Standards (IFRS)</w:t>
      </w:r>
      <w:r>
        <w:rPr>
          <w:spacing w:val="-10"/>
        </w:rPr>
        <w:t> </w:t>
      </w:r>
      <w:r>
        <w:rPr/>
        <w:t>requirements.</w:t>
      </w:r>
    </w:p>
    <w:p>
      <w:pPr>
        <w:pStyle w:val="BodyText"/>
        <w:spacing w:before="8"/>
        <w:rPr>
          <w:sz w:val="24"/>
        </w:rPr>
      </w:pPr>
    </w:p>
    <w:p>
      <w:pPr>
        <w:pStyle w:val="ListParagraph"/>
        <w:numPr>
          <w:ilvl w:val="1"/>
          <w:numId w:val="36"/>
        </w:numPr>
        <w:tabs>
          <w:tab w:pos="1323" w:val="left" w:leader="none"/>
        </w:tabs>
        <w:spacing w:line="240" w:lineRule="auto" w:before="1" w:after="0"/>
        <w:ind w:left="1322" w:right="0" w:hanging="252"/>
        <w:jc w:val="both"/>
        <w:rPr>
          <w:i/>
          <w:sz w:val="18"/>
        </w:rPr>
      </w:pPr>
      <w:r>
        <w:rPr>
          <w:i/>
          <w:sz w:val="18"/>
        </w:rPr>
        <w:t>Historical cost</w:t>
      </w:r>
      <w:r>
        <w:rPr>
          <w:i/>
          <w:spacing w:val="-10"/>
          <w:sz w:val="18"/>
        </w:rPr>
        <w:t> </w:t>
      </w:r>
      <w:r>
        <w:rPr>
          <w:i/>
          <w:sz w:val="18"/>
        </w:rPr>
        <w:t>convention</w:t>
      </w:r>
    </w:p>
    <w:p>
      <w:pPr>
        <w:pStyle w:val="BodyText"/>
        <w:spacing w:before="2"/>
        <w:rPr>
          <w:i/>
          <w:sz w:val="25"/>
        </w:rPr>
      </w:pPr>
    </w:p>
    <w:p>
      <w:pPr>
        <w:pStyle w:val="BodyText"/>
        <w:ind w:left="1070" w:right="102" w:hanging="1"/>
        <w:jc w:val="both"/>
      </w:pPr>
      <w:r>
        <w:rPr/>
        <w:t>These financial statements are prepared in accordance with the historical cost convention. Unless otherwise stated, the accounting policies adopted are consistent with those of the previous year.</w:t>
      </w:r>
    </w:p>
    <w:p>
      <w:pPr>
        <w:pStyle w:val="BodyText"/>
        <w:spacing w:before="11"/>
        <w:rPr>
          <w:sz w:val="24"/>
        </w:rPr>
      </w:pPr>
    </w:p>
    <w:p>
      <w:pPr>
        <w:pStyle w:val="BodyText"/>
        <w:ind w:left="1070"/>
        <w:jc w:val="both"/>
      </w:pPr>
      <w:r>
        <w:rPr/>
        <w:t>Comparative information is reclassified where appropriate to conform with the current year’s presentation.</w:t>
      </w:r>
    </w:p>
    <w:p>
      <w:pPr>
        <w:pStyle w:val="BodyText"/>
        <w:spacing w:before="9"/>
        <w:rPr>
          <w:sz w:val="24"/>
        </w:rPr>
      </w:pPr>
    </w:p>
    <w:p>
      <w:pPr>
        <w:pStyle w:val="ListParagraph"/>
        <w:numPr>
          <w:ilvl w:val="1"/>
          <w:numId w:val="36"/>
        </w:numPr>
        <w:tabs>
          <w:tab w:pos="1364" w:val="left" w:leader="none"/>
        </w:tabs>
        <w:spacing w:line="240" w:lineRule="auto" w:before="0" w:after="0"/>
        <w:ind w:left="1363" w:right="0" w:hanging="293"/>
        <w:jc w:val="both"/>
        <w:rPr>
          <w:i/>
          <w:sz w:val="18"/>
        </w:rPr>
      </w:pPr>
      <w:r>
        <w:rPr>
          <w:i/>
          <w:sz w:val="18"/>
        </w:rPr>
        <w:t>Critical accounting</w:t>
      </w:r>
      <w:r>
        <w:rPr>
          <w:i/>
          <w:spacing w:val="-17"/>
          <w:sz w:val="18"/>
        </w:rPr>
        <w:t> </w:t>
      </w:r>
      <w:r>
        <w:rPr>
          <w:i/>
          <w:sz w:val="18"/>
        </w:rPr>
        <w:t>estimates</w:t>
      </w:r>
    </w:p>
    <w:p>
      <w:pPr>
        <w:pStyle w:val="BodyText"/>
        <w:spacing w:before="1"/>
        <w:rPr>
          <w:i/>
          <w:sz w:val="25"/>
        </w:rPr>
      </w:pPr>
    </w:p>
    <w:p>
      <w:pPr>
        <w:pStyle w:val="BodyText"/>
        <w:spacing w:line="237" w:lineRule="auto"/>
        <w:ind w:left="1070" w:right="102"/>
        <w:jc w:val="both"/>
      </w:pPr>
      <w:r>
        <w:rPr/>
        <w:t>The preparation of financial statements requires the use of certain critical accounting estimates. It also requires management to exercise its judgement in the process of applying the Company's accounting policies. Estimates and judgments are continually evaluated and are based on historic experience and other factors, including expectations of future events that may have a financial impact on the Company and that are believed to be reasonable under the circumstances.</w:t>
      </w:r>
    </w:p>
    <w:p>
      <w:pPr>
        <w:pStyle w:val="BodyText"/>
        <w:rPr>
          <w:sz w:val="25"/>
        </w:rPr>
      </w:pPr>
    </w:p>
    <w:p>
      <w:pPr>
        <w:pStyle w:val="BodyText"/>
        <w:ind w:left="1070" w:right="103"/>
        <w:jc w:val="both"/>
      </w:pPr>
      <w:r>
        <w:rPr/>
        <w:t>There are no areas which involve a high degree of judgment or complexity or where assumptions and estimates are significant to the financial statements of the Company.</w:t>
      </w:r>
    </w:p>
    <w:p>
      <w:pPr>
        <w:pStyle w:val="BodyText"/>
        <w:spacing w:before="11"/>
        <w:rPr>
          <w:sz w:val="24"/>
        </w:rPr>
      </w:pPr>
    </w:p>
    <w:p>
      <w:pPr>
        <w:pStyle w:val="BodyText"/>
        <w:ind w:left="1070"/>
        <w:jc w:val="both"/>
      </w:pPr>
      <w:r>
        <w:rPr/>
        <w:t>The financial statements were authorised for issue by the directors on 25 March 2013.</w:t>
      </w:r>
    </w:p>
    <w:p>
      <w:pPr>
        <w:pStyle w:val="BodyText"/>
      </w:pPr>
    </w:p>
    <w:p>
      <w:pPr>
        <w:pStyle w:val="BodyText"/>
        <w:spacing w:before="7"/>
        <w:rPr>
          <w:sz w:val="26"/>
        </w:rPr>
      </w:pPr>
    </w:p>
    <w:p>
      <w:pPr>
        <w:pStyle w:val="Heading9"/>
        <w:numPr>
          <w:ilvl w:val="0"/>
          <w:numId w:val="36"/>
        </w:numPr>
        <w:tabs>
          <w:tab w:pos="1061" w:val="left" w:leader="none"/>
        </w:tabs>
        <w:spacing w:line="240" w:lineRule="auto" w:before="0" w:after="0"/>
        <w:ind w:left="1060" w:right="0" w:hanging="556"/>
        <w:jc w:val="left"/>
      </w:pPr>
      <w:r>
        <w:rPr/>
        <w:t>Revenue and other</w:t>
      </w:r>
      <w:r>
        <w:rPr>
          <w:spacing w:val="-7"/>
        </w:rPr>
        <w:t> </w:t>
      </w:r>
      <w:r>
        <w:rPr/>
        <w:t>income</w:t>
      </w:r>
    </w:p>
    <w:p>
      <w:pPr>
        <w:pStyle w:val="BodyText"/>
        <w:spacing w:before="4"/>
        <w:rPr>
          <w:b/>
          <w:sz w:val="25"/>
        </w:rPr>
      </w:pPr>
    </w:p>
    <w:p>
      <w:pPr>
        <w:pStyle w:val="BodyText"/>
        <w:ind w:left="1070" w:right="105"/>
        <w:jc w:val="both"/>
      </w:pPr>
      <w:r>
        <w:rPr/>
        <w:t>Revenue is measured at the fair value of the consideration received or receivable.  Amounts disclosed  as revenue are net of returns, trade allowances, rebates and amounts collected on behalf of third parties.</w:t>
      </w:r>
    </w:p>
    <w:p>
      <w:pPr>
        <w:pStyle w:val="BodyText"/>
        <w:spacing w:before="9"/>
        <w:rPr>
          <w:sz w:val="24"/>
        </w:rPr>
      </w:pPr>
    </w:p>
    <w:p>
      <w:pPr>
        <w:pStyle w:val="BodyText"/>
        <w:ind w:left="1069" w:right="102"/>
        <w:jc w:val="both"/>
      </w:pPr>
      <w:r>
        <w:rPr/>
        <w:t>The Company recognises revenue when the amount of revenue can be reliably measured, it is probable that future economic benefits will flow to the entity and specific criteria have been met for each of the Company's activities as described below.  The Company bases its estimates on historical results, taking into consideration  the type of customer, the type of transaction and the specifics of</w:t>
      </w:r>
      <w:r>
        <w:rPr>
          <w:spacing w:val="-35"/>
        </w:rPr>
        <w:t> </w:t>
      </w:r>
      <w:r>
        <w:rPr/>
        <w:t>each arrangement.</w:t>
      </w:r>
    </w:p>
    <w:p>
      <w:pPr>
        <w:spacing w:after="0"/>
        <w:jc w:val="both"/>
        <w:sectPr>
          <w:pgSz w:w="11930" w:h="16850"/>
          <w:pgMar w:header="1035" w:footer="507" w:top="1460" w:bottom="700" w:left="900" w:right="820"/>
        </w:sectPr>
      </w:pPr>
    </w:p>
    <w:p>
      <w:pPr>
        <w:pStyle w:val="BodyText"/>
        <w:spacing w:before="5"/>
        <w:rPr>
          <w:sz w:val="22"/>
        </w:rPr>
      </w:pPr>
    </w:p>
    <w:p>
      <w:pPr>
        <w:pStyle w:val="Heading3"/>
        <w:ind w:right="596"/>
      </w:pPr>
      <w:r>
        <w:rPr/>
        <w:t>Notes to the Financial Statements</w:t>
      </w:r>
    </w:p>
    <w:p>
      <w:pPr>
        <w:spacing w:before="55"/>
        <w:ind w:left="107" w:right="596" w:firstLine="0"/>
        <w:jc w:val="left"/>
        <w:rPr>
          <w:b/>
          <w:sz w:val="28"/>
        </w:rPr>
      </w:pPr>
      <w:r>
        <w:rPr>
          <w:b/>
          <w:sz w:val="28"/>
        </w:rPr>
        <w:t>For the Year Ended 31 December</w:t>
      </w:r>
      <w:r>
        <w:rPr>
          <w:b/>
          <w:spacing w:val="-52"/>
          <w:sz w:val="28"/>
        </w:rPr>
        <w:t> </w:t>
      </w:r>
      <w:r>
        <w:rPr>
          <w:b/>
          <w:sz w:val="28"/>
        </w:rPr>
        <w:t>2012</w:t>
      </w:r>
    </w:p>
    <w:p>
      <w:pPr>
        <w:pStyle w:val="BodyText"/>
        <w:rPr>
          <w:b/>
          <w:sz w:val="28"/>
        </w:rPr>
      </w:pPr>
    </w:p>
    <w:p>
      <w:pPr>
        <w:pStyle w:val="BodyText"/>
        <w:spacing w:before="9"/>
        <w:rPr>
          <w:b/>
          <w:sz w:val="29"/>
        </w:rPr>
      </w:pPr>
    </w:p>
    <w:p>
      <w:pPr>
        <w:pStyle w:val="Heading9"/>
        <w:tabs>
          <w:tab w:pos="499" w:val="left" w:leader="none"/>
        </w:tabs>
        <w:ind w:left="107" w:right="596"/>
      </w:pPr>
      <w:r>
        <w:rPr/>
        <w:t>1</w:t>
        <w:tab/>
        <w:t>Summary of Significant Accounting Policies</w:t>
      </w:r>
      <w:r>
        <w:rPr>
          <w:spacing w:val="-17"/>
        </w:rPr>
        <w:t> </w:t>
      </w:r>
      <w:r>
        <w:rPr/>
        <w:t>continued</w:t>
      </w:r>
    </w:p>
    <w:p>
      <w:pPr>
        <w:pStyle w:val="BodyText"/>
        <w:spacing w:before="4"/>
        <w:rPr>
          <w:b/>
          <w:sz w:val="25"/>
        </w:rPr>
      </w:pPr>
    </w:p>
    <w:p>
      <w:pPr>
        <w:pStyle w:val="BodyText"/>
        <w:ind w:left="1070" w:right="596"/>
      </w:pPr>
      <w:r>
        <w:rPr/>
        <w:t>Revenue is recognised for the major business activities as follows:</w:t>
      </w:r>
    </w:p>
    <w:p>
      <w:pPr>
        <w:pStyle w:val="BodyText"/>
        <w:spacing w:before="9"/>
        <w:rPr>
          <w:sz w:val="24"/>
        </w:rPr>
      </w:pPr>
    </w:p>
    <w:p>
      <w:pPr>
        <w:pStyle w:val="ListParagraph"/>
        <w:numPr>
          <w:ilvl w:val="0"/>
          <w:numId w:val="37"/>
        </w:numPr>
        <w:tabs>
          <w:tab w:pos="1282" w:val="left" w:leader="none"/>
        </w:tabs>
        <w:spacing w:line="240" w:lineRule="auto" w:before="0" w:after="0"/>
        <w:ind w:left="1281" w:right="0" w:hanging="211"/>
        <w:jc w:val="left"/>
        <w:rPr>
          <w:i/>
          <w:sz w:val="18"/>
        </w:rPr>
      </w:pPr>
      <w:r>
        <w:rPr>
          <w:i/>
          <w:sz w:val="18"/>
        </w:rPr>
        <w:t>Rendering of</w:t>
      </w:r>
      <w:r>
        <w:rPr>
          <w:i/>
          <w:spacing w:val="-11"/>
          <w:sz w:val="18"/>
        </w:rPr>
        <w:t> </w:t>
      </w:r>
      <w:r>
        <w:rPr>
          <w:i/>
          <w:sz w:val="18"/>
        </w:rPr>
        <w:t>services</w:t>
      </w:r>
    </w:p>
    <w:p>
      <w:pPr>
        <w:pStyle w:val="BodyText"/>
        <w:spacing w:before="7"/>
        <w:rPr>
          <w:i/>
          <w:sz w:val="25"/>
        </w:rPr>
      </w:pPr>
    </w:p>
    <w:p>
      <w:pPr>
        <w:pStyle w:val="BodyText"/>
        <w:spacing w:line="204" w:lineRule="exact" w:before="1"/>
        <w:ind w:left="1070" w:right="104"/>
      </w:pPr>
      <w:r>
        <w:rPr/>
        <w:t>A sale is recorded when services have been provided to the customer, the customer has accepted the services and collectability of the related receivables is probable.</w:t>
      </w:r>
    </w:p>
    <w:p>
      <w:pPr>
        <w:pStyle w:val="BodyText"/>
        <w:spacing w:before="8"/>
        <w:rPr>
          <w:sz w:val="24"/>
        </w:rPr>
      </w:pPr>
    </w:p>
    <w:p>
      <w:pPr>
        <w:pStyle w:val="ListParagraph"/>
        <w:numPr>
          <w:ilvl w:val="0"/>
          <w:numId w:val="37"/>
        </w:numPr>
        <w:tabs>
          <w:tab w:pos="1323" w:val="left" w:leader="none"/>
        </w:tabs>
        <w:spacing w:line="240" w:lineRule="auto" w:before="1" w:after="0"/>
        <w:ind w:left="1322" w:right="0" w:hanging="252"/>
        <w:jc w:val="left"/>
        <w:rPr>
          <w:i/>
          <w:sz w:val="18"/>
        </w:rPr>
      </w:pPr>
      <w:r>
        <w:rPr>
          <w:i/>
          <w:sz w:val="18"/>
        </w:rPr>
        <w:t>Investment</w:t>
      </w:r>
      <w:r>
        <w:rPr>
          <w:i/>
          <w:spacing w:val="-11"/>
          <w:sz w:val="18"/>
        </w:rPr>
        <w:t> </w:t>
      </w:r>
      <w:r>
        <w:rPr>
          <w:i/>
          <w:sz w:val="18"/>
        </w:rPr>
        <w:t>income</w:t>
      </w:r>
    </w:p>
    <w:p>
      <w:pPr>
        <w:pStyle w:val="BodyText"/>
        <w:spacing w:before="11"/>
        <w:rPr>
          <w:i/>
          <w:sz w:val="24"/>
        </w:rPr>
      </w:pPr>
    </w:p>
    <w:p>
      <w:pPr>
        <w:pStyle w:val="BodyText"/>
        <w:ind w:left="1070" w:right="596"/>
      </w:pPr>
      <w:r>
        <w:rPr/>
        <w:t>Interest income is recognised using the effective interest method.</w:t>
      </w:r>
    </w:p>
    <w:p>
      <w:pPr>
        <w:pStyle w:val="BodyText"/>
        <w:spacing w:before="9"/>
        <w:rPr>
          <w:sz w:val="24"/>
        </w:rPr>
      </w:pPr>
    </w:p>
    <w:p>
      <w:pPr>
        <w:pStyle w:val="ListParagraph"/>
        <w:numPr>
          <w:ilvl w:val="0"/>
          <w:numId w:val="37"/>
        </w:numPr>
        <w:tabs>
          <w:tab w:pos="1364" w:val="left" w:leader="none"/>
        </w:tabs>
        <w:spacing w:line="240" w:lineRule="auto" w:before="0" w:after="0"/>
        <w:ind w:left="1363" w:right="0" w:hanging="293"/>
        <w:jc w:val="left"/>
        <w:rPr>
          <w:i/>
          <w:sz w:val="18"/>
        </w:rPr>
      </w:pPr>
      <w:r>
        <w:rPr>
          <w:i/>
          <w:sz w:val="18"/>
        </w:rPr>
        <w:t>HEPP project</w:t>
      </w:r>
      <w:r>
        <w:rPr>
          <w:i/>
          <w:spacing w:val="-10"/>
          <w:sz w:val="18"/>
        </w:rPr>
        <w:t> </w:t>
      </w:r>
      <w:r>
        <w:rPr>
          <w:i/>
          <w:sz w:val="18"/>
        </w:rPr>
        <w:t>funding</w:t>
      </w:r>
    </w:p>
    <w:p>
      <w:pPr>
        <w:pStyle w:val="BodyText"/>
        <w:spacing w:before="2"/>
        <w:rPr>
          <w:i/>
          <w:sz w:val="25"/>
        </w:rPr>
      </w:pPr>
    </w:p>
    <w:p>
      <w:pPr>
        <w:pStyle w:val="BodyText"/>
        <w:spacing w:line="573" w:lineRule="auto"/>
        <w:ind w:left="1070" w:right="4057"/>
      </w:pPr>
      <w:r>
        <w:rPr/>
        <w:t>HEPP project funding is recognised in income when received. All other material revenue is accounted for on an accrual basis.</w:t>
      </w:r>
    </w:p>
    <w:p>
      <w:pPr>
        <w:pStyle w:val="Heading9"/>
        <w:numPr>
          <w:ilvl w:val="0"/>
          <w:numId w:val="36"/>
        </w:numPr>
        <w:tabs>
          <w:tab w:pos="1061" w:val="left" w:leader="none"/>
        </w:tabs>
        <w:spacing w:line="240" w:lineRule="auto" w:before="3" w:after="0"/>
        <w:ind w:left="1060" w:right="0" w:hanging="556"/>
        <w:jc w:val="left"/>
      </w:pPr>
      <w:r>
        <w:rPr/>
        <w:t>Finance</w:t>
      </w:r>
      <w:r>
        <w:rPr>
          <w:spacing w:val="-3"/>
        </w:rPr>
        <w:t> </w:t>
      </w:r>
      <w:r>
        <w:rPr/>
        <w:t>costs</w:t>
      </w:r>
    </w:p>
    <w:p>
      <w:pPr>
        <w:pStyle w:val="BodyText"/>
        <w:spacing w:before="4"/>
        <w:rPr>
          <w:b/>
          <w:sz w:val="25"/>
        </w:rPr>
      </w:pPr>
    </w:p>
    <w:p>
      <w:pPr>
        <w:pStyle w:val="BodyText"/>
        <w:ind w:left="1070" w:right="104"/>
      </w:pPr>
      <w:r>
        <w:rPr/>
        <w:t>Finance costs are expensed in the statement of comprehensive income in the period in which they are incurred.</w:t>
      </w:r>
    </w:p>
    <w:p>
      <w:pPr>
        <w:pStyle w:val="BodyText"/>
        <w:spacing w:before="4"/>
        <w:rPr>
          <w:sz w:val="24"/>
        </w:rPr>
      </w:pPr>
    </w:p>
    <w:p>
      <w:pPr>
        <w:pStyle w:val="Heading9"/>
        <w:numPr>
          <w:ilvl w:val="0"/>
          <w:numId w:val="36"/>
        </w:numPr>
        <w:tabs>
          <w:tab w:pos="1061" w:val="left" w:leader="none"/>
        </w:tabs>
        <w:spacing w:line="240" w:lineRule="auto" w:before="0" w:after="0"/>
        <w:ind w:left="1060" w:right="0" w:hanging="556"/>
        <w:jc w:val="left"/>
      </w:pPr>
      <w:r>
        <w:rPr/>
        <w:t>Cash and cash</w:t>
      </w:r>
      <w:r>
        <w:rPr>
          <w:spacing w:val="-10"/>
        </w:rPr>
        <w:t> </w:t>
      </w:r>
      <w:r>
        <w:rPr/>
        <w:t>equivalents</w:t>
      </w:r>
    </w:p>
    <w:p>
      <w:pPr>
        <w:pStyle w:val="BodyText"/>
        <w:spacing w:before="4"/>
        <w:rPr>
          <w:b/>
          <w:sz w:val="25"/>
        </w:rPr>
      </w:pPr>
    </w:p>
    <w:p>
      <w:pPr>
        <w:pStyle w:val="BodyText"/>
        <w:ind w:left="1070" w:right="596"/>
      </w:pPr>
      <w:r>
        <w:rPr/>
        <w:t>Cash and cash equivalents include cash at bank and on hand.</w:t>
      </w:r>
    </w:p>
    <w:p>
      <w:pPr>
        <w:pStyle w:val="BodyText"/>
        <w:spacing w:before="6"/>
        <w:rPr>
          <w:sz w:val="24"/>
        </w:rPr>
      </w:pPr>
    </w:p>
    <w:p>
      <w:pPr>
        <w:pStyle w:val="Heading9"/>
        <w:numPr>
          <w:ilvl w:val="0"/>
          <w:numId w:val="36"/>
        </w:numPr>
        <w:tabs>
          <w:tab w:pos="1061" w:val="left" w:leader="none"/>
        </w:tabs>
        <w:spacing w:line="240" w:lineRule="auto" w:before="0" w:after="0"/>
        <w:ind w:left="1060" w:right="0" w:hanging="556"/>
        <w:jc w:val="left"/>
      </w:pPr>
      <w:r>
        <w:rPr/>
        <w:t>Trade</w:t>
      </w:r>
      <w:r>
        <w:rPr>
          <w:spacing w:val="-6"/>
        </w:rPr>
        <w:t> </w:t>
      </w:r>
      <w:r>
        <w:rPr/>
        <w:t>receivables</w:t>
      </w:r>
    </w:p>
    <w:p>
      <w:pPr>
        <w:pStyle w:val="BodyText"/>
        <w:spacing w:before="2"/>
        <w:rPr>
          <w:b/>
          <w:sz w:val="25"/>
        </w:rPr>
      </w:pPr>
    </w:p>
    <w:p>
      <w:pPr>
        <w:pStyle w:val="BodyText"/>
        <w:ind w:left="1070" w:right="155"/>
      </w:pPr>
      <w:r>
        <w:rPr/>
        <w:t>Trade receivables are recognised initially at fair value and subsequently measured at amortised cost using the effective interest method, less provision for impairment. Trade receivables are due for settlement within 30 days. They are presented as current assets unless collection is not expected for more than 12 months after the reporting date.</w:t>
      </w:r>
    </w:p>
    <w:p>
      <w:pPr>
        <w:pStyle w:val="BodyText"/>
        <w:spacing w:before="1"/>
        <w:rPr>
          <w:sz w:val="25"/>
        </w:rPr>
      </w:pPr>
    </w:p>
    <w:p>
      <w:pPr>
        <w:pStyle w:val="BodyText"/>
        <w:spacing w:line="237" w:lineRule="auto"/>
        <w:ind w:left="1070" w:right="165"/>
      </w:pPr>
      <w:r>
        <w:rPr/>
        <w:t>Collectability of trade receivables is reviewed on an ongoing basis.  Debts which are known to be uncollectible are written off by reducing the carrying amount directly. An allowance account (provision for impairment of trade receivables) is used when there is objective evidence that the Company will not be able to collect all amounts due according to the original terms of the receivables. Significant financial difficulties of the debtor, probability that the debtor will enter bankruptcy or financial reorganisation, and default or delinquency in payments (more than 30 days overdue) are considered indicators that the trade receivable is impaired. The amount of the impairment allowance is the difference between the asset's carrying amount and the present value of estimated future cash flows, discounted at the original effective interest rate. Cash flows relating to short term receivables are not discounted if the effect of discounting is immaterial.</w:t>
      </w:r>
    </w:p>
    <w:p>
      <w:pPr>
        <w:pStyle w:val="BodyText"/>
        <w:rPr>
          <w:sz w:val="25"/>
        </w:rPr>
      </w:pPr>
    </w:p>
    <w:p>
      <w:pPr>
        <w:pStyle w:val="BodyText"/>
        <w:ind w:left="1070" w:right="104"/>
      </w:pPr>
      <w:r>
        <w:rPr/>
        <w:t>The amount of the impairment loss is recognised in statement of comprehensive income within other expenses. When a trade receivable for which an impairment allowance had been recognised becomes uncollectible in a subsequent period, it is written off against the allowance account. Subsequent recoveries of amounts previously written off are credited against other expenses in the statement of comprehensive income.</w:t>
      </w:r>
    </w:p>
    <w:p>
      <w:pPr>
        <w:spacing w:after="0"/>
        <w:sectPr>
          <w:pgSz w:w="11930" w:h="16850"/>
          <w:pgMar w:header="1035" w:footer="507" w:top="1460" w:bottom="700" w:left="900" w:right="860"/>
        </w:sectPr>
      </w:pPr>
    </w:p>
    <w:p>
      <w:pPr>
        <w:pStyle w:val="BodyText"/>
        <w:spacing w:before="2"/>
        <w:rPr>
          <w:sz w:val="24"/>
        </w:rPr>
      </w:pPr>
    </w:p>
    <w:p>
      <w:pPr>
        <w:pStyle w:val="Heading3"/>
        <w:spacing w:before="64"/>
      </w:pPr>
      <w:r>
        <w:rPr/>
        <w:t>Notes to the Financial Statements</w:t>
      </w:r>
    </w:p>
    <w:p>
      <w:pPr>
        <w:spacing w:before="56"/>
        <w:ind w:left="107" w:right="125" w:firstLine="0"/>
        <w:jc w:val="left"/>
        <w:rPr>
          <w:b/>
          <w:sz w:val="28"/>
        </w:rPr>
      </w:pPr>
      <w:r>
        <w:rPr>
          <w:b/>
          <w:sz w:val="28"/>
        </w:rPr>
        <w:t>For the Year Ended 31 December 2012</w:t>
      </w:r>
    </w:p>
    <w:p>
      <w:pPr>
        <w:pStyle w:val="BodyText"/>
        <w:rPr>
          <w:b/>
          <w:sz w:val="28"/>
        </w:rPr>
      </w:pPr>
    </w:p>
    <w:p>
      <w:pPr>
        <w:pStyle w:val="BodyText"/>
        <w:rPr>
          <w:b/>
          <w:sz w:val="30"/>
        </w:rPr>
      </w:pPr>
    </w:p>
    <w:p>
      <w:pPr>
        <w:pStyle w:val="Heading9"/>
        <w:tabs>
          <w:tab w:pos="503" w:val="left" w:leader="none"/>
        </w:tabs>
        <w:ind w:left="109" w:right="125"/>
      </w:pPr>
      <w:r>
        <w:rPr/>
        <w:t>1</w:t>
        <w:tab/>
        <w:t>Summary of Significant Accounting Policies</w:t>
      </w:r>
      <w:r>
        <w:rPr>
          <w:spacing w:val="-3"/>
        </w:rPr>
        <w:t> </w:t>
      </w:r>
      <w:r>
        <w:rPr/>
        <w:t>continued</w:t>
      </w:r>
    </w:p>
    <w:p>
      <w:pPr>
        <w:pStyle w:val="BodyText"/>
        <w:spacing w:before="11"/>
        <w:rPr>
          <w:b/>
          <w:sz w:val="24"/>
        </w:rPr>
      </w:pPr>
    </w:p>
    <w:p>
      <w:pPr>
        <w:pStyle w:val="ListParagraph"/>
        <w:numPr>
          <w:ilvl w:val="0"/>
          <w:numId w:val="36"/>
        </w:numPr>
        <w:tabs>
          <w:tab w:pos="1071" w:val="left" w:leader="none"/>
        </w:tabs>
        <w:spacing w:line="240" w:lineRule="auto" w:before="0" w:after="0"/>
        <w:ind w:left="1070" w:right="0" w:hanging="566"/>
        <w:jc w:val="left"/>
        <w:rPr>
          <w:b/>
          <w:sz w:val="18"/>
        </w:rPr>
      </w:pPr>
      <w:r>
        <w:rPr>
          <w:b/>
          <w:sz w:val="18"/>
        </w:rPr>
        <w:t>Property, Plant and Equipment</w:t>
      </w:r>
    </w:p>
    <w:p>
      <w:pPr>
        <w:pStyle w:val="BodyText"/>
        <w:rPr>
          <w:b/>
          <w:sz w:val="25"/>
        </w:rPr>
      </w:pPr>
    </w:p>
    <w:p>
      <w:pPr>
        <w:pStyle w:val="BodyText"/>
        <w:ind w:left="1070" w:right="125"/>
      </w:pPr>
      <w:r>
        <w:rPr/>
        <w:t>Each class of property, plant and equipment is carried at cost or fair value as indicated less, where applicable, any accumulated depreciation and impairment losses.</w:t>
      </w:r>
    </w:p>
    <w:p>
      <w:pPr>
        <w:pStyle w:val="BodyText"/>
        <w:rPr>
          <w:sz w:val="25"/>
        </w:rPr>
      </w:pPr>
    </w:p>
    <w:p>
      <w:pPr>
        <w:pStyle w:val="Heading9"/>
        <w:jc w:val="both"/>
      </w:pPr>
      <w:r>
        <w:rPr/>
        <w:t>Plant and equipment</w:t>
      </w:r>
    </w:p>
    <w:p>
      <w:pPr>
        <w:pStyle w:val="BodyText"/>
        <w:rPr>
          <w:b/>
          <w:sz w:val="25"/>
        </w:rPr>
      </w:pPr>
    </w:p>
    <w:p>
      <w:pPr>
        <w:pStyle w:val="BodyText"/>
        <w:ind w:left="1070" w:right="125"/>
      </w:pPr>
      <w:r>
        <w:rPr/>
        <w:t>Plant and equipment are measured on the cost basis less depreciation and impairment losses. Cost includes expenditure that is directly attributable to the asset.</w:t>
      </w:r>
    </w:p>
    <w:p>
      <w:pPr>
        <w:pStyle w:val="BodyText"/>
        <w:rPr>
          <w:sz w:val="25"/>
        </w:rPr>
      </w:pPr>
    </w:p>
    <w:p>
      <w:pPr>
        <w:pStyle w:val="BodyText"/>
        <w:ind w:left="1070" w:right="113"/>
        <w:jc w:val="both"/>
      </w:pPr>
      <w:r>
        <w:rPr/>
        <w:t>Subsequent costs are included in the asset's carrying amount or recognised as a separate asset, as appropriate, only when it is probable that the future economic benefits associated with the item will flow to the Company and the cost of the item can be measured reliably. The carrying amount of any component accounted for as a seperate asset is derecognised when replaced. All other repairs and maintenance are charged to the statement of comprehensive income during the reporting period in which they are incurred.</w:t>
      </w:r>
    </w:p>
    <w:p>
      <w:pPr>
        <w:pStyle w:val="BodyText"/>
        <w:rPr>
          <w:sz w:val="25"/>
        </w:rPr>
      </w:pPr>
    </w:p>
    <w:p>
      <w:pPr>
        <w:pStyle w:val="BodyText"/>
        <w:ind w:left="1070" w:right="156"/>
        <w:jc w:val="both"/>
      </w:pPr>
      <w:r>
        <w:rPr/>
        <w:t>Plant and equipment that have been contributed at no cost, or for nominal cost are valued and recognised at the fair value of the asset at the date it is acquired.</w:t>
      </w:r>
    </w:p>
    <w:p>
      <w:pPr>
        <w:pStyle w:val="BodyText"/>
        <w:rPr>
          <w:sz w:val="25"/>
        </w:rPr>
      </w:pPr>
    </w:p>
    <w:p>
      <w:pPr>
        <w:pStyle w:val="Heading9"/>
        <w:jc w:val="both"/>
      </w:pPr>
      <w:r>
        <w:rPr/>
        <w:t>Depreciation</w:t>
      </w:r>
    </w:p>
    <w:p>
      <w:pPr>
        <w:pStyle w:val="BodyText"/>
        <w:rPr>
          <w:b/>
          <w:sz w:val="25"/>
        </w:rPr>
      </w:pPr>
    </w:p>
    <w:p>
      <w:pPr>
        <w:pStyle w:val="BodyText"/>
        <w:ind w:left="1070" w:right="112"/>
        <w:jc w:val="both"/>
      </w:pPr>
      <w:r>
        <w:rPr/>
        <w:t>The depreciable amount of all fixed assets is depreciated on a straight-line basis over the asset's useful life to the Company commencing from the time the asset is held ready for use. Leasehold improvements are depreciated over the shorter of either the unexpired period of the lease or the estimated useful lives of the improvements.</w:t>
      </w:r>
    </w:p>
    <w:p>
      <w:pPr>
        <w:pStyle w:val="BodyText"/>
        <w:rPr>
          <w:sz w:val="25"/>
        </w:rPr>
      </w:pPr>
    </w:p>
    <w:p>
      <w:pPr>
        <w:pStyle w:val="BodyText"/>
        <w:ind w:left="1070"/>
        <w:jc w:val="both"/>
      </w:pPr>
      <w:r>
        <w:rPr/>
        <w:t>The estimated useful lives used for each class of depreciable assets are:</w:t>
      </w:r>
    </w:p>
    <w:p>
      <w:pPr>
        <w:pStyle w:val="BodyText"/>
        <w:spacing w:before="6"/>
        <w:rPr>
          <w:sz w:val="24"/>
        </w:rPr>
      </w:pPr>
    </w:p>
    <w:p>
      <w:pPr>
        <w:pStyle w:val="Heading9"/>
        <w:tabs>
          <w:tab w:pos="5795" w:val="left" w:leader="none"/>
        </w:tabs>
        <w:ind w:left="3317" w:right="125"/>
      </w:pPr>
      <w:r>
        <w:rPr>
          <w:color w:val="FFFBF0"/>
        </w:rPr>
        <w:t>Class of</w:t>
      </w:r>
      <w:r>
        <w:rPr>
          <w:color w:val="FFFBF0"/>
          <w:spacing w:val="-1"/>
        </w:rPr>
        <w:t> </w:t>
      </w:r>
      <w:r>
        <w:rPr>
          <w:color w:val="FFFBF0"/>
        </w:rPr>
        <w:t>Fixed</w:t>
      </w:r>
      <w:r>
        <w:rPr>
          <w:color w:val="FFFBF0"/>
          <w:spacing w:val="-1"/>
        </w:rPr>
        <w:t> </w:t>
      </w:r>
      <w:r>
        <w:rPr>
          <w:color w:val="FFFBF0"/>
        </w:rPr>
        <w:t>Asset</w:t>
        <w:tab/>
      </w:r>
      <w:r>
        <w:rPr/>
        <w:t>Useful Life</w:t>
      </w:r>
    </w:p>
    <w:p>
      <w:pPr>
        <w:pStyle w:val="BodyText"/>
        <w:tabs>
          <w:tab w:pos="6029" w:val="left" w:leader="none"/>
        </w:tabs>
        <w:spacing w:before="63"/>
        <w:ind w:left="1070"/>
        <w:jc w:val="both"/>
      </w:pPr>
      <w:r>
        <w:rPr/>
        <w:t>Plant</w:t>
      </w:r>
      <w:r>
        <w:rPr>
          <w:spacing w:val="-1"/>
        </w:rPr>
        <w:t> </w:t>
      </w:r>
      <w:r>
        <w:rPr/>
        <w:t>and</w:t>
      </w:r>
      <w:r>
        <w:rPr>
          <w:spacing w:val="-1"/>
        </w:rPr>
        <w:t> </w:t>
      </w:r>
      <w:r>
        <w:rPr/>
        <w:t>Equipment</w:t>
        <w:tab/>
        <w:t>20</w:t>
      </w:r>
      <w:r>
        <w:rPr>
          <w:spacing w:val="-1"/>
        </w:rPr>
        <w:t> </w:t>
      </w:r>
      <w:r>
        <w:rPr/>
        <w:t>years</w:t>
      </w:r>
    </w:p>
    <w:p>
      <w:pPr>
        <w:pStyle w:val="BodyText"/>
        <w:tabs>
          <w:tab w:pos="6129" w:val="left" w:leader="none"/>
        </w:tabs>
        <w:spacing w:before="57"/>
        <w:ind w:left="1070"/>
        <w:jc w:val="both"/>
      </w:pPr>
      <w:r>
        <w:rPr/>
        <w:t>Furniture, Fixtures</w:t>
      </w:r>
      <w:r>
        <w:rPr>
          <w:spacing w:val="-1"/>
        </w:rPr>
        <w:t> </w:t>
      </w:r>
      <w:r>
        <w:rPr/>
        <w:t>and</w:t>
      </w:r>
      <w:r>
        <w:rPr>
          <w:spacing w:val="-1"/>
        </w:rPr>
        <w:t> </w:t>
      </w:r>
      <w:r>
        <w:rPr/>
        <w:t>Fittings</w:t>
        <w:tab/>
        <w:t>3</w:t>
      </w:r>
      <w:r>
        <w:rPr>
          <w:spacing w:val="-1"/>
        </w:rPr>
        <w:t> </w:t>
      </w:r>
      <w:r>
        <w:rPr/>
        <w:t>years</w:t>
      </w:r>
    </w:p>
    <w:p>
      <w:pPr>
        <w:pStyle w:val="BodyText"/>
        <w:tabs>
          <w:tab w:pos="6129" w:val="left" w:leader="none"/>
        </w:tabs>
        <w:spacing w:before="57"/>
        <w:ind w:left="1070"/>
        <w:jc w:val="both"/>
      </w:pPr>
      <w:r>
        <w:rPr/>
        <w:t>Computer</w:t>
      </w:r>
      <w:r>
        <w:rPr>
          <w:spacing w:val="-1"/>
        </w:rPr>
        <w:t> </w:t>
      </w:r>
      <w:r>
        <w:rPr/>
        <w:t>Equipment</w:t>
        <w:tab/>
        <w:t>3</w:t>
      </w:r>
      <w:r>
        <w:rPr>
          <w:spacing w:val="-1"/>
        </w:rPr>
        <w:t> </w:t>
      </w:r>
      <w:r>
        <w:rPr/>
        <w:t>years</w:t>
      </w:r>
    </w:p>
    <w:p>
      <w:pPr>
        <w:pStyle w:val="BodyText"/>
        <w:tabs>
          <w:tab w:pos="6129" w:val="left" w:leader="none"/>
        </w:tabs>
        <w:spacing w:before="57"/>
        <w:ind w:left="1070"/>
        <w:jc w:val="both"/>
      </w:pPr>
      <w:r>
        <w:rPr/>
        <w:t>Transmission</w:t>
      </w:r>
      <w:r>
        <w:rPr>
          <w:spacing w:val="-1"/>
        </w:rPr>
        <w:t> </w:t>
      </w:r>
      <w:r>
        <w:rPr/>
        <w:t>Equipment</w:t>
        <w:tab/>
        <w:t>3</w:t>
      </w:r>
      <w:r>
        <w:rPr>
          <w:spacing w:val="-1"/>
        </w:rPr>
        <w:t> </w:t>
      </w:r>
      <w:r>
        <w:rPr/>
        <w:t>years</w:t>
      </w:r>
    </w:p>
    <w:p>
      <w:pPr>
        <w:pStyle w:val="BodyText"/>
      </w:pPr>
    </w:p>
    <w:p>
      <w:pPr>
        <w:pStyle w:val="BodyText"/>
        <w:spacing w:before="108"/>
        <w:ind w:left="1070" w:right="220"/>
      </w:pPr>
      <w:r>
        <w:rPr/>
        <w:t>The assets' residual values, depreciation methods and useful lives are reviewed, and adjusted if appropriate, at the end of each reporting period.</w:t>
      </w:r>
    </w:p>
    <w:p>
      <w:pPr>
        <w:pStyle w:val="BodyText"/>
        <w:rPr>
          <w:sz w:val="25"/>
        </w:rPr>
      </w:pPr>
    </w:p>
    <w:p>
      <w:pPr>
        <w:pStyle w:val="BodyText"/>
        <w:ind w:left="1070" w:right="199"/>
        <w:jc w:val="both"/>
      </w:pPr>
      <w:r>
        <w:rPr/>
        <w:t>An asset's carrying amount is written down immediately to its recoverable amount if the asset's carrying amount is greater than its estimated recoverable amount.</w:t>
      </w:r>
    </w:p>
    <w:p>
      <w:pPr>
        <w:pStyle w:val="BodyText"/>
        <w:rPr>
          <w:sz w:val="25"/>
        </w:rPr>
      </w:pPr>
    </w:p>
    <w:p>
      <w:pPr>
        <w:pStyle w:val="BodyText"/>
        <w:ind w:left="1070" w:right="355"/>
      </w:pPr>
      <w:r>
        <w:rPr/>
        <w:t>Gains and losses on disposals are determined by comparing proceeds with the carrying amount. These gains and losses are included in the statement of comprehensive income.</w:t>
      </w:r>
    </w:p>
    <w:p>
      <w:pPr>
        <w:pStyle w:val="BodyText"/>
        <w:spacing w:before="11"/>
        <w:rPr>
          <w:sz w:val="24"/>
        </w:rPr>
      </w:pPr>
    </w:p>
    <w:p>
      <w:pPr>
        <w:pStyle w:val="Heading9"/>
        <w:numPr>
          <w:ilvl w:val="0"/>
          <w:numId w:val="36"/>
        </w:numPr>
        <w:tabs>
          <w:tab w:pos="1071" w:val="left" w:leader="none"/>
        </w:tabs>
        <w:spacing w:line="240" w:lineRule="auto" w:before="0" w:after="0"/>
        <w:ind w:left="1070" w:right="0" w:hanging="566"/>
        <w:jc w:val="left"/>
      </w:pPr>
      <w:r>
        <w:rPr/>
        <w:t>Intangible Assets</w:t>
      </w:r>
    </w:p>
    <w:p>
      <w:pPr>
        <w:pStyle w:val="BodyText"/>
        <w:rPr>
          <w:b/>
          <w:sz w:val="25"/>
        </w:rPr>
      </w:pPr>
    </w:p>
    <w:p>
      <w:pPr>
        <w:spacing w:line="207" w:lineRule="exact" w:before="0"/>
        <w:ind w:left="1070" w:right="0" w:firstLine="0"/>
        <w:jc w:val="both"/>
        <w:rPr>
          <w:i/>
          <w:sz w:val="18"/>
        </w:rPr>
      </w:pPr>
      <w:r>
        <w:rPr>
          <w:sz w:val="18"/>
        </w:rPr>
        <w:t>(i) </w:t>
      </w:r>
      <w:r>
        <w:rPr>
          <w:i/>
          <w:sz w:val="18"/>
        </w:rPr>
        <w:t>Transmission setup fee</w:t>
      </w:r>
    </w:p>
    <w:p>
      <w:pPr>
        <w:pStyle w:val="BodyText"/>
        <w:ind w:left="1070" w:right="114"/>
        <w:jc w:val="both"/>
      </w:pPr>
      <w:r>
        <w:rPr/>
        <w:t>Transmission set up fee has a finite useful life and is carried at cost less accumulated amortisation and impairment losses. Amortisation is calculated using the straight method to allocate the cost over its estimated useful life of 10 years.</w:t>
      </w:r>
    </w:p>
    <w:p>
      <w:pPr>
        <w:spacing w:after="0"/>
        <w:jc w:val="both"/>
        <w:sectPr>
          <w:pgSz w:w="11910" w:h="16840"/>
          <w:pgMar w:header="1035" w:footer="507" w:top="1460" w:bottom="700" w:left="900" w:right="860"/>
        </w:sectPr>
      </w:pPr>
    </w:p>
    <w:p>
      <w:pPr>
        <w:pStyle w:val="BodyText"/>
        <w:spacing w:before="5"/>
        <w:rPr>
          <w:sz w:val="22"/>
        </w:rPr>
      </w:pPr>
    </w:p>
    <w:p>
      <w:pPr>
        <w:pStyle w:val="Heading3"/>
        <w:ind w:right="500"/>
      </w:pPr>
      <w:r>
        <w:rPr/>
        <w:t>Notes to the Financial Statements</w:t>
      </w:r>
    </w:p>
    <w:p>
      <w:pPr>
        <w:spacing w:before="55"/>
        <w:ind w:left="107" w:right="500" w:firstLine="0"/>
        <w:jc w:val="left"/>
        <w:rPr>
          <w:b/>
          <w:sz w:val="28"/>
        </w:rPr>
      </w:pPr>
      <w:r>
        <w:rPr>
          <w:b/>
          <w:sz w:val="28"/>
        </w:rPr>
        <w:t>For the Year Ended 31 December</w:t>
      </w:r>
      <w:r>
        <w:rPr>
          <w:b/>
          <w:spacing w:val="-52"/>
          <w:sz w:val="28"/>
        </w:rPr>
        <w:t> </w:t>
      </w:r>
      <w:r>
        <w:rPr>
          <w:b/>
          <w:sz w:val="28"/>
        </w:rPr>
        <w:t>2012</w:t>
      </w:r>
    </w:p>
    <w:p>
      <w:pPr>
        <w:pStyle w:val="BodyText"/>
        <w:rPr>
          <w:b/>
          <w:sz w:val="28"/>
        </w:rPr>
      </w:pPr>
    </w:p>
    <w:p>
      <w:pPr>
        <w:pStyle w:val="BodyText"/>
        <w:spacing w:before="9"/>
        <w:rPr>
          <w:b/>
          <w:sz w:val="29"/>
        </w:rPr>
      </w:pPr>
    </w:p>
    <w:p>
      <w:pPr>
        <w:pStyle w:val="Heading9"/>
        <w:tabs>
          <w:tab w:pos="499" w:val="left" w:leader="none"/>
        </w:tabs>
        <w:ind w:left="107" w:right="500"/>
      </w:pPr>
      <w:r>
        <w:rPr/>
        <w:t>1</w:t>
        <w:tab/>
        <w:t>Summary of Significant Accounting Policies</w:t>
      </w:r>
      <w:r>
        <w:rPr>
          <w:spacing w:val="-17"/>
        </w:rPr>
        <w:t> </w:t>
      </w:r>
      <w:r>
        <w:rPr/>
        <w:t>continued</w:t>
      </w:r>
    </w:p>
    <w:p>
      <w:pPr>
        <w:pStyle w:val="BodyText"/>
        <w:spacing w:before="11"/>
        <w:rPr>
          <w:b/>
          <w:sz w:val="24"/>
        </w:rPr>
      </w:pPr>
    </w:p>
    <w:p>
      <w:pPr>
        <w:pStyle w:val="ListParagraph"/>
        <w:numPr>
          <w:ilvl w:val="0"/>
          <w:numId w:val="36"/>
        </w:numPr>
        <w:tabs>
          <w:tab w:pos="1081" w:val="left" w:leader="none"/>
        </w:tabs>
        <w:spacing w:line="240" w:lineRule="auto" w:before="0" w:after="0"/>
        <w:ind w:left="1080" w:right="0" w:hanging="552"/>
        <w:jc w:val="left"/>
        <w:rPr>
          <w:b/>
          <w:sz w:val="18"/>
        </w:rPr>
      </w:pPr>
      <w:r>
        <w:rPr>
          <w:b/>
          <w:sz w:val="18"/>
        </w:rPr>
        <w:t>Financial</w:t>
      </w:r>
      <w:r>
        <w:rPr>
          <w:b/>
          <w:spacing w:val="-5"/>
          <w:sz w:val="18"/>
        </w:rPr>
        <w:t> </w:t>
      </w:r>
      <w:r>
        <w:rPr>
          <w:b/>
          <w:sz w:val="18"/>
        </w:rPr>
        <w:t>assets</w:t>
      </w:r>
    </w:p>
    <w:p>
      <w:pPr>
        <w:pStyle w:val="BodyText"/>
        <w:spacing w:before="2"/>
        <w:rPr>
          <w:b/>
          <w:sz w:val="25"/>
        </w:rPr>
      </w:pPr>
    </w:p>
    <w:p>
      <w:pPr>
        <w:spacing w:before="0"/>
        <w:ind w:left="1070" w:right="0" w:firstLine="0"/>
        <w:jc w:val="both"/>
        <w:rPr>
          <w:i/>
          <w:sz w:val="18"/>
        </w:rPr>
      </w:pPr>
      <w:r>
        <w:rPr>
          <w:i/>
          <w:sz w:val="18"/>
        </w:rPr>
        <w:t>Classification</w:t>
      </w:r>
    </w:p>
    <w:p>
      <w:pPr>
        <w:pStyle w:val="BodyText"/>
        <w:spacing w:before="11"/>
        <w:rPr>
          <w:i/>
          <w:sz w:val="24"/>
        </w:rPr>
      </w:pPr>
    </w:p>
    <w:p>
      <w:pPr>
        <w:pStyle w:val="BodyText"/>
        <w:ind w:left="1070"/>
        <w:jc w:val="both"/>
      </w:pPr>
      <w:r>
        <w:rPr/>
        <w:t>The Company classifies its investments as loans and receivables.</w:t>
      </w:r>
    </w:p>
    <w:p>
      <w:pPr>
        <w:pStyle w:val="BodyText"/>
        <w:rPr>
          <w:sz w:val="25"/>
        </w:rPr>
      </w:pPr>
    </w:p>
    <w:p>
      <w:pPr>
        <w:pStyle w:val="BodyText"/>
        <w:ind w:left="1070"/>
        <w:jc w:val="both"/>
      </w:pPr>
      <w:r>
        <w:rPr/>
        <w:t>(i) Loans and receivables</w:t>
      </w:r>
    </w:p>
    <w:p>
      <w:pPr>
        <w:pStyle w:val="BodyText"/>
        <w:spacing w:before="11"/>
        <w:rPr>
          <w:sz w:val="25"/>
        </w:rPr>
      </w:pPr>
    </w:p>
    <w:p>
      <w:pPr>
        <w:pStyle w:val="BodyText"/>
        <w:spacing w:line="237" w:lineRule="auto"/>
        <w:ind w:left="1068" w:right="141" w:firstLine="1"/>
        <w:jc w:val="both"/>
      </w:pPr>
      <w:r>
        <w:rPr/>
        <w:t>Loans and receivables are non derivative financial assets with fixed or determinable payments that are not  quoted in an active market. They are included in current assets, except for those with maturities greater than 12 months after the reporting period which are classified as non current assets. Loans and receivables are included in trade and other receivables (note 6) in the statement of financial position. The assets residual values are reviewed and adjusted if appropriate at each reporting</w:t>
      </w:r>
      <w:r>
        <w:rPr>
          <w:spacing w:val="-23"/>
        </w:rPr>
        <w:t> </w:t>
      </w:r>
      <w:r>
        <w:rPr/>
        <w:t>date.</w:t>
      </w:r>
    </w:p>
    <w:p>
      <w:pPr>
        <w:pStyle w:val="BodyText"/>
        <w:spacing w:before="9"/>
        <w:rPr>
          <w:sz w:val="24"/>
        </w:rPr>
      </w:pPr>
    </w:p>
    <w:p>
      <w:pPr>
        <w:spacing w:before="0"/>
        <w:ind w:left="1070" w:right="0" w:firstLine="0"/>
        <w:jc w:val="both"/>
        <w:rPr>
          <w:i/>
          <w:sz w:val="18"/>
        </w:rPr>
      </w:pPr>
      <w:r>
        <w:rPr>
          <w:i/>
          <w:sz w:val="18"/>
        </w:rPr>
        <w:t>Measurement</w:t>
      </w:r>
    </w:p>
    <w:p>
      <w:pPr>
        <w:pStyle w:val="BodyText"/>
        <w:spacing w:before="2"/>
        <w:rPr>
          <w:i/>
          <w:sz w:val="25"/>
        </w:rPr>
      </w:pPr>
    </w:p>
    <w:p>
      <w:pPr>
        <w:pStyle w:val="BodyText"/>
        <w:ind w:left="1070"/>
        <w:jc w:val="both"/>
      </w:pPr>
      <w:r>
        <w:rPr/>
        <w:t>Details on how the fair value of financial instruments is determined is disclosed in note 13.</w:t>
      </w:r>
    </w:p>
    <w:p>
      <w:pPr>
        <w:pStyle w:val="BodyText"/>
        <w:spacing w:before="9"/>
        <w:rPr>
          <w:sz w:val="24"/>
        </w:rPr>
      </w:pPr>
    </w:p>
    <w:p>
      <w:pPr>
        <w:spacing w:before="0"/>
        <w:ind w:left="1070" w:right="0" w:firstLine="0"/>
        <w:jc w:val="both"/>
        <w:rPr>
          <w:i/>
          <w:sz w:val="18"/>
        </w:rPr>
      </w:pPr>
      <w:r>
        <w:rPr>
          <w:i/>
          <w:sz w:val="18"/>
        </w:rPr>
        <w:t>Impairment</w:t>
      </w:r>
    </w:p>
    <w:p>
      <w:pPr>
        <w:pStyle w:val="BodyText"/>
        <w:spacing w:before="2"/>
        <w:rPr>
          <w:i/>
          <w:sz w:val="25"/>
        </w:rPr>
      </w:pPr>
    </w:p>
    <w:p>
      <w:pPr>
        <w:pStyle w:val="BodyText"/>
        <w:ind w:left="1070"/>
        <w:jc w:val="both"/>
      </w:pPr>
      <w:r>
        <w:rPr/>
        <w:t>(i) Assets carried at amortised cost</w:t>
      </w:r>
    </w:p>
    <w:p>
      <w:pPr>
        <w:pStyle w:val="BodyText"/>
        <w:spacing w:before="9"/>
        <w:rPr>
          <w:sz w:val="24"/>
        </w:rPr>
      </w:pPr>
    </w:p>
    <w:p>
      <w:pPr>
        <w:pStyle w:val="BodyText"/>
        <w:ind w:left="1070" w:right="138" w:hanging="1"/>
        <w:jc w:val="both"/>
      </w:pPr>
      <w:r>
        <w:rPr/>
        <w:t>For loans and receivables, the amount of the loss is measured as the difference between the asset’s carrying amount and the present value of estimated future cash flows (excluding future credit losses that have not been incurred) discounted at the financial asset’s original effective interest rate. The carrying amount of the asset is reduced and the amount of the loss is recognised in the statement of comprehensive income. If the loan has a variable interest rate, the discount rate for measuring any impairment loss is the current effective interest rate determined under the contract. As a practical expedient, the Company may measure impairment on the basis of an instrument’s fair value using an observable market price.</w:t>
      </w:r>
    </w:p>
    <w:p>
      <w:pPr>
        <w:pStyle w:val="BodyText"/>
        <w:spacing w:before="1"/>
        <w:rPr>
          <w:sz w:val="25"/>
        </w:rPr>
      </w:pPr>
    </w:p>
    <w:p>
      <w:pPr>
        <w:pStyle w:val="BodyText"/>
        <w:spacing w:line="237" w:lineRule="auto"/>
        <w:ind w:left="1071" w:right="140" w:hanging="1"/>
        <w:jc w:val="both"/>
      </w:pPr>
      <w:r>
        <w:rPr/>
        <w:t>If, in a subsequent period, the amount of the impairment loss decreases and the decrease can be related objectively to an event occurring after the impairment was recognised (such as an improvement in the debtor’s credit rating), the reversal of the previously recognised impairment loss is recognised in the statement of comprehensive income.</w:t>
      </w:r>
    </w:p>
    <w:p>
      <w:pPr>
        <w:pStyle w:val="BodyText"/>
        <w:spacing w:before="2"/>
        <w:rPr>
          <w:sz w:val="25"/>
        </w:rPr>
      </w:pPr>
    </w:p>
    <w:p>
      <w:pPr>
        <w:pStyle w:val="BodyText"/>
        <w:ind w:left="1070"/>
        <w:jc w:val="both"/>
      </w:pPr>
      <w:r>
        <w:rPr/>
        <w:t>Impairment testing of trade receivables is described in note 1(e).</w:t>
      </w:r>
    </w:p>
    <w:p>
      <w:pPr>
        <w:pStyle w:val="BodyText"/>
        <w:spacing w:before="4"/>
        <w:rPr>
          <w:sz w:val="24"/>
        </w:rPr>
      </w:pPr>
    </w:p>
    <w:p>
      <w:pPr>
        <w:pStyle w:val="Heading9"/>
        <w:numPr>
          <w:ilvl w:val="0"/>
          <w:numId w:val="36"/>
        </w:numPr>
        <w:tabs>
          <w:tab w:pos="1080" w:val="left" w:leader="none"/>
        </w:tabs>
        <w:spacing w:line="240" w:lineRule="auto" w:before="0" w:after="0"/>
        <w:ind w:left="1079" w:right="0" w:hanging="549"/>
        <w:jc w:val="left"/>
      </w:pPr>
      <w:r>
        <w:rPr/>
        <w:t>Employee</w:t>
      </w:r>
      <w:r>
        <w:rPr>
          <w:spacing w:val="-5"/>
        </w:rPr>
        <w:t> </w:t>
      </w:r>
      <w:r>
        <w:rPr/>
        <w:t>benefits</w:t>
      </w:r>
    </w:p>
    <w:p>
      <w:pPr>
        <w:pStyle w:val="BodyText"/>
        <w:spacing w:before="2"/>
        <w:rPr>
          <w:b/>
          <w:sz w:val="25"/>
        </w:rPr>
      </w:pPr>
    </w:p>
    <w:p>
      <w:pPr>
        <w:pStyle w:val="ListParagraph"/>
        <w:numPr>
          <w:ilvl w:val="1"/>
          <w:numId w:val="36"/>
        </w:numPr>
        <w:tabs>
          <w:tab w:pos="1282" w:val="left" w:leader="none"/>
        </w:tabs>
        <w:spacing w:line="207" w:lineRule="exact" w:before="0" w:after="0"/>
        <w:ind w:left="1281" w:right="0" w:hanging="211"/>
        <w:jc w:val="both"/>
        <w:rPr>
          <w:sz w:val="18"/>
        </w:rPr>
      </w:pPr>
      <w:r>
        <w:rPr>
          <w:i/>
          <w:sz w:val="18"/>
        </w:rPr>
        <w:t>) Short term</w:t>
      </w:r>
      <w:r>
        <w:rPr>
          <w:i/>
          <w:spacing w:val="-14"/>
          <w:sz w:val="18"/>
        </w:rPr>
        <w:t> </w:t>
      </w:r>
      <w:r>
        <w:rPr>
          <w:i/>
          <w:sz w:val="18"/>
        </w:rPr>
        <w:t>obligations</w:t>
      </w:r>
      <w:r>
        <w:rPr>
          <w:sz w:val="18"/>
        </w:rPr>
        <w:t>.</w:t>
      </w:r>
    </w:p>
    <w:p>
      <w:pPr>
        <w:pStyle w:val="BodyText"/>
        <w:spacing w:line="207" w:lineRule="exact"/>
        <w:ind w:left="1072"/>
        <w:jc w:val="both"/>
      </w:pPr>
      <w:r>
        <w:rPr/>
        <w:t>Liabilities for wages and salaries, including non-monetary benefits and annual leave expected to be settled within</w:t>
      </w:r>
    </w:p>
    <w:p>
      <w:pPr>
        <w:pStyle w:val="BodyText"/>
        <w:spacing w:line="237" w:lineRule="auto" w:before="3"/>
        <w:ind w:left="1073" w:right="140" w:hanging="1"/>
        <w:jc w:val="both"/>
      </w:pPr>
      <w:r>
        <w:rPr/>
        <w:t>12 months after the end of each reporting period in which the employees render the related service  are recognised in respect of employees' services up to the end of the reporting period and measured at the amounts expected to be paid when the liabilities are settled. The liability for annual leave is recognised in the provision for employee benefits.</w:t>
      </w:r>
    </w:p>
    <w:p>
      <w:pPr>
        <w:pStyle w:val="BodyText"/>
        <w:spacing w:before="10"/>
        <w:rPr>
          <w:sz w:val="17"/>
        </w:rPr>
      </w:pPr>
    </w:p>
    <w:p>
      <w:pPr>
        <w:spacing w:before="0"/>
        <w:ind w:left="1072" w:right="0" w:firstLine="0"/>
        <w:jc w:val="both"/>
        <w:rPr>
          <w:i/>
          <w:sz w:val="18"/>
        </w:rPr>
      </w:pPr>
      <w:r>
        <w:rPr>
          <w:i/>
          <w:sz w:val="18"/>
        </w:rPr>
        <w:t>(iii) Other long-term employee benefit obligations</w:t>
      </w:r>
    </w:p>
    <w:p>
      <w:pPr>
        <w:pStyle w:val="BodyText"/>
        <w:spacing w:line="237" w:lineRule="auto" w:before="3"/>
        <w:ind w:left="1071" w:right="113" w:firstLine="1"/>
        <w:jc w:val="both"/>
      </w:pPr>
      <w:r>
        <w:rPr/>
        <w:t>The liability for long service leave and annual leave which is not expected to be settled within 12 months after the end of the reporting period in which the employees render the related service is recognised in the provision for employee benefits and measured as the present value of expected future payments to be made in respect of services provided by employees up to the end of the reporting period. Consideration is given to expected future wages and salary levels, experience of employee departures and period of service. Expected future payments</w:t>
      </w:r>
    </w:p>
    <w:p>
      <w:pPr>
        <w:spacing w:after="0" w:line="237" w:lineRule="auto"/>
        <w:jc w:val="both"/>
        <w:sectPr>
          <w:pgSz w:w="11930" w:h="16850"/>
          <w:pgMar w:header="1035" w:footer="507" w:top="1460" w:bottom="700" w:left="900" w:right="780"/>
        </w:sectPr>
      </w:pPr>
    </w:p>
    <w:p>
      <w:pPr>
        <w:pStyle w:val="BodyText"/>
        <w:spacing w:before="5"/>
        <w:rPr>
          <w:sz w:val="22"/>
        </w:rPr>
      </w:pPr>
    </w:p>
    <w:p>
      <w:pPr>
        <w:pStyle w:val="Heading3"/>
        <w:ind w:right="806"/>
      </w:pPr>
      <w:r>
        <w:rPr/>
        <w:t>Notes to the Financial Statements</w:t>
      </w:r>
    </w:p>
    <w:p>
      <w:pPr>
        <w:spacing w:before="55"/>
        <w:ind w:left="107" w:right="806" w:firstLine="0"/>
        <w:jc w:val="left"/>
        <w:rPr>
          <w:b/>
          <w:sz w:val="28"/>
        </w:rPr>
      </w:pPr>
      <w:r>
        <w:rPr>
          <w:b/>
          <w:sz w:val="28"/>
        </w:rPr>
        <w:t>For the Year Ended 31 December</w:t>
      </w:r>
      <w:r>
        <w:rPr>
          <w:b/>
          <w:spacing w:val="-52"/>
          <w:sz w:val="28"/>
        </w:rPr>
        <w:t> </w:t>
      </w:r>
      <w:r>
        <w:rPr>
          <w:b/>
          <w:sz w:val="28"/>
        </w:rPr>
        <w:t>2012</w:t>
      </w:r>
    </w:p>
    <w:p>
      <w:pPr>
        <w:pStyle w:val="BodyText"/>
        <w:rPr>
          <w:b/>
          <w:sz w:val="28"/>
        </w:rPr>
      </w:pPr>
    </w:p>
    <w:p>
      <w:pPr>
        <w:pStyle w:val="BodyText"/>
        <w:spacing w:before="9"/>
        <w:rPr>
          <w:b/>
          <w:sz w:val="29"/>
        </w:rPr>
      </w:pPr>
    </w:p>
    <w:p>
      <w:pPr>
        <w:pStyle w:val="Heading9"/>
        <w:tabs>
          <w:tab w:pos="499" w:val="left" w:leader="none"/>
        </w:tabs>
        <w:ind w:left="107" w:right="806"/>
      </w:pPr>
      <w:r>
        <w:rPr/>
        <w:t>1</w:t>
        <w:tab/>
        <w:t>Summary of Significant Accounting Policies</w:t>
      </w:r>
      <w:r>
        <w:rPr>
          <w:spacing w:val="-17"/>
        </w:rPr>
        <w:t> </w:t>
      </w:r>
      <w:r>
        <w:rPr/>
        <w:t>continued</w:t>
      </w:r>
    </w:p>
    <w:p>
      <w:pPr>
        <w:pStyle w:val="BodyText"/>
        <w:spacing w:before="11"/>
        <w:rPr>
          <w:b/>
          <w:sz w:val="24"/>
        </w:rPr>
      </w:pPr>
    </w:p>
    <w:p>
      <w:pPr>
        <w:pStyle w:val="ListParagraph"/>
        <w:numPr>
          <w:ilvl w:val="0"/>
          <w:numId w:val="38"/>
        </w:numPr>
        <w:tabs>
          <w:tab w:pos="1061" w:val="left" w:leader="none"/>
        </w:tabs>
        <w:spacing w:line="240" w:lineRule="auto" w:before="0" w:after="0"/>
        <w:ind w:left="1060" w:right="0" w:hanging="556"/>
        <w:jc w:val="left"/>
        <w:rPr>
          <w:b/>
          <w:sz w:val="18"/>
        </w:rPr>
      </w:pPr>
      <w:r>
        <w:rPr>
          <w:b/>
          <w:sz w:val="18"/>
        </w:rPr>
        <w:t>Employee benefits</w:t>
      </w:r>
      <w:r>
        <w:rPr>
          <w:b/>
          <w:spacing w:val="-10"/>
          <w:sz w:val="18"/>
        </w:rPr>
        <w:t> </w:t>
      </w:r>
      <w:r>
        <w:rPr>
          <w:b/>
          <w:sz w:val="18"/>
        </w:rPr>
        <w:t>continued</w:t>
      </w:r>
    </w:p>
    <w:p>
      <w:pPr>
        <w:pStyle w:val="BodyText"/>
        <w:spacing w:before="4"/>
        <w:ind w:left="1072" w:right="100"/>
        <w:jc w:val="both"/>
      </w:pPr>
      <w:r>
        <w:rPr/>
        <w:t>are discounted using market yields at the end of the reporting period on national government bonds with terms of maturity and currency that match, as closely as possible, the estimated future cash outflows.</w:t>
      </w:r>
    </w:p>
    <w:p>
      <w:pPr>
        <w:pStyle w:val="BodyText"/>
        <w:spacing w:before="9"/>
        <w:rPr>
          <w:sz w:val="24"/>
        </w:rPr>
      </w:pPr>
    </w:p>
    <w:p>
      <w:pPr>
        <w:spacing w:before="0"/>
        <w:ind w:left="1070" w:right="0" w:firstLine="0"/>
        <w:jc w:val="both"/>
        <w:rPr>
          <w:i/>
          <w:sz w:val="18"/>
        </w:rPr>
      </w:pPr>
      <w:r>
        <w:rPr>
          <w:i/>
          <w:sz w:val="18"/>
        </w:rPr>
        <w:t>(iii) Termination benefits</w:t>
      </w:r>
    </w:p>
    <w:p>
      <w:pPr>
        <w:pStyle w:val="BodyText"/>
        <w:spacing w:line="237" w:lineRule="auto" w:before="3"/>
        <w:ind w:left="1073" w:right="98" w:hanging="1"/>
        <w:jc w:val="both"/>
      </w:pPr>
      <w:r>
        <w:rPr/>
        <w:t>Termination benefits are payable when employment is terminated before the normal retirement date, or when an employee accepts voluntary redundancy in exchange of these benefits. The Company recognises termination benefits when it is demonstrably committed to either terminating the employment of current employees according to a detailed formal plan without possibility of withdrawal or to providing termination benefits as a result of an   offer made  to  encourage  voluntary  redundancy.  Benefits  falling  due  more  than  12  months  after  the  end  of  the reporting period are discounted to present</w:t>
      </w:r>
      <w:r>
        <w:rPr>
          <w:spacing w:val="-26"/>
        </w:rPr>
        <w:t> </w:t>
      </w:r>
      <w:r>
        <w:rPr/>
        <w:t>value.</w:t>
      </w:r>
    </w:p>
    <w:p>
      <w:pPr>
        <w:pStyle w:val="BodyText"/>
        <w:spacing w:before="10"/>
        <w:rPr>
          <w:sz w:val="17"/>
        </w:rPr>
      </w:pPr>
    </w:p>
    <w:p>
      <w:pPr>
        <w:pStyle w:val="BodyText"/>
        <w:ind w:left="1072" w:right="103"/>
        <w:jc w:val="both"/>
      </w:pPr>
      <w:r>
        <w:rPr/>
        <w:t>Regardless of expected timing of settlements, provisions made in respect of employee benefits are classified as  a current liability, unless there is an unconditional right to defer the settlement of the liability for at least 12  months</w:t>
      </w:r>
      <w:r>
        <w:rPr>
          <w:spacing w:val="-2"/>
        </w:rPr>
        <w:t> </w:t>
      </w:r>
      <w:r>
        <w:rPr/>
        <w:t>after</w:t>
      </w:r>
      <w:r>
        <w:rPr>
          <w:spacing w:val="-3"/>
        </w:rPr>
        <w:t> </w:t>
      </w:r>
      <w:r>
        <w:rPr/>
        <w:t>the</w:t>
      </w:r>
      <w:r>
        <w:rPr>
          <w:spacing w:val="-2"/>
        </w:rPr>
        <w:t> </w:t>
      </w:r>
      <w:r>
        <w:rPr/>
        <w:t>reporting</w:t>
      </w:r>
      <w:r>
        <w:rPr>
          <w:spacing w:val="-5"/>
        </w:rPr>
        <w:t> </w:t>
      </w:r>
      <w:r>
        <w:rPr/>
        <w:t>date,</w:t>
      </w:r>
      <w:r>
        <w:rPr>
          <w:spacing w:val="-3"/>
        </w:rPr>
        <w:t> </w:t>
      </w:r>
      <w:r>
        <w:rPr/>
        <w:t>in</w:t>
      </w:r>
      <w:r>
        <w:rPr>
          <w:spacing w:val="-2"/>
        </w:rPr>
        <w:t> </w:t>
      </w:r>
      <w:r>
        <w:rPr/>
        <w:t>which</w:t>
      </w:r>
      <w:r>
        <w:rPr>
          <w:spacing w:val="-2"/>
        </w:rPr>
        <w:t> </w:t>
      </w:r>
      <w:r>
        <w:rPr/>
        <w:t>case,</w:t>
      </w:r>
      <w:r>
        <w:rPr>
          <w:spacing w:val="-3"/>
        </w:rPr>
        <w:t> </w:t>
      </w:r>
      <w:r>
        <w:rPr/>
        <w:t>it</w:t>
      </w:r>
      <w:r>
        <w:rPr>
          <w:spacing w:val="-3"/>
        </w:rPr>
        <w:t> </w:t>
      </w:r>
      <w:r>
        <w:rPr/>
        <w:t>would</w:t>
      </w:r>
      <w:r>
        <w:rPr>
          <w:spacing w:val="-5"/>
        </w:rPr>
        <w:t> </w:t>
      </w:r>
      <w:r>
        <w:rPr/>
        <w:t>be</w:t>
      </w:r>
      <w:r>
        <w:rPr>
          <w:spacing w:val="-5"/>
        </w:rPr>
        <w:t> </w:t>
      </w:r>
      <w:r>
        <w:rPr/>
        <w:t>classified</w:t>
      </w:r>
      <w:r>
        <w:rPr>
          <w:spacing w:val="-2"/>
        </w:rPr>
        <w:t> </w:t>
      </w:r>
      <w:r>
        <w:rPr/>
        <w:t>as</w:t>
      </w:r>
      <w:r>
        <w:rPr>
          <w:spacing w:val="-2"/>
        </w:rPr>
        <w:t> </w:t>
      </w:r>
      <w:r>
        <w:rPr/>
        <w:t>a</w:t>
      </w:r>
      <w:r>
        <w:rPr>
          <w:spacing w:val="-5"/>
        </w:rPr>
        <w:t> </w:t>
      </w:r>
      <w:r>
        <w:rPr/>
        <w:t>non-current</w:t>
      </w:r>
      <w:r>
        <w:rPr>
          <w:spacing w:val="-3"/>
        </w:rPr>
        <w:t> </w:t>
      </w:r>
      <w:r>
        <w:rPr/>
        <w:t>liability.</w:t>
      </w:r>
    </w:p>
    <w:p>
      <w:pPr>
        <w:pStyle w:val="BodyText"/>
        <w:spacing w:before="11"/>
        <w:rPr>
          <w:sz w:val="24"/>
        </w:rPr>
      </w:pPr>
    </w:p>
    <w:p>
      <w:pPr>
        <w:pStyle w:val="BodyText"/>
        <w:ind w:left="1070" w:right="494"/>
      </w:pPr>
      <w:r>
        <w:rPr/>
        <w:t>Contributions are made by the Company to an employee superannuation fund and are charged as expenses when incurred.</w:t>
      </w:r>
    </w:p>
    <w:p>
      <w:pPr>
        <w:pStyle w:val="BodyText"/>
        <w:spacing w:before="6"/>
        <w:rPr>
          <w:sz w:val="24"/>
        </w:rPr>
      </w:pPr>
    </w:p>
    <w:p>
      <w:pPr>
        <w:pStyle w:val="Heading9"/>
        <w:numPr>
          <w:ilvl w:val="0"/>
          <w:numId w:val="36"/>
        </w:numPr>
        <w:tabs>
          <w:tab w:pos="1061" w:val="left" w:leader="none"/>
        </w:tabs>
        <w:spacing w:line="240" w:lineRule="auto" w:before="0" w:after="0"/>
        <w:ind w:left="1060" w:right="0" w:hanging="556"/>
        <w:jc w:val="left"/>
      </w:pPr>
      <w:r>
        <w:rPr/>
        <w:t>Trade and other</w:t>
      </w:r>
      <w:r>
        <w:rPr>
          <w:spacing w:val="-10"/>
        </w:rPr>
        <w:t> </w:t>
      </w:r>
      <w:r>
        <w:rPr/>
        <w:t>payables</w:t>
      </w:r>
    </w:p>
    <w:p>
      <w:pPr>
        <w:pStyle w:val="BodyText"/>
        <w:spacing w:before="2"/>
        <w:rPr>
          <w:b/>
          <w:sz w:val="25"/>
        </w:rPr>
      </w:pPr>
    </w:p>
    <w:p>
      <w:pPr>
        <w:pStyle w:val="BodyText"/>
        <w:ind w:left="1070" w:right="101" w:hanging="1"/>
        <w:jc w:val="both"/>
      </w:pPr>
      <w:r>
        <w:rPr/>
        <w:t>Trade and other payables represent the liability outstanding at the end of the reporting period for goods and services received by the Company during the reporting period which remain unpaid. The balance is recognised  as a current liability in the statement of financial position with the amounts normally paid within 30 days of recognition of the</w:t>
      </w:r>
      <w:r>
        <w:rPr>
          <w:spacing w:val="-13"/>
        </w:rPr>
        <w:t> </w:t>
      </w:r>
      <w:r>
        <w:rPr/>
        <w:t>liability.</w:t>
      </w:r>
    </w:p>
    <w:p>
      <w:pPr>
        <w:pStyle w:val="BodyText"/>
        <w:spacing w:before="6"/>
        <w:rPr>
          <w:sz w:val="24"/>
        </w:rPr>
      </w:pPr>
    </w:p>
    <w:p>
      <w:pPr>
        <w:pStyle w:val="Heading9"/>
        <w:numPr>
          <w:ilvl w:val="0"/>
          <w:numId w:val="36"/>
        </w:numPr>
        <w:tabs>
          <w:tab w:pos="1061" w:val="left" w:leader="none"/>
        </w:tabs>
        <w:spacing w:line="240" w:lineRule="auto" w:before="0" w:after="0"/>
        <w:ind w:left="1060" w:right="0" w:hanging="556"/>
        <w:jc w:val="left"/>
      </w:pPr>
      <w:r>
        <w:rPr/>
        <w:t>Income</w:t>
      </w:r>
      <w:r>
        <w:rPr>
          <w:spacing w:val="-2"/>
        </w:rPr>
        <w:t> </w:t>
      </w:r>
      <w:r>
        <w:rPr/>
        <w:t>Tax</w:t>
      </w:r>
    </w:p>
    <w:p>
      <w:pPr>
        <w:pStyle w:val="BodyText"/>
        <w:spacing w:before="4"/>
        <w:rPr>
          <w:b/>
          <w:sz w:val="25"/>
        </w:rPr>
      </w:pPr>
    </w:p>
    <w:p>
      <w:pPr>
        <w:pStyle w:val="BodyText"/>
        <w:spacing w:line="204" w:lineRule="exact"/>
        <w:ind w:left="1070"/>
        <w:jc w:val="both"/>
      </w:pPr>
      <w:r>
        <w:rPr/>
        <w:t>No provision for income tax has been raised as the Company is exempt from income tax under Div 50-B of the</w:t>
      </w:r>
    </w:p>
    <w:p>
      <w:pPr>
        <w:spacing w:line="204" w:lineRule="exact" w:before="0"/>
        <w:ind w:left="1069" w:right="0" w:firstLine="0"/>
        <w:jc w:val="both"/>
        <w:rPr>
          <w:sz w:val="18"/>
        </w:rPr>
      </w:pPr>
      <w:r>
        <w:rPr>
          <w:i/>
          <w:sz w:val="18"/>
        </w:rPr>
        <w:t>Income Tax Assessment Act 1997</w:t>
      </w:r>
      <w:r>
        <w:rPr>
          <w:sz w:val="18"/>
        </w:rPr>
        <w:t>.</w:t>
      </w:r>
    </w:p>
    <w:p>
      <w:pPr>
        <w:pStyle w:val="BodyText"/>
        <w:spacing w:before="11"/>
        <w:rPr>
          <w:sz w:val="24"/>
        </w:rPr>
      </w:pPr>
    </w:p>
    <w:p>
      <w:pPr>
        <w:pStyle w:val="Heading9"/>
        <w:numPr>
          <w:ilvl w:val="0"/>
          <w:numId w:val="36"/>
        </w:numPr>
        <w:tabs>
          <w:tab w:pos="1061" w:val="left" w:leader="none"/>
        </w:tabs>
        <w:spacing w:line="240" w:lineRule="auto" w:before="0" w:after="0"/>
        <w:ind w:left="1060" w:right="0" w:hanging="556"/>
        <w:jc w:val="left"/>
      </w:pPr>
      <w:r>
        <w:rPr/>
        <w:t>Goods and Services Tax</w:t>
      </w:r>
      <w:r>
        <w:rPr>
          <w:spacing w:val="-10"/>
        </w:rPr>
        <w:t> </w:t>
      </w:r>
      <w:r>
        <w:rPr/>
        <w:t>(GST)</w:t>
      </w:r>
    </w:p>
    <w:p>
      <w:pPr>
        <w:pStyle w:val="BodyText"/>
        <w:spacing w:before="2"/>
        <w:rPr>
          <w:b/>
          <w:sz w:val="25"/>
        </w:rPr>
      </w:pPr>
    </w:p>
    <w:p>
      <w:pPr>
        <w:pStyle w:val="BodyText"/>
        <w:ind w:left="1070" w:right="100"/>
        <w:jc w:val="both"/>
      </w:pPr>
      <w:r>
        <w:rPr/>
        <w:t>Revenues, expenses and assets are recognised net of the amount of GST, unless the GST incurred is not recoverable from the taxation authority. In this case it is recognised as part of the cost of acquisition of the asset or as part of an item of the expense.</w:t>
      </w:r>
    </w:p>
    <w:p>
      <w:pPr>
        <w:pStyle w:val="BodyText"/>
        <w:spacing w:before="1"/>
        <w:rPr>
          <w:sz w:val="25"/>
        </w:rPr>
      </w:pPr>
    </w:p>
    <w:p>
      <w:pPr>
        <w:pStyle w:val="BodyText"/>
        <w:spacing w:line="237" w:lineRule="auto"/>
        <w:ind w:left="1069" w:right="103" w:firstLine="1"/>
        <w:jc w:val="both"/>
      </w:pPr>
      <w:r>
        <w:rPr/>
        <w:t>Receivables and payables are stated inclusive of the amount of GST receivable or payable. The net amount of GST recoverable from, or payable to, the taxation authority is included with other receivables or payables in the statement of financial position.</w:t>
      </w:r>
    </w:p>
    <w:p>
      <w:pPr>
        <w:pStyle w:val="BodyText"/>
        <w:rPr>
          <w:sz w:val="25"/>
        </w:rPr>
      </w:pPr>
    </w:p>
    <w:p>
      <w:pPr>
        <w:pStyle w:val="BodyText"/>
        <w:ind w:left="1070" w:right="103"/>
        <w:jc w:val="both"/>
      </w:pPr>
      <w:r>
        <w:rPr/>
        <w:t>Cash flows are presented in the statement of cash flows on a gross basis. The GST components of cash flows arising from investing or financing activities which are recoverable from, or payable to the taxation authority, are presented as operating cash flows.</w:t>
      </w:r>
    </w:p>
    <w:p>
      <w:pPr>
        <w:pStyle w:val="BodyText"/>
        <w:spacing w:before="6"/>
        <w:rPr>
          <w:sz w:val="24"/>
        </w:rPr>
      </w:pPr>
    </w:p>
    <w:p>
      <w:pPr>
        <w:pStyle w:val="Heading9"/>
        <w:numPr>
          <w:ilvl w:val="0"/>
          <w:numId w:val="36"/>
        </w:numPr>
        <w:tabs>
          <w:tab w:pos="1061" w:val="left" w:leader="none"/>
        </w:tabs>
        <w:spacing w:line="240" w:lineRule="auto" w:before="0" w:after="0"/>
        <w:ind w:left="1060" w:right="0" w:hanging="556"/>
        <w:jc w:val="left"/>
      </w:pPr>
      <w:r>
        <w:rPr/>
        <w:t>Critical accounting estimates and</w:t>
      </w:r>
      <w:r>
        <w:rPr>
          <w:spacing w:val="-16"/>
        </w:rPr>
        <w:t> </w:t>
      </w:r>
      <w:r>
        <w:rPr/>
        <w:t>judgments</w:t>
      </w:r>
    </w:p>
    <w:p>
      <w:pPr>
        <w:pStyle w:val="BodyText"/>
        <w:spacing w:before="2"/>
        <w:rPr>
          <w:b/>
          <w:sz w:val="25"/>
        </w:rPr>
      </w:pPr>
    </w:p>
    <w:p>
      <w:pPr>
        <w:pStyle w:val="BodyText"/>
        <w:ind w:left="1069" w:right="103"/>
        <w:jc w:val="both"/>
      </w:pPr>
      <w:r>
        <w:rPr/>
        <w:t>The directors evaluate estimates and judgments incorporated into the financial statements based on historical knowledge and best available current information. Estimates assume a reasonable expectation of future events and are based on current trends and economic data, obtained both externally and within the Company.</w:t>
      </w:r>
    </w:p>
    <w:p>
      <w:pPr>
        <w:spacing w:after="0"/>
        <w:jc w:val="both"/>
        <w:sectPr>
          <w:pgSz w:w="11930" w:h="16850"/>
          <w:pgMar w:header="1035" w:footer="507" w:top="1460" w:bottom="700" w:left="900" w:right="820"/>
        </w:sectPr>
      </w:pPr>
    </w:p>
    <w:p>
      <w:pPr>
        <w:pStyle w:val="BodyText"/>
        <w:spacing w:before="5"/>
        <w:rPr>
          <w:sz w:val="22"/>
        </w:rPr>
      </w:pPr>
    </w:p>
    <w:p>
      <w:pPr>
        <w:pStyle w:val="Heading3"/>
        <w:ind w:right="806"/>
      </w:pPr>
      <w:r>
        <w:rPr/>
        <w:t>Notes to the Financial Statements</w:t>
      </w:r>
    </w:p>
    <w:p>
      <w:pPr>
        <w:spacing w:before="55"/>
        <w:ind w:left="107" w:right="806" w:firstLine="0"/>
        <w:jc w:val="left"/>
        <w:rPr>
          <w:b/>
          <w:sz w:val="28"/>
        </w:rPr>
      </w:pPr>
      <w:r>
        <w:rPr>
          <w:b/>
          <w:sz w:val="28"/>
        </w:rPr>
        <w:t>For the Year Ended 31 December</w:t>
      </w:r>
      <w:r>
        <w:rPr>
          <w:b/>
          <w:spacing w:val="-52"/>
          <w:sz w:val="28"/>
        </w:rPr>
        <w:t> </w:t>
      </w:r>
      <w:r>
        <w:rPr>
          <w:b/>
          <w:sz w:val="28"/>
        </w:rPr>
        <w:t>2012</w:t>
      </w:r>
    </w:p>
    <w:p>
      <w:pPr>
        <w:pStyle w:val="BodyText"/>
        <w:rPr>
          <w:b/>
          <w:sz w:val="28"/>
        </w:rPr>
      </w:pPr>
    </w:p>
    <w:p>
      <w:pPr>
        <w:pStyle w:val="BodyText"/>
        <w:spacing w:before="9"/>
        <w:rPr>
          <w:b/>
          <w:sz w:val="29"/>
        </w:rPr>
      </w:pPr>
    </w:p>
    <w:p>
      <w:pPr>
        <w:pStyle w:val="Heading9"/>
        <w:tabs>
          <w:tab w:pos="499" w:val="left" w:leader="none"/>
        </w:tabs>
        <w:ind w:left="107" w:right="806"/>
      </w:pPr>
      <w:r>
        <w:rPr/>
        <w:t>1</w:t>
        <w:tab/>
        <w:t>Summary of Significant Accounting Policies</w:t>
      </w:r>
      <w:r>
        <w:rPr>
          <w:spacing w:val="-17"/>
        </w:rPr>
        <w:t> </w:t>
      </w:r>
      <w:r>
        <w:rPr/>
        <w:t>continued</w:t>
      </w:r>
    </w:p>
    <w:p>
      <w:pPr>
        <w:pStyle w:val="BodyText"/>
        <w:spacing w:before="11"/>
        <w:rPr>
          <w:b/>
          <w:sz w:val="24"/>
        </w:rPr>
      </w:pPr>
    </w:p>
    <w:p>
      <w:pPr>
        <w:pStyle w:val="ListParagraph"/>
        <w:numPr>
          <w:ilvl w:val="0"/>
          <w:numId w:val="39"/>
        </w:numPr>
        <w:tabs>
          <w:tab w:pos="1061" w:val="left" w:leader="none"/>
        </w:tabs>
        <w:spacing w:line="573" w:lineRule="auto" w:before="0" w:after="0"/>
        <w:ind w:left="1070" w:right="4305" w:hanging="566"/>
        <w:jc w:val="left"/>
        <w:rPr>
          <w:b/>
          <w:sz w:val="18"/>
        </w:rPr>
      </w:pPr>
      <w:r>
        <w:rPr>
          <w:b/>
          <w:sz w:val="18"/>
        </w:rPr>
        <w:t>Critical accounting estimates and judgments continued Key judgments - provision for impairment of</w:t>
      </w:r>
      <w:r>
        <w:rPr>
          <w:b/>
          <w:spacing w:val="-20"/>
          <w:sz w:val="18"/>
        </w:rPr>
        <w:t> </w:t>
      </w:r>
      <w:r>
        <w:rPr>
          <w:b/>
          <w:sz w:val="18"/>
        </w:rPr>
        <w:t>receivables</w:t>
      </w:r>
    </w:p>
    <w:p>
      <w:pPr>
        <w:pStyle w:val="BodyText"/>
        <w:spacing w:line="204" w:lineRule="exact" w:before="18"/>
        <w:ind w:left="1070" w:right="375"/>
      </w:pPr>
      <w:r>
        <w:rPr/>
        <w:t>The value of the provision for impairment of receivables is estimated by considering the ageing of receivables, communication with the debtors and prior history.</w:t>
      </w:r>
    </w:p>
    <w:p>
      <w:pPr>
        <w:pStyle w:val="BodyText"/>
        <w:spacing w:before="6"/>
        <w:rPr>
          <w:sz w:val="24"/>
        </w:rPr>
      </w:pPr>
    </w:p>
    <w:p>
      <w:pPr>
        <w:pStyle w:val="Heading9"/>
        <w:numPr>
          <w:ilvl w:val="0"/>
          <w:numId w:val="39"/>
        </w:numPr>
        <w:tabs>
          <w:tab w:pos="1061" w:val="left" w:leader="none"/>
        </w:tabs>
        <w:spacing w:line="240" w:lineRule="auto" w:before="0" w:after="0"/>
        <w:ind w:left="1060" w:right="0" w:hanging="556"/>
        <w:jc w:val="left"/>
      </w:pPr>
      <w:r>
        <w:rPr/>
        <w:t>Comparative</w:t>
      </w:r>
      <w:r>
        <w:rPr>
          <w:spacing w:val="-7"/>
        </w:rPr>
        <w:t> </w:t>
      </w:r>
      <w:r>
        <w:rPr/>
        <w:t>Amounts</w:t>
      </w:r>
    </w:p>
    <w:p>
      <w:pPr>
        <w:pStyle w:val="BodyText"/>
        <w:spacing w:before="2"/>
        <w:rPr>
          <w:b/>
          <w:sz w:val="25"/>
        </w:rPr>
      </w:pPr>
    </w:p>
    <w:p>
      <w:pPr>
        <w:pStyle w:val="BodyText"/>
        <w:ind w:left="1070" w:right="574"/>
      </w:pPr>
      <w:r>
        <w:rPr/>
        <w:t>When required by Accounting Standards, comparative figures have been adjusted to conform to changes in presentation for the current financial year.</w:t>
      </w:r>
    </w:p>
    <w:p>
      <w:pPr>
        <w:pStyle w:val="BodyText"/>
        <w:spacing w:before="1"/>
        <w:rPr>
          <w:sz w:val="25"/>
        </w:rPr>
      </w:pPr>
    </w:p>
    <w:p>
      <w:pPr>
        <w:pStyle w:val="BodyText"/>
        <w:spacing w:line="237" w:lineRule="auto"/>
        <w:ind w:left="1070" w:right="365"/>
      </w:pPr>
      <w:r>
        <w:rPr/>
        <w:t>When the Company applies an accounting policy retrospectively, makes a retrospective restatement or reclassifies items in its financial statements, a statement of financial position as at the beginning of the earliest comparative period will be presented.</w:t>
      </w:r>
    </w:p>
    <w:p>
      <w:pPr>
        <w:pStyle w:val="BodyText"/>
        <w:spacing w:before="2"/>
        <w:rPr>
          <w:sz w:val="25"/>
        </w:rPr>
      </w:pPr>
    </w:p>
    <w:p>
      <w:pPr>
        <w:pStyle w:val="BodyText"/>
        <w:ind w:left="1070" w:right="806"/>
      </w:pPr>
      <w:r>
        <w:rPr/>
        <w:t>There have been some reclassifications to comparatives due to format amendments.</w:t>
      </w:r>
    </w:p>
    <w:p>
      <w:pPr>
        <w:pStyle w:val="BodyText"/>
        <w:spacing w:before="4"/>
        <w:rPr>
          <w:sz w:val="24"/>
        </w:rPr>
      </w:pPr>
    </w:p>
    <w:p>
      <w:pPr>
        <w:pStyle w:val="Heading9"/>
        <w:numPr>
          <w:ilvl w:val="0"/>
          <w:numId w:val="39"/>
        </w:numPr>
        <w:tabs>
          <w:tab w:pos="1061" w:val="left" w:leader="none"/>
        </w:tabs>
        <w:spacing w:line="240" w:lineRule="auto" w:before="0" w:after="0"/>
        <w:ind w:left="1060" w:right="0" w:hanging="556"/>
        <w:jc w:val="left"/>
      </w:pPr>
      <w:r>
        <w:rPr/>
        <w:t>New and revised accounting</w:t>
      </w:r>
      <w:r>
        <w:rPr>
          <w:spacing w:val="-13"/>
        </w:rPr>
        <w:t> </w:t>
      </w:r>
      <w:r>
        <w:rPr/>
        <w:t>standards</w:t>
      </w:r>
    </w:p>
    <w:p>
      <w:pPr>
        <w:pStyle w:val="BodyText"/>
        <w:spacing w:before="6"/>
        <w:rPr>
          <w:b/>
          <w:sz w:val="25"/>
        </w:rPr>
      </w:pPr>
    </w:p>
    <w:p>
      <w:pPr>
        <w:pStyle w:val="BodyText"/>
        <w:spacing w:line="237" w:lineRule="auto"/>
        <w:ind w:left="1069" w:right="102"/>
        <w:jc w:val="both"/>
      </w:pPr>
      <w:r>
        <w:rPr/>
        <w:t>Certain new accounting standards and interpretations have been published that are not mandatory for 31 December 2012 reporting period and have not yet been applied to the financial statements. The Company's assessment of the impact of these new standards and interpretations is that they will not materially affect any of the amounts recognised in the financial statements or significantly impact the disclosures in relation to the Company.</w:t>
      </w:r>
    </w:p>
    <w:p>
      <w:pPr>
        <w:spacing w:after="0" w:line="237" w:lineRule="auto"/>
        <w:jc w:val="both"/>
        <w:sectPr>
          <w:pgSz w:w="11930" w:h="16850"/>
          <w:pgMar w:header="1035" w:footer="507" w:top="1460" w:bottom="700" w:left="900" w:right="820"/>
        </w:sectPr>
      </w:pPr>
    </w:p>
    <w:p>
      <w:pPr>
        <w:pStyle w:val="BodyText"/>
        <w:spacing w:before="5"/>
        <w:rPr>
          <w:sz w:val="22"/>
        </w:rPr>
      </w:pPr>
    </w:p>
    <w:p>
      <w:pPr>
        <w:pStyle w:val="Heading3"/>
        <w:ind w:left="147"/>
      </w:pPr>
      <w:r>
        <w:rPr/>
        <w:t>Notes to the Financial Statements</w:t>
      </w:r>
    </w:p>
    <w:p>
      <w:pPr>
        <w:spacing w:before="59"/>
        <w:ind w:left="147" w:right="125" w:firstLine="0"/>
        <w:jc w:val="left"/>
        <w:rPr>
          <w:b/>
          <w:sz w:val="28"/>
        </w:rPr>
      </w:pPr>
      <w:r>
        <w:rPr>
          <w:b/>
          <w:sz w:val="28"/>
        </w:rPr>
        <w:t>For the Year Ended 31 December</w:t>
      </w:r>
      <w:r>
        <w:rPr>
          <w:b/>
          <w:spacing w:val="-52"/>
          <w:sz w:val="28"/>
        </w:rPr>
        <w:t> </w:t>
      </w:r>
      <w:r>
        <w:rPr>
          <w:b/>
          <w:sz w:val="28"/>
        </w:rPr>
        <w:t>2012</w:t>
      </w:r>
    </w:p>
    <w:p>
      <w:pPr>
        <w:pStyle w:val="BodyText"/>
        <w:spacing w:before="7"/>
        <w:rPr>
          <w:b/>
          <w:sz w:val="25"/>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1"/>
        <w:gridCol w:w="7076"/>
        <w:gridCol w:w="1497"/>
        <w:gridCol w:w="1070"/>
      </w:tblGrid>
      <w:tr>
        <w:trPr>
          <w:trHeight w:val="567" w:hRule="exact"/>
        </w:trPr>
        <w:tc>
          <w:tcPr>
            <w:tcW w:w="281" w:type="dxa"/>
          </w:tcPr>
          <w:p>
            <w:pPr>
              <w:pStyle w:val="TableParagraph"/>
              <w:spacing w:before="77"/>
              <w:ind w:left="35"/>
              <w:rPr>
                <w:b/>
                <w:sz w:val="18"/>
              </w:rPr>
            </w:pPr>
            <w:r>
              <w:rPr>
                <w:b/>
                <w:w w:val="99"/>
                <w:sz w:val="18"/>
              </w:rPr>
              <w:t>2</w:t>
            </w:r>
          </w:p>
        </w:tc>
        <w:tc>
          <w:tcPr>
            <w:tcW w:w="7076" w:type="dxa"/>
          </w:tcPr>
          <w:p>
            <w:pPr>
              <w:pStyle w:val="TableParagraph"/>
              <w:spacing w:before="77"/>
              <w:ind w:left="145" w:right="5120"/>
              <w:rPr>
                <w:b/>
                <w:sz w:val="18"/>
              </w:rPr>
            </w:pPr>
            <w:r>
              <w:rPr>
                <w:b/>
                <w:sz w:val="18"/>
              </w:rPr>
              <w:t>Revenue</w:t>
            </w:r>
          </w:p>
        </w:tc>
        <w:tc>
          <w:tcPr>
            <w:tcW w:w="1497" w:type="dxa"/>
          </w:tcPr>
          <w:p>
            <w:pPr>
              <w:pStyle w:val="TableParagraph"/>
              <w:rPr>
                <w:b/>
                <w:sz w:val="18"/>
              </w:rPr>
            </w:pPr>
          </w:p>
          <w:p>
            <w:pPr>
              <w:pStyle w:val="TableParagraph"/>
              <w:spacing w:before="110"/>
              <w:ind w:left="482"/>
              <w:rPr>
                <w:b/>
                <w:sz w:val="18"/>
              </w:rPr>
            </w:pPr>
            <w:r>
              <w:rPr>
                <w:b/>
                <w:sz w:val="18"/>
              </w:rPr>
              <w:t>2012</w:t>
            </w:r>
          </w:p>
        </w:tc>
        <w:tc>
          <w:tcPr>
            <w:tcW w:w="1070" w:type="dxa"/>
          </w:tcPr>
          <w:p>
            <w:pPr>
              <w:pStyle w:val="TableParagraph"/>
              <w:rPr>
                <w:b/>
                <w:sz w:val="18"/>
              </w:rPr>
            </w:pPr>
          </w:p>
          <w:p>
            <w:pPr>
              <w:pStyle w:val="TableParagraph"/>
              <w:spacing w:before="110"/>
              <w:ind w:left="274"/>
              <w:rPr>
                <w:b/>
                <w:sz w:val="18"/>
              </w:rPr>
            </w:pPr>
            <w:r>
              <w:rPr>
                <w:b/>
                <w:sz w:val="18"/>
              </w:rPr>
              <w:t>2011</w:t>
            </w:r>
          </w:p>
        </w:tc>
      </w:tr>
      <w:tr>
        <w:trPr>
          <w:trHeight w:val="317" w:hRule="exact"/>
        </w:trPr>
        <w:tc>
          <w:tcPr>
            <w:tcW w:w="281" w:type="dxa"/>
          </w:tcPr>
          <w:p>
            <w:pPr/>
          </w:p>
        </w:tc>
        <w:tc>
          <w:tcPr>
            <w:tcW w:w="7076" w:type="dxa"/>
          </w:tcPr>
          <w:p>
            <w:pPr/>
          </w:p>
        </w:tc>
        <w:tc>
          <w:tcPr>
            <w:tcW w:w="1497" w:type="dxa"/>
          </w:tcPr>
          <w:p>
            <w:pPr>
              <w:pStyle w:val="TableParagraph"/>
              <w:spacing w:before="24"/>
              <w:ind w:right="131"/>
              <w:jc w:val="center"/>
              <w:rPr>
                <w:b/>
                <w:sz w:val="18"/>
              </w:rPr>
            </w:pPr>
            <w:r>
              <w:rPr>
                <w:b/>
                <w:w w:val="99"/>
                <w:sz w:val="18"/>
              </w:rPr>
              <w:t>$</w:t>
            </w:r>
          </w:p>
        </w:tc>
        <w:tc>
          <w:tcPr>
            <w:tcW w:w="1070" w:type="dxa"/>
          </w:tcPr>
          <w:p>
            <w:pPr>
              <w:pStyle w:val="TableParagraph"/>
              <w:spacing w:before="24"/>
              <w:ind w:right="120"/>
              <w:jc w:val="center"/>
              <w:rPr>
                <w:b/>
                <w:sz w:val="18"/>
              </w:rPr>
            </w:pPr>
            <w:r>
              <w:rPr>
                <w:b/>
                <w:w w:val="99"/>
                <w:sz w:val="18"/>
              </w:rPr>
              <w:t>$</w:t>
            </w:r>
          </w:p>
        </w:tc>
      </w:tr>
      <w:tr>
        <w:trPr>
          <w:trHeight w:val="544" w:hRule="exact"/>
        </w:trPr>
        <w:tc>
          <w:tcPr>
            <w:tcW w:w="281" w:type="dxa"/>
          </w:tcPr>
          <w:p>
            <w:pPr/>
          </w:p>
        </w:tc>
        <w:tc>
          <w:tcPr>
            <w:tcW w:w="7076" w:type="dxa"/>
          </w:tcPr>
          <w:p>
            <w:pPr>
              <w:pStyle w:val="TableParagraph"/>
              <w:spacing w:line="264" w:lineRule="auto" w:before="67"/>
              <w:ind w:left="462" w:right="5120" w:hanging="267"/>
              <w:rPr>
                <w:sz w:val="18"/>
              </w:rPr>
            </w:pPr>
            <w:r>
              <w:rPr>
                <w:sz w:val="18"/>
              </w:rPr>
              <w:t>Rendering of services Programs</w:t>
            </w:r>
          </w:p>
        </w:tc>
        <w:tc>
          <w:tcPr>
            <w:tcW w:w="1497" w:type="dxa"/>
          </w:tcPr>
          <w:p>
            <w:pPr>
              <w:pStyle w:val="TableParagraph"/>
              <w:spacing w:before="7"/>
              <w:rPr>
                <w:b/>
                <w:sz w:val="25"/>
              </w:rPr>
            </w:pPr>
          </w:p>
          <w:p>
            <w:pPr>
              <w:pStyle w:val="TableParagraph"/>
              <w:ind w:right="291"/>
              <w:jc w:val="right"/>
              <w:rPr>
                <w:b/>
                <w:sz w:val="18"/>
              </w:rPr>
            </w:pPr>
            <w:r>
              <w:rPr>
                <w:b/>
                <w:sz w:val="18"/>
              </w:rPr>
              <w:t>105,075</w:t>
            </w:r>
          </w:p>
        </w:tc>
        <w:tc>
          <w:tcPr>
            <w:tcW w:w="1070" w:type="dxa"/>
          </w:tcPr>
          <w:p>
            <w:pPr>
              <w:pStyle w:val="TableParagraph"/>
              <w:spacing w:before="7"/>
              <w:rPr>
                <w:b/>
                <w:sz w:val="25"/>
              </w:rPr>
            </w:pPr>
          </w:p>
          <w:p>
            <w:pPr>
              <w:pStyle w:val="TableParagraph"/>
              <w:ind w:right="61"/>
              <w:jc w:val="right"/>
              <w:rPr>
                <w:sz w:val="18"/>
              </w:rPr>
            </w:pPr>
            <w:r>
              <w:rPr>
                <w:sz w:val="18"/>
              </w:rPr>
              <w:t>105,600</w:t>
            </w:r>
          </w:p>
        </w:tc>
      </w:tr>
      <w:tr>
        <w:trPr>
          <w:trHeight w:val="271" w:hRule="exact"/>
        </w:trPr>
        <w:tc>
          <w:tcPr>
            <w:tcW w:w="281" w:type="dxa"/>
          </w:tcPr>
          <w:p>
            <w:pPr/>
          </w:p>
        </w:tc>
        <w:tc>
          <w:tcPr>
            <w:tcW w:w="7076" w:type="dxa"/>
          </w:tcPr>
          <w:p>
            <w:pPr>
              <w:pStyle w:val="TableParagraph"/>
              <w:spacing w:before="22"/>
              <w:ind w:left="462" w:right="5120"/>
              <w:rPr>
                <w:sz w:val="18"/>
              </w:rPr>
            </w:pPr>
            <w:r>
              <w:rPr>
                <w:sz w:val="18"/>
              </w:rPr>
              <w:t>Advertising</w:t>
            </w:r>
          </w:p>
        </w:tc>
        <w:tc>
          <w:tcPr>
            <w:tcW w:w="1497" w:type="dxa"/>
            <w:tcBorders>
              <w:bottom w:val="single" w:sz="8" w:space="0" w:color="000000"/>
            </w:tcBorders>
          </w:tcPr>
          <w:p>
            <w:pPr>
              <w:pStyle w:val="TableParagraph"/>
              <w:spacing w:before="22"/>
              <w:ind w:right="291"/>
              <w:jc w:val="right"/>
              <w:rPr>
                <w:b/>
                <w:sz w:val="18"/>
              </w:rPr>
            </w:pPr>
            <w:r>
              <w:rPr>
                <w:b/>
                <w:sz w:val="18"/>
              </w:rPr>
              <w:t>420,590</w:t>
            </w:r>
          </w:p>
        </w:tc>
        <w:tc>
          <w:tcPr>
            <w:tcW w:w="1070" w:type="dxa"/>
            <w:tcBorders>
              <w:bottom w:val="single" w:sz="8" w:space="0" w:color="000000"/>
            </w:tcBorders>
          </w:tcPr>
          <w:p>
            <w:pPr>
              <w:pStyle w:val="TableParagraph"/>
              <w:spacing w:before="22"/>
              <w:ind w:right="61"/>
              <w:jc w:val="right"/>
              <w:rPr>
                <w:sz w:val="18"/>
              </w:rPr>
            </w:pPr>
            <w:r>
              <w:rPr>
                <w:sz w:val="18"/>
              </w:rPr>
              <w:t>366,050</w:t>
            </w:r>
          </w:p>
        </w:tc>
      </w:tr>
      <w:tr>
        <w:trPr>
          <w:trHeight w:val="334" w:hRule="exact"/>
        </w:trPr>
        <w:tc>
          <w:tcPr>
            <w:tcW w:w="281" w:type="dxa"/>
          </w:tcPr>
          <w:p>
            <w:pPr/>
          </w:p>
        </w:tc>
        <w:tc>
          <w:tcPr>
            <w:tcW w:w="7076" w:type="dxa"/>
          </w:tcPr>
          <w:p>
            <w:pPr>
              <w:pStyle w:val="TableParagraph"/>
              <w:spacing w:before="111"/>
              <w:ind w:left="270"/>
              <w:rPr>
                <w:sz w:val="18"/>
              </w:rPr>
            </w:pPr>
            <w:r>
              <w:rPr>
                <w:sz w:val="18"/>
              </w:rPr>
              <w:t>Total rendering of services</w:t>
            </w:r>
          </w:p>
        </w:tc>
        <w:tc>
          <w:tcPr>
            <w:tcW w:w="1497" w:type="dxa"/>
            <w:tcBorders>
              <w:top w:val="single" w:sz="8" w:space="0" w:color="000000"/>
              <w:bottom w:val="single" w:sz="8" w:space="0" w:color="000000"/>
            </w:tcBorders>
          </w:tcPr>
          <w:p>
            <w:pPr>
              <w:pStyle w:val="TableParagraph"/>
              <w:spacing w:before="101"/>
              <w:ind w:right="275"/>
              <w:jc w:val="right"/>
              <w:rPr>
                <w:b/>
                <w:sz w:val="18"/>
              </w:rPr>
            </w:pPr>
            <w:r>
              <w:rPr>
                <w:b/>
                <w:sz w:val="18"/>
              </w:rPr>
              <w:t>525,665</w:t>
            </w:r>
          </w:p>
        </w:tc>
        <w:tc>
          <w:tcPr>
            <w:tcW w:w="1070" w:type="dxa"/>
            <w:tcBorders>
              <w:top w:val="single" w:sz="8" w:space="0" w:color="000000"/>
              <w:bottom w:val="single" w:sz="8" w:space="0" w:color="000000"/>
            </w:tcBorders>
          </w:tcPr>
          <w:p>
            <w:pPr>
              <w:pStyle w:val="TableParagraph"/>
              <w:spacing w:before="101"/>
              <w:ind w:right="44"/>
              <w:jc w:val="right"/>
              <w:rPr>
                <w:sz w:val="18"/>
              </w:rPr>
            </w:pPr>
            <w:r>
              <w:rPr>
                <w:sz w:val="18"/>
              </w:rPr>
              <w:t>471,650</w:t>
            </w:r>
          </w:p>
        </w:tc>
      </w:tr>
      <w:tr>
        <w:trPr>
          <w:trHeight w:val="598" w:hRule="exact"/>
        </w:trPr>
        <w:tc>
          <w:tcPr>
            <w:tcW w:w="281" w:type="dxa"/>
          </w:tcPr>
          <w:p>
            <w:pPr/>
          </w:p>
        </w:tc>
        <w:tc>
          <w:tcPr>
            <w:tcW w:w="7076" w:type="dxa"/>
          </w:tcPr>
          <w:p>
            <w:pPr>
              <w:pStyle w:val="TableParagraph"/>
              <w:spacing w:line="264" w:lineRule="auto" w:before="120"/>
              <w:ind w:left="436" w:right="5389" w:hanging="241"/>
              <w:rPr>
                <w:sz w:val="18"/>
              </w:rPr>
            </w:pPr>
            <w:r>
              <w:rPr>
                <w:sz w:val="18"/>
              </w:rPr>
              <w:t>Other revenue Special funding</w:t>
            </w:r>
          </w:p>
        </w:tc>
        <w:tc>
          <w:tcPr>
            <w:tcW w:w="1497" w:type="dxa"/>
            <w:tcBorders>
              <w:top w:val="single" w:sz="8" w:space="0" w:color="000000"/>
            </w:tcBorders>
          </w:tcPr>
          <w:p>
            <w:pPr>
              <w:pStyle w:val="TableParagraph"/>
              <w:rPr>
                <w:b/>
                <w:sz w:val="18"/>
              </w:rPr>
            </w:pPr>
          </w:p>
          <w:p>
            <w:pPr>
              <w:pStyle w:val="TableParagraph"/>
              <w:spacing w:before="131"/>
              <w:ind w:right="276"/>
              <w:jc w:val="right"/>
              <w:rPr>
                <w:b/>
                <w:sz w:val="18"/>
              </w:rPr>
            </w:pPr>
            <w:r>
              <w:rPr>
                <w:b/>
                <w:sz w:val="18"/>
              </w:rPr>
              <w:t>250,000</w:t>
            </w:r>
          </w:p>
        </w:tc>
        <w:tc>
          <w:tcPr>
            <w:tcW w:w="1070" w:type="dxa"/>
            <w:tcBorders>
              <w:top w:val="single" w:sz="8" w:space="0" w:color="000000"/>
            </w:tcBorders>
          </w:tcPr>
          <w:p>
            <w:pPr>
              <w:pStyle w:val="TableParagraph"/>
              <w:rPr>
                <w:b/>
                <w:sz w:val="18"/>
              </w:rPr>
            </w:pPr>
          </w:p>
          <w:p>
            <w:pPr>
              <w:pStyle w:val="TableParagraph"/>
              <w:spacing w:before="131"/>
              <w:ind w:right="44"/>
              <w:jc w:val="right"/>
              <w:rPr>
                <w:sz w:val="18"/>
              </w:rPr>
            </w:pPr>
            <w:r>
              <w:rPr>
                <w:sz w:val="18"/>
              </w:rPr>
              <w:t>250,000</w:t>
            </w:r>
          </w:p>
        </w:tc>
      </w:tr>
      <w:tr>
        <w:trPr>
          <w:trHeight w:val="272" w:hRule="exact"/>
        </w:trPr>
        <w:tc>
          <w:tcPr>
            <w:tcW w:w="281" w:type="dxa"/>
          </w:tcPr>
          <w:p>
            <w:pPr/>
          </w:p>
        </w:tc>
        <w:tc>
          <w:tcPr>
            <w:tcW w:w="7076" w:type="dxa"/>
          </w:tcPr>
          <w:p>
            <w:pPr>
              <w:pStyle w:val="TableParagraph"/>
              <w:spacing w:before="24"/>
              <w:ind w:left="435" w:right="5120"/>
              <w:rPr>
                <w:sz w:val="18"/>
              </w:rPr>
            </w:pPr>
            <w:r>
              <w:rPr>
                <w:sz w:val="18"/>
              </w:rPr>
              <w:t>Interest</w:t>
            </w:r>
          </w:p>
        </w:tc>
        <w:tc>
          <w:tcPr>
            <w:tcW w:w="1497" w:type="dxa"/>
            <w:tcBorders>
              <w:bottom w:val="single" w:sz="8" w:space="0" w:color="000000"/>
            </w:tcBorders>
          </w:tcPr>
          <w:p>
            <w:pPr>
              <w:pStyle w:val="TableParagraph"/>
              <w:spacing w:before="24"/>
              <w:ind w:right="272"/>
              <w:jc w:val="right"/>
              <w:rPr>
                <w:b/>
                <w:sz w:val="18"/>
              </w:rPr>
            </w:pPr>
            <w:r>
              <w:rPr>
                <w:b/>
                <w:sz w:val="18"/>
              </w:rPr>
              <w:t>5,554</w:t>
            </w:r>
          </w:p>
        </w:tc>
        <w:tc>
          <w:tcPr>
            <w:tcW w:w="1070" w:type="dxa"/>
            <w:tcBorders>
              <w:bottom w:val="single" w:sz="8" w:space="0" w:color="000000"/>
            </w:tcBorders>
          </w:tcPr>
          <w:p>
            <w:pPr>
              <w:pStyle w:val="TableParagraph"/>
              <w:spacing w:before="24"/>
              <w:ind w:right="45"/>
              <w:jc w:val="right"/>
              <w:rPr>
                <w:sz w:val="18"/>
              </w:rPr>
            </w:pPr>
            <w:r>
              <w:rPr>
                <w:sz w:val="18"/>
              </w:rPr>
              <w:t>12,453</w:t>
            </w:r>
          </w:p>
        </w:tc>
      </w:tr>
      <w:tr>
        <w:trPr>
          <w:trHeight w:val="338" w:hRule="exact"/>
        </w:trPr>
        <w:tc>
          <w:tcPr>
            <w:tcW w:w="281" w:type="dxa"/>
          </w:tcPr>
          <w:p>
            <w:pPr/>
          </w:p>
        </w:tc>
        <w:tc>
          <w:tcPr>
            <w:tcW w:w="7076" w:type="dxa"/>
          </w:tcPr>
          <w:p>
            <w:pPr>
              <w:pStyle w:val="TableParagraph"/>
              <w:spacing w:before="112"/>
              <w:ind w:left="195" w:right="5120"/>
              <w:rPr>
                <w:sz w:val="18"/>
              </w:rPr>
            </w:pPr>
            <w:r>
              <w:rPr>
                <w:sz w:val="18"/>
              </w:rPr>
              <w:t>Total other revenue</w:t>
            </w:r>
          </w:p>
        </w:tc>
        <w:tc>
          <w:tcPr>
            <w:tcW w:w="1497" w:type="dxa"/>
            <w:tcBorders>
              <w:top w:val="single" w:sz="8" w:space="0" w:color="000000"/>
              <w:bottom w:val="single" w:sz="8" w:space="0" w:color="000000"/>
            </w:tcBorders>
          </w:tcPr>
          <w:p>
            <w:pPr>
              <w:pStyle w:val="TableParagraph"/>
              <w:spacing w:before="102"/>
              <w:ind w:right="291"/>
              <w:jc w:val="right"/>
              <w:rPr>
                <w:b/>
                <w:sz w:val="18"/>
              </w:rPr>
            </w:pPr>
            <w:r>
              <w:rPr>
                <w:b/>
                <w:sz w:val="18"/>
              </w:rPr>
              <w:t>255,554</w:t>
            </w:r>
          </w:p>
        </w:tc>
        <w:tc>
          <w:tcPr>
            <w:tcW w:w="1070" w:type="dxa"/>
            <w:tcBorders>
              <w:top w:val="single" w:sz="8" w:space="0" w:color="000000"/>
              <w:bottom w:val="single" w:sz="8" w:space="0" w:color="000000"/>
            </w:tcBorders>
          </w:tcPr>
          <w:p>
            <w:pPr>
              <w:pStyle w:val="TableParagraph"/>
              <w:spacing w:before="102"/>
              <w:ind w:right="61"/>
              <w:jc w:val="right"/>
              <w:rPr>
                <w:sz w:val="18"/>
              </w:rPr>
            </w:pPr>
            <w:r>
              <w:rPr>
                <w:sz w:val="18"/>
              </w:rPr>
              <w:t>262,453</w:t>
            </w:r>
          </w:p>
        </w:tc>
      </w:tr>
      <w:tr>
        <w:trPr>
          <w:trHeight w:val="334" w:hRule="exact"/>
        </w:trPr>
        <w:tc>
          <w:tcPr>
            <w:tcW w:w="281" w:type="dxa"/>
          </w:tcPr>
          <w:p>
            <w:pPr/>
          </w:p>
        </w:tc>
        <w:tc>
          <w:tcPr>
            <w:tcW w:w="7076" w:type="dxa"/>
          </w:tcPr>
          <w:p>
            <w:pPr>
              <w:pStyle w:val="TableParagraph"/>
              <w:spacing w:before="119"/>
              <w:ind w:left="195" w:right="5120"/>
              <w:rPr>
                <w:b/>
                <w:sz w:val="18"/>
              </w:rPr>
            </w:pPr>
            <w:r>
              <w:rPr>
                <w:b/>
                <w:sz w:val="18"/>
              </w:rPr>
              <w:t>Total Revenue</w:t>
            </w:r>
          </w:p>
        </w:tc>
        <w:tc>
          <w:tcPr>
            <w:tcW w:w="1497" w:type="dxa"/>
            <w:tcBorders>
              <w:top w:val="single" w:sz="8" w:space="0" w:color="000000"/>
              <w:bottom w:val="single" w:sz="8" w:space="0" w:color="000000"/>
            </w:tcBorders>
          </w:tcPr>
          <w:p>
            <w:pPr>
              <w:pStyle w:val="TableParagraph"/>
              <w:spacing w:before="109"/>
              <w:ind w:right="291"/>
              <w:jc w:val="right"/>
              <w:rPr>
                <w:b/>
                <w:sz w:val="18"/>
              </w:rPr>
            </w:pPr>
            <w:r>
              <w:rPr>
                <w:b/>
                <w:sz w:val="18"/>
              </w:rPr>
              <w:t>781,219</w:t>
            </w:r>
          </w:p>
        </w:tc>
        <w:tc>
          <w:tcPr>
            <w:tcW w:w="1070" w:type="dxa"/>
            <w:tcBorders>
              <w:top w:val="single" w:sz="8" w:space="0" w:color="000000"/>
              <w:bottom w:val="single" w:sz="8" w:space="0" w:color="000000"/>
            </w:tcBorders>
          </w:tcPr>
          <w:p>
            <w:pPr>
              <w:pStyle w:val="TableParagraph"/>
              <w:spacing w:before="109"/>
              <w:ind w:right="61"/>
              <w:jc w:val="right"/>
              <w:rPr>
                <w:sz w:val="18"/>
              </w:rPr>
            </w:pPr>
            <w:r>
              <w:rPr>
                <w:sz w:val="18"/>
              </w:rPr>
              <w:t>734,103</w:t>
            </w:r>
          </w:p>
        </w:tc>
      </w:tr>
    </w:tbl>
    <w:p>
      <w:pPr>
        <w:pStyle w:val="BodyText"/>
        <w:rPr>
          <w:b/>
          <w:sz w:val="20"/>
        </w:rPr>
      </w:pPr>
    </w:p>
    <w:p>
      <w:pPr>
        <w:pStyle w:val="BodyText"/>
        <w:rPr>
          <w:b/>
          <w:sz w:val="20"/>
        </w:rPr>
      </w:pPr>
    </w:p>
    <w:p>
      <w:pPr>
        <w:pStyle w:val="BodyText"/>
        <w:spacing w:before="8"/>
        <w:rPr>
          <w:b/>
          <w:sz w:val="19"/>
        </w:rPr>
      </w:pPr>
    </w:p>
    <w:p>
      <w:pPr>
        <w:spacing w:after="0"/>
        <w:rPr>
          <w:sz w:val="19"/>
        </w:rPr>
        <w:sectPr>
          <w:pgSz w:w="11930" w:h="16850"/>
          <w:pgMar w:header="1035" w:footer="507" w:top="1460" w:bottom="700" w:left="860" w:right="920"/>
        </w:sectPr>
      </w:pPr>
    </w:p>
    <w:p>
      <w:pPr>
        <w:pStyle w:val="Heading9"/>
        <w:numPr>
          <w:ilvl w:val="0"/>
          <w:numId w:val="40"/>
        </w:numPr>
        <w:tabs>
          <w:tab w:pos="540" w:val="left" w:leader="none"/>
        </w:tabs>
        <w:spacing w:line="240" w:lineRule="auto" w:before="78" w:after="0"/>
        <w:ind w:left="539" w:right="0" w:hanging="391"/>
        <w:jc w:val="left"/>
      </w:pPr>
      <w:r>
        <w:rPr/>
        <w:t>Expenses</w:t>
      </w:r>
    </w:p>
    <w:p>
      <w:pPr>
        <w:pStyle w:val="BodyText"/>
        <w:rPr>
          <w:b/>
        </w:rPr>
      </w:pPr>
      <w:r>
        <w:rPr/>
        <w:br w:type="column"/>
      </w:r>
      <w:r>
        <w:rPr>
          <w:b/>
        </w:rPr>
      </w:r>
    </w:p>
    <w:p>
      <w:pPr>
        <w:spacing w:before="113"/>
        <w:ind w:left="147" w:right="0" w:firstLine="0"/>
        <w:jc w:val="center"/>
        <w:rPr>
          <w:b/>
          <w:sz w:val="18"/>
        </w:rPr>
      </w:pPr>
      <w:r>
        <w:rPr>
          <w:b/>
          <w:sz w:val="18"/>
        </w:rPr>
        <w:t>2012</w:t>
      </w:r>
    </w:p>
    <w:p>
      <w:pPr>
        <w:spacing w:before="64"/>
        <w:ind w:left="142" w:right="0" w:firstLine="0"/>
        <w:jc w:val="center"/>
        <w:rPr>
          <w:b/>
          <w:sz w:val="18"/>
        </w:rPr>
      </w:pPr>
      <w:r>
        <w:rPr>
          <w:b/>
          <w:w w:val="99"/>
          <w:sz w:val="18"/>
        </w:rPr>
        <w:t>$</w:t>
      </w:r>
    </w:p>
    <w:p>
      <w:pPr>
        <w:pStyle w:val="BodyText"/>
        <w:rPr>
          <w:b/>
        </w:rPr>
      </w:pPr>
      <w:r>
        <w:rPr/>
        <w:br w:type="column"/>
      </w:r>
      <w:r>
        <w:rPr>
          <w:b/>
        </w:rPr>
      </w:r>
    </w:p>
    <w:p>
      <w:pPr>
        <w:spacing w:before="113"/>
        <w:ind w:left="134" w:right="481" w:firstLine="0"/>
        <w:jc w:val="center"/>
        <w:rPr>
          <w:b/>
          <w:sz w:val="18"/>
        </w:rPr>
      </w:pPr>
      <w:r>
        <w:rPr>
          <w:b/>
          <w:sz w:val="18"/>
        </w:rPr>
        <w:t>2011</w:t>
      </w:r>
    </w:p>
    <w:p>
      <w:pPr>
        <w:spacing w:before="64"/>
        <w:ind w:left="0" w:right="351" w:firstLine="0"/>
        <w:jc w:val="center"/>
        <w:rPr>
          <w:b/>
          <w:sz w:val="18"/>
        </w:rPr>
      </w:pPr>
      <w:r>
        <w:rPr>
          <w:b/>
          <w:w w:val="99"/>
          <w:sz w:val="18"/>
        </w:rPr>
        <w:t>$</w:t>
      </w:r>
    </w:p>
    <w:p>
      <w:pPr>
        <w:spacing w:after="0"/>
        <w:jc w:val="center"/>
        <w:rPr>
          <w:sz w:val="18"/>
        </w:rPr>
        <w:sectPr>
          <w:type w:val="continuous"/>
          <w:pgSz w:w="11930" w:h="16850"/>
          <w:pgMar w:top="0" w:bottom="280" w:left="860" w:right="920"/>
          <w:cols w:num="3" w:equalWidth="0">
            <w:col w:w="1381" w:space="6423"/>
            <w:col w:w="552" w:space="737"/>
            <w:col w:w="1057"/>
          </w:cols>
        </w:sectPr>
      </w:pPr>
    </w:p>
    <w:p>
      <w:pPr>
        <w:pStyle w:val="BodyText"/>
        <w:spacing w:before="7"/>
        <w:rPr>
          <w:b/>
          <w:sz w:val="14"/>
        </w:rPr>
      </w:pPr>
    </w:p>
    <w:tbl>
      <w:tblPr>
        <w:tblW w:w="0" w:type="auto"/>
        <w:jc w:val="left"/>
        <w:tblInd w:w="38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081"/>
        <w:gridCol w:w="1536"/>
        <w:gridCol w:w="1030"/>
      </w:tblGrid>
      <w:tr>
        <w:trPr>
          <w:trHeight w:val="743" w:hRule="exact"/>
        </w:trPr>
        <w:tc>
          <w:tcPr>
            <w:tcW w:w="7081" w:type="dxa"/>
          </w:tcPr>
          <w:p>
            <w:pPr>
              <w:pStyle w:val="TableParagraph"/>
              <w:spacing w:line="184" w:lineRule="exact"/>
              <w:ind w:left="200"/>
              <w:rPr>
                <w:b/>
                <w:sz w:val="18"/>
              </w:rPr>
            </w:pPr>
            <w:r>
              <w:rPr>
                <w:b/>
                <w:sz w:val="18"/>
              </w:rPr>
              <w:t>Depreciation and amortisation expense</w:t>
            </w:r>
          </w:p>
          <w:p>
            <w:pPr>
              <w:pStyle w:val="TableParagraph"/>
              <w:rPr>
                <w:b/>
                <w:sz w:val="18"/>
              </w:rPr>
            </w:pPr>
          </w:p>
          <w:p>
            <w:pPr>
              <w:pStyle w:val="TableParagraph"/>
              <w:spacing w:before="109"/>
              <w:ind w:left="200"/>
              <w:rPr>
                <w:sz w:val="18"/>
              </w:rPr>
            </w:pPr>
            <w:r>
              <w:rPr>
                <w:sz w:val="18"/>
              </w:rPr>
              <w:t>Depreciation</w:t>
            </w:r>
          </w:p>
        </w:tc>
        <w:tc>
          <w:tcPr>
            <w:tcW w:w="1536" w:type="dxa"/>
          </w:tcPr>
          <w:p>
            <w:pPr>
              <w:pStyle w:val="TableParagraph"/>
              <w:rPr>
                <w:b/>
                <w:sz w:val="18"/>
              </w:rPr>
            </w:pPr>
          </w:p>
          <w:p>
            <w:pPr>
              <w:pStyle w:val="TableParagraph"/>
              <w:rPr>
                <w:b/>
                <w:sz w:val="25"/>
              </w:rPr>
            </w:pPr>
          </w:p>
          <w:p>
            <w:pPr>
              <w:pStyle w:val="TableParagraph"/>
              <w:spacing w:before="1"/>
              <w:ind w:right="322"/>
              <w:jc w:val="right"/>
              <w:rPr>
                <w:b/>
                <w:sz w:val="18"/>
              </w:rPr>
            </w:pPr>
            <w:r>
              <w:rPr>
                <w:b/>
                <w:sz w:val="18"/>
              </w:rPr>
              <w:t>48,088</w:t>
            </w:r>
          </w:p>
        </w:tc>
        <w:tc>
          <w:tcPr>
            <w:tcW w:w="1030" w:type="dxa"/>
          </w:tcPr>
          <w:p>
            <w:pPr>
              <w:pStyle w:val="TableParagraph"/>
              <w:rPr>
                <w:b/>
                <w:sz w:val="18"/>
              </w:rPr>
            </w:pPr>
          </w:p>
          <w:p>
            <w:pPr>
              <w:pStyle w:val="TableParagraph"/>
              <w:spacing w:before="5"/>
              <w:rPr>
                <w:b/>
                <w:sz w:val="25"/>
              </w:rPr>
            </w:pPr>
          </w:p>
          <w:p>
            <w:pPr>
              <w:pStyle w:val="TableParagraph"/>
              <w:ind w:right="56"/>
              <w:jc w:val="right"/>
              <w:rPr>
                <w:sz w:val="18"/>
              </w:rPr>
            </w:pPr>
            <w:r>
              <w:rPr>
                <w:sz w:val="18"/>
              </w:rPr>
              <w:t>43,920</w:t>
            </w:r>
          </w:p>
        </w:tc>
      </w:tr>
      <w:tr>
        <w:trPr>
          <w:trHeight w:val="281" w:hRule="exact"/>
        </w:trPr>
        <w:tc>
          <w:tcPr>
            <w:tcW w:w="7081" w:type="dxa"/>
          </w:tcPr>
          <w:p>
            <w:pPr>
              <w:pStyle w:val="TableParagraph"/>
              <w:spacing w:before="21"/>
              <w:ind w:left="200"/>
              <w:rPr>
                <w:sz w:val="18"/>
              </w:rPr>
            </w:pPr>
            <w:r>
              <w:rPr>
                <w:sz w:val="18"/>
              </w:rPr>
              <w:t>Amortisation</w:t>
            </w:r>
          </w:p>
        </w:tc>
        <w:tc>
          <w:tcPr>
            <w:tcW w:w="1536" w:type="dxa"/>
            <w:tcBorders>
              <w:bottom w:val="single" w:sz="4" w:space="0" w:color="000000"/>
            </w:tcBorders>
          </w:tcPr>
          <w:p>
            <w:pPr>
              <w:pStyle w:val="TableParagraph"/>
              <w:spacing w:before="16"/>
              <w:ind w:right="322"/>
              <w:jc w:val="right"/>
              <w:rPr>
                <w:b/>
                <w:sz w:val="18"/>
              </w:rPr>
            </w:pPr>
            <w:r>
              <w:rPr>
                <w:b/>
                <w:sz w:val="18"/>
              </w:rPr>
              <w:t>40,000</w:t>
            </w:r>
          </w:p>
        </w:tc>
        <w:tc>
          <w:tcPr>
            <w:tcW w:w="1030" w:type="dxa"/>
            <w:tcBorders>
              <w:bottom w:val="single" w:sz="4" w:space="0" w:color="000000"/>
            </w:tcBorders>
          </w:tcPr>
          <w:p>
            <w:pPr>
              <w:pStyle w:val="TableParagraph"/>
              <w:spacing w:before="21"/>
              <w:ind w:right="56"/>
              <w:jc w:val="right"/>
              <w:rPr>
                <w:sz w:val="18"/>
              </w:rPr>
            </w:pPr>
            <w:r>
              <w:rPr>
                <w:sz w:val="18"/>
              </w:rPr>
              <w:t>40,000</w:t>
            </w:r>
          </w:p>
        </w:tc>
      </w:tr>
      <w:tr>
        <w:trPr>
          <w:trHeight w:val="337" w:hRule="exact"/>
        </w:trPr>
        <w:tc>
          <w:tcPr>
            <w:tcW w:w="7081" w:type="dxa"/>
          </w:tcPr>
          <w:p>
            <w:pPr>
              <w:pStyle w:val="TableParagraph"/>
              <w:spacing w:before="112"/>
              <w:ind w:left="200"/>
              <w:rPr>
                <w:b/>
                <w:sz w:val="18"/>
              </w:rPr>
            </w:pPr>
            <w:r>
              <w:rPr>
                <w:b/>
                <w:sz w:val="18"/>
              </w:rPr>
              <w:t>Total depreciation and amortisation expense</w:t>
            </w:r>
          </w:p>
        </w:tc>
        <w:tc>
          <w:tcPr>
            <w:tcW w:w="1536" w:type="dxa"/>
            <w:tcBorders>
              <w:top w:val="single" w:sz="4" w:space="0" w:color="000000"/>
              <w:bottom w:val="single" w:sz="5" w:space="0" w:color="000000"/>
            </w:tcBorders>
          </w:tcPr>
          <w:p>
            <w:pPr>
              <w:pStyle w:val="TableParagraph"/>
              <w:spacing w:before="104"/>
              <w:ind w:right="322"/>
              <w:jc w:val="right"/>
              <w:rPr>
                <w:b/>
                <w:sz w:val="18"/>
              </w:rPr>
            </w:pPr>
            <w:r>
              <w:rPr>
                <w:b/>
                <w:sz w:val="18"/>
              </w:rPr>
              <w:t>88,088</w:t>
            </w:r>
          </w:p>
        </w:tc>
        <w:tc>
          <w:tcPr>
            <w:tcW w:w="1030" w:type="dxa"/>
            <w:tcBorders>
              <w:top w:val="single" w:sz="4" w:space="0" w:color="000000"/>
              <w:bottom w:val="single" w:sz="5" w:space="0" w:color="000000"/>
            </w:tcBorders>
          </w:tcPr>
          <w:p>
            <w:pPr>
              <w:pStyle w:val="TableParagraph"/>
              <w:spacing w:before="109"/>
              <w:ind w:right="56"/>
              <w:jc w:val="right"/>
              <w:rPr>
                <w:sz w:val="18"/>
              </w:rPr>
            </w:pPr>
            <w:r>
              <w:rPr>
                <w:sz w:val="18"/>
              </w:rPr>
              <w:t>83,920</w:t>
            </w:r>
          </w:p>
        </w:tc>
      </w:tr>
      <w:tr>
        <w:trPr>
          <w:trHeight w:val="765" w:hRule="exact"/>
        </w:trPr>
        <w:tc>
          <w:tcPr>
            <w:tcW w:w="7081" w:type="dxa"/>
          </w:tcPr>
          <w:p>
            <w:pPr>
              <w:pStyle w:val="TableParagraph"/>
              <w:rPr>
                <w:b/>
                <w:sz w:val="18"/>
              </w:rPr>
            </w:pPr>
          </w:p>
          <w:p>
            <w:pPr>
              <w:pStyle w:val="TableParagraph"/>
              <w:spacing w:before="7"/>
              <w:rPr>
                <w:b/>
                <w:sz w:val="16"/>
              </w:rPr>
            </w:pPr>
          </w:p>
          <w:p>
            <w:pPr>
              <w:pStyle w:val="TableParagraph"/>
              <w:ind w:left="200"/>
              <w:rPr>
                <w:b/>
                <w:sz w:val="18"/>
              </w:rPr>
            </w:pPr>
            <w:r>
              <w:rPr>
                <w:b/>
                <w:sz w:val="18"/>
              </w:rPr>
              <w:t>Employee benefits expense</w:t>
            </w:r>
          </w:p>
        </w:tc>
        <w:tc>
          <w:tcPr>
            <w:tcW w:w="1536" w:type="dxa"/>
            <w:tcBorders>
              <w:top w:val="single" w:sz="5" w:space="0" w:color="000000"/>
            </w:tcBorders>
          </w:tcPr>
          <w:p>
            <w:pPr/>
          </w:p>
        </w:tc>
        <w:tc>
          <w:tcPr>
            <w:tcW w:w="1030" w:type="dxa"/>
            <w:tcBorders>
              <w:top w:val="single" w:sz="5" w:space="0" w:color="000000"/>
            </w:tcBorders>
          </w:tcPr>
          <w:p>
            <w:pPr/>
          </w:p>
        </w:tc>
      </w:tr>
      <w:tr>
        <w:trPr>
          <w:trHeight w:val="388" w:hRule="exact"/>
        </w:trPr>
        <w:tc>
          <w:tcPr>
            <w:tcW w:w="7081" w:type="dxa"/>
          </w:tcPr>
          <w:p>
            <w:pPr>
              <w:pStyle w:val="TableParagraph"/>
              <w:spacing w:before="145"/>
              <w:ind w:left="200"/>
              <w:rPr>
                <w:sz w:val="18"/>
              </w:rPr>
            </w:pPr>
            <w:r>
              <w:rPr>
                <w:sz w:val="18"/>
              </w:rPr>
              <w:t>Salaries and wages</w:t>
            </w:r>
          </w:p>
        </w:tc>
        <w:tc>
          <w:tcPr>
            <w:tcW w:w="1536" w:type="dxa"/>
          </w:tcPr>
          <w:p>
            <w:pPr>
              <w:pStyle w:val="TableParagraph"/>
              <w:spacing w:before="140"/>
              <w:ind w:right="319"/>
              <w:jc w:val="right"/>
              <w:rPr>
                <w:b/>
                <w:sz w:val="18"/>
              </w:rPr>
            </w:pPr>
            <w:r>
              <w:rPr>
                <w:b/>
                <w:sz w:val="18"/>
              </w:rPr>
              <w:t>411,946</w:t>
            </w:r>
          </w:p>
        </w:tc>
        <w:tc>
          <w:tcPr>
            <w:tcW w:w="1030" w:type="dxa"/>
          </w:tcPr>
          <w:p>
            <w:pPr>
              <w:pStyle w:val="TableParagraph"/>
              <w:spacing w:before="145"/>
              <w:ind w:right="53"/>
              <w:jc w:val="right"/>
              <w:rPr>
                <w:sz w:val="18"/>
              </w:rPr>
            </w:pPr>
            <w:r>
              <w:rPr>
                <w:sz w:val="18"/>
              </w:rPr>
              <w:t>340,369</w:t>
            </w:r>
          </w:p>
        </w:tc>
      </w:tr>
      <w:tr>
        <w:trPr>
          <w:trHeight w:val="264" w:hRule="exact"/>
        </w:trPr>
        <w:tc>
          <w:tcPr>
            <w:tcW w:w="7081" w:type="dxa"/>
          </w:tcPr>
          <w:p>
            <w:pPr>
              <w:pStyle w:val="TableParagraph"/>
              <w:spacing w:before="21"/>
              <w:ind w:left="200"/>
              <w:rPr>
                <w:sz w:val="18"/>
              </w:rPr>
            </w:pPr>
            <w:r>
              <w:rPr>
                <w:sz w:val="18"/>
              </w:rPr>
              <w:t>Superannuation expense</w:t>
            </w:r>
          </w:p>
        </w:tc>
        <w:tc>
          <w:tcPr>
            <w:tcW w:w="1536" w:type="dxa"/>
          </w:tcPr>
          <w:p>
            <w:pPr>
              <w:pStyle w:val="TableParagraph"/>
              <w:spacing w:before="16"/>
              <w:ind w:right="322"/>
              <w:jc w:val="right"/>
              <w:rPr>
                <w:b/>
                <w:sz w:val="18"/>
              </w:rPr>
            </w:pPr>
            <w:r>
              <w:rPr>
                <w:b/>
                <w:sz w:val="18"/>
              </w:rPr>
              <w:t>46,441</w:t>
            </w:r>
          </w:p>
        </w:tc>
        <w:tc>
          <w:tcPr>
            <w:tcW w:w="1030" w:type="dxa"/>
          </w:tcPr>
          <w:p>
            <w:pPr>
              <w:pStyle w:val="TableParagraph"/>
              <w:spacing w:before="21"/>
              <w:ind w:right="56"/>
              <w:jc w:val="right"/>
              <w:rPr>
                <w:sz w:val="18"/>
              </w:rPr>
            </w:pPr>
            <w:r>
              <w:rPr>
                <w:sz w:val="18"/>
              </w:rPr>
              <w:t>51,177</w:t>
            </w:r>
          </w:p>
        </w:tc>
      </w:tr>
      <w:tr>
        <w:trPr>
          <w:trHeight w:val="265" w:hRule="exact"/>
        </w:trPr>
        <w:tc>
          <w:tcPr>
            <w:tcW w:w="7081" w:type="dxa"/>
          </w:tcPr>
          <w:p>
            <w:pPr>
              <w:pStyle w:val="TableParagraph"/>
              <w:spacing w:before="24"/>
              <w:ind w:left="200"/>
              <w:rPr>
                <w:sz w:val="18"/>
              </w:rPr>
            </w:pPr>
            <w:r>
              <w:rPr>
                <w:sz w:val="18"/>
              </w:rPr>
              <w:t>Leave</w:t>
            </w:r>
          </w:p>
        </w:tc>
        <w:tc>
          <w:tcPr>
            <w:tcW w:w="1536" w:type="dxa"/>
          </w:tcPr>
          <w:p>
            <w:pPr>
              <w:pStyle w:val="TableParagraph"/>
              <w:spacing w:before="16"/>
              <w:ind w:right="319"/>
              <w:jc w:val="right"/>
              <w:rPr>
                <w:b/>
                <w:sz w:val="18"/>
              </w:rPr>
            </w:pPr>
            <w:r>
              <w:rPr>
                <w:b/>
                <w:w w:val="95"/>
                <w:sz w:val="18"/>
              </w:rPr>
              <w:t>7,134</w:t>
            </w:r>
          </w:p>
        </w:tc>
        <w:tc>
          <w:tcPr>
            <w:tcW w:w="1030" w:type="dxa"/>
          </w:tcPr>
          <w:p>
            <w:pPr>
              <w:pStyle w:val="TableParagraph"/>
              <w:spacing w:before="21"/>
              <w:ind w:right="56"/>
              <w:jc w:val="right"/>
              <w:rPr>
                <w:sz w:val="18"/>
              </w:rPr>
            </w:pPr>
            <w:r>
              <w:rPr>
                <w:sz w:val="18"/>
              </w:rPr>
              <w:t>38,282</w:t>
            </w:r>
          </w:p>
        </w:tc>
      </w:tr>
      <w:tr>
        <w:trPr>
          <w:trHeight w:val="280" w:hRule="exact"/>
        </w:trPr>
        <w:tc>
          <w:tcPr>
            <w:tcW w:w="7081" w:type="dxa"/>
          </w:tcPr>
          <w:p>
            <w:pPr>
              <w:pStyle w:val="TableParagraph"/>
              <w:spacing w:before="22"/>
              <w:ind w:left="200"/>
              <w:rPr>
                <w:sz w:val="18"/>
              </w:rPr>
            </w:pPr>
            <w:r>
              <w:rPr>
                <w:sz w:val="18"/>
              </w:rPr>
              <w:t>Other</w:t>
            </w:r>
          </w:p>
        </w:tc>
        <w:tc>
          <w:tcPr>
            <w:tcW w:w="1536" w:type="dxa"/>
            <w:tcBorders>
              <w:bottom w:val="single" w:sz="4" w:space="0" w:color="000000"/>
            </w:tcBorders>
          </w:tcPr>
          <w:p>
            <w:pPr>
              <w:pStyle w:val="TableParagraph"/>
              <w:spacing w:before="15"/>
              <w:ind w:right="322"/>
              <w:jc w:val="right"/>
              <w:rPr>
                <w:b/>
                <w:sz w:val="18"/>
              </w:rPr>
            </w:pPr>
            <w:r>
              <w:rPr>
                <w:b/>
                <w:sz w:val="18"/>
              </w:rPr>
              <w:t>91,110</w:t>
            </w:r>
          </w:p>
        </w:tc>
        <w:tc>
          <w:tcPr>
            <w:tcW w:w="1030" w:type="dxa"/>
            <w:tcBorders>
              <w:bottom w:val="single" w:sz="4" w:space="0" w:color="000000"/>
            </w:tcBorders>
          </w:tcPr>
          <w:p>
            <w:pPr>
              <w:pStyle w:val="TableParagraph"/>
              <w:spacing w:before="20"/>
              <w:ind w:right="53"/>
              <w:jc w:val="right"/>
              <w:rPr>
                <w:sz w:val="18"/>
              </w:rPr>
            </w:pPr>
            <w:r>
              <w:rPr>
                <w:sz w:val="18"/>
              </w:rPr>
              <w:t>175,611</w:t>
            </w:r>
          </w:p>
        </w:tc>
      </w:tr>
      <w:tr>
        <w:trPr>
          <w:trHeight w:val="340" w:hRule="exact"/>
        </w:trPr>
        <w:tc>
          <w:tcPr>
            <w:tcW w:w="7081" w:type="dxa"/>
          </w:tcPr>
          <w:p>
            <w:pPr>
              <w:pStyle w:val="TableParagraph"/>
              <w:spacing w:before="114"/>
              <w:ind w:left="200"/>
              <w:rPr>
                <w:b/>
                <w:sz w:val="18"/>
              </w:rPr>
            </w:pPr>
            <w:r>
              <w:rPr>
                <w:b/>
                <w:sz w:val="18"/>
              </w:rPr>
              <w:t>Total employee benefits expense</w:t>
            </w:r>
          </w:p>
        </w:tc>
        <w:tc>
          <w:tcPr>
            <w:tcW w:w="1536" w:type="dxa"/>
            <w:tcBorders>
              <w:top w:val="single" w:sz="4" w:space="0" w:color="000000"/>
              <w:bottom w:val="single" w:sz="5" w:space="0" w:color="000000"/>
            </w:tcBorders>
          </w:tcPr>
          <w:p>
            <w:pPr>
              <w:pStyle w:val="TableParagraph"/>
              <w:spacing w:before="104"/>
              <w:ind w:right="319"/>
              <w:jc w:val="right"/>
              <w:rPr>
                <w:b/>
                <w:sz w:val="18"/>
              </w:rPr>
            </w:pPr>
            <w:r>
              <w:rPr>
                <w:b/>
                <w:sz w:val="18"/>
              </w:rPr>
              <w:t>556,631</w:t>
            </w:r>
          </w:p>
        </w:tc>
        <w:tc>
          <w:tcPr>
            <w:tcW w:w="1030" w:type="dxa"/>
            <w:tcBorders>
              <w:top w:val="single" w:sz="4" w:space="0" w:color="000000"/>
              <w:bottom w:val="single" w:sz="5" w:space="0" w:color="000000"/>
            </w:tcBorders>
          </w:tcPr>
          <w:p>
            <w:pPr>
              <w:pStyle w:val="TableParagraph"/>
              <w:spacing w:before="109"/>
              <w:ind w:right="53"/>
              <w:jc w:val="right"/>
              <w:rPr>
                <w:sz w:val="18"/>
              </w:rPr>
            </w:pPr>
            <w:r>
              <w:rPr>
                <w:sz w:val="18"/>
              </w:rPr>
              <w:t>605,439</w:t>
            </w:r>
          </w:p>
        </w:tc>
      </w:tr>
    </w:tbl>
    <w:p>
      <w:pPr>
        <w:spacing w:after="0"/>
        <w:jc w:val="right"/>
        <w:rPr>
          <w:sz w:val="18"/>
        </w:rPr>
        <w:sectPr>
          <w:type w:val="continuous"/>
          <w:pgSz w:w="11930" w:h="16850"/>
          <w:pgMar w:top="0" w:bottom="280" w:left="860" w:right="920"/>
        </w:sectPr>
      </w:pPr>
    </w:p>
    <w:p>
      <w:pPr>
        <w:pStyle w:val="BodyText"/>
        <w:spacing w:before="10"/>
        <w:rPr>
          <w:b/>
          <w:sz w:val="23"/>
        </w:rPr>
      </w:pPr>
    </w:p>
    <w:p>
      <w:pPr>
        <w:spacing w:before="65"/>
        <w:ind w:left="147" w:right="500" w:firstLine="0"/>
        <w:jc w:val="left"/>
        <w:rPr>
          <w:b/>
          <w:sz w:val="28"/>
        </w:rPr>
      </w:pPr>
      <w:r>
        <w:rPr>
          <w:b/>
          <w:sz w:val="28"/>
        </w:rPr>
        <w:t>Notes to the Financial Statements</w:t>
      </w:r>
    </w:p>
    <w:p>
      <w:pPr>
        <w:spacing w:before="62"/>
        <w:ind w:left="147" w:right="500" w:firstLine="0"/>
        <w:jc w:val="left"/>
        <w:rPr>
          <w:b/>
          <w:sz w:val="28"/>
        </w:rPr>
      </w:pPr>
      <w:r>
        <w:rPr>
          <w:b/>
          <w:sz w:val="28"/>
        </w:rPr>
        <w:t>For the Year Ended 31 December</w:t>
      </w:r>
      <w:r>
        <w:rPr>
          <w:b/>
          <w:spacing w:val="-52"/>
          <w:sz w:val="28"/>
        </w:rPr>
        <w:t> </w:t>
      </w:r>
      <w:r>
        <w:rPr>
          <w:b/>
          <w:sz w:val="28"/>
        </w:rPr>
        <w:t>2012</w:t>
      </w:r>
    </w:p>
    <w:p>
      <w:pPr>
        <w:pStyle w:val="BodyText"/>
        <w:spacing w:before="4"/>
        <w:rPr>
          <w:b/>
          <w:sz w:val="25"/>
        </w:rPr>
      </w:pPr>
    </w:p>
    <w:p>
      <w:pPr>
        <w:spacing w:after="0"/>
        <w:rPr>
          <w:sz w:val="25"/>
        </w:rPr>
        <w:sectPr>
          <w:pgSz w:w="11930" w:h="16850"/>
          <w:pgMar w:header="1035" w:footer="507" w:top="1460" w:bottom="700" w:left="860" w:right="820"/>
        </w:sectPr>
      </w:pPr>
    </w:p>
    <w:p>
      <w:pPr>
        <w:pStyle w:val="ListParagraph"/>
        <w:numPr>
          <w:ilvl w:val="0"/>
          <w:numId w:val="40"/>
        </w:numPr>
        <w:tabs>
          <w:tab w:pos="544" w:val="left" w:leader="none"/>
        </w:tabs>
        <w:spacing w:line="240" w:lineRule="auto" w:before="78" w:after="0"/>
        <w:ind w:left="544" w:right="0" w:hanging="396"/>
        <w:jc w:val="left"/>
        <w:rPr>
          <w:b/>
          <w:sz w:val="18"/>
        </w:rPr>
      </w:pPr>
      <w:r>
        <w:rPr>
          <w:b/>
          <w:sz w:val="18"/>
        </w:rPr>
        <w:t>HEPP project</w:t>
      </w:r>
      <w:r>
        <w:rPr>
          <w:b/>
          <w:spacing w:val="-7"/>
          <w:sz w:val="18"/>
        </w:rPr>
        <w:t> </w:t>
      </w:r>
      <w:r>
        <w:rPr>
          <w:b/>
          <w:sz w:val="18"/>
        </w:rPr>
        <w:t>expenses</w:t>
      </w:r>
    </w:p>
    <w:p>
      <w:pPr>
        <w:pStyle w:val="BodyText"/>
        <w:rPr>
          <w:b/>
        </w:rPr>
      </w:pPr>
      <w:r>
        <w:rPr/>
        <w:br w:type="column"/>
      </w:r>
      <w:r>
        <w:rPr>
          <w:b/>
        </w:rPr>
      </w:r>
    </w:p>
    <w:p>
      <w:pPr>
        <w:spacing w:before="111"/>
        <w:ind w:left="147" w:right="0" w:firstLine="0"/>
        <w:jc w:val="center"/>
        <w:rPr>
          <w:b/>
          <w:sz w:val="18"/>
        </w:rPr>
      </w:pPr>
      <w:r>
        <w:rPr>
          <w:b/>
          <w:sz w:val="18"/>
        </w:rPr>
        <w:t>2012</w:t>
      </w:r>
    </w:p>
    <w:p>
      <w:pPr>
        <w:spacing w:before="74"/>
        <w:ind w:left="147" w:right="0" w:firstLine="0"/>
        <w:jc w:val="center"/>
        <w:rPr>
          <w:b/>
          <w:sz w:val="18"/>
        </w:rPr>
      </w:pPr>
      <w:r>
        <w:rPr>
          <w:b/>
          <w:w w:val="99"/>
          <w:sz w:val="18"/>
        </w:rPr>
        <w:t>$</w:t>
      </w:r>
    </w:p>
    <w:p>
      <w:pPr>
        <w:pStyle w:val="BodyText"/>
        <w:rPr>
          <w:b/>
        </w:rPr>
      </w:pPr>
      <w:r>
        <w:rPr/>
        <w:br w:type="column"/>
      </w:r>
      <w:r>
        <w:rPr>
          <w:b/>
        </w:rPr>
      </w:r>
    </w:p>
    <w:p>
      <w:pPr>
        <w:spacing w:before="111"/>
        <w:ind w:left="135" w:right="609" w:firstLine="0"/>
        <w:jc w:val="center"/>
        <w:rPr>
          <w:b/>
          <w:sz w:val="18"/>
        </w:rPr>
      </w:pPr>
      <w:r>
        <w:rPr>
          <w:b/>
          <w:sz w:val="18"/>
        </w:rPr>
        <w:t>2011</w:t>
      </w:r>
    </w:p>
    <w:p>
      <w:pPr>
        <w:spacing w:before="74"/>
        <w:ind w:left="0" w:right="475" w:firstLine="0"/>
        <w:jc w:val="center"/>
        <w:rPr>
          <w:b/>
          <w:sz w:val="18"/>
        </w:rPr>
      </w:pPr>
      <w:r>
        <w:rPr>
          <w:b/>
          <w:w w:val="99"/>
          <w:sz w:val="18"/>
        </w:rPr>
        <w:t>$</w:t>
      </w:r>
    </w:p>
    <w:p>
      <w:pPr>
        <w:spacing w:after="0"/>
        <w:jc w:val="center"/>
        <w:rPr>
          <w:sz w:val="18"/>
        </w:rPr>
        <w:sectPr>
          <w:type w:val="continuous"/>
          <w:pgSz w:w="11930" w:h="16850"/>
          <w:pgMar w:top="0" w:bottom="280" w:left="860" w:right="820"/>
          <w:cols w:num="3" w:equalWidth="0">
            <w:col w:w="2558" w:space="5223"/>
            <w:col w:w="552" w:space="732"/>
            <w:col w:w="1185"/>
          </w:cols>
        </w:sectPr>
      </w:pPr>
    </w:p>
    <w:p>
      <w:pPr>
        <w:pStyle w:val="BodyText"/>
        <w:spacing w:before="1"/>
        <w:rPr>
          <w:b/>
          <w:sz w:val="7"/>
        </w:rPr>
      </w:pPr>
    </w:p>
    <w:tbl>
      <w:tblPr>
        <w:tblW w:w="0" w:type="auto"/>
        <w:jc w:val="left"/>
        <w:tblInd w:w="37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098"/>
        <w:gridCol w:w="1840"/>
        <w:gridCol w:w="757"/>
      </w:tblGrid>
      <w:tr>
        <w:trPr>
          <w:trHeight w:val="220" w:hRule="exact"/>
        </w:trPr>
        <w:tc>
          <w:tcPr>
            <w:tcW w:w="7098" w:type="dxa"/>
          </w:tcPr>
          <w:p>
            <w:pPr>
              <w:pStyle w:val="TableParagraph"/>
              <w:spacing w:line="186" w:lineRule="exact"/>
              <w:ind w:left="200"/>
              <w:rPr>
                <w:sz w:val="18"/>
              </w:rPr>
            </w:pPr>
            <w:r>
              <w:rPr>
                <w:sz w:val="18"/>
              </w:rPr>
              <w:t>Employee benefits</w:t>
            </w:r>
          </w:p>
        </w:tc>
        <w:tc>
          <w:tcPr>
            <w:tcW w:w="1840" w:type="dxa"/>
          </w:tcPr>
          <w:p>
            <w:pPr>
              <w:pStyle w:val="TableParagraph"/>
              <w:spacing w:line="184" w:lineRule="exact"/>
              <w:ind w:left="559"/>
              <w:rPr>
                <w:b/>
                <w:sz w:val="18"/>
              </w:rPr>
            </w:pPr>
            <w:r>
              <w:rPr>
                <w:b/>
                <w:sz w:val="18"/>
              </w:rPr>
              <w:t>226,009</w:t>
            </w:r>
          </w:p>
        </w:tc>
        <w:tc>
          <w:tcPr>
            <w:tcW w:w="757" w:type="dxa"/>
          </w:tcPr>
          <w:p>
            <w:pPr>
              <w:pStyle w:val="TableParagraph"/>
              <w:spacing w:line="184" w:lineRule="exact"/>
              <w:ind w:right="67"/>
              <w:jc w:val="right"/>
              <w:rPr>
                <w:sz w:val="18"/>
              </w:rPr>
            </w:pPr>
            <w:r>
              <w:rPr>
                <w:w w:val="99"/>
                <w:sz w:val="18"/>
              </w:rPr>
              <w:t>-</w:t>
            </w:r>
          </w:p>
        </w:tc>
      </w:tr>
      <w:tr>
        <w:trPr>
          <w:trHeight w:val="263" w:hRule="exact"/>
        </w:trPr>
        <w:tc>
          <w:tcPr>
            <w:tcW w:w="7098" w:type="dxa"/>
          </w:tcPr>
          <w:p>
            <w:pPr>
              <w:pStyle w:val="TableParagraph"/>
              <w:spacing w:before="21"/>
              <w:ind w:left="200"/>
              <w:rPr>
                <w:sz w:val="18"/>
              </w:rPr>
            </w:pPr>
            <w:r>
              <w:rPr>
                <w:sz w:val="18"/>
              </w:rPr>
              <w:t>Sub-contractor</w:t>
            </w:r>
          </w:p>
        </w:tc>
        <w:tc>
          <w:tcPr>
            <w:tcW w:w="1840" w:type="dxa"/>
          </w:tcPr>
          <w:p>
            <w:pPr>
              <w:pStyle w:val="TableParagraph"/>
              <w:spacing w:before="14"/>
              <w:ind w:left="559"/>
              <w:rPr>
                <w:b/>
                <w:sz w:val="18"/>
              </w:rPr>
            </w:pPr>
            <w:r>
              <w:rPr>
                <w:b/>
                <w:sz w:val="18"/>
              </w:rPr>
              <w:t>145,000</w:t>
            </w:r>
          </w:p>
        </w:tc>
        <w:tc>
          <w:tcPr>
            <w:tcW w:w="757" w:type="dxa"/>
          </w:tcPr>
          <w:p>
            <w:pPr>
              <w:pStyle w:val="TableParagraph"/>
              <w:spacing w:before="19"/>
              <w:ind w:right="67"/>
              <w:jc w:val="right"/>
              <w:rPr>
                <w:sz w:val="18"/>
              </w:rPr>
            </w:pPr>
            <w:r>
              <w:rPr>
                <w:w w:val="99"/>
                <w:sz w:val="18"/>
              </w:rPr>
              <w:t>-</w:t>
            </w:r>
          </w:p>
        </w:tc>
      </w:tr>
      <w:tr>
        <w:trPr>
          <w:trHeight w:val="273" w:hRule="exact"/>
        </w:trPr>
        <w:tc>
          <w:tcPr>
            <w:tcW w:w="7098" w:type="dxa"/>
          </w:tcPr>
          <w:p>
            <w:pPr>
              <w:pStyle w:val="TableParagraph"/>
              <w:spacing w:before="22"/>
              <w:ind w:left="200"/>
              <w:rPr>
                <w:sz w:val="18"/>
              </w:rPr>
            </w:pPr>
            <w:r>
              <w:rPr>
                <w:sz w:val="18"/>
              </w:rPr>
              <w:t>Other operating</w:t>
            </w:r>
          </w:p>
        </w:tc>
        <w:tc>
          <w:tcPr>
            <w:tcW w:w="1840" w:type="dxa"/>
            <w:tcBorders>
              <w:bottom w:val="single" w:sz="6" w:space="0" w:color="000000"/>
            </w:tcBorders>
          </w:tcPr>
          <w:p>
            <w:pPr>
              <w:pStyle w:val="TableParagraph"/>
              <w:spacing w:before="15"/>
              <w:ind w:left="559"/>
              <w:rPr>
                <w:b/>
                <w:sz w:val="18"/>
              </w:rPr>
            </w:pPr>
            <w:r>
              <w:rPr>
                <w:b/>
                <w:sz w:val="18"/>
              </w:rPr>
              <w:t>478,377</w:t>
            </w:r>
          </w:p>
        </w:tc>
        <w:tc>
          <w:tcPr>
            <w:tcW w:w="757" w:type="dxa"/>
            <w:tcBorders>
              <w:bottom w:val="single" w:sz="6" w:space="0" w:color="000000"/>
            </w:tcBorders>
          </w:tcPr>
          <w:p>
            <w:pPr>
              <w:pStyle w:val="TableParagraph"/>
              <w:spacing w:before="20"/>
              <w:ind w:right="67"/>
              <w:jc w:val="right"/>
              <w:rPr>
                <w:sz w:val="18"/>
              </w:rPr>
            </w:pPr>
            <w:r>
              <w:rPr>
                <w:w w:val="99"/>
                <w:sz w:val="18"/>
              </w:rPr>
              <w:t>-</w:t>
            </w:r>
          </w:p>
        </w:tc>
      </w:tr>
      <w:tr>
        <w:trPr>
          <w:trHeight w:val="354" w:hRule="exact"/>
        </w:trPr>
        <w:tc>
          <w:tcPr>
            <w:tcW w:w="7098" w:type="dxa"/>
          </w:tcPr>
          <w:p>
            <w:pPr>
              <w:pStyle w:val="TableParagraph"/>
              <w:spacing w:before="121"/>
              <w:ind w:left="200"/>
              <w:rPr>
                <w:b/>
                <w:sz w:val="18"/>
              </w:rPr>
            </w:pPr>
            <w:r>
              <w:rPr>
                <w:b/>
                <w:sz w:val="18"/>
              </w:rPr>
              <w:t>Total HEPP project expenses</w:t>
            </w:r>
          </w:p>
        </w:tc>
        <w:tc>
          <w:tcPr>
            <w:tcW w:w="1840" w:type="dxa"/>
            <w:tcBorders>
              <w:top w:val="single" w:sz="6" w:space="0" w:color="000000"/>
              <w:bottom w:val="single" w:sz="5" w:space="0" w:color="000000"/>
            </w:tcBorders>
          </w:tcPr>
          <w:p>
            <w:pPr>
              <w:pStyle w:val="TableParagraph"/>
              <w:spacing w:before="85"/>
              <w:ind w:left="559"/>
              <w:rPr>
                <w:b/>
                <w:sz w:val="18"/>
              </w:rPr>
            </w:pPr>
            <w:r>
              <w:rPr>
                <w:b/>
                <w:sz w:val="18"/>
              </w:rPr>
              <w:t>849,386</w:t>
            </w:r>
          </w:p>
        </w:tc>
        <w:tc>
          <w:tcPr>
            <w:tcW w:w="757" w:type="dxa"/>
            <w:tcBorders>
              <w:top w:val="single" w:sz="6" w:space="0" w:color="000000"/>
              <w:bottom w:val="single" w:sz="5" w:space="0" w:color="000000"/>
            </w:tcBorders>
          </w:tcPr>
          <w:p>
            <w:pPr>
              <w:pStyle w:val="TableParagraph"/>
              <w:spacing w:before="90"/>
              <w:ind w:right="67"/>
              <w:jc w:val="right"/>
              <w:rPr>
                <w:sz w:val="18"/>
              </w:rPr>
            </w:pPr>
            <w:r>
              <w:rPr>
                <w:w w:val="99"/>
                <w:sz w:val="18"/>
              </w:rPr>
              <w:t>-</w:t>
            </w:r>
          </w:p>
        </w:tc>
      </w:tr>
    </w:tbl>
    <w:p>
      <w:pPr>
        <w:pStyle w:val="BodyText"/>
        <w:rPr>
          <w:b/>
          <w:sz w:val="20"/>
        </w:rPr>
      </w:pPr>
    </w:p>
    <w:p>
      <w:pPr>
        <w:pStyle w:val="BodyText"/>
        <w:rPr>
          <w:b/>
          <w:sz w:val="20"/>
        </w:rPr>
      </w:pPr>
    </w:p>
    <w:p>
      <w:pPr>
        <w:pStyle w:val="BodyText"/>
        <w:spacing w:before="9"/>
        <w:rPr>
          <w:b/>
          <w:sz w:val="21"/>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1"/>
        <w:gridCol w:w="7076"/>
        <w:gridCol w:w="1493"/>
        <w:gridCol w:w="1102"/>
      </w:tblGrid>
      <w:tr>
        <w:trPr>
          <w:trHeight w:val="570" w:hRule="exact"/>
        </w:trPr>
        <w:tc>
          <w:tcPr>
            <w:tcW w:w="281" w:type="dxa"/>
          </w:tcPr>
          <w:p>
            <w:pPr>
              <w:pStyle w:val="TableParagraph"/>
              <w:spacing w:before="77"/>
              <w:ind w:left="35"/>
              <w:rPr>
                <w:b/>
                <w:sz w:val="18"/>
              </w:rPr>
            </w:pPr>
            <w:r>
              <w:rPr>
                <w:b/>
                <w:w w:val="99"/>
                <w:sz w:val="18"/>
              </w:rPr>
              <w:t>5</w:t>
            </w:r>
          </w:p>
        </w:tc>
        <w:tc>
          <w:tcPr>
            <w:tcW w:w="7076" w:type="dxa"/>
          </w:tcPr>
          <w:p>
            <w:pPr>
              <w:pStyle w:val="TableParagraph"/>
              <w:spacing w:before="77"/>
              <w:ind w:left="145"/>
              <w:rPr>
                <w:b/>
                <w:sz w:val="18"/>
              </w:rPr>
            </w:pPr>
            <w:r>
              <w:rPr>
                <w:b/>
                <w:sz w:val="18"/>
              </w:rPr>
              <w:t>Cash and cash equivalents</w:t>
            </w:r>
          </w:p>
        </w:tc>
        <w:tc>
          <w:tcPr>
            <w:tcW w:w="1493" w:type="dxa"/>
          </w:tcPr>
          <w:p>
            <w:pPr>
              <w:pStyle w:val="TableParagraph"/>
              <w:rPr>
                <w:b/>
                <w:sz w:val="18"/>
              </w:rPr>
            </w:pPr>
          </w:p>
          <w:p>
            <w:pPr>
              <w:pStyle w:val="TableParagraph"/>
              <w:spacing w:before="110"/>
              <w:ind w:left="482"/>
              <w:rPr>
                <w:b/>
                <w:sz w:val="18"/>
              </w:rPr>
            </w:pPr>
            <w:r>
              <w:rPr>
                <w:b/>
                <w:sz w:val="18"/>
              </w:rPr>
              <w:t>2012</w:t>
            </w:r>
          </w:p>
        </w:tc>
        <w:tc>
          <w:tcPr>
            <w:tcW w:w="1102" w:type="dxa"/>
          </w:tcPr>
          <w:p>
            <w:pPr>
              <w:pStyle w:val="TableParagraph"/>
              <w:rPr>
                <w:b/>
                <w:sz w:val="18"/>
              </w:rPr>
            </w:pPr>
          </w:p>
          <w:p>
            <w:pPr>
              <w:pStyle w:val="TableParagraph"/>
              <w:spacing w:before="110"/>
              <w:ind w:left="278"/>
              <w:rPr>
                <w:b/>
                <w:sz w:val="18"/>
              </w:rPr>
            </w:pPr>
            <w:r>
              <w:rPr>
                <w:b/>
                <w:sz w:val="18"/>
              </w:rPr>
              <w:t>2011</w:t>
            </w:r>
          </w:p>
        </w:tc>
      </w:tr>
      <w:tr>
        <w:trPr>
          <w:trHeight w:val="534" w:hRule="exact"/>
        </w:trPr>
        <w:tc>
          <w:tcPr>
            <w:tcW w:w="281" w:type="dxa"/>
          </w:tcPr>
          <w:p>
            <w:pPr/>
          </w:p>
        </w:tc>
        <w:tc>
          <w:tcPr>
            <w:tcW w:w="7076" w:type="dxa"/>
          </w:tcPr>
          <w:p>
            <w:pPr>
              <w:pStyle w:val="TableParagraph"/>
              <w:spacing w:before="1"/>
              <w:rPr>
                <w:b/>
                <w:sz w:val="25"/>
              </w:rPr>
            </w:pPr>
          </w:p>
          <w:p>
            <w:pPr>
              <w:pStyle w:val="TableParagraph"/>
              <w:ind w:left="196" w:right="5120"/>
              <w:rPr>
                <w:sz w:val="18"/>
              </w:rPr>
            </w:pPr>
            <w:r>
              <w:rPr>
                <w:sz w:val="18"/>
              </w:rPr>
              <w:t>Cash on hand</w:t>
            </w:r>
          </w:p>
        </w:tc>
        <w:tc>
          <w:tcPr>
            <w:tcW w:w="1493" w:type="dxa"/>
          </w:tcPr>
          <w:p>
            <w:pPr>
              <w:pStyle w:val="TableParagraph"/>
              <w:spacing w:before="27"/>
              <w:ind w:right="127"/>
              <w:jc w:val="center"/>
              <w:rPr>
                <w:b/>
                <w:sz w:val="18"/>
              </w:rPr>
            </w:pPr>
            <w:r>
              <w:rPr>
                <w:b/>
                <w:w w:val="99"/>
                <w:sz w:val="18"/>
              </w:rPr>
              <w:t>$</w:t>
            </w:r>
          </w:p>
          <w:p>
            <w:pPr>
              <w:pStyle w:val="TableParagraph"/>
              <w:spacing w:before="54"/>
              <w:ind w:left="910"/>
              <w:rPr>
                <w:b/>
                <w:sz w:val="18"/>
              </w:rPr>
            </w:pPr>
            <w:r>
              <w:rPr>
                <w:b/>
                <w:sz w:val="18"/>
              </w:rPr>
              <w:t>481</w:t>
            </w:r>
          </w:p>
        </w:tc>
        <w:tc>
          <w:tcPr>
            <w:tcW w:w="1102" w:type="dxa"/>
          </w:tcPr>
          <w:p>
            <w:pPr>
              <w:pStyle w:val="TableParagraph"/>
              <w:spacing w:before="27"/>
              <w:ind w:right="145"/>
              <w:jc w:val="center"/>
              <w:rPr>
                <w:b/>
                <w:sz w:val="18"/>
              </w:rPr>
            </w:pPr>
            <w:r>
              <w:rPr>
                <w:b/>
                <w:w w:val="99"/>
                <w:sz w:val="18"/>
              </w:rPr>
              <w:t>$</w:t>
            </w:r>
          </w:p>
          <w:p>
            <w:pPr>
              <w:pStyle w:val="TableParagraph"/>
              <w:spacing w:before="54"/>
              <w:ind w:left="696"/>
              <w:rPr>
                <w:sz w:val="18"/>
              </w:rPr>
            </w:pPr>
            <w:r>
              <w:rPr>
                <w:sz w:val="18"/>
              </w:rPr>
              <w:t>420</w:t>
            </w:r>
          </w:p>
        </w:tc>
      </w:tr>
      <w:tr>
        <w:trPr>
          <w:trHeight w:val="270" w:hRule="exact"/>
        </w:trPr>
        <w:tc>
          <w:tcPr>
            <w:tcW w:w="281" w:type="dxa"/>
          </w:tcPr>
          <w:p>
            <w:pPr/>
          </w:p>
        </w:tc>
        <w:tc>
          <w:tcPr>
            <w:tcW w:w="7076" w:type="dxa"/>
          </w:tcPr>
          <w:p>
            <w:pPr>
              <w:pStyle w:val="TableParagraph"/>
              <w:spacing w:before="19"/>
              <w:ind w:left="196" w:right="5120"/>
              <w:rPr>
                <w:sz w:val="18"/>
              </w:rPr>
            </w:pPr>
            <w:r>
              <w:rPr>
                <w:sz w:val="18"/>
              </w:rPr>
              <w:t>Cash at bank</w:t>
            </w:r>
          </w:p>
        </w:tc>
        <w:tc>
          <w:tcPr>
            <w:tcW w:w="1493" w:type="dxa"/>
            <w:tcBorders>
              <w:bottom w:val="single" w:sz="8" w:space="0" w:color="000000"/>
            </w:tcBorders>
          </w:tcPr>
          <w:p>
            <w:pPr>
              <w:pStyle w:val="TableParagraph"/>
              <w:spacing w:before="19"/>
              <w:ind w:right="276"/>
              <w:jc w:val="right"/>
              <w:rPr>
                <w:b/>
                <w:sz w:val="18"/>
              </w:rPr>
            </w:pPr>
            <w:r>
              <w:rPr>
                <w:b/>
                <w:sz w:val="18"/>
              </w:rPr>
              <w:t>1,002,337</w:t>
            </w:r>
          </w:p>
        </w:tc>
        <w:tc>
          <w:tcPr>
            <w:tcW w:w="1102" w:type="dxa"/>
            <w:tcBorders>
              <w:bottom w:val="single" w:sz="8" w:space="0" w:color="000000"/>
            </w:tcBorders>
          </w:tcPr>
          <w:p>
            <w:pPr>
              <w:pStyle w:val="TableParagraph"/>
              <w:spacing w:before="19"/>
              <w:ind w:right="89"/>
              <w:jc w:val="right"/>
              <w:rPr>
                <w:sz w:val="18"/>
              </w:rPr>
            </w:pPr>
            <w:r>
              <w:rPr>
                <w:sz w:val="18"/>
              </w:rPr>
              <w:t>160,512</w:t>
            </w:r>
          </w:p>
        </w:tc>
      </w:tr>
      <w:tr>
        <w:trPr>
          <w:trHeight w:val="352" w:hRule="exact"/>
        </w:trPr>
        <w:tc>
          <w:tcPr>
            <w:tcW w:w="281" w:type="dxa"/>
          </w:tcPr>
          <w:p>
            <w:pPr/>
          </w:p>
        </w:tc>
        <w:tc>
          <w:tcPr>
            <w:tcW w:w="7076" w:type="dxa"/>
          </w:tcPr>
          <w:p>
            <w:pPr>
              <w:pStyle w:val="TableParagraph"/>
              <w:spacing w:before="123"/>
              <w:ind w:left="195"/>
              <w:rPr>
                <w:sz w:val="18"/>
              </w:rPr>
            </w:pPr>
            <w:r>
              <w:rPr>
                <w:sz w:val="18"/>
              </w:rPr>
              <w:t>Total cash at bank and on hand</w:t>
            </w:r>
          </w:p>
        </w:tc>
        <w:tc>
          <w:tcPr>
            <w:tcW w:w="1493" w:type="dxa"/>
            <w:tcBorders>
              <w:top w:val="single" w:sz="8" w:space="0" w:color="000000"/>
              <w:bottom w:val="single" w:sz="5" w:space="0" w:color="000000"/>
            </w:tcBorders>
          </w:tcPr>
          <w:p>
            <w:pPr>
              <w:pStyle w:val="TableParagraph"/>
              <w:spacing w:before="113"/>
              <w:ind w:right="276"/>
              <w:jc w:val="right"/>
              <w:rPr>
                <w:b/>
                <w:sz w:val="18"/>
              </w:rPr>
            </w:pPr>
            <w:r>
              <w:rPr>
                <w:b/>
                <w:sz w:val="18"/>
              </w:rPr>
              <w:t>1,002,818</w:t>
            </w:r>
          </w:p>
        </w:tc>
        <w:tc>
          <w:tcPr>
            <w:tcW w:w="1102" w:type="dxa"/>
            <w:tcBorders>
              <w:top w:val="single" w:sz="8" w:space="0" w:color="000000"/>
              <w:bottom w:val="single" w:sz="5" w:space="0" w:color="000000"/>
            </w:tcBorders>
          </w:tcPr>
          <w:p>
            <w:pPr>
              <w:pStyle w:val="TableParagraph"/>
              <w:spacing w:before="113"/>
              <w:ind w:right="89"/>
              <w:jc w:val="right"/>
              <w:rPr>
                <w:sz w:val="18"/>
              </w:rPr>
            </w:pPr>
            <w:r>
              <w:rPr>
                <w:sz w:val="18"/>
              </w:rPr>
              <w:t>160,932</w:t>
            </w:r>
          </w:p>
        </w:tc>
      </w:tr>
      <w:tr>
        <w:trPr>
          <w:trHeight w:val="609" w:hRule="exact"/>
        </w:trPr>
        <w:tc>
          <w:tcPr>
            <w:tcW w:w="281" w:type="dxa"/>
          </w:tcPr>
          <w:p>
            <w:pPr/>
          </w:p>
        </w:tc>
        <w:tc>
          <w:tcPr>
            <w:tcW w:w="7076" w:type="dxa"/>
          </w:tcPr>
          <w:p>
            <w:pPr>
              <w:pStyle w:val="TableParagraph"/>
              <w:spacing w:before="7"/>
              <w:rPr>
                <w:b/>
                <w:sz w:val="26"/>
              </w:rPr>
            </w:pPr>
          </w:p>
          <w:p>
            <w:pPr>
              <w:pStyle w:val="TableParagraph"/>
              <w:ind w:left="150"/>
              <w:rPr>
                <w:b/>
                <w:sz w:val="18"/>
              </w:rPr>
            </w:pPr>
            <w:r>
              <w:rPr>
                <w:b/>
                <w:sz w:val="18"/>
              </w:rPr>
              <w:t>Reconciliation to cash at the end of the year</w:t>
            </w:r>
          </w:p>
        </w:tc>
        <w:tc>
          <w:tcPr>
            <w:tcW w:w="1493" w:type="dxa"/>
            <w:tcBorders>
              <w:top w:val="single" w:sz="5" w:space="0" w:color="000000"/>
            </w:tcBorders>
          </w:tcPr>
          <w:p>
            <w:pPr/>
          </w:p>
        </w:tc>
        <w:tc>
          <w:tcPr>
            <w:tcW w:w="1102" w:type="dxa"/>
            <w:tcBorders>
              <w:top w:val="single" w:sz="5" w:space="0" w:color="000000"/>
            </w:tcBorders>
          </w:tcPr>
          <w:p>
            <w:pPr/>
          </w:p>
        </w:tc>
      </w:tr>
    </w:tbl>
    <w:p>
      <w:pPr>
        <w:pStyle w:val="BodyText"/>
        <w:spacing w:before="4"/>
        <w:rPr>
          <w:b/>
          <w:sz w:val="10"/>
        </w:rPr>
      </w:pPr>
    </w:p>
    <w:p>
      <w:pPr>
        <w:pStyle w:val="BodyText"/>
        <w:spacing w:before="77" w:after="36"/>
        <w:ind w:left="544" w:right="500"/>
      </w:pPr>
      <w:r>
        <w:rPr/>
        <w:t>The above figures are reconciled to cash at the end of the financial year as shown in the statement of cash flows as follows:</w:t>
      </w:r>
    </w:p>
    <w:tbl>
      <w:tblPr>
        <w:tblW w:w="0" w:type="auto"/>
        <w:jc w:val="left"/>
        <w:tblInd w:w="5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61"/>
        <w:gridCol w:w="1482"/>
        <w:gridCol w:w="1113"/>
      </w:tblGrid>
      <w:tr>
        <w:trPr>
          <w:trHeight w:val="530" w:hRule="exact"/>
        </w:trPr>
        <w:tc>
          <w:tcPr>
            <w:tcW w:w="6961" w:type="dxa"/>
          </w:tcPr>
          <w:p>
            <w:pPr/>
          </w:p>
        </w:tc>
        <w:tc>
          <w:tcPr>
            <w:tcW w:w="1482" w:type="dxa"/>
          </w:tcPr>
          <w:p>
            <w:pPr>
              <w:pStyle w:val="TableParagraph"/>
              <w:spacing w:line="199" w:lineRule="exact"/>
              <w:ind w:left="451" w:right="591"/>
              <w:jc w:val="center"/>
              <w:rPr>
                <w:b/>
                <w:sz w:val="18"/>
              </w:rPr>
            </w:pPr>
            <w:r>
              <w:rPr>
                <w:b/>
                <w:sz w:val="18"/>
              </w:rPr>
              <w:t>2012</w:t>
            </w:r>
          </w:p>
          <w:p>
            <w:pPr>
              <w:pStyle w:val="TableParagraph"/>
              <w:spacing w:before="74"/>
              <w:ind w:right="141"/>
              <w:jc w:val="center"/>
              <w:rPr>
                <w:b/>
                <w:sz w:val="18"/>
              </w:rPr>
            </w:pPr>
            <w:r>
              <w:rPr>
                <w:b/>
                <w:w w:val="99"/>
                <w:sz w:val="18"/>
              </w:rPr>
              <w:t>$</w:t>
            </w:r>
          </w:p>
        </w:tc>
        <w:tc>
          <w:tcPr>
            <w:tcW w:w="1113" w:type="dxa"/>
          </w:tcPr>
          <w:p>
            <w:pPr>
              <w:pStyle w:val="TableParagraph"/>
              <w:spacing w:line="199" w:lineRule="exact"/>
              <w:ind w:left="250" w:right="422"/>
              <w:jc w:val="center"/>
              <w:rPr>
                <w:b/>
                <w:sz w:val="18"/>
              </w:rPr>
            </w:pPr>
            <w:r>
              <w:rPr>
                <w:b/>
                <w:sz w:val="18"/>
              </w:rPr>
              <w:t>2011</w:t>
            </w:r>
          </w:p>
          <w:p>
            <w:pPr>
              <w:pStyle w:val="TableParagraph"/>
              <w:spacing w:before="74"/>
              <w:ind w:right="177"/>
              <w:jc w:val="center"/>
              <w:rPr>
                <w:b/>
                <w:sz w:val="18"/>
              </w:rPr>
            </w:pPr>
            <w:r>
              <w:rPr>
                <w:b/>
                <w:w w:val="99"/>
                <w:sz w:val="18"/>
              </w:rPr>
              <w:t>$</w:t>
            </w:r>
          </w:p>
        </w:tc>
      </w:tr>
      <w:tr>
        <w:trPr>
          <w:trHeight w:val="275" w:hRule="exact"/>
        </w:trPr>
        <w:tc>
          <w:tcPr>
            <w:tcW w:w="6961" w:type="dxa"/>
          </w:tcPr>
          <w:p>
            <w:pPr>
              <w:pStyle w:val="TableParagraph"/>
              <w:spacing w:before="31"/>
              <w:ind w:left="35"/>
              <w:rPr>
                <w:sz w:val="18"/>
              </w:rPr>
            </w:pPr>
            <w:r>
              <w:rPr>
                <w:sz w:val="18"/>
              </w:rPr>
              <w:t>Balance as above</w:t>
            </w:r>
          </w:p>
        </w:tc>
        <w:tc>
          <w:tcPr>
            <w:tcW w:w="1482" w:type="dxa"/>
            <w:tcBorders>
              <w:bottom w:val="single" w:sz="8" w:space="0" w:color="000000"/>
            </w:tcBorders>
          </w:tcPr>
          <w:p>
            <w:pPr>
              <w:pStyle w:val="TableParagraph"/>
              <w:spacing w:before="31"/>
              <w:ind w:right="265"/>
              <w:jc w:val="right"/>
              <w:rPr>
                <w:b/>
                <w:sz w:val="18"/>
              </w:rPr>
            </w:pPr>
            <w:r>
              <w:rPr>
                <w:b/>
                <w:sz w:val="18"/>
              </w:rPr>
              <w:t>1,002,818</w:t>
            </w:r>
          </w:p>
        </w:tc>
        <w:tc>
          <w:tcPr>
            <w:tcW w:w="1113" w:type="dxa"/>
            <w:tcBorders>
              <w:bottom w:val="single" w:sz="8" w:space="0" w:color="000000"/>
            </w:tcBorders>
          </w:tcPr>
          <w:p>
            <w:pPr>
              <w:pStyle w:val="TableParagraph"/>
              <w:spacing w:before="31"/>
              <w:ind w:right="89"/>
              <w:jc w:val="right"/>
              <w:rPr>
                <w:sz w:val="18"/>
              </w:rPr>
            </w:pPr>
            <w:r>
              <w:rPr>
                <w:sz w:val="18"/>
              </w:rPr>
              <w:t>160,932</w:t>
            </w:r>
          </w:p>
        </w:tc>
      </w:tr>
      <w:tr>
        <w:trPr>
          <w:trHeight w:val="352" w:hRule="exact"/>
        </w:trPr>
        <w:tc>
          <w:tcPr>
            <w:tcW w:w="6961" w:type="dxa"/>
          </w:tcPr>
          <w:p>
            <w:pPr>
              <w:pStyle w:val="TableParagraph"/>
              <w:spacing w:before="123"/>
              <w:ind w:left="35"/>
              <w:rPr>
                <w:b/>
                <w:sz w:val="18"/>
              </w:rPr>
            </w:pPr>
            <w:r>
              <w:rPr>
                <w:b/>
                <w:sz w:val="18"/>
              </w:rPr>
              <w:t>Balance as per statement of cash flows</w:t>
            </w:r>
          </w:p>
        </w:tc>
        <w:tc>
          <w:tcPr>
            <w:tcW w:w="1482" w:type="dxa"/>
            <w:tcBorders>
              <w:top w:val="single" w:sz="8" w:space="0" w:color="000000"/>
              <w:bottom w:val="single" w:sz="5" w:space="0" w:color="000000"/>
            </w:tcBorders>
          </w:tcPr>
          <w:p>
            <w:pPr>
              <w:pStyle w:val="TableParagraph"/>
              <w:spacing w:before="113"/>
              <w:ind w:right="265"/>
              <w:jc w:val="right"/>
              <w:rPr>
                <w:b/>
                <w:sz w:val="18"/>
              </w:rPr>
            </w:pPr>
            <w:r>
              <w:rPr>
                <w:b/>
                <w:sz w:val="18"/>
              </w:rPr>
              <w:t>1,002,818</w:t>
            </w:r>
          </w:p>
        </w:tc>
        <w:tc>
          <w:tcPr>
            <w:tcW w:w="1113" w:type="dxa"/>
            <w:tcBorders>
              <w:top w:val="single" w:sz="8" w:space="0" w:color="000000"/>
              <w:bottom w:val="single" w:sz="5" w:space="0" w:color="000000"/>
            </w:tcBorders>
          </w:tcPr>
          <w:p>
            <w:pPr>
              <w:pStyle w:val="TableParagraph"/>
              <w:spacing w:before="113"/>
              <w:ind w:right="89"/>
              <w:jc w:val="right"/>
              <w:rPr>
                <w:sz w:val="18"/>
              </w:rPr>
            </w:pPr>
            <w:r>
              <w:rPr>
                <w:sz w:val="18"/>
              </w:rPr>
              <w:t>160,932</w:t>
            </w:r>
          </w:p>
        </w:tc>
      </w:tr>
    </w:tbl>
    <w:p>
      <w:pPr>
        <w:pStyle w:val="BodyText"/>
        <w:spacing w:before="3"/>
        <w:rPr>
          <w:sz w:val="19"/>
        </w:rPr>
      </w:pPr>
    </w:p>
    <w:p>
      <w:pPr>
        <w:pStyle w:val="BodyText"/>
        <w:spacing w:before="77"/>
        <w:ind w:left="543" w:right="100"/>
        <w:jc w:val="both"/>
      </w:pPr>
      <w:r>
        <w:rPr/>
        <w:t>The Company's exposure to interest rate risk is discussed in note 13.  The maximum exposure to credit risk at the end   of each reporting period is the carrying amount of each class of cash and cash equivalents mentioned above. Cash at bank is interest</w:t>
      </w:r>
      <w:r>
        <w:rPr>
          <w:spacing w:val="-11"/>
        </w:rPr>
        <w:t> </w:t>
      </w:r>
      <w:r>
        <w:rPr/>
        <w:t>bearing.</w:t>
      </w:r>
    </w:p>
    <w:p>
      <w:pPr>
        <w:spacing w:after="0"/>
        <w:jc w:val="both"/>
        <w:sectPr>
          <w:type w:val="continuous"/>
          <w:pgSz w:w="11930" w:h="16850"/>
          <w:pgMar w:top="0" w:bottom="280" w:left="860" w:right="820"/>
        </w:sectPr>
      </w:pPr>
    </w:p>
    <w:p>
      <w:pPr>
        <w:pStyle w:val="BodyText"/>
        <w:spacing w:before="10"/>
        <w:rPr>
          <w:sz w:val="23"/>
        </w:rPr>
      </w:pPr>
    </w:p>
    <w:p>
      <w:pPr>
        <w:pStyle w:val="Heading3"/>
        <w:ind w:right="161"/>
      </w:pPr>
      <w:r>
        <w:rPr/>
        <w:t>Notes to the Financial Statements</w:t>
      </w:r>
    </w:p>
    <w:p>
      <w:pPr>
        <w:spacing w:before="62"/>
        <w:ind w:left="107" w:right="161" w:firstLine="0"/>
        <w:jc w:val="left"/>
        <w:rPr>
          <w:b/>
          <w:sz w:val="28"/>
        </w:rPr>
      </w:pPr>
      <w:r>
        <w:rPr>
          <w:b/>
          <w:sz w:val="28"/>
        </w:rPr>
        <w:t>For the Year Ended 31 December</w:t>
      </w:r>
      <w:r>
        <w:rPr>
          <w:b/>
          <w:spacing w:val="-52"/>
          <w:sz w:val="28"/>
        </w:rPr>
        <w:t> </w:t>
      </w:r>
      <w:r>
        <w:rPr>
          <w:b/>
          <w:sz w:val="28"/>
        </w:rPr>
        <w:t>2012</w:t>
      </w:r>
    </w:p>
    <w:p>
      <w:pPr>
        <w:pStyle w:val="BodyText"/>
        <w:spacing w:before="4"/>
        <w:rPr>
          <w:b/>
          <w:sz w:val="25"/>
        </w:rPr>
      </w:pPr>
    </w:p>
    <w:p>
      <w:pPr>
        <w:spacing w:after="0"/>
        <w:rPr>
          <w:sz w:val="25"/>
        </w:rPr>
        <w:sectPr>
          <w:pgSz w:w="11930" w:h="16850"/>
          <w:pgMar w:header="1035" w:footer="507" w:top="1460" w:bottom="700" w:left="900" w:right="800"/>
        </w:sectPr>
      </w:pPr>
    </w:p>
    <w:p>
      <w:pPr>
        <w:pStyle w:val="Heading9"/>
        <w:numPr>
          <w:ilvl w:val="0"/>
          <w:numId w:val="41"/>
        </w:numPr>
        <w:tabs>
          <w:tab w:pos="504" w:val="left" w:leader="none"/>
        </w:tabs>
        <w:spacing w:line="240" w:lineRule="auto" w:before="78" w:after="0"/>
        <w:ind w:left="504" w:right="0" w:hanging="396"/>
        <w:jc w:val="left"/>
      </w:pPr>
      <w:r>
        <w:rPr/>
        <w:t>Trade and other</w:t>
      </w:r>
      <w:r>
        <w:rPr>
          <w:spacing w:val="-10"/>
        </w:rPr>
        <w:t> </w:t>
      </w:r>
      <w:r>
        <w:rPr/>
        <w:t>receivables</w:t>
      </w:r>
    </w:p>
    <w:p>
      <w:pPr>
        <w:pStyle w:val="BodyText"/>
        <w:rPr>
          <w:b/>
        </w:rPr>
      </w:pPr>
      <w:r>
        <w:rPr/>
        <w:br w:type="column"/>
      </w:r>
      <w:r>
        <w:rPr>
          <w:b/>
        </w:rPr>
      </w:r>
    </w:p>
    <w:p>
      <w:pPr>
        <w:spacing w:before="111"/>
        <w:ind w:left="107" w:right="0" w:firstLine="0"/>
        <w:jc w:val="center"/>
        <w:rPr>
          <w:b/>
          <w:sz w:val="18"/>
        </w:rPr>
      </w:pPr>
      <w:r>
        <w:rPr>
          <w:b/>
          <w:sz w:val="18"/>
        </w:rPr>
        <w:t>2012</w:t>
      </w:r>
    </w:p>
    <w:p>
      <w:pPr>
        <w:spacing w:before="74"/>
        <w:ind w:left="107" w:right="0" w:firstLine="0"/>
        <w:jc w:val="center"/>
        <w:rPr>
          <w:b/>
          <w:sz w:val="18"/>
        </w:rPr>
      </w:pPr>
      <w:r>
        <w:rPr>
          <w:b/>
          <w:w w:val="99"/>
          <w:sz w:val="18"/>
        </w:rPr>
        <w:t>$</w:t>
      </w:r>
    </w:p>
    <w:p>
      <w:pPr>
        <w:pStyle w:val="BodyText"/>
        <w:rPr>
          <w:b/>
        </w:rPr>
      </w:pPr>
      <w:r>
        <w:rPr/>
        <w:br w:type="column"/>
      </w:r>
      <w:r>
        <w:rPr>
          <w:b/>
        </w:rPr>
      </w:r>
    </w:p>
    <w:p>
      <w:pPr>
        <w:spacing w:before="111"/>
        <w:ind w:left="94" w:right="609" w:firstLine="0"/>
        <w:jc w:val="center"/>
        <w:rPr>
          <w:b/>
          <w:sz w:val="18"/>
        </w:rPr>
      </w:pPr>
      <w:r>
        <w:rPr>
          <w:b/>
          <w:sz w:val="18"/>
        </w:rPr>
        <w:t>2011</w:t>
      </w:r>
    </w:p>
    <w:p>
      <w:pPr>
        <w:spacing w:before="74"/>
        <w:ind w:left="0" w:right="516" w:firstLine="0"/>
        <w:jc w:val="center"/>
        <w:rPr>
          <w:b/>
          <w:sz w:val="18"/>
        </w:rPr>
      </w:pPr>
      <w:r>
        <w:rPr>
          <w:b/>
          <w:w w:val="99"/>
          <w:sz w:val="18"/>
        </w:rPr>
        <w:t>$</w:t>
      </w:r>
    </w:p>
    <w:p>
      <w:pPr>
        <w:spacing w:after="0"/>
        <w:jc w:val="center"/>
        <w:rPr>
          <w:sz w:val="18"/>
        </w:rPr>
        <w:sectPr>
          <w:type w:val="continuous"/>
          <w:pgSz w:w="11930" w:h="16850"/>
          <w:pgMar w:top="0" w:bottom="280" w:left="900" w:right="800"/>
          <w:cols w:num="3" w:equalWidth="0">
            <w:col w:w="2897" w:space="4906"/>
            <w:col w:w="512" w:space="770"/>
            <w:col w:w="1145"/>
          </w:cols>
        </w:sectPr>
      </w:pPr>
    </w:p>
    <w:p>
      <w:pPr>
        <w:pStyle w:val="BodyText"/>
        <w:spacing w:before="3"/>
        <w:rPr>
          <w:b/>
          <w:sz w:val="14"/>
        </w:rPr>
      </w:pPr>
    </w:p>
    <w:tbl>
      <w:tblPr>
        <w:tblW w:w="0" w:type="auto"/>
        <w:jc w:val="left"/>
        <w:tblInd w:w="3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122"/>
        <w:gridCol w:w="1546"/>
        <w:gridCol w:w="1051"/>
      </w:tblGrid>
      <w:tr>
        <w:trPr>
          <w:trHeight w:val="455" w:hRule="exact"/>
        </w:trPr>
        <w:tc>
          <w:tcPr>
            <w:tcW w:w="7122" w:type="dxa"/>
          </w:tcPr>
          <w:p>
            <w:pPr>
              <w:pStyle w:val="TableParagraph"/>
              <w:spacing w:line="184" w:lineRule="exact"/>
              <w:ind w:left="243"/>
              <w:rPr>
                <w:sz w:val="18"/>
              </w:rPr>
            </w:pPr>
            <w:r>
              <w:rPr>
                <w:sz w:val="18"/>
              </w:rPr>
              <w:t>Current</w:t>
            </w:r>
          </w:p>
          <w:p>
            <w:pPr>
              <w:pStyle w:val="TableParagraph"/>
              <w:spacing w:before="25"/>
              <w:ind w:left="243"/>
              <w:rPr>
                <w:sz w:val="18"/>
              </w:rPr>
            </w:pPr>
            <w:r>
              <w:rPr>
                <w:sz w:val="18"/>
              </w:rPr>
              <w:t>Trade receivables</w:t>
            </w:r>
          </w:p>
        </w:tc>
        <w:tc>
          <w:tcPr>
            <w:tcW w:w="1546" w:type="dxa"/>
          </w:tcPr>
          <w:p>
            <w:pPr>
              <w:pStyle w:val="TableParagraph"/>
              <w:rPr>
                <w:b/>
                <w:sz w:val="18"/>
              </w:rPr>
            </w:pPr>
          </w:p>
          <w:p>
            <w:pPr>
              <w:pStyle w:val="TableParagraph"/>
              <w:ind w:right="332"/>
              <w:jc w:val="right"/>
              <w:rPr>
                <w:b/>
                <w:sz w:val="18"/>
              </w:rPr>
            </w:pPr>
            <w:r>
              <w:rPr>
                <w:b/>
                <w:sz w:val="18"/>
              </w:rPr>
              <w:t>76,871</w:t>
            </w:r>
          </w:p>
        </w:tc>
        <w:tc>
          <w:tcPr>
            <w:tcW w:w="1051" w:type="dxa"/>
          </w:tcPr>
          <w:p>
            <w:pPr>
              <w:pStyle w:val="TableParagraph"/>
              <w:spacing w:before="5"/>
              <w:rPr>
                <w:b/>
                <w:sz w:val="18"/>
              </w:rPr>
            </w:pPr>
          </w:p>
          <w:p>
            <w:pPr>
              <w:pStyle w:val="TableParagraph"/>
              <w:ind w:right="85"/>
              <w:jc w:val="right"/>
              <w:rPr>
                <w:sz w:val="18"/>
              </w:rPr>
            </w:pPr>
            <w:r>
              <w:rPr>
                <w:sz w:val="18"/>
              </w:rPr>
              <w:t>42,765</w:t>
            </w:r>
          </w:p>
        </w:tc>
      </w:tr>
      <w:tr>
        <w:trPr>
          <w:trHeight w:val="271" w:hRule="exact"/>
        </w:trPr>
        <w:tc>
          <w:tcPr>
            <w:tcW w:w="7122" w:type="dxa"/>
          </w:tcPr>
          <w:p>
            <w:pPr>
              <w:pStyle w:val="TableParagraph"/>
              <w:spacing w:before="19"/>
              <w:ind w:left="243"/>
              <w:rPr>
                <w:sz w:val="18"/>
              </w:rPr>
            </w:pPr>
            <w:r>
              <w:rPr>
                <w:sz w:val="18"/>
              </w:rPr>
              <w:t>Provision for impairment</w:t>
            </w:r>
          </w:p>
        </w:tc>
        <w:tc>
          <w:tcPr>
            <w:tcW w:w="1546" w:type="dxa"/>
            <w:tcBorders>
              <w:bottom w:val="single" w:sz="12" w:space="0" w:color="000000"/>
            </w:tcBorders>
          </w:tcPr>
          <w:p>
            <w:pPr>
              <w:pStyle w:val="TableParagraph"/>
              <w:spacing w:before="16"/>
              <w:ind w:right="312"/>
              <w:jc w:val="right"/>
              <w:rPr>
                <w:b/>
                <w:sz w:val="18"/>
              </w:rPr>
            </w:pPr>
            <w:r>
              <w:rPr>
                <w:b/>
                <w:w w:val="99"/>
                <w:sz w:val="18"/>
              </w:rPr>
              <w:t>-</w:t>
            </w:r>
          </w:p>
        </w:tc>
        <w:tc>
          <w:tcPr>
            <w:tcW w:w="1051" w:type="dxa"/>
            <w:tcBorders>
              <w:bottom w:val="single" w:sz="12" w:space="0" w:color="000000"/>
            </w:tcBorders>
          </w:tcPr>
          <w:p>
            <w:pPr>
              <w:pStyle w:val="TableParagraph"/>
              <w:spacing w:before="21"/>
              <w:ind w:right="67"/>
              <w:jc w:val="right"/>
              <w:rPr>
                <w:sz w:val="18"/>
              </w:rPr>
            </w:pPr>
            <w:r>
              <w:rPr>
                <w:w w:val="99"/>
                <w:sz w:val="18"/>
              </w:rPr>
              <w:t>-</w:t>
            </w:r>
          </w:p>
        </w:tc>
      </w:tr>
      <w:tr>
        <w:trPr>
          <w:trHeight w:val="338" w:hRule="exact"/>
        </w:trPr>
        <w:tc>
          <w:tcPr>
            <w:tcW w:w="7122" w:type="dxa"/>
          </w:tcPr>
          <w:p>
            <w:pPr/>
          </w:p>
        </w:tc>
        <w:tc>
          <w:tcPr>
            <w:tcW w:w="1546" w:type="dxa"/>
            <w:tcBorders>
              <w:top w:val="single" w:sz="12" w:space="0" w:color="000000"/>
              <w:bottom w:val="single" w:sz="12" w:space="0" w:color="000000"/>
            </w:tcBorders>
          </w:tcPr>
          <w:p>
            <w:pPr>
              <w:pStyle w:val="TableParagraph"/>
              <w:spacing w:before="110"/>
              <w:ind w:right="332"/>
              <w:jc w:val="right"/>
              <w:rPr>
                <w:b/>
                <w:sz w:val="18"/>
              </w:rPr>
            </w:pPr>
            <w:r>
              <w:rPr>
                <w:b/>
                <w:sz w:val="18"/>
              </w:rPr>
              <w:t>76,871</w:t>
            </w:r>
          </w:p>
        </w:tc>
        <w:tc>
          <w:tcPr>
            <w:tcW w:w="1051" w:type="dxa"/>
            <w:tcBorders>
              <w:top w:val="single" w:sz="12" w:space="0" w:color="000000"/>
              <w:bottom w:val="single" w:sz="12" w:space="0" w:color="000000"/>
            </w:tcBorders>
          </w:tcPr>
          <w:p>
            <w:pPr>
              <w:pStyle w:val="TableParagraph"/>
              <w:spacing w:before="114"/>
              <w:ind w:right="85"/>
              <w:jc w:val="right"/>
              <w:rPr>
                <w:sz w:val="18"/>
              </w:rPr>
            </w:pPr>
            <w:r>
              <w:rPr>
                <w:sz w:val="18"/>
              </w:rPr>
              <w:t>42,765</w:t>
            </w:r>
          </w:p>
        </w:tc>
      </w:tr>
      <w:tr>
        <w:trPr>
          <w:trHeight w:val="566" w:hRule="exact"/>
        </w:trPr>
        <w:tc>
          <w:tcPr>
            <w:tcW w:w="7122" w:type="dxa"/>
          </w:tcPr>
          <w:p>
            <w:pPr>
              <w:pStyle w:val="TableParagraph"/>
              <w:rPr>
                <w:b/>
                <w:sz w:val="18"/>
              </w:rPr>
            </w:pPr>
          </w:p>
          <w:p>
            <w:pPr>
              <w:pStyle w:val="TableParagraph"/>
              <w:spacing w:before="122"/>
              <w:ind w:left="243"/>
              <w:rPr>
                <w:sz w:val="18"/>
              </w:rPr>
            </w:pPr>
            <w:r>
              <w:rPr>
                <w:sz w:val="18"/>
              </w:rPr>
              <w:t>Prepayments</w:t>
            </w:r>
          </w:p>
        </w:tc>
        <w:tc>
          <w:tcPr>
            <w:tcW w:w="1546" w:type="dxa"/>
            <w:tcBorders>
              <w:top w:val="single" w:sz="12" w:space="0" w:color="000000"/>
            </w:tcBorders>
          </w:tcPr>
          <w:p>
            <w:pPr>
              <w:pStyle w:val="TableParagraph"/>
              <w:spacing w:before="10"/>
              <w:rPr>
                <w:b/>
                <w:sz w:val="26"/>
              </w:rPr>
            </w:pPr>
          </w:p>
          <w:p>
            <w:pPr>
              <w:pStyle w:val="TableParagraph"/>
              <w:ind w:right="332"/>
              <w:jc w:val="right"/>
              <w:rPr>
                <w:b/>
                <w:sz w:val="18"/>
              </w:rPr>
            </w:pPr>
            <w:r>
              <w:rPr>
                <w:b/>
                <w:sz w:val="18"/>
              </w:rPr>
              <w:t>41,535</w:t>
            </w:r>
          </w:p>
        </w:tc>
        <w:tc>
          <w:tcPr>
            <w:tcW w:w="1051" w:type="dxa"/>
            <w:tcBorders>
              <w:top w:val="single" w:sz="12" w:space="0" w:color="000000"/>
            </w:tcBorders>
          </w:tcPr>
          <w:p>
            <w:pPr>
              <w:pStyle w:val="TableParagraph"/>
              <w:rPr>
                <w:b/>
                <w:sz w:val="18"/>
              </w:rPr>
            </w:pPr>
          </w:p>
          <w:p>
            <w:pPr>
              <w:pStyle w:val="TableParagraph"/>
              <w:spacing w:before="107"/>
              <w:ind w:right="85"/>
              <w:jc w:val="right"/>
              <w:rPr>
                <w:sz w:val="18"/>
              </w:rPr>
            </w:pPr>
            <w:r>
              <w:rPr>
                <w:sz w:val="18"/>
              </w:rPr>
              <w:t>33,527</w:t>
            </w:r>
          </w:p>
        </w:tc>
      </w:tr>
      <w:tr>
        <w:trPr>
          <w:trHeight w:val="277" w:hRule="exact"/>
        </w:trPr>
        <w:tc>
          <w:tcPr>
            <w:tcW w:w="7122" w:type="dxa"/>
          </w:tcPr>
          <w:p>
            <w:pPr>
              <w:pStyle w:val="TableParagraph"/>
              <w:spacing w:before="13"/>
              <w:ind w:left="243"/>
              <w:rPr>
                <w:sz w:val="18"/>
              </w:rPr>
            </w:pPr>
            <w:r>
              <w:rPr>
                <w:sz w:val="18"/>
              </w:rPr>
              <w:t>Related party receivable</w:t>
            </w:r>
          </w:p>
        </w:tc>
        <w:tc>
          <w:tcPr>
            <w:tcW w:w="1546" w:type="dxa"/>
            <w:tcBorders>
              <w:bottom w:val="single" w:sz="5" w:space="0" w:color="000000"/>
            </w:tcBorders>
          </w:tcPr>
          <w:p>
            <w:pPr>
              <w:pStyle w:val="TableParagraph"/>
              <w:spacing w:before="10"/>
              <w:ind w:right="312"/>
              <w:jc w:val="right"/>
              <w:rPr>
                <w:b/>
                <w:sz w:val="18"/>
              </w:rPr>
            </w:pPr>
            <w:r>
              <w:rPr>
                <w:b/>
                <w:w w:val="99"/>
                <w:sz w:val="18"/>
              </w:rPr>
              <w:t>-</w:t>
            </w:r>
          </w:p>
        </w:tc>
        <w:tc>
          <w:tcPr>
            <w:tcW w:w="1051" w:type="dxa"/>
            <w:tcBorders>
              <w:bottom w:val="single" w:sz="5" w:space="0" w:color="000000"/>
            </w:tcBorders>
          </w:tcPr>
          <w:p>
            <w:pPr>
              <w:pStyle w:val="TableParagraph"/>
              <w:spacing w:before="15"/>
              <w:ind w:right="85"/>
              <w:jc w:val="right"/>
              <w:rPr>
                <w:sz w:val="18"/>
              </w:rPr>
            </w:pPr>
            <w:r>
              <w:rPr>
                <w:sz w:val="18"/>
              </w:rPr>
              <w:t>30,791</w:t>
            </w:r>
          </w:p>
        </w:tc>
      </w:tr>
      <w:tr>
        <w:trPr>
          <w:trHeight w:val="367" w:hRule="exact"/>
        </w:trPr>
        <w:tc>
          <w:tcPr>
            <w:tcW w:w="7122" w:type="dxa"/>
          </w:tcPr>
          <w:p>
            <w:pPr>
              <w:pStyle w:val="TableParagraph"/>
              <w:spacing w:before="113"/>
              <w:ind w:left="243"/>
              <w:rPr>
                <w:b/>
                <w:sz w:val="18"/>
              </w:rPr>
            </w:pPr>
            <w:r>
              <w:rPr>
                <w:b/>
                <w:sz w:val="18"/>
              </w:rPr>
              <w:t>Total current trade and other receivables</w:t>
            </w:r>
          </w:p>
        </w:tc>
        <w:tc>
          <w:tcPr>
            <w:tcW w:w="1546" w:type="dxa"/>
            <w:tcBorders>
              <w:top w:val="single" w:sz="5" w:space="0" w:color="000000"/>
              <w:bottom w:val="single" w:sz="5" w:space="0" w:color="000000"/>
            </w:tcBorders>
          </w:tcPr>
          <w:p>
            <w:pPr>
              <w:pStyle w:val="TableParagraph"/>
              <w:spacing w:before="107"/>
              <w:ind w:right="329"/>
              <w:jc w:val="right"/>
              <w:rPr>
                <w:b/>
                <w:sz w:val="18"/>
              </w:rPr>
            </w:pPr>
            <w:r>
              <w:rPr>
                <w:b/>
                <w:sz w:val="18"/>
              </w:rPr>
              <w:t>118,406</w:t>
            </w:r>
          </w:p>
        </w:tc>
        <w:tc>
          <w:tcPr>
            <w:tcW w:w="1051" w:type="dxa"/>
            <w:tcBorders>
              <w:top w:val="single" w:sz="5" w:space="0" w:color="000000"/>
              <w:bottom w:val="single" w:sz="4" w:space="0" w:color="000000"/>
            </w:tcBorders>
          </w:tcPr>
          <w:p>
            <w:pPr>
              <w:pStyle w:val="TableParagraph"/>
              <w:spacing w:before="112"/>
              <w:ind w:right="81"/>
              <w:jc w:val="right"/>
              <w:rPr>
                <w:sz w:val="18"/>
              </w:rPr>
            </w:pPr>
            <w:r>
              <w:rPr>
                <w:sz w:val="18"/>
              </w:rPr>
              <w:t>107,083</w:t>
            </w:r>
          </w:p>
        </w:tc>
      </w:tr>
      <w:tr>
        <w:trPr>
          <w:trHeight w:val="491" w:hRule="exact"/>
        </w:trPr>
        <w:tc>
          <w:tcPr>
            <w:tcW w:w="7122" w:type="dxa"/>
          </w:tcPr>
          <w:p>
            <w:pPr>
              <w:pStyle w:val="TableParagraph"/>
              <w:rPr>
                <w:b/>
                <w:sz w:val="25"/>
              </w:rPr>
            </w:pPr>
          </w:p>
          <w:p>
            <w:pPr>
              <w:pStyle w:val="TableParagraph"/>
              <w:spacing w:before="1"/>
              <w:ind w:left="200"/>
              <w:rPr>
                <w:b/>
                <w:sz w:val="18"/>
              </w:rPr>
            </w:pPr>
            <w:r>
              <w:rPr>
                <w:b/>
                <w:sz w:val="18"/>
              </w:rPr>
              <w:t>Credit risk</w:t>
            </w:r>
          </w:p>
        </w:tc>
        <w:tc>
          <w:tcPr>
            <w:tcW w:w="1546" w:type="dxa"/>
            <w:tcBorders>
              <w:top w:val="single" w:sz="5" w:space="0" w:color="000000"/>
            </w:tcBorders>
          </w:tcPr>
          <w:p>
            <w:pPr/>
          </w:p>
        </w:tc>
        <w:tc>
          <w:tcPr>
            <w:tcW w:w="1051" w:type="dxa"/>
            <w:tcBorders>
              <w:top w:val="single" w:sz="4" w:space="0" w:color="000000"/>
            </w:tcBorders>
          </w:tcPr>
          <w:p>
            <w:pPr/>
          </w:p>
        </w:tc>
      </w:tr>
    </w:tbl>
    <w:p>
      <w:pPr>
        <w:pStyle w:val="BodyText"/>
        <w:rPr>
          <w:b/>
        </w:rPr>
      </w:pPr>
    </w:p>
    <w:p>
      <w:pPr>
        <w:pStyle w:val="BodyText"/>
        <w:spacing w:line="237" w:lineRule="auto" w:before="79"/>
        <w:ind w:left="503" w:right="463"/>
      </w:pPr>
      <w:r>
        <w:rPr/>
        <w:t>The Company has no significant concentration of credit risk with respect to any single counterparty or group of counterparties. The class of assets described as 'trade and other receivables' is considered to be the main source of credit risk related to the Company.</w:t>
      </w:r>
    </w:p>
    <w:p>
      <w:pPr>
        <w:pStyle w:val="BodyText"/>
        <w:rPr>
          <w:sz w:val="25"/>
        </w:rPr>
      </w:pPr>
    </w:p>
    <w:p>
      <w:pPr>
        <w:pStyle w:val="BodyText"/>
        <w:ind w:left="504" w:right="98" w:hanging="1"/>
        <w:jc w:val="both"/>
      </w:pPr>
      <w:r>
        <w:rPr/>
        <w:t>The following table details the Company's trade and other receivables exposure to credit risk  (prior to collateral and  other credit enhancements) with ageing analysis and impairment provided for thereon. Amounts are considered as 'past due' when the debt has not been settled, within the terms and conditions agreed between the Company and the customer or counter party to the transaction. Receivables that are past due are assessed for impairment by ascertaining solvency of the debtors and are provided for where there is objective evidence indicating that the debt may not be fully repaid to the</w:t>
      </w:r>
      <w:r>
        <w:rPr>
          <w:spacing w:val="-15"/>
        </w:rPr>
        <w:t> </w:t>
      </w:r>
      <w:r>
        <w:rPr/>
        <w:t>Company.</w:t>
      </w:r>
    </w:p>
    <w:p>
      <w:pPr>
        <w:pStyle w:val="BodyText"/>
        <w:spacing w:before="11"/>
        <w:rPr>
          <w:sz w:val="24"/>
        </w:rPr>
      </w:pPr>
    </w:p>
    <w:p>
      <w:pPr>
        <w:pStyle w:val="BodyText"/>
        <w:ind w:left="504" w:right="330"/>
      </w:pPr>
      <w:r>
        <w:rPr/>
        <w:t>The balances of receivables that remain within initial trade terms (as detailed in the table) are considered to be of high credit quality.</w:t>
      </w:r>
    </w:p>
    <w:p>
      <w:pPr>
        <w:pStyle w:val="BodyText"/>
        <w:spacing w:before="8" w:after="1"/>
        <w:rPr>
          <w:sz w:val="29"/>
        </w:rPr>
      </w:pPr>
    </w:p>
    <w:tbl>
      <w:tblPr>
        <w:tblW w:w="0" w:type="auto"/>
        <w:jc w:val="left"/>
        <w:tblInd w:w="106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68"/>
        <w:gridCol w:w="1478"/>
        <w:gridCol w:w="1116"/>
      </w:tblGrid>
      <w:tr>
        <w:trPr>
          <w:trHeight w:val="604" w:hRule="exact"/>
        </w:trPr>
        <w:tc>
          <w:tcPr>
            <w:tcW w:w="6368" w:type="dxa"/>
          </w:tcPr>
          <w:p>
            <w:pPr/>
          </w:p>
        </w:tc>
        <w:tc>
          <w:tcPr>
            <w:tcW w:w="1478" w:type="dxa"/>
          </w:tcPr>
          <w:p>
            <w:pPr>
              <w:pStyle w:val="TableParagraph"/>
              <w:spacing w:before="77"/>
              <w:ind w:left="451" w:right="586"/>
              <w:jc w:val="center"/>
              <w:rPr>
                <w:b/>
                <w:sz w:val="18"/>
              </w:rPr>
            </w:pPr>
            <w:r>
              <w:rPr>
                <w:b/>
                <w:sz w:val="18"/>
              </w:rPr>
              <w:t>2012</w:t>
            </w:r>
          </w:p>
          <w:p>
            <w:pPr>
              <w:pStyle w:val="TableParagraph"/>
              <w:spacing w:before="76"/>
              <w:ind w:right="140"/>
              <w:jc w:val="center"/>
              <w:rPr>
                <w:b/>
                <w:sz w:val="18"/>
              </w:rPr>
            </w:pPr>
            <w:r>
              <w:rPr>
                <w:b/>
                <w:w w:val="99"/>
                <w:sz w:val="18"/>
              </w:rPr>
              <w:t>$</w:t>
            </w:r>
          </w:p>
        </w:tc>
        <w:tc>
          <w:tcPr>
            <w:tcW w:w="1116" w:type="dxa"/>
          </w:tcPr>
          <w:p>
            <w:pPr>
              <w:pStyle w:val="TableParagraph"/>
              <w:spacing w:before="77"/>
              <w:ind w:left="252" w:right="422"/>
              <w:jc w:val="center"/>
              <w:rPr>
                <w:b/>
                <w:sz w:val="18"/>
              </w:rPr>
            </w:pPr>
            <w:r>
              <w:rPr>
                <w:b/>
                <w:sz w:val="18"/>
              </w:rPr>
              <w:t>2011</w:t>
            </w:r>
          </w:p>
          <w:p>
            <w:pPr>
              <w:pStyle w:val="TableParagraph"/>
              <w:spacing w:before="76"/>
              <w:ind w:right="171"/>
              <w:jc w:val="center"/>
              <w:rPr>
                <w:b/>
                <w:sz w:val="18"/>
              </w:rPr>
            </w:pPr>
            <w:r>
              <w:rPr>
                <w:b/>
                <w:w w:val="99"/>
                <w:sz w:val="18"/>
              </w:rPr>
              <w:t>$</w:t>
            </w:r>
          </w:p>
        </w:tc>
      </w:tr>
      <w:tr>
        <w:trPr>
          <w:trHeight w:val="262" w:hRule="exact"/>
        </w:trPr>
        <w:tc>
          <w:tcPr>
            <w:tcW w:w="6368" w:type="dxa"/>
          </w:tcPr>
          <w:p>
            <w:pPr>
              <w:pStyle w:val="TableParagraph"/>
              <w:spacing w:before="18"/>
              <w:ind w:left="35"/>
              <w:rPr>
                <w:sz w:val="18"/>
              </w:rPr>
            </w:pPr>
            <w:r>
              <w:rPr>
                <w:sz w:val="18"/>
              </w:rPr>
              <w:t>Up to 3 months</w:t>
            </w:r>
          </w:p>
        </w:tc>
        <w:tc>
          <w:tcPr>
            <w:tcW w:w="1478" w:type="dxa"/>
          </w:tcPr>
          <w:p>
            <w:pPr>
              <w:pStyle w:val="TableParagraph"/>
              <w:spacing w:before="18"/>
              <w:ind w:right="275"/>
              <w:jc w:val="right"/>
              <w:rPr>
                <w:b/>
                <w:sz w:val="18"/>
              </w:rPr>
            </w:pPr>
            <w:r>
              <w:rPr>
                <w:b/>
                <w:sz w:val="18"/>
              </w:rPr>
              <w:t>55,033</w:t>
            </w:r>
          </w:p>
        </w:tc>
        <w:tc>
          <w:tcPr>
            <w:tcW w:w="1116" w:type="dxa"/>
          </w:tcPr>
          <w:p>
            <w:pPr>
              <w:pStyle w:val="TableParagraph"/>
              <w:spacing w:before="18"/>
              <w:ind w:right="93"/>
              <w:jc w:val="right"/>
              <w:rPr>
                <w:sz w:val="18"/>
              </w:rPr>
            </w:pPr>
            <w:r>
              <w:rPr>
                <w:sz w:val="18"/>
              </w:rPr>
              <w:t>42,765</w:t>
            </w:r>
          </w:p>
        </w:tc>
      </w:tr>
      <w:tr>
        <w:trPr>
          <w:trHeight w:val="262" w:hRule="exact"/>
        </w:trPr>
        <w:tc>
          <w:tcPr>
            <w:tcW w:w="6368" w:type="dxa"/>
          </w:tcPr>
          <w:p>
            <w:pPr>
              <w:pStyle w:val="TableParagraph"/>
              <w:spacing w:before="17"/>
              <w:ind w:left="35"/>
              <w:rPr>
                <w:sz w:val="18"/>
              </w:rPr>
            </w:pPr>
            <w:r>
              <w:rPr>
                <w:sz w:val="18"/>
              </w:rPr>
              <w:t>3 to 6 months</w:t>
            </w:r>
          </w:p>
        </w:tc>
        <w:tc>
          <w:tcPr>
            <w:tcW w:w="1478" w:type="dxa"/>
          </w:tcPr>
          <w:p>
            <w:pPr>
              <w:pStyle w:val="TableParagraph"/>
              <w:spacing w:before="17"/>
              <w:ind w:right="275"/>
              <w:jc w:val="right"/>
              <w:rPr>
                <w:b/>
                <w:sz w:val="18"/>
              </w:rPr>
            </w:pPr>
            <w:r>
              <w:rPr>
                <w:b/>
                <w:sz w:val="18"/>
              </w:rPr>
              <w:t>21,838</w:t>
            </w:r>
          </w:p>
        </w:tc>
        <w:tc>
          <w:tcPr>
            <w:tcW w:w="1116" w:type="dxa"/>
          </w:tcPr>
          <w:p>
            <w:pPr>
              <w:pStyle w:val="TableParagraph"/>
              <w:spacing w:before="17"/>
              <w:ind w:right="104"/>
              <w:jc w:val="right"/>
              <w:rPr>
                <w:sz w:val="18"/>
              </w:rPr>
            </w:pPr>
            <w:r>
              <w:rPr>
                <w:w w:val="99"/>
                <w:sz w:val="18"/>
              </w:rPr>
              <w:t>-</w:t>
            </w:r>
          </w:p>
        </w:tc>
      </w:tr>
      <w:tr>
        <w:trPr>
          <w:trHeight w:val="272" w:hRule="exact"/>
        </w:trPr>
        <w:tc>
          <w:tcPr>
            <w:tcW w:w="6368" w:type="dxa"/>
          </w:tcPr>
          <w:p>
            <w:pPr>
              <w:pStyle w:val="TableParagraph"/>
              <w:spacing w:before="17"/>
              <w:ind w:left="35"/>
              <w:rPr>
                <w:sz w:val="18"/>
              </w:rPr>
            </w:pPr>
            <w:r>
              <w:rPr>
                <w:sz w:val="18"/>
              </w:rPr>
              <w:t>Over 6 months</w:t>
            </w:r>
          </w:p>
        </w:tc>
        <w:tc>
          <w:tcPr>
            <w:tcW w:w="1478" w:type="dxa"/>
            <w:tcBorders>
              <w:bottom w:val="single" w:sz="8" w:space="0" w:color="000000"/>
            </w:tcBorders>
          </w:tcPr>
          <w:p>
            <w:pPr>
              <w:pStyle w:val="TableParagraph"/>
              <w:spacing w:before="17"/>
              <w:ind w:right="268"/>
              <w:jc w:val="right"/>
              <w:rPr>
                <w:b/>
                <w:sz w:val="18"/>
              </w:rPr>
            </w:pPr>
            <w:r>
              <w:rPr>
                <w:b/>
                <w:w w:val="99"/>
                <w:sz w:val="18"/>
              </w:rPr>
              <w:t>-</w:t>
            </w:r>
          </w:p>
        </w:tc>
        <w:tc>
          <w:tcPr>
            <w:tcW w:w="1116" w:type="dxa"/>
            <w:tcBorders>
              <w:bottom w:val="single" w:sz="8" w:space="0" w:color="000000"/>
            </w:tcBorders>
          </w:tcPr>
          <w:p>
            <w:pPr>
              <w:pStyle w:val="TableParagraph"/>
              <w:spacing w:before="17"/>
              <w:ind w:right="104"/>
              <w:jc w:val="right"/>
              <w:rPr>
                <w:sz w:val="18"/>
              </w:rPr>
            </w:pPr>
            <w:r>
              <w:rPr>
                <w:w w:val="99"/>
                <w:sz w:val="18"/>
              </w:rPr>
              <w:t>-</w:t>
            </w:r>
          </w:p>
        </w:tc>
      </w:tr>
      <w:tr>
        <w:trPr>
          <w:trHeight w:val="334" w:hRule="exact"/>
        </w:trPr>
        <w:tc>
          <w:tcPr>
            <w:tcW w:w="6368" w:type="dxa"/>
          </w:tcPr>
          <w:p>
            <w:pPr>
              <w:pStyle w:val="TableParagraph"/>
              <w:spacing w:before="117"/>
              <w:ind w:left="35"/>
              <w:rPr>
                <w:b/>
                <w:sz w:val="18"/>
              </w:rPr>
            </w:pPr>
            <w:r>
              <w:rPr>
                <w:b/>
                <w:sz w:val="18"/>
              </w:rPr>
              <w:t>Total</w:t>
            </w:r>
          </w:p>
        </w:tc>
        <w:tc>
          <w:tcPr>
            <w:tcW w:w="1478" w:type="dxa"/>
            <w:tcBorders>
              <w:top w:val="single" w:sz="8" w:space="0" w:color="000000"/>
              <w:bottom w:val="single" w:sz="8" w:space="0" w:color="000000"/>
            </w:tcBorders>
          </w:tcPr>
          <w:p>
            <w:pPr>
              <w:pStyle w:val="TableParagraph"/>
              <w:spacing w:before="107"/>
              <w:ind w:right="275"/>
              <w:jc w:val="right"/>
              <w:rPr>
                <w:b/>
                <w:sz w:val="18"/>
              </w:rPr>
            </w:pPr>
            <w:r>
              <w:rPr>
                <w:b/>
                <w:sz w:val="18"/>
              </w:rPr>
              <w:t>76,871</w:t>
            </w:r>
          </w:p>
        </w:tc>
        <w:tc>
          <w:tcPr>
            <w:tcW w:w="1116" w:type="dxa"/>
            <w:tcBorders>
              <w:top w:val="single" w:sz="8" w:space="0" w:color="000000"/>
              <w:bottom w:val="single" w:sz="8" w:space="0" w:color="000000"/>
            </w:tcBorders>
          </w:tcPr>
          <w:p>
            <w:pPr>
              <w:pStyle w:val="TableParagraph"/>
              <w:spacing w:before="107"/>
              <w:ind w:right="93"/>
              <w:jc w:val="right"/>
              <w:rPr>
                <w:sz w:val="18"/>
              </w:rPr>
            </w:pPr>
            <w:r>
              <w:rPr>
                <w:sz w:val="18"/>
              </w:rPr>
              <w:t>42,765</w:t>
            </w:r>
          </w:p>
        </w:tc>
      </w:tr>
    </w:tbl>
    <w:p>
      <w:pPr>
        <w:pStyle w:val="BodyText"/>
        <w:spacing w:before="2"/>
        <w:rPr>
          <w:sz w:val="17"/>
        </w:rPr>
      </w:pPr>
    </w:p>
    <w:p>
      <w:pPr>
        <w:pStyle w:val="BodyText"/>
        <w:spacing w:before="77"/>
        <w:ind w:left="503" w:right="211"/>
      </w:pPr>
      <w:r>
        <w:rPr/>
        <w:t>The Company does not hold any financial assets with terms that have been renegotiated, but which would otherwise be past due or impaired.</w:t>
      </w:r>
    </w:p>
    <w:p>
      <w:pPr>
        <w:pStyle w:val="BodyText"/>
        <w:spacing w:before="9"/>
        <w:rPr>
          <w:sz w:val="24"/>
        </w:rPr>
      </w:pPr>
    </w:p>
    <w:p>
      <w:pPr>
        <w:pStyle w:val="BodyText"/>
        <w:spacing w:line="573" w:lineRule="auto"/>
        <w:ind w:left="504" w:right="581"/>
      </w:pPr>
      <w:r>
        <w:rPr/>
        <w:t>Due to the short term nature of these receivables, their carrying amount is assumed to approximate their fair value. The other classes of receivables do not contain impaired assets.</w:t>
      </w:r>
    </w:p>
    <w:p>
      <w:pPr>
        <w:pStyle w:val="BodyText"/>
        <w:spacing w:before="17"/>
        <w:ind w:left="503" w:right="161"/>
      </w:pPr>
      <w:r>
        <w:rPr/>
        <w:t>There are no balances within trade receivables that contain assets that are not impaired and are past due. It is expected that these balances will be received when due.</w:t>
      </w:r>
    </w:p>
    <w:p>
      <w:pPr>
        <w:spacing w:after="0"/>
        <w:sectPr>
          <w:type w:val="continuous"/>
          <w:pgSz w:w="11930" w:h="16850"/>
          <w:pgMar w:top="0" w:bottom="280" w:left="900" w:right="800"/>
        </w:sectPr>
      </w:pPr>
    </w:p>
    <w:p>
      <w:pPr>
        <w:pStyle w:val="BodyText"/>
        <w:spacing w:before="10"/>
        <w:rPr>
          <w:sz w:val="23"/>
        </w:rPr>
      </w:pPr>
    </w:p>
    <w:p>
      <w:pPr>
        <w:pStyle w:val="Heading3"/>
        <w:ind w:right="653"/>
      </w:pPr>
      <w:r>
        <w:rPr/>
        <w:t>Notes to the Financial Statements</w:t>
      </w:r>
    </w:p>
    <w:p>
      <w:pPr>
        <w:spacing w:before="62"/>
        <w:ind w:left="107" w:right="653" w:firstLine="0"/>
        <w:jc w:val="left"/>
        <w:rPr>
          <w:b/>
          <w:sz w:val="28"/>
        </w:rPr>
      </w:pPr>
      <w:r>
        <w:rPr>
          <w:b/>
          <w:sz w:val="28"/>
        </w:rPr>
        <w:t>For the Year Ended 31 December</w:t>
      </w:r>
      <w:r>
        <w:rPr>
          <w:b/>
          <w:spacing w:val="-52"/>
          <w:sz w:val="28"/>
        </w:rPr>
        <w:t> </w:t>
      </w:r>
      <w:r>
        <w:rPr>
          <w:b/>
          <w:sz w:val="28"/>
        </w:rPr>
        <w:t>2012</w:t>
      </w:r>
    </w:p>
    <w:p>
      <w:pPr>
        <w:pStyle w:val="BodyText"/>
        <w:rPr>
          <w:b/>
          <w:sz w:val="20"/>
        </w:rPr>
      </w:pPr>
    </w:p>
    <w:p>
      <w:pPr>
        <w:pStyle w:val="BodyText"/>
        <w:rPr>
          <w:b/>
          <w:sz w:val="20"/>
        </w:rPr>
      </w:pPr>
    </w:p>
    <w:p>
      <w:pPr>
        <w:pStyle w:val="BodyText"/>
        <w:spacing w:before="11"/>
        <w:rPr>
          <w:b/>
          <w:sz w:val="16"/>
        </w:rPr>
      </w:pPr>
    </w:p>
    <w:p>
      <w:pPr>
        <w:pStyle w:val="Heading9"/>
        <w:numPr>
          <w:ilvl w:val="0"/>
          <w:numId w:val="41"/>
        </w:numPr>
        <w:tabs>
          <w:tab w:pos="500" w:val="left" w:leader="none"/>
        </w:tabs>
        <w:spacing w:line="240" w:lineRule="auto" w:before="0" w:after="0"/>
        <w:ind w:left="499" w:right="0" w:hanging="391"/>
        <w:jc w:val="left"/>
      </w:pPr>
      <w:r>
        <w:rPr/>
        <w:t>Property, plant and</w:t>
      </w:r>
      <w:r>
        <w:rPr>
          <w:spacing w:val="-11"/>
        </w:rPr>
        <w:t> </w:t>
      </w:r>
      <w:r>
        <w:rPr/>
        <w:t>equipment</w:t>
      </w:r>
    </w:p>
    <w:p>
      <w:pPr>
        <w:pStyle w:val="BodyText"/>
        <w:rPr>
          <w:b/>
          <w:sz w:val="20"/>
        </w:rPr>
      </w:pPr>
    </w:p>
    <w:p>
      <w:pPr>
        <w:pStyle w:val="BodyText"/>
        <w:rPr>
          <w:b/>
          <w:sz w:val="20"/>
        </w:rPr>
      </w:pPr>
    </w:p>
    <w:p>
      <w:pPr>
        <w:pStyle w:val="BodyText"/>
        <w:rPr>
          <w:b/>
          <w:sz w:val="20"/>
        </w:rPr>
      </w:pPr>
    </w:p>
    <w:p>
      <w:pPr>
        <w:pStyle w:val="BodyText"/>
        <w:spacing w:before="10" w:after="1"/>
        <w:rPr>
          <w:b/>
          <w:sz w:val="16"/>
        </w:rPr>
      </w:pPr>
    </w:p>
    <w:tbl>
      <w:tblPr>
        <w:tblW w:w="0" w:type="auto"/>
        <w:jc w:val="left"/>
        <w:tblInd w:w="5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60"/>
        <w:gridCol w:w="1165"/>
      </w:tblGrid>
      <w:tr>
        <w:trPr>
          <w:trHeight w:val="579" w:hRule="exact"/>
        </w:trPr>
        <w:tc>
          <w:tcPr>
            <w:tcW w:w="6360" w:type="dxa"/>
            <w:vMerge w:val="restart"/>
          </w:tcPr>
          <w:p>
            <w:pPr/>
          </w:p>
        </w:tc>
        <w:tc>
          <w:tcPr>
            <w:tcW w:w="1165" w:type="dxa"/>
          </w:tcPr>
          <w:p>
            <w:pPr>
              <w:pStyle w:val="TableParagraph"/>
              <w:spacing w:line="268" w:lineRule="auto" w:before="77"/>
              <w:ind w:left="150" w:firstLine="74"/>
              <w:rPr>
                <w:b/>
                <w:sz w:val="18"/>
              </w:rPr>
            </w:pPr>
            <w:r>
              <w:rPr>
                <w:b/>
                <w:sz w:val="18"/>
              </w:rPr>
              <w:t>Plant and equipment</w:t>
            </w:r>
          </w:p>
        </w:tc>
      </w:tr>
      <w:tr>
        <w:trPr>
          <w:trHeight w:val="305" w:hRule="exact"/>
        </w:trPr>
        <w:tc>
          <w:tcPr>
            <w:tcW w:w="6360" w:type="dxa"/>
            <w:vMerge/>
          </w:tcPr>
          <w:p>
            <w:pPr/>
          </w:p>
        </w:tc>
        <w:tc>
          <w:tcPr>
            <w:tcW w:w="1165" w:type="dxa"/>
          </w:tcPr>
          <w:p>
            <w:pPr>
              <w:pStyle w:val="TableParagraph"/>
              <w:spacing w:before="43"/>
              <w:ind w:left="52"/>
              <w:jc w:val="center"/>
              <w:rPr>
                <w:b/>
                <w:sz w:val="18"/>
              </w:rPr>
            </w:pPr>
            <w:r>
              <w:rPr>
                <w:b/>
                <w:w w:val="99"/>
                <w:sz w:val="18"/>
              </w:rPr>
              <w:t>$</w:t>
            </w:r>
          </w:p>
        </w:tc>
      </w:tr>
      <w:tr>
        <w:trPr>
          <w:trHeight w:val="581" w:hRule="exact"/>
        </w:trPr>
        <w:tc>
          <w:tcPr>
            <w:tcW w:w="6360" w:type="dxa"/>
          </w:tcPr>
          <w:p>
            <w:pPr>
              <w:pStyle w:val="TableParagraph"/>
              <w:spacing w:before="36"/>
              <w:ind w:left="35"/>
              <w:rPr>
                <w:b/>
                <w:sz w:val="18"/>
              </w:rPr>
            </w:pPr>
            <w:r>
              <w:rPr>
                <w:b/>
                <w:sz w:val="18"/>
              </w:rPr>
              <w:t>At January 2011</w:t>
            </w:r>
          </w:p>
          <w:p>
            <w:pPr>
              <w:pStyle w:val="TableParagraph"/>
              <w:spacing w:before="81"/>
              <w:ind w:left="35"/>
              <w:rPr>
                <w:sz w:val="18"/>
              </w:rPr>
            </w:pPr>
            <w:r>
              <w:rPr>
                <w:sz w:val="18"/>
              </w:rPr>
              <w:t>Cost</w:t>
            </w:r>
          </w:p>
        </w:tc>
        <w:tc>
          <w:tcPr>
            <w:tcW w:w="1165" w:type="dxa"/>
          </w:tcPr>
          <w:p>
            <w:pPr>
              <w:pStyle w:val="TableParagraph"/>
              <w:rPr>
                <w:b/>
                <w:sz w:val="18"/>
              </w:rPr>
            </w:pPr>
          </w:p>
          <w:p>
            <w:pPr>
              <w:pStyle w:val="TableParagraph"/>
              <w:spacing w:before="116"/>
              <w:ind w:left="405"/>
              <w:rPr>
                <w:sz w:val="18"/>
              </w:rPr>
            </w:pPr>
            <w:r>
              <w:rPr>
                <w:sz w:val="18"/>
              </w:rPr>
              <w:t>795,915</w:t>
            </w:r>
          </w:p>
        </w:tc>
      </w:tr>
      <w:tr>
        <w:trPr>
          <w:trHeight w:val="275" w:hRule="exact"/>
        </w:trPr>
        <w:tc>
          <w:tcPr>
            <w:tcW w:w="6360" w:type="dxa"/>
          </w:tcPr>
          <w:p>
            <w:pPr>
              <w:pStyle w:val="TableParagraph"/>
              <w:spacing w:before="31"/>
              <w:ind w:left="35"/>
              <w:rPr>
                <w:sz w:val="18"/>
              </w:rPr>
            </w:pPr>
            <w:r>
              <w:rPr>
                <w:sz w:val="18"/>
              </w:rPr>
              <w:t>Accumulated depreciation</w:t>
            </w:r>
          </w:p>
        </w:tc>
        <w:tc>
          <w:tcPr>
            <w:tcW w:w="1165" w:type="dxa"/>
            <w:tcBorders>
              <w:bottom w:val="single" w:sz="8" w:space="0" w:color="000000"/>
            </w:tcBorders>
          </w:tcPr>
          <w:p>
            <w:pPr>
              <w:pStyle w:val="TableParagraph"/>
              <w:spacing w:before="31"/>
              <w:ind w:right="51"/>
              <w:jc w:val="right"/>
              <w:rPr>
                <w:sz w:val="18"/>
              </w:rPr>
            </w:pPr>
            <w:r>
              <w:rPr>
                <w:sz w:val="18"/>
              </w:rPr>
              <w:t>(560,846)</w:t>
            </w:r>
          </w:p>
        </w:tc>
      </w:tr>
      <w:tr>
        <w:trPr>
          <w:trHeight w:val="289" w:hRule="exact"/>
        </w:trPr>
        <w:tc>
          <w:tcPr>
            <w:tcW w:w="6360" w:type="dxa"/>
          </w:tcPr>
          <w:p>
            <w:pPr>
              <w:pStyle w:val="TableParagraph"/>
              <w:spacing w:before="46"/>
              <w:ind w:left="35"/>
              <w:rPr>
                <w:sz w:val="18"/>
              </w:rPr>
            </w:pPr>
            <w:r>
              <w:rPr>
                <w:sz w:val="18"/>
              </w:rPr>
              <w:t>Net book amount</w:t>
            </w:r>
          </w:p>
        </w:tc>
        <w:tc>
          <w:tcPr>
            <w:tcW w:w="1165" w:type="dxa"/>
            <w:tcBorders>
              <w:top w:val="single" w:sz="8" w:space="0" w:color="000000"/>
              <w:bottom w:val="single" w:sz="8" w:space="0" w:color="000000"/>
            </w:tcBorders>
          </w:tcPr>
          <w:p>
            <w:pPr>
              <w:pStyle w:val="TableParagraph"/>
              <w:spacing w:before="36"/>
              <w:ind w:left="405"/>
              <w:rPr>
                <w:sz w:val="18"/>
              </w:rPr>
            </w:pPr>
            <w:r>
              <w:rPr>
                <w:sz w:val="18"/>
              </w:rPr>
              <w:t>235,069</w:t>
            </w:r>
          </w:p>
        </w:tc>
      </w:tr>
      <w:tr>
        <w:trPr>
          <w:trHeight w:val="594" w:hRule="exact"/>
        </w:trPr>
        <w:tc>
          <w:tcPr>
            <w:tcW w:w="6360" w:type="dxa"/>
          </w:tcPr>
          <w:p>
            <w:pPr>
              <w:pStyle w:val="TableParagraph"/>
              <w:rPr>
                <w:b/>
                <w:sz w:val="18"/>
              </w:rPr>
            </w:pPr>
          </w:p>
          <w:p>
            <w:pPr>
              <w:pStyle w:val="TableParagraph"/>
              <w:spacing w:before="126"/>
              <w:ind w:left="35"/>
              <w:rPr>
                <w:b/>
                <w:sz w:val="18"/>
              </w:rPr>
            </w:pPr>
            <w:r>
              <w:rPr>
                <w:b/>
                <w:sz w:val="18"/>
              </w:rPr>
              <w:t>Year ended 31 December 2011</w:t>
            </w:r>
          </w:p>
        </w:tc>
        <w:tc>
          <w:tcPr>
            <w:tcW w:w="1165" w:type="dxa"/>
            <w:tcBorders>
              <w:top w:val="single" w:sz="8" w:space="0" w:color="000000"/>
            </w:tcBorders>
          </w:tcPr>
          <w:p>
            <w:pPr/>
          </w:p>
        </w:tc>
      </w:tr>
      <w:tr>
        <w:trPr>
          <w:trHeight w:val="292" w:hRule="exact"/>
        </w:trPr>
        <w:tc>
          <w:tcPr>
            <w:tcW w:w="6360" w:type="dxa"/>
          </w:tcPr>
          <w:p>
            <w:pPr>
              <w:pStyle w:val="TableParagraph"/>
              <w:spacing w:before="34"/>
              <w:ind w:left="35"/>
              <w:rPr>
                <w:sz w:val="18"/>
              </w:rPr>
            </w:pPr>
            <w:r>
              <w:rPr>
                <w:sz w:val="18"/>
              </w:rPr>
              <w:t>Opening net book amount</w:t>
            </w:r>
          </w:p>
        </w:tc>
        <w:tc>
          <w:tcPr>
            <w:tcW w:w="1165" w:type="dxa"/>
          </w:tcPr>
          <w:p>
            <w:pPr>
              <w:pStyle w:val="TableParagraph"/>
              <w:spacing w:before="34"/>
              <w:ind w:left="405"/>
              <w:rPr>
                <w:sz w:val="18"/>
              </w:rPr>
            </w:pPr>
            <w:r>
              <w:rPr>
                <w:sz w:val="18"/>
              </w:rPr>
              <w:t>235,069</w:t>
            </w:r>
          </w:p>
        </w:tc>
      </w:tr>
      <w:tr>
        <w:trPr>
          <w:trHeight w:val="289" w:hRule="exact"/>
        </w:trPr>
        <w:tc>
          <w:tcPr>
            <w:tcW w:w="6360" w:type="dxa"/>
          </w:tcPr>
          <w:p>
            <w:pPr>
              <w:pStyle w:val="TableParagraph"/>
              <w:spacing w:before="31"/>
              <w:ind w:left="35"/>
              <w:rPr>
                <w:sz w:val="18"/>
              </w:rPr>
            </w:pPr>
            <w:r>
              <w:rPr>
                <w:sz w:val="18"/>
              </w:rPr>
              <w:t>Write offs</w:t>
            </w:r>
          </w:p>
        </w:tc>
        <w:tc>
          <w:tcPr>
            <w:tcW w:w="1165" w:type="dxa"/>
          </w:tcPr>
          <w:p>
            <w:pPr>
              <w:pStyle w:val="TableParagraph"/>
              <w:spacing w:before="31"/>
              <w:ind w:right="296"/>
              <w:jc w:val="right"/>
              <w:rPr>
                <w:sz w:val="18"/>
              </w:rPr>
            </w:pPr>
            <w:r>
              <w:rPr>
                <w:w w:val="99"/>
                <w:sz w:val="18"/>
              </w:rPr>
              <w:t>-</w:t>
            </w:r>
          </w:p>
        </w:tc>
      </w:tr>
      <w:tr>
        <w:trPr>
          <w:trHeight w:val="290" w:hRule="exact"/>
        </w:trPr>
        <w:tc>
          <w:tcPr>
            <w:tcW w:w="6360" w:type="dxa"/>
          </w:tcPr>
          <w:p>
            <w:pPr>
              <w:pStyle w:val="TableParagraph"/>
              <w:spacing w:before="32"/>
              <w:ind w:left="35"/>
              <w:rPr>
                <w:sz w:val="18"/>
              </w:rPr>
            </w:pPr>
            <w:r>
              <w:rPr>
                <w:sz w:val="18"/>
              </w:rPr>
              <w:t>Additions</w:t>
            </w:r>
          </w:p>
        </w:tc>
        <w:tc>
          <w:tcPr>
            <w:tcW w:w="1165" w:type="dxa"/>
          </w:tcPr>
          <w:p>
            <w:pPr>
              <w:pStyle w:val="TableParagraph"/>
              <w:spacing w:before="32"/>
              <w:ind w:right="111"/>
              <w:jc w:val="right"/>
              <w:rPr>
                <w:sz w:val="18"/>
              </w:rPr>
            </w:pPr>
            <w:r>
              <w:rPr>
                <w:sz w:val="18"/>
              </w:rPr>
              <w:t>12,228</w:t>
            </w:r>
          </w:p>
        </w:tc>
      </w:tr>
      <w:tr>
        <w:trPr>
          <w:trHeight w:val="290" w:hRule="exact"/>
        </w:trPr>
        <w:tc>
          <w:tcPr>
            <w:tcW w:w="6360" w:type="dxa"/>
          </w:tcPr>
          <w:p>
            <w:pPr>
              <w:pStyle w:val="TableParagraph"/>
              <w:spacing w:before="32"/>
              <w:ind w:left="35"/>
              <w:rPr>
                <w:sz w:val="18"/>
              </w:rPr>
            </w:pPr>
            <w:r>
              <w:rPr>
                <w:sz w:val="18"/>
              </w:rPr>
              <w:t>Disposals</w:t>
            </w:r>
          </w:p>
        </w:tc>
        <w:tc>
          <w:tcPr>
            <w:tcW w:w="1165" w:type="dxa"/>
          </w:tcPr>
          <w:p>
            <w:pPr>
              <w:pStyle w:val="TableParagraph"/>
              <w:spacing w:before="32"/>
              <w:ind w:right="296"/>
              <w:jc w:val="right"/>
              <w:rPr>
                <w:sz w:val="18"/>
              </w:rPr>
            </w:pPr>
            <w:r>
              <w:rPr>
                <w:w w:val="99"/>
                <w:sz w:val="18"/>
              </w:rPr>
              <w:t>-</w:t>
            </w:r>
          </w:p>
        </w:tc>
      </w:tr>
      <w:tr>
        <w:trPr>
          <w:trHeight w:val="275" w:hRule="exact"/>
        </w:trPr>
        <w:tc>
          <w:tcPr>
            <w:tcW w:w="6360" w:type="dxa"/>
          </w:tcPr>
          <w:p>
            <w:pPr>
              <w:pStyle w:val="TableParagraph"/>
              <w:spacing w:before="32"/>
              <w:ind w:left="35"/>
              <w:rPr>
                <w:sz w:val="18"/>
              </w:rPr>
            </w:pPr>
            <w:r>
              <w:rPr>
                <w:sz w:val="18"/>
              </w:rPr>
              <w:t>Depreciation charge</w:t>
            </w:r>
          </w:p>
        </w:tc>
        <w:tc>
          <w:tcPr>
            <w:tcW w:w="1165" w:type="dxa"/>
            <w:tcBorders>
              <w:bottom w:val="single" w:sz="8" w:space="0" w:color="000000"/>
            </w:tcBorders>
          </w:tcPr>
          <w:p>
            <w:pPr>
              <w:pStyle w:val="TableParagraph"/>
              <w:spacing w:before="32"/>
              <w:ind w:right="52"/>
              <w:jc w:val="right"/>
              <w:rPr>
                <w:sz w:val="18"/>
              </w:rPr>
            </w:pPr>
            <w:r>
              <w:rPr>
                <w:sz w:val="18"/>
              </w:rPr>
              <w:t>(43,920)</w:t>
            </w:r>
          </w:p>
        </w:tc>
      </w:tr>
      <w:tr>
        <w:trPr>
          <w:trHeight w:val="291" w:hRule="exact"/>
        </w:trPr>
        <w:tc>
          <w:tcPr>
            <w:tcW w:w="6360" w:type="dxa"/>
          </w:tcPr>
          <w:p>
            <w:pPr>
              <w:pStyle w:val="TableParagraph"/>
              <w:spacing w:before="48"/>
              <w:ind w:left="35"/>
              <w:rPr>
                <w:sz w:val="18"/>
              </w:rPr>
            </w:pPr>
            <w:r>
              <w:rPr>
                <w:sz w:val="18"/>
              </w:rPr>
              <w:t>Closing net book amount</w:t>
            </w:r>
          </w:p>
        </w:tc>
        <w:tc>
          <w:tcPr>
            <w:tcW w:w="1165" w:type="dxa"/>
            <w:tcBorders>
              <w:top w:val="single" w:sz="8" w:space="0" w:color="000000"/>
              <w:bottom w:val="single" w:sz="8" w:space="0" w:color="000000"/>
            </w:tcBorders>
          </w:tcPr>
          <w:p>
            <w:pPr>
              <w:pStyle w:val="TableParagraph"/>
              <w:spacing w:before="37"/>
              <w:ind w:left="405"/>
              <w:rPr>
                <w:sz w:val="18"/>
              </w:rPr>
            </w:pPr>
            <w:r>
              <w:rPr>
                <w:sz w:val="18"/>
              </w:rPr>
              <w:t>203,377</w:t>
            </w:r>
          </w:p>
        </w:tc>
      </w:tr>
      <w:tr>
        <w:trPr>
          <w:trHeight w:val="884" w:hRule="exact"/>
        </w:trPr>
        <w:tc>
          <w:tcPr>
            <w:tcW w:w="6360" w:type="dxa"/>
          </w:tcPr>
          <w:p>
            <w:pPr>
              <w:pStyle w:val="TableParagraph"/>
              <w:rPr>
                <w:b/>
                <w:sz w:val="18"/>
              </w:rPr>
            </w:pPr>
          </w:p>
          <w:p>
            <w:pPr>
              <w:pStyle w:val="TableParagraph"/>
              <w:spacing w:before="126"/>
              <w:ind w:left="35"/>
              <w:rPr>
                <w:b/>
                <w:sz w:val="18"/>
              </w:rPr>
            </w:pPr>
            <w:r>
              <w:rPr>
                <w:b/>
                <w:sz w:val="18"/>
              </w:rPr>
              <w:t>At 31 December 2011</w:t>
            </w:r>
          </w:p>
          <w:p>
            <w:pPr>
              <w:pStyle w:val="TableParagraph"/>
              <w:spacing w:before="86"/>
              <w:ind w:left="35"/>
              <w:rPr>
                <w:sz w:val="18"/>
              </w:rPr>
            </w:pPr>
            <w:r>
              <w:rPr>
                <w:sz w:val="18"/>
              </w:rPr>
              <w:t>Cost</w:t>
            </w:r>
          </w:p>
        </w:tc>
        <w:tc>
          <w:tcPr>
            <w:tcW w:w="1165" w:type="dxa"/>
            <w:tcBorders>
              <w:top w:val="single" w:sz="8" w:space="0" w:color="000000"/>
            </w:tcBorders>
          </w:tcPr>
          <w:p>
            <w:pPr>
              <w:pStyle w:val="TableParagraph"/>
              <w:rPr>
                <w:b/>
                <w:sz w:val="18"/>
              </w:rPr>
            </w:pPr>
          </w:p>
          <w:p>
            <w:pPr>
              <w:pStyle w:val="TableParagraph"/>
              <w:rPr>
                <w:b/>
                <w:sz w:val="18"/>
              </w:rPr>
            </w:pPr>
          </w:p>
          <w:p>
            <w:pPr>
              <w:pStyle w:val="TableParagraph"/>
              <w:spacing w:before="6"/>
              <w:rPr>
                <w:b/>
                <w:sz w:val="17"/>
              </w:rPr>
            </w:pPr>
          </w:p>
          <w:p>
            <w:pPr>
              <w:pStyle w:val="TableParagraph"/>
              <w:ind w:left="405"/>
              <w:rPr>
                <w:sz w:val="18"/>
              </w:rPr>
            </w:pPr>
            <w:r>
              <w:rPr>
                <w:sz w:val="18"/>
              </w:rPr>
              <w:t>808,144</w:t>
            </w:r>
          </w:p>
        </w:tc>
      </w:tr>
      <w:tr>
        <w:trPr>
          <w:trHeight w:val="275" w:hRule="exact"/>
        </w:trPr>
        <w:tc>
          <w:tcPr>
            <w:tcW w:w="6360" w:type="dxa"/>
          </w:tcPr>
          <w:p>
            <w:pPr>
              <w:pStyle w:val="TableParagraph"/>
              <w:spacing w:before="32"/>
              <w:ind w:left="35"/>
              <w:rPr>
                <w:sz w:val="18"/>
              </w:rPr>
            </w:pPr>
            <w:r>
              <w:rPr>
                <w:sz w:val="18"/>
              </w:rPr>
              <w:t>Accumulated depreciation</w:t>
            </w:r>
          </w:p>
        </w:tc>
        <w:tc>
          <w:tcPr>
            <w:tcW w:w="1165" w:type="dxa"/>
            <w:tcBorders>
              <w:bottom w:val="single" w:sz="8" w:space="0" w:color="000000"/>
            </w:tcBorders>
          </w:tcPr>
          <w:p>
            <w:pPr>
              <w:pStyle w:val="TableParagraph"/>
              <w:spacing w:before="32"/>
              <w:ind w:right="51"/>
              <w:jc w:val="right"/>
              <w:rPr>
                <w:sz w:val="18"/>
              </w:rPr>
            </w:pPr>
            <w:r>
              <w:rPr>
                <w:sz w:val="18"/>
              </w:rPr>
              <w:t>(604,767)</w:t>
            </w:r>
          </w:p>
        </w:tc>
      </w:tr>
      <w:tr>
        <w:trPr>
          <w:trHeight w:val="304" w:hRule="exact"/>
        </w:trPr>
        <w:tc>
          <w:tcPr>
            <w:tcW w:w="6360" w:type="dxa"/>
          </w:tcPr>
          <w:p>
            <w:pPr>
              <w:pStyle w:val="TableParagraph"/>
              <w:spacing w:before="41"/>
              <w:ind w:left="35"/>
              <w:rPr>
                <w:sz w:val="18"/>
              </w:rPr>
            </w:pPr>
            <w:r>
              <w:rPr>
                <w:sz w:val="18"/>
              </w:rPr>
              <w:t>Net book amount</w:t>
            </w:r>
          </w:p>
        </w:tc>
        <w:tc>
          <w:tcPr>
            <w:tcW w:w="1165" w:type="dxa"/>
            <w:tcBorders>
              <w:top w:val="single" w:sz="8" w:space="0" w:color="000000"/>
              <w:bottom w:val="single" w:sz="24" w:space="0" w:color="000000"/>
            </w:tcBorders>
          </w:tcPr>
          <w:p>
            <w:pPr>
              <w:pStyle w:val="TableParagraph"/>
              <w:spacing w:before="30"/>
              <w:ind w:left="405"/>
              <w:rPr>
                <w:sz w:val="18"/>
              </w:rPr>
            </w:pPr>
            <w:r>
              <w:rPr>
                <w:sz w:val="18"/>
              </w:rPr>
              <w:t>203,377</w:t>
            </w:r>
          </w:p>
        </w:tc>
      </w:tr>
      <w:tr>
        <w:trPr>
          <w:trHeight w:val="892" w:hRule="exact"/>
        </w:trPr>
        <w:tc>
          <w:tcPr>
            <w:tcW w:w="6360" w:type="dxa"/>
          </w:tcPr>
          <w:p>
            <w:pPr>
              <w:pStyle w:val="TableParagraph"/>
              <w:rPr>
                <w:b/>
                <w:sz w:val="18"/>
              </w:rPr>
            </w:pPr>
          </w:p>
          <w:p>
            <w:pPr>
              <w:pStyle w:val="TableParagraph"/>
              <w:spacing w:before="139"/>
              <w:ind w:left="35"/>
              <w:rPr>
                <w:b/>
                <w:sz w:val="18"/>
              </w:rPr>
            </w:pPr>
            <w:r>
              <w:rPr>
                <w:b/>
                <w:sz w:val="18"/>
              </w:rPr>
              <w:t>Year ended 31 December 2012</w:t>
            </w:r>
          </w:p>
          <w:p>
            <w:pPr>
              <w:pStyle w:val="TableParagraph"/>
              <w:spacing w:before="81"/>
              <w:ind w:left="35"/>
              <w:rPr>
                <w:sz w:val="18"/>
              </w:rPr>
            </w:pPr>
            <w:r>
              <w:rPr>
                <w:sz w:val="18"/>
              </w:rPr>
              <w:t>Opening net book amount</w:t>
            </w:r>
          </w:p>
        </w:tc>
        <w:tc>
          <w:tcPr>
            <w:tcW w:w="1165" w:type="dxa"/>
            <w:tcBorders>
              <w:top w:val="single" w:sz="24" w:space="0" w:color="000000"/>
            </w:tcBorders>
          </w:tcPr>
          <w:p>
            <w:pPr>
              <w:pStyle w:val="TableParagraph"/>
              <w:rPr>
                <w:b/>
                <w:sz w:val="18"/>
              </w:rPr>
            </w:pPr>
          </w:p>
          <w:p>
            <w:pPr>
              <w:pStyle w:val="TableParagraph"/>
              <w:rPr>
                <w:b/>
                <w:sz w:val="18"/>
              </w:rPr>
            </w:pPr>
          </w:p>
          <w:p>
            <w:pPr>
              <w:pStyle w:val="TableParagraph"/>
              <w:spacing w:before="5"/>
              <w:rPr>
                <w:b/>
                <w:sz w:val="16"/>
              </w:rPr>
            </w:pPr>
          </w:p>
          <w:p>
            <w:pPr>
              <w:pStyle w:val="TableParagraph"/>
              <w:ind w:left="405"/>
              <w:rPr>
                <w:b/>
                <w:sz w:val="18"/>
              </w:rPr>
            </w:pPr>
            <w:r>
              <w:rPr>
                <w:b/>
                <w:sz w:val="18"/>
              </w:rPr>
              <w:t>203,377</w:t>
            </w:r>
          </w:p>
        </w:tc>
      </w:tr>
      <w:tr>
        <w:trPr>
          <w:trHeight w:val="290" w:hRule="exact"/>
        </w:trPr>
        <w:tc>
          <w:tcPr>
            <w:tcW w:w="6360" w:type="dxa"/>
          </w:tcPr>
          <w:p>
            <w:pPr>
              <w:pStyle w:val="TableParagraph"/>
              <w:spacing w:before="32"/>
              <w:ind w:left="35"/>
              <w:rPr>
                <w:sz w:val="18"/>
              </w:rPr>
            </w:pPr>
            <w:r>
              <w:rPr>
                <w:sz w:val="18"/>
              </w:rPr>
              <w:t>Write offs</w:t>
            </w:r>
          </w:p>
        </w:tc>
        <w:tc>
          <w:tcPr>
            <w:tcW w:w="1165" w:type="dxa"/>
          </w:tcPr>
          <w:p>
            <w:pPr>
              <w:pStyle w:val="TableParagraph"/>
              <w:spacing w:before="32"/>
              <w:ind w:right="296"/>
              <w:jc w:val="right"/>
              <w:rPr>
                <w:b/>
                <w:sz w:val="18"/>
              </w:rPr>
            </w:pPr>
            <w:r>
              <w:rPr>
                <w:b/>
                <w:w w:val="99"/>
                <w:sz w:val="18"/>
              </w:rPr>
              <w:t>-</w:t>
            </w:r>
          </w:p>
        </w:tc>
      </w:tr>
      <w:tr>
        <w:trPr>
          <w:trHeight w:val="289" w:hRule="exact"/>
        </w:trPr>
        <w:tc>
          <w:tcPr>
            <w:tcW w:w="6360" w:type="dxa"/>
          </w:tcPr>
          <w:p>
            <w:pPr>
              <w:pStyle w:val="TableParagraph"/>
              <w:spacing w:before="32"/>
              <w:ind w:left="35"/>
              <w:rPr>
                <w:sz w:val="18"/>
              </w:rPr>
            </w:pPr>
            <w:r>
              <w:rPr>
                <w:sz w:val="18"/>
              </w:rPr>
              <w:t>Additions</w:t>
            </w:r>
          </w:p>
        </w:tc>
        <w:tc>
          <w:tcPr>
            <w:tcW w:w="1165" w:type="dxa"/>
          </w:tcPr>
          <w:p>
            <w:pPr>
              <w:pStyle w:val="TableParagraph"/>
              <w:spacing w:before="32"/>
              <w:ind w:right="111"/>
              <w:jc w:val="right"/>
              <w:rPr>
                <w:b/>
                <w:sz w:val="18"/>
              </w:rPr>
            </w:pPr>
            <w:r>
              <w:rPr>
                <w:b/>
                <w:sz w:val="18"/>
              </w:rPr>
              <w:t>16,853</w:t>
            </w:r>
          </w:p>
        </w:tc>
      </w:tr>
      <w:tr>
        <w:trPr>
          <w:trHeight w:val="289" w:hRule="exact"/>
        </w:trPr>
        <w:tc>
          <w:tcPr>
            <w:tcW w:w="6360" w:type="dxa"/>
          </w:tcPr>
          <w:p>
            <w:pPr>
              <w:pStyle w:val="TableParagraph"/>
              <w:spacing w:before="31"/>
              <w:ind w:left="35"/>
              <w:rPr>
                <w:sz w:val="18"/>
              </w:rPr>
            </w:pPr>
            <w:r>
              <w:rPr>
                <w:sz w:val="18"/>
              </w:rPr>
              <w:t>Disposals</w:t>
            </w:r>
          </w:p>
        </w:tc>
        <w:tc>
          <w:tcPr>
            <w:tcW w:w="1165" w:type="dxa"/>
          </w:tcPr>
          <w:p>
            <w:pPr>
              <w:pStyle w:val="TableParagraph"/>
              <w:spacing w:before="31"/>
              <w:ind w:right="296"/>
              <w:jc w:val="right"/>
              <w:rPr>
                <w:b/>
                <w:sz w:val="18"/>
              </w:rPr>
            </w:pPr>
            <w:r>
              <w:rPr>
                <w:b/>
                <w:w w:val="99"/>
                <w:sz w:val="18"/>
              </w:rPr>
              <w:t>-</w:t>
            </w:r>
          </w:p>
        </w:tc>
      </w:tr>
      <w:tr>
        <w:trPr>
          <w:trHeight w:val="280" w:hRule="exact"/>
        </w:trPr>
        <w:tc>
          <w:tcPr>
            <w:tcW w:w="6360" w:type="dxa"/>
          </w:tcPr>
          <w:p>
            <w:pPr>
              <w:pStyle w:val="TableParagraph"/>
              <w:spacing w:before="32"/>
              <w:ind w:left="35"/>
              <w:rPr>
                <w:sz w:val="18"/>
              </w:rPr>
            </w:pPr>
            <w:r>
              <w:rPr>
                <w:sz w:val="18"/>
              </w:rPr>
              <w:t>Depreciation charge</w:t>
            </w:r>
          </w:p>
        </w:tc>
        <w:tc>
          <w:tcPr>
            <w:tcW w:w="1165" w:type="dxa"/>
            <w:tcBorders>
              <w:bottom w:val="single" w:sz="8" w:space="0" w:color="000000"/>
            </w:tcBorders>
          </w:tcPr>
          <w:p>
            <w:pPr>
              <w:pStyle w:val="TableParagraph"/>
              <w:spacing w:before="32"/>
              <w:ind w:right="52"/>
              <w:jc w:val="right"/>
              <w:rPr>
                <w:b/>
                <w:sz w:val="18"/>
              </w:rPr>
            </w:pPr>
            <w:r>
              <w:rPr>
                <w:b/>
                <w:sz w:val="18"/>
              </w:rPr>
              <w:t>(48,088)</w:t>
            </w:r>
          </w:p>
        </w:tc>
      </w:tr>
      <w:tr>
        <w:trPr>
          <w:trHeight w:val="289" w:hRule="exact"/>
        </w:trPr>
        <w:tc>
          <w:tcPr>
            <w:tcW w:w="6360" w:type="dxa"/>
          </w:tcPr>
          <w:p>
            <w:pPr>
              <w:pStyle w:val="TableParagraph"/>
              <w:spacing w:before="40"/>
              <w:ind w:left="35"/>
              <w:rPr>
                <w:sz w:val="18"/>
              </w:rPr>
            </w:pPr>
            <w:r>
              <w:rPr>
                <w:sz w:val="18"/>
              </w:rPr>
              <w:t>Closing net book amount</w:t>
            </w:r>
          </w:p>
        </w:tc>
        <w:tc>
          <w:tcPr>
            <w:tcW w:w="1165" w:type="dxa"/>
            <w:tcBorders>
              <w:top w:val="single" w:sz="8" w:space="0" w:color="000000"/>
              <w:bottom w:val="single" w:sz="8" w:space="0" w:color="000000"/>
            </w:tcBorders>
          </w:tcPr>
          <w:p>
            <w:pPr>
              <w:pStyle w:val="TableParagraph"/>
              <w:spacing w:before="29"/>
              <w:ind w:left="405"/>
              <w:rPr>
                <w:b/>
                <w:sz w:val="18"/>
              </w:rPr>
            </w:pPr>
            <w:r>
              <w:rPr>
                <w:b/>
                <w:sz w:val="18"/>
              </w:rPr>
              <w:t>172,142</w:t>
            </w:r>
          </w:p>
        </w:tc>
      </w:tr>
      <w:tr>
        <w:trPr>
          <w:trHeight w:val="881" w:hRule="exact"/>
        </w:trPr>
        <w:tc>
          <w:tcPr>
            <w:tcW w:w="6360" w:type="dxa"/>
          </w:tcPr>
          <w:p>
            <w:pPr>
              <w:pStyle w:val="TableParagraph"/>
              <w:rPr>
                <w:b/>
                <w:sz w:val="18"/>
              </w:rPr>
            </w:pPr>
          </w:p>
          <w:p>
            <w:pPr>
              <w:pStyle w:val="TableParagraph"/>
              <w:spacing w:before="127"/>
              <w:ind w:left="35"/>
              <w:rPr>
                <w:b/>
                <w:sz w:val="18"/>
              </w:rPr>
            </w:pPr>
            <w:r>
              <w:rPr>
                <w:b/>
                <w:sz w:val="18"/>
              </w:rPr>
              <w:t>At 31 December 2012</w:t>
            </w:r>
          </w:p>
          <w:p>
            <w:pPr>
              <w:pStyle w:val="TableParagraph"/>
              <w:spacing w:before="81"/>
              <w:ind w:left="35"/>
              <w:rPr>
                <w:sz w:val="18"/>
              </w:rPr>
            </w:pPr>
            <w:r>
              <w:rPr>
                <w:sz w:val="18"/>
              </w:rPr>
              <w:t>Cost</w:t>
            </w:r>
          </w:p>
        </w:tc>
        <w:tc>
          <w:tcPr>
            <w:tcW w:w="1165" w:type="dxa"/>
            <w:tcBorders>
              <w:top w:val="single" w:sz="8" w:space="0" w:color="000000"/>
            </w:tcBorders>
          </w:tcPr>
          <w:p>
            <w:pPr>
              <w:pStyle w:val="TableParagraph"/>
              <w:rPr>
                <w:b/>
                <w:sz w:val="18"/>
              </w:rPr>
            </w:pPr>
          </w:p>
          <w:p>
            <w:pPr>
              <w:pStyle w:val="TableParagraph"/>
              <w:rPr>
                <w:b/>
                <w:sz w:val="18"/>
              </w:rPr>
            </w:pPr>
          </w:p>
          <w:p>
            <w:pPr>
              <w:pStyle w:val="TableParagraph"/>
              <w:spacing w:before="2"/>
              <w:rPr>
                <w:b/>
                <w:sz w:val="17"/>
              </w:rPr>
            </w:pPr>
          </w:p>
          <w:p>
            <w:pPr>
              <w:pStyle w:val="TableParagraph"/>
              <w:ind w:left="405"/>
              <w:rPr>
                <w:b/>
                <w:sz w:val="18"/>
              </w:rPr>
            </w:pPr>
            <w:r>
              <w:rPr>
                <w:b/>
                <w:sz w:val="18"/>
              </w:rPr>
              <w:t>824,997</w:t>
            </w:r>
          </w:p>
        </w:tc>
      </w:tr>
      <w:tr>
        <w:trPr>
          <w:trHeight w:val="280" w:hRule="exact"/>
        </w:trPr>
        <w:tc>
          <w:tcPr>
            <w:tcW w:w="6360" w:type="dxa"/>
          </w:tcPr>
          <w:p>
            <w:pPr>
              <w:pStyle w:val="TableParagraph"/>
              <w:spacing w:before="32"/>
              <w:ind w:left="35"/>
              <w:rPr>
                <w:sz w:val="18"/>
              </w:rPr>
            </w:pPr>
            <w:r>
              <w:rPr>
                <w:sz w:val="18"/>
              </w:rPr>
              <w:t>Accumulated depreciation</w:t>
            </w:r>
          </w:p>
        </w:tc>
        <w:tc>
          <w:tcPr>
            <w:tcW w:w="1165" w:type="dxa"/>
            <w:tcBorders>
              <w:bottom w:val="single" w:sz="9" w:space="0" w:color="000000"/>
            </w:tcBorders>
          </w:tcPr>
          <w:p>
            <w:pPr>
              <w:pStyle w:val="TableParagraph"/>
              <w:spacing w:before="32"/>
              <w:ind w:right="51"/>
              <w:jc w:val="right"/>
              <w:rPr>
                <w:b/>
                <w:sz w:val="18"/>
              </w:rPr>
            </w:pPr>
            <w:r>
              <w:rPr>
                <w:b/>
                <w:sz w:val="18"/>
              </w:rPr>
              <w:t>(652,855)</w:t>
            </w:r>
          </w:p>
        </w:tc>
      </w:tr>
      <w:tr>
        <w:trPr>
          <w:trHeight w:val="304" w:hRule="exact"/>
        </w:trPr>
        <w:tc>
          <w:tcPr>
            <w:tcW w:w="6360" w:type="dxa"/>
          </w:tcPr>
          <w:p>
            <w:pPr>
              <w:pStyle w:val="TableParagraph"/>
              <w:spacing w:before="35"/>
              <w:ind w:left="35"/>
              <w:rPr>
                <w:sz w:val="18"/>
              </w:rPr>
            </w:pPr>
            <w:r>
              <w:rPr>
                <w:sz w:val="18"/>
              </w:rPr>
              <w:t>Net book amount</w:t>
            </w:r>
          </w:p>
        </w:tc>
        <w:tc>
          <w:tcPr>
            <w:tcW w:w="1165" w:type="dxa"/>
            <w:tcBorders>
              <w:top w:val="single" w:sz="9" w:space="0" w:color="000000"/>
              <w:bottom w:val="single" w:sz="24" w:space="0" w:color="000000"/>
            </w:tcBorders>
          </w:tcPr>
          <w:p>
            <w:pPr>
              <w:pStyle w:val="TableParagraph"/>
              <w:spacing w:before="24"/>
              <w:ind w:left="405"/>
              <w:rPr>
                <w:b/>
                <w:sz w:val="18"/>
              </w:rPr>
            </w:pPr>
            <w:r>
              <w:rPr>
                <w:b/>
                <w:sz w:val="18"/>
              </w:rPr>
              <w:t>172,142</w:t>
            </w:r>
          </w:p>
        </w:tc>
      </w:tr>
    </w:tbl>
    <w:p>
      <w:pPr>
        <w:spacing w:after="0"/>
        <w:rPr>
          <w:sz w:val="18"/>
        </w:rPr>
        <w:sectPr>
          <w:pgSz w:w="11930" w:h="16850"/>
          <w:pgMar w:header="1035" w:footer="507" w:top="1460" w:bottom="700" w:left="900" w:right="1680"/>
        </w:sectPr>
      </w:pPr>
    </w:p>
    <w:p>
      <w:pPr>
        <w:pStyle w:val="BodyText"/>
        <w:spacing w:before="10"/>
        <w:rPr>
          <w:b/>
          <w:sz w:val="23"/>
        </w:rPr>
      </w:pPr>
    </w:p>
    <w:p>
      <w:pPr>
        <w:spacing w:before="65"/>
        <w:ind w:left="147" w:right="685" w:firstLine="0"/>
        <w:jc w:val="left"/>
        <w:rPr>
          <w:b/>
          <w:sz w:val="28"/>
        </w:rPr>
      </w:pPr>
      <w:r>
        <w:rPr>
          <w:b/>
          <w:sz w:val="28"/>
        </w:rPr>
        <w:t>Notes to the Financial Statements</w:t>
      </w:r>
    </w:p>
    <w:p>
      <w:pPr>
        <w:spacing w:before="62"/>
        <w:ind w:left="147" w:right="685" w:firstLine="0"/>
        <w:jc w:val="left"/>
        <w:rPr>
          <w:b/>
          <w:sz w:val="28"/>
        </w:rPr>
      </w:pPr>
      <w:r>
        <w:rPr>
          <w:b/>
          <w:sz w:val="28"/>
        </w:rPr>
        <w:t>For the Year Ended 31 December</w:t>
      </w:r>
      <w:r>
        <w:rPr>
          <w:b/>
          <w:spacing w:val="-52"/>
          <w:sz w:val="28"/>
        </w:rPr>
        <w:t> </w:t>
      </w:r>
      <w:r>
        <w:rPr>
          <w:b/>
          <w:sz w:val="28"/>
        </w:rPr>
        <w:t>2012</w:t>
      </w:r>
    </w:p>
    <w:p>
      <w:pPr>
        <w:pStyle w:val="BodyText"/>
        <w:spacing w:before="4"/>
        <w:rPr>
          <w:b/>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1"/>
        <w:gridCol w:w="7078"/>
        <w:gridCol w:w="1517"/>
        <w:gridCol w:w="1077"/>
      </w:tblGrid>
      <w:tr>
        <w:trPr>
          <w:trHeight w:val="566" w:hRule="exact"/>
        </w:trPr>
        <w:tc>
          <w:tcPr>
            <w:tcW w:w="281" w:type="dxa"/>
          </w:tcPr>
          <w:p>
            <w:pPr>
              <w:pStyle w:val="TableParagraph"/>
              <w:spacing w:before="77"/>
              <w:ind w:left="35"/>
              <w:rPr>
                <w:b/>
                <w:sz w:val="18"/>
              </w:rPr>
            </w:pPr>
            <w:r>
              <w:rPr>
                <w:b/>
                <w:w w:val="99"/>
                <w:sz w:val="18"/>
              </w:rPr>
              <w:t>8</w:t>
            </w:r>
          </w:p>
        </w:tc>
        <w:tc>
          <w:tcPr>
            <w:tcW w:w="7078" w:type="dxa"/>
          </w:tcPr>
          <w:p>
            <w:pPr>
              <w:pStyle w:val="TableParagraph"/>
              <w:spacing w:before="77"/>
              <w:ind w:left="145" w:right="4442"/>
              <w:rPr>
                <w:b/>
                <w:sz w:val="18"/>
              </w:rPr>
            </w:pPr>
            <w:r>
              <w:rPr>
                <w:b/>
                <w:sz w:val="18"/>
              </w:rPr>
              <w:t>Intangible assets</w:t>
            </w:r>
          </w:p>
        </w:tc>
        <w:tc>
          <w:tcPr>
            <w:tcW w:w="1517" w:type="dxa"/>
          </w:tcPr>
          <w:p>
            <w:pPr>
              <w:pStyle w:val="TableParagraph"/>
              <w:rPr>
                <w:b/>
                <w:sz w:val="18"/>
              </w:rPr>
            </w:pPr>
          </w:p>
          <w:p>
            <w:pPr>
              <w:pStyle w:val="TableParagraph"/>
              <w:spacing w:before="110"/>
              <w:ind w:left="480"/>
              <w:rPr>
                <w:b/>
                <w:sz w:val="18"/>
              </w:rPr>
            </w:pPr>
            <w:r>
              <w:rPr>
                <w:b/>
                <w:sz w:val="18"/>
              </w:rPr>
              <w:t>2012</w:t>
            </w:r>
          </w:p>
        </w:tc>
        <w:tc>
          <w:tcPr>
            <w:tcW w:w="1077" w:type="dxa"/>
          </w:tcPr>
          <w:p>
            <w:pPr>
              <w:pStyle w:val="TableParagraph"/>
              <w:rPr>
                <w:b/>
                <w:sz w:val="18"/>
              </w:rPr>
            </w:pPr>
          </w:p>
          <w:p>
            <w:pPr>
              <w:pStyle w:val="TableParagraph"/>
              <w:spacing w:before="110"/>
              <w:ind w:left="255"/>
              <w:rPr>
                <w:b/>
                <w:sz w:val="18"/>
              </w:rPr>
            </w:pPr>
            <w:r>
              <w:rPr>
                <w:b/>
                <w:sz w:val="18"/>
              </w:rPr>
              <w:t>2011</w:t>
            </w:r>
          </w:p>
        </w:tc>
      </w:tr>
      <w:tr>
        <w:trPr>
          <w:trHeight w:val="317" w:hRule="exact"/>
        </w:trPr>
        <w:tc>
          <w:tcPr>
            <w:tcW w:w="281" w:type="dxa"/>
          </w:tcPr>
          <w:p>
            <w:pPr/>
          </w:p>
        </w:tc>
        <w:tc>
          <w:tcPr>
            <w:tcW w:w="7078" w:type="dxa"/>
          </w:tcPr>
          <w:p>
            <w:pPr/>
          </w:p>
        </w:tc>
        <w:tc>
          <w:tcPr>
            <w:tcW w:w="1517" w:type="dxa"/>
          </w:tcPr>
          <w:p>
            <w:pPr>
              <w:pStyle w:val="TableParagraph"/>
              <w:spacing w:before="22"/>
              <w:ind w:right="155"/>
              <w:jc w:val="center"/>
              <w:rPr>
                <w:b/>
                <w:sz w:val="18"/>
              </w:rPr>
            </w:pPr>
            <w:r>
              <w:rPr>
                <w:b/>
                <w:w w:val="99"/>
                <w:sz w:val="18"/>
              </w:rPr>
              <w:t>$</w:t>
            </w:r>
          </w:p>
        </w:tc>
        <w:tc>
          <w:tcPr>
            <w:tcW w:w="1077" w:type="dxa"/>
          </w:tcPr>
          <w:p>
            <w:pPr>
              <w:pStyle w:val="TableParagraph"/>
              <w:spacing w:before="22"/>
              <w:ind w:right="166"/>
              <w:jc w:val="center"/>
              <w:rPr>
                <w:b/>
                <w:sz w:val="18"/>
              </w:rPr>
            </w:pPr>
            <w:r>
              <w:rPr>
                <w:b/>
                <w:w w:val="99"/>
                <w:sz w:val="18"/>
              </w:rPr>
              <w:t>$</w:t>
            </w:r>
          </w:p>
        </w:tc>
      </w:tr>
      <w:tr>
        <w:trPr>
          <w:trHeight w:val="294" w:hRule="exact"/>
        </w:trPr>
        <w:tc>
          <w:tcPr>
            <w:tcW w:w="281" w:type="dxa"/>
          </w:tcPr>
          <w:p>
            <w:pPr/>
          </w:p>
        </w:tc>
        <w:tc>
          <w:tcPr>
            <w:tcW w:w="7078" w:type="dxa"/>
          </w:tcPr>
          <w:p>
            <w:pPr>
              <w:pStyle w:val="TableParagraph"/>
              <w:spacing w:before="68"/>
              <w:ind w:left="195" w:right="4442"/>
              <w:rPr>
                <w:b/>
                <w:sz w:val="18"/>
              </w:rPr>
            </w:pPr>
            <w:r>
              <w:rPr>
                <w:b/>
                <w:sz w:val="18"/>
              </w:rPr>
              <w:t>Transmission start up fee</w:t>
            </w:r>
          </w:p>
        </w:tc>
        <w:tc>
          <w:tcPr>
            <w:tcW w:w="1517" w:type="dxa"/>
          </w:tcPr>
          <w:p>
            <w:pPr/>
          </w:p>
        </w:tc>
        <w:tc>
          <w:tcPr>
            <w:tcW w:w="1077" w:type="dxa"/>
          </w:tcPr>
          <w:p>
            <w:pPr/>
          </w:p>
        </w:tc>
      </w:tr>
      <w:tr>
        <w:trPr>
          <w:trHeight w:val="246" w:hRule="exact"/>
        </w:trPr>
        <w:tc>
          <w:tcPr>
            <w:tcW w:w="281" w:type="dxa"/>
          </w:tcPr>
          <w:p>
            <w:pPr/>
          </w:p>
        </w:tc>
        <w:tc>
          <w:tcPr>
            <w:tcW w:w="7078" w:type="dxa"/>
          </w:tcPr>
          <w:p>
            <w:pPr>
              <w:pStyle w:val="TableParagraph"/>
              <w:ind w:left="195" w:right="4442"/>
              <w:rPr>
                <w:sz w:val="18"/>
              </w:rPr>
            </w:pPr>
            <w:r>
              <w:rPr>
                <w:sz w:val="18"/>
              </w:rPr>
              <w:t>Cost</w:t>
            </w:r>
          </w:p>
        </w:tc>
        <w:tc>
          <w:tcPr>
            <w:tcW w:w="1517" w:type="dxa"/>
          </w:tcPr>
          <w:p>
            <w:pPr>
              <w:pStyle w:val="TableParagraph"/>
              <w:ind w:right="313"/>
              <w:jc w:val="right"/>
              <w:rPr>
                <w:b/>
                <w:sz w:val="18"/>
              </w:rPr>
            </w:pPr>
            <w:r>
              <w:rPr>
                <w:b/>
                <w:sz w:val="18"/>
              </w:rPr>
              <w:t>400,000</w:t>
            </w:r>
          </w:p>
        </w:tc>
        <w:tc>
          <w:tcPr>
            <w:tcW w:w="1077" w:type="dxa"/>
          </w:tcPr>
          <w:p>
            <w:pPr>
              <w:pStyle w:val="TableParagraph"/>
              <w:ind w:left="332"/>
              <w:rPr>
                <w:sz w:val="18"/>
              </w:rPr>
            </w:pPr>
            <w:r>
              <w:rPr>
                <w:sz w:val="18"/>
              </w:rPr>
              <w:t>400,000</w:t>
            </w:r>
          </w:p>
        </w:tc>
      </w:tr>
      <w:tr>
        <w:trPr>
          <w:trHeight w:val="474" w:hRule="exact"/>
        </w:trPr>
        <w:tc>
          <w:tcPr>
            <w:tcW w:w="281" w:type="dxa"/>
          </w:tcPr>
          <w:p>
            <w:pPr/>
          </w:p>
        </w:tc>
        <w:tc>
          <w:tcPr>
            <w:tcW w:w="7078" w:type="dxa"/>
          </w:tcPr>
          <w:p>
            <w:pPr>
              <w:pStyle w:val="TableParagraph"/>
              <w:spacing w:line="247" w:lineRule="auto" w:before="20"/>
              <w:ind w:left="195" w:right="4442"/>
              <w:rPr>
                <w:sz w:val="18"/>
              </w:rPr>
            </w:pPr>
            <w:r>
              <w:rPr>
                <w:sz w:val="18"/>
              </w:rPr>
              <w:t>Accumulated amortisation and impairment</w:t>
            </w:r>
          </w:p>
        </w:tc>
        <w:tc>
          <w:tcPr>
            <w:tcW w:w="1517" w:type="dxa"/>
            <w:tcBorders>
              <w:bottom w:val="single" w:sz="8" w:space="0" w:color="000000"/>
            </w:tcBorders>
          </w:tcPr>
          <w:p>
            <w:pPr>
              <w:pStyle w:val="TableParagraph"/>
              <w:spacing w:before="3"/>
              <w:rPr>
                <w:b/>
                <w:sz w:val="20"/>
              </w:rPr>
            </w:pPr>
          </w:p>
          <w:p>
            <w:pPr>
              <w:pStyle w:val="TableParagraph"/>
              <w:spacing w:before="1"/>
              <w:ind w:right="253"/>
              <w:jc w:val="right"/>
              <w:rPr>
                <w:b/>
                <w:sz w:val="18"/>
              </w:rPr>
            </w:pPr>
            <w:r>
              <w:rPr>
                <w:b/>
                <w:sz w:val="18"/>
              </w:rPr>
              <w:t>(281,431)</w:t>
            </w:r>
          </w:p>
        </w:tc>
        <w:tc>
          <w:tcPr>
            <w:tcW w:w="1077" w:type="dxa"/>
            <w:tcBorders>
              <w:bottom w:val="single" w:sz="8" w:space="0" w:color="000000"/>
            </w:tcBorders>
          </w:tcPr>
          <w:p>
            <w:pPr>
              <w:pStyle w:val="TableParagraph"/>
              <w:spacing w:before="3"/>
              <w:rPr>
                <w:b/>
                <w:sz w:val="20"/>
              </w:rPr>
            </w:pPr>
          </w:p>
          <w:p>
            <w:pPr>
              <w:pStyle w:val="TableParagraph"/>
              <w:spacing w:before="1"/>
              <w:ind w:left="272"/>
              <w:rPr>
                <w:sz w:val="18"/>
              </w:rPr>
            </w:pPr>
            <w:r>
              <w:rPr>
                <w:sz w:val="18"/>
              </w:rPr>
              <w:t>(241,431)</w:t>
            </w:r>
          </w:p>
        </w:tc>
      </w:tr>
      <w:tr>
        <w:trPr>
          <w:trHeight w:val="338" w:hRule="exact"/>
        </w:trPr>
        <w:tc>
          <w:tcPr>
            <w:tcW w:w="281" w:type="dxa"/>
          </w:tcPr>
          <w:p>
            <w:pPr/>
          </w:p>
        </w:tc>
        <w:tc>
          <w:tcPr>
            <w:tcW w:w="7078" w:type="dxa"/>
          </w:tcPr>
          <w:p>
            <w:pPr>
              <w:pStyle w:val="TableParagraph"/>
              <w:spacing w:before="114"/>
              <w:ind w:left="195" w:right="4442"/>
              <w:rPr>
                <w:b/>
                <w:sz w:val="18"/>
              </w:rPr>
            </w:pPr>
            <w:r>
              <w:rPr>
                <w:b/>
                <w:sz w:val="18"/>
              </w:rPr>
              <w:t>Net carrying value</w:t>
            </w:r>
          </w:p>
        </w:tc>
        <w:tc>
          <w:tcPr>
            <w:tcW w:w="1517" w:type="dxa"/>
            <w:tcBorders>
              <w:top w:val="single" w:sz="8" w:space="0" w:color="000000"/>
              <w:bottom w:val="single" w:sz="8" w:space="0" w:color="000000"/>
            </w:tcBorders>
          </w:tcPr>
          <w:p>
            <w:pPr>
              <w:pStyle w:val="TableParagraph"/>
              <w:spacing w:before="104"/>
              <w:ind w:right="313"/>
              <w:jc w:val="right"/>
              <w:rPr>
                <w:b/>
                <w:sz w:val="18"/>
              </w:rPr>
            </w:pPr>
            <w:r>
              <w:rPr>
                <w:b/>
                <w:sz w:val="18"/>
              </w:rPr>
              <w:t>118,569</w:t>
            </w:r>
          </w:p>
        </w:tc>
        <w:tc>
          <w:tcPr>
            <w:tcW w:w="1077" w:type="dxa"/>
            <w:tcBorders>
              <w:top w:val="single" w:sz="8" w:space="0" w:color="000000"/>
              <w:bottom w:val="single" w:sz="8" w:space="0" w:color="000000"/>
            </w:tcBorders>
          </w:tcPr>
          <w:p>
            <w:pPr>
              <w:pStyle w:val="TableParagraph"/>
              <w:spacing w:before="104"/>
              <w:ind w:left="332"/>
              <w:rPr>
                <w:sz w:val="18"/>
              </w:rPr>
            </w:pPr>
            <w:r>
              <w:rPr>
                <w:sz w:val="18"/>
              </w:rPr>
              <w:t>158,569</w:t>
            </w:r>
          </w:p>
        </w:tc>
      </w:tr>
      <w:tr>
        <w:trPr>
          <w:trHeight w:val="352" w:hRule="exact"/>
        </w:trPr>
        <w:tc>
          <w:tcPr>
            <w:tcW w:w="281" w:type="dxa"/>
          </w:tcPr>
          <w:p>
            <w:pPr/>
          </w:p>
        </w:tc>
        <w:tc>
          <w:tcPr>
            <w:tcW w:w="7078" w:type="dxa"/>
          </w:tcPr>
          <w:p>
            <w:pPr>
              <w:pStyle w:val="TableParagraph"/>
              <w:spacing w:before="122"/>
              <w:ind w:left="195" w:right="4442"/>
              <w:rPr>
                <w:b/>
                <w:sz w:val="18"/>
              </w:rPr>
            </w:pPr>
            <w:r>
              <w:rPr>
                <w:b/>
                <w:sz w:val="18"/>
              </w:rPr>
              <w:t>Total Intangibles</w:t>
            </w:r>
          </w:p>
        </w:tc>
        <w:tc>
          <w:tcPr>
            <w:tcW w:w="1517" w:type="dxa"/>
            <w:tcBorders>
              <w:top w:val="single" w:sz="8" w:space="0" w:color="000000"/>
              <w:bottom w:val="single" w:sz="5" w:space="0" w:color="000000"/>
            </w:tcBorders>
          </w:tcPr>
          <w:p>
            <w:pPr>
              <w:pStyle w:val="TableParagraph"/>
              <w:spacing w:before="112"/>
              <w:ind w:right="313"/>
              <w:jc w:val="right"/>
              <w:rPr>
                <w:b/>
                <w:sz w:val="18"/>
              </w:rPr>
            </w:pPr>
            <w:r>
              <w:rPr>
                <w:b/>
                <w:sz w:val="18"/>
              </w:rPr>
              <w:t>118,569</w:t>
            </w:r>
          </w:p>
        </w:tc>
        <w:tc>
          <w:tcPr>
            <w:tcW w:w="1077" w:type="dxa"/>
            <w:tcBorders>
              <w:top w:val="single" w:sz="8" w:space="0" w:color="000000"/>
              <w:bottom w:val="single" w:sz="5" w:space="0" w:color="000000"/>
            </w:tcBorders>
          </w:tcPr>
          <w:p>
            <w:pPr>
              <w:pStyle w:val="TableParagraph"/>
              <w:spacing w:before="112"/>
              <w:ind w:left="332"/>
              <w:rPr>
                <w:sz w:val="18"/>
              </w:rPr>
            </w:pPr>
            <w:r>
              <w:rPr>
                <w:sz w:val="18"/>
              </w:rPr>
              <w:t>158,569</w:t>
            </w:r>
          </w:p>
        </w:tc>
      </w:tr>
    </w:tbl>
    <w:p>
      <w:pPr>
        <w:pStyle w:val="BodyText"/>
        <w:rPr>
          <w:b/>
          <w:sz w:val="20"/>
        </w:rPr>
      </w:pPr>
    </w:p>
    <w:p>
      <w:pPr>
        <w:pStyle w:val="BodyText"/>
        <w:spacing w:before="1"/>
        <w:rPr>
          <w:b/>
          <w:sz w:val="20"/>
        </w:rPr>
      </w:pPr>
    </w:p>
    <w:p>
      <w:pPr>
        <w:spacing w:before="77"/>
        <w:ind w:left="8821" w:right="246" w:firstLine="0"/>
        <w:jc w:val="center"/>
        <w:rPr>
          <w:b/>
          <w:sz w:val="18"/>
        </w:rPr>
      </w:pPr>
      <w:r>
        <w:rPr>
          <w:b/>
          <w:sz w:val="18"/>
        </w:rPr>
        <w:t>Intangible assets</w:t>
      </w:r>
    </w:p>
    <w:p>
      <w:pPr>
        <w:spacing w:before="61"/>
        <w:ind w:left="0" w:right="748" w:firstLine="0"/>
        <w:jc w:val="right"/>
        <w:rPr>
          <w:b/>
          <w:sz w:val="18"/>
        </w:rPr>
      </w:pPr>
      <w:r>
        <w:rPr>
          <w:b/>
          <w:w w:val="99"/>
          <w:sz w:val="18"/>
        </w:rPr>
        <w:t>$</w:t>
      </w:r>
    </w:p>
    <w:p>
      <w:pPr>
        <w:spacing w:before="155"/>
        <w:ind w:left="544" w:right="685" w:firstLine="0"/>
        <w:jc w:val="left"/>
        <w:rPr>
          <w:b/>
          <w:sz w:val="18"/>
        </w:rPr>
      </w:pPr>
      <w:r>
        <w:rPr>
          <w:b/>
          <w:sz w:val="18"/>
        </w:rPr>
        <w:t>Year ended 31 December 2012</w:t>
      </w:r>
    </w:p>
    <w:p>
      <w:pPr>
        <w:pStyle w:val="BodyText"/>
        <w:tabs>
          <w:tab w:pos="9320" w:val="left" w:leader="none"/>
        </w:tabs>
        <w:spacing w:before="18"/>
        <w:ind w:left="544" w:right="59"/>
        <w:rPr>
          <w:b/>
        </w:rPr>
      </w:pPr>
      <w:r>
        <w:rPr/>
        <w:t>Balance at the beginning of</w:t>
      </w:r>
      <w:r>
        <w:rPr>
          <w:spacing w:val="-10"/>
        </w:rPr>
        <w:t> </w:t>
      </w:r>
      <w:r>
        <w:rPr/>
        <w:t>the</w:t>
      </w:r>
      <w:r>
        <w:rPr>
          <w:spacing w:val="-1"/>
        </w:rPr>
        <w:t> </w:t>
      </w:r>
      <w:r>
        <w:rPr/>
        <w:t>year</w:t>
        <w:tab/>
      </w:r>
      <w:r>
        <w:rPr>
          <w:b/>
        </w:rPr>
        <w:t>158,569</w:t>
      </w:r>
    </w:p>
    <w:p>
      <w:pPr>
        <w:tabs>
          <w:tab w:pos="9359" w:val="left" w:leader="none"/>
        </w:tabs>
        <w:spacing w:before="59"/>
        <w:ind w:left="544" w:right="59" w:firstLine="0"/>
        <w:jc w:val="left"/>
        <w:rPr>
          <w:b/>
          <w:sz w:val="18"/>
        </w:rPr>
      </w:pPr>
      <w:r>
        <w:rPr/>
        <w:pict>
          <v:group style="position:absolute;margin-left:476.950012pt;margin-top:14.905887pt;width:69.7pt;height:1pt;mso-position-horizontal-relative:page;mso-position-vertical-relative:paragraph;z-index:4240;mso-wrap-distance-left:0;mso-wrap-distance-right:0" coordorigin="9539,298" coordsize="1394,20">
            <v:line style="position:absolute" from="9545,304" to="10927,304" stroked="true" strokeweight=".6pt" strokecolor="#000000"/>
            <v:line style="position:absolute" from="9545,314" to="10927,314" stroked="true" strokeweight=".36pt" strokecolor="#000000"/>
            <w10:wrap type="topAndBottom"/>
          </v:group>
        </w:pict>
      </w:r>
      <w:r>
        <w:rPr>
          <w:sz w:val="18"/>
        </w:rPr>
        <w:t>Amortisation</w:t>
        <w:tab/>
      </w:r>
      <w:r>
        <w:rPr>
          <w:b/>
          <w:sz w:val="18"/>
        </w:rPr>
        <w:t>(40,000)</w:t>
      </w:r>
    </w:p>
    <w:p>
      <w:pPr>
        <w:pStyle w:val="Heading9"/>
        <w:tabs>
          <w:tab w:pos="9320" w:val="left" w:leader="none"/>
        </w:tabs>
        <w:spacing w:before="79" w:after="4"/>
        <w:ind w:left="544" w:right="59"/>
      </w:pPr>
      <w:r>
        <w:rPr/>
        <w:t>Closing value at 31</w:t>
      </w:r>
      <w:r>
        <w:rPr>
          <w:spacing w:val="-11"/>
        </w:rPr>
        <w:t> </w:t>
      </w:r>
      <w:r>
        <w:rPr/>
        <w:t>December</w:t>
      </w:r>
      <w:r>
        <w:rPr>
          <w:spacing w:val="-2"/>
        </w:rPr>
        <w:t> </w:t>
      </w:r>
      <w:r>
        <w:rPr/>
        <w:t>2012</w:t>
        <w:tab/>
        <w:t>118,569</w:t>
      </w:r>
    </w:p>
    <w:p>
      <w:pPr>
        <w:pStyle w:val="BodyText"/>
        <w:spacing w:line="20" w:lineRule="exact"/>
        <w:ind w:left="8679"/>
        <w:rPr>
          <w:sz w:val="2"/>
        </w:rPr>
      </w:pPr>
      <w:r>
        <w:rPr>
          <w:sz w:val="2"/>
        </w:rPr>
        <w:pict>
          <v:group style="width:69.7pt;height:1pt;mso-position-horizontal-relative:char;mso-position-vertical-relative:line" coordorigin="0,0" coordsize="1394,20">
            <v:line style="position:absolute" from="6,6" to="1388,6" stroked="true" strokeweight=".6pt" strokecolor="#000000"/>
            <v:line style="position:absolute" from="6,6" to="1388,6" stroked="true" strokeweight=".6pt" strokecolor="#000000"/>
            <v:line style="position:absolute" from="6,12" to="1388,12" stroked="true" strokeweight=".6pt" strokecolor="#000000"/>
            <v:line style="position:absolute" from="6,18" to="1388,18" stroked="true" strokeweight=".12pt" strokecolor="#000000"/>
          </v:group>
        </w:pict>
      </w:r>
      <w:r>
        <w:rPr>
          <w:sz w:val="2"/>
        </w:rPr>
      </w:r>
    </w:p>
    <w:p>
      <w:pPr>
        <w:spacing w:before="117"/>
        <w:ind w:left="544" w:right="685" w:firstLine="0"/>
        <w:jc w:val="left"/>
        <w:rPr>
          <w:b/>
          <w:sz w:val="18"/>
        </w:rPr>
      </w:pPr>
      <w:r>
        <w:rPr>
          <w:b/>
          <w:sz w:val="18"/>
        </w:rPr>
        <w:t>Year ended 31 December 2011</w:t>
      </w:r>
    </w:p>
    <w:p>
      <w:pPr>
        <w:pStyle w:val="BodyText"/>
        <w:tabs>
          <w:tab w:pos="9320" w:val="left" w:leader="none"/>
        </w:tabs>
        <w:spacing w:before="23"/>
        <w:ind w:left="544" w:right="59"/>
      </w:pPr>
      <w:r>
        <w:rPr/>
        <w:t>Balance at the beginning of</w:t>
      </w:r>
      <w:r>
        <w:rPr>
          <w:spacing w:val="-11"/>
        </w:rPr>
        <w:t> </w:t>
      </w:r>
      <w:r>
        <w:rPr/>
        <w:t>the</w:t>
      </w:r>
      <w:r>
        <w:rPr>
          <w:spacing w:val="-1"/>
        </w:rPr>
        <w:t> </w:t>
      </w:r>
      <w:r>
        <w:rPr/>
        <w:t>year</w:t>
        <w:tab/>
        <w:t>198,569</w:t>
      </w:r>
    </w:p>
    <w:p>
      <w:pPr>
        <w:pStyle w:val="BodyText"/>
        <w:tabs>
          <w:tab w:pos="9359" w:val="left" w:leader="none"/>
        </w:tabs>
        <w:spacing w:before="57"/>
        <w:ind w:left="544" w:right="59"/>
      </w:pPr>
      <w:r>
        <w:rPr/>
        <w:pict>
          <v:group style="position:absolute;margin-left:476.950012pt;margin-top:14.731887pt;width:69.7pt;height:1pt;mso-position-horizontal-relative:page;mso-position-vertical-relative:paragraph;z-index:4288;mso-wrap-distance-left:0;mso-wrap-distance-right:0" coordorigin="9539,295" coordsize="1394,20">
            <v:line style="position:absolute" from="9545,301" to="10927,301" stroked="true" strokeweight=".6pt" strokecolor="#000000"/>
            <v:line style="position:absolute" from="9545,311" to="10927,311" stroked="true" strokeweight=".36pt" strokecolor="#000000"/>
            <w10:wrap type="topAndBottom"/>
          </v:group>
        </w:pict>
      </w:r>
      <w:r>
        <w:rPr/>
        <w:t>Amortisation</w:t>
        <w:tab/>
        <w:t>(40,000)</w:t>
      </w:r>
    </w:p>
    <w:p>
      <w:pPr>
        <w:pStyle w:val="Heading9"/>
        <w:tabs>
          <w:tab w:pos="9320" w:val="left" w:leader="none"/>
        </w:tabs>
        <w:spacing w:before="78" w:after="4"/>
        <w:ind w:left="544" w:right="59"/>
        <w:rPr>
          <w:b w:val="0"/>
        </w:rPr>
      </w:pPr>
      <w:r>
        <w:rPr/>
        <w:t>Closing value at 31</w:t>
      </w:r>
      <w:r>
        <w:rPr>
          <w:spacing w:val="-11"/>
        </w:rPr>
        <w:t> </w:t>
      </w:r>
      <w:r>
        <w:rPr/>
        <w:t>December</w:t>
      </w:r>
      <w:r>
        <w:rPr>
          <w:spacing w:val="-2"/>
        </w:rPr>
        <w:t> </w:t>
      </w:r>
      <w:r>
        <w:rPr/>
        <w:t>2011</w:t>
        <w:tab/>
      </w:r>
      <w:r>
        <w:rPr>
          <w:b w:val="0"/>
        </w:rPr>
        <w:t>158,569</w:t>
      </w:r>
    </w:p>
    <w:p>
      <w:pPr>
        <w:pStyle w:val="BodyText"/>
        <w:spacing w:line="20" w:lineRule="exact"/>
        <w:ind w:left="8679"/>
        <w:rPr>
          <w:sz w:val="2"/>
        </w:rPr>
      </w:pPr>
      <w:r>
        <w:rPr>
          <w:sz w:val="2"/>
        </w:rPr>
        <w:pict>
          <v:group style="width:69.7pt;height:1pt;mso-position-horizontal-relative:char;mso-position-vertical-relative:line" coordorigin="0,0" coordsize="1394,20">
            <v:line style="position:absolute" from="6,6" to="1388,6" stroked="true" strokeweight=".6pt" strokecolor="#000000"/>
            <v:line style="position:absolute" from="6,16" to="1388,16" stroked="true" strokeweight=".36pt" strokecolor="#000000"/>
          </v:group>
        </w:pict>
      </w:r>
      <w:r>
        <w:rPr>
          <w:sz w:val="2"/>
        </w:rPr>
      </w:r>
    </w:p>
    <w:p>
      <w:pPr>
        <w:spacing w:after="0" w:line="20" w:lineRule="exact"/>
        <w:rPr>
          <w:sz w:val="2"/>
        </w:rPr>
        <w:sectPr>
          <w:pgSz w:w="11930" w:h="16850"/>
          <w:pgMar w:header="1035" w:footer="507" w:top="1460" w:bottom="700" w:left="860" w:right="880"/>
        </w:sectPr>
      </w:pPr>
    </w:p>
    <w:p>
      <w:pPr>
        <w:pStyle w:val="BodyText"/>
        <w:spacing w:before="10"/>
        <w:rPr>
          <w:sz w:val="23"/>
        </w:rPr>
      </w:pPr>
    </w:p>
    <w:p>
      <w:pPr>
        <w:spacing w:before="65"/>
        <w:ind w:left="147" w:right="685" w:firstLine="0"/>
        <w:jc w:val="left"/>
        <w:rPr>
          <w:b/>
          <w:sz w:val="28"/>
        </w:rPr>
      </w:pPr>
      <w:r>
        <w:rPr>
          <w:b/>
          <w:sz w:val="28"/>
        </w:rPr>
        <w:t>Notes to the Financial Statements</w:t>
      </w:r>
    </w:p>
    <w:p>
      <w:pPr>
        <w:spacing w:before="62"/>
        <w:ind w:left="147" w:right="685" w:firstLine="0"/>
        <w:jc w:val="left"/>
        <w:rPr>
          <w:b/>
          <w:sz w:val="28"/>
        </w:rPr>
      </w:pPr>
      <w:r>
        <w:rPr>
          <w:b/>
          <w:sz w:val="28"/>
        </w:rPr>
        <w:t>For the Year Ended 31 December</w:t>
      </w:r>
      <w:r>
        <w:rPr>
          <w:b/>
          <w:spacing w:val="-52"/>
          <w:sz w:val="28"/>
        </w:rPr>
        <w:t> </w:t>
      </w:r>
      <w:r>
        <w:rPr>
          <w:b/>
          <w:sz w:val="28"/>
        </w:rPr>
        <w:t>2012</w:t>
      </w:r>
    </w:p>
    <w:p>
      <w:pPr>
        <w:pStyle w:val="BodyText"/>
        <w:spacing w:before="4"/>
        <w:rPr>
          <w:b/>
          <w:sz w:val="24"/>
        </w:rPr>
      </w:pPr>
    </w:p>
    <w:p>
      <w:pPr>
        <w:spacing w:after="0"/>
        <w:rPr>
          <w:sz w:val="24"/>
        </w:rPr>
        <w:sectPr>
          <w:pgSz w:w="11930" w:h="16850"/>
          <w:pgMar w:header="1035" w:footer="507" w:top="1460" w:bottom="700" w:left="860" w:right="880"/>
        </w:sectPr>
      </w:pPr>
    </w:p>
    <w:p>
      <w:pPr>
        <w:tabs>
          <w:tab w:pos="539" w:val="left" w:leader="none"/>
        </w:tabs>
        <w:spacing w:before="77"/>
        <w:ind w:left="147" w:right="0" w:firstLine="0"/>
        <w:jc w:val="left"/>
        <w:rPr>
          <w:b/>
          <w:sz w:val="18"/>
        </w:rPr>
      </w:pPr>
      <w:r>
        <w:rPr>
          <w:b/>
          <w:sz w:val="18"/>
        </w:rPr>
        <w:t>9</w:t>
        <w:tab/>
        <w:t>Trade and other</w:t>
      </w:r>
      <w:r>
        <w:rPr>
          <w:b/>
          <w:spacing w:val="-10"/>
          <w:sz w:val="18"/>
        </w:rPr>
        <w:t> </w:t>
      </w:r>
      <w:r>
        <w:rPr>
          <w:b/>
          <w:sz w:val="18"/>
        </w:rPr>
        <w:t>payables</w:t>
      </w:r>
    </w:p>
    <w:p>
      <w:pPr>
        <w:pStyle w:val="BodyText"/>
        <w:rPr>
          <w:b/>
        </w:rPr>
      </w:pPr>
      <w:r>
        <w:rPr/>
        <w:br w:type="column"/>
      </w:r>
      <w:r>
        <w:rPr>
          <w:b/>
        </w:rPr>
      </w:r>
    </w:p>
    <w:p>
      <w:pPr>
        <w:spacing w:before="110"/>
        <w:ind w:left="147" w:right="0" w:firstLine="0"/>
        <w:jc w:val="center"/>
        <w:rPr>
          <w:b/>
          <w:sz w:val="18"/>
        </w:rPr>
      </w:pPr>
      <w:r>
        <w:rPr>
          <w:b/>
          <w:sz w:val="18"/>
        </w:rPr>
        <w:t>2012</w:t>
      </w:r>
    </w:p>
    <w:p>
      <w:pPr>
        <w:spacing w:before="74"/>
        <w:ind w:left="142" w:right="0" w:firstLine="0"/>
        <w:jc w:val="center"/>
        <w:rPr>
          <w:b/>
          <w:sz w:val="18"/>
        </w:rPr>
      </w:pPr>
      <w:r>
        <w:rPr>
          <w:b/>
          <w:w w:val="99"/>
          <w:sz w:val="18"/>
        </w:rPr>
        <w:t>$</w:t>
      </w:r>
    </w:p>
    <w:p>
      <w:pPr>
        <w:pStyle w:val="BodyText"/>
        <w:rPr>
          <w:b/>
        </w:rPr>
      </w:pPr>
      <w:r>
        <w:rPr/>
        <w:br w:type="column"/>
      </w:r>
      <w:r>
        <w:rPr>
          <w:b/>
        </w:rPr>
      </w:r>
    </w:p>
    <w:p>
      <w:pPr>
        <w:spacing w:before="110"/>
        <w:ind w:left="135" w:right="542" w:firstLine="0"/>
        <w:jc w:val="center"/>
        <w:rPr>
          <w:b/>
          <w:sz w:val="18"/>
        </w:rPr>
      </w:pPr>
      <w:r>
        <w:rPr>
          <w:b/>
          <w:sz w:val="18"/>
        </w:rPr>
        <w:t>2011</w:t>
      </w:r>
    </w:p>
    <w:p>
      <w:pPr>
        <w:spacing w:before="74"/>
        <w:ind w:left="0" w:right="414" w:firstLine="0"/>
        <w:jc w:val="center"/>
        <w:rPr>
          <w:b/>
          <w:sz w:val="18"/>
        </w:rPr>
      </w:pPr>
      <w:r>
        <w:rPr>
          <w:b/>
          <w:w w:val="99"/>
          <w:sz w:val="18"/>
        </w:rPr>
        <w:t>$</w:t>
      </w:r>
    </w:p>
    <w:p>
      <w:pPr>
        <w:spacing w:after="0"/>
        <w:jc w:val="center"/>
        <w:rPr>
          <w:sz w:val="18"/>
        </w:rPr>
        <w:sectPr>
          <w:type w:val="continuous"/>
          <w:pgSz w:w="11930" w:h="16850"/>
          <w:pgMar w:top="0" w:bottom="280" w:left="860" w:right="880"/>
          <w:cols w:num="3" w:equalWidth="0">
            <w:col w:w="2720" w:space="5061"/>
            <w:col w:w="552" w:space="739"/>
            <w:col w:w="1118"/>
          </w:cols>
        </w:sectPr>
      </w:pPr>
    </w:p>
    <w:p>
      <w:pPr>
        <w:pStyle w:val="BodyText"/>
        <w:spacing w:before="5"/>
        <w:rPr>
          <w:b/>
          <w:sz w:val="14"/>
        </w:rPr>
      </w:pPr>
    </w:p>
    <w:tbl>
      <w:tblPr>
        <w:tblW w:w="0" w:type="auto"/>
        <w:jc w:val="left"/>
        <w:tblInd w:w="34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124"/>
        <w:gridCol w:w="1536"/>
        <w:gridCol w:w="1058"/>
      </w:tblGrid>
      <w:tr>
        <w:trPr>
          <w:trHeight w:val="455" w:hRule="exact"/>
        </w:trPr>
        <w:tc>
          <w:tcPr>
            <w:tcW w:w="7124" w:type="dxa"/>
          </w:tcPr>
          <w:p>
            <w:pPr>
              <w:pStyle w:val="TableParagraph"/>
              <w:spacing w:line="184" w:lineRule="exact"/>
              <w:ind w:left="200"/>
              <w:rPr>
                <w:sz w:val="18"/>
              </w:rPr>
            </w:pPr>
            <w:r>
              <w:rPr>
                <w:sz w:val="18"/>
              </w:rPr>
              <w:t>Current</w:t>
            </w:r>
          </w:p>
          <w:p>
            <w:pPr>
              <w:pStyle w:val="TableParagraph"/>
              <w:spacing w:before="25"/>
              <w:ind w:left="200"/>
              <w:rPr>
                <w:sz w:val="18"/>
              </w:rPr>
            </w:pPr>
            <w:r>
              <w:rPr>
                <w:sz w:val="18"/>
              </w:rPr>
              <w:t>Trade payables</w:t>
            </w:r>
          </w:p>
        </w:tc>
        <w:tc>
          <w:tcPr>
            <w:tcW w:w="1536" w:type="dxa"/>
          </w:tcPr>
          <w:p>
            <w:pPr>
              <w:pStyle w:val="TableParagraph"/>
              <w:rPr>
                <w:b/>
                <w:sz w:val="18"/>
              </w:rPr>
            </w:pPr>
          </w:p>
          <w:p>
            <w:pPr>
              <w:pStyle w:val="TableParagraph"/>
              <w:ind w:right="319"/>
              <w:jc w:val="right"/>
              <w:rPr>
                <w:b/>
                <w:sz w:val="18"/>
              </w:rPr>
            </w:pPr>
            <w:r>
              <w:rPr>
                <w:b/>
                <w:w w:val="95"/>
                <w:sz w:val="18"/>
              </w:rPr>
              <w:t>6,984</w:t>
            </w:r>
          </w:p>
        </w:tc>
        <w:tc>
          <w:tcPr>
            <w:tcW w:w="1058" w:type="dxa"/>
          </w:tcPr>
          <w:p>
            <w:pPr>
              <w:pStyle w:val="TableParagraph"/>
              <w:spacing w:before="5"/>
              <w:rPr>
                <w:b/>
                <w:sz w:val="18"/>
              </w:rPr>
            </w:pPr>
          </w:p>
          <w:p>
            <w:pPr>
              <w:pStyle w:val="TableParagraph"/>
              <w:ind w:right="83"/>
              <w:jc w:val="right"/>
              <w:rPr>
                <w:sz w:val="18"/>
              </w:rPr>
            </w:pPr>
            <w:r>
              <w:rPr>
                <w:sz w:val="18"/>
              </w:rPr>
              <w:t>6,237</w:t>
            </w:r>
          </w:p>
        </w:tc>
      </w:tr>
      <w:tr>
        <w:trPr>
          <w:trHeight w:val="264" w:hRule="exact"/>
        </w:trPr>
        <w:tc>
          <w:tcPr>
            <w:tcW w:w="7124" w:type="dxa"/>
          </w:tcPr>
          <w:p>
            <w:pPr>
              <w:pStyle w:val="TableParagraph"/>
              <w:spacing w:before="19"/>
              <w:ind w:left="200"/>
              <w:rPr>
                <w:sz w:val="18"/>
              </w:rPr>
            </w:pPr>
            <w:r>
              <w:rPr>
                <w:sz w:val="18"/>
              </w:rPr>
              <w:t>GST payable</w:t>
            </w:r>
          </w:p>
        </w:tc>
        <w:tc>
          <w:tcPr>
            <w:tcW w:w="1536" w:type="dxa"/>
          </w:tcPr>
          <w:p>
            <w:pPr>
              <w:pStyle w:val="TableParagraph"/>
              <w:spacing w:before="16"/>
              <w:ind w:right="322"/>
              <w:jc w:val="right"/>
              <w:rPr>
                <w:b/>
                <w:sz w:val="18"/>
              </w:rPr>
            </w:pPr>
            <w:r>
              <w:rPr>
                <w:b/>
                <w:sz w:val="18"/>
              </w:rPr>
              <w:t>26,066</w:t>
            </w:r>
          </w:p>
        </w:tc>
        <w:tc>
          <w:tcPr>
            <w:tcW w:w="1058" w:type="dxa"/>
          </w:tcPr>
          <w:p>
            <w:pPr>
              <w:pStyle w:val="TableParagraph"/>
              <w:spacing w:before="21"/>
              <w:ind w:right="83"/>
              <w:jc w:val="right"/>
              <w:rPr>
                <w:sz w:val="18"/>
              </w:rPr>
            </w:pPr>
            <w:r>
              <w:rPr>
                <w:sz w:val="18"/>
              </w:rPr>
              <w:t>6,648</w:t>
            </w:r>
          </w:p>
        </w:tc>
      </w:tr>
      <w:tr>
        <w:trPr>
          <w:trHeight w:val="264" w:hRule="exact"/>
        </w:trPr>
        <w:tc>
          <w:tcPr>
            <w:tcW w:w="7124" w:type="dxa"/>
          </w:tcPr>
          <w:p>
            <w:pPr>
              <w:pStyle w:val="TableParagraph"/>
              <w:spacing w:before="19"/>
              <w:ind w:left="200"/>
              <w:rPr>
                <w:sz w:val="18"/>
              </w:rPr>
            </w:pPr>
            <w:r>
              <w:rPr>
                <w:sz w:val="18"/>
              </w:rPr>
              <w:t>Accrued expenses</w:t>
            </w:r>
          </w:p>
        </w:tc>
        <w:tc>
          <w:tcPr>
            <w:tcW w:w="1536" w:type="dxa"/>
          </w:tcPr>
          <w:p>
            <w:pPr>
              <w:pStyle w:val="TableParagraph"/>
              <w:spacing w:before="16"/>
              <w:ind w:right="322"/>
              <w:jc w:val="right"/>
              <w:rPr>
                <w:b/>
                <w:sz w:val="18"/>
              </w:rPr>
            </w:pPr>
            <w:r>
              <w:rPr>
                <w:b/>
                <w:sz w:val="18"/>
              </w:rPr>
              <w:t>87,590</w:t>
            </w:r>
          </w:p>
        </w:tc>
        <w:tc>
          <w:tcPr>
            <w:tcW w:w="1058" w:type="dxa"/>
          </w:tcPr>
          <w:p>
            <w:pPr>
              <w:pStyle w:val="TableParagraph"/>
              <w:spacing w:before="21"/>
              <w:ind w:right="81"/>
              <w:jc w:val="right"/>
              <w:rPr>
                <w:sz w:val="18"/>
              </w:rPr>
            </w:pPr>
            <w:r>
              <w:rPr>
                <w:sz w:val="18"/>
              </w:rPr>
              <w:t>102,696</w:t>
            </w:r>
          </w:p>
        </w:tc>
      </w:tr>
      <w:tr>
        <w:trPr>
          <w:trHeight w:val="283" w:hRule="exact"/>
        </w:trPr>
        <w:tc>
          <w:tcPr>
            <w:tcW w:w="7124" w:type="dxa"/>
          </w:tcPr>
          <w:p>
            <w:pPr>
              <w:pStyle w:val="TableParagraph"/>
              <w:spacing w:before="19"/>
              <w:ind w:left="200"/>
              <w:rPr>
                <w:sz w:val="18"/>
              </w:rPr>
            </w:pPr>
            <w:r>
              <w:rPr>
                <w:sz w:val="18"/>
              </w:rPr>
              <w:t>Sundry payables</w:t>
            </w:r>
          </w:p>
        </w:tc>
        <w:tc>
          <w:tcPr>
            <w:tcW w:w="1536" w:type="dxa"/>
            <w:tcBorders>
              <w:bottom w:val="single" w:sz="5" w:space="0" w:color="000000"/>
            </w:tcBorders>
          </w:tcPr>
          <w:p>
            <w:pPr>
              <w:pStyle w:val="TableParagraph"/>
              <w:spacing w:before="16"/>
              <w:ind w:right="322"/>
              <w:jc w:val="right"/>
              <w:rPr>
                <w:b/>
                <w:sz w:val="18"/>
              </w:rPr>
            </w:pPr>
            <w:r>
              <w:rPr>
                <w:b/>
                <w:sz w:val="18"/>
              </w:rPr>
              <w:t>79,336</w:t>
            </w:r>
          </w:p>
        </w:tc>
        <w:tc>
          <w:tcPr>
            <w:tcW w:w="1058" w:type="dxa"/>
            <w:tcBorders>
              <w:bottom w:val="single" w:sz="5" w:space="0" w:color="000000"/>
            </w:tcBorders>
          </w:tcPr>
          <w:p>
            <w:pPr>
              <w:pStyle w:val="TableParagraph"/>
              <w:spacing w:before="21"/>
              <w:ind w:right="83"/>
              <w:jc w:val="right"/>
              <w:rPr>
                <w:sz w:val="18"/>
              </w:rPr>
            </w:pPr>
            <w:r>
              <w:rPr>
                <w:sz w:val="18"/>
              </w:rPr>
              <w:t>6,764</w:t>
            </w:r>
          </w:p>
        </w:tc>
      </w:tr>
      <w:tr>
        <w:trPr>
          <w:trHeight w:val="367" w:hRule="exact"/>
        </w:trPr>
        <w:tc>
          <w:tcPr>
            <w:tcW w:w="7124" w:type="dxa"/>
          </w:tcPr>
          <w:p>
            <w:pPr/>
          </w:p>
        </w:tc>
        <w:tc>
          <w:tcPr>
            <w:tcW w:w="1536" w:type="dxa"/>
            <w:tcBorders>
              <w:top w:val="single" w:sz="5" w:space="0" w:color="000000"/>
              <w:bottom w:val="single" w:sz="5" w:space="0" w:color="000000"/>
            </w:tcBorders>
          </w:tcPr>
          <w:p>
            <w:pPr>
              <w:pStyle w:val="TableParagraph"/>
              <w:spacing w:before="107"/>
              <w:ind w:right="321"/>
              <w:jc w:val="right"/>
              <w:rPr>
                <w:b/>
                <w:sz w:val="18"/>
              </w:rPr>
            </w:pPr>
            <w:r>
              <w:rPr>
                <w:b/>
                <w:sz w:val="18"/>
              </w:rPr>
              <w:t>199,976</w:t>
            </w:r>
          </w:p>
        </w:tc>
        <w:tc>
          <w:tcPr>
            <w:tcW w:w="1058" w:type="dxa"/>
            <w:tcBorders>
              <w:top w:val="single" w:sz="5" w:space="0" w:color="000000"/>
              <w:bottom w:val="single" w:sz="4" w:space="0" w:color="000000"/>
            </w:tcBorders>
          </w:tcPr>
          <w:p>
            <w:pPr>
              <w:pStyle w:val="TableParagraph"/>
              <w:spacing w:before="112"/>
              <w:ind w:right="81"/>
              <w:jc w:val="right"/>
              <w:rPr>
                <w:sz w:val="18"/>
              </w:rPr>
            </w:pPr>
            <w:r>
              <w:rPr>
                <w:sz w:val="18"/>
              </w:rPr>
              <w:t>122,345</w:t>
            </w:r>
          </w:p>
        </w:tc>
      </w:tr>
    </w:tbl>
    <w:p>
      <w:pPr>
        <w:pStyle w:val="BodyText"/>
        <w:rPr>
          <w:b/>
          <w:sz w:val="20"/>
        </w:rPr>
      </w:pPr>
    </w:p>
    <w:p>
      <w:pPr>
        <w:pStyle w:val="BodyText"/>
        <w:spacing w:before="7" w:after="1"/>
        <w:rPr>
          <w:b/>
          <w:sz w:val="17"/>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4"/>
        <w:gridCol w:w="7023"/>
        <w:gridCol w:w="1462"/>
        <w:gridCol w:w="1133"/>
      </w:tblGrid>
      <w:tr>
        <w:trPr>
          <w:trHeight w:val="642" w:hRule="exact"/>
        </w:trPr>
        <w:tc>
          <w:tcPr>
            <w:tcW w:w="334" w:type="dxa"/>
            <w:vMerge w:val="restart"/>
          </w:tcPr>
          <w:p>
            <w:pPr/>
          </w:p>
        </w:tc>
        <w:tc>
          <w:tcPr>
            <w:tcW w:w="7023" w:type="dxa"/>
          </w:tcPr>
          <w:p>
            <w:pPr/>
          </w:p>
        </w:tc>
        <w:tc>
          <w:tcPr>
            <w:tcW w:w="1462" w:type="dxa"/>
          </w:tcPr>
          <w:p>
            <w:pPr>
              <w:pStyle w:val="TableParagraph"/>
              <w:spacing w:before="77"/>
              <w:ind w:left="441" w:right="580"/>
              <w:jc w:val="center"/>
              <w:rPr>
                <w:b/>
                <w:sz w:val="18"/>
              </w:rPr>
            </w:pPr>
            <w:r>
              <w:rPr>
                <w:b/>
                <w:sz w:val="18"/>
              </w:rPr>
              <w:t>2012</w:t>
            </w:r>
          </w:p>
          <w:p>
            <w:pPr>
              <w:pStyle w:val="TableParagraph"/>
              <w:spacing w:before="64"/>
              <w:ind w:right="144"/>
              <w:jc w:val="center"/>
              <w:rPr>
                <w:b/>
                <w:sz w:val="18"/>
              </w:rPr>
            </w:pPr>
            <w:r>
              <w:rPr>
                <w:b/>
                <w:w w:val="99"/>
                <w:sz w:val="18"/>
              </w:rPr>
              <w:t>$</w:t>
            </w:r>
          </w:p>
        </w:tc>
        <w:tc>
          <w:tcPr>
            <w:tcW w:w="1133" w:type="dxa"/>
          </w:tcPr>
          <w:p>
            <w:pPr>
              <w:pStyle w:val="TableParagraph"/>
              <w:spacing w:before="77"/>
              <w:ind w:left="270" w:right="421"/>
              <w:jc w:val="center"/>
              <w:rPr>
                <w:b/>
                <w:sz w:val="18"/>
              </w:rPr>
            </w:pPr>
            <w:r>
              <w:rPr>
                <w:b/>
                <w:sz w:val="18"/>
              </w:rPr>
              <w:t>2011</w:t>
            </w:r>
          </w:p>
          <w:p>
            <w:pPr>
              <w:pStyle w:val="TableParagraph"/>
              <w:spacing w:before="64"/>
              <w:ind w:right="157"/>
              <w:jc w:val="center"/>
              <w:rPr>
                <w:b/>
                <w:sz w:val="18"/>
              </w:rPr>
            </w:pPr>
            <w:r>
              <w:rPr>
                <w:b/>
                <w:w w:val="99"/>
                <w:sz w:val="18"/>
              </w:rPr>
              <w:t>$</w:t>
            </w:r>
          </w:p>
        </w:tc>
      </w:tr>
      <w:tr>
        <w:trPr>
          <w:trHeight w:val="547" w:hRule="exact"/>
        </w:trPr>
        <w:tc>
          <w:tcPr>
            <w:tcW w:w="334" w:type="dxa"/>
            <w:vMerge/>
          </w:tcPr>
          <w:p>
            <w:pPr/>
          </w:p>
        </w:tc>
        <w:tc>
          <w:tcPr>
            <w:tcW w:w="7023" w:type="dxa"/>
          </w:tcPr>
          <w:p>
            <w:pPr>
              <w:pStyle w:val="TableParagraph"/>
              <w:spacing w:before="68"/>
              <w:ind w:left="97"/>
              <w:rPr>
                <w:sz w:val="18"/>
              </w:rPr>
            </w:pPr>
            <w:r>
              <w:rPr>
                <w:sz w:val="18"/>
              </w:rPr>
              <w:t>Non-current</w:t>
            </w:r>
          </w:p>
          <w:p>
            <w:pPr>
              <w:pStyle w:val="TableParagraph"/>
              <w:spacing w:before="26"/>
              <w:ind w:left="97"/>
              <w:rPr>
                <w:sz w:val="18"/>
              </w:rPr>
            </w:pPr>
            <w:r>
              <w:rPr>
                <w:sz w:val="18"/>
              </w:rPr>
              <w:t>Related party payables</w:t>
            </w:r>
          </w:p>
        </w:tc>
        <w:tc>
          <w:tcPr>
            <w:tcW w:w="1462" w:type="dxa"/>
            <w:tcBorders>
              <w:bottom w:val="single" w:sz="8" w:space="0" w:color="000000"/>
            </w:tcBorders>
          </w:tcPr>
          <w:p>
            <w:pPr>
              <w:pStyle w:val="TableParagraph"/>
              <w:spacing w:before="2"/>
              <w:rPr>
                <w:b/>
                <w:sz w:val="26"/>
              </w:rPr>
            </w:pPr>
          </w:p>
          <w:p>
            <w:pPr>
              <w:pStyle w:val="TableParagraph"/>
              <w:ind w:left="410"/>
              <w:rPr>
                <w:b/>
                <w:sz w:val="18"/>
              </w:rPr>
            </w:pPr>
            <w:r>
              <w:rPr>
                <w:b/>
                <w:sz w:val="18"/>
              </w:rPr>
              <w:t>3,780,410</w:t>
            </w:r>
          </w:p>
        </w:tc>
        <w:tc>
          <w:tcPr>
            <w:tcW w:w="1133" w:type="dxa"/>
            <w:tcBorders>
              <w:bottom w:val="single" w:sz="8" w:space="0" w:color="000000"/>
            </w:tcBorders>
          </w:tcPr>
          <w:p>
            <w:pPr>
              <w:pStyle w:val="TableParagraph"/>
              <w:spacing w:before="2"/>
              <w:rPr>
                <w:b/>
                <w:sz w:val="26"/>
              </w:rPr>
            </w:pPr>
          </w:p>
          <w:p>
            <w:pPr>
              <w:pStyle w:val="TableParagraph"/>
              <w:ind w:left="227"/>
              <w:rPr>
                <w:sz w:val="18"/>
              </w:rPr>
            </w:pPr>
            <w:r>
              <w:rPr>
                <w:sz w:val="18"/>
              </w:rPr>
              <w:t>3,551,469</w:t>
            </w:r>
          </w:p>
        </w:tc>
      </w:tr>
      <w:tr>
        <w:trPr>
          <w:trHeight w:val="352" w:hRule="exact"/>
        </w:trPr>
        <w:tc>
          <w:tcPr>
            <w:tcW w:w="334" w:type="dxa"/>
            <w:vMerge/>
          </w:tcPr>
          <w:p>
            <w:pPr/>
          </w:p>
        </w:tc>
        <w:tc>
          <w:tcPr>
            <w:tcW w:w="7023" w:type="dxa"/>
          </w:tcPr>
          <w:p>
            <w:pPr/>
          </w:p>
        </w:tc>
        <w:tc>
          <w:tcPr>
            <w:tcW w:w="1462" w:type="dxa"/>
            <w:tcBorders>
              <w:top w:val="single" w:sz="8" w:space="0" w:color="000000"/>
              <w:bottom w:val="single" w:sz="5" w:space="0" w:color="000000"/>
            </w:tcBorders>
          </w:tcPr>
          <w:p>
            <w:pPr>
              <w:pStyle w:val="TableParagraph"/>
              <w:spacing w:before="113"/>
              <w:ind w:left="463"/>
              <w:rPr>
                <w:b/>
                <w:sz w:val="18"/>
              </w:rPr>
            </w:pPr>
            <w:r>
              <w:rPr>
                <w:b/>
                <w:sz w:val="18"/>
              </w:rPr>
              <w:t>3,780,410</w:t>
            </w:r>
          </w:p>
        </w:tc>
        <w:tc>
          <w:tcPr>
            <w:tcW w:w="1133" w:type="dxa"/>
            <w:tcBorders>
              <w:top w:val="single" w:sz="8" w:space="0" w:color="000000"/>
              <w:bottom w:val="single" w:sz="5" w:space="0" w:color="000000"/>
            </w:tcBorders>
          </w:tcPr>
          <w:p>
            <w:pPr>
              <w:pStyle w:val="TableParagraph"/>
              <w:spacing w:before="113"/>
              <w:ind w:left="280"/>
              <w:rPr>
                <w:sz w:val="18"/>
              </w:rPr>
            </w:pPr>
            <w:r>
              <w:rPr>
                <w:sz w:val="18"/>
              </w:rPr>
              <w:t>3,551,469</w:t>
            </w:r>
          </w:p>
        </w:tc>
      </w:tr>
      <w:tr>
        <w:trPr>
          <w:trHeight w:val="540" w:hRule="exact"/>
        </w:trPr>
        <w:tc>
          <w:tcPr>
            <w:tcW w:w="334" w:type="dxa"/>
          </w:tcPr>
          <w:p>
            <w:pPr>
              <w:pStyle w:val="TableParagraph"/>
              <w:spacing w:before="7"/>
              <w:rPr>
                <w:b/>
                <w:sz w:val="26"/>
              </w:rPr>
            </w:pPr>
          </w:p>
          <w:p>
            <w:pPr>
              <w:pStyle w:val="TableParagraph"/>
              <w:ind w:left="16" w:right="76"/>
              <w:jc w:val="center"/>
              <w:rPr>
                <w:b/>
                <w:sz w:val="18"/>
              </w:rPr>
            </w:pPr>
            <w:r>
              <w:rPr>
                <w:b/>
                <w:sz w:val="18"/>
              </w:rPr>
              <w:t>10</w:t>
            </w:r>
          </w:p>
        </w:tc>
        <w:tc>
          <w:tcPr>
            <w:tcW w:w="7023" w:type="dxa"/>
          </w:tcPr>
          <w:p>
            <w:pPr>
              <w:pStyle w:val="TableParagraph"/>
              <w:spacing w:before="7"/>
              <w:rPr>
                <w:b/>
                <w:sz w:val="26"/>
              </w:rPr>
            </w:pPr>
          </w:p>
          <w:p>
            <w:pPr>
              <w:pStyle w:val="TableParagraph"/>
              <w:ind w:left="99"/>
              <w:rPr>
                <w:b/>
                <w:sz w:val="18"/>
              </w:rPr>
            </w:pPr>
            <w:r>
              <w:rPr>
                <w:b/>
                <w:sz w:val="18"/>
              </w:rPr>
              <w:t>Borrowings</w:t>
            </w:r>
          </w:p>
        </w:tc>
        <w:tc>
          <w:tcPr>
            <w:tcW w:w="1462" w:type="dxa"/>
            <w:tcBorders>
              <w:top w:val="single" w:sz="5" w:space="0" w:color="000000"/>
            </w:tcBorders>
          </w:tcPr>
          <w:p>
            <w:pPr/>
          </w:p>
        </w:tc>
        <w:tc>
          <w:tcPr>
            <w:tcW w:w="1133" w:type="dxa"/>
            <w:tcBorders>
              <w:top w:val="single" w:sz="5" w:space="0" w:color="000000"/>
            </w:tcBorders>
          </w:tcPr>
          <w:p>
            <w:pPr/>
          </w:p>
        </w:tc>
      </w:tr>
      <w:tr>
        <w:trPr>
          <w:trHeight w:val="257" w:hRule="exact"/>
        </w:trPr>
        <w:tc>
          <w:tcPr>
            <w:tcW w:w="334" w:type="dxa"/>
          </w:tcPr>
          <w:p>
            <w:pPr/>
          </w:p>
        </w:tc>
        <w:tc>
          <w:tcPr>
            <w:tcW w:w="7023" w:type="dxa"/>
          </w:tcPr>
          <w:p>
            <w:pPr/>
          </w:p>
        </w:tc>
        <w:tc>
          <w:tcPr>
            <w:tcW w:w="1462" w:type="dxa"/>
          </w:tcPr>
          <w:p>
            <w:pPr>
              <w:pStyle w:val="TableParagraph"/>
              <w:spacing w:before="7"/>
              <w:ind w:left="458"/>
              <w:rPr>
                <w:b/>
                <w:sz w:val="18"/>
              </w:rPr>
            </w:pPr>
            <w:r>
              <w:rPr>
                <w:b/>
                <w:sz w:val="18"/>
              </w:rPr>
              <w:t>2012</w:t>
            </w:r>
          </w:p>
        </w:tc>
        <w:tc>
          <w:tcPr>
            <w:tcW w:w="1133" w:type="dxa"/>
          </w:tcPr>
          <w:p>
            <w:pPr>
              <w:pStyle w:val="TableParagraph"/>
              <w:spacing w:before="7"/>
              <w:ind w:left="287"/>
              <w:rPr>
                <w:b/>
                <w:sz w:val="18"/>
              </w:rPr>
            </w:pPr>
            <w:r>
              <w:rPr>
                <w:b/>
                <w:sz w:val="18"/>
              </w:rPr>
              <w:t>2011</w:t>
            </w:r>
          </w:p>
        </w:tc>
      </w:tr>
      <w:tr>
        <w:trPr>
          <w:trHeight w:val="317" w:hRule="exact"/>
        </w:trPr>
        <w:tc>
          <w:tcPr>
            <w:tcW w:w="334" w:type="dxa"/>
          </w:tcPr>
          <w:p>
            <w:pPr/>
          </w:p>
        </w:tc>
        <w:tc>
          <w:tcPr>
            <w:tcW w:w="7023" w:type="dxa"/>
          </w:tcPr>
          <w:p>
            <w:pPr/>
          </w:p>
        </w:tc>
        <w:tc>
          <w:tcPr>
            <w:tcW w:w="1462" w:type="dxa"/>
          </w:tcPr>
          <w:p>
            <w:pPr>
              <w:pStyle w:val="TableParagraph"/>
              <w:spacing w:before="24"/>
              <w:ind w:right="144"/>
              <w:jc w:val="center"/>
              <w:rPr>
                <w:b/>
                <w:sz w:val="18"/>
              </w:rPr>
            </w:pPr>
            <w:r>
              <w:rPr>
                <w:b/>
                <w:w w:val="99"/>
                <w:sz w:val="18"/>
              </w:rPr>
              <w:t>$</w:t>
            </w:r>
          </w:p>
        </w:tc>
        <w:tc>
          <w:tcPr>
            <w:tcW w:w="1133" w:type="dxa"/>
          </w:tcPr>
          <w:p>
            <w:pPr>
              <w:pStyle w:val="TableParagraph"/>
              <w:spacing w:before="24"/>
              <w:ind w:right="157"/>
              <w:jc w:val="center"/>
              <w:rPr>
                <w:b/>
                <w:sz w:val="18"/>
              </w:rPr>
            </w:pPr>
            <w:r>
              <w:rPr>
                <w:b/>
                <w:w w:val="99"/>
                <w:sz w:val="18"/>
              </w:rPr>
              <w:t>$</w:t>
            </w:r>
          </w:p>
        </w:tc>
      </w:tr>
      <w:tr>
        <w:trPr>
          <w:trHeight w:val="547" w:hRule="exact"/>
        </w:trPr>
        <w:tc>
          <w:tcPr>
            <w:tcW w:w="334" w:type="dxa"/>
          </w:tcPr>
          <w:p>
            <w:pPr/>
          </w:p>
        </w:tc>
        <w:tc>
          <w:tcPr>
            <w:tcW w:w="7023" w:type="dxa"/>
          </w:tcPr>
          <w:p>
            <w:pPr>
              <w:pStyle w:val="TableParagraph"/>
              <w:spacing w:before="67"/>
              <w:ind w:left="97"/>
              <w:rPr>
                <w:sz w:val="18"/>
              </w:rPr>
            </w:pPr>
            <w:r>
              <w:rPr>
                <w:sz w:val="18"/>
              </w:rPr>
              <w:t>Non current</w:t>
            </w:r>
          </w:p>
          <w:p>
            <w:pPr>
              <w:pStyle w:val="TableParagraph"/>
              <w:spacing w:before="21"/>
              <w:ind w:left="97"/>
              <w:rPr>
                <w:sz w:val="18"/>
              </w:rPr>
            </w:pPr>
            <w:r>
              <w:rPr>
                <w:sz w:val="18"/>
              </w:rPr>
              <w:t>Loans from related parties</w:t>
            </w:r>
          </w:p>
        </w:tc>
        <w:tc>
          <w:tcPr>
            <w:tcW w:w="1462" w:type="dxa"/>
            <w:tcBorders>
              <w:bottom w:val="single" w:sz="8" w:space="0" w:color="000000"/>
            </w:tcBorders>
          </w:tcPr>
          <w:p>
            <w:pPr>
              <w:pStyle w:val="TableParagraph"/>
              <w:spacing w:before="7"/>
              <w:rPr>
                <w:b/>
                <w:sz w:val="25"/>
              </w:rPr>
            </w:pPr>
          </w:p>
          <w:p>
            <w:pPr>
              <w:pStyle w:val="TableParagraph"/>
              <w:ind w:left="410"/>
              <w:rPr>
                <w:b/>
                <w:sz w:val="18"/>
              </w:rPr>
            </w:pPr>
            <w:r>
              <w:rPr>
                <w:b/>
                <w:sz w:val="18"/>
              </w:rPr>
              <w:t>1,539,874</w:t>
            </w:r>
          </w:p>
        </w:tc>
        <w:tc>
          <w:tcPr>
            <w:tcW w:w="1133" w:type="dxa"/>
            <w:tcBorders>
              <w:bottom w:val="single" w:sz="8" w:space="0" w:color="000000"/>
            </w:tcBorders>
          </w:tcPr>
          <w:p>
            <w:pPr>
              <w:pStyle w:val="TableParagraph"/>
              <w:spacing w:before="7"/>
              <w:rPr>
                <w:b/>
                <w:sz w:val="25"/>
              </w:rPr>
            </w:pPr>
          </w:p>
          <w:p>
            <w:pPr>
              <w:pStyle w:val="TableParagraph"/>
              <w:ind w:left="227"/>
              <w:rPr>
                <w:sz w:val="18"/>
              </w:rPr>
            </w:pPr>
            <w:r>
              <w:rPr>
                <w:sz w:val="18"/>
              </w:rPr>
              <w:t>1,539,874</w:t>
            </w:r>
          </w:p>
        </w:tc>
      </w:tr>
      <w:tr>
        <w:trPr>
          <w:trHeight w:val="352" w:hRule="exact"/>
        </w:trPr>
        <w:tc>
          <w:tcPr>
            <w:tcW w:w="334" w:type="dxa"/>
          </w:tcPr>
          <w:p>
            <w:pPr/>
          </w:p>
        </w:tc>
        <w:tc>
          <w:tcPr>
            <w:tcW w:w="7023" w:type="dxa"/>
          </w:tcPr>
          <w:p>
            <w:pPr>
              <w:pStyle w:val="TableParagraph"/>
              <w:spacing w:before="122"/>
              <w:ind w:left="97"/>
              <w:rPr>
                <w:b/>
                <w:sz w:val="18"/>
              </w:rPr>
            </w:pPr>
            <w:r>
              <w:rPr>
                <w:b/>
                <w:sz w:val="18"/>
              </w:rPr>
              <w:t>Total borrowings</w:t>
            </w:r>
          </w:p>
        </w:tc>
        <w:tc>
          <w:tcPr>
            <w:tcW w:w="1462" w:type="dxa"/>
            <w:tcBorders>
              <w:top w:val="single" w:sz="8" w:space="0" w:color="000000"/>
              <w:bottom w:val="single" w:sz="5" w:space="0" w:color="000000"/>
            </w:tcBorders>
          </w:tcPr>
          <w:p>
            <w:pPr>
              <w:pStyle w:val="TableParagraph"/>
              <w:spacing w:before="112"/>
              <w:ind w:left="410"/>
              <w:rPr>
                <w:b/>
                <w:sz w:val="18"/>
              </w:rPr>
            </w:pPr>
            <w:r>
              <w:rPr>
                <w:b/>
                <w:sz w:val="18"/>
              </w:rPr>
              <w:t>1,539,874</w:t>
            </w:r>
          </w:p>
        </w:tc>
        <w:tc>
          <w:tcPr>
            <w:tcW w:w="1133" w:type="dxa"/>
            <w:tcBorders>
              <w:top w:val="single" w:sz="8" w:space="0" w:color="000000"/>
              <w:bottom w:val="single" w:sz="5" w:space="0" w:color="000000"/>
            </w:tcBorders>
          </w:tcPr>
          <w:p>
            <w:pPr>
              <w:pStyle w:val="TableParagraph"/>
              <w:spacing w:before="112"/>
              <w:ind w:left="227"/>
              <w:rPr>
                <w:sz w:val="18"/>
              </w:rPr>
            </w:pPr>
            <w:r>
              <w:rPr>
                <w:sz w:val="18"/>
              </w:rPr>
              <w:t>1,539,874</w:t>
            </w:r>
          </w:p>
        </w:tc>
      </w:tr>
      <w:tr>
        <w:trPr>
          <w:trHeight w:val="540" w:hRule="exact"/>
        </w:trPr>
        <w:tc>
          <w:tcPr>
            <w:tcW w:w="334" w:type="dxa"/>
          </w:tcPr>
          <w:p>
            <w:pPr>
              <w:pStyle w:val="TableParagraph"/>
              <w:spacing w:before="6"/>
              <w:rPr>
                <w:b/>
                <w:sz w:val="26"/>
              </w:rPr>
            </w:pPr>
          </w:p>
          <w:p>
            <w:pPr>
              <w:pStyle w:val="TableParagraph"/>
              <w:ind w:left="16" w:right="76"/>
              <w:jc w:val="center"/>
              <w:rPr>
                <w:b/>
                <w:sz w:val="18"/>
              </w:rPr>
            </w:pPr>
            <w:r>
              <w:rPr>
                <w:b/>
                <w:sz w:val="18"/>
              </w:rPr>
              <w:t>11</w:t>
            </w:r>
          </w:p>
        </w:tc>
        <w:tc>
          <w:tcPr>
            <w:tcW w:w="7023" w:type="dxa"/>
          </w:tcPr>
          <w:p>
            <w:pPr>
              <w:pStyle w:val="TableParagraph"/>
              <w:spacing w:before="6"/>
              <w:rPr>
                <w:b/>
                <w:sz w:val="26"/>
              </w:rPr>
            </w:pPr>
          </w:p>
          <w:p>
            <w:pPr>
              <w:pStyle w:val="TableParagraph"/>
              <w:ind w:left="99"/>
              <w:rPr>
                <w:b/>
                <w:sz w:val="18"/>
              </w:rPr>
            </w:pPr>
            <w:r>
              <w:rPr>
                <w:b/>
                <w:sz w:val="18"/>
              </w:rPr>
              <w:t>Employee Benefits</w:t>
            </w:r>
          </w:p>
        </w:tc>
        <w:tc>
          <w:tcPr>
            <w:tcW w:w="1462" w:type="dxa"/>
            <w:tcBorders>
              <w:top w:val="single" w:sz="5" w:space="0" w:color="000000"/>
            </w:tcBorders>
          </w:tcPr>
          <w:p>
            <w:pPr/>
          </w:p>
        </w:tc>
        <w:tc>
          <w:tcPr>
            <w:tcW w:w="1133" w:type="dxa"/>
            <w:tcBorders>
              <w:top w:val="single" w:sz="5" w:space="0" w:color="000000"/>
            </w:tcBorders>
          </w:tcPr>
          <w:p>
            <w:pPr/>
          </w:p>
        </w:tc>
      </w:tr>
      <w:tr>
        <w:trPr>
          <w:trHeight w:val="257" w:hRule="exact"/>
        </w:trPr>
        <w:tc>
          <w:tcPr>
            <w:tcW w:w="334" w:type="dxa"/>
          </w:tcPr>
          <w:p>
            <w:pPr/>
          </w:p>
        </w:tc>
        <w:tc>
          <w:tcPr>
            <w:tcW w:w="7023" w:type="dxa"/>
          </w:tcPr>
          <w:p>
            <w:pPr/>
          </w:p>
        </w:tc>
        <w:tc>
          <w:tcPr>
            <w:tcW w:w="1462" w:type="dxa"/>
          </w:tcPr>
          <w:p>
            <w:pPr>
              <w:pStyle w:val="TableParagraph"/>
              <w:spacing w:before="8"/>
              <w:ind w:left="458"/>
              <w:rPr>
                <w:b/>
                <w:sz w:val="18"/>
              </w:rPr>
            </w:pPr>
            <w:r>
              <w:rPr>
                <w:b/>
                <w:sz w:val="18"/>
              </w:rPr>
              <w:t>2012</w:t>
            </w:r>
          </w:p>
        </w:tc>
        <w:tc>
          <w:tcPr>
            <w:tcW w:w="1133" w:type="dxa"/>
          </w:tcPr>
          <w:p>
            <w:pPr>
              <w:pStyle w:val="TableParagraph"/>
              <w:spacing w:before="8"/>
              <w:ind w:left="287"/>
              <w:rPr>
                <w:b/>
                <w:sz w:val="18"/>
              </w:rPr>
            </w:pPr>
            <w:r>
              <w:rPr>
                <w:b/>
                <w:sz w:val="18"/>
              </w:rPr>
              <w:t>2011</w:t>
            </w:r>
          </w:p>
        </w:tc>
      </w:tr>
      <w:tr>
        <w:trPr>
          <w:trHeight w:val="274" w:hRule="exact"/>
        </w:trPr>
        <w:tc>
          <w:tcPr>
            <w:tcW w:w="334" w:type="dxa"/>
          </w:tcPr>
          <w:p>
            <w:pPr/>
          </w:p>
        </w:tc>
        <w:tc>
          <w:tcPr>
            <w:tcW w:w="7023" w:type="dxa"/>
          </w:tcPr>
          <w:p>
            <w:pPr/>
          </w:p>
        </w:tc>
        <w:tc>
          <w:tcPr>
            <w:tcW w:w="1462" w:type="dxa"/>
          </w:tcPr>
          <w:p>
            <w:pPr>
              <w:pStyle w:val="TableParagraph"/>
              <w:spacing w:before="22"/>
              <w:ind w:right="144"/>
              <w:jc w:val="center"/>
              <w:rPr>
                <w:b/>
                <w:sz w:val="18"/>
              </w:rPr>
            </w:pPr>
            <w:r>
              <w:rPr>
                <w:b/>
                <w:w w:val="99"/>
                <w:sz w:val="18"/>
              </w:rPr>
              <w:t>$</w:t>
            </w:r>
          </w:p>
        </w:tc>
        <w:tc>
          <w:tcPr>
            <w:tcW w:w="1133" w:type="dxa"/>
          </w:tcPr>
          <w:p>
            <w:pPr>
              <w:pStyle w:val="TableParagraph"/>
              <w:spacing w:before="22"/>
              <w:ind w:right="157"/>
              <w:jc w:val="center"/>
              <w:rPr>
                <w:b/>
                <w:sz w:val="18"/>
              </w:rPr>
            </w:pPr>
            <w:r>
              <w:rPr>
                <w:b/>
                <w:w w:val="99"/>
                <w:sz w:val="18"/>
              </w:rPr>
              <w:t>$</w:t>
            </w:r>
          </w:p>
        </w:tc>
      </w:tr>
      <w:tr>
        <w:trPr>
          <w:trHeight w:val="270" w:hRule="exact"/>
        </w:trPr>
        <w:tc>
          <w:tcPr>
            <w:tcW w:w="334" w:type="dxa"/>
          </w:tcPr>
          <w:p>
            <w:pPr/>
          </w:p>
        </w:tc>
        <w:tc>
          <w:tcPr>
            <w:tcW w:w="7023" w:type="dxa"/>
          </w:tcPr>
          <w:p>
            <w:pPr>
              <w:pStyle w:val="TableParagraph"/>
              <w:spacing w:before="25"/>
              <w:ind w:left="97"/>
              <w:rPr>
                <w:sz w:val="18"/>
              </w:rPr>
            </w:pPr>
            <w:r>
              <w:rPr>
                <w:sz w:val="18"/>
              </w:rPr>
              <w:t>Current</w:t>
            </w:r>
          </w:p>
        </w:tc>
        <w:tc>
          <w:tcPr>
            <w:tcW w:w="1462" w:type="dxa"/>
          </w:tcPr>
          <w:p>
            <w:pPr/>
          </w:p>
        </w:tc>
        <w:tc>
          <w:tcPr>
            <w:tcW w:w="1133" w:type="dxa"/>
          </w:tcPr>
          <w:p>
            <w:pPr/>
          </w:p>
        </w:tc>
      </w:tr>
      <w:tr>
        <w:trPr>
          <w:trHeight w:val="263" w:hRule="exact"/>
        </w:trPr>
        <w:tc>
          <w:tcPr>
            <w:tcW w:w="334" w:type="dxa"/>
          </w:tcPr>
          <w:p>
            <w:pPr/>
          </w:p>
        </w:tc>
        <w:tc>
          <w:tcPr>
            <w:tcW w:w="7023" w:type="dxa"/>
          </w:tcPr>
          <w:p>
            <w:pPr>
              <w:pStyle w:val="TableParagraph"/>
              <w:spacing w:before="19"/>
              <w:ind w:left="97"/>
              <w:rPr>
                <w:sz w:val="18"/>
              </w:rPr>
            </w:pPr>
            <w:r>
              <w:rPr>
                <w:sz w:val="18"/>
              </w:rPr>
              <w:t>Provision for employee benefits</w:t>
            </w:r>
          </w:p>
        </w:tc>
        <w:tc>
          <w:tcPr>
            <w:tcW w:w="1462" w:type="dxa"/>
            <w:tcBorders>
              <w:bottom w:val="single" w:sz="8" w:space="0" w:color="000000"/>
            </w:tcBorders>
          </w:tcPr>
          <w:p>
            <w:pPr>
              <w:pStyle w:val="TableParagraph"/>
              <w:spacing w:before="19"/>
              <w:ind w:right="258"/>
              <w:jc w:val="right"/>
              <w:rPr>
                <w:b/>
                <w:sz w:val="18"/>
              </w:rPr>
            </w:pPr>
            <w:r>
              <w:rPr>
                <w:b/>
                <w:sz w:val="18"/>
              </w:rPr>
              <w:t>57,780</w:t>
            </w:r>
          </w:p>
        </w:tc>
        <w:tc>
          <w:tcPr>
            <w:tcW w:w="1133" w:type="dxa"/>
            <w:tcBorders>
              <w:bottom w:val="single" w:sz="8" w:space="0" w:color="000000"/>
            </w:tcBorders>
          </w:tcPr>
          <w:p>
            <w:pPr>
              <w:pStyle w:val="TableParagraph"/>
              <w:spacing w:before="19"/>
              <w:ind w:right="92"/>
              <w:jc w:val="right"/>
              <w:rPr>
                <w:sz w:val="18"/>
              </w:rPr>
            </w:pPr>
            <w:r>
              <w:rPr>
                <w:sz w:val="18"/>
              </w:rPr>
              <w:t>52,613</w:t>
            </w:r>
          </w:p>
        </w:tc>
      </w:tr>
      <w:tr>
        <w:trPr>
          <w:trHeight w:val="779" w:hRule="exact"/>
        </w:trPr>
        <w:tc>
          <w:tcPr>
            <w:tcW w:w="334" w:type="dxa"/>
          </w:tcPr>
          <w:p>
            <w:pPr/>
          </w:p>
        </w:tc>
        <w:tc>
          <w:tcPr>
            <w:tcW w:w="7023" w:type="dxa"/>
          </w:tcPr>
          <w:p>
            <w:pPr/>
          </w:p>
        </w:tc>
        <w:tc>
          <w:tcPr>
            <w:tcW w:w="1462" w:type="dxa"/>
            <w:tcBorders>
              <w:top w:val="single" w:sz="8" w:space="0" w:color="000000"/>
            </w:tcBorders>
          </w:tcPr>
          <w:p>
            <w:pPr>
              <w:pStyle w:val="TableParagraph"/>
              <w:rPr>
                <w:b/>
                <w:sz w:val="18"/>
              </w:rPr>
            </w:pPr>
          </w:p>
          <w:p>
            <w:pPr>
              <w:pStyle w:val="TableParagraph"/>
              <w:rPr>
                <w:b/>
                <w:sz w:val="18"/>
              </w:rPr>
            </w:pPr>
          </w:p>
          <w:p>
            <w:pPr>
              <w:pStyle w:val="TableParagraph"/>
              <w:spacing w:before="105"/>
              <w:ind w:left="458"/>
              <w:rPr>
                <w:b/>
                <w:sz w:val="18"/>
              </w:rPr>
            </w:pPr>
            <w:r>
              <w:rPr>
                <w:b/>
                <w:sz w:val="18"/>
              </w:rPr>
              <w:t>2012</w:t>
            </w:r>
          </w:p>
        </w:tc>
        <w:tc>
          <w:tcPr>
            <w:tcW w:w="1133" w:type="dxa"/>
            <w:tcBorders>
              <w:top w:val="single" w:sz="8" w:space="0" w:color="000000"/>
            </w:tcBorders>
          </w:tcPr>
          <w:p>
            <w:pPr>
              <w:pStyle w:val="TableParagraph"/>
              <w:rPr>
                <w:b/>
                <w:sz w:val="18"/>
              </w:rPr>
            </w:pPr>
          </w:p>
          <w:p>
            <w:pPr>
              <w:pStyle w:val="TableParagraph"/>
              <w:rPr>
                <w:b/>
                <w:sz w:val="18"/>
              </w:rPr>
            </w:pPr>
          </w:p>
          <w:p>
            <w:pPr>
              <w:pStyle w:val="TableParagraph"/>
              <w:spacing w:before="105"/>
              <w:ind w:left="287"/>
              <w:rPr>
                <w:b/>
                <w:sz w:val="18"/>
              </w:rPr>
            </w:pPr>
            <w:r>
              <w:rPr>
                <w:b/>
                <w:sz w:val="18"/>
              </w:rPr>
              <w:t>2011</w:t>
            </w:r>
          </w:p>
        </w:tc>
      </w:tr>
      <w:tr>
        <w:trPr>
          <w:trHeight w:val="275" w:hRule="exact"/>
        </w:trPr>
        <w:tc>
          <w:tcPr>
            <w:tcW w:w="334" w:type="dxa"/>
          </w:tcPr>
          <w:p>
            <w:pPr/>
          </w:p>
        </w:tc>
        <w:tc>
          <w:tcPr>
            <w:tcW w:w="7023" w:type="dxa"/>
          </w:tcPr>
          <w:p>
            <w:pPr/>
          </w:p>
        </w:tc>
        <w:tc>
          <w:tcPr>
            <w:tcW w:w="1462" w:type="dxa"/>
          </w:tcPr>
          <w:p>
            <w:pPr>
              <w:pStyle w:val="TableParagraph"/>
              <w:spacing w:before="24"/>
              <w:ind w:right="144"/>
              <w:jc w:val="center"/>
              <w:rPr>
                <w:b/>
                <w:sz w:val="18"/>
              </w:rPr>
            </w:pPr>
            <w:r>
              <w:rPr>
                <w:b/>
                <w:w w:val="99"/>
                <w:sz w:val="18"/>
              </w:rPr>
              <w:t>$</w:t>
            </w:r>
          </w:p>
        </w:tc>
        <w:tc>
          <w:tcPr>
            <w:tcW w:w="1133" w:type="dxa"/>
          </w:tcPr>
          <w:p>
            <w:pPr>
              <w:pStyle w:val="TableParagraph"/>
              <w:spacing w:before="24"/>
              <w:ind w:right="157"/>
              <w:jc w:val="center"/>
              <w:rPr>
                <w:b/>
                <w:sz w:val="18"/>
              </w:rPr>
            </w:pPr>
            <w:r>
              <w:rPr>
                <w:b/>
                <w:w w:val="99"/>
                <w:sz w:val="18"/>
              </w:rPr>
              <w:t>$</w:t>
            </w:r>
          </w:p>
        </w:tc>
      </w:tr>
      <w:tr>
        <w:trPr>
          <w:trHeight w:val="269" w:hRule="exact"/>
        </w:trPr>
        <w:tc>
          <w:tcPr>
            <w:tcW w:w="334" w:type="dxa"/>
          </w:tcPr>
          <w:p>
            <w:pPr/>
          </w:p>
        </w:tc>
        <w:tc>
          <w:tcPr>
            <w:tcW w:w="7023" w:type="dxa"/>
          </w:tcPr>
          <w:p>
            <w:pPr>
              <w:pStyle w:val="TableParagraph"/>
              <w:spacing w:before="25"/>
              <w:ind w:left="97"/>
              <w:rPr>
                <w:sz w:val="18"/>
              </w:rPr>
            </w:pPr>
            <w:r>
              <w:rPr>
                <w:sz w:val="18"/>
              </w:rPr>
              <w:t>Non-current</w:t>
            </w:r>
          </w:p>
        </w:tc>
        <w:tc>
          <w:tcPr>
            <w:tcW w:w="1462" w:type="dxa"/>
          </w:tcPr>
          <w:p>
            <w:pPr/>
          </w:p>
        </w:tc>
        <w:tc>
          <w:tcPr>
            <w:tcW w:w="1133" w:type="dxa"/>
          </w:tcPr>
          <w:p>
            <w:pPr/>
          </w:p>
        </w:tc>
      </w:tr>
      <w:tr>
        <w:trPr>
          <w:trHeight w:val="263" w:hRule="exact"/>
        </w:trPr>
        <w:tc>
          <w:tcPr>
            <w:tcW w:w="334" w:type="dxa"/>
          </w:tcPr>
          <w:p>
            <w:pPr/>
          </w:p>
        </w:tc>
        <w:tc>
          <w:tcPr>
            <w:tcW w:w="7023" w:type="dxa"/>
          </w:tcPr>
          <w:p>
            <w:pPr>
              <w:pStyle w:val="TableParagraph"/>
              <w:spacing w:before="18"/>
              <w:ind w:left="97"/>
              <w:rPr>
                <w:sz w:val="18"/>
              </w:rPr>
            </w:pPr>
            <w:r>
              <w:rPr>
                <w:sz w:val="18"/>
              </w:rPr>
              <w:t>Long service leave</w:t>
            </w:r>
          </w:p>
        </w:tc>
        <w:tc>
          <w:tcPr>
            <w:tcW w:w="1462" w:type="dxa"/>
            <w:tcBorders>
              <w:bottom w:val="single" w:sz="8" w:space="0" w:color="000000"/>
            </w:tcBorders>
          </w:tcPr>
          <w:p>
            <w:pPr>
              <w:pStyle w:val="TableParagraph"/>
              <w:spacing w:before="18"/>
              <w:ind w:right="258"/>
              <w:jc w:val="right"/>
              <w:rPr>
                <w:b/>
                <w:sz w:val="18"/>
              </w:rPr>
            </w:pPr>
            <w:r>
              <w:rPr>
                <w:b/>
                <w:sz w:val="18"/>
              </w:rPr>
              <w:t>31,095</w:t>
            </w:r>
          </w:p>
        </w:tc>
        <w:tc>
          <w:tcPr>
            <w:tcW w:w="1133" w:type="dxa"/>
            <w:tcBorders>
              <w:bottom w:val="single" w:sz="8" w:space="0" w:color="000000"/>
            </w:tcBorders>
          </w:tcPr>
          <w:p>
            <w:pPr>
              <w:pStyle w:val="TableParagraph"/>
              <w:spacing w:before="18"/>
              <w:ind w:right="92"/>
              <w:jc w:val="right"/>
              <w:rPr>
                <w:sz w:val="18"/>
              </w:rPr>
            </w:pPr>
            <w:r>
              <w:rPr>
                <w:sz w:val="18"/>
              </w:rPr>
              <w:t>24,142</w:t>
            </w:r>
          </w:p>
        </w:tc>
      </w:tr>
      <w:tr>
        <w:trPr>
          <w:trHeight w:val="523" w:hRule="exact"/>
        </w:trPr>
        <w:tc>
          <w:tcPr>
            <w:tcW w:w="334" w:type="dxa"/>
          </w:tcPr>
          <w:p>
            <w:pPr>
              <w:pStyle w:val="TableParagraph"/>
              <w:spacing w:before="2"/>
              <w:rPr>
                <w:b/>
                <w:sz w:val="25"/>
              </w:rPr>
            </w:pPr>
          </w:p>
          <w:p>
            <w:pPr>
              <w:pStyle w:val="TableParagraph"/>
              <w:ind w:left="16" w:right="76"/>
              <w:jc w:val="center"/>
              <w:rPr>
                <w:b/>
                <w:sz w:val="18"/>
              </w:rPr>
            </w:pPr>
            <w:r>
              <w:rPr>
                <w:b/>
                <w:sz w:val="18"/>
              </w:rPr>
              <w:t>12</w:t>
            </w:r>
          </w:p>
        </w:tc>
        <w:tc>
          <w:tcPr>
            <w:tcW w:w="7023" w:type="dxa"/>
          </w:tcPr>
          <w:p>
            <w:pPr>
              <w:pStyle w:val="TableParagraph"/>
              <w:spacing w:before="2"/>
              <w:rPr>
                <w:b/>
                <w:sz w:val="25"/>
              </w:rPr>
            </w:pPr>
          </w:p>
          <w:p>
            <w:pPr>
              <w:pStyle w:val="TableParagraph"/>
              <w:ind w:left="99"/>
              <w:rPr>
                <w:b/>
                <w:sz w:val="18"/>
              </w:rPr>
            </w:pPr>
            <w:r>
              <w:rPr>
                <w:b/>
                <w:sz w:val="18"/>
              </w:rPr>
              <w:t>Retained Earnings</w:t>
            </w:r>
          </w:p>
        </w:tc>
        <w:tc>
          <w:tcPr>
            <w:tcW w:w="1462" w:type="dxa"/>
            <w:tcBorders>
              <w:top w:val="single" w:sz="8" w:space="0" w:color="000000"/>
            </w:tcBorders>
          </w:tcPr>
          <w:p>
            <w:pPr/>
          </w:p>
        </w:tc>
        <w:tc>
          <w:tcPr>
            <w:tcW w:w="1133" w:type="dxa"/>
            <w:tcBorders>
              <w:top w:val="single" w:sz="8" w:space="0" w:color="000000"/>
            </w:tcBorders>
          </w:tcPr>
          <w:p>
            <w:pPr/>
          </w:p>
        </w:tc>
      </w:tr>
      <w:tr>
        <w:trPr>
          <w:trHeight w:val="262" w:hRule="exact"/>
        </w:trPr>
        <w:tc>
          <w:tcPr>
            <w:tcW w:w="334" w:type="dxa"/>
          </w:tcPr>
          <w:p>
            <w:pPr/>
          </w:p>
        </w:tc>
        <w:tc>
          <w:tcPr>
            <w:tcW w:w="7023" w:type="dxa"/>
          </w:tcPr>
          <w:p>
            <w:pPr/>
          </w:p>
        </w:tc>
        <w:tc>
          <w:tcPr>
            <w:tcW w:w="1462" w:type="dxa"/>
          </w:tcPr>
          <w:p>
            <w:pPr>
              <w:pStyle w:val="TableParagraph"/>
              <w:spacing w:before="7"/>
              <w:ind w:left="458"/>
              <w:rPr>
                <w:b/>
                <w:sz w:val="18"/>
              </w:rPr>
            </w:pPr>
            <w:r>
              <w:rPr>
                <w:b/>
                <w:sz w:val="18"/>
              </w:rPr>
              <w:t>2012</w:t>
            </w:r>
          </w:p>
        </w:tc>
        <w:tc>
          <w:tcPr>
            <w:tcW w:w="1133" w:type="dxa"/>
          </w:tcPr>
          <w:p>
            <w:pPr>
              <w:pStyle w:val="TableParagraph"/>
              <w:spacing w:before="7"/>
              <w:ind w:left="287"/>
              <w:rPr>
                <w:b/>
                <w:sz w:val="18"/>
              </w:rPr>
            </w:pPr>
            <w:r>
              <w:rPr>
                <w:b/>
                <w:sz w:val="18"/>
              </w:rPr>
              <w:t>2011</w:t>
            </w:r>
          </w:p>
        </w:tc>
      </w:tr>
      <w:tr>
        <w:trPr>
          <w:trHeight w:val="271" w:hRule="exact"/>
        </w:trPr>
        <w:tc>
          <w:tcPr>
            <w:tcW w:w="334" w:type="dxa"/>
          </w:tcPr>
          <w:p>
            <w:pPr/>
          </w:p>
        </w:tc>
        <w:tc>
          <w:tcPr>
            <w:tcW w:w="7023" w:type="dxa"/>
          </w:tcPr>
          <w:p>
            <w:pPr/>
          </w:p>
        </w:tc>
        <w:tc>
          <w:tcPr>
            <w:tcW w:w="1462" w:type="dxa"/>
          </w:tcPr>
          <w:p>
            <w:pPr>
              <w:pStyle w:val="TableParagraph"/>
              <w:spacing w:before="28"/>
              <w:ind w:right="144"/>
              <w:jc w:val="center"/>
              <w:rPr>
                <w:b/>
                <w:sz w:val="18"/>
              </w:rPr>
            </w:pPr>
            <w:r>
              <w:rPr>
                <w:b/>
                <w:w w:val="99"/>
                <w:sz w:val="18"/>
              </w:rPr>
              <w:t>$</w:t>
            </w:r>
          </w:p>
        </w:tc>
        <w:tc>
          <w:tcPr>
            <w:tcW w:w="1133" w:type="dxa"/>
          </w:tcPr>
          <w:p>
            <w:pPr>
              <w:pStyle w:val="TableParagraph"/>
              <w:spacing w:before="28"/>
              <w:ind w:right="157"/>
              <w:jc w:val="center"/>
              <w:rPr>
                <w:b/>
                <w:sz w:val="18"/>
              </w:rPr>
            </w:pPr>
            <w:r>
              <w:rPr>
                <w:b/>
                <w:w w:val="99"/>
                <w:sz w:val="18"/>
              </w:rPr>
              <w:t>$</w:t>
            </w:r>
          </w:p>
        </w:tc>
      </w:tr>
      <w:tr>
        <w:trPr>
          <w:trHeight w:val="260" w:hRule="exact"/>
        </w:trPr>
        <w:tc>
          <w:tcPr>
            <w:tcW w:w="334" w:type="dxa"/>
          </w:tcPr>
          <w:p>
            <w:pPr/>
          </w:p>
        </w:tc>
        <w:tc>
          <w:tcPr>
            <w:tcW w:w="7023" w:type="dxa"/>
          </w:tcPr>
          <w:p>
            <w:pPr>
              <w:pStyle w:val="TableParagraph"/>
              <w:spacing w:before="16"/>
              <w:ind w:left="97"/>
              <w:rPr>
                <w:sz w:val="18"/>
              </w:rPr>
            </w:pPr>
            <w:r>
              <w:rPr>
                <w:sz w:val="18"/>
              </w:rPr>
              <w:t>Balance at 1 January</w:t>
            </w:r>
          </w:p>
        </w:tc>
        <w:tc>
          <w:tcPr>
            <w:tcW w:w="1462" w:type="dxa"/>
          </w:tcPr>
          <w:p>
            <w:pPr>
              <w:pStyle w:val="TableParagraph"/>
              <w:spacing w:before="16"/>
              <w:ind w:right="184"/>
              <w:jc w:val="right"/>
              <w:rPr>
                <w:b/>
                <w:sz w:val="18"/>
              </w:rPr>
            </w:pPr>
            <w:r>
              <w:rPr>
                <w:b/>
                <w:sz w:val="18"/>
              </w:rPr>
              <w:t>(4,683,092)</w:t>
            </w:r>
          </w:p>
        </w:tc>
        <w:tc>
          <w:tcPr>
            <w:tcW w:w="1133" w:type="dxa"/>
          </w:tcPr>
          <w:p>
            <w:pPr>
              <w:pStyle w:val="TableParagraph"/>
              <w:spacing w:before="16"/>
              <w:ind w:right="19"/>
              <w:jc w:val="right"/>
              <w:rPr>
                <w:sz w:val="18"/>
              </w:rPr>
            </w:pPr>
            <w:r>
              <w:rPr>
                <w:sz w:val="18"/>
              </w:rPr>
              <w:t>(3,857,875)</w:t>
            </w:r>
          </w:p>
        </w:tc>
      </w:tr>
      <w:tr>
        <w:trPr>
          <w:trHeight w:val="272" w:hRule="exact"/>
        </w:trPr>
        <w:tc>
          <w:tcPr>
            <w:tcW w:w="334" w:type="dxa"/>
          </w:tcPr>
          <w:p>
            <w:pPr/>
          </w:p>
        </w:tc>
        <w:tc>
          <w:tcPr>
            <w:tcW w:w="7023" w:type="dxa"/>
          </w:tcPr>
          <w:p>
            <w:pPr>
              <w:pStyle w:val="TableParagraph"/>
              <w:spacing w:before="17"/>
              <w:ind w:left="97"/>
              <w:rPr>
                <w:sz w:val="18"/>
              </w:rPr>
            </w:pPr>
            <w:r>
              <w:rPr>
                <w:sz w:val="18"/>
              </w:rPr>
              <w:t>Surplus / (deficit) for the year</w:t>
            </w:r>
          </w:p>
        </w:tc>
        <w:tc>
          <w:tcPr>
            <w:tcW w:w="1462" w:type="dxa"/>
            <w:tcBorders>
              <w:bottom w:val="single" w:sz="8" w:space="0" w:color="000000"/>
            </w:tcBorders>
          </w:tcPr>
          <w:p>
            <w:pPr>
              <w:pStyle w:val="TableParagraph"/>
              <w:spacing w:before="17"/>
              <w:ind w:right="257"/>
              <w:jc w:val="right"/>
              <w:rPr>
                <w:b/>
                <w:sz w:val="18"/>
              </w:rPr>
            </w:pPr>
            <w:r>
              <w:rPr>
                <w:b/>
                <w:sz w:val="18"/>
              </w:rPr>
              <w:t>485,892</w:t>
            </w:r>
          </w:p>
        </w:tc>
        <w:tc>
          <w:tcPr>
            <w:tcW w:w="1133" w:type="dxa"/>
            <w:tcBorders>
              <w:bottom w:val="single" w:sz="8" w:space="0" w:color="000000"/>
            </w:tcBorders>
          </w:tcPr>
          <w:p>
            <w:pPr>
              <w:pStyle w:val="TableParagraph"/>
              <w:spacing w:before="17"/>
              <w:ind w:right="28"/>
              <w:jc w:val="right"/>
              <w:rPr>
                <w:sz w:val="18"/>
              </w:rPr>
            </w:pPr>
            <w:r>
              <w:rPr>
                <w:sz w:val="18"/>
              </w:rPr>
              <w:t>(825,217)</w:t>
            </w:r>
          </w:p>
        </w:tc>
      </w:tr>
      <w:tr>
        <w:trPr>
          <w:trHeight w:val="360" w:hRule="exact"/>
        </w:trPr>
        <w:tc>
          <w:tcPr>
            <w:tcW w:w="334" w:type="dxa"/>
          </w:tcPr>
          <w:p>
            <w:pPr/>
          </w:p>
        </w:tc>
        <w:tc>
          <w:tcPr>
            <w:tcW w:w="7023" w:type="dxa"/>
          </w:tcPr>
          <w:p>
            <w:pPr>
              <w:pStyle w:val="TableParagraph"/>
              <w:spacing w:before="117"/>
              <w:ind w:left="97"/>
              <w:rPr>
                <w:b/>
                <w:sz w:val="18"/>
              </w:rPr>
            </w:pPr>
            <w:r>
              <w:rPr>
                <w:b/>
                <w:sz w:val="18"/>
              </w:rPr>
              <w:t>Balance at 31 December</w:t>
            </w:r>
          </w:p>
        </w:tc>
        <w:tc>
          <w:tcPr>
            <w:tcW w:w="1462" w:type="dxa"/>
            <w:tcBorders>
              <w:top w:val="single" w:sz="8" w:space="0" w:color="000000"/>
              <w:bottom w:val="single" w:sz="6" w:space="0" w:color="000000"/>
            </w:tcBorders>
          </w:tcPr>
          <w:p>
            <w:pPr>
              <w:pStyle w:val="TableParagraph"/>
              <w:spacing w:before="107"/>
              <w:ind w:right="184"/>
              <w:jc w:val="right"/>
              <w:rPr>
                <w:b/>
                <w:sz w:val="18"/>
              </w:rPr>
            </w:pPr>
            <w:r>
              <w:rPr>
                <w:b/>
                <w:sz w:val="18"/>
              </w:rPr>
              <w:t>(4,197,200)</w:t>
            </w:r>
          </w:p>
        </w:tc>
        <w:tc>
          <w:tcPr>
            <w:tcW w:w="1133" w:type="dxa"/>
            <w:tcBorders>
              <w:top w:val="single" w:sz="8" w:space="0" w:color="000000"/>
              <w:bottom w:val="single" w:sz="6" w:space="0" w:color="000000"/>
            </w:tcBorders>
          </w:tcPr>
          <w:p>
            <w:pPr>
              <w:pStyle w:val="TableParagraph"/>
              <w:spacing w:before="107"/>
              <w:ind w:right="19"/>
              <w:jc w:val="right"/>
              <w:rPr>
                <w:sz w:val="18"/>
              </w:rPr>
            </w:pPr>
            <w:r>
              <w:rPr>
                <w:sz w:val="18"/>
              </w:rPr>
              <w:t>(4,683,092)</w:t>
            </w:r>
          </w:p>
        </w:tc>
      </w:tr>
    </w:tbl>
    <w:p>
      <w:pPr>
        <w:spacing w:after="0"/>
        <w:jc w:val="right"/>
        <w:rPr>
          <w:sz w:val="18"/>
        </w:rPr>
        <w:sectPr>
          <w:type w:val="continuous"/>
          <w:pgSz w:w="11930" w:h="16850"/>
          <w:pgMar w:top="0" w:bottom="280" w:left="860" w:right="880"/>
        </w:sectPr>
      </w:pPr>
    </w:p>
    <w:p>
      <w:pPr>
        <w:pStyle w:val="BodyText"/>
        <w:spacing w:before="10"/>
        <w:rPr>
          <w:b/>
          <w:sz w:val="23"/>
        </w:rPr>
      </w:pPr>
    </w:p>
    <w:p>
      <w:pPr>
        <w:spacing w:before="65"/>
        <w:ind w:left="107" w:right="125" w:firstLine="0"/>
        <w:jc w:val="left"/>
        <w:rPr>
          <w:b/>
          <w:sz w:val="28"/>
        </w:rPr>
      </w:pPr>
      <w:r>
        <w:rPr>
          <w:b/>
          <w:sz w:val="28"/>
        </w:rPr>
        <w:t>Notes to the Financial Statements</w:t>
      </w:r>
    </w:p>
    <w:p>
      <w:pPr>
        <w:spacing w:before="62"/>
        <w:ind w:left="107" w:right="125" w:firstLine="0"/>
        <w:jc w:val="left"/>
        <w:rPr>
          <w:b/>
          <w:sz w:val="28"/>
        </w:rPr>
      </w:pPr>
      <w:r>
        <w:rPr>
          <w:b/>
          <w:sz w:val="28"/>
        </w:rPr>
        <w:t>For the Year Ended 31 December</w:t>
      </w:r>
      <w:r>
        <w:rPr>
          <w:b/>
          <w:spacing w:val="-52"/>
          <w:sz w:val="28"/>
        </w:rPr>
        <w:t> </w:t>
      </w:r>
      <w:r>
        <w:rPr>
          <w:b/>
          <w:sz w:val="28"/>
        </w:rPr>
        <w:t>2012</w:t>
      </w:r>
    </w:p>
    <w:p>
      <w:pPr>
        <w:pStyle w:val="BodyText"/>
        <w:spacing w:before="4"/>
        <w:rPr>
          <w:b/>
          <w:sz w:val="24"/>
        </w:rPr>
      </w:pPr>
    </w:p>
    <w:p>
      <w:pPr>
        <w:spacing w:before="77"/>
        <w:ind w:left="107" w:right="125" w:firstLine="0"/>
        <w:jc w:val="left"/>
        <w:rPr>
          <w:b/>
          <w:sz w:val="18"/>
        </w:rPr>
      </w:pPr>
      <w:r>
        <w:rPr>
          <w:b/>
          <w:sz w:val="18"/>
        </w:rPr>
        <w:t>13    Financial Risk Management</w:t>
      </w:r>
    </w:p>
    <w:p>
      <w:pPr>
        <w:pStyle w:val="BodyText"/>
        <w:spacing w:before="6"/>
        <w:rPr>
          <w:b/>
          <w:sz w:val="25"/>
        </w:rPr>
      </w:pPr>
    </w:p>
    <w:p>
      <w:pPr>
        <w:pStyle w:val="BodyText"/>
        <w:spacing w:line="237" w:lineRule="auto"/>
        <w:ind w:left="504" w:right="215"/>
      </w:pPr>
      <w:r>
        <w:rPr/>
        <w:t>The Company's activities expose it to a variety of financial risks: market risk (which includes interest rate risk), credit risk and liquidity risk. The Company's overall risk management program focuses on the unpredictability of financial markets and seeks to minimise potential adverse effects on the financial performance of the Company. The Company uses different methods to measure different types of risk to which it is exposed. These methods include sensitivity analysis in the case of interest rate and ageing analysis for credit risk to determine market risk.</w:t>
      </w:r>
    </w:p>
    <w:p>
      <w:pPr>
        <w:pStyle w:val="BodyText"/>
        <w:rPr>
          <w:sz w:val="25"/>
        </w:rPr>
      </w:pPr>
    </w:p>
    <w:p>
      <w:pPr>
        <w:pStyle w:val="BodyText"/>
        <w:ind w:left="504" w:right="125"/>
      </w:pPr>
      <w:r>
        <w:rPr/>
        <w:pict>
          <v:shape style="position:absolute;margin-left:68.449997pt;margin-top:12.14905pt;width:477.8pt;height:92.9pt;mso-position-horizontal-relative:page;mso-position-vertical-relative:paragraph;z-index:433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61"/>
                    <w:gridCol w:w="1493"/>
                    <w:gridCol w:w="1102"/>
                  </w:tblGrid>
                  <w:tr>
                    <w:trPr>
                      <w:trHeight w:val="558" w:hRule="exact"/>
                    </w:trPr>
                    <w:tc>
                      <w:tcPr>
                        <w:tcW w:w="6961" w:type="dxa"/>
                      </w:tcPr>
                      <w:p>
                        <w:pPr/>
                      </w:p>
                    </w:tc>
                    <w:tc>
                      <w:tcPr>
                        <w:tcW w:w="1493" w:type="dxa"/>
                      </w:tcPr>
                      <w:p>
                        <w:pPr>
                          <w:pStyle w:val="TableParagraph"/>
                          <w:spacing w:line="199" w:lineRule="exact"/>
                          <w:ind w:left="465" w:right="587"/>
                          <w:jc w:val="center"/>
                          <w:rPr>
                            <w:b/>
                            <w:sz w:val="18"/>
                          </w:rPr>
                        </w:pPr>
                        <w:r>
                          <w:rPr>
                            <w:b/>
                            <w:sz w:val="18"/>
                          </w:rPr>
                          <w:t>2012</w:t>
                        </w:r>
                      </w:p>
                      <w:p>
                        <w:pPr>
                          <w:pStyle w:val="TableParagraph"/>
                          <w:spacing w:before="64"/>
                          <w:ind w:right="127"/>
                          <w:jc w:val="center"/>
                          <w:rPr>
                            <w:b/>
                            <w:sz w:val="18"/>
                          </w:rPr>
                        </w:pPr>
                        <w:r>
                          <w:rPr>
                            <w:b/>
                            <w:w w:val="99"/>
                            <w:sz w:val="18"/>
                          </w:rPr>
                          <w:t>$</w:t>
                        </w:r>
                      </w:p>
                    </w:tc>
                    <w:tc>
                      <w:tcPr>
                        <w:tcW w:w="1102" w:type="dxa"/>
                      </w:tcPr>
                      <w:p>
                        <w:pPr>
                          <w:pStyle w:val="TableParagraph"/>
                          <w:spacing w:line="199" w:lineRule="exact"/>
                          <w:ind w:left="261" w:right="400"/>
                          <w:jc w:val="center"/>
                          <w:rPr>
                            <w:b/>
                            <w:sz w:val="18"/>
                          </w:rPr>
                        </w:pPr>
                        <w:r>
                          <w:rPr>
                            <w:b/>
                            <w:sz w:val="18"/>
                          </w:rPr>
                          <w:t>2011</w:t>
                        </w:r>
                      </w:p>
                      <w:p>
                        <w:pPr>
                          <w:pStyle w:val="TableParagraph"/>
                          <w:spacing w:before="64"/>
                          <w:ind w:right="145"/>
                          <w:jc w:val="center"/>
                          <w:rPr>
                            <w:b/>
                            <w:sz w:val="18"/>
                          </w:rPr>
                        </w:pPr>
                        <w:r>
                          <w:rPr>
                            <w:b/>
                            <w:w w:val="99"/>
                            <w:sz w:val="18"/>
                          </w:rPr>
                          <w:t>$</w:t>
                        </w:r>
                      </w:p>
                    </w:tc>
                  </w:tr>
                  <w:tr>
                    <w:trPr>
                      <w:trHeight w:val="539" w:hRule="exact"/>
                    </w:trPr>
                    <w:tc>
                      <w:tcPr>
                        <w:tcW w:w="6961" w:type="dxa"/>
                      </w:tcPr>
                      <w:p>
                        <w:pPr>
                          <w:pStyle w:val="TableParagraph"/>
                          <w:spacing w:before="68"/>
                          <w:ind w:left="80"/>
                          <w:rPr>
                            <w:b/>
                            <w:sz w:val="18"/>
                          </w:rPr>
                        </w:pPr>
                        <w:r>
                          <w:rPr>
                            <w:b/>
                            <w:sz w:val="18"/>
                          </w:rPr>
                          <w:t>Financial Assets</w:t>
                        </w:r>
                      </w:p>
                      <w:p>
                        <w:pPr>
                          <w:pStyle w:val="TableParagraph"/>
                          <w:spacing w:before="18"/>
                          <w:ind w:left="80"/>
                          <w:rPr>
                            <w:sz w:val="18"/>
                          </w:rPr>
                        </w:pPr>
                        <w:r>
                          <w:rPr>
                            <w:sz w:val="18"/>
                          </w:rPr>
                          <w:t>Cash and cash equivalents</w:t>
                        </w:r>
                      </w:p>
                    </w:tc>
                    <w:tc>
                      <w:tcPr>
                        <w:tcW w:w="1493" w:type="dxa"/>
                      </w:tcPr>
                      <w:p>
                        <w:pPr>
                          <w:pStyle w:val="TableParagraph"/>
                          <w:spacing w:before="6"/>
                          <w:rPr>
                            <w:sz w:val="25"/>
                          </w:rPr>
                        </w:pPr>
                      </w:p>
                      <w:p>
                        <w:pPr>
                          <w:pStyle w:val="TableParagraph"/>
                          <w:ind w:right="276"/>
                          <w:jc w:val="right"/>
                          <w:rPr>
                            <w:b/>
                            <w:sz w:val="18"/>
                          </w:rPr>
                        </w:pPr>
                        <w:r>
                          <w:rPr>
                            <w:b/>
                            <w:sz w:val="18"/>
                          </w:rPr>
                          <w:t>1,002,818</w:t>
                        </w:r>
                      </w:p>
                    </w:tc>
                    <w:tc>
                      <w:tcPr>
                        <w:tcW w:w="1102" w:type="dxa"/>
                      </w:tcPr>
                      <w:p>
                        <w:pPr>
                          <w:pStyle w:val="TableParagraph"/>
                          <w:spacing w:before="6"/>
                          <w:rPr>
                            <w:sz w:val="25"/>
                          </w:rPr>
                        </w:pPr>
                      </w:p>
                      <w:p>
                        <w:pPr>
                          <w:pStyle w:val="TableParagraph"/>
                          <w:ind w:right="90"/>
                          <w:jc w:val="right"/>
                          <w:rPr>
                            <w:sz w:val="18"/>
                          </w:rPr>
                        </w:pPr>
                        <w:r>
                          <w:rPr>
                            <w:sz w:val="18"/>
                          </w:rPr>
                          <w:t>160,932</w:t>
                        </w:r>
                      </w:p>
                    </w:tc>
                  </w:tr>
                  <w:tr>
                    <w:trPr>
                      <w:trHeight w:val="273" w:hRule="exact"/>
                    </w:trPr>
                    <w:tc>
                      <w:tcPr>
                        <w:tcW w:w="6961" w:type="dxa"/>
                      </w:tcPr>
                      <w:p>
                        <w:pPr>
                          <w:pStyle w:val="TableParagraph"/>
                          <w:spacing w:before="19"/>
                          <w:ind w:left="80"/>
                          <w:rPr>
                            <w:sz w:val="18"/>
                          </w:rPr>
                        </w:pPr>
                        <w:r>
                          <w:rPr>
                            <w:sz w:val="18"/>
                          </w:rPr>
                          <w:t>Trade and other receivables</w:t>
                        </w:r>
                      </w:p>
                    </w:tc>
                    <w:tc>
                      <w:tcPr>
                        <w:tcW w:w="1493" w:type="dxa"/>
                        <w:tcBorders>
                          <w:bottom w:val="single" w:sz="8" w:space="0" w:color="000000"/>
                        </w:tcBorders>
                      </w:tcPr>
                      <w:p>
                        <w:pPr>
                          <w:pStyle w:val="TableParagraph"/>
                          <w:spacing w:before="19"/>
                          <w:ind w:right="288"/>
                          <w:jc w:val="right"/>
                          <w:rPr>
                            <w:b/>
                            <w:sz w:val="18"/>
                          </w:rPr>
                        </w:pPr>
                        <w:r>
                          <w:rPr>
                            <w:b/>
                            <w:sz w:val="18"/>
                          </w:rPr>
                          <w:t>118,406</w:t>
                        </w:r>
                      </w:p>
                    </w:tc>
                    <w:tc>
                      <w:tcPr>
                        <w:tcW w:w="1102" w:type="dxa"/>
                        <w:tcBorders>
                          <w:bottom w:val="single" w:sz="8" w:space="0" w:color="000000"/>
                        </w:tcBorders>
                      </w:tcPr>
                      <w:p>
                        <w:pPr>
                          <w:pStyle w:val="TableParagraph"/>
                          <w:spacing w:before="19"/>
                          <w:ind w:right="89"/>
                          <w:jc w:val="right"/>
                          <w:rPr>
                            <w:sz w:val="18"/>
                          </w:rPr>
                        </w:pPr>
                        <w:r>
                          <w:rPr>
                            <w:sz w:val="18"/>
                          </w:rPr>
                          <w:t>107,083</w:t>
                        </w:r>
                      </w:p>
                    </w:tc>
                  </w:tr>
                  <w:tr>
                    <w:trPr>
                      <w:trHeight w:val="488" w:hRule="exact"/>
                    </w:trPr>
                    <w:tc>
                      <w:tcPr>
                        <w:tcW w:w="6961" w:type="dxa"/>
                      </w:tcPr>
                      <w:p>
                        <w:pPr>
                          <w:pStyle w:val="TableParagraph"/>
                          <w:spacing w:before="123"/>
                          <w:ind w:left="80"/>
                          <w:rPr>
                            <w:b/>
                            <w:sz w:val="18"/>
                          </w:rPr>
                        </w:pPr>
                        <w:r>
                          <w:rPr>
                            <w:b/>
                            <w:sz w:val="18"/>
                          </w:rPr>
                          <w:t>Total financial assets</w:t>
                        </w:r>
                      </w:p>
                    </w:tc>
                    <w:tc>
                      <w:tcPr>
                        <w:tcW w:w="1493" w:type="dxa"/>
                        <w:tcBorders>
                          <w:top w:val="single" w:sz="8" w:space="0" w:color="000000"/>
                        </w:tcBorders>
                      </w:tcPr>
                      <w:p>
                        <w:pPr>
                          <w:pStyle w:val="TableParagraph"/>
                          <w:spacing w:before="113"/>
                          <w:ind w:right="276"/>
                          <w:jc w:val="right"/>
                          <w:rPr>
                            <w:b/>
                            <w:sz w:val="18"/>
                          </w:rPr>
                        </w:pPr>
                        <w:r>
                          <w:rPr>
                            <w:b/>
                            <w:sz w:val="18"/>
                          </w:rPr>
                          <w:t>1,121,224</w:t>
                        </w:r>
                      </w:p>
                    </w:tc>
                    <w:tc>
                      <w:tcPr>
                        <w:tcW w:w="1102" w:type="dxa"/>
                        <w:tcBorders>
                          <w:top w:val="single" w:sz="8" w:space="0" w:color="000000"/>
                        </w:tcBorders>
                      </w:tcPr>
                      <w:p>
                        <w:pPr>
                          <w:pStyle w:val="TableParagraph"/>
                          <w:spacing w:before="113"/>
                          <w:ind w:right="89"/>
                          <w:jc w:val="right"/>
                          <w:rPr>
                            <w:sz w:val="18"/>
                          </w:rPr>
                        </w:pPr>
                        <w:r>
                          <w:rPr>
                            <w:sz w:val="18"/>
                          </w:rPr>
                          <w:t>268,015</w:t>
                        </w:r>
                      </w:p>
                    </w:tc>
                  </w:tr>
                </w:tbl>
                <w:p>
                  <w:pPr>
                    <w:pStyle w:val="BodyText"/>
                  </w:pPr>
                </w:p>
              </w:txbxContent>
            </v:textbox>
            <w10:wrap type="none"/>
          </v:shape>
        </w:pict>
      </w:r>
      <w:r>
        <w:rPr/>
        <w:t>The Company holds the following financial instruments: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0"/>
        </w:rPr>
      </w:pPr>
    </w:p>
    <w:tbl>
      <w:tblPr>
        <w:tblW w:w="0" w:type="auto"/>
        <w:jc w:val="left"/>
        <w:tblInd w:w="34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080"/>
        <w:gridCol w:w="1470"/>
        <w:gridCol w:w="1125"/>
      </w:tblGrid>
      <w:tr>
        <w:trPr>
          <w:trHeight w:val="674" w:hRule="exact"/>
        </w:trPr>
        <w:tc>
          <w:tcPr>
            <w:tcW w:w="7080" w:type="dxa"/>
          </w:tcPr>
          <w:p>
            <w:pPr>
              <w:pStyle w:val="TableParagraph"/>
              <w:rPr>
                <w:sz w:val="18"/>
              </w:rPr>
            </w:pPr>
          </w:p>
          <w:p>
            <w:pPr>
              <w:pStyle w:val="TableParagraph"/>
              <w:rPr>
                <w:sz w:val="21"/>
              </w:rPr>
            </w:pPr>
          </w:p>
          <w:p>
            <w:pPr>
              <w:pStyle w:val="TableParagraph"/>
              <w:ind w:left="200"/>
              <w:rPr>
                <w:b/>
                <w:sz w:val="18"/>
              </w:rPr>
            </w:pPr>
            <w:r>
              <w:rPr>
                <w:b/>
                <w:sz w:val="18"/>
              </w:rPr>
              <w:t>Financial Liabilities</w:t>
            </w:r>
          </w:p>
        </w:tc>
        <w:tc>
          <w:tcPr>
            <w:tcW w:w="1470" w:type="dxa"/>
            <w:tcBorders>
              <w:top w:val="single" w:sz="25" w:space="0" w:color="000000"/>
            </w:tcBorders>
          </w:tcPr>
          <w:p>
            <w:pPr/>
          </w:p>
        </w:tc>
        <w:tc>
          <w:tcPr>
            <w:tcW w:w="1125" w:type="dxa"/>
            <w:tcBorders>
              <w:top w:val="single" w:sz="25" w:space="0" w:color="000000"/>
            </w:tcBorders>
          </w:tcPr>
          <w:p>
            <w:pPr/>
          </w:p>
        </w:tc>
      </w:tr>
      <w:tr>
        <w:trPr>
          <w:trHeight w:val="246" w:hRule="exact"/>
        </w:trPr>
        <w:tc>
          <w:tcPr>
            <w:tcW w:w="7080" w:type="dxa"/>
          </w:tcPr>
          <w:p>
            <w:pPr>
              <w:pStyle w:val="TableParagraph"/>
              <w:spacing w:before="1"/>
              <w:ind w:left="200"/>
              <w:rPr>
                <w:sz w:val="18"/>
              </w:rPr>
            </w:pPr>
            <w:r>
              <w:rPr>
                <w:sz w:val="18"/>
              </w:rPr>
              <w:t>Trade and other payables</w:t>
            </w:r>
          </w:p>
        </w:tc>
        <w:tc>
          <w:tcPr>
            <w:tcW w:w="1470" w:type="dxa"/>
          </w:tcPr>
          <w:p>
            <w:pPr>
              <w:pStyle w:val="TableParagraph"/>
              <w:spacing w:line="206" w:lineRule="exact"/>
              <w:ind w:right="251"/>
              <w:jc w:val="right"/>
              <w:rPr>
                <w:b/>
                <w:sz w:val="18"/>
              </w:rPr>
            </w:pPr>
            <w:r>
              <w:rPr>
                <w:b/>
                <w:sz w:val="18"/>
              </w:rPr>
              <w:t>3,954,320</w:t>
            </w:r>
          </w:p>
        </w:tc>
        <w:tc>
          <w:tcPr>
            <w:tcW w:w="1125" w:type="dxa"/>
          </w:tcPr>
          <w:p>
            <w:pPr>
              <w:pStyle w:val="TableParagraph"/>
              <w:spacing w:before="3"/>
              <w:ind w:right="79"/>
              <w:jc w:val="right"/>
              <w:rPr>
                <w:sz w:val="18"/>
              </w:rPr>
            </w:pPr>
            <w:r>
              <w:rPr>
                <w:sz w:val="18"/>
              </w:rPr>
              <w:t>3,667,166</w:t>
            </w:r>
          </w:p>
        </w:tc>
      </w:tr>
      <w:tr>
        <w:trPr>
          <w:trHeight w:val="264" w:hRule="exact"/>
        </w:trPr>
        <w:tc>
          <w:tcPr>
            <w:tcW w:w="7080" w:type="dxa"/>
          </w:tcPr>
          <w:p>
            <w:pPr>
              <w:pStyle w:val="TableParagraph"/>
              <w:spacing w:before="19"/>
              <w:ind w:left="200"/>
              <w:rPr>
                <w:sz w:val="18"/>
              </w:rPr>
            </w:pPr>
            <w:r>
              <w:rPr>
                <w:sz w:val="18"/>
              </w:rPr>
              <w:t>Deferred income</w:t>
            </w:r>
          </w:p>
        </w:tc>
        <w:tc>
          <w:tcPr>
            <w:tcW w:w="1470" w:type="dxa"/>
          </w:tcPr>
          <w:p>
            <w:pPr>
              <w:pStyle w:val="TableParagraph"/>
              <w:spacing w:before="16"/>
              <w:ind w:right="236"/>
              <w:jc w:val="right"/>
              <w:rPr>
                <w:b/>
                <w:sz w:val="18"/>
              </w:rPr>
            </w:pPr>
            <w:r>
              <w:rPr>
                <w:b/>
                <w:w w:val="99"/>
                <w:sz w:val="18"/>
              </w:rPr>
              <w:t>-</w:t>
            </w:r>
          </w:p>
        </w:tc>
        <w:tc>
          <w:tcPr>
            <w:tcW w:w="1125" w:type="dxa"/>
          </w:tcPr>
          <w:p>
            <w:pPr>
              <w:pStyle w:val="TableParagraph"/>
              <w:spacing w:before="21"/>
              <w:ind w:right="82"/>
              <w:jc w:val="right"/>
              <w:rPr>
                <w:sz w:val="18"/>
              </w:rPr>
            </w:pPr>
            <w:r>
              <w:rPr>
                <w:sz w:val="18"/>
              </w:rPr>
              <w:t>22,610</w:t>
            </w:r>
          </w:p>
        </w:tc>
      </w:tr>
      <w:tr>
        <w:trPr>
          <w:trHeight w:val="282" w:hRule="exact"/>
        </w:trPr>
        <w:tc>
          <w:tcPr>
            <w:tcW w:w="7080" w:type="dxa"/>
          </w:tcPr>
          <w:p>
            <w:pPr>
              <w:pStyle w:val="TableParagraph"/>
              <w:spacing w:before="19"/>
              <w:ind w:left="200"/>
              <w:rPr>
                <w:sz w:val="18"/>
              </w:rPr>
            </w:pPr>
            <w:r>
              <w:rPr>
                <w:sz w:val="18"/>
              </w:rPr>
              <w:t>Borrowings</w:t>
            </w:r>
          </w:p>
        </w:tc>
        <w:tc>
          <w:tcPr>
            <w:tcW w:w="1470" w:type="dxa"/>
            <w:tcBorders>
              <w:bottom w:val="single" w:sz="5" w:space="0" w:color="000000"/>
            </w:tcBorders>
          </w:tcPr>
          <w:p>
            <w:pPr>
              <w:pStyle w:val="TableParagraph"/>
              <w:spacing w:before="16"/>
              <w:ind w:right="251"/>
              <w:jc w:val="right"/>
              <w:rPr>
                <w:b/>
                <w:sz w:val="18"/>
              </w:rPr>
            </w:pPr>
            <w:r>
              <w:rPr>
                <w:b/>
                <w:sz w:val="18"/>
              </w:rPr>
              <w:t>1,539,874</w:t>
            </w:r>
          </w:p>
        </w:tc>
        <w:tc>
          <w:tcPr>
            <w:tcW w:w="1125" w:type="dxa"/>
            <w:tcBorders>
              <w:bottom w:val="single" w:sz="5" w:space="0" w:color="000000"/>
            </w:tcBorders>
          </w:tcPr>
          <w:p>
            <w:pPr>
              <w:pStyle w:val="TableParagraph"/>
              <w:spacing w:before="21"/>
              <w:ind w:right="79"/>
              <w:jc w:val="right"/>
              <w:rPr>
                <w:sz w:val="18"/>
              </w:rPr>
            </w:pPr>
            <w:r>
              <w:rPr>
                <w:sz w:val="18"/>
              </w:rPr>
              <w:t>1,539,874</w:t>
            </w:r>
          </w:p>
        </w:tc>
      </w:tr>
      <w:tr>
        <w:trPr>
          <w:trHeight w:val="370" w:hRule="exact"/>
        </w:trPr>
        <w:tc>
          <w:tcPr>
            <w:tcW w:w="7080" w:type="dxa"/>
          </w:tcPr>
          <w:p>
            <w:pPr>
              <w:pStyle w:val="TableParagraph"/>
              <w:spacing w:before="115"/>
              <w:ind w:left="200"/>
              <w:rPr>
                <w:b/>
                <w:sz w:val="18"/>
              </w:rPr>
            </w:pPr>
            <w:r>
              <w:rPr>
                <w:b/>
                <w:sz w:val="18"/>
              </w:rPr>
              <w:t>Total financial liabilities</w:t>
            </w:r>
          </w:p>
        </w:tc>
        <w:tc>
          <w:tcPr>
            <w:tcW w:w="1470" w:type="dxa"/>
            <w:tcBorders>
              <w:top w:val="single" w:sz="5" w:space="0" w:color="000000"/>
              <w:bottom w:val="single" w:sz="5" w:space="0" w:color="000000"/>
            </w:tcBorders>
          </w:tcPr>
          <w:p>
            <w:pPr>
              <w:pStyle w:val="TableParagraph"/>
              <w:spacing w:before="109"/>
              <w:ind w:right="251"/>
              <w:jc w:val="right"/>
              <w:rPr>
                <w:b/>
                <w:sz w:val="18"/>
              </w:rPr>
            </w:pPr>
            <w:r>
              <w:rPr>
                <w:b/>
                <w:sz w:val="18"/>
              </w:rPr>
              <w:t>5,494,194</w:t>
            </w:r>
          </w:p>
        </w:tc>
        <w:tc>
          <w:tcPr>
            <w:tcW w:w="1125" w:type="dxa"/>
            <w:tcBorders>
              <w:top w:val="single" w:sz="5" w:space="0" w:color="000000"/>
              <w:bottom w:val="single" w:sz="4" w:space="0" w:color="000000"/>
            </w:tcBorders>
          </w:tcPr>
          <w:p>
            <w:pPr>
              <w:pStyle w:val="TableParagraph"/>
              <w:spacing w:before="114"/>
              <w:ind w:right="79"/>
              <w:jc w:val="right"/>
              <w:rPr>
                <w:sz w:val="18"/>
              </w:rPr>
            </w:pPr>
            <w:r>
              <w:rPr>
                <w:sz w:val="18"/>
              </w:rPr>
              <w:t>5,229,650</w:t>
            </w:r>
          </w:p>
        </w:tc>
      </w:tr>
    </w:tbl>
    <w:p>
      <w:pPr>
        <w:pStyle w:val="BodyText"/>
        <w:spacing w:before="6"/>
        <w:rPr>
          <w:sz w:val="16"/>
        </w:rPr>
      </w:pPr>
    </w:p>
    <w:p>
      <w:pPr>
        <w:pStyle w:val="Heading9"/>
        <w:numPr>
          <w:ilvl w:val="0"/>
          <w:numId w:val="42"/>
        </w:numPr>
        <w:tabs>
          <w:tab w:pos="1061" w:val="left" w:leader="none"/>
        </w:tabs>
        <w:spacing w:line="240" w:lineRule="auto" w:before="78" w:after="0"/>
        <w:ind w:left="1060" w:right="0" w:hanging="556"/>
        <w:jc w:val="left"/>
      </w:pPr>
      <w:r>
        <w:rPr/>
        <w:t>Credit</w:t>
      </w:r>
      <w:r>
        <w:rPr>
          <w:spacing w:val="-4"/>
        </w:rPr>
        <w:t> </w:t>
      </w:r>
      <w:r>
        <w:rPr/>
        <w:t>risk</w:t>
      </w:r>
    </w:p>
    <w:p>
      <w:pPr>
        <w:pStyle w:val="BodyText"/>
        <w:spacing w:before="4"/>
        <w:rPr>
          <w:b/>
          <w:sz w:val="25"/>
        </w:rPr>
      </w:pPr>
    </w:p>
    <w:p>
      <w:pPr>
        <w:pStyle w:val="BodyText"/>
        <w:ind w:left="1072" w:right="125"/>
      </w:pPr>
      <w:r>
        <w:rPr/>
        <w:t>The credit risk on financial assets of the Company which have been recognised on the statement of financial position is generally the carrying amount, net of provision for loss. Credit risk arises when there is the possibility of the Company's debtors defaulting on their contractual obligations, resulting in financial loss to the Company. The Company does not have any significant exposure to any unrelated customer.</w:t>
      </w:r>
    </w:p>
    <w:p>
      <w:pPr>
        <w:spacing w:after="0"/>
        <w:sectPr>
          <w:pgSz w:w="11930" w:h="16850"/>
          <w:pgMar w:header="1035" w:footer="507" w:top="1460" w:bottom="700" w:left="900" w:right="880"/>
        </w:sectPr>
      </w:pPr>
    </w:p>
    <w:p>
      <w:pPr>
        <w:spacing w:before="60"/>
        <w:ind w:left="107" w:right="108" w:firstLine="0"/>
        <w:jc w:val="left"/>
        <w:rPr>
          <w:b/>
          <w:sz w:val="22"/>
        </w:rPr>
      </w:pPr>
      <w:r>
        <w:rPr>
          <w:b/>
          <w:sz w:val="22"/>
        </w:rPr>
        <w:t>Television Sydney (TVS) Limited</w:t>
      </w:r>
    </w:p>
    <w:p>
      <w:pPr>
        <w:spacing w:before="55"/>
        <w:ind w:left="107" w:right="108" w:firstLine="0"/>
        <w:jc w:val="left"/>
        <w:rPr>
          <w:b/>
          <w:sz w:val="14"/>
        </w:rPr>
      </w:pPr>
      <w:r>
        <w:rPr>
          <w:b/>
          <w:sz w:val="14"/>
        </w:rPr>
        <w:t>ABN 27104674124</w:t>
      </w:r>
    </w:p>
    <w:p>
      <w:pPr>
        <w:pStyle w:val="BodyText"/>
        <w:rPr>
          <w:b/>
          <w:sz w:val="14"/>
        </w:rPr>
      </w:pPr>
    </w:p>
    <w:p>
      <w:pPr>
        <w:pStyle w:val="BodyText"/>
        <w:spacing w:before="7"/>
        <w:rPr>
          <w:b/>
          <w:sz w:val="15"/>
        </w:rPr>
      </w:pPr>
    </w:p>
    <w:p>
      <w:pPr>
        <w:pStyle w:val="Heading3"/>
        <w:spacing w:before="1"/>
        <w:ind w:right="108"/>
      </w:pPr>
      <w:r>
        <w:rPr/>
        <w:t>Notes to the Financial Statements</w:t>
      </w:r>
    </w:p>
    <w:p>
      <w:pPr>
        <w:spacing w:before="55"/>
        <w:ind w:left="108" w:right="108" w:firstLine="0"/>
        <w:jc w:val="left"/>
        <w:rPr>
          <w:b/>
          <w:sz w:val="28"/>
        </w:rPr>
      </w:pPr>
      <w:r>
        <w:rPr>
          <w:b/>
          <w:sz w:val="28"/>
        </w:rPr>
        <w:t>For the Year Ended 31 December</w:t>
      </w:r>
      <w:r>
        <w:rPr>
          <w:b/>
          <w:spacing w:val="-52"/>
          <w:sz w:val="28"/>
        </w:rPr>
        <w:t> </w:t>
      </w:r>
      <w:r>
        <w:rPr>
          <w:b/>
          <w:sz w:val="28"/>
        </w:rPr>
        <w:t>2012</w:t>
      </w:r>
    </w:p>
    <w:p>
      <w:pPr>
        <w:pStyle w:val="BodyText"/>
        <w:rPr>
          <w:b/>
          <w:sz w:val="28"/>
        </w:rPr>
      </w:pPr>
    </w:p>
    <w:p>
      <w:pPr>
        <w:pStyle w:val="BodyText"/>
        <w:spacing w:before="9"/>
        <w:rPr>
          <w:b/>
          <w:sz w:val="29"/>
        </w:rPr>
      </w:pPr>
    </w:p>
    <w:p>
      <w:pPr>
        <w:pStyle w:val="Heading9"/>
        <w:ind w:left="107" w:right="108"/>
      </w:pPr>
      <w:r>
        <w:rPr/>
        <w:t>13    Financial Risk Management continued</w:t>
      </w:r>
    </w:p>
    <w:p>
      <w:pPr>
        <w:pStyle w:val="ListParagraph"/>
        <w:numPr>
          <w:ilvl w:val="0"/>
          <w:numId w:val="42"/>
        </w:numPr>
        <w:tabs>
          <w:tab w:pos="1061" w:val="left" w:leader="none"/>
        </w:tabs>
        <w:spacing w:line="240" w:lineRule="auto" w:before="2" w:after="0"/>
        <w:ind w:left="1060" w:right="0" w:hanging="556"/>
        <w:jc w:val="left"/>
        <w:rPr>
          <w:b/>
          <w:sz w:val="18"/>
        </w:rPr>
      </w:pPr>
      <w:r>
        <w:rPr>
          <w:b/>
          <w:sz w:val="18"/>
        </w:rPr>
        <w:t>Market</w:t>
      </w:r>
      <w:r>
        <w:rPr>
          <w:b/>
          <w:spacing w:val="-4"/>
          <w:sz w:val="18"/>
        </w:rPr>
        <w:t> </w:t>
      </w:r>
      <w:r>
        <w:rPr>
          <w:b/>
          <w:sz w:val="18"/>
        </w:rPr>
        <w:t>risk</w:t>
      </w:r>
    </w:p>
    <w:p>
      <w:pPr>
        <w:pStyle w:val="BodyText"/>
        <w:spacing w:before="11"/>
        <w:rPr>
          <w:b/>
          <w:sz w:val="24"/>
        </w:rPr>
      </w:pPr>
    </w:p>
    <w:p>
      <w:pPr>
        <w:pStyle w:val="ListParagraph"/>
        <w:numPr>
          <w:ilvl w:val="1"/>
          <w:numId w:val="42"/>
        </w:numPr>
        <w:tabs>
          <w:tab w:pos="1215" w:val="left" w:leader="none"/>
        </w:tabs>
        <w:spacing w:line="240" w:lineRule="auto" w:before="0" w:after="0"/>
        <w:ind w:left="1214" w:right="0" w:hanging="142"/>
        <w:jc w:val="left"/>
        <w:rPr>
          <w:i/>
          <w:sz w:val="18"/>
        </w:rPr>
      </w:pPr>
      <w:r>
        <w:rPr>
          <w:i/>
          <w:sz w:val="18"/>
        </w:rPr>
        <w:t>Cash flow and fair value interest rate</w:t>
      </w:r>
      <w:r>
        <w:rPr>
          <w:i/>
          <w:spacing w:val="-15"/>
          <w:sz w:val="18"/>
        </w:rPr>
        <w:t> </w:t>
      </w:r>
      <w:r>
        <w:rPr>
          <w:i/>
          <w:sz w:val="18"/>
        </w:rPr>
        <w:t>risk</w:t>
      </w:r>
    </w:p>
    <w:p>
      <w:pPr>
        <w:pStyle w:val="BodyText"/>
        <w:spacing w:before="7"/>
        <w:rPr>
          <w:i/>
          <w:sz w:val="25"/>
        </w:rPr>
      </w:pPr>
    </w:p>
    <w:p>
      <w:pPr>
        <w:pStyle w:val="BodyText"/>
        <w:spacing w:line="204" w:lineRule="exact" w:before="1"/>
        <w:ind w:left="1072" w:right="108" w:hanging="1"/>
      </w:pPr>
      <w:r>
        <w:rPr/>
        <w:t>Fair value interest rate risk is the risk that the fair value of a financial instrument will fluctuate because of changes in interest rates. The Company's exposure to interest rate risk is minimal.</w:t>
      </w:r>
    </w:p>
    <w:p>
      <w:pPr>
        <w:pStyle w:val="BodyText"/>
        <w:spacing w:before="8"/>
        <w:rPr>
          <w:sz w:val="24"/>
        </w:rPr>
      </w:pPr>
    </w:p>
    <w:p>
      <w:pPr>
        <w:pStyle w:val="ListParagraph"/>
        <w:numPr>
          <w:ilvl w:val="1"/>
          <w:numId w:val="42"/>
        </w:numPr>
        <w:tabs>
          <w:tab w:pos="1253" w:val="left" w:leader="none"/>
        </w:tabs>
        <w:spacing w:line="240" w:lineRule="auto" w:before="1" w:after="0"/>
        <w:ind w:left="1252" w:right="0" w:hanging="182"/>
        <w:jc w:val="left"/>
        <w:rPr>
          <w:i/>
          <w:sz w:val="18"/>
        </w:rPr>
      </w:pPr>
      <w:r>
        <w:rPr>
          <w:i/>
          <w:sz w:val="18"/>
        </w:rPr>
        <w:t>Summarised sensitivity</w:t>
      </w:r>
      <w:r>
        <w:rPr>
          <w:i/>
          <w:spacing w:val="-15"/>
          <w:sz w:val="18"/>
        </w:rPr>
        <w:t> </w:t>
      </w:r>
      <w:r>
        <w:rPr>
          <w:i/>
          <w:sz w:val="18"/>
        </w:rPr>
        <w:t>analysis</w:t>
      </w:r>
    </w:p>
    <w:p>
      <w:pPr>
        <w:pStyle w:val="BodyText"/>
        <w:spacing w:before="2"/>
        <w:rPr>
          <w:i/>
          <w:sz w:val="25"/>
        </w:rPr>
      </w:pPr>
    </w:p>
    <w:p>
      <w:pPr>
        <w:pStyle w:val="BodyText"/>
        <w:ind w:left="1072" w:right="108"/>
      </w:pPr>
      <w:r>
        <w:rPr/>
        <w:t>The following table summarises the sensitivity of the Company's financial assets and financial liabilities to interest rate risk, foreign exchange risk and other price risk.</w:t>
      </w:r>
    </w:p>
    <w:p>
      <w:pPr>
        <w:pStyle w:val="BodyText"/>
        <w:spacing w:before="7"/>
        <w:rPr>
          <w:sz w:val="17"/>
        </w:rPr>
      </w:pPr>
    </w:p>
    <w:tbl>
      <w:tblPr>
        <w:tblW w:w="0" w:type="auto"/>
        <w:jc w:val="left"/>
        <w:tblInd w:w="103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08"/>
        <w:gridCol w:w="1091"/>
        <w:gridCol w:w="1175"/>
        <w:gridCol w:w="1047"/>
        <w:gridCol w:w="1124"/>
        <w:gridCol w:w="1222"/>
        <w:gridCol w:w="919"/>
        <w:gridCol w:w="1017"/>
        <w:gridCol w:w="1092"/>
        <w:gridCol w:w="1254"/>
        <w:gridCol w:w="766"/>
      </w:tblGrid>
      <w:tr>
        <w:trPr>
          <w:trHeight w:val="536" w:hRule="exact"/>
        </w:trPr>
        <w:tc>
          <w:tcPr>
            <w:tcW w:w="3208" w:type="dxa"/>
          </w:tcPr>
          <w:p>
            <w:pPr>
              <w:pStyle w:val="TableParagraph"/>
              <w:spacing w:before="77"/>
              <w:ind w:left="35"/>
              <w:rPr>
                <w:b/>
                <w:sz w:val="18"/>
              </w:rPr>
            </w:pPr>
            <w:r>
              <w:rPr>
                <w:b/>
                <w:sz w:val="18"/>
              </w:rPr>
              <w:t>Interest rate risk</w:t>
            </w:r>
          </w:p>
        </w:tc>
        <w:tc>
          <w:tcPr>
            <w:tcW w:w="1091" w:type="dxa"/>
          </w:tcPr>
          <w:p>
            <w:pPr/>
          </w:p>
        </w:tc>
        <w:tc>
          <w:tcPr>
            <w:tcW w:w="1175" w:type="dxa"/>
          </w:tcPr>
          <w:p>
            <w:pPr/>
          </w:p>
        </w:tc>
        <w:tc>
          <w:tcPr>
            <w:tcW w:w="2171" w:type="dxa"/>
            <w:gridSpan w:val="2"/>
          </w:tcPr>
          <w:p>
            <w:pPr>
              <w:pStyle w:val="TableParagraph"/>
              <w:rPr>
                <w:sz w:val="18"/>
              </w:rPr>
            </w:pPr>
          </w:p>
          <w:p>
            <w:pPr>
              <w:pStyle w:val="TableParagraph"/>
              <w:spacing w:before="115"/>
              <w:ind w:left="760" w:right="1051"/>
              <w:jc w:val="center"/>
              <w:rPr>
                <w:b/>
                <w:sz w:val="18"/>
              </w:rPr>
            </w:pPr>
            <w:r>
              <w:rPr>
                <w:b/>
                <w:sz w:val="18"/>
              </w:rPr>
              <w:t>-1%</w:t>
            </w:r>
          </w:p>
        </w:tc>
        <w:tc>
          <w:tcPr>
            <w:tcW w:w="1222" w:type="dxa"/>
          </w:tcPr>
          <w:p>
            <w:pPr>
              <w:pStyle w:val="TableParagraph"/>
              <w:rPr>
                <w:sz w:val="18"/>
              </w:rPr>
            </w:pPr>
          </w:p>
          <w:p>
            <w:pPr>
              <w:pStyle w:val="TableParagraph"/>
              <w:spacing w:before="115"/>
              <w:ind w:left="744"/>
              <w:rPr>
                <w:b/>
                <w:sz w:val="18"/>
              </w:rPr>
            </w:pPr>
            <w:r>
              <w:rPr>
                <w:b/>
                <w:sz w:val="18"/>
              </w:rPr>
              <w:t>-1%</w:t>
            </w:r>
          </w:p>
        </w:tc>
        <w:tc>
          <w:tcPr>
            <w:tcW w:w="919" w:type="dxa"/>
          </w:tcPr>
          <w:p>
            <w:pPr/>
          </w:p>
        </w:tc>
        <w:tc>
          <w:tcPr>
            <w:tcW w:w="2109" w:type="dxa"/>
            <w:gridSpan w:val="2"/>
          </w:tcPr>
          <w:p>
            <w:pPr>
              <w:pStyle w:val="TableParagraph"/>
              <w:rPr>
                <w:sz w:val="18"/>
              </w:rPr>
            </w:pPr>
          </w:p>
          <w:p>
            <w:pPr>
              <w:pStyle w:val="TableParagraph"/>
              <w:spacing w:before="115"/>
              <w:ind w:left="706" w:right="998"/>
              <w:jc w:val="center"/>
              <w:rPr>
                <w:b/>
                <w:sz w:val="18"/>
              </w:rPr>
            </w:pPr>
            <w:r>
              <w:rPr>
                <w:b/>
                <w:sz w:val="18"/>
              </w:rPr>
              <w:t>+1%</w:t>
            </w:r>
          </w:p>
        </w:tc>
        <w:tc>
          <w:tcPr>
            <w:tcW w:w="1254" w:type="dxa"/>
          </w:tcPr>
          <w:p>
            <w:pPr>
              <w:pStyle w:val="TableParagraph"/>
              <w:rPr>
                <w:sz w:val="18"/>
              </w:rPr>
            </w:pPr>
          </w:p>
          <w:p>
            <w:pPr>
              <w:pStyle w:val="TableParagraph"/>
              <w:spacing w:before="115"/>
              <w:ind w:right="128"/>
              <w:jc w:val="right"/>
              <w:rPr>
                <w:b/>
                <w:sz w:val="18"/>
              </w:rPr>
            </w:pPr>
            <w:r>
              <w:rPr>
                <w:b/>
                <w:sz w:val="18"/>
              </w:rPr>
              <w:t>+1%</w:t>
            </w:r>
          </w:p>
        </w:tc>
        <w:tc>
          <w:tcPr>
            <w:tcW w:w="766" w:type="dxa"/>
            <w:vMerge w:val="restart"/>
          </w:tcPr>
          <w:p>
            <w:pPr/>
          </w:p>
        </w:tc>
      </w:tr>
      <w:tr>
        <w:trPr>
          <w:trHeight w:val="240" w:hRule="exact"/>
        </w:trPr>
        <w:tc>
          <w:tcPr>
            <w:tcW w:w="3208" w:type="dxa"/>
          </w:tcPr>
          <w:p>
            <w:pPr/>
          </w:p>
        </w:tc>
        <w:tc>
          <w:tcPr>
            <w:tcW w:w="1091" w:type="dxa"/>
          </w:tcPr>
          <w:p>
            <w:pPr>
              <w:pStyle w:val="TableParagraph"/>
              <w:spacing w:line="195" w:lineRule="exact"/>
              <w:ind w:right="23"/>
              <w:jc w:val="right"/>
              <w:rPr>
                <w:b/>
                <w:sz w:val="18"/>
              </w:rPr>
            </w:pPr>
            <w:r>
              <w:rPr>
                <w:b/>
                <w:sz w:val="18"/>
              </w:rPr>
              <w:t>Carrying</w:t>
            </w:r>
          </w:p>
        </w:tc>
        <w:tc>
          <w:tcPr>
            <w:tcW w:w="1175" w:type="dxa"/>
          </w:tcPr>
          <w:p>
            <w:pPr>
              <w:pStyle w:val="TableParagraph"/>
              <w:spacing w:line="195" w:lineRule="exact"/>
              <w:ind w:left="25"/>
              <w:rPr>
                <w:b/>
                <w:sz w:val="18"/>
              </w:rPr>
            </w:pPr>
            <w:r>
              <w:rPr>
                <w:b/>
                <w:sz w:val="18"/>
              </w:rPr>
              <w:t>Amount</w:t>
            </w:r>
          </w:p>
        </w:tc>
        <w:tc>
          <w:tcPr>
            <w:tcW w:w="1047" w:type="dxa"/>
          </w:tcPr>
          <w:p>
            <w:pPr>
              <w:pStyle w:val="TableParagraph"/>
              <w:spacing w:line="200" w:lineRule="exact"/>
              <w:ind w:right="23"/>
              <w:jc w:val="right"/>
              <w:rPr>
                <w:b/>
                <w:sz w:val="18"/>
              </w:rPr>
            </w:pPr>
            <w:r>
              <w:rPr>
                <w:b/>
                <w:sz w:val="18"/>
              </w:rPr>
              <w:t>Surplus /</w:t>
            </w:r>
          </w:p>
        </w:tc>
        <w:tc>
          <w:tcPr>
            <w:tcW w:w="1124" w:type="dxa"/>
          </w:tcPr>
          <w:p>
            <w:pPr>
              <w:pStyle w:val="TableParagraph"/>
              <w:spacing w:line="200" w:lineRule="exact"/>
              <w:ind w:left="25"/>
              <w:rPr>
                <w:b/>
                <w:sz w:val="18"/>
              </w:rPr>
            </w:pPr>
            <w:r>
              <w:rPr>
                <w:b/>
                <w:sz w:val="18"/>
              </w:rPr>
              <w:t>Deficit</w:t>
            </w:r>
          </w:p>
        </w:tc>
        <w:tc>
          <w:tcPr>
            <w:tcW w:w="1222" w:type="dxa"/>
          </w:tcPr>
          <w:p>
            <w:pPr>
              <w:pStyle w:val="TableParagraph"/>
              <w:spacing w:line="200" w:lineRule="exact"/>
              <w:ind w:left="629"/>
              <w:rPr>
                <w:b/>
                <w:sz w:val="18"/>
              </w:rPr>
            </w:pPr>
            <w:r>
              <w:rPr>
                <w:b/>
                <w:sz w:val="18"/>
              </w:rPr>
              <w:t>Equity</w:t>
            </w:r>
          </w:p>
        </w:tc>
        <w:tc>
          <w:tcPr>
            <w:tcW w:w="919" w:type="dxa"/>
          </w:tcPr>
          <w:p>
            <w:pPr/>
          </w:p>
        </w:tc>
        <w:tc>
          <w:tcPr>
            <w:tcW w:w="1017" w:type="dxa"/>
          </w:tcPr>
          <w:p>
            <w:pPr>
              <w:pStyle w:val="TableParagraph"/>
              <w:spacing w:line="200" w:lineRule="exact"/>
              <w:ind w:left="219"/>
              <w:rPr>
                <w:b/>
                <w:sz w:val="18"/>
              </w:rPr>
            </w:pPr>
            <w:r>
              <w:rPr>
                <w:b/>
                <w:sz w:val="18"/>
              </w:rPr>
              <w:t>Surplus /</w:t>
            </w:r>
          </w:p>
        </w:tc>
        <w:tc>
          <w:tcPr>
            <w:tcW w:w="1092" w:type="dxa"/>
          </w:tcPr>
          <w:p>
            <w:pPr>
              <w:pStyle w:val="TableParagraph"/>
              <w:spacing w:line="200" w:lineRule="exact"/>
              <w:ind w:left="25"/>
              <w:rPr>
                <w:b/>
                <w:sz w:val="18"/>
              </w:rPr>
            </w:pPr>
            <w:r>
              <w:rPr>
                <w:b/>
                <w:sz w:val="18"/>
              </w:rPr>
              <w:t>Deficit</w:t>
            </w:r>
          </w:p>
        </w:tc>
        <w:tc>
          <w:tcPr>
            <w:tcW w:w="1254" w:type="dxa"/>
          </w:tcPr>
          <w:p>
            <w:pPr>
              <w:pStyle w:val="TableParagraph"/>
              <w:spacing w:line="200" w:lineRule="exact"/>
              <w:ind w:right="37"/>
              <w:jc w:val="right"/>
              <w:rPr>
                <w:b/>
                <w:sz w:val="18"/>
              </w:rPr>
            </w:pPr>
            <w:r>
              <w:rPr>
                <w:b/>
                <w:sz w:val="18"/>
              </w:rPr>
              <w:t>Equity</w:t>
            </w:r>
          </w:p>
        </w:tc>
        <w:tc>
          <w:tcPr>
            <w:tcW w:w="766" w:type="dxa"/>
            <w:vMerge/>
          </w:tcPr>
          <w:p>
            <w:pPr/>
          </w:p>
        </w:tc>
      </w:tr>
      <w:tr>
        <w:trPr>
          <w:trHeight w:val="270" w:hRule="exact"/>
        </w:trPr>
        <w:tc>
          <w:tcPr>
            <w:tcW w:w="3208" w:type="dxa"/>
          </w:tcPr>
          <w:p>
            <w:pPr/>
          </w:p>
        </w:tc>
        <w:tc>
          <w:tcPr>
            <w:tcW w:w="1091" w:type="dxa"/>
          </w:tcPr>
          <w:p>
            <w:pPr>
              <w:pStyle w:val="TableParagraph"/>
              <w:spacing w:before="21"/>
              <w:ind w:left="331"/>
              <w:rPr>
                <w:b/>
                <w:sz w:val="18"/>
              </w:rPr>
            </w:pPr>
            <w:r>
              <w:rPr>
                <w:b/>
                <w:sz w:val="18"/>
              </w:rPr>
              <w:t>2012</w:t>
            </w:r>
          </w:p>
        </w:tc>
        <w:tc>
          <w:tcPr>
            <w:tcW w:w="1175" w:type="dxa"/>
          </w:tcPr>
          <w:p>
            <w:pPr>
              <w:pStyle w:val="TableParagraph"/>
              <w:spacing w:before="21"/>
              <w:ind w:left="325"/>
              <w:rPr>
                <w:b/>
                <w:sz w:val="18"/>
              </w:rPr>
            </w:pPr>
            <w:r>
              <w:rPr>
                <w:b/>
                <w:sz w:val="18"/>
              </w:rPr>
              <w:t>2011</w:t>
            </w:r>
          </w:p>
        </w:tc>
        <w:tc>
          <w:tcPr>
            <w:tcW w:w="1047" w:type="dxa"/>
          </w:tcPr>
          <w:p>
            <w:pPr>
              <w:pStyle w:val="TableParagraph"/>
              <w:spacing w:before="21"/>
              <w:ind w:left="206"/>
              <w:rPr>
                <w:b/>
                <w:sz w:val="18"/>
              </w:rPr>
            </w:pPr>
            <w:r>
              <w:rPr>
                <w:b/>
                <w:sz w:val="18"/>
              </w:rPr>
              <w:t>2012</w:t>
            </w:r>
          </w:p>
        </w:tc>
        <w:tc>
          <w:tcPr>
            <w:tcW w:w="1124" w:type="dxa"/>
          </w:tcPr>
          <w:p>
            <w:pPr>
              <w:pStyle w:val="TableParagraph"/>
              <w:spacing w:before="21"/>
              <w:ind w:left="243"/>
              <w:rPr>
                <w:b/>
                <w:sz w:val="18"/>
              </w:rPr>
            </w:pPr>
            <w:r>
              <w:rPr>
                <w:b/>
                <w:sz w:val="18"/>
              </w:rPr>
              <w:t>2011</w:t>
            </w:r>
          </w:p>
        </w:tc>
        <w:tc>
          <w:tcPr>
            <w:tcW w:w="1222" w:type="dxa"/>
          </w:tcPr>
          <w:p>
            <w:pPr>
              <w:pStyle w:val="TableParagraph"/>
              <w:spacing w:before="21"/>
              <w:ind w:left="178"/>
              <w:rPr>
                <w:b/>
                <w:sz w:val="18"/>
              </w:rPr>
            </w:pPr>
            <w:r>
              <w:rPr>
                <w:b/>
                <w:sz w:val="18"/>
              </w:rPr>
              <w:t>2012</w:t>
            </w:r>
          </w:p>
        </w:tc>
        <w:tc>
          <w:tcPr>
            <w:tcW w:w="919" w:type="dxa"/>
          </w:tcPr>
          <w:p>
            <w:pPr>
              <w:pStyle w:val="TableParagraph"/>
              <w:spacing w:before="21"/>
              <w:ind w:left="38"/>
              <w:rPr>
                <w:b/>
                <w:sz w:val="18"/>
              </w:rPr>
            </w:pPr>
            <w:r>
              <w:rPr>
                <w:b/>
                <w:sz w:val="18"/>
              </w:rPr>
              <w:t>2011</w:t>
            </w:r>
          </w:p>
        </w:tc>
        <w:tc>
          <w:tcPr>
            <w:tcW w:w="1017" w:type="dxa"/>
          </w:tcPr>
          <w:p>
            <w:pPr>
              <w:pStyle w:val="TableParagraph"/>
              <w:spacing w:before="21"/>
              <w:ind w:left="178"/>
              <w:rPr>
                <w:b/>
                <w:sz w:val="18"/>
              </w:rPr>
            </w:pPr>
            <w:r>
              <w:rPr>
                <w:b/>
                <w:sz w:val="18"/>
              </w:rPr>
              <w:t>2012</w:t>
            </w:r>
          </w:p>
        </w:tc>
        <w:tc>
          <w:tcPr>
            <w:tcW w:w="1092" w:type="dxa"/>
          </w:tcPr>
          <w:p>
            <w:pPr>
              <w:pStyle w:val="TableParagraph"/>
              <w:spacing w:before="21"/>
              <w:ind w:left="244"/>
              <w:rPr>
                <w:b/>
                <w:sz w:val="18"/>
              </w:rPr>
            </w:pPr>
            <w:r>
              <w:rPr>
                <w:b/>
                <w:sz w:val="18"/>
              </w:rPr>
              <w:t>2011</w:t>
            </w:r>
          </w:p>
        </w:tc>
        <w:tc>
          <w:tcPr>
            <w:tcW w:w="1254" w:type="dxa"/>
          </w:tcPr>
          <w:p>
            <w:pPr>
              <w:pStyle w:val="TableParagraph"/>
              <w:spacing w:before="21"/>
              <w:ind w:left="207"/>
              <w:rPr>
                <w:b/>
                <w:sz w:val="18"/>
              </w:rPr>
            </w:pPr>
            <w:r>
              <w:rPr>
                <w:b/>
                <w:sz w:val="18"/>
              </w:rPr>
              <w:t>2012</w:t>
            </w:r>
          </w:p>
        </w:tc>
        <w:tc>
          <w:tcPr>
            <w:tcW w:w="766" w:type="dxa"/>
          </w:tcPr>
          <w:p>
            <w:pPr>
              <w:pStyle w:val="TableParagraph"/>
              <w:spacing w:before="21"/>
              <w:ind w:left="39"/>
              <w:rPr>
                <w:b/>
                <w:sz w:val="18"/>
              </w:rPr>
            </w:pPr>
            <w:r>
              <w:rPr>
                <w:b/>
                <w:sz w:val="18"/>
              </w:rPr>
              <w:t>2011</w:t>
            </w:r>
          </w:p>
        </w:tc>
      </w:tr>
      <w:tr>
        <w:trPr>
          <w:trHeight w:val="313" w:hRule="exact"/>
        </w:trPr>
        <w:tc>
          <w:tcPr>
            <w:tcW w:w="3208" w:type="dxa"/>
          </w:tcPr>
          <w:p>
            <w:pPr/>
          </w:p>
        </w:tc>
        <w:tc>
          <w:tcPr>
            <w:tcW w:w="1091" w:type="dxa"/>
          </w:tcPr>
          <w:p>
            <w:pPr>
              <w:pStyle w:val="TableParagraph"/>
              <w:spacing w:before="22"/>
              <w:ind w:right="28"/>
              <w:jc w:val="center"/>
              <w:rPr>
                <w:b/>
                <w:sz w:val="18"/>
              </w:rPr>
            </w:pPr>
            <w:r>
              <w:rPr>
                <w:b/>
                <w:w w:val="99"/>
                <w:sz w:val="18"/>
              </w:rPr>
              <w:t>$</w:t>
            </w:r>
          </w:p>
        </w:tc>
        <w:tc>
          <w:tcPr>
            <w:tcW w:w="1175" w:type="dxa"/>
          </w:tcPr>
          <w:p>
            <w:pPr>
              <w:pStyle w:val="TableParagraph"/>
              <w:spacing w:before="22"/>
              <w:ind w:right="124"/>
              <w:jc w:val="center"/>
              <w:rPr>
                <w:b/>
                <w:sz w:val="18"/>
              </w:rPr>
            </w:pPr>
            <w:r>
              <w:rPr>
                <w:b/>
                <w:w w:val="99"/>
                <w:sz w:val="18"/>
              </w:rPr>
              <w:t>$</w:t>
            </w:r>
          </w:p>
        </w:tc>
        <w:tc>
          <w:tcPr>
            <w:tcW w:w="1047" w:type="dxa"/>
          </w:tcPr>
          <w:p>
            <w:pPr>
              <w:pStyle w:val="TableParagraph"/>
              <w:spacing w:before="22"/>
              <w:ind w:right="234"/>
              <w:jc w:val="center"/>
              <w:rPr>
                <w:b/>
                <w:sz w:val="18"/>
              </w:rPr>
            </w:pPr>
            <w:r>
              <w:rPr>
                <w:b/>
                <w:w w:val="99"/>
                <w:sz w:val="18"/>
              </w:rPr>
              <w:t>$</w:t>
            </w:r>
          </w:p>
        </w:tc>
        <w:tc>
          <w:tcPr>
            <w:tcW w:w="1124" w:type="dxa"/>
          </w:tcPr>
          <w:p>
            <w:pPr>
              <w:pStyle w:val="TableParagraph"/>
              <w:spacing w:before="22"/>
              <w:ind w:right="231"/>
              <w:jc w:val="center"/>
              <w:rPr>
                <w:b/>
                <w:sz w:val="18"/>
              </w:rPr>
            </w:pPr>
            <w:r>
              <w:rPr>
                <w:b/>
                <w:w w:val="99"/>
                <w:sz w:val="18"/>
              </w:rPr>
              <w:t>$</w:t>
            </w:r>
          </w:p>
        </w:tc>
        <w:tc>
          <w:tcPr>
            <w:tcW w:w="1222" w:type="dxa"/>
          </w:tcPr>
          <w:p>
            <w:pPr>
              <w:pStyle w:val="TableParagraph"/>
              <w:spacing w:before="22"/>
              <w:ind w:left="327"/>
              <w:rPr>
                <w:b/>
                <w:sz w:val="18"/>
              </w:rPr>
            </w:pPr>
            <w:r>
              <w:rPr>
                <w:b/>
                <w:w w:val="99"/>
                <w:sz w:val="18"/>
              </w:rPr>
              <w:t>$</w:t>
            </w:r>
          </w:p>
        </w:tc>
        <w:tc>
          <w:tcPr>
            <w:tcW w:w="919" w:type="dxa"/>
          </w:tcPr>
          <w:p>
            <w:pPr>
              <w:pStyle w:val="TableParagraph"/>
              <w:spacing w:before="22"/>
              <w:ind w:left="190"/>
              <w:rPr>
                <w:b/>
                <w:sz w:val="18"/>
              </w:rPr>
            </w:pPr>
            <w:r>
              <w:rPr>
                <w:b/>
                <w:w w:val="99"/>
                <w:sz w:val="18"/>
              </w:rPr>
              <w:t>$</w:t>
            </w:r>
          </w:p>
        </w:tc>
        <w:tc>
          <w:tcPr>
            <w:tcW w:w="1017" w:type="dxa"/>
          </w:tcPr>
          <w:p>
            <w:pPr>
              <w:pStyle w:val="TableParagraph"/>
              <w:spacing w:before="22"/>
              <w:ind w:left="327"/>
              <w:rPr>
                <w:b/>
                <w:sz w:val="18"/>
              </w:rPr>
            </w:pPr>
            <w:r>
              <w:rPr>
                <w:b/>
                <w:w w:val="99"/>
                <w:sz w:val="18"/>
              </w:rPr>
              <w:t>$</w:t>
            </w:r>
          </w:p>
        </w:tc>
        <w:tc>
          <w:tcPr>
            <w:tcW w:w="1092" w:type="dxa"/>
          </w:tcPr>
          <w:p>
            <w:pPr>
              <w:pStyle w:val="TableParagraph"/>
              <w:spacing w:before="22"/>
              <w:ind w:right="204"/>
              <w:jc w:val="center"/>
              <w:rPr>
                <w:b/>
                <w:sz w:val="18"/>
              </w:rPr>
            </w:pPr>
            <w:r>
              <w:rPr>
                <w:b/>
                <w:w w:val="99"/>
                <w:sz w:val="18"/>
              </w:rPr>
              <w:t>$</w:t>
            </w:r>
          </w:p>
        </w:tc>
        <w:tc>
          <w:tcPr>
            <w:tcW w:w="1254" w:type="dxa"/>
          </w:tcPr>
          <w:p>
            <w:pPr>
              <w:pStyle w:val="TableParagraph"/>
              <w:spacing w:before="22"/>
              <w:ind w:left="359"/>
              <w:rPr>
                <w:b/>
                <w:sz w:val="18"/>
              </w:rPr>
            </w:pPr>
            <w:r>
              <w:rPr>
                <w:b/>
                <w:w w:val="99"/>
                <w:sz w:val="18"/>
              </w:rPr>
              <w:t>$</w:t>
            </w:r>
          </w:p>
        </w:tc>
        <w:tc>
          <w:tcPr>
            <w:tcW w:w="766" w:type="dxa"/>
          </w:tcPr>
          <w:p>
            <w:pPr>
              <w:pStyle w:val="TableParagraph"/>
              <w:spacing w:before="22"/>
              <w:ind w:left="187"/>
              <w:rPr>
                <w:b/>
                <w:sz w:val="18"/>
              </w:rPr>
            </w:pPr>
            <w:r>
              <w:rPr>
                <w:b/>
                <w:w w:val="99"/>
                <w:sz w:val="18"/>
              </w:rPr>
              <w:t>$</w:t>
            </w:r>
          </w:p>
        </w:tc>
      </w:tr>
      <w:tr>
        <w:trPr>
          <w:trHeight w:val="298" w:hRule="exact"/>
        </w:trPr>
        <w:tc>
          <w:tcPr>
            <w:tcW w:w="3208" w:type="dxa"/>
          </w:tcPr>
          <w:p>
            <w:pPr>
              <w:pStyle w:val="TableParagraph"/>
              <w:spacing w:before="64"/>
              <w:ind w:left="35"/>
              <w:rPr>
                <w:b/>
                <w:sz w:val="18"/>
              </w:rPr>
            </w:pPr>
            <w:r>
              <w:rPr>
                <w:b/>
                <w:sz w:val="18"/>
              </w:rPr>
              <w:t>Financial Assets:</w:t>
            </w:r>
          </w:p>
        </w:tc>
        <w:tc>
          <w:tcPr>
            <w:tcW w:w="1091" w:type="dxa"/>
          </w:tcPr>
          <w:p>
            <w:pPr/>
          </w:p>
        </w:tc>
        <w:tc>
          <w:tcPr>
            <w:tcW w:w="1175" w:type="dxa"/>
          </w:tcPr>
          <w:p>
            <w:pPr/>
          </w:p>
        </w:tc>
        <w:tc>
          <w:tcPr>
            <w:tcW w:w="1047" w:type="dxa"/>
          </w:tcPr>
          <w:p>
            <w:pPr/>
          </w:p>
        </w:tc>
        <w:tc>
          <w:tcPr>
            <w:tcW w:w="1124" w:type="dxa"/>
          </w:tcPr>
          <w:p>
            <w:pPr/>
          </w:p>
        </w:tc>
        <w:tc>
          <w:tcPr>
            <w:tcW w:w="1222" w:type="dxa"/>
          </w:tcPr>
          <w:p>
            <w:pPr/>
          </w:p>
        </w:tc>
        <w:tc>
          <w:tcPr>
            <w:tcW w:w="919" w:type="dxa"/>
          </w:tcPr>
          <w:p>
            <w:pPr/>
          </w:p>
        </w:tc>
        <w:tc>
          <w:tcPr>
            <w:tcW w:w="1017" w:type="dxa"/>
          </w:tcPr>
          <w:p>
            <w:pPr/>
          </w:p>
        </w:tc>
        <w:tc>
          <w:tcPr>
            <w:tcW w:w="1092" w:type="dxa"/>
          </w:tcPr>
          <w:p>
            <w:pPr/>
          </w:p>
        </w:tc>
        <w:tc>
          <w:tcPr>
            <w:tcW w:w="1254" w:type="dxa"/>
          </w:tcPr>
          <w:p>
            <w:pPr/>
          </w:p>
        </w:tc>
        <w:tc>
          <w:tcPr>
            <w:tcW w:w="766" w:type="dxa"/>
          </w:tcPr>
          <w:p>
            <w:pPr/>
          </w:p>
        </w:tc>
      </w:tr>
      <w:tr>
        <w:trPr>
          <w:trHeight w:val="456" w:hRule="exact"/>
        </w:trPr>
        <w:tc>
          <w:tcPr>
            <w:tcW w:w="3208" w:type="dxa"/>
          </w:tcPr>
          <w:p>
            <w:pPr>
              <w:pStyle w:val="TableParagraph"/>
              <w:spacing w:line="204" w:lineRule="exact" w:before="12"/>
              <w:ind w:left="35" w:right="1952"/>
              <w:rPr>
                <w:sz w:val="18"/>
              </w:rPr>
            </w:pPr>
            <w:r>
              <w:rPr>
                <w:sz w:val="18"/>
              </w:rPr>
              <w:t>Cash and cash equivalents</w:t>
            </w:r>
          </w:p>
        </w:tc>
        <w:tc>
          <w:tcPr>
            <w:tcW w:w="1091" w:type="dxa"/>
          </w:tcPr>
          <w:p>
            <w:pPr>
              <w:pStyle w:val="TableParagraph"/>
              <w:spacing w:before="10"/>
              <w:rPr>
                <w:sz w:val="17"/>
              </w:rPr>
            </w:pPr>
          </w:p>
          <w:p>
            <w:pPr>
              <w:pStyle w:val="TableParagraph"/>
              <w:ind w:left="184"/>
              <w:rPr>
                <w:b/>
                <w:sz w:val="18"/>
              </w:rPr>
            </w:pPr>
            <w:r>
              <w:rPr>
                <w:b/>
                <w:sz w:val="18"/>
              </w:rPr>
              <w:t>1,002,818</w:t>
            </w:r>
          </w:p>
        </w:tc>
        <w:tc>
          <w:tcPr>
            <w:tcW w:w="1175" w:type="dxa"/>
          </w:tcPr>
          <w:p>
            <w:pPr>
              <w:pStyle w:val="TableParagraph"/>
              <w:spacing w:before="4"/>
              <w:rPr>
                <w:sz w:val="18"/>
              </w:rPr>
            </w:pPr>
          </w:p>
          <w:p>
            <w:pPr>
              <w:pStyle w:val="TableParagraph"/>
              <w:ind w:right="206"/>
              <w:jc w:val="right"/>
              <w:rPr>
                <w:sz w:val="18"/>
              </w:rPr>
            </w:pPr>
            <w:r>
              <w:rPr>
                <w:sz w:val="18"/>
              </w:rPr>
              <w:t>160,932</w:t>
            </w:r>
          </w:p>
        </w:tc>
        <w:tc>
          <w:tcPr>
            <w:tcW w:w="1047" w:type="dxa"/>
          </w:tcPr>
          <w:p>
            <w:pPr>
              <w:pStyle w:val="TableParagraph"/>
              <w:spacing w:before="10"/>
              <w:rPr>
                <w:sz w:val="17"/>
              </w:rPr>
            </w:pPr>
          </w:p>
          <w:p>
            <w:pPr>
              <w:pStyle w:val="TableParagraph"/>
              <w:ind w:left="249"/>
              <w:rPr>
                <w:b/>
                <w:sz w:val="18"/>
              </w:rPr>
            </w:pPr>
            <w:r>
              <w:rPr>
                <w:b/>
                <w:sz w:val="18"/>
              </w:rPr>
              <w:t>(10,028)</w:t>
            </w:r>
          </w:p>
        </w:tc>
        <w:tc>
          <w:tcPr>
            <w:tcW w:w="1124" w:type="dxa"/>
          </w:tcPr>
          <w:p>
            <w:pPr>
              <w:pStyle w:val="TableParagraph"/>
              <w:spacing w:before="4"/>
              <w:rPr>
                <w:sz w:val="18"/>
              </w:rPr>
            </w:pPr>
          </w:p>
          <w:p>
            <w:pPr>
              <w:pStyle w:val="TableParagraph"/>
              <w:ind w:right="176"/>
              <w:jc w:val="right"/>
              <w:rPr>
                <w:sz w:val="18"/>
              </w:rPr>
            </w:pPr>
            <w:r>
              <w:rPr>
                <w:w w:val="95"/>
                <w:sz w:val="18"/>
              </w:rPr>
              <w:t>(1,609)</w:t>
            </w:r>
          </w:p>
        </w:tc>
        <w:tc>
          <w:tcPr>
            <w:tcW w:w="1222" w:type="dxa"/>
          </w:tcPr>
          <w:p>
            <w:pPr>
              <w:pStyle w:val="TableParagraph"/>
              <w:spacing w:before="10"/>
              <w:rPr>
                <w:sz w:val="17"/>
              </w:rPr>
            </w:pPr>
          </w:p>
          <w:p>
            <w:pPr>
              <w:pStyle w:val="TableParagraph"/>
              <w:ind w:left="221"/>
              <w:rPr>
                <w:b/>
                <w:sz w:val="18"/>
              </w:rPr>
            </w:pPr>
            <w:r>
              <w:rPr>
                <w:b/>
                <w:sz w:val="18"/>
              </w:rPr>
              <w:t>(10,028)</w:t>
            </w:r>
          </w:p>
        </w:tc>
        <w:tc>
          <w:tcPr>
            <w:tcW w:w="919" w:type="dxa"/>
          </w:tcPr>
          <w:p>
            <w:pPr>
              <w:pStyle w:val="TableParagraph"/>
              <w:spacing w:before="4"/>
              <w:rPr>
                <w:sz w:val="18"/>
              </w:rPr>
            </w:pPr>
          </w:p>
          <w:p>
            <w:pPr>
              <w:pStyle w:val="TableParagraph"/>
              <w:ind w:right="176"/>
              <w:jc w:val="right"/>
              <w:rPr>
                <w:sz w:val="18"/>
              </w:rPr>
            </w:pPr>
            <w:r>
              <w:rPr>
                <w:w w:val="95"/>
                <w:sz w:val="18"/>
              </w:rPr>
              <w:t>(1,609)</w:t>
            </w:r>
          </w:p>
        </w:tc>
        <w:tc>
          <w:tcPr>
            <w:tcW w:w="1017" w:type="dxa"/>
          </w:tcPr>
          <w:p>
            <w:pPr>
              <w:pStyle w:val="TableParagraph"/>
              <w:spacing w:before="10"/>
              <w:rPr>
                <w:sz w:val="17"/>
              </w:rPr>
            </w:pPr>
          </w:p>
          <w:p>
            <w:pPr>
              <w:pStyle w:val="TableParagraph"/>
              <w:ind w:left="281"/>
              <w:rPr>
                <w:b/>
                <w:sz w:val="18"/>
              </w:rPr>
            </w:pPr>
            <w:r>
              <w:rPr>
                <w:b/>
                <w:sz w:val="18"/>
              </w:rPr>
              <w:t>10,028</w:t>
            </w:r>
          </w:p>
        </w:tc>
        <w:tc>
          <w:tcPr>
            <w:tcW w:w="1092" w:type="dxa"/>
          </w:tcPr>
          <w:p>
            <w:pPr>
              <w:pStyle w:val="TableParagraph"/>
              <w:spacing w:before="4"/>
              <w:rPr>
                <w:sz w:val="18"/>
              </w:rPr>
            </w:pPr>
          </w:p>
          <w:p>
            <w:pPr>
              <w:pStyle w:val="TableParagraph"/>
              <w:ind w:right="205"/>
              <w:jc w:val="right"/>
              <w:rPr>
                <w:sz w:val="18"/>
              </w:rPr>
            </w:pPr>
            <w:r>
              <w:rPr>
                <w:sz w:val="18"/>
              </w:rPr>
              <w:t>1,609</w:t>
            </w:r>
          </w:p>
        </w:tc>
        <w:tc>
          <w:tcPr>
            <w:tcW w:w="1254" w:type="dxa"/>
          </w:tcPr>
          <w:p>
            <w:pPr>
              <w:pStyle w:val="TableParagraph"/>
              <w:spacing w:before="10"/>
              <w:rPr>
                <w:sz w:val="17"/>
              </w:rPr>
            </w:pPr>
          </w:p>
          <w:p>
            <w:pPr>
              <w:pStyle w:val="TableParagraph"/>
              <w:ind w:left="310"/>
              <w:rPr>
                <w:b/>
                <w:sz w:val="18"/>
              </w:rPr>
            </w:pPr>
            <w:r>
              <w:rPr>
                <w:b/>
                <w:sz w:val="18"/>
              </w:rPr>
              <w:t>10,028</w:t>
            </w:r>
          </w:p>
        </w:tc>
        <w:tc>
          <w:tcPr>
            <w:tcW w:w="766" w:type="dxa"/>
          </w:tcPr>
          <w:p>
            <w:pPr>
              <w:pStyle w:val="TableParagraph"/>
              <w:spacing w:before="4"/>
              <w:rPr>
                <w:sz w:val="18"/>
              </w:rPr>
            </w:pPr>
          </w:p>
          <w:p>
            <w:pPr>
              <w:pStyle w:val="TableParagraph"/>
              <w:ind w:right="84"/>
              <w:jc w:val="right"/>
              <w:rPr>
                <w:sz w:val="18"/>
              </w:rPr>
            </w:pPr>
            <w:r>
              <w:rPr>
                <w:sz w:val="18"/>
              </w:rPr>
              <w:t>1,609</w:t>
            </w:r>
          </w:p>
        </w:tc>
      </w:tr>
      <w:tr>
        <w:trPr>
          <w:trHeight w:val="489" w:hRule="exact"/>
        </w:trPr>
        <w:tc>
          <w:tcPr>
            <w:tcW w:w="3208" w:type="dxa"/>
          </w:tcPr>
          <w:p>
            <w:pPr>
              <w:pStyle w:val="TableParagraph"/>
              <w:spacing w:line="204" w:lineRule="exact" w:before="24"/>
              <w:ind w:left="35" w:right="1871"/>
              <w:rPr>
                <w:sz w:val="18"/>
              </w:rPr>
            </w:pPr>
            <w:r>
              <w:rPr>
                <w:sz w:val="18"/>
              </w:rPr>
              <w:t>Trade and other receivables</w:t>
            </w:r>
          </w:p>
        </w:tc>
        <w:tc>
          <w:tcPr>
            <w:tcW w:w="1091" w:type="dxa"/>
            <w:tcBorders>
              <w:bottom w:val="single" w:sz="5" w:space="0" w:color="000000"/>
            </w:tcBorders>
          </w:tcPr>
          <w:p>
            <w:pPr>
              <w:pStyle w:val="TableParagraph"/>
              <w:spacing w:before="11"/>
              <w:rPr>
                <w:sz w:val="18"/>
              </w:rPr>
            </w:pPr>
          </w:p>
          <w:p>
            <w:pPr>
              <w:pStyle w:val="TableParagraph"/>
              <w:ind w:left="336"/>
              <w:rPr>
                <w:b/>
                <w:sz w:val="18"/>
              </w:rPr>
            </w:pPr>
            <w:r>
              <w:rPr>
                <w:b/>
                <w:sz w:val="18"/>
              </w:rPr>
              <w:t>118,406</w:t>
            </w:r>
          </w:p>
        </w:tc>
        <w:tc>
          <w:tcPr>
            <w:tcW w:w="1175" w:type="dxa"/>
            <w:tcBorders>
              <w:bottom w:val="single" w:sz="5" w:space="0" w:color="000000"/>
            </w:tcBorders>
          </w:tcPr>
          <w:p>
            <w:pPr>
              <w:pStyle w:val="TableParagraph"/>
              <w:spacing w:before="4"/>
              <w:rPr>
                <w:sz w:val="19"/>
              </w:rPr>
            </w:pPr>
          </w:p>
          <w:p>
            <w:pPr>
              <w:pStyle w:val="TableParagraph"/>
              <w:ind w:right="206"/>
              <w:jc w:val="right"/>
              <w:rPr>
                <w:sz w:val="18"/>
              </w:rPr>
            </w:pPr>
            <w:r>
              <w:rPr>
                <w:sz w:val="18"/>
              </w:rPr>
              <w:t>107,083</w:t>
            </w:r>
          </w:p>
        </w:tc>
        <w:tc>
          <w:tcPr>
            <w:tcW w:w="1047" w:type="dxa"/>
            <w:tcBorders>
              <w:bottom w:val="single" w:sz="5" w:space="0" w:color="000000"/>
            </w:tcBorders>
          </w:tcPr>
          <w:p>
            <w:pPr>
              <w:pStyle w:val="TableParagraph"/>
              <w:spacing w:before="11"/>
              <w:rPr>
                <w:sz w:val="18"/>
              </w:rPr>
            </w:pPr>
          </w:p>
          <w:p>
            <w:pPr>
              <w:pStyle w:val="TableParagraph"/>
              <w:ind w:left="347"/>
              <w:rPr>
                <w:b/>
                <w:sz w:val="18"/>
              </w:rPr>
            </w:pPr>
            <w:r>
              <w:rPr>
                <w:b/>
                <w:sz w:val="18"/>
              </w:rPr>
              <w:t>(1,184)</w:t>
            </w:r>
          </w:p>
        </w:tc>
        <w:tc>
          <w:tcPr>
            <w:tcW w:w="1124" w:type="dxa"/>
            <w:tcBorders>
              <w:bottom w:val="single" w:sz="5" w:space="0" w:color="000000"/>
            </w:tcBorders>
          </w:tcPr>
          <w:p>
            <w:pPr>
              <w:pStyle w:val="TableParagraph"/>
              <w:spacing w:before="4"/>
              <w:rPr>
                <w:sz w:val="19"/>
              </w:rPr>
            </w:pPr>
          </w:p>
          <w:p>
            <w:pPr>
              <w:pStyle w:val="TableParagraph"/>
              <w:ind w:right="176"/>
              <w:jc w:val="right"/>
              <w:rPr>
                <w:sz w:val="18"/>
              </w:rPr>
            </w:pPr>
            <w:r>
              <w:rPr>
                <w:w w:val="95"/>
                <w:sz w:val="18"/>
              </w:rPr>
              <w:t>(1,071)</w:t>
            </w:r>
          </w:p>
        </w:tc>
        <w:tc>
          <w:tcPr>
            <w:tcW w:w="1222" w:type="dxa"/>
            <w:tcBorders>
              <w:bottom w:val="single" w:sz="5" w:space="0" w:color="000000"/>
            </w:tcBorders>
          </w:tcPr>
          <w:p>
            <w:pPr>
              <w:pStyle w:val="TableParagraph"/>
              <w:spacing w:before="11"/>
              <w:rPr>
                <w:sz w:val="18"/>
              </w:rPr>
            </w:pPr>
          </w:p>
          <w:p>
            <w:pPr>
              <w:pStyle w:val="TableParagraph"/>
              <w:ind w:left="319"/>
              <w:rPr>
                <w:b/>
                <w:sz w:val="18"/>
              </w:rPr>
            </w:pPr>
            <w:r>
              <w:rPr>
                <w:b/>
                <w:sz w:val="18"/>
              </w:rPr>
              <w:t>(1,184)</w:t>
            </w:r>
          </w:p>
        </w:tc>
        <w:tc>
          <w:tcPr>
            <w:tcW w:w="919" w:type="dxa"/>
            <w:tcBorders>
              <w:bottom w:val="single" w:sz="5" w:space="0" w:color="000000"/>
            </w:tcBorders>
          </w:tcPr>
          <w:p>
            <w:pPr>
              <w:pStyle w:val="TableParagraph"/>
              <w:spacing w:before="4"/>
              <w:rPr>
                <w:sz w:val="19"/>
              </w:rPr>
            </w:pPr>
          </w:p>
          <w:p>
            <w:pPr>
              <w:pStyle w:val="TableParagraph"/>
              <w:ind w:right="176"/>
              <w:jc w:val="right"/>
              <w:rPr>
                <w:sz w:val="18"/>
              </w:rPr>
            </w:pPr>
            <w:r>
              <w:rPr>
                <w:w w:val="95"/>
                <w:sz w:val="18"/>
              </w:rPr>
              <w:t>(1,071)</w:t>
            </w:r>
          </w:p>
        </w:tc>
        <w:tc>
          <w:tcPr>
            <w:tcW w:w="1017" w:type="dxa"/>
            <w:tcBorders>
              <w:bottom w:val="single" w:sz="5" w:space="0" w:color="000000"/>
            </w:tcBorders>
          </w:tcPr>
          <w:p>
            <w:pPr>
              <w:pStyle w:val="TableParagraph"/>
              <w:spacing w:before="11"/>
              <w:rPr>
                <w:sz w:val="18"/>
              </w:rPr>
            </w:pPr>
          </w:p>
          <w:p>
            <w:pPr>
              <w:pStyle w:val="TableParagraph"/>
              <w:ind w:left="379"/>
              <w:rPr>
                <w:b/>
                <w:sz w:val="18"/>
              </w:rPr>
            </w:pPr>
            <w:r>
              <w:rPr>
                <w:b/>
                <w:sz w:val="18"/>
              </w:rPr>
              <w:t>1,184</w:t>
            </w:r>
          </w:p>
        </w:tc>
        <w:tc>
          <w:tcPr>
            <w:tcW w:w="1092" w:type="dxa"/>
            <w:tcBorders>
              <w:bottom w:val="single" w:sz="5" w:space="0" w:color="000000"/>
            </w:tcBorders>
          </w:tcPr>
          <w:p>
            <w:pPr>
              <w:pStyle w:val="TableParagraph"/>
              <w:spacing w:before="4"/>
              <w:rPr>
                <w:sz w:val="19"/>
              </w:rPr>
            </w:pPr>
          </w:p>
          <w:p>
            <w:pPr>
              <w:pStyle w:val="TableParagraph"/>
              <w:ind w:right="205"/>
              <w:jc w:val="right"/>
              <w:rPr>
                <w:sz w:val="18"/>
              </w:rPr>
            </w:pPr>
            <w:r>
              <w:rPr>
                <w:sz w:val="18"/>
              </w:rPr>
              <w:t>1,071</w:t>
            </w:r>
          </w:p>
        </w:tc>
        <w:tc>
          <w:tcPr>
            <w:tcW w:w="1254" w:type="dxa"/>
            <w:tcBorders>
              <w:bottom w:val="single" w:sz="5" w:space="0" w:color="000000"/>
            </w:tcBorders>
          </w:tcPr>
          <w:p>
            <w:pPr>
              <w:pStyle w:val="TableParagraph"/>
              <w:spacing w:before="11"/>
              <w:rPr>
                <w:sz w:val="18"/>
              </w:rPr>
            </w:pPr>
          </w:p>
          <w:p>
            <w:pPr>
              <w:pStyle w:val="TableParagraph"/>
              <w:ind w:left="411"/>
              <w:rPr>
                <w:b/>
                <w:sz w:val="18"/>
              </w:rPr>
            </w:pPr>
            <w:r>
              <w:rPr>
                <w:b/>
                <w:sz w:val="18"/>
              </w:rPr>
              <w:t>1,184</w:t>
            </w:r>
          </w:p>
        </w:tc>
        <w:tc>
          <w:tcPr>
            <w:tcW w:w="766" w:type="dxa"/>
            <w:tcBorders>
              <w:bottom w:val="single" w:sz="5" w:space="0" w:color="000000"/>
            </w:tcBorders>
          </w:tcPr>
          <w:p>
            <w:pPr>
              <w:pStyle w:val="TableParagraph"/>
              <w:spacing w:before="4"/>
              <w:rPr>
                <w:sz w:val="19"/>
              </w:rPr>
            </w:pPr>
          </w:p>
          <w:p>
            <w:pPr>
              <w:pStyle w:val="TableParagraph"/>
              <w:ind w:right="85"/>
              <w:jc w:val="right"/>
              <w:rPr>
                <w:sz w:val="18"/>
              </w:rPr>
            </w:pPr>
            <w:r>
              <w:rPr>
                <w:sz w:val="18"/>
              </w:rPr>
              <w:t>1,071</w:t>
            </w:r>
          </w:p>
        </w:tc>
      </w:tr>
      <w:tr>
        <w:trPr>
          <w:trHeight w:val="370" w:hRule="exact"/>
        </w:trPr>
        <w:tc>
          <w:tcPr>
            <w:tcW w:w="3208" w:type="dxa"/>
          </w:tcPr>
          <w:p>
            <w:pPr>
              <w:pStyle w:val="TableParagraph"/>
              <w:spacing w:before="108"/>
              <w:ind w:left="35"/>
              <w:rPr>
                <w:b/>
                <w:sz w:val="18"/>
              </w:rPr>
            </w:pPr>
            <w:r>
              <w:rPr>
                <w:b/>
                <w:sz w:val="18"/>
              </w:rPr>
              <w:t>Total Financial Assets</w:t>
            </w:r>
          </w:p>
        </w:tc>
        <w:tc>
          <w:tcPr>
            <w:tcW w:w="1091" w:type="dxa"/>
            <w:tcBorders>
              <w:top w:val="single" w:sz="5" w:space="0" w:color="000000"/>
              <w:bottom w:val="single" w:sz="5" w:space="0" w:color="000000"/>
            </w:tcBorders>
          </w:tcPr>
          <w:p>
            <w:pPr>
              <w:pStyle w:val="TableParagraph"/>
              <w:spacing w:before="102"/>
              <w:ind w:left="184"/>
              <w:rPr>
                <w:b/>
                <w:sz w:val="18"/>
              </w:rPr>
            </w:pPr>
            <w:r>
              <w:rPr>
                <w:b/>
                <w:sz w:val="18"/>
              </w:rPr>
              <w:t>1,121,224</w:t>
            </w:r>
          </w:p>
        </w:tc>
        <w:tc>
          <w:tcPr>
            <w:tcW w:w="1175" w:type="dxa"/>
            <w:tcBorders>
              <w:top w:val="single" w:sz="5" w:space="0" w:color="000000"/>
              <w:bottom w:val="single" w:sz="5" w:space="0" w:color="000000"/>
            </w:tcBorders>
          </w:tcPr>
          <w:p>
            <w:pPr>
              <w:pStyle w:val="TableParagraph"/>
              <w:spacing w:before="107"/>
              <w:ind w:right="206"/>
              <w:jc w:val="right"/>
              <w:rPr>
                <w:sz w:val="18"/>
              </w:rPr>
            </w:pPr>
            <w:r>
              <w:rPr>
                <w:sz w:val="18"/>
              </w:rPr>
              <w:t>268,015</w:t>
            </w:r>
          </w:p>
        </w:tc>
        <w:tc>
          <w:tcPr>
            <w:tcW w:w="1047" w:type="dxa"/>
            <w:tcBorders>
              <w:top w:val="single" w:sz="5" w:space="0" w:color="000000"/>
              <w:bottom w:val="single" w:sz="5" w:space="0" w:color="000000"/>
            </w:tcBorders>
          </w:tcPr>
          <w:p>
            <w:pPr>
              <w:pStyle w:val="TableParagraph"/>
              <w:spacing w:before="102"/>
              <w:ind w:left="249"/>
              <w:rPr>
                <w:b/>
                <w:sz w:val="18"/>
              </w:rPr>
            </w:pPr>
            <w:r>
              <w:rPr>
                <w:b/>
                <w:sz w:val="18"/>
              </w:rPr>
              <w:t>(11,212)</w:t>
            </w:r>
          </w:p>
        </w:tc>
        <w:tc>
          <w:tcPr>
            <w:tcW w:w="1124" w:type="dxa"/>
            <w:tcBorders>
              <w:top w:val="single" w:sz="5" w:space="0" w:color="000000"/>
              <w:bottom w:val="single" w:sz="5" w:space="0" w:color="000000"/>
            </w:tcBorders>
          </w:tcPr>
          <w:p>
            <w:pPr>
              <w:pStyle w:val="TableParagraph"/>
              <w:spacing w:before="107"/>
              <w:ind w:right="176"/>
              <w:jc w:val="right"/>
              <w:rPr>
                <w:sz w:val="18"/>
              </w:rPr>
            </w:pPr>
            <w:r>
              <w:rPr>
                <w:w w:val="95"/>
                <w:sz w:val="18"/>
              </w:rPr>
              <w:t>(2,680)</w:t>
            </w:r>
          </w:p>
        </w:tc>
        <w:tc>
          <w:tcPr>
            <w:tcW w:w="1222" w:type="dxa"/>
            <w:tcBorders>
              <w:top w:val="single" w:sz="5" w:space="0" w:color="000000"/>
              <w:bottom w:val="single" w:sz="5" w:space="0" w:color="000000"/>
            </w:tcBorders>
          </w:tcPr>
          <w:p>
            <w:pPr>
              <w:pStyle w:val="TableParagraph"/>
              <w:spacing w:before="102"/>
              <w:ind w:left="221"/>
              <w:rPr>
                <w:b/>
                <w:sz w:val="18"/>
              </w:rPr>
            </w:pPr>
            <w:r>
              <w:rPr>
                <w:b/>
                <w:sz w:val="18"/>
              </w:rPr>
              <w:t>(11,212)</w:t>
            </w:r>
          </w:p>
        </w:tc>
        <w:tc>
          <w:tcPr>
            <w:tcW w:w="919" w:type="dxa"/>
            <w:tcBorders>
              <w:top w:val="single" w:sz="5" w:space="0" w:color="000000"/>
              <w:bottom w:val="single" w:sz="5" w:space="0" w:color="000000"/>
            </w:tcBorders>
          </w:tcPr>
          <w:p>
            <w:pPr>
              <w:pStyle w:val="TableParagraph"/>
              <w:spacing w:before="107"/>
              <w:ind w:right="176"/>
              <w:jc w:val="right"/>
              <w:rPr>
                <w:sz w:val="18"/>
              </w:rPr>
            </w:pPr>
            <w:r>
              <w:rPr>
                <w:w w:val="95"/>
                <w:sz w:val="18"/>
              </w:rPr>
              <w:t>(2,680)</w:t>
            </w:r>
          </w:p>
        </w:tc>
        <w:tc>
          <w:tcPr>
            <w:tcW w:w="1017" w:type="dxa"/>
            <w:tcBorders>
              <w:top w:val="single" w:sz="5" w:space="0" w:color="000000"/>
              <w:bottom w:val="single" w:sz="5" w:space="0" w:color="000000"/>
            </w:tcBorders>
          </w:tcPr>
          <w:p>
            <w:pPr>
              <w:pStyle w:val="TableParagraph"/>
              <w:spacing w:before="102"/>
              <w:ind w:left="281"/>
              <w:rPr>
                <w:b/>
                <w:sz w:val="18"/>
              </w:rPr>
            </w:pPr>
            <w:r>
              <w:rPr>
                <w:b/>
                <w:sz w:val="18"/>
              </w:rPr>
              <w:t>11,212</w:t>
            </w:r>
          </w:p>
        </w:tc>
        <w:tc>
          <w:tcPr>
            <w:tcW w:w="1092" w:type="dxa"/>
            <w:tcBorders>
              <w:top w:val="single" w:sz="5" w:space="0" w:color="000000"/>
              <w:bottom w:val="single" w:sz="4" w:space="0" w:color="000000"/>
            </w:tcBorders>
          </w:tcPr>
          <w:p>
            <w:pPr>
              <w:pStyle w:val="TableParagraph"/>
              <w:spacing w:before="107"/>
              <w:ind w:right="205"/>
              <w:jc w:val="right"/>
              <w:rPr>
                <w:sz w:val="18"/>
              </w:rPr>
            </w:pPr>
            <w:r>
              <w:rPr>
                <w:sz w:val="18"/>
              </w:rPr>
              <w:t>2,680</w:t>
            </w:r>
          </w:p>
        </w:tc>
        <w:tc>
          <w:tcPr>
            <w:tcW w:w="1254" w:type="dxa"/>
            <w:tcBorders>
              <w:top w:val="single" w:sz="5" w:space="0" w:color="000000"/>
              <w:bottom w:val="single" w:sz="6" w:space="0" w:color="000000"/>
            </w:tcBorders>
          </w:tcPr>
          <w:p>
            <w:pPr>
              <w:pStyle w:val="TableParagraph"/>
              <w:spacing w:before="102"/>
              <w:ind w:left="310"/>
              <w:rPr>
                <w:b/>
                <w:sz w:val="18"/>
              </w:rPr>
            </w:pPr>
            <w:r>
              <w:rPr>
                <w:b/>
                <w:sz w:val="18"/>
              </w:rPr>
              <w:t>11,212</w:t>
            </w:r>
          </w:p>
        </w:tc>
        <w:tc>
          <w:tcPr>
            <w:tcW w:w="766" w:type="dxa"/>
            <w:tcBorders>
              <w:top w:val="single" w:sz="5" w:space="0" w:color="000000"/>
              <w:bottom w:val="single" w:sz="6" w:space="0" w:color="000000"/>
            </w:tcBorders>
          </w:tcPr>
          <w:p>
            <w:pPr>
              <w:pStyle w:val="TableParagraph"/>
              <w:spacing w:before="107"/>
              <w:ind w:right="84"/>
              <w:jc w:val="right"/>
              <w:rPr>
                <w:sz w:val="18"/>
              </w:rPr>
            </w:pPr>
            <w:r>
              <w:rPr>
                <w:sz w:val="18"/>
              </w:rPr>
              <w:t>2,680</w:t>
            </w:r>
          </w:p>
        </w:tc>
      </w:tr>
      <w:tr>
        <w:trPr>
          <w:trHeight w:val="332" w:hRule="exact"/>
        </w:trPr>
        <w:tc>
          <w:tcPr>
            <w:tcW w:w="3208" w:type="dxa"/>
          </w:tcPr>
          <w:p>
            <w:pPr>
              <w:pStyle w:val="TableParagraph"/>
              <w:spacing w:before="108"/>
              <w:ind w:left="35"/>
              <w:rPr>
                <w:b/>
                <w:sz w:val="18"/>
              </w:rPr>
            </w:pPr>
            <w:r>
              <w:rPr>
                <w:b/>
                <w:sz w:val="18"/>
              </w:rPr>
              <w:t>Financial Liabilities:</w:t>
            </w:r>
          </w:p>
        </w:tc>
        <w:tc>
          <w:tcPr>
            <w:tcW w:w="1091" w:type="dxa"/>
            <w:tcBorders>
              <w:top w:val="single" w:sz="5" w:space="0" w:color="000000"/>
            </w:tcBorders>
          </w:tcPr>
          <w:p>
            <w:pPr/>
          </w:p>
        </w:tc>
        <w:tc>
          <w:tcPr>
            <w:tcW w:w="1175" w:type="dxa"/>
            <w:tcBorders>
              <w:top w:val="single" w:sz="5" w:space="0" w:color="000000"/>
            </w:tcBorders>
          </w:tcPr>
          <w:p>
            <w:pPr/>
          </w:p>
        </w:tc>
        <w:tc>
          <w:tcPr>
            <w:tcW w:w="1047" w:type="dxa"/>
            <w:tcBorders>
              <w:top w:val="single" w:sz="5" w:space="0" w:color="000000"/>
            </w:tcBorders>
          </w:tcPr>
          <w:p>
            <w:pPr/>
          </w:p>
        </w:tc>
        <w:tc>
          <w:tcPr>
            <w:tcW w:w="1124" w:type="dxa"/>
            <w:tcBorders>
              <w:top w:val="single" w:sz="5" w:space="0" w:color="000000"/>
            </w:tcBorders>
          </w:tcPr>
          <w:p>
            <w:pPr/>
          </w:p>
        </w:tc>
        <w:tc>
          <w:tcPr>
            <w:tcW w:w="1222" w:type="dxa"/>
            <w:tcBorders>
              <w:top w:val="single" w:sz="5" w:space="0" w:color="000000"/>
            </w:tcBorders>
          </w:tcPr>
          <w:p>
            <w:pPr/>
          </w:p>
        </w:tc>
        <w:tc>
          <w:tcPr>
            <w:tcW w:w="919" w:type="dxa"/>
            <w:tcBorders>
              <w:top w:val="single" w:sz="5" w:space="0" w:color="000000"/>
            </w:tcBorders>
          </w:tcPr>
          <w:p>
            <w:pPr/>
          </w:p>
        </w:tc>
        <w:tc>
          <w:tcPr>
            <w:tcW w:w="1017" w:type="dxa"/>
            <w:tcBorders>
              <w:top w:val="single" w:sz="5" w:space="0" w:color="000000"/>
            </w:tcBorders>
          </w:tcPr>
          <w:p>
            <w:pPr/>
          </w:p>
        </w:tc>
        <w:tc>
          <w:tcPr>
            <w:tcW w:w="1092" w:type="dxa"/>
            <w:tcBorders>
              <w:top w:val="single" w:sz="4" w:space="0" w:color="000000"/>
            </w:tcBorders>
          </w:tcPr>
          <w:p>
            <w:pPr/>
          </w:p>
        </w:tc>
        <w:tc>
          <w:tcPr>
            <w:tcW w:w="1254" w:type="dxa"/>
            <w:tcBorders>
              <w:top w:val="single" w:sz="6" w:space="0" w:color="000000"/>
            </w:tcBorders>
          </w:tcPr>
          <w:p>
            <w:pPr/>
          </w:p>
        </w:tc>
        <w:tc>
          <w:tcPr>
            <w:tcW w:w="766" w:type="dxa"/>
            <w:tcBorders>
              <w:top w:val="single" w:sz="6" w:space="0" w:color="000000"/>
            </w:tcBorders>
          </w:tcPr>
          <w:p>
            <w:pPr/>
          </w:p>
        </w:tc>
      </w:tr>
      <w:tr>
        <w:trPr>
          <w:trHeight w:val="244" w:hRule="exact"/>
        </w:trPr>
        <w:tc>
          <w:tcPr>
            <w:tcW w:w="3208" w:type="dxa"/>
          </w:tcPr>
          <w:p>
            <w:pPr>
              <w:pStyle w:val="TableParagraph"/>
              <w:spacing w:line="204" w:lineRule="exact"/>
              <w:ind w:left="35"/>
              <w:rPr>
                <w:sz w:val="18"/>
              </w:rPr>
            </w:pPr>
            <w:r>
              <w:rPr>
                <w:sz w:val="18"/>
              </w:rPr>
              <w:t>Trade and other payables</w:t>
            </w:r>
          </w:p>
        </w:tc>
        <w:tc>
          <w:tcPr>
            <w:tcW w:w="1091" w:type="dxa"/>
          </w:tcPr>
          <w:p>
            <w:pPr>
              <w:pStyle w:val="TableParagraph"/>
              <w:ind w:left="184"/>
              <w:rPr>
                <w:b/>
                <w:sz w:val="18"/>
              </w:rPr>
            </w:pPr>
            <w:r>
              <w:rPr>
                <w:b/>
                <w:sz w:val="18"/>
              </w:rPr>
              <w:t>3,954,320</w:t>
            </w:r>
          </w:p>
        </w:tc>
        <w:tc>
          <w:tcPr>
            <w:tcW w:w="1175" w:type="dxa"/>
          </w:tcPr>
          <w:p>
            <w:pPr>
              <w:pStyle w:val="TableParagraph"/>
              <w:ind w:right="204"/>
              <w:jc w:val="right"/>
              <w:rPr>
                <w:sz w:val="18"/>
              </w:rPr>
            </w:pPr>
            <w:r>
              <w:rPr>
                <w:sz w:val="18"/>
              </w:rPr>
              <w:t>3,667,166</w:t>
            </w:r>
          </w:p>
        </w:tc>
        <w:tc>
          <w:tcPr>
            <w:tcW w:w="1047" w:type="dxa"/>
          </w:tcPr>
          <w:p>
            <w:pPr>
              <w:pStyle w:val="TableParagraph"/>
              <w:ind w:left="249"/>
              <w:rPr>
                <w:b/>
                <w:sz w:val="18"/>
              </w:rPr>
            </w:pPr>
            <w:r>
              <w:rPr>
                <w:b/>
                <w:sz w:val="18"/>
              </w:rPr>
              <w:t>(39,543)</w:t>
            </w:r>
          </w:p>
        </w:tc>
        <w:tc>
          <w:tcPr>
            <w:tcW w:w="1124" w:type="dxa"/>
          </w:tcPr>
          <w:p>
            <w:pPr>
              <w:pStyle w:val="TableParagraph"/>
              <w:ind w:right="176"/>
              <w:jc w:val="right"/>
              <w:rPr>
                <w:sz w:val="18"/>
              </w:rPr>
            </w:pPr>
            <w:r>
              <w:rPr>
                <w:sz w:val="18"/>
              </w:rPr>
              <w:t>(36,672)</w:t>
            </w:r>
          </w:p>
        </w:tc>
        <w:tc>
          <w:tcPr>
            <w:tcW w:w="1222" w:type="dxa"/>
          </w:tcPr>
          <w:p>
            <w:pPr>
              <w:pStyle w:val="TableParagraph"/>
              <w:ind w:left="221"/>
              <w:rPr>
                <w:b/>
                <w:sz w:val="18"/>
              </w:rPr>
            </w:pPr>
            <w:r>
              <w:rPr>
                <w:b/>
                <w:sz w:val="18"/>
              </w:rPr>
              <w:t>(39,543)</w:t>
            </w:r>
          </w:p>
        </w:tc>
        <w:tc>
          <w:tcPr>
            <w:tcW w:w="919" w:type="dxa"/>
          </w:tcPr>
          <w:p>
            <w:pPr>
              <w:pStyle w:val="TableParagraph"/>
              <w:ind w:left="67"/>
              <w:rPr>
                <w:sz w:val="18"/>
              </w:rPr>
            </w:pPr>
            <w:r>
              <w:rPr>
                <w:sz w:val="18"/>
              </w:rPr>
              <w:t>(36,672)</w:t>
            </w:r>
          </w:p>
        </w:tc>
        <w:tc>
          <w:tcPr>
            <w:tcW w:w="1017" w:type="dxa"/>
          </w:tcPr>
          <w:p>
            <w:pPr>
              <w:pStyle w:val="TableParagraph"/>
              <w:ind w:left="281"/>
              <w:rPr>
                <w:b/>
                <w:sz w:val="18"/>
              </w:rPr>
            </w:pPr>
            <w:r>
              <w:rPr>
                <w:b/>
                <w:sz w:val="18"/>
              </w:rPr>
              <w:t>39,543</w:t>
            </w:r>
          </w:p>
        </w:tc>
        <w:tc>
          <w:tcPr>
            <w:tcW w:w="1092" w:type="dxa"/>
          </w:tcPr>
          <w:p>
            <w:pPr>
              <w:pStyle w:val="TableParagraph"/>
              <w:ind w:right="206"/>
              <w:jc w:val="right"/>
              <w:rPr>
                <w:sz w:val="18"/>
              </w:rPr>
            </w:pPr>
            <w:r>
              <w:rPr>
                <w:sz w:val="18"/>
              </w:rPr>
              <w:t>36,672</w:t>
            </w:r>
          </w:p>
        </w:tc>
        <w:tc>
          <w:tcPr>
            <w:tcW w:w="1254" w:type="dxa"/>
          </w:tcPr>
          <w:p>
            <w:pPr>
              <w:pStyle w:val="TableParagraph"/>
              <w:ind w:left="310"/>
              <w:rPr>
                <w:b/>
                <w:sz w:val="18"/>
              </w:rPr>
            </w:pPr>
            <w:r>
              <w:rPr>
                <w:b/>
                <w:sz w:val="18"/>
              </w:rPr>
              <w:t>39,543</w:t>
            </w:r>
          </w:p>
        </w:tc>
        <w:tc>
          <w:tcPr>
            <w:tcW w:w="766" w:type="dxa"/>
          </w:tcPr>
          <w:p>
            <w:pPr>
              <w:pStyle w:val="TableParagraph"/>
              <w:ind w:right="86"/>
              <w:jc w:val="right"/>
              <w:rPr>
                <w:sz w:val="18"/>
              </w:rPr>
            </w:pPr>
            <w:r>
              <w:rPr>
                <w:sz w:val="18"/>
              </w:rPr>
              <w:t>36,672</w:t>
            </w:r>
          </w:p>
        </w:tc>
      </w:tr>
      <w:tr>
        <w:trPr>
          <w:trHeight w:val="265" w:hRule="exact"/>
        </w:trPr>
        <w:tc>
          <w:tcPr>
            <w:tcW w:w="3208" w:type="dxa"/>
          </w:tcPr>
          <w:p>
            <w:pPr>
              <w:pStyle w:val="TableParagraph"/>
              <w:spacing w:before="20"/>
              <w:ind w:left="35"/>
              <w:rPr>
                <w:sz w:val="18"/>
              </w:rPr>
            </w:pPr>
            <w:r>
              <w:rPr>
                <w:sz w:val="18"/>
              </w:rPr>
              <w:t>Deferred income</w:t>
            </w:r>
          </w:p>
        </w:tc>
        <w:tc>
          <w:tcPr>
            <w:tcW w:w="1091" w:type="dxa"/>
          </w:tcPr>
          <w:p>
            <w:pPr>
              <w:pStyle w:val="TableParagraph"/>
              <w:spacing w:before="18"/>
              <w:ind w:right="85"/>
              <w:jc w:val="right"/>
              <w:rPr>
                <w:b/>
                <w:sz w:val="18"/>
              </w:rPr>
            </w:pPr>
            <w:r>
              <w:rPr>
                <w:b/>
                <w:w w:val="99"/>
                <w:sz w:val="18"/>
              </w:rPr>
              <w:t>-</w:t>
            </w:r>
          </w:p>
        </w:tc>
        <w:tc>
          <w:tcPr>
            <w:tcW w:w="1175" w:type="dxa"/>
          </w:tcPr>
          <w:p>
            <w:pPr>
              <w:pStyle w:val="TableParagraph"/>
              <w:spacing w:before="22"/>
              <w:ind w:right="207"/>
              <w:jc w:val="right"/>
              <w:rPr>
                <w:sz w:val="18"/>
              </w:rPr>
            </w:pPr>
            <w:r>
              <w:rPr>
                <w:sz w:val="18"/>
              </w:rPr>
              <w:t>22,610</w:t>
            </w:r>
          </w:p>
        </w:tc>
        <w:tc>
          <w:tcPr>
            <w:tcW w:w="1047" w:type="dxa"/>
          </w:tcPr>
          <w:p>
            <w:pPr>
              <w:pStyle w:val="TableParagraph"/>
              <w:spacing w:before="18"/>
              <w:ind w:right="167"/>
              <w:jc w:val="right"/>
              <w:rPr>
                <w:b/>
                <w:sz w:val="18"/>
              </w:rPr>
            </w:pPr>
            <w:r>
              <w:rPr>
                <w:b/>
                <w:w w:val="99"/>
                <w:sz w:val="18"/>
              </w:rPr>
              <w:t>-</w:t>
            </w:r>
          </w:p>
        </w:tc>
        <w:tc>
          <w:tcPr>
            <w:tcW w:w="1124" w:type="dxa"/>
          </w:tcPr>
          <w:p>
            <w:pPr>
              <w:pStyle w:val="TableParagraph"/>
              <w:spacing w:before="22"/>
              <w:ind w:right="176"/>
              <w:jc w:val="right"/>
              <w:rPr>
                <w:sz w:val="18"/>
              </w:rPr>
            </w:pPr>
            <w:r>
              <w:rPr>
                <w:w w:val="95"/>
                <w:sz w:val="18"/>
              </w:rPr>
              <w:t>(226)</w:t>
            </w:r>
          </w:p>
        </w:tc>
        <w:tc>
          <w:tcPr>
            <w:tcW w:w="1222" w:type="dxa"/>
          </w:tcPr>
          <w:p>
            <w:pPr>
              <w:pStyle w:val="TableParagraph"/>
              <w:spacing w:before="18"/>
              <w:ind w:left="790"/>
              <w:rPr>
                <w:b/>
                <w:sz w:val="18"/>
              </w:rPr>
            </w:pPr>
            <w:r>
              <w:rPr>
                <w:b/>
                <w:w w:val="99"/>
                <w:sz w:val="18"/>
              </w:rPr>
              <w:t>-</w:t>
            </w:r>
          </w:p>
        </w:tc>
        <w:tc>
          <w:tcPr>
            <w:tcW w:w="919" w:type="dxa"/>
          </w:tcPr>
          <w:p>
            <w:pPr>
              <w:pStyle w:val="TableParagraph"/>
              <w:spacing w:before="22"/>
              <w:ind w:right="176"/>
              <w:jc w:val="right"/>
              <w:rPr>
                <w:sz w:val="18"/>
              </w:rPr>
            </w:pPr>
            <w:r>
              <w:rPr>
                <w:w w:val="95"/>
                <w:sz w:val="18"/>
              </w:rPr>
              <w:t>(226)</w:t>
            </w:r>
          </w:p>
        </w:tc>
        <w:tc>
          <w:tcPr>
            <w:tcW w:w="1017" w:type="dxa"/>
          </w:tcPr>
          <w:p>
            <w:pPr>
              <w:pStyle w:val="TableParagraph"/>
              <w:spacing w:before="18"/>
              <w:ind w:right="164"/>
              <w:jc w:val="right"/>
              <w:rPr>
                <w:b/>
                <w:sz w:val="18"/>
              </w:rPr>
            </w:pPr>
            <w:r>
              <w:rPr>
                <w:b/>
                <w:w w:val="99"/>
                <w:sz w:val="18"/>
              </w:rPr>
              <w:t>-</w:t>
            </w:r>
          </w:p>
        </w:tc>
        <w:tc>
          <w:tcPr>
            <w:tcW w:w="1092" w:type="dxa"/>
          </w:tcPr>
          <w:p>
            <w:pPr>
              <w:pStyle w:val="TableParagraph"/>
              <w:spacing w:before="22"/>
              <w:ind w:right="208"/>
              <w:jc w:val="right"/>
              <w:rPr>
                <w:sz w:val="18"/>
              </w:rPr>
            </w:pPr>
            <w:r>
              <w:rPr>
                <w:w w:val="95"/>
                <w:sz w:val="18"/>
              </w:rPr>
              <w:t>226</w:t>
            </w:r>
          </w:p>
        </w:tc>
        <w:tc>
          <w:tcPr>
            <w:tcW w:w="1254" w:type="dxa"/>
          </w:tcPr>
          <w:p>
            <w:pPr>
              <w:pStyle w:val="TableParagraph"/>
              <w:spacing w:before="18"/>
              <w:ind w:left="819"/>
              <w:rPr>
                <w:b/>
                <w:sz w:val="18"/>
              </w:rPr>
            </w:pPr>
            <w:r>
              <w:rPr>
                <w:b/>
                <w:w w:val="99"/>
                <w:sz w:val="18"/>
              </w:rPr>
              <w:t>-</w:t>
            </w:r>
          </w:p>
        </w:tc>
        <w:tc>
          <w:tcPr>
            <w:tcW w:w="766" w:type="dxa"/>
          </w:tcPr>
          <w:p>
            <w:pPr>
              <w:pStyle w:val="TableParagraph"/>
              <w:spacing w:before="22"/>
              <w:ind w:right="87"/>
              <w:jc w:val="right"/>
              <w:rPr>
                <w:sz w:val="18"/>
              </w:rPr>
            </w:pPr>
            <w:r>
              <w:rPr>
                <w:w w:val="95"/>
                <w:sz w:val="18"/>
              </w:rPr>
              <w:t>226</w:t>
            </w:r>
          </w:p>
        </w:tc>
      </w:tr>
      <w:tr>
        <w:trPr>
          <w:trHeight w:val="290" w:hRule="exact"/>
        </w:trPr>
        <w:tc>
          <w:tcPr>
            <w:tcW w:w="3208" w:type="dxa"/>
          </w:tcPr>
          <w:p>
            <w:pPr>
              <w:pStyle w:val="TableParagraph"/>
              <w:spacing w:before="19"/>
              <w:ind w:left="35"/>
              <w:rPr>
                <w:sz w:val="18"/>
              </w:rPr>
            </w:pPr>
            <w:r>
              <w:rPr>
                <w:sz w:val="18"/>
              </w:rPr>
              <w:t>Borrowings</w:t>
            </w:r>
          </w:p>
        </w:tc>
        <w:tc>
          <w:tcPr>
            <w:tcW w:w="1091" w:type="dxa"/>
            <w:tcBorders>
              <w:bottom w:val="single" w:sz="5" w:space="0" w:color="000000"/>
            </w:tcBorders>
          </w:tcPr>
          <w:p>
            <w:pPr>
              <w:pStyle w:val="TableParagraph"/>
              <w:spacing w:before="16"/>
              <w:ind w:left="184"/>
              <w:rPr>
                <w:b/>
                <w:sz w:val="18"/>
              </w:rPr>
            </w:pPr>
            <w:r>
              <w:rPr>
                <w:b/>
                <w:sz w:val="18"/>
              </w:rPr>
              <w:t>1,539,874</w:t>
            </w:r>
          </w:p>
        </w:tc>
        <w:tc>
          <w:tcPr>
            <w:tcW w:w="1175" w:type="dxa"/>
            <w:tcBorders>
              <w:bottom w:val="single" w:sz="5" w:space="0" w:color="000000"/>
            </w:tcBorders>
          </w:tcPr>
          <w:p>
            <w:pPr>
              <w:pStyle w:val="TableParagraph"/>
              <w:spacing w:before="21"/>
              <w:ind w:right="204"/>
              <w:jc w:val="right"/>
              <w:rPr>
                <w:sz w:val="18"/>
              </w:rPr>
            </w:pPr>
            <w:r>
              <w:rPr>
                <w:sz w:val="18"/>
              </w:rPr>
              <w:t>1,539,874</w:t>
            </w:r>
          </w:p>
        </w:tc>
        <w:tc>
          <w:tcPr>
            <w:tcW w:w="1047" w:type="dxa"/>
            <w:tcBorders>
              <w:bottom w:val="single" w:sz="5" w:space="0" w:color="000000"/>
            </w:tcBorders>
          </w:tcPr>
          <w:p>
            <w:pPr>
              <w:pStyle w:val="TableParagraph"/>
              <w:spacing w:before="16"/>
              <w:ind w:left="249"/>
              <w:rPr>
                <w:b/>
                <w:sz w:val="18"/>
              </w:rPr>
            </w:pPr>
            <w:r>
              <w:rPr>
                <w:b/>
                <w:sz w:val="18"/>
              </w:rPr>
              <w:t>(15,399)</w:t>
            </w:r>
          </w:p>
        </w:tc>
        <w:tc>
          <w:tcPr>
            <w:tcW w:w="1124" w:type="dxa"/>
            <w:tcBorders>
              <w:bottom w:val="single" w:sz="5" w:space="0" w:color="000000"/>
            </w:tcBorders>
          </w:tcPr>
          <w:p>
            <w:pPr>
              <w:pStyle w:val="TableParagraph"/>
              <w:spacing w:before="21"/>
              <w:ind w:right="176"/>
              <w:jc w:val="right"/>
              <w:rPr>
                <w:sz w:val="18"/>
              </w:rPr>
            </w:pPr>
            <w:r>
              <w:rPr>
                <w:sz w:val="18"/>
              </w:rPr>
              <w:t>(15,399)</w:t>
            </w:r>
          </w:p>
        </w:tc>
        <w:tc>
          <w:tcPr>
            <w:tcW w:w="1222" w:type="dxa"/>
            <w:tcBorders>
              <w:bottom w:val="single" w:sz="5" w:space="0" w:color="000000"/>
            </w:tcBorders>
          </w:tcPr>
          <w:p>
            <w:pPr>
              <w:pStyle w:val="TableParagraph"/>
              <w:spacing w:before="16"/>
              <w:ind w:left="221"/>
              <w:rPr>
                <w:b/>
                <w:sz w:val="18"/>
              </w:rPr>
            </w:pPr>
            <w:r>
              <w:rPr>
                <w:b/>
                <w:sz w:val="18"/>
              </w:rPr>
              <w:t>(15,399)</w:t>
            </w:r>
          </w:p>
        </w:tc>
        <w:tc>
          <w:tcPr>
            <w:tcW w:w="919" w:type="dxa"/>
            <w:tcBorders>
              <w:bottom w:val="single" w:sz="5" w:space="0" w:color="000000"/>
            </w:tcBorders>
          </w:tcPr>
          <w:p>
            <w:pPr>
              <w:pStyle w:val="TableParagraph"/>
              <w:spacing w:before="21"/>
              <w:ind w:left="67"/>
              <w:rPr>
                <w:sz w:val="18"/>
              </w:rPr>
            </w:pPr>
            <w:r>
              <w:rPr>
                <w:sz w:val="18"/>
              </w:rPr>
              <w:t>(15,399)</w:t>
            </w:r>
          </w:p>
        </w:tc>
        <w:tc>
          <w:tcPr>
            <w:tcW w:w="1017" w:type="dxa"/>
            <w:tcBorders>
              <w:bottom w:val="single" w:sz="5" w:space="0" w:color="000000"/>
            </w:tcBorders>
          </w:tcPr>
          <w:p>
            <w:pPr>
              <w:pStyle w:val="TableParagraph"/>
              <w:spacing w:before="16"/>
              <w:ind w:left="281"/>
              <w:rPr>
                <w:b/>
                <w:sz w:val="18"/>
              </w:rPr>
            </w:pPr>
            <w:r>
              <w:rPr>
                <w:b/>
                <w:sz w:val="18"/>
              </w:rPr>
              <w:t>15,399</w:t>
            </w:r>
          </w:p>
        </w:tc>
        <w:tc>
          <w:tcPr>
            <w:tcW w:w="1092" w:type="dxa"/>
            <w:tcBorders>
              <w:bottom w:val="single" w:sz="5" w:space="0" w:color="000000"/>
            </w:tcBorders>
          </w:tcPr>
          <w:p>
            <w:pPr>
              <w:pStyle w:val="TableParagraph"/>
              <w:spacing w:before="21"/>
              <w:ind w:right="206"/>
              <w:jc w:val="right"/>
              <w:rPr>
                <w:sz w:val="18"/>
              </w:rPr>
            </w:pPr>
            <w:r>
              <w:rPr>
                <w:sz w:val="18"/>
              </w:rPr>
              <w:t>15,399</w:t>
            </w:r>
          </w:p>
        </w:tc>
        <w:tc>
          <w:tcPr>
            <w:tcW w:w="1254" w:type="dxa"/>
            <w:tcBorders>
              <w:bottom w:val="single" w:sz="5" w:space="0" w:color="000000"/>
            </w:tcBorders>
          </w:tcPr>
          <w:p>
            <w:pPr>
              <w:pStyle w:val="TableParagraph"/>
              <w:spacing w:before="16"/>
              <w:ind w:left="310"/>
              <w:rPr>
                <w:b/>
                <w:sz w:val="18"/>
              </w:rPr>
            </w:pPr>
            <w:r>
              <w:rPr>
                <w:b/>
                <w:sz w:val="18"/>
              </w:rPr>
              <w:t>15,399</w:t>
            </w:r>
          </w:p>
        </w:tc>
        <w:tc>
          <w:tcPr>
            <w:tcW w:w="766" w:type="dxa"/>
            <w:tcBorders>
              <w:bottom w:val="single" w:sz="5" w:space="0" w:color="000000"/>
            </w:tcBorders>
          </w:tcPr>
          <w:p>
            <w:pPr>
              <w:pStyle w:val="TableParagraph"/>
              <w:spacing w:before="21"/>
              <w:ind w:right="85"/>
              <w:jc w:val="right"/>
              <w:rPr>
                <w:sz w:val="18"/>
              </w:rPr>
            </w:pPr>
            <w:r>
              <w:rPr>
                <w:sz w:val="18"/>
              </w:rPr>
              <w:t>15,399</w:t>
            </w:r>
          </w:p>
        </w:tc>
      </w:tr>
      <w:tr>
        <w:trPr>
          <w:trHeight w:val="367" w:hRule="exact"/>
        </w:trPr>
        <w:tc>
          <w:tcPr>
            <w:tcW w:w="3208" w:type="dxa"/>
          </w:tcPr>
          <w:p>
            <w:pPr>
              <w:pStyle w:val="TableParagraph"/>
              <w:spacing w:before="106"/>
              <w:ind w:left="35"/>
              <w:rPr>
                <w:b/>
                <w:sz w:val="18"/>
              </w:rPr>
            </w:pPr>
            <w:r>
              <w:rPr>
                <w:b/>
                <w:sz w:val="18"/>
              </w:rPr>
              <w:t>Total Financial Liabilities</w:t>
            </w:r>
          </w:p>
        </w:tc>
        <w:tc>
          <w:tcPr>
            <w:tcW w:w="1091" w:type="dxa"/>
            <w:tcBorders>
              <w:top w:val="single" w:sz="5" w:space="0" w:color="000000"/>
              <w:bottom w:val="single" w:sz="5" w:space="0" w:color="000000"/>
            </w:tcBorders>
          </w:tcPr>
          <w:p>
            <w:pPr>
              <w:pStyle w:val="TableParagraph"/>
              <w:spacing w:before="100"/>
              <w:ind w:left="184"/>
              <w:rPr>
                <w:b/>
                <w:sz w:val="18"/>
              </w:rPr>
            </w:pPr>
            <w:r>
              <w:rPr>
                <w:b/>
                <w:sz w:val="18"/>
              </w:rPr>
              <w:t>5,494,194</w:t>
            </w:r>
          </w:p>
        </w:tc>
        <w:tc>
          <w:tcPr>
            <w:tcW w:w="1175" w:type="dxa"/>
            <w:tcBorders>
              <w:top w:val="single" w:sz="5" w:space="0" w:color="000000"/>
              <w:bottom w:val="single" w:sz="5" w:space="0" w:color="000000"/>
            </w:tcBorders>
          </w:tcPr>
          <w:p>
            <w:pPr>
              <w:pStyle w:val="TableParagraph"/>
              <w:spacing w:before="104"/>
              <w:ind w:right="204"/>
              <w:jc w:val="right"/>
              <w:rPr>
                <w:sz w:val="18"/>
              </w:rPr>
            </w:pPr>
            <w:r>
              <w:rPr>
                <w:sz w:val="18"/>
              </w:rPr>
              <w:t>5,229,650</w:t>
            </w:r>
          </w:p>
        </w:tc>
        <w:tc>
          <w:tcPr>
            <w:tcW w:w="1047" w:type="dxa"/>
            <w:tcBorders>
              <w:top w:val="single" w:sz="5" w:space="0" w:color="000000"/>
              <w:bottom w:val="single" w:sz="5" w:space="0" w:color="000000"/>
            </w:tcBorders>
          </w:tcPr>
          <w:p>
            <w:pPr>
              <w:pStyle w:val="TableParagraph"/>
              <w:spacing w:before="100"/>
              <w:ind w:left="249"/>
              <w:rPr>
                <w:b/>
                <w:sz w:val="18"/>
              </w:rPr>
            </w:pPr>
            <w:r>
              <w:rPr>
                <w:b/>
                <w:sz w:val="18"/>
              </w:rPr>
              <w:t>(54,942)</w:t>
            </w:r>
          </w:p>
        </w:tc>
        <w:tc>
          <w:tcPr>
            <w:tcW w:w="1124" w:type="dxa"/>
            <w:tcBorders>
              <w:top w:val="single" w:sz="5" w:space="0" w:color="000000"/>
              <w:bottom w:val="single" w:sz="5" w:space="0" w:color="000000"/>
            </w:tcBorders>
          </w:tcPr>
          <w:p>
            <w:pPr>
              <w:pStyle w:val="TableParagraph"/>
              <w:spacing w:before="104"/>
              <w:ind w:right="176"/>
              <w:jc w:val="right"/>
              <w:rPr>
                <w:sz w:val="18"/>
              </w:rPr>
            </w:pPr>
            <w:r>
              <w:rPr>
                <w:sz w:val="18"/>
              </w:rPr>
              <w:t>(52,297)</w:t>
            </w:r>
          </w:p>
        </w:tc>
        <w:tc>
          <w:tcPr>
            <w:tcW w:w="1222" w:type="dxa"/>
            <w:tcBorders>
              <w:top w:val="single" w:sz="5" w:space="0" w:color="000000"/>
              <w:bottom w:val="single" w:sz="5" w:space="0" w:color="000000"/>
            </w:tcBorders>
          </w:tcPr>
          <w:p>
            <w:pPr>
              <w:pStyle w:val="TableParagraph"/>
              <w:spacing w:before="100"/>
              <w:ind w:left="221"/>
              <w:rPr>
                <w:b/>
                <w:sz w:val="18"/>
              </w:rPr>
            </w:pPr>
            <w:r>
              <w:rPr>
                <w:b/>
                <w:sz w:val="18"/>
              </w:rPr>
              <w:t>(54,942)</w:t>
            </w:r>
          </w:p>
        </w:tc>
        <w:tc>
          <w:tcPr>
            <w:tcW w:w="919" w:type="dxa"/>
            <w:tcBorders>
              <w:top w:val="single" w:sz="5" w:space="0" w:color="000000"/>
              <w:bottom w:val="single" w:sz="5" w:space="0" w:color="000000"/>
            </w:tcBorders>
          </w:tcPr>
          <w:p>
            <w:pPr>
              <w:pStyle w:val="TableParagraph"/>
              <w:spacing w:before="104"/>
              <w:ind w:left="67"/>
              <w:rPr>
                <w:sz w:val="18"/>
              </w:rPr>
            </w:pPr>
            <w:r>
              <w:rPr>
                <w:sz w:val="18"/>
              </w:rPr>
              <w:t>(52,297)</w:t>
            </w:r>
          </w:p>
        </w:tc>
        <w:tc>
          <w:tcPr>
            <w:tcW w:w="1017" w:type="dxa"/>
            <w:tcBorders>
              <w:top w:val="single" w:sz="5" w:space="0" w:color="000000"/>
              <w:bottom w:val="single" w:sz="5" w:space="0" w:color="000000"/>
            </w:tcBorders>
          </w:tcPr>
          <w:p>
            <w:pPr>
              <w:pStyle w:val="TableParagraph"/>
              <w:spacing w:before="100"/>
              <w:ind w:left="281"/>
              <w:rPr>
                <w:b/>
                <w:sz w:val="18"/>
              </w:rPr>
            </w:pPr>
            <w:r>
              <w:rPr>
                <w:b/>
                <w:sz w:val="18"/>
              </w:rPr>
              <w:t>54,942</w:t>
            </w:r>
          </w:p>
        </w:tc>
        <w:tc>
          <w:tcPr>
            <w:tcW w:w="1092" w:type="dxa"/>
            <w:tcBorders>
              <w:top w:val="single" w:sz="5" w:space="0" w:color="000000"/>
              <w:bottom w:val="single" w:sz="5" w:space="0" w:color="000000"/>
            </w:tcBorders>
          </w:tcPr>
          <w:p>
            <w:pPr>
              <w:pStyle w:val="TableParagraph"/>
              <w:spacing w:before="104"/>
              <w:ind w:right="206"/>
              <w:jc w:val="right"/>
              <w:rPr>
                <w:sz w:val="18"/>
              </w:rPr>
            </w:pPr>
            <w:r>
              <w:rPr>
                <w:sz w:val="18"/>
              </w:rPr>
              <w:t>52,297</w:t>
            </w:r>
          </w:p>
        </w:tc>
        <w:tc>
          <w:tcPr>
            <w:tcW w:w="1254" w:type="dxa"/>
            <w:tcBorders>
              <w:top w:val="single" w:sz="5" w:space="0" w:color="000000"/>
              <w:bottom w:val="single" w:sz="5" w:space="0" w:color="000000"/>
            </w:tcBorders>
          </w:tcPr>
          <w:p>
            <w:pPr>
              <w:pStyle w:val="TableParagraph"/>
              <w:spacing w:before="100"/>
              <w:ind w:left="310"/>
              <w:rPr>
                <w:b/>
                <w:sz w:val="18"/>
              </w:rPr>
            </w:pPr>
            <w:r>
              <w:rPr>
                <w:b/>
                <w:sz w:val="18"/>
              </w:rPr>
              <w:t>54,942</w:t>
            </w:r>
          </w:p>
        </w:tc>
        <w:tc>
          <w:tcPr>
            <w:tcW w:w="766" w:type="dxa"/>
            <w:tcBorders>
              <w:top w:val="single" w:sz="5" w:space="0" w:color="000000"/>
              <w:bottom w:val="single" w:sz="4" w:space="0" w:color="000000"/>
            </w:tcBorders>
          </w:tcPr>
          <w:p>
            <w:pPr>
              <w:pStyle w:val="TableParagraph"/>
              <w:spacing w:before="104"/>
              <w:ind w:right="85"/>
              <w:jc w:val="right"/>
              <w:rPr>
                <w:sz w:val="18"/>
              </w:rPr>
            </w:pPr>
            <w:r>
              <w:rPr>
                <w:sz w:val="18"/>
              </w:rPr>
              <w:t>52,297</w:t>
            </w:r>
          </w:p>
        </w:tc>
      </w:tr>
    </w:tbl>
    <w:p>
      <w:pPr>
        <w:pStyle w:val="BodyText"/>
        <w:rPr>
          <w:sz w:val="20"/>
        </w:rPr>
      </w:pPr>
    </w:p>
    <w:p>
      <w:pPr>
        <w:pStyle w:val="BodyText"/>
        <w:rPr>
          <w:sz w:val="20"/>
        </w:rPr>
      </w:pPr>
    </w:p>
    <w:p>
      <w:pPr>
        <w:pStyle w:val="BodyText"/>
        <w:spacing w:before="9"/>
        <w:rPr>
          <w:sz w:val="16"/>
        </w:rPr>
      </w:pPr>
    </w:p>
    <w:p>
      <w:pPr>
        <w:spacing w:before="79"/>
        <w:ind w:left="7372" w:right="7390" w:firstLine="0"/>
        <w:jc w:val="center"/>
        <w:rPr>
          <w:sz w:val="16"/>
        </w:rPr>
      </w:pPr>
      <w:r>
        <w:rPr>
          <w:sz w:val="16"/>
        </w:rPr>
        <w:t>110</w:t>
      </w:r>
    </w:p>
    <w:p>
      <w:pPr>
        <w:spacing w:after="0"/>
        <w:jc w:val="center"/>
        <w:rPr>
          <w:sz w:val="16"/>
        </w:rPr>
        <w:sectPr>
          <w:headerReference w:type="default" r:id="rId115"/>
          <w:footerReference w:type="default" r:id="rId116"/>
          <w:pgSz w:w="16850" w:h="11930" w:orient="landscape"/>
          <w:pgMar w:header="0" w:footer="0" w:top="940" w:bottom="280" w:left="900" w:right="880"/>
        </w:sectPr>
      </w:pPr>
    </w:p>
    <w:p>
      <w:pPr>
        <w:pStyle w:val="BodyText"/>
        <w:spacing w:before="10"/>
        <w:rPr>
          <w:sz w:val="23"/>
        </w:rPr>
      </w:pPr>
    </w:p>
    <w:p>
      <w:pPr>
        <w:pStyle w:val="Heading3"/>
        <w:ind w:left="348" w:right="596"/>
      </w:pPr>
      <w:r>
        <w:rPr/>
        <w:t>Notes to the Financial Statements</w:t>
      </w:r>
    </w:p>
    <w:p>
      <w:pPr>
        <w:spacing w:before="62"/>
        <w:ind w:left="348" w:right="596" w:firstLine="0"/>
        <w:jc w:val="left"/>
        <w:rPr>
          <w:b/>
          <w:sz w:val="28"/>
        </w:rPr>
      </w:pPr>
      <w:r>
        <w:rPr>
          <w:b/>
          <w:sz w:val="28"/>
        </w:rPr>
        <w:t>For the Year Ended 31 December</w:t>
      </w:r>
      <w:r>
        <w:rPr>
          <w:b/>
          <w:spacing w:val="-52"/>
          <w:sz w:val="28"/>
        </w:rPr>
        <w:t> </w:t>
      </w:r>
      <w:r>
        <w:rPr>
          <w:b/>
          <w:sz w:val="28"/>
        </w:rPr>
        <w:t>2012</w:t>
      </w:r>
    </w:p>
    <w:p>
      <w:pPr>
        <w:pStyle w:val="BodyText"/>
        <w:spacing w:before="6"/>
        <w:rPr>
          <w:b/>
          <w:sz w:val="28"/>
        </w:rPr>
      </w:pPr>
    </w:p>
    <w:p>
      <w:pPr>
        <w:pStyle w:val="Heading9"/>
        <w:numPr>
          <w:ilvl w:val="0"/>
          <w:numId w:val="43"/>
        </w:numPr>
        <w:tabs>
          <w:tab w:pos="507" w:val="left" w:leader="none"/>
        </w:tabs>
        <w:spacing w:line="207" w:lineRule="exact" w:before="77" w:after="0"/>
        <w:ind w:left="506" w:right="0" w:hanging="398"/>
        <w:jc w:val="left"/>
      </w:pPr>
      <w:r>
        <w:rPr/>
        <w:t>Financial Risk Management</w:t>
      </w:r>
      <w:r>
        <w:rPr>
          <w:spacing w:val="-14"/>
        </w:rPr>
        <w:t> </w:t>
      </w:r>
      <w:r>
        <w:rPr/>
        <w:t>continued</w:t>
      </w:r>
    </w:p>
    <w:p>
      <w:pPr>
        <w:pStyle w:val="ListParagraph"/>
        <w:numPr>
          <w:ilvl w:val="0"/>
          <w:numId w:val="42"/>
        </w:numPr>
        <w:tabs>
          <w:tab w:pos="1061" w:val="left" w:leader="none"/>
        </w:tabs>
        <w:spacing w:line="207" w:lineRule="exact" w:before="0" w:after="0"/>
        <w:ind w:left="1060" w:right="0" w:hanging="556"/>
        <w:jc w:val="left"/>
        <w:rPr>
          <w:b/>
          <w:sz w:val="18"/>
        </w:rPr>
      </w:pPr>
      <w:r>
        <w:rPr>
          <w:b/>
          <w:sz w:val="18"/>
        </w:rPr>
        <w:t>Liquidity</w:t>
      </w:r>
      <w:r>
        <w:rPr>
          <w:b/>
          <w:spacing w:val="-6"/>
          <w:sz w:val="18"/>
        </w:rPr>
        <w:t> </w:t>
      </w:r>
      <w:r>
        <w:rPr>
          <w:b/>
          <w:sz w:val="18"/>
        </w:rPr>
        <w:t>risk</w:t>
      </w:r>
    </w:p>
    <w:p>
      <w:pPr>
        <w:pStyle w:val="BodyText"/>
        <w:spacing w:before="2"/>
        <w:rPr>
          <w:b/>
          <w:sz w:val="25"/>
        </w:rPr>
      </w:pPr>
    </w:p>
    <w:p>
      <w:pPr>
        <w:pStyle w:val="BodyText"/>
        <w:ind w:left="1072" w:right="104"/>
      </w:pPr>
      <w:r>
        <w:rPr/>
        <w:t>Prudent liquidity risk management implies maintaining sufficient cash and the availability of funding through an adequate amount of committed credit facilities to meet obligations when due. At the reporting date the Company had cash and cash equivalents of $1,002,818 (2011: $160,932).</w:t>
      </w:r>
    </w:p>
    <w:p>
      <w:pPr>
        <w:pStyle w:val="BodyText"/>
        <w:spacing w:before="11"/>
        <w:rPr>
          <w:sz w:val="24"/>
        </w:rPr>
      </w:pPr>
    </w:p>
    <w:p>
      <w:pPr>
        <w:pStyle w:val="BodyText"/>
        <w:ind w:left="1072" w:right="212"/>
        <w:jc w:val="both"/>
      </w:pPr>
      <w:r>
        <w:rPr/>
        <w:t>In addition, the University of Western Sydney has given the Company an undertaking that in the event that it is not able to pay for its debts as and when they fall due, the University will be financially responsible for ensuring the ongoing solvency of the Company. Therefore the liquidity risk is considered to be minimal.</w:t>
      </w:r>
    </w:p>
    <w:p>
      <w:pPr>
        <w:pStyle w:val="BodyText"/>
        <w:spacing w:before="8"/>
        <w:rPr>
          <w:sz w:val="24"/>
        </w:rPr>
      </w:pPr>
    </w:p>
    <w:p>
      <w:pPr>
        <w:spacing w:before="1"/>
        <w:ind w:left="1072" w:right="596" w:firstLine="0"/>
        <w:jc w:val="left"/>
        <w:rPr>
          <w:i/>
          <w:sz w:val="18"/>
        </w:rPr>
      </w:pPr>
      <w:r>
        <w:rPr>
          <w:i/>
          <w:sz w:val="18"/>
        </w:rPr>
        <w:t>Maturities of financial liabilities</w:t>
      </w:r>
    </w:p>
    <w:p>
      <w:pPr>
        <w:pStyle w:val="BodyText"/>
        <w:spacing w:before="11"/>
        <w:rPr>
          <w:i/>
          <w:sz w:val="24"/>
        </w:rPr>
      </w:pPr>
    </w:p>
    <w:p>
      <w:pPr>
        <w:pStyle w:val="BodyText"/>
        <w:ind w:left="1072" w:right="608"/>
      </w:pPr>
      <w:r>
        <w:rPr/>
        <w:t>The tables below analyse the Company's financial liabilities into relevant maturity groupings based on their contractual maturities for all non-derivative financial liabilities.</w:t>
      </w:r>
    </w:p>
    <w:p>
      <w:pPr>
        <w:pStyle w:val="BodyText"/>
        <w:spacing w:before="11"/>
        <w:rPr>
          <w:sz w:val="24"/>
        </w:rPr>
      </w:pPr>
    </w:p>
    <w:p>
      <w:pPr>
        <w:pStyle w:val="BodyText"/>
        <w:ind w:left="1072" w:right="104"/>
      </w:pPr>
      <w:r>
        <w:rPr/>
        <w:t>The amounts disclosed in the table are the contractual undiscounted cash flows. Balances due within 12 months equal their carrying balances as the impact of discounting is not significant.</w:t>
      </w:r>
    </w:p>
    <w:p>
      <w:pPr>
        <w:pStyle w:val="BodyText"/>
        <w:rPr>
          <w:sz w:val="20"/>
        </w:rPr>
      </w:pPr>
    </w:p>
    <w:p>
      <w:pPr>
        <w:pStyle w:val="BodyText"/>
        <w:spacing w:before="4"/>
      </w:pPr>
    </w:p>
    <w:p>
      <w:pPr>
        <w:spacing w:after="0"/>
        <w:sectPr>
          <w:headerReference w:type="default" r:id="rId117"/>
          <w:footerReference w:type="default" r:id="rId118"/>
          <w:pgSz w:w="11930" w:h="16850"/>
          <w:pgMar w:header="1275" w:footer="507" w:top="1700" w:bottom="700" w:left="900" w:right="860"/>
          <w:pgNumType w:start="111"/>
        </w:sectPr>
      </w:pPr>
    </w:p>
    <w:p>
      <w:pPr>
        <w:spacing w:line="254" w:lineRule="auto" w:before="81"/>
        <w:ind w:left="4216" w:right="-17" w:firstLine="4"/>
        <w:jc w:val="left"/>
        <w:rPr>
          <w:b/>
          <w:sz w:val="16"/>
        </w:rPr>
      </w:pPr>
      <w:r>
        <w:rPr>
          <w:b/>
          <w:sz w:val="16"/>
        </w:rPr>
        <w:t>Less than 12</w:t>
      </w:r>
      <w:r>
        <w:rPr>
          <w:b/>
          <w:spacing w:val="-12"/>
          <w:sz w:val="16"/>
        </w:rPr>
        <w:t> </w:t>
      </w:r>
      <w:r>
        <w:rPr>
          <w:b/>
          <w:sz w:val="16"/>
        </w:rPr>
        <w:t>months</w:t>
      </w:r>
    </w:p>
    <w:p>
      <w:pPr>
        <w:spacing w:before="81"/>
        <w:ind w:left="352" w:right="0" w:firstLine="0"/>
        <w:jc w:val="center"/>
        <w:rPr>
          <w:b/>
          <w:sz w:val="16"/>
        </w:rPr>
      </w:pPr>
      <w:r>
        <w:rPr/>
        <w:br w:type="column"/>
      </w:r>
      <w:r>
        <w:rPr>
          <w:b/>
          <w:sz w:val="16"/>
        </w:rPr>
        <w:t>Between</w:t>
      </w:r>
    </w:p>
    <w:p>
      <w:pPr>
        <w:spacing w:before="10"/>
        <w:ind w:left="402" w:right="0" w:firstLine="0"/>
        <w:jc w:val="center"/>
        <w:rPr>
          <w:b/>
          <w:sz w:val="16"/>
        </w:rPr>
      </w:pPr>
      <w:r>
        <w:rPr>
          <w:b/>
          <w:sz w:val="16"/>
        </w:rPr>
        <w:t>1 and 5</w:t>
      </w:r>
      <w:r>
        <w:rPr>
          <w:b/>
          <w:spacing w:val="-14"/>
          <w:sz w:val="16"/>
        </w:rPr>
        <w:t> </w:t>
      </w:r>
      <w:r>
        <w:rPr>
          <w:b/>
          <w:sz w:val="16"/>
        </w:rPr>
        <w:t>years</w:t>
      </w:r>
    </w:p>
    <w:p>
      <w:pPr>
        <w:spacing w:before="81"/>
        <w:ind w:left="764" w:right="0" w:firstLine="0"/>
        <w:jc w:val="left"/>
        <w:rPr>
          <w:b/>
          <w:sz w:val="16"/>
        </w:rPr>
      </w:pPr>
      <w:r>
        <w:rPr/>
        <w:br w:type="column"/>
      </w:r>
      <w:r>
        <w:rPr>
          <w:b/>
          <w:sz w:val="16"/>
        </w:rPr>
        <w:t>Over</w:t>
      </w:r>
    </w:p>
    <w:p>
      <w:pPr>
        <w:tabs>
          <w:tab w:pos="2492" w:val="left" w:leader="none"/>
        </w:tabs>
        <w:spacing w:before="10"/>
        <w:ind w:left="692" w:right="0" w:firstLine="0"/>
        <w:jc w:val="left"/>
        <w:rPr>
          <w:b/>
          <w:sz w:val="16"/>
        </w:rPr>
      </w:pPr>
      <w:r>
        <w:rPr>
          <w:b/>
          <w:sz w:val="16"/>
        </w:rPr>
        <w:t>5</w:t>
      </w:r>
      <w:r>
        <w:rPr>
          <w:b/>
          <w:spacing w:val="5"/>
          <w:sz w:val="16"/>
        </w:rPr>
        <w:t> </w:t>
      </w:r>
      <w:r>
        <w:rPr>
          <w:b/>
          <w:spacing w:val="-3"/>
          <w:sz w:val="16"/>
        </w:rPr>
        <w:t>years</w:t>
        <w:tab/>
      </w:r>
      <w:r>
        <w:rPr>
          <w:b/>
          <w:sz w:val="16"/>
        </w:rPr>
        <w:t>Total</w:t>
      </w:r>
    </w:p>
    <w:p>
      <w:pPr>
        <w:spacing w:after="0"/>
        <w:jc w:val="left"/>
        <w:rPr>
          <w:sz w:val="16"/>
        </w:rPr>
        <w:sectPr>
          <w:type w:val="continuous"/>
          <w:pgSz w:w="11930" w:h="16850"/>
          <w:pgMar w:top="0" w:bottom="280" w:left="900" w:right="860"/>
          <w:cols w:num="3" w:equalWidth="0">
            <w:col w:w="5008" w:space="40"/>
            <w:col w:w="1408" w:space="40"/>
            <w:col w:w="3674"/>
          </w:cols>
        </w:sectPr>
      </w:pPr>
    </w:p>
    <w:p>
      <w:pPr>
        <w:spacing w:before="45"/>
        <w:ind w:left="0" w:right="0" w:firstLine="0"/>
        <w:jc w:val="right"/>
        <w:rPr>
          <w:b/>
          <w:sz w:val="16"/>
        </w:rPr>
      </w:pPr>
      <w:r>
        <w:rPr>
          <w:b/>
          <w:w w:val="95"/>
          <w:sz w:val="16"/>
        </w:rPr>
        <w:t>2012</w:t>
      </w:r>
    </w:p>
    <w:p>
      <w:pPr>
        <w:spacing w:before="73"/>
        <w:ind w:left="0" w:right="130" w:firstLine="0"/>
        <w:jc w:val="right"/>
        <w:rPr>
          <w:b/>
          <w:sz w:val="16"/>
        </w:rPr>
      </w:pPr>
      <w:r>
        <w:rPr>
          <w:b/>
          <w:w w:val="98"/>
          <w:sz w:val="16"/>
        </w:rPr>
        <w:t>$</w:t>
      </w:r>
    </w:p>
    <w:p>
      <w:pPr>
        <w:spacing w:before="45"/>
        <w:ind w:left="293" w:right="0" w:firstLine="0"/>
        <w:jc w:val="center"/>
        <w:rPr>
          <w:b/>
          <w:sz w:val="16"/>
        </w:rPr>
      </w:pPr>
      <w:r>
        <w:rPr/>
        <w:br w:type="column"/>
      </w:r>
      <w:r>
        <w:rPr>
          <w:b/>
          <w:w w:val="95"/>
          <w:sz w:val="16"/>
        </w:rPr>
        <w:t>2011</w:t>
      </w:r>
    </w:p>
    <w:p>
      <w:pPr>
        <w:spacing w:before="73"/>
        <w:ind w:left="287" w:right="0" w:firstLine="0"/>
        <w:jc w:val="center"/>
        <w:rPr>
          <w:b/>
          <w:sz w:val="16"/>
        </w:rPr>
      </w:pPr>
      <w:r>
        <w:rPr>
          <w:b/>
          <w:w w:val="98"/>
          <w:sz w:val="16"/>
        </w:rPr>
        <w:t>$</w:t>
      </w:r>
    </w:p>
    <w:p>
      <w:pPr>
        <w:spacing w:before="45"/>
        <w:ind w:left="288" w:right="0" w:firstLine="0"/>
        <w:jc w:val="center"/>
        <w:rPr>
          <w:b/>
          <w:sz w:val="16"/>
        </w:rPr>
      </w:pPr>
      <w:r>
        <w:rPr/>
        <w:br w:type="column"/>
      </w:r>
      <w:r>
        <w:rPr>
          <w:b/>
          <w:w w:val="95"/>
          <w:sz w:val="16"/>
        </w:rPr>
        <w:t>2012</w:t>
      </w:r>
    </w:p>
    <w:p>
      <w:pPr>
        <w:spacing w:before="73"/>
        <w:ind w:left="283" w:right="0" w:firstLine="0"/>
        <w:jc w:val="center"/>
        <w:rPr>
          <w:b/>
          <w:sz w:val="16"/>
        </w:rPr>
      </w:pPr>
      <w:r>
        <w:rPr>
          <w:b/>
          <w:w w:val="98"/>
          <w:sz w:val="16"/>
        </w:rPr>
        <w:t>$</w:t>
      </w:r>
    </w:p>
    <w:p>
      <w:pPr>
        <w:spacing w:before="45"/>
        <w:ind w:left="262" w:right="0" w:firstLine="0"/>
        <w:jc w:val="center"/>
        <w:rPr>
          <w:b/>
          <w:sz w:val="16"/>
        </w:rPr>
      </w:pPr>
      <w:r>
        <w:rPr/>
        <w:br w:type="column"/>
      </w:r>
      <w:r>
        <w:rPr>
          <w:b/>
          <w:w w:val="95"/>
          <w:sz w:val="16"/>
        </w:rPr>
        <w:t>2011</w:t>
      </w:r>
    </w:p>
    <w:p>
      <w:pPr>
        <w:spacing w:before="73"/>
        <w:ind w:left="256" w:right="0" w:firstLine="0"/>
        <w:jc w:val="center"/>
        <w:rPr>
          <w:b/>
          <w:sz w:val="16"/>
        </w:rPr>
      </w:pPr>
      <w:r>
        <w:rPr>
          <w:b/>
          <w:w w:val="98"/>
          <w:sz w:val="16"/>
        </w:rPr>
        <w:t>$</w:t>
      </w:r>
    </w:p>
    <w:p>
      <w:pPr>
        <w:spacing w:before="45"/>
        <w:ind w:left="367" w:right="0" w:firstLine="0"/>
        <w:jc w:val="center"/>
        <w:rPr>
          <w:b/>
          <w:sz w:val="16"/>
        </w:rPr>
      </w:pPr>
      <w:r>
        <w:rPr/>
        <w:br w:type="column"/>
      </w:r>
      <w:r>
        <w:rPr>
          <w:b/>
          <w:w w:val="95"/>
          <w:sz w:val="16"/>
        </w:rPr>
        <w:t>2012</w:t>
      </w:r>
    </w:p>
    <w:p>
      <w:pPr>
        <w:spacing w:before="73"/>
        <w:ind w:left="0" w:right="133" w:firstLine="0"/>
        <w:jc w:val="right"/>
        <w:rPr>
          <w:b/>
          <w:sz w:val="16"/>
        </w:rPr>
      </w:pPr>
      <w:r>
        <w:rPr>
          <w:b/>
          <w:w w:val="98"/>
          <w:sz w:val="16"/>
        </w:rPr>
        <w:t>$</w:t>
      </w:r>
    </w:p>
    <w:p>
      <w:pPr>
        <w:spacing w:before="45"/>
        <w:ind w:left="466" w:right="0" w:firstLine="0"/>
        <w:jc w:val="center"/>
        <w:rPr>
          <w:b/>
          <w:sz w:val="16"/>
        </w:rPr>
      </w:pPr>
      <w:r>
        <w:rPr/>
        <w:br w:type="column"/>
      </w:r>
      <w:r>
        <w:rPr>
          <w:b/>
          <w:w w:val="95"/>
          <w:sz w:val="16"/>
        </w:rPr>
        <w:t>2011</w:t>
      </w:r>
    </w:p>
    <w:p>
      <w:pPr>
        <w:spacing w:before="73"/>
        <w:ind w:left="0" w:right="133" w:firstLine="0"/>
        <w:jc w:val="right"/>
        <w:rPr>
          <w:b/>
          <w:sz w:val="16"/>
        </w:rPr>
      </w:pPr>
      <w:r>
        <w:rPr>
          <w:b/>
          <w:w w:val="98"/>
          <w:sz w:val="16"/>
        </w:rPr>
        <w:t>$</w:t>
      </w:r>
    </w:p>
    <w:p>
      <w:pPr>
        <w:spacing w:before="45"/>
        <w:ind w:left="471" w:right="0" w:firstLine="0"/>
        <w:jc w:val="center"/>
        <w:rPr>
          <w:b/>
          <w:sz w:val="16"/>
        </w:rPr>
      </w:pPr>
      <w:r>
        <w:rPr/>
        <w:br w:type="column"/>
      </w:r>
      <w:r>
        <w:rPr>
          <w:b/>
          <w:w w:val="95"/>
          <w:sz w:val="16"/>
        </w:rPr>
        <w:t>2012</w:t>
      </w:r>
    </w:p>
    <w:p>
      <w:pPr>
        <w:spacing w:before="73"/>
        <w:ind w:left="0" w:right="133" w:firstLine="0"/>
        <w:jc w:val="right"/>
        <w:rPr>
          <w:b/>
          <w:sz w:val="16"/>
        </w:rPr>
      </w:pPr>
      <w:r>
        <w:rPr>
          <w:b/>
          <w:w w:val="98"/>
          <w:sz w:val="16"/>
        </w:rPr>
        <w:t>$</w:t>
      </w:r>
    </w:p>
    <w:p>
      <w:pPr>
        <w:spacing w:before="45"/>
        <w:ind w:left="455" w:right="336" w:firstLine="0"/>
        <w:jc w:val="center"/>
        <w:rPr>
          <w:b/>
          <w:sz w:val="16"/>
        </w:rPr>
      </w:pPr>
      <w:r>
        <w:rPr/>
        <w:br w:type="column"/>
      </w:r>
      <w:r>
        <w:rPr>
          <w:b/>
          <w:sz w:val="16"/>
        </w:rPr>
        <w:t>2011</w:t>
      </w:r>
    </w:p>
    <w:p>
      <w:pPr>
        <w:spacing w:before="73"/>
        <w:ind w:left="118" w:right="0" w:firstLine="0"/>
        <w:jc w:val="center"/>
        <w:rPr>
          <w:b/>
          <w:sz w:val="16"/>
        </w:rPr>
      </w:pPr>
      <w:r>
        <w:rPr>
          <w:b/>
          <w:w w:val="98"/>
          <w:sz w:val="16"/>
        </w:rPr>
        <w:t>$</w:t>
      </w:r>
    </w:p>
    <w:p>
      <w:pPr>
        <w:spacing w:after="0"/>
        <w:jc w:val="center"/>
        <w:rPr>
          <w:sz w:val="16"/>
        </w:rPr>
        <w:sectPr>
          <w:type w:val="continuous"/>
          <w:pgSz w:w="11930" w:h="16850"/>
          <w:pgMar w:top="0" w:bottom="280" w:left="900" w:right="860"/>
          <w:cols w:num="8" w:equalWidth="0">
            <w:col w:w="4433" w:space="40"/>
            <w:col w:w="647" w:space="40"/>
            <w:col w:w="642" w:space="40"/>
            <w:col w:w="616" w:space="40"/>
            <w:col w:w="721" w:space="40"/>
            <w:col w:w="820" w:space="40"/>
            <w:col w:w="824" w:space="40"/>
            <w:col w:w="1187"/>
          </w:cols>
        </w:sectPr>
      </w:pPr>
    </w:p>
    <w:p>
      <w:pPr>
        <w:pStyle w:val="BodyText"/>
        <w:spacing w:before="2"/>
        <w:rPr>
          <w:b/>
          <w:sz w:val="3"/>
        </w:rPr>
      </w:pPr>
    </w:p>
    <w:tbl>
      <w:tblPr>
        <w:tblW w:w="0" w:type="auto"/>
        <w:jc w:val="left"/>
        <w:tblInd w:w="1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46"/>
        <w:gridCol w:w="701"/>
        <w:gridCol w:w="939"/>
        <w:gridCol w:w="1952"/>
        <w:gridCol w:w="857"/>
        <w:gridCol w:w="854"/>
        <w:gridCol w:w="874"/>
      </w:tblGrid>
      <w:tr>
        <w:trPr>
          <w:trHeight w:val="238" w:hRule="exact"/>
        </w:trPr>
        <w:tc>
          <w:tcPr>
            <w:tcW w:w="2746" w:type="dxa"/>
          </w:tcPr>
          <w:p>
            <w:pPr>
              <w:pStyle w:val="TableParagraph"/>
              <w:spacing w:before="17"/>
              <w:ind w:left="35"/>
              <w:rPr>
                <w:sz w:val="16"/>
              </w:rPr>
            </w:pPr>
            <w:r>
              <w:rPr>
                <w:sz w:val="16"/>
              </w:rPr>
              <w:t>Trade payables</w:t>
            </w:r>
          </w:p>
        </w:tc>
        <w:tc>
          <w:tcPr>
            <w:tcW w:w="701" w:type="dxa"/>
          </w:tcPr>
          <w:p>
            <w:pPr>
              <w:pStyle w:val="TableParagraph"/>
              <w:spacing w:before="17"/>
              <w:ind w:right="49"/>
              <w:jc w:val="right"/>
              <w:rPr>
                <w:b/>
                <w:sz w:val="16"/>
              </w:rPr>
            </w:pPr>
            <w:r>
              <w:rPr>
                <w:b/>
                <w:sz w:val="16"/>
              </w:rPr>
              <w:t>173,910</w:t>
            </w:r>
          </w:p>
        </w:tc>
        <w:tc>
          <w:tcPr>
            <w:tcW w:w="939" w:type="dxa"/>
          </w:tcPr>
          <w:p>
            <w:pPr>
              <w:pStyle w:val="TableParagraph"/>
              <w:spacing w:before="17"/>
              <w:ind w:right="309"/>
              <w:jc w:val="right"/>
              <w:rPr>
                <w:sz w:val="16"/>
              </w:rPr>
            </w:pPr>
            <w:r>
              <w:rPr>
                <w:sz w:val="16"/>
              </w:rPr>
              <w:t>115,697</w:t>
            </w:r>
          </w:p>
        </w:tc>
        <w:tc>
          <w:tcPr>
            <w:tcW w:w="1952" w:type="dxa"/>
          </w:tcPr>
          <w:p>
            <w:pPr>
              <w:pStyle w:val="TableParagraph"/>
              <w:tabs>
                <w:tab w:pos="638" w:val="left" w:leader="none"/>
              </w:tabs>
              <w:spacing w:before="17"/>
              <w:ind w:right="56"/>
              <w:jc w:val="right"/>
              <w:rPr>
                <w:b/>
                <w:sz w:val="16"/>
              </w:rPr>
            </w:pPr>
            <w:r>
              <w:rPr>
                <w:b/>
                <w:sz w:val="16"/>
              </w:rPr>
              <w:t>-</w:t>
              <w:tab/>
            </w:r>
            <w:r>
              <w:rPr>
                <w:sz w:val="16"/>
              </w:rPr>
              <w:t>-  </w:t>
            </w:r>
            <w:r>
              <w:rPr>
                <w:spacing w:val="39"/>
                <w:sz w:val="16"/>
              </w:rPr>
              <w:t> </w:t>
            </w:r>
            <w:r>
              <w:rPr>
                <w:b/>
                <w:sz w:val="16"/>
              </w:rPr>
              <w:t>3,780,410</w:t>
            </w:r>
          </w:p>
        </w:tc>
        <w:tc>
          <w:tcPr>
            <w:tcW w:w="857" w:type="dxa"/>
          </w:tcPr>
          <w:p>
            <w:pPr>
              <w:pStyle w:val="TableParagraph"/>
              <w:spacing w:before="17"/>
              <w:ind w:right="83"/>
              <w:jc w:val="right"/>
              <w:rPr>
                <w:sz w:val="16"/>
              </w:rPr>
            </w:pPr>
            <w:r>
              <w:rPr>
                <w:sz w:val="16"/>
              </w:rPr>
              <w:t>3,551,469</w:t>
            </w:r>
          </w:p>
        </w:tc>
        <w:tc>
          <w:tcPr>
            <w:tcW w:w="854" w:type="dxa"/>
          </w:tcPr>
          <w:p>
            <w:pPr>
              <w:pStyle w:val="TableParagraph"/>
              <w:spacing w:before="17"/>
              <w:ind w:right="59"/>
              <w:jc w:val="right"/>
              <w:rPr>
                <w:b/>
                <w:sz w:val="16"/>
              </w:rPr>
            </w:pPr>
            <w:r>
              <w:rPr>
                <w:b/>
                <w:sz w:val="16"/>
              </w:rPr>
              <w:t>3,954,320</w:t>
            </w:r>
          </w:p>
        </w:tc>
        <w:tc>
          <w:tcPr>
            <w:tcW w:w="874" w:type="dxa"/>
          </w:tcPr>
          <w:p>
            <w:pPr>
              <w:pStyle w:val="TableParagraph"/>
              <w:spacing w:before="17"/>
              <w:ind w:right="100"/>
              <w:jc w:val="right"/>
              <w:rPr>
                <w:sz w:val="16"/>
              </w:rPr>
            </w:pPr>
            <w:r>
              <w:rPr>
                <w:sz w:val="16"/>
              </w:rPr>
              <w:t>3,667,166</w:t>
            </w:r>
          </w:p>
        </w:tc>
      </w:tr>
      <w:tr>
        <w:trPr>
          <w:trHeight w:val="241" w:hRule="exact"/>
        </w:trPr>
        <w:tc>
          <w:tcPr>
            <w:tcW w:w="2746" w:type="dxa"/>
          </w:tcPr>
          <w:p>
            <w:pPr>
              <w:pStyle w:val="TableParagraph"/>
              <w:spacing w:before="21"/>
              <w:ind w:left="35"/>
              <w:rPr>
                <w:sz w:val="16"/>
              </w:rPr>
            </w:pPr>
            <w:r>
              <w:rPr>
                <w:sz w:val="16"/>
              </w:rPr>
              <w:t>Deferred income</w:t>
            </w:r>
          </w:p>
        </w:tc>
        <w:tc>
          <w:tcPr>
            <w:tcW w:w="701" w:type="dxa"/>
          </w:tcPr>
          <w:p>
            <w:pPr>
              <w:pStyle w:val="TableParagraph"/>
              <w:spacing w:before="21"/>
              <w:ind w:right="53"/>
              <w:jc w:val="right"/>
              <w:rPr>
                <w:b/>
                <w:sz w:val="16"/>
              </w:rPr>
            </w:pPr>
            <w:r>
              <w:rPr>
                <w:b/>
                <w:w w:val="100"/>
                <w:sz w:val="16"/>
              </w:rPr>
              <w:t>-</w:t>
            </w:r>
          </w:p>
        </w:tc>
        <w:tc>
          <w:tcPr>
            <w:tcW w:w="939" w:type="dxa"/>
          </w:tcPr>
          <w:p>
            <w:pPr>
              <w:pStyle w:val="TableParagraph"/>
              <w:spacing w:before="21"/>
              <w:ind w:right="309"/>
              <w:jc w:val="right"/>
              <w:rPr>
                <w:sz w:val="16"/>
              </w:rPr>
            </w:pPr>
            <w:r>
              <w:rPr>
                <w:sz w:val="16"/>
              </w:rPr>
              <w:t>22,610</w:t>
            </w:r>
          </w:p>
        </w:tc>
        <w:tc>
          <w:tcPr>
            <w:tcW w:w="1952" w:type="dxa"/>
          </w:tcPr>
          <w:p>
            <w:pPr>
              <w:pStyle w:val="TableParagraph"/>
              <w:tabs>
                <w:tab w:pos="638" w:val="left" w:leader="none"/>
                <w:tab w:pos="1518" w:val="left" w:leader="none"/>
              </w:tabs>
              <w:spacing w:before="21"/>
              <w:ind w:right="65"/>
              <w:jc w:val="right"/>
              <w:rPr>
                <w:b/>
                <w:sz w:val="16"/>
              </w:rPr>
            </w:pPr>
            <w:r>
              <w:rPr>
                <w:b/>
                <w:sz w:val="16"/>
              </w:rPr>
              <w:t>-</w:t>
              <w:tab/>
            </w:r>
            <w:r>
              <w:rPr>
                <w:sz w:val="16"/>
              </w:rPr>
              <w:t>-</w:t>
              <w:tab/>
            </w:r>
            <w:r>
              <w:rPr>
                <w:b/>
                <w:sz w:val="16"/>
              </w:rPr>
              <w:t>-</w:t>
            </w:r>
          </w:p>
        </w:tc>
        <w:tc>
          <w:tcPr>
            <w:tcW w:w="857" w:type="dxa"/>
          </w:tcPr>
          <w:p>
            <w:pPr>
              <w:pStyle w:val="TableParagraph"/>
              <w:spacing w:before="21"/>
              <w:ind w:right="82"/>
              <w:jc w:val="right"/>
              <w:rPr>
                <w:sz w:val="16"/>
              </w:rPr>
            </w:pPr>
            <w:r>
              <w:rPr>
                <w:w w:val="100"/>
                <w:sz w:val="16"/>
              </w:rPr>
              <w:t>-</w:t>
            </w:r>
          </w:p>
        </w:tc>
        <w:tc>
          <w:tcPr>
            <w:tcW w:w="854" w:type="dxa"/>
          </w:tcPr>
          <w:p>
            <w:pPr>
              <w:pStyle w:val="TableParagraph"/>
              <w:spacing w:before="21"/>
              <w:ind w:right="56"/>
              <w:jc w:val="right"/>
              <w:rPr>
                <w:b/>
                <w:sz w:val="16"/>
              </w:rPr>
            </w:pPr>
            <w:r>
              <w:rPr>
                <w:b/>
                <w:w w:val="100"/>
                <w:sz w:val="16"/>
              </w:rPr>
              <w:t>-</w:t>
            </w:r>
          </w:p>
        </w:tc>
        <w:tc>
          <w:tcPr>
            <w:tcW w:w="874" w:type="dxa"/>
          </w:tcPr>
          <w:p>
            <w:pPr>
              <w:pStyle w:val="TableParagraph"/>
              <w:spacing w:before="21"/>
              <w:ind w:right="95"/>
              <w:jc w:val="right"/>
              <w:rPr>
                <w:sz w:val="16"/>
              </w:rPr>
            </w:pPr>
            <w:r>
              <w:rPr>
                <w:sz w:val="16"/>
              </w:rPr>
              <w:t>22,610</w:t>
            </w:r>
          </w:p>
        </w:tc>
      </w:tr>
      <w:tr>
        <w:trPr>
          <w:trHeight w:val="251" w:hRule="exact"/>
        </w:trPr>
        <w:tc>
          <w:tcPr>
            <w:tcW w:w="2746" w:type="dxa"/>
          </w:tcPr>
          <w:p>
            <w:pPr>
              <w:pStyle w:val="TableParagraph"/>
              <w:spacing w:before="20"/>
              <w:ind w:left="35"/>
              <w:rPr>
                <w:sz w:val="16"/>
              </w:rPr>
            </w:pPr>
            <w:r>
              <w:rPr>
                <w:sz w:val="16"/>
              </w:rPr>
              <w:t>Borrowings</w:t>
            </w:r>
          </w:p>
        </w:tc>
        <w:tc>
          <w:tcPr>
            <w:tcW w:w="701" w:type="dxa"/>
            <w:tcBorders>
              <w:bottom w:val="single" w:sz="6" w:space="0" w:color="000000"/>
            </w:tcBorders>
          </w:tcPr>
          <w:p>
            <w:pPr>
              <w:pStyle w:val="TableParagraph"/>
              <w:spacing w:before="20"/>
              <w:ind w:right="53"/>
              <w:jc w:val="right"/>
              <w:rPr>
                <w:b/>
                <w:sz w:val="16"/>
              </w:rPr>
            </w:pPr>
            <w:r>
              <w:rPr>
                <w:b/>
                <w:w w:val="100"/>
                <w:sz w:val="16"/>
              </w:rPr>
              <w:t>-</w:t>
            </w:r>
          </w:p>
        </w:tc>
        <w:tc>
          <w:tcPr>
            <w:tcW w:w="939" w:type="dxa"/>
            <w:tcBorders>
              <w:bottom w:val="single" w:sz="6" w:space="0" w:color="000000"/>
            </w:tcBorders>
          </w:tcPr>
          <w:p>
            <w:pPr>
              <w:pStyle w:val="TableParagraph"/>
              <w:spacing w:before="20"/>
              <w:ind w:right="314"/>
              <w:jc w:val="right"/>
              <w:rPr>
                <w:sz w:val="16"/>
              </w:rPr>
            </w:pPr>
            <w:r>
              <w:rPr>
                <w:w w:val="100"/>
                <w:sz w:val="16"/>
              </w:rPr>
              <w:t>-</w:t>
            </w:r>
          </w:p>
        </w:tc>
        <w:tc>
          <w:tcPr>
            <w:tcW w:w="1952" w:type="dxa"/>
            <w:tcBorders>
              <w:bottom w:val="single" w:sz="6" w:space="0" w:color="000000"/>
            </w:tcBorders>
          </w:tcPr>
          <w:p>
            <w:pPr>
              <w:pStyle w:val="TableParagraph"/>
              <w:tabs>
                <w:tab w:pos="638" w:val="left" w:leader="none"/>
              </w:tabs>
              <w:spacing w:before="20"/>
              <w:ind w:right="57"/>
              <w:jc w:val="right"/>
              <w:rPr>
                <w:b/>
                <w:sz w:val="16"/>
              </w:rPr>
            </w:pPr>
            <w:r>
              <w:rPr>
                <w:b/>
                <w:sz w:val="16"/>
              </w:rPr>
              <w:t>-</w:t>
              <w:tab/>
            </w:r>
            <w:r>
              <w:rPr>
                <w:sz w:val="16"/>
              </w:rPr>
              <w:t>-  </w:t>
            </w:r>
            <w:r>
              <w:rPr>
                <w:spacing w:val="39"/>
                <w:sz w:val="16"/>
              </w:rPr>
              <w:t> </w:t>
            </w:r>
            <w:r>
              <w:rPr>
                <w:b/>
                <w:sz w:val="16"/>
              </w:rPr>
              <w:t>1,539,874</w:t>
            </w:r>
          </w:p>
        </w:tc>
        <w:tc>
          <w:tcPr>
            <w:tcW w:w="857" w:type="dxa"/>
            <w:tcBorders>
              <w:bottom w:val="single" w:sz="6" w:space="0" w:color="000000"/>
            </w:tcBorders>
          </w:tcPr>
          <w:p>
            <w:pPr>
              <w:pStyle w:val="TableParagraph"/>
              <w:spacing w:before="20"/>
              <w:ind w:right="83"/>
              <w:jc w:val="right"/>
              <w:rPr>
                <w:sz w:val="16"/>
              </w:rPr>
            </w:pPr>
            <w:r>
              <w:rPr>
                <w:sz w:val="16"/>
              </w:rPr>
              <w:t>1,539,874</w:t>
            </w:r>
          </w:p>
        </w:tc>
        <w:tc>
          <w:tcPr>
            <w:tcW w:w="854" w:type="dxa"/>
            <w:tcBorders>
              <w:bottom w:val="single" w:sz="6" w:space="0" w:color="000000"/>
            </w:tcBorders>
          </w:tcPr>
          <w:p>
            <w:pPr>
              <w:pStyle w:val="TableParagraph"/>
              <w:spacing w:before="20"/>
              <w:ind w:right="61"/>
              <w:jc w:val="right"/>
              <w:rPr>
                <w:b/>
                <w:sz w:val="16"/>
              </w:rPr>
            </w:pPr>
            <w:r>
              <w:rPr>
                <w:b/>
                <w:sz w:val="16"/>
              </w:rPr>
              <w:t>1,539,874</w:t>
            </w:r>
          </w:p>
        </w:tc>
        <w:tc>
          <w:tcPr>
            <w:tcW w:w="874" w:type="dxa"/>
            <w:tcBorders>
              <w:bottom w:val="single" w:sz="6" w:space="0" w:color="000000"/>
            </w:tcBorders>
          </w:tcPr>
          <w:p>
            <w:pPr>
              <w:pStyle w:val="TableParagraph"/>
              <w:spacing w:before="20"/>
              <w:ind w:right="100"/>
              <w:jc w:val="right"/>
              <w:rPr>
                <w:sz w:val="16"/>
              </w:rPr>
            </w:pPr>
            <w:r>
              <w:rPr>
                <w:sz w:val="16"/>
              </w:rPr>
              <w:t>1,539,874</w:t>
            </w:r>
          </w:p>
        </w:tc>
      </w:tr>
      <w:tr>
        <w:trPr>
          <w:trHeight w:val="441" w:hRule="exact"/>
        </w:trPr>
        <w:tc>
          <w:tcPr>
            <w:tcW w:w="2746" w:type="dxa"/>
          </w:tcPr>
          <w:p>
            <w:pPr>
              <w:pStyle w:val="TableParagraph"/>
              <w:spacing w:before="31"/>
              <w:ind w:left="35" w:right="1509" w:hanging="1"/>
              <w:rPr>
                <w:sz w:val="16"/>
              </w:rPr>
            </w:pPr>
            <w:r>
              <w:rPr>
                <w:sz w:val="16"/>
              </w:rPr>
              <w:t>Total contractual outflows</w:t>
            </w:r>
          </w:p>
        </w:tc>
        <w:tc>
          <w:tcPr>
            <w:tcW w:w="701" w:type="dxa"/>
            <w:tcBorders>
              <w:top w:val="single" w:sz="6" w:space="0" w:color="000000"/>
              <w:bottom w:val="single" w:sz="6" w:space="0" w:color="000000"/>
            </w:tcBorders>
          </w:tcPr>
          <w:p>
            <w:pPr>
              <w:pStyle w:val="TableParagraph"/>
              <w:spacing w:before="7"/>
              <w:rPr>
                <w:b/>
                <w:sz w:val="20"/>
              </w:rPr>
            </w:pPr>
          </w:p>
          <w:p>
            <w:pPr>
              <w:pStyle w:val="TableParagraph"/>
              <w:ind w:right="49"/>
              <w:jc w:val="right"/>
              <w:rPr>
                <w:b/>
                <w:sz w:val="16"/>
              </w:rPr>
            </w:pPr>
            <w:r>
              <w:rPr>
                <w:b/>
                <w:sz w:val="16"/>
              </w:rPr>
              <w:t>173,910</w:t>
            </w:r>
          </w:p>
        </w:tc>
        <w:tc>
          <w:tcPr>
            <w:tcW w:w="939" w:type="dxa"/>
            <w:tcBorders>
              <w:top w:val="single" w:sz="6" w:space="0" w:color="000000"/>
              <w:bottom w:val="single" w:sz="6" w:space="0" w:color="000000"/>
            </w:tcBorders>
          </w:tcPr>
          <w:p>
            <w:pPr>
              <w:pStyle w:val="TableParagraph"/>
              <w:spacing w:before="7"/>
              <w:rPr>
                <w:b/>
                <w:sz w:val="20"/>
              </w:rPr>
            </w:pPr>
          </w:p>
          <w:p>
            <w:pPr>
              <w:pStyle w:val="TableParagraph"/>
              <w:ind w:right="310"/>
              <w:jc w:val="right"/>
              <w:rPr>
                <w:sz w:val="16"/>
              </w:rPr>
            </w:pPr>
            <w:r>
              <w:rPr>
                <w:sz w:val="16"/>
              </w:rPr>
              <w:t>138,307</w:t>
            </w:r>
          </w:p>
        </w:tc>
        <w:tc>
          <w:tcPr>
            <w:tcW w:w="1952" w:type="dxa"/>
            <w:tcBorders>
              <w:top w:val="single" w:sz="6" w:space="0" w:color="000000"/>
              <w:bottom w:val="single" w:sz="6" w:space="0" w:color="000000"/>
            </w:tcBorders>
          </w:tcPr>
          <w:p>
            <w:pPr>
              <w:pStyle w:val="TableParagraph"/>
              <w:spacing w:before="7"/>
              <w:rPr>
                <w:b/>
                <w:sz w:val="20"/>
              </w:rPr>
            </w:pPr>
          </w:p>
          <w:p>
            <w:pPr>
              <w:pStyle w:val="TableParagraph"/>
              <w:tabs>
                <w:tab w:pos="638" w:val="left" w:leader="none"/>
              </w:tabs>
              <w:ind w:right="56"/>
              <w:jc w:val="right"/>
              <w:rPr>
                <w:b/>
                <w:sz w:val="16"/>
              </w:rPr>
            </w:pPr>
            <w:r>
              <w:rPr>
                <w:b/>
                <w:sz w:val="16"/>
              </w:rPr>
              <w:t>-</w:t>
              <w:tab/>
            </w:r>
            <w:r>
              <w:rPr>
                <w:sz w:val="16"/>
              </w:rPr>
              <w:t>-  </w:t>
            </w:r>
            <w:r>
              <w:rPr>
                <w:spacing w:val="39"/>
                <w:sz w:val="16"/>
              </w:rPr>
              <w:t> </w:t>
            </w:r>
            <w:r>
              <w:rPr>
                <w:b/>
                <w:sz w:val="16"/>
              </w:rPr>
              <w:t>5,320,284</w:t>
            </w:r>
          </w:p>
        </w:tc>
        <w:tc>
          <w:tcPr>
            <w:tcW w:w="857" w:type="dxa"/>
            <w:tcBorders>
              <w:top w:val="single" w:sz="6" w:space="0" w:color="000000"/>
              <w:bottom w:val="single" w:sz="6" w:space="0" w:color="000000"/>
            </w:tcBorders>
          </w:tcPr>
          <w:p>
            <w:pPr>
              <w:pStyle w:val="TableParagraph"/>
              <w:spacing w:before="7"/>
              <w:rPr>
                <w:b/>
                <w:sz w:val="20"/>
              </w:rPr>
            </w:pPr>
          </w:p>
          <w:p>
            <w:pPr>
              <w:pStyle w:val="TableParagraph"/>
              <w:ind w:right="83"/>
              <w:jc w:val="right"/>
              <w:rPr>
                <w:sz w:val="16"/>
              </w:rPr>
            </w:pPr>
            <w:r>
              <w:rPr>
                <w:sz w:val="16"/>
              </w:rPr>
              <w:t>5,091,343</w:t>
            </w:r>
          </w:p>
        </w:tc>
        <w:tc>
          <w:tcPr>
            <w:tcW w:w="854" w:type="dxa"/>
            <w:tcBorders>
              <w:top w:val="single" w:sz="6" w:space="0" w:color="000000"/>
              <w:bottom w:val="single" w:sz="6" w:space="0" w:color="000000"/>
            </w:tcBorders>
          </w:tcPr>
          <w:p>
            <w:pPr>
              <w:pStyle w:val="TableParagraph"/>
              <w:spacing w:before="7"/>
              <w:rPr>
                <w:b/>
                <w:sz w:val="20"/>
              </w:rPr>
            </w:pPr>
          </w:p>
          <w:p>
            <w:pPr>
              <w:pStyle w:val="TableParagraph"/>
              <w:ind w:right="59"/>
              <w:jc w:val="right"/>
              <w:rPr>
                <w:b/>
                <w:sz w:val="16"/>
              </w:rPr>
            </w:pPr>
            <w:r>
              <w:rPr>
                <w:b/>
                <w:sz w:val="16"/>
              </w:rPr>
              <w:t>5,494,194</w:t>
            </w:r>
          </w:p>
        </w:tc>
        <w:tc>
          <w:tcPr>
            <w:tcW w:w="874" w:type="dxa"/>
            <w:tcBorders>
              <w:top w:val="single" w:sz="6" w:space="0" w:color="000000"/>
              <w:bottom w:val="single" w:sz="8" w:space="0" w:color="000000"/>
            </w:tcBorders>
          </w:tcPr>
          <w:p>
            <w:pPr>
              <w:pStyle w:val="TableParagraph"/>
              <w:spacing w:before="7"/>
              <w:rPr>
                <w:b/>
                <w:sz w:val="20"/>
              </w:rPr>
            </w:pPr>
          </w:p>
          <w:p>
            <w:pPr>
              <w:pStyle w:val="TableParagraph"/>
              <w:ind w:right="100"/>
              <w:jc w:val="right"/>
              <w:rPr>
                <w:sz w:val="16"/>
              </w:rPr>
            </w:pPr>
            <w:r>
              <w:rPr>
                <w:sz w:val="16"/>
              </w:rPr>
              <w:t>5,229,650</w:t>
            </w:r>
          </w:p>
        </w:tc>
      </w:tr>
    </w:tbl>
    <w:p>
      <w:pPr>
        <w:pStyle w:val="BodyText"/>
        <w:spacing w:before="3"/>
        <w:rPr>
          <w:b/>
          <w:sz w:val="17"/>
        </w:rPr>
      </w:pPr>
    </w:p>
    <w:p>
      <w:pPr>
        <w:pStyle w:val="BodyText"/>
        <w:spacing w:before="78"/>
        <w:ind w:left="1072" w:right="596"/>
      </w:pPr>
      <w:r>
        <w:rPr/>
        <w:t>The timing of expected outflows is not expected to be materially different from contracted cashflows.</w:t>
      </w:r>
    </w:p>
    <w:p>
      <w:pPr>
        <w:pStyle w:val="BodyText"/>
      </w:pPr>
    </w:p>
    <w:p>
      <w:pPr>
        <w:pStyle w:val="BodyText"/>
      </w:pPr>
    </w:p>
    <w:p>
      <w:pPr>
        <w:pStyle w:val="BodyText"/>
      </w:pPr>
    </w:p>
    <w:p>
      <w:pPr>
        <w:pStyle w:val="Heading9"/>
        <w:numPr>
          <w:ilvl w:val="0"/>
          <w:numId w:val="42"/>
        </w:numPr>
        <w:tabs>
          <w:tab w:pos="1061" w:val="left" w:leader="none"/>
        </w:tabs>
        <w:spacing w:line="240" w:lineRule="auto" w:before="156" w:after="0"/>
        <w:ind w:left="1060" w:right="0" w:hanging="556"/>
        <w:jc w:val="left"/>
      </w:pPr>
      <w:r>
        <w:rPr/>
        <w:t>Fair value</w:t>
      </w:r>
      <w:r>
        <w:rPr>
          <w:spacing w:val="-7"/>
        </w:rPr>
        <w:t> </w:t>
      </w:r>
      <w:r>
        <w:rPr/>
        <w:t>measurements</w:t>
      </w:r>
    </w:p>
    <w:p>
      <w:pPr>
        <w:pStyle w:val="BodyText"/>
        <w:spacing w:before="10"/>
        <w:rPr>
          <w:b/>
          <w:sz w:val="25"/>
        </w:rPr>
      </w:pPr>
    </w:p>
    <w:p>
      <w:pPr>
        <w:pStyle w:val="BodyText"/>
        <w:spacing w:line="204" w:lineRule="exact"/>
        <w:ind w:left="1072" w:right="293"/>
      </w:pPr>
      <w:r>
        <w:rPr/>
        <w:t>The fair value of financial assets and financial liabilities must be estimated for recognition and measurement or for disclosure purposes.</w:t>
      </w:r>
    </w:p>
    <w:p>
      <w:pPr>
        <w:pStyle w:val="BodyText"/>
        <w:spacing w:before="8"/>
        <w:rPr>
          <w:sz w:val="24"/>
        </w:rPr>
      </w:pPr>
    </w:p>
    <w:p>
      <w:pPr>
        <w:pStyle w:val="BodyText"/>
        <w:spacing w:before="1"/>
        <w:ind w:left="1072" w:right="549"/>
      </w:pPr>
      <w:r>
        <w:rPr/>
        <w:t>Due to the Company's financial instruments short term nature, the carrying value of all financial instruments recognised in the statements of financial position approximates their fair value.</w:t>
      </w:r>
    </w:p>
    <w:p>
      <w:pPr>
        <w:spacing w:after="0"/>
        <w:sectPr>
          <w:type w:val="continuous"/>
          <w:pgSz w:w="11930" w:h="16850"/>
          <w:pgMar w:top="0" w:bottom="280" w:left="900" w:right="860"/>
        </w:sectPr>
      </w:pPr>
    </w:p>
    <w:p>
      <w:pPr>
        <w:pStyle w:val="BodyText"/>
        <w:spacing w:before="10"/>
        <w:rPr>
          <w:sz w:val="23"/>
        </w:rPr>
      </w:pPr>
    </w:p>
    <w:p>
      <w:pPr>
        <w:pStyle w:val="Heading3"/>
        <w:ind w:left="348" w:right="806"/>
      </w:pPr>
      <w:r>
        <w:rPr/>
        <w:t>Notes to the Financial Statements</w:t>
      </w:r>
    </w:p>
    <w:p>
      <w:pPr>
        <w:spacing w:before="62"/>
        <w:ind w:left="348" w:right="806" w:firstLine="0"/>
        <w:jc w:val="left"/>
        <w:rPr>
          <w:b/>
          <w:sz w:val="28"/>
        </w:rPr>
      </w:pPr>
      <w:r>
        <w:rPr>
          <w:b/>
          <w:sz w:val="28"/>
        </w:rPr>
        <w:t>For the Year Ended 31 December</w:t>
      </w:r>
      <w:r>
        <w:rPr>
          <w:b/>
          <w:spacing w:val="-52"/>
          <w:sz w:val="28"/>
        </w:rPr>
        <w:t> </w:t>
      </w:r>
      <w:r>
        <w:rPr>
          <w:b/>
          <w:sz w:val="28"/>
        </w:rPr>
        <w:t>2012</w:t>
      </w:r>
    </w:p>
    <w:p>
      <w:pPr>
        <w:pStyle w:val="Heading9"/>
        <w:numPr>
          <w:ilvl w:val="0"/>
          <w:numId w:val="43"/>
        </w:numPr>
        <w:tabs>
          <w:tab w:pos="526" w:val="left" w:leader="none"/>
        </w:tabs>
        <w:spacing w:line="240" w:lineRule="auto" w:before="117" w:after="0"/>
        <w:ind w:left="525" w:right="6076" w:hanging="398"/>
        <w:jc w:val="center"/>
      </w:pPr>
      <w:r>
        <w:rPr/>
        <w:t>Key Management Personnel</w:t>
      </w:r>
      <w:r>
        <w:rPr>
          <w:spacing w:val="-18"/>
        </w:rPr>
        <w:t> </w:t>
      </w:r>
      <w:r>
        <w:rPr/>
        <w:t>Disclosures</w:t>
      </w:r>
    </w:p>
    <w:p>
      <w:pPr>
        <w:pStyle w:val="BodyText"/>
        <w:spacing w:before="4"/>
        <w:rPr>
          <w:b/>
          <w:sz w:val="25"/>
        </w:rPr>
      </w:pPr>
    </w:p>
    <w:p>
      <w:pPr>
        <w:pStyle w:val="BodyText"/>
        <w:ind w:left="504" w:right="806"/>
      </w:pPr>
      <w:r>
        <w:rPr/>
        <w:t>No emoluments were paid to directors.</w:t>
      </w:r>
    </w:p>
    <w:p>
      <w:pPr>
        <w:pStyle w:val="BodyText"/>
        <w:spacing w:before="11"/>
        <w:rPr>
          <w:sz w:val="24"/>
        </w:rPr>
      </w:pPr>
    </w:p>
    <w:p>
      <w:pPr>
        <w:pStyle w:val="BodyText"/>
        <w:spacing w:line="244" w:lineRule="auto"/>
        <w:ind w:left="503" w:right="882"/>
      </w:pPr>
      <w:r>
        <w:rPr/>
        <w:t>All responsible persons and executive officers are employees of the University and remunerated directly by the University.</w:t>
      </w:r>
    </w:p>
    <w:p>
      <w:pPr>
        <w:pStyle w:val="BodyText"/>
        <w:spacing w:before="10"/>
        <w:rPr>
          <w:sz w:val="16"/>
        </w:rPr>
      </w:pPr>
    </w:p>
    <w:p>
      <w:pPr>
        <w:spacing w:after="0"/>
        <w:rPr>
          <w:sz w:val="16"/>
        </w:rPr>
        <w:sectPr>
          <w:pgSz w:w="11930" w:h="16850"/>
          <w:pgMar w:header="1275" w:footer="507" w:top="1700" w:bottom="700" w:left="900" w:right="820"/>
        </w:sectPr>
      </w:pPr>
    </w:p>
    <w:p>
      <w:pPr>
        <w:pStyle w:val="Heading9"/>
        <w:numPr>
          <w:ilvl w:val="0"/>
          <w:numId w:val="43"/>
        </w:numPr>
        <w:tabs>
          <w:tab w:pos="507" w:val="left" w:leader="none"/>
        </w:tabs>
        <w:spacing w:line="240" w:lineRule="auto" w:before="77" w:after="0"/>
        <w:ind w:left="506" w:right="0" w:hanging="398"/>
        <w:jc w:val="left"/>
      </w:pPr>
      <w:r>
        <w:rPr/>
        <w:t>Remuneration of</w:t>
      </w:r>
      <w:r>
        <w:rPr>
          <w:spacing w:val="-12"/>
        </w:rPr>
        <w:t> </w:t>
      </w:r>
      <w:r>
        <w:rPr/>
        <w:t>Auditors</w:t>
      </w:r>
    </w:p>
    <w:p>
      <w:pPr>
        <w:pStyle w:val="BodyText"/>
        <w:rPr>
          <w:b/>
        </w:rPr>
      </w:pPr>
    </w:p>
    <w:p>
      <w:pPr>
        <w:pStyle w:val="BodyText"/>
        <w:rPr>
          <w:b/>
        </w:rPr>
      </w:pPr>
    </w:p>
    <w:p>
      <w:pPr>
        <w:pStyle w:val="BodyText"/>
        <w:spacing w:before="11"/>
        <w:rPr>
          <w:b/>
          <w:sz w:val="21"/>
        </w:rPr>
      </w:pPr>
    </w:p>
    <w:p>
      <w:pPr>
        <w:pStyle w:val="BodyText"/>
        <w:ind w:left="549" w:right="-18"/>
      </w:pPr>
      <w:r>
        <w:rPr/>
        <w:t>The Audit Office of New South Wales</w:t>
      </w:r>
    </w:p>
    <w:p>
      <w:pPr>
        <w:pStyle w:val="BodyText"/>
      </w:pPr>
      <w:r>
        <w:rPr/>
        <w:br w:type="column"/>
      </w:r>
      <w:r>
        <w:rPr/>
      </w:r>
    </w:p>
    <w:p>
      <w:pPr>
        <w:pStyle w:val="Heading9"/>
        <w:spacing w:before="110"/>
        <w:ind w:left="107"/>
        <w:jc w:val="center"/>
      </w:pPr>
      <w:r>
        <w:rPr/>
        <w:t>2012</w:t>
      </w:r>
    </w:p>
    <w:p>
      <w:pPr>
        <w:spacing w:before="66"/>
        <w:ind w:left="102" w:right="0" w:firstLine="0"/>
        <w:jc w:val="center"/>
        <w:rPr>
          <w:b/>
          <w:sz w:val="18"/>
        </w:rPr>
      </w:pPr>
      <w:r>
        <w:rPr>
          <w:b/>
          <w:w w:val="99"/>
          <w:sz w:val="18"/>
        </w:rPr>
        <w:t>$</w:t>
      </w:r>
    </w:p>
    <w:p>
      <w:pPr>
        <w:pStyle w:val="BodyText"/>
        <w:rPr>
          <w:b/>
        </w:rPr>
      </w:pPr>
      <w:r>
        <w:rPr/>
        <w:br w:type="column"/>
      </w:r>
      <w:r>
        <w:rPr>
          <w:b/>
        </w:rPr>
      </w:r>
    </w:p>
    <w:p>
      <w:pPr>
        <w:spacing w:before="110"/>
        <w:ind w:left="94" w:right="581" w:firstLine="0"/>
        <w:jc w:val="center"/>
        <w:rPr>
          <w:b/>
          <w:sz w:val="18"/>
        </w:rPr>
      </w:pPr>
      <w:r>
        <w:rPr>
          <w:b/>
          <w:sz w:val="18"/>
        </w:rPr>
        <w:t>2011</w:t>
      </w:r>
    </w:p>
    <w:p>
      <w:pPr>
        <w:spacing w:before="66"/>
        <w:ind w:left="0" w:right="491" w:firstLine="0"/>
        <w:jc w:val="center"/>
        <w:rPr>
          <w:b/>
          <w:sz w:val="18"/>
        </w:rPr>
      </w:pPr>
      <w:r>
        <w:rPr>
          <w:b/>
          <w:w w:val="99"/>
          <w:sz w:val="18"/>
        </w:rPr>
        <w:t>$</w:t>
      </w:r>
    </w:p>
    <w:p>
      <w:pPr>
        <w:spacing w:after="0"/>
        <w:jc w:val="center"/>
        <w:rPr>
          <w:sz w:val="18"/>
        </w:rPr>
        <w:sectPr>
          <w:type w:val="continuous"/>
          <w:pgSz w:w="11930" w:h="16850"/>
          <w:pgMar w:top="0" w:bottom="280" w:left="900" w:right="820"/>
          <w:cols w:num="3" w:equalWidth="0">
            <w:col w:w="3523" w:space="4282"/>
            <w:col w:w="512" w:space="777"/>
            <w:col w:w="1116"/>
          </w:cols>
        </w:sectPr>
      </w:pPr>
    </w:p>
    <w:p>
      <w:pPr>
        <w:pStyle w:val="BodyText"/>
        <w:tabs>
          <w:tab w:pos="8080" w:val="left" w:leader="none"/>
          <w:tab w:pos="9378" w:val="left" w:leader="none"/>
        </w:tabs>
        <w:spacing w:before="21"/>
        <w:ind w:left="763"/>
      </w:pPr>
      <w:r>
        <w:rPr/>
        <w:pict>
          <v:group style="position:absolute;margin-left:419.899994pt;margin-top:13.048916pt;width:125.3pt;height:1pt;mso-position-horizontal-relative:page;mso-position-vertical-relative:paragraph;z-index:4360;mso-wrap-distance-left:0;mso-wrap-distance-right:0" coordorigin="8398,261" coordsize="2506,20">
            <v:line style="position:absolute" from="8404,267" to="9601,267" stroked="true" strokeweight=".6pt" strokecolor="#000000"/>
            <v:line style="position:absolute" from="8404,277" to="9601,277" stroked="true" strokeweight=".36pt" strokecolor="#000000"/>
            <v:line style="position:absolute" from="9672,267" to="10898,267" stroked="true" strokeweight=".6pt" strokecolor="#000000"/>
            <v:line style="position:absolute" from="9672,277" to="10898,277" stroked="true" strokeweight=".36pt" strokecolor="#000000"/>
            <w10:wrap type="topAndBottom"/>
          </v:group>
        </w:pict>
      </w:r>
      <w:r>
        <w:rPr/>
        <w:t>Audit of the</w:t>
      </w:r>
      <w:r>
        <w:rPr>
          <w:spacing w:val="-6"/>
        </w:rPr>
        <w:t> </w:t>
      </w:r>
      <w:r>
        <w:rPr/>
        <w:t>financial</w:t>
      </w:r>
      <w:r>
        <w:rPr>
          <w:spacing w:val="-2"/>
        </w:rPr>
        <w:t> </w:t>
      </w:r>
      <w:r>
        <w:rPr/>
        <w:t>statements</w:t>
        <w:tab/>
      </w:r>
      <w:r>
        <w:rPr>
          <w:b/>
        </w:rPr>
        <w:t>11,825</w:t>
        <w:tab/>
      </w:r>
      <w:r>
        <w:rPr/>
        <w:t>11,275</w:t>
      </w:r>
    </w:p>
    <w:p>
      <w:pPr>
        <w:pStyle w:val="Heading9"/>
        <w:spacing w:before="78"/>
        <w:ind w:left="549"/>
        <w:jc w:val="both"/>
      </w:pPr>
      <w:r>
        <w:rPr/>
        <w:t>Total remuneration for audit services</w:t>
      </w:r>
    </w:p>
    <w:p>
      <w:pPr>
        <w:tabs>
          <w:tab w:pos="7431" w:val="left" w:leader="none"/>
          <w:tab w:pos="8080" w:val="left" w:leader="none"/>
          <w:tab w:pos="9379" w:val="left" w:leader="none"/>
        </w:tabs>
        <w:spacing w:before="9"/>
        <w:ind w:left="549" w:right="0" w:firstLine="0"/>
        <w:jc w:val="both"/>
        <w:rPr>
          <w:sz w:val="18"/>
        </w:rPr>
      </w:pPr>
      <w:r>
        <w:rPr>
          <w:b/>
          <w:sz w:val="18"/>
        </w:rPr>
        <w:t>(inclusive of</w:t>
      </w:r>
      <w:r>
        <w:rPr>
          <w:b/>
          <w:spacing w:val="-3"/>
          <w:sz w:val="18"/>
        </w:rPr>
        <w:t> </w:t>
      </w:r>
      <w:r>
        <w:rPr>
          <w:b/>
          <w:sz w:val="18"/>
        </w:rPr>
        <w:t>GST)</w:t>
        <w:tab/>
      </w:r>
      <w:r>
        <w:rPr>
          <w:rFonts w:ascii="Times New Roman"/>
          <w:sz w:val="18"/>
          <w:u w:val="single"/>
        </w:rPr>
        <w:t> </w:t>
        <w:tab/>
      </w:r>
      <w:r>
        <w:rPr>
          <w:b/>
          <w:sz w:val="18"/>
          <w:u w:val="single"/>
        </w:rPr>
        <w:t>11,825</w:t>
        <w:tab/>
      </w:r>
      <w:r>
        <w:rPr>
          <w:sz w:val="18"/>
          <w:u w:val="single"/>
        </w:rPr>
        <w:t>11,275</w:t>
      </w:r>
    </w:p>
    <w:p>
      <w:pPr>
        <w:pStyle w:val="BodyText"/>
        <w:spacing w:before="9"/>
        <w:rPr>
          <w:sz w:val="25"/>
        </w:rPr>
      </w:pPr>
    </w:p>
    <w:p>
      <w:pPr>
        <w:pStyle w:val="Heading9"/>
        <w:numPr>
          <w:ilvl w:val="0"/>
          <w:numId w:val="43"/>
        </w:numPr>
        <w:tabs>
          <w:tab w:pos="504" w:val="left" w:leader="none"/>
        </w:tabs>
        <w:spacing w:line="240" w:lineRule="auto" w:before="0" w:after="0"/>
        <w:ind w:left="504" w:right="0" w:hanging="396"/>
        <w:jc w:val="left"/>
      </w:pPr>
      <w:r>
        <w:rPr/>
        <w:t>Contingencies</w:t>
      </w:r>
    </w:p>
    <w:p>
      <w:pPr>
        <w:pStyle w:val="BodyText"/>
        <w:spacing w:before="6"/>
        <w:rPr>
          <w:b/>
          <w:sz w:val="25"/>
        </w:rPr>
      </w:pPr>
    </w:p>
    <w:p>
      <w:pPr>
        <w:pStyle w:val="BodyText"/>
        <w:spacing w:line="237" w:lineRule="auto"/>
        <w:ind w:left="503" w:right="99"/>
        <w:jc w:val="both"/>
      </w:pPr>
      <w:r>
        <w:rPr/>
        <w:t>On 19 March 2012 a variation to the original licensing agreement </w:t>
      </w:r>
      <w:r>
        <w:rPr>
          <w:spacing w:val="-3"/>
        </w:rPr>
        <w:t>was </w:t>
      </w:r>
      <w:r>
        <w:rPr/>
        <w:t>entered into between Broadcast Australia Pty Ltd (BA) and TVS whereby if TVS executes an agreement with BA to extend the Digital TV Site Licence for the Gore Hill   site by 31 December 2013 for a period of 10 years commencing 1 January 2014 the licence fees for the period 1 April to 31 December 2012, which currently amounts to $284,881, will cease to be payable. The formal process of renewing the licence commenced in February</w:t>
      </w:r>
      <w:r>
        <w:rPr>
          <w:spacing w:val="-12"/>
        </w:rPr>
        <w:t> </w:t>
      </w:r>
      <w:r>
        <w:rPr/>
        <w:t>2013.</w:t>
      </w:r>
    </w:p>
    <w:p>
      <w:pPr>
        <w:spacing w:after="0" w:line="237" w:lineRule="auto"/>
        <w:jc w:val="both"/>
        <w:sectPr>
          <w:type w:val="continuous"/>
          <w:pgSz w:w="11930" w:h="16850"/>
          <w:pgMar w:top="0" w:bottom="280" w:left="900" w:right="820"/>
        </w:sectPr>
      </w:pPr>
    </w:p>
    <w:p>
      <w:pPr>
        <w:pStyle w:val="BodyText"/>
        <w:spacing w:before="10"/>
        <w:rPr>
          <w:sz w:val="23"/>
        </w:rPr>
      </w:pPr>
    </w:p>
    <w:p>
      <w:pPr>
        <w:pStyle w:val="Heading3"/>
        <w:ind w:left="348"/>
      </w:pPr>
      <w:r>
        <w:rPr/>
        <w:t>Notes to the Financial Statements</w:t>
      </w:r>
    </w:p>
    <w:p>
      <w:pPr>
        <w:spacing w:before="62"/>
        <w:ind w:left="348" w:right="125" w:firstLine="0"/>
        <w:jc w:val="left"/>
        <w:rPr>
          <w:b/>
          <w:sz w:val="28"/>
        </w:rPr>
      </w:pPr>
      <w:r>
        <w:rPr>
          <w:b/>
          <w:sz w:val="28"/>
        </w:rPr>
        <w:t>For the Year Ended 31 December</w:t>
      </w:r>
      <w:r>
        <w:rPr>
          <w:b/>
          <w:spacing w:val="-52"/>
          <w:sz w:val="28"/>
        </w:rPr>
        <w:t> </w:t>
      </w:r>
      <w:r>
        <w:rPr>
          <w:b/>
          <w:sz w:val="28"/>
        </w:rPr>
        <w:t>2012</w:t>
      </w:r>
    </w:p>
    <w:p>
      <w:pPr>
        <w:pStyle w:val="Heading9"/>
        <w:numPr>
          <w:ilvl w:val="0"/>
          <w:numId w:val="43"/>
        </w:numPr>
        <w:tabs>
          <w:tab w:pos="507" w:val="left" w:leader="none"/>
        </w:tabs>
        <w:spacing w:line="240" w:lineRule="auto" w:before="117" w:after="0"/>
        <w:ind w:left="506" w:right="0" w:hanging="398"/>
        <w:jc w:val="left"/>
      </w:pPr>
      <w:r>
        <w:rPr/>
        <w:t>Related</w:t>
      </w:r>
      <w:r>
        <w:rPr>
          <w:spacing w:val="-8"/>
        </w:rPr>
        <w:t> </w:t>
      </w:r>
      <w:r>
        <w:rPr/>
        <w:t>Parties</w:t>
      </w:r>
    </w:p>
    <w:p>
      <w:pPr>
        <w:pStyle w:val="BodyText"/>
        <w:spacing w:before="11"/>
        <w:rPr>
          <w:b/>
          <w:sz w:val="24"/>
        </w:rPr>
      </w:pPr>
    </w:p>
    <w:p>
      <w:pPr>
        <w:pStyle w:val="ListParagraph"/>
        <w:numPr>
          <w:ilvl w:val="1"/>
          <w:numId w:val="43"/>
        </w:numPr>
        <w:tabs>
          <w:tab w:pos="1061" w:val="left" w:leader="none"/>
        </w:tabs>
        <w:spacing w:line="240" w:lineRule="auto" w:before="0" w:after="0"/>
        <w:ind w:left="1060" w:right="0" w:hanging="556"/>
        <w:jc w:val="left"/>
        <w:rPr>
          <w:b/>
          <w:sz w:val="18"/>
        </w:rPr>
      </w:pPr>
      <w:r>
        <w:rPr>
          <w:b/>
          <w:sz w:val="18"/>
        </w:rPr>
        <w:t>Entities exercising control over the</w:t>
      </w:r>
      <w:r>
        <w:rPr>
          <w:b/>
          <w:spacing w:val="-12"/>
          <w:sz w:val="18"/>
        </w:rPr>
        <w:t> </w:t>
      </w:r>
      <w:r>
        <w:rPr>
          <w:b/>
          <w:sz w:val="18"/>
        </w:rPr>
        <w:t>Company</w:t>
      </w:r>
    </w:p>
    <w:p>
      <w:pPr>
        <w:pStyle w:val="BodyText"/>
        <w:spacing w:before="4"/>
        <w:rPr>
          <w:b/>
          <w:sz w:val="25"/>
        </w:rPr>
      </w:pPr>
    </w:p>
    <w:p>
      <w:pPr>
        <w:pStyle w:val="BodyText"/>
        <w:ind w:left="1072" w:right="125"/>
      </w:pPr>
      <w:r>
        <w:rPr/>
        <w:t>The ultimate parent entity of the Company is University of Western Sydney.</w:t>
      </w:r>
    </w:p>
    <w:p>
      <w:pPr>
        <w:pStyle w:val="BodyText"/>
        <w:spacing w:before="6"/>
        <w:rPr>
          <w:sz w:val="24"/>
        </w:rPr>
      </w:pPr>
    </w:p>
    <w:p>
      <w:pPr>
        <w:pStyle w:val="Heading9"/>
        <w:numPr>
          <w:ilvl w:val="1"/>
          <w:numId w:val="43"/>
        </w:numPr>
        <w:tabs>
          <w:tab w:pos="1061" w:val="left" w:leader="none"/>
        </w:tabs>
        <w:spacing w:line="240" w:lineRule="auto" w:before="0" w:after="0"/>
        <w:ind w:left="1060" w:right="0" w:hanging="556"/>
        <w:jc w:val="left"/>
      </w:pPr>
      <w:r>
        <w:rPr/>
        <w:t>Transactions with related</w:t>
      </w:r>
      <w:r>
        <w:rPr>
          <w:spacing w:val="-13"/>
        </w:rPr>
        <w:t> </w:t>
      </w:r>
      <w:r>
        <w:rPr/>
        <w:t>parties</w:t>
      </w:r>
    </w:p>
    <w:p>
      <w:pPr>
        <w:pStyle w:val="BodyText"/>
        <w:spacing w:before="2"/>
        <w:rPr>
          <w:b/>
          <w:sz w:val="25"/>
        </w:rPr>
      </w:pPr>
    </w:p>
    <w:p>
      <w:pPr>
        <w:pStyle w:val="BodyText"/>
        <w:ind w:left="1072" w:right="263"/>
      </w:pPr>
      <w:r>
        <w:rPr/>
        <w:t>Transactions between related parties are on normal commercial terms and conditions no more favourable than those available to other parties unless otherwise stated.</w:t>
      </w:r>
    </w:p>
    <w:p>
      <w:pPr>
        <w:pStyle w:val="BodyText"/>
        <w:spacing w:before="2"/>
        <w:rPr>
          <w:sz w:val="25"/>
        </w:rPr>
      </w:pPr>
    </w:p>
    <w:p>
      <w:pPr>
        <w:pStyle w:val="BodyText"/>
        <w:ind w:left="1072" w:right="125"/>
      </w:pPr>
      <w:r>
        <w:rPr/>
        <w:t>The following transactions occurred with related parties:</w:t>
      </w:r>
    </w:p>
    <w:p>
      <w:pPr>
        <w:pStyle w:val="BodyText"/>
        <w:rPr>
          <w:sz w:val="20"/>
        </w:rPr>
      </w:pPr>
    </w:p>
    <w:p>
      <w:pPr>
        <w:pStyle w:val="BodyText"/>
        <w:spacing w:before="7"/>
        <w:rPr>
          <w:sz w:val="21"/>
        </w:rPr>
      </w:pPr>
    </w:p>
    <w:p>
      <w:pPr>
        <w:spacing w:after="0"/>
        <w:rPr>
          <w:sz w:val="21"/>
        </w:rPr>
        <w:sectPr>
          <w:pgSz w:w="11930" w:h="16850"/>
          <w:pgMar w:header="1275" w:footer="507" w:top="1700" w:bottom="700" w:left="900" w:right="880"/>
        </w:sectPr>
      </w:pPr>
    </w:p>
    <w:p>
      <w:pPr>
        <w:pStyle w:val="ListParagraph"/>
        <w:numPr>
          <w:ilvl w:val="2"/>
          <w:numId w:val="43"/>
        </w:numPr>
        <w:tabs>
          <w:tab w:pos="1287" w:val="left" w:leader="none"/>
        </w:tabs>
        <w:spacing w:line="240" w:lineRule="auto" w:before="77" w:after="0"/>
        <w:ind w:left="1286" w:right="0" w:hanging="211"/>
        <w:jc w:val="left"/>
        <w:rPr>
          <w:i/>
          <w:sz w:val="18"/>
        </w:rPr>
      </w:pPr>
      <w:r>
        <w:rPr>
          <w:i/>
          <w:sz w:val="18"/>
        </w:rPr>
        <w:t>) Purchase of goods and services</w:t>
      </w:r>
    </w:p>
    <w:p>
      <w:pPr>
        <w:pStyle w:val="BodyText"/>
        <w:rPr>
          <w:i/>
        </w:rPr>
      </w:pPr>
    </w:p>
    <w:p>
      <w:pPr>
        <w:pStyle w:val="BodyText"/>
        <w:rPr>
          <w:i/>
        </w:rPr>
      </w:pPr>
    </w:p>
    <w:p>
      <w:pPr>
        <w:pStyle w:val="BodyText"/>
        <w:spacing w:before="8"/>
        <w:rPr>
          <w:i/>
          <w:sz w:val="21"/>
        </w:rPr>
      </w:pPr>
    </w:p>
    <w:p>
      <w:pPr>
        <w:pStyle w:val="BodyText"/>
        <w:ind w:left="1171"/>
      </w:pPr>
      <w:r>
        <w:rPr/>
        <w:t>Ultimate parent</w:t>
      </w:r>
    </w:p>
    <w:p>
      <w:pPr>
        <w:pStyle w:val="BodyText"/>
      </w:pPr>
      <w:r>
        <w:rPr/>
        <w:br w:type="column"/>
      </w:r>
      <w:r>
        <w:rPr/>
      </w:r>
    </w:p>
    <w:p>
      <w:pPr>
        <w:pStyle w:val="Heading9"/>
        <w:spacing w:before="108"/>
        <w:ind w:left="0"/>
        <w:jc w:val="right"/>
      </w:pPr>
      <w:r>
        <w:rPr/>
        <w:t>2012</w:t>
      </w:r>
    </w:p>
    <w:p>
      <w:pPr>
        <w:spacing w:before="64"/>
        <w:ind w:left="0" w:right="152" w:firstLine="0"/>
        <w:jc w:val="right"/>
        <w:rPr>
          <w:b/>
          <w:sz w:val="18"/>
        </w:rPr>
      </w:pPr>
      <w:r>
        <w:rPr>
          <w:b/>
          <w:w w:val="99"/>
          <w:sz w:val="18"/>
        </w:rPr>
        <w:t>$</w:t>
      </w:r>
    </w:p>
    <w:p>
      <w:pPr>
        <w:pStyle w:val="BodyText"/>
        <w:rPr>
          <w:b/>
        </w:rPr>
      </w:pPr>
      <w:r>
        <w:rPr/>
        <w:br w:type="column"/>
      </w:r>
      <w:r>
        <w:rPr>
          <w:b/>
        </w:rPr>
      </w:r>
    </w:p>
    <w:p>
      <w:pPr>
        <w:spacing w:before="108"/>
        <w:ind w:left="830" w:right="521" w:firstLine="0"/>
        <w:jc w:val="center"/>
        <w:rPr>
          <w:b/>
          <w:sz w:val="18"/>
        </w:rPr>
      </w:pPr>
      <w:r>
        <w:rPr>
          <w:b/>
          <w:sz w:val="18"/>
        </w:rPr>
        <w:t>2011</w:t>
      </w:r>
    </w:p>
    <w:p>
      <w:pPr>
        <w:spacing w:before="64"/>
        <w:ind w:left="304" w:right="0" w:firstLine="0"/>
        <w:jc w:val="center"/>
        <w:rPr>
          <w:b/>
          <w:sz w:val="18"/>
        </w:rPr>
      </w:pPr>
      <w:r>
        <w:rPr>
          <w:b/>
          <w:w w:val="99"/>
          <w:sz w:val="18"/>
        </w:rPr>
        <w:t>$</w:t>
      </w:r>
    </w:p>
    <w:p>
      <w:pPr>
        <w:spacing w:after="0"/>
        <w:jc w:val="center"/>
        <w:rPr>
          <w:sz w:val="18"/>
        </w:rPr>
        <w:sectPr>
          <w:type w:val="continuous"/>
          <w:pgSz w:w="11930" w:h="16850"/>
          <w:pgMar w:top="0" w:bottom="280" w:left="900" w:right="880"/>
          <w:cols w:num="3" w:equalWidth="0">
            <w:col w:w="3847" w:space="2991"/>
            <w:col w:w="1479" w:space="40"/>
            <w:col w:w="1793"/>
          </w:cols>
        </w:sectPr>
      </w:pPr>
    </w:p>
    <w:p>
      <w:pPr>
        <w:pStyle w:val="BodyText"/>
        <w:spacing w:before="1"/>
        <w:rPr>
          <w:b/>
          <w:sz w:val="3"/>
        </w:rPr>
      </w:pPr>
    </w:p>
    <w:tbl>
      <w:tblPr>
        <w:tblW w:w="0" w:type="auto"/>
        <w:jc w:val="left"/>
        <w:tblInd w:w="135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78"/>
        <w:gridCol w:w="1559"/>
        <w:gridCol w:w="1036"/>
      </w:tblGrid>
      <w:tr>
        <w:trPr>
          <w:trHeight w:val="233" w:hRule="exact"/>
        </w:trPr>
        <w:tc>
          <w:tcPr>
            <w:tcW w:w="6078" w:type="dxa"/>
          </w:tcPr>
          <w:p>
            <w:pPr>
              <w:pStyle w:val="TableParagraph"/>
              <w:spacing w:line="190" w:lineRule="exact"/>
              <w:ind w:left="35"/>
              <w:rPr>
                <w:sz w:val="18"/>
              </w:rPr>
            </w:pPr>
            <w:r>
              <w:rPr>
                <w:sz w:val="18"/>
              </w:rPr>
              <w:t>Operating expenses</w:t>
            </w:r>
          </w:p>
        </w:tc>
        <w:tc>
          <w:tcPr>
            <w:tcW w:w="1559" w:type="dxa"/>
          </w:tcPr>
          <w:p>
            <w:pPr>
              <w:pStyle w:val="TableParagraph"/>
              <w:spacing w:line="190" w:lineRule="exact"/>
              <w:ind w:right="354"/>
              <w:jc w:val="right"/>
              <w:rPr>
                <w:b/>
                <w:sz w:val="18"/>
              </w:rPr>
            </w:pPr>
            <w:r>
              <w:rPr>
                <w:b/>
                <w:sz w:val="18"/>
              </w:rPr>
              <w:t>155,094</w:t>
            </w:r>
          </w:p>
        </w:tc>
        <w:tc>
          <w:tcPr>
            <w:tcW w:w="1036" w:type="dxa"/>
          </w:tcPr>
          <w:p>
            <w:pPr>
              <w:pStyle w:val="TableParagraph"/>
              <w:spacing w:line="190" w:lineRule="exact"/>
              <w:ind w:right="89"/>
              <w:jc w:val="right"/>
              <w:rPr>
                <w:sz w:val="18"/>
              </w:rPr>
            </w:pPr>
            <w:r>
              <w:rPr>
                <w:sz w:val="18"/>
              </w:rPr>
              <w:t>579,260</w:t>
            </w:r>
          </w:p>
        </w:tc>
      </w:tr>
      <w:tr>
        <w:trPr>
          <w:trHeight w:val="268" w:hRule="exact"/>
        </w:trPr>
        <w:tc>
          <w:tcPr>
            <w:tcW w:w="6078" w:type="dxa"/>
          </w:tcPr>
          <w:p>
            <w:pPr>
              <w:pStyle w:val="TableParagraph"/>
              <w:spacing w:before="24"/>
              <w:ind w:left="35"/>
              <w:rPr>
                <w:sz w:val="18"/>
              </w:rPr>
            </w:pPr>
            <w:r>
              <w:rPr>
                <w:sz w:val="18"/>
              </w:rPr>
              <w:t>Interest expense</w:t>
            </w:r>
          </w:p>
        </w:tc>
        <w:tc>
          <w:tcPr>
            <w:tcW w:w="1559" w:type="dxa"/>
            <w:tcBorders>
              <w:bottom w:val="single" w:sz="8" w:space="0" w:color="000000"/>
            </w:tcBorders>
          </w:tcPr>
          <w:p>
            <w:pPr>
              <w:pStyle w:val="TableParagraph"/>
              <w:spacing w:before="24"/>
              <w:ind w:right="355"/>
              <w:jc w:val="right"/>
              <w:rPr>
                <w:b/>
                <w:sz w:val="18"/>
              </w:rPr>
            </w:pPr>
            <w:r>
              <w:rPr>
                <w:b/>
                <w:sz w:val="18"/>
              </w:rPr>
              <w:t>73,847</w:t>
            </w:r>
          </w:p>
        </w:tc>
        <w:tc>
          <w:tcPr>
            <w:tcW w:w="1036" w:type="dxa"/>
            <w:tcBorders>
              <w:bottom w:val="single" w:sz="8" w:space="0" w:color="000000"/>
            </w:tcBorders>
          </w:tcPr>
          <w:p>
            <w:pPr>
              <w:pStyle w:val="TableParagraph"/>
              <w:spacing w:before="24"/>
              <w:ind w:right="103"/>
              <w:jc w:val="right"/>
              <w:rPr>
                <w:sz w:val="18"/>
              </w:rPr>
            </w:pPr>
            <w:r>
              <w:rPr>
                <w:w w:val="99"/>
                <w:sz w:val="18"/>
              </w:rPr>
              <w:t>-</w:t>
            </w:r>
          </w:p>
        </w:tc>
      </w:tr>
      <w:tr>
        <w:trPr>
          <w:trHeight w:val="338" w:hRule="exact"/>
        </w:trPr>
        <w:tc>
          <w:tcPr>
            <w:tcW w:w="6078" w:type="dxa"/>
          </w:tcPr>
          <w:p>
            <w:pPr/>
          </w:p>
        </w:tc>
        <w:tc>
          <w:tcPr>
            <w:tcW w:w="1559" w:type="dxa"/>
            <w:tcBorders>
              <w:top w:val="single" w:sz="8" w:space="0" w:color="000000"/>
              <w:bottom w:val="single" w:sz="8" w:space="0" w:color="000000"/>
            </w:tcBorders>
          </w:tcPr>
          <w:p>
            <w:pPr>
              <w:pStyle w:val="TableParagraph"/>
              <w:spacing w:before="113"/>
              <w:ind w:right="289"/>
              <w:jc w:val="right"/>
              <w:rPr>
                <w:b/>
                <w:sz w:val="18"/>
              </w:rPr>
            </w:pPr>
            <w:r>
              <w:rPr>
                <w:b/>
                <w:sz w:val="18"/>
              </w:rPr>
              <w:t>228,941</w:t>
            </w:r>
          </w:p>
        </w:tc>
        <w:tc>
          <w:tcPr>
            <w:tcW w:w="1036" w:type="dxa"/>
            <w:tcBorders>
              <w:top w:val="single" w:sz="8" w:space="0" w:color="000000"/>
              <w:bottom w:val="single" w:sz="8" w:space="0" w:color="000000"/>
            </w:tcBorders>
          </w:tcPr>
          <w:p>
            <w:pPr>
              <w:pStyle w:val="TableParagraph"/>
              <w:spacing w:before="113"/>
              <w:ind w:right="46"/>
              <w:jc w:val="right"/>
              <w:rPr>
                <w:sz w:val="18"/>
              </w:rPr>
            </w:pPr>
            <w:r>
              <w:rPr>
                <w:sz w:val="18"/>
              </w:rPr>
              <w:t>579,260</w:t>
            </w:r>
          </w:p>
        </w:tc>
      </w:tr>
    </w:tbl>
    <w:p>
      <w:pPr>
        <w:pStyle w:val="BodyText"/>
        <w:spacing w:before="11"/>
        <w:rPr>
          <w:b/>
          <w:sz w:val="16"/>
        </w:rPr>
      </w:pPr>
    </w:p>
    <w:p>
      <w:pPr>
        <w:spacing w:after="0"/>
        <w:rPr>
          <w:sz w:val="16"/>
        </w:rPr>
        <w:sectPr>
          <w:type w:val="continuous"/>
          <w:pgSz w:w="11930" w:h="16850"/>
          <w:pgMar w:top="0" w:bottom="280" w:left="900" w:right="880"/>
        </w:sectPr>
      </w:pPr>
    </w:p>
    <w:p>
      <w:pPr>
        <w:pStyle w:val="ListParagraph"/>
        <w:numPr>
          <w:ilvl w:val="2"/>
          <w:numId w:val="43"/>
        </w:numPr>
        <w:tabs>
          <w:tab w:pos="1328" w:val="left" w:leader="none"/>
        </w:tabs>
        <w:spacing w:line="240" w:lineRule="auto" w:before="77" w:after="0"/>
        <w:ind w:left="1327" w:right="0" w:hanging="252"/>
        <w:jc w:val="left"/>
        <w:rPr>
          <w:i/>
          <w:sz w:val="18"/>
        </w:rPr>
      </w:pPr>
      <w:r>
        <w:rPr>
          <w:i/>
          <w:sz w:val="18"/>
        </w:rPr>
        <w:t>Sale of goods and</w:t>
      </w:r>
      <w:r>
        <w:rPr>
          <w:i/>
          <w:spacing w:val="-14"/>
          <w:sz w:val="18"/>
        </w:rPr>
        <w:t> </w:t>
      </w:r>
      <w:r>
        <w:rPr>
          <w:i/>
          <w:sz w:val="18"/>
        </w:rPr>
        <w:t>services</w:t>
      </w:r>
    </w:p>
    <w:p>
      <w:pPr>
        <w:pStyle w:val="BodyText"/>
        <w:rPr>
          <w:i/>
        </w:rPr>
      </w:pPr>
      <w:r>
        <w:rPr/>
        <w:br w:type="column"/>
      </w:r>
      <w:r>
        <w:rPr>
          <w:i/>
        </w:rPr>
      </w:r>
    </w:p>
    <w:p>
      <w:pPr>
        <w:pStyle w:val="Heading9"/>
        <w:spacing w:before="110"/>
        <w:ind w:left="0"/>
        <w:jc w:val="right"/>
      </w:pPr>
      <w:r>
        <w:rPr/>
        <w:t>2012</w:t>
      </w:r>
    </w:p>
    <w:p>
      <w:pPr>
        <w:spacing w:before="64"/>
        <w:ind w:left="0" w:right="152" w:firstLine="0"/>
        <w:jc w:val="right"/>
        <w:rPr>
          <w:b/>
          <w:sz w:val="18"/>
        </w:rPr>
      </w:pPr>
      <w:r>
        <w:rPr>
          <w:b/>
          <w:w w:val="99"/>
          <w:sz w:val="18"/>
        </w:rPr>
        <w:t>$</w:t>
      </w:r>
    </w:p>
    <w:p>
      <w:pPr>
        <w:pStyle w:val="BodyText"/>
        <w:rPr>
          <w:b/>
        </w:rPr>
      </w:pPr>
      <w:r>
        <w:rPr/>
        <w:br w:type="column"/>
      </w:r>
      <w:r>
        <w:rPr>
          <w:b/>
        </w:rPr>
      </w:r>
    </w:p>
    <w:p>
      <w:pPr>
        <w:spacing w:before="110"/>
        <w:ind w:left="830" w:right="521" w:firstLine="0"/>
        <w:jc w:val="center"/>
        <w:rPr>
          <w:b/>
          <w:sz w:val="18"/>
        </w:rPr>
      </w:pPr>
      <w:r>
        <w:rPr>
          <w:b/>
          <w:sz w:val="18"/>
        </w:rPr>
        <w:t>2011</w:t>
      </w:r>
    </w:p>
    <w:p>
      <w:pPr>
        <w:spacing w:before="64"/>
        <w:ind w:left="304" w:right="0" w:firstLine="0"/>
        <w:jc w:val="center"/>
        <w:rPr>
          <w:b/>
          <w:sz w:val="18"/>
        </w:rPr>
      </w:pPr>
      <w:r>
        <w:rPr>
          <w:b/>
          <w:w w:val="99"/>
          <w:sz w:val="18"/>
        </w:rPr>
        <w:t>$</w:t>
      </w:r>
    </w:p>
    <w:p>
      <w:pPr>
        <w:spacing w:after="0"/>
        <w:jc w:val="center"/>
        <w:rPr>
          <w:sz w:val="18"/>
        </w:rPr>
        <w:sectPr>
          <w:type w:val="continuous"/>
          <w:pgSz w:w="11930" w:h="16850"/>
          <w:pgMar w:top="0" w:bottom="280" w:left="900" w:right="880"/>
          <w:cols w:num="3" w:equalWidth="0">
            <w:col w:w="3487" w:space="3351"/>
            <w:col w:w="1479" w:space="40"/>
            <w:col w:w="1793"/>
          </w:cols>
        </w:sectPr>
      </w:pPr>
    </w:p>
    <w:p>
      <w:pPr>
        <w:pStyle w:val="BodyText"/>
        <w:spacing w:before="155"/>
        <w:ind w:left="1171" w:right="125"/>
      </w:pPr>
      <w:r>
        <w:rPr/>
        <w:t>Ultimate parent</w:t>
      </w:r>
    </w:p>
    <w:p>
      <w:pPr>
        <w:pStyle w:val="BodyText"/>
        <w:tabs>
          <w:tab w:pos="7192" w:val="left" w:leader="none"/>
          <w:tab w:pos="7991" w:val="left" w:leader="none"/>
        </w:tabs>
        <w:spacing w:before="18"/>
        <w:ind w:right="208"/>
        <w:jc w:val="right"/>
      </w:pPr>
      <w:r>
        <w:rPr/>
        <w:t>DVD</w:t>
      </w:r>
      <w:r>
        <w:rPr>
          <w:spacing w:val="-2"/>
        </w:rPr>
        <w:t> </w:t>
      </w:r>
      <w:r>
        <w:rPr/>
        <w:t>production</w:t>
        <w:tab/>
      </w:r>
      <w:r>
        <w:rPr>
          <w:b/>
        </w:rPr>
        <w:t>-</w:t>
        <w:tab/>
      </w:r>
      <w:r>
        <w:rPr>
          <w:spacing w:val="-1"/>
        </w:rPr>
        <w:t>21,791</w:t>
      </w:r>
    </w:p>
    <w:p>
      <w:pPr>
        <w:pStyle w:val="BodyText"/>
        <w:tabs>
          <w:tab w:pos="7192" w:val="left" w:leader="none"/>
          <w:tab w:pos="8092" w:val="left" w:leader="none"/>
        </w:tabs>
        <w:spacing w:before="66"/>
        <w:ind w:right="205"/>
        <w:jc w:val="right"/>
      </w:pPr>
      <w:r>
        <w:rPr/>
        <w:pict>
          <v:group style="position:absolute;margin-left:416.125pt;margin-top:14.875894pt;width:130.5pt;height:1pt;mso-position-horizontal-relative:page;mso-position-vertical-relative:paragraph;z-index:4384;mso-wrap-distance-left:0;mso-wrap-distance-right:0" coordorigin="8323,298" coordsize="2610,20">
            <v:line style="position:absolute" from="8330,304" to="9628,304" stroked="true" strokeweight=".6pt" strokecolor="#000000"/>
            <v:line style="position:absolute" from="8330,310" to="10925,310" stroked="true" strokeweight=".72pt" strokecolor="#000000"/>
            <v:line style="position:absolute" from="9628,304" to="10925,304" stroked="true" strokeweight=".6pt" strokecolor="#000000"/>
            <v:line style="position:absolute" from="9628,314" to="10925,314" stroked="true" strokeweight=".36pt" strokecolor="#000000"/>
            <w10:wrap type="topAndBottom"/>
          </v:group>
        </w:pict>
      </w:r>
      <w:r>
        <w:rPr/>
        <w:t>Deposit</w:t>
        <w:tab/>
      </w:r>
      <w:r>
        <w:rPr>
          <w:b/>
        </w:rPr>
        <w:t>-</w:t>
        <w:tab/>
      </w:r>
      <w:r>
        <w:rPr>
          <w:w w:val="95"/>
        </w:rPr>
        <w:t>9,000</w:t>
      </w:r>
    </w:p>
    <w:p>
      <w:pPr>
        <w:tabs>
          <w:tab w:pos="799" w:val="left" w:leader="none"/>
        </w:tabs>
        <w:spacing w:before="86"/>
        <w:ind w:left="0" w:right="162" w:firstLine="0"/>
        <w:jc w:val="right"/>
        <w:rPr>
          <w:sz w:val="18"/>
        </w:rPr>
      </w:pPr>
      <w:r>
        <w:rPr>
          <w:b/>
          <w:sz w:val="18"/>
        </w:rPr>
        <w:t>-</w:t>
        <w:tab/>
      </w:r>
      <w:r>
        <w:rPr>
          <w:spacing w:val="-1"/>
          <w:sz w:val="18"/>
        </w:rPr>
        <w:t>30,791</w:t>
      </w:r>
    </w:p>
    <w:p>
      <w:pPr>
        <w:pStyle w:val="BodyText"/>
        <w:spacing w:line="20" w:lineRule="exact"/>
        <w:ind w:left="7422"/>
        <w:rPr>
          <w:sz w:val="2"/>
        </w:rPr>
      </w:pPr>
      <w:r>
        <w:rPr>
          <w:sz w:val="2"/>
        </w:rPr>
        <w:pict>
          <v:group style="width:130.5pt;height:1pt;mso-position-horizontal-relative:char;mso-position-vertical-relative:line" coordorigin="0,0" coordsize="2610,20">
            <v:line style="position:absolute" from="8,6" to="1306,6" stroked="true" strokeweight=".6pt" strokecolor="#000000"/>
            <v:line style="position:absolute" from="8,12" to="2603,12" stroked="true" strokeweight=".72pt" strokecolor="#000000"/>
            <v:line style="position:absolute" from="1306,6" to="2603,6" stroked="true" strokeweight=".6pt" strokecolor="#000000"/>
            <v:line style="position:absolute" from="1306,16" to="2603,16" stroked="true" strokeweight=".36pt" strokecolor="#000000"/>
          </v:group>
        </w:pict>
      </w:r>
      <w:r>
        <w:rPr>
          <w:sz w:val="2"/>
        </w:rPr>
      </w:r>
    </w:p>
    <w:p>
      <w:pPr>
        <w:pStyle w:val="BodyText"/>
        <w:spacing w:before="6"/>
        <w:rPr>
          <w:sz w:val="17"/>
        </w:rPr>
      </w:pPr>
    </w:p>
    <w:p>
      <w:pPr>
        <w:spacing w:after="0"/>
        <w:rPr>
          <w:sz w:val="17"/>
        </w:rPr>
        <w:sectPr>
          <w:type w:val="continuous"/>
          <w:pgSz w:w="11930" w:h="16850"/>
          <w:pgMar w:top="0" w:bottom="280" w:left="900" w:right="880"/>
        </w:sectPr>
      </w:pPr>
    </w:p>
    <w:p>
      <w:pPr>
        <w:pStyle w:val="ListParagraph"/>
        <w:numPr>
          <w:ilvl w:val="2"/>
          <w:numId w:val="43"/>
        </w:numPr>
        <w:tabs>
          <w:tab w:pos="1366" w:val="left" w:leader="none"/>
        </w:tabs>
        <w:spacing w:line="240" w:lineRule="auto" w:before="78" w:after="0"/>
        <w:ind w:left="1365" w:right="0" w:hanging="290"/>
        <w:jc w:val="left"/>
        <w:rPr>
          <w:i/>
          <w:sz w:val="18"/>
        </w:rPr>
      </w:pPr>
      <w:r>
        <w:rPr>
          <w:i/>
          <w:sz w:val="18"/>
        </w:rPr>
        <w:t>Outstanding balance arising from sale/purchase of goods and</w:t>
      </w:r>
      <w:r>
        <w:rPr>
          <w:i/>
          <w:spacing w:val="-31"/>
          <w:sz w:val="18"/>
        </w:rPr>
        <w:t> </w:t>
      </w:r>
      <w:r>
        <w:rPr>
          <w:i/>
          <w:sz w:val="18"/>
        </w:rPr>
        <w:t>services</w:t>
      </w:r>
    </w:p>
    <w:p>
      <w:pPr>
        <w:pStyle w:val="BodyText"/>
        <w:rPr>
          <w:i/>
        </w:rPr>
      </w:pPr>
      <w:r>
        <w:rPr/>
        <w:br w:type="column"/>
      </w:r>
      <w:r>
        <w:rPr>
          <w:i/>
        </w:rPr>
      </w:r>
    </w:p>
    <w:p>
      <w:pPr>
        <w:pStyle w:val="Heading9"/>
        <w:spacing w:before="111"/>
        <w:ind w:left="0"/>
        <w:jc w:val="right"/>
      </w:pPr>
      <w:r>
        <w:rPr/>
        <w:t>2012</w:t>
      </w:r>
    </w:p>
    <w:p>
      <w:pPr>
        <w:spacing w:before="64"/>
        <w:ind w:left="0" w:right="152" w:firstLine="0"/>
        <w:jc w:val="right"/>
        <w:rPr>
          <w:b/>
          <w:sz w:val="18"/>
        </w:rPr>
      </w:pPr>
      <w:r>
        <w:rPr>
          <w:b/>
          <w:w w:val="99"/>
          <w:sz w:val="18"/>
        </w:rPr>
        <w:t>$</w:t>
      </w:r>
    </w:p>
    <w:p>
      <w:pPr>
        <w:pStyle w:val="BodyText"/>
        <w:rPr>
          <w:b/>
        </w:rPr>
      </w:pPr>
      <w:r>
        <w:rPr/>
        <w:br w:type="column"/>
      </w:r>
      <w:r>
        <w:rPr>
          <w:b/>
        </w:rPr>
      </w:r>
    </w:p>
    <w:p>
      <w:pPr>
        <w:spacing w:before="111"/>
        <w:ind w:left="830" w:right="521" w:firstLine="0"/>
        <w:jc w:val="center"/>
        <w:rPr>
          <w:b/>
          <w:sz w:val="18"/>
        </w:rPr>
      </w:pPr>
      <w:r>
        <w:rPr>
          <w:b/>
          <w:sz w:val="18"/>
        </w:rPr>
        <w:t>2011</w:t>
      </w:r>
    </w:p>
    <w:p>
      <w:pPr>
        <w:spacing w:before="64"/>
        <w:ind w:left="304" w:right="0" w:firstLine="0"/>
        <w:jc w:val="center"/>
        <w:rPr>
          <w:b/>
          <w:sz w:val="18"/>
        </w:rPr>
      </w:pPr>
      <w:r>
        <w:rPr>
          <w:b/>
          <w:w w:val="99"/>
          <w:sz w:val="18"/>
        </w:rPr>
        <w:t>$</w:t>
      </w:r>
    </w:p>
    <w:p>
      <w:pPr>
        <w:spacing w:after="0"/>
        <w:jc w:val="center"/>
        <w:rPr>
          <w:sz w:val="18"/>
        </w:rPr>
        <w:sectPr>
          <w:type w:val="continuous"/>
          <w:pgSz w:w="11930" w:h="16850"/>
          <w:pgMar w:top="0" w:bottom="280" w:left="900" w:right="880"/>
          <w:cols w:num="3" w:equalWidth="0">
            <w:col w:w="6979" w:space="40"/>
            <w:col w:w="1298" w:space="40"/>
            <w:col w:w="1793"/>
          </w:cols>
        </w:sectPr>
      </w:pPr>
    </w:p>
    <w:p>
      <w:pPr>
        <w:pStyle w:val="BodyText"/>
        <w:spacing w:before="155"/>
        <w:ind w:left="1171" w:right="125"/>
      </w:pPr>
      <w:r>
        <w:rPr/>
        <w:t>Current receivables</w:t>
      </w:r>
    </w:p>
    <w:p>
      <w:pPr>
        <w:pStyle w:val="BodyText"/>
        <w:tabs>
          <w:tab w:pos="8579" w:val="left" w:leader="none"/>
          <w:tab w:pos="9379" w:val="left" w:leader="none"/>
        </w:tabs>
        <w:spacing w:before="28"/>
        <w:ind w:left="1336" w:right="125"/>
      </w:pPr>
      <w:r>
        <w:rPr/>
        <w:pict>
          <v:group style="position:absolute;margin-left:416.125pt;margin-top:12.958889pt;width:130.5pt;height:1pt;mso-position-horizontal-relative:page;mso-position-vertical-relative:paragraph;z-index:4432;mso-wrap-distance-left:0;mso-wrap-distance-right:0" coordorigin="8323,259" coordsize="2610,20">
            <v:line style="position:absolute" from="8330,265" to="9628,265" stroked="true" strokeweight=".6pt" strokecolor="#000000"/>
            <v:line style="position:absolute" from="8330,271" to="10925,271" stroked="true" strokeweight=".72pt" strokecolor="#000000"/>
            <v:line style="position:absolute" from="9628,265" to="10925,265" stroked="true" strokeweight=".6pt" strokecolor="#000000"/>
            <v:line style="position:absolute" from="9628,275" to="10925,275" stroked="true" strokeweight=".36pt" strokecolor="#000000"/>
            <w10:wrap type="topAndBottom"/>
          </v:group>
        </w:pict>
      </w:r>
      <w:r>
        <w:rPr/>
        <w:t>Ultimate</w:t>
      </w:r>
      <w:r>
        <w:rPr>
          <w:spacing w:val="-1"/>
        </w:rPr>
        <w:t> </w:t>
      </w:r>
      <w:r>
        <w:rPr/>
        <w:t>parent</w:t>
      </w:r>
      <w:r>
        <w:rPr>
          <w:spacing w:val="-4"/>
        </w:rPr>
        <w:t> </w:t>
      </w:r>
      <w:r>
        <w:rPr/>
        <w:t>entity</w:t>
        <w:tab/>
      </w:r>
      <w:r>
        <w:rPr>
          <w:b/>
        </w:rPr>
        <w:t>-</w:t>
        <w:tab/>
      </w:r>
      <w:r>
        <w:rPr/>
        <w:t>30,791</w:t>
      </w:r>
    </w:p>
    <w:p>
      <w:pPr>
        <w:pStyle w:val="BodyText"/>
      </w:pPr>
    </w:p>
    <w:p>
      <w:pPr>
        <w:pStyle w:val="BodyText"/>
        <w:spacing w:before="158"/>
        <w:ind w:left="1120" w:right="125"/>
      </w:pPr>
      <w:r>
        <w:rPr/>
        <w:t>Non-current payables</w:t>
      </w:r>
    </w:p>
    <w:p>
      <w:pPr>
        <w:tabs>
          <w:tab w:pos="7840" w:val="left" w:leader="none"/>
          <w:tab w:pos="9119" w:val="left" w:leader="none"/>
        </w:tabs>
        <w:spacing w:before="25"/>
        <w:ind w:left="1336" w:right="125" w:firstLine="0"/>
        <w:jc w:val="left"/>
        <w:rPr>
          <w:sz w:val="18"/>
        </w:rPr>
      </w:pPr>
      <w:r>
        <w:rPr/>
        <w:pict>
          <v:group style="position:absolute;margin-left:416.125pt;margin-top:13.194888pt;width:130.5pt;height:1pt;mso-position-horizontal-relative:page;mso-position-vertical-relative:paragraph;z-index:4456;mso-wrap-distance-left:0;mso-wrap-distance-right:0" coordorigin="8323,264" coordsize="2610,20">
            <v:line style="position:absolute" from="8330,270" to="9628,270" stroked="true" strokeweight=".6pt" strokecolor="#000000"/>
            <v:line style="position:absolute" from="8330,276" to="10925,276" stroked="true" strokeweight=".72pt" strokecolor="#000000"/>
            <v:line style="position:absolute" from="9628,270" to="10925,270" stroked="true" strokeweight=".6pt" strokecolor="#000000"/>
            <v:line style="position:absolute" from="9628,280" to="10925,280" stroked="true" strokeweight=".36pt" strokecolor="#000000"/>
            <w10:wrap type="topAndBottom"/>
          </v:group>
        </w:pict>
      </w:r>
      <w:r>
        <w:rPr>
          <w:sz w:val="18"/>
        </w:rPr>
        <w:t>Ultimate</w:t>
      </w:r>
      <w:r>
        <w:rPr>
          <w:spacing w:val="-1"/>
          <w:sz w:val="18"/>
        </w:rPr>
        <w:t> </w:t>
      </w:r>
      <w:r>
        <w:rPr>
          <w:sz w:val="18"/>
        </w:rPr>
        <w:t>parent</w:t>
      </w:r>
      <w:r>
        <w:rPr>
          <w:spacing w:val="-4"/>
          <w:sz w:val="18"/>
        </w:rPr>
        <w:t> </w:t>
      </w:r>
      <w:r>
        <w:rPr>
          <w:sz w:val="18"/>
        </w:rPr>
        <w:t>entity</w:t>
        <w:tab/>
      </w:r>
      <w:r>
        <w:rPr>
          <w:b/>
          <w:sz w:val="18"/>
        </w:rPr>
        <w:t>5,320,284</w:t>
        <w:tab/>
      </w:r>
      <w:r>
        <w:rPr>
          <w:sz w:val="18"/>
        </w:rPr>
        <w:t>5,091,343</w:t>
      </w:r>
    </w:p>
    <w:p>
      <w:pPr>
        <w:spacing w:after="0"/>
        <w:jc w:val="left"/>
        <w:rPr>
          <w:sz w:val="18"/>
        </w:rPr>
        <w:sectPr>
          <w:type w:val="continuous"/>
          <w:pgSz w:w="11930" w:h="16850"/>
          <w:pgMar w:top="0" w:bottom="280" w:left="900" w:right="880"/>
        </w:sectPr>
      </w:pPr>
    </w:p>
    <w:p>
      <w:pPr>
        <w:pStyle w:val="BodyText"/>
        <w:spacing w:before="10"/>
        <w:rPr>
          <w:sz w:val="23"/>
        </w:rPr>
      </w:pPr>
    </w:p>
    <w:p>
      <w:pPr>
        <w:pStyle w:val="Heading3"/>
        <w:ind w:left="348"/>
      </w:pPr>
      <w:r>
        <w:rPr/>
        <w:t>Notes to the Financial Statements</w:t>
      </w:r>
    </w:p>
    <w:p>
      <w:pPr>
        <w:spacing w:before="62"/>
        <w:ind w:left="348" w:right="125" w:firstLine="0"/>
        <w:jc w:val="left"/>
        <w:rPr>
          <w:b/>
          <w:sz w:val="28"/>
        </w:rPr>
      </w:pPr>
      <w:r>
        <w:rPr>
          <w:b/>
          <w:sz w:val="28"/>
        </w:rPr>
        <w:t>For the Year Ended 31 December</w:t>
      </w:r>
      <w:r>
        <w:rPr>
          <w:b/>
          <w:spacing w:val="-52"/>
          <w:sz w:val="28"/>
        </w:rPr>
        <w:t> </w:t>
      </w:r>
      <w:r>
        <w:rPr>
          <w:b/>
          <w:sz w:val="28"/>
        </w:rPr>
        <w:t>2012</w:t>
      </w:r>
    </w:p>
    <w:p>
      <w:pPr>
        <w:pStyle w:val="BodyText"/>
        <w:spacing w:before="6"/>
        <w:rPr>
          <w:b/>
          <w:sz w:val="28"/>
        </w:rPr>
      </w:pPr>
    </w:p>
    <w:p>
      <w:pPr>
        <w:pStyle w:val="Heading9"/>
        <w:numPr>
          <w:ilvl w:val="0"/>
          <w:numId w:val="43"/>
        </w:numPr>
        <w:tabs>
          <w:tab w:pos="507" w:val="left" w:leader="none"/>
        </w:tabs>
        <w:spacing w:line="240" w:lineRule="auto" w:before="77" w:after="0"/>
        <w:ind w:left="506" w:right="0" w:hanging="398"/>
        <w:jc w:val="left"/>
      </w:pPr>
      <w:r>
        <w:rPr/>
        <w:t>Reconciliation</w:t>
      </w:r>
      <w:r>
        <w:rPr>
          <w:spacing w:val="-5"/>
        </w:rPr>
        <w:t> </w:t>
      </w:r>
      <w:r>
        <w:rPr/>
        <w:t>of</w:t>
      </w:r>
      <w:r>
        <w:rPr>
          <w:spacing w:val="-3"/>
        </w:rPr>
        <w:t> </w:t>
      </w:r>
      <w:r>
        <w:rPr/>
        <w:t>Operating</w:t>
      </w:r>
      <w:r>
        <w:rPr>
          <w:spacing w:val="-3"/>
        </w:rPr>
        <w:t> </w:t>
      </w:r>
      <w:r>
        <w:rPr/>
        <w:t>Surplus</w:t>
      </w:r>
      <w:r>
        <w:rPr>
          <w:spacing w:val="-5"/>
        </w:rPr>
        <w:t> </w:t>
      </w:r>
      <w:r>
        <w:rPr/>
        <w:t>/</w:t>
      </w:r>
      <w:r>
        <w:rPr>
          <w:spacing w:val="-3"/>
        </w:rPr>
        <w:t> </w:t>
      </w:r>
      <w:r>
        <w:rPr/>
        <w:t>(Deficit)</w:t>
      </w:r>
      <w:r>
        <w:rPr>
          <w:spacing w:val="-3"/>
        </w:rPr>
        <w:t> </w:t>
      </w:r>
      <w:r>
        <w:rPr/>
        <w:t>After</w:t>
      </w:r>
      <w:r>
        <w:rPr>
          <w:spacing w:val="-3"/>
        </w:rPr>
        <w:t> </w:t>
      </w:r>
      <w:r>
        <w:rPr/>
        <w:t>Income</w:t>
      </w:r>
      <w:r>
        <w:rPr>
          <w:spacing w:val="-5"/>
        </w:rPr>
        <w:t> </w:t>
      </w:r>
      <w:r>
        <w:rPr/>
        <w:t>Tax</w:t>
      </w:r>
      <w:r>
        <w:rPr>
          <w:spacing w:val="-2"/>
        </w:rPr>
        <w:t> </w:t>
      </w:r>
      <w:r>
        <w:rPr/>
        <w:t>to</w:t>
      </w:r>
      <w:r>
        <w:rPr>
          <w:spacing w:val="-3"/>
        </w:rPr>
        <w:t> </w:t>
      </w:r>
      <w:r>
        <w:rPr/>
        <w:t>Net</w:t>
      </w:r>
      <w:r>
        <w:rPr>
          <w:spacing w:val="-3"/>
        </w:rPr>
        <w:t> </w:t>
      </w:r>
      <w:r>
        <w:rPr/>
        <w:t>Cash</w:t>
      </w:r>
      <w:r>
        <w:rPr>
          <w:spacing w:val="-3"/>
        </w:rPr>
        <w:t> </w:t>
      </w:r>
      <w:r>
        <w:rPr/>
        <w:t>Flows</w:t>
      </w:r>
      <w:r>
        <w:rPr>
          <w:spacing w:val="-2"/>
        </w:rPr>
        <w:t> </w:t>
      </w:r>
      <w:r>
        <w:rPr/>
        <w:t>From</w:t>
      </w:r>
      <w:r>
        <w:rPr>
          <w:spacing w:val="-2"/>
        </w:rPr>
        <w:t> </w:t>
      </w:r>
      <w:r>
        <w:rPr/>
        <w:t>Operating</w:t>
      </w:r>
      <w:r>
        <w:rPr>
          <w:spacing w:val="-3"/>
        </w:rPr>
        <w:t> </w:t>
      </w:r>
      <w:r>
        <w:rPr/>
        <w:t>Activities</w:t>
      </w:r>
    </w:p>
    <w:p>
      <w:pPr>
        <w:pStyle w:val="BodyText"/>
        <w:spacing w:before="9"/>
        <w:rPr>
          <w:b/>
          <w:sz w:val="25"/>
        </w:rPr>
      </w:pPr>
    </w:p>
    <w:p>
      <w:pPr>
        <w:pStyle w:val="ListParagraph"/>
        <w:numPr>
          <w:ilvl w:val="1"/>
          <w:numId w:val="43"/>
        </w:numPr>
        <w:tabs>
          <w:tab w:pos="1061" w:val="left" w:leader="none"/>
        </w:tabs>
        <w:spacing w:line="240" w:lineRule="auto" w:before="0" w:after="0"/>
        <w:ind w:left="1060" w:right="0" w:hanging="556"/>
        <w:jc w:val="left"/>
        <w:rPr>
          <w:b/>
          <w:sz w:val="18"/>
        </w:rPr>
      </w:pPr>
      <w:r>
        <w:rPr>
          <w:b/>
          <w:sz w:val="18"/>
        </w:rPr>
        <w:t>Reconciliation of surplus / (deficit) for the </w:t>
      </w:r>
      <w:r>
        <w:rPr>
          <w:b/>
          <w:spacing w:val="-3"/>
          <w:sz w:val="18"/>
        </w:rPr>
        <w:t>year </w:t>
      </w:r>
      <w:r>
        <w:rPr>
          <w:b/>
          <w:sz w:val="18"/>
        </w:rPr>
        <w:t>to cashflows from operating</w:t>
      </w:r>
      <w:r>
        <w:rPr>
          <w:b/>
          <w:spacing w:val="-17"/>
          <w:sz w:val="18"/>
        </w:rPr>
        <w:t> </w:t>
      </w:r>
      <w:r>
        <w:rPr>
          <w:b/>
          <w:sz w:val="18"/>
        </w:rPr>
        <w:t>activities</w:t>
      </w:r>
    </w:p>
    <w:p>
      <w:pPr>
        <w:pStyle w:val="BodyText"/>
        <w:rPr>
          <w:b/>
          <w:sz w:val="20"/>
        </w:rPr>
      </w:pPr>
    </w:p>
    <w:p>
      <w:pPr>
        <w:spacing w:after="0"/>
        <w:rPr>
          <w:sz w:val="20"/>
        </w:rPr>
        <w:sectPr>
          <w:pgSz w:w="11930" w:h="16850"/>
          <w:pgMar w:header="1275" w:footer="507" w:top="1700" w:bottom="700" w:left="900" w:right="880"/>
        </w:sectPr>
      </w:pPr>
    </w:p>
    <w:p>
      <w:pPr>
        <w:pStyle w:val="BodyText"/>
        <w:spacing w:before="11"/>
        <w:rPr>
          <w:b/>
        </w:rPr>
      </w:pPr>
    </w:p>
    <w:p>
      <w:pPr>
        <w:spacing w:before="0"/>
        <w:ind w:left="0" w:right="0" w:firstLine="0"/>
        <w:jc w:val="right"/>
        <w:rPr>
          <w:b/>
          <w:sz w:val="18"/>
        </w:rPr>
      </w:pPr>
      <w:r>
        <w:rPr>
          <w:b/>
          <w:sz w:val="18"/>
        </w:rPr>
        <w:t>2012</w:t>
      </w:r>
    </w:p>
    <w:p>
      <w:pPr>
        <w:spacing w:before="76"/>
        <w:ind w:left="0" w:right="149" w:firstLine="0"/>
        <w:jc w:val="right"/>
        <w:rPr>
          <w:b/>
          <w:sz w:val="18"/>
        </w:rPr>
      </w:pPr>
      <w:r>
        <w:rPr>
          <w:b/>
          <w:w w:val="99"/>
          <w:sz w:val="18"/>
        </w:rPr>
        <w:t>$</w:t>
      </w:r>
    </w:p>
    <w:p>
      <w:pPr>
        <w:pStyle w:val="BodyText"/>
        <w:spacing w:before="11"/>
        <w:rPr>
          <w:b/>
        </w:rPr>
      </w:pPr>
      <w:r>
        <w:rPr/>
        <w:br w:type="column"/>
      </w:r>
      <w:r>
        <w:rPr>
          <w:b/>
        </w:rPr>
      </w:r>
    </w:p>
    <w:p>
      <w:pPr>
        <w:spacing w:before="0"/>
        <w:ind w:left="823" w:right="519" w:firstLine="0"/>
        <w:jc w:val="center"/>
        <w:rPr>
          <w:b/>
          <w:sz w:val="18"/>
        </w:rPr>
      </w:pPr>
      <w:r>
        <w:rPr>
          <w:b/>
          <w:sz w:val="18"/>
        </w:rPr>
        <w:t>2011</w:t>
      </w:r>
    </w:p>
    <w:p>
      <w:pPr>
        <w:spacing w:before="76"/>
        <w:ind w:left="299" w:right="0" w:firstLine="0"/>
        <w:jc w:val="center"/>
        <w:rPr>
          <w:b/>
          <w:sz w:val="18"/>
        </w:rPr>
      </w:pPr>
      <w:r>
        <w:rPr>
          <w:b/>
          <w:w w:val="99"/>
          <w:sz w:val="18"/>
        </w:rPr>
        <w:t>$</w:t>
      </w:r>
    </w:p>
    <w:p>
      <w:pPr>
        <w:spacing w:after="0"/>
        <w:jc w:val="center"/>
        <w:rPr>
          <w:sz w:val="18"/>
        </w:rPr>
        <w:sectPr>
          <w:type w:val="continuous"/>
          <w:pgSz w:w="11930" w:h="16850"/>
          <w:pgMar w:top="0" w:bottom="280" w:left="900" w:right="880"/>
          <w:cols w:num="2" w:equalWidth="0">
            <w:col w:w="8326" w:space="40"/>
            <w:col w:w="1784"/>
          </w:cols>
        </w:sectPr>
      </w:pPr>
    </w:p>
    <w:p>
      <w:pPr>
        <w:pStyle w:val="BodyText"/>
        <w:tabs>
          <w:tab w:pos="7979" w:val="left" w:leader="none"/>
          <w:tab w:pos="9220" w:val="left" w:leader="none"/>
        </w:tabs>
        <w:spacing w:before="52"/>
        <w:ind w:left="1116" w:right="92"/>
      </w:pPr>
      <w:r>
        <w:rPr/>
        <w:t>Surplus / (deficit) for</w:t>
      </w:r>
      <w:r>
        <w:rPr>
          <w:spacing w:val="-7"/>
        </w:rPr>
        <w:t> </w:t>
      </w:r>
      <w:r>
        <w:rPr/>
        <w:t>the</w:t>
      </w:r>
      <w:r>
        <w:rPr>
          <w:spacing w:val="-1"/>
        </w:rPr>
        <w:t> </w:t>
      </w:r>
      <w:r>
        <w:rPr/>
        <w:t>year</w:t>
        <w:tab/>
      </w:r>
      <w:r>
        <w:rPr>
          <w:b/>
        </w:rPr>
        <w:t>485,892</w:t>
        <w:tab/>
      </w:r>
      <w:r>
        <w:rPr/>
        <w:t>(825,217)</w:t>
      </w:r>
    </w:p>
    <w:p>
      <w:pPr>
        <w:pStyle w:val="BodyText"/>
        <w:spacing w:before="61"/>
        <w:ind w:left="1115" w:right="125"/>
      </w:pPr>
      <w:r>
        <w:rPr/>
        <w:t>Cash flows excluded from profit attributable to operating activities</w:t>
      </w:r>
    </w:p>
    <w:p>
      <w:pPr>
        <w:pStyle w:val="ListParagraph"/>
        <w:numPr>
          <w:ilvl w:val="0"/>
          <w:numId w:val="44"/>
        </w:numPr>
        <w:tabs>
          <w:tab w:pos="1491" w:val="left" w:leader="none"/>
          <w:tab w:pos="7869" w:val="left" w:leader="none"/>
          <w:tab w:pos="9168" w:val="left" w:leader="none"/>
        </w:tabs>
        <w:spacing w:line="240" w:lineRule="auto" w:before="50" w:after="0"/>
        <w:ind w:left="1490" w:right="0" w:hanging="111"/>
        <w:jc w:val="center"/>
        <w:rPr>
          <w:sz w:val="18"/>
        </w:rPr>
      </w:pPr>
      <w:r>
        <w:rPr>
          <w:sz w:val="18"/>
        </w:rPr>
        <w:t>amortisation</w:t>
        <w:tab/>
      </w:r>
      <w:r>
        <w:rPr>
          <w:b/>
          <w:sz w:val="18"/>
        </w:rPr>
        <w:t>40,000</w:t>
        <w:tab/>
      </w:r>
      <w:r>
        <w:rPr>
          <w:sz w:val="18"/>
        </w:rPr>
        <w:t>40,000</w:t>
      </w:r>
    </w:p>
    <w:p>
      <w:pPr>
        <w:pStyle w:val="ListParagraph"/>
        <w:numPr>
          <w:ilvl w:val="0"/>
          <w:numId w:val="44"/>
        </w:numPr>
        <w:tabs>
          <w:tab w:pos="1490" w:val="left" w:leader="none"/>
          <w:tab w:pos="7869" w:val="left" w:leader="none"/>
          <w:tab w:pos="9167" w:val="left" w:leader="none"/>
        </w:tabs>
        <w:spacing w:line="240" w:lineRule="auto" w:before="57" w:after="0"/>
        <w:ind w:left="1489" w:right="0" w:hanging="110"/>
        <w:jc w:val="center"/>
        <w:rPr>
          <w:sz w:val="18"/>
        </w:rPr>
      </w:pPr>
      <w:r>
        <w:rPr>
          <w:sz w:val="18"/>
        </w:rPr>
        <w:t>depreciation</w:t>
        <w:tab/>
      </w:r>
      <w:r>
        <w:rPr>
          <w:b/>
          <w:sz w:val="18"/>
        </w:rPr>
        <w:t>48,088</w:t>
        <w:tab/>
      </w:r>
      <w:r>
        <w:rPr>
          <w:sz w:val="18"/>
        </w:rPr>
        <w:t>43,920</w:t>
      </w:r>
    </w:p>
    <w:p>
      <w:pPr>
        <w:pStyle w:val="BodyText"/>
        <w:spacing w:before="64"/>
        <w:ind w:left="1115" w:right="125"/>
      </w:pPr>
      <w:r>
        <w:rPr/>
        <w:t>Changes in operating assets and liabilities:</w:t>
      </w:r>
    </w:p>
    <w:p>
      <w:pPr>
        <w:pStyle w:val="BodyText"/>
        <w:spacing w:before="3"/>
        <w:rPr>
          <w:sz w:val="6"/>
        </w:rPr>
      </w:pPr>
    </w:p>
    <w:tbl>
      <w:tblPr>
        <w:tblW w:w="0" w:type="auto"/>
        <w:jc w:val="left"/>
        <w:tblInd w:w="117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237"/>
        <w:gridCol w:w="1581"/>
        <w:gridCol w:w="1042"/>
      </w:tblGrid>
      <w:tr>
        <w:trPr>
          <w:trHeight w:val="223" w:hRule="exact"/>
        </w:trPr>
        <w:tc>
          <w:tcPr>
            <w:tcW w:w="6237" w:type="dxa"/>
          </w:tcPr>
          <w:p>
            <w:pPr>
              <w:pStyle w:val="TableParagraph"/>
              <w:spacing w:line="186" w:lineRule="exact"/>
              <w:ind w:left="200"/>
              <w:rPr>
                <w:sz w:val="18"/>
              </w:rPr>
            </w:pPr>
            <w:r>
              <w:rPr>
                <w:sz w:val="18"/>
              </w:rPr>
              <w:t>- (increase)/decrease in trade and other receivables</w:t>
            </w:r>
          </w:p>
        </w:tc>
        <w:tc>
          <w:tcPr>
            <w:tcW w:w="1581" w:type="dxa"/>
          </w:tcPr>
          <w:p>
            <w:pPr>
              <w:pStyle w:val="TableParagraph"/>
              <w:spacing w:line="184" w:lineRule="exact"/>
              <w:ind w:right="290"/>
              <w:jc w:val="right"/>
              <w:rPr>
                <w:b/>
                <w:sz w:val="18"/>
              </w:rPr>
            </w:pPr>
            <w:r>
              <w:rPr>
                <w:b/>
                <w:w w:val="95"/>
                <w:sz w:val="18"/>
              </w:rPr>
              <w:t>(6,826)</w:t>
            </w:r>
          </w:p>
        </w:tc>
        <w:tc>
          <w:tcPr>
            <w:tcW w:w="1042" w:type="dxa"/>
          </w:tcPr>
          <w:p>
            <w:pPr>
              <w:pStyle w:val="TableParagraph"/>
              <w:spacing w:line="189" w:lineRule="exact"/>
              <w:ind w:right="35"/>
              <w:jc w:val="right"/>
              <w:rPr>
                <w:sz w:val="18"/>
              </w:rPr>
            </w:pPr>
            <w:r>
              <w:rPr>
                <w:w w:val="95"/>
                <w:sz w:val="18"/>
              </w:rPr>
              <w:t>(1,992)</w:t>
            </w:r>
          </w:p>
        </w:tc>
      </w:tr>
      <w:tr>
        <w:trPr>
          <w:trHeight w:val="263" w:hRule="exact"/>
        </w:trPr>
        <w:tc>
          <w:tcPr>
            <w:tcW w:w="6237" w:type="dxa"/>
          </w:tcPr>
          <w:p>
            <w:pPr>
              <w:pStyle w:val="TableParagraph"/>
              <w:spacing w:before="17"/>
              <w:ind w:left="200"/>
              <w:rPr>
                <w:sz w:val="18"/>
              </w:rPr>
            </w:pPr>
            <w:r>
              <w:rPr>
                <w:sz w:val="18"/>
              </w:rPr>
              <w:t>- (increase)/decrease in other assets</w:t>
            </w:r>
          </w:p>
        </w:tc>
        <w:tc>
          <w:tcPr>
            <w:tcW w:w="1581" w:type="dxa"/>
          </w:tcPr>
          <w:p>
            <w:pPr>
              <w:pStyle w:val="TableParagraph"/>
              <w:spacing w:before="15"/>
              <w:ind w:right="289"/>
              <w:jc w:val="right"/>
              <w:rPr>
                <w:b/>
                <w:sz w:val="18"/>
              </w:rPr>
            </w:pPr>
            <w:r>
              <w:rPr>
                <w:b/>
                <w:w w:val="95"/>
                <w:sz w:val="18"/>
              </w:rPr>
              <w:t>(4,495)</w:t>
            </w:r>
          </w:p>
        </w:tc>
        <w:tc>
          <w:tcPr>
            <w:tcW w:w="1042" w:type="dxa"/>
          </w:tcPr>
          <w:p>
            <w:pPr>
              <w:pStyle w:val="TableParagraph"/>
              <w:spacing w:before="20"/>
              <w:ind w:right="96"/>
              <w:jc w:val="right"/>
              <w:rPr>
                <w:sz w:val="18"/>
              </w:rPr>
            </w:pPr>
            <w:r>
              <w:rPr>
                <w:sz w:val="18"/>
              </w:rPr>
              <w:t>5,396</w:t>
            </w:r>
          </w:p>
        </w:tc>
      </w:tr>
      <w:tr>
        <w:trPr>
          <w:trHeight w:val="264" w:hRule="exact"/>
        </w:trPr>
        <w:tc>
          <w:tcPr>
            <w:tcW w:w="6237" w:type="dxa"/>
          </w:tcPr>
          <w:p>
            <w:pPr>
              <w:pStyle w:val="TableParagraph"/>
              <w:spacing w:before="19"/>
              <w:ind w:left="200"/>
              <w:rPr>
                <w:sz w:val="18"/>
              </w:rPr>
            </w:pPr>
            <w:r>
              <w:rPr>
                <w:sz w:val="18"/>
              </w:rPr>
              <w:t>- increase/(decrease) in trade and other payables</w:t>
            </w:r>
          </w:p>
        </w:tc>
        <w:tc>
          <w:tcPr>
            <w:tcW w:w="1581" w:type="dxa"/>
          </w:tcPr>
          <w:p>
            <w:pPr>
              <w:pStyle w:val="TableParagraph"/>
              <w:spacing w:before="16"/>
              <w:ind w:left="575"/>
              <w:rPr>
                <w:b/>
                <w:sz w:val="18"/>
              </w:rPr>
            </w:pPr>
            <w:r>
              <w:rPr>
                <w:b/>
                <w:sz w:val="18"/>
              </w:rPr>
              <w:t>285,646</w:t>
            </w:r>
          </w:p>
        </w:tc>
        <w:tc>
          <w:tcPr>
            <w:tcW w:w="1042" w:type="dxa"/>
          </w:tcPr>
          <w:p>
            <w:pPr>
              <w:pStyle w:val="TableParagraph"/>
              <w:spacing w:before="21"/>
              <w:ind w:right="96"/>
              <w:jc w:val="right"/>
              <w:rPr>
                <w:sz w:val="18"/>
              </w:rPr>
            </w:pPr>
            <w:r>
              <w:rPr>
                <w:sz w:val="18"/>
              </w:rPr>
              <w:t>662,494</w:t>
            </w:r>
          </w:p>
        </w:tc>
      </w:tr>
      <w:tr>
        <w:trPr>
          <w:trHeight w:val="282" w:hRule="exact"/>
        </w:trPr>
        <w:tc>
          <w:tcPr>
            <w:tcW w:w="6237" w:type="dxa"/>
          </w:tcPr>
          <w:p>
            <w:pPr>
              <w:pStyle w:val="TableParagraph"/>
              <w:spacing w:before="19"/>
              <w:ind w:left="200"/>
              <w:rPr>
                <w:sz w:val="18"/>
              </w:rPr>
            </w:pPr>
            <w:r>
              <w:rPr>
                <w:sz w:val="18"/>
              </w:rPr>
              <w:t>- increase/(decrease) in employee benefits</w:t>
            </w:r>
          </w:p>
        </w:tc>
        <w:tc>
          <w:tcPr>
            <w:tcW w:w="1581" w:type="dxa"/>
            <w:tcBorders>
              <w:bottom w:val="single" w:sz="5" w:space="0" w:color="000000"/>
            </w:tcBorders>
          </w:tcPr>
          <w:p>
            <w:pPr>
              <w:pStyle w:val="TableParagraph"/>
              <w:spacing w:before="16"/>
              <w:ind w:left="674"/>
              <w:rPr>
                <w:b/>
                <w:sz w:val="18"/>
              </w:rPr>
            </w:pPr>
            <w:r>
              <w:rPr>
                <w:b/>
                <w:sz w:val="18"/>
              </w:rPr>
              <w:t>12,119</w:t>
            </w:r>
          </w:p>
        </w:tc>
        <w:tc>
          <w:tcPr>
            <w:tcW w:w="1042" w:type="dxa"/>
            <w:tcBorders>
              <w:bottom w:val="single" w:sz="5" w:space="0" w:color="000000"/>
            </w:tcBorders>
          </w:tcPr>
          <w:p>
            <w:pPr>
              <w:pStyle w:val="TableParagraph"/>
              <w:spacing w:before="21"/>
              <w:ind w:left="391"/>
              <w:rPr>
                <w:sz w:val="18"/>
              </w:rPr>
            </w:pPr>
            <w:r>
              <w:rPr>
                <w:sz w:val="18"/>
              </w:rPr>
              <w:t>38,281</w:t>
            </w:r>
          </w:p>
        </w:tc>
      </w:tr>
    </w:tbl>
    <w:p>
      <w:pPr>
        <w:pStyle w:val="BodyText"/>
        <w:tabs>
          <w:tab w:pos="7979" w:val="left" w:leader="none"/>
          <w:tab w:pos="9319" w:val="left" w:leader="none"/>
        </w:tabs>
        <w:spacing w:before="14" w:after="4"/>
        <w:ind w:left="1116" w:right="92"/>
      </w:pPr>
      <w:r>
        <w:rPr/>
        <w:t>Cashflow from</w:t>
      </w:r>
      <w:r>
        <w:rPr>
          <w:spacing w:val="-6"/>
        </w:rPr>
        <w:t> </w:t>
      </w:r>
      <w:r>
        <w:rPr/>
        <w:t>operating</w:t>
      </w:r>
      <w:r>
        <w:rPr>
          <w:spacing w:val="-4"/>
        </w:rPr>
        <w:t> </w:t>
      </w:r>
      <w:r>
        <w:rPr/>
        <w:t>activities</w:t>
        <w:tab/>
      </w:r>
      <w:r>
        <w:rPr>
          <w:b/>
          <w:position w:val="-7"/>
        </w:rPr>
        <w:t>860,424</w:t>
        <w:tab/>
      </w:r>
      <w:r>
        <w:rPr>
          <w:position w:val="-7"/>
        </w:rPr>
        <w:t>(37,118)</w:t>
      </w:r>
    </w:p>
    <w:p>
      <w:pPr>
        <w:pStyle w:val="BodyText"/>
        <w:spacing w:line="49" w:lineRule="exact"/>
        <w:ind w:left="7425"/>
        <w:rPr>
          <w:sz w:val="4"/>
        </w:rPr>
      </w:pPr>
      <w:r>
        <w:rPr>
          <w:position w:val="0"/>
          <w:sz w:val="4"/>
        </w:rPr>
        <w:pict>
          <v:group style="width:130.4pt;height:2.450pt;mso-position-horizontal-relative:char;mso-position-vertical-relative:line" coordorigin="0,0" coordsize="2608,49">
            <v:line style="position:absolute" from="7,6" to="1304,6" stroked="true" strokeweight=".6pt" strokecolor="#000000"/>
            <v:line style="position:absolute" from="7,9" to="2601,9" stroked="true" strokeweight=".66pt" strokecolor="#000000"/>
            <v:line style="position:absolute" from="7,39" to="1304,39" stroked="true" strokeweight=".6pt" strokecolor="#000000"/>
            <v:line style="position:absolute" from="7,42" to="2601,42" stroked="true" strokeweight=".66pt" strokecolor="#000000"/>
            <v:line style="position:absolute" from="1304,6" to="2601,6" stroked="true" strokeweight=".6pt" strokecolor="#000000"/>
            <v:line style="position:absolute" from="1304,13" to="2601,13" stroked="true" strokeweight=".18pt" strokecolor="#000000"/>
            <v:line style="position:absolute" from="1304,39" to="2601,39" stroked="true" strokeweight=".6pt" strokecolor="#000000"/>
            <v:line style="position:absolute" from="1304,47" to="2601,47" stroked="true" strokeweight=".18pt" strokecolor="#000000"/>
          </v:group>
        </w:pict>
      </w:r>
      <w:r>
        <w:rPr>
          <w:position w:val="0"/>
          <w:sz w:val="4"/>
        </w:rPr>
      </w:r>
    </w:p>
    <w:p>
      <w:pPr>
        <w:pStyle w:val="BodyText"/>
        <w:spacing w:before="7"/>
        <w:rPr>
          <w:sz w:val="24"/>
        </w:rPr>
      </w:pPr>
    </w:p>
    <w:p>
      <w:pPr>
        <w:pStyle w:val="Heading9"/>
        <w:numPr>
          <w:ilvl w:val="0"/>
          <w:numId w:val="43"/>
        </w:numPr>
        <w:tabs>
          <w:tab w:pos="504" w:val="left" w:leader="none"/>
        </w:tabs>
        <w:spacing w:line="240" w:lineRule="auto" w:before="0" w:after="0"/>
        <w:ind w:left="504" w:right="0" w:hanging="396"/>
        <w:jc w:val="left"/>
      </w:pPr>
      <w:r>
        <w:rPr/>
        <w:t>Economic</w:t>
      </w:r>
      <w:r>
        <w:rPr>
          <w:spacing w:val="-3"/>
        </w:rPr>
        <w:t> </w:t>
      </w:r>
      <w:r>
        <w:rPr/>
        <w:t>dependency</w:t>
      </w:r>
    </w:p>
    <w:p>
      <w:pPr>
        <w:pStyle w:val="BodyText"/>
        <w:spacing w:before="10"/>
        <w:rPr>
          <w:b/>
          <w:sz w:val="25"/>
        </w:rPr>
      </w:pPr>
    </w:p>
    <w:p>
      <w:pPr>
        <w:pStyle w:val="BodyText"/>
        <w:spacing w:line="204" w:lineRule="exact"/>
        <w:ind w:left="504" w:right="1391"/>
      </w:pPr>
      <w:r>
        <w:rPr/>
        <w:t>The company is economically dependent on the University of Western Sydney for the provision of office accommodation and support activities.</w:t>
      </w:r>
    </w:p>
    <w:p>
      <w:pPr>
        <w:pStyle w:val="BodyText"/>
        <w:spacing w:before="6"/>
        <w:rPr>
          <w:sz w:val="24"/>
        </w:rPr>
      </w:pPr>
    </w:p>
    <w:p>
      <w:pPr>
        <w:pStyle w:val="Heading9"/>
        <w:numPr>
          <w:ilvl w:val="0"/>
          <w:numId w:val="43"/>
        </w:numPr>
        <w:tabs>
          <w:tab w:pos="507" w:val="left" w:leader="none"/>
        </w:tabs>
        <w:spacing w:line="240" w:lineRule="auto" w:before="0" w:after="0"/>
        <w:ind w:left="506" w:right="0" w:hanging="398"/>
        <w:jc w:val="left"/>
      </w:pPr>
      <w:r>
        <w:rPr/>
        <w:t>Events Occurring After the Reporting</w:t>
      </w:r>
      <w:r>
        <w:rPr>
          <w:spacing w:val="-14"/>
        </w:rPr>
        <w:t> </w:t>
      </w:r>
      <w:r>
        <w:rPr/>
        <w:t>Date</w:t>
      </w:r>
    </w:p>
    <w:p>
      <w:pPr>
        <w:pStyle w:val="BodyText"/>
        <w:spacing w:before="2"/>
        <w:rPr>
          <w:b/>
          <w:sz w:val="25"/>
        </w:rPr>
      </w:pPr>
    </w:p>
    <w:p>
      <w:pPr>
        <w:pStyle w:val="BodyText"/>
        <w:ind w:left="504" w:right="170" w:hanging="1"/>
      </w:pPr>
      <w:r>
        <w:rPr/>
        <w:t>No matters or circumstances have arisen since the end of the financial year which significantly affected or may significantly affect the operations of the Company, the results of those operations or the state of affairs of the Company in future financial years.</w:t>
      </w:r>
    </w:p>
    <w:p>
      <w:pPr>
        <w:spacing w:after="0"/>
        <w:sectPr>
          <w:type w:val="continuous"/>
          <w:pgSz w:w="11930" w:h="16850"/>
          <w:pgMar w:top="0" w:bottom="280" w:left="900" w:right="880"/>
        </w:sectPr>
      </w:pPr>
    </w:p>
    <w:p>
      <w:pPr>
        <w:spacing w:before="47"/>
        <w:ind w:left="207" w:right="0" w:firstLine="0"/>
        <w:jc w:val="left"/>
        <w:rPr>
          <w:b/>
          <w:sz w:val="22"/>
        </w:rPr>
      </w:pPr>
      <w:r>
        <w:rPr>
          <w:b/>
          <w:sz w:val="22"/>
        </w:rPr>
        <w:t>Television Sydney (TVS) Limited</w:t>
      </w:r>
    </w:p>
    <w:p>
      <w:pPr>
        <w:spacing w:before="57"/>
        <w:ind w:left="207" w:right="0" w:firstLine="0"/>
        <w:jc w:val="left"/>
        <w:rPr>
          <w:b/>
          <w:sz w:val="14"/>
        </w:rPr>
      </w:pPr>
      <w:r>
        <w:rPr>
          <w:b/>
          <w:sz w:val="14"/>
        </w:rPr>
        <w:t>ABN 27104674124</w:t>
      </w:r>
    </w:p>
    <w:p>
      <w:pPr>
        <w:pStyle w:val="BodyText"/>
        <w:rPr>
          <w:b/>
          <w:sz w:val="14"/>
        </w:rPr>
      </w:pPr>
    </w:p>
    <w:p>
      <w:pPr>
        <w:pStyle w:val="BodyText"/>
        <w:spacing w:before="9"/>
        <w:rPr>
          <w:b/>
          <w:sz w:val="13"/>
        </w:rPr>
      </w:pPr>
    </w:p>
    <w:p>
      <w:pPr>
        <w:pStyle w:val="Heading3"/>
        <w:spacing w:before="0"/>
        <w:ind w:left="207" w:right="0"/>
      </w:pPr>
      <w:r>
        <w:rPr/>
        <w:t>Directors' Declaration</w:t>
      </w:r>
    </w:p>
    <w:p>
      <w:pPr>
        <w:pStyle w:val="BodyText"/>
        <w:spacing w:before="2"/>
        <w:rPr>
          <w:b/>
          <w:sz w:val="25"/>
        </w:rPr>
      </w:pPr>
    </w:p>
    <w:p>
      <w:pPr>
        <w:pStyle w:val="BodyText"/>
        <w:ind w:left="207"/>
      </w:pPr>
      <w:r>
        <w:rPr/>
        <w:t>The directors of the entity declare that:</w:t>
      </w:r>
    </w:p>
    <w:p>
      <w:pPr>
        <w:pStyle w:val="BodyText"/>
        <w:spacing w:before="7"/>
        <w:rPr>
          <w:sz w:val="17"/>
        </w:rPr>
      </w:pPr>
    </w:p>
    <w:p>
      <w:pPr>
        <w:pStyle w:val="ListParagraph"/>
        <w:numPr>
          <w:ilvl w:val="0"/>
          <w:numId w:val="45"/>
        </w:numPr>
        <w:tabs>
          <w:tab w:pos="599" w:val="left" w:leader="none"/>
          <w:tab w:pos="600" w:val="left" w:leader="none"/>
        </w:tabs>
        <w:spacing w:line="240" w:lineRule="auto" w:before="1" w:after="0"/>
        <w:ind w:left="603" w:right="0" w:hanging="395"/>
        <w:jc w:val="left"/>
        <w:rPr>
          <w:sz w:val="18"/>
        </w:rPr>
      </w:pPr>
      <w:r>
        <w:rPr>
          <w:sz w:val="18"/>
        </w:rPr>
        <w:t>The</w:t>
      </w:r>
      <w:r>
        <w:rPr>
          <w:spacing w:val="-2"/>
          <w:sz w:val="18"/>
        </w:rPr>
        <w:t> </w:t>
      </w:r>
      <w:r>
        <w:rPr>
          <w:sz w:val="18"/>
        </w:rPr>
        <w:t>financial</w:t>
      </w:r>
      <w:r>
        <w:rPr>
          <w:spacing w:val="-5"/>
          <w:sz w:val="18"/>
        </w:rPr>
        <w:t> </w:t>
      </w:r>
      <w:r>
        <w:rPr>
          <w:sz w:val="18"/>
        </w:rPr>
        <w:t>statements</w:t>
      </w:r>
      <w:r>
        <w:rPr>
          <w:spacing w:val="-2"/>
          <w:sz w:val="18"/>
        </w:rPr>
        <w:t> </w:t>
      </w:r>
      <w:r>
        <w:rPr>
          <w:sz w:val="18"/>
        </w:rPr>
        <w:t>and</w:t>
      </w:r>
      <w:r>
        <w:rPr>
          <w:spacing w:val="-2"/>
          <w:sz w:val="18"/>
        </w:rPr>
        <w:t> </w:t>
      </w:r>
      <w:r>
        <w:rPr>
          <w:sz w:val="18"/>
        </w:rPr>
        <w:t>notes</w:t>
      </w:r>
      <w:r>
        <w:rPr>
          <w:spacing w:val="-5"/>
          <w:sz w:val="18"/>
        </w:rPr>
        <w:t> </w:t>
      </w:r>
      <w:r>
        <w:rPr>
          <w:sz w:val="18"/>
        </w:rPr>
        <w:t>are</w:t>
      </w:r>
      <w:r>
        <w:rPr>
          <w:spacing w:val="-2"/>
          <w:sz w:val="18"/>
        </w:rPr>
        <w:t> </w:t>
      </w:r>
      <w:r>
        <w:rPr>
          <w:sz w:val="18"/>
        </w:rPr>
        <w:t>in</w:t>
      </w:r>
      <w:r>
        <w:rPr>
          <w:spacing w:val="-2"/>
          <w:sz w:val="18"/>
        </w:rPr>
        <w:t> </w:t>
      </w:r>
      <w:r>
        <w:rPr>
          <w:sz w:val="18"/>
        </w:rPr>
        <w:t>accordance</w:t>
      </w:r>
      <w:r>
        <w:rPr>
          <w:spacing w:val="-2"/>
          <w:sz w:val="18"/>
        </w:rPr>
        <w:t> </w:t>
      </w:r>
      <w:r>
        <w:rPr>
          <w:sz w:val="18"/>
        </w:rPr>
        <w:t>with</w:t>
      </w:r>
      <w:r>
        <w:rPr>
          <w:spacing w:val="-2"/>
          <w:sz w:val="18"/>
        </w:rPr>
        <w:t> </w:t>
      </w:r>
      <w:r>
        <w:rPr>
          <w:sz w:val="18"/>
        </w:rPr>
        <w:t>the</w:t>
      </w:r>
      <w:r>
        <w:rPr>
          <w:spacing w:val="-10"/>
          <w:sz w:val="18"/>
        </w:rPr>
        <w:t> </w:t>
      </w:r>
      <w:r>
        <w:rPr>
          <w:i/>
          <w:sz w:val="18"/>
        </w:rPr>
        <w:t>Corporations</w:t>
      </w:r>
      <w:r>
        <w:rPr>
          <w:i/>
          <w:spacing w:val="-2"/>
          <w:sz w:val="18"/>
        </w:rPr>
        <w:t> </w:t>
      </w:r>
      <w:r>
        <w:rPr>
          <w:i/>
          <w:sz w:val="18"/>
        </w:rPr>
        <w:t>Act</w:t>
      </w:r>
      <w:r>
        <w:rPr>
          <w:i/>
          <w:spacing w:val="-5"/>
          <w:sz w:val="18"/>
        </w:rPr>
        <w:t> </w:t>
      </w:r>
      <w:r>
        <w:rPr>
          <w:i/>
          <w:sz w:val="18"/>
        </w:rPr>
        <w:t>2001</w:t>
      </w:r>
      <w:r>
        <w:rPr>
          <w:i/>
          <w:spacing w:val="-7"/>
          <w:sz w:val="18"/>
        </w:rPr>
        <w:t> </w:t>
      </w:r>
      <w:r>
        <w:rPr>
          <w:sz w:val="18"/>
        </w:rPr>
        <w:t>and:</w:t>
      </w:r>
    </w:p>
    <w:p>
      <w:pPr>
        <w:pStyle w:val="BodyText"/>
        <w:spacing w:before="9"/>
        <w:rPr>
          <w:sz w:val="25"/>
        </w:rPr>
      </w:pPr>
    </w:p>
    <w:p>
      <w:pPr>
        <w:pStyle w:val="ListParagraph"/>
        <w:numPr>
          <w:ilvl w:val="1"/>
          <w:numId w:val="45"/>
        </w:numPr>
        <w:tabs>
          <w:tab w:pos="1003" w:val="left" w:leader="none"/>
        </w:tabs>
        <w:spacing w:line="202" w:lineRule="exact" w:before="0" w:after="0"/>
        <w:ind w:left="1000" w:right="108" w:hanging="396"/>
        <w:jc w:val="left"/>
        <w:rPr>
          <w:sz w:val="18"/>
        </w:rPr>
      </w:pPr>
      <w:r>
        <w:rPr>
          <w:sz w:val="18"/>
        </w:rPr>
        <w:t>comply with Australian Accounting Standards, the Public Finance and Audit Act 1983, the Public Finance and Audit Regulation 2010 and other mandatory professional reporting requirements;</w:t>
      </w:r>
      <w:r>
        <w:rPr>
          <w:spacing w:val="-31"/>
          <w:sz w:val="18"/>
        </w:rPr>
        <w:t> </w:t>
      </w:r>
      <w:r>
        <w:rPr>
          <w:sz w:val="18"/>
        </w:rPr>
        <w:t>and</w:t>
      </w:r>
    </w:p>
    <w:p>
      <w:pPr>
        <w:pStyle w:val="BodyText"/>
        <w:rPr>
          <w:sz w:val="25"/>
        </w:rPr>
      </w:pPr>
    </w:p>
    <w:p>
      <w:pPr>
        <w:pStyle w:val="ListParagraph"/>
        <w:numPr>
          <w:ilvl w:val="1"/>
          <w:numId w:val="45"/>
        </w:numPr>
        <w:tabs>
          <w:tab w:pos="1003" w:val="left" w:leader="none"/>
        </w:tabs>
        <w:spacing w:line="240" w:lineRule="auto" w:before="0" w:after="0"/>
        <w:ind w:left="999" w:right="596" w:hanging="395"/>
        <w:jc w:val="left"/>
        <w:rPr>
          <w:sz w:val="18"/>
        </w:rPr>
      </w:pPr>
      <w:r>
        <w:rPr>
          <w:sz w:val="18"/>
        </w:rPr>
        <w:t>give</w:t>
      </w:r>
      <w:r>
        <w:rPr>
          <w:spacing w:val="-1"/>
          <w:sz w:val="18"/>
        </w:rPr>
        <w:t> </w:t>
      </w:r>
      <w:r>
        <w:rPr>
          <w:sz w:val="18"/>
        </w:rPr>
        <w:t>a</w:t>
      </w:r>
      <w:r>
        <w:rPr>
          <w:spacing w:val="-4"/>
          <w:sz w:val="18"/>
        </w:rPr>
        <w:t> </w:t>
      </w:r>
      <w:r>
        <w:rPr>
          <w:sz w:val="18"/>
        </w:rPr>
        <w:t>true</w:t>
      </w:r>
      <w:r>
        <w:rPr>
          <w:spacing w:val="-4"/>
          <w:sz w:val="18"/>
        </w:rPr>
        <w:t> </w:t>
      </w:r>
      <w:r>
        <w:rPr>
          <w:sz w:val="18"/>
        </w:rPr>
        <w:t>and</w:t>
      </w:r>
      <w:r>
        <w:rPr>
          <w:spacing w:val="-4"/>
          <w:sz w:val="18"/>
        </w:rPr>
        <w:t> </w:t>
      </w:r>
      <w:r>
        <w:rPr>
          <w:sz w:val="18"/>
        </w:rPr>
        <w:t>fair</w:t>
      </w:r>
      <w:r>
        <w:rPr>
          <w:spacing w:val="-2"/>
          <w:sz w:val="18"/>
        </w:rPr>
        <w:t> </w:t>
      </w:r>
      <w:r>
        <w:rPr>
          <w:sz w:val="18"/>
        </w:rPr>
        <w:t>view</w:t>
      </w:r>
      <w:r>
        <w:rPr>
          <w:spacing w:val="-5"/>
          <w:sz w:val="18"/>
        </w:rPr>
        <w:t> </w:t>
      </w:r>
      <w:r>
        <w:rPr>
          <w:sz w:val="18"/>
        </w:rPr>
        <w:t>of</w:t>
      </w:r>
      <w:r>
        <w:rPr>
          <w:spacing w:val="-2"/>
          <w:sz w:val="18"/>
        </w:rPr>
        <w:t> </w:t>
      </w:r>
      <w:r>
        <w:rPr>
          <w:sz w:val="18"/>
        </w:rPr>
        <w:t>the</w:t>
      </w:r>
      <w:r>
        <w:rPr>
          <w:spacing w:val="-1"/>
          <w:sz w:val="18"/>
        </w:rPr>
        <w:t> </w:t>
      </w:r>
      <w:r>
        <w:rPr>
          <w:sz w:val="18"/>
        </w:rPr>
        <w:t>financial</w:t>
      </w:r>
      <w:r>
        <w:rPr>
          <w:spacing w:val="-1"/>
          <w:sz w:val="18"/>
        </w:rPr>
        <w:t> </w:t>
      </w:r>
      <w:r>
        <w:rPr>
          <w:sz w:val="18"/>
        </w:rPr>
        <w:t>position</w:t>
      </w:r>
      <w:r>
        <w:rPr>
          <w:spacing w:val="-1"/>
          <w:sz w:val="18"/>
        </w:rPr>
        <w:t> </w:t>
      </w:r>
      <w:r>
        <w:rPr>
          <w:sz w:val="18"/>
        </w:rPr>
        <w:t>as</w:t>
      </w:r>
      <w:r>
        <w:rPr>
          <w:spacing w:val="-1"/>
          <w:sz w:val="18"/>
        </w:rPr>
        <w:t> </w:t>
      </w:r>
      <w:r>
        <w:rPr>
          <w:sz w:val="18"/>
        </w:rPr>
        <w:t>at</w:t>
      </w:r>
      <w:r>
        <w:rPr>
          <w:spacing w:val="-14"/>
          <w:sz w:val="18"/>
        </w:rPr>
        <w:t> </w:t>
      </w:r>
      <w:r>
        <w:rPr>
          <w:sz w:val="18"/>
        </w:rPr>
        <w:t>31</w:t>
      </w:r>
      <w:r>
        <w:rPr>
          <w:spacing w:val="-4"/>
          <w:sz w:val="18"/>
        </w:rPr>
        <w:t> </w:t>
      </w:r>
      <w:r>
        <w:rPr>
          <w:sz w:val="18"/>
        </w:rPr>
        <w:t>December</w:t>
      </w:r>
      <w:r>
        <w:rPr>
          <w:spacing w:val="-4"/>
          <w:sz w:val="18"/>
        </w:rPr>
        <w:t> </w:t>
      </w:r>
      <w:r>
        <w:rPr>
          <w:sz w:val="18"/>
        </w:rPr>
        <w:t>2012</w:t>
      </w:r>
      <w:r>
        <w:rPr>
          <w:spacing w:val="-9"/>
          <w:sz w:val="18"/>
        </w:rPr>
        <w:t> </w:t>
      </w:r>
      <w:r>
        <w:rPr>
          <w:sz w:val="18"/>
        </w:rPr>
        <w:t>and</w:t>
      </w:r>
      <w:r>
        <w:rPr>
          <w:spacing w:val="-1"/>
          <w:sz w:val="18"/>
        </w:rPr>
        <w:t> </w:t>
      </w:r>
      <w:r>
        <w:rPr>
          <w:sz w:val="18"/>
        </w:rPr>
        <w:t>of</w:t>
      </w:r>
      <w:r>
        <w:rPr>
          <w:spacing w:val="-4"/>
          <w:sz w:val="18"/>
        </w:rPr>
        <w:t> </w:t>
      </w:r>
      <w:r>
        <w:rPr>
          <w:sz w:val="18"/>
        </w:rPr>
        <w:t>the</w:t>
      </w:r>
      <w:r>
        <w:rPr>
          <w:spacing w:val="-4"/>
          <w:sz w:val="18"/>
        </w:rPr>
        <w:t> </w:t>
      </w:r>
      <w:r>
        <w:rPr>
          <w:sz w:val="18"/>
        </w:rPr>
        <w:t>performance</w:t>
      </w:r>
      <w:r>
        <w:rPr>
          <w:spacing w:val="-4"/>
          <w:sz w:val="18"/>
        </w:rPr>
        <w:t> </w:t>
      </w:r>
      <w:r>
        <w:rPr>
          <w:sz w:val="18"/>
        </w:rPr>
        <w:t>for</w:t>
      </w:r>
      <w:r>
        <w:rPr>
          <w:spacing w:val="-2"/>
          <w:sz w:val="18"/>
        </w:rPr>
        <w:t> </w:t>
      </w:r>
      <w:r>
        <w:rPr>
          <w:sz w:val="18"/>
        </w:rPr>
        <w:t>the</w:t>
      </w:r>
      <w:r>
        <w:rPr>
          <w:spacing w:val="-1"/>
          <w:sz w:val="18"/>
        </w:rPr>
        <w:t> </w:t>
      </w:r>
      <w:r>
        <w:rPr>
          <w:sz w:val="18"/>
        </w:rPr>
        <w:t>year ended on that date of the</w:t>
      </w:r>
      <w:r>
        <w:rPr>
          <w:spacing w:val="-17"/>
          <w:sz w:val="18"/>
        </w:rPr>
        <w:t> </w:t>
      </w:r>
      <w:r>
        <w:rPr>
          <w:sz w:val="18"/>
        </w:rPr>
        <w:t>Company.</w:t>
      </w:r>
    </w:p>
    <w:p>
      <w:pPr>
        <w:pStyle w:val="BodyText"/>
        <w:spacing w:before="10"/>
        <w:rPr>
          <w:sz w:val="17"/>
        </w:rPr>
      </w:pPr>
    </w:p>
    <w:p>
      <w:pPr>
        <w:pStyle w:val="ListParagraph"/>
        <w:numPr>
          <w:ilvl w:val="0"/>
          <w:numId w:val="45"/>
        </w:numPr>
        <w:tabs>
          <w:tab w:pos="599" w:val="left" w:leader="none"/>
          <w:tab w:pos="600" w:val="left" w:leader="none"/>
        </w:tabs>
        <w:spacing w:line="240" w:lineRule="auto" w:before="0" w:after="0"/>
        <w:ind w:left="603" w:right="309" w:hanging="395"/>
        <w:jc w:val="left"/>
        <w:rPr>
          <w:sz w:val="18"/>
        </w:rPr>
      </w:pPr>
      <w:r>
        <w:rPr>
          <w:sz w:val="18"/>
        </w:rPr>
        <w:t>In</w:t>
      </w:r>
      <w:r>
        <w:rPr>
          <w:spacing w:val="-2"/>
          <w:sz w:val="18"/>
        </w:rPr>
        <w:t> </w:t>
      </w:r>
      <w:r>
        <w:rPr>
          <w:sz w:val="18"/>
        </w:rPr>
        <w:t>the</w:t>
      </w:r>
      <w:r>
        <w:rPr>
          <w:spacing w:val="-5"/>
          <w:sz w:val="18"/>
        </w:rPr>
        <w:t> </w:t>
      </w:r>
      <w:r>
        <w:rPr>
          <w:sz w:val="18"/>
        </w:rPr>
        <w:t>directors</w:t>
      </w:r>
      <w:r>
        <w:rPr>
          <w:spacing w:val="-2"/>
          <w:sz w:val="18"/>
        </w:rPr>
        <w:t> </w:t>
      </w:r>
      <w:r>
        <w:rPr>
          <w:sz w:val="18"/>
        </w:rPr>
        <w:t>opinion,</w:t>
      </w:r>
      <w:r>
        <w:rPr>
          <w:spacing w:val="-5"/>
          <w:sz w:val="18"/>
        </w:rPr>
        <w:t> </w:t>
      </w:r>
      <w:r>
        <w:rPr>
          <w:sz w:val="18"/>
        </w:rPr>
        <w:t>there</w:t>
      </w:r>
      <w:r>
        <w:rPr>
          <w:spacing w:val="-5"/>
          <w:sz w:val="18"/>
        </w:rPr>
        <w:t> </w:t>
      </w:r>
      <w:r>
        <w:rPr>
          <w:sz w:val="18"/>
        </w:rPr>
        <w:t>are</w:t>
      </w:r>
      <w:r>
        <w:rPr>
          <w:spacing w:val="-2"/>
          <w:sz w:val="18"/>
        </w:rPr>
        <w:t> </w:t>
      </w:r>
      <w:r>
        <w:rPr>
          <w:sz w:val="18"/>
        </w:rPr>
        <w:t>reasonable</w:t>
      </w:r>
      <w:r>
        <w:rPr>
          <w:spacing w:val="-2"/>
          <w:sz w:val="18"/>
        </w:rPr>
        <w:t> </w:t>
      </w:r>
      <w:r>
        <w:rPr>
          <w:sz w:val="18"/>
        </w:rPr>
        <w:t>grounds</w:t>
      </w:r>
      <w:r>
        <w:rPr>
          <w:spacing w:val="-2"/>
          <w:sz w:val="18"/>
        </w:rPr>
        <w:t> </w:t>
      </w:r>
      <w:r>
        <w:rPr>
          <w:sz w:val="18"/>
        </w:rPr>
        <w:t>to</w:t>
      </w:r>
      <w:r>
        <w:rPr>
          <w:spacing w:val="-5"/>
          <w:sz w:val="18"/>
        </w:rPr>
        <w:t> </w:t>
      </w:r>
      <w:r>
        <w:rPr>
          <w:sz w:val="18"/>
        </w:rPr>
        <w:t>believe</w:t>
      </w:r>
      <w:r>
        <w:rPr>
          <w:spacing w:val="-2"/>
          <w:sz w:val="18"/>
        </w:rPr>
        <w:t> </w:t>
      </w:r>
      <w:r>
        <w:rPr>
          <w:sz w:val="18"/>
        </w:rPr>
        <w:t>that</w:t>
      </w:r>
      <w:r>
        <w:rPr>
          <w:spacing w:val="-3"/>
          <w:sz w:val="18"/>
        </w:rPr>
        <w:t> </w:t>
      </w:r>
      <w:r>
        <w:rPr>
          <w:sz w:val="18"/>
        </w:rPr>
        <w:t>the</w:t>
      </w:r>
      <w:r>
        <w:rPr>
          <w:spacing w:val="-16"/>
          <w:sz w:val="18"/>
        </w:rPr>
        <w:t> </w:t>
      </w:r>
      <w:r>
        <w:rPr>
          <w:sz w:val="18"/>
        </w:rPr>
        <w:t>Company</w:t>
      </w:r>
      <w:r>
        <w:rPr>
          <w:spacing w:val="-8"/>
          <w:sz w:val="18"/>
        </w:rPr>
        <w:t> </w:t>
      </w:r>
      <w:r>
        <w:rPr>
          <w:sz w:val="18"/>
        </w:rPr>
        <w:t>will</w:t>
      </w:r>
      <w:r>
        <w:rPr>
          <w:spacing w:val="-2"/>
          <w:sz w:val="18"/>
        </w:rPr>
        <w:t> </w:t>
      </w:r>
      <w:r>
        <w:rPr>
          <w:sz w:val="18"/>
        </w:rPr>
        <w:t>be</w:t>
      </w:r>
      <w:r>
        <w:rPr>
          <w:spacing w:val="-2"/>
          <w:sz w:val="18"/>
        </w:rPr>
        <w:t> </w:t>
      </w:r>
      <w:r>
        <w:rPr>
          <w:sz w:val="18"/>
        </w:rPr>
        <w:t>able</w:t>
      </w:r>
      <w:r>
        <w:rPr>
          <w:spacing w:val="-2"/>
          <w:sz w:val="18"/>
        </w:rPr>
        <w:t> </w:t>
      </w:r>
      <w:r>
        <w:rPr>
          <w:sz w:val="18"/>
        </w:rPr>
        <w:t>to</w:t>
      </w:r>
      <w:r>
        <w:rPr>
          <w:spacing w:val="-2"/>
          <w:sz w:val="18"/>
        </w:rPr>
        <w:t> </w:t>
      </w:r>
      <w:r>
        <w:rPr>
          <w:sz w:val="18"/>
        </w:rPr>
        <w:t>pay</w:t>
      </w:r>
      <w:r>
        <w:rPr>
          <w:spacing w:val="-4"/>
          <w:sz w:val="18"/>
        </w:rPr>
        <w:t> </w:t>
      </w:r>
      <w:r>
        <w:rPr>
          <w:sz w:val="18"/>
        </w:rPr>
        <w:t>its</w:t>
      </w:r>
      <w:r>
        <w:rPr>
          <w:spacing w:val="-2"/>
          <w:sz w:val="18"/>
        </w:rPr>
        <w:t> </w:t>
      </w:r>
      <w:r>
        <w:rPr>
          <w:sz w:val="18"/>
        </w:rPr>
        <w:t>debts</w:t>
      </w:r>
      <w:r>
        <w:rPr>
          <w:spacing w:val="-2"/>
          <w:sz w:val="18"/>
        </w:rPr>
        <w:t> </w:t>
      </w:r>
      <w:r>
        <w:rPr>
          <w:sz w:val="18"/>
        </w:rPr>
        <w:t>as</w:t>
      </w:r>
      <w:r>
        <w:rPr>
          <w:spacing w:val="-2"/>
          <w:sz w:val="18"/>
        </w:rPr>
        <w:t> </w:t>
      </w:r>
      <w:r>
        <w:rPr>
          <w:sz w:val="18"/>
        </w:rPr>
        <w:t>and when they become due and</w:t>
      </w:r>
      <w:r>
        <w:rPr>
          <w:spacing w:val="-15"/>
          <w:sz w:val="18"/>
        </w:rPr>
        <w:t> </w:t>
      </w:r>
      <w:r>
        <w:rPr>
          <w:sz w:val="18"/>
        </w:rPr>
        <w:t>payable.</w:t>
      </w:r>
    </w:p>
    <w:p>
      <w:pPr>
        <w:pStyle w:val="BodyText"/>
        <w:spacing w:before="11"/>
        <w:rPr>
          <w:sz w:val="24"/>
        </w:rPr>
      </w:pPr>
    </w:p>
    <w:p>
      <w:pPr>
        <w:pStyle w:val="BodyText"/>
        <w:ind w:left="207"/>
      </w:pPr>
      <w:r>
        <w:rPr/>
        <w:t>This declaration is made in accordance with a resolution of the Board of Directors.</w:t>
      </w:r>
    </w:p>
    <w:p>
      <w:pPr>
        <w:pStyle w:val="BodyText"/>
        <w:spacing w:before="4"/>
        <w:rPr>
          <w:sz w:val="14"/>
        </w:rPr>
      </w:pPr>
      <w:r>
        <w:rPr/>
        <w:drawing>
          <wp:anchor distT="0" distB="0" distL="0" distR="0" allowOverlap="1" layoutInCell="1" locked="0" behindDoc="0" simplePos="0" relativeHeight="4504">
            <wp:simplePos x="0" y="0"/>
            <wp:positionH relativeFrom="page">
              <wp:posOffset>573989</wp:posOffset>
            </wp:positionH>
            <wp:positionV relativeFrom="paragraph">
              <wp:posOffset>130023</wp:posOffset>
            </wp:positionV>
            <wp:extent cx="6300883" cy="1143000"/>
            <wp:effectExtent l="0" t="0" r="0" b="0"/>
            <wp:wrapTopAndBottom/>
            <wp:docPr id="49" name="image52.png" descr=""/>
            <wp:cNvGraphicFramePr>
              <a:graphicFrameLocks noChangeAspect="1"/>
            </wp:cNvGraphicFramePr>
            <a:graphic>
              <a:graphicData uri="http://schemas.openxmlformats.org/drawingml/2006/picture">
                <pic:pic>
                  <pic:nvPicPr>
                    <pic:cNvPr id="50" name="image52.png"/>
                    <pic:cNvPicPr/>
                  </pic:nvPicPr>
                  <pic:blipFill>
                    <a:blip r:embed="rId121" cstate="print"/>
                    <a:stretch>
                      <a:fillRect/>
                    </a:stretch>
                  </pic:blipFill>
                  <pic:spPr>
                    <a:xfrm>
                      <a:off x="0" y="0"/>
                      <a:ext cx="6300883" cy="1143000"/>
                    </a:xfrm>
                    <a:prstGeom prst="rect">
                      <a:avLst/>
                    </a:prstGeom>
                  </pic:spPr>
                </pic:pic>
              </a:graphicData>
            </a:graphic>
          </wp:anchor>
        </w:drawing>
      </w:r>
    </w:p>
    <w:p>
      <w:pPr>
        <w:pStyle w:val="BodyText"/>
        <w:spacing w:before="5"/>
      </w:pPr>
    </w:p>
    <w:p>
      <w:pPr>
        <w:pStyle w:val="BodyText"/>
        <w:ind w:left="100"/>
      </w:pPr>
      <w:r>
        <w:rPr/>
        <w:t>Dated 25 March 2013</w:t>
      </w:r>
    </w:p>
    <w:p>
      <w:pPr>
        <w:spacing w:after="0"/>
        <w:sectPr>
          <w:headerReference w:type="default" r:id="rId119"/>
          <w:footerReference w:type="default" r:id="rId120"/>
          <w:pgSz w:w="11930" w:h="16850"/>
          <w:pgMar w:header="0" w:footer="507" w:top="960" w:bottom="700" w:left="800" w:right="860"/>
          <w:pgNumType w:start="115"/>
        </w:sectPr>
      </w:pPr>
    </w:p>
    <w:p>
      <w:pPr>
        <w:pStyle w:val="BodyText"/>
        <w:ind w:left="4446"/>
        <w:rPr>
          <w:sz w:val="20"/>
        </w:rPr>
      </w:pPr>
      <w:r>
        <w:rPr>
          <w:sz w:val="20"/>
        </w:rPr>
        <w:drawing>
          <wp:inline distT="0" distB="0" distL="0" distR="0">
            <wp:extent cx="1024127" cy="1060703"/>
            <wp:effectExtent l="0" t="0" r="0" b="0"/>
            <wp:docPr id="51" name="image53.png" descr=""/>
            <wp:cNvGraphicFramePr>
              <a:graphicFrameLocks noChangeAspect="1"/>
            </wp:cNvGraphicFramePr>
            <a:graphic>
              <a:graphicData uri="http://schemas.openxmlformats.org/drawingml/2006/picture">
                <pic:pic>
                  <pic:nvPicPr>
                    <pic:cNvPr id="52" name="image53.png"/>
                    <pic:cNvPicPr/>
                  </pic:nvPicPr>
                  <pic:blipFill>
                    <a:blip r:embed="rId124" cstate="print"/>
                    <a:stretch>
                      <a:fillRect/>
                    </a:stretch>
                  </pic:blipFill>
                  <pic:spPr>
                    <a:xfrm>
                      <a:off x="0" y="0"/>
                      <a:ext cx="1024127" cy="1060703"/>
                    </a:xfrm>
                    <a:prstGeom prst="rect">
                      <a:avLst/>
                    </a:prstGeom>
                  </pic:spPr>
                </pic:pic>
              </a:graphicData>
            </a:graphic>
          </wp:inline>
        </w:drawing>
      </w:r>
      <w:r>
        <w:rPr>
          <w:sz w:val="20"/>
        </w:rPr>
      </w:r>
    </w:p>
    <w:p>
      <w:pPr>
        <w:pStyle w:val="BodyText"/>
        <w:spacing w:before="8"/>
        <w:rPr>
          <w:sz w:val="22"/>
        </w:rPr>
      </w:pPr>
    </w:p>
    <w:p>
      <w:pPr>
        <w:pStyle w:val="Heading5"/>
        <w:spacing w:before="71"/>
        <w:ind w:left="117"/>
        <w:jc w:val="center"/>
      </w:pPr>
      <w:r>
        <w:rPr>
          <w:w w:val="105"/>
        </w:rPr>
        <w:t>INDEPENDENT AUDITOR'S REPORT</w:t>
      </w:r>
    </w:p>
    <w:p>
      <w:pPr>
        <w:pStyle w:val="BodyText"/>
        <w:spacing w:before="1"/>
        <w:rPr>
          <w:b/>
          <w:sz w:val="21"/>
        </w:rPr>
      </w:pPr>
    </w:p>
    <w:p>
      <w:pPr>
        <w:spacing w:before="0"/>
        <w:ind w:left="117" w:right="21" w:firstLine="0"/>
        <w:jc w:val="center"/>
        <w:rPr>
          <w:b/>
          <w:sz w:val="19"/>
        </w:rPr>
      </w:pPr>
      <w:r>
        <w:rPr>
          <w:b/>
          <w:w w:val="105"/>
          <w:sz w:val="19"/>
        </w:rPr>
        <w:t>Television Sydney (TVS) Limited</w:t>
      </w:r>
    </w:p>
    <w:p>
      <w:pPr>
        <w:pStyle w:val="BodyText"/>
        <w:spacing w:before="7"/>
        <w:rPr>
          <w:b/>
          <w:sz w:val="20"/>
        </w:rPr>
      </w:pPr>
    </w:p>
    <w:p>
      <w:pPr>
        <w:spacing w:before="0"/>
        <w:ind w:left="732" w:right="0" w:firstLine="0"/>
        <w:jc w:val="both"/>
        <w:rPr>
          <w:sz w:val="20"/>
        </w:rPr>
      </w:pPr>
      <w:r>
        <w:rPr>
          <w:sz w:val="20"/>
        </w:rPr>
        <w:t>To Members of the New South Wales Parliament and Members of Television Sydney (TVS) Limited</w:t>
      </w:r>
    </w:p>
    <w:p>
      <w:pPr>
        <w:pStyle w:val="BodyText"/>
        <w:rPr>
          <w:sz w:val="20"/>
        </w:rPr>
      </w:pPr>
    </w:p>
    <w:p>
      <w:pPr>
        <w:spacing w:line="240" w:lineRule="auto" w:before="0"/>
        <w:ind w:left="727" w:right="614" w:firstLine="19"/>
        <w:jc w:val="both"/>
        <w:rPr>
          <w:sz w:val="20"/>
        </w:rPr>
      </w:pPr>
      <w:r>
        <w:rPr>
          <w:sz w:val="20"/>
        </w:rPr>
        <w:t>I have audited the accompanying financial statements of Television Sydney (TVS) Limited (the Company), which comprise the statement of financial position as at 31 December 2012, the statement of comprehensive income, statement of changes in equity and statement of cash flows for the year then ended, notes comprising a summary of significant accounting policies and other explanatory information and the directors' report.</w:t>
      </w:r>
    </w:p>
    <w:p>
      <w:pPr>
        <w:pStyle w:val="BodyText"/>
        <w:spacing w:before="10"/>
        <w:rPr>
          <w:sz w:val="20"/>
        </w:rPr>
      </w:pPr>
    </w:p>
    <w:p>
      <w:pPr>
        <w:spacing w:before="0"/>
        <w:ind w:left="737" w:right="0" w:firstLine="0"/>
        <w:jc w:val="both"/>
        <w:rPr>
          <w:b/>
          <w:sz w:val="23"/>
        </w:rPr>
      </w:pPr>
      <w:r>
        <w:rPr>
          <w:b/>
          <w:sz w:val="23"/>
        </w:rPr>
        <w:t>Opinion</w:t>
      </w:r>
    </w:p>
    <w:p>
      <w:pPr>
        <w:pStyle w:val="BodyText"/>
        <w:spacing w:before="8"/>
        <w:rPr>
          <w:b/>
          <w:sz w:val="20"/>
        </w:rPr>
      </w:pPr>
    </w:p>
    <w:p>
      <w:pPr>
        <w:spacing w:before="0"/>
        <w:ind w:left="732" w:right="0" w:firstLine="0"/>
        <w:jc w:val="both"/>
        <w:rPr>
          <w:sz w:val="20"/>
        </w:rPr>
      </w:pPr>
      <w:r>
        <w:rPr>
          <w:sz w:val="20"/>
        </w:rPr>
        <w:t>In my opinion the financial statements:</w:t>
      </w:r>
    </w:p>
    <w:p>
      <w:pPr>
        <w:pStyle w:val="BodyText"/>
        <w:rPr>
          <w:sz w:val="25"/>
        </w:rPr>
      </w:pPr>
    </w:p>
    <w:p>
      <w:pPr>
        <w:pStyle w:val="ListParagraph"/>
        <w:numPr>
          <w:ilvl w:val="0"/>
          <w:numId w:val="46"/>
        </w:numPr>
        <w:tabs>
          <w:tab w:pos="1293" w:val="left" w:leader="none"/>
        </w:tabs>
        <w:spacing w:line="240" w:lineRule="auto" w:before="0" w:after="0"/>
        <w:ind w:left="1292" w:right="0" w:hanging="565"/>
        <w:jc w:val="both"/>
        <w:rPr>
          <w:sz w:val="20"/>
        </w:rPr>
      </w:pPr>
      <w:r>
        <w:rPr>
          <w:sz w:val="20"/>
        </w:rPr>
        <w:t>are in accordance with the </w:t>
      </w:r>
      <w:r>
        <w:rPr>
          <w:i/>
          <w:sz w:val="19"/>
        </w:rPr>
        <w:t>Corporations Act 2001, </w:t>
      </w:r>
      <w:r>
        <w:rPr>
          <w:i/>
          <w:spacing w:val="37"/>
          <w:sz w:val="19"/>
        </w:rPr>
        <w:t> </w:t>
      </w:r>
      <w:r>
        <w:rPr>
          <w:sz w:val="20"/>
        </w:rPr>
        <w:t>including:</w:t>
      </w:r>
    </w:p>
    <w:p>
      <w:pPr>
        <w:spacing w:before="62"/>
        <w:ind w:left="1862" w:right="894" w:firstLine="0"/>
        <w:jc w:val="left"/>
        <w:rPr>
          <w:sz w:val="20"/>
        </w:rPr>
      </w:pPr>
      <w:r>
        <w:rPr>
          <w:sz w:val="20"/>
        </w:rPr>
        <w:t>giving a true and fair view of the Company's financial position as at 31 December 2012 and its performance for the year ended on that date</w:t>
      </w:r>
    </w:p>
    <w:p>
      <w:pPr>
        <w:spacing w:before="57"/>
        <w:ind w:left="1857" w:right="670" w:firstLine="0"/>
        <w:jc w:val="left"/>
        <w:rPr>
          <w:sz w:val="20"/>
        </w:rPr>
      </w:pPr>
      <w:r>
        <w:rPr>
          <w:sz w:val="20"/>
        </w:rPr>
        <w:t>complying with Australian Accounting Standards and the Corporations Regulations 2001</w:t>
      </w:r>
    </w:p>
    <w:p>
      <w:pPr>
        <w:pStyle w:val="ListParagraph"/>
        <w:numPr>
          <w:ilvl w:val="0"/>
          <w:numId w:val="46"/>
        </w:numPr>
        <w:tabs>
          <w:tab w:pos="1293" w:val="left" w:leader="none"/>
        </w:tabs>
        <w:spacing w:line="240" w:lineRule="auto" w:before="62" w:after="0"/>
        <w:ind w:left="1292" w:right="858" w:hanging="570"/>
        <w:jc w:val="left"/>
        <w:rPr>
          <w:sz w:val="20"/>
        </w:rPr>
      </w:pPr>
      <w:r>
        <w:rPr>
          <w:sz w:val="20"/>
        </w:rPr>
        <w:t>are in accordance with section 41(B) of the Public Finance and Audit Act 1983 (the PF&amp;A</w:t>
      </w:r>
      <w:r>
        <w:rPr>
          <w:spacing w:val="-25"/>
          <w:sz w:val="20"/>
        </w:rPr>
        <w:t> </w:t>
      </w:r>
      <w:r>
        <w:rPr>
          <w:sz w:val="20"/>
        </w:rPr>
        <w:t>Act) and the Public Finance and Audit Regulation</w:t>
      </w:r>
      <w:r>
        <w:rPr>
          <w:spacing w:val="-23"/>
          <w:sz w:val="20"/>
        </w:rPr>
        <w:t> </w:t>
      </w:r>
      <w:r>
        <w:rPr>
          <w:sz w:val="20"/>
        </w:rPr>
        <w:t>2010</w:t>
      </w:r>
    </w:p>
    <w:p>
      <w:pPr>
        <w:pStyle w:val="BodyText"/>
        <w:rPr>
          <w:sz w:val="25"/>
        </w:rPr>
      </w:pPr>
    </w:p>
    <w:p>
      <w:pPr>
        <w:spacing w:before="0"/>
        <w:ind w:left="732" w:right="0" w:firstLine="0"/>
        <w:jc w:val="both"/>
        <w:rPr>
          <w:sz w:val="20"/>
        </w:rPr>
      </w:pPr>
      <w:r>
        <w:rPr>
          <w:sz w:val="20"/>
        </w:rPr>
        <w:t>My opinion should be read in conjunction with the rest of this report.</w:t>
      </w:r>
    </w:p>
    <w:p>
      <w:pPr>
        <w:pStyle w:val="BodyText"/>
        <w:spacing w:before="10"/>
        <w:rPr>
          <w:sz w:val="20"/>
        </w:rPr>
      </w:pPr>
    </w:p>
    <w:p>
      <w:pPr>
        <w:spacing w:before="0"/>
        <w:ind w:left="727" w:right="0" w:firstLine="0"/>
        <w:jc w:val="both"/>
        <w:rPr>
          <w:b/>
          <w:sz w:val="23"/>
        </w:rPr>
      </w:pPr>
      <w:r>
        <w:rPr>
          <w:b/>
          <w:w w:val="105"/>
          <w:sz w:val="23"/>
        </w:rPr>
        <w:t>Directors' Responsibility for the Financial Statements</w:t>
      </w:r>
    </w:p>
    <w:p>
      <w:pPr>
        <w:pStyle w:val="BodyText"/>
        <w:spacing w:before="3"/>
        <w:rPr>
          <w:b/>
          <w:sz w:val="20"/>
        </w:rPr>
      </w:pPr>
    </w:p>
    <w:p>
      <w:pPr>
        <w:spacing w:line="242" w:lineRule="auto" w:before="0"/>
        <w:ind w:left="713" w:right="628" w:firstLine="0"/>
        <w:jc w:val="both"/>
        <w:rPr>
          <w:sz w:val="20"/>
        </w:rPr>
      </w:pPr>
      <w:r>
        <w:rPr>
          <w:sz w:val="20"/>
        </w:rPr>
        <w:t>The directors of the Company are responsible for the preparation of the financial statements that give  a true and fair view in accordance with Australian Accounting Standards, the PF&amp;A Act and the </w:t>
      </w:r>
      <w:r>
        <w:rPr>
          <w:i/>
          <w:sz w:val="19"/>
        </w:rPr>
        <w:t>Corporations Act 2001 </w:t>
      </w:r>
      <w:r>
        <w:rPr>
          <w:sz w:val="20"/>
        </w:rPr>
        <w:t>and for such !nternal control as the directors determine is necessary to enable the preparation of the financial statements that give a true and fair view and that are free from material misstatement, whether due to fraud or</w:t>
      </w:r>
      <w:r>
        <w:rPr>
          <w:spacing w:val="-29"/>
          <w:sz w:val="20"/>
        </w:rPr>
        <w:t> </w:t>
      </w:r>
      <w:r>
        <w:rPr>
          <w:sz w:val="20"/>
        </w:rPr>
        <w:t>error.</w:t>
      </w:r>
    </w:p>
    <w:p>
      <w:pPr>
        <w:pStyle w:val="BodyText"/>
        <w:spacing w:before="3"/>
        <w:rPr>
          <w:sz w:val="20"/>
        </w:rPr>
      </w:pPr>
    </w:p>
    <w:p>
      <w:pPr>
        <w:spacing w:before="0"/>
        <w:ind w:left="713" w:right="0" w:firstLine="0"/>
        <w:jc w:val="both"/>
        <w:rPr>
          <w:b/>
          <w:sz w:val="23"/>
        </w:rPr>
      </w:pPr>
      <w:r>
        <w:rPr>
          <w:b/>
          <w:sz w:val="23"/>
        </w:rPr>
        <w:t>Auditor's  Responsibility</w:t>
      </w:r>
    </w:p>
    <w:p>
      <w:pPr>
        <w:pStyle w:val="BodyText"/>
        <w:spacing w:before="8"/>
        <w:rPr>
          <w:b/>
          <w:sz w:val="20"/>
        </w:rPr>
      </w:pPr>
    </w:p>
    <w:p>
      <w:pPr>
        <w:spacing w:line="242" w:lineRule="auto" w:before="0"/>
        <w:ind w:left="703" w:right="639" w:firstLine="14"/>
        <w:jc w:val="both"/>
        <w:rPr>
          <w:sz w:val="20"/>
        </w:rPr>
      </w:pPr>
      <w:r>
        <w:rPr>
          <w:sz w:val="20"/>
        </w:rPr>
        <w:t>My responsibility is to express an opinion on the financial statements based on my audit. I conducted my audit in accordance with Australian Auditing Standards. Those Standards  require that I comply  with relevant ethical requirements relating to audit engagements and plan and perform the audit to obtain reasonable assurance about whether the financial statements are free from material misstatement.</w:t>
      </w:r>
    </w:p>
    <w:p>
      <w:pPr>
        <w:pStyle w:val="BodyText"/>
        <w:spacing w:before="9"/>
        <w:rPr>
          <w:sz w:val="19"/>
        </w:rPr>
      </w:pPr>
    </w:p>
    <w:p>
      <w:pPr>
        <w:spacing w:line="240" w:lineRule="auto" w:before="0"/>
        <w:ind w:left="703" w:right="640" w:hanging="5"/>
        <w:jc w:val="both"/>
        <w:rPr>
          <w:sz w:val="20"/>
        </w:rPr>
      </w:pPr>
      <w:r>
        <w:rPr>
          <w:sz w:val="20"/>
        </w:rPr>
        <w:t>An audit involves performing procedures to obtain audit evidence about the amounts and disclosures in the financial statements. The procedures selected depend on the auditor's judgement, including the assessment of the risks of material misstatement of the financial statements, whether due to fraud or error. In making those risk assessments, the auditor considers internal control relevant to the Company's preparation of the financial statements that give a true and fair view in order to design  audit procedures that are appropriate in the circumstances, but not for the purpose of expressing an opinion on the effectiveness of the company's internal control. An audit also includes evaluating the appropriateness of accounting policies used and the reasonableness of accounting estimates made by the directors, as well as evaluating the overall presentation of the financial</w:t>
      </w:r>
      <w:r>
        <w:rPr>
          <w:spacing w:val="-34"/>
          <w:sz w:val="20"/>
        </w:rPr>
        <w:t> </w:t>
      </w:r>
      <w:r>
        <w:rPr>
          <w:sz w:val="20"/>
        </w:rPr>
        <w:t>statements.</w:t>
      </w:r>
    </w:p>
    <w:p>
      <w:pPr>
        <w:pStyle w:val="BodyText"/>
        <w:rPr>
          <w:sz w:val="20"/>
        </w:rPr>
      </w:pPr>
    </w:p>
    <w:p>
      <w:pPr>
        <w:pStyle w:val="BodyText"/>
        <w:rPr>
          <w:sz w:val="20"/>
        </w:rPr>
      </w:pPr>
    </w:p>
    <w:p>
      <w:pPr>
        <w:pStyle w:val="BodyText"/>
        <w:rPr>
          <w:sz w:val="20"/>
        </w:rPr>
      </w:pPr>
    </w:p>
    <w:p>
      <w:pPr>
        <w:pStyle w:val="BodyText"/>
        <w:spacing w:before="10"/>
        <w:rPr>
          <w:sz w:val="21"/>
        </w:rPr>
      </w:pPr>
      <w:r>
        <w:rPr/>
        <w:pict>
          <v:line style="position:absolute;mso-position-horizontal-relative:page;mso-position-vertical-relative:paragraph;z-index:4528;mso-wrap-distance-left:0;mso-wrap-distance-right:0" from="39.616211pt,14.737992pt" to="549.480401pt,14.737992pt" stroked="true" strokeweight=".359059pt" strokecolor="#000000">
            <w10:wrap type="topAndBottom"/>
          </v:line>
        </w:pict>
      </w:r>
    </w:p>
    <w:p>
      <w:pPr>
        <w:spacing w:before="94"/>
        <w:ind w:left="90" w:right="83" w:firstLine="0"/>
        <w:jc w:val="center"/>
        <w:rPr>
          <w:sz w:val="13"/>
        </w:rPr>
      </w:pPr>
      <w:r>
        <w:rPr>
          <w:sz w:val="13"/>
        </w:rPr>
        <w:t>Level </w:t>
      </w:r>
      <w:r>
        <w:rPr>
          <w:rFonts w:ascii="Times New Roman"/>
          <w:sz w:val="15"/>
        </w:rPr>
        <w:t>15, l  </w:t>
      </w:r>
      <w:r>
        <w:rPr>
          <w:sz w:val="13"/>
        </w:rPr>
        <w:t>Margaret Street, Sydney NSW 2000  </w:t>
      </w:r>
      <w:r>
        <w:rPr>
          <w:sz w:val="19"/>
        </w:rPr>
        <w:t>I </w:t>
      </w:r>
      <w:r>
        <w:rPr>
          <w:sz w:val="13"/>
        </w:rPr>
        <w:t>GPO Box  </w:t>
      </w:r>
      <w:r>
        <w:rPr>
          <w:rFonts w:ascii="Times New Roman"/>
          <w:sz w:val="15"/>
        </w:rPr>
        <w:t>12, </w:t>
      </w:r>
      <w:r>
        <w:rPr>
          <w:sz w:val="13"/>
        </w:rPr>
        <w:t>Sydney  NSW </w:t>
      </w:r>
      <w:r>
        <w:rPr>
          <w:rFonts w:ascii="Times New Roman"/>
          <w:sz w:val="15"/>
        </w:rPr>
        <w:t>2001   </w:t>
      </w:r>
      <w:r>
        <w:rPr>
          <w:sz w:val="19"/>
        </w:rPr>
        <w:t>I </w:t>
      </w:r>
      <w:r>
        <w:rPr>
          <w:rFonts w:ascii="Times New Roman"/>
          <w:sz w:val="15"/>
        </w:rPr>
        <w:t>t </w:t>
      </w:r>
      <w:r>
        <w:rPr>
          <w:sz w:val="13"/>
        </w:rPr>
        <w:t>02 </w:t>
      </w:r>
      <w:r>
        <w:rPr>
          <w:rFonts w:ascii="Times New Roman"/>
          <w:sz w:val="15"/>
        </w:rPr>
        <w:t>9275 7101   </w:t>
      </w:r>
      <w:r>
        <w:rPr>
          <w:sz w:val="19"/>
        </w:rPr>
        <w:t>I </w:t>
      </w:r>
      <w:r>
        <w:rPr>
          <w:sz w:val="14"/>
        </w:rPr>
        <w:t>f </w:t>
      </w:r>
      <w:r>
        <w:rPr>
          <w:sz w:val="13"/>
        </w:rPr>
        <w:t>02 </w:t>
      </w:r>
      <w:r>
        <w:rPr>
          <w:rFonts w:ascii="Times New Roman"/>
          <w:sz w:val="15"/>
        </w:rPr>
        <w:t>9275 7179  </w:t>
      </w:r>
      <w:r>
        <w:rPr>
          <w:sz w:val="19"/>
        </w:rPr>
        <w:t>I </w:t>
      </w:r>
      <w:r>
        <w:rPr>
          <w:sz w:val="13"/>
        </w:rPr>
        <w:t>e </w:t>
      </w:r>
      <w:hyperlink r:id="rId125">
        <w:r>
          <w:rPr>
            <w:sz w:val="13"/>
          </w:rPr>
          <w:t>mail@aud1t.nsw.gov.au</w:t>
        </w:r>
      </w:hyperlink>
      <w:r>
        <w:rPr>
          <w:sz w:val="13"/>
        </w:rPr>
        <w:t>   </w:t>
      </w:r>
      <w:r>
        <w:rPr>
          <w:sz w:val="19"/>
        </w:rPr>
        <w:t>I   </w:t>
      </w:r>
      <w:r>
        <w:rPr>
          <w:sz w:val="13"/>
        </w:rPr>
        <w:t>audit.nsw.gov.au</w:t>
      </w:r>
    </w:p>
    <w:p>
      <w:pPr>
        <w:spacing w:after="0"/>
        <w:jc w:val="center"/>
        <w:rPr>
          <w:sz w:val="13"/>
        </w:rPr>
        <w:sectPr>
          <w:headerReference w:type="default" r:id="rId122"/>
          <w:footerReference w:type="default" r:id="rId123"/>
          <w:pgSz w:w="11910" w:h="16850"/>
          <w:pgMar w:header="0" w:footer="513" w:top="760" w:bottom="700" w:left="680" w:right="800"/>
          <w:pgNumType w:start="116"/>
        </w:sectPr>
      </w:pPr>
    </w:p>
    <w:p>
      <w:pPr>
        <w:pStyle w:val="Heading8"/>
        <w:spacing w:line="247" w:lineRule="auto" w:before="48"/>
        <w:ind w:left="215" w:right="155" w:firstLine="7"/>
        <w:jc w:val="left"/>
      </w:pPr>
      <w:r>
        <w:rPr/>
        <w:t>I believe the audit evidence I have obtained is sufficient and appropriate to provide a basis for  my  audit</w:t>
      </w:r>
      <w:r>
        <w:rPr>
          <w:spacing w:val="-15"/>
        </w:rPr>
        <w:t> </w:t>
      </w:r>
      <w:r>
        <w:rPr/>
        <w:t>opinion.</w:t>
      </w:r>
    </w:p>
    <w:p>
      <w:pPr>
        <w:pStyle w:val="BodyText"/>
        <w:spacing w:before="9"/>
      </w:pPr>
    </w:p>
    <w:p>
      <w:pPr>
        <w:spacing w:before="1"/>
        <w:ind w:left="215" w:right="155" w:firstLine="0"/>
        <w:jc w:val="left"/>
        <w:rPr>
          <w:sz w:val="20"/>
        </w:rPr>
      </w:pPr>
      <w:r>
        <w:rPr>
          <w:sz w:val="20"/>
        </w:rPr>
        <w:t>My opinion does </w:t>
      </w:r>
      <w:r>
        <w:rPr>
          <w:i/>
          <w:sz w:val="20"/>
        </w:rPr>
        <w:t>not </w:t>
      </w:r>
      <w:r>
        <w:rPr>
          <w:sz w:val="20"/>
        </w:rPr>
        <w:t>provide assurance:</w:t>
      </w:r>
    </w:p>
    <w:p>
      <w:pPr>
        <w:pStyle w:val="BodyText"/>
        <w:spacing w:before="8"/>
        <w:rPr>
          <w:sz w:val="25"/>
        </w:rPr>
      </w:pPr>
    </w:p>
    <w:p>
      <w:pPr>
        <w:pStyle w:val="ListParagraph"/>
        <w:numPr>
          <w:ilvl w:val="0"/>
          <w:numId w:val="47"/>
        </w:numPr>
        <w:tabs>
          <w:tab w:pos="777" w:val="left" w:leader="none"/>
        </w:tabs>
        <w:spacing w:line="240" w:lineRule="auto" w:before="0" w:after="0"/>
        <w:ind w:left="776" w:right="0" w:hanging="568"/>
        <w:jc w:val="left"/>
        <w:rPr>
          <w:sz w:val="22"/>
        </w:rPr>
      </w:pPr>
      <w:r>
        <w:rPr>
          <w:sz w:val="20"/>
        </w:rPr>
        <w:t>about the future viability of the</w:t>
      </w:r>
      <w:r>
        <w:rPr>
          <w:spacing w:val="-1"/>
          <w:sz w:val="20"/>
        </w:rPr>
        <w:t> </w:t>
      </w:r>
      <w:r>
        <w:rPr>
          <w:sz w:val="20"/>
        </w:rPr>
        <w:t>Company</w:t>
      </w:r>
    </w:p>
    <w:p>
      <w:pPr>
        <w:pStyle w:val="ListParagraph"/>
        <w:numPr>
          <w:ilvl w:val="0"/>
          <w:numId w:val="47"/>
        </w:numPr>
        <w:tabs>
          <w:tab w:pos="777" w:val="left" w:leader="none"/>
        </w:tabs>
        <w:spacing w:line="240" w:lineRule="auto" w:before="23" w:after="0"/>
        <w:ind w:left="776" w:right="0" w:hanging="568"/>
        <w:jc w:val="left"/>
        <w:rPr>
          <w:sz w:val="22"/>
        </w:rPr>
      </w:pPr>
      <w:r>
        <w:rPr>
          <w:sz w:val="20"/>
        </w:rPr>
        <w:t>that it has carried out its activities effectively, efficiently and</w:t>
      </w:r>
      <w:r>
        <w:rPr>
          <w:spacing w:val="-2"/>
          <w:sz w:val="20"/>
        </w:rPr>
        <w:t> </w:t>
      </w:r>
      <w:r>
        <w:rPr>
          <w:sz w:val="20"/>
        </w:rPr>
        <w:t>economically</w:t>
      </w:r>
    </w:p>
    <w:p>
      <w:pPr>
        <w:pStyle w:val="ListParagraph"/>
        <w:numPr>
          <w:ilvl w:val="0"/>
          <w:numId w:val="47"/>
        </w:numPr>
        <w:tabs>
          <w:tab w:pos="777" w:val="left" w:leader="none"/>
        </w:tabs>
        <w:spacing w:line="240" w:lineRule="auto" w:before="23" w:after="0"/>
        <w:ind w:left="776" w:right="0" w:hanging="568"/>
        <w:jc w:val="left"/>
        <w:rPr>
          <w:sz w:val="22"/>
        </w:rPr>
      </w:pPr>
      <w:r>
        <w:rPr>
          <w:sz w:val="20"/>
        </w:rPr>
        <w:t>about the effectiveness of its internal</w:t>
      </w:r>
      <w:r>
        <w:rPr>
          <w:spacing w:val="6"/>
          <w:sz w:val="20"/>
        </w:rPr>
        <w:t> </w:t>
      </w:r>
      <w:r>
        <w:rPr>
          <w:sz w:val="20"/>
        </w:rPr>
        <w:t>control</w:t>
      </w:r>
    </w:p>
    <w:p>
      <w:pPr>
        <w:pStyle w:val="ListParagraph"/>
        <w:numPr>
          <w:ilvl w:val="0"/>
          <w:numId w:val="47"/>
        </w:numPr>
        <w:tabs>
          <w:tab w:pos="777" w:val="left" w:leader="none"/>
        </w:tabs>
        <w:spacing w:line="230" w:lineRule="exact" w:before="17" w:after="0"/>
        <w:ind w:left="776" w:right="1168" w:hanging="568"/>
        <w:jc w:val="left"/>
        <w:rPr>
          <w:sz w:val="22"/>
        </w:rPr>
      </w:pPr>
      <w:r>
        <w:rPr>
          <w:sz w:val="20"/>
        </w:rPr>
        <w:t>about the security and controls over the electronic publication of the audited financial statements on any website where they may be presented</w:t>
      </w:r>
    </w:p>
    <w:p>
      <w:pPr>
        <w:pStyle w:val="ListParagraph"/>
        <w:numPr>
          <w:ilvl w:val="0"/>
          <w:numId w:val="47"/>
        </w:numPr>
        <w:tabs>
          <w:tab w:pos="777" w:val="left" w:leader="none"/>
        </w:tabs>
        <w:spacing w:line="240" w:lineRule="auto" w:before="61" w:after="0"/>
        <w:ind w:left="776" w:right="0" w:hanging="568"/>
        <w:jc w:val="left"/>
        <w:rPr>
          <w:sz w:val="22"/>
        </w:rPr>
      </w:pPr>
      <w:r>
        <w:rPr>
          <w:sz w:val="20"/>
        </w:rPr>
        <w:t>about other information that may have been hyperlinked to/from the financial</w:t>
      </w:r>
      <w:r>
        <w:rPr>
          <w:spacing w:val="40"/>
          <w:sz w:val="20"/>
        </w:rPr>
        <w:t> </w:t>
      </w:r>
      <w:r>
        <w:rPr>
          <w:sz w:val="20"/>
        </w:rPr>
        <w:t>statements.</w:t>
      </w:r>
    </w:p>
    <w:p>
      <w:pPr>
        <w:pStyle w:val="BodyText"/>
        <w:spacing w:before="3"/>
        <w:rPr>
          <w:sz w:val="17"/>
        </w:rPr>
      </w:pPr>
    </w:p>
    <w:p>
      <w:pPr>
        <w:spacing w:before="70"/>
        <w:ind w:left="215" w:right="0" w:firstLine="0"/>
        <w:jc w:val="both"/>
        <w:rPr>
          <w:b/>
          <w:sz w:val="23"/>
        </w:rPr>
      </w:pPr>
      <w:r>
        <w:rPr>
          <w:b/>
          <w:w w:val="105"/>
          <w:sz w:val="23"/>
        </w:rPr>
        <w:t>Independence</w:t>
      </w:r>
    </w:p>
    <w:p>
      <w:pPr>
        <w:pStyle w:val="BodyText"/>
        <w:spacing w:before="1"/>
        <w:rPr>
          <w:b/>
          <w:sz w:val="20"/>
        </w:rPr>
      </w:pPr>
    </w:p>
    <w:p>
      <w:pPr>
        <w:spacing w:before="0"/>
        <w:ind w:left="193" w:right="134" w:firstLine="14"/>
        <w:jc w:val="both"/>
        <w:rPr>
          <w:sz w:val="20"/>
        </w:rPr>
      </w:pPr>
      <w:r>
        <w:rPr>
          <w:sz w:val="20"/>
        </w:rPr>
        <w:t>In conducting my audit, I have complied with the independence requirements of the  Australian  Auditing Standards, the </w:t>
      </w:r>
      <w:r>
        <w:rPr>
          <w:i/>
          <w:sz w:val="20"/>
        </w:rPr>
        <w:t>Corporations Act 2001 </w:t>
      </w:r>
      <w:r>
        <w:rPr>
          <w:sz w:val="20"/>
        </w:rPr>
        <w:t>and relevant ethical pronouncements. The PF&amp;A Act further promotes independence</w:t>
      </w:r>
      <w:r>
        <w:rPr>
          <w:spacing w:val="19"/>
          <w:sz w:val="20"/>
        </w:rPr>
        <w:t> </w:t>
      </w:r>
      <w:r>
        <w:rPr>
          <w:sz w:val="20"/>
        </w:rPr>
        <w:t>by:</w:t>
      </w:r>
    </w:p>
    <w:p>
      <w:pPr>
        <w:pStyle w:val="BodyText"/>
        <w:spacing w:before="8"/>
        <w:rPr>
          <w:sz w:val="25"/>
        </w:rPr>
      </w:pPr>
    </w:p>
    <w:p>
      <w:pPr>
        <w:pStyle w:val="ListParagraph"/>
        <w:numPr>
          <w:ilvl w:val="0"/>
          <w:numId w:val="47"/>
        </w:numPr>
        <w:tabs>
          <w:tab w:pos="777" w:val="left" w:leader="none"/>
        </w:tabs>
        <w:spacing w:line="240" w:lineRule="auto" w:before="0" w:after="0"/>
        <w:ind w:left="762" w:right="1453" w:hanging="562"/>
        <w:jc w:val="left"/>
        <w:rPr>
          <w:sz w:val="20"/>
        </w:rPr>
      </w:pPr>
      <w:r>
        <w:rPr>
          <w:sz w:val="20"/>
        </w:rPr>
        <w:t>providing that only Parliament, and not the executive government, can remove an Auditor-General</w:t>
      </w:r>
    </w:p>
    <w:p>
      <w:pPr>
        <w:spacing w:before="58"/>
        <w:ind w:left="762" w:right="155" w:firstLine="7"/>
        <w:jc w:val="left"/>
        <w:rPr>
          <w:sz w:val="20"/>
        </w:rPr>
      </w:pPr>
      <w:r>
        <w:rPr>
          <w:sz w:val="20"/>
        </w:rPr>
        <w:t>mandating the Auditor-General as auditor of public sector agencies, but precluding the provision of non-audit services, thus ensuring the Auditor-General and the Audit Office of New South Wales are not compromised in their roles by the possibility of losing clients or income.</w:t>
      </w:r>
    </w:p>
    <w:p>
      <w:pPr>
        <w:pStyle w:val="BodyText"/>
        <w:spacing w:before="2"/>
        <w:rPr>
          <w:sz w:val="23"/>
        </w:rPr>
      </w:pPr>
    </w:p>
    <w:p>
      <w:pPr>
        <w:spacing w:line="240" w:lineRule="auto" w:before="0"/>
        <w:ind w:left="193" w:right="139" w:firstLine="7"/>
        <w:jc w:val="both"/>
        <w:rPr>
          <w:sz w:val="20"/>
        </w:rPr>
      </w:pPr>
      <w:r>
        <w:rPr>
          <w:sz w:val="20"/>
        </w:rPr>
        <w:t>I confirm that the independence declaration required by the </w:t>
      </w:r>
      <w:r>
        <w:rPr>
          <w:i/>
          <w:sz w:val="20"/>
        </w:rPr>
        <w:t>Corporations Act 2001, </w:t>
      </w:r>
      <w:r>
        <w:rPr>
          <w:sz w:val="20"/>
        </w:rPr>
        <w:t>provided to the directors of the Company on 19 March 2013, would  be in the same terms if provided to the directors  as at the time of this auditor's</w:t>
      </w:r>
      <w:r>
        <w:rPr>
          <w:spacing w:val="12"/>
          <w:sz w:val="20"/>
        </w:rPr>
        <w:t> </w:t>
      </w:r>
      <w:r>
        <w:rPr>
          <w:sz w:val="20"/>
        </w:rPr>
        <w:t>report.</w:t>
      </w:r>
    </w:p>
    <w:p>
      <w:pPr>
        <w:pStyle w:val="BodyText"/>
        <w:rPr>
          <w:sz w:val="20"/>
        </w:rPr>
      </w:pPr>
    </w:p>
    <w:p>
      <w:pPr>
        <w:pStyle w:val="BodyText"/>
        <w:spacing w:before="7"/>
        <w:rPr>
          <w:sz w:val="13"/>
        </w:rPr>
      </w:pPr>
      <w:r>
        <w:rPr/>
        <w:drawing>
          <wp:anchor distT="0" distB="0" distL="0" distR="0" allowOverlap="1" layoutInCell="1" locked="0" behindDoc="0" simplePos="0" relativeHeight="4552">
            <wp:simplePos x="0" y="0"/>
            <wp:positionH relativeFrom="page">
              <wp:posOffset>804672</wp:posOffset>
            </wp:positionH>
            <wp:positionV relativeFrom="paragraph">
              <wp:posOffset>124229</wp:posOffset>
            </wp:positionV>
            <wp:extent cx="1499616" cy="530351"/>
            <wp:effectExtent l="0" t="0" r="0" b="0"/>
            <wp:wrapTopAndBottom/>
            <wp:docPr id="53" name="image54.png" descr=""/>
            <wp:cNvGraphicFramePr>
              <a:graphicFrameLocks noChangeAspect="1"/>
            </wp:cNvGraphicFramePr>
            <a:graphic>
              <a:graphicData uri="http://schemas.openxmlformats.org/drawingml/2006/picture">
                <pic:pic>
                  <pic:nvPicPr>
                    <pic:cNvPr id="54" name="image54.png"/>
                    <pic:cNvPicPr/>
                  </pic:nvPicPr>
                  <pic:blipFill>
                    <a:blip r:embed="rId128" cstate="print"/>
                    <a:stretch>
                      <a:fillRect/>
                    </a:stretch>
                  </pic:blipFill>
                  <pic:spPr>
                    <a:xfrm>
                      <a:off x="0" y="0"/>
                      <a:ext cx="1499616" cy="530351"/>
                    </a:xfrm>
                    <a:prstGeom prst="rect">
                      <a:avLst/>
                    </a:prstGeom>
                  </pic:spPr>
                </pic:pic>
              </a:graphicData>
            </a:graphic>
          </wp:anchor>
        </w:drawing>
      </w:r>
    </w:p>
    <w:p>
      <w:pPr>
        <w:spacing w:before="107"/>
        <w:ind w:left="200" w:right="0" w:firstLine="0"/>
        <w:jc w:val="both"/>
        <w:rPr>
          <w:sz w:val="20"/>
        </w:rPr>
      </w:pPr>
      <w:r>
        <w:rPr>
          <w:sz w:val="20"/>
        </w:rPr>
        <w:t>Renee Meimaroglou</w:t>
      </w:r>
    </w:p>
    <w:p>
      <w:pPr>
        <w:spacing w:before="0"/>
        <w:ind w:left="193" w:right="0" w:firstLine="0"/>
        <w:jc w:val="both"/>
        <w:rPr>
          <w:sz w:val="20"/>
        </w:rPr>
      </w:pPr>
      <w:r>
        <w:rPr>
          <w:sz w:val="20"/>
        </w:rPr>
        <w:t>Director Financial Audit Services</w:t>
      </w:r>
    </w:p>
    <w:p>
      <w:pPr>
        <w:pStyle w:val="BodyText"/>
        <w:rPr>
          <w:sz w:val="20"/>
        </w:rPr>
      </w:pPr>
    </w:p>
    <w:p>
      <w:pPr>
        <w:spacing w:before="1"/>
        <w:ind w:left="186" w:right="7402" w:hanging="8"/>
        <w:jc w:val="left"/>
        <w:rPr>
          <w:sz w:val="20"/>
        </w:rPr>
      </w:pPr>
      <w:r>
        <w:rPr>
          <w:sz w:val="20"/>
        </w:rPr>
        <w:t>4 April 2013 SYDNEY</w:t>
      </w:r>
    </w:p>
    <w:p>
      <w:pPr>
        <w:spacing w:after="0"/>
        <w:jc w:val="left"/>
        <w:rPr>
          <w:sz w:val="20"/>
        </w:rPr>
        <w:sectPr>
          <w:headerReference w:type="default" r:id="rId126"/>
          <w:footerReference w:type="default" r:id="rId127"/>
          <w:pgSz w:w="11910" w:h="16850"/>
          <w:pgMar w:header="0" w:footer="513" w:top="1340" w:bottom="700" w:left="1160" w:right="1300"/>
          <w:pgNumType w:start="117"/>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before="56"/>
        <w:ind w:left="2883" w:right="2884" w:firstLine="0"/>
        <w:jc w:val="center"/>
        <w:rPr>
          <w:rFonts w:ascii="Calibri"/>
          <w:sz w:val="22"/>
        </w:rPr>
      </w:pPr>
      <w:r>
        <w:rPr>
          <w:rFonts w:ascii="Calibri"/>
          <w:sz w:val="22"/>
        </w:rPr>
        <w:t>This page is intentionally blank</w:t>
      </w:r>
    </w:p>
    <w:p>
      <w:pPr>
        <w:spacing w:after="0"/>
        <w:jc w:val="center"/>
        <w:rPr>
          <w:rFonts w:ascii="Calibri"/>
          <w:sz w:val="22"/>
        </w:rPr>
        <w:sectPr>
          <w:headerReference w:type="default" r:id="rId129"/>
          <w:footerReference w:type="default" r:id="rId130"/>
          <w:pgSz w:w="11910" w:h="16840"/>
          <w:pgMar w:header="0" w:footer="507" w:top="1580" w:bottom="700" w:left="1680" w:right="1680"/>
          <w:pgNumType w:start="118"/>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
        <w:rPr>
          <w:rFonts w:ascii="Calibri"/>
          <w:sz w:val="26"/>
        </w:rPr>
      </w:pPr>
    </w:p>
    <w:p>
      <w:pPr>
        <w:pStyle w:val="Heading1"/>
        <w:ind w:right="2118"/>
      </w:pPr>
      <w:r>
        <w:rPr/>
        <w:t>University of Western Sydney Foundation Limited</w:t>
      </w:r>
    </w:p>
    <w:p>
      <w:pPr>
        <w:spacing w:line="230" w:lineRule="exact" w:before="0"/>
        <w:ind w:left="107" w:right="125" w:firstLine="0"/>
        <w:jc w:val="left"/>
        <w:rPr>
          <w:b/>
          <w:sz w:val="20"/>
        </w:rPr>
      </w:pPr>
      <w:r>
        <w:rPr>
          <w:b/>
          <w:sz w:val="20"/>
        </w:rPr>
        <w:t>ABN: 43 050 679 671</w:t>
      </w:r>
    </w:p>
    <w:p>
      <w:pPr>
        <w:pStyle w:val="BodyText"/>
        <w:rPr>
          <w:b/>
          <w:sz w:val="20"/>
        </w:rPr>
      </w:pPr>
    </w:p>
    <w:p>
      <w:pPr>
        <w:pStyle w:val="BodyText"/>
        <w:rPr>
          <w:b/>
          <w:sz w:val="20"/>
        </w:rPr>
      </w:pPr>
    </w:p>
    <w:p>
      <w:pPr>
        <w:pStyle w:val="BodyText"/>
        <w:spacing w:before="10"/>
        <w:rPr>
          <w:b/>
          <w:sz w:val="15"/>
        </w:rPr>
      </w:pPr>
    </w:p>
    <w:p>
      <w:pPr>
        <w:spacing w:before="0"/>
        <w:ind w:left="107" w:right="125" w:firstLine="0"/>
        <w:jc w:val="left"/>
        <w:rPr>
          <w:b/>
          <w:sz w:val="28"/>
        </w:rPr>
      </w:pPr>
      <w:r>
        <w:rPr>
          <w:b/>
          <w:sz w:val="28"/>
        </w:rPr>
        <w:t>Financial Statements</w:t>
      </w:r>
    </w:p>
    <w:p>
      <w:pPr>
        <w:spacing w:before="230"/>
        <w:ind w:left="107" w:right="125" w:firstLine="0"/>
        <w:jc w:val="left"/>
        <w:rPr>
          <w:b/>
          <w:sz w:val="20"/>
        </w:rPr>
      </w:pPr>
      <w:r>
        <w:rPr>
          <w:b/>
          <w:sz w:val="20"/>
        </w:rPr>
        <w:t>For the Year Ended 31 December 2012</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rPr>
      </w:pPr>
    </w:p>
    <w:p>
      <w:pPr>
        <w:pStyle w:val="BodyText"/>
        <w:spacing w:before="1"/>
        <w:ind w:left="107" w:right="125"/>
      </w:pPr>
      <w:r>
        <w:rPr/>
        <w:t>These financial statements of the University of Western Sydney Foundation Limited are presented as an individual entity . The financial statements are presented in Australian currency.</w:t>
      </w:r>
    </w:p>
    <w:p>
      <w:pPr>
        <w:pStyle w:val="BodyText"/>
        <w:spacing w:line="370" w:lineRule="atLeast" w:before="5"/>
        <w:ind w:left="107" w:right="1148"/>
      </w:pPr>
      <w:r>
        <w:rPr/>
        <w:t>The registered office and principal place of business of the University of Western Sydney Foundation Limited is: University of Western Sydney Foundation Limited</w:t>
      </w:r>
    </w:p>
    <w:p>
      <w:pPr>
        <w:pStyle w:val="BodyText"/>
        <w:ind w:left="107" w:right="7662"/>
      </w:pPr>
      <w:r>
        <w:rPr/>
        <w:t>University of Western Sydney Finance Office, Building M16 College Drive</w:t>
      </w:r>
    </w:p>
    <w:p>
      <w:pPr>
        <w:pStyle w:val="BodyText"/>
        <w:spacing w:line="206" w:lineRule="exact"/>
        <w:ind w:left="107" w:right="125"/>
      </w:pPr>
      <w:r>
        <w:rPr/>
        <w:t>Richmond NSW 2753</w:t>
      </w:r>
    </w:p>
    <w:p>
      <w:pPr>
        <w:pStyle w:val="BodyText"/>
      </w:pPr>
    </w:p>
    <w:p>
      <w:pPr>
        <w:pStyle w:val="BodyText"/>
        <w:spacing w:before="4"/>
        <w:rPr>
          <w:sz w:val="21"/>
        </w:rPr>
      </w:pPr>
    </w:p>
    <w:p>
      <w:pPr>
        <w:pStyle w:val="BodyText"/>
        <w:ind w:left="107" w:right="125"/>
      </w:pPr>
      <w:r>
        <w:rPr/>
        <w:t>Registered postal address is:</w:t>
      </w:r>
    </w:p>
    <w:p>
      <w:pPr>
        <w:pStyle w:val="BodyText"/>
        <w:spacing w:before="7"/>
        <w:rPr>
          <w:sz w:val="14"/>
        </w:rPr>
      </w:pPr>
    </w:p>
    <w:p>
      <w:pPr>
        <w:pStyle w:val="BodyText"/>
        <w:ind w:left="107" w:right="6081"/>
      </w:pPr>
      <w:r>
        <w:rPr/>
        <w:t>University of Western Sydney Foundation Limited Locked Bag 1797</w:t>
      </w:r>
    </w:p>
    <w:p>
      <w:pPr>
        <w:pStyle w:val="BodyText"/>
        <w:spacing w:line="206" w:lineRule="exact"/>
        <w:ind w:left="107" w:right="125"/>
      </w:pPr>
      <w:r>
        <w:rPr/>
        <w:t>Penrith NSW 2751</w:t>
      </w:r>
    </w:p>
    <w:p>
      <w:pPr>
        <w:pStyle w:val="BodyText"/>
        <w:spacing w:before="7"/>
        <w:rPr>
          <w:sz w:val="14"/>
        </w:rPr>
      </w:pPr>
    </w:p>
    <w:p>
      <w:pPr>
        <w:pStyle w:val="BodyText"/>
        <w:ind w:left="107" w:right="809"/>
      </w:pPr>
      <w:r>
        <w:rPr/>
        <w:t>A description of the nature of the Company's operations and its principal activities is included in the director' s report which is not part of these financial statements.</w:t>
      </w:r>
    </w:p>
    <w:p>
      <w:pPr>
        <w:pStyle w:val="BodyText"/>
        <w:spacing w:before="7"/>
        <w:rPr>
          <w:sz w:val="14"/>
        </w:rPr>
      </w:pPr>
    </w:p>
    <w:p>
      <w:pPr>
        <w:pStyle w:val="BodyText"/>
        <w:ind w:left="107" w:right="125"/>
      </w:pPr>
      <w:r>
        <w:rPr/>
        <w:t>These financial statements w ere authorised for issue by the directors on 11 April 2013. T he directors have the power to amend and reissue the financial statements.</w:t>
      </w:r>
    </w:p>
    <w:p>
      <w:pPr>
        <w:spacing w:after="0"/>
        <w:sectPr>
          <w:headerReference w:type="default" r:id="rId131"/>
          <w:footerReference w:type="default" r:id="rId132"/>
          <w:pgSz w:w="11910" w:h="16840"/>
          <w:pgMar w:header="0" w:footer="507" w:top="1600" w:bottom="700" w:left="900" w:right="860"/>
          <w:pgNumType w:start="119"/>
        </w:sectPr>
      </w:pPr>
    </w:p>
    <w:p>
      <w:pPr>
        <w:pStyle w:val="BodyText"/>
        <w:spacing w:before="1"/>
        <w:rPr>
          <w:sz w:val="24"/>
        </w:rPr>
      </w:pPr>
    </w:p>
    <w:p>
      <w:pPr>
        <w:spacing w:before="65"/>
        <w:ind w:left="33" w:right="7769" w:firstLine="0"/>
        <w:jc w:val="center"/>
        <w:rPr>
          <w:b/>
          <w:sz w:val="28"/>
        </w:rPr>
      </w:pPr>
      <w:r>
        <w:rPr>
          <w:b/>
          <w:sz w:val="28"/>
        </w:rPr>
        <w:t>Director's report</w:t>
      </w:r>
    </w:p>
    <w:p>
      <w:pPr>
        <w:pStyle w:val="Heading6"/>
        <w:spacing w:before="53"/>
      </w:pPr>
      <w:r>
        <w:rPr/>
        <w:t>31 December 2012</w:t>
      </w:r>
    </w:p>
    <w:p>
      <w:pPr>
        <w:pStyle w:val="BodyText"/>
        <w:rPr>
          <w:b/>
          <w:sz w:val="22"/>
        </w:rPr>
      </w:pPr>
    </w:p>
    <w:p>
      <w:pPr>
        <w:pStyle w:val="BodyText"/>
        <w:spacing w:before="9"/>
        <w:rPr>
          <w:b/>
          <w:sz w:val="29"/>
        </w:rPr>
      </w:pPr>
    </w:p>
    <w:p>
      <w:pPr>
        <w:pStyle w:val="BodyText"/>
        <w:ind w:left="504" w:right="334"/>
      </w:pPr>
      <w:r>
        <w:rPr/>
        <w:t>Your directors present their report on University of Western Sydney Foundation Limited for the financial   year ended   31 December</w:t>
      </w:r>
      <w:r>
        <w:rPr>
          <w:spacing w:val="1"/>
        </w:rPr>
        <w:t> </w:t>
      </w:r>
      <w:r>
        <w:rPr/>
        <w:t>2012</w:t>
      </w:r>
    </w:p>
    <w:p>
      <w:pPr>
        <w:pStyle w:val="BodyText"/>
        <w:spacing w:before="11"/>
        <w:rPr>
          <w:sz w:val="24"/>
        </w:rPr>
      </w:pPr>
    </w:p>
    <w:p>
      <w:pPr>
        <w:pStyle w:val="Heading9"/>
        <w:spacing w:line="207" w:lineRule="exact"/>
        <w:ind w:left="501"/>
        <w:jc w:val="both"/>
      </w:pPr>
      <w:r>
        <w:rPr/>
        <w:t>Directors</w:t>
      </w:r>
    </w:p>
    <w:p>
      <w:pPr>
        <w:pStyle w:val="BodyText"/>
        <w:ind w:left="503" w:right="334"/>
      </w:pPr>
      <w:r>
        <w:rPr/>
        <w:t>The names of each person who has been a director or an alternate director during the year and to the date of this  report</w:t>
      </w:r>
      <w:r>
        <w:rPr>
          <w:spacing w:val="-1"/>
        </w:rPr>
        <w:t> </w:t>
      </w:r>
      <w:r>
        <w:rPr/>
        <w:t>are:</w:t>
      </w:r>
    </w:p>
    <w:p>
      <w:pPr>
        <w:pStyle w:val="BodyText"/>
        <w:spacing w:before="138"/>
        <w:ind w:left="504" w:right="7825"/>
      </w:pPr>
      <w:r>
        <w:rPr/>
        <w:t>Prof. Janice Reid AM Prof. Chung-Tong Wu Ms Lindley Edwards</w:t>
      </w:r>
    </w:p>
    <w:p>
      <w:pPr>
        <w:pStyle w:val="BodyText"/>
        <w:ind w:left="504" w:right="6794"/>
      </w:pPr>
      <w:r>
        <w:rPr/>
        <w:t>Emeritus Prof. Richard Bawden AM Mr Roy Medich OAM</w:t>
      </w:r>
    </w:p>
    <w:p>
      <w:pPr>
        <w:pStyle w:val="BodyText"/>
        <w:spacing w:line="206" w:lineRule="exact"/>
        <w:ind w:left="504"/>
        <w:jc w:val="both"/>
      </w:pPr>
      <w:r>
        <w:rPr/>
        <w:t>Mr John Banks</w:t>
      </w:r>
    </w:p>
    <w:p>
      <w:pPr>
        <w:pStyle w:val="BodyText"/>
        <w:spacing w:line="206" w:lineRule="exact"/>
        <w:ind w:left="504"/>
        <w:jc w:val="both"/>
      </w:pPr>
      <w:r>
        <w:rPr/>
        <w:t>Prof. Peter Shergold AC</w:t>
      </w:r>
    </w:p>
    <w:p>
      <w:pPr>
        <w:pStyle w:val="BodyText"/>
        <w:tabs>
          <w:tab w:pos="3647" w:val="left" w:leader="none"/>
        </w:tabs>
        <w:spacing w:line="206" w:lineRule="exact"/>
        <w:ind w:left="504"/>
        <w:jc w:val="both"/>
      </w:pPr>
      <w:r>
        <w:rPr/>
        <w:t>Mr Daniel</w:t>
      </w:r>
      <w:r>
        <w:rPr>
          <w:spacing w:val="-1"/>
        </w:rPr>
        <w:t> </w:t>
      </w:r>
      <w:r>
        <w:rPr/>
        <w:t>Gilbert</w:t>
      </w:r>
      <w:r>
        <w:rPr>
          <w:spacing w:val="-1"/>
        </w:rPr>
        <w:t> </w:t>
      </w:r>
      <w:r>
        <w:rPr/>
        <w:t>AM</w:t>
        <w:tab/>
        <w:t>Appointed 13 February</w:t>
      </w:r>
      <w:r>
        <w:rPr>
          <w:spacing w:val="2"/>
        </w:rPr>
        <w:t> </w:t>
      </w:r>
      <w:r>
        <w:rPr/>
        <w:t>2012</w:t>
      </w:r>
    </w:p>
    <w:p>
      <w:pPr>
        <w:pStyle w:val="BodyText"/>
        <w:tabs>
          <w:tab w:pos="3647" w:val="left" w:leader="none"/>
        </w:tabs>
        <w:spacing w:line="207" w:lineRule="exact"/>
        <w:ind w:left="504"/>
        <w:jc w:val="both"/>
      </w:pPr>
      <w:r>
        <w:rPr/>
        <w:t>Prof.</w:t>
      </w:r>
      <w:r>
        <w:rPr>
          <w:spacing w:val="2"/>
        </w:rPr>
        <w:t> </w:t>
      </w:r>
      <w:r>
        <w:rPr/>
        <w:t>Wayne</w:t>
      </w:r>
      <w:r>
        <w:rPr>
          <w:spacing w:val="2"/>
        </w:rPr>
        <w:t> </w:t>
      </w:r>
      <w:r>
        <w:rPr/>
        <w:t>McKenna</w:t>
        <w:tab/>
        <w:t>Alternate director for Prof. Janice Reid AM. Appointed 7 August</w:t>
      </w:r>
      <w:r>
        <w:rPr>
          <w:spacing w:val="-1"/>
        </w:rPr>
        <w:t> </w:t>
      </w:r>
      <w:r>
        <w:rPr/>
        <w:t>2012</w:t>
      </w:r>
    </w:p>
    <w:p>
      <w:pPr>
        <w:pStyle w:val="BodyText"/>
      </w:pPr>
    </w:p>
    <w:p>
      <w:pPr>
        <w:pStyle w:val="BodyText"/>
        <w:spacing w:before="10"/>
        <w:rPr>
          <w:sz w:val="14"/>
        </w:rPr>
      </w:pPr>
    </w:p>
    <w:p>
      <w:pPr>
        <w:pStyle w:val="BodyText"/>
        <w:ind w:left="503" w:right="125"/>
      </w:pPr>
      <w:r>
        <w:rPr/>
        <w:t>Directors and alternate directors have been in office since the start of the financial year to the date of this report unless otherwise stated.</w:t>
      </w:r>
    </w:p>
    <w:p>
      <w:pPr>
        <w:pStyle w:val="BodyText"/>
        <w:spacing w:before="11"/>
        <w:rPr>
          <w:sz w:val="24"/>
        </w:rPr>
      </w:pPr>
    </w:p>
    <w:p>
      <w:pPr>
        <w:pStyle w:val="Heading9"/>
        <w:spacing w:line="207" w:lineRule="exact"/>
        <w:ind w:left="501"/>
        <w:jc w:val="both"/>
      </w:pPr>
      <w:r>
        <w:rPr/>
        <w:t>Company secretary</w:t>
      </w:r>
    </w:p>
    <w:p>
      <w:pPr>
        <w:pStyle w:val="BodyText"/>
        <w:ind w:left="503" w:right="125"/>
      </w:pPr>
      <w:r>
        <w:rPr/>
        <w:t>Mr Kerry O'Reilly held the position of Company Secretary for the whole of the financial year and to the date of this report.</w:t>
      </w:r>
    </w:p>
    <w:p>
      <w:pPr>
        <w:pStyle w:val="BodyText"/>
        <w:spacing w:before="11"/>
        <w:rPr>
          <w:sz w:val="24"/>
        </w:rPr>
      </w:pPr>
    </w:p>
    <w:p>
      <w:pPr>
        <w:pStyle w:val="Heading9"/>
        <w:spacing w:line="207" w:lineRule="exact"/>
        <w:ind w:left="501"/>
        <w:jc w:val="both"/>
      </w:pPr>
      <w:r>
        <w:rPr/>
        <w:t>Principal activities</w:t>
      </w:r>
    </w:p>
    <w:p>
      <w:pPr>
        <w:pStyle w:val="BodyText"/>
        <w:ind w:left="503" w:right="116"/>
        <w:jc w:val="both"/>
      </w:pPr>
      <w:r>
        <w:rPr/>
        <w:t>The principal activity of University of Western Sydney Foundation Limited during the financial year was to act as the Trustee of the Trust. The main function of the Company is fundraising in support of the University, and the effective management control of all Trust funds held within the Foundation Trust account.</w:t>
      </w:r>
    </w:p>
    <w:p>
      <w:pPr>
        <w:pStyle w:val="BodyText"/>
        <w:spacing w:before="141"/>
        <w:ind w:left="503"/>
        <w:jc w:val="both"/>
      </w:pPr>
      <w:r>
        <w:rPr/>
        <w:t>No significant changes in the nature of the Company's activity occurred during the financial year.</w:t>
      </w:r>
    </w:p>
    <w:p>
      <w:pPr>
        <w:pStyle w:val="BodyText"/>
        <w:spacing w:before="11"/>
        <w:rPr>
          <w:sz w:val="24"/>
        </w:rPr>
      </w:pPr>
    </w:p>
    <w:p>
      <w:pPr>
        <w:pStyle w:val="Heading9"/>
        <w:spacing w:line="207" w:lineRule="exact"/>
        <w:ind w:left="501"/>
        <w:jc w:val="both"/>
      </w:pPr>
      <w:r>
        <w:rPr/>
        <w:t>Review of operations</w:t>
      </w:r>
    </w:p>
    <w:p>
      <w:pPr>
        <w:pStyle w:val="BodyText"/>
        <w:spacing w:line="207" w:lineRule="exact"/>
        <w:ind w:left="504"/>
        <w:jc w:val="both"/>
      </w:pPr>
      <w:r>
        <w:rPr/>
        <w:t>The surplus of the Company for the year ended 31 December 2012 is $ nil (2011: $nil).</w:t>
      </w:r>
    </w:p>
    <w:p>
      <w:pPr>
        <w:pStyle w:val="BodyText"/>
        <w:spacing w:before="11"/>
        <w:rPr>
          <w:sz w:val="24"/>
        </w:rPr>
      </w:pPr>
    </w:p>
    <w:p>
      <w:pPr>
        <w:pStyle w:val="Heading9"/>
        <w:spacing w:line="207" w:lineRule="exact"/>
        <w:ind w:left="501"/>
        <w:jc w:val="both"/>
      </w:pPr>
      <w:r>
        <w:rPr/>
        <w:t>Dividends paid or recommended</w:t>
      </w:r>
    </w:p>
    <w:p>
      <w:pPr>
        <w:pStyle w:val="BodyText"/>
        <w:ind w:left="503" w:right="226"/>
      </w:pPr>
      <w:r>
        <w:rPr/>
        <w:t>No dividends were paid or declared since the start of the financial year (2011: $nil). No recommendation for payment   of dividends has been</w:t>
      </w:r>
      <w:r>
        <w:rPr>
          <w:spacing w:val="3"/>
        </w:rPr>
        <w:t> </w:t>
      </w:r>
      <w:r>
        <w:rPr/>
        <w:t>made.</w:t>
      </w:r>
    </w:p>
    <w:p>
      <w:pPr>
        <w:pStyle w:val="BodyText"/>
        <w:spacing w:before="11"/>
        <w:rPr>
          <w:sz w:val="24"/>
        </w:rPr>
      </w:pPr>
    </w:p>
    <w:p>
      <w:pPr>
        <w:pStyle w:val="Heading9"/>
        <w:spacing w:line="207" w:lineRule="exact"/>
        <w:ind w:left="501"/>
        <w:jc w:val="both"/>
      </w:pPr>
      <w:r>
        <w:rPr/>
        <w:t>Events after the reporting date</w:t>
      </w:r>
    </w:p>
    <w:p>
      <w:pPr>
        <w:pStyle w:val="BodyText"/>
        <w:ind w:left="503" w:right="114"/>
        <w:jc w:val="both"/>
      </w:pPr>
      <w:r>
        <w:rPr/>
        <w:t>No matters or circumstances have arisen since the end of the financial year which significantly affected or could significantly affect the operations of the Company, the results of those operations or the state of affairs of the Company in future financial years.</w:t>
      </w:r>
    </w:p>
    <w:p>
      <w:pPr>
        <w:pStyle w:val="BodyText"/>
        <w:spacing w:before="11"/>
        <w:rPr>
          <w:sz w:val="24"/>
        </w:rPr>
      </w:pPr>
    </w:p>
    <w:p>
      <w:pPr>
        <w:pStyle w:val="Heading9"/>
        <w:spacing w:line="207" w:lineRule="exact"/>
        <w:ind w:left="501"/>
        <w:jc w:val="both"/>
      </w:pPr>
      <w:r>
        <w:rPr/>
        <w:t>Future developments</w:t>
      </w:r>
    </w:p>
    <w:p>
      <w:pPr>
        <w:pStyle w:val="BodyText"/>
        <w:spacing w:line="207" w:lineRule="exact"/>
        <w:ind w:left="504"/>
        <w:jc w:val="both"/>
      </w:pPr>
      <w:r>
        <w:rPr/>
        <w:t>Future developments are not expected to significantly affect the future operations of the  Company.</w:t>
      </w:r>
    </w:p>
    <w:p>
      <w:pPr>
        <w:pStyle w:val="BodyText"/>
        <w:spacing w:before="11"/>
        <w:rPr>
          <w:sz w:val="24"/>
        </w:rPr>
      </w:pPr>
    </w:p>
    <w:p>
      <w:pPr>
        <w:pStyle w:val="Heading9"/>
        <w:spacing w:line="207" w:lineRule="exact"/>
        <w:ind w:left="501"/>
        <w:jc w:val="both"/>
      </w:pPr>
      <w:r>
        <w:rPr/>
        <w:t>Environmental matters</w:t>
      </w:r>
    </w:p>
    <w:p>
      <w:pPr>
        <w:pStyle w:val="BodyText"/>
        <w:ind w:left="503" w:right="125"/>
      </w:pPr>
      <w:r>
        <w:rPr/>
        <w:t>The Company's operations are not regulated by any significant environmental regulations under a law of the Commonwealth or of a state or territory.</w:t>
      </w:r>
    </w:p>
    <w:p>
      <w:pPr>
        <w:pStyle w:val="BodyText"/>
        <w:spacing w:before="11"/>
        <w:rPr>
          <w:sz w:val="24"/>
        </w:rPr>
      </w:pPr>
    </w:p>
    <w:p>
      <w:pPr>
        <w:pStyle w:val="Heading9"/>
        <w:spacing w:line="207" w:lineRule="exact"/>
        <w:ind w:left="501"/>
        <w:jc w:val="both"/>
      </w:pPr>
      <w:r>
        <w:rPr/>
        <w:t>Auditors independence declaration</w:t>
      </w:r>
    </w:p>
    <w:p>
      <w:pPr>
        <w:pStyle w:val="BodyText"/>
        <w:ind w:left="503" w:right="334"/>
      </w:pPr>
      <w:r>
        <w:rPr/>
        <w:t>The lead auditors independence declaration for the year ended 31 December 2012 has been received and can be  found on page 124 of the financial</w:t>
      </w:r>
      <w:r>
        <w:rPr>
          <w:spacing w:val="5"/>
        </w:rPr>
        <w:t> </w:t>
      </w:r>
      <w:r>
        <w:rPr/>
        <w:t>statements.</w:t>
      </w:r>
    </w:p>
    <w:p>
      <w:pPr>
        <w:spacing w:after="0"/>
        <w:sectPr>
          <w:headerReference w:type="default" r:id="rId133"/>
          <w:pgSz w:w="11910" w:h="16840"/>
          <w:pgMar w:header="1037" w:footer="507" w:top="1460" w:bottom="700" w:left="900" w:right="860"/>
        </w:sectPr>
      </w:pPr>
    </w:p>
    <w:p>
      <w:pPr>
        <w:pStyle w:val="BodyText"/>
        <w:spacing w:before="1"/>
        <w:rPr>
          <w:sz w:val="24"/>
        </w:rPr>
      </w:pPr>
    </w:p>
    <w:p>
      <w:pPr>
        <w:pStyle w:val="Heading3"/>
        <w:ind w:right="115"/>
      </w:pPr>
      <w:r>
        <w:rPr/>
        <w:t>Director's report</w:t>
      </w:r>
    </w:p>
    <w:p>
      <w:pPr>
        <w:pStyle w:val="Heading6"/>
        <w:spacing w:before="53"/>
        <w:ind w:right="115"/>
      </w:pPr>
      <w:r>
        <w:rPr/>
        <w:t>31 December 2012</w:t>
      </w:r>
    </w:p>
    <w:p>
      <w:pPr>
        <w:pStyle w:val="Heading9"/>
        <w:spacing w:before="147"/>
        <w:ind w:left="501" w:right="115"/>
      </w:pPr>
      <w:r>
        <w:rPr/>
        <w:t>Information on directors</w:t>
      </w:r>
    </w:p>
    <w:p>
      <w:pPr>
        <w:pStyle w:val="BodyText"/>
        <w:spacing w:before="6"/>
        <w:rPr>
          <w:b/>
          <w:sz w:val="24"/>
        </w:rPr>
      </w:pPr>
    </w:p>
    <w:p>
      <w:pPr>
        <w:pStyle w:val="BodyText"/>
        <w:tabs>
          <w:tab w:pos="3129" w:val="left" w:leader="none"/>
        </w:tabs>
        <w:ind w:left="504" w:right="115"/>
      </w:pPr>
      <w:r>
        <w:rPr/>
        <w:t>Prof. Janice</w:t>
      </w:r>
      <w:r>
        <w:rPr>
          <w:spacing w:val="1"/>
        </w:rPr>
        <w:t> </w:t>
      </w:r>
      <w:r>
        <w:rPr/>
        <w:t>Reid AM</w:t>
        <w:tab/>
        <w:t>BSc (Adel), MA (Hawaii), PhD (Stan), MA (Stan).</w:t>
      </w:r>
      <w:r>
        <w:rPr>
          <w:spacing w:val="49"/>
        </w:rPr>
        <w:t> </w:t>
      </w:r>
      <w:r>
        <w:rPr/>
        <w:t>Non-Executive.</w:t>
      </w:r>
    </w:p>
    <w:p>
      <w:pPr>
        <w:pStyle w:val="BodyText"/>
        <w:tabs>
          <w:tab w:pos="3129" w:val="left" w:leader="none"/>
        </w:tabs>
        <w:spacing w:before="28"/>
        <w:ind w:left="3129" w:right="115" w:hanging="2626"/>
      </w:pPr>
      <w:r>
        <w:rPr/>
        <w:t>Experience</w:t>
        <w:tab/>
        <w:t>Appointed as Director 18 September 2001. Professor Reid has</w:t>
      </w:r>
      <w:r>
        <w:rPr>
          <w:spacing w:val="7"/>
        </w:rPr>
        <w:t> </w:t>
      </w:r>
      <w:r>
        <w:rPr/>
        <w:t>been Vice-Chancellor</w:t>
      </w:r>
      <w:r>
        <w:rPr>
          <w:w w:val="99"/>
        </w:rPr>
        <w:t> </w:t>
      </w:r>
      <w:r>
        <w:rPr/>
        <w:t>and President of the University of Western Sydney since 1998. She is a recipient of several awards and honours both in Australia and overseas, and has been a member of the boards of public agencies and non-profit organisations at State and Federal levels in the health, welfare, schools, higher education, energy, pension fund, international relations, arts and heritage</w:t>
      </w:r>
      <w:r>
        <w:rPr>
          <w:spacing w:val="4"/>
        </w:rPr>
        <w:t> </w:t>
      </w:r>
      <w:r>
        <w:rPr/>
        <w:t>fields.</w:t>
      </w:r>
    </w:p>
    <w:p>
      <w:pPr>
        <w:pStyle w:val="BodyText"/>
      </w:pPr>
    </w:p>
    <w:p>
      <w:pPr>
        <w:pStyle w:val="BodyText"/>
        <w:tabs>
          <w:tab w:pos="3129" w:val="left" w:leader="none"/>
        </w:tabs>
        <w:spacing w:line="273" w:lineRule="auto" w:before="104"/>
        <w:ind w:left="504" w:right="634"/>
      </w:pPr>
      <w:r>
        <w:rPr/>
        <w:t>Prof.</w:t>
      </w:r>
      <w:r>
        <w:rPr>
          <w:spacing w:val="-1"/>
        </w:rPr>
        <w:t> </w:t>
      </w:r>
      <w:r>
        <w:rPr/>
        <w:t>Chung-Tong</w:t>
      </w:r>
      <w:r>
        <w:rPr>
          <w:spacing w:val="-1"/>
        </w:rPr>
        <w:t> </w:t>
      </w:r>
      <w:r>
        <w:rPr>
          <w:spacing w:val="5"/>
        </w:rPr>
        <w:t>Wu</w:t>
        <w:tab/>
      </w:r>
      <w:r>
        <w:rPr/>
        <w:t>BArch (Calif), MSc (Columbia), PhD (Calif), MPIA,</w:t>
      </w:r>
      <w:r>
        <w:rPr>
          <w:spacing w:val="-1"/>
        </w:rPr>
        <w:t> </w:t>
      </w:r>
      <w:r>
        <w:rPr/>
        <w:t>RAIA.</w:t>
      </w:r>
      <w:r>
        <w:rPr>
          <w:spacing w:val="49"/>
        </w:rPr>
        <w:t> </w:t>
      </w:r>
      <w:r>
        <w:rPr/>
        <w:t>Non-Executive.</w:t>
      </w:r>
      <w:r>
        <w:rPr>
          <w:w w:val="99"/>
        </w:rPr>
        <w:t> </w:t>
      </w:r>
      <w:r>
        <w:rPr/>
        <w:t>Experience</w:t>
        <w:tab/>
        <w:t>Appointed as Director 23 March 2002. Professor </w:t>
      </w:r>
      <w:r>
        <w:rPr>
          <w:spacing w:val="5"/>
        </w:rPr>
        <w:t>Wu </w:t>
      </w:r>
      <w:r>
        <w:rPr/>
        <w:t>is a member of the Urban</w:t>
      </w:r>
    </w:p>
    <w:p>
      <w:pPr>
        <w:pStyle w:val="BodyText"/>
        <w:spacing w:line="178" w:lineRule="exact"/>
        <w:ind w:left="3129" w:right="115"/>
      </w:pPr>
      <w:r>
        <w:rPr/>
        <w:t>Research Centre of the University of Western Sydney. He was Deputy Vice-</w:t>
      </w:r>
    </w:p>
    <w:p>
      <w:pPr>
        <w:pStyle w:val="BodyText"/>
        <w:ind w:left="3129" w:right="186"/>
      </w:pPr>
      <w:r>
        <w:rPr/>
        <w:t>Chancellor and Deputy President (Development and International) of the University of Western Sydney 2002-2006. His portfolio included research, international development, regional engagement and development, commercialisation and capital works.</w:t>
      </w:r>
    </w:p>
    <w:p>
      <w:pPr>
        <w:pStyle w:val="BodyText"/>
      </w:pPr>
    </w:p>
    <w:p>
      <w:pPr>
        <w:pStyle w:val="BodyText"/>
        <w:tabs>
          <w:tab w:pos="3129" w:val="left" w:leader="none"/>
        </w:tabs>
        <w:spacing w:before="104"/>
        <w:ind w:left="3129" w:right="730" w:hanging="2626"/>
      </w:pPr>
      <w:r>
        <w:rPr/>
        <w:t>Ms</w:t>
      </w:r>
      <w:r>
        <w:rPr>
          <w:spacing w:val="-1"/>
        </w:rPr>
        <w:t> </w:t>
      </w:r>
      <w:r>
        <w:rPr/>
        <w:t>Lindley</w:t>
      </w:r>
      <w:r>
        <w:rPr>
          <w:spacing w:val="-1"/>
        </w:rPr>
        <w:t> </w:t>
      </w:r>
      <w:r>
        <w:rPr/>
        <w:t>Edwards</w:t>
        <w:tab/>
        <w:t>BBus (Banking P &amp; Accounting), BBus</w:t>
      </w:r>
      <w:r>
        <w:rPr>
          <w:spacing w:val="-1"/>
        </w:rPr>
        <w:t> </w:t>
      </w:r>
      <w:r>
        <w:rPr/>
        <w:t>(Accounting),</w:t>
      </w:r>
      <w:r>
        <w:rPr>
          <w:spacing w:val="-1"/>
        </w:rPr>
        <w:t> </w:t>
      </w:r>
      <w:r>
        <w:rPr/>
        <w:t>PGDipCorpGovernance,</w:t>
      </w:r>
      <w:r>
        <w:rPr>
          <w:w w:val="99"/>
        </w:rPr>
        <w:t> </w:t>
      </w:r>
      <w:r>
        <w:rPr/>
        <w:t>MAICD, FINSIA.</w:t>
      </w:r>
      <w:r>
        <w:rPr>
          <w:spacing w:val="49"/>
        </w:rPr>
        <w:t> </w:t>
      </w:r>
      <w:r>
        <w:rPr/>
        <w:t>Non-Executive.</w:t>
      </w:r>
    </w:p>
    <w:p>
      <w:pPr>
        <w:pStyle w:val="BodyText"/>
        <w:tabs>
          <w:tab w:pos="3129" w:val="left" w:leader="none"/>
        </w:tabs>
        <w:spacing w:before="28"/>
        <w:ind w:left="3129" w:right="360" w:hanging="2626"/>
        <w:jc w:val="both"/>
      </w:pPr>
      <w:r>
        <w:rPr/>
        <w:t>Experience</w:t>
        <w:tab/>
        <w:t>Appointed as Director 26 March 2009. Ms Edwards is Group CEO of</w:t>
      </w:r>
      <w:r>
        <w:rPr>
          <w:spacing w:val="-1"/>
        </w:rPr>
        <w:t> </w:t>
      </w:r>
      <w:r>
        <w:rPr/>
        <w:t>AFG</w:t>
      </w:r>
      <w:r>
        <w:rPr>
          <w:spacing w:val="-1"/>
        </w:rPr>
        <w:t> </w:t>
      </w:r>
      <w:r>
        <w:rPr/>
        <w:t>Venture</w:t>
      </w:r>
      <w:r>
        <w:rPr>
          <w:w w:val="99"/>
        </w:rPr>
        <w:t> </w:t>
      </w:r>
      <w:r>
        <w:rPr/>
        <w:t>Group. She is a specialist adviser in merger, acquisition, divestments, fundraising, strategic consulting and licensing for growth in public and private</w:t>
      </w:r>
      <w:r>
        <w:rPr>
          <w:spacing w:val="8"/>
        </w:rPr>
        <w:t> </w:t>
      </w:r>
      <w:r>
        <w:rPr/>
        <w:t>companies.</w:t>
      </w:r>
    </w:p>
    <w:p>
      <w:pPr>
        <w:pStyle w:val="BodyText"/>
        <w:ind w:left="3129" w:right="115"/>
      </w:pPr>
      <w:r>
        <w:rPr/>
        <w:t>Previously she was a State Manager (Vice-President) with Citibank, and spent nine years with Macquarie Bank as an Associate Director with the Corporate Banking Division. Ms Edwards has been a state finalist in the Telstra Business Women’s Awards for private sector less than 100 employees. In 2000 she was admitted to the Australian Businesswomen’s Hall of Fame.</w:t>
      </w:r>
    </w:p>
    <w:p>
      <w:pPr>
        <w:pStyle w:val="BodyText"/>
        <w:spacing w:before="4"/>
        <w:rPr>
          <w:sz w:val="20"/>
        </w:rPr>
      </w:pPr>
    </w:p>
    <w:p>
      <w:pPr>
        <w:spacing w:after="0"/>
        <w:rPr>
          <w:sz w:val="20"/>
        </w:rPr>
        <w:sectPr>
          <w:pgSz w:w="11910" w:h="16840"/>
          <w:pgMar w:header="1037" w:footer="507" w:top="1460" w:bottom="700" w:left="900" w:right="940"/>
        </w:sectPr>
      </w:pPr>
    </w:p>
    <w:p>
      <w:pPr>
        <w:pStyle w:val="BodyText"/>
        <w:spacing w:before="77"/>
        <w:ind w:left="504" w:right="-9"/>
      </w:pPr>
      <w:r>
        <w:rPr/>
        <w:t>Emeritus Prof. Richard Bawden AM</w:t>
      </w:r>
    </w:p>
    <w:p>
      <w:pPr>
        <w:pStyle w:val="BodyText"/>
        <w:spacing w:before="77"/>
        <w:ind w:left="504"/>
      </w:pPr>
      <w:r>
        <w:rPr/>
        <w:br w:type="column"/>
      </w:r>
      <w:r>
        <w:rPr/>
        <w:t>PhD (University of Queensland), BSc (Agric.) (Hons) (University of London). Non- Executive.</w:t>
      </w:r>
    </w:p>
    <w:p>
      <w:pPr>
        <w:spacing w:after="0"/>
        <w:sectPr>
          <w:type w:val="continuous"/>
          <w:pgSz w:w="11910" w:h="16840"/>
          <w:pgMar w:top="0" w:bottom="280" w:left="900" w:right="940"/>
          <w:cols w:num="2" w:equalWidth="0">
            <w:col w:w="2326" w:space="300"/>
            <w:col w:w="7444"/>
          </w:cols>
        </w:sectPr>
      </w:pPr>
    </w:p>
    <w:p>
      <w:pPr>
        <w:pStyle w:val="BodyText"/>
        <w:tabs>
          <w:tab w:pos="3129" w:val="left" w:leader="none"/>
        </w:tabs>
        <w:spacing w:before="28"/>
        <w:ind w:left="3129" w:right="149" w:hanging="2626"/>
      </w:pPr>
      <w:r>
        <w:rPr/>
        <w:t>Experience</w:t>
        <w:tab/>
        <w:t>Appointed as Director 11 August 2010. Emeritus Professor Bawden is the</w:t>
      </w:r>
      <w:r>
        <w:rPr>
          <w:spacing w:val="10"/>
        </w:rPr>
        <w:t> </w:t>
      </w:r>
      <w:r>
        <w:rPr/>
        <w:t>Chair of the Hawkesbury Foundation and an adjunct professor at Michigan State University. During his distinguished career he has spent over 20 years at Hawkesbury Agricultural College which incorporated into the University of Western Sydney in 1989. In addition to his academic posts Emeritus Professor Bawden is a foundation Director of Global Business Network Australia and of the Systemic Development Institute and is a senior consultant with Neville Freeman Agency in Australia. In 2000 he was appointed Membership of the Order of Australia in recognition of his national and international work in systemic</w:t>
      </w:r>
      <w:r>
        <w:rPr>
          <w:spacing w:val="4"/>
        </w:rPr>
        <w:t> </w:t>
      </w:r>
      <w:r>
        <w:rPr/>
        <w:t>development.</w:t>
      </w:r>
    </w:p>
    <w:p>
      <w:pPr>
        <w:pStyle w:val="BodyText"/>
      </w:pPr>
    </w:p>
    <w:p>
      <w:pPr>
        <w:pStyle w:val="BodyText"/>
        <w:tabs>
          <w:tab w:pos="3129" w:val="left" w:leader="none"/>
        </w:tabs>
        <w:spacing w:before="104"/>
        <w:ind w:left="504" w:right="115"/>
      </w:pPr>
      <w:r>
        <w:rPr/>
        <w:t>Mr Roy</w:t>
      </w:r>
      <w:r>
        <w:rPr>
          <w:spacing w:val="-6"/>
        </w:rPr>
        <w:t> </w:t>
      </w:r>
      <w:r>
        <w:rPr/>
        <w:t>Medich</w:t>
      </w:r>
      <w:r>
        <w:rPr>
          <w:spacing w:val="-3"/>
        </w:rPr>
        <w:t> </w:t>
      </w:r>
      <w:r>
        <w:rPr/>
        <w:t>OAM</w:t>
        <w:tab/>
        <w:t>Non-Executive.</w:t>
      </w:r>
    </w:p>
    <w:p>
      <w:pPr>
        <w:pStyle w:val="BodyText"/>
        <w:tabs>
          <w:tab w:pos="3129" w:val="left" w:leader="none"/>
        </w:tabs>
        <w:spacing w:before="28"/>
        <w:ind w:left="3129" w:right="182" w:hanging="2626"/>
      </w:pPr>
      <w:r>
        <w:rPr/>
        <w:t>Experience</w:t>
        <w:tab/>
        <w:t>Appointed as Director 23 August 2006. Mr Medich is the Managing</w:t>
      </w:r>
      <w:r>
        <w:rPr>
          <w:spacing w:val="-1"/>
        </w:rPr>
        <w:t> </w:t>
      </w:r>
      <w:r>
        <w:rPr/>
        <w:t>Director</w:t>
      </w:r>
      <w:r>
        <w:rPr>
          <w:spacing w:val="-1"/>
        </w:rPr>
        <w:t> </w:t>
      </w:r>
      <w:r>
        <w:rPr/>
        <w:t>of Medich Corporation a substantial property investment and development group. He is extensively involved with the south-western Sydney community, in particular Liverpool Hospital. He was a director of the South Western Sydney Area Health Service 1998-2003. He is also involved with The Health Research Foundation, Sydney South West, Salvation Army Advisory Board for Greater Western Sydney and an extensive range of community committees. Mr Medich has received The Mayor’s Service to Liverpool Award, the Centenary of Federation Medal for his service to the Liverpool community, the title of Liverpool Businessman of the Year and a Companion of the Order of Liverpool. In 1999 he was awarded the Medal of the Order of Australia for services to the community through</w:t>
      </w:r>
      <w:r>
        <w:rPr>
          <w:spacing w:val="9"/>
        </w:rPr>
        <w:t> </w:t>
      </w:r>
      <w:r>
        <w:rPr/>
        <w:t>fundraising.</w:t>
      </w:r>
    </w:p>
    <w:p>
      <w:pPr>
        <w:spacing w:after="0"/>
        <w:sectPr>
          <w:type w:val="continuous"/>
          <w:pgSz w:w="11910" w:h="16840"/>
          <w:pgMar w:top="0" w:bottom="280" w:left="900" w:right="940"/>
        </w:sectPr>
      </w:pPr>
    </w:p>
    <w:p>
      <w:pPr>
        <w:pStyle w:val="BodyText"/>
        <w:spacing w:before="1"/>
        <w:rPr>
          <w:sz w:val="24"/>
        </w:rPr>
      </w:pPr>
    </w:p>
    <w:p>
      <w:pPr>
        <w:pStyle w:val="Heading3"/>
        <w:ind w:right="115"/>
      </w:pPr>
      <w:r>
        <w:rPr/>
        <w:t>Director's report</w:t>
      </w:r>
    </w:p>
    <w:p>
      <w:pPr>
        <w:pStyle w:val="Heading6"/>
        <w:spacing w:before="53"/>
        <w:ind w:right="115"/>
      </w:pPr>
      <w:r>
        <w:rPr/>
        <w:t>31 December 2012</w:t>
      </w:r>
    </w:p>
    <w:p>
      <w:pPr>
        <w:pStyle w:val="BodyText"/>
        <w:spacing w:before="1"/>
        <w:rPr>
          <w:b/>
          <w:sz w:val="25"/>
        </w:rPr>
      </w:pPr>
    </w:p>
    <w:p>
      <w:pPr>
        <w:pStyle w:val="Heading9"/>
        <w:ind w:left="501" w:right="115"/>
      </w:pPr>
      <w:r>
        <w:rPr/>
        <w:t>Information on directors (continued)</w:t>
      </w:r>
    </w:p>
    <w:p>
      <w:pPr>
        <w:pStyle w:val="BodyText"/>
        <w:spacing w:before="6"/>
        <w:rPr>
          <w:b/>
          <w:sz w:val="24"/>
        </w:rPr>
      </w:pPr>
    </w:p>
    <w:p>
      <w:pPr>
        <w:pStyle w:val="BodyText"/>
        <w:tabs>
          <w:tab w:pos="3129" w:val="left" w:leader="none"/>
        </w:tabs>
        <w:ind w:left="504" w:right="115"/>
      </w:pPr>
      <w:r>
        <w:rPr/>
        <w:t>Mr</w:t>
      </w:r>
      <w:r>
        <w:rPr>
          <w:spacing w:val="-1"/>
        </w:rPr>
        <w:t> </w:t>
      </w:r>
      <w:r>
        <w:rPr/>
        <w:t>John</w:t>
      </w:r>
      <w:r>
        <w:rPr>
          <w:spacing w:val="-1"/>
        </w:rPr>
        <w:t> </w:t>
      </w:r>
      <w:r>
        <w:rPr/>
        <w:t>Banks</w:t>
        <w:tab/>
        <w:t>Non-Executive.</w:t>
      </w:r>
    </w:p>
    <w:p>
      <w:pPr>
        <w:pStyle w:val="BodyText"/>
        <w:tabs>
          <w:tab w:pos="3129" w:val="left" w:leader="none"/>
        </w:tabs>
        <w:spacing w:before="28"/>
        <w:ind w:left="3129" w:right="149" w:hanging="2626"/>
      </w:pPr>
      <w:r>
        <w:rPr/>
        <w:t>Experience</w:t>
        <w:tab/>
        <w:t>Appointed as Director 28 March 2008. Mr Banks is Executive Director of</w:t>
      </w:r>
      <w:r>
        <w:rPr>
          <w:spacing w:val="-1"/>
        </w:rPr>
        <w:t> </w:t>
      </w:r>
      <w:r>
        <w:rPr/>
        <w:t>Talent2</w:t>
      </w:r>
      <w:r>
        <w:rPr>
          <w:spacing w:val="-1"/>
        </w:rPr>
        <w:t> </w:t>
      </w:r>
      <w:r>
        <w:rPr/>
        <w:t>and</w:t>
      </w:r>
      <w:r>
        <w:rPr>
          <w:w w:val="99"/>
        </w:rPr>
        <w:t> </w:t>
      </w:r>
      <w:r>
        <w:rPr/>
        <w:t>has dedicated himself to the world of recruitment, outplacement and HR consulting. He was founder and Chairman of The Banks Management Group which provided a range of human resource and performance management services to industry, including leadership, change management, HR outsourcing and best practice. His commitment to the University not only includes his role with </w:t>
      </w:r>
      <w:r>
        <w:rPr>
          <w:spacing w:val="3"/>
        </w:rPr>
        <w:t>UWS </w:t>
      </w:r>
      <w:r>
        <w:rPr/>
        <w:t>Foundation Ltd but includes membership of the </w:t>
      </w:r>
      <w:r>
        <w:rPr>
          <w:spacing w:val="3"/>
        </w:rPr>
        <w:t>UWS </w:t>
      </w:r>
      <w:r>
        <w:rPr/>
        <w:t>Board of Trustees and Director of uwsconnect</w:t>
      </w:r>
      <w:r>
        <w:rPr>
          <w:spacing w:val="1"/>
        </w:rPr>
        <w:t> </w:t>
      </w:r>
      <w:r>
        <w:rPr/>
        <w:t>Ltd.</w:t>
      </w:r>
    </w:p>
    <w:p>
      <w:pPr>
        <w:pStyle w:val="BodyText"/>
      </w:pPr>
    </w:p>
    <w:p>
      <w:pPr>
        <w:pStyle w:val="BodyText"/>
        <w:tabs>
          <w:tab w:pos="3129" w:val="left" w:leader="none"/>
        </w:tabs>
        <w:spacing w:line="273" w:lineRule="auto" w:before="104"/>
        <w:ind w:left="504" w:right="157"/>
      </w:pPr>
      <w:r>
        <w:rPr/>
        <w:t>Prof. Peter</w:t>
      </w:r>
      <w:r>
        <w:rPr>
          <w:spacing w:val="-1"/>
        </w:rPr>
        <w:t> </w:t>
      </w:r>
      <w:r>
        <w:rPr/>
        <w:t>Shergold</w:t>
      </w:r>
      <w:r>
        <w:rPr>
          <w:spacing w:val="-1"/>
        </w:rPr>
        <w:t> </w:t>
      </w:r>
      <w:r>
        <w:rPr/>
        <w:t>AC</w:t>
        <w:tab/>
        <w:t>BA (Hons) (Hull), MA (Illinois), PhD (LSE), FASSA,</w:t>
      </w:r>
      <w:r>
        <w:rPr>
          <w:spacing w:val="-1"/>
        </w:rPr>
        <w:t> </w:t>
      </w:r>
      <w:r>
        <w:rPr/>
        <w:t>FAICD.</w:t>
      </w:r>
      <w:r>
        <w:rPr>
          <w:spacing w:val="49"/>
        </w:rPr>
        <w:t> </w:t>
      </w:r>
      <w:r>
        <w:rPr/>
        <w:t>Non-Executive.</w:t>
      </w:r>
      <w:r>
        <w:rPr>
          <w:w w:val="99"/>
        </w:rPr>
        <w:t> </w:t>
      </w:r>
      <w:r>
        <w:rPr/>
        <w:t>Experience</w:t>
        <w:tab/>
        <w:t>Appointed as Director 23 February 2011. Professor Shergold is the Chancellor of</w:t>
      </w:r>
      <w:r>
        <w:rPr>
          <w:spacing w:val="11"/>
        </w:rPr>
        <w:t> </w:t>
      </w:r>
      <w:r>
        <w:rPr/>
        <w:t>the</w:t>
      </w:r>
    </w:p>
    <w:p>
      <w:pPr>
        <w:pStyle w:val="BodyText"/>
        <w:spacing w:line="178" w:lineRule="exact"/>
        <w:ind w:left="3129" w:right="115"/>
      </w:pPr>
      <w:r>
        <w:rPr/>
        <w:t>University of Western Sydney. He was installed as UWS Chancellor by the Governor</w:t>
      </w:r>
    </w:p>
    <w:p>
      <w:pPr>
        <w:pStyle w:val="BodyText"/>
        <w:ind w:left="3129" w:right="182"/>
      </w:pPr>
      <w:r>
        <w:rPr/>
        <w:t>of NSW, Her Excellency Professor Marie Bashir AC CVO, and in this capacity chairs the University's Board of Trustees. With a distinguished academic and public service career that spans over three decades, he brings a wealth of knowledge and experience to his role with the University. Professor Shergold was the Secretary of the Department of the Prime Minister and Cabinet from 2003-2008 and as such was the nation’s most senior public servant. In two decades as a senior public servant he served four Prime Ministers and eight Ministers in both Labor and Coalition governments.</w:t>
      </w:r>
    </w:p>
    <w:p>
      <w:pPr>
        <w:pStyle w:val="BodyText"/>
      </w:pPr>
    </w:p>
    <w:p>
      <w:pPr>
        <w:pStyle w:val="BodyText"/>
        <w:tabs>
          <w:tab w:pos="3129" w:val="left" w:leader="none"/>
        </w:tabs>
        <w:spacing w:before="104"/>
        <w:ind w:left="504" w:right="115"/>
      </w:pPr>
      <w:r>
        <w:rPr/>
        <w:t>Mr Daniel</w:t>
      </w:r>
      <w:r>
        <w:rPr>
          <w:spacing w:val="-1"/>
        </w:rPr>
        <w:t> </w:t>
      </w:r>
      <w:r>
        <w:rPr/>
        <w:t>Gilbert</w:t>
      </w:r>
      <w:r>
        <w:rPr>
          <w:spacing w:val="-1"/>
        </w:rPr>
        <w:t> </w:t>
      </w:r>
      <w:r>
        <w:rPr/>
        <w:t>AM</w:t>
        <w:tab/>
        <w:t>LLB.  Non-Executive.</w:t>
      </w:r>
      <w:r>
        <w:rPr>
          <w:spacing w:val="49"/>
        </w:rPr>
        <w:t> </w:t>
      </w:r>
      <w:r>
        <w:rPr/>
        <w:t>Chair.</w:t>
      </w:r>
    </w:p>
    <w:p>
      <w:pPr>
        <w:pStyle w:val="BodyText"/>
        <w:tabs>
          <w:tab w:pos="3129" w:val="left" w:leader="none"/>
        </w:tabs>
        <w:spacing w:before="28"/>
        <w:ind w:left="3129" w:right="226" w:hanging="2626"/>
      </w:pPr>
      <w:r>
        <w:rPr/>
        <w:t>Experience</w:t>
        <w:tab/>
        <w:t>Appointed as Director and Chair 13 Feb 2012. Mr Gilbert is a Managing</w:t>
      </w:r>
      <w:r>
        <w:rPr>
          <w:spacing w:val="-1"/>
        </w:rPr>
        <w:t> </w:t>
      </w:r>
      <w:r>
        <w:rPr/>
        <w:t>Partner</w:t>
      </w:r>
      <w:r>
        <w:rPr>
          <w:spacing w:val="-1"/>
        </w:rPr>
        <w:t> </w:t>
      </w:r>
      <w:r>
        <w:rPr/>
        <w:t>and</w:t>
      </w:r>
      <w:r>
        <w:rPr>
          <w:w w:val="99"/>
        </w:rPr>
        <w:t> </w:t>
      </w:r>
      <w:r>
        <w:rPr/>
        <w:t>co-founder of Gilbert and Tobin, one of Australia’s most successful corporate law firms. His skills and experience includes over 30 years in commercial law, specialising in technology and corporate law. Along with his position as Chair of the </w:t>
      </w:r>
      <w:r>
        <w:rPr>
          <w:spacing w:val="3"/>
        </w:rPr>
        <w:t>UWS </w:t>
      </w:r>
      <w:r>
        <w:rPr/>
        <w:t>Foundation, Mr Gilbert is also Chairman of the National Museum of Australia and a Non-Executive Director of the National Australia Bank Limited. He is also a trustee of several private charitable trusts. In 2005 he was honoured with the Order of Australia (AM) for his services to the law and the community, particularly Australia’s Indigenous</w:t>
      </w:r>
      <w:r>
        <w:rPr>
          <w:spacing w:val="1"/>
        </w:rPr>
        <w:t> </w:t>
      </w:r>
      <w:r>
        <w:rPr/>
        <w:t>peoples.</w:t>
      </w:r>
    </w:p>
    <w:p>
      <w:pPr>
        <w:pStyle w:val="BodyText"/>
      </w:pPr>
    </w:p>
    <w:p>
      <w:pPr>
        <w:pStyle w:val="BodyText"/>
        <w:tabs>
          <w:tab w:pos="3129" w:val="left" w:leader="none"/>
        </w:tabs>
        <w:spacing w:before="104"/>
        <w:ind w:left="504"/>
      </w:pPr>
      <w:r>
        <w:rPr/>
        <w:t>Prof.</w:t>
      </w:r>
      <w:r>
        <w:rPr>
          <w:spacing w:val="2"/>
        </w:rPr>
        <w:t> </w:t>
      </w:r>
      <w:r>
        <w:rPr/>
        <w:t>Wayne</w:t>
      </w:r>
      <w:r>
        <w:rPr>
          <w:spacing w:val="2"/>
        </w:rPr>
        <w:t> </w:t>
      </w:r>
      <w:r>
        <w:rPr/>
        <w:t>McKenna</w:t>
        <w:tab/>
        <w:t>BA (Hons), PhD (University of Leeds).  Non-Executive Alternate for Prof. Janice Reid.</w:t>
      </w:r>
    </w:p>
    <w:p>
      <w:pPr>
        <w:pStyle w:val="BodyText"/>
        <w:tabs>
          <w:tab w:pos="3129" w:val="left" w:leader="none"/>
        </w:tabs>
        <w:spacing w:before="28"/>
        <w:ind w:left="3129" w:right="131" w:hanging="2626"/>
      </w:pPr>
      <w:r>
        <w:rPr/>
        <w:t>Experience</w:t>
        <w:tab/>
        <w:t>Appointed as Alternate Director 7 August 2012. Professor McKenna has</w:t>
      </w:r>
      <w:r>
        <w:rPr>
          <w:spacing w:val="9"/>
        </w:rPr>
        <w:t> </w:t>
      </w:r>
      <w:r>
        <w:rPr/>
        <w:t>fifteen years</w:t>
      </w:r>
      <w:r>
        <w:rPr>
          <w:w w:val="99"/>
        </w:rPr>
        <w:t> </w:t>
      </w:r>
      <w:r>
        <w:rPr/>
        <w:t>experience in senior management roles in universities, including periods as Deputy Vice-Chancellor (Academic and Research) at </w:t>
      </w:r>
      <w:r>
        <w:rPr>
          <w:spacing w:val="3"/>
        </w:rPr>
        <w:t>UWS </w:t>
      </w:r>
      <w:r>
        <w:rPr/>
        <w:t>and Deputy Vice-Chancellor (Research) at the Australian Catholic</w:t>
      </w:r>
      <w:r>
        <w:rPr>
          <w:spacing w:val="-1"/>
        </w:rPr>
        <w:t> </w:t>
      </w:r>
      <w:r>
        <w:rPr/>
        <w:t>University.</w:t>
      </w:r>
    </w:p>
    <w:p>
      <w:pPr>
        <w:spacing w:after="0"/>
        <w:sectPr>
          <w:pgSz w:w="11910" w:h="16840"/>
          <w:pgMar w:header="1037" w:footer="507" w:top="1460" w:bottom="700" w:left="900" w:right="940"/>
        </w:sectPr>
      </w:pPr>
    </w:p>
    <w:p>
      <w:pPr>
        <w:pStyle w:val="Heading6"/>
        <w:spacing w:before="47"/>
        <w:ind w:right="210"/>
      </w:pPr>
      <w:r>
        <w:rPr/>
        <w:t>University of Western Sydney Foundation Limited</w:t>
      </w:r>
    </w:p>
    <w:p>
      <w:pPr>
        <w:spacing w:before="55"/>
        <w:ind w:left="107" w:right="210" w:firstLine="0"/>
        <w:jc w:val="left"/>
        <w:rPr>
          <w:b/>
          <w:sz w:val="14"/>
        </w:rPr>
      </w:pPr>
      <w:r>
        <w:rPr>
          <w:b/>
          <w:sz w:val="14"/>
        </w:rPr>
        <w:t>ABN: 43 050 679 671</w:t>
      </w:r>
    </w:p>
    <w:p>
      <w:pPr>
        <w:pStyle w:val="BodyText"/>
        <w:rPr>
          <w:b/>
          <w:sz w:val="14"/>
        </w:rPr>
      </w:pPr>
    </w:p>
    <w:p>
      <w:pPr>
        <w:pStyle w:val="BodyText"/>
        <w:spacing w:before="8"/>
        <w:rPr>
          <w:b/>
          <w:sz w:val="15"/>
        </w:rPr>
      </w:pPr>
    </w:p>
    <w:p>
      <w:pPr>
        <w:pStyle w:val="Heading3"/>
        <w:spacing w:before="0"/>
        <w:ind w:right="210"/>
      </w:pPr>
      <w:r>
        <w:rPr/>
        <w:t>Director's report</w:t>
      </w:r>
    </w:p>
    <w:p>
      <w:pPr>
        <w:pStyle w:val="Heading6"/>
        <w:spacing w:before="56"/>
        <w:ind w:right="210"/>
      </w:pPr>
      <w:r>
        <w:rPr/>
        <w:t>31 December 2012</w:t>
      </w:r>
    </w:p>
    <w:p>
      <w:pPr>
        <w:pStyle w:val="Heading9"/>
        <w:spacing w:before="144"/>
        <w:ind w:left="504" w:right="210"/>
      </w:pPr>
      <w:r>
        <w:rPr/>
        <w:t>Meetings of directors</w:t>
      </w:r>
    </w:p>
    <w:p>
      <w:pPr>
        <w:pStyle w:val="BodyText"/>
        <w:spacing w:before="4"/>
        <w:ind w:left="504" w:right="210"/>
      </w:pPr>
      <w:r>
        <w:rPr/>
        <w:t>During the financial year, 3 meetings of directors (including committees of directors) were held. Attendances by each director during the year were as follows:</w:t>
      </w:r>
    </w:p>
    <w:p>
      <w:pPr>
        <w:pStyle w:val="BodyText"/>
        <w:rPr>
          <w:sz w:val="20"/>
        </w:rPr>
      </w:pPr>
    </w:p>
    <w:tbl>
      <w:tblPr>
        <w:tblW w:w="0" w:type="auto"/>
        <w:jc w:val="left"/>
        <w:tblInd w:w="49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18"/>
        <w:gridCol w:w="1248"/>
        <w:gridCol w:w="1248"/>
      </w:tblGrid>
      <w:tr>
        <w:trPr>
          <w:trHeight w:val="262" w:hRule="exact"/>
        </w:trPr>
        <w:tc>
          <w:tcPr>
            <w:tcW w:w="3118" w:type="dxa"/>
            <w:vMerge w:val="restart"/>
            <w:tcBorders>
              <w:right w:val="single" w:sz="4" w:space="0" w:color="000000"/>
            </w:tcBorders>
          </w:tcPr>
          <w:p>
            <w:pPr/>
          </w:p>
        </w:tc>
        <w:tc>
          <w:tcPr>
            <w:tcW w:w="2496"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7"/>
              <w:ind w:left="525"/>
              <w:rPr>
                <w:b/>
                <w:sz w:val="16"/>
              </w:rPr>
            </w:pPr>
            <w:r>
              <w:rPr>
                <w:b/>
                <w:sz w:val="16"/>
              </w:rPr>
              <w:t>Directors' Meetings</w:t>
            </w:r>
          </w:p>
        </w:tc>
      </w:tr>
      <w:tr>
        <w:trPr>
          <w:trHeight w:val="401" w:hRule="exact"/>
        </w:trPr>
        <w:tc>
          <w:tcPr>
            <w:tcW w:w="3118" w:type="dxa"/>
            <w:vMerge/>
            <w:tcBorders>
              <w:bottom w:val="single" w:sz="4" w:space="0" w:color="000000"/>
              <w:right w:val="single" w:sz="4" w:space="0" w:color="000000"/>
            </w:tcBorders>
          </w:tcPr>
          <w:p>
            <w:pP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before="29"/>
              <w:ind w:left="345" w:right="51" w:hanging="228"/>
              <w:rPr>
                <w:b/>
                <w:sz w:val="14"/>
              </w:rPr>
            </w:pPr>
            <w:r>
              <w:rPr>
                <w:b/>
                <w:sz w:val="14"/>
              </w:rPr>
              <w:t>Number eligible to attend</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before="29"/>
              <w:ind w:left="350" w:firstLine="28"/>
              <w:rPr>
                <w:b/>
                <w:sz w:val="14"/>
              </w:rPr>
            </w:pPr>
            <w:r>
              <w:rPr>
                <w:b/>
                <w:sz w:val="14"/>
              </w:rPr>
              <w:t>Number </w:t>
            </w:r>
            <w:r>
              <w:rPr>
                <w:b/>
                <w:w w:val="95"/>
                <w:sz w:val="14"/>
              </w:rPr>
              <w:t>attended</w:t>
            </w:r>
          </w:p>
        </w:tc>
      </w:tr>
      <w:tr>
        <w:trPr>
          <w:trHeight w:val="248" w:hRule="exact"/>
        </w:trPr>
        <w:tc>
          <w:tcPr>
            <w:tcW w:w="3118" w:type="dxa"/>
            <w:tcBorders>
              <w:top w:val="single" w:sz="4" w:space="0" w:color="000000"/>
              <w:left w:val="single" w:sz="4" w:space="0" w:color="000000"/>
              <w:right w:val="single" w:sz="4" w:space="0" w:color="000000"/>
            </w:tcBorders>
          </w:tcPr>
          <w:p>
            <w:pPr>
              <w:pStyle w:val="TableParagraph"/>
              <w:spacing w:before="22"/>
              <w:ind w:left="69"/>
              <w:rPr>
                <w:sz w:val="16"/>
              </w:rPr>
            </w:pPr>
            <w:r>
              <w:rPr>
                <w:sz w:val="16"/>
              </w:rPr>
              <w:t>Prof. Janice Reid AM</w:t>
            </w:r>
          </w:p>
        </w:tc>
        <w:tc>
          <w:tcPr>
            <w:tcW w:w="1248" w:type="dxa"/>
            <w:tcBorders>
              <w:top w:val="single" w:sz="4" w:space="0" w:color="000000"/>
              <w:left w:val="single" w:sz="4" w:space="0" w:color="000000"/>
              <w:right w:val="single" w:sz="4" w:space="0" w:color="000000"/>
            </w:tcBorders>
          </w:tcPr>
          <w:p>
            <w:pPr>
              <w:pStyle w:val="TableParagraph"/>
              <w:spacing w:before="22"/>
              <w:ind w:left="46"/>
              <w:jc w:val="center"/>
              <w:rPr>
                <w:sz w:val="16"/>
              </w:rPr>
            </w:pPr>
            <w:r>
              <w:rPr>
                <w:w w:val="100"/>
                <w:sz w:val="16"/>
              </w:rPr>
              <w:t>3</w:t>
            </w:r>
          </w:p>
        </w:tc>
        <w:tc>
          <w:tcPr>
            <w:tcW w:w="1248" w:type="dxa"/>
            <w:tcBorders>
              <w:top w:val="single" w:sz="4" w:space="0" w:color="000000"/>
              <w:left w:val="single" w:sz="4" w:space="0" w:color="000000"/>
              <w:right w:val="single" w:sz="4" w:space="0" w:color="000000"/>
            </w:tcBorders>
          </w:tcPr>
          <w:p>
            <w:pPr>
              <w:pStyle w:val="TableParagraph"/>
              <w:spacing w:before="22"/>
              <w:ind w:right="549"/>
              <w:jc w:val="right"/>
              <w:rPr>
                <w:sz w:val="16"/>
              </w:rPr>
            </w:pPr>
            <w:r>
              <w:rPr>
                <w:w w:val="100"/>
                <w:sz w:val="16"/>
              </w:rPr>
              <w:t>2</w:t>
            </w:r>
          </w:p>
        </w:tc>
      </w:tr>
      <w:tr>
        <w:trPr>
          <w:trHeight w:val="240" w:hRule="exact"/>
        </w:trPr>
        <w:tc>
          <w:tcPr>
            <w:tcW w:w="3118" w:type="dxa"/>
            <w:tcBorders>
              <w:left w:val="single" w:sz="4" w:space="0" w:color="000000"/>
              <w:right w:val="single" w:sz="4" w:space="0" w:color="000000"/>
            </w:tcBorders>
          </w:tcPr>
          <w:p>
            <w:pPr>
              <w:pStyle w:val="TableParagraph"/>
              <w:spacing w:before="20"/>
              <w:ind w:left="69"/>
              <w:rPr>
                <w:sz w:val="16"/>
              </w:rPr>
            </w:pPr>
            <w:r>
              <w:rPr>
                <w:sz w:val="16"/>
              </w:rPr>
              <w:t>Prof. Chung-Tong Wu</w:t>
            </w:r>
          </w:p>
        </w:tc>
        <w:tc>
          <w:tcPr>
            <w:tcW w:w="1248" w:type="dxa"/>
            <w:tcBorders>
              <w:left w:val="single" w:sz="4" w:space="0" w:color="000000"/>
              <w:right w:val="single" w:sz="4" w:space="0" w:color="000000"/>
            </w:tcBorders>
          </w:tcPr>
          <w:p>
            <w:pPr>
              <w:pStyle w:val="TableParagraph"/>
              <w:spacing w:before="20"/>
              <w:ind w:left="46"/>
              <w:jc w:val="center"/>
              <w:rPr>
                <w:sz w:val="16"/>
              </w:rPr>
            </w:pPr>
            <w:r>
              <w:rPr>
                <w:w w:val="100"/>
                <w:sz w:val="16"/>
              </w:rPr>
              <w:t>3</w:t>
            </w:r>
          </w:p>
        </w:tc>
        <w:tc>
          <w:tcPr>
            <w:tcW w:w="1248" w:type="dxa"/>
            <w:tcBorders>
              <w:left w:val="single" w:sz="4" w:space="0" w:color="000000"/>
              <w:right w:val="single" w:sz="4" w:space="0" w:color="000000"/>
            </w:tcBorders>
          </w:tcPr>
          <w:p>
            <w:pPr>
              <w:pStyle w:val="TableParagraph"/>
              <w:spacing w:before="20"/>
              <w:ind w:right="549"/>
              <w:jc w:val="right"/>
              <w:rPr>
                <w:sz w:val="16"/>
              </w:rPr>
            </w:pPr>
            <w:r>
              <w:rPr>
                <w:w w:val="100"/>
                <w:sz w:val="16"/>
              </w:rPr>
              <w:t>2</w:t>
            </w:r>
          </w:p>
        </w:tc>
      </w:tr>
      <w:tr>
        <w:trPr>
          <w:trHeight w:val="240" w:hRule="exact"/>
        </w:trPr>
        <w:tc>
          <w:tcPr>
            <w:tcW w:w="3118" w:type="dxa"/>
            <w:tcBorders>
              <w:left w:val="single" w:sz="4" w:space="0" w:color="000000"/>
              <w:right w:val="single" w:sz="4" w:space="0" w:color="000000"/>
            </w:tcBorders>
          </w:tcPr>
          <w:p>
            <w:pPr>
              <w:pStyle w:val="TableParagraph"/>
              <w:spacing w:before="20"/>
              <w:ind w:left="69"/>
              <w:rPr>
                <w:sz w:val="16"/>
              </w:rPr>
            </w:pPr>
            <w:r>
              <w:rPr>
                <w:sz w:val="16"/>
              </w:rPr>
              <w:t>Ms Lindley Edwards</w:t>
            </w:r>
          </w:p>
        </w:tc>
        <w:tc>
          <w:tcPr>
            <w:tcW w:w="1248" w:type="dxa"/>
            <w:tcBorders>
              <w:left w:val="single" w:sz="4" w:space="0" w:color="000000"/>
              <w:right w:val="single" w:sz="4" w:space="0" w:color="000000"/>
            </w:tcBorders>
          </w:tcPr>
          <w:p>
            <w:pPr>
              <w:pStyle w:val="TableParagraph"/>
              <w:spacing w:before="20"/>
              <w:ind w:left="46"/>
              <w:jc w:val="center"/>
              <w:rPr>
                <w:sz w:val="16"/>
              </w:rPr>
            </w:pPr>
            <w:r>
              <w:rPr>
                <w:w w:val="100"/>
                <w:sz w:val="16"/>
              </w:rPr>
              <w:t>3</w:t>
            </w:r>
          </w:p>
        </w:tc>
        <w:tc>
          <w:tcPr>
            <w:tcW w:w="1248" w:type="dxa"/>
            <w:tcBorders>
              <w:left w:val="single" w:sz="4" w:space="0" w:color="000000"/>
              <w:right w:val="single" w:sz="4" w:space="0" w:color="000000"/>
            </w:tcBorders>
          </w:tcPr>
          <w:p>
            <w:pPr>
              <w:pStyle w:val="TableParagraph"/>
              <w:spacing w:before="20"/>
              <w:ind w:right="549"/>
              <w:jc w:val="right"/>
              <w:rPr>
                <w:sz w:val="16"/>
              </w:rPr>
            </w:pPr>
            <w:r>
              <w:rPr>
                <w:w w:val="100"/>
                <w:sz w:val="16"/>
              </w:rPr>
              <w:t>2</w:t>
            </w:r>
          </w:p>
        </w:tc>
      </w:tr>
      <w:tr>
        <w:trPr>
          <w:trHeight w:val="240" w:hRule="exact"/>
        </w:trPr>
        <w:tc>
          <w:tcPr>
            <w:tcW w:w="3118" w:type="dxa"/>
            <w:tcBorders>
              <w:left w:val="single" w:sz="4" w:space="0" w:color="000000"/>
              <w:right w:val="single" w:sz="4" w:space="0" w:color="000000"/>
            </w:tcBorders>
          </w:tcPr>
          <w:p>
            <w:pPr>
              <w:pStyle w:val="TableParagraph"/>
              <w:spacing w:before="20"/>
              <w:ind w:left="69"/>
              <w:rPr>
                <w:sz w:val="16"/>
              </w:rPr>
            </w:pPr>
            <w:r>
              <w:rPr>
                <w:sz w:val="16"/>
              </w:rPr>
              <w:t>Emeritus Prof. Richard Bawden AM</w:t>
            </w:r>
          </w:p>
        </w:tc>
        <w:tc>
          <w:tcPr>
            <w:tcW w:w="1248" w:type="dxa"/>
            <w:tcBorders>
              <w:left w:val="single" w:sz="4" w:space="0" w:color="000000"/>
              <w:right w:val="single" w:sz="4" w:space="0" w:color="000000"/>
            </w:tcBorders>
          </w:tcPr>
          <w:p>
            <w:pPr>
              <w:pStyle w:val="TableParagraph"/>
              <w:spacing w:before="20"/>
              <w:ind w:left="46"/>
              <w:jc w:val="center"/>
              <w:rPr>
                <w:sz w:val="16"/>
              </w:rPr>
            </w:pPr>
            <w:r>
              <w:rPr>
                <w:w w:val="100"/>
                <w:sz w:val="16"/>
              </w:rPr>
              <w:t>3</w:t>
            </w:r>
          </w:p>
        </w:tc>
        <w:tc>
          <w:tcPr>
            <w:tcW w:w="1248" w:type="dxa"/>
            <w:tcBorders>
              <w:left w:val="single" w:sz="4" w:space="0" w:color="000000"/>
              <w:right w:val="single" w:sz="4" w:space="0" w:color="000000"/>
            </w:tcBorders>
          </w:tcPr>
          <w:p>
            <w:pPr>
              <w:pStyle w:val="TableParagraph"/>
              <w:spacing w:before="20"/>
              <w:ind w:right="549"/>
              <w:jc w:val="right"/>
              <w:rPr>
                <w:sz w:val="16"/>
              </w:rPr>
            </w:pPr>
            <w:r>
              <w:rPr>
                <w:w w:val="100"/>
                <w:sz w:val="16"/>
              </w:rPr>
              <w:t>2</w:t>
            </w:r>
          </w:p>
        </w:tc>
      </w:tr>
      <w:tr>
        <w:trPr>
          <w:trHeight w:val="240" w:hRule="exact"/>
        </w:trPr>
        <w:tc>
          <w:tcPr>
            <w:tcW w:w="3118" w:type="dxa"/>
            <w:tcBorders>
              <w:left w:val="single" w:sz="4" w:space="0" w:color="000000"/>
              <w:right w:val="single" w:sz="4" w:space="0" w:color="000000"/>
            </w:tcBorders>
          </w:tcPr>
          <w:p>
            <w:pPr>
              <w:pStyle w:val="TableParagraph"/>
              <w:spacing w:before="20"/>
              <w:ind w:left="69"/>
              <w:rPr>
                <w:sz w:val="16"/>
              </w:rPr>
            </w:pPr>
            <w:r>
              <w:rPr>
                <w:sz w:val="16"/>
              </w:rPr>
              <w:t>Mr Roy Medich OAM</w:t>
            </w:r>
          </w:p>
        </w:tc>
        <w:tc>
          <w:tcPr>
            <w:tcW w:w="1248" w:type="dxa"/>
            <w:tcBorders>
              <w:left w:val="single" w:sz="4" w:space="0" w:color="000000"/>
              <w:right w:val="single" w:sz="4" w:space="0" w:color="000000"/>
            </w:tcBorders>
          </w:tcPr>
          <w:p>
            <w:pPr>
              <w:pStyle w:val="TableParagraph"/>
              <w:spacing w:before="20"/>
              <w:ind w:left="46"/>
              <w:jc w:val="center"/>
              <w:rPr>
                <w:sz w:val="16"/>
              </w:rPr>
            </w:pPr>
            <w:r>
              <w:rPr>
                <w:w w:val="100"/>
                <w:sz w:val="16"/>
              </w:rPr>
              <w:t>3</w:t>
            </w:r>
          </w:p>
        </w:tc>
        <w:tc>
          <w:tcPr>
            <w:tcW w:w="1248" w:type="dxa"/>
            <w:tcBorders>
              <w:left w:val="single" w:sz="4" w:space="0" w:color="000000"/>
              <w:right w:val="single" w:sz="4" w:space="0" w:color="000000"/>
            </w:tcBorders>
          </w:tcPr>
          <w:p>
            <w:pPr>
              <w:pStyle w:val="TableParagraph"/>
              <w:spacing w:before="20"/>
              <w:ind w:right="549"/>
              <w:jc w:val="right"/>
              <w:rPr>
                <w:sz w:val="16"/>
              </w:rPr>
            </w:pPr>
            <w:r>
              <w:rPr>
                <w:w w:val="100"/>
                <w:sz w:val="16"/>
              </w:rPr>
              <w:t>2</w:t>
            </w:r>
          </w:p>
        </w:tc>
      </w:tr>
      <w:tr>
        <w:trPr>
          <w:trHeight w:val="240" w:hRule="exact"/>
        </w:trPr>
        <w:tc>
          <w:tcPr>
            <w:tcW w:w="3118" w:type="dxa"/>
            <w:tcBorders>
              <w:left w:val="single" w:sz="4" w:space="0" w:color="000000"/>
              <w:right w:val="single" w:sz="4" w:space="0" w:color="000000"/>
            </w:tcBorders>
          </w:tcPr>
          <w:p>
            <w:pPr>
              <w:pStyle w:val="TableParagraph"/>
              <w:spacing w:before="20"/>
              <w:ind w:left="69"/>
              <w:rPr>
                <w:sz w:val="16"/>
              </w:rPr>
            </w:pPr>
            <w:r>
              <w:rPr>
                <w:sz w:val="16"/>
              </w:rPr>
              <w:t>Mr John Banks</w:t>
            </w:r>
          </w:p>
        </w:tc>
        <w:tc>
          <w:tcPr>
            <w:tcW w:w="1248" w:type="dxa"/>
            <w:tcBorders>
              <w:left w:val="single" w:sz="4" w:space="0" w:color="000000"/>
              <w:right w:val="single" w:sz="4" w:space="0" w:color="000000"/>
            </w:tcBorders>
          </w:tcPr>
          <w:p>
            <w:pPr>
              <w:pStyle w:val="TableParagraph"/>
              <w:spacing w:before="20"/>
              <w:ind w:left="46"/>
              <w:jc w:val="center"/>
              <w:rPr>
                <w:sz w:val="16"/>
              </w:rPr>
            </w:pPr>
            <w:r>
              <w:rPr>
                <w:w w:val="100"/>
                <w:sz w:val="16"/>
              </w:rPr>
              <w:t>3</w:t>
            </w:r>
          </w:p>
        </w:tc>
        <w:tc>
          <w:tcPr>
            <w:tcW w:w="1248" w:type="dxa"/>
            <w:tcBorders>
              <w:left w:val="single" w:sz="4" w:space="0" w:color="000000"/>
              <w:right w:val="single" w:sz="4" w:space="0" w:color="000000"/>
            </w:tcBorders>
          </w:tcPr>
          <w:p>
            <w:pPr>
              <w:pStyle w:val="TableParagraph"/>
              <w:spacing w:before="20"/>
              <w:ind w:right="549"/>
              <w:jc w:val="right"/>
              <w:rPr>
                <w:sz w:val="16"/>
              </w:rPr>
            </w:pPr>
            <w:r>
              <w:rPr>
                <w:w w:val="100"/>
                <w:sz w:val="16"/>
              </w:rPr>
              <w:t>1</w:t>
            </w:r>
          </w:p>
        </w:tc>
      </w:tr>
      <w:tr>
        <w:trPr>
          <w:trHeight w:val="240" w:hRule="exact"/>
        </w:trPr>
        <w:tc>
          <w:tcPr>
            <w:tcW w:w="3118" w:type="dxa"/>
            <w:tcBorders>
              <w:left w:val="single" w:sz="4" w:space="0" w:color="000000"/>
              <w:right w:val="single" w:sz="4" w:space="0" w:color="000000"/>
            </w:tcBorders>
          </w:tcPr>
          <w:p>
            <w:pPr>
              <w:pStyle w:val="TableParagraph"/>
              <w:spacing w:before="20"/>
              <w:ind w:left="69"/>
              <w:rPr>
                <w:sz w:val="16"/>
              </w:rPr>
            </w:pPr>
            <w:r>
              <w:rPr>
                <w:sz w:val="16"/>
              </w:rPr>
              <w:t>Prof. Peter Shergold AC</w:t>
            </w:r>
          </w:p>
        </w:tc>
        <w:tc>
          <w:tcPr>
            <w:tcW w:w="1248" w:type="dxa"/>
            <w:tcBorders>
              <w:left w:val="single" w:sz="4" w:space="0" w:color="000000"/>
              <w:right w:val="single" w:sz="4" w:space="0" w:color="000000"/>
            </w:tcBorders>
          </w:tcPr>
          <w:p>
            <w:pPr>
              <w:pStyle w:val="TableParagraph"/>
              <w:spacing w:before="20"/>
              <w:ind w:left="46"/>
              <w:jc w:val="center"/>
              <w:rPr>
                <w:sz w:val="16"/>
              </w:rPr>
            </w:pPr>
            <w:r>
              <w:rPr>
                <w:w w:val="100"/>
                <w:sz w:val="16"/>
              </w:rPr>
              <w:t>3</w:t>
            </w:r>
          </w:p>
        </w:tc>
        <w:tc>
          <w:tcPr>
            <w:tcW w:w="1248" w:type="dxa"/>
            <w:tcBorders>
              <w:left w:val="single" w:sz="4" w:space="0" w:color="000000"/>
              <w:right w:val="single" w:sz="4" w:space="0" w:color="000000"/>
            </w:tcBorders>
          </w:tcPr>
          <w:p>
            <w:pPr>
              <w:pStyle w:val="TableParagraph"/>
              <w:spacing w:before="20"/>
              <w:ind w:right="549"/>
              <w:jc w:val="right"/>
              <w:rPr>
                <w:sz w:val="16"/>
              </w:rPr>
            </w:pPr>
            <w:r>
              <w:rPr>
                <w:w w:val="100"/>
                <w:sz w:val="16"/>
              </w:rPr>
              <w:t>3</w:t>
            </w:r>
          </w:p>
        </w:tc>
      </w:tr>
      <w:tr>
        <w:trPr>
          <w:trHeight w:val="240" w:hRule="exact"/>
        </w:trPr>
        <w:tc>
          <w:tcPr>
            <w:tcW w:w="3118" w:type="dxa"/>
            <w:tcBorders>
              <w:left w:val="single" w:sz="4" w:space="0" w:color="000000"/>
              <w:right w:val="single" w:sz="4" w:space="0" w:color="000000"/>
            </w:tcBorders>
          </w:tcPr>
          <w:p>
            <w:pPr>
              <w:pStyle w:val="TableParagraph"/>
              <w:spacing w:before="20"/>
              <w:ind w:left="69"/>
              <w:rPr>
                <w:sz w:val="16"/>
              </w:rPr>
            </w:pPr>
            <w:r>
              <w:rPr>
                <w:sz w:val="16"/>
              </w:rPr>
              <w:t>Mr Daniel Gilbert AM</w:t>
            </w:r>
          </w:p>
        </w:tc>
        <w:tc>
          <w:tcPr>
            <w:tcW w:w="1248" w:type="dxa"/>
            <w:tcBorders>
              <w:left w:val="single" w:sz="4" w:space="0" w:color="000000"/>
              <w:right w:val="single" w:sz="4" w:space="0" w:color="000000"/>
            </w:tcBorders>
          </w:tcPr>
          <w:p>
            <w:pPr>
              <w:pStyle w:val="TableParagraph"/>
              <w:spacing w:before="20"/>
              <w:ind w:left="46"/>
              <w:jc w:val="center"/>
              <w:rPr>
                <w:sz w:val="16"/>
              </w:rPr>
            </w:pPr>
            <w:r>
              <w:rPr>
                <w:w w:val="100"/>
                <w:sz w:val="16"/>
              </w:rPr>
              <w:t>3</w:t>
            </w:r>
          </w:p>
        </w:tc>
        <w:tc>
          <w:tcPr>
            <w:tcW w:w="1248" w:type="dxa"/>
            <w:tcBorders>
              <w:left w:val="single" w:sz="4" w:space="0" w:color="000000"/>
              <w:right w:val="single" w:sz="4" w:space="0" w:color="000000"/>
            </w:tcBorders>
          </w:tcPr>
          <w:p>
            <w:pPr>
              <w:pStyle w:val="TableParagraph"/>
              <w:spacing w:before="20"/>
              <w:ind w:right="549"/>
              <w:jc w:val="right"/>
              <w:rPr>
                <w:sz w:val="16"/>
              </w:rPr>
            </w:pPr>
            <w:r>
              <w:rPr>
                <w:w w:val="100"/>
                <w:sz w:val="16"/>
              </w:rPr>
              <w:t>3</w:t>
            </w:r>
          </w:p>
        </w:tc>
      </w:tr>
      <w:tr>
        <w:trPr>
          <w:trHeight w:val="482" w:hRule="exact"/>
        </w:trPr>
        <w:tc>
          <w:tcPr>
            <w:tcW w:w="3118" w:type="dxa"/>
            <w:tcBorders>
              <w:left w:val="single" w:sz="4" w:space="0" w:color="000000"/>
              <w:bottom w:val="single" w:sz="4" w:space="0" w:color="000000"/>
              <w:right w:val="single" w:sz="4" w:space="0" w:color="000000"/>
            </w:tcBorders>
          </w:tcPr>
          <w:p>
            <w:pPr>
              <w:pStyle w:val="TableParagraph"/>
              <w:spacing w:before="20"/>
              <w:ind w:left="69"/>
              <w:rPr>
                <w:sz w:val="16"/>
              </w:rPr>
            </w:pPr>
            <w:r>
              <w:rPr>
                <w:sz w:val="16"/>
              </w:rPr>
              <w:t>Prof. Wayne McKenna</w:t>
            </w:r>
          </w:p>
        </w:tc>
        <w:tc>
          <w:tcPr>
            <w:tcW w:w="1248" w:type="dxa"/>
            <w:tcBorders>
              <w:left w:val="single" w:sz="4" w:space="0" w:color="000000"/>
              <w:bottom w:val="single" w:sz="4" w:space="0" w:color="000000"/>
              <w:right w:val="single" w:sz="4" w:space="0" w:color="000000"/>
            </w:tcBorders>
          </w:tcPr>
          <w:p>
            <w:pPr>
              <w:pStyle w:val="TableParagraph"/>
              <w:spacing w:before="20"/>
              <w:ind w:left="43"/>
              <w:jc w:val="center"/>
              <w:rPr>
                <w:sz w:val="16"/>
              </w:rPr>
            </w:pPr>
            <w:r>
              <w:rPr>
                <w:w w:val="100"/>
                <w:sz w:val="16"/>
              </w:rPr>
              <w:t>-</w:t>
            </w:r>
          </w:p>
        </w:tc>
        <w:tc>
          <w:tcPr>
            <w:tcW w:w="1248" w:type="dxa"/>
            <w:tcBorders>
              <w:left w:val="single" w:sz="4" w:space="0" w:color="000000"/>
              <w:bottom w:val="single" w:sz="4" w:space="0" w:color="000000"/>
              <w:right w:val="single" w:sz="4" w:space="0" w:color="000000"/>
            </w:tcBorders>
          </w:tcPr>
          <w:p>
            <w:pPr>
              <w:pStyle w:val="TableParagraph"/>
              <w:spacing w:before="20"/>
              <w:ind w:right="566"/>
              <w:jc w:val="right"/>
              <w:rPr>
                <w:sz w:val="16"/>
              </w:rPr>
            </w:pPr>
            <w:r>
              <w:rPr>
                <w:w w:val="100"/>
                <w:sz w:val="16"/>
              </w:rPr>
              <w:t>-</w:t>
            </w:r>
          </w:p>
        </w:tc>
      </w:tr>
    </w:tbl>
    <w:p>
      <w:pPr>
        <w:pStyle w:val="BodyText"/>
        <w:spacing w:before="6"/>
        <w:rPr>
          <w:sz w:val="5"/>
        </w:rPr>
      </w:pPr>
    </w:p>
    <w:p>
      <w:pPr>
        <w:pStyle w:val="Heading9"/>
        <w:spacing w:before="77"/>
        <w:ind w:left="504"/>
        <w:jc w:val="both"/>
      </w:pPr>
      <w:r>
        <w:rPr/>
        <w:t>Indemnification of Directors and Officers</w:t>
      </w:r>
    </w:p>
    <w:p>
      <w:pPr>
        <w:pStyle w:val="BodyText"/>
        <w:spacing w:before="4"/>
        <w:ind w:left="504" w:right="110"/>
        <w:jc w:val="both"/>
      </w:pPr>
      <w:r>
        <w:rPr/>
        <w:t>University of Western Sydney Foundation Limited is insured externally and in line with the University of Western Sydney policies for all significant areas of risk exposure and accordingly, is not a self-insurer and makes no provision in its financial statements for internal coverage.</w:t>
      </w:r>
    </w:p>
    <w:p>
      <w:pPr>
        <w:pStyle w:val="Heading9"/>
        <w:spacing w:before="143"/>
        <w:ind w:left="504"/>
        <w:jc w:val="both"/>
      </w:pPr>
      <w:r>
        <w:rPr/>
        <w:t>Proceedings on behalf of company</w:t>
      </w:r>
    </w:p>
    <w:p>
      <w:pPr>
        <w:pStyle w:val="BodyText"/>
        <w:spacing w:before="4"/>
        <w:ind w:left="504" w:right="112"/>
        <w:jc w:val="both"/>
      </w:pPr>
      <w:r>
        <w:rPr/>
        <w:t>No person has applied for leave of court to bring proceedings on behalf of the Company or intervene in  any proceedings to which the Company is a party for the purpose of taking responsibility on behalf of the Company for all or any part of those proceedings. The Company was not a party to any such proceedings during the year.</w:t>
      </w:r>
    </w:p>
    <w:p>
      <w:pPr>
        <w:pStyle w:val="BodyText"/>
        <w:spacing w:before="146"/>
        <w:ind w:left="504"/>
        <w:jc w:val="both"/>
      </w:pPr>
      <w:r>
        <w:rPr/>
        <w:t>Signed in accordance with a resolution of the Board of Directors: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r>
        <w:rPr/>
        <w:drawing>
          <wp:anchor distT="0" distB="0" distL="0" distR="0" allowOverlap="1" layoutInCell="1" locked="0" behindDoc="0" simplePos="0" relativeHeight="4576">
            <wp:simplePos x="0" y="0"/>
            <wp:positionH relativeFrom="page">
              <wp:posOffset>891539</wp:posOffset>
            </wp:positionH>
            <wp:positionV relativeFrom="paragraph">
              <wp:posOffset>180170</wp:posOffset>
            </wp:positionV>
            <wp:extent cx="5871537" cy="1416748"/>
            <wp:effectExtent l="0" t="0" r="0" b="0"/>
            <wp:wrapTopAndBottom/>
            <wp:docPr id="55" name="image55.png" descr=""/>
            <wp:cNvGraphicFramePr>
              <a:graphicFrameLocks noChangeAspect="1"/>
            </wp:cNvGraphicFramePr>
            <a:graphic>
              <a:graphicData uri="http://schemas.openxmlformats.org/drawingml/2006/picture">
                <pic:pic>
                  <pic:nvPicPr>
                    <pic:cNvPr id="56" name="image55.png"/>
                    <pic:cNvPicPr/>
                  </pic:nvPicPr>
                  <pic:blipFill>
                    <a:blip r:embed="rId136" cstate="print"/>
                    <a:stretch>
                      <a:fillRect/>
                    </a:stretch>
                  </pic:blipFill>
                  <pic:spPr>
                    <a:xfrm>
                      <a:off x="0" y="0"/>
                      <a:ext cx="5871537" cy="1416748"/>
                    </a:xfrm>
                    <a:prstGeom prst="rect">
                      <a:avLst/>
                    </a:prstGeom>
                  </pic:spPr>
                </pic:pic>
              </a:graphicData>
            </a:graphic>
          </wp:anchor>
        </w:drawing>
      </w:r>
    </w:p>
    <w:p>
      <w:pPr>
        <w:spacing w:after="0"/>
        <w:rPr>
          <w:sz w:val="21"/>
        </w:rPr>
        <w:sectPr>
          <w:headerReference w:type="default" r:id="rId134"/>
          <w:footerReference w:type="default" r:id="rId135"/>
          <w:pgSz w:w="11960" w:h="16850"/>
          <w:pgMar w:header="0" w:footer="507" w:top="660" w:bottom="700" w:left="900" w:right="900"/>
        </w:sectPr>
      </w:pPr>
    </w:p>
    <w:p>
      <w:pPr>
        <w:pStyle w:val="BodyText"/>
        <w:rPr>
          <w:sz w:val="20"/>
        </w:rPr>
      </w:pPr>
    </w:p>
    <w:p>
      <w:pPr>
        <w:pStyle w:val="BodyText"/>
        <w:spacing w:before="9"/>
        <w:rPr>
          <w:sz w:val="19"/>
        </w:rPr>
      </w:pPr>
    </w:p>
    <w:p>
      <w:pPr>
        <w:spacing w:line="228" w:lineRule="exact" w:before="75"/>
        <w:ind w:left="714" w:right="0" w:firstLine="0"/>
        <w:jc w:val="both"/>
        <w:rPr>
          <w:sz w:val="20"/>
        </w:rPr>
      </w:pPr>
      <w:r>
        <w:rPr>
          <w:color w:val="131313"/>
          <w:sz w:val="20"/>
        </w:rPr>
        <w:t>To the Directors</w:t>
      </w:r>
    </w:p>
    <w:p>
      <w:pPr>
        <w:spacing w:line="228" w:lineRule="exact" w:before="0"/>
        <w:ind w:left="728" w:right="0" w:firstLine="0"/>
        <w:jc w:val="both"/>
        <w:rPr>
          <w:sz w:val="20"/>
        </w:rPr>
      </w:pPr>
      <w:r>
        <w:rPr>
          <w:color w:val="131313"/>
          <w:sz w:val="20"/>
        </w:rPr>
        <w:t>University of Western Sydney Foundation Limited</w:t>
      </w:r>
    </w:p>
    <w:p>
      <w:pPr>
        <w:pStyle w:val="BodyText"/>
        <w:rPr>
          <w:sz w:val="20"/>
        </w:rPr>
      </w:pPr>
    </w:p>
    <w:p>
      <w:pPr>
        <w:pStyle w:val="BodyText"/>
        <w:spacing w:before="10"/>
        <w:rPr>
          <w:sz w:val="20"/>
        </w:rPr>
      </w:pPr>
    </w:p>
    <w:p>
      <w:pPr>
        <w:spacing w:before="0"/>
        <w:ind w:left="3199" w:right="118" w:firstLine="0"/>
        <w:jc w:val="left"/>
        <w:rPr>
          <w:b/>
          <w:sz w:val="23"/>
        </w:rPr>
      </w:pPr>
      <w:r>
        <w:rPr>
          <w:b/>
          <w:color w:val="131313"/>
          <w:sz w:val="23"/>
        </w:rPr>
        <w:t>Auditor's  Independence  Declaration</w:t>
      </w:r>
    </w:p>
    <w:p>
      <w:pPr>
        <w:pStyle w:val="BodyText"/>
        <w:rPr>
          <w:b/>
          <w:sz w:val="22"/>
        </w:rPr>
      </w:pPr>
    </w:p>
    <w:p>
      <w:pPr>
        <w:pStyle w:val="BodyText"/>
        <w:spacing w:before="5"/>
        <w:rPr>
          <w:b/>
        </w:rPr>
      </w:pPr>
    </w:p>
    <w:p>
      <w:pPr>
        <w:spacing w:line="226" w:lineRule="exact" w:before="0"/>
        <w:ind w:left="709" w:right="647" w:firstLine="0"/>
        <w:jc w:val="both"/>
        <w:rPr>
          <w:sz w:val="20"/>
        </w:rPr>
      </w:pPr>
      <w:r>
        <w:rPr>
          <w:color w:val="131313"/>
          <w:sz w:val="20"/>
        </w:rPr>
        <w:t>As auditor for the audit of the financial statements of the University of Western Sydney Foundation Limited for the year ended 31 December 2012, I declare that, to the best of my knowledge and belief, there have been no contraventions of:</w:t>
      </w:r>
    </w:p>
    <w:p>
      <w:pPr>
        <w:pStyle w:val="BodyText"/>
        <w:spacing w:before="8"/>
        <w:rPr>
          <w:sz w:val="24"/>
        </w:rPr>
      </w:pPr>
    </w:p>
    <w:p>
      <w:pPr>
        <w:pStyle w:val="ListParagraph"/>
        <w:numPr>
          <w:ilvl w:val="0"/>
          <w:numId w:val="48"/>
        </w:numPr>
        <w:tabs>
          <w:tab w:pos="1280" w:val="left" w:leader="none"/>
        </w:tabs>
        <w:spacing w:line="240" w:lineRule="auto" w:before="1" w:after="0"/>
        <w:ind w:left="1303" w:right="0" w:hanging="589"/>
        <w:jc w:val="both"/>
        <w:rPr>
          <w:color w:val="131313"/>
          <w:sz w:val="20"/>
        </w:rPr>
      </w:pPr>
      <w:r>
        <w:rPr>
          <w:color w:val="131313"/>
          <w:sz w:val="20"/>
        </w:rPr>
        <w:t>the auditor independence requirements of the </w:t>
      </w:r>
      <w:r>
        <w:rPr>
          <w:i/>
          <w:color w:val="131313"/>
          <w:sz w:val="19"/>
        </w:rPr>
        <w:t>Corporations Act 2001 </w:t>
      </w:r>
      <w:r>
        <w:rPr>
          <w:color w:val="131313"/>
          <w:sz w:val="20"/>
        </w:rPr>
        <w:t>in relation to the audit, </w:t>
      </w:r>
      <w:r>
        <w:rPr>
          <w:color w:val="131313"/>
          <w:spacing w:val="16"/>
          <w:sz w:val="20"/>
        </w:rPr>
        <w:t> </w:t>
      </w:r>
      <w:r>
        <w:rPr>
          <w:color w:val="131313"/>
          <w:sz w:val="20"/>
        </w:rPr>
        <w:t>and</w:t>
      </w:r>
    </w:p>
    <w:p>
      <w:pPr>
        <w:pStyle w:val="Heading8"/>
        <w:numPr>
          <w:ilvl w:val="0"/>
          <w:numId w:val="48"/>
        </w:numPr>
        <w:tabs>
          <w:tab w:pos="1285" w:val="left" w:leader="none"/>
        </w:tabs>
        <w:spacing w:line="240" w:lineRule="auto" w:before="57" w:after="0"/>
        <w:ind w:left="1284" w:right="0" w:hanging="570"/>
        <w:jc w:val="both"/>
        <w:rPr>
          <w:color w:val="131313"/>
        </w:rPr>
      </w:pPr>
      <w:r>
        <w:rPr>
          <w:color w:val="131313"/>
        </w:rPr>
        <w:t>any applicable code of professional conduct in relation to the</w:t>
      </w:r>
      <w:r>
        <w:rPr>
          <w:color w:val="131313"/>
          <w:spacing w:val="-24"/>
        </w:rPr>
        <w:t> </w:t>
      </w:r>
      <w:r>
        <w:rPr>
          <w:color w:val="131313"/>
        </w:rPr>
        <w:t>audit.</w:t>
      </w:r>
    </w:p>
    <w:p>
      <w:pPr>
        <w:pStyle w:val="BodyText"/>
        <w:rPr>
          <w:sz w:val="20"/>
        </w:rPr>
      </w:pPr>
    </w:p>
    <w:p>
      <w:pPr>
        <w:pStyle w:val="BodyText"/>
        <w:spacing w:before="7"/>
        <w:rPr>
          <w:sz w:val="21"/>
        </w:rPr>
      </w:pPr>
      <w:r>
        <w:rPr/>
        <w:drawing>
          <wp:anchor distT="0" distB="0" distL="0" distR="0" allowOverlap="1" layoutInCell="1" locked="0" behindDoc="0" simplePos="0" relativeHeight="4600">
            <wp:simplePos x="0" y="0"/>
            <wp:positionH relativeFrom="page">
              <wp:posOffset>719328</wp:posOffset>
            </wp:positionH>
            <wp:positionV relativeFrom="paragraph">
              <wp:posOffset>183162</wp:posOffset>
            </wp:positionV>
            <wp:extent cx="1536191" cy="536448"/>
            <wp:effectExtent l="0" t="0" r="0" b="0"/>
            <wp:wrapTopAndBottom/>
            <wp:docPr id="59" name="image57.jpeg" descr=""/>
            <wp:cNvGraphicFramePr>
              <a:graphicFrameLocks noChangeAspect="1"/>
            </wp:cNvGraphicFramePr>
            <a:graphic>
              <a:graphicData uri="http://schemas.openxmlformats.org/drawingml/2006/picture">
                <pic:pic>
                  <pic:nvPicPr>
                    <pic:cNvPr id="60" name="image57.jpeg"/>
                    <pic:cNvPicPr/>
                  </pic:nvPicPr>
                  <pic:blipFill>
                    <a:blip r:embed="rId139" cstate="print"/>
                    <a:stretch>
                      <a:fillRect/>
                    </a:stretch>
                  </pic:blipFill>
                  <pic:spPr>
                    <a:xfrm>
                      <a:off x="0" y="0"/>
                      <a:ext cx="1536191" cy="536448"/>
                    </a:xfrm>
                    <a:prstGeom prst="rect">
                      <a:avLst/>
                    </a:prstGeom>
                  </pic:spPr>
                </pic:pic>
              </a:graphicData>
            </a:graphic>
          </wp:anchor>
        </w:drawing>
      </w:r>
    </w:p>
    <w:p>
      <w:pPr>
        <w:spacing w:line="228" w:lineRule="exact" w:before="31"/>
        <w:ind w:left="719" w:right="0" w:firstLine="0"/>
        <w:jc w:val="both"/>
        <w:rPr>
          <w:sz w:val="20"/>
        </w:rPr>
      </w:pPr>
      <w:r>
        <w:rPr>
          <w:color w:val="131313"/>
          <w:sz w:val="20"/>
        </w:rPr>
        <w:t>Renee Meimaroglou CA</w:t>
      </w:r>
    </w:p>
    <w:p>
      <w:pPr>
        <w:spacing w:line="228" w:lineRule="exact" w:before="0"/>
        <w:ind w:left="719" w:right="0" w:firstLine="0"/>
        <w:jc w:val="both"/>
        <w:rPr>
          <w:sz w:val="20"/>
        </w:rPr>
      </w:pPr>
      <w:r>
        <w:rPr>
          <w:color w:val="131313"/>
          <w:sz w:val="20"/>
        </w:rPr>
        <w:t>Director Financial Audit Services</w:t>
      </w:r>
    </w:p>
    <w:p>
      <w:pPr>
        <w:pStyle w:val="BodyText"/>
        <w:spacing w:before="2"/>
        <w:rPr>
          <w:sz w:val="20"/>
        </w:rPr>
      </w:pPr>
    </w:p>
    <w:p>
      <w:pPr>
        <w:spacing w:line="226" w:lineRule="exact" w:before="0"/>
        <w:ind w:left="714" w:right="7920" w:firstLine="9"/>
        <w:jc w:val="left"/>
        <w:rPr>
          <w:sz w:val="20"/>
        </w:rPr>
      </w:pPr>
      <w:r>
        <w:rPr>
          <w:color w:val="131313"/>
          <w:sz w:val="20"/>
        </w:rPr>
        <w:t>11 April 2013 SYDNEY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r>
        <w:rPr/>
        <w:pict>
          <v:line style="position:absolute;mso-position-horizontal-relative:page;mso-position-vertical-relative:paragraph;z-index:4624;mso-wrap-distance-left:0;mso-wrap-distance-right:0" from="39.025593pt,18.60313pt" to="547.794713pt,18.60313pt" stroked="true" strokeweight=".478842pt" strokecolor="#4b4b4b">
            <w10:wrap type="topAndBottom"/>
          </v:line>
        </w:pict>
      </w:r>
    </w:p>
    <w:p>
      <w:pPr>
        <w:spacing w:after="0"/>
        <w:rPr>
          <w:sz w:val="28"/>
        </w:rPr>
        <w:sectPr>
          <w:headerReference w:type="default" r:id="rId137"/>
          <w:footerReference w:type="default" r:id="rId138"/>
          <w:pgSz w:w="11910" w:h="16840"/>
          <w:pgMar w:header="878" w:footer="723" w:top="2520" w:bottom="920" w:left="660" w:right="840"/>
        </w:sectPr>
      </w:pPr>
    </w:p>
    <w:p>
      <w:pPr>
        <w:pStyle w:val="BodyText"/>
        <w:spacing w:before="1"/>
        <w:rPr>
          <w:sz w:val="23"/>
        </w:rPr>
      </w:pPr>
    </w:p>
    <w:p>
      <w:pPr>
        <w:spacing w:before="70"/>
        <w:ind w:left="235" w:right="83" w:firstLine="0"/>
        <w:jc w:val="center"/>
        <w:rPr>
          <w:b/>
          <w:sz w:val="23"/>
        </w:rPr>
      </w:pPr>
      <w:r>
        <w:rPr>
          <w:b/>
          <w:color w:val="0F0F11"/>
          <w:w w:val="105"/>
          <w:sz w:val="23"/>
        </w:rPr>
        <w:t>INDEPENDENT AUDITOR'S REPORT</w:t>
      </w:r>
    </w:p>
    <w:p>
      <w:pPr>
        <w:pStyle w:val="BodyText"/>
        <w:spacing w:before="1"/>
        <w:rPr>
          <w:b/>
          <w:sz w:val="21"/>
        </w:rPr>
      </w:pPr>
    </w:p>
    <w:p>
      <w:pPr>
        <w:spacing w:before="1"/>
        <w:ind w:left="227" w:right="83" w:firstLine="0"/>
        <w:jc w:val="center"/>
        <w:rPr>
          <w:b/>
          <w:sz w:val="19"/>
        </w:rPr>
      </w:pPr>
      <w:r>
        <w:rPr>
          <w:b/>
          <w:color w:val="0F0F11"/>
          <w:w w:val="105"/>
          <w:sz w:val="19"/>
        </w:rPr>
        <w:t>University of Western Sydney Foundation Limited</w:t>
      </w:r>
    </w:p>
    <w:p>
      <w:pPr>
        <w:pStyle w:val="BodyText"/>
        <w:rPr>
          <w:b/>
        </w:rPr>
      </w:pPr>
    </w:p>
    <w:p>
      <w:pPr>
        <w:pStyle w:val="BodyText"/>
        <w:spacing w:before="3"/>
        <w:rPr>
          <w:b/>
          <w:sz w:val="22"/>
        </w:rPr>
      </w:pPr>
    </w:p>
    <w:p>
      <w:pPr>
        <w:spacing w:before="0"/>
        <w:ind w:left="746" w:right="630" w:hanging="15"/>
        <w:jc w:val="both"/>
        <w:rPr>
          <w:sz w:val="20"/>
        </w:rPr>
      </w:pPr>
      <w:r>
        <w:rPr>
          <w:color w:val="0F0F11"/>
          <w:sz w:val="20"/>
        </w:rPr>
        <w:t>To Members of the New South Wales Parliament and Members of University of Western Sydney Foundation Limited</w:t>
      </w:r>
    </w:p>
    <w:p>
      <w:pPr>
        <w:pStyle w:val="BodyText"/>
        <w:rPr>
          <w:sz w:val="20"/>
        </w:rPr>
      </w:pPr>
    </w:p>
    <w:p>
      <w:pPr>
        <w:spacing w:before="1"/>
        <w:ind w:left="732" w:right="611" w:firstLine="14"/>
        <w:jc w:val="both"/>
        <w:rPr>
          <w:sz w:val="20"/>
        </w:rPr>
      </w:pPr>
      <w:r>
        <w:rPr>
          <w:color w:val="0F0F11"/>
          <w:sz w:val="20"/>
        </w:rPr>
        <w:t>I have audited the accompanying financial statements of the University of Western Sydney Foundation Limited (the Company) </w:t>
      </w:r>
      <w:r>
        <w:rPr>
          <w:color w:val="2B2B2B"/>
          <w:sz w:val="20"/>
        </w:rPr>
        <w:t>, </w:t>
      </w:r>
      <w:r>
        <w:rPr>
          <w:color w:val="0F0F11"/>
          <w:sz w:val="20"/>
        </w:rPr>
        <w:t>which comprise the statement of financial position as at 31 December 2012</w:t>
      </w:r>
      <w:r>
        <w:rPr>
          <w:color w:val="3D3D3F"/>
          <w:sz w:val="20"/>
        </w:rPr>
        <w:t>, </w:t>
      </w:r>
      <w:r>
        <w:rPr>
          <w:color w:val="0F0F11"/>
          <w:sz w:val="20"/>
        </w:rPr>
        <w:t>the statement of comprehensive income, statement of changes in equity and statement of cash flows for the year then ended, notes comprising a summary of significant accounting policies and other explanatory information and the directors' declaration </w:t>
      </w:r>
      <w:r>
        <w:rPr>
          <w:color w:val="3D3D3F"/>
          <w:sz w:val="20"/>
        </w:rPr>
        <w:t>.</w:t>
      </w:r>
    </w:p>
    <w:p>
      <w:pPr>
        <w:pStyle w:val="BodyText"/>
        <w:spacing w:before="11"/>
        <w:rPr>
          <w:sz w:val="20"/>
        </w:rPr>
      </w:pPr>
    </w:p>
    <w:p>
      <w:pPr>
        <w:spacing w:before="0"/>
        <w:ind w:left="736" w:right="0" w:firstLine="0"/>
        <w:jc w:val="both"/>
        <w:rPr>
          <w:b/>
          <w:sz w:val="23"/>
        </w:rPr>
      </w:pPr>
      <w:r>
        <w:rPr>
          <w:b/>
          <w:color w:val="0F0F11"/>
          <w:w w:val="105"/>
          <w:sz w:val="23"/>
        </w:rPr>
        <w:t>Opinion</w:t>
      </w:r>
    </w:p>
    <w:p>
      <w:pPr>
        <w:pStyle w:val="BodyText"/>
        <w:spacing w:before="10"/>
        <w:rPr>
          <w:b/>
          <w:sz w:val="19"/>
        </w:rPr>
      </w:pPr>
    </w:p>
    <w:p>
      <w:pPr>
        <w:spacing w:before="0"/>
        <w:ind w:left="741" w:right="0" w:firstLine="0"/>
        <w:jc w:val="both"/>
        <w:rPr>
          <w:sz w:val="20"/>
        </w:rPr>
      </w:pPr>
      <w:r>
        <w:rPr>
          <w:color w:val="0F0F11"/>
          <w:sz w:val="20"/>
        </w:rPr>
        <w:t>In my op</w:t>
      </w:r>
      <w:r>
        <w:rPr>
          <w:color w:val="2B2B2B"/>
          <w:sz w:val="20"/>
        </w:rPr>
        <w:t>i</w:t>
      </w:r>
      <w:r>
        <w:rPr>
          <w:color w:val="0F0F11"/>
          <w:sz w:val="20"/>
        </w:rPr>
        <w:t>nion the financial statements </w:t>
      </w:r>
      <w:r>
        <w:rPr>
          <w:color w:val="2B2B2B"/>
          <w:sz w:val="20"/>
        </w:rPr>
        <w:t>:</w:t>
      </w:r>
    </w:p>
    <w:p>
      <w:pPr>
        <w:pStyle w:val="BodyText"/>
        <w:rPr>
          <w:sz w:val="25"/>
        </w:rPr>
      </w:pPr>
    </w:p>
    <w:p>
      <w:pPr>
        <w:pStyle w:val="ListParagraph"/>
        <w:numPr>
          <w:ilvl w:val="0"/>
          <w:numId w:val="48"/>
        </w:numPr>
        <w:tabs>
          <w:tab w:pos="1304" w:val="left" w:leader="none"/>
        </w:tabs>
        <w:spacing w:line="240" w:lineRule="auto" w:before="1" w:after="0"/>
        <w:ind w:left="1303" w:right="0" w:hanging="571"/>
        <w:jc w:val="both"/>
        <w:rPr>
          <w:color w:val="0F0F11"/>
          <w:sz w:val="20"/>
        </w:rPr>
      </w:pPr>
      <w:r>
        <w:rPr>
          <w:color w:val="0F0F11"/>
          <w:sz w:val="20"/>
        </w:rPr>
        <w:t>are in accordance with the </w:t>
      </w:r>
      <w:r>
        <w:rPr>
          <w:i/>
          <w:color w:val="0F0F11"/>
          <w:sz w:val="20"/>
        </w:rPr>
        <w:t>Corporations Act 2001,</w:t>
      </w:r>
      <w:r>
        <w:rPr>
          <w:i/>
          <w:color w:val="0F0F11"/>
          <w:spacing w:val="-8"/>
          <w:sz w:val="20"/>
        </w:rPr>
        <w:t> </w:t>
      </w:r>
      <w:r>
        <w:rPr>
          <w:color w:val="0F0F11"/>
          <w:sz w:val="20"/>
        </w:rPr>
        <w:t>including:</w:t>
      </w:r>
    </w:p>
    <w:p>
      <w:pPr>
        <w:spacing w:before="63"/>
        <w:ind w:left="1874" w:right="882" w:firstLine="0"/>
        <w:jc w:val="left"/>
        <w:rPr>
          <w:sz w:val="20"/>
        </w:rPr>
      </w:pPr>
      <w:r>
        <w:rPr>
          <w:color w:val="0F0F11"/>
          <w:sz w:val="20"/>
        </w:rPr>
        <w:t>giving a true and fair view of the Company's financial position as at 31 December 2012 and its performance for the year ended on that date</w:t>
      </w:r>
    </w:p>
    <w:p>
      <w:pPr>
        <w:spacing w:before="58"/>
        <w:ind w:left="1874" w:right="670" w:firstLine="0"/>
        <w:jc w:val="left"/>
        <w:rPr>
          <w:sz w:val="20"/>
        </w:rPr>
      </w:pPr>
      <w:r>
        <w:rPr>
          <w:color w:val="0F0F11"/>
          <w:sz w:val="20"/>
        </w:rPr>
        <w:t>complying with Australian Accounting Standards and the Corporations Regulations 2001</w:t>
      </w:r>
    </w:p>
    <w:p>
      <w:pPr>
        <w:pStyle w:val="ListParagraph"/>
        <w:numPr>
          <w:ilvl w:val="0"/>
          <w:numId w:val="48"/>
        </w:numPr>
        <w:tabs>
          <w:tab w:pos="1304" w:val="left" w:leader="none"/>
        </w:tabs>
        <w:spacing w:line="240" w:lineRule="auto" w:before="58" w:after="0"/>
        <w:ind w:left="1303" w:right="632" w:hanging="571"/>
        <w:jc w:val="left"/>
        <w:rPr>
          <w:color w:val="0F0F11"/>
          <w:sz w:val="20"/>
        </w:rPr>
      </w:pPr>
      <w:r>
        <w:rPr>
          <w:color w:val="0F0F11"/>
          <w:sz w:val="20"/>
        </w:rPr>
        <w:t>are in accordance with section 41 (B) of the </w:t>
      </w:r>
      <w:r>
        <w:rPr>
          <w:i/>
          <w:color w:val="0F0F11"/>
          <w:sz w:val="20"/>
        </w:rPr>
        <w:t>Public Finance and Audit Act 1983 </w:t>
      </w:r>
      <w:r>
        <w:rPr>
          <w:color w:val="0F0F11"/>
          <w:sz w:val="20"/>
        </w:rPr>
        <w:t>(the PF&amp;A Act) and the Public Finance and Audit Regu</w:t>
      </w:r>
      <w:r>
        <w:rPr>
          <w:color w:val="2B2B2B"/>
          <w:sz w:val="20"/>
        </w:rPr>
        <w:t>l</w:t>
      </w:r>
      <w:r>
        <w:rPr>
          <w:color w:val="0F0F11"/>
          <w:sz w:val="20"/>
        </w:rPr>
        <w:t>ation</w:t>
      </w:r>
      <w:r>
        <w:rPr>
          <w:color w:val="0F0F11"/>
          <w:spacing w:val="-12"/>
          <w:sz w:val="20"/>
        </w:rPr>
        <w:t> </w:t>
      </w:r>
      <w:r>
        <w:rPr>
          <w:color w:val="0F0F11"/>
          <w:sz w:val="20"/>
        </w:rPr>
        <w:t>2010</w:t>
      </w:r>
    </w:p>
    <w:p>
      <w:pPr>
        <w:pStyle w:val="BodyText"/>
        <w:spacing w:before="5"/>
        <w:rPr>
          <w:sz w:val="25"/>
        </w:rPr>
      </w:pPr>
    </w:p>
    <w:p>
      <w:pPr>
        <w:pStyle w:val="Heading8"/>
        <w:ind w:left="736"/>
      </w:pPr>
      <w:r>
        <w:rPr>
          <w:color w:val="0F0F11"/>
        </w:rPr>
        <w:t>My opinion should be read in conjunction with the rest of this report</w:t>
      </w:r>
    </w:p>
    <w:p>
      <w:pPr>
        <w:pStyle w:val="BodyText"/>
        <w:spacing w:before="3"/>
        <w:rPr>
          <w:sz w:val="24"/>
        </w:rPr>
      </w:pPr>
    </w:p>
    <w:p>
      <w:pPr>
        <w:spacing w:before="0"/>
        <w:ind w:left="736" w:right="0" w:firstLine="0"/>
        <w:jc w:val="both"/>
        <w:rPr>
          <w:b/>
          <w:sz w:val="23"/>
        </w:rPr>
      </w:pPr>
      <w:r>
        <w:rPr>
          <w:b/>
          <w:color w:val="0F0F11"/>
          <w:sz w:val="23"/>
        </w:rPr>
        <w:t>Directors'  Responsibility  for  the  Financial Statements</w:t>
      </w:r>
    </w:p>
    <w:p>
      <w:pPr>
        <w:pStyle w:val="BodyText"/>
        <w:spacing w:before="4"/>
        <w:rPr>
          <w:b/>
          <w:sz w:val="20"/>
        </w:rPr>
      </w:pPr>
    </w:p>
    <w:p>
      <w:pPr>
        <w:spacing w:before="0"/>
        <w:ind w:left="722" w:right="626" w:firstLine="0"/>
        <w:jc w:val="both"/>
        <w:rPr>
          <w:sz w:val="20"/>
        </w:rPr>
      </w:pPr>
      <w:r>
        <w:rPr>
          <w:color w:val="0F0F11"/>
          <w:sz w:val="20"/>
        </w:rPr>
        <w:t>The directors of the Company are responsible for the preparation of the financial statements that give  a true and fair view in accordance with Australian Accounting Standards, the PF&amp;A Act and the </w:t>
      </w:r>
      <w:r>
        <w:rPr>
          <w:i/>
          <w:color w:val="0F0F11"/>
          <w:sz w:val="20"/>
        </w:rPr>
        <w:t>Corporations Act 2001 </w:t>
      </w:r>
      <w:r>
        <w:rPr>
          <w:color w:val="0F0F11"/>
          <w:sz w:val="20"/>
        </w:rPr>
        <w:t>and for such internal control as the directors determine is necessary to enable the preparation of the financial statements that give a true and fair view and that are free from material misstatement</w:t>
      </w:r>
      <w:r>
        <w:rPr>
          <w:color w:val="2B2B2B"/>
          <w:sz w:val="20"/>
        </w:rPr>
        <w:t>, </w:t>
      </w:r>
      <w:r>
        <w:rPr>
          <w:color w:val="0F0F11"/>
          <w:sz w:val="20"/>
        </w:rPr>
        <w:t>whether due to fraud or</w:t>
      </w:r>
      <w:r>
        <w:rPr>
          <w:color w:val="0F0F11"/>
          <w:spacing w:val="-8"/>
          <w:sz w:val="20"/>
        </w:rPr>
        <w:t> </w:t>
      </w:r>
      <w:r>
        <w:rPr>
          <w:color w:val="0F0F11"/>
          <w:spacing w:val="2"/>
          <w:sz w:val="20"/>
        </w:rPr>
        <w:t>error</w:t>
      </w:r>
      <w:r>
        <w:rPr>
          <w:color w:val="3D3D3F"/>
          <w:spacing w:val="2"/>
          <w:sz w:val="20"/>
        </w:rPr>
        <w:t>.</w:t>
      </w:r>
    </w:p>
    <w:p>
      <w:pPr>
        <w:pStyle w:val="BodyText"/>
        <w:spacing w:before="6"/>
        <w:rPr>
          <w:sz w:val="20"/>
        </w:rPr>
      </w:pPr>
    </w:p>
    <w:p>
      <w:pPr>
        <w:spacing w:before="0"/>
        <w:ind w:left="717" w:right="0" w:firstLine="0"/>
        <w:jc w:val="both"/>
        <w:rPr>
          <w:b/>
          <w:sz w:val="23"/>
        </w:rPr>
      </w:pPr>
      <w:r>
        <w:rPr>
          <w:b/>
          <w:color w:val="0F0F11"/>
          <w:w w:val="105"/>
          <w:sz w:val="23"/>
        </w:rPr>
        <w:t>Auditor's Responsibility</w:t>
      </w:r>
    </w:p>
    <w:p>
      <w:pPr>
        <w:pStyle w:val="BodyText"/>
        <w:spacing w:before="8"/>
        <w:rPr>
          <w:b/>
          <w:sz w:val="20"/>
        </w:rPr>
      </w:pPr>
    </w:p>
    <w:p>
      <w:pPr>
        <w:spacing w:line="240" w:lineRule="auto" w:before="1"/>
        <w:ind w:left="712" w:right="626" w:firstLine="14"/>
        <w:jc w:val="both"/>
        <w:rPr>
          <w:sz w:val="20"/>
        </w:rPr>
      </w:pPr>
      <w:r>
        <w:rPr>
          <w:color w:val="0F0F11"/>
          <w:sz w:val="20"/>
        </w:rPr>
        <w:t>My responsibility is to express an opinion on the financial statements based on my aud</w:t>
      </w:r>
      <w:r>
        <w:rPr>
          <w:color w:val="2B2B2B"/>
          <w:sz w:val="20"/>
        </w:rPr>
        <w:t>i</w:t>
      </w:r>
      <w:r>
        <w:rPr>
          <w:color w:val="0F0F11"/>
          <w:sz w:val="20"/>
        </w:rPr>
        <w:t>t. I conducted my audit in accordance with Austral</w:t>
      </w:r>
      <w:r>
        <w:rPr>
          <w:color w:val="2B2B2B"/>
          <w:sz w:val="20"/>
        </w:rPr>
        <w:t>i</w:t>
      </w:r>
      <w:r>
        <w:rPr>
          <w:color w:val="0F0F11"/>
          <w:sz w:val="20"/>
        </w:rPr>
        <w:t>an Aud </w:t>
      </w:r>
      <w:r>
        <w:rPr>
          <w:color w:val="2B2B2B"/>
          <w:sz w:val="20"/>
        </w:rPr>
        <w:t>i</w:t>
      </w:r>
      <w:r>
        <w:rPr>
          <w:color w:val="0F0F11"/>
          <w:sz w:val="20"/>
        </w:rPr>
        <w:t>ting Standards</w:t>
      </w:r>
      <w:r>
        <w:rPr>
          <w:color w:val="2B2B2B"/>
          <w:sz w:val="20"/>
        </w:rPr>
        <w:t>. </w:t>
      </w:r>
      <w:r>
        <w:rPr>
          <w:color w:val="0F0F11"/>
          <w:sz w:val="20"/>
        </w:rPr>
        <w:t>Those Standards requ</w:t>
      </w:r>
      <w:r>
        <w:rPr>
          <w:color w:val="2B2B2B"/>
          <w:sz w:val="20"/>
        </w:rPr>
        <w:t>i</w:t>
      </w:r>
      <w:r>
        <w:rPr>
          <w:color w:val="0F0F11"/>
          <w:sz w:val="20"/>
        </w:rPr>
        <w:t>re that  I comply with relevant ethical requirements relating to audit engagements and plan and perform the audit to obtain reasonable assurance about whether the financial statements are free from material misstatement.</w:t>
      </w:r>
    </w:p>
    <w:p>
      <w:pPr>
        <w:pStyle w:val="BodyText"/>
        <w:spacing w:before="2"/>
        <w:rPr>
          <w:sz w:val="20"/>
        </w:rPr>
      </w:pPr>
    </w:p>
    <w:p>
      <w:pPr>
        <w:spacing w:line="237" w:lineRule="auto" w:before="0"/>
        <w:ind w:left="712" w:right="631" w:firstLine="0"/>
        <w:jc w:val="both"/>
        <w:rPr>
          <w:sz w:val="20"/>
        </w:rPr>
      </w:pPr>
      <w:r>
        <w:rPr>
          <w:color w:val="0F0F11"/>
          <w:sz w:val="20"/>
        </w:rPr>
        <w:t>An audit involves performing procedures to obtain audit evidence about the amounts and disclosures in the financial statements </w:t>
      </w:r>
      <w:r>
        <w:rPr>
          <w:color w:val="3D3D3F"/>
          <w:sz w:val="20"/>
        </w:rPr>
        <w:t>. </w:t>
      </w:r>
      <w:r>
        <w:rPr>
          <w:color w:val="0F0F11"/>
          <w:sz w:val="20"/>
        </w:rPr>
        <w:t>The procedures selected depend on the auditor</w:t>
      </w:r>
      <w:r>
        <w:rPr>
          <w:color w:val="2B2B2B"/>
          <w:sz w:val="20"/>
        </w:rPr>
        <w:t>'</w:t>
      </w:r>
      <w:r>
        <w:rPr>
          <w:color w:val="0F0F11"/>
          <w:sz w:val="20"/>
        </w:rPr>
        <w:t>s judgement, including the assessment of the risks of material misstatement of the financial statements</w:t>
      </w:r>
      <w:r>
        <w:rPr>
          <w:color w:val="2B2B2B"/>
          <w:sz w:val="20"/>
        </w:rPr>
        <w:t>, </w:t>
      </w:r>
      <w:r>
        <w:rPr>
          <w:color w:val="0F0F11"/>
          <w:sz w:val="20"/>
        </w:rPr>
        <w:t>whether due to fraud or </w:t>
      </w:r>
      <w:r>
        <w:rPr>
          <w:color w:val="0F0F11"/>
          <w:spacing w:val="3"/>
          <w:sz w:val="20"/>
        </w:rPr>
        <w:t>error</w:t>
      </w:r>
      <w:r>
        <w:rPr>
          <w:color w:val="2B2B2B"/>
          <w:spacing w:val="3"/>
          <w:sz w:val="20"/>
        </w:rPr>
        <w:t>. </w:t>
      </w:r>
      <w:r>
        <w:rPr>
          <w:color w:val="2B2B2B"/>
          <w:spacing w:val="-8"/>
          <w:sz w:val="20"/>
        </w:rPr>
        <w:t>I</w:t>
      </w:r>
      <w:r>
        <w:rPr>
          <w:color w:val="0F0F11"/>
          <w:spacing w:val="-8"/>
          <w:sz w:val="20"/>
        </w:rPr>
        <w:t>n </w:t>
      </w:r>
      <w:r>
        <w:rPr>
          <w:color w:val="0F0F11"/>
          <w:sz w:val="20"/>
        </w:rPr>
        <w:t>making those risk assessments, the auditor considers internal control relevant to the Company's preparat</w:t>
      </w:r>
      <w:r>
        <w:rPr>
          <w:color w:val="2B2B2B"/>
          <w:sz w:val="20"/>
        </w:rPr>
        <w:t>i</w:t>
      </w:r>
      <w:r>
        <w:rPr>
          <w:color w:val="0F0F11"/>
          <w:sz w:val="20"/>
        </w:rPr>
        <w:t>on of the financial statements that give a true and fa</w:t>
      </w:r>
      <w:r>
        <w:rPr>
          <w:color w:val="2B2B2B"/>
          <w:sz w:val="20"/>
        </w:rPr>
        <w:t>i</w:t>
      </w:r>
      <w:r>
        <w:rPr>
          <w:color w:val="0F0F11"/>
          <w:sz w:val="20"/>
        </w:rPr>
        <w:t>r view </w:t>
      </w:r>
      <w:r>
        <w:rPr>
          <w:color w:val="2B2B2B"/>
          <w:spacing w:val="-9"/>
          <w:sz w:val="20"/>
        </w:rPr>
        <w:t>i</w:t>
      </w:r>
      <w:r>
        <w:rPr>
          <w:color w:val="0F0F11"/>
          <w:spacing w:val="-9"/>
          <w:sz w:val="20"/>
        </w:rPr>
        <w:t>n </w:t>
      </w:r>
      <w:r>
        <w:rPr>
          <w:color w:val="0F0F11"/>
          <w:sz w:val="20"/>
        </w:rPr>
        <w:t>order to design  audit procedures that are appropriate in the circumstances </w:t>
      </w:r>
      <w:r>
        <w:rPr>
          <w:color w:val="2B2B2B"/>
          <w:sz w:val="20"/>
        </w:rPr>
        <w:t>, </w:t>
      </w:r>
      <w:r>
        <w:rPr>
          <w:color w:val="0F0F11"/>
          <w:sz w:val="20"/>
        </w:rPr>
        <w:t>but not for the purpose of expressing an opinion on the effectiveness of the company's internal control. An audit also includes evaluating the appropriateness of accounting policies used and the reasonableness of accounting estimates made by the directors, as well as evaluating the overall presentation of the financial</w:t>
      </w:r>
      <w:r>
        <w:rPr>
          <w:color w:val="0F0F11"/>
          <w:spacing w:val="27"/>
          <w:sz w:val="20"/>
        </w:rPr>
        <w:t> </w:t>
      </w:r>
      <w:r>
        <w:rPr>
          <w:color w:val="0F0F11"/>
          <w:sz w:val="20"/>
        </w:rPr>
        <w:t>statements</w:t>
      </w:r>
      <w:r>
        <w:rPr>
          <w:color w:val="3D3D3F"/>
          <w:sz w:val="20"/>
        </w:rPr>
        <w:t>.</w:t>
      </w:r>
    </w:p>
    <w:p>
      <w:pPr>
        <w:pStyle w:val="BodyText"/>
        <w:rPr>
          <w:sz w:val="20"/>
        </w:rPr>
      </w:pPr>
    </w:p>
    <w:p>
      <w:pPr>
        <w:pStyle w:val="BodyText"/>
        <w:spacing w:before="7"/>
      </w:pPr>
      <w:r>
        <w:rPr/>
        <w:pict>
          <v:line style="position:absolute;mso-position-horizontal-relative:page;mso-position-vertical-relative:paragraph;z-index:4648;mso-wrap-distance-left:0;mso-wrap-distance-right:0" from="38.400013pt,12.92304pt" to="548.400013pt,12.92304pt" stroked="true" strokeweight=".48pt" strokecolor="#343434">
            <w10:wrap type="topAndBottom"/>
          </v:line>
        </w:pict>
      </w:r>
    </w:p>
    <w:p>
      <w:pPr>
        <w:spacing w:before="92"/>
        <w:ind w:left="86" w:right="83" w:firstLine="0"/>
        <w:jc w:val="center"/>
        <w:rPr>
          <w:sz w:val="13"/>
        </w:rPr>
      </w:pPr>
      <w:r>
        <w:rPr>
          <w:color w:val="0F0F11"/>
          <w:w w:val="105"/>
          <w:sz w:val="13"/>
        </w:rPr>
        <w:t>Level 15, 1 M</w:t>
      </w:r>
      <w:r>
        <w:rPr>
          <w:color w:val="2B2B2B"/>
          <w:w w:val="105"/>
          <w:sz w:val="13"/>
        </w:rPr>
        <w:t>a</w:t>
      </w:r>
      <w:r>
        <w:rPr>
          <w:color w:val="0F0F11"/>
          <w:w w:val="105"/>
          <w:sz w:val="13"/>
        </w:rPr>
        <w:t>rgaret Street, Sydne</w:t>
      </w:r>
      <w:r>
        <w:rPr>
          <w:color w:val="2B2B2B"/>
          <w:w w:val="105"/>
          <w:sz w:val="13"/>
        </w:rPr>
        <w:t>y </w:t>
      </w:r>
      <w:r>
        <w:rPr>
          <w:color w:val="0F0F11"/>
          <w:w w:val="105"/>
          <w:sz w:val="13"/>
        </w:rPr>
        <w:t>NSW 2000  </w:t>
      </w:r>
      <w:r>
        <w:rPr>
          <w:color w:val="2B2B2B"/>
          <w:w w:val="85"/>
          <w:sz w:val="19"/>
        </w:rPr>
        <w:t>I </w:t>
      </w:r>
      <w:r>
        <w:rPr>
          <w:color w:val="2B2B2B"/>
          <w:w w:val="105"/>
          <w:sz w:val="13"/>
        </w:rPr>
        <w:t>G</w:t>
      </w:r>
      <w:r>
        <w:rPr>
          <w:color w:val="0F0F11"/>
          <w:w w:val="105"/>
          <w:sz w:val="13"/>
        </w:rPr>
        <w:t>P</w:t>
      </w:r>
      <w:r>
        <w:rPr>
          <w:color w:val="2B2B2B"/>
          <w:w w:val="105"/>
          <w:sz w:val="13"/>
        </w:rPr>
        <w:t>O </w:t>
      </w:r>
      <w:r>
        <w:rPr>
          <w:color w:val="0F0F11"/>
          <w:w w:val="105"/>
          <w:sz w:val="13"/>
        </w:rPr>
        <w:t>B</w:t>
      </w:r>
      <w:r>
        <w:rPr>
          <w:color w:val="2B2B2B"/>
          <w:w w:val="105"/>
          <w:sz w:val="13"/>
        </w:rPr>
        <w:t>ox </w:t>
      </w:r>
      <w:r>
        <w:rPr>
          <w:color w:val="0F0F11"/>
          <w:w w:val="105"/>
          <w:sz w:val="13"/>
        </w:rPr>
        <w:t>1</w:t>
      </w:r>
      <w:r>
        <w:rPr>
          <w:color w:val="2B2B2B"/>
          <w:w w:val="105"/>
          <w:sz w:val="13"/>
        </w:rPr>
        <w:t>2, Sydney NSW 2001 </w:t>
      </w:r>
      <w:r>
        <w:rPr>
          <w:color w:val="0F0F11"/>
          <w:w w:val="85"/>
          <w:sz w:val="13"/>
        </w:rPr>
        <w:t>_I   </w:t>
      </w:r>
      <w:r>
        <w:rPr>
          <w:color w:val="0F0F11"/>
          <w:w w:val="105"/>
          <w:sz w:val="13"/>
        </w:rPr>
        <w:t>t </w:t>
      </w:r>
      <w:r>
        <w:rPr>
          <w:color w:val="2B2B2B"/>
          <w:w w:val="105"/>
          <w:sz w:val="13"/>
        </w:rPr>
        <w:t>02 9275 7</w:t>
      </w:r>
      <w:r>
        <w:rPr>
          <w:color w:val="0F0F11"/>
          <w:w w:val="105"/>
          <w:sz w:val="13"/>
        </w:rPr>
        <w:t>1</w:t>
      </w:r>
      <w:r>
        <w:rPr>
          <w:color w:val="2B2B2B"/>
          <w:w w:val="105"/>
          <w:sz w:val="13"/>
        </w:rPr>
        <w:t>0</w:t>
      </w:r>
      <w:r>
        <w:rPr>
          <w:color w:val="0F0F11"/>
          <w:w w:val="105"/>
          <w:sz w:val="13"/>
        </w:rPr>
        <w:t>1  </w:t>
      </w:r>
      <w:r>
        <w:rPr>
          <w:color w:val="0F0F11"/>
          <w:w w:val="85"/>
          <w:sz w:val="19"/>
        </w:rPr>
        <w:t>I </w:t>
      </w:r>
      <w:r>
        <w:rPr>
          <w:color w:val="0F0F11"/>
          <w:w w:val="105"/>
          <w:sz w:val="13"/>
        </w:rPr>
        <w:t>f </w:t>
      </w:r>
      <w:r>
        <w:rPr>
          <w:color w:val="2B2B2B"/>
          <w:w w:val="105"/>
          <w:sz w:val="13"/>
        </w:rPr>
        <w:t>02 9275 7179  </w:t>
      </w:r>
      <w:r>
        <w:rPr>
          <w:color w:val="2B2B2B"/>
          <w:w w:val="85"/>
          <w:sz w:val="19"/>
        </w:rPr>
        <w:t>I  </w:t>
      </w:r>
      <w:r>
        <w:rPr>
          <w:color w:val="0F0F11"/>
          <w:w w:val="105"/>
          <w:sz w:val="13"/>
        </w:rPr>
        <w:t>e </w:t>
      </w:r>
      <w:hyperlink r:id="rId113">
        <w:r>
          <w:rPr>
            <w:color w:val="0F0F11"/>
            <w:w w:val="105"/>
            <w:sz w:val="13"/>
          </w:rPr>
          <w:t>m</w:t>
        </w:r>
        <w:r>
          <w:rPr>
            <w:color w:val="2B2B2B"/>
            <w:w w:val="105"/>
            <w:sz w:val="13"/>
          </w:rPr>
          <w:t>a</w:t>
        </w:r>
        <w:r>
          <w:rPr>
            <w:color w:val="0F0F11"/>
            <w:w w:val="105"/>
            <w:sz w:val="13"/>
          </w:rPr>
          <w:t>i</w:t>
        </w:r>
        <w:r>
          <w:rPr>
            <w:color w:val="2B2B2B"/>
            <w:w w:val="105"/>
            <w:sz w:val="13"/>
          </w:rPr>
          <w:t>l@audit. </w:t>
        </w:r>
        <w:r>
          <w:rPr>
            <w:color w:val="0F0F11"/>
            <w:w w:val="105"/>
            <w:sz w:val="13"/>
          </w:rPr>
          <w:t>n</w:t>
        </w:r>
        <w:r>
          <w:rPr>
            <w:color w:val="2B2B2B"/>
            <w:w w:val="105"/>
            <w:sz w:val="13"/>
          </w:rPr>
          <w:t>sw.gov.au</w:t>
        </w:r>
      </w:hyperlink>
      <w:r>
        <w:rPr>
          <w:color w:val="2B2B2B"/>
          <w:w w:val="105"/>
          <w:sz w:val="13"/>
        </w:rPr>
        <w:t>  </w:t>
      </w:r>
      <w:r>
        <w:rPr>
          <w:color w:val="2B2B2B"/>
          <w:w w:val="85"/>
          <w:sz w:val="19"/>
        </w:rPr>
        <w:t>I </w:t>
      </w:r>
      <w:r>
        <w:rPr>
          <w:color w:val="0F0F11"/>
          <w:w w:val="105"/>
          <w:sz w:val="13"/>
        </w:rPr>
        <w:t>aud</w:t>
      </w:r>
      <w:r>
        <w:rPr>
          <w:color w:val="2B2B2B"/>
          <w:w w:val="105"/>
          <w:sz w:val="13"/>
        </w:rPr>
        <w:t>i</w:t>
      </w:r>
      <w:r>
        <w:rPr>
          <w:color w:val="0F0F11"/>
          <w:w w:val="105"/>
          <w:sz w:val="13"/>
        </w:rPr>
        <w:t>t.nsw</w:t>
      </w:r>
      <w:r>
        <w:rPr>
          <w:color w:val="3D3D3F"/>
          <w:w w:val="105"/>
          <w:sz w:val="13"/>
        </w:rPr>
        <w:t>.</w:t>
      </w:r>
      <w:r>
        <w:rPr>
          <w:color w:val="0F0F11"/>
          <w:w w:val="105"/>
          <w:sz w:val="13"/>
        </w:rPr>
        <w:t>gov.au</w:t>
      </w:r>
    </w:p>
    <w:p>
      <w:pPr>
        <w:spacing w:after="0"/>
        <w:jc w:val="center"/>
        <w:rPr>
          <w:sz w:val="13"/>
        </w:rPr>
        <w:sectPr>
          <w:footerReference w:type="default" r:id="rId140"/>
          <w:pgSz w:w="11910" w:h="16840"/>
          <w:pgMar w:footer="420" w:header="878" w:top="2520" w:bottom="600" w:left="660" w:right="820"/>
          <w:pgNumType w:start="125"/>
        </w:sectPr>
      </w:pPr>
    </w:p>
    <w:p>
      <w:pPr>
        <w:pStyle w:val="Heading8"/>
        <w:spacing w:before="63"/>
        <w:ind w:left="122" w:right="122" w:firstLine="9"/>
        <w:jc w:val="left"/>
      </w:pPr>
      <w:r>
        <w:rPr>
          <w:color w:val="111113"/>
        </w:rPr>
        <w:t>I believe the audit evidence I have obtained is sufficient and appropriate to provide a basis for my audit</w:t>
      </w:r>
      <w:r>
        <w:rPr>
          <w:color w:val="111113"/>
          <w:spacing w:val="-13"/>
        </w:rPr>
        <w:t> </w:t>
      </w:r>
      <w:r>
        <w:rPr>
          <w:color w:val="111113"/>
        </w:rPr>
        <w:t>opinion.</w:t>
      </w:r>
    </w:p>
    <w:p>
      <w:pPr>
        <w:pStyle w:val="BodyText"/>
        <w:spacing w:before="6"/>
        <w:rPr>
          <w:sz w:val="19"/>
        </w:rPr>
      </w:pPr>
    </w:p>
    <w:p>
      <w:pPr>
        <w:spacing w:before="0"/>
        <w:ind w:left="131" w:right="122" w:firstLine="0"/>
        <w:jc w:val="left"/>
        <w:rPr>
          <w:sz w:val="20"/>
        </w:rPr>
      </w:pPr>
      <w:r>
        <w:rPr>
          <w:color w:val="111113"/>
          <w:sz w:val="20"/>
        </w:rPr>
        <w:t>My opinion does </w:t>
      </w:r>
      <w:r>
        <w:rPr>
          <w:i/>
          <w:color w:val="111113"/>
          <w:sz w:val="20"/>
        </w:rPr>
        <w:t>not </w:t>
      </w:r>
      <w:r>
        <w:rPr>
          <w:color w:val="111113"/>
          <w:sz w:val="20"/>
        </w:rPr>
        <w:t>provide assurance</w:t>
      </w:r>
      <w:r>
        <w:rPr>
          <w:color w:val="424242"/>
          <w:sz w:val="20"/>
        </w:rPr>
        <w:t>:</w:t>
      </w:r>
    </w:p>
    <w:p>
      <w:pPr>
        <w:pStyle w:val="BodyText"/>
        <w:spacing w:before="4"/>
        <w:rPr>
          <w:sz w:val="25"/>
        </w:rPr>
      </w:pPr>
    </w:p>
    <w:p>
      <w:pPr>
        <w:pStyle w:val="ListParagraph"/>
        <w:numPr>
          <w:ilvl w:val="0"/>
          <w:numId w:val="49"/>
        </w:numPr>
        <w:tabs>
          <w:tab w:pos="691" w:val="left" w:leader="none"/>
        </w:tabs>
        <w:spacing w:line="240" w:lineRule="auto" w:before="0" w:after="0"/>
        <w:ind w:left="690" w:right="0" w:hanging="568"/>
        <w:jc w:val="left"/>
        <w:rPr>
          <w:sz w:val="20"/>
        </w:rPr>
      </w:pPr>
      <w:r>
        <w:rPr>
          <w:color w:val="111113"/>
          <w:sz w:val="20"/>
        </w:rPr>
        <w:t>about the future viability of the</w:t>
      </w:r>
      <w:r>
        <w:rPr>
          <w:color w:val="111113"/>
          <w:spacing w:val="-27"/>
          <w:sz w:val="20"/>
        </w:rPr>
        <w:t> </w:t>
      </w:r>
      <w:r>
        <w:rPr>
          <w:color w:val="111113"/>
          <w:sz w:val="20"/>
        </w:rPr>
        <w:t>Company</w:t>
      </w:r>
    </w:p>
    <w:p>
      <w:pPr>
        <w:pStyle w:val="ListParagraph"/>
        <w:numPr>
          <w:ilvl w:val="0"/>
          <w:numId w:val="49"/>
        </w:numPr>
        <w:tabs>
          <w:tab w:pos="686" w:val="left" w:leader="none"/>
        </w:tabs>
        <w:spacing w:line="240" w:lineRule="auto" w:before="22" w:after="0"/>
        <w:ind w:left="685" w:right="0" w:hanging="563"/>
        <w:jc w:val="left"/>
        <w:rPr>
          <w:sz w:val="20"/>
        </w:rPr>
      </w:pPr>
      <w:r>
        <w:rPr>
          <w:color w:val="111113"/>
          <w:sz w:val="20"/>
        </w:rPr>
        <w:t>that it has carried out its activities effectively, efficiently and</w:t>
      </w:r>
      <w:r>
        <w:rPr>
          <w:color w:val="111113"/>
          <w:spacing w:val="-37"/>
          <w:sz w:val="20"/>
        </w:rPr>
        <w:t> </w:t>
      </w:r>
      <w:r>
        <w:rPr>
          <w:color w:val="111113"/>
          <w:sz w:val="20"/>
        </w:rPr>
        <w:t>economically</w:t>
      </w:r>
    </w:p>
    <w:p>
      <w:pPr>
        <w:pStyle w:val="ListParagraph"/>
        <w:numPr>
          <w:ilvl w:val="0"/>
          <w:numId w:val="50"/>
        </w:numPr>
        <w:tabs>
          <w:tab w:pos="691" w:val="left" w:leader="none"/>
        </w:tabs>
        <w:spacing w:line="240" w:lineRule="auto" w:before="22" w:after="0"/>
        <w:ind w:left="690" w:right="0" w:hanging="568"/>
        <w:jc w:val="left"/>
        <w:rPr>
          <w:sz w:val="20"/>
        </w:rPr>
      </w:pPr>
      <w:r>
        <w:rPr>
          <w:color w:val="111113"/>
          <w:sz w:val="20"/>
        </w:rPr>
        <w:t>about the effectiveness of </w:t>
      </w:r>
      <w:r>
        <w:rPr>
          <w:color w:val="28282A"/>
          <w:sz w:val="20"/>
        </w:rPr>
        <w:t>its </w:t>
      </w:r>
      <w:r>
        <w:rPr>
          <w:color w:val="111113"/>
          <w:sz w:val="20"/>
        </w:rPr>
        <w:t>internal</w:t>
      </w:r>
      <w:r>
        <w:rPr>
          <w:color w:val="111113"/>
          <w:spacing w:val="-17"/>
          <w:sz w:val="20"/>
        </w:rPr>
        <w:t> </w:t>
      </w:r>
      <w:r>
        <w:rPr>
          <w:color w:val="111113"/>
          <w:sz w:val="20"/>
        </w:rPr>
        <w:t>control</w:t>
      </w:r>
    </w:p>
    <w:p>
      <w:pPr>
        <w:pStyle w:val="ListParagraph"/>
        <w:numPr>
          <w:ilvl w:val="0"/>
          <w:numId w:val="51"/>
        </w:numPr>
        <w:tabs>
          <w:tab w:pos="691" w:val="left" w:leader="none"/>
        </w:tabs>
        <w:spacing w:line="230" w:lineRule="exact" w:before="12" w:after="0"/>
        <w:ind w:left="690" w:right="1125" w:hanging="568"/>
        <w:jc w:val="left"/>
        <w:rPr>
          <w:sz w:val="20"/>
        </w:rPr>
      </w:pPr>
      <w:r>
        <w:rPr>
          <w:color w:val="111113"/>
          <w:sz w:val="20"/>
        </w:rPr>
        <w:t>about the security and controls over the electronic publication of the audited</w:t>
      </w:r>
      <w:r>
        <w:rPr>
          <w:color w:val="111113"/>
          <w:spacing w:val="-39"/>
          <w:sz w:val="20"/>
        </w:rPr>
        <w:t> </w:t>
      </w:r>
      <w:r>
        <w:rPr>
          <w:color w:val="111113"/>
          <w:sz w:val="20"/>
        </w:rPr>
        <w:t>financial statements on any website where they may be</w:t>
      </w:r>
      <w:r>
        <w:rPr>
          <w:color w:val="111113"/>
          <w:spacing w:val="-28"/>
          <w:sz w:val="20"/>
        </w:rPr>
        <w:t> </w:t>
      </w:r>
      <w:r>
        <w:rPr>
          <w:color w:val="111113"/>
          <w:sz w:val="20"/>
        </w:rPr>
        <w:t>presented</w:t>
      </w:r>
    </w:p>
    <w:p>
      <w:pPr>
        <w:pStyle w:val="ListParagraph"/>
        <w:numPr>
          <w:ilvl w:val="0"/>
          <w:numId w:val="51"/>
        </w:numPr>
        <w:tabs>
          <w:tab w:pos="691" w:val="left" w:leader="none"/>
        </w:tabs>
        <w:spacing w:line="240" w:lineRule="auto" w:before="58" w:after="0"/>
        <w:ind w:left="690" w:right="0" w:hanging="568"/>
        <w:jc w:val="left"/>
        <w:rPr>
          <w:sz w:val="20"/>
        </w:rPr>
      </w:pPr>
      <w:r>
        <w:rPr>
          <w:color w:val="111113"/>
          <w:sz w:val="20"/>
        </w:rPr>
        <w:t>about</w:t>
      </w:r>
      <w:r>
        <w:rPr>
          <w:color w:val="111113"/>
          <w:spacing w:val="-6"/>
          <w:sz w:val="20"/>
        </w:rPr>
        <w:t> </w:t>
      </w:r>
      <w:r>
        <w:rPr>
          <w:color w:val="111113"/>
          <w:sz w:val="20"/>
        </w:rPr>
        <w:t>any</w:t>
      </w:r>
      <w:r>
        <w:rPr>
          <w:color w:val="111113"/>
          <w:spacing w:val="-3"/>
          <w:sz w:val="20"/>
        </w:rPr>
        <w:t> </w:t>
      </w:r>
      <w:r>
        <w:rPr>
          <w:color w:val="111113"/>
          <w:sz w:val="20"/>
        </w:rPr>
        <w:t>other</w:t>
      </w:r>
      <w:r>
        <w:rPr>
          <w:color w:val="111113"/>
          <w:spacing w:val="2"/>
          <w:sz w:val="20"/>
        </w:rPr>
        <w:t> </w:t>
      </w:r>
      <w:r>
        <w:rPr>
          <w:color w:val="111113"/>
          <w:sz w:val="20"/>
        </w:rPr>
        <w:t>information</w:t>
      </w:r>
      <w:r>
        <w:rPr>
          <w:color w:val="111113"/>
          <w:spacing w:val="-3"/>
          <w:sz w:val="20"/>
        </w:rPr>
        <w:t> </w:t>
      </w:r>
      <w:r>
        <w:rPr>
          <w:color w:val="111113"/>
          <w:sz w:val="20"/>
        </w:rPr>
        <w:t>that</w:t>
      </w:r>
      <w:r>
        <w:rPr>
          <w:color w:val="111113"/>
          <w:spacing w:val="-5"/>
          <w:sz w:val="20"/>
        </w:rPr>
        <w:t> </w:t>
      </w:r>
      <w:r>
        <w:rPr>
          <w:color w:val="111113"/>
          <w:sz w:val="20"/>
        </w:rPr>
        <w:t>may</w:t>
      </w:r>
      <w:r>
        <w:rPr>
          <w:color w:val="111113"/>
          <w:spacing w:val="-6"/>
          <w:sz w:val="20"/>
        </w:rPr>
        <w:t> </w:t>
      </w:r>
      <w:r>
        <w:rPr>
          <w:color w:val="111113"/>
          <w:sz w:val="20"/>
        </w:rPr>
        <w:t>have</w:t>
      </w:r>
      <w:r>
        <w:rPr>
          <w:color w:val="111113"/>
          <w:spacing w:val="-7"/>
          <w:sz w:val="20"/>
        </w:rPr>
        <w:t> </w:t>
      </w:r>
      <w:r>
        <w:rPr>
          <w:color w:val="111113"/>
          <w:sz w:val="20"/>
        </w:rPr>
        <w:t>been</w:t>
      </w:r>
      <w:r>
        <w:rPr>
          <w:color w:val="111113"/>
          <w:spacing w:val="-5"/>
          <w:sz w:val="20"/>
        </w:rPr>
        <w:t> </w:t>
      </w:r>
      <w:r>
        <w:rPr>
          <w:color w:val="111113"/>
          <w:sz w:val="20"/>
        </w:rPr>
        <w:t>hyperlinked</w:t>
      </w:r>
      <w:r>
        <w:rPr>
          <w:color w:val="111113"/>
          <w:spacing w:val="-7"/>
          <w:sz w:val="20"/>
        </w:rPr>
        <w:t> </w:t>
      </w:r>
      <w:r>
        <w:rPr>
          <w:color w:val="111113"/>
          <w:sz w:val="20"/>
        </w:rPr>
        <w:t>to/from</w:t>
      </w:r>
      <w:r>
        <w:rPr>
          <w:color w:val="111113"/>
          <w:spacing w:val="-7"/>
          <w:sz w:val="20"/>
        </w:rPr>
        <w:t> </w:t>
      </w:r>
      <w:r>
        <w:rPr>
          <w:color w:val="111113"/>
          <w:sz w:val="20"/>
        </w:rPr>
        <w:t>the</w:t>
      </w:r>
      <w:r>
        <w:rPr>
          <w:color w:val="111113"/>
          <w:spacing w:val="-7"/>
          <w:sz w:val="20"/>
        </w:rPr>
        <w:t> </w:t>
      </w:r>
      <w:r>
        <w:rPr>
          <w:color w:val="111113"/>
          <w:sz w:val="20"/>
        </w:rPr>
        <w:t>financial</w:t>
      </w:r>
      <w:r>
        <w:rPr>
          <w:color w:val="111113"/>
          <w:spacing w:val="-2"/>
          <w:sz w:val="20"/>
        </w:rPr>
        <w:t> </w:t>
      </w:r>
      <w:r>
        <w:rPr>
          <w:color w:val="111113"/>
          <w:sz w:val="20"/>
        </w:rPr>
        <w:t>statements</w:t>
      </w:r>
      <w:r>
        <w:rPr>
          <w:color w:val="111113"/>
          <w:spacing w:val="-32"/>
          <w:sz w:val="20"/>
        </w:rPr>
        <w:t> </w:t>
      </w:r>
      <w:r>
        <w:rPr>
          <w:color w:val="28282A"/>
          <w:sz w:val="20"/>
        </w:rPr>
        <w:t>.</w:t>
      </w:r>
    </w:p>
    <w:p>
      <w:pPr>
        <w:pStyle w:val="BodyText"/>
        <w:spacing w:before="7"/>
        <w:rPr>
          <w:sz w:val="16"/>
        </w:rPr>
      </w:pPr>
    </w:p>
    <w:p>
      <w:pPr>
        <w:spacing w:before="71"/>
        <w:ind w:left="131" w:right="0" w:firstLine="0"/>
        <w:jc w:val="both"/>
        <w:rPr>
          <w:b/>
          <w:sz w:val="23"/>
        </w:rPr>
      </w:pPr>
      <w:r>
        <w:rPr>
          <w:b/>
          <w:color w:val="111113"/>
          <w:sz w:val="23"/>
        </w:rPr>
        <w:t>Independence</w:t>
      </w:r>
    </w:p>
    <w:p>
      <w:pPr>
        <w:pStyle w:val="BodyText"/>
        <w:spacing w:before="4"/>
        <w:rPr>
          <w:b/>
          <w:sz w:val="20"/>
        </w:rPr>
      </w:pPr>
    </w:p>
    <w:p>
      <w:pPr>
        <w:spacing w:line="237" w:lineRule="auto" w:before="0"/>
        <w:ind w:left="112" w:right="118" w:firstLine="14"/>
        <w:jc w:val="both"/>
        <w:rPr>
          <w:sz w:val="20"/>
        </w:rPr>
      </w:pPr>
      <w:r>
        <w:rPr>
          <w:color w:val="111113"/>
          <w:sz w:val="20"/>
        </w:rPr>
        <w:t>In conducting my audit, I have complied with the </w:t>
      </w:r>
      <w:r>
        <w:rPr>
          <w:color w:val="28282A"/>
          <w:sz w:val="20"/>
        </w:rPr>
        <w:t>independence </w:t>
      </w:r>
      <w:r>
        <w:rPr>
          <w:color w:val="111113"/>
          <w:sz w:val="20"/>
        </w:rPr>
        <w:t>requirements of the  Australian Auditing Standards, the </w:t>
      </w:r>
      <w:r>
        <w:rPr>
          <w:i/>
          <w:color w:val="111113"/>
          <w:sz w:val="20"/>
        </w:rPr>
        <w:t>Corporations Act 2001 </w:t>
      </w:r>
      <w:r>
        <w:rPr>
          <w:color w:val="111113"/>
          <w:sz w:val="20"/>
        </w:rPr>
        <w:t>and relevant ethical pronouncements </w:t>
      </w:r>
      <w:r>
        <w:rPr>
          <w:color w:val="595959"/>
          <w:sz w:val="20"/>
        </w:rPr>
        <w:t>. </w:t>
      </w:r>
      <w:r>
        <w:rPr>
          <w:color w:val="111113"/>
          <w:sz w:val="20"/>
        </w:rPr>
        <w:t>The PF&amp;A Act further promotes independence by:</w:t>
      </w:r>
    </w:p>
    <w:p>
      <w:pPr>
        <w:pStyle w:val="BodyText"/>
        <w:spacing w:before="1"/>
        <w:rPr>
          <w:sz w:val="26"/>
        </w:rPr>
      </w:pPr>
    </w:p>
    <w:p>
      <w:pPr>
        <w:pStyle w:val="ListParagraph"/>
        <w:numPr>
          <w:ilvl w:val="0"/>
          <w:numId w:val="52"/>
        </w:numPr>
        <w:tabs>
          <w:tab w:pos="696" w:val="left" w:leader="none"/>
        </w:tabs>
        <w:spacing w:line="224" w:lineRule="exact" w:before="0" w:after="0"/>
        <w:ind w:left="680" w:right="1401" w:hanging="563"/>
        <w:jc w:val="left"/>
        <w:rPr>
          <w:sz w:val="20"/>
        </w:rPr>
      </w:pPr>
      <w:r>
        <w:rPr>
          <w:color w:val="111113"/>
          <w:sz w:val="20"/>
        </w:rPr>
        <w:t>providing that only Parliament, and not the executive government, can remove</w:t>
      </w:r>
      <w:r>
        <w:rPr>
          <w:color w:val="111113"/>
          <w:spacing w:val="-31"/>
          <w:sz w:val="20"/>
        </w:rPr>
        <w:t> </w:t>
      </w:r>
      <w:r>
        <w:rPr>
          <w:color w:val="111113"/>
          <w:sz w:val="20"/>
        </w:rPr>
        <w:t>an Auditor-General</w:t>
      </w:r>
    </w:p>
    <w:p>
      <w:pPr>
        <w:pStyle w:val="ListParagraph"/>
        <w:numPr>
          <w:ilvl w:val="0"/>
          <w:numId w:val="52"/>
        </w:numPr>
        <w:tabs>
          <w:tab w:pos="696" w:val="left" w:leader="none"/>
        </w:tabs>
        <w:spacing w:line="240" w:lineRule="auto" w:before="54" w:after="0"/>
        <w:ind w:left="680" w:right="136" w:hanging="563"/>
        <w:jc w:val="left"/>
        <w:rPr>
          <w:sz w:val="20"/>
        </w:rPr>
      </w:pPr>
      <w:r>
        <w:rPr>
          <w:color w:val="111113"/>
          <w:sz w:val="20"/>
        </w:rPr>
        <w:t>mandating</w:t>
      </w:r>
      <w:r>
        <w:rPr>
          <w:color w:val="111113"/>
          <w:spacing w:val="-10"/>
          <w:sz w:val="20"/>
        </w:rPr>
        <w:t> </w:t>
      </w:r>
      <w:r>
        <w:rPr>
          <w:color w:val="111113"/>
          <w:sz w:val="20"/>
        </w:rPr>
        <w:t>the</w:t>
      </w:r>
      <w:r>
        <w:rPr>
          <w:color w:val="111113"/>
          <w:spacing w:val="-8"/>
          <w:sz w:val="20"/>
        </w:rPr>
        <w:t> </w:t>
      </w:r>
      <w:r>
        <w:rPr>
          <w:color w:val="111113"/>
          <w:sz w:val="20"/>
        </w:rPr>
        <w:t>Auditor-General</w:t>
      </w:r>
      <w:r>
        <w:rPr>
          <w:color w:val="111113"/>
          <w:spacing w:val="8"/>
          <w:sz w:val="20"/>
        </w:rPr>
        <w:t> </w:t>
      </w:r>
      <w:r>
        <w:rPr>
          <w:color w:val="111113"/>
          <w:sz w:val="20"/>
        </w:rPr>
        <w:t>as</w:t>
      </w:r>
      <w:r>
        <w:rPr>
          <w:color w:val="111113"/>
          <w:spacing w:val="-10"/>
          <w:sz w:val="20"/>
        </w:rPr>
        <w:t> </w:t>
      </w:r>
      <w:r>
        <w:rPr>
          <w:color w:val="111113"/>
          <w:sz w:val="20"/>
        </w:rPr>
        <w:t>auditor</w:t>
      </w:r>
      <w:r>
        <w:rPr>
          <w:color w:val="111113"/>
          <w:spacing w:val="-1"/>
          <w:sz w:val="20"/>
        </w:rPr>
        <w:t> </w:t>
      </w:r>
      <w:r>
        <w:rPr>
          <w:color w:val="111113"/>
          <w:sz w:val="20"/>
        </w:rPr>
        <w:t>of</w:t>
      </w:r>
      <w:r>
        <w:rPr>
          <w:color w:val="111113"/>
          <w:spacing w:val="-9"/>
          <w:sz w:val="20"/>
        </w:rPr>
        <w:t> </w:t>
      </w:r>
      <w:r>
        <w:rPr>
          <w:color w:val="111113"/>
          <w:sz w:val="20"/>
        </w:rPr>
        <w:t>public</w:t>
      </w:r>
      <w:r>
        <w:rPr>
          <w:color w:val="111113"/>
          <w:spacing w:val="-13"/>
          <w:sz w:val="20"/>
        </w:rPr>
        <w:t> </w:t>
      </w:r>
      <w:r>
        <w:rPr>
          <w:color w:val="111113"/>
          <w:sz w:val="20"/>
        </w:rPr>
        <w:t>sector</w:t>
      </w:r>
      <w:r>
        <w:rPr>
          <w:color w:val="111113"/>
          <w:spacing w:val="-7"/>
          <w:sz w:val="20"/>
        </w:rPr>
        <w:t> </w:t>
      </w:r>
      <w:r>
        <w:rPr>
          <w:color w:val="111113"/>
          <w:sz w:val="20"/>
        </w:rPr>
        <w:t>agencies,</w:t>
      </w:r>
      <w:r>
        <w:rPr>
          <w:color w:val="111113"/>
          <w:spacing w:val="11"/>
          <w:sz w:val="20"/>
        </w:rPr>
        <w:t> </w:t>
      </w:r>
      <w:r>
        <w:rPr>
          <w:color w:val="111113"/>
          <w:sz w:val="20"/>
        </w:rPr>
        <w:t>but</w:t>
      </w:r>
      <w:r>
        <w:rPr>
          <w:color w:val="111113"/>
          <w:spacing w:val="-12"/>
          <w:sz w:val="20"/>
        </w:rPr>
        <w:t> </w:t>
      </w:r>
      <w:r>
        <w:rPr>
          <w:color w:val="111113"/>
          <w:sz w:val="20"/>
        </w:rPr>
        <w:t>precluding</w:t>
      </w:r>
      <w:r>
        <w:rPr>
          <w:color w:val="111113"/>
          <w:spacing w:val="-6"/>
          <w:sz w:val="20"/>
        </w:rPr>
        <w:t> </w:t>
      </w:r>
      <w:r>
        <w:rPr>
          <w:color w:val="111113"/>
          <w:sz w:val="20"/>
        </w:rPr>
        <w:t>the</w:t>
      </w:r>
      <w:r>
        <w:rPr>
          <w:color w:val="111113"/>
          <w:spacing w:val="-6"/>
          <w:sz w:val="20"/>
        </w:rPr>
        <w:t> </w:t>
      </w:r>
      <w:r>
        <w:rPr>
          <w:color w:val="111113"/>
          <w:sz w:val="20"/>
        </w:rPr>
        <w:t>provision of non-audit services, thus ensuring the Auditor-General and the Audit Office of New South Wales are not compromised in their roles by the possibility of losing clients or</w:t>
      </w:r>
      <w:r>
        <w:rPr>
          <w:color w:val="111113"/>
          <w:spacing w:val="-15"/>
          <w:sz w:val="20"/>
        </w:rPr>
        <w:t> </w:t>
      </w:r>
      <w:r>
        <w:rPr>
          <w:color w:val="111113"/>
          <w:sz w:val="20"/>
        </w:rPr>
        <w:t>income</w:t>
      </w:r>
      <w:r>
        <w:rPr>
          <w:color w:val="424242"/>
          <w:sz w:val="20"/>
        </w:rPr>
        <w:t>.</w:t>
      </w:r>
    </w:p>
    <w:p>
      <w:pPr>
        <w:pStyle w:val="BodyText"/>
        <w:spacing w:before="1"/>
        <w:rPr>
          <w:sz w:val="25"/>
        </w:rPr>
      </w:pPr>
    </w:p>
    <w:p>
      <w:pPr>
        <w:pStyle w:val="Heading8"/>
        <w:spacing w:line="237" w:lineRule="auto"/>
        <w:ind w:left="117" w:right="113" w:firstLine="9"/>
      </w:pPr>
      <w:r>
        <w:rPr/>
        <w:pict>
          <v:shape style="position:absolute;margin-left:125.10421pt;margin-top:48.65131pt;width:61.2pt;height:63.5pt;mso-position-horizontal-relative:page;mso-position-vertical-relative:paragraph;z-index:-1309552" type="#_x0000_t202" filled="false" stroked="false">
            <v:textbox inset="0,0,0,0">
              <w:txbxContent>
                <w:p>
                  <w:pPr>
                    <w:spacing w:line="1270" w:lineRule="exact" w:before="0"/>
                    <w:ind w:left="0" w:right="-19" w:firstLine="0"/>
                    <w:jc w:val="left"/>
                    <w:rPr>
                      <w:rFonts w:ascii="Times New Roman"/>
                      <w:sz w:val="127"/>
                    </w:rPr>
                  </w:pPr>
                  <w:r>
                    <w:rPr>
                      <w:rFonts w:ascii="Times New Roman"/>
                      <w:color w:val="111113"/>
                      <w:spacing w:val="165"/>
                      <w:w w:val="233"/>
                      <w:sz w:val="127"/>
                    </w:rPr>
                    <w:t>r</w:t>
                  </w:r>
                  <w:r>
                    <w:rPr>
                      <w:rFonts w:ascii="Times New Roman"/>
                      <w:color w:val="111113"/>
                      <w:w w:val="15"/>
                      <w:sz w:val="127"/>
                    </w:rPr>
                    <w:t>-</w:t>
                  </w:r>
                </w:p>
              </w:txbxContent>
            </v:textbox>
            <w10:wrap type="none"/>
          </v:shape>
        </w:pict>
      </w:r>
      <w:r>
        <w:rPr>
          <w:color w:val="111113"/>
        </w:rPr>
        <w:t>I confirm that the independence declaration required by the </w:t>
      </w:r>
      <w:r>
        <w:rPr>
          <w:i/>
          <w:color w:val="111113"/>
        </w:rPr>
        <w:t>Corporations Act 2001, </w:t>
      </w:r>
      <w:r>
        <w:rPr>
          <w:color w:val="111113"/>
        </w:rPr>
        <w:t>provided to the direqtors of the Company on 11 April 2013, would be in the same terms if provided to the directors as at the time of this auditor's report</w:t>
      </w:r>
      <w:r>
        <w:rPr>
          <w:color w:val="595959"/>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spacing w:before="0"/>
        <w:ind w:left="117" w:right="6258" w:firstLine="4"/>
        <w:jc w:val="left"/>
        <w:rPr>
          <w:sz w:val="20"/>
        </w:rPr>
      </w:pPr>
      <w:r>
        <w:rPr>
          <w:color w:val="111113"/>
          <w:sz w:val="20"/>
        </w:rPr>
        <w:t>Renee Meimaroglou, CA Director Financial Audit Services</w:t>
      </w:r>
    </w:p>
    <w:p>
      <w:pPr>
        <w:pStyle w:val="BodyText"/>
        <w:spacing w:before="11"/>
        <w:rPr>
          <w:sz w:val="19"/>
        </w:rPr>
      </w:pPr>
    </w:p>
    <w:p>
      <w:pPr>
        <w:spacing w:before="0"/>
        <w:ind w:left="112" w:right="7167" w:firstLine="9"/>
        <w:jc w:val="left"/>
        <w:rPr>
          <w:sz w:val="20"/>
        </w:rPr>
      </w:pPr>
      <w:r>
        <w:rPr>
          <w:color w:val="111113"/>
          <w:sz w:val="20"/>
        </w:rPr>
        <w:t>15 April 2013 SYDNEY</w:t>
      </w:r>
    </w:p>
    <w:p>
      <w:pPr>
        <w:spacing w:after="0"/>
        <w:jc w:val="left"/>
        <w:rPr>
          <w:sz w:val="20"/>
        </w:rPr>
        <w:sectPr>
          <w:headerReference w:type="default" r:id="rId141"/>
          <w:footerReference w:type="default" r:id="rId142"/>
          <w:pgSz w:w="11910" w:h="16840"/>
          <w:pgMar w:header="0" w:footer="563" w:top="1320" w:bottom="760" w:left="1320" w:right="1320"/>
          <w:pgNumType w:start="126"/>
        </w:sectPr>
      </w:pPr>
    </w:p>
    <w:p>
      <w:pPr>
        <w:pStyle w:val="BodyText"/>
        <w:spacing w:before="1"/>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68"/>
        <w:gridCol w:w="1444"/>
        <w:gridCol w:w="2672"/>
      </w:tblGrid>
      <w:tr>
        <w:trPr>
          <w:trHeight w:val="909" w:hRule="exact"/>
        </w:trPr>
        <w:tc>
          <w:tcPr>
            <w:tcW w:w="5868" w:type="dxa"/>
          </w:tcPr>
          <w:p>
            <w:pPr>
              <w:pStyle w:val="TableParagraph"/>
              <w:spacing w:before="65"/>
              <w:ind w:left="35"/>
              <w:rPr>
                <w:b/>
                <w:sz w:val="28"/>
              </w:rPr>
            </w:pPr>
            <w:r>
              <w:rPr>
                <w:b/>
                <w:sz w:val="28"/>
              </w:rPr>
              <w:t>Statement of comprehensive income</w:t>
            </w:r>
          </w:p>
          <w:p>
            <w:pPr>
              <w:pStyle w:val="TableParagraph"/>
              <w:spacing w:before="53"/>
              <w:ind w:left="35"/>
              <w:rPr>
                <w:b/>
                <w:sz w:val="22"/>
              </w:rPr>
            </w:pPr>
            <w:r>
              <w:rPr>
                <w:b/>
                <w:sz w:val="22"/>
              </w:rPr>
              <w:t>For the Year Ended 31 December 2012</w:t>
            </w:r>
          </w:p>
        </w:tc>
        <w:tc>
          <w:tcPr>
            <w:tcW w:w="4116" w:type="dxa"/>
            <w:gridSpan w:val="2"/>
          </w:tcPr>
          <w:p>
            <w:pPr/>
          </w:p>
        </w:tc>
      </w:tr>
      <w:tr>
        <w:trPr>
          <w:trHeight w:val="447" w:hRule="exact"/>
        </w:trPr>
        <w:tc>
          <w:tcPr>
            <w:tcW w:w="5868" w:type="dxa"/>
          </w:tcPr>
          <w:p>
            <w:pPr/>
          </w:p>
        </w:tc>
        <w:tc>
          <w:tcPr>
            <w:tcW w:w="1444" w:type="dxa"/>
          </w:tcPr>
          <w:p>
            <w:pPr/>
          </w:p>
        </w:tc>
        <w:tc>
          <w:tcPr>
            <w:tcW w:w="2672" w:type="dxa"/>
          </w:tcPr>
          <w:p>
            <w:pPr>
              <w:pStyle w:val="TableParagraph"/>
              <w:spacing w:before="2"/>
              <w:rPr>
                <w:sz w:val="17"/>
              </w:rPr>
            </w:pPr>
          </w:p>
          <w:p>
            <w:pPr>
              <w:pStyle w:val="TableParagraph"/>
              <w:tabs>
                <w:tab w:pos="1784" w:val="left" w:leader="none"/>
              </w:tabs>
              <w:ind w:left="488"/>
              <w:rPr>
                <w:b/>
                <w:sz w:val="18"/>
              </w:rPr>
            </w:pPr>
            <w:r>
              <w:rPr>
                <w:b/>
                <w:sz w:val="18"/>
              </w:rPr>
              <w:t>2012</w:t>
              <w:tab/>
              <w:t>2011</w:t>
            </w:r>
          </w:p>
        </w:tc>
      </w:tr>
      <w:tr>
        <w:trPr>
          <w:trHeight w:val="313" w:hRule="exact"/>
        </w:trPr>
        <w:tc>
          <w:tcPr>
            <w:tcW w:w="5868" w:type="dxa"/>
          </w:tcPr>
          <w:p>
            <w:pPr/>
          </w:p>
        </w:tc>
        <w:tc>
          <w:tcPr>
            <w:tcW w:w="1444" w:type="dxa"/>
          </w:tcPr>
          <w:p>
            <w:pPr>
              <w:pStyle w:val="TableParagraph"/>
              <w:spacing w:before="24"/>
              <w:ind w:right="42"/>
              <w:jc w:val="right"/>
              <w:rPr>
                <w:b/>
                <w:sz w:val="18"/>
              </w:rPr>
            </w:pPr>
            <w:r>
              <w:rPr>
                <w:b/>
                <w:w w:val="95"/>
                <w:sz w:val="18"/>
              </w:rPr>
              <w:t>Note</w:t>
            </w:r>
          </w:p>
        </w:tc>
        <w:tc>
          <w:tcPr>
            <w:tcW w:w="2672" w:type="dxa"/>
          </w:tcPr>
          <w:p>
            <w:pPr>
              <w:pStyle w:val="TableParagraph"/>
              <w:tabs>
                <w:tab w:pos="1935" w:val="left" w:leader="none"/>
              </w:tabs>
              <w:spacing w:before="24"/>
              <w:ind w:left="639"/>
              <w:rPr>
                <w:b/>
                <w:sz w:val="18"/>
              </w:rPr>
            </w:pPr>
            <w:r>
              <w:rPr>
                <w:b/>
                <w:sz w:val="18"/>
              </w:rPr>
              <w:t>$</w:t>
              <w:tab/>
              <w:t>$</w:t>
            </w:r>
          </w:p>
        </w:tc>
      </w:tr>
      <w:tr>
        <w:trPr>
          <w:trHeight w:val="349" w:hRule="exact"/>
        </w:trPr>
        <w:tc>
          <w:tcPr>
            <w:tcW w:w="5868" w:type="dxa"/>
          </w:tcPr>
          <w:p>
            <w:pPr>
              <w:pStyle w:val="TableParagraph"/>
              <w:spacing w:before="63"/>
              <w:ind w:left="61"/>
              <w:rPr>
                <w:b/>
                <w:sz w:val="18"/>
              </w:rPr>
            </w:pPr>
            <w:r>
              <w:rPr>
                <w:b/>
                <w:sz w:val="18"/>
              </w:rPr>
              <w:t>Revenue</w:t>
            </w:r>
          </w:p>
        </w:tc>
        <w:tc>
          <w:tcPr>
            <w:tcW w:w="1444" w:type="dxa"/>
          </w:tcPr>
          <w:p>
            <w:pPr/>
          </w:p>
        </w:tc>
        <w:tc>
          <w:tcPr>
            <w:tcW w:w="2672" w:type="dxa"/>
          </w:tcPr>
          <w:p>
            <w:pPr/>
          </w:p>
        </w:tc>
      </w:tr>
      <w:tr>
        <w:trPr>
          <w:trHeight w:val="644" w:hRule="exact"/>
        </w:trPr>
        <w:tc>
          <w:tcPr>
            <w:tcW w:w="5868" w:type="dxa"/>
          </w:tcPr>
          <w:p>
            <w:pPr>
              <w:pStyle w:val="TableParagraph"/>
              <w:spacing w:before="60"/>
              <w:ind w:left="61"/>
              <w:rPr>
                <w:sz w:val="18"/>
              </w:rPr>
            </w:pPr>
            <w:r>
              <w:rPr>
                <w:sz w:val="18"/>
              </w:rPr>
              <w:t>Other revenue</w:t>
            </w:r>
          </w:p>
          <w:p>
            <w:pPr>
              <w:pStyle w:val="TableParagraph"/>
              <w:spacing w:before="9"/>
              <w:ind w:left="61"/>
              <w:rPr>
                <w:b/>
                <w:sz w:val="18"/>
              </w:rPr>
            </w:pPr>
            <w:r>
              <w:rPr>
                <w:b/>
                <w:sz w:val="18"/>
              </w:rPr>
              <w:t>Total revenue</w:t>
            </w:r>
          </w:p>
        </w:tc>
        <w:tc>
          <w:tcPr>
            <w:tcW w:w="1444" w:type="dxa"/>
          </w:tcPr>
          <w:p>
            <w:pPr/>
          </w:p>
        </w:tc>
        <w:tc>
          <w:tcPr>
            <w:tcW w:w="2672" w:type="dxa"/>
          </w:tcPr>
          <w:p>
            <w:pPr>
              <w:pStyle w:val="TableParagraph"/>
              <w:tabs>
                <w:tab w:pos="1191" w:val="left" w:leader="none"/>
                <w:tab w:pos="2487" w:val="left" w:leader="none"/>
                <w:tab w:pos="2636" w:val="left" w:leader="none"/>
              </w:tabs>
              <w:spacing w:before="60"/>
              <w:ind w:left="44"/>
              <w:rPr>
                <w:sz w:val="18"/>
              </w:rPr>
            </w:pPr>
            <w:r>
              <w:rPr>
                <w:rFonts w:ascii="Times New Roman"/>
                <w:sz w:val="18"/>
                <w:u w:val="single"/>
              </w:rPr>
              <w:t> </w:t>
              <w:tab/>
            </w:r>
            <w:r>
              <w:rPr>
                <w:b/>
                <w:sz w:val="18"/>
                <w:u w:val="single"/>
              </w:rPr>
              <w:t>-</w:t>
              <w:tab/>
            </w:r>
            <w:r>
              <w:rPr>
                <w:sz w:val="18"/>
                <w:u w:val="single"/>
              </w:rPr>
              <w:t>-</w:t>
              <w:tab/>
            </w:r>
          </w:p>
          <w:p>
            <w:pPr>
              <w:pStyle w:val="TableParagraph"/>
              <w:tabs>
                <w:tab w:pos="1191" w:val="left" w:leader="none"/>
                <w:tab w:pos="2487" w:val="left" w:leader="none"/>
                <w:tab w:pos="2636" w:val="left" w:leader="none"/>
              </w:tabs>
              <w:spacing w:before="9"/>
              <w:ind w:left="44"/>
              <w:rPr>
                <w:sz w:val="18"/>
              </w:rPr>
            </w:pPr>
            <w:r>
              <w:rPr>
                <w:rFonts w:ascii="Times New Roman"/>
                <w:sz w:val="18"/>
                <w:u w:val="single"/>
              </w:rPr>
              <w:t> </w:t>
              <w:tab/>
            </w:r>
            <w:r>
              <w:rPr>
                <w:b/>
                <w:sz w:val="18"/>
                <w:u w:val="single"/>
              </w:rPr>
              <w:t>-</w:t>
              <w:tab/>
            </w:r>
            <w:r>
              <w:rPr>
                <w:sz w:val="18"/>
                <w:u w:val="single"/>
              </w:rPr>
              <w:t>-</w:t>
              <w:tab/>
            </w:r>
          </w:p>
        </w:tc>
      </w:tr>
      <w:tr>
        <w:trPr>
          <w:trHeight w:val="509" w:hRule="exact"/>
        </w:trPr>
        <w:tc>
          <w:tcPr>
            <w:tcW w:w="5868" w:type="dxa"/>
          </w:tcPr>
          <w:p>
            <w:pPr>
              <w:pStyle w:val="TableParagraph"/>
              <w:spacing w:before="141"/>
              <w:ind w:left="61"/>
              <w:rPr>
                <w:b/>
                <w:sz w:val="18"/>
              </w:rPr>
            </w:pPr>
            <w:r>
              <w:rPr>
                <w:b/>
                <w:sz w:val="18"/>
              </w:rPr>
              <w:t>Total income</w:t>
            </w:r>
          </w:p>
        </w:tc>
        <w:tc>
          <w:tcPr>
            <w:tcW w:w="1444" w:type="dxa"/>
          </w:tcPr>
          <w:p>
            <w:pPr/>
          </w:p>
        </w:tc>
        <w:tc>
          <w:tcPr>
            <w:tcW w:w="2672" w:type="dxa"/>
          </w:tcPr>
          <w:p>
            <w:pPr>
              <w:pStyle w:val="TableParagraph"/>
              <w:tabs>
                <w:tab w:pos="1191" w:val="left" w:leader="none"/>
                <w:tab w:pos="2487" w:val="left" w:leader="none"/>
                <w:tab w:pos="2636" w:val="left" w:leader="none"/>
              </w:tabs>
              <w:spacing w:before="141"/>
              <w:ind w:left="44"/>
              <w:rPr>
                <w:sz w:val="18"/>
              </w:rPr>
            </w:pPr>
            <w:r>
              <w:rPr>
                <w:rFonts w:ascii="Times New Roman"/>
                <w:sz w:val="18"/>
                <w:u w:val="single"/>
              </w:rPr>
              <w:t> </w:t>
              <w:tab/>
            </w:r>
            <w:r>
              <w:rPr>
                <w:b/>
                <w:sz w:val="18"/>
                <w:u w:val="single"/>
              </w:rPr>
              <w:t>-</w:t>
              <w:tab/>
            </w:r>
            <w:r>
              <w:rPr>
                <w:sz w:val="18"/>
                <w:u w:val="single"/>
              </w:rPr>
              <w:t>-</w:t>
              <w:tab/>
            </w:r>
          </w:p>
        </w:tc>
      </w:tr>
      <w:tr>
        <w:trPr>
          <w:trHeight w:val="427" w:hRule="exact"/>
        </w:trPr>
        <w:tc>
          <w:tcPr>
            <w:tcW w:w="5868" w:type="dxa"/>
          </w:tcPr>
          <w:p>
            <w:pPr>
              <w:pStyle w:val="TableParagraph"/>
              <w:spacing w:before="141"/>
              <w:ind w:left="61"/>
              <w:rPr>
                <w:b/>
                <w:sz w:val="18"/>
              </w:rPr>
            </w:pPr>
            <w:r>
              <w:rPr>
                <w:b/>
                <w:sz w:val="18"/>
              </w:rPr>
              <w:t>Expenses</w:t>
            </w:r>
          </w:p>
        </w:tc>
        <w:tc>
          <w:tcPr>
            <w:tcW w:w="1444" w:type="dxa"/>
          </w:tcPr>
          <w:p>
            <w:pPr/>
          </w:p>
        </w:tc>
        <w:tc>
          <w:tcPr>
            <w:tcW w:w="2672" w:type="dxa"/>
          </w:tcPr>
          <w:p>
            <w:pPr/>
          </w:p>
        </w:tc>
      </w:tr>
      <w:tr>
        <w:trPr>
          <w:trHeight w:val="644" w:hRule="exact"/>
        </w:trPr>
        <w:tc>
          <w:tcPr>
            <w:tcW w:w="5868" w:type="dxa"/>
          </w:tcPr>
          <w:p>
            <w:pPr>
              <w:pStyle w:val="TableParagraph"/>
              <w:spacing w:before="60"/>
              <w:ind w:left="61"/>
              <w:rPr>
                <w:sz w:val="18"/>
              </w:rPr>
            </w:pPr>
            <w:r>
              <w:rPr>
                <w:sz w:val="18"/>
              </w:rPr>
              <w:t>Finance costs</w:t>
            </w:r>
          </w:p>
          <w:p>
            <w:pPr>
              <w:pStyle w:val="TableParagraph"/>
              <w:spacing w:before="9"/>
              <w:ind w:left="61"/>
              <w:rPr>
                <w:b/>
                <w:sz w:val="18"/>
              </w:rPr>
            </w:pPr>
            <w:r>
              <w:rPr>
                <w:b/>
                <w:sz w:val="18"/>
              </w:rPr>
              <w:t>Total expenses</w:t>
            </w:r>
          </w:p>
        </w:tc>
        <w:tc>
          <w:tcPr>
            <w:tcW w:w="1444" w:type="dxa"/>
          </w:tcPr>
          <w:p>
            <w:pPr/>
          </w:p>
        </w:tc>
        <w:tc>
          <w:tcPr>
            <w:tcW w:w="2672" w:type="dxa"/>
          </w:tcPr>
          <w:p>
            <w:pPr>
              <w:pStyle w:val="TableParagraph"/>
              <w:tabs>
                <w:tab w:pos="1191" w:val="left" w:leader="none"/>
                <w:tab w:pos="2487" w:val="left" w:leader="none"/>
                <w:tab w:pos="2636" w:val="left" w:leader="none"/>
              </w:tabs>
              <w:spacing w:before="60"/>
              <w:ind w:left="44"/>
              <w:rPr>
                <w:sz w:val="18"/>
              </w:rPr>
            </w:pPr>
            <w:r>
              <w:rPr>
                <w:rFonts w:ascii="Times New Roman"/>
                <w:sz w:val="18"/>
                <w:u w:val="single"/>
              </w:rPr>
              <w:t> </w:t>
              <w:tab/>
            </w:r>
            <w:r>
              <w:rPr>
                <w:b/>
                <w:sz w:val="18"/>
                <w:u w:val="single"/>
              </w:rPr>
              <w:t>-</w:t>
              <w:tab/>
            </w:r>
            <w:r>
              <w:rPr>
                <w:sz w:val="18"/>
                <w:u w:val="single"/>
              </w:rPr>
              <w:t>-</w:t>
              <w:tab/>
            </w:r>
          </w:p>
          <w:p>
            <w:pPr>
              <w:pStyle w:val="TableParagraph"/>
              <w:tabs>
                <w:tab w:pos="1191" w:val="left" w:leader="none"/>
                <w:tab w:pos="2487" w:val="left" w:leader="none"/>
                <w:tab w:pos="2636" w:val="left" w:leader="none"/>
              </w:tabs>
              <w:spacing w:before="9"/>
              <w:ind w:left="44"/>
              <w:rPr>
                <w:sz w:val="18"/>
              </w:rPr>
            </w:pPr>
            <w:r>
              <w:rPr>
                <w:rFonts w:ascii="Times New Roman"/>
                <w:sz w:val="18"/>
                <w:u w:val="single"/>
              </w:rPr>
              <w:t> </w:t>
              <w:tab/>
            </w:r>
            <w:r>
              <w:rPr>
                <w:b/>
                <w:sz w:val="18"/>
                <w:u w:val="single"/>
              </w:rPr>
              <w:t>-</w:t>
              <w:tab/>
            </w:r>
            <w:r>
              <w:rPr>
                <w:sz w:val="18"/>
                <w:u w:val="single"/>
              </w:rPr>
              <w:t>-</w:t>
              <w:tab/>
            </w:r>
          </w:p>
        </w:tc>
      </w:tr>
      <w:tr>
        <w:trPr>
          <w:trHeight w:val="499" w:hRule="exact"/>
        </w:trPr>
        <w:tc>
          <w:tcPr>
            <w:tcW w:w="5868" w:type="dxa"/>
          </w:tcPr>
          <w:p>
            <w:pPr>
              <w:pStyle w:val="TableParagraph"/>
              <w:spacing w:before="141"/>
              <w:ind w:left="61"/>
              <w:rPr>
                <w:b/>
                <w:sz w:val="18"/>
              </w:rPr>
            </w:pPr>
            <w:r>
              <w:rPr>
                <w:b/>
                <w:sz w:val="18"/>
              </w:rPr>
              <w:t>Surplus/(deficit) before income tax</w:t>
            </w:r>
          </w:p>
        </w:tc>
        <w:tc>
          <w:tcPr>
            <w:tcW w:w="1444" w:type="dxa"/>
          </w:tcPr>
          <w:p>
            <w:pPr/>
          </w:p>
        </w:tc>
        <w:tc>
          <w:tcPr>
            <w:tcW w:w="2672" w:type="dxa"/>
          </w:tcPr>
          <w:p>
            <w:pPr>
              <w:pStyle w:val="TableParagraph"/>
              <w:tabs>
                <w:tab w:pos="2487" w:val="left" w:leader="none"/>
              </w:tabs>
              <w:spacing w:before="141"/>
              <w:ind w:left="1191"/>
              <w:rPr>
                <w:sz w:val="18"/>
              </w:rPr>
            </w:pPr>
            <w:r>
              <w:rPr>
                <w:b/>
                <w:sz w:val="18"/>
              </w:rPr>
              <w:t>-</w:t>
              <w:tab/>
            </w:r>
            <w:r>
              <w:rPr>
                <w:sz w:val="18"/>
              </w:rPr>
              <w:t>-</w:t>
            </w:r>
          </w:p>
        </w:tc>
      </w:tr>
      <w:tr>
        <w:trPr>
          <w:trHeight w:val="358" w:hRule="exact"/>
        </w:trPr>
        <w:tc>
          <w:tcPr>
            <w:tcW w:w="5868" w:type="dxa"/>
          </w:tcPr>
          <w:p>
            <w:pPr>
              <w:pStyle w:val="TableParagraph"/>
              <w:spacing w:before="132"/>
              <w:ind w:left="61"/>
              <w:rPr>
                <w:sz w:val="18"/>
              </w:rPr>
            </w:pPr>
            <w:r>
              <w:rPr>
                <w:sz w:val="18"/>
              </w:rPr>
              <w:t>Income tax expense</w:t>
            </w:r>
          </w:p>
        </w:tc>
        <w:tc>
          <w:tcPr>
            <w:tcW w:w="1444" w:type="dxa"/>
          </w:tcPr>
          <w:p>
            <w:pPr>
              <w:pStyle w:val="TableParagraph"/>
              <w:spacing w:before="132"/>
              <w:ind w:left="939"/>
              <w:rPr>
                <w:sz w:val="18"/>
              </w:rPr>
            </w:pPr>
            <w:r>
              <w:rPr>
                <w:sz w:val="18"/>
              </w:rPr>
              <w:t>1(d)</w:t>
            </w:r>
          </w:p>
        </w:tc>
        <w:tc>
          <w:tcPr>
            <w:tcW w:w="2672" w:type="dxa"/>
          </w:tcPr>
          <w:p>
            <w:pPr>
              <w:pStyle w:val="TableParagraph"/>
              <w:tabs>
                <w:tab w:pos="1191" w:val="left" w:leader="none"/>
                <w:tab w:pos="2487" w:val="left" w:leader="none"/>
                <w:tab w:pos="2636" w:val="left" w:leader="none"/>
              </w:tabs>
              <w:spacing w:before="132"/>
              <w:ind w:left="44"/>
              <w:rPr>
                <w:sz w:val="18"/>
              </w:rPr>
            </w:pPr>
            <w:r>
              <w:rPr>
                <w:rFonts w:ascii="Times New Roman"/>
                <w:sz w:val="18"/>
                <w:u w:val="single"/>
              </w:rPr>
              <w:t> </w:t>
              <w:tab/>
            </w:r>
            <w:r>
              <w:rPr>
                <w:b/>
                <w:sz w:val="18"/>
                <w:u w:val="single"/>
              </w:rPr>
              <w:t>-</w:t>
              <w:tab/>
            </w:r>
            <w:r>
              <w:rPr>
                <w:sz w:val="18"/>
                <w:u w:val="single"/>
              </w:rPr>
              <w:t>-</w:t>
              <w:tab/>
            </w:r>
          </w:p>
        </w:tc>
      </w:tr>
      <w:tr>
        <w:trPr>
          <w:trHeight w:val="367" w:hRule="exact"/>
        </w:trPr>
        <w:tc>
          <w:tcPr>
            <w:tcW w:w="5868" w:type="dxa"/>
          </w:tcPr>
          <w:p>
            <w:pPr>
              <w:pStyle w:val="TableParagraph"/>
              <w:spacing w:line="206" w:lineRule="exact"/>
              <w:ind w:left="61"/>
              <w:rPr>
                <w:b/>
                <w:sz w:val="18"/>
              </w:rPr>
            </w:pPr>
            <w:r>
              <w:rPr>
                <w:b/>
                <w:sz w:val="18"/>
              </w:rPr>
              <w:t>Surplus/(deficit) for the year</w:t>
            </w:r>
          </w:p>
        </w:tc>
        <w:tc>
          <w:tcPr>
            <w:tcW w:w="1444" w:type="dxa"/>
          </w:tcPr>
          <w:p>
            <w:pPr/>
          </w:p>
        </w:tc>
        <w:tc>
          <w:tcPr>
            <w:tcW w:w="2672" w:type="dxa"/>
          </w:tcPr>
          <w:p>
            <w:pPr>
              <w:pStyle w:val="TableParagraph"/>
              <w:tabs>
                <w:tab w:pos="1191" w:val="left" w:leader="none"/>
                <w:tab w:pos="2487" w:val="left" w:leader="none"/>
                <w:tab w:pos="2636" w:val="left" w:leader="none"/>
              </w:tabs>
              <w:spacing w:line="206" w:lineRule="exact"/>
              <w:ind w:left="44"/>
              <w:rPr>
                <w:sz w:val="18"/>
              </w:rPr>
            </w:pPr>
            <w:r>
              <w:rPr>
                <w:rFonts w:ascii="Times New Roman"/>
                <w:sz w:val="18"/>
                <w:u w:val="single"/>
              </w:rPr>
              <w:t> </w:t>
              <w:tab/>
            </w:r>
            <w:r>
              <w:rPr>
                <w:b/>
                <w:sz w:val="18"/>
                <w:u w:val="single"/>
              </w:rPr>
              <w:t>-</w:t>
              <w:tab/>
            </w:r>
            <w:r>
              <w:rPr>
                <w:sz w:val="18"/>
                <w:u w:val="single"/>
              </w:rPr>
              <w:t>-</w:t>
              <w:tab/>
            </w:r>
          </w:p>
        </w:tc>
      </w:tr>
      <w:tr>
        <w:trPr>
          <w:trHeight w:val="661" w:hRule="exact"/>
        </w:trPr>
        <w:tc>
          <w:tcPr>
            <w:tcW w:w="5868" w:type="dxa"/>
          </w:tcPr>
          <w:p>
            <w:pPr>
              <w:pStyle w:val="TableParagraph"/>
              <w:spacing w:before="141"/>
              <w:ind w:left="61"/>
              <w:rPr>
                <w:sz w:val="18"/>
              </w:rPr>
            </w:pPr>
            <w:r>
              <w:rPr>
                <w:sz w:val="18"/>
              </w:rPr>
              <w:t>Other comprehensive income for the year, net of tax</w:t>
            </w:r>
          </w:p>
          <w:p>
            <w:pPr>
              <w:pStyle w:val="TableParagraph"/>
              <w:spacing w:before="9"/>
              <w:ind w:left="61"/>
              <w:rPr>
                <w:b/>
                <w:sz w:val="18"/>
              </w:rPr>
            </w:pPr>
            <w:r>
              <w:rPr>
                <w:b/>
                <w:sz w:val="18"/>
              </w:rPr>
              <w:t>Total comprehensive income for the year</w:t>
            </w:r>
          </w:p>
        </w:tc>
        <w:tc>
          <w:tcPr>
            <w:tcW w:w="1444" w:type="dxa"/>
          </w:tcPr>
          <w:p>
            <w:pPr/>
          </w:p>
        </w:tc>
        <w:tc>
          <w:tcPr>
            <w:tcW w:w="2672" w:type="dxa"/>
          </w:tcPr>
          <w:p>
            <w:pPr>
              <w:pStyle w:val="TableParagraph"/>
              <w:tabs>
                <w:tab w:pos="1191" w:val="left" w:leader="none"/>
                <w:tab w:pos="2487" w:val="left" w:leader="none"/>
              </w:tabs>
              <w:spacing w:before="141"/>
              <w:ind w:left="44"/>
              <w:rPr>
                <w:b/>
                <w:sz w:val="18"/>
              </w:rPr>
            </w:pPr>
            <w:r>
              <w:rPr>
                <w:rFonts w:ascii="Times New Roman"/>
                <w:sz w:val="18"/>
                <w:u w:val="single"/>
              </w:rPr>
              <w:t> </w:t>
              <w:tab/>
            </w:r>
            <w:r>
              <w:rPr>
                <w:b/>
                <w:sz w:val="18"/>
                <w:u w:val="single"/>
              </w:rPr>
              <w:t>-</w:t>
              <w:tab/>
              <w:t>-</w:t>
            </w:r>
          </w:p>
          <w:p>
            <w:pPr>
              <w:pStyle w:val="TableParagraph"/>
              <w:tabs>
                <w:tab w:pos="1191" w:val="left" w:leader="none"/>
                <w:tab w:pos="2487" w:val="left" w:leader="none"/>
                <w:tab w:pos="2636" w:val="left" w:leader="none"/>
              </w:tabs>
              <w:spacing w:before="9"/>
              <w:ind w:left="44"/>
              <w:rPr>
                <w:sz w:val="18"/>
              </w:rPr>
            </w:pPr>
            <w:r>
              <w:rPr>
                <w:rFonts w:ascii="Times New Roman"/>
                <w:sz w:val="18"/>
                <w:u w:val="single"/>
              </w:rPr>
              <w:t> </w:t>
              <w:tab/>
            </w:r>
            <w:r>
              <w:rPr>
                <w:b/>
                <w:sz w:val="18"/>
                <w:u w:val="single"/>
              </w:rPr>
              <w:t>-</w:t>
              <w:tab/>
            </w:r>
            <w:r>
              <w:rPr>
                <w:sz w:val="18"/>
                <w:u w:val="single"/>
              </w:rPr>
              <w:t>-</w:t>
              <w:tab/>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pStyle w:val="BodyText"/>
        <w:spacing w:before="78"/>
        <w:ind w:left="147" w:right="806"/>
      </w:pPr>
      <w:r>
        <w:rPr/>
        <w:t>The accompanying notes form part of these financial statements.</w:t>
      </w:r>
    </w:p>
    <w:p>
      <w:pPr>
        <w:spacing w:after="0"/>
        <w:sectPr>
          <w:headerReference w:type="default" r:id="rId143"/>
          <w:pgSz w:w="11910" w:h="16840"/>
          <w:pgMar w:header="1037" w:footer="563" w:top="1460" w:bottom="700" w:left="860" w:right="840"/>
        </w:sectPr>
      </w:pPr>
    </w:p>
    <w:p>
      <w:pPr>
        <w:pStyle w:val="BodyText"/>
        <w:spacing w:before="1"/>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64"/>
        <w:gridCol w:w="1846"/>
        <w:gridCol w:w="2672"/>
      </w:tblGrid>
      <w:tr>
        <w:trPr>
          <w:trHeight w:val="909" w:hRule="exact"/>
        </w:trPr>
        <w:tc>
          <w:tcPr>
            <w:tcW w:w="5464" w:type="dxa"/>
          </w:tcPr>
          <w:p>
            <w:pPr>
              <w:pStyle w:val="TableParagraph"/>
              <w:spacing w:before="65"/>
              <w:ind w:left="35"/>
              <w:rPr>
                <w:b/>
                <w:sz w:val="28"/>
              </w:rPr>
            </w:pPr>
            <w:r>
              <w:rPr>
                <w:b/>
                <w:sz w:val="28"/>
              </w:rPr>
              <w:t>Statement of financial position</w:t>
            </w:r>
          </w:p>
          <w:p>
            <w:pPr>
              <w:pStyle w:val="TableParagraph"/>
              <w:spacing w:before="53"/>
              <w:ind w:left="35"/>
              <w:rPr>
                <w:b/>
                <w:sz w:val="22"/>
              </w:rPr>
            </w:pPr>
            <w:r>
              <w:rPr>
                <w:b/>
                <w:sz w:val="22"/>
              </w:rPr>
              <w:t>As at 31 December 2012</w:t>
            </w:r>
          </w:p>
        </w:tc>
        <w:tc>
          <w:tcPr>
            <w:tcW w:w="4518" w:type="dxa"/>
            <w:gridSpan w:val="2"/>
          </w:tcPr>
          <w:p>
            <w:pPr/>
          </w:p>
        </w:tc>
      </w:tr>
      <w:tr>
        <w:trPr>
          <w:trHeight w:val="447" w:hRule="exact"/>
        </w:trPr>
        <w:tc>
          <w:tcPr>
            <w:tcW w:w="5464" w:type="dxa"/>
          </w:tcPr>
          <w:p>
            <w:pPr/>
          </w:p>
        </w:tc>
        <w:tc>
          <w:tcPr>
            <w:tcW w:w="1846" w:type="dxa"/>
          </w:tcPr>
          <w:p>
            <w:pPr/>
          </w:p>
        </w:tc>
        <w:tc>
          <w:tcPr>
            <w:tcW w:w="2672" w:type="dxa"/>
          </w:tcPr>
          <w:p>
            <w:pPr>
              <w:pStyle w:val="TableParagraph"/>
              <w:spacing w:before="2"/>
              <w:rPr>
                <w:sz w:val="17"/>
              </w:rPr>
            </w:pPr>
          </w:p>
          <w:p>
            <w:pPr>
              <w:pStyle w:val="TableParagraph"/>
              <w:tabs>
                <w:tab w:pos="1784" w:val="left" w:leader="none"/>
              </w:tabs>
              <w:ind w:left="488"/>
              <w:rPr>
                <w:b/>
                <w:sz w:val="18"/>
              </w:rPr>
            </w:pPr>
            <w:r>
              <w:rPr>
                <w:b/>
                <w:sz w:val="18"/>
              </w:rPr>
              <w:t>2012</w:t>
              <w:tab/>
              <w:t>2011</w:t>
            </w:r>
          </w:p>
        </w:tc>
      </w:tr>
      <w:tr>
        <w:trPr>
          <w:trHeight w:val="313" w:hRule="exact"/>
        </w:trPr>
        <w:tc>
          <w:tcPr>
            <w:tcW w:w="5464" w:type="dxa"/>
          </w:tcPr>
          <w:p>
            <w:pPr/>
          </w:p>
        </w:tc>
        <w:tc>
          <w:tcPr>
            <w:tcW w:w="1846" w:type="dxa"/>
          </w:tcPr>
          <w:p>
            <w:pPr>
              <w:pStyle w:val="TableParagraph"/>
              <w:spacing w:before="24"/>
              <w:ind w:left="1400"/>
              <w:rPr>
                <w:b/>
                <w:sz w:val="18"/>
              </w:rPr>
            </w:pPr>
            <w:r>
              <w:rPr>
                <w:b/>
                <w:sz w:val="18"/>
              </w:rPr>
              <w:t>Note</w:t>
            </w:r>
          </w:p>
        </w:tc>
        <w:tc>
          <w:tcPr>
            <w:tcW w:w="2672" w:type="dxa"/>
          </w:tcPr>
          <w:p>
            <w:pPr>
              <w:pStyle w:val="TableParagraph"/>
              <w:tabs>
                <w:tab w:pos="1935" w:val="left" w:leader="none"/>
              </w:tabs>
              <w:spacing w:before="24"/>
              <w:ind w:left="639"/>
              <w:rPr>
                <w:b/>
                <w:sz w:val="18"/>
              </w:rPr>
            </w:pPr>
            <w:r>
              <w:rPr>
                <w:b/>
                <w:sz w:val="18"/>
              </w:rPr>
              <w:t>$</w:t>
              <w:tab/>
              <w:t>$</w:t>
            </w:r>
          </w:p>
        </w:tc>
      </w:tr>
      <w:tr>
        <w:trPr>
          <w:trHeight w:val="698" w:hRule="exact"/>
        </w:trPr>
        <w:tc>
          <w:tcPr>
            <w:tcW w:w="5464" w:type="dxa"/>
          </w:tcPr>
          <w:p>
            <w:pPr>
              <w:pStyle w:val="TableParagraph"/>
              <w:spacing w:line="207" w:lineRule="exact" w:before="63"/>
              <w:ind w:left="61"/>
              <w:rPr>
                <w:b/>
                <w:sz w:val="18"/>
              </w:rPr>
            </w:pPr>
            <w:r>
              <w:rPr>
                <w:b/>
                <w:sz w:val="18"/>
              </w:rPr>
              <w:t>ASSETS</w:t>
            </w:r>
          </w:p>
          <w:p>
            <w:pPr>
              <w:pStyle w:val="TableParagraph"/>
              <w:spacing w:line="206" w:lineRule="exact"/>
              <w:ind w:left="61"/>
              <w:rPr>
                <w:b/>
                <w:sz w:val="18"/>
              </w:rPr>
            </w:pPr>
            <w:r>
              <w:rPr>
                <w:b/>
                <w:sz w:val="18"/>
              </w:rPr>
              <w:t>Current assets</w:t>
            </w:r>
          </w:p>
          <w:p>
            <w:pPr>
              <w:pStyle w:val="TableParagraph"/>
              <w:spacing w:line="207" w:lineRule="exact"/>
              <w:ind w:left="61"/>
              <w:rPr>
                <w:sz w:val="18"/>
              </w:rPr>
            </w:pPr>
            <w:r>
              <w:rPr>
                <w:sz w:val="18"/>
              </w:rPr>
              <w:t>Cash and cash equivalents</w:t>
            </w:r>
          </w:p>
        </w:tc>
        <w:tc>
          <w:tcPr>
            <w:tcW w:w="1846" w:type="dxa"/>
          </w:tcPr>
          <w:p>
            <w:pPr>
              <w:pStyle w:val="TableParagraph"/>
              <w:rPr>
                <w:sz w:val="18"/>
              </w:rPr>
            </w:pPr>
          </w:p>
          <w:p>
            <w:pPr>
              <w:pStyle w:val="TableParagraph"/>
              <w:spacing w:before="4"/>
              <w:rPr>
                <w:sz w:val="23"/>
              </w:rPr>
            </w:pPr>
          </w:p>
          <w:p>
            <w:pPr>
              <w:pStyle w:val="TableParagraph"/>
              <w:ind w:left="1340"/>
              <w:rPr>
                <w:sz w:val="18"/>
              </w:rPr>
            </w:pPr>
            <w:r>
              <w:rPr>
                <w:w w:val="99"/>
                <w:sz w:val="18"/>
              </w:rPr>
              <w:t>4</w:t>
            </w:r>
          </w:p>
        </w:tc>
        <w:tc>
          <w:tcPr>
            <w:tcW w:w="2672" w:type="dxa"/>
          </w:tcPr>
          <w:p>
            <w:pPr>
              <w:pStyle w:val="TableParagraph"/>
              <w:rPr>
                <w:sz w:val="18"/>
              </w:rPr>
            </w:pPr>
          </w:p>
          <w:p>
            <w:pPr>
              <w:pStyle w:val="TableParagraph"/>
              <w:spacing w:before="4"/>
              <w:rPr>
                <w:sz w:val="23"/>
              </w:rPr>
            </w:pPr>
          </w:p>
          <w:p>
            <w:pPr>
              <w:pStyle w:val="TableParagraph"/>
              <w:tabs>
                <w:tab w:pos="1050" w:val="left" w:leader="none"/>
                <w:tab w:pos="2346" w:val="left" w:leader="none"/>
                <w:tab w:pos="2636" w:val="left" w:leader="none"/>
              </w:tabs>
              <w:ind w:left="44"/>
              <w:rPr>
                <w:sz w:val="18"/>
              </w:rPr>
            </w:pPr>
            <w:r>
              <w:rPr>
                <w:rFonts w:ascii="Times New Roman"/>
                <w:sz w:val="18"/>
                <w:u w:val="single"/>
              </w:rPr>
              <w:t> </w:t>
              <w:tab/>
            </w:r>
            <w:r>
              <w:rPr>
                <w:b/>
                <w:sz w:val="18"/>
                <w:u w:val="single"/>
              </w:rPr>
              <w:t>10</w:t>
              <w:tab/>
            </w:r>
            <w:r>
              <w:rPr>
                <w:sz w:val="18"/>
                <w:u w:val="single"/>
              </w:rPr>
              <w:t>10</w:t>
              <w:tab/>
            </w:r>
          </w:p>
        </w:tc>
      </w:tr>
      <w:tr>
        <w:trPr>
          <w:trHeight w:val="362" w:hRule="exact"/>
        </w:trPr>
        <w:tc>
          <w:tcPr>
            <w:tcW w:w="5464" w:type="dxa"/>
          </w:tcPr>
          <w:p>
            <w:pPr>
              <w:pStyle w:val="TableParagraph"/>
              <w:spacing w:line="201" w:lineRule="exact"/>
              <w:ind w:left="61"/>
              <w:rPr>
                <w:sz w:val="18"/>
              </w:rPr>
            </w:pPr>
            <w:r>
              <w:rPr>
                <w:sz w:val="18"/>
              </w:rPr>
              <w:t>Total current assets</w:t>
            </w:r>
          </w:p>
        </w:tc>
        <w:tc>
          <w:tcPr>
            <w:tcW w:w="1846" w:type="dxa"/>
          </w:tcPr>
          <w:p>
            <w:pPr/>
          </w:p>
        </w:tc>
        <w:tc>
          <w:tcPr>
            <w:tcW w:w="2672" w:type="dxa"/>
          </w:tcPr>
          <w:p>
            <w:pPr>
              <w:pStyle w:val="TableParagraph"/>
              <w:tabs>
                <w:tab w:pos="1050" w:val="left" w:leader="none"/>
                <w:tab w:pos="2346" w:val="left" w:leader="none"/>
                <w:tab w:pos="2636" w:val="left" w:leader="none"/>
              </w:tabs>
              <w:spacing w:line="201" w:lineRule="exact"/>
              <w:ind w:left="44"/>
              <w:rPr>
                <w:sz w:val="18"/>
              </w:rPr>
            </w:pPr>
            <w:r>
              <w:rPr>
                <w:rFonts w:ascii="Times New Roman"/>
                <w:sz w:val="18"/>
                <w:u w:val="single"/>
              </w:rPr>
              <w:t> </w:t>
              <w:tab/>
            </w:r>
            <w:r>
              <w:rPr>
                <w:b/>
                <w:sz w:val="18"/>
                <w:u w:val="single"/>
              </w:rPr>
              <w:t>10</w:t>
              <w:tab/>
            </w:r>
            <w:r>
              <w:rPr>
                <w:sz w:val="18"/>
                <w:u w:val="single"/>
              </w:rPr>
              <w:t>10</w:t>
              <w:tab/>
            </w:r>
          </w:p>
        </w:tc>
      </w:tr>
      <w:tr>
        <w:trPr>
          <w:trHeight w:val="580" w:hRule="exact"/>
        </w:trPr>
        <w:tc>
          <w:tcPr>
            <w:tcW w:w="5464" w:type="dxa"/>
          </w:tcPr>
          <w:p>
            <w:pPr>
              <w:pStyle w:val="TableParagraph"/>
              <w:spacing w:before="141"/>
              <w:ind w:left="61"/>
              <w:rPr>
                <w:b/>
                <w:sz w:val="18"/>
              </w:rPr>
            </w:pPr>
            <w:r>
              <w:rPr>
                <w:b/>
                <w:sz w:val="18"/>
              </w:rPr>
              <w:t>Total assets</w:t>
            </w:r>
          </w:p>
        </w:tc>
        <w:tc>
          <w:tcPr>
            <w:tcW w:w="1846" w:type="dxa"/>
          </w:tcPr>
          <w:p>
            <w:pPr/>
          </w:p>
        </w:tc>
        <w:tc>
          <w:tcPr>
            <w:tcW w:w="2672" w:type="dxa"/>
          </w:tcPr>
          <w:p>
            <w:pPr>
              <w:pStyle w:val="TableParagraph"/>
              <w:tabs>
                <w:tab w:pos="1050" w:val="left" w:leader="none"/>
                <w:tab w:pos="2346" w:val="left" w:leader="none"/>
                <w:tab w:pos="2636" w:val="left" w:leader="none"/>
              </w:tabs>
              <w:spacing w:before="141"/>
              <w:ind w:left="44"/>
              <w:rPr>
                <w:sz w:val="18"/>
              </w:rPr>
            </w:pPr>
            <w:r>
              <w:rPr>
                <w:rFonts w:ascii="Times New Roman"/>
                <w:sz w:val="18"/>
                <w:u w:val="single"/>
              </w:rPr>
              <w:t> </w:t>
              <w:tab/>
            </w:r>
            <w:r>
              <w:rPr>
                <w:b/>
                <w:sz w:val="18"/>
                <w:u w:val="single"/>
              </w:rPr>
              <w:t>10</w:t>
              <w:tab/>
            </w:r>
            <w:r>
              <w:rPr>
                <w:sz w:val="18"/>
                <w:u w:val="single"/>
              </w:rPr>
              <w:t>10</w:t>
              <w:tab/>
            </w:r>
          </w:p>
        </w:tc>
      </w:tr>
      <w:tr>
        <w:trPr>
          <w:trHeight w:val="846" w:hRule="exact"/>
        </w:trPr>
        <w:tc>
          <w:tcPr>
            <w:tcW w:w="5464" w:type="dxa"/>
          </w:tcPr>
          <w:p>
            <w:pPr>
              <w:pStyle w:val="TableParagraph"/>
              <w:spacing w:before="4"/>
              <w:rPr>
                <w:sz w:val="18"/>
              </w:rPr>
            </w:pPr>
          </w:p>
          <w:p>
            <w:pPr>
              <w:pStyle w:val="TableParagraph"/>
              <w:spacing w:line="207" w:lineRule="exact"/>
              <w:ind w:left="61"/>
              <w:rPr>
                <w:b/>
                <w:sz w:val="18"/>
              </w:rPr>
            </w:pPr>
            <w:r>
              <w:rPr>
                <w:b/>
                <w:sz w:val="18"/>
              </w:rPr>
              <w:t>LIABILITIES</w:t>
            </w:r>
          </w:p>
          <w:p>
            <w:pPr>
              <w:pStyle w:val="TableParagraph"/>
              <w:spacing w:line="206" w:lineRule="exact"/>
              <w:ind w:left="61"/>
              <w:rPr>
                <w:b/>
                <w:sz w:val="18"/>
              </w:rPr>
            </w:pPr>
            <w:r>
              <w:rPr>
                <w:b/>
                <w:sz w:val="18"/>
              </w:rPr>
              <w:t>Current liabilities</w:t>
            </w:r>
          </w:p>
          <w:p>
            <w:pPr>
              <w:pStyle w:val="TableParagraph"/>
              <w:spacing w:line="207" w:lineRule="exact"/>
              <w:ind w:left="61"/>
              <w:rPr>
                <w:sz w:val="18"/>
              </w:rPr>
            </w:pPr>
            <w:r>
              <w:rPr>
                <w:sz w:val="18"/>
              </w:rPr>
              <w:t>Trade and other payables</w:t>
            </w:r>
          </w:p>
        </w:tc>
        <w:tc>
          <w:tcPr>
            <w:tcW w:w="1846" w:type="dxa"/>
          </w:tcPr>
          <w:p>
            <w:pPr/>
          </w:p>
        </w:tc>
        <w:tc>
          <w:tcPr>
            <w:tcW w:w="2672" w:type="dxa"/>
          </w:tcPr>
          <w:p>
            <w:pPr>
              <w:pStyle w:val="TableParagraph"/>
              <w:rPr>
                <w:sz w:val="18"/>
              </w:rPr>
            </w:pPr>
          </w:p>
          <w:p>
            <w:pPr>
              <w:pStyle w:val="TableParagraph"/>
              <w:rPr>
                <w:sz w:val="18"/>
              </w:rPr>
            </w:pPr>
          </w:p>
          <w:p>
            <w:pPr>
              <w:pStyle w:val="TableParagraph"/>
              <w:spacing w:before="3"/>
              <w:rPr>
                <w:sz w:val="18"/>
              </w:rPr>
            </w:pPr>
          </w:p>
          <w:p>
            <w:pPr>
              <w:pStyle w:val="TableParagraph"/>
              <w:tabs>
                <w:tab w:pos="1191" w:val="left" w:leader="none"/>
                <w:tab w:pos="2487" w:val="left" w:leader="none"/>
                <w:tab w:pos="2636" w:val="left" w:leader="none"/>
              </w:tabs>
              <w:ind w:left="44"/>
              <w:rPr>
                <w:sz w:val="18"/>
              </w:rPr>
            </w:pPr>
            <w:r>
              <w:rPr>
                <w:rFonts w:ascii="Times New Roman"/>
                <w:sz w:val="18"/>
                <w:u w:val="single"/>
              </w:rPr>
              <w:t> </w:t>
              <w:tab/>
            </w:r>
            <w:r>
              <w:rPr>
                <w:b/>
                <w:sz w:val="18"/>
                <w:u w:val="single"/>
              </w:rPr>
              <w:t>-</w:t>
              <w:tab/>
            </w:r>
            <w:r>
              <w:rPr>
                <w:sz w:val="18"/>
                <w:u w:val="single"/>
              </w:rPr>
              <w:t>-</w:t>
              <w:tab/>
            </w:r>
          </w:p>
        </w:tc>
      </w:tr>
      <w:tr>
        <w:trPr>
          <w:trHeight w:val="362" w:hRule="exact"/>
        </w:trPr>
        <w:tc>
          <w:tcPr>
            <w:tcW w:w="5464" w:type="dxa"/>
          </w:tcPr>
          <w:p>
            <w:pPr>
              <w:pStyle w:val="TableParagraph"/>
              <w:spacing w:line="201" w:lineRule="exact"/>
              <w:ind w:left="61"/>
              <w:rPr>
                <w:sz w:val="18"/>
              </w:rPr>
            </w:pPr>
            <w:r>
              <w:rPr>
                <w:sz w:val="18"/>
              </w:rPr>
              <w:t>Total current liabilities</w:t>
            </w:r>
          </w:p>
        </w:tc>
        <w:tc>
          <w:tcPr>
            <w:tcW w:w="1846" w:type="dxa"/>
          </w:tcPr>
          <w:p>
            <w:pPr/>
          </w:p>
        </w:tc>
        <w:tc>
          <w:tcPr>
            <w:tcW w:w="2672" w:type="dxa"/>
          </w:tcPr>
          <w:p>
            <w:pPr>
              <w:pStyle w:val="TableParagraph"/>
              <w:tabs>
                <w:tab w:pos="1191" w:val="left" w:leader="none"/>
                <w:tab w:pos="2487" w:val="left" w:leader="none"/>
                <w:tab w:pos="2636" w:val="left" w:leader="none"/>
              </w:tabs>
              <w:spacing w:line="201" w:lineRule="exact"/>
              <w:ind w:left="44"/>
              <w:rPr>
                <w:sz w:val="18"/>
              </w:rPr>
            </w:pPr>
            <w:r>
              <w:rPr>
                <w:rFonts w:ascii="Times New Roman"/>
                <w:sz w:val="18"/>
                <w:u w:val="single"/>
              </w:rPr>
              <w:t> </w:t>
              <w:tab/>
            </w:r>
            <w:r>
              <w:rPr>
                <w:b/>
                <w:sz w:val="18"/>
                <w:u w:val="single"/>
              </w:rPr>
              <w:t>-</w:t>
              <w:tab/>
            </w:r>
            <w:r>
              <w:rPr>
                <w:sz w:val="18"/>
                <w:u w:val="single"/>
              </w:rPr>
              <w:t>-</w:t>
              <w:tab/>
            </w:r>
          </w:p>
        </w:tc>
      </w:tr>
      <w:tr>
        <w:trPr>
          <w:trHeight w:val="509" w:hRule="exact"/>
        </w:trPr>
        <w:tc>
          <w:tcPr>
            <w:tcW w:w="5464" w:type="dxa"/>
          </w:tcPr>
          <w:p>
            <w:pPr>
              <w:pStyle w:val="TableParagraph"/>
              <w:spacing w:before="141"/>
              <w:ind w:left="61"/>
              <w:rPr>
                <w:b/>
                <w:sz w:val="18"/>
              </w:rPr>
            </w:pPr>
            <w:r>
              <w:rPr>
                <w:b/>
                <w:sz w:val="18"/>
              </w:rPr>
              <w:t>Total liabilities</w:t>
            </w:r>
          </w:p>
        </w:tc>
        <w:tc>
          <w:tcPr>
            <w:tcW w:w="1846" w:type="dxa"/>
          </w:tcPr>
          <w:p>
            <w:pPr/>
          </w:p>
        </w:tc>
        <w:tc>
          <w:tcPr>
            <w:tcW w:w="2672" w:type="dxa"/>
          </w:tcPr>
          <w:p>
            <w:pPr>
              <w:pStyle w:val="TableParagraph"/>
              <w:tabs>
                <w:tab w:pos="1191" w:val="left" w:leader="none"/>
                <w:tab w:pos="2487" w:val="left" w:leader="none"/>
                <w:tab w:pos="2636" w:val="left" w:leader="none"/>
              </w:tabs>
              <w:spacing w:before="141"/>
              <w:ind w:left="44"/>
              <w:rPr>
                <w:sz w:val="18"/>
              </w:rPr>
            </w:pPr>
            <w:r>
              <w:rPr>
                <w:rFonts w:ascii="Times New Roman"/>
                <w:sz w:val="18"/>
                <w:u w:val="single"/>
              </w:rPr>
              <w:t> </w:t>
              <w:tab/>
            </w:r>
            <w:r>
              <w:rPr>
                <w:b/>
                <w:sz w:val="18"/>
                <w:u w:val="single"/>
              </w:rPr>
              <w:t>-</w:t>
              <w:tab/>
            </w:r>
            <w:r>
              <w:rPr>
                <w:sz w:val="18"/>
                <w:u w:val="single"/>
              </w:rPr>
              <w:t>-</w:t>
              <w:tab/>
            </w:r>
          </w:p>
        </w:tc>
      </w:tr>
      <w:tr>
        <w:trPr>
          <w:trHeight w:val="580" w:hRule="exact"/>
        </w:trPr>
        <w:tc>
          <w:tcPr>
            <w:tcW w:w="5464" w:type="dxa"/>
          </w:tcPr>
          <w:p>
            <w:pPr>
              <w:pStyle w:val="TableParagraph"/>
              <w:spacing w:before="141"/>
              <w:ind w:left="61"/>
              <w:rPr>
                <w:b/>
                <w:sz w:val="18"/>
              </w:rPr>
            </w:pPr>
            <w:r>
              <w:rPr>
                <w:b/>
                <w:sz w:val="18"/>
              </w:rPr>
              <w:t>Net assets</w:t>
            </w:r>
          </w:p>
        </w:tc>
        <w:tc>
          <w:tcPr>
            <w:tcW w:w="1846" w:type="dxa"/>
          </w:tcPr>
          <w:p>
            <w:pPr/>
          </w:p>
        </w:tc>
        <w:tc>
          <w:tcPr>
            <w:tcW w:w="2672" w:type="dxa"/>
          </w:tcPr>
          <w:p>
            <w:pPr>
              <w:pStyle w:val="TableParagraph"/>
              <w:tabs>
                <w:tab w:pos="1050" w:val="left" w:leader="none"/>
                <w:tab w:pos="2346" w:val="left" w:leader="none"/>
                <w:tab w:pos="2636" w:val="left" w:leader="none"/>
              </w:tabs>
              <w:spacing w:before="141"/>
              <w:ind w:left="44"/>
              <w:rPr>
                <w:sz w:val="18"/>
              </w:rPr>
            </w:pPr>
            <w:r>
              <w:rPr>
                <w:rFonts w:ascii="Times New Roman"/>
                <w:sz w:val="18"/>
                <w:u w:val="single"/>
              </w:rPr>
              <w:t> </w:t>
              <w:tab/>
            </w:r>
            <w:r>
              <w:rPr>
                <w:b/>
                <w:sz w:val="18"/>
                <w:u w:val="single"/>
              </w:rPr>
              <w:t>10</w:t>
              <w:tab/>
            </w:r>
            <w:r>
              <w:rPr>
                <w:sz w:val="18"/>
                <w:u w:val="single"/>
              </w:rPr>
              <w:t>10</w:t>
              <w:tab/>
            </w:r>
          </w:p>
        </w:tc>
      </w:tr>
      <w:tr>
        <w:trPr>
          <w:trHeight w:val="634" w:hRule="exact"/>
        </w:trPr>
        <w:tc>
          <w:tcPr>
            <w:tcW w:w="5464" w:type="dxa"/>
          </w:tcPr>
          <w:p>
            <w:pPr>
              <w:pStyle w:val="TableParagraph"/>
              <w:spacing w:before="4"/>
              <w:rPr>
                <w:sz w:val="18"/>
              </w:rPr>
            </w:pPr>
          </w:p>
          <w:p>
            <w:pPr>
              <w:pStyle w:val="TableParagraph"/>
              <w:spacing w:line="207" w:lineRule="exact"/>
              <w:ind w:left="61"/>
              <w:rPr>
                <w:b/>
                <w:sz w:val="18"/>
              </w:rPr>
            </w:pPr>
            <w:r>
              <w:rPr>
                <w:b/>
                <w:sz w:val="18"/>
              </w:rPr>
              <w:t>EQUITY</w:t>
            </w:r>
          </w:p>
          <w:p>
            <w:pPr>
              <w:pStyle w:val="TableParagraph"/>
              <w:spacing w:line="207" w:lineRule="exact"/>
              <w:ind w:left="61"/>
              <w:rPr>
                <w:sz w:val="18"/>
              </w:rPr>
            </w:pPr>
            <w:r>
              <w:rPr>
                <w:sz w:val="18"/>
              </w:rPr>
              <w:t>Contirbuted equity</w:t>
            </w:r>
          </w:p>
        </w:tc>
        <w:tc>
          <w:tcPr>
            <w:tcW w:w="1846" w:type="dxa"/>
          </w:tcPr>
          <w:p>
            <w:pPr/>
          </w:p>
        </w:tc>
        <w:tc>
          <w:tcPr>
            <w:tcW w:w="2672" w:type="dxa"/>
          </w:tcPr>
          <w:p>
            <w:pPr>
              <w:pStyle w:val="TableParagraph"/>
              <w:rPr>
                <w:sz w:val="18"/>
              </w:rPr>
            </w:pPr>
          </w:p>
          <w:p>
            <w:pPr>
              <w:pStyle w:val="TableParagraph"/>
              <w:spacing w:before="4"/>
              <w:rPr>
                <w:sz w:val="18"/>
              </w:rPr>
            </w:pPr>
          </w:p>
          <w:p>
            <w:pPr>
              <w:pStyle w:val="TableParagraph"/>
              <w:tabs>
                <w:tab w:pos="2346" w:val="left" w:leader="none"/>
              </w:tabs>
              <w:ind w:left="1050"/>
              <w:rPr>
                <w:sz w:val="18"/>
              </w:rPr>
            </w:pPr>
            <w:r>
              <w:rPr>
                <w:b/>
                <w:sz w:val="18"/>
              </w:rPr>
              <w:t>10</w:t>
              <w:tab/>
            </w:r>
            <w:r>
              <w:rPr>
                <w:sz w:val="18"/>
              </w:rPr>
              <w:t>10</w:t>
            </w:r>
          </w:p>
        </w:tc>
      </w:tr>
      <w:tr>
        <w:trPr>
          <w:trHeight w:val="217" w:hRule="exact"/>
        </w:trPr>
        <w:tc>
          <w:tcPr>
            <w:tcW w:w="5464" w:type="dxa"/>
          </w:tcPr>
          <w:p>
            <w:pPr>
              <w:pStyle w:val="TableParagraph"/>
              <w:spacing w:line="197" w:lineRule="exact"/>
              <w:ind w:left="61"/>
              <w:rPr>
                <w:sz w:val="18"/>
              </w:rPr>
            </w:pPr>
            <w:r>
              <w:rPr>
                <w:sz w:val="18"/>
              </w:rPr>
              <w:t>Retained earnings</w:t>
            </w:r>
          </w:p>
        </w:tc>
        <w:tc>
          <w:tcPr>
            <w:tcW w:w="1846" w:type="dxa"/>
          </w:tcPr>
          <w:p>
            <w:pPr/>
          </w:p>
        </w:tc>
        <w:tc>
          <w:tcPr>
            <w:tcW w:w="2672" w:type="dxa"/>
          </w:tcPr>
          <w:p>
            <w:pPr>
              <w:pStyle w:val="TableParagraph"/>
              <w:tabs>
                <w:tab w:pos="1191" w:val="left" w:leader="none"/>
                <w:tab w:pos="2487" w:val="left" w:leader="none"/>
                <w:tab w:pos="2636" w:val="left" w:leader="none"/>
              </w:tabs>
              <w:spacing w:line="197" w:lineRule="exact"/>
              <w:ind w:left="44"/>
              <w:rPr>
                <w:sz w:val="18"/>
              </w:rPr>
            </w:pPr>
            <w:r>
              <w:rPr>
                <w:rFonts w:ascii="Times New Roman"/>
                <w:sz w:val="18"/>
                <w:u w:val="single"/>
              </w:rPr>
              <w:t> </w:t>
              <w:tab/>
            </w:r>
            <w:r>
              <w:rPr>
                <w:b/>
                <w:sz w:val="18"/>
                <w:u w:val="single"/>
              </w:rPr>
              <w:t>-</w:t>
              <w:tab/>
            </w:r>
            <w:r>
              <w:rPr>
                <w:sz w:val="18"/>
                <w:u w:val="single"/>
              </w:rPr>
              <w:t>-</w:t>
              <w:tab/>
            </w:r>
          </w:p>
        </w:tc>
      </w:tr>
      <w:tr>
        <w:trPr>
          <w:trHeight w:val="303" w:hRule="exact"/>
        </w:trPr>
        <w:tc>
          <w:tcPr>
            <w:tcW w:w="5464" w:type="dxa"/>
          </w:tcPr>
          <w:p>
            <w:pPr>
              <w:pStyle w:val="TableParagraph"/>
              <w:spacing w:line="206" w:lineRule="exact"/>
              <w:ind w:left="61"/>
              <w:rPr>
                <w:b/>
                <w:sz w:val="18"/>
              </w:rPr>
            </w:pPr>
            <w:r>
              <w:rPr>
                <w:b/>
                <w:sz w:val="18"/>
              </w:rPr>
              <w:t>Total equity</w:t>
            </w:r>
          </w:p>
        </w:tc>
        <w:tc>
          <w:tcPr>
            <w:tcW w:w="1846" w:type="dxa"/>
          </w:tcPr>
          <w:p>
            <w:pPr/>
          </w:p>
        </w:tc>
        <w:tc>
          <w:tcPr>
            <w:tcW w:w="2672" w:type="dxa"/>
          </w:tcPr>
          <w:p>
            <w:pPr>
              <w:pStyle w:val="TableParagraph"/>
              <w:tabs>
                <w:tab w:pos="1050" w:val="left" w:leader="none"/>
                <w:tab w:pos="2346" w:val="left" w:leader="none"/>
                <w:tab w:pos="2636" w:val="left" w:leader="none"/>
              </w:tabs>
              <w:spacing w:line="206" w:lineRule="exact"/>
              <w:ind w:left="44"/>
              <w:rPr>
                <w:sz w:val="18"/>
              </w:rPr>
            </w:pPr>
            <w:r>
              <w:rPr>
                <w:rFonts w:ascii="Times New Roman"/>
                <w:sz w:val="18"/>
                <w:u w:val="single"/>
              </w:rPr>
              <w:t> </w:t>
              <w:tab/>
            </w:r>
            <w:r>
              <w:rPr>
                <w:b/>
                <w:sz w:val="18"/>
                <w:u w:val="single"/>
              </w:rPr>
              <w:t>10</w:t>
              <w:tab/>
            </w:r>
            <w:r>
              <w:rPr>
                <w:sz w:val="18"/>
                <w:u w:val="single"/>
              </w:rPr>
              <w:t>10</w:t>
              <w:tab/>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pStyle w:val="BodyText"/>
        <w:ind w:left="147" w:right="806"/>
      </w:pPr>
      <w:r>
        <w:rPr/>
        <w:t>The accompanying notes form part of these financial statements.</w:t>
      </w:r>
    </w:p>
    <w:p>
      <w:pPr>
        <w:spacing w:after="0"/>
        <w:sectPr>
          <w:pgSz w:w="11910" w:h="16840"/>
          <w:pgMar w:header="1037" w:footer="563" w:top="1460" w:bottom="700" w:left="860" w:right="840"/>
        </w:sectPr>
      </w:pPr>
    </w:p>
    <w:p>
      <w:pPr>
        <w:pStyle w:val="BodyText"/>
        <w:spacing w:before="1"/>
        <w:rPr>
          <w:sz w:val="24"/>
        </w:rPr>
      </w:pPr>
    </w:p>
    <w:p>
      <w:pPr>
        <w:pStyle w:val="Heading3"/>
        <w:ind w:left="127"/>
      </w:pPr>
      <w:r>
        <w:rPr/>
        <w:t>Statement of changes in equity</w:t>
      </w:r>
    </w:p>
    <w:p>
      <w:pPr>
        <w:pStyle w:val="Heading6"/>
        <w:spacing w:before="53"/>
        <w:ind w:left="127"/>
      </w:pPr>
      <w:r>
        <w:rPr/>
        <w:t>For the Year Ended 31 December 2012</w:t>
      </w:r>
    </w:p>
    <w:p>
      <w:pPr>
        <w:pStyle w:val="BodyText"/>
        <w:spacing w:before="2"/>
        <w:rPr>
          <w:b/>
          <w:sz w:val="29"/>
        </w:rPr>
      </w:pPr>
    </w:p>
    <w:p>
      <w:pPr>
        <w:spacing w:after="0"/>
        <w:rPr>
          <w:sz w:val="29"/>
        </w:rPr>
        <w:sectPr>
          <w:pgSz w:w="11910" w:h="16840"/>
          <w:pgMar w:header="1037" w:footer="563" w:top="1460" w:bottom="700" w:left="880" w:right="880"/>
        </w:sectPr>
      </w:pPr>
    </w:p>
    <w:p>
      <w:pPr>
        <w:pStyle w:val="Heading9"/>
        <w:spacing w:before="78"/>
        <w:ind w:left="7436"/>
        <w:jc w:val="center"/>
      </w:pPr>
      <w:r>
        <w:rPr/>
        <w:t>Contributed</w:t>
      </w:r>
      <w:r>
        <w:rPr>
          <w:w w:val="100"/>
        </w:rPr>
        <w:t> </w:t>
      </w:r>
      <w:r>
        <w:rPr/>
        <w:t>equity</w:t>
      </w:r>
    </w:p>
    <w:p>
      <w:pPr>
        <w:spacing w:before="66"/>
        <w:ind w:left="0" w:right="459" w:firstLine="0"/>
        <w:jc w:val="right"/>
        <w:rPr>
          <w:b/>
          <w:sz w:val="18"/>
        </w:rPr>
      </w:pPr>
      <w:r>
        <w:rPr>
          <w:b/>
          <w:w w:val="99"/>
          <w:sz w:val="18"/>
        </w:rPr>
        <w:t>$</w:t>
      </w:r>
    </w:p>
    <w:p>
      <w:pPr>
        <w:pStyle w:val="BodyText"/>
        <w:spacing w:before="8"/>
        <w:rPr>
          <w:b/>
          <w:sz w:val="24"/>
        </w:rPr>
      </w:pPr>
      <w:r>
        <w:rPr/>
        <w:br w:type="column"/>
      </w:r>
      <w:r>
        <w:rPr>
          <w:b/>
          <w:sz w:val="24"/>
        </w:rPr>
      </w:r>
    </w:p>
    <w:p>
      <w:pPr>
        <w:spacing w:before="0"/>
        <w:ind w:left="314" w:right="287" w:firstLine="0"/>
        <w:jc w:val="center"/>
        <w:rPr>
          <w:b/>
          <w:sz w:val="18"/>
        </w:rPr>
      </w:pPr>
      <w:r>
        <w:rPr>
          <w:b/>
          <w:sz w:val="18"/>
        </w:rPr>
        <w:t>Total equity</w:t>
      </w:r>
    </w:p>
    <w:p>
      <w:pPr>
        <w:spacing w:before="66"/>
        <w:ind w:left="14" w:right="0" w:firstLine="0"/>
        <w:jc w:val="center"/>
        <w:rPr>
          <w:b/>
          <w:sz w:val="18"/>
        </w:rPr>
      </w:pPr>
      <w:r>
        <w:rPr>
          <w:b/>
          <w:w w:val="99"/>
          <w:sz w:val="18"/>
        </w:rPr>
        <w:t>$</w:t>
      </w:r>
    </w:p>
    <w:p>
      <w:pPr>
        <w:spacing w:after="0"/>
        <w:jc w:val="center"/>
        <w:rPr>
          <w:sz w:val="18"/>
        </w:rPr>
        <w:sectPr>
          <w:type w:val="continuous"/>
          <w:pgSz w:w="11910" w:h="16840"/>
          <w:pgMar w:top="0" w:bottom="280" w:left="880" w:right="880"/>
          <w:cols w:num="2" w:equalWidth="0">
            <w:col w:w="8459" w:space="40"/>
            <w:col w:w="1651"/>
          </w:cols>
        </w:sectPr>
      </w:pPr>
    </w:p>
    <w:p>
      <w:pPr>
        <w:tabs>
          <w:tab w:pos="8355" w:val="left" w:leader="none"/>
          <w:tab w:pos="9953" w:val="right" w:leader="none"/>
        </w:tabs>
        <w:spacing w:before="90"/>
        <w:ind w:left="154" w:right="0" w:firstLine="0"/>
        <w:jc w:val="left"/>
        <w:rPr>
          <w:b/>
          <w:sz w:val="18"/>
        </w:rPr>
      </w:pPr>
      <w:r>
        <w:rPr>
          <w:b/>
          <w:sz w:val="18"/>
        </w:rPr>
        <w:t>Balance at 1</w:t>
      </w:r>
      <w:r>
        <w:rPr>
          <w:b/>
          <w:spacing w:val="-1"/>
          <w:sz w:val="18"/>
        </w:rPr>
        <w:t> </w:t>
      </w:r>
      <w:r>
        <w:rPr>
          <w:b/>
          <w:sz w:val="18"/>
        </w:rPr>
        <w:t>January</w:t>
      </w:r>
      <w:r>
        <w:rPr>
          <w:b/>
          <w:spacing w:val="-10"/>
          <w:sz w:val="18"/>
        </w:rPr>
        <w:t> </w:t>
      </w:r>
      <w:r>
        <w:rPr>
          <w:b/>
          <w:sz w:val="18"/>
        </w:rPr>
        <w:t>2011</w:t>
        <w:tab/>
        <w:t>10</w:t>
      </w:r>
      <w:r>
        <w:rPr>
          <w:rFonts w:ascii="Times New Roman"/>
          <w:sz w:val="18"/>
        </w:rPr>
        <w:tab/>
      </w:r>
      <w:r>
        <w:rPr>
          <w:b/>
          <w:sz w:val="18"/>
        </w:rPr>
        <w:t>10</w:t>
      </w:r>
    </w:p>
    <w:p>
      <w:pPr>
        <w:pStyle w:val="BodyText"/>
        <w:tabs>
          <w:tab w:pos="7253" w:val="left" w:leader="none"/>
          <w:tab w:pos="8496" w:val="left" w:leader="none"/>
          <w:tab w:pos="9893" w:val="left" w:leader="none"/>
        </w:tabs>
        <w:spacing w:before="186"/>
        <w:ind w:left="154" w:right="125"/>
        <w:rPr>
          <w:b/>
        </w:rPr>
      </w:pPr>
      <w:r>
        <w:rPr/>
        <w:t>Total comprehensive income for</w:t>
      </w:r>
      <w:r>
        <w:rPr>
          <w:spacing w:val="3"/>
        </w:rPr>
        <w:t> </w:t>
      </w:r>
      <w:r>
        <w:rPr/>
        <w:t>the year</w:t>
        <w:tab/>
      </w:r>
      <w:r>
        <w:rPr>
          <w:rFonts w:ascii="Times New Roman"/>
          <w:u w:val="single"/>
        </w:rPr>
        <w:t> </w:t>
        <w:tab/>
      </w:r>
      <w:r>
        <w:rPr>
          <w:b/>
          <w:u w:val="single"/>
        </w:rPr>
        <w:t>-</w:t>
        <w:tab/>
        <w:t>-</w:t>
      </w:r>
    </w:p>
    <w:p>
      <w:pPr>
        <w:pStyle w:val="Heading9"/>
        <w:tabs>
          <w:tab w:pos="7253" w:val="left" w:leader="none"/>
          <w:tab w:pos="8355" w:val="left" w:leader="none"/>
          <w:tab w:pos="9751" w:val="left" w:leader="none"/>
        </w:tabs>
        <w:spacing w:before="148"/>
        <w:ind w:left="154" w:right="125"/>
      </w:pPr>
      <w:r>
        <w:rPr/>
        <w:t>Balance at 31</w:t>
      </w:r>
      <w:r>
        <w:rPr>
          <w:spacing w:val="-1"/>
        </w:rPr>
        <w:t> </w:t>
      </w:r>
      <w:r>
        <w:rPr/>
        <w:t>December</w:t>
      </w:r>
      <w:r>
        <w:rPr>
          <w:spacing w:val="-1"/>
        </w:rPr>
        <w:t> </w:t>
      </w:r>
      <w:r>
        <w:rPr/>
        <w:t>2011</w:t>
        <w:tab/>
      </w:r>
      <w:r>
        <w:rPr>
          <w:rFonts w:ascii="Times New Roman"/>
          <w:b w:val="0"/>
          <w:u w:val="single"/>
        </w:rPr>
        <w:t> </w:t>
        <w:tab/>
      </w:r>
      <w:r>
        <w:rPr>
          <w:u w:val="single"/>
        </w:rPr>
        <w:t>10</w:t>
        <w:tab/>
        <w:t>10</w:t>
      </w:r>
    </w:p>
    <w:p>
      <w:pPr>
        <w:pStyle w:val="BodyText"/>
        <w:spacing w:before="3"/>
        <w:rPr>
          <w:b/>
          <w:sz w:val="23"/>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798"/>
        <w:gridCol w:w="3775"/>
        <w:gridCol w:w="1296"/>
      </w:tblGrid>
      <w:tr>
        <w:trPr>
          <w:trHeight w:val="533" w:hRule="exact"/>
        </w:trPr>
        <w:tc>
          <w:tcPr>
            <w:tcW w:w="4798" w:type="dxa"/>
            <w:vMerge w:val="restart"/>
          </w:tcPr>
          <w:p>
            <w:pPr/>
          </w:p>
        </w:tc>
        <w:tc>
          <w:tcPr>
            <w:tcW w:w="3775" w:type="dxa"/>
          </w:tcPr>
          <w:p>
            <w:pPr>
              <w:pStyle w:val="TableParagraph"/>
              <w:spacing w:before="77"/>
              <w:ind w:left="2768" w:right="217" w:hanging="250"/>
              <w:rPr>
                <w:b/>
                <w:sz w:val="18"/>
              </w:rPr>
            </w:pPr>
            <w:r>
              <w:rPr>
                <w:b/>
                <w:sz w:val="18"/>
              </w:rPr>
              <w:t>Contributed equity</w:t>
            </w:r>
          </w:p>
        </w:tc>
        <w:tc>
          <w:tcPr>
            <w:tcW w:w="1296" w:type="dxa"/>
          </w:tcPr>
          <w:p>
            <w:pPr>
              <w:pStyle w:val="TableParagraph"/>
              <w:spacing w:before="7"/>
              <w:rPr>
                <w:b/>
                <w:sz w:val="24"/>
              </w:rPr>
            </w:pPr>
          </w:p>
          <w:p>
            <w:pPr>
              <w:pStyle w:val="TableParagraph"/>
              <w:ind w:left="135"/>
              <w:rPr>
                <w:b/>
                <w:sz w:val="18"/>
              </w:rPr>
            </w:pPr>
            <w:r>
              <w:rPr>
                <w:b/>
                <w:sz w:val="18"/>
              </w:rPr>
              <w:t>Total equity</w:t>
            </w:r>
          </w:p>
        </w:tc>
      </w:tr>
      <w:tr>
        <w:trPr>
          <w:trHeight w:val="283" w:hRule="exact"/>
        </w:trPr>
        <w:tc>
          <w:tcPr>
            <w:tcW w:w="4798" w:type="dxa"/>
            <w:vMerge/>
          </w:tcPr>
          <w:p>
            <w:pPr/>
          </w:p>
        </w:tc>
        <w:tc>
          <w:tcPr>
            <w:tcW w:w="3775" w:type="dxa"/>
          </w:tcPr>
          <w:p>
            <w:pPr>
              <w:pStyle w:val="TableParagraph"/>
              <w:spacing w:before="24"/>
              <w:ind w:right="693"/>
              <w:jc w:val="right"/>
              <w:rPr>
                <w:b/>
                <w:sz w:val="18"/>
              </w:rPr>
            </w:pPr>
            <w:r>
              <w:rPr>
                <w:b/>
                <w:w w:val="99"/>
                <w:sz w:val="18"/>
              </w:rPr>
              <w:t>$</w:t>
            </w:r>
          </w:p>
        </w:tc>
        <w:tc>
          <w:tcPr>
            <w:tcW w:w="1296" w:type="dxa"/>
          </w:tcPr>
          <w:p>
            <w:pPr>
              <w:pStyle w:val="TableParagraph"/>
              <w:spacing w:before="24"/>
              <w:ind w:right="20"/>
              <w:jc w:val="center"/>
              <w:rPr>
                <w:b/>
                <w:sz w:val="18"/>
              </w:rPr>
            </w:pPr>
            <w:r>
              <w:rPr>
                <w:b/>
                <w:w w:val="99"/>
                <w:sz w:val="18"/>
              </w:rPr>
              <w:t>$</w:t>
            </w:r>
          </w:p>
        </w:tc>
      </w:tr>
      <w:tr>
        <w:trPr>
          <w:trHeight w:val="341" w:hRule="exact"/>
        </w:trPr>
        <w:tc>
          <w:tcPr>
            <w:tcW w:w="4798" w:type="dxa"/>
          </w:tcPr>
          <w:p>
            <w:pPr>
              <w:pStyle w:val="TableParagraph"/>
              <w:spacing w:before="33"/>
              <w:ind w:left="35"/>
              <w:rPr>
                <w:b/>
                <w:sz w:val="18"/>
              </w:rPr>
            </w:pPr>
            <w:r>
              <w:rPr>
                <w:b/>
                <w:sz w:val="18"/>
              </w:rPr>
              <w:t>Balance at 1 January 2012</w:t>
            </w:r>
          </w:p>
        </w:tc>
        <w:tc>
          <w:tcPr>
            <w:tcW w:w="3775" w:type="dxa"/>
          </w:tcPr>
          <w:p>
            <w:pPr>
              <w:pStyle w:val="TableParagraph"/>
              <w:spacing w:before="38"/>
              <w:ind w:right="133"/>
              <w:jc w:val="right"/>
              <w:rPr>
                <w:sz w:val="18"/>
              </w:rPr>
            </w:pPr>
            <w:r>
              <w:rPr>
                <w:sz w:val="18"/>
              </w:rPr>
              <w:t>10</w:t>
            </w:r>
          </w:p>
        </w:tc>
        <w:tc>
          <w:tcPr>
            <w:tcW w:w="1296" w:type="dxa"/>
          </w:tcPr>
          <w:p>
            <w:pPr>
              <w:pStyle w:val="TableParagraph"/>
              <w:spacing w:before="38"/>
              <w:ind w:right="33"/>
              <w:jc w:val="right"/>
              <w:rPr>
                <w:sz w:val="18"/>
              </w:rPr>
            </w:pPr>
            <w:r>
              <w:rPr>
                <w:sz w:val="18"/>
              </w:rPr>
              <w:t>10</w:t>
            </w:r>
          </w:p>
        </w:tc>
      </w:tr>
    </w:tbl>
    <w:p>
      <w:pPr>
        <w:pStyle w:val="BodyText"/>
        <w:tabs>
          <w:tab w:pos="7253" w:val="left" w:leader="none"/>
          <w:tab w:pos="8496" w:val="left" w:leader="none"/>
          <w:tab w:pos="9893" w:val="left" w:leader="none"/>
          <w:tab w:pos="10042" w:val="left" w:leader="none"/>
        </w:tabs>
        <w:spacing w:before="90"/>
        <w:ind w:left="154"/>
      </w:pPr>
      <w:r>
        <w:rPr/>
        <w:t>Total comprehensive income for</w:t>
      </w:r>
      <w:r>
        <w:rPr>
          <w:spacing w:val="3"/>
        </w:rPr>
        <w:t> </w:t>
      </w:r>
      <w:r>
        <w:rPr/>
        <w:t>the year</w:t>
        <w:tab/>
      </w:r>
      <w:r>
        <w:rPr>
          <w:rFonts w:ascii="Times New Roman"/>
          <w:u w:val="single"/>
        </w:rPr>
        <w:t> </w:t>
        <w:tab/>
      </w:r>
      <w:r>
        <w:rPr>
          <w:u w:val="single"/>
        </w:rPr>
        <w:t>-</w:t>
        <w:tab/>
        <w:t>-</w:t>
        <w:tab/>
      </w:r>
    </w:p>
    <w:p>
      <w:pPr>
        <w:tabs>
          <w:tab w:pos="7253" w:val="left" w:leader="none"/>
          <w:tab w:pos="8355" w:val="left" w:leader="none"/>
          <w:tab w:pos="9751" w:val="left" w:leader="none"/>
          <w:tab w:pos="10042" w:val="left" w:leader="none"/>
        </w:tabs>
        <w:spacing w:before="148"/>
        <w:ind w:left="154" w:right="0" w:firstLine="0"/>
        <w:jc w:val="left"/>
        <w:rPr>
          <w:sz w:val="18"/>
        </w:rPr>
      </w:pPr>
      <w:r>
        <w:rPr>
          <w:b/>
          <w:sz w:val="18"/>
        </w:rPr>
        <w:t>Balance at 31</w:t>
      </w:r>
      <w:r>
        <w:rPr>
          <w:b/>
          <w:spacing w:val="-1"/>
          <w:sz w:val="18"/>
        </w:rPr>
        <w:t> </w:t>
      </w:r>
      <w:r>
        <w:rPr>
          <w:b/>
          <w:sz w:val="18"/>
        </w:rPr>
        <w:t>December</w:t>
      </w:r>
      <w:r>
        <w:rPr>
          <w:b/>
          <w:spacing w:val="-1"/>
          <w:sz w:val="18"/>
        </w:rPr>
        <w:t> </w:t>
      </w:r>
      <w:r>
        <w:rPr>
          <w:b/>
          <w:sz w:val="18"/>
        </w:rPr>
        <w:t>2012</w:t>
        <w:tab/>
      </w:r>
      <w:r>
        <w:rPr>
          <w:rFonts w:ascii="Times New Roman"/>
          <w:sz w:val="18"/>
          <w:u w:val="single"/>
        </w:rPr>
        <w:t> </w:t>
        <w:tab/>
      </w:r>
      <w:r>
        <w:rPr>
          <w:sz w:val="18"/>
          <w:u w:val="single"/>
        </w:rPr>
        <w:t>10</w:t>
        <w:tab/>
        <w:t>10</w:t>
        <w:tab/>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pStyle w:val="BodyText"/>
        <w:ind w:left="127" w:right="125"/>
      </w:pPr>
      <w:r>
        <w:rPr/>
        <w:t>The accompanying notes form part of these financial statements.</w:t>
      </w:r>
    </w:p>
    <w:p>
      <w:pPr>
        <w:spacing w:after="0"/>
        <w:sectPr>
          <w:type w:val="continuous"/>
          <w:pgSz w:w="11910" w:h="16840"/>
          <w:pgMar w:top="0" w:bottom="280" w:left="880" w:right="880"/>
        </w:sectPr>
      </w:pPr>
    </w:p>
    <w:p>
      <w:pPr>
        <w:pStyle w:val="BodyText"/>
        <w:spacing w:before="1"/>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750"/>
        <w:gridCol w:w="1560"/>
        <w:gridCol w:w="2672"/>
      </w:tblGrid>
      <w:tr>
        <w:trPr>
          <w:trHeight w:val="909" w:hRule="exact"/>
        </w:trPr>
        <w:tc>
          <w:tcPr>
            <w:tcW w:w="5750" w:type="dxa"/>
          </w:tcPr>
          <w:p>
            <w:pPr>
              <w:pStyle w:val="TableParagraph"/>
              <w:spacing w:before="65"/>
              <w:ind w:left="35"/>
              <w:rPr>
                <w:b/>
                <w:sz w:val="28"/>
              </w:rPr>
            </w:pPr>
            <w:r>
              <w:rPr>
                <w:b/>
                <w:sz w:val="28"/>
              </w:rPr>
              <w:t>Statement of cash flows</w:t>
            </w:r>
          </w:p>
          <w:p>
            <w:pPr>
              <w:pStyle w:val="TableParagraph"/>
              <w:spacing w:before="53"/>
              <w:ind w:left="35"/>
              <w:rPr>
                <w:b/>
                <w:sz w:val="22"/>
              </w:rPr>
            </w:pPr>
            <w:r>
              <w:rPr>
                <w:b/>
                <w:sz w:val="22"/>
              </w:rPr>
              <w:t>For the Year Ended 31 December 2012</w:t>
            </w:r>
          </w:p>
        </w:tc>
        <w:tc>
          <w:tcPr>
            <w:tcW w:w="4232" w:type="dxa"/>
            <w:gridSpan w:val="2"/>
          </w:tcPr>
          <w:p>
            <w:pPr/>
          </w:p>
        </w:tc>
      </w:tr>
      <w:tr>
        <w:trPr>
          <w:trHeight w:val="447" w:hRule="exact"/>
        </w:trPr>
        <w:tc>
          <w:tcPr>
            <w:tcW w:w="5750" w:type="dxa"/>
          </w:tcPr>
          <w:p>
            <w:pPr/>
          </w:p>
        </w:tc>
        <w:tc>
          <w:tcPr>
            <w:tcW w:w="1560" w:type="dxa"/>
          </w:tcPr>
          <w:p>
            <w:pPr/>
          </w:p>
        </w:tc>
        <w:tc>
          <w:tcPr>
            <w:tcW w:w="2672" w:type="dxa"/>
          </w:tcPr>
          <w:p>
            <w:pPr>
              <w:pStyle w:val="TableParagraph"/>
              <w:spacing w:before="2"/>
              <w:rPr>
                <w:sz w:val="17"/>
              </w:rPr>
            </w:pPr>
          </w:p>
          <w:p>
            <w:pPr>
              <w:pStyle w:val="TableParagraph"/>
              <w:tabs>
                <w:tab w:pos="1784" w:val="left" w:leader="none"/>
              </w:tabs>
              <w:ind w:left="488"/>
              <w:rPr>
                <w:b/>
                <w:sz w:val="18"/>
              </w:rPr>
            </w:pPr>
            <w:r>
              <w:rPr>
                <w:b/>
                <w:sz w:val="18"/>
              </w:rPr>
              <w:t>2012</w:t>
              <w:tab/>
              <w:t>2011</w:t>
            </w:r>
          </w:p>
        </w:tc>
      </w:tr>
      <w:tr>
        <w:trPr>
          <w:trHeight w:val="326" w:hRule="exact"/>
        </w:trPr>
        <w:tc>
          <w:tcPr>
            <w:tcW w:w="5750" w:type="dxa"/>
          </w:tcPr>
          <w:p>
            <w:pPr/>
          </w:p>
        </w:tc>
        <w:tc>
          <w:tcPr>
            <w:tcW w:w="1560" w:type="dxa"/>
          </w:tcPr>
          <w:p>
            <w:pPr>
              <w:pStyle w:val="TableParagraph"/>
              <w:spacing w:before="24"/>
              <w:ind w:left="1115"/>
              <w:rPr>
                <w:b/>
                <w:sz w:val="18"/>
              </w:rPr>
            </w:pPr>
            <w:r>
              <w:rPr>
                <w:b/>
                <w:sz w:val="18"/>
              </w:rPr>
              <w:t>Note</w:t>
            </w:r>
          </w:p>
        </w:tc>
        <w:tc>
          <w:tcPr>
            <w:tcW w:w="2672" w:type="dxa"/>
          </w:tcPr>
          <w:p>
            <w:pPr>
              <w:pStyle w:val="TableParagraph"/>
              <w:tabs>
                <w:tab w:pos="1935" w:val="left" w:leader="none"/>
              </w:tabs>
              <w:spacing w:before="24"/>
              <w:ind w:left="639"/>
              <w:rPr>
                <w:b/>
                <w:sz w:val="18"/>
              </w:rPr>
            </w:pPr>
            <w:r>
              <w:rPr>
                <w:b/>
                <w:sz w:val="18"/>
              </w:rPr>
              <w:t>$</w:t>
              <w:tab/>
              <w:t>$</w:t>
            </w:r>
          </w:p>
        </w:tc>
      </w:tr>
      <w:tr>
        <w:trPr>
          <w:trHeight w:val="505" w:hRule="exact"/>
        </w:trPr>
        <w:tc>
          <w:tcPr>
            <w:tcW w:w="5750" w:type="dxa"/>
          </w:tcPr>
          <w:p>
            <w:pPr>
              <w:pStyle w:val="TableParagraph"/>
              <w:spacing w:line="207" w:lineRule="exact" w:before="76"/>
              <w:ind w:left="61"/>
              <w:rPr>
                <w:b/>
                <w:sz w:val="18"/>
              </w:rPr>
            </w:pPr>
            <w:r>
              <w:rPr>
                <w:b/>
                <w:sz w:val="18"/>
              </w:rPr>
              <w:t>Cash flows from operating activities</w:t>
            </w:r>
          </w:p>
          <w:p>
            <w:pPr>
              <w:pStyle w:val="TableParagraph"/>
              <w:spacing w:line="207" w:lineRule="exact"/>
              <w:ind w:left="61"/>
              <w:rPr>
                <w:sz w:val="18"/>
              </w:rPr>
            </w:pPr>
            <w:r>
              <w:rPr>
                <w:sz w:val="18"/>
              </w:rPr>
              <w:t>Payments to suppliers and employees</w:t>
            </w:r>
          </w:p>
        </w:tc>
        <w:tc>
          <w:tcPr>
            <w:tcW w:w="1560" w:type="dxa"/>
          </w:tcPr>
          <w:p>
            <w:pPr/>
          </w:p>
        </w:tc>
        <w:tc>
          <w:tcPr>
            <w:tcW w:w="2672" w:type="dxa"/>
          </w:tcPr>
          <w:p>
            <w:pPr>
              <w:pStyle w:val="TableParagraph"/>
              <w:spacing w:before="7"/>
              <w:rPr>
                <w:sz w:val="24"/>
              </w:rPr>
            </w:pPr>
          </w:p>
          <w:p>
            <w:pPr>
              <w:pStyle w:val="TableParagraph"/>
              <w:tabs>
                <w:tab w:pos="1147" w:val="left" w:leader="none"/>
                <w:tab w:pos="1989" w:val="left" w:leader="none"/>
              </w:tabs>
              <w:ind w:right="61"/>
              <w:jc w:val="right"/>
              <w:rPr>
                <w:sz w:val="18"/>
              </w:rPr>
            </w:pPr>
            <w:r>
              <w:rPr>
                <w:rFonts w:ascii="Times New Roman"/>
                <w:sz w:val="18"/>
                <w:u w:val="single"/>
              </w:rPr>
              <w:t> </w:t>
              <w:tab/>
            </w:r>
            <w:r>
              <w:rPr>
                <w:b/>
                <w:sz w:val="18"/>
                <w:u w:val="single"/>
              </w:rPr>
              <w:t>-</w:t>
              <w:tab/>
            </w:r>
            <w:r>
              <w:rPr>
                <w:w w:val="95"/>
                <w:sz w:val="18"/>
                <w:u w:val="single"/>
              </w:rPr>
              <w:t>(1,628)</w:t>
            </w:r>
          </w:p>
        </w:tc>
      </w:tr>
      <w:tr>
        <w:trPr>
          <w:trHeight w:val="362" w:hRule="exact"/>
        </w:trPr>
        <w:tc>
          <w:tcPr>
            <w:tcW w:w="5750" w:type="dxa"/>
          </w:tcPr>
          <w:p>
            <w:pPr>
              <w:pStyle w:val="TableParagraph"/>
              <w:spacing w:line="201" w:lineRule="exact"/>
              <w:ind w:left="61"/>
              <w:rPr>
                <w:b/>
                <w:sz w:val="18"/>
              </w:rPr>
            </w:pPr>
            <w:r>
              <w:rPr>
                <w:b/>
                <w:sz w:val="18"/>
              </w:rPr>
              <w:t>Net cash inflow/(outflow) from operating activities</w:t>
            </w:r>
          </w:p>
        </w:tc>
        <w:tc>
          <w:tcPr>
            <w:tcW w:w="1560" w:type="dxa"/>
          </w:tcPr>
          <w:p>
            <w:pPr>
              <w:pStyle w:val="TableParagraph"/>
              <w:spacing w:line="201" w:lineRule="exact"/>
              <w:ind w:left="1055"/>
              <w:rPr>
                <w:sz w:val="18"/>
              </w:rPr>
            </w:pPr>
            <w:r>
              <w:rPr>
                <w:sz w:val="18"/>
              </w:rPr>
              <w:t>11</w:t>
            </w:r>
          </w:p>
        </w:tc>
        <w:tc>
          <w:tcPr>
            <w:tcW w:w="2672" w:type="dxa"/>
          </w:tcPr>
          <w:p>
            <w:pPr>
              <w:pStyle w:val="TableParagraph"/>
              <w:tabs>
                <w:tab w:pos="1147" w:val="left" w:leader="none"/>
                <w:tab w:pos="1989" w:val="left" w:leader="none"/>
              </w:tabs>
              <w:spacing w:line="201" w:lineRule="exact"/>
              <w:ind w:right="61"/>
              <w:jc w:val="right"/>
              <w:rPr>
                <w:sz w:val="18"/>
              </w:rPr>
            </w:pPr>
            <w:r>
              <w:rPr>
                <w:rFonts w:ascii="Times New Roman"/>
                <w:sz w:val="18"/>
                <w:u w:val="single"/>
              </w:rPr>
              <w:t> </w:t>
              <w:tab/>
            </w:r>
            <w:r>
              <w:rPr>
                <w:b/>
                <w:sz w:val="18"/>
                <w:u w:val="single"/>
              </w:rPr>
              <w:t>-</w:t>
              <w:tab/>
            </w:r>
            <w:r>
              <w:rPr>
                <w:w w:val="95"/>
                <w:sz w:val="18"/>
                <w:u w:val="single"/>
              </w:rPr>
              <w:t>(1,628)</w:t>
            </w:r>
          </w:p>
        </w:tc>
      </w:tr>
      <w:tr>
        <w:trPr>
          <w:trHeight w:val="367" w:hRule="exact"/>
        </w:trPr>
        <w:tc>
          <w:tcPr>
            <w:tcW w:w="5750" w:type="dxa"/>
          </w:tcPr>
          <w:p>
            <w:pPr>
              <w:pStyle w:val="TableParagraph"/>
              <w:spacing w:before="141"/>
              <w:ind w:left="61"/>
              <w:rPr>
                <w:b/>
                <w:sz w:val="18"/>
              </w:rPr>
            </w:pPr>
            <w:r>
              <w:rPr>
                <w:b/>
                <w:sz w:val="18"/>
              </w:rPr>
              <w:t>Cash flows from investing activities</w:t>
            </w:r>
          </w:p>
        </w:tc>
        <w:tc>
          <w:tcPr>
            <w:tcW w:w="1560" w:type="dxa"/>
          </w:tcPr>
          <w:p>
            <w:pPr/>
          </w:p>
        </w:tc>
        <w:tc>
          <w:tcPr>
            <w:tcW w:w="2672" w:type="dxa"/>
          </w:tcPr>
          <w:p>
            <w:pPr/>
          </w:p>
        </w:tc>
      </w:tr>
      <w:tr>
        <w:trPr>
          <w:trHeight w:val="368" w:hRule="exact"/>
        </w:trPr>
        <w:tc>
          <w:tcPr>
            <w:tcW w:w="5750" w:type="dxa"/>
          </w:tcPr>
          <w:p>
            <w:pPr>
              <w:pStyle w:val="TableParagraph"/>
              <w:ind w:left="61"/>
              <w:rPr>
                <w:b/>
                <w:sz w:val="18"/>
              </w:rPr>
            </w:pPr>
            <w:r>
              <w:rPr>
                <w:b/>
                <w:sz w:val="18"/>
              </w:rPr>
              <w:t>Net cash (outflow)/inflow from investing activities</w:t>
            </w:r>
          </w:p>
        </w:tc>
        <w:tc>
          <w:tcPr>
            <w:tcW w:w="1560" w:type="dxa"/>
          </w:tcPr>
          <w:p>
            <w:pPr/>
          </w:p>
        </w:tc>
        <w:tc>
          <w:tcPr>
            <w:tcW w:w="2672" w:type="dxa"/>
          </w:tcPr>
          <w:p>
            <w:pPr>
              <w:pStyle w:val="TableParagraph"/>
              <w:tabs>
                <w:tab w:pos="1147" w:val="left" w:leader="none"/>
                <w:tab w:pos="2443" w:val="left" w:leader="none"/>
              </w:tabs>
              <w:ind w:right="33"/>
              <w:jc w:val="right"/>
              <w:rPr>
                <w:sz w:val="18"/>
              </w:rPr>
            </w:pPr>
            <w:r>
              <w:rPr>
                <w:rFonts w:ascii="Times New Roman"/>
                <w:sz w:val="18"/>
                <w:u w:val="single"/>
              </w:rPr>
              <w:t> </w:t>
              <w:tab/>
            </w:r>
            <w:r>
              <w:rPr>
                <w:b/>
                <w:sz w:val="18"/>
                <w:u w:val="single"/>
              </w:rPr>
              <w:t>-</w:t>
              <w:tab/>
            </w:r>
            <w:r>
              <w:rPr>
                <w:sz w:val="18"/>
                <w:u w:val="single"/>
              </w:rPr>
              <w:t>-</w:t>
              <w:tab/>
            </w:r>
          </w:p>
        </w:tc>
      </w:tr>
      <w:tr>
        <w:trPr>
          <w:trHeight w:val="367" w:hRule="exact"/>
        </w:trPr>
        <w:tc>
          <w:tcPr>
            <w:tcW w:w="5750" w:type="dxa"/>
          </w:tcPr>
          <w:p>
            <w:pPr>
              <w:pStyle w:val="TableParagraph"/>
              <w:spacing w:before="141"/>
              <w:ind w:left="61"/>
              <w:rPr>
                <w:b/>
                <w:sz w:val="18"/>
              </w:rPr>
            </w:pPr>
            <w:r>
              <w:rPr>
                <w:b/>
                <w:sz w:val="18"/>
              </w:rPr>
              <w:t>Cash flows from financing activities</w:t>
            </w:r>
          </w:p>
        </w:tc>
        <w:tc>
          <w:tcPr>
            <w:tcW w:w="1560" w:type="dxa"/>
          </w:tcPr>
          <w:p>
            <w:pPr/>
          </w:p>
        </w:tc>
        <w:tc>
          <w:tcPr>
            <w:tcW w:w="2672" w:type="dxa"/>
          </w:tcPr>
          <w:p>
            <w:pPr/>
          </w:p>
        </w:tc>
      </w:tr>
      <w:tr>
        <w:trPr>
          <w:trHeight w:val="368" w:hRule="exact"/>
        </w:trPr>
        <w:tc>
          <w:tcPr>
            <w:tcW w:w="5750" w:type="dxa"/>
          </w:tcPr>
          <w:p>
            <w:pPr>
              <w:pStyle w:val="TableParagraph"/>
              <w:ind w:left="61"/>
              <w:rPr>
                <w:b/>
                <w:sz w:val="18"/>
              </w:rPr>
            </w:pPr>
            <w:r>
              <w:rPr>
                <w:b/>
                <w:sz w:val="18"/>
              </w:rPr>
              <w:t>Net cash inflow/(outflow) from financing activities</w:t>
            </w:r>
          </w:p>
        </w:tc>
        <w:tc>
          <w:tcPr>
            <w:tcW w:w="1560" w:type="dxa"/>
          </w:tcPr>
          <w:p>
            <w:pPr/>
          </w:p>
        </w:tc>
        <w:tc>
          <w:tcPr>
            <w:tcW w:w="2672" w:type="dxa"/>
          </w:tcPr>
          <w:p>
            <w:pPr>
              <w:pStyle w:val="TableParagraph"/>
              <w:tabs>
                <w:tab w:pos="1147" w:val="left" w:leader="none"/>
                <w:tab w:pos="2443" w:val="left" w:leader="none"/>
              </w:tabs>
              <w:ind w:right="33"/>
              <w:jc w:val="right"/>
              <w:rPr>
                <w:sz w:val="18"/>
              </w:rPr>
            </w:pPr>
            <w:r>
              <w:rPr>
                <w:rFonts w:ascii="Times New Roman"/>
                <w:sz w:val="18"/>
                <w:u w:val="single"/>
              </w:rPr>
              <w:t> </w:t>
              <w:tab/>
            </w:r>
            <w:r>
              <w:rPr>
                <w:b/>
                <w:sz w:val="18"/>
                <w:u w:val="single"/>
              </w:rPr>
              <w:t>-</w:t>
              <w:tab/>
            </w:r>
            <w:r>
              <w:rPr>
                <w:sz w:val="18"/>
                <w:u w:val="single"/>
              </w:rPr>
              <w:t>-</w:t>
              <w:tab/>
            </w:r>
          </w:p>
        </w:tc>
      </w:tr>
      <w:tr>
        <w:trPr>
          <w:trHeight w:val="357" w:hRule="exact"/>
        </w:trPr>
        <w:tc>
          <w:tcPr>
            <w:tcW w:w="5750" w:type="dxa"/>
          </w:tcPr>
          <w:p>
            <w:pPr>
              <w:pStyle w:val="TableParagraph"/>
              <w:spacing w:before="141"/>
              <w:ind w:left="61"/>
              <w:rPr>
                <w:b/>
                <w:sz w:val="18"/>
              </w:rPr>
            </w:pPr>
            <w:r>
              <w:rPr>
                <w:b/>
                <w:sz w:val="18"/>
              </w:rPr>
              <w:t>Net increase/(decrease) in cash  and cash equivalents</w:t>
            </w:r>
          </w:p>
        </w:tc>
        <w:tc>
          <w:tcPr>
            <w:tcW w:w="1560" w:type="dxa"/>
          </w:tcPr>
          <w:p>
            <w:pPr/>
          </w:p>
        </w:tc>
        <w:tc>
          <w:tcPr>
            <w:tcW w:w="2672" w:type="dxa"/>
          </w:tcPr>
          <w:p>
            <w:pPr>
              <w:pStyle w:val="TableParagraph"/>
              <w:tabs>
                <w:tab w:pos="842" w:val="left" w:leader="none"/>
              </w:tabs>
              <w:spacing w:before="141"/>
              <w:ind w:right="61"/>
              <w:jc w:val="right"/>
              <w:rPr>
                <w:sz w:val="18"/>
              </w:rPr>
            </w:pPr>
            <w:r>
              <w:rPr>
                <w:b/>
                <w:sz w:val="18"/>
              </w:rPr>
              <w:t>-</w:t>
              <w:tab/>
            </w:r>
            <w:r>
              <w:rPr>
                <w:spacing w:val="-1"/>
                <w:sz w:val="18"/>
              </w:rPr>
              <w:t>(1,628)</w:t>
            </w:r>
          </w:p>
        </w:tc>
      </w:tr>
      <w:tr>
        <w:trPr>
          <w:trHeight w:val="261" w:hRule="exact"/>
        </w:trPr>
        <w:tc>
          <w:tcPr>
            <w:tcW w:w="5750" w:type="dxa"/>
          </w:tcPr>
          <w:p>
            <w:pPr>
              <w:pStyle w:val="TableParagraph"/>
              <w:spacing w:line="197" w:lineRule="exact"/>
              <w:ind w:left="61"/>
              <w:rPr>
                <w:sz w:val="18"/>
              </w:rPr>
            </w:pPr>
            <w:r>
              <w:rPr>
                <w:sz w:val="18"/>
              </w:rPr>
              <w:t>Cash and cash equivalents at beginning of year</w:t>
            </w:r>
          </w:p>
        </w:tc>
        <w:tc>
          <w:tcPr>
            <w:tcW w:w="1560" w:type="dxa"/>
          </w:tcPr>
          <w:p>
            <w:pPr>
              <w:pStyle w:val="TableParagraph"/>
              <w:spacing w:line="197" w:lineRule="exact"/>
              <w:ind w:left="1055"/>
              <w:rPr>
                <w:sz w:val="18"/>
              </w:rPr>
            </w:pPr>
            <w:r>
              <w:rPr>
                <w:w w:val="99"/>
                <w:sz w:val="18"/>
              </w:rPr>
              <w:t>4</w:t>
            </w:r>
          </w:p>
        </w:tc>
        <w:tc>
          <w:tcPr>
            <w:tcW w:w="2672" w:type="dxa"/>
            <w:tcBorders>
              <w:bottom w:val="single" w:sz="1" w:space="0" w:color="000000"/>
            </w:tcBorders>
          </w:tcPr>
          <w:p>
            <w:pPr>
              <w:pStyle w:val="TableParagraph"/>
              <w:tabs>
                <w:tab w:pos="1043" w:val="left" w:leader="none"/>
              </w:tabs>
              <w:spacing w:before="19"/>
              <w:ind w:right="122"/>
              <w:jc w:val="right"/>
              <w:rPr>
                <w:sz w:val="18"/>
              </w:rPr>
            </w:pPr>
            <w:r>
              <w:rPr>
                <w:b/>
                <w:sz w:val="18"/>
              </w:rPr>
              <w:t>10</w:t>
              <w:tab/>
            </w:r>
            <w:r>
              <w:rPr>
                <w:w w:val="95"/>
                <w:sz w:val="18"/>
              </w:rPr>
              <w:t>1,638</w:t>
            </w:r>
          </w:p>
        </w:tc>
      </w:tr>
      <w:tr>
        <w:trPr>
          <w:trHeight w:val="226" w:hRule="exact"/>
        </w:trPr>
        <w:tc>
          <w:tcPr>
            <w:tcW w:w="5750" w:type="dxa"/>
          </w:tcPr>
          <w:p>
            <w:pPr>
              <w:pStyle w:val="TableParagraph"/>
              <w:spacing w:before="12"/>
              <w:ind w:left="61"/>
              <w:rPr>
                <w:b/>
                <w:sz w:val="18"/>
              </w:rPr>
            </w:pPr>
            <w:r>
              <w:rPr>
                <w:b/>
                <w:sz w:val="18"/>
              </w:rPr>
              <w:t>Cash and cash equivalents at end of year</w:t>
            </w:r>
          </w:p>
        </w:tc>
        <w:tc>
          <w:tcPr>
            <w:tcW w:w="1560" w:type="dxa"/>
          </w:tcPr>
          <w:p>
            <w:pPr/>
          </w:p>
        </w:tc>
        <w:tc>
          <w:tcPr>
            <w:tcW w:w="2672" w:type="dxa"/>
            <w:tcBorders>
              <w:top w:val="single" w:sz="1" w:space="0" w:color="000000"/>
              <w:bottom w:val="single" w:sz="1" w:space="0" w:color="000000"/>
            </w:tcBorders>
          </w:tcPr>
          <w:p>
            <w:pPr>
              <w:pStyle w:val="TableParagraph"/>
              <w:tabs>
                <w:tab w:pos="1295" w:val="left" w:leader="none"/>
              </w:tabs>
              <w:spacing w:before="11"/>
              <w:ind w:right="121"/>
              <w:jc w:val="right"/>
              <w:rPr>
                <w:sz w:val="18"/>
              </w:rPr>
            </w:pPr>
            <w:r>
              <w:rPr>
                <w:b/>
                <w:sz w:val="18"/>
              </w:rPr>
              <w:t>10</w:t>
              <w:tab/>
            </w:r>
            <w:r>
              <w:rPr>
                <w:w w:val="95"/>
                <w:sz w:val="18"/>
              </w:rPr>
              <w:t>10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BodyText"/>
        <w:spacing w:before="77"/>
        <w:ind w:left="147" w:right="806"/>
      </w:pPr>
      <w:r>
        <w:rPr/>
        <w:t>The accompanying notes form part of these financial statements.</w:t>
      </w:r>
    </w:p>
    <w:p>
      <w:pPr>
        <w:spacing w:after="0"/>
        <w:sectPr>
          <w:pgSz w:w="11910" w:h="16840"/>
          <w:pgMar w:header="1037" w:footer="563" w:top="1460" w:bottom="700" w:left="860" w:right="840"/>
        </w:sectPr>
      </w:pPr>
    </w:p>
    <w:p>
      <w:pPr>
        <w:pStyle w:val="BodyText"/>
        <w:spacing w:before="1"/>
        <w:rPr>
          <w:sz w:val="24"/>
        </w:rPr>
      </w:pPr>
    </w:p>
    <w:p>
      <w:pPr>
        <w:pStyle w:val="Heading3"/>
      </w:pPr>
      <w:r>
        <w:rPr/>
        <w:t>Notes to the financial statements</w:t>
      </w:r>
    </w:p>
    <w:p>
      <w:pPr>
        <w:pStyle w:val="Heading6"/>
        <w:spacing w:before="53"/>
      </w:pPr>
      <w:r>
        <w:rPr/>
        <w:t>For the Year Ended 31 December 2012</w:t>
      </w:r>
    </w:p>
    <w:p>
      <w:pPr>
        <w:pStyle w:val="BodyText"/>
        <w:rPr>
          <w:b/>
          <w:sz w:val="22"/>
        </w:rPr>
      </w:pPr>
    </w:p>
    <w:p>
      <w:pPr>
        <w:pStyle w:val="BodyText"/>
        <w:rPr>
          <w:b/>
          <w:sz w:val="22"/>
        </w:rPr>
      </w:pPr>
    </w:p>
    <w:p>
      <w:pPr>
        <w:pStyle w:val="Heading9"/>
        <w:tabs>
          <w:tab w:pos="503" w:val="left" w:leader="none"/>
        </w:tabs>
        <w:spacing w:before="161"/>
        <w:ind w:left="110" w:right="125"/>
      </w:pPr>
      <w:r>
        <w:rPr/>
        <w:t>1</w:t>
        <w:tab/>
        <w:t>Summary of Significant Accounting</w:t>
      </w:r>
      <w:r>
        <w:rPr>
          <w:spacing w:val="-9"/>
        </w:rPr>
        <w:t> </w:t>
      </w:r>
      <w:r>
        <w:rPr/>
        <w:t>Policies</w:t>
      </w:r>
    </w:p>
    <w:p>
      <w:pPr>
        <w:pStyle w:val="BodyText"/>
        <w:spacing w:before="11"/>
        <w:rPr>
          <w:b/>
          <w:sz w:val="24"/>
        </w:rPr>
      </w:pPr>
    </w:p>
    <w:p>
      <w:pPr>
        <w:pStyle w:val="ListParagraph"/>
        <w:numPr>
          <w:ilvl w:val="0"/>
          <w:numId w:val="53"/>
        </w:numPr>
        <w:tabs>
          <w:tab w:pos="1071" w:val="left" w:leader="none"/>
        </w:tabs>
        <w:spacing w:line="240" w:lineRule="auto" w:before="0" w:after="0"/>
        <w:ind w:left="1070" w:right="0" w:hanging="566"/>
        <w:jc w:val="left"/>
        <w:rPr>
          <w:b/>
          <w:sz w:val="18"/>
        </w:rPr>
      </w:pPr>
      <w:r>
        <w:rPr>
          <w:b/>
          <w:sz w:val="18"/>
        </w:rPr>
        <w:t>Basis of</w:t>
      </w:r>
      <w:r>
        <w:rPr>
          <w:b/>
          <w:spacing w:val="-1"/>
          <w:sz w:val="18"/>
        </w:rPr>
        <w:t> </w:t>
      </w:r>
      <w:r>
        <w:rPr>
          <w:b/>
          <w:sz w:val="18"/>
        </w:rPr>
        <w:t>Preparation</w:t>
      </w:r>
    </w:p>
    <w:p>
      <w:pPr>
        <w:spacing w:before="146"/>
        <w:ind w:left="1070" w:right="116" w:firstLine="0"/>
        <w:jc w:val="both"/>
        <w:rPr>
          <w:sz w:val="18"/>
        </w:rPr>
      </w:pPr>
      <w:r>
        <w:rPr>
          <w:sz w:val="18"/>
        </w:rPr>
        <w:t>These financial statements are general purpose financial statements that have been prepared in accordance with Australian Accounting Standards (including Australian Accounting Interpretations) adopted by the AASB,  the </w:t>
      </w:r>
      <w:r>
        <w:rPr>
          <w:i/>
          <w:sz w:val="18"/>
        </w:rPr>
        <w:t>Corporations Act 2001</w:t>
      </w:r>
      <w:r>
        <w:rPr>
          <w:sz w:val="18"/>
        </w:rPr>
        <w:t>, the requirements of the </w:t>
      </w:r>
      <w:r>
        <w:rPr>
          <w:i/>
          <w:sz w:val="18"/>
        </w:rPr>
        <w:t>Public Finance &amp; Audit Act 1983</w:t>
      </w:r>
      <w:r>
        <w:rPr>
          <w:sz w:val="18"/>
        </w:rPr>
        <w:t>, </w:t>
      </w:r>
      <w:r>
        <w:rPr>
          <w:i/>
          <w:sz w:val="18"/>
        </w:rPr>
        <w:t>Public Finance and Audit </w:t>
      </w:r>
      <w:r>
        <w:rPr>
          <w:i/>
          <w:sz w:val="18"/>
        </w:rPr>
        <w:t>Regulation 2010</w:t>
      </w:r>
      <w:r>
        <w:rPr>
          <w:sz w:val="18"/>
        </w:rPr>
        <w:t>, and other authoritative pronouncements of the Australian Accounting Standards Board  (AASB).</w:t>
      </w:r>
    </w:p>
    <w:p>
      <w:pPr>
        <w:pStyle w:val="BodyText"/>
        <w:spacing w:before="146"/>
        <w:ind w:left="1070" w:right="116"/>
        <w:jc w:val="both"/>
      </w:pPr>
      <w:r>
        <w:rPr/>
        <w:t>These financial statements of the University of Western Sydney Foundation Limited comply with Australian Accounting Standards some of which contain requirements specific to not for profit entities that are inconsistent with International Financial Reporting Standards (IFRS) requirements.</w:t>
      </w:r>
    </w:p>
    <w:p>
      <w:pPr>
        <w:pStyle w:val="BodyText"/>
        <w:spacing w:before="146"/>
        <w:ind w:left="1070" w:right="116"/>
        <w:jc w:val="both"/>
      </w:pPr>
      <w:r>
        <w:rPr/>
        <w:t>Material accounting policies adopted in the preparation of these financial statements are presented below and have been consistently applied unless otherwise stated.</w:t>
      </w:r>
    </w:p>
    <w:p>
      <w:pPr>
        <w:pStyle w:val="BodyText"/>
        <w:spacing w:before="146"/>
        <w:ind w:left="1070" w:right="116"/>
        <w:jc w:val="both"/>
      </w:pPr>
      <w:r>
        <w:rPr/>
        <w:t>The financial statements have been prepared on an accruals basis and are based on historical costs, modified, where applicable, by the measurement at fair value of selected non-current assets,  financial  assets  and financial liabilities.</w:t>
      </w:r>
    </w:p>
    <w:p>
      <w:pPr>
        <w:pStyle w:val="BodyText"/>
        <w:spacing w:before="11"/>
        <w:rPr>
          <w:sz w:val="24"/>
        </w:rPr>
      </w:pPr>
    </w:p>
    <w:p>
      <w:pPr>
        <w:pStyle w:val="Heading9"/>
        <w:numPr>
          <w:ilvl w:val="0"/>
          <w:numId w:val="53"/>
        </w:numPr>
        <w:tabs>
          <w:tab w:pos="1071" w:val="left" w:leader="none"/>
        </w:tabs>
        <w:spacing w:line="240" w:lineRule="auto" w:before="0" w:after="0"/>
        <w:ind w:left="1070" w:right="0" w:hanging="566"/>
        <w:jc w:val="left"/>
      </w:pPr>
      <w:r>
        <w:rPr/>
        <w:t>Revenue recognition</w:t>
      </w:r>
    </w:p>
    <w:p>
      <w:pPr>
        <w:pStyle w:val="BodyText"/>
        <w:spacing w:before="146"/>
        <w:ind w:left="1070" w:right="116"/>
        <w:jc w:val="both"/>
      </w:pPr>
      <w:r>
        <w:rPr/>
        <w:t>The Company recognises revenue when the amount of revenue can be reliably measured, it is probable that future economic benefits will flow to the entity and specific criteria have been met for each of the Compny's activities. The Company bases its estimates on historical results, taking into consideration the type of customer, the type of transaction and the specifics of each arrangement.</w:t>
      </w:r>
    </w:p>
    <w:p>
      <w:pPr>
        <w:pStyle w:val="BodyText"/>
        <w:spacing w:before="11"/>
        <w:rPr>
          <w:sz w:val="24"/>
        </w:rPr>
      </w:pPr>
    </w:p>
    <w:p>
      <w:pPr>
        <w:pStyle w:val="Heading9"/>
        <w:numPr>
          <w:ilvl w:val="0"/>
          <w:numId w:val="53"/>
        </w:numPr>
        <w:tabs>
          <w:tab w:pos="1071" w:val="left" w:leader="none"/>
        </w:tabs>
        <w:spacing w:line="240" w:lineRule="auto" w:before="0" w:after="0"/>
        <w:ind w:left="1070" w:right="0" w:hanging="566"/>
        <w:jc w:val="left"/>
      </w:pPr>
      <w:r>
        <w:rPr/>
        <w:t>Cash and cash</w:t>
      </w:r>
      <w:r>
        <w:rPr>
          <w:spacing w:val="-1"/>
        </w:rPr>
        <w:t> </w:t>
      </w:r>
      <w:r>
        <w:rPr/>
        <w:t>equivalents</w:t>
      </w:r>
    </w:p>
    <w:p>
      <w:pPr>
        <w:pStyle w:val="BodyText"/>
        <w:spacing w:before="146"/>
        <w:ind w:left="1070" w:right="116"/>
        <w:jc w:val="both"/>
      </w:pPr>
      <w:r>
        <w:rPr/>
        <w:t>Cash and cash equivalents includes cash on hand, deposits held at call with financial institutions, other short term, highly liquid investments with original maturities of three months or less that are readily convertible to known amounts of cash and which are subject to an insignficant risk of changes in value.</w:t>
      </w:r>
    </w:p>
    <w:p>
      <w:pPr>
        <w:pStyle w:val="BodyText"/>
        <w:spacing w:before="11"/>
        <w:rPr>
          <w:sz w:val="24"/>
        </w:rPr>
      </w:pPr>
    </w:p>
    <w:p>
      <w:pPr>
        <w:pStyle w:val="Heading9"/>
        <w:numPr>
          <w:ilvl w:val="0"/>
          <w:numId w:val="53"/>
        </w:numPr>
        <w:tabs>
          <w:tab w:pos="1071" w:val="left" w:leader="none"/>
        </w:tabs>
        <w:spacing w:line="240" w:lineRule="auto" w:before="0" w:after="0"/>
        <w:ind w:left="1070" w:right="0" w:hanging="566"/>
        <w:jc w:val="left"/>
      </w:pPr>
      <w:r>
        <w:rPr/>
        <w:t>Income tax</w:t>
      </w:r>
      <w:r>
        <w:rPr>
          <w:spacing w:val="1"/>
        </w:rPr>
        <w:t> </w:t>
      </w:r>
      <w:r>
        <w:rPr/>
        <w:t>exemption</w:t>
      </w:r>
    </w:p>
    <w:p>
      <w:pPr>
        <w:spacing w:before="146"/>
        <w:ind w:left="1070" w:right="116" w:firstLine="0"/>
        <w:jc w:val="both"/>
        <w:rPr>
          <w:sz w:val="18"/>
        </w:rPr>
      </w:pPr>
      <w:r>
        <w:rPr>
          <w:sz w:val="18"/>
        </w:rPr>
        <w:t>The Company is exempt from the payment of tax by virtue of section 50 B of the </w:t>
      </w:r>
      <w:r>
        <w:rPr>
          <w:i/>
          <w:sz w:val="18"/>
        </w:rPr>
        <w:t>Income Tax Assessment Act </w:t>
      </w:r>
      <w:r>
        <w:rPr>
          <w:i/>
          <w:sz w:val="18"/>
        </w:rPr>
        <w:t>1997</w:t>
      </w:r>
      <w:r>
        <w:rPr>
          <w:sz w:val="18"/>
        </w:rPr>
        <w:t>.</w:t>
      </w:r>
    </w:p>
    <w:p>
      <w:pPr>
        <w:pStyle w:val="BodyText"/>
        <w:spacing w:before="11"/>
        <w:rPr>
          <w:sz w:val="24"/>
        </w:rPr>
      </w:pPr>
    </w:p>
    <w:p>
      <w:pPr>
        <w:pStyle w:val="Heading9"/>
        <w:numPr>
          <w:ilvl w:val="0"/>
          <w:numId w:val="53"/>
        </w:numPr>
        <w:tabs>
          <w:tab w:pos="1071" w:val="left" w:leader="none"/>
        </w:tabs>
        <w:spacing w:line="240" w:lineRule="auto" w:before="0" w:after="0"/>
        <w:ind w:left="1070" w:right="0" w:hanging="566"/>
        <w:jc w:val="left"/>
      </w:pPr>
      <w:r>
        <w:rPr/>
        <w:t>Goods and Services Tax (GST)</w:t>
      </w:r>
    </w:p>
    <w:p>
      <w:pPr>
        <w:pStyle w:val="BodyText"/>
        <w:spacing w:before="146"/>
        <w:ind w:left="1070" w:right="117"/>
        <w:jc w:val="both"/>
      </w:pPr>
      <w:r>
        <w:rPr/>
        <w:t>Revenues, expenses and assets are recognised net of the amount of associated GST, unless the GST incurred is not recoverable from the taxation authority. In this case it is recognised as part of the cost of acquisition of    the asset or as part of the</w:t>
      </w:r>
      <w:r>
        <w:rPr>
          <w:spacing w:val="6"/>
        </w:rPr>
        <w:t> </w:t>
      </w:r>
      <w:r>
        <w:rPr/>
        <w:t>expense.</w:t>
      </w:r>
    </w:p>
    <w:p>
      <w:pPr>
        <w:pStyle w:val="BodyText"/>
        <w:spacing w:before="146"/>
        <w:ind w:left="1070" w:right="115"/>
        <w:jc w:val="both"/>
      </w:pPr>
      <w:r>
        <w:rPr/>
        <w:t>Receivables and payables are stated inclusive of the amount of GST receivable or payable. The net amount of GST recoverable from, or payable to, the taxation authority is included with other receivables or payables in the statement of financial position.</w:t>
      </w:r>
    </w:p>
    <w:p>
      <w:pPr>
        <w:pStyle w:val="BodyText"/>
        <w:spacing w:before="146"/>
        <w:ind w:left="1070" w:right="115"/>
        <w:jc w:val="both"/>
      </w:pPr>
      <w:r>
        <w:rPr/>
        <w:t>Cash flows are presented on a gross basis. The GST components of cash flows arising from investing or financing activities which are recoverable from, or payable to the taxation authority, are presented as operating cash flows.</w:t>
      </w:r>
    </w:p>
    <w:p>
      <w:pPr>
        <w:pStyle w:val="BodyText"/>
        <w:spacing w:before="11"/>
        <w:rPr>
          <w:sz w:val="24"/>
        </w:rPr>
      </w:pPr>
    </w:p>
    <w:p>
      <w:pPr>
        <w:pStyle w:val="Heading9"/>
        <w:numPr>
          <w:ilvl w:val="0"/>
          <w:numId w:val="53"/>
        </w:numPr>
        <w:tabs>
          <w:tab w:pos="1071" w:val="left" w:leader="none"/>
        </w:tabs>
        <w:spacing w:line="240" w:lineRule="auto" w:before="0" w:after="0"/>
        <w:ind w:left="1070" w:right="0" w:hanging="566"/>
        <w:jc w:val="left"/>
      </w:pPr>
      <w:r>
        <w:rPr/>
        <w:t>Comparative</w:t>
      </w:r>
      <w:r>
        <w:rPr>
          <w:spacing w:val="-1"/>
        </w:rPr>
        <w:t> </w:t>
      </w:r>
      <w:r>
        <w:rPr/>
        <w:t>amounts</w:t>
      </w:r>
    </w:p>
    <w:p>
      <w:pPr>
        <w:pStyle w:val="BodyText"/>
        <w:spacing w:before="146"/>
        <w:ind w:left="1070" w:right="116"/>
        <w:jc w:val="both"/>
      </w:pPr>
      <w:r>
        <w:rPr/>
        <w:t>Comparative figures have been reclassified and repositioned in the financial statements, where necessary, to conform with the basis of preparation and classification used in the current year.</w:t>
      </w:r>
    </w:p>
    <w:p>
      <w:pPr>
        <w:spacing w:after="0"/>
        <w:jc w:val="both"/>
        <w:sectPr>
          <w:pgSz w:w="11910" w:h="16840"/>
          <w:pgMar w:header="1037" w:footer="563" w:top="1460" w:bottom="700" w:left="900" w:right="860"/>
        </w:sectPr>
      </w:pPr>
    </w:p>
    <w:p>
      <w:pPr>
        <w:pStyle w:val="BodyText"/>
        <w:spacing w:before="1"/>
        <w:rPr>
          <w:sz w:val="24"/>
        </w:rPr>
      </w:pPr>
    </w:p>
    <w:p>
      <w:pPr>
        <w:pStyle w:val="Heading3"/>
      </w:pPr>
      <w:r>
        <w:rPr/>
        <w:t>Notes to the financial statements</w:t>
      </w:r>
    </w:p>
    <w:p>
      <w:pPr>
        <w:pStyle w:val="Heading6"/>
        <w:spacing w:before="53"/>
      </w:pPr>
      <w:r>
        <w:rPr/>
        <w:t>For the Year Ended 31 December 2012</w:t>
      </w:r>
    </w:p>
    <w:p>
      <w:pPr>
        <w:pStyle w:val="BodyText"/>
        <w:rPr>
          <w:b/>
          <w:sz w:val="22"/>
        </w:rPr>
      </w:pPr>
    </w:p>
    <w:p>
      <w:pPr>
        <w:pStyle w:val="BodyText"/>
        <w:rPr>
          <w:b/>
          <w:sz w:val="22"/>
        </w:rPr>
      </w:pPr>
    </w:p>
    <w:p>
      <w:pPr>
        <w:pStyle w:val="BodyText"/>
        <w:tabs>
          <w:tab w:pos="503" w:val="left" w:leader="none"/>
        </w:tabs>
        <w:spacing w:before="161"/>
        <w:ind w:left="110" w:right="125"/>
      </w:pPr>
      <w:r>
        <w:rPr/>
        <w:t>1</w:t>
        <w:tab/>
        <w:t>Summary of Significant Accounting Policies</w:t>
      </w:r>
      <w:r>
        <w:rPr>
          <w:spacing w:val="4"/>
        </w:rPr>
        <w:t> </w:t>
      </w:r>
      <w:r>
        <w:rPr/>
        <w:t>(continued)</w:t>
      </w:r>
    </w:p>
    <w:p>
      <w:pPr>
        <w:pStyle w:val="BodyText"/>
        <w:spacing w:before="11"/>
        <w:rPr>
          <w:sz w:val="24"/>
        </w:rPr>
      </w:pPr>
    </w:p>
    <w:p>
      <w:pPr>
        <w:pStyle w:val="Heading9"/>
        <w:numPr>
          <w:ilvl w:val="0"/>
          <w:numId w:val="53"/>
        </w:numPr>
        <w:tabs>
          <w:tab w:pos="1071" w:val="left" w:leader="none"/>
        </w:tabs>
        <w:spacing w:line="240" w:lineRule="auto" w:before="0" w:after="0"/>
        <w:ind w:left="1070" w:right="0" w:hanging="566"/>
        <w:jc w:val="both"/>
      </w:pPr>
      <w:r>
        <w:rPr/>
        <w:t>New accounting standards and interpretations</w:t>
      </w:r>
    </w:p>
    <w:p>
      <w:pPr>
        <w:pStyle w:val="BodyText"/>
        <w:spacing w:before="146"/>
        <w:ind w:left="1070" w:right="116"/>
        <w:jc w:val="both"/>
      </w:pPr>
      <w:r>
        <w:rPr/>
        <w:t>Certain new accounting standards and interpretations have been published that are not mandatory for 31 December 2012 reporting periods and have not yet been applied in the financial statements. The Company's assessment of the impact of these new standards and interpretations is that they will not materially affect any of the amounts recognised in the financial statements or significantly impact the disclosures in relation to the Company.</w:t>
      </w:r>
    </w:p>
    <w:p>
      <w:pPr>
        <w:pStyle w:val="BodyText"/>
        <w:spacing w:before="11"/>
        <w:rPr>
          <w:sz w:val="24"/>
        </w:rPr>
      </w:pPr>
    </w:p>
    <w:p>
      <w:pPr>
        <w:pStyle w:val="Heading9"/>
        <w:numPr>
          <w:ilvl w:val="0"/>
          <w:numId w:val="53"/>
        </w:numPr>
        <w:tabs>
          <w:tab w:pos="1071" w:val="left" w:leader="none"/>
        </w:tabs>
        <w:spacing w:line="240" w:lineRule="auto" w:before="0" w:after="0"/>
        <w:ind w:left="1070" w:right="0" w:hanging="566"/>
        <w:jc w:val="both"/>
      </w:pPr>
      <w:r>
        <w:rPr/>
        <w:t>Critical accounting estimates and</w:t>
      </w:r>
      <w:r>
        <w:rPr>
          <w:spacing w:val="-1"/>
        </w:rPr>
        <w:t> </w:t>
      </w:r>
      <w:r>
        <w:rPr/>
        <w:t>judgments</w:t>
      </w:r>
    </w:p>
    <w:p>
      <w:pPr>
        <w:pStyle w:val="BodyText"/>
        <w:spacing w:before="146"/>
        <w:ind w:left="1070" w:right="116"/>
        <w:jc w:val="both"/>
      </w:pPr>
      <w:r>
        <w:rPr/>
        <w:t>The preparation of financial statements requires the use of certain critical accounting estimates. It also requires management to exercise its judgement in the process of applying the Company's accounting policies. Estimates and judgements are continually evaluated and are based on historic experience and other factors, including expectations of future events that may have a financial impact on the Company and that are believed to be reasonable under the circumstances.</w:t>
      </w:r>
    </w:p>
    <w:p>
      <w:pPr>
        <w:pStyle w:val="BodyText"/>
        <w:spacing w:before="146"/>
        <w:ind w:left="1070" w:right="116"/>
        <w:jc w:val="both"/>
      </w:pPr>
      <w:r>
        <w:rPr/>
        <w:t>There are no areas which involve a high degree of judgement or complexity or where assumptions  and estimates are significant to the financial statements of the University of Western Sydney Foundation Limited.</w:t>
      </w:r>
    </w:p>
    <w:p>
      <w:pPr>
        <w:pStyle w:val="BodyText"/>
        <w:spacing w:before="11"/>
        <w:rPr>
          <w:sz w:val="24"/>
        </w:rPr>
      </w:pPr>
    </w:p>
    <w:p>
      <w:pPr>
        <w:pStyle w:val="Heading9"/>
        <w:numPr>
          <w:ilvl w:val="0"/>
          <w:numId w:val="54"/>
        </w:numPr>
        <w:tabs>
          <w:tab w:pos="504" w:val="left" w:leader="none"/>
        </w:tabs>
        <w:spacing w:line="240" w:lineRule="auto" w:before="0" w:after="0"/>
        <w:ind w:left="504" w:right="0" w:hanging="394"/>
        <w:jc w:val="left"/>
      </w:pPr>
      <w:r>
        <w:rPr/>
        <w:t>Financial Risk</w:t>
      </w:r>
      <w:r>
        <w:rPr>
          <w:spacing w:val="2"/>
        </w:rPr>
        <w:t> </w:t>
      </w:r>
      <w:r>
        <w:rPr/>
        <w:t>Management</w:t>
      </w:r>
    </w:p>
    <w:p>
      <w:pPr>
        <w:pStyle w:val="BodyText"/>
        <w:spacing w:before="146"/>
        <w:ind w:left="503" w:right="116"/>
        <w:jc w:val="both"/>
      </w:pPr>
      <w:r>
        <w:rPr/>
        <w:t>The main risks University of Western Sydney Foundation Limited is exposed to through its financial instruments are credit risk, liquidity risk and market risk (interest rate risk). The Company's overall risk management program focuses  on the unpredictability of financial markets and seeks to minimise potential adverse effects on the  financial  performance of the Company. The Company uses different methods to measure different types of risk to which it is exposed.  These methods include sensitivity analysis in the case of interest rate and ageing analysis for credit</w:t>
      </w:r>
      <w:r>
        <w:rPr>
          <w:spacing w:val="15"/>
        </w:rPr>
        <w:t> </w:t>
      </w:r>
      <w:r>
        <w:rPr/>
        <w:t>risk.</w:t>
      </w:r>
    </w:p>
    <w:p>
      <w:pPr>
        <w:pStyle w:val="BodyText"/>
        <w:spacing w:before="146"/>
        <w:ind w:left="504" w:right="116"/>
        <w:jc w:val="both"/>
      </w:pPr>
      <w:r>
        <w:rPr/>
        <w:t>The totals for each category of financial instruments, measured in accordance with AASB 139 as detailed in the accounting policies to these financial statements, are as follows:</w:t>
      </w:r>
    </w:p>
    <w:p>
      <w:pPr>
        <w:spacing w:after="0"/>
        <w:jc w:val="both"/>
        <w:sectPr>
          <w:pgSz w:w="11910" w:h="16840"/>
          <w:pgMar w:header="1037" w:footer="563" w:top="1460" w:bottom="700" w:left="900" w:right="860"/>
        </w:sectPr>
      </w:pPr>
    </w:p>
    <w:p>
      <w:pPr>
        <w:pStyle w:val="BodyText"/>
      </w:pPr>
    </w:p>
    <w:p>
      <w:pPr>
        <w:pStyle w:val="BodyText"/>
      </w:pPr>
    </w:p>
    <w:p>
      <w:pPr>
        <w:pStyle w:val="BodyText"/>
        <w:spacing w:before="3"/>
        <w:rPr>
          <w:sz w:val="21"/>
        </w:rPr>
      </w:pPr>
    </w:p>
    <w:p>
      <w:pPr>
        <w:pStyle w:val="Heading9"/>
        <w:spacing w:before="1"/>
        <w:ind w:left="504" w:right="-15"/>
      </w:pPr>
      <w:r>
        <w:rPr/>
        <w:t>Financial Assets</w:t>
      </w:r>
    </w:p>
    <w:p>
      <w:pPr>
        <w:spacing w:before="33"/>
        <w:ind w:left="503" w:right="0" w:firstLine="0"/>
        <w:jc w:val="center"/>
        <w:rPr>
          <w:b/>
          <w:sz w:val="18"/>
        </w:rPr>
      </w:pPr>
      <w:r>
        <w:rPr/>
        <w:br w:type="column"/>
      </w:r>
      <w:r>
        <w:rPr>
          <w:b/>
          <w:sz w:val="18"/>
        </w:rPr>
        <w:t>2012</w:t>
      </w:r>
    </w:p>
    <w:p>
      <w:pPr>
        <w:spacing w:before="66"/>
        <w:ind w:left="0" w:right="149" w:firstLine="0"/>
        <w:jc w:val="right"/>
        <w:rPr>
          <w:b/>
          <w:sz w:val="18"/>
        </w:rPr>
      </w:pPr>
      <w:r>
        <w:rPr>
          <w:b/>
          <w:w w:val="99"/>
          <w:sz w:val="18"/>
        </w:rPr>
        <w:t>$</w:t>
      </w:r>
    </w:p>
    <w:p>
      <w:pPr>
        <w:spacing w:before="33"/>
        <w:ind w:left="488" w:right="570" w:firstLine="0"/>
        <w:jc w:val="center"/>
        <w:rPr>
          <w:b/>
          <w:sz w:val="18"/>
        </w:rPr>
      </w:pPr>
      <w:r>
        <w:rPr/>
        <w:br w:type="column"/>
      </w:r>
      <w:r>
        <w:rPr>
          <w:b/>
          <w:sz w:val="18"/>
        </w:rPr>
        <w:t>2011</w:t>
      </w:r>
    </w:p>
    <w:p>
      <w:pPr>
        <w:spacing w:before="66"/>
        <w:ind w:left="0" w:right="83" w:firstLine="0"/>
        <w:jc w:val="center"/>
        <w:rPr>
          <w:b/>
          <w:sz w:val="18"/>
        </w:rPr>
      </w:pPr>
      <w:r>
        <w:rPr>
          <w:b/>
          <w:w w:val="99"/>
          <w:sz w:val="18"/>
        </w:rPr>
        <w:t>$</w:t>
      </w:r>
    </w:p>
    <w:p>
      <w:pPr>
        <w:spacing w:after="0"/>
        <w:jc w:val="center"/>
        <w:rPr>
          <w:sz w:val="18"/>
        </w:rPr>
        <w:sectPr>
          <w:type w:val="continuous"/>
          <w:pgSz w:w="11910" w:h="16840"/>
          <w:pgMar w:top="0" w:bottom="280" w:left="900" w:right="860"/>
          <w:cols w:num="3" w:equalWidth="0">
            <w:col w:w="1930" w:space="5436"/>
            <w:col w:w="908" w:space="376"/>
            <w:col w:w="1500"/>
          </w:cols>
        </w:sectPr>
      </w:pPr>
    </w:p>
    <w:p>
      <w:pPr>
        <w:pStyle w:val="BodyText"/>
        <w:tabs>
          <w:tab w:pos="8431" w:val="left" w:leader="none"/>
          <w:tab w:pos="9931" w:val="right" w:leader="none"/>
        </w:tabs>
        <w:spacing w:before="28"/>
        <w:ind w:left="504"/>
      </w:pPr>
      <w:r>
        <w:rPr/>
        <w:t>Cash and</w:t>
      </w:r>
      <w:r>
        <w:rPr>
          <w:spacing w:val="1"/>
        </w:rPr>
        <w:t> </w:t>
      </w:r>
      <w:r>
        <w:rPr/>
        <w:t>cash equivalents</w:t>
        <w:tab/>
      </w:r>
      <w:r>
        <w:rPr>
          <w:b/>
        </w:rPr>
        <w:t>10</w:t>
      </w:r>
      <w:r>
        <w:rPr>
          <w:rFonts w:ascii="Times New Roman"/>
        </w:rPr>
        <w:tab/>
      </w:r>
      <w:r>
        <w:rPr/>
        <w:t>10</w:t>
      </w:r>
    </w:p>
    <w:p>
      <w:pPr>
        <w:tabs>
          <w:tab w:pos="1298" w:val="left" w:leader="none"/>
        </w:tabs>
        <w:spacing w:before="38"/>
        <w:ind w:left="0" w:right="212" w:firstLine="0"/>
        <w:jc w:val="right"/>
        <w:rPr>
          <w:sz w:val="18"/>
        </w:rPr>
      </w:pPr>
      <w:r>
        <w:rPr/>
        <w:pict>
          <v:group style="position:absolute;margin-left:416.204987pt;margin-top:1.266901pt;width:129.75pt;height:.550pt;mso-position-horizontal-relative:page;mso-position-vertical-relative:paragraph;z-index:4768" coordorigin="8324,25" coordsize="2595,11">
            <v:line style="position:absolute" from="8326,27" to="9622,27" stroked="true" strokeweight=".12pt" strokecolor="#000000"/>
            <v:line style="position:absolute" from="8326,29" to="9622,29" stroked="true" strokeweight=".12pt" strokecolor="#000000"/>
            <v:line style="position:absolute" from="8326,32" to="9622,32" stroked="true" strokeweight=".12pt" strokecolor="#000000"/>
            <v:line style="position:absolute" from="8326,34" to="9622,34" stroked="true" strokeweight=".12pt" strokecolor="#000000"/>
            <v:line style="position:absolute" from="9622,27" to="10918,27" stroked="true" strokeweight=".12pt" strokecolor="#000000"/>
            <v:line style="position:absolute" from="9622,29" to="10918,29" stroked="true" strokeweight=".12pt" strokecolor="#000000"/>
            <v:line style="position:absolute" from="9622,32" to="10918,32" stroked="true" strokeweight=".12pt" strokecolor="#000000"/>
            <v:line style="position:absolute" from="9622,34" to="10918,34" stroked="true" strokeweight=".12pt" strokecolor="#000000"/>
            <w10:wrap type="none"/>
          </v:group>
        </w:pict>
      </w:r>
      <w:r>
        <w:rPr>
          <w:b/>
          <w:sz w:val="18"/>
        </w:rPr>
        <w:t>10</w:t>
        <w:tab/>
      </w:r>
      <w:r>
        <w:rPr>
          <w:spacing w:val="-1"/>
          <w:sz w:val="18"/>
        </w:rPr>
        <w:t>10</w:t>
      </w:r>
    </w:p>
    <w:p>
      <w:pPr>
        <w:pStyle w:val="BodyText"/>
        <w:spacing w:line="20" w:lineRule="exact"/>
        <w:ind w:left="7424"/>
        <w:rPr>
          <w:sz w:val="2"/>
        </w:rPr>
      </w:pPr>
      <w:r>
        <w:rPr>
          <w:sz w:val="2"/>
        </w:rPr>
        <w:pict>
          <v:group style="width:129.75pt;height:1pt;mso-position-horizontal-relative:char;mso-position-vertical-relative:line" coordorigin="0,0" coordsize="2595,20">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16" to="1298,16" stroked="true" strokeweight=".12pt" strokecolor="#000000"/>
            <v:line style="position:absolute" from="2,18" to="1298,18"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16" to="2594,16" stroked="true" strokeweight=".12pt" strokecolor="#000000"/>
            <v:line style="position:absolute" from="1298,18" to="2594,18" stroked="true" strokeweight=".12pt" strokecolor="#000000"/>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16" to="1298,16" stroked="true" strokeweight=".12pt" strokecolor="#000000"/>
            <v:line style="position:absolute" from="2,18" to="1298,18"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16" to="2594,16" stroked="true" strokeweight=".12pt" strokecolor="#000000"/>
            <v:line style="position:absolute" from="1298,18" to="2594,18" stroked="true" strokeweight=".12pt" strokecolor="#000000"/>
          </v:group>
        </w:pict>
      </w:r>
      <w:r>
        <w:rPr>
          <w:sz w:val="2"/>
        </w:rPr>
      </w:r>
    </w:p>
    <w:p>
      <w:pPr>
        <w:pStyle w:val="Heading9"/>
        <w:spacing w:before="111"/>
        <w:ind w:left="504" w:right="125"/>
      </w:pPr>
      <w:r>
        <w:rPr/>
        <w:t>Financial Liabilities</w:t>
      </w:r>
    </w:p>
    <w:p>
      <w:pPr>
        <w:pStyle w:val="BodyText"/>
        <w:tabs>
          <w:tab w:pos="8068" w:val="left" w:leader="none"/>
          <w:tab w:pos="9367" w:val="left" w:leader="none"/>
        </w:tabs>
        <w:spacing w:before="28"/>
        <w:ind w:right="212"/>
        <w:jc w:val="right"/>
      </w:pPr>
      <w:r>
        <w:rPr/>
        <w:pict>
          <v:group style="position:absolute;margin-left:416.204987pt;margin-top:13.006908pt;width:129.75pt;height:.550pt;mso-position-horizontal-relative:page;mso-position-vertical-relative:paragraph;z-index:4720;mso-wrap-distance-left:0;mso-wrap-distance-right:0" coordorigin="8324,260" coordsize="2595,11">
            <v:line style="position:absolute" from="8326,262" to="9622,262" stroked="true" strokeweight=".12pt" strokecolor="#000000"/>
            <v:line style="position:absolute" from="8326,264" to="9622,264" stroked="true" strokeweight=".12pt" strokecolor="#000000"/>
            <v:line style="position:absolute" from="8326,266" to="9622,266" stroked="true" strokeweight=".12pt" strokecolor="#000000"/>
            <v:line style="position:absolute" from="8326,269" to="9622,269" stroked="true" strokeweight=".12pt" strokecolor="#000000"/>
            <v:line style="position:absolute" from="9622,262" to="10918,262" stroked="true" strokeweight=".12pt" strokecolor="#000000"/>
            <v:line style="position:absolute" from="9622,264" to="10918,264" stroked="true" strokeweight=".12pt" strokecolor="#000000"/>
            <v:line style="position:absolute" from="9622,266" to="10918,266" stroked="true" strokeweight=".12pt" strokecolor="#000000"/>
            <v:line style="position:absolute" from="9622,269" to="10918,269" stroked="true" strokeweight=".12pt" strokecolor="#000000"/>
            <w10:wrap type="topAndBottom"/>
          </v:group>
        </w:pict>
      </w:r>
      <w:r>
        <w:rPr/>
        <w:t>Trade and</w:t>
      </w:r>
      <w:r>
        <w:rPr>
          <w:spacing w:val="-1"/>
        </w:rPr>
        <w:t> </w:t>
      </w:r>
      <w:r>
        <w:rPr/>
        <w:t>other</w:t>
      </w:r>
      <w:r>
        <w:rPr>
          <w:spacing w:val="-1"/>
        </w:rPr>
        <w:t> </w:t>
      </w:r>
      <w:r>
        <w:rPr/>
        <w:t>payables</w:t>
        <w:tab/>
      </w:r>
      <w:r>
        <w:rPr>
          <w:b/>
        </w:rPr>
        <w:t>-</w:t>
        <w:tab/>
      </w:r>
      <w:r>
        <w:rPr/>
        <w:t>-</w:t>
      </w:r>
    </w:p>
    <w:p>
      <w:pPr>
        <w:tabs>
          <w:tab w:pos="1298" w:val="left" w:leader="none"/>
        </w:tabs>
        <w:spacing w:before="0"/>
        <w:ind w:left="0" w:right="212" w:firstLine="0"/>
        <w:jc w:val="right"/>
        <w:rPr>
          <w:sz w:val="18"/>
        </w:rPr>
      </w:pPr>
      <w:r>
        <w:rPr>
          <w:b/>
          <w:sz w:val="18"/>
        </w:rPr>
        <w:t>-</w:t>
        <w:tab/>
      </w:r>
      <w:r>
        <w:rPr>
          <w:spacing w:val="-1"/>
          <w:sz w:val="18"/>
        </w:rPr>
        <w:t>-</w:t>
      </w:r>
    </w:p>
    <w:p>
      <w:pPr>
        <w:pStyle w:val="BodyText"/>
        <w:spacing w:line="20" w:lineRule="exact"/>
        <w:ind w:left="7424"/>
        <w:rPr>
          <w:sz w:val="2"/>
        </w:rPr>
      </w:pPr>
      <w:r>
        <w:rPr>
          <w:sz w:val="2"/>
        </w:rPr>
        <w:pict>
          <v:group style="width:129.75pt;height:1pt;mso-position-horizontal-relative:char;mso-position-vertical-relative:line" coordorigin="0,0" coordsize="2595,20">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16" to="1298,16" stroked="true" strokeweight=".12pt" strokecolor="#000000"/>
            <v:line style="position:absolute" from="2,18" to="1298,18"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16" to="2594,16" stroked="true" strokeweight=".12pt" strokecolor="#000000"/>
            <v:line style="position:absolute" from="1298,18" to="2594,18" stroked="true" strokeweight=".12pt" strokecolor="#000000"/>
          </v:group>
        </w:pict>
      </w:r>
      <w:r>
        <w:rPr>
          <w:sz w:val="2"/>
        </w:rPr>
      </w:r>
    </w:p>
    <w:p>
      <w:pPr>
        <w:pStyle w:val="BodyText"/>
        <w:spacing w:before="2"/>
      </w:pPr>
    </w:p>
    <w:p>
      <w:pPr>
        <w:pStyle w:val="Heading9"/>
        <w:numPr>
          <w:ilvl w:val="1"/>
          <w:numId w:val="54"/>
        </w:numPr>
        <w:tabs>
          <w:tab w:pos="1071" w:val="left" w:leader="none"/>
        </w:tabs>
        <w:spacing w:line="240" w:lineRule="auto" w:before="77" w:after="0"/>
        <w:ind w:left="1070" w:right="0" w:hanging="566"/>
        <w:jc w:val="left"/>
      </w:pPr>
      <w:r>
        <w:rPr/>
        <w:t>Credit</w:t>
      </w:r>
      <w:r>
        <w:rPr>
          <w:spacing w:val="-1"/>
        </w:rPr>
        <w:t> </w:t>
      </w:r>
      <w:r>
        <w:rPr/>
        <w:t>risk</w:t>
      </w:r>
    </w:p>
    <w:p>
      <w:pPr>
        <w:pStyle w:val="BodyText"/>
        <w:spacing w:before="146"/>
        <w:ind w:left="1072" w:right="115"/>
        <w:jc w:val="both"/>
      </w:pPr>
      <w:r>
        <w:rPr/>
        <w:t>The credit risk on financial assets of the Company which have been recognised on the statement of financial position is generally the carrying amount, net of provision for loss. Credit risk arises when there is the possibility of the Company's debtors defaulting on their contractual obligations, resulting in financial loss to the Company. The Company does not have any significant exposure to any unrelated debtor.</w:t>
      </w:r>
    </w:p>
    <w:p>
      <w:pPr>
        <w:pStyle w:val="BodyText"/>
        <w:spacing w:before="11"/>
        <w:rPr>
          <w:sz w:val="24"/>
        </w:rPr>
      </w:pPr>
    </w:p>
    <w:p>
      <w:pPr>
        <w:pStyle w:val="Heading9"/>
        <w:numPr>
          <w:ilvl w:val="1"/>
          <w:numId w:val="54"/>
        </w:numPr>
        <w:tabs>
          <w:tab w:pos="1071" w:val="left" w:leader="none"/>
        </w:tabs>
        <w:spacing w:line="240" w:lineRule="auto" w:before="0" w:after="0"/>
        <w:ind w:left="1070" w:right="0" w:hanging="566"/>
        <w:jc w:val="left"/>
      </w:pPr>
      <w:r>
        <w:rPr/>
        <w:t>Liquidity</w:t>
      </w:r>
      <w:r>
        <w:rPr>
          <w:spacing w:val="-9"/>
        </w:rPr>
        <w:t> </w:t>
      </w:r>
      <w:r>
        <w:rPr/>
        <w:t>risk</w:t>
      </w:r>
    </w:p>
    <w:p>
      <w:pPr>
        <w:pStyle w:val="BodyText"/>
        <w:spacing w:before="146"/>
        <w:ind w:left="1072" w:right="115"/>
        <w:jc w:val="both"/>
      </w:pPr>
      <w:r>
        <w:rPr/>
        <w:t>Prudent liquidity risk management implies maintaining sufficient cash and the availability of funding through an adequate amount of committed credit facilities to meet obligations when due. At the end of the reporting period the Company held deposits at call of $10 (2011: $10) that are expected to readily generate cash inflows for managing liquidity risk.</w:t>
      </w:r>
    </w:p>
    <w:p>
      <w:pPr>
        <w:spacing w:after="0"/>
        <w:jc w:val="both"/>
        <w:sectPr>
          <w:type w:val="continuous"/>
          <w:pgSz w:w="11910" w:h="16840"/>
          <w:pgMar w:top="0" w:bottom="280" w:left="900" w:right="860"/>
        </w:sectPr>
      </w:pPr>
    </w:p>
    <w:p>
      <w:pPr>
        <w:pStyle w:val="BodyText"/>
        <w:spacing w:before="1"/>
        <w:rPr>
          <w:sz w:val="24"/>
        </w:rPr>
      </w:pPr>
    </w:p>
    <w:p>
      <w:pPr>
        <w:pStyle w:val="Heading3"/>
      </w:pPr>
      <w:r>
        <w:rPr/>
        <w:t>Notes to the financial statements</w:t>
      </w:r>
    </w:p>
    <w:p>
      <w:pPr>
        <w:pStyle w:val="Heading6"/>
        <w:spacing w:before="53"/>
      </w:pPr>
      <w:r>
        <w:rPr/>
        <w:t>For the Year Ended 31 December 2012</w:t>
      </w:r>
    </w:p>
    <w:p>
      <w:pPr>
        <w:pStyle w:val="BodyText"/>
        <w:rPr>
          <w:b/>
          <w:sz w:val="22"/>
        </w:rPr>
      </w:pPr>
    </w:p>
    <w:p>
      <w:pPr>
        <w:pStyle w:val="BodyText"/>
        <w:rPr>
          <w:b/>
          <w:sz w:val="22"/>
        </w:rPr>
      </w:pPr>
    </w:p>
    <w:p>
      <w:pPr>
        <w:pStyle w:val="Heading9"/>
        <w:tabs>
          <w:tab w:pos="1070" w:val="left" w:leader="none"/>
        </w:tabs>
        <w:spacing w:before="161"/>
        <w:ind w:left="504" w:right="125"/>
      </w:pPr>
      <w:r>
        <w:rPr/>
        <w:t>2</w:t>
        <w:tab/>
        <w:t>Financial Risk Management</w:t>
      </w:r>
      <w:r>
        <w:rPr>
          <w:spacing w:val="3"/>
        </w:rPr>
        <w:t> </w:t>
      </w:r>
      <w:r>
        <w:rPr/>
        <w:t>(continued)</w:t>
      </w:r>
    </w:p>
    <w:p>
      <w:pPr>
        <w:pStyle w:val="BodyText"/>
        <w:spacing w:before="11"/>
        <w:rPr>
          <w:b/>
          <w:sz w:val="24"/>
        </w:rPr>
      </w:pPr>
    </w:p>
    <w:p>
      <w:pPr>
        <w:pStyle w:val="ListParagraph"/>
        <w:numPr>
          <w:ilvl w:val="1"/>
          <w:numId w:val="54"/>
        </w:numPr>
        <w:tabs>
          <w:tab w:pos="1071" w:val="left" w:leader="none"/>
        </w:tabs>
        <w:spacing w:line="240" w:lineRule="auto" w:before="0" w:after="0"/>
        <w:ind w:left="1070" w:right="0" w:hanging="566"/>
        <w:jc w:val="left"/>
        <w:rPr>
          <w:b/>
          <w:sz w:val="18"/>
        </w:rPr>
      </w:pPr>
      <w:r>
        <w:rPr>
          <w:b/>
          <w:sz w:val="18"/>
        </w:rPr>
        <w:t>Market</w:t>
      </w:r>
      <w:r>
        <w:rPr>
          <w:b/>
          <w:spacing w:val="-1"/>
          <w:sz w:val="18"/>
        </w:rPr>
        <w:t> </w:t>
      </w:r>
      <w:r>
        <w:rPr>
          <w:b/>
          <w:sz w:val="18"/>
        </w:rPr>
        <w:t>risk</w:t>
      </w:r>
    </w:p>
    <w:p>
      <w:pPr>
        <w:pStyle w:val="BodyText"/>
        <w:spacing w:before="146"/>
        <w:ind w:left="1072" w:right="125"/>
      </w:pPr>
      <w:r>
        <w:rPr/>
        <w:t>Market risk is the risk that the fair value or future cash flows of a financial instrument will fluctuate because of changes in market prices.</w:t>
      </w:r>
    </w:p>
    <w:p>
      <w:pPr>
        <w:pStyle w:val="ListParagraph"/>
        <w:numPr>
          <w:ilvl w:val="2"/>
          <w:numId w:val="54"/>
        </w:numPr>
        <w:tabs>
          <w:tab w:pos="1215" w:val="left" w:leader="none"/>
        </w:tabs>
        <w:spacing w:line="207" w:lineRule="exact" w:before="146" w:after="0"/>
        <w:ind w:left="1214" w:right="0" w:hanging="142"/>
        <w:jc w:val="both"/>
        <w:rPr>
          <w:i/>
          <w:sz w:val="18"/>
        </w:rPr>
      </w:pPr>
      <w:r>
        <w:rPr>
          <w:i/>
          <w:sz w:val="18"/>
        </w:rPr>
        <w:t>Cash flow and fair value interest</w:t>
      </w:r>
      <w:r>
        <w:rPr>
          <w:i/>
          <w:spacing w:val="5"/>
          <w:sz w:val="18"/>
        </w:rPr>
        <w:t> </w:t>
      </w:r>
      <w:r>
        <w:rPr>
          <w:i/>
          <w:sz w:val="18"/>
        </w:rPr>
        <w:t>rate</w:t>
      </w:r>
    </w:p>
    <w:p>
      <w:pPr>
        <w:pStyle w:val="BodyText"/>
        <w:spacing w:line="207" w:lineRule="exact"/>
        <w:ind w:left="1072"/>
        <w:jc w:val="both"/>
      </w:pPr>
      <w:r>
        <w:rPr/>
        <w:t>The Company's exposure to interest rate risk is minimal as it has no borrowings.</w:t>
      </w:r>
    </w:p>
    <w:p>
      <w:pPr>
        <w:pStyle w:val="ListParagraph"/>
        <w:numPr>
          <w:ilvl w:val="2"/>
          <w:numId w:val="54"/>
        </w:numPr>
        <w:tabs>
          <w:tab w:pos="1254" w:val="left" w:leader="none"/>
        </w:tabs>
        <w:spacing w:line="207" w:lineRule="exact" w:before="138" w:after="0"/>
        <w:ind w:left="1253" w:right="0" w:hanging="183"/>
        <w:jc w:val="both"/>
        <w:rPr>
          <w:i/>
          <w:sz w:val="18"/>
        </w:rPr>
      </w:pPr>
      <w:r>
        <w:rPr>
          <w:i/>
          <w:sz w:val="18"/>
        </w:rPr>
        <w:t>Summarised sensitivity</w:t>
      </w:r>
      <w:r>
        <w:rPr>
          <w:i/>
          <w:spacing w:val="1"/>
          <w:sz w:val="18"/>
        </w:rPr>
        <w:t> </w:t>
      </w:r>
      <w:r>
        <w:rPr>
          <w:i/>
          <w:sz w:val="18"/>
        </w:rPr>
        <w:t>analysis</w:t>
      </w:r>
    </w:p>
    <w:p>
      <w:pPr>
        <w:pStyle w:val="BodyText"/>
        <w:ind w:left="1070" w:right="116"/>
        <w:jc w:val="both"/>
      </w:pPr>
      <w:r>
        <w:rPr/>
        <w:t>The following table summarises the sensitivity of the Company's financial assets and financial liabilities to interest rate risk.  The Company's financial assets and financial liabilities are not subject to foreign exchange  risk and other price</w:t>
      </w:r>
      <w:r>
        <w:rPr>
          <w:spacing w:val="3"/>
        </w:rPr>
        <w:t> </w:t>
      </w:r>
      <w:r>
        <w:rPr/>
        <w:t>risk.</w:t>
      </w:r>
    </w:p>
    <w:p>
      <w:pPr>
        <w:spacing w:after="0"/>
        <w:jc w:val="both"/>
        <w:sectPr>
          <w:pgSz w:w="11910" w:h="16840"/>
          <w:pgMar w:header="1037" w:footer="563" w:top="1460" w:bottom="700" w:left="900" w:right="860"/>
        </w:sectPr>
      </w:pPr>
    </w:p>
    <w:p>
      <w:pPr>
        <w:pStyle w:val="BodyText"/>
        <w:spacing w:before="10"/>
        <w:rPr>
          <w:sz w:val="30"/>
        </w:rPr>
      </w:pPr>
    </w:p>
    <w:p>
      <w:pPr>
        <w:tabs>
          <w:tab w:pos="5102" w:val="left" w:leader="none"/>
        </w:tabs>
        <w:spacing w:line="208" w:lineRule="exact" w:before="0"/>
        <w:ind w:left="1070" w:right="0" w:firstLine="0"/>
        <w:jc w:val="left"/>
        <w:rPr>
          <w:sz w:val="16"/>
        </w:rPr>
      </w:pPr>
      <w:r>
        <w:rPr>
          <w:b/>
          <w:sz w:val="16"/>
        </w:rPr>
        <w:t>31</w:t>
      </w:r>
      <w:r>
        <w:rPr>
          <w:b/>
          <w:spacing w:val="-2"/>
          <w:sz w:val="16"/>
        </w:rPr>
        <w:t> </w:t>
      </w:r>
      <w:r>
        <w:rPr>
          <w:b/>
          <w:sz w:val="16"/>
        </w:rPr>
        <w:t>December</w:t>
      </w:r>
      <w:r>
        <w:rPr>
          <w:b/>
          <w:spacing w:val="-2"/>
          <w:sz w:val="16"/>
        </w:rPr>
        <w:t> </w:t>
      </w:r>
      <w:r>
        <w:rPr>
          <w:b/>
          <w:sz w:val="16"/>
        </w:rPr>
        <w:t>2012</w:t>
        <w:tab/>
      </w:r>
      <w:r>
        <w:rPr>
          <w:spacing w:val="-1"/>
          <w:position w:val="9"/>
          <w:sz w:val="16"/>
        </w:rPr>
        <w:t>Carrying</w:t>
      </w:r>
    </w:p>
    <w:p>
      <w:pPr>
        <w:pStyle w:val="BodyText"/>
        <w:rPr>
          <w:sz w:val="16"/>
        </w:rPr>
      </w:pPr>
      <w:r>
        <w:rPr/>
        <w:br w:type="column"/>
      </w:r>
      <w:r>
        <w:rPr>
          <w:sz w:val="16"/>
        </w:rPr>
      </w:r>
    </w:p>
    <w:p>
      <w:pPr>
        <w:pStyle w:val="BodyText"/>
        <w:spacing w:before="2"/>
        <w:rPr>
          <w:sz w:val="15"/>
        </w:rPr>
      </w:pPr>
    </w:p>
    <w:p>
      <w:pPr>
        <w:spacing w:before="0"/>
        <w:ind w:left="432" w:right="-16" w:firstLine="0"/>
        <w:jc w:val="left"/>
        <w:rPr>
          <w:sz w:val="16"/>
        </w:rPr>
      </w:pPr>
      <w:r>
        <w:rPr>
          <w:sz w:val="16"/>
        </w:rPr>
        <w:t>Surplus/</w:t>
      </w:r>
    </w:p>
    <w:p>
      <w:pPr>
        <w:pStyle w:val="BodyText"/>
        <w:spacing w:before="7"/>
        <w:rPr>
          <w:sz w:val="12"/>
        </w:rPr>
      </w:pPr>
      <w:r>
        <w:rPr/>
        <w:br w:type="column"/>
      </w:r>
      <w:r>
        <w:rPr>
          <w:sz w:val="12"/>
        </w:rPr>
      </w:r>
    </w:p>
    <w:p>
      <w:pPr>
        <w:tabs>
          <w:tab w:pos="1890" w:val="left" w:leader="none"/>
        </w:tabs>
        <w:spacing w:before="0"/>
        <w:ind w:left="-16" w:right="0" w:firstLine="0"/>
        <w:jc w:val="left"/>
        <w:rPr>
          <w:sz w:val="16"/>
        </w:rPr>
      </w:pPr>
      <w:r>
        <w:rPr>
          <w:sz w:val="16"/>
        </w:rPr>
        <w:t>-100bps</w:t>
        <w:tab/>
        <w:t>+100bps</w:t>
      </w:r>
    </w:p>
    <w:p>
      <w:pPr>
        <w:spacing w:before="29"/>
        <w:ind w:left="1379" w:right="1336" w:firstLine="0"/>
        <w:jc w:val="center"/>
        <w:rPr>
          <w:sz w:val="16"/>
        </w:rPr>
      </w:pPr>
      <w:r>
        <w:rPr>
          <w:sz w:val="16"/>
        </w:rPr>
        <w:t>Surplus/</w:t>
      </w:r>
    </w:p>
    <w:p>
      <w:pPr>
        <w:spacing w:after="0"/>
        <w:jc w:val="center"/>
        <w:rPr>
          <w:sz w:val="16"/>
        </w:rPr>
        <w:sectPr>
          <w:type w:val="continuous"/>
          <w:pgSz w:w="11910" w:h="16840"/>
          <w:pgMar w:top="0" w:bottom="280" w:left="900" w:right="860"/>
          <w:cols w:num="3" w:equalWidth="0">
            <w:col w:w="5705" w:space="40"/>
            <w:col w:w="1023" w:space="40"/>
            <w:col w:w="3342"/>
          </w:cols>
        </w:sectPr>
      </w:pPr>
    </w:p>
    <w:p>
      <w:pPr>
        <w:pStyle w:val="BodyText"/>
        <w:rPr>
          <w:sz w:val="16"/>
        </w:rPr>
      </w:pPr>
    </w:p>
    <w:p>
      <w:pPr>
        <w:pStyle w:val="BodyText"/>
        <w:spacing w:before="10"/>
        <w:rPr>
          <w:sz w:val="16"/>
        </w:rPr>
      </w:pPr>
    </w:p>
    <w:p>
      <w:pPr>
        <w:spacing w:before="0"/>
        <w:ind w:left="1070" w:right="-15" w:firstLine="0"/>
        <w:jc w:val="left"/>
        <w:rPr>
          <w:b/>
          <w:sz w:val="16"/>
        </w:rPr>
      </w:pPr>
      <w:r>
        <w:rPr>
          <w:b/>
          <w:sz w:val="16"/>
        </w:rPr>
        <w:t>Financial assets</w:t>
      </w:r>
    </w:p>
    <w:p>
      <w:pPr>
        <w:spacing w:line="164" w:lineRule="exact" w:before="0"/>
        <w:ind w:left="1070" w:right="0" w:firstLine="0"/>
        <w:jc w:val="center"/>
        <w:rPr>
          <w:sz w:val="16"/>
        </w:rPr>
      </w:pPr>
      <w:r>
        <w:rPr/>
        <w:br w:type="column"/>
      </w:r>
      <w:r>
        <w:rPr>
          <w:sz w:val="16"/>
        </w:rPr>
        <w:t>amount</w:t>
      </w:r>
    </w:p>
    <w:p>
      <w:pPr>
        <w:spacing w:before="1"/>
        <w:ind w:left="0" w:right="219" w:firstLine="0"/>
        <w:jc w:val="right"/>
        <w:rPr>
          <w:sz w:val="16"/>
        </w:rPr>
      </w:pPr>
      <w:r>
        <w:rPr>
          <w:w w:val="100"/>
          <w:sz w:val="16"/>
        </w:rPr>
        <w:t>$</w:t>
      </w:r>
    </w:p>
    <w:p>
      <w:pPr>
        <w:spacing w:line="164" w:lineRule="exact" w:before="0"/>
        <w:ind w:left="498" w:right="0" w:firstLine="0"/>
        <w:jc w:val="center"/>
        <w:rPr>
          <w:sz w:val="16"/>
        </w:rPr>
      </w:pPr>
      <w:r>
        <w:rPr/>
        <w:br w:type="column"/>
      </w:r>
      <w:r>
        <w:rPr>
          <w:sz w:val="16"/>
        </w:rPr>
        <w:t>(deficit)</w:t>
      </w:r>
    </w:p>
    <w:p>
      <w:pPr>
        <w:spacing w:before="1"/>
        <w:ind w:left="0" w:right="216" w:firstLine="0"/>
        <w:jc w:val="right"/>
        <w:rPr>
          <w:sz w:val="16"/>
        </w:rPr>
      </w:pPr>
      <w:r>
        <w:rPr>
          <w:w w:val="100"/>
          <w:sz w:val="16"/>
        </w:rPr>
        <w:t>$</w:t>
      </w:r>
    </w:p>
    <w:p>
      <w:pPr>
        <w:spacing w:line="164" w:lineRule="exact" w:before="0"/>
        <w:ind w:left="484" w:right="0" w:firstLine="0"/>
        <w:jc w:val="center"/>
        <w:rPr>
          <w:sz w:val="16"/>
        </w:rPr>
      </w:pPr>
      <w:r>
        <w:rPr/>
        <w:br w:type="column"/>
      </w:r>
      <w:r>
        <w:rPr>
          <w:sz w:val="16"/>
        </w:rPr>
        <w:t>Equity</w:t>
      </w:r>
    </w:p>
    <w:p>
      <w:pPr>
        <w:spacing w:before="1"/>
        <w:ind w:left="0" w:right="176" w:firstLine="0"/>
        <w:jc w:val="right"/>
        <w:rPr>
          <w:sz w:val="16"/>
        </w:rPr>
      </w:pPr>
      <w:r>
        <w:rPr>
          <w:w w:val="100"/>
          <w:sz w:val="16"/>
        </w:rPr>
        <w:t>$</w:t>
      </w:r>
    </w:p>
    <w:p>
      <w:pPr>
        <w:spacing w:line="164" w:lineRule="exact" w:before="0"/>
        <w:ind w:left="484" w:right="0" w:firstLine="0"/>
        <w:jc w:val="center"/>
        <w:rPr>
          <w:sz w:val="16"/>
        </w:rPr>
      </w:pPr>
      <w:r>
        <w:rPr/>
        <w:br w:type="column"/>
      </w:r>
      <w:r>
        <w:rPr>
          <w:sz w:val="16"/>
        </w:rPr>
        <w:t>(deficit)</w:t>
      </w:r>
    </w:p>
    <w:p>
      <w:pPr>
        <w:spacing w:before="1"/>
        <w:ind w:left="0" w:right="216" w:firstLine="0"/>
        <w:jc w:val="right"/>
        <w:rPr>
          <w:sz w:val="16"/>
        </w:rPr>
      </w:pPr>
      <w:r>
        <w:rPr>
          <w:w w:val="100"/>
          <w:sz w:val="16"/>
        </w:rPr>
        <w:t>$</w:t>
      </w:r>
    </w:p>
    <w:p>
      <w:pPr>
        <w:spacing w:line="164" w:lineRule="exact" w:before="0"/>
        <w:ind w:left="287" w:right="212" w:firstLine="0"/>
        <w:jc w:val="center"/>
        <w:rPr>
          <w:sz w:val="16"/>
        </w:rPr>
      </w:pPr>
      <w:r>
        <w:rPr/>
        <w:br w:type="column"/>
      </w:r>
      <w:r>
        <w:rPr>
          <w:sz w:val="16"/>
        </w:rPr>
        <w:t>Equity</w:t>
      </w:r>
    </w:p>
    <w:p>
      <w:pPr>
        <w:spacing w:before="1"/>
        <w:ind w:left="76" w:right="0" w:firstLine="0"/>
        <w:jc w:val="center"/>
        <w:rPr>
          <w:sz w:val="16"/>
        </w:rPr>
      </w:pPr>
      <w:r>
        <w:rPr>
          <w:w w:val="100"/>
          <w:sz w:val="16"/>
        </w:rPr>
        <w:t>$</w:t>
      </w:r>
    </w:p>
    <w:p>
      <w:pPr>
        <w:spacing w:after="0"/>
        <w:jc w:val="center"/>
        <w:rPr>
          <w:sz w:val="16"/>
        </w:rPr>
        <w:sectPr>
          <w:type w:val="continuous"/>
          <w:pgSz w:w="11910" w:h="16840"/>
          <w:pgMar w:top="0" w:bottom="280" w:left="900" w:right="860"/>
          <w:cols w:num="6" w:equalWidth="0">
            <w:col w:w="2312" w:space="1751"/>
            <w:col w:w="1608" w:space="40"/>
            <w:col w:w="1028" w:space="40"/>
            <w:col w:w="933" w:space="40"/>
            <w:col w:w="1014" w:space="40"/>
            <w:col w:w="1344"/>
          </w:cols>
        </w:sectPr>
      </w:pPr>
    </w:p>
    <w:p>
      <w:pPr>
        <w:tabs>
          <w:tab w:pos="4840" w:val="left" w:leader="none"/>
          <w:tab w:pos="5707" w:val="left" w:leader="none"/>
          <w:tab w:pos="5968" w:val="left" w:leader="none"/>
          <w:tab w:pos="6847" w:val="left" w:leader="none"/>
          <w:tab w:pos="7859" w:val="left" w:leader="none"/>
          <w:tab w:pos="8872" w:val="left" w:leader="none"/>
          <w:tab w:pos="9885" w:val="left" w:leader="none"/>
        </w:tabs>
        <w:spacing w:line="254" w:lineRule="auto" w:before="1"/>
        <w:ind w:left="1070" w:right="123" w:firstLine="0"/>
        <w:jc w:val="both"/>
        <w:rPr>
          <w:b/>
          <w:sz w:val="16"/>
        </w:rPr>
      </w:pPr>
      <w:r>
        <w:rPr>
          <w:sz w:val="16"/>
        </w:rPr>
        <w:t>Cash and</w:t>
      </w:r>
      <w:r>
        <w:rPr>
          <w:spacing w:val="-4"/>
          <w:sz w:val="16"/>
        </w:rPr>
        <w:t> </w:t>
      </w:r>
      <w:r>
        <w:rPr>
          <w:sz w:val="16"/>
        </w:rPr>
        <w:t>cash</w:t>
      </w:r>
      <w:r>
        <w:rPr>
          <w:spacing w:val="-2"/>
          <w:sz w:val="16"/>
        </w:rPr>
        <w:t> </w:t>
      </w:r>
      <w:r>
        <w:rPr>
          <w:sz w:val="16"/>
        </w:rPr>
        <w:t>equivalents</w:t>
        <w:tab/>
      </w:r>
      <w:r>
        <w:rPr>
          <w:rFonts w:ascii="Times New Roman"/>
          <w:sz w:val="16"/>
          <w:u w:val="single"/>
        </w:rPr>
        <w:t> </w:t>
        <w:tab/>
      </w:r>
      <w:r>
        <w:rPr>
          <w:sz w:val="16"/>
          <w:u w:val="single"/>
        </w:rPr>
        <w:t>10</w:t>
        <w:tab/>
        <w:tab/>
        <w:t>-</w:t>
        <w:tab/>
        <w:t>-</w:t>
        <w:tab/>
        <w:t>-</w:t>
        <w:tab/>
        <w:t>- </w:t>
      </w:r>
      <w:r>
        <w:rPr>
          <w:sz w:val="16"/>
        </w:rPr>
        <w:t>Total increase/(decrease) in</w:t>
      </w:r>
      <w:r>
        <w:rPr>
          <w:spacing w:val="7"/>
          <w:sz w:val="16"/>
        </w:rPr>
        <w:t> </w:t>
      </w:r>
      <w:r>
        <w:rPr>
          <w:sz w:val="16"/>
        </w:rPr>
        <w:t>financial</w:t>
      </w:r>
      <w:r>
        <w:rPr>
          <w:spacing w:val="2"/>
          <w:sz w:val="16"/>
        </w:rPr>
        <w:t> </w:t>
      </w:r>
      <w:r>
        <w:rPr>
          <w:sz w:val="16"/>
        </w:rPr>
        <w:t>assets</w:t>
        <w:tab/>
        <w:tab/>
        <w:tab/>
      </w:r>
      <w:r>
        <w:rPr>
          <w:rFonts w:ascii="Times New Roman"/>
          <w:sz w:val="16"/>
          <w:u w:val="single"/>
        </w:rPr>
        <w:t> </w:t>
        <w:tab/>
      </w:r>
      <w:r>
        <w:rPr>
          <w:sz w:val="16"/>
          <w:u w:val="single"/>
        </w:rPr>
        <w:t>-</w:t>
        <w:tab/>
        <w:t>-</w:t>
        <w:tab/>
        <w:t>-</w:t>
        <w:tab/>
        <w:t>- </w:t>
      </w:r>
      <w:r>
        <w:rPr>
          <w:b/>
          <w:sz w:val="16"/>
        </w:rPr>
        <w:t>Financial</w:t>
      </w:r>
      <w:r>
        <w:rPr>
          <w:b/>
          <w:spacing w:val="7"/>
          <w:sz w:val="16"/>
        </w:rPr>
        <w:t> </w:t>
      </w:r>
      <w:r>
        <w:rPr>
          <w:b/>
          <w:sz w:val="16"/>
        </w:rPr>
        <w:t>liabilities</w:t>
      </w:r>
    </w:p>
    <w:p>
      <w:pPr>
        <w:tabs>
          <w:tab w:pos="4840" w:val="left" w:leader="none"/>
          <w:tab w:pos="5831" w:val="left" w:leader="none"/>
          <w:tab w:pos="6847" w:val="left" w:leader="none"/>
          <w:tab w:pos="7859" w:val="left" w:leader="none"/>
          <w:tab w:pos="8872" w:val="left" w:leader="none"/>
          <w:tab w:pos="9885" w:val="left" w:leader="none"/>
        </w:tabs>
        <w:spacing w:line="254" w:lineRule="auto" w:before="0"/>
        <w:ind w:left="1070" w:right="123" w:firstLine="0"/>
        <w:jc w:val="both"/>
        <w:rPr>
          <w:sz w:val="16"/>
        </w:rPr>
      </w:pPr>
      <w:r>
        <w:rPr>
          <w:sz w:val="16"/>
        </w:rPr>
        <w:t>Trade</w:t>
      </w:r>
      <w:r>
        <w:rPr>
          <w:spacing w:val="-3"/>
          <w:sz w:val="16"/>
        </w:rPr>
        <w:t> </w:t>
      </w:r>
      <w:r>
        <w:rPr>
          <w:sz w:val="16"/>
        </w:rPr>
        <w:t>payables</w:t>
        <w:tab/>
      </w:r>
      <w:r>
        <w:rPr>
          <w:rFonts w:ascii="Times New Roman"/>
          <w:sz w:val="16"/>
          <w:u w:val="single"/>
        </w:rPr>
        <w:t> </w:t>
        <w:tab/>
      </w:r>
      <w:r>
        <w:rPr>
          <w:sz w:val="16"/>
          <w:u w:val="single"/>
        </w:rPr>
        <w:t>-</w:t>
        <w:tab/>
        <w:t>-</w:t>
        <w:tab/>
        <w:t>-</w:t>
        <w:tab/>
        <w:t>-</w:t>
        <w:tab/>
        <w:t>- </w:t>
      </w:r>
      <w:r>
        <w:rPr>
          <w:sz w:val="16"/>
        </w:rPr>
        <w:t>Total increase/(decrease) in</w:t>
      </w:r>
      <w:r>
        <w:rPr>
          <w:spacing w:val="7"/>
          <w:sz w:val="16"/>
        </w:rPr>
        <w:t> </w:t>
      </w:r>
      <w:r>
        <w:rPr>
          <w:sz w:val="16"/>
        </w:rPr>
        <w:t>financial</w:t>
      </w:r>
      <w:r>
        <w:rPr>
          <w:spacing w:val="2"/>
          <w:sz w:val="16"/>
        </w:rPr>
        <w:t> </w:t>
      </w:r>
      <w:r>
        <w:rPr>
          <w:sz w:val="16"/>
        </w:rPr>
        <w:t>liabilities</w:t>
        <w:tab/>
        <w:tab/>
        <w:t>-</w:t>
      </w:r>
      <w:r>
        <w:rPr>
          <w:rFonts w:ascii="Times New Roman"/>
          <w:sz w:val="16"/>
          <w:u w:val="single"/>
        </w:rPr>
        <w:t> </w:t>
        <w:tab/>
      </w:r>
      <w:r>
        <w:rPr>
          <w:sz w:val="16"/>
          <w:u w:val="single"/>
        </w:rPr>
        <w:t>-</w:t>
        <w:tab/>
        <w:t>-</w:t>
        <w:tab/>
        <w:t>-</w:t>
        <w:tab/>
        <w:t>- </w:t>
      </w:r>
      <w:r>
        <w:rPr>
          <w:spacing w:val="-9"/>
          <w:sz w:val="16"/>
          <w:u w:val="single"/>
        </w:rPr>
        <w:t> </w:t>
      </w:r>
    </w:p>
    <w:p>
      <w:pPr>
        <w:tabs>
          <w:tab w:pos="5968" w:val="left" w:leader="none"/>
          <w:tab w:pos="6847" w:val="left" w:leader="none"/>
          <w:tab w:pos="7859" w:val="left" w:leader="none"/>
          <w:tab w:pos="8872" w:val="left" w:leader="none"/>
          <w:tab w:pos="9885" w:val="left" w:leader="none"/>
          <w:tab w:pos="10019" w:val="left" w:leader="none"/>
        </w:tabs>
        <w:spacing w:before="139"/>
        <w:ind w:left="1070" w:right="75" w:firstLine="0"/>
        <w:jc w:val="left"/>
        <w:rPr>
          <w:sz w:val="16"/>
        </w:rPr>
      </w:pPr>
      <w:r>
        <w:rPr>
          <w:sz w:val="16"/>
        </w:rPr>
        <w:t>Total</w:t>
      </w:r>
      <w:r>
        <w:rPr>
          <w:spacing w:val="2"/>
          <w:sz w:val="16"/>
        </w:rPr>
        <w:t> </w:t>
      </w:r>
      <w:r>
        <w:rPr>
          <w:sz w:val="16"/>
        </w:rPr>
        <w:t>increase/(decrease)</w:t>
        <w:tab/>
      </w:r>
      <w:r>
        <w:rPr>
          <w:rFonts w:ascii="Times New Roman"/>
          <w:sz w:val="16"/>
          <w:u w:val="single"/>
        </w:rPr>
        <w:t> </w:t>
        <w:tab/>
      </w:r>
      <w:r>
        <w:rPr>
          <w:sz w:val="16"/>
          <w:u w:val="single"/>
        </w:rPr>
        <w:t>-</w:t>
        <w:tab/>
        <w:t>-</w:t>
        <w:tab/>
        <w:t>-</w:t>
        <w:tab/>
        <w:t>-</w:t>
        <w:tab/>
      </w:r>
    </w:p>
    <w:p>
      <w:pPr>
        <w:spacing w:after="0"/>
        <w:jc w:val="left"/>
        <w:rPr>
          <w:sz w:val="16"/>
        </w:rPr>
        <w:sectPr>
          <w:type w:val="continuous"/>
          <w:pgSz w:w="11910" w:h="16840"/>
          <w:pgMar w:top="0" w:bottom="280" w:left="900" w:right="860"/>
        </w:sectPr>
      </w:pPr>
    </w:p>
    <w:p>
      <w:pPr>
        <w:pStyle w:val="BodyText"/>
        <w:spacing w:before="10"/>
        <w:rPr>
          <w:sz w:val="31"/>
        </w:rPr>
      </w:pPr>
    </w:p>
    <w:p>
      <w:pPr>
        <w:tabs>
          <w:tab w:pos="5102" w:val="left" w:leader="none"/>
        </w:tabs>
        <w:spacing w:line="208" w:lineRule="exact" w:before="0"/>
        <w:ind w:left="1070" w:right="0" w:firstLine="0"/>
        <w:jc w:val="left"/>
        <w:rPr>
          <w:sz w:val="16"/>
        </w:rPr>
      </w:pPr>
      <w:r>
        <w:rPr>
          <w:b/>
          <w:sz w:val="16"/>
        </w:rPr>
        <w:t>31</w:t>
      </w:r>
      <w:r>
        <w:rPr>
          <w:b/>
          <w:spacing w:val="-2"/>
          <w:sz w:val="16"/>
        </w:rPr>
        <w:t> </w:t>
      </w:r>
      <w:r>
        <w:rPr>
          <w:b/>
          <w:sz w:val="16"/>
        </w:rPr>
        <w:t>December</w:t>
      </w:r>
      <w:r>
        <w:rPr>
          <w:b/>
          <w:spacing w:val="-2"/>
          <w:sz w:val="16"/>
        </w:rPr>
        <w:t> </w:t>
      </w:r>
      <w:r>
        <w:rPr>
          <w:b/>
          <w:sz w:val="16"/>
        </w:rPr>
        <w:t>2011</w:t>
        <w:tab/>
      </w:r>
      <w:r>
        <w:rPr>
          <w:spacing w:val="-1"/>
          <w:position w:val="9"/>
          <w:sz w:val="16"/>
        </w:rPr>
        <w:t>Carrying</w:t>
      </w:r>
    </w:p>
    <w:p>
      <w:pPr>
        <w:pStyle w:val="BodyText"/>
        <w:rPr>
          <w:sz w:val="16"/>
        </w:rPr>
      </w:pPr>
      <w:r>
        <w:rPr/>
        <w:br w:type="column"/>
      </w:r>
      <w:r>
        <w:rPr>
          <w:sz w:val="16"/>
        </w:rPr>
      </w:r>
    </w:p>
    <w:p>
      <w:pPr>
        <w:pStyle w:val="BodyText"/>
        <w:spacing w:before="2"/>
        <w:rPr>
          <w:sz w:val="16"/>
        </w:rPr>
      </w:pPr>
    </w:p>
    <w:p>
      <w:pPr>
        <w:spacing w:before="0"/>
        <w:ind w:left="432" w:right="-16" w:firstLine="0"/>
        <w:jc w:val="left"/>
        <w:rPr>
          <w:sz w:val="16"/>
        </w:rPr>
      </w:pPr>
      <w:r>
        <w:rPr>
          <w:sz w:val="16"/>
        </w:rPr>
        <w:t>Surplus/</w:t>
      </w:r>
    </w:p>
    <w:p>
      <w:pPr>
        <w:pStyle w:val="BodyText"/>
        <w:spacing w:before="7"/>
        <w:rPr>
          <w:sz w:val="13"/>
        </w:rPr>
      </w:pPr>
      <w:r>
        <w:rPr/>
        <w:br w:type="column"/>
      </w:r>
      <w:r>
        <w:rPr>
          <w:sz w:val="13"/>
        </w:rPr>
      </w:r>
    </w:p>
    <w:p>
      <w:pPr>
        <w:tabs>
          <w:tab w:pos="1890" w:val="left" w:leader="none"/>
        </w:tabs>
        <w:spacing w:before="0"/>
        <w:ind w:left="-16" w:right="0" w:firstLine="0"/>
        <w:jc w:val="left"/>
        <w:rPr>
          <w:sz w:val="16"/>
        </w:rPr>
      </w:pPr>
      <w:r>
        <w:rPr>
          <w:sz w:val="16"/>
        </w:rPr>
        <w:t>-100bps</w:t>
        <w:tab/>
        <w:t>+100bps</w:t>
      </w:r>
    </w:p>
    <w:p>
      <w:pPr>
        <w:spacing w:before="29"/>
        <w:ind w:left="1379" w:right="1336" w:firstLine="0"/>
        <w:jc w:val="center"/>
        <w:rPr>
          <w:sz w:val="16"/>
        </w:rPr>
      </w:pPr>
      <w:r>
        <w:rPr>
          <w:sz w:val="16"/>
        </w:rPr>
        <w:t>Surplus/</w:t>
      </w:r>
    </w:p>
    <w:p>
      <w:pPr>
        <w:spacing w:after="0"/>
        <w:jc w:val="center"/>
        <w:rPr>
          <w:sz w:val="16"/>
        </w:rPr>
        <w:sectPr>
          <w:type w:val="continuous"/>
          <w:pgSz w:w="11910" w:h="16840"/>
          <w:pgMar w:top="0" w:bottom="280" w:left="900" w:right="860"/>
          <w:cols w:num="3" w:equalWidth="0">
            <w:col w:w="5705" w:space="40"/>
            <w:col w:w="1023" w:space="40"/>
            <w:col w:w="3342"/>
          </w:cols>
        </w:sectPr>
      </w:pPr>
    </w:p>
    <w:p>
      <w:pPr>
        <w:pStyle w:val="BodyText"/>
        <w:rPr>
          <w:sz w:val="16"/>
        </w:rPr>
      </w:pPr>
    </w:p>
    <w:p>
      <w:pPr>
        <w:pStyle w:val="BodyText"/>
        <w:spacing w:before="10"/>
        <w:rPr>
          <w:sz w:val="16"/>
        </w:rPr>
      </w:pPr>
    </w:p>
    <w:p>
      <w:pPr>
        <w:spacing w:before="0"/>
        <w:ind w:left="1070" w:right="-15" w:firstLine="0"/>
        <w:jc w:val="left"/>
        <w:rPr>
          <w:b/>
          <w:sz w:val="16"/>
        </w:rPr>
      </w:pPr>
      <w:r>
        <w:rPr>
          <w:b/>
          <w:sz w:val="16"/>
        </w:rPr>
        <w:t>Financial assets</w:t>
      </w:r>
    </w:p>
    <w:p>
      <w:pPr>
        <w:spacing w:line="164" w:lineRule="exact" w:before="0"/>
        <w:ind w:left="1070" w:right="0" w:firstLine="0"/>
        <w:jc w:val="center"/>
        <w:rPr>
          <w:sz w:val="16"/>
        </w:rPr>
      </w:pPr>
      <w:r>
        <w:rPr/>
        <w:br w:type="column"/>
      </w:r>
      <w:r>
        <w:rPr>
          <w:sz w:val="16"/>
        </w:rPr>
        <w:t>amount</w:t>
      </w:r>
    </w:p>
    <w:p>
      <w:pPr>
        <w:spacing w:before="1"/>
        <w:ind w:left="0" w:right="219" w:firstLine="0"/>
        <w:jc w:val="right"/>
        <w:rPr>
          <w:sz w:val="16"/>
        </w:rPr>
      </w:pPr>
      <w:r>
        <w:rPr>
          <w:w w:val="100"/>
          <w:sz w:val="16"/>
        </w:rPr>
        <w:t>$</w:t>
      </w:r>
    </w:p>
    <w:p>
      <w:pPr>
        <w:spacing w:line="164" w:lineRule="exact" w:before="0"/>
        <w:ind w:left="498" w:right="0" w:firstLine="0"/>
        <w:jc w:val="center"/>
        <w:rPr>
          <w:sz w:val="16"/>
        </w:rPr>
      </w:pPr>
      <w:r>
        <w:rPr/>
        <w:br w:type="column"/>
      </w:r>
      <w:r>
        <w:rPr>
          <w:sz w:val="16"/>
        </w:rPr>
        <w:t>(deficit)</w:t>
      </w:r>
    </w:p>
    <w:p>
      <w:pPr>
        <w:spacing w:before="1"/>
        <w:ind w:left="0" w:right="216" w:firstLine="0"/>
        <w:jc w:val="right"/>
        <w:rPr>
          <w:sz w:val="16"/>
        </w:rPr>
      </w:pPr>
      <w:r>
        <w:rPr>
          <w:w w:val="100"/>
          <w:sz w:val="16"/>
        </w:rPr>
        <w:t>$</w:t>
      </w:r>
    </w:p>
    <w:p>
      <w:pPr>
        <w:spacing w:line="164" w:lineRule="exact" w:before="0"/>
        <w:ind w:left="484" w:right="0" w:firstLine="0"/>
        <w:jc w:val="center"/>
        <w:rPr>
          <w:sz w:val="16"/>
        </w:rPr>
      </w:pPr>
      <w:r>
        <w:rPr/>
        <w:br w:type="column"/>
      </w:r>
      <w:r>
        <w:rPr>
          <w:sz w:val="16"/>
        </w:rPr>
        <w:t>Equity</w:t>
      </w:r>
    </w:p>
    <w:p>
      <w:pPr>
        <w:spacing w:before="1"/>
        <w:ind w:left="0" w:right="176" w:firstLine="0"/>
        <w:jc w:val="right"/>
        <w:rPr>
          <w:sz w:val="16"/>
        </w:rPr>
      </w:pPr>
      <w:r>
        <w:rPr>
          <w:w w:val="100"/>
          <w:sz w:val="16"/>
        </w:rPr>
        <w:t>$</w:t>
      </w:r>
    </w:p>
    <w:p>
      <w:pPr>
        <w:spacing w:line="164" w:lineRule="exact" w:before="0"/>
        <w:ind w:left="484" w:right="0" w:firstLine="0"/>
        <w:jc w:val="center"/>
        <w:rPr>
          <w:sz w:val="16"/>
        </w:rPr>
      </w:pPr>
      <w:r>
        <w:rPr/>
        <w:br w:type="column"/>
      </w:r>
      <w:r>
        <w:rPr>
          <w:sz w:val="16"/>
        </w:rPr>
        <w:t>(deficit)</w:t>
      </w:r>
    </w:p>
    <w:p>
      <w:pPr>
        <w:spacing w:before="1"/>
        <w:ind w:left="0" w:right="216" w:firstLine="0"/>
        <w:jc w:val="right"/>
        <w:rPr>
          <w:sz w:val="16"/>
        </w:rPr>
      </w:pPr>
      <w:r>
        <w:rPr>
          <w:w w:val="100"/>
          <w:sz w:val="16"/>
        </w:rPr>
        <w:t>$</w:t>
      </w:r>
    </w:p>
    <w:p>
      <w:pPr>
        <w:spacing w:line="164" w:lineRule="exact" w:before="0"/>
        <w:ind w:left="287" w:right="212" w:firstLine="0"/>
        <w:jc w:val="center"/>
        <w:rPr>
          <w:sz w:val="16"/>
        </w:rPr>
      </w:pPr>
      <w:r>
        <w:rPr/>
        <w:br w:type="column"/>
      </w:r>
      <w:r>
        <w:rPr>
          <w:sz w:val="16"/>
        </w:rPr>
        <w:t>Equity</w:t>
      </w:r>
    </w:p>
    <w:p>
      <w:pPr>
        <w:spacing w:before="1"/>
        <w:ind w:left="76" w:right="0" w:firstLine="0"/>
        <w:jc w:val="center"/>
        <w:rPr>
          <w:sz w:val="16"/>
        </w:rPr>
      </w:pPr>
      <w:r>
        <w:rPr>
          <w:w w:val="100"/>
          <w:sz w:val="16"/>
        </w:rPr>
        <w:t>$</w:t>
      </w:r>
    </w:p>
    <w:p>
      <w:pPr>
        <w:spacing w:after="0"/>
        <w:jc w:val="center"/>
        <w:rPr>
          <w:sz w:val="16"/>
        </w:rPr>
        <w:sectPr>
          <w:type w:val="continuous"/>
          <w:pgSz w:w="11910" w:h="16840"/>
          <w:pgMar w:top="0" w:bottom="280" w:left="900" w:right="860"/>
          <w:cols w:num="6" w:equalWidth="0">
            <w:col w:w="2312" w:space="1751"/>
            <w:col w:w="1608" w:space="40"/>
            <w:col w:w="1028" w:space="40"/>
            <w:col w:w="933" w:space="40"/>
            <w:col w:w="1014" w:space="40"/>
            <w:col w:w="1344"/>
          </w:cols>
        </w:sectPr>
      </w:pPr>
    </w:p>
    <w:p>
      <w:pPr>
        <w:tabs>
          <w:tab w:pos="4840" w:val="left" w:leader="none"/>
          <w:tab w:pos="5707" w:val="left" w:leader="none"/>
          <w:tab w:pos="5968" w:val="left" w:leader="none"/>
          <w:tab w:pos="6847" w:val="left" w:leader="none"/>
          <w:tab w:pos="7859" w:val="left" w:leader="none"/>
          <w:tab w:pos="8872" w:val="left" w:leader="none"/>
          <w:tab w:pos="9885" w:val="left" w:leader="none"/>
          <w:tab w:pos="10002" w:val="left" w:leader="none"/>
        </w:tabs>
        <w:spacing w:line="254" w:lineRule="auto" w:before="1"/>
        <w:ind w:left="1070" w:right="123" w:firstLine="0"/>
        <w:jc w:val="left"/>
        <w:rPr>
          <w:sz w:val="16"/>
        </w:rPr>
      </w:pPr>
      <w:r>
        <w:rPr>
          <w:sz w:val="16"/>
        </w:rPr>
        <w:t>Cash and</w:t>
      </w:r>
      <w:r>
        <w:rPr>
          <w:spacing w:val="-4"/>
          <w:sz w:val="16"/>
        </w:rPr>
        <w:t> </w:t>
      </w:r>
      <w:r>
        <w:rPr>
          <w:sz w:val="16"/>
        </w:rPr>
        <w:t>cash</w:t>
      </w:r>
      <w:r>
        <w:rPr>
          <w:spacing w:val="-2"/>
          <w:sz w:val="16"/>
        </w:rPr>
        <w:t> </w:t>
      </w:r>
      <w:r>
        <w:rPr>
          <w:sz w:val="16"/>
        </w:rPr>
        <w:t>equivalents</w:t>
        <w:tab/>
      </w:r>
      <w:r>
        <w:rPr>
          <w:rFonts w:ascii="Times New Roman"/>
          <w:sz w:val="16"/>
          <w:u w:val="single"/>
        </w:rPr>
        <w:t> </w:t>
        <w:tab/>
      </w:r>
      <w:r>
        <w:rPr>
          <w:sz w:val="16"/>
          <w:u w:val="single"/>
        </w:rPr>
        <w:t>10</w:t>
        <w:tab/>
        <w:tab/>
        <w:t>-</w:t>
        <w:tab/>
        <w:t>-</w:t>
        <w:tab/>
        <w:t>-</w:t>
        <w:tab/>
        <w:t>-</w:t>
        <w:tab/>
      </w:r>
      <w:r>
        <w:rPr>
          <w:sz w:val="16"/>
        </w:rPr>
        <w:t> Total increase/(decrease) in</w:t>
      </w:r>
      <w:r>
        <w:rPr>
          <w:spacing w:val="7"/>
          <w:sz w:val="16"/>
        </w:rPr>
        <w:t> </w:t>
      </w:r>
      <w:r>
        <w:rPr>
          <w:sz w:val="16"/>
        </w:rPr>
        <w:t>financial</w:t>
      </w:r>
      <w:r>
        <w:rPr>
          <w:spacing w:val="2"/>
          <w:sz w:val="16"/>
        </w:rPr>
        <w:t> </w:t>
      </w:r>
      <w:r>
        <w:rPr>
          <w:sz w:val="16"/>
        </w:rPr>
        <w:t>assets</w:t>
        <w:tab/>
        <w:tab/>
        <w:tab/>
      </w:r>
      <w:r>
        <w:rPr>
          <w:rFonts w:ascii="Times New Roman"/>
          <w:sz w:val="16"/>
          <w:u w:val="single"/>
        </w:rPr>
        <w:t> </w:t>
        <w:tab/>
      </w:r>
      <w:r>
        <w:rPr>
          <w:sz w:val="16"/>
          <w:u w:val="single"/>
        </w:rPr>
        <w:t>-</w:t>
        <w:tab/>
        <w:t>-</w:t>
        <w:tab/>
        <w:t>-</w:t>
        <w:tab/>
        <w:t>-</w:t>
        <w:tab/>
      </w:r>
      <w:r>
        <w:rPr>
          <w:w w:val="38"/>
          <w:sz w:val="16"/>
          <w:u w:val="single"/>
        </w:rPr>
        <w:t> </w:t>
      </w:r>
    </w:p>
    <w:p>
      <w:pPr>
        <w:spacing w:before="112"/>
        <w:ind w:left="1070" w:right="125" w:firstLine="0"/>
        <w:jc w:val="left"/>
        <w:rPr>
          <w:b/>
          <w:sz w:val="16"/>
        </w:rPr>
      </w:pPr>
      <w:r>
        <w:rPr>
          <w:b/>
          <w:sz w:val="16"/>
        </w:rPr>
        <w:t>Financial liabilities</w:t>
      </w:r>
    </w:p>
    <w:p>
      <w:pPr>
        <w:tabs>
          <w:tab w:pos="4840" w:val="left" w:leader="none"/>
          <w:tab w:pos="5831" w:val="left" w:leader="none"/>
          <w:tab w:pos="6847" w:val="left" w:leader="none"/>
          <w:tab w:pos="7859" w:val="left" w:leader="none"/>
          <w:tab w:pos="8872" w:val="left" w:leader="none"/>
          <w:tab w:pos="9885" w:val="left" w:leader="none"/>
          <w:tab w:pos="10002" w:val="left" w:leader="none"/>
        </w:tabs>
        <w:spacing w:line="254" w:lineRule="auto" w:before="1"/>
        <w:ind w:left="1070" w:right="123" w:firstLine="0"/>
        <w:jc w:val="left"/>
        <w:rPr>
          <w:sz w:val="16"/>
        </w:rPr>
      </w:pPr>
      <w:r>
        <w:rPr>
          <w:sz w:val="16"/>
        </w:rPr>
        <w:t>Trade</w:t>
      </w:r>
      <w:r>
        <w:rPr>
          <w:spacing w:val="-3"/>
          <w:sz w:val="16"/>
        </w:rPr>
        <w:t> </w:t>
      </w:r>
      <w:r>
        <w:rPr>
          <w:sz w:val="16"/>
        </w:rPr>
        <w:t>payables</w:t>
        <w:tab/>
      </w:r>
      <w:r>
        <w:rPr>
          <w:rFonts w:ascii="Times New Roman"/>
          <w:sz w:val="16"/>
          <w:u w:val="single"/>
        </w:rPr>
        <w:t> </w:t>
        <w:tab/>
      </w:r>
      <w:r>
        <w:rPr>
          <w:sz w:val="16"/>
          <w:u w:val="single"/>
        </w:rPr>
        <w:t>-</w:t>
        <w:tab/>
        <w:t>-</w:t>
        <w:tab/>
        <w:t>-</w:t>
        <w:tab/>
        <w:t>-</w:t>
        <w:tab/>
        <w:t>-</w:t>
        <w:tab/>
      </w:r>
      <w:r>
        <w:rPr>
          <w:sz w:val="16"/>
        </w:rPr>
        <w:t> Total increase/(decrease) in</w:t>
      </w:r>
      <w:r>
        <w:rPr>
          <w:spacing w:val="7"/>
          <w:sz w:val="16"/>
        </w:rPr>
        <w:t> </w:t>
      </w:r>
      <w:r>
        <w:rPr>
          <w:sz w:val="16"/>
        </w:rPr>
        <w:t>financial</w:t>
      </w:r>
      <w:r>
        <w:rPr>
          <w:spacing w:val="2"/>
          <w:sz w:val="16"/>
        </w:rPr>
        <w:t> </w:t>
      </w:r>
      <w:r>
        <w:rPr>
          <w:sz w:val="16"/>
        </w:rPr>
        <w:t>liabilities</w:t>
        <w:tab/>
        <w:tab/>
        <w:t>-</w:t>
      </w:r>
      <w:r>
        <w:rPr>
          <w:rFonts w:ascii="Times New Roman"/>
          <w:sz w:val="16"/>
          <w:u w:val="single"/>
        </w:rPr>
        <w:t> </w:t>
        <w:tab/>
      </w:r>
      <w:r>
        <w:rPr>
          <w:sz w:val="16"/>
          <w:u w:val="single"/>
        </w:rPr>
        <w:t>-</w:t>
        <w:tab/>
        <w:t>-</w:t>
        <w:tab/>
        <w:t>-</w:t>
        <w:tab/>
        <w:t>-</w:t>
        <w:tab/>
      </w:r>
      <w:r>
        <w:rPr>
          <w:w w:val="38"/>
          <w:sz w:val="16"/>
          <w:u w:val="single"/>
        </w:rPr>
        <w:t> </w:t>
      </w:r>
    </w:p>
    <w:p>
      <w:pPr>
        <w:tabs>
          <w:tab w:pos="5968" w:val="left" w:leader="none"/>
          <w:tab w:pos="6847" w:val="left" w:leader="none"/>
          <w:tab w:pos="7859" w:val="left" w:leader="none"/>
          <w:tab w:pos="8872" w:val="left" w:leader="none"/>
          <w:tab w:pos="9885" w:val="left" w:leader="none"/>
          <w:tab w:pos="10019" w:val="left" w:leader="none"/>
        </w:tabs>
        <w:spacing w:before="139"/>
        <w:ind w:left="1070" w:right="75" w:firstLine="0"/>
        <w:jc w:val="left"/>
        <w:rPr>
          <w:sz w:val="16"/>
        </w:rPr>
      </w:pPr>
      <w:r>
        <w:rPr>
          <w:sz w:val="16"/>
        </w:rPr>
        <w:t>Total</w:t>
      </w:r>
      <w:r>
        <w:rPr>
          <w:spacing w:val="2"/>
          <w:sz w:val="16"/>
        </w:rPr>
        <w:t> </w:t>
      </w:r>
      <w:r>
        <w:rPr>
          <w:sz w:val="16"/>
        </w:rPr>
        <w:t>increase/(decrease)</w:t>
        <w:tab/>
      </w:r>
      <w:r>
        <w:rPr>
          <w:rFonts w:ascii="Times New Roman"/>
          <w:sz w:val="16"/>
          <w:u w:val="single"/>
        </w:rPr>
        <w:t> </w:t>
        <w:tab/>
      </w:r>
      <w:r>
        <w:rPr>
          <w:sz w:val="16"/>
          <w:u w:val="single"/>
        </w:rPr>
        <w:t>-</w:t>
        <w:tab/>
        <w:t>-</w:t>
        <w:tab/>
        <w:t>-</w:t>
        <w:tab/>
        <w:t>-</w:t>
        <w:tab/>
      </w:r>
    </w:p>
    <w:p>
      <w:pPr>
        <w:pStyle w:val="BodyText"/>
        <w:spacing w:before="3"/>
        <w:rPr>
          <w:sz w:val="19"/>
        </w:rPr>
      </w:pPr>
    </w:p>
    <w:p>
      <w:pPr>
        <w:pStyle w:val="Heading9"/>
        <w:numPr>
          <w:ilvl w:val="0"/>
          <w:numId w:val="54"/>
        </w:numPr>
        <w:tabs>
          <w:tab w:pos="504" w:val="left" w:leader="none"/>
        </w:tabs>
        <w:spacing w:line="240" w:lineRule="auto" w:before="77" w:after="0"/>
        <w:ind w:left="504" w:right="0" w:hanging="394"/>
        <w:jc w:val="left"/>
      </w:pPr>
      <w:r>
        <w:rPr/>
        <w:t>Remuneration of Auditors</w:t>
      </w:r>
    </w:p>
    <w:p>
      <w:pPr>
        <w:pStyle w:val="BodyText"/>
        <w:spacing w:before="146"/>
        <w:ind w:left="504" w:right="125"/>
      </w:pPr>
      <w:r>
        <w:rPr/>
        <w:t>Audit fees of $1,600 for 2012 (2011: $1,520) will be paid by the ultimate parent entity.</w:t>
      </w:r>
    </w:p>
    <w:p>
      <w:pPr>
        <w:pStyle w:val="BodyText"/>
        <w:spacing w:before="3"/>
      </w:pPr>
    </w:p>
    <w:p>
      <w:pPr>
        <w:spacing w:after="0"/>
        <w:sectPr>
          <w:type w:val="continuous"/>
          <w:pgSz w:w="11910" w:h="16840"/>
          <w:pgMar w:top="0" w:bottom="280" w:left="900" w:right="860"/>
        </w:sectPr>
      </w:pPr>
    </w:p>
    <w:p>
      <w:pPr>
        <w:pStyle w:val="Heading9"/>
        <w:numPr>
          <w:ilvl w:val="0"/>
          <w:numId w:val="54"/>
        </w:numPr>
        <w:tabs>
          <w:tab w:pos="504" w:val="left" w:leader="none"/>
        </w:tabs>
        <w:spacing w:line="240" w:lineRule="auto" w:before="77" w:after="0"/>
        <w:ind w:left="504" w:right="0" w:hanging="394"/>
        <w:jc w:val="left"/>
      </w:pPr>
      <w:r>
        <w:rPr/>
        <w:t>Cash and cash</w:t>
      </w:r>
      <w:r>
        <w:rPr>
          <w:spacing w:val="-1"/>
        </w:rPr>
        <w:t> </w:t>
      </w:r>
      <w:r>
        <w:rPr/>
        <w:t>equivalents</w:t>
      </w:r>
    </w:p>
    <w:p>
      <w:pPr>
        <w:pStyle w:val="BodyText"/>
        <w:spacing w:before="7"/>
        <w:rPr>
          <w:b/>
          <w:sz w:val="24"/>
        </w:rPr>
      </w:pPr>
      <w:r>
        <w:rPr/>
        <w:br w:type="column"/>
      </w:r>
      <w:r>
        <w:rPr>
          <w:b/>
          <w:sz w:val="24"/>
        </w:rPr>
      </w:r>
    </w:p>
    <w:p>
      <w:pPr>
        <w:spacing w:line="207" w:lineRule="exact" w:before="1"/>
        <w:ind w:left="110" w:right="0" w:firstLine="0"/>
        <w:jc w:val="center"/>
        <w:rPr>
          <w:b/>
          <w:sz w:val="18"/>
        </w:rPr>
      </w:pPr>
      <w:r>
        <w:rPr>
          <w:b/>
          <w:sz w:val="18"/>
        </w:rPr>
        <w:t>2012</w:t>
      </w:r>
    </w:p>
    <w:p>
      <w:pPr>
        <w:spacing w:line="207" w:lineRule="exact" w:before="0"/>
        <w:ind w:left="109" w:right="0" w:firstLine="0"/>
        <w:jc w:val="center"/>
        <w:rPr>
          <w:b/>
          <w:sz w:val="18"/>
        </w:rPr>
      </w:pPr>
      <w:r>
        <w:rPr>
          <w:b/>
          <w:w w:val="99"/>
          <w:sz w:val="18"/>
        </w:rPr>
        <w:t>$</w:t>
      </w:r>
    </w:p>
    <w:p>
      <w:pPr>
        <w:pStyle w:val="BodyText"/>
        <w:spacing w:before="7"/>
        <w:rPr>
          <w:b/>
          <w:sz w:val="24"/>
        </w:rPr>
      </w:pPr>
      <w:r>
        <w:rPr/>
        <w:br w:type="column"/>
      </w:r>
      <w:r>
        <w:rPr>
          <w:b/>
          <w:sz w:val="24"/>
        </w:rPr>
      </w:r>
    </w:p>
    <w:p>
      <w:pPr>
        <w:spacing w:line="207" w:lineRule="exact" w:before="1"/>
        <w:ind w:left="94" w:right="568" w:firstLine="0"/>
        <w:jc w:val="center"/>
        <w:rPr>
          <w:b/>
          <w:sz w:val="18"/>
        </w:rPr>
      </w:pPr>
      <w:r>
        <w:rPr>
          <w:b/>
          <w:sz w:val="18"/>
        </w:rPr>
        <w:t>2011</w:t>
      </w:r>
    </w:p>
    <w:p>
      <w:pPr>
        <w:spacing w:line="207" w:lineRule="exact" w:before="0"/>
        <w:ind w:left="0" w:right="474"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2825" w:space="4937"/>
            <w:col w:w="514" w:space="770"/>
            <w:col w:w="1104"/>
          </w:cols>
        </w:sectPr>
      </w:pPr>
    </w:p>
    <w:p>
      <w:pPr>
        <w:pStyle w:val="BodyText"/>
        <w:tabs>
          <w:tab w:pos="6923" w:val="left" w:leader="none"/>
          <w:tab w:pos="7929" w:val="left" w:leader="none"/>
          <w:tab w:pos="9227" w:val="left" w:leader="none"/>
        </w:tabs>
        <w:spacing w:before="28"/>
        <w:ind w:right="209"/>
        <w:jc w:val="right"/>
      </w:pPr>
      <w:r>
        <w:rPr/>
        <w:t>Cash at bank and</w:t>
      </w:r>
      <w:r>
        <w:rPr>
          <w:spacing w:val="3"/>
        </w:rPr>
        <w:t> </w:t>
      </w:r>
      <w:r>
        <w:rPr/>
        <w:t>in hand</w:t>
        <w:tab/>
      </w:r>
      <w:r>
        <w:rPr>
          <w:rFonts w:ascii="Times New Roman"/>
          <w:u w:val="single"/>
        </w:rPr>
        <w:t> </w:t>
        <w:tab/>
      </w:r>
      <w:r>
        <w:rPr>
          <w:b/>
          <w:u w:val="single"/>
        </w:rPr>
        <w:t>10</w:t>
        <w:tab/>
      </w:r>
      <w:r>
        <w:rPr>
          <w:w w:val="95"/>
          <w:u w:val="single"/>
        </w:rPr>
        <w:t>10</w:t>
      </w:r>
    </w:p>
    <w:p>
      <w:pPr>
        <w:tabs>
          <w:tab w:pos="1005" w:val="left" w:leader="none"/>
          <w:tab w:pos="2303" w:val="left" w:leader="none"/>
        </w:tabs>
        <w:spacing w:before="9"/>
        <w:ind w:left="0" w:right="209" w:firstLine="0"/>
        <w:jc w:val="right"/>
        <w:rPr>
          <w:sz w:val="18"/>
        </w:rPr>
      </w:pPr>
      <w:r>
        <w:rPr>
          <w:rFonts w:ascii="Times New Roman"/>
          <w:sz w:val="18"/>
          <w:u w:val="single"/>
        </w:rPr>
        <w:t> </w:t>
        <w:tab/>
      </w:r>
      <w:r>
        <w:rPr>
          <w:b/>
          <w:sz w:val="18"/>
          <w:u w:val="single"/>
        </w:rPr>
        <w:t>10</w:t>
        <w:tab/>
      </w:r>
      <w:r>
        <w:rPr>
          <w:spacing w:val="-1"/>
          <w:sz w:val="18"/>
          <w:u w:val="single"/>
        </w:rPr>
        <w:t>10</w:t>
      </w:r>
    </w:p>
    <w:p>
      <w:pPr>
        <w:pStyle w:val="BodyText"/>
        <w:spacing w:before="4"/>
        <w:rPr>
          <w:sz w:val="14"/>
        </w:rPr>
      </w:pPr>
    </w:p>
    <w:p>
      <w:pPr>
        <w:pStyle w:val="Heading9"/>
        <w:numPr>
          <w:ilvl w:val="1"/>
          <w:numId w:val="54"/>
        </w:numPr>
        <w:tabs>
          <w:tab w:pos="1071" w:val="left" w:leader="none"/>
        </w:tabs>
        <w:spacing w:line="207" w:lineRule="exact" w:before="0" w:after="0"/>
        <w:ind w:left="1070" w:right="0" w:hanging="566"/>
        <w:jc w:val="left"/>
      </w:pPr>
      <w:r>
        <w:rPr/>
        <w:t>Risk</w:t>
      </w:r>
      <w:r>
        <w:rPr>
          <w:spacing w:val="-1"/>
        </w:rPr>
        <w:t> </w:t>
      </w:r>
      <w:r>
        <w:rPr/>
        <w:t>exposure</w:t>
      </w:r>
    </w:p>
    <w:p>
      <w:pPr>
        <w:pStyle w:val="BodyText"/>
        <w:ind w:left="1072" w:right="116"/>
        <w:jc w:val="both"/>
      </w:pPr>
      <w:r>
        <w:rPr/>
        <w:t>The Company's exposure to interest rate risk is discussed in note 2. The maximum exposure to credit risk at the end of each reporting period is the carrying amount of each class of cash and cash equivalents mentioned above.</w:t>
      </w:r>
    </w:p>
    <w:p>
      <w:pPr>
        <w:pStyle w:val="Heading9"/>
        <w:numPr>
          <w:ilvl w:val="1"/>
          <w:numId w:val="54"/>
        </w:numPr>
        <w:tabs>
          <w:tab w:pos="1071" w:val="left" w:leader="none"/>
        </w:tabs>
        <w:spacing w:line="207" w:lineRule="exact" w:before="146" w:after="0"/>
        <w:ind w:left="1070" w:right="0" w:hanging="566"/>
        <w:jc w:val="left"/>
      </w:pPr>
      <w:r>
        <w:rPr/>
        <w:t>Cash at bank and in hand</w:t>
      </w:r>
    </w:p>
    <w:p>
      <w:pPr>
        <w:pStyle w:val="BodyText"/>
        <w:spacing w:line="207" w:lineRule="exact"/>
        <w:ind w:left="1072"/>
        <w:jc w:val="both"/>
      </w:pPr>
      <w:r>
        <w:rPr/>
        <w:t>These are non-interest bearing.</w:t>
      </w:r>
    </w:p>
    <w:p>
      <w:pPr>
        <w:pStyle w:val="Heading9"/>
        <w:numPr>
          <w:ilvl w:val="1"/>
          <w:numId w:val="54"/>
        </w:numPr>
        <w:tabs>
          <w:tab w:pos="1071" w:val="left" w:leader="none"/>
        </w:tabs>
        <w:spacing w:line="207" w:lineRule="exact" w:before="146" w:after="0"/>
        <w:ind w:left="1070" w:right="0" w:hanging="566"/>
        <w:jc w:val="left"/>
      </w:pPr>
      <w:r>
        <w:rPr/>
        <w:t>Fair value</w:t>
      </w:r>
    </w:p>
    <w:p>
      <w:pPr>
        <w:pStyle w:val="BodyText"/>
        <w:spacing w:line="207" w:lineRule="exact"/>
        <w:ind w:left="1072"/>
        <w:jc w:val="both"/>
      </w:pPr>
      <w:r>
        <w:rPr/>
        <w:t>The carrying amount for cash and cash equivalents equals the fair value.</w:t>
      </w:r>
    </w:p>
    <w:p>
      <w:pPr>
        <w:spacing w:after="0" w:line="207" w:lineRule="exact"/>
        <w:jc w:val="both"/>
        <w:sectPr>
          <w:type w:val="continuous"/>
          <w:pgSz w:w="11910" w:h="16840"/>
          <w:pgMar w:top="0" w:bottom="280" w:left="900" w:right="860"/>
        </w:sectPr>
      </w:pPr>
    </w:p>
    <w:p>
      <w:pPr>
        <w:pStyle w:val="BodyText"/>
        <w:spacing w:before="1"/>
        <w:rPr>
          <w:sz w:val="24"/>
        </w:rPr>
      </w:pPr>
    </w:p>
    <w:p>
      <w:pPr>
        <w:pStyle w:val="Heading3"/>
      </w:pPr>
      <w:r>
        <w:rPr/>
        <w:t>Notes to the financial statements</w:t>
      </w:r>
    </w:p>
    <w:p>
      <w:pPr>
        <w:pStyle w:val="Heading6"/>
        <w:spacing w:before="53"/>
      </w:pPr>
      <w:r>
        <w:rPr/>
        <w:t>For the Year Ended 31 December 2012</w:t>
      </w:r>
    </w:p>
    <w:p>
      <w:pPr>
        <w:pStyle w:val="BodyText"/>
        <w:rPr>
          <w:b/>
          <w:sz w:val="22"/>
        </w:rPr>
      </w:pPr>
    </w:p>
    <w:p>
      <w:pPr>
        <w:pStyle w:val="BodyText"/>
        <w:rPr>
          <w:b/>
          <w:sz w:val="22"/>
        </w:rPr>
      </w:pPr>
    </w:p>
    <w:p>
      <w:pPr>
        <w:pStyle w:val="Heading9"/>
        <w:numPr>
          <w:ilvl w:val="0"/>
          <w:numId w:val="54"/>
        </w:numPr>
        <w:tabs>
          <w:tab w:pos="504" w:val="left" w:leader="none"/>
        </w:tabs>
        <w:spacing w:line="240" w:lineRule="auto" w:before="161" w:after="0"/>
        <w:ind w:left="504" w:right="0" w:hanging="394"/>
        <w:jc w:val="left"/>
      </w:pPr>
      <w:r>
        <w:rPr/>
        <w:t>Commitments</w:t>
      </w:r>
    </w:p>
    <w:p>
      <w:pPr>
        <w:pStyle w:val="BodyText"/>
        <w:spacing w:before="146"/>
        <w:ind w:left="504"/>
        <w:jc w:val="both"/>
      </w:pPr>
      <w:r>
        <w:rPr/>
        <w:t>The Company had no commitments at 31 December 2012 (31 December 2011: nil).</w:t>
      </w:r>
    </w:p>
    <w:p>
      <w:pPr>
        <w:pStyle w:val="BodyText"/>
        <w:spacing w:before="11"/>
        <w:rPr>
          <w:sz w:val="24"/>
        </w:rPr>
      </w:pPr>
    </w:p>
    <w:p>
      <w:pPr>
        <w:pStyle w:val="Heading9"/>
        <w:numPr>
          <w:ilvl w:val="0"/>
          <w:numId w:val="54"/>
        </w:numPr>
        <w:tabs>
          <w:tab w:pos="504" w:val="left" w:leader="none"/>
        </w:tabs>
        <w:spacing w:line="240" w:lineRule="auto" w:before="0" w:after="0"/>
        <w:ind w:left="504" w:right="0" w:hanging="394"/>
        <w:jc w:val="left"/>
      </w:pPr>
      <w:r>
        <w:rPr/>
        <w:t>Contingencies</w:t>
      </w:r>
    </w:p>
    <w:p>
      <w:pPr>
        <w:pStyle w:val="BodyText"/>
        <w:spacing w:before="146"/>
        <w:ind w:left="504" w:right="125"/>
      </w:pPr>
      <w:r>
        <w:rPr/>
        <w:t>In the opinion of the Director's, the Company did not have any contingencies at 31 December 2012 (31 December 2011:Nil).</w:t>
      </w:r>
    </w:p>
    <w:p>
      <w:pPr>
        <w:pStyle w:val="BodyText"/>
        <w:spacing w:before="11"/>
        <w:rPr>
          <w:sz w:val="24"/>
        </w:rPr>
      </w:pPr>
    </w:p>
    <w:p>
      <w:pPr>
        <w:pStyle w:val="Heading9"/>
        <w:numPr>
          <w:ilvl w:val="0"/>
          <w:numId w:val="54"/>
        </w:numPr>
        <w:tabs>
          <w:tab w:pos="504" w:val="left" w:leader="none"/>
        </w:tabs>
        <w:spacing w:line="240" w:lineRule="auto" w:before="0" w:after="0"/>
        <w:ind w:left="504" w:right="0" w:hanging="394"/>
        <w:jc w:val="left"/>
      </w:pPr>
      <w:r>
        <w:rPr/>
        <w:t>Key Management Personnel</w:t>
      </w:r>
      <w:r>
        <w:rPr>
          <w:spacing w:val="-10"/>
        </w:rPr>
        <w:t> </w:t>
      </w:r>
      <w:r>
        <w:rPr/>
        <w:t>Disclosures</w:t>
      </w:r>
    </w:p>
    <w:p>
      <w:pPr>
        <w:pStyle w:val="BodyText"/>
        <w:spacing w:before="146"/>
        <w:ind w:left="504" w:right="125"/>
      </w:pPr>
      <w:r>
        <w:rPr/>
        <w:t>No remuneration has been paid to the key management personnel of  University  of Western Sydney Foundation Limited during the year (2011: nil).</w:t>
      </w:r>
    </w:p>
    <w:p>
      <w:pPr>
        <w:pStyle w:val="BodyText"/>
        <w:spacing w:before="11"/>
        <w:rPr>
          <w:sz w:val="24"/>
        </w:rPr>
      </w:pPr>
    </w:p>
    <w:p>
      <w:pPr>
        <w:pStyle w:val="Heading9"/>
        <w:numPr>
          <w:ilvl w:val="0"/>
          <w:numId w:val="54"/>
        </w:numPr>
        <w:tabs>
          <w:tab w:pos="504" w:val="left" w:leader="none"/>
        </w:tabs>
        <w:spacing w:line="240" w:lineRule="auto" w:before="0" w:after="0"/>
        <w:ind w:left="504" w:right="0" w:hanging="394"/>
        <w:jc w:val="left"/>
      </w:pPr>
      <w:r>
        <w:rPr/>
        <w:t>Related party</w:t>
      </w:r>
      <w:r>
        <w:rPr>
          <w:spacing w:val="-10"/>
        </w:rPr>
        <w:t> </w:t>
      </w:r>
      <w:r>
        <w:rPr/>
        <w:t>transactions</w:t>
      </w:r>
    </w:p>
    <w:p>
      <w:pPr>
        <w:pStyle w:val="ListParagraph"/>
        <w:numPr>
          <w:ilvl w:val="1"/>
          <w:numId w:val="54"/>
        </w:numPr>
        <w:tabs>
          <w:tab w:pos="1071" w:val="left" w:leader="none"/>
        </w:tabs>
        <w:spacing w:line="240" w:lineRule="auto" w:before="146" w:after="0"/>
        <w:ind w:left="1070" w:right="0" w:hanging="566"/>
        <w:jc w:val="both"/>
        <w:rPr>
          <w:b/>
          <w:sz w:val="18"/>
        </w:rPr>
      </w:pPr>
      <w:r>
        <w:rPr>
          <w:b/>
          <w:sz w:val="18"/>
        </w:rPr>
        <w:t>Parent entity</w:t>
      </w:r>
    </w:p>
    <w:p>
      <w:pPr>
        <w:pStyle w:val="BodyText"/>
        <w:spacing w:before="146"/>
        <w:ind w:left="1072" w:right="125"/>
      </w:pPr>
      <w:r>
        <w:rPr/>
        <w:t>The ultimate parent entity of the Company is University of Western Sydney.</w:t>
      </w:r>
    </w:p>
    <w:p>
      <w:pPr>
        <w:pStyle w:val="Heading9"/>
        <w:numPr>
          <w:ilvl w:val="1"/>
          <w:numId w:val="54"/>
        </w:numPr>
        <w:tabs>
          <w:tab w:pos="1071" w:val="left" w:leader="none"/>
        </w:tabs>
        <w:spacing w:line="240" w:lineRule="auto" w:before="146" w:after="0"/>
        <w:ind w:left="1070" w:right="0" w:hanging="566"/>
        <w:jc w:val="both"/>
      </w:pPr>
      <w:r>
        <w:rPr/>
        <w:t>Transactions with related</w:t>
      </w:r>
      <w:r>
        <w:rPr>
          <w:spacing w:val="3"/>
        </w:rPr>
        <w:t> </w:t>
      </w:r>
      <w:r>
        <w:rPr/>
        <w:t>parties</w:t>
      </w:r>
    </w:p>
    <w:p>
      <w:pPr>
        <w:pStyle w:val="BodyText"/>
        <w:spacing w:before="146"/>
        <w:ind w:left="1072" w:right="125"/>
      </w:pPr>
      <w:r>
        <w:rPr/>
        <w:t>There were no transactions with related parties in 2012.</w:t>
      </w:r>
    </w:p>
    <w:p>
      <w:pPr>
        <w:pStyle w:val="BodyText"/>
        <w:spacing w:before="11"/>
        <w:rPr>
          <w:sz w:val="24"/>
        </w:rPr>
      </w:pPr>
    </w:p>
    <w:p>
      <w:pPr>
        <w:pStyle w:val="Heading9"/>
        <w:tabs>
          <w:tab w:pos="503" w:val="left" w:leader="none"/>
        </w:tabs>
        <w:ind w:left="110" w:right="125"/>
      </w:pPr>
      <w:r>
        <w:rPr>
          <w:b w:val="0"/>
        </w:rPr>
        <w:t>9</w:t>
        <w:tab/>
      </w:r>
      <w:r>
        <w:rPr/>
        <w:t>Economic</w:t>
      </w:r>
      <w:r>
        <w:rPr>
          <w:spacing w:val="1"/>
        </w:rPr>
        <w:t> </w:t>
      </w:r>
      <w:r>
        <w:rPr/>
        <w:t>dependency</w:t>
      </w:r>
    </w:p>
    <w:p>
      <w:pPr>
        <w:pStyle w:val="BodyText"/>
        <w:spacing w:before="146"/>
        <w:ind w:left="503" w:right="125"/>
      </w:pPr>
      <w:r>
        <w:rPr/>
        <w:t>The Company is economically dependent on the University of Western Sydney for the provision of office accommodation and support activities.</w:t>
      </w:r>
    </w:p>
    <w:p>
      <w:pPr>
        <w:pStyle w:val="BodyText"/>
        <w:spacing w:before="11"/>
        <w:rPr>
          <w:sz w:val="24"/>
        </w:rPr>
      </w:pPr>
    </w:p>
    <w:p>
      <w:pPr>
        <w:pStyle w:val="Heading9"/>
        <w:numPr>
          <w:ilvl w:val="0"/>
          <w:numId w:val="55"/>
        </w:numPr>
        <w:tabs>
          <w:tab w:pos="504" w:val="left" w:leader="none"/>
        </w:tabs>
        <w:spacing w:line="240" w:lineRule="auto" w:before="0" w:after="0"/>
        <w:ind w:left="504" w:right="0" w:hanging="394"/>
        <w:jc w:val="left"/>
      </w:pPr>
      <w:r>
        <w:rPr/>
        <w:t>Events occurring after the reporting</w:t>
      </w:r>
      <w:r>
        <w:rPr>
          <w:spacing w:val="-1"/>
        </w:rPr>
        <w:t> </w:t>
      </w:r>
      <w:r>
        <w:rPr/>
        <w:t>date</w:t>
      </w:r>
    </w:p>
    <w:p>
      <w:pPr>
        <w:pStyle w:val="BodyText"/>
        <w:spacing w:before="146"/>
        <w:ind w:left="504" w:right="114"/>
        <w:jc w:val="both"/>
      </w:pPr>
      <w:r>
        <w:rPr/>
        <w:t>No matters or circumstances have arisen since the end of the financial year which significantly affected or may significantly affect the operations of the Company, the results of those operations, or the state of affairs of the  Company in future financial</w:t>
      </w:r>
      <w:r>
        <w:rPr>
          <w:spacing w:val="1"/>
        </w:rPr>
        <w:t> </w:t>
      </w:r>
      <w:r>
        <w:rPr/>
        <w:t>years.</w:t>
      </w:r>
    </w:p>
    <w:p>
      <w:pPr>
        <w:pStyle w:val="BodyText"/>
        <w:spacing w:before="3"/>
      </w:pPr>
    </w:p>
    <w:p>
      <w:pPr>
        <w:spacing w:after="0"/>
        <w:sectPr>
          <w:pgSz w:w="11910" w:h="16840"/>
          <w:pgMar w:header="1037" w:footer="563" w:top="1460" w:bottom="700" w:left="900" w:right="860"/>
        </w:sectPr>
      </w:pPr>
    </w:p>
    <w:p>
      <w:pPr>
        <w:pStyle w:val="Heading9"/>
        <w:numPr>
          <w:ilvl w:val="0"/>
          <w:numId w:val="55"/>
        </w:numPr>
        <w:tabs>
          <w:tab w:pos="504" w:val="left" w:leader="none"/>
        </w:tabs>
        <w:spacing w:line="240" w:lineRule="auto" w:before="77" w:after="0"/>
        <w:ind w:left="504" w:right="0" w:hanging="394"/>
        <w:jc w:val="left"/>
      </w:pPr>
      <w:r>
        <w:rPr/>
        <w:t>Reconciliation of surplus/(deficit) to net cash inflow from operating activities</w:t>
      </w:r>
    </w:p>
    <w:p>
      <w:pPr>
        <w:pStyle w:val="BodyText"/>
        <w:rPr>
          <w:b/>
        </w:rPr>
      </w:pPr>
      <w:r>
        <w:rPr/>
        <w:br w:type="column"/>
      </w:r>
      <w:r>
        <w:rPr>
          <w:b/>
        </w:rPr>
      </w:r>
    </w:p>
    <w:p>
      <w:pPr>
        <w:spacing w:before="110"/>
        <w:ind w:left="110" w:right="0" w:firstLine="0"/>
        <w:jc w:val="center"/>
        <w:rPr>
          <w:b/>
          <w:sz w:val="18"/>
        </w:rPr>
      </w:pPr>
      <w:r>
        <w:rPr>
          <w:b/>
          <w:sz w:val="18"/>
        </w:rPr>
        <w:t>2012</w:t>
      </w:r>
    </w:p>
    <w:p>
      <w:pPr>
        <w:spacing w:before="66"/>
        <w:ind w:left="109" w:right="0" w:firstLine="0"/>
        <w:jc w:val="center"/>
        <w:rPr>
          <w:b/>
          <w:sz w:val="18"/>
        </w:rPr>
      </w:pPr>
      <w:r>
        <w:rPr>
          <w:b/>
          <w:w w:val="99"/>
          <w:sz w:val="18"/>
        </w:rPr>
        <w:t>$</w:t>
      </w:r>
    </w:p>
    <w:p>
      <w:pPr>
        <w:pStyle w:val="BodyText"/>
        <w:rPr>
          <w:b/>
        </w:rPr>
      </w:pPr>
      <w:r>
        <w:rPr/>
        <w:br w:type="column"/>
      </w:r>
      <w:r>
        <w:rPr>
          <w:b/>
        </w:rPr>
      </w:r>
    </w:p>
    <w:p>
      <w:pPr>
        <w:spacing w:before="110"/>
        <w:ind w:left="95" w:right="569" w:firstLine="0"/>
        <w:jc w:val="center"/>
        <w:rPr>
          <w:b/>
          <w:sz w:val="18"/>
        </w:rPr>
      </w:pPr>
      <w:r>
        <w:rPr>
          <w:b/>
          <w:sz w:val="18"/>
        </w:rPr>
        <w:t>2011</w:t>
      </w:r>
    </w:p>
    <w:p>
      <w:pPr>
        <w:spacing w:before="66"/>
        <w:ind w:left="0" w:right="474" w:firstLine="0"/>
        <w:jc w:val="center"/>
        <w:rPr>
          <w:b/>
          <w:sz w:val="18"/>
        </w:rPr>
      </w:pPr>
      <w:r>
        <w:rPr>
          <w:b/>
          <w:w w:val="99"/>
          <w:sz w:val="18"/>
        </w:rPr>
        <w:t>$</w:t>
      </w:r>
    </w:p>
    <w:p>
      <w:pPr>
        <w:spacing w:after="0"/>
        <w:jc w:val="center"/>
        <w:rPr>
          <w:sz w:val="18"/>
        </w:rPr>
        <w:sectPr>
          <w:type w:val="continuous"/>
          <w:pgSz w:w="11910" w:h="16840"/>
          <w:pgMar w:top="0" w:bottom="280" w:left="900" w:right="860"/>
          <w:cols w:num="3" w:equalWidth="0">
            <w:col w:w="7096" w:space="665"/>
            <w:col w:w="514" w:space="770"/>
            <w:col w:w="1105"/>
          </w:cols>
        </w:sectPr>
      </w:pPr>
    </w:p>
    <w:p>
      <w:pPr>
        <w:pStyle w:val="BodyText"/>
        <w:tabs>
          <w:tab w:pos="8575" w:val="left" w:leader="none"/>
          <w:tab w:pos="9873" w:val="left" w:leader="none"/>
        </w:tabs>
        <w:spacing w:line="207" w:lineRule="exact" w:before="33"/>
        <w:ind w:left="504" w:right="125"/>
      </w:pPr>
      <w:r>
        <w:rPr/>
        <w:t>Surplus for</w:t>
      </w:r>
      <w:r>
        <w:rPr>
          <w:spacing w:val="-1"/>
        </w:rPr>
        <w:t> </w:t>
      </w:r>
      <w:r>
        <w:rPr/>
        <w:t>the</w:t>
      </w:r>
      <w:r>
        <w:rPr>
          <w:spacing w:val="-1"/>
        </w:rPr>
        <w:t> </w:t>
      </w:r>
      <w:r>
        <w:rPr/>
        <w:t>year</w:t>
        <w:tab/>
      </w:r>
      <w:r>
        <w:rPr>
          <w:b/>
        </w:rPr>
        <w:t>-</w:t>
        <w:tab/>
      </w:r>
      <w:r>
        <w:rPr/>
        <w:t>-</w:t>
      </w:r>
    </w:p>
    <w:p>
      <w:pPr>
        <w:pStyle w:val="BodyText"/>
        <w:spacing w:line="207" w:lineRule="exact"/>
        <w:ind w:left="504" w:right="125"/>
      </w:pPr>
      <w:r>
        <w:rPr/>
        <w:t>Changes in operating assets and liabilities:</w:t>
      </w:r>
    </w:p>
    <w:p>
      <w:pPr>
        <w:pStyle w:val="BodyText"/>
        <w:tabs>
          <w:tab w:pos="8575" w:val="left" w:leader="none"/>
          <w:tab w:pos="9419" w:val="left" w:leader="none"/>
        </w:tabs>
        <w:spacing w:before="28"/>
        <w:ind w:left="768" w:right="92"/>
      </w:pPr>
      <w:r>
        <w:rPr/>
        <w:pict>
          <v:group style="position:absolute;margin-left:416.325012pt;margin-top:13.006902pt;width:129.75pt;height:.550pt;mso-position-horizontal-relative:page;mso-position-vertical-relative:paragraph;z-index:4792;mso-wrap-distance-left:0;mso-wrap-distance-right:0" coordorigin="8327,260" coordsize="2595,11">
            <v:line style="position:absolute" from="8328,262" to="9624,262" stroked="true" strokeweight=".12pt" strokecolor="#000000"/>
            <v:line style="position:absolute" from="8328,264" to="9624,264" stroked="true" strokeweight=".12pt" strokecolor="#000000"/>
            <v:line style="position:absolute" from="8328,266" to="9624,266" stroked="true" strokeweight=".12pt" strokecolor="#000000"/>
            <v:line style="position:absolute" from="8328,269" to="9624,269" stroked="true" strokeweight=".12pt" strokecolor="#000000"/>
            <v:line style="position:absolute" from="9624,262" to="10920,262" stroked="true" strokeweight=".12pt" strokecolor="#000000"/>
            <v:line style="position:absolute" from="9624,264" to="10920,264" stroked="true" strokeweight=".12pt" strokecolor="#000000"/>
            <v:line style="position:absolute" from="9624,266" to="10920,266" stroked="true" strokeweight=".12pt" strokecolor="#000000"/>
            <v:line style="position:absolute" from="9624,269" to="10920,269" stroked="true" strokeweight=".12pt" strokecolor="#000000"/>
            <w10:wrap type="topAndBottom"/>
          </v:group>
        </w:pict>
      </w:r>
      <w:r>
        <w:rPr/>
        <w:t>- increase/(decrease) in trade and</w:t>
      </w:r>
      <w:r>
        <w:rPr>
          <w:spacing w:val="4"/>
        </w:rPr>
        <w:t> </w:t>
      </w:r>
      <w:r>
        <w:rPr/>
        <w:t>other payables</w:t>
        <w:tab/>
      </w:r>
      <w:r>
        <w:rPr>
          <w:b/>
        </w:rPr>
        <w:t>-</w:t>
        <w:tab/>
      </w:r>
      <w:r>
        <w:rPr/>
        <w:t>(1,628)</w:t>
      </w:r>
    </w:p>
    <w:p>
      <w:pPr>
        <w:pStyle w:val="BodyText"/>
        <w:tabs>
          <w:tab w:pos="8575" w:val="left" w:leader="none"/>
          <w:tab w:pos="9419" w:val="left" w:leader="none"/>
        </w:tabs>
        <w:ind w:left="504" w:right="92"/>
      </w:pPr>
      <w:r>
        <w:rPr/>
        <w:t>Net cash inflow/(outflow) from</w:t>
      </w:r>
      <w:r>
        <w:rPr>
          <w:spacing w:val="-1"/>
        </w:rPr>
        <w:t> </w:t>
      </w:r>
      <w:r>
        <w:rPr/>
        <w:t>operationing</w:t>
      </w:r>
      <w:r>
        <w:rPr>
          <w:spacing w:val="-1"/>
        </w:rPr>
        <w:t> </w:t>
      </w:r>
      <w:r>
        <w:rPr/>
        <w:t>activities</w:t>
        <w:tab/>
      </w:r>
      <w:r>
        <w:rPr>
          <w:b/>
        </w:rPr>
        <w:t>-</w:t>
        <w:tab/>
      </w:r>
      <w:r>
        <w:rPr/>
        <w:t>(1,628)</w:t>
      </w:r>
    </w:p>
    <w:p>
      <w:pPr>
        <w:pStyle w:val="BodyText"/>
        <w:spacing w:line="20" w:lineRule="exact"/>
        <w:ind w:left="7426"/>
        <w:rPr>
          <w:sz w:val="2"/>
        </w:rPr>
      </w:pPr>
      <w:r>
        <w:rPr>
          <w:sz w:val="2"/>
        </w:rPr>
        <w:pict>
          <v:group style="width:129.75pt;height:1pt;mso-position-horizontal-relative:char;mso-position-vertical-relative:line" coordorigin="0,0" coordsize="2595,20">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16" to="1298,16" stroked="true" strokeweight=".12pt" strokecolor="#000000"/>
            <v:line style="position:absolute" from="2,18" to="1298,18"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16" to="2594,16" stroked="true" strokeweight=".12pt" strokecolor="#000000"/>
            <v:line style="position:absolute" from="1298,18" to="2594,18" stroked="true" strokeweight=".12pt" strokecolor="#000000"/>
          </v:group>
        </w:pic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p>
    <w:p>
      <w:pPr>
        <w:pStyle w:val="Heading9"/>
        <w:spacing w:before="77"/>
        <w:ind w:left="3643" w:right="125"/>
      </w:pPr>
      <w:r>
        <w:rPr/>
        <w:t>END OF AUDITED FINANCIAL STATEMENTS</w:t>
      </w:r>
    </w:p>
    <w:p>
      <w:pPr>
        <w:spacing w:after="0"/>
        <w:sectPr>
          <w:type w:val="continuous"/>
          <w:pgSz w:w="11910" w:h="16840"/>
          <w:pgMar w:top="0" w:bottom="280" w:left="900" w:right="860"/>
        </w:sectPr>
      </w:pPr>
    </w:p>
    <w:p>
      <w:pPr>
        <w:pStyle w:val="Heading6"/>
        <w:spacing w:before="47"/>
        <w:ind w:right="210"/>
      </w:pPr>
      <w:r>
        <w:rPr/>
        <w:t>University of Western Sydney Foundation Limited</w:t>
      </w:r>
    </w:p>
    <w:p>
      <w:pPr>
        <w:spacing w:before="55"/>
        <w:ind w:left="107" w:right="210" w:firstLine="0"/>
        <w:jc w:val="left"/>
        <w:rPr>
          <w:b/>
          <w:sz w:val="14"/>
        </w:rPr>
      </w:pPr>
      <w:r>
        <w:rPr>
          <w:b/>
          <w:sz w:val="14"/>
        </w:rPr>
        <w:t>ABN: 43 050 679 671</w:t>
      </w:r>
    </w:p>
    <w:p>
      <w:pPr>
        <w:pStyle w:val="BodyText"/>
        <w:rPr>
          <w:b/>
          <w:sz w:val="14"/>
        </w:rPr>
      </w:pPr>
    </w:p>
    <w:p>
      <w:pPr>
        <w:pStyle w:val="BodyText"/>
        <w:spacing w:before="8"/>
        <w:rPr>
          <w:b/>
          <w:sz w:val="15"/>
        </w:rPr>
      </w:pPr>
    </w:p>
    <w:p>
      <w:pPr>
        <w:pStyle w:val="Heading3"/>
        <w:spacing w:before="0"/>
        <w:ind w:right="210"/>
      </w:pPr>
      <w:r>
        <w:rPr/>
        <w:t>Director's declaration</w:t>
      </w:r>
    </w:p>
    <w:p>
      <w:pPr>
        <w:pStyle w:val="BodyText"/>
        <w:rPr>
          <w:b/>
          <w:sz w:val="25"/>
        </w:rPr>
      </w:pPr>
    </w:p>
    <w:p>
      <w:pPr>
        <w:pStyle w:val="BodyText"/>
        <w:ind w:left="107" w:right="210"/>
      </w:pPr>
      <w:r>
        <w:rPr/>
        <w:t>In the Director's opinion:</w:t>
      </w:r>
    </w:p>
    <w:p>
      <w:pPr>
        <w:pStyle w:val="BodyText"/>
        <w:spacing w:before="7"/>
        <w:rPr>
          <w:sz w:val="17"/>
        </w:rPr>
      </w:pPr>
    </w:p>
    <w:p>
      <w:pPr>
        <w:pStyle w:val="ListParagraph"/>
        <w:numPr>
          <w:ilvl w:val="0"/>
          <w:numId w:val="56"/>
        </w:numPr>
        <w:tabs>
          <w:tab w:pos="505" w:val="left" w:leader="none"/>
        </w:tabs>
        <w:spacing w:line="240" w:lineRule="auto" w:before="1" w:after="0"/>
        <w:ind w:left="504" w:right="0" w:hanging="396"/>
        <w:jc w:val="left"/>
        <w:rPr>
          <w:sz w:val="18"/>
        </w:rPr>
      </w:pPr>
      <w:r>
        <w:rPr>
          <w:sz w:val="18"/>
        </w:rPr>
        <w:t>The financial statements and notes are in accordance with the </w:t>
      </w:r>
      <w:r>
        <w:rPr>
          <w:i/>
          <w:sz w:val="18"/>
        </w:rPr>
        <w:t>Corporations Act 2001</w:t>
      </w:r>
      <w:r>
        <w:rPr>
          <w:i/>
          <w:spacing w:val="-24"/>
          <w:sz w:val="18"/>
        </w:rPr>
        <w:t> </w:t>
      </w:r>
      <w:r>
        <w:rPr>
          <w:sz w:val="18"/>
        </w:rPr>
        <w:t>and:</w:t>
      </w:r>
    </w:p>
    <w:p>
      <w:pPr>
        <w:pStyle w:val="ListParagraph"/>
        <w:numPr>
          <w:ilvl w:val="1"/>
          <w:numId w:val="56"/>
        </w:numPr>
        <w:tabs>
          <w:tab w:pos="901" w:val="left" w:leader="none"/>
        </w:tabs>
        <w:spacing w:line="207" w:lineRule="exact" w:before="146" w:after="0"/>
        <w:ind w:left="900" w:right="0" w:hanging="396"/>
        <w:jc w:val="left"/>
        <w:rPr>
          <w:sz w:val="18"/>
        </w:rPr>
      </w:pPr>
      <w:r>
        <w:rPr>
          <w:sz w:val="18"/>
        </w:rPr>
        <w:t>comply with Australian Accounting Standards and other interpretations, the </w:t>
      </w:r>
      <w:r>
        <w:rPr>
          <w:i/>
          <w:sz w:val="18"/>
        </w:rPr>
        <w:t>Public Finance and Audit Act 1983</w:t>
      </w:r>
      <w:r>
        <w:rPr>
          <w:i/>
          <w:spacing w:val="48"/>
          <w:sz w:val="18"/>
        </w:rPr>
        <w:t> </w:t>
      </w:r>
      <w:r>
        <w:rPr>
          <w:sz w:val="18"/>
        </w:rPr>
        <w:t>the</w:t>
      </w:r>
    </w:p>
    <w:p>
      <w:pPr>
        <w:spacing w:line="207" w:lineRule="exact" w:before="0"/>
        <w:ind w:left="900" w:right="210" w:firstLine="0"/>
        <w:jc w:val="left"/>
        <w:rPr>
          <w:sz w:val="18"/>
        </w:rPr>
      </w:pPr>
      <w:r>
        <w:rPr>
          <w:i/>
          <w:sz w:val="18"/>
        </w:rPr>
        <w:t>Public Finance and Audit Regulation 2010 </w:t>
      </w:r>
      <w:r>
        <w:rPr>
          <w:sz w:val="18"/>
        </w:rPr>
        <w:t>and other mandatory professional reporting requirements; and</w:t>
      </w:r>
    </w:p>
    <w:p>
      <w:pPr>
        <w:pStyle w:val="ListParagraph"/>
        <w:numPr>
          <w:ilvl w:val="1"/>
          <w:numId w:val="56"/>
        </w:numPr>
        <w:tabs>
          <w:tab w:pos="901" w:val="left" w:leader="none"/>
        </w:tabs>
        <w:spacing w:line="240" w:lineRule="auto" w:before="150" w:after="0"/>
        <w:ind w:left="900" w:right="112" w:hanging="396"/>
        <w:jc w:val="left"/>
        <w:rPr>
          <w:sz w:val="18"/>
        </w:rPr>
      </w:pPr>
      <w:r>
        <w:rPr>
          <w:sz w:val="18"/>
        </w:rPr>
        <w:t>give a true and fair view of the financial position as at 31 December 2012 and of the performance for the year ended on that date of the</w:t>
      </w:r>
      <w:r>
        <w:rPr>
          <w:spacing w:val="-17"/>
          <w:sz w:val="18"/>
        </w:rPr>
        <w:t> </w:t>
      </w:r>
      <w:r>
        <w:rPr>
          <w:sz w:val="18"/>
        </w:rPr>
        <w:t>Company.</w:t>
      </w:r>
    </w:p>
    <w:p>
      <w:pPr>
        <w:pStyle w:val="BodyText"/>
        <w:spacing w:before="10"/>
        <w:rPr>
          <w:sz w:val="17"/>
        </w:rPr>
      </w:pPr>
    </w:p>
    <w:p>
      <w:pPr>
        <w:pStyle w:val="ListParagraph"/>
        <w:numPr>
          <w:ilvl w:val="0"/>
          <w:numId w:val="56"/>
        </w:numPr>
        <w:tabs>
          <w:tab w:pos="505" w:val="left" w:leader="none"/>
        </w:tabs>
        <w:spacing w:line="240" w:lineRule="auto" w:before="0" w:after="0"/>
        <w:ind w:left="504" w:right="118" w:hanging="396"/>
        <w:jc w:val="left"/>
        <w:rPr>
          <w:sz w:val="18"/>
        </w:rPr>
      </w:pPr>
      <w:r>
        <w:rPr>
          <w:sz w:val="18"/>
        </w:rPr>
        <w:t>There are reasonable grounds to believe that the Company will be able to pay its debts as and when they become due and</w:t>
      </w:r>
      <w:r>
        <w:rPr>
          <w:spacing w:val="-5"/>
          <w:sz w:val="18"/>
        </w:rPr>
        <w:t> </w:t>
      </w:r>
      <w:r>
        <w:rPr>
          <w:sz w:val="18"/>
        </w:rPr>
        <w:t>payable.</w:t>
      </w:r>
    </w:p>
    <w:p>
      <w:pPr>
        <w:pStyle w:val="BodyText"/>
        <w:spacing w:before="9"/>
        <w:rPr>
          <w:sz w:val="24"/>
        </w:rPr>
      </w:pPr>
    </w:p>
    <w:p>
      <w:pPr>
        <w:pStyle w:val="BodyText"/>
        <w:ind w:left="108" w:right="210"/>
      </w:pPr>
      <w:r>
        <w:rPr/>
        <w:t>This declaration is made in accordance with a resolution of the Directors.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r>
        <w:rPr/>
        <w:drawing>
          <wp:anchor distT="0" distB="0" distL="0" distR="0" allowOverlap="1" layoutInCell="1" locked="0" behindDoc="0" simplePos="0" relativeHeight="4840">
            <wp:simplePos x="0" y="0"/>
            <wp:positionH relativeFrom="page">
              <wp:posOffset>640080</wp:posOffset>
            </wp:positionH>
            <wp:positionV relativeFrom="paragraph">
              <wp:posOffset>144316</wp:posOffset>
            </wp:positionV>
            <wp:extent cx="5912460" cy="1307211"/>
            <wp:effectExtent l="0" t="0" r="0" b="0"/>
            <wp:wrapTopAndBottom/>
            <wp:docPr id="61" name="image58.png" descr=""/>
            <wp:cNvGraphicFramePr>
              <a:graphicFrameLocks noChangeAspect="1"/>
            </wp:cNvGraphicFramePr>
            <a:graphic>
              <a:graphicData uri="http://schemas.openxmlformats.org/drawingml/2006/picture">
                <pic:pic>
                  <pic:nvPicPr>
                    <pic:cNvPr id="62" name="image58.png"/>
                    <pic:cNvPicPr/>
                  </pic:nvPicPr>
                  <pic:blipFill>
                    <a:blip r:embed="rId146" cstate="print"/>
                    <a:stretch>
                      <a:fillRect/>
                    </a:stretch>
                  </pic:blipFill>
                  <pic:spPr>
                    <a:xfrm>
                      <a:off x="0" y="0"/>
                      <a:ext cx="5912460" cy="1307211"/>
                    </a:xfrm>
                    <a:prstGeom prst="rect">
                      <a:avLst/>
                    </a:prstGeom>
                  </pic:spPr>
                </pic:pic>
              </a:graphicData>
            </a:graphic>
          </wp:anchor>
        </w:drawing>
      </w:r>
    </w:p>
    <w:p>
      <w:pPr>
        <w:spacing w:after="0"/>
        <w:rPr>
          <w:sz w:val="16"/>
        </w:rPr>
        <w:sectPr>
          <w:headerReference w:type="default" r:id="rId144"/>
          <w:footerReference w:type="default" r:id="rId145"/>
          <w:pgSz w:w="11960" w:h="16850"/>
          <w:pgMar w:header="0" w:footer="507" w:top="660" w:bottom="700" w:left="900" w:right="9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pStyle w:val="Heading7"/>
      </w:pPr>
      <w:r>
        <w:rPr/>
        <w:t>This page is intentionally blank</w:t>
      </w:r>
    </w:p>
    <w:p>
      <w:pPr>
        <w:spacing w:after="0"/>
        <w:sectPr>
          <w:headerReference w:type="default" r:id="rId147"/>
          <w:footerReference w:type="default" r:id="rId148"/>
          <w:pgSz w:w="11910" w:h="16840"/>
          <w:pgMar w:header="0" w:footer="507" w:top="1580" w:bottom="700" w:left="1680" w:right="1680"/>
          <w:pgNumType w:start="136"/>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
        <w:rPr>
          <w:rFonts w:ascii="Calibri"/>
          <w:sz w:val="26"/>
        </w:rPr>
      </w:pPr>
    </w:p>
    <w:p>
      <w:pPr>
        <w:pStyle w:val="Heading1"/>
        <w:ind w:right="1998"/>
      </w:pPr>
      <w:r>
        <w:rPr/>
        <w:t>University of Western Sydney Foundation Trust</w:t>
      </w:r>
    </w:p>
    <w:p>
      <w:pPr>
        <w:spacing w:line="230" w:lineRule="exact" w:before="0"/>
        <w:ind w:left="107" w:right="1998" w:firstLine="0"/>
        <w:jc w:val="left"/>
        <w:rPr>
          <w:b/>
          <w:sz w:val="20"/>
        </w:rPr>
      </w:pPr>
      <w:r>
        <w:rPr>
          <w:b/>
          <w:sz w:val="20"/>
        </w:rPr>
        <w:t>ABN: 13 921 771 681</w:t>
      </w:r>
    </w:p>
    <w:p>
      <w:pPr>
        <w:pStyle w:val="BodyText"/>
        <w:rPr>
          <w:b/>
          <w:sz w:val="20"/>
        </w:rPr>
      </w:pPr>
    </w:p>
    <w:p>
      <w:pPr>
        <w:pStyle w:val="BodyText"/>
        <w:rPr>
          <w:b/>
          <w:sz w:val="20"/>
        </w:rPr>
      </w:pPr>
    </w:p>
    <w:p>
      <w:pPr>
        <w:pStyle w:val="BodyText"/>
        <w:spacing w:before="10"/>
        <w:rPr>
          <w:b/>
          <w:sz w:val="15"/>
        </w:rPr>
      </w:pPr>
    </w:p>
    <w:p>
      <w:pPr>
        <w:spacing w:before="0"/>
        <w:ind w:left="107" w:right="1998" w:firstLine="0"/>
        <w:jc w:val="left"/>
        <w:rPr>
          <w:b/>
          <w:sz w:val="28"/>
        </w:rPr>
      </w:pPr>
      <w:r>
        <w:rPr>
          <w:b/>
          <w:sz w:val="28"/>
        </w:rPr>
        <w:t>Financial Statements</w:t>
      </w:r>
    </w:p>
    <w:p>
      <w:pPr>
        <w:spacing w:before="230"/>
        <w:ind w:left="107" w:right="1998" w:firstLine="0"/>
        <w:jc w:val="left"/>
        <w:rPr>
          <w:b/>
          <w:sz w:val="20"/>
        </w:rPr>
      </w:pPr>
      <w:r>
        <w:rPr>
          <w:b/>
          <w:sz w:val="20"/>
        </w:rPr>
        <w:t>For the Year Ended 31 December 2012</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rPr>
      </w:pPr>
    </w:p>
    <w:p>
      <w:pPr>
        <w:pStyle w:val="BodyText"/>
        <w:spacing w:before="1"/>
        <w:ind w:left="107" w:right="97"/>
      </w:pPr>
      <w:r>
        <w:rPr/>
        <w:t>Thsee financial statements of the University of Western Sydney Foundation Trust are presented as an individual entity. The financial statements are presented in Australian currency.</w:t>
      </w:r>
    </w:p>
    <w:p>
      <w:pPr>
        <w:pStyle w:val="BodyText"/>
        <w:spacing w:line="370" w:lineRule="atLeast" w:before="5"/>
        <w:ind w:left="107" w:right="1198"/>
      </w:pPr>
      <w:r>
        <w:rPr/>
        <w:t>The registered office and principal place of business of the University of Western Sydney Foundation Trust is: University of Western Sydney Foundation Trust</w:t>
      </w:r>
    </w:p>
    <w:p>
      <w:pPr>
        <w:pStyle w:val="BodyText"/>
        <w:ind w:left="107" w:right="7542"/>
      </w:pPr>
      <w:r>
        <w:rPr/>
        <w:t>University of Western Sydney Finance Office, Building M16 College Drive</w:t>
      </w:r>
    </w:p>
    <w:p>
      <w:pPr>
        <w:pStyle w:val="BodyText"/>
        <w:spacing w:line="206" w:lineRule="exact"/>
        <w:ind w:left="107" w:right="1998"/>
      </w:pPr>
      <w:r>
        <w:rPr/>
        <w:t>Richmond NSW 2753</w:t>
      </w:r>
    </w:p>
    <w:p>
      <w:pPr>
        <w:pStyle w:val="BodyText"/>
      </w:pPr>
    </w:p>
    <w:p>
      <w:pPr>
        <w:pStyle w:val="BodyText"/>
        <w:spacing w:before="4"/>
        <w:rPr>
          <w:sz w:val="21"/>
        </w:rPr>
      </w:pPr>
    </w:p>
    <w:p>
      <w:pPr>
        <w:pStyle w:val="BodyText"/>
        <w:ind w:left="107" w:right="1998"/>
      </w:pPr>
      <w:r>
        <w:rPr/>
        <w:t>Registered postal address is:</w:t>
      </w:r>
    </w:p>
    <w:p>
      <w:pPr>
        <w:pStyle w:val="BodyText"/>
        <w:spacing w:before="7"/>
        <w:rPr>
          <w:sz w:val="14"/>
        </w:rPr>
      </w:pPr>
    </w:p>
    <w:p>
      <w:pPr>
        <w:pStyle w:val="BodyText"/>
        <w:ind w:left="107" w:right="6131"/>
      </w:pPr>
      <w:r>
        <w:rPr/>
        <w:t>University of Western Sydney Foundation Trust Locked Bag 1797</w:t>
      </w:r>
    </w:p>
    <w:p>
      <w:pPr>
        <w:pStyle w:val="BodyText"/>
        <w:spacing w:line="206" w:lineRule="exact"/>
        <w:ind w:left="107" w:right="1998"/>
      </w:pPr>
      <w:r>
        <w:rPr/>
        <w:t>Penrith NSW 2751</w:t>
      </w:r>
    </w:p>
    <w:p>
      <w:pPr>
        <w:pStyle w:val="BodyText"/>
        <w:spacing w:before="7"/>
        <w:rPr>
          <w:sz w:val="14"/>
        </w:rPr>
      </w:pPr>
    </w:p>
    <w:p>
      <w:pPr>
        <w:pStyle w:val="BodyText"/>
        <w:ind w:left="108" w:right="759" w:hanging="1"/>
      </w:pPr>
      <w:r>
        <w:rPr/>
        <w:t>A description of the nature of the Trust's operations and it principal activities is included in the Trustees' report which is not part of these financial statements.</w:t>
      </w:r>
    </w:p>
    <w:p>
      <w:pPr>
        <w:pStyle w:val="BodyText"/>
        <w:spacing w:before="7"/>
        <w:rPr>
          <w:sz w:val="14"/>
        </w:rPr>
      </w:pPr>
    </w:p>
    <w:p>
      <w:pPr>
        <w:pStyle w:val="BodyText"/>
        <w:ind w:left="108" w:right="372"/>
      </w:pPr>
      <w:r>
        <w:rPr/>
        <w:t>These financial statements were authorised for issue by the Trustees' on 11 April 2013. The Trustees have the power to amend and reissue the financial statements.</w:t>
      </w:r>
    </w:p>
    <w:p>
      <w:pPr>
        <w:spacing w:after="0"/>
        <w:sectPr>
          <w:headerReference w:type="default" r:id="rId149"/>
          <w:footerReference w:type="default" r:id="rId150"/>
          <w:pgSz w:w="11910" w:h="16840"/>
          <w:pgMar w:header="0" w:footer="507" w:top="1600" w:bottom="700" w:left="900" w:right="980"/>
          <w:pgNumType w:start="137"/>
        </w:sectPr>
      </w:pPr>
    </w:p>
    <w:p>
      <w:pPr>
        <w:spacing w:before="47"/>
        <w:ind w:left="107" w:right="210" w:firstLine="0"/>
        <w:jc w:val="left"/>
        <w:rPr>
          <w:b/>
          <w:sz w:val="22"/>
        </w:rPr>
      </w:pPr>
      <w:r>
        <w:rPr>
          <w:b/>
          <w:sz w:val="22"/>
        </w:rPr>
        <w:t>University of Western Sydney Foundation Trust</w:t>
      </w:r>
    </w:p>
    <w:p>
      <w:pPr>
        <w:spacing w:before="55"/>
        <w:ind w:left="107" w:right="210" w:firstLine="0"/>
        <w:jc w:val="left"/>
        <w:rPr>
          <w:b/>
          <w:sz w:val="14"/>
        </w:rPr>
      </w:pPr>
      <w:r>
        <w:rPr>
          <w:b/>
          <w:sz w:val="14"/>
        </w:rPr>
        <w:t>ABN: 13 921 771 681</w:t>
      </w:r>
    </w:p>
    <w:p>
      <w:pPr>
        <w:pStyle w:val="BodyText"/>
        <w:rPr>
          <w:b/>
          <w:sz w:val="14"/>
        </w:rPr>
      </w:pPr>
    </w:p>
    <w:p>
      <w:pPr>
        <w:pStyle w:val="BodyText"/>
        <w:spacing w:before="7"/>
        <w:rPr>
          <w:b/>
          <w:sz w:val="15"/>
        </w:rPr>
      </w:pPr>
    </w:p>
    <w:p>
      <w:pPr>
        <w:spacing w:before="1"/>
        <w:ind w:left="107" w:right="210" w:firstLine="0"/>
        <w:jc w:val="left"/>
        <w:rPr>
          <w:b/>
          <w:sz w:val="28"/>
        </w:rPr>
      </w:pPr>
      <w:r>
        <w:rPr>
          <w:b/>
          <w:sz w:val="28"/>
        </w:rPr>
        <w:t>Trustees' report</w:t>
      </w:r>
    </w:p>
    <w:p>
      <w:pPr>
        <w:pStyle w:val="Heading6"/>
        <w:spacing w:before="56"/>
        <w:ind w:right="210"/>
      </w:pPr>
      <w:r>
        <w:rPr/>
        <w:t>31 December 2012</w:t>
      </w:r>
    </w:p>
    <w:p>
      <w:pPr>
        <w:pStyle w:val="BodyText"/>
        <w:rPr>
          <w:b/>
          <w:sz w:val="22"/>
        </w:rPr>
      </w:pPr>
    </w:p>
    <w:p>
      <w:pPr>
        <w:pStyle w:val="BodyText"/>
        <w:spacing w:before="2"/>
        <w:rPr>
          <w:b/>
          <w:sz w:val="30"/>
        </w:rPr>
      </w:pPr>
    </w:p>
    <w:p>
      <w:pPr>
        <w:pStyle w:val="BodyText"/>
        <w:ind w:left="504" w:right="210"/>
      </w:pPr>
      <w:r>
        <w:rPr/>
        <w:t>Your Trustees present the report on University of Western Sydney Foundation Trust for the financial year ended 31 December 2012.</w:t>
      </w:r>
    </w:p>
    <w:p>
      <w:pPr>
        <w:pStyle w:val="BodyText"/>
        <w:spacing w:before="6"/>
        <w:rPr>
          <w:sz w:val="24"/>
        </w:rPr>
      </w:pPr>
    </w:p>
    <w:p>
      <w:pPr>
        <w:pStyle w:val="Heading9"/>
        <w:ind w:left="504"/>
        <w:jc w:val="both"/>
      </w:pPr>
      <w:r>
        <w:rPr/>
        <w:t>Trustees</w:t>
      </w:r>
    </w:p>
    <w:p>
      <w:pPr>
        <w:pStyle w:val="BodyText"/>
        <w:spacing w:before="6"/>
        <w:ind w:left="504" w:right="105"/>
        <w:jc w:val="both"/>
      </w:pPr>
      <w:r>
        <w:rPr/>
        <w:t>The University of Western Sydney Foundation Limited (referred to hereafter as the Trustee Company) has been appointed as the Trustee of the Trust. The following persons have been directors or alternate directors of the Trustee Company during the whole of the financial year and to the date of this report:</w:t>
      </w:r>
    </w:p>
    <w:p>
      <w:pPr>
        <w:pStyle w:val="BodyText"/>
        <w:spacing w:before="11"/>
        <w:rPr>
          <w:sz w:val="19"/>
        </w:rPr>
      </w:pPr>
    </w:p>
    <w:p>
      <w:pPr>
        <w:pStyle w:val="BodyText"/>
        <w:ind w:left="504" w:right="7885"/>
      </w:pPr>
      <w:r>
        <w:rPr/>
        <w:t>Prof. Janice Reid AM Prof. Chung-Tong Wu Ms Lindley Edwards</w:t>
      </w:r>
    </w:p>
    <w:p>
      <w:pPr>
        <w:pStyle w:val="BodyText"/>
        <w:ind w:left="504" w:right="6854"/>
      </w:pPr>
      <w:r>
        <w:rPr/>
        <w:t>Emeritus Prof.Richard Bawden AM Mr Roy Medich OAM</w:t>
      </w:r>
    </w:p>
    <w:p>
      <w:pPr>
        <w:pStyle w:val="BodyText"/>
        <w:spacing w:line="206" w:lineRule="exact"/>
        <w:ind w:left="504"/>
        <w:jc w:val="both"/>
      </w:pPr>
      <w:r>
        <w:rPr/>
        <w:t>Mr John Banks</w:t>
      </w:r>
    </w:p>
    <w:p>
      <w:pPr>
        <w:pStyle w:val="BodyText"/>
        <w:spacing w:before="28"/>
        <w:ind w:left="504"/>
        <w:jc w:val="both"/>
      </w:pPr>
      <w:r>
        <w:rPr/>
        <w:t>Prof. Peter Shergold AC</w:t>
      </w:r>
    </w:p>
    <w:p>
      <w:pPr>
        <w:pStyle w:val="BodyText"/>
        <w:tabs>
          <w:tab w:pos="3650" w:val="left" w:leader="none"/>
        </w:tabs>
        <w:spacing w:before="28"/>
        <w:ind w:left="504"/>
        <w:jc w:val="both"/>
      </w:pPr>
      <w:r>
        <w:rPr/>
        <w:t>Mr Daniel</w:t>
      </w:r>
      <w:r>
        <w:rPr>
          <w:spacing w:val="-2"/>
        </w:rPr>
        <w:t> </w:t>
      </w:r>
      <w:r>
        <w:rPr/>
        <w:t>Gilbert</w:t>
      </w:r>
      <w:r>
        <w:rPr>
          <w:spacing w:val="-2"/>
        </w:rPr>
        <w:t> </w:t>
      </w:r>
      <w:r>
        <w:rPr/>
        <w:t>AM</w:t>
        <w:tab/>
        <w:t>Appointed 13 February</w:t>
      </w:r>
      <w:r>
        <w:rPr>
          <w:spacing w:val="-9"/>
        </w:rPr>
        <w:t> </w:t>
      </w:r>
      <w:r>
        <w:rPr/>
        <w:t>2012</w:t>
      </w:r>
    </w:p>
    <w:p>
      <w:pPr>
        <w:pStyle w:val="BodyText"/>
        <w:tabs>
          <w:tab w:pos="3650" w:val="left" w:leader="none"/>
        </w:tabs>
        <w:spacing w:before="2"/>
        <w:ind w:left="504"/>
        <w:jc w:val="both"/>
      </w:pPr>
      <w:r>
        <w:rPr/>
        <w:t>Prof.</w:t>
      </w:r>
      <w:r>
        <w:rPr>
          <w:spacing w:val="-6"/>
        </w:rPr>
        <w:t> </w:t>
      </w:r>
      <w:r>
        <w:rPr/>
        <w:t>Wayne McKenna</w:t>
        <w:tab/>
        <w:t>Alternate director for Prof. Janice Reid AM. Appointed 7 August</w:t>
      </w:r>
      <w:r>
        <w:rPr>
          <w:spacing w:val="-23"/>
        </w:rPr>
        <w:t> </w:t>
      </w:r>
      <w:r>
        <w:rPr/>
        <w:t>2012</w:t>
      </w:r>
    </w:p>
    <w:p>
      <w:pPr>
        <w:pStyle w:val="BodyText"/>
        <w:spacing w:before="146"/>
        <w:ind w:left="504" w:right="210"/>
      </w:pPr>
      <w:r>
        <w:rPr/>
        <w:t>Directors and alternate directors have been in office since the start of the financial year to the date of this report unless otherwise stated.</w:t>
      </w:r>
    </w:p>
    <w:p>
      <w:pPr>
        <w:pStyle w:val="BodyText"/>
        <w:spacing w:before="6"/>
        <w:rPr>
          <w:sz w:val="24"/>
        </w:rPr>
      </w:pPr>
    </w:p>
    <w:p>
      <w:pPr>
        <w:pStyle w:val="Heading9"/>
        <w:ind w:left="504"/>
        <w:jc w:val="both"/>
      </w:pPr>
      <w:r>
        <w:rPr/>
        <w:t>Principal activities</w:t>
      </w:r>
    </w:p>
    <w:p>
      <w:pPr>
        <w:pStyle w:val="BodyText"/>
        <w:spacing w:before="6"/>
        <w:ind w:left="504"/>
        <w:jc w:val="both"/>
      </w:pPr>
      <w:r>
        <w:rPr/>
        <w:t>There were no significant changes in the nature of the Trust's activities during the year.</w:t>
      </w:r>
    </w:p>
    <w:p>
      <w:pPr>
        <w:pStyle w:val="BodyText"/>
        <w:spacing w:before="138"/>
        <w:ind w:left="503" w:right="105"/>
        <w:jc w:val="both"/>
      </w:pPr>
      <w:r>
        <w:rPr/>
        <w:t>The University of Western Sydney Foundation Trust is a not for profit entity. It's objective is to raise funds in support of the University of Western Sydney. In partnership with the local community and the business world, the University of Western Sydney Foundation Trust delivers educational opportunities by fundraising for scholarships, prizes, research, academic programs, teaching facilities and other special projects.</w:t>
      </w:r>
    </w:p>
    <w:p>
      <w:pPr>
        <w:pStyle w:val="BodyText"/>
        <w:spacing w:before="9"/>
        <w:rPr>
          <w:sz w:val="24"/>
        </w:rPr>
      </w:pPr>
    </w:p>
    <w:p>
      <w:pPr>
        <w:pStyle w:val="BodyText"/>
        <w:ind w:left="503"/>
        <w:jc w:val="both"/>
      </w:pPr>
      <w:r>
        <w:rPr/>
        <w:t>This report is made in accordance with a resolution of the Trustee.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2"/>
        </w:rPr>
      </w:pPr>
      <w:r>
        <w:rPr/>
        <w:drawing>
          <wp:anchor distT="0" distB="0" distL="0" distR="0" allowOverlap="1" layoutInCell="1" locked="0" behindDoc="0" simplePos="0" relativeHeight="4864">
            <wp:simplePos x="0" y="0"/>
            <wp:positionH relativeFrom="page">
              <wp:posOffset>895301</wp:posOffset>
            </wp:positionH>
            <wp:positionV relativeFrom="paragraph">
              <wp:posOffset>116464</wp:posOffset>
            </wp:positionV>
            <wp:extent cx="5825445" cy="1760791"/>
            <wp:effectExtent l="0" t="0" r="0" b="0"/>
            <wp:wrapTopAndBottom/>
            <wp:docPr id="63" name="image59.png" descr=""/>
            <wp:cNvGraphicFramePr>
              <a:graphicFrameLocks noChangeAspect="1"/>
            </wp:cNvGraphicFramePr>
            <a:graphic>
              <a:graphicData uri="http://schemas.openxmlformats.org/drawingml/2006/picture">
                <pic:pic>
                  <pic:nvPicPr>
                    <pic:cNvPr id="64" name="image59.png"/>
                    <pic:cNvPicPr/>
                  </pic:nvPicPr>
                  <pic:blipFill>
                    <a:blip r:embed="rId153" cstate="print"/>
                    <a:stretch>
                      <a:fillRect/>
                    </a:stretch>
                  </pic:blipFill>
                  <pic:spPr>
                    <a:xfrm>
                      <a:off x="0" y="0"/>
                      <a:ext cx="5825445" cy="1760791"/>
                    </a:xfrm>
                    <a:prstGeom prst="rect">
                      <a:avLst/>
                    </a:prstGeom>
                  </pic:spPr>
                </pic:pic>
              </a:graphicData>
            </a:graphic>
          </wp:anchor>
        </w:drawing>
      </w:r>
    </w:p>
    <w:p>
      <w:pPr>
        <w:spacing w:after="0"/>
        <w:rPr>
          <w:sz w:val="12"/>
        </w:rPr>
        <w:sectPr>
          <w:headerReference w:type="default" r:id="rId151"/>
          <w:footerReference w:type="default" r:id="rId152"/>
          <w:pgSz w:w="11960" w:h="16850"/>
          <w:pgMar w:header="0" w:footer="507" w:top="660" w:bottom="700" w:left="900" w:right="900"/>
        </w:sectPr>
      </w:pPr>
    </w:p>
    <w:p>
      <w:pPr>
        <w:spacing w:before="67"/>
        <w:ind w:left="18" w:right="0" w:firstLine="0"/>
        <w:jc w:val="center"/>
        <w:rPr>
          <w:sz w:val="17"/>
        </w:rPr>
      </w:pPr>
      <w:r>
        <w:rPr>
          <w:color w:val="131113"/>
          <w:spacing w:val="-13"/>
          <w:w w:val="421"/>
          <w:sz w:val="17"/>
        </w:rPr>
        <w:t>,</w:t>
      </w:r>
      <w:r>
        <w:rPr>
          <w:color w:val="131113"/>
          <w:w w:val="127"/>
          <w:sz w:val="17"/>
        </w:rPr>
        <w:t>oR</w:t>
      </w:r>
      <w:r>
        <w:rPr>
          <w:color w:val="131113"/>
          <w:spacing w:val="-19"/>
          <w:sz w:val="17"/>
        </w:rPr>
        <w:t> </w:t>
      </w:r>
      <w:r>
        <w:rPr>
          <w:color w:val="131113"/>
          <w:w w:val="91"/>
          <w:sz w:val="17"/>
        </w:rPr>
        <w:t>-G</w:t>
      </w:r>
      <w:r>
        <w:rPr>
          <w:color w:val="131113"/>
          <w:w w:val="91"/>
          <w:sz w:val="17"/>
        </w:rPr>
        <w:t>(</w:t>
      </w:r>
      <w:r>
        <w:rPr>
          <w:color w:val="131113"/>
          <w:w w:val="91"/>
          <w:sz w:val="17"/>
        </w:rPr>
        <w:t>::"t\t</w:t>
      </w:r>
    </w:p>
    <w:p>
      <w:pPr>
        <w:tabs>
          <w:tab w:pos="5050" w:val="left" w:leader="none"/>
          <w:tab w:pos="5773" w:val="left" w:leader="none"/>
        </w:tabs>
        <w:spacing w:line="413" w:lineRule="exact" w:before="24"/>
        <w:ind w:left="2914" w:right="118" w:firstLine="0"/>
        <w:jc w:val="left"/>
        <w:rPr>
          <w:rFonts w:ascii="Times New Roman"/>
          <w:i/>
          <w:sz w:val="37"/>
        </w:rPr>
      </w:pPr>
      <w:r>
        <w:rPr/>
        <w:pict>
          <v:shape style="position:absolute;margin-left:279.882904pt;margin-top:9.319211pt;width:56.8pt;height:25pt;mso-position-horizontal-relative:page;mso-position-vertical-relative:paragraph;z-index:-1309288" type="#_x0000_t202" filled="false" stroked="false">
            <v:textbox inset="0,0,0,0">
              <w:txbxContent>
                <w:p>
                  <w:pPr>
                    <w:tabs>
                      <w:tab w:pos="1010" w:val="left" w:leader="none"/>
                    </w:tabs>
                    <w:spacing w:line="500" w:lineRule="exact" w:before="0"/>
                    <w:ind w:left="0" w:right="0" w:firstLine="0"/>
                    <w:jc w:val="left"/>
                    <w:rPr>
                      <w:sz w:val="20"/>
                    </w:rPr>
                  </w:pPr>
                  <w:r>
                    <w:rPr>
                      <w:rFonts w:ascii="Courier New"/>
                      <w:color w:val="646664"/>
                      <w:w w:val="53"/>
                      <w:sz w:val="17"/>
                    </w:rPr>
                    <w:t>.</w:t>
                  </w:r>
                  <w:r>
                    <w:rPr>
                      <w:rFonts w:ascii="Courier New"/>
                      <w:color w:val="646664"/>
                      <w:sz w:val="17"/>
                    </w:rPr>
                    <w:t> </w:t>
                  </w:r>
                  <w:r>
                    <w:rPr>
                      <w:color w:val="131113"/>
                      <w:w w:val="93"/>
                      <w:position w:val="-12"/>
                      <w:sz w:val="50"/>
                    </w:rPr>
                    <w:t>.</w:t>
                  </w:r>
                  <w:r>
                    <w:rPr>
                      <w:color w:val="131113"/>
                      <w:spacing w:val="-35"/>
                      <w:position w:val="-12"/>
                      <w:sz w:val="50"/>
                    </w:rPr>
                    <w:t> </w:t>
                  </w:r>
                  <w:r>
                    <w:rPr>
                      <w:rFonts w:ascii="Courier New"/>
                      <w:b/>
                      <w:color w:val="3F3F3F"/>
                      <w:spacing w:val="-64"/>
                      <w:w w:val="89"/>
                      <w:sz w:val="17"/>
                    </w:rPr>
                    <w:t>t</w:t>
                  </w:r>
                  <w:r>
                    <w:rPr>
                      <w:rFonts w:ascii="Times New Roman"/>
                      <w:color w:val="131113"/>
                      <w:w w:val="104"/>
                      <w:position w:val="-12"/>
                      <w:sz w:val="42"/>
                    </w:rPr>
                    <w:t>.</w:t>
                  </w:r>
                  <w:r>
                    <w:rPr>
                      <w:rFonts w:ascii="Times New Roman"/>
                      <w:color w:val="131113"/>
                      <w:position w:val="-12"/>
                      <w:sz w:val="42"/>
                    </w:rPr>
                    <w:tab/>
                  </w:r>
                  <w:r>
                    <w:rPr>
                      <w:color w:val="131113"/>
                      <w:w w:val="93"/>
                      <w:sz w:val="20"/>
                    </w:rPr>
                    <w:t>r-</w:t>
                  </w:r>
                </w:p>
              </w:txbxContent>
            </v:textbox>
            <w10:wrap type="none"/>
          </v:shape>
        </w:pict>
      </w:r>
      <w:r>
        <w:rPr>
          <w:color w:val="131113"/>
          <w:spacing w:val="-1860"/>
          <w:w w:val="600"/>
          <w:sz w:val="37"/>
        </w:rPr>
        <w:t>l</w:t>
      </w:r>
      <w:r>
        <w:rPr>
          <w:color w:val="131113"/>
          <w:w w:val="51"/>
          <w:sz w:val="37"/>
        </w:rPr>
        <w:t>Q</w:t>
      </w:r>
      <w:r>
        <w:rPr>
          <w:color w:val="131113"/>
          <w:sz w:val="37"/>
        </w:rPr>
        <w:tab/>
      </w:r>
      <w:r>
        <w:rPr>
          <w:color w:val="2F2F2F"/>
          <w:w w:val="93"/>
          <w:sz w:val="36"/>
        </w:rPr>
        <w:t>.a:</w:t>
      </w:r>
      <w:r>
        <w:rPr>
          <w:color w:val="2F2F2F"/>
          <w:sz w:val="36"/>
        </w:rPr>
        <w:tab/>
      </w:r>
      <w:r>
        <w:rPr>
          <w:rFonts w:ascii="Times New Roman"/>
          <w:i/>
          <w:color w:val="131113"/>
          <w:w w:val="59"/>
          <w:sz w:val="37"/>
        </w:rPr>
        <w:t>1v</w:t>
      </w:r>
    </w:p>
    <w:p>
      <w:pPr>
        <w:pStyle w:val="BodyText"/>
        <w:spacing w:line="193" w:lineRule="exact"/>
        <w:ind w:right="293"/>
        <w:jc w:val="center"/>
      </w:pPr>
      <w:r>
        <w:rPr>
          <w:color w:val="646664"/>
          <w:w w:val="50"/>
        </w:rPr>
        <w:t>.</w:t>
      </w:r>
    </w:p>
    <w:p>
      <w:pPr>
        <w:spacing w:before="97"/>
        <w:ind w:left="13" w:right="0" w:firstLine="0"/>
        <w:jc w:val="center"/>
        <w:rPr>
          <w:rFonts w:ascii="Times New Roman" w:hAnsi="Times New Roman"/>
          <w:i/>
          <w:sz w:val="12"/>
        </w:rPr>
      </w:pPr>
      <w:r>
        <w:rPr>
          <w:rFonts w:ascii="Times New Roman" w:hAnsi="Times New Roman"/>
          <w:color w:val="3F3F3F"/>
          <w:w w:val="77"/>
          <w:sz w:val="12"/>
        </w:rPr>
        <w:t>o.,,</w:t>
      </w:r>
      <w:r>
        <w:rPr>
          <w:rFonts w:ascii="Times New Roman" w:hAnsi="Times New Roman"/>
          <w:color w:val="3F3F3F"/>
          <w:spacing w:val="-21"/>
          <w:sz w:val="12"/>
        </w:rPr>
        <w:t> </w:t>
      </w:r>
      <w:r>
        <w:rPr>
          <w:rFonts w:ascii="Times New Roman" w:hAnsi="Times New Roman"/>
          <w:color w:val="2F2F2F"/>
          <w:w w:val="76"/>
          <w:sz w:val="12"/>
        </w:rPr>
        <w:t>.</w:t>
      </w:r>
      <w:r>
        <w:rPr>
          <w:rFonts w:ascii="Times New Roman" w:hAnsi="Times New Roman"/>
          <w:color w:val="2F2F2F"/>
          <w:spacing w:val="7"/>
          <w:w w:val="76"/>
          <w:sz w:val="12"/>
        </w:rPr>
        <w:t>.</w:t>
      </w:r>
      <w:r>
        <w:rPr>
          <w:rFonts w:ascii="Times New Roman" w:hAnsi="Times New Roman"/>
          <w:color w:val="3F3F3F"/>
          <w:w w:val="74"/>
          <w:sz w:val="13"/>
        </w:rPr>
        <w:t>""C</w:t>
      </w:r>
      <w:r>
        <w:rPr>
          <w:rFonts w:ascii="Times New Roman" w:hAnsi="Times New Roman"/>
          <w:color w:val="3F3F3F"/>
          <w:spacing w:val="-12"/>
          <w:w w:val="74"/>
          <w:sz w:val="13"/>
        </w:rPr>
        <w:t>"</w:t>
      </w:r>
      <w:r>
        <w:rPr>
          <w:rFonts w:ascii="Times New Roman" w:hAnsi="Times New Roman"/>
          <w:color w:val="3F3F3F"/>
          <w:spacing w:val="-1"/>
          <w:w w:val="146"/>
          <w:sz w:val="13"/>
        </w:rPr>
        <w:t>'</w:t>
      </w:r>
      <w:r>
        <w:rPr>
          <w:rFonts w:ascii="Times New Roman" w:hAnsi="Times New Roman"/>
          <w:color w:val="3F3F3F"/>
          <w:w w:val="82"/>
          <w:position w:val="5"/>
          <w:sz w:val="13"/>
        </w:rPr>
        <w:t>1</w:t>
      </w:r>
      <w:r>
        <w:rPr>
          <w:rFonts w:ascii="Times New Roman" w:hAnsi="Times New Roman"/>
          <w:color w:val="3F3F3F"/>
          <w:spacing w:val="5"/>
          <w:position w:val="5"/>
          <w:sz w:val="13"/>
        </w:rPr>
        <w:t> </w:t>
      </w:r>
      <w:r>
        <w:rPr>
          <w:rFonts w:ascii="Times New Roman" w:hAnsi="Times New Roman"/>
          <w:color w:val="3F3F3F"/>
          <w:spacing w:val="1"/>
          <w:w w:val="62"/>
          <w:sz w:val="12"/>
        </w:rPr>
        <w:t>u</w:t>
      </w:r>
      <w:r>
        <w:rPr>
          <w:rFonts w:ascii="Times New Roman" w:hAnsi="Times New Roman"/>
          <w:color w:val="747775"/>
          <w:spacing w:val="4"/>
          <w:w w:val="36"/>
          <w:sz w:val="12"/>
        </w:rPr>
        <w:t>·</w:t>
      </w:r>
      <w:r>
        <w:rPr>
          <w:rFonts w:ascii="Times New Roman" w:hAnsi="Times New Roman"/>
          <w:color w:val="2F2F2F"/>
          <w:w w:val="77"/>
          <w:sz w:val="12"/>
        </w:rPr>
        <w:t>.....</w:t>
      </w:r>
      <w:r>
        <w:rPr>
          <w:rFonts w:ascii="Times New Roman" w:hAnsi="Times New Roman"/>
          <w:color w:val="2F2F2F"/>
          <w:sz w:val="12"/>
        </w:rPr>
        <w:t> </w:t>
      </w:r>
      <w:r>
        <w:rPr>
          <w:rFonts w:ascii="Times New Roman" w:hAnsi="Times New Roman"/>
          <w:color w:val="2F2F2F"/>
          <w:spacing w:val="-13"/>
          <w:sz w:val="12"/>
        </w:rPr>
        <w:t> </w:t>
      </w:r>
      <w:r>
        <w:rPr>
          <w:rFonts w:ascii="Times New Roman" w:hAnsi="Times New Roman"/>
          <w:color w:val="4F4F50"/>
          <w:w w:val="82"/>
          <w:sz w:val="12"/>
        </w:rPr>
        <w:t>.</w:t>
      </w:r>
      <w:r>
        <w:rPr>
          <w:rFonts w:ascii="Times New Roman" w:hAnsi="Times New Roman"/>
          <w:color w:val="4F4F50"/>
          <w:spacing w:val="-7"/>
          <w:w w:val="82"/>
          <w:sz w:val="12"/>
        </w:rPr>
        <w:t>,</w:t>
      </w:r>
      <w:r>
        <w:rPr>
          <w:rFonts w:ascii="Times New Roman" w:hAnsi="Times New Roman"/>
          <w:color w:val="2F2F2F"/>
          <w:spacing w:val="-45"/>
          <w:w w:val="257"/>
          <w:sz w:val="12"/>
        </w:rPr>
        <w:t>.</w:t>
      </w:r>
      <w:r>
        <w:rPr>
          <w:rFonts w:ascii="Times New Roman" w:hAnsi="Times New Roman"/>
          <w:color w:val="2F2F2F"/>
          <w:w w:val="83"/>
          <w:sz w:val="12"/>
        </w:rPr>
        <w:t>,.</w:t>
      </w:r>
      <w:r>
        <w:rPr>
          <w:rFonts w:ascii="Times New Roman" w:hAnsi="Times New Roman"/>
          <w:color w:val="2F2F2F"/>
          <w:spacing w:val="-4"/>
          <w:sz w:val="12"/>
        </w:rPr>
        <w:t> </w:t>
      </w:r>
      <w:r>
        <w:rPr>
          <w:rFonts w:ascii="Times New Roman" w:hAnsi="Times New Roman"/>
          <w:i/>
          <w:color w:val="3F3F3F"/>
          <w:w w:val="98"/>
          <w:sz w:val="12"/>
        </w:rPr>
        <w:t>,.,;</w:t>
      </w:r>
      <w:r>
        <w:rPr>
          <w:rFonts w:ascii="Times New Roman" w:hAnsi="Times New Roman"/>
          <w:i/>
          <w:color w:val="3F3F3F"/>
          <w:spacing w:val="-6"/>
          <w:w w:val="98"/>
          <w:sz w:val="12"/>
        </w:rPr>
        <w:t>,</w:t>
      </w:r>
      <w:r>
        <w:rPr>
          <w:rFonts w:ascii="Times New Roman" w:hAnsi="Times New Roman"/>
          <w:i/>
          <w:color w:val="B8B8B8"/>
          <w:w w:val="79"/>
          <w:sz w:val="12"/>
        </w:rPr>
        <w:t>.</w:t>
      </w:r>
    </w:p>
    <w:p>
      <w:pPr>
        <w:pStyle w:val="BodyText"/>
        <w:spacing w:before="3"/>
        <w:rPr>
          <w:rFonts w:ascii="Times New Roman"/>
          <w:i/>
          <w:sz w:val="10"/>
        </w:rPr>
      </w:pPr>
      <w:r>
        <w:rPr/>
        <w:drawing>
          <wp:anchor distT="0" distB="0" distL="0" distR="0" allowOverlap="1" layoutInCell="1" locked="0" behindDoc="0" simplePos="0" relativeHeight="4888">
            <wp:simplePos x="0" y="0"/>
            <wp:positionH relativeFrom="page">
              <wp:posOffset>3340608</wp:posOffset>
            </wp:positionH>
            <wp:positionV relativeFrom="paragraph">
              <wp:posOffset>99869</wp:posOffset>
            </wp:positionV>
            <wp:extent cx="841247" cy="243840"/>
            <wp:effectExtent l="0" t="0" r="0" b="0"/>
            <wp:wrapTopAndBottom/>
            <wp:docPr id="65" name="image60.jpeg" descr=""/>
            <wp:cNvGraphicFramePr>
              <a:graphicFrameLocks noChangeAspect="1"/>
            </wp:cNvGraphicFramePr>
            <a:graphic>
              <a:graphicData uri="http://schemas.openxmlformats.org/drawingml/2006/picture">
                <pic:pic>
                  <pic:nvPicPr>
                    <pic:cNvPr id="66" name="image60.jpeg"/>
                    <pic:cNvPicPr/>
                  </pic:nvPicPr>
                  <pic:blipFill>
                    <a:blip r:embed="rId156" cstate="print"/>
                    <a:stretch>
                      <a:fillRect/>
                    </a:stretch>
                  </pic:blipFill>
                  <pic:spPr>
                    <a:xfrm>
                      <a:off x="0" y="0"/>
                      <a:ext cx="841247" cy="243840"/>
                    </a:xfrm>
                    <a:prstGeom prst="rect">
                      <a:avLst/>
                    </a:prstGeom>
                  </pic:spPr>
                </pic:pic>
              </a:graphicData>
            </a:graphic>
          </wp:anchor>
        </w:drawing>
      </w:r>
    </w:p>
    <w:p>
      <w:pPr>
        <w:pStyle w:val="BodyText"/>
        <w:spacing w:before="9"/>
        <w:rPr>
          <w:rFonts w:ascii="Times New Roman"/>
          <w:i/>
          <w:sz w:val="23"/>
        </w:rPr>
      </w:pPr>
    </w:p>
    <w:p>
      <w:pPr>
        <w:spacing w:before="0"/>
        <w:ind w:left="114" w:right="0" w:firstLine="0"/>
        <w:jc w:val="center"/>
        <w:rPr>
          <w:b/>
          <w:sz w:val="23"/>
        </w:rPr>
      </w:pPr>
      <w:r>
        <w:rPr>
          <w:b/>
          <w:color w:val="131113"/>
          <w:w w:val="105"/>
          <w:sz w:val="23"/>
        </w:rPr>
        <w:t>INDEPENDENT AUDITOR'S REPORT</w:t>
      </w:r>
    </w:p>
    <w:p>
      <w:pPr>
        <w:pStyle w:val="BodyText"/>
        <w:spacing w:before="8"/>
        <w:rPr>
          <w:b/>
          <w:sz w:val="20"/>
        </w:rPr>
      </w:pPr>
    </w:p>
    <w:p>
      <w:pPr>
        <w:spacing w:before="1"/>
        <w:ind w:left="118" w:right="0" w:firstLine="0"/>
        <w:jc w:val="center"/>
        <w:rPr>
          <w:b/>
          <w:sz w:val="23"/>
        </w:rPr>
      </w:pPr>
      <w:r>
        <w:rPr>
          <w:b/>
          <w:color w:val="131113"/>
          <w:w w:val="105"/>
          <w:sz w:val="23"/>
        </w:rPr>
        <w:t>University of Western Sydney Foundation Trust</w:t>
      </w:r>
    </w:p>
    <w:p>
      <w:pPr>
        <w:pStyle w:val="BodyText"/>
        <w:rPr>
          <w:b/>
          <w:sz w:val="22"/>
        </w:rPr>
      </w:pPr>
    </w:p>
    <w:p>
      <w:pPr>
        <w:pStyle w:val="BodyText"/>
        <w:spacing w:before="3"/>
        <w:rPr>
          <w:b/>
        </w:rPr>
      </w:pPr>
    </w:p>
    <w:p>
      <w:pPr>
        <w:pStyle w:val="Heading8"/>
        <w:spacing w:line="244" w:lineRule="auto"/>
        <w:ind w:left="731" w:right="647" w:hanging="15"/>
      </w:pPr>
      <w:r>
        <w:rPr>
          <w:color w:val="131113"/>
        </w:rPr>
        <w:t>To Members of the New South Wales Parliament and Members of University of Western Sydney Foundation Trust.</w:t>
      </w:r>
    </w:p>
    <w:p>
      <w:pPr>
        <w:pStyle w:val="BodyText"/>
        <w:spacing w:before="7"/>
        <w:rPr>
          <w:sz w:val="19"/>
        </w:rPr>
      </w:pPr>
    </w:p>
    <w:p>
      <w:pPr>
        <w:spacing w:before="1"/>
        <w:ind w:left="731" w:right="0" w:firstLine="0"/>
        <w:jc w:val="both"/>
        <w:rPr>
          <w:b/>
          <w:sz w:val="23"/>
        </w:rPr>
      </w:pPr>
      <w:r>
        <w:rPr>
          <w:b/>
          <w:color w:val="131113"/>
          <w:w w:val="105"/>
          <w:sz w:val="23"/>
        </w:rPr>
        <w:t>Report on the Financial Statements</w:t>
      </w:r>
    </w:p>
    <w:p>
      <w:pPr>
        <w:pStyle w:val="BodyText"/>
        <w:spacing w:before="3"/>
        <w:rPr>
          <w:b/>
          <w:sz w:val="20"/>
        </w:rPr>
      </w:pPr>
    </w:p>
    <w:p>
      <w:pPr>
        <w:spacing w:line="240" w:lineRule="auto" w:before="0"/>
        <w:ind w:left="717" w:right="637" w:firstLine="9"/>
        <w:jc w:val="both"/>
        <w:rPr>
          <w:sz w:val="20"/>
        </w:rPr>
      </w:pPr>
      <w:r>
        <w:rPr>
          <w:color w:val="131113"/>
          <w:sz w:val="20"/>
        </w:rPr>
        <w:t>I have audited the accompanying financial statements of the University of Western Sydney</w:t>
      </w:r>
      <w:r>
        <w:rPr>
          <w:color w:val="131113"/>
          <w:spacing w:val="-19"/>
          <w:sz w:val="20"/>
        </w:rPr>
        <w:t> </w:t>
      </w:r>
      <w:r>
        <w:rPr>
          <w:color w:val="131113"/>
          <w:sz w:val="20"/>
        </w:rPr>
        <w:t>Foundation Trust (the Trust), which comprise the statement of financial position as at 31 December 2012 </w:t>
      </w:r>
      <w:r>
        <w:rPr>
          <w:color w:val="3F3F3F"/>
          <w:sz w:val="20"/>
        </w:rPr>
        <w:t>, </w:t>
      </w:r>
      <w:r>
        <w:rPr>
          <w:color w:val="131113"/>
          <w:sz w:val="20"/>
        </w:rPr>
        <w:t>the statement of comprehensive income, statement of changes in equity and statement of cash flows, for the year then ended, notes comprising a summary of significant accounting policies and other explanatory</w:t>
      </w:r>
      <w:r>
        <w:rPr>
          <w:color w:val="131113"/>
          <w:spacing w:val="-16"/>
          <w:sz w:val="20"/>
        </w:rPr>
        <w:t> </w:t>
      </w:r>
      <w:r>
        <w:rPr>
          <w:color w:val="131113"/>
          <w:sz w:val="20"/>
        </w:rPr>
        <w:t>information.</w:t>
      </w:r>
    </w:p>
    <w:p>
      <w:pPr>
        <w:pStyle w:val="BodyText"/>
        <w:rPr>
          <w:sz w:val="20"/>
        </w:rPr>
      </w:pPr>
    </w:p>
    <w:p>
      <w:pPr>
        <w:spacing w:before="1"/>
        <w:ind w:left="731" w:right="0" w:firstLine="0"/>
        <w:jc w:val="both"/>
        <w:rPr>
          <w:b/>
          <w:sz w:val="23"/>
        </w:rPr>
      </w:pPr>
      <w:r>
        <w:rPr>
          <w:b/>
          <w:color w:val="131113"/>
          <w:sz w:val="23"/>
        </w:rPr>
        <w:t>Basis for  Qualified Opinion</w:t>
      </w:r>
    </w:p>
    <w:p>
      <w:pPr>
        <w:pStyle w:val="BodyText"/>
        <w:spacing w:before="5"/>
        <w:rPr>
          <w:b/>
          <w:sz w:val="20"/>
        </w:rPr>
      </w:pPr>
    </w:p>
    <w:p>
      <w:pPr>
        <w:spacing w:line="237" w:lineRule="auto" w:before="0"/>
        <w:ind w:left="717" w:right="631" w:firstLine="0"/>
        <w:jc w:val="both"/>
        <w:rPr>
          <w:sz w:val="20"/>
        </w:rPr>
      </w:pPr>
      <w:r>
        <w:rPr>
          <w:color w:val="131113"/>
          <w:sz w:val="20"/>
        </w:rPr>
        <w:t>As is common for entities that have donations and fundraising as sources of revenue, it is impracticable for the Trust to maintain an effective system of internal control over donated and fundraising revenues it receives until their initial entry into the financial records</w:t>
      </w:r>
      <w:r>
        <w:rPr>
          <w:color w:val="3F3F3F"/>
          <w:sz w:val="20"/>
        </w:rPr>
        <w:t>. </w:t>
      </w:r>
      <w:r>
        <w:rPr>
          <w:color w:val="131113"/>
          <w:sz w:val="20"/>
        </w:rPr>
        <w:t>Accordingly </w:t>
      </w:r>
      <w:r>
        <w:rPr>
          <w:color w:val="2F2F2F"/>
          <w:sz w:val="20"/>
        </w:rPr>
        <w:t>, </w:t>
      </w:r>
      <w:r>
        <w:rPr>
          <w:color w:val="131113"/>
          <w:sz w:val="20"/>
        </w:rPr>
        <w:t>as the evidence available to me regarding revenue from these sources was limited, my audit procedures with respect to these revenues were restricted to the amounts recorded in the financial records. I am therefore unable to express an opinion on whether all donated and fundraising revenues received by the Trust during the year ended 31 December 2012 have been recorded in </w:t>
      </w:r>
      <w:r>
        <w:rPr>
          <w:color w:val="2F2F2F"/>
          <w:sz w:val="20"/>
        </w:rPr>
        <w:t>i</w:t>
      </w:r>
      <w:r>
        <w:rPr>
          <w:color w:val="131113"/>
          <w:sz w:val="20"/>
        </w:rPr>
        <w:t>ts financial records</w:t>
      </w:r>
      <w:r>
        <w:rPr>
          <w:color w:val="2F2F2F"/>
          <w:sz w:val="20"/>
        </w:rPr>
        <w:t>. </w:t>
      </w:r>
      <w:r>
        <w:rPr>
          <w:color w:val="131113"/>
          <w:sz w:val="20"/>
        </w:rPr>
        <w:t>My auditor</w:t>
      </w:r>
      <w:r>
        <w:rPr>
          <w:color w:val="2F2F2F"/>
          <w:sz w:val="20"/>
        </w:rPr>
        <w:t>'</w:t>
      </w:r>
      <w:r>
        <w:rPr>
          <w:color w:val="131113"/>
          <w:sz w:val="20"/>
        </w:rPr>
        <w:t>s report for the year ended 31 December 2011 was similarly qualified.</w:t>
      </w:r>
    </w:p>
    <w:p>
      <w:pPr>
        <w:pStyle w:val="BodyText"/>
        <w:spacing w:before="6"/>
        <w:rPr>
          <w:sz w:val="20"/>
        </w:rPr>
      </w:pPr>
    </w:p>
    <w:p>
      <w:pPr>
        <w:spacing w:before="0"/>
        <w:ind w:left="722" w:right="0" w:firstLine="0"/>
        <w:jc w:val="both"/>
        <w:rPr>
          <w:b/>
          <w:sz w:val="23"/>
        </w:rPr>
      </w:pPr>
      <w:r>
        <w:rPr>
          <w:b/>
          <w:color w:val="131113"/>
          <w:w w:val="105"/>
          <w:sz w:val="23"/>
        </w:rPr>
        <w:t>Qualified Opinion</w:t>
      </w:r>
    </w:p>
    <w:p>
      <w:pPr>
        <w:pStyle w:val="BodyText"/>
        <w:spacing w:before="10"/>
        <w:rPr>
          <w:b/>
          <w:sz w:val="19"/>
        </w:rPr>
      </w:pPr>
    </w:p>
    <w:p>
      <w:pPr>
        <w:spacing w:line="242" w:lineRule="auto" w:before="0"/>
        <w:ind w:left="717" w:right="627" w:firstLine="9"/>
        <w:jc w:val="both"/>
        <w:rPr>
          <w:sz w:val="20"/>
        </w:rPr>
      </w:pPr>
      <w:r>
        <w:rPr>
          <w:color w:val="131113"/>
          <w:sz w:val="20"/>
        </w:rPr>
        <w:t>In my opinion</w:t>
      </w:r>
      <w:r>
        <w:rPr>
          <w:color w:val="2F2F2F"/>
          <w:sz w:val="20"/>
        </w:rPr>
        <w:t>, </w:t>
      </w:r>
      <w:r>
        <w:rPr>
          <w:color w:val="131113"/>
          <w:sz w:val="20"/>
        </w:rPr>
        <w:t>except for the effects of such adjustments </w:t>
      </w:r>
      <w:r>
        <w:rPr>
          <w:color w:val="2F2F2F"/>
          <w:sz w:val="20"/>
        </w:rPr>
        <w:t>, </w:t>
      </w:r>
      <w:r>
        <w:rPr>
          <w:color w:val="131113"/>
          <w:sz w:val="20"/>
        </w:rPr>
        <w:t>if any</w:t>
      </w:r>
      <w:r>
        <w:rPr>
          <w:color w:val="2F2F2F"/>
          <w:sz w:val="20"/>
        </w:rPr>
        <w:t>, </w:t>
      </w:r>
      <w:r>
        <w:rPr>
          <w:color w:val="131113"/>
          <w:sz w:val="20"/>
        </w:rPr>
        <w:t>as might have been necessary had I been able to satisfy myself as to the completeness of donated and fundraising revenue</w:t>
      </w:r>
      <w:r>
        <w:rPr>
          <w:color w:val="3F3F3F"/>
          <w:sz w:val="20"/>
        </w:rPr>
        <w:t>, </w:t>
      </w:r>
      <w:r>
        <w:rPr>
          <w:color w:val="131113"/>
          <w:sz w:val="20"/>
        </w:rPr>
        <w:t>the financial </w:t>
      </w:r>
      <w:r>
        <w:rPr>
          <w:color w:val="131113"/>
          <w:w w:val="95"/>
          <w:sz w:val="20"/>
        </w:rPr>
        <w:t>statements </w:t>
      </w:r>
      <w:r>
        <w:rPr>
          <w:color w:val="3F3F3F"/>
          <w:w w:val="95"/>
          <w:sz w:val="20"/>
        </w:rPr>
        <w:t>:</w:t>
      </w:r>
    </w:p>
    <w:p>
      <w:pPr>
        <w:pStyle w:val="BodyText"/>
        <w:spacing w:before="4"/>
        <w:rPr>
          <w:sz w:val="24"/>
        </w:rPr>
      </w:pPr>
    </w:p>
    <w:p>
      <w:pPr>
        <w:pStyle w:val="ListParagraph"/>
        <w:numPr>
          <w:ilvl w:val="0"/>
          <w:numId w:val="57"/>
        </w:numPr>
        <w:tabs>
          <w:tab w:pos="1283" w:val="left" w:leader="none"/>
        </w:tabs>
        <w:spacing w:line="240" w:lineRule="auto" w:before="0" w:after="0"/>
        <w:ind w:left="1287" w:right="637" w:hanging="570"/>
        <w:jc w:val="left"/>
        <w:rPr>
          <w:sz w:val="20"/>
        </w:rPr>
      </w:pPr>
      <w:r>
        <w:rPr>
          <w:color w:val="131113"/>
          <w:sz w:val="20"/>
        </w:rPr>
        <w:t>give a true and fair view of the financial position of the Trust as at 31 December 2012, and its performance for the year then ended on that</w:t>
      </w:r>
      <w:r>
        <w:rPr>
          <w:color w:val="131113"/>
          <w:spacing w:val="-18"/>
          <w:sz w:val="20"/>
        </w:rPr>
        <w:t> </w:t>
      </w:r>
      <w:r>
        <w:rPr>
          <w:color w:val="131113"/>
          <w:sz w:val="20"/>
        </w:rPr>
        <w:t>date</w:t>
      </w:r>
    </w:p>
    <w:p>
      <w:pPr>
        <w:pStyle w:val="ListParagraph"/>
        <w:numPr>
          <w:ilvl w:val="0"/>
          <w:numId w:val="57"/>
        </w:numPr>
        <w:tabs>
          <w:tab w:pos="1283" w:val="left" w:leader="none"/>
        </w:tabs>
        <w:spacing w:line="240" w:lineRule="auto" w:before="62" w:after="0"/>
        <w:ind w:left="1282" w:right="0" w:hanging="565"/>
        <w:jc w:val="both"/>
        <w:rPr>
          <w:sz w:val="20"/>
        </w:rPr>
      </w:pPr>
      <w:r>
        <w:rPr>
          <w:color w:val="131113"/>
          <w:sz w:val="20"/>
        </w:rPr>
        <w:t>comply with Australian Accounting</w:t>
      </w:r>
      <w:r>
        <w:rPr>
          <w:color w:val="131113"/>
          <w:spacing w:val="-18"/>
          <w:sz w:val="20"/>
        </w:rPr>
        <w:t> </w:t>
      </w:r>
      <w:r>
        <w:rPr>
          <w:color w:val="131113"/>
          <w:sz w:val="20"/>
        </w:rPr>
        <w:t>Standards</w:t>
      </w:r>
    </w:p>
    <w:p>
      <w:pPr>
        <w:pStyle w:val="ListParagraph"/>
        <w:numPr>
          <w:ilvl w:val="0"/>
          <w:numId w:val="57"/>
        </w:numPr>
        <w:tabs>
          <w:tab w:pos="1283" w:val="left" w:leader="none"/>
        </w:tabs>
        <w:spacing w:line="244" w:lineRule="auto" w:before="53" w:after="0"/>
        <w:ind w:left="1282" w:right="652" w:hanging="565"/>
        <w:jc w:val="left"/>
        <w:rPr>
          <w:sz w:val="20"/>
        </w:rPr>
      </w:pPr>
      <w:r>
        <w:rPr>
          <w:color w:val="131113"/>
          <w:sz w:val="20"/>
        </w:rPr>
        <w:t>are in accordance with section 41 B of the </w:t>
      </w:r>
      <w:r>
        <w:rPr>
          <w:i/>
          <w:color w:val="131113"/>
          <w:sz w:val="20"/>
        </w:rPr>
        <w:t>Public Finance and Audit Act 1983 </w:t>
      </w:r>
      <w:r>
        <w:rPr>
          <w:color w:val="131113"/>
          <w:sz w:val="20"/>
        </w:rPr>
        <w:t>(the PF&amp;A Act) and</w:t>
      </w:r>
      <w:r>
        <w:rPr>
          <w:color w:val="131113"/>
          <w:spacing w:val="-11"/>
          <w:sz w:val="20"/>
        </w:rPr>
        <w:t> </w:t>
      </w:r>
      <w:r>
        <w:rPr>
          <w:color w:val="131113"/>
          <w:sz w:val="20"/>
        </w:rPr>
        <w:t>the Public</w:t>
      </w:r>
      <w:r>
        <w:rPr>
          <w:color w:val="131113"/>
          <w:spacing w:val="-1"/>
          <w:sz w:val="20"/>
        </w:rPr>
        <w:t> </w:t>
      </w:r>
      <w:r>
        <w:rPr>
          <w:color w:val="131113"/>
          <w:sz w:val="20"/>
        </w:rPr>
        <w:t>Finance</w:t>
      </w:r>
      <w:r>
        <w:rPr>
          <w:color w:val="131113"/>
          <w:spacing w:val="-8"/>
          <w:sz w:val="20"/>
        </w:rPr>
        <w:t> </w:t>
      </w:r>
      <w:r>
        <w:rPr>
          <w:color w:val="131113"/>
          <w:sz w:val="20"/>
        </w:rPr>
        <w:t>and</w:t>
      </w:r>
      <w:r>
        <w:rPr>
          <w:color w:val="131113"/>
          <w:spacing w:val="-11"/>
          <w:sz w:val="20"/>
        </w:rPr>
        <w:t> </w:t>
      </w:r>
      <w:r>
        <w:rPr>
          <w:color w:val="131113"/>
          <w:sz w:val="20"/>
        </w:rPr>
        <w:t>Audit</w:t>
      </w:r>
      <w:r>
        <w:rPr>
          <w:color w:val="131113"/>
          <w:spacing w:val="8"/>
          <w:sz w:val="20"/>
        </w:rPr>
        <w:t> </w:t>
      </w:r>
      <w:r>
        <w:rPr>
          <w:color w:val="131113"/>
          <w:sz w:val="20"/>
        </w:rPr>
        <w:t>Regulation</w:t>
      </w:r>
      <w:r>
        <w:rPr>
          <w:color w:val="131113"/>
          <w:spacing w:val="-1"/>
          <w:sz w:val="20"/>
        </w:rPr>
        <w:t> </w:t>
      </w:r>
      <w:r>
        <w:rPr>
          <w:color w:val="131113"/>
          <w:sz w:val="20"/>
        </w:rPr>
        <w:t>2010</w:t>
      </w:r>
      <w:r>
        <w:rPr>
          <w:color w:val="131113"/>
          <w:spacing w:val="-41"/>
          <w:sz w:val="20"/>
        </w:rPr>
        <w:t> </w:t>
      </w:r>
      <w:r>
        <w:rPr>
          <w:color w:val="3F3F3F"/>
          <w:sz w:val="20"/>
        </w:rPr>
        <w:t>.</w:t>
      </w:r>
    </w:p>
    <w:p>
      <w:pPr>
        <w:pStyle w:val="Heading8"/>
        <w:numPr>
          <w:ilvl w:val="0"/>
          <w:numId w:val="57"/>
        </w:numPr>
        <w:tabs>
          <w:tab w:pos="1283" w:val="left" w:leader="none"/>
        </w:tabs>
        <w:spacing w:line="240" w:lineRule="auto" w:before="48" w:after="0"/>
        <w:ind w:left="1277" w:right="648" w:hanging="565"/>
        <w:jc w:val="both"/>
      </w:pPr>
      <w:r>
        <w:rPr>
          <w:color w:val="131113"/>
        </w:rPr>
        <w:t>are in accordance with the </w:t>
      </w:r>
      <w:r>
        <w:rPr>
          <w:i/>
          <w:color w:val="131113"/>
        </w:rPr>
        <w:t>Charitable Fundraising Act 1991 </w:t>
      </w:r>
      <w:r>
        <w:rPr>
          <w:color w:val="131113"/>
        </w:rPr>
        <w:t>(CF Act) and the Charitable Fundraising Regulation 2008 (CF Regulation), including showing a true and fair view of the Trust's financial result of fundra</w:t>
      </w:r>
      <w:r>
        <w:rPr>
          <w:color w:val="2F2F2F"/>
        </w:rPr>
        <w:t>i</w:t>
      </w:r>
      <w:r>
        <w:rPr>
          <w:color w:val="131113"/>
        </w:rPr>
        <w:t>sing appeals for the year ended 31 December</w:t>
      </w:r>
      <w:r>
        <w:rPr>
          <w:color w:val="131113"/>
          <w:spacing w:val="-8"/>
        </w:rPr>
        <w:t> </w:t>
      </w:r>
      <w:r>
        <w:rPr>
          <w:color w:val="131113"/>
        </w:rPr>
        <w:t>2012</w:t>
      </w:r>
    </w:p>
    <w:p>
      <w:pPr>
        <w:pStyle w:val="BodyText"/>
        <w:rPr>
          <w:sz w:val="25"/>
        </w:rPr>
      </w:pPr>
    </w:p>
    <w:p>
      <w:pPr>
        <w:spacing w:before="0"/>
        <w:ind w:left="717" w:right="0" w:firstLine="0"/>
        <w:jc w:val="both"/>
        <w:rPr>
          <w:sz w:val="20"/>
        </w:rPr>
      </w:pPr>
      <w:r>
        <w:rPr>
          <w:color w:val="131113"/>
          <w:sz w:val="20"/>
        </w:rPr>
        <w:t>My qualified opinion should be read in conjunction with the rest of this report</w:t>
      </w:r>
      <w:r>
        <w:rPr>
          <w:color w:val="2F2F2F"/>
          <w:sz w:val="20"/>
        </w:rPr>
        <w:t>.</w:t>
      </w:r>
    </w:p>
    <w:p>
      <w:pPr>
        <w:pStyle w:val="BodyText"/>
        <w:spacing w:before="5"/>
        <w:rPr>
          <w:sz w:val="20"/>
        </w:rPr>
      </w:pPr>
    </w:p>
    <w:p>
      <w:pPr>
        <w:spacing w:before="0"/>
        <w:ind w:left="707" w:right="0" w:firstLine="0"/>
        <w:jc w:val="both"/>
        <w:rPr>
          <w:b/>
          <w:sz w:val="23"/>
        </w:rPr>
      </w:pPr>
      <w:r>
        <w:rPr>
          <w:b/>
          <w:color w:val="131113"/>
          <w:sz w:val="23"/>
        </w:rPr>
        <w:t>The  Directors'  Responsibility for  the  Financial Statements</w:t>
      </w:r>
    </w:p>
    <w:p>
      <w:pPr>
        <w:pStyle w:val="BodyText"/>
        <w:spacing w:before="10"/>
        <w:rPr>
          <w:b/>
          <w:sz w:val="19"/>
        </w:rPr>
      </w:pPr>
    </w:p>
    <w:p>
      <w:pPr>
        <w:spacing w:line="242" w:lineRule="auto" w:before="0"/>
        <w:ind w:left="707" w:right="640" w:firstLine="0"/>
        <w:jc w:val="both"/>
        <w:rPr>
          <w:sz w:val="20"/>
        </w:rPr>
      </w:pPr>
      <w:r>
        <w:rPr>
          <w:color w:val="131113"/>
          <w:sz w:val="20"/>
        </w:rPr>
        <w:t>The directors of the Trust are responsible for the preparation of the financial statements that </w:t>
      </w:r>
      <w:r>
        <w:rPr>
          <w:color w:val="131113"/>
          <w:spacing w:val="-5"/>
          <w:sz w:val="20"/>
        </w:rPr>
        <w:t>g</w:t>
      </w:r>
      <w:r>
        <w:rPr>
          <w:color w:val="2F2F2F"/>
          <w:spacing w:val="-5"/>
          <w:sz w:val="20"/>
        </w:rPr>
        <w:t>i</w:t>
      </w:r>
      <w:r>
        <w:rPr>
          <w:color w:val="131113"/>
          <w:spacing w:val="-5"/>
          <w:sz w:val="20"/>
        </w:rPr>
        <w:t>ve </w:t>
      </w:r>
      <w:r>
        <w:rPr>
          <w:color w:val="131113"/>
          <w:sz w:val="20"/>
        </w:rPr>
        <w:t>a  true and fair view in accordance with Australian Accounting </w:t>
      </w:r>
      <w:r>
        <w:rPr>
          <w:color w:val="131113"/>
          <w:spacing w:val="2"/>
          <w:sz w:val="20"/>
        </w:rPr>
        <w:t>Standards</w:t>
      </w:r>
      <w:r>
        <w:rPr>
          <w:color w:val="2F2F2F"/>
          <w:spacing w:val="2"/>
          <w:sz w:val="20"/>
        </w:rPr>
        <w:t>, </w:t>
      </w:r>
      <w:r>
        <w:rPr>
          <w:color w:val="131113"/>
          <w:sz w:val="20"/>
        </w:rPr>
        <w:t>the PF&amp;A Act and the CF Act, and for such internal control as the directors determine is necessary to enable the preparation of the financial statements that give a true and fair view and are free from material misstatement, whether due to fraud or</w:t>
      </w:r>
      <w:r>
        <w:rPr>
          <w:color w:val="131113"/>
          <w:spacing w:val="-14"/>
          <w:sz w:val="20"/>
        </w:rPr>
        <w:t> </w:t>
      </w:r>
      <w:r>
        <w:rPr>
          <w:color w:val="131113"/>
          <w:sz w:val="20"/>
        </w:rPr>
        <w:t>error.</w:t>
      </w:r>
    </w:p>
    <w:p>
      <w:pPr>
        <w:pStyle w:val="BodyText"/>
        <w:rPr>
          <w:sz w:val="20"/>
        </w:rPr>
      </w:pPr>
    </w:p>
    <w:p>
      <w:pPr>
        <w:pStyle w:val="BodyText"/>
        <w:rPr>
          <w:sz w:val="20"/>
        </w:rPr>
      </w:pPr>
    </w:p>
    <w:p>
      <w:pPr>
        <w:pStyle w:val="BodyText"/>
        <w:spacing w:before="10"/>
        <w:rPr>
          <w:sz w:val="16"/>
        </w:rPr>
      </w:pPr>
      <w:r>
        <w:rPr/>
        <w:pict>
          <v:line style="position:absolute;mso-position-horizontal-relative:page;mso-position-vertical-relative:paragraph;z-index:4912;mso-wrap-distance-left:0;mso-wrap-distance-right:0" from="40.701542pt,11.918158pt" to="549.231212pt,11.918158pt" stroked="true" strokeweight=".478842pt" strokecolor="#484848">
            <w10:wrap type="topAndBottom"/>
          </v:line>
        </w:pict>
      </w:r>
    </w:p>
    <w:p>
      <w:pPr>
        <w:spacing w:after="0"/>
        <w:rPr>
          <w:sz w:val="16"/>
        </w:rPr>
        <w:sectPr>
          <w:headerReference w:type="default" r:id="rId154"/>
          <w:footerReference w:type="default" r:id="rId155"/>
          <w:pgSz w:w="11910" w:h="16840"/>
          <w:pgMar w:header="0" w:footer="577" w:top="900" w:bottom="760" w:left="700" w:right="800"/>
        </w:sectPr>
      </w:pPr>
    </w:p>
    <w:p>
      <w:pPr>
        <w:pStyle w:val="Heading5"/>
        <w:spacing w:before="53"/>
        <w:ind w:left="138"/>
      </w:pPr>
      <w:r>
        <w:rPr>
          <w:color w:val="111113"/>
        </w:rPr>
        <w:t>Auditor's  Responsibility</w:t>
      </w:r>
    </w:p>
    <w:p>
      <w:pPr>
        <w:pStyle w:val="BodyText"/>
        <w:spacing w:before="8"/>
        <w:rPr>
          <w:b/>
          <w:sz w:val="20"/>
        </w:rPr>
      </w:pPr>
    </w:p>
    <w:p>
      <w:pPr>
        <w:pStyle w:val="Heading8"/>
        <w:ind w:left="138" w:right="102" w:firstLine="14"/>
      </w:pPr>
      <w:r>
        <w:rPr>
          <w:color w:val="111113"/>
        </w:rPr>
        <w:t>My responsibility is to express an opinion on the financial statements based on my audit. I conducted my audit in accordance with Australian Auditing Standards. Those Standards require that I comply  with relevant ethical requirements relating to audit engagements and plan and perform the audit to obtain reasonable assurance about whether the financial statements are free from material misstatement.</w:t>
      </w:r>
    </w:p>
    <w:p>
      <w:pPr>
        <w:pStyle w:val="BodyText"/>
        <w:rPr>
          <w:sz w:val="20"/>
        </w:rPr>
      </w:pPr>
    </w:p>
    <w:p>
      <w:pPr>
        <w:spacing w:line="240" w:lineRule="auto" w:before="0"/>
        <w:ind w:left="138" w:right="104" w:hanging="5"/>
        <w:jc w:val="both"/>
        <w:rPr>
          <w:sz w:val="20"/>
        </w:rPr>
      </w:pPr>
      <w:r>
        <w:rPr>
          <w:color w:val="111113"/>
          <w:sz w:val="20"/>
        </w:rPr>
        <w:t>An audit involves performing procedures to obtain audit evidence about the amounts and disclosures in the financial statements </w:t>
      </w:r>
      <w:r>
        <w:rPr>
          <w:color w:val="363636"/>
          <w:sz w:val="20"/>
        </w:rPr>
        <w:t>. </w:t>
      </w:r>
      <w:r>
        <w:rPr>
          <w:color w:val="111113"/>
          <w:sz w:val="20"/>
        </w:rPr>
        <w:t>The procedures selected depend on the auditor's judgement, including the assessment of the risks of material misstatement of the financial statements, whether due to fraud or </w:t>
      </w:r>
      <w:r>
        <w:rPr>
          <w:color w:val="111113"/>
          <w:spacing w:val="2"/>
          <w:sz w:val="20"/>
        </w:rPr>
        <w:t>error</w:t>
      </w:r>
      <w:r>
        <w:rPr>
          <w:color w:val="494949"/>
          <w:spacing w:val="2"/>
          <w:sz w:val="20"/>
        </w:rPr>
        <w:t>. </w:t>
      </w:r>
      <w:r>
        <w:rPr>
          <w:color w:val="111113"/>
          <w:sz w:val="20"/>
        </w:rPr>
        <w:t>In making those risk assessments, the auditor considers internal control relevant to the Trust's preparation of the financial statements that give a true and fair view in order to design audit procedures that are appropriate in the circumstances</w:t>
      </w:r>
      <w:r>
        <w:rPr>
          <w:color w:val="111113"/>
          <w:spacing w:val="-45"/>
          <w:sz w:val="20"/>
        </w:rPr>
        <w:t> </w:t>
      </w:r>
      <w:r>
        <w:rPr>
          <w:color w:val="363636"/>
          <w:sz w:val="20"/>
        </w:rPr>
        <w:t>, </w:t>
      </w:r>
      <w:r>
        <w:rPr>
          <w:color w:val="111113"/>
          <w:sz w:val="20"/>
        </w:rPr>
        <w:t>but not for the purpose of expressing an opinion on the effectiveness of the Trust's internal control. An audit also includes evaluating the appropriateness of account</w:t>
      </w:r>
      <w:r>
        <w:rPr>
          <w:color w:val="363636"/>
          <w:sz w:val="20"/>
        </w:rPr>
        <w:t>i</w:t>
      </w:r>
      <w:r>
        <w:rPr>
          <w:color w:val="111113"/>
          <w:sz w:val="20"/>
        </w:rPr>
        <w:t>ng policies used and the reasonableness of accounting estimates made by the</w:t>
      </w:r>
      <w:r>
        <w:rPr>
          <w:color w:val="111113"/>
          <w:spacing w:val="-6"/>
          <w:sz w:val="20"/>
        </w:rPr>
        <w:t> </w:t>
      </w:r>
      <w:r>
        <w:rPr>
          <w:color w:val="111113"/>
          <w:sz w:val="20"/>
        </w:rPr>
        <w:t>directors,</w:t>
      </w:r>
      <w:r>
        <w:rPr>
          <w:color w:val="111113"/>
          <w:spacing w:val="5"/>
          <w:sz w:val="20"/>
        </w:rPr>
        <w:t> </w:t>
      </w:r>
      <w:r>
        <w:rPr>
          <w:color w:val="111113"/>
          <w:sz w:val="20"/>
        </w:rPr>
        <w:t>as</w:t>
      </w:r>
      <w:r>
        <w:rPr>
          <w:color w:val="111113"/>
          <w:spacing w:val="-11"/>
          <w:sz w:val="20"/>
        </w:rPr>
        <w:t> </w:t>
      </w:r>
      <w:r>
        <w:rPr>
          <w:color w:val="111113"/>
          <w:sz w:val="20"/>
        </w:rPr>
        <w:t>well as</w:t>
      </w:r>
      <w:r>
        <w:rPr>
          <w:color w:val="111113"/>
          <w:spacing w:val="-6"/>
          <w:sz w:val="20"/>
        </w:rPr>
        <w:t> </w:t>
      </w:r>
      <w:r>
        <w:rPr>
          <w:color w:val="111113"/>
          <w:sz w:val="20"/>
        </w:rPr>
        <w:t>evaluating</w:t>
      </w:r>
      <w:r>
        <w:rPr>
          <w:color w:val="111113"/>
          <w:spacing w:val="-3"/>
          <w:sz w:val="20"/>
        </w:rPr>
        <w:t> </w:t>
      </w:r>
      <w:r>
        <w:rPr>
          <w:color w:val="111113"/>
          <w:sz w:val="20"/>
        </w:rPr>
        <w:t>the</w:t>
      </w:r>
      <w:r>
        <w:rPr>
          <w:color w:val="111113"/>
          <w:spacing w:val="-7"/>
          <w:sz w:val="20"/>
        </w:rPr>
        <w:t> </w:t>
      </w:r>
      <w:r>
        <w:rPr>
          <w:color w:val="111113"/>
          <w:sz w:val="20"/>
        </w:rPr>
        <w:t>overall</w:t>
      </w:r>
      <w:r>
        <w:rPr>
          <w:color w:val="111113"/>
          <w:spacing w:val="3"/>
          <w:sz w:val="20"/>
        </w:rPr>
        <w:t> </w:t>
      </w:r>
      <w:r>
        <w:rPr>
          <w:color w:val="111113"/>
          <w:sz w:val="20"/>
        </w:rPr>
        <w:t>presentation</w:t>
      </w:r>
      <w:r>
        <w:rPr>
          <w:color w:val="111113"/>
          <w:spacing w:val="7"/>
          <w:sz w:val="20"/>
        </w:rPr>
        <w:t> </w:t>
      </w:r>
      <w:r>
        <w:rPr>
          <w:color w:val="111113"/>
          <w:sz w:val="20"/>
        </w:rPr>
        <w:t>of</w:t>
      </w:r>
      <w:r>
        <w:rPr>
          <w:color w:val="111113"/>
          <w:spacing w:val="-10"/>
          <w:sz w:val="20"/>
        </w:rPr>
        <w:t> </w:t>
      </w:r>
      <w:r>
        <w:rPr>
          <w:color w:val="111113"/>
          <w:sz w:val="20"/>
        </w:rPr>
        <w:t>the</w:t>
      </w:r>
      <w:r>
        <w:rPr>
          <w:color w:val="111113"/>
          <w:spacing w:val="-2"/>
          <w:sz w:val="20"/>
        </w:rPr>
        <w:t> </w:t>
      </w:r>
      <w:r>
        <w:rPr>
          <w:color w:val="111113"/>
          <w:sz w:val="20"/>
        </w:rPr>
        <w:t>financial</w:t>
      </w:r>
      <w:r>
        <w:rPr>
          <w:color w:val="111113"/>
          <w:spacing w:val="6"/>
          <w:sz w:val="20"/>
        </w:rPr>
        <w:t> </w:t>
      </w:r>
      <w:r>
        <w:rPr>
          <w:color w:val="111113"/>
          <w:sz w:val="20"/>
        </w:rPr>
        <w:t>statements</w:t>
      </w:r>
      <w:r>
        <w:rPr>
          <w:color w:val="111113"/>
          <w:spacing w:val="-33"/>
          <w:sz w:val="20"/>
        </w:rPr>
        <w:t> </w:t>
      </w:r>
      <w:r>
        <w:rPr>
          <w:color w:val="363636"/>
          <w:sz w:val="20"/>
        </w:rPr>
        <w:t>.</w:t>
      </w:r>
    </w:p>
    <w:p>
      <w:pPr>
        <w:pStyle w:val="BodyText"/>
        <w:spacing w:before="7"/>
        <w:rPr>
          <w:sz w:val="20"/>
        </w:rPr>
      </w:pPr>
    </w:p>
    <w:p>
      <w:pPr>
        <w:spacing w:line="226" w:lineRule="exact" w:before="0"/>
        <w:ind w:left="138" w:right="104" w:firstLine="4"/>
        <w:jc w:val="both"/>
        <w:rPr>
          <w:sz w:val="20"/>
        </w:rPr>
      </w:pPr>
      <w:r>
        <w:rPr>
          <w:color w:val="111113"/>
          <w:sz w:val="20"/>
        </w:rPr>
        <w:t>I believe the audit evidence I have obtained is sufficient and appropriate to provide a basis for my  audit</w:t>
      </w:r>
      <w:r>
        <w:rPr>
          <w:color w:val="111113"/>
          <w:spacing w:val="-2"/>
          <w:sz w:val="20"/>
        </w:rPr>
        <w:t> </w:t>
      </w:r>
      <w:r>
        <w:rPr>
          <w:color w:val="111113"/>
          <w:spacing w:val="2"/>
          <w:sz w:val="20"/>
        </w:rPr>
        <w:t>opinion</w:t>
      </w:r>
      <w:r>
        <w:rPr>
          <w:color w:val="59595B"/>
          <w:spacing w:val="2"/>
          <w:sz w:val="20"/>
        </w:rPr>
        <w:t>.</w:t>
      </w:r>
    </w:p>
    <w:p>
      <w:pPr>
        <w:spacing w:before="176"/>
        <w:ind w:left="143" w:right="0" w:firstLine="0"/>
        <w:jc w:val="both"/>
        <w:rPr>
          <w:sz w:val="20"/>
        </w:rPr>
      </w:pPr>
      <w:r>
        <w:rPr>
          <w:color w:val="111113"/>
          <w:sz w:val="20"/>
        </w:rPr>
        <w:t>My qualified opinion does </w:t>
      </w:r>
      <w:r>
        <w:rPr>
          <w:rFonts w:ascii="Times New Roman"/>
          <w:i/>
          <w:color w:val="111113"/>
          <w:sz w:val="25"/>
        </w:rPr>
        <w:t>not </w:t>
      </w:r>
      <w:r>
        <w:rPr>
          <w:color w:val="111113"/>
          <w:sz w:val="20"/>
        </w:rPr>
        <w:t>provide assurance </w:t>
      </w:r>
      <w:r>
        <w:rPr>
          <w:color w:val="363636"/>
          <w:sz w:val="20"/>
        </w:rPr>
        <w:t>:</w:t>
      </w:r>
    </w:p>
    <w:p>
      <w:pPr>
        <w:pStyle w:val="BodyText"/>
        <w:spacing w:before="4"/>
        <w:rPr>
          <w:sz w:val="24"/>
        </w:rPr>
      </w:pPr>
    </w:p>
    <w:p>
      <w:pPr>
        <w:pStyle w:val="ListParagraph"/>
        <w:numPr>
          <w:ilvl w:val="0"/>
          <w:numId w:val="52"/>
        </w:numPr>
        <w:tabs>
          <w:tab w:pos="704" w:val="left" w:leader="none"/>
        </w:tabs>
        <w:spacing w:line="240" w:lineRule="auto" w:before="1" w:after="0"/>
        <w:ind w:left="703" w:right="0" w:hanging="565"/>
        <w:jc w:val="both"/>
        <w:rPr>
          <w:sz w:val="20"/>
        </w:rPr>
      </w:pPr>
      <w:r>
        <w:rPr>
          <w:color w:val="111113"/>
          <w:sz w:val="20"/>
        </w:rPr>
        <w:t>about the future viability of the</w:t>
      </w:r>
      <w:r>
        <w:rPr>
          <w:color w:val="111113"/>
          <w:spacing w:val="-7"/>
          <w:sz w:val="20"/>
        </w:rPr>
        <w:t> </w:t>
      </w:r>
      <w:r>
        <w:rPr>
          <w:color w:val="111113"/>
          <w:sz w:val="20"/>
        </w:rPr>
        <w:t>Trust</w:t>
      </w:r>
    </w:p>
    <w:p>
      <w:pPr>
        <w:pStyle w:val="ListParagraph"/>
        <w:numPr>
          <w:ilvl w:val="0"/>
          <w:numId w:val="52"/>
        </w:numPr>
        <w:tabs>
          <w:tab w:pos="704" w:val="left" w:leader="none"/>
        </w:tabs>
        <w:spacing w:line="240" w:lineRule="auto" w:before="62" w:after="0"/>
        <w:ind w:left="703" w:right="0" w:hanging="565"/>
        <w:jc w:val="both"/>
        <w:rPr>
          <w:sz w:val="20"/>
        </w:rPr>
      </w:pPr>
      <w:r>
        <w:rPr>
          <w:color w:val="111113"/>
          <w:sz w:val="20"/>
        </w:rPr>
        <w:t>that it has carried out its activities effectively, efficiently and</w:t>
      </w:r>
      <w:r>
        <w:rPr>
          <w:color w:val="111113"/>
          <w:spacing w:val="-28"/>
          <w:sz w:val="20"/>
        </w:rPr>
        <w:t> </w:t>
      </w:r>
      <w:r>
        <w:rPr>
          <w:color w:val="111113"/>
          <w:sz w:val="20"/>
        </w:rPr>
        <w:t>economically</w:t>
      </w:r>
    </w:p>
    <w:p>
      <w:pPr>
        <w:pStyle w:val="ListParagraph"/>
        <w:numPr>
          <w:ilvl w:val="0"/>
          <w:numId w:val="52"/>
        </w:numPr>
        <w:tabs>
          <w:tab w:pos="704" w:val="left" w:leader="none"/>
        </w:tabs>
        <w:spacing w:line="240" w:lineRule="auto" w:before="57" w:after="0"/>
        <w:ind w:left="703" w:right="0" w:hanging="570"/>
        <w:jc w:val="both"/>
        <w:rPr>
          <w:sz w:val="20"/>
        </w:rPr>
      </w:pPr>
      <w:r>
        <w:rPr>
          <w:color w:val="111113"/>
          <w:sz w:val="20"/>
        </w:rPr>
        <w:t>about the effectiveness of its internal</w:t>
      </w:r>
      <w:r>
        <w:rPr>
          <w:color w:val="111113"/>
          <w:spacing w:val="-13"/>
          <w:sz w:val="20"/>
        </w:rPr>
        <w:t> </w:t>
      </w:r>
      <w:r>
        <w:rPr>
          <w:color w:val="111113"/>
          <w:sz w:val="20"/>
        </w:rPr>
        <w:t>control</w:t>
      </w:r>
    </w:p>
    <w:p>
      <w:pPr>
        <w:pStyle w:val="ListParagraph"/>
        <w:numPr>
          <w:ilvl w:val="0"/>
          <w:numId w:val="52"/>
        </w:numPr>
        <w:tabs>
          <w:tab w:pos="704" w:val="left" w:leader="none"/>
        </w:tabs>
        <w:spacing w:line="240" w:lineRule="auto" w:before="57" w:after="0"/>
        <w:ind w:left="703" w:right="125" w:hanging="570"/>
        <w:jc w:val="left"/>
        <w:rPr>
          <w:sz w:val="20"/>
        </w:rPr>
      </w:pPr>
      <w:r>
        <w:rPr>
          <w:color w:val="111113"/>
          <w:sz w:val="20"/>
        </w:rPr>
        <w:t>about </w:t>
      </w:r>
      <w:r>
        <w:rPr>
          <w:color w:val="909090"/>
          <w:spacing w:val="-9"/>
          <w:sz w:val="20"/>
        </w:rPr>
        <w:t>.</w:t>
      </w:r>
      <w:r>
        <w:rPr>
          <w:color w:val="111113"/>
          <w:spacing w:val="-9"/>
          <w:sz w:val="20"/>
        </w:rPr>
        <w:t>the </w:t>
      </w:r>
      <w:r>
        <w:rPr>
          <w:color w:val="111113"/>
          <w:sz w:val="20"/>
        </w:rPr>
        <w:t>security and controls over the electronic publication of the audited financial statements on any website where they may be</w:t>
      </w:r>
      <w:r>
        <w:rPr>
          <w:color w:val="111113"/>
          <w:spacing w:val="-16"/>
          <w:sz w:val="20"/>
        </w:rPr>
        <w:t> </w:t>
      </w:r>
      <w:r>
        <w:rPr>
          <w:color w:val="111113"/>
          <w:sz w:val="20"/>
        </w:rPr>
        <w:t>presented</w:t>
      </w:r>
    </w:p>
    <w:p>
      <w:pPr>
        <w:pStyle w:val="ListParagraph"/>
        <w:numPr>
          <w:ilvl w:val="0"/>
          <w:numId w:val="52"/>
        </w:numPr>
        <w:tabs>
          <w:tab w:pos="704" w:val="left" w:leader="none"/>
        </w:tabs>
        <w:spacing w:line="240" w:lineRule="auto" w:before="62" w:after="0"/>
        <w:ind w:left="703" w:right="0" w:hanging="570"/>
        <w:jc w:val="both"/>
        <w:rPr>
          <w:sz w:val="20"/>
        </w:rPr>
      </w:pPr>
      <w:r>
        <w:rPr>
          <w:color w:val="111113"/>
          <w:sz w:val="20"/>
        </w:rPr>
        <w:t>about any other </w:t>
      </w:r>
      <w:r>
        <w:rPr>
          <w:color w:val="262426"/>
          <w:sz w:val="20"/>
        </w:rPr>
        <w:t>information </w:t>
      </w:r>
      <w:r>
        <w:rPr>
          <w:color w:val="111113"/>
          <w:sz w:val="20"/>
        </w:rPr>
        <w:t>which may have been hyperlinked to/from the</w:t>
      </w:r>
      <w:r>
        <w:rPr>
          <w:color w:val="111113"/>
          <w:spacing w:val="-38"/>
          <w:sz w:val="20"/>
        </w:rPr>
        <w:t> </w:t>
      </w:r>
      <w:r>
        <w:rPr>
          <w:color w:val="111113"/>
          <w:sz w:val="20"/>
        </w:rPr>
        <w:t>financial statements</w:t>
      </w:r>
    </w:p>
    <w:p>
      <w:pPr>
        <w:pStyle w:val="BodyText"/>
        <w:spacing w:before="5"/>
        <w:rPr>
          <w:sz w:val="25"/>
        </w:rPr>
      </w:pPr>
    </w:p>
    <w:p>
      <w:pPr>
        <w:spacing w:before="0"/>
        <w:ind w:left="143" w:right="0" w:firstLine="0"/>
        <w:jc w:val="both"/>
        <w:rPr>
          <w:b/>
          <w:i/>
          <w:sz w:val="23"/>
        </w:rPr>
      </w:pPr>
      <w:r>
        <w:rPr>
          <w:b/>
          <w:color w:val="111113"/>
          <w:sz w:val="23"/>
        </w:rPr>
        <w:t>Report on Other Aspects  of the  </w:t>
      </w:r>
      <w:r>
        <w:rPr>
          <w:b/>
          <w:i/>
          <w:color w:val="111113"/>
          <w:sz w:val="23"/>
        </w:rPr>
        <w:t>Charitable Fundraising  Act  1991</w:t>
      </w:r>
    </w:p>
    <w:p>
      <w:pPr>
        <w:pStyle w:val="BodyText"/>
        <w:spacing w:before="5"/>
        <w:rPr>
          <w:b/>
          <w:i/>
          <w:sz w:val="20"/>
        </w:rPr>
      </w:pPr>
    </w:p>
    <w:p>
      <w:pPr>
        <w:pStyle w:val="Heading8"/>
        <w:spacing w:line="237" w:lineRule="auto"/>
        <w:ind w:left="128" w:right="123" w:firstLine="9"/>
      </w:pPr>
      <w:r>
        <w:rPr>
          <w:color w:val="111113"/>
        </w:rPr>
        <w:t>In addition, I have audited the Trust's operations in order to express an opinion on the matters specified  at  sections  24(2)(b),   24(2)(c)   and   24(2)(d)   of   the   CF   Act   for   the   year   ended 31</w:t>
      </w:r>
      <w:r>
        <w:rPr>
          <w:color w:val="111113"/>
          <w:spacing w:val="-5"/>
        </w:rPr>
        <w:t> </w:t>
      </w:r>
      <w:r>
        <w:rPr>
          <w:color w:val="111113"/>
        </w:rPr>
        <w:t>December</w:t>
      </w:r>
      <w:r>
        <w:rPr>
          <w:color w:val="111113"/>
          <w:spacing w:val="-10"/>
        </w:rPr>
        <w:t> </w:t>
      </w:r>
      <w:r>
        <w:rPr>
          <w:color w:val="111113"/>
        </w:rPr>
        <w:t>2012</w:t>
      </w:r>
      <w:r>
        <w:rPr>
          <w:color w:val="111113"/>
          <w:spacing w:val="-38"/>
        </w:rPr>
        <w:t> </w:t>
      </w:r>
      <w:r>
        <w:rPr>
          <w:color w:val="363636"/>
        </w:rPr>
        <w:t>.</w:t>
      </w:r>
    </w:p>
    <w:p>
      <w:pPr>
        <w:pStyle w:val="BodyText"/>
        <w:spacing w:before="5"/>
        <w:rPr>
          <w:sz w:val="20"/>
        </w:rPr>
      </w:pPr>
    </w:p>
    <w:p>
      <w:pPr>
        <w:spacing w:before="0"/>
        <w:ind w:left="133" w:right="0" w:firstLine="0"/>
        <w:jc w:val="both"/>
        <w:rPr>
          <w:b/>
          <w:sz w:val="19"/>
        </w:rPr>
      </w:pPr>
      <w:r>
        <w:rPr>
          <w:b/>
          <w:color w:val="111113"/>
          <w:w w:val="105"/>
          <w:sz w:val="19"/>
        </w:rPr>
        <w:t>Basis for Qualified Opinion</w:t>
      </w:r>
    </w:p>
    <w:p>
      <w:pPr>
        <w:pStyle w:val="BodyText"/>
        <w:spacing w:before="7"/>
        <w:rPr>
          <w:b/>
          <w:sz w:val="20"/>
        </w:rPr>
      </w:pPr>
    </w:p>
    <w:p>
      <w:pPr>
        <w:spacing w:line="240" w:lineRule="auto" w:before="0"/>
        <w:ind w:left="114" w:right="120" w:firstLine="4"/>
        <w:jc w:val="both"/>
        <w:rPr>
          <w:sz w:val="20"/>
        </w:rPr>
      </w:pPr>
      <w:r>
        <w:rPr>
          <w:color w:val="111113"/>
          <w:sz w:val="20"/>
        </w:rPr>
        <w:t>As is common for entities that have donations and fundraising as sources of revenue</w:t>
      </w:r>
      <w:r>
        <w:rPr>
          <w:color w:val="363636"/>
          <w:sz w:val="20"/>
        </w:rPr>
        <w:t>, </w:t>
      </w:r>
      <w:r>
        <w:rPr>
          <w:color w:val="111113"/>
          <w:sz w:val="20"/>
        </w:rPr>
        <w:t>it is impracticable for the Trust to maintain an effective system of internal control over donated and fundraising revenues it receives until their initial entry into the financial records</w:t>
      </w:r>
      <w:r>
        <w:rPr>
          <w:color w:val="363636"/>
          <w:sz w:val="20"/>
        </w:rPr>
        <w:t>. </w:t>
      </w:r>
      <w:r>
        <w:rPr>
          <w:color w:val="111113"/>
          <w:sz w:val="20"/>
        </w:rPr>
        <w:t>Accordingly, as the evidence available to me regarding revenue from these sources was limited, my audit procedures with respect to these revenues were restricted to the amounts recorded in the financial records. I am therefore unable to express an opinion on whether all donated and fundraising revenues received by the Trust during the year ended 31 December 2012 have been recorded in its</w:t>
      </w:r>
      <w:r>
        <w:rPr>
          <w:color w:val="59595B"/>
          <w:sz w:val="20"/>
        </w:rPr>
        <w:t>. </w:t>
      </w:r>
      <w:r>
        <w:rPr>
          <w:color w:val="111113"/>
          <w:sz w:val="20"/>
        </w:rPr>
        <w:t>financial records</w:t>
      </w:r>
      <w:r>
        <w:rPr>
          <w:color w:val="363636"/>
          <w:sz w:val="20"/>
        </w:rPr>
        <w:t>. </w:t>
      </w:r>
      <w:r>
        <w:rPr>
          <w:color w:val="111113"/>
          <w:sz w:val="20"/>
        </w:rPr>
        <w:t>My auditor's report for the year ended 31 December 2011 was similarly</w:t>
      </w:r>
      <w:r>
        <w:rPr>
          <w:color w:val="111113"/>
          <w:spacing w:val="-11"/>
          <w:sz w:val="20"/>
        </w:rPr>
        <w:t> </w:t>
      </w:r>
      <w:r>
        <w:rPr>
          <w:color w:val="111113"/>
          <w:spacing w:val="2"/>
          <w:sz w:val="20"/>
        </w:rPr>
        <w:t>qualified</w:t>
      </w:r>
      <w:r>
        <w:rPr>
          <w:color w:val="59595B"/>
          <w:spacing w:val="2"/>
          <w:sz w:val="20"/>
        </w:rPr>
        <w:t>.</w:t>
      </w:r>
    </w:p>
    <w:p>
      <w:pPr>
        <w:pStyle w:val="BodyText"/>
        <w:spacing w:before="4"/>
        <w:rPr>
          <w:sz w:val="20"/>
        </w:rPr>
      </w:pPr>
    </w:p>
    <w:p>
      <w:pPr>
        <w:spacing w:before="0"/>
        <w:ind w:left="119" w:right="0" w:firstLine="0"/>
        <w:jc w:val="both"/>
        <w:rPr>
          <w:b/>
          <w:sz w:val="19"/>
        </w:rPr>
      </w:pPr>
      <w:r>
        <w:rPr>
          <w:b/>
          <w:color w:val="111113"/>
          <w:w w:val="105"/>
          <w:sz w:val="19"/>
        </w:rPr>
        <w:t>Qualified Opinion</w:t>
      </w:r>
    </w:p>
    <w:p>
      <w:pPr>
        <w:pStyle w:val="BodyText"/>
        <w:spacing w:before="2"/>
        <w:rPr>
          <w:b/>
          <w:sz w:val="21"/>
        </w:rPr>
      </w:pPr>
    </w:p>
    <w:p>
      <w:pPr>
        <w:spacing w:line="226" w:lineRule="exact" w:before="0"/>
        <w:ind w:left="119" w:right="121" w:firstLine="4"/>
        <w:jc w:val="both"/>
        <w:rPr>
          <w:sz w:val="20"/>
        </w:rPr>
      </w:pPr>
      <w:r>
        <w:rPr>
          <w:color w:val="111113"/>
          <w:sz w:val="20"/>
        </w:rPr>
        <w:t>In my opinion</w:t>
      </w:r>
      <w:r>
        <w:rPr>
          <w:color w:val="363636"/>
          <w:sz w:val="20"/>
        </w:rPr>
        <w:t>, </w:t>
      </w:r>
      <w:r>
        <w:rPr>
          <w:color w:val="111113"/>
          <w:sz w:val="20"/>
        </w:rPr>
        <w:t>except for the effects of such adjustments, if any</w:t>
      </w:r>
      <w:r>
        <w:rPr>
          <w:color w:val="363636"/>
          <w:sz w:val="20"/>
        </w:rPr>
        <w:t>, </w:t>
      </w:r>
      <w:r>
        <w:rPr>
          <w:color w:val="111113"/>
          <w:sz w:val="20"/>
        </w:rPr>
        <w:t>as might have been necessary had I been able to satisfy myself as to the completeness of donated and fundraising revenue</w:t>
      </w:r>
      <w:r>
        <w:rPr>
          <w:color w:val="494949"/>
          <w:sz w:val="20"/>
        </w:rPr>
        <w:t>:</w:t>
      </w:r>
    </w:p>
    <w:p>
      <w:pPr>
        <w:pStyle w:val="BodyText"/>
        <w:spacing w:before="8"/>
        <w:rPr>
          <w:sz w:val="24"/>
        </w:rPr>
      </w:pPr>
    </w:p>
    <w:p>
      <w:pPr>
        <w:pStyle w:val="ListParagraph"/>
        <w:numPr>
          <w:ilvl w:val="0"/>
          <w:numId w:val="52"/>
        </w:numPr>
        <w:tabs>
          <w:tab w:pos="680" w:val="left" w:leader="none"/>
        </w:tabs>
        <w:spacing w:line="240" w:lineRule="auto" w:before="1" w:after="0"/>
        <w:ind w:left="679" w:right="0" w:hanging="565"/>
        <w:jc w:val="both"/>
        <w:rPr>
          <w:sz w:val="20"/>
        </w:rPr>
      </w:pPr>
      <w:r>
        <w:rPr>
          <w:color w:val="111113"/>
          <w:sz w:val="20"/>
        </w:rPr>
        <w:t>the  Trust  has  properly  kept  the  </w:t>
      </w:r>
      <w:r>
        <w:rPr>
          <w:color w:val="262426"/>
          <w:sz w:val="20"/>
        </w:rPr>
        <w:t>ledgers  </w:t>
      </w:r>
      <w:r>
        <w:rPr>
          <w:color w:val="111113"/>
          <w:sz w:val="20"/>
        </w:rPr>
        <w:t>and  associated   records  during  the  year   </w:t>
      </w:r>
      <w:r>
        <w:rPr>
          <w:color w:val="111113"/>
          <w:spacing w:val="39"/>
          <w:sz w:val="20"/>
        </w:rPr>
        <w:t> </w:t>
      </w:r>
      <w:r>
        <w:rPr>
          <w:color w:val="111113"/>
          <w:sz w:val="20"/>
        </w:rPr>
        <w:t>ended</w:t>
      </w:r>
    </w:p>
    <w:p>
      <w:pPr>
        <w:pStyle w:val="ListParagraph"/>
        <w:numPr>
          <w:ilvl w:val="1"/>
          <w:numId w:val="52"/>
        </w:numPr>
        <w:tabs>
          <w:tab w:pos="685" w:val="left" w:leader="none"/>
        </w:tabs>
        <w:spacing w:line="226" w:lineRule="exact" w:before="7" w:after="0"/>
        <w:ind w:left="684" w:right="141" w:hanging="91"/>
        <w:jc w:val="left"/>
        <w:rPr>
          <w:sz w:val="20"/>
        </w:rPr>
      </w:pPr>
      <w:r>
        <w:rPr>
          <w:color w:val="111113"/>
          <w:sz w:val="20"/>
        </w:rPr>
        <w:t>31 December 2012 in accordance with the CF Act and CF Regulation (section 24(2)(b) of the CF</w:t>
      </w:r>
      <w:r>
        <w:rPr>
          <w:color w:val="111113"/>
          <w:spacing w:val="-23"/>
          <w:sz w:val="20"/>
        </w:rPr>
        <w:t> </w:t>
      </w:r>
      <w:r>
        <w:rPr>
          <w:color w:val="111113"/>
          <w:sz w:val="20"/>
        </w:rPr>
        <w:t>Act)</w:t>
      </w:r>
    </w:p>
    <w:p>
      <w:pPr>
        <w:pStyle w:val="ListParagraph"/>
        <w:numPr>
          <w:ilvl w:val="0"/>
          <w:numId w:val="52"/>
        </w:numPr>
        <w:tabs>
          <w:tab w:pos="680" w:val="left" w:leader="none"/>
        </w:tabs>
        <w:spacing w:line="237" w:lineRule="auto" w:before="66" w:after="0"/>
        <w:ind w:left="679" w:right="138" w:hanging="565"/>
        <w:jc w:val="both"/>
        <w:rPr>
          <w:sz w:val="20"/>
        </w:rPr>
      </w:pPr>
      <w:r>
        <w:rPr>
          <w:color w:val="111113"/>
          <w:sz w:val="20"/>
        </w:rPr>
        <w:t>the Trust has, in all material respects</w:t>
      </w:r>
      <w:r>
        <w:rPr>
          <w:color w:val="363636"/>
          <w:sz w:val="20"/>
        </w:rPr>
        <w:t>, </w:t>
      </w:r>
      <w:r>
        <w:rPr>
          <w:color w:val="111113"/>
          <w:sz w:val="20"/>
        </w:rPr>
        <w:t>properly accounted for and applied money received as a result of fundraising appeals conducted during the year ended 31 December 2012  </w:t>
      </w:r>
      <w:r>
        <w:rPr>
          <w:color w:val="262426"/>
          <w:sz w:val="20"/>
        </w:rPr>
        <w:t>in </w:t>
      </w:r>
      <w:r>
        <w:rPr>
          <w:color w:val="111113"/>
          <w:sz w:val="20"/>
        </w:rPr>
        <w:t>accordance with the CF Act and the CF Regulation (section 24(2)(c) of the CF</w:t>
      </w:r>
      <w:r>
        <w:rPr>
          <w:color w:val="111113"/>
          <w:spacing w:val="-23"/>
          <w:sz w:val="20"/>
        </w:rPr>
        <w:t> </w:t>
      </w:r>
      <w:r>
        <w:rPr>
          <w:color w:val="111113"/>
          <w:sz w:val="20"/>
        </w:rPr>
        <w:t>Act)</w:t>
      </w:r>
    </w:p>
    <w:p>
      <w:pPr>
        <w:spacing w:after="0" w:line="237" w:lineRule="auto"/>
        <w:jc w:val="both"/>
        <w:rPr>
          <w:sz w:val="20"/>
        </w:rPr>
        <w:sectPr>
          <w:headerReference w:type="default" r:id="rId157"/>
          <w:footerReference w:type="default" r:id="rId158"/>
          <w:pgSz w:w="11910" w:h="16840"/>
          <w:pgMar w:header="0" w:footer="507" w:top="1520" w:bottom="700" w:left="1260" w:right="1340"/>
          <w:pgNumType w:start="140"/>
        </w:sectPr>
      </w:pPr>
    </w:p>
    <w:p>
      <w:pPr>
        <w:pStyle w:val="Heading8"/>
        <w:numPr>
          <w:ilvl w:val="0"/>
          <w:numId w:val="52"/>
        </w:numPr>
        <w:tabs>
          <w:tab w:pos="687" w:val="left" w:leader="none"/>
        </w:tabs>
        <w:spacing w:line="240" w:lineRule="auto" w:before="46" w:after="0"/>
        <w:ind w:left="686" w:right="111" w:hanging="564"/>
        <w:jc w:val="both"/>
      </w:pPr>
      <w:r>
        <w:rPr>
          <w:color w:val="111113"/>
        </w:rPr>
        <w:t>there are reasonable grounds to believe that the Trust will be able to pay its debts as and when they fall due over the 12 month period from the date of this independent auditor</w:t>
      </w:r>
      <w:r>
        <w:rPr>
          <w:color w:val="3B3B3D"/>
        </w:rPr>
        <w:t>'</w:t>
      </w:r>
      <w:r>
        <w:rPr>
          <w:color w:val="111113"/>
        </w:rPr>
        <w:t>s report</w:t>
      </w:r>
      <w:r>
        <w:rPr>
          <w:color w:val="111113"/>
          <w:spacing w:val="-18"/>
        </w:rPr>
        <w:t> </w:t>
      </w:r>
      <w:r>
        <w:rPr>
          <w:color w:val="111113"/>
        </w:rPr>
        <w:t>(section 24(2)(d) of the CF</w:t>
      </w:r>
      <w:r>
        <w:rPr>
          <w:color w:val="111113"/>
          <w:spacing w:val="-22"/>
        </w:rPr>
        <w:t> </w:t>
      </w:r>
      <w:r>
        <w:rPr>
          <w:color w:val="111113"/>
        </w:rPr>
        <w:t>Act).</w:t>
      </w:r>
    </w:p>
    <w:p>
      <w:pPr>
        <w:pStyle w:val="BodyText"/>
        <w:spacing w:before="10"/>
        <w:rPr>
          <w:sz w:val="24"/>
        </w:rPr>
      </w:pPr>
    </w:p>
    <w:p>
      <w:pPr>
        <w:spacing w:before="1"/>
        <w:ind w:left="127" w:right="108" w:firstLine="0"/>
        <w:jc w:val="both"/>
        <w:rPr>
          <w:sz w:val="20"/>
        </w:rPr>
      </w:pPr>
      <w:r>
        <w:rPr>
          <w:color w:val="111113"/>
          <w:sz w:val="20"/>
        </w:rPr>
        <w:t>My qualified opinion should be read in conjunction with the rest of this report</w:t>
      </w:r>
      <w:r>
        <w:rPr>
          <w:color w:val="2B2A2D"/>
          <w:sz w:val="20"/>
        </w:rPr>
        <w:t>, </w:t>
      </w:r>
      <w:r>
        <w:rPr>
          <w:color w:val="111113"/>
          <w:sz w:val="20"/>
        </w:rPr>
        <w:t>including the inherent limitations</w:t>
      </w:r>
      <w:r>
        <w:rPr>
          <w:color w:val="3B3B3D"/>
          <w:sz w:val="20"/>
        </w:rPr>
        <w:t>.</w:t>
      </w:r>
    </w:p>
    <w:p>
      <w:pPr>
        <w:pStyle w:val="BodyText"/>
        <w:spacing w:before="8"/>
        <w:rPr>
          <w:sz w:val="20"/>
        </w:rPr>
      </w:pPr>
    </w:p>
    <w:p>
      <w:pPr>
        <w:spacing w:before="1"/>
        <w:ind w:left="118" w:right="0" w:firstLine="0"/>
        <w:jc w:val="both"/>
        <w:rPr>
          <w:b/>
          <w:sz w:val="19"/>
        </w:rPr>
      </w:pPr>
      <w:r>
        <w:rPr>
          <w:b/>
          <w:color w:val="111113"/>
          <w:w w:val="105"/>
          <w:sz w:val="19"/>
        </w:rPr>
        <w:t>The Directors' Responsibility under the CF Act</w:t>
      </w:r>
    </w:p>
    <w:p>
      <w:pPr>
        <w:pStyle w:val="BodyText"/>
        <w:spacing w:before="8"/>
        <w:rPr>
          <w:b/>
          <w:sz w:val="19"/>
        </w:rPr>
      </w:pPr>
    </w:p>
    <w:p>
      <w:pPr>
        <w:spacing w:line="240" w:lineRule="auto" w:before="0"/>
        <w:ind w:left="118" w:right="105" w:firstLine="0"/>
        <w:jc w:val="both"/>
        <w:rPr>
          <w:sz w:val="20"/>
        </w:rPr>
      </w:pPr>
      <w:r>
        <w:rPr>
          <w:color w:val="111113"/>
          <w:sz w:val="20"/>
        </w:rPr>
        <w:t>The directors of the Trust are responsible for complying with the requirements and conditions of the CF Act and CF Regulation. This responsibility </w:t>
      </w:r>
      <w:r>
        <w:rPr>
          <w:color w:val="2B2A2D"/>
          <w:spacing w:val="-3"/>
          <w:sz w:val="20"/>
        </w:rPr>
        <w:t>i</w:t>
      </w:r>
      <w:r>
        <w:rPr>
          <w:color w:val="111113"/>
          <w:spacing w:val="-3"/>
          <w:sz w:val="20"/>
        </w:rPr>
        <w:t>ncludes </w:t>
      </w:r>
      <w:r>
        <w:rPr>
          <w:color w:val="111113"/>
          <w:sz w:val="20"/>
        </w:rPr>
        <w:t>establ</w:t>
      </w:r>
      <w:r>
        <w:rPr>
          <w:color w:val="2B2A2D"/>
          <w:sz w:val="20"/>
        </w:rPr>
        <w:t>i</w:t>
      </w:r>
      <w:r>
        <w:rPr>
          <w:color w:val="111113"/>
          <w:sz w:val="20"/>
        </w:rPr>
        <w:t>shing and maintaining internal control over the conduct of all fundraising </w:t>
      </w:r>
      <w:r>
        <w:rPr>
          <w:color w:val="111113"/>
          <w:spacing w:val="2"/>
          <w:sz w:val="20"/>
        </w:rPr>
        <w:t>appeals</w:t>
      </w:r>
      <w:r>
        <w:rPr>
          <w:color w:val="2B2A2D"/>
          <w:spacing w:val="2"/>
          <w:sz w:val="20"/>
        </w:rPr>
        <w:t>; </w:t>
      </w:r>
      <w:r>
        <w:rPr>
          <w:color w:val="111113"/>
          <w:sz w:val="20"/>
        </w:rPr>
        <w:t>ensuring all assets obtained </w:t>
      </w:r>
      <w:r>
        <w:rPr>
          <w:color w:val="111113"/>
          <w:spacing w:val="2"/>
          <w:sz w:val="20"/>
        </w:rPr>
        <w:t>during</w:t>
      </w:r>
      <w:r>
        <w:rPr>
          <w:color w:val="2B2A2D"/>
          <w:spacing w:val="2"/>
          <w:sz w:val="20"/>
        </w:rPr>
        <w:t>, </w:t>
      </w:r>
      <w:r>
        <w:rPr>
          <w:color w:val="111113"/>
          <w:sz w:val="20"/>
        </w:rPr>
        <w:t>or as a result of, a fundraising appeal are safeguarded and properly accounted </w:t>
      </w:r>
      <w:r>
        <w:rPr>
          <w:color w:val="111113"/>
          <w:spacing w:val="4"/>
          <w:sz w:val="20"/>
        </w:rPr>
        <w:t>for</w:t>
      </w:r>
      <w:r>
        <w:rPr>
          <w:color w:val="2B2A2D"/>
          <w:spacing w:val="4"/>
          <w:sz w:val="20"/>
        </w:rPr>
        <w:t>; </w:t>
      </w:r>
      <w:r>
        <w:rPr>
          <w:color w:val="111113"/>
          <w:sz w:val="20"/>
        </w:rPr>
        <w:t>and maintaining proper books of account and</w:t>
      </w:r>
      <w:r>
        <w:rPr>
          <w:color w:val="111113"/>
          <w:spacing w:val="-3"/>
          <w:sz w:val="20"/>
        </w:rPr>
        <w:t> </w:t>
      </w:r>
      <w:r>
        <w:rPr>
          <w:color w:val="111113"/>
          <w:sz w:val="20"/>
        </w:rPr>
        <w:t>records</w:t>
      </w:r>
      <w:r>
        <w:rPr>
          <w:color w:val="3B3B3D"/>
          <w:sz w:val="20"/>
        </w:rPr>
        <w:t>.</w:t>
      </w:r>
    </w:p>
    <w:p>
      <w:pPr>
        <w:pStyle w:val="BodyText"/>
        <w:spacing w:before="6"/>
        <w:rPr>
          <w:sz w:val="19"/>
        </w:rPr>
      </w:pPr>
    </w:p>
    <w:p>
      <w:pPr>
        <w:spacing w:before="0"/>
        <w:ind w:left="118" w:right="112" w:firstLine="0"/>
        <w:jc w:val="both"/>
        <w:rPr>
          <w:sz w:val="20"/>
        </w:rPr>
      </w:pPr>
      <w:r>
        <w:rPr>
          <w:color w:val="111113"/>
          <w:sz w:val="20"/>
        </w:rPr>
        <w:t>The directors of the Trust are also responsible for ensuring the Trust will be able to pay its debts as and when they fall due.</w:t>
      </w:r>
    </w:p>
    <w:p>
      <w:pPr>
        <w:pStyle w:val="BodyText"/>
        <w:spacing w:before="4"/>
        <w:rPr>
          <w:sz w:val="20"/>
        </w:rPr>
      </w:pPr>
    </w:p>
    <w:p>
      <w:pPr>
        <w:spacing w:before="0"/>
        <w:ind w:left="118" w:right="0" w:firstLine="0"/>
        <w:jc w:val="both"/>
        <w:rPr>
          <w:b/>
          <w:sz w:val="19"/>
        </w:rPr>
      </w:pPr>
      <w:r>
        <w:rPr>
          <w:b/>
          <w:color w:val="111113"/>
          <w:w w:val="105"/>
          <w:sz w:val="19"/>
        </w:rPr>
        <w:t>Auditor's Responsibility</w:t>
      </w:r>
    </w:p>
    <w:p>
      <w:pPr>
        <w:pStyle w:val="BodyText"/>
        <w:spacing w:before="1"/>
        <w:rPr>
          <w:b/>
          <w:sz w:val="20"/>
        </w:rPr>
      </w:pPr>
    </w:p>
    <w:p>
      <w:pPr>
        <w:spacing w:line="230" w:lineRule="exact" w:before="0"/>
        <w:ind w:left="127" w:right="0" w:firstLine="0"/>
        <w:jc w:val="both"/>
        <w:rPr>
          <w:sz w:val="20"/>
        </w:rPr>
      </w:pPr>
      <w:r>
        <w:rPr>
          <w:color w:val="111113"/>
          <w:sz w:val="20"/>
        </w:rPr>
        <w:t>My responsibility is to express an opinion on the matters specified at sect</w:t>
      </w:r>
      <w:r>
        <w:rPr>
          <w:color w:val="2B2A2D"/>
          <w:sz w:val="20"/>
        </w:rPr>
        <w:t>i</w:t>
      </w:r>
      <w:r>
        <w:rPr>
          <w:color w:val="111113"/>
          <w:sz w:val="20"/>
        </w:rPr>
        <w:t>ons 24 (2)(b), 24 (2)(c),</w:t>
      </w:r>
      <w:r>
        <w:rPr>
          <w:color w:val="111113"/>
          <w:spacing w:val="51"/>
          <w:sz w:val="20"/>
        </w:rPr>
        <w:t> </w:t>
      </w:r>
      <w:r>
        <w:rPr>
          <w:color w:val="111113"/>
          <w:sz w:val="20"/>
        </w:rPr>
        <w:t>and</w:t>
      </w:r>
    </w:p>
    <w:p>
      <w:pPr>
        <w:spacing w:line="240" w:lineRule="auto" w:before="0"/>
        <w:ind w:left="118" w:right="110" w:firstLine="0"/>
        <w:jc w:val="both"/>
        <w:rPr>
          <w:sz w:val="20"/>
        </w:rPr>
      </w:pPr>
      <w:r>
        <w:rPr>
          <w:color w:val="111113"/>
          <w:sz w:val="20"/>
        </w:rPr>
        <w:t>24 (2)(d) of the CF Act. I conducted my audit in accordance with applicable Australian Auditing Standards and Standards on Assurance Engagements to obtain reasonable assurance whether the Trust has, in all material respects</w:t>
      </w:r>
      <w:r>
        <w:rPr>
          <w:color w:val="2B2A2D"/>
          <w:sz w:val="20"/>
        </w:rPr>
        <w:t>, </w:t>
      </w:r>
      <w:r>
        <w:rPr>
          <w:color w:val="111113"/>
          <w:sz w:val="20"/>
        </w:rPr>
        <w:t>complied with specific requirements of the CF Act and CF Regulation, and whether there are reasonable grounds to believe the Trust will be able to pay its</w:t>
      </w:r>
      <w:r>
        <w:rPr>
          <w:color w:val="111113"/>
          <w:spacing w:val="-35"/>
          <w:sz w:val="20"/>
        </w:rPr>
        <w:t> </w:t>
      </w:r>
      <w:r>
        <w:rPr>
          <w:color w:val="111113"/>
          <w:sz w:val="20"/>
        </w:rPr>
        <w:t>debts as and when they fall due over the 12 month period from the date of </w:t>
      </w:r>
      <w:r>
        <w:rPr>
          <w:color w:val="111113"/>
          <w:spacing w:val="-3"/>
          <w:sz w:val="20"/>
        </w:rPr>
        <w:t>th</w:t>
      </w:r>
      <w:r>
        <w:rPr>
          <w:color w:val="2B2A2D"/>
          <w:spacing w:val="-3"/>
          <w:sz w:val="20"/>
        </w:rPr>
        <w:t>i</w:t>
      </w:r>
      <w:r>
        <w:rPr>
          <w:color w:val="111113"/>
          <w:spacing w:val="-3"/>
          <w:sz w:val="20"/>
        </w:rPr>
        <w:t>s </w:t>
      </w:r>
      <w:r>
        <w:rPr>
          <w:color w:val="111113"/>
          <w:sz w:val="20"/>
        </w:rPr>
        <w:t>independent auditor</w:t>
      </w:r>
      <w:r>
        <w:rPr>
          <w:color w:val="2B2A2D"/>
          <w:sz w:val="20"/>
        </w:rPr>
        <w:t>'</w:t>
      </w:r>
      <w:r>
        <w:rPr>
          <w:color w:val="111113"/>
          <w:sz w:val="20"/>
        </w:rPr>
        <w:t>s report (future</w:t>
      </w:r>
      <w:r>
        <w:rPr>
          <w:color w:val="111113"/>
          <w:spacing w:val="-23"/>
          <w:sz w:val="20"/>
        </w:rPr>
        <w:t> </w:t>
      </w:r>
      <w:r>
        <w:rPr>
          <w:color w:val="111113"/>
          <w:sz w:val="20"/>
        </w:rPr>
        <w:t>debts).</w:t>
      </w:r>
    </w:p>
    <w:p>
      <w:pPr>
        <w:pStyle w:val="BodyText"/>
        <w:spacing w:before="6"/>
        <w:rPr>
          <w:sz w:val="19"/>
        </w:rPr>
      </w:pPr>
    </w:p>
    <w:p>
      <w:pPr>
        <w:spacing w:before="0"/>
        <w:ind w:left="118" w:right="113" w:firstLine="0"/>
        <w:jc w:val="both"/>
        <w:rPr>
          <w:sz w:val="20"/>
        </w:rPr>
      </w:pPr>
      <w:r>
        <w:rPr>
          <w:color w:val="111113"/>
          <w:sz w:val="20"/>
        </w:rPr>
        <w:t>This audit involved performing procedures to obtain audit ev</w:t>
      </w:r>
      <w:r>
        <w:rPr>
          <w:color w:val="2B2A2D"/>
          <w:sz w:val="20"/>
        </w:rPr>
        <w:t>i</w:t>
      </w:r>
      <w:r>
        <w:rPr>
          <w:color w:val="111113"/>
          <w:sz w:val="20"/>
        </w:rPr>
        <w:t>dence about the Trust's compliance with the CF Act and CF Regulation and its ability to pay future debts. The procedures selected depend on the auditor</w:t>
      </w:r>
      <w:r>
        <w:rPr>
          <w:color w:val="2B2A2D"/>
          <w:sz w:val="20"/>
        </w:rPr>
        <w:t>'</w:t>
      </w:r>
      <w:r>
        <w:rPr>
          <w:color w:val="111113"/>
          <w:sz w:val="20"/>
        </w:rPr>
        <w:t>s judgement, including the assessment of the risks of material breaches of compliance and inability to pay future debts. In making those risk assessments, the auditor considers relevant internal control in order to design audit procedures that are appropriate in the circumstances, but not for the purpose of express</w:t>
      </w:r>
      <w:r>
        <w:rPr>
          <w:color w:val="2B2A2D"/>
          <w:sz w:val="20"/>
        </w:rPr>
        <w:t>i</w:t>
      </w:r>
      <w:r>
        <w:rPr>
          <w:color w:val="111113"/>
          <w:sz w:val="20"/>
        </w:rPr>
        <w:t>ng an opin</w:t>
      </w:r>
      <w:r>
        <w:rPr>
          <w:color w:val="2B2A2D"/>
          <w:sz w:val="20"/>
        </w:rPr>
        <w:t>i</w:t>
      </w:r>
      <w:r>
        <w:rPr>
          <w:color w:val="111113"/>
          <w:sz w:val="20"/>
        </w:rPr>
        <w:t>on on the effectiveness of the Trust</w:t>
      </w:r>
      <w:r>
        <w:rPr>
          <w:color w:val="3B3B3D"/>
          <w:sz w:val="20"/>
        </w:rPr>
        <w:t>'</w:t>
      </w:r>
      <w:r>
        <w:rPr>
          <w:color w:val="111113"/>
          <w:sz w:val="20"/>
        </w:rPr>
        <w:t>s internal control.</w:t>
      </w:r>
    </w:p>
    <w:p>
      <w:pPr>
        <w:pStyle w:val="BodyText"/>
        <w:spacing w:before="6"/>
        <w:rPr>
          <w:sz w:val="19"/>
        </w:rPr>
      </w:pPr>
    </w:p>
    <w:p>
      <w:pPr>
        <w:spacing w:before="0"/>
        <w:ind w:left="118" w:right="118" w:firstLine="4"/>
        <w:jc w:val="both"/>
        <w:rPr>
          <w:sz w:val="20"/>
        </w:rPr>
      </w:pPr>
      <w:r>
        <w:rPr>
          <w:color w:val="111113"/>
          <w:sz w:val="20"/>
        </w:rPr>
        <w:t>My procedures included obtain</w:t>
      </w:r>
      <w:r>
        <w:rPr>
          <w:color w:val="2B2A2D"/>
          <w:sz w:val="20"/>
        </w:rPr>
        <w:t>i</w:t>
      </w:r>
      <w:r>
        <w:rPr>
          <w:color w:val="111113"/>
          <w:sz w:val="20"/>
        </w:rPr>
        <w:t>ng an understanding of the internal control structure for fundraising appeal activities and examination, on a test basis, of evidence supporting the Trust's compliance with specific requirements of the CF Act and CF Regulation</w:t>
      </w:r>
      <w:r>
        <w:rPr>
          <w:color w:val="2B2A2D"/>
          <w:sz w:val="20"/>
        </w:rPr>
        <w:t>, </w:t>
      </w:r>
      <w:r>
        <w:rPr>
          <w:color w:val="111113"/>
          <w:sz w:val="20"/>
        </w:rPr>
        <w:t>and assessing the reasonableness and appropriateness of the directors</w:t>
      </w:r>
      <w:r>
        <w:rPr>
          <w:color w:val="3B3B3D"/>
          <w:sz w:val="20"/>
        </w:rPr>
        <w:t>' </w:t>
      </w:r>
      <w:r>
        <w:rPr>
          <w:color w:val="111113"/>
          <w:sz w:val="20"/>
        </w:rPr>
        <w:t>assessment regarding the Trust's ab</w:t>
      </w:r>
      <w:r>
        <w:rPr>
          <w:color w:val="2B2A2D"/>
          <w:sz w:val="20"/>
        </w:rPr>
        <w:t>i</w:t>
      </w:r>
      <w:r>
        <w:rPr>
          <w:color w:val="111113"/>
          <w:sz w:val="20"/>
        </w:rPr>
        <w:t>lity to pay future debts</w:t>
      </w:r>
      <w:r>
        <w:rPr>
          <w:color w:val="3B3B3D"/>
          <w:sz w:val="20"/>
        </w:rPr>
        <w:t>.</w:t>
      </w:r>
    </w:p>
    <w:p>
      <w:pPr>
        <w:pStyle w:val="BodyText"/>
        <w:spacing w:before="4"/>
        <w:rPr>
          <w:sz w:val="20"/>
        </w:rPr>
      </w:pPr>
    </w:p>
    <w:p>
      <w:pPr>
        <w:spacing w:before="0"/>
        <w:ind w:left="122" w:right="0" w:firstLine="0"/>
        <w:jc w:val="both"/>
        <w:rPr>
          <w:b/>
          <w:sz w:val="19"/>
        </w:rPr>
      </w:pPr>
      <w:r>
        <w:rPr>
          <w:b/>
          <w:color w:val="111113"/>
          <w:w w:val="105"/>
          <w:sz w:val="19"/>
        </w:rPr>
        <w:t>Inherent Limitations</w:t>
      </w:r>
    </w:p>
    <w:p>
      <w:pPr>
        <w:pStyle w:val="BodyText"/>
        <w:spacing w:before="1"/>
        <w:rPr>
          <w:b/>
          <w:sz w:val="20"/>
        </w:rPr>
      </w:pPr>
    </w:p>
    <w:p>
      <w:pPr>
        <w:spacing w:before="0"/>
        <w:ind w:left="118" w:right="118" w:firstLine="4"/>
        <w:jc w:val="both"/>
        <w:rPr>
          <w:sz w:val="20"/>
        </w:rPr>
      </w:pPr>
      <w:r>
        <w:rPr>
          <w:color w:val="111113"/>
          <w:sz w:val="20"/>
        </w:rPr>
        <w:t>Because of inherent limitations of any compliance procedure</w:t>
      </w:r>
      <w:r>
        <w:rPr>
          <w:color w:val="2B2A2D"/>
          <w:sz w:val="20"/>
        </w:rPr>
        <w:t>, </w:t>
      </w:r>
      <w:r>
        <w:rPr>
          <w:color w:val="111113"/>
          <w:sz w:val="20"/>
        </w:rPr>
        <w:t>it is possible that fraud</w:t>
      </w:r>
      <w:r>
        <w:rPr>
          <w:color w:val="2B2A2D"/>
          <w:sz w:val="20"/>
        </w:rPr>
        <w:t>, </w:t>
      </w:r>
      <w:r>
        <w:rPr>
          <w:color w:val="111113"/>
          <w:sz w:val="20"/>
        </w:rPr>
        <w:t>error or non-compliance with the CF Act may occur and not be detected</w:t>
      </w:r>
      <w:r>
        <w:rPr>
          <w:color w:val="545454"/>
          <w:sz w:val="20"/>
        </w:rPr>
        <w:t>. </w:t>
      </w:r>
      <w:r>
        <w:rPr>
          <w:color w:val="111113"/>
          <w:sz w:val="20"/>
        </w:rPr>
        <w:t>My procedures have not been performed continuously throughout the period, were not designed to detect all </w:t>
      </w:r>
      <w:r>
        <w:rPr>
          <w:color w:val="2B2A2D"/>
          <w:sz w:val="20"/>
        </w:rPr>
        <w:t>i</w:t>
      </w:r>
      <w:r>
        <w:rPr>
          <w:color w:val="111113"/>
          <w:sz w:val="20"/>
        </w:rPr>
        <w:t>nstances of non-compliance </w:t>
      </w:r>
      <w:r>
        <w:rPr>
          <w:color w:val="2B2A2D"/>
          <w:sz w:val="20"/>
        </w:rPr>
        <w:t>, </w:t>
      </w:r>
      <w:r>
        <w:rPr>
          <w:color w:val="111113"/>
          <w:sz w:val="20"/>
        </w:rPr>
        <w:t>and have not covered all requirements of the CF Act and CF Regulation</w:t>
      </w:r>
      <w:r>
        <w:rPr>
          <w:color w:val="2B2A2D"/>
          <w:sz w:val="20"/>
        </w:rPr>
        <w:t>.</w:t>
      </w:r>
    </w:p>
    <w:p>
      <w:pPr>
        <w:pStyle w:val="BodyText"/>
        <w:spacing w:before="1"/>
        <w:rPr>
          <w:sz w:val="20"/>
        </w:rPr>
      </w:pPr>
    </w:p>
    <w:p>
      <w:pPr>
        <w:spacing w:line="237" w:lineRule="auto" w:before="0"/>
        <w:ind w:left="108" w:right="121" w:hanging="5"/>
        <w:jc w:val="both"/>
        <w:rPr>
          <w:sz w:val="20"/>
        </w:rPr>
      </w:pPr>
      <w:r>
        <w:rPr>
          <w:color w:val="111113"/>
          <w:sz w:val="20"/>
        </w:rPr>
        <w:t>Any projection of the evaluation of compliance w</w:t>
      </w:r>
      <w:r>
        <w:rPr>
          <w:color w:val="2B2A2D"/>
          <w:sz w:val="20"/>
        </w:rPr>
        <w:t>i</w:t>
      </w:r>
      <w:r>
        <w:rPr>
          <w:color w:val="111113"/>
          <w:sz w:val="20"/>
        </w:rPr>
        <w:t>th the CF Act to future periods is subject to the risk that the procedures may become inadequate because of changes in conditions, or that the degree of compliance with them may deteriorate </w:t>
      </w:r>
      <w:r>
        <w:rPr>
          <w:color w:val="2B2A2D"/>
          <w:sz w:val="20"/>
        </w:rPr>
        <w:t>.</w:t>
      </w:r>
    </w:p>
    <w:p>
      <w:pPr>
        <w:pStyle w:val="BodyText"/>
        <w:spacing w:before="11"/>
        <w:rPr>
          <w:sz w:val="19"/>
        </w:rPr>
      </w:pPr>
    </w:p>
    <w:p>
      <w:pPr>
        <w:spacing w:line="240" w:lineRule="auto" w:before="0"/>
        <w:ind w:left="108" w:right="127" w:firstLine="0"/>
        <w:jc w:val="both"/>
        <w:rPr>
          <w:sz w:val="20"/>
        </w:rPr>
      </w:pPr>
      <w:r>
        <w:rPr>
          <w:color w:val="111113"/>
          <w:sz w:val="20"/>
        </w:rPr>
        <w:t>Whilst evidence is available to support the Trust's ability to pay future debts, such evidence is future orientated and speculative in nature</w:t>
      </w:r>
      <w:r>
        <w:rPr>
          <w:color w:val="2B2A2D"/>
          <w:sz w:val="20"/>
        </w:rPr>
        <w:t>. </w:t>
      </w:r>
      <w:r>
        <w:rPr>
          <w:color w:val="111113"/>
          <w:sz w:val="20"/>
        </w:rPr>
        <w:t>As a consequence</w:t>
      </w:r>
      <w:r>
        <w:rPr>
          <w:color w:val="2B2A2D"/>
          <w:sz w:val="20"/>
        </w:rPr>
        <w:t>, </w:t>
      </w:r>
      <w:r>
        <w:rPr>
          <w:color w:val="111113"/>
          <w:sz w:val="20"/>
        </w:rPr>
        <w:t>actual results are likely to be different from the information on which the opin</w:t>
      </w:r>
      <w:r>
        <w:rPr>
          <w:color w:val="2B2A2D"/>
          <w:sz w:val="20"/>
        </w:rPr>
        <w:t>i</w:t>
      </w:r>
      <w:r>
        <w:rPr>
          <w:color w:val="111113"/>
          <w:sz w:val="20"/>
        </w:rPr>
        <w:t>on is based, since anticipated events frequently do not occur as expected or assumed and the variations between the prospective opinion and the actual outcome</w:t>
      </w:r>
      <w:r>
        <w:rPr>
          <w:color w:val="111113"/>
          <w:spacing w:val="-17"/>
          <w:sz w:val="20"/>
        </w:rPr>
        <w:t> </w:t>
      </w:r>
      <w:r>
        <w:rPr>
          <w:color w:val="111113"/>
          <w:sz w:val="20"/>
        </w:rPr>
        <w:t>may be</w:t>
      </w:r>
      <w:r>
        <w:rPr>
          <w:color w:val="111113"/>
          <w:spacing w:val="-32"/>
          <w:sz w:val="20"/>
        </w:rPr>
        <w:t> </w:t>
      </w:r>
      <w:r>
        <w:rPr>
          <w:color w:val="111113"/>
          <w:sz w:val="20"/>
        </w:rPr>
        <w:t>significant.</w:t>
      </w:r>
    </w:p>
    <w:p>
      <w:pPr>
        <w:pStyle w:val="BodyText"/>
        <w:spacing w:before="6"/>
        <w:rPr>
          <w:sz w:val="19"/>
        </w:rPr>
      </w:pPr>
    </w:p>
    <w:p>
      <w:pPr>
        <w:spacing w:before="0"/>
        <w:ind w:left="108" w:right="123" w:firstLine="9"/>
        <w:jc w:val="both"/>
        <w:rPr>
          <w:sz w:val="20"/>
        </w:rPr>
      </w:pPr>
      <w:r>
        <w:rPr>
          <w:color w:val="111113"/>
          <w:sz w:val="20"/>
        </w:rPr>
        <w:t>I believe the audit evidence I have obtained is sufficient and appropriate to provide a basis for my qualified audit opinion</w:t>
      </w:r>
      <w:r>
        <w:rPr>
          <w:color w:val="3B3B3D"/>
          <w:sz w:val="20"/>
        </w:rPr>
        <w:t>.</w:t>
      </w:r>
    </w:p>
    <w:p>
      <w:pPr>
        <w:spacing w:after="0"/>
        <w:jc w:val="both"/>
        <w:rPr>
          <w:sz w:val="20"/>
        </w:rPr>
        <w:sectPr>
          <w:headerReference w:type="default" r:id="rId159"/>
          <w:footerReference w:type="default" r:id="rId160"/>
          <w:pgSz w:w="11910" w:h="16840"/>
          <w:pgMar w:header="0" w:footer="563" w:top="1480" w:bottom="760" w:left="1300" w:right="1340"/>
          <w:pgNumType w:start="141"/>
        </w:sectPr>
      </w:pPr>
    </w:p>
    <w:p>
      <w:pPr>
        <w:pStyle w:val="Heading5"/>
        <w:spacing w:before="53"/>
        <w:ind w:left="206"/>
      </w:pPr>
      <w:r>
        <w:rPr>
          <w:color w:val="111113"/>
          <w:w w:val="105"/>
        </w:rPr>
        <w:t>Independence</w:t>
      </w:r>
    </w:p>
    <w:p>
      <w:pPr>
        <w:pStyle w:val="BodyText"/>
        <w:spacing w:before="5"/>
        <w:rPr>
          <w:b/>
          <w:sz w:val="20"/>
        </w:rPr>
      </w:pPr>
    </w:p>
    <w:p>
      <w:pPr>
        <w:pStyle w:val="Heading8"/>
        <w:spacing w:line="237" w:lineRule="auto"/>
        <w:ind w:left="191" w:right="113" w:firstLine="14"/>
      </w:pPr>
      <w:r>
        <w:rPr>
          <w:color w:val="111113"/>
        </w:rPr>
        <w:t>In conducting my audit, I have complied with the independence requirements of the  Australian Auditing Standards, Standards on Assurance Engagements and other relevant ethical pronouncements. The PF&amp;A Act further promotes independence by:</w:t>
      </w:r>
    </w:p>
    <w:p>
      <w:pPr>
        <w:pStyle w:val="BodyText"/>
        <w:spacing w:before="5"/>
        <w:rPr>
          <w:sz w:val="25"/>
        </w:rPr>
      </w:pPr>
    </w:p>
    <w:p>
      <w:pPr>
        <w:pStyle w:val="ListParagraph"/>
        <w:numPr>
          <w:ilvl w:val="0"/>
          <w:numId w:val="58"/>
        </w:numPr>
        <w:tabs>
          <w:tab w:pos="772" w:val="left" w:leader="none"/>
        </w:tabs>
        <w:spacing w:line="240" w:lineRule="auto" w:before="0" w:after="0"/>
        <w:ind w:left="756" w:right="108" w:hanging="560"/>
        <w:jc w:val="both"/>
        <w:rPr>
          <w:sz w:val="20"/>
        </w:rPr>
      </w:pPr>
      <w:r>
        <w:rPr>
          <w:color w:val="111113"/>
          <w:sz w:val="20"/>
        </w:rPr>
        <w:t>providing that only Parliament, and not the executive government, can remove an Auditor-General</w:t>
      </w:r>
    </w:p>
    <w:p>
      <w:pPr>
        <w:pStyle w:val="ListParagraph"/>
        <w:numPr>
          <w:ilvl w:val="0"/>
          <w:numId w:val="58"/>
        </w:numPr>
        <w:tabs>
          <w:tab w:pos="767" w:val="left" w:leader="none"/>
        </w:tabs>
        <w:spacing w:line="237" w:lineRule="auto" w:before="64" w:after="0"/>
        <w:ind w:left="761" w:right="115" w:hanging="565"/>
        <w:jc w:val="both"/>
        <w:rPr>
          <w:sz w:val="20"/>
        </w:rPr>
      </w:pPr>
      <w:r>
        <w:rPr>
          <w:color w:val="111113"/>
          <w:sz w:val="20"/>
        </w:rPr>
        <w:t>mandating the Auditor-General as auditor of public sector agencies but precluding the provision of non-audit services, thus ensuring the Auditor-General and the Audit Office of New South Wales are not compromised in their role by the possibility of losing clients or</w:t>
      </w:r>
      <w:r>
        <w:rPr>
          <w:color w:val="111113"/>
          <w:spacing w:val="-12"/>
          <w:sz w:val="20"/>
        </w:rPr>
        <w:t> </w:t>
      </w:r>
      <w:r>
        <w:rPr>
          <w:color w:val="262628"/>
          <w:sz w:val="20"/>
        </w:rPr>
        <w:t>income.</w:t>
      </w:r>
    </w:p>
    <w:p>
      <w:pPr>
        <w:pStyle w:val="BodyText"/>
        <w:rPr>
          <w:sz w:val="20"/>
        </w:rPr>
      </w:pPr>
    </w:p>
    <w:p>
      <w:pPr>
        <w:pStyle w:val="BodyText"/>
        <w:spacing w:before="11"/>
      </w:pPr>
      <w:r>
        <w:rPr/>
        <w:drawing>
          <wp:anchor distT="0" distB="0" distL="0" distR="0" allowOverlap="1" layoutInCell="1" locked="0" behindDoc="0" simplePos="0" relativeHeight="4960">
            <wp:simplePos x="0" y="0"/>
            <wp:positionH relativeFrom="page">
              <wp:posOffset>865632</wp:posOffset>
            </wp:positionH>
            <wp:positionV relativeFrom="paragraph">
              <wp:posOffset>163382</wp:posOffset>
            </wp:positionV>
            <wp:extent cx="2048255" cy="451103"/>
            <wp:effectExtent l="0" t="0" r="0" b="0"/>
            <wp:wrapTopAndBottom/>
            <wp:docPr id="67" name="image61.jpeg" descr=""/>
            <wp:cNvGraphicFramePr>
              <a:graphicFrameLocks noChangeAspect="1"/>
            </wp:cNvGraphicFramePr>
            <a:graphic>
              <a:graphicData uri="http://schemas.openxmlformats.org/drawingml/2006/picture">
                <pic:pic>
                  <pic:nvPicPr>
                    <pic:cNvPr id="68" name="image61.jpeg"/>
                    <pic:cNvPicPr/>
                  </pic:nvPicPr>
                  <pic:blipFill>
                    <a:blip r:embed="rId163" cstate="print"/>
                    <a:stretch>
                      <a:fillRect/>
                    </a:stretch>
                  </pic:blipFill>
                  <pic:spPr>
                    <a:xfrm>
                      <a:off x="0" y="0"/>
                      <a:ext cx="2048255" cy="451103"/>
                    </a:xfrm>
                    <a:prstGeom prst="rect">
                      <a:avLst/>
                    </a:prstGeom>
                  </pic:spPr>
                </pic:pic>
              </a:graphicData>
            </a:graphic>
          </wp:anchor>
        </w:drawing>
      </w:r>
    </w:p>
    <w:p>
      <w:pPr>
        <w:pStyle w:val="BodyText"/>
      </w:pPr>
    </w:p>
    <w:p>
      <w:pPr>
        <w:pStyle w:val="Heading8"/>
        <w:ind w:left="182" w:right="7534" w:firstLine="14"/>
        <w:jc w:val="left"/>
      </w:pPr>
      <w:r>
        <w:rPr/>
        <w:pict>
          <v:shape style="position:absolute;margin-left:67.995514pt;margin-top:17.404684pt;width:14.6pt;height:35pt;mso-position-horizontal-relative:page;mso-position-vertical-relative:paragraph;z-index:-1309240" type="#_x0000_t202" filled="false" stroked="false">
            <v:textbox inset="0,0,0,0">
              <w:txbxContent>
                <w:p>
                  <w:pPr>
                    <w:spacing w:line="700" w:lineRule="exact" w:before="0"/>
                    <w:ind w:left="0" w:right="0" w:firstLine="0"/>
                    <w:jc w:val="left"/>
                    <w:rPr>
                      <w:rFonts w:ascii="Times New Roman"/>
                      <w:b/>
                      <w:sz w:val="70"/>
                    </w:rPr>
                  </w:pPr>
                  <w:r>
                    <w:rPr>
                      <w:rFonts w:ascii="Times New Roman"/>
                      <w:b/>
                      <w:color w:val="1326C1"/>
                      <w:w w:val="45"/>
                      <w:sz w:val="70"/>
                    </w:rPr>
                    <w:t>'b</w:t>
                  </w:r>
                </w:p>
              </w:txbxContent>
            </v:textbox>
            <w10:wrap type="none"/>
          </v:shape>
        </w:pict>
      </w:r>
      <w:r>
        <w:rPr>
          <w:color w:val="111113"/>
        </w:rPr>
        <w:t>Peter Achterstraat Auditor-General</w:t>
      </w:r>
    </w:p>
    <w:p>
      <w:pPr>
        <w:pStyle w:val="BodyText"/>
        <w:spacing w:before="10"/>
        <w:rPr>
          <w:sz w:val="22"/>
        </w:rPr>
      </w:pPr>
    </w:p>
    <w:p>
      <w:pPr>
        <w:spacing w:line="216" w:lineRule="exact" w:before="0"/>
        <w:ind w:left="441" w:right="7987" w:firstLine="0"/>
        <w:jc w:val="center"/>
        <w:rPr>
          <w:sz w:val="20"/>
        </w:rPr>
      </w:pPr>
      <w:r>
        <w:rPr>
          <w:color w:val="111113"/>
          <w:sz w:val="20"/>
        </w:rPr>
        <w:t>April 2013</w:t>
      </w:r>
    </w:p>
    <w:p>
      <w:pPr>
        <w:spacing w:line="204" w:lineRule="exact" w:before="0"/>
        <w:ind w:left="191" w:right="0" w:firstLine="0"/>
        <w:jc w:val="both"/>
        <w:rPr>
          <w:b/>
          <w:sz w:val="19"/>
        </w:rPr>
      </w:pPr>
      <w:r>
        <w:rPr>
          <w:b/>
          <w:color w:val="111113"/>
          <w:w w:val="105"/>
          <w:sz w:val="19"/>
        </w:rPr>
        <w:t>SYDNEY</w:t>
      </w:r>
    </w:p>
    <w:p>
      <w:pPr>
        <w:spacing w:after="0" w:line="204" w:lineRule="exact"/>
        <w:jc w:val="both"/>
        <w:rPr>
          <w:sz w:val="19"/>
        </w:rPr>
        <w:sectPr>
          <w:headerReference w:type="default" r:id="rId161"/>
          <w:footerReference w:type="default" r:id="rId162"/>
          <w:pgSz w:w="11910" w:h="16840"/>
          <w:pgMar w:header="0" w:footer="526" w:top="1500" w:bottom="720" w:left="1240" w:right="1300"/>
          <w:pgNumType w:start="142"/>
        </w:sectPr>
      </w:pPr>
    </w:p>
    <w:p>
      <w:pPr>
        <w:pStyle w:val="BodyText"/>
        <w:spacing w:before="1"/>
        <w:rPr>
          <w:b/>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94"/>
        <w:gridCol w:w="1416"/>
        <w:gridCol w:w="2643"/>
      </w:tblGrid>
      <w:tr>
        <w:trPr>
          <w:trHeight w:val="909" w:hRule="exact"/>
        </w:trPr>
        <w:tc>
          <w:tcPr>
            <w:tcW w:w="5894" w:type="dxa"/>
          </w:tcPr>
          <w:p>
            <w:pPr>
              <w:pStyle w:val="TableParagraph"/>
              <w:spacing w:before="65"/>
              <w:ind w:left="35"/>
              <w:rPr>
                <w:b/>
                <w:sz w:val="28"/>
              </w:rPr>
            </w:pPr>
            <w:r>
              <w:rPr>
                <w:b/>
                <w:sz w:val="28"/>
              </w:rPr>
              <w:t>Statement of comprehensive income</w:t>
            </w:r>
          </w:p>
          <w:p>
            <w:pPr>
              <w:pStyle w:val="TableParagraph"/>
              <w:spacing w:before="53"/>
              <w:ind w:left="35"/>
              <w:rPr>
                <w:b/>
                <w:sz w:val="22"/>
              </w:rPr>
            </w:pPr>
            <w:r>
              <w:rPr>
                <w:b/>
                <w:sz w:val="22"/>
              </w:rPr>
              <w:t>For the Year Ended 31 December 2012</w:t>
            </w:r>
          </w:p>
        </w:tc>
        <w:tc>
          <w:tcPr>
            <w:tcW w:w="4059" w:type="dxa"/>
            <w:gridSpan w:val="2"/>
          </w:tcPr>
          <w:p>
            <w:pPr/>
          </w:p>
        </w:tc>
      </w:tr>
      <w:tr>
        <w:trPr>
          <w:trHeight w:val="447" w:hRule="exact"/>
        </w:trPr>
        <w:tc>
          <w:tcPr>
            <w:tcW w:w="5894" w:type="dxa"/>
          </w:tcPr>
          <w:p>
            <w:pPr/>
          </w:p>
        </w:tc>
        <w:tc>
          <w:tcPr>
            <w:tcW w:w="1416" w:type="dxa"/>
          </w:tcPr>
          <w:p>
            <w:pPr/>
          </w:p>
        </w:tc>
        <w:tc>
          <w:tcPr>
            <w:tcW w:w="2643" w:type="dxa"/>
          </w:tcPr>
          <w:p>
            <w:pPr>
              <w:pStyle w:val="TableParagraph"/>
              <w:spacing w:before="2"/>
              <w:rPr>
                <w:b/>
                <w:sz w:val="17"/>
              </w:rPr>
            </w:pPr>
          </w:p>
          <w:p>
            <w:pPr>
              <w:pStyle w:val="TableParagraph"/>
              <w:tabs>
                <w:tab w:pos="1784" w:val="left" w:leader="none"/>
              </w:tabs>
              <w:ind w:left="488"/>
              <w:rPr>
                <w:sz w:val="18"/>
              </w:rPr>
            </w:pPr>
            <w:r>
              <w:rPr>
                <w:b/>
                <w:sz w:val="18"/>
              </w:rPr>
              <w:t>2012</w:t>
              <w:tab/>
            </w:r>
            <w:r>
              <w:rPr>
                <w:sz w:val="18"/>
              </w:rPr>
              <w:t>2011</w:t>
            </w:r>
          </w:p>
        </w:tc>
      </w:tr>
      <w:tr>
        <w:trPr>
          <w:trHeight w:val="313" w:hRule="exact"/>
        </w:trPr>
        <w:tc>
          <w:tcPr>
            <w:tcW w:w="5894" w:type="dxa"/>
          </w:tcPr>
          <w:p>
            <w:pPr/>
          </w:p>
        </w:tc>
        <w:tc>
          <w:tcPr>
            <w:tcW w:w="1416" w:type="dxa"/>
          </w:tcPr>
          <w:p>
            <w:pPr>
              <w:pStyle w:val="TableParagraph"/>
              <w:spacing w:before="24"/>
              <w:ind w:left="971"/>
              <w:rPr>
                <w:b/>
                <w:sz w:val="18"/>
              </w:rPr>
            </w:pPr>
            <w:r>
              <w:rPr>
                <w:b/>
                <w:sz w:val="18"/>
              </w:rPr>
              <w:t>Note</w:t>
            </w:r>
          </w:p>
        </w:tc>
        <w:tc>
          <w:tcPr>
            <w:tcW w:w="2643" w:type="dxa"/>
          </w:tcPr>
          <w:p>
            <w:pPr>
              <w:pStyle w:val="TableParagraph"/>
              <w:tabs>
                <w:tab w:pos="1935" w:val="left" w:leader="none"/>
              </w:tabs>
              <w:spacing w:before="24"/>
              <w:ind w:left="639"/>
              <w:rPr>
                <w:sz w:val="18"/>
              </w:rPr>
            </w:pPr>
            <w:r>
              <w:rPr>
                <w:b/>
                <w:sz w:val="18"/>
              </w:rPr>
              <w:t>$</w:t>
              <w:tab/>
            </w:r>
            <w:r>
              <w:rPr>
                <w:sz w:val="18"/>
              </w:rPr>
              <w:t>$</w:t>
            </w:r>
          </w:p>
        </w:tc>
      </w:tr>
      <w:tr>
        <w:trPr>
          <w:trHeight w:val="349" w:hRule="exact"/>
        </w:trPr>
        <w:tc>
          <w:tcPr>
            <w:tcW w:w="5894" w:type="dxa"/>
          </w:tcPr>
          <w:p>
            <w:pPr>
              <w:pStyle w:val="TableParagraph"/>
              <w:spacing w:before="63"/>
              <w:ind w:left="61"/>
              <w:rPr>
                <w:b/>
                <w:sz w:val="18"/>
              </w:rPr>
            </w:pPr>
            <w:r>
              <w:rPr>
                <w:b/>
                <w:sz w:val="18"/>
              </w:rPr>
              <w:t>Revenue</w:t>
            </w:r>
          </w:p>
        </w:tc>
        <w:tc>
          <w:tcPr>
            <w:tcW w:w="1416" w:type="dxa"/>
          </w:tcPr>
          <w:p>
            <w:pPr/>
          </w:p>
        </w:tc>
        <w:tc>
          <w:tcPr>
            <w:tcW w:w="2643" w:type="dxa"/>
          </w:tcPr>
          <w:p>
            <w:pPr/>
          </w:p>
        </w:tc>
      </w:tr>
      <w:tr>
        <w:trPr>
          <w:trHeight w:val="276" w:hRule="exact"/>
        </w:trPr>
        <w:tc>
          <w:tcPr>
            <w:tcW w:w="5894" w:type="dxa"/>
          </w:tcPr>
          <w:p>
            <w:pPr>
              <w:pStyle w:val="TableParagraph"/>
              <w:spacing w:before="60"/>
              <w:ind w:left="61"/>
              <w:rPr>
                <w:sz w:val="18"/>
              </w:rPr>
            </w:pPr>
            <w:r>
              <w:rPr>
                <w:sz w:val="18"/>
              </w:rPr>
              <w:t>Services</w:t>
            </w:r>
          </w:p>
        </w:tc>
        <w:tc>
          <w:tcPr>
            <w:tcW w:w="1416" w:type="dxa"/>
          </w:tcPr>
          <w:p>
            <w:pPr>
              <w:pStyle w:val="TableParagraph"/>
              <w:spacing w:before="60"/>
              <w:ind w:left="911"/>
              <w:rPr>
                <w:sz w:val="18"/>
              </w:rPr>
            </w:pPr>
            <w:r>
              <w:rPr>
                <w:w w:val="99"/>
                <w:sz w:val="18"/>
              </w:rPr>
              <w:t>3</w:t>
            </w:r>
          </w:p>
        </w:tc>
        <w:tc>
          <w:tcPr>
            <w:tcW w:w="2643" w:type="dxa"/>
          </w:tcPr>
          <w:p>
            <w:pPr>
              <w:pStyle w:val="TableParagraph"/>
              <w:tabs>
                <w:tab w:pos="1741" w:val="left" w:leader="none"/>
              </w:tabs>
              <w:spacing w:before="60"/>
              <w:ind w:left="445"/>
              <w:rPr>
                <w:sz w:val="18"/>
              </w:rPr>
            </w:pPr>
            <w:r>
              <w:rPr>
                <w:b/>
                <w:sz w:val="18"/>
              </w:rPr>
              <w:t>1,465,717</w:t>
              <w:tab/>
            </w:r>
            <w:r>
              <w:rPr>
                <w:sz w:val="18"/>
              </w:rPr>
              <w:t>2,251,714</w:t>
            </w:r>
          </w:p>
        </w:tc>
      </w:tr>
      <w:tr>
        <w:trPr>
          <w:trHeight w:val="212" w:hRule="exact"/>
        </w:trPr>
        <w:tc>
          <w:tcPr>
            <w:tcW w:w="5894" w:type="dxa"/>
          </w:tcPr>
          <w:p>
            <w:pPr>
              <w:pStyle w:val="TableParagraph"/>
              <w:spacing w:line="197" w:lineRule="exact"/>
              <w:ind w:left="61"/>
              <w:rPr>
                <w:sz w:val="18"/>
              </w:rPr>
            </w:pPr>
            <w:r>
              <w:rPr>
                <w:sz w:val="18"/>
              </w:rPr>
              <w:t>Other revenue</w:t>
            </w:r>
          </w:p>
        </w:tc>
        <w:tc>
          <w:tcPr>
            <w:tcW w:w="1416" w:type="dxa"/>
          </w:tcPr>
          <w:p>
            <w:pPr>
              <w:pStyle w:val="TableParagraph"/>
              <w:spacing w:line="197" w:lineRule="exact"/>
              <w:ind w:left="911"/>
              <w:rPr>
                <w:sz w:val="18"/>
              </w:rPr>
            </w:pPr>
            <w:r>
              <w:rPr>
                <w:w w:val="99"/>
                <w:sz w:val="18"/>
              </w:rPr>
              <w:t>3</w:t>
            </w:r>
          </w:p>
        </w:tc>
        <w:tc>
          <w:tcPr>
            <w:tcW w:w="2643" w:type="dxa"/>
          </w:tcPr>
          <w:p>
            <w:pPr>
              <w:pStyle w:val="TableParagraph"/>
              <w:tabs>
                <w:tab w:pos="445" w:val="left" w:leader="none"/>
                <w:tab w:pos="1741" w:val="left" w:leader="none"/>
              </w:tabs>
              <w:spacing w:line="197" w:lineRule="exact"/>
              <w:ind w:left="44"/>
              <w:rPr>
                <w:sz w:val="18"/>
              </w:rPr>
            </w:pPr>
            <w:r>
              <w:rPr>
                <w:rFonts w:ascii="Times New Roman"/>
                <w:sz w:val="18"/>
                <w:u w:val="single"/>
              </w:rPr>
              <w:t> </w:t>
              <w:tab/>
            </w:r>
            <w:r>
              <w:rPr>
                <w:b/>
                <w:sz w:val="18"/>
                <w:u w:val="single"/>
              </w:rPr>
              <w:t>1,254,281</w:t>
              <w:tab/>
            </w:r>
            <w:r>
              <w:rPr>
                <w:sz w:val="18"/>
                <w:u w:val="single"/>
              </w:rPr>
              <w:t>1,668,382</w:t>
            </w:r>
          </w:p>
        </w:tc>
      </w:tr>
      <w:tr>
        <w:trPr>
          <w:trHeight w:val="362" w:hRule="exact"/>
        </w:trPr>
        <w:tc>
          <w:tcPr>
            <w:tcW w:w="5894" w:type="dxa"/>
          </w:tcPr>
          <w:p>
            <w:pPr>
              <w:pStyle w:val="TableParagraph"/>
              <w:spacing w:line="201" w:lineRule="exact"/>
              <w:ind w:left="61"/>
              <w:rPr>
                <w:b/>
                <w:sz w:val="18"/>
              </w:rPr>
            </w:pPr>
            <w:r>
              <w:rPr>
                <w:b/>
                <w:sz w:val="18"/>
              </w:rPr>
              <w:t>Total revenue</w:t>
            </w:r>
          </w:p>
        </w:tc>
        <w:tc>
          <w:tcPr>
            <w:tcW w:w="1416" w:type="dxa"/>
          </w:tcPr>
          <w:p>
            <w:pPr/>
          </w:p>
        </w:tc>
        <w:tc>
          <w:tcPr>
            <w:tcW w:w="2643" w:type="dxa"/>
          </w:tcPr>
          <w:p>
            <w:pPr>
              <w:pStyle w:val="TableParagraph"/>
              <w:tabs>
                <w:tab w:pos="445" w:val="left" w:leader="none"/>
                <w:tab w:pos="1741" w:val="left" w:leader="none"/>
              </w:tabs>
              <w:spacing w:line="201" w:lineRule="exact"/>
              <w:ind w:left="44"/>
              <w:rPr>
                <w:sz w:val="18"/>
              </w:rPr>
            </w:pPr>
            <w:r>
              <w:rPr>
                <w:rFonts w:ascii="Times New Roman"/>
                <w:sz w:val="18"/>
                <w:u w:val="single"/>
              </w:rPr>
              <w:t> </w:t>
              <w:tab/>
            </w:r>
            <w:r>
              <w:rPr>
                <w:b/>
                <w:sz w:val="18"/>
                <w:u w:val="single"/>
              </w:rPr>
              <w:t>2,719,998</w:t>
              <w:tab/>
            </w:r>
            <w:r>
              <w:rPr>
                <w:sz w:val="18"/>
                <w:u w:val="single"/>
              </w:rPr>
              <w:t>3,920,096</w:t>
            </w:r>
          </w:p>
        </w:tc>
      </w:tr>
      <w:tr>
        <w:trPr>
          <w:trHeight w:val="504" w:hRule="exact"/>
        </w:trPr>
        <w:tc>
          <w:tcPr>
            <w:tcW w:w="5894" w:type="dxa"/>
          </w:tcPr>
          <w:p>
            <w:pPr>
              <w:pStyle w:val="TableParagraph"/>
              <w:spacing w:before="141"/>
              <w:ind w:left="61"/>
              <w:rPr>
                <w:sz w:val="18"/>
              </w:rPr>
            </w:pPr>
            <w:r>
              <w:rPr>
                <w:sz w:val="18"/>
              </w:rPr>
              <w:t>Change in fair value of other financial assets</w:t>
            </w:r>
          </w:p>
        </w:tc>
        <w:tc>
          <w:tcPr>
            <w:tcW w:w="1416" w:type="dxa"/>
          </w:tcPr>
          <w:p>
            <w:pPr/>
          </w:p>
        </w:tc>
        <w:tc>
          <w:tcPr>
            <w:tcW w:w="2643" w:type="dxa"/>
          </w:tcPr>
          <w:p>
            <w:pPr>
              <w:pStyle w:val="TableParagraph"/>
              <w:tabs>
                <w:tab w:pos="596" w:val="left" w:leader="none"/>
                <w:tab w:pos="1681" w:val="left" w:leader="none"/>
              </w:tabs>
              <w:spacing w:before="141"/>
              <w:ind w:left="44"/>
              <w:rPr>
                <w:sz w:val="18"/>
              </w:rPr>
            </w:pPr>
            <w:r>
              <w:rPr>
                <w:rFonts w:ascii="Times New Roman"/>
                <w:sz w:val="18"/>
                <w:u w:val="single"/>
              </w:rPr>
              <w:t> </w:t>
              <w:tab/>
            </w:r>
            <w:r>
              <w:rPr>
                <w:b/>
                <w:sz w:val="18"/>
                <w:u w:val="single"/>
              </w:rPr>
              <w:t>452,578</w:t>
              <w:tab/>
            </w:r>
            <w:r>
              <w:rPr>
                <w:sz w:val="18"/>
                <w:u w:val="single"/>
              </w:rPr>
              <w:t>(1,185,631)</w:t>
            </w:r>
          </w:p>
        </w:tc>
      </w:tr>
      <w:tr>
        <w:trPr>
          <w:trHeight w:val="504" w:hRule="exact"/>
        </w:trPr>
        <w:tc>
          <w:tcPr>
            <w:tcW w:w="5894" w:type="dxa"/>
          </w:tcPr>
          <w:p>
            <w:pPr>
              <w:pStyle w:val="TableParagraph"/>
              <w:spacing w:before="136"/>
              <w:ind w:left="61"/>
              <w:rPr>
                <w:b/>
                <w:sz w:val="18"/>
              </w:rPr>
            </w:pPr>
            <w:r>
              <w:rPr>
                <w:b/>
                <w:sz w:val="18"/>
              </w:rPr>
              <w:t>Total income</w:t>
            </w:r>
          </w:p>
        </w:tc>
        <w:tc>
          <w:tcPr>
            <w:tcW w:w="1416" w:type="dxa"/>
          </w:tcPr>
          <w:p>
            <w:pPr/>
          </w:p>
        </w:tc>
        <w:tc>
          <w:tcPr>
            <w:tcW w:w="2643" w:type="dxa"/>
          </w:tcPr>
          <w:p>
            <w:pPr>
              <w:pStyle w:val="TableParagraph"/>
              <w:tabs>
                <w:tab w:pos="445" w:val="left" w:leader="none"/>
                <w:tab w:pos="1741" w:val="left" w:leader="none"/>
              </w:tabs>
              <w:spacing w:before="136"/>
              <w:ind w:left="44"/>
              <w:rPr>
                <w:sz w:val="18"/>
              </w:rPr>
            </w:pPr>
            <w:r>
              <w:rPr>
                <w:rFonts w:ascii="Times New Roman"/>
                <w:sz w:val="18"/>
                <w:u w:val="single"/>
              </w:rPr>
              <w:t> </w:t>
              <w:tab/>
            </w:r>
            <w:r>
              <w:rPr>
                <w:b/>
                <w:sz w:val="18"/>
                <w:u w:val="single"/>
              </w:rPr>
              <w:t>3,172,576</w:t>
              <w:tab/>
            </w:r>
            <w:r>
              <w:rPr>
                <w:sz w:val="18"/>
                <w:u w:val="single"/>
              </w:rPr>
              <w:t>2,734,465</w:t>
            </w:r>
          </w:p>
        </w:tc>
      </w:tr>
      <w:tr>
        <w:trPr>
          <w:trHeight w:val="427" w:hRule="exact"/>
        </w:trPr>
        <w:tc>
          <w:tcPr>
            <w:tcW w:w="5894" w:type="dxa"/>
          </w:tcPr>
          <w:p>
            <w:pPr>
              <w:pStyle w:val="TableParagraph"/>
              <w:spacing w:before="141"/>
              <w:ind w:left="61"/>
              <w:rPr>
                <w:b/>
                <w:sz w:val="18"/>
              </w:rPr>
            </w:pPr>
            <w:r>
              <w:rPr>
                <w:b/>
                <w:sz w:val="18"/>
              </w:rPr>
              <w:t>Distributions and expenses</w:t>
            </w:r>
          </w:p>
        </w:tc>
        <w:tc>
          <w:tcPr>
            <w:tcW w:w="1416" w:type="dxa"/>
          </w:tcPr>
          <w:p>
            <w:pPr/>
          </w:p>
        </w:tc>
        <w:tc>
          <w:tcPr>
            <w:tcW w:w="2643" w:type="dxa"/>
          </w:tcPr>
          <w:p>
            <w:pPr/>
          </w:p>
        </w:tc>
      </w:tr>
      <w:tr>
        <w:trPr>
          <w:trHeight w:val="276" w:hRule="exact"/>
        </w:trPr>
        <w:tc>
          <w:tcPr>
            <w:tcW w:w="5894" w:type="dxa"/>
          </w:tcPr>
          <w:p>
            <w:pPr>
              <w:pStyle w:val="TableParagraph"/>
              <w:spacing w:before="60"/>
              <w:ind w:left="61"/>
              <w:rPr>
                <w:sz w:val="18"/>
              </w:rPr>
            </w:pPr>
            <w:r>
              <w:rPr>
                <w:sz w:val="18"/>
              </w:rPr>
              <w:t>Distributions - scholarships and prizes</w:t>
            </w:r>
          </w:p>
        </w:tc>
        <w:tc>
          <w:tcPr>
            <w:tcW w:w="1416" w:type="dxa"/>
          </w:tcPr>
          <w:p>
            <w:pPr>
              <w:pStyle w:val="TableParagraph"/>
              <w:spacing w:before="60"/>
              <w:ind w:left="911"/>
              <w:rPr>
                <w:sz w:val="18"/>
              </w:rPr>
            </w:pPr>
            <w:r>
              <w:rPr>
                <w:w w:val="99"/>
                <w:sz w:val="18"/>
              </w:rPr>
              <w:t>4</w:t>
            </w:r>
          </w:p>
        </w:tc>
        <w:tc>
          <w:tcPr>
            <w:tcW w:w="2643" w:type="dxa"/>
          </w:tcPr>
          <w:p>
            <w:pPr>
              <w:pStyle w:val="TableParagraph"/>
              <w:tabs>
                <w:tab w:pos="1144" w:val="left" w:leader="none"/>
              </w:tabs>
              <w:spacing w:before="60"/>
              <w:ind w:right="33"/>
              <w:jc w:val="right"/>
              <w:rPr>
                <w:sz w:val="18"/>
              </w:rPr>
            </w:pPr>
            <w:r>
              <w:rPr>
                <w:b/>
                <w:sz w:val="18"/>
              </w:rPr>
              <w:t>(437,902)</w:t>
              <w:tab/>
            </w:r>
            <w:r>
              <w:rPr>
                <w:w w:val="95"/>
                <w:sz w:val="18"/>
              </w:rPr>
              <w:t>(1,042,475)</w:t>
            </w:r>
          </w:p>
        </w:tc>
      </w:tr>
      <w:tr>
        <w:trPr>
          <w:trHeight w:val="206" w:hRule="exact"/>
        </w:trPr>
        <w:tc>
          <w:tcPr>
            <w:tcW w:w="5894" w:type="dxa"/>
          </w:tcPr>
          <w:p>
            <w:pPr>
              <w:pStyle w:val="TableParagraph"/>
              <w:spacing w:line="197" w:lineRule="exact"/>
              <w:ind w:left="61"/>
              <w:rPr>
                <w:sz w:val="18"/>
              </w:rPr>
            </w:pPr>
            <w:r>
              <w:rPr>
                <w:sz w:val="18"/>
              </w:rPr>
              <w:t>Distributions - donations</w:t>
            </w:r>
          </w:p>
        </w:tc>
        <w:tc>
          <w:tcPr>
            <w:tcW w:w="1416" w:type="dxa"/>
          </w:tcPr>
          <w:p>
            <w:pPr>
              <w:pStyle w:val="TableParagraph"/>
              <w:spacing w:line="197" w:lineRule="exact"/>
              <w:ind w:left="911"/>
              <w:rPr>
                <w:sz w:val="18"/>
              </w:rPr>
            </w:pPr>
            <w:r>
              <w:rPr>
                <w:sz w:val="18"/>
              </w:rPr>
              <w:t>14(b)</w:t>
            </w:r>
          </w:p>
        </w:tc>
        <w:tc>
          <w:tcPr>
            <w:tcW w:w="2643" w:type="dxa"/>
          </w:tcPr>
          <w:p>
            <w:pPr>
              <w:pStyle w:val="TableParagraph"/>
              <w:tabs>
                <w:tab w:pos="1295" w:val="left" w:leader="none"/>
              </w:tabs>
              <w:spacing w:line="197" w:lineRule="exact"/>
              <w:ind w:right="33"/>
              <w:jc w:val="right"/>
              <w:rPr>
                <w:sz w:val="18"/>
              </w:rPr>
            </w:pPr>
            <w:r>
              <w:rPr>
                <w:b/>
                <w:sz w:val="18"/>
              </w:rPr>
              <w:t>(413,706)</w:t>
              <w:tab/>
            </w:r>
            <w:r>
              <w:rPr>
                <w:spacing w:val="-1"/>
                <w:sz w:val="18"/>
              </w:rPr>
              <w:t>(676,073)</w:t>
            </w:r>
          </w:p>
        </w:tc>
      </w:tr>
      <w:tr>
        <w:trPr>
          <w:trHeight w:val="781" w:hRule="exact"/>
        </w:trPr>
        <w:tc>
          <w:tcPr>
            <w:tcW w:w="5894" w:type="dxa"/>
          </w:tcPr>
          <w:p>
            <w:pPr>
              <w:pStyle w:val="TableParagraph"/>
              <w:ind w:left="61" w:right="4252"/>
              <w:rPr>
                <w:sz w:val="18"/>
              </w:rPr>
            </w:pPr>
            <w:r>
              <w:rPr>
                <w:sz w:val="18"/>
              </w:rPr>
              <w:t>Distributions - other Finance costs</w:t>
            </w:r>
          </w:p>
          <w:p>
            <w:pPr>
              <w:pStyle w:val="TableParagraph"/>
              <w:spacing w:before="9"/>
              <w:ind w:left="61"/>
              <w:rPr>
                <w:b/>
                <w:sz w:val="18"/>
              </w:rPr>
            </w:pPr>
            <w:r>
              <w:rPr>
                <w:b/>
                <w:sz w:val="18"/>
              </w:rPr>
              <w:t>Total distributions and expenses</w:t>
            </w:r>
          </w:p>
        </w:tc>
        <w:tc>
          <w:tcPr>
            <w:tcW w:w="1416" w:type="dxa"/>
          </w:tcPr>
          <w:p>
            <w:pPr/>
          </w:p>
        </w:tc>
        <w:tc>
          <w:tcPr>
            <w:tcW w:w="2643" w:type="dxa"/>
          </w:tcPr>
          <w:p>
            <w:pPr>
              <w:pStyle w:val="TableParagraph"/>
              <w:tabs>
                <w:tab w:pos="1933" w:val="left" w:leader="none"/>
              </w:tabs>
              <w:spacing w:line="197" w:lineRule="exact"/>
              <w:ind w:left="738"/>
              <w:rPr>
                <w:sz w:val="18"/>
              </w:rPr>
            </w:pPr>
            <w:r>
              <w:rPr>
                <w:b/>
                <w:sz w:val="18"/>
              </w:rPr>
              <w:t>(3,000)</w:t>
              <w:tab/>
            </w:r>
            <w:r>
              <w:rPr>
                <w:sz w:val="18"/>
              </w:rPr>
              <w:t>(42,277)</w:t>
            </w:r>
          </w:p>
          <w:p>
            <w:pPr>
              <w:pStyle w:val="TableParagraph"/>
              <w:tabs>
                <w:tab w:pos="1191" w:val="left" w:leader="none"/>
                <w:tab w:pos="2487" w:val="left" w:leader="none"/>
              </w:tabs>
              <w:spacing w:line="207" w:lineRule="exact"/>
              <w:ind w:left="44"/>
              <w:rPr>
                <w:sz w:val="18"/>
              </w:rPr>
            </w:pPr>
            <w:r>
              <w:rPr>
                <w:rFonts w:ascii="Times New Roman"/>
                <w:sz w:val="18"/>
                <w:u w:val="single"/>
              </w:rPr>
              <w:t> </w:t>
              <w:tab/>
            </w:r>
            <w:r>
              <w:rPr>
                <w:sz w:val="18"/>
                <w:u w:val="single"/>
              </w:rPr>
              <w:t>-</w:t>
              <w:tab/>
              <w:t>-</w:t>
            </w:r>
          </w:p>
          <w:p>
            <w:pPr>
              <w:pStyle w:val="TableParagraph"/>
              <w:tabs>
                <w:tab w:pos="536" w:val="left" w:leader="none"/>
                <w:tab w:pos="1681" w:val="left" w:leader="none"/>
              </w:tabs>
              <w:spacing w:before="9"/>
              <w:ind w:left="44"/>
              <w:rPr>
                <w:sz w:val="18"/>
              </w:rPr>
            </w:pPr>
            <w:r>
              <w:rPr>
                <w:rFonts w:ascii="Times New Roman"/>
                <w:sz w:val="18"/>
                <w:u w:val="single"/>
              </w:rPr>
              <w:t> </w:t>
              <w:tab/>
            </w:r>
            <w:r>
              <w:rPr>
                <w:b/>
                <w:sz w:val="18"/>
                <w:u w:val="single"/>
              </w:rPr>
              <w:t>(854,608)</w:t>
              <w:tab/>
            </w:r>
            <w:r>
              <w:rPr>
                <w:sz w:val="18"/>
                <w:u w:val="single"/>
              </w:rPr>
              <w:t>(1,760,825)</w:t>
            </w:r>
          </w:p>
        </w:tc>
      </w:tr>
      <w:tr>
        <w:trPr>
          <w:trHeight w:val="499" w:hRule="exact"/>
        </w:trPr>
        <w:tc>
          <w:tcPr>
            <w:tcW w:w="5894" w:type="dxa"/>
          </w:tcPr>
          <w:p>
            <w:pPr>
              <w:pStyle w:val="TableParagraph"/>
              <w:spacing w:before="141"/>
              <w:ind w:left="61"/>
              <w:rPr>
                <w:b/>
                <w:sz w:val="18"/>
              </w:rPr>
            </w:pPr>
            <w:r>
              <w:rPr>
                <w:b/>
                <w:sz w:val="18"/>
              </w:rPr>
              <w:t>Surplus/(deficit) before income tax</w:t>
            </w:r>
          </w:p>
        </w:tc>
        <w:tc>
          <w:tcPr>
            <w:tcW w:w="1416" w:type="dxa"/>
          </w:tcPr>
          <w:p>
            <w:pPr/>
          </w:p>
        </w:tc>
        <w:tc>
          <w:tcPr>
            <w:tcW w:w="2643" w:type="dxa"/>
          </w:tcPr>
          <w:p>
            <w:pPr>
              <w:pStyle w:val="TableParagraph"/>
              <w:tabs>
                <w:tab w:pos="1892" w:val="left" w:leader="none"/>
              </w:tabs>
              <w:spacing w:before="141"/>
              <w:ind w:left="445"/>
              <w:rPr>
                <w:sz w:val="18"/>
              </w:rPr>
            </w:pPr>
            <w:r>
              <w:rPr>
                <w:b/>
                <w:sz w:val="18"/>
              </w:rPr>
              <w:t>2,317,968</w:t>
              <w:tab/>
            </w:r>
            <w:r>
              <w:rPr>
                <w:sz w:val="18"/>
              </w:rPr>
              <w:t>973,640</w:t>
            </w:r>
          </w:p>
        </w:tc>
      </w:tr>
      <w:tr>
        <w:trPr>
          <w:trHeight w:val="716" w:hRule="exact"/>
        </w:trPr>
        <w:tc>
          <w:tcPr>
            <w:tcW w:w="5894" w:type="dxa"/>
          </w:tcPr>
          <w:p>
            <w:pPr>
              <w:pStyle w:val="TableParagraph"/>
              <w:spacing w:before="132"/>
              <w:ind w:left="61"/>
              <w:rPr>
                <w:sz w:val="18"/>
              </w:rPr>
            </w:pPr>
            <w:r>
              <w:rPr>
                <w:sz w:val="18"/>
              </w:rPr>
              <w:t>Income tax expense</w:t>
            </w:r>
          </w:p>
          <w:p>
            <w:pPr>
              <w:pStyle w:val="TableParagraph"/>
              <w:spacing w:before="9"/>
              <w:ind w:left="61"/>
              <w:rPr>
                <w:b/>
                <w:sz w:val="18"/>
              </w:rPr>
            </w:pPr>
            <w:r>
              <w:rPr>
                <w:b/>
                <w:sz w:val="18"/>
              </w:rPr>
              <w:t>Surplus/(deficit) for the year</w:t>
            </w:r>
          </w:p>
        </w:tc>
        <w:tc>
          <w:tcPr>
            <w:tcW w:w="1416" w:type="dxa"/>
          </w:tcPr>
          <w:p>
            <w:pPr>
              <w:pStyle w:val="TableParagraph"/>
              <w:spacing w:before="132"/>
              <w:ind w:left="911"/>
              <w:rPr>
                <w:sz w:val="18"/>
              </w:rPr>
            </w:pPr>
            <w:r>
              <w:rPr>
                <w:sz w:val="18"/>
              </w:rPr>
              <w:t>1(d)</w:t>
            </w:r>
          </w:p>
        </w:tc>
        <w:tc>
          <w:tcPr>
            <w:tcW w:w="2643" w:type="dxa"/>
          </w:tcPr>
          <w:p>
            <w:pPr>
              <w:pStyle w:val="TableParagraph"/>
              <w:tabs>
                <w:tab w:pos="1191" w:val="left" w:leader="none"/>
                <w:tab w:pos="2487" w:val="left" w:leader="none"/>
              </w:tabs>
              <w:spacing w:before="132"/>
              <w:ind w:left="44"/>
              <w:rPr>
                <w:sz w:val="18"/>
              </w:rPr>
            </w:pPr>
            <w:r>
              <w:rPr>
                <w:rFonts w:ascii="Times New Roman"/>
                <w:sz w:val="18"/>
                <w:u w:val="single"/>
              </w:rPr>
              <w:t> </w:t>
              <w:tab/>
            </w:r>
            <w:r>
              <w:rPr>
                <w:sz w:val="18"/>
                <w:u w:val="single"/>
              </w:rPr>
              <w:t>-</w:t>
              <w:tab/>
              <w:t>-</w:t>
            </w:r>
          </w:p>
          <w:p>
            <w:pPr>
              <w:pStyle w:val="TableParagraph"/>
              <w:tabs>
                <w:tab w:pos="445" w:val="left" w:leader="none"/>
                <w:tab w:pos="1892" w:val="left" w:leader="none"/>
              </w:tabs>
              <w:spacing w:before="9"/>
              <w:ind w:left="44"/>
              <w:rPr>
                <w:sz w:val="18"/>
              </w:rPr>
            </w:pPr>
            <w:r>
              <w:rPr>
                <w:rFonts w:ascii="Times New Roman"/>
                <w:sz w:val="18"/>
                <w:u w:val="single"/>
              </w:rPr>
              <w:t> </w:t>
              <w:tab/>
            </w:r>
            <w:r>
              <w:rPr>
                <w:b/>
                <w:sz w:val="18"/>
                <w:u w:val="single"/>
              </w:rPr>
              <w:t>2,317,968</w:t>
              <w:tab/>
            </w:r>
            <w:r>
              <w:rPr>
                <w:sz w:val="18"/>
                <w:u w:val="single"/>
              </w:rPr>
              <w:t>973,640</w:t>
            </w:r>
          </w:p>
        </w:tc>
      </w:tr>
      <w:tr>
        <w:trPr>
          <w:trHeight w:val="427" w:hRule="exact"/>
        </w:trPr>
        <w:tc>
          <w:tcPr>
            <w:tcW w:w="5894" w:type="dxa"/>
          </w:tcPr>
          <w:p>
            <w:pPr>
              <w:pStyle w:val="TableParagraph"/>
              <w:spacing w:before="141"/>
              <w:ind w:left="61"/>
              <w:rPr>
                <w:b/>
                <w:sz w:val="18"/>
              </w:rPr>
            </w:pPr>
            <w:r>
              <w:rPr>
                <w:b/>
                <w:sz w:val="18"/>
              </w:rPr>
              <w:t>Other comprehensive income for the year</w:t>
            </w:r>
          </w:p>
        </w:tc>
        <w:tc>
          <w:tcPr>
            <w:tcW w:w="1416" w:type="dxa"/>
          </w:tcPr>
          <w:p>
            <w:pPr/>
          </w:p>
        </w:tc>
        <w:tc>
          <w:tcPr>
            <w:tcW w:w="2643" w:type="dxa"/>
          </w:tcPr>
          <w:p>
            <w:pPr/>
          </w:p>
        </w:tc>
      </w:tr>
      <w:tr>
        <w:trPr>
          <w:trHeight w:val="281" w:hRule="exact"/>
        </w:trPr>
        <w:tc>
          <w:tcPr>
            <w:tcW w:w="5894" w:type="dxa"/>
          </w:tcPr>
          <w:p>
            <w:pPr>
              <w:pStyle w:val="TableParagraph"/>
              <w:spacing w:before="60"/>
              <w:ind w:left="61"/>
              <w:rPr>
                <w:sz w:val="18"/>
              </w:rPr>
            </w:pPr>
            <w:r>
              <w:rPr>
                <w:sz w:val="18"/>
              </w:rPr>
              <w:t>Gain/(loss) on value of available-for-sale financial assets</w:t>
            </w:r>
          </w:p>
        </w:tc>
        <w:tc>
          <w:tcPr>
            <w:tcW w:w="1416" w:type="dxa"/>
          </w:tcPr>
          <w:p>
            <w:pPr>
              <w:pStyle w:val="TableParagraph"/>
              <w:spacing w:before="60"/>
              <w:ind w:left="911"/>
              <w:rPr>
                <w:sz w:val="18"/>
              </w:rPr>
            </w:pPr>
            <w:r>
              <w:rPr>
                <w:w w:val="99"/>
                <w:sz w:val="18"/>
              </w:rPr>
              <w:t>9</w:t>
            </w:r>
          </w:p>
        </w:tc>
        <w:tc>
          <w:tcPr>
            <w:tcW w:w="2643" w:type="dxa"/>
          </w:tcPr>
          <w:p>
            <w:pPr>
              <w:pStyle w:val="TableParagraph"/>
              <w:tabs>
                <w:tab w:pos="445" w:val="left" w:leader="none"/>
                <w:tab w:pos="2487" w:val="left" w:leader="none"/>
              </w:tabs>
              <w:spacing w:before="60"/>
              <w:ind w:left="44"/>
              <w:rPr>
                <w:sz w:val="18"/>
              </w:rPr>
            </w:pPr>
            <w:r>
              <w:rPr>
                <w:rFonts w:ascii="Times New Roman"/>
                <w:sz w:val="18"/>
                <w:u w:val="single"/>
              </w:rPr>
              <w:t> </w:t>
              <w:tab/>
            </w:r>
            <w:r>
              <w:rPr>
                <w:b/>
                <w:sz w:val="18"/>
                <w:u w:val="single"/>
              </w:rPr>
              <w:t>1,271,833</w:t>
              <w:tab/>
            </w:r>
            <w:r>
              <w:rPr>
                <w:sz w:val="18"/>
                <w:u w:val="single"/>
              </w:rPr>
              <w:t>-</w:t>
            </w:r>
          </w:p>
        </w:tc>
      </w:tr>
      <w:tr>
        <w:trPr>
          <w:trHeight w:val="362" w:hRule="exact"/>
        </w:trPr>
        <w:tc>
          <w:tcPr>
            <w:tcW w:w="5894" w:type="dxa"/>
          </w:tcPr>
          <w:p>
            <w:pPr>
              <w:pStyle w:val="TableParagraph"/>
              <w:spacing w:line="201" w:lineRule="exact"/>
              <w:ind w:left="61"/>
              <w:rPr>
                <w:b/>
                <w:sz w:val="18"/>
              </w:rPr>
            </w:pPr>
            <w:r>
              <w:rPr>
                <w:b/>
                <w:sz w:val="18"/>
              </w:rPr>
              <w:t>Total other comprehensive income for the year, net of tax</w:t>
            </w:r>
          </w:p>
        </w:tc>
        <w:tc>
          <w:tcPr>
            <w:tcW w:w="1416" w:type="dxa"/>
          </w:tcPr>
          <w:p>
            <w:pPr/>
          </w:p>
        </w:tc>
        <w:tc>
          <w:tcPr>
            <w:tcW w:w="2643" w:type="dxa"/>
          </w:tcPr>
          <w:p>
            <w:pPr>
              <w:pStyle w:val="TableParagraph"/>
              <w:tabs>
                <w:tab w:pos="445" w:val="left" w:leader="none"/>
                <w:tab w:pos="2487" w:val="left" w:leader="none"/>
              </w:tabs>
              <w:spacing w:line="201" w:lineRule="exact"/>
              <w:ind w:left="44"/>
              <w:rPr>
                <w:sz w:val="18"/>
              </w:rPr>
            </w:pPr>
            <w:r>
              <w:rPr>
                <w:rFonts w:ascii="Times New Roman"/>
                <w:sz w:val="18"/>
                <w:u w:val="single"/>
              </w:rPr>
              <w:t> </w:t>
              <w:tab/>
            </w:r>
            <w:r>
              <w:rPr>
                <w:b/>
                <w:sz w:val="18"/>
                <w:u w:val="single"/>
              </w:rPr>
              <w:t>1,271,833</w:t>
              <w:tab/>
            </w:r>
            <w:r>
              <w:rPr>
                <w:sz w:val="18"/>
                <w:u w:val="single"/>
              </w:rPr>
              <w:t>-</w:t>
            </w:r>
          </w:p>
        </w:tc>
      </w:tr>
      <w:tr>
        <w:trPr>
          <w:trHeight w:val="445" w:hRule="exact"/>
        </w:trPr>
        <w:tc>
          <w:tcPr>
            <w:tcW w:w="5894" w:type="dxa"/>
          </w:tcPr>
          <w:p>
            <w:pPr>
              <w:pStyle w:val="TableParagraph"/>
              <w:spacing w:before="141"/>
              <w:ind w:left="61"/>
              <w:rPr>
                <w:b/>
                <w:sz w:val="18"/>
              </w:rPr>
            </w:pPr>
            <w:r>
              <w:rPr>
                <w:b/>
                <w:sz w:val="18"/>
              </w:rPr>
              <w:t>Total comprehensive income for the year</w:t>
            </w:r>
          </w:p>
        </w:tc>
        <w:tc>
          <w:tcPr>
            <w:tcW w:w="1416" w:type="dxa"/>
          </w:tcPr>
          <w:p>
            <w:pPr/>
          </w:p>
        </w:tc>
        <w:tc>
          <w:tcPr>
            <w:tcW w:w="2643" w:type="dxa"/>
          </w:tcPr>
          <w:p>
            <w:pPr>
              <w:pStyle w:val="TableParagraph"/>
              <w:tabs>
                <w:tab w:pos="445" w:val="left" w:leader="none"/>
                <w:tab w:pos="1892" w:val="left" w:leader="none"/>
              </w:tabs>
              <w:spacing w:before="141"/>
              <w:ind w:left="44"/>
              <w:rPr>
                <w:sz w:val="18"/>
              </w:rPr>
            </w:pPr>
            <w:r>
              <w:rPr>
                <w:rFonts w:ascii="Times New Roman"/>
                <w:sz w:val="18"/>
                <w:u w:val="single"/>
              </w:rPr>
              <w:t> </w:t>
              <w:tab/>
            </w:r>
            <w:r>
              <w:rPr>
                <w:b/>
                <w:sz w:val="18"/>
                <w:u w:val="single"/>
              </w:rPr>
              <w:t>3,589,801</w:t>
              <w:tab/>
            </w:r>
            <w:r>
              <w:rPr>
                <w:sz w:val="18"/>
                <w:u w:val="single"/>
              </w:rPr>
              <w:t>973,640</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1"/>
        </w:rPr>
      </w:pPr>
    </w:p>
    <w:p>
      <w:pPr>
        <w:pStyle w:val="BodyText"/>
        <w:spacing w:before="77"/>
        <w:ind w:left="147" w:right="685"/>
      </w:pPr>
      <w:r>
        <w:rPr/>
        <w:t>The accompanying notes form part of these financial statements.</w:t>
      </w:r>
    </w:p>
    <w:p>
      <w:pPr>
        <w:spacing w:after="0"/>
        <w:sectPr>
          <w:headerReference w:type="default" r:id="rId164"/>
          <w:pgSz w:w="11910" w:h="16840"/>
          <w:pgMar w:header="1037" w:footer="526" w:top="1460" w:bottom="700" w:left="860" w:right="860"/>
        </w:sectPr>
      </w:pPr>
    </w:p>
    <w:p>
      <w:pPr>
        <w:pStyle w:val="BodyText"/>
        <w:spacing w:before="1"/>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64"/>
        <w:gridCol w:w="1846"/>
        <w:gridCol w:w="2583"/>
      </w:tblGrid>
      <w:tr>
        <w:trPr>
          <w:trHeight w:val="909" w:hRule="exact"/>
        </w:trPr>
        <w:tc>
          <w:tcPr>
            <w:tcW w:w="5464" w:type="dxa"/>
          </w:tcPr>
          <w:p>
            <w:pPr>
              <w:pStyle w:val="TableParagraph"/>
              <w:spacing w:before="65"/>
              <w:ind w:left="35"/>
              <w:rPr>
                <w:b/>
                <w:sz w:val="28"/>
              </w:rPr>
            </w:pPr>
            <w:r>
              <w:rPr>
                <w:b/>
                <w:sz w:val="28"/>
              </w:rPr>
              <w:t>Statement of financial position</w:t>
            </w:r>
          </w:p>
          <w:p>
            <w:pPr>
              <w:pStyle w:val="TableParagraph"/>
              <w:spacing w:before="53"/>
              <w:ind w:left="35"/>
              <w:rPr>
                <w:b/>
                <w:sz w:val="22"/>
              </w:rPr>
            </w:pPr>
            <w:r>
              <w:rPr>
                <w:b/>
                <w:sz w:val="22"/>
              </w:rPr>
              <w:t>As at 31 December 2012</w:t>
            </w:r>
          </w:p>
        </w:tc>
        <w:tc>
          <w:tcPr>
            <w:tcW w:w="4429" w:type="dxa"/>
            <w:gridSpan w:val="2"/>
          </w:tcPr>
          <w:p>
            <w:pPr/>
          </w:p>
        </w:tc>
      </w:tr>
      <w:tr>
        <w:trPr>
          <w:trHeight w:val="447" w:hRule="exact"/>
        </w:trPr>
        <w:tc>
          <w:tcPr>
            <w:tcW w:w="5464" w:type="dxa"/>
          </w:tcPr>
          <w:p>
            <w:pPr/>
          </w:p>
        </w:tc>
        <w:tc>
          <w:tcPr>
            <w:tcW w:w="1846" w:type="dxa"/>
          </w:tcPr>
          <w:p>
            <w:pPr/>
          </w:p>
        </w:tc>
        <w:tc>
          <w:tcPr>
            <w:tcW w:w="2583" w:type="dxa"/>
          </w:tcPr>
          <w:p>
            <w:pPr>
              <w:pStyle w:val="TableParagraph"/>
              <w:spacing w:before="2"/>
              <w:rPr>
                <w:sz w:val="17"/>
              </w:rPr>
            </w:pPr>
          </w:p>
          <w:p>
            <w:pPr>
              <w:pStyle w:val="TableParagraph"/>
              <w:tabs>
                <w:tab w:pos="1784" w:val="left" w:leader="none"/>
              </w:tabs>
              <w:ind w:left="488"/>
              <w:rPr>
                <w:sz w:val="18"/>
              </w:rPr>
            </w:pPr>
            <w:r>
              <w:rPr>
                <w:b/>
                <w:sz w:val="18"/>
              </w:rPr>
              <w:t>2012</w:t>
              <w:tab/>
            </w:r>
            <w:r>
              <w:rPr>
                <w:sz w:val="18"/>
              </w:rPr>
              <w:t>2011</w:t>
            </w:r>
          </w:p>
        </w:tc>
      </w:tr>
      <w:tr>
        <w:trPr>
          <w:trHeight w:val="313" w:hRule="exact"/>
        </w:trPr>
        <w:tc>
          <w:tcPr>
            <w:tcW w:w="5464" w:type="dxa"/>
          </w:tcPr>
          <w:p>
            <w:pPr/>
          </w:p>
        </w:tc>
        <w:tc>
          <w:tcPr>
            <w:tcW w:w="1846" w:type="dxa"/>
          </w:tcPr>
          <w:p>
            <w:pPr>
              <w:pStyle w:val="TableParagraph"/>
              <w:spacing w:before="24"/>
              <w:ind w:left="1400"/>
              <w:rPr>
                <w:b/>
                <w:sz w:val="18"/>
              </w:rPr>
            </w:pPr>
            <w:r>
              <w:rPr>
                <w:b/>
                <w:sz w:val="18"/>
              </w:rPr>
              <w:t>Note</w:t>
            </w:r>
          </w:p>
        </w:tc>
        <w:tc>
          <w:tcPr>
            <w:tcW w:w="2583" w:type="dxa"/>
          </w:tcPr>
          <w:p>
            <w:pPr>
              <w:pStyle w:val="TableParagraph"/>
              <w:tabs>
                <w:tab w:pos="1935" w:val="left" w:leader="none"/>
              </w:tabs>
              <w:spacing w:before="24"/>
              <w:ind w:left="639"/>
              <w:rPr>
                <w:sz w:val="18"/>
              </w:rPr>
            </w:pPr>
            <w:r>
              <w:rPr>
                <w:b/>
                <w:sz w:val="18"/>
              </w:rPr>
              <w:t>$</w:t>
              <w:tab/>
            </w:r>
            <w:r>
              <w:rPr>
                <w:sz w:val="18"/>
              </w:rPr>
              <w:t>$</w:t>
            </w:r>
          </w:p>
        </w:tc>
      </w:tr>
      <w:tr>
        <w:trPr>
          <w:trHeight w:val="692" w:hRule="exact"/>
        </w:trPr>
        <w:tc>
          <w:tcPr>
            <w:tcW w:w="5464" w:type="dxa"/>
          </w:tcPr>
          <w:p>
            <w:pPr>
              <w:pStyle w:val="TableParagraph"/>
              <w:spacing w:line="207" w:lineRule="exact" w:before="63"/>
              <w:ind w:left="61"/>
              <w:rPr>
                <w:b/>
                <w:sz w:val="18"/>
              </w:rPr>
            </w:pPr>
            <w:r>
              <w:rPr>
                <w:b/>
                <w:sz w:val="18"/>
              </w:rPr>
              <w:t>ASSETS</w:t>
            </w:r>
          </w:p>
          <w:p>
            <w:pPr>
              <w:pStyle w:val="TableParagraph"/>
              <w:spacing w:line="206" w:lineRule="exact"/>
              <w:ind w:left="61"/>
              <w:rPr>
                <w:b/>
                <w:sz w:val="18"/>
              </w:rPr>
            </w:pPr>
            <w:r>
              <w:rPr>
                <w:b/>
                <w:sz w:val="18"/>
              </w:rPr>
              <w:t>Current assets</w:t>
            </w:r>
          </w:p>
          <w:p>
            <w:pPr>
              <w:pStyle w:val="TableParagraph"/>
              <w:spacing w:line="207" w:lineRule="exact"/>
              <w:ind w:left="61"/>
              <w:rPr>
                <w:sz w:val="18"/>
              </w:rPr>
            </w:pPr>
            <w:r>
              <w:rPr>
                <w:sz w:val="18"/>
              </w:rPr>
              <w:t>Cash and cash equivalents</w:t>
            </w:r>
          </w:p>
        </w:tc>
        <w:tc>
          <w:tcPr>
            <w:tcW w:w="1846" w:type="dxa"/>
          </w:tcPr>
          <w:p>
            <w:pPr>
              <w:pStyle w:val="TableParagraph"/>
              <w:rPr>
                <w:sz w:val="18"/>
              </w:rPr>
            </w:pPr>
          </w:p>
          <w:p>
            <w:pPr>
              <w:pStyle w:val="TableParagraph"/>
              <w:spacing w:before="4"/>
              <w:rPr>
                <w:sz w:val="23"/>
              </w:rPr>
            </w:pPr>
          </w:p>
          <w:p>
            <w:pPr>
              <w:pStyle w:val="TableParagraph"/>
              <w:ind w:left="1340"/>
              <w:rPr>
                <w:sz w:val="18"/>
              </w:rPr>
            </w:pPr>
            <w:r>
              <w:rPr>
                <w:w w:val="99"/>
                <w:sz w:val="18"/>
              </w:rPr>
              <w:t>6</w:t>
            </w:r>
          </w:p>
        </w:tc>
        <w:tc>
          <w:tcPr>
            <w:tcW w:w="2583" w:type="dxa"/>
          </w:tcPr>
          <w:p>
            <w:pPr>
              <w:pStyle w:val="TableParagraph"/>
              <w:rPr>
                <w:sz w:val="18"/>
              </w:rPr>
            </w:pPr>
          </w:p>
          <w:p>
            <w:pPr>
              <w:pStyle w:val="TableParagraph"/>
              <w:spacing w:before="4"/>
              <w:rPr>
                <w:sz w:val="23"/>
              </w:rPr>
            </w:pPr>
          </w:p>
          <w:p>
            <w:pPr>
              <w:pStyle w:val="TableParagraph"/>
              <w:tabs>
                <w:tab w:pos="1195" w:val="left" w:leader="none"/>
              </w:tabs>
              <w:ind w:right="33"/>
              <w:jc w:val="right"/>
              <w:rPr>
                <w:sz w:val="18"/>
              </w:rPr>
            </w:pPr>
            <w:r>
              <w:rPr>
                <w:b/>
                <w:sz w:val="18"/>
              </w:rPr>
              <w:t>7,045,472</w:t>
              <w:tab/>
            </w:r>
            <w:r>
              <w:rPr>
                <w:w w:val="95"/>
                <w:sz w:val="18"/>
              </w:rPr>
              <w:t>19,255,703</w:t>
            </w:r>
          </w:p>
        </w:tc>
      </w:tr>
      <w:tr>
        <w:trPr>
          <w:trHeight w:val="206" w:hRule="exact"/>
        </w:trPr>
        <w:tc>
          <w:tcPr>
            <w:tcW w:w="5464" w:type="dxa"/>
          </w:tcPr>
          <w:p>
            <w:pPr>
              <w:pStyle w:val="TableParagraph"/>
              <w:spacing w:line="197" w:lineRule="exact"/>
              <w:ind w:left="61"/>
              <w:rPr>
                <w:sz w:val="18"/>
              </w:rPr>
            </w:pPr>
            <w:r>
              <w:rPr>
                <w:sz w:val="18"/>
              </w:rPr>
              <w:t>Trade and other receivables</w:t>
            </w:r>
          </w:p>
        </w:tc>
        <w:tc>
          <w:tcPr>
            <w:tcW w:w="1846" w:type="dxa"/>
          </w:tcPr>
          <w:p>
            <w:pPr>
              <w:pStyle w:val="TableParagraph"/>
              <w:spacing w:line="197" w:lineRule="exact"/>
              <w:ind w:left="1340"/>
              <w:rPr>
                <w:sz w:val="18"/>
              </w:rPr>
            </w:pPr>
            <w:r>
              <w:rPr>
                <w:w w:val="99"/>
                <w:sz w:val="18"/>
              </w:rPr>
              <w:t>7</w:t>
            </w:r>
          </w:p>
        </w:tc>
        <w:tc>
          <w:tcPr>
            <w:tcW w:w="2583" w:type="dxa"/>
          </w:tcPr>
          <w:p>
            <w:pPr>
              <w:pStyle w:val="TableParagraph"/>
              <w:tabs>
                <w:tab w:pos="1295" w:val="left" w:leader="none"/>
              </w:tabs>
              <w:spacing w:line="197" w:lineRule="exact"/>
              <w:ind w:right="33"/>
              <w:jc w:val="right"/>
              <w:rPr>
                <w:sz w:val="18"/>
              </w:rPr>
            </w:pPr>
            <w:r>
              <w:rPr>
                <w:b/>
                <w:sz w:val="18"/>
              </w:rPr>
              <w:t>108,456</w:t>
              <w:tab/>
            </w:r>
            <w:r>
              <w:rPr>
                <w:w w:val="95"/>
                <w:sz w:val="18"/>
              </w:rPr>
              <w:t>236,713</w:t>
            </w:r>
          </w:p>
        </w:tc>
      </w:tr>
      <w:tr>
        <w:trPr>
          <w:trHeight w:val="212" w:hRule="exact"/>
        </w:trPr>
        <w:tc>
          <w:tcPr>
            <w:tcW w:w="5464" w:type="dxa"/>
          </w:tcPr>
          <w:p>
            <w:pPr>
              <w:pStyle w:val="TableParagraph"/>
              <w:spacing w:line="197" w:lineRule="exact"/>
              <w:ind w:left="61"/>
              <w:rPr>
                <w:sz w:val="18"/>
              </w:rPr>
            </w:pPr>
            <w:r>
              <w:rPr>
                <w:sz w:val="18"/>
              </w:rPr>
              <w:t>Other financial assets</w:t>
            </w:r>
          </w:p>
        </w:tc>
        <w:tc>
          <w:tcPr>
            <w:tcW w:w="1846" w:type="dxa"/>
          </w:tcPr>
          <w:p>
            <w:pPr>
              <w:pStyle w:val="TableParagraph"/>
              <w:spacing w:line="197" w:lineRule="exact"/>
              <w:ind w:left="1340"/>
              <w:rPr>
                <w:sz w:val="18"/>
              </w:rPr>
            </w:pPr>
            <w:r>
              <w:rPr>
                <w:w w:val="99"/>
                <w:sz w:val="18"/>
              </w:rPr>
              <w:t>8</w:t>
            </w:r>
          </w:p>
        </w:tc>
        <w:tc>
          <w:tcPr>
            <w:tcW w:w="2583" w:type="dxa"/>
          </w:tcPr>
          <w:p>
            <w:pPr>
              <w:pStyle w:val="TableParagraph"/>
              <w:tabs>
                <w:tab w:pos="1147" w:val="left" w:leader="none"/>
                <w:tab w:pos="1696" w:val="left" w:leader="none"/>
              </w:tabs>
              <w:spacing w:line="197" w:lineRule="exact"/>
              <w:ind w:right="33"/>
              <w:jc w:val="right"/>
              <w:rPr>
                <w:sz w:val="18"/>
              </w:rPr>
            </w:pPr>
            <w:r>
              <w:rPr>
                <w:rFonts w:ascii="Times New Roman"/>
                <w:sz w:val="18"/>
                <w:u w:val="single"/>
              </w:rPr>
              <w:t> </w:t>
              <w:tab/>
            </w:r>
            <w:r>
              <w:rPr>
                <w:b/>
                <w:sz w:val="18"/>
                <w:u w:val="single"/>
              </w:rPr>
              <w:t>-</w:t>
              <w:tab/>
            </w:r>
            <w:r>
              <w:rPr>
                <w:w w:val="95"/>
                <w:sz w:val="18"/>
                <w:u w:val="single"/>
              </w:rPr>
              <w:t>9,650,893</w:t>
            </w:r>
          </w:p>
        </w:tc>
      </w:tr>
      <w:tr>
        <w:trPr>
          <w:trHeight w:val="306" w:hRule="exact"/>
        </w:trPr>
        <w:tc>
          <w:tcPr>
            <w:tcW w:w="5464" w:type="dxa"/>
          </w:tcPr>
          <w:p>
            <w:pPr>
              <w:pStyle w:val="TableParagraph"/>
              <w:spacing w:line="201" w:lineRule="exact"/>
              <w:ind w:left="61"/>
              <w:rPr>
                <w:sz w:val="18"/>
              </w:rPr>
            </w:pPr>
            <w:r>
              <w:rPr>
                <w:sz w:val="18"/>
              </w:rPr>
              <w:t>Total current assets</w:t>
            </w:r>
          </w:p>
        </w:tc>
        <w:tc>
          <w:tcPr>
            <w:tcW w:w="1846" w:type="dxa"/>
          </w:tcPr>
          <w:p>
            <w:pPr/>
          </w:p>
        </w:tc>
        <w:tc>
          <w:tcPr>
            <w:tcW w:w="2583" w:type="dxa"/>
          </w:tcPr>
          <w:p>
            <w:pPr>
              <w:pStyle w:val="TableParagraph"/>
              <w:tabs>
                <w:tab w:pos="400" w:val="left" w:leader="none"/>
                <w:tab w:pos="1595" w:val="left" w:leader="none"/>
              </w:tabs>
              <w:spacing w:before="23"/>
              <w:ind w:right="33"/>
              <w:jc w:val="right"/>
              <w:rPr>
                <w:sz w:val="18"/>
              </w:rPr>
            </w:pPr>
            <w:r>
              <w:rPr>
                <w:rFonts w:ascii="Times New Roman"/>
                <w:sz w:val="18"/>
                <w:u w:val="single"/>
              </w:rPr>
              <w:t> </w:t>
              <w:tab/>
            </w:r>
            <w:r>
              <w:rPr>
                <w:b/>
                <w:sz w:val="18"/>
                <w:u w:val="single"/>
              </w:rPr>
              <w:t>7,153,928</w:t>
              <w:tab/>
            </w:r>
            <w:r>
              <w:rPr>
                <w:w w:val="95"/>
                <w:sz w:val="18"/>
                <w:u w:val="single"/>
              </w:rPr>
              <w:t>29,143,309</w:t>
            </w:r>
          </w:p>
        </w:tc>
      </w:tr>
      <w:tr>
        <w:trPr>
          <w:trHeight w:val="484" w:hRule="exact"/>
        </w:trPr>
        <w:tc>
          <w:tcPr>
            <w:tcW w:w="5464" w:type="dxa"/>
          </w:tcPr>
          <w:p>
            <w:pPr>
              <w:pStyle w:val="TableParagraph"/>
              <w:spacing w:line="207" w:lineRule="exact" w:before="55"/>
              <w:ind w:left="61"/>
              <w:rPr>
                <w:b/>
                <w:sz w:val="18"/>
              </w:rPr>
            </w:pPr>
            <w:r>
              <w:rPr>
                <w:b/>
                <w:sz w:val="18"/>
              </w:rPr>
              <w:t>Non-current assets</w:t>
            </w:r>
          </w:p>
          <w:p>
            <w:pPr>
              <w:pStyle w:val="TableParagraph"/>
              <w:spacing w:line="207" w:lineRule="exact"/>
              <w:ind w:left="61"/>
              <w:rPr>
                <w:sz w:val="18"/>
              </w:rPr>
            </w:pPr>
            <w:r>
              <w:rPr>
                <w:sz w:val="18"/>
              </w:rPr>
              <w:t>Other financial assets</w:t>
            </w:r>
          </w:p>
        </w:tc>
        <w:tc>
          <w:tcPr>
            <w:tcW w:w="1846" w:type="dxa"/>
          </w:tcPr>
          <w:p>
            <w:pPr>
              <w:pStyle w:val="TableParagraph"/>
              <w:spacing w:before="9"/>
              <w:rPr>
                <w:sz w:val="22"/>
              </w:rPr>
            </w:pPr>
          </w:p>
          <w:p>
            <w:pPr>
              <w:pStyle w:val="TableParagraph"/>
              <w:ind w:left="1340"/>
              <w:rPr>
                <w:sz w:val="18"/>
              </w:rPr>
            </w:pPr>
            <w:r>
              <w:rPr>
                <w:w w:val="99"/>
                <w:sz w:val="18"/>
              </w:rPr>
              <w:t>8</w:t>
            </w:r>
          </w:p>
        </w:tc>
        <w:tc>
          <w:tcPr>
            <w:tcW w:w="2583" w:type="dxa"/>
          </w:tcPr>
          <w:p>
            <w:pPr>
              <w:pStyle w:val="TableParagraph"/>
              <w:spacing w:before="9"/>
              <w:rPr>
                <w:sz w:val="22"/>
              </w:rPr>
            </w:pPr>
          </w:p>
          <w:p>
            <w:pPr>
              <w:pStyle w:val="TableParagraph"/>
              <w:tabs>
                <w:tab w:pos="299" w:val="left" w:leader="none"/>
                <w:tab w:pos="2443" w:val="left" w:leader="none"/>
              </w:tabs>
              <w:ind w:right="33"/>
              <w:jc w:val="right"/>
              <w:rPr>
                <w:sz w:val="18"/>
              </w:rPr>
            </w:pPr>
            <w:r>
              <w:rPr>
                <w:rFonts w:ascii="Times New Roman"/>
                <w:sz w:val="18"/>
                <w:u w:val="single"/>
              </w:rPr>
              <w:t> </w:t>
              <w:tab/>
            </w:r>
            <w:r>
              <w:rPr>
                <w:b/>
                <w:sz w:val="18"/>
                <w:u w:val="single"/>
              </w:rPr>
              <w:t>25,579,182</w:t>
              <w:tab/>
            </w:r>
            <w:r>
              <w:rPr>
                <w:sz w:val="18"/>
                <w:u w:val="single"/>
              </w:rPr>
              <w:t>-</w:t>
            </w:r>
          </w:p>
        </w:tc>
      </w:tr>
      <w:tr>
        <w:trPr>
          <w:trHeight w:val="362" w:hRule="exact"/>
        </w:trPr>
        <w:tc>
          <w:tcPr>
            <w:tcW w:w="5464" w:type="dxa"/>
          </w:tcPr>
          <w:p>
            <w:pPr>
              <w:pStyle w:val="TableParagraph"/>
              <w:spacing w:line="201" w:lineRule="exact"/>
              <w:ind w:left="61"/>
              <w:rPr>
                <w:sz w:val="18"/>
              </w:rPr>
            </w:pPr>
            <w:r>
              <w:rPr>
                <w:sz w:val="18"/>
              </w:rPr>
              <w:t>Total non-current assets</w:t>
            </w:r>
          </w:p>
        </w:tc>
        <w:tc>
          <w:tcPr>
            <w:tcW w:w="1846" w:type="dxa"/>
          </w:tcPr>
          <w:p>
            <w:pPr/>
          </w:p>
        </w:tc>
        <w:tc>
          <w:tcPr>
            <w:tcW w:w="2583" w:type="dxa"/>
          </w:tcPr>
          <w:p>
            <w:pPr>
              <w:pStyle w:val="TableParagraph"/>
              <w:tabs>
                <w:tab w:pos="299" w:val="left" w:leader="none"/>
                <w:tab w:pos="2443" w:val="left" w:leader="none"/>
              </w:tabs>
              <w:spacing w:line="201" w:lineRule="exact"/>
              <w:ind w:right="33"/>
              <w:jc w:val="right"/>
              <w:rPr>
                <w:sz w:val="18"/>
              </w:rPr>
            </w:pPr>
            <w:r>
              <w:rPr>
                <w:rFonts w:ascii="Times New Roman"/>
                <w:sz w:val="18"/>
                <w:u w:val="single"/>
              </w:rPr>
              <w:t> </w:t>
              <w:tab/>
            </w:r>
            <w:r>
              <w:rPr>
                <w:b/>
                <w:sz w:val="18"/>
                <w:u w:val="single"/>
              </w:rPr>
              <w:t>25,579,182</w:t>
              <w:tab/>
            </w:r>
            <w:r>
              <w:rPr>
                <w:sz w:val="18"/>
                <w:u w:val="single"/>
              </w:rPr>
              <w:t>-</w:t>
            </w:r>
          </w:p>
        </w:tc>
      </w:tr>
      <w:tr>
        <w:trPr>
          <w:trHeight w:val="580" w:hRule="exact"/>
        </w:trPr>
        <w:tc>
          <w:tcPr>
            <w:tcW w:w="5464" w:type="dxa"/>
          </w:tcPr>
          <w:p>
            <w:pPr>
              <w:pStyle w:val="TableParagraph"/>
              <w:spacing w:before="141"/>
              <w:ind w:left="61"/>
              <w:rPr>
                <w:b/>
                <w:sz w:val="18"/>
              </w:rPr>
            </w:pPr>
            <w:r>
              <w:rPr>
                <w:b/>
                <w:sz w:val="18"/>
              </w:rPr>
              <w:t>Total assets</w:t>
            </w:r>
          </w:p>
        </w:tc>
        <w:tc>
          <w:tcPr>
            <w:tcW w:w="1846" w:type="dxa"/>
          </w:tcPr>
          <w:p>
            <w:pPr/>
          </w:p>
        </w:tc>
        <w:tc>
          <w:tcPr>
            <w:tcW w:w="2583" w:type="dxa"/>
          </w:tcPr>
          <w:p>
            <w:pPr>
              <w:pStyle w:val="TableParagraph"/>
              <w:tabs>
                <w:tab w:pos="299" w:val="left" w:leader="none"/>
                <w:tab w:pos="1595" w:val="left" w:leader="none"/>
              </w:tabs>
              <w:spacing w:before="141"/>
              <w:ind w:right="33"/>
              <w:jc w:val="right"/>
              <w:rPr>
                <w:sz w:val="18"/>
              </w:rPr>
            </w:pPr>
            <w:r>
              <w:rPr>
                <w:rFonts w:ascii="Times New Roman"/>
                <w:sz w:val="18"/>
                <w:u w:val="single"/>
              </w:rPr>
              <w:t> </w:t>
              <w:tab/>
            </w:r>
            <w:r>
              <w:rPr>
                <w:b/>
                <w:sz w:val="18"/>
                <w:u w:val="single"/>
              </w:rPr>
              <w:t>32,733,110</w:t>
              <w:tab/>
            </w:r>
            <w:r>
              <w:rPr>
                <w:w w:val="95"/>
                <w:sz w:val="18"/>
                <w:u w:val="single"/>
              </w:rPr>
              <w:t>29,143,309</w:t>
            </w:r>
          </w:p>
        </w:tc>
      </w:tr>
      <w:tr>
        <w:trPr>
          <w:trHeight w:val="846" w:hRule="exact"/>
        </w:trPr>
        <w:tc>
          <w:tcPr>
            <w:tcW w:w="5464" w:type="dxa"/>
          </w:tcPr>
          <w:p>
            <w:pPr>
              <w:pStyle w:val="TableParagraph"/>
              <w:spacing w:before="4"/>
              <w:rPr>
                <w:sz w:val="18"/>
              </w:rPr>
            </w:pPr>
          </w:p>
          <w:p>
            <w:pPr>
              <w:pStyle w:val="TableParagraph"/>
              <w:spacing w:line="207" w:lineRule="exact"/>
              <w:ind w:left="61"/>
              <w:rPr>
                <w:b/>
                <w:sz w:val="18"/>
              </w:rPr>
            </w:pPr>
            <w:r>
              <w:rPr>
                <w:b/>
                <w:sz w:val="18"/>
              </w:rPr>
              <w:t>LIABILITIES</w:t>
            </w:r>
          </w:p>
          <w:p>
            <w:pPr>
              <w:pStyle w:val="TableParagraph"/>
              <w:spacing w:line="206" w:lineRule="exact"/>
              <w:ind w:left="61"/>
              <w:rPr>
                <w:b/>
                <w:sz w:val="18"/>
              </w:rPr>
            </w:pPr>
            <w:r>
              <w:rPr>
                <w:b/>
                <w:sz w:val="18"/>
              </w:rPr>
              <w:t>Current liabilities</w:t>
            </w:r>
          </w:p>
          <w:p>
            <w:pPr>
              <w:pStyle w:val="TableParagraph"/>
              <w:spacing w:line="207" w:lineRule="exact"/>
              <w:ind w:left="61"/>
              <w:rPr>
                <w:sz w:val="18"/>
              </w:rPr>
            </w:pPr>
            <w:r>
              <w:rPr>
                <w:sz w:val="18"/>
              </w:rPr>
              <w:t>Trade and other payables</w:t>
            </w:r>
          </w:p>
        </w:tc>
        <w:tc>
          <w:tcPr>
            <w:tcW w:w="1846" w:type="dxa"/>
          </w:tcPr>
          <w:p>
            <w:pPr/>
          </w:p>
        </w:tc>
        <w:tc>
          <w:tcPr>
            <w:tcW w:w="2583" w:type="dxa"/>
          </w:tcPr>
          <w:p>
            <w:pPr>
              <w:pStyle w:val="TableParagraph"/>
              <w:rPr>
                <w:sz w:val="18"/>
              </w:rPr>
            </w:pPr>
          </w:p>
          <w:p>
            <w:pPr>
              <w:pStyle w:val="TableParagraph"/>
              <w:rPr>
                <w:sz w:val="18"/>
              </w:rPr>
            </w:pPr>
          </w:p>
          <w:p>
            <w:pPr>
              <w:pStyle w:val="TableParagraph"/>
              <w:spacing w:before="3"/>
              <w:rPr>
                <w:sz w:val="18"/>
              </w:rPr>
            </w:pPr>
          </w:p>
          <w:p>
            <w:pPr>
              <w:pStyle w:val="TableParagraph"/>
              <w:tabs>
                <w:tab w:pos="1147" w:val="left" w:leader="none"/>
                <w:tab w:pos="2443" w:val="left" w:leader="none"/>
              </w:tabs>
              <w:ind w:right="33"/>
              <w:jc w:val="right"/>
              <w:rPr>
                <w:sz w:val="18"/>
              </w:rPr>
            </w:pPr>
            <w:r>
              <w:rPr>
                <w:rFonts w:ascii="Times New Roman"/>
                <w:sz w:val="18"/>
                <w:u w:val="single"/>
              </w:rPr>
              <w:t> </w:t>
              <w:tab/>
            </w:r>
            <w:r>
              <w:rPr>
                <w:sz w:val="18"/>
                <w:u w:val="single"/>
              </w:rPr>
              <w:t>-</w:t>
              <w:tab/>
              <w:t>-</w:t>
            </w:r>
          </w:p>
        </w:tc>
      </w:tr>
      <w:tr>
        <w:trPr>
          <w:trHeight w:val="362" w:hRule="exact"/>
        </w:trPr>
        <w:tc>
          <w:tcPr>
            <w:tcW w:w="5464" w:type="dxa"/>
          </w:tcPr>
          <w:p>
            <w:pPr>
              <w:pStyle w:val="TableParagraph"/>
              <w:spacing w:line="201" w:lineRule="exact"/>
              <w:ind w:left="61"/>
              <w:rPr>
                <w:sz w:val="18"/>
              </w:rPr>
            </w:pPr>
            <w:r>
              <w:rPr>
                <w:sz w:val="18"/>
              </w:rPr>
              <w:t>Total current liabilities</w:t>
            </w:r>
          </w:p>
        </w:tc>
        <w:tc>
          <w:tcPr>
            <w:tcW w:w="1846" w:type="dxa"/>
          </w:tcPr>
          <w:p>
            <w:pPr/>
          </w:p>
        </w:tc>
        <w:tc>
          <w:tcPr>
            <w:tcW w:w="2583" w:type="dxa"/>
          </w:tcPr>
          <w:p>
            <w:pPr>
              <w:pStyle w:val="TableParagraph"/>
              <w:tabs>
                <w:tab w:pos="1147" w:val="left" w:leader="none"/>
                <w:tab w:pos="2443" w:val="left" w:leader="none"/>
              </w:tabs>
              <w:spacing w:line="201" w:lineRule="exact"/>
              <w:ind w:right="33"/>
              <w:jc w:val="right"/>
              <w:rPr>
                <w:sz w:val="18"/>
              </w:rPr>
            </w:pPr>
            <w:r>
              <w:rPr>
                <w:rFonts w:ascii="Times New Roman"/>
                <w:sz w:val="18"/>
                <w:u w:val="single"/>
              </w:rPr>
              <w:t> </w:t>
              <w:tab/>
            </w:r>
            <w:r>
              <w:rPr>
                <w:sz w:val="18"/>
                <w:u w:val="single"/>
              </w:rPr>
              <w:t>-</w:t>
              <w:tab/>
              <w:t>-</w:t>
            </w:r>
          </w:p>
        </w:tc>
      </w:tr>
      <w:tr>
        <w:trPr>
          <w:trHeight w:val="509" w:hRule="exact"/>
        </w:trPr>
        <w:tc>
          <w:tcPr>
            <w:tcW w:w="5464" w:type="dxa"/>
          </w:tcPr>
          <w:p>
            <w:pPr>
              <w:pStyle w:val="TableParagraph"/>
              <w:spacing w:before="141"/>
              <w:ind w:left="61"/>
              <w:rPr>
                <w:b/>
                <w:sz w:val="18"/>
              </w:rPr>
            </w:pPr>
            <w:r>
              <w:rPr>
                <w:b/>
                <w:sz w:val="18"/>
              </w:rPr>
              <w:t>Total liabilities</w:t>
            </w:r>
          </w:p>
        </w:tc>
        <w:tc>
          <w:tcPr>
            <w:tcW w:w="1846" w:type="dxa"/>
          </w:tcPr>
          <w:p>
            <w:pPr/>
          </w:p>
        </w:tc>
        <w:tc>
          <w:tcPr>
            <w:tcW w:w="2583" w:type="dxa"/>
          </w:tcPr>
          <w:p>
            <w:pPr>
              <w:pStyle w:val="TableParagraph"/>
              <w:tabs>
                <w:tab w:pos="1147" w:val="left" w:leader="none"/>
                <w:tab w:pos="2443" w:val="left" w:leader="none"/>
              </w:tabs>
              <w:spacing w:before="141"/>
              <w:ind w:right="33"/>
              <w:jc w:val="right"/>
              <w:rPr>
                <w:sz w:val="18"/>
              </w:rPr>
            </w:pPr>
            <w:r>
              <w:rPr>
                <w:rFonts w:ascii="Times New Roman"/>
                <w:sz w:val="18"/>
                <w:u w:val="single"/>
              </w:rPr>
              <w:t> </w:t>
              <w:tab/>
            </w:r>
            <w:r>
              <w:rPr>
                <w:sz w:val="18"/>
                <w:u w:val="single"/>
              </w:rPr>
              <w:t>-</w:t>
              <w:tab/>
              <w:t>-</w:t>
            </w:r>
          </w:p>
        </w:tc>
      </w:tr>
      <w:tr>
        <w:trPr>
          <w:trHeight w:val="580" w:hRule="exact"/>
        </w:trPr>
        <w:tc>
          <w:tcPr>
            <w:tcW w:w="5464" w:type="dxa"/>
          </w:tcPr>
          <w:p>
            <w:pPr>
              <w:pStyle w:val="TableParagraph"/>
              <w:spacing w:before="141"/>
              <w:ind w:left="61"/>
              <w:rPr>
                <w:b/>
                <w:sz w:val="18"/>
              </w:rPr>
            </w:pPr>
            <w:r>
              <w:rPr>
                <w:b/>
                <w:sz w:val="18"/>
              </w:rPr>
              <w:t>Net assets</w:t>
            </w:r>
          </w:p>
        </w:tc>
        <w:tc>
          <w:tcPr>
            <w:tcW w:w="1846" w:type="dxa"/>
          </w:tcPr>
          <w:p>
            <w:pPr/>
          </w:p>
        </w:tc>
        <w:tc>
          <w:tcPr>
            <w:tcW w:w="2583" w:type="dxa"/>
          </w:tcPr>
          <w:p>
            <w:pPr>
              <w:pStyle w:val="TableParagraph"/>
              <w:tabs>
                <w:tab w:pos="299" w:val="left" w:leader="none"/>
                <w:tab w:pos="1595" w:val="left" w:leader="none"/>
              </w:tabs>
              <w:spacing w:before="141"/>
              <w:ind w:right="33"/>
              <w:jc w:val="right"/>
              <w:rPr>
                <w:sz w:val="18"/>
              </w:rPr>
            </w:pPr>
            <w:r>
              <w:rPr>
                <w:rFonts w:ascii="Times New Roman"/>
                <w:sz w:val="18"/>
                <w:u w:val="single"/>
              </w:rPr>
              <w:t> </w:t>
              <w:tab/>
            </w:r>
            <w:r>
              <w:rPr>
                <w:b/>
                <w:sz w:val="18"/>
                <w:u w:val="single"/>
              </w:rPr>
              <w:t>32,733,110</w:t>
              <w:tab/>
            </w:r>
            <w:r>
              <w:rPr>
                <w:w w:val="95"/>
                <w:sz w:val="18"/>
                <w:u w:val="single"/>
              </w:rPr>
              <w:t>29,143,309</w:t>
            </w:r>
          </w:p>
        </w:tc>
      </w:tr>
      <w:tr>
        <w:trPr>
          <w:trHeight w:val="634" w:hRule="exact"/>
        </w:trPr>
        <w:tc>
          <w:tcPr>
            <w:tcW w:w="5464" w:type="dxa"/>
          </w:tcPr>
          <w:p>
            <w:pPr>
              <w:pStyle w:val="TableParagraph"/>
              <w:spacing w:before="4"/>
              <w:rPr>
                <w:sz w:val="18"/>
              </w:rPr>
            </w:pPr>
          </w:p>
          <w:p>
            <w:pPr>
              <w:pStyle w:val="TableParagraph"/>
              <w:spacing w:line="207" w:lineRule="exact"/>
              <w:ind w:left="61"/>
              <w:rPr>
                <w:b/>
                <w:sz w:val="18"/>
              </w:rPr>
            </w:pPr>
            <w:r>
              <w:rPr>
                <w:b/>
                <w:sz w:val="18"/>
              </w:rPr>
              <w:t>TRUST FUNDS</w:t>
            </w:r>
          </w:p>
          <w:p>
            <w:pPr>
              <w:pStyle w:val="TableParagraph"/>
              <w:spacing w:line="207" w:lineRule="exact"/>
              <w:ind w:left="61"/>
              <w:rPr>
                <w:sz w:val="18"/>
              </w:rPr>
            </w:pPr>
            <w:r>
              <w:rPr>
                <w:sz w:val="18"/>
              </w:rPr>
              <w:t>Reserves</w:t>
            </w:r>
          </w:p>
        </w:tc>
        <w:tc>
          <w:tcPr>
            <w:tcW w:w="1846" w:type="dxa"/>
          </w:tcPr>
          <w:p>
            <w:pPr>
              <w:pStyle w:val="TableParagraph"/>
              <w:rPr>
                <w:sz w:val="18"/>
              </w:rPr>
            </w:pPr>
          </w:p>
          <w:p>
            <w:pPr>
              <w:pStyle w:val="TableParagraph"/>
              <w:spacing w:before="4"/>
              <w:rPr>
                <w:sz w:val="18"/>
              </w:rPr>
            </w:pPr>
          </w:p>
          <w:p>
            <w:pPr>
              <w:pStyle w:val="TableParagraph"/>
              <w:ind w:left="1340"/>
              <w:rPr>
                <w:sz w:val="18"/>
              </w:rPr>
            </w:pPr>
            <w:r>
              <w:rPr>
                <w:w w:val="99"/>
                <w:sz w:val="18"/>
              </w:rPr>
              <w:t>9</w:t>
            </w:r>
          </w:p>
        </w:tc>
        <w:tc>
          <w:tcPr>
            <w:tcW w:w="2583" w:type="dxa"/>
          </w:tcPr>
          <w:p>
            <w:pPr>
              <w:pStyle w:val="TableParagraph"/>
              <w:rPr>
                <w:sz w:val="18"/>
              </w:rPr>
            </w:pPr>
          </w:p>
          <w:p>
            <w:pPr>
              <w:pStyle w:val="TableParagraph"/>
              <w:spacing w:before="4"/>
              <w:rPr>
                <w:sz w:val="18"/>
              </w:rPr>
            </w:pPr>
          </w:p>
          <w:p>
            <w:pPr>
              <w:pStyle w:val="TableParagraph"/>
              <w:tabs>
                <w:tab w:pos="2042" w:val="left" w:leader="none"/>
              </w:tabs>
              <w:ind w:right="33"/>
              <w:jc w:val="right"/>
              <w:rPr>
                <w:sz w:val="18"/>
              </w:rPr>
            </w:pPr>
            <w:r>
              <w:rPr>
                <w:b/>
                <w:sz w:val="18"/>
              </w:rPr>
              <w:t>1,271,833</w:t>
              <w:tab/>
            </w:r>
            <w:r>
              <w:rPr>
                <w:sz w:val="18"/>
              </w:rPr>
              <w:t>-</w:t>
            </w:r>
          </w:p>
        </w:tc>
      </w:tr>
      <w:tr>
        <w:trPr>
          <w:trHeight w:val="212" w:hRule="exact"/>
        </w:trPr>
        <w:tc>
          <w:tcPr>
            <w:tcW w:w="5464" w:type="dxa"/>
          </w:tcPr>
          <w:p>
            <w:pPr>
              <w:pStyle w:val="TableParagraph"/>
              <w:spacing w:line="197" w:lineRule="exact"/>
              <w:ind w:left="61"/>
              <w:rPr>
                <w:sz w:val="18"/>
              </w:rPr>
            </w:pPr>
            <w:r>
              <w:rPr>
                <w:sz w:val="18"/>
              </w:rPr>
              <w:t>Retained surplus</w:t>
            </w:r>
          </w:p>
        </w:tc>
        <w:tc>
          <w:tcPr>
            <w:tcW w:w="1846" w:type="dxa"/>
          </w:tcPr>
          <w:p>
            <w:pPr>
              <w:pStyle w:val="TableParagraph"/>
              <w:spacing w:line="197" w:lineRule="exact"/>
              <w:ind w:left="1340"/>
              <w:rPr>
                <w:sz w:val="18"/>
              </w:rPr>
            </w:pPr>
            <w:r>
              <w:rPr>
                <w:sz w:val="18"/>
              </w:rPr>
              <w:t>10</w:t>
            </w:r>
          </w:p>
        </w:tc>
        <w:tc>
          <w:tcPr>
            <w:tcW w:w="2583" w:type="dxa"/>
          </w:tcPr>
          <w:p>
            <w:pPr>
              <w:pStyle w:val="TableParagraph"/>
              <w:tabs>
                <w:tab w:pos="299" w:val="left" w:leader="none"/>
                <w:tab w:pos="1595" w:val="left" w:leader="none"/>
              </w:tabs>
              <w:spacing w:line="197" w:lineRule="exact"/>
              <w:ind w:right="33"/>
              <w:jc w:val="right"/>
              <w:rPr>
                <w:sz w:val="18"/>
              </w:rPr>
            </w:pPr>
            <w:r>
              <w:rPr>
                <w:rFonts w:ascii="Times New Roman"/>
                <w:sz w:val="18"/>
                <w:u w:val="single"/>
              </w:rPr>
              <w:t> </w:t>
              <w:tab/>
            </w:r>
            <w:r>
              <w:rPr>
                <w:b/>
                <w:sz w:val="18"/>
                <w:u w:val="single"/>
              </w:rPr>
              <w:t>31,461,277</w:t>
              <w:tab/>
            </w:r>
            <w:r>
              <w:rPr>
                <w:w w:val="95"/>
                <w:sz w:val="18"/>
                <w:u w:val="single"/>
              </w:rPr>
              <w:t>29,143,309</w:t>
            </w:r>
          </w:p>
        </w:tc>
      </w:tr>
      <w:tr>
        <w:trPr>
          <w:trHeight w:val="299" w:hRule="exact"/>
        </w:trPr>
        <w:tc>
          <w:tcPr>
            <w:tcW w:w="5464" w:type="dxa"/>
          </w:tcPr>
          <w:p>
            <w:pPr>
              <w:pStyle w:val="TableParagraph"/>
              <w:spacing w:line="201" w:lineRule="exact"/>
              <w:ind w:left="61"/>
              <w:rPr>
                <w:b/>
                <w:sz w:val="18"/>
              </w:rPr>
            </w:pPr>
            <w:r>
              <w:rPr>
                <w:b/>
                <w:sz w:val="18"/>
              </w:rPr>
              <w:t>Total trust funds</w:t>
            </w:r>
          </w:p>
        </w:tc>
        <w:tc>
          <w:tcPr>
            <w:tcW w:w="1846" w:type="dxa"/>
          </w:tcPr>
          <w:p>
            <w:pPr/>
          </w:p>
        </w:tc>
        <w:tc>
          <w:tcPr>
            <w:tcW w:w="2583" w:type="dxa"/>
          </w:tcPr>
          <w:p>
            <w:pPr>
              <w:pStyle w:val="TableParagraph"/>
              <w:tabs>
                <w:tab w:pos="299" w:val="left" w:leader="none"/>
                <w:tab w:pos="1595" w:val="left" w:leader="none"/>
              </w:tabs>
              <w:spacing w:line="201" w:lineRule="exact"/>
              <w:ind w:right="33"/>
              <w:jc w:val="right"/>
              <w:rPr>
                <w:sz w:val="18"/>
              </w:rPr>
            </w:pPr>
            <w:r>
              <w:rPr>
                <w:rFonts w:ascii="Times New Roman"/>
                <w:sz w:val="18"/>
                <w:u w:val="single"/>
              </w:rPr>
              <w:t> </w:t>
              <w:tab/>
            </w:r>
            <w:r>
              <w:rPr>
                <w:b/>
                <w:sz w:val="18"/>
                <w:u w:val="single"/>
              </w:rPr>
              <w:t>32,733,110</w:t>
              <w:tab/>
            </w:r>
            <w:r>
              <w:rPr>
                <w:w w:val="95"/>
                <w:sz w:val="18"/>
                <w:u w:val="single"/>
              </w:rPr>
              <w:t>29,143,309</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pStyle w:val="BodyText"/>
        <w:ind w:left="147" w:right="128"/>
      </w:pPr>
      <w:r>
        <w:rPr/>
        <w:t>The accompanying notes form part of these financial statements.</w:t>
      </w:r>
    </w:p>
    <w:p>
      <w:pPr>
        <w:spacing w:after="0"/>
        <w:sectPr>
          <w:pgSz w:w="11910" w:h="16840"/>
          <w:pgMar w:header="1037" w:footer="526" w:top="1460" w:bottom="700" w:left="860" w:right="920"/>
        </w:sectPr>
      </w:pPr>
    </w:p>
    <w:p>
      <w:pPr>
        <w:pStyle w:val="BodyText"/>
        <w:spacing w:before="1"/>
        <w:rPr>
          <w:sz w:val="24"/>
        </w:rPr>
      </w:pPr>
    </w:p>
    <w:p>
      <w:pPr>
        <w:pStyle w:val="Heading3"/>
        <w:ind w:left="127" w:right="93"/>
      </w:pPr>
      <w:r>
        <w:rPr/>
        <w:t>Statement of changes in equity</w:t>
      </w:r>
    </w:p>
    <w:p>
      <w:pPr>
        <w:pStyle w:val="Heading6"/>
        <w:spacing w:before="53"/>
        <w:ind w:left="127" w:right="93"/>
      </w:pPr>
      <w:r>
        <w:rPr/>
        <w:t>For the Year Ended 31 December 2012</w:t>
      </w:r>
    </w:p>
    <w:p>
      <w:pPr>
        <w:pStyle w:val="BodyText"/>
        <w:spacing w:before="3"/>
        <w:rPr>
          <w:b/>
          <w:sz w:val="26"/>
        </w:rPr>
      </w:pPr>
    </w:p>
    <w:p>
      <w:pPr>
        <w:spacing w:after="0"/>
        <w:rPr>
          <w:sz w:val="26"/>
        </w:rPr>
        <w:sectPr>
          <w:pgSz w:w="11910" w:h="16840"/>
          <w:pgMar w:header="1037" w:footer="526" w:top="1460" w:bottom="700" w:left="880" w:right="920"/>
        </w:sectPr>
      </w:pPr>
    </w:p>
    <w:p>
      <w:pPr>
        <w:pStyle w:val="Heading9"/>
        <w:spacing w:before="77"/>
        <w:ind w:left="6336" w:firstLine="4"/>
        <w:jc w:val="right"/>
      </w:pPr>
      <w:r>
        <w:rPr>
          <w:w w:val="95"/>
        </w:rPr>
        <w:t>Retained Earnings</w:t>
      </w:r>
    </w:p>
    <w:p>
      <w:pPr>
        <w:spacing w:line="206" w:lineRule="exact" w:before="0"/>
        <w:ind w:left="0" w:right="334" w:firstLine="0"/>
        <w:jc w:val="right"/>
        <w:rPr>
          <w:b/>
          <w:sz w:val="18"/>
        </w:rPr>
      </w:pPr>
      <w:r>
        <w:rPr>
          <w:b/>
          <w:w w:val="99"/>
          <w:sz w:val="18"/>
        </w:rPr>
        <w:t>$</w:t>
      </w:r>
    </w:p>
    <w:p>
      <w:pPr>
        <w:pStyle w:val="BodyText"/>
        <w:spacing w:before="8"/>
        <w:rPr>
          <w:b/>
          <w:sz w:val="24"/>
        </w:rPr>
      </w:pPr>
      <w:r>
        <w:rPr/>
        <w:br w:type="column"/>
      </w:r>
      <w:r>
        <w:rPr>
          <w:b/>
          <w:sz w:val="24"/>
        </w:rPr>
      </w:r>
    </w:p>
    <w:p>
      <w:pPr>
        <w:spacing w:line="207" w:lineRule="exact" w:before="0"/>
        <w:ind w:left="459" w:right="0" w:firstLine="0"/>
        <w:jc w:val="center"/>
        <w:rPr>
          <w:b/>
          <w:sz w:val="18"/>
        </w:rPr>
      </w:pPr>
      <w:r>
        <w:rPr>
          <w:b/>
          <w:sz w:val="18"/>
        </w:rPr>
        <w:t>Reserves</w:t>
      </w:r>
    </w:p>
    <w:p>
      <w:pPr>
        <w:spacing w:line="207" w:lineRule="exact" w:before="0"/>
        <w:ind w:left="507" w:right="0" w:firstLine="0"/>
        <w:jc w:val="center"/>
        <w:rPr>
          <w:b/>
          <w:sz w:val="18"/>
        </w:rPr>
      </w:pPr>
      <w:r>
        <w:rPr>
          <w:b/>
          <w:w w:val="99"/>
          <w:sz w:val="18"/>
        </w:rPr>
        <w:t>$</w:t>
      </w:r>
    </w:p>
    <w:p>
      <w:pPr>
        <w:pStyle w:val="BodyText"/>
        <w:spacing w:before="8"/>
        <w:rPr>
          <w:b/>
          <w:sz w:val="24"/>
        </w:rPr>
      </w:pPr>
      <w:r>
        <w:rPr/>
        <w:br w:type="column"/>
      </w:r>
      <w:r>
        <w:rPr>
          <w:b/>
          <w:sz w:val="24"/>
        </w:rPr>
      </w:r>
    </w:p>
    <w:p>
      <w:pPr>
        <w:spacing w:line="207" w:lineRule="exact" w:before="0"/>
        <w:ind w:left="362" w:right="246" w:firstLine="0"/>
        <w:jc w:val="center"/>
        <w:rPr>
          <w:b/>
          <w:sz w:val="18"/>
        </w:rPr>
      </w:pPr>
      <w:r>
        <w:rPr>
          <w:b/>
          <w:sz w:val="18"/>
        </w:rPr>
        <w:t>Total equity</w:t>
      </w:r>
    </w:p>
    <w:p>
      <w:pPr>
        <w:spacing w:line="207" w:lineRule="exact" w:before="0"/>
        <w:ind w:left="103" w:right="0" w:firstLine="0"/>
        <w:jc w:val="center"/>
        <w:rPr>
          <w:b/>
          <w:sz w:val="18"/>
        </w:rPr>
      </w:pPr>
      <w:r>
        <w:rPr>
          <w:b/>
          <w:w w:val="99"/>
          <w:sz w:val="18"/>
        </w:rPr>
        <w:t>$</w:t>
      </w:r>
    </w:p>
    <w:p>
      <w:pPr>
        <w:spacing w:after="0" w:line="207" w:lineRule="exact"/>
        <w:jc w:val="center"/>
        <w:rPr>
          <w:sz w:val="18"/>
        </w:rPr>
        <w:sectPr>
          <w:type w:val="continuous"/>
          <w:pgSz w:w="11910" w:h="16840"/>
          <w:pgMar w:top="0" w:bottom="280" w:left="880" w:right="920"/>
          <w:cols w:num="3" w:equalWidth="0">
            <w:col w:w="7110" w:space="40"/>
            <w:col w:w="1261" w:space="40"/>
            <w:col w:w="1659"/>
          </w:cols>
        </w:sectPr>
      </w:pPr>
    </w:p>
    <w:p>
      <w:pPr>
        <w:tabs>
          <w:tab w:pos="6425" w:val="left" w:leader="none"/>
          <w:tab w:pos="8496" w:val="left" w:leader="none"/>
          <w:tab w:pos="9046" w:val="left" w:leader="none"/>
        </w:tabs>
        <w:spacing w:before="158"/>
        <w:ind w:left="154" w:right="93" w:firstLine="0"/>
        <w:jc w:val="left"/>
        <w:rPr>
          <w:b/>
          <w:sz w:val="18"/>
        </w:rPr>
      </w:pPr>
      <w:r>
        <w:rPr>
          <w:b/>
          <w:sz w:val="18"/>
        </w:rPr>
        <w:t>Balance at 1</w:t>
      </w:r>
      <w:r>
        <w:rPr>
          <w:b/>
          <w:spacing w:val="-1"/>
          <w:sz w:val="18"/>
        </w:rPr>
        <w:t> </w:t>
      </w:r>
      <w:r>
        <w:rPr>
          <w:b/>
          <w:sz w:val="18"/>
        </w:rPr>
        <w:t>January</w:t>
      </w:r>
      <w:r>
        <w:rPr>
          <w:b/>
          <w:spacing w:val="-10"/>
          <w:sz w:val="18"/>
        </w:rPr>
        <w:t> </w:t>
      </w:r>
      <w:r>
        <w:rPr>
          <w:b/>
          <w:sz w:val="18"/>
        </w:rPr>
        <w:t>2011</w:t>
        <w:tab/>
        <w:t>28,169,669</w:t>
        <w:tab/>
        <w:t>-</w:t>
        <w:tab/>
        <w:t>28,169,669</w:t>
      </w:r>
    </w:p>
    <w:p>
      <w:pPr>
        <w:pStyle w:val="BodyText"/>
        <w:spacing w:before="3"/>
        <w:rPr>
          <w:b/>
          <w:sz w:val="15"/>
        </w:rPr>
      </w:pPr>
    </w:p>
    <w:p>
      <w:pPr>
        <w:pStyle w:val="BodyText"/>
        <w:tabs>
          <w:tab w:pos="6677" w:val="left" w:leader="none"/>
          <w:tab w:pos="8496" w:val="left" w:leader="none"/>
          <w:tab w:pos="9298" w:val="left" w:leader="none"/>
        </w:tabs>
        <w:spacing w:line="237" w:lineRule="exact"/>
        <w:ind w:left="154" w:right="93"/>
        <w:rPr>
          <w:b/>
        </w:rPr>
      </w:pPr>
      <w:r>
        <w:rPr/>
        <w:t>Surplus/(deficit) for</w:t>
      </w:r>
      <w:r>
        <w:rPr>
          <w:spacing w:val="-1"/>
        </w:rPr>
        <w:t> </w:t>
      </w:r>
      <w:r>
        <w:rPr/>
        <w:t>the</w:t>
      </w:r>
      <w:r>
        <w:rPr>
          <w:spacing w:val="-1"/>
        </w:rPr>
        <w:t> </w:t>
      </w:r>
      <w:r>
        <w:rPr/>
        <w:t>year</w:t>
        <w:tab/>
      </w:r>
      <w:r>
        <w:rPr>
          <w:position w:val="3"/>
        </w:rPr>
        <w:t>973,640</w:t>
        <w:tab/>
      </w:r>
      <w:r>
        <w:rPr>
          <w:b/>
          <w:position w:val="3"/>
        </w:rPr>
        <w:t>-</w:t>
        <w:tab/>
        <w:t>973,640</w:t>
      </w:r>
    </w:p>
    <w:p>
      <w:pPr>
        <w:pStyle w:val="BodyText"/>
        <w:tabs>
          <w:tab w:pos="6029" w:val="left" w:leader="none"/>
          <w:tab w:pos="7272" w:val="left" w:leader="none"/>
          <w:tab w:pos="8496" w:val="left" w:leader="none"/>
          <w:tab w:pos="9893" w:val="left" w:leader="none"/>
        </w:tabs>
        <w:spacing w:line="207" w:lineRule="exact"/>
        <w:ind w:left="154" w:right="93"/>
        <w:rPr>
          <w:b/>
        </w:rPr>
      </w:pPr>
      <w:r>
        <w:rPr/>
        <w:t>Other comprehensive income for</w:t>
      </w:r>
      <w:r>
        <w:rPr>
          <w:spacing w:val="3"/>
        </w:rPr>
        <w:t> </w:t>
      </w:r>
      <w:r>
        <w:rPr/>
        <w:t>the year</w:t>
        <w:tab/>
      </w:r>
      <w:r>
        <w:rPr>
          <w:rFonts w:ascii="Times New Roman"/>
          <w:u w:val="single"/>
        </w:rPr>
        <w:t> </w:t>
        <w:tab/>
      </w:r>
      <w:r>
        <w:rPr>
          <w:b/>
          <w:u w:val="single"/>
        </w:rPr>
        <w:t>-</w:t>
        <w:tab/>
        <w:t>-</w:t>
        <w:tab/>
        <w:t>-</w:t>
      </w:r>
    </w:p>
    <w:p>
      <w:pPr>
        <w:pStyle w:val="Heading9"/>
        <w:tabs>
          <w:tab w:pos="6029" w:val="left" w:leader="none"/>
          <w:tab w:pos="6677" w:val="left" w:leader="none"/>
          <w:tab w:pos="8496" w:val="left" w:leader="none"/>
          <w:tab w:pos="9298" w:val="left" w:leader="none"/>
        </w:tabs>
        <w:spacing w:before="9"/>
        <w:ind w:left="154" w:right="93"/>
      </w:pPr>
      <w:r>
        <w:rPr/>
        <w:t>Total comprehensive income for</w:t>
      </w:r>
      <w:r>
        <w:rPr>
          <w:spacing w:val="1"/>
        </w:rPr>
        <w:t> </w:t>
      </w:r>
      <w:r>
        <w:rPr/>
        <w:t>the </w:t>
      </w:r>
      <w:r>
        <w:rPr>
          <w:spacing w:val="-3"/>
        </w:rPr>
        <w:t>year</w:t>
        <w:tab/>
      </w:r>
      <w:r>
        <w:rPr>
          <w:rFonts w:ascii="Times New Roman"/>
          <w:b w:val="0"/>
          <w:spacing w:val="-3"/>
          <w:u w:val="single"/>
        </w:rPr>
        <w:t> </w:t>
        <w:tab/>
      </w:r>
      <w:r>
        <w:rPr>
          <w:u w:val="single"/>
        </w:rPr>
        <w:t>973,640</w:t>
        <w:tab/>
      </w:r>
      <w:r>
        <w:rPr>
          <w:b w:val="0"/>
          <w:u w:val="single"/>
        </w:rPr>
        <w:t>-</w:t>
        <w:tab/>
      </w:r>
      <w:r>
        <w:rPr>
          <w:u w:val="single"/>
        </w:rPr>
        <w:t>973,640</w:t>
      </w:r>
    </w:p>
    <w:p>
      <w:pPr>
        <w:pStyle w:val="BodyText"/>
        <w:spacing w:before="6"/>
        <w:rPr>
          <w:b/>
          <w:sz w:val="9"/>
        </w:rPr>
      </w:pPr>
    </w:p>
    <w:p>
      <w:pPr>
        <w:tabs>
          <w:tab w:pos="6029" w:val="left" w:leader="none"/>
          <w:tab w:pos="6425" w:val="left" w:leader="none"/>
          <w:tab w:pos="8496" w:val="left" w:leader="none"/>
          <w:tab w:pos="9046" w:val="left" w:leader="none"/>
        </w:tabs>
        <w:spacing w:before="77"/>
        <w:ind w:left="154" w:right="93" w:firstLine="0"/>
        <w:jc w:val="left"/>
        <w:rPr>
          <w:b/>
          <w:sz w:val="18"/>
        </w:rPr>
      </w:pPr>
      <w:r>
        <w:rPr>
          <w:b/>
          <w:sz w:val="18"/>
        </w:rPr>
        <w:t>Balance at 31</w:t>
      </w:r>
      <w:r>
        <w:rPr>
          <w:b/>
          <w:spacing w:val="-1"/>
          <w:sz w:val="18"/>
        </w:rPr>
        <w:t> </w:t>
      </w:r>
      <w:r>
        <w:rPr>
          <w:b/>
          <w:sz w:val="18"/>
        </w:rPr>
        <w:t>December</w:t>
      </w:r>
      <w:r>
        <w:rPr>
          <w:b/>
          <w:spacing w:val="-1"/>
          <w:sz w:val="18"/>
        </w:rPr>
        <w:t> </w:t>
      </w:r>
      <w:r>
        <w:rPr>
          <w:b/>
          <w:sz w:val="18"/>
        </w:rPr>
        <w:t>2011</w:t>
        <w:tab/>
      </w:r>
      <w:r>
        <w:rPr>
          <w:rFonts w:ascii="Times New Roman"/>
          <w:sz w:val="18"/>
          <w:u w:val="single"/>
        </w:rPr>
        <w:t> </w:t>
        <w:tab/>
      </w:r>
      <w:r>
        <w:rPr>
          <w:b/>
          <w:sz w:val="18"/>
          <w:u w:val="single"/>
        </w:rPr>
        <w:t>29,143,309</w:t>
        <w:tab/>
        <w:t>-</w:t>
        <w:tab/>
        <w:t>29,143,309</w:t>
      </w:r>
    </w:p>
    <w:p>
      <w:pPr>
        <w:pStyle w:val="BodyText"/>
        <w:rPr>
          <w:b/>
          <w:sz w:val="20"/>
        </w:rPr>
      </w:pPr>
    </w:p>
    <w:p>
      <w:pPr>
        <w:pStyle w:val="BodyText"/>
        <w:spacing w:before="5"/>
        <w:rPr>
          <w:b/>
          <w:sz w:val="12"/>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731"/>
        <w:gridCol w:w="2620"/>
        <w:gridCol w:w="982"/>
        <w:gridCol w:w="1535"/>
      </w:tblGrid>
      <w:tr>
        <w:trPr>
          <w:trHeight w:val="569" w:hRule="exact"/>
        </w:trPr>
        <w:tc>
          <w:tcPr>
            <w:tcW w:w="4731" w:type="dxa"/>
            <w:vMerge w:val="restart"/>
          </w:tcPr>
          <w:p>
            <w:pPr/>
          </w:p>
        </w:tc>
        <w:tc>
          <w:tcPr>
            <w:tcW w:w="2620" w:type="dxa"/>
          </w:tcPr>
          <w:p>
            <w:pPr>
              <w:pStyle w:val="TableParagraph"/>
              <w:spacing w:before="77"/>
              <w:ind w:left="1486" w:right="343" w:firstLine="4"/>
              <w:rPr>
                <w:b/>
                <w:sz w:val="18"/>
              </w:rPr>
            </w:pPr>
            <w:r>
              <w:rPr>
                <w:b/>
                <w:sz w:val="18"/>
              </w:rPr>
              <w:t>Retained Earnings</w:t>
            </w:r>
          </w:p>
        </w:tc>
        <w:tc>
          <w:tcPr>
            <w:tcW w:w="982" w:type="dxa"/>
          </w:tcPr>
          <w:p>
            <w:pPr>
              <w:pStyle w:val="TableParagraph"/>
              <w:spacing w:before="7"/>
              <w:rPr>
                <w:b/>
                <w:sz w:val="24"/>
              </w:rPr>
            </w:pPr>
          </w:p>
          <w:p>
            <w:pPr>
              <w:pStyle w:val="TableParagraph"/>
              <w:ind w:left="117" w:right="23"/>
              <w:jc w:val="center"/>
              <w:rPr>
                <w:b/>
                <w:sz w:val="18"/>
              </w:rPr>
            </w:pPr>
            <w:r>
              <w:rPr>
                <w:b/>
                <w:sz w:val="18"/>
              </w:rPr>
              <w:t>Reserves</w:t>
            </w:r>
          </w:p>
        </w:tc>
        <w:tc>
          <w:tcPr>
            <w:tcW w:w="1535" w:type="dxa"/>
          </w:tcPr>
          <w:p>
            <w:pPr>
              <w:pStyle w:val="TableParagraph"/>
              <w:spacing w:before="7"/>
              <w:rPr>
                <w:b/>
                <w:sz w:val="24"/>
              </w:rPr>
            </w:pPr>
          </w:p>
          <w:p>
            <w:pPr>
              <w:pStyle w:val="TableParagraph"/>
              <w:ind w:left="374"/>
              <w:rPr>
                <w:b/>
                <w:sz w:val="18"/>
              </w:rPr>
            </w:pPr>
            <w:r>
              <w:rPr>
                <w:b/>
                <w:sz w:val="18"/>
              </w:rPr>
              <w:t>Total equity</w:t>
            </w:r>
          </w:p>
        </w:tc>
      </w:tr>
      <w:tr>
        <w:trPr>
          <w:trHeight w:val="355" w:hRule="exact"/>
        </w:trPr>
        <w:tc>
          <w:tcPr>
            <w:tcW w:w="4731" w:type="dxa"/>
            <w:vMerge/>
          </w:tcPr>
          <w:p>
            <w:pPr/>
          </w:p>
        </w:tc>
        <w:tc>
          <w:tcPr>
            <w:tcW w:w="2620" w:type="dxa"/>
          </w:tcPr>
          <w:p>
            <w:pPr>
              <w:pStyle w:val="TableParagraph"/>
              <w:spacing w:before="60"/>
              <w:ind w:right="695"/>
              <w:jc w:val="right"/>
              <w:rPr>
                <w:b/>
                <w:sz w:val="18"/>
              </w:rPr>
            </w:pPr>
            <w:r>
              <w:rPr>
                <w:b/>
                <w:w w:val="99"/>
                <w:sz w:val="18"/>
              </w:rPr>
              <w:t>$</w:t>
            </w:r>
          </w:p>
        </w:tc>
        <w:tc>
          <w:tcPr>
            <w:tcW w:w="982" w:type="dxa"/>
          </w:tcPr>
          <w:p>
            <w:pPr>
              <w:pStyle w:val="TableParagraph"/>
              <w:spacing w:before="60"/>
              <w:ind w:left="142"/>
              <w:jc w:val="center"/>
              <w:rPr>
                <w:b/>
                <w:sz w:val="18"/>
              </w:rPr>
            </w:pPr>
            <w:r>
              <w:rPr>
                <w:b/>
                <w:w w:val="99"/>
                <w:sz w:val="18"/>
              </w:rPr>
              <w:t>$</w:t>
            </w:r>
          </w:p>
        </w:tc>
        <w:tc>
          <w:tcPr>
            <w:tcW w:w="1535" w:type="dxa"/>
          </w:tcPr>
          <w:p>
            <w:pPr>
              <w:pStyle w:val="TableParagraph"/>
              <w:spacing w:before="60"/>
              <w:ind w:left="217"/>
              <w:jc w:val="center"/>
              <w:rPr>
                <w:b/>
                <w:sz w:val="18"/>
              </w:rPr>
            </w:pPr>
            <w:r>
              <w:rPr>
                <w:b/>
                <w:w w:val="99"/>
                <w:sz w:val="18"/>
              </w:rPr>
              <w:t>$</w:t>
            </w:r>
          </w:p>
        </w:tc>
      </w:tr>
      <w:tr>
        <w:trPr>
          <w:trHeight w:val="355" w:hRule="exact"/>
        </w:trPr>
        <w:tc>
          <w:tcPr>
            <w:tcW w:w="4731" w:type="dxa"/>
          </w:tcPr>
          <w:p>
            <w:pPr>
              <w:pStyle w:val="TableParagraph"/>
              <w:spacing w:before="69"/>
              <w:ind w:left="35"/>
              <w:rPr>
                <w:b/>
                <w:sz w:val="18"/>
              </w:rPr>
            </w:pPr>
            <w:r>
              <w:rPr>
                <w:b/>
                <w:sz w:val="18"/>
              </w:rPr>
              <w:t>Balance at 1 January 2012</w:t>
            </w:r>
          </w:p>
        </w:tc>
        <w:tc>
          <w:tcPr>
            <w:tcW w:w="2620" w:type="dxa"/>
          </w:tcPr>
          <w:p>
            <w:pPr>
              <w:pStyle w:val="TableParagraph"/>
              <w:spacing w:before="69"/>
              <w:ind w:right="136"/>
              <w:jc w:val="right"/>
              <w:rPr>
                <w:b/>
                <w:sz w:val="18"/>
              </w:rPr>
            </w:pPr>
            <w:r>
              <w:rPr>
                <w:b/>
                <w:w w:val="95"/>
                <w:sz w:val="18"/>
              </w:rPr>
              <w:t>29,143,309</w:t>
            </w:r>
          </w:p>
        </w:tc>
        <w:tc>
          <w:tcPr>
            <w:tcW w:w="982" w:type="dxa"/>
          </w:tcPr>
          <w:p>
            <w:pPr/>
          </w:p>
        </w:tc>
        <w:tc>
          <w:tcPr>
            <w:tcW w:w="1535" w:type="dxa"/>
          </w:tcPr>
          <w:p>
            <w:pPr>
              <w:pStyle w:val="TableParagraph"/>
              <w:tabs>
                <w:tab w:pos="593" w:val="left" w:leader="none"/>
              </w:tabs>
              <w:spacing w:before="69"/>
              <w:ind w:left="43"/>
              <w:rPr>
                <w:b/>
                <w:sz w:val="18"/>
              </w:rPr>
            </w:pPr>
            <w:r>
              <w:rPr>
                <w:b/>
                <w:sz w:val="18"/>
              </w:rPr>
              <w:t>-</w:t>
              <w:tab/>
              <w:t>29,143,309</w:t>
            </w:r>
          </w:p>
        </w:tc>
      </w:tr>
      <w:tr>
        <w:trPr>
          <w:trHeight w:val="276" w:hRule="exact"/>
        </w:trPr>
        <w:tc>
          <w:tcPr>
            <w:tcW w:w="4731" w:type="dxa"/>
          </w:tcPr>
          <w:p>
            <w:pPr>
              <w:pStyle w:val="TableParagraph"/>
              <w:spacing w:before="60"/>
              <w:ind w:left="35"/>
              <w:rPr>
                <w:sz w:val="18"/>
              </w:rPr>
            </w:pPr>
            <w:r>
              <w:rPr>
                <w:sz w:val="18"/>
              </w:rPr>
              <w:t>Surplus/(deficit) for the year</w:t>
            </w:r>
          </w:p>
        </w:tc>
        <w:tc>
          <w:tcPr>
            <w:tcW w:w="2620" w:type="dxa"/>
          </w:tcPr>
          <w:p>
            <w:pPr>
              <w:pStyle w:val="TableParagraph"/>
              <w:spacing w:before="60"/>
              <w:ind w:right="136"/>
              <w:jc w:val="right"/>
              <w:rPr>
                <w:sz w:val="18"/>
              </w:rPr>
            </w:pPr>
            <w:r>
              <w:rPr>
                <w:w w:val="95"/>
                <w:sz w:val="18"/>
              </w:rPr>
              <w:t>2,317,968</w:t>
            </w:r>
          </w:p>
        </w:tc>
        <w:tc>
          <w:tcPr>
            <w:tcW w:w="982" w:type="dxa"/>
          </w:tcPr>
          <w:p>
            <w:pPr/>
          </w:p>
        </w:tc>
        <w:tc>
          <w:tcPr>
            <w:tcW w:w="1535" w:type="dxa"/>
          </w:tcPr>
          <w:p>
            <w:pPr>
              <w:pStyle w:val="TableParagraph"/>
              <w:tabs>
                <w:tab w:pos="694" w:val="left" w:leader="none"/>
              </w:tabs>
              <w:spacing w:before="60"/>
              <w:ind w:left="43"/>
              <w:rPr>
                <w:sz w:val="18"/>
              </w:rPr>
            </w:pPr>
            <w:r>
              <w:rPr>
                <w:sz w:val="18"/>
              </w:rPr>
              <w:t>-</w:t>
              <w:tab/>
              <w:t>2,317,968</w:t>
            </w:r>
          </w:p>
        </w:tc>
      </w:tr>
      <w:tr>
        <w:trPr>
          <w:trHeight w:val="212" w:hRule="exact"/>
        </w:trPr>
        <w:tc>
          <w:tcPr>
            <w:tcW w:w="4731" w:type="dxa"/>
          </w:tcPr>
          <w:p>
            <w:pPr>
              <w:pStyle w:val="TableParagraph"/>
              <w:spacing w:line="184" w:lineRule="exact"/>
              <w:ind w:left="35"/>
              <w:rPr>
                <w:sz w:val="18"/>
              </w:rPr>
            </w:pPr>
            <w:r>
              <w:rPr>
                <w:sz w:val="18"/>
              </w:rPr>
              <w:t>Other comprehensive income for the year</w:t>
            </w:r>
          </w:p>
        </w:tc>
        <w:tc>
          <w:tcPr>
            <w:tcW w:w="5138" w:type="dxa"/>
            <w:gridSpan w:val="3"/>
          </w:tcPr>
          <w:p>
            <w:pPr>
              <w:pStyle w:val="TableParagraph"/>
              <w:tabs>
                <w:tab w:pos="2422" w:val="left" w:leader="none"/>
                <w:tab w:pos="2899" w:val="left" w:leader="none"/>
                <w:tab w:pos="4296" w:val="left" w:leader="none"/>
              </w:tabs>
              <w:spacing w:line="184" w:lineRule="exact"/>
              <w:ind w:left="1179"/>
              <w:rPr>
                <w:sz w:val="18"/>
              </w:rPr>
            </w:pPr>
            <w:r>
              <w:rPr>
                <w:rFonts w:ascii="Times New Roman"/>
                <w:sz w:val="18"/>
                <w:u w:val="single"/>
              </w:rPr>
              <w:t> </w:t>
              <w:tab/>
            </w:r>
            <w:r>
              <w:rPr>
                <w:sz w:val="18"/>
                <w:u w:val="single"/>
              </w:rPr>
              <w:t>-</w:t>
              <w:tab/>
              <w:t>1,271,833</w:t>
              <w:tab/>
              <w:t>1,271,833</w:t>
            </w:r>
          </w:p>
        </w:tc>
      </w:tr>
      <w:tr>
        <w:trPr>
          <w:trHeight w:val="305" w:hRule="exact"/>
        </w:trPr>
        <w:tc>
          <w:tcPr>
            <w:tcW w:w="4731" w:type="dxa"/>
          </w:tcPr>
          <w:p>
            <w:pPr>
              <w:pStyle w:val="TableParagraph"/>
              <w:spacing w:line="201" w:lineRule="exact"/>
              <w:ind w:left="35"/>
              <w:rPr>
                <w:b/>
                <w:sz w:val="18"/>
              </w:rPr>
            </w:pPr>
            <w:r>
              <w:rPr>
                <w:b/>
                <w:sz w:val="18"/>
              </w:rPr>
              <w:t>Total comprehensive income for the year</w:t>
            </w:r>
          </w:p>
        </w:tc>
        <w:tc>
          <w:tcPr>
            <w:tcW w:w="5138" w:type="dxa"/>
            <w:gridSpan w:val="3"/>
          </w:tcPr>
          <w:p>
            <w:pPr>
              <w:pStyle w:val="TableParagraph"/>
              <w:tabs>
                <w:tab w:pos="1675" w:val="left" w:leader="none"/>
                <w:tab w:pos="2899" w:val="left" w:leader="none"/>
                <w:tab w:pos="4296" w:val="left" w:leader="none"/>
              </w:tabs>
              <w:spacing w:line="201" w:lineRule="exact"/>
              <w:ind w:left="1179"/>
              <w:rPr>
                <w:b/>
                <w:sz w:val="18"/>
              </w:rPr>
            </w:pPr>
            <w:r>
              <w:rPr>
                <w:rFonts w:ascii="Times New Roman"/>
                <w:sz w:val="18"/>
                <w:u w:val="single"/>
              </w:rPr>
              <w:t> </w:t>
              <w:tab/>
            </w:r>
            <w:r>
              <w:rPr>
                <w:b/>
                <w:sz w:val="18"/>
                <w:u w:val="single"/>
              </w:rPr>
              <w:t>2,317,968</w:t>
              <w:tab/>
              <w:t>1,271,833</w:t>
              <w:tab/>
              <w:t>3,589,801</w:t>
            </w:r>
          </w:p>
        </w:tc>
      </w:tr>
      <w:tr>
        <w:trPr>
          <w:trHeight w:val="387" w:hRule="exact"/>
        </w:trPr>
        <w:tc>
          <w:tcPr>
            <w:tcW w:w="4731" w:type="dxa"/>
          </w:tcPr>
          <w:p>
            <w:pPr>
              <w:pStyle w:val="TableParagraph"/>
              <w:spacing w:before="83"/>
              <w:ind w:left="35"/>
              <w:rPr>
                <w:b/>
                <w:sz w:val="18"/>
              </w:rPr>
            </w:pPr>
            <w:r>
              <w:rPr>
                <w:b/>
                <w:sz w:val="18"/>
              </w:rPr>
              <w:t>Balance at 31 December 2012</w:t>
            </w:r>
          </w:p>
        </w:tc>
        <w:tc>
          <w:tcPr>
            <w:tcW w:w="5138" w:type="dxa"/>
            <w:gridSpan w:val="3"/>
          </w:tcPr>
          <w:p>
            <w:pPr>
              <w:pStyle w:val="TableParagraph"/>
              <w:tabs>
                <w:tab w:pos="1575" w:val="left" w:leader="none"/>
                <w:tab w:pos="2899" w:val="left" w:leader="none"/>
                <w:tab w:pos="4195" w:val="left" w:leader="none"/>
              </w:tabs>
              <w:spacing w:before="83"/>
              <w:ind w:left="1179"/>
              <w:rPr>
                <w:b/>
                <w:sz w:val="18"/>
              </w:rPr>
            </w:pPr>
            <w:r>
              <w:rPr>
                <w:rFonts w:ascii="Times New Roman"/>
                <w:sz w:val="18"/>
                <w:u w:val="single"/>
              </w:rPr>
              <w:t> </w:t>
              <w:tab/>
            </w:r>
            <w:r>
              <w:rPr>
                <w:b/>
                <w:sz w:val="18"/>
                <w:u w:val="single"/>
              </w:rPr>
              <w:t>31,461,277</w:t>
              <w:tab/>
              <w:t>1,271,833</w:t>
              <w:tab/>
              <w:t>32,733,110</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7"/>
        </w:rPr>
      </w:pPr>
    </w:p>
    <w:p>
      <w:pPr>
        <w:pStyle w:val="BodyText"/>
        <w:ind w:left="127" w:right="93"/>
      </w:pPr>
      <w:r>
        <w:rPr/>
        <w:t>The accompanying notes form part of these financial statements.</w:t>
      </w:r>
    </w:p>
    <w:p>
      <w:pPr>
        <w:spacing w:after="0"/>
        <w:sectPr>
          <w:type w:val="continuous"/>
          <w:pgSz w:w="11910" w:h="16840"/>
          <w:pgMar w:top="0" w:bottom="280" w:left="880" w:right="920"/>
        </w:sectPr>
      </w:pPr>
    </w:p>
    <w:p>
      <w:pPr>
        <w:pStyle w:val="BodyText"/>
        <w:spacing w:before="1"/>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725"/>
        <w:gridCol w:w="1585"/>
        <w:gridCol w:w="2643"/>
      </w:tblGrid>
      <w:tr>
        <w:trPr>
          <w:trHeight w:val="909" w:hRule="exact"/>
        </w:trPr>
        <w:tc>
          <w:tcPr>
            <w:tcW w:w="5725" w:type="dxa"/>
          </w:tcPr>
          <w:p>
            <w:pPr>
              <w:pStyle w:val="TableParagraph"/>
              <w:spacing w:before="65"/>
              <w:ind w:left="35"/>
              <w:rPr>
                <w:b/>
                <w:sz w:val="28"/>
              </w:rPr>
            </w:pPr>
            <w:r>
              <w:rPr>
                <w:b/>
                <w:sz w:val="28"/>
              </w:rPr>
              <w:t>Statement of cash flows</w:t>
            </w:r>
          </w:p>
          <w:p>
            <w:pPr>
              <w:pStyle w:val="TableParagraph"/>
              <w:spacing w:before="53"/>
              <w:ind w:left="35"/>
              <w:rPr>
                <w:b/>
                <w:sz w:val="22"/>
              </w:rPr>
            </w:pPr>
            <w:r>
              <w:rPr>
                <w:b/>
                <w:sz w:val="22"/>
              </w:rPr>
              <w:t>For the Year Ended 31 December 2012</w:t>
            </w:r>
          </w:p>
        </w:tc>
        <w:tc>
          <w:tcPr>
            <w:tcW w:w="4229" w:type="dxa"/>
            <w:gridSpan w:val="2"/>
          </w:tcPr>
          <w:p>
            <w:pPr/>
          </w:p>
        </w:tc>
      </w:tr>
      <w:tr>
        <w:trPr>
          <w:trHeight w:val="447" w:hRule="exact"/>
        </w:trPr>
        <w:tc>
          <w:tcPr>
            <w:tcW w:w="5725" w:type="dxa"/>
          </w:tcPr>
          <w:p>
            <w:pPr/>
          </w:p>
        </w:tc>
        <w:tc>
          <w:tcPr>
            <w:tcW w:w="1585" w:type="dxa"/>
          </w:tcPr>
          <w:p>
            <w:pPr/>
          </w:p>
        </w:tc>
        <w:tc>
          <w:tcPr>
            <w:tcW w:w="2643" w:type="dxa"/>
          </w:tcPr>
          <w:p>
            <w:pPr>
              <w:pStyle w:val="TableParagraph"/>
              <w:spacing w:before="2"/>
              <w:rPr>
                <w:sz w:val="17"/>
              </w:rPr>
            </w:pPr>
          </w:p>
          <w:p>
            <w:pPr>
              <w:pStyle w:val="TableParagraph"/>
              <w:tabs>
                <w:tab w:pos="1784" w:val="left" w:leader="none"/>
              </w:tabs>
              <w:ind w:left="488"/>
              <w:rPr>
                <w:sz w:val="18"/>
              </w:rPr>
            </w:pPr>
            <w:r>
              <w:rPr>
                <w:b/>
                <w:sz w:val="18"/>
              </w:rPr>
              <w:t>2012</w:t>
              <w:tab/>
            </w:r>
            <w:r>
              <w:rPr>
                <w:sz w:val="18"/>
              </w:rPr>
              <w:t>2011</w:t>
            </w:r>
          </w:p>
        </w:tc>
      </w:tr>
      <w:tr>
        <w:trPr>
          <w:trHeight w:val="313" w:hRule="exact"/>
        </w:trPr>
        <w:tc>
          <w:tcPr>
            <w:tcW w:w="5725" w:type="dxa"/>
          </w:tcPr>
          <w:p>
            <w:pPr/>
          </w:p>
        </w:tc>
        <w:tc>
          <w:tcPr>
            <w:tcW w:w="1585" w:type="dxa"/>
          </w:tcPr>
          <w:p>
            <w:pPr>
              <w:pStyle w:val="TableParagraph"/>
              <w:spacing w:before="24"/>
              <w:ind w:left="1140"/>
              <w:rPr>
                <w:b/>
                <w:sz w:val="18"/>
              </w:rPr>
            </w:pPr>
            <w:r>
              <w:rPr>
                <w:b/>
                <w:sz w:val="18"/>
              </w:rPr>
              <w:t>Note</w:t>
            </w:r>
          </w:p>
        </w:tc>
        <w:tc>
          <w:tcPr>
            <w:tcW w:w="2643" w:type="dxa"/>
          </w:tcPr>
          <w:p>
            <w:pPr>
              <w:pStyle w:val="TableParagraph"/>
              <w:tabs>
                <w:tab w:pos="1935" w:val="left" w:leader="none"/>
              </w:tabs>
              <w:spacing w:before="24"/>
              <w:ind w:left="639"/>
              <w:rPr>
                <w:sz w:val="18"/>
              </w:rPr>
            </w:pPr>
            <w:r>
              <w:rPr>
                <w:b/>
                <w:sz w:val="18"/>
              </w:rPr>
              <w:t>$</w:t>
              <w:tab/>
            </w:r>
            <w:r>
              <w:rPr>
                <w:sz w:val="18"/>
              </w:rPr>
              <w:t>$</w:t>
            </w:r>
          </w:p>
        </w:tc>
      </w:tr>
      <w:tr>
        <w:trPr>
          <w:trHeight w:val="486" w:hRule="exact"/>
        </w:trPr>
        <w:tc>
          <w:tcPr>
            <w:tcW w:w="5725" w:type="dxa"/>
          </w:tcPr>
          <w:p>
            <w:pPr>
              <w:pStyle w:val="TableParagraph"/>
              <w:spacing w:line="207" w:lineRule="exact" w:before="63"/>
              <w:ind w:left="61"/>
              <w:rPr>
                <w:b/>
                <w:sz w:val="18"/>
              </w:rPr>
            </w:pPr>
            <w:r>
              <w:rPr>
                <w:b/>
                <w:sz w:val="18"/>
              </w:rPr>
              <w:t>Cash flows from operating activities</w:t>
            </w:r>
          </w:p>
          <w:p>
            <w:pPr>
              <w:pStyle w:val="TableParagraph"/>
              <w:spacing w:line="207" w:lineRule="exact"/>
              <w:ind w:left="61"/>
              <w:rPr>
                <w:sz w:val="18"/>
              </w:rPr>
            </w:pPr>
            <w:r>
              <w:rPr>
                <w:sz w:val="18"/>
              </w:rPr>
              <w:t>Payments to suppliers and employees</w:t>
            </w:r>
          </w:p>
        </w:tc>
        <w:tc>
          <w:tcPr>
            <w:tcW w:w="1585" w:type="dxa"/>
          </w:tcPr>
          <w:p>
            <w:pPr/>
          </w:p>
        </w:tc>
        <w:tc>
          <w:tcPr>
            <w:tcW w:w="2643" w:type="dxa"/>
          </w:tcPr>
          <w:p>
            <w:pPr>
              <w:pStyle w:val="TableParagraph"/>
              <w:spacing w:before="5"/>
              <w:rPr>
                <w:sz w:val="23"/>
              </w:rPr>
            </w:pPr>
          </w:p>
          <w:p>
            <w:pPr>
              <w:pStyle w:val="TableParagraph"/>
              <w:tabs>
                <w:tab w:pos="2034" w:val="left" w:leader="none"/>
              </w:tabs>
              <w:ind w:left="1191"/>
              <w:rPr>
                <w:sz w:val="18"/>
              </w:rPr>
            </w:pPr>
            <w:r>
              <w:rPr>
                <w:b/>
                <w:sz w:val="18"/>
              </w:rPr>
              <w:t>-</w:t>
              <w:tab/>
            </w:r>
            <w:r>
              <w:rPr>
                <w:sz w:val="18"/>
              </w:rPr>
              <w:t>(6,388)</w:t>
            </w:r>
          </w:p>
        </w:tc>
      </w:tr>
      <w:tr>
        <w:trPr>
          <w:trHeight w:val="206" w:hRule="exact"/>
        </w:trPr>
        <w:tc>
          <w:tcPr>
            <w:tcW w:w="5725" w:type="dxa"/>
          </w:tcPr>
          <w:p>
            <w:pPr>
              <w:pStyle w:val="TableParagraph"/>
              <w:spacing w:line="197" w:lineRule="exact"/>
              <w:ind w:left="61"/>
              <w:rPr>
                <w:sz w:val="18"/>
              </w:rPr>
            </w:pPr>
            <w:r>
              <w:rPr>
                <w:sz w:val="18"/>
              </w:rPr>
              <w:t>Scholarships and donations received</w:t>
            </w:r>
          </w:p>
        </w:tc>
        <w:tc>
          <w:tcPr>
            <w:tcW w:w="1585" w:type="dxa"/>
          </w:tcPr>
          <w:p>
            <w:pPr/>
          </w:p>
        </w:tc>
        <w:tc>
          <w:tcPr>
            <w:tcW w:w="2643" w:type="dxa"/>
          </w:tcPr>
          <w:p>
            <w:pPr>
              <w:pStyle w:val="TableParagraph"/>
              <w:tabs>
                <w:tab w:pos="1741" w:val="left" w:leader="none"/>
              </w:tabs>
              <w:spacing w:line="197" w:lineRule="exact"/>
              <w:ind w:left="445"/>
              <w:rPr>
                <w:sz w:val="18"/>
              </w:rPr>
            </w:pPr>
            <w:r>
              <w:rPr>
                <w:b/>
                <w:sz w:val="18"/>
              </w:rPr>
              <w:t>1,593,973</w:t>
              <w:tab/>
            </w:r>
            <w:r>
              <w:rPr>
                <w:sz w:val="18"/>
              </w:rPr>
              <w:t>3,008,251</w:t>
            </w:r>
          </w:p>
        </w:tc>
      </w:tr>
      <w:tr>
        <w:trPr>
          <w:trHeight w:val="206" w:hRule="exact"/>
        </w:trPr>
        <w:tc>
          <w:tcPr>
            <w:tcW w:w="5725" w:type="dxa"/>
          </w:tcPr>
          <w:p>
            <w:pPr>
              <w:pStyle w:val="TableParagraph"/>
              <w:spacing w:line="197" w:lineRule="exact"/>
              <w:ind w:left="61"/>
              <w:rPr>
                <w:sz w:val="18"/>
              </w:rPr>
            </w:pPr>
            <w:r>
              <w:rPr>
                <w:sz w:val="18"/>
              </w:rPr>
              <w:t>Investment income</w:t>
            </w:r>
          </w:p>
        </w:tc>
        <w:tc>
          <w:tcPr>
            <w:tcW w:w="1585" w:type="dxa"/>
          </w:tcPr>
          <w:p>
            <w:pPr/>
          </w:p>
        </w:tc>
        <w:tc>
          <w:tcPr>
            <w:tcW w:w="2643" w:type="dxa"/>
          </w:tcPr>
          <w:p>
            <w:pPr>
              <w:pStyle w:val="TableParagraph"/>
              <w:tabs>
                <w:tab w:pos="1892" w:val="left" w:leader="none"/>
              </w:tabs>
              <w:spacing w:line="197" w:lineRule="exact"/>
              <w:ind w:left="445"/>
              <w:rPr>
                <w:sz w:val="18"/>
              </w:rPr>
            </w:pPr>
            <w:r>
              <w:rPr>
                <w:b/>
                <w:sz w:val="18"/>
              </w:rPr>
              <w:t>1,706,859</w:t>
              <w:tab/>
            </w:r>
            <w:r>
              <w:rPr>
                <w:sz w:val="18"/>
              </w:rPr>
              <w:t>482,751</w:t>
            </w:r>
          </w:p>
        </w:tc>
      </w:tr>
      <w:tr>
        <w:trPr>
          <w:trHeight w:val="212" w:hRule="exact"/>
        </w:trPr>
        <w:tc>
          <w:tcPr>
            <w:tcW w:w="5725" w:type="dxa"/>
          </w:tcPr>
          <w:p>
            <w:pPr>
              <w:pStyle w:val="TableParagraph"/>
              <w:spacing w:line="197" w:lineRule="exact"/>
              <w:ind w:left="61"/>
              <w:rPr>
                <w:sz w:val="18"/>
              </w:rPr>
            </w:pPr>
            <w:r>
              <w:rPr>
                <w:sz w:val="18"/>
              </w:rPr>
              <w:t>Distributions paid</w:t>
            </w:r>
          </w:p>
        </w:tc>
        <w:tc>
          <w:tcPr>
            <w:tcW w:w="1585" w:type="dxa"/>
          </w:tcPr>
          <w:p>
            <w:pPr/>
          </w:p>
        </w:tc>
        <w:tc>
          <w:tcPr>
            <w:tcW w:w="2643" w:type="dxa"/>
          </w:tcPr>
          <w:p>
            <w:pPr>
              <w:pStyle w:val="TableParagraph"/>
              <w:tabs>
                <w:tab w:pos="536" w:val="left" w:leader="none"/>
                <w:tab w:pos="1681" w:val="left" w:leader="none"/>
              </w:tabs>
              <w:spacing w:line="197" w:lineRule="exact"/>
              <w:ind w:left="44"/>
              <w:rPr>
                <w:sz w:val="18"/>
              </w:rPr>
            </w:pPr>
            <w:r>
              <w:rPr>
                <w:rFonts w:ascii="Times New Roman"/>
                <w:sz w:val="18"/>
                <w:u w:val="single"/>
              </w:rPr>
              <w:t> </w:t>
              <w:tab/>
            </w:r>
            <w:r>
              <w:rPr>
                <w:b/>
                <w:sz w:val="18"/>
                <w:u w:val="single"/>
              </w:rPr>
              <w:t>(854,607)</w:t>
              <w:tab/>
            </w:r>
            <w:r>
              <w:rPr>
                <w:sz w:val="18"/>
                <w:u w:val="single"/>
              </w:rPr>
              <w:t>(1,760,825)</w:t>
            </w:r>
          </w:p>
        </w:tc>
      </w:tr>
      <w:tr>
        <w:trPr>
          <w:trHeight w:val="362" w:hRule="exact"/>
        </w:trPr>
        <w:tc>
          <w:tcPr>
            <w:tcW w:w="5725" w:type="dxa"/>
          </w:tcPr>
          <w:p>
            <w:pPr>
              <w:pStyle w:val="TableParagraph"/>
              <w:spacing w:line="201" w:lineRule="exact"/>
              <w:ind w:left="61"/>
              <w:rPr>
                <w:b/>
                <w:sz w:val="18"/>
              </w:rPr>
            </w:pPr>
            <w:r>
              <w:rPr>
                <w:b/>
                <w:sz w:val="18"/>
              </w:rPr>
              <w:t>Net cash inflow/(outflow) from operating activities</w:t>
            </w:r>
          </w:p>
        </w:tc>
        <w:tc>
          <w:tcPr>
            <w:tcW w:w="1585" w:type="dxa"/>
          </w:tcPr>
          <w:p>
            <w:pPr>
              <w:pStyle w:val="TableParagraph"/>
              <w:spacing w:line="201" w:lineRule="exact"/>
              <w:ind w:left="1080"/>
              <w:rPr>
                <w:sz w:val="18"/>
              </w:rPr>
            </w:pPr>
            <w:r>
              <w:rPr>
                <w:sz w:val="18"/>
              </w:rPr>
              <w:t>17</w:t>
            </w:r>
          </w:p>
        </w:tc>
        <w:tc>
          <w:tcPr>
            <w:tcW w:w="2643" w:type="dxa"/>
          </w:tcPr>
          <w:p>
            <w:pPr>
              <w:pStyle w:val="TableParagraph"/>
              <w:tabs>
                <w:tab w:pos="445" w:val="left" w:leader="none"/>
                <w:tab w:pos="1741" w:val="left" w:leader="none"/>
              </w:tabs>
              <w:spacing w:line="201" w:lineRule="exact"/>
              <w:ind w:left="44"/>
              <w:rPr>
                <w:sz w:val="18"/>
              </w:rPr>
            </w:pPr>
            <w:r>
              <w:rPr>
                <w:rFonts w:ascii="Times New Roman"/>
                <w:sz w:val="18"/>
                <w:u w:val="single"/>
              </w:rPr>
              <w:t> </w:t>
              <w:tab/>
            </w:r>
            <w:r>
              <w:rPr>
                <w:b/>
                <w:sz w:val="18"/>
                <w:u w:val="single"/>
              </w:rPr>
              <w:t>2,446,225</w:t>
              <w:tab/>
            </w:r>
            <w:r>
              <w:rPr>
                <w:sz w:val="18"/>
                <w:u w:val="single"/>
              </w:rPr>
              <w:t>1,723,789</w:t>
            </w:r>
          </w:p>
        </w:tc>
      </w:tr>
      <w:tr>
        <w:trPr>
          <w:trHeight w:val="569" w:hRule="exact"/>
        </w:trPr>
        <w:tc>
          <w:tcPr>
            <w:tcW w:w="5725" w:type="dxa"/>
          </w:tcPr>
          <w:p>
            <w:pPr>
              <w:pStyle w:val="TableParagraph"/>
              <w:spacing w:line="207" w:lineRule="exact" w:before="141"/>
              <w:ind w:left="61"/>
              <w:rPr>
                <w:b/>
                <w:sz w:val="18"/>
              </w:rPr>
            </w:pPr>
            <w:r>
              <w:rPr>
                <w:b/>
                <w:sz w:val="18"/>
              </w:rPr>
              <w:t>Cash flows from investing activities</w:t>
            </w:r>
          </w:p>
          <w:p>
            <w:pPr>
              <w:pStyle w:val="TableParagraph"/>
              <w:spacing w:line="207" w:lineRule="exact"/>
              <w:ind w:left="61"/>
              <w:rPr>
                <w:sz w:val="18"/>
              </w:rPr>
            </w:pPr>
            <w:r>
              <w:rPr>
                <w:sz w:val="18"/>
              </w:rPr>
              <w:t>Proceeds from investment in other financial assets</w:t>
            </w:r>
          </w:p>
        </w:tc>
        <w:tc>
          <w:tcPr>
            <w:tcW w:w="1585" w:type="dxa"/>
          </w:tcPr>
          <w:p>
            <w:pPr/>
          </w:p>
        </w:tc>
        <w:tc>
          <w:tcPr>
            <w:tcW w:w="2643" w:type="dxa"/>
          </w:tcPr>
          <w:p>
            <w:pPr>
              <w:pStyle w:val="TableParagraph"/>
              <w:rPr>
                <w:sz w:val="18"/>
              </w:rPr>
            </w:pPr>
          </w:p>
          <w:p>
            <w:pPr>
              <w:pStyle w:val="TableParagraph"/>
              <w:tabs>
                <w:tab w:pos="1892" w:val="left" w:leader="none"/>
              </w:tabs>
              <w:spacing w:before="140"/>
              <w:ind w:left="44"/>
              <w:rPr>
                <w:sz w:val="18"/>
              </w:rPr>
            </w:pPr>
            <w:r>
              <w:rPr>
                <w:rFonts w:ascii="Times New Roman"/>
                <w:sz w:val="18"/>
                <w:u w:val="single"/>
              </w:rPr>
              <w:t>    </w:t>
            </w:r>
            <w:r>
              <w:rPr>
                <w:rFonts w:ascii="Times New Roman"/>
                <w:spacing w:val="15"/>
                <w:sz w:val="18"/>
                <w:u w:val="single"/>
              </w:rPr>
              <w:t> </w:t>
            </w:r>
            <w:r>
              <w:rPr>
                <w:b/>
                <w:sz w:val="18"/>
                <w:u w:val="single"/>
              </w:rPr>
              <w:t>(14,656,456)</w:t>
              <w:tab/>
            </w:r>
            <w:r>
              <w:rPr>
                <w:sz w:val="18"/>
                <w:u w:val="single"/>
              </w:rPr>
              <w:t>544,782</w:t>
            </w:r>
          </w:p>
        </w:tc>
      </w:tr>
      <w:tr>
        <w:trPr>
          <w:trHeight w:val="362" w:hRule="exact"/>
        </w:trPr>
        <w:tc>
          <w:tcPr>
            <w:tcW w:w="5725" w:type="dxa"/>
          </w:tcPr>
          <w:p>
            <w:pPr>
              <w:pStyle w:val="TableParagraph"/>
              <w:spacing w:line="201" w:lineRule="exact"/>
              <w:ind w:left="61"/>
              <w:rPr>
                <w:b/>
                <w:sz w:val="18"/>
              </w:rPr>
            </w:pPr>
            <w:r>
              <w:rPr>
                <w:b/>
                <w:sz w:val="18"/>
              </w:rPr>
              <w:t>Net cash (outflow)/inflow from investing activities</w:t>
            </w:r>
          </w:p>
        </w:tc>
        <w:tc>
          <w:tcPr>
            <w:tcW w:w="1585" w:type="dxa"/>
          </w:tcPr>
          <w:p>
            <w:pPr/>
          </w:p>
        </w:tc>
        <w:tc>
          <w:tcPr>
            <w:tcW w:w="2643" w:type="dxa"/>
          </w:tcPr>
          <w:p>
            <w:pPr>
              <w:pStyle w:val="TableParagraph"/>
              <w:tabs>
                <w:tab w:pos="1892" w:val="left" w:leader="none"/>
              </w:tabs>
              <w:spacing w:line="201" w:lineRule="exact"/>
              <w:ind w:left="44"/>
              <w:rPr>
                <w:sz w:val="18"/>
              </w:rPr>
            </w:pPr>
            <w:r>
              <w:rPr>
                <w:rFonts w:ascii="Times New Roman"/>
                <w:sz w:val="18"/>
                <w:u w:val="single"/>
              </w:rPr>
              <w:t>    </w:t>
            </w:r>
            <w:r>
              <w:rPr>
                <w:rFonts w:ascii="Times New Roman"/>
                <w:spacing w:val="15"/>
                <w:sz w:val="18"/>
                <w:u w:val="single"/>
              </w:rPr>
              <w:t> </w:t>
            </w:r>
            <w:r>
              <w:rPr>
                <w:b/>
                <w:sz w:val="18"/>
                <w:u w:val="single"/>
              </w:rPr>
              <w:t>(14,656,456)</w:t>
              <w:tab/>
            </w:r>
            <w:r>
              <w:rPr>
                <w:sz w:val="18"/>
                <w:u w:val="single"/>
              </w:rPr>
              <w:t>544,782</w:t>
            </w:r>
          </w:p>
        </w:tc>
      </w:tr>
      <w:tr>
        <w:trPr>
          <w:trHeight w:val="362" w:hRule="exact"/>
        </w:trPr>
        <w:tc>
          <w:tcPr>
            <w:tcW w:w="5725" w:type="dxa"/>
          </w:tcPr>
          <w:p>
            <w:pPr>
              <w:pStyle w:val="TableParagraph"/>
              <w:spacing w:before="141"/>
              <w:ind w:left="61"/>
              <w:rPr>
                <w:b/>
                <w:sz w:val="18"/>
              </w:rPr>
            </w:pPr>
            <w:r>
              <w:rPr>
                <w:b/>
                <w:sz w:val="18"/>
              </w:rPr>
              <w:t>Cash flows from financing activities</w:t>
            </w:r>
          </w:p>
        </w:tc>
        <w:tc>
          <w:tcPr>
            <w:tcW w:w="1585" w:type="dxa"/>
          </w:tcPr>
          <w:p>
            <w:pPr/>
          </w:p>
        </w:tc>
        <w:tc>
          <w:tcPr>
            <w:tcW w:w="2643" w:type="dxa"/>
          </w:tcPr>
          <w:p>
            <w:pPr/>
          </w:p>
        </w:tc>
      </w:tr>
      <w:tr>
        <w:trPr>
          <w:trHeight w:val="392" w:hRule="exact"/>
        </w:trPr>
        <w:tc>
          <w:tcPr>
            <w:tcW w:w="5725" w:type="dxa"/>
          </w:tcPr>
          <w:p>
            <w:pPr>
              <w:pStyle w:val="TableParagraph"/>
              <w:spacing w:line="202" w:lineRule="exact"/>
              <w:ind w:left="61"/>
              <w:rPr>
                <w:b/>
                <w:sz w:val="18"/>
              </w:rPr>
            </w:pPr>
            <w:r>
              <w:rPr>
                <w:b/>
                <w:sz w:val="18"/>
              </w:rPr>
              <w:t>Net cash inflow/(outflow) from financing activities</w:t>
            </w:r>
          </w:p>
        </w:tc>
        <w:tc>
          <w:tcPr>
            <w:tcW w:w="1585" w:type="dxa"/>
          </w:tcPr>
          <w:p>
            <w:pPr/>
          </w:p>
        </w:tc>
        <w:tc>
          <w:tcPr>
            <w:tcW w:w="2643" w:type="dxa"/>
          </w:tcPr>
          <w:p>
            <w:pPr>
              <w:pStyle w:val="TableParagraph"/>
              <w:tabs>
                <w:tab w:pos="1191" w:val="left" w:leader="none"/>
                <w:tab w:pos="2487" w:val="left" w:leader="none"/>
              </w:tabs>
              <w:spacing w:before="24"/>
              <w:ind w:left="44"/>
              <w:rPr>
                <w:sz w:val="18"/>
              </w:rPr>
            </w:pPr>
            <w:r>
              <w:rPr>
                <w:rFonts w:ascii="Times New Roman"/>
                <w:sz w:val="18"/>
                <w:u w:val="single"/>
              </w:rPr>
              <w:t> </w:t>
              <w:tab/>
            </w:r>
            <w:r>
              <w:rPr>
                <w:b/>
                <w:sz w:val="18"/>
                <w:u w:val="single"/>
              </w:rPr>
              <w:t>-</w:t>
              <w:tab/>
            </w:r>
            <w:r>
              <w:rPr>
                <w:sz w:val="18"/>
                <w:u w:val="single"/>
              </w:rPr>
              <w:t>-</w:t>
            </w:r>
          </w:p>
        </w:tc>
      </w:tr>
      <w:tr>
        <w:trPr>
          <w:trHeight w:val="344" w:hRule="exact"/>
        </w:trPr>
        <w:tc>
          <w:tcPr>
            <w:tcW w:w="5725" w:type="dxa"/>
          </w:tcPr>
          <w:p>
            <w:pPr>
              <w:pStyle w:val="TableParagraph"/>
              <w:spacing w:before="141"/>
              <w:ind w:left="61"/>
              <w:rPr>
                <w:b/>
                <w:sz w:val="18"/>
              </w:rPr>
            </w:pPr>
            <w:r>
              <w:rPr>
                <w:b/>
                <w:sz w:val="18"/>
              </w:rPr>
              <w:t>Net increase/(decrease) in cash and cash equivalents</w:t>
            </w:r>
          </w:p>
        </w:tc>
        <w:tc>
          <w:tcPr>
            <w:tcW w:w="1585" w:type="dxa"/>
          </w:tcPr>
          <w:p>
            <w:pPr/>
          </w:p>
        </w:tc>
        <w:tc>
          <w:tcPr>
            <w:tcW w:w="2643" w:type="dxa"/>
          </w:tcPr>
          <w:p>
            <w:pPr>
              <w:pStyle w:val="TableParagraph"/>
              <w:tabs>
                <w:tab w:pos="1741" w:val="left" w:leader="none"/>
              </w:tabs>
              <w:spacing w:before="141"/>
              <w:ind w:left="284"/>
              <w:rPr>
                <w:sz w:val="18"/>
              </w:rPr>
            </w:pPr>
            <w:r>
              <w:rPr>
                <w:b/>
                <w:sz w:val="18"/>
              </w:rPr>
              <w:t>(12,210,231)</w:t>
              <w:tab/>
            </w:r>
            <w:r>
              <w:rPr>
                <w:sz w:val="18"/>
              </w:rPr>
              <w:t>2,268,571</w:t>
            </w:r>
          </w:p>
        </w:tc>
      </w:tr>
    </w:tbl>
    <w:p>
      <w:pPr>
        <w:tabs>
          <w:tab w:pos="6918" w:val="left" w:leader="none"/>
          <w:tab w:pos="7467" w:val="left" w:leader="none"/>
          <w:tab w:pos="7767" w:val="left" w:leader="none"/>
          <w:tab w:pos="7868" w:val="left" w:leader="none"/>
          <w:tab w:pos="9063" w:val="left" w:leader="none"/>
        </w:tabs>
        <w:spacing w:line="249" w:lineRule="auto" w:before="3"/>
        <w:ind w:left="174" w:right="212" w:firstLine="0"/>
        <w:jc w:val="left"/>
        <w:rPr>
          <w:sz w:val="18"/>
        </w:rPr>
      </w:pPr>
      <w:r>
        <w:rPr>
          <w:sz w:val="18"/>
        </w:rPr>
        <w:t>Cash and cash equivalents at beginning</w:t>
      </w:r>
      <w:r>
        <w:rPr>
          <w:spacing w:val="5"/>
          <w:sz w:val="18"/>
        </w:rPr>
        <w:t> </w:t>
      </w:r>
      <w:r>
        <w:rPr>
          <w:sz w:val="18"/>
        </w:rPr>
        <w:t>of year</w:t>
        <w:tab/>
        <w:tab/>
      </w:r>
      <w:r>
        <w:rPr>
          <w:rFonts w:ascii="Times New Roman"/>
          <w:sz w:val="18"/>
          <w:u w:val="single"/>
        </w:rPr>
        <w:t> </w:t>
        <w:tab/>
      </w:r>
      <w:r>
        <w:rPr>
          <w:b/>
          <w:sz w:val="18"/>
          <w:u w:val="single"/>
        </w:rPr>
        <w:t>19,255,703</w:t>
        <w:tab/>
      </w:r>
      <w:r>
        <w:rPr>
          <w:sz w:val="18"/>
          <w:u w:val="single"/>
        </w:rPr>
        <w:t>16,987,132 </w:t>
      </w:r>
      <w:r>
        <w:rPr>
          <w:b/>
          <w:sz w:val="18"/>
        </w:rPr>
        <w:t>Cash and cash equivalents at end</w:t>
      </w:r>
      <w:r>
        <w:rPr>
          <w:b/>
          <w:spacing w:val="1"/>
          <w:sz w:val="18"/>
        </w:rPr>
        <w:t> </w:t>
      </w:r>
      <w:r>
        <w:rPr>
          <w:b/>
          <w:sz w:val="18"/>
        </w:rPr>
        <w:t>of </w:t>
      </w:r>
      <w:r>
        <w:rPr>
          <w:b/>
          <w:spacing w:val="-3"/>
          <w:sz w:val="18"/>
        </w:rPr>
        <w:t>year</w:t>
        <w:tab/>
      </w:r>
      <w:r>
        <w:rPr>
          <w:position w:val="-2"/>
          <w:sz w:val="18"/>
        </w:rPr>
        <w:t>6</w:t>
        <w:tab/>
      </w:r>
      <w:r>
        <w:rPr>
          <w:rFonts w:ascii="Times New Roman"/>
          <w:position w:val="-5"/>
          <w:sz w:val="18"/>
          <w:u w:val="single"/>
        </w:rPr>
        <w:t> </w:t>
        <w:tab/>
        <w:tab/>
      </w:r>
      <w:r>
        <w:rPr>
          <w:b/>
          <w:position w:val="-5"/>
          <w:sz w:val="18"/>
          <w:u w:val="single"/>
        </w:rPr>
        <w:t>7,045,472</w:t>
        <w:tab/>
      </w:r>
      <w:r>
        <w:rPr>
          <w:position w:val="-5"/>
          <w:sz w:val="18"/>
          <w:u w:val="single"/>
        </w:rPr>
        <w:t>19,255,703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pStyle w:val="BodyText"/>
        <w:spacing w:before="77"/>
        <w:ind w:left="147" w:right="685"/>
      </w:pPr>
      <w:r>
        <w:rPr/>
        <w:t>The accompanying notes form part of these financial statements.</w:t>
      </w:r>
    </w:p>
    <w:p>
      <w:pPr>
        <w:spacing w:after="0"/>
        <w:sectPr>
          <w:pgSz w:w="11910" w:h="16840"/>
          <w:pgMar w:header="1037" w:footer="526" w:top="1460" w:bottom="700" w:left="860" w:right="860"/>
        </w:sectPr>
      </w:pPr>
    </w:p>
    <w:p>
      <w:pPr>
        <w:pStyle w:val="BodyText"/>
        <w:spacing w:before="1"/>
        <w:rPr>
          <w:sz w:val="24"/>
        </w:rPr>
      </w:pPr>
    </w:p>
    <w:p>
      <w:pPr>
        <w:pStyle w:val="Heading3"/>
      </w:pPr>
      <w:r>
        <w:rPr/>
        <w:t>Notes to the financial statements</w:t>
      </w:r>
    </w:p>
    <w:p>
      <w:pPr>
        <w:pStyle w:val="Heading6"/>
        <w:spacing w:before="53"/>
      </w:pPr>
      <w:r>
        <w:rPr/>
        <w:t>For the Year Ended 31 December 2012</w:t>
      </w:r>
    </w:p>
    <w:p>
      <w:pPr>
        <w:pStyle w:val="BodyText"/>
        <w:rPr>
          <w:b/>
          <w:sz w:val="22"/>
        </w:rPr>
      </w:pPr>
    </w:p>
    <w:p>
      <w:pPr>
        <w:pStyle w:val="BodyText"/>
        <w:spacing w:before="1"/>
        <w:rPr>
          <w:b/>
          <w:sz w:val="23"/>
        </w:rPr>
      </w:pPr>
    </w:p>
    <w:p>
      <w:pPr>
        <w:pStyle w:val="Heading9"/>
        <w:tabs>
          <w:tab w:pos="503" w:val="left" w:leader="none"/>
        </w:tabs>
        <w:ind w:left="110" w:right="125"/>
      </w:pPr>
      <w:r>
        <w:rPr/>
        <w:t>1</w:t>
        <w:tab/>
        <w:t>Summary of Significant Accounting</w:t>
      </w:r>
      <w:r>
        <w:rPr>
          <w:spacing w:val="-9"/>
        </w:rPr>
        <w:t> </w:t>
      </w:r>
      <w:r>
        <w:rPr/>
        <w:t>Policies</w:t>
      </w:r>
    </w:p>
    <w:p>
      <w:pPr>
        <w:pStyle w:val="BodyText"/>
        <w:spacing w:before="6"/>
        <w:rPr>
          <w:b/>
          <w:sz w:val="24"/>
        </w:rPr>
      </w:pPr>
    </w:p>
    <w:p>
      <w:pPr>
        <w:pStyle w:val="ListParagraph"/>
        <w:numPr>
          <w:ilvl w:val="0"/>
          <w:numId w:val="59"/>
        </w:numPr>
        <w:tabs>
          <w:tab w:pos="1071" w:val="left" w:leader="none"/>
        </w:tabs>
        <w:spacing w:line="240" w:lineRule="auto" w:before="0" w:after="0"/>
        <w:ind w:left="1070" w:right="0" w:hanging="566"/>
        <w:jc w:val="left"/>
        <w:rPr>
          <w:b/>
          <w:sz w:val="18"/>
        </w:rPr>
      </w:pPr>
      <w:r>
        <w:rPr>
          <w:b/>
          <w:sz w:val="18"/>
        </w:rPr>
        <w:t>Basis of</w:t>
      </w:r>
      <w:r>
        <w:rPr>
          <w:b/>
          <w:spacing w:val="-1"/>
          <w:sz w:val="18"/>
        </w:rPr>
        <w:t> </w:t>
      </w:r>
      <w:r>
        <w:rPr>
          <w:b/>
          <w:sz w:val="18"/>
        </w:rPr>
        <w:t>Preparation</w:t>
      </w:r>
    </w:p>
    <w:p>
      <w:pPr>
        <w:pStyle w:val="BodyText"/>
        <w:spacing w:before="138"/>
        <w:ind w:left="1070" w:right="114"/>
        <w:jc w:val="both"/>
      </w:pPr>
      <w:r>
        <w:rPr/>
        <w:t>These financial statements are general purpose financial statements that have been prepared in accordance with Australian Accounting Standards (including Australian Accounting Interpretations) adopted by the AASB,  the requirements of the </w:t>
      </w:r>
      <w:r>
        <w:rPr>
          <w:i/>
        </w:rPr>
        <w:t>Public Finance &amp; Audit Act 1983</w:t>
      </w:r>
      <w:r>
        <w:rPr/>
        <w:t>, </w:t>
      </w:r>
      <w:r>
        <w:rPr>
          <w:i/>
        </w:rPr>
        <w:t>Public Finance and Audit Regulation 2010</w:t>
      </w:r>
      <w:r>
        <w:rPr/>
        <w:t>, and other authoritative pronouncements of the Australian Accounting Standards Board</w:t>
      </w:r>
      <w:r>
        <w:rPr>
          <w:spacing w:val="7"/>
        </w:rPr>
        <w:t> </w:t>
      </w:r>
      <w:r>
        <w:rPr/>
        <w:t>(AASB).</w:t>
      </w:r>
    </w:p>
    <w:p>
      <w:pPr>
        <w:pStyle w:val="BodyText"/>
        <w:spacing w:before="138"/>
        <w:ind w:left="1070" w:right="116"/>
        <w:jc w:val="both"/>
      </w:pPr>
      <w:r>
        <w:rPr/>
        <w:t>These financial statements of the University of Western Sydney Foundation Trust comply with Australian Accounting Standards some of which contain requirements specific to not for profit entities that are inconsistent with International Financial Reporting Standards (IFRS) requirements.</w:t>
      </w:r>
    </w:p>
    <w:p>
      <w:pPr>
        <w:pStyle w:val="BodyText"/>
        <w:spacing w:before="138"/>
        <w:ind w:left="1070" w:right="116"/>
        <w:jc w:val="both"/>
      </w:pPr>
      <w:r>
        <w:rPr/>
        <w:t>Material accounting policies adopted in the preparation of these financial statements are presented below and have been consistently applied unless otherwise stated.</w:t>
      </w:r>
    </w:p>
    <w:p>
      <w:pPr>
        <w:pStyle w:val="BodyText"/>
        <w:spacing w:before="138"/>
        <w:ind w:left="1070" w:right="116"/>
        <w:jc w:val="both"/>
      </w:pPr>
      <w:r>
        <w:rPr/>
        <w:t>The financial statements have been prepared on an accruals basis and are based on historical costs, modified, where applicable, by the measurement at fair value of selected non-current assets,  financial  assets  and financial liabilities.</w:t>
      </w:r>
    </w:p>
    <w:p>
      <w:pPr>
        <w:pStyle w:val="BodyText"/>
        <w:spacing w:before="6"/>
        <w:rPr>
          <w:sz w:val="24"/>
        </w:rPr>
      </w:pPr>
    </w:p>
    <w:p>
      <w:pPr>
        <w:pStyle w:val="Heading9"/>
        <w:numPr>
          <w:ilvl w:val="0"/>
          <w:numId w:val="59"/>
        </w:numPr>
        <w:tabs>
          <w:tab w:pos="1071" w:val="left" w:leader="none"/>
        </w:tabs>
        <w:spacing w:line="240" w:lineRule="auto" w:before="0" w:after="0"/>
        <w:ind w:left="1070" w:right="0" w:hanging="566"/>
        <w:jc w:val="left"/>
      </w:pPr>
      <w:r>
        <w:rPr/>
        <w:t>Revenue recognition</w:t>
      </w:r>
    </w:p>
    <w:p>
      <w:pPr>
        <w:pStyle w:val="BodyText"/>
        <w:spacing w:before="138"/>
        <w:ind w:left="1070" w:right="117"/>
        <w:jc w:val="both"/>
      </w:pPr>
      <w:r>
        <w:rPr/>
        <w:t>The Trust recognises revenue when the amount of revenue can be reliably measured, it is probable that future economic benefits will flow to the entity and specific criteria have been met for each of the Trust's activities as described below. The Trust bases its estimates on historical results, taking into consideration the type of customer, the type of transaction and the specifics of each arrangement.</w:t>
      </w:r>
    </w:p>
    <w:p>
      <w:pPr>
        <w:pStyle w:val="BodyText"/>
        <w:spacing w:before="138"/>
        <w:ind w:left="1070"/>
        <w:jc w:val="both"/>
      </w:pPr>
      <w:r>
        <w:rPr/>
        <w:t>Revenue is recognised for the major business activities as follows:</w:t>
      </w:r>
    </w:p>
    <w:p>
      <w:pPr>
        <w:pStyle w:val="ListParagraph"/>
        <w:numPr>
          <w:ilvl w:val="1"/>
          <w:numId w:val="59"/>
        </w:numPr>
        <w:tabs>
          <w:tab w:pos="1467" w:val="left" w:leader="none"/>
        </w:tabs>
        <w:spacing w:line="207" w:lineRule="exact" w:before="138" w:after="0"/>
        <w:ind w:left="1466" w:right="0" w:hanging="396"/>
        <w:jc w:val="both"/>
        <w:rPr>
          <w:i/>
          <w:sz w:val="18"/>
        </w:rPr>
      </w:pPr>
      <w:r>
        <w:rPr>
          <w:i/>
          <w:sz w:val="18"/>
        </w:rPr>
        <w:t>Donations, Scholarships and</w:t>
      </w:r>
      <w:r>
        <w:rPr>
          <w:i/>
          <w:spacing w:val="-4"/>
          <w:sz w:val="18"/>
        </w:rPr>
        <w:t> </w:t>
      </w:r>
      <w:r>
        <w:rPr>
          <w:i/>
          <w:sz w:val="18"/>
        </w:rPr>
        <w:t>Prizes</w:t>
      </w:r>
    </w:p>
    <w:p>
      <w:pPr>
        <w:pStyle w:val="BodyText"/>
        <w:spacing w:line="207" w:lineRule="exact"/>
        <w:ind w:left="1070"/>
        <w:jc w:val="both"/>
      </w:pPr>
      <w:r>
        <w:rPr/>
        <w:t>Donations, scholarships and prizes are recognised when they are received.</w:t>
      </w:r>
    </w:p>
    <w:p>
      <w:pPr>
        <w:pStyle w:val="ListParagraph"/>
        <w:numPr>
          <w:ilvl w:val="1"/>
          <w:numId w:val="59"/>
        </w:numPr>
        <w:tabs>
          <w:tab w:pos="1467" w:val="left" w:leader="none"/>
        </w:tabs>
        <w:spacing w:line="207" w:lineRule="exact" w:before="138" w:after="0"/>
        <w:ind w:left="1466" w:right="0" w:hanging="396"/>
        <w:jc w:val="both"/>
        <w:rPr>
          <w:i/>
          <w:sz w:val="18"/>
        </w:rPr>
      </w:pPr>
      <w:r>
        <w:rPr>
          <w:i/>
          <w:sz w:val="18"/>
        </w:rPr>
        <w:t>Intvestment income</w:t>
      </w:r>
    </w:p>
    <w:p>
      <w:pPr>
        <w:pStyle w:val="BodyText"/>
        <w:spacing w:line="400" w:lineRule="auto"/>
        <w:ind w:left="1070" w:right="2376"/>
      </w:pPr>
      <w:r>
        <w:rPr/>
        <w:t>Investment income is recognised as it accrues using the effective interest method. All other material revenue is accounted for on an accrual basis.</w:t>
      </w:r>
    </w:p>
    <w:p>
      <w:pPr>
        <w:pStyle w:val="Heading9"/>
        <w:numPr>
          <w:ilvl w:val="0"/>
          <w:numId w:val="59"/>
        </w:numPr>
        <w:tabs>
          <w:tab w:pos="1071" w:val="left" w:leader="none"/>
        </w:tabs>
        <w:spacing w:line="240" w:lineRule="auto" w:before="148" w:after="0"/>
        <w:ind w:left="1070" w:right="0" w:hanging="566"/>
        <w:jc w:val="left"/>
      </w:pPr>
      <w:r>
        <w:rPr/>
        <w:t>Cash and cash</w:t>
      </w:r>
      <w:r>
        <w:rPr>
          <w:spacing w:val="-1"/>
        </w:rPr>
        <w:t> </w:t>
      </w:r>
      <w:r>
        <w:rPr/>
        <w:t>equivalents</w:t>
      </w:r>
    </w:p>
    <w:p>
      <w:pPr>
        <w:pStyle w:val="BodyText"/>
        <w:spacing w:before="138"/>
        <w:ind w:left="1070" w:right="116"/>
        <w:jc w:val="both"/>
      </w:pPr>
      <w:r>
        <w:rPr/>
        <w:t>Cash and cash equivalents includes cash on hand, deposits held at call with financial institutions, other short term, highly liquid investments with original maturities of three months or less that are readily convertible to known amounts of cash and which are subject to an insignficant risk of changes in value.</w:t>
      </w:r>
    </w:p>
    <w:p>
      <w:pPr>
        <w:pStyle w:val="BodyText"/>
        <w:spacing w:before="6"/>
        <w:rPr>
          <w:sz w:val="24"/>
        </w:rPr>
      </w:pPr>
    </w:p>
    <w:p>
      <w:pPr>
        <w:pStyle w:val="Heading9"/>
        <w:numPr>
          <w:ilvl w:val="0"/>
          <w:numId w:val="59"/>
        </w:numPr>
        <w:tabs>
          <w:tab w:pos="1071" w:val="left" w:leader="none"/>
        </w:tabs>
        <w:spacing w:line="240" w:lineRule="auto" w:before="0" w:after="0"/>
        <w:ind w:left="1070" w:right="0" w:hanging="566"/>
        <w:jc w:val="left"/>
      </w:pPr>
      <w:r>
        <w:rPr/>
        <w:t>Income tax</w:t>
      </w:r>
      <w:r>
        <w:rPr>
          <w:spacing w:val="1"/>
        </w:rPr>
        <w:t> </w:t>
      </w:r>
      <w:r>
        <w:rPr/>
        <w:t>exemption</w:t>
      </w:r>
    </w:p>
    <w:p>
      <w:pPr>
        <w:spacing w:before="138"/>
        <w:ind w:left="1139" w:right="0" w:firstLine="0"/>
        <w:jc w:val="both"/>
        <w:rPr>
          <w:sz w:val="18"/>
        </w:rPr>
      </w:pPr>
      <w:r>
        <w:rPr>
          <w:sz w:val="18"/>
        </w:rPr>
        <w:t>The Trust is exempt from the payment of tax by virtue of section 50 B of the </w:t>
      </w:r>
      <w:r>
        <w:rPr>
          <w:i/>
          <w:sz w:val="18"/>
        </w:rPr>
        <w:t>Income Tax Assessment Act 1997</w:t>
      </w:r>
      <w:r>
        <w:rPr>
          <w:sz w:val="18"/>
        </w:rPr>
        <w:t>.</w:t>
      </w:r>
    </w:p>
    <w:p>
      <w:pPr>
        <w:pStyle w:val="BodyText"/>
        <w:spacing w:before="6"/>
        <w:rPr>
          <w:sz w:val="24"/>
        </w:rPr>
      </w:pPr>
    </w:p>
    <w:p>
      <w:pPr>
        <w:pStyle w:val="Heading9"/>
        <w:numPr>
          <w:ilvl w:val="0"/>
          <w:numId w:val="59"/>
        </w:numPr>
        <w:tabs>
          <w:tab w:pos="1071" w:val="left" w:leader="none"/>
        </w:tabs>
        <w:spacing w:line="240" w:lineRule="auto" w:before="0" w:after="0"/>
        <w:ind w:left="1070" w:right="0" w:hanging="566"/>
        <w:jc w:val="left"/>
      </w:pPr>
      <w:r>
        <w:rPr/>
        <w:t>Trade</w:t>
      </w:r>
      <w:r>
        <w:rPr>
          <w:spacing w:val="-1"/>
        </w:rPr>
        <w:t> </w:t>
      </w:r>
      <w:r>
        <w:rPr/>
        <w:t>receivables</w:t>
      </w:r>
    </w:p>
    <w:p>
      <w:pPr>
        <w:pStyle w:val="BodyText"/>
        <w:spacing w:before="138"/>
        <w:ind w:left="1070" w:right="116"/>
        <w:jc w:val="both"/>
      </w:pPr>
      <w:r>
        <w:rPr/>
        <w:t>Trade receivables are recognised initially at fair value and subsequently measured at amortised cost using the effective interest method, less provision for impairment. Trade receivables are generally due for settlement  within 30 days. They are presented as current assets unless collection is not expected for more than 12 months after the reporting</w:t>
      </w:r>
      <w:r>
        <w:rPr>
          <w:spacing w:val="2"/>
        </w:rPr>
        <w:t> </w:t>
      </w:r>
      <w:r>
        <w:rPr/>
        <w:t>date.</w:t>
      </w:r>
    </w:p>
    <w:p>
      <w:pPr>
        <w:pStyle w:val="BodyText"/>
        <w:spacing w:before="138"/>
        <w:ind w:left="1070" w:right="116"/>
        <w:jc w:val="both"/>
      </w:pPr>
      <w:r>
        <w:rPr/>
        <w:t>Collectability of trade receivables is reviewed on an ongoing basis. Debts which are known to be uncollectible  are written off by reducing the carrying amount directly. An allowance account (provision for impairment of trade receivables) is used when there is objective evidence that the Trust will not be able to collect all amounts due according to the original terms of the receivables. Significant financial difficulties of the debtor, probability that  the debtor will enter bankruptcy or financial reorganisation, and default or delinquency in payments (more than 30 days overdue) are considered indicators that the trade receivable is impaired. The amount of the impairment allowance is the difference between the asset's carrying amount and the present value of estimated future cash flows, discounted at the original effective interest rate. Cash flows relating to short term receivables are not discounted if the effect of discounting is</w:t>
      </w:r>
      <w:r>
        <w:rPr>
          <w:spacing w:val="6"/>
        </w:rPr>
        <w:t> </w:t>
      </w:r>
      <w:r>
        <w:rPr/>
        <w:t>immaterial.</w:t>
      </w:r>
    </w:p>
    <w:p>
      <w:pPr>
        <w:spacing w:after="0"/>
        <w:jc w:val="both"/>
        <w:sectPr>
          <w:pgSz w:w="11910" w:h="16840"/>
          <w:pgMar w:header="1037" w:footer="526" w:top="1460" w:bottom="700" w:left="900" w:right="860"/>
        </w:sectPr>
      </w:pPr>
    </w:p>
    <w:p>
      <w:pPr>
        <w:pStyle w:val="BodyText"/>
        <w:spacing w:before="1"/>
        <w:rPr>
          <w:sz w:val="24"/>
        </w:rPr>
      </w:pPr>
    </w:p>
    <w:p>
      <w:pPr>
        <w:pStyle w:val="Heading3"/>
      </w:pPr>
      <w:r>
        <w:rPr/>
        <w:t>Notes to the financial statements</w:t>
      </w:r>
    </w:p>
    <w:p>
      <w:pPr>
        <w:pStyle w:val="Heading6"/>
        <w:spacing w:before="53"/>
      </w:pPr>
      <w:r>
        <w:rPr/>
        <w:t>For the Year Ended 31 December 2012</w:t>
      </w:r>
    </w:p>
    <w:p>
      <w:pPr>
        <w:pStyle w:val="BodyText"/>
        <w:rPr>
          <w:b/>
          <w:sz w:val="22"/>
        </w:rPr>
      </w:pPr>
    </w:p>
    <w:p>
      <w:pPr>
        <w:pStyle w:val="BodyText"/>
        <w:rPr>
          <w:b/>
          <w:sz w:val="22"/>
        </w:rPr>
      </w:pPr>
    </w:p>
    <w:p>
      <w:pPr>
        <w:pStyle w:val="Heading9"/>
        <w:tabs>
          <w:tab w:pos="503" w:val="left" w:leader="none"/>
        </w:tabs>
        <w:spacing w:before="161"/>
        <w:ind w:left="110" w:right="125"/>
      </w:pPr>
      <w:r>
        <w:rPr/>
        <w:t>1</w:t>
        <w:tab/>
        <w:t>Summary of Significant Accounting Policies</w:t>
      </w:r>
      <w:r>
        <w:rPr>
          <w:spacing w:val="-9"/>
        </w:rPr>
        <w:t> </w:t>
      </w:r>
      <w:r>
        <w:rPr/>
        <w:t>(continued)</w:t>
      </w:r>
    </w:p>
    <w:p>
      <w:pPr>
        <w:pStyle w:val="BodyText"/>
        <w:spacing w:before="11"/>
        <w:rPr>
          <w:b/>
          <w:sz w:val="24"/>
        </w:rPr>
      </w:pPr>
    </w:p>
    <w:p>
      <w:pPr>
        <w:pStyle w:val="ListParagraph"/>
        <w:numPr>
          <w:ilvl w:val="0"/>
          <w:numId w:val="60"/>
        </w:numPr>
        <w:tabs>
          <w:tab w:pos="1071" w:val="left" w:leader="none"/>
        </w:tabs>
        <w:spacing w:line="240" w:lineRule="auto" w:before="0" w:after="0"/>
        <w:ind w:left="1070" w:right="0" w:hanging="566"/>
        <w:jc w:val="left"/>
        <w:rPr>
          <w:b/>
          <w:sz w:val="18"/>
        </w:rPr>
      </w:pPr>
      <w:r>
        <w:rPr>
          <w:b/>
          <w:sz w:val="18"/>
        </w:rPr>
        <w:t>Trade receivables (continued)</w:t>
      </w:r>
    </w:p>
    <w:p>
      <w:pPr>
        <w:pStyle w:val="BodyText"/>
        <w:spacing w:before="146"/>
        <w:ind w:left="1070" w:right="116"/>
        <w:jc w:val="both"/>
      </w:pPr>
      <w:r>
        <w:rPr/>
        <w:t>The amount of the impairment loss is recognised in surplus/(deficit) within other expenses. When a trade receivable for which an impairment allowance had been recognised becomes uncollectible in a subsequent period, it is written off against the allowance account. Subsequent recoveries of amounts previously written off are credited against other expenses in surplus/(deficit).</w:t>
      </w:r>
    </w:p>
    <w:p>
      <w:pPr>
        <w:pStyle w:val="BodyText"/>
        <w:spacing w:before="11"/>
        <w:rPr>
          <w:sz w:val="24"/>
        </w:rPr>
      </w:pPr>
    </w:p>
    <w:p>
      <w:pPr>
        <w:pStyle w:val="Heading9"/>
        <w:numPr>
          <w:ilvl w:val="0"/>
          <w:numId w:val="60"/>
        </w:numPr>
        <w:tabs>
          <w:tab w:pos="1071" w:val="left" w:leader="none"/>
        </w:tabs>
        <w:spacing w:line="240" w:lineRule="auto" w:before="0" w:after="0"/>
        <w:ind w:left="1070" w:right="0" w:hanging="566"/>
        <w:jc w:val="left"/>
      </w:pPr>
      <w:r>
        <w:rPr/>
        <w:t>Other financial</w:t>
      </w:r>
      <w:r>
        <w:rPr>
          <w:spacing w:val="-1"/>
        </w:rPr>
        <w:t> </w:t>
      </w:r>
      <w:r>
        <w:rPr/>
        <w:t>assets</w:t>
      </w:r>
    </w:p>
    <w:p>
      <w:pPr>
        <w:pStyle w:val="BodyText"/>
        <w:spacing w:before="11"/>
        <w:rPr>
          <w:b/>
          <w:sz w:val="24"/>
        </w:rPr>
      </w:pPr>
    </w:p>
    <w:p>
      <w:pPr>
        <w:pStyle w:val="ListParagraph"/>
        <w:numPr>
          <w:ilvl w:val="1"/>
          <w:numId w:val="60"/>
        </w:numPr>
        <w:tabs>
          <w:tab w:pos="1637" w:val="left" w:leader="none"/>
        </w:tabs>
        <w:spacing w:line="240" w:lineRule="auto" w:before="0" w:after="0"/>
        <w:ind w:left="1636" w:right="0" w:hanging="566"/>
        <w:jc w:val="both"/>
        <w:rPr>
          <w:b/>
          <w:sz w:val="18"/>
        </w:rPr>
      </w:pPr>
      <w:r>
        <w:rPr>
          <w:b/>
          <w:sz w:val="18"/>
        </w:rPr>
        <w:t>Classification</w:t>
      </w:r>
    </w:p>
    <w:p>
      <w:pPr>
        <w:pStyle w:val="BodyText"/>
        <w:spacing w:before="146"/>
        <w:ind w:left="1070" w:right="116"/>
        <w:jc w:val="both"/>
      </w:pPr>
      <w:r>
        <w:rPr/>
        <w:t>The Trust classifies its other financials assets in the following categories: financial assets at fair value through profit/(loss), loans and receivables, held-to-maturity investments and available-for-sale financial assets. The classification depends on the purpose for which the investments were acquired. Management determines the classification of its investments at initial recognition.</w:t>
      </w:r>
    </w:p>
    <w:p>
      <w:pPr>
        <w:spacing w:line="207" w:lineRule="exact" w:before="146"/>
        <w:ind w:left="1070" w:right="0" w:firstLine="0"/>
        <w:jc w:val="both"/>
        <w:rPr>
          <w:i/>
          <w:sz w:val="18"/>
        </w:rPr>
      </w:pPr>
      <w:r>
        <w:rPr>
          <w:i/>
          <w:sz w:val="18"/>
        </w:rPr>
        <w:t>Financial assets at fair value through profit/(loss)</w:t>
      </w:r>
    </w:p>
    <w:p>
      <w:pPr>
        <w:pStyle w:val="BodyText"/>
        <w:ind w:left="1070" w:right="116"/>
        <w:jc w:val="both"/>
      </w:pPr>
      <w:r>
        <w:rPr/>
        <w:t>Financial assets at fair value through profit/(loss) are financial assets held for trading. A financial asset is classified in this category if acquired principally for the purpose of selling in the short term. Derivatives are classified as held for trading unless they are designated as hedges. Assets in this category are classified as current assets if they are expected to be settled within 12 months; otherwise they are classified as non current.</w:t>
      </w:r>
    </w:p>
    <w:p>
      <w:pPr>
        <w:spacing w:line="207" w:lineRule="exact" w:before="146"/>
        <w:ind w:left="1070" w:right="0" w:firstLine="0"/>
        <w:jc w:val="both"/>
        <w:rPr>
          <w:i/>
          <w:sz w:val="18"/>
        </w:rPr>
      </w:pPr>
      <w:r>
        <w:rPr>
          <w:i/>
          <w:sz w:val="18"/>
        </w:rPr>
        <w:t>Loans and receivables</w:t>
      </w:r>
    </w:p>
    <w:p>
      <w:pPr>
        <w:pStyle w:val="BodyText"/>
        <w:ind w:left="1070" w:right="116"/>
        <w:jc w:val="both"/>
      </w:pPr>
      <w:r>
        <w:rPr/>
        <w:t>Loans and receivables are non derivative financial assets with fixed or determinable payments that are not quoted in an active market. They are included in current assets, except for those with maturities greater than 12 months after the reporting period which are classified as non current assets.</w:t>
      </w:r>
    </w:p>
    <w:p>
      <w:pPr>
        <w:spacing w:line="207" w:lineRule="exact" w:before="146"/>
        <w:ind w:left="1070" w:right="0" w:firstLine="0"/>
        <w:jc w:val="both"/>
        <w:rPr>
          <w:i/>
          <w:sz w:val="18"/>
        </w:rPr>
      </w:pPr>
      <w:r>
        <w:rPr>
          <w:i/>
          <w:sz w:val="18"/>
        </w:rPr>
        <w:t>Available-for-sale financial assets</w:t>
      </w:r>
    </w:p>
    <w:p>
      <w:pPr>
        <w:pStyle w:val="BodyText"/>
        <w:ind w:left="1070" w:right="116"/>
        <w:jc w:val="both"/>
      </w:pPr>
      <w:r>
        <w:rPr/>
        <w:t>Available-for-sale financial assets, comprising principally marketable equity securities, are non derivatives that are either designated in this category or not classified in any of the other categories. They are included in non current assets unless the investment matures or management intends to dispose of the investment within 12 months of the end of the reporting period. Investments are designated as available-for-sale if they do not have fixed maturities and fixed or determinable payments and management intends to hold them for the medium to long term.</w:t>
      </w:r>
    </w:p>
    <w:p>
      <w:pPr>
        <w:pStyle w:val="BodyText"/>
        <w:spacing w:before="11"/>
        <w:rPr>
          <w:sz w:val="24"/>
        </w:rPr>
      </w:pPr>
    </w:p>
    <w:p>
      <w:pPr>
        <w:pStyle w:val="Heading9"/>
        <w:numPr>
          <w:ilvl w:val="1"/>
          <w:numId w:val="60"/>
        </w:numPr>
        <w:tabs>
          <w:tab w:pos="1637" w:val="left" w:leader="none"/>
        </w:tabs>
        <w:spacing w:line="240" w:lineRule="auto" w:before="0" w:after="0"/>
        <w:ind w:left="1636" w:right="0" w:hanging="566"/>
        <w:jc w:val="both"/>
      </w:pPr>
      <w:r>
        <w:rPr/>
        <w:t>Recognition and derecognition</w:t>
      </w:r>
    </w:p>
    <w:p>
      <w:pPr>
        <w:pStyle w:val="BodyText"/>
        <w:spacing w:before="146"/>
        <w:ind w:left="1070" w:right="116"/>
        <w:jc w:val="both"/>
      </w:pPr>
      <w:r>
        <w:rPr/>
        <w:t>Regular purchases and sales of financial assets are recognised on trade date, the date on which the Trust commits to purchase or sell the asset. Financial assets are derecognised when the rights to receive cash flows from the financial assets have expired or have been transferred and the Trust has transferred substantially all  the risks and rewards of</w:t>
      </w:r>
      <w:r>
        <w:rPr>
          <w:spacing w:val="-1"/>
        </w:rPr>
        <w:t> </w:t>
      </w:r>
      <w:r>
        <w:rPr/>
        <w:t>ownership.</w:t>
      </w:r>
    </w:p>
    <w:p>
      <w:pPr>
        <w:pStyle w:val="BodyText"/>
        <w:spacing w:before="11"/>
        <w:rPr>
          <w:sz w:val="24"/>
        </w:rPr>
      </w:pPr>
    </w:p>
    <w:p>
      <w:pPr>
        <w:pStyle w:val="BodyText"/>
        <w:ind w:left="1070" w:right="116"/>
        <w:jc w:val="both"/>
      </w:pPr>
      <w:r>
        <w:rPr/>
        <w:t>When securities classified as available-for-sale are sold, the accumulated fair value adjustments recognised in other comprehensive income are reclassified to the statement of comprehensive income as gains and losses from investment securities.</w:t>
      </w:r>
    </w:p>
    <w:p>
      <w:pPr>
        <w:pStyle w:val="BodyText"/>
        <w:spacing w:before="11"/>
        <w:rPr>
          <w:sz w:val="24"/>
        </w:rPr>
      </w:pPr>
    </w:p>
    <w:p>
      <w:pPr>
        <w:pStyle w:val="Heading9"/>
        <w:numPr>
          <w:ilvl w:val="1"/>
          <w:numId w:val="60"/>
        </w:numPr>
        <w:tabs>
          <w:tab w:pos="1637" w:val="left" w:leader="none"/>
        </w:tabs>
        <w:spacing w:line="240" w:lineRule="auto" w:before="0" w:after="0"/>
        <w:ind w:left="1636" w:right="0" w:hanging="566"/>
        <w:jc w:val="both"/>
      </w:pPr>
      <w:r>
        <w:rPr/>
        <w:t>Measurement</w:t>
      </w:r>
    </w:p>
    <w:p>
      <w:pPr>
        <w:pStyle w:val="BodyText"/>
        <w:spacing w:before="11"/>
        <w:rPr>
          <w:b/>
          <w:sz w:val="24"/>
        </w:rPr>
      </w:pPr>
    </w:p>
    <w:p>
      <w:pPr>
        <w:pStyle w:val="BodyText"/>
        <w:ind w:left="1070" w:right="115"/>
        <w:jc w:val="both"/>
      </w:pPr>
      <w:r>
        <w:rPr/>
        <w:t>At initial recognition, the Trust measures a financial asset at its fair value plus, in the case of a financial asset  not at fair value through profit/(loss), transaction costs that are directly attributable to the acquisition of the financial asset. Transaction costs of financial assets carried at fair value through profit/(loss) are expensed in   the statement of comprehensive</w:t>
      </w:r>
      <w:r>
        <w:rPr>
          <w:spacing w:val="3"/>
        </w:rPr>
        <w:t> </w:t>
      </w:r>
      <w:r>
        <w:rPr/>
        <w:t>income.</w:t>
      </w:r>
    </w:p>
    <w:p>
      <w:pPr>
        <w:pStyle w:val="BodyText"/>
        <w:spacing w:before="146"/>
        <w:ind w:left="1070" w:right="116"/>
        <w:jc w:val="both"/>
      </w:pPr>
      <w:r>
        <w:rPr/>
        <w:t>Loans and receivables and held-to-maturity investments are subsequently carried at amortised cost using the effective interest method.</w:t>
      </w:r>
    </w:p>
    <w:p>
      <w:pPr>
        <w:spacing w:after="0"/>
        <w:jc w:val="both"/>
        <w:sectPr>
          <w:pgSz w:w="11910" w:h="16840"/>
          <w:pgMar w:header="1037" w:footer="526" w:top="1460" w:bottom="700" w:left="900" w:right="860"/>
        </w:sectPr>
      </w:pPr>
    </w:p>
    <w:p>
      <w:pPr>
        <w:pStyle w:val="BodyText"/>
        <w:spacing w:before="1"/>
        <w:rPr>
          <w:sz w:val="24"/>
        </w:rPr>
      </w:pPr>
    </w:p>
    <w:p>
      <w:pPr>
        <w:pStyle w:val="Heading3"/>
      </w:pPr>
      <w:r>
        <w:rPr/>
        <w:t>Notes to the financial statements</w:t>
      </w:r>
    </w:p>
    <w:p>
      <w:pPr>
        <w:pStyle w:val="Heading6"/>
        <w:spacing w:before="53"/>
      </w:pPr>
      <w:r>
        <w:rPr/>
        <w:t>For the Year Ended 31 December 2012</w:t>
      </w:r>
    </w:p>
    <w:p>
      <w:pPr>
        <w:pStyle w:val="BodyText"/>
        <w:rPr>
          <w:b/>
          <w:sz w:val="22"/>
        </w:rPr>
      </w:pPr>
    </w:p>
    <w:p>
      <w:pPr>
        <w:pStyle w:val="BodyText"/>
        <w:rPr>
          <w:b/>
          <w:sz w:val="22"/>
        </w:rPr>
      </w:pPr>
    </w:p>
    <w:p>
      <w:pPr>
        <w:pStyle w:val="Heading9"/>
        <w:tabs>
          <w:tab w:pos="503" w:val="left" w:leader="none"/>
        </w:tabs>
        <w:spacing w:before="161"/>
        <w:ind w:left="110" w:right="125"/>
      </w:pPr>
      <w:r>
        <w:rPr/>
        <w:t>1</w:t>
        <w:tab/>
        <w:t>Summary of Significant Accounting Policies</w:t>
      </w:r>
      <w:r>
        <w:rPr>
          <w:spacing w:val="-9"/>
        </w:rPr>
        <w:t> </w:t>
      </w:r>
      <w:r>
        <w:rPr/>
        <w:t>(continued)</w:t>
      </w:r>
    </w:p>
    <w:p>
      <w:pPr>
        <w:pStyle w:val="BodyText"/>
        <w:spacing w:before="11"/>
        <w:rPr>
          <w:b/>
          <w:sz w:val="24"/>
        </w:rPr>
      </w:pPr>
    </w:p>
    <w:p>
      <w:pPr>
        <w:tabs>
          <w:tab w:pos="1070" w:val="left" w:leader="none"/>
        </w:tabs>
        <w:spacing w:before="0"/>
        <w:ind w:left="504" w:right="125" w:firstLine="0"/>
        <w:jc w:val="left"/>
        <w:rPr>
          <w:b/>
          <w:sz w:val="18"/>
        </w:rPr>
      </w:pPr>
      <w:r>
        <w:rPr>
          <w:b/>
          <w:sz w:val="18"/>
        </w:rPr>
        <w:t>(f)</w:t>
        <w:tab/>
        <w:t>Other financial assets (continued)</w:t>
      </w:r>
    </w:p>
    <w:p>
      <w:pPr>
        <w:pStyle w:val="BodyText"/>
        <w:spacing w:before="11"/>
        <w:rPr>
          <w:b/>
          <w:sz w:val="24"/>
        </w:rPr>
      </w:pPr>
    </w:p>
    <w:p>
      <w:pPr>
        <w:pStyle w:val="ListParagraph"/>
        <w:numPr>
          <w:ilvl w:val="0"/>
          <w:numId w:val="61"/>
        </w:numPr>
        <w:tabs>
          <w:tab w:pos="1637" w:val="left" w:leader="none"/>
        </w:tabs>
        <w:spacing w:line="240" w:lineRule="auto" w:before="0" w:after="0"/>
        <w:ind w:left="1636" w:right="0" w:hanging="566"/>
        <w:jc w:val="both"/>
        <w:rPr>
          <w:b/>
          <w:sz w:val="18"/>
        </w:rPr>
      </w:pPr>
      <w:r>
        <w:rPr>
          <w:b/>
          <w:sz w:val="18"/>
        </w:rPr>
        <w:t>Measurement</w:t>
      </w:r>
      <w:r>
        <w:rPr>
          <w:b/>
          <w:spacing w:val="-1"/>
          <w:sz w:val="18"/>
        </w:rPr>
        <w:t> </w:t>
      </w:r>
      <w:r>
        <w:rPr>
          <w:b/>
          <w:sz w:val="18"/>
        </w:rPr>
        <w:t>(continued)</w:t>
      </w:r>
    </w:p>
    <w:p>
      <w:pPr>
        <w:pStyle w:val="BodyText"/>
        <w:spacing w:before="146"/>
        <w:ind w:left="1070" w:right="114"/>
        <w:jc w:val="both"/>
      </w:pPr>
      <w:r>
        <w:rPr/>
        <w:t>Available-for-sale financial assets and financial assets at fair value through  profit/(loss)  are  subsequently carried at fair value. Gains or losses arising from changes in the fair value of the 'financial assets at fair value through profit/(loss)' category are presented in the statement of comprehensive income within other income or other expenses in the period in which they arise. Dividend income from financial assets at fair value through profit/(loss) is recognised in the statement of comprehensive income as part of other revenue from continuing operations when the Trust's right  to receive payments is established. Interest income from these financial  assets is included in the net</w:t>
      </w:r>
      <w:r>
        <w:rPr>
          <w:spacing w:val="5"/>
        </w:rPr>
        <w:t> </w:t>
      </w:r>
      <w:r>
        <w:rPr/>
        <w:t>gains/(losses).</w:t>
      </w:r>
    </w:p>
    <w:p>
      <w:pPr>
        <w:pStyle w:val="BodyText"/>
        <w:spacing w:before="146"/>
        <w:ind w:left="1070" w:right="116"/>
        <w:jc w:val="both"/>
      </w:pPr>
      <w:r>
        <w:rPr/>
        <w:t>Changes in the fair value of other monetary and non monetary securities classified as available-for-sale are recognised in other comprehensive income.</w:t>
      </w:r>
    </w:p>
    <w:p>
      <w:pPr>
        <w:pStyle w:val="BodyText"/>
        <w:spacing w:before="146"/>
        <w:ind w:left="1070"/>
        <w:jc w:val="both"/>
      </w:pPr>
      <w:r>
        <w:rPr/>
        <w:t>Details on how the fair value of financial instruments is determined are disclosed in note 2.</w:t>
      </w:r>
    </w:p>
    <w:p>
      <w:pPr>
        <w:pStyle w:val="BodyText"/>
        <w:spacing w:before="11"/>
        <w:rPr>
          <w:sz w:val="24"/>
        </w:rPr>
      </w:pPr>
    </w:p>
    <w:p>
      <w:pPr>
        <w:pStyle w:val="Heading9"/>
        <w:numPr>
          <w:ilvl w:val="0"/>
          <w:numId w:val="61"/>
        </w:numPr>
        <w:tabs>
          <w:tab w:pos="1637" w:val="left" w:leader="none"/>
        </w:tabs>
        <w:spacing w:line="240" w:lineRule="auto" w:before="0" w:after="0"/>
        <w:ind w:left="1636" w:right="0" w:hanging="566"/>
        <w:jc w:val="both"/>
      </w:pPr>
      <w:r>
        <w:rPr/>
        <w:t>Fair value</w:t>
      </w:r>
    </w:p>
    <w:p>
      <w:pPr>
        <w:pStyle w:val="BodyText"/>
        <w:spacing w:before="146"/>
        <w:ind w:left="1070" w:right="115"/>
        <w:jc w:val="both"/>
      </w:pPr>
      <w:r>
        <w:rPr/>
        <w:t>The fair values of quoted investments are based on current bid prices. If the market for a financial asset is not active (and for unlisted securities), the Trust establishes fair value by using valuation techniques. These include the use of recent arm's length transactions, reference to other instruments that are substantially the same, discounted cash flow analysis, and option pricing models making maximum use of market inputs and relying as little as possible on entity specific inputs.</w:t>
      </w:r>
    </w:p>
    <w:p>
      <w:pPr>
        <w:pStyle w:val="BodyText"/>
        <w:spacing w:before="11"/>
        <w:rPr>
          <w:sz w:val="24"/>
        </w:rPr>
      </w:pPr>
    </w:p>
    <w:p>
      <w:pPr>
        <w:pStyle w:val="Heading9"/>
        <w:numPr>
          <w:ilvl w:val="0"/>
          <w:numId w:val="61"/>
        </w:numPr>
        <w:tabs>
          <w:tab w:pos="1637" w:val="left" w:leader="none"/>
        </w:tabs>
        <w:spacing w:line="240" w:lineRule="auto" w:before="0" w:after="0"/>
        <w:ind w:left="1636" w:right="0" w:hanging="566"/>
        <w:jc w:val="both"/>
      </w:pPr>
      <w:r>
        <w:rPr/>
        <w:t>Impairment</w:t>
      </w:r>
    </w:p>
    <w:p>
      <w:pPr>
        <w:pStyle w:val="BodyText"/>
        <w:spacing w:before="146"/>
        <w:ind w:left="1070" w:right="116"/>
        <w:jc w:val="both"/>
      </w:pPr>
      <w:r>
        <w:rPr/>
        <w:t>The Trust assesses  at the end of each reporting period whether there is objective evidence that a financial  asset or group of financial assets is impaired. A financial asset or a group of financial assets is impaired and impairment losses are incurred only if there is objective evidence of impairment as a result of one or more  events that occurred after the initial recognition of the asset (a ‘loss event’) and that loss event (or events) has  an impact on the estimated future cash flows of the financial asset or group of financial assets that can be reliably estimated. In the case of equity investments classified as available-for-sale, a significant or prolonged decline in the fair value of the security below its cost is considered an indicator that the assets are</w:t>
      </w:r>
      <w:r>
        <w:rPr>
          <w:spacing w:val="17"/>
        </w:rPr>
        <w:t> </w:t>
      </w:r>
      <w:r>
        <w:rPr/>
        <w:t>impaired.</w:t>
      </w:r>
    </w:p>
    <w:p>
      <w:pPr>
        <w:pStyle w:val="BodyText"/>
        <w:spacing w:before="146"/>
        <w:ind w:left="1070" w:right="116"/>
        <w:jc w:val="both"/>
      </w:pPr>
      <w:r>
        <w:rPr/>
        <w:t>If there is evidence of impairment for any of the Trust's financial assets carried at amortised cost, the loss is measured as the difference between the asset's carrying amount and the present value of estimated future   cash flows, excluding future credit losses that have not been incurred. The cash flows are discounted at the financial asset's original effective interest rate. The loss is recognised in the statement of comprehensive income.</w:t>
      </w:r>
    </w:p>
    <w:p>
      <w:pPr>
        <w:pStyle w:val="BodyText"/>
        <w:spacing w:before="138"/>
        <w:ind w:left="1070" w:right="114"/>
        <w:jc w:val="both"/>
      </w:pPr>
      <w:r>
        <w:rPr/>
        <w:t>If a loan or held-to-maturity investment has a variable interest rate, the discount rate for measuring any impairment loss is the current effective interest rate determined under the contract. As a practical expedient, the Trust may measure impairment on the basis of an instrument’s fair value using an observable market price.</w:t>
      </w:r>
    </w:p>
    <w:p>
      <w:pPr>
        <w:pStyle w:val="BodyText"/>
        <w:spacing w:before="146"/>
        <w:ind w:left="1070" w:right="117"/>
        <w:jc w:val="both"/>
      </w:pPr>
      <w:r>
        <w:rPr/>
        <w:t>If, in a subsequent period, the amount of the impairment loss decreases and the decrease can be related objectively to an event occurring after the impairment was recognised (such as an improvement in the debtor’s credit rating), the reversal of the previously recognised impairment loss is recognised in the statement of comprehensive income.</w:t>
      </w:r>
    </w:p>
    <w:p>
      <w:pPr>
        <w:pStyle w:val="BodyText"/>
        <w:spacing w:before="146"/>
        <w:ind w:left="1070"/>
        <w:jc w:val="both"/>
      </w:pPr>
      <w:r>
        <w:rPr/>
        <w:t>Impairment testing of trade receivables is described in note 1(e).</w:t>
      </w:r>
    </w:p>
    <w:p>
      <w:pPr>
        <w:spacing w:line="207" w:lineRule="exact" w:before="146"/>
        <w:ind w:left="1070" w:right="0" w:firstLine="0"/>
        <w:jc w:val="both"/>
        <w:rPr>
          <w:i/>
          <w:sz w:val="18"/>
        </w:rPr>
      </w:pPr>
      <w:r>
        <w:rPr>
          <w:i/>
          <w:sz w:val="18"/>
        </w:rPr>
        <w:t>Assets classified as available-for-sale</w:t>
      </w:r>
    </w:p>
    <w:p>
      <w:pPr>
        <w:pStyle w:val="BodyText"/>
        <w:ind w:left="1070" w:right="114"/>
        <w:jc w:val="both"/>
      </w:pPr>
      <w:r>
        <w:rPr/>
        <w:t>If there is objective evidence of impairment for available-for-sale financial assets, the cumulative loss –  measured as the difference between the acquisition cost and the current fair value, less any impairment loss on that financial asset previously recognised in the statement of comprehensive income is removed from equity   and recognised in the statement of comprehensive</w:t>
      </w:r>
      <w:r>
        <w:rPr>
          <w:spacing w:val="6"/>
        </w:rPr>
        <w:t> </w:t>
      </w:r>
      <w:r>
        <w:rPr/>
        <w:t>income.</w:t>
      </w:r>
    </w:p>
    <w:p>
      <w:pPr>
        <w:pStyle w:val="BodyText"/>
        <w:spacing w:before="146"/>
        <w:ind w:left="1070" w:right="116"/>
        <w:jc w:val="both"/>
      </w:pPr>
      <w:r>
        <w:rPr/>
        <w:t>Impairment losses on equity instruments that were recognised in the statement of comprehensive income are  not reversed through the statement of comprehensive income in a subsequent</w:t>
      </w:r>
      <w:r>
        <w:rPr>
          <w:spacing w:val="10"/>
        </w:rPr>
        <w:t> </w:t>
      </w:r>
      <w:r>
        <w:rPr/>
        <w:t>period.</w:t>
      </w:r>
    </w:p>
    <w:p>
      <w:pPr>
        <w:spacing w:after="0"/>
        <w:jc w:val="both"/>
        <w:sectPr>
          <w:pgSz w:w="11910" w:h="16840"/>
          <w:pgMar w:header="1037" w:footer="526" w:top="1460" w:bottom="700" w:left="900" w:right="860"/>
        </w:sectPr>
      </w:pPr>
    </w:p>
    <w:p>
      <w:pPr>
        <w:pStyle w:val="BodyText"/>
        <w:spacing w:before="1"/>
        <w:rPr>
          <w:sz w:val="24"/>
        </w:rPr>
      </w:pPr>
    </w:p>
    <w:p>
      <w:pPr>
        <w:pStyle w:val="Heading3"/>
      </w:pPr>
      <w:r>
        <w:rPr/>
        <w:t>Notes to the financial statements</w:t>
      </w:r>
    </w:p>
    <w:p>
      <w:pPr>
        <w:pStyle w:val="Heading6"/>
        <w:spacing w:before="53"/>
      </w:pPr>
      <w:r>
        <w:rPr/>
        <w:t>For the Year Ended 31 December 2012</w:t>
      </w:r>
    </w:p>
    <w:p>
      <w:pPr>
        <w:pStyle w:val="BodyText"/>
        <w:rPr>
          <w:b/>
          <w:sz w:val="22"/>
        </w:rPr>
      </w:pPr>
    </w:p>
    <w:p>
      <w:pPr>
        <w:pStyle w:val="BodyText"/>
        <w:rPr>
          <w:b/>
          <w:sz w:val="22"/>
        </w:rPr>
      </w:pPr>
    </w:p>
    <w:p>
      <w:pPr>
        <w:pStyle w:val="Heading9"/>
        <w:tabs>
          <w:tab w:pos="503" w:val="left" w:leader="none"/>
        </w:tabs>
        <w:spacing w:before="161"/>
        <w:ind w:left="110" w:right="125"/>
      </w:pPr>
      <w:r>
        <w:rPr/>
        <w:t>1</w:t>
        <w:tab/>
        <w:t>Summary of Significant Accounting Policies</w:t>
      </w:r>
      <w:r>
        <w:rPr>
          <w:spacing w:val="-9"/>
        </w:rPr>
        <w:t> </w:t>
      </w:r>
      <w:r>
        <w:rPr/>
        <w:t>(continued)</w:t>
      </w:r>
    </w:p>
    <w:p>
      <w:pPr>
        <w:pStyle w:val="BodyText"/>
        <w:spacing w:before="11"/>
        <w:rPr>
          <w:b/>
          <w:sz w:val="24"/>
        </w:rPr>
      </w:pPr>
    </w:p>
    <w:p>
      <w:pPr>
        <w:pStyle w:val="ListParagraph"/>
        <w:numPr>
          <w:ilvl w:val="0"/>
          <w:numId w:val="62"/>
        </w:numPr>
        <w:tabs>
          <w:tab w:pos="1071" w:val="left" w:leader="none"/>
        </w:tabs>
        <w:spacing w:line="240" w:lineRule="auto" w:before="0" w:after="0"/>
        <w:ind w:left="1070" w:right="0" w:hanging="566"/>
        <w:jc w:val="left"/>
        <w:rPr>
          <w:b/>
          <w:sz w:val="18"/>
        </w:rPr>
      </w:pPr>
      <w:r>
        <w:rPr>
          <w:b/>
          <w:sz w:val="18"/>
        </w:rPr>
        <w:t>Other financial assets (continued)</w:t>
      </w:r>
    </w:p>
    <w:p>
      <w:pPr>
        <w:pStyle w:val="BodyText"/>
        <w:spacing w:before="11"/>
        <w:rPr>
          <w:b/>
          <w:sz w:val="24"/>
        </w:rPr>
      </w:pPr>
    </w:p>
    <w:p>
      <w:pPr>
        <w:spacing w:before="0"/>
        <w:ind w:left="1070" w:right="0" w:firstLine="0"/>
        <w:jc w:val="both"/>
        <w:rPr>
          <w:b/>
          <w:sz w:val="18"/>
        </w:rPr>
      </w:pPr>
      <w:r>
        <w:rPr>
          <w:b/>
          <w:sz w:val="18"/>
        </w:rPr>
        <w:t>(v)       Impairment (continued)</w:t>
      </w:r>
    </w:p>
    <w:p>
      <w:pPr>
        <w:pStyle w:val="BodyText"/>
        <w:spacing w:before="146"/>
        <w:ind w:left="1070" w:right="116"/>
        <w:jc w:val="both"/>
      </w:pPr>
      <w:r>
        <w:rPr/>
        <w:t>If the fair value of a debt instrument classified as available-for-sale increases in a subsequent period and the increase can be objectively related to an event occurring after the impairment loss was recognised in the statement of comprehensive income, the impairment loss is reversed through the statement of comprehensive income.</w:t>
      </w:r>
    </w:p>
    <w:p>
      <w:pPr>
        <w:pStyle w:val="BodyText"/>
        <w:spacing w:before="11"/>
        <w:rPr>
          <w:sz w:val="24"/>
        </w:rPr>
      </w:pPr>
    </w:p>
    <w:p>
      <w:pPr>
        <w:pStyle w:val="Heading9"/>
        <w:numPr>
          <w:ilvl w:val="0"/>
          <w:numId w:val="62"/>
        </w:numPr>
        <w:tabs>
          <w:tab w:pos="1071" w:val="left" w:leader="none"/>
        </w:tabs>
        <w:spacing w:line="240" w:lineRule="auto" w:before="0" w:after="0"/>
        <w:ind w:left="1070" w:right="0" w:hanging="566"/>
        <w:jc w:val="left"/>
      </w:pPr>
      <w:r>
        <w:rPr/>
        <w:t>Fair value estimation</w:t>
      </w:r>
    </w:p>
    <w:p>
      <w:pPr>
        <w:pStyle w:val="BodyText"/>
        <w:spacing w:before="146"/>
        <w:ind w:left="1070" w:right="115"/>
        <w:jc w:val="both"/>
      </w:pPr>
      <w:r>
        <w:rPr/>
        <w:t>The fair value of financial assets and financial liabilities must be estimated for recognition and measurement or for disclosure purposes.</w:t>
      </w:r>
    </w:p>
    <w:p>
      <w:pPr>
        <w:pStyle w:val="BodyText"/>
        <w:spacing w:before="146"/>
        <w:ind w:left="1070" w:right="115"/>
        <w:jc w:val="both"/>
      </w:pPr>
      <w:r>
        <w:rPr/>
        <w:t>The fair value of financial instruments that are not traded in an active market (for example, over the counter derivatives) is determined using valuation techniques. The Trust uses a variety of methods and makes assumptions that are based on market conditions existing at each balance date. Quoted market prices or dealer quotes for similar instruments are used for long term debt instruments held. ther techniques, such as estimated discounted cash flows, are used to determine fair value for the remaining financial instruments. The fair value of interest rate swaps is calculated as the present value of the estimated future cash flows. The fair value of  forward exchange contracts is determined using forward exchange market rates at the statement of financial position date.</w:t>
      </w:r>
    </w:p>
    <w:p>
      <w:pPr>
        <w:pStyle w:val="BodyText"/>
        <w:spacing w:before="146"/>
        <w:ind w:left="1070" w:right="116"/>
        <w:jc w:val="both"/>
      </w:pPr>
      <w:r>
        <w:rPr/>
        <w:t>The carrying value less impairment provision of trade receivables and payables are assumed to approximate their fair values due to their short term nature. The fair value of financial liabilities for disclosure purposes is estimated by discounting the future contractual cash flows at the current market interest rate that is available to the Trust for similar financial instruments.</w:t>
      </w:r>
    </w:p>
    <w:p>
      <w:pPr>
        <w:pStyle w:val="BodyText"/>
        <w:spacing w:before="11"/>
        <w:rPr>
          <w:sz w:val="24"/>
        </w:rPr>
      </w:pPr>
    </w:p>
    <w:p>
      <w:pPr>
        <w:pStyle w:val="Heading9"/>
        <w:numPr>
          <w:ilvl w:val="0"/>
          <w:numId w:val="62"/>
        </w:numPr>
        <w:tabs>
          <w:tab w:pos="1071" w:val="left" w:leader="none"/>
        </w:tabs>
        <w:spacing w:line="240" w:lineRule="auto" w:before="0" w:after="0"/>
        <w:ind w:left="1070" w:right="0" w:hanging="566"/>
        <w:jc w:val="left"/>
      </w:pPr>
      <w:r>
        <w:rPr/>
        <w:t>Goods and Services Tax (GST)</w:t>
      </w:r>
    </w:p>
    <w:p>
      <w:pPr>
        <w:pStyle w:val="BodyText"/>
        <w:spacing w:before="146"/>
        <w:ind w:left="1070" w:right="117"/>
        <w:jc w:val="both"/>
      </w:pPr>
      <w:r>
        <w:rPr/>
        <w:t>Revenues, expenses and assets are recognised net of the amount of associated GST, unless the GST incurred is not recoverable from the taxation authority. In this case it is recognised as part of the cost of acquisition of    the asset or as part of the</w:t>
      </w:r>
      <w:r>
        <w:rPr>
          <w:spacing w:val="6"/>
        </w:rPr>
        <w:t> </w:t>
      </w:r>
      <w:r>
        <w:rPr/>
        <w:t>expense.</w:t>
      </w:r>
    </w:p>
    <w:p>
      <w:pPr>
        <w:pStyle w:val="BodyText"/>
        <w:spacing w:before="146"/>
        <w:ind w:left="1070" w:right="115"/>
        <w:jc w:val="both"/>
      </w:pPr>
      <w:r>
        <w:rPr/>
        <w:t>Receivables and payables are stated inclusive of the amount of GST receivable or payable. The net amount of GST recoverable from, or payable to, the taxation authority is included with other receivables or payables in the statement of financial position.</w:t>
      </w:r>
    </w:p>
    <w:p>
      <w:pPr>
        <w:pStyle w:val="BodyText"/>
        <w:spacing w:before="146"/>
        <w:ind w:left="1070" w:right="115"/>
        <w:jc w:val="both"/>
      </w:pPr>
      <w:r>
        <w:rPr/>
        <w:t>Cash flows are presented on a gross basis. The GST components of cash flows arising from investing or financing activities which are recoverable from, or payable to the taxation authority, are presented as operating cash flows.</w:t>
      </w:r>
    </w:p>
    <w:p>
      <w:pPr>
        <w:pStyle w:val="BodyText"/>
        <w:spacing w:before="11"/>
        <w:rPr>
          <w:sz w:val="24"/>
        </w:rPr>
      </w:pPr>
    </w:p>
    <w:p>
      <w:pPr>
        <w:pStyle w:val="Heading9"/>
        <w:numPr>
          <w:ilvl w:val="0"/>
          <w:numId w:val="62"/>
        </w:numPr>
        <w:tabs>
          <w:tab w:pos="1071" w:val="left" w:leader="none"/>
        </w:tabs>
        <w:spacing w:line="240" w:lineRule="auto" w:before="0" w:after="0"/>
        <w:ind w:left="1070" w:right="0" w:hanging="566"/>
        <w:jc w:val="left"/>
      </w:pPr>
      <w:r>
        <w:rPr/>
        <w:t>Comparative</w:t>
      </w:r>
      <w:r>
        <w:rPr>
          <w:spacing w:val="-1"/>
        </w:rPr>
        <w:t> </w:t>
      </w:r>
      <w:r>
        <w:rPr/>
        <w:t>amounts</w:t>
      </w:r>
    </w:p>
    <w:p>
      <w:pPr>
        <w:pStyle w:val="BodyText"/>
        <w:spacing w:before="146"/>
        <w:ind w:left="1070" w:right="116"/>
        <w:jc w:val="both"/>
      </w:pPr>
      <w:r>
        <w:rPr/>
        <w:t>Comparative figures have been reclassified and repositioned in the financial statements, where necessary, to conform with the basis of preparation and classification used in the current year.</w:t>
      </w:r>
    </w:p>
    <w:p>
      <w:pPr>
        <w:pStyle w:val="BodyText"/>
        <w:spacing w:before="11"/>
        <w:rPr>
          <w:sz w:val="24"/>
        </w:rPr>
      </w:pPr>
    </w:p>
    <w:p>
      <w:pPr>
        <w:pStyle w:val="Heading9"/>
        <w:numPr>
          <w:ilvl w:val="0"/>
          <w:numId w:val="62"/>
        </w:numPr>
        <w:tabs>
          <w:tab w:pos="1071" w:val="left" w:leader="none"/>
        </w:tabs>
        <w:spacing w:line="240" w:lineRule="auto" w:before="0" w:after="0"/>
        <w:ind w:left="1070" w:right="0" w:hanging="566"/>
        <w:jc w:val="left"/>
      </w:pPr>
      <w:r>
        <w:rPr/>
        <w:t>New accounting standards and interpretations</w:t>
      </w:r>
    </w:p>
    <w:p>
      <w:pPr>
        <w:pStyle w:val="BodyText"/>
        <w:spacing w:before="146"/>
        <w:ind w:left="1070" w:right="116"/>
        <w:jc w:val="both"/>
      </w:pPr>
      <w:r>
        <w:rPr/>
        <w:t>Certain new accounting standards and interpretations have been published that are not mandatory for 31 December 2012 reporting periods and have not yet been applied in the financial report. The Trust's assessment of the impact of these new standards and interpretations is that they will not materially affect any of the amounts recognised in the financial statements or significantly impact the disclosures in relation to the Trust.</w:t>
      </w:r>
    </w:p>
    <w:p>
      <w:pPr>
        <w:spacing w:after="0"/>
        <w:jc w:val="both"/>
        <w:sectPr>
          <w:pgSz w:w="11910" w:h="16840"/>
          <w:pgMar w:header="1037" w:footer="526" w:top="1460" w:bottom="700" w:left="900" w:right="860"/>
        </w:sectPr>
      </w:pPr>
    </w:p>
    <w:p>
      <w:pPr>
        <w:pStyle w:val="BodyText"/>
        <w:spacing w:before="1"/>
        <w:rPr>
          <w:sz w:val="24"/>
        </w:rPr>
      </w:pPr>
    </w:p>
    <w:p>
      <w:pPr>
        <w:pStyle w:val="Heading3"/>
      </w:pPr>
      <w:r>
        <w:rPr/>
        <w:t>Notes to the financial statements</w:t>
      </w:r>
    </w:p>
    <w:p>
      <w:pPr>
        <w:pStyle w:val="Heading6"/>
        <w:spacing w:before="53"/>
      </w:pPr>
      <w:r>
        <w:rPr/>
        <w:t>For the Year Ended 31 December 2012</w:t>
      </w:r>
    </w:p>
    <w:p>
      <w:pPr>
        <w:pStyle w:val="BodyText"/>
        <w:rPr>
          <w:b/>
          <w:sz w:val="22"/>
        </w:rPr>
      </w:pPr>
    </w:p>
    <w:p>
      <w:pPr>
        <w:pStyle w:val="BodyText"/>
        <w:rPr>
          <w:b/>
          <w:sz w:val="22"/>
        </w:rPr>
      </w:pPr>
    </w:p>
    <w:p>
      <w:pPr>
        <w:pStyle w:val="Heading9"/>
        <w:numPr>
          <w:ilvl w:val="0"/>
          <w:numId w:val="63"/>
        </w:numPr>
        <w:tabs>
          <w:tab w:pos="504" w:val="left" w:leader="none"/>
        </w:tabs>
        <w:spacing w:line="240" w:lineRule="auto" w:before="161" w:after="0"/>
        <w:ind w:left="504" w:right="0" w:hanging="394"/>
        <w:jc w:val="left"/>
      </w:pPr>
      <w:r>
        <w:rPr/>
        <w:t>Summary of Significant Accounting Policies</w:t>
      </w:r>
      <w:r>
        <w:rPr>
          <w:spacing w:val="-9"/>
        </w:rPr>
        <w:t> </w:t>
      </w:r>
      <w:r>
        <w:rPr/>
        <w:t>(continued)</w:t>
      </w:r>
    </w:p>
    <w:p>
      <w:pPr>
        <w:pStyle w:val="BodyText"/>
        <w:spacing w:before="11"/>
        <w:rPr>
          <w:b/>
          <w:sz w:val="24"/>
        </w:rPr>
      </w:pPr>
    </w:p>
    <w:p>
      <w:pPr>
        <w:pStyle w:val="ListParagraph"/>
        <w:numPr>
          <w:ilvl w:val="0"/>
          <w:numId w:val="62"/>
        </w:numPr>
        <w:tabs>
          <w:tab w:pos="1071" w:val="left" w:leader="none"/>
        </w:tabs>
        <w:spacing w:line="240" w:lineRule="auto" w:before="0" w:after="0"/>
        <w:ind w:left="1070" w:right="0" w:hanging="566"/>
        <w:jc w:val="both"/>
        <w:rPr>
          <w:b/>
          <w:sz w:val="18"/>
        </w:rPr>
      </w:pPr>
      <w:r>
        <w:rPr>
          <w:b/>
          <w:sz w:val="18"/>
        </w:rPr>
        <w:t>Critical accounting estimates and</w:t>
      </w:r>
      <w:r>
        <w:rPr>
          <w:b/>
          <w:spacing w:val="-1"/>
          <w:sz w:val="18"/>
        </w:rPr>
        <w:t> </w:t>
      </w:r>
      <w:r>
        <w:rPr>
          <w:b/>
          <w:sz w:val="18"/>
        </w:rPr>
        <w:t>judgments</w:t>
      </w:r>
    </w:p>
    <w:p>
      <w:pPr>
        <w:pStyle w:val="BodyText"/>
        <w:spacing w:before="146"/>
        <w:ind w:left="1070" w:right="116"/>
        <w:jc w:val="both"/>
      </w:pPr>
      <w:r>
        <w:rPr/>
        <w:t>The preparation of financial statements requires the use of certain critical accounting estimates. It also requires management to exercise its judgement in the process of applying the Trust's accounting policies. Estimates and judgements are continually evaluated and are based on historic experience and other factors, including expectations of future events that may have a financial impact on the Trust and that are believed to be reasonable under the circumstances.</w:t>
      </w:r>
    </w:p>
    <w:p>
      <w:pPr>
        <w:pStyle w:val="BodyText"/>
        <w:spacing w:before="146"/>
        <w:ind w:left="1070" w:right="116"/>
        <w:jc w:val="both"/>
      </w:pPr>
      <w:r>
        <w:rPr/>
        <w:t>There are no areas which involve a high degree of judgement or complexity or where assumptions  and estimates are significant to the financial statements of the University of Western Sydney Foundation Trust.</w:t>
      </w:r>
    </w:p>
    <w:p>
      <w:pPr>
        <w:pStyle w:val="BodyText"/>
        <w:spacing w:before="11"/>
        <w:rPr>
          <w:sz w:val="24"/>
        </w:rPr>
      </w:pPr>
    </w:p>
    <w:p>
      <w:pPr>
        <w:pStyle w:val="Heading9"/>
        <w:numPr>
          <w:ilvl w:val="0"/>
          <w:numId w:val="63"/>
        </w:numPr>
        <w:tabs>
          <w:tab w:pos="504" w:val="left" w:leader="none"/>
        </w:tabs>
        <w:spacing w:line="240" w:lineRule="auto" w:before="0" w:after="0"/>
        <w:ind w:left="504" w:right="0" w:hanging="394"/>
        <w:jc w:val="left"/>
      </w:pPr>
      <w:r>
        <w:rPr/>
        <w:t>Financial Risk</w:t>
      </w:r>
      <w:r>
        <w:rPr>
          <w:spacing w:val="2"/>
        </w:rPr>
        <w:t> </w:t>
      </w:r>
      <w:r>
        <w:rPr/>
        <w:t>Management</w:t>
      </w:r>
    </w:p>
    <w:p>
      <w:pPr>
        <w:pStyle w:val="BodyText"/>
        <w:spacing w:before="146"/>
        <w:ind w:left="503" w:right="116"/>
        <w:jc w:val="both"/>
      </w:pPr>
      <w:r>
        <w:rPr/>
        <w:t>The main risks the University of Western Sydney Foundation Trust is exposed to through its financial instruments are credit risk, liquidity risk and market risk (interest rate risk). The Trust's overall risk management program focuses on   the unpredictability of financial markets and seeks to minimise potential adverse effects on the financial performance    of the Trust. The Trust uses different methods to measure different types of risk to which it is exposed. These methods include sensitivity analysis in the case of interest rate and ageing analysis for credit</w:t>
      </w:r>
      <w:r>
        <w:rPr>
          <w:spacing w:val="12"/>
        </w:rPr>
        <w:t> </w:t>
      </w:r>
      <w:r>
        <w:rPr/>
        <w:t>risk.</w:t>
      </w:r>
    </w:p>
    <w:p>
      <w:pPr>
        <w:pStyle w:val="BodyText"/>
        <w:spacing w:before="146"/>
        <w:ind w:left="503" w:right="116"/>
        <w:jc w:val="both"/>
      </w:pPr>
      <w:r>
        <w:rPr/>
        <w:t>The totals for each category of financial instruments, measured in accordance with AASB 139 as detailed in the accounting policies to these financial statements, are as follows:</w:t>
      </w:r>
    </w:p>
    <w:p>
      <w:pPr>
        <w:spacing w:after="0"/>
        <w:jc w:val="both"/>
        <w:sectPr>
          <w:pgSz w:w="11910" w:h="16840"/>
          <w:pgMar w:header="1037" w:footer="526" w:top="1460" w:bottom="700" w:left="900" w:right="860"/>
        </w:sectPr>
      </w:pPr>
    </w:p>
    <w:p>
      <w:pPr>
        <w:pStyle w:val="BodyText"/>
      </w:pPr>
    </w:p>
    <w:p>
      <w:pPr>
        <w:pStyle w:val="BodyText"/>
        <w:spacing w:before="9"/>
        <w:rPr>
          <w:sz w:val="17"/>
        </w:rPr>
      </w:pPr>
    </w:p>
    <w:p>
      <w:pPr>
        <w:pStyle w:val="Heading9"/>
        <w:ind w:left="504" w:right="-15"/>
      </w:pPr>
      <w:r>
        <w:rPr/>
        <w:t>Financial Assets</w:t>
      </w:r>
    </w:p>
    <w:p>
      <w:pPr>
        <w:spacing w:line="206" w:lineRule="exact" w:before="0"/>
        <w:ind w:left="503" w:right="0" w:firstLine="0"/>
        <w:jc w:val="center"/>
        <w:rPr>
          <w:b/>
          <w:sz w:val="18"/>
        </w:rPr>
      </w:pPr>
      <w:r>
        <w:rPr/>
        <w:br w:type="column"/>
      </w:r>
      <w:r>
        <w:rPr>
          <w:b/>
          <w:sz w:val="18"/>
        </w:rPr>
        <w:t>2012</w:t>
      </w:r>
    </w:p>
    <w:p>
      <w:pPr>
        <w:spacing w:line="207" w:lineRule="exact" w:before="0"/>
        <w:ind w:left="0" w:right="149" w:firstLine="0"/>
        <w:jc w:val="right"/>
        <w:rPr>
          <w:b/>
          <w:sz w:val="18"/>
        </w:rPr>
      </w:pPr>
      <w:r>
        <w:rPr>
          <w:b/>
          <w:w w:val="99"/>
          <w:sz w:val="18"/>
        </w:rPr>
        <w:t>$</w:t>
      </w:r>
    </w:p>
    <w:p>
      <w:pPr>
        <w:spacing w:line="206" w:lineRule="exact" w:before="0"/>
        <w:ind w:left="488" w:right="568" w:firstLine="0"/>
        <w:jc w:val="center"/>
        <w:rPr>
          <w:b/>
          <w:sz w:val="18"/>
        </w:rPr>
      </w:pPr>
      <w:r>
        <w:rPr/>
        <w:br w:type="column"/>
      </w:r>
      <w:r>
        <w:rPr>
          <w:b/>
          <w:sz w:val="18"/>
        </w:rPr>
        <w:t>2011</w:t>
      </w:r>
    </w:p>
    <w:p>
      <w:pPr>
        <w:spacing w:line="207" w:lineRule="exact" w:before="0"/>
        <w:ind w:left="0" w:right="82"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1930" w:space="5438"/>
            <w:col w:w="908" w:space="376"/>
            <w:col w:w="1498"/>
          </w:cols>
        </w:sectPr>
      </w:pPr>
    </w:p>
    <w:p>
      <w:pPr>
        <w:tabs>
          <w:tab w:pos="7828" w:val="left" w:leader="none"/>
          <w:tab w:pos="9026" w:val="left" w:leader="none"/>
        </w:tabs>
        <w:spacing w:line="206" w:lineRule="exact" w:before="0"/>
        <w:ind w:left="504" w:right="125" w:firstLine="0"/>
        <w:jc w:val="left"/>
        <w:rPr>
          <w:sz w:val="18"/>
        </w:rPr>
      </w:pPr>
      <w:r>
        <w:rPr>
          <w:sz w:val="18"/>
        </w:rPr>
        <w:t>Cash and</w:t>
      </w:r>
      <w:r>
        <w:rPr>
          <w:spacing w:val="1"/>
          <w:sz w:val="18"/>
        </w:rPr>
        <w:t> </w:t>
      </w:r>
      <w:r>
        <w:rPr>
          <w:sz w:val="18"/>
        </w:rPr>
        <w:t>cash equivalents</w:t>
        <w:tab/>
      </w:r>
      <w:r>
        <w:rPr>
          <w:b/>
          <w:sz w:val="18"/>
        </w:rPr>
        <w:t>7,045,472</w:t>
        <w:tab/>
      </w:r>
      <w:r>
        <w:rPr>
          <w:sz w:val="18"/>
        </w:rPr>
        <w:t>19,255,703</w:t>
      </w:r>
    </w:p>
    <w:p>
      <w:pPr>
        <w:pStyle w:val="BodyText"/>
        <w:tabs>
          <w:tab w:pos="7979" w:val="left" w:leader="none"/>
          <w:tab w:pos="9278" w:val="left" w:leader="none"/>
        </w:tabs>
        <w:spacing w:line="206" w:lineRule="exact"/>
        <w:ind w:left="504" w:right="125"/>
      </w:pPr>
      <w:r>
        <w:rPr/>
        <w:t>Trade and</w:t>
      </w:r>
      <w:r>
        <w:rPr>
          <w:spacing w:val="-1"/>
        </w:rPr>
        <w:t> </w:t>
      </w:r>
      <w:r>
        <w:rPr/>
        <w:t>other</w:t>
      </w:r>
      <w:r>
        <w:rPr>
          <w:spacing w:val="-1"/>
        </w:rPr>
        <w:t> </w:t>
      </w:r>
      <w:r>
        <w:rPr/>
        <w:t>receivables</w:t>
        <w:tab/>
      </w:r>
      <w:r>
        <w:rPr>
          <w:b/>
        </w:rPr>
        <w:t>108,456</w:t>
        <w:tab/>
      </w:r>
      <w:r>
        <w:rPr/>
        <w:t>236,713</w:t>
      </w:r>
    </w:p>
    <w:p>
      <w:pPr>
        <w:pStyle w:val="BodyText"/>
        <w:tabs>
          <w:tab w:pos="7427" w:val="left" w:leader="none"/>
          <w:tab w:pos="7727" w:val="left" w:leader="none"/>
          <w:tab w:pos="8575" w:val="left" w:leader="none"/>
          <w:tab w:pos="9127" w:val="left" w:leader="none"/>
          <w:tab w:pos="9873" w:val="left" w:leader="none"/>
        </w:tabs>
        <w:ind w:left="504" w:right="209"/>
      </w:pPr>
      <w:r>
        <w:rPr/>
        <w:t>Financial assets at fair value</w:t>
      </w:r>
      <w:r>
        <w:rPr>
          <w:spacing w:val="4"/>
        </w:rPr>
        <w:t> </w:t>
      </w:r>
      <w:r>
        <w:rPr/>
        <w:t>through profit/(loss)</w:t>
        <w:tab/>
        <w:tab/>
        <w:tab/>
      </w:r>
      <w:r>
        <w:rPr>
          <w:b/>
        </w:rPr>
        <w:t>-</w:t>
        <w:tab/>
      </w:r>
      <w:r>
        <w:rPr/>
        <w:t>9,650,893 Other available-for-sale assets</w:t>
        <w:tab/>
      </w:r>
      <w:r>
        <w:rPr>
          <w:rFonts w:ascii="Times New Roman"/>
          <w:u w:val="single"/>
        </w:rPr>
        <w:t> </w:t>
        <w:tab/>
      </w:r>
      <w:r>
        <w:rPr>
          <w:b/>
          <w:u w:val="single"/>
        </w:rPr>
        <w:t>25,579,182</w:t>
        <w:tab/>
        <w:tab/>
      </w:r>
      <w:r>
        <w:rPr>
          <w:u w:val="single"/>
        </w:rPr>
        <w:t>-</w:t>
      </w:r>
    </w:p>
    <w:p>
      <w:pPr>
        <w:tabs>
          <w:tab w:pos="299" w:val="left" w:leader="none"/>
          <w:tab w:pos="1598" w:val="left" w:leader="none"/>
        </w:tabs>
        <w:spacing w:before="9"/>
        <w:ind w:left="0" w:right="210" w:firstLine="0"/>
        <w:jc w:val="right"/>
        <w:rPr>
          <w:sz w:val="18"/>
        </w:rPr>
      </w:pPr>
      <w:r>
        <w:rPr>
          <w:rFonts w:ascii="Times New Roman"/>
          <w:sz w:val="18"/>
          <w:u w:val="single"/>
        </w:rPr>
        <w:t> </w:t>
        <w:tab/>
      </w:r>
      <w:r>
        <w:rPr>
          <w:b/>
          <w:sz w:val="18"/>
          <w:u w:val="single"/>
        </w:rPr>
        <w:t>32,733,110</w:t>
        <w:tab/>
      </w:r>
      <w:r>
        <w:rPr>
          <w:w w:val="95"/>
          <w:sz w:val="18"/>
          <w:u w:val="single"/>
        </w:rPr>
        <w:t>29,143,309</w:t>
      </w:r>
    </w:p>
    <w:p>
      <w:pPr>
        <w:pStyle w:val="Heading9"/>
        <w:spacing w:line="207" w:lineRule="exact" w:before="74"/>
        <w:ind w:left="504" w:right="125"/>
      </w:pPr>
      <w:r>
        <w:rPr/>
        <w:t>Financial Liabilities</w:t>
      </w:r>
    </w:p>
    <w:p>
      <w:pPr>
        <w:pStyle w:val="BodyText"/>
        <w:tabs>
          <w:tab w:pos="6923" w:val="left" w:leader="none"/>
          <w:tab w:pos="8071" w:val="left" w:leader="none"/>
          <w:tab w:pos="9369" w:val="left" w:leader="none"/>
        </w:tabs>
        <w:spacing w:line="207" w:lineRule="exact"/>
        <w:ind w:right="209"/>
        <w:jc w:val="right"/>
      </w:pPr>
      <w:r>
        <w:rPr/>
        <w:t>Trade and</w:t>
      </w:r>
      <w:r>
        <w:rPr>
          <w:spacing w:val="-1"/>
        </w:rPr>
        <w:t> </w:t>
      </w:r>
      <w:r>
        <w:rPr/>
        <w:t>other</w:t>
      </w:r>
      <w:r>
        <w:rPr>
          <w:spacing w:val="-1"/>
        </w:rPr>
        <w:t> </w:t>
      </w:r>
      <w:r>
        <w:rPr/>
        <w:t>payables</w:t>
        <w:tab/>
      </w:r>
      <w:r>
        <w:rPr>
          <w:rFonts w:ascii="Times New Roman"/>
          <w:u w:val="single"/>
        </w:rPr>
        <w:t> </w:t>
        <w:tab/>
      </w:r>
      <w:r>
        <w:rPr>
          <w:b/>
          <w:u w:val="single"/>
        </w:rPr>
        <w:t>-</w:t>
        <w:tab/>
      </w:r>
      <w:r>
        <w:rPr>
          <w:u w:val="single"/>
        </w:rPr>
        <w:t>-</w:t>
      </w:r>
    </w:p>
    <w:p>
      <w:pPr>
        <w:tabs>
          <w:tab w:pos="1147" w:val="left" w:leader="none"/>
          <w:tab w:pos="2445" w:val="left" w:leader="none"/>
        </w:tabs>
        <w:spacing w:before="9"/>
        <w:ind w:left="0" w:right="209" w:firstLine="0"/>
        <w:jc w:val="right"/>
        <w:rPr>
          <w:sz w:val="18"/>
        </w:rPr>
      </w:pPr>
      <w:r>
        <w:rPr>
          <w:rFonts w:ascii="Times New Roman"/>
          <w:sz w:val="18"/>
          <w:u w:val="single"/>
        </w:rPr>
        <w:t> </w:t>
        <w:tab/>
      </w:r>
      <w:r>
        <w:rPr>
          <w:b/>
          <w:sz w:val="18"/>
          <w:u w:val="single"/>
        </w:rPr>
        <w:t>-</w:t>
        <w:tab/>
      </w:r>
      <w:r>
        <w:rPr>
          <w:sz w:val="18"/>
          <w:u w:val="single"/>
        </w:rPr>
        <w:t>-</w:t>
      </w:r>
    </w:p>
    <w:p>
      <w:pPr>
        <w:pStyle w:val="BodyText"/>
        <w:spacing w:before="11"/>
        <w:rPr>
          <w:sz w:val="19"/>
        </w:rPr>
      </w:pPr>
    </w:p>
    <w:p>
      <w:pPr>
        <w:pStyle w:val="Heading9"/>
        <w:numPr>
          <w:ilvl w:val="1"/>
          <w:numId w:val="63"/>
        </w:numPr>
        <w:tabs>
          <w:tab w:pos="1071" w:val="left" w:leader="none"/>
        </w:tabs>
        <w:spacing w:line="240" w:lineRule="auto" w:before="77" w:after="0"/>
        <w:ind w:left="1070" w:right="0" w:hanging="566"/>
        <w:jc w:val="left"/>
      </w:pPr>
      <w:r>
        <w:rPr/>
        <w:t>Credit</w:t>
      </w:r>
      <w:r>
        <w:rPr>
          <w:spacing w:val="-1"/>
        </w:rPr>
        <w:t> </w:t>
      </w:r>
      <w:r>
        <w:rPr/>
        <w:t>risk</w:t>
      </w:r>
    </w:p>
    <w:p>
      <w:pPr>
        <w:pStyle w:val="BodyText"/>
        <w:spacing w:before="146"/>
        <w:ind w:left="1072" w:right="115"/>
        <w:jc w:val="both"/>
      </w:pPr>
      <w:r>
        <w:rPr/>
        <w:t>The credit risk on financial assets of the Trust which have been recognised on the statement of financial  position is generally the carrying amount, net of provision for loss. Credit risk arises when there is the possibility of the Trust's debtors defaulting on their contractual obligations, resulting in financial loss to the Trust. The Trust does not have any significant exposure to any unrelated</w:t>
      </w:r>
      <w:r>
        <w:rPr>
          <w:spacing w:val="-1"/>
        </w:rPr>
        <w:t> </w:t>
      </w:r>
      <w:r>
        <w:rPr/>
        <w:t>debtor.</w:t>
      </w:r>
    </w:p>
    <w:p>
      <w:pPr>
        <w:pStyle w:val="BodyText"/>
        <w:spacing w:before="146"/>
        <w:ind w:left="1072"/>
        <w:jc w:val="both"/>
      </w:pPr>
      <w:r>
        <w:rPr/>
        <w:t>The following table details the Trust's trade and other receivables exposure to credit risk with ageing analysis.</w:t>
      </w:r>
    </w:p>
    <w:p>
      <w:pPr>
        <w:pStyle w:val="BodyText"/>
        <w:spacing w:before="4"/>
        <w:rPr>
          <w:sz w:val="5"/>
        </w:rPr>
      </w:pPr>
    </w:p>
    <w:tbl>
      <w:tblPr>
        <w:tblW w:w="0" w:type="auto"/>
        <w:jc w:val="left"/>
        <w:tblInd w:w="10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44"/>
        <w:gridCol w:w="3818"/>
        <w:gridCol w:w="1072"/>
      </w:tblGrid>
      <w:tr>
        <w:trPr>
          <w:trHeight w:val="293" w:hRule="exact"/>
        </w:trPr>
        <w:tc>
          <w:tcPr>
            <w:tcW w:w="4044" w:type="dxa"/>
            <w:vMerge w:val="restart"/>
          </w:tcPr>
          <w:p>
            <w:pPr/>
          </w:p>
        </w:tc>
        <w:tc>
          <w:tcPr>
            <w:tcW w:w="3818" w:type="dxa"/>
          </w:tcPr>
          <w:p>
            <w:pPr>
              <w:pStyle w:val="TableParagraph"/>
              <w:spacing w:before="77"/>
              <w:ind w:right="631"/>
              <w:jc w:val="right"/>
              <w:rPr>
                <w:b/>
                <w:sz w:val="18"/>
              </w:rPr>
            </w:pPr>
            <w:r>
              <w:rPr>
                <w:b/>
                <w:w w:val="95"/>
                <w:sz w:val="18"/>
              </w:rPr>
              <w:t>2012</w:t>
            </w:r>
          </w:p>
        </w:tc>
        <w:tc>
          <w:tcPr>
            <w:tcW w:w="1072" w:type="dxa"/>
          </w:tcPr>
          <w:p>
            <w:pPr>
              <w:pStyle w:val="TableParagraph"/>
              <w:spacing w:before="77"/>
              <w:ind w:left="259"/>
              <w:rPr>
                <w:b/>
                <w:sz w:val="18"/>
              </w:rPr>
            </w:pPr>
            <w:r>
              <w:rPr>
                <w:b/>
                <w:sz w:val="18"/>
              </w:rPr>
              <w:t>2011</w:t>
            </w:r>
          </w:p>
        </w:tc>
      </w:tr>
      <w:tr>
        <w:trPr>
          <w:trHeight w:val="206" w:hRule="exact"/>
        </w:trPr>
        <w:tc>
          <w:tcPr>
            <w:tcW w:w="4044" w:type="dxa"/>
            <w:vMerge/>
          </w:tcPr>
          <w:p>
            <w:pPr/>
          </w:p>
        </w:tc>
        <w:tc>
          <w:tcPr>
            <w:tcW w:w="3818" w:type="dxa"/>
          </w:tcPr>
          <w:p>
            <w:pPr>
              <w:pStyle w:val="TableParagraph"/>
              <w:spacing w:line="197" w:lineRule="exact"/>
              <w:ind w:right="783"/>
              <w:jc w:val="right"/>
              <w:rPr>
                <w:b/>
                <w:sz w:val="18"/>
              </w:rPr>
            </w:pPr>
            <w:r>
              <w:rPr>
                <w:b/>
                <w:w w:val="99"/>
                <w:sz w:val="18"/>
              </w:rPr>
              <w:t>$</w:t>
            </w:r>
          </w:p>
        </w:tc>
        <w:tc>
          <w:tcPr>
            <w:tcW w:w="1072" w:type="dxa"/>
          </w:tcPr>
          <w:p>
            <w:pPr>
              <w:pStyle w:val="TableParagraph"/>
              <w:spacing w:line="197" w:lineRule="exact"/>
              <w:ind w:right="148"/>
              <w:jc w:val="center"/>
              <w:rPr>
                <w:b/>
                <w:sz w:val="18"/>
              </w:rPr>
            </w:pPr>
            <w:r>
              <w:rPr>
                <w:b/>
                <w:w w:val="99"/>
                <w:sz w:val="18"/>
              </w:rPr>
              <w:t>$</w:t>
            </w:r>
          </w:p>
        </w:tc>
      </w:tr>
      <w:tr>
        <w:trPr>
          <w:trHeight w:val="206" w:hRule="exact"/>
        </w:trPr>
        <w:tc>
          <w:tcPr>
            <w:tcW w:w="4044" w:type="dxa"/>
          </w:tcPr>
          <w:p>
            <w:pPr>
              <w:pStyle w:val="TableParagraph"/>
              <w:spacing w:line="197" w:lineRule="exact"/>
              <w:ind w:left="35"/>
              <w:rPr>
                <w:sz w:val="18"/>
              </w:rPr>
            </w:pPr>
            <w:r>
              <w:rPr>
                <w:sz w:val="18"/>
              </w:rPr>
              <w:t>Up to 3 months</w:t>
            </w:r>
          </w:p>
        </w:tc>
        <w:tc>
          <w:tcPr>
            <w:tcW w:w="3818" w:type="dxa"/>
          </w:tcPr>
          <w:p>
            <w:pPr>
              <w:pStyle w:val="TableParagraph"/>
              <w:spacing w:line="197" w:lineRule="exact"/>
              <w:ind w:right="257"/>
              <w:jc w:val="right"/>
              <w:rPr>
                <w:b/>
                <w:sz w:val="18"/>
              </w:rPr>
            </w:pPr>
            <w:r>
              <w:rPr>
                <w:b/>
                <w:sz w:val="18"/>
              </w:rPr>
              <w:t>77,206</w:t>
            </w:r>
          </w:p>
        </w:tc>
        <w:tc>
          <w:tcPr>
            <w:tcW w:w="1072" w:type="dxa"/>
          </w:tcPr>
          <w:p>
            <w:pPr>
              <w:pStyle w:val="TableParagraph"/>
              <w:spacing w:line="197" w:lineRule="exact"/>
              <w:ind w:right="33"/>
              <w:jc w:val="right"/>
              <w:rPr>
                <w:sz w:val="18"/>
              </w:rPr>
            </w:pPr>
            <w:r>
              <w:rPr>
                <w:w w:val="95"/>
                <w:sz w:val="18"/>
              </w:rPr>
              <w:t>184,463</w:t>
            </w:r>
          </w:p>
        </w:tc>
      </w:tr>
      <w:tr>
        <w:trPr>
          <w:trHeight w:val="193" w:hRule="exact"/>
        </w:trPr>
        <w:tc>
          <w:tcPr>
            <w:tcW w:w="4044" w:type="dxa"/>
          </w:tcPr>
          <w:p>
            <w:pPr>
              <w:pStyle w:val="TableParagraph"/>
              <w:spacing w:line="197" w:lineRule="exact"/>
              <w:ind w:left="35"/>
              <w:rPr>
                <w:sz w:val="18"/>
              </w:rPr>
            </w:pPr>
            <w:r>
              <w:rPr>
                <w:sz w:val="18"/>
              </w:rPr>
              <w:t>3 to 6 months</w:t>
            </w:r>
          </w:p>
        </w:tc>
        <w:tc>
          <w:tcPr>
            <w:tcW w:w="3818" w:type="dxa"/>
          </w:tcPr>
          <w:p>
            <w:pPr>
              <w:pStyle w:val="TableParagraph"/>
              <w:spacing w:line="197" w:lineRule="exact"/>
              <w:ind w:right="257"/>
              <w:jc w:val="right"/>
              <w:rPr>
                <w:b/>
                <w:sz w:val="18"/>
              </w:rPr>
            </w:pPr>
            <w:r>
              <w:rPr>
                <w:b/>
                <w:sz w:val="18"/>
              </w:rPr>
              <w:t>30,750</w:t>
            </w:r>
          </w:p>
        </w:tc>
        <w:tc>
          <w:tcPr>
            <w:tcW w:w="1072" w:type="dxa"/>
          </w:tcPr>
          <w:p>
            <w:pPr>
              <w:pStyle w:val="TableParagraph"/>
              <w:spacing w:line="197" w:lineRule="exact"/>
              <w:ind w:right="33"/>
              <w:jc w:val="right"/>
              <w:rPr>
                <w:sz w:val="18"/>
              </w:rPr>
            </w:pPr>
            <w:r>
              <w:rPr>
                <w:w w:val="95"/>
                <w:sz w:val="18"/>
              </w:rPr>
              <w:t>15,000</w:t>
            </w:r>
          </w:p>
        </w:tc>
      </w:tr>
    </w:tbl>
    <w:p>
      <w:pPr>
        <w:pStyle w:val="BodyText"/>
        <w:tabs>
          <w:tab w:pos="7427" w:val="left" w:leader="none"/>
          <w:tab w:pos="8335" w:val="left" w:leader="none"/>
          <w:tab w:pos="9379" w:val="left" w:leader="none"/>
        </w:tabs>
        <w:spacing w:before="3"/>
        <w:ind w:left="1070" w:right="125"/>
      </w:pPr>
      <w:r>
        <w:rPr/>
        <w:t>Over 6 months</w:t>
        <w:tab/>
      </w:r>
      <w:r>
        <w:rPr>
          <w:rFonts w:ascii="Times New Roman"/>
          <w:u w:val="single"/>
        </w:rPr>
        <w:t> </w:t>
        <w:tab/>
      </w:r>
      <w:r>
        <w:rPr>
          <w:b/>
          <w:u w:val="single"/>
        </w:rPr>
        <w:t>500</w:t>
        <w:tab/>
      </w:r>
      <w:r>
        <w:rPr>
          <w:u w:val="single"/>
        </w:rPr>
        <w:t>37,250</w:t>
      </w:r>
    </w:p>
    <w:p>
      <w:pPr>
        <w:tabs>
          <w:tab w:pos="7427" w:val="left" w:leader="none"/>
          <w:tab w:pos="7982" w:val="left" w:leader="none"/>
          <w:tab w:pos="9278" w:val="left" w:leader="none"/>
        </w:tabs>
        <w:spacing w:before="9"/>
        <w:ind w:left="1070" w:right="125" w:firstLine="0"/>
        <w:jc w:val="left"/>
        <w:rPr>
          <w:sz w:val="18"/>
        </w:rPr>
      </w:pPr>
      <w:r>
        <w:rPr>
          <w:b/>
          <w:sz w:val="18"/>
        </w:rPr>
        <w:t>Total</w:t>
        <w:tab/>
      </w:r>
      <w:r>
        <w:rPr>
          <w:rFonts w:ascii="Times New Roman"/>
          <w:sz w:val="18"/>
          <w:u w:val="single"/>
        </w:rPr>
        <w:t> </w:t>
        <w:tab/>
      </w:r>
      <w:r>
        <w:rPr>
          <w:b/>
          <w:sz w:val="18"/>
          <w:u w:val="single"/>
        </w:rPr>
        <w:t>108,456</w:t>
        <w:tab/>
      </w:r>
      <w:r>
        <w:rPr>
          <w:sz w:val="18"/>
          <w:u w:val="single"/>
        </w:rPr>
        <w:t>236,713</w:t>
      </w:r>
    </w:p>
    <w:p>
      <w:pPr>
        <w:pStyle w:val="BodyText"/>
        <w:spacing w:before="11"/>
        <w:rPr>
          <w:sz w:val="19"/>
        </w:rPr>
      </w:pPr>
    </w:p>
    <w:p>
      <w:pPr>
        <w:pStyle w:val="Heading9"/>
        <w:numPr>
          <w:ilvl w:val="1"/>
          <w:numId w:val="63"/>
        </w:numPr>
        <w:tabs>
          <w:tab w:pos="1071" w:val="left" w:leader="none"/>
        </w:tabs>
        <w:spacing w:line="240" w:lineRule="auto" w:before="77" w:after="0"/>
        <w:ind w:left="1070" w:right="0" w:hanging="566"/>
        <w:jc w:val="left"/>
      </w:pPr>
      <w:r>
        <w:rPr/>
        <w:t>Liquidity</w:t>
      </w:r>
      <w:r>
        <w:rPr>
          <w:spacing w:val="-9"/>
        </w:rPr>
        <w:t> </w:t>
      </w:r>
      <w:r>
        <w:rPr/>
        <w:t>risk</w:t>
      </w:r>
    </w:p>
    <w:p>
      <w:pPr>
        <w:pStyle w:val="BodyText"/>
        <w:spacing w:before="146"/>
        <w:ind w:left="1070" w:right="116"/>
        <w:jc w:val="both"/>
      </w:pPr>
      <w:r>
        <w:rPr/>
        <w:t>Prudent liquidity risk management implies maintaining sufficient cash and the availability of funding through an adequate amount of committed credit facilities to meet obligations when due. At the end of the reporting period the Trust held deposits at call of $7,045,472 (2011: $19,255,703) that are expected to readily generate cash inflows for managing liquidity risk.</w:t>
      </w:r>
    </w:p>
    <w:p>
      <w:pPr>
        <w:spacing w:after="0"/>
        <w:jc w:val="both"/>
        <w:sectPr>
          <w:type w:val="continuous"/>
          <w:pgSz w:w="11910" w:h="16840"/>
          <w:pgMar w:top="0" w:bottom="280" w:left="900" w:right="860"/>
        </w:sectPr>
      </w:pPr>
    </w:p>
    <w:p>
      <w:pPr>
        <w:pStyle w:val="BodyText"/>
        <w:spacing w:before="1"/>
        <w:rPr>
          <w:sz w:val="24"/>
        </w:rPr>
      </w:pPr>
    </w:p>
    <w:p>
      <w:pPr>
        <w:pStyle w:val="Heading3"/>
      </w:pPr>
      <w:r>
        <w:rPr/>
        <w:t>Notes to the financial statements</w:t>
      </w:r>
    </w:p>
    <w:p>
      <w:pPr>
        <w:pStyle w:val="Heading6"/>
        <w:spacing w:before="53"/>
      </w:pPr>
      <w:r>
        <w:rPr/>
        <w:t>For the Year Ended 31 December 2012</w:t>
      </w:r>
    </w:p>
    <w:p>
      <w:pPr>
        <w:pStyle w:val="BodyText"/>
        <w:rPr>
          <w:b/>
          <w:sz w:val="22"/>
        </w:rPr>
      </w:pPr>
    </w:p>
    <w:p>
      <w:pPr>
        <w:pStyle w:val="BodyText"/>
        <w:rPr>
          <w:b/>
          <w:sz w:val="22"/>
        </w:rPr>
      </w:pPr>
    </w:p>
    <w:p>
      <w:pPr>
        <w:pStyle w:val="Heading9"/>
        <w:tabs>
          <w:tab w:pos="1070" w:val="left" w:leader="none"/>
        </w:tabs>
        <w:spacing w:before="161"/>
        <w:ind w:left="504" w:right="125"/>
      </w:pPr>
      <w:r>
        <w:rPr/>
        <w:t>2</w:t>
        <w:tab/>
        <w:t>Financial Risk Management</w:t>
      </w:r>
      <w:r>
        <w:rPr>
          <w:spacing w:val="3"/>
        </w:rPr>
        <w:t> </w:t>
      </w:r>
      <w:r>
        <w:rPr/>
        <w:t>(continued)</w:t>
      </w:r>
    </w:p>
    <w:p>
      <w:pPr>
        <w:pStyle w:val="BodyText"/>
        <w:spacing w:before="11"/>
        <w:rPr>
          <w:b/>
          <w:sz w:val="24"/>
        </w:rPr>
      </w:pPr>
    </w:p>
    <w:p>
      <w:pPr>
        <w:pStyle w:val="ListParagraph"/>
        <w:numPr>
          <w:ilvl w:val="1"/>
          <w:numId w:val="63"/>
        </w:numPr>
        <w:tabs>
          <w:tab w:pos="1071" w:val="left" w:leader="none"/>
        </w:tabs>
        <w:spacing w:line="240" w:lineRule="auto" w:before="0" w:after="0"/>
        <w:ind w:left="1070" w:right="0" w:hanging="566"/>
        <w:jc w:val="left"/>
        <w:rPr>
          <w:b/>
          <w:sz w:val="18"/>
        </w:rPr>
      </w:pPr>
      <w:r>
        <w:rPr>
          <w:b/>
          <w:sz w:val="18"/>
        </w:rPr>
        <w:t>Market</w:t>
      </w:r>
      <w:r>
        <w:rPr>
          <w:b/>
          <w:spacing w:val="-1"/>
          <w:sz w:val="18"/>
        </w:rPr>
        <w:t> </w:t>
      </w:r>
      <w:r>
        <w:rPr>
          <w:b/>
          <w:sz w:val="18"/>
        </w:rPr>
        <w:t>risk</w:t>
      </w:r>
    </w:p>
    <w:p>
      <w:pPr>
        <w:pStyle w:val="BodyText"/>
        <w:spacing w:before="146"/>
        <w:ind w:left="1072" w:right="117"/>
        <w:jc w:val="both"/>
      </w:pPr>
      <w:r>
        <w:rPr/>
        <w:t>Market risk is the risk that the fair value or future cash flows of a financial instrument will fluctuate because of changes in market prices.</w:t>
      </w:r>
    </w:p>
    <w:p>
      <w:pPr>
        <w:pStyle w:val="ListParagraph"/>
        <w:numPr>
          <w:ilvl w:val="2"/>
          <w:numId w:val="63"/>
        </w:numPr>
        <w:tabs>
          <w:tab w:pos="1215" w:val="left" w:leader="none"/>
        </w:tabs>
        <w:spacing w:line="207" w:lineRule="exact" w:before="146" w:after="0"/>
        <w:ind w:left="1214" w:right="0" w:hanging="142"/>
        <w:jc w:val="both"/>
        <w:rPr>
          <w:i/>
          <w:sz w:val="18"/>
        </w:rPr>
      </w:pPr>
      <w:r>
        <w:rPr>
          <w:i/>
          <w:sz w:val="18"/>
        </w:rPr>
        <w:t>Cash flow and fair value interest</w:t>
      </w:r>
      <w:r>
        <w:rPr>
          <w:i/>
          <w:spacing w:val="5"/>
          <w:sz w:val="18"/>
        </w:rPr>
        <w:t> </w:t>
      </w:r>
      <w:r>
        <w:rPr>
          <w:i/>
          <w:sz w:val="18"/>
        </w:rPr>
        <w:t>rate</w:t>
      </w:r>
    </w:p>
    <w:p>
      <w:pPr>
        <w:pStyle w:val="BodyText"/>
        <w:ind w:left="1072" w:right="116"/>
        <w:jc w:val="both"/>
      </w:pPr>
      <w:r>
        <w:rPr/>
        <w:t>The Trust's exposure to interest rate risk is minimal as it has no borrowings and the amounts held in the Arcadian investments portfolio are strictly</w:t>
      </w:r>
      <w:r>
        <w:rPr>
          <w:spacing w:val="4"/>
        </w:rPr>
        <w:t> </w:t>
      </w:r>
      <w:r>
        <w:rPr/>
        <w:t>monitored.</w:t>
      </w:r>
    </w:p>
    <w:p>
      <w:pPr>
        <w:pStyle w:val="BodyText"/>
        <w:spacing w:line="207" w:lineRule="exact" w:before="138"/>
        <w:ind w:left="1070"/>
        <w:jc w:val="both"/>
      </w:pPr>
      <w:r>
        <w:rPr/>
        <w:t>ii. Summarised sensitivity analysis</w:t>
      </w:r>
    </w:p>
    <w:p>
      <w:pPr>
        <w:pStyle w:val="BodyText"/>
        <w:ind w:left="1070" w:right="115"/>
        <w:jc w:val="both"/>
      </w:pPr>
      <w:r>
        <w:rPr/>
        <w:t>The following table summarises the sensitivity of the Trust's financial assets and financial liabilities to interest rate risk. The Trust's financial assets and financial liabilities are not subject to foreign exchange risk and other price risk.</w:t>
      </w:r>
    </w:p>
    <w:p>
      <w:pPr>
        <w:spacing w:after="0"/>
        <w:jc w:val="both"/>
        <w:sectPr>
          <w:pgSz w:w="11910" w:h="16840"/>
          <w:pgMar w:header="1037" w:footer="526" w:top="1460" w:bottom="700" w:left="900" w:right="860"/>
        </w:sectPr>
      </w:pPr>
    </w:p>
    <w:p>
      <w:pPr>
        <w:pStyle w:val="BodyText"/>
        <w:spacing w:before="8"/>
        <w:rPr>
          <w:sz w:val="27"/>
        </w:rPr>
      </w:pPr>
    </w:p>
    <w:p>
      <w:pPr>
        <w:tabs>
          <w:tab w:pos="5102" w:val="left" w:leader="none"/>
        </w:tabs>
        <w:spacing w:line="208" w:lineRule="exact" w:before="1"/>
        <w:ind w:left="1070" w:right="0" w:firstLine="0"/>
        <w:jc w:val="left"/>
        <w:rPr>
          <w:sz w:val="16"/>
        </w:rPr>
      </w:pPr>
      <w:r>
        <w:rPr>
          <w:b/>
          <w:sz w:val="16"/>
        </w:rPr>
        <w:t>31</w:t>
      </w:r>
      <w:r>
        <w:rPr>
          <w:b/>
          <w:spacing w:val="-2"/>
          <w:sz w:val="16"/>
        </w:rPr>
        <w:t> </w:t>
      </w:r>
      <w:r>
        <w:rPr>
          <w:b/>
          <w:sz w:val="16"/>
        </w:rPr>
        <w:t>December</w:t>
      </w:r>
      <w:r>
        <w:rPr>
          <w:b/>
          <w:spacing w:val="-2"/>
          <w:sz w:val="16"/>
        </w:rPr>
        <w:t> </w:t>
      </w:r>
      <w:r>
        <w:rPr>
          <w:b/>
          <w:sz w:val="16"/>
        </w:rPr>
        <w:t>2012</w:t>
        <w:tab/>
      </w:r>
      <w:r>
        <w:rPr>
          <w:spacing w:val="-1"/>
          <w:position w:val="9"/>
          <w:sz w:val="16"/>
        </w:rPr>
        <w:t>Carrying</w:t>
      </w:r>
    </w:p>
    <w:p>
      <w:pPr>
        <w:pStyle w:val="BodyText"/>
        <w:rPr>
          <w:sz w:val="16"/>
        </w:rPr>
      </w:pPr>
      <w:r>
        <w:rPr/>
        <w:br w:type="column"/>
      </w:r>
      <w:r>
        <w:rPr>
          <w:sz w:val="16"/>
        </w:rPr>
      </w:r>
    </w:p>
    <w:p>
      <w:pPr>
        <w:spacing w:before="139"/>
        <w:ind w:left="432" w:right="-16" w:firstLine="0"/>
        <w:jc w:val="left"/>
        <w:rPr>
          <w:sz w:val="16"/>
        </w:rPr>
      </w:pPr>
      <w:r>
        <w:rPr>
          <w:sz w:val="16"/>
        </w:rPr>
        <w:t>Surplus/</w:t>
      </w:r>
    </w:p>
    <w:p>
      <w:pPr>
        <w:tabs>
          <w:tab w:pos="1890" w:val="left" w:leader="none"/>
        </w:tabs>
        <w:spacing w:before="138"/>
        <w:ind w:left="-16" w:right="0" w:firstLine="0"/>
        <w:jc w:val="left"/>
        <w:rPr>
          <w:sz w:val="16"/>
        </w:rPr>
      </w:pPr>
      <w:r>
        <w:rPr/>
        <w:br w:type="column"/>
      </w:r>
      <w:r>
        <w:rPr>
          <w:sz w:val="16"/>
        </w:rPr>
        <w:t>-100bps</w:t>
        <w:tab/>
        <w:t>+100bps</w:t>
      </w:r>
    </w:p>
    <w:p>
      <w:pPr>
        <w:spacing w:before="1"/>
        <w:ind w:left="1379" w:right="1336" w:firstLine="0"/>
        <w:jc w:val="center"/>
        <w:rPr>
          <w:sz w:val="16"/>
        </w:rPr>
      </w:pPr>
      <w:r>
        <w:rPr>
          <w:sz w:val="16"/>
        </w:rPr>
        <w:t>Surplus/</w:t>
      </w:r>
    </w:p>
    <w:p>
      <w:pPr>
        <w:spacing w:after="0"/>
        <w:jc w:val="center"/>
        <w:rPr>
          <w:sz w:val="16"/>
        </w:rPr>
        <w:sectPr>
          <w:type w:val="continuous"/>
          <w:pgSz w:w="11910" w:h="16840"/>
          <w:pgMar w:top="0" w:bottom="280" w:left="900" w:right="860"/>
          <w:cols w:num="3" w:equalWidth="0">
            <w:col w:w="5705" w:space="40"/>
            <w:col w:w="1023" w:space="40"/>
            <w:col w:w="3342"/>
          </w:cols>
        </w:sectPr>
      </w:pPr>
    </w:p>
    <w:p>
      <w:pPr>
        <w:pStyle w:val="BodyText"/>
        <w:rPr>
          <w:sz w:val="16"/>
        </w:rPr>
      </w:pPr>
    </w:p>
    <w:p>
      <w:pPr>
        <w:pStyle w:val="BodyText"/>
        <w:spacing w:before="4"/>
        <w:rPr>
          <w:sz w:val="14"/>
        </w:rPr>
      </w:pPr>
    </w:p>
    <w:p>
      <w:pPr>
        <w:spacing w:before="1"/>
        <w:ind w:left="1070" w:right="-15" w:firstLine="0"/>
        <w:jc w:val="left"/>
        <w:rPr>
          <w:b/>
          <w:sz w:val="16"/>
        </w:rPr>
      </w:pPr>
      <w:r>
        <w:rPr>
          <w:b/>
          <w:sz w:val="16"/>
        </w:rPr>
        <w:t>Financial assets</w:t>
      </w:r>
    </w:p>
    <w:p>
      <w:pPr>
        <w:spacing w:line="164" w:lineRule="exact" w:before="0"/>
        <w:ind w:left="1070" w:right="0" w:firstLine="0"/>
        <w:jc w:val="center"/>
        <w:rPr>
          <w:sz w:val="16"/>
        </w:rPr>
      </w:pPr>
      <w:r>
        <w:rPr/>
        <w:br w:type="column"/>
      </w:r>
      <w:r>
        <w:rPr>
          <w:sz w:val="16"/>
        </w:rPr>
        <w:t>amount</w:t>
      </w:r>
    </w:p>
    <w:p>
      <w:pPr>
        <w:spacing w:before="1"/>
        <w:ind w:left="0" w:right="219" w:firstLine="0"/>
        <w:jc w:val="right"/>
        <w:rPr>
          <w:sz w:val="16"/>
        </w:rPr>
      </w:pPr>
      <w:r>
        <w:rPr>
          <w:w w:val="100"/>
          <w:sz w:val="16"/>
        </w:rPr>
        <w:t>$</w:t>
      </w:r>
    </w:p>
    <w:p>
      <w:pPr>
        <w:spacing w:line="164" w:lineRule="exact" w:before="0"/>
        <w:ind w:left="498" w:right="0" w:firstLine="0"/>
        <w:jc w:val="center"/>
        <w:rPr>
          <w:sz w:val="16"/>
        </w:rPr>
      </w:pPr>
      <w:r>
        <w:rPr/>
        <w:br w:type="column"/>
      </w:r>
      <w:r>
        <w:rPr>
          <w:sz w:val="16"/>
        </w:rPr>
        <w:t>(deficit)</w:t>
      </w:r>
    </w:p>
    <w:p>
      <w:pPr>
        <w:spacing w:before="1"/>
        <w:ind w:left="0" w:right="216" w:firstLine="0"/>
        <w:jc w:val="right"/>
        <w:rPr>
          <w:sz w:val="16"/>
        </w:rPr>
      </w:pPr>
      <w:r>
        <w:rPr>
          <w:w w:val="100"/>
          <w:sz w:val="16"/>
        </w:rPr>
        <w:t>$</w:t>
      </w:r>
    </w:p>
    <w:p>
      <w:pPr>
        <w:spacing w:line="164" w:lineRule="exact" w:before="0"/>
        <w:ind w:left="304" w:right="0" w:firstLine="0"/>
        <w:jc w:val="center"/>
        <w:rPr>
          <w:sz w:val="16"/>
        </w:rPr>
      </w:pPr>
      <w:r>
        <w:rPr/>
        <w:br w:type="column"/>
      </w:r>
      <w:r>
        <w:rPr>
          <w:sz w:val="16"/>
        </w:rPr>
        <w:t>Trust funds</w:t>
      </w:r>
    </w:p>
    <w:p>
      <w:pPr>
        <w:spacing w:before="1"/>
        <w:ind w:left="309" w:right="0" w:firstLine="0"/>
        <w:jc w:val="center"/>
        <w:rPr>
          <w:sz w:val="16"/>
        </w:rPr>
      </w:pPr>
      <w:r>
        <w:rPr>
          <w:w w:val="100"/>
          <w:sz w:val="16"/>
        </w:rPr>
        <w:t>$</w:t>
      </w:r>
    </w:p>
    <w:p>
      <w:pPr>
        <w:spacing w:line="164" w:lineRule="exact" w:before="0"/>
        <w:ind w:left="306" w:right="0" w:firstLine="0"/>
        <w:jc w:val="center"/>
        <w:rPr>
          <w:sz w:val="16"/>
        </w:rPr>
      </w:pPr>
      <w:r>
        <w:rPr/>
        <w:br w:type="column"/>
      </w:r>
      <w:r>
        <w:rPr>
          <w:sz w:val="16"/>
        </w:rPr>
        <w:t>(deficit)</w:t>
      </w:r>
    </w:p>
    <w:p>
      <w:pPr>
        <w:spacing w:before="1"/>
        <w:ind w:left="309" w:right="0" w:firstLine="0"/>
        <w:jc w:val="center"/>
        <w:rPr>
          <w:sz w:val="16"/>
        </w:rPr>
      </w:pPr>
      <w:r>
        <w:rPr>
          <w:w w:val="100"/>
          <w:sz w:val="16"/>
        </w:rPr>
        <w:t>$</w:t>
      </w:r>
    </w:p>
    <w:p>
      <w:pPr>
        <w:spacing w:line="164" w:lineRule="exact" w:before="0"/>
        <w:ind w:left="287" w:right="215" w:firstLine="0"/>
        <w:jc w:val="center"/>
        <w:rPr>
          <w:sz w:val="16"/>
        </w:rPr>
      </w:pPr>
      <w:r>
        <w:rPr/>
        <w:br w:type="column"/>
      </w:r>
      <w:r>
        <w:rPr>
          <w:sz w:val="16"/>
        </w:rPr>
        <w:t>Trust funds</w:t>
      </w:r>
    </w:p>
    <w:p>
      <w:pPr>
        <w:spacing w:before="1"/>
        <w:ind w:left="76" w:right="0" w:firstLine="0"/>
        <w:jc w:val="center"/>
        <w:rPr>
          <w:sz w:val="16"/>
        </w:rPr>
      </w:pPr>
      <w:r>
        <w:rPr>
          <w:w w:val="100"/>
          <w:sz w:val="16"/>
        </w:rPr>
        <w:t>$</w:t>
      </w:r>
    </w:p>
    <w:p>
      <w:pPr>
        <w:spacing w:after="0"/>
        <w:jc w:val="center"/>
        <w:rPr>
          <w:sz w:val="16"/>
        </w:rPr>
        <w:sectPr>
          <w:type w:val="continuous"/>
          <w:pgSz w:w="11910" w:h="16840"/>
          <w:pgMar w:top="0" w:bottom="280" w:left="900" w:right="860"/>
          <w:cols w:num="6" w:equalWidth="0">
            <w:col w:w="2312" w:space="1751"/>
            <w:col w:w="1608" w:space="40"/>
            <w:col w:w="1028" w:space="40"/>
            <w:col w:w="1111" w:space="40"/>
            <w:col w:w="836" w:space="40"/>
            <w:col w:w="1344"/>
          </w:cols>
        </w:sectPr>
      </w:pPr>
    </w:p>
    <w:p>
      <w:pPr>
        <w:tabs>
          <w:tab w:pos="5171" w:val="left" w:leader="none"/>
          <w:tab w:pos="6357" w:val="left" w:leader="none"/>
          <w:tab w:pos="7370" w:val="left" w:leader="none"/>
          <w:tab w:pos="8435" w:val="left" w:leader="none"/>
          <w:tab w:pos="9448" w:val="left" w:leader="none"/>
        </w:tabs>
        <w:spacing w:before="1"/>
        <w:ind w:left="1070" w:right="125" w:firstLine="0"/>
        <w:jc w:val="left"/>
        <w:rPr>
          <w:sz w:val="16"/>
        </w:rPr>
      </w:pPr>
      <w:r>
        <w:rPr>
          <w:sz w:val="16"/>
        </w:rPr>
        <w:t>Cash and</w:t>
      </w:r>
      <w:r>
        <w:rPr>
          <w:spacing w:val="-4"/>
          <w:sz w:val="16"/>
        </w:rPr>
        <w:t> </w:t>
      </w:r>
      <w:r>
        <w:rPr>
          <w:sz w:val="16"/>
        </w:rPr>
        <w:t>cash</w:t>
      </w:r>
      <w:r>
        <w:rPr>
          <w:spacing w:val="-2"/>
          <w:sz w:val="16"/>
        </w:rPr>
        <w:t> </w:t>
      </w:r>
      <w:r>
        <w:rPr>
          <w:sz w:val="16"/>
        </w:rPr>
        <w:t>equivalents</w:t>
        <w:tab/>
        <w:t>7,045,472</w:t>
        <w:tab/>
        <w:t>(70,455)</w:t>
        <w:tab/>
        <w:t>(70,455)</w:t>
        <w:tab/>
        <w:t>70,455</w:t>
        <w:tab/>
        <w:t>70,455</w:t>
      </w:r>
    </w:p>
    <w:p>
      <w:pPr>
        <w:tabs>
          <w:tab w:pos="4840" w:val="left" w:leader="none"/>
          <w:tab w:pos="5083" w:val="left" w:leader="none"/>
          <w:tab w:pos="5306" w:val="left" w:leader="none"/>
          <w:tab w:pos="6268" w:val="left" w:leader="none"/>
          <w:tab w:pos="6847" w:val="left" w:leader="none"/>
          <w:tab w:pos="7281" w:val="left" w:leader="none"/>
          <w:tab w:pos="7859" w:val="left" w:leader="none"/>
          <w:tab w:pos="8347" w:val="left" w:leader="none"/>
          <w:tab w:pos="8872" w:val="left" w:leader="none"/>
          <w:tab w:pos="9359" w:val="left" w:leader="none"/>
          <w:tab w:pos="9885" w:val="left" w:leader="none"/>
        </w:tabs>
        <w:spacing w:before="1"/>
        <w:ind w:left="1070" w:right="204" w:firstLine="0"/>
        <w:jc w:val="left"/>
        <w:rPr>
          <w:sz w:val="16"/>
        </w:rPr>
      </w:pPr>
      <w:r>
        <w:rPr>
          <w:sz w:val="16"/>
        </w:rPr>
        <w:t>Trade</w:t>
      </w:r>
      <w:r>
        <w:rPr>
          <w:spacing w:val="-4"/>
          <w:sz w:val="16"/>
        </w:rPr>
        <w:t> </w:t>
      </w:r>
      <w:r>
        <w:rPr>
          <w:sz w:val="16"/>
        </w:rPr>
        <w:t>receivables</w:t>
        <w:tab/>
        <w:tab/>
        <w:tab/>
        <w:t>108,456</w:t>
        <w:tab/>
        <w:tab/>
        <w:t>-</w:t>
        <w:tab/>
        <w:tab/>
        <w:t>-</w:t>
        <w:tab/>
        <w:tab/>
        <w:t>-</w:t>
        <w:tab/>
        <w:tab/>
        <w:t>- Other</w:t>
      </w:r>
      <w:r>
        <w:rPr>
          <w:spacing w:val="1"/>
          <w:sz w:val="16"/>
        </w:rPr>
        <w:t> </w:t>
      </w:r>
      <w:r>
        <w:rPr>
          <w:sz w:val="16"/>
        </w:rPr>
        <w:t>financial</w:t>
      </w:r>
      <w:r>
        <w:rPr>
          <w:spacing w:val="1"/>
          <w:sz w:val="16"/>
        </w:rPr>
        <w:t> </w:t>
      </w:r>
      <w:r>
        <w:rPr>
          <w:sz w:val="16"/>
        </w:rPr>
        <w:t>assets</w:t>
        <w:tab/>
      </w:r>
      <w:r>
        <w:rPr>
          <w:rFonts w:ascii="Times New Roman"/>
          <w:sz w:val="16"/>
          <w:u w:val="single"/>
        </w:rPr>
        <w:t> </w:t>
        <w:tab/>
      </w:r>
      <w:r>
        <w:rPr>
          <w:sz w:val="16"/>
          <w:u w:val="single"/>
        </w:rPr>
        <w:t>25,579,182</w:t>
        <w:tab/>
        <w:t>(255,792)</w:t>
        <w:tab/>
        <w:t>(255,792)</w:t>
        <w:tab/>
        <w:t>255,792</w:t>
        <w:tab/>
        <w:t>255,792</w:t>
      </w:r>
    </w:p>
    <w:p>
      <w:pPr>
        <w:tabs>
          <w:tab w:pos="5968" w:val="left" w:leader="none"/>
          <w:tab w:pos="6268" w:val="left" w:leader="none"/>
          <w:tab w:pos="7281" w:val="left" w:leader="none"/>
          <w:tab w:pos="8347" w:val="left" w:leader="none"/>
          <w:tab w:pos="9359" w:val="left" w:leader="none"/>
        </w:tabs>
        <w:spacing w:before="10"/>
        <w:ind w:left="1070" w:right="125" w:firstLine="0"/>
        <w:jc w:val="left"/>
        <w:rPr>
          <w:sz w:val="16"/>
        </w:rPr>
      </w:pPr>
      <w:r>
        <w:rPr>
          <w:sz w:val="16"/>
        </w:rPr>
        <w:t>Total increase/(decrease) in</w:t>
      </w:r>
      <w:r>
        <w:rPr>
          <w:spacing w:val="7"/>
          <w:sz w:val="16"/>
        </w:rPr>
        <w:t> </w:t>
      </w:r>
      <w:r>
        <w:rPr>
          <w:sz w:val="16"/>
        </w:rPr>
        <w:t>financial</w:t>
      </w:r>
      <w:r>
        <w:rPr>
          <w:spacing w:val="2"/>
          <w:sz w:val="16"/>
        </w:rPr>
        <w:t> </w:t>
      </w:r>
      <w:r>
        <w:rPr>
          <w:sz w:val="16"/>
        </w:rPr>
        <w:t>assets</w:t>
        <w:tab/>
      </w:r>
      <w:r>
        <w:rPr>
          <w:rFonts w:ascii="Times New Roman"/>
          <w:sz w:val="16"/>
          <w:u w:val="single"/>
        </w:rPr>
        <w:t> </w:t>
        <w:tab/>
      </w:r>
      <w:r>
        <w:rPr>
          <w:sz w:val="16"/>
          <w:u w:val="single"/>
        </w:rPr>
        <w:t>(326,247)</w:t>
        <w:tab/>
        <w:t>(326,247)</w:t>
        <w:tab/>
        <w:t>326,247</w:t>
        <w:tab/>
        <w:t>326,247</w:t>
      </w:r>
    </w:p>
    <w:p>
      <w:pPr>
        <w:spacing w:before="123"/>
        <w:ind w:left="1070" w:right="125" w:firstLine="0"/>
        <w:jc w:val="left"/>
        <w:rPr>
          <w:b/>
          <w:sz w:val="16"/>
        </w:rPr>
      </w:pPr>
      <w:r>
        <w:rPr>
          <w:b/>
          <w:sz w:val="16"/>
        </w:rPr>
        <w:t>Financial liabilities</w:t>
      </w:r>
    </w:p>
    <w:p>
      <w:pPr>
        <w:tabs>
          <w:tab w:pos="4840" w:val="left" w:leader="none"/>
          <w:tab w:pos="5831" w:val="left" w:leader="none"/>
          <w:tab w:pos="6847" w:val="left" w:leader="none"/>
          <w:tab w:pos="7859" w:val="left" w:leader="none"/>
          <w:tab w:pos="8872" w:val="left" w:leader="none"/>
          <w:tab w:pos="9885" w:val="left" w:leader="none"/>
        </w:tabs>
        <w:spacing w:line="254" w:lineRule="auto" w:before="1"/>
        <w:ind w:left="1070" w:right="204" w:firstLine="0"/>
        <w:jc w:val="left"/>
        <w:rPr>
          <w:sz w:val="16"/>
        </w:rPr>
      </w:pPr>
      <w:r>
        <w:rPr>
          <w:sz w:val="16"/>
        </w:rPr>
        <w:t>Trade</w:t>
      </w:r>
      <w:r>
        <w:rPr>
          <w:spacing w:val="-3"/>
          <w:sz w:val="16"/>
        </w:rPr>
        <w:t> </w:t>
      </w:r>
      <w:r>
        <w:rPr>
          <w:sz w:val="16"/>
        </w:rPr>
        <w:t>payables</w:t>
        <w:tab/>
      </w:r>
      <w:r>
        <w:rPr>
          <w:rFonts w:ascii="Times New Roman"/>
          <w:sz w:val="16"/>
          <w:u w:val="single"/>
        </w:rPr>
        <w:t> </w:t>
        <w:tab/>
      </w:r>
      <w:r>
        <w:rPr>
          <w:sz w:val="16"/>
          <w:u w:val="single"/>
        </w:rPr>
        <w:t>-</w:t>
        <w:tab/>
        <w:t>-</w:t>
        <w:tab/>
        <w:t>-</w:t>
        <w:tab/>
        <w:t>-</w:t>
        <w:tab/>
        <w:t>- </w:t>
      </w:r>
      <w:r>
        <w:rPr>
          <w:sz w:val="16"/>
        </w:rPr>
        <w:t>Total increase/(decrease) in</w:t>
      </w:r>
      <w:r>
        <w:rPr>
          <w:spacing w:val="7"/>
          <w:sz w:val="16"/>
        </w:rPr>
        <w:t> </w:t>
      </w:r>
      <w:r>
        <w:rPr>
          <w:sz w:val="16"/>
        </w:rPr>
        <w:t>financial</w:t>
      </w:r>
      <w:r>
        <w:rPr>
          <w:spacing w:val="2"/>
          <w:sz w:val="16"/>
        </w:rPr>
        <w:t> </w:t>
      </w:r>
      <w:r>
        <w:rPr>
          <w:sz w:val="16"/>
        </w:rPr>
        <w:t>liabilities</w:t>
        <w:tab/>
        <w:tab/>
        <w:t>-</w:t>
      </w:r>
      <w:r>
        <w:rPr>
          <w:rFonts w:ascii="Times New Roman"/>
          <w:sz w:val="16"/>
          <w:u w:val="single"/>
        </w:rPr>
        <w:t> </w:t>
        <w:tab/>
      </w:r>
      <w:r>
        <w:rPr>
          <w:sz w:val="16"/>
          <w:u w:val="single"/>
        </w:rPr>
        <w:t>-</w:t>
        <w:tab/>
        <w:t>-</w:t>
        <w:tab/>
        <w:t>-</w:t>
        <w:tab/>
        <w:t>-</w:t>
      </w:r>
    </w:p>
    <w:p>
      <w:pPr>
        <w:tabs>
          <w:tab w:pos="5968" w:val="left" w:leader="none"/>
          <w:tab w:pos="6268" w:val="left" w:leader="none"/>
          <w:tab w:pos="7281" w:val="left" w:leader="none"/>
          <w:tab w:pos="8347" w:val="left" w:leader="none"/>
          <w:tab w:pos="9359" w:val="left" w:leader="none"/>
        </w:tabs>
        <w:spacing w:before="139"/>
        <w:ind w:left="1070" w:right="125" w:firstLine="0"/>
        <w:jc w:val="left"/>
        <w:rPr>
          <w:sz w:val="16"/>
        </w:rPr>
      </w:pPr>
      <w:r>
        <w:rPr>
          <w:sz w:val="16"/>
        </w:rPr>
        <w:t>Total</w:t>
      </w:r>
      <w:r>
        <w:rPr>
          <w:spacing w:val="2"/>
          <w:sz w:val="16"/>
        </w:rPr>
        <w:t> </w:t>
      </w:r>
      <w:r>
        <w:rPr>
          <w:sz w:val="16"/>
        </w:rPr>
        <w:t>increase/(decrease)</w:t>
        <w:tab/>
      </w:r>
      <w:r>
        <w:rPr>
          <w:rFonts w:ascii="Times New Roman"/>
          <w:sz w:val="16"/>
          <w:u w:val="single"/>
        </w:rPr>
        <w:t> </w:t>
        <w:tab/>
      </w:r>
      <w:r>
        <w:rPr>
          <w:sz w:val="16"/>
          <w:u w:val="single"/>
        </w:rPr>
        <w:t>(326,247)</w:t>
        <w:tab/>
        <w:t>(326,247)</w:t>
        <w:tab/>
        <w:t>326,247</w:t>
        <w:tab/>
        <w:t>326,247</w:t>
      </w:r>
    </w:p>
    <w:p>
      <w:pPr>
        <w:pStyle w:val="BodyText"/>
        <w:spacing w:before="11"/>
      </w:pPr>
    </w:p>
    <w:p>
      <w:pPr>
        <w:spacing w:after="0"/>
        <w:sectPr>
          <w:type w:val="continuous"/>
          <w:pgSz w:w="11910" w:h="16840"/>
          <w:pgMar w:top="0" w:bottom="280" w:left="900" w:right="860"/>
        </w:sectPr>
      </w:pPr>
    </w:p>
    <w:p>
      <w:pPr>
        <w:pStyle w:val="BodyText"/>
        <w:spacing w:before="2"/>
        <w:rPr>
          <w:sz w:val="25"/>
        </w:rPr>
      </w:pPr>
    </w:p>
    <w:p>
      <w:pPr>
        <w:tabs>
          <w:tab w:pos="5099" w:val="left" w:leader="none"/>
        </w:tabs>
        <w:spacing w:line="208" w:lineRule="exact" w:before="1"/>
        <w:ind w:left="1070" w:right="0" w:firstLine="0"/>
        <w:jc w:val="left"/>
        <w:rPr>
          <w:sz w:val="16"/>
        </w:rPr>
      </w:pPr>
      <w:r>
        <w:rPr>
          <w:b/>
          <w:sz w:val="16"/>
        </w:rPr>
        <w:t>31</w:t>
      </w:r>
      <w:r>
        <w:rPr>
          <w:b/>
          <w:spacing w:val="-2"/>
          <w:sz w:val="16"/>
        </w:rPr>
        <w:t> </w:t>
      </w:r>
      <w:r>
        <w:rPr>
          <w:b/>
          <w:sz w:val="16"/>
        </w:rPr>
        <w:t>December</w:t>
      </w:r>
      <w:r>
        <w:rPr>
          <w:b/>
          <w:spacing w:val="-2"/>
          <w:sz w:val="16"/>
        </w:rPr>
        <w:t> </w:t>
      </w:r>
      <w:r>
        <w:rPr>
          <w:b/>
          <w:sz w:val="16"/>
        </w:rPr>
        <w:t>2011</w:t>
        <w:tab/>
      </w:r>
      <w:r>
        <w:rPr>
          <w:spacing w:val="-1"/>
          <w:position w:val="9"/>
          <w:sz w:val="16"/>
        </w:rPr>
        <w:t>Carrying</w:t>
      </w:r>
    </w:p>
    <w:p>
      <w:pPr>
        <w:pStyle w:val="BodyText"/>
        <w:rPr>
          <w:sz w:val="16"/>
        </w:rPr>
      </w:pPr>
      <w:r>
        <w:rPr/>
        <w:br w:type="column"/>
      </w:r>
      <w:r>
        <w:rPr>
          <w:sz w:val="16"/>
        </w:rPr>
      </w:r>
    </w:p>
    <w:p>
      <w:pPr>
        <w:spacing w:before="110"/>
        <w:ind w:left="432" w:right="-16" w:firstLine="0"/>
        <w:jc w:val="left"/>
        <w:rPr>
          <w:sz w:val="16"/>
        </w:rPr>
      </w:pPr>
      <w:r>
        <w:rPr>
          <w:sz w:val="16"/>
        </w:rPr>
        <w:t>Surplus/</w:t>
      </w:r>
    </w:p>
    <w:p>
      <w:pPr>
        <w:tabs>
          <w:tab w:pos="1892" w:val="left" w:leader="none"/>
        </w:tabs>
        <w:spacing w:before="80"/>
        <w:ind w:left="-13" w:right="0" w:firstLine="0"/>
        <w:jc w:val="left"/>
        <w:rPr>
          <w:sz w:val="16"/>
        </w:rPr>
      </w:pPr>
      <w:r>
        <w:rPr/>
        <w:br w:type="column"/>
      </w:r>
      <w:r>
        <w:rPr>
          <w:sz w:val="16"/>
        </w:rPr>
        <w:t>-100bps</w:t>
        <w:tab/>
        <w:t>+100bps</w:t>
      </w:r>
    </w:p>
    <w:p>
      <w:pPr>
        <w:spacing w:before="29"/>
        <w:ind w:left="1378" w:right="1338" w:firstLine="0"/>
        <w:jc w:val="center"/>
        <w:rPr>
          <w:sz w:val="16"/>
        </w:rPr>
      </w:pPr>
      <w:r>
        <w:rPr>
          <w:sz w:val="16"/>
        </w:rPr>
        <w:t>Surplus/</w:t>
      </w:r>
    </w:p>
    <w:p>
      <w:pPr>
        <w:spacing w:after="0"/>
        <w:jc w:val="center"/>
        <w:rPr>
          <w:sz w:val="16"/>
        </w:rPr>
        <w:sectPr>
          <w:type w:val="continuous"/>
          <w:pgSz w:w="11910" w:h="16840"/>
          <w:pgMar w:top="0" w:bottom="280" w:left="900" w:right="860"/>
          <w:cols w:num="3" w:equalWidth="0">
            <w:col w:w="5703" w:space="40"/>
            <w:col w:w="1023" w:space="40"/>
            <w:col w:w="3344"/>
          </w:cols>
        </w:sectPr>
      </w:pPr>
    </w:p>
    <w:p>
      <w:pPr>
        <w:pStyle w:val="BodyText"/>
        <w:rPr>
          <w:sz w:val="16"/>
        </w:rPr>
      </w:pPr>
    </w:p>
    <w:p>
      <w:pPr>
        <w:pStyle w:val="BodyText"/>
        <w:spacing w:before="10"/>
        <w:rPr>
          <w:sz w:val="16"/>
        </w:rPr>
      </w:pPr>
    </w:p>
    <w:p>
      <w:pPr>
        <w:spacing w:before="0"/>
        <w:ind w:left="1070" w:right="-15" w:firstLine="0"/>
        <w:jc w:val="left"/>
        <w:rPr>
          <w:b/>
          <w:sz w:val="16"/>
        </w:rPr>
      </w:pPr>
      <w:r>
        <w:rPr>
          <w:b/>
          <w:sz w:val="16"/>
        </w:rPr>
        <w:t>Financial assets</w:t>
      </w:r>
    </w:p>
    <w:p>
      <w:pPr>
        <w:spacing w:line="164" w:lineRule="exact" w:before="0"/>
        <w:ind w:left="1070" w:right="0" w:firstLine="0"/>
        <w:jc w:val="center"/>
        <w:rPr>
          <w:sz w:val="16"/>
        </w:rPr>
      </w:pPr>
      <w:r>
        <w:rPr/>
        <w:br w:type="column"/>
      </w:r>
      <w:r>
        <w:rPr>
          <w:sz w:val="16"/>
        </w:rPr>
        <w:t>amount</w:t>
      </w:r>
    </w:p>
    <w:p>
      <w:pPr>
        <w:spacing w:before="1"/>
        <w:ind w:left="0" w:right="219" w:firstLine="0"/>
        <w:jc w:val="right"/>
        <w:rPr>
          <w:sz w:val="16"/>
        </w:rPr>
      </w:pPr>
      <w:r>
        <w:rPr>
          <w:w w:val="100"/>
          <w:sz w:val="16"/>
        </w:rPr>
        <w:t>$</w:t>
      </w:r>
    </w:p>
    <w:p>
      <w:pPr>
        <w:spacing w:line="164" w:lineRule="exact" w:before="0"/>
        <w:ind w:left="498" w:right="0" w:firstLine="0"/>
        <w:jc w:val="center"/>
        <w:rPr>
          <w:sz w:val="16"/>
        </w:rPr>
      </w:pPr>
      <w:r>
        <w:rPr/>
        <w:br w:type="column"/>
      </w:r>
      <w:r>
        <w:rPr>
          <w:sz w:val="16"/>
        </w:rPr>
        <w:t>(deficit)</w:t>
      </w:r>
    </w:p>
    <w:p>
      <w:pPr>
        <w:spacing w:before="1"/>
        <w:ind w:left="0" w:right="216" w:firstLine="0"/>
        <w:jc w:val="right"/>
        <w:rPr>
          <w:sz w:val="16"/>
        </w:rPr>
      </w:pPr>
      <w:r>
        <w:rPr>
          <w:w w:val="100"/>
          <w:sz w:val="16"/>
        </w:rPr>
        <w:t>$</w:t>
      </w:r>
    </w:p>
    <w:p>
      <w:pPr>
        <w:spacing w:line="164" w:lineRule="exact" w:before="0"/>
        <w:ind w:left="304" w:right="0" w:firstLine="0"/>
        <w:jc w:val="center"/>
        <w:rPr>
          <w:sz w:val="16"/>
        </w:rPr>
      </w:pPr>
      <w:r>
        <w:rPr/>
        <w:br w:type="column"/>
      </w:r>
      <w:r>
        <w:rPr>
          <w:sz w:val="16"/>
        </w:rPr>
        <w:t>Trust funds</w:t>
      </w:r>
    </w:p>
    <w:p>
      <w:pPr>
        <w:spacing w:before="1"/>
        <w:ind w:left="309" w:right="0" w:firstLine="0"/>
        <w:jc w:val="center"/>
        <w:rPr>
          <w:sz w:val="16"/>
        </w:rPr>
      </w:pPr>
      <w:r>
        <w:rPr>
          <w:w w:val="100"/>
          <w:sz w:val="16"/>
        </w:rPr>
        <w:t>$</w:t>
      </w:r>
    </w:p>
    <w:p>
      <w:pPr>
        <w:spacing w:line="164" w:lineRule="exact" w:before="0"/>
        <w:ind w:left="306" w:right="0" w:firstLine="0"/>
        <w:jc w:val="center"/>
        <w:rPr>
          <w:sz w:val="16"/>
        </w:rPr>
      </w:pPr>
      <w:r>
        <w:rPr/>
        <w:br w:type="column"/>
      </w:r>
      <w:r>
        <w:rPr>
          <w:sz w:val="16"/>
        </w:rPr>
        <w:t>(deficit)</w:t>
      </w:r>
    </w:p>
    <w:p>
      <w:pPr>
        <w:spacing w:before="1"/>
        <w:ind w:left="309" w:right="0" w:firstLine="0"/>
        <w:jc w:val="center"/>
        <w:rPr>
          <w:sz w:val="16"/>
        </w:rPr>
      </w:pPr>
      <w:r>
        <w:rPr>
          <w:w w:val="100"/>
          <w:sz w:val="16"/>
        </w:rPr>
        <w:t>$</w:t>
      </w:r>
    </w:p>
    <w:p>
      <w:pPr>
        <w:spacing w:line="164" w:lineRule="exact" w:before="0"/>
        <w:ind w:left="287" w:right="217" w:firstLine="0"/>
        <w:jc w:val="center"/>
        <w:rPr>
          <w:sz w:val="16"/>
        </w:rPr>
      </w:pPr>
      <w:r>
        <w:rPr/>
        <w:br w:type="column"/>
      </w:r>
      <w:r>
        <w:rPr>
          <w:sz w:val="16"/>
        </w:rPr>
        <w:t>Trust funds</w:t>
      </w:r>
    </w:p>
    <w:p>
      <w:pPr>
        <w:spacing w:before="1"/>
        <w:ind w:left="74" w:right="0" w:firstLine="0"/>
        <w:jc w:val="center"/>
        <w:rPr>
          <w:sz w:val="16"/>
        </w:rPr>
      </w:pPr>
      <w:r>
        <w:rPr>
          <w:w w:val="100"/>
          <w:sz w:val="16"/>
        </w:rPr>
        <w:t>$</w:t>
      </w:r>
    </w:p>
    <w:p>
      <w:pPr>
        <w:spacing w:after="0"/>
        <w:jc w:val="center"/>
        <w:rPr>
          <w:sz w:val="16"/>
        </w:rPr>
        <w:sectPr>
          <w:type w:val="continuous"/>
          <w:pgSz w:w="11910" w:h="16840"/>
          <w:pgMar w:top="0" w:bottom="280" w:left="900" w:right="860"/>
          <w:cols w:num="6" w:equalWidth="0">
            <w:col w:w="2312" w:space="1749"/>
            <w:col w:w="1608" w:space="40"/>
            <w:col w:w="1028" w:space="40"/>
            <w:col w:w="1111" w:space="40"/>
            <w:col w:w="836" w:space="40"/>
            <w:col w:w="1346"/>
          </w:cols>
        </w:sectPr>
      </w:pPr>
    </w:p>
    <w:p>
      <w:pPr>
        <w:tabs>
          <w:tab w:pos="4838" w:val="left" w:leader="none"/>
          <w:tab w:pos="5080" w:val="left" w:leader="none"/>
          <w:tab w:pos="5303" w:val="left" w:leader="none"/>
          <w:tab w:pos="6355" w:val="left" w:leader="none"/>
          <w:tab w:pos="6844" w:val="left" w:leader="none"/>
          <w:tab w:pos="7857" w:val="left" w:leader="none"/>
          <w:tab w:pos="8433" w:val="left" w:leader="none"/>
          <w:tab w:pos="8870" w:val="left" w:leader="none"/>
          <w:tab w:pos="9446" w:val="left" w:leader="none"/>
          <w:tab w:pos="9883" w:val="left" w:leader="none"/>
        </w:tabs>
        <w:spacing w:before="1"/>
        <w:ind w:left="1070" w:right="206" w:firstLine="0"/>
        <w:jc w:val="both"/>
        <w:rPr>
          <w:sz w:val="16"/>
        </w:rPr>
      </w:pPr>
      <w:r>
        <w:rPr>
          <w:sz w:val="16"/>
        </w:rPr>
        <w:t>Cash and</w:t>
      </w:r>
      <w:r>
        <w:rPr>
          <w:spacing w:val="-4"/>
          <w:sz w:val="16"/>
        </w:rPr>
        <w:t> </w:t>
      </w:r>
      <w:r>
        <w:rPr>
          <w:sz w:val="16"/>
        </w:rPr>
        <w:t>cash</w:t>
      </w:r>
      <w:r>
        <w:rPr>
          <w:spacing w:val="-2"/>
          <w:sz w:val="16"/>
        </w:rPr>
        <w:t> </w:t>
      </w:r>
      <w:r>
        <w:rPr>
          <w:sz w:val="16"/>
        </w:rPr>
        <w:t>equivalents</w:t>
        <w:tab/>
        <w:tab/>
        <w:t>19,255,703        (192,557)       (192,557)        </w:t>
      </w:r>
      <w:r>
        <w:rPr>
          <w:spacing w:val="7"/>
          <w:sz w:val="16"/>
        </w:rPr>
        <w:t> </w:t>
      </w:r>
      <w:r>
        <w:rPr>
          <w:sz w:val="16"/>
        </w:rPr>
        <w:t>192,557        </w:t>
      </w:r>
      <w:r>
        <w:rPr>
          <w:spacing w:val="27"/>
          <w:sz w:val="16"/>
        </w:rPr>
        <w:t> </w:t>
      </w:r>
      <w:r>
        <w:rPr>
          <w:sz w:val="16"/>
        </w:rPr>
        <w:t>192,557</w:t>
      </w:r>
      <w:r>
        <w:rPr>
          <w:spacing w:val="-1"/>
          <w:w w:val="100"/>
          <w:sz w:val="16"/>
        </w:rPr>
        <w:t> </w:t>
      </w:r>
      <w:r>
        <w:rPr>
          <w:sz w:val="16"/>
        </w:rPr>
        <w:t>Trade</w:t>
      </w:r>
      <w:r>
        <w:rPr>
          <w:spacing w:val="-4"/>
          <w:sz w:val="16"/>
        </w:rPr>
        <w:t> </w:t>
      </w:r>
      <w:r>
        <w:rPr>
          <w:sz w:val="16"/>
        </w:rPr>
        <w:t>receivables</w:t>
        <w:tab/>
        <w:tab/>
        <w:tab/>
        <w:t>236,713</w:t>
        <w:tab/>
        <w:tab/>
        <w:t>-</w:t>
        <w:tab/>
        <w:t>-</w:t>
        <w:tab/>
        <w:tab/>
        <w:t>-</w:t>
        <w:tab/>
        <w:tab/>
        <w:t>- Other financial assets</w:t>
        <w:tab/>
        <w:tab/>
      </w:r>
      <w:r>
        <w:rPr>
          <w:sz w:val="16"/>
          <w:u w:val="single"/>
        </w:rPr>
        <w:t>9,650,893</w:t>
        <w:tab/>
        <w:t>(96,509)        </w:t>
      </w:r>
      <w:r>
        <w:rPr>
          <w:spacing w:val="9"/>
          <w:sz w:val="16"/>
          <w:u w:val="single"/>
        </w:rPr>
        <w:t> </w:t>
      </w:r>
      <w:r>
        <w:rPr>
          <w:sz w:val="16"/>
          <w:u w:val="single"/>
        </w:rPr>
        <w:t>(96,509)</w:t>
        <w:tab/>
        <w:t>96,509</w:t>
        <w:tab/>
        <w:t>96,509</w:t>
      </w:r>
    </w:p>
    <w:p>
      <w:pPr>
        <w:tabs>
          <w:tab w:pos="5966" w:val="left" w:leader="none"/>
        </w:tabs>
        <w:spacing w:before="10"/>
        <w:ind w:left="1070" w:right="0" w:firstLine="0"/>
        <w:jc w:val="both"/>
        <w:rPr>
          <w:sz w:val="16"/>
        </w:rPr>
      </w:pPr>
      <w:r>
        <w:rPr>
          <w:sz w:val="16"/>
        </w:rPr>
        <w:t>Total increase/(decrease) in</w:t>
      </w:r>
      <w:r>
        <w:rPr>
          <w:spacing w:val="-1"/>
          <w:sz w:val="16"/>
        </w:rPr>
        <w:t> </w:t>
      </w:r>
      <w:r>
        <w:rPr>
          <w:sz w:val="16"/>
        </w:rPr>
        <w:t>financial</w:t>
      </w:r>
      <w:r>
        <w:rPr>
          <w:spacing w:val="-1"/>
          <w:sz w:val="16"/>
        </w:rPr>
        <w:t> </w:t>
      </w:r>
      <w:r>
        <w:rPr>
          <w:sz w:val="16"/>
        </w:rPr>
        <w:t>assets</w:t>
        <w:tab/>
      </w:r>
      <w:r>
        <w:rPr>
          <w:sz w:val="16"/>
          <w:u w:val="single"/>
        </w:rPr>
        <w:t>(289,066)       (289,066)         289,066        </w:t>
      </w:r>
      <w:r>
        <w:rPr>
          <w:spacing w:val="28"/>
          <w:sz w:val="16"/>
          <w:u w:val="single"/>
        </w:rPr>
        <w:t> </w:t>
      </w:r>
      <w:r>
        <w:rPr>
          <w:sz w:val="16"/>
          <w:u w:val="single"/>
        </w:rPr>
        <w:t>289,066</w:t>
      </w:r>
    </w:p>
    <w:p>
      <w:pPr>
        <w:spacing w:before="123"/>
        <w:ind w:left="1070" w:right="0" w:firstLine="0"/>
        <w:jc w:val="both"/>
        <w:rPr>
          <w:b/>
          <w:sz w:val="16"/>
        </w:rPr>
      </w:pPr>
      <w:r>
        <w:rPr>
          <w:b/>
          <w:sz w:val="16"/>
        </w:rPr>
        <w:t>Financial liabilities</w:t>
      </w:r>
    </w:p>
    <w:p>
      <w:pPr>
        <w:tabs>
          <w:tab w:pos="4838" w:val="left" w:leader="none"/>
          <w:tab w:pos="5829" w:val="left" w:leader="none"/>
          <w:tab w:pos="6844" w:val="left" w:leader="none"/>
          <w:tab w:pos="7857" w:val="left" w:leader="none"/>
          <w:tab w:pos="8870" w:val="left" w:leader="none"/>
          <w:tab w:pos="9883" w:val="left" w:leader="none"/>
        </w:tabs>
        <w:spacing w:line="254" w:lineRule="auto" w:before="1"/>
        <w:ind w:left="1070" w:right="206" w:firstLine="0"/>
        <w:jc w:val="both"/>
        <w:rPr>
          <w:sz w:val="16"/>
        </w:rPr>
      </w:pPr>
      <w:r>
        <w:rPr>
          <w:sz w:val="16"/>
        </w:rPr>
        <w:t>Trade</w:t>
      </w:r>
      <w:r>
        <w:rPr>
          <w:spacing w:val="-4"/>
          <w:sz w:val="16"/>
        </w:rPr>
        <w:t> </w:t>
      </w:r>
      <w:r>
        <w:rPr>
          <w:sz w:val="16"/>
        </w:rPr>
        <w:t>payables</w:t>
        <w:tab/>
      </w:r>
      <w:r>
        <w:rPr>
          <w:rFonts w:ascii="Times New Roman"/>
          <w:sz w:val="16"/>
          <w:u w:val="single"/>
        </w:rPr>
        <w:t> </w:t>
        <w:tab/>
      </w:r>
      <w:r>
        <w:rPr>
          <w:sz w:val="16"/>
          <w:u w:val="single"/>
        </w:rPr>
        <w:t>-</w:t>
        <w:tab/>
        <w:t>-</w:t>
        <w:tab/>
        <w:t>-</w:t>
        <w:tab/>
        <w:t>-</w:t>
        <w:tab/>
        <w:t>- </w:t>
      </w:r>
      <w:r>
        <w:rPr>
          <w:sz w:val="16"/>
        </w:rPr>
        <w:t>Total increase/(decrease) in</w:t>
      </w:r>
      <w:r>
        <w:rPr>
          <w:spacing w:val="7"/>
          <w:sz w:val="16"/>
        </w:rPr>
        <w:t> </w:t>
      </w:r>
      <w:r>
        <w:rPr>
          <w:sz w:val="16"/>
        </w:rPr>
        <w:t>financial</w:t>
      </w:r>
      <w:r>
        <w:rPr>
          <w:spacing w:val="2"/>
          <w:sz w:val="16"/>
        </w:rPr>
        <w:t> </w:t>
      </w:r>
      <w:r>
        <w:rPr>
          <w:sz w:val="16"/>
        </w:rPr>
        <w:t>liabilities</w:t>
        <w:tab/>
        <w:tab/>
        <w:t>-</w:t>
      </w:r>
      <w:r>
        <w:rPr>
          <w:rFonts w:ascii="Times New Roman"/>
          <w:sz w:val="16"/>
          <w:u w:val="single"/>
        </w:rPr>
        <w:t> </w:t>
        <w:tab/>
      </w:r>
      <w:r>
        <w:rPr>
          <w:sz w:val="16"/>
          <w:u w:val="single"/>
        </w:rPr>
        <w:t>-</w:t>
        <w:tab/>
        <w:t>-</w:t>
        <w:tab/>
        <w:t>-</w:t>
        <w:tab/>
        <w:t>-</w:t>
      </w:r>
    </w:p>
    <w:p>
      <w:pPr>
        <w:tabs>
          <w:tab w:pos="5966" w:val="left" w:leader="none"/>
          <w:tab w:pos="6266" w:val="left" w:leader="none"/>
          <w:tab w:pos="7279" w:val="left" w:leader="none"/>
          <w:tab w:pos="8344" w:val="left" w:leader="none"/>
          <w:tab w:pos="9357" w:val="left" w:leader="none"/>
        </w:tabs>
        <w:spacing w:before="139"/>
        <w:ind w:left="1070" w:right="125" w:firstLine="0"/>
        <w:jc w:val="left"/>
        <w:rPr>
          <w:sz w:val="16"/>
        </w:rPr>
      </w:pPr>
      <w:r>
        <w:rPr>
          <w:sz w:val="16"/>
        </w:rPr>
        <w:t>Total</w:t>
      </w:r>
      <w:r>
        <w:rPr>
          <w:spacing w:val="2"/>
          <w:sz w:val="16"/>
        </w:rPr>
        <w:t> </w:t>
      </w:r>
      <w:r>
        <w:rPr>
          <w:sz w:val="16"/>
        </w:rPr>
        <w:t>increase/(decrease)</w:t>
        <w:tab/>
      </w:r>
      <w:r>
        <w:rPr>
          <w:rFonts w:ascii="Times New Roman"/>
          <w:sz w:val="16"/>
          <w:u w:val="single"/>
        </w:rPr>
        <w:t> </w:t>
        <w:tab/>
      </w:r>
      <w:r>
        <w:rPr>
          <w:sz w:val="16"/>
          <w:u w:val="single"/>
        </w:rPr>
        <w:t>(289,066)</w:t>
        <w:tab/>
        <w:t>(289,066)</w:t>
        <w:tab/>
        <w:t>289,066</w:t>
        <w:tab/>
        <w:t>289,066</w:t>
      </w:r>
    </w:p>
    <w:p>
      <w:pPr>
        <w:spacing w:after="0"/>
        <w:jc w:val="left"/>
        <w:rPr>
          <w:sz w:val="16"/>
        </w:rPr>
        <w:sectPr>
          <w:type w:val="continuous"/>
          <w:pgSz w:w="11910" w:h="16840"/>
          <w:pgMar w:top="0" w:bottom="280" w:left="900" w:right="860"/>
        </w:sectPr>
      </w:pPr>
    </w:p>
    <w:p>
      <w:pPr>
        <w:pStyle w:val="BodyText"/>
        <w:spacing w:before="1"/>
        <w:rPr>
          <w:sz w:val="24"/>
        </w:rPr>
      </w:pPr>
    </w:p>
    <w:p>
      <w:pPr>
        <w:pStyle w:val="Heading3"/>
      </w:pPr>
      <w:r>
        <w:rPr/>
        <w:t>Notes to the financial statements</w:t>
      </w:r>
    </w:p>
    <w:p>
      <w:pPr>
        <w:pStyle w:val="Heading6"/>
        <w:spacing w:before="53"/>
      </w:pPr>
      <w:r>
        <w:rPr/>
        <w:t>For the Year Ended 31 December 2012</w:t>
      </w:r>
    </w:p>
    <w:p>
      <w:pPr>
        <w:pStyle w:val="BodyText"/>
        <w:rPr>
          <w:b/>
          <w:sz w:val="22"/>
        </w:rPr>
      </w:pPr>
    </w:p>
    <w:p>
      <w:pPr>
        <w:pStyle w:val="BodyText"/>
        <w:rPr>
          <w:b/>
          <w:sz w:val="22"/>
        </w:rPr>
      </w:pPr>
    </w:p>
    <w:p>
      <w:pPr>
        <w:pStyle w:val="Heading9"/>
        <w:tabs>
          <w:tab w:pos="1070" w:val="left" w:leader="none"/>
        </w:tabs>
        <w:spacing w:before="161"/>
        <w:ind w:left="504" w:right="125"/>
      </w:pPr>
      <w:r>
        <w:rPr/>
        <w:t>2</w:t>
        <w:tab/>
        <w:t>Financial Risk Management</w:t>
      </w:r>
      <w:r>
        <w:rPr>
          <w:spacing w:val="3"/>
        </w:rPr>
        <w:t> </w:t>
      </w:r>
      <w:r>
        <w:rPr/>
        <w:t>(continued)</w:t>
      </w:r>
    </w:p>
    <w:p>
      <w:pPr>
        <w:pStyle w:val="BodyText"/>
        <w:spacing w:before="11"/>
        <w:rPr>
          <w:b/>
          <w:sz w:val="24"/>
        </w:rPr>
      </w:pPr>
    </w:p>
    <w:p>
      <w:pPr>
        <w:pStyle w:val="ListParagraph"/>
        <w:numPr>
          <w:ilvl w:val="1"/>
          <w:numId w:val="63"/>
        </w:numPr>
        <w:tabs>
          <w:tab w:pos="1071" w:val="left" w:leader="none"/>
        </w:tabs>
        <w:spacing w:line="240" w:lineRule="auto" w:before="0" w:after="0"/>
        <w:ind w:left="1070" w:right="0" w:hanging="566"/>
        <w:jc w:val="left"/>
        <w:rPr>
          <w:b/>
          <w:sz w:val="18"/>
        </w:rPr>
      </w:pPr>
      <w:r>
        <w:rPr>
          <w:b/>
          <w:sz w:val="18"/>
        </w:rPr>
        <w:t>Financial Instruments Measured at Fair Value</w:t>
      </w:r>
    </w:p>
    <w:p>
      <w:pPr>
        <w:pStyle w:val="BodyText"/>
        <w:spacing w:before="146"/>
        <w:ind w:left="1072" w:right="116"/>
        <w:jc w:val="both"/>
      </w:pPr>
      <w:r>
        <w:rPr/>
        <w:t>The financial instruments recognised at fair value in the statement of financial position have been analysed and classified using a fair value hierarchy reflecting the significance of the inputs used in making the measurements between those whose fair value is based on. The fair value hierarchy consists of the following levels:</w:t>
      </w:r>
    </w:p>
    <w:p>
      <w:pPr>
        <w:pStyle w:val="ListParagraph"/>
        <w:numPr>
          <w:ilvl w:val="0"/>
          <w:numId w:val="64"/>
        </w:numPr>
        <w:tabs>
          <w:tab w:pos="2360" w:val="left" w:leader="none"/>
        </w:tabs>
        <w:spacing w:line="240" w:lineRule="auto" w:before="119" w:after="0"/>
        <w:ind w:left="2359" w:right="0" w:hanging="720"/>
        <w:jc w:val="left"/>
        <w:rPr>
          <w:sz w:val="18"/>
        </w:rPr>
      </w:pPr>
      <w:r>
        <w:rPr>
          <w:sz w:val="18"/>
        </w:rPr>
        <w:t>quoted prices in active markets for identical assets or liabilities (Level</w:t>
      </w:r>
      <w:r>
        <w:rPr>
          <w:spacing w:val="10"/>
          <w:sz w:val="18"/>
        </w:rPr>
        <w:t> </w:t>
      </w:r>
      <w:r>
        <w:rPr>
          <w:sz w:val="18"/>
        </w:rPr>
        <w:t>1);</w:t>
      </w:r>
    </w:p>
    <w:p>
      <w:pPr>
        <w:pStyle w:val="ListParagraph"/>
        <w:numPr>
          <w:ilvl w:val="0"/>
          <w:numId w:val="64"/>
        </w:numPr>
        <w:tabs>
          <w:tab w:pos="2360" w:val="left" w:leader="none"/>
        </w:tabs>
        <w:spacing w:line="261" w:lineRule="auto" w:before="7" w:after="0"/>
        <w:ind w:left="2359" w:right="115" w:hanging="720"/>
        <w:jc w:val="left"/>
        <w:rPr>
          <w:sz w:val="18"/>
        </w:rPr>
      </w:pPr>
      <w:r>
        <w:rPr>
          <w:sz w:val="18"/>
        </w:rPr>
        <w:t>inputs other than quoted prices included within Level 1 that are observable for the asset or liability, either directly (as prices) or indirectly (derived from prices) (Level 2);</w:t>
      </w:r>
      <w:r>
        <w:rPr>
          <w:spacing w:val="10"/>
          <w:sz w:val="18"/>
        </w:rPr>
        <w:t> </w:t>
      </w:r>
      <w:r>
        <w:rPr>
          <w:sz w:val="18"/>
        </w:rPr>
        <w:t>and</w:t>
      </w:r>
    </w:p>
    <w:p>
      <w:pPr>
        <w:pStyle w:val="ListParagraph"/>
        <w:numPr>
          <w:ilvl w:val="0"/>
          <w:numId w:val="64"/>
        </w:numPr>
        <w:tabs>
          <w:tab w:pos="2360" w:val="left" w:leader="none"/>
        </w:tabs>
        <w:spacing w:line="261" w:lineRule="auto" w:before="0" w:after="0"/>
        <w:ind w:left="2359" w:right="116" w:hanging="720"/>
        <w:jc w:val="left"/>
        <w:rPr>
          <w:sz w:val="18"/>
        </w:rPr>
      </w:pPr>
      <w:r>
        <w:rPr>
          <w:sz w:val="18"/>
        </w:rPr>
        <w:t>inputs for the asset or liability that are not based on observable market data (unobservable inputs) (Level</w:t>
      </w:r>
      <w:r>
        <w:rPr>
          <w:spacing w:val="-1"/>
          <w:sz w:val="18"/>
        </w:rPr>
        <w:t> </w:t>
      </w:r>
      <w:r>
        <w:rPr>
          <w:sz w:val="18"/>
        </w:rPr>
        <w:t>3).</w:t>
      </w:r>
    </w:p>
    <w:p>
      <w:pPr>
        <w:spacing w:after="0" w:line="261" w:lineRule="auto"/>
        <w:jc w:val="left"/>
        <w:rPr>
          <w:sz w:val="18"/>
        </w:rPr>
        <w:sectPr>
          <w:pgSz w:w="11910" w:h="16840"/>
          <w:pgMar w:header="1037" w:footer="526" w:top="1460" w:bottom="700" w:left="900" w:right="860"/>
        </w:sectPr>
      </w:pPr>
    </w:p>
    <w:p>
      <w:pPr>
        <w:pStyle w:val="BodyText"/>
      </w:pPr>
    </w:p>
    <w:p>
      <w:pPr>
        <w:pStyle w:val="BodyText"/>
        <w:spacing w:before="8"/>
        <w:rPr>
          <w:sz w:val="22"/>
        </w:rPr>
      </w:pPr>
    </w:p>
    <w:p>
      <w:pPr>
        <w:pStyle w:val="Heading9"/>
        <w:ind w:right="-13"/>
      </w:pPr>
      <w:r>
        <w:rPr/>
        <w:t>31 December 2012 Financial assets:</w:t>
      </w:r>
    </w:p>
    <w:p>
      <w:pPr>
        <w:spacing w:before="123"/>
        <w:ind w:left="1070" w:right="0" w:firstLine="0"/>
        <w:jc w:val="center"/>
        <w:rPr>
          <w:b/>
          <w:sz w:val="18"/>
        </w:rPr>
      </w:pPr>
      <w:r>
        <w:rPr/>
        <w:br w:type="column"/>
      </w:r>
      <w:r>
        <w:rPr>
          <w:b/>
          <w:sz w:val="18"/>
        </w:rPr>
        <w:t>Level 1</w:t>
      </w:r>
    </w:p>
    <w:p>
      <w:pPr>
        <w:spacing w:before="138"/>
        <w:ind w:left="0" w:right="254" w:firstLine="0"/>
        <w:jc w:val="right"/>
        <w:rPr>
          <w:b/>
          <w:sz w:val="18"/>
        </w:rPr>
      </w:pPr>
      <w:r>
        <w:rPr>
          <w:b/>
          <w:w w:val="99"/>
          <w:sz w:val="18"/>
        </w:rPr>
        <w:t>$</w:t>
      </w:r>
    </w:p>
    <w:p>
      <w:pPr>
        <w:spacing w:before="123"/>
        <w:ind w:left="414" w:right="0" w:firstLine="0"/>
        <w:jc w:val="center"/>
        <w:rPr>
          <w:b/>
          <w:sz w:val="18"/>
        </w:rPr>
      </w:pPr>
      <w:r>
        <w:rPr/>
        <w:br w:type="column"/>
      </w:r>
      <w:r>
        <w:rPr>
          <w:b/>
          <w:sz w:val="18"/>
        </w:rPr>
        <w:t>Level 2</w:t>
      </w:r>
    </w:p>
    <w:p>
      <w:pPr>
        <w:spacing w:before="138"/>
        <w:ind w:left="412" w:right="0" w:firstLine="0"/>
        <w:jc w:val="center"/>
        <w:rPr>
          <w:b/>
          <w:sz w:val="18"/>
        </w:rPr>
      </w:pPr>
      <w:r>
        <w:rPr>
          <w:b/>
          <w:w w:val="99"/>
          <w:sz w:val="18"/>
        </w:rPr>
        <w:t>$</w:t>
      </w:r>
    </w:p>
    <w:p>
      <w:pPr>
        <w:spacing w:before="123"/>
        <w:ind w:left="414" w:right="0" w:firstLine="0"/>
        <w:jc w:val="center"/>
        <w:rPr>
          <w:b/>
          <w:sz w:val="18"/>
        </w:rPr>
      </w:pPr>
      <w:r>
        <w:rPr/>
        <w:br w:type="column"/>
      </w:r>
      <w:r>
        <w:rPr>
          <w:b/>
          <w:sz w:val="18"/>
        </w:rPr>
        <w:t>Level 3</w:t>
      </w:r>
    </w:p>
    <w:p>
      <w:pPr>
        <w:spacing w:before="138"/>
        <w:ind w:left="412" w:right="0" w:firstLine="0"/>
        <w:jc w:val="center"/>
        <w:rPr>
          <w:b/>
          <w:sz w:val="18"/>
        </w:rPr>
      </w:pPr>
      <w:r>
        <w:rPr>
          <w:b/>
          <w:w w:val="99"/>
          <w:sz w:val="18"/>
        </w:rPr>
        <w:t>$</w:t>
      </w:r>
    </w:p>
    <w:p>
      <w:pPr>
        <w:spacing w:before="123"/>
        <w:ind w:left="486" w:right="423" w:firstLine="0"/>
        <w:jc w:val="center"/>
        <w:rPr>
          <w:b/>
          <w:sz w:val="18"/>
        </w:rPr>
      </w:pPr>
      <w:r>
        <w:rPr/>
        <w:br w:type="column"/>
      </w:r>
      <w:r>
        <w:rPr>
          <w:b/>
          <w:sz w:val="18"/>
        </w:rPr>
        <w:t>Total</w:t>
      </w:r>
    </w:p>
    <w:p>
      <w:pPr>
        <w:spacing w:before="138"/>
        <w:ind w:left="62" w:right="0" w:firstLine="0"/>
        <w:jc w:val="center"/>
        <w:rPr>
          <w:b/>
          <w:sz w:val="18"/>
        </w:rPr>
      </w:pPr>
      <w:r>
        <w:rPr>
          <w:b/>
          <w:w w:val="99"/>
          <w:sz w:val="18"/>
        </w:rPr>
        <w:t>$</w:t>
      </w:r>
    </w:p>
    <w:p>
      <w:pPr>
        <w:spacing w:after="0"/>
        <w:jc w:val="center"/>
        <w:rPr>
          <w:sz w:val="18"/>
        </w:rPr>
        <w:sectPr>
          <w:type w:val="continuous"/>
          <w:pgSz w:w="11910" w:h="16840"/>
          <w:pgMar w:top="0" w:bottom="280" w:left="900" w:right="860"/>
          <w:cols w:num="5" w:equalWidth="0">
            <w:col w:w="2649" w:space="2268"/>
            <w:col w:w="1682" w:space="40"/>
            <w:col w:w="1026" w:space="40"/>
            <w:col w:w="1026" w:space="40"/>
            <w:col w:w="1379"/>
          </w:cols>
        </w:sectPr>
      </w:pPr>
    </w:p>
    <w:p>
      <w:pPr>
        <w:pStyle w:val="BodyText"/>
        <w:tabs>
          <w:tab w:pos="6676" w:val="left" w:leader="none"/>
          <w:tab w:pos="7742" w:val="left" w:leader="none"/>
          <w:tab w:pos="8807" w:val="left" w:leader="none"/>
          <w:tab w:pos="9873" w:val="left" w:leader="none"/>
        </w:tabs>
        <w:spacing w:line="206" w:lineRule="exact"/>
        <w:ind w:left="1070" w:right="125"/>
        <w:rPr>
          <w:b/>
        </w:rPr>
      </w:pPr>
      <w:r>
        <w:rPr/>
        <w:t>Financial assets at fair value</w:t>
      </w:r>
      <w:r>
        <w:rPr>
          <w:spacing w:val="4"/>
        </w:rPr>
        <w:t> </w:t>
      </w:r>
      <w:r>
        <w:rPr/>
        <w:t>through profit/(loss)</w:t>
        <w:tab/>
      </w:r>
      <w:r>
        <w:rPr>
          <w:b/>
        </w:rPr>
        <w:t>-</w:t>
        <w:tab/>
        <w:t>-</w:t>
        <w:tab/>
        <w:t>-</w:t>
        <w:tab/>
        <w:t>-</w:t>
      </w:r>
    </w:p>
    <w:p>
      <w:pPr>
        <w:tabs>
          <w:tab w:pos="5762" w:val="left" w:leader="none"/>
          <w:tab w:pos="7742" w:val="left" w:leader="none"/>
          <w:tab w:pos="8807" w:val="left" w:leader="none"/>
        </w:tabs>
        <w:spacing w:line="207" w:lineRule="exact" w:before="0"/>
        <w:ind w:left="1070" w:right="125" w:firstLine="0"/>
        <w:jc w:val="left"/>
        <w:rPr>
          <w:b/>
          <w:sz w:val="18"/>
        </w:rPr>
      </w:pPr>
      <w:r>
        <w:rPr>
          <w:sz w:val="18"/>
        </w:rPr>
        <w:t>Other</w:t>
      </w:r>
      <w:r>
        <w:rPr>
          <w:spacing w:val="1"/>
          <w:sz w:val="18"/>
        </w:rPr>
        <w:t> </w:t>
      </w:r>
      <w:r>
        <w:rPr>
          <w:sz w:val="18"/>
        </w:rPr>
        <w:t>available-for-sale</w:t>
      </w:r>
      <w:r>
        <w:rPr>
          <w:spacing w:val="1"/>
          <w:sz w:val="18"/>
        </w:rPr>
        <w:t> </w:t>
      </w:r>
      <w:r>
        <w:rPr>
          <w:sz w:val="18"/>
        </w:rPr>
        <w:t>assets</w:t>
        <w:tab/>
      </w:r>
      <w:r>
        <w:rPr>
          <w:b/>
          <w:sz w:val="18"/>
          <w:u w:val="single"/>
        </w:rPr>
        <w:t>25,579,182</w:t>
        <w:tab/>
        <w:t>-</w:t>
        <w:tab/>
        <w:t>-  </w:t>
      </w:r>
      <w:r>
        <w:rPr>
          <w:b/>
          <w:spacing w:val="7"/>
          <w:sz w:val="18"/>
          <w:u w:val="single"/>
        </w:rPr>
        <w:t> </w:t>
      </w:r>
      <w:r>
        <w:rPr>
          <w:b/>
          <w:sz w:val="18"/>
          <w:u w:val="single"/>
        </w:rPr>
        <w:t>25,579,182</w:t>
      </w:r>
    </w:p>
    <w:p>
      <w:pPr>
        <w:pStyle w:val="Heading9"/>
        <w:tabs>
          <w:tab w:pos="5762" w:val="left" w:leader="none"/>
          <w:tab w:pos="7742" w:val="left" w:leader="none"/>
          <w:tab w:pos="8807" w:val="left" w:leader="none"/>
        </w:tabs>
        <w:spacing w:before="9"/>
        <w:ind w:right="125"/>
      </w:pPr>
      <w:r>
        <w:rPr/>
        <w:t>Total assets</w:t>
        <w:tab/>
      </w:r>
      <w:r>
        <w:rPr>
          <w:u w:val="single"/>
        </w:rPr>
        <w:t>25,579,182</w:t>
        <w:tab/>
        <w:t>-</w:t>
        <w:tab/>
        <w:t>-  </w:t>
      </w:r>
      <w:r>
        <w:rPr>
          <w:spacing w:val="7"/>
          <w:u w:val="single"/>
        </w:rPr>
        <w:t> </w:t>
      </w:r>
      <w:r>
        <w:rPr>
          <w:u w:val="single"/>
        </w:rPr>
        <w:t>25,579,182</w:t>
      </w:r>
    </w:p>
    <w:p>
      <w:pPr>
        <w:pStyle w:val="BodyText"/>
        <w:spacing w:before="6"/>
        <w:rPr>
          <w:b/>
          <w:sz w:val="25"/>
        </w:rPr>
      </w:pPr>
    </w:p>
    <w:p>
      <w:pPr>
        <w:spacing w:after="0"/>
        <w:rPr>
          <w:sz w:val="25"/>
        </w:rPr>
        <w:sectPr>
          <w:type w:val="continuous"/>
          <w:pgSz w:w="11910" w:h="16840"/>
          <w:pgMar w:top="0" w:bottom="280" w:left="900" w:right="860"/>
        </w:sectPr>
      </w:pPr>
    </w:p>
    <w:p>
      <w:pPr>
        <w:pStyle w:val="BodyText"/>
        <w:spacing w:before="8"/>
        <w:rPr>
          <w:b/>
          <w:sz w:val="24"/>
        </w:rPr>
      </w:pPr>
    </w:p>
    <w:p>
      <w:pPr>
        <w:spacing w:before="0"/>
        <w:ind w:left="1070" w:right="-13" w:firstLine="0"/>
        <w:jc w:val="left"/>
        <w:rPr>
          <w:b/>
          <w:sz w:val="18"/>
        </w:rPr>
      </w:pPr>
      <w:r>
        <w:rPr>
          <w:b/>
          <w:sz w:val="18"/>
        </w:rPr>
        <w:t>31 December 2011 Financial assets:</w:t>
      </w:r>
    </w:p>
    <w:p>
      <w:pPr>
        <w:spacing w:line="207" w:lineRule="exact" w:before="78"/>
        <w:ind w:left="1070" w:right="0" w:firstLine="0"/>
        <w:jc w:val="center"/>
        <w:rPr>
          <w:b/>
          <w:sz w:val="18"/>
        </w:rPr>
      </w:pPr>
      <w:r>
        <w:rPr/>
        <w:br w:type="column"/>
      </w:r>
      <w:r>
        <w:rPr>
          <w:b/>
          <w:sz w:val="18"/>
        </w:rPr>
        <w:t>Level 1</w:t>
      </w:r>
    </w:p>
    <w:p>
      <w:pPr>
        <w:spacing w:line="207" w:lineRule="exact" w:before="0"/>
        <w:ind w:left="0" w:right="254" w:firstLine="0"/>
        <w:jc w:val="right"/>
        <w:rPr>
          <w:b/>
          <w:sz w:val="18"/>
        </w:rPr>
      </w:pPr>
      <w:r>
        <w:rPr>
          <w:b/>
          <w:w w:val="99"/>
          <w:sz w:val="18"/>
        </w:rPr>
        <w:t>$</w:t>
      </w:r>
    </w:p>
    <w:p>
      <w:pPr>
        <w:spacing w:line="207" w:lineRule="exact" w:before="78"/>
        <w:ind w:left="414" w:right="0" w:firstLine="0"/>
        <w:jc w:val="center"/>
        <w:rPr>
          <w:b/>
          <w:sz w:val="18"/>
        </w:rPr>
      </w:pPr>
      <w:r>
        <w:rPr/>
        <w:br w:type="column"/>
      </w:r>
      <w:r>
        <w:rPr>
          <w:b/>
          <w:sz w:val="18"/>
        </w:rPr>
        <w:t>Level 2</w:t>
      </w:r>
    </w:p>
    <w:p>
      <w:pPr>
        <w:spacing w:line="207" w:lineRule="exact" w:before="0"/>
        <w:ind w:left="412" w:right="0" w:firstLine="0"/>
        <w:jc w:val="center"/>
        <w:rPr>
          <w:b/>
          <w:sz w:val="18"/>
        </w:rPr>
      </w:pPr>
      <w:r>
        <w:rPr>
          <w:b/>
          <w:w w:val="99"/>
          <w:sz w:val="18"/>
        </w:rPr>
        <w:t>$</w:t>
      </w:r>
    </w:p>
    <w:p>
      <w:pPr>
        <w:spacing w:line="207" w:lineRule="exact" w:before="78"/>
        <w:ind w:left="414" w:right="0" w:firstLine="0"/>
        <w:jc w:val="center"/>
        <w:rPr>
          <w:b/>
          <w:sz w:val="18"/>
        </w:rPr>
      </w:pPr>
      <w:r>
        <w:rPr/>
        <w:br w:type="column"/>
      </w:r>
      <w:r>
        <w:rPr>
          <w:b/>
          <w:sz w:val="18"/>
        </w:rPr>
        <w:t>Level 3</w:t>
      </w:r>
    </w:p>
    <w:p>
      <w:pPr>
        <w:spacing w:line="207" w:lineRule="exact" w:before="0"/>
        <w:ind w:left="412" w:right="0" w:firstLine="0"/>
        <w:jc w:val="center"/>
        <w:rPr>
          <w:b/>
          <w:sz w:val="18"/>
        </w:rPr>
      </w:pPr>
      <w:r>
        <w:rPr>
          <w:b/>
          <w:w w:val="99"/>
          <w:sz w:val="18"/>
        </w:rPr>
        <w:t>$</w:t>
      </w:r>
    </w:p>
    <w:p>
      <w:pPr>
        <w:spacing w:line="207" w:lineRule="exact" w:before="78"/>
        <w:ind w:left="486" w:right="423" w:firstLine="0"/>
        <w:jc w:val="center"/>
        <w:rPr>
          <w:b/>
          <w:sz w:val="18"/>
        </w:rPr>
      </w:pPr>
      <w:r>
        <w:rPr/>
        <w:br w:type="column"/>
      </w:r>
      <w:r>
        <w:rPr>
          <w:b/>
          <w:sz w:val="18"/>
        </w:rPr>
        <w:t>Total</w:t>
      </w:r>
    </w:p>
    <w:p>
      <w:pPr>
        <w:spacing w:line="207" w:lineRule="exact" w:before="0"/>
        <w:ind w:left="62" w:right="0"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5" w:equalWidth="0">
            <w:col w:w="2649" w:space="2268"/>
            <w:col w:w="1682" w:space="40"/>
            <w:col w:w="1026" w:space="40"/>
            <w:col w:w="1026" w:space="40"/>
            <w:col w:w="1379"/>
          </w:cols>
        </w:sectPr>
      </w:pPr>
    </w:p>
    <w:p>
      <w:pPr>
        <w:pStyle w:val="BodyText"/>
        <w:tabs>
          <w:tab w:pos="5762" w:val="left" w:leader="none"/>
          <w:tab w:pos="5930" w:val="left" w:leader="none"/>
          <w:tab w:pos="6676" w:val="left" w:leader="none"/>
          <w:tab w:pos="7742" w:val="left" w:leader="none"/>
          <w:tab w:pos="8807" w:val="left" w:leader="none"/>
          <w:tab w:pos="9127" w:val="left" w:leader="none"/>
          <w:tab w:pos="9873" w:val="left" w:leader="none"/>
        </w:tabs>
        <w:ind w:left="1070" w:right="209"/>
      </w:pPr>
      <w:r>
        <w:rPr/>
        <w:t>Financial assets at fair value</w:t>
      </w:r>
      <w:r>
        <w:rPr>
          <w:spacing w:val="4"/>
        </w:rPr>
        <w:t> </w:t>
      </w:r>
      <w:r>
        <w:rPr/>
        <w:t>through profit/(loss)</w:t>
        <w:tab/>
        <w:tab/>
        <w:t>9,650,893</w:t>
        <w:tab/>
        <w:t>-</w:t>
        <w:tab/>
        <w:t>-</w:t>
        <w:tab/>
        <w:t>9,650,893 Other available-for-sale assets</w:t>
        <w:tab/>
      </w:r>
      <w:r>
        <w:rPr>
          <w:rFonts w:ascii="Times New Roman"/>
          <w:u w:val="single"/>
        </w:rPr>
        <w:t> </w:t>
        <w:tab/>
        <w:tab/>
      </w:r>
      <w:r>
        <w:rPr>
          <w:u w:val="single"/>
        </w:rPr>
        <w:t>-</w:t>
        <w:tab/>
        <w:t>-</w:t>
        <w:tab/>
        <w:t>-</w:t>
        <w:tab/>
        <w:tab/>
        <w:t>-</w:t>
      </w:r>
    </w:p>
    <w:p>
      <w:pPr>
        <w:tabs>
          <w:tab w:pos="5762" w:val="left" w:leader="none"/>
          <w:tab w:pos="7742" w:val="left" w:leader="none"/>
          <w:tab w:pos="8807" w:val="left" w:leader="none"/>
          <w:tab w:pos="9127" w:val="left" w:leader="none"/>
        </w:tabs>
        <w:spacing w:before="9"/>
        <w:ind w:left="1070" w:right="125" w:firstLine="0"/>
        <w:jc w:val="left"/>
        <w:rPr>
          <w:sz w:val="18"/>
        </w:rPr>
      </w:pPr>
      <w:r>
        <w:rPr>
          <w:b/>
          <w:sz w:val="18"/>
        </w:rPr>
        <w:t>Total assets</w:t>
        <w:tab/>
      </w:r>
      <w:r>
        <w:rPr>
          <w:sz w:val="18"/>
          <w:u w:val="single"/>
        </w:rPr>
        <w:t>9,650,893</w:t>
        <w:tab/>
        <w:t>-</w:t>
        <w:tab/>
        <w:t>-</w:t>
        <w:tab/>
        <w:t>9,650,893</w:t>
      </w:r>
    </w:p>
    <w:p>
      <w:pPr>
        <w:pStyle w:val="BodyText"/>
        <w:spacing w:before="11"/>
        <w:rPr>
          <w:sz w:val="14"/>
        </w:rPr>
      </w:pPr>
    </w:p>
    <w:p>
      <w:pPr>
        <w:pStyle w:val="BodyText"/>
        <w:spacing w:before="77"/>
        <w:ind w:left="503" w:right="115"/>
        <w:jc w:val="both"/>
      </w:pPr>
      <w:r>
        <w:rPr/>
        <w:t>The fair value of financial instruments traded in active markets (such as publicly traded derivatives, and trading and available-for-sale securities) is based on quoted market prices at the end of the reporting period. The quoted market price used for financial assets held by the Trust is the current bid price. These instruments are included in level 1.</w:t>
      </w:r>
    </w:p>
    <w:p>
      <w:pPr>
        <w:pStyle w:val="BodyText"/>
        <w:spacing w:before="146"/>
        <w:ind w:left="503"/>
        <w:jc w:val="both"/>
      </w:pPr>
      <w:r>
        <w:rPr/>
        <w:t>There were no transfers between levels during the current or prior periods.</w:t>
      </w:r>
    </w:p>
    <w:p>
      <w:pPr>
        <w:pStyle w:val="BodyText"/>
        <w:spacing w:before="3"/>
      </w:pPr>
    </w:p>
    <w:p>
      <w:pPr>
        <w:spacing w:after="0"/>
        <w:sectPr>
          <w:type w:val="continuous"/>
          <w:pgSz w:w="11910" w:h="16840"/>
          <w:pgMar w:top="0" w:bottom="280" w:left="900" w:right="860"/>
        </w:sectPr>
      </w:pPr>
    </w:p>
    <w:p>
      <w:pPr>
        <w:pStyle w:val="Heading9"/>
        <w:numPr>
          <w:ilvl w:val="0"/>
          <w:numId w:val="63"/>
        </w:numPr>
        <w:tabs>
          <w:tab w:pos="504" w:val="left" w:leader="none"/>
        </w:tabs>
        <w:spacing w:line="240" w:lineRule="auto" w:before="77" w:after="0"/>
        <w:ind w:left="504" w:right="0" w:hanging="394"/>
        <w:jc w:val="left"/>
      </w:pPr>
      <w:r>
        <w:rPr/>
        <w:t>Revenue</w:t>
      </w:r>
    </w:p>
    <w:p>
      <w:pPr>
        <w:pStyle w:val="BodyText"/>
        <w:spacing w:before="7"/>
        <w:rPr>
          <w:b/>
          <w:sz w:val="24"/>
        </w:rPr>
      </w:pPr>
      <w:r>
        <w:rPr/>
        <w:br w:type="column"/>
      </w:r>
      <w:r>
        <w:rPr>
          <w:b/>
          <w:sz w:val="24"/>
        </w:rPr>
      </w:r>
    </w:p>
    <w:p>
      <w:pPr>
        <w:spacing w:before="1"/>
        <w:ind w:left="110" w:right="-17" w:firstLine="0"/>
        <w:jc w:val="left"/>
        <w:rPr>
          <w:b/>
          <w:sz w:val="18"/>
        </w:rPr>
      </w:pPr>
      <w:r>
        <w:rPr>
          <w:b/>
          <w:sz w:val="18"/>
        </w:rPr>
        <w:t>2012</w:t>
      </w:r>
    </w:p>
    <w:p>
      <w:pPr>
        <w:pStyle w:val="BodyText"/>
        <w:spacing w:before="7"/>
        <w:rPr>
          <w:b/>
          <w:sz w:val="24"/>
        </w:rPr>
      </w:pPr>
      <w:r>
        <w:rPr/>
        <w:br w:type="column"/>
      </w:r>
      <w:r>
        <w:rPr>
          <w:b/>
          <w:sz w:val="24"/>
        </w:rPr>
      </w:r>
    </w:p>
    <w:p>
      <w:pPr>
        <w:pStyle w:val="BodyText"/>
        <w:spacing w:before="1"/>
        <w:ind w:left="110"/>
      </w:pPr>
      <w:r>
        <w:rPr/>
        <w:t>2011</w:t>
      </w:r>
    </w:p>
    <w:p>
      <w:pPr>
        <w:spacing w:after="0"/>
        <w:sectPr>
          <w:type w:val="continuous"/>
          <w:pgSz w:w="11910" w:h="16840"/>
          <w:pgMar w:top="0" w:bottom="280" w:left="900" w:right="860"/>
          <w:cols w:num="3" w:equalWidth="0">
            <w:col w:w="1255" w:space="6507"/>
            <w:col w:w="514" w:space="770"/>
            <w:col w:w="1104"/>
          </w:cols>
        </w:sect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08"/>
        <w:gridCol w:w="4592"/>
      </w:tblGrid>
      <w:tr>
        <w:trPr>
          <w:trHeight w:val="400" w:hRule="exact"/>
        </w:trPr>
        <w:tc>
          <w:tcPr>
            <w:tcW w:w="4908" w:type="dxa"/>
          </w:tcPr>
          <w:p>
            <w:pPr>
              <w:pStyle w:val="TableParagraph"/>
              <w:spacing w:before="10"/>
              <w:rPr>
                <w:sz w:val="15"/>
              </w:rPr>
            </w:pPr>
          </w:p>
          <w:p>
            <w:pPr>
              <w:pStyle w:val="TableParagraph"/>
              <w:spacing w:before="1"/>
              <w:ind w:left="35"/>
              <w:rPr>
                <w:sz w:val="18"/>
              </w:rPr>
            </w:pPr>
            <w:r>
              <w:rPr>
                <w:sz w:val="18"/>
              </w:rPr>
              <w:t>Services</w:t>
            </w:r>
          </w:p>
        </w:tc>
        <w:tc>
          <w:tcPr>
            <w:tcW w:w="4592" w:type="dxa"/>
          </w:tcPr>
          <w:p>
            <w:pPr>
              <w:pStyle w:val="TableParagraph"/>
              <w:tabs>
                <w:tab w:pos="3930" w:val="left" w:leader="none"/>
              </w:tabs>
              <w:spacing w:line="184" w:lineRule="exact"/>
              <w:ind w:left="2646"/>
              <w:rPr>
                <w:sz w:val="18"/>
              </w:rPr>
            </w:pPr>
            <w:r>
              <w:rPr>
                <w:b/>
                <w:sz w:val="18"/>
              </w:rPr>
              <w:t>$</w:t>
              <w:tab/>
            </w:r>
            <w:r>
              <w:rPr>
                <w:sz w:val="18"/>
              </w:rPr>
              <w:t>$</w:t>
            </w:r>
          </w:p>
        </w:tc>
      </w:tr>
      <w:tr>
        <w:trPr>
          <w:trHeight w:val="206" w:hRule="exact"/>
        </w:trPr>
        <w:tc>
          <w:tcPr>
            <w:tcW w:w="4908" w:type="dxa"/>
          </w:tcPr>
          <w:p>
            <w:pPr>
              <w:pStyle w:val="TableParagraph"/>
              <w:spacing w:line="197" w:lineRule="exact"/>
              <w:ind w:left="35"/>
              <w:rPr>
                <w:sz w:val="18"/>
              </w:rPr>
            </w:pPr>
            <w:r>
              <w:rPr>
                <w:sz w:val="18"/>
              </w:rPr>
              <w:t>- Student scholarships and prizes</w:t>
            </w:r>
          </w:p>
        </w:tc>
        <w:tc>
          <w:tcPr>
            <w:tcW w:w="4592" w:type="dxa"/>
          </w:tcPr>
          <w:p>
            <w:pPr>
              <w:pStyle w:val="TableParagraph"/>
              <w:tabs>
                <w:tab w:pos="1298" w:val="left" w:leader="none"/>
              </w:tabs>
              <w:spacing w:line="197" w:lineRule="exact"/>
              <w:ind w:right="33"/>
              <w:jc w:val="right"/>
              <w:rPr>
                <w:sz w:val="18"/>
              </w:rPr>
            </w:pPr>
            <w:r>
              <w:rPr>
                <w:b/>
                <w:sz w:val="18"/>
              </w:rPr>
              <w:t>512,109</w:t>
              <w:tab/>
            </w:r>
            <w:r>
              <w:rPr>
                <w:w w:val="95"/>
                <w:sz w:val="18"/>
              </w:rPr>
              <w:t>317,397</w:t>
            </w:r>
          </w:p>
        </w:tc>
      </w:tr>
      <w:tr>
        <w:trPr>
          <w:trHeight w:val="212" w:hRule="exact"/>
        </w:trPr>
        <w:tc>
          <w:tcPr>
            <w:tcW w:w="4908" w:type="dxa"/>
          </w:tcPr>
          <w:p>
            <w:pPr>
              <w:pStyle w:val="TableParagraph"/>
              <w:spacing w:line="197" w:lineRule="exact"/>
              <w:ind w:left="35"/>
              <w:rPr>
                <w:sz w:val="18"/>
              </w:rPr>
            </w:pPr>
            <w:r>
              <w:rPr>
                <w:sz w:val="18"/>
              </w:rPr>
              <w:t>- Donations</w:t>
            </w:r>
          </w:p>
        </w:tc>
        <w:tc>
          <w:tcPr>
            <w:tcW w:w="4592" w:type="dxa"/>
          </w:tcPr>
          <w:p>
            <w:pPr>
              <w:pStyle w:val="TableParagraph"/>
              <w:tabs>
                <w:tab w:pos="551" w:val="left" w:leader="none"/>
                <w:tab w:pos="1699" w:val="left" w:leader="none"/>
              </w:tabs>
              <w:spacing w:line="197" w:lineRule="exact"/>
              <w:ind w:right="33"/>
              <w:jc w:val="right"/>
              <w:rPr>
                <w:sz w:val="18"/>
              </w:rPr>
            </w:pPr>
            <w:r>
              <w:rPr>
                <w:rFonts w:ascii="Times New Roman"/>
                <w:sz w:val="18"/>
                <w:u w:val="single"/>
              </w:rPr>
              <w:t> </w:t>
              <w:tab/>
            </w:r>
            <w:r>
              <w:rPr>
                <w:b/>
                <w:sz w:val="18"/>
                <w:u w:val="single"/>
              </w:rPr>
              <w:t>953,608</w:t>
              <w:tab/>
            </w:r>
            <w:r>
              <w:rPr>
                <w:w w:val="95"/>
                <w:sz w:val="18"/>
                <w:u w:val="single"/>
              </w:rPr>
              <w:t>1,934,317</w:t>
            </w:r>
          </w:p>
        </w:tc>
      </w:tr>
      <w:tr>
        <w:trPr>
          <w:trHeight w:val="290" w:hRule="exact"/>
        </w:trPr>
        <w:tc>
          <w:tcPr>
            <w:tcW w:w="4908" w:type="dxa"/>
          </w:tcPr>
          <w:p>
            <w:pPr>
              <w:pStyle w:val="TableParagraph"/>
              <w:spacing w:line="201" w:lineRule="exact"/>
              <w:ind w:left="35"/>
              <w:rPr>
                <w:sz w:val="18"/>
              </w:rPr>
            </w:pPr>
            <w:r>
              <w:rPr>
                <w:sz w:val="18"/>
              </w:rPr>
              <w:t>Total services</w:t>
            </w:r>
          </w:p>
        </w:tc>
        <w:tc>
          <w:tcPr>
            <w:tcW w:w="4592" w:type="dxa"/>
          </w:tcPr>
          <w:p>
            <w:pPr>
              <w:pStyle w:val="TableParagraph"/>
              <w:tabs>
                <w:tab w:pos="400" w:val="left" w:leader="none"/>
                <w:tab w:pos="1699" w:val="left" w:leader="none"/>
              </w:tabs>
              <w:spacing w:line="201" w:lineRule="exact"/>
              <w:ind w:right="33"/>
              <w:jc w:val="right"/>
              <w:rPr>
                <w:sz w:val="18"/>
              </w:rPr>
            </w:pPr>
            <w:r>
              <w:rPr>
                <w:rFonts w:ascii="Times New Roman"/>
                <w:sz w:val="18"/>
                <w:u w:val="single"/>
              </w:rPr>
              <w:t> </w:t>
              <w:tab/>
            </w:r>
            <w:r>
              <w:rPr>
                <w:b/>
                <w:sz w:val="18"/>
                <w:u w:val="single"/>
              </w:rPr>
              <w:t>1,465,717</w:t>
              <w:tab/>
            </w:r>
            <w:r>
              <w:rPr>
                <w:w w:val="95"/>
                <w:sz w:val="18"/>
                <w:u w:val="single"/>
              </w:rPr>
              <w:t>2,251,714</w:t>
            </w:r>
          </w:p>
        </w:tc>
      </w:tr>
      <w:tr>
        <w:trPr>
          <w:trHeight w:val="491" w:hRule="exact"/>
        </w:trPr>
        <w:tc>
          <w:tcPr>
            <w:tcW w:w="4908" w:type="dxa"/>
          </w:tcPr>
          <w:p>
            <w:pPr>
              <w:pStyle w:val="TableParagraph"/>
              <w:spacing w:line="207" w:lineRule="exact" w:before="69"/>
              <w:ind w:left="35"/>
              <w:rPr>
                <w:sz w:val="18"/>
              </w:rPr>
            </w:pPr>
            <w:r>
              <w:rPr>
                <w:sz w:val="18"/>
              </w:rPr>
              <w:t>Other revenue</w:t>
            </w:r>
          </w:p>
          <w:p>
            <w:pPr>
              <w:pStyle w:val="TableParagraph"/>
              <w:spacing w:line="207" w:lineRule="exact"/>
              <w:ind w:left="35"/>
              <w:rPr>
                <w:sz w:val="18"/>
              </w:rPr>
            </w:pPr>
            <w:r>
              <w:rPr>
                <w:sz w:val="18"/>
              </w:rPr>
              <w:t>- Interest</w:t>
            </w:r>
          </w:p>
        </w:tc>
        <w:tc>
          <w:tcPr>
            <w:tcW w:w="4592" w:type="dxa"/>
          </w:tcPr>
          <w:p>
            <w:pPr>
              <w:pStyle w:val="TableParagraph"/>
              <w:spacing w:before="10"/>
              <w:rPr>
                <w:sz w:val="23"/>
              </w:rPr>
            </w:pPr>
          </w:p>
          <w:p>
            <w:pPr>
              <w:pStyle w:val="TableParagraph"/>
              <w:tabs>
                <w:tab w:pos="1298" w:val="left" w:leader="none"/>
              </w:tabs>
              <w:spacing w:before="1"/>
              <w:ind w:right="33"/>
              <w:jc w:val="right"/>
              <w:rPr>
                <w:sz w:val="18"/>
              </w:rPr>
            </w:pPr>
            <w:r>
              <w:rPr>
                <w:b/>
                <w:sz w:val="18"/>
              </w:rPr>
              <w:t>63,153</w:t>
              <w:tab/>
            </w:r>
            <w:r>
              <w:rPr>
                <w:w w:val="95"/>
                <w:sz w:val="18"/>
              </w:rPr>
              <w:t>80,159</w:t>
            </w:r>
          </w:p>
        </w:tc>
      </w:tr>
      <w:tr>
        <w:trPr>
          <w:trHeight w:val="206" w:hRule="exact"/>
        </w:trPr>
        <w:tc>
          <w:tcPr>
            <w:tcW w:w="4908" w:type="dxa"/>
          </w:tcPr>
          <w:p>
            <w:pPr>
              <w:pStyle w:val="TableParagraph"/>
              <w:spacing w:line="197" w:lineRule="exact"/>
              <w:ind w:left="35"/>
              <w:rPr>
                <w:sz w:val="18"/>
              </w:rPr>
            </w:pPr>
            <w:r>
              <w:rPr>
                <w:sz w:val="18"/>
              </w:rPr>
              <w:t>- Dividends</w:t>
            </w:r>
          </w:p>
        </w:tc>
        <w:tc>
          <w:tcPr>
            <w:tcW w:w="4592" w:type="dxa"/>
          </w:tcPr>
          <w:p>
            <w:pPr>
              <w:pStyle w:val="TableParagraph"/>
              <w:tabs>
                <w:tab w:pos="1298" w:val="left" w:leader="none"/>
              </w:tabs>
              <w:spacing w:line="197" w:lineRule="exact"/>
              <w:ind w:right="33"/>
              <w:jc w:val="right"/>
              <w:rPr>
                <w:sz w:val="18"/>
              </w:rPr>
            </w:pPr>
            <w:r>
              <w:rPr>
                <w:b/>
                <w:sz w:val="18"/>
              </w:rPr>
              <w:t>47,592</w:t>
              <w:tab/>
            </w:r>
            <w:r>
              <w:rPr>
                <w:w w:val="95"/>
                <w:sz w:val="18"/>
              </w:rPr>
              <w:t>78,819</w:t>
            </w:r>
          </w:p>
        </w:tc>
      </w:tr>
      <w:tr>
        <w:trPr>
          <w:trHeight w:val="212" w:hRule="exact"/>
        </w:trPr>
        <w:tc>
          <w:tcPr>
            <w:tcW w:w="4908" w:type="dxa"/>
          </w:tcPr>
          <w:p>
            <w:pPr>
              <w:pStyle w:val="TableParagraph"/>
              <w:spacing w:line="197" w:lineRule="exact"/>
              <w:ind w:left="35"/>
              <w:rPr>
                <w:sz w:val="18"/>
              </w:rPr>
            </w:pPr>
            <w:r>
              <w:rPr>
                <w:sz w:val="18"/>
              </w:rPr>
              <w:t>- Distributions from managed funds</w:t>
            </w:r>
          </w:p>
        </w:tc>
        <w:tc>
          <w:tcPr>
            <w:tcW w:w="4592" w:type="dxa"/>
          </w:tcPr>
          <w:p>
            <w:pPr>
              <w:pStyle w:val="TableParagraph"/>
              <w:tabs>
                <w:tab w:pos="400" w:val="left" w:leader="none"/>
                <w:tab w:pos="1699" w:val="left" w:leader="none"/>
              </w:tabs>
              <w:spacing w:line="197" w:lineRule="exact"/>
              <w:ind w:right="33"/>
              <w:jc w:val="right"/>
              <w:rPr>
                <w:sz w:val="18"/>
              </w:rPr>
            </w:pPr>
            <w:r>
              <w:rPr>
                <w:rFonts w:ascii="Times New Roman"/>
                <w:sz w:val="18"/>
                <w:u w:val="single"/>
              </w:rPr>
              <w:t> </w:t>
              <w:tab/>
            </w:r>
            <w:r>
              <w:rPr>
                <w:b/>
                <w:sz w:val="18"/>
                <w:u w:val="single"/>
              </w:rPr>
              <w:t>1,143,536</w:t>
              <w:tab/>
            </w:r>
            <w:r>
              <w:rPr>
                <w:w w:val="95"/>
                <w:sz w:val="18"/>
                <w:u w:val="single"/>
              </w:rPr>
              <w:t>1,509,404</w:t>
            </w:r>
          </w:p>
        </w:tc>
      </w:tr>
      <w:tr>
        <w:trPr>
          <w:trHeight w:val="362" w:hRule="exact"/>
        </w:trPr>
        <w:tc>
          <w:tcPr>
            <w:tcW w:w="4908" w:type="dxa"/>
          </w:tcPr>
          <w:p>
            <w:pPr>
              <w:pStyle w:val="TableParagraph"/>
              <w:spacing w:line="201" w:lineRule="exact"/>
              <w:ind w:left="35"/>
              <w:rPr>
                <w:sz w:val="18"/>
              </w:rPr>
            </w:pPr>
            <w:r>
              <w:rPr>
                <w:sz w:val="18"/>
              </w:rPr>
              <w:t>Total other revenue</w:t>
            </w:r>
          </w:p>
        </w:tc>
        <w:tc>
          <w:tcPr>
            <w:tcW w:w="4592" w:type="dxa"/>
          </w:tcPr>
          <w:p>
            <w:pPr>
              <w:pStyle w:val="TableParagraph"/>
              <w:tabs>
                <w:tab w:pos="400" w:val="left" w:leader="none"/>
                <w:tab w:pos="1699" w:val="left" w:leader="none"/>
              </w:tabs>
              <w:spacing w:line="201" w:lineRule="exact"/>
              <w:ind w:right="33"/>
              <w:jc w:val="right"/>
              <w:rPr>
                <w:sz w:val="18"/>
              </w:rPr>
            </w:pPr>
            <w:r>
              <w:rPr>
                <w:rFonts w:ascii="Times New Roman"/>
                <w:sz w:val="18"/>
                <w:u w:val="single"/>
              </w:rPr>
              <w:t> </w:t>
              <w:tab/>
            </w:r>
            <w:r>
              <w:rPr>
                <w:b/>
                <w:sz w:val="18"/>
                <w:u w:val="single"/>
              </w:rPr>
              <w:t>1,254,281</w:t>
              <w:tab/>
            </w:r>
            <w:r>
              <w:rPr>
                <w:w w:val="95"/>
                <w:sz w:val="18"/>
                <w:u w:val="single"/>
              </w:rPr>
              <w:t>1,668,382</w:t>
            </w:r>
          </w:p>
        </w:tc>
      </w:tr>
      <w:tr>
        <w:trPr>
          <w:trHeight w:val="445" w:hRule="exact"/>
        </w:trPr>
        <w:tc>
          <w:tcPr>
            <w:tcW w:w="4908" w:type="dxa"/>
          </w:tcPr>
          <w:p>
            <w:pPr>
              <w:pStyle w:val="TableParagraph"/>
              <w:spacing w:before="141"/>
              <w:ind w:left="35"/>
              <w:rPr>
                <w:b/>
                <w:sz w:val="18"/>
              </w:rPr>
            </w:pPr>
            <w:r>
              <w:rPr>
                <w:b/>
                <w:sz w:val="18"/>
              </w:rPr>
              <w:t>Total revenue</w:t>
            </w:r>
          </w:p>
        </w:tc>
        <w:tc>
          <w:tcPr>
            <w:tcW w:w="4592" w:type="dxa"/>
          </w:tcPr>
          <w:p>
            <w:pPr>
              <w:pStyle w:val="TableParagraph"/>
              <w:tabs>
                <w:tab w:pos="400" w:val="left" w:leader="none"/>
                <w:tab w:pos="1699" w:val="left" w:leader="none"/>
              </w:tabs>
              <w:spacing w:before="141"/>
              <w:ind w:right="33"/>
              <w:jc w:val="right"/>
              <w:rPr>
                <w:sz w:val="18"/>
              </w:rPr>
            </w:pPr>
            <w:r>
              <w:rPr>
                <w:rFonts w:ascii="Times New Roman"/>
                <w:sz w:val="18"/>
                <w:u w:val="single"/>
              </w:rPr>
              <w:t> </w:t>
              <w:tab/>
            </w:r>
            <w:r>
              <w:rPr>
                <w:b/>
                <w:sz w:val="18"/>
                <w:u w:val="single"/>
              </w:rPr>
              <w:t>2,719,998</w:t>
              <w:tab/>
            </w:r>
            <w:r>
              <w:rPr>
                <w:w w:val="95"/>
                <w:sz w:val="18"/>
                <w:u w:val="single"/>
              </w:rPr>
              <w:t>3,920,096</w:t>
            </w:r>
          </w:p>
        </w:tc>
      </w:tr>
    </w:tbl>
    <w:p>
      <w:pPr>
        <w:spacing w:after="0"/>
        <w:jc w:val="right"/>
        <w:rPr>
          <w:sz w:val="18"/>
        </w:rPr>
        <w:sectPr>
          <w:type w:val="continuous"/>
          <w:pgSz w:w="11910" w:h="16840"/>
          <w:pgMar w:top="0" w:bottom="280" w:left="900" w:right="860"/>
        </w:sectPr>
      </w:pPr>
    </w:p>
    <w:p>
      <w:pPr>
        <w:pStyle w:val="BodyText"/>
        <w:spacing w:before="1"/>
        <w:rPr>
          <w:sz w:val="24"/>
        </w:rPr>
      </w:pPr>
    </w:p>
    <w:p>
      <w:pPr>
        <w:pStyle w:val="Heading3"/>
      </w:pPr>
      <w:r>
        <w:rPr/>
        <w:t>Notes to the financial statements</w:t>
      </w:r>
    </w:p>
    <w:p>
      <w:pPr>
        <w:pStyle w:val="Heading6"/>
        <w:spacing w:before="53"/>
      </w:pPr>
      <w:r>
        <w:rPr/>
        <w:t>For the Year Ended 31 December 2012</w:t>
      </w:r>
    </w:p>
    <w:p>
      <w:pPr>
        <w:pStyle w:val="BodyText"/>
        <w:rPr>
          <w:b/>
          <w:sz w:val="22"/>
        </w:rPr>
      </w:pPr>
    </w:p>
    <w:p>
      <w:pPr>
        <w:pStyle w:val="BodyText"/>
        <w:rPr>
          <w:b/>
          <w:sz w:val="22"/>
        </w:rPr>
      </w:pPr>
    </w:p>
    <w:p>
      <w:pPr>
        <w:pStyle w:val="Heading9"/>
        <w:spacing w:before="161"/>
        <w:ind w:left="504"/>
        <w:jc w:val="both"/>
      </w:pPr>
      <w:r>
        <w:rPr/>
        <w:t>Donations</w:t>
      </w:r>
    </w:p>
    <w:p>
      <w:pPr>
        <w:pStyle w:val="BodyText"/>
        <w:spacing w:before="146"/>
        <w:ind w:left="503" w:right="116"/>
        <w:jc w:val="both"/>
      </w:pPr>
      <w:r>
        <w:rPr/>
        <w:t>In 2012 the Foundation received contributions to the Trust endowment, general donations to support research and academic salaries and gifts towards student scholarships and prizes of $953,608. Of particular note were the following significant contributions to the Trust endowment .</w:t>
      </w:r>
    </w:p>
    <w:p>
      <w:pPr>
        <w:pStyle w:val="BodyText"/>
        <w:spacing w:before="6"/>
        <w:rPr>
          <w:sz w:val="15"/>
        </w:rPr>
      </w:pPr>
    </w:p>
    <w:p>
      <w:pPr>
        <w:pStyle w:val="ListParagraph"/>
        <w:numPr>
          <w:ilvl w:val="0"/>
          <w:numId w:val="65"/>
        </w:numPr>
        <w:tabs>
          <w:tab w:pos="716" w:val="left" w:leader="none"/>
        </w:tabs>
        <w:spacing w:line="207" w:lineRule="exact" w:before="1" w:after="0"/>
        <w:ind w:left="716" w:right="0" w:hanging="212"/>
        <w:jc w:val="both"/>
        <w:rPr>
          <w:sz w:val="18"/>
        </w:rPr>
      </w:pPr>
      <w:r>
        <w:rPr>
          <w:sz w:val="18"/>
        </w:rPr>
        <w:t>$60,000 from Bradcorp for the Peter Brennan Chair in General</w:t>
      </w:r>
      <w:r>
        <w:rPr>
          <w:spacing w:val="9"/>
          <w:sz w:val="18"/>
        </w:rPr>
        <w:t> </w:t>
      </w:r>
      <w:r>
        <w:rPr>
          <w:sz w:val="18"/>
        </w:rPr>
        <w:t>Practice</w:t>
      </w:r>
    </w:p>
    <w:p>
      <w:pPr>
        <w:pStyle w:val="ListParagraph"/>
        <w:numPr>
          <w:ilvl w:val="0"/>
          <w:numId w:val="65"/>
        </w:numPr>
        <w:tabs>
          <w:tab w:pos="717" w:val="left" w:leader="none"/>
        </w:tabs>
        <w:spacing w:line="206" w:lineRule="exact" w:before="0" w:after="0"/>
        <w:ind w:left="716" w:right="0" w:hanging="212"/>
        <w:jc w:val="both"/>
        <w:rPr>
          <w:sz w:val="18"/>
        </w:rPr>
      </w:pPr>
      <w:r>
        <w:rPr>
          <w:sz w:val="18"/>
        </w:rPr>
        <w:t>$150,000 from Inghams Enterprises for the Inghams Prostrate Cancer Research</w:t>
      </w:r>
      <w:r>
        <w:rPr>
          <w:spacing w:val="9"/>
          <w:sz w:val="18"/>
        </w:rPr>
        <w:t> </w:t>
      </w:r>
      <w:r>
        <w:rPr>
          <w:sz w:val="18"/>
        </w:rPr>
        <w:t>Fund</w:t>
      </w:r>
    </w:p>
    <w:p>
      <w:pPr>
        <w:pStyle w:val="ListParagraph"/>
        <w:numPr>
          <w:ilvl w:val="0"/>
          <w:numId w:val="65"/>
        </w:numPr>
        <w:tabs>
          <w:tab w:pos="717" w:val="left" w:leader="none"/>
        </w:tabs>
        <w:spacing w:line="206" w:lineRule="exact" w:before="0" w:after="0"/>
        <w:ind w:left="716" w:right="0" w:hanging="212"/>
        <w:jc w:val="both"/>
        <w:rPr>
          <w:sz w:val="18"/>
        </w:rPr>
      </w:pPr>
      <w:r>
        <w:rPr>
          <w:sz w:val="18"/>
        </w:rPr>
        <w:t>$375,000 from the Jacka Foundation for the Jacka Foundation Chair in Complementary</w:t>
      </w:r>
      <w:r>
        <w:rPr>
          <w:spacing w:val="10"/>
          <w:sz w:val="18"/>
        </w:rPr>
        <w:t> </w:t>
      </w:r>
      <w:r>
        <w:rPr>
          <w:sz w:val="18"/>
        </w:rPr>
        <w:t>Medicine</w:t>
      </w:r>
    </w:p>
    <w:p>
      <w:pPr>
        <w:pStyle w:val="ListParagraph"/>
        <w:numPr>
          <w:ilvl w:val="0"/>
          <w:numId w:val="65"/>
        </w:numPr>
        <w:tabs>
          <w:tab w:pos="717" w:val="left" w:leader="none"/>
        </w:tabs>
        <w:spacing w:line="206" w:lineRule="exact" w:before="0" w:after="0"/>
        <w:ind w:left="716" w:right="0" w:hanging="212"/>
        <w:jc w:val="both"/>
        <w:rPr>
          <w:sz w:val="18"/>
        </w:rPr>
      </w:pPr>
      <w:r>
        <w:rPr>
          <w:sz w:val="18"/>
        </w:rPr>
        <w:t>$150,000 from Willian Chiu for the William Chiu</w:t>
      </w:r>
      <w:r>
        <w:rPr>
          <w:spacing w:val="27"/>
          <w:sz w:val="18"/>
        </w:rPr>
        <w:t> </w:t>
      </w:r>
      <w:r>
        <w:rPr>
          <w:sz w:val="18"/>
        </w:rPr>
        <w:t>Fund</w:t>
      </w:r>
    </w:p>
    <w:p>
      <w:pPr>
        <w:pStyle w:val="ListParagraph"/>
        <w:numPr>
          <w:ilvl w:val="0"/>
          <w:numId w:val="65"/>
        </w:numPr>
        <w:tabs>
          <w:tab w:pos="716" w:val="left" w:leader="none"/>
        </w:tabs>
        <w:spacing w:line="207" w:lineRule="exact" w:before="0" w:after="0"/>
        <w:ind w:left="715" w:right="0" w:hanging="211"/>
        <w:jc w:val="both"/>
        <w:rPr>
          <w:sz w:val="18"/>
        </w:rPr>
      </w:pPr>
      <w:r>
        <w:rPr>
          <w:sz w:val="18"/>
        </w:rPr>
        <w:t>$50,000  from Derek and Shirley Howes for the Derek and Shirley Howes Prize</w:t>
      </w:r>
      <w:r>
        <w:rPr>
          <w:spacing w:val="-1"/>
          <w:sz w:val="18"/>
        </w:rPr>
        <w:t> </w:t>
      </w:r>
      <w:r>
        <w:rPr>
          <w:sz w:val="18"/>
        </w:rPr>
        <w:t>Fund</w:t>
      </w:r>
    </w:p>
    <w:p>
      <w:pPr>
        <w:pStyle w:val="BodyText"/>
        <w:spacing w:before="3"/>
      </w:pPr>
    </w:p>
    <w:p>
      <w:pPr>
        <w:spacing w:after="0"/>
        <w:sectPr>
          <w:pgSz w:w="11910" w:h="16840"/>
          <w:pgMar w:header="1037" w:footer="526" w:top="1460" w:bottom="700" w:left="900" w:right="860"/>
        </w:sectPr>
      </w:pPr>
    </w:p>
    <w:p>
      <w:pPr>
        <w:pStyle w:val="Heading9"/>
        <w:numPr>
          <w:ilvl w:val="0"/>
          <w:numId w:val="63"/>
        </w:numPr>
        <w:tabs>
          <w:tab w:pos="504" w:val="left" w:leader="none"/>
        </w:tabs>
        <w:spacing w:line="240" w:lineRule="auto" w:before="77" w:after="0"/>
        <w:ind w:left="504" w:right="0" w:hanging="394"/>
        <w:jc w:val="left"/>
      </w:pPr>
      <w:r>
        <w:rPr/>
        <w:t>Distributions - scholarships and prizes</w:t>
      </w:r>
    </w:p>
    <w:p>
      <w:pPr>
        <w:pStyle w:val="BodyText"/>
        <w:spacing w:before="7"/>
        <w:rPr>
          <w:b/>
          <w:sz w:val="24"/>
        </w:rPr>
      </w:pPr>
      <w:r>
        <w:rPr/>
        <w:br w:type="column"/>
      </w:r>
      <w:r>
        <w:rPr>
          <w:b/>
          <w:sz w:val="24"/>
        </w:rPr>
      </w:r>
    </w:p>
    <w:p>
      <w:pPr>
        <w:spacing w:line="207" w:lineRule="exact" w:before="1"/>
        <w:ind w:left="110" w:right="0" w:firstLine="0"/>
        <w:jc w:val="center"/>
        <w:rPr>
          <w:b/>
          <w:sz w:val="18"/>
        </w:rPr>
      </w:pPr>
      <w:r>
        <w:rPr>
          <w:b/>
          <w:sz w:val="18"/>
        </w:rPr>
        <w:t>2012</w:t>
      </w:r>
    </w:p>
    <w:p>
      <w:pPr>
        <w:spacing w:line="207" w:lineRule="exact" w:before="0"/>
        <w:ind w:left="109" w:right="0" w:firstLine="0"/>
        <w:jc w:val="center"/>
        <w:rPr>
          <w:b/>
          <w:sz w:val="18"/>
        </w:rPr>
      </w:pPr>
      <w:r>
        <w:rPr>
          <w:b/>
          <w:w w:val="99"/>
          <w:sz w:val="18"/>
        </w:rPr>
        <w:t>$</w:t>
      </w:r>
    </w:p>
    <w:p>
      <w:pPr>
        <w:pStyle w:val="BodyText"/>
        <w:spacing w:before="7"/>
        <w:rPr>
          <w:b/>
          <w:sz w:val="24"/>
        </w:rPr>
      </w:pPr>
      <w:r>
        <w:rPr/>
        <w:br w:type="column"/>
      </w:r>
      <w:r>
        <w:rPr>
          <w:b/>
          <w:sz w:val="24"/>
        </w:rPr>
      </w:r>
    </w:p>
    <w:p>
      <w:pPr>
        <w:pStyle w:val="BodyText"/>
        <w:spacing w:line="207" w:lineRule="exact" w:before="1"/>
        <w:ind w:left="95" w:right="557"/>
        <w:jc w:val="center"/>
      </w:pPr>
      <w:r>
        <w:rPr/>
        <w:t>2011</w:t>
      </w:r>
    </w:p>
    <w:p>
      <w:pPr>
        <w:pStyle w:val="BodyText"/>
        <w:spacing w:line="207" w:lineRule="exact"/>
        <w:ind w:right="462"/>
        <w:jc w:val="center"/>
      </w:pPr>
      <w:r>
        <w:rPr>
          <w:w w:val="99"/>
        </w:rPr>
        <w:t>$</w:t>
      </w:r>
    </w:p>
    <w:p>
      <w:pPr>
        <w:spacing w:after="0" w:line="207" w:lineRule="exact"/>
        <w:jc w:val="center"/>
        <w:sectPr>
          <w:type w:val="continuous"/>
          <w:pgSz w:w="11910" w:h="16840"/>
          <w:pgMar w:top="0" w:bottom="280" w:left="900" w:right="860"/>
          <w:cols w:num="3" w:equalWidth="0">
            <w:col w:w="3840" w:space="3921"/>
            <w:col w:w="514" w:space="782"/>
            <w:col w:w="1093"/>
          </w:cols>
        </w:sectPr>
      </w:pPr>
    </w:p>
    <w:p>
      <w:pPr>
        <w:pStyle w:val="BodyText"/>
        <w:tabs>
          <w:tab w:pos="7979" w:val="left" w:leader="none"/>
          <w:tab w:pos="9275" w:val="left" w:leader="none"/>
        </w:tabs>
        <w:spacing w:line="206" w:lineRule="exact"/>
        <w:ind w:left="504" w:right="125"/>
      </w:pPr>
      <w:r>
        <w:rPr/>
        <w:t>Undergraduate scholarships</w:t>
        <w:tab/>
        <w:t>593,325</w:t>
        <w:tab/>
        <w:t>662,400</w:t>
      </w:r>
    </w:p>
    <w:p>
      <w:pPr>
        <w:pStyle w:val="BodyText"/>
        <w:tabs>
          <w:tab w:pos="8080" w:val="left" w:leader="none"/>
          <w:tab w:pos="9275" w:val="left" w:leader="none"/>
        </w:tabs>
        <w:spacing w:line="206" w:lineRule="exact"/>
        <w:ind w:left="504" w:right="125"/>
      </w:pPr>
      <w:r>
        <w:rPr/>
        <w:t>Postgraduate scholarships</w:t>
        <w:tab/>
        <w:t>10,000</w:t>
        <w:tab/>
        <w:t>302,500</w:t>
      </w:r>
    </w:p>
    <w:p>
      <w:pPr>
        <w:pStyle w:val="BodyText"/>
        <w:tabs>
          <w:tab w:pos="8080" w:val="left" w:leader="none"/>
          <w:tab w:pos="9376" w:val="left" w:leader="none"/>
        </w:tabs>
        <w:spacing w:line="206" w:lineRule="exact"/>
        <w:ind w:left="504" w:right="125"/>
      </w:pPr>
      <w:r>
        <w:rPr/>
        <w:t>Student</w:t>
      </w:r>
      <w:r>
        <w:rPr>
          <w:spacing w:val="-1"/>
        </w:rPr>
        <w:t> </w:t>
      </w:r>
      <w:r>
        <w:rPr/>
        <w:t>prizes</w:t>
        <w:tab/>
        <w:t>90,000</w:t>
        <w:tab/>
        <w:t>77,575</w:t>
      </w:r>
    </w:p>
    <w:p>
      <w:pPr>
        <w:pStyle w:val="BodyText"/>
        <w:tabs>
          <w:tab w:pos="7427" w:val="left" w:leader="none"/>
          <w:tab w:pos="7919" w:val="left" w:leader="none"/>
          <w:tab w:pos="9871" w:val="left" w:leader="none"/>
        </w:tabs>
        <w:spacing w:line="207" w:lineRule="exact"/>
        <w:ind w:left="504" w:right="125"/>
      </w:pPr>
      <w:r>
        <w:rPr/>
        <w:t>Unawarded</w:t>
      </w:r>
      <w:r>
        <w:rPr>
          <w:spacing w:val="-1"/>
        </w:rPr>
        <w:t> </w:t>
      </w:r>
      <w:r>
        <w:rPr/>
        <w:t>Scholarships</w:t>
        <w:tab/>
      </w:r>
      <w:r>
        <w:rPr>
          <w:rFonts w:ascii="Times New Roman"/>
          <w:u w:val="single"/>
        </w:rPr>
        <w:t> </w:t>
        <w:tab/>
      </w:r>
      <w:r>
        <w:rPr>
          <w:u w:val="single"/>
        </w:rPr>
        <w:t>(255,423)</w:t>
        <w:tab/>
        <w:t>-</w:t>
      </w:r>
    </w:p>
    <w:p>
      <w:pPr>
        <w:pStyle w:val="BodyText"/>
        <w:tabs>
          <w:tab w:pos="7427" w:val="left" w:leader="none"/>
          <w:tab w:pos="7979" w:val="left" w:leader="none"/>
          <w:tab w:pos="9124" w:val="left" w:leader="none"/>
        </w:tabs>
        <w:spacing w:before="9"/>
        <w:ind w:left="504" w:right="125"/>
      </w:pPr>
      <w:r>
        <w:rPr/>
        <w:t>Total distributions - scholarships</w:t>
      </w:r>
      <w:r>
        <w:rPr>
          <w:spacing w:val="3"/>
        </w:rPr>
        <w:t> </w:t>
      </w:r>
      <w:r>
        <w:rPr/>
        <w:t>and prizes</w:t>
        <w:tab/>
      </w:r>
      <w:r>
        <w:rPr>
          <w:rFonts w:ascii="Times New Roman"/>
          <w:u w:val="single"/>
        </w:rPr>
        <w:t> </w:t>
        <w:tab/>
      </w:r>
      <w:r>
        <w:rPr>
          <w:b/>
          <w:u w:val="single"/>
        </w:rPr>
        <w:t>437,902</w:t>
        <w:tab/>
      </w:r>
      <w:r>
        <w:rPr>
          <w:u w:val="single"/>
        </w:rPr>
        <w:t>1,042,475</w:t>
      </w:r>
    </w:p>
    <w:p>
      <w:pPr>
        <w:pStyle w:val="BodyText"/>
        <w:spacing w:before="11"/>
        <w:rPr>
          <w:sz w:val="19"/>
        </w:rPr>
      </w:pPr>
    </w:p>
    <w:p>
      <w:pPr>
        <w:pStyle w:val="Heading9"/>
        <w:numPr>
          <w:ilvl w:val="0"/>
          <w:numId w:val="63"/>
        </w:numPr>
        <w:tabs>
          <w:tab w:pos="504" w:val="left" w:leader="none"/>
        </w:tabs>
        <w:spacing w:line="240" w:lineRule="auto" w:before="77" w:after="0"/>
        <w:ind w:left="504" w:right="0" w:hanging="394"/>
        <w:jc w:val="left"/>
      </w:pPr>
      <w:r>
        <w:rPr/>
        <w:t>Remuneration of Auditors</w:t>
      </w:r>
    </w:p>
    <w:p>
      <w:pPr>
        <w:pStyle w:val="BodyText"/>
        <w:spacing w:before="11"/>
        <w:rPr>
          <w:b/>
          <w:sz w:val="24"/>
        </w:rPr>
      </w:pPr>
    </w:p>
    <w:p>
      <w:pPr>
        <w:pStyle w:val="BodyText"/>
        <w:ind w:left="504" w:right="125"/>
      </w:pPr>
      <w:r>
        <w:rPr/>
        <w:t>Audit fees of $6,400 for 2012 (2011: $6,080) will be paid by the ultimate parent entity.</w:t>
      </w:r>
    </w:p>
    <w:p>
      <w:pPr>
        <w:pStyle w:val="BodyText"/>
        <w:spacing w:before="3"/>
      </w:pPr>
    </w:p>
    <w:p>
      <w:pPr>
        <w:spacing w:after="0"/>
        <w:sectPr>
          <w:type w:val="continuous"/>
          <w:pgSz w:w="11910" w:h="16840"/>
          <w:pgMar w:top="0" w:bottom="280" w:left="900" w:right="860"/>
        </w:sectPr>
      </w:pPr>
    </w:p>
    <w:p>
      <w:pPr>
        <w:pStyle w:val="Heading9"/>
        <w:numPr>
          <w:ilvl w:val="0"/>
          <w:numId w:val="63"/>
        </w:numPr>
        <w:tabs>
          <w:tab w:pos="504" w:val="left" w:leader="none"/>
        </w:tabs>
        <w:spacing w:line="240" w:lineRule="auto" w:before="77" w:after="0"/>
        <w:ind w:left="504" w:right="0" w:hanging="394"/>
        <w:jc w:val="left"/>
      </w:pPr>
      <w:r>
        <w:rPr/>
        <w:t>Cash and cash</w:t>
      </w:r>
      <w:r>
        <w:rPr>
          <w:spacing w:val="-1"/>
        </w:rPr>
        <w:t> </w:t>
      </w:r>
      <w:r>
        <w:rPr/>
        <w:t>equivalents</w:t>
      </w:r>
    </w:p>
    <w:p>
      <w:pPr>
        <w:pStyle w:val="BodyText"/>
        <w:spacing w:before="7"/>
        <w:rPr>
          <w:b/>
          <w:sz w:val="24"/>
        </w:rPr>
      </w:pPr>
      <w:r>
        <w:rPr/>
        <w:br w:type="column"/>
      </w:r>
      <w:r>
        <w:rPr>
          <w:b/>
          <w:sz w:val="24"/>
        </w:rPr>
      </w:r>
    </w:p>
    <w:p>
      <w:pPr>
        <w:spacing w:line="207" w:lineRule="exact" w:before="1"/>
        <w:ind w:left="110" w:right="0" w:firstLine="0"/>
        <w:jc w:val="center"/>
        <w:rPr>
          <w:b/>
          <w:sz w:val="18"/>
        </w:rPr>
      </w:pPr>
      <w:r>
        <w:rPr>
          <w:b/>
          <w:sz w:val="18"/>
        </w:rPr>
        <w:t>2012</w:t>
      </w:r>
    </w:p>
    <w:p>
      <w:pPr>
        <w:spacing w:line="207" w:lineRule="exact" w:before="0"/>
        <w:ind w:left="109" w:right="0" w:firstLine="0"/>
        <w:jc w:val="center"/>
        <w:rPr>
          <w:b/>
          <w:sz w:val="18"/>
        </w:rPr>
      </w:pPr>
      <w:r>
        <w:rPr>
          <w:b/>
          <w:w w:val="99"/>
          <w:sz w:val="18"/>
        </w:rPr>
        <w:t>$</w:t>
      </w:r>
    </w:p>
    <w:p>
      <w:pPr>
        <w:pStyle w:val="BodyText"/>
        <w:spacing w:before="7"/>
        <w:rPr>
          <w:b/>
          <w:sz w:val="24"/>
        </w:rPr>
      </w:pPr>
      <w:r>
        <w:rPr/>
        <w:br w:type="column"/>
      </w:r>
      <w:r>
        <w:rPr>
          <w:b/>
          <w:sz w:val="24"/>
        </w:rPr>
      </w:r>
    </w:p>
    <w:p>
      <w:pPr>
        <w:pStyle w:val="BodyText"/>
        <w:spacing w:line="207" w:lineRule="exact" w:before="1"/>
        <w:ind w:left="94" w:right="568"/>
        <w:jc w:val="center"/>
      </w:pPr>
      <w:r>
        <w:rPr/>
        <w:t>2011</w:t>
      </w:r>
    </w:p>
    <w:p>
      <w:pPr>
        <w:pStyle w:val="BodyText"/>
        <w:spacing w:line="207" w:lineRule="exact"/>
        <w:ind w:right="474"/>
        <w:jc w:val="center"/>
      </w:pPr>
      <w:r>
        <w:rPr>
          <w:w w:val="99"/>
        </w:rPr>
        <w:t>$</w:t>
      </w:r>
    </w:p>
    <w:p>
      <w:pPr>
        <w:spacing w:after="0" w:line="207" w:lineRule="exact"/>
        <w:jc w:val="center"/>
        <w:sectPr>
          <w:type w:val="continuous"/>
          <w:pgSz w:w="11910" w:h="16840"/>
          <w:pgMar w:top="0" w:bottom="280" w:left="900" w:right="860"/>
          <w:cols w:num="3" w:equalWidth="0">
            <w:col w:w="2825" w:space="4937"/>
            <w:col w:w="514" w:space="770"/>
            <w:col w:w="1104"/>
          </w:cols>
        </w:sectPr>
      </w:pPr>
    </w:p>
    <w:p>
      <w:pPr>
        <w:pStyle w:val="BodyText"/>
        <w:tabs>
          <w:tab w:pos="6923" w:val="left" w:leader="none"/>
          <w:tab w:pos="7324" w:val="left" w:leader="none"/>
          <w:tab w:pos="8522" w:val="left" w:leader="none"/>
        </w:tabs>
        <w:spacing w:line="206" w:lineRule="exact"/>
        <w:ind w:right="210"/>
        <w:jc w:val="right"/>
      </w:pPr>
      <w:r>
        <w:rPr/>
        <w:t>Cash at bank and</w:t>
      </w:r>
      <w:r>
        <w:rPr>
          <w:spacing w:val="3"/>
        </w:rPr>
        <w:t> </w:t>
      </w:r>
      <w:r>
        <w:rPr/>
        <w:t>on hand</w:t>
        <w:tab/>
      </w:r>
      <w:r>
        <w:rPr>
          <w:rFonts w:ascii="Times New Roman"/>
          <w:u w:val="single"/>
        </w:rPr>
        <w:t> </w:t>
        <w:tab/>
      </w:r>
      <w:r>
        <w:rPr>
          <w:u w:val="single"/>
        </w:rPr>
        <w:t>7,045,472</w:t>
        <w:tab/>
      </w:r>
      <w:r>
        <w:rPr>
          <w:w w:val="95"/>
          <w:u w:val="single"/>
        </w:rPr>
        <w:t>19,255,703</w:t>
      </w:r>
    </w:p>
    <w:p>
      <w:pPr>
        <w:pStyle w:val="BodyText"/>
        <w:tabs>
          <w:tab w:pos="400" w:val="left" w:leader="none"/>
          <w:tab w:pos="1598" w:val="left" w:leader="none"/>
        </w:tabs>
        <w:spacing w:before="9"/>
        <w:ind w:right="210"/>
        <w:jc w:val="right"/>
      </w:pPr>
      <w:r>
        <w:rPr>
          <w:rFonts w:ascii="Times New Roman"/>
          <w:u w:val="single"/>
        </w:rPr>
        <w:t> </w:t>
        <w:tab/>
      </w:r>
      <w:r>
        <w:rPr>
          <w:u w:val="single"/>
        </w:rPr>
        <w:t>7,045,472</w:t>
        <w:tab/>
      </w:r>
      <w:r>
        <w:rPr>
          <w:w w:val="95"/>
          <w:u w:val="single"/>
        </w:rPr>
        <w:t>19,255,703</w:t>
      </w:r>
    </w:p>
    <w:p>
      <w:pPr>
        <w:pStyle w:val="BodyText"/>
        <w:spacing w:before="11"/>
        <w:rPr>
          <w:sz w:val="19"/>
        </w:rPr>
      </w:pPr>
    </w:p>
    <w:p>
      <w:pPr>
        <w:pStyle w:val="Heading9"/>
        <w:numPr>
          <w:ilvl w:val="1"/>
          <w:numId w:val="63"/>
        </w:numPr>
        <w:tabs>
          <w:tab w:pos="1071" w:val="left" w:leader="none"/>
        </w:tabs>
        <w:spacing w:line="207" w:lineRule="exact" w:before="77" w:after="0"/>
        <w:ind w:left="1070" w:right="0" w:hanging="566"/>
        <w:jc w:val="left"/>
      </w:pPr>
      <w:r>
        <w:rPr/>
        <w:t>Risk</w:t>
      </w:r>
      <w:r>
        <w:rPr>
          <w:spacing w:val="-1"/>
        </w:rPr>
        <w:t> </w:t>
      </w:r>
      <w:r>
        <w:rPr/>
        <w:t>exposure</w:t>
      </w:r>
    </w:p>
    <w:p>
      <w:pPr>
        <w:pStyle w:val="BodyText"/>
        <w:ind w:left="1072" w:right="125"/>
      </w:pPr>
      <w:r>
        <w:rPr/>
        <w:t>The Trust's exposure to interest rate risk is discussed in note 2. The maximum exposure to credit risk at the end of each reporting period is the carrying amount of each class of cash and cash equivalents mentioned above.</w:t>
      </w:r>
    </w:p>
    <w:p>
      <w:pPr>
        <w:pStyle w:val="BodyText"/>
        <w:spacing w:before="11"/>
        <w:rPr>
          <w:sz w:val="24"/>
        </w:rPr>
      </w:pPr>
    </w:p>
    <w:p>
      <w:pPr>
        <w:pStyle w:val="Heading9"/>
        <w:numPr>
          <w:ilvl w:val="1"/>
          <w:numId w:val="63"/>
        </w:numPr>
        <w:tabs>
          <w:tab w:pos="1071" w:val="left" w:leader="none"/>
        </w:tabs>
        <w:spacing w:line="207" w:lineRule="exact" w:before="0" w:after="0"/>
        <w:ind w:left="1070" w:right="0" w:hanging="566"/>
        <w:jc w:val="left"/>
      </w:pPr>
      <w:r>
        <w:rPr/>
        <w:t>Fair value</w:t>
      </w:r>
    </w:p>
    <w:p>
      <w:pPr>
        <w:pStyle w:val="BodyText"/>
        <w:spacing w:line="207" w:lineRule="exact"/>
        <w:ind w:left="1072" w:right="125"/>
      </w:pPr>
      <w:r>
        <w:rPr/>
        <w:t>The carrying amount for cash and cash equivalents equals the fair value.</w:t>
      </w:r>
    </w:p>
    <w:p>
      <w:pPr>
        <w:pStyle w:val="BodyText"/>
        <w:spacing w:before="3"/>
      </w:pPr>
    </w:p>
    <w:p>
      <w:pPr>
        <w:spacing w:after="0"/>
        <w:sectPr>
          <w:type w:val="continuous"/>
          <w:pgSz w:w="11910" w:h="16840"/>
          <w:pgMar w:top="0" w:bottom="280" w:left="900" w:right="860"/>
        </w:sectPr>
      </w:pPr>
    </w:p>
    <w:p>
      <w:pPr>
        <w:pStyle w:val="Heading9"/>
        <w:numPr>
          <w:ilvl w:val="0"/>
          <w:numId w:val="63"/>
        </w:numPr>
        <w:tabs>
          <w:tab w:pos="504" w:val="left" w:leader="none"/>
        </w:tabs>
        <w:spacing w:line="240" w:lineRule="auto" w:before="77" w:after="0"/>
        <w:ind w:left="504" w:right="0" w:hanging="394"/>
        <w:jc w:val="left"/>
      </w:pPr>
      <w:r>
        <w:rPr/>
        <w:t>Trade and other</w:t>
      </w:r>
      <w:r>
        <w:rPr>
          <w:spacing w:val="-1"/>
        </w:rPr>
        <w:t> </w:t>
      </w:r>
      <w:r>
        <w:rPr/>
        <w:t>receivables</w:t>
      </w:r>
    </w:p>
    <w:p>
      <w:pPr>
        <w:pStyle w:val="BodyText"/>
        <w:spacing w:before="7"/>
        <w:rPr>
          <w:b/>
          <w:sz w:val="24"/>
        </w:rPr>
      </w:pPr>
      <w:r>
        <w:rPr/>
        <w:br w:type="column"/>
      </w:r>
      <w:r>
        <w:rPr>
          <w:b/>
          <w:sz w:val="24"/>
        </w:rPr>
      </w:r>
    </w:p>
    <w:p>
      <w:pPr>
        <w:spacing w:line="207" w:lineRule="exact" w:before="1"/>
        <w:ind w:left="110" w:right="0" w:firstLine="0"/>
        <w:jc w:val="center"/>
        <w:rPr>
          <w:b/>
          <w:sz w:val="18"/>
        </w:rPr>
      </w:pPr>
      <w:r>
        <w:rPr>
          <w:b/>
          <w:sz w:val="18"/>
        </w:rPr>
        <w:t>2012</w:t>
      </w:r>
    </w:p>
    <w:p>
      <w:pPr>
        <w:spacing w:line="207" w:lineRule="exact" w:before="0"/>
        <w:ind w:left="109" w:right="0" w:firstLine="0"/>
        <w:jc w:val="center"/>
        <w:rPr>
          <w:b/>
          <w:sz w:val="18"/>
        </w:rPr>
      </w:pPr>
      <w:r>
        <w:rPr>
          <w:b/>
          <w:w w:val="99"/>
          <w:sz w:val="18"/>
        </w:rPr>
        <w:t>$</w:t>
      </w:r>
    </w:p>
    <w:p>
      <w:pPr>
        <w:pStyle w:val="BodyText"/>
        <w:spacing w:before="7"/>
        <w:rPr>
          <w:b/>
          <w:sz w:val="24"/>
        </w:rPr>
      </w:pPr>
      <w:r>
        <w:rPr/>
        <w:br w:type="column"/>
      </w:r>
      <w:r>
        <w:rPr>
          <w:b/>
          <w:sz w:val="24"/>
        </w:rPr>
      </w:r>
    </w:p>
    <w:p>
      <w:pPr>
        <w:pStyle w:val="BodyText"/>
        <w:spacing w:line="207" w:lineRule="exact" w:before="1"/>
        <w:ind w:left="94" w:right="568"/>
        <w:jc w:val="center"/>
      </w:pPr>
      <w:r>
        <w:rPr/>
        <w:t>2011</w:t>
      </w:r>
    </w:p>
    <w:p>
      <w:pPr>
        <w:pStyle w:val="BodyText"/>
        <w:spacing w:line="207" w:lineRule="exact"/>
        <w:ind w:right="474"/>
        <w:jc w:val="center"/>
      </w:pPr>
      <w:r>
        <w:rPr>
          <w:w w:val="99"/>
        </w:rPr>
        <w:t>$</w:t>
      </w:r>
    </w:p>
    <w:p>
      <w:pPr>
        <w:spacing w:after="0" w:line="207" w:lineRule="exact"/>
        <w:jc w:val="center"/>
        <w:sectPr>
          <w:type w:val="continuous"/>
          <w:pgSz w:w="11910" w:h="16840"/>
          <w:pgMar w:top="0" w:bottom="280" w:left="900" w:right="860"/>
          <w:cols w:num="3" w:equalWidth="0">
            <w:col w:w="2904" w:space="4858"/>
            <w:col w:w="514" w:space="770"/>
            <w:col w:w="1104"/>
          </w:cols>
        </w:sectPr>
      </w:pPr>
    </w:p>
    <w:p>
      <w:pPr>
        <w:pStyle w:val="BodyText"/>
        <w:tabs>
          <w:tab w:pos="7427" w:val="left" w:leader="none"/>
          <w:tab w:pos="7979" w:val="left" w:leader="none"/>
          <w:tab w:pos="9278" w:val="left" w:leader="none"/>
        </w:tabs>
        <w:spacing w:before="28"/>
        <w:ind w:left="504" w:right="125"/>
      </w:pPr>
      <w:r>
        <w:rPr/>
        <w:t>Trade</w:t>
      </w:r>
      <w:r>
        <w:rPr>
          <w:spacing w:val="-1"/>
        </w:rPr>
        <w:t> </w:t>
      </w:r>
      <w:r>
        <w:rPr/>
        <w:t>receivables</w:t>
        <w:tab/>
      </w:r>
      <w:r>
        <w:rPr>
          <w:rFonts w:ascii="Times New Roman"/>
          <w:u w:val="single"/>
        </w:rPr>
        <w:t> </w:t>
        <w:tab/>
      </w:r>
      <w:r>
        <w:rPr>
          <w:u w:val="single"/>
        </w:rPr>
        <w:t>108,456</w:t>
        <w:tab/>
        <w:t>236,713</w:t>
      </w:r>
    </w:p>
    <w:p>
      <w:pPr>
        <w:tabs>
          <w:tab w:pos="7427" w:val="left" w:leader="none"/>
          <w:tab w:pos="7979" w:val="left" w:leader="none"/>
          <w:tab w:pos="9278" w:val="left" w:leader="none"/>
        </w:tabs>
        <w:spacing w:before="18"/>
        <w:ind w:left="504" w:right="125" w:firstLine="0"/>
        <w:jc w:val="left"/>
        <w:rPr>
          <w:sz w:val="18"/>
        </w:rPr>
      </w:pPr>
      <w:r>
        <w:rPr>
          <w:b/>
          <w:sz w:val="18"/>
        </w:rPr>
        <w:t>Total current trade and</w:t>
      </w:r>
      <w:r>
        <w:rPr>
          <w:b/>
          <w:spacing w:val="-1"/>
          <w:sz w:val="18"/>
        </w:rPr>
        <w:t> </w:t>
      </w:r>
      <w:r>
        <w:rPr>
          <w:b/>
          <w:sz w:val="18"/>
        </w:rPr>
        <w:t>other receivables</w:t>
        <w:tab/>
      </w:r>
      <w:r>
        <w:rPr>
          <w:rFonts w:ascii="Times New Roman"/>
          <w:sz w:val="18"/>
          <w:u w:val="single"/>
        </w:rPr>
        <w:t> </w:t>
        <w:tab/>
      </w:r>
      <w:r>
        <w:rPr>
          <w:sz w:val="18"/>
          <w:u w:val="single"/>
        </w:rPr>
        <w:t>108,456</w:t>
        <w:tab/>
        <w:t>236,713</w:t>
      </w:r>
    </w:p>
    <w:p>
      <w:pPr>
        <w:pStyle w:val="BodyText"/>
        <w:spacing w:before="11"/>
        <w:rPr>
          <w:sz w:val="19"/>
        </w:rPr>
      </w:pPr>
    </w:p>
    <w:p>
      <w:pPr>
        <w:pStyle w:val="BodyText"/>
        <w:spacing w:before="77"/>
        <w:ind w:left="504" w:right="125"/>
      </w:pPr>
      <w:r>
        <w:rPr/>
        <w:t>Trade and other receivables are non-interest bearing.</w:t>
      </w:r>
    </w:p>
    <w:p>
      <w:pPr>
        <w:pStyle w:val="BodyText"/>
        <w:spacing w:before="11"/>
        <w:rPr>
          <w:sz w:val="24"/>
        </w:rPr>
      </w:pPr>
    </w:p>
    <w:p>
      <w:pPr>
        <w:pStyle w:val="Heading9"/>
        <w:numPr>
          <w:ilvl w:val="1"/>
          <w:numId w:val="63"/>
        </w:numPr>
        <w:tabs>
          <w:tab w:pos="1071" w:val="left" w:leader="none"/>
        </w:tabs>
        <w:spacing w:line="240" w:lineRule="auto" w:before="0" w:after="0"/>
        <w:ind w:left="1070" w:right="0" w:hanging="566"/>
        <w:jc w:val="left"/>
      </w:pPr>
      <w:r>
        <w:rPr/>
        <w:t>Fair value and credit</w:t>
      </w:r>
      <w:r>
        <w:rPr>
          <w:spacing w:val="-1"/>
        </w:rPr>
        <w:t> </w:t>
      </w:r>
      <w:r>
        <w:rPr/>
        <w:t>risk</w:t>
      </w:r>
    </w:p>
    <w:p>
      <w:pPr>
        <w:pStyle w:val="BodyText"/>
        <w:spacing w:before="146"/>
        <w:ind w:left="1072" w:right="115"/>
        <w:jc w:val="both"/>
      </w:pPr>
      <w:r>
        <w:rPr/>
        <w:t>Due to the short-term nature of these receivables, their carrying amount is assumed to approximate their fair value.</w:t>
      </w:r>
    </w:p>
    <w:p>
      <w:pPr>
        <w:pStyle w:val="BodyText"/>
        <w:spacing w:before="141"/>
        <w:ind w:left="1070" w:right="115"/>
        <w:jc w:val="both"/>
      </w:pPr>
      <w:r>
        <w:rPr/>
        <w:t>The maximum exposure to credit risk at the end of each reporting period is the carrying amount of each class of receivables mentioned above. The fair value of securities held for certain trade receivables is insignificant as is the fair value of any collateral sold or re-pledged. Refer to note 2 for more information on the risk management policy of the Trust and the credit quality of the entity's trade receivables.</w:t>
      </w:r>
    </w:p>
    <w:p>
      <w:pPr>
        <w:spacing w:after="0"/>
        <w:jc w:val="both"/>
        <w:sectPr>
          <w:type w:val="continuous"/>
          <w:pgSz w:w="11910" w:h="16840"/>
          <w:pgMar w:top="0" w:bottom="280" w:left="900" w:right="860"/>
        </w:sectPr>
      </w:pPr>
    </w:p>
    <w:p>
      <w:pPr>
        <w:pStyle w:val="BodyText"/>
        <w:spacing w:before="1"/>
        <w:rPr>
          <w:sz w:val="24"/>
        </w:rPr>
      </w:pPr>
    </w:p>
    <w:p>
      <w:pPr>
        <w:pStyle w:val="Heading3"/>
      </w:pPr>
      <w:r>
        <w:rPr/>
        <w:t>Notes to the financial statements</w:t>
      </w:r>
    </w:p>
    <w:p>
      <w:pPr>
        <w:pStyle w:val="Heading6"/>
        <w:spacing w:before="53"/>
      </w:pPr>
      <w:r>
        <w:rPr/>
        <w:t>For the Year Ended 31 December 2012</w:t>
      </w:r>
    </w:p>
    <w:p>
      <w:pPr>
        <w:pStyle w:val="BodyText"/>
        <w:rPr>
          <w:b/>
          <w:sz w:val="20"/>
        </w:rPr>
      </w:pPr>
    </w:p>
    <w:p>
      <w:pPr>
        <w:pStyle w:val="BodyText"/>
        <w:rPr>
          <w:b/>
          <w:sz w:val="20"/>
        </w:rPr>
      </w:pPr>
    </w:p>
    <w:p>
      <w:pPr>
        <w:spacing w:after="0"/>
        <w:rPr>
          <w:sz w:val="20"/>
        </w:rPr>
        <w:sectPr>
          <w:pgSz w:w="11910" w:h="16840"/>
          <w:pgMar w:header="1037" w:footer="526" w:top="1460" w:bottom="700" w:left="900" w:right="860"/>
        </w:sectPr>
      </w:pPr>
    </w:p>
    <w:p>
      <w:pPr>
        <w:pStyle w:val="BodyText"/>
        <w:rPr>
          <w:b/>
        </w:rPr>
      </w:pPr>
    </w:p>
    <w:p>
      <w:pPr>
        <w:pStyle w:val="Heading9"/>
        <w:numPr>
          <w:ilvl w:val="0"/>
          <w:numId w:val="63"/>
        </w:numPr>
        <w:tabs>
          <w:tab w:pos="504" w:val="left" w:leader="none"/>
        </w:tabs>
        <w:spacing w:line="240" w:lineRule="auto" w:before="0" w:after="0"/>
        <w:ind w:left="504" w:right="0" w:hanging="394"/>
        <w:jc w:val="left"/>
      </w:pPr>
      <w:r>
        <w:rPr/>
        <w:t>Other financial</w:t>
      </w:r>
      <w:r>
        <w:rPr>
          <w:spacing w:val="-1"/>
        </w:rPr>
        <w:t> </w:t>
      </w:r>
      <w:r>
        <w:rPr/>
        <w:t>assets</w:t>
      </w:r>
    </w:p>
    <w:p>
      <w:pPr>
        <w:pStyle w:val="BodyText"/>
        <w:rPr>
          <w:b/>
        </w:rPr>
      </w:pPr>
    </w:p>
    <w:p>
      <w:pPr>
        <w:pStyle w:val="BodyText"/>
        <w:spacing w:before="9"/>
        <w:rPr>
          <w:b/>
          <w:sz w:val="17"/>
        </w:rPr>
      </w:pPr>
    </w:p>
    <w:p>
      <w:pPr>
        <w:spacing w:line="207" w:lineRule="exact" w:before="0"/>
        <w:ind w:left="547" w:right="0" w:firstLine="0"/>
        <w:jc w:val="left"/>
        <w:rPr>
          <w:b/>
          <w:sz w:val="18"/>
        </w:rPr>
      </w:pPr>
      <w:r>
        <w:rPr>
          <w:b/>
          <w:sz w:val="18"/>
        </w:rPr>
        <w:t>Current</w:t>
      </w:r>
    </w:p>
    <w:p>
      <w:pPr>
        <w:pStyle w:val="BodyText"/>
        <w:spacing w:line="207" w:lineRule="exact"/>
        <w:ind w:left="547"/>
      </w:pPr>
      <w:r>
        <w:rPr/>
        <w:t>Financial assets at fair value through profit/(loss)</w:t>
      </w:r>
    </w:p>
    <w:p>
      <w:pPr>
        <w:pStyle w:val="BodyText"/>
      </w:pPr>
      <w:r>
        <w:rPr/>
        <w:br w:type="column"/>
      </w:r>
      <w:r>
        <w:rPr/>
      </w:r>
    </w:p>
    <w:p>
      <w:pPr>
        <w:pStyle w:val="BodyText"/>
      </w:pPr>
    </w:p>
    <w:p>
      <w:pPr>
        <w:pStyle w:val="Heading9"/>
        <w:spacing w:line="207" w:lineRule="exact"/>
        <w:ind w:left="110"/>
        <w:jc w:val="center"/>
      </w:pPr>
      <w:r>
        <w:rPr/>
        <w:t>2012</w:t>
      </w:r>
    </w:p>
    <w:p>
      <w:pPr>
        <w:spacing w:line="207" w:lineRule="exact" w:before="0"/>
        <w:ind w:left="109" w:right="0" w:firstLine="0"/>
        <w:jc w:val="center"/>
        <w:rPr>
          <w:b/>
          <w:sz w:val="18"/>
        </w:rPr>
      </w:pPr>
      <w:r>
        <w:rPr>
          <w:b/>
          <w:w w:val="99"/>
          <w:sz w:val="18"/>
        </w:rPr>
        <w:t>$</w:t>
      </w:r>
    </w:p>
    <w:p>
      <w:pPr>
        <w:pStyle w:val="BodyText"/>
        <w:rPr>
          <w:b/>
        </w:rPr>
      </w:pPr>
      <w:r>
        <w:rPr/>
        <w:br w:type="column"/>
      </w:r>
      <w:r>
        <w:rPr>
          <w:b/>
        </w:rPr>
      </w:r>
    </w:p>
    <w:p>
      <w:pPr>
        <w:pStyle w:val="BodyText"/>
        <w:rPr>
          <w:b/>
        </w:rPr>
      </w:pPr>
    </w:p>
    <w:p>
      <w:pPr>
        <w:spacing w:line="207" w:lineRule="exact" w:before="0"/>
        <w:ind w:left="95" w:right="547" w:firstLine="0"/>
        <w:jc w:val="center"/>
        <w:rPr>
          <w:b/>
          <w:sz w:val="18"/>
        </w:rPr>
      </w:pPr>
      <w:r>
        <w:rPr>
          <w:b/>
          <w:sz w:val="18"/>
        </w:rPr>
        <w:t>2011</w:t>
      </w:r>
    </w:p>
    <w:p>
      <w:pPr>
        <w:spacing w:line="207" w:lineRule="exact" w:before="0"/>
        <w:ind w:left="0" w:right="454"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4450" w:space="3335"/>
            <w:col w:w="514" w:space="768"/>
            <w:col w:w="1083"/>
          </w:cols>
        </w:sectPr>
      </w:pPr>
    </w:p>
    <w:p>
      <w:pPr>
        <w:pStyle w:val="BodyText"/>
        <w:tabs>
          <w:tab w:pos="7427" w:val="left" w:leader="none"/>
          <w:tab w:pos="8575" w:val="left" w:leader="none"/>
          <w:tab w:pos="9124" w:val="left" w:leader="none"/>
        </w:tabs>
        <w:spacing w:line="206" w:lineRule="exact"/>
        <w:ind w:left="547" w:right="125"/>
      </w:pPr>
      <w:r>
        <w:rPr/>
        <w:t>- Optimix-</w:t>
      </w:r>
      <w:r>
        <w:rPr>
          <w:spacing w:val="-1"/>
        </w:rPr>
        <w:t> </w:t>
      </w:r>
      <w:r>
        <w:rPr/>
        <w:t>balanced</w:t>
      </w:r>
      <w:r>
        <w:rPr>
          <w:spacing w:val="-1"/>
        </w:rPr>
        <w:t> </w:t>
      </w:r>
      <w:r>
        <w:rPr/>
        <w:t>fund</w:t>
        <w:tab/>
      </w:r>
      <w:r>
        <w:rPr>
          <w:rFonts w:ascii="Times New Roman"/>
          <w:u w:val="single"/>
        </w:rPr>
        <w:t> </w:t>
        <w:tab/>
      </w:r>
      <w:r>
        <w:rPr>
          <w:b/>
          <w:u w:val="single"/>
        </w:rPr>
        <w:t>-</w:t>
        <w:tab/>
      </w:r>
      <w:r>
        <w:rPr>
          <w:u w:val="single"/>
        </w:rPr>
        <w:t>9,650,893</w:t>
      </w:r>
    </w:p>
    <w:p>
      <w:pPr>
        <w:pStyle w:val="BodyText"/>
        <w:tabs>
          <w:tab w:pos="7427" w:val="left" w:leader="none"/>
          <w:tab w:pos="8575" w:val="left" w:leader="none"/>
          <w:tab w:pos="9124" w:val="left" w:leader="none"/>
        </w:tabs>
        <w:spacing w:before="9"/>
        <w:ind w:left="547" w:right="125"/>
      </w:pPr>
      <w:r>
        <w:rPr/>
        <w:t>Total current other</w:t>
      </w:r>
      <w:r>
        <w:rPr>
          <w:spacing w:val="2"/>
        </w:rPr>
        <w:t> </w:t>
      </w:r>
      <w:r>
        <w:rPr/>
        <w:t>financial assets</w:t>
        <w:tab/>
      </w:r>
      <w:r>
        <w:rPr>
          <w:rFonts w:ascii="Times New Roman"/>
          <w:u w:val="single"/>
        </w:rPr>
        <w:t> </w:t>
        <w:tab/>
      </w:r>
      <w:r>
        <w:rPr>
          <w:b/>
          <w:u w:val="single"/>
        </w:rPr>
        <w:t>-</w:t>
        <w:tab/>
      </w:r>
      <w:r>
        <w:rPr>
          <w:u w:val="single"/>
        </w:rPr>
        <w:t>9,650,893</w:t>
      </w:r>
    </w:p>
    <w:p>
      <w:pPr>
        <w:pStyle w:val="Heading9"/>
        <w:spacing w:line="207" w:lineRule="exact" w:before="158"/>
        <w:ind w:left="547" w:right="125"/>
      </w:pPr>
      <w:r>
        <w:rPr/>
        <w:t>Non-current</w:t>
      </w:r>
    </w:p>
    <w:p>
      <w:pPr>
        <w:pStyle w:val="BodyText"/>
        <w:spacing w:line="206" w:lineRule="exact"/>
        <w:ind w:left="547" w:right="125"/>
      </w:pPr>
      <w:r>
        <w:rPr/>
        <w:t>Other available-for-sale assets</w:t>
      </w:r>
    </w:p>
    <w:p>
      <w:pPr>
        <w:pStyle w:val="BodyText"/>
        <w:tabs>
          <w:tab w:pos="7427" w:val="left" w:leader="none"/>
          <w:tab w:pos="7727" w:val="left" w:leader="none"/>
          <w:tab w:pos="9871" w:val="left" w:leader="none"/>
        </w:tabs>
        <w:spacing w:line="207" w:lineRule="exact"/>
        <w:ind w:left="547" w:right="125"/>
      </w:pPr>
      <w:r>
        <w:rPr/>
        <w:t>- Acadian australian equity high</w:t>
      </w:r>
      <w:r>
        <w:rPr>
          <w:spacing w:val="3"/>
        </w:rPr>
        <w:t> </w:t>
      </w:r>
      <w:r>
        <w:rPr/>
        <w:t>yield fund</w:t>
        <w:tab/>
      </w:r>
      <w:r>
        <w:rPr>
          <w:rFonts w:ascii="Times New Roman"/>
          <w:u w:val="single"/>
        </w:rPr>
        <w:t> </w:t>
        <w:tab/>
      </w:r>
      <w:r>
        <w:rPr>
          <w:b/>
          <w:u w:val="single"/>
        </w:rPr>
        <w:t>25,579,182</w:t>
        <w:tab/>
      </w:r>
      <w:r>
        <w:rPr>
          <w:u w:val="single"/>
        </w:rPr>
        <w:t>-</w:t>
      </w:r>
    </w:p>
    <w:p>
      <w:pPr>
        <w:pStyle w:val="BodyText"/>
        <w:tabs>
          <w:tab w:pos="7427" w:val="left" w:leader="none"/>
          <w:tab w:pos="7727" w:val="left" w:leader="none"/>
          <w:tab w:pos="9871" w:val="left" w:leader="none"/>
        </w:tabs>
        <w:spacing w:before="9"/>
        <w:ind w:left="547" w:right="125"/>
      </w:pPr>
      <w:r>
        <w:rPr/>
        <w:t>Total non-current other</w:t>
      </w:r>
      <w:r>
        <w:rPr>
          <w:spacing w:val="2"/>
        </w:rPr>
        <w:t> </w:t>
      </w:r>
      <w:r>
        <w:rPr/>
        <w:t>financial assets</w:t>
        <w:tab/>
      </w:r>
      <w:r>
        <w:rPr>
          <w:rFonts w:ascii="Times New Roman"/>
          <w:u w:val="single"/>
        </w:rPr>
        <w:t> </w:t>
        <w:tab/>
      </w:r>
      <w:r>
        <w:rPr>
          <w:b/>
          <w:u w:val="single"/>
        </w:rPr>
        <w:t>25,579,182</w:t>
        <w:tab/>
      </w:r>
      <w:r>
        <w:rPr>
          <w:u w:val="single"/>
        </w:rPr>
        <w:t>-</w:t>
      </w:r>
    </w:p>
    <w:p>
      <w:pPr>
        <w:pStyle w:val="BodyText"/>
        <w:spacing w:before="2"/>
        <w:rPr>
          <w:sz w:val="21"/>
        </w:rPr>
      </w:pPr>
    </w:p>
    <w:p>
      <w:pPr>
        <w:tabs>
          <w:tab w:pos="7427" w:val="left" w:leader="none"/>
          <w:tab w:pos="7727" w:val="left" w:leader="none"/>
          <w:tab w:pos="9124" w:val="left" w:leader="none"/>
        </w:tabs>
        <w:spacing w:before="77"/>
        <w:ind w:left="547" w:right="125" w:firstLine="0"/>
        <w:jc w:val="left"/>
        <w:rPr>
          <w:sz w:val="18"/>
        </w:rPr>
      </w:pPr>
      <w:r>
        <w:rPr>
          <w:b/>
          <w:sz w:val="18"/>
        </w:rPr>
        <w:t>Total other</w:t>
      </w:r>
      <w:r>
        <w:rPr>
          <w:b/>
          <w:spacing w:val="-1"/>
          <w:sz w:val="18"/>
        </w:rPr>
        <w:t> </w:t>
      </w:r>
      <w:r>
        <w:rPr>
          <w:b/>
          <w:sz w:val="18"/>
        </w:rPr>
        <w:t>financial assets</w:t>
        <w:tab/>
      </w:r>
      <w:r>
        <w:rPr>
          <w:rFonts w:ascii="Times New Roman"/>
          <w:sz w:val="18"/>
          <w:u w:val="single"/>
        </w:rPr>
        <w:t> </w:t>
        <w:tab/>
      </w:r>
      <w:r>
        <w:rPr>
          <w:b/>
          <w:sz w:val="18"/>
          <w:u w:val="single"/>
        </w:rPr>
        <w:t>25,579,182</w:t>
        <w:tab/>
      </w:r>
      <w:r>
        <w:rPr>
          <w:sz w:val="18"/>
          <w:u w:val="single"/>
        </w:rPr>
        <w:t>9,650,893</w:t>
      </w:r>
    </w:p>
    <w:p>
      <w:pPr>
        <w:pStyle w:val="BodyText"/>
        <w:spacing w:before="11"/>
        <w:rPr>
          <w:sz w:val="19"/>
        </w:rPr>
      </w:pPr>
    </w:p>
    <w:p>
      <w:pPr>
        <w:spacing w:after="0"/>
        <w:rPr>
          <w:sz w:val="19"/>
        </w:rPr>
        <w:sectPr>
          <w:type w:val="continuous"/>
          <w:pgSz w:w="11910" w:h="16840"/>
          <w:pgMar w:top="0" w:bottom="280" w:left="900" w:right="860"/>
        </w:sectPr>
      </w:pPr>
    </w:p>
    <w:p>
      <w:pPr>
        <w:pStyle w:val="Heading9"/>
        <w:numPr>
          <w:ilvl w:val="0"/>
          <w:numId w:val="63"/>
        </w:numPr>
        <w:tabs>
          <w:tab w:pos="504" w:val="left" w:leader="none"/>
        </w:tabs>
        <w:spacing w:line="240" w:lineRule="auto" w:before="77" w:after="0"/>
        <w:ind w:left="504" w:right="0" w:hanging="394"/>
        <w:jc w:val="left"/>
      </w:pPr>
      <w:r>
        <w:rPr/>
        <w:t>Reserves</w:t>
      </w:r>
    </w:p>
    <w:p>
      <w:pPr>
        <w:pStyle w:val="BodyText"/>
        <w:rPr>
          <w:b/>
        </w:rPr>
      </w:pPr>
    </w:p>
    <w:p>
      <w:pPr>
        <w:pStyle w:val="BodyText"/>
        <w:spacing w:before="5"/>
        <w:rPr>
          <w:b/>
          <w:sz w:val="19"/>
        </w:rPr>
      </w:pPr>
    </w:p>
    <w:p>
      <w:pPr>
        <w:spacing w:before="1"/>
        <w:ind w:left="504" w:right="-16" w:firstLine="0"/>
        <w:jc w:val="left"/>
        <w:rPr>
          <w:b/>
          <w:sz w:val="18"/>
        </w:rPr>
      </w:pPr>
      <w:r>
        <w:rPr>
          <w:b/>
          <w:sz w:val="18"/>
        </w:rPr>
        <w:t>Investment revaluation reserve</w:t>
      </w:r>
    </w:p>
    <w:p>
      <w:pPr>
        <w:pStyle w:val="BodyText"/>
        <w:spacing w:before="7"/>
        <w:rPr>
          <w:b/>
          <w:sz w:val="24"/>
        </w:rPr>
      </w:pPr>
      <w:r>
        <w:rPr/>
        <w:br w:type="column"/>
      </w:r>
      <w:r>
        <w:rPr>
          <w:b/>
          <w:sz w:val="24"/>
        </w:rPr>
      </w:r>
    </w:p>
    <w:p>
      <w:pPr>
        <w:spacing w:line="207" w:lineRule="exact" w:before="0"/>
        <w:ind w:left="110" w:right="0" w:firstLine="0"/>
        <w:jc w:val="center"/>
        <w:rPr>
          <w:b/>
          <w:sz w:val="18"/>
        </w:rPr>
      </w:pPr>
      <w:r>
        <w:rPr>
          <w:b/>
          <w:sz w:val="18"/>
        </w:rPr>
        <w:t>2012</w:t>
      </w:r>
    </w:p>
    <w:p>
      <w:pPr>
        <w:spacing w:line="207" w:lineRule="exact" w:before="0"/>
        <w:ind w:left="109" w:right="0" w:firstLine="0"/>
        <w:jc w:val="center"/>
        <w:rPr>
          <w:b/>
          <w:sz w:val="18"/>
        </w:rPr>
      </w:pPr>
      <w:r>
        <w:rPr>
          <w:b/>
          <w:w w:val="99"/>
          <w:sz w:val="18"/>
        </w:rPr>
        <w:t>$</w:t>
      </w:r>
    </w:p>
    <w:p>
      <w:pPr>
        <w:pStyle w:val="BodyText"/>
        <w:spacing w:before="7"/>
        <w:rPr>
          <w:b/>
          <w:sz w:val="24"/>
        </w:rPr>
      </w:pPr>
      <w:r>
        <w:rPr/>
        <w:br w:type="column"/>
      </w:r>
      <w:r>
        <w:rPr>
          <w:b/>
          <w:sz w:val="24"/>
        </w:rPr>
      </w:r>
    </w:p>
    <w:p>
      <w:pPr>
        <w:spacing w:line="207" w:lineRule="exact" w:before="0"/>
        <w:ind w:left="95" w:right="566" w:firstLine="0"/>
        <w:jc w:val="center"/>
        <w:rPr>
          <w:b/>
          <w:sz w:val="18"/>
        </w:rPr>
      </w:pPr>
      <w:r>
        <w:rPr>
          <w:b/>
          <w:sz w:val="18"/>
        </w:rPr>
        <w:t>2011</w:t>
      </w:r>
    </w:p>
    <w:p>
      <w:pPr>
        <w:spacing w:line="207" w:lineRule="exact" w:before="0"/>
        <w:ind w:left="0" w:right="472"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3160" w:space="4604"/>
            <w:col w:w="514" w:space="770"/>
            <w:col w:w="1102"/>
          </w:cols>
        </w:sectPr>
      </w:pPr>
    </w:p>
    <w:p>
      <w:pPr>
        <w:pStyle w:val="BodyText"/>
        <w:tabs>
          <w:tab w:pos="8577" w:val="left" w:leader="none"/>
          <w:tab w:pos="9875" w:val="left" w:leader="none"/>
        </w:tabs>
        <w:spacing w:line="206" w:lineRule="exact"/>
        <w:ind w:left="504" w:right="125"/>
      </w:pPr>
      <w:r>
        <w:rPr/>
        <w:t>Opening balance</w:t>
        <w:tab/>
      </w:r>
      <w:r>
        <w:rPr>
          <w:b/>
        </w:rPr>
        <w:t>-</w:t>
        <w:tab/>
      </w:r>
      <w:r>
        <w:rPr/>
        <w:t>-</w:t>
      </w:r>
    </w:p>
    <w:p>
      <w:pPr>
        <w:pStyle w:val="BodyText"/>
        <w:tabs>
          <w:tab w:pos="7430" w:val="left" w:leader="none"/>
          <w:tab w:pos="7831" w:val="left" w:leader="none"/>
          <w:tab w:pos="9875" w:val="left" w:leader="none"/>
        </w:tabs>
        <w:spacing w:line="207" w:lineRule="exact"/>
        <w:ind w:left="504" w:right="125"/>
      </w:pPr>
      <w:r>
        <w:rPr/>
        <w:t>Gain/(loss) on value of available-for-sale</w:t>
      </w:r>
      <w:r>
        <w:rPr>
          <w:spacing w:val="4"/>
        </w:rPr>
        <w:t> </w:t>
      </w:r>
      <w:r>
        <w:rPr/>
        <w:t>financial assets</w:t>
        <w:tab/>
      </w:r>
      <w:r>
        <w:rPr>
          <w:rFonts w:ascii="Times New Roman"/>
          <w:u w:val="single"/>
        </w:rPr>
        <w:t> </w:t>
        <w:tab/>
      </w:r>
      <w:r>
        <w:rPr>
          <w:b/>
          <w:u w:val="single"/>
        </w:rPr>
        <w:t>1,271,833</w:t>
        <w:tab/>
      </w:r>
      <w:r>
        <w:rPr>
          <w:u w:val="single"/>
        </w:rPr>
        <w:t>-</w:t>
      </w:r>
    </w:p>
    <w:p>
      <w:pPr>
        <w:tabs>
          <w:tab w:pos="7430" w:val="left" w:leader="none"/>
          <w:tab w:pos="7831" w:val="left" w:leader="none"/>
          <w:tab w:pos="9875" w:val="left" w:leader="none"/>
        </w:tabs>
        <w:spacing w:before="9"/>
        <w:ind w:left="504" w:right="125" w:firstLine="0"/>
        <w:jc w:val="left"/>
        <w:rPr>
          <w:sz w:val="18"/>
        </w:rPr>
      </w:pPr>
      <w:r>
        <w:rPr>
          <w:sz w:val="18"/>
        </w:rPr>
        <w:t>Closing Balance</w:t>
        <w:tab/>
      </w:r>
      <w:r>
        <w:rPr>
          <w:rFonts w:ascii="Times New Roman"/>
          <w:sz w:val="18"/>
          <w:u w:val="single"/>
        </w:rPr>
        <w:t> </w:t>
        <w:tab/>
      </w:r>
      <w:r>
        <w:rPr>
          <w:b/>
          <w:sz w:val="18"/>
          <w:u w:val="single"/>
        </w:rPr>
        <w:t>1,271,833</w:t>
        <w:tab/>
      </w:r>
      <w:r>
        <w:rPr>
          <w:sz w:val="18"/>
          <w:u w:val="single"/>
        </w:rPr>
        <w:t>-</w:t>
      </w:r>
    </w:p>
    <w:p>
      <w:pPr>
        <w:pStyle w:val="BodyText"/>
        <w:spacing w:before="6"/>
        <w:rPr>
          <w:sz w:val="19"/>
        </w:rPr>
      </w:pPr>
    </w:p>
    <w:p>
      <w:pPr>
        <w:pStyle w:val="Heading9"/>
        <w:tabs>
          <w:tab w:pos="7430" w:val="left" w:leader="none"/>
          <w:tab w:pos="7831" w:val="left" w:leader="none"/>
          <w:tab w:pos="9875" w:val="left" w:leader="none"/>
        </w:tabs>
        <w:spacing w:before="77"/>
        <w:ind w:left="504" w:right="125"/>
        <w:rPr>
          <w:b w:val="0"/>
        </w:rPr>
      </w:pPr>
      <w:r>
        <w:rPr/>
        <w:t>Total</w:t>
      </w:r>
      <w:r>
        <w:rPr>
          <w:spacing w:val="-1"/>
        </w:rPr>
        <w:t> </w:t>
      </w:r>
      <w:r>
        <w:rPr/>
        <w:t>reserves</w:t>
        <w:tab/>
      </w:r>
      <w:r>
        <w:rPr>
          <w:rFonts w:ascii="Times New Roman"/>
          <w:b w:val="0"/>
          <w:u w:val="single"/>
        </w:rPr>
        <w:t> </w:t>
        <w:tab/>
      </w:r>
      <w:r>
        <w:rPr>
          <w:u w:val="single"/>
        </w:rPr>
        <w:t>1,271,833</w:t>
        <w:tab/>
      </w:r>
      <w:r>
        <w:rPr>
          <w:b w:val="0"/>
          <w:u w:val="single"/>
        </w:rPr>
        <w:t>-</w:t>
      </w:r>
    </w:p>
    <w:p>
      <w:pPr>
        <w:pStyle w:val="BodyText"/>
        <w:spacing w:before="11"/>
        <w:rPr>
          <w:sz w:val="19"/>
        </w:rPr>
      </w:pPr>
    </w:p>
    <w:p>
      <w:pPr>
        <w:spacing w:after="0"/>
        <w:rPr>
          <w:sz w:val="19"/>
        </w:rPr>
        <w:sectPr>
          <w:type w:val="continuous"/>
          <w:pgSz w:w="11910" w:h="16840"/>
          <w:pgMar w:top="0" w:bottom="280" w:left="900" w:right="860"/>
        </w:sectPr>
      </w:pPr>
    </w:p>
    <w:p>
      <w:pPr>
        <w:pStyle w:val="ListParagraph"/>
        <w:numPr>
          <w:ilvl w:val="0"/>
          <w:numId w:val="63"/>
        </w:numPr>
        <w:tabs>
          <w:tab w:pos="504" w:val="left" w:leader="none"/>
        </w:tabs>
        <w:spacing w:line="240" w:lineRule="auto" w:before="77" w:after="0"/>
        <w:ind w:left="504" w:right="0" w:hanging="394"/>
        <w:jc w:val="left"/>
        <w:rPr>
          <w:b/>
          <w:sz w:val="18"/>
        </w:rPr>
      </w:pPr>
      <w:r>
        <w:rPr>
          <w:b/>
          <w:sz w:val="18"/>
        </w:rPr>
        <w:t>Retained surplus</w:t>
      </w:r>
    </w:p>
    <w:p>
      <w:pPr>
        <w:pStyle w:val="BodyText"/>
        <w:spacing w:before="146"/>
        <w:ind w:left="504" w:right="-3"/>
      </w:pPr>
      <w:r>
        <w:rPr/>
        <w:t>Movements in retained surplus were as follows:</w:t>
      </w:r>
    </w:p>
    <w:p>
      <w:pPr>
        <w:pStyle w:val="BodyText"/>
      </w:pPr>
      <w:r>
        <w:rPr/>
        <w:br w:type="column"/>
      </w:r>
      <w:r>
        <w:rPr/>
      </w:r>
    </w:p>
    <w:p>
      <w:pPr>
        <w:pStyle w:val="BodyText"/>
      </w:pPr>
    </w:p>
    <w:p>
      <w:pPr>
        <w:pStyle w:val="BodyText"/>
        <w:spacing w:before="3"/>
        <w:rPr>
          <w:sz w:val="19"/>
        </w:rPr>
      </w:pPr>
    </w:p>
    <w:p>
      <w:pPr>
        <w:pStyle w:val="Heading9"/>
        <w:spacing w:line="207" w:lineRule="exact" w:before="1"/>
        <w:ind w:left="110"/>
        <w:jc w:val="center"/>
      </w:pPr>
      <w:r>
        <w:rPr/>
        <w:t>2012</w:t>
      </w:r>
    </w:p>
    <w:p>
      <w:pPr>
        <w:spacing w:line="207" w:lineRule="exact" w:before="0"/>
        <w:ind w:left="109" w:right="0" w:firstLine="0"/>
        <w:jc w:val="center"/>
        <w:rPr>
          <w:b/>
          <w:sz w:val="18"/>
        </w:rPr>
      </w:pPr>
      <w:r>
        <w:rPr>
          <w:b/>
          <w:w w:val="99"/>
          <w:sz w:val="18"/>
        </w:rPr>
        <w:t>$</w:t>
      </w:r>
    </w:p>
    <w:p>
      <w:pPr>
        <w:pStyle w:val="BodyText"/>
        <w:rPr>
          <w:b/>
        </w:rPr>
      </w:pPr>
      <w:r>
        <w:rPr/>
        <w:br w:type="column"/>
      </w:r>
      <w:r>
        <w:rPr>
          <w:b/>
        </w:rPr>
      </w:r>
    </w:p>
    <w:p>
      <w:pPr>
        <w:pStyle w:val="BodyText"/>
        <w:rPr>
          <w:b/>
        </w:rPr>
      </w:pPr>
    </w:p>
    <w:p>
      <w:pPr>
        <w:pStyle w:val="BodyText"/>
        <w:spacing w:before="3"/>
        <w:rPr>
          <w:b/>
          <w:sz w:val="19"/>
        </w:rPr>
      </w:pPr>
    </w:p>
    <w:p>
      <w:pPr>
        <w:pStyle w:val="BodyText"/>
        <w:spacing w:line="207" w:lineRule="exact" w:before="1"/>
        <w:ind w:left="95" w:right="569"/>
        <w:jc w:val="center"/>
      </w:pPr>
      <w:r>
        <w:rPr/>
        <w:t>2011</w:t>
      </w:r>
    </w:p>
    <w:p>
      <w:pPr>
        <w:pStyle w:val="BodyText"/>
        <w:spacing w:line="207" w:lineRule="exact"/>
        <w:ind w:right="474"/>
        <w:jc w:val="center"/>
      </w:pPr>
      <w:r>
        <w:rPr>
          <w:w w:val="99"/>
        </w:rPr>
        <w:t>$</w:t>
      </w:r>
    </w:p>
    <w:p>
      <w:pPr>
        <w:spacing w:after="0" w:line="207" w:lineRule="exact"/>
        <w:jc w:val="center"/>
        <w:sectPr>
          <w:type w:val="continuous"/>
          <w:pgSz w:w="11910" w:h="16840"/>
          <w:pgMar w:top="0" w:bottom="280" w:left="900" w:right="860"/>
          <w:cols w:num="3" w:equalWidth="0">
            <w:col w:w="4303" w:space="3458"/>
            <w:col w:w="514" w:space="770"/>
            <w:col w:w="1105"/>
          </w:cols>
        </w:sectPr>
      </w:pPr>
    </w:p>
    <w:p>
      <w:pPr>
        <w:tabs>
          <w:tab w:pos="7727" w:val="left" w:leader="none"/>
          <w:tab w:pos="9026" w:val="left" w:leader="none"/>
        </w:tabs>
        <w:spacing w:line="207" w:lineRule="exact" w:before="28"/>
        <w:ind w:left="504" w:right="125" w:firstLine="0"/>
        <w:jc w:val="left"/>
        <w:rPr>
          <w:sz w:val="18"/>
        </w:rPr>
      </w:pPr>
      <w:r>
        <w:rPr>
          <w:sz w:val="18"/>
        </w:rPr>
        <w:t>Balance as at</w:t>
      </w:r>
      <w:r>
        <w:rPr>
          <w:spacing w:val="2"/>
          <w:sz w:val="18"/>
        </w:rPr>
        <w:t> </w:t>
      </w:r>
      <w:r>
        <w:rPr>
          <w:sz w:val="18"/>
        </w:rPr>
        <w:t>1 January</w:t>
        <w:tab/>
      </w:r>
      <w:r>
        <w:rPr>
          <w:b/>
          <w:sz w:val="18"/>
        </w:rPr>
        <w:t>29,143,309</w:t>
        <w:tab/>
      </w:r>
      <w:r>
        <w:rPr>
          <w:sz w:val="18"/>
        </w:rPr>
        <w:t>28,169,669</w:t>
      </w:r>
    </w:p>
    <w:p>
      <w:pPr>
        <w:tabs>
          <w:tab w:pos="7828" w:val="left" w:leader="none"/>
          <w:tab w:pos="9278" w:val="left" w:leader="none"/>
        </w:tabs>
        <w:spacing w:line="206" w:lineRule="exact" w:before="0"/>
        <w:ind w:left="504" w:right="125" w:firstLine="0"/>
        <w:jc w:val="left"/>
        <w:rPr>
          <w:sz w:val="18"/>
        </w:rPr>
      </w:pPr>
      <w:r>
        <w:rPr>
          <w:sz w:val="18"/>
        </w:rPr>
        <w:t>Surplus/(deficit) for</w:t>
      </w:r>
      <w:r>
        <w:rPr>
          <w:spacing w:val="-1"/>
          <w:sz w:val="18"/>
        </w:rPr>
        <w:t> </w:t>
      </w:r>
      <w:r>
        <w:rPr>
          <w:sz w:val="18"/>
        </w:rPr>
        <w:t>the</w:t>
      </w:r>
      <w:r>
        <w:rPr>
          <w:spacing w:val="-1"/>
          <w:sz w:val="18"/>
        </w:rPr>
        <w:t> </w:t>
      </w:r>
      <w:r>
        <w:rPr>
          <w:sz w:val="18"/>
        </w:rPr>
        <w:t>year</w:t>
        <w:tab/>
      </w:r>
      <w:r>
        <w:rPr>
          <w:b/>
          <w:sz w:val="18"/>
        </w:rPr>
        <w:t>2,317,968</w:t>
        <w:tab/>
      </w:r>
      <w:r>
        <w:rPr>
          <w:sz w:val="18"/>
        </w:rPr>
        <w:t>973,640</w:t>
      </w:r>
    </w:p>
    <w:p>
      <w:pPr>
        <w:pStyle w:val="BodyText"/>
        <w:tabs>
          <w:tab w:pos="7427" w:val="left" w:leader="none"/>
          <w:tab w:pos="8575" w:val="left" w:leader="none"/>
          <w:tab w:pos="9873" w:val="left" w:leader="none"/>
        </w:tabs>
        <w:spacing w:line="207" w:lineRule="exact"/>
        <w:ind w:left="504" w:right="125"/>
      </w:pPr>
      <w:r>
        <w:rPr/>
        <w:t>Trust distributions for</w:t>
      </w:r>
      <w:r>
        <w:rPr>
          <w:spacing w:val="-1"/>
        </w:rPr>
        <w:t> </w:t>
      </w:r>
      <w:r>
        <w:rPr/>
        <w:t>the</w:t>
      </w:r>
      <w:r>
        <w:rPr>
          <w:spacing w:val="-1"/>
        </w:rPr>
        <w:t> </w:t>
      </w:r>
      <w:r>
        <w:rPr/>
        <w:t>year</w:t>
        <w:tab/>
      </w:r>
      <w:r>
        <w:rPr>
          <w:rFonts w:ascii="Times New Roman"/>
          <w:u w:val="single"/>
        </w:rPr>
        <w:t> </w:t>
        <w:tab/>
      </w:r>
      <w:r>
        <w:rPr>
          <w:b/>
          <w:u w:val="single"/>
        </w:rPr>
        <w:t>-</w:t>
        <w:tab/>
      </w:r>
      <w:r>
        <w:rPr>
          <w:u w:val="single"/>
        </w:rPr>
        <w:t>-</w:t>
      </w:r>
    </w:p>
    <w:p>
      <w:pPr>
        <w:tabs>
          <w:tab w:pos="7427" w:val="left" w:leader="none"/>
          <w:tab w:pos="7727" w:val="left" w:leader="none"/>
          <w:tab w:pos="9026" w:val="left" w:leader="none"/>
        </w:tabs>
        <w:spacing w:before="9"/>
        <w:ind w:left="504" w:right="125" w:firstLine="0"/>
        <w:jc w:val="left"/>
        <w:rPr>
          <w:sz w:val="18"/>
        </w:rPr>
      </w:pPr>
      <w:r>
        <w:rPr>
          <w:sz w:val="18"/>
        </w:rPr>
        <w:t>Balance as at</w:t>
      </w:r>
      <w:r>
        <w:rPr>
          <w:spacing w:val="2"/>
          <w:sz w:val="18"/>
        </w:rPr>
        <w:t> </w:t>
      </w:r>
      <w:r>
        <w:rPr>
          <w:sz w:val="18"/>
        </w:rPr>
        <w:t>31 December</w:t>
        <w:tab/>
      </w:r>
      <w:r>
        <w:rPr>
          <w:rFonts w:ascii="Times New Roman"/>
          <w:sz w:val="18"/>
          <w:u w:val="single"/>
        </w:rPr>
        <w:t> </w:t>
        <w:tab/>
      </w:r>
      <w:r>
        <w:rPr>
          <w:b/>
          <w:sz w:val="18"/>
          <w:u w:val="single"/>
        </w:rPr>
        <w:t>31,461,277</w:t>
        <w:tab/>
      </w:r>
      <w:r>
        <w:rPr>
          <w:sz w:val="18"/>
          <w:u w:val="single"/>
        </w:rPr>
        <w:t>29,143,309</w:t>
      </w:r>
    </w:p>
    <w:p>
      <w:pPr>
        <w:pStyle w:val="BodyText"/>
        <w:spacing w:before="11"/>
        <w:rPr>
          <w:sz w:val="19"/>
        </w:rPr>
      </w:pPr>
    </w:p>
    <w:p>
      <w:pPr>
        <w:pStyle w:val="BodyText"/>
        <w:spacing w:before="77"/>
        <w:ind w:left="503" w:right="334"/>
      </w:pPr>
      <w:r>
        <w:rPr/>
        <w:t>$30,452,021 ($28,311,994 in 2011) of the accumulated funds are from donations and fundraising  for  specific  purposes. These funds are held by the Trust for such</w:t>
      </w:r>
      <w:r>
        <w:rPr>
          <w:spacing w:val="9"/>
        </w:rPr>
        <w:t> </w:t>
      </w:r>
      <w:r>
        <w:rPr/>
        <w:t>purposes.</w:t>
      </w:r>
    </w:p>
    <w:p>
      <w:pPr>
        <w:pStyle w:val="BodyText"/>
        <w:spacing w:before="11"/>
        <w:rPr>
          <w:sz w:val="24"/>
        </w:rPr>
      </w:pPr>
    </w:p>
    <w:p>
      <w:pPr>
        <w:pStyle w:val="Heading9"/>
        <w:numPr>
          <w:ilvl w:val="0"/>
          <w:numId w:val="63"/>
        </w:numPr>
        <w:tabs>
          <w:tab w:pos="504" w:val="left" w:leader="none"/>
        </w:tabs>
        <w:spacing w:line="240" w:lineRule="auto" w:before="0" w:after="0"/>
        <w:ind w:left="504" w:right="0" w:hanging="394"/>
        <w:jc w:val="left"/>
      </w:pPr>
      <w:r>
        <w:rPr/>
        <w:t>Commitments</w:t>
      </w:r>
    </w:p>
    <w:p>
      <w:pPr>
        <w:pStyle w:val="BodyText"/>
        <w:spacing w:before="141"/>
        <w:ind w:left="504" w:right="125"/>
      </w:pPr>
      <w:r>
        <w:rPr/>
        <w:t>The Trust had no commitments at 31 December 2012 (31 December 2011: nil).</w:t>
      </w:r>
    </w:p>
    <w:p>
      <w:pPr>
        <w:pStyle w:val="BodyText"/>
      </w:pPr>
    </w:p>
    <w:p>
      <w:pPr>
        <w:pStyle w:val="BodyText"/>
        <w:spacing w:before="3"/>
        <w:rPr>
          <w:sz w:val="19"/>
        </w:rPr>
      </w:pPr>
    </w:p>
    <w:p>
      <w:pPr>
        <w:pStyle w:val="Heading9"/>
        <w:numPr>
          <w:ilvl w:val="0"/>
          <w:numId w:val="63"/>
        </w:numPr>
        <w:tabs>
          <w:tab w:pos="504" w:val="left" w:leader="none"/>
        </w:tabs>
        <w:spacing w:line="240" w:lineRule="auto" w:before="0" w:after="0"/>
        <w:ind w:left="504" w:right="0" w:hanging="394"/>
        <w:jc w:val="left"/>
      </w:pPr>
      <w:r>
        <w:rPr/>
        <w:t>Contingencies</w:t>
      </w:r>
    </w:p>
    <w:p>
      <w:pPr>
        <w:pStyle w:val="BodyText"/>
        <w:spacing w:before="141"/>
        <w:ind w:left="504" w:right="125"/>
      </w:pPr>
      <w:r>
        <w:rPr/>
        <w:t>The Trust had no contigent liabilities at 31 December 2012  (31 December 2011: nil).</w:t>
      </w:r>
    </w:p>
    <w:p>
      <w:pPr>
        <w:pStyle w:val="BodyText"/>
      </w:pPr>
    </w:p>
    <w:p>
      <w:pPr>
        <w:pStyle w:val="BodyText"/>
        <w:spacing w:before="3"/>
        <w:rPr>
          <w:sz w:val="19"/>
        </w:rPr>
      </w:pPr>
    </w:p>
    <w:p>
      <w:pPr>
        <w:pStyle w:val="Heading9"/>
        <w:numPr>
          <w:ilvl w:val="0"/>
          <w:numId w:val="63"/>
        </w:numPr>
        <w:tabs>
          <w:tab w:pos="504" w:val="left" w:leader="none"/>
        </w:tabs>
        <w:spacing w:line="240" w:lineRule="auto" w:before="0" w:after="0"/>
        <w:ind w:left="504" w:right="0" w:hanging="394"/>
        <w:jc w:val="left"/>
      </w:pPr>
      <w:r>
        <w:rPr/>
        <w:t>Key Management Personnel</w:t>
      </w:r>
      <w:r>
        <w:rPr>
          <w:spacing w:val="-10"/>
        </w:rPr>
        <w:t> </w:t>
      </w:r>
      <w:r>
        <w:rPr/>
        <w:t>Disclosures</w:t>
      </w:r>
    </w:p>
    <w:p>
      <w:pPr>
        <w:pStyle w:val="BodyText"/>
        <w:spacing w:before="146"/>
        <w:ind w:left="504" w:right="125"/>
      </w:pPr>
      <w:r>
        <w:rPr/>
        <w:t>No remuneration has been paid to the key management personnel of University of Western Sydney Foundation Trust during the year (2011: nil).</w:t>
      </w:r>
    </w:p>
    <w:p>
      <w:pPr>
        <w:spacing w:after="0"/>
        <w:sectPr>
          <w:type w:val="continuous"/>
          <w:pgSz w:w="11910" w:h="16840"/>
          <w:pgMar w:top="0" w:bottom="280" w:left="900" w:right="860"/>
        </w:sectPr>
      </w:pPr>
    </w:p>
    <w:p>
      <w:pPr>
        <w:pStyle w:val="BodyText"/>
        <w:spacing w:before="1"/>
        <w:rPr>
          <w:sz w:val="24"/>
        </w:rPr>
      </w:pPr>
    </w:p>
    <w:p>
      <w:pPr>
        <w:pStyle w:val="Heading3"/>
      </w:pPr>
      <w:r>
        <w:rPr/>
        <w:t>Notes to the financial statements</w:t>
      </w:r>
    </w:p>
    <w:p>
      <w:pPr>
        <w:pStyle w:val="Heading6"/>
        <w:spacing w:before="53"/>
      </w:pPr>
      <w:r>
        <w:rPr/>
        <w:t>For the Year Ended 31 December 2012</w:t>
      </w:r>
    </w:p>
    <w:p>
      <w:pPr>
        <w:pStyle w:val="BodyText"/>
        <w:rPr>
          <w:b/>
          <w:sz w:val="22"/>
        </w:rPr>
      </w:pPr>
    </w:p>
    <w:p>
      <w:pPr>
        <w:pStyle w:val="BodyText"/>
        <w:rPr>
          <w:b/>
          <w:sz w:val="22"/>
        </w:rPr>
      </w:pPr>
    </w:p>
    <w:p>
      <w:pPr>
        <w:pStyle w:val="Heading9"/>
        <w:numPr>
          <w:ilvl w:val="0"/>
          <w:numId w:val="63"/>
        </w:numPr>
        <w:tabs>
          <w:tab w:pos="504" w:val="left" w:leader="none"/>
        </w:tabs>
        <w:spacing w:line="240" w:lineRule="auto" w:before="161" w:after="0"/>
        <w:ind w:left="504" w:right="0" w:hanging="394"/>
        <w:jc w:val="left"/>
      </w:pPr>
      <w:r>
        <w:rPr/>
        <w:t>Related party</w:t>
      </w:r>
      <w:r>
        <w:rPr>
          <w:spacing w:val="-10"/>
        </w:rPr>
        <w:t> </w:t>
      </w:r>
      <w:r>
        <w:rPr/>
        <w:t>transactions</w:t>
      </w:r>
    </w:p>
    <w:p>
      <w:pPr>
        <w:pStyle w:val="BodyText"/>
        <w:spacing w:before="11"/>
        <w:rPr>
          <w:b/>
          <w:sz w:val="24"/>
        </w:rPr>
      </w:pPr>
    </w:p>
    <w:p>
      <w:pPr>
        <w:pStyle w:val="ListParagraph"/>
        <w:numPr>
          <w:ilvl w:val="1"/>
          <w:numId w:val="63"/>
        </w:numPr>
        <w:tabs>
          <w:tab w:pos="1071" w:val="left" w:leader="none"/>
        </w:tabs>
        <w:spacing w:line="240" w:lineRule="auto" w:before="0" w:after="0"/>
        <w:ind w:left="1070" w:right="0" w:hanging="566"/>
        <w:jc w:val="left"/>
        <w:rPr>
          <w:b/>
          <w:sz w:val="18"/>
        </w:rPr>
      </w:pPr>
      <w:r>
        <w:rPr>
          <w:b/>
          <w:sz w:val="18"/>
        </w:rPr>
        <w:t>Parent entity</w:t>
      </w:r>
    </w:p>
    <w:p>
      <w:pPr>
        <w:pStyle w:val="BodyText"/>
        <w:spacing w:before="146"/>
        <w:ind w:left="1072" w:right="125"/>
      </w:pPr>
      <w:r>
        <w:rPr/>
        <w:t>The ultimate parent entity of the Trust is University of Western Sydney.</w:t>
      </w:r>
    </w:p>
    <w:p>
      <w:pPr>
        <w:pStyle w:val="BodyText"/>
        <w:spacing w:before="3"/>
      </w:pPr>
    </w:p>
    <w:p>
      <w:pPr>
        <w:spacing w:after="0"/>
        <w:sectPr>
          <w:pgSz w:w="11910" w:h="16840"/>
          <w:pgMar w:header="1037" w:footer="526" w:top="1460" w:bottom="700" w:left="900" w:right="860"/>
        </w:sectPr>
      </w:pPr>
    </w:p>
    <w:p>
      <w:pPr>
        <w:pStyle w:val="Heading9"/>
        <w:numPr>
          <w:ilvl w:val="1"/>
          <w:numId w:val="63"/>
        </w:numPr>
        <w:tabs>
          <w:tab w:pos="1071" w:val="left" w:leader="none"/>
        </w:tabs>
        <w:spacing w:line="240" w:lineRule="auto" w:before="77" w:after="0"/>
        <w:ind w:left="1070" w:right="0" w:hanging="566"/>
        <w:jc w:val="left"/>
      </w:pPr>
      <w:r>
        <w:rPr/>
        <w:t>Transactions with related</w:t>
      </w:r>
      <w:r>
        <w:rPr>
          <w:spacing w:val="3"/>
        </w:rPr>
        <w:t> </w:t>
      </w:r>
      <w:r>
        <w:rPr/>
        <w:t>parties</w:t>
      </w:r>
    </w:p>
    <w:p>
      <w:pPr>
        <w:pStyle w:val="BodyText"/>
        <w:spacing w:before="146"/>
        <w:ind w:left="1072"/>
      </w:pPr>
      <w:r>
        <w:rPr/>
        <w:t>The following transactions occurred with related parties:</w:t>
      </w:r>
    </w:p>
    <w:p>
      <w:pPr>
        <w:pStyle w:val="BodyText"/>
      </w:pPr>
      <w:r>
        <w:rPr/>
        <w:br w:type="column"/>
      </w:r>
      <w:r>
        <w:rPr/>
      </w:r>
    </w:p>
    <w:p>
      <w:pPr>
        <w:pStyle w:val="BodyText"/>
      </w:pPr>
    </w:p>
    <w:p>
      <w:pPr>
        <w:pStyle w:val="BodyText"/>
        <w:spacing w:before="4"/>
        <w:rPr>
          <w:sz w:val="19"/>
        </w:rPr>
      </w:pPr>
    </w:p>
    <w:p>
      <w:pPr>
        <w:pStyle w:val="Heading9"/>
        <w:spacing w:line="207" w:lineRule="exact"/>
        <w:ind w:left="503"/>
        <w:jc w:val="center"/>
      </w:pPr>
      <w:r>
        <w:rPr/>
        <w:t>2012</w:t>
      </w:r>
    </w:p>
    <w:p>
      <w:pPr>
        <w:spacing w:line="207" w:lineRule="exact" w:before="0"/>
        <w:ind w:left="0" w:right="149" w:firstLine="0"/>
        <w:jc w:val="right"/>
        <w:rPr>
          <w:b/>
          <w:sz w:val="18"/>
        </w:rPr>
      </w:pPr>
      <w:r>
        <w:rPr>
          <w:b/>
          <w:w w:val="99"/>
          <w:sz w:val="18"/>
        </w:rPr>
        <w:t>$</w:t>
      </w:r>
    </w:p>
    <w:p>
      <w:pPr>
        <w:pStyle w:val="BodyText"/>
        <w:rPr>
          <w:b/>
        </w:rPr>
      </w:pPr>
      <w:r>
        <w:rPr/>
        <w:br w:type="column"/>
      </w:r>
      <w:r>
        <w:rPr>
          <w:b/>
        </w:rPr>
      </w:r>
    </w:p>
    <w:p>
      <w:pPr>
        <w:pStyle w:val="BodyText"/>
        <w:rPr>
          <w:b/>
        </w:rPr>
      </w:pPr>
    </w:p>
    <w:p>
      <w:pPr>
        <w:pStyle w:val="BodyText"/>
        <w:spacing w:before="4"/>
        <w:rPr>
          <w:b/>
          <w:sz w:val="19"/>
        </w:rPr>
      </w:pPr>
    </w:p>
    <w:p>
      <w:pPr>
        <w:pStyle w:val="BodyText"/>
        <w:spacing w:line="207" w:lineRule="exact"/>
        <w:ind w:left="488" w:right="554"/>
        <w:jc w:val="center"/>
      </w:pPr>
      <w:r>
        <w:rPr/>
        <w:t>2011</w:t>
      </w:r>
    </w:p>
    <w:p>
      <w:pPr>
        <w:pStyle w:val="BodyText"/>
        <w:spacing w:line="207" w:lineRule="exact"/>
        <w:ind w:right="66"/>
        <w:jc w:val="center"/>
      </w:pPr>
      <w:r>
        <w:rPr>
          <w:w w:val="99"/>
        </w:rPr>
        <w:t>$</w:t>
      </w:r>
    </w:p>
    <w:p>
      <w:pPr>
        <w:spacing w:after="0" w:line="207" w:lineRule="exact"/>
        <w:jc w:val="center"/>
        <w:sectPr>
          <w:type w:val="continuous"/>
          <w:pgSz w:w="11910" w:h="16840"/>
          <w:pgMar w:top="0" w:bottom="280" w:left="900" w:right="860"/>
          <w:cols w:num="3" w:equalWidth="0">
            <w:col w:w="5541" w:space="1829"/>
            <w:col w:w="908" w:space="388"/>
            <w:col w:w="1484"/>
          </w:cols>
        </w:sectPr>
      </w:pPr>
    </w:p>
    <w:p>
      <w:pPr>
        <w:pStyle w:val="BodyText"/>
        <w:tabs>
          <w:tab w:pos="6359" w:val="left" w:leader="none"/>
          <w:tab w:pos="6911" w:val="left" w:leader="none"/>
          <w:tab w:pos="8207" w:val="left" w:leader="none"/>
        </w:tabs>
        <w:spacing w:line="206" w:lineRule="exact"/>
        <w:ind w:right="210"/>
        <w:jc w:val="right"/>
      </w:pPr>
      <w:r>
        <w:rPr/>
        <w:t>Payments to the ultimate</w:t>
      </w:r>
      <w:r>
        <w:rPr>
          <w:spacing w:val="3"/>
        </w:rPr>
        <w:t> </w:t>
      </w:r>
      <w:r>
        <w:rPr/>
        <w:t>Parent Entity</w:t>
        <w:tab/>
      </w:r>
      <w:r>
        <w:rPr>
          <w:rFonts w:ascii="Times New Roman"/>
          <w:u w:val="single"/>
        </w:rPr>
        <w:t> </w:t>
        <w:tab/>
      </w:r>
      <w:r>
        <w:rPr>
          <w:u w:val="single"/>
        </w:rPr>
        <w:t>413,706</w:t>
        <w:tab/>
      </w:r>
      <w:r>
        <w:rPr>
          <w:w w:val="95"/>
          <w:u w:val="single"/>
        </w:rPr>
        <w:t>676,073</w:t>
      </w:r>
    </w:p>
    <w:p>
      <w:pPr>
        <w:pStyle w:val="BodyText"/>
        <w:tabs>
          <w:tab w:pos="551" w:val="left" w:leader="none"/>
          <w:tab w:pos="1847" w:val="left" w:leader="none"/>
        </w:tabs>
        <w:spacing w:before="9"/>
        <w:ind w:right="210"/>
        <w:jc w:val="right"/>
      </w:pPr>
      <w:r>
        <w:rPr>
          <w:rFonts w:ascii="Times New Roman"/>
          <w:u w:val="single"/>
        </w:rPr>
        <w:t> </w:t>
        <w:tab/>
      </w:r>
      <w:r>
        <w:rPr>
          <w:u w:val="single"/>
        </w:rPr>
        <w:t>413,706</w:t>
        <w:tab/>
      </w:r>
      <w:r>
        <w:rPr>
          <w:w w:val="95"/>
          <w:u w:val="single"/>
        </w:rPr>
        <w:t>676,073</w:t>
      </w:r>
    </w:p>
    <w:p>
      <w:pPr>
        <w:pStyle w:val="BodyText"/>
        <w:spacing w:before="11"/>
        <w:rPr>
          <w:sz w:val="19"/>
        </w:rPr>
      </w:pPr>
    </w:p>
    <w:p>
      <w:pPr>
        <w:pStyle w:val="BodyText"/>
        <w:spacing w:before="77"/>
        <w:ind w:left="1070" w:right="125"/>
      </w:pPr>
      <w:r>
        <w:rPr/>
        <w:t>The Foundation made distributions of donated funds to the University of Western Sydney totalling $413,706 during the year. These payments included:</w:t>
      </w:r>
    </w:p>
    <w:p>
      <w:pPr>
        <w:pStyle w:val="ListParagraph"/>
        <w:numPr>
          <w:ilvl w:val="0"/>
          <w:numId w:val="66"/>
        </w:numPr>
        <w:tabs>
          <w:tab w:pos="1467" w:val="left" w:leader="none"/>
        </w:tabs>
        <w:spacing w:line="240" w:lineRule="auto" w:before="141" w:after="0"/>
        <w:ind w:left="1466" w:right="116" w:hanging="396"/>
        <w:jc w:val="left"/>
        <w:rPr>
          <w:sz w:val="18"/>
        </w:rPr>
      </w:pPr>
      <w:r>
        <w:rPr>
          <w:sz w:val="18"/>
        </w:rPr>
        <w:t>$51,754 to the School of Biomedical &amp; Health Sciences - donation to the Men's Health Information and Resource Centre for the Jumna </w:t>
      </w:r>
      <w:r>
        <w:rPr>
          <w:spacing w:val="3"/>
          <w:sz w:val="18"/>
        </w:rPr>
        <w:t>Wal</w:t>
      </w:r>
      <w:r>
        <w:rPr>
          <w:spacing w:val="6"/>
          <w:sz w:val="18"/>
        </w:rPr>
        <w:t> </w:t>
      </w:r>
      <w:r>
        <w:rPr>
          <w:sz w:val="18"/>
        </w:rPr>
        <w:t>project.</w:t>
      </w:r>
    </w:p>
    <w:p>
      <w:pPr>
        <w:pStyle w:val="ListParagraph"/>
        <w:numPr>
          <w:ilvl w:val="0"/>
          <w:numId w:val="67"/>
        </w:numPr>
        <w:tabs>
          <w:tab w:pos="1467" w:val="left" w:leader="none"/>
        </w:tabs>
        <w:spacing w:line="206" w:lineRule="exact" w:before="0" w:after="0"/>
        <w:ind w:left="1466" w:right="0" w:hanging="396"/>
        <w:jc w:val="left"/>
        <w:rPr>
          <w:sz w:val="18"/>
        </w:rPr>
      </w:pPr>
      <w:r>
        <w:rPr>
          <w:sz w:val="18"/>
        </w:rPr>
        <w:t>$150,000 to the School of Medicine  - donation for the Peter Brennan</w:t>
      </w:r>
      <w:r>
        <w:rPr>
          <w:spacing w:val="11"/>
          <w:sz w:val="18"/>
        </w:rPr>
        <w:t> </w:t>
      </w:r>
      <w:r>
        <w:rPr>
          <w:sz w:val="18"/>
        </w:rPr>
        <w:t>Chair.</w:t>
      </w:r>
    </w:p>
    <w:p>
      <w:pPr>
        <w:pStyle w:val="ListParagraph"/>
        <w:numPr>
          <w:ilvl w:val="0"/>
          <w:numId w:val="68"/>
        </w:numPr>
        <w:tabs>
          <w:tab w:pos="1467" w:val="left" w:leader="none"/>
        </w:tabs>
        <w:spacing w:line="240" w:lineRule="auto" w:before="0" w:after="0"/>
        <w:ind w:left="1466" w:right="115" w:hanging="396"/>
        <w:jc w:val="left"/>
        <w:rPr>
          <w:sz w:val="18"/>
        </w:rPr>
      </w:pPr>
      <w:r>
        <w:rPr>
          <w:sz w:val="18"/>
        </w:rPr>
        <w:t>$150,000 to the School of Medicine - donation from Inghams Enterprises Pty Ltd for Prostate Cancer Research.</w:t>
      </w:r>
    </w:p>
    <w:p>
      <w:pPr>
        <w:pStyle w:val="ListParagraph"/>
        <w:numPr>
          <w:ilvl w:val="0"/>
          <w:numId w:val="68"/>
        </w:numPr>
        <w:tabs>
          <w:tab w:pos="1467" w:val="left" w:leader="none"/>
        </w:tabs>
        <w:spacing w:line="240" w:lineRule="auto" w:before="0" w:after="0"/>
        <w:ind w:left="1466" w:right="116" w:hanging="396"/>
        <w:jc w:val="left"/>
        <w:rPr>
          <w:sz w:val="18"/>
        </w:rPr>
      </w:pPr>
      <w:r>
        <w:rPr>
          <w:sz w:val="18"/>
        </w:rPr>
        <w:t>$25,000 to the School of Humanities and Communication Arts - donation from the William Chiu Fund to    the Writing and Society Research Centre for the William Chiu Translation</w:t>
      </w:r>
      <w:r>
        <w:rPr>
          <w:spacing w:val="30"/>
          <w:sz w:val="18"/>
        </w:rPr>
        <w:t> </w:t>
      </w:r>
      <w:r>
        <w:rPr>
          <w:sz w:val="18"/>
        </w:rPr>
        <w:t>Project.</w:t>
      </w:r>
    </w:p>
    <w:p>
      <w:pPr>
        <w:pStyle w:val="ListParagraph"/>
        <w:numPr>
          <w:ilvl w:val="0"/>
          <w:numId w:val="68"/>
        </w:numPr>
        <w:tabs>
          <w:tab w:pos="1467" w:val="left" w:leader="none"/>
        </w:tabs>
        <w:spacing w:line="240" w:lineRule="auto" w:before="0" w:after="0"/>
        <w:ind w:left="1466" w:right="116" w:hanging="396"/>
        <w:jc w:val="left"/>
        <w:rPr>
          <w:sz w:val="18"/>
        </w:rPr>
      </w:pPr>
      <w:r>
        <w:rPr>
          <w:sz w:val="18"/>
        </w:rPr>
        <w:t>$10,000 to the School of Computing Engineering and Mathematics - donation from Strathfield South High School for the </w:t>
      </w:r>
      <w:r>
        <w:rPr>
          <w:spacing w:val="3"/>
          <w:sz w:val="18"/>
        </w:rPr>
        <w:t>UWS </w:t>
      </w:r>
      <w:r>
        <w:rPr>
          <w:sz w:val="18"/>
        </w:rPr>
        <w:t>Solar Car for 2015 Solar Challenge.</w:t>
      </w:r>
    </w:p>
    <w:p>
      <w:pPr>
        <w:pStyle w:val="BodyText"/>
        <w:spacing w:before="11"/>
        <w:rPr>
          <w:sz w:val="24"/>
        </w:rPr>
      </w:pPr>
    </w:p>
    <w:p>
      <w:pPr>
        <w:pStyle w:val="Heading9"/>
        <w:numPr>
          <w:ilvl w:val="0"/>
          <w:numId w:val="63"/>
        </w:numPr>
        <w:tabs>
          <w:tab w:pos="504" w:val="left" w:leader="none"/>
        </w:tabs>
        <w:spacing w:line="240" w:lineRule="auto" w:before="0" w:after="0"/>
        <w:ind w:left="504" w:right="0" w:hanging="394"/>
        <w:jc w:val="left"/>
      </w:pPr>
      <w:r>
        <w:rPr/>
        <w:t>Economic</w:t>
      </w:r>
      <w:r>
        <w:rPr>
          <w:spacing w:val="1"/>
        </w:rPr>
        <w:t> </w:t>
      </w:r>
      <w:r>
        <w:rPr/>
        <w:t>dependency</w:t>
      </w:r>
    </w:p>
    <w:p>
      <w:pPr>
        <w:pStyle w:val="BodyText"/>
        <w:spacing w:before="146"/>
        <w:ind w:left="504" w:right="116"/>
        <w:jc w:val="both"/>
      </w:pPr>
      <w:r>
        <w:rPr/>
        <w:t>The Trust is economically dependent on the University of Western Sydney for the provision of office accommodation and support activities.</w:t>
      </w:r>
    </w:p>
    <w:p>
      <w:pPr>
        <w:pStyle w:val="BodyText"/>
        <w:spacing w:before="11"/>
        <w:rPr>
          <w:sz w:val="24"/>
        </w:rPr>
      </w:pPr>
    </w:p>
    <w:p>
      <w:pPr>
        <w:pStyle w:val="Heading9"/>
        <w:numPr>
          <w:ilvl w:val="0"/>
          <w:numId w:val="63"/>
        </w:numPr>
        <w:tabs>
          <w:tab w:pos="504" w:val="left" w:leader="none"/>
        </w:tabs>
        <w:spacing w:line="240" w:lineRule="auto" w:before="0" w:after="0"/>
        <w:ind w:left="504" w:right="0" w:hanging="394"/>
        <w:jc w:val="left"/>
      </w:pPr>
      <w:r>
        <w:rPr/>
        <w:t>Events occurring after the reporting</w:t>
      </w:r>
      <w:r>
        <w:rPr>
          <w:spacing w:val="-1"/>
        </w:rPr>
        <w:t> </w:t>
      </w:r>
      <w:r>
        <w:rPr/>
        <w:t>date</w:t>
      </w:r>
    </w:p>
    <w:p>
      <w:pPr>
        <w:pStyle w:val="BodyText"/>
        <w:spacing w:before="146"/>
        <w:ind w:left="503" w:right="114"/>
        <w:jc w:val="both"/>
      </w:pPr>
      <w:r>
        <w:rPr/>
        <w:t>No matters or circumstances have arisen since the end of the financial year which significantly affected or may significantly  affect the operations of the Trust, the results of those operations, or the state of affairs of the Trust in  future financial</w:t>
      </w:r>
      <w:r>
        <w:rPr>
          <w:spacing w:val="1"/>
        </w:rPr>
        <w:t> </w:t>
      </w:r>
      <w:r>
        <w:rPr/>
        <w:t>years.</w:t>
      </w:r>
    </w:p>
    <w:p>
      <w:pPr>
        <w:pStyle w:val="BodyText"/>
        <w:spacing w:before="3"/>
      </w:pPr>
    </w:p>
    <w:p>
      <w:pPr>
        <w:spacing w:after="0"/>
        <w:sectPr>
          <w:type w:val="continuous"/>
          <w:pgSz w:w="11910" w:h="16840"/>
          <w:pgMar w:top="0" w:bottom="280" w:left="900" w:right="860"/>
        </w:sectPr>
      </w:pPr>
    </w:p>
    <w:p>
      <w:pPr>
        <w:pStyle w:val="Heading9"/>
        <w:numPr>
          <w:ilvl w:val="0"/>
          <w:numId w:val="63"/>
        </w:numPr>
        <w:tabs>
          <w:tab w:pos="504" w:val="left" w:leader="none"/>
        </w:tabs>
        <w:spacing w:line="240" w:lineRule="auto" w:before="77" w:after="0"/>
        <w:ind w:left="504" w:right="0" w:hanging="394"/>
        <w:jc w:val="left"/>
      </w:pPr>
      <w:r>
        <w:rPr/>
        <w:t>Reconciliation of surplus/(deficit) to net cash inflow from operating activities</w:t>
      </w:r>
    </w:p>
    <w:p>
      <w:pPr>
        <w:pStyle w:val="BodyText"/>
        <w:spacing w:before="7"/>
        <w:rPr>
          <w:b/>
          <w:sz w:val="24"/>
        </w:rPr>
      </w:pPr>
      <w:r>
        <w:rPr/>
        <w:br w:type="column"/>
      </w:r>
      <w:r>
        <w:rPr>
          <w:b/>
          <w:sz w:val="24"/>
        </w:rPr>
      </w:r>
    </w:p>
    <w:p>
      <w:pPr>
        <w:spacing w:line="207" w:lineRule="exact" w:before="1"/>
        <w:ind w:left="110" w:right="0" w:firstLine="0"/>
        <w:jc w:val="center"/>
        <w:rPr>
          <w:b/>
          <w:sz w:val="18"/>
        </w:rPr>
      </w:pPr>
      <w:r>
        <w:rPr>
          <w:b/>
          <w:sz w:val="18"/>
        </w:rPr>
        <w:t>2012</w:t>
      </w:r>
    </w:p>
    <w:p>
      <w:pPr>
        <w:spacing w:line="207" w:lineRule="exact" w:before="0"/>
        <w:ind w:left="109" w:right="0" w:firstLine="0"/>
        <w:jc w:val="center"/>
        <w:rPr>
          <w:b/>
          <w:sz w:val="18"/>
        </w:rPr>
      </w:pPr>
      <w:r>
        <w:rPr>
          <w:b/>
          <w:w w:val="99"/>
          <w:sz w:val="18"/>
        </w:rPr>
        <w:t>$</w:t>
      </w:r>
    </w:p>
    <w:p>
      <w:pPr>
        <w:pStyle w:val="BodyText"/>
        <w:spacing w:before="7"/>
        <w:rPr>
          <w:b/>
          <w:sz w:val="24"/>
        </w:rPr>
      </w:pPr>
      <w:r>
        <w:rPr/>
        <w:br w:type="column"/>
      </w:r>
      <w:r>
        <w:rPr>
          <w:b/>
          <w:sz w:val="24"/>
        </w:rPr>
      </w:r>
    </w:p>
    <w:p>
      <w:pPr>
        <w:pStyle w:val="BodyText"/>
        <w:spacing w:line="207" w:lineRule="exact" w:before="1"/>
        <w:ind w:left="95" w:right="569"/>
        <w:jc w:val="center"/>
      </w:pPr>
      <w:r>
        <w:rPr/>
        <w:t>2011</w:t>
      </w:r>
    </w:p>
    <w:p>
      <w:pPr>
        <w:pStyle w:val="BodyText"/>
        <w:spacing w:line="207" w:lineRule="exact"/>
        <w:ind w:right="474"/>
        <w:jc w:val="center"/>
      </w:pPr>
      <w:r>
        <w:rPr>
          <w:w w:val="99"/>
        </w:rPr>
        <w:t>$</w:t>
      </w:r>
    </w:p>
    <w:p>
      <w:pPr>
        <w:spacing w:after="0" w:line="207" w:lineRule="exact"/>
        <w:jc w:val="center"/>
        <w:sectPr>
          <w:type w:val="continuous"/>
          <w:pgSz w:w="11910" w:h="16840"/>
          <w:pgMar w:top="0" w:bottom="280" w:left="900" w:right="860"/>
          <w:cols w:num="3" w:equalWidth="0">
            <w:col w:w="7096" w:space="665"/>
            <w:col w:w="514" w:space="770"/>
            <w:col w:w="1105"/>
          </w:cols>
        </w:sectPr>
      </w:pPr>
    </w:p>
    <w:p>
      <w:pPr>
        <w:pStyle w:val="BodyText"/>
        <w:tabs>
          <w:tab w:pos="7828" w:val="left" w:leader="none"/>
          <w:tab w:pos="9278" w:val="left" w:leader="none"/>
        </w:tabs>
        <w:spacing w:before="28"/>
        <w:ind w:left="504" w:right="125"/>
      </w:pPr>
      <w:r>
        <w:rPr/>
        <w:t>Surplus/(deficit) for</w:t>
      </w:r>
      <w:r>
        <w:rPr>
          <w:spacing w:val="-1"/>
        </w:rPr>
        <w:t> </w:t>
      </w:r>
      <w:r>
        <w:rPr/>
        <w:t>the</w:t>
      </w:r>
      <w:r>
        <w:rPr>
          <w:spacing w:val="-1"/>
        </w:rPr>
        <w:t> </w:t>
      </w:r>
      <w:r>
        <w:rPr/>
        <w:t>year</w:t>
        <w:tab/>
        <w:t>2,317,968</w:t>
        <w:tab/>
        <w:t>973,640</w:t>
      </w:r>
    </w:p>
    <w:p>
      <w:pPr>
        <w:pStyle w:val="Heading9"/>
        <w:spacing w:line="207" w:lineRule="exact" w:before="141"/>
        <w:ind w:left="504" w:right="125"/>
      </w:pPr>
      <w:r>
        <w:rPr/>
        <w:t>Changes in operating assets and liabilities:</w:t>
      </w:r>
    </w:p>
    <w:p>
      <w:pPr>
        <w:pStyle w:val="ListParagraph"/>
        <w:numPr>
          <w:ilvl w:val="0"/>
          <w:numId w:val="69"/>
        </w:numPr>
        <w:tabs>
          <w:tab w:pos="880" w:val="left" w:leader="none"/>
          <w:tab w:pos="7979" w:val="left" w:leader="none"/>
          <w:tab w:pos="9278" w:val="left" w:leader="none"/>
        </w:tabs>
        <w:spacing w:line="206" w:lineRule="exact" w:before="0" w:after="0"/>
        <w:ind w:left="879" w:right="0" w:hanging="111"/>
        <w:jc w:val="left"/>
        <w:rPr>
          <w:sz w:val="18"/>
        </w:rPr>
      </w:pPr>
      <w:r>
        <w:rPr>
          <w:sz w:val="18"/>
        </w:rPr>
        <w:t>(increase)/decrease in trade and</w:t>
      </w:r>
      <w:r>
        <w:rPr>
          <w:spacing w:val="3"/>
          <w:sz w:val="18"/>
        </w:rPr>
        <w:t> </w:t>
      </w:r>
      <w:r>
        <w:rPr>
          <w:sz w:val="18"/>
        </w:rPr>
        <w:t>other receivables</w:t>
        <w:tab/>
        <w:t>128,257</w:t>
        <w:tab/>
        <w:t>756,537</w:t>
      </w:r>
    </w:p>
    <w:p>
      <w:pPr>
        <w:pStyle w:val="ListParagraph"/>
        <w:numPr>
          <w:ilvl w:val="0"/>
          <w:numId w:val="69"/>
        </w:numPr>
        <w:tabs>
          <w:tab w:pos="880" w:val="left" w:leader="none"/>
          <w:tab w:pos="7427" w:val="left" w:leader="none"/>
          <w:tab w:pos="8575" w:val="left" w:leader="none"/>
          <w:tab w:pos="9419" w:val="left" w:leader="none"/>
        </w:tabs>
        <w:spacing w:line="207" w:lineRule="exact" w:before="0" w:after="0"/>
        <w:ind w:left="879" w:right="0" w:hanging="111"/>
        <w:jc w:val="left"/>
        <w:rPr>
          <w:sz w:val="18"/>
        </w:rPr>
      </w:pPr>
      <w:r>
        <w:rPr>
          <w:sz w:val="18"/>
        </w:rPr>
        <w:t>increase/(decrease) in trade and</w:t>
      </w:r>
      <w:r>
        <w:rPr>
          <w:spacing w:val="3"/>
          <w:sz w:val="18"/>
        </w:rPr>
        <w:t> </w:t>
      </w:r>
      <w:r>
        <w:rPr>
          <w:sz w:val="18"/>
        </w:rPr>
        <w:t>other payables</w:t>
        <w:tab/>
      </w:r>
      <w:r>
        <w:rPr>
          <w:rFonts w:ascii="Times New Roman"/>
          <w:sz w:val="18"/>
          <w:u w:val="single"/>
        </w:rPr>
        <w:t> </w:t>
        <w:tab/>
      </w:r>
      <w:r>
        <w:rPr>
          <w:sz w:val="18"/>
          <w:u w:val="single"/>
        </w:rPr>
        <w:t>-</w:t>
        <w:tab/>
        <w:t>(6,388)</w:t>
      </w:r>
    </w:p>
    <w:p>
      <w:pPr>
        <w:pStyle w:val="BodyText"/>
        <w:tabs>
          <w:tab w:pos="7427" w:val="left" w:leader="none"/>
          <w:tab w:pos="7828" w:val="left" w:leader="none"/>
          <w:tab w:pos="9127" w:val="left" w:leader="none"/>
        </w:tabs>
        <w:spacing w:before="18"/>
        <w:ind w:left="504" w:right="125"/>
      </w:pPr>
      <w:r>
        <w:rPr/>
        <w:t>Net cash inflow/(outflow) from</w:t>
      </w:r>
      <w:r>
        <w:rPr>
          <w:spacing w:val="-1"/>
        </w:rPr>
        <w:t> </w:t>
      </w:r>
      <w:r>
        <w:rPr/>
        <w:t>operationing</w:t>
      </w:r>
      <w:r>
        <w:rPr>
          <w:spacing w:val="-1"/>
        </w:rPr>
        <w:t> </w:t>
      </w:r>
      <w:r>
        <w:rPr/>
        <w:t>activities</w:t>
        <w:tab/>
      </w:r>
      <w:r>
        <w:rPr>
          <w:rFonts w:ascii="Times New Roman"/>
          <w:position w:val="-2"/>
          <w:u w:val="single"/>
        </w:rPr>
        <w:t> </w:t>
        <w:tab/>
      </w:r>
      <w:r>
        <w:rPr>
          <w:position w:val="-2"/>
          <w:u w:val="single"/>
        </w:rPr>
        <w:t>2,446,225</w:t>
        <w:tab/>
        <w:t>1,723,789</w:t>
      </w:r>
    </w:p>
    <w:p>
      <w:pPr>
        <w:spacing w:after="0"/>
        <w:sectPr>
          <w:type w:val="continuous"/>
          <w:pgSz w:w="11910" w:h="16840"/>
          <w:pgMar w:top="0" w:bottom="280" w:left="900" w:right="860"/>
        </w:sectPr>
      </w:pPr>
    </w:p>
    <w:p>
      <w:pPr>
        <w:pStyle w:val="BodyText"/>
        <w:spacing w:before="1"/>
        <w:rPr>
          <w:sz w:val="24"/>
        </w:rPr>
      </w:pPr>
    </w:p>
    <w:p>
      <w:pPr>
        <w:pStyle w:val="Heading3"/>
        <w:ind w:left="96" w:right="4805"/>
        <w:jc w:val="center"/>
      </w:pPr>
      <w:r>
        <w:rPr/>
        <w:t>Notes to the financial statements</w:t>
      </w:r>
    </w:p>
    <w:p>
      <w:pPr>
        <w:pStyle w:val="Heading6"/>
        <w:spacing w:before="53"/>
        <w:ind w:left="96" w:right="5193"/>
        <w:jc w:val="center"/>
      </w:pPr>
      <w:r>
        <w:rPr/>
        <w:t>For the Year Ended 31 December 2012</w:t>
      </w:r>
    </w:p>
    <w:p>
      <w:pPr>
        <w:pStyle w:val="BodyText"/>
        <w:rPr>
          <w:b/>
          <w:sz w:val="22"/>
        </w:rPr>
      </w:pPr>
    </w:p>
    <w:p>
      <w:pPr>
        <w:pStyle w:val="BodyText"/>
        <w:rPr>
          <w:b/>
          <w:sz w:val="22"/>
        </w:rPr>
      </w:pPr>
    </w:p>
    <w:p>
      <w:pPr>
        <w:pStyle w:val="Heading9"/>
        <w:numPr>
          <w:ilvl w:val="0"/>
          <w:numId w:val="63"/>
        </w:numPr>
        <w:tabs>
          <w:tab w:pos="504" w:val="left" w:leader="none"/>
        </w:tabs>
        <w:spacing w:line="240" w:lineRule="auto" w:before="161" w:after="0"/>
        <w:ind w:left="504" w:right="0" w:hanging="394"/>
        <w:jc w:val="left"/>
      </w:pPr>
      <w:r>
        <w:rPr/>
        <w:t>Charitable fundraising</w:t>
      </w:r>
    </w:p>
    <w:p>
      <w:pPr>
        <w:spacing w:before="146"/>
        <w:ind w:left="504" w:right="0" w:firstLine="0"/>
        <w:jc w:val="left"/>
        <w:rPr>
          <w:i/>
          <w:sz w:val="18"/>
        </w:rPr>
      </w:pPr>
      <w:r>
        <w:rPr>
          <w:i/>
          <w:sz w:val="18"/>
        </w:rPr>
        <w:t>Information to be furnished under the Charitable Fundraising Act 1991.</w:t>
      </w:r>
    </w:p>
    <w:p>
      <w:pPr>
        <w:pStyle w:val="BodyText"/>
        <w:spacing w:before="11"/>
        <w:rPr>
          <w:i/>
          <w:sz w:val="24"/>
        </w:rPr>
      </w:pPr>
    </w:p>
    <w:p>
      <w:pPr>
        <w:pStyle w:val="Heading9"/>
        <w:ind w:left="504"/>
      </w:pPr>
      <w:r>
        <w:rPr/>
        <w:t>Fundraising Appeals conducted during the year were</w:t>
      </w:r>
    </w:p>
    <w:p>
      <w:pPr>
        <w:pStyle w:val="ListParagraph"/>
        <w:numPr>
          <w:ilvl w:val="1"/>
          <w:numId w:val="63"/>
        </w:numPr>
        <w:tabs>
          <w:tab w:pos="1071" w:val="left" w:leader="none"/>
        </w:tabs>
        <w:spacing w:line="207" w:lineRule="exact" w:before="146" w:after="0"/>
        <w:ind w:left="1070" w:right="0" w:hanging="566"/>
        <w:jc w:val="left"/>
        <w:rPr>
          <w:b/>
          <w:sz w:val="18"/>
        </w:rPr>
      </w:pPr>
      <w:r>
        <w:rPr>
          <w:b/>
          <w:sz w:val="18"/>
        </w:rPr>
        <w:t>Prize appeals</w:t>
      </w:r>
    </w:p>
    <w:p>
      <w:pPr>
        <w:pStyle w:val="ListParagraph"/>
        <w:numPr>
          <w:ilvl w:val="0"/>
          <w:numId w:val="70"/>
        </w:numPr>
        <w:tabs>
          <w:tab w:pos="1182" w:val="left" w:leader="none"/>
        </w:tabs>
        <w:spacing w:line="206" w:lineRule="exact" w:before="0" w:after="0"/>
        <w:ind w:left="1181" w:right="0" w:hanging="111"/>
        <w:jc w:val="left"/>
        <w:rPr>
          <w:sz w:val="18"/>
        </w:rPr>
      </w:pPr>
      <w:r>
        <w:rPr>
          <w:sz w:val="18"/>
        </w:rPr>
        <w:t>2011 Academic Year Business Prize</w:t>
      </w:r>
      <w:r>
        <w:rPr>
          <w:spacing w:val="4"/>
          <w:sz w:val="18"/>
        </w:rPr>
        <w:t> </w:t>
      </w:r>
      <w:r>
        <w:rPr>
          <w:sz w:val="18"/>
        </w:rPr>
        <w:t>Appeal</w:t>
      </w:r>
    </w:p>
    <w:p>
      <w:pPr>
        <w:pStyle w:val="ListParagraph"/>
        <w:numPr>
          <w:ilvl w:val="0"/>
          <w:numId w:val="70"/>
        </w:numPr>
        <w:tabs>
          <w:tab w:pos="1182" w:val="left" w:leader="none"/>
        </w:tabs>
        <w:spacing w:line="206" w:lineRule="exact" w:before="0" w:after="0"/>
        <w:ind w:left="1181" w:right="0" w:hanging="111"/>
        <w:jc w:val="left"/>
        <w:rPr>
          <w:sz w:val="18"/>
        </w:rPr>
      </w:pPr>
      <w:r>
        <w:rPr>
          <w:sz w:val="18"/>
        </w:rPr>
        <w:t>2011 Academic Year Computing, Engineering and Mathematics Prize</w:t>
      </w:r>
      <w:r>
        <w:rPr>
          <w:spacing w:val="-1"/>
          <w:sz w:val="18"/>
        </w:rPr>
        <w:t> </w:t>
      </w:r>
      <w:r>
        <w:rPr>
          <w:sz w:val="18"/>
        </w:rPr>
        <w:t>Appeal</w:t>
      </w:r>
    </w:p>
    <w:p>
      <w:pPr>
        <w:pStyle w:val="ListParagraph"/>
        <w:numPr>
          <w:ilvl w:val="0"/>
          <w:numId w:val="70"/>
        </w:numPr>
        <w:tabs>
          <w:tab w:pos="1182" w:val="left" w:leader="none"/>
        </w:tabs>
        <w:spacing w:line="206" w:lineRule="exact" w:before="0" w:after="0"/>
        <w:ind w:left="1181" w:right="0" w:hanging="111"/>
        <w:jc w:val="left"/>
        <w:rPr>
          <w:sz w:val="18"/>
        </w:rPr>
      </w:pPr>
      <w:r>
        <w:rPr>
          <w:sz w:val="18"/>
        </w:rPr>
        <w:t>2011 Academic Year Education Prize</w:t>
      </w:r>
      <w:r>
        <w:rPr>
          <w:spacing w:val="-1"/>
          <w:sz w:val="18"/>
        </w:rPr>
        <w:t> </w:t>
      </w:r>
      <w:r>
        <w:rPr>
          <w:sz w:val="18"/>
        </w:rPr>
        <w:t>Appeal</w:t>
      </w:r>
    </w:p>
    <w:p>
      <w:pPr>
        <w:pStyle w:val="ListParagraph"/>
        <w:numPr>
          <w:ilvl w:val="0"/>
          <w:numId w:val="70"/>
        </w:numPr>
        <w:tabs>
          <w:tab w:pos="1182" w:val="left" w:leader="none"/>
        </w:tabs>
        <w:spacing w:line="206" w:lineRule="exact" w:before="0" w:after="0"/>
        <w:ind w:left="1181" w:right="0" w:hanging="111"/>
        <w:jc w:val="left"/>
        <w:rPr>
          <w:sz w:val="18"/>
        </w:rPr>
      </w:pPr>
      <w:r>
        <w:rPr>
          <w:sz w:val="18"/>
        </w:rPr>
        <w:t>2011 Academic Year Humanities and Communication Arts Prize</w:t>
      </w:r>
      <w:r>
        <w:rPr>
          <w:spacing w:val="7"/>
          <w:sz w:val="18"/>
        </w:rPr>
        <w:t> </w:t>
      </w:r>
      <w:r>
        <w:rPr>
          <w:sz w:val="18"/>
        </w:rPr>
        <w:t>Appeal</w:t>
      </w:r>
    </w:p>
    <w:p>
      <w:pPr>
        <w:pStyle w:val="ListParagraph"/>
        <w:numPr>
          <w:ilvl w:val="0"/>
          <w:numId w:val="70"/>
        </w:numPr>
        <w:tabs>
          <w:tab w:pos="1182" w:val="left" w:leader="none"/>
        </w:tabs>
        <w:spacing w:line="206" w:lineRule="exact" w:before="0" w:after="0"/>
        <w:ind w:left="1181" w:right="0" w:hanging="111"/>
        <w:jc w:val="left"/>
        <w:rPr>
          <w:sz w:val="18"/>
        </w:rPr>
      </w:pPr>
      <w:r>
        <w:rPr>
          <w:sz w:val="18"/>
        </w:rPr>
        <w:t>2011 Academic Year Law Prize</w:t>
      </w:r>
      <w:r>
        <w:rPr>
          <w:spacing w:val="-1"/>
          <w:sz w:val="18"/>
        </w:rPr>
        <w:t> </w:t>
      </w:r>
      <w:r>
        <w:rPr>
          <w:sz w:val="18"/>
        </w:rPr>
        <w:t>Appeal</w:t>
      </w:r>
    </w:p>
    <w:p>
      <w:pPr>
        <w:pStyle w:val="ListParagraph"/>
        <w:numPr>
          <w:ilvl w:val="0"/>
          <w:numId w:val="70"/>
        </w:numPr>
        <w:tabs>
          <w:tab w:pos="1182" w:val="left" w:leader="none"/>
        </w:tabs>
        <w:spacing w:line="206" w:lineRule="exact" w:before="0" w:after="0"/>
        <w:ind w:left="1181" w:right="0" w:hanging="111"/>
        <w:jc w:val="left"/>
        <w:rPr>
          <w:sz w:val="18"/>
        </w:rPr>
      </w:pPr>
      <w:r>
        <w:rPr>
          <w:sz w:val="18"/>
        </w:rPr>
        <w:t>2011 Academic Year Medicine Prize</w:t>
      </w:r>
      <w:r>
        <w:rPr>
          <w:spacing w:val="-1"/>
          <w:sz w:val="18"/>
        </w:rPr>
        <w:t> </w:t>
      </w:r>
      <w:r>
        <w:rPr>
          <w:sz w:val="18"/>
        </w:rPr>
        <w:t>Appeal</w:t>
      </w:r>
    </w:p>
    <w:p>
      <w:pPr>
        <w:pStyle w:val="ListParagraph"/>
        <w:numPr>
          <w:ilvl w:val="0"/>
          <w:numId w:val="70"/>
        </w:numPr>
        <w:tabs>
          <w:tab w:pos="1181" w:val="left" w:leader="none"/>
        </w:tabs>
        <w:spacing w:line="206" w:lineRule="exact" w:before="0" w:after="0"/>
        <w:ind w:left="1181" w:right="0" w:hanging="111"/>
        <w:jc w:val="left"/>
        <w:rPr>
          <w:sz w:val="18"/>
        </w:rPr>
      </w:pPr>
      <w:r>
        <w:rPr>
          <w:sz w:val="18"/>
        </w:rPr>
        <w:t>2011 Academic Year Nursing and Midwifery Prize</w:t>
      </w:r>
      <w:r>
        <w:rPr>
          <w:spacing w:val="-1"/>
          <w:sz w:val="18"/>
        </w:rPr>
        <w:t> </w:t>
      </w:r>
      <w:r>
        <w:rPr>
          <w:sz w:val="18"/>
        </w:rPr>
        <w:t>Appeal</w:t>
      </w:r>
    </w:p>
    <w:p>
      <w:pPr>
        <w:pStyle w:val="ListParagraph"/>
        <w:numPr>
          <w:ilvl w:val="0"/>
          <w:numId w:val="70"/>
        </w:numPr>
        <w:tabs>
          <w:tab w:pos="1182" w:val="left" w:leader="none"/>
        </w:tabs>
        <w:spacing w:line="206" w:lineRule="exact" w:before="0" w:after="0"/>
        <w:ind w:left="1181" w:right="0" w:hanging="111"/>
        <w:jc w:val="left"/>
        <w:rPr>
          <w:sz w:val="18"/>
        </w:rPr>
      </w:pPr>
      <w:r>
        <w:rPr>
          <w:sz w:val="18"/>
        </w:rPr>
        <w:t>2011 Academic Year Science and Health Prize</w:t>
      </w:r>
      <w:r>
        <w:rPr>
          <w:spacing w:val="6"/>
          <w:sz w:val="18"/>
        </w:rPr>
        <w:t> </w:t>
      </w:r>
      <w:r>
        <w:rPr>
          <w:sz w:val="18"/>
        </w:rPr>
        <w:t>Appeal</w:t>
      </w:r>
    </w:p>
    <w:p>
      <w:pPr>
        <w:pStyle w:val="ListParagraph"/>
        <w:numPr>
          <w:ilvl w:val="0"/>
          <w:numId w:val="70"/>
        </w:numPr>
        <w:tabs>
          <w:tab w:pos="1182" w:val="left" w:leader="none"/>
        </w:tabs>
        <w:spacing w:line="206" w:lineRule="exact" w:before="0" w:after="0"/>
        <w:ind w:left="1181" w:right="0" w:hanging="111"/>
        <w:jc w:val="left"/>
        <w:rPr>
          <w:sz w:val="18"/>
        </w:rPr>
      </w:pPr>
      <w:r>
        <w:rPr>
          <w:sz w:val="18"/>
        </w:rPr>
        <w:t>2011 Academic Year Social Sciences and Psychology Prize</w:t>
      </w:r>
      <w:r>
        <w:rPr>
          <w:spacing w:val="7"/>
          <w:sz w:val="18"/>
        </w:rPr>
        <w:t> </w:t>
      </w:r>
      <w:r>
        <w:rPr>
          <w:sz w:val="18"/>
        </w:rPr>
        <w:t>Appeal</w:t>
      </w:r>
    </w:p>
    <w:p>
      <w:pPr>
        <w:pStyle w:val="ListParagraph"/>
        <w:numPr>
          <w:ilvl w:val="0"/>
          <w:numId w:val="70"/>
        </w:numPr>
        <w:tabs>
          <w:tab w:pos="1182" w:val="left" w:leader="none"/>
        </w:tabs>
        <w:spacing w:line="207" w:lineRule="exact" w:before="0" w:after="0"/>
        <w:ind w:left="1181" w:right="0" w:hanging="111"/>
        <w:jc w:val="left"/>
        <w:rPr>
          <w:sz w:val="18"/>
        </w:rPr>
      </w:pPr>
      <w:r>
        <w:rPr>
          <w:sz w:val="18"/>
        </w:rPr>
        <w:t>2012 Academic Year Graduation Medicine Prize</w:t>
      </w:r>
      <w:r>
        <w:rPr>
          <w:spacing w:val="-1"/>
          <w:sz w:val="18"/>
        </w:rPr>
        <w:t> </w:t>
      </w:r>
      <w:r>
        <w:rPr>
          <w:sz w:val="18"/>
        </w:rPr>
        <w:t>Appeal</w:t>
      </w:r>
    </w:p>
    <w:p>
      <w:pPr>
        <w:pStyle w:val="Heading9"/>
        <w:numPr>
          <w:ilvl w:val="1"/>
          <w:numId w:val="63"/>
        </w:numPr>
        <w:tabs>
          <w:tab w:pos="1071" w:val="left" w:leader="none"/>
        </w:tabs>
        <w:spacing w:line="207" w:lineRule="exact" w:before="146" w:after="0"/>
        <w:ind w:left="1070" w:right="0" w:hanging="566"/>
        <w:jc w:val="left"/>
      </w:pPr>
      <w:r>
        <w:rPr/>
        <w:t>Scholarship Appeals</w:t>
      </w:r>
    </w:p>
    <w:p>
      <w:pPr>
        <w:pStyle w:val="BodyText"/>
        <w:spacing w:line="207" w:lineRule="exact"/>
        <w:ind w:left="1070"/>
      </w:pPr>
      <w:r>
        <w:rPr/>
        <w:t>-2012 Scholarship Appeal</w:t>
      </w:r>
    </w:p>
    <w:p>
      <w:pPr>
        <w:pStyle w:val="Heading9"/>
        <w:numPr>
          <w:ilvl w:val="1"/>
          <w:numId w:val="63"/>
        </w:numPr>
        <w:tabs>
          <w:tab w:pos="1071" w:val="left" w:leader="none"/>
        </w:tabs>
        <w:spacing w:line="207" w:lineRule="exact" w:before="146" w:after="0"/>
        <w:ind w:left="1070" w:right="0" w:hanging="566"/>
        <w:jc w:val="left"/>
      </w:pPr>
      <w:r>
        <w:rPr/>
        <w:t>Memorial Appeals</w:t>
      </w:r>
    </w:p>
    <w:p>
      <w:pPr>
        <w:pStyle w:val="ListParagraph"/>
        <w:numPr>
          <w:ilvl w:val="0"/>
          <w:numId w:val="71"/>
        </w:numPr>
        <w:tabs>
          <w:tab w:pos="1182" w:val="left" w:leader="none"/>
        </w:tabs>
        <w:spacing w:line="206" w:lineRule="exact" w:before="0" w:after="0"/>
        <w:ind w:left="1181" w:right="0" w:hanging="111"/>
        <w:jc w:val="left"/>
        <w:rPr>
          <w:sz w:val="18"/>
        </w:rPr>
      </w:pPr>
      <w:r>
        <w:rPr>
          <w:sz w:val="18"/>
        </w:rPr>
        <w:t>2012 Memorial</w:t>
      </w:r>
      <w:r>
        <w:rPr>
          <w:spacing w:val="-1"/>
          <w:sz w:val="18"/>
        </w:rPr>
        <w:t> </w:t>
      </w:r>
      <w:r>
        <w:rPr>
          <w:sz w:val="18"/>
        </w:rPr>
        <w:t>Appeal</w:t>
      </w:r>
    </w:p>
    <w:p>
      <w:pPr>
        <w:pStyle w:val="ListParagraph"/>
        <w:numPr>
          <w:ilvl w:val="0"/>
          <w:numId w:val="71"/>
        </w:numPr>
        <w:tabs>
          <w:tab w:pos="1182" w:val="left" w:leader="none"/>
        </w:tabs>
        <w:spacing w:line="206" w:lineRule="exact" w:before="0" w:after="0"/>
        <w:ind w:left="1181" w:right="0" w:hanging="111"/>
        <w:jc w:val="left"/>
        <w:rPr>
          <w:sz w:val="18"/>
        </w:rPr>
      </w:pPr>
      <w:r>
        <w:rPr>
          <w:sz w:val="18"/>
        </w:rPr>
        <w:t>2012 Robert Hayes Memorial Scholarship</w:t>
      </w:r>
      <w:r>
        <w:rPr>
          <w:spacing w:val="-1"/>
          <w:sz w:val="18"/>
        </w:rPr>
        <w:t> </w:t>
      </w:r>
      <w:r>
        <w:rPr>
          <w:sz w:val="18"/>
        </w:rPr>
        <w:t>Appeal</w:t>
      </w:r>
    </w:p>
    <w:p>
      <w:pPr>
        <w:pStyle w:val="ListParagraph"/>
        <w:numPr>
          <w:ilvl w:val="0"/>
          <w:numId w:val="71"/>
        </w:numPr>
        <w:tabs>
          <w:tab w:pos="1181" w:val="left" w:leader="none"/>
        </w:tabs>
        <w:spacing w:line="206" w:lineRule="exact" w:before="0" w:after="0"/>
        <w:ind w:left="1180" w:right="0" w:hanging="110"/>
        <w:jc w:val="left"/>
        <w:rPr>
          <w:sz w:val="18"/>
        </w:rPr>
      </w:pPr>
      <w:r>
        <w:rPr>
          <w:sz w:val="18"/>
        </w:rPr>
        <w:t>Dani Gilroy Memorial</w:t>
      </w:r>
      <w:r>
        <w:rPr>
          <w:spacing w:val="-1"/>
          <w:sz w:val="18"/>
        </w:rPr>
        <w:t> </w:t>
      </w:r>
      <w:r>
        <w:rPr>
          <w:sz w:val="18"/>
        </w:rPr>
        <w:t>Appeal</w:t>
      </w:r>
    </w:p>
    <w:p>
      <w:pPr>
        <w:pStyle w:val="ListParagraph"/>
        <w:numPr>
          <w:ilvl w:val="0"/>
          <w:numId w:val="71"/>
        </w:numPr>
        <w:tabs>
          <w:tab w:pos="1181" w:val="left" w:leader="none"/>
        </w:tabs>
        <w:spacing w:line="207" w:lineRule="exact" w:before="0" w:after="0"/>
        <w:ind w:left="1181" w:right="0" w:hanging="111"/>
        <w:jc w:val="left"/>
        <w:rPr>
          <w:sz w:val="18"/>
        </w:rPr>
      </w:pPr>
      <w:r>
        <w:rPr>
          <w:sz w:val="18"/>
        </w:rPr>
        <w:t>Beth Southwell Memorial</w:t>
      </w:r>
      <w:r>
        <w:rPr>
          <w:spacing w:val="-1"/>
          <w:sz w:val="18"/>
        </w:rPr>
        <w:t> </w:t>
      </w:r>
      <w:r>
        <w:rPr>
          <w:sz w:val="18"/>
        </w:rPr>
        <w:t>Appeal</w:t>
      </w:r>
    </w:p>
    <w:p>
      <w:pPr>
        <w:pStyle w:val="Heading9"/>
        <w:numPr>
          <w:ilvl w:val="1"/>
          <w:numId w:val="63"/>
        </w:numPr>
        <w:tabs>
          <w:tab w:pos="1071" w:val="left" w:leader="none"/>
        </w:tabs>
        <w:spacing w:line="207" w:lineRule="exact" w:before="146" w:after="0"/>
        <w:ind w:left="1070" w:right="0" w:hanging="566"/>
        <w:jc w:val="left"/>
      </w:pPr>
      <w:r>
        <w:rPr/>
        <w:t>Alumni Appeals</w:t>
      </w:r>
    </w:p>
    <w:p>
      <w:pPr>
        <w:pStyle w:val="ListParagraph"/>
        <w:numPr>
          <w:ilvl w:val="0"/>
          <w:numId w:val="72"/>
        </w:numPr>
        <w:tabs>
          <w:tab w:pos="1182" w:val="left" w:leader="none"/>
        </w:tabs>
        <w:spacing w:line="206" w:lineRule="exact" w:before="0" w:after="0"/>
        <w:ind w:left="1181" w:right="0" w:hanging="111"/>
        <w:jc w:val="left"/>
        <w:rPr>
          <w:sz w:val="18"/>
        </w:rPr>
      </w:pPr>
      <w:r>
        <w:rPr>
          <w:sz w:val="18"/>
        </w:rPr>
        <w:t>2012 June GradLife</w:t>
      </w:r>
      <w:r>
        <w:rPr>
          <w:spacing w:val="2"/>
          <w:sz w:val="18"/>
        </w:rPr>
        <w:t> </w:t>
      </w:r>
      <w:r>
        <w:rPr>
          <w:sz w:val="18"/>
        </w:rPr>
        <w:t>Appeal</w:t>
      </w:r>
    </w:p>
    <w:p>
      <w:pPr>
        <w:pStyle w:val="ListParagraph"/>
        <w:numPr>
          <w:ilvl w:val="0"/>
          <w:numId w:val="72"/>
        </w:numPr>
        <w:tabs>
          <w:tab w:pos="1182" w:val="left" w:leader="none"/>
        </w:tabs>
        <w:spacing w:line="206" w:lineRule="exact" w:before="0" w:after="0"/>
        <w:ind w:left="1181" w:right="0" w:hanging="111"/>
        <w:jc w:val="left"/>
        <w:rPr>
          <w:sz w:val="18"/>
        </w:rPr>
      </w:pPr>
      <w:r>
        <w:rPr>
          <w:sz w:val="18"/>
        </w:rPr>
        <w:t>2012 October GradLife</w:t>
      </w:r>
      <w:r>
        <w:rPr>
          <w:spacing w:val="-1"/>
          <w:sz w:val="18"/>
        </w:rPr>
        <w:t> </w:t>
      </w:r>
      <w:r>
        <w:rPr>
          <w:sz w:val="18"/>
        </w:rPr>
        <w:t>Appeal</w:t>
      </w:r>
    </w:p>
    <w:p>
      <w:pPr>
        <w:pStyle w:val="ListParagraph"/>
        <w:numPr>
          <w:ilvl w:val="0"/>
          <w:numId w:val="72"/>
        </w:numPr>
        <w:tabs>
          <w:tab w:pos="1182" w:val="left" w:leader="none"/>
        </w:tabs>
        <w:spacing w:line="206" w:lineRule="exact" w:before="0" w:after="0"/>
        <w:ind w:left="1181" w:right="0" w:hanging="111"/>
        <w:jc w:val="left"/>
        <w:rPr>
          <w:sz w:val="18"/>
        </w:rPr>
      </w:pPr>
      <w:r>
        <w:rPr>
          <w:sz w:val="18"/>
        </w:rPr>
        <w:t>2012 Alumni Donor Direct Mail</w:t>
      </w:r>
      <w:r>
        <w:rPr>
          <w:spacing w:val="-1"/>
          <w:sz w:val="18"/>
        </w:rPr>
        <w:t> </w:t>
      </w:r>
      <w:r>
        <w:rPr>
          <w:sz w:val="18"/>
        </w:rPr>
        <w:t>Appeal</w:t>
      </w:r>
    </w:p>
    <w:p>
      <w:pPr>
        <w:pStyle w:val="ListParagraph"/>
        <w:numPr>
          <w:ilvl w:val="0"/>
          <w:numId w:val="72"/>
        </w:numPr>
        <w:tabs>
          <w:tab w:pos="1182" w:val="left" w:leader="none"/>
        </w:tabs>
        <w:spacing w:line="207" w:lineRule="exact" w:before="0" w:after="0"/>
        <w:ind w:left="1181" w:right="0" w:hanging="111"/>
        <w:jc w:val="left"/>
        <w:rPr>
          <w:sz w:val="18"/>
        </w:rPr>
      </w:pPr>
      <w:r>
        <w:rPr>
          <w:sz w:val="18"/>
        </w:rPr>
        <w:t>2012 Alumni Donor</w:t>
      </w:r>
      <w:r>
        <w:rPr>
          <w:spacing w:val="-1"/>
          <w:sz w:val="18"/>
        </w:rPr>
        <w:t> </w:t>
      </w:r>
      <w:r>
        <w:rPr>
          <w:sz w:val="18"/>
        </w:rPr>
        <w:t>Stewardship</w:t>
      </w:r>
    </w:p>
    <w:p>
      <w:pPr>
        <w:pStyle w:val="Heading9"/>
        <w:numPr>
          <w:ilvl w:val="1"/>
          <w:numId w:val="63"/>
        </w:numPr>
        <w:tabs>
          <w:tab w:pos="1071" w:val="left" w:leader="none"/>
        </w:tabs>
        <w:spacing w:line="207" w:lineRule="exact" w:before="146" w:after="0"/>
        <w:ind w:left="1070" w:right="0" w:hanging="566"/>
        <w:jc w:val="left"/>
      </w:pPr>
      <w:r>
        <w:rPr/>
        <w:t>Staff Giving Appeals</w:t>
      </w:r>
    </w:p>
    <w:p>
      <w:pPr>
        <w:pStyle w:val="ListParagraph"/>
        <w:numPr>
          <w:ilvl w:val="0"/>
          <w:numId w:val="73"/>
        </w:numPr>
        <w:tabs>
          <w:tab w:pos="1181" w:val="left" w:leader="none"/>
        </w:tabs>
        <w:spacing w:line="206" w:lineRule="exact" w:before="0" w:after="0"/>
        <w:ind w:left="1180" w:right="0" w:hanging="110"/>
        <w:jc w:val="left"/>
        <w:rPr>
          <w:sz w:val="18"/>
        </w:rPr>
      </w:pPr>
      <w:r>
        <w:rPr>
          <w:sz w:val="18"/>
        </w:rPr>
        <w:t>2012 New Staff</w:t>
      </w:r>
      <w:r>
        <w:rPr>
          <w:spacing w:val="-1"/>
          <w:sz w:val="18"/>
        </w:rPr>
        <w:t> </w:t>
      </w:r>
      <w:r>
        <w:rPr>
          <w:sz w:val="18"/>
        </w:rPr>
        <w:t>Appeal</w:t>
      </w:r>
    </w:p>
    <w:p>
      <w:pPr>
        <w:pStyle w:val="ListParagraph"/>
        <w:numPr>
          <w:ilvl w:val="0"/>
          <w:numId w:val="73"/>
        </w:numPr>
        <w:tabs>
          <w:tab w:pos="1182" w:val="left" w:leader="none"/>
        </w:tabs>
        <w:spacing w:line="207" w:lineRule="exact" w:before="0" w:after="0"/>
        <w:ind w:left="1181" w:right="0" w:hanging="111"/>
        <w:jc w:val="left"/>
        <w:rPr>
          <w:sz w:val="18"/>
        </w:rPr>
      </w:pPr>
      <w:r>
        <w:rPr>
          <w:sz w:val="18"/>
        </w:rPr>
        <w:t>2012 Staff Giving</w:t>
      </w:r>
      <w:r>
        <w:rPr>
          <w:spacing w:val="-1"/>
          <w:sz w:val="18"/>
        </w:rPr>
        <w:t> </w:t>
      </w:r>
      <w:r>
        <w:rPr>
          <w:sz w:val="18"/>
        </w:rPr>
        <w:t>Appeal</w:t>
      </w:r>
    </w:p>
    <w:p>
      <w:pPr>
        <w:pStyle w:val="Heading9"/>
        <w:numPr>
          <w:ilvl w:val="1"/>
          <w:numId w:val="63"/>
        </w:numPr>
        <w:tabs>
          <w:tab w:pos="1071" w:val="left" w:leader="none"/>
        </w:tabs>
        <w:spacing w:line="207" w:lineRule="exact" w:before="146" w:after="0"/>
        <w:ind w:left="1070" w:right="0" w:hanging="566"/>
        <w:jc w:val="left"/>
      </w:pPr>
      <w:r>
        <w:rPr/>
        <w:t>Student Appeals</w:t>
      </w:r>
    </w:p>
    <w:p>
      <w:pPr>
        <w:pStyle w:val="ListParagraph"/>
        <w:numPr>
          <w:ilvl w:val="0"/>
          <w:numId w:val="74"/>
        </w:numPr>
        <w:tabs>
          <w:tab w:pos="1182" w:val="left" w:leader="none"/>
        </w:tabs>
        <w:spacing w:line="206" w:lineRule="exact" w:before="0" w:after="0"/>
        <w:ind w:left="1181" w:right="0" w:hanging="111"/>
        <w:jc w:val="left"/>
        <w:rPr>
          <w:sz w:val="18"/>
        </w:rPr>
      </w:pPr>
      <w:r>
        <w:rPr>
          <w:sz w:val="18"/>
        </w:rPr>
        <w:t>2012 April Graduation</w:t>
      </w:r>
      <w:r>
        <w:rPr>
          <w:spacing w:val="2"/>
          <w:sz w:val="18"/>
        </w:rPr>
        <w:t> </w:t>
      </w:r>
      <w:r>
        <w:rPr>
          <w:sz w:val="18"/>
        </w:rPr>
        <w:t>Appeal</w:t>
      </w:r>
    </w:p>
    <w:p>
      <w:pPr>
        <w:pStyle w:val="ListParagraph"/>
        <w:numPr>
          <w:ilvl w:val="0"/>
          <w:numId w:val="74"/>
        </w:numPr>
        <w:tabs>
          <w:tab w:pos="1182" w:val="left" w:leader="none"/>
        </w:tabs>
        <w:spacing w:line="206" w:lineRule="exact" w:before="0" w:after="0"/>
        <w:ind w:left="1181" w:right="0" w:hanging="111"/>
        <w:jc w:val="left"/>
        <w:rPr>
          <w:sz w:val="18"/>
        </w:rPr>
      </w:pPr>
      <w:r>
        <w:rPr>
          <w:sz w:val="18"/>
        </w:rPr>
        <w:t>2012 September Graduation</w:t>
      </w:r>
      <w:r>
        <w:rPr>
          <w:spacing w:val="2"/>
          <w:sz w:val="18"/>
        </w:rPr>
        <w:t> </w:t>
      </w:r>
      <w:r>
        <w:rPr>
          <w:sz w:val="18"/>
        </w:rPr>
        <w:t>Appeal</w:t>
      </w:r>
    </w:p>
    <w:p>
      <w:pPr>
        <w:pStyle w:val="ListParagraph"/>
        <w:numPr>
          <w:ilvl w:val="0"/>
          <w:numId w:val="74"/>
        </w:numPr>
        <w:tabs>
          <w:tab w:pos="1182" w:val="left" w:leader="none"/>
        </w:tabs>
        <w:spacing w:line="207" w:lineRule="exact" w:before="0" w:after="0"/>
        <w:ind w:left="1181" w:right="0" w:hanging="111"/>
        <w:jc w:val="left"/>
        <w:rPr>
          <w:sz w:val="18"/>
        </w:rPr>
      </w:pPr>
      <w:r>
        <w:rPr>
          <w:sz w:val="18"/>
        </w:rPr>
        <w:t>2012 December Graduation</w:t>
      </w:r>
      <w:r>
        <w:rPr>
          <w:spacing w:val="2"/>
          <w:sz w:val="18"/>
        </w:rPr>
        <w:t> </w:t>
      </w:r>
      <w:r>
        <w:rPr>
          <w:sz w:val="18"/>
        </w:rPr>
        <w:t>Appeal</w:t>
      </w:r>
    </w:p>
    <w:p>
      <w:pPr>
        <w:pStyle w:val="Heading9"/>
        <w:numPr>
          <w:ilvl w:val="1"/>
          <w:numId w:val="63"/>
        </w:numPr>
        <w:tabs>
          <w:tab w:pos="1071" w:val="left" w:leader="none"/>
        </w:tabs>
        <w:spacing w:line="207" w:lineRule="exact" w:before="146" w:after="0"/>
        <w:ind w:left="1070" w:right="0" w:hanging="566"/>
        <w:jc w:val="left"/>
      </w:pPr>
      <w:r>
        <w:rPr/>
        <w:t>Other Appeals</w:t>
      </w:r>
    </w:p>
    <w:p>
      <w:pPr>
        <w:pStyle w:val="ListParagraph"/>
        <w:numPr>
          <w:ilvl w:val="0"/>
          <w:numId w:val="75"/>
        </w:numPr>
        <w:tabs>
          <w:tab w:pos="1182" w:val="left" w:leader="none"/>
        </w:tabs>
        <w:spacing w:line="206" w:lineRule="exact" w:before="0" w:after="0"/>
        <w:ind w:left="1181" w:right="0" w:hanging="111"/>
        <w:jc w:val="left"/>
        <w:rPr>
          <w:sz w:val="18"/>
        </w:rPr>
      </w:pPr>
      <w:r>
        <w:rPr>
          <w:sz w:val="18"/>
        </w:rPr>
        <w:t>2012 Yinuo Jiang</w:t>
      </w:r>
      <w:r>
        <w:rPr>
          <w:spacing w:val="2"/>
          <w:sz w:val="18"/>
        </w:rPr>
        <w:t> </w:t>
      </w:r>
      <w:r>
        <w:rPr>
          <w:sz w:val="18"/>
        </w:rPr>
        <w:t>Appeal</w:t>
      </w:r>
    </w:p>
    <w:p>
      <w:pPr>
        <w:pStyle w:val="ListParagraph"/>
        <w:numPr>
          <w:ilvl w:val="0"/>
          <w:numId w:val="75"/>
        </w:numPr>
        <w:tabs>
          <w:tab w:pos="1182" w:val="left" w:leader="none"/>
        </w:tabs>
        <w:spacing w:line="206" w:lineRule="exact" w:before="0" w:after="0"/>
        <w:ind w:left="1181" w:right="0" w:hanging="111"/>
        <w:jc w:val="left"/>
        <w:rPr>
          <w:sz w:val="18"/>
        </w:rPr>
      </w:pPr>
      <w:r>
        <w:rPr>
          <w:sz w:val="18"/>
        </w:rPr>
        <w:t>2012 Research and Academic Positions</w:t>
      </w:r>
      <w:r>
        <w:rPr>
          <w:spacing w:val="4"/>
          <w:sz w:val="18"/>
        </w:rPr>
        <w:t> </w:t>
      </w:r>
      <w:r>
        <w:rPr>
          <w:sz w:val="18"/>
        </w:rPr>
        <w:t>Appeal</w:t>
      </w:r>
    </w:p>
    <w:p>
      <w:pPr>
        <w:pStyle w:val="ListParagraph"/>
        <w:numPr>
          <w:ilvl w:val="0"/>
          <w:numId w:val="75"/>
        </w:numPr>
        <w:tabs>
          <w:tab w:pos="1182" w:val="left" w:leader="none"/>
        </w:tabs>
        <w:spacing w:line="206" w:lineRule="exact" w:before="0" w:after="0"/>
        <w:ind w:left="1181" w:right="0" w:hanging="111"/>
        <w:jc w:val="left"/>
        <w:rPr>
          <w:sz w:val="18"/>
        </w:rPr>
      </w:pPr>
      <w:r>
        <w:rPr>
          <w:sz w:val="18"/>
        </w:rPr>
        <w:t>2012 General and Unsolicited Donations</w:t>
      </w:r>
      <w:r>
        <w:rPr>
          <w:spacing w:val="4"/>
          <w:sz w:val="18"/>
        </w:rPr>
        <w:t> </w:t>
      </w:r>
      <w:r>
        <w:rPr>
          <w:sz w:val="18"/>
        </w:rPr>
        <w:t>Appeal</w:t>
      </w:r>
    </w:p>
    <w:p>
      <w:pPr>
        <w:pStyle w:val="ListParagraph"/>
        <w:numPr>
          <w:ilvl w:val="0"/>
          <w:numId w:val="75"/>
        </w:numPr>
        <w:tabs>
          <w:tab w:pos="1182" w:val="left" w:leader="none"/>
        </w:tabs>
        <w:spacing w:line="206" w:lineRule="exact" w:before="0" w:after="0"/>
        <w:ind w:left="1181" w:right="0" w:hanging="111"/>
        <w:jc w:val="left"/>
        <w:rPr>
          <w:sz w:val="18"/>
        </w:rPr>
      </w:pPr>
      <w:r>
        <w:rPr>
          <w:sz w:val="18"/>
        </w:rPr>
        <w:t>Parramatta Community Justice Clinic (PCJC)</w:t>
      </w:r>
      <w:r>
        <w:rPr>
          <w:spacing w:val="4"/>
          <w:sz w:val="18"/>
        </w:rPr>
        <w:t> </w:t>
      </w:r>
      <w:r>
        <w:rPr>
          <w:sz w:val="18"/>
        </w:rPr>
        <w:t>Appeal</w:t>
      </w:r>
    </w:p>
    <w:p>
      <w:pPr>
        <w:pStyle w:val="ListParagraph"/>
        <w:numPr>
          <w:ilvl w:val="0"/>
          <w:numId w:val="75"/>
        </w:numPr>
        <w:tabs>
          <w:tab w:pos="1182" w:val="left" w:leader="none"/>
        </w:tabs>
        <w:spacing w:line="207" w:lineRule="exact" w:before="0" w:after="0"/>
        <w:ind w:left="1181" w:right="0" w:hanging="111"/>
        <w:jc w:val="left"/>
        <w:rPr>
          <w:sz w:val="18"/>
        </w:rPr>
      </w:pPr>
      <w:r>
        <w:rPr>
          <w:sz w:val="18"/>
        </w:rPr>
        <w:t>Student Welfare</w:t>
      </w:r>
      <w:r>
        <w:rPr>
          <w:spacing w:val="10"/>
          <w:sz w:val="18"/>
        </w:rPr>
        <w:t> </w:t>
      </w:r>
      <w:r>
        <w:rPr>
          <w:sz w:val="18"/>
        </w:rPr>
        <w:t>Appeal</w:t>
      </w:r>
    </w:p>
    <w:p>
      <w:pPr>
        <w:spacing w:after="0" w:line="207" w:lineRule="exact"/>
        <w:jc w:val="left"/>
        <w:rPr>
          <w:sz w:val="18"/>
        </w:rPr>
        <w:sectPr>
          <w:pgSz w:w="11910" w:h="16840"/>
          <w:pgMar w:header="1037" w:footer="526" w:top="1460" w:bottom="700" w:left="900" w:right="1680"/>
        </w:sectPr>
      </w:pPr>
    </w:p>
    <w:p>
      <w:pPr>
        <w:pStyle w:val="BodyText"/>
        <w:spacing w:before="1"/>
        <w:rPr>
          <w:sz w:val="24"/>
        </w:rPr>
      </w:pPr>
    </w:p>
    <w:p>
      <w:pPr>
        <w:pStyle w:val="Heading3"/>
        <w:ind w:left="147" w:right="685"/>
      </w:pPr>
      <w:r>
        <w:rPr/>
        <w:t>Notes to the financial statements</w:t>
      </w:r>
    </w:p>
    <w:p>
      <w:pPr>
        <w:pStyle w:val="Heading6"/>
        <w:spacing w:before="53"/>
        <w:ind w:left="147" w:right="685"/>
      </w:pPr>
      <w:r>
        <w:rPr/>
        <w:t>For the Year Ended 31 December 2012</w:t>
      </w:r>
    </w:p>
    <w:p>
      <w:pPr>
        <w:pStyle w:val="BodyText"/>
        <w:rPr>
          <w:b/>
          <w:sz w:val="20"/>
        </w:rPr>
      </w:pPr>
    </w:p>
    <w:p>
      <w:pPr>
        <w:pStyle w:val="BodyText"/>
        <w:rPr>
          <w:b/>
          <w:sz w:val="20"/>
        </w:rPr>
      </w:pPr>
    </w:p>
    <w:p>
      <w:pPr>
        <w:pStyle w:val="BodyText"/>
        <w:spacing w:before="4"/>
        <w:rPr>
          <w:b/>
          <w:sz w:val="1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7020"/>
        <w:gridCol w:w="1454"/>
        <w:gridCol w:w="1138"/>
      </w:tblGrid>
      <w:tr>
        <w:trPr>
          <w:trHeight w:val="882" w:hRule="exact"/>
        </w:trPr>
        <w:tc>
          <w:tcPr>
            <w:tcW w:w="333" w:type="dxa"/>
          </w:tcPr>
          <w:p>
            <w:pPr>
              <w:pStyle w:val="TableParagraph"/>
              <w:spacing w:before="77"/>
              <w:ind w:left="35"/>
              <w:rPr>
                <w:b/>
                <w:sz w:val="18"/>
              </w:rPr>
            </w:pPr>
            <w:r>
              <w:rPr>
                <w:b/>
                <w:sz w:val="18"/>
              </w:rPr>
              <w:t>18</w:t>
            </w:r>
          </w:p>
        </w:tc>
        <w:tc>
          <w:tcPr>
            <w:tcW w:w="7020" w:type="dxa"/>
          </w:tcPr>
          <w:p>
            <w:pPr>
              <w:pStyle w:val="TableParagraph"/>
              <w:spacing w:before="77"/>
              <w:ind w:left="96"/>
              <w:rPr>
                <w:b/>
                <w:sz w:val="18"/>
              </w:rPr>
            </w:pPr>
            <w:r>
              <w:rPr>
                <w:b/>
                <w:sz w:val="18"/>
              </w:rPr>
              <w:t>Charitable fundraising (continued)</w:t>
            </w:r>
          </w:p>
          <w:p>
            <w:pPr>
              <w:pStyle w:val="TableParagraph"/>
              <w:spacing w:before="11"/>
              <w:rPr>
                <w:b/>
                <w:sz w:val="24"/>
              </w:rPr>
            </w:pPr>
          </w:p>
          <w:p>
            <w:pPr>
              <w:pStyle w:val="TableParagraph"/>
              <w:ind w:left="96"/>
              <w:rPr>
                <w:b/>
                <w:sz w:val="18"/>
              </w:rPr>
            </w:pPr>
            <w:r>
              <w:rPr>
                <w:b/>
                <w:sz w:val="18"/>
              </w:rPr>
              <w:t>Results of fundraising appeals</w:t>
            </w:r>
          </w:p>
        </w:tc>
        <w:tc>
          <w:tcPr>
            <w:tcW w:w="2592" w:type="dxa"/>
            <w:gridSpan w:val="2"/>
          </w:tcPr>
          <w:p>
            <w:pPr/>
          </w:p>
        </w:tc>
      </w:tr>
      <w:tr>
        <w:trPr>
          <w:trHeight w:val="578" w:hRule="exact"/>
        </w:trPr>
        <w:tc>
          <w:tcPr>
            <w:tcW w:w="333" w:type="dxa"/>
          </w:tcPr>
          <w:p>
            <w:pPr/>
          </w:p>
        </w:tc>
        <w:tc>
          <w:tcPr>
            <w:tcW w:w="7020" w:type="dxa"/>
          </w:tcPr>
          <w:p>
            <w:pPr/>
          </w:p>
        </w:tc>
        <w:tc>
          <w:tcPr>
            <w:tcW w:w="1454" w:type="dxa"/>
          </w:tcPr>
          <w:p>
            <w:pPr>
              <w:pStyle w:val="TableParagraph"/>
              <w:spacing w:line="207" w:lineRule="exact" w:before="85"/>
              <w:ind w:left="414" w:right="599"/>
              <w:jc w:val="center"/>
              <w:rPr>
                <w:b/>
                <w:sz w:val="18"/>
              </w:rPr>
            </w:pPr>
            <w:r>
              <w:rPr>
                <w:b/>
                <w:sz w:val="18"/>
              </w:rPr>
              <w:t>2012</w:t>
            </w:r>
          </w:p>
          <w:p>
            <w:pPr>
              <w:pStyle w:val="TableParagraph"/>
              <w:spacing w:line="207" w:lineRule="exact"/>
              <w:ind w:right="185"/>
              <w:jc w:val="center"/>
              <w:rPr>
                <w:b/>
                <w:sz w:val="18"/>
              </w:rPr>
            </w:pPr>
            <w:r>
              <w:rPr>
                <w:b/>
                <w:w w:val="99"/>
                <w:sz w:val="18"/>
              </w:rPr>
              <w:t>$</w:t>
            </w:r>
          </w:p>
        </w:tc>
        <w:tc>
          <w:tcPr>
            <w:tcW w:w="1138" w:type="dxa"/>
          </w:tcPr>
          <w:p>
            <w:pPr>
              <w:pStyle w:val="TableParagraph"/>
              <w:spacing w:line="207" w:lineRule="exact" w:before="85"/>
              <w:ind w:left="256" w:right="441"/>
              <w:jc w:val="center"/>
              <w:rPr>
                <w:sz w:val="18"/>
              </w:rPr>
            </w:pPr>
            <w:r>
              <w:rPr>
                <w:sz w:val="18"/>
              </w:rPr>
              <w:t>2011</w:t>
            </w:r>
          </w:p>
          <w:p>
            <w:pPr>
              <w:pStyle w:val="TableParagraph"/>
              <w:spacing w:line="207" w:lineRule="exact"/>
              <w:ind w:right="185"/>
              <w:jc w:val="center"/>
              <w:rPr>
                <w:sz w:val="18"/>
              </w:rPr>
            </w:pPr>
            <w:r>
              <w:rPr>
                <w:w w:val="99"/>
                <w:sz w:val="18"/>
              </w:rPr>
              <w:t>$</w:t>
            </w:r>
          </w:p>
        </w:tc>
      </w:tr>
      <w:tr>
        <w:trPr>
          <w:trHeight w:val="289" w:hRule="exact"/>
        </w:trPr>
        <w:tc>
          <w:tcPr>
            <w:tcW w:w="333" w:type="dxa"/>
          </w:tcPr>
          <w:p>
            <w:pPr/>
          </w:p>
        </w:tc>
        <w:tc>
          <w:tcPr>
            <w:tcW w:w="7020" w:type="dxa"/>
          </w:tcPr>
          <w:p>
            <w:pPr>
              <w:pStyle w:val="TableParagraph"/>
              <w:spacing w:before="61"/>
              <w:ind w:left="309"/>
              <w:rPr>
                <w:b/>
                <w:sz w:val="18"/>
              </w:rPr>
            </w:pPr>
            <w:r>
              <w:rPr>
                <w:b/>
                <w:w w:val="99"/>
                <w:sz w:val="18"/>
              </w:rPr>
              <w:t>A</w:t>
            </w:r>
          </w:p>
        </w:tc>
        <w:tc>
          <w:tcPr>
            <w:tcW w:w="1454" w:type="dxa"/>
          </w:tcPr>
          <w:p>
            <w:pPr/>
          </w:p>
        </w:tc>
        <w:tc>
          <w:tcPr>
            <w:tcW w:w="1138" w:type="dxa"/>
          </w:tcPr>
          <w:p>
            <w:pPr/>
          </w:p>
        </w:tc>
      </w:tr>
      <w:tr>
        <w:trPr>
          <w:trHeight w:val="269" w:hRule="exact"/>
        </w:trPr>
        <w:tc>
          <w:tcPr>
            <w:tcW w:w="333" w:type="dxa"/>
          </w:tcPr>
          <w:p>
            <w:pPr/>
          </w:p>
        </w:tc>
        <w:tc>
          <w:tcPr>
            <w:tcW w:w="7020" w:type="dxa"/>
          </w:tcPr>
          <w:p>
            <w:pPr>
              <w:pStyle w:val="TableParagraph"/>
              <w:spacing w:before="10"/>
              <w:ind w:left="309"/>
              <w:rPr>
                <w:sz w:val="13"/>
              </w:rPr>
            </w:pPr>
            <w:r>
              <w:rPr>
                <w:sz w:val="18"/>
              </w:rPr>
              <w:t>Gross proceeds from fundraising </w:t>
            </w:r>
            <w:r>
              <w:rPr>
                <w:position w:val="6"/>
                <w:sz w:val="13"/>
              </w:rPr>
              <w:t>1</w:t>
            </w:r>
          </w:p>
        </w:tc>
        <w:tc>
          <w:tcPr>
            <w:tcW w:w="1454" w:type="dxa"/>
          </w:tcPr>
          <w:p>
            <w:pPr>
              <w:pStyle w:val="TableParagraph"/>
              <w:spacing w:before="26"/>
              <w:ind w:right="243"/>
              <w:jc w:val="right"/>
              <w:rPr>
                <w:sz w:val="18"/>
              </w:rPr>
            </w:pPr>
            <w:r>
              <w:rPr>
                <w:w w:val="95"/>
                <w:sz w:val="18"/>
              </w:rPr>
              <w:t>3,172,576</w:t>
            </w:r>
          </w:p>
        </w:tc>
        <w:tc>
          <w:tcPr>
            <w:tcW w:w="1138" w:type="dxa"/>
          </w:tcPr>
          <w:p>
            <w:pPr>
              <w:pStyle w:val="TableParagraph"/>
              <w:spacing w:before="26"/>
              <w:ind w:right="84"/>
              <w:jc w:val="right"/>
              <w:rPr>
                <w:sz w:val="18"/>
              </w:rPr>
            </w:pPr>
            <w:r>
              <w:rPr>
                <w:w w:val="95"/>
                <w:sz w:val="18"/>
              </w:rPr>
              <w:t>2,734,465</w:t>
            </w:r>
          </w:p>
        </w:tc>
      </w:tr>
      <w:tr>
        <w:trPr>
          <w:trHeight w:val="282" w:hRule="exact"/>
        </w:trPr>
        <w:tc>
          <w:tcPr>
            <w:tcW w:w="333" w:type="dxa"/>
          </w:tcPr>
          <w:p>
            <w:pPr/>
          </w:p>
        </w:tc>
        <w:tc>
          <w:tcPr>
            <w:tcW w:w="7020" w:type="dxa"/>
          </w:tcPr>
          <w:p>
            <w:pPr>
              <w:pStyle w:val="TableParagraph"/>
              <w:spacing w:before="25"/>
              <w:ind w:left="309"/>
              <w:rPr>
                <w:sz w:val="13"/>
              </w:rPr>
            </w:pPr>
            <w:r>
              <w:rPr>
                <w:sz w:val="18"/>
              </w:rPr>
              <w:t>Less costs of fundraising appeals </w:t>
            </w:r>
            <w:r>
              <w:rPr>
                <w:position w:val="6"/>
                <w:sz w:val="13"/>
              </w:rPr>
              <w:t>2</w:t>
            </w:r>
          </w:p>
        </w:tc>
        <w:tc>
          <w:tcPr>
            <w:tcW w:w="1454" w:type="dxa"/>
            <w:tcBorders>
              <w:bottom w:val="single" w:sz="1" w:space="0" w:color="000000"/>
            </w:tcBorders>
          </w:tcPr>
          <w:p>
            <w:pPr>
              <w:pStyle w:val="TableParagraph"/>
              <w:spacing w:before="40"/>
              <w:ind w:right="242"/>
              <w:jc w:val="right"/>
              <w:rPr>
                <w:sz w:val="18"/>
              </w:rPr>
            </w:pPr>
            <w:r>
              <w:rPr>
                <w:w w:val="99"/>
                <w:sz w:val="18"/>
              </w:rPr>
              <w:t>-</w:t>
            </w:r>
          </w:p>
        </w:tc>
        <w:tc>
          <w:tcPr>
            <w:tcW w:w="1138" w:type="dxa"/>
            <w:tcBorders>
              <w:bottom w:val="single" w:sz="1" w:space="0" w:color="000000"/>
            </w:tcBorders>
          </w:tcPr>
          <w:p>
            <w:pPr>
              <w:pStyle w:val="TableParagraph"/>
              <w:spacing w:before="40"/>
              <w:ind w:right="84"/>
              <w:jc w:val="right"/>
              <w:rPr>
                <w:sz w:val="18"/>
              </w:rPr>
            </w:pPr>
            <w:r>
              <w:rPr>
                <w:w w:val="99"/>
                <w:sz w:val="18"/>
              </w:rPr>
              <w:t>-</w:t>
            </w:r>
          </w:p>
        </w:tc>
      </w:tr>
      <w:tr>
        <w:trPr>
          <w:trHeight w:val="285" w:hRule="exact"/>
        </w:trPr>
        <w:tc>
          <w:tcPr>
            <w:tcW w:w="333" w:type="dxa"/>
          </w:tcPr>
          <w:p>
            <w:pPr/>
          </w:p>
        </w:tc>
        <w:tc>
          <w:tcPr>
            <w:tcW w:w="7020" w:type="dxa"/>
          </w:tcPr>
          <w:p>
            <w:pPr>
              <w:pStyle w:val="TableParagraph"/>
              <w:spacing w:before="12"/>
              <w:ind w:left="96"/>
              <w:rPr>
                <w:sz w:val="18"/>
              </w:rPr>
            </w:pPr>
            <w:r>
              <w:rPr>
                <w:sz w:val="18"/>
              </w:rPr>
              <w:t>Net surplus obtained from fundraising appeals</w:t>
            </w:r>
          </w:p>
        </w:tc>
        <w:tc>
          <w:tcPr>
            <w:tcW w:w="1454" w:type="dxa"/>
            <w:tcBorders>
              <w:top w:val="single" w:sz="1" w:space="0" w:color="000000"/>
            </w:tcBorders>
          </w:tcPr>
          <w:p>
            <w:pPr>
              <w:pStyle w:val="TableParagraph"/>
              <w:spacing w:before="11"/>
              <w:ind w:right="243"/>
              <w:jc w:val="right"/>
              <w:rPr>
                <w:sz w:val="18"/>
              </w:rPr>
            </w:pPr>
            <w:r>
              <w:rPr>
                <w:w w:val="95"/>
                <w:sz w:val="18"/>
              </w:rPr>
              <w:t>3,172,576</w:t>
            </w:r>
          </w:p>
        </w:tc>
        <w:tc>
          <w:tcPr>
            <w:tcW w:w="1138" w:type="dxa"/>
            <w:tcBorders>
              <w:top w:val="single" w:sz="1" w:space="0" w:color="000000"/>
            </w:tcBorders>
          </w:tcPr>
          <w:p>
            <w:pPr>
              <w:pStyle w:val="TableParagraph"/>
              <w:spacing w:before="11"/>
              <w:ind w:right="84"/>
              <w:jc w:val="right"/>
              <w:rPr>
                <w:sz w:val="18"/>
              </w:rPr>
            </w:pPr>
            <w:r>
              <w:rPr>
                <w:w w:val="95"/>
                <w:sz w:val="18"/>
              </w:rPr>
              <w:t>2,734,465</w:t>
            </w:r>
          </w:p>
        </w:tc>
      </w:tr>
      <w:tr>
        <w:trPr>
          <w:trHeight w:val="275" w:hRule="exact"/>
        </w:trPr>
        <w:tc>
          <w:tcPr>
            <w:tcW w:w="333" w:type="dxa"/>
          </w:tcPr>
          <w:p>
            <w:pPr/>
          </w:p>
        </w:tc>
        <w:tc>
          <w:tcPr>
            <w:tcW w:w="7020" w:type="dxa"/>
          </w:tcPr>
          <w:p>
            <w:pPr>
              <w:pStyle w:val="TableParagraph"/>
              <w:spacing w:before="46"/>
              <w:ind w:left="309"/>
              <w:rPr>
                <w:b/>
                <w:sz w:val="18"/>
              </w:rPr>
            </w:pPr>
            <w:r>
              <w:rPr>
                <w:b/>
                <w:w w:val="99"/>
                <w:sz w:val="18"/>
              </w:rPr>
              <w:t>B</w:t>
            </w:r>
          </w:p>
        </w:tc>
        <w:tc>
          <w:tcPr>
            <w:tcW w:w="1454" w:type="dxa"/>
          </w:tcPr>
          <w:p>
            <w:pPr/>
          </w:p>
        </w:tc>
        <w:tc>
          <w:tcPr>
            <w:tcW w:w="1138" w:type="dxa"/>
          </w:tcPr>
          <w:p>
            <w:pPr/>
          </w:p>
        </w:tc>
      </w:tr>
      <w:tr>
        <w:trPr>
          <w:trHeight w:val="271" w:hRule="exact"/>
        </w:trPr>
        <w:tc>
          <w:tcPr>
            <w:tcW w:w="333" w:type="dxa"/>
          </w:tcPr>
          <w:p>
            <w:pPr/>
          </w:p>
        </w:tc>
        <w:tc>
          <w:tcPr>
            <w:tcW w:w="7020" w:type="dxa"/>
          </w:tcPr>
          <w:p>
            <w:pPr>
              <w:pStyle w:val="TableParagraph"/>
              <w:spacing w:before="10"/>
              <w:ind w:left="309"/>
              <w:rPr>
                <w:sz w:val="13"/>
              </w:rPr>
            </w:pPr>
            <w:r>
              <w:rPr>
                <w:sz w:val="18"/>
              </w:rPr>
              <w:t>Distributions to the University of Western Sydney </w:t>
            </w:r>
            <w:r>
              <w:rPr>
                <w:position w:val="6"/>
                <w:sz w:val="13"/>
              </w:rPr>
              <w:t>3</w:t>
            </w:r>
          </w:p>
        </w:tc>
        <w:tc>
          <w:tcPr>
            <w:tcW w:w="1454" w:type="dxa"/>
          </w:tcPr>
          <w:p>
            <w:pPr>
              <w:pStyle w:val="TableParagraph"/>
              <w:spacing w:before="26"/>
              <w:ind w:right="242"/>
              <w:jc w:val="right"/>
              <w:rPr>
                <w:sz w:val="18"/>
              </w:rPr>
            </w:pPr>
            <w:r>
              <w:rPr>
                <w:w w:val="95"/>
                <w:sz w:val="18"/>
              </w:rPr>
              <w:t>851,608</w:t>
            </w:r>
          </w:p>
        </w:tc>
        <w:tc>
          <w:tcPr>
            <w:tcW w:w="1138" w:type="dxa"/>
          </w:tcPr>
          <w:p>
            <w:pPr>
              <w:pStyle w:val="TableParagraph"/>
              <w:spacing w:before="26"/>
              <w:ind w:right="84"/>
              <w:jc w:val="right"/>
              <w:rPr>
                <w:sz w:val="18"/>
              </w:rPr>
            </w:pPr>
            <w:r>
              <w:rPr>
                <w:w w:val="95"/>
                <w:sz w:val="18"/>
              </w:rPr>
              <w:t>1,718,548</w:t>
            </w:r>
          </w:p>
        </w:tc>
      </w:tr>
      <w:tr>
        <w:trPr>
          <w:trHeight w:val="265" w:hRule="exact"/>
        </w:trPr>
        <w:tc>
          <w:tcPr>
            <w:tcW w:w="333" w:type="dxa"/>
          </w:tcPr>
          <w:p>
            <w:pPr/>
          </w:p>
        </w:tc>
        <w:tc>
          <w:tcPr>
            <w:tcW w:w="7020" w:type="dxa"/>
          </w:tcPr>
          <w:p>
            <w:pPr>
              <w:pStyle w:val="TableParagraph"/>
              <w:spacing w:before="21"/>
              <w:ind w:left="309"/>
              <w:rPr>
                <w:sz w:val="18"/>
              </w:rPr>
            </w:pPr>
            <w:r>
              <w:rPr>
                <w:sz w:val="18"/>
              </w:rPr>
              <w:t>Distributions - other</w:t>
            </w:r>
          </w:p>
        </w:tc>
        <w:tc>
          <w:tcPr>
            <w:tcW w:w="1454" w:type="dxa"/>
          </w:tcPr>
          <w:p>
            <w:pPr>
              <w:pStyle w:val="TableParagraph"/>
              <w:spacing w:before="19"/>
              <w:ind w:right="243"/>
              <w:jc w:val="right"/>
              <w:rPr>
                <w:sz w:val="18"/>
              </w:rPr>
            </w:pPr>
            <w:r>
              <w:rPr>
                <w:w w:val="95"/>
                <w:sz w:val="18"/>
              </w:rPr>
              <w:t>3,000</w:t>
            </w:r>
          </w:p>
        </w:tc>
        <w:tc>
          <w:tcPr>
            <w:tcW w:w="1138" w:type="dxa"/>
          </w:tcPr>
          <w:p>
            <w:pPr>
              <w:pStyle w:val="TableParagraph"/>
              <w:spacing w:before="19"/>
              <w:ind w:right="84"/>
              <w:jc w:val="right"/>
              <w:rPr>
                <w:sz w:val="18"/>
              </w:rPr>
            </w:pPr>
            <w:r>
              <w:rPr>
                <w:w w:val="95"/>
                <w:sz w:val="18"/>
              </w:rPr>
              <w:t>42,277</w:t>
            </w:r>
          </w:p>
        </w:tc>
      </w:tr>
      <w:tr>
        <w:trPr>
          <w:trHeight w:val="260" w:hRule="exact"/>
        </w:trPr>
        <w:tc>
          <w:tcPr>
            <w:tcW w:w="333" w:type="dxa"/>
          </w:tcPr>
          <w:p>
            <w:pPr/>
          </w:p>
        </w:tc>
        <w:tc>
          <w:tcPr>
            <w:tcW w:w="7020" w:type="dxa"/>
          </w:tcPr>
          <w:p>
            <w:pPr>
              <w:pStyle w:val="TableParagraph"/>
              <w:spacing w:before="20"/>
              <w:ind w:left="309"/>
              <w:rPr>
                <w:sz w:val="18"/>
              </w:rPr>
            </w:pPr>
            <w:r>
              <w:rPr>
                <w:sz w:val="18"/>
              </w:rPr>
              <w:t>Transfers to retained surplus</w:t>
            </w:r>
          </w:p>
        </w:tc>
        <w:tc>
          <w:tcPr>
            <w:tcW w:w="1454" w:type="dxa"/>
            <w:tcBorders>
              <w:bottom w:val="single" w:sz="1" w:space="0" w:color="000000"/>
            </w:tcBorders>
          </w:tcPr>
          <w:p>
            <w:pPr>
              <w:pStyle w:val="TableParagraph"/>
              <w:spacing w:before="18"/>
              <w:ind w:right="243"/>
              <w:jc w:val="right"/>
              <w:rPr>
                <w:sz w:val="18"/>
              </w:rPr>
            </w:pPr>
            <w:r>
              <w:rPr>
                <w:w w:val="95"/>
                <w:sz w:val="18"/>
              </w:rPr>
              <w:t>2,317,968</w:t>
            </w:r>
          </w:p>
        </w:tc>
        <w:tc>
          <w:tcPr>
            <w:tcW w:w="1138" w:type="dxa"/>
            <w:tcBorders>
              <w:bottom w:val="single" w:sz="1" w:space="0" w:color="000000"/>
            </w:tcBorders>
          </w:tcPr>
          <w:p>
            <w:pPr>
              <w:pStyle w:val="TableParagraph"/>
              <w:spacing w:before="18"/>
              <w:ind w:right="84"/>
              <w:jc w:val="right"/>
              <w:rPr>
                <w:sz w:val="18"/>
              </w:rPr>
            </w:pPr>
            <w:r>
              <w:rPr>
                <w:w w:val="95"/>
                <w:sz w:val="18"/>
              </w:rPr>
              <w:t>973,640</w:t>
            </w:r>
          </w:p>
        </w:tc>
      </w:tr>
      <w:tr>
        <w:trPr>
          <w:trHeight w:val="315" w:hRule="exact"/>
        </w:trPr>
        <w:tc>
          <w:tcPr>
            <w:tcW w:w="333" w:type="dxa"/>
          </w:tcPr>
          <w:p>
            <w:pPr/>
          </w:p>
        </w:tc>
        <w:tc>
          <w:tcPr>
            <w:tcW w:w="7020" w:type="dxa"/>
          </w:tcPr>
          <w:p>
            <w:pPr/>
          </w:p>
        </w:tc>
        <w:tc>
          <w:tcPr>
            <w:tcW w:w="1454" w:type="dxa"/>
            <w:tcBorders>
              <w:top w:val="single" w:sz="1" w:space="0" w:color="000000"/>
            </w:tcBorders>
          </w:tcPr>
          <w:p>
            <w:pPr>
              <w:pStyle w:val="TableParagraph"/>
              <w:spacing w:before="11"/>
              <w:ind w:right="243"/>
              <w:jc w:val="right"/>
              <w:rPr>
                <w:sz w:val="18"/>
              </w:rPr>
            </w:pPr>
            <w:r>
              <w:rPr>
                <w:w w:val="95"/>
                <w:sz w:val="18"/>
              </w:rPr>
              <w:t>3,172,576</w:t>
            </w:r>
          </w:p>
        </w:tc>
        <w:tc>
          <w:tcPr>
            <w:tcW w:w="1138" w:type="dxa"/>
            <w:tcBorders>
              <w:top w:val="single" w:sz="1" w:space="0" w:color="000000"/>
            </w:tcBorders>
          </w:tcPr>
          <w:p>
            <w:pPr>
              <w:pStyle w:val="TableParagraph"/>
              <w:spacing w:before="11"/>
              <w:ind w:right="84"/>
              <w:jc w:val="right"/>
              <w:rPr>
                <w:sz w:val="18"/>
              </w:rPr>
            </w:pPr>
            <w:r>
              <w:rPr>
                <w:w w:val="95"/>
                <w:sz w:val="18"/>
              </w:rPr>
              <w:t>2,734,465</w:t>
            </w:r>
          </w:p>
        </w:tc>
      </w:tr>
    </w:tbl>
    <w:p>
      <w:pPr>
        <w:pStyle w:val="BodyText"/>
        <w:spacing w:before="9"/>
        <w:rPr>
          <w:b/>
          <w:sz w:val="9"/>
        </w:rPr>
      </w:pPr>
    </w:p>
    <w:p>
      <w:pPr>
        <w:pStyle w:val="BodyText"/>
        <w:spacing w:line="244" w:lineRule="auto" w:before="85"/>
        <w:ind w:left="544" w:right="59"/>
      </w:pPr>
      <w:r>
        <w:rPr>
          <w:position w:val="6"/>
          <w:sz w:val="13"/>
        </w:rPr>
        <w:t>1</w:t>
      </w:r>
      <w:r>
        <w:rPr/>
        <w:t>Gross proceeds from fundraising appeals include the receipt of investment income earned on funds previously raised and invested.</w:t>
      </w:r>
    </w:p>
    <w:p>
      <w:pPr>
        <w:pStyle w:val="BodyText"/>
        <w:spacing w:line="244" w:lineRule="auto" w:before="148"/>
        <w:ind w:left="544" w:right="685"/>
      </w:pPr>
      <w:r>
        <w:rPr>
          <w:position w:val="6"/>
          <w:sz w:val="13"/>
        </w:rPr>
        <w:t>2</w:t>
      </w:r>
      <w:r>
        <w:rPr/>
        <w:t>As the purpose of the Trust is fundraising, the cost of fundraising appeals includes all expenditures except for distributions to  the University of Western Sydney.</w:t>
      </w:r>
    </w:p>
    <w:p>
      <w:pPr>
        <w:pStyle w:val="BodyText"/>
        <w:spacing w:before="148"/>
        <w:ind w:left="544" w:right="685"/>
      </w:pPr>
      <w:r>
        <w:rPr>
          <w:position w:val="6"/>
          <w:sz w:val="13"/>
        </w:rPr>
        <w:t>3</w:t>
      </w:r>
      <w:r>
        <w:rPr/>
        <w:t>Distributions to the University of Western Sydney include student scholarships and prizes.</w:t>
      </w:r>
    </w:p>
    <w:p>
      <w:pPr>
        <w:pStyle w:val="BodyText"/>
        <w:spacing w:before="8"/>
      </w:pPr>
    </w:p>
    <w:tbl>
      <w:tblPr>
        <w:tblW w:w="0" w:type="auto"/>
        <w:jc w:val="left"/>
        <w:tblInd w:w="107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55"/>
        <w:gridCol w:w="1008"/>
        <w:gridCol w:w="1008"/>
        <w:gridCol w:w="1008"/>
        <w:gridCol w:w="952"/>
      </w:tblGrid>
      <w:tr>
        <w:trPr>
          <w:trHeight w:val="880" w:hRule="exact"/>
        </w:trPr>
        <w:tc>
          <w:tcPr>
            <w:tcW w:w="4955" w:type="dxa"/>
          </w:tcPr>
          <w:p>
            <w:pPr>
              <w:pStyle w:val="TableParagraph"/>
              <w:spacing w:before="77"/>
              <w:ind w:left="35"/>
              <w:rPr>
                <w:b/>
                <w:sz w:val="18"/>
              </w:rPr>
            </w:pPr>
            <w:r>
              <w:rPr>
                <w:b/>
                <w:sz w:val="18"/>
              </w:rPr>
              <w:t>Comparative figures and ratios for the reporting period</w:t>
            </w:r>
          </w:p>
        </w:tc>
        <w:tc>
          <w:tcPr>
            <w:tcW w:w="1008" w:type="dxa"/>
          </w:tcPr>
          <w:p>
            <w:pPr>
              <w:pStyle w:val="TableParagraph"/>
              <w:spacing w:before="7"/>
              <w:rPr>
                <w:sz w:val="24"/>
              </w:rPr>
            </w:pPr>
          </w:p>
          <w:p>
            <w:pPr>
              <w:pStyle w:val="TableParagraph"/>
              <w:spacing w:line="207" w:lineRule="exact"/>
              <w:ind w:left="258" w:right="284"/>
              <w:jc w:val="center"/>
              <w:rPr>
                <w:b/>
                <w:sz w:val="18"/>
              </w:rPr>
            </w:pPr>
            <w:r>
              <w:rPr>
                <w:b/>
                <w:sz w:val="18"/>
              </w:rPr>
              <w:t>2012</w:t>
            </w:r>
          </w:p>
          <w:p>
            <w:pPr>
              <w:pStyle w:val="TableParagraph"/>
              <w:spacing w:line="207" w:lineRule="exact"/>
              <w:ind w:right="27"/>
              <w:jc w:val="center"/>
              <w:rPr>
                <w:b/>
                <w:sz w:val="18"/>
              </w:rPr>
            </w:pPr>
            <w:r>
              <w:rPr>
                <w:b/>
                <w:w w:val="99"/>
                <w:sz w:val="18"/>
              </w:rPr>
              <w:t>$</w:t>
            </w:r>
          </w:p>
        </w:tc>
        <w:tc>
          <w:tcPr>
            <w:tcW w:w="1008" w:type="dxa"/>
          </w:tcPr>
          <w:p>
            <w:pPr>
              <w:pStyle w:val="TableParagraph"/>
              <w:spacing w:before="7"/>
              <w:rPr>
                <w:sz w:val="24"/>
              </w:rPr>
            </w:pPr>
          </w:p>
          <w:p>
            <w:pPr>
              <w:pStyle w:val="TableParagraph"/>
              <w:spacing w:line="207" w:lineRule="exact"/>
              <w:ind w:left="270" w:right="272"/>
              <w:jc w:val="center"/>
              <w:rPr>
                <w:b/>
                <w:sz w:val="18"/>
              </w:rPr>
            </w:pPr>
            <w:r>
              <w:rPr>
                <w:b/>
                <w:sz w:val="18"/>
              </w:rPr>
              <w:t>2012</w:t>
            </w:r>
          </w:p>
          <w:p>
            <w:pPr>
              <w:pStyle w:val="TableParagraph"/>
              <w:spacing w:line="207" w:lineRule="exact"/>
              <w:ind w:left="1"/>
              <w:jc w:val="center"/>
              <w:rPr>
                <w:b/>
                <w:sz w:val="18"/>
              </w:rPr>
            </w:pPr>
            <w:r>
              <w:rPr>
                <w:b/>
                <w:w w:val="99"/>
                <w:sz w:val="18"/>
              </w:rPr>
              <w:t>%</w:t>
            </w:r>
          </w:p>
        </w:tc>
        <w:tc>
          <w:tcPr>
            <w:tcW w:w="1008" w:type="dxa"/>
          </w:tcPr>
          <w:p>
            <w:pPr>
              <w:pStyle w:val="TableParagraph"/>
              <w:spacing w:before="7"/>
              <w:rPr>
                <w:sz w:val="24"/>
              </w:rPr>
            </w:pPr>
          </w:p>
          <w:p>
            <w:pPr>
              <w:pStyle w:val="TableParagraph"/>
              <w:spacing w:line="207" w:lineRule="exact"/>
              <w:ind w:left="270" w:right="272"/>
              <w:jc w:val="center"/>
              <w:rPr>
                <w:b/>
                <w:sz w:val="18"/>
              </w:rPr>
            </w:pPr>
            <w:r>
              <w:rPr>
                <w:b/>
                <w:sz w:val="18"/>
              </w:rPr>
              <w:t>2011</w:t>
            </w:r>
          </w:p>
          <w:p>
            <w:pPr>
              <w:pStyle w:val="TableParagraph"/>
              <w:spacing w:line="207" w:lineRule="exact"/>
              <w:ind w:right="3"/>
              <w:jc w:val="center"/>
              <w:rPr>
                <w:b/>
                <w:sz w:val="18"/>
              </w:rPr>
            </w:pPr>
            <w:r>
              <w:rPr>
                <w:b/>
                <w:w w:val="99"/>
                <w:sz w:val="18"/>
              </w:rPr>
              <w:t>$</w:t>
            </w:r>
          </w:p>
        </w:tc>
        <w:tc>
          <w:tcPr>
            <w:tcW w:w="952" w:type="dxa"/>
          </w:tcPr>
          <w:p>
            <w:pPr>
              <w:pStyle w:val="TableParagraph"/>
              <w:spacing w:before="7"/>
              <w:rPr>
                <w:sz w:val="24"/>
              </w:rPr>
            </w:pPr>
          </w:p>
          <w:p>
            <w:pPr>
              <w:pStyle w:val="TableParagraph"/>
              <w:spacing w:line="207" w:lineRule="exact"/>
              <w:ind w:left="281" w:right="230"/>
              <w:jc w:val="center"/>
              <w:rPr>
                <w:b/>
                <w:sz w:val="18"/>
              </w:rPr>
            </w:pPr>
            <w:r>
              <w:rPr>
                <w:b/>
                <w:sz w:val="18"/>
              </w:rPr>
              <w:t>2011</w:t>
            </w:r>
          </w:p>
          <w:p>
            <w:pPr>
              <w:pStyle w:val="TableParagraph"/>
              <w:spacing w:line="207" w:lineRule="exact"/>
              <w:ind w:left="57"/>
              <w:jc w:val="center"/>
              <w:rPr>
                <w:b/>
                <w:sz w:val="18"/>
              </w:rPr>
            </w:pPr>
            <w:r>
              <w:rPr>
                <w:b/>
                <w:w w:val="99"/>
                <w:sz w:val="18"/>
              </w:rPr>
              <w:t>%</w:t>
            </w:r>
          </w:p>
        </w:tc>
      </w:tr>
      <w:tr>
        <w:trPr>
          <w:trHeight w:val="406" w:hRule="exact"/>
        </w:trPr>
        <w:tc>
          <w:tcPr>
            <w:tcW w:w="4955" w:type="dxa"/>
          </w:tcPr>
          <w:p>
            <w:pPr>
              <w:pStyle w:val="TableParagraph"/>
              <w:spacing w:before="5"/>
              <w:rPr>
                <w:sz w:val="14"/>
              </w:rPr>
            </w:pPr>
          </w:p>
          <w:p>
            <w:pPr>
              <w:pStyle w:val="TableParagraph"/>
              <w:ind w:left="37"/>
              <w:rPr>
                <w:sz w:val="18"/>
              </w:rPr>
            </w:pPr>
            <w:r>
              <w:rPr>
                <w:sz w:val="18"/>
              </w:rPr>
              <w:t>(a) Total cost of fundraising /</w:t>
            </w:r>
          </w:p>
        </w:tc>
        <w:tc>
          <w:tcPr>
            <w:tcW w:w="1008" w:type="dxa"/>
            <w:tcBorders>
              <w:bottom w:val="single" w:sz="1" w:space="0" w:color="000000"/>
            </w:tcBorders>
          </w:tcPr>
          <w:p>
            <w:pPr>
              <w:pStyle w:val="TableParagraph"/>
              <w:spacing w:before="3"/>
              <w:rPr>
                <w:sz w:val="14"/>
              </w:rPr>
            </w:pPr>
          </w:p>
          <w:p>
            <w:pPr>
              <w:pStyle w:val="TableParagraph"/>
              <w:ind w:right="86"/>
              <w:jc w:val="right"/>
              <w:rPr>
                <w:sz w:val="18"/>
              </w:rPr>
            </w:pPr>
            <w:r>
              <w:rPr>
                <w:w w:val="99"/>
                <w:sz w:val="18"/>
              </w:rPr>
              <w:t>-</w:t>
            </w:r>
          </w:p>
        </w:tc>
        <w:tc>
          <w:tcPr>
            <w:tcW w:w="1008" w:type="dxa"/>
          </w:tcPr>
          <w:p>
            <w:pPr/>
          </w:p>
        </w:tc>
        <w:tc>
          <w:tcPr>
            <w:tcW w:w="1008" w:type="dxa"/>
            <w:tcBorders>
              <w:bottom w:val="single" w:sz="1" w:space="0" w:color="000000"/>
            </w:tcBorders>
          </w:tcPr>
          <w:p>
            <w:pPr>
              <w:pStyle w:val="TableParagraph"/>
              <w:spacing w:before="3"/>
              <w:rPr>
                <w:sz w:val="14"/>
              </w:rPr>
            </w:pPr>
          </w:p>
          <w:p>
            <w:pPr>
              <w:pStyle w:val="TableParagraph"/>
              <w:ind w:right="89"/>
              <w:jc w:val="right"/>
              <w:rPr>
                <w:sz w:val="18"/>
              </w:rPr>
            </w:pPr>
            <w:r>
              <w:rPr>
                <w:w w:val="99"/>
                <w:sz w:val="18"/>
              </w:rPr>
              <w:t>-</w:t>
            </w:r>
          </w:p>
        </w:tc>
        <w:tc>
          <w:tcPr>
            <w:tcW w:w="952" w:type="dxa"/>
          </w:tcPr>
          <w:p>
            <w:pPr/>
          </w:p>
        </w:tc>
      </w:tr>
      <w:tr>
        <w:trPr>
          <w:trHeight w:val="417" w:hRule="exact"/>
        </w:trPr>
        <w:tc>
          <w:tcPr>
            <w:tcW w:w="4955" w:type="dxa"/>
          </w:tcPr>
          <w:p>
            <w:pPr>
              <w:pStyle w:val="TableParagraph"/>
              <w:spacing w:before="43"/>
              <w:ind w:left="37"/>
              <w:rPr>
                <w:sz w:val="18"/>
              </w:rPr>
            </w:pPr>
            <w:r>
              <w:rPr>
                <w:sz w:val="18"/>
              </w:rPr>
              <w:t>Gross income from fundraising</w:t>
            </w:r>
          </w:p>
        </w:tc>
        <w:tc>
          <w:tcPr>
            <w:tcW w:w="1008" w:type="dxa"/>
            <w:tcBorders>
              <w:top w:val="single" w:sz="1" w:space="0" w:color="000000"/>
            </w:tcBorders>
          </w:tcPr>
          <w:p>
            <w:pPr>
              <w:pStyle w:val="TableParagraph"/>
              <w:spacing w:before="40"/>
              <w:ind w:right="87"/>
              <w:jc w:val="right"/>
              <w:rPr>
                <w:sz w:val="18"/>
              </w:rPr>
            </w:pPr>
            <w:r>
              <w:rPr>
                <w:w w:val="95"/>
                <w:sz w:val="18"/>
              </w:rPr>
              <w:t>3,172,576</w:t>
            </w:r>
          </w:p>
        </w:tc>
        <w:tc>
          <w:tcPr>
            <w:tcW w:w="1008" w:type="dxa"/>
          </w:tcPr>
          <w:p>
            <w:pPr/>
          </w:p>
        </w:tc>
        <w:tc>
          <w:tcPr>
            <w:tcW w:w="1008" w:type="dxa"/>
            <w:tcBorders>
              <w:top w:val="single" w:sz="1" w:space="0" w:color="000000"/>
            </w:tcBorders>
          </w:tcPr>
          <w:p>
            <w:pPr>
              <w:pStyle w:val="TableParagraph"/>
              <w:spacing w:before="40"/>
              <w:ind w:right="89"/>
              <w:jc w:val="right"/>
              <w:rPr>
                <w:sz w:val="18"/>
              </w:rPr>
            </w:pPr>
            <w:r>
              <w:rPr>
                <w:w w:val="95"/>
                <w:sz w:val="18"/>
              </w:rPr>
              <w:t>2,734,465</w:t>
            </w:r>
          </w:p>
        </w:tc>
        <w:tc>
          <w:tcPr>
            <w:tcW w:w="952" w:type="dxa"/>
          </w:tcPr>
          <w:p>
            <w:pPr>
              <w:pStyle w:val="TableParagraph"/>
              <w:spacing w:before="41"/>
              <w:ind w:right="33"/>
              <w:jc w:val="right"/>
              <w:rPr>
                <w:sz w:val="18"/>
              </w:rPr>
            </w:pPr>
            <w:r>
              <w:rPr>
                <w:w w:val="99"/>
                <w:sz w:val="18"/>
              </w:rPr>
              <w:t>-</w:t>
            </w:r>
          </w:p>
        </w:tc>
      </w:tr>
      <w:tr>
        <w:trPr>
          <w:trHeight w:val="389" w:hRule="exact"/>
        </w:trPr>
        <w:tc>
          <w:tcPr>
            <w:tcW w:w="4955" w:type="dxa"/>
          </w:tcPr>
          <w:p>
            <w:pPr>
              <w:pStyle w:val="TableParagraph"/>
              <w:spacing w:before="150"/>
              <w:ind w:left="37"/>
              <w:rPr>
                <w:sz w:val="18"/>
              </w:rPr>
            </w:pPr>
            <w:r>
              <w:rPr>
                <w:sz w:val="18"/>
              </w:rPr>
              <w:t>(b)Net surplus from fundraising /</w:t>
            </w:r>
          </w:p>
        </w:tc>
        <w:tc>
          <w:tcPr>
            <w:tcW w:w="1008" w:type="dxa"/>
            <w:tcBorders>
              <w:bottom w:val="single" w:sz="1" w:space="0" w:color="000000"/>
            </w:tcBorders>
          </w:tcPr>
          <w:p>
            <w:pPr>
              <w:pStyle w:val="TableParagraph"/>
              <w:spacing w:before="147"/>
              <w:ind w:right="87"/>
              <w:jc w:val="right"/>
              <w:rPr>
                <w:sz w:val="18"/>
              </w:rPr>
            </w:pPr>
            <w:r>
              <w:rPr>
                <w:w w:val="95"/>
                <w:sz w:val="18"/>
              </w:rPr>
              <w:t>3,172,576</w:t>
            </w:r>
          </w:p>
        </w:tc>
        <w:tc>
          <w:tcPr>
            <w:tcW w:w="1008" w:type="dxa"/>
          </w:tcPr>
          <w:p>
            <w:pPr/>
          </w:p>
        </w:tc>
        <w:tc>
          <w:tcPr>
            <w:tcW w:w="1008" w:type="dxa"/>
            <w:tcBorders>
              <w:bottom w:val="single" w:sz="1" w:space="0" w:color="000000"/>
            </w:tcBorders>
          </w:tcPr>
          <w:p>
            <w:pPr>
              <w:pStyle w:val="TableParagraph"/>
              <w:spacing w:before="147"/>
              <w:ind w:right="89"/>
              <w:jc w:val="right"/>
              <w:rPr>
                <w:sz w:val="18"/>
              </w:rPr>
            </w:pPr>
            <w:r>
              <w:rPr>
                <w:w w:val="95"/>
                <w:sz w:val="18"/>
              </w:rPr>
              <w:t>2,734,465</w:t>
            </w:r>
          </w:p>
        </w:tc>
        <w:tc>
          <w:tcPr>
            <w:tcW w:w="952" w:type="dxa"/>
          </w:tcPr>
          <w:p>
            <w:pPr/>
          </w:p>
        </w:tc>
      </w:tr>
      <w:tr>
        <w:trPr>
          <w:trHeight w:val="415" w:hRule="exact"/>
        </w:trPr>
        <w:tc>
          <w:tcPr>
            <w:tcW w:w="4955" w:type="dxa"/>
          </w:tcPr>
          <w:p>
            <w:pPr>
              <w:pStyle w:val="TableParagraph"/>
              <w:spacing w:before="43"/>
              <w:ind w:left="37"/>
              <w:rPr>
                <w:sz w:val="18"/>
              </w:rPr>
            </w:pPr>
            <w:r>
              <w:rPr>
                <w:sz w:val="18"/>
              </w:rPr>
              <w:t>Gross income from fundraising</w:t>
            </w:r>
          </w:p>
        </w:tc>
        <w:tc>
          <w:tcPr>
            <w:tcW w:w="1008" w:type="dxa"/>
            <w:tcBorders>
              <w:top w:val="single" w:sz="1" w:space="0" w:color="000000"/>
            </w:tcBorders>
          </w:tcPr>
          <w:p>
            <w:pPr>
              <w:pStyle w:val="TableParagraph"/>
              <w:spacing w:before="40"/>
              <w:ind w:right="87"/>
              <w:jc w:val="right"/>
              <w:rPr>
                <w:sz w:val="18"/>
              </w:rPr>
            </w:pPr>
            <w:r>
              <w:rPr>
                <w:w w:val="95"/>
                <w:sz w:val="18"/>
              </w:rPr>
              <w:t>3,172,576</w:t>
            </w:r>
          </w:p>
        </w:tc>
        <w:tc>
          <w:tcPr>
            <w:tcW w:w="1008" w:type="dxa"/>
          </w:tcPr>
          <w:p>
            <w:pPr>
              <w:pStyle w:val="TableParagraph"/>
              <w:spacing w:before="41"/>
              <w:ind w:right="89"/>
              <w:jc w:val="right"/>
              <w:rPr>
                <w:sz w:val="18"/>
              </w:rPr>
            </w:pPr>
            <w:r>
              <w:rPr>
                <w:w w:val="95"/>
                <w:sz w:val="18"/>
              </w:rPr>
              <w:t>100.00</w:t>
            </w:r>
          </w:p>
        </w:tc>
        <w:tc>
          <w:tcPr>
            <w:tcW w:w="1008" w:type="dxa"/>
            <w:tcBorders>
              <w:top w:val="single" w:sz="1" w:space="0" w:color="000000"/>
            </w:tcBorders>
          </w:tcPr>
          <w:p>
            <w:pPr>
              <w:pStyle w:val="TableParagraph"/>
              <w:spacing w:before="40"/>
              <w:ind w:right="89"/>
              <w:jc w:val="right"/>
              <w:rPr>
                <w:sz w:val="18"/>
              </w:rPr>
            </w:pPr>
            <w:r>
              <w:rPr>
                <w:w w:val="95"/>
                <w:sz w:val="18"/>
              </w:rPr>
              <w:t>2,734,465</w:t>
            </w:r>
          </w:p>
        </w:tc>
        <w:tc>
          <w:tcPr>
            <w:tcW w:w="952" w:type="dxa"/>
          </w:tcPr>
          <w:p>
            <w:pPr>
              <w:pStyle w:val="TableParagraph"/>
              <w:spacing w:before="41"/>
              <w:ind w:right="33"/>
              <w:jc w:val="right"/>
              <w:rPr>
                <w:sz w:val="18"/>
              </w:rPr>
            </w:pPr>
            <w:r>
              <w:rPr>
                <w:w w:val="95"/>
                <w:sz w:val="18"/>
              </w:rPr>
              <w:t>100.00</w:t>
            </w:r>
          </w:p>
        </w:tc>
      </w:tr>
      <w:tr>
        <w:trPr>
          <w:trHeight w:val="411" w:hRule="exact"/>
        </w:trPr>
        <w:tc>
          <w:tcPr>
            <w:tcW w:w="4955" w:type="dxa"/>
          </w:tcPr>
          <w:p>
            <w:pPr>
              <w:pStyle w:val="TableParagraph"/>
              <w:spacing w:before="153"/>
              <w:ind w:left="37"/>
              <w:rPr>
                <w:sz w:val="13"/>
              </w:rPr>
            </w:pPr>
            <w:r>
              <w:rPr>
                <w:sz w:val="18"/>
              </w:rPr>
              <w:t>(c) Total cost of services provided / </w:t>
            </w:r>
            <w:r>
              <w:rPr>
                <w:position w:val="6"/>
                <w:sz w:val="13"/>
              </w:rPr>
              <w:t>1</w:t>
            </w:r>
          </w:p>
        </w:tc>
        <w:tc>
          <w:tcPr>
            <w:tcW w:w="1008" w:type="dxa"/>
            <w:tcBorders>
              <w:bottom w:val="single" w:sz="1" w:space="0" w:color="000000"/>
            </w:tcBorders>
          </w:tcPr>
          <w:p>
            <w:pPr>
              <w:pStyle w:val="TableParagraph"/>
              <w:spacing w:before="7"/>
              <w:rPr>
                <w:sz w:val="14"/>
              </w:rPr>
            </w:pPr>
          </w:p>
          <w:p>
            <w:pPr>
              <w:pStyle w:val="TableParagraph"/>
              <w:ind w:right="88"/>
              <w:jc w:val="right"/>
              <w:rPr>
                <w:sz w:val="18"/>
              </w:rPr>
            </w:pPr>
            <w:r>
              <w:rPr>
                <w:w w:val="95"/>
                <w:sz w:val="18"/>
              </w:rPr>
              <w:t>851,608</w:t>
            </w:r>
          </w:p>
        </w:tc>
        <w:tc>
          <w:tcPr>
            <w:tcW w:w="1008" w:type="dxa"/>
          </w:tcPr>
          <w:p>
            <w:pPr/>
          </w:p>
        </w:tc>
        <w:tc>
          <w:tcPr>
            <w:tcW w:w="1008" w:type="dxa"/>
            <w:tcBorders>
              <w:bottom w:val="single" w:sz="1" w:space="0" w:color="000000"/>
            </w:tcBorders>
          </w:tcPr>
          <w:p>
            <w:pPr>
              <w:pStyle w:val="TableParagraph"/>
              <w:spacing w:before="7"/>
              <w:rPr>
                <w:sz w:val="14"/>
              </w:rPr>
            </w:pPr>
          </w:p>
          <w:p>
            <w:pPr>
              <w:pStyle w:val="TableParagraph"/>
              <w:ind w:right="89"/>
              <w:jc w:val="right"/>
              <w:rPr>
                <w:sz w:val="18"/>
              </w:rPr>
            </w:pPr>
            <w:r>
              <w:rPr>
                <w:w w:val="95"/>
                <w:sz w:val="18"/>
              </w:rPr>
              <w:t>1,718,548</w:t>
            </w:r>
          </w:p>
        </w:tc>
        <w:tc>
          <w:tcPr>
            <w:tcW w:w="952" w:type="dxa"/>
          </w:tcPr>
          <w:p>
            <w:pPr/>
          </w:p>
        </w:tc>
      </w:tr>
      <w:tr>
        <w:trPr>
          <w:trHeight w:val="415" w:hRule="exact"/>
        </w:trPr>
        <w:tc>
          <w:tcPr>
            <w:tcW w:w="4955" w:type="dxa"/>
          </w:tcPr>
          <w:p>
            <w:pPr>
              <w:pStyle w:val="TableParagraph"/>
              <w:spacing w:before="43"/>
              <w:ind w:left="37"/>
              <w:rPr>
                <w:sz w:val="18"/>
              </w:rPr>
            </w:pPr>
            <w:r>
              <w:rPr>
                <w:sz w:val="18"/>
              </w:rPr>
              <w:t>Total expenditure</w:t>
            </w:r>
          </w:p>
        </w:tc>
        <w:tc>
          <w:tcPr>
            <w:tcW w:w="1008" w:type="dxa"/>
            <w:tcBorders>
              <w:top w:val="single" w:sz="1" w:space="0" w:color="000000"/>
            </w:tcBorders>
          </w:tcPr>
          <w:p>
            <w:pPr>
              <w:pStyle w:val="TableParagraph"/>
              <w:spacing w:before="40"/>
              <w:ind w:right="88"/>
              <w:jc w:val="right"/>
              <w:rPr>
                <w:sz w:val="18"/>
              </w:rPr>
            </w:pPr>
            <w:r>
              <w:rPr>
                <w:w w:val="95"/>
                <w:sz w:val="18"/>
              </w:rPr>
              <w:t>854,608</w:t>
            </w:r>
          </w:p>
        </w:tc>
        <w:tc>
          <w:tcPr>
            <w:tcW w:w="1008" w:type="dxa"/>
          </w:tcPr>
          <w:p>
            <w:pPr>
              <w:pStyle w:val="TableParagraph"/>
              <w:spacing w:before="41"/>
              <w:ind w:right="89"/>
              <w:jc w:val="right"/>
              <w:rPr>
                <w:sz w:val="18"/>
              </w:rPr>
            </w:pPr>
            <w:r>
              <w:rPr>
                <w:w w:val="95"/>
                <w:sz w:val="18"/>
              </w:rPr>
              <w:t>99.65</w:t>
            </w:r>
          </w:p>
        </w:tc>
        <w:tc>
          <w:tcPr>
            <w:tcW w:w="1008" w:type="dxa"/>
            <w:tcBorders>
              <w:top w:val="single" w:sz="1" w:space="0" w:color="000000"/>
            </w:tcBorders>
          </w:tcPr>
          <w:p>
            <w:pPr>
              <w:pStyle w:val="TableParagraph"/>
              <w:spacing w:before="40"/>
              <w:ind w:right="89"/>
              <w:jc w:val="right"/>
              <w:rPr>
                <w:sz w:val="18"/>
              </w:rPr>
            </w:pPr>
            <w:r>
              <w:rPr>
                <w:w w:val="95"/>
                <w:sz w:val="18"/>
              </w:rPr>
              <w:t>1,760,825</w:t>
            </w:r>
          </w:p>
        </w:tc>
        <w:tc>
          <w:tcPr>
            <w:tcW w:w="952" w:type="dxa"/>
          </w:tcPr>
          <w:p>
            <w:pPr>
              <w:pStyle w:val="TableParagraph"/>
              <w:spacing w:before="41"/>
              <w:ind w:right="33"/>
              <w:jc w:val="right"/>
              <w:rPr>
                <w:sz w:val="18"/>
              </w:rPr>
            </w:pPr>
            <w:r>
              <w:rPr>
                <w:w w:val="95"/>
                <w:sz w:val="18"/>
              </w:rPr>
              <w:t>97.60</w:t>
            </w:r>
          </w:p>
        </w:tc>
      </w:tr>
      <w:tr>
        <w:trPr>
          <w:trHeight w:val="411" w:hRule="exact"/>
        </w:trPr>
        <w:tc>
          <w:tcPr>
            <w:tcW w:w="4955" w:type="dxa"/>
          </w:tcPr>
          <w:p>
            <w:pPr>
              <w:pStyle w:val="TableParagraph"/>
              <w:spacing w:before="153"/>
              <w:ind w:left="37"/>
              <w:rPr>
                <w:sz w:val="13"/>
              </w:rPr>
            </w:pPr>
            <w:r>
              <w:rPr>
                <w:sz w:val="18"/>
              </w:rPr>
              <w:t>Total cost of services provided / </w:t>
            </w:r>
            <w:r>
              <w:rPr>
                <w:position w:val="6"/>
                <w:sz w:val="13"/>
              </w:rPr>
              <w:t>1</w:t>
            </w:r>
          </w:p>
        </w:tc>
        <w:tc>
          <w:tcPr>
            <w:tcW w:w="1008" w:type="dxa"/>
            <w:tcBorders>
              <w:bottom w:val="single" w:sz="1" w:space="0" w:color="000000"/>
            </w:tcBorders>
          </w:tcPr>
          <w:p>
            <w:pPr>
              <w:pStyle w:val="TableParagraph"/>
              <w:spacing w:before="7"/>
              <w:rPr>
                <w:sz w:val="14"/>
              </w:rPr>
            </w:pPr>
          </w:p>
          <w:p>
            <w:pPr>
              <w:pStyle w:val="TableParagraph"/>
              <w:ind w:right="88"/>
              <w:jc w:val="right"/>
              <w:rPr>
                <w:sz w:val="18"/>
              </w:rPr>
            </w:pPr>
            <w:r>
              <w:rPr>
                <w:w w:val="95"/>
                <w:sz w:val="18"/>
              </w:rPr>
              <w:t>851,608</w:t>
            </w:r>
          </w:p>
        </w:tc>
        <w:tc>
          <w:tcPr>
            <w:tcW w:w="1008" w:type="dxa"/>
          </w:tcPr>
          <w:p>
            <w:pPr/>
          </w:p>
        </w:tc>
        <w:tc>
          <w:tcPr>
            <w:tcW w:w="1008" w:type="dxa"/>
            <w:tcBorders>
              <w:bottom w:val="single" w:sz="1" w:space="0" w:color="000000"/>
            </w:tcBorders>
          </w:tcPr>
          <w:p>
            <w:pPr>
              <w:pStyle w:val="TableParagraph"/>
              <w:spacing w:before="7"/>
              <w:rPr>
                <w:sz w:val="14"/>
              </w:rPr>
            </w:pPr>
          </w:p>
          <w:p>
            <w:pPr>
              <w:pStyle w:val="TableParagraph"/>
              <w:ind w:right="89"/>
              <w:jc w:val="right"/>
              <w:rPr>
                <w:sz w:val="18"/>
              </w:rPr>
            </w:pPr>
            <w:r>
              <w:rPr>
                <w:w w:val="95"/>
                <w:sz w:val="18"/>
              </w:rPr>
              <w:t>1,718,548</w:t>
            </w:r>
          </w:p>
        </w:tc>
        <w:tc>
          <w:tcPr>
            <w:tcW w:w="952" w:type="dxa"/>
          </w:tcPr>
          <w:p>
            <w:pPr/>
          </w:p>
        </w:tc>
      </w:tr>
      <w:tr>
        <w:trPr>
          <w:trHeight w:val="347" w:hRule="exact"/>
        </w:trPr>
        <w:tc>
          <w:tcPr>
            <w:tcW w:w="4955" w:type="dxa"/>
          </w:tcPr>
          <w:p>
            <w:pPr>
              <w:pStyle w:val="TableParagraph"/>
              <w:spacing w:before="43"/>
              <w:ind w:left="37"/>
              <w:rPr>
                <w:sz w:val="18"/>
              </w:rPr>
            </w:pPr>
            <w:r>
              <w:rPr>
                <w:sz w:val="18"/>
              </w:rPr>
              <w:t>Total income received</w:t>
            </w:r>
          </w:p>
        </w:tc>
        <w:tc>
          <w:tcPr>
            <w:tcW w:w="1008" w:type="dxa"/>
            <w:tcBorders>
              <w:top w:val="single" w:sz="1" w:space="0" w:color="000000"/>
            </w:tcBorders>
          </w:tcPr>
          <w:p>
            <w:pPr>
              <w:pStyle w:val="TableParagraph"/>
              <w:spacing w:before="40"/>
              <w:ind w:right="87"/>
              <w:jc w:val="right"/>
              <w:rPr>
                <w:sz w:val="18"/>
              </w:rPr>
            </w:pPr>
            <w:r>
              <w:rPr>
                <w:w w:val="95"/>
                <w:sz w:val="18"/>
              </w:rPr>
              <w:t>3,172,576</w:t>
            </w:r>
          </w:p>
        </w:tc>
        <w:tc>
          <w:tcPr>
            <w:tcW w:w="1008" w:type="dxa"/>
          </w:tcPr>
          <w:p>
            <w:pPr>
              <w:pStyle w:val="TableParagraph"/>
              <w:spacing w:before="41"/>
              <w:ind w:right="89"/>
              <w:jc w:val="right"/>
              <w:rPr>
                <w:sz w:val="18"/>
              </w:rPr>
            </w:pPr>
            <w:r>
              <w:rPr>
                <w:w w:val="95"/>
                <w:sz w:val="18"/>
              </w:rPr>
              <w:t>26.84</w:t>
            </w:r>
          </w:p>
        </w:tc>
        <w:tc>
          <w:tcPr>
            <w:tcW w:w="1008" w:type="dxa"/>
            <w:tcBorders>
              <w:top w:val="single" w:sz="1" w:space="0" w:color="000000"/>
            </w:tcBorders>
          </w:tcPr>
          <w:p>
            <w:pPr>
              <w:pStyle w:val="TableParagraph"/>
              <w:spacing w:before="40"/>
              <w:ind w:right="89"/>
              <w:jc w:val="right"/>
              <w:rPr>
                <w:sz w:val="18"/>
              </w:rPr>
            </w:pPr>
            <w:r>
              <w:rPr>
                <w:w w:val="95"/>
                <w:sz w:val="18"/>
              </w:rPr>
              <w:t>2,734,465</w:t>
            </w:r>
          </w:p>
        </w:tc>
        <w:tc>
          <w:tcPr>
            <w:tcW w:w="952" w:type="dxa"/>
          </w:tcPr>
          <w:p>
            <w:pPr>
              <w:pStyle w:val="TableParagraph"/>
              <w:spacing w:before="41"/>
              <w:ind w:right="33"/>
              <w:jc w:val="right"/>
              <w:rPr>
                <w:sz w:val="18"/>
              </w:rPr>
            </w:pPr>
            <w:r>
              <w:rPr>
                <w:w w:val="95"/>
                <w:sz w:val="18"/>
              </w:rPr>
              <w:t>62.85</w:t>
            </w:r>
          </w:p>
        </w:tc>
      </w:tr>
    </w:tbl>
    <w:p>
      <w:pPr>
        <w:pStyle w:val="BodyText"/>
        <w:rPr>
          <w:sz w:val="12"/>
        </w:rPr>
      </w:pPr>
    </w:p>
    <w:p>
      <w:pPr>
        <w:pStyle w:val="BodyText"/>
        <w:spacing w:before="86"/>
        <w:ind w:left="1127" w:right="246"/>
        <w:jc w:val="center"/>
      </w:pPr>
      <w:r>
        <w:rPr>
          <w:position w:val="6"/>
          <w:sz w:val="13"/>
        </w:rPr>
        <w:t>1</w:t>
      </w:r>
      <w:r>
        <w:rPr/>
        <w:t>Total cost of services provided represents total Foundation contributions to the University of Western Sydney.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9"/>
        <w:spacing w:before="131"/>
        <w:ind w:left="1127" w:right="135"/>
        <w:jc w:val="center"/>
      </w:pPr>
      <w:r>
        <w:rPr/>
        <w:t>END OF AUDITED FINANCIAL STATEMENTS</w:t>
      </w:r>
    </w:p>
    <w:p>
      <w:pPr>
        <w:spacing w:after="0"/>
        <w:jc w:val="center"/>
        <w:sectPr>
          <w:pgSz w:w="11910" w:h="16840"/>
          <w:pgMar w:header="1037" w:footer="526" w:top="1460" w:bottom="700" w:left="860" w:right="860"/>
        </w:sectPr>
      </w:pPr>
    </w:p>
    <w:p>
      <w:pPr>
        <w:pStyle w:val="Heading6"/>
        <w:spacing w:before="47"/>
        <w:ind w:right="857"/>
      </w:pPr>
      <w:r>
        <w:rPr/>
        <w:t>University of Western Sydney Foundation Trust</w:t>
      </w:r>
    </w:p>
    <w:p>
      <w:pPr>
        <w:spacing w:before="55"/>
        <w:ind w:left="107" w:right="857" w:firstLine="0"/>
        <w:jc w:val="left"/>
        <w:rPr>
          <w:b/>
          <w:sz w:val="14"/>
        </w:rPr>
      </w:pPr>
      <w:r>
        <w:rPr>
          <w:b/>
          <w:sz w:val="14"/>
        </w:rPr>
        <w:t>ABN: 13 921 771 681</w:t>
      </w:r>
    </w:p>
    <w:p>
      <w:pPr>
        <w:pStyle w:val="BodyText"/>
        <w:rPr>
          <w:b/>
          <w:sz w:val="14"/>
        </w:rPr>
      </w:pPr>
    </w:p>
    <w:p>
      <w:pPr>
        <w:pStyle w:val="BodyText"/>
        <w:spacing w:before="7"/>
        <w:rPr>
          <w:b/>
          <w:sz w:val="15"/>
        </w:rPr>
      </w:pPr>
    </w:p>
    <w:p>
      <w:pPr>
        <w:pStyle w:val="Heading3"/>
        <w:spacing w:before="1"/>
        <w:ind w:right="857"/>
      </w:pPr>
      <w:r>
        <w:rPr/>
        <w:t>Trustees' declaration</w:t>
      </w:r>
    </w:p>
    <w:p>
      <w:pPr>
        <w:pStyle w:val="BodyText"/>
        <w:rPr>
          <w:b/>
          <w:sz w:val="25"/>
        </w:rPr>
      </w:pPr>
    </w:p>
    <w:p>
      <w:pPr>
        <w:pStyle w:val="BodyText"/>
        <w:ind w:left="107" w:right="857"/>
      </w:pPr>
      <w:r>
        <w:rPr/>
        <w:t>In the Trustees' opinion:</w:t>
      </w:r>
    </w:p>
    <w:p>
      <w:pPr>
        <w:pStyle w:val="BodyText"/>
        <w:spacing w:before="10"/>
        <w:rPr>
          <w:sz w:val="17"/>
        </w:rPr>
      </w:pPr>
    </w:p>
    <w:p>
      <w:pPr>
        <w:pStyle w:val="ListParagraph"/>
        <w:numPr>
          <w:ilvl w:val="0"/>
          <w:numId w:val="76"/>
        </w:numPr>
        <w:tabs>
          <w:tab w:pos="504" w:val="left" w:leader="none"/>
        </w:tabs>
        <w:spacing w:line="240" w:lineRule="auto" w:before="0" w:after="0"/>
        <w:ind w:left="504" w:right="0" w:hanging="396"/>
        <w:jc w:val="left"/>
        <w:rPr>
          <w:sz w:val="18"/>
        </w:rPr>
      </w:pPr>
      <w:r>
        <w:rPr>
          <w:sz w:val="18"/>
        </w:rPr>
        <w:t>The financial statements and</w:t>
      </w:r>
      <w:r>
        <w:rPr>
          <w:spacing w:val="-10"/>
          <w:sz w:val="18"/>
        </w:rPr>
        <w:t> </w:t>
      </w:r>
      <w:r>
        <w:rPr>
          <w:sz w:val="18"/>
        </w:rPr>
        <w:t>notes:</w:t>
      </w:r>
    </w:p>
    <w:p>
      <w:pPr>
        <w:pStyle w:val="BodyText"/>
        <w:spacing w:before="9"/>
        <w:rPr>
          <w:sz w:val="24"/>
        </w:rPr>
      </w:pPr>
    </w:p>
    <w:p>
      <w:pPr>
        <w:pStyle w:val="ListParagraph"/>
        <w:numPr>
          <w:ilvl w:val="1"/>
          <w:numId w:val="76"/>
        </w:numPr>
        <w:tabs>
          <w:tab w:pos="900" w:val="left" w:leader="none"/>
        </w:tabs>
        <w:spacing w:line="240" w:lineRule="auto" w:before="0" w:after="0"/>
        <w:ind w:left="900" w:right="0" w:hanging="396"/>
        <w:jc w:val="left"/>
        <w:rPr>
          <w:i/>
          <w:sz w:val="18"/>
        </w:rPr>
      </w:pPr>
      <w:r>
        <w:rPr>
          <w:sz w:val="18"/>
        </w:rPr>
        <w:t>comply with Australian Accounting Standards and other interpretations,  the </w:t>
      </w:r>
      <w:r>
        <w:rPr>
          <w:i/>
          <w:sz w:val="18"/>
        </w:rPr>
        <w:t>Public Finance and Audit Act</w:t>
      </w:r>
      <w:r>
        <w:rPr>
          <w:i/>
          <w:spacing w:val="11"/>
          <w:sz w:val="18"/>
        </w:rPr>
        <w:t> </w:t>
      </w:r>
      <w:r>
        <w:rPr>
          <w:i/>
          <w:sz w:val="18"/>
        </w:rPr>
        <w:t>1983</w:t>
      </w:r>
    </w:p>
    <w:p>
      <w:pPr>
        <w:spacing w:before="2"/>
        <w:ind w:left="887" w:right="1486" w:firstLine="0"/>
        <w:jc w:val="center"/>
        <w:rPr>
          <w:sz w:val="18"/>
        </w:rPr>
      </w:pPr>
      <w:r>
        <w:rPr>
          <w:sz w:val="18"/>
        </w:rPr>
        <w:t>the </w:t>
      </w:r>
      <w:r>
        <w:rPr>
          <w:i/>
          <w:sz w:val="18"/>
        </w:rPr>
        <w:t>Public Finance and Audit Regulation 2010 </w:t>
      </w:r>
      <w:r>
        <w:rPr>
          <w:sz w:val="18"/>
        </w:rPr>
        <w:t>and other mandatory professional reporting requirements; and</w:t>
      </w:r>
    </w:p>
    <w:p>
      <w:pPr>
        <w:pStyle w:val="BodyText"/>
        <w:spacing w:before="2"/>
        <w:rPr>
          <w:sz w:val="25"/>
        </w:rPr>
      </w:pPr>
    </w:p>
    <w:p>
      <w:pPr>
        <w:pStyle w:val="ListParagraph"/>
        <w:numPr>
          <w:ilvl w:val="1"/>
          <w:numId w:val="76"/>
        </w:numPr>
        <w:tabs>
          <w:tab w:pos="900" w:val="left" w:leader="none"/>
        </w:tabs>
        <w:spacing w:line="240" w:lineRule="auto" w:before="0" w:after="0"/>
        <w:ind w:left="900" w:right="1469" w:hanging="396"/>
        <w:jc w:val="left"/>
        <w:rPr>
          <w:sz w:val="18"/>
        </w:rPr>
      </w:pPr>
      <w:r>
        <w:rPr>
          <w:sz w:val="18"/>
        </w:rPr>
        <w:t>give a true and fair view of the financial position as at 31 December 2012 and of the performance for the year ended on that date of the</w:t>
      </w:r>
      <w:r>
        <w:rPr>
          <w:spacing w:val="-14"/>
          <w:sz w:val="18"/>
        </w:rPr>
        <w:t> </w:t>
      </w:r>
      <w:r>
        <w:rPr>
          <w:sz w:val="18"/>
        </w:rPr>
        <w:t>Trust.</w:t>
      </w:r>
    </w:p>
    <w:p>
      <w:pPr>
        <w:pStyle w:val="BodyText"/>
        <w:spacing w:before="10"/>
        <w:rPr>
          <w:sz w:val="17"/>
        </w:rPr>
      </w:pPr>
    </w:p>
    <w:p>
      <w:pPr>
        <w:pStyle w:val="ListParagraph"/>
        <w:numPr>
          <w:ilvl w:val="0"/>
          <w:numId w:val="76"/>
        </w:numPr>
        <w:tabs>
          <w:tab w:pos="504" w:val="left" w:leader="none"/>
        </w:tabs>
        <w:spacing w:line="240" w:lineRule="auto" w:before="0" w:after="0"/>
        <w:ind w:left="504" w:right="1134" w:hanging="396"/>
        <w:jc w:val="left"/>
        <w:rPr>
          <w:sz w:val="18"/>
        </w:rPr>
      </w:pPr>
      <w:r>
        <w:rPr>
          <w:sz w:val="18"/>
        </w:rPr>
        <w:t>There are reasonable grounds to believe that the Trust will be able to pay its debts as and when they become due and payable.</w:t>
      </w:r>
    </w:p>
    <w:p>
      <w:pPr>
        <w:pStyle w:val="BodyText"/>
        <w:spacing w:before="6"/>
        <w:rPr>
          <w:sz w:val="24"/>
        </w:rPr>
      </w:pPr>
    </w:p>
    <w:p>
      <w:pPr>
        <w:pStyle w:val="BodyText"/>
        <w:ind w:left="107" w:right="857"/>
      </w:pPr>
      <w:r>
        <w:rPr/>
        <w:drawing>
          <wp:anchor distT="0" distB="0" distL="0" distR="0" allowOverlap="1" layoutInCell="1" locked="0" behindDoc="0" simplePos="0" relativeHeight="5008">
            <wp:simplePos x="0" y="0"/>
            <wp:positionH relativeFrom="page">
              <wp:posOffset>644222</wp:posOffset>
            </wp:positionH>
            <wp:positionV relativeFrom="paragraph">
              <wp:posOffset>697764</wp:posOffset>
            </wp:positionV>
            <wp:extent cx="6945144" cy="2278377"/>
            <wp:effectExtent l="0" t="0" r="0" b="0"/>
            <wp:wrapNone/>
            <wp:docPr id="69" name="image62.png" descr=""/>
            <wp:cNvGraphicFramePr>
              <a:graphicFrameLocks noChangeAspect="1"/>
            </wp:cNvGraphicFramePr>
            <a:graphic>
              <a:graphicData uri="http://schemas.openxmlformats.org/drawingml/2006/picture">
                <pic:pic>
                  <pic:nvPicPr>
                    <pic:cNvPr id="70" name="image62.png"/>
                    <pic:cNvPicPr/>
                  </pic:nvPicPr>
                  <pic:blipFill>
                    <a:blip r:embed="rId167" cstate="print"/>
                    <a:stretch>
                      <a:fillRect/>
                    </a:stretch>
                  </pic:blipFill>
                  <pic:spPr>
                    <a:xfrm>
                      <a:off x="0" y="0"/>
                      <a:ext cx="6945144" cy="2278377"/>
                    </a:xfrm>
                    <a:prstGeom prst="rect">
                      <a:avLst/>
                    </a:prstGeom>
                  </pic:spPr>
                </pic:pic>
              </a:graphicData>
            </a:graphic>
          </wp:anchor>
        </w:drawing>
      </w:r>
      <w:r>
        <w:rPr/>
        <w:t>This declaration is made in accordance with a resolution of the Trustee Company, the University of Western Sydney Foundation Limited.</w:t>
      </w:r>
    </w:p>
    <w:p>
      <w:pPr>
        <w:spacing w:after="0"/>
        <w:sectPr>
          <w:headerReference w:type="default" r:id="rId165"/>
          <w:footerReference w:type="default" r:id="rId166"/>
          <w:pgSz w:w="11960" w:h="16850"/>
          <w:pgMar w:header="0" w:footer="507" w:top="660" w:bottom="700" w:left="90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pStyle w:val="Heading7"/>
      </w:pPr>
      <w:r>
        <w:rPr/>
        <w:t>This page is intentionally blank</w:t>
      </w:r>
    </w:p>
    <w:p>
      <w:pPr>
        <w:spacing w:after="0"/>
        <w:sectPr>
          <w:headerReference w:type="default" r:id="rId168"/>
          <w:footerReference w:type="default" r:id="rId169"/>
          <w:pgSz w:w="11910" w:h="16840"/>
          <w:pgMar w:header="0" w:footer="507" w:top="1580" w:bottom="700" w:left="1680" w:right="1680"/>
          <w:pgNumType w:start="16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9"/>
        <w:rPr>
          <w:rFonts w:ascii="Calibri"/>
          <w:sz w:val="26"/>
        </w:rPr>
      </w:pPr>
    </w:p>
    <w:p>
      <w:pPr>
        <w:pStyle w:val="Heading1"/>
        <w:spacing w:line="644" w:lineRule="exact"/>
        <w:ind w:right="93"/>
      </w:pPr>
      <w:r>
        <w:rPr/>
        <w:t>UWS College Pty Limited</w:t>
      </w:r>
    </w:p>
    <w:p>
      <w:pPr>
        <w:spacing w:before="0"/>
        <w:ind w:left="107" w:right="93" w:firstLine="0"/>
        <w:jc w:val="left"/>
        <w:rPr>
          <w:b/>
          <w:sz w:val="20"/>
        </w:rPr>
      </w:pPr>
      <w:r>
        <w:rPr>
          <w:b/>
          <w:sz w:val="20"/>
        </w:rPr>
        <w:t>ABN: 44 003 474 468</w:t>
      </w:r>
    </w:p>
    <w:p>
      <w:pPr>
        <w:pStyle w:val="BodyText"/>
        <w:spacing w:before="10"/>
        <w:rPr>
          <w:b/>
          <w:sz w:val="27"/>
        </w:rPr>
      </w:pPr>
    </w:p>
    <w:p>
      <w:pPr>
        <w:spacing w:before="1"/>
        <w:ind w:left="107" w:right="93" w:firstLine="0"/>
        <w:jc w:val="left"/>
        <w:rPr>
          <w:b/>
          <w:sz w:val="28"/>
        </w:rPr>
      </w:pPr>
      <w:r>
        <w:rPr>
          <w:b/>
          <w:sz w:val="28"/>
        </w:rPr>
        <w:t>Financial Statements</w:t>
      </w:r>
    </w:p>
    <w:p>
      <w:pPr>
        <w:spacing w:before="230"/>
        <w:ind w:left="107" w:right="93" w:firstLine="0"/>
        <w:jc w:val="left"/>
        <w:rPr>
          <w:b/>
          <w:sz w:val="20"/>
        </w:rPr>
      </w:pPr>
      <w:r>
        <w:rPr>
          <w:b/>
          <w:sz w:val="20"/>
        </w:rPr>
        <w:t>For the Year Ended 31 December 2012</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8"/>
        <w:spacing w:before="146"/>
        <w:ind w:right="93"/>
        <w:jc w:val="left"/>
      </w:pPr>
      <w:r>
        <w:rPr/>
        <w:t>These financial statements are of UWS College Pty Limited as an individual entity. The financial statements are presented in the Australian currency.</w:t>
      </w:r>
    </w:p>
    <w:p>
      <w:pPr>
        <w:spacing w:before="169"/>
        <w:ind w:left="107" w:right="93" w:firstLine="0"/>
        <w:jc w:val="left"/>
        <w:rPr>
          <w:sz w:val="20"/>
        </w:rPr>
      </w:pPr>
      <w:r>
        <w:rPr>
          <w:sz w:val="20"/>
        </w:rPr>
        <w:t>UWS College Pty Limited is a company limited by shares, incorporated and domiciled in Australia. Its registered office and principal place of business is:</w:t>
      </w:r>
    </w:p>
    <w:p>
      <w:pPr>
        <w:spacing w:before="169"/>
        <w:ind w:left="107" w:right="93" w:firstLine="0"/>
        <w:jc w:val="left"/>
        <w:rPr>
          <w:sz w:val="20"/>
        </w:rPr>
      </w:pPr>
      <w:r>
        <w:rPr>
          <w:sz w:val="20"/>
        </w:rPr>
        <w:t>158 - 160 Hawkesbury Road</w:t>
      </w:r>
    </w:p>
    <w:p>
      <w:pPr>
        <w:spacing w:before="169"/>
        <w:ind w:left="107" w:right="93" w:firstLine="0"/>
        <w:jc w:val="left"/>
        <w:rPr>
          <w:sz w:val="20"/>
        </w:rPr>
      </w:pPr>
      <w:r>
        <w:rPr>
          <w:sz w:val="20"/>
        </w:rPr>
        <w:t>Westmead  NSW  2145.</w:t>
      </w:r>
    </w:p>
    <w:p>
      <w:pPr>
        <w:spacing w:before="169"/>
        <w:ind w:left="107" w:right="93" w:firstLine="0"/>
        <w:jc w:val="left"/>
        <w:rPr>
          <w:sz w:val="20"/>
        </w:rPr>
      </w:pPr>
      <w:r>
        <w:rPr>
          <w:sz w:val="20"/>
        </w:rPr>
        <w:t>A description of the nature of the Company's operations and its principal activities is included in the directors' report which is not part of these financial statements.</w:t>
      </w:r>
    </w:p>
    <w:p>
      <w:pPr>
        <w:spacing w:before="169"/>
        <w:ind w:left="107" w:right="93" w:firstLine="0"/>
        <w:jc w:val="left"/>
        <w:rPr>
          <w:sz w:val="20"/>
        </w:rPr>
      </w:pPr>
      <w:r>
        <w:rPr>
          <w:sz w:val="20"/>
        </w:rPr>
        <w:t>The financial statements were authorised for issue by the directors on 4th April 2013. The directors have the power to amend and reissue the financial statements.</w:t>
      </w:r>
    </w:p>
    <w:p>
      <w:pPr>
        <w:spacing w:after="0"/>
        <w:jc w:val="left"/>
        <w:rPr>
          <w:sz w:val="20"/>
        </w:rPr>
        <w:sectPr>
          <w:headerReference w:type="default" r:id="rId170"/>
          <w:footerReference w:type="default" r:id="rId171"/>
          <w:pgSz w:w="11910" w:h="16840"/>
          <w:pgMar w:header="0" w:footer="507" w:top="1600" w:bottom="700" w:left="900" w:right="900"/>
          <w:pgNumType w:start="161"/>
        </w:sectPr>
      </w:pPr>
    </w:p>
    <w:p>
      <w:pPr>
        <w:pStyle w:val="BodyText"/>
        <w:spacing w:before="2"/>
        <w:rPr>
          <w:sz w:val="24"/>
        </w:rPr>
      </w:pPr>
    </w:p>
    <w:p>
      <w:pPr>
        <w:spacing w:before="64"/>
        <w:ind w:left="90" w:right="7643" w:firstLine="0"/>
        <w:jc w:val="center"/>
        <w:rPr>
          <w:b/>
          <w:sz w:val="28"/>
        </w:rPr>
      </w:pPr>
      <w:r>
        <w:rPr>
          <w:b/>
          <w:sz w:val="28"/>
        </w:rPr>
        <w:t>Directors' Report</w:t>
      </w:r>
    </w:p>
    <w:p>
      <w:pPr>
        <w:pStyle w:val="Heading6"/>
        <w:ind w:right="0"/>
      </w:pPr>
      <w:r>
        <w:rPr/>
        <w:t>31 December 2012</w:t>
      </w:r>
    </w:p>
    <w:p>
      <w:pPr>
        <w:pStyle w:val="BodyText"/>
        <w:rPr>
          <w:b/>
          <w:sz w:val="22"/>
        </w:rPr>
      </w:pPr>
    </w:p>
    <w:p>
      <w:pPr>
        <w:pStyle w:val="BodyText"/>
        <w:spacing w:before="10"/>
        <w:rPr>
          <w:b/>
          <w:sz w:val="29"/>
        </w:rPr>
      </w:pPr>
    </w:p>
    <w:p>
      <w:pPr>
        <w:pStyle w:val="BodyText"/>
        <w:ind w:left="504"/>
      </w:pPr>
      <w:r>
        <w:rPr/>
        <w:t>The directors present their report on UWS College Pty Limited for the financial year ended 31 December 2012.</w:t>
      </w:r>
    </w:p>
    <w:p>
      <w:pPr>
        <w:pStyle w:val="BodyText"/>
        <w:rPr>
          <w:sz w:val="25"/>
        </w:rPr>
      </w:pPr>
    </w:p>
    <w:p>
      <w:pPr>
        <w:pStyle w:val="Heading9"/>
        <w:numPr>
          <w:ilvl w:val="0"/>
          <w:numId w:val="77"/>
        </w:numPr>
        <w:tabs>
          <w:tab w:pos="503" w:val="left" w:leader="none"/>
        </w:tabs>
        <w:spacing w:line="573" w:lineRule="auto" w:before="0" w:after="0"/>
        <w:ind w:left="502" w:right="7459" w:hanging="394"/>
        <w:jc w:val="left"/>
      </w:pPr>
      <w:r>
        <w:rPr/>
        <w:t>General information Information on directors</w:t>
      </w:r>
    </w:p>
    <w:p>
      <w:pPr>
        <w:pStyle w:val="BodyText"/>
        <w:spacing w:before="8"/>
        <w:ind w:left="503"/>
      </w:pPr>
      <w:r>
        <w:rPr/>
        <w:t>The names of each person who has been a director during the year and to the date of this report are:</w:t>
      </w:r>
    </w:p>
    <w:p>
      <w:pPr>
        <w:pStyle w:val="BodyText"/>
      </w:pPr>
    </w:p>
    <w:p>
      <w:pPr>
        <w:pStyle w:val="BodyText"/>
      </w:pPr>
    </w:p>
    <w:p>
      <w:pPr>
        <w:pStyle w:val="Heading9"/>
        <w:spacing w:before="108"/>
        <w:ind w:left="502"/>
      </w:pPr>
      <w:r>
        <w:rPr/>
        <w:t>Ms Rhonda Hawkins</w:t>
      </w:r>
    </w:p>
    <w:p>
      <w:pPr>
        <w:tabs>
          <w:tab w:pos="3421" w:val="left" w:leader="none"/>
        </w:tabs>
        <w:spacing w:before="57"/>
        <w:ind w:left="502" w:right="0" w:firstLine="0"/>
        <w:jc w:val="left"/>
        <w:rPr>
          <w:b/>
          <w:sz w:val="18"/>
        </w:rPr>
      </w:pPr>
      <w:r>
        <w:rPr>
          <w:b/>
          <w:sz w:val="18"/>
        </w:rPr>
        <w:t>Qualifications</w:t>
        <w:tab/>
        <w:t>BSc, MPP,</w:t>
      </w:r>
      <w:r>
        <w:rPr>
          <w:b/>
          <w:spacing w:val="-1"/>
          <w:sz w:val="18"/>
        </w:rPr>
        <w:t> </w:t>
      </w:r>
      <w:r>
        <w:rPr>
          <w:b/>
          <w:sz w:val="18"/>
        </w:rPr>
        <w:t>FAICD</w:t>
      </w:r>
    </w:p>
    <w:p>
      <w:pPr>
        <w:pStyle w:val="BodyText"/>
        <w:spacing w:before="8"/>
        <w:rPr>
          <w:b/>
          <w:sz w:val="25"/>
        </w:rPr>
      </w:pPr>
    </w:p>
    <w:p>
      <w:pPr>
        <w:spacing w:before="0"/>
        <w:ind w:left="502" w:right="0" w:firstLine="0"/>
        <w:jc w:val="left"/>
        <w:rPr>
          <w:b/>
          <w:sz w:val="18"/>
        </w:rPr>
      </w:pPr>
      <w:r>
        <w:rPr>
          <w:b/>
          <w:sz w:val="18"/>
        </w:rPr>
        <w:t>Associate Professor Craig Ellis</w:t>
      </w:r>
    </w:p>
    <w:p>
      <w:pPr>
        <w:tabs>
          <w:tab w:pos="3421" w:val="left" w:leader="none"/>
        </w:tabs>
        <w:spacing w:before="57"/>
        <w:ind w:left="502" w:right="0" w:firstLine="0"/>
        <w:jc w:val="left"/>
        <w:rPr>
          <w:b/>
          <w:sz w:val="18"/>
        </w:rPr>
      </w:pPr>
      <w:r>
        <w:rPr>
          <w:b/>
          <w:sz w:val="18"/>
        </w:rPr>
        <w:t>Qualifications</w:t>
        <w:tab/>
        <w:t>B Bus, B Comms (Hons), PhD, SA</w:t>
      </w:r>
      <w:r>
        <w:rPr>
          <w:b/>
          <w:spacing w:val="-1"/>
          <w:sz w:val="18"/>
        </w:rPr>
        <w:t> </w:t>
      </w:r>
      <w:r>
        <w:rPr>
          <w:b/>
          <w:sz w:val="18"/>
        </w:rPr>
        <w:t>Fin.</w:t>
      </w:r>
    </w:p>
    <w:p>
      <w:pPr>
        <w:pStyle w:val="BodyText"/>
        <w:spacing w:before="8"/>
        <w:rPr>
          <w:b/>
          <w:sz w:val="25"/>
        </w:rPr>
      </w:pPr>
    </w:p>
    <w:p>
      <w:pPr>
        <w:spacing w:before="0"/>
        <w:ind w:left="502" w:right="0" w:firstLine="0"/>
        <w:jc w:val="left"/>
        <w:rPr>
          <w:b/>
          <w:sz w:val="18"/>
        </w:rPr>
      </w:pPr>
      <w:r>
        <w:rPr>
          <w:b/>
          <w:sz w:val="18"/>
        </w:rPr>
        <w:t>Ms Mara Moustafine</w:t>
      </w:r>
    </w:p>
    <w:p>
      <w:pPr>
        <w:tabs>
          <w:tab w:pos="3421" w:val="left" w:leader="none"/>
        </w:tabs>
        <w:spacing w:before="57"/>
        <w:ind w:left="502" w:right="0" w:firstLine="0"/>
        <w:jc w:val="left"/>
        <w:rPr>
          <w:b/>
          <w:sz w:val="18"/>
        </w:rPr>
      </w:pPr>
      <w:r>
        <w:rPr>
          <w:b/>
          <w:sz w:val="18"/>
        </w:rPr>
        <w:t>Qualifications</w:t>
        <w:tab/>
        <w:t>BA (Hons), MA,</w:t>
      </w:r>
      <w:r>
        <w:rPr>
          <w:b/>
          <w:spacing w:val="-1"/>
          <w:sz w:val="18"/>
        </w:rPr>
        <w:t> </w:t>
      </w:r>
      <w:r>
        <w:rPr>
          <w:b/>
          <w:sz w:val="18"/>
        </w:rPr>
        <w:t>MAICD</w:t>
      </w:r>
    </w:p>
    <w:p>
      <w:pPr>
        <w:pStyle w:val="BodyText"/>
        <w:spacing w:before="8"/>
        <w:rPr>
          <w:b/>
          <w:sz w:val="25"/>
        </w:rPr>
      </w:pPr>
    </w:p>
    <w:p>
      <w:pPr>
        <w:spacing w:before="0"/>
        <w:ind w:left="502" w:right="0" w:firstLine="0"/>
        <w:jc w:val="left"/>
        <w:rPr>
          <w:b/>
          <w:sz w:val="18"/>
        </w:rPr>
      </w:pPr>
      <w:r>
        <w:rPr>
          <w:b/>
          <w:sz w:val="18"/>
        </w:rPr>
        <w:t>Ms Xenia Delaney</w:t>
      </w:r>
    </w:p>
    <w:p>
      <w:pPr>
        <w:tabs>
          <w:tab w:pos="3421" w:val="left" w:leader="none"/>
        </w:tabs>
        <w:spacing w:before="57"/>
        <w:ind w:left="502" w:right="0" w:firstLine="0"/>
        <w:jc w:val="left"/>
        <w:rPr>
          <w:b/>
          <w:sz w:val="18"/>
        </w:rPr>
      </w:pPr>
      <w:r>
        <w:rPr>
          <w:b/>
          <w:sz w:val="18"/>
        </w:rPr>
        <w:t>Qualifications</w:t>
        <w:tab/>
        <w:t>B Comm (Acc), CA,</w:t>
      </w:r>
      <w:r>
        <w:rPr>
          <w:b/>
          <w:spacing w:val="-1"/>
          <w:sz w:val="18"/>
        </w:rPr>
        <w:t> </w:t>
      </w:r>
      <w:r>
        <w:rPr>
          <w:b/>
          <w:sz w:val="18"/>
        </w:rPr>
        <w:t>RCA</w:t>
      </w:r>
    </w:p>
    <w:p>
      <w:pPr>
        <w:pStyle w:val="BodyText"/>
        <w:spacing w:before="8"/>
        <w:rPr>
          <w:b/>
          <w:sz w:val="25"/>
        </w:rPr>
      </w:pPr>
    </w:p>
    <w:p>
      <w:pPr>
        <w:spacing w:before="0"/>
        <w:ind w:left="502" w:right="0" w:firstLine="0"/>
        <w:jc w:val="left"/>
        <w:rPr>
          <w:b/>
          <w:sz w:val="18"/>
        </w:rPr>
      </w:pPr>
      <w:r>
        <w:rPr>
          <w:b/>
          <w:sz w:val="18"/>
        </w:rPr>
        <w:t>Professor Kerri-Lee Krause</w:t>
      </w:r>
    </w:p>
    <w:p>
      <w:pPr>
        <w:tabs>
          <w:tab w:pos="3421" w:val="left" w:leader="none"/>
        </w:tabs>
        <w:spacing w:before="57"/>
        <w:ind w:left="502" w:right="0" w:firstLine="0"/>
        <w:jc w:val="left"/>
        <w:rPr>
          <w:b/>
          <w:sz w:val="18"/>
        </w:rPr>
      </w:pPr>
      <w:r>
        <w:rPr>
          <w:b/>
          <w:sz w:val="18"/>
        </w:rPr>
        <w:t>Qualifications</w:t>
        <w:tab/>
        <w:t>BEd, MA, PhD (appointed 1 June 2012)</w:t>
      </w:r>
    </w:p>
    <w:p>
      <w:pPr>
        <w:pStyle w:val="BodyText"/>
        <w:spacing w:before="8"/>
        <w:rPr>
          <w:b/>
          <w:sz w:val="25"/>
        </w:rPr>
      </w:pPr>
    </w:p>
    <w:p>
      <w:pPr>
        <w:spacing w:before="0"/>
        <w:ind w:left="502" w:right="0" w:firstLine="0"/>
        <w:jc w:val="left"/>
        <w:rPr>
          <w:b/>
          <w:sz w:val="18"/>
        </w:rPr>
      </w:pPr>
      <w:r>
        <w:rPr>
          <w:b/>
          <w:sz w:val="18"/>
        </w:rPr>
        <w:t>Mr Angelo Kourtis</w:t>
      </w:r>
    </w:p>
    <w:p>
      <w:pPr>
        <w:tabs>
          <w:tab w:pos="3421" w:val="left" w:leader="none"/>
        </w:tabs>
        <w:spacing w:before="57"/>
        <w:ind w:left="502" w:right="0" w:firstLine="0"/>
        <w:jc w:val="left"/>
        <w:rPr>
          <w:b/>
          <w:sz w:val="18"/>
        </w:rPr>
      </w:pPr>
      <w:r>
        <w:rPr>
          <w:b/>
          <w:sz w:val="18"/>
        </w:rPr>
        <w:t>Qualifications</w:t>
        <w:tab/>
        <w:t>BA (appointed 1 June</w:t>
      </w:r>
      <w:r>
        <w:rPr>
          <w:b/>
          <w:spacing w:val="-1"/>
          <w:sz w:val="18"/>
        </w:rPr>
        <w:t> </w:t>
      </w:r>
      <w:r>
        <w:rPr>
          <w:b/>
          <w:sz w:val="18"/>
        </w:rPr>
        <w:t>2012)</w:t>
      </w:r>
    </w:p>
    <w:p>
      <w:pPr>
        <w:pStyle w:val="BodyText"/>
        <w:spacing w:before="8"/>
        <w:rPr>
          <w:b/>
          <w:sz w:val="25"/>
        </w:rPr>
      </w:pPr>
    </w:p>
    <w:p>
      <w:pPr>
        <w:spacing w:before="0"/>
        <w:ind w:left="502" w:right="0" w:firstLine="0"/>
        <w:jc w:val="left"/>
        <w:rPr>
          <w:b/>
          <w:sz w:val="18"/>
        </w:rPr>
      </w:pPr>
      <w:r>
        <w:rPr>
          <w:b/>
          <w:sz w:val="18"/>
        </w:rPr>
        <w:t>Mr Peter Graham</w:t>
      </w:r>
    </w:p>
    <w:p>
      <w:pPr>
        <w:tabs>
          <w:tab w:pos="3421" w:val="left" w:leader="none"/>
        </w:tabs>
        <w:spacing w:before="57"/>
        <w:ind w:left="502" w:right="0" w:firstLine="0"/>
        <w:jc w:val="left"/>
        <w:rPr>
          <w:b/>
          <w:sz w:val="18"/>
        </w:rPr>
      </w:pPr>
      <w:r>
        <w:rPr>
          <w:b/>
          <w:sz w:val="18"/>
        </w:rPr>
        <w:t>Qualifications</w:t>
        <w:tab/>
        <w:t>A/Dip Bus, MAICD, PMD HBS (appointed 1 June</w:t>
      </w:r>
      <w:r>
        <w:rPr>
          <w:b/>
          <w:spacing w:val="-1"/>
          <w:sz w:val="18"/>
        </w:rPr>
        <w:t> </w:t>
      </w:r>
      <w:r>
        <w:rPr>
          <w:b/>
          <w:sz w:val="18"/>
        </w:rPr>
        <w:t>2012)</w:t>
      </w:r>
    </w:p>
    <w:p>
      <w:pPr>
        <w:pStyle w:val="BodyText"/>
        <w:spacing w:before="8"/>
        <w:rPr>
          <w:b/>
          <w:sz w:val="25"/>
        </w:rPr>
      </w:pPr>
    </w:p>
    <w:p>
      <w:pPr>
        <w:spacing w:before="0"/>
        <w:ind w:left="502" w:right="0" w:firstLine="0"/>
        <w:jc w:val="left"/>
        <w:rPr>
          <w:b/>
          <w:sz w:val="18"/>
        </w:rPr>
      </w:pPr>
      <w:r>
        <w:rPr>
          <w:b/>
          <w:sz w:val="18"/>
        </w:rPr>
        <w:t>Dr Betty Gill</w:t>
      </w:r>
    </w:p>
    <w:p>
      <w:pPr>
        <w:tabs>
          <w:tab w:pos="3421" w:val="left" w:leader="none"/>
        </w:tabs>
        <w:spacing w:before="57"/>
        <w:ind w:left="502" w:right="0" w:firstLine="0"/>
        <w:jc w:val="left"/>
        <w:rPr>
          <w:b/>
          <w:sz w:val="18"/>
        </w:rPr>
      </w:pPr>
      <w:r>
        <w:rPr>
          <w:b/>
          <w:sz w:val="18"/>
        </w:rPr>
        <w:t>Qualifications</w:t>
        <w:tab/>
        <w:t>BA, DNE, MHP, PhD (resigned 30 April</w:t>
      </w:r>
      <w:r>
        <w:rPr>
          <w:b/>
          <w:spacing w:val="-1"/>
          <w:sz w:val="18"/>
        </w:rPr>
        <w:t> </w:t>
      </w:r>
      <w:r>
        <w:rPr>
          <w:b/>
          <w:sz w:val="18"/>
        </w:rPr>
        <w:t>2012)</w:t>
      </w:r>
    </w:p>
    <w:p>
      <w:pPr>
        <w:pStyle w:val="BodyText"/>
        <w:spacing w:before="8"/>
        <w:rPr>
          <w:b/>
          <w:sz w:val="25"/>
        </w:rPr>
      </w:pPr>
    </w:p>
    <w:p>
      <w:pPr>
        <w:spacing w:before="0"/>
        <w:ind w:left="502" w:right="0" w:firstLine="0"/>
        <w:jc w:val="left"/>
        <w:rPr>
          <w:b/>
          <w:sz w:val="18"/>
        </w:rPr>
      </w:pPr>
      <w:r>
        <w:rPr>
          <w:b/>
          <w:sz w:val="18"/>
        </w:rPr>
        <w:t>Professor Stuart Campbell</w:t>
      </w:r>
    </w:p>
    <w:p>
      <w:pPr>
        <w:tabs>
          <w:tab w:pos="3421" w:val="left" w:leader="none"/>
        </w:tabs>
        <w:spacing w:before="57"/>
        <w:ind w:left="502" w:right="0" w:firstLine="0"/>
        <w:jc w:val="left"/>
        <w:rPr>
          <w:b/>
          <w:sz w:val="18"/>
        </w:rPr>
      </w:pPr>
      <w:r>
        <w:rPr>
          <w:b/>
          <w:sz w:val="18"/>
        </w:rPr>
        <w:t>Qualifications</w:t>
        <w:tab/>
        <w:t>BA, Dip Ling, Dip Ed, MA, PhD, GAICD (resigned 30 April 2012)</w:t>
      </w:r>
    </w:p>
    <w:p>
      <w:pPr>
        <w:pStyle w:val="BodyText"/>
        <w:rPr>
          <w:b/>
        </w:rPr>
      </w:pPr>
    </w:p>
    <w:p>
      <w:pPr>
        <w:pStyle w:val="BodyText"/>
        <w:rPr>
          <w:b/>
        </w:rPr>
      </w:pPr>
    </w:p>
    <w:p>
      <w:pPr>
        <w:pStyle w:val="BodyText"/>
        <w:spacing w:before="141"/>
        <w:ind w:left="504"/>
      </w:pPr>
      <w:r>
        <w:rPr/>
        <w:t>Directors have been in office since the start of the financial year to the date of this report unless otherwise stated.</w:t>
      </w:r>
    </w:p>
    <w:p>
      <w:pPr>
        <w:pStyle w:val="BodyText"/>
        <w:rPr>
          <w:sz w:val="25"/>
        </w:rPr>
      </w:pPr>
    </w:p>
    <w:p>
      <w:pPr>
        <w:pStyle w:val="Heading9"/>
        <w:ind w:left="502"/>
      </w:pPr>
      <w:r>
        <w:rPr/>
        <w:t>Principal activities and significant changes in nature of activities</w:t>
      </w:r>
    </w:p>
    <w:p>
      <w:pPr>
        <w:pStyle w:val="BodyText"/>
        <w:rPr>
          <w:b/>
          <w:sz w:val="25"/>
        </w:rPr>
      </w:pPr>
    </w:p>
    <w:p>
      <w:pPr>
        <w:pStyle w:val="BodyText"/>
        <w:ind w:left="503"/>
      </w:pPr>
      <w:r>
        <w:rPr/>
        <w:t>The principal activities of UWS College Pty Limited during the financial year were:</w:t>
      </w:r>
    </w:p>
    <w:p>
      <w:pPr>
        <w:pStyle w:val="BodyText"/>
        <w:spacing w:before="5"/>
        <w:rPr>
          <w:sz w:val="25"/>
        </w:rPr>
      </w:pPr>
    </w:p>
    <w:p>
      <w:pPr>
        <w:pStyle w:val="ListParagraph"/>
        <w:numPr>
          <w:ilvl w:val="1"/>
          <w:numId w:val="77"/>
        </w:numPr>
        <w:tabs>
          <w:tab w:pos="1071" w:val="left" w:leader="none"/>
        </w:tabs>
        <w:spacing w:line="240" w:lineRule="auto" w:before="1" w:after="0"/>
        <w:ind w:left="1070" w:right="0" w:hanging="566"/>
        <w:jc w:val="left"/>
        <w:rPr>
          <w:sz w:val="18"/>
        </w:rPr>
      </w:pPr>
      <w:r>
        <w:rPr>
          <w:sz w:val="18"/>
        </w:rPr>
        <w:t>Provision of educational</w:t>
      </w:r>
      <w:r>
        <w:rPr>
          <w:spacing w:val="-1"/>
          <w:sz w:val="18"/>
        </w:rPr>
        <w:t> </w:t>
      </w:r>
      <w:r>
        <w:rPr>
          <w:sz w:val="18"/>
        </w:rPr>
        <w:t>services</w:t>
      </w:r>
    </w:p>
    <w:p>
      <w:pPr>
        <w:pStyle w:val="BodyText"/>
        <w:spacing w:before="11"/>
        <w:rPr>
          <w:sz w:val="24"/>
        </w:rPr>
      </w:pPr>
    </w:p>
    <w:p>
      <w:pPr>
        <w:pStyle w:val="BodyText"/>
        <w:ind w:left="503"/>
      </w:pPr>
      <w:r>
        <w:rPr/>
        <w:t>There were no significant changes in the nature of UWS College Pty Limited's (the Company) principal activities during the financial year.</w:t>
      </w:r>
    </w:p>
    <w:p>
      <w:pPr>
        <w:spacing w:after="0"/>
        <w:sectPr>
          <w:headerReference w:type="default" r:id="rId172"/>
          <w:pgSz w:w="11910" w:h="16840"/>
          <w:pgMar w:header="1038" w:footer="507" w:top="1460" w:bottom="700" w:left="900" w:right="960"/>
        </w:sectPr>
      </w:pPr>
    </w:p>
    <w:p>
      <w:pPr>
        <w:pStyle w:val="BodyText"/>
        <w:spacing w:before="2"/>
        <w:rPr>
          <w:sz w:val="24"/>
        </w:rPr>
      </w:pPr>
    </w:p>
    <w:p>
      <w:pPr>
        <w:pStyle w:val="Heading3"/>
        <w:spacing w:before="64"/>
        <w:ind w:right="0"/>
      </w:pPr>
      <w:r>
        <w:rPr/>
        <w:t>Directors' Report</w:t>
      </w:r>
    </w:p>
    <w:p>
      <w:pPr>
        <w:pStyle w:val="Heading6"/>
        <w:ind w:right="0"/>
      </w:pPr>
      <w:r>
        <w:rPr/>
        <w:t>31 December 2012</w:t>
      </w:r>
    </w:p>
    <w:p>
      <w:pPr>
        <w:pStyle w:val="BodyText"/>
        <w:spacing w:before="11"/>
        <w:rPr>
          <w:b/>
          <w:sz w:val="24"/>
        </w:rPr>
      </w:pPr>
    </w:p>
    <w:p>
      <w:pPr>
        <w:pStyle w:val="Heading9"/>
        <w:numPr>
          <w:ilvl w:val="0"/>
          <w:numId w:val="77"/>
        </w:numPr>
        <w:tabs>
          <w:tab w:pos="503" w:val="left" w:leader="none"/>
        </w:tabs>
        <w:spacing w:line="573" w:lineRule="auto" w:before="0" w:after="0"/>
        <w:ind w:left="502" w:right="4848" w:hanging="394"/>
        <w:jc w:val="left"/>
      </w:pPr>
      <w:r>
        <w:rPr/>
        <w:t>Operating results and review of operations for the year Operating</w:t>
      </w:r>
      <w:r>
        <w:rPr>
          <w:spacing w:val="-1"/>
        </w:rPr>
        <w:t> </w:t>
      </w:r>
      <w:r>
        <w:rPr/>
        <w:t>results</w:t>
      </w:r>
    </w:p>
    <w:p>
      <w:pPr>
        <w:pStyle w:val="BodyText"/>
        <w:spacing w:before="8"/>
        <w:ind w:left="504" w:right="153" w:hanging="1"/>
        <w:jc w:val="both"/>
      </w:pPr>
      <w:r>
        <w:rPr/>
        <w:t>The surplus of the Company for the year ended 31 December 2012 amounted to $ 1,127,067 which included a royalty payment to the ultimate parent entity of $1,295,313 whilst 2011 had a (deficit) of ($3,724,878) which included a royalty payment to the ultimate parent entity of $4,200,000.</w:t>
      </w:r>
    </w:p>
    <w:p>
      <w:pPr>
        <w:pStyle w:val="BodyText"/>
        <w:rPr>
          <w:sz w:val="25"/>
        </w:rPr>
      </w:pPr>
    </w:p>
    <w:p>
      <w:pPr>
        <w:pStyle w:val="Heading9"/>
        <w:numPr>
          <w:ilvl w:val="0"/>
          <w:numId w:val="77"/>
        </w:numPr>
        <w:tabs>
          <w:tab w:pos="503" w:val="left" w:leader="none"/>
        </w:tabs>
        <w:spacing w:line="240" w:lineRule="auto" w:before="0" w:after="0"/>
        <w:ind w:left="502" w:right="0" w:hanging="394"/>
        <w:jc w:val="left"/>
      </w:pPr>
      <w:r>
        <w:rPr/>
        <w:t>Other</w:t>
      </w:r>
      <w:r>
        <w:rPr>
          <w:spacing w:val="-1"/>
        </w:rPr>
        <w:t> </w:t>
      </w:r>
      <w:r>
        <w:rPr/>
        <w:t>items</w:t>
      </w:r>
    </w:p>
    <w:p>
      <w:pPr>
        <w:pStyle w:val="BodyText"/>
        <w:rPr>
          <w:b/>
          <w:sz w:val="25"/>
        </w:rPr>
      </w:pPr>
    </w:p>
    <w:p>
      <w:pPr>
        <w:spacing w:before="0"/>
        <w:ind w:left="502" w:right="0" w:firstLine="0"/>
        <w:jc w:val="left"/>
        <w:rPr>
          <w:b/>
          <w:sz w:val="18"/>
        </w:rPr>
      </w:pPr>
      <w:r>
        <w:rPr>
          <w:b/>
          <w:sz w:val="18"/>
        </w:rPr>
        <w:t>Significant changes in state of affairs</w:t>
      </w:r>
    </w:p>
    <w:p>
      <w:pPr>
        <w:pStyle w:val="BodyText"/>
        <w:spacing w:before="11"/>
        <w:rPr>
          <w:b/>
          <w:sz w:val="24"/>
        </w:rPr>
      </w:pPr>
    </w:p>
    <w:p>
      <w:pPr>
        <w:pStyle w:val="BodyText"/>
        <w:ind w:left="504"/>
      </w:pPr>
      <w:r>
        <w:rPr/>
        <w:t>There have been no significant changes in the state of affairs of the Company during the year.</w:t>
      </w:r>
    </w:p>
    <w:p>
      <w:pPr>
        <w:pStyle w:val="BodyText"/>
        <w:spacing w:before="11"/>
        <w:rPr>
          <w:sz w:val="24"/>
        </w:rPr>
      </w:pPr>
    </w:p>
    <w:p>
      <w:pPr>
        <w:pStyle w:val="Heading9"/>
        <w:ind w:left="502"/>
      </w:pPr>
      <w:r>
        <w:rPr/>
        <w:t>Events after the reporting date</w:t>
      </w:r>
    </w:p>
    <w:p>
      <w:pPr>
        <w:pStyle w:val="BodyText"/>
        <w:spacing w:before="11"/>
        <w:rPr>
          <w:b/>
          <w:sz w:val="24"/>
        </w:rPr>
      </w:pPr>
    </w:p>
    <w:p>
      <w:pPr>
        <w:pStyle w:val="BodyText"/>
        <w:ind w:left="504"/>
      </w:pPr>
      <w:r>
        <w:rPr/>
        <w:t>No matters or circumstances have arisen since the end of the financial year which significantly affected or could significantly affect the operations of the Company, the results of those operations or the state of affairs of the Company in future financial years.</w:t>
      </w:r>
    </w:p>
    <w:p>
      <w:pPr>
        <w:pStyle w:val="BodyText"/>
        <w:rPr>
          <w:sz w:val="25"/>
        </w:rPr>
      </w:pPr>
    </w:p>
    <w:p>
      <w:pPr>
        <w:pStyle w:val="Heading9"/>
        <w:ind w:left="502"/>
      </w:pPr>
      <w:r>
        <w:rPr/>
        <w:t>Future developments and results</w:t>
      </w:r>
    </w:p>
    <w:p>
      <w:pPr>
        <w:pStyle w:val="BodyText"/>
        <w:rPr>
          <w:b/>
          <w:sz w:val="25"/>
        </w:rPr>
      </w:pPr>
    </w:p>
    <w:p>
      <w:pPr>
        <w:pStyle w:val="BodyText"/>
        <w:ind w:left="503"/>
      </w:pPr>
      <w:r>
        <w:rPr/>
        <w:t>Likely developments in the operations of the Company and the expected results of those operations in future financial years have not been included in this report as the inclusion of such information is likely to result in unreasonable prejudice to the Company.</w:t>
      </w:r>
    </w:p>
    <w:p>
      <w:pPr>
        <w:pStyle w:val="BodyText"/>
        <w:spacing w:before="11"/>
        <w:rPr>
          <w:sz w:val="24"/>
        </w:rPr>
      </w:pPr>
    </w:p>
    <w:p>
      <w:pPr>
        <w:pStyle w:val="Heading9"/>
        <w:ind w:left="502"/>
      </w:pPr>
      <w:r>
        <w:rPr/>
        <w:t>Environmental issues</w:t>
      </w:r>
    </w:p>
    <w:p>
      <w:pPr>
        <w:pStyle w:val="BodyText"/>
        <w:rPr>
          <w:b/>
          <w:sz w:val="25"/>
        </w:rPr>
      </w:pPr>
    </w:p>
    <w:p>
      <w:pPr>
        <w:pStyle w:val="BodyText"/>
        <w:ind w:left="504" w:right="946"/>
      </w:pPr>
      <w:r>
        <w:rPr/>
        <w:t>The Company's operations are not regulated by any significant environmental regulations under a law of the Commonwealth or of a state or territory of Australia.</w:t>
      </w:r>
    </w:p>
    <w:p>
      <w:pPr>
        <w:pStyle w:val="BodyText"/>
        <w:rPr>
          <w:sz w:val="25"/>
        </w:rPr>
      </w:pPr>
    </w:p>
    <w:p>
      <w:pPr>
        <w:pStyle w:val="Heading9"/>
        <w:ind w:left="502"/>
      </w:pPr>
      <w:r>
        <w:rPr/>
        <w:t>Dividends paid or recommended</w:t>
      </w:r>
    </w:p>
    <w:p>
      <w:pPr>
        <w:pStyle w:val="BodyText"/>
        <w:rPr>
          <w:b/>
          <w:sz w:val="25"/>
        </w:rPr>
      </w:pPr>
    </w:p>
    <w:p>
      <w:pPr>
        <w:pStyle w:val="BodyText"/>
        <w:ind w:left="504" w:right="400"/>
      </w:pPr>
      <w:r>
        <w:rPr/>
        <w:t>No dividend was paid or payable since the commencement of the financial year and up to and including the date of signing the report. (2011 : $nil).</w:t>
      </w:r>
    </w:p>
    <w:p>
      <w:pPr>
        <w:pStyle w:val="BodyText"/>
        <w:rPr>
          <w:sz w:val="25"/>
        </w:rPr>
      </w:pPr>
    </w:p>
    <w:p>
      <w:pPr>
        <w:pStyle w:val="Heading9"/>
        <w:ind w:left="502"/>
      </w:pPr>
      <w:r>
        <w:rPr/>
        <w:t>Company secretary</w:t>
      </w:r>
    </w:p>
    <w:p>
      <w:pPr>
        <w:pStyle w:val="BodyText"/>
        <w:spacing w:before="11"/>
        <w:rPr>
          <w:b/>
          <w:sz w:val="24"/>
        </w:rPr>
      </w:pPr>
    </w:p>
    <w:p>
      <w:pPr>
        <w:pStyle w:val="BodyText"/>
        <w:ind w:left="504"/>
      </w:pPr>
      <w:r>
        <w:rPr/>
        <w:t>Dr Kerry Hudson held the position of CEO and Company Secretary during and at the end of the financial year.</w:t>
      </w:r>
    </w:p>
    <w:p>
      <w:pPr>
        <w:spacing w:after="0"/>
        <w:sectPr>
          <w:pgSz w:w="11910" w:h="16840"/>
          <w:pgMar w:header="1038" w:footer="507" w:top="1460" w:bottom="700" w:left="900" w:right="960"/>
        </w:sectPr>
      </w:pPr>
    </w:p>
    <w:p>
      <w:pPr>
        <w:pStyle w:val="Heading6"/>
        <w:spacing w:before="47"/>
        <w:ind w:right="262"/>
      </w:pPr>
      <w:r>
        <w:rPr/>
        <w:t>UWS College Pty Limited</w:t>
      </w:r>
    </w:p>
    <w:p>
      <w:pPr>
        <w:spacing w:before="55"/>
        <w:ind w:left="107" w:right="262" w:firstLine="0"/>
        <w:jc w:val="left"/>
        <w:rPr>
          <w:b/>
          <w:sz w:val="14"/>
        </w:rPr>
      </w:pPr>
      <w:r>
        <w:rPr>
          <w:b/>
          <w:sz w:val="14"/>
        </w:rPr>
        <w:t>ABN: 44 003 474 468</w:t>
      </w:r>
    </w:p>
    <w:p>
      <w:pPr>
        <w:pStyle w:val="BodyText"/>
        <w:rPr>
          <w:b/>
          <w:sz w:val="14"/>
        </w:rPr>
      </w:pPr>
    </w:p>
    <w:p>
      <w:pPr>
        <w:pStyle w:val="BodyText"/>
        <w:spacing w:before="7"/>
        <w:rPr>
          <w:b/>
          <w:sz w:val="15"/>
        </w:rPr>
      </w:pPr>
    </w:p>
    <w:p>
      <w:pPr>
        <w:pStyle w:val="Heading3"/>
        <w:spacing w:before="1"/>
        <w:ind w:right="262"/>
      </w:pPr>
      <w:r>
        <w:rPr/>
        <w:t>Directors' Report</w:t>
      </w:r>
    </w:p>
    <w:p>
      <w:pPr>
        <w:pStyle w:val="Heading6"/>
        <w:spacing w:before="56"/>
        <w:ind w:right="262"/>
      </w:pPr>
      <w:r>
        <w:rPr/>
        <w:t>31 December 2012</w:t>
      </w:r>
    </w:p>
    <w:p>
      <w:pPr>
        <w:pStyle w:val="BodyText"/>
        <w:spacing w:before="10"/>
        <w:rPr>
          <w:b/>
          <w:sz w:val="24"/>
        </w:rPr>
      </w:pPr>
    </w:p>
    <w:p>
      <w:pPr>
        <w:pStyle w:val="Heading9"/>
        <w:ind w:left="504" w:right="262"/>
      </w:pPr>
      <w:r>
        <w:rPr/>
        <w:t>Meetings of directors</w:t>
      </w:r>
    </w:p>
    <w:p>
      <w:pPr>
        <w:pStyle w:val="BodyText"/>
        <w:spacing w:before="7"/>
        <w:rPr>
          <w:b/>
          <w:sz w:val="25"/>
        </w:rPr>
      </w:pPr>
    </w:p>
    <w:p>
      <w:pPr>
        <w:pStyle w:val="BodyText"/>
        <w:ind w:left="503" w:right="262"/>
      </w:pPr>
      <w:r>
        <w:rPr/>
        <w:t>During the </w:t>
      </w:r>
      <w:r>
        <w:rPr>
          <w:sz w:val="20"/>
        </w:rPr>
        <w:t>financial </w:t>
      </w:r>
      <w:r>
        <w:rPr/>
        <w:t>year ended 31 December 2012, 6 meetings of directors were held. Attendances by each director during the year were as follows:</w:t>
      </w:r>
    </w:p>
    <w:p>
      <w:pPr>
        <w:pStyle w:val="BodyText"/>
        <w:spacing w:before="1"/>
        <w:rPr>
          <w:sz w:val="26"/>
        </w:rPr>
      </w:pPr>
    </w:p>
    <w:tbl>
      <w:tblPr>
        <w:tblW w:w="0" w:type="auto"/>
        <w:jc w:val="left"/>
        <w:tblInd w:w="49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36"/>
        <w:gridCol w:w="737"/>
        <w:gridCol w:w="737"/>
      </w:tblGrid>
      <w:tr>
        <w:trPr>
          <w:trHeight w:val="446" w:hRule="exact"/>
        </w:trPr>
        <w:tc>
          <w:tcPr>
            <w:tcW w:w="4536" w:type="dxa"/>
            <w:vMerge w:val="restart"/>
            <w:tcBorders>
              <w:right w:val="single" w:sz="4" w:space="0" w:color="000000"/>
            </w:tcBorders>
          </w:tcPr>
          <w:p>
            <w:pPr/>
          </w:p>
        </w:tc>
        <w:tc>
          <w:tcPr>
            <w:tcW w:w="1474"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7"/>
              <w:ind w:left="407" w:right="320" w:hanging="24"/>
              <w:rPr>
                <w:b/>
                <w:sz w:val="16"/>
              </w:rPr>
            </w:pPr>
            <w:r>
              <w:rPr>
                <w:b/>
                <w:sz w:val="16"/>
              </w:rPr>
              <w:t>Directors' Meetings</w:t>
            </w:r>
          </w:p>
        </w:tc>
      </w:tr>
      <w:tr>
        <w:trPr>
          <w:trHeight w:val="559" w:hRule="exact"/>
        </w:trPr>
        <w:tc>
          <w:tcPr>
            <w:tcW w:w="4536" w:type="dxa"/>
            <w:vMerge/>
            <w:tcBorders>
              <w:bottom w:val="single" w:sz="4" w:space="0" w:color="000000"/>
              <w:right w:val="single" w:sz="4" w:space="0" w:color="000000"/>
            </w:tcBorders>
          </w:tcPr>
          <w:p>
            <w:pPr/>
          </w:p>
        </w:tc>
        <w:tc>
          <w:tcPr>
            <w:tcW w:w="737" w:type="dxa"/>
            <w:tcBorders>
              <w:top w:val="single" w:sz="4" w:space="0" w:color="000000"/>
              <w:left w:val="single" w:sz="4" w:space="0" w:color="000000"/>
              <w:bottom w:val="single" w:sz="4" w:space="0" w:color="000000"/>
              <w:right w:val="single" w:sz="4" w:space="0" w:color="000000"/>
            </w:tcBorders>
          </w:tcPr>
          <w:p>
            <w:pPr>
              <w:pStyle w:val="TableParagraph"/>
              <w:spacing w:before="29"/>
              <w:ind w:left="59" w:right="13" w:hanging="1"/>
              <w:jc w:val="center"/>
              <w:rPr>
                <w:b/>
                <w:sz w:val="14"/>
              </w:rPr>
            </w:pPr>
            <w:r>
              <w:rPr>
                <w:b/>
                <w:sz w:val="14"/>
              </w:rPr>
              <w:t>Number eligible to attend</w:t>
            </w:r>
          </w:p>
        </w:tc>
        <w:tc>
          <w:tcPr>
            <w:tcW w:w="737" w:type="dxa"/>
            <w:tcBorders>
              <w:top w:val="single" w:sz="4" w:space="0" w:color="000000"/>
              <w:left w:val="single" w:sz="4" w:space="0" w:color="000000"/>
              <w:bottom w:val="single" w:sz="4" w:space="0" w:color="000000"/>
              <w:right w:val="single" w:sz="4" w:space="0" w:color="000000"/>
            </w:tcBorders>
          </w:tcPr>
          <w:p>
            <w:pPr>
              <w:pStyle w:val="TableParagraph"/>
              <w:spacing w:before="6"/>
              <w:rPr>
                <w:sz w:val="16"/>
              </w:rPr>
            </w:pPr>
          </w:p>
          <w:p>
            <w:pPr>
              <w:pStyle w:val="TableParagraph"/>
              <w:ind w:left="93" w:firstLine="26"/>
              <w:rPr>
                <w:b/>
                <w:sz w:val="14"/>
              </w:rPr>
            </w:pPr>
            <w:r>
              <w:rPr>
                <w:b/>
                <w:sz w:val="14"/>
              </w:rPr>
              <w:t>Number </w:t>
            </w:r>
            <w:r>
              <w:rPr>
                <w:b/>
                <w:w w:val="95"/>
                <w:sz w:val="14"/>
              </w:rPr>
              <w:t>attended</w:t>
            </w:r>
          </w:p>
        </w:tc>
      </w:tr>
      <w:tr>
        <w:trPr>
          <w:trHeight w:val="248" w:hRule="exact"/>
        </w:trPr>
        <w:tc>
          <w:tcPr>
            <w:tcW w:w="4536" w:type="dxa"/>
            <w:tcBorders>
              <w:top w:val="single" w:sz="4" w:space="0" w:color="000000"/>
              <w:left w:val="single" w:sz="4" w:space="0" w:color="000000"/>
              <w:right w:val="single" w:sz="4" w:space="0" w:color="000000"/>
            </w:tcBorders>
          </w:tcPr>
          <w:p>
            <w:pPr>
              <w:pStyle w:val="TableParagraph"/>
              <w:spacing w:before="22"/>
              <w:ind w:left="67"/>
              <w:rPr>
                <w:sz w:val="16"/>
              </w:rPr>
            </w:pPr>
            <w:r>
              <w:rPr>
                <w:sz w:val="16"/>
              </w:rPr>
              <w:t>Ms Rhonda Hawkins</w:t>
            </w:r>
          </w:p>
        </w:tc>
        <w:tc>
          <w:tcPr>
            <w:tcW w:w="737" w:type="dxa"/>
            <w:tcBorders>
              <w:top w:val="single" w:sz="4" w:space="0" w:color="000000"/>
              <w:left w:val="single" w:sz="4" w:space="0" w:color="000000"/>
              <w:right w:val="single" w:sz="4" w:space="0" w:color="000000"/>
            </w:tcBorders>
          </w:tcPr>
          <w:p>
            <w:pPr>
              <w:pStyle w:val="TableParagraph"/>
              <w:spacing w:before="22"/>
              <w:ind w:right="295"/>
              <w:jc w:val="right"/>
              <w:rPr>
                <w:sz w:val="16"/>
              </w:rPr>
            </w:pPr>
            <w:r>
              <w:rPr>
                <w:w w:val="100"/>
                <w:sz w:val="16"/>
              </w:rPr>
              <w:t>6</w:t>
            </w:r>
          </w:p>
        </w:tc>
        <w:tc>
          <w:tcPr>
            <w:tcW w:w="737" w:type="dxa"/>
            <w:tcBorders>
              <w:top w:val="single" w:sz="4" w:space="0" w:color="000000"/>
              <w:left w:val="single" w:sz="4" w:space="0" w:color="000000"/>
              <w:right w:val="single" w:sz="4" w:space="0" w:color="000000"/>
            </w:tcBorders>
          </w:tcPr>
          <w:p>
            <w:pPr>
              <w:pStyle w:val="TableParagraph"/>
              <w:spacing w:before="22"/>
              <w:ind w:right="295"/>
              <w:jc w:val="right"/>
              <w:rPr>
                <w:sz w:val="16"/>
              </w:rPr>
            </w:pPr>
            <w:r>
              <w:rPr>
                <w:w w:val="100"/>
                <w:sz w:val="16"/>
              </w:rPr>
              <w:t>6</w:t>
            </w:r>
          </w:p>
        </w:tc>
      </w:tr>
      <w:tr>
        <w:trPr>
          <w:trHeight w:val="240" w:hRule="exact"/>
        </w:trPr>
        <w:tc>
          <w:tcPr>
            <w:tcW w:w="4536" w:type="dxa"/>
            <w:tcBorders>
              <w:left w:val="single" w:sz="4" w:space="0" w:color="000000"/>
              <w:right w:val="single" w:sz="4" w:space="0" w:color="000000"/>
            </w:tcBorders>
          </w:tcPr>
          <w:p>
            <w:pPr>
              <w:pStyle w:val="TableParagraph"/>
              <w:spacing w:before="20"/>
              <w:ind w:left="67"/>
              <w:rPr>
                <w:sz w:val="16"/>
              </w:rPr>
            </w:pPr>
            <w:r>
              <w:rPr>
                <w:sz w:val="16"/>
              </w:rPr>
              <w:t>Associate Professor Craig Ellis</w:t>
            </w:r>
          </w:p>
        </w:tc>
        <w:tc>
          <w:tcPr>
            <w:tcW w:w="737" w:type="dxa"/>
            <w:tcBorders>
              <w:left w:val="single" w:sz="4" w:space="0" w:color="000000"/>
              <w:right w:val="single" w:sz="4" w:space="0" w:color="000000"/>
            </w:tcBorders>
          </w:tcPr>
          <w:p>
            <w:pPr>
              <w:pStyle w:val="TableParagraph"/>
              <w:spacing w:before="20"/>
              <w:ind w:right="295"/>
              <w:jc w:val="right"/>
              <w:rPr>
                <w:sz w:val="16"/>
              </w:rPr>
            </w:pPr>
            <w:r>
              <w:rPr>
                <w:w w:val="100"/>
                <w:sz w:val="16"/>
              </w:rPr>
              <w:t>6</w:t>
            </w:r>
          </w:p>
        </w:tc>
        <w:tc>
          <w:tcPr>
            <w:tcW w:w="737" w:type="dxa"/>
            <w:tcBorders>
              <w:left w:val="single" w:sz="4" w:space="0" w:color="000000"/>
              <w:right w:val="single" w:sz="4" w:space="0" w:color="000000"/>
            </w:tcBorders>
          </w:tcPr>
          <w:p>
            <w:pPr>
              <w:pStyle w:val="TableParagraph"/>
              <w:spacing w:before="20"/>
              <w:ind w:right="295"/>
              <w:jc w:val="right"/>
              <w:rPr>
                <w:sz w:val="16"/>
              </w:rPr>
            </w:pPr>
            <w:r>
              <w:rPr>
                <w:w w:val="100"/>
                <w:sz w:val="16"/>
              </w:rPr>
              <w:t>5</w:t>
            </w:r>
          </w:p>
        </w:tc>
      </w:tr>
      <w:tr>
        <w:trPr>
          <w:trHeight w:val="240" w:hRule="exact"/>
        </w:trPr>
        <w:tc>
          <w:tcPr>
            <w:tcW w:w="4536" w:type="dxa"/>
            <w:tcBorders>
              <w:left w:val="single" w:sz="4" w:space="0" w:color="000000"/>
              <w:right w:val="single" w:sz="4" w:space="0" w:color="000000"/>
            </w:tcBorders>
          </w:tcPr>
          <w:p>
            <w:pPr>
              <w:pStyle w:val="TableParagraph"/>
              <w:spacing w:before="20"/>
              <w:ind w:left="67"/>
              <w:rPr>
                <w:sz w:val="16"/>
              </w:rPr>
            </w:pPr>
            <w:r>
              <w:rPr>
                <w:sz w:val="16"/>
              </w:rPr>
              <w:t>Ms Mara Moustafine</w:t>
            </w:r>
          </w:p>
        </w:tc>
        <w:tc>
          <w:tcPr>
            <w:tcW w:w="737" w:type="dxa"/>
            <w:tcBorders>
              <w:left w:val="single" w:sz="4" w:space="0" w:color="000000"/>
              <w:right w:val="single" w:sz="4" w:space="0" w:color="000000"/>
            </w:tcBorders>
          </w:tcPr>
          <w:p>
            <w:pPr>
              <w:pStyle w:val="TableParagraph"/>
              <w:spacing w:before="20"/>
              <w:ind w:right="294"/>
              <w:jc w:val="right"/>
              <w:rPr>
                <w:sz w:val="16"/>
              </w:rPr>
            </w:pPr>
            <w:r>
              <w:rPr>
                <w:w w:val="100"/>
                <w:sz w:val="16"/>
              </w:rPr>
              <w:t>6</w:t>
            </w:r>
          </w:p>
        </w:tc>
        <w:tc>
          <w:tcPr>
            <w:tcW w:w="737" w:type="dxa"/>
            <w:tcBorders>
              <w:left w:val="single" w:sz="4" w:space="0" w:color="000000"/>
              <w:right w:val="single" w:sz="4" w:space="0" w:color="000000"/>
            </w:tcBorders>
          </w:tcPr>
          <w:p>
            <w:pPr>
              <w:pStyle w:val="TableParagraph"/>
              <w:spacing w:before="20"/>
              <w:ind w:right="294"/>
              <w:jc w:val="right"/>
              <w:rPr>
                <w:sz w:val="16"/>
              </w:rPr>
            </w:pPr>
            <w:r>
              <w:rPr>
                <w:w w:val="100"/>
                <w:sz w:val="16"/>
              </w:rPr>
              <w:t>5</w:t>
            </w:r>
          </w:p>
        </w:tc>
      </w:tr>
      <w:tr>
        <w:trPr>
          <w:trHeight w:val="240" w:hRule="exact"/>
        </w:trPr>
        <w:tc>
          <w:tcPr>
            <w:tcW w:w="4536" w:type="dxa"/>
            <w:tcBorders>
              <w:left w:val="single" w:sz="4" w:space="0" w:color="000000"/>
              <w:right w:val="single" w:sz="4" w:space="0" w:color="000000"/>
            </w:tcBorders>
          </w:tcPr>
          <w:p>
            <w:pPr>
              <w:pStyle w:val="TableParagraph"/>
              <w:spacing w:before="20"/>
              <w:ind w:left="67"/>
              <w:rPr>
                <w:sz w:val="16"/>
              </w:rPr>
            </w:pPr>
            <w:r>
              <w:rPr>
                <w:sz w:val="16"/>
              </w:rPr>
              <w:t>Ms Xenia Delaney</w:t>
            </w:r>
          </w:p>
        </w:tc>
        <w:tc>
          <w:tcPr>
            <w:tcW w:w="737" w:type="dxa"/>
            <w:tcBorders>
              <w:left w:val="single" w:sz="4" w:space="0" w:color="000000"/>
              <w:right w:val="single" w:sz="4" w:space="0" w:color="000000"/>
            </w:tcBorders>
          </w:tcPr>
          <w:p>
            <w:pPr>
              <w:pStyle w:val="TableParagraph"/>
              <w:spacing w:before="20"/>
              <w:ind w:right="294"/>
              <w:jc w:val="right"/>
              <w:rPr>
                <w:sz w:val="16"/>
              </w:rPr>
            </w:pPr>
            <w:r>
              <w:rPr>
                <w:w w:val="100"/>
                <w:sz w:val="16"/>
              </w:rPr>
              <w:t>6</w:t>
            </w:r>
          </w:p>
        </w:tc>
        <w:tc>
          <w:tcPr>
            <w:tcW w:w="737" w:type="dxa"/>
            <w:tcBorders>
              <w:left w:val="single" w:sz="4" w:space="0" w:color="000000"/>
              <w:right w:val="single" w:sz="4" w:space="0" w:color="000000"/>
            </w:tcBorders>
          </w:tcPr>
          <w:p>
            <w:pPr>
              <w:pStyle w:val="TableParagraph"/>
              <w:spacing w:before="20"/>
              <w:ind w:right="294"/>
              <w:jc w:val="right"/>
              <w:rPr>
                <w:sz w:val="16"/>
              </w:rPr>
            </w:pPr>
            <w:r>
              <w:rPr>
                <w:w w:val="100"/>
                <w:sz w:val="16"/>
              </w:rPr>
              <w:t>5</w:t>
            </w:r>
          </w:p>
        </w:tc>
      </w:tr>
      <w:tr>
        <w:trPr>
          <w:trHeight w:val="240" w:hRule="exact"/>
        </w:trPr>
        <w:tc>
          <w:tcPr>
            <w:tcW w:w="4536" w:type="dxa"/>
            <w:tcBorders>
              <w:left w:val="single" w:sz="4" w:space="0" w:color="000000"/>
              <w:right w:val="single" w:sz="4" w:space="0" w:color="000000"/>
            </w:tcBorders>
          </w:tcPr>
          <w:p>
            <w:pPr>
              <w:pStyle w:val="TableParagraph"/>
              <w:spacing w:before="20"/>
              <w:ind w:left="67"/>
              <w:rPr>
                <w:sz w:val="16"/>
              </w:rPr>
            </w:pPr>
            <w:r>
              <w:rPr>
                <w:sz w:val="16"/>
              </w:rPr>
              <w:t>Professor Kerri-Lee Krause</w:t>
            </w:r>
          </w:p>
        </w:tc>
        <w:tc>
          <w:tcPr>
            <w:tcW w:w="737" w:type="dxa"/>
            <w:tcBorders>
              <w:left w:val="single" w:sz="4" w:space="0" w:color="000000"/>
              <w:right w:val="single" w:sz="4" w:space="0" w:color="000000"/>
            </w:tcBorders>
          </w:tcPr>
          <w:p>
            <w:pPr>
              <w:pStyle w:val="TableParagraph"/>
              <w:spacing w:before="20"/>
              <w:ind w:right="294"/>
              <w:jc w:val="right"/>
              <w:rPr>
                <w:sz w:val="16"/>
              </w:rPr>
            </w:pPr>
            <w:r>
              <w:rPr>
                <w:w w:val="100"/>
                <w:sz w:val="16"/>
              </w:rPr>
              <w:t>4</w:t>
            </w:r>
          </w:p>
        </w:tc>
        <w:tc>
          <w:tcPr>
            <w:tcW w:w="737" w:type="dxa"/>
            <w:tcBorders>
              <w:left w:val="single" w:sz="4" w:space="0" w:color="000000"/>
              <w:right w:val="single" w:sz="4" w:space="0" w:color="000000"/>
            </w:tcBorders>
          </w:tcPr>
          <w:p>
            <w:pPr>
              <w:pStyle w:val="TableParagraph"/>
              <w:spacing w:before="20"/>
              <w:ind w:right="294"/>
              <w:jc w:val="right"/>
              <w:rPr>
                <w:sz w:val="16"/>
              </w:rPr>
            </w:pPr>
            <w:r>
              <w:rPr>
                <w:w w:val="100"/>
                <w:sz w:val="16"/>
              </w:rPr>
              <w:t>3</w:t>
            </w:r>
          </w:p>
        </w:tc>
      </w:tr>
      <w:tr>
        <w:trPr>
          <w:trHeight w:val="240" w:hRule="exact"/>
        </w:trPr>
        <w:tc>
          <w:tcPr>
            <w:tcW w:w="4536" w:type="dxa"/>
            <w:tcBorders>
              <w:left w:val="single" w:sz="4" w:space="0" w:color="000000"/>
              <w:right w:val="single" w:sz="4" w:space="0" w:color="000000"/>
            </w:tcBorders>
          </w:tcPr>
          <w:p>
            <w:pPr>
              <w:pStyle w:val="TableParagraph"/>
              <w:spacing w:before="20"/>
              <w:ind w:left="67"/>
              <w:rPr>
                <w:sz w:val="16"/>
              </w:rPr>
            </w:pPr>
            <w:r>
              <w:rPr>
                <w:sz w:val="16"/>
              </w:rPr>
              <w:t>Mr Angelo Kourtis</w:t>
            </w:r>
          </w:p>
        </w:tc>
        <w:tc>
          <w:tcPr>
            <w:tcW w:w="737" w:type="dxa"/>
            <w:tcBorders>
              <w:left w:val="single" w:sz="4" w:space="0" w:color="000000"/>
              <w:right w:val="single" w:sz="4" w:space="0" w:color="000000"/>
            </w:tcBorders>
          </w:tcPr>
          <w:p>
            <w:pPr>
              <w:pStyle w:val="TableParagraph"/>
              <w:spacing w:before="20"/>
              <w:ind w:right="295"/>
              <w:jc w:val="right"/>
              <w:rPr>
                <w:sz w:val="16"/>
              </w:rPr>
            </w:pPr>
            <w:r>
              <w:rPr>
                <w:w w:val="100"/>
                <w:sz w:val="16"/>
              </w:rPr>
              <w:t>4</w:t>
            </w:r>
          </w:p>
        </w:tc>
        <w:tc>
          <w:tcPr>
            <w:tcW w:w="737" w:type="dxa"/>
            <w:tcBorders>
              <w:left w:val="single" w:sz="4" w:space="0" w:color="000000"/>
              <w:right w:val="single" w:sz="4" w:space="0" w:color="000000"/>
            </w:tcBorders>
          </w:tcPr>
          <w:p>
            <w:pPr>
              <w:pStyle w:val="TableParagraph"/>
              <w:spacing w:before="20"/>
              <w:ind w:right="295"/>
              <w:jc w:val="right"/>
              <w:rPr>
                <w:sz w:val="16"/>
              </w:rPr>
            </w:pPr>
            <w:r>
              <w:rPr>
                <w:w w:val="100"/>
                <w:sz w:val="16"/>
              </w:rPr>
              <w:t>4</w:t>
            </w:r>
          </w:p>
        </w:tc>
      </w:tr>
      <w:tr>
        <w:trPr>
          <w:trHeight w:val="240" w:hRule="exact"/>
        </w:trPr>
        <w:tc>
          <w:tcPr>
            <w:tcW w:w="4536" w:type="dxa"/>
            <w:tcBorders>
              <w:left w:val="single" w:sz="4" w:space="0" w:color="000000"/>
              <w:right w:val="single" w:sz="4" w:space="0" w:color="000000"/>
            </w:tcBorders>
          </w:tcPr>
          <w:p>
            <w:pPr>
              <w:pStyle w:val="TableParagraph"/>
              <w:spacing w:before="20"/>
              <w:ind w:left="67"/>
              <w:rPr>
                <w:sz w:val="16"/>
              </w:rPr>
            </w:pPr>
            <w:r>
              <w:rPr>
                <w:sz w:val="16"/>
              </w:rPr>
              <w:t>Mr Peter Graham</w:t>
            </w:r>
          </w:p>
        </w:tc>
        <w:tc>
          <w:tcPr>
            <w:tcW w:w="737" w:type="dxa"/>
            <w:tcBorders>
              <w:left w:val="single" w:sz="4" w:space="0" w:color="000000"/>
              <w:right w:val="single" w:sz="4" w:space="0" w:color="000000"/>
            </w:tcBorders>
          </w:tcPr>
          <w:p>
            <w:pPr>
              <w:pStyle w:val="TableParagraph"/>
              <w:spacing w:before="20"/>
              <w:ind w:right="294"/>
              <w:jc w:val="right"/>
              <w:rPr>
                <w:sz w:val="16"/>
              </w:rPr>
            </w:pPr>
            <w:r>
              <w:rPr>
                <w:w w:val="100"/>
                <w:sz w:val="16"/>
              </w:rPr>
              <w:t>4</w:t>
            </w:r>
          </w:p>
        </w:tc>
        <w:tc>
          <w:tcPr>
            <w:tcW w:w="737" w:type="dxa"/>
            <w:tcBorders>
              <w:left w:val="single" w:sz="4" w:space="0" w:color="000000"/>
              <w:right w:val="single" w:sz="4" w:space="0" w:color="000000"/>
            </w:tcBorders>
          </w:tcPr>
          <w:p>
            <w:pPr>
              <w:pStyle w:val="TableParagraph"/>
              <w:spacing w:before="20"/>
              <w:ind w:right="294"/>
              <w:jc w:val="right"/>
              <w:rPr>
                <w:sz w:val="16"/>
              </w:rPr>
            </w:pPr>
            <w:r>
              <w:rPr>
                <w:w w:val="100"/>
                <w:sz w:val="16"/>
              </w:rPr>
              <w:t>3</w:t>
            </w:r>
          </w:p>
        </w:tc>
      </w:tr>
      <w:tr>
        <w:trPr>
          <w:trHeight w:val="240" w:hRule="exact"/>
        </w:trPr>
        <w:tc>
          <w:tcPr>
            <w:tcW w:w="4536" w:type="dxa"/>
            <w:tcBorders>
              <w:left w:val="single" w:sz="4" w:space="0" w:color="000000"/>
              <w:right w:val="single" w:sz="4" w:space="0" w:color="000000"/>
            </w:tcBorders>
          </w:tcPr>
          <w:p>
            <w:pPr>
              <w:pStyle w:val="TableParagraph"/>
              <w:spacing w:before="20"/>
              <w:ind w:left="67"/>
              <w:rPr>
                <w:sz w:val="16"/>
              </w:rPr>
            </w:pPr>
            <w:r>
              <w:rPr>
                <w:sz w:val="16"/>
              </w:rPr>
              <w:t>Dr Betty Gill</w:t>
            </w:r>
          </w:p>
        </w:tc>
        <w:tc>
          <w:tcPr>
            <w:tcW w:w="737" w:type="dxa"/>
            <w:tcBorders>
              <w:left w:val="single" w:sz="4" w:space="0" w:color="000000"/>
              <w:right w:val="single" w:sz="4" w:space="0" w:color="000000"/>
            </w:tcBorders>
          </w:tcPr>
          <w:p>
            <w:pPr>
              <w:pStyle w:val="TableParagraph"/>
              <w:spacing w:before="20"/>
              <w:ind w:right="295"/>
              <w:jc w:val="right"/>
              <w:rPr>
                <w:sz w:val="16"/>
              </w:rPr>
            </w:pPr>
            <w:r>
              <w:rPr>
                <w:w w:val="100"/>
                <w:sz w:val="16"/>
              </w:rPr>
              <w:t>2</w:t>
            </w:r>
          </w:p>
        </w:tc>
        <w:tc>
          <w:tcPr>
            <w:tcW w:w="737" w:type="dxa"/>
            <w:tcBorders>
              <w:left w:val="single" w:sz="4" w:space="0" w:color="000000"/>
              <w:right w:val="single" w:sz="4" w:space="0" w:color="000000"/>
            </w:tcBorders>
          </w:tcPr>
          <w:p>
            <w:pPr>
              <w:pStyle w:val="TableParagraph"/>
              <w:spacing w:before="20"/>
              <w:ind w:right="295"/>
              <w:jc w:val="right"/>
              <w:rPr>
                <w:sz w:val="16"/>
              </w:rPr>
            </w:pPr>
            <w:r>
              <w:rPr>
                <w:w w:val="100"/>
                <w:sz w:val="16"/>
              </w:rPr>
              <w:t>2</w:t>
            </w:r>
          </w:p>
        </w:tc>
      </w:tr>
      <w:tr>
        <w:trPr>
          <w:trHeight w:val="482" w:hRule="exact"/>
        </w:trPr>
        <w:tc>
          <w:tcPr>
            <w:tcW w:w="4536" w:type="dxa"/>
            <w:tcBorders>
              <w:left w:val="single" w:sz="4" w:space="0" w:color="000000"/>
              <w:bottom w:val="single" w:sz="4" w:space="0" w:color="000000"/>
              <w:right w:val="single" w:sz="4" w:space="0" w:color="000000"/>
            </w:tcBorders>
          </w:tcPr>
          <w:p>
            <w:pPr>
              <w:pStyle w:val="TableParagraph"/>
              <w:spacing w:before="20"/>
              <w:ind w:left="67"/>
              <w:rPr>
                <w:sz w:val="16"/>
              </w:rPr>
            </w:pPr>
            <w:r>
              <w:rPr>
                <w:sz w:val="16"/>
              </w:rPr>
              <w:t>Professor Stuart Campbell</w:t>
            </w:r>
          </w:p>
        </w:tc>
        <w:tc>
          <w:tcPr>
            <w:tcW w:w="737" w:type="dxa"/>
            <w:tcBorders>
              <w:left w:val="single" w:sz="4" w:space="0" w:color="000000"/>
              <w:bottom w:val="single" w:sz="4" w:space="0" w:color="000000"/>
              <w:right w:val="single" w:sz="4" w:space="0" w:color="000000"/>
            </w:tcBorders>
          </w:tcPr>
          <w:p>
            <w:pPr>
              <w:pStyle w:val="TableParagraph"/>
              <w:spacing w:before="20"/>
              <w:ind w:right="294"/>
              <w:jc w:val="right"/>
              <w:rPr>
                <w:sz w:val="16"/>
              </w:rPr>
            </w:pPr>
            <w:r>
              <w:rPr>
                <w:w w:val="100"/>
                <w:sz w:val="16"/>
              </w:rPr>
              <w:t>2</w:t>
            </w:r>
          </w:p>
        </w:tc>
        <w:tc>
          <w:tcPr>
            <w:tcW w:w="737" w:type="dxa"/>
            <w:tcBorders>
              <w:left w:val="single" w:sz="4" w:space="0" w:color="000000"/>
              <w:bottom w:val="single" w:sz="4" w:space="0" w:color="000000"/>
              <w:right w:val="single" w:sz="4" w:space="0" w:color="000000"/>
            </w:tcBorders>
          </w:tcPr>
          <w:p>
            <w:pPr>
              <w:pStyle w:val="TableParagraph"/>
              <w:spacing w:before="20"/>
              <w:ind w:right="294"/>
              <w:jc w:val="right"/>
              <w:rPr>
                <w:sz w:val="16"/>
              </w:rPr>
            </w:pPr>
            <w:r>
              <w:rPr>
                <w:w w:val="100"/>
                <w:sz w:val="16"/>
              </w:rPr>
              <w:t>1</w:t>
            </w:r>
          </w:p>
        </w:tc>
      </w:tr>
    </w:tbl>
    <w:p>
      <w:pPr>
        <w:pStyle w:val="BodyText"/>
        <w:spacing w:before="9"/>
        <w:rPr>
          <w:sz w:val="17"/>
        </w:rPr>
      </w:pPr>
    </w:p>
    <w:p>
      <w:pPr>
        <w:pStyle w:val="Heading9"/>
        <w:spacing w:before="78"/>
        <w:ind w:left="524" w:right="262"/>
      </w:pPr>
      <w:r>
        <w:rPr/>
        <w:t>Indemnification and insurance of officers and auditors</w:t>
      </w:r>
    </w:p>
    <w:p>
      <w:pPr>
        <w:pStyle w:val="BodyText"/>
        <w:spacing w:before="10"/>
        <w:rPr>
          <w:b/>
        </w:rPr>
      </w:pPr>
    </w:p>
    <w:p>
      <w:pPr>
        <w:pStyle w:val="BodyText"/>
        <w:spacing w:before="77"/>
        <w:ind w:left="503" w:right="182"/>
      </w:pPr>
      <w:r>
        <w:rPr/>
        <w:t>The Company is insured externally and in line with the University of Western Sydney policies for all significant areas of risk exposure and accordingly, is not a self-insurer and makes no provision in its financial statements for internal coverage.</w:t>
      </w:r>
    </w:p>
    <w:p>
      <w:pPr>
        <w:pStyle w:val="BodyText"/>
        <w:spacing w:before="6"/>
        <w:rPr>
          <w:sz w:val="24"/>
        </w:rPr>
      </w:pPr>
    </w:p>
    <w:p>
      <w:pPr>
        <w:pStyle w:val="Heading9"/>
        <w:ind w:left="504" w:right="262"/>
      </w:pPr>
      <w:r>
        <w:rPr/>
        <w:t>Proceedings on behalf of company</w:t>
      </w:r>
    </w:p>
    <w:p>
      <w:pPr>
        <w:pStyle w:val="BodyText"/>
        <w:spacing w:before="7"/>
        <w:rPr>
          <w:b/>
          <w:sz w:val="25"/>
        </w:rPr>
      </w:pPr>
    </w:p>
    <w:p>
      <w:pPr>
        <w:pStyle w:val="BodyText"/>
        <w:ind w:left="504" w:right="50"/>
      </w:pPr>
      <w:r>
        <w:rPr/>
        <w:t>No person has applied for leave of court to bring proceedings on behalf of the Company or intervene in any proceedings to which the Company is a party for the purpose of taking responsibility on behalf of the Company for all or any part of those proceedings.</w:t>
      </w:r>
    </w:p>
    <w:p>
      <w:pPr>
        <w:pStyle w:val="BodyText"/>
        <w:rPr>
          <w:sz w:val="25"/>
        </w:rPr>
      </w:pPr>
    </w:p>
    <w:p>
      <w:pPr>
        <w:pStyle w:val="BodyText"/>
        <w:ind w:left="503" w:right="262"/>
      </w:pPr>
      <w:r>
        <w:rPr/>
        <w:t>The Company was not a party to any such proceedings during the year.</w:t>
      </w:r>
    </w:p>
    <w:p>
      <w:pPr>
        <w:pStyle w:val="BodyText"/>
        <w:spacing w:before="8"/>
        <w:rPr>
          <w:sz w:val="24"/>
        </w:rPr>
      </w:pPr>
    </w:p>
    <w:p>
      <w:pPr>
        <w:pStyle w:val="Heading9"/>
        <w:spacing w:before="1"/>
        <w:ind w:left="504" w:right="262"/>
      </w:pPr>
      <w:r>
        <w:rPr/>
        <w:t>Auditor's independence declaration</w:t>
      </w:r>
    </w:p>
    <w:p>
      <w:pPr>
        <w:pStyle w:val="BodyText"/>
        <w:spacing w:before="2"/>
        <w:rPr>
          <w:b/>
          <w:sz w:val="25"/>
        </w:rPr>
      </w:pPr>
    </w:p>
    <w:p>
      <w:pPr>
        <w:pStyle w:val="BodyText"/>
        <w:spacing w:line="244" w:lineRule="auto"/>
        <w:ind w:left="503" w:right="457"/>
      </w:pPr>
      <w:r>
        <w:rPr/>
        <w:t>The auditor's independence declaration in accordance with section 307C of the </w:t>
      </w:r>
      <w:r>
        <w:rPr>
          <w:i/>
        </w:rPr>
        <w:t>Corporations Act 2001</w:t>
      </w:r>
      <w:r>
        <w:rPr/>
        <w:t>, for the year ended 31 December 2012 has been received and can be found on page 195 of the financial statements.</w:t>
      </w:r>
    </w:p>
    <w:p>
      <w:pPr>
        <w:pStyle w:val="BodyText"/>
        <w:spacing w:before="7"/>
        <w:rPr>
          <w:sz w:val="24"/>
        </w:rPr>
      </w:pPr>
    </w:p>
    <w:p>
      <w:pPr>
        <w:pStyle w:val="BodyText"/>
        <w:ind w:left="503" w:right="262"/>
      </w:pPr>
      <w:r>
        <w:rPr/>
        <w:t>The Audit Office of New South Wales GPO Box 12 Sydney NSW 2001</w:t>
      </w:r>
    </w:p>
    <w:p>
      <w:pPr>
        <w:pStyle w:val="BodyText"/>
        <w:spacing w:before="2"/>
        <w:rPr>
          <w:sz w:val="25"/>
        </w:rPr>
      </w:pPr>
    </w:p>
    <w:p>
      <w:pPr>
        <w:pStyle w:val="BodyText"/>
        <w:ind w:left="503" w:right="262"/>
      </w:pPr>
      <w:r>
        <w:rPr/>
        <w:t>This report is made in accordance with a resolution of the Board of Directors.</w:t>
      </w:r>
    </w:p>
    <w:p>
      <w:pPr>
        <w:pStyle w:val="BodyText"/>
        <w:rPr>
          <w:sz w:val="17"/>
        </w:rPr>
      </w:pPr>
      <w:r>
        <w:rPr/>
        <w:drawing>
          <wp:anchor distT="0" distB="0" distL="0" distR="0" allowOverlap="1" layoutInCell="1" locked="0" behindDoc="0" simplePos="0" relativeHeight="5032">
            <wp:simplePos x="0" y="0"/>
            <wp:positionH relativeFrom="page">
              <wp:posOffset>642851</wp:posOffset>
            </wp:positionH>
            <wp:positionV relativeFrom="paragraph">
              <wp:posOffset>149111</wp:posOffset>
            </wp:positionV>
            <wp:extent cx="5924472" cy="1436370"/>
            <wp:effectExtent l="0" t="0" r="0" b="0"/>
            <wp:wrapTopAndBottom/>
            <wp:docPr id="71" name="image63.jpeg" descr=""/>
            <wp:cNvGraphicFramePr>
              <a:graphicFrameLocks noChangeAspect="1"/>
            </wp:cNvGraphicFramePr>
            <a:graphic>
              <a:graphicData uri="http://schemas.openxmlformats.org/drawingml/2006/picture">
                <pic:pic>
                  <pic:nvPicPr>
                    <pic:cNvPr id="72" name="image63.jpeg"/>
                    <pic:cNvPicPr/>
                  </pic:nvPicPr>
                  <pic:blipFill>
                    <a:blip r:embed="rId175" cstate="print"/>
                    <a:stretch>
                      <a:fillRect/>
                    </a:stretch>
                  </pic:blipFill>
                  <pic:spPr>
                    <a:xfrm>
                      <a:off x="0" y="0"/>
                      <a:ext cx="5924472" cy="1436370"/>
                    </a:xfrm>
                    <a:prstGeom prst="rect">
                      <a:avLst/>
                    </a:prstGeom>
                  </pic:spPr>
                </pic:pic>
              </a:graphicData>
            </a:graphic>
          </wp:anchor>
        </w:drawing>
      </w:r>
    </w:p>
    <w:p>
      <w:pPr>
        <w:spacing w:after="0"/>
        <w:rPr>
          <w:sz w:val="17"/>
        </w:rPr>
        <w:sectPr>
          <w:headerReference w:type="default" r:id="rId173"/>
          <w:footerReference w:type="default" r:id="rId174"/>
          <w:pgSz w:w="11960" w:h="16850"/>
          <w:pgMar w:header="0" w:footer="507" w:top="660" w:bottom="700" w:left="900" w:right="940"/>
          <w:pgNumType w:start="164"/>
        </w:sectPr>
      </w:pPr>
    </w:p>
    <w:p>
      <w:pPr>
        <w:pStyle w:val="Heading6"/>
        <w:spacing w:before="53"/>
        <w:ind w:right="392"/>
      </w:pPr>
      <w:r>
        <w:rPr/>
        <w:t>UWS College Pty Limited</w:t>
      </w:r>
    </w:p>
    <w:p>
      <w:pPr>
        <w:spacing w:before="55"/>
        <w:ind w:left="107" w:right="392" w:firstLine="0"/>
        <w:jc w:val="left"/>
        <w:rPr>
          <w:b/>
          <w:sz w:val="14"/>
        </w:rPr>
      </w:pPr>
      <w:r>
        <w:rPr>
          <w:b/>
          <w:sz w:val="14"/>
        </w:rPr>
        <w:t>ABN: 44 003 474 468</w:t>
      </w:r>
    </w:p>
    <w:p>
      <w:pPr>
        <w:pStyle w:val="BodyText"/>
        <w:rPr>
          <w:b/>
          <w:sz w:val="14"/>
        </w:rPr>
      </w:pPr>
    </w:p>
    <w:p>
      <w:pPr>
        <w:pStyle w:val="BodyText"/>
        <w:spacing w:before="7"/>
        <w:rPr>
          <w:b/>
          <w:sz w:val="15"/>
        </w:rPr>
      </w:pPr>
    </w:p>
    <w:p>
      <w:pPr>
        <w:pStyle w:val="Heading3"/>
        <w:spacing w:before="1"/>
        <w:ind w:right="392"/>
      </w:pPr>
      <w:r>
        <w:rPr/>
        <w:t>Directors' Declaration</w:t>
      </w:r>
    </w:p>
    <w:p>
      <w:pPr>
        <w:pStyle w:val="BodyText"/>
        <w:spacing w:before="2"/>
        <w:rPr>
          <w:b/>
          <w:sz w:val="25"/>
        </w:rPr>
      </w:pPr>
    </w:p>
    <w:p>
      <w:pPr>
        <w:pStyle w:val="BodyText"/>
        <w:ind w:left="107" w:right="392"/>
      </w:pPr>
      <w:r>
        <w:rPr/>
        <w:t>In the directors' opinion:</w:t>
      </w:r>
    </w:p>
    <w:p>
      <w:pPr>
        <w:pStyle w:val="BodyText"/>
        <w:spacing w:before="10"/>
        <w:rPr>
          <w:sz w:val="17"/>
        </w:rPr>
      </w:pPr>
    </w:p>
    <w:p>
      <w:pPr>
        <w:pStyle w:val="ListParagraph"/>
        <w:numPr>
          <w:ilvl w:val="0"/>
          <w:numId w:val="78"/>
        </w:numPr>
        <w:tabs>
          <w:tab w:pos="504" w:val="left" w:leader="none"/>
        </w:tabs>
        <w:spacing w:line="240" w:lineRule="auto" w:before="0" w:after="0"/>
        <w:ind w:left="503" w:right="0" w:hanging="396"/>
        <w:jc w:val="left"/>
        <w:rPr>
          <w:sz w:val="18"/>
        </w:rPr>
      </w:pPr>
      <w:r>
        <w:rPr>
          <w:sz w:val="18"/>
        </w:rPr>
        <w:t>the financial statements and notes are in accordance with the </w:t>
      </w:r>
      <w:r>
        <w:rPr>
          <w:i/>
          <w:sz w:val="18"/>
        </w:rPr>
        <w:t>Corporations Act 2001</w:t>
      </w:r>
      <w:r>
        <w:rPr>
          <w:sz w:val="18"/>
        </w:rPr>
        <w:t>,</w:t>
      </w:r>
      <w:r>
        <w:rPr>
          <w:spacing w:val="-32"/>
          <w:sz w:val="18"/>
        </w:rPr>
        <w:t> </w:t>
      </w:r>
      <w:r>
        <w:rPr>
          <w:sz w:val="18"/>
        </w:rPr>
        <w:t>including</w:t>
      </w:r>
    </w:p>
    <w:p>
      <w:pPr>
        <w:pStyle w:val="BodyText"/>
      </w:pPr>
    </w:p>
    <w:p>
      <w:pPr>
        <w:pStyle w:val="BodyText"/>
        <w:spacing w:before="1"/>
        <w:rPr>
          <w:sz w:val="25"/>
        </w:rPr>
      </w:pPr>
    </w:p>
    <w:p>
      <w:pPr>
        <w:pStyle w:val="ListParagraph"/>
        <w:numPr>
          <w:ilvl w:val="1"/>
          <w:numId w:val="78"/>
        </w:numPr>
        <w:tabs>
          <w:tab w:pos="900" w:val="left" w:leader="none"/>
        </w:tabs>
        <w:spacing w:line="240" w:lineRule="auto" w:before="0" w:after="0"/>
        <w:ind w:left="899" w:right="0" w:hanging="396"/>
        <w:jc w:val="left"/>
        <w:rPr>
          <w:i/>
          <w:sz w:val="18"/>
        </w:rPr>
      </w:pPr>
      <w:r>
        <w:rPr>
          <w:sz w:val="18"/>
        </w:rPr>
        <w:t>complying</w:t>
      </w:r>
      <w:r>
        <w:rPr>
          <w:spacing w:val="-3"/>
          <w:sz w:val="18"/>
        </w:rPr>
        <w:t> </w:t>
      </w:r>
      <w:r>
        <w:rPr>
          <w:sz w:val="18"/>
        </w:rPr>
        <w:t>with</w:t>
      </w:r>
      <w:r>
        <w:rPr>
          <w:spacing w:val="-3"/>
          <w:sz w:val="18"/>
        </w:rPr>
        <w:t> </w:t>
      </w:r>
      <w:r>
        <w:rPr>
          <w:sz w:val="18"/>
        </w:rPr>
        <w:t>Accounting</w:t>
      </w:r>
      <w:r>
        <w:rPr>
          <w:spacing w:val="-3"/>
          <w:sz w:val="18"/>
        </w:rPr>
        <w:t> </w:t>
      </w:r>
      <w:r>
        <w:rPr>
          <w:sz w:val="18"/>
        </w:rPr>
        <w:t>Standards,</w:t>
      </w:r>
      <w:r>
        <w:rPr>
          <w:spacing w:val="-4"/>
          <w:sz w:val="18"/>
        </w:rPr>
        <w:t> </w:t>
      </w:r>
      <w:r>
        <w:rPr>
          <w:sz w:val="18"/>
        </w:rPr>
        <w:t>the</w:t>
      </w:r>
      <w:r>
        <w:rPr>
          <w:spacing w:val="-3"/>
          <w:sz w:val="18"/>
        </w:rPr>
        <w:t> </w:t>
      </w:r>
      <w:r>
        <w:rPr>
          <w:i/>
          <w:sz w:val="18"/>
        </w:rPr>
        <w:t>Corporations</w:t>
      </w:r>
      <w:r>
        <w:rPr>
          <w:i/>
          <w:spacing w:val="-5"/>
          <w:sz w:val="18"/>
        </w:rPr>
        <w:t> </w:t>
      </w:r>
      <w:r>
        <w:rPr>
          <w:i/>
          <w:sz w:val="18"/>
        </w:rPr>
        <w:t>Regulations</w:t>
      </w:r>
      <w:r>
        <w:rPr>
          <w:i/>
          <w:spacing w:val="-5"/>
          <w:sz w:val="18"/>
        </w:rPr>
        <w:t> </w:t>
      </w:r>
      <w:r>
        <w:rPr>
          <w:i/>
          <w:sz w:val="18"/>
        </w:rPr>
        <w:t>2001,</w:t>
      </w:r>
      <w:r>
        <w:rPr>
          <w:i/>
          <w:spacing w:val="-4"/>
          <w:sz w:val="18"/>
        </w:rPr>
        <w:t> </w:t>
      </w:r>
      <w:r>
        <w:rPr>
          <w:i/>
          <w:sz w:val="18"/>
        </w:rPr>
        <w:t>Public</w:t>
      </w:r>
      <w:r>
        <w:rPr>
          <w:i/>
          <w:spacing w:val="-3"/>
          <w:sz w:val="18"/>
        </w:rPr>
        <w:t> </w:t>
      </w:r>
      <w:r>
        <w:rPr>
          <w:i/>
          <w:sz w:val="18"/>
        </w:rPr>
        <w:t>Finance</w:t>
      </w:r>
      <w:r>
        <w:rPr>
          <w:i/>
          <w:spacing w:val="-6"/>
          <w:sz w:val="18"/>
        </w:rPr>
        <w:t> </w:t>
      </w:r>
      <w:r>
        <w:rPr>
          <w:i/>
          <w:sz w:val="18"/>
        </w:rPr>
        <w:t>and</w:t>
      </w:r>
      <w:r>
        <w:rPr>
          <w:i/>
          <w:spacing w:val="-3"/>
          <w:sz w:val="18"/>
        </w:rPr>
        <w:t> </w:t>
      </w:r>
      <w:r>
        <w:rPr>
          <w:i/>
          <w:sz w:val="18"/>
        </w:rPr>
        <w:t>Audit</w:t>
      </w:r>
      <w:r>
        <w:rPr>
          <w:i/>
          <w:spacing w:val="-4"/>
          <w:sz w:val="18"/>
        </w:rPr>
        <w:t> </w:t>
      </w:r>
      <w:r>
        <w:rPr>
          <w:i/>
          <w:sz w:val="18"/>
        </w:rPr>
        <w:t>Act</w:t>
      </w:r>
      <w:r>
        <w:rPr>
          <w:i/>
          <w:spacing w:val="-4"/>
          <w:sz w:val="18"/>
        </w:rPr>
        <w:t> </w:t>
      </w:r>
      <w:r>
        <w:rPr>
          <w:i/>
          <w:sz w:val="18"/>
        </w:rPr>
        <w:t>1983,</w:t>
      </w:r>
    </w:p>
    <w:p>
      <w:pPr>
        <w:spacing w:before="2"/>
        <w:ind w:left="899" w:right="392" w:firstLine="0"/>
        <w:jc w:val="left"/>
        <w:rPr>
          <w:sz w:val="18"/>
        </w:rPr>
      </w:pPr>
      <w:r>
        <w:rPr>
          <w:i/>
          <w:sz w:val="18"/>
        </w:rPr>
        <w:t>Public Finance and Audit Regulation 2010 </w:t>
      </w:r>
      <w:r>
        <w:rPr>
          <w:sz w:val="18"/>
        </w:rPr>
        <w:t>and other mandatory professional reporting requirements, and</w:t>
      </w:r>
    </w:p>
    <w:p>
      <w:pPr>
        <w:pStyle w:val="BodyText"/>
        <w:spacing w:before="2"/>
        <w:rPr>
          <w:sz w:val="25"/>
        </w:rPr>
      </w:pPr>
    </w:p>
    <w:p>
      <w:pPr>
        <w:pStyle w:val="ListParagraph"/>
        <w:numPr>
          <w:ilvl w:val="1"/>
          <w:numId w:val="78"/>
        </w:numPr>
        <w:tabs>
          <w:tab w:pos="900" w:val="left" w:leader="none"/>
        </w:tabs>
        <w:spacing w:line="240" w:lineRule="auto" w:before="0" w:after="0"/>
        <w:ind w:left="899" w:right="115" w:hanging="396"/>
        <w:jc w:val="left"/>
        <w:rPr>
          <w:sz w:val="18"/>
        </w:rPr>
      </w:pPr>
      <w:r>
        <w:rPr>
          <w:sz w:val="18"/>
        </w:rPr>
        <w:t>giving a true and fair view of the company's financial position as at 31 December 2012 and of its performance for the financial year ended on that date,</w:t>
      </w:r>
      <w:r>
        <w:rPr>
          <w:spacing w:val="-17"/>
          <w:sz w:val="18"/>
        </w:rPr>
        <w:t> </w:t>
      </w:r>
      <w:r>
        <w:rPr>
          <w:sz w:val="18"/>
        </w:rPr>
        <w:t>and;</w:t>
      </w:r>
    </w:p>
    <w:p>
      <w:pPr>
        <w:pStyle w:val="BodyText"/>
        <w:spacing w:before="1"/>
      </w:pPr>
    </w:p>
    <w:p>
      <w:pPr>
        <w:pStyle w:val="ListParagraph"/>
        <w:numPr>
          <w:ilvl w:val="0"/>
          <w:numId w:val="78"/>
        </w:numPr>
        <w:tabs>
          <w:tab w:pos="504" w:val="left" w:leader="none"/>
        </w:tabs>
        <w:spacing w:line="240" w:lineRule="auto" w:before="0" w:after="0"/>
        <w:ind w:left="503" w:right="146" w:hanging="396"/>
        <w:jc w:val="left"/>
        <w:rPr>
          <w:sz w:val="18"/>
        </w:rPr>
      </w:pPr>
      <w:r>
        <w:rPr>
          <w:sz w:val="18"/>
        </w:rPr>
        <w:t>there are reasonable grounds to believe that the company will be able to pay its debts as and when they become due and</w:t>
      </w:r>
      <w:r>
        <w:rPr>
          <w:spacing w:val="-4"/>
          <w:sz w:val="18"/>
        </w:rPr>
        <w:t> </w:t>
      </w:r>
      <w:r>
        <w:rPr>
          <w:sz w:val="18"/>
        </w:rPr>
        <w:t>payable,</w:t>
      </w:r>
    </w:p>
    <w:p>
      <w:pPr>
        <w:pStyle w:val="BodyText"/>
        <w:spacing w:before="9"/>
        <w:rPr>
          <w:sz w:val="19"/>
        </w:rPr>
      </w:pPr>
    </w:p>
    <w:p>
      <w:pPr>
        <w:pStyle w:val="Heading8"/>
        <w:jc w:val="left"/>
      </w:pPr>
      <w:r>
        <w:rPr>
          <w:w w:val="99"/>
        </w:rPr>
        <w:t>.</w:t>
      </w:r>
    </w:p>
    <w:p>
      <w:pPr>
        <w:pStyle w:val="BodyText"/>
        <w:spacing w:before="4"/>
        <w:rPr>
          <w:sz w:val="22"/>
        </w:rPr>
      </w:pPr>
      <w:r>
        <w:rPr/>
        <w:drawing>
          <wp:anchor distT="0" distB="0" distL="0" distR="0" allowOverlap="1" layoutInCell="1" locked="0" behindDoc="0" simplePos="0" relativeHeight="5056">
            <wp:simplePos x="0" y="0"/>
            <wp:positionH relativeFrom="page">
              <wp:posOffset>643042</wp:posOffset>
            </wp:positionH>
            <wp:positionV relativeFrom="paragraph">
              <wp:posOffset>188090</wp:posOffset>
            </wp:positionV>
            <wp:extent cx="5931073" cy="1464564"/>
            <wp:effectExtent l="0" t="0" r="0" b="0"/>
            <wp:wrapTopAndBottom/>
            <wp:docPr id="73" name="image64.jpeg" descr=""/>
            <wp:cNvGraphicFramePr>
              <a:graphicFrameLocks noChangeAspect="1"/>
            </wp:cNvGraphicFramePr>
            <a:graphic>
              <a:graphicData uri="http://schemas.openxmlformats.org/drawingml/2006/picture">
                <pic:pic>
                  <pic:nvPicPr>
                    <pic:cNvPr id="74" name="image64.jpeg"/>
                    <pic:cNvPicPr/>
                  </pic:nvPicPr>
                  <pic:blipFill>
                    <a:blip r:embed="rId178" cstate="print"/>
                    <a:stretch>
                      <a:fillRect/>
                    </a:stretch>
                  </pic:blipFill>
                  <pic:spPr>
                    <a:xfrm>
                      <a:off x="0" y="0"/>
                      <a:ext cx="5931073" cy="1464564"/>
                    </a:xfrm>
                    <a:prstGeom prst="rect">
                      <a:avLst/>
                    </a:prstGeom>
                  </pic:spPr>
                </pic:pic>
              </a:graphicData>
            </a:graphic>
          </wp:anchor>
        </w:drawing>
      </w:r>
    </w:p>
    <w:p>
      <w:pPr>
        <w:spacing w:after="0"/>
        <w:rPr>
          <w:sz w:val="22"/>
        </w:rPr>
        <w:sectPr>
          <w:headerReference w:type="default" r:id="rId176"/>
          <w:footerReference w:type="default" r:id="rId177"/>
          <w:pgSz w:w="11960" w:h="16850"/>
          <w:pgMar w:header="0" w:footer="507" w:top="1160" w:bottom="700" w:left="900" w:right="1080"/>
          <w:pgNumType w:start="165"/>
        </w:sectPr>
      </w:pPr>
    </w:p>
    <w:p>
      <w:pPr>
        <w:pStyle w:val="BodyText"/>
        <w:ind w:left="4447"/>
        <w:rPr>
          <w:sz w:val="20"/>
        </w:rPr>
      </w:pPr>
      <w:r>
        <w:rPr>
          <w:sz w:val="20"/>
        </w:rPr>
        <w:drawing>
          <wp:inline distT="0" distB="0" distL="0" distR="0">
            <wp:extent cx="1011936" cy="1060703"/>
            <wp:effectExtent l="0" t="0" r="0" b="0"/>
            <wp:docPr id="75" name="image65.jpeg" descr=""/>
            <wp:cNvGraphicFramePr>
              <a:graphicFrameLocks noChangeAspect="1"/>
            </wp:cNvGraphicFramePr>
            <a:graphic>
              <a:graphicData uri="http://schemas.openxmlformats.org/drawingml/2006/picture">
                <pic:pic>
                  <pic:nvPicPr>
                    <pic:cNvPr id="76" name="image65.jpeg"/>
                    <pic:cNvPicPr/>
                  </pic:nvPicPr>
                  <pic:blipFill>
                    <a:blip r:embed="rId181" cstate="print"/>
                    <a:stretch>
                      <a:fillRect/>
                    </a:stretch>
                  </pic:blipFill>
                  <pic:spPr>
                    <a:xfrm>
                      <a:off x="0" y="0"/>
                      <a:ext cx="1011936" cy="1060703"/>
                    </a:xfrm>
                    <a:prstGeom prst="rect">
                      <a:avLst/>
                    </a:prstGeom>
                  </pic:spPr>
                </pic:pic>
              </a:graphicData>
            </a:graphic>
          </wp:inline>
        </w:drawing>
      </w:r>
      <w:r>
        <w:rPr>
          <w:sz w:val="20"/>
        </w:rPr>
      </w:r>
    </w:p>
    <w:p>
      <w:pPr>
        <w:pStyle w:val="BodyText"/>
        <w:spacing w:before="2"/>
        <w:rPr>
          <w:sz w:val="22"/>
        </w:rPr>
      </w:pPr>
    </w:p>
    <w:p>
      <w:pPr>
        <w:spacing w:before="71"/>
        <w:ind w:left="235" w:right="83" w:firstLine="0"/>
        <w:jc w:val="center"/>
        <w:rPr>
          <w:b/>
          <w:sz w:val="23"/>
        </w:rPr>
      </w:pPr>
      <w:r>
        <w:rPr>
          <w:b/>
          <w:color w:val="0F0F11"/>
          <w:w w:val="105"/>
          <w:sz w:val="23"/>
        </w:rPr>
        <w:t>INDEPENDENT AUDITOR'S REPORT</w:t>
      </w:r>
    </w:p>
    <w:p>
      <w:pPr>
        <w:pStyle w:val="BodyText"/>
        <w:spacing w:before="8"/>
        <w:rPr>
          <w:b/>
          <w:sz w:val="20"/>
        </w:rPr>
      </w:pPr>
    </w:p>
    <w:p>
      <w:pPr>
        <w:spacing w:before="0"/>
        <w:ind w:left="229" w:right="83" w:firstLine="0"/>
        <w:jc w:val="center"/>
        <w:rPr>
          <w:b/>
          <w:sz w:val="19"/>
        </w:rPr>
      </w:pPr>
      <w:r>
        <w:rPr>
          <w:b/>
          <w:color w:val="0F0F11"/>
          <w:w w:val="105"/>
          <w:sz w:val="19"/>
        </w:rPr>
        <w:t>UWS College Pty Limited</w:t>
      </w:r>
    </w:p>
    <w:p>
      <w:pPr>
        <w:pStyle w:val="BodyText"/>
        <w:rPr>
          <w:b/>
        </w:rPr>
      </w:pPr>
    </w:p>
    <w:p>
      <w:pPr>
        <w:pStyle w:val="BodyText"/>
        <w:spacing w:before="3"/>
        <w:rPr>
          <w:b/>
          <w:sz w:val="22"/>
        </w:rPr>
      </w:pPr>
    </w:p>
    <w:p>
      <w:pPr>
        <w:spacing w:before="0"/>
        <w:ind w:left="736" w:right="609" w:hanging="5"/>
        <w:jc w:val="both"/>
        <w:rPr>
          <w:sz w:val="20"/>
        </w:rPr>
      </w:pPr>
      <w:r>
        <w:rPr>
          <w:color w:val="0F0F11"/>
          <w:sz w:val="20"/>
        </w:rPr>
        <w:t>To Members of the New South Wales Parliament and Members of UWS College Pty Limited (The College)</w:t>
      </w:r>
    </w:p>
    <w:p>
      <w:pPr>
        <w:pStyle w:val="BodyText"/>
        <w:spacing w:before="7"/>
        <w:rPr>
          <w:sz w:val="19"/>
        </w:rPr>
      </w:pPr>
    </w:p>
    <w:p>
      <w:pPr>
        <w:spacing w:before="0"/>
        <w:ind w:left="732" w:right="611" w:firstLine="9"/>
        <w:jc w:val="both"/>
        <w:rPr>
          <w:sz w:val="20"/>
        </w:rPr>
      </w:pPr>
      <w:r>
        <w:rPr>
          <w:color w:val="0F0F11"/>
          <w:sz w:val="20"/>
        </w:rPr>
        <w:t>I have audited the accompanying financial statements of (the College), which comprise the statement of financial position as at 31 December 2012, the statement of comprehensive income, statement of changes in equity and statement of cash flows for the year then ended, notes comprising a summary  of significant accounting policies and other explanatory information and the directors'</w:t>
      </w:r>
      <w:r>
        <w:rPr>
          <w:color w:val="0F0F11"/>
          <w:spacing w:val="9"/>
          <w:sz w:val="20"/>
        </w:rPr>
        <w:t> </w:t>
      </w:r>
      <w:r>
        <w:rPr>
          <w:color w:val="0F0F11"/>
          <w:sz w:val="20"/>
        </w:rPr>
        <w:t>report.</w:t>
      </w:r>
    </w:p>
    <w:p>
      <w:pPr>
        <w:pStyle w:val="BodyText"/>
        <w:spacing w:before="6"/>
        <w:rPr>
          <w:sz w:val="20"/>
        </w:rPr>
      </w:pPr>
    </w:p>
    <w:p>
      <w:pPr>
        <w:spacing w:before="0"/>
        <w:ind w:left="736" w:right="0" w:firstLine="0"/>
        <w:jc w:val="both"/>
        <w:rPr>
          <w:b/>
          <w:sz w:val="23"/>
        </w:rPr>
      </w:pPr>
      <w:r>
        <w:rPr>
          <w:b/>
          <w:color w:val="0F0F11"/>
          <w:w w:val="105"/>
          <w:sz w:val="23"/>
        </w:rPr>
        <w:t>Opinion</w:t>
      </w:r>
    </w:p>
    <w:p>
      <w:pPr>
        <w:pStyle w:val="BodyText"/>
        <w:spacing w:before="4"/>
        <w:rPr>
          <w:b/>
          <w:sz w:val="20"/>
        </w:rPr>
      </w:pPr>
    </w:p>
    <w:p>
      <w:pPr>
        <w:spacing w:before="0"/>
        <w:ind w:left="741" w:right="0" w:firstLine="0"/>
        <w:jc w:val="both"/>
        <w:rPr>
          <w:sz w:val="20"/>
        </w:rPr>
      </w:pPr>
      <w:r>
        <w:rPr>
          <w:color w:val="0F0F11"/>
          <w:sz w:val="20"/>
        </w:rPr>
        <w:t>In my opinion the financial statements </w:t>
      </w:r>
      <w:r>
        <w:rPr>
          <w:color w:val="363636"/>
          <w:sz w:val="20"/>
        </w:rPr>
        <w:t>:</w:t>
      </w:r>
    </w:p>
    <w:p>
      <w:pPr>
        <w:pStyle w:val="BodyText"/>
        <w:spacing w:before="7"/>
        <w:rPr>
          <w:sz w:val="24"/>
        </w:rPr>
      </w:pPr>
    </w:p>
    <w:p>
      <w:pPr>
        <w:pStyle w:val="ListParagraph"/>
        <w:numPr>
          <w:ilvl w:val="0"/>
          <w:numId w:val="79"/>
        </w:numPr>
        <w:tabs>
          <w:tab w:pos="1304" w:val="left" w:leader="none"/>
        </w:tabs>
        <w:spacing w:line="240" w:lineRule="auto" w:before="0" w:after="0"/>
        <w:ind w:left="1303" w:right="0" w:hanging="571"/>
        <w:jc w:val="both"/>
        <w:rPr>
          <w:sz w:val="20"/>
        </w:rPr>
      </w:pPr>
      <w:r>
        <w:rPr>
          <w:color w:val="0F0F11"/>
          <w:sz w:val="20"/>
        </w:rPr>
        <w:t>are in accordance with the </w:t>
      </w:r>
      <w:r>
        <w:rPr>
          <w:i/>
          <w:color w:val="0F0F11"/>
          <w:sz w:val="19"/>
        </w:rPr>
        <w:t>Corporations Act 2001,  </w:t>
      </w:r>
      <w:r>
        <w:rPr>
          <w:i/>
          <w:color w:val="0F0F11"/>
          <w:spacing w:val="21"/>
          <w:sz w:val="19"/>
        </w:rPr>
        <w:t> </w:t>
      </w:r>
      <w:r>
        <w:rPr>
          <w:color w:val="0F0F11"/>
          <w:sz w:val="20"/>
        </w:rPr>
        <w:t>including</w:t>
      </w:r>
      <w:r>
        <w:rPr>
          <w:color w:val="4F4F4F"/>
          <w:sz w:val="20"/>
        </w:rPr>
        <w:t>:</w:t>
      </w:r>
    </w:p>
    <w:p>
      <w:pPr>
        <w:pStyle w:val="Heading8"/>
        <w:spacing w:line="244" w:lineRule="auto" w:before="58"/>
        <w:ind w:left="1879" w:right="670" w:hanging="5"/>
        <w:jc w:val="left"/>
      </w:pPr>
      <w:r>
        <w:rPr>
          <w:color w:val="0F0F11"/>
        </w:rPr>
        <w:t>giving a true and fair view of the College</w:t>
      </w:r>
      <w:r>
        <w:rPr>
          <w:color w:val="363636"/>
        </w:rPr>
        <w:t>'</w:t>
      </w:r>
      <w:r>
        <w:rPr>
          <w:color w:val="0F0F11"/>
        </w:rPr>
        <w:t>s financial position as at 31 December 2012 and its performance for the year ended on that date</w:t>
      </w:r>
    </w:p>
    <w:p>
      <w:pPr>
        <w:spacing w:before="48"/>
        <w:ind w:left="1874" w:right="670" w:firstLine="0"/>
        <w:jc w:val="left"/>
        <w:rPr>
          <w:sz w:val="20"/>
        </w:rPr>
      </w:pPr>
      <w:r>
        <w:rPr>
          <w:color w:val="0F0F11"/>
          <w:sz w:val="20"/>
        </w:rPr>
        <w:t>complying with Australian Accounting Standards and the Corporations Regulations 2001</w:t>
      </w:r>
    </w:p>
    <w:p>
      <w:pPr>
        <w:pStyle w:val="ListParagraph"/>
        <w:numPr>
          <w:ilvl w:val="0"/>
          <w:numId w:val="79"/>
        </w:numPr>
        <w:tabs>
          <w:tab w:pos="1304" w:val="left" w:leader="none"/>
        </w:tabs>
        <w:spacing w:line="240" w:lineRule="auto" w:before="63" w:after="0"/>
        <w:ind w:left="1303" w:right="843" w:hanging="571"/>
        <w:jc w:val="left"/>
        <w:rPr>
          <w:sz w:val="20"/>
        </w:rPr>
      </w:pPr>
      <w:r>
        <w:rPr>
          <w:color w:val="0F0F11"/>
          <w:sz w:val="20"/>
        </w:rPr>
        <w:t>are in accordance with section </w:t>
      </w:r>
      <w:r>
        <w:rPr>
          <w:color w:val="0F0F11"/>
          <w:spacing w:val="2"/>
          <w:sz w:val="20"/>
        </w:rPr>
        <w:t>41(B) </w:t>
      </w:r>
      <w:r>
        <w:rPr>
          <w:color w:val="0F0F11"/>
          <w:sz w:val="20"/>
        </w:rPr>
        <w:t>of the Public Finance and Audit Act 1983 (the PF&amp;A</w:t>
      </w:r>
      <w:r>
        <w:rPr>
          <w:color w:val="0F0F11"/>
          <w:spacing w:val="-37"/>
          <w:sz w:val="20"/>
        </w:rPr>
        <w:t> </w:t>
      </w:r>
      <w:r>
        <w:rPr>
          <w:color w:val="0F0F11"/>
          <w:sz w:val="20"/>
        </w:rPr>
        <w:t>Act) and the Public Finance and Audit Regulation</w:t>
      </w:r>
      <w:r>
        <w:rPr>
          <w:color w:val="0F0F11"/>
          <w:spacing w:val="-13"/>
          <w:sz w:val="20"/>
        </w:rPr>
        <w:t> </w:t>
      </w:r>
      <w:r>
        <w:rPr>
          <w:color w:val="0F0F11"/>
          <w:sz w:val="20"/>
        </w:rPr>
        <w:t>2010</w:t>
      </w:r>
    </w:p>
    <w:p>
      <w:pPr>
        <w:pStyle w:val="BodyText"/>
        <w:spacing w:before="7"/>
        <w:rPr>
          <w:sz w:val="24"/>
        </w:rPr>
      </w:pPr>
    </w:p>
    <w:p>
      <w:pPr>
        <w:spacing w:before="0"/>
        <w:ind w:left="736" w:right="0" w:firstLine="0"/>
        <w:jc w:val="both"/>
        <w:rPr>
          <w:sz w:val="20"/>
        </w:rPr>
      </w:pPr>
      <w:r>
        <w:rPr>
          <w:color w:val="0F0F11"/>
          <w:sz w:val="20"/>
        </w:rPr>
        <w:t>My opinion should be read in conjunction with the rest of this report</w:t>
      </w:r>
      <w:r>
        <w:rPr>
          <w:color w:val="4F4F4F"/>
          <w:sz w:val="20"/>
        </w:rPr>
        <w:t>.</w:t>
      </w:r>
    </w:p>
    <w:p>
      <w:pPr>
        <w:pStyle w:val="BodyText"/>
        <w:spacing w:before="6"/>
        <w:rPr>
          <w:sz w:val="20"/>
        </w:rPr>
      </w:pPr>
    </w:p>
    <w:p>
      <w:pPr>
        <w:spacing w:before="0"/>
        <w:ind w:left="741" w:right="0" w:firstLine="0"/>
        <w:jc w:val="both"/>
        <w:rPr>
          <w:b/>
          <w:sz w:val="23"/>
        </w:rPr>
      </w:pPr>
      <w:r>
        <w:rPr>
          <w:b/>
          <w:color w:val="0F0F11"/>
          <w:w w:val="105"/>
          <w:sz w:val="23"/>
        </w:rPr>
        <w:t>Directors' Responsibility for the Financial Statements</w:t>
      </w:r>
    </w:p>
    <w:p>
      <w:pPr>
        <w:pStyle w:val="BodyText"/>
        <w:spacing w:before="4"/>
        <w:rPr>
          <w:b/>
          <w:sz w:val="20"/>
        </w:rPr>
      </w:pPr>
    </w:p>
    <w:p>
      <w:pPr>
        <w:spacing w:line="240" w:lineRule="auto" w:before="0"/>
        <w:ind w:left="727" w:right="620" w:firstLine="0"/>
        <w:jc w:val="both"/>
        <w:rPr>
          <w:sz w:val="20"/>
        </w:rPr>
      </w:pPr>
      <w:r>
        <w:rPr>
          <w:color w:val="0F0F11"/>
          <w:sz w:val="20"/>
        </w:rPr>
        <w:t>The directors of the College are responsible for the preparation of the financial statements that give a true and fair view in accordance with Australian Accounting Standards, the PF&amp;A Act and the </w:t>
      </w:r>
      <w:r>
        <w:rPr>
          <w:i/>
          <w:color w:val="0F0F11"/>
          <w:sz w:val="19"/>
        </w:rPr>
        <w:t>Corporations Act 2001 </w:t>
      </w:r>
      <w:r>
        <w:rPr>
          <w:color w:val="0F0F11"/>
          <w:sz w:val="20"/>
        </w:rPr>
        <w:t>and for such internal control as the directors determine is necessary to enable the preparation of the financial statements that give a true and fair view and that are free from material misstatement, whether due to fraud or error</w:t>
      </w:r>
      <w:r>
        <w:rPr>
          <w:color w:val="363636"/>
          <w:sz w:val="20"/>
        </w:rPr>
        <w:t>.</w:t>
      </w:r>
    </w:p>
    <w:p>
      <w:pPr>
        <w:pStyle w:val="BodyText"/>
        <w:spacing w:before="6"/>
        <w:rPr>
          <w:sz w:val="20"/>
        </w:rPr>
      </w:pPr>
    </w:p>
    <w:p>
      <w:pPr>
        <w:spacing w:before="0"/>
        <w:ind w:left="722" w:right="0" w:firstLine="0"/>
        <w:jc w:val="both"/>
        <w:rPr>
          <w:b/>
          <w:sz w:val="23"/>
        </w:rPr>
      </w:pPr>
      <w:r>
        <w:rPr>
          <w:b/>
          <w:color w:val="0F0F11"/>
          <w:w w:val="105"/>
          <w:sz w:val="23"/>
        </w:rPr>
        <w:t>Auditor's Responsibility</w:t>
      </w:r>
    </w:p>
    <w:p>
      <w:pPr>
        <w:pStyle w:val="BodyText"/>
        <w:spacing w:before="4"/>
        <w:rPr>
          <w:b/>
          <w:sz w:val="20"/>
        </w:rPr>
      </w:pPr>
    </w:p>
    <w:p>
      <w:pPr>
        <w:spacing w:line="240" w:lineRule="auto" w:before="0"/>
        <w:ind w:left="717" w:right="622" w:firstLine="14"/>
        <w:jc w:val="both"/>
        <w:rPr>
          <w:sz w:val="20"/>
        </w:rPr>
      </w:pPr>
      <w:r>
        <w:rPr>
          <w:color w:val="0F0F11"/>
          <w:sz w:val="20"/>
        </w:rPr>
        <w:t>My responsibility is to express an opinion on the financial statements based on my audit. I conducted my audit in accordance with Australian Auditing Standards. Those Standards  require that I comply  with relevant ethical requirements relating to audit engagements and plan and perform the audit to obtain reasonable assurance about whether the financial statements are free from material misstatement.</w:t>
      </w:r>
    </w:p>
    <w:p>
      <w:pPr>
        <w:pStyle w:val="BodyText"/>
        <w:rPr>
          <w:sz w:val="20"/>
        </w:rPr>
      </w:pPr>
    </w:p>
    <w:p>
      <w:pPr>
        <w:pStyle w:val="Heading8"/>
        <w:spacing w:before="1"/>
        <w:ind w:left="717" w:right="625"/>
      </w:pPr>
      <w:r>
        <w:rPr/>
        <w:pict>
          <v:shape style="position:absolute;margin-left:303.360016pt;margin-top:152.722824pt;width:2.35pt;height:6.5pt;mso-position-horizontal-relative:page;mso-position-vertical-relative:paragraph;z-index:-1309120" type="#_x0000_t202" filled="false" stroked="false">
            <v:textbox inset="0,0,0,0">
              <w:txbxContent>
                <w:p>
                  <w:pPr>
                    <w:spacing w:line="130" w:lineRule="exact" w:before="0"/>
                    <w:ind w:left="0" w:right="0" w:firstLine="0"/>
                    <w:jc w:val="left"/>
                    <w:rPr>
                      <w:sz w:val="13"/>
                    </w:rPr>
                  </w:pPr>
                  <w:r>
                    <w:rPr>
                      <w:color w:val="0F0F11"/>
                      <w:w w:val="128"/>
                      <w:sz w:val="13"/>
                    </w:rPr>
                    <w:t>t</w:t>
                  </w:r>
                </w:p>
              </w:txbxContent>
            </v:textbox>
            <w10:wrap type="none"/>
          </v:shape>
        </w:pict>
      </w:r>
      <w:r>
        <w:rPr>
          <w:color w:val="0F0F11"/>
        </w:rPr>
        <w:t>An audit involves performing procedures to obtain audit evidence about the amounts and disclosures in the financial statements </w:t>
      </w:r>
      <w:r>
        <w:rPr>
          <w:color w:val="363636"/>
        </w:rPr>
        <w:t>. </w:t>
      </w:r>
      <w:r>
        <w:rPr>
          <w:color w:val="0F0F11"/>
        </w:rPr>
        <w:t>The procedures selected depend on the auditor's judgement, including the assessment of the risks of material misstatement of the financial statements, whether due to fraud or error. In making those risk assessments, the auditor considers internal control relevant to the College's preparation of the financial statements that give a true and fair view </w:t>
      </w:r>
      <w:r>
        <w:rPr>
          <w:color w:val="262628"/>
        </w:rPr>
        <w:t>in </w:t>
      </w:r>
      <w:r>
        <w:rPr>
          <w:color w:val="0F0F11"/>
        </w:rPr>
        <w:t>order to design audit  procedures that are appropriate in the circumstances, but not for the purpose of expressing an opinion on the effectiveness of the College's internal control. An audit also includes evaluating the appropriateness of accounting policies used and the reasonableness of accounting estimates made by the directors, as well as evaluating the overall presentation of the financial</w:t>
      </w:r>
      <w:r>
        <w:rPr>
          <w:color w:val="0F0F11"/>
          <w:spacing w:val="-9"/>
        </w:rPr>
        <w:t> </w:t>
      </w:r>
      <w:r>
        <w:rPr>
          <w:color w:val="0F0F11"/>
        </w:rPr>
        <w:t>statements.</w:t>
      </w:r>
    </w:p>
    <w:p>
      <w:pPr>
        <w:pStyle w:val="BodyText"/>
        <w:rPr>
          <w:sz w:val="20"/>
        </w:rPr>
      </w:pPr>
    </w:p>
    <w:p>
      <w:pPr>
        <w:pStyle w:val="BodyText"/>
        <w:rPr>
          <w:sz w:val="20"/>
        </w:rPr>
      </w:pPr>
    </w:p>
    <w:p>
      <w:pPr>
        <w:pStyle w:val="BodyText"/>
        <w:spacing w:before="10"/>
        <w:rPr>
          <w:sz w:val="24"/>
        </w:rPr>
      </w:pPr>
      <w:r>
        <w:rPr/>
        <w:pict>
          <v:line style="position:absolute;mso-position-horizontal-relative:page;mso-position-vertical-relative:paragraph;z-index:5080;mso-wrap-distance-left:0;mso-wrap-distance-right:0" from="38.640011pt,16.52282pt" to="548.160011pt,16.52282pt" stroked="true" strokeweight=".48pt" strokecolor="#383838">
            <w10:wrap type="topAndBottom"/>
          </v:line>
        </w:pict>
      </w:r>
    </w:p>
    <w:p>
      <w:pPr>
        <w:spacing w:before="9"/>
        <w:ind w:left="79" w:right="83" w:firstLine="0"/>
        <w:jc w:val="center"/>
        <w:rPr>
          <w:sz w:val="13"/>
        </w:rPr>
      </w:pPr>
      <w:r>
        <w:rPr>
          <w:color w:val="0F0F11"/>
          <w:w w:val="105"/>
          <w:sz w:val="13"/>
        </w:rPr>
        <w:t>Level</w:t>
      </w:r>
      <w:r>
        <w:rPr>
          <w:color w:val="0F0F11"/>
          <w:spacing w:val="4"/>
          <w:sz w:val="13"/>
        </w:rPr>
        <w:t> </w:t>
      </w:r>
      <w:r>
        <w:rPr>
          <w:color w:val="0F0F11"/>
          <w:w w:val="108"/>
          <w:sz w:val="13"/>
        </w:rPr>
        <w:t>15,</w:t>
      </w:r>
      <w:r>
        <w:rPr>
          <w:color w:val="0F0F11"/>
          <w:spacing w:val="-3"/>
          <w:sz w:val="13"/>
        </w:rPr>
        <w:t> </w:t>
      </w:r>
      <w:r>
        <w:rPr>
          <w:color w:val="0F0F11"/>
          <w:w w:val="123"/>
          <w:sz w:val="13"/>
        </w:rPr>
        <w:t>1</w:t>
      </w:r>
      <w:r>
        <w:rPr>
          <w:color w:val="0F0F11"/>
          <w:spacing w:val="-11"/>
          <w:sz w:val="13"/>
        </w:rPr>
        <w:t> </w:t>
      </w:r>
      <w:r>
        <w:rPr>
          <w:color w:val="0F0F11"/>
          <w:w w:val="108"/>
          <w:sz w:val="13"/>
        </w:rPr>
        <w:t>Margaret</w:t>
      </w:r>
      <w:r>
        <w:rPr>
          <w:color w:val="0F0F11"/>
          <w:spacing w:val="6"/>
          <w:sz w:val="13"/>
        </w:rPr>
        <w:t> </w:t>
      </w:r>
      <w:r>
        <w:rPr>
          <w:color w:val="0F0F11"/>
          <w:w w:val="109"/>
          <w:sz w:val="13"/>
        </w:rPr>
        <w:t>Street,</w:t>
      </w:r>
      <w:r>
        <w:rPr>
          <w:color w:val="0F0F11"/>
          <w:spacing w:val="3"/>
          <w:sz w:val="13"/>
        </w:rPr>
        <w:t> </w:t>
      </w:r>
      <w:r>
        <w:rPr>
          <w:color w:val="0F0F11"/>
          <w:w w:val="106"/>
          <w:sz w:val="13"/>
        </w:rPr>
        <w:t>Sydney</w:t>
      </w:r>
      <w:r>
        <w:rPr>
          <w:color w:val="0F0F11"/>
          <w:spacing w:val="13"/>
          <w:sz w:val="13"/>
        </w:rPr>
        <w:t> </w:t>
      </w:r>
      <w:r>
        <w:rPr>
          <w:color w:val="0F0F11"/>
          <w:w w:val="104"/>
          <w:sz w:val="13"/>
        </w:rPr>
        <w:t>NSW</w:t>
      </w:r>
      <w:r>
        <w:rPr>
          <w:color w:val="0F0F11"/>
          <w:sz w:val="13"/>
        </w:rPr>
        <w:t> </w:t>
      </w:r>
      <w:r>
        <w:rPr>
          <w:color w:val="0F0F11"/>
          <w:w w:val="104"/>
          <w:sz w:val="13"/>
        </w:rPr>
        <w:t>2000</w:t>
      </w:r>
      <w:r>
        <w:rPr>
          <w:color w:val="0F0F11"/>
          <w:sz w:val="13"/>
        </w:rPr>
        <w:t> </w:t>
      </w:r>
      <w:r>
        <w:rPr>
          <w:color w:val="0F0F11"/>
          <w:spacing w:val="13"/>
          <w:sz w:val="13"/>
        </w:rPr>
        <w:t> </w:t>
      </w:r>
      <w:r>
        <w:rPr>
          <w:color w:val="0F0F11"/>
          <w:w w:val="81"/>
          <w:sz w:val="18"/>
        </w:rPr>
        <w:t>I</w:t>
      </w:r>
      <w:r>
        <w:rPr>
          <w:color w:val="0F0F11"/>
          <w:spacing w:val="9"/>
          <w:sz w:val="18"/>
        </w:rPr>
        <w:t> </w:t>
      </w:r>
      <w:r>
        <w:rPr>
          <w:color w:val="262628"/>
          <w:w w:val="100"/>
          <w:sz w:val="13"/>
        </w:rPr>
        <w:t>GPO</w:t>
      </w:r>
      <w:r>
        <w:rPr>
          <w:color w:val="262628"/>
          <w:spacing w:val="8"/>
          <w:sz w:val="13"/>
        </w:rPr>
        <w:t> </w:t>
      </w:r>
      <w:r>
        <w:rPr>
          <w:color w:val="0F0F11"/>
          <w:spacing w:val="-7"/>
          <w:w w:val="106"/>
          <w:sz w:val="13"/>
        </w:rPr>
        <w:t>B</w:t>
      </w:r>
      <w:r>
        <w:rPr>
          <w:color w:val="363636"/>
          <w:w w:val="99"/>
          <w:sz w:val="13"/>
        </w:rPr>
        <w:t>ox</w:t>
      </w:r>
      <w:r>
        <w:rPr>
          <w:color w:val="363636"/>
          <w:sz w:val="13"/>
        </w:rPr>
        <w:t> </w:t>
      </w:r>
      <w:r>
        <w:rPr>
          <w:color w:val="363636"/>
          <w:spacing w:val="-18"/>
          <w:sz w:val="13"/>
        </w:rPr>
        <w:t> </w:t>
      </w:r>
      <w:r>
        <w:rPr>
          <w:color w:val="262628"/>
          <w:w w:val="102"/>
          <w:sz w:val="13"/>
        </w:rPr>
        <w:t>1</w:t>
      </w:r>
      <w:r>
        <w:rPr>
          <w:color w:val="262628"/>
          <w:spacing w:val="-1"/>
          <w:w w:val="102"/>
          <w:sz w:val="13"/>
        </w:rPr>
        <w:t>2</w:t>
      </w:r>
      <w:r>
        <w:rPr>
          <w:color w:val="4F4F4F"/>
          <w:w w:val="136"/>
          <w:sz w:val="13"/>
        </w:rPr>
        <w:t>,</w:t>
      </w:r>
      <w:r>
        <w:rPr>
          <w:color w:val="4F4F4F"/>
          <w:spacing w:val="-14"/>
          <w:sz w:val="13"/>
        </w:rPr>
        <w:t> </w:t>
      </w:r>
      <w:r>
        <w:rPr>
          <w:color w:val="363636"/>
          <w:w w:val="98"/>
          <w:sz w:val="13"/>
        </w:rPr>
        <w:t>Sydney</w:t>
      </w:r>
      <w:r>
        <w:rPr>
          <w:color w:val="363636"/>
          <w:spacing w:val="14"/>
          <w:sz w:val="13"/>
        </w:rPr>
        <w:t> </w:t>
      </w:r>
      <w:r>
        <w:rPr>
          <w:color w:val="262628"/>
          <w:w w:val="99"/>
          <w:sz w:val="13"/>
        </w:rPr>
        <w:t>NSW</w:t>
      </w:r>
      <w:r>
        <w:rPr>
          <w:color w:val="262628"/>
          <w:spacing w:val="1"/>
          <w:sz w:val="13"/>
        </w:rPr>
        <w:t> </w:t>
      </w:r>
      <w:r>
        <w:rPr>
          <w:color w:val="363636"/>
          <w:w w:val="104"/>
          <w:sz w:val="13"/>
        </w:rPr>
        <w:t>20</w:t>
      </w:r>
      <w:r>
        <w:rPr>
          <w:color w:val="363636"/>
          <w:spacing w:val="12"/>
          <w:w w:val="104"/>
          <w:sz w:val="13"/>
        </w:rPr>
        <w:t>0</w:t>
      </w:r>
      <w:r>
        <w:rPr>
          <w:rFonts w:ascii="Times New Roman"/>
          <w:color w:val="0F0F11"/>
          <w:spacing w:val="3"/>
          <w:w w:val="63"/>
          <w:position w:val="-11"/>
          <w:sz w:val="28"/>
        </w:rPr>
        <w:t>1</w:t>
      </w:r>
      <w:r>
        <w:rPr>
          <w:rFonts w:ascii="Times New Roman"/>
          <w:color w:val="0F0F11"/>
          <w:spacing w:val="8"/>
          <w:w w:val="56"/>
          <w:sz w:val="28"/>
        </w:rPr>
        <w:t>d</w:t>
      </w:r>
      <w:r>
        <w:rPr>
          <w:color w:val="0F0F11"/>
          <w:w w:val="87"/>
          <w:position w:val="-11"/>
          <w:sz w:val="18"/>
        </w:rPr>
        <w:t>6</w:t>
      </w:r>
      <w:r>
        <w:rPr>
          <w:color w:val="0F0F11"/>
          <w:spacing w:val="15"/>
          <w:position w:val="-11"/>
          <w:sz w:val="18"/>
        </w:rPr>
        <w:t> </w:t>
      </w:r>
      <w:r>
        <w:rPr>
          <w:color w:val="363636"/>
          <w:w w:val="102"/>
          <w:sz w:val="13"/>
        </w:rPr>
        <w:t>02</w:t>
      </w:r>
      <w:r>
        <w:rPr>
          <w:color w:val="363636"/>
          <w:spacing w:val="7"/>
          <w:sz w:val="13"/>
        </w:rPr>
        <w:t> </w:t>
      </w:r>
      <w:r>
        <w:rPr>
          <w:color w:val="262628"/>
          <w:w w:val="104"/>
          <w:sz w:val="13"/>
        </w:rPr>
        <w:t>9275</w:t>
      </w:r>
      <w:r>
        <w:rPr>
          <w:color w:val="262628"/>
          <w:spacing w:val="5"/>
          <w:sz w:val="13"/>
        </w:rPr>
        <w:t> </w:t>
      </w:r>
      <w:r>
        <w:rPr>
          <w:color w:val="262628"/>
          <w:w w:val="103"/>
          <w:sz w:val="13"/>
        </w:rPr>
        <w:t>7101</w:t>
      </w:r>
      <w:r>
        <w:rPr>
          <w:color w:val="262628"/>
          <w:sz w:val="13"/>
        </w:rPr>
        <w:t> </w:t>
      </w:r>
      <w:r>
        <w:rPr>
          <w:color w:val="262628"/>
          <w:spacing w:val="15"/>
          <w:sz w:val="13"/>
        </w:rPr>
        <w:t> </w:t>
      </w:r>
      <w:r>
        <w:rPr>
          <w:color w:val="262628"/>
          <w:w w:val="53"/>
          <w:sz w:val="18"/>
        </w:rPr>
        <w:t>I</w:t>
      </w:r>
      <w:r>
        <w:rPr>
          <w:color w:val="262628"/>
          <w:spacing w:val="23"/>
          <w:sz w:val="18"/>
        </w:rPr>
        <w:t> </w:t>
      </w:r>
      <w:r>
        <w:rPr>
          <w:color w:val="0F0F11"/>
          <w:w w:val="94"/>
          <w:sz w:val="13"/>
        </w:rPr>
        <w:t>f</w:t>
      </w:r>
      <w:r>
        <w:rPr>
          <w:color w:val="0F0F11"/>
          <w:spacing w:val="11"/>
          <w:sz w:val="13"/>
        </w:rPr>
        <w:t> </w:t>
      </w:r>
      <w:r>
        <w:rPr>
          <w:color w:val="363636"/>
          <w:w w:val="102"/>
          <w:sz w:val="13"/>
        </w:rPr>
        <w:t>02</w:t>
      </w:r>
      <w:r>
        <w:rPr>
          <w:color w:val="363636"/>
          <w:spacing w:val="2"/>
          <w:sz w:val="13"/>
        </w:rPr>
        <w:t> </w:t>
      </w:r>
      <w:r>
        <w:rPr>
          <w:color w:val="363636"/>
          <w:w w:val="104"/>
          <w:sz w:val="13"/>
        </w:rPr>
        <w:t>9275</w:t>
      </w:r>
      <w:r>
        <w:rPr>
          <w:color w:val="363636"/>
          <w:spacing w:val="10"/>
          <w:sz w:val="13"/>
        </w:rPr>
        <w:t> </w:t>
      </w:r>
      <w:r>
        <w:rPr>
          <w:color w:val="363636"/>
          <w:spacing w:val="12"/>
          <w:w w:val="101"/>
          <w:sz w:val="13"/>
        </w:rPr>
        <w:t>7</w:t>
      </w:r>
      <w:r>
        <w:rPr>
          <w:color w:val="0F0F11"/>
          <w:spacing w:val="-3"/>
          <w:w w:val="95"/>
          <w:sz w:val="13"/>
        </w:rPr>
        <w:t>1</w:t>
      </w:r>
      <w:r>
        <w:rPr>
          <w:color w:val="363636"/>
          <w:w w:val="102"/>
          <w:sz w:val="13"/>
        </w:rPr>
        <w:t>79</w:t>
      </w:r>
      <w:r>
        <w:rPr>
          <w:color w:val="363636"/>
          <w:sz w:val="13"/>
        </w:rPr>
        <w:t> </w:t>
      </w:r>
      <w:r>
        <w:rPr>
          <w:color w:val="363636"/>
          <w:spacing w:val="9"/>
          <w:sz w:val="13"/>
        </w:rPr>
        <w:t> </w:t>
      </w:r>
      <w:r>
        <w:rPr>
          <w:color w:val="363636"/>
          <w:w w:val="53"/>
          <w:sz w:val="18"/>
        </w:rPr>
        <w:t>I</w:t>
      </w:r>
      <w:r>
        <w:rPr>
          <w:color w:val="363636"/>
          <w:spacing w:val="23"/>
          <w:sz w:val="18"/>
        </w:rPr>
        <w:t> </w:t>
      </w:r>
      <w:r>
        <w:rPr>
          <w:color w:val="0F0F11"/>
          <w:w w:val="105"/>
          <w:sz w:val="13"/>
        </w:rPr>
        <w:t>e</w:t>
      </w:r>
      <w:r>
        <w:rPr>
          <w:color w:val="0F0F11"/>
          <w:spacing w:val="2"/>
          <w:sz w:val="13"/>
        </w:rPr>
        <w:t> </w:t>
      </w:r>
      <w:hyperlink r:id="rId113">
        <w:r>
          <w:rPr>
            <w:color w:val="262628"/>
            <w:w w:val="99"/>
            <w:sz w:val="13"/>
          </w:rPr>
          <w:t>mai</w:t>
        </w:r>
        <w:r>
          <w:rPr>
            <w:color w:val="262628"/>
            <w:spacing w:val="1"/>
            <w:w w:val="99"/>
            <w:sz w:val="13"/>
          </w:rPr>
          <w:t>l</w:t>
        </w:r>
        <w:r>
          <w:rPr>
            <w:color w:val="4F4F4F"/>
            <w:w w:val="85"/>
            <w:sz w:val="13"/>
          </w:rPr>
          <w:t>@</w:t>
        </w:r>
        <w:r>
          <w:rPr>
            <w:color w:val="4F4F4F"/>
            <w:spacing w:val="1"/>
            <w:w w:val="85"/>
            <w:sz w:val="13"/>
          </w:rPr>
          <w:t>a</w:t>
        </w:r>
        <w:r>
          <w:rPr>
            <w:color w:val="262628"/>
            <w:w w:val="102"/>
            <w:sz w:val="13"/>
          </w:rPr>
          <w:t>udit.ns</w:t>
        </w:r>
        <w:r>
          <w:rPr>
            <w:color w:val="262628"/>
            <w:spacing w:val="3"/>
            <w:w w:val="102"/>
            <w:sz w:val="13"/>
          </w:rPr>
          <w:t>w</w:t>
        </w:r>
        <w:r>
          <w:rPr>
            <w:color w:val="4F4F4F"/>
            <w:w w:val="97"/>
            <w:sz w:val="13"/>
          </w:rPr>
          <w:t>.gov.au</w:t>
        </w:r>
      </w:hyperlink>
      <w:r>
        <w:rPr>
          <w:color w:val="4F4F4F"/>
          <w:sz w:val="13"/>
        </w:rPr>
        <w:t> </w:t>
      </w:r>
      <w:r>
        <w:rPr>
          <w:color w:val="4F4F4F"/>
          <w:spacing w:val="9"/>
          <w:sz w:val="13"/>
        </w:rPr>
        <w:t> </w:t>
      </w:r>
      <w:r>
        <w:rPr>
          <w:color w:val="363636"/>
          <w:w w:val="53"/>
          <w:sz w:val="18"/>
        </w:rPr>
        <w:t>I</w:t>
      </w:r>
      <w:r>
        <w:rPr>
          <w:color w:val="363636"/>
          <w:spacing w:val="23"/>
          <w:sz w:val="18"/>
        </w:rPr>
        <w:t> </w:t>
      </w:r>
      <w:r>
        <w:rPr>
          <w:color w:val="0F0F11"/>
          <w:w w:val="106"/>
          <w:sz w:val="13"/>
        </w:rPr>
        <w:t>audit.nsw.gov.au</w:t>
      </w:r>
    </w:p>
    <w:p>
      <w:pPr>
        <w:spacing w:after="0"/>
        <w:jc w:val="center"/>
        <w:rPr>
          <w:sz w:val="13"/>
        </w:rPr>
        <w:sectPr>
          <w:headerReference w:type="default" r:id="rId179"/>
          <w:footerReference w:type="default" r:id="rId180"/>
          <w:pgSz w:w="11910" w:h="16840"/>
          <w:pgMar w:header="0" w:footer="0" w:top="860" w:bottom="280" w:left="660" w:right="820"/>
        </w:sectPr>
      </w:pPr>
    </w:p>
    <w:p>
      <w:pPr>
        <w:pStyle w:val="Heading8"/>
        <w:spacing w:before="64"/>
        <w:ind w:left="198" w:right="317" w:firstLine="9"/>
        <w:jc w:val="left"/>
      </w:pPr>
      <w:r>
        <w:rPr>
          <w:color w:val="111113"/>
        </w:rPr>
        <w:t>I believe the audit evidence I have obtained is sufficient and appropriate to provide a basis for my audit</w:t>
      </w:r>
      <w:r>
        <w:rPr>
          <w:color w:val="111113"/>
          <w:spacing w:val="-15"/>
        </w:rPr>
        <w:t> </w:t>
      </w:r>
      <w:r>
        <w:rPr>
          <w:color w:val="111113"/>
          <w:spacing w:val="2"/>
        </w:rPr>
        <w:t>opinion</w:t>
      </w:r>
      <w:r>
        <w:rPr>
          <w:color w:val="383838"/>
          <w:spacing w:val="2"/>
        </w:rPr>
        <w:t>.</w:t>
      </w:r>
    </w:p>
    <w:p>
      <w:pPr>
        <w:pStyle w:val="BodyText"/>
        <w:spacing w:before="6"/>
        <w:rPr>
          <w:sz w:val="19"/>
        </w:rPr>
      </w:pPr>
    </w:p>
    <w:p>
      <w:pPr>
        <w:spacing w:before="0"/>
        <w:ind w:left="202" w:right="653" w:firstLine="0"/>
        <w:jc w:val="left"/>
        <w:rPr>
          <w:sz w:val="20"/>
        </w:rPr>
      </w:pPr>
      <w:r>
        <w:rPr>
          <w:color w:val="111113"/>
          <w:sz w:val="20"/>
        </w:rPr>
        <w:t>My opinion does </w:t>
      </w:r>
      <w:r>
        <w:rPr>
          <w:i/>
          <w:color w:val="111113"/>
          <w:sz w:val="20"/>
        </w:rPr>
        <w:t>not </w:t>
      </w:r>
      <w:r>
        <w:rPr>
          <w:color w:val="111113"/>
          <w:sz w:val="20"/>
        </w:rPr>
        <w:t>provide assurance:</w:t>
      </w:r>
    </w:p>
    <w:p>
      <w:pPr>
        <w:pStyle w:val="BodyText"/>
        <w:spacing w:before="4"/>
        <w:rPr>
          <w:sz w:val="25"/>
        </w:rPr>
      </w:pPr>
    </w:p>
    <w:p>
      <w:pPr>
        <w:pStyle w:val="ListParagraph"/>
        <w:numPr>
          <w:ilvl w:val="0"/>
          <w:numId w:val="80"/>
        </w:numPr>
        <w:tabs>
          <w:tab w:pos="762" w:val="left" w:leader="none"/>
        </w:tabs>
        <w:spacing w:line="240" w:lineRule="auto" w:before="0" w:after="0"/>
        <w:ind w:left="761" w:right="0" w:hanging="568"/>
        <w:jc w:val="left"/>
        <w:rPr>
          <w:sz w:val="20"/>
        </w:rPr>
      </w:pPr>
      <w:r>
        <w:rPr>
          <w:color w:val="111113"/>
          <w:sz w:val="20"/>
        </w:rPr>
        <w:t>about the future viability of the</w:t>
      </w:r>
      <w:r>
        <w:rPr>
          <w:color w:val="111113"/>
          <w:spacing w:val="-31"/>
          <w:sz w:val="20"/>
        </w:rPr>
        <w:t> </w:t>
      </w:r>
      <w:r>
        <w:rPr>
          <w:color w:val="111113"/>
          <w:sz w:val="20"/>
        </w:rPr>
        <w:t>College</w:t>
      </w:r>
    </w:p>
    <w:p>
      <w:pPr>
        <w:pStyle w:val="ListParagraph"/>
        <w:numPr>
          <w:ilvl w:val="0"/>
          <w:numId w:val="81"/>
        </w:numPr>
        <w:tabs>
          <w:tab w:pos="757" w:val="left" w:leader="none"/>
        </w:tabs>
        <w:spacing w:line="247" w:lineRule="auto" w:before="26" w:after="0"/>
        <w:ind w:left="761" w:right="2180" w:hanging="568"/>
        <w:jc w:val="left"/>
        <w:rPr>
          <w:sz w:val="20"/>
        </w:rPr>
      </w:pPr>
      <w:r>
        <w:rPr>
          <w:color w:val="111113"/>
          <w:sz w:val="20"/>
        </w:rPr>
        <w:t>that it has carried out its activities effectively, efficiently and</w:t>
      </w:r>
      <w:r>
        <w:rPr>
          <w:color w:val="111113"/>
          <w:spacing w:val="-35"/>
          <w:sz w:val="20"/>
        </w:rPr>
        <w:t> </w:t>
      </w:r>
      <w:r>
        <w:rPr>
          <w:color w:val="111113"/>
          <w:sz w:val="20"/>
        </w:rPr>
        <w:t>economically about the effectiveness of its internal</w:t>
      </w:r>
      <w:r>
        <w:rPr>
          <w:color w:val="111113"/>
          <w:spacing w:val="-27"/>
          <w:sz w:val="20"/>
        </w:rPr>
        <w:t> </w:t>
      </w:r>
      <w:r>
        <w:rPr>
          <w:color w:val="111113"/>
          <w:sz w:val="20"/>
        </w:rPr>
        <w:t>control</w:t>
      </w:r>
    </w:p>
    <w:p>
      <w:pPr>
        <w:pStyle w:val="ListParagraph"/>
        <w:numPr>
          <w:ilvl w:val="0"/>
          <w:numId w:val="82"/>
        </w:numPr>
        <w:tabs>
          <w:tab w:pos="762" w:val="left" w:leader="none"/>
        </w:tabs>
        <w:spacing w:line="234" w:lineRule="exact" w:before="51" w:after="0"/>
        <w:ind w:left="761" w:right="1138" w:hanging="568"/>
        <w:jc w:val="left"/>
        <w:rPr>
          <w:sz w:val="20"/>
        </w:rPr>
      </w:pPr>
      <w:r>
        <w:rPr>
          <w:color w:val="111113"/>
          <w:sz w:val="20"/>
        </w:rPr>
        <w:t>about</w:t>
      </w:r>
      <w:r>
        <w:rPr>
          <w:color w:val="111113"/>
          <w:spacing w:val="-9"/>
          <w:sz w:val="20"/>
        </w:rPr>
        <w:t> </w:t>
      </w:r>
      <w:r>
        <w:rPr>
          <w:color w:val="111113"/>
          <w:sz w:val="20"/>
        </w:rPr>
        <w:t>the</w:t>
      </w:r>
      <w:r>
        <w:rPr>
          <w:color w:val="111113"/>
          <w:spacing w:val="-3"/>
          <w:sz w:val="20"/>
        </w:rPr>
        <w:t> </w:t>
      </w:r>
      <w:r>
        <w:rPr>
          <w:color w:val="111113"/>
          <w:sz w:val="20"/>
        </w:rPr>
        <w:t>security</w:t>
      </w:r>
      <w:r>
        <w:rPr>
          <w:color w:val="111113"/>
          <w:spacing w:val="5"/>
          <w:sz w:val="20"/>
        </w:rPr>
        <w:t> </w:t>
      </w:r>
      <w:r>
        <w:rPr>
          <w:color w:val="111113"/>
          <w:sz w:val="20"/>
        </w:rPr>
        <w:t>and</w:t>
      </w:r>
      <w:r>
        <w:rPr>
          <w:color w:val="111113"/>
          <w:spacing w:val="-9"/>
          <w:sz w:val="20"/>
        </w:rPr>
        <w:t> </w:t>
      </w:r>
      <w:r>
        <w:rPr>
          <w:color w:val="111113"/>
          <w:sz w:val="20"/>
        </w:rPr>
        <w:t>controls</w:t>
      </w:r>
      <w:r>
        <w:rPr>
          <w:color w:val="111113"/>
          <w:spacing w:val="-2"/>
          <w:sz w:val="20"/>
        </w:rPr>
        <w:t> </w:t>
      </w:r>
      <w:r>
        <w:rPr>
          <w:color w:val="111113"/>
          <w:sz w:val="20"/>
        </w:rPr>
        <w:t>over</w:t>
      </w:r>
      <w:r>
        <w:rPr>
          <w:color w:val="111113"/>
          <w:spacing w:val="-8"/>
          <w:sz w:val="20"/>
        </w:rPr>
        <w:t> </w:t>
      </w:r>
      <w:r>
        <w:rPr>
          <w:color w:val="111113"/>
          <w:sz w:val="20"/>
        </w:rPr>
        <w:t>the</w:t>
      </w:r>
      <w:r>
        <w:rPr>
          <w:color w:val="111113"/>
          <w:spacing w:val="-7"/>
          <w:sz w:val="20"/>
        </w:rPr>
        <w:t> </w:t>
      </w:r>
      <w:r>
        <w:rPr>
          <w:color w:val="111113"/>
          <w:sz w:val="20"/>
        </w:rPr>
        <w:t>electronic</w:t>
      </w:r>
      <w:r>
        <w:rPr>
          <w:color w:val="111113"/>
          <w:spacing w:val="6"/>
          <w:sz w:val="20"/>
        </w:rPr>
        <w:t> </w:t>
      </w:r>
      <w:r>
        <w:rPr>
          <w:color w:val="111113"/>
          <w:sz w:val="20"/>
        </w:rPr>
        <w:t>publication</w:t>
      </w:r>
      <w:r>
        <w:rPr>
          <w:color w:val="111113"/>
          <w:spacing w:val="-4"/>
          <w:sz w:val="20"/>
        </w:rPr>
        <w:t> </w:t>
      </w:r>
      <w:r>
        <w:rPr>
          <w:color w:val="111113"/>
          <w:sz w:val="20"/>
        </w:rPr>
        <w:t>of</w:t>
      </w:r>
      <w:r>
        <w:rPr>
          <w:color w:val="111113"/>
          <w:spacing w:val="-12"/>
          <w:sz w:val="20"/>
        </w:rPr>
        <w:t> </w:t>
      </w:r>
      <w:r>
        <w:rPr>
          <w:color w:val="111113"/>
          <w:sz w:val="20"/>
        </w:rPr>
        <w:t>the</w:t>
      </w:r>
      <w:r>
        <w:rPr>
          <w:color w:val="111113"/>
          <w:spacing w:val="-3"/>
          <w:sz w:val="20"/>
        </w:rPr>
        <w:t> </w:t>
      </w:r>
      <w:r>
        <w:rPr>
          <w:color w:val="111113"/>
          <w:sz w:val="20"/>
        </w:rPr>
        <w:t>audited</w:t>
      </w:r>
      <w:r>
        <w:rPr>
          <w:color w:val="111113"/>
          <w:spacing w:val="-4"/>
          <w:sz w:val="20"/>
        </w:rPr>
        <w:t> </w:t>
      </w:r>
      <w:r>
        <w:rPr>
          <w:color w:val="111113"/>
          <w:sz w:val="20"/>
        </w:rPr>
        <w:t>financial statements on any website where they may be</w:t>
      </w:r>
      <w:r>
        <w:rPr>
          <w:color w:val="111113"/>
          <w:spacing w:val="-32"/>
          <w:sz w:val="20"/>
        </w:rPr>
        <w:t> </w:t>
      </w:r>
      <w:r>
        <w:rPr>
          <w:color w:val="111113"/>
          <w:sz w:val="20"/>
        </w:rPr>
        <w:t>presented</w:t>
      </w:r>
    </w:p>
    <w:p>
      <w:pPr>
        <w:spacing w:before="52"/>
        <w:ind w:left="761" w:right="653" w:firstLine="0"/>
        <w:jc w:val="left"/>
        <w:rPr>
          <w:sz w:val="20"/>
        </w:rPr>
      </w:pPr>
      <w:r>
        <w:rPr>
          <w:color w:val="111113"/>
          <w:sz w:val="20"/>
        </w:rPr>
        <w:t>about other information that may have been hyperlinked to/from the financial statements.</w:t>
      </w:r>
    </w:p>
    <w:p>
      <w:pPr>
        <w:pStyle w:val="BodyText"/>
        <w:spacing w:before="3"/>
        <w:rPr>
          <w:sz w:val="19"/>
        </w:rPr>
      </w:pPr>
    </w:p>
    <w:p>
      <w:pPr>
        <w:spacing w:before="71"/>
        <w:ind w:left="202" w:right="0" w:firstLine="0"/>
        <w:jc w:val="both"/>
        <w:rPr>
          <w:b/>
          <w:sz w:val="23"/>
        </w:rPr>
      </w:pPr>
      <w:r>
        <w:rPr>
          <w:b/>
          <w:color w:val="111113"/>
          <w:w w:val="105"/>
          <w:sz w:val="23"/>
        </w:rPr>
        <w:t>Independence</w:t>
      </w:r>
    </w:p>
    <w:p>
      <w:pPr>
        <w:pStyle w:val="BodyText"/>
        <w:spacing w:before="7"/>
        <w:rPr>
          <w:b/>
          <w:sz w:val="20"/>
        </w:rPr>
      </w:pPr>
    </w:p>
    <w:p>
      <w:pPr>
        <w:spacing w:line="240" w:lineRule="auto" w:before="0"/>
        <w:ind w:left="183" w:right="129" w:firstLine="19"/>
        <w:jc w:val="both"/>
        <w:rPr>
          <w:sz w:val="20"/>
        </w:rPr>
      </w:pPr>
      <w:r>
        <w:rPr>
          <w:color w:val="111113"/>
          <w:sz w:val="20"/>
        </w:rPr>
        <w:t>In conducting my audit</w:t>
      </w:r>
      <w:r>
        <w:rPr>
          <w:color w:val="383838"/>
          <w:sz w:val="20"/>
        </w:rPr>
        <w:t>, </w:t>
      </w:r>
      <w:r>
        <w:rPr>
          <w:color w:val="111113"/>
          <w:sz w:val="20"/>
        </w:rPr>
        <w:t>I have complied with the independence requirements of the Australian Auditing Standards</w:t>
      </w:r>
      <w:r>
        <w:rPr>
          <w:color w:val="383838"/>
          <w:sz w:val="20"/>
        </w:rPr>
        <w:t>, </w:t>
      </w:r>
      <w:r>
        <w:rPr>
          <w:color w:val="111113"/>
          <w:sz w:val="20"/>
        </w:rPr>
        <w:t>the </w:t>
      </w:r>
      <w:r>
        <w:rPr>
          <w:i/>
          <w:color w:val="111113"/>
          <w:sz w:val="20"/>
        </w:rPr>
        <w:t>Corporations Act 2001 </w:t>
      </w:r>
      <w:r>
        <w:rPr>
          <w:color w:val="111113"/>
          <w:sz w:val="20"/>
        </w:rPr>
        <w:t>and relevant ethical pronouncements. The PF&amp;A Act further promotes independence by:</w:t>
      </w:r>
    </w:p>
    <w:p>
      <w:pPr>
        <w:pStyle w:val="BodyText"/>
        <w:spacing w:before="10"/>
        <w:rPr>
          <w:sz w:val="24"/>
        </w:rPr>
      </w:pPr>
    </w:p>
    <w:p>
      <w:pPr>
        <w:pStyle w:val="ListParagraph"/>
        <w:numPr>
          <w:ilvl w:val="0"/>
          <w:numId w:val="83"/>
        </w:numPr>
        <w:tabs>
          <w:tab w:pos="762" w:val="left" w:leader="none"/>
        </w:tabs>
        <w:spacing w:line="240" w:lineRule="auto" w:before="1" w:after="0"/>
        <w:ind w:left="752" w:right="1414" w:hanging="564"/>
        <w:jc w:val="left"/>
        <w:rPr>
          <w:sz w:val="20"/>
        </w:rPr>
      </w:pPr>
      <w:r>
        <w:rPr>
          <w:color w:val="111113"/>
          <w:sz w:val="20"/>
        </w:rPr>
        <w:t>providing that only Parliament, and not the executive government, can remove</w:t>
      </w:r>
      <w:r>
        <w:rPr>
          <w:color w:val="111113"/>
          <w:spacing w:val="-30"/>
          <w:sz w:val="20"/>
        </w:rPr>
        <w:t> </w:t>
      </w:r>
      <w:r>
        <w:rPr>
          <w:color w:val="111113"/>
          <w:sz w:val="20"/>
        </w:rPr>
        <w:t>an Auditor-General</w:t>
      </w:r>
    </w:p>
    <w:p>
      <w:pPr>
        <w:pStyle w:val="ListParagraph"/>
        <w:numPr>
          <w:ilvl w:val="0"/>
          <w:numId w:val="83"/>
        </w:numPr>
        <w:tabs>
          <w:tab w:pos="762" w:val="left" w:leader="none"/>
        </w:tabs>
        <w:spacing w:line="240" w:lineRule="auto" w:before="57" w:after="0"/>
        <w:ind w:left="752" w:right="145" w:hanging="564"/>
        <w:jc w:val="left"/>
        <w:rPr>
          <w:sz w:val="20"/>
        </w:rPr>
      </w:pPr>
      <w:r>
        <w:rPr>
          <w:color w:val="111113"/>
          <w:sz w:val="20"/>
        </w:rPr>
        <w:t>mandating</w:t>
      </w:r>
      <w:r>
        <w:rPr>
          <w:color w:val="111113"/>
          <w:spacing w:val="-8"/>
          <w:sz w:val="20"/>
        </w:rPr>
        <w:t> </w:t>
      </w:r>
      <w:r>
        <w:rPr>
          <w:color w:val="111113"/>
          <w:sz w:val="20"/>
        </w:rPr>
        <w:t>the</w:t>
      </w:r>
      <w:r>
        <w:rPr>
          <w:color w:val="111113"/>
          <w:spacing w:val="-9"/>
          <w:sz w:val="20"/>
        </w:rPr>
        <w:t> </w:t>
      </w:r>
      <w:r>
        <w:rPr>
          <w:color w:val="111113"/>
          <w:sz w:val="20"/>
        </w:rPr>
        <w:t>Auditor-General</w:t>
      </w:r>
      <w:r>
        <w:rPr>
          <w:color w:val="111113"/>
          <w:spacing w:val="10"/>
          <w:sz w:val="20"/>
        </w:rPr>
        <w:t> </w:t>
      </w:r>
      <w:r>
        <w:rPr>
          <w:color w:val="111113"/>
          <w:sz w:val="20"/>
        </w:rPr>
        <w:t>as</w:t>
      </w:r>
      <w:r>
        <w:rPr>
          <w:color w:val="111113"/>
          <w:spacing w:val="-9"/>
          <w:sz w:val="20"/>
        </w:rPr>
        <w:t> </w:t>
      </w:r>
      <w:r>
        <w:rPr>
          <w:color w:val="111113"/>
          <w:sz w:val="20"/>
        </w:rPr>
        <w:t>auditor</w:t>
      </w:r>
      <w:r>
        <w:rPr>
          <w:color w:val="111113"/>
          <w:spacing w:val="-2"/>
          <w:sz w:val="20"/>
        </w:rPr>
        <w:t> </w:t>
      </w:r>
      <w:r>
        <w:rPr>
          <w:color w:val="111113"/>
          <w:sz w:val="20"/>
        </w:rPr>
        <w:t>of</w:t>
      </w:r>
      <w:r>
        <w:rPr>
          <w:color w:val="111113"/>
          <w:spacing w:val="-6"/>
          <w:sz w:val="20"/>
        </w:rPr>
        <w:t> </w:t>
      </w:r>
      <w:r>
        <w:rPr>
          <w:color w:val="111113"/>
          <w:sz w:val="20"/>
        </w:rPr>
        <w:t>public</w:t>
      </w:r>
      <w:r>
        <w:rPr>
          <w:color w:val="111113"/>
          <w:spacing w:val="-10"/>
          <w:sz w:val="20"/>
        </w:rPr>
        <w:t> </w:t>
      </w:r>
      <w:r>
        <w:rPr>
          <w:color w:val="111113"/>
          <w:sz w:val="20"/>
        </w:rPr>
        <w:t>sector</w:t>
      </w:r>
      <w:r>
        <w:rPr>
          <w:color w:val="111113"/>
          <w:spacing w:val="-5"/>
          <w:sz w:val="20"/>
        </w:rPr>
        <w:t> </w:t>
      </w:r>
      <w:r>
        <w:rPr>
          <w:color w:val="111113"/>
          <w:sz w:val="20"/>
        </w:rPr>
        <w:t>agencies,</w:t>
      </w:r>
      <w:r>
        <w:rPr>
          <w:color w:val="111113"/>
          <w:spacing w:val="10"/>
          <w:sz w:val="20"/>
        </w:rPr>
        <w:t> </w:t>
      </w:r>
      <w:r>
        <w:rPr>
          <w:color w:val="111113"/>
          <w:sz w:val="20"/>
        </w:rPr>
        <w:t>but</w:t>
      </w:r>
      <w:r>
        <w:rPr>
          <w:color w:val="111113"/>
          <w:spacing w:val="-13"/>
          <w:sz w:val="20"/>
        </w:rPr>
        <w:t> </w:t>
      </w:r>
      <w:r>
        <w:rPr>
          <w:color w:val="111113"/>
          <w:sz w:val="20"/>
        </w:rPr>
        <w:t>precluding</w:t>
      </w:r>
      <w:r>
        <w:rPr>
          <w:color w:val="111113"/>
          <w:spacing w:val="-7"/>
          <w:sz w:val="20"/>
        </w:rPr>
        <w:t> </w:t>
      </w:r>
      <w:r>
        <w:rPr>
          <w:color w:val="111113"/>
          <w:sz w:val="20"/>
        </w:rPr>
        <w:t>the</w:t>
      </w:r>
      <w:r>
        <w:rPr>
          <w:color w:val="111113"/>
          <w:spacing w:val="-7"/>
          <w:sz w:val="20"/>
        </w:rPr>
        <w:t> </w:t>
      </w:r>
      <w:r>
        <w:rPr>
          <w:color w:val="111113"/>
          <w:sz w:val="20"/>
        </w:rPr>
        <w:t>provision of non-audit services, thus ensuring the Auditor-General and the Audit Office of New South Wales are not compromised in their roles by the possibility of losing clients or</w:t>
      </w:r>
      <w:r>
        <w:rPr>
          <w:color w:val="111113"/>
          <w:spacing w:val="-7"/>
          <w:sz w:val="20"/>
        </w:rPr>
        <w:t> </w:t>
      </w:r>
      <w:r>
        <w:rPr>
          <w:color w:val="111113"/>
          <w:sz w:val="20"/>
        </w:rPr>
        <w:t>income</w:t>
      </w:r>
      <w:r>
        <w:rPr>
          <w:color w:val="383838"/>
          <w:sz w:val="20"/>
        </w:rPr>
        <w:t>.</w:t>
      </w:r>
    </w:p>
    <w:p>
      <w:pPr>
        <w:pStyle w:val="BodyText"/>
        <w:spacing w:before="5"/>
        <w:rPr>
          <w:sz w:val="22"/>
        </w:rPr>
      </w:pPr>
    </w:p>
    <w:p>
      <w:pPr>
        <w:spacing w:line="242" w:lineRule="auto" w:before="0"/>
        <w:ind w:left="183" w:right="119" w:firstLine="14"/>
        <w:jc w:val="both"/>
        <w:rPr>
          <w:sz w:val="20"/>
        </w:rPr>
      </w:pPr>
      <w:r>
        <w:rPr>
          <w:color w:val="111113"/>
          <w:sz w:val="20"/>
        </w:rPr>
        <w:t>I confirm that the independence declaration required by the </w:t>
      </w:r>
      <w:r>
        <w:rPr>
          <w:i/>
          <w:color w:val="111113"/>
          <w:sz w:val="20"/>
        </w:rPr>
        <w:t>Corporations Act 2001, </w:t>
      </w:r>
      <w:r>
        <w:rPr>
          <w:color w:val="111113"/>
          <w:sz w:val="20"/>
        </w:rPr>
        <w:t>provided to the directors of the College on 2 April 2013, would be in the same terms if provided to the directors as at the time of this auditor's report</w:t>
      </w:r>
      <w:r>
        <w:rPr>
          <w:color w:val="383838"/>
          <w:sz w:val="20"/>
        </w:rPr>
        <w:t>.</w:t>
      </w:r>
    </w:p>
    <w:p>
      <w:pPr>
        <w:pStyle w:val="BodyText"/>
        <w:rPr>
          <w:sz w:val="20"/>
        </w:rPr>
      </w:pPr>
    </w:p>
    <w:p>
      <w:pPr>
        <w:pStyle w:val="BodyText"/>
        <w:spacing w:before="1"/>
        <w:rPr>
          <w:sz w:val="11"/>
        </w:rPr>
      </w:pPr>
      <w:r>
        <w:rPr/>
        <w:drawing>
          <wp:anchor distT="0" distB="0" distL="0" distR="0" allowOverlap="1" layoutInCell="1" locked="0" behindDoc="0" simplePos="0" relativeHeight="5128">
            <wp:simplePos x="0" y="0"/>
            <wp:positionH relativeFrom="page">
              <wp:posOffset>841248</wp:posOffset>
            </wp:positionH>
            <wp:positionV relativeFrom="paragraph">
              <wp:posOffset>105721</wp:posOffset>
            </wp:positionV>
            <wp:extent cx="1426463" cy="609600"/>
            <wp:effectExtent l="0" t="0" r="0" b="0"/>
            <wp:wrapTopAndBottom/>
            <wp:docPr id="77" name="image66.jpeg" descr=""/>
            <wp:cNvGraphicFramePr>
              <a:graphicFrameLocks noChangeAspect="1"/>
            </wp:cNvGraphicFramePr>
            <a:graphic>
              <a:graphicData uri="http://schemas.openxmlformats.org/drawingml/2006/picture">
                <pic:pic>
                  <pic:nvPicPr>
                    <pic:cNvPr id="78" name="image66.jpeg"/>
                    <pic:cNvPicPr/>
                  </pic:nvPicPr>
                  <pic:blipFill>
                    <a:blip r:embed="rId184" cstate="print"/>
                    <a:stretch>
                      <a:fillRect/>
                    </a:stretch>
                  </pic:blipFill>
                  <pic:spPr>
                    <a:xfrm>
                      <a:off x="0" y="0"/>
                      <a:ext cx="1426463" cy="609600"/>
                    </a:xfrm>
                    <a:prstGeom prst="rect">
                      <a:avLst/>
                    </a:prstGeom>
                  </pic:spPr>
                </pic:pic>
              </a:graphicData>
            </a:graphic>
          </wp:anchor>
        </w:drawing>
      </w:r>
    </w:p>
    <w:p>
      <w:pPr>
        <w:spacing w:line="212" w:lineRule="exact" w:before="0"/>
        <w:ind w:left="193" w:right="0" w:firstLine="0"/>
        <w:jc w:val="both"/>
        <w:rPr>
          <w:sz w:val="20"/>
        </w:rPr>
      </w:pPr>
      <w:r>
        <w:rPr>
          <w:color w:val="111113"/>
          <w:sz w:val="20"/>
        </w:rPr>
        <w:t>Renee Meimaroglou</w:t>
      </w:r>
    </w:p>
    <w:p>
      <w:pPr>
        <w:spacing w:line="227" w:lineRule="exact" w:before="0"/>
        <w:ind w:left="193" w:right="0" w:firstLine="0"/>
        <w:jc w:val="both"/>
        <w:rPr>
          <w:sz w:val="20"/>
        </w:rPr>
      </w:pPr>
      <w:r>
        <w:rPr>
          <w:color w:val="111113"/>
          <w:sz w:val="20"/>
        </w:rPr>
        <w:t>Director Financial Audit Services</w:t>
      </w:r>
    </w:p>
    <w:p>
      <w:pPr>
        <w:pStyle w:val="BodyText"/>
        <w:spacing w:before="11"/>
        <w:rPr>
          <w:sz w:val="19"/>
        </w:rPr>
      </w:pPr>
    </w:p>
    <w:p>
      <w:pPr>
        <w:spacing w:before="0"/>
        <w:ind w:left="188" w:right="0" w:firstLine="0"/>
        <w:jc w:val="both"/>
        <w:rPr>
          <w:sz w:val="20"/>
        </w:rPr>
      </w:pPr>
      <w:r>
        <w:rPr>
          <w:color w:val="111113"/>
          <w:sz w:val="20"/>
        </w:rPr>
        <w:t>9 April 2013</w:t>
      </w:r>
    </w:p>
    <w:p>
      <w:pPr>
        <w:spacing w:before="9"/>
        <w:ind w:left="188" w:right="0" w:firstLine="0"/>
        <w:jc w:val="both"/>
        <w:rPr>
          <w:b/>
          <w:sz w:val="19"/>
        </w:rPr>
      </w:pPr>
      <w:r>
        <w:rPr>
          <w:b/>
          <w:color w:val="111113"/>
          <w:sz w:val="19"/>
        </w:rPr>
        <w:t>SYDNEY</w:t>
      </w:r>
    </w:p>
    <w:p>
      <w:pPr>
        <w:spacing w:after="0"/>
        <w:jc w:val="both"/>
        <w:rPr>
          <w:sz w:val="19"/>
        </w:rPr>
        <w:sectPr>
          <w:headerReference w:type="default" r:id="rId182"/>
          <w:footerReference w:type="default" r:id="rId183"/>
          <w:pgSz w:w="11910" w:h="16840"/>
          <w:pgMar w:header="0" w:footer="507" w:top="1400" w:bottom="700" w:left="1220" w:right="1340"/>
          <w:pgNumType w:start="167"/>
        </w:sectPr>
      </w:pPr>
    </w:p>
    <w:p>
      <w:pPr>
        <w:pStyle w:val="BodyText"/>
        <w:spacing w:before="2"/>
        <w:rPr>
          <w:b/>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90"/>
        <w:gridCol w:w="1469"/>
        <w:gridCol w:w="1410"/>
        <w:gridCol w:w="1185"/>
      </w:tblGrid>
      <w:tr>
        <w:trPr>
          <w:trHeight w:val="911" w:hRule="exact"/>
        </w:trPr>
        <w:tc>
          <w:tcPr>
            <w:tcW w:w="5890" w:type="dxa"/>
          </w:tcPr>
          <w:p>
            <w:pPr>
              <w:pStyle w:val="TableParagraph"/>
              <w:spacing w:before="64"/>
              <w:ind w:left="35"/>
              <w:rPr>
                <w:b/>
                <w:sz w:val="28"/>
              </w:rPr>
            </w:pPr>
            <w:r>
              <w:rPr>
                <w:b/>
                <w:sz w:val="28"/>
              </w:rPr>
              <w:t>Statement of Comprehensive Income</w:t>
            </w:r>
          </w:p>
          <w:p>
            <w:pPr>
              <w:pStyle w:val="TableParagraph"/>
              <w:spacing w:before="57"/>
              <w:ind w:left="35"/>
              <w:rPr>
                <w:b/>
                <w:sz w:val="22"/>
              </w:rPr>
            </w:pPr>
            <w:r>
              <w:rPr>
                <w:b/>
                <w:sz w:val="22"/>
              </w:rPr>
              <w:t>For the Year Ended 31 December 2012</w:t>
            </w:r>
          </w:p>
        </w:tc>
        <w:tc>
          <w:tcPr>
            <w:tcW w:w="4063" w:type="dxa"/>
            <w:gridSpan w:val="3"/>
          </w:tcPr>
          <w:p>
            <w:pPr/>
          </w:p>
        </w:tc>
      </w:tr>
      <w:tr>
        <w:trPr>
          <w:trHeight w:val="447" w:hRule="exact"/>
        </w:trPr>
        <w:tc>
          <w:tcPr>
            <w:tcW w:w="5890" w:type="dxa"/>
          </w:tcPr>
          <w:p>
            <w:pPr/>
          </w:p>
        </w:tc>
        <w:tc>
          <w:tcPr>
            <w:tcW w:w="1469" w:type="dxa"/>
          </w:tcPr>
          <w:p>
            <w:pPr/>
          </w:p>
        </w:tc>
        <w:tc>
          <w:tcPr>
            <w:tcW w:w="1410" w:type="dxa"/>
          </w:tcPr>
          <w:p>
            <w:pPr>
              <w:pStyle w:val="TableParagraph"/>
              <w:spacing w:before="1"/>
              <w:rPr>
                <w:b/>
                <w:sz w:val="17"/>
              </w:rPr>
            </w:pPr>
          </w:p>
          <w:p>
            <w:pPr>
              <w:pStyle w:val="TableParagraph"/>
              <w:ind w:left="448"/>
              <w:rPr>
                <w:b/>
                <w:sz w:val="18"/>
              </w:rPr>
            </w:pPr>
            <w:r>
              <w:rPr>
                <w:b/>
                <w:sz w:val="18"/>
              </w:rPr>
              <w:t>2012</w:t>
            </w:r>
          </w:p>
        </w:tc>
        <w:tc>
          <w:tcPr>
            <w:tcW w:w="1185" w:type="dxa"/>
          </w:tcPr>
          <w:p>
            <w:pPr>
              <w:pStyle w:val="TableParagraph"/>
              <w:spacing w:before="1"/>
              <w:rPr>
                <w:b/>
                <w:sz w:val="17"/>
              </w:rPr>
            </w:pPr>
          </w:p>
          <w:p>
            <w:pPr>
              <w:pStyle w:val="TableParagraph"/>
              <w:ind w:left="336" w:right="7"/>
              <w:rPr>
                <w:b/>
                <w:sz w:val="18"/>
              </w:rPr>
            </w:pPr>
            <w:r>
              <w:rPr>
                <w:b/>
                <w:sz w:val="18"/>
              </w:rPr>
              <w:t>2011</w:t>
            </w:r>
          </w:p>
        </w:tc>
      </w:tr>
      <w:tr>
        <w:trPr>
          <w:trHeight w:val="313" w:hRule="exact"/>
        </w:trPr>
        <w:tc>
          <w:tcPr>
            <w:tcW w:w="5890" w:type="dxa"/>
          </w:tcPr>
          <w:p>
            <w:pPr/>
          </w:p>
        </w:tc>
        <w:tc>
          <w:tcPr>
            <w:tcW w:w="1469" w:type="dxa"/>
          </w:tcPr>
          <w:p>
            <w:pPr>
              <w:pStyle w:val="TableParagraph"/>
              <w:spacing w:before="24"/>
              <w:ind w:right="36"/>
              <w:jc w:val="right"/>
              <w:rPr>
                <w:b/>
                <w:sz w:val="18"/>
              </w:rPr>
            </w:pPr>
            <w:r>
              <w:rPr>
                <w:b/>
                <w:sz w:val="18"/>
              </w:rPr>
              <w:t>Notes</w:t>
            </w:r>
          </w:p>
        </w:tc>
        <w:tc>
          <w:tcPr>
            <w:tcW w:w="1410" w:type="dxa"/>
          </w:tcPr>
          <w:p>
            <w:pPr>
              <w:pStyle w:val="TableParagraph"/>
              <w:spacing w:before="24"/>
              <w:ind w:right="110"/>
              <w:jc w:val="center"/>
              <w:rPr>
                <w:b/>
                <w:sz w:val="18"/>
              </w:rPr>
            </w:pPr>
            <w:r>
              <w:rPr>
                <w:b/>
                <w:w w:val="99"/>
                <w:sz w:val="18"/>
              </w:rPr>
              <w:t>$</w:t>
            </w:r>
          </w:p>
        </w:tc>
        <w:tc>
          <w:tcPr>
            <w:tcW w:w="1185" w:type="dxa"/>
          </w:tcPr>
          <w:p>
            <w:pPr>
              <w:pStyle w:val="TableParagraph"/>
              <w:spacing w:before="24"/>
              <w:ind w:right="110"/>
              <w:jc w:val="center"/>
              <w:rPr>
                <w:b/>
                <w:sz w:val="18"/>
              </w:rPr>
            </w:pPr>
            <w:r>
              <w:rPr>
                <w:b/>
                <w:w w:val="99"/>
                <w:sz w:val="18"/>
              </w:rPr>
              <w:t>$</w:t>
            </w:r>
          </w:p>
        </w:tc>
      </w:tr>
      <w:tr>
        <w:trPr>
          <w:trHeight w:val="350" w:hRule="exact"/>
        </w:trPr>
        <w:tc>
          <w:tcPr>
            <w:tcW w:w="5890" w:type="dxa"/>
          </w:tcPr>
          <w:p>
            <w:pPr>
              <w:pStyle w:val="TableParagraph"/>
              <w:spacing w:before="63"/>
              <w:ind w:left="62"/>
              <w:rPr>
                <w:b/>
                <w:sz w:val="18"/>
              </w:rPr>
            </w:pPr>
            <w:r>
              <w:rPr>
                <w:b/>
                <w:sz w:val="18"/>
              </w:rPr>
              <w:t>Revenue</w:t>
            </w:r>
          </w:p>
        </w:tc>
        <w:tc>
          <w:tcPr>
            <w:tcW w:w="1469" w:type="dxa"/>
          </w:tcPr>
          <w:p>
            <w:pPr/>
          </w:p>
        </w:tc>
        <w:tc>
          <w:tcPr>
            <w:tcW w:w="1410" w:type="dxa"/>
          </w:tcPr>
          <w:p>
            <w:pPr/>
          </w:p>
        </w:tc>
        <w:tc>
          <w:tcPr>
            <w:tcW w:w="1185" w:type="dxa"/>
          </w:tcPr>
          <w:p>
            <w:pPr/>
          </w:p>
        </w:tc>
      </w:tr>
      <w:tr>
        <w:trPr>
          <w:trHeight w:val="306" w:hRule="exact"/>
        </w:trPr>
        <w:tc>
          <w:tcPr>
            <w:tcW w:w="5890" w:type="dxa"/>
          </w:tcPr>
          <w:p>
            <w:pPr>
              <w:pStyle w:val="TableParagraph"/>
              <w:spacing w:before="60"/>
              <w:ind w:left="62"/>
              <w:rPr>
                <w:sz w:val="18"/>
              </w:rPr>
            </w:pPr>
            <w:r>
              <w:rPr>
                <w:sz w:val="18"/>
              </w:rPr>
              <w:t>Rendering of services</w:t>
            </w:r>
          </w:p>
        </w:tc>
        <w:tc>
          <w:tcPr>
            <w:tcW w:w="1469" w:type="dxa"/>
          </w:tcPr>
          <w:p>
            <w:pPr>
              <w:pStyle w:val="TableParagraph"/>
              <w:spacing w:before="61"/>
              <w:ind w:right="77"/>
              <w:jc w:val="right"/>
              <w:rPr>
                <w:sz w:val="18"/>
              </w:rPr>
            </w:pPr>
            <w:r>
              <w:rPr>
                <w:w w:val="95"/>
                <w:sz w:val="18"/>
              </w:rPr>
              <w:t>12(a)</w:t>
            </w:r>
          </w:p>
        </w:tc>
        <w:tc>
          <w:tcPr>
            <w:tcW w:w="1410" w:type="dxa"/>
          </w:tcPr>
          <w:p>
            <w:pPr>
              <w:pStyle w:val="TableParagraph"/>
              <w:spacing w:before="61"/>
              <w:ind w:left="310"/>
              <w:rPr>
                <w:b/>
                <w:sz w:val="18"/>
              </w:rPr>
            </w:pPr>
            <w:r>
              <w:rPr>
                <w:b/>
                <w:sz w:val="18"/>
              </w:rPr>
              <w:t>24,505,121</w:t>
            </w:r>
          </w:p>
        </w:tc>
        <w:tc>
          <w:tcPr>
            <w:tcW w:w="1185" w:type="dxa"/>
          </w:tcPr>
          <w:p>
            <w:pPr>
              <w:pStyle w:val="TableParagraph"/>
              <w:spacing w:before="61"/>
              <w:ind w:right="83"/>
              <w:jc w:val="right"/>
              <w:rPr>
                <w:sz w:val="18"/>
              </w:rPr>
            </w:pPr>
            <w:r>
              <w:rPr>
                <w:w w:val="95"/>
                <w:sz w:val="18"/>
              </w:rPr>
              <w:t>21,932,505</w:t>
            </w:r>
          </w:p>
        </w:tc>
      </w:tr>
      <w:tr>
        <w:trPr>
          <w:trHeight w:val="263" w:hRule="exact"/>
        </w:trPr>
        <w:tc>
          <w:tcPr>
            <w:tcW w:w="5890" w:type="dxa"/>
          </w:tcPr>
          <w:p>
            <w:pPr>
              <w:pStyle w:val="TableParagraph"/>
              <w:spacing w:before="18"/>
              <w:ind w:left="62"/>
              <w:rPr>
                <w:sz w:val="18"/>
              </w:rPr>
            </w:pPr>
            <w:r>
              <w:rPr>
                <w:sz w:val="18"/>
              </w:rPr>
              <w:t>Interest revenue</w:t>
            </w:r>
          </w:p>
        </w:tc>
        <w:tc>
          <w:tcPr>
            <w:tcW w:w="1469" w:type="dxa"/>
          </w:tcPr>
          <w:p>
            <w:pPr/>
          </w:p>
        </w:tc>
        <w:tc>
          <w:tcPr>
            <w:tcW w:w="1410" w:type="dxa"/>
            <w:tcBorders>
              <w:bottom w:val="single" w:sz="0" w:space="0" w:color="000000"/>
            </w:tcBorders>
          </w:tcPr>
          <w:p>
            <w:pPr>
              <w:pStyle w:val="TableParagraph"/>
              <w:spacing w:before="19"/>
              <w:ind w:right="196"/>
              <w:jc w:val="right"/>
              <w:rPr>
                <w:b/>
                <w:sz w:val="18"/>
              </w:rPr>
            </w:pPr>
            <w:r>
              <w:rPr>
                <w:b/>
                <w:w w:val="95"/>
                <w:sz w:val="18"/>
              </w:rPr>
              <w:t>204,930</w:t>
            </w:r>
          </w:p>
        </w:tc>
        <w:tc>
          <w:tcPr>
            <w:tcW w:w="1185" w:type="dxa"/>
            <w:tcBorders>
              <w:bottom w:val="single" w:sz="0" w:space="0" w:color="000000"/>
            </w:tcBorders>
          </w:tcPr>
          <w:p>
            <w:pPr>
              <w:pStyle w:val="TableParagraph"/>
              <w:spacing w:before="19"/>
              <w:ind w:left="447" w:right="7"/>
              <w:rPr>
                <w:sz w:val="18"/>
              </w:rPr>
            </w:pPr>
            <w:r>
              <w:rPr>
                <w:sz w:val="18"/>
              </w:rPr>
              <w:t>236,601</w:t>
            </w:r>
          </w:p>
        </w:tc>
      </w:tr>
      <w:tr>
        <w:trPr>
          <w:trHeight w:val="566" w:hRule="exact"/>
        </w:trPr>
        <w:tc>
          <w:tcPr>
            <w:tcW w:w="5890" w:type="dxa"/>
          </w:tcPr>
          <w:p>
            <w:pPr>
              <w:pStyle w:val="TableParagraph"/>
              <w:spacing w:before="123"/>
              <w:ind w:left="62"/>
              <w:rPr>
                <w:b/>
                <w:sz w:val="18"/>
              </w:rPr>
            </w:pPr>
            <w:r>
              <w:rPr>
                <w:b/>
                <w:sz w:val="18"/>
              </w:rPr>
              <w:t>Total revenue from operations</w:t>
            </w:r>
          </w:p>
        </w:tc>
        <w:tc>
          <w:tcPr>
            <w:tcW w:w="1469" w:type="dxa"/>
          </w:tcPr>
          <w:p>
            <w:pPr/>
          </w:p>
        </w:tc>
        <w:tc>
          <w:tcPr>
            <w:tcW w:w="1410" w:type="dxa"/>
            <w:tcBorders>
              <w:top w:val="single" w:sz="0" w:space="0" w:color="000000"/>
            </w:tcBorders>
          </w:tcPr>
          <w:p>
            <w:pPr>
              <w:pStyle w:val="TableParagraph"/>
              <w:spacing w:before="94"/>
              <w:ind w:left="310"/>
              <w:rPr>
                <w:b/>
                <w:sz w:val="18"/>
              </w:rPr>
            </w:pPr>
            <w:r>
              <w:rPr>
                <w:b/>
                <w:sz w:val="18"/>
              </w:rPr>
              <w:t>24,710,051</w:t>
            </w:r>
          </w:p>
        </w:tc>
        <w:tc>
          <w:tcPr>
            <w:tcW w:w="1185" w:type="dxa"/>
            <w:tcBorders>
              <w:top w:val="single" w:sz="0" w:space="0" w:color="000000"/>
            </w:tcBorders>
          </w:tcPr>
          <w:p>
            <w:pPr>
              <w:pStyle w:val="TableParagraph"/>
              <w:spacing w:before="122"/>
              <w:ind w:right="83"/>
              <w:jc w:val="right"/>
              <w:rPr>
                <w:sz w:val="18"/>
              </w:rPr>
            </w:pPr>
            <w:r>
              <w:rPr>
                <w:w w:val="95"/>
                <w:sz w:val="18"/>
              </w:rPr>
              <w:t>22,169,106</w:t>
            </w:r>
          </w:p>
        </w:tc>
      </w:tr>
      <w:tr>
        <w:trPr>
          <w:trHeight w:val="461" w:hRule="exact"/>
        </w:trPr>
        <w:tc>
          <w:tcPr>
            <w:tcW w:w="5890" w:type="dxa"/>
          </w:tcPr>
          <w:p>
            <w:pPr>
              <w:pStyle w:val="TableParagraph"/>
              <w:spacing w:before="10"/>
              <w:rPr>
                <w:b/>
                <w:sz w:val="18"/>
              </w:rPr>
            </w:pPr>
          </w:p>
          <w:p>
            <w:pPr>
              <w:pStyle w:val="TableParagraph"/>
              <w:ind w:left="62"/>
              <w:rPr>
                <w:sz w:val="18"/>
              </w:rPr>
            </w:pPr>
            <w:r>
              <w:rPr>
                <w:sz w:val="18"/>
              </w:rPr>
              <w:t>Other revenue</w:t>
            </w:r>
          </w:p>
        </w:tc>
        <w:tc>
          <w:tcPr>
            <w:tcW w:w="1469" w:type="dxa"/>
          </w:tcPr>
          <w:p>
            <w:pPr>
              <w:pStyle w:val="TableParagraph"/>
              <w:spacing w:before="10"/>
              <w:rPr>
                <w:b/>
                <w:sz w:val="18"/>
              </w:rPr>
            </w:pPr>
          </w:p>
          <w:p>
            <w:pPr>
              <w:pStyle w:val="TableParagraph"/>
              <w:ind w:right="76"/>
              <w:jc w:val="right"/>
              <w:rPr>
                <w:sz w:val="18"/>
              </w:rPr>
            </w:pPr>
            <w:r>
              <w:rPr>
                <w:w w:val="95"/>
                <w:sz w:val="18"/>
              </w:rPr>
              <w:t>12(b)</w:t>
            </w:r>
          </w:p>
        </w:tc>
        <w:tc>
          <w:tcPr>
            <w:tcW w:w="1410" w:type="dxa"/>
            <w:tcBorders>
              <w:bottom w:val="single" w:sz="0" w:space="0" w:color="000000"/>
            </w:tcBorders>
          </w:tcPr>
          <w:p>
            <w:pPr>
              <w:pStyle w:val="TableParagraph"/>
              <w:spacing w:before="10"/>
              <w:rPr>
                <w:b/>
                <w:sz w:val="18"/>
              </w:rPr>
            </w:pPr>
          </w:p>
          <w:p>
            <w:pPr>
              <w:pStyle w:val="TableParagraph"/>
              <w:ind w:right="196"/>
              <w:jc w:val="right"/>
              <w:rPr>
                <w:b/>
                <w:sz w:val="18"/>
              </w:rPr>
            </w:pPr>
            <w:r>
              <w:rPr>
                <w:b/>
                <w:w w:val="95"/>
                <w:sz w:val="18"/>
              </w:rPr>
              <w:t>871,831</w:t>
            </w:r>
          </w:p>
        </w:tc>
        <w:tc>
          <w:tcPr>
            <w:tcW w:w="1185" w:type="dxa"/>
            <w:tcBorders>
              <w:bottom w:val="single" w:sz="0" w:space="0" w:color="000000"/>
            </w:tcBorders>
          </w:tcPr>
          <w:p>
            <w:pPr>
              <w:pStyle w:val="TableParagraph"/>
              <w:spacing w:before="10"/>
              <w:rPr>
                <w:b/>
                <w:sz w:val="18"/>
              </w:rPr>
            </w:pPr>
          </w:p>
          <w:p>
            <w:pPr>
              <w:pStyle w:val="TableParagraph"/>
              <w:ind w:left="297" w:right="7"/>
              <w:rPr>
                <w:sz w:val="18"/>
              </w:rPr>
            </w:pPr>
            <w:r>
              <w:rPr>
                <w:sz w:val="18"/>
              </w:rPr>
              <w:t>1,657,700</w:t>
            </w:r>
          </w:p>
        </w:tc>
      </w:tr>
      <w:tr>
        <w:trPr>
          <w:trHeight w:val="566" w:hRule="exact"/>
        </w:trPr>
        <w:tc>
          <w:tcPr>
            <w:tcW w:w="5890" w:type="dxa"/>
          </w:tcPr>
          <w:p>
            <w:pPr>
              <w:pStyle w:val="TableParagraph"/>
              <w:spacing w:before="123"/>
              <w:ind w:left="62"/>
              <w:rPr>
                <w:b/>
                <w:sz w:val="18"/>
              </w:rPr>
            </w:pPr>
            <w:r>
              <w:rPr>
                <w:b/>
                <w:sz w:val="18"/>
              </w:rPr>
              <w:t>Total revenue</w:t>
            </w:r>
          </w:p>
        </w:tc>
        <w:tc>
          <w:tcPr>
            <w:tcW w:w="1469" w:type="dxa"/>
          </w:tcPr>
          <w:p>
            <w:pPr/>
          </w:p>
        </w:tc>
        <w:tc>
          <w:tcPr>
            <w:tcW w:w="1410" w:type="dxa"/>
            <w:tcBorders>
              <w:top w:val="single" w:sz="0" w:space="0" w:color="000000"/>
            </w:tcBorders>
          </w:tcPr>
          <w:p>
            <w:pPr>
              <w:pStyle w:val="TableParagraph"/>
              <w:spacing w:before="94"/>
              <w:ind w:left="310"/>
              <w:rPr>
                <w:b/>
                <w:sz w:val="18"/>
              </w:rPr>
            </w:pPr>
            <w:r>
              <w:rPr>
                <w:b/>
                <w:sz w:val="18"/>
              </w:rPr>
              <w:t>25,581,882</w:t>
            </w:r>
          </w:p>
        </w:tc>
        <w:tc>
          <w:tcPr>
            <w:tcW w:w="1185" w:type="dxa"/>
            <w:tcBorders>
              <w:top w:val="single" w:sz="0" w:space="0" w:color="000000"/>
            </w:tcBorders>
          </w:tcPr>
          <w:p>
            <w:pPr>
              <w:pStyle w:val="TableParagraph"/>
              <w:spacing w:before="122"/>
              <w:ind w:right="83"/>
              <w:jc w:val="right"/>
              <w:rPr>
                <w:sz w:val="18"/>
              </w:rPr>
            </w:pPr>
            <w:r>
              <w:rPr>
                <w:w w:val="95"/>
                <w:sz w:val="18"/>
              </w:rPr>
              <w:t>23,826,806</w:t>
            </w:r>
          </w:p>
        </w:tc>
      </w:tr>
      <w:tr>
        <w:trPr>
          <w:trHeight w:val="674" w:hRule="exact"/>
        </w:trPr>
        <w:tc>
          <w:tcPr>
            <w:tcW w:w="5890" w:type="dxa"/>
          </w:tcPr>
          <w:p>
            <w:pPr>
              <w:pStyle w:val="TableParagraph"/>
              <w:spacing w:before="10"/>
              <w:rPr>
                <w:b/>
                <w:sz w:val="18"/>
              </w:rPr>
            </w:pPr>
          </w:p>
          <w:p>
            <w:pPr>
              <w:pStyle w:val="TableParagraph"/>
              <w:ind w:left="62"/>
              <w:rPr>
                <w:sz w:val="18"/>
              </w:rPr>
            </w:pPr>
            <w:r>
              <w:rPr>
                <w:sz w:val="18"/>
              </w:rPr>
              <w:t>Net gain / (loss) on disposal of assets</w:t>
            </w:r>
          </w:p>
        </w:tc>
        <w:tc>
          <w:tcPr>
            <w:tcW w:w="1469" w:type="dxa"/>
          </w:tcPr>
          <w:p>
            <w:pPr/>
          </w:p>
        </w:tc>
        <w:tc>
          <w:tcPr>
            <w:tcW w:w="1410" w:type="dxa"/>
          </w:tcPr>
          <w:p>
            <w:pPr>
              <w:pStyle w:val="TableParagraph"/>
              <w:spacing w:before="10"/>
              <w:rPr>
                <w:b/>
                <w:sz w:val="18"/>
              </w:rPr>
            </w:pPr>
          </w:p>
          <w:p>
            <w:pPr>
              <w:pStyle w:val="TableParagraph"/>
              <w:ind w:right="137"/>
              <w:jc w:val="right"/>
              <w:rPr>
                <w:b/>
                <w:sz w:val="18"/>
              </w:rPr>
            </w:pPr>
            <w:r>
              <w:rPr>
                <w:b/>
                <w:w w:val="95"/>
                <w:sz w:val="18"/>
              </w:rPr>
              <w:t>(15,253)</w:t>
            </w:r>
          </w:p>
        </w:tc>
        <w:tc>
          <w:tcPr>
            <w:tcW w:w="1185" w:type="dxa"/>
          </w:tcPr>
          <w:p>
            <w:pPr>
              <w:pStyle w:val="TableParagraph"/>
              <w:spacing w:before="10"/>
              <w:rPr>
                <w:b/>
                <w:sz w:val="18"/>
              </w:rPr>
            </w:pPr>
          </w:p>
          <w:p>
            <w:pPr>
              <w:pStyle w:val="TableParagraph"/>
              <w:ind w:right="85"/>
              <w:jc w:val="right"/>
              <w:rPr>
                <w:sz w:val="18"/>
              </w:rPr>
            </w:pPr>
            <w:r>
              <w:rPr>
                <w:w w:val="95"/>
                <w:sz w:val="18"/>
              </w:rPr>
              <w:t>5,152</w:t>
            </w:r>
          </w:p>
        </w:tc>
      </w:tr>
      <w:tr>
        <w:trPr>
          <w:trHeight w:val="518" w:hRule="exact"/>
        </w:trPr>
        <w:tc>
          <w:tcPr>
            <w:tcW w:w="5890" w:type="dxa"/>
          </w:tcPr>
          <w:p>
            <w:pPr>
              <w:pStyle w:val="TableParagraph"/>
              <w:spacing w:before="1"/>
              <w:rPr>
                <w:b/>
                <w:sz w:val="20"/>
              </w:rPr>
            </w:pPr>
          </w:p>
          <w:p>
            <w:pPr>
              <w:pStyle w:val="TableParagraph"/>
              <w:ind w:left="62"/>
              <w:rPr>
                <w:b/>
                <w:sz w:val="18"/>
              </w:rPr>
            </w:pPr>
            <w:r>
              <w:rPr>
                <w:b/>
                <w:sz w:val="18"/>
              </w:rPr>
              <w:t>Expenses</w:t>
            </w:r>
          </w:p>
        </w:tc>
        <w:tc>
          <w:tcPr>
            <w:tcW w:w="1469" w:type="dxa"/>
          </w:tcPr>
          <w:p>
            <w:pPr/>
          </w:p>
        </w:tc>
        <w:tc>
          <w:tcPr>
            <w:tcW w:w="1410" w:type="dxa"/>
          </w:tcPr>
          <w:p>
            <w:pPr/>
          </w:p>
        </w:tc>
        <w:tc>
          <w:tcPr>
            <w:tcW w:w="1185" w:type="dxa"/>
          </w:tcPr>
          <w:p>
            <w:pPr/>
          </w:p>
        </w:tc>
      </w:tr>
      <w:tr>
        <w:trPr>
          <w:trHeight w:val="306" w:hRule="exact"/>
        </w:trPr>
        <w:tc>
          <w:tcPr>
            <w:tcW w:w="5890" w:type="dxa"/>
          </w:tcPr>
          <w:p>
            <w:pPr>
              <w:pStyle w:val="TableParagraph"/>
              <w:spacing w:before="60"/>
              <w:ind w:left="62"/>
              <w:rPr>
                <w:sz w:val="18"/>
              </w:rPr>
            </w:pPr>
            <w:r>
              <w:rPr>
                <w:sz w:val="18"/>
              </w:rPr>
              <w:t>Employee benefits expense</w:t>
            </w:r>
          </w:p>
        </w:tc>
        <w:tc>
          <w:tcPr>
            <w:tcW w:w="1469" w:type="dxa"/>
          </w:tcPr>
          <w:p>
            <w:pPr>
              <w:pStyle w:val="TableParagraph"/>
              <w:spacing w:before="61"/>
              <w:ind w:right="186"/>
              <w:jc w:val="right"/>
              <w:rPr>
                <w:sz w:val="18"/>
              </w:rPr>
            </w:pPr>
            <w:r>
              <w:rPr>
                <w:sz w:val="18"/>
              </w:rPr>
              <w:t>13</w:t>
            </w:r>
          </w:p>
        </w:tc>
        <w:tc>
          <w:tcPr>
            <w:tcW w:w="1410" w:type="dxa"/>
          </w:tcPr>
          <w:p>
            <w:pPr>
              <w:pStyle w:val="TableParagraph"/>
              <w:spacing w:before="61"/>
              <w:ind w:right="136"/>
              <w:jc w:val="right"/>
              <w:rPr>
                <w:b/>
                <w:sz w:val="18"/>
              </w:rPr>
            </w:pPr>
            <w:r>
              <w:rPr>
                <w:b/>
                <w:w w:val="95"/>
                <w:sz w:val="18"/>
              </w:rPr>
              <w:t>(14,859,852)</w:t>
            </w:r>
          </w:p>
        </w:tc>
        <w:tc>
          <w:tcPr>
            <w:tcW w:w="1185" w:type="dxa"/>
          </w:tcPr>
          <w:p>
            <w:pPr>
              <w:pStyle w:val="TableParagraph"/>
              <w:spacing w:before="61"/>
              <w:ind w:right="23"/>
              <w:jc w:val="right"/>
              <w:rPr>
                <w:sz w:val="18"/>
              </w:rPr>
            </w:pPr>
            <w:r>
              <w:rPr>
                <w:w w:val="95"/>
                <w:sz w:val="18"/>
              </w:rPr>
              <w:t>(14,681,261)</w:t>
            </w:r>
          </w:p>
        </w:tc>
      </w:tr>
      <w:tr>
        <w:trPr>
          <w:trHeight w:val="264" w:hRule="exact"/>
        </w:trPr>
        <w:tc>
          <w:tcPr>
            <w:tcW w:w="5890" w:type="dxa"/>
          </w:tcPr>
          <w:p>
            <w:pPr>
              <w:pStyle w:val="TableParagraph"/>
              <w:spacing w:before="18"/>
              <w:ind w:left="62"/>
              <w:rPr>
                <w:sz w:val="18"/>
              </w:rPr>
            </w:pPr>
            <w:r>
              <w:rPr>
                <w:sz w:val="18"/>
              </w:rPr>
              <w:t>Fees for service</w:t>
            </w:r>
          </w:p>
        </w:tc>
        <w:tc>
          <w:tcPr>
            <w:tcW w:w="1469" w:type="dxa"/>
          </w:tcPr>
          <w:p>
            <w:pPr>
              <w:pStyle w:val="TableParagraph"/>
              <w:spacing w:before="19"/>
              <w:ind w:right="186"/>
              <w:jc w:val="right"/>
              <w:rPr>
                <w:sz w:val="18"/>
              </w:rPr>
            </w:pPr>
            <w:r>
              <w:rPr>
                <w:sz w:val="18"/>
              </w:rPr>
              <w:t>13</w:t>
            </w:r>
          </w:p>
        </w:tc>
        <w:tc>
          <w:tcPr>
            <w:tcW w:w="1410" w:type="dxa"/>
          </w:tcPr>
          <w:p>
            <w:pPr>
              <w:pStyle w:val="TableParagraph"/>
              <w:spacing w:before="19"/>
              <w:ind w:right="136"/>
              <w:jc w:val="right"/>
              <w:rPr>
                <w:b/>
                <w:sz w:val="18"/>
              </w:rPr>
            </w:pPr>
            <w:r>
              <w:rPr>
                <w:b/>
                <w:w w:val="95"/>
                <w:sz w:val="18"/>
              </w:rPr>
              <w:t>(3,571,873)</w:t>
            </w:r>
          </w:p>
        </w:tc>
        <w:tc>
          <w:tcPr>
            <w:tcW w:w="1185" w:type="dxa"/>
          </w:tcPr>
          <w:p>
            <w:pPr>
              <w:pStyle w:val="TableParagraph"/>
              <w:spacing w:before="19"/>
              <w:ind w:right="24"/>
              <w:jc w:val="right"/>
              <w:rPr>
                <w:sz w:val="18"/>
              </w:rPr>
            </w:pPr>
            <w:r>
              <w:rPr>
                <w:w w:val="95"/>
                <w:sz w:val="18"/>
              </w:rPr>
              <w:t>(4,345,065)</w:t>
            </w:r>
          </w:p>
        </w:tc>
      </w:tr>
      <w:tr>
        <w:trPr>
          <w:trHeight w:val="264" w:hRule="exact"/>
        </w:trPr>
        <w:tc>
          <w:tcPr>
            <w:tcW w:w="5890" w:type="dxa"/>
          </w:tcPr>
          <w:p>
            <w:pPr>
              <w:pStyle w:val="TableParagraph"/>
              <w:spacing w:before="18"/>
              <w:ind w:left="62"/>
              <w:rPr>
                <w:sz w:val="18"/>
              </w:rPr>
            </w:pPr>
            <w:r>
              <w:rPr>
                <w:sz w:val="18"/>
              </w:rPr>
              <w:t>Occupancy expenses</w:t>
            </w:r>
          </w:p>
        </w:tc>
        <w:tc>
          <w:tcPr>
            <w:tcW w:w="1469" w:type="dxa"/>
          </w:tcPr>
          <w:p>
            <w:pPr>
              <w:pStyle w:val="TableParagraph"/>
              <w:spacing w:before="19"/>
              <w:ind w:right="186"/>
              <w:jc w:val="right"/>
              <w:rPr>
                <w:sz w:val="18"/>
              </w:rPr>
            </w:pPr>
            <w:r>
              <w:rPr>
                <w:sz w:val="18"/>
              </w:rPr>
              <w:t>13</w:t>
            </w:r>
          </w:p>
        </w:tc>
        <w:tc>
          <w:tcPr>
            <w:tcW w:w="1410" w:type="dxa"/>
          </w:tcPr>
          <w:p>
            <w:pPr>
              <w:pStyle w:val="TableParagraph"/>
              <w:spacing w:before="19"/>
              <w:ind w:right="136"/>
              <w:jc w:val="right"/>
              <w:rPr>
                <w:b/>
                <w:sz w:val="18"/>
              </w:rPr>
            </w:pPr>
            <w:r>
              <w:rPr>
                <w:b/>
                <w:w w:val="95"/>
                <w:sz w:val="18"/>
              </w:rPr>
              <w:t>(1,843,927)</w:t>
            </w:r>
          </w:p>
        </w:tc>
        <w:tc>
          <w:tcPr>
            <w:tcW w:w="1185" w:type="dxa"/>
          </w:tcPr>
          <w:p>
            <w:pPr>
              <w:pStyle w:val="TableParagraph"/>
              <w:spacing w:before="19"/>
              <w:ind w:right="24"/>
              <w:jc w:val="right"/>
              <w:rPr>
                <w:sz w:val="18"/>
              </w:rPr>
            </w:pPr>
            <w:r>
              <w:rPr>
                <w:w w:val="95"/>
                <w:sz w:val="18"/>
              </w:rPr>
              <w:t>(2,054,492)</w:t>
            </w:r>
          </w:p>
        </w:tc>
      </w:tr>
      <w:tr>
        <w:trPr>
          <w:trHeight w:val="264" w:hRule="exact"/>
        </w:trPr>
        <w:tc>
          <w:tcPr>
            <w:tcW w:w="5890" w:type="dxa"/>
          </w:tcPr>
          <w:p>
            <w:pPr>
              <w:pStyle w:val="TableParagraph"/>
              <w:spacing w:before="18"/>
              <w:ind w:left="62"/>
              <w:rPr>
                <w:sz w:val="18"/>
              </w:rPr>
            </w:pPr>
            <w:r>
              <w:rPr>
                <w:sz w:val="18"/>
              </w:rPr>
              <w:t>Royalty to UWS</w:t>
            </w:r>
          </w:p>
        </w:tc>
        <w:tc>
          <w:tcPr>
            <w:tcW w:w="1469" w:type="dxa"/>
          </w:tcPr>
          <w:p>
            <w:pPr/>
          </w:p>
        </w:tc>
        <w:tc>
          <w:tcPr>
            <w:tcW w:w="1410" w:type="dxa"/>
          </w:tcPr>
          <w:p>
            <w:pPr>
              <w:pStyle w:val="TableParagraph"/>
              <w:spacing w:before="19"/>
              <w:ind w:right="136"/>
              <w:jc w:val="right"/>
              <w:rPr>
                <w:b/>
                <w:sz w:val="18"/>
              </w:rPr>
            </w:pPr>
            <w:r>
              <w:rPr>
                <w:b/>
                <w:w w:val="95"/>
                <w:sz w:val="18"/>
              </w:rPr>
              <w:t>(1,295,313)</w:t>
            </w:r>
          </w:p>
        </w:tc>
        <w:tc>
          <w:tcPr>
            <w:tcW w:w="1185" w:type="dxa"/>
          </w:tcPr>
          <w:p>
            <w:pPr>
              <w:pStyle w:val="TableParagraph"/>
              <w:spacing w:before="19"/>
              <w:ind w:right="24"/>
              <w:jc w:val="right"/>
              <w:rPr>
                <w:sz w:val="18"/>
              </w:rPr>
            </w:pPr>
            <w:r>
              <w:rPr>
                <w:w w:val="95"/>
                <w:sz w:val="18"/>
              </w:rPr>
              <w:t>(4,200,000)</w:t>
            </w:r>
          </w:p>
        </w:tc>
      </w:tr>
      <w:tr>
        <w:trPr>
          <w:trHeight w:val="264" w:hRule="exact"/>
        </w:trPr>
        <w:tc>
          <w:tcPr>
            <w:tcW w:w="5890" w:type="dxa"/>
          </w:tcPr>
          <w:p>
            <w:pPr>
              <w:pStyle w:val="TableParagraph"/>
              <w:spacing w:before="18"/>
              <w:ind w:left="62"/>
              <w:rPr>
                <w:sz w:val="18"/>
              </w:rPr>
            </w:pPr>
            <w:r>
              <w:rPr>
                <w:sz w:val="18"/>
              </w:rPr>
              <w:t>Depreciation and amortisation expense</w:t>
            </w:r>
          </w:p>
        </w:tc>
        <w:tc>
          <w:tcPr>
            <w:tcW w:w="1469" w:type="dxa"/>
          </w:tcPr>
          <w:p>
            <w:pPr>
              <w:pStyle w:val="TableParagraph"/>
              <w:spacing w:before="19"/>
              <w:ind w:right="186"/>
              <w:jc w:val="right"/>
              <w:rPr>
                <w:sz w:val="18"/>
              </w:rPr>
            </w:pPr>
            <w:r>
              <w:rPr>
                <w:sz w:val="18"/>
              </w:rPr>
              <w:t>13</w:t>
            </w:r>
          </w:p>
        </w:tc>
        <w:tc>
          <w:tcPr>
            <w:tcW w:w="1410" w:type="dxa"/>
          </w:tcPr>
          <w:p>
            <w:pPr>
              <w:pStyle w:val="TableParagraph"/>
              <w:spacing w:before="19"/>
              <w:ind w:right="137"/>
              <w:jc w:val="right"/>
              <w:rPr>
                <w:b/>
                <w:sz w:val="18"/>
              </w:rPr>
            </w:pPr>
            <w:r>
              <w:rPr>
                <w:b/>
                <w:w w:val="95"/>
                <w:sz w:val="18"/>
              </w:rPr>
              <w:t>(723,393)</w:t>
            </w:r>
          </w:p>
        </w:tc>
        <w:tc>
          <w:tcPr>
            <w:tcW w:w="1185" w:type="dxa"/>
          </w:tcPr>
          <w:p>
            <w:pPr>
              <w:pStyle w:val="TableParagraph"/>
              <w:spacing w:before="19"/>
              <w:ind w:right="24"/>
              <w:jc w:val="right"/>
              <w:rPr>
                <w:sz w:val="18"/>
              </w:rPr>
            </w:pPr>
            <w:r>
              <w:rPr>
                <w:w w:val="95"/>
                <w:sz w:val="18"/>
              </w:rPr>
              <w:t>(387,395)</w:t>
            </w:r>
          </w:p>
        </w:tc>
      </w:tr>
      <w:tr>
        <w:trPr>
          <w:trHeight w:val="264" w:hRule="exact"/>
        </w:trPr>
        <w:tc>
          <w:tcPr>
            <w:tcW w:w="5890" w:type="dxa"/>
          </w:tcPr>
          <w:p>
            <w:pPr>
              <w:pStyle w:val="TableParagraph"/>
              <w:spacing w:before="18"/>
              <w:ind w:left="62"/>
              <w:rPr>
                <w:sz w:val="18"/>
              </w:rPr>
            </w:pPr>
            <w:r>
              <w:rPr>
                <w:sz w:val="18"/>
              </w:rPr>
              <w:t>Consumables and supplies</w:t>
            </w:r>
          </w:p>
        </w:tc>
        <w:tc>
          <w:tcPr>
            <w:tcW w:w="1469" w:type="dxa"/>
          </w:tcPr>
          <w:p>
            <w:pPr/>
          </w:p>
        </w:tc>
        <w:tc>
          <w:tcPr>
            <w:tcW w:w="1410" w:type="dxa"/>
          </w:tcPr>
          <w:p>
            <w:pPr>
              <w:pStyle w:val="TableParagraph"/>
              <w:spacing w:before="19"/>
              <w:ind w:right="137"/>
              <w:jc w:val="right"/>
              <w:rPr>
                <w:b/>
                <w:sz w:val="18"/>
              </w:rPr>
            </w:pPr>
            <w:r>
              <w:rPr>
                <w:b/>
                <w:w w:val="95"/>
                <w:sz w:val="18"/>
              </w:rPr>
              <w:t>(401,939)</w:t>
            </w:r>
          </w:p>
        </w:tc>
        <w:tc>
          <w:tcPr>
            <w:tcW w:w="1185" w:type="dxa"/>
          </w:tcPr>
          <w:p>
            <w:pPr>
              <w:pStyle w:val="TableParagraph"/>
              <w:spacing w:before="19"/>
              <w:ind w:right="24"/>
              <w:jc w:val="right"/>
              <w:rPr>
                <w:sz w:val="18"/>
              </w:rPr>
            </w:pPr>
            <w:r>
              <w:rPr>
                <w:w w:val="95"/>
                <w:sz w:val="18"/>
              </w:rPr>
              <w:t>(519,777)</w:t>
            </w:r>
          </w:p>
        </w:tc>
      </w:tr>
      <w:tr>
        <w:trPr>
          <w:trHeight w:val="264" w:hRule="exact"/>
        </w:trPr>
        <w:tc>
          <w:tcPr>
            <w:tcW w:w="5890" w:type="dxa"/>
          </w:tcPr>
          <w:p>
            <w:pPr>
              <w:pStyle w:val="TableParagraph"/>
              <w:spacing w:before="18"/>
              <w:ind w:left="62"/>
              <w:rPr>
                <w:sz w:val="18"/>
              </w:rPr>
            </w:pPr>
            <w:r>
              <w:rPr>
                <w:sz w:val="18"/>
              </w:rPr>
              <w:t>Advertising, marketing and promotional expenses</w:t>
            </w:r>
          </w:p>
        </w:tc>
        <w:tc>
          <w:tcPr>
            <w:tcW w:w="1469" w:type="dxa"/>
          </w:tcPr>
          <w:p>
            <w:pPr/>
          </w:p>
        </w:tc>
        <w:tc>
          <w:tcPr>
            <w:tcW w:w="1410" w:type="dxa"/>
          </w:tcPr>
          <w:p>
            <w:pPr>
              <w:pStyle w:val="TableParagraph"/>
              <w:spacing w:before="19"/>
              <w:ind w:right="136"/>
              <w:jc w:val="right"/>
              <w:rPr>
                <w:b/>
                <w:sz w:val="18"/>
              </w:rPr>
            </w:pPr>
            <w:r>
              <w:rPr>
                <w:b/>
                <w:w w:val="95"/>
                <w:sz w:val="18"/>
              </w:rPr>
              <w:t>(304,001)</w:t>
            </w:r>
          </w:p>
        </w:tc>
        <w:tc>
          <w:tcPr>
            <w:tcW w:w="1185" w:type="dxa"/>
          </w:tcPr>
          <w:p>
            <w:pPr>
              <w:pStyle w:val="TableParagraph"/>
              <w:spacing w:before="19"/>
              <w:ind w:right="24"/>
              <w:jc w:val="right"/>
              <w:rPr>
                <w:sz w:val="18"/>
              </w:rPr>
            </w:pPr>
            <w:r>
              <w:rPr>
                <w:w w:val="95"/>
                <w:sz w:val="18"/>
              </w:rPr>
              <w:t>(272,940)</w:t>
            </w:r>
          </w:p>
        </w:tc>
      </w:tr>
      <w:tr>
        <w:trPr>
          <w:trHeight w:val="264" w:hRule="exact"/>
        </w:trPr>
        <w:tc>
          <w:tcPr>
            <w:tcW w:w="5890" w:type="dxa"/>
          </w:tcPr>
          <w:p>
            <w:pPr>
              <w:pStyle w:val="TableParagraph"/>
              <w:spacing w:before="18"/>
              <w:ind w:left="62"/>
              <w:rPr>
                <w:sz w:val="18"/>
              </w:rPr>
            </w:pPr>
            <w:r>
              <w:rPr>
                <w:sz w:val="18"/>
              </w:rPr>
              <w:t>Student expenses</w:t>
            </w:r>
          </w:p>
        </w:tc>
        <w:tc>
          <w:tcPr>
            <w:tcW w:w="1469" w:type="dxa"/>
          </w:tcPr>
          <w:p>
            <w:pPr/>
          </w:p>
        </w:tc>
        <w:tc>
          <w:tcPr>
            <w:tcW w:w="1410" w:type="dxa"/>
          </w:tcPr>
          <w:p>
            <w:pPr>
              <w:pStyle w:val="TableParagraph"/>
              <w:spacing w:before="19"/>
              <w:ind w:right="136"/>
              <w:jc w:val="right"/>
              <w:rPr>
                <w:b/>
                <w:sz w:val="18"/>
              </w:rPr>
            </w:pPr>
            <w:r>
              <w:rPr>
                <w:b/>
                <w:w w:val="95"/>
                <w:sz w:val="18"/>
              </w:rPr>
              <w:t>(229,733)</w:t>
            </w:r>
          </w:p>
        </w:tc>
        <w:tc>
          <w:tcPr>
            <w:tcW w:w="1185" w:type="dxa"/>
          </w:tcPr>
          <w:p>
            <w:pPr>
              <w:pStyle w:val="TableParagraph"/>
              <w:spacing w:before="19"/>
              <w:ind w:right="24"/>
              <w:jc w:val="right"/>
              <w:rPr>
                <w:sz w:val="18"/>
              </w:rPr>
            </w:pPr>
            <w:r>
              <w:rPr>
                <w:w w:val="95"/>
                <w:sz w:val="18"/>
              </w:rPr>
              <w:t>(268,983)</w:t>
            </w:r>
          </w:p>
        </w:tc>
      </w:tr>
      <w:tr>
        <w:trPr>
          <w:trHeight w:val="263" w:hRule="exact"/>
        </w:trPr>
        <w:tc>
          <w:tcPr>
            <w:tcW w:w="5890" w:type="dxa"/>
          </w:tcPr>
          <w:p>
            <w:pPr>
              <w:pStyle w:val="TableParagraph"/>
              <w:spacing w:before="18"/>
              <w:ind w:left="62"/>
              <w:rPr>
                <w:sz w:val="18"/>
              </w:rPr>
            </w:pPr>
            <w:r>
              <w:rPr>
                <w:sz w:val="18"/>
              </w:rPr>
              <w:t>Other expenses</w:t>
            </w:r>
          </w:p>
        </w:tc>
        <w:tc>
          <w:tcPr>
            <w:tcW w:w="1469" w:type="dxa"/>
          </w:tcPr>
          <w:p>
            <w:pPr>
              <w:pStyle w:val="TableParagraph"/>
              <w:spacing w:before="19"/>
              <w:ind w:right="186"/>
              <w:jc w:val="right"/>
              <w:rPr>
                <w:sz w:val="18"/>
              </w:rPr>
            </w:pPr>
            <w:r>
              <w:rPr>
                <w:sz w:val="18"/>
              </w:rPr>
              <w:t>13</w:t>
            </w:r>
          </w:p>
        </w:tc>
        <w:tc>
          <w:tcPr>
            <w:tcW w:w="1410" w:type="dxa"/>
            <w:tcBorders>
              <w:bottom w:val="single" w:sz="0" w:space="0" w:color="000000"/>
            </w:tcBorders>
          </w:tcPr>
          <w:p>
            <w:pPr>
              <w:pStyle w:val="TableParagraph"/>
              <w:spacing w:before="19"/>
              <w:ind w:right="136"/>
              <w:jc w:val="right"/>
              <w:rPr>
                <w:b/>
                <w:sz w:val="18"/>
              </w:rPr>
            </w:pPr>
            <w:r>
              <w:rPr>
                <w:b/>
                <w:w w:val="95"/>
                <w:sz w:val="18"/>
              </w:rPr>
              <w:t>(1,209,531)</w:t>
            </w:r>
          </w:p>
        </w:tc>
        <w:tc>
          <w:tcPr>
            <w:tcW w:w="1185" w:type="dxa"/>
            <w:tcBorders>
              <w:bottom w:val="single" w:sz="0" w:space="0" w:color="000000"/>
            </w:tcBorders>
          </w:tcPr>
          <w:p>
            <w:pPr>
              <w:pStyle w:val="TableParagraph"/>
              <w:spacing w:before="19"/>
              <w:ind w:right="24"/>
              <w:jc w:val="right"/>
              <w:rPr>
                <w:sz w:val="18"/>
              </w:rPr>
            </w:pPr>
            <w:r>
              <w:rPr>
                <w:w w:val="95"/>
                <w:sz w:val="18"/>
              </w:rPr>
              <w:t>(826,923)</w:t>
            </w:r>
          </w:p>
        </w:tc>
      </w:tr>
      <w:tr>
        <w:trPr>
          <w:trHeight w:val="338" w:hRule="exact"/>
        </w:trPr>
        <w:tc>
          <w:tcPr>
            <w:tcW w:w="5890" w:type="dxa"/>
          </w:tcPr>
          <w:p>
            <w:pPr>
              <w:pStyle w:val="TableParagraph"/>
              <w:spacing w:before="123"/>
              <w:ind w:left="62"/>
              <w:rPr>
                <w:b/>
                <w:sz w:val="18"/>
              </w:rPr>
            </w:pPr>
            <w:r>
              <w:rPr>
                <w:b/>
                <w:sz w:val="18"/>
              </w:rPr>
              <w:t>Total Expenses</w:t>
            </w:r>
          </w:p>
        </w:tc>
        <w:tc>
          <w:tcPr>
            <w:tcW w:w="1469" w:type="dxa"/>
          </w:tcPr>
          <w:p>
            <w:pPr/>
          </w:p>
        </w:tc>
        <w:tc>
          <w:tcPr>
            <w:tcW w:w="1410" w:type="dxa"/>
            <w:tcBorders>
              <w:top w:val="single" w:sz="0" w:space="0" w:color="000000"/>
              <w:bottom w:val="single" w:sz="0" w:space="0" w:color="000000"/>
            </w:tcBorders>
          </w:tcPr>
          <w:p>
            <w:pPr>
              <w:pStyle w:val="TableParagraph"/>
              <w:spacing w:before="122"/>
              <w:ind w:right="136"/>
              <w:jc w:val="right"/>
              <w:rPr>
                <w:b/>
                <w:sz w:val="18"/>
              </w:rPr>
            </w:pPr>
            <w:r>
              <w:rPr>
                <w:b/>
                <w:sz w:val="18"/>
              </w:rPr>
              <w:t>(24,439,562)</w:t>
            </w:r>
          </w:p>
        </w:tc>
        <w:tc>
          <w:tcPr>
            <w:tcW w:w="1185" w:type="dxa"/>
            <w:tcBorders>
              <w:top w:val="single" w:sz="0" w:space="0" w:color="000000"/>
              <w:bottom w:val="single" w:sz="0" w:space="0" w:color="000000"/>
            </w:tcBorders>
          </w:tcPr>
          <w:p>
            <w:pPr>
              <w:pStyle w:val="TableParagraph"/>
              <w:spacing w:before="122"/>
              <w:ind w:right="23"/>
              <w:jc w:val="right"/>
              <w:rPr>
                <w:sz w:val="18"/>
              </w:rPr>
            </w:pPr>
            <w:r>
              <w:rPr>
                <w:sz w:val="18"/>
              </w:rPr>
              <w:t>(27,556,836)</w:t>
            </w:r>
          </w:p>
        </w:tc>
      </w:tr>
      <w:tr>
        <w:trPr>
          <w:trHeight w:val="353" w:hRule="exact"/>
        </w:trPr>
        <w:tc>
          <w:tcPr>
            <w:tcW w:w="5890" w:type="dxa"/>
          </w:tcPr>
          <w:p>
            <w:pPr>
              <w:pStyle w:val="TableParagraph"/>
              <w:spacing w:before="123"/>
              <w:ind w:left="62"/>
              <w:rPr>
                <w:b/>
                <w:sz w:val="18"/>
              </w:rPr>
            </w:pPr>
            <w:r>
              <w:rPr>
                <w:b/>
                <w:sz w:val="18"/>
              </w:rPr>
              <w:t>Surplus / (deficit) for the year</w:t>
            </w:r>
          </w:p>
        </w:tc>
        <w:tc>
          <w:tcPr>
            <w:tcW w:w="1469" w:type="dxa"/>
          </w:tcPr>
          <w:p>
            <w:pPr/>
          </w:p>
        </w:tc>
        <w:tc>
          <w:tcPr>
            <w:tcW w:w="1410" w:type="dxa"/>
            <w:tcBorders>
              <w:top w:val="single" w:sz="0" w:space="0" w:color="000000"/>
              <w:bottom w:val="single" w:sz="0" w:space="0" w:color="000000"/>
            </w:tcBorders>
          </w:tcPr>
          <w:p>
            <w:pPr>
              <w:pStyle w:val="TableParagraph"/>
              <w:spacing w:before="122"/>
              <w:ind w:left="410"/>
              <w:rPr>
                <w:b/>
                <w:sz w:val="18"/>
              </w:rPr>
            </w:pPr>
            <w:r>
              <w:rPr>
                <w:b/>
                <w:sz w:val="18"/>
              </w:rPr>
              <w:t>1,127,067</w:t>
            </w:r>
          </w:p>
        </w:tc>
        <w:tc>
          <w:tcPr>
            <w:tcW w:w="1185" w:type="dxa"/>
            <w:tcBorders>
              <w:top w:val="single" w:sz="0" w:space="0" w:color="000000"/>
              <w:bottom w:val="single" w:sz="0" w:space="0" w:color="000000"/>
            </w:tcBorders>
          </w:tcPr>
          <w:p>
            <w:pPr>
              <w:pStyle w:val="TableParagraph"/>
              <w:spacing w:before="122"/>
              <w:ind w:right="24"/>
              <w:jc w:val="right"/>
              <w:rPr>
                <w:sz w:val="18"/>
              </w:rPr>
            </w:pPr>
            <w:r>
              <w:rPr>
                <w:w w:val="95"/>
                <w:sz w:val="18"/>
              </w:rPr>
              <w:t>(3,724,878)</w:t>
            </w:r>
          </w:p>
        </w:tc>
      </w:tr>
      <w:tr>
        <w:trPr>
          <w:trHeight w:val="382" w:hRule="exact"/>
        </w:trPr>
        <w:tc>
          <w:tcPr>
            <w:tcW w:w="5890" w:type="dxa"/>
          </w:tcPr>
          <w:p>
            <w:pPr>
              <w:pStyle w:val="TableParagraph"/>
              <w:spacing w:before="138"/>
              <w:ind w:left="62"/>
              <w:rPr>
                <w:sz w:val="18"/>
              </w:rPr>
            </w:pPr>
            <w:r>
              <w:rPr>
                <w:sz w:val="18"/>
              </w:rPr>
              <w:t>Other comprehensive income</w:t>
            </w:r>
          </w:p>
        </w:tc>
        <w:tc>
          <w:tcPr>
            <w:tcW w:w="1469" w:type="dxa"/>
          </w:tcPr>
          <w:p>
            <w:pPr/>
          </w:p>
        </w:tc>
        <w:tc>
          <w:tcPr>
            <w:tcW w:w="1410" w:type="dxa"/>
            <w:tcBorders>
              <w:top w:val="single" w:sz="0" w:space="0" w:color="000000"/>
              <w:bottom w:val="single" w:sz="0" w:space="0" w:color="000000"/>
            </w:tcBorders>
          </w:tcPr>
          <w:p>
            <w:pPr>
              <w:pStyle w:val="TableParagraph"/>
              <w:spacing w:before="137"/>
              <w:ind w:right="111"/>
              <w:jc w:val="center"/>
              <w:rPr>
                <w:b/>
                <w:sz w:val="18"/>
              </w:rPr>
            </w:pPr>
            <w:r>
              <w:rPr>
                <w:b/>
                <w:w w:val="99"/>
                <w:sz w:val="18"/>
              </w:rPr>
              <w:t>-</w:t>
            </w:r>
          </w:p>
        </w:tc>
        <w:tc>
          <w:tcPr>
            <w:tcW w:w="1185" w:type="dxa"/>
            <w:tcBorders>
              <w:top w:val="single" w:sz="0" w:space="0" w:color="000000"/>
              <w:bottom w:val="single" w:sz="0" w:space="0" w:color="000000"/>
            </w:tcBorders>
          </w:tcPr>
          <w:p>
            <w:pPr>
              <w:pStyle w:val="TableParagraph"/>
              <w:spacing w:before="137"/>
              <w:ind w:right="111"/>
              <w:jc w:val="center"/>
              <w:rPr>
                <w:sz w:val="18"/>
              </w:rPr>
            </w:pPr>
            <w:r>
              <w:rPr>
                <w:w w:val="99"/>
                <w:sz w:val="18"/>
              </w:rPr>
              <w:t>-</w:t>
            </w:r>
          </w:p>
        </w:tc>
      </w:tr>
      <w:tr>
        <w:trPr>
          <w:trHeight w:val="353" w:hRule="exact"/>
        </w:trPr>
        <w:tc>
          <w:tcPr>
            <w:tcW w:w="5890" w:type="dxa"/>
          </w:tcPr>
          <w:p>
            <w:pPr>
              <w:pStyle w:val="TableParagraph"/>
              <w:spacing w:before="123"/>
              <w:ind w:left="62"/>
              <w:rPr>
                <w:b/>
                <w:sz w:val="18"/>
              </w:rPr>
            </w:pPr>
            <w:r>
              <w:rPr>
                <w:b/>
                <w:sz w:val="18"/>
              </w:rPr>
              <w:t>Total comprehensive income for the year</w:t>
            </w:r>
          </w:p>
        </w:tc>
        <w:tc>
          <w:tcPr>
            <w:tcW w:w="1469" w:type="dxa"/>
          </w:tcPr>
          <w:p>
            <w:pPr/>
          </w:p>
        </w:tc>
        <w:tc>
          <w:tcPr>
            <w:tcW w:w="1410" w:type="dxa"/>
            <w:tcBorders>
              <w:top w:val="single" w:sz="0" w:space="0" w:color="000000"/>
              <w:bottom w:val="single" w:sz="0" w:space="0" w:color="000000"/>
            </w:tcBorders>
          </w:tcPr>
          <w:p>
            <w:pPr>
              <w:pStyle w:val="TableParagraph"/>
              <w:spacing w:before="122"/>
              <w:ind w:left="410"/>
              <w:rPr>
                <w:b/>
                <w:sz w:val="18"/>
              </w:rPr>
            </w:pPr>
            <w:r>
              <w:rPr>
                <w:b/>
                <w:sz w:val="18"/>
              </w:rPr>
              <w:t>1,127,067</w:t>
            </w:r>
          </w:p>
        </w:tc>
        <w:tc>
          <w:tcPr>
            <w:tcW w:w="1185" w:type="dxa"/>
            <w:tcBorders>
              <w:top w:val="single" w:sz="0" w:space="0" w:color="000000"/>
              <w:bottom w:val="single" w:sz="0" w:space="0" w:color="000000"/>
            </w:tcBorders>
          </w:tcPr>
          <w:p>
            <w:pPr>
              <w:pStyle w:val="TableParagraph"/>
              <w:spacing w:before="122"/>
              <w:ind w:right="24"/>
              <w:jc w:val="right"/>
              <w:rPr>
                <w:sz w:val="18"/>
              </w:rPr>
            </w:pPr>
            <w:r>
              <w:rPr>
                <w:w w:val="95"/>
                <w:sz w:val="18"/>
              </w:rPr>
              <w:t>(3,724,878)</w:t>
            </w:r>
          </w:p>
        </w:tc>
      </w:tr>
      <w:tr>
        <w:trPr>
          <w:trHeight w:val="766" w:hRule="exact"/>
        </w:trPr>
        <w:tc>
          <w:tcPr>
            <w:tcW w:w="5890" w:type="dxa"/>
          </w:tcPr>
          <w:p>
            <w:pPr>
              <w:pStyle w:val="TableParagraph"/>
              <w:rPr>
                <w:b/>
                <w:sz w:val="18"/>
              </w:rPr>
            </w:pPr>
          </w:p>
          <w:p>
            <w:pPr>
              <w:pStyle w:val="TableParagraph"/>
              <w:spacing w:before="7"/>
              <w:rPr>
                <w:b/>
                <w:sz w:val="23"/>
              </w:rPr>
            </w:pPr>
          </w:p>
          <w:p>
            <w:pPr>
              <w:pStyle w:val="TableParagraph"/>
              <w:ind w:left="62"/>
              <w:rPr>
                <w:b/>
                <w:sz w:val="18"/>
              </w:rPr>
            </w:pPr>
            <w:r>
              <w:rPr>
                <w:b/>
                <w:sz w:val="18"/>
              </w:rPr>
              <w:t>Comprehensive income for the year attributable to</w:t>
            </w:r>
          </w:p>
        </w:tc>
        <w:tc>
          <w:tcPr>
            <w:tcW w:w="1469" w:type="dxa"/>
          </w:tcPr>
          <w:p>
            <w:pPr/>
          </w:p>
        </w:tc>
        <w:tc>
          <w:tcPr>
            <w:tcW w:w="1410" w:type="dxa"/>
            <w:tcBorders>
              <w:top w:val="single" w:sz="0" w:space="0" w:color="000000"/>
            </w:tcBorders>
          </w:tcPr>
          <w:p>
            <w:pPr/>
          </w:p>
        </w:tc>
        <w:tc>
          <w:tcPr>
            <w:tcW w:w="1185" w:type="dxa"/>
            <w:tcBorders>
              <w:top w:val="single" w:sz="0" w:space="0" w:color="000000"/>
            </w:tcBorders>
          </w:tcPr>
          <w:p>
            <w:pPr/>
          </w:p>
        </w:tc>
      </w:tr>
      <w:tr>
        <w:trPr>
          <w:trHeight w:val="569" w:hRule="exact"/>
        </w:trPr>
        <w:tc>
          <w:tcPr>
            <w:tcW w:w="5890" w:type="dxa"/>
          </w:tcPr>
          <w:p>
            <w:pPr>
              <w:pStyle w:val="TableParagraph"/>
              <w:spacing w:line="307" w:lineRule="auto" w:before="60"/>
              <w:ind w:left="62" w:right="3858" w:hanging="1"/>
              <w:rPr>
                <w:sz w:val="18"/>
              </w:rPr>
            </w:pPr>
            <w:r>
              <w:rPr>
                <w:sz w:val="18"/>
              </w:rPr>
              <w:t>Non - controlling interest Owner of the parent</w:t>
            </w:r>
          </w:p>
        </w:tc>
        <w:tc>
          <w:tcPr>
            <w:tcW w:w="1469" w:type="dxa"/>
          </w:tcPr>
          <w:p>
            <w:pPr/>
          </w:p>
        </w:tc>
        <w:tc>
          <w:tcPr>
            <w:tcW w:w="1410" w:type="dxa"/>
            <w:tcBorders>
              <w:bottom w:val="single" w:sz="0" w:space="0" w:color="000000"/>
            </w:tcBorders>
          </w:tcPr>
          <w:p>
            <w:pPr>
              <w:pStyle w:val="TableParagraph"/>
              <w:spacing w:line="307" w:lineRule="auto" w:before="61"/>
              <w:ind w:left="410" w:right="178" w:firstLine="207"/>
              <w:rPr>
                <w:b/>
                <w:sz w:val="18"/>
              </w:rPr>
            </w:pPr>
            <w:r>
              <w:rPr>
                <w:b/>
                <w:sz w:val="18"/>
              </w:rPr>
              <w:t>- 1,127,067</w:t>
            </w:r>
          </w:p>
        </w:tc>
        <w:tc>
          <w:tcPr>
            <w:tcW w:w="1185" w:type="dxa"/>
            <w:tcBorders>
              <w:bottom w:val="single" w:sz="0" w:space="0" w:color="000000"/>
            </w:tcBorders>
          </w:tcPr>
          <w:p>
            <w:pPr>
              <w:pStyle w:val="TableParagraph"/>
              <w:spacing w:line="307" w:lineRule="auto" w:before="61"/>
              <w:ind w:left="237" w:right="7" w:firstLine="267"/>
              <w:rPr>
                <w:sz w:val="18"/>
              </w:rPr>
            </w:pPr>
            <w:r>
              <w:rPr>
                <w:sz w:val="18"/>
              </w:rPr>
              <w:t>- (3,724,878)</w:t>
            </w:r>
          </w:p>
        </w:tc>
      </w:tr>
      <w:tr>
        <w:trPr>
          <w:trHeight w:val="353" w:hRule="exact"/>
        </w:trPr>
        <w:tc>
          <w:tcPr>
            <w:tcW w:w="5890" w:type="dxa"/>
          </w:tcPr>
          <w:p>
            <w:pPr>
              <w:pStyle w:val="TableParagraph"/>
              <w:spacing w:before="123"/>
              <w:ind w:left="62"/>
              <w:rPr>
                <w:b/>
                <w:sz w:val="18"/>
              </w:rPr>
            </w:pPr>
            <w:r>
              <w:rPr>
                <w:b/>
                <w:sz w:val="18"/>
              </w:rPr>
              <w:t>Total comprehensive income for the year</w:t>
            </w:r>
          </w:p>
        </w:tc>
        <w:tc>
          <w:tcPr>
            <w:tcW w:w="1469" w:type="dxa"/>
          </w:tcPr>
          <w:p>
            <w:pPr/>
          </w:p>
        </w:tc>
        <w:tc>
          <w:tcPr>
            <w:tcW w:w="1410" w:type="dxa"/>
            <w:tcBorders>
              <w:top w:val="single" w:sz="0" w:space="0" w:color="000000"/>
              <w:bottom w:val="single" w:sz="0" w:space="0" w:color="000000"/>
            </w:tcBorders>
          </w:tcPr>
          <w:p>
            <w:pPr>
              <w:pStyle w:val="TableParagraph"/>
              <w:spacing w:before="122"/>
              <w:ind w:left="410"/>
              <w:rPr>
                <w:b/>
                <w:sz w:val="18"/>
              </w:rPr>
            </w:pPr>
            <w:r>
              <w:rPr>
                <w:b/>
                <w:sz w:val="18"/>
              </w:rPr>
              <w:t>1,127,067</w:t>
            </w:r>
          </w:p>
        </w:tc>
        <w:tc>
          <w:tcPr>
            <w:tcW w:w="1185" w:type="dxa"/>
            <w:tcBorders>
              <w:top w:val="single" w:sz="0" w:space="0" w:color="000000"/>
              <w:bottom w:val="single" w:sz="0" w:space="0" w:color="000000"/>
            </w:tcBorders>
          </w:tcPr>
          <w:p>
            <w:pPr>
              <w:pStyle w:val="TableParagraph"/>
              <w:spacing w:before="122"/>
              <w:ind w:right="24"/>
              <w:jc w:val="right"/>
              <w:rPr>
                <w:sz w:val="18"/>
              </w:rPr>
            </w:pPr>
            <w:r>
              <w:rPr>
                <w:w w:val="95"/>
                <w:sz w:val="18"/>
              </w:rPr>
              <w:t>(3,724,878)</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0"/>
        </w:rPr>
      </w:pPr>
    </w:p>
    <w:p>
      <w:pPr>
        <w:pStyle w:val="BodyText"/>
        <w:ind w:left="2531" w:right="685"/>
      </w:pPr>
      <w:r>
        <w:rPr/>
        <w:t>The accompanying notes form part of these financial statements.</w:t>
      </w:r>
    </w:p>
    <w:p>
      <w:pPr>
        <w:spacing w:after="0"/>
        <w:sectPr>
          <w:headerReference w:type="default" r:id="rId185"/>
          <w:pgSz w:w="11910" w:h="16840"/>
          <w:pgMar w:header="1038" w:footer="507" w:top="1460" w:bottom="700" w:left="860" w:right="86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509"/>
        <w:gridCol w:w="1849"/>
        <w:gridCol w:w="1459"/>
        <w:gridCol w:w="1135"/>
      </w:tblGrid>
      <w:tr>
        <w:trPr>
          <w:trHeight w:val="911" w:hRule="exact"/>
        </w:trPr>
        <w:tc>
          <w:tcPr>
            <w:tcW w:w="5509" w:type="dxa"/>
          </w:tcPr>
          <w:p>
            <w:pPr>
              <w:pStyle w:val="TableParagraph"/>
              <w:spacing w:before="64"/>
              <w:ind w:left="35"/>
              <w:rPr>
                <w:b/>
                <w:sz w:val="28"/>
              </w:rPr>
            </w:pPr>
            <w:r>
              <w:rPr>
                <w:b/>
                <w:sz w:val="28"/>
              </w:rPr>
              <w:t>Statement of Financial Position</w:t>
            </w:r>
          </w:p>
          <w:p>
            <w:pPr>
              <w:pStyle w:val="TableParagraph"/>
              <w:spacing w:before="57"/>
              <w:ind w:left="35"/>
              <w:rPr>
                <w:b/>
                <w:sz w:val="22"/>
              </w:rPr>
            </w:pPr>
            <w:r>
              <w:rPr>
                <w:b/>
                <w:sz w:val="22"/>
              </w:rPr>
              <w:t>As At 31 December 2012</w:t>
            </w:r>
          </w:p>
        </w:tc>
        <w:tc>
          <w:tcPr>
            <w:tcW w:w="4444" w:type="dxa"/>
            <w:gridSpan w:val="3"/>
          </w:tcPr>
          <w:p>
            <w:pPr/>
          </w:p>
        </w:tc>
      </w:tr>
      <w:tr>
        <w:trPr>
          <w:trHeight w:val="447" w:hRule="exact"/>
        </w:trPr>
        <w:tc>
          <w:tcPr>
            <w:tcW w:w="5509" w:type="dxa"/>
          </w:tcPr>
          <w:p>
            <w:pPr/>
          </w:p>
        </w:tc>
        <w:tc>
          <w:tcPr>
            <w:tcW w:w="1849" w:type="dxa"/>
          </w:tcPr>
          <w:p>
            <w:pPr/>
          </w:p>
        </w:tc>
        <w:tc>
          <w:tcPr>
            <w:tcW w:w="1459" w:type="dxa"/>
          </w:tcPr>
          <w:p>
            <w:pPr>
              <w:pStyle w:val="TableParagraph"/>
              <w:spacing w:before="1"/>
              <w:rPr>
                <w:sz w:val="17"/>
              </w:rPr>
            </w:pPr>
          </w:p>
          <w:p>
            <w:pPr>
              <w:pStyle w:val="TableParagraph"/>
              <w:ind w:left="448"/>
              <w:rPr>
                <w:b/>
                <w:sz w:val="18"/>
              </w:rPr>
            </w:pPr>
            <w:r>
              <w:rPr>
                <w:b/>
                <w:sz w:val="18"/>
              </w:rPr>
              <w:t>2012</w:t>
            </w:r>
          </w:p>
        </w:tc>
        <w:tc>
          <w:tcPr>
            <w:tcW w:w="1135" w:type="dxa"/>
          </w:tcPr>
          <w:p>
            <w:pPr>
              <w:pStyle w:val="TableParagraph"/>
              <w:spacing w:before="1"/>
              <w:rPr>
                <w:sz w:val="17"/>
              </w:rPr>
            </w:pPr>
          </w:p>
          <w:p>
            <w:pPr>
              <w:pStyle w:val="TableParagraph"/>
              <w:ind w:left="286"/>
              <w:rPr>
                <w:b/>
                <w:sz w:val="18"/>
              </w:rPr>
            </w:pPr>
            <w:r>
              <w:rPr>
                <w:b/>
                <w:sz w:val="18"/>
              </w:rPr>
              <w:t>2011</w:t>
            </w:r>
          </w:p>
        </w:tc>
      </w:tr>
      <w:tr>
        <w:trPr>
          <w:trHeight w:val="313" w:hRule="exact"/>
        </w:trPr>
        <w:tc>
          <w:tcPr>
            <w:tcW w:w="5509" w:type="dxa"/>
          </w:tcPr>
          <w:p>
            <w:pPr/>
          </w:p>
        </w:tc>
        <w:tc>
          <w:tcPr>
            <w:tcW w:w="1849" w:type="dxa"/>
          </w:tcPr>
          <w:p>
            <w:pPr>
              <w:pStyle w:val="TableParagraph"/>
              <w:spacing w:before="24"/>
              <w:ind w:left="1290" w:right="19"/>
              <w:jc w:val="center"/>
              <w:rPr>
                <w:b/>
                <w:sz w:val="18"/>
              </w:rPr>
            </w:pPr>
            <w:r>
              <w:rPr>
                <w:b/>
                <w:sz w:val="18"/>
              </w:rPr>
              <w:t>Notes</w:t>
            </w:r>
          </w:p>
        </w:tc>
        <w:tc>
          <w:tcPr>
            <w:tcW w:w="1459" w:type="dxa"/>
          </w:tcPr>
          <w:p>
            <w:pPr>
              <w:pStyle w:val="TableParagraph"/>
              <w:spacing w:before="24"/>
              <w:ind w:right="159"/>
              <w:jc w:val="center"/>
              <w:rPr>
                <w:b/>
                <w:sz w:val="18"/>
              </w:rPr>
            </w:pPr>
            <w:r>
              <w:rPr>
                <w:b/>
                <w:w w:val="99"/>
                <w:sz w:val="18"/>
              </w:rPr>
              <w:t>$</w:t>
            </w:r>
          </w:p>
        </w:tc>
        <w:tc>
          <w:tcPr>
            <w:tcW w:w="1135" w:type="dxa"/>
          </w:tcPr>
          <w:p>
            <w:pPr>
              <w:pStyle w:val="TableParagraph"/>
              <w:spacing w:before="24"/>
              <w:ind w:right="159"/>
              <w:jc w:val="center"/>
              <w:rPr>
                <w:b/>
                <w:sz w:val="18"/>
              </w:rPr>
            </w:pPr>
            <w:r>
              <w:rPr>
                <w:b/>
                <w:w w:val="99"/>
                <w:sz w:val="18"/>
              </w:rPr>
              <w:t>$</w:t>
            </w:r>
          </w:p>
        </w:tc>
      </w:tr>
      <w:tr>
        <w:trPr>
          <w:trHeight w:val="541" w:hRule="exact"/>
        </w:trPr>
        <w:tc>
          <w:tcPr>
            <w:tcW w:w="5509" w:type="dxa"/>
          </w:tcPr>
          <w:p>
            <w:pPr>
              <w:pStyle w:val="TableParagraph"/>
              <w:spacing w:before="63"/>
              <w:ind w:left="62"/>
              <w:rPr>
                <w:b/>
                <w:sz w:val="18"/>
              </w:rPr>
            </w:pPr>
            <w:r>
              <w:rPr>
                <w:b/>
                <w:sz w:val="18"/>
              </w:rPr>
              <w:t>ASSETS</w:t>
            </w:r>
          </w:p>
          <w:p>
            <w:pPr>
              <w:pStyle w:val="TableParagraph"/>
              <w:spacing w:before="27"/>
              <w:ind w:left="62"/>
              <w:rPr>
                <w:b/>
                <w:sz w:val="18"/>
              </w:rPr>
            </w:pPr>
            <w:r>
              <w:rPr>
                <w:b/>
                <w:sz w:val="18"/>
              </w:rPr>
              <w:t>CURRENT ASSETS</w:t>
            </w:r>
          </w:p>
        </w:tc>
        <w:tc>
          <w:tcPr>
            <w:tcW w:w="1849" w:type="dxa"/>
          </w:tcPr>
          <w:p>
            <w:pPr/>
          </w:p>
        </w:tc>
        <w:tc>
          <w:tcPr>
            <w:tcW w:w="1459" w:type="dxa"/>
          </w:tcPr>
          <w:p>
            <w:pPr/>
          </w:p>
        </w:tc>
        <w:tc>
          <w:tcPr>
            <w:tcW w:w="1135" w:type="dxa"/>
          </w:tcPr>
          <w:p>
            <w:pPr/>
          </w:p>
        </w:tc>
      </w:tr>
      <w:tr>
        <w:trPr>
          <w:trHeight w:val="263" w:hRule="exact"/>
        </w:trPr>
        <w:tc>
          <w:tcPr>
            <w:tcW w:w="5509" w:type="dxa"/>
          </w:tcPr>
          <w:p>
            <w:pPr>
              <w:pStyle w:val="TableParagraph"/>
              <w:spacing w:before="17"/>
              <w:ind w:left="62"/>
              <w:rPr>
                <w:sz w:val="18"/>
              </w:rPr>
            </w:pPr>
            <w:r>
              <w:rPr>
                <w:sz w:val="18"/>
              </w:rPr>
              <w:t>Cash and cash equivalents</w:t>
            </w:r>
          </w:p>
        </w:tc>
        <w:tc>
          <w:tcPr>
            <w:tcW w:w="1849" w:type="dxa"/>
          </w:tcPr>
          <w:p>
            <w:pPr>
              <w:pStyle w:val="TableParagraph"/>
              <w:spacing w:before="19"/>
              <w:ind w:left="1272"/>
              <w:jc w:val="center"/>
              <w:rPr>
                <w:sz w:val="18"/>
              </w:rPr>
            </w:pPr>
            <w:r>
              <w:rPr>
                <w:w w:val="99"/>
                <w:sz w:val="18"/>
              </w:rPr>
              <w:t>2</w:t>
            </w:r>
          </w:p>
        </w:tc>
        <w:tc>
          <w:tcPr>
            <w:tcW w:w="1459" w:type="dxa"/>
          </w:tcPr>
          <w:p>
            <w:pPr>
              <w:pStyle w:val="TableParagraph"/>
              <w:spacing w:before="19"/>
              <w:ind w:right="246"/>
              <w:jc w:val="right"/>
              <w:rPr>
                <w:b/>
                <w:sz w:val="18"/>
              </w:rPr>
            </w:pPr>
            <w:r>
              <w:rPr>
                <w:b/>
                <w:w w:val="95"/>
                <w:sz w:val="18"/>
              </w:rPr>
              <w:t>649,802</w:t>
            </w:r>
          </w:p>
        </w:tc>
        <w:tc>
          <w:tcPr>
            <w:tcW w:w="1135" w:type="dxa"/>
          </w:tcPr>
          <w:p>
            <w:pPr>
              <w:pStyle w:val="TableParagraph"/>
              <w:spacing w:before="19"/>
              <w:ind w:right="84"/>
              <w:jc w:val="right"/>
              <w:rPr>
                <w:sz w:val="18"/>
              </w:rPr>
            </w:pPr>
            <w:r>
              <w:rPr>
                <w:w w:val="95"/>
                <w:sz w:val="18"/>
              </w:rPr>
              <w:t>3,293,081</w:t>
            </w:r>
          </w:p>
        </w:tc>
      </w:tr>
      <w:tr>
        <w:trPr>
          <w:trHeight w:val="264" w:hRule="exact"/>
        </w:trPr>
        <w:tc>
          <w:tcPr>
            <w:tcW w:w="5509" w:type="dxa"/>
          </w:tcPr>
          <w:p>
            <w:pPr>
              <w:pStyle w:val="TableParagraph"/>
              <w:spacing w:before="18"/>
              <w:ind w:left="62"/>
              <w:rPr>
                <w:sz w:val="18"/>
              </w:rPr>
            </w:pPr>
            <w:r>
              <w:rPr>
                <w:sz w:val="18"/>
              </w:rPr>
              <w:t>Loans to ultimate parent entity</w:t>
            </w:r>
          </w:p>
        </w:tc>
        <w:tc>
          <w:tcPr>
            <w:tcW w:w="1849" w:type="dxa"/>
          </w:tcPr>
          <w:p>
            <w:pPr>
              <w:pStyle w:val="TableParagraph"/>
              <w:spacing w:before="19"/>
              <w:ind w:left="1290" w:right="18"/>
              <w:jc w:val="center"/>
              <w:rPr>
                <w:sz w:val="18"/>
              </w:rPr>
            </w:pPr>
            <w:r>
              <w:rPr>
                <w:sz w:val="18"/>
              </w:rPr>
              <w:t>17(d)</w:t>
            </w:r>
          </w:p>
        </w:tc>
        <w:tc>
          <w:tcPr>
            <w:tcW w:w="1459" w:type="dxa"/>
          </w:tcPr>
          <w:p>
            <w:pPr>
              <w:pStyle w:val="TableParagraph"/>
              <w:spacing w:before="19"/>
              <w:ind w:right="246"/>
              <w:jc w:val="right"/>
              <w:rPr>
                <w:b/>
                <w:sz w:val="18"/>
              </w:rPr>
            </w:pPr>
            <w:r>
              <w:rPr>
                <w:b/>
                <w:w w:val="95"/>
                <w:sz w:val="18"/>
              </w:rPr>
              <w:t>6,163,827</w:t>
            </w:r>
          </w:p>
        </w:tc>
        <w:tc>
          <w:tcPr>
            <w:tcW w:w="1135" w:type="dxa"/>
          </w:tcPr>
          <w:p>
            <w:pPr>
              <w:pStyle w:val="TableParagraph"/>
              <w:spacing w:before="19"/>
              <w:ind w:right="161"/>
              <w:jc w:val="center"/>
              <w:rPr>
                <w:sz w:val="18"/>
              </w:rPr>
            </w:pPr>
            <w:r>
              <w:rPr>
                <w:w w:val="99"/>
                <w:sz w:val="18"/>
              </w:rPr>
              <w:t>-</w:t>
            </w:r>
          </w:p>
        </w:tc>
      </w:tr>
      <w:tr>
        <w:trPr>
          <w:trHeight w:val="264" w:hRule="exact"/>
        </w:trPr>
        <w:tc>
          <w:tcPr>
            <w:tcW w:w="5509" w:type="dxa"/>
          </w:tcPr>
          <w:p>
            <w:pPr>
              <w:pStyle w:val="TableParagraph"/>
              <w:spacing w:before="18"/>
              <w:ind w:left="62"/>
              <w:rPr>
                <w:sz w:val="18"/>
              </w:rPr>
            </w:pPr>
            <w:r>
              <w:rPr>
                <w:sz w:val="18"/>
              </w:rPr>
              <w:t>Trade receivables</w:t>
            </w:r>
          </w:p>
        </w:tc>
        <w:tc>
          <w:tcPr>
            <w:tcW w:w="1849" w:type="dxa"/>
          </w:tcPr>
          <w:p>
            <w:pPr>
              <w:pStyle w:val="TableParagraph"/>
              <w:spacing w:before="19"/>
              <w:ind w:left="1272"/>
              <w:jc w:val="center"/>
              <w:rPr>
                <w:sz w:val="18"/>
              </w:rPr>
            </w:pPr>
            <w:r>
              <w:rPr>
                <w:w w:val="99"/>
                <w:sz w:val="18"/>
              </w:rPr>
              <w:t>3</w:t>
            </w:r>
          </w:p>
        </w:tc>
        <w:tc>
          <w:tcPr>
            <w:tcW w:w="1459" w:type="dxa"/>
          </w:tcPr>
          <w:p>
            <w:pPr>
              <w:pStyle w:val="TableParagraph"/>
              <w:spacing w:before="19"/>
              <w:ind w:right="246"/>
              <w:jc w:val="right"/>
              <w:rPr>
                <w:b/>
                <w:sz w:val="18"/>
              </w:rPr>
            </w:pPr>
            <w:r>
              <w:rPr>
                <w:b/>
                <w:w w:val="95"/>
                <w:sz w:val="18"/>
              </w:rPr>
              <w:t>68,411</w:t>
            </w:r>
          </w:p>
        </w:tc>
        <w:tc>
          <w:tcPr>
            <w:tcW w:w="1135" w:type="dxa"/>
          </w:tcPr>
          <w:p>
            <w:pPr>
              <w:pStyle w:val="TableParagraph"/>
              <w:spacing w:before="19"/>
              <w:ind w:right="84"/>
              <w:jc w:val="right"/>
              <w:rPr>
                <w:sz w:val="18"/>
              </w:rPr>
            </w:pPr>
            <w:r>
              <w:rPr>
                <w:w w:val="95"/>
                <w:sz w:val="18"/>
              </w:rPr>
              <w:t>71,978</w:t>
            </w:r>
          </w:p>
        </w:tc>
      </w:tr>
      <w:tr>
        <w:trPr>
          <w:trHeight w:val="264" w:hRule="exact"/>
        </w:trPr>
        <w:tc>
          <w:tcPr>
            <w:tcW w:w="5509" w:type="dxa"/>
          </w:tcPr>
          <w:p>
            <w:pPr>
              <w:pStyle w:val="TableParagraph"/>
              <w:spacing w:before="18"/>
              <w:ind w:left="62"/>
              <w:rPr>
                <w:sz w:val="18"/>
              </w:rPr>
            </w:pPr>
            <w:r>
              <w:rPr>
                <w:sz w:val="18"/>
              </w:rPr>
              <w:t>Inventories</w:t>
            </w:r>
          </w:p>
        </w:tc>
        <w:tc>
          <w:tcPr>
            <w:tcW w:w="1849" w:type="dxa"/>
          </w:tcPr>
          <w:p>
            <w:pPr>
              <w:pStyle w:val="TableParagraph"/>
              <w:spacing w:before="19"/>
              <w:ind w:left="1272"/>
              <w:jc w:val="center"/>
              <w:rPr>
                <w:sz w:val="18"/>
              </w:rPr>
            </w:pPr>
            <w:r>
              <w:rPr>
                <w:w w:val="99"/>
                <w:sz w:val="18"/>
              </w:rPr>
              <w:t>4</w:t>
            </w:r>
          </w:p>
        </w:tc>
        <w:tc>
          <w:tcPr>
            <w:tcW w:w="1459" w:type="dxa"/>
          </w:tcPr>
          <w:p>
            <w:pPr>
              <w:pStyle w:val="TableParagraph"/>
              <w:spacing w:before="19"/>
              <w:ind w:right="246"/>
              <w:jc w:val="right"/>
              <w:rPr>
                <w:b/>
                <w:sz w:val="18"/>
              </w:rPr>
            </w:pPr>
            <w:r>
              <w:rPr>
                <w:b/>
                <w:w w:val="95"/>
                <w:sz w:val="18"/>
              </w:rPr>
              <w:t>14,620</w:t>
            </w:r>
          </w:p>
        </w:tc>
        <w:tc>
          <w:tcPr>
            <w:tcW w:w="1135" w:type="dxa"/>
          </w:tcPr>
          <w:p>
            <w:pPr>
              <w:pStyle w:val="TableParagraph"/>
              <w:spacing w:before="19"/>
              <w:ind w:right="84"/>
              <w:jc w:val="right"/>
              <w:rPr>
                <w:sz w:val="18"/>
              </w:rPr>
            </w:pPr>
            <w:r>
              <w:rPr>
                <w:w w:val="95"/>
                <w:sz w:val="18"/>
              </w:rPr>
              <w:t>13,294</w:t>
            </w:r>
          </w:p>
        </w:tc>
      </w:tr>
      <w:tr>
        <w:trPr>
          <w:trHeight w:val="264" w:hRule="exact"/>
        </w:trPr>
        <w:tc>
          <w:tcPr>
            <w:tcW w:w="5509" w:type="dxa"/>
          </w:tcPr>
          <w:p>
            <w:pPr>
              <w:pStyle w:val="TableParagraph"/>
              <w:spacing w:before="18"/>
              <w:ind w:left="62"/>
              <w:rPr>
                <w:sz w:val="18"/>
              </w:rPr>
            </w:pPr>
            <w:r>
              <w:rPr>
                <w:sz w:val="18"/>
              </w:rPr>
              <w:t>Prepayments</w:t>
            </w:r>
          </w:p>
        </w:tc>
        <w:tc>
          <w:tcPr>
            <w:tcW w:w="1849" w:type="dxa"/>
          </w:tcPr>
          <w:p>
            <w:pPr/>
          </w:p>
        </w:tc>
        <w:tc>
          <w:tcPr>
            <w:tcW w:w="1459" w:type="dxa"/>
          </w:tcPr>
          <w:p>
            <w:pPr>
              <w:pStyle w:val="TableParagraph"/>
              <w:spacing w:before="19"/>
              <w:ind w:right="246"/>
              <w:jc w:val="right"/>
              <w:rPr>
                <w:b/>
                <w:sz w:val="18"/>
              </w:rPr>
            </w:pPr>
            <w:r>
              <w:rPr>
                <w:b/>
                <w:w w:val="95"/>
                <w:sz w:val="18"/>
              </w:rPr>
              <w:t>415,761</w:t>
            </w:r>
          </w:p>
        </w:tc>
        <w:tc>
          <w:tcPr>
            <w:tcW w:w="1135" w:type="dxa"/>
          </w:tcPr>
          <w:p>
            <w:pPr>
              <w:pStyle w:val="TableParagraph"/>
              <w:spacing w:before="19"/>
              <w:ind w:right="84"/>
              <w:jc w:val="right"/>
              <w:rPr>
                <w:sz w:val="18"/>
              </w:rPr>
            </w:pPr>
            <w:r>
              <w:rPr>
                <w:w w:val="95"/>
                <w:sz w:val="18"/>
              </w:rPr>
              <w:t>942,841</w:t>
            </w:r>
          </w:p>
        </w:tc>
      </w:tr>
      <w:tr>
        <w:trPr>
          <w:trHeight w:val="263" w:hRule="exact"/>
        </w:trPr>
        <w:tc>
          <w:tcPr>
            <w:tcW w:w="5509" w:type="dxa"/>
          </w:tcPr>
          <w:p>
            <w:pPr>
              <w:pStyle w:val="TableParagraph"/>
              <w:spacing w:before="18"/>
              <w:ind w:left="62"/>
              <w:rPr>
                <w:sz w:val="18"/>
              </w:rPr>
            </w:pPr>
            <w:r>
              <w:rPr>
                <w:sz w:val="18"/>
              </w:rPr>
              <w:t>Accrued revenue</w:t>
            </w:r>
          </w:p>
        </w:tc>
        <w:tc>
          <w:tcPr>
            <w:tcW w:w="1849" w:type="dxa"/>
          </w:tcPr>
          <w:p>
            <w:pPr/>
          </w:p>
        </w:tc>
        <w:tc>
          <w:tcPr>
            <w:tcW w:w="1459" w:type="dxa"/>
            <w:tcBorders>
              <w:bottom w:val="single" w:sz="0" w:space="0" w:color="000000"/>
            </w:tcBorders>
          </w:tcPr>
          <w:p>
            <w:pPr>
              <w:pStyle w:val="TableParagraph"/>
              <w:spacing w:before="19"/>
              <w:ind w:right="247"/>
              <w:jc w:val="right"/>
              <w:rPr>
                <w:b/>
                <w:sz w:val="18"/>
              </w:rPr>
            </w:pPr>
            <w:r>
              <w:rPr>
                <w:b/>
                <w:w w:val="95"/>
                <w:sz w:val="18"/>
              </w:rPr>
              <w:t>1,190</w:t>
            </w:r>
          </w:p>
        </w:tc>
        <w:tc>
          <w:tcPr>
            <w:tcW w:w="1135" w:type="dxa"/>
            <w:tcBorders>
              <w:bottom w:val="single" w:sz="0" w:space="0" w:color="000000"/>
            </w:tcBorders>
          </w:tcPr>
          <w:p>
            <w:pPr>
              <w:pStyle w:val="TableParagraph"/>
              <w:spacing w:before="19"/>
              <w:ind w:right="84"/>
              <w:jc w:val="right"/>
              <w:rPr>
                <w:sz w:val="18"/>
              </w:rPr>
            </w:pPr>
            <w:r>
              <w:rPr>
                <w:w w:val="95"/>
                <w:sz w:val="18"/>
              </w:rPr>
              <w:t>931,660</w:t>
            </w:r>
          </w:p>
        </w:tc>
      </w:tr>
      <w:tr>
        <w:trPr>
          <w:trHeight w:val="338" w:hRule="exact"/>
        </w:trPr>
        <w:tc>
          <w:tcPr>
            <w:tcW w:w="5509" w:type="dxa"/>
          </w:tcPr>
          <w:p>
            <w:pPr>
              <w:pStyle w:val="TableParagraph"/>
              <w:spacing w:before="38"/>
              <w:ind w:left="62"/>
              <w:rPr>
                <w:b/>
                <w:sz w:val="18"/>
              </w:rPr>
            </w:pPr>
            <w:r>
              <w:rPr>
                <w:b/>
                <w:sz w:val="18"/>
              </w:rPr>
              <w:t>TOTAL CURRENT ASSETS</w:t>
            </w:r>
          </w:p>
        </w:tc>
        <w:tc>
          <w:tcPr>
            <w:tcW w:w="1849" w:type="dxa"/>
          </w:tcPr>
          <w:p>
            <w:pP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7,313,611</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5,252,854</w:t>
            </w:r>
          </w:p>
        </w:tc>
      </w:tr>
      <w:tr>
        <w:trPr>
          <w:trHeight w:val="282" w:hRule="exact"/>
        </w:trPr>
        <w:tc>
          <w:tcPr>
            <w:tcW w:w="5509" w:type="dxa"/>
          </w:tcPr>
          <w:p>
            <w:pPr>
              <w:pStyle w:val="TableParagraph"/>
              <w:spacing w:before="38"/>
              <w:ind w:left="62"/>
              <w:rPr>
                <w:b/>
                <w:sz w:val="18"/>
              </w:rPr>
            </w:pPr>
            <w:r>
              <w:rPr>
                <w:b/>
                <w:sz w:val="18"/>
              </w:rPr>
              <w:t>NON-CURRENT ASSETS</w:t>
            </w:r>
          </w:p>
        </w:tc>
        <w:tc>
          <w:tcPr>
            <w:tcW w:w="1849" w:type="dxa"/>
          </w:tcPr>
          <w:p>
            <w:pPr/>
          </w:p>
        </w:tc>
        <w:tc>
          <w:tcPr>
            <w:tcW w:w="1459" w:type="dxa"/>
            <w:tcBorders>
              <w:top w:val="single" w:sz="0" w:space="0" w:color="000000"/>
            </w:tcBorders>
          </w:tcPr>
          <w:p>
            <w:pPr/>
          </w:p>
        </w:tc>
        <w:tc>
          <w:tcPr>
            <w:tcW w:w="1135" w:type="dxa"/>
            <w:tcBorders>
              <w:top w:val="single" w:sz="0" w:space="0" w:color="000000"/>
            </w:tcBorders>
          </w:tcPr>
          <w:p>
            <w:pPr/>
          </w:p>
        </w:tc>
      </w:tr>
      <w:tr>
        <w:trPr>
          <w:trHeight w:val="263" w:hRule="exact"/>
        </w:trPr>
        <w:tc>
          <w:tcPr>
            <w:tcW w:w="5509" w:type="dxa"/>
          </w:tcPr>
          <w:p>
            <w:pPr>
              <w:pStyle w:val="TableParagraph"/>
              <w:spacing w:before="18"/>
              <w:ind w:left="62"/>
              <w:rPr>
                <w:sz w:val="18"/>
              </w:rPr>
            </w:pPr>
            <w:r>
              <w:rPr>
                <w:sz w:val="18"/>
              </w:rPr>
              <w:t>Property, plant and equipment</w:t>
            </w:r>
          </w:p>
        </w:tc>
        <w:tc>
          <w:tcPr>
            <w:tcW w:w="1849" w:type="dxa"/>
          </w:tcPr>
          <w:p>
            <w:pPr>
              <w:pStyle w:val="TableParagraph"/>
              <w:spacing w:before="19"/>
              <w:ind w:left="1272"/>
              <w:jc w:val="center"/>
              <w:rPr>
                <w:sz w:val="18"/>
              </w:rPr>
            </w:pPr>
            <w:r>
              <w:rPr>
                <w:w w:val="99"/>
                <w:sz w:val="18"/>
              </w:rPr>
              <w:t>5</w:t>
            </w:r>
          </w:p>
        </w:tc>
        <w:tc>
          <w:tcPr>
            <w:tcW w:w="1459" w:type="dxa"/>
            <w:tcBorders>
              <w:bottom w:val="single" w:sz="0" w:space="0" w:color="000000"/>
            </w:tcBorders>
          </w:tcPr>
          <w:p>
            <w:pPr>
              <w:pStyle w:val="TableParagraph"/>
              <w:spacing w:before="19"/>
              <w:ind w:right="246"/>
              <w:jc w:val="right"/>
              <w:rPr>
                <w:b/>
                <w:sz w:val="18"/>
              </w:rPr>
            </w:pPr>
            <w:r>
              <w:rPr>
                <w:b/>
                <w:w w:val="95"/>
                <w:sz w:val="18"/>
              </w:rPr>
              <w:t>1,695,119</w:t>
            </w:r>
          </w:p>
        </w:tc>
        <w:tc>
          <w:tcPr>
            <w:tcW w:w="1135" w:type="dxa"/>
            <w:tcBorders>
              <w:bottom w:val="single" w:sz="0" w:space="0" w:color="000000"/>
            </w:tcBorders>
          </w:tcPr>
          <w:p>
            <w:pPr>
              <w:pStyle w:val="TableParagraph"/>
              <w:spacing w:before="19"/>
              <w:ind w:right="84"/>
              <w:jc w:val="right"/>
              <w:rPr>
                <w:sz w:val="18"/>
              </w:rPr>
            </w:pPr>
            <w:r>
              <w:rPr>
                <w:w w:val="95"/>
                <w:sz w:val="18"/>
              </w:rPr>
              <w:t>1,558,490</w:t>
            </w:r>
          </w:p>
        </w:tc>
      </w:tr>
    </w:tbl>
    <w:p>
      <w:pPr>
        <w:tabs>
          <w:tab w:pos="7881" w:val="left" w:leader="none"/>
          <w:tab w:pos="9179" w:val="left" w:leader="none"/>
        </w:tabs>
        <w:spacing w:before="38" w:after="13"/>
        <w:ind w:left="175" w:right="59" w:firstLine="0"/>
        <w:jc w:val="left"/>
        <w:rPr>
          <w:sz w:val="18"/>
        </w:rPr>
      </w:pPr>
      <w:r>
        <w:rPr/>
        <w:pict>
          <v:group style="position:absolute;margin-left:416.529999pt;margin-top:16.406208pt;width:129.85pt;height:1pt;mso-position-horizontal-relative:page;mso-position-vertical-relative:paragraph;z-index:-1309072" coordorigin="8331,328" coordsize="2597,20">
            <v:line style="position:absolute" from="8332,329" to="9629,329" stroked="true" strokeweight=".06pt" strokecolor="#000000"/>
            <v:line style="position:absolute" from="8332,330" to="9629,330" stroked="true" strokeweight=".06pt" strokecolor="#000000"/>
            <v:line style="position:absolute" from="8332,332" to="9629,332" stroked="true" strokeweight=".06pt" strokecolor="#000000"/>
            <v:line style="position:absolute" from="8332,333" to="9629,333" stroked="true" strokeweight=".06pt" strokecolor="#000000"/>
            <v:line style="position:absolute" from="8332,334" to="9629,334" stroked="true" strokeweight=".06pt" strokecolor="#000000"/>
            <v:line style="position:absolute" from="8332,335" to="9629,335" stroked="true" strokeweight=".06pt" strokecolor="#000000"/>
            <v:line style="position:absolute" from="8332,336" to="9629,336" stroked="true" strokeweight=".06pt" strokecolor="#000000"/>
            <v:line style="position:absolute" from="8332,338" to="9629,338" stroked="true" strokeweight=".06pt" strokecolor="#000000"/>
            <v:line style="position:absolute" from="8332,339" to="9629,339" stroked="true" strokeweight=".06pt" strokecolor="#000000"/>
            <v:line style="position:absolute" from="8332,340" to="9629,340" stroked="true" strokeweight=".06pt" strokecolor="#000000"/>
            <v:line style="position:absolute" from="8332,341" to="9629,341" stroked="true" strokeweight=".06pt" strokecolor="#000000"/>
            <v:line style="position:absolute" from="8332,342" to="9629,342" stroked="true" strokeweight=".06pt" strokecolor="#000000"/>
            <v:line style="position:absolute" from="8332,344" to="9629,344" stroked="true" strokeweight=".06pt" strokecolor="#000000"/>
            <v:line style="position:absolute" from="8332,345" to="9629,345" stroked="true" strokeweight=".06pt" strokecolor="#000000"/>
            <v:line style="position:absolute" from="8332,346" to="9629,346" stroked="true" strokeweight=".06pt" strokecolor="#000000"/>
            <v:line style="position:absolute" from="8332,347" to="9629,347" stroked="true" strokeweight=".06pt" strokecolor="#000000"/>
            <v:line style="position:absolute" from="9629,329" to="10926,329" stroked="true" strokeweight=".06pt" strokecolor="#000000"/>
            <v:line style="position:absolute" from="9629,330" to="10926,330" stroked="true" strokeweight=".06pt" strokecolor="#000000"/>
            <v:line style="position:absolute" from="9629,332" to="10926,332" stroked="true" strokeweight=".06pt" strokecolor="#000000"/>
            <v:line style="position:absolute" from="9629,333" to="10926,333" stroked="true" strokeweight=".06pt" strokecolor="#000000"/>
            <v:line style="position:absolute" from="9629,334" to="10926,334" stroked="true" strokeweight=".06pt" strokecolor="#000000"/>
            <v:line style="position:absolute" from="9629,335" to="10926,335" stroked="true" strokeweight=".06pt" strokecolor="#000000"/>
            <v:line style="position:absolute" from="9629,336" to="10926,336" stroked="true" strokeweight=".06pt" strokecolor="#000000"/>
            <v:line style="position:absolute" from="9629,338" to="10926,338" stroked="true" strokeweight=".06pt" strokecolor="#000000"/>
            <v:line style="position:absolute" from="9629,339" to="10926,339" stroked="true" strokeweight=".06pt" strokecolor="#000000"/>
            <v:line style="position:absolute" from="9629,340" to="10926,340" stroked="true" strokeweight=".06pt" strokecolor="#000000"/>
            <v:line style="position:absolute" from="9629,341" to="10926,341" stroked="true" strokeweight=".06pt" strokecolor="#000000"/>
            <v:line style="position:absolute" from="9629,342" to="10926,342" stroked="true" strokeweight=".06pt" strokecolor="#000000"/>
            <v:line style="position:absolute" from="9629,344" to="10926,344" stroked="true" strokeweight=".06pt" strokecolor="#000000"/>
            <v:line style="position:absolute" from="9629,345" to="10926,345" stroked="true" strokeweight=".06pt" strokecolor="#000000"/>
            <v:line style="position:absolute" from="9629,346" to="10926,346" stroked="true" strokeweight=".06pt" strokecolor="#000000"/>
            <v:line style="position:absolute" from="9629,347" to="10926,347" stroked="true" strokeweight=".06pt" strokecolor="#000000"/>
            <v:line style="position:absolute" from="8332,329" to="9629,329" stroked="true" strokeweight=".06pt" strokecolor="#000000"/>
            <v:line style="position:absolute" from="8332,330" to="9629,330" stroked="true" strokeweight=".06pt" strokecolor="#000000"/>
            <v:line style="position:absolute" from="8332,332" to="9629,332" stroked="true" strokeweight=".06pt" strokecolor="#000000"/>
            <v:line style="position:absolute" from="8332,333" to="9629,333" stroked="true" strokeweight=".06pt" strokecolor="#000000"/>
            <v:line style="position:absolute" from="8332,334" to="9629,334" stroked="true" strokeweight=".06pt" strokecolor="#000000"/>
            <v:line style="position:absolute" from="8332,335" to="9629,335" stroked="true" strokeweight=".06pt" strokecolor="#000000"/>
            <v:line style="position:absolute" from="8332,336" to="9629,336" stroked="true" strokeweight=".06pt" strokecolor="#000000"/>
            <v:line style="position:absolute" from="8332,338" to="9629,338" stroked="true" strokeweight=".06pt" strokecolor="#000000"/>
            <v:line style="position:absolute" from="8332,339" to="9629,339" stroked="true" strokeweight=".06pt" strokecolor="#000000"/>
            <v:line style="position:absolute" from="8332,340" to="9629,340" stroked="true" strokeweight=".06pt" strokecolor="#000000"/>
            <v:line style="position:absolute" from="8332,341" to="9629,341" stroked="true" strokeweight=".06pt" strokecolor="#000000"/>
            <v:line style="position:absolute" from="8332,342" to="9629,342" stroked="true" strokeweight=".06pt" strokecolor="#000000"/>
            <v:line style="position:absolute" from="8332,344" to="9629,344" stroked="true" strokeweight=".06pt" strokecolor="#000000"/>
            <v:line style="position:absolute" from="8332,345" to="9629,345" stroked="true" strokeweight=".06pt" strokecolor="#000000"/>
            <v:line style="position:absolute" from="8332,346" to="9629,346" stroked="true" strokeweight=".06pt" strokecolor="#000000"/>
            <v:line style="position:absolute" from="8332,347" to="9629,347" stroked="true" strokeweight=".06pt" strokecolor="#000000"/>
            <v:line style="position:absolute" from="9629,329" to="10926,329" stroked="true" strokeweight=".06pt" strokecolor="#000000"/>
            <v:line style="position:absolute" from="9629,330" to="10926,330" stroked="true" strokeweight=".06pt" strokecolor="#000000"/>
            <v:line style="position:absolute" from="9629,332" to="10926,332" stroked="true" strokeweight=".06pt" strokecolor="#000000"/>
            <v:line style="position:absolute" from="9629,333" to="10926,333" stroked="true" strokeweight=".06pt" strokecolor="#000000"/>
            <v:line style="position:absolute" from="9629,334" to="10926,334" stroked="true" strokeweight=".06pt" strokecolor="#000000"/>
            <v:line style="position:absolute" from="9629,335" to="10926,335" stroked="true" strokeweight=".06pt" strokecolor="#000000"/>
            <v:line style="position:absolute" from="9629,336" to="10926,336" stroked="true" strokeweight=".06pt" strokecolor="#000000"/>
            <v:line style="position:absolute" from="9629,338" to="10926,338" stroked="true" strokeweight=".06pt" strokecolor="#000000"/>
            <v:line style="position:absolute" from="9629,339" to="10926,339" stroked="true" strokeweight=".06pt" strokecolor="#000000"/>
            <v:line style="position:absolute" from="9629,340" to="10926,340" stroked="true" strokeweight=".06pt" strokecolor="#000000"/>
            <v:line style="position:absolute" from="9629,341" to="10926,341" stroked="true" strokeweight=".06pt" strokecolor="#000000"/>
            <v:line style="position:absolute" from="9629,342" to="10926,342" stroked="true" strokeweight=".06pt" strokecolor="#000000"/>
            <v:line style="position:absolute" from="9629,344" to="10926,344" stroked="true" strokeweight=".06pt" strokecolor="#000000"/>
            <v:line style="position:absolute" from="9629,345" to="10926,345" stroked="true" strokeweight=".06pt" strokecolor="#000000"/>
            <v:line style="position:absolute" from="9629,346" to="10926,346" stroked="true" strokeweight=".06pt" strokecolor="#000000"/>
            <v:line style="position:absolute" from="9629,347" to="10926,347" stroked="true" strokeweight=".06pt" strokecolor="#000000"/>
            <w10:wrap type="none"/>
          </v:group>
        </w:pict>
      </w:r>
      <w:r>
        <w:rPr>
          <w:b/>
          <w:sz w:val="18"/>
        </w:rPr>
        <w:t>TOTAL NON-CURRENT ASSETS</w:t>
        <w:tab/>
      </w:r>
      <w:r>
        <w:rPr>
          <w:b/>
          <w:position w:val="-8"/>
          <w:sz w:val="18"/>
        </w:rPr>
        <w:t>1,695,119</w:t>
        <w:tab/>
      </w:r>
      <w:r>
        <w:rPr>
          <w:position w:val="-8"/>
          <w:sz w:val="18"/>
        </w:rPr>
        <w:t>1,558,490</w:t>
      </w:r>
    </w:p>
    <w:tbl>
      <w:tblPr>
        <w:tblW w:w="0" w:type="auto"/>
        <w:jc w:val="left"/>
        <w:tblInd w:w="14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58"/>
        <w:gridCol w:w="373"/>
        <w:gridCol w:w="1459"/>
        <w:gridCol w:w="1135"/>
      </w:tblGrid>
      <w:tr>
        <w:trPr>
          <w:trHeight w:val="344" w:hRule="exact"/>
        </w:trPr>
        <w:tc>
          <w:tcPr>
            <w:tcW w:w="6958" w:type="dxa"/>
          </w:tcPr>
          <w:p>
            <w:pPr>
              <w:pStyle w:val="TableParagraph"/>
              <w:spacing w:before="28"/>
              <w:ind w:left="35"/>
              <w:rPr>
                <w:b/>
                <w:sz w:val="18"/>
              </w:rPr>
            </w:pPr>
            <w:r>
              <w:rPr>
                <w:b/>
                <w:sz w:val="18"/>
              </w:rPr>
              <w:t>TOTAL ASSETS</w:t>
            </w:r>
          </w:p>
        </w:tc>
        <w:tc>
          <w:tcPr>
            <w:tcW w:w="373" w:type="dxa"/>
          </w:tcPr>
          <w:p>
            <w:pPr/>
          </w:p>
        </w:tc>
        <w:tc>
          <w:tcPr>
            <w:tcW w:w="1459" w:type="dxa"/>
            <w:tcBorders>
              <w:bottom w:val="single" w:sz="0" w:space="0" w:color="000000"/>
            </w:tcBorders>
          </w:tcPr>
          <w:p>
            <w:pPr>
              <w:pStyle w:val="TableParagraph"/>
              <w:spacing w:before="113"/>
              <w:ind w:right="246"/>
              <w:jc w:val="right"/>
              <w:rPr>
                <w:b/>
                <w:sz w:val="18"/>
              </w:rPr>
            </w:pPr>
            <w:r>
              <w:rPr>
                <w:b/>
                <w:w w:val="95"/>
                <w:sz w:val="18"/>
              </w:rPr>
              <w:t>9,008,730</w:t>
            </w:r>
          </w:p>
        </w:tc>
        <w:tc>
          <w:tcPr>
            <w:tcW w:w="1135" w:type="dxa"/>
            <w:tcBorders>
              <w:bottom w:val="single" w:sz="0" w:space="0" w:color="000000"/>
            </w:tcBorders>
          </w:tcPr>
          <w:p>
            <w:pPr>
              <w:pStyle w:val="TableParagraph"/>
              <w:spacing w:before="113"/>
              <w:ind w:right="84"/>
              <w:jc w:val="right"/>
              <w:rPr>
                <w:sz w:val="18"/>
              </w:rPr>
            </w:pPr>
            <w:r>
              <w:rPr>
                <w:w w:val="95"/>
                <w:sz w:val="18"/>
              </w:rPr>
              <w:t>6,811,344</w:t>
            </w:r>
          </w:p>
        </w:tc>
      </w:tr>
      <w:tr>
        <w:trPr>
          <w:trHeight w:val="616" w:hRule="exact"/>
        </w:trPr>
        <w:tc>
          <w:tcPr>
            <w:tcW w:w="6958" w:type="dxa"/>
          </w:tcPr>
          <w:p>
            <w:pPr>
              <w:pStyle w:val="TableParagraph"/>
              <w:spacing w:before="138"/>
              <w:ind w:left="35"/>
              <w:rPr>
                <w:b/>
                <w:sz w:val="18"/>
              </w:rPr>
            </w:pPr>
            <w:r>
              <w:rPr>
                <w:b/>
                <w:sz w:val="18"/>
              </w:rPr>
              <w:t>LIABILITIES</w:t>
            </w:r>
          </w:p>
          <w:p>
            <w:pPr>
              <w:pStyle w:val="TableParagraph"/>
              <w:spacing w:before="27"/>
              <w:ind w:left="35"/>
              <w:rPr>
                <w:b/>
                <w:sz w:val="18"/>
              </w:rPr>
            </w:pPr>
            <w:r>
              <w:rPr>
                <w:b/>
                <w:sz w:val="18"/>
              </w:rPr>
              <w:t>CURRENT LIABILITIES</w:t>
            </w:r>
          </w:p>
        </w:tc>
        <w:tc>
          <w:tcPr>
            <w:tcW w:w="373" w:type="dxa"/>
          </w:tcPr>
          <w:p>
            <w:pPr/>
          </w:p>
        </w:tc>
        <w:tc>
          <w:tcPr>
            <w:tcW w:w="1459" w:type="dxa"/>
            <w:tcBorders>
              <w:top w:val="single" w:sz="0" w:space="0" w:color="000000"/>
            </w:tcBorders>
          </w:tcPr>
          <w:p>
            <w:pPr/>
          </w:p>
        </w:tc>
        <w:tc>
          <w:tcPr>
            <w:tcW w:w="1135" w:type="dxa"/>
            <w:tcBorders>
              <w:top w:val="single" w:sz="0" w:space="0" w:color="000000"/>
            </w:tcBorders>
          </w:tcPr>
          <w:p>
            <w:pPr/>
          </w:p>
        </w:tc>
      </w:tr>
      <w:tr>
        <w:trPr>
          <w:trHeight w:val="263" w:hRule="exact"/>
        </w:trPr>
        <w:tc>
          <w:tcPr>
            <w:tcW w:w="6958" w:type="dxa"/>
          </w:tcPr>
          <w:p>
            <w:pPr>
              <w:pStyle w:val="TableParagraph"/>
              <w:spacing w:before="17"/>
              <w:ind w:left="35"/>
              <w:rPr>
                <w:sz w:val="18"/>
              </w:rPr>
            </w:pPr>
            <w:r>
              <w:rPr>
                <w:sz w:val="18"/>
              </w:rPr>
              <w:t>Trade payables</w:t>
            </w:r>
          </w:p>
        </w:tc>
        <w:tc>
          <w:tcPr>
            <w:tcW w:w="373" w:type="dxa"/>
          </w:tcPr>
          <w:p>
            <w:pPr/>
          </w:p>
        </w:tc>
        <w:tc>
          <w:tcPr>
            <w:tcW w:w="1459" w:type="dxa"/>
          </w:tcPr>
          <w:p>
            <w:pPr>
              <w:pStyle w:val="TableParagraph"/>
              <w:spacing w:before="19"/>
              <w:ind w:right="246"/>
              <w:jc w:val="right"/>
              <w:rPr>
                <w:b/>
                <w:sz w:val="18"/>
              </w:rPr>
            </w:pPr>
            <w:r>
              <w:rPr>
                <w:b/>
                <w:w w:val="95"/>
                <w:sz w:val="18"/>
              </w:rPr>
              <w:t>256,258</w:t>
            </w:r>
          </w:p>
        </w:tc>
        <w:tc>
          <w:tcPr>
            <w:tcW w:w="1135" w:type="dxa"/>
          </w:tcPr>
          <w:p>
            <w:pPr>
              <w:pStyle w:val="TableParagraph"/>
              <w:spacing w:before="19"/>
              <w:ind w:right="84"/>
              <w:jc w:val="right"/>
              <w:rPr>
                <w:sz w:val="18"/>
              </w:rPr>
            </w:pPr>
            <w:r>
              <w:rPr>
                <w:w w:val="95"/>
                <w:sz w:val="18"/>
              </w:rPr>
              <w:t>150,737</w:t>
            </w:r>
          </w:p>
        </w:tc>
      </w:tr>
      <w:tr>
        <w:trPr>
          <w:trHeight w:val="264" w:hRule="exact"/>
        </w:trPr>
        <w:tc>
          <w:tcPr>
            <w:tcW w:w="6958" w:type="dxa"/>
          </w:tcPr>
          <w:p>
            <w:pPr>
              <w:pStyle w:val="TableParagraph"/>
              <w:spacing w:before="18"/>
              <w:ind w:left="35"/>
              <w:rPr>
                <w:sz w:val="18"/>
              </w:rPr>
            </w:pPr>
            <w:r>
              <w:rPr>
                <w:sz w:val="18"/>
              </w:rPr>
              <w:t>Tuition fees advance receipts</w:t>
            </w:r>
          </w:p>
        </w:tc>
        <w:tc>
          <w:tcPr>
            <w:tcW w:w="373" w:type="dxa"/>
          </w:tcPr>
          <w:p>
            <w:pPr/>
          </w:p>
        </w:tc>
        <w:tc>
          <w:tcPr>
            <w:tcW w:w="1459" w:type="dxa"/>
          </w:tcPr>
          <w:p>
            <w:pPr>
              <w:pStyle w:val="TableParagraph"/>
              <w:spacing w:before="19"/>
              <w:ind w:right="246"/>
              <w:jc w:val="right"/>
              <w:rPr>
                <w:b/>
                <w:sz w:val="18"/>
              </w:rPr>
            </w:pPr>
            <w:r>
              <w:rPr>
                <w:b/>
                <w:w w:val="95"/>
                <w:sz w:val="18"/>
              </w:rPr>
              <w:t>888,699</w:t>
            </w:r>
          </w:p>
        </w:tc>
        <w:tc>
          <w:tcPr>
            <w:tcW w:w="1135" w:type="dxa"/>
          </w:tcPr>
          <w:p>
            <w:pPr>
              <w:pStyle w:val="TableParagraph"/>
              <w:spacing w:before="19"/>
              <w:ind w:right="83"/>
              <w:jc w:val="right"/>
              <w:rPr>
                <w:sz w:val="18"/>
              </w:rPr>
            </w:pPr>
            <w:r>
              <w:rPr>
                <w:w w:val="95"/>
                <w:sz w:val="18"/>
              </w:rPr>
              <w:t>817,799</w:t>
            </w:r>
          </w:p>
        </w:tc>
      </w:tr>
      <w:tr>
        <w:trPr>
          <w:trHeight w:val="264" w:hRule="exact"/>
        </w:trPr>
        <w:tc>
          <w:tcPr>
            <w:tcW w:w="6958" w:type="dxa"/>
          </w:tcPr>
          <w:p>
            <w:pPr>
              <w:pStyle w:val="TableParagraph"/>
              <w:spacing w:before="18"/>
              <w:ind w:left="35"/>
              <w:rPr>
                <w:sz w:val="18"/>
              </w:rPr>
            </w:pPr>
            <w:r>
              <w:rPr>
                <w:sz w:val="18"/>
              </w:rPr>
              <w:t>Amounts due to related parties</w:t>
            </w:r>
          </w:p>
        </w:tc>
        <w:tc>
          <w:tcPr>
            <w:tcW w:w="373" w:type="dxa"/>
          </w:tcPr>
          <w:p>
            <w:pPr/>
          </w:p>
        </w:tc>
        <w:tc>
          <w:tcPr>
            <w:tcW w:w="1459" w:type="dxa"/>
          </w:tcPr>
          <w:p>
            <w:pPr>
              <w:pStyle w:val="TableParagraph"/>
              <w:spacing w:before="19"/>
              <w:ind w:right="246"/>
              <w:jc w:val="right"/>
              <w:rPr>
                <w:b/>
                <w:sz w:val="18"/>
              </w:rPr>
            </w:pPr>
            <w:r>
              <w:rPr>
                <w:b/>
                <w:w w:val="95"/>
                <w:sz w:val="18"/>
              </w:rPr>
              <w:t>368,970</w:t>
            </w:r>
          </w:p>
        </w:tc>
        <w:tc>
          <w:tcPr>
            <w:tcW w:w="1135" w:type="dxa"/>
          </w:tcPr>
          <w:p>
            <w:pPr>
              <w:pStyle w:val="TableParagraph"/>
              <w:spacing w:before="19"/>
              <w:ind w:right="84"/>
              <w:jc w:val="right"/>
              <w:rPr>
                <w:sz w:val="18"/>
              </w:rPr>
            </w:pPr>
            <w:r>
              <w:rPr>
                <w:w w:val="95"/>
                <w:sz w:val="18"/>
              </w:rPr>
              <w:t>425,897</w:t>
            </w:r>
          </w:p>
        </w:tc>
      </w:tr>
      <w:tr>
        <w:trPr>
          <w:trHeight w:val="264" w:hRule="exact"/>
        </w:trPr>
        <w:tc>
          <w:tcPr>
            <w:tcW w:w="6958" w:type="dxa"/>
          </w:tcPr>
          <w:p>
            <w:pPr>
              <w:pStyle w:val="TableParagraph"/>
              <w:spacing w:before="18"/>
              <w:ind w:left="35"/>
              <w:rPr>
                <w:sz w:val="18"/>
              </w:rPr>
            </w:pPr>
            <w:r>
              <w:rPr>
                <w:sz w:val="18"/>
              </w:rPr>
              <w:t>Accrued expenses</w:t>
            </w:r>
          </w:p>
        </w:tc>
        <w:tc>
          <w:tcPr>
            <w:tcW w:w="373" w:type="dxa"/>
          </w:tcPr>
          <w:p>
            <w:pPr>
              <w:pStyle w:val="TableParagraph"/>
              <w:spacing w:before="19"/>
              <w:ind w:left="34"/>
              <w:rPr>
                <w:sz w:val="18"/>
              </w:rPr>
            </w:pPr>
            <w:r>
              <w:rPr>
                <w:w w:val="99"/>
                <w:sz w:val="18"/>
              </w:rPr>
              <w:t>6</w:t>
            </w:r>
          </w:p>
        </w:tc>
        <w:tc>
          <w:tcPr>
            <w:tcW w:w="1459" w:type="dxa"/>
          </w:tcPr>
          <w:p>
            <w:pPr>
              <w:pStyle w:val="TableParagraph"/>
              <w:spacing w:before="19"/>
              <w:ind w:right="246"/>
              <w:jc w:val="right"/>
              <w:rPr>
                <w:b/>
                <w:sz w:val="18"/>
              </w:rPr>
            </w:pPr>
            <w:r>
              <w:rPr>
                <w:b/>
                <w:w w:val="95"/>
                <w:sz w:val="18"/>
              </w:rPr>
              <w:t>1,203,622</w:t>
            </w:r>
          </w:p>
        </w:tc>
        <w:tc>
          <w:tcPr>
            <w:tcW w:w="1135" w:type="dxa"/>
          </w:tcPr>
          <w:p>
            <w:pPr>
              <w:pStyle w:val="TableParagraph"/>
              <w:spacing w:before="19"/>
              <w:ind w:right="84"/>
              <w:jc w:val="right"/>
              <w:rPr>
                <w:sz w:val="18"/>
              </w:rPr>
            </w:pPr>
            <w:r>
              <w:rPr>
                <w:w w:val="95"/>
                <w:sz w:val="18"/>
              </w:rPr>
              <w:t>642,021</w:t>
            </w:r>
          </w:p>
        </w:tc>
      </w:tr>
      <w:tr>
        <w:trPr>
          <w:trHeight w:val="264" w:hRule="exact"/>
        </w:trPr>
        <w:tc>
          <w:tcPr>
            <w:tcW w:w="6958" w:type="dxa"/>
          </w:tcPr>
          <w:p>
            <w:pPr>
              <w:pStyle w:val="TableParagraph"/>
              <w:spacing w:before="18"/>
              <w:ind w:left="35"/>
              <w:rPr>
                <w:sz w:val="18"/>
              </w:rPr>
            </w:pPr>
            <w:r>
              <w:rPr>
                <w:sz w:val="18"/>
              </w:rPr>
              <w:t>Provisions</w:t>
            </w:r>
          </w:p>
        </w:tc>
        <w:tc>
          <w:tcPr>
            <w:tcW w:w="373" w:type="dxa"/>
          </w:tcPr>
          <w:p>
            <w:pPr>
              <w:pStyle w:val="TableParagraph"/>
              <w:spacing w:before="19"/>
              <w:ind w:left="34"/>
              <w:rPr>
                <w:sz w:val="18"/>
              </w:rPr>
            </w:pPr>
            <w:r>
              <w:rPr>
                <w:w w:val="99"/>
                <w:sz w:val="18"/>
              </w:rPr>
              <w:t>7</w:t>
            </w:r>
          </w:p>
        </w:tc>
        <w:tc>
          <w:tcPr>
            <w:tcW w:w="1459" w:type="dxa"/>
          </w:tcPr>
          <w:p>
            <w:pPr>
              <w:pStyle w:val="TableParagraph"/>
              <w:spacing w:before="19"/>
              <w:ind w:right="246"/>
              <w:jc w:val="right"/>
              <w:rPr>
                <w:b/>
                <w:sz w:val="18"/>
              </w:rPr>
            </w:pPr>
            <w:r>
              <w:rPr>
                <w:b/>
                <w:w w:val="95"/>
                <w:sz w:val="18"/>
              </w:rPr>
              <w:t>1,151,540</w:t>
            </w:r>
          </w:p>
        </w:tc>
        <w:tc>
          <w:tcPr>
            <w:tcW w:w="1135" w:type="dxa"/>
          </w:tcPr>
          <w:p>
            <w:pPr>
              <w:pStyle w:val="TableParagraph"/>
              <w:spacing w:before="19"/>
              <w:ind w:right="84"/>
              <w:jc w:val="right"/>
              <w:rPr>
                <w:sz w:val="18"/>
              </w:rPr>
            </w:pPr>
            <w:r>
              <w:rPr>
                <w:w w:val="95"/>
                <w:sz w:val="18"/>
              </w:rPr>
              <w:t>1,060,183</w:t>
            </w:r>
          </w:p>
        </w:tc>
      </w:tr>
      <w:tr>
        <w:trPr>
          <w:trHeight w:val="263" w:hRule="exact"/>
        </w:trPr>
        <w:tc>
          <w:tcPr>
            <w:tcW w:w="6958" w:type="dxa"/>
          </w:tcPr>
          <w:p>
            <w:pPr>
              <w:pStyle w:val="TableParagraph"/>
              <w:spacing w:before="18"/>
              <w:ind w:left="35"/>
              <w:rPr>
                <w:sz w:val="18"/>
              </w:rPr>
            </w:pPr>
            <w:r>
              <w:rPr>
                <w:sz w:val="18"/>
              </w:rPr>
              <w:t>Other liabilities</w:t>
            </w:r>
          </w:p>
        </w:tc>
        <w:tc>
          <w:tcPr>
            <w:tcW w:w="373" w:type="dxa"/>
          </w:tcPr>
          <w:p>
            <w:pPr>
              <w:pStyle w:val="TableParagraph"/>
              <w:spacing w:before="19"/>
              <w:ind w:left="34"/>
              <w:rPr>
                <w:sz w:val="18"/>
              </w:rPr>
            </w:pPr>
            <w:r>
              <w:rPr>
                <w:w w:val="99"/>
                <w:sz w:val="18"/>
              </w:rPr>
              <w:t>8</w:t>
            </w:r>
          </w:p>
        </w:tc>
        <w:tc>
          <w:tcPr>
            <w:tcW w:w="1459" w:type="dxa"/>
            <w:tcBorders>
              <w:bottom w:val="single" w:sz="0" w:space="0" w:color="000000"/>
            </w:tcBorders>
          </w:tcPr>
          <w:p>
            <w:pPr>
              <w:pStyle w:val="TableParagraph"/>
              <w:spacing w:before="19"/>
              <w:ind w:right="246"/>
              <w:jc w:val="right"/>
              <w:rPr>
                <w:b/>
                <w:sz w:val="18"/>
              </w:rPr>
            </w:pPr>
            <w:r>
              <w:rPr>
                <w:b/>
                <w:w w:val="95"/>
                <w:sz w:val="18"/>
              </w:rPr>
              <w:t>379,705</w:t>
            </w:r>
          </w:p>
        </w:tc>
        <w:tc>
          <w:tcPr>
            <w:tcW w:w="1135" w:type="dxa"/>
            <w:tcBorders>
              <w:bottom w:val="single" w:sz="0" w:space="0" w:color="000000"/>
            </w:tcBorders>
          </w:tcPr>
          <w:p>
            <w:pPr>
              <w:pStyle w:val="TableParagraph"/>
              <w:spacing w:before="19"/>
              <w:ind w:right="84"/>
              <w:jc w:val="right"/>
              <w:rPr>
                <w:sz w:val="18"/>
              </w:rPr>
            </w:pPr>
            <w:r>
              <w:rPr>
                <w:w w:val="95"/>
                <w:sz w:val="18"/>
              </w:rPr>
              <w:t>308,169</w:t>
            </w:r>
          </w:p>
        </w:tc>
      </w:tr>
      <w:tr>
        <w:trPr>
          <w:trHeight w:val="338" w:hRule="exact"/>
        </w:trPr>
        <w:tc>
          <w:tcPr>
            <w:tcW w:w="6958" w:type="dxa"/>
          </w:tcPr>
          <w:p>
            <w:pPr>
              <w:pStyle w:val="TableParagraph"/>
              <w:spacing w:before="38"/>
              <w:ind w:left="35"/>
              <w:rPr>
                <w:b/>
                <w:sz w:val="18"/>
              </w:rPr>
            </w:pPr>
            <w:r>
              <w:rPr>
                <w:b/>
                <w:sz w:val="18"/>
              </w:rPr>
              <w:t>TOTAL CURRENT LIABILITIES</w:t>
            </w:r>
          </w:p>
        </w:tc>
        <w:tc>
          <w:tcPr>
            <w:tcW w:w="373" w:type="dxa"/>
          </w:tcPr>
          <w:p>
            <w:pP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4,248,794</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3,404,806</w:t>
            </w:r>
          </w:p>
        </w:tc>
      </w:tr>
      <w:tr>
        <w:trPr>
          <w:trHeight w:val="282" w:hRule="exact"/>
        </w:trPr>
        <w:tc>
          <w:tcPr>
            <w:tcW w:w="6958" w:type="dxa"/>
          </w:tcPr>
          <w:p>
            <w:pPr>
              <w:pStyle w:val="TableParagraph"/>
              <w:spacing w:before="38"/>
              <w:ind w:left="35"/>
              <w:rPr>
                <w:b/>
                <w:sz w:val="18"/>
              </w:rPr>
            </w:pPr>
            <w:r>
              <w:rPr>
                <w:b/>
                <w:sz w:val="18"/>
              </w:rPr>
              <w:t>NON-CURRENT LIABILITIES</w:t>
            </w:r>
          </w:p>
        </w:tc>
        <w:tc>
          <w:tcPr>
            <w:tcW w:w="373" w:type="dxa"/>
          </w:tcPr>
          <w:p>
            <w:pPr/>
          </w:p>
        </w:tc>
        <w:tc>
          <w:tcPr>
            <w:tcW w:w="1459" w:type="dxa"/>
            <w:tcBorders>
              <w:top w:val="single" w:sz="0" w:space="0" w:color="000000"/>
            </w:tcBorders>
          </w:tcPr>
          <w:p>
            <w:pPr/>
          </w:p>
        </w:tc>
        <w:tc>
          <w:tcPr>
            <w:tcW w:w="1135" w:type="dxa"/>
            <w:tcBorders>
              <w:top w:val="single" w:sz="0" w:space="0" w:color="000000"/>
            </w:tcBorders>
          </w:tcPr>
          <w:p>
            <w:pPr/>
          </w:p>
        </w:tc>
      </w:tr>
      <w:tr>
        <w:trPr>
          <w:trHeight w:val="263" w:hRule="exact"/>
        </w:trPr>
        <w:tc>
          <w:tcPr>
            <w:tcW w:w="6958" w:type="dxa"/>
          </w:tcPr>
          <w:p>
            <w:pPr>
              <w:pStyle w:val="TableParagraph"/>
              <w:spacing w:before="18"/>
              <w:ind w:left="35"/>
              <w:rPr>
                <w:sz w:val="18"/>
              </w:rPr>
            </w:pPr>
            <w:r>
              <w:rPr>
                <w:sz w:val="18"/>
              </w:rPr>
              <w:t>Provisions</w:t>
            </w:r>
          </w:p>
        </w:tc>
        <w:tc>
          <w:tcPr>
            <w:tcW w:w="373" w:type="dxa"/>
          </w:tcPr>
          <w:p>
            <w:pPr>
              <w:pStyle w:val="TableParagraph"/>
              <w:spacing w:before="19"/>
              <w:ind w:left="35"/>
              <w:rPr>
                <w:sz w:val="18"/>
              </w:rPr>
            </w:pPr>
            <w:r>
              <w:rPr>
                <w:w w:val="99"/>
                <w:sz w:val="18"/>
              </w:rPr>
              <w:t>7</w:t>
            </w:r>
          </w:p>
        </w:tc>
        <w:tc>
          <w:tcPr>
            <w:tcW w:w="1459" w:type="dxa"/>
            <w:tcBorders>
              <w:bottom w:val="single" w:sz="0" w:space="0" w:color="000000"/>
            </w:tcBorders>
          </w:tcPr>
          <w:p>
            <w:pPr>
              <w:pStyle w:val="TableParagraph"/>
              <w:spacing w:before="19"/>
              <w:ind w:right="246"/>
              <w:jc w:val="right"/>
              <w:rPr>
                <w:b/>
                <w:sz w:val="18"/>
              </w:rPr>
            </w:pPr>
            <w:r>
              <w:rPr>
                <w:b/>
                <w:w w:val="95"/>
                <w:sz w:val="18"/>
              </w:rPr>
              <w:t>495,331</w:t>
            </w:r>
          </w:p>
        </w:tc>
        <w:tc>
          <w:tcPr>
            <w:tcW w:w="1135" w:type="dxa"/>
            <w:tcBorders>
              <w:bottom w:val="single" w:sz="0" w:space="0" w:color="000000"/>
            </w:tcBorders>
          </w:tcPr>
          <w:p>
            <w:pPr>
              <w:pStyle w:val="TableParagraph"/>
              <w:spacing w:before="19"/>
              <w:ind w:right="84"/>
              <w:jc w:val="right"/>
              <w:rPr>
                <w:sz w:val="18"/>
              </w:rPr>
            </w:pPr>
            <w:r>
              <w:rPr>
                <w:w w:val="95"/>
                <w:sz w:val="18"/>
              </w:rPr>
              <w:t>269,000</w:t>
            </w:r>
          </w:p>
        </w:tc>
      </w:tr>
      <w:tr>
        <w:trPr>
          <w:trHeight w:val="338" w:hRule="exact"/>
        </w:trPr>
        <w:tc>
          <w:tcPr>
            <w:tcW w:w="7331" w:type="dxa"/>
            <w:gridSpan w:val="2"/>
          </w:tcPr>
          <w:p>
            <w:pPr>
              <w:pStyle w:val="TableParagraph"/>
              <w:spacing w:before="28"/>
              <w:ind w:left="35"/>
              <w:rPr>
                <w:b/>
                <w:sz w:val="18"/>
              </w:rPr>
            </w:pPr>
            <w:r>
              <w:rPr>
                <w:b/>
                <w:sz w:val="18"/>
              </w:rPr>
              <w:t>TOTAL NON-CURRENT LIABILITIES</w:t>
            </w:r>
          </w:p>
        </w:tc>
        <w:tc>
          <w:tcPr>
            <w:tcW w:w="1459" w:type="dxa"/>
            <w:tcBorders>
              <w:bottom w:val="single" w:sz="0" w:space="0" w:color="000000"/>
            </w:tcBorders>
          </w:tcPr>
          <w:p>
            <w:pPr>
              <w:pStyle w:val="TableParagraph"/>
              <w:spacing w:before="113"/>
              <w:ind w:right="246"/>
              <w:jc w:val="right"/>
              <w:rPr>
                <w:b/>
                <w:sz w:val="18"/>
              </w:rPr>
            </w:pPr>
            <w:r>
              <w:rPr>
                <w:b/>
                <w:w w:val="95"/>
                <w:sz w:val="18"/>
              </w:rPr>
              <w:t>495,331</w:t>
            </w:r>
          </w:p>
        </w:tc>
        <w:tc>
          <w:tcPr>
            <w:tcW w:w="1135" w:type="dxa"/>
            <w:tcBorders>
              <w:bottom w:val="single" w:sz="0" w:space="0" w:color="000000"/>
            </w:tcBorders>
          </w:tcPr>
          <w:p>
            <w:pPr>
              <w:pStyle w:val="TableParagraph"/>
              <w:spacing w:before="113"/>
              <w:ind w:right="84"/>
              <w:jc w:val="right"/>
              <w:rPr>
                <w:sz w:val="18"/>
              </w:rPr>
            </w:pPr>
            <w:r>
              <w:rPr>
                <w:w w:val="95"/>
                <w:sz w:val="18"/>
              </w:rPr>
              <w:t>269,000</w:t>
            </w:r>
          </w:p>
        </w:tc>
      </w:tr>
      <w:tr>
        <w:trPr>
          <w:trHeight w:val="338" w:hRule="exact"/>
        </w:trPr>
        <w:tc>
          <w:tcPr>
            <w:tcW w:w="7331" w:type="dxa"/>
            <w:gridSpan w:val="2"/>
          </w:tcPr>
          <w:p>
            <w:pPr>
              <w:pStyle w:val="TableParagraph"/>
              <w:spacing w:before="38"/>
              <w:ind w:left="35"/>
              <w:rPr>
                <w:b/>
                <w:sz w:val="18"/>
              </w:rPr>
            </w:pPr>
            <w:r>
              <w:rPr>
                <w:b/>
                <w:sz w:val="18"/>
              </w:rPr>
              <w:t>TOTAL LIABILITIES</w:t>
            </w: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4,744,125</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3,673,806</w:t>
            </w:r>
          </w:p>
        </w:tc>
      </w:tr>
      <w:tr>
        <w:trPr>
          <w:trHeight w:val="353" w:hRule="exact"/>
        </w:trPr>
        <w:tc>
          <w:tcPr>
            <w:tcW w:w="6958" w:type="dxa"/>
          </w:tcPr>
          <w:p>
            <w:pPr>
              <w:pStyle w:val="TableParagraph"/>
              <w:spacing w:before="28"/>
              <w:ind w:left="35"/>
              <w:rPr>
                <w:b/>
                <w:sz w:val="18"/>
              </w:rPr>
            </w:pPr>
            <w:r>
              <w:rPr>
                <w:b/>
                <w:sz w:val="18"/>
              </w:rPr>
              <w:t>NET ASSETS</w:t>
            </w:r>
          </w:p>
        </w:tc>
        <w:tc>
          <w:tcPr>
            <w:tcW w:w="373" w:type="dxa"/>
          </w:tcPr>
          <w:p>
            <w:pPr/>
          </w:p>
        </w:tc>
        <w:tc>
          <w:tcPr>
            <w:tcW w:w="1459" w:type="dxa"/>
            <w:tcBorders>
              <w:bottom w:val="single" w:sz="0" w:space="0" w:color="000000"/>
            </w:tcBorders>
          </w:tcPr>
          <w:p>
            <w:pPr>
              <w:pStyle w:val="TableParagraph"/>
              <w:spacing w:before="113"/>
              <w:ind w:right="246"/>
              <w:jc w:val="right"/>
              <w:rPr>
                <w:b/>
                <w:sz w:val="18"/>
              </w:rPr>
            </w:pPr>
            <w:r>
              <w:rPr>
                <w:b/>
                <w:w w:val="95"/>
                <w:sz w:val="18"/>
              </w:rPr>
              <w:t>4,264,605</w:t>
            </w:r>
          </w:p>
        </w:tc>
        <w:tc>
          <w:tcPr>
            <w:tcW w:w="1135" w:type="dxa"/>
            <w:tcBorders>
              <w:bottom w:val="single" w:sz="0" w:space="0" w:color="000000"/>
            </w:tcBorders>
          </w:tcPr>
          <w:p>
            <w:pPr>
              <w:pStyle w:val="TableParagraph"/>
              <w:spacing w:before="113"/>
              <w:ind w:right="84"/>
              <w:jc w:val="right"/>
              <w:rPr>
                <w:sz w:val="18"/>
              </w:rPr>
            </w:pPr>
            <w:r>
              <w:rPr>
                <w:w w:val="95"/>
                <w:sz w:val="18"/>
              </w:rPr>
              <w:t>3,137,538</w:t>
            </w:r>
          </w:p>
        </w:tc>
      </w:tr>
      <w:tr>
        <w:trPr>
          <w:trHeight w:val="913" w:hRule="exact"/>
        </w:trPr>
        <w:tc>
          <w:tcPr>
            <w:tcW w:w="6958" w:type="dxa"/>
          </w:tcPr>
          <w:p>
            <w:pPr>
              <w:pStyle w:val="TableParagraph"/>
              <w:rPr>
                <w:sz w:val="18"/>
              </w:rPr>
            </w:pPr>
          </w:p>
          <w:p>
            <w:pPr>
              <w:pStyle w:val="TableParagraph"/>
              <w:spacing w:before="8"/>
              <w:rPr>
                <w:sz w:val="19"/>
              </w:rPr>
            </w:pPr>
          </w:p>
          <w:p>
            <w:pPr>
              <w:pStyle w:val="TableParagraph"/>
              <w:ind w:left="35"/>
              <w:rPr>
                <w:b/>
                <w:sz w:val="18"/>
              </w:rPr>
            </w:pPr>
            <w:r>
              <w:rPr>
                <w:b/>
                <w:sz w:val="18"/>
              </w:rPr>
              <w:t>EQUITY</w:t>
            </w:r>
          </w:p>
          <w:p>
            <w:pPr>
              <w:pStyle w:val="TableParagraph"/>
              <w:spacing w:before="27"/>
              <w:ind w:left="35"/>
              <w:rPr>
                <w:sz w:val="18"/>
              </w:rPr>
            </w:pPr>
            <w:r>
              <w:rPr>
                <w:sz w:val="18"/>
              </w:rPr>
              <w:t>Issued capital</w:t>
            </w:r>
          </w:p>
        </w:tc>
        <w:tc>
          <w:tcPr>
            <w:tcW w:w="373" w:type="dxa"/>
          </w:tcPr>
          <w:p>
            <w:pPr>
              <w:pStyle w:val="TableParagraph"/>
              <w:rPr>
                <w:sz w:val="18"/>
              </w:rPr>
            </w:pPr>
          </w:p>
          <w:p>
            <w:pPr>
              <w:pStyle w:val="TableParagraph"/>
              <w:rPr>
                <w:sz w:val="18"/>
              </w:rPr>
            </w:pPr>
          </w:p>
          <w:p>
            <w:pPr>
              <w:pStyle w:val="TableParagraph"/>
              <w:spacing w:before="1"/>
              <w:rPr>
                <w:sz w:val="22"/>
              </w:rPr>
            </w:pPr>
          </w:p>
          <w:p>
            <w:pPr>
              <w:pStyle w:val="TableParagraph"/>
              <w:spacing w:before="1"/>
              <w:ind w:left="35"/>
              <w:rPr>
                <w:sz w:val="18"/>
              </w:rPr>
            </w:pPr>
            <w:r>
              <w:rPr>
                <w:w w:val="99"/>
                <w:sz w:val="18"/>
              </w:rPr>
              <w:t>9</w:t>
            </w:r>
          </w:p>
        </w:tc>
        <w:tc>
          <w:tcPr>
            <w:tcW w:w="1459" w:type="dxa"/>
            <w:tcBorders>
              <w:top w:val="single" w:sz="0" w:space="0" w:color="000000"/>
            </w:tcBorders>
          </w:tcPr>
          <w:p>
            <w:pPr>
              <w:pStyle w:val="TableParagraph"/>
              <w:rPr>
                <w:sz w:val="18"/>
              </w:rPr>
            </w:pPr>
          </w:p>
          <w:p>
            <w:pPr>
              <w:pStyle w:val="TableParagraph"/>
              <w:rPr>
                <w:sz w:val="18"/>
              </w:rPr>
            </w:pPr>
          </w:p>
          <w:p>
            <w:pPr>
              <w:pStyle w:val="TableParagraph"/>
              <w:spacing w:before="1"/>
              <w:rPr>
                <w:sz w:val="22"/>
              </w:rPr>
            </w:pPr>
          </w:p>
          <w:p>
            <w:pPr>
              <w:pStyle w:val="TableParagraph"/>
              <w:ind w:right="248"/>
              <w:jc w:val="right"/>
              <w:rPr>
                <w:b/>
                <w:sz w:val="18"/>
              </w:rPr>
            </w:pPr>
            <w:r>
              <w:rPr>
                <w:b/>
                <w:w w:val="99"/>
                <w:sz w:val="18"/>
              </w:rPr>
              <w:t>1</w:t>
            </w:r>
          </w:p>
        </w:tc>
        <w:tc>
          <w:tcPr>
            <w:tcW w:w="1135" w:type="dxa"/>
            <w:tcBorders>
              <w:top w:val="single" w:sz="0" w:space="0" w:color="000000"/>
            </w:tcBorders>
          </w:tcPr>
          <w:p>
            <w:pPr>
              <w:pStyle w:val="TableParagraph"/>
              <w:rPr>
                <w:sz w:val="18"/>
              </w:rPr>
            </w:pPr>
          </w:p>
          <w:p>
            <w:pPr>
              <w:pStyle w:val="TableParagraph"/>
              <w:rPr>
                <w:sz w:val="18"/>
              </w:rPr>
            </w:pPr>
          </w:p>
          <w:p>
            <w:pPr>
              <w:pStyle w:val="TableParagraph"/>
              <w:spacing w:before="1"/>
              <w:rPr>
                <w:sz w:val="22"/>
              </w:rPr>
            </w:pPr>
          </w:p>
          <w:p>
            <w:pPr>
              <w:pStyle w:val="TableParagraph"/>
              <w:ind w:right="86"/>
              <w:jc w:val="right"/>
              <w:rPr>
                <w:sz w:val="18"/>
              </w:rPr>
            </w:pPr>
            <w:r>
              <w:rPr>
                <w:w w:val="99"/>
                <w:sz w:val="18"/>
              </w:rPr>
              <w:t>1</w:t>
            </w:r>
          </w:p>
        </w:tc>
      </w:tr>
      <w:tr>
        <w:trPr>
          <w:trHeight w:val="263" w:hRule="exact"/>
        </w:trPr>
        <w:tc>
          <w:tcPr>
            <w:tcW w:w="6958" w:type="dxa"/>
          </w:tcPr>
          <w:p>
            <w:pPr>
              <w:pStyle w:val="TableParagraph"/>
              <w:spacing w:before="18"/>
              <w:ind w:left="35"/>
              <w:rPr>
                <w:sz w:val="18"/>
              </w:rPr>
            </w:pPr>
            <w:r>
              <w:rPr>
                <w:sz w:val="18"/>
              </w:rPr>
              <w:t>Retained earnings</w:t>
            </w:r>
          </w:p>
        </w:tc>
        <w:tc>
          <w:tcPr>
            <w:tcW w:w="373" w:type="dxa"/>
          </w:tcPr>
          <w:p>
            <w:pPr/>
          </w:p>
        </w:tc>
        <w:tc>
          <w:tcPr>
            <w:tcW w:w="1459" w:type="dxa"/>
            <w:tcBorders>
              <w:bottom w:val="single" w:sz="0" w:space="0" w:color="000000"/>
            </w:tcBorders>
          </w:tcPr>
          <w:p>
            <w:pPr>
              <w:pStyle w:val="TableParagraph"/>
              <w:spacing w:before="19"/>
              <w:ind w:right="246"/>
              <w:jc w:val="right"/>
              <w:rPr>
                <w:b/>
                <w:sz w:val="18"/>
              </w:rPr>
            </w:pPr>
            <w:r>
              <w:rPr>
                <w:b/>
                <w:w w:val="95"/>
                <w:sz w:val="18"/>
              </w:rPr>
              <w:t>4,264,604</w:t>
            </w:r>
          </w:p>
        </w:tc>
        <w:tc>
          <w:tcPr>
            <w:tcW w:w="1135" w:type="dxa"/>
            <w:tcBorders>
              <w:bottom w:val="single" w:sz="0" w:space="0" w:color="000000"/>
            </w:tcBorders>
          </w:tcPr>
          <w:p>
            <w:pPr>
              <w:pStyle w:val="TableParagraph"/>
              <w:spacing w:before="19"/>
              <w:ind w:right="84"/>
              <w:jc w:val="right"/>
              <w:rPr>
                <w:sz w:val="18"/>
              </w:rPr>
            </w:pPr>
            <w:r>
              <w:rPr>
                <w:w w:val="95"/>
                <w:sz w:val="18"/>
              </w:rPr>
              <w:t>3,137,537</w:t>
            </w:r>
          </w:p>
        </w:tc>
      </w:tr>
      <w:tr>
        <w:trPr>
          <w:trHeight w:val="353" w:hRule="exact"/>
        </w:trPr>
        <w:tc>
          <w:tcPr>
            <w:tcW w:w="7331" w:type="dxa"/>
            <w:gridSpan w:val="2"/>
          </w:tcPr>
          <w:p>
            <w:pPr>
              <w:pStyle w:val="TableParagraph"/>
              <w:spacing w:before="28"/>
              <w:ind w:left="35"/>
              <w:rPr>
                <w:b/>
                <w:sz w:val="18"/>
              </w:rPr>
            </w:pPr>
            <w:r>
              <w:rPr>
                <w:b/>
                <w:sz w:val="18"/>
              </w:rPr>
              <w:t>TOTAL EQUITY</w:t>
            </w:r>
          </w:p>
        </w:tc>
        <w:tc>
          <w:tcPr>
            <w:tcW w:w="1459" w:type="dxa"/>
            <w:tcBorders>
              <w:bottom w:val="single" w:sz="0" w:space="0" w:color="000000"/>
            </w:tcBorders>
          </w:tcPr>
          <w:p>
            <w:pPr>
              <w:pStyle w:val="TableParagraph"/>
              <w:spacing w:before="113"/>
              <w:ind w:right="246"/>
              <w:jc w:val="right"/>
              <w:rPr>
                <w:b/>
                <w:sz w:val="18"/>
              </w:rPr>
            </w:pPr>
            <w:r>
              <w:rPr>
                <w:b/>
                <w:w w:val="95"/>
                <w:sz w:val="18"/>
              </w:rPr>
              <w:t>4,264,605</w:t>
            </w:r>
          </w:p>
        </w:tc>
        <w:tc>
          <w:tcPr>
            <w:tcW w:w="1135" w:type="dxa"/>
            <w:tcBorders>
              <w:bottom w:val="single" w:sz="0" w:space="0" w:color="000000"/>
            </w:tcBorders>
          </w:tcPr>
          <w:p>
            <w:pPr>
              <w:pStyle w:val="TableParagraph"/>
              <w:spacing w:before="113"/>
              <w:ind w:right="84"/>
              <w:jc w:val="right"/>
              <w:rPr>
                <w:sz w:val="18"/>
              </w:rPr>
            </w:pPr>
            <w:r>
              <w:rPr>
                <w:w w:val="95"/>
                <w:sz w:val="18"/>
              </w:rPr>
              <w:t>3,137,538</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p>
    <w:p>
      <w:pPr>
        <w:pStyle w:val="BodyText"/>
        <w:spacing w:before="77"/>
        <w:ind w:left="2531" w:right="685"/>
      </w:pPr>
      <w:r>
        <w:rPr/>
        <w:t>The accompanying notes form part of these financial statements.</w:t>
      </w:r>
    </w:p>
    <w:p>
      <w:pPr>
        <w:spacing w:after="0"/>
        <w:sectPr>
          <w:pgSz w:w="11910" w:h="16840"/>
          <w:pgMar w:header="1038" w:footer="507" w:top="1460" w:bottom="700" w:left="860" w:right="86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870"/>
        <w:gridCol w:w="1265"/>
        <w:gridCol w:w="1281"/>
        <w:gridCol w:w="1099"/>
      </w:tblGrid>
      <w:tr>
        <w:trPr>
          <w:trHeight w:val="911" w:hRule="exact"/>
        </w:trPr>
        <w:tc>
          <w:tcPr>
            <w:tcW w:w="4870" w:type="dxa"/>
          </w:tcPr>
          <w:p>
            <w:pPr>
              <w:pStyle w:val="TableParagraph"/>
              <w:spacing w:before="64"/>
              <w:ind w:left="35"/>
              <w:rPr>
                <w:b/>
                <w:sz w:val="28"/>
              </w:rPr>
            </w:pPr>
            <w:r>
              <w:rPr>
                <w:b/>
                <w:sz w:val="28"/>
              </w:rPr>
              <w:t>Statement of Changes in Equity</w:t>
            </w:r>
          </w:p>
          <w:p>
            <w:pPr>
              <w:pStyle w:val="TableParagraph"/>
              <w:spacing w:before="57"/>
              <w:ind w:left="35"/>
              <w:rPr>
                <w:b/>
                <w:sz w:val="22"/>
              </w:rPr>
            </w:pPr>
            <w:r>
              <w:rPr>
                <w:b/>
                <w:sz w:val="22"/>
              </w:rPr>
              <w:t>For the Year Ended 31 December 2012</w:t>
            </w:r>
          </w:p>
        </w:tc>
        <w:tc>
          <w:tcPr>
            <w:tcW w:w="3644" w:type="dxa"/>
            <w:gridSpan w:val="3"/>
            <w:vMerge w:val="restart"/>
          </w:tcPr>
          <w:p>
            <w:pPr/>
          </w:p>
        </w:tc>
      </w:tr>
      <w:tr>
        <w:trPr>
          <w:trHeight w:val="447" w:hRule="exact"/>
        </w:trPr>
        <w:tc>
          <w:tcPr>
            <w:tcW w:w="4870" w:type="dxa"/>
          </w:tcPr>
          <w:p>
            <w:pPr>
              <w:pStyle w:val="TableParagraph"/>
              <w:spacing w:before="1"/>
              <w:rPr>
                <w:sz w:val="17"/>
              </w:rPr>
            </w:pPr>
          </w:p>
          <w:p>
            <w:pPr>
              <w:pStyle w:val="TableParagraph"/>
              <w:ind w:left="62"/>
              <w:rPr>
                <w:b/>
                <w:sz w:val="18"/>
              </w:rPr>
            </w:pPr>
            <w:r>
              <w:rPr>
                <w:b/>
                <w:sz w:val="18"/>
              </w:rPr>
              <w:t>2012</w:t>
            </w:r>
          </w:p>
        </w:tc>
        <w:tc>
          <w:tcPr>
            <w:tcW w:w="3644" w:type="dxa"/>
            <w:gridSpan w:val="3"/>
            <w:vMerge/>
          </w:tcPr>
          <w:p>
            <w:pPr/>
          </w:p>
        </w:tc>
      </w:tr>
      <w:tr>
        <w:trPr>
          <w:trHeight w:val="480" w:hRule="exact"/>
        </w:trPr>
        <w:tc>
          <w:tcPr>
            <w:tcW w:w="4870" w:type="dxa"/>
          </w:tcPr>
          <w:p>
            <w:pPr/>
          </w:p>
        </w:tc>
        <w:tc>
          <w:tcPr>
            <w:tcW w:w="1265" w:type="dxa"/>
          </w:tcPr>
          <w:p>
            <w:pPr>
              <w:pStyle w:val="TableParagraph"/>
              <w:spacing w:before="24"/>
              <w:ind w:left="283" w:right="361" w:firstLine="15"/>
              <w:rPr>
                <w:b/>
                <w:sz w:val="18"/>
              </w:rPr>
            </w:pPr>
            <w:r>
              <w:rPr>
                <w:b/>
                <w:sz w:val="18"/>
              </w:rPr>
              <w:t>Issued Capital</w:t>
            </w:r>
          </w:p>
        </w:tc>
        <w:tc>
          <w:tcPr>
            <w:tcW w:w="1281" w:type="dxa"/>
          </w:tcPr>
          <w:p>
            <w:pPr>
              <w:pStyle w:val="TableParagraph"/>
              <w:spacing w:before="24"/>
              <w:ind w:left="156" w:right="334" w:firstLine="5"/>
              <w:rPr>
                <w:b/>
                <w:sz w:val="18"/>
              </w:rPr>
            </w:pPr>
            <w:r>
              <w:rPr>
                <w:b/>
                <w:sz w:val="18"/>
              </w:rPr>
              <w:t>Retained Earnings</w:t>
            </w:r>
          </w:p>
        </w:tc>
        <w:tc>
          <w:tcPr>
            <w:tcW w:w="1099" w:type="dxa"/>
          </w:tcPr>
          <w:p>
            <w:pPr>
              <w:pStyle w:val="TableParagraph"/>
              <w:rPr>
                <w:sz w:val="20"/>
              </w:rPr>
            </w:pPr>
          </w:p>
          <w:p>
            <w:pPr>
              <w:pStyle w:val="TableParagraph"/>
              <w:ind w:left="257"/>
              <w:rPr>
                <w:b/>
                <w:sz w:val="18"/>
              </w:rPr>
            </w:pPr>
            <w:r>
              <w:rPr>
                <w:b/>
                <w:sz w:val="18"/>
              </w:rPr>
              <w:t>Total</w:t>
            </w:r>
          </w:p>
        </w:tc>
      </w:tr>
      <w:tr>
        <w:trPr>
          <w:trHeight w:val="272" w:hRule="exact"/>
        </w:trPr>
        <w:tc>
          <w:tcPr>
            <w:tcW w:w="4870" w:type="dxa"/>
          </w:tcPr>
          <w:p>
            <w:pPr/>
          </w:p>
        </w:tc>
        <w:tc>
          <w:tcPr>
            <w:tcW w:w="1265" w:type="dxa"/>
            <w:tcBorders>
              <w:bottom w:val="single" w:sz="0" w:space="0" w:color="000000"/>
            </w:tcBorders>
          </w:tcPr>
          <w:p>
            <w:pPr>
              <w:pStyle w:val="TableParagraph"/>
              <w:spacing w:before="24"/>
              <w:ind w:left="533"/>
              <w:rPr>
                <w:b/>
                <w:sz w:val="18"/>
              </w:rPr>
            </w:pPr>
            <w:r>
              <w:rPr>
                <w:b/>
                <w:w w:val="99"/>
                <w:sz w:val="18"/>
              </w:rPr>
              <w:t>$</w:t>
            </w:r>
          </w:p>
        </w:tc>
        <w:tc>
          <w:tcPr>
            <w:tcW w:w="1281" w:type="dxa"/>
            <w:tcBorders>
              <w:bottom w:val="single" w:sz="0" w:space="0" w:color="000000"/>
            </w:tcBorders>
          </w:tcPr>
          <w:p>
            <w:pPr>
              <w:pStyle w:val="TableParagraph"/>
              <w:spacing w:before="24"/>
              <w:ind w:right="192"/>
              <w:jc w:val="center"/>
              <w:rPr>
                <w:b/>
                <w:sz w:val="18"/>
              </w:rPr>
            </w:pPr>
            <w:r>
              <w:rPr>
                <w:b/>
                <w:w w:val="99"/>
                <w:sz w:val="18"/>
              </w:rPr>
              <w:t>$</w:t>
            </w:r>
          </w:p>
        </w:tc>
        <w:tc>
          <w:tcPr>
            <w:tcW w:w="1099" w:type="dxa"/>
            <w:tcBorders>
              <w:bottom w:val="single" w:sz="0" w:space="0" w:color="000000"/>
            </w:tcBorders>
          </w:tcPr>
          <w:p>
            <w:pPr>
              <w:pStyle w:val="TableParagraph"/>
              <w:spacing w:before="24"/>
              <w:ind w:right="150"/>
              <w:jc w:val="center"/>
              <w:rPr>
                <w:b/>
                <w:sz w:val="18"/>
              </w:rPr>
            </w:pPr>
            <w:r>
              <w:rPr>
                <w:b/>
                <w:w w:val="99"/>
                <w:sz w:val="18"/>
              </w:rPr>
              <w:t>$</w:t>
            </w:r>
          </w:p>
        </w:tc>
      </w:tr>
      <w:tr>
        <w:trPr>
          <w:trHeight w:val="421" w:hRule="exact"/>
        </w:trPr>
        <w:tc>
          <w:tcPr>
            <w:tcW w:w="4870" w:type="dxa"/>
          </w:tcPr>
          <w:p>
            <w:pPr>
              <w:pStyle w:val="TableParagraph"/>
              <w:spacing w:before="44"/>
              <w:ind w:left="62"/>
              <w:rPr>
                <w:b/>
                <w:sz w:val="18"/>
              </w:rPr>
            </w:pPr>
            <w:r>
              <w:rPr>
                <w:b/>
                <w:sz w:val="18"/>
              </w:rPr>
              <w:t>Balance at 1 January 2012</w:t>
            </w:r>
          </w:p>
        </w:tc>
        <w:tc>
          <w:tcPr>
            <w:tcW w:w="1265" w:type="dxa"/>
            <w:tcBorders>
              <w:top w:val="single" w:sz="0" w:space="0" w:color="000000"/>
            </w:tcBorders>
          </w:tcPr>
          <w:p>
            <w:pPr>
              <w:pStyle w:val="TableParagraph"/>
              <w:spacing w:before="48"/>
              <w:ind w:right="156"/>
              <w:jc w:val="right"/>
              <w:rPr>
                <w:b/>
                <w:sz w:val="18"/>
              </w:rPr>
            </w:pPr>
            <w:r>
              <w:rPr>
                <w:b/>
                <w:w w:val="99"/>
                <w:sz w:val="18"/>
              </w:rPr>
              <w:t>1</w:t>
            </w:r>
          </w:p>
        </w:tc>
        <w:tc>
          <w:tcPr>
            <w:tcW w:w="1281" w:type="dxa"/>
            <w:tcBorders>
              <w:top w:val="single" w:sz="0" w:space="0" w:color="000000"/>
            </w:tcBorders>
          </w:tcPr>
          <w:p>
            <w:pPr>
              <w:pStyle w:val="TableParagraph"/>
              <w:spacing w:before="48"/>
              <w:ind w:right="209"/>
              <w:jc w:val="right"/>
              <w:rPr>
                <w:b/>
                <w:sz w:val="18"/>
              </w:rPr>
            </w:pPr>
            <w:r>
              <w:rPr>
                <w:b/>
                <w:w w:val="95"/>
                <w:sz w:val="18"/>
              </w:rPr>
              <w:t>3,137,537</w:t>
            </w:r>
          </w:p>
        </w:tc>
        <w:tc>
          <w:tcPr>
            <w:tcW w:w="1099" w:type="dxa"/>
            <w:tcBorders>
              <w:top w:val="single" w:sz="0" w:space="0" w:color="000000"/>
            </w:tcBorders>
          </w:tcPr>
          <w:p>
            <w:pPr>
              <w:pStyle w:val="TableParagraph"/>
              <w:spacing w:before="48"/>
              <w:ind w:right="84"/>
              <w:jc w:val="right"/>
              <w:rPr>
                <w:b/>
                <w:sz w:val="18"/>
              </w:rPr>
            </w:pPr>
            <w:r>
              <w:rPr>
                <w:b/>
                <w:w w:val="95"/>
                <w:sz w:val="18"/>
              </w:rPr>
              <w:t>3,137,538</w:t>
            </w:r>
          </w:p>
        </w:tc>
      </w:tr>
      <w:tr>
        <w:trPr>
          <w:trHeight w:val="504" w:hRule="exact"/>
        </w:trPr>
        <w:tc>
          <w:tcPr>
            <w:tcW w:w="4870" w:type="dxa"/>
          </w:tcPr>
          <w:p>
            <w:pPr>
              <w:pStyle w:val="TableParagraph"/>
              <w:spacing w:before="146"/>
              <w:ind w:left="62"/>
              <w:rPr>
                <w:b/>
                <w:sz w:val="18"/>
              </w:rPr>
            </w:pPr>
            <w:r>
              <w:rPr>
                <w:b/>
                <w:sz w:val="18"/>
              </w:rPr>
              <w:t>Total comprehensive income for the year</w:t>
            </w:r>
          </w:p>
        </w:tc>
        <w:tc>
          <w:tcPr>
            <w:tcW w:w="1265" w:type="dxa"/>
          </w:tcPr>
          <w:p>
            <w:pPr/>
          </w:p>
        </w:tc>
        <w:tc>
          <w:tcPr>
            <w:tcW w:w="1281" w:type="dxa"/>
          </w:tcPr>
          <w:p>
            <w:pPr/>
          </w:p>
        </w:tc>
        <w:tc>
          <w:tcPr>
            <w:tcW w:w="1099" w:type="dxa"/>
          </w:tcPr>
          <w:p>
            <w:pPr/>
          </w:p>
        </w:tc>
      </w:tr>
      <w:tr>
        <w:trPr>
          <w:trHeight w:val="335" w:hRule="exact"/>
        </w:trPr>
        <w:tc>
          <w:tcPr>
            <w:tcW w:w="4870" w:type="dxa"/>
          </w:tcPr>
          <w:p>
            <w:pPr>
              <w:pStyle w:val="TableParagraph"/>
              <w:spacing w:before="132"/>
              <w:ind w:left="62"/>
              <w:rPr>
                <w:sz w:val="18"/>
              </w:rPr>
            </w:pPr>
            <w:r>
              <w:rPr>
                <w:sz w:val="18"/>
              </w:rPr>
              <w:t>Surplus / (deficit)</w:t>
            </w:r>
          </w:p>
        </w:tc>
        <w:tc>
          <w:tcPr>
            <w:tcW w:w="1265" w:type="dxa"/>
          </w:tcPr>
          <w:p>
            <w:pPr>
              <w:pStyle w:val="TableParagraph"/>
              <w:spacing w:before="132"/>
              <w:ind w:left="553"/>
              <w:rPr>
                <w:b/>
                <w:sz w:val="18"/>
              </w:rPr>
            </w:pPr>
            <w:r>
              <w:rPr>
                <w:b/>
                <w:w w:val="99"/>
                <w:sz w:val="18"/>
              </w:rPr>
              <w:t>-</w:t>
            </w:r>
          </w:p>
        </w:tc>
        <w:tc>
          <w:tcPr>
            <w:tcW w:w="1281" w:type="dxa"/>
          </w:tcPr>
          <w:p>
            <w:pPr>
              <w:pStyle w:val="TableParagraph"/>
              <w:spacing w:before="132"/>
              <w:ind w:right="209"/>
              <w:jc w:val="right"/>
              <w:rPr>
                <w:b/>
                <w:sz w:val="18"/>
              </w:rPr>
            </w:pPr>
            <w:r>
              <w:rPr>
                <w:b/>
                <w:w w:val="95"/>
                <w:sz w:val="18"/>
              </w:rPr>
              <w:t>1,127,067</w:t>
            </w:r>
          </w:p>
        </w:tc>
        <w:tc>
          <w:tcPr>
            <w:tcW w:w="1099" w:type="dxa"/>
          </w:tcPr>
          <w:p>
            <w:pPr>
              <w:pStyle w:val="TableParagraph"/>
              <w:spacing w:before="132"/>
              <w:ind w:right="84"/>
              <w:jc w:val="right"/>
              <w:rPr>
                <w:b/>
                <w:sz w:val="18"/>
              </w:rPr>
            </w:pPr>
            <w:r>
              <w:rPr>
                <w:b/>
                <w:w w:val="95"/>
                <w:sz w:val="18"/>
              </w:rPr>
              <w:t>1,127,067</w:t>
            </w:r>
          </w:p>
        </w:tc>
      </w:tr>
      <w:tr>
        <w:trPr>
          <w:trHeight w:val="305" w:hRule="exact"/>
        </w:trPr>
        <w:tc>
          <w:tcPr>
            <w:tcW w:w="4870" w:type="dxa"/>
          </w:tcPr>
          <w:p>
            <w:pPr>
              <w:pStyle w:val="TableParagraph"/>
              <w:spacing w:before="62"/>
              <w:ind w:left="62"/>
              <w:rPr>
                <w:sz w:val="18"/>
              </w:rPr>
            </w:pPr>
            <w:r>
              <w:rPr>
                <w:sz w:val="18"/>
              </w:rPr>
              <w:t>Total other comprehensive income</w:t>
            </w:r>
          </w:p>
        </w:tc>
        <w:tc>
          <w:tcPr>
            <w:tcW w:w="1265" w:type="dxa"/>
          </w:tcPr>
          <w:p>
            <w:pPr>
              <w:pStyle w:val="TableParagraph"/>
              <w:spacing w:before="61"/>
              <w:ind w:left="553"/>
              <w:rPr>
                <w:b/>
                <w:sz w:val="18"/>
              </w:rPr>
            </w:pPr>
            <w:r>
              <w:rPr>
                <w:b/>
                <w:w w:val="99"/>
                <w:sz w:val="18"/>
              </w:rPr>
              <w:t>-</w:t>
            </w:r>
          </w:p>
        </w:tc>
        <w:tc>
          <w:tcPr>
            <w:tcW w:w="1281" w:type="dxa"/>
          </w:tcPr>
          <w:p>
            <w:pPr>
              <w:pStyle w:val="TableParagraph"/>
              <w:spacing w:before="61"/>
              <w:ind w:right="194"/>
              <w:jc w:val="center"/>
              <w:rPr>
                <w:b/>
                <w:sz w:val="18"/>
              </w:rPr>
            </w:pPr>
            <w:r>
              <w:rPr>
                <w:b/>
                <w:w w:val="99"/>
                <w:sz w:val="18"/>
              </w:rPr>
              <w:t>-</w:t>
            </w:r>
          </w:p>
        </w:tc>
        <w:tc>
          <w:tcPr>
            <w:tcW w:w="1099" w:type="dxa"/>
          </w:tcPr>
          <w:p>
            <w:pPr>
              <w:pStyle w:val="TableParagraph"/>
              <w:spacing w:before="61"/>
              <w:ind w:right="152"/>
              <w:jc w:val="center"/>
              <w:rPr>
                <w:b/>
                <w:sz w:val="18"/>
              </w:rPr>
            </w:pPr>
            <w:r>
              <w:rPr>
                <w:b/>
                <w:w w:val="99"/>
                <w:sz w:val="18"/>
              </w:rPr>
              <w:t>-</w:t>
            </w:r>
          </w:p>
        </w:tc>
      </w:tr>
      <w:tr>
        <w:trPr>
          <w:trHeight w:val="338" w:hRule="exact"/>
        </w:trPr>
        <w:tc>
          <w:tcPr>
            <w:tcW w:w="4870" w:type="dxa"/>
          </w:tcPr>
          <w:p>
            <w:pPr>
              <w:pStyle w:val="TableParagraph"/>
              <w:spacing w:before="123"/>
              <w:ind w:left="62"/>
              <w:rPr>
                <w:b/>
                <w:sz w:val="18"/>
              </w:rPr>
            </w:pPr>
            <w:r>
              <w:rPr>
                <w:b/>
                <w:sz w:val="18"/>
              </w:rPr>
              <w:t>Total comprehensive income for the year</w:t>
            </w:r>
          </w:p>
        </w:tc>
        <w:tc>
          <w:tcPr>
            <w:tcW w:w="1265" w:type="dxa"/>
            <w:tcBorders>
              <w:top w:val="single" w:sz="0" w:space="0" w:color="000000"/>
              <w:bottom w:val="single" w:sz="0" w:space="0" w:color="000000"/>
            </w:tcBorders>
          </w:tcPr>
          <w:p>
            <w:pPr>
              <w:pStyle w:val="TableParagraph"/>
              <w:spacing w:before="122"/>
              <w:ind w:left="553"/>
              <w:rPr>
                <w:b/>
                <w:sz w:val="18"/>
              </w:rPr>
            </w:pPr>
            <w:r>
              <w:rPr>
                <w:b/>
                <w:w w:val="99"/>
                <w:sz w:val="18"/>
              </w:rPr>
              <w:t>-</w:t>
            </w:r>
          </w:p>
        </w:tc>
        <w:tc>
          <w:tcPr>
            <w:tcW w:w="1281" w:type="dxa"/>
            <w:tcBorders>
              <w:top w:val="single" w:sz="0" w:space="0" w:color="000000"/>
              <w:bottom w:val="single" w:sz="0" w:space="0" w:color="000000"/>
            </w:tcBorders>
          </w:tcPr>
          <w:p>
            <w:pPr>
              <w:pStyle w:val="TableParagraph"/>
              <w:spacing w:before="122"/>
              <w:ind w:right="209"/>
              <w:jc w:val="right"/>
              <w:rPr>
                <w:b/>
                <w:sz w:val="18"/>
              </w:rPr>
            </w:pPr>
            <w:r>
              <w:rPr>
                <w:b/>
                <w:w w:val="95"/>
                <w:sz w:val="18"/>
              </w:rPr>
              <w:t>1,127,067</w:t>
            </w:r>
          </w:p>
        </w:tc>
        <w:tc>
          <w:tcPr>
            <w:tcW w:w="1099" w:type="dxa"/>
            <w:tcBorders>
              <w:top w:val="single" w:sz="0" w:space="0" w:color="000000"/>
              <w:bottom w:val="single" w:sz="0" w:space="0" w:color="000000"/>
            </w:tcBorders>
          </w:tcPr>
          <w:p>
            <w:pPr>
              <w:pStyle w:val="TableParagraph"/>
              <w:spacing w:before="122"/>
              <w:ind w:right="84"/>
              <w:jc w:val="right"/>
              <w:rPr>
                <w:b/>
                <w:sz w:val="18"/>
              </w:rPr>
            </w:pPr>
            <w:r>
              <w:rPr>
                <w:b/>
                <w:w w:val="95"/>
                <w:sz w:val="18"/>
              </w:rPr>
              <w:t>1,127,067</w:t>
            </w:r>
          </w:p>
        </w:tc>
      </w:tr>
      <w:tr>
        <w:trPr>
          <w:trHeight w:val="353" w:hRule="exact"/>
        </w:trPr>
        <w:tc>
          <w:tcPr>
            <w:tcW w:w="4870" w:type="dxa"/>
          </w:tcPr>
          <w:p>
            <w:pPr>
              <w:pStyle w:val="TableParagraph"/>
              <w:spacing w:before="123"/>
              <w:ind w:left="62"/>
              <w:rPr>
                <w:b/>
                <w:sz w:val="18"/>
              </w:rPr>
            </w:pPr>
            <w:r>
              <w:rPr>
                <w:b/>
                <w:sz w:val="18"/>
              </w:rPr>
              <w:t>Balance at 31 December 2012</w:t>
            </w:r>
          </w:p>
        </w:tc>
        <w:tc>
          <w:tcPr>
            <w:tcW w:w="1265" w:type="dxa"/>
            <w:tcBorders>
              <w:top w:val="single" w:sz="0" w:space="0" w:color="000000"/>
              <w:bottom w:val="single" w:sz="0" w:space="0" w:color="000000"/>
            </w:tcBorders>
          </w:tcPr>
          <w:p>
            <w:pPr>
              <w:pStyle w:val="TableParagraph"/>
              <w:spacing w:before="122"/>
              <w:ind w:right="156"/>
              <w:jc w:val="right"/>
              <w:rPr>
                <w:b/>
                <w:sz w:val="18"/>
              </w:rPr>
            </w:pPr>
            <w:r>
              <w:rPr>
                <w:b/>
                <w:w w:val="99"/>
                <w:sz w:val="18"/>
              </w:rPr>
              <w:t>1</w:t>
            </w:r>
          </w:p>
        </w:tc>
        <w:tc>
          <w:tcPr>
            <w:tcW w:w="1281" w:type="dxa"/>
            <w:tcBorders>
              <w:top w:val="single" w:sz="0" w:space="0" w:color="000000"/>
              <w:bottom w:val="single" w:sz="0" w:space="0" w:color="000000"/>
            </w:tcBorders>
          </w:tcPr>
          <w:p>
            <w:pPr>
              <w:pStyle w:val="TableParagraph"/>
              <w:spacing w:before="122"/>
              <w:ind w:right="209"/>
              <w:jc w:val="right"/>
              <w:rPr>
                <w:b/>
                <w:sz w:val="18"/>
              </w:rPr>
            </w:pPr>
            <w:r>
              <w:rPr>
                <w:b/>
                <w:w w:val="95"/>
                <w:sz w:val="18"/>
              </w:rPr>
              <w:t>4,264,604</w:t>
            </w:r>
          </w:p>
        </w:tc>
        <w:tc>
          <w:tcPr>
            <w:tcW w:w="1099" w:type="dxa"/>
            <w:tcBorders>
              <w:top w:val="single" w:sz="0" w:space="0" w:color="000000"/>
              <w:bottom w:val="single" w:sz="0" w:space="0" w:color="000000"/>
            </w:tcBorders>
          </w:tcPr>
          <w:p>
            <w:pPr>
              <w:pStyle w:val="TableParagraph"/>
              <w:spacing w:before="122"/>
              <w:ind w:right="84"/>
              <w:jc w:val="right"/>
              <w:rPr>
                <w:b/>
                <w:sz w:val="18"/>
              </w:rPr>
            </w:pPr>
            <w:r>
              <w:rPr>
                <w:b/>
                <w:w w:val="95"/>
                <w:sz w:val="18"/>
              </w:rPr>
              <w:t>4,264,605</w:t>
            </w:r>
          </w:p>
        </w:tc>
      </w:tr>
      <w:tr>
        <w:trPr>
          <w:trHeight w:val="604" w:hRule="exact"/>
        </w:trPr>
        <w:tc>
          <w:tcPr>
            <w:tcW w:w="4870" w:type="dxa"/>
          </w:tcPr>
          <w:p>
            <w:pPr>
              <w:pStyle w:val="TableParagraph"/>
              <w:rPr>
                <w:sz w:val="18"/>
              </w:rPr>
            </w:pPr>
          </w:p>
          <w:p>
            <w:pPr>
              <w:pStyle w:val="TableParagraph"/>
              <w:spacing w:before="147"/>
              <w:ind w:left="62"/>
              <w:rPr>
                <w:b/>
                <w:sz w:val="18"/>
              </w:rPr>
            </w:pPr>
            <w:r>
              <w:rPr>
                <w:b/>
                <w:sz w:val="18"/>
              </w:rPr>
              <w:t>2011</w:t>
            </w:r>
          </w:p>
        </w:tc>
        <w:tc>
          <w:tcPr>
            <w:tcW w:w="1265" w:type="dxa"/>
            <w:tcBorders>
              <w:top w:val="single" w:sz="0" w:space="0" w:color="000000"/>
            </w:tcBorders>
          </w:tcPr>
          <w:p>
            <w:pPr/>
          </w:p>
        </w:tc>
        <w:tc>
          <w:tcPr>
            <w:tcW w:w="1281" w:type="dxa"/>
            <w:tcBorders>
              <w:top w:val="single" w:sz="0" w:space="0" w:color="000000"/>
            </w:tcBorders>
          </w:tcPr>
          <w:p>
            <w:pPr/>
          </w:p>
        </w:tc>
        <w:tc>
          <w:tcPr>
            <w:tcW w:w="1099" w:type="dxa"/>
            <w:tcBorders>
              <w:top w:val="single" w:sz="0" w:space="0" w:color="000000"/>
            </w:tcBorders>
          </w:tcPr>
          <w:p>
            <w:pPr/>
          </w:p>
        </w:tc>
      </w:tr>
      <w:tr>
        <w:trPr>
          <w:trHeight w:val="480" w:hRule="exact"/>
        </w:trPr>
        <w:tc>
          <w:tcPr>
            <w:tcW w:w="4870" w:type="dxa"/>
          </w:tcPr>
          <w:p>
            <w:pPr/>
          </w:p>
        </w:tc>
        <w:tc>
          <w:tcPr>
            <w:tcW w:w="1265" w:type="dxa"/>
          </w:tcPr>
          <w:p>
            <w:pPr>
              <w:pStyle w:val="TableParagraph"/>
              <w:spacing w:before="24"/>
              <w:ind w:left="283" w:right="361" w:firstLine="15"/>
              <w:rPr>
                <w:b/>
                <w:sz w:val="18"/>
              </w:rPr>
            </w:pPr>
            <w:r>
              <w:rPr>
                <w:b/>
                <w:sz w:val="18"/>
              </w:rPr>
              <w:t>Issued Capital</w:t>
            </w:r>
          </w:p>
        </w:tc>
        <w:tc>
          <w:tcPr>
            <w:tcW w:w="1281" w:type="dxa"/>
          </w:tcPr>
          <w:p>
            <w:pPr>
              <w:pStyle w:val="TableParagraph"/>
              <w:spacing w:before="24"/>
              <w:ind w:left="156" w:right="334" w:firstLine="5"/>
              <w:rPr>
                <w:b/>
                <w:sz w:val="18"/>
              </w:rPr>
            </w:pPr>
            <w:r>
              <w:rPr>
                <w:b/>
                <w:sz w:val="18"/>
              </w:rPr>
              <w:t>Retained Earnings</w:t>
            </w:r>
          </w:p>
        </w:tc>
        <w:tc>
          <w:tcPr>
            <w:tcW w:w="1099" w:type="dxa"/>
          </w:tcPr>
          <w:p>
            <w:pPr>
              <w:pStyle w:val="TableParagraph"/>
              <w:rPr>
                <w:sz w:val="20"/>
              </w:rPr>
            </w:pPr>
          </w:p>
          <w:p>
            <w:pPr>
              <w:pStyle w:val="TableParagraph"/>
              <w:ind w:left="257"/>
              <w:rPr>
                <w:b/>
                <w:sz w:val="18"/>
              </w:rPr>
            </w:pPr>
            <w:r>
              <w:rPr>
                <w:b/>
                <w:sz w:val="18"/>
              </w:rPr>
              <w:t>Total</w:t>
            </w:r>
          </w:p>
        </w:tc>
      </w:tr>
      <w:tr>
        <w:trPr>
          <w:trHeight w:val="272" w:hRule="exact"/>
        </w:trPr>
        <w:tc>
          <w:tcPr>
            <w:tcW w:w="4870" w:type="dxa"/>
          </w:tcPr>
          <w:p>
            <w:pPr/>
          </w:p>
        </w:tc>
        <w:tc>
          <w:tcPr>
            <w:tcW w:w="1265" w:type="dxa"/>
            <w:tcBorders>
              <w:bottom w:val="single" w:sz="0" w:space="0" w:color="000000"/>
            </w:tcBorders>
          </w:tcPr>
          <w:p>
            <w:pPr>
              <w:pStyle w:val="TableParagraph"/>
              <w:spacing w:before="24"/>
              <w:ind w:left="533"/>
              <w:rPr>
                <w:b/>
                <w:sz w:val="18"/>
              </w:rPr>
            </w:pPr>
            <w:r>
              <w:rPr>
                <w:b/>
                <w:w w:val="99"/>
                <w:sz w:val="18"/>
              </w:rPr>
              <w:t>$</w:t>
            </w:r>
          </w:p>
        </w:tc>
        <w:tc>
          <w:tcPr>
            <w:tcW w:w="1281" w:type="dxa"/>
            <w:tcBorders>
              <w:bottom w:val="single" w:sz="0" w:space="0" w:color="000000"/>
            </w:tcBorders>
          </w:tcPr>
          <w:p>
            <w:pPr>
              <w:pStyle w:val="TableParagraph"/>
              <w:spacing w:before="24"/>
              <w:ind w:right="192"/>
              <w:jc w:val="center"/>
              <w:rPr>
                <w:b/>
                <w:sz w:val="18"/>
              </w:rPr>
            </w:pPr>
            <w:r>
              <w:rPr>
                <w:b/>
                <w:w w:val="99"/>
                <w:sz w:val="18"/>
              </w:rPr>
              <w:t>$</w:t>
            </w:r>
          </w:p>
        </w:tc>
        <w:tc>
          <w:tcPr>
            <w:tcW w:w="1099" w:type="dxa"/>
            <w:tcBorders>
              <w:bottom w:val="single" w:sz="0" w:space="0" w:color="000000"/>
            </w:tcBorders>
          </w:tcPr>
          <w:p>
            <w:pPr>
              <w:pStyle w:val="TableParagraph"/>
              <w:spacing w:before="24"/>
              <w:ind w:right="150"/>
              <w:jc w:val="center"/>
              <w:rPr>
                <w:b/>
                <w:sz w:val="18"/>
              </w:rPr>
            </w:pPr>
            <w:r>
              <w:rPr>
                <w:b/>
                <w:w w:val="99"/>
                <w:sz w:val="18"/>
              </w:rPr>
              <w:t>$</w:t>
            </w:r>
          </w:p>
        </w:tc>
      </w:tr>
      <w:tr>
        <w:trPr>
          <w:trHeight w:val="421" w:hRule="exact"/>
        </w:trPr>
        <w:tc>
          <w:tcPr>
            <w:tcW w:w="4870" w:type="dxa"/>
          </w:tcPr>
          <w:p>
            <w:pPr>
              <w:pStyle w:val="TableParagraph"/>
              <w:spacing w:before="44"/>
              <w:ind w:left="62"/>
              <w:rPr>
                <w:b/>
                <w:sz w:val="18"/>
              </w:rPr>
            </w:pPr>
            <w:r>
              <w:rPr>
                <w:b/>
                <w:sz w:val="18"/>
              </w:rPr>
              <w:t>Balance at 1 January 2011</w:t>
            </w:r>
          </w:p>
        </w:tc>
        <w:tc>
          <w:tcPr>
            <w:tcW w:w="1265" w:type="dxa"/>
            <w:tcBorders>
              <w:top w:val="single" w:sz="0" w:space="0" w:color="000000"/>
            </w:tcBorders>
          </w:tcPr>
          <w:p>
            <w:pPr>
              <w:pStyle w:val="TableParagraph"/>
              <w:spacing w:before="48"/>
              <w:ind w:right="156"/>
              <w:jc w:val="right"/>
              <w:rPr>
                <w:sz w:val="18"/>
              </w:rPr>
            </w:pPr>
            <w:r>
              <w:rPr>
                <w:w w:val="99"/>
                <w:sz w:val="18"/>
              </w:rPr>
              <w:t>1</w:t>
            </w:r>
          </w:p>
        </w:tc>
        <w:tc>
          <w:tcPr>
            <w:tcW w:w="1281" w:type="dxa"/>
            <w:tcBorders>
              <w:top w:val="single" w:sz="0" w:space="0" w:color="000000"/>
            </w:tcBorders>
          </w:tcPr>
          <w:p>
            <w:pPr>
              <w:pStyle w:val="TableParagraph"/>
              <w:spacing w:before="48"/>
              <w:ind w:right="209"/>
              <w:jc w:val="right"/>
              <w:rPr>
                <w:sz w:val="18"/>
              </w:rPr>
            </w:pPr>
            <w:r>
              <w:rPr>
                <w:w w:val="95"/>
                <w:sz w:val="18"/>
              </w:rPr>
              <w:t>6,862,415</w:t>
            </w:r>
          </w:p>
        </w:tc>
        <w:tc>
          <w:tcPr>
            <w:tcW w:w="1099" w:type="dxa"/>
            <w:tcBorders>
              <w:top w:val="single" w:sz="0" w:space="0" w:color="000000"/>
            </w:tcBorders>
          </w:tcPr>
          <w:p>
            <w:pPr>
              <w:pStyle w:val="TableParagraph"/>
              <w:spacing w:before="48"/>
              <w:ind w:right="84"/>
              <w:jc w:val="right"/>
              <w:rPr>
                <w:sz w:val="18"/>
              </w:rPr>
            </w:pPr>
            <w:r>
              <w:rPr>
                <w:w w:val="95"/>
                <w:sz w:val="18"/>
              </w:rPr>
              <w:t>6,862,416</w:t>
            </w:r>
          </w:p>
        </w:tc>
      </w:tr>
      <w:tr>
        <w:trPr>
          <w:trHeight w:val="504" w:hRule="exact"/>
        </w:trPr>
        <w:tc>
          <w:tcPr>
            <w:tcW w:w="4870" w:type="dxa"/>
          </w:tcPr>
          <w:p>
            <w:pPr>
              <w:pStyle w:val="TableParagraph"/>
              <w:spacing w:before="146"/>
              <w:ind w:left="62"/>
              <w:rPr>
                <w:b/>
                <w:sz w:val="18"/>
              </w:rPr>
            </w:pPr>
            <w:r>
              <w:rPr>
                <w:b/>
                <w:sz w:val="18"/>
              </w:rPr>
              <w:t>Total comprehensive income for the year</w:t>
            </w:r>
          </w:p>
        </w:tc>
        <w:tc>
          <w:tcPr>
            <w:tcW w:w="1265" w:type="dxa"/>
          </w:tcPr>
          <w:p>
            <w:pPr/>
          </w:p>
        </w:tc>
        <w:tc>
          <w:tcPr>
            <w:tcW w:w="1281" w:type="dxa"/>
          </w:tcPr>
          <w:p>
            <w:pPr/>
          </w:p>
        </w:tc>
        <w:tc>
          <w:tcPr>
            <w:tcW w:w="1099" w:type="dxa"/>
          </w:tcPr>
          <w:p>
            <w:pPr/>
          </w:p>
        </w:tc>
      </w:tr>
      <w:tr>
        <w:trPr>
          <w:trHeight w:val="336" w:hRule="exact"/>
        </w:trPr>
        <w:tc>
          <w:tcPr>
            <w:tcW w:w="4870" w:type="dxa"/>
          </w:tcPr>
          <w:p>
            <w:pPr>
              <w:pStyle w:val="TableParagraph"/>
              <w:spacing w:before="133"/>
              <w:ind w:left="62"/>
              <w:rPr>
                <w:sz w:val="18"/>
              </w:rPr>
            </w:pPr>
            <w:r>
              <w:rPr>
                <w:sz w:val="18"/>
              </w:rPr>
              <w:t>Surplus / (deficit)</w:t>
            </w:r>
          </w:p>
        </w:tc>
        <w:tc>
          <w:tcPr>
            <w:tcW w:w="1265" w:type="dxa"/>
          </w:tcPr>
          <w:p>
            <w:pPr>
              <w:pStyle w:val="TableParagraph"/>
              <w:spacing w:before="131"/>
              <w:ind w:left="553"/>
              <w:rPr>
                <w:sz w:val="18"/>
              </w:rPr>
            </w:pPr>
            <w:r>
              <w:rPr>
                <w:w w:val="99"/>
                <w:sz w:val="18"/>
              </w:rPr>
              <w:t>-</w:t>
            </w:r>
          </w:p>
        </w:tc>
        <w:tc>
          <w:tcPr>
            <w:tcW w:w="1281" w:type="dxa"/>
          </w:tcPr>
          <w:p>
            <w:pPr>
              <w:pStyle w:val="TableParagraph"/>
              <w:spacing w:before="131"/>
              <w:ind w:right="149"/>
              <w:jc w:val="right"/>
              <w:rPr>
                <w:sz w:val="18"/>
              </w:rPr>
            </w:pPr>
            <w:r>
              <w:rPr>
                <w:w w:val="95"/>
                <w:sz w:val="18"/>
              </w:rPr>
              <w:t>(3,724,878)</w:t>
            </w:r>
          </w:p>
        </w:tc>
        <w:tc>
          <w:tcPr>
            <w:tcW w:w="1099" w:type="dxa"/>
          </w:tcPr>
          <w:p>
            <w:pPr>
              <w:pStyle w:val="TableParagraph"/>
              <w:spacing w:before="131"/>
              <w:ind w:right="24"/>
              <w:jc w:val="right"/>
              <w:rPr>
                <w:sz w:val="18"/>
              </w:rPr>
            </w:pPr>
            <w:r>
              <w:rPr>
                <w:w w:val="95"/>
                <w:sz w:val="18"/>
              </w:rPr>
              <w:t>(3,724,878)</w:t>
            </w:r>
          </w:p>
        </w:tc>
      </w:tr>
      <w:tr>
        <w:trPr>
          <w:trHeight w:val="304" w:hRule="exact"/>
        </w:trPr>
        <w:tc>
          <w:tcPr>
            <w:tcW w:w="4870" w:type="dxa"/>
          </w:tcPr>
          <w:p>
            <w:pPr>
              <w:pStyle w:val="TableParagraph"/>
              <w:spacing w:before="61"/>
              <w:ind w:left="62"/>
              <w:rPr>
                <w:sz w:val="18"/>
              </w:rPr>
            </w:pPr>
            <w:r>
              <w:rPr>
                <w:sz w:val="18"/>
              </w:rPr>
              <w:t>Total other comprehensive income</w:t>
            </w:r>
          </w:p>
        </w:tc>
        <w:tc>
          <w:tcPr>
            <w:tcW w:w="1265" w:type="dxa"/>
          </w:tcPr>
          <w:p>
            <w:pPr>
              <w:pStyle w:val="TableParagraph"/>
              <w:spacing w:before="59"/>
              <w:ind w:left="553"/>
              <w:rPr>
                <w:sz w:val="18"/>
              </w:rPr>
            </w:pPr>
            <w:r>
              <w:rPr>
                <w:w w:val="99"/>
                <w:sz w:val="18"/>
              </w:rPr>
              <w:t>-</w:t>
            </w:r>
          </w:p>
        </w:tc>
        <w:tc>
          <w:tcPr>
            <w:tcW w:w="1281" w:type="dxa"/>
          </w:tcPr>
          <w:p>
            <w:pPr>
              <w:pStyle w:val="TableParagraph"/>
              <w:spacing w:before="59"/>
              <w:ind w:right="194"/>
              <w:jc w:val="center"/>
              <w:rPr>
                <w:sz w:val="18"/>
              </w:rPr>
            </w:pPr>
            <w:r>
              <w:rPr>
                <w:w w:val="99"/>
                <w:sz w:val="18"/>
              </w:rPr>
              <w:t>-</w:t>
            </w:r>
          </w:p>
        </w:tc>
        <w:tc>
          <w:tcPr>
            <w:tcW w:w="1099" w:type="dxa"/>
          </w:tcPr>
          <w:p>
            <w:pPr>
              <w:pStyle w:val="TableParagraph"/>
              <w:spacing w:before="59"/>
              <w:ind w:right="152"/>
              <w:jc w:val="center"/>
              <w:rPr>
                <w:sz w:val="18"/>
              </w:rPr>
            </w:pPr>
            <w:r>
              <w:rPr>
                <w:w w:val="99"/>
                <w:sz w:val="18"/>
              </w:rPr>
              <w:t>-</w:t>
            </w:r>
          </w:p>
        </w:tc>
      </w:tr>
      <w:tr>
        <w:trPr>
          <w:trHeight w:val="338" w:hRule="exact"/>
        </w:trPr>
        <w:tc>
          <w:tcPr>
            <w:tcW w:w="4870" w:type="dxa"/>
          </w:tcPr>
          <w:p>
            <w:pPr>
              <w:pStyle w:val="TableParagraph"/>
              <w:spacing w:before="123"/>
              <w:ind w:left="62"/>
              <w:rPr>
                <w:b/>
                <w:sz w:val="18"/>
              </w:rPr>
            </w:pPr>
            <w:r>
              <w:rPr>
                <w:b/>
                <w:sz w:val="18"/>
              </w:rPr>
              <w:t>Total comprehensive income for the year</w:t>
            </w:r>
          </w:p>
        </w:tc>
        <w:tc>
          <w:tcPr>
            <w:tcW w:w="1265" w:type="dxa"/>
            <w:tcBorders>
              <w:top w:val="single" w:sz="0" w:space="0" w:color="000000"/>
              <w:bottom w:val="single" w:sz="0" w:space="0" w:color="000000"/>
            </w:tcBorders>
          </w:tcPr>
          <w:p>
            <w:pPr>
              <w:pStyle w:val="TableParagraph"/>
              <w:spacing w:before="122"/>
              <w:ind w:left="553"/>
              <w:rPr>
                <w:sz w:val="18"/>
              </w:rPr>
            </w:pPr>
            <w:r>
              <w:rPr>
                <w:w w:val="99"/>
                <w:sz w:val="18"/>
              </w:rPr>
              <w:t>-</w:t>
            </w:r>
          </w:p>
        </w:tc>
        <w:tc>
          <w:tcPr>
            <w:tcW w:w="1281" w:type="dxa"/>
            <w:tcBorders>
              <w:top w:val="single" w:sz="0" w:space="0" w:color="000000"/>
              <w:bottom w:val="single" w:sz="0" w:space="0" w:color="000000"/>
            </w:tcBorders>
          </w:tcPr>
          <w:p>
            <w:pPr>
              <w:pStyle w:val="TableParagraph"/>
              <w:spacing w:before="122"/>
              <w:ind w:right="149"/>
              <w:jc w:val="right"/>
              <w:rPr>
                <w:sz w:val="18"/>
              </w:rPr>
            </w:pPr>
            <w:r>
              <w:rPr>
                <w:w w:val="95"/>
                <w:sz w:val="18"/>
              </w:rPr>
              <w:t>(3,724,878)</w:t>
            </w:r>
          </w:p>
        </w:tc>
        <w:tc>
          <w:tcPr>
            <w:tcW w:w="1099" w:type="dxa"/>
            <w:tcBorders>
              <w:top w:val="single" w:sz="0" w:space="0" w:color="000000"/>
              <w:bottom w:val="single" w:sz="0" w:space="0" w:color="000000"/>
            </w:tcBorders>
          </w:tcPr>
          <w:p>
            <w:pPr>
              <w:pStyle w:val="TableParagraph"/>
              <w:spacing w:before="122"/>
              <w:ind w:right="24"/>
              <w:jc w:val="right"/>
              <w:rPr>
                <w:sz w:val="18"/>
              </w:rPr>
            </w:pPr>
            <w:r>
              <w:rPr>
                <w:w w:val="95"/>
                <w:sz w:val="18"/>
              </w:rPr>
              <w:t>(3,724,878)</w:t>
            </w:r>
          </w:p>
        </w:tc>
      </w:tr>
      <w:tr>
        <w:trPr>
          <w:trHeight w:val="353" w:hRule="exact"/>
        </w:trPr>
        <w:tc>
          <w:tcPr>
            <w:tcW w:w="4870" w:type="dxa"/>
          </w:tcPr>
          <w:p>
            <w:pPr>
              <w:pStyle w:val="TableParagraph"/>
              <w:spacing w:before="123"/>
              <w:ind w:left="62"/>
              <w:rPr>
                <w:b/>
                <w:sz w:val="18"/>
              </w:rPr>
            </w:pPr>
            <w:r>
              <w:rPr>
                <w:b/>
                <w:sz w:val="18"/>
              </w:rPr>
              <w:t>Balance at 31 December 2011</w:t>
            </w:r>
          </w:p>
        </w:tc>
        <w:tc>
          <w:tcPr>
            <w:tcW w:w="1265" w:type="dxa"/>
            <w:tcBorders>
              <w:top w:val="single" w:sz="0" w:space="0" w:color="000000"/>
              <w:bottom w:val="single" w:sz="0" w:space="0" w:color="000000"/>
            </w:tcBorders>
          </w:tcPr>
          <w:p>
            <w:pPr>
              <w:pStyle w:val="TableParagraph"/>
              <w:spacing w:before="122"/>
              <w:ind w:right="156"/>
              <w:jc w:val="right"/>
              <w:rPr>
                <w:sz w:val="18"/>
              </w:rPr>
            </w:pPr>
            <w:r>
              <w:rPr>
                <w:w w:val="99"/>
                <w:sz w:val="18"/>
              </w:rPr>
              <w:t>1</w:t>
            </w:r>
          </w:p>
        </w:tc>
        <w:tc>
          <w:tcPr>
            <w:tcW w:w="1281" w:type="dxa"/>
            <w:tcBorders>
              <w:top w:val="single" w:sz="0" w:space="0" w:color="000000"/>
              <w:bottom w:val="single" w:sz="0" w:space="0" w:color="000000"/>
            </w:tcBorders>
          </w:tcPr>
          <w:p>
            <w:pPr>
              <w:pStyle w:val="TableParagraph"/>
              <w:spacing w:before="122"/>
              <w:ind w:right="209"/>
              <w:jc w:val="right"/>
              <w:rPr>
                <w:sz w:val="18"/>
              </w:rPr>
            </w:pPr>
            <w:r>
              <w:rPr>
                <w:w w:val="95"/>
                <w:sz w:val="18"/>
              </w:rPr>
              <w:t>3,137,537</w:t>
            </w:r>
          </w:p>
        </w:tc>
        <w:tc>
          <w:tcPr>
            <w:tcW w:w="1099" w:type="dxa"/>
            <w:tcBorders>
              <w:top w:val="single" w:sz="0" w:space="0" w:color="000000"/>
              <w:bottom w:val="single" w:sz="0" w:space="0" w:color="000000"/>
            </w:tcBorders>
          </w:tcPr>
          <w:p>
            <w:pPr>
              <w:pStyle w:val="TableParagraph"/>
              <w:spacing w:before="122"/>
              <w:ind w:right="84"/>
              <w:jc w:val="right"/>
              <w:rPr>
                <w:sz w:val="18"/>
              </w:rPr>
            </w:pPr>
            <w:r>
              <w:rPr>
                <w:w w:val="95"/>
                <w:sz w:val="18"/>
              </w:rPr>
              <w:t>3,137,538</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BodyText"/>
        <w:spacing w:before="77"/>
        <w:ind w:left="2531"/>
      </w:pPr>
      <w:r>
        <w:rPr/>
        <w:t>The accompanying notes form part of these financial statements.</w:t>
      </w:r>
    </w:p>
    <w:p>
      <w:pPr>
        <w:spacing w:after="0"/>
        <w:sectPr>
          <w:pgSz w:w="11910" w:h="16840"/>
          <w:pgMar w:header="1038" w:footer="507" w:top="1460" w:bottom="700" w:left="860" w:right="168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46"/>
        <w:gridCol w:w="1912"/>
        <w:gridCol w:w="1410"/>
        <w:gridCol w:w="1185"/>
      </w:tblGrid>
      <w:tr>
        <w:trPr>
          <w:trHeight w:val="911" w:hRule="exact"/>
        </w:trPr>
        <w:tc>
          <w:tcPr>
            <w:tcW w:w="5446" w:type="dxa"/>
          </w:tcPr>
          <w:p>
            <w:pPr>
              <w:pStyle w:val="TableParagraph"/>
              <w:spacing w:before="64"/>
              <w:ind w:left="35"/>
              <w:rPr>
                <w:b/>
                <w:sz w:val="28"/>
              </w:rPr>
            </w:pPr>
            <w:r>
              <w:rPr>
                <w:b/>
                <w:sz w:val="28"/>
              </w:rPr>
              <w:t>Statement of Cash Flows</w:t>
            </w:r>
          </w:p>
          <w:p>
            <w:pPr>
              <w:pStyle w:val="TableParagraph"/>
              <w:spacing w:before="57"/>
              <w:ind w:left="35"/>
              <w:rPr>
                <w:b/>
                <w:sz w:val="22"/>
              </w:rPr>
            </w:pPr>
            <w:r>
              <w:rPr>
                <w:b/>
                <w:sz w:val="22"/>
              </w:rPr>
              <w:t>For the Year Ended 31 December 2012</w:t>
            </w:r>
          </w:p>
        </w:tc>
        <w:tc>
          <w:tcPr>
            <w:tcW w:w="4506" w:type="dxa"/>
            <w:gridSpan w:val="3"/>
          </w:tcPr>
          <w:p>
            <w:pPr/>
          </w:p>
        </w:tc>
      </w:tr>
      <w:tr>
        <w:trPr>
          <w:trHeight w:val="447" w:hRule="exact"/>
        </w:trPr>
        <w:tc>
          <w:tcPr>
            <w:tcW w:w="5446" w:type="dxa"/>
          </w:tcPr>
          <w:p>
            <w:pPr/>
          </w:p>
        </w:tc>
        <w:tc>
          <w:tcPr>
            <w:tcW w:w="1912" w:type="dxa"/>
          </w:tcPr>
          <w:p>
            <w:pPr/>
          </w:p>
        </w:tc>
        <w:tc>
          <w:tcPr>
            <w:tcW w:w="1410" w:type="dxa"/>
          </w:tcPr>
          <w:p>
            <w:pPr>
              <w:pStyle w:val="TableParagraph"/>
              <w:spacing w:before="1"/>
              <w:rPr>
                <w:sz w:val="17"/>
              </w:rPr>
            </w:pPr>
          </w:p>
          <w:p>
            <w:pPr>
              <w:pStyle w:val="TableParagraph"/>
              <w:ind w:left="448"/>
              <w:rPr>
                <w:b/>
                <w:sz w:val="18"/>
              </w:rPr>
            </w:pPr>
            <w:r>
              <w:rPr>
                <w:b/>
                <w:sz w:val="18"/>
              </w:rPr>
              <w:t>2012</w:t>
            </w:r>
          </w:p>
        </w:tc>
        <w:tc>
          <w:tcPr>
            <w:tcW w:w="1185" w:type="dxa"/>
          </w:tcPr>
          <w:p>
            <w:pPr>
              <w:pStyle w:val="TableParagraph"/>
              <w:spacing w:before="1"/>
              <w:rPr>
                <w:sz w:val="17"/>
              </w:rPr>
            </w:pPr>
          </w:p>
          <w:p>
            <w:pPr>
              <w:pStyle w:val="TableParagraph"/>
              <w:ind w:left="336"/>
              <w:rPr>
                <w:b/>
                <w:sz w:val="18"/>
              </w:rPr>
            </w:pPr>
            <w:r>
              <w:rPr>
                <w:b/>
                <w:sz w:val="18"/>
              </w:rPr>
              <w:t>2011</w:t>
            </w:r>
          </w:p>
        </w:tc>
      </w:tr>
      <w:tr>
        <w:trPr>
          <w:trHeight w:val="313" w:hRule="exact"/>
        </w:trPr>
        <w:tc>
          <w:tcPr>
            <w:tcW w:w="5446" w:type="dxa"/>
          </w:tcPr>
          <w:p>
            <w:pPr/>
          </w:p>
        </w:tc>
        <w:tc>
          <w:tcPr>
            <w:tcW w:w="1912" w:type="dxa"/>
          </w:tcPr>
          <w:p>
            <w:pPr>
              <w:pStyle w:val="TableParagraph"/>
              <w:spacing w:before="24"/>
              <w:ind w:left="1352" w:right="18"/>
              <w:jc w:val="center"/>
              <w:rPr>
                <w:b/>
                <w:sz w:val="18"/>
              </w:rPr>
            </w:pPr>
            <w:r>
              <w:rPr>
                <w:b/>
                <w:sz w:val="18"/>
              </w:rPr>
              <w:t>Notes</w:t>
            </w:r>
          </w:p>
        </w:tc>
        <w:tc>
          <w:tcPr>
            <w:tcW w:w="1410" w:type="dxa"/>
          </w:tcPr>
          <w:p>
            <w:pPr>
              <w:pStyle w:val="TableParagraph"/>
              <w:spacing w:before="24"/>
              <w:ind w:right="109"/>
              <w:jc w:val="center"/>
              <w:rPr>
                <w:b/>
                <w:sz w:val="18"/>
              </w:rPr>
            </w:pPr>
            <w:r>
              <w:rPr>
                <w:b/>
                <w:w w:val="99"/>
                <w:sz w:val="18"/>
              </w:rPr>
              <w:t>$</w:t>
            </w:r>
          </w:p>
        </w:tc>
        <w:tc>
          <w:tcPr>
            <w:tcW w:w="1185" w:type="dxa"/>
          </w:tcPr>
          <w:p>
            <w:pPr>
              <w:pStyle w:val="TableParagraph"/>
              <w:spacing w:before="24"/>
              <w:ind w:right="110"/>
              <w:jc w:val="center"/>
              <w:rPr>
                <w:b/>
                <w:sz w:val="18"/>
              </w:rPr>
            </w:pPr>
            <w:r>
              <w:rPr>
                <w:b/>
                <w:w w:val="99"/>
                <w:sz w:val="18"/>
              </w:rPr>
              <w:t>$</w:t>
            </w:r>
          </w:p>
        </w:tc>
      </w:tr>
      <w:tr>
        <w:trPr>
          <w:trHeight w:val="543" w:hRule="exact"/>
        </w:trPr>
        <w:tc>
          <w:tcPr>
            <w:tcW w:w="5446" w:type="dxa"/>
          </w:tcPr>
          <w:p>
            <w:pPr>
              <w:pStyle w:val="TableParagraph"/>
              <w:spacing w:before="63"/>
              <w:ind w:left="62"/>
              <w:rPr>
                <w:b/>
                <w:sz w:val="18"/>
              </w:rPr>
            </w:pPr>
            <w:r>
              <w:rPr>
                <w:b/>
                <w:sz w:val="18"/>
              </w:rPr>
              <w:t>CASH FLOWS FROM OPERATING ACTIVITIES:</w:t>
            </w:r>
          </w:p>
          <w:p>
            <w:pPr>
              <w:pStyle w:val="TableParagraph"/>
              <w:spacing w:before="27"/>
              <w:ind w:left="62"/>
              <w:rPr>
                <w:sz w:val="18"/>
              </w:rPr>
            </w:pPr>
            <w:r>
              <w:rPr>
                <w:sz w:val="18"/>
              </w:rPr>
              <w:t>Receipts from customers</w:t>
            </w:r>
          </w:p>
        </w:tc>
        <w:tc>
          <w:tcPr>
            <w:tcW w:w="1912" w:type="dxa"/>
          </w:tcPr>
          <w:p>
            <w:pPr/>
          </w:p>
        </w:tc>
        <w:tc>
          <w:tcPr>
            <w:tcW w:w="1410" w:type="dxa"/>
          </w:tcPr>
          <w:p>
            <w:pPr>
              <w:pStyle w:val="TableParagraph"/>
              <w:spacing w:before="11"/>
              <w:rPr>
                <w:sz w:val="25"/>
              </w:rPr>
            </w:pPr>
          </w:p>
          <w:p>
            <w:pPr>
              <w:pStyle w:val="TableParagraph"/>
              <w:ind w:left="310"/>
              <w:rPr>
                <w:b/>
                <w:sz w:val="18"/>
              </w:rPr>
            </w:pPr>
            <w:r>
              <w:rPr>
                <w:b/>
                <w:sz w:val="18"/>
              </w:rPr>
              <w:t>25,441,265</w:t>
            </w:r>
          </w:p>
        </w:tc>
        <w:tc>
          <w:tcPr>
            <w:tcW w:w="1185" w:type="dxa"/>
          </w:tcPr>
          <w:p>
            <w:pPr>
              <w:pStyle w:val="TableParagraph"/>
              <w:spacing w:before="11"/>
              <w:rPr>
                <w:sz w:val="25"/>
              </w:rPr>
            </w:pPr>
          </w:p>
          <w:p>
            <w:pPr>
              <w:pStyle w:val="TableParagraph"/>
              <w:ind w:left="198"/>
              <w:rPr>
                <w:sz w:val="18"/>
              </w:rPr>
            </w:pPr>
            <w:r>
              <w:rPr>
                <w:sz w:val="18"/>
              </w:rPr>
              <w:t>22,574,700</w:t>
            </w:r>
          </w:p>
        </w:tc>
      </w:tr>
      <w:tr>
        <w:trPr>
          <w:trHeight w:val="264" w:hRule="exact"/>
        </w:trPr>
        <w:tc>
          <w:tcPr>
            <w:tcW w:w="5446" w:type="dxa"/>
          </w:tcPr>
          <w:p>
            <w:pPr>
              <w:pStyle w:val="TableParagraph"/>
              <w:spacing w:before="18"/>
              <w:ind w:left="62"/>
              <w:rPr>
                <w:sz w:val="18"/>
              </w:rPr>
            </w:pPr>
            <w:r>
              <w:rPr>
                <w:sz w:val="18"/>
              </w:rPr>
              <w:t>Payments to suppliers and employees</w:t>
            </w:r>
          </w:p>
        </w:tc>
        <w:tc>
          <w:tcPr>
            <w:tcW w:w="1912" w:type="dxa"/>
          </w:tcPr>
          <w:p>
            <w:pPr/>
          </w:p>
        </w:tc>
        <w:tc>
          <w:tcPr>
            <w:tcW w:w="1410" w:type="dxa"/>
          </w:tcPr>
          <w:p>
            <w:pPr>
              <w:pStyle w:val="TableParagraph"/>
              <w:spacing w:before="19"/>
              <w:ind w:right="136"/>
              <w:jc w:val="right"/>
              <w:rPr>
                <w:b/>
                <w:sz w:val="18"/>
              </w:rPr>
            </w:pPr>
            <w:r>
              <w:rPr>
                <w:b/>
                <w:w w:val="95"/>
                <w:sz w:val="18"/>
              </w:rPr>
              <w:t>(22,065,279)</w:t>
            </w:r>
          </w:p>
        </w:tc>
        <w:tc>
          <w:tcPr>
            <w:tcW w:w="1185" w:type="dxa"/>
          </w:tcPr>
          <w:p>
            <w:pPr>
              <w:pStyle w:val="TableParagraph"/>
              <w:spacing w:before="19"/>
              <w:ind w:right="23"/>
              <w:jc w:val="right"/>
              <w:rPr>
                <w:sz w:val="18"/>
              </w:rPr>
            </w:pPr>
            <w:r>
              <w:rPr>
                <w:w w:val="95"/>
                <w:sz w:val="18"/>
              </w:rPr>
              <w:t>(28,827,423)</w:t>
            </w:r>
          </w:p>
        </w:tc>
      </w:tr>
      <w:tr>
        <w:trPr>
          <w:trHeight w:val="264" w:hRule="exact"/>
        </w:trPr>
        <w:tc>
          <w:tcPr>
            <w:tcW w:w="5446" w:type="dxa"/>
          </w:tcPr>
          <w:p>
            <w:pPr>
              <w:pStyle w:val="TableParagraph"/>
              <w:spacing w:before="18"/>
              <w:ind w:left="62"/>
              <w:rPr>
                <w:sz w:val="18"/>
              </w:rPr>
            </w:pPr>
            <w:r>
              <w:rPr>
                <w:sz w:val="18"/>
              </w:rPr>
              <w:t>Interest received</w:t>
            </w:r>
          </w:p>
        </w:tc>
        <w:tc>
          <w:tcPr>
            <w:tcW w:w="1912" w:type="dxa"/>
          </w:tcPr>
          <w:p>
            <w:pPr/>
          </w:p>
        </w:tc>
        <w:tc>
          <w:tcPr>
            <w:tcW w:w="1410" w:type="dxa"/>
          </w:tcPr>
          <w:p>
            <w:pPr>
              <w:pStyle w:val="TableParagraph"/>
              <w:spacing w:before="19"/>
              <w:ind w:right="196"/>
              <w:jc w:val="right"/>
              <w:rPr>
                <w:b/>
                <w:sz w:val="18"/>
              </w:rPr>
            </w:pPr>
            <w:r>
              <w:rPr>
                <w:b/>
                <w:w w:val="95"/>
                <w:sz w:val="18"/>
              </w:rPr>
              <w:t>139,125</w:t>
            </w:r>
          </w:p>
        </w:tc>
        <w:tc>
          <w:tcPr>
            <w:tcW w:w="1185" w:type="dxa"/>
          </w:tcPr>
          <w:p>
            <w:pPr>
              <w:pStyle w:val="TableParagraph"/>
              <w:spacing w:before="19"/>
              <w:ind w:left="447"/>
              <w:rPr>
                <w:sz w:val="18"/>
              </w:rPr>
            </w:pPr>
            <w:r>
              <w:rPr>
                <w:sz w:val="18"/>
              </w:rPr>
              <w:t>236,601</w:t>
            </w:r>
          </w:p>
        </w:tc>
      </w:tr>
      <w:tr>
        <w:trPr>
          <w:trHeight w:val="264" w:hRule="exact"/>
        </w:trPr>
        <w:tc>
          <w:tcPr>
            <w:tcW w:w="5446" w:type="dxa"/>
          </w:tcPr>
          <w:p>
            <w:pPr>
              <w:pStyle w:val="TableParagraph"/>
              <w:spacing w:before="18"/>
              <w:ind w:left="62"/>
              <w:rPr>
                <w:sz w:val="18"/>
              </w:rPr>
            </w:pPr>
            <w:r>
              <w:rPr>
                <w:sz w:val="18"/>
              </w:rPr>
              <w:t>Australian Government Grants</w:t>
            </w:r>
          </w:p>
        </w:tc>
        <w:tc>
          <w:tcPr>
            <w:tcW w:w="1912" w:type="dxa"/>
          </w:tcPr>
          <w:p>
            <w:pPr/>
          </w:p>
        </w:tc>
        <w:tc>
          <w:tcPr>
            <w:tcW w:w="1410" w:type="dxa"/>
          </w:tcPr>
          <w:p>
            <w:pPr>
              <w:pStyle w:val="TableParagraph"/>
              <w:spacing w:before="19"/>
              <w:ind w:right="111"/>
              <w:jc w:val="center"/>
              <w:rPr>
                <w:b/>
                <w:sz w:val="18"/>
              </w:rPr>
            </w:pPr>
            <w:r>
              <w:rPr>
                <w:b/>
                <w:w w:val="99"/>
                <w:sz w:val="18"/>
              </w:rPr>
              <w:t>-</w:t>
            </w:r>
          </w:p>
        </w:tc>
        <w:tc>
          <w:tcPr>
            <w:tcW w:w="1185" w:type="dxa"/>
          </w:tcPr>
          <w:p>
            <w:pPr>
              <w:pStyle w:val="TableParagraph"/>
              <w:spacing w:before="19"/>
              <w:ind w:right="84"/>
              <w:jc w:val="right"/>
              <w:rPr>
                <w:sz w:val="18"/>
              </w:rPr>
            </w:pPr>
            <w:r>
              <w:rPr>
                <w:w w:val="95"/>
                <w:sz w:val="18"/>
              </w:rPr>
              <w:t>70,283</w:t>
            </w:r>
          </w:p>
        </w:tc>
      </w:tr>
      <w:tr>
        <w:trPr>
          <w:trHeight w:val="263" w:hRule="exact"/>
        </w:trPr>
        <w:tc>
          <w:tcPr>
            <w:tcW w:w="5446" w:type="dxa"/>
          </w:tcPr>
          <w:p>
            <w:pPr>
              <w:pStyle w:val="TableParagraph"/>
              <w:spacing w:before="18"/>
              <w:ind w:left="62"/>
              <w:rPr>
                <w:sz w:val="18"/>
              </w:rPr>
            </w:pPr>
            <w:r>
              <w:rPr>
                <w:sz w:val="18"/>
              </w:rPr>
              <w:t>Other receipts</w:t>
            </w:r>
          </w:p>
        </w:tc>
        <w:tc>
          <w:tcPr>
            <w:tcW w:w="1912" w:type="dxa"/>
          </w:tcPr>
          <w:p>
            <w:pPr/>
          </w:p>
        </w:tc>
        <w:tc>
          <w:tcPr>
            <w:tcW w:w="1410" w:type="dxa"/>
            <w:tcBorders>
              <w:bottom w:val="single" w:sz="0" w:space="0" w:color="000000"/>
            </w:tcBorders>
          </w:tcPr>
          <w:p>
            <w:pPr>
              <w:pStyle w:val="TableParagraph"/>
              <w:spacing w:before="19"/>
              <w:ind w:right="196"/>
              <w:jc w:val="right"/>
              <w:rPr>
                <w:b/>
                <w:sz w:val="18"/>
              </w:rPr>
            </w:pPr>
            <w:r>
              <w:rPr>
                <w:b/>
                <w:w w:val="95"/>
                <w:sz w:val="18"/>
              </w:rPr>
              <w:t>814,906</w:t>
            </w:r>
          </w:p>
        </w:tc>
        <w:tc>
          <w:tcPr>
            <w:tcW w:w="1185" w:type="dxa"/>
            <w:tcBorders>
              <w:bottom w:val="single" w:sz="0" w:space="0" w:color="000000"/>
            </w:tcBorders>
          </w:tcPr>
          <w:p>
            <w:pPr>
              <w:pStyle w:val="TableParagraph"/>
              <w:spacing w:before="19"/>
              <w:ind w:right="24"/>
              <w:jc w:val="right"/>
              <w:rPr>
                <w:sz w:val="18"/>
              </w:rPr>
            </w:pPr>
            <w:r>
              <w:rPr>
                <w:w w:val="95"/>
                <w:sz w:val="18"/>
              </w:rPr>
              <w:t>(1,603,884)</w:t>
            </w:r>
          </w:p>
        </w:tc>
      </w:tr>
      <w:tr>
        <w:trPr>
          <w:trHeight w:val="338" w:hRule="exact"/>
        </w:trPr>
        <w:tc>
          <w:tcPr>
            <w:tcW w:w="5446" w:type="dxa"/>
          </w:tcPr>
          <w:p>
            <w:pPr>
              <w:pStyle w:val="TableParagraph"/>
              <w:spacing w:before="38"/>
              <w:ind w:left="62"/>
              <w:rPr>
                <w:b/>
                <w:sz w:val="18"/>
              </w:rPr>
            </w:pPr>
            <w:r>
              <w:rPr>
                <w:b/>
                <w:sz w:val="18"/>
              </w:rPr>
              <w:t>Net cash provided by (used in) operating activities</w:t>
            </w:r>
          </w:p>
        </w:tc>
        <w:tc>
          <w:tcPr>
            <w:tcW w:w="1912" w:type="dxa"/>
          </w:tcPr>
          <w:p>
            <w:pPr>
              <w:pStyle w:val="TableParagraph"/>
              <w:spacing w:before="39"/>
              <w:ind w:left="1352" w:right="18"/>
              <w:jc w:val="center"/>
              <w:rPr>
                <w:sz w:val="18"/>
              </w:rPr>
            </w:pPr>
            <w:r>
              <w:rPr>
                <w:sz w:val="18"/>
              </w:rPr>
              <w:t>18</w:t>
            </w:r>
          </w:p>
        </w:tc>
        <w:tc>
          <w:tcPr>
            <w:tcW w:w="1410" w:type="dxa"/>
            <w:tcBorders>
              <w:top w:val="single" w:sz="0" w:space="0" w:color="000000"/>
              <w:bottom w:val="single" w:sz="0" w:space="0" w:color="000000"/>
            </w:tcBorders>
          </w:tcPr>
          <w:p>
            <w:pPr>
              <w:pStyle w:val="TableParagraph"/>
              <w:spacing w:before="122"/>
              <w:ind w:left="410"/>
              <w:rPr>
                <w:b/>
                <w:sz w:val="18"/>
              </w:rPr>
            </w:pPr>
            <w:r>
              <w:rPr>
                <w:b/>
                <w:sz w:val="18"/>
              </w:rPr>
              <w:t>4,330,017</w:t>
            </w:r>
          </w:p>
        </w:tc>
        <w:tc>
          <w:tcPr>
            <w:tcW w:w="1185" w:type="dxa"/>
            <w:tcBorders>
              <w:top w:val="single" w:sz="0" w:space="0" w:color="000000"/>
              <w:bottom w:val="single" w:sz="0" w:space="0" w:color="000000"/>
            </w:tcBorders>
          </w:tcPr>
          <w:p>
            <w:pPr>
              <w:pStyle w:val="TableParagraph"/>
              <w:spacing w:before="122"/>
              <w:ind w:right="24"/>
              <w:jc w:val="right"/>
              <w:rPr>
                <w:sz w:val="18"/>
              </w:rPr>
            </w:pPr>
            <w:r>
              <w:rPr>
                <w:w w:val="95"/>
                <w:sz w:val="18"/>
              </w:rPr>
              <w:t>(7,549,723)</w:t>
            </w:r>
          </w:p>
        </w:tc>
      </w:tr>
      <w:tr>
        <w:trPr>
          <w:trHeight w:val="898" w:hRule="exact"/>
        </w:trPr>
        <w:tc>
          <w:tcPr>
            <w:tcW w:w="5446" w:type="dxa"/>
          </w:tcPr>
          <w:p>
            <w:pPr>
              <w:pStyle w:val="TableParagraph"/>
              <w:rPr>
                <w:sz w:val="18"/>
              </w:rPr>
            </w:pPr>
          </w:p>
          <w:p>
            <w:pPr>
              <w:pStyle w:val="TableParagraph"/>
              <w:spacing w:before="4"/>
              <w:rPr>
                <w:sz w:val="18"/>
              </w:rPr>
            </w:pPr>
          </w:p>
          <w:p>
            <w:pPr>
              <w:pStyle w:val="TableParagraph"/>
              <w:ind w:left="62"/>
              <w:rPr>
                <w:b/>
                <w:sz w:val="18"/>
              </w:rPr>
            </w:pPr>
            <w:r>
              <w:rPr>
                <w:b/>
                <w:sz w:val="18"/>
              </w:rPr>
              <w:t>CASH FLOWS FROM INVESTING ACTIVITIES:</w:t>
            </w:r>
          </w:p>
          <w:p>
            <w:pPr>
              <w:pStyle w:val="TableParagraph"/>
              <w:spacing w:before="27"/>
              <w:ind w:left="62"/>
              <w:rPr>
                <w:sz w:val="18"/>
              </w:rPr>
            </w:pPr>
            <w:r>
              <w:rPr>
                <w:sz w:val="18"/>
              </w:rPr>
              <w:t>Proceeds from sale of plant and equipment</w:t>
            </w:r>
          </w:p>
        </w:tc>
        <w:tc>
          <w:tcPr>
            <w:tcW w:w="1912" w:type="dxa"/>
          </w:tcPr>
          <w:p>
            <w:pPr/>
          </w:p>
        </w:tc>
        <w:tc>
          <w:tcPr>
            <w:tcW w:w="1410" w:type="dxa"/>
            <w:tcBorders>
              <w:top w:val="single" w:sz="0" w:space="0" w:color="000000"/>
            </w:tcBorders>
          </w:tcPr>
          <w:p>
            <w:pPr>
              <w:pStyle w:val="TableParagraph"/>
              <w:rPr>
                <w:sz w:val="18"/>
              </w:rPr>
            </w:pPr>
          </w:p>
          <w:p>
            <w:pPr>
              <w:pStyle w:val="TableParagraph"/>
              <w:rPr>
                <w:sz w:val="18"/>
              </w:rPr>
            </w:pPr>
          </w:p>
          <w:p>
            <w:pPr>
              <w:pStyle w:val="TableParagraph"/>
              <w:spacing w:before="9"/>
              <w:rPr>
                <w:sz w:val="20"/>
              </w:rPr>
            </w:pPr>
          </w:p>
          <w:p>
            <w:pPr>
              <w:pStyle w:val="TableParagraph"/>
              <w:ind w:right="196"/>
              <w:jc w:val="right"/>
              <w:rPr>
                <w:b/>
                <w:sz w:val="18"/>
              </w:rPr>
            </w:pPr>
            <w:r>
              <w:rPr>
                <w:b/>
                <w:w w:val="95"/>
                <w:sz w:val="18"/>
              </w:rPr>
              <w:t>196,355</w:t>
            </w:r>
          </w:p>
        </w:tc>
        <w:tc>
          <w:tcPr>
            <w:tcW w:w="1185" w:type="dxa"/>
            <w:tcBorders>
              <w:top w:val="single" w:sz="0" w:space="0" w:color="000000"/>
            </w:tcBorders>
          </w:tcPr>
          <w:p>
            <w:pPr>
              <w:pStyle w:val="TableParagraph"/>
              <w:rPr>
                <w:sz w:val="18"/>
              </w:rPr>
            </w:pPr>
          </w:p>
          <w:p>
            <w:pPr>
              <w:pStyle w:val="TableParagraph"/>
              <w:rPr>
                <w:sz w:val="18"/>
              </w:rPr>
            </w:pPr>
          </w:p>
          <w:p>
            <w:pPr>
              <w:pStyle w:val="TableParagraph"/>
              <w:spacing w:before="9"/>
              <w:rPr>
                <w:sz w:val="20"/>
              </w:rPr>
            </w:pPr>
          </w:p>
          <w:p>
            <w:pPr>
              <w:pStyle w:val="TableParagraph"/>
              <w:ind w:left="448"/>
              <w:rPr>
                <w:sz w:val="18"/>
              </w:rPr>
            </w:pPr>
            <w:r>
              <w:rPr>
                <w:sz w:val="18"/>
              </w:rPr>
              <w:t>214,009</w:t>
            </w:r>
          </w:p>
        </w:tc>
      </w:tr>
      <w:tr>
        <w:trPr>
          <w:trHeight w:val="263" w:hRule="exact"/>
        </w:trPr>
        <w:tc>
          <w:tcPr>
            <w:tcW w:w="5446" w:type="dxa"/>
          </w:tcPr>
          <w:p>
            <w:pPr>
              <w:pStyle w:val="TableParagraph"/>
              <w:spacing w:before="18"/>
              <w:ind w:left="62"/>
              <w:rPr>
                <w:sz w:val="18"/>
              </w:rPr>
            </w:pPr>
            <w:r>
              <w:rPr>
                <w:sz w:val="18"/>
              </w:rPr>
              <w:t>Payment for property, plant and equipment</w:t>
            </w:r>
          </w:p>
        </w:tc>
        <w:tc>
          <w:tcPr>
            <w:tcW w:w="1912" w:type="dxa"/>
          </w:tcPr>
          <w:p>
            <w:pPr/>
          </w:p>
        </w:tc>
        <w:tc>
          <w:tcPr>
            <w:tcW w:w="1410" w:type="dxa"/>
            <w:tcBorders>
              <w:bottom w:val="single" w:sz="0" w:space="0" w:color="000000"/>
            </w:tcBorders>
          </w:tcPr>
          <w:p>
            <w:pPr>
              <w:pStyle w:val="TableParagraph"/>
              <w:spacing w:before="19"/>
              <w:ind w:right="136"/>
              <w:jc w:val="right"/>
              <w:rPr>
                <w:b/>
                <w:sz w:val="18"/>
              </w:rPr>
            </w:pPr>
            <w:r>
              <w:rPr>
                <w:b/>
                <w:w w:val="95"/>
                <w:sz w:val="18"/>
              </w:rPr>
              <w:t>(1,071,629)</w:t>
            </w:r>
          </w:p>
        </w:tc>
        <w:tc>
          <w:tcPr>
            <w:tcW w:w="1185" w:type="dxa"/>
            <w:tcBorders>
              <w:bottom w:val="single" w:sz="0" w:space="0" w:color="000000"/>
            </w:tcBorders>
          </w:tcPr>
          <w:p>
            <w:pPr>
              <w:pStyle w:val="TableParagraph"/>
              <w:spacing w:before="19"/>
              <w:ind w:right="24"/>
              <w:jc w:val="right"/>
              <w:rPr>
                <w:sz w:val="18"/>
              </w:rPr>
            </w:pPr>
            <w:r>
              <w:rPr>
                <w:w w:val="95"/>
                <w:sz w:val="18"/>
              </w:rPr>
              <w:t>(800,879)</w:t>
            </w:r>
          </w:p>
        </w:tc>
      </w:tr>
      <w:tr>
        <w:trPr>
          <w:trHeight w:val="338" w:hRule="exact"/>
        </w:trPr>
        <w:tc>
          <w:tcPr>
            <w:tcW w:w="5446" w:type="dxa"/>
          </w:tcPr>
          <w:p>
            <w:pPr>
              <w:pStyle w:val="TableParagraph"/>
              <w:spacing w:before="38"/>
              <w:ind w:left="62"/>
              <w:rPr>
                <w:b/>
                <w:sz w:val="18"/>
              </w:rPr>
            </w:pPr>
            <w:r>
              <w:rPr>
                <w:b/>
                <w:sz w:val="18"/>
              </w:rPr>
              <w:t>Net cash used by investing activities</w:t>
            </w:r>
          </w:p>
        </w:tc>
        <w:tc>
          <w:tcPr>
            <w:tcW w:w="1912" w:type="dxa"/>
          </w:tcPr>
          <w:p>
            <w:pPr/>
          </w:p>
        </w:tc>
        <w:tc>
          <w:tcPr>
            <w:tcW w:w="1410" w:type="dxa"/>
            <w:tcBorders>
              <w:top w:val="single" w:sz="0" w:space="0" w:color="000000"/>
              <w:bottom w:val="single" w:sz="0" w:space="0" w:color="000000"/>
            </w:tcBorders>
          </w:tcPr>
          <w:p>
            <w:pPr>
              <w:pStyle w:val="TableParagraph"/>
              <w:spacing w:before="122"/>
              <w:ind w:right="136"/>
              <w:jc w:val="right"/>
              <w:rPr>
                <w:b/>
                <w:sz w:val="18"/>
              </w:rPr>
            </w:pPr>
            <w:r>
              <w:rPr>
                <w:b/>
                <w:sz w:val="18"/>
              </w:rPr>
              <w:t>(875,274)</w:t>
            </w:r>
          </w:p>
        </w:tc>
        <w:tc>
          <w:tcPr>
            <w:tcW w:w="1185" w:type="dxa"/>
            <w:tcBorders>
              <w:top w:val="single" w:sz="0" w:space="0" w:color="000000"/>
              <w:bottom w:val="single" w:sz="0" w:space="0" w:color="000000"/>
            </w:tcBorders>
          </w:tcPr>
          <w:p>
            <w:pPr>
              <w:pStyle w:val="TableParagraph"/>
              <w:spacing w:before="122"/>
              <w:ind w:right="24"/>
              <w:jc w:val="right"/>
              <w:rPr>
                <w:sz w:val="18"/>
              </w:rPr>
            </w:pPr>
            <w:r>
              <w:rPr>
                <w:sz w:val="18"/>
              </w:rPr>
              <w:t>(586,870)</w:t>
            </w:r>
          </w:p>
        </w:tc>
      </w:tr>
      <w:tr>
        <w:trPr>
          <w:trHeight w:val="636" w:hRule="exact"/>
        </w:trPr>
        <w:tc>
          <w:tcPr>
            <w:tcW w:w="5446" w:type="dxa"/>
          </w:tcPr>
          <w:p>
            <w:pPr>
              <w:pStyle w:val="TableParagraph"/>
              <w:rPr>
                <w:sz w:val="18"/>
              </w:rPr>
            </w:pPr>
          </w:p>
          <w:p>
            <w:pPr>
              <w:pStyle w:val="TableParagraph"/>
              <w:spacing w:before="4"/>
              <w:rPr>
                <w:sz w:val="18"/>
              </w:rPr>
            </w:pPr>
          </w:p>
          <w:p>
            <w:pPr>
              <w:pStyle w:val="TableParagraph"/>
              <w:ind w:left="62"/>
              <w:rPr>
                <w:b/>
                <w:sz w:val="18"/>
              </w:rPr>
            </w:pPr>
            <w:r>
              <w:rPr>
                <w:b/>
                <w:sz w:val="18"/>
              </w:rPr>
              <w:t>CASH FLOWS FROM FINANCING ACTIVITIES:</w:t>
            </w:r>
          </w:p>
        </w:tc>
        <w:tc>
          <w:tcPr>
            <w:tcW w:w="1912" w:type="dxa"/>
          </w:tcPr>
          <w:p>
            <w:pPr/>
          </w:p>
        </w:tc>
        <w:tc>
          <w:tcPr>
            <w:tcW w:w="1410" w:type="dxa"/>
            <w:tcBorders>
              <w:top w:val="single" w:sz="0" w:space="0" w:color="000000"/>
            </w:tcBorders>
          </w:tcPr>
          <w:p>
            <w:pPr/>
          </w:p>
        </w:tc>
        <w:tc>
          <w:tcPr>
            <w:tcW w:w="1185" w:type="dxa"/>
            <w:tcBorders>
              <w:top w:val="single" w:sz="0" w:space="0" w:color="000000"/>
            </w:tcBorders>
          </w:tcPr>
          <w:p>
            <w:pPr/>
          </w:p>
        </w:tc>
      </w:tr>
    </w:tbl>
    <w:p>
      <w:pPr>
        <w:tabs>
          <w:tab w:pos="7820" w:val="left" w:leader="none"/>
          <w:tab w:pos="9385" w:val="left" w:leader="none"/>
        </w:tabs>
        <w:spacing w:before="18"/>
        <w:ind w:left="175" w:right="685" w:firstLine="0"/>
        <w:jc w:val="left"/>
        <w:rPr>
          <w:sz w:val="18"/>
        </w:rPr>
      </w:pPr>
      <w:r>
        <w:rPr/>
        <w:pict>
          <v:group style="position:absolute;margin-left:416.470001pt;margin-top:12.589189pt;width:129.85pt;height:1pt;mso-position-horizontal-relative:page;mso-position-vertical-relative:paragraph;z-index:5176;mso-wrap-distance-left:0;mso-wrap-distance-right:0" coordorigin="8329,252" coordsize="2597,20">
            <v:line style="position:absolute" from="8330,253" to="9628,253" stroked="true" strokeweight=".06pt" strokecolor="#000000"/>
            <v:line style="position:absolute" from="8330,254" to="9628,254" stroked="true" strokeweight=".06pt" strokecolor="#000000"/>
            <v:line style="position:absolute" from="8330,255" to="9628,255" stroked="true" strokeweight=".06pt" strokecolor="#000000"/>
            <v:line style="position:absolute" from="8330,256" to="9628,256" stroked="true" strokeweight=".06pt" strokecolor="#000000"/>
            <v:line style="position:absolute" from="8330,258" to="9628,258" stroked="true" strokeweight=".06pt" strokecolor="#000000"/>
            <v:line style="position:absolute" from="8330,259" to="9628,259" stroked="true" strokeweight=".06pt" strokecolor="#000000"/>
            <v:line style="position:absolute" from="8330,260" to="9628,260" stroked="true" strokeweight=".06pt" strokecolor="#000000"/>
            <v:line style="position:absolute" from="8330,261" to="9628,261" stroked="true" strokeweight=".06pt" strokecolor="#000000"/>
            <v:line style="position:absolute" from="8330,262" to="9628,262" stroked="true" strokeweight=".06pt" strokecolor="#000000"/>
            <v:line style="position:absolute" from="8330,264" to="9628,264" stroked="true" strokeweight=".06pt" strokecolor="#000000"/>
            <v:line style="position:absolute" from="8330,265" to="9628,265" stroked="true" strokeweight=".06pt" strokecolor="#000000"/>
            <v:line style="position:absolute" from="8330,266" to="9628,266" stroked="true" strokeweight=".06pt" strokecolor="#000000"/>
            <v:line style="position:absolute" from="8330,267" to="9628,267" stroked="true" strokeweight=".06pt" strokecolor="#000000"/>
            <v:line style="position:absolute" from="8330,268" to="9628,268" stroked="true" strokeweight=".06pt" strokecolor="#000000"/>
            <v:line style="position:absolute" from="8330,270" to="9628,270" stroked="true" strokeweight=".06pt" strokecolor="#000000"/>
            <v:line style="position:absolute" from="8330,271" to="9628,271" stroked="true" strokeweight=".06pt" strokecolor="#000000"/>
            <v:line style="position:absolute" from="9628,253" to="10925,253" stroked="true" strokeweight=".06pt" strokecolor="#000000"/>
            <v:line style="position:absolute" from="9628,254" to="10925,254" stroked="true" strokeweight=".06pt" strokecolor="#000000"/>
            <v:line style="position:absolute" from="9628,255" to="10925,255" stroked="true" strokeweight=".06pt" strokecolor="#000000"/>
            <v:line style="position:absolute" from="9628,256" to="10925,256" stroked="true" strokeweight=".06pt" strokecolor="#000000"/>
            <v:line style="position:absolute" from="9628,258" to="10925,258" stroked="true" strokeweight=".06pt" strokecolor="#000000"/>
            <v:line style="position:absolute" from="9628,259" to="10925,259" stroked="true" strokeweight=".06pt" strokecolor="#000000"/>
            <v:line style="position:absolute" from="9628,260" to="10925,260" stroked="true" strokeweight=".06pt" strokecolor="#000000"/>
            <v:line style="position:absolute" from="9628,261" to="10925,261" stroked="true" strokeweight=".06pt" strokecolor="#000000"/>
            <v:line style="position:absolute" from="9628,262" to="10925,262" stroked="true" strokeweight=".06pt" strokecolor="#000000"/>
            <v:line style="position:absolute" from="9628,264" to="10925,264" stroked="true" strokeweight=".06pt" strokecolor="#000000"/>
            <v:line style="position:absolute" from="9628,265" to="10925,265" stroked="true" strokeweight=".06pt" strokecolor="#000000"/>
            <v:line style="position:absolute" from="9628,266" to="10925,266" stroked="true" strokeweight=".06pt" strokecolor="#000000"/>
            <v:line style="position:absolute" from="9628,267" to="10925,267" stroked="true" strokeweight=".06pt" strokecolor="#000000"/>
            <v:line style="position:absolute" from="9628,268" to="10925,268" stroked="true" strokeweight=".06pt" strokecolor="#000000"/>
            <v:line style="position:absolute" from="9628,270" to="10925,270" stroked="true" strokeweight=".06pt" strokecolor="#000000"/>
            <v:line style="position:absolute" from="9628,271" to="10925,271" stroked="true" strokeweight=".06pt" strokecolor="#000000"/>
            <w10:wrap type="topAndBottom"/>
          </v:group>
        </w:pict>
      </w:r>
      <w:r>
        <w:rPr>
          <w:sz w:val="18"/>
        </w:rPr>
        <w:t>Payment of loan to ultimate</w:t>
      </w:r>
      <w:r>
        <w:rPr>
          <w:spacing w:val="-1"/>
          <w:sz w:val="18"/>
        </w:rPr>
        <w:t> </w:t>
      </w:r>
      <w:r>
        <w:rPr>
          <w:sz w:val="18"/>
        </w:rPr>
        <w:t>parent</w:t>
      </w:r>
      <w:r>
        <w:rPr>
          <w:spacing w:val="-1"/>
          <w:sz w:val="18"/>
        </w:rPr>
        <w:t> </w:t>
      </w:r>
      <w:r>
        <w:rPr>
          <w:sz w:val="18"/>
        </w:rPr>
        <w:t>entity</w:t>
        <w:tab/>
      </w:r>
      <w:r>
        <w:rPr>
          <w:b/>
          <w:sz w:val="18"/>
        </w:rPr>
        <w:t>(6,098,022)</w:t>
        <w:tab/>
      </w:r>
      <w:r>
        <w:rPr>
          <w:sz w:val="18"/>
        </w:rPr>
        <w:t>-</w:t>
      </w:r>
    </w:p>
    <w:p>
      <w:pPr>
        <w:pStyle w:val="Heading9"/>
        <w:tabs>
          <w:tab w:pos="7820" w:val="left" w:leader="none"/>
          <w:tab w:pos="9385" w:val="left" w:leader="none"/>
        </w:tabs>
        <w:ind w:left="175" w:right="685"/>
        <w:rPr>
          <w:b w:val="0"/>
        </w:rPr>
      </w:pPr>
      <w:r>
        <w:rPr/>
        <w:t>Net cash used by financing activities</w:t>
        <w:tab/>
      </w:r>
      <w:r>
        <w:rPr>
          <w:position w:val="-8"/>
        </w:rPr>
        <w:t>(6,098,022)</w:t>
        <w:tab/>
      </w:r>
      <w:r>
        <w:rPr>
          <w:b w:val="0"/>
          <w:position w:val="-8"/>
        </w:rPr>
        <w:t>-</w:t>
      </w:r>
    </w:p>
    <w:p>
      <w:pPr>
        <w:pStyle w:val="BodyText"/>
        <w:spacing w:line="20" w:lineRule="exact"/>
        <w:ind w:left="7469"/>
        <w:rPr>
          <w:sz w:val="2"/>
        </w:rPr>
      </w:pPr>
      <w:r>
        <w:rPr>
          <w:sz w:val="2"/>
        </w:rPr>
        <w:pict>
          <v:group style="width:129.85pt;height:1pt;mso-position-horizontal-relative:char;mso-position-vertical-relative:line" coordorigin="0,0" coordsize="2597,2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group>
        </w:pict>
      </w:r>
      <w:r>
        <w:rPr>
          <w:sz w:val="2"/>
        </w:rPr>
      </w:r>
    </w:p>
    <w:p>
      <w:pPr>
        <w:pStyle w:val="BodyText"/>
        <w:spacing w:before="9"/>
        <w:rPr>
          <w:sz w:val="20"/>
        </w:rPr>
      </w:pPr>
    </w:p>
    <w:tbl>
      <w:tblPr>
        <w:tblW w:w="0" w:type="auto"/>
        <w:jc w:val="left"/>
        <w:tblInd w:w="14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30"/>
        <w:gridCol w:w="1439"/>
        <w:gridCol w:w="1155"/>
      </w:tblGrid>
      <w:tr>
        <w:trPr>
          <w:trHeight w:val="323" w:hRule="exact"/>
        </w:trPr>
        <w:tc>
          <w:tcPr>
            <w:tcW w:w="7330" w:type="dxa"/>
          </w:tcPr>
          <w:p>
            <w:pPr>
              <w:pStyle w:val="TableParagraph"/>
              <w:spacing w:before="77"/>
              <w:ind w:left="35"/>
              <w:rPr>
                <w:b/>
                <w:sz w:val="18"/>
              </w:rPr>
            </w:pPr>
            <w:r>
              <w:rPr>
                <w:b/>
                <w:sz w:val="18"/>
              </w:rPr>
              <w:t>Net increase (decrease) in cash  and cash equivalents held</w:t>
            </w:r>
          </w:p>
        </w:tc>
        <w:tc>
          <w:tcPr>
            <w:tcW w:w="1439" w:type="dxa"/>
          </w:tcPr>
          <w:p>
            <w:pPr>
              <w:pStyle w:val="TableParagraph"/>
              <w:spacing w:before="78"/>
              <w:ind w:left="350"/>
              <w:rPr>
                <w:b/>
                <w:sz w:val="18"/>
              </w:rPr>
            </w:pPr>
            <w:r>
              <w:rPr>
                <w:b/>
                <w:sz w:val="18"/>
              </w:rPr>
              <w:t>(2,643,279)</w:t>
            </w:r>
          </w:p>
        </w:tc>
        <w:tc>
          <w:tcPr>
            <w:tcW w:w="1155" w:type="dxa"/>
          </w:tcPr>
          <w:p>
            <w:pPr>
              <w:pStyle w:val="TableParagraph"/>
              <w:spacing w:before="78"/>
              <w:ind w:left="208"/>
              <w:rPr>
                <w:sz w:val="18"/>
              </w:rPr>
            </w:pPr>
            <w:r>
              <w:rPr>
                <w:sz w:val="18"/>
              </w:rPr>
              <w:t>(8,136,593)</w:t>
            </w:r>
          </w:p>
        </w:tc>
      </w:tr>
      <w:tr>
        <w:trPr>
          <w:trHeight w:val="263" w:hRule="exact"/>
        </w:trPr>
        <w:tc>
          <w:tcPr>
            <w:tcW w:w="7330" w:type="dxa"/>
          </w:tcPr>
          <w:p>
            <w:pPr>
              <w:pStyle w:val="TableParagraph"/>
              <w:spacing w:before="18"/>
              <w:ind w:left="35"/>
              <w:rPr>
                <w:b/>
                <w:sz w:val="18"/>
              </w:rPr>
            </w:pPr>
            <w:r>
              <w:rPr>
                <w:b/>
                <w:sz w:val="18"/>
              </w:rPr>
              <w:t>Cash and cash equivalents at beginning of year</w:t>
            </w:r>
          </w:p>
        </w:tc>
        <w:tc>
          <w:tcPr>
            <w:tcW w:w="1439" w:type="dxa"/>
            <w:tcBorders>
              <w:bottom w:val="single" w:sz="0" w:space="0" w:color="000000"/>
            </w:tcBorders>
          </w:tcPr>
          <w:p>
            <w:pPr>
              <w:pStyle w:val="TableParagraph"/>
              <w:spacing w:before="19"/>
              <w:ind w:left="410"/>
              <w:rPr>
                <w:b/>
                <w:sz w:val="18"/>
              </w:rPr>
            </w:pPr>
            <w:r>
              <w:rPr>
                <w:b/>
                <w:sz w:val="18"/>
              </w:rPr>
              <w:t>3,293,081</w:t>
            </w:r>
          </w:p>
        </w:tc>
        <w:tc>
          <w:tcPr>
            <w:tcW w:w="1155" w:type="dxa"/>
            <w:tcBorders>
              <w:bottom w:val="single" w:sz="0" w:space="0" w:color="000000"/>
            </w:tcBorders>
          </w:tcPr>
          <w:p>
            <w:pPr>
              <w:pStyle w:val="TableParagraph"/>
              <w:spacing w:before="19"/>
              <w:ind w:left="168"/>
              <w:rPr>
                <w:sz w:val="18"/>
              </w:rPr>
            </w:pPr>
            <w:r>
              <w:rPr>
                <w:sz w:val="18"/>
              </w:rPr>
              <w:t>11,429,674</w:t>
            </w:r>
          </w:p>
        </w:tc>
      </w:tr>
    </w:tbl>
    <w:p>
      <w:pPr>
        <w:tabs>
          <w:tab w:pos="7131" w:val="left" w:leader="none"/>
          <w:tab w:pos="8030" w:val="left" w:leader="none"/>
          <w:tab w:pos="9177" w:val="left" w:leader="none"/>
        </w:tabs>
        <w:spacing w:before="39" w:after="2"/>
        <w:ind w:left="175" w:right="59" w:firstLine="0"/>
        <w:jc w:val="left"/>
        <w:rPr>
          <w:sz w:val="18"/>
        </w:rPr>
      </w:pPr>
      <w:r>
        <w:rPr>
          <w:b/>
          <w:sz w:val="18"/>
        </w:rPr>
        <w:t>Cash and cash equivalents at end of</w:t>
      </w:r>
      <w:r>
        <w:rPr>
          <w:b/>
          <w:spacing w:val="-1"/>
          <w:sz w:val="18"/>
        </w:rPr>
        <w:t> </w:t>
      </w:r>
      <w:r>
        <w:rPr>
          <w:b/>
          <w:sz w:val="18"/>
        </w:rPr>
        <w:t>financial</w:t>
      </w:r>
      <w:r>
        <w:rPr>
          <w:b/>
          <w:spacing w:val="-1"/>
          <w:sz w:val="18"/>
        </w:rPr>
        <w:t> </w:t>
      </w:r>
      <w:r>
        <w:rPr>
          <w:b/>
          <w:sz w:val="18"/>
        </w:rPr>
        <w:t>year</w:t>
        <w:tab/>
      </w:r>
      <w:r>
        <w:rPr>
          <w:sz w:val="18"/>
        </w:rPr>
        <w:t>2</w:t>
        <w:tab/>
      </w:r>
      <w:r>
        <w:rPr>
          <w:b/>
          <w:position w:val="-7"/>
          <w:sz w:val="18"/>
        </w:rPr>
        <w:t>649,802</w:t>
        <w:tab/>
      </w:r>
      <w:r>
        <w:rPr>
          <w:position w:val="-7"/>
          <w:sz w:val="18"/>
        </w:rPr>
        <w:t>3,293,081</w:t>
      </w:r>
    </w:p>
    <w:p>
      <w:pPr>
        <w:pStyle w:val="BodyText"/>
        <w:spacing w:line="50" w:lineRule="exact"/>
        <w:ind w:left="7469"/>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pStyle w:val="BodyText"/>
        <w:spacing w:before="77"/>
        <w:ind w:left="2531" w:right="685"/>
      </w:pPr>
      <w:r>
        <w:rPr/>
        <w:t>The accompanying notes form part of these financial statements.</w:t>
      </w:r>
    </w:p>
    <w:p>
      <w:pPr>
        <w:spacing w:after="0"/>
        <w:sectPr>
          <w:pgSz w:w="11910" w:h="16840"/>
          <w:pgMar w:header="1038" w:footer="507" w:top="1460" w:bottom="700" w:left="860" w:right="860"/>
        </w:sectPr>
      </w:pPr>
    </w:p>
    <w:p>
      <w:pPr>
        <w:pStyle w:val="BodyText"/>
        <w:spacing w:before="2"/>
        <w:rPr>
          <w:sz w:val="24"/>
        </w:rPr>
      </w:pPr>
    </w:p>
    <w:p>
      <w:pPr>
        <w:pStyle w:val="Heading3"/>
        <w:spacing w:before="64"/>
      </w:pPr>
      <w:r>
        <w:rPr/>
        <w:t>Notes to the Financial Statements</w:t>
      </w:r>
    </w:p>
    <w:p>
      <w:pPr>
        <w:pStyle w:val="Heading6"/>
      </w:pPr>
      <w:r>
        <w:rPr/>
        <w:t>For the Year Ended 31 December 2012</w:t>
      </w:r>
    </w:p>
    <w:p>
      <w:pPr>
        <w:pStyle w:val="BodyText"/>
        <w:rPr>
          <w:b/>
          <w:sz w:val="22"/>
        </w:rPr>
      </w:pPr>
    </w:p>
    <w:p>
      <w:pPr>
        <w:pStyle w:val="BodyText"/>
        <w:rPr>
          <w:b/>
          <w:sz w:val="22"/>
        </w:rPr>
      </w:pPr>
    </w:p>
    <w:p>
      <w:pPr>
        <w:pStyle w:val="BodyText"/>
        <w:spacing w:before="160"/>
        <w:ind w:left="109" w:right="265"/>
      </w:pPr>
      <w:r>
        <w:rPr/>
        <w:t>The principal accounting policies adopted in the preparation of these financial statements are set out below. These policies have been consistently applied to all the years reported, unless otherwise stated.</w:t>
      </w:r>
    </w:p>
    <w:p>
      <w:pPr>
        <w:pStyle w:val="BodyText"/>
        <w:rPr>
          <w:sz w:val="25"/>
        </w:rPr>
      </w:pPr>
    </w:p>
    <w:p>
      <w:pPr>
        <w:pStyle w:val="Heading9"/>
        <w:tabs>
          <w:tab w:pos="503" w:val="left" w:leader="none"/>
        </w:tabs>
        <w:ind w:left="109" w:right="125"/>
      </w:pPr>
      <w:r>
        <w:rPr/>
        <w:t>1</w:t>
        <w:tab/>
        <w:t>Summary of Significant Accounting</w:t>
      </w:r>
      <w:r>
        <w:rPr>
          <w:spacing w:val="-3"/>
        </w:rPr>
        <w:t> </w:t>
      </w:r>
      <w:r>
        <w:rPr/>
        <w:t>Policies</w:t>
      </w:r>
    </w:p>
    <w:p>
      <w:pPr>
        <w:pStyle w:val="BodyText"/>
        <w:spacing w:before="11"/>
        <w:rPr>
          <w:b/>
          <w:sz w:val="24"/>
        </w:rPr>
      </w:pPr>
    </w:p>
    <w:p>
      <w:pPr>
        <w:pStyle w:val="ListParagraph"/>
        <w:numPr>
          <w:ilvl w:val="0"/>
          <w:numId w:val="84"/>
        </w:numPr>
        <w:tabs>
          <w:tab w:pos="1071" w:val="left" w:leader="none"/>
        </w:tabs>
        <w:spacing w:line="240" w:lineRule="auto" w:before="0" w:after="0"/>
        <w:ind w:left="1070" w:right="0" w:hanging="566"/>
        <w:jc w:val="left"/>
        <w:rPr>
          <w:b/>
          <w:sz w:val="18"/>
        </w:rPr>
      </w:pPr>
      <w:r>
        <w:rPr>
          <w:b/>
          <w:sz w:val="18"/>
        </w:rPr>
        <w:t>Basis of</w:t>
      </w:r>
      <w:r>
        <w:rPr>
          <w:b/>
          <w:spacing w:val="-1"/>
          <w:sz w:val="18"/>
        </w:rPr>
        <w:t> </w:t>
      </w:r>
      <w:r>
        <w:rPr>
          <w:b/>
          <w:sz w:val="18"/>
        </w:rPr>
        <w:t>Preparation</w:t>
      </w:r>
    </w:p>
    <w:p>
      <w:pPr>
        <w:pStyle w:val="BodyText"/>
        <w:rPr>
          <w:b/>
          <w:sz w:val="25"/>
        </w:rPr>
      </w:pPr>
    </w:p>
    <w:p>
      <w:pPr>
        <w:spacing w:before="0"/>
        <w:ind w:left="1070" w:right="104" w:firstLine="0"/>
        <w:jc w:val="left"/>
        <w:rPr>
          <w:i/>
          <w:sz w:val="18"/>
        </w:rPr>
      </w:pPr>
      <w:r>
        <w:rPr>
          <w:sz w:val="18"/>
        </w:rPr>
        <w:t>The financial statements are general purpose financial statements which have been prepared in accordance with Australian Accounting Standards, Australian Accounting Interpretations, other legislative requirements, and the </w:t>
      </w:r>
      <w:r>
        <w:rPr>
          <w:i/>
          <w:sz w:val="18"/>
        </w:rPr>
        <w:t>Corporations Act 2001</w:t>
      </w:r>
      <w:r>
        <w:rPr>
          <w:sz w:val="18"/>
        </w:rPr>
        <w:t>, Section 41B(1) of the </w:t>
      </w:r>
      <w:r>
        <w:rPr>
          <w:i/>
          <w:sz w:val="18"/>
        </w:rPr>
        <w:t>Public Finance &amp; Audit Act 1983</w:t>
      </w:r>
      <w:r>
        <w:rPr>
          <w:sz w:val="18"/>
        </w:rPr>
        <w:t>, </w:t>
      </w:r>
      <w:r>
        <w:rPr>
          <w:i/>
          <w:sz w:val="18"/>
        </w:rPr>
        <w:t>Public Finance &amp; Audit </w:t>
      </w:r>
      <w:r>
        <w:rPr>
          <w:i/>
          <w:sz w:val="18"/>
        </w:rPr>
        <w:t>Regulation 2010</w:t>
      </w:r>
    </w:p>
    <w:p>
      <w:pPr>
        <w:pStyle w:val="BodyText"/>
        <w:rPr>
          <w:i/>
          <w:sz w:val="25"/>
        </w:rPr>
      </w:pPr>
    </w:p>
    <w:p>
      <w:pPr>
        <w:pStyle w:val="BodyText"/>
        <w:ind w:left="1070" w:right="334"/>
      </w:pPr>
      <w:r>
        <w:rPr/>
        <w:t>The financial statements and notes of the Company comply with Australian Accounting Standards, some of which contain requirements specific to not-for-profit entities that are inconsistent with IFRS requirements.</w:t>
      </w:r>
    </w:p>
    <w:p>
      <w:pPr>
        <w:pStyle w:val="BodyText"/>
        <w:rPr>
          <w:sz w:val="25"/>
        </w:rPr>
      </w:pPr>
    </w:p>
    <w:p>
      <w:pPr>
        <w:pStyle w:val="BodyText"/>
        <w:ind w:left="1070" w:right="125"/>
      </w:pPr>
      <w:r>
        <w:rPr/>
        <w:t>Material accounting policies adopted in the preparation of these financial statements are presented below and have been consistently applied unless otherwise stated.</w:t>
      </w:r>
    </w:p>
    <w:p>
      <w:pPr>
        <w:pStyle w:val="BodyText"/>
        <w:rPr>
          <w:sz w:val="25"/>
        </w:rPr>
      </w:pPr>
    </w:p>
    <w:p>
      <w:pPr>
        <w:pStyle w:val="BodyText"/>
        <w:ind w:left="1070" w:right="135"/>
      </w:pPr>
      <w:r>
        <w:rPr/>
        <w:t>The financial statements have been prepared on an accruals basis and are based on historical costs, modified, where applicable, by the measurement at fair value of selected non-current assets, financial assets and financial liabilities.</w:t>
      </w:r>
    </w:p>
    <w:p>
      <w:pPr>
        <w:pStyle w:val="BodyText"/>
        <w:spacing w:before="10"/>
        <w:rPr>
          <w:sz w:val="24"/>
        </w:rPr>
      </w:pPr>
    </w:p>
    <w:p>
      <w:pPr>
        <w:pStyle w:val="Heading9"/>
        <w:numPr>
          <w:ilvl w:val="0"/>
          <w:numId w:val="84"/>
        </w:numPr>
        <w:tabs>
          <w:tab w:pos="1071" w:val="left" w:leader="none"/>
        </w:tabs>
        <w:spacing w:line="240" w:lineRule="auto" w:before="0" w:after="0"/>
        <w:ind w:left="1070" w:right="0" w:hanging="566"/>
        <w:jc w:val="left"/>
      </w:pPr>
      <w:r>
        <w:rPr/>
        <w:t>Foreign currency transactions and</w:t>
      </w:r>
      <w:r>
        <w:rPr>
          <w:spacing w:val="-2"/>
        </w:rPr>
        <w:t> </w:t>
      </w:r>
      <w:r>
        <w:rPr/>
        <w:t>balances</w:t>
      </w:r>
    </w:p>
    <w:p>
      <w:pPr>
        <w:pStyle w:val="BodyText"/>
        <w:rPr>
          <w:b/>
          <w:sz w:val="25"/>
        </w:rPr>
      </w:pPr>
    </w:p>
    <w:p>
      <w:pPr>
        <w:pStyle w:val="BodyText"/>
        <w:ind w:left="1070" w:right="305"/>
      </w:pPr>
      <w:r>
        <w:rPr/>
        <w:t>The functional currency of the Company is measured using the currency of the primary economic environment which is Australian dollars. The 2012 financial statements are presented in Australian dollars which is the ultimate parent entity's functional and presentation currency.</w:t>
      </w:r>
    </w:p>
    <w:p>
      <w:pPr>
        <w:pStyle w:val="BodyText"/>
        <w:spacing w:before="11"/>
        <w:rPr>
          <w:sz w:val="24"/>
        </w:rPr>
      </w:pPr>
    </w:p>
    <w:p>
      <w:pPr>
        <w:pStyle w:val="Heading9"/>
        <w:numPr>
          <w:ilvl w:val="0"/>
          <w:numId w:val="84"/>
        </w:numPr>
        <w:tabs>
          <w:tab w:pos="1071" w:val="left" w:leader="none"/>
        </w:tabs>
        <w:spacing w:line="240" w:lineRule="auto" w:before="0" w:after="0"/>
        <w:ind w:left="1070" w:right="0" w:hanging="566"/>
        <w:jc w:val="left"/>
      </w:pPr>
      <w:r>
        <w:rPr/>
        <w:t>Comparative</w:t>
      </w:r>
      <w:r>
        <w:rPr>
          <w:spacing w:val="-1"/>
        </w:rPr>
        <w:t> </w:t>
      </w:r>
      <w:r>
        <w:rPr/>
        <w:t>Amounts</w:t>
      </w:r>
    </w:p>
    <w:p>
      <w:pPr>
        <w:pStyle w:val="BodyText"/>
        <w:spacing w:before="11"/>
        <w:rPr>
          <w:b/>
          <w:sz w:val="24"/>
        </w:rPr>
      </w:pPr>
    </w:p>
    <w:p>
      <w:pPr>
        <w:pStyle w:val="BodyText"/>
        <w:ind w:left="1070" w:right="514"/>
      </w:pPr>
      <w:r>
        <w:rPr/>
        <w:t>When required by Accounting Standards, comparative figures have been adjusted to conform to changes in presentation for the current financial year.</w:t>
      </w:r>
    </w:p>
    <w:p>
      <w:pPr>
        <w:pStyle w:val="BodyText"/>
        <w:rPr>
          <w:sz w:val="25"/>
        </w:rPr>
      </w:pPr>
    </w:p>
    <w:p>
      <w:pPr>
        <w:pStyle w:val="BodyText"/>
        <w:ind w:left="1070" w:right="125"/>
      </w:pPr>
      <w:r>
        <w:rPr/>
        <w:t>When the Company applies an accounting policy retrospectively, makes a retrospective restatement or reclassifies items in its financial statements, a statement of financial position as at the beginning of the earliest comparative period will be presented.</w:t>
      </w:r>
    </w:p>
    <w:p>
      <w:pPr>
        <w:pStyle w:val="BodyText"/>
        <w:rPr>
          <w:sz w:val="25"/>
        </w:rPr>
      </w:pPr>
    </w:p>
    <w:p>
      <w:pPr>
        <w:pStyle w:val="BodyText"/>
        <w:ind w:left="1070" w:right="635"/>
      </w:pPr>
      <w:r>
        <w:rPr/>
        <w:t>There has been some reclassification to comparatives to conform with the current years presentation. The following reclassifications were made in the statement of financial position.</w:t>
      </w:r>
    </w:p>
    <w:p>
      <w:pPr>
        <w:spacing w:after="0"/>
        <w:sectPr>
          <w:pgSz w:w="11910" w:h="16840"/>
          <w:pgMar w:header="1038" w:footer="507" w:top="1460" w:bottom="700" w:left="900" w:right="860"/>
        </w:sectPr>
      </w:pPr>
    </w:p>
    <w:p>
      <w:pPr>
        <w:pStyle w:val="BodyText"/>
        <w:spacing w:before="2"/>
        <w:rPr>
          <w:sz w:val="24"/>
        </w:rPr>
      </w:pPr>
    </w:p>
    <w:p>
      <w:pPr>
        <w:pStyle w:val="Heading3"/>
        <w:spacing w:before="64"/>
      </w:pPr>
      <w:r>
        <w:rPr/>
        <w:t>Notes to the Financial Statements</w:t>
      </w:r>
    </w:p>
    <w:p>
      <w:pPr>
        <w:pStyle w:val="Heading6"/>
      </w:pPr>
      <w:r>
        <w:rPr/>
        <w:t>For the Year Ended 31 December 2012</w:t>
      </w:r>
    </w:p>
    <w:p>
      <w:pPr>
        <w:pStyle w:val="BodyText"/>
        <w:rPr>
          <w:b/>
          <w:sz w:val="22"/>
        </w:rPr>
      </w:pPr>
    </w:p>
    <w:p>
      <w:pPr>
        <w:pStyle w:val="BodyText"/>
        <w:rPr>
          <w:b/>
          <w:sz w:val="22"/>
        </w:rPr>
      </w:pPr>
    </w:p>
    <w:p>
      <w:pPr>
        <w:pStyle w:val="Heading9"/>
        <w:tabs>
          <w:tab w:pos="503" w:val="left" w:leader="none"/>
        </w:tabs>
        <w:spacing w:before="160"/>
        <w:ind w:left="109" w:right="125"/>
      </w:pPr>
      <w:r>
        <w:rPr/>
        <w:t>1</w:t>
        <w:tab/>
        <w:t>Summary of Significant Accounting Policies</w:t>
      </w:r>
      <w:r>
        <w:rPr>
          <w:spacing w:val="-3"/>
        </w:rPr>
        <w:t> </w:t>
      </w:r>
      <w:r>
        <w:rPr/>
        <w:t>continued</w:t>
      </w:r>
    </w:p>
    <w:p>
      <w:pPr>
        <w:pStyle w:val="BodyText"/>
        <w:spacing w:before="3"/>
        <w:rPr>
          <w:b/>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3"/>
        <w:gridCol w:w="3700"/>
        <w:gridCol w:w="1297"/>
        <w:gridCol w:w="2828"/>
        <w:gridCol w:w="1297"/>
      </w:tblGrid>
      <w:tr>
        <w:trPr>
          <w:trHeight w:val="567" w:hRule="exact"/>
        </w:trPr>
        <w:tc>
          <w:tcPr>
            <w:tcW w:w="433" w:type="dxa"/>
          </w:tcPr>
          <w:p>
            <w:pPr>
              <w:pStyle w:val="TableParagraph"/>
              <w:spacing w:before="77"/>
              <w:ind w:left="35"/>
              <w:rPr>
                <w:b/>
                <w:sz w:val="18"/>
              </w:rPr>
            </w:pPr>
            <w:r>
              <w:rPr>
                <w:b/>
                <w:sz w:val="18"/>
              </w:rPr>
              <w:t>(c)</w:t>
            </w:r>
          </w:p>
        </w:tc>
        <w:tc>
          <w:tcPr>
            <w:tcW w:w="3700" w:type="dxa"/>
          </w:tcPr>
          <w:p>
            <w:pPr>
              <w:pStyle w:val="TableParagraph"/>
              <w:spacing w:before="77"/>
              <w:ind w:left="168"/>
              <w:rPr>
                <w:b/>
                <w:sz w:val="18"/>
              </w:rPr>
            </w:pPr>
            <w:r>
              <w:rPr>
                <w:b/>
                <w:sz w:val="18"/>
              </w:rPr>
              <w:t>Comparative Amounts continued</w:t>
            </w:r>
          </w:p>
        </w:tc>
        <w:tc>
          <w:tcPr>
            <w:tcW w:w="1297" w:type="dxa"/>
          </w:tcPr>
          <w:p>
            <w:pPr>
              <w:pStyle w:val="TableParagraph"/>
              <w:rPr>
                <w:b/>
                <w:sz w:val="18"/>
              </w:rPr>
            </w:pPr>
          </w:p>
          <w:p>
            <w:pPr>
              <w:pStyle w:val="TableParagraph"/>
              <w:spacing w:before="110"/>
              <w:ind w:left="307"/>
              <w:rPr>
                <w:b/>
                <w:sz w:val="18"/>
              </w:rPr>
            </w:pPr>
            <w:r>
              <w:rPr>
                <w:b/>
                <w:sz w:val="18"/>
              </w:rPr>
              <w:t>Original</w:t>
            </w:r>
          </w:p>
        </w:tc>
        <w:tc>
          <w:tcPr>
            <w:tcW w:w="2828" w:type="dxa"/>
          </w:tcPr>
          <w:p>
            <w:pPr/>
          </w:p>
        </w:tc>
        <w:tc>
          <w:tcPr>
            <w:tcW w:w="1297" w:type="dxa"/>
          </w:tcPr>
          <w:p>
            <w:pPr>
              <w:pStyle w:val="TableParagraph"/>
              <w:rPr>
                <w:b/>
                <w:sz w:val="18"/>
              </w:rPr>
            </w:pPr>
          </w:p>
          <w:p>
            <w:pPr>
              <w:pStyle w:val="TableParagraph"/>
              <w:spacing w:before="110"/>
              <w:ind w:left="279"/>
              <w:rPr>
                <w:b/>
                <w:sz w:val="18"/>
              </w:rPr>
            </w:pPr>
            <w:r>
              <w:rPr>
                <w:b/>
                <w:sz w:val="18"/>
              </w:rPr>
              <w:t>Revised</w:t>
            </w:r>
          </w:p>
        </w:tc>
      </w:tr>
      <w:tr>
        <w:trPr>
          <w:trHeight w:val="274" w:hRule="exact"/>
        </w:trPr>
        <w:tc>
          <w:tcPr>
            <w:tcW w:w="433" w:type="dxa"/>
          </w:tcPr>
          <w:p>
            <w:pPr/>
          </w:p>
        </w:tc>
        <w:tc>
          <w:tcPr>
            <w:tcW w:w="3700" w:type="dxa"/>
          </w:tcPr>
          <w:p>
            <w:pPr/>
          </w:p>
        </w:tc>
        <w:tc>
          <w:tcPr>
            <w:tcW w:w="1297" w:type="dxa"/>
          </w:tcPr>
          <w:p>
            <w:pPr>
              <w:pStyle w:val="TableParagraph"/>
              <w:spacing w:before="24"/>
              <w:ind w:left="428" w:right="428"/>
              <w:jc w:val="center"/>
              <w:rPr>
                <w:b/>
                <w:sz w:val="18"/>
              </w:rPr>
            </w:pPr>
            <w:r>
              <w:rPr>
                <w:b/>
                <w:sz w:val="18"/>
              </w:rPr>
              <w:t>2011</w:t>
            </w:r>
          </w:p>
        </w:tc>
        <w:tc>
          <w:tcPr>
            <w:tcW w:w="2828" w:type="dxa"/>
          </w:tcPr>
          <w:p>
            <w:pPr/>
          </w:p>
        </w:tc>
        <w:tc>
          <w:tcPr>
            <w:tcW w:w="1297" w:type="dxa"/>
          </w:tcPr>
          <w:p>
            <w:pPr>
              <w:pStyle w:val="TableParagraph"/>
              <w:spacing w:before="24"/>
              <w:ind w:left="428" w:right="428"/>
              <w:jc w:val="center"/>
              <w:rPr>
                <w:b/>
                <w:sz w:val="18"/>
              </w:rPr>
            </w:pPr>
            <w:r>
              <w:rPr>
                <w:b/>
                <w:sz w:val="18"/>
              </w:rPr>
              <w:t>2011</w:t>
            </w:r>
          </w:p>
        </w:tc>
      </w:tr>
      <w:tr>
        <w:trPr>
          <w:trHeight w:val="313" w:hRule="exact"/>
        </w:trPr>
        <w:tc>
          <w:tcPr>
            <w:tcW w:w="433" w:type="dxa"/>
          </w:tcPr>
          <w:p>
            <w:pPr/>
          </w:p>
        </w:tc>
        <w:tc>
          <w:tcPr>
            <w:tcW w:w="3700" w:type="dxa"/>
          </w:tcPr>
          <w:p>
            <w:pPr/>
          </w:p>
        </w:tc>
        <w:tc>
          <w:tcPr>
            <w:tcW w:w="1297" w:type="dxa"/>
          </w:tcPr>
          <w:p>
            <w:pPr>
              <w:pStyle w:val="TableParagraph"/>
              <w:spacing w:before="24"/>
              <w:jc w:val="center"/>
              <w:rPr>
                <w:b/>
                <w:sz w:val="18"/>
              </w:rPr>
            </w:pPr>
            <w:r>
              <w:rPr>
                <w:b/>
                <w:w w:val="99"/>
                <w:sz w:val="18"/>
              </w:rPr>
              <w:t>$</w:t>
            </w:r>
          </w:p>
        </w:tc>
        <w:tc>
          <w:tcPr>
            <w:tcW w:w="2828" w:type="dxa"/>
          </w:tcPr>
          <w:p>
            <w:pPr/>
          </w:p>
        </w:tc>
        <w:tc>
          <w:tcPr>
            <w:tcW w:w="1297" w:type="dxa"/>
          </w:tcPr>
          <w:p>
            <w:pPr>
              <w:pStyle w:val="TableParagraph"/>
              <w:spacing w:before="24"/>
              <w:jc w:val="center"/>
              <w:rPr>
                <w:b/>
                <w:sz w:val="18"/>
              </w:rPr>
            </w:pPr>
            <w:r>
              <w:rPr>
                <w:b/>
                <w:w w:val="99"/>
                <w:sz w:val="18"/>
              </w:rPr>
              <w:t>$</w:t>
            </w:r>
          </w:p>
        </w:tc>
      </w:tr>
      <w:tr>
        <w:trPr>
          <w:trHeight w:val="421" w:hRule="exact"/>
        </w:trPr>
        <w:tc>
          <w:tcPr>
            <w:tcW w:w="433" w:type="dxa"/>
          </w:tcPr>
          <w:p>
            <w:pPr/>
          </w:p>
        </w:tc>
        <w:tc>
          <w:tcPr>
            <w:tcW w:w="3700" w:type="dxa"/>
          </w:tcPr>
          <w:p>
            <w:pPr>
              <w:pStyle w:val="TableParagraph"/>
              <w:spacing w:before="63"/>
              <w:ind w:left="197"/>
              <w:rPr>
                <w:b/>
                <w:sz w:val="18"/>
              </w:rPr>
            </w:pPr>
            <w:r>
              <w:rPr>
                <w:b/>
                <w:sz w:val="18"/>
              </w:rPr>
              <w:t>Current assets</w:t>
            </w:r>
          </w:p>
        </w:tc>
        <w:tc>
          <w:tcPr>
            <w:tcW w:w="1297" w:type="dxa"/>
          </w:tcPr>
          <w:p>
            <w:pPr/>
          </w:p>
        </w:tc>
        <w:tc>
          <w:tcPr>
            <w:tcW w:w="2828" w:type="dxa"/>
          </w:tcPr>
          <w:p>
            <w:pPr/>
          </w:p>
        </w:tc>
        <w:tc>
          <w:tcPr>
            <w:tcW w:w="1297" w:type="dxa"/>
          </w:tcPr>
          <w:p>
            <w:pPr/>
          </w:p>
        </w:tc>
      </w:tr>
      <w:tr>
        <w:trPr>
          <w:trHeight w:val="377" w:hRule="exact"/>
        </w:trPr>
        <w:tc>
          <w:tcPr>
            <w:tcW w:w="433" w:type="dxa"/>
          </w:tcPr>
          <w:p>
            <w:pPr/>
          </w:p>
        </w:tc>
        <w:tc>
          <w:tcPr>
            <w:tcW w:w="3700" w:type="dxa"/>
          </w:tcPr>
          <w:p>
            <w:pPr>
              <w:pStyle w:val="TableParagraph"/>
              <w:spacing w:before="132"/>
              <w:ind w:left="197"/>
              <w:rPr>
                <w:sz w:val="18"/>
              </w:rPr>
            </w:pPr>
            <w:r>
              <w:rPr>
                <w:sz w:val="18"/>
              </w:rPr>
              <w:t>Trade and other receivables</w:t>
            </w:r>
          </w:p>
        </w:tc>
        <w:tc>
          <w:tcPr>
            <w:tcW w:w="1297" w:type="dxa"/>
          </w:tcPr>
          <w:p>
            <w:pPr>
              <w:pStyle w:val="TableParagraph"/>
              <w:spacing w:before="132"/>
              <w:ind w:right="84"/>
              <w:jc w:val="right"/>
              <w:rPr>
                <w:sz w:val="18"/>
              </w:rPr>
            </w:pPr>
            <w:r>
              <w:rPr>
                <w:w w:val="95"/>
                <w:sz w:val="18"/>
              </w:rPr>
              <w:t>1,946,479</w:t>
            </w:r>
          </w:p>
        </w:tc>
        <w:tc>
          <w:tcPr>
            <w:tcW w:w="2828" w:type="dxa"/>
          </w:tcPr>
          <w:p>
            <w:pPr>
              <w:pStyle w:val="TableParagraph"/>
              <w:spacing w:before="132"/>
              <w:ind w:left="27"/>
              <w:rPr>
                <w:sz w:val="18"/>
              </w:rPr>
            </w:pPr>
            <w:r>
              <w:rPr>
                <w:sz w:val="18"/>
              </w:rPr>
              <w:t>Trade receivables</w:t>
            </w:r>
          </w:p>
        </w:tc>
        <w:tc>
          <w:tcPr>
            <w:tcW w:w="1297" w:type="dxa"/>
          </w:tcPr>
          <w:p>
            <w:pPr>
              <w:pStyle w:val="TableParagraph"/>
              <w:spacing w:before="132"/>
              <w:ind w:right="85"/>
              <w:jc w:val="right"/>
              <w:rPr>
                <w:sz w:val="18"/>
              </w:rPr>
            </w:pPr>
            <w:r>
              <w:rPr>
                <w:w w:val="95"/>
                <w:sz w:val="18"/>
              </w:rPr>
              <w:t>71,978</w:t>
            </w:r>
          </w:p>
        </w:tc>
      </w:tr>
      <w:tr>
        <w:trPr>
          <w:trHeight w:val="264" w:hRule="exact"/>
        </w:trPr>
        <w:tc>
          <w:tcPr>
            <w:tcW w:w="433" w:type="dxa"/>
          </w:tcPr>
          <w:p>
            <w:pPr/>
          </w:p>
        </w:tc>
        <w:tc>
          <w:tcPr>
            <w:tcW w:w="3700" w:type="dxa"/>
          </w:tcPr>
          <w:p>
            <w:pPr/>
          </w:p>
        </w:tc>
        <w:tc>
          <w:tcPr>
            <w:tcW w:w="1297" w:type="dxa"/>
          </w:tcPr>
          <w:p>
            <w:pPr>
              <w:pStyle w:val="TableParagraph"/>
              <w:spacing w:before="19"/>
              <w:ind w:right="1"/>
              <w:jc w:val="center"/>
              <w:rPr>
                <w:sz w:val="18"/>
              </w:rPr>
            </w:pPr>
            <w:r>
              <w:rPr>
                <w:w w:val="99"/>
                <w:sz w:val="18"/>
              </w:rPr>
              <w:t>-</w:t>
            </w:r>
          </w:p>
        </w:tc>
        <w:tc>
          <w:tcPr>
            <w:tcW w:w="2828" w:type="dxa"/>
          </w:tcPr>
          <w:p>
            <w:pPr>
              <w:pStyle w:val="TableParagraph"/>
              <w:spacing w:before="19"/>
              <w:ind w:left="27"/>
              <w:rPr>
                <w:sz w:val="18"/>
              </w:rPr>
            </w:pPr>
            <w:r>
              <w:rPr>
                <w:sz w:val="18"/>
              </w:rPr>
              <w:t>Prepayments</w:t>
            </w:r>
          </w:p>
        </w:tc>
        <w:tc>
          <w:tcPr>
            <w:tcW w:w="1297" w:type="dxa"/>
          </w:tcPr>
          <w:p>
            <w:pPr>
              <w:pStyle w:val="TableParagraph"/>
              <w:spacing w:before="19"/>
              <w:ind w:right="84"/>
              <w:jc w:val="right"/>
              <w:rPr>
                <w:sz w:val="18"/>
              </w:rPr>
            </w:pPr>
            <w:r>
              <w:rPr>
                <w:w w:val="95"/>
                <w:sz w:val="18"/>
              </w:rPr>
              <w:t>942,841</w:t>
            </w:r>
          </w:p>
        </w:tc>
      </w:tr>
      <w:tr>
        <w:trPr>
          <w:trHeight w:val="263" w:hRule="exact"/>
        </w:trPr>
        <w:tc>
          <w:tcPr>
            <w:tcW w:w="433" w:type="dxa"/>
          </w:tcPr>
          <w:p>
            <w:pPr/>
          </w:p>
        </w:tc>
        <w:tc>
          <w:tcPr>
            <w:tcW w:w="3700" w:type="dxa"/>
          </w:tcPr>
          <w:p>
            <w:pPr/>
          </w:p>
        </w:tc>
        <w:tc>
          <w:tcPr>
            <w:tcW w:w="1297" w:type="dxa"/>
            <w:tcBorders>
              <w:bottom w:val="single" w:sz="0" w:space="0" w:color="000000"/>
            </w:tcBorders>
          </w:tcPr>
          <w:p>
            <w:pPr>
              <w:pStyle w:val="TableParagraph"/>
              <w:spacing w:before="19"/>
              <w:ind w:right="1"/>
              <w:jc w:val="center"/>
              <w:rPr>
                <w:sz w:val="18"/>
              </w:rPr>
            </w:pPr>
            <w:r>
              <w:rPr>
                <w:w w:val="99"/>
                <w:sz w:val="18"/>
              </w:rPr>
              <w:t>-</w:t>
            </w:r>
          </w:p>
        </w:tc>
        <w:tc>
          <w:tcPr>
            <w:tcW w:w="2828" w:type="dxa"/>
          </w:tcPr>
          <w:p>
            <w:pPr>
              <w:pStyle w:val="TableParagraph"/>
              <w:spacing w:before="19"/>
              <w:ind w:left="27"/>
              <w:rPr>
                <w:sz w:val="18"/>
              </w:rPr>
            </w:pPr>
            <w:r>
              <w:rPr>
                <w:sz w:val="18"/>
              </w:rPr>
              <w:t>Accrued revenue</w:t>
            </w:r>
          </w:p>
        </w:tc>
        <w:tc>
          <w:tcPr>
            <w:tcW w:w="1297" w:type="dxa"/>
            <w:tcBorders>
              <w:bottom w:val="single" w:sz="0" w:space="0" w:color="000000"/>
            </w:tcBorders>
          </w:tcPr>
          <w:p>
            <w:pPr>
              <w:pStyle w:val="TableParagraph"/>
              <w:spacing w:before="19"/>
              <w:ind w:right="84"/>
              <w:jc w:val="right"/>
              <w:rPr>
                <w:sz w:val="18"/>
              </w:rPr>
            </w:pPr>
            <w:r>
              <w:rPr>
                <w:w w:val="95"/>
                <w:sz w:val="18"/>
              </w:rPr>
              <w:t>931,660</w:t>
            </w:r>
          </w:p>
        </w:tc>
      </w:tr>
      <w:tr>
        <w:trPr>
          <w:trHeight w:val="481" w:hRule="exact"/>
        </w:trPr>
        <w:tc>
          <w:tcPr>
            <w:tcW w:w="433" w:type="dxa"/>
          </w:tcPr>
          <w:p>
            <w:pPr/>
          </w:p>
        </w:tc>
        <w:tc>
          <w:tcPr>
            <w:tcW w:w="3700" w:type="dxa"/>
          </w:tcPr>
          <w:p>
            <w:pPr>
              <w:pStyle w:val="TableParagraph"/>
              <w:spacing w:before="123"/>
              <w:ind w:left="197"/>
              <w:rPr>
                <w:b/>
                <w:sz w:val="18"/>
              </w:rPr>
            </w:pPr>
            <w:r>
              <w:rPr>
                <w:b/>
                <w:sz w:val="18"/>
              </w:rPr>
              <w:t>Total</w:t>
            </w:r>
          </w:p>
        </w:tc>
        <w:tc>
          <w:tcPr>
            <w:tcW w:w="1297" w:type="dxa"/>
            <w:tcBorders>
              <w:top w:val="single" w:sz="0" w:space="0" w:color="000000"/>
            </w:tcBorders>
          </w:tcPr>
          <w:p>
            <w:pPr>
              <w:pStyle w:val="TableParagraph"/>
              <w:spacing w:before="122"/>
              <w:ind w:right="84"/>
              <w:jc w:val="right"/>
              <w:rPr>
                <w:b/>
                <w:sz w:val="18"/>
              </w:rPr>
            </w:pPr>
            <w:r>
              <w:rPr>
                <w:b/>
                <w:w w:val="95"/>
                <w:sz w:val="18"/>
              </w:rPr>
              <w:t>1,946,479</w:t>
            </w:r>
          </w:p>
        </w:tc>
        <w:tc>
          <w:tcPr>
            <w:tcW w:w="2828" w:type="dxa"/>
          </w:tcPr>
          <w:p>
            <w:pPr>
              <w:pStyle w:val="TableParagraph"/>
              <w:spacing w:before="123"/>
              <w:ind w:left="27"/>
              <w:rPr>
                <w:b/>
                <w:sz w:val="18"/>
              </w:rPr>
            </w:pPr>
            <w:r>
              <w:rPr>
                <w:b/>
                <w:sz w:val="18"/>
              </w:rPr>
              <w:t>Total</w:t>
            </w:r>
          </w:p>
        </w:tc>
        <w:tc>
          <w:tcPr>
            <w:tcW w:w="1297" w:type="dxa"/>
            <w:tcBorders>
              <w:top w:val="single" w:sz="0" w:space="0" w:color="000000"/>
            </w:tcBorders>
          </w:tcPr>
          <w:p>
            <w:pPr>
              <w:pStyle w:val="TableParagraph"/>
              <w:spacing w:before="122"/>
              <w:ind w:right="84"/>
              <w:jc w:val="right"/>
              <w:rPr>
                <w:b/>
                <w:sz w:val="18"/>
              </w:rPr>
            </w:pPr>
            <w:r>
              <w:rPr>
                <w:b/>
                <w:w w:val="95"/>
                <w:sz w:val="18"/>
              </w:rPr>
              <w:t>1,946,479</w:t>
            </w:r>
          </w:p>
        </w:tc>
      </w:tr>
      <w:tr>
        <w:trPr>
          <w:trHeight w:val="490" w:hRule="exact"/>
        </w:trPr>
        <w:tc>
          <w:tcPr>
            <w:tcW w:w="433" w:type="dxa"/>
          </w:tcPr>
          <w:p>
            <w:pPr/>
          </w:p>
        </w:tc>
        <w:tc>
          <w:tcPr>
            <w:tcW w:w="3700" w:type="dxa"/>
          </w:tcPr>
          <w:p>
            <w:pPr>
              <w:pStyle w:val="TableParagraph"/>
              <w:spacing w:before="132"/>
              <w:ind w:left="197"/>
              <w:rPr>
                <w:b/>
                <w:sz w:val="18"/>
              </w:rPr>
            </w:pPr>
            <w:r>
              <w:rPr>
                <w:b/>
                <w:sz w:val="18"/>
              </w:rPr>
              <w:t>Current liabilities</w:t>
            </w:r>
          </w:p>
        </w:tc>
        <w:tc>
          <w:tcPr>
            <w:tcW w:w="1297" w:type="dxa"/>
          </w:tcPr>
          <w:p>
            <w:pPr/>
          </w:p>
        </w:tc>
        <w:tc>
          <w:tcPr>
            <w:tcW w:w="2828" w:type="dxa"/>
          </w:tcPr>
          <w:p>
            <w:pPr/>
          </w:p>
        </w:tc>
        <w:tc>
          <w:tcPr>
            <w:tcW w:w="1297" w:type="dxa"/>
          </w:tcPr>
          <w:p>
            <w:pPr/>
          </w:p>
        </w:tc>
      </w:tr>
      <w:tr>
        <w:trPr>
          <w:trHeight w:val="377" w:hRule="exact"/>
        </w:trPr>
        <w:tc>
          <w:tcPr>
            <w:tcW w:w="433" w:type="dxa"/>
          </w:tcPr>
          <w:p>
            <w:pPr/>
          </w:p>
        </w:tc>
        <w:tc>
          <w:tcPr>
            <w:tcW w:w="3700" w:type="dxa"/>
          </w:tcPr>
          <w:p>
            <w:pPr>
              <w:pStyle w:val="TableParagraph"/>
              <w:spacing w:before="132"/>
              <w:ind w:left="197"/>
              <w:rPr>
                <w:sz w:val="18"/>
              </w:rPr>
            </w:pPr>
            <w:r>
              <w:rPr>
                <w:sz w:val="18"/>
              </w:rPr>
              <w:t>Trade and other payables</w:t>
            </w:r>
          </w:p>
        </w:tc>
        <w:tc>
          <w:tcPr>
            <w:tcW w:w="1297" w:type="dxa"/>
          </w:tcPr>
          <w:p>
            <w:pPr>
              <w:pStyle w:val="TableParagraph"/>
              <w:spacing w:before="132"/>
              <w:ind w:right="84"/>
              <w:jc w:val="right"/>
              <w:rPr>
                <w:sz w:val="18"/>
              </w:rPr>
            </w:pPr>
            <w:r>
              <w:rPr>
                <w:w w:val="95"/>
                <w:sz w:val="18"/>
              </w:rPr>
              <w:t>2,336,078</w:t>
            </w:r>
          </w:p>
        </w:tc>
        <w:tc>
          <w:tcPr>
            <w:tcW w:w="2828" w:type="dxa"/>
          </w:tcPr>
          <w:p>
            <w:pPr>
              <w:pStyle w:val="TableParagraph"/>
              <w:spacing w:before="132"/>
              <w:ind w:left="27"/>
              <w:rPr>
                <w:sz w:val="18"/>
              </w:rPr>
            </w:pPr>
            <w:r>
              <w:rPr>
                <w:sz w:val="18"/>
              </w:rPr>
              <w:t>Trade payables</w:t>
            </w:r>
          </w:p>
        </w:tc>
        <w:tc>
          <w:tcPr>
            <w:tcW w:w="1297" w:type="dxa"/>
          </w:tcPr>
          <w:p>
            <w:pPr>
              <w:pStyle w:val="TableParagraph"/>
              <w:spacing w:before="132"/>
              <w:ind w:right="84"/>
              <w:jc w:val="right"/>
              <w:rPr>
                <w:sz w:val="18"/>
              </w:rPr>
            </w:pPr>
            <w:r>
              <w:rPr>
                <w:w w:val="95"/>
                <w:sz w:val="18"/>
              </w:rPr>
              <w:t>150,737</w:t>
            </w:r>
          </w:p>
        </w:tc>
      </w:tr>
      <w:tr>
        <w:trPr>
          <w:trHeight w:val="264" w:hRule="exact"/>
        </w:trPr>
        <w:tc>
          <w:tcPr>
            <w:tcW w:w="433" w:type="dxa"/>
          </w:tcPr>
          <w:p>
            <w:pPr/>
          </w:p>
        </w:tc>
        <w:tc>
          <w:tcPr>
            <w:tcW w:w="3700" w:type="dxa"/>
          </w:tcPr>
          <w:p>
            <w:pPr/>
          </w:p>
        </w:tc>
        <w:tc>
          <w:tcPr>
            <w:tcW w:w="1297" w:type="dxa"/>
          </w:tcPr>
          <w:p>
            <w:pPr>
              <w:pStyle w:val="TableParagraph"/>
              <w:spacing w:before="19"/>
              <w:ind w:right="1"/>
              <w:jc w:val="center"/>
              <w:rPr>
                <w:sz w:val="18"/>
              </w:rPr>
            </w:pPr>
            <w:r>
              <w:rPr>
                <w:w w:val="99"/>
                <w:sz w:val="18"/>
              </w:rPr>
              <w:t>-</w:t>
            </w:r>
          </w:p>
        </w:tc>
        <w:tc>
          <w:tcPr>
            <w:tcW w:w="2828" w:type="dxa"/>
          </w:tcPr>
          <w:p>
            <w:pPr>
              <w:pStyle w:val="TableParagraph"/>
              <w:spacing w:before="19"/>
              <w:ind w:left="27"/>
              <w:rPr>
                <w:sz w:val="18"/>
              </w:rPr>
            </w:pPr>
            <w:r>
              <w:rPr>
                <w:sz w:val="18"/>
              </w:rPr>
              <w:t>Accrued expenses</w:t>
            </w:r>
          </w:p>
        </w:tc>
        <w:tc>
          <w:tcPr>
            <w:tcW w:w="1297" w:type="dxa"/>
          </w:tcPr>
          <w:p>
            <w:pPr>
              <w:pStyle w:val="TableParagraph"/>
              <w:spacing w:before="19"/>
              <w:ind w:right="84"/>
              <w:jc w:val="right"/>
              <w:rPr>
                <w:sz w:val="18"/>
              </w:rPr>
            </w:pPr>
            <w:r>
              <w:rPr>
                <w:w w:val="95"/>
                <w:sz w:val="18"/>
              </w:rPr>
              <w:t>642,021</w:t>
            </w:r>
          </w:p>
        </w:tc>
      </w:tr>
      <w:tr>
        <w:trPr>
          <w:trHeight w:val="264" w:hRule="exact"/>
        </w:trPr>
        <w:tc>
          <w:tcPr>
            <w:tcW w:w="433" w:type="dxa"/>
          </w:tcPr>
          <w:p>
            <w:pPr/>
          </w:p>
        </w:tc>
        <w:tc>
          <w:tcPr>
            <w:tcW w:w="3700" w:type="dxa"/>
          </w:tcPr>
          <w:p>
            <w:pPr/>
          </w:p>
        </w:tc>
        <w:tc>
          <w:tcPr>
            <w:tcW w:w="1297" w:type="dxa"/>
          </w:tcPr>
          <w:p>
            <w:pPr>
              <w:pStyle w:val="TableParagraph"/>
              <w:spacing w:before="19"/>
              <w:ind w:right="1"/>
              <w:jc w:val="center"/>
              <w:rPr>
                <w:sz w:val="18"/>
              </w:rPr>
            </w:pPr>
            <w:r>
              <w:rPr>
                <w:w w:val="99"/>
                <w:sz w:val="18"/>
              </w:rPr>
              <w:t>-</w:t>
            </w:r>
          </w:p>
        </w:tc>
        <w:tc>
          <w:tcPr>
            <w:tcW w:w="2828" w:type="dxa"/>
          </w:tcPr>
          <w:p>
            <w:pPr>
              <w:pStyle w:val="TableParagraph"/>
              <w:spacing w:before="19"/>
              <w:ind w:left="27"/>
              <w:rPr>
                <w:sz w:val="18"/>
              </w:rPr>
            </w:pPr>
            <w:r>
              <w:rPr>
                <w:sz w:val="18"/>
              </w:rPr>
              <w:t>Tuition fees advance receipts</w:t>
            </w:r>
          </w:p>
        </w:tc>
        <w:tc>
          <w:tcPr>
            <w:tcW w:w="1297" w:type="dxa"/>
          </w:tcPr>
          <w:p>
            <w:pPr>
              <w:pStyle w:val="TableParagraph"/>
              <w:spacing w:before="19"/>
              <w:ind w:right="84"/>
              <w:jc w:val="right"/>
              <w:rPr>
                <w:sz w:val="18"/>
              </w:rPr>
            </w:pPr>
            <w:r>
              <w:rPr>
                <w:w w:val="95"/>
                <w:sz w:val="18"/>
              </w:rPr>
              <w:t>817,799</w:t>
            </w:r>
          </w:p>
        </w:tc>
      </w:tr>
      <w:tr>
        <w:trPr>
          <w:trHeight w:val="264" w:hRule="exact"/>
        </w:trPr>
        <w:tc>
          <w:tcPr>
            <w:tcW w:w="433" w:type="dxa"/>
          </w:tcPr>
          <w:p>
            <w:pPr/>
          </w:p>
        </w:tc>
        <w:tc>
          <w:tcPr>
            <w:tcW w:w="3700" w:type="dxa"/>
          </w:tcPr>
          <w:p>
            <w:pPr/>
          </w:p>
        </w:tc>
        <w:tc>
          <w:tcPr>
            <w:tcW w:w="1297" w:type="dxa"/>
          </w:tcPr>
          <w:p>
            <w:pPr>
              <w:pStyle w:val="TableParagraph"/>
              <w:spacing w:before="19"/>
              <w:ind w:right="1"/>
              <w:jc w:val="center"/>
              <w:rPr>
                <w:sz w:val="18"/>
              </w:rPr>
            </w:pPr>
            <w:r>
              <w:rPr>
                <w:w w:val="99"/>
                <w:sz w:val="18"/>
              </w:rPr>
              <w:t>-</w:t>
            </w:r>
          </w:p>
        </w:tc>
        <w:tc>
          <w:tcPr>
            <w:tcW w:w="2828" w:type="dxa"/>
          </w:tcPr>
          <w:p>
            <w:pPr>
              <w:pStyle w:val="TableParagraph"/>
              <w:spacing w:before="19"/>
              <w:ind w:left="27"/>
              <w:rPr>
                <w:sz w:val="18"/>
              </w:rPr>
            </w:pPr>
            <w:r>
              <w:rPr>
                <w:sz w:val="18"/>
              </w:rPr>
              <w:t>Amounts due to related parties</w:t>
            </w:r>
          </w:p>
        </w:tc>
        <w:tc>
          <w:tcPr>
            <w:tcW w:w="1297" w:type="dxa"/>
          </w:tcPr>
          <w:p>
            <w:pPr>
              <w:pStyle w:val="TableParagraph"/>
              <w:spacing w:before="19"/>
              <w:ind w:right="84"/>
              <w:jc w:val="right"/>
              <w:rPr>
                <w:sz w:val="18"/>
              </w:rPr>
            </w:pPr>
            <w:r>
              <w:rPr>
                <w:w w:val="95"/>
                <w:sz w:val="18"/>
              </w:rPr>
              <w:t>425,897</w:t>
            </w:r>
          </w:p>
        </w:tc>
      </w:tr>
      <w:tr>
        <w:trPr>
          <w:trHeight w:val="263" w:hRule="exact"/>
        </w:trPr>
        <w:tc>
          <w:tcPr>
            <w:tcW w:w="433" w:type="dxa"/>
          </w:tcPr>
          <w:p>
            <w:pPr/>
          </w:p>
        </w:tc>
        <w:tc>
          <w:tcPr>
            <w:tcW w:w="3700" w:type="dxa"/>
          </w:tcPr>
          <w:p>
            <w:pPr/>
          </w:p>
        </w:tc>
        <w:tc>
          <w:tcPr>
            <w:tcW w:w="1297" w:type="dxa"/>
            <w:tcBorders>
              <w:bottom w:val="single" w:sz="0" w:space="0" w:color="000000"/>
            </w:tcBorders>
          </w:tcPr>
          <w:p>
            <w:pPr>
              <w:pStyle w:val="TableParagraph"/>
              <w:spacing w:before="19"/>
              <w:ind w:right="1"/>
              <w:jc w:val="center"/>
              <w:rPr>
                <w:sz w:val="18"/>
              </w:rPr>
            </w:pPr>
            <w:r>
              <w:rPr>
                <w:w w:val="99"/>
                <w:sz w:val="18"/>
              </w:rPr>
              <w:t>-</w:t>
            </w:r>
          </w:p>
        </w:tc>
        <w:tc>
          <w:tcPr>
            <w:tcW w:w="2828" w:type="dxa"/>
          </w:tcPr>
          <w:p>
            <w:pPr>
              <w:pStyle w:val="TableParagraph"/>
              <w:spacing w:before="19"/>
              <w:ind w:left="27"/>
              <w:rPr>
                <w:sz w:val="18"/>
              </w:rPr>
            </w:pPr>
            <w:r>
              <w:rPr>
                <w:sz w:val="18"/>
              </w:rPr>
              <w:t>Other liabilities</w:t>
            </w:r>
          </w:p>
        </w:tc>
        <w:tc>
          <w:tcPr>
            <w:tcW w:w="1297" w:type="dxa"/>
            <w:tcBorders>
              <w:bottom w:val="single" w:sz="0" w:space="0" w:color="000000"/>
            </w:tcBorders>
          </w:tcPr>
          <w:p>
            <w:pPr>
              <w:pStyle w:val="TableParagraph"/>
              <w:spacing w:before="19"/>
              <w:ind w:right="84"/>
              <w:jc w:val="right"/>
              <w:rPr>
                <w:sz w:val="18"/>
              </w:rPr>
            </w:pPr>
            <w:r>
              <w:rPr>
                <w:w w:val="95"/>
                <w:sz w:val="18"/>
              </w:rPr>
              <w:t>299,624</w:t>
            </w:r>
          </w:p>
        </w:tc>
      </w:tr>
      <w:tr>
        <w:trPr>
          <w:trHeight w:val="484" w:hRule="exact"/>
        </w:trPr>
        <w:tc>
          <w:tcPr>
            <w:tcW w:w="433" w:type="dxa"/>
          </w:tcPr>
          <w:p>
            <w:pPr/>
          </w:p>
        </w:tc>
        <w:tc>
          <w:tcPr>
            <w:tcW w:w="3700" w:type="dxa"/>
          </w:tcPr>
          <w:p>
            <w:pPr>
              <w:pStyle w:val="TableParagraph"/>
              <w:spacing w:before="123"/>
              <w:ind w:left="197"/>
              <w:rPr>
                <w:b/>
                <w:sz w:val="18"/>
              </w:rPr>
            </w:pPr>
            <w:r>
              <w:rPr>
                <w:b/>
                <w:sz w:val="18"/>
              </w:rPr>
              <w:t>Total</w:t>
            </w:r>
          </w:p>
        </w:tc>
        <w:tc>
          <w:tcPr>
            <w:tcW w:w="1297" w:type="dxa"/>
            <w:tcBorders>
              <w:top w:val="single" w:sz="0" w:space="0" w:color="000000"/>
            </w:tcBorders>
          </w:tcPr>
          <w:p>
            <w:pPr>
              <w:pStyle w:val="TableParagraph"/>
              <w:spacing w:before="122"/>
              <w:ind w:right="84"/>
              <w:jc w:val="right"/>
              <w:rPr>
                <w:b/>
                <w:sz w:val="18"/>
              </w:rPr>
            </w:pPr>
            <w:r>
              <w:rPr>
                <w:b/>
                <w:w w:val="95"/>
                <w:sz w:val="18"/>
              </w:rPr>
              <w:t>2,336,078</w:t>
            </w:r>
          </w:p>
        </w:tc>
        <w:tc>
          <w:tcPr>
            <w:tcW w:w="2828" w:type="dxa"/>
          </w:tcPr>
          <w:p>
            <w:pPr>
              <w:pStyle w:val="TableParagraph"/>
              <w:spacing w:before="123"/>
              <w:ind w:left="27"/>
              <w:rPr>
                <w:b/>
                <w:sz w:val="18"/>
              </w:rPr>
            </w:pPr>
            <w:r>
              <w:rPr>
                <w:b/>
                <w:sz w:val="18"/>
              </w:rPr>
              <w:t>Total</w:t>
            </w:r>
          </w:p>
        </w:tc>
        <w:tc>
          <w:tcPr>
            <w:tcW w:w="1297" w:type="dxa"/>
            <w:tcBorders>
              <w:top w:val="single" w:sz="0" w:space="0" w:color="000000"/>
            </w:tcBorders>
          </w:tcPr>
          <w:p>
            <w:pPr>
              <w:pStyle w:val="TableParagraph"/>
              <w:spacing w:before="122"/>
              <w:ind w:right="84"/>
              <w:jc w:val="right"/>
              <w:rPr>
                <w:b/>
                <w:sz w:val="18"/>
              </w:rPr>
            </w:pPr>
            <w:r>
              <w:rPr>
                <w:b/>
                <w:w w:val="95"/>
                <w:sz w:val="18"/>
              </w:rPr>
              <w:t>2,336,078</w:t>
            </w:r>
          </w:p>
        </w:tc>
      </w:tr>
      <w:tr>
        <w:trPr>
          <w:trHeight w:val="437" w:hRule="exact"/>
        </w:trPr>
        <w:tc>
          <w:tcPr>
            <w:tcW w:w="433" w:type="dxa"/>
          </w:tcPr>
          <w:p>
            <w:pPr>
              <w:pStyle w:val="TableParagraph"/>
              <w:spacing w:before="134"/>
              <w:ind w:left="35"/>
              <w:rPr>
                <w:b/>
                <w:sz w:val="18"/>
              </w:rPr>
            </w:pPr>
            <w:r>
              <w:rPr>
                <w:b/>
                <w:sz w:val="18"/>
              </w:rPr>
              <w:t>(d)</w:t>
            </w:r>
          </w:p>
        </w:tc>
        <w:tc>
          <w:tcPr>
            <w:tcW w:w="3700" w:type="dxa"/>
          </w:tcPr>
          <w:p>
            <w:pPr>
              <w:pStyle w:val="TableParagraph"/>
              <w:spacing w:before="134"/>
              <w:ind w:left="168"/>
              <w:rPr>
                <w:b/>
                <w:sz w:val="18"/>
              </w:rPr>
            </w:pPr>
            <w:r>
              <w:rPr>
                <w:b/>
                <w:sz w:val="18"/>
              </w:rPr>
              <w:t>Inventories</w:t>
            </w:r>
          </w:p>
        </w:tc>
        <w:tc>
          <w:tcPr>
            <w:tcW w:w="1297" w:type="dxa"/>
          </w:tcPr>
          <w:p>
            <w:pPr/>
          </w:p>
        </w:tc>
        <w:tc>
          <w:tcPr>
            <w:tcW w:w="2828" w:type="dxa"/>
          </w:tcPr>
          <w:p>
            <w:pPr/>
          </w:p>
        </w:tc>
        <w:tc>
          <w:tcPr>
            <w:tcW w:w="1297" w:type="dxa"/>
          </w:tcPr>
          <w:p>
            <w:pPr/>
          </w:p>
        </w:tc>
      </w:tr>
    </w:tbl>
    <w:p>
      <w:pPr>
        <w:pStyle w:val="BodyText"/>
        <w:spacing w:before="10"/>
        <w:rPr>
          <w:b/>
          <w:sz w:val="9"/>
        </w:rPr>
      </w:pPr>
    </w:p>
    <w:p>
      <w:pPr>
        <w:pStyle w:val="BodyText"/>
        <w:spacing w:before="78"/>
        <w:ind w:left="1070" w:right="425"/>
      </w:pPr>
      <w:r>
        <w:rPr/>
        <w:t>A stocktake of inventories on hand at year end was performed. Costs of purchased inventory are determined after deducting rebates and discounts.</w:t>
      </w:r>
    </w:p>
    <w:p>
      <w:pPr>
        <w:pStyle w:val="BodyText"/>
        <w:rPr>
          <w:sz w:val="25"/>
        </w:rPr>
      </w:pPr>
    </w:p>
    <w:p>
      <w:pPr>
        <w:pStyle w:val="BodyText"/>
        <w:ind w:left="1070" w:right="205"/>
      </w:pPr>
      <w:r>
        <w:rPr/>
        <w:t>Net realisable value is the estimated selling price in the ordinary course of business, less the estimated costs of completion and selling expenses.</w:t>
      </w:r>
    </w:p>
    <w:p>
      <w:pPr>
        <w:pStyle w:val="BodyText"/>
        <w:spacing w:before="11"/>
        <w:rPr>
          <w:sz w:val="24"/>
        </w:rPr>
      </w:pPr>
    </w:p>
    <w:p>
      <w:pPr>
        <w:pStyle w:val="Heading9"/>
        <w:numPr>
          <w:ilvl w:val="0"/>
          <w:numId w:val="85"/>
        </w:numPr>
        <w:tabs>
          <w:tab w:pos="1071" w:val="left" w:leader="none"/>
        </w:tabs>
        <w:spacing w:line="573" w:lineRule="auto" w:before="0" w:after="0"/>
        <w:ind w:left="1070" w:right="7681" w:hanging="566"/>
        <w:jc w:val="left"/>
      </w:pPr>
      <w:r>
        <w:rPr/>
        <w:t>Financial assets Classification</w:t>
      </w:r>
    </w:p>
    <w:p>
      <w:pPr>
        <w:pStyle w:val="BodyText"/>
        <w:spacing w:before="8"/>
        <w:ind w:left="1070" w:right="125"/>
      </w:pPr>
      <w:r>
        <w:rPr/>
        <w:t>The Company classifies its financial assets as loans and receivables.</w:t>
      </w:r>
    </w:p>
    <w:p>
      <w:pPr>
        <w:pStyle w:val="BodyText"/>
        <w:spacing w:before="11"/>
        <w:rPr>
          <w:sz w:val="24"/>
        </w:rPr>
      </w:pPr>
    </w:p>
    <w:p>
      <w:pPr>
        <w:pStyle w:val="ListParagraph"/>
        <w:numPr>
          <w:ilvl w:val="1"/>
          <w:numId w:val="85"/>
        </w:numPr>
        <w:tabs>
          <w:tab w:pos="1518" w:val="left" w:leader="none"/>
        </w:tabs>
        <w:spacing w:line="240" w:lineRule="auto" w:before="0" w:after="0"/>
        <w:ind w:left="1517" w:right="0" w:hanging="447"/>
        <w:jc w:val="left"/>
        <w:rPr>
          <w:i/>
          <w:sz w:val="18"/>
        </w:rPr>
      </w:pPr>
      <w:r>
        <w:rPr>
          <w:i/>
          <w:sz w:val="18"/>
        </w:rPr>
        <w:t>Loans and</w:t>
      </w:r>
      <w:r>
        <w:rPr>
          <w:i/>
          <w:spacing w:val="-1"/>
          <w:sz w:val="18"/>
        </w:rPr>
        <w:t> </w:t>
      </w:r>
      <w:r>
        <w:rPr>
          <w:i/>
          <w:sz w:val="18"/>
        </w:rPr>
        <w:t>receivables</w:t>
      </w:r>
    </w:p>
    <w:p>
      <w:pPr>
        <w:pStyle w:val="BodyText"/>
        <w:rPr>
          <w:i/>
          <w:sz w:val="25"/>
        </w:rPr>
      </w:pPr>
    </w:p>
    <w:p>
      <w:pPr>
        <w:pStyle w:val="BodyText"/>
        <w:ind w:left="1070" w:right="595"/>
      </w:pPr>
      <w:r>
        <w:rPr/>
        <w:t>Loans and receivables are non-derivative financial assets with fixed or determinable payments that are not quoted in an active market and are subsequently measured at amortised cost .</w:t>
      </w:r>
    </w:p>
    <w:p>
      <w:pPr>
        <w:pStyle w:val="BodyText"/>
        <w:rPr>
          <w:sz w:val="25"/>
        </w:rPr>
      </w:pPr>
    </w:p>
    <w:p>
      <w:pPr>
        <w:pStyle w:val="BodyText"/>
        <w:ind w:left="1070" w:right="444"/>
      </w:pPr>
      <w:r>
        <w:rPr/>
        <w:t>Loans and receivables are included in current assets, except for those which are not expected to be realised within 12 months after the end of the reporting period.</w:t>
      </w:r>
    </w:p>
    <w:p>
      <w:pPr>
        <w:spacing w:after="0"/>
        <w:sectPr>
          <w:pgSz w:w="11910" w:h="16840"/>
          <w:pgMar w:header="1038" w:footer="507" w:top="1460" w:bottom="700" w:left="900" w:right="860"/>
        </w:sectPr>
      </w:pPr>
    </w:p>
    <w:p>
      <w:pPr>
        <w:pStyle w:val="BodyText"/>
        <w:spacing w:before="2"/>
        <w:rPr>
          <w:sz w:val="24"/>
        </w:rPr>
      </w:pPr>
    </w:p>
    <w:p>
      <w:pPr>
        <w:pStyle w:val="Heading3"/>
        <w:spacing w:before="64"/>
        <w:ind w:right="596"/>
      </w:pPr>
      <w:r>
        <w:rPr/>
        <w:t>Notes to the Financial Statements</w:t>
      </w:r>
    </w:p>
    <w:p>
      <w:pPr>
        <w:pStyle w:val="Heading6"/>
        <w:ind w:right="596"/>
      </w:pPr>
      <w:r>
        <w:rPr/>
        <w:t>For the Year Ended 31 December 2012</w:t>
      </w:r>
    </w:p>
    <w:p>
      <w:pPr>
        <w:pStyle w:val="BodyText"/>
        <w:rPr>
          <w:b/>
          <w:sz w:val="22"/>
        </w:rPr>
      </w:pPr>
    </w:p>
    <w:p>
      <w:pPr>
        <w:pStyle w:val="BodyText"/>
        <w:rPr>
          <w:b/>
          <w:sz w:val="22"/>
        </w:rPr>
      </w:pPr>
    </w:p>
    <w:p>
      <w:pPr>
        <w:pStyle w:val="Heading9"/>
        <w:tabs>
          <w:tab w:pos="503" w:val="left" w:leader="none"/>
        </w:tabs>
        <w:spacing w:before="160"/>
        <w:ind w:left="109" w:right="596"/>
      </w:pPr>
      <w:r>
        <w:rPr/>
        <w:t>1</w:t>
        <w:tab/>
        <w:t>Summary of Significant Accounting Policies</w:t>
      </w:r>
      <w:r>
        <w:rPr>
          <w:spacing w:val="-3"/>
        </w:rPr>
        <w:t> </w:t>
      </w:r>
      <w:r>
        <w:rPr/>
        <w:t>continued</w:t>
      </w:r>
    </w:p>
    <w:p>
      <w:pPr>
        <w:pStyle w:val="BodyText"/>
        <w:spacing w:before="11"/>
        <w:rPr>
          <w:b/>
          <w:sz w:val="24"/>
        </w:rPr>
      </w:pPr>
    </w:p>
    <w:p>
      <w:pPr>
        <w:pStyle w:val="ListParagraph"/>
        <w:numPr>
          <w:ilvl w:val="0"/>
          <w:numId w:val="85"/>
        </w:numPr>
        <w:tabs>
          <w:tab w:pos="1071" w:val="left" w:leader="none"/>
        </w:tabs>
        <w:spacing w:line="240" w:lineRule="auto" w:before="0" w:after="0"/>
        <w:ind w:left="1070" w:right="0" w:hanging="566"/>
        <w:jc w:val="left"/>
        <w:rPr>
          <w:b/>
          <w:sz w:val="18"/>
        </w:rPr>
      </w:pPr>
      <w:r>
        <w:rPr>
          <w:b/>
          <w:sz w:val="18"/>
        </w:rPr>
        <w:t>Trade</w:t>
      </w:r>
      <w:r>
        <w:rPr>
          <w:b/>
          <w:spacing w:val="-1"/>
          <w:sz w:val="18"/>
        </w:rPr>
        <w:t> </w:t>
      </w:r>
      <w:r>
        <w:rPr>
          <w:b/>
          <w:sz w:val="18"/>
        </w:rPr>
        <w:t>receivables</w:t>
      </w:r>
    </w:p>
    <w:p>
      <w:pPr>
        <w:pStyle w:val="BodyText"/>
        <w:rPr>
          <w:b/>
          <w:sz w:val="25"/>
        </w:rPr>
      </w:pPr>
    </w:p>
    <w:p>
      <w:pPr>
        <w:pStyle w:val="BodyText"/>
        <w:ind w:left="1070" w:right="241"/>
      </w:pPr>
      <w:r>
        <w:rPr/>
        <w:t>Trade receivables are recognised initially at fair value and subsequently measured at amortised cost less provision for impairment. The Company's standard terms of trade for trade receivables is 14 days from the date of recognition. They are presented as current assets unless collection is not expected for more than 12 months after the reporting date.</w:t>
      </w:r>
    </w:p>
    <w:p>
      <w:pPr>
        <w:pStyle w:val="BodyText"/>
        <w:rPr>
          <w:sz w:val="25"/>
        </w:rPr>
      </w:pPr>
    </w:p>
    <w:p>
      <w:pPr>
        <w:pStyle w:val="BodyText"/>
        <w:ind w:left="1070" w:right="195"/>
      </w:pPr>
      <w:r>
        <w:rPr/>
        <w:t>Collectability of trade receivables is reviewed on an ongoing basis. Debts which are known to be uncollectable are written off. A provision for impairment of receivables is established when there is objective evidence that the Group will not be able to collect all amounts due according to the original terms of receivables. Significant financial difficulties of the debtor, probability that the debtor will enter bankruptcy or financial reorganisation and default or delinquency in payments are considered indicators that the trade receivable is impaired. The amount of the provision is the difference between the assets carrying amount and the present value of the estimated future cash flows discounted at the effective interest rate. The amount of the movement in the provision is recognised in the income statement.</w:t>
      </w:r>
    </w:p>
    <w:p>
      <w:pPr>
        <w:pStyle w:val="BodyText"/>
        <w:rPr>
          <w:sz w:val="25"/>
        </w:rPr>
      </w:pPr>
    </w:p>
    <w:p>
      <w:pPr>
        <w:pStyle w:val="BodyText"/>
        <w:ind w:left="1070" w:right="135"/>
      </w:pPr>
      <w:r>
        <w:rPr/>
        <w:t>When a trade receivable is uncollectable the amount of the loss is recognised in the income statement within ‘impairment of assets’. Subsequent recoveries of amounts previously written off are credited to ‘other revenue’ in the income statement.</w:t>
      </w:r>
    </w:p>
    <w:p>
      <w:pPr>
        <w:pStyle w:val="BodyText"/>
        <w:spacing w:before="10"/>
        <w:rPr>
          <w:sz w:val="24"/>
        </w:rPr>
      </w:pPr>
    </w:p>
    <w:p>
      <w:pPr>
        <w:pStyle w:val="Heading9"/>
        <w:numPr>
          <w:ilvl w:val="0"/>
          <w:numId w:val="85"/>
        </w:numPr>
        <w:tabs>
          <w:tab w:pos="1071" w:val="left" w:leader="none"/>
        </w:tabs>
        <w:spacing w:line="240" w:lineRule="auto" w:before="0" w:after="0"/>
        <w:ind w:left="1070" w:right="0" w:hanging="566"/>
        <w:jc w:val="left"/>
      </w:pPr>
      <w:r>
        <w:rPr/>
        <w:t>Cash and cash</w:t>
      </w:r>
      <w:r>
        <w:rPr>
          <w:spacing w:val="-1"/>
        </w:rPr>
        <w:t> </w:t>
      </w:r>
      <w:r>
        <w:rPr/>
        <w:t>equivalents</w:t>
      </w:r>
    </w:p>
    <w:p>
      <w:pPr>
        <w:pStyle w:val="BodyText"/>
        <w:rPr>
          <w:b/>
          <w:sz w:val="25"/>
        </w:rPr>
      </w:pPr>
    </w:p>
    <w:p>
      <w:pPr>
        <w:pStyle w:val="BodyText"/>
        <w:ind w:left="1070" w:right="115"/>
      </w:pPr>
      <w:r>
        <w:rPr/>
        <w:t>Cash and cash equivalents include cash on hand, deposits held at call with banks, other short-term highly liquid investments with original maturities of three months or less which are convertible to a known amount of cash and subject to an insignificant risk of change in value, and bank overdrafts. Bank overdrafts are shown within short- term borrowings in current liabilities on the statement of financial position.</w:t>
      </w:r>
    </w:p>
    <w:p>
      <w:pPr>
        <w:pStyle w:val="BodyText"/>
        <w:spacing w:before="11"/>
        <w:rPr>
          <w:sz w:val="24"/>
        </w:rPr>
      </w:pPr>
    </w:p>
    <w:p>
      <w:pPr>
        <w:pStyle w:val="Heading9"/>
        <w:numPr>
          <w:ilvl w:val="0"/>
          <w:numId w:val="85"/>
        </w:numPr>
        <w:tabs>
          <w:tab w:pos="1071" w:val="left" w:leader="none"/>
        </w:tabs>
        <w:spacing w:line="240" w:lineRule="auto" w:before="0" w:after="0"/>
        <w:ind w:left="1070" w:right="0" w:hanging="566"/>
        <w:jc w:val="left"/>
      </w:pPr>
      <w:r>
        <w:rPr/>
        <w:t>Employee</w:t>
      </w:r>
      <w:r>
        <w:rPr>
          <w:spacing w:val="-2"/>
        </w:rPr>
        <w:t> </w:t>
      </w:r>
      <w:r>
        <w:rPr/>
        <w:t>benefits</w:t>
      </w:r>
    </w:p>
    <w:p>
      <w:pPr>
        <w:pStyle w:val="BodyText"/>
        <w:rPr>
          <w:b/>
          <w:sz w:val="25"/>
        </w:rPr>
      </w:pPr>
    </w:p>
    <w:p>
      <w:pPr>
        <w:pStyle w:val="BodyText"/>
        <w:ind w:left="1070" w:right="264" w:hanging="1"/>
      </w:pPr>
      <w:r>
        <w:rPr/>
        <w:t>The Company's liability for employee benefits arising from services rendered by employees to the end of the reporting period. Employee benefits that are expected to be settled within one year have been measured at the amounts expected to be paid when the liability is settled.</w:t>
      </w:r>
    </w:p>
    <w:p>
      <w:pPr>
        <w:pStyle w:val="BodyText"/>
        <w:rPr>
          <w:sz w:val="25"/>
        </w:rPr>
      </w:pPr>
    </w:p>
    <w:p>
      <w:pPr>
        <w:pStyle w:val="BodyText"/>
        <w:ind w:left="1070" w:right="94"/>
      </w:pPr>
      <w:r>
        <w:rPr/>
        <w:t>Employee benefits payable later than one year have been measured using a short hand method calculated by an actuary at the present value of the estimated future cash outflows to be made for those benefits. In determining the liability, consideration is given to employee wage increases and the probability that the employee may satisfy vesting requirements. Those cashflows are discounted using market yields on national government bonds with terms to maturity that match the expected timing of cashflows.</w:t>
      </w:r>
    </w:p>
    <w:p>
      <w:pPr>
        <w:pStyle w:val="BodyText"/>
        <w:spacing w:before="11"/>
        <w:rPr>
          <w:sz w:val="24"/>
        </w:rPr>
      </w:pPr>
    </w:p>
    <w:p>
      <w:pPr>
        <w:pStyle w:val="Heading9"/>
        <w:numPr>
          <w:ilvl w:val="0"/>
          <w:numId w:val="85"/>
        </w:numPr>
        <w:tabs>
          <w:tab w:pos="1071" w:val="left" w:leader="none"/>
        </w:tabs>
        <w:spacing w:line="240" w:lineRule="auto" w:before="0" w:after="0"/>
        <w:ind w:left="1070" w:right="0" w:hanging="566"/>
        <w:jc w:val="left"/>
      </w:pPr>
      <w:r>
        <w:rPr/>
        <w:t>Provisions</w:t>
      </w:r>
    </w:p>
    <w:p>
      <w:pPr>
        <w:pStyle w:val="BodyText"/>
        <w:rPr>
          <w:b/>
          <w:sz w:val="25"/>
        </w:rPr>
      </w:pPr>
    </w:p>
    <w:p>
      <w:pPr>
        <w:pStyle w:val="BodyText"/>
        <w:ind w:left="1070" w:right="145" w:hanging="1"/>
      </w:pPr>
      <w:r>
        <w:rPr/>
        <w:t>Provisions are recognised when the Company has a legal or constructive obligation, as a result of past events, for which it is probable that an outflow of economic benefits will result and that outflow can be reliably measured.</w:t>
      </w:r>
    </w:p>
    <w:p>
      <w:pPr>
        <w:pStyle w:val="BodyText"/>
        <w:rPr>
          <w:sz w:val="25"/>
        </w:rPr>
      </w:pPr>
    </w:p>
    <w:p>
      <w:pPr>
        <w:pStyle w:val="BodyText"/>
        <w:ind w:left="1070" w:right="118"/>
      </w:pPr>
      <w:r>
        <w:rPr/>
        <w:t>Termination benefits are payable when employment is terminated before the normal retirement date, or when an employee accepts voluntary redundancy in exchange for these benefits. The Company recognises termination benefits when it is demonstrably committed to either terminating the employment of current employees according to a detailed formal plan without possibility of withdrawal or to providing termination benefits as a result of an offer made to encourage voluntary redundancy. Benefits falling due more than 12 months after the end of the reporting period are discounted to present</w:t>
      </w:r>
      <w:r>
        <w:rPr>
          <w:spacing w:val="-1"/>
        </w:rPr>
        <w:t> </w:t>
      </w:r>
      <w:r>
        <w:rPr/>
        <w:t>value.</w:t>
      </w:r>
    </w:p>
    <w:p>
      <w:pPr>
        <w:spacing w:after="0"/>
        <w:sectPr>
          <w:pgSz w:w="11910" w:h="16840"/>
          <w:pgMar w:header="1038" w:footer="507" w:top="1460" w:bottom="700" w:left="900" w:right="840"/>
        </w:sectPr>
      </w:pPr>
    </w:p>
    <w:p>
      <w:pPr>
        <w:pStyle w:val="BodyText"/>
        <w:spacing w:before="2"/>
        <w:rPr>
          <w:sz w:val="24"/>
        </w:rPr>
      </w:pPr>
    </w:p>
    <w:p>
      <w:pPr>
        <w:pStyle w:val="Heading3"/>
        <w:spacing w:before="64"/>
        <w:ind w:right="93"/>
      </w:pPr>
      <w:r>
        <w:rPr/>
        <w:t>Notes to the Financial Statements</w:t>
      </w:r>
    </w:p>
    <w:p>
      <w:pPr>
        <w:pStyle w:val="Heading6"/>
        <w:ind w:right="93"/>
      </w:pPr>
      <w:r>
        <w:rPr/>
        <w:t>For the Year Ended 31 December 2012</w:t>
      </w:r>
    </w:p>
    <w:p>
      <w:pPr>
        <w:pStyle w:val="BodyText"/>
        <w:rPr>
          <w:b/>
          <w:sz w:val="22"/>
        </w:rPr>
      </w:pPr>
    </w:p>
    <w:p>
      <w:pPr>
        <w:pStyle w:val="BodyText"/>
        <w:rPr>
          <w:b/>
          <w:sz w:val="22"/>
        </w:rPr>
      </w:pPr>
    </w:p>
    <w:p>
      <w:pPr>
        <w:pStyle w:val="Heading9"/>
        <w:tabs>
          <w:tab w:pos="503" w:val="left" w:leader="none"/>
        </w:tabs>
        <w:spacing w:before="160"/>
        <w:ind w:left="109" w:right="93"/>
      </w:pPr>
      <w:r>
        <w:rPr/>
        <w:t>1</w:t>
        <w:tab/>
        <w:t>Summary of Significant Accounting Policies</w:t>
      </w:r>
      <w:r>
        <w:rPr>
          <w:spacing w:val="-3"/>
        </w:rPr>
        <w:t> </w:t>
      </w:r>
      <w:r>
        <w:rPr/>
        <w:t>continued</w:t>
      </w:r>
    </w:p>
    <w:p>
      <w:pPr>
        <w:pStyle w:val="BodyText"/>
        <w:spacing w:before="11"/>
        <w:rPr>
          <w:b/>
          <w:sz w:val="24"/>
        </w:rPr>
      </w:pPr>
    </w:p>
    <w:p>
      <w:pPr>
        <w:pStyle w:val="ListParagraph"/>
        <w:numPr>
          <w:ilvl w:val="0"/>
          <w:numId w:val="86"/>
        </w:numPr>
        <w:tabs>
          <w:tab w:pos="1071" w:val="left" w:leader="none"/>
        </w:tabs>
        <w:spacing w:line="240" w:lineRule="auto" w:before="0" w:after="0"/>
        <w:ind w:left="1070" w:right="0" w:hanging="566"/>
        <w:jc w:val="left"/>
        <w:rPr>
          <w:b/>
          <w:sz w:val="18"/>
        </w:rPr>
      </w:pPr>
      <w:r>
        <w:rPr>
          <w:b/>
          <w:sz w:val="18"/>
        </w:rPr>
        <w:t>Provisions continued</w:t>
      </w:r>
    </w:p>
    <w:p>
      <w:pPr>
        <w:pStyle w:val="BodyText"/>
        <w:rPr>
          <w:b/>
          <w:sz w:val="25"/>
        </w:rPr>
      </w:pPr>
    </w:p>
    <w:p>
      <w:pPr>
        <w:pStyle w:val="BodyText"/>
        <w:ind w:left="1070" w:right="340"/>
      </w:pPr>
      <w:r>
        <w:rPr/>
        <w:t>Provisions are measured at the present value of management's best estimate of the outflow required to settle the obligation at the end of the reporting period. The discount rate used is a pre-tax rate that reflects current market assessments of the time value of money and the risks specific to the liability. The increase in the provision due to the unwinding of the discount is taken to finance costs in the statement of comprehensive income.</w:t>
      </w:r>
    </w:p>
    <w:p>
      <w:pPr>
        <w:pStyle w:val="BodyText"/>
        <w:rPr>
          <w:sz w:val="25"/>
        </w:rPr>
      </w:pPr>
    </w:p>
    <w:p>
      <w:pPr>
        <w:pStyle w:val="BodyText"/>
        <w:ind w:left="1070" w:right="165"/>
      </w:pPr>
      <w:r>
        <w:rPr/>
        <w:t>Regardless of the expected timing of settlement, provisions made in respect of employee benefits are classified as a current liability, unless there is an unconditional right to defer the settlement of the liability for at least 12 months, after the reporting date. In which case it would be classified as a non-current liability</w:t>
      </w:r>
    </w:p>
    <w:p>
      <w:pPr>
        <w:pStyle w:val="BodyText"/>
        <w:spacing w:before="10"/>
        <w:rPr>
          <w:sz w:val="24"/>
        </w:rPr>
      </w:pPr>
    </w:p>
    <w:p>
      <w:pPr>
        <w:pStyle w:val="Heading9"/>
        <w:numPr>
          <w:ilvl w:val="0"/>
          <w:numId w:val="85"/>
        </w:numPr>
        <w:tabs>
          <w:tab w:pos="1071" w:val="left" w:leader="none"/>
        </w:tabs>
        <w:spacing w:line="240" w:lineRule="auto" w:before="1" w:after="0"/>
        <w:ind w:left="1070" w:right="0" w:hanging="566"/>
        <w:jc w:val="left"/>
      </w:pPr>
      <w:r>
        <w:rPr/>
        <w:t>Trade and other</w:t>
      </w:r>
      <w:r>
        <w:rPr>
          <w:spacing w:val="-2"/>
        </w:rPr>
        <w:t> </w:t>
      </w:r>
      <w:r>
        <w:rPr/>
        <w:t>payables</w:t>
      </w:r>
    </w:p>
    <w:p>
      <w:pPr>
        <w:pStyle w:val="BodyText"/>
        <w:rPr>
          <w:b/>
          <w:sz w:val="25"/>
        </w:rPr>
      </w:pPr>
    </w:p>
    <w:p>
      <w:pPr>
        <w:pStyle w:val="BodyText"/>
        <w:ind w:left="1070" w:right="93"/>
      </w:pPr>
      <w:r>
        <w:rPr/>
        <w:t>Trade and other payables represent the liability outstanding at the end of the reporting period for goods and services received by the Company during the reporting period which remain unpaid. The balance is recognised as a current liability in the statement of financial position with the amounts normally paid within 30 days of recognition of the liability.</w:t>
      </w:r>
    </w:p>
    <w:p>
      <w:pPr>
        <w:pStyle w:val="BodyText"/>
        <w:spacing w:before="11"/>
        <w:rPr>
          <w:sz w:val="24"/>
        </w:rPr>
      </w:pPr>
    </w:p>
    <w:p>
      <w:pPr>
        <w:pStyle w:val="Heading9"/>
        <w:numPr>
          <w:ilvl w:val="0"/>
          <w:numId w:val="85"/>
        </w:numPr>
        <w:tabs>
          <w:tab w:pos="1071" w:val="left" w:leader="none"/>
        </w:tabs>
        <w:spacing w:line="240" w:lineRule="auto" w:before="0" w:after="0"/>
        <w:ind w:left="1070" w:right="0" w:hanging="566"/>
        <w:jc w:val="left"/>
      </w:pPr>
      <w:r>
        <w:rPr/>
        <w:t>Leases</w:t>
      </w:r>
    </w:p>
    <w:p>
      <w:pPr>
        <w:pStyle w:val="BodyText"/>
        <w:rPr>
          <w:b/>
          <w:sz w:val="25"/>
        </w:rPr>
      </w:pPr>
    </w:p>
    <w:p>
      <w:pPr>
        <w:pStyle w:val="BodyText"/>
        <w:ind w:left="1070" w:right="95"/>
      </w:pPr>
      <w:r>
        <w:rPr/>
        <w:t>Lease payments for operating leases, where substantially all of the risks and benefits remain with the lessor, are charged as expenses on a straight-line basis over the life of the lease term.</w:t>
      </w:r>
    </w:p>
    <w:p>
      <w:pPr>
        <w:pStyle w:val="BodyText"/>
        <w:rPr>
          <w:sz w:val="25"/>
        </w:rPr>
      </w:pPr>
    </w:p>
    <w:p>
      <w:pPr>
        <w:pStyle w:val="BodyText"/>
        <w:ind w:left="1070" w:right="164"/>
      </w:pPr>
      <w:r>
        <w:rPr/>
        <w:t>Leases of fixed assets where substantially all the risks and benefits incidental to the ownership of the asset, but not the legal ownership that are transferred to the Company are classified as finance leases.</w:t>
      </w:r>
    </w:p>
    <w:p>
      <w:pPr>
        <w:pStyle w:val="BodyText"/>
        <w:spacing w:before="11"/>
        <w:rPr>
          <w:sz w:val="24"/>
        </w:rPr>
      </w:pPr>
    </w:p>
    <w:p>
      <w:pPr>
        <w:pStyle w:val="BodyText"/>
        <w:ind w:left="1070" w:right="175"/>
      </w:pPr>
      <w:r>
        <w:rPr/>
        <w:t>Leased assets are depreciated on a straight-line basis over their estimated useful lives where it is likely that the Company will obtain ownership of the asset or over the term of the lease.</w:t>
      </w:r>
    </w:p>
    <w:p>
      <w:pPr>
        <w:pStyle w:val="BodyText"/>
        <w:spacing w:before="11"/>
        <w:rPr>
          <w:sz w:val="24"/>
        </w:rPr>
      </w:pPr>
    </w:p>
    <w:p>
      <w:pPr>
        <w:pStyle w:val="BodyText"/>
        <w:ind w:left="1070" w:right="134"/>
      </w:pPr>
      <w:r>
        <w:rPr/>
        <w:t>Lease incentives under operating leases are recognised as a liability and amortised on a straight-line basis over the life of the lease term.</w:t>
      </w:r>
    </w:p>
    <w:p>
      <w:pPr>
        <w:pStyle w:val="BodyText"/>
        <w:spacing w:before="11"/>
        <w:rPr>
          <w:sz w:val="24"/>
        </w:rPr>
      </w:pPr>
    </w:p>
    <w:p>
      <w:pPr>
        <w:pStyle w:val="Heading9"/>
        <w:numPr>
          <w:ilvl w:val="0"/>
          <w:numId w:val="85"/>
        </w:numPr>
        <w:tabs>
          <w:tab w:pos="1071" w:val="left" w:leader="none"/>
        </w:tabs>
        <w:spacing w:line="240" w:lineRule="auto" w:before="0" w:after="0"/>
        <w:ind w:left="1070" w:right="0" w:hanging="566"/>
        <w:jc w:val="left"/>
      </w:pPr>
      <w:r>
        <w:rPr/>
        <w:t>Revenue and other income</w:t>
      </w:r>
    </w:p>
    <w:p>
      <w:pPr>
        <w:pStyle w:val="BodyText"/>
        <w:rPr>
          <w:b/>
          <w:sz w:val="25"/>
        </w:rPr>
      </w:pPr>
    </w:p>
    <w:p>
      <w:pPr>
        <w:pStyle w:val="BodyText"/>
        <w:ind w:left="1070"/>
      </w:pPr>
      <w:r>
        <w:rPr/>
        <w:t>The Company recognises revenue when the amount of revenue can be reliably measured, it is probable that future economic benefits will flow to the Company and specific criteria have been met for each of the Company's activities as discussed below.</w:t>
      </w:r>
    </w:p>
    <w:p>
      <w:pPr>
        <w:pStyle w:val="BodyText"/>
        <w:rPr>
          <w:sz w:val="25"/>
        </w:rPr>
      </w:pPr>
    </w:p>
    <w:p>
      <w:pPr>
        <w:pStyle w:val="BodyText"/>
        <w:ind w:left="1070" w:right="254"/>
      </w:pPr>
      <w:r>
        <w:rPr/>
        <w:t>Revenue is measured at the fair value of the consideration received or receivable after taking into account any trade discounts and volume rebates allowed. Any consideration deferred is treated as the provision of finance and is discounted at a rate of interest that is generally accepted in the market for similar arrangements. The difference between the amount initially recognised and the amount ultimately received is interest revenue.</w:t>
      </w:r>
    </w:p>
    <w:p>
      <w:pPr>
        <w:pStyle w:val="BodyText"/>
        <w:rPr>
          <w:sz w:val="25"/>
        </w:rPr>
      </w:pPr>
    </w:p>
    <w:p>
      <w:pPr>
        <w:pStyle w:val="BodyText"/>
        <w:ind w:left="1070" w:right="93"/>
      </w:pPr>
      <w:r>
        <w:rPr/>
        <w:t>All revenue is stated net of the amount of goods and services tax (GST).</w:t>
      </w:r>
    </w:p>
    <w:p>
      <w:pPr>
        <w:spacing w:after="0"/>
        <w:sectPr>
          <w:pgSz w:w="11910" w:h="16840"/>
          <w:pgMar w:header="1038" w:footer="507" w:top="1460" w:bottom="700" w:left="900" w:right="900"/>
        </w:sectPr>
      </w:pPr>
    </w:p>
    <w:p>
      <w:pPr>
        <w:pStyle w:val="BodyText"/>
        <w:spacing w:before="2"/>
        <w:rPr>
          <w:sz w:val="24"/>
        </w:rPr>
      </w:pPr>
    </w:p>
    <w:p>
      <w:pPr>
        <w:pStyle w:val="Heading3"/>
        <w:spacing w:before="64"/>
        <w:ind w:right="596"/>
      </w:pPr>
      <w:r>
        <w:rPr/>
        <w:t>Notes to the Financial Statements</w:t>
      </w:r>
    </w:p>
    <w:p>
      <w:pPr>
        <w:pStyle w:val="Heading6"/>
        <w:ind w:right="596"/>
      </w:pPr>
      <w:r>
        <w:rPr/>
        <w:t>For the Year Ended 31 December 2012</w:t>
      </w:r>
    </w:p>
    <w:p>
      <w:pPr>
        <w:pStyle w:val="BodyText"/>
        <w:rPr>
          <w:b/>
          <w:sz w:val="22"/>
        </w:rPr>
      </w:pPr>
    </w:p>
    <w:p>
      <w:pPr>
        <w:pStyle w:val="BodyText"/>
        <w:rPr>
          <w:b/>
          <w:sz w:val="22"/>
        </w:rPr>
      </w:pPr>
    </w:p>
    <w:p>
      <w:pPr>
        <w:pStyle w:val="Heading9"/>
        <w:tabs>
          <w:tab w:pos="503" w:val="left" w:leader="none"/>
        </w:tabs>
        <w:spacing w:line="573" w:lineRule="auto" w:before="160"/>
        <w:ind w:left="1071" w:right="4967" w:hanging="963"/>
      </w:pPr>
      <w:r>
        <w:rPr/>
        <w:t>1</w:t>
        <w:tab/>
        <w:t>Summary of Significant Accounting</w:t>
      </w:r>
      <w:r>
        <w:rPr>
          <w:spacing w:val="-3"/>
        </w:rPr>
        <w:t> </w:t>
      </w:r>
      <w:r>
        <w:rPr/>
        <w:t>Policies</w:t>
      </w:r>
      <w:r>
        <w:rPr>
          <w:spacing w:val="-1"/>
        </w:rPr>
        <w:t> </w:t>
      </w:r>
      <w:r>
        <w:rPr/>
        <w:t>continued</w:t>
      </w:r>
      <w:r>
        <w:rPr>
          <w:w w:val="100"/>
        </w:rPr>
        <w:t> </w:t>
      </w:r>
      <w:r>
        <w:rPr/>
        <w:t>Rendering of</w:t>
      </w:r>
      <w:r>
        <w:rPr>
          <w:spacing w:val="-1"/>
        </w:rPr>
        <w:t> </w:t>
      </w:r>
      <w:r>
        <w:rPr/>
        <w:t>services</w:t>
      </w:r>
    </w:p>
    <w:p>
      <w:pPr>
        <w:pStyle w:val="BodyText"/>
        <w:spacing w:before="8"/>
        <w:ind w:left="1070" w:right="144"/>
      </w:pPr>
      <w:r>
        <w:rPr/>
        <w:t>Revenue recognition relating to the rendering of services is determined with reference to the stage of completion of the transaction at the end of the reporting period and where the outcome of the contract can be estimated reliably. Stage of completion is determined with reference to the services performed to date as a percentage of total anticipated services to be performed. Where the outcome cannot be estimated reliably, revenue is recognised only to the extent that related expenditure is recoverable.</w:t>
      </w:r>
    </w:p>
    <w:p>
      <w:pPr>
        <w:pStyle w:val="BodyText"/>
        <w:spacing w:before="11"/>
        <w:rPr>
          <w:sz w:val="24"/>
        </w:rPr>
      </w:pPr>
    </w:p>
    <w:p>
      <w:pPr>
        <w:pStyle w:val="Heading9"/>
        <w:numPr>
          <w:ilvl w:val="0"/>
          <w:numId w:val="85"/>
        </w:numPr>
        <w:tabs>
          <w:tab w:pos="1071" w:val="left" w:leader="none"/>
        </w:tabs>
        <w:spacing w:line="240" w:lineRule="auto" w:before="0" w:after="0"/>
        <w:ind w:left="1070" w:right="0" w:hanging="566"/>
        <w:jc w:val="left"/>
      </w:pPr>
      <w:r>
        <w:rPr/>
        <w:t>Goods and Services Tax</w:t>
      </w:r>
      <w:r>
        <w:rPr>
          <w:spacing w:val="-2"/>
        </w:rPr>
        <w:t> </w:t>
      </w:r>
      <w:r>
        <w:rPr/>
        <w:t>(GST)</w:t>
      </w:r>
    </w:p>
    <w:p>
      <w:pPr>
        <w:pStyle w:val="BodyText"/>
        <w:spacing w:before="11"/>
        <w:rPr>
          <w:b/>
          <w:sz w:val="24"/>
        </w:rPr>
      </w:pPr>
    </w:p>
    <w:p>
      <w:pPr>
        <w:pStyle w:val="BodyText"/>
        <w:ind w:left="1070" w:right="156"/>
      </w:pPr>
      <w:r>
        <w:rPr/>
        <w:t>Revenues, expenses and assets are recognised net of the amount of GST, except where the amount of GST incurred is not recoverable from the Australian Tax Office. In these circumstances the GST is recognised as part of the cost of acquisition of the asset or as part of an item of the expense. Receivables and payables in the statement of financial position are shown inclusive of GST.</w:t>
      </w:r>
    </w:p>
    <w:p>
      <w:pPr>
        <w:pStyle w:val="BodyText"/>
        <w:rPr>
          <w:sz w:val="25"/>
        </w:rPr>
      </w:pPr>
    </w:p>
    <w:p>
      <w:pPr>
        <w:pStyle w:val="BodyText"/>
        <w:ind w:left="1070" w:right="104"/>
      </w:pPr>
      <w:r>
        <w:rPr/>
        <w:t>Cash flows are presented in the statement of cash flows on a gross basis, except for the GST component of investing and financing activities, which are disclosed as operating cash flows.</w:t>
      </w:r>
    </w:p>
    <w:p>
      <w:pPr>
        <w:pStyle w:val="BodyText"/>
        <w:rPr>
          <w:sz w:val="25"/>
        </w:rPr>
      </w:pPr>
    </w:p>
    <w:p>
      <w:pPr>
        <w:pStyle w:val="BodyText"/>
        <w:ind w:left="1070" w:right="235"/>
      </w:pPr>
      <w:r>
        <w:rPr/>
        <w:t>The Company is grouped with the ultimate parent entity for GST purposes and therefore these amounts are not reflected within these statements.</w:t>
      </w:r>
    </w:p>
    <w:p>
      <w:pPr>
        <w:pStyle w:val="BodyText"/>
        <w:spacing w:before="11"/>
        <w:rPr>
          <w:sz w:val="24"/>
        </w:rPr>
      </w:pPr>
    </w:p>
    <w:p>
      <w:pPr>
        <w:pStyle w:val="Heading9"/>
        <w:numPr>
          <w:ilvl w:val="0"/>
          <w:numId w:val="85"/>
        </w:numPr>
        <w:tabs>
          <w:tab w:pos="1071" w:val="left" w:leader="none"/>
        </w:tabs>
        <w:spacing w:line="240" w:lineRule="auto" w:before="0" w:after="0"/>
        <w:ind w:left="1070" w:right="0" w:hanging="566"/>
        <w:jc w:val="left"/>
      </w:pPr>
      <w:r>
        <w:rPr/>
        <w:t>Critical accounting estimates and</w:t>
      </w:r>
      <w:r>
        <w:rPr>
          <w:spacing w:val="-4"/>
        </w:rPr>
        <w:t> </w:t>
      </w:r>
      <w:r>
        <w:rPr/>
        <w:t>judgments</w:t>
      </w:r>
    </w:p>
    <w:p>
      <w:pPr>
        <w:pStyle w:val="BodyText"/>
        <w:rPr>
          <w:b/>
          <w:sz w:val="25"/>
        </w:rPr>
      </w:pPr>
    </w:p>
    <w:p>
      <w:pPr>
        <w:pStyle w:val="BodyText"/>
        <w:ind w:left="1070" w:right="464"/>
      </w:pPr>
      <w:r>
        <w:rPr/>
        <w:t>The below areas involve a high degree of judgement where assumptions and estimates are significant to the financial statement of the Company.</w:t>
      </w:r>
    </w:p>
    <w:p>
      <w:pPr>
        <w:pStyle w:val="BodyText"/>
        <w:rPr>
          <w:sz w:val="25"/>
        </w:rPr>
      </w:pPr>
    </w:p>
    <w:p>
      <w:pPr>
        <w:pStyle w:val="Heading9"/>
        <w:ind w:left="1071" w:right="596"/>
      </w:pPr>
      <w:r>
        <w:rPr/>
        <w:t>Key estimates - impairment of plant and equipment</w:t>
      </w:r>
    </w:p>
    <w:p>
      <w:pPr>
        <w:pStyle w:val="BodyText"/>
        <w:spacing w:before="11"/>
        <w:rPr>
          <w:b/>
          <w:sz w:val="24"/>
        </w:rPr>
      </w:pPr>
    </w:p>
    <w:p>
      <w:pPr>
        <w:pStyle w:val="BodyText"/>
        <w:ind w:left="1070" w:right="135" w:hanging="1"/>
      </w:pPr>
      <w:r>
        <w:rPr/>
        <w:t>The Company assesses impairment at the end of the reporting year by evaluating conditions specific to the Company that may be indicative of impairment triggers. Recoverable amounts of relevant assets are reassessed using value-in-use calculations which incorporate various key assumptions.</w:t>
      </w:r>
    </w:p>
    <w:p>
      <w:pPr>
        <w:pStyle w:val="BodyText"/>
        <w:rPr>
          <w:sz w:val="25"/>
        </w:rPr>
      </w:pPr>
    </w:p>
    <w:p>
      <w:pPr>
        <w:pStyle w:val="Heading9"/>
        <w:ind w:left="1071" w:right="596"/>
      </w:pPr>
      <w:r>
        <w:rPr/>
        <w:t>Key judgments - provision for impairment of receivables</w:t>
      </w:r>
    </w:p>
    <w:p>
      <w:pPr>
        <w:pStyle w:val="BodyText"/>
        <w:spacing w:before="11"/>
        <w:rPr>
          <w:b/>
          <w:sz w:val="24"/>
        </w:rPr>
      </w:pPr>
    </w:p>
    <w:p>
      <w:pPr>
        <w:pStyle w:val="BodyText"/>
        <w:ind w:left="1070" w:right="335"/>
      </w:pPr>
      <w:r>
        <w:rPr/>
        <w:t>The value of the provision for impairment of receivables is estimated by considering the ageing of receivables, communication with the debtors and prior history.</w:t>
      </w:r>
    </w:p>
    <w:p>
      <w:pPr>
        <w:pStyle w:val="BodyText"/>
        <w:rPr>
          <w:sz w:val="25"/>
        </w:rPr>
      </w:pPr>
    </w:p>
    <w:p>
      <w:pPr>
        <w:pStyle w:val="Heading9"/>
        <w:ind w:right="596"/>
      </w:pPr>
      <w:r>
        <w:rPr/>
        <w:t>Key judgments - provision for long service leave</w:t>
      </w:r>
    </w:p>
    <w:p>
      <w:pPr>
        <w:pStyle w:val="BodyText"/>
        <w:rPr>
          <w:b/>
          <w:sz w:val="25"/>
        </w:rPr>
      </w:pPr>
    </w:p>
    <w:p>
      <w:pPr>
        <w:pStyle w:val="BodyText"/>
        <w:ind w:left="1070" w:right="104"/>
      </w:pPr>
      <w:r>
        <w:rPr/>
        <w:t>The value of the provision for long service leave is derived from a short hand method calculated by an actuary.</w:t>
      </w:r>
    </w:p>
    <w:p>
      <w:pPr>
        <w:pStyle w:val="BodyText"/>
        <w:spacing w:before="11"/>
        <w:rPr>
          <w:sz w:val="24"/>
        </w:rPr>
      </w:pPr>
    </w:p>
    <w:p>
      <w:pPr>
        <w:pStyle w:val="Heading9"/>
        <w:numPr>
          <w:ilvl w:val="0"/>
          <w:numId w:val="85"/>
        </w:numPr>
        <w:tabs>
          <w:tab w:pos="1071" w:val="left" w:leader="none"/>
        </w:tabs>
        <w:spacing w:line="240" w:lineRule="auto" w:before="0" w:after="0"/>
        <w:ind w:left="1070" w:right="0" w:hanging="566"/>
        <w:jc w:val="left"/>
      </w:pPr>
      <w:r>
        <w:rPr/>
        <w:t>New and revised accounting</w:t>
      </w:r>
      <w:r>
        <w:rPr>
          <w:spacing w:val="-1"/>
        </w:rPr>
        <w:t> </w:t>
      </w:r>
      <w:r>
        <w:rPr/>
        <w:t>standards</w:t>
      </w:r>
    </w:p>
    <w:p>
      <w:pPr>
        <w:pStyle w:val="BodyText"/>
        <w:rPr>
          <w:b/>
          <w:sz w:val="25"/>
        </w:rPr>
      </w:pPr>
    </w:p>
    <w:p>
      <w:pPr>
        <w:pStyle w:val="BodyText"/>
        <w:ind w:left="1070" w:right="105"/>
      </w:pPr>
      <w:r>
        <w:rPr/>
        <w:t>Certain new accounting standards and interpretations have been published that are not mandatory for 31 December 2012 reporting periods and have not yet been applied to the financial statements. The Company’s assessment of the impact of the new standards and interpretations is that they will not materially affect any of the amounts recognised in the financial statements or significantly impact the disclosures in relation to the Company.</w:t>
      </w:r>
    </w:p>
    <w:p>
      <w:pPr>
        <w:spacing w:after="0"/>
        <w:sectPr>
          <w:pgSz w:w="11910" w:h="16840"/>
          <w:pgMar w:header="1038" w:footer="507" w:top="1460" w:bottom="700" w:left="900" w:right="840"/>
        </w:sectPr>
      </w:pPr>
    </w:p>
    <w:p>
      <w:pPr>
        <w:pStyle w:val="BodyText"/>
        <w:spacing w:before="2"/>
        <w:rPr>
          <w:sz w:val="24"/>
        </w:rPr>
      </w:pPr>
    </w:p>
    <w:p>
      <w:pPr>
        <w:pStyle w:val="Heading3"/>
        <w:spacing w:before="64"/>
        <w:ind w:right="0"/>
      </w:pPr>
      <w:r>
        <w:rPr/>
        <w:t>Notes to the Financial Statements</w:t>
      </w:r>
    </w:p>
    <w:p>
      <w:pPr>
        <w:pStyle w:val="Heading6"/>
        <w:ind w:right="0"/>
      </w:pPr>
      <w:r>
        <w:rPr/>
        <w:t>For the Year Ended 31 December 2012</w:t>
      </w:r>
    </w:p>
    <w:p>
      <w:pPr>
        <w:pStyle w:val="BodyText"/>
        <w:rPr>
          <w:b/>
          <w:sz w:val="22"/>
        </w:rPr>
      </w:pPr>
    </w:p>
    <w:p>
      <w:pPr>
        <w:pStyle w:val="BodyText"/>
        <w:rPr>
          <w:b/>
          <w:sz w:val="22"/>
        </w:rPr>
      </w:pPr>
    </w:p>
    <w:p>
      <w:pPr>
        <w:pStyle w:val="Heading9"/>
        <w:tabs>
          <w:tab w:pos="503" w:val="left" w:leader="none"/>
        </w:tabs>
        <w:spacing w:before="160"/>
        <w:ind w:left="109"/>
      </w:pPr>
      <w:r>
        <w:rPr/>
        <w:t>1</w:t>
        <w:tab/>
        <w:t>Summary of Significant Accounting Policies</w:t>
      </w:r>
      <w:r>
        <w:rPr>
          <w:spacing w:val="-3"/>
        </w:rPr>
        <w:t> </w:t>
      </w:r>
      <w:r>
        <w:rPr/>
        <w:t>continued</w:t>
      </w:r>
    </w:p>
    <w:p>
      <w:pPr>
        <w:pStyle w:val="BodyText"/>
        <w:spacing w:before="11"/>
        <w:rPr>
          <w:b/>
          <w:sz w:val="24"/>
        </w:rPr>
      </w:pPr>
    </w:p>
    <w:p>
      <w:pPr>
        <w:pStyle w:val="ListParagraph"/>
        <w:numPr>
          <w:ilvl w:val="0"/>
          <w:numId w:val="85"/>
        </w:numPr>
        <w:tabs>
          <w:tab w:pos="1071" w:val="left" w:leader="none"/>
        </w:tabs>
        <w:spacing w:line="240" w:lineRule="auto" w:before="0" w:after="0"/>
        <w:ind w:left="1070" w:right="0" w:hanging="566"/>
        <w:jc w:val="left"/>
        <w:rPr>
          <w:b/>
          <w:sz w:val="18"/>
        </w:rPr>
      </w:pPr>
      <w:r>
        <w:rPr>
          <w:b/>
          <w:sz w:val="18"/>
        </w:rPr>
        <w:t>Property, Plant and Equipment</w:t>
      </w:r>
    </w:p>
    <w:p>
      <w:pPr>
        <w:pStyle w:val="BodyText"/>
        <w:rPr>
          <w:b/>
          <w:sz w:val="25"/>
        </w:rPr>
      </w:pPr>
    </w:p>
    <w:p>
      <w:pPr>
        <w:pStyle w:val="BodyText"/>
        <w:ind w:left="1070" w:right="215"/>
      </w:pPr>
      <w:r>
        <w:rPr/>
        <w:t>Each class of property, plant and equipment is carried at cost or fair value as indicated less, where applicable, any accumulated depreciation and impairment losses.</w:t>
      </w:r>
    </w:p>
    <w:p>
      <w:pPr>
        <w:pStyle w:val="BodyText"/>
        <w:rPr>
          <w:sz w:val="25"/>
        </w:rPr>
      </w:pPr>
    </w:p>
    <w:p>
      <w:pPr>
        <w:pStyle w:val="Heading9"/>
        <w:ind w:left="1071"/>
      </w:pPr>
      <w:r>
        <w:rPr/>
        <w:t>Plant and equipment</w:t>
      </w:r>
    </w:p>
    <w:p>
      <w:pPr>
        <w:pStyle w:val="BodyText"/>
        <w:rPr>
          <w:b/>
          <w:sz w:val="25"/>
        </w:rPr>
      </w:pPr>
    </w:p>
    <w:p>
      <w:pPr>
        <w:pStyle w:val="BodyText"/>
        <w:ind w:left="1070"/>
      </w:pPr>
      <w:r>
        <w:rPr/>
        <w:t>Plant and equipment are measured on the cost basis less depreciation and impairment losses. Cost includes expenditure that is directly attributable to the asset.</w:t>
      </w:r>
    </w:p>
    <w:p>
      <w:pPr>
        <w:pStyle w:val="BodyText"/>
        <w:rPr>
          <w:sz w:val="25"/>
        </w:rPr>
      </w:pPr>
    </w:p>
    <w:p>
      <w:pPr>
        <w:pStyle w:val="Heading9"/>
      </w:pPr>
      <w:r>
        <w:rPr/>
        <w:t>Artwork</w:t>
      </w:r>
    </w:p>
    <w:p>
      <w:pPr>
        <w:pStyle w:val="BodyText"/>
        <w:rPr>
          <w:b/>
          <w:sz w:val="25"/>
        </w:rPr>
      </w:pPr>
    </w:p>
    <w:p>
      <w:pPr>
        <w:pStyle w:val="BodyText"/>
        <w:ind w:left="1070"/>
      </w:pPr>
      <w:r>
        <w:rPr/>
        <w:t>Artwork is measured on the cost basis. Cost includes expenditure that is directly attributable to the asset.</w:t>
      </w:r>
    </w:p>
    <w:p>
      <w:pPr>
        <w:pStyle w:val="BodyText"/>
        <w:rPr>
          <w:sz w:val="25"/>
        </w:rPr>
      </w:pPr>
    </w:p>
    <w:p>
      <w:pPr>
        <w:pStyle w:val="Heading9"/>
        <w:ind w:left="1071"/>
      </w:pPr>
      <w:r>
        <w:rPr/>
        <w:t>Depreciation</w:t>
      </w:r>
    </w:p>
    <w:p>
      <w:pPr>
        <w:pStyle w:val="BodyText"/>
        <w:rPr>
          <w:b/>
          <w:sz w:val="25"/>
        </w:rPr>
      </w:pPr>
    </w:p>
    <w:p>
      <w:pPr>
        <w:pStyle w:val="BodyText"/>
        <w:ind w:left="1070"/>
      </w:pPr>
      <w:r>
        <w:rPr/>
        <w:t>The depreciable amount of all fixed assets including capitalised leased assets, is depreciated on a straight-line basis over the asset's useful life to the Company commencing from the time the asset is held ready for use.</w:t>
      </w:r>
    </w:p>
    <w:p>
      <w:pPr>
        <w:pStyle w:val="BodyText"/>
        <w:ind w:left="1070" w:right="454"/>
      </w:pPr>
      <w:r>
        <w:rPr/>
        <w:t>Leasehold improvements are depreciated over the shorter of either the unexpired period of the lease or the estimated useful lives of the improvements.</w:t>
      </w:r>
    </w:p>
    <w:p>
      <w:pPr>
        <w:pStyle w:val="BodyText"/>
        <w:rPr>
          <w:sz w:val="25"/>
        </w:rPr>
      </w:pPr>
    </w:p>
    <w:p>
      <w:pPr>
        <w:pStyle w:val="BodyText"/>
        <w:ind w:left="1070"/>
      </w:pPr>
      <w:r>
        <w:rPr/>
        <w:t>The estimated useful lives/depreciation rates used for each class of depreciable assets are:</w:t>
      </w:r>
    </w:p>
    <w:p>
      <w:pPr>
        <w:pStyle w:val="BodyText"/>
      </w:pPr>
    </w:p>
    <w:p>
      <w:pPr>
        <w:pStyle w:val="BodyText"/>
      </w:pPr>
    </w:p>
    <w:p>
      <w:pPr>
        <w:pStyle w:val="Heading9"/>
        <w:tabs>
          <w:tab w:pos="5129" w:val="left" w:leader="none"/>
        </w:tabs>
        <w:spacing w:before="113"/>
        <w:ind w:left="1071"/>
      </w:pPr>
      <w:r>
        <w:rPr/>
        <w:t>Class of</w:t>
      </w:r>
      <w:r>
        <w:rPr>
          <w:spacing w:val="-1"/>
        </w:rPr>
        <w:t> </w:t>
      </w:r>
      <w:r>
        <w:rPr/>
        <w:t>Fixed</w:t>
      </w:r>
      <w:r>
        <w:rPr>
          <w:spacing w:val="-1"/>
        </w:rPr>
        <w:t> </w:t>
      </w:r>
      <w:r>
        <w:rPr/>
        <w:t>Asset</w:t>
        <w:tab/>
        <w:t>Depreciation Rate / Useful</w:t>
      </w:r>
      <w:r>
        <w:rPr>
          <w:spacing w:val="-1"/>
        </w:rPr>
        <w:t> </w:t>
      </w:r>
      <w:r>
        <w:rPr/>
        <w:t>Life</w:t>
      </w:r>
    </w:p>
    <w:p>
      <w:pPr>
        <w:pStyle w:val="BodyText"/>
        <w:rPr>
          <w:b/>
        </w:rPr>
      </w:pPr>
    </w:p>
    <w:p>
      <w:pPr>
        <w:pStyle w:val="BodyText"/>
        <w:tabs>
          <w:tab w:pos="6032" w:val="left" w:leader="none"/>
        </w:tabs>
        <w:spacing w:before="129"/>
        <w:ind w:left="1071"/>
      </w:pPr>
      <w:r>
        <w:rPr/>
        <w:t>Motor</w:t>
      </w:r>
      <w:r>
        <w:rPr>
          <w:spacing w:val="-1"/>
        </w:rPr>
        <w:t> </w:t>
      </w:r>
      <w:r>
        <w:rPr/>
        <w:t>Vehicles</w:t>
        <w:tab/>
        <w:t>6.67</w:t>
      </w:r>
      <w:r>
        <w:rPr>
          <w:spacing w:val="-1"/>
        </w:rPr>
        <w:t> </w:t>
      </w:r>
      <w:r>
        <w:rPr/>
        <w:t>years</w:t>
      </w:r>
    </w:p>
    <w:p>
      <w:pPr>
        <w:pStyle w:val="BodyText"/>
        <w:tabs>
          <w:tab w:pos="6076" w:val="left" w:leader="none"/>
        </w:tabs>
        <w:spacing w:before="57"/>
        <w:ind w:left="1071"/>
      </w:pPr>
      <w:r>
        <w:rPr/>
        <w:t>Computer</w:t>
      </w:r>
      <w:r>
        <w:rPr>
          <w:spacing w:val="-1"/>
        </w:rPr>
        <w:t> </w:t>
      </w:r>
      <w:r>
        <w:rPr/>
        <w:t>Equipment</w:t>
        <w:tab/>
        <w:t>3-4</w:t>
      </w:r>
      <w:r>
        <w:rPr>
          <w:spacing w:val="-1"/>
        </w:rPr>
        <w:t> </w:t>
      </w:r>
      <w:r>
        <w:rPr/>
        <w:t>years</w:t>
      </w:r>
    </w:p>
    <w:p>
      <w:pPr>
        <w:pStyle w:val="BodyText"/>
        <w:tabs>
          <w:tab w:pos="6076" w:val="left" w:leader="none"/>
        </w:tabs>
        <w:spacing w:before="57"/>
        <w:ind w:left="1071"/>
      </w:pPr>
      <w:r>
        <w:rPr/>
        <w:t>Leasehold</w:t>
      </w:r>
      <w:r>
        <w:rPr>
          <w:spacing w:val="-1"/>
        </w:rPr>
        <w:t> </w:t>
      </w:r>
      <w:r>
        <w:rPr/>
        <w:t>improvements</w:t>
        <w:tab/>
        <w:t>2-6</w:t>
      </w:r>
      <w:r>
        <w:rPr>
          <w:spacing w:val="-1"/>
        </w:rPr>
        <w:t> </w:t>
      </w:r>
      <w:r>
        <w:rPr/>
        <w:t>years</w:t>
      </w:r>
    </w:p>
    <w:p>
      <w:pPr>
        <w:pStyle w:val="BodyText"/>
      </w:pPr>
    </w:p>
    <w:p>
      <w:pPr>
        <w:pStyle w:val="BodyText"/>
        <w:spacing w:before="108"/>
        <w:ind w:left="1070" w:right="120"/>
      </w:pPr>
      <w:r>
        <w:rPr/>
        <w:t>The assets' residual values, depreciation methods and useful lives are reviewed, and adjusted if appropriate, at the end of each reporting period.</w:t>
      </w:r>
    </w:p>
    <w:p>
      <w:pPr>
        <w:pStyle w:val="BodyText"/>
        <w:rPr>
          <w:sz w:val="25"/>
        </w:rPr>
      </w:pPr>
    </w:p>
    <w:p>
      <w:pPr>
        <w:pStyle w:val="BodyText"/>
        <w:ind w:left="1070" w:right="87"/>
      </w:pPr>
      <w:r>
        <w:rPr/>
        <w:t>An asset's carrying amount is written down immediately to its recoverable amount if the asset's carrying amount is greater than its estimated recoverable amount.</w:t>
      </w:r>
    </w:p>
    <w:p>
      <w:pPr>
        <w:pStyle w:val="BodyText"/>
        <w:rPr>
          <w:sz w:val="25"/>
        </w:rPr>
      </w:pPr>
    </w:p>
    <w:p>
      <w:pPr>
        <w:pStyle w:val="BodyText"/>
        <w:ind w:left="1070" w:right="268"/>
        <w:jc w:val="both"/>
      </w:pPr>
      <w:r>
        <w:rPr/>
        <w:t>Gains and losses on disposals are determined by comparing proceeds with the carrying amount. These gains and losses are included in the statement of comprehensive income. When revalued assets are sold, amounts included in the revaluation reserve relating to that asset are transferred to retained earnings.</w:t>
      </w:r>
    </w:p>
    <w:p>
      <w:pPr>
        <w:pStyle w:val="BodyText"/>
        <w:spacing w:before="11"/>
        <w:rPr>
          <w:sz w:val="24"/>
        </w:rPr>
      </w:pPr>
    </w:p>
    <w:p>
      <w:pPr>
        <w:pStyle w:val="Heading9"/>
        <w:numPr>
          <w:ilvl w:val="0"/>
          <w:numId w:val="85"/>
        </w:numPr>
        <w:tabs>
          <w:tab w:pos="1071" w:val="left" w:leader="none"/>
        </w:tabs>
        <w:spacing w:line="240" w:lineRule="auto" w:before="0" w:after="0"/>
        <w:ind w:left="1070" w:right="0" w:hanging="566"/>
        <w:jc w:val="left"/>
      </w:pPr>
      <w:r>
        <w:rPr/>
        <w:t>Income</w:t>
      </w:r>
      <w:r>
        <w:rPr>
          <w:spacing w:val="-1"/>
        </w:rPr>
        <w:t> </w:t>
      </w:r>
      <w:r>
        <w:rPr/>
        <w:t>Tax</w:t>
      </w:r>
    </w:p>
    <w:p>
      <w:pPr>
        <w:pStyle w:val="BodyText"/>
        <w:rPr>
          <w:b/>
          <w:sz w:val="25"/>
        </w:rPr>
      </w:pPr>
    </w:p>
    <w:p>
      <w:pPr>
        <w:pStyle w:val="BodyText"/>
        <w:ind w:left="1071"/>
      </w:pPr>
      <w:r>
        <w:rPr/>
        <w:t>The Company is exempt from the payment of tax by virtue of section 50-B of the </w:t>
      </w:r>
      <w:r>
        <w:rPr>
          <w:i/>
        </w:rPr>
        <w:t>Income Tax Assessment Act </w:t>
      </w:r>
      <w:r>
        <w:rPr>
          <w:i/>
        </w:rPr>
        <w:t>1997</w:t>
      </w:r>
      <w:r>
        <w:rPr/>
        <w:t>. Accordingly, no provision for income tax liability or future income tax benefit has been included in the accounts.</w:t>
      </w:r>
    </w:p>
    <w:p>
      <w:pPr>
        <w:spacing w:after="0"/>
        <w:sectPr>
          <w:pgSz w:w="11910" w:h="16840"/>
          <w:pgMar w:header="1038" w:footer="507" w:top="1460" w:bottom="700" w:left="900" w:right="960"/>
        </w:sectPr>
      </w:pPr>
    </w:p>
    <w:p>
      <w:pPr>
        <w:pStyle w:val="BodyText"/>
        <w:spacing w:before="2"/>
        <w:rPr>
          <w:sz w:val="24"/>
        </w:rPr>
      </w:pPr>
    </w:p>
    <w:p>
      <w:pPr>
        <w:pStyle w:val="Heading3"/>
        <w:spacing w:before="64"/>
        <w:ind w:left="147" w:right="685"/>
      </w:pPr>
      <w:r>
        <w:rPr/>
        <w:t>Notes to the Financial Statements</w:t>
      </w:r>
    </w:p>
    <w:p>
      <w:pPr>
        <w:pStyle w:val="Heading6"/>
        <w:ind w:left="147" w:right="685"/>
      </w:pPr>
      <w:r>
        <w:rPr/>
        <w:t>For the Year Ended 31 December 2012</w:t>
      </w:r>
    </w:p>
    <w:p>
      <w:pPr>
        <w:pStyle w:val="BodyText"/>
        <w:spacing w:before="2"/>
        <w:rPr>
          <w:b/>
          <w:sz w:val="26"/>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7073"/>
        <w:gridCol w:w="1460"/>
        <w:gridCol w:w="1135"/>
      </w:tblGrid>
      <w:tr>
        <w:trPr>
          <w:trHeight w:val="567" w:hRule="exact"/>
        </w:trPr>
        <w:tc>
          <w:tcPr>
            <w:tcW w:w="283" w:type="dxa"/>
          </w:tcPr>
          <w:p>
            <w:pPr>
              <w:pStyle w:val="TableParagraph"/>
              <w:spacing w:before="77"/>
              <w:ind w:left="35"/>
              <w:rPr>
                <w:b/>
                <w:sz w:val="18"/>
              </w:rPr>
            </w:pPr>
            <w:r>
              <w:rPr>
                <w:b/>
                <w:w w:val="99"/>
                <w:sz w:val="18"/>
              </w:rPr>
              <w:t>2</w:t>
            </w:r>
          </w:p>
        </w:tc>
        <w:tc>
          <w:tcPr>
            <w:tcW w:w="7073" w:type="dxa"/>
          </w:tcPr>
          <w:p>
            <w:pPr>
              <w:pStyle w:val="TableParagraph"/>
              <w:spacing w:before="77"/>
              <w:ind w:left="147"/>
              <w:rPr>
                <w:b/>
                <w:sz w:val="18"/>
              </w:rPr>
            </w:pPr>
            <w:r>
              <w:rPr>
                <w:b/>
                <w:sz w:val="18"/>
              </w:rPr>
              <w:t>Cash and cash equivalents</w:t>
            </w:r>
          </w:p>
        </w:tc>
        <w:tc>
          <w:tcPr>
            <w:tcW w:w="1460" w:type="dxa"/>
          </w:tcPr>
          <w:p>
            <w:pPr>
              <w:pStyle w:val="TableParagraph"/>
              <w:rPr>
                <w:b/>
                <w:sz w:val="18"/>
              </w:rPr>
            </w:pPr>
          </w:p>
          <w:p>
            <w:pPr>
              <w:pStyle w:val="TableParagraph"/>
              <w:spacing w:before="110"/>
              <w:ind w:left="448"/>
              <w:rPr>
                <w:b/>
                <w:sz w:val="18"/>
              </w:rPr>
            </w:pPr>
            <w:r>
              <w:rPr>
                <w:b/>
                <w:sz w:val="18"/>
              </w:rPr>
              <w:t>2012</w:t>
            </w:r>
          </w:p>
        </w:tc>
        <w:tc>
          <w:tcPr>
            <w:tcW w:w="1135" w:type="dxa"/>
          </w:tcPr>
          <w:p>
            <w:pPr>
              <w:pStyle w:val="TableParagraph"/>
              <w:rPr>
                <w:b/>
                <w:sz w:val="18"/>
              </w:rPr>
            </w:pPr>
          </w:p>
          <w:p>
            <w:pPr>
              <w:pStyle w:val="TableParagraph"/>
              <w:spacing w:before="110"/>
              <w:ind w:left="272"/>
              <w:rPr>
                <w:b/>
                <w:sz w:val="18"/>
              </w:rPr>
            </w:pPr>
            <w:r>
              <w:rPr>
                <w:b/>
                <w:sz w:val="18"/>
              </w:rPr>
              <w:t>2011</w:t>
            </w:r>
          </w:p>
        </w:tc>
      </w:tr>
      <w:tr>
        <w:trPr>
          <w:trHeight w:val="271" w:hRule="exact"/>
        </w:trPr>
        <w:tc>
          <w:tcPr>
            <w:tcW w:w="283" w:type="dxa"/>
          </w:tcPr>
          <w:p>
            <w:pPr/>
          </w:p>
        </w:tc>
        <w:tc>
          <w:tcPr>
            <w:tcW w:w="7073" w:type="dxa"/>
          </w:tcPr>
          <w:p>
            <w:pPr/>
          </w:p>
        </w:tc>
        <w:tc>
          <w:tcPr>
            <w:tcW w:w="1460" w:type="dxa"/>
          </w:tcPr>
          <w:p>
            <w:pPr>
              <w:pStyle w:val="TableParagraph"/>
              <w:spacing w:before="24"/>
              <w:ind w:right="160"/>
              <w:jc w:val="center"/>
              <w:rPr>
                <w:b/>
                <w:sz w:val="18"/>
              </w:rPr>
            </w:pPr>
            <w:r>
              <w:rPr>
                <w:b/>
                <w:w w:val="99"/>
                <w:sz w:val="18"/>
              </w:rPr>
              <w:t>$</w:t>
            </w:r>
          </w:p>
        </w:tc>
        <w:tc>
          <w:tcPr>
            <w:tcW w:w="1135" w:type="dxa"/>
          </w:tcPr>
          <w:p>
            <w:pPr>
              <w:pStyle w:val="TableParagraph"/>
              <w:spacing w:before="24"/>
              <w:ind w:right="186"/>
              <w:jc w:val="center"/>
              <w:rPr>
                <w:b/>
                <w:sz w:val="18"/>
              </w:rPr>
            </w:pPr>
            <w:r>
              <w:rPr>
                <w:b/>
                <w:w w:val="99"/>
                <w:sz w:val="18"/>
              </w:rPr>
              <w:t>$</w:t>
            </w:r>
          </w:p>
        </w:tc>
      </w:tr>
      <w:tr>
        <w:trPr>
          <w:trHeight w:val="267" w:hRule="exact"/>
        </w:trPr>
        <w:tc>
          <w:tcPr>
            <w:tcW w:w="283" w:type="dxa"/>
          </w:tcPr>
          <w:p>
            <w:pPr/>
          </w:p>
        </w:tc>
        <w:tc>
          <w:tcPr>
            <w:tcW w:w="7073" w:type="dxa"/>
          </w:tcPr>
          <w:p>
            <w:pPr>
              <w:pStyle w:val="TableParagraph"/>
              <w:spacing w:before="22"/>
              <w:ind w:left="147"/>
              <w:rPr>
                <w:sz w:val="18"/>
              </w:rPr>
            </w:pPr>
            <w:r>
              <w:rPr>
                <w:sz w:val="18"/>
              </w:rPr>
              <w:t>Cash at bank and in hand</w:t>
            </w:r>
          </w:p>
        </w:tc>
        <w:tc>
          <w:tcPr>
            <w:tcW w:w="1460" w:type="dxa"/>
          </w:tcPr>
          <w:p>
            <w:pPr>
              <w:pStyle w:val="TableParagraph"/>
              <w:spacing w:before="21"/>
              <w:ind w:right="246"/>
              <w:jc w:val="right"/>
              <w:rPr>
                <w:b/>
                <w:sz w:val="18"/>
              </w:rPr>
            </w:pPr>
            <w:r>
              <w:rPr>
                <w:b/>
                <w:w w:val="95"/>
                <w:sz w:val="18"/>
              </w:rPr>
              <w:t>249,128</w:t>
            </w:r>
          </w:p>
        </w:tc>
        <w:tc>
          <w:tcPr>
            <w:tcW w:w="1135" w:type="dxa"/>
          </w:tcPr>
          <w:p>
            <w:pPr>
              <w:pStyle w:val="TableParagraph"/>
              <w:spacing w:before="21"/>
              <w:ind w:right="83"/>
              <w:jc w:val="right"/>
              <w:rPr>
                <w:sz w:val="18"/>
              </w:rPr>
            </w:pPr>
            <w:r>
              <w:rPr>
                <w:w w:val="95"/>
                <w:sz w:val="18"/>
              </w:rPr>
              <w:t>234,858</w:t>
            </w:r>
          </w:p>
        </w:tc>
      </w:tr>
      <w:tr>
        <w:trPr>
          <w:trHeight w:val="262" w:hRule="exact"/>
        </w:trPr>
        <w:tc>
          <w:tcPr>
            <w:tcW w:w="283" w:type="dxa"/>
          </w:tcPr>
          <w:p>
            <w:pPr/>
          </w:p>
        </w:tc>
        <w:tc>
          <w:tcPr>
            <w:tcW w:w="7073" w:type="dxa"/>
          </w:tcPr>
          <w:p>
            <w:pPr>
              <w:pStyle w:val="TableParagraph"/>
              <w:spacing w:before="19"/>
              <w:ind w:left="147"/>
              <w:rPr>
                <w:sz w:val="18"/>
              </w:rPr>
            </w:pPr>
            <w:r>
              <w:rPr>
                <w:sz w:val="18"/>
              </w:rPr>
              <w:t>TCorp balance</w:t>
            </w:r>
          </w:p>
        </w:tc>
        <w:tc>
          <w:tcPr>
            <w:tcW w:w="1460" w:type="dxa"/>
            <w:tcBorders>
              <w:bottom w:val="single" w:sz="0" w:space="0" w:color="000000"/>
            </w:tcBorders>
          </w:tcPr>
          <w:p>
            <w:pPr>
              <w:pStyle w:val="TableParagraph"/>
              <w:spacing w:before="18"/>
              <w:ind w:right="246"/>
              <w:jc w:val="right"/>
              <w:rPr>
                <w:b/>
                <w:sz w:val="18"/>
              </w:rPr>
            </w:pPr>
            <w:r>
              <w:rPr>
                <w:b/>
                <w:w w:val="95"/>
                <w:sz w:val="18"/>
              </w:rPr>
              <w:t>400,674</w:t>
            </w:r>
          </w:p>
        </w:tc>
        <w:tc>
          <w:tcPr>
            <w:tcW w:w="1135" w:type="dxa"/>
            <w:tcBorders>
              <w:bottom w:val="single" w:sz="0" w:space="0" w:color="000000"/>
            </w:tcBorders>
          </w:tcPr>
          <w:p>
            <w:pPr>
              <w:pStyle w:val="TableParagraph"/>
              <w:spacing w:before="18"/>
              <w:ind w:right="82"/>
              <w:jc w:val="right"/>
              <w:rPr>
                <w:sz w:val="18"/>
              </w:rPr>
            </w:pPr>
            <w:r>
              <w:rPr>
                <w:w w:val="95"/>
                <w:sz w:val="18"/>
              </w:rPr>
              <w:t>3,058,223</w:t>
            </w:r>
          </w:p>
        </w:tc>
      </w:tr>
      <w:tr>
        <w:trPr>
          <w:trHeight w:val="353" w:hRule="exact"/>
        </w:trPr>
        <w:tc>
          <w:tcPr>
            <w:tcW w:w="283" w:type="dxa"/>
          </w:tcPr>
          <w:p>
            <w:pPr/>
          </w:p>
        </w:tc>
        <w:tc>
          <w:tcPr>
            <w:tcW w:w="7073" w:type="dxa"/>
          </w:tcPr>
          <w:p>
            <w:pPr>
              <w:pStyle w:val="TableParagraph"/>
              <w:spacing w:before="123"/>
              <w:ind w:left="147"/>
              <w:rPr>
                <w:b/>
                <w:sz w:val="18"/>
              </w:rPr>
            </w:pPr>
            <w:r>
              <w:rPr>
                <w:b/>
                <w:sz w:val="18"/>
              </w:rPr>
              <w:t>Total cash and cash equivalents</w:t>
            </w: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649,802</w:t>
            </w:r>
          </w:p>
        </w:tc>
        <w:tc>
          <w:tcPr>
            <w:tcW w:w="1135" w:type="dxa"/>
            <w:tcBorders>
              <w:top w:val="single" w:sz="0" w:space="0" w:color="000000"/>
              <w:bottom w:val="single" w:sz="0" w:space="0" w:color="000000"/>
            </w:tcBorders>
          </w:tcPr>
          <w:p>
            <w:pPr>
              <w:pStyle w:val="TableParagraph"/>
              <w:spacing w:before="122"/>
              <w:ind w:right="82"/>
              <w:jc w:val="right"/>
              <w:rPr>
                <w:sz w:val="18"/>
              </w:rPr>
            </w:pPr>
            <w:r>
              <w:rPr>
                <w:w w:val="95"/>
                <w:sz w:val="18"/>
              </w:rPr>
              <w:t>3,293,081</w:t>
            </w:r>
          </w:p>
        </w:tc>
      </w:tr>
      <w:tr>
        <w:trPr>
          <w:trHeight w:val="617" w:hRule="exact"/>
        </w:trPr>
        <w:tc>
          <w:tcPr>
            <w:tcW w:w="283" w:type="dxa"/>
          </w:tcPr>
          <w:p>
            <w:pPr/>
          </w:p>
        </w:tc>
        <w:tc>
          <w:tcPr>
            <w:tcW w:w="7073" w:type="dxa"/>
          </w:tcPr>
          <w:p>
            <w:pPr>
              <w:pStyle w:val="TableParagraph"/>
              <w:rPr>
                <w:b/>
                <w:sz w:val="18"/>
              </w:rPr>
            </w:pPr>
          </w:p>
          <w:p>
            <w:pPr>
              <w:pStyle w:val="TableParagraph"/>
              <w:spacing w:before="106"/>
              <w:ind w:left="147"/>
              <w:rPr>
                <w:b/>
                <w:sz w:val="18"/>
              </w:rPr>
            </w:pPr>
            <w:r>
              <w:rPr>
                <w:b/>
                <w:sz w:val="18"/>
              </w:rPr>
              <w:t>Reconciliation of cash</w:t>
            </w:r>
          </w:p>
        </w:tc>
        <w:tc>
          <w:tcPr>
            <w:tcW w:w="1460" w:type="dxa"/>
            <w:tcBorders>
              <w:top w:val="single" w:sz="0" w:space="0" w:color="000000"/>
            </w:tcBorders>
          </w:tcPr>
          <w:p>
            <w:pPr/>
          </w:p>
        </w:tc>
        <w:tc>
          <w:tcPr>
            <w:tcW w:w="1135" w:type="dxa"/>
            <w:tcBorders>
              <w:top w:val="single" w:sz="0" w:space="0" w:color="000000"/>
            </w:tcBorders>
          </w:tcPr>
          <w:p>
            <w:pPr/>
          </w:p>
        </w:tc>
      </w:tr>
    </w:tbl>
    <w:p>
      <w:pPr>
        <w:pStyle w:val="BodyText"/>
        <w:spacing w:before="10"/>
        <w:rPr>
          <w:b/>
          <w:sz w:val="9"/>
        </w:rPr>
      </w:pPr>
    </w:p>
    <w:p>
      <w:pPr>
        <w:pStyle w:val="BodyText"/>
        <w:spacing w:before="78" w:after="36"/>
        <w:ind w:left="545" w:right="59"/>
      </w:pPr>
      <w:r>
        <w:rPr/>
        <w:t>Cash at the end of the financial year as shown in the statement of cash flows is reconciled to items in the statement of financial position as follows:</w:t>
      </w:r>
    </w:p>
    <w:tbl>
      <w:tblPr>
        <w:tblW w:w="0" w:type="auto"/>
        <w:jc w:val="left"/>
        <w:tblInd w:w="5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60"/>
        <w:gridCol w:w="1460"/>
        <w:gridCol w:w="1135"/>
      </w:tblGrid>
      <w:tr>
        <w:trPr>
          <w:trHeight w:val="783" w:hRule="exact"/>
        </w:trPr>
        <w:tc>
          <w:tcPr>
            <w:tcW w:w="6960" w:type="dxa"/>
          </w:tcPr>
          <w:p>
            <w:pPr>
              <w:pStyle w:val="TableParagraph"/>
              <w:rPr>
                <w:sz w:val="18"/>
              </w:rPr>
            </w:pPr>
          </w:p>
          <w:p>
            <w:pPr>
              <w:pStyle w:val="TableParagraph"/>
              <w:rPr>
                <w:sz w:val="18"/>
              </w:rPr>
            </w:pPr>
          </w:p>
          <w:p>
            <w:pPr>
              <w:pStyle w:val="TableParagraph"/>
              <w:spacing w:before="126"/>
              <w:ind w:left="78" w:right="-10"/>
              <w:rPr>
                <w:sz w:val="18"/>
              </w:rPr>
            </w:pPr>
            <w:r>
              <w:rPr>
                <w:sz w:val="18"/>
              </w:rPr>
              <w:t>Cash and cash equivalents</w:t>
            </w:r>
          </w:p>
        </w:tc>
        <w:tc>
          <w:tcPr>
            <w:tcW w:w="1460" w:type="dxa"/>
            <w:tcBorders>
              <w:bottom w:val="single" w:sz="0" w:space="0" w:color="000000"/>
            </w:tcBorders>
          </w:tcPr>
          <w:p>
            <w:pPr>
              <w:pStyle w:val="TableParagraph"/>
              <w:spacing w:line="204" w:lineRule="exact"/>
              <w:ind w:left="471" w:right="228"/>
              <w:rPr>
                <w:b/>
                <w:sz w:val="18"/>
              </w:rPr>
            </w:pPr>
            <w:r>
              <w:rPr>
                <w:b/>
                <w:sz w:val="18"/>
              </w:rPr>
              <w:t>2012</w:t>
            </w:r>
          </w:p>
          <w:p>
            <w:pPr>
              <w:pStyle w:val="TableParagraph"/>
              <w:spacing w:line="312" w:lineRule="auto" w:before="66"/>
              <w:ind w:left="561" w:right="228" w:firstLine="60"/>
              <w:rPr>
                <w:b/>
                <w:sz w:val="18"/>
              </w:rPr>
            </w:pPr>
            <w:r>
              <w:rPr>
                <w:b/>
                <w:sz w:val="18"/>
              </w:rPr>
              <w:t>$ 649,802</w:t>
            </w:r>
          </w:p>
        </w:tc>
        <w:tc>
          <w:tcPr>
            <w:tcW w:w="1135" w:type="dxa"/>
            <w:tcBorders>
              <w:bottom w:val="single" w:sz="0" w:space="0" w:color="000000"/>
            </w:tcBorders>
          </w:tcPr>
          <w:p>
            <w:pPr>
              <w:pStyle w:val="TableParagraph"/>
              <w:spacing w:line="204" w:lineRule="exact"/>
              <w:ind w:left="275" w:right="418"/>
              <w:jc w:val="center"/>
              <w:rPr>
                <w:b/>
                <w:sz w:val="18"/>
              </w:rPr>
            </w:pPr>
            <w:r>
              <w:rPr>
                <w:b/>
                <w:sz w:val="18"/>
              </w:rPr>
              <w:t>2011</w:t>
            </w:r>
          </w:p>
          <w:p>
            <w:pPr>
              <w:pStyle w:val="TableParagraph"/>
              <w:spacing w:before="66"/>
              <w:ind w:right="143"/>
              <w:jc w:val="center"/>
              <w:rPr>
                <w:b/>
                <w:sz w:val="18"/>
              </w:rPr>
            </w:pPr>
            <w:r>
              <w:rPr>
                <w:b/>
                <w:w w:val="99"/>
                <w:sz w:val="18"/>
              </w:rPr>
              <w:t>$</w:t>
            </w:r>
          </w:p>
          <w:p>
            <w:pPr>
              <w:pStyle w:val="TableParagraph"/>
              <w:spacing w:before="61"/>
              <w:ind w:left="247"/>
              <w:rPr>
                <w:sz w:val="18"/>
              </w:rPr>
            </w:pPr>
            <w:r>
              <w:rPr>
                <w:sz w:val="18"/>
              </w:rPr>
              <w:t>3,293,081</w:t>
            </w:r>
          </w:p>
        </w:tc>
      </w:tr>
      <w:tr>
        <w:trPr>
          <w:trHeight w:val="353" w:hRule="exact"/>
        </w:trPr>
        <w:tc>
          <w:tcPr>
            <w:tcW w:w="6960" w:type="dxa"/>
          </w:tcPr>
          <w:p>
            <w:pPr>
              <w:pStyle w:val="TableParagraph"/>
              <w:spacing w:before="123"/>
              <w:ind w:left="78" w:right="-10"/>
              <w:rPr>
                <w:b/>
                <w:sz w:val="18"/>
              </w:rPr>
            </w:pPr>
            <w:r>
              <w:rPr>
                <w:b/>
                <w:sz w:val="18"/>
              </w:rPr>
              <w:t>Balance as per statement of cash flows</w:t>
            </w:r>
          </w:p>
        </w:tc>
        <w:tc>
          <w:tcPr>
            <w:tcW w:w="1460" w:type="dxa"/>
            <w:tcBorders>
              <w:top w:val="single" w:sz="0" w:space="0" w:color="000000"/>
              <w:bottom w:val="single" w:sz="0" w:space="0" w:color="000000"/>
            </w:tcBorders>
          </w:tcPr>
          <w:p>
            <w:pPr>
              <w:pStyle w:val="TableParagraph"/>
              <w:spacing w:before="122"/>
              <w:ind w:left="561"/>
              <w:rPr>
                <w:b/>
                <w:sz w:val="18"/>
              </w:rPr>
            </w:pPr>
            <w:r>
              <w:rPr>
                <w:b/>
                <w:sz w:val="18"/>
              </w:rPr>
              <w:t>649,802</w:t>
            </w:r>
          </w:p>
        </w:tc>
        <w:tc>
          <w:tcPr>
            <w:tcW w:w="1135" w:type="dxa"/>
            <w:tcBorders>
              <w:top w:val="single" w:sz="0" w:space="0" w:color="000000"/>
              <w:bottom w:val="single" w:sz="0" w:space="0" w:color="000000"/>
            </w:tcBorders>
          </w:tcPr>
          <w:p>
            <w:pPr>
              <w:pStyle w:val="TableParagraph"/>
              <w:spacing w:before="122"/>
              <w:ind w:left="247"/>
              <w:rPr>
                <w:sz w:val="18"/>
              </w:rPr>
            </w:pPr>
            <w:r>
              <w:rPr>
                <w:sz w:val="18"/>
              </w:rPr>
              <w:t>3,293,081</w:t>
            </w:r>
          </w:p>
        </w:tc>
      </w:tr>
      <w:tr>
        <w:trPr>
          <w:trHeight w:val="617" w:hRule="exact"/>
        </w:trPr>
        <w:tc>
          <w:tcPr>
            <w:tcW w:w="6960" w:type="dxa"/>
          </w:tcPr>
          <w:p>
            <w:pPr>
              <w:pStyle w:val="TableParagraph"/>
              <w:rPr>
                <w:sz w:val="18"/>
              </w:rPr>
            </w:pPr>
          </w:p>
          <w:p>
            <w:pPr>
              <w:pStyle w:val="TableParagraph"/>
              <w:spacing w:before="106"/>
              <w:ind w:left="35" w:right="-10"/>
              <w:rPr>
                <w:sz w:val="18"/>
              </w:rPr>
            </w:pPr>
            <w:r>
              <w:rPr>
                <w:sz w:val="18"/>
              </w:rPr>
              <w:t>The Company's exposure to interest rate risk is discussed in Note 11 for further</w:t>
            </w:r>
            <w:r>
              <w:rPr>
                <w:spacing w:val="-13"/>
                <w:sz w:val="18"/>
              </w:rPr>
              <w:t> </w:t>
            </w:r>
            <w:r>
              <w:rPr>
                <w:sz w:val="18"/>
              </w:rPr>
              <w:t>details.</w:t>
            </w:r>
          </w:p>
        </w:tc>
        <w:tc>
          <w:tcPr>
            <w:tcW w:w="1460" w:type="dxa"/>
            <w:tcBorders>
              <w:top w:val="single" w:sz="0" w:space="0" w:color="000000"/>
            </w:tcBorders>
          </w:tcPr>
          <w:p>
            <w:pPr/>
          </w:p>
        </w:tc>
        <w:tc>
          <w:tcPr>
            <w:tcW w:w="1135" w:type="dxa"/>
            <w:tcBorders>
              <w:top w:val="single" w:sz="0" w:space="0" w:color="000000"/>
            </w:tcBorders>
          </w:tcPr>
          <w:p>
            <w:pPr/>
          </w:p>
        </w:tc>
      </w:tr>
    </w:tbl>
    <w:p>
      <w:pPr>
        <w:spacing w:after="0"/>
        <w:sectPr>
          <w:pgSz w:w="11910" w:h="16840"/>
          <w:pgMar w:header="1038" w:footer="507" w:top="1460" w:bottom="700" w:left="860" w:right="860"/>
        </w:sectPr>
      </w:pPr>
    </w:p>
    <w:p>
      <w:pPr>
        <w:pStyle w:val="BodyText"/>
        <w:spacing w:before="2"/>
        <w:rPr>
          <w:sz w:val="24"/>
        </w:rPr>
      </w:pPr>
    </w:p>
    <w:p>
      <w:pPr>
        <w:pStyle w:val="Heading3"/>
        <w:spacing w:before="64"/>
        <w:ind w:left="147" w:right="685"/>
      </w:pPr>
      <w:r>
        <w:rPr/>
        <w:t>Notes to the Financial Statements</w:t>
      </w:r>
    </w:p>
    <w:p>
      <w:pPr>
        <w:pStyle w:val="Heading6"/>
        <w:ind w:left="147" w:right="685"/>
      </w:pPr>
      <w:r>
        <w:rPr/>
        <w:t>For the Year Ended 31 December 2012</w:t>
      </w:r>
    </w:p>
    <w:p>
      <w:pPr>
        <w:pStyle w:val="BodyText"/>
        <w:rPr>
          <w:b/>
          <w:sz w:val="20"/>
        </w:rPr>
      </w:pPr>
    </w:p>
    <w:p>
      <w:pPr>
        <w:pStyle w:val="BodyText"/>
        <w:rPr>
          <w:b/>
          <w:sz w:val="20"/>
        </w:rPr>
      </w:pPr>
    </w:p>
    <w:p>
      <w:pPr>
        <w:pStyle w:val="BodyText"/>
        <w:spacing w:before="3"/>
        <w:rPr>
          <w:b/>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6270"/>
        <w:gridCol w:w="803"/>
        <w:gridCol w:w="1509"/>
        <w:gridCol w:w="1085"/>
      </w:tblGrid>
      <w:tr>
        <w:trPr>
          <w:trHeight w:val="567" w:hRule="exact"/>
        </w:trPr>
        <w:tc>
          <w:tcPr>
            <w:tcW w:w="283" w:type="dxa"/>
          </w:tcPr>
          <w:p>
            <w:pPr>
              <w:pStyle w:val="TableParagraph"/>
              <w:spacing w:before="77"/>
              <w:ind w:left="35"/>
              <w:rPr>
                <w:b/>
                <w:sz w:val="18"/>
              </w:rPr>
            </w:pPr>
            <w:r>
              <w:rPr>
                <w:b/>
                <w:w w:val="99"/>
                <w:sz w:val="18"/>
              </w:rPr>
              <w:t>3</w:t>
            </w:r>
          </w:p>
        </w:tc>
        <w:tc>
          <w:tcPr>
            <w:tcW w:w="6270" w:type="dxa"/>
          </w:tcPr>
          <w:p>
            <w:pPr>
              <w:pStyle w:val="TableParagraph"/>
              <w:spacing w:before="77"/>
              <w:ind w:left="147"/>
              <w:rPr>
                <w:b/>
                <w:sz w:val="18"/>
              </w:rPr>
            </w:pPr>
            <w:r>
              <w:rPr>
                <w:b/>
                <w:sz w:val="18"/>
              </w:rPr>
              <w:t>Trade and other receivables</w:t>
            </w:r>
          </w:p>
        </w:tc>
        <w:tc>
          <w:tcPr>
            <w:tcW w:w="803" w:type="dxa"/>
          </w:tcPr>
          <w:p>
            <w:pPr/>
          </w:p>
        </w:tc>
        <w:tc>
          <w:tcPr>
            <w:tcW w:w="1509" w:type="dxa"/>
          </w:tcPr>
          <w:p>
            <w:pPr>
              <w:pStyle w:val="TableParagraph"/>
              <w:rPr>
                <w:b/>
                <w:sz w:val="18"/>
              </w:rPr>
            </w:pPr>
          </w:p>
          <w:p>
            <w:pPr>
              <w:pStyle w:val="TableParagraph"/>
              <w:spacing w:before="110"/>
              <w:ind w:left="471"/>
              <w:rPr>
                <w:b/>
                <w:sz w:val="18"/>
              </w:rPr>
            </w:pPr>
            <w:r>
              <w:rPr>
                <w:b/>
                <w:sz w:val="18"/>
              </w:rPr>
              <w:t>2012</w:t>
            </w:r>
          </w:p>
        </w:tc>
        <w:tc>
          <w:tcPr>
            <w:tcW w:w="1085" w:type="dxa"/>
          </w:tcPr>
          <w:p>
            <w:pPr>
              <w:pStyle w:val="TableParagraph"/>
              <w:rPr>
                <w:b/>
                <w:sz w:val="18"/>
              </w:rPr>
            </w:pPr>
          </w:p>
          <w:p>
            <w:pPr>
              <w:pStyle w:val="TableParagraph"/>
              <w:spacing w:before="110"/>
              <w:ind w:left="244"/>
              <w:rPr>
                <w:b/>
                <w:sz w:val="18"/>
              </w:rPr>
            </w:pPr>
            <w:r>
              <w:rPr>
                <w:b/>
                <w:sz w:val="18"/>
              </w:rPr>
              <w:t>2011</w:t>
            </w:r>
          </w:p>
        </w:tc>
      </w:tr>
      <w:tr>
        <w:trPr>
          <w:trHeight w:val="271" w:hRule="exact"/>
        </w:trPr>
        <w:tc>
          <w:tcPr>
            <w:tcW w:w="283" w:type="dxa"/>
          </w:tcPr>
          <w:p>
            <w:pPr/>
          </w:p>
        </w:tc>
        <w:tc>
          <w:tcPr>
            <w:tcW w:w="6270" w:type="dxa"/>
          </w:tcPr>
          <w:p>
            <w:pPr/>
          </w:p>
        </w:tc>
        <w:tc>
          <w:tcPr>
            <w:tcW w:w="803" w:type="dxa"/>
          </w:tcPr>
          <w:p>
            <w:pPr>
              <w:pStyle w:val="TableParagraph"/>
              <w:spacing w:before="24"/>
              <w:ind w:right="77"/>
              <w:jc w:val="right"/>
              <w:rPr>
                <w:b/>
                <w:sz w:val="18"/>
              </w:rPr>
            </w:pPr>
            <w:r>
              <w:rPr>
                <w:b/>
                <w:w w:val="95"/>
                <w:sz w:val="18"/>
              </w:rPr>
              <w:t>Note</w:t>
            </w:r>
          </w:p>
        </w:tc>
        <w:tc>
          <w:tcPr>
            <w:tcW w:w="1509" w:type="dxa"/>
          </w:tcPr>
          <w:p>
            <w:pPr>
              <w:pStyle w:val="TableParagraph"/>
              <w:spacing w:before="24"/>
              <w:ind w:right="164"/>
              <w:jc w:val="center"/>
              <w:rPr>
                <w:b/>
                <w:sz w:val="18"/>
              </w:rPr>
            </w:pPr>
            <w:r>
              <w:rPr>
                <w:b/>
                <w:w w:val="99"/>
                <w:sz w:val="18"/>
              </w:rPr>
              <w:t>$</w:t>
            </w:r>
          </w:p>
        </w:tc>
        <w:tc>
          <w:tcPr>
            <w:tcW w:w="1085" w:type="dxa"/>
          </w:tcPr>
          <w:p>
            <w:pPr>
              <w:pStyle w:val="TableParagraph"/>
              <w:spacing w:before="24"/>
              <w:ind w:right="193"/>
              <w:jc w:val="center"/>
              <w:rPr>
                <w:b/>
                <w:sz w:val="18"/>
              </w:rPr>
            </w:pPr>
            <w:r>
              <w:rPr>
                <w:b/>
                <w:w w:val="99"/>
                <w:sz w:val="18"/>
              </w:rPr>
              <w:t>$</w:t>
            </w:r>
          </w:p>
        </w:tc>
      </w:tr>
      <w:tr>
        <w:trPr>
          <w:trHeight w:val="266" w:hRule="exact"/>
        </w:trPr>
        <w:tc>
          <w:tcPr>
            <w:tcW w:w="283" w:type="dxa"/>
          </w:tcPr>
          <w:p>
            <w:pPr/>
          </w:p>
        </w:tc>
        <w:tc>
          <w:tcPr>
            <w:tcW w:w="6270" w:type="dxa"/>
          </w:tcPr>
          <w:p>
            <w:pPr>
              <w:pStyle w:val="TableParagraph"/>
              <w:spacing w:before="21"/>
              <w:ind w:left="192"/>
              <w:rPr>
                <w:sz w:val="18"/>
              </w:rPr>
            </w:pPr>
            <w:r>
              <w:rPr>
                <w:sz w:val="18"/>
              </w:rPr>
              <w:t>Student Receivables</w:t>
            </w:r>
          </w:p>
        </w:tc>
        <w:tc>
          <w:tcPr>
            <w:tcW w:w="803" w:type="dxa"/>
          </w:tcPr>
          <w:p>
            <w:pPr/>
          </w:p>
        </w:tc>
        <w:tc>
          <w:tcPr>
            <w:tcW w:w="1509" w:type="dxa"/>
          </w:tcPr>
          <w:p>
            <w:pPr>
              <w:pStyle w:val="TableParagraph"/>
              <w:spacing w:before="22"/>
              <w:ind w:right="295"/>
              <w:jc w:val="right"/>
              <w:rPr>
                <w:b/>
                <w:sz w:val="18"/>
              </w:rPr>
            </w:pPr>
            <w:r>
              <w:rPr>
                <w:b/>
                <w:w w:val="95"/>
                <w:sz w:val="18"/>
              </w:rPr>
              <w:t>59,618</w:t>
            </w:r>
          </w:p>
        </w:tc>
        <w:tc>
          <w:tcPr>
            <w:tcW w:w="1085" w:type="dxa"/>
          </w:tcPr>
          <w:p>
            <w:pPr>
              <w:pStyle w:val="TableParagraph"/>
              <w:spacing w:before="22"/>
              <w:ind w:right="83"/>
              <w:jc w:val="right"/>
              <w:rPr>
                <w:sz w:val="18"/>
              </w:rPr>
            </w:pPr>
            <w:r>
              <w:rPr>
                <w:w w:val="95"/>
                <w:sz w:val="18"/>
              </w:rPr>
              <w:t>66,455</w:t>
            </w:r>
          </w:p>
        </w:tc>
      </w:tr>
      <w:tr>
        <w:trPr>
          <w:trHeight w:val="264" w:hRule="exact"/>
        </w:trPr>
        <w:tc>
          <w:tcPr>
            <w:tcW w:w="283" w:type="dxa"/>
          </w:tcPr>
          <w:p>
            <w:pPr/>
          </w:p>
        </w:tc>
        <w:tc>
          <w:tcPr>
            <w:tcW w:w="6270" w:type="dxa"/>
          </w:tcPr>
          <w:p>
            <w:pPr>
              <w:pStyle w:val="TableParagraph"/>
              <w:spacing w:before="18"/>
              <w:ind w:left="192"/>
              <w:rPr>
                <w:sz w:val="18"/>
              </w:rPr>
            </w:pPr>
            <w:r>
              <w:rPr>
                <w:sz w:val="18"/>
              </w:rPr>
              <w:t>Trade receivables</w:t>
            </w:r>
          </w:p>
        </w:tc>
        <w:tc>
          <w:tcPr>
            <w:tcW w:w="803" w:type="dxa"/>
          </w:tcPr>
          <w:p>
            <w:pPr/>
          </w:p>
        </w:tc>
        <w:tc>
          <w:tcPr>
            <w:tcW w:w="1509" w:type="dxa"/>
          </w:tcPr>
          <w:p>
            <w:pPr>
              <w:pStyle w:val="TableParagraph"/>
              <w:spacing w:before="19"/>
              <w:ind w:right="295"/>
              <w:jc w:val="right"/>
              <w:rPr>
                <w:b/>
                <w:sz w:val="18"/>
              </w:rPr>
            </w:pPr>
            <w:r>
              <w:rPr>
                <w:b/>
                <w:w w:val="95"/>
                <w:sz w:val="18"/>
              </w:rPr>
              <w:t>20,519</w:t>
            </w:r>
          </w:p>
        </w:tc>
        <w:tc>
          <w:tcPr>
            <w:tcW w:w="1085" w:type="dxa"/>
          </w:tcPr>
          <w:p>
            <w:pPr>
              <w:pStyle w:val="TableParagraph"/>
              <w:spacing w:before="19"/>
              <w:ind w:right="83"/>
              <w:jc w:val="right"/>
              <w:rPr>
                <w:sz w:val="18"/>
              </w:rPr>
            </w:pPr>
            <w:r>
              <w:rPr>
                <w:w w:val="95"/>
                <w:sz w:val="18"/>
              </w:rPr>
              <w:t>49,213</w:t>
            </w:r>
          </w:p>
        </w:tc>
      </w:tr>
      <w:tr>
        <w:trPr>
          <w:trHeight w:val="263" w:hRule="exact"/>
        </w:trPr>
        <w:tc>
          <w:tcPr>
            <w:tcW w:w="283" w:type="dxa"/>
          </w:tcPr>
          <w:p>
            <w:pPr/>
          </w:p>
        </w:tc>
        <w:tc>
          <w:tcPr>
            <w:tcW w:w="6270" w:type="dxa"/>
          </w:tcPr>
          <w:p>
            <w:pPr>
              <w:pStyle w:val="TableParagraph"/>
              <w:spacing w:before="18"/>
              <w:ind w:left="192"/>
              <w:rPr>
                <w:sz w:val="18"/>
              </w:rPr>
            </w:pPr>
            <w:r>
              <w:rPr>
                <w:sz w:val="18"/>
              </w:rPr>
              <w:t>Provision for doubtful receivables</w:t>
            </w:r>
          </w:p>
        </w:tc>
        <w:tc>
          <w:tcPr>
            <w:tcW w:w="803" w:type="dxa"/>
          </w:tcPr>
          <w:p>
            <w:pPr>
              <w:pStyle w:val="TableParagraph"/>
              <w:spacing w:before="20"/>
              <w:ind w:right="118"/>
              <w:jc w:val="right"/>
              <w:rPr>
                <w:sz w:val="18"/>
              </w:rPr>
            </w:pPr>
            <w:r>
              <w:rPr>
                <w:w w:val="95"/>
                <w:sz w:val="18"/>
              </w:rPr>
              <w:t>3(a)</w:t>
            </w:r>
          </w:p>
        </w:tc>
        <w:tc>
          <w:tcPr>
            <w:tcW w:w="1509" w:type="dxa"/>
            <w:tcBorders>
              <w:bottom w:val="single" w:sz="0" w:space="0" w:color="000000"/>
            </w:tcBorders>
          </w:tcPr>
          <w:p>
            <w:pPr>
              <w:pStyle w:val="TableParagraph"/>
              <w:spacing w:before="19"/>
              <w:ind w:right="237"/>
              <w:jc w:val="right"/>
              <w:rPr>
                <w:b/>
                <w:sz w:val="18"/>
              </w:rPr>
            </w:pPr>
            <w:r>
              <w:rPr>
                <w:b/>
                <w:w w:val="95"/>
                <w:sz w:val="18"/>
              </w:rPr>
              <w:t>(11,726)</w:t>
            </w:r>
          </w:p>
        </w:tc>
        <w:tc>
          <w:tcPr>
            <w:tcW w:w="1085" w:type="dxa"/>
            <w:tcBorders>
              <w:bottom w:val="single" w:sz="0" w:space="0" w:color="000000"/>
            </w:tcBorders>
          </w:tcPr>
          <w:p>
            <w:pPr>
              <w:pStyle w:val="TableParagraph"/>
              <w:spacing w:before="19"/>
              <w:ind w:right="23"/>
              <w:jc w:val="right"/>
              <w:rPr>
                <w:sz w:val="18"/>
              </w:rPr>
            </w:pPr>
            <w:r>
              <w:rPr>
                <w:w w:val="95"/>
                <w:sz w:val="18"/>
              </w:rPr>
              <w:t>(43,690)</w:t>
            </w:r>
          </w:p>
        </w:tc>
      </w:tr>
      <w:tr>
        <w:trPr>
          <w:trHeight w:val="353" w:hRule="exact"/>
        </w:trPr>
        <w:tc>
          <w:tcPr>
            <w:tcW w:w="283" w:type="dxa"/>
          </w:tcPr>
          <w:p>
            <w:pPr/>
          </w:p>
        </w:tc>
        <w:tc>
          <w:tcPr>
            <w:tcW w:w="6270" w:type="dxa"/>
          </w:tcPr>
          <w:p>
            <w:pPr>
              <w:pStyle w:val="TableParagraph"/>
              <w:spacing w:before="123"/>
              <w:ind w:left="192"/>
              <w:rPr>
                <w:b/>
                <w:sz w:val="18"/>
              </w:rPr>
            </w:pPr>
            <w:r>
              <w:rPr>
                <w:b/>
                <w:sz w:val="18"/>
              </w:rPr>
              <w:t>Total current trade and other receivables</w:t>
            </w:r>
          </w:p>
        </w:tc>
        <w:tc>
          <w:tcPr>
            <w:tcW w:w="803" w:type="dxa"/>
          </w:tcPr>
          <w:p>
            <w:pPr/>
          </w:p>
        </w:tc>
        <w:tc>
          <w:tcPr>
            <w:tcW w:w="1509" w:type="dxa"/>
            <w:tcBorders>
              <w:top w:val="single" w:sz="0" w:space="0" w:color="000000"/>
              <w:bottom w:val="single" w:sz="0" w:space="0" w:color="000000"/>
            </w:tcBorders>
          </w:tcPr>
          <w:p>
            <w:pPr>
              <w:pStyle w:val="TableParagraph"/>
              <w:spacing w:before="122"/>
              <w:ind w:right="295"/>
              <w:jc w:val="right"/>
              <w:rPr>
                <w:b/>
                <w:sz w:val="18"/>
              </w:rPr>
            </w:pPr>
            <w:r>
              <w:rPr>
                <w:b/>
                <w:w w:val="95"/>
                <w:sz w:val="18"/>
              </w:rPr>
              <w:t>68,411</w:t>
            </w:r>
          </w:p>
        </w:tc>
        <w:tc>
          <w:tcPr>
            <w:tcW w:w="1085" w:type="dxa"/>
            <w:tcBorders>
              <w:top w:val="single" w:sz="0" w:space="0" w:color="000000"/>
              <w:bottom w:val="single" w:sz="0" w:space="0" w:color="000000"/>
            </w:tcBorders>
          </w:tcPr>
          <w:p>
            <w:pPr>
              <w:pStyle w:val="TableParagraph"/>
              <w:spacing w:before="122"/>
              <w:ind w:right="83"/>
              <w:jc w:val="right"/>
              <w:rPr>
                <w:sz w:val="18"/>
              </w:rPr>
            </w:pPr>
            <w:r>
              <w:rPr>
                <w:w w:val="95"/>
                <w:sz w:val="18"/>
              </w:rPr>
              <w:t>71,978</w:t>
            </w:r>
          </w:p>
        </w:tc>
      </w:tr>
      <w:tr>
        <w:trPr>
          <w:trHeight w:val="674" w:hRule="exact"/>
        </w:trPr>
        <w:tc>
          <w:tcPr>
            <w:tcW w:w="283" w:type="dxa"/>
          </w:tcPr>
          <w:p>
            <w:pPr/>
          </w:p>
        </w:tc>
        <w:tc>
          <w:tcPr>
            <w:tcW w:w="6270" w:type="dxa"/>
          </w:tcPr>
          <w:p>
            <w:pPr>
              <w:pStyle w:val="TableParagraph"/>
              <w:rPr>
                <w:b/>
                <w:sz w:val="18"/>
              </w:rPr>
            </w:pPr>
          </w:p>
          <w:p>
            <w:pPr>
              <w:pStyle w:val="TableParagraph"/>
              <w:tabs>
                <w:tab w:pos="714" w:val="left" w:leader="none"/>
              </w:tabs>
              <w:spacing w:before="106"/>
              <w:ind w:left="147"/>
              <w:rPr>
                <w:b/>
                <w:sz w:val="18"/>
              </w:rPr>
            </w:pPr>
            <w:r>
              <w:rPr>
                <w:b/>
                <w:sz w:val="18"/>
              </w:rPr>
              <w:t>(a)</w:t>
              <w:tab/>
              <w:t>Provision for impairment of</w:t>
            </w:r>
            <w:r>
              <w:rPr>
                <w:b/>
                <w:spacing w:val="-1"/>
                <w:sz w:val="18"/>
              </w:rPr>
              <w:t> </w:t>
            </w:r>
            <w:r>
              <w:rPr>
                <w:b/>
                <w:sz w:val="18"/>
              </w:rPr>
              <w:t>receivables</w:t>
            </w:r>
          </w:p>
        </w:tc>
        <w:tc>
          <w:tcPr>
            <w:tcW w:w="803" w:type="dxa"/>
          </w:tcPr>
          <w:p>
            <w:pPr/>
          </w:p>
        </w:tc>
        <w:tc>
          <w:tcPr>
            <w:tcW w:w="1509" w:type="dxa"/>
            <w:tcBorders>
              <w:top w:val="single" w:sz="0" w:space="0" w:color="000000"/>
            </w:tcBorders>
          </w:tcPr>
          <w:p>
            <w:pPr/>
          </w:p>
        </w:tc>
        <w:tc>
          <w:tcPr>
            <w:tcW w:w="1085" w:type="dxa"/>
            <w:tcBorders>
              <w:top w:val="single" w:sz="0" w:space="0" w:color="000000"/>
            </w:tcBorders>
          </w:tcPr>
          <w:p>
            <w:pPr/>
          </w:p>
        </w:tc>
      </w:tr>
      <w:tr>
        <w:trPr>
          <w:trHeight w:val="624" w:hRule="exact"/>
        </w:trPr>
        <w:tc>
          <w:tcPr>
            <w:tcW w:w="283" w:type="dxa"/>
          </w:tcPr>
          <w:p>
            <w:pPr/>
          </w:p>
        </w:tc>
        <w:tc>
          <w:tcPr>
            <w:tcW w:w="6270" w:type="dxa"/>
          </w:tcPr>
          <w:p>
            <w:pPr>
              <w:pStyle w:val="TableParagraph"/>
              <w:spacing w:before="134"/>
              <w:ind w:left="715"/>
              <w:rPr>
                <w:sz w:val="18"/>
              </w:rPr>
            </w:pPr>
            <w:r>
              <w:rPr>
                <w:sz w:val="18"/>
              </w:rPr>
              <w:t>Movement in provision for impairment of receivables is as follows:</w:t>
            </w:r>
          </w:p>
        </w:tc>
        <w:tc>
          <w:tcPr>
            <w:tcW w:w="803" w:type="dxa"/>
          </w:tcPr>
          <w:p>
            <w:pPr/>
          </w:p>
        </w:tc>
        <w:tc>
          <w:tcPr>
            <w:tcW w:w="1509" w:type="dxa"/>
          </w:tcPr>
          <w:p>
            <w:pPr>
              <w:pStyle w:val="TableParagraph"/>
              <w:rPr>
                <w:b/>
                <w:sz w:val="18"/>
              </w:rPr>
            </w:pPr>
          </w:p>
          <w:p>
            <w:pPr>
              <w:pStyle w:val="TableParagraph"/>
              <w:spacing w:before="6"/>
              <w:rPr>
                <w:b/>
                <w:sz w:val="14"/>
              </w:rPr>
            </w:pPr>
          </w:p>
          <w:p>
            <w:pPr>
              <w:pStyle w:val="TableParagraph"/>
              <w:ind w:left="450"/>
              <w:rPr>
                <w:b/>
                <w:sz w:val="18"/>
              </w:rPr>
            </w:pPr>
            <w:r>
              <w:rPr>
                <w:b/>
                <w:sz w:val="18"/>
              </w:rPr>
              <w:t>2012</w:t>
            </w:r>
          </w:p>
        </w:tc>
        <w:tc>
          <w:tcPr>
            <w:tcW w:w="1085" w:type="dxa"/>
          </w:tcPr>
          <w:p>
            <w:pPr>
              <w:pStyle w:val="TableParagraph"/>
              <w:rPr>
                <w:b/>
                <w:sz w:val="18"/>
              </w:rPr>
            </w:pPr>
          </w:p>
          <w:p>
            <w:pPr>
              <w:pStyle w:val="TableParagraph"/>
              <w:spacing w:before="6"/>
              <w:rPr>
                <w:b/>
                <w:sz w:val="14"/>
              </w:rPr>
            </w:pPr>
          </w:p>
          <w:p>
            <w:pPr>
              <w:pStyle w:val="TableParagraph"/>
              <w:ind w:left="237"/>
              <w:rPr>
                <w:b/>
                <w:sz w:val="18"/>
              </w:rPr>
            </w:pPr>
            <w:r>
              <w:rPr>
                <w:b/>
                <w:sz w:val="18"/>
              </w:rPr>
              <w:t>2011</w:t>
            </w:r>
          </w:p>
        </w:tc>
      </w:tr>
      <w:tr>
        <w:trPr>
          <w:trHeight w:val="271" w:hRule="exact"/>
        </w:trPr>
        <w:tc>
          <w:tcPr>
            <w:tcW w:w="283" w:type="dxa"/>
          </w:tcPr>
          <w:p>
            <w:pPr/>
          </w:p>
        </w:tc>
        <w:tc>
          <w:tcPr>
            <w:tcW w:w="6270" w:type="dxa"/>
          </w:tcPr>
          <w:p>
            <w:pPr/>
          </w:p>
        </w:tc>
        <w:tc>
          <w:tcPr>
            <w:tcW w:w="803" w:type="dxa"/>
          </w:tcPr>
          <w:p>
            <w:pPr/>
          </w:p>
        </w:tc>
        <w:tc>
          <w:tcPr>
            <w:tcW w:w="1509" w:type="dxa"/>
          </w:tcPr>
          <w:p>
            <w:pPr>
              <w:pStyle w:val="TableParagraph"/>
              <w:spacing w:before="24"/>
              <w:ind w:right="207"/>
              <w:jc w:val="center"/>
              <w:rPr>
                <w:b/>
                <w:sz w:val="18"/>
              </w:rPr>
            </w:pPr>
            <w:r>
              <w:rPr>
                <w:b/>
                <w:w w:val="99"/>
                <w:sz w:val="18"/>
              </w:rPr>
              <w:t>$</w:t>
            </w:r>
          </w:p>
        </w:tc>
        <w:tc>
          <w:tcPr>
            <w:tcW w:w="1085" w:type="dxa"/>
          </w:tcPr>
          <w:p>
            <w:pPr>
              <w:pStyle w:val="TableParagraph"/>
              <w:spacing w:before="24"/>
              <w:ind w:right="207"/>
              <w:jc w:val="center"/>
              <w:rPr>
                <w:b/>
                <w:sz w:val="18"/>
              </w:rPr>
            </w:pPr>
            <w:r>
              <w:rPr>
                <w:b/>
                <w:w w:val="99"/>
                <w:sz w:val="18"/>
              </w:rPr>
              <w:t>$</w:t>
            </w:r>
          </w:p>
        </w:tc>
      </w:tr>
      <w:tr>
        <w:trPr>
          <w:trHeight w:val="267" w:hRule="exact"/>
        </w:trPr>
        <w:tc>
          <w:tcPr>
            <w:tcW w:w="283" w:type="dxa"/>
          </w:tcPr>
          <w:p>
            <w:pPr/>
          </w:p>
        </w:tc>
        <w:tc>
          <w:tcPr>
            <w:tcW w:w="6270" w:type="dxa"/>
          </w:tcPr>
          <w:p>
            <w:pPr>
              <w:pStyle w:val="TableParagraph"/>
              <w:spacing w:before="22"/>
              <w:ind w:left="714"/>
              <w:rPr>
                <w:sz w:val="18"/>
              </w:rPr>
            </w:pPr>
            <w:r>
              <w:rPr>
                <w:sz w:val="18"/>
              </w:rPr>
              <w:t>Opening balance as at 1 January</w:t>
            </w:r>
          </w:p>
        </w:tc>
        <w:tc>
          <w:tcPr>
            <w:tcW w:w="803" w:type="dxa"/>
          </w:tcPr>
          <w:p>
            <w:pPr/>
          </w:p>
        </w:tc>
        <w:tc>
          <w:tcPr>
            <w:tcW w:w="1509" w:type="dxa"/>
          </w:tcPr>
          <w:p>
            <w:pPr>
              <w:pStyle w:val="TableParagraph"/>
              <w:spacing w:before="21"/>
              <w:ind w:right="297"/>
              <w:jc w:val="right"/>
              <w:rPr>
                <w:b/>
                <w:sz w:val="18"/>
              </w:rPr>
            </w:pPr>
            <w:r>
              <w:rPr>
                <w:b/>
                <w:w w:val="95"/>
                <w:sz w:val="18"/>
              </w:rPr>
              <w:t>43,690</w:t>
            </w:r>
          </w:p>
        </w:tc>
        <w:tc>
          <w:tcPr>
            <w:tcW w:w="1085" w:type="dxa"/>
          </w:tcPr>
          <w:p>
            <w:pPr>
              <w:pStyle w:val="TableParagraph"/>
              <w:spacing w:before="21"/>
              <w:ind w:right="83"/>
              <w:jc w:val="right"/>
              <w:rPr>
                <w:sz w:val="18"/>
              </w:rPr>
            </w:pPr>
            <w:r>
              <w:rPr>
                <w:w w:val="95"/>
                <w:sz w:val="18"/>
              </w:rPr>
              <w:t>74,614</w:t>
            </w:r>
          </w:p>
        </w:tc>
      </w:tr>
      <w:tr>
        <w:trPr>
          <w:trHeight w:val="264" w:hRule="exact"/>
        </w:trPr>
        <w:tc>
          <w:tcPr>
            <w:tcW w:w="283" w:type="dxa"/>
          </w:tcPr>
          <w:p>
            <w:pPr/>
          </w:p>
        </w:tc>
        <w:tc>
          <w:tcPr>
            <w:tcW w:w="6270" w:type="dxa"/>
          </w:tcPr>
          <w:p>
            <w:pPr>
              <w:pStyle w:val="TableParagraph"/>
              <w:spacing w:before="19"/>
              <w:ind w:left="714"/>
              <w:rPr>
                <w:sz w:val="18"/>
              </w:rPr>
            </w:pPr>
            <w:r>
              <w:rPr>
                <w:sz w:val="18"/>
              </w:rPr>
              <w:t>Provision for impairment recognised during the year</w:t>
            </w:r>
          </w:p>
        </w:tc>
        <w:tc>
          <w:tcPr>
            <w:tcW w:w="803" w:type="dxa"/>
          </w:tcPr>
          <w:p>
            <w:pPr/>
          </w:p>
        </w:tc>
        <w:tc>
          <w:tcPr>
            <w:tcW w:w="1509" w:type="dxa"/>
          </w:tcPr>
          <w:p>
            <w:pPr>
              <w:pStyle w:val="TableParagraph"/>
              <w:spacing w:before="18"/>
              <w:ind w:right="295"/>
              <w:jc w:val="right"/>
              <w:rPr>
                <w:b/>
                <w:sz w:val="18"/>
              </w:rPr>
            </w:pPr>
            <w:r>
              <w:rPr>
                <w:b/>
                <w:w w:val="95"/>
                <w:sz w:val="18"/>
              </w:rPr>
              <w:t>11,726</w:t>
            </w:r>
          </w:p>
        </w:tc>
        <w:tc>
          <w:tcPr>
            <w:tcW w:w="1085" w:type="dxa"/>
          </w:tcPr>
          <w:p>
            <w:pPr>
              <w:pStyle w:val="TableParagraph"/>
              <w:spacing w:before="18"/>
              <w:ind w:right="83"/>
              <w:jc w:val="right"/>
              <w:rPr>
                <w:sz w:val="18"/>
              </w:rPr>
            </w:pPr>
            <w:r>
              <w:rPr>
                <w:w w:val="95"/>
                <w:sz w:val="18"/>
              </w:rPr>
              <w:t>40,290</w:t>
            </w:r>
          </w:p>
        </w:tc>
      </w:tr>
      <w:tr>
        <w:trPr>
          <w:trHeight w:val="264" w:hRule="exact"/>
        </w:trPr>
        <w:tc>
          <w:tcPr>
            <w:tcW w:w="283" w:type="dxa"/>
          </w:tcPr>
          <w:p>
            <w:pPr/>
          </w:p>
        </w:tc>
        <w:tc>
          <w:tcPr>
            <w:tcW w:w="6270" w:type="dxa"/>
          </w:tcPr>
          <w:p>
            <w:pPr>
              <w:pStyle w:val="TableParagraph"/>
              <w:spacing w:before="19"/>
              <w:ind w:left="714"/>
              <w:rPr>
                <w:sz w:val="18"/>
              </w:rPr>
            </w:pPr>
            <w:r>
              <w:rPr>
                <w:sz w:val="18"/>
              </w:rPr>
              <w:t>Receivables written off during the year as uncollectable</w:t>
            </w:r>
          </w:p>
        </w:tc>
        <w:tc>
          <w:tcPr>
            <w:tcW w:w="803" w:type="dxa"/>
          </w:tcPr>
          <w:p>
            <w:pPr/>
          </w:p>
        </w:tc>
        <w:tc>
          <w:tcPr>
            <w:tcW w:w="1509" w:type="dxa"/>
          </w:tcPr>
          <w:p>
            <w:pPr>
              <w:pStyle w:val="TableParagraph"/>
              <w:spacing w:before="18"/>
              <w:ind w:right="235"/>
              <w:jc w:val="right"/>
              <w:rPr>
                <w:b/>
                <w:sz w:val="18"/>
              </w:rPr>
            </w:pPr>
            <w:r>
              <w:rPr>
                <w:b/>
                <w:w w:val="95"/>
                <w:sz w:val="18"/>
              </w:rPr>
              <w:t>(18,684)</w:t>
            </w:r>
          </w:p>
        </w:tc>
        <w:tc>
          <w:tcPr>
            <w:tcW w:w="1085" w:type="dxa"/>
          </w:tcPr>
          <w:p>
            <w:pPr>
              <w:pStyle w:val="TableParagraph"/>
              <w:spacing w:before="18"/>
              <w:ind w:right="23"/>
              <w:jc w:val="right"/>
              <w:rPr>
                <w:sz w:val="18"/>
              </w:rPr>
            </w:pPr>
            <w:r>
              <w:rPr>
                <w:w w:val="95"/>
                <w:sz w:val="18"/>
              </w:rPr>
              <w:t>(61,330)</w:t>
            </w:r>
          </w:p>
        </w:tc>
      </w:tr>
      <w:tr>
        <w:trPr>
          <w:trHeight w:val="262" w:hRule="exact"/>
        </w:trPr>
        <w:tc>
          <w:tcPr>
            <w:tcW w:w="283" w:type="dxa"/>
          </w:tcPr>
          <w:p>
            <w:pPr/>
          </w:p>
        </w:tc>
        <w:tc>
          <w:tcPr>
            <w:tcW w:w="6270" w:type="dxa"/>
          </w:tcPr>
          <w:p>
            <w:pPr>
              <w:pStyle w:val="TableParagraph"/>
              <w:spacing w:before="19"/>
              <w:ind w:left="714"/>
              <w:rPr>
                <w:sz w:val="18"/>
              </w:rPr>
            </w:pPr>
            <w:r>
              <w:rPr>
                <w:sz w:val="18"/>
              </w:rPr>
              <w:t>Reversal of impairment</w:t>
            </w:r>
          </w:p>
        </w:tc>
        <w:tc>
          <w:tcPr>
            <w:tcW w:w="803" w:type="dxa"/>
          </w:tcPr>
          <w:p>
            <w:pPr/>
          </w:p>
        </w:tc>
        <w:tc>
          <w:tcPr>
            <w:tcW w:w="1509" w:type="dxa"/>
            <w:tcBorders>
              <w:bottom w:val="single" w:sz="0" w:space="0" w:color="000000"/>
            </w:tcBorders>
          </w:tcPr>
          <w:p>
            <w:pPr>
              <w:pStyle w:val="TableParagraph"/>
              <w:spacing w:before="18"/>
              <w:ind w:right="235"/>
              <w:jc w:val="right"/>
              <w:rPr>
                <w:b/>
                <w:sz w:val="18"/>
              </w:rPr>
            </w:pPr>
            <w:r>
              <w:rPr>
                <w:b/>
                <w:w w:val="95"/>
                <w:sz w:val="18"/>
              </w:rPr>
              <w:t>(25,006)</w:t>
            </w:r>
          </w:p>
        </w:tc>
        <w:tc>
          <w:tcPr>
            <w:tcW w:w="1085" w:type="dxa"/>
            <w:tcBorders>
              <w:bottom w:val="single" w:sz="0" w:space="0" w:color="000000"/>
            </w:tcBorders>
          </w:tcPr>
          <w:p>
            <w:pPr>
              <w:pStyle w:val="TableParagraph"/>
              <w:spacing w:before="18"/>
              <w:ind w:right="23"/>
              <w:jc w:val="right"/>
              <w:rPr>
                <w:sz w:val="18"/>
              </w:rPr>
            </w:pPr>
            <w:r>
              <w:rPr>
                <w:w w:val="95"/>
                <w:sz w:val="18"/>
              </w:rPr>
              <w:t>(9,884)</w:t>
            </w:r>
          </w:p>
        </w:tc>
      </w:tr>
      <w:tr>
        <w:trPr>
          <w:trHeight w:val="338" w:hRule="exact"/>
        </w:trPr>
        <w:tc>
          <w:tcPr>
            <w:tcW w:w="283" w:type="dxa"/>
          </w:tcPr>
          <w:p>
            <w:pPr/>
          </w:p>
        </w:tc>
        <w:tc>
          <w:tcPr>
            <w:tcW w:w="6270" w:type="dxa"/>
          </w:tcPr>
          <w:p>
            <w:pPr>
              <w:pStyle w:val="TableParagraph"/>
              <w:spacing w:before="123"/>
              <w:ind w:left="714"/>
              <w:rPr>
                <w:b/>
                <w:sz w:val="18"/>
              </w:rPr>
            </w:pPr>
            <w:r>
              <w:rPr>
                <w:b/>
                <w:sz w:val="18"/>
              </w:rPr>
              <w:t>Balance as at 31 December</w:t>
            </w:r>
          </w:p>
        </w:tc>
        <w:tc>
          <w:tcPr>
            <w:tcW w:w="803" w:type="dxa"/>
          </w:tcPr>
          <w:p>
            <w:pPr/>
          </w:p>
        </w:tc>
        <w:tc>
          <w:tcPr>
            <w:tcW w:w="1509" w:type="dxa"/>
            <w:tcBorders>
              <w:top w:val="single" w:sz="0" w:space="0" w:color="000000"/>
              <w:bottom w:val="single" w:sz="0" w:space="0" w:color="000000"/>
            </w:tcBorders>
          </w:tcPr>
          <w:p>
            <w:pPr>
              <w:pStyle w:val="TableParagraph"/>
              <w:spacing w:before="122"/>
              <w:ind w:right="295"/>
              <w:jc w:val="right"/>
              <w:rPr>
                <w:b/>
                <w:sz w:val="18"/>
              </w:rPr>
            </w:pPr>
            <w:r>
              <w:rPr>
                <w:b/>
                <w:w w:val="95"/>
                <w:sz w:val="18"/>
              </w:rPr>
              <w:t>11,726</w:t>
            </w:r>
          </w:p>
        </w:tc>
        <w:tc>
          <w:tcPr>
            <w:tcW w:w="1085" w:type="dxa"/>
            <w:tcBorders>
              <w:top w:val="single" w:sz="0" w:space="0" w:color="000000"/>
              <w:bottom w:val="single" w:sz="0" w:space="0" w:color="000000"/>
            </w:tcBorders>
          </w:tcPr>
          <w:p>
            <w:pPr>
              <w:pStyle w:val="TableParagraph"/>
              <w:spacing w:before="122"/>
              <w:ind w:right="83"/>
              <w:jc w:val="right"/>
              <w:rPr>
                <w:sz w:val="18"/>
              </w:rPr>
            </w:pPr>
            <w:r>
              <w:rPr>
                <w:w w:val="95"/>
                <w:sz w:val="18"/>
              </w:rPr>
              <w:t>43,690</w:t>
            </w:r>
          </w:p>
        </w:tc>
      </w:tr>
      <w:tr>
        <w:trPr>
          <w:trHeight w:val="602" w:hRule="exact"/>
        </w:trPr>
        <w:tc>
          <w:tcPr>
            <w:tcW w:w="283" w:type="dxa"/>
          </w:tcPr>
          <w:p>
            <w:pPr/>
          </w:p>
        </w:tc>
        <w:tc>
          <w:tcPr>
            <w:tcW w:w="6270" w:type="dxa"/>
          </w:tcPr>
          <w:p>
            <w:pPr>
              <w:pStyle w:val="TableParagraph"/>
              <w:spacing w:before="11"/>
              <w:rPr>
                <w:b/>
                <w:sz w:val="25"/>
              </w:rPr>
            </w:pPr>
          </w:p>
          <w:p>
            <w:pPr>
              <w:pStyle w:val="TableParagraph"/>
              <w:ind w:left="715"/>
              <w:rPr>
                <w:b/>
                <w:sz w:val="18"/>
              </w:rPr>
            </w:pPr>
            <w:r>
              <w:rPr>
                <w:b/>
                <w:sz w:val="18"/>
              </w:rPr>
              <w:t>Credit risk</w:t>
            </w:r>
          </w:p>
        </w:tc>
        <w:tc>
          <w:tcPr>
            <w:tcW w:w="803" w:type="dxa"/>
          </w:tcPr>
          <w:p>
            <w:pPr/>
          </w:p>
        </w:tc>
        <w:tc>
          <w:tcPr>
            <w:tcW w:w="1509" w:type="dxa"/>
            <w:tcBorders>
              <w:top w:val="single" w:sz="0" w:space="0" w:color="000000"/>
            </w:tcBorders>
          </w:tcPr>
          <w:p>
            <w:pPr/>
          </w:p>
        </w:tc>
        <w:tc>
          <w:tcPr>
            <w:tcW w:w="1085" w:type="dxa"/>
            <w:tcBorders>
              <w:top w:val="single" w:sz="0" w:space="0" w:color="000000"/>
            </w:tcBorders>
          </w:tcPr>
          <w:p>
            <w:pPr/>
          </w:p>
        </w:tc>
      </w:tr>
    </w:tbl>
    <w:p>
      <w:pPr>
        <w:pStyle w:val="BodyText"/>
        <w:spacing w:before="10"/>
        <w:rPr>
          <w:b/>
          <w:sz w:val="9"/>
        </w:rPr>
      </w:pPr>
    </w:p>
    <w:p>
      <w:pPr>
        <w:pStyle w:val="BodyText"/>
        <w:spacing w:before="78"/>
        <w:ind w:left="1112" w:right="293"/>
      </w:pPr>
      <w:r>
        <w:rPr/>
        <w:t>The Company has no significant concentration of credit risk with respect to any single counterparty or group of counterparties. The class of assets described as 'trade and other receivables' is considered to be the main source of credit risk related to the Company.</w:t>
      </w:r>
    </w:p>
    <w:p>
      <w:pPr>
        <w:pStyle w:val="BodyText"/>
        <w:spacing w:before="11"/>
        <w:rPr>
          <w:sz w:val="24"/>
        </w:rPr>
      </w:pPr>
    </w:p>
    <w:p>
      <w:pPr>
        <w:pStyle w:val="BodyText"/>
        <w:ind w:left="1112" w:right="685"/>
      </w:pPr>
      <w:r>
        <w:rPr/>
        <w:t>On a geographical basis, the Company has credit risk exposures in Australia only as all transactions are conducted in Australian dollars.</w:t>
      </w:r>
    </w:p>
    <w:p>
      <w:pPr>
        <w:pStyle w:val="BodyText"/>
        <w:rPr>
          <w:sz w:val="25"/>
        </w:rPr>
      </w:pPr>
    </w:p>
    <w:p>
      <w:pPr>
        <w:pStyle w:val="BodyText"/>
        <w:ind w:left="1112" w:right="203"/>
      </w:pPr>
      <w:r>
        <w:rPr/>
        <w:t>The following table details the Company's trade and other receivables exposure to credit risk (prior to collateral and other credit enhancements) with ageing analysis and impairment provided for thereon. Amounts are considered as 'past due' when the debt has not been settled, within the terms and conditions agreed between the Company and the customer or counter party to the transaction. Receivables that are past due are assessed for impairment by ascertaining solvency of the debtors and are provided for where there is objective evidence indicating that the debt may not be fully repaid to the Company.</w:t>
      </w:r>
    </w:p>
    <w:p>
      <w:pPr>
        <w:spacing w:after="0"/>
        <w:sectPr>
          <w:pgSz w:w="11910" w:h="16840"/>
          <w:pgMar w:header="1038" w:footer="507" w:top="1460" w:bottom="700" w:left="860" w:right="860"/>
        </w:sectPr>
      </w:pPr>
    </w:p>
    <w:p>
      <w:pPr>
        <w:pStyle w:val="BodyText"/>
        <w:spacing w:before="2"/>
        <w:rPr>
          <w:sz w:val="24"/>
        </w:rPr>
      </w:pPr>
    </w:p>
    <w:p>
      <w:pPr>
        <w:pStyle w:val="Heading3"/>
        <w:spacing w:before="64"/>
      </w:pPr>
      <w:r>
        <w:rPr/>
        <w:t>Notes to the Financial Statements</w:t>
      </w:r>
    </w:p>
    <w:p>
      <w:pPr>
        <w:pStyle w:val="Heading6"/>
      </w:pPr>
      <w:r>
        <w:rPr/>
        <w:t>For the Year Ended 31 December 2012</w:t>
      </w:r>
    </w:p>
    <w:p>
      <w:pPr>
        <w:pStyle w:val="BodyText"/>
        <w:rPr>
          <w:b/>
          <w:sz w:val="22"/>
        </w:rPr>
      </w:pPr>
    </w:p>
    <w:p>
      <w:pPr>
        <w:pStyle w:val="BodyText"/>
        <w:rPr>
          <w:b/>
          <w:sz w:val="22"/>
        </w:rPr>
      </w:pPr>
    </w:p>
    <w:p>
      <w:pPr>
        <w:pStyle w:val="Heading9"/>
        <w:numPr>
          <w:ilvl w:val="0"/>
          <w:numId w:val="87"/>
        </w:numPr>
        <w:tabs>
          <w:tab w:pos="506" w:val="left" w:leader="none"/>
        </w:tabs>
        <w:spacing w:line="240" w:lineRule="auto" w:before="160" w:after="0"/>
        <w:ind w:left="505" w:right="0" w:hanging="396"/>
        <w:jc w:val="left"/>
      </w:pPr>
      <w:r>
        <w:rPr/>
        <w:t>Trade and other receivables continued</w:t>
      </w:r>
    </w:p>
    <w:p>
      <w:pPr>
        <w:pStyle w:val="BodyText"/>
        <w:rPr>
          <w:b/>
          <w:sz w:val="25"/>
        </w:rPr>
      </w:pPr>
    </w:p>
    <w:p>
      <w:pPr>
        <w:pStyle w:val="BodyText"/>
        <w:ind w:left="1072" w:right="273"/>
      </w:pPr>
      <w:r>
        <w:rPr/>
        <w:t>The balances of receivables that remain within initial trade terms (as detailed in the table) are considered to be of high credit quality.</w:t>
      </w:r>
    </w:p>
    <w:p>
      <w:pPr>
        <w:pStyle w:val="Heading9"/>
        <w:spacing w:line="316" w:lineRule="auto" w:before="33"/>
        <w:ind w:left="6718" w:right="1671" w:hanging="470"/>
      </w:pPr>
      <w:r>
        <w:rPr/>
        <w:pict>
          <v:shape style="position:absolute;margin-left:100.550003pt;margin-top:27.479069pt;width:445.75pt;height:117.85pt;mso-position-horizontal-relative:page;mso-position-vertical-relative:paragraph;z-index:529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789"/>
                    <w:gridCol w:w="1212"/>
                    <w:gridCol w:w="912"/>
                    <w:gridCol w:w="953"/>
                    <w:gridCol w:w="1049"/>
                  </w:tblGrid>
                  <w:tr>
                    <w:trPr>
                      <w:trHeight w:val="571" w:hRule="exact"/>
                    </w:trPr>
                    <w:tc>
                      <w:tcPr>
                        <w:tcW w:w="4789" w:type="dxa"/>
                      </w:tcPr>
                      <w:p>
                        <w:pPr/>
                      </w:p>
                    </w:tc>
                    <w:tc>
                      <w:tcPr>
                        <w:tcW w:w="1212" w:type="dxa"/>
                      </w:tcPr>
                      <w:p>
                        <w:pPr>
                          <w:pStyle w:val="TableParagraph"/>
                          <w:spacing w:before="30"/>
                          <w:ind w:left="425" w:right="392"/>
                          <w:jc w:val="center"/>
                          <w:rPr>
                            <w:b/>
                            <w:sz w:val="18"/>
                          </w:rPr>
                        </w:pPr>
                        <w:r>
                          <w:rPr>
                            <w:b/>
                            <w:sz w:val="18"/>
                          </w:rPr>
                          <w:t>&lt; 90</w:t>
                        </w:r>
                      </w:p>
                      <w:p>
                        <w:pPr>
                          <w:pStyle w:val="TableParagraph"/>
                          <w:spacing w:before="66"/>
                          <w:ind w:left="33"/>
                          <w:jc w:val="center"/>
                          <w:rPr>
                            <w:b/>
                            <w:sz w:val="16"/>
                          </w:rPr>
                        </w:pPr>
                        <w:r>
                          <w:rPr>
                            <w:b/>
                            <w:w w:val="99"/>
                            <w:sz w:val="16"/>
                          </w:rPr>
                          <w:t>$</w:t>
                        </w:r>
                      </w:p>
                    </w:tc>
                    <w:tc>
                      <w:tcPr>
                        <w:tcW w:w="912" w:type="dxa"/>
                      </w:tcPr>
                      <w:p>
                        <w:pPr>
                          <w:pStyle w:val="TableParagraph"/>
                          <w:spacing w:before="30"/>
                          <w:ind w:left="79" w:right="132"/>
                          <w:jc w:val="center"/>
                          <w:rPr>
                            <w:b/>
                            <w:sz w:val="18"/>
                          </w:rPr>
                        </w:pPr>
                        <w:r>
                          <w:rPr>
                            <w:b/>
                            <w:sz w:val="18"/>
                          </w:rPr>
                          <w:t>90 - 180</w:t>
                        </w:r>
                      </w:p>
                      <w:p>
                        <w:pPr>
                          <w:pStyle w:val="TableParagraph"/>
                          <w:spacing w:before="66"/>
                          <w:ind w:right="56"/>
                          <w:jc w:val="center"/>
                          <w:rPr>
                            <w:b/>
                            <w:sz w:val="16"/>
                          </w:rPr>
                        </w:pPr>
                        <w:r>
                          <w:rPr>
                            <w:b/>
                            <w:w w:val="99"/>
                            <w:sz w:val="16"/>
                          </w:rPr>
                          <w:t>$</w:t>
                        </w:r>
                      </w:p>
                    </w:tc>
                    <w:tc>
                      <w:tcPr>
                        <w:tcW w:w="953" w:type="dxa"/>
                      </w:tcPr>
                      <w:p>
                        <w:pPr>
                          <w:pStyle w:val="TableParagraph"/>
                          <w:spacing w:before="30"/>
                          <w:ind w:left="26" w:right="221"/>
                          <w:jc w:val="center"/>
                          <w:rPr>
                            <w:b/>
                            <w:sz w:val="18"/>
                          </w:rPr>
                        </w:pPr>
                        <w:r>
                          <w:rPr>
                            <w:b/>
                            <w:sz w:val="18"/>
                          </w:rPr>
                          <w:t>&gt; 180</w:t>
                        </w:r>
                      </w:p>
                      <w:p>
                        <w:pPr>
                          <w:pStyle w:val="TableParagraph"/>
                          <w:spacing w:before="66"/>
                          <w:ind w:right="197"/>
                          <w:jc w:val="center"/>
                          <w:rPr>
                            <w:b/>
                            <w:sz w:val="16"/>
                          </w:rPr>
                        </w:pPr>
                        <w:r>
                          <w:rPr>
                            <w:b/>
                            <w:w w:val="99"/>
                            <w:sz w:val="16"/>
                          </w:rPr>
                          <w:t>$</w:t>
                        </w:r>
                      </w:p>
                    </w:tc>
                    <w:tc>
                      <w:tcPr>
                        <w:tcW w:w="1049" w:type="dxa"/>
                      </w:tcPr>
                      <w:p>
                        <w:pPr>
                          <w:pStyle w:val="TableParagraph"/>
                          <w:spacing w:before="30"/>
                          <w:ind w:left="222" w:right="356"/>
                          <w:jc w:val="center"/>
                          <w:rPr>
                            <w:b/>
                            <w:sz w:val="18"/>
                          </w:rPr>
                        </w:pPr>
                        <w:r>
                          <w:rPr>
                            <w:b/>
                            <w:sz w:val="18"/>
                          </w:rPr>
                          <w:t>Total</w:t>
                        </w:r>
                      </w:p>
                      <w:p>
                        <w:pPr>
                          <w:pStyle w:val="TableParagraph"/>
                          <w:spacing w:before="66"/>
                          <w:ind w:right="135"/>
                          <w:jc w:val="center"/>
                          <w:rPr>
                            <w:b/>
                            <w:sz w:val="16"/>
                          </w:rPr>
                        </w:pPr>
                        <w:r>
                          <w:rPr>
                            <w:b/>
                            <w:w w:val="99"/>
                            <w:sz w:val="16"/>
                          </w:rPr>
                          <w:t>$</w:t>
                        </w:r>
                      </w:p>
                    </w:tc>
                  </w:tr>
                  <w:tr>
                    <w:trPr>
                      <w:trHeight w:val="552" w:hRule="exact"/>
                    </w:trPr>
                    <w:tc>
                      <w:tcPr>
                        <w:tcW w:w="4789" w:type="dxa"/>
                      </w:tcPr>
                      <w:p>
                        <w:pPr>
                          <w:pStyle w:val="TableParagraph"/>
                          <w:spacing w:before="63"/>
                          <w:ind w:left="35"/>
                          <w:rPr>
                            <w:b/>
                            <w:sz w:val="18"/>
                          </w:rPr>
                        </w:pPr>
                        <w:r>
                          <w:rPr>
                            <w:b/>
                            <w:sz w:val="18"/>
                          </w:rPr>
                          <w:t>2012</w:t>
                        </w:r>
                      </w:p>
                      <w:p>
                        <w:pPr>
                          <w:pStyle w:val="TableParagraph"/>
                          <w:spacing w:before="39"/>
                          <w:ind w:left="35"/>
                          <w:rPr>
                            <w:sz w:val="18"/>
                          </w:rPr>
                        </w:pPr>
                        <w:r>
                          <w:rPr>
                            <w:sz w:val="18"/>
                          </w:rPr>
                          <w:t>Trade and term receivables</w:t>
                        </w:r>
                      </w:p>
                    </w:tc>
                    <w:tc>
                      <w:tcPr>
                        <w:tcW w:w="1212" w:type="dxa"/>
                        <w:tcBorders>
                          <w:bottom w:val="single" w:sz="0" w:space="0" w:color="000000"/>
                        </w:tcBorders>
                      </w:tcPr>
                      <w:p>
                        <w:pPr>
                          <w:pStyle w:val="TableParagraph"/>
                          <w:spacing w:before="4"/>
                          <w:rPr>
                            <w:sz w:val="26"/>
                          </w:rPr>
                        </w:pPr>
                      </w:p>
                      <w:p>
                        <w:pPr>
                          <w:pStyle w:val="TableParagraph"/>
                          <w:ind w:right="95"/>
                          <w:jc w:val="right"/>
                          <w:rPr>
                            <w:b/>
                            <w:sz w:val="18"/>
                          </w:rPr>
                        </w:pPr>
                        <w:r>
                          <w:rPr>
                            <w:b/>
                            <w:w w:val="95"/>
                            <w:sz w:val="18"/>
                          </w:rPr>
                          <w:t>62,417</w:t>
                        </w:r>
                      </w:p>
                    </w:tc>
                    <w:tc>
                      <w:tcPr>
                        <w:tcW w:w="912" w:type="dxa"/>
                        <w:tcBorders>
                          <w:bottom w:val="single" w:sz="0" w:space="0" w:color="000000"/>
                        </w:tcBorders>
                      </w:tcPr>
                      <w:p>
                        <w:pPr>
                          <w:pStyle w:val="TableParagraph"/>
                          <w:spacing w:before="4"/>
                          <w:rPr>
                            <w:sz w:val="26"/>
                          </w:rPr>
                        </w:pPr>
                      </w:p>
                      <w:p>
                        <w:pPr>
                          <w:pStyle w:val="TableParagraph"/>
                          <w:ind w:left="396"/>
                          <w:rPr>
                            <w:b/>
                            <w:sz w:val="18"/>
                          </w:rPr>
                        </w:pPr>
                        <w:r>
                          <w:rPr>
                            <w:b/>
                            <w:w w:val="99"/>
                            <w:sz w:val="18"/>
                          </w:rPr>
                          <w:t>-</w:t>
                        </w:r>
                      </w:p>
                    </w:tc>
                    <w:tc>
                      <w:tcPr>
                        <w:tcW w:w="953" w:type="dxa"/>
                        <w:tcBorders>
                          <w:bottom w:val="single" w:sz="0" w:space="0" w:color="000000"/>
                        </w:tcBorders>
                      </w:tcPr>
                      <w:p>
                        <w:pPr>
                          <w:pStyle w:val="TableParagraph"/>
                          <w:spacing w:before="4"/>
                          <w:rPr>
                            <w:sz w:val="26"/>
                          </w:rPr>
                        </w:pPr>
                      </w:p>
                      <w:p>
                        <w:pPr>
                          <w:pStyle w:val="TableParagraph"/>
                          <w:ind w:left="131" w:right="111"/>
                          <w:jc w:val="center"/>
                          <w:rPr>
                            <w:b/>
                            <w:sz w:val="18"/>
                          </w:rPr>
                        </w:pPr>
                        <w:r>
                          <w:rPr>
                            <w:b/>
                            <w:sz w:val="18"/>
                          </w:rPr>
                          <w:t>5,994</w:t>
                        </w:r>
                      </w:p>
                    </w:tc>
                    <w:tc>
                      <w:tcPr>
                        <w:tcW w:w="1049" w:type="dxa"/>
                        <w:tcBorders>
                          <w:bottom w:val="single" w:sz="0" w:space="0" w:color="000000"/>
                        </w:tcBorders>
                      </w:tcPr>
                      <w:p>
                        <w:pPr>
                          <w:pStyle w:val="TableParagraph"/>
                          <w:spacing w:before="4"/>
                          <w:rPr>
                            <w:sz w:val="26"/>
                          </w:rPr>
                        </w:pPr>
                      </w:p>
                      <w:p>
                        <w:pPr>
                          <w:pStyle w:val="TableParagraph"/>
                          <w:ind w:right="25"/>
                          <w:jc w:val="right"/>
                          <w:rPr>
                            <w:b/>
                            <w:sz w:val="18"/>
                          </w:rPr>
                        </w:pPr>
                        <w:r>
                          <w:rPr>
                            <w:b/>
                            <w:w w:val="95"/>
                            <w:sz w:val="18"/>
                          </w:rPr>
                          <w:t>(68,411)</w:t>
                        </w:r>
                      </w:p>
                    </w:tc>
                  </w:tr>
                  <w:tr>
                    <w:trPr>
                      <w:trHeight w:val="293" w:hRule="exact"/>
                    </w:trPr>
                    <w:tc>
                      <w:tcPr>
                        <w:tcW w:w="4789" w:type="dxa"/>
                      </w:tcPr>
                      <w:p>
                        <w:pPr>
                          <w:pStyle w:val="TableParagraph"/>
                          <w:spacing w:before="50"/>
                          <w:ind w:left="35"/>
                          <w:rPr>
                            <w:sz w:val="18"/>
                          </w:rPr>
                        </w:pPr>
                        <w:r>
                          <w:rPr>
                            <w:sz w:val="18"/>
                          </w:rPr>
                          <w:t>Total</w:t>
                        </w:r>
                      </w:p>
                    </w:tc>
                    <w:tc>
                      <w:tcPr>
                        <w:tcW w:w="1212" w:type="dxa"/>
                        <w:tcBorders>
                          <w:top w:val="single" w:sz="0" w:space="0" w:color="000000"/>
                          <w:bottom w:val="single" w:sz="0" w:space="0" w:color="000000"/>
                        </w:tcBorders>
                      </w:tcPr>
                      <w:p>
                        <w:pPr>
                          <w:pStyle w:val="TableParagraph"/>
                          <w:spacing w:before="43"/>
                          <w:ind w:right="96"/>
                          <w:jc w:val="right"/>
                          <w:rPr>
                            <w:b/>
                            <w:sz w:val="18"/>
                          </w:rPr>
                        </w:pPr>
                        <w:r>
                          <w:rPr>
                            <w:b/>
                            <w:w w:val="95"/>
                            <w:sz w:val="18"/>
                          </w:rPr>
                          <w:t>62,417</w:t>
                        </w:r>
                      </w:p>
                    </w:tc>
                    <w:tc>
                      <w:tcPr>
                        <w:tcW w:w="912" w:type="dxa"/>
                        <w:tcBorders>
                          <w:top w:val="single" w:sz="0" w:space="0" w:color="000000"/>
                          <w:bottom w:val="single" w:sz="0" w:space="0" w:color="000000"/>
                        </w:tcBorders>
                      </w:tcPr>
                      <w:p>
                        <w:pPr>
                          <w:pStyle w:val="TableParagraph"/>
                          <w:spacing w:before="43"/>
                          <w:ind w:left="396"/>
                          <w:rPr>
                            <w:b/>
                            <w:sz w:val="18"/>
                          </w:rPr>
                        </w:pPr>
                        <w:r>
                          <w:rPr>
                            <w:b/>
                            <w:w w:val="99"/>
                            <w:sz w:val="18"/>
                          </w:rPr>
                          <w:t>-</w:t>
                        </w:r>
                      </w:p>
                    </w:tc>
                    <w:tc>
                      <w:tcPr>
                        <w:tcW w:w="953" w:type="dxa"/>
                        <w:tcBorders>
                          <w:top w:val="single" w:sz="0" w:space="0" w:color="000000"/>
                          <w:bottom w:val="single" w:sz="0" w:space="0" w:color="000000"/>
                        </w:tcBorders>
                      </w:tcPr>
                      <w:p>
                        <w:pPr>
                          <w:pStyle w:val="TableParagraph"/>
                          <w:spacing w:before="43"/>
                          <w:ind w:left="131" w:right="111"/>
                          <w:jc w:val="center"/>
                          <w:rPr>
                            <w:b/>
                            <w:sz w:val="18"/>
                          </w:rPr>
                        </w:pPr>
                        <w:r>
                          <w:rPr>
                            <w:b/>
                            <w:sz w:val="18"/>
                          </w:rPr>
                          <w:t>5,994</w:t>
                        </w:r>
                      </w:p>
                    </w:tc>
                    <w:tc>
                      <w:tcPr>
                        <w:tcW w:w="1049" w:type="dxa"/>
                        <w:tcBorders>
                          <w:top w:val="single" w:sz="0" w:space="0" w:color="000000"/>
                          <w:bottom w:val="single" w:sz="0" w:space="0" w:color="000000"/>
                        </w:tcBorders>
                      </w:tcPr>
                      <w:p>
                        <w:pPr>
                          <w:pStyle w:val="TableParagraph"/>
                          <w:spacing w:before="43"/>
                          <w:ind w:right="24"/>
                          <w:jc w:val="right"/>
                          <w:rPr>
                            <w:b/>
                            <w:sz w:val="18"/>
                          </w:rPr>
                        </w:pPr>
                        <w:r>
                          <w:rPr>
                            <w:b/>
                            <w:w w:val="95"/>
                            <w:sz w:val="18"/>
                          </w:rPr>
                          <w:t>(68,411)</w:t>
                        </w:r>
                      </w:p>
                    </w:tc>
                  </w:tr>
                  <w:tr>
                    <w:trPr>
                      <w:trHeight w:val="602" w:hRule="exact"/>
                    </w:trPr>
                    <w:tc>
                      <w:tcPr>
                        <w:tcW w:w="4789" w:type="dxa"/>
                      </w:tcPr>
                      <w:p>
                        <w:pPr>
                          <w:pStyle w:val="TableParagraph"/>
                          <w:spacing w:before="123"/>
                          <w:ind w:left="35"/>
                          <w:rPr>
                            <w:b/>
                            <w:sz w:val="18"/>
                          </w:rPr>
                        </w:pPr>
                        <w:r>
                          <w:rPr>
                            <w:b/>
                            <w:sz w:val="18"/>
                          </w:rPr>
                          <w:t>2011</w:t>
                        </w:r>
                      </w:p>
                      <w:p>
                        <w:pPr>
                          <w:pStyle w:val="TableParagraph"/>
                          <w:spacing w:before="29"/>
                          <w:ind w:left="35"/>
                          <w:rPr>
                            <w:sz w:val="18"/>
                          </w:rPr>
                        </w:pPr>
                        <w:r>
                          <w:rPr>
                            <w:sz w:val="18"/>
                          </w:rPr>
                          <w:t>Trade and term receivables</w:t>
                        </w:r>
                      </w:p>
                    </w:tc>
                    <w:tc>
                      <w:tcPr>
                        <w:tcW w:w="1212" w:type="dxa"/>
                        <w:tcBorders>
                          <w:top w:val="single" w:sz="0" w:space="0" w:color="000000"/>
                          <w:bottom w:val="single" w:sz="0" w:space="0" w:color="000000"/>
                        </w:tcBorders>
                      </w:tcPr>
                      <w:p>
                        <w:pPr>
                          <w:pStyle w:val="TableParagraph"/>
                          <w:rPr>
                            <w:sz w:val="18"/>
                          </w:rPr>
                        </w:pPr>
                      </w:p>
                      <w:p>
                        <w:pPr>
                          <w:pStyle w:val="TableParagraph"/>
                          <w:spacing w:before="151"/>
                          <w:ind w:right="95"/>
                          <w:jc w:val="right"/>
                          <w:rPr>
                            <w:sz w:val="18"/>
                          </w:rPr>
                        </w:pPr>
                        <w:r>
                          <w:rPr>
                            <w:w w:val="95"/>
                            <w:sz w:val="18"/>
                          </w:rPr>
                          <w:t>63,490</w:t>
                        </w:r>
                      </w:p>
                    </w:tc>
                    <w:tc>
                      <w:tcPr>
                        <w:tcW w:w="912" w:type="dxa"/>
                        <w:tcBorders>
                          <w:top w:val="single" w:sz="0" w:space="0" w:color="000000"/>
                          <w:bottom w:val="single" w:sz="0" w:space="0" w:color="000000"/>
                        </w:tcBorders>
                      </w:tcPr>
                      <w:p>
                        <w:pPr>
                          <w:pStyle w:val="TableParagraph"/>
                          <w:rPr>
                            <w:sz w:val="18"/>
                          </w:rPr>
                        </w:pPr>
                      </w:p>
                      <w:p>
                        <w:pPr>
                          <w:pStyle w:val="TableParagraph"/>
                          <w:spacing w:before="151"/>
                          <w:ind w:left="461"/>
                          <w:rPr>
                            <w:sz w:val="18"/>
                          </w:rPr>
                        </w:pPr>
                        <w:r>
                          <w:rPr>
                            <w:sz w:val="18"/>
                          </w:rPr>
                          <w:t>248</w:t>
                        </w:r>
                      </w:p>
                    </w:tc>
                    <w:tc>
                      <w:tcPr>
                        <w:tcW w:w="953" w:type="dxa"/>
                        <w:tcBorders>
                          <w:top w:val="single" w:sz="0" w:space="0" w:color="000000"/>
                          <w:bottom w:val="single" w:sz="0" w:space="0" w:color="000000"/>
                        </w:tcBorders>
                      </w:tcPr>
                      <w:p>
                        <w:pPr>
                          <w:pStyle w:val="TableParagraph"/>
                          <w:rPr>
                            <w:sz w:val="18"/>
                          </w:rPr>
                        </w:pPr>
                      </w:p>
                      <w:p>
                        <w:pPr>
                          <w:pStyle w:val="TableParagraph"/>
                          <w:spacing w:before="151"/>
                          <w:ind w:left="131" w:right="111"/>
                          <w:jc w:val="center"/>
                          <w:rPr>
                            <w:sz w:val="18"/>
                          </w:rPr>
                        </w:pPr>
                        <w:r>
                          <w:rPr>
                            <w:sz w:val="18"/>
                          </w:rPr>
                          <w:t>8,240</w:t>
                        </w:r>
                      </w:p>
                    </w:tc>
                    <w:tc>
                      <w:tcPr>
                        <w:tcW w:w="1049" w:type="dxa"/>
                        <w:tcBorders>
                          <w:top w:val="single" w:sz="0" w:space="0" w:color="000000"/>
                          <w:bottom w:val="single" w:sz="0" w:space="0" w:color="000000"/>
                        </w:tcBorders>
                      </w:tcPr>
                      <w:p>
                        <w:pPr>
                          <w:pStyle w:val="TableParagraph"/>
                          <w:rPr>
                            <w:sz w:val="18"/>
                          </w:rPr>
                        </w:pPr>
                      </w:p>
                      <w:p>
                        <w:pPr>
                          <w:pStyle w:val="TableParagraph"/>
                          <w:spacing w:before="151"/>
                          <w:ind w:right="25"/>
                          <w:jc w:val="right"/>
                          <w:rPr>
                            <w:sz w:val="18"/>
                          </w:rPr>
                        </w:pPr>
                        <w:r>
                          <w:rPr>
                            <w:w w:val="95"/>
                            <w:sz w:val="18"/>
                          </w:rPr>
                          <w:t>(71,978)</w:t>
                        </w:r>
                      </w:p>
                    </w:tc>
                  </w:tr>
                  <w:tr>
                    <w:trPr>
                      <w:trHeight w:val="338" w:hRule="exact"/>
                    </w:trPr>
                    <w:tc>
                      <w:tcPr>
                        <w:tcW w:w="4789" w:type="dxa"/>
                      </w:tcPr>
                      <w:p>
                        <w:pPr>
                          <w:pStyle w:val="TableParagraph"/>
                          <w:spacing w:before="95"/>
                          <w:ind w:left="35"/>
                          <w:rPr>
                            <w:sz w:val="18"/>
                          </w:rPr>
                        </w:pPr>
                        <w:r>
                          <w:rPr>
                            <w:sz w:val="18"/>
                          </w:rPr>
                          <w:t>Total</w:t>
                        </w:r>
                      </w:p>
                    </w:tc>
                    <w:tc>
                      <w:tcPr>
                        <w:tcW w:w="1212" w:type="dxa"/>
                        <w:tcBorders>
                          <w:top w:val="single" w:sz="0" w:space="0" w:color="000000"/>
                          <w:bottom w:val="single" w:sz="0" w:space="0" w:color="000000"/>
                        </w:tcBorders>
                      </w:tcPr>
                      <w:p>
                        <w:pPr>
                          <w:pStyle w:val="TableParagraph"/>
                          <w:spacing w:before="122"/>
                          <w:ind w:right="96"/>
                          <w:jc w:val="right"/>
                          <w:rPr>
                            <w:sz w:val="18"/>
                          </w:rPr>
                        </w:pPr>
                        <w:r>
                          <w:rPr>
                            <w:w w:val="95"/>
                            <w:sz w:val="18"/>
                          </w:rPr>
                          <w:t>63,490</w:t>
                        </w:r>
                      </w:p>
                    </w:tc>
                    <w:tc>
                      <w:tcPr>
                        <w:tcW w:w="912" w:type="dxa"/>
                        <w:tcBorders>
                          <w:top w:val="single" w:sz="0" w:space="0" w:color="000000"/>
                          <w:bottom w:val="single" w:sz="0" w:space="0" w:color="000000"/>
                        </w:tcBorders>
                      </w:tcPr>
                      <w:p>
                        <w:pPr>
                          <w:pStyle w:val="TableParagraph"/>
                          <w:spacing w:before="122"/>
                          <w:ind w:left="461"/>
                          <w:rPr>
                            <w:sz w:val="18"/>
                          </w:rPr>
                        </w:pPr>
                        <w:r>
                          <w:rPr>
                            <w:sz w:val="18"/>
                          </w:rPr>
                          <w:t>248</w:t>
                        </w:r>
                      </w:p>
                    </w:tc>
                    <w:tc>
                      <w:tcPr>
                        <w:tcW w:w="953" w:type="dxa"/>
                        <w:tcBorders>
                          <w:top w:val="single" w:sz="0" w:space="0" w:color="000000"/>
                          <w:bottom w:val="single" w:sz="0" w:space="0" w:color="000000"/>
                        </w:tcBorders>
                      </w:tcPr>
                      <w:p>
                        <w:pPr>
                          <w:pStyle w:val="TableParagraph"/>
                          <w:spacing w:before="122"/>
                          <w:ind w:left="131" w:right="111"/>
                          <w:jc w:val="center"/>
                          <w:rPr>
                            <w:sz w:val="18"/>
                          </w:rPr>
                        </w:pPr>
                        <w:r>
                          <w:rPr>
                            <w:sz w:val="18"/>
                          </w:rPr>
                          <w:t>8,240</w:t>
                        </w:r>
                      </w:p>
                    </w:tc>
                    <w:tc>
                      <w:tcPr>
                        <w:tcW w:w="1049" w:type="dxa"/>
                        <w:tcBorders>
                          <w:top w:val="single" w:sz="0" w:space="0" w:color="000000"/>
                          <w:bottom w:val="single" w:sz="0" w:space="0" w:color="000000"/>
                        </w:tcBorders>
                      </w:tcPr>
                      <w:p>
                        <w:pPr>
                          <w:pStyle w:val="TableParagraph"/>
                          <w:spacing w:before="122"/>
                          <w:ind w:right="24"/>
                          <w:jc w:val="right"/>
                          <w:rPr>
                            <w:sz w:val="18"/>
                          </w:rPr>
                        </w:pPr>
                        <w:r>
                          <w:rPr>
                            <w:w w:val="95"/>
                            <w:sz w:val="18"/>
                          </w:rPr>
                          <w:t>(71,978)</w:t>
                        </w:r>
                      </w:p>
                    </w:tc>
                  </w:tr>
                </w:tbl>
                <w:p>
                  <w:pPr>
                    <w:pStyle w:val="BodyText"/>
                  </w:pPr>
                </w:p>
              </w:txbxContent>
            </v:textbox>
            <w10:wrap type="none"/>
          </v:shape>
        </w:pict>
      </w:r>
      <w:r>
        <w:rPr/>
        <w:t>Past due but not impaired (days overdue)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1"/>
        </w:rPr>
      </w:pPr>
    </w:p>
    <w:p>
      <w:pPr>
        <w:pStyle w:val="BodyText"/>
        <w:spacing w:before="77"/>
        <w:ind w:left="1072" w:right="633"/>
      </w:pPr>
      <w:r>
        <w:rPr/>
        <w:t>The Company does not hold any financial assets with terms that have been renegotiated, but which would otherwise be past due or impaired.</w:t>
      </w:r>
    </w:p>
    <w:p>
      <w:pPr>
        <w:pStyle w:val="BodyText"/>
        <w:rPr>
          <w:sz w:val="25"/>
        </w:rPr>
      </w:pPr>
    </w:p>
    <w:p>
      <w:pPr>
        <w:pStyle w:val="BodyText"/>
        <w:ind w:left="1072" w:right="125"/>
      </w:pPr>
      <w:r>
        <w:rPr/>
        <w:t>The other classes of receivables do not contain impaired assets.</w:t>
      </w:r>
    </w:p>
    <w:p>
      <w:pPr>
        <w:pStyle w:val="BodyText"/>
        <w:rPr>
          <w:sz w:val="25"/>
        </w:rPr>
      </w:pPr>
    </w:p>
    <w:p>
      <w:pPr>
        <w:pStyle w:val="BodyText"/>
        <w:ind w:left="1072" w:right="292"/>
      </w:pPr>
      <w:r>
        <w:rPr/>
        <w:t>There are no balances within trade receivables that contain assets that are not impaired and are past due. It is expected that these balances will be received when due.</w:t>
      </w:r>
    </w:p>
    <w:p>
      <w:pPr>
        <w:pStyle w:val="BodyText"/>
        <w:spacing w:before="3"/>
      </w:pPr>
    </w:p>
    <w:p>
      <w:pPr>
        <w:spacing w:after="0"/>
        <w:sectPr>
          <w:pgSz w:w="11910" w:h="16840"/>
          <w:pgMar w:header="1038" w:footer="507" w:top="1460" w:bottom="700" w:left="900" w:right="860"/>
        </w:sectPr>
      </w:pPr>
    </w:p>
    <w:p>
      <w:pPr>
        <w:pStyle w:val="Heading9"/>
        <w:numPr>
          <w:ilvl w:val="0"/>
          <w:numId w:val="87"/>
        </w:numPr>
        <w:tabs>
          <w:tab w:pos="506" w:val="left" w:leader="none"/>
        </w:tabs>
        <w:spacing w:line="240" w:lineRule="auto" w:before="77" w:after="0"/>
        <w:ind w:left="505" w:right="0" w:hanging="396"/>
        <w:jc w:val="left"/>
      </w:pPr>
      <w:r>
        <w:rPr/>
        <w:t>Inventories</w:t>
      </w:r>
    </w:p>
    <w:p>
      <w:pPr>
        <w:pStyle w:val="BodyText"/>
        <w:rPr>
          <w:b/>
        </w:rPr>
      </w:pPr>
    </w:p>
    <w:p>
      <w:pPr>
        <w:pStyle w:val="BodyText"/>
        <w:rPr>
          <w:b/>
        </w:rPr>
      </w:pPr>
    </w:p>
    <w:p>
      <w:pPr>
        <w:pStyle w:val="BodyText"/>
        <w:spacing w:before="3"/>
        <w:rPr>
          <w:b/>
          <w:sz w:val="21"/>
        </w:rPr>
      </w:pPr>
    </w:p>
    <w:p>
      <w:pPr>
        <w:pStyle w:val="BodyText"/>
        <w:spacing w:before="1"/>
        <w:ind w:left="548"/>
      </w:pPr>
      <w:r>
        <w:rPr/>
        <w:t>CURRENT</w:t>
      </w:r>
    </w:p>
    <w:p>
      <w:pPr>
        <w:pStyle w:val="BodyText"/>
        <w:spacing w:before="112"/>
        <w:ind w:left="548"/>
      </w:pPr>
      <w:r>
        <w:rPr/>
        <w:t>At cost:</w:t>
      </w:r>
    </w:p>
    <w:p>
      <w:pPr>
        <w:pStyle w:val="BodyText"/>
      </w:pPr>
      <w:r>
        <w:rPr/>
        <w:br w:type="column"/>
      </w:r>
      <w:r>
        <w:rPr/>
      </w:r>
    </w:p>
    <w:p>
      <w:pPr>
        <w:pStyle w:val="Heading9"/>
        <w:spacing w:before="110"/>
        <w:ind w:left="109"/>
        <w:jc w:val="center"/>
      </w:pPr>
      <w:r>
        <w:rPr/>
        <w:t>2012</w:t>
      </w:r>
    </w:p>
    <w:p>
      <w:pPr>
        <w:spacing w:before="66"/>
        <w:ind w:left="108" w:right="0" w:firstLine="0"/>
        <w:jc w:val="center"/>
        <w:rPr>
          <w:b/>
          <w:sz w:val="18"/>
        </w:rPr>
      </w:pPr>
      <w:r>
        <w:rPr>
          <w:b/>
          <w:w w:val="99"/>
          <w:sz w:val="18"/>
        </w:rPr>
        <w:t>$</w:t>
      </w:r>
    </w:p>
    <w:p>
      <w:pPr>
        <w:pStyle w:val="BodyText"/>
        <w:rPr>
          <w:b/>
        </w:rPr>
      </w:pPr>
      <w:r>
        <w:rPr/>
        <w:br w:type="column"/>
      </w:r>
      <w:r>
        <w:rPr>
          <w:b/>
        </w:rPr>
      </w:r>
    </w:p>
    <w:p>
      <w:pPr>
        <w:spacing w:before="110"/>
        <w:ind w:left="92" w:right="541" w:firstLine="0"/>
        <w:jc w:val="center"/>
        <w:rPr>
          <w:b/>
          <w:sz w:val="18"/>
        </w:rPr>
      </w:pPr>
      <w:r>
        <w:rPr>
          <w:b/>
          <w:sz w:val="18"/>
        </w:rPr>
        <w:t>2011</w:t>
      </w:r>
    </w:p>
    <w:p>
      <w:pPr>
        <w:spacing w:before="66"/>
        <w:ind w:left="0" w:right="449" w:firstLine="0"/>
        <w:jc w:val="center"/>
        <w:rPr>
          <w:b/>
          <w:sz w:val="18"/>
        </w:rPr>
      </w:pPr>
      <w:r>
        <w:rPr>
          <w:b/>
          <w:w w:val="99"/>
          <w:sz w:val="18"/>
        </w:rPr>
        <w:t>$</w:t>
      </w:r>
    </w:p>
    <w:p>
      <w:pPr>
        <w:spacing w:after="0"/>
        <w:jc w:val="center"/>
        <w:rPr>
          <w:sz w:val="18"/>
        </w:rPr>
        <w:sectPr>
          <w:type w:val="continuous"/>
          <w:pgSz w:w="11910" w:h="16840"/>
          <w:pgMar w:top="0" w:bottom="280" w:left="900" w:right="860"/>
          <w:cols w:num="3" w:equalWidth="0">
            <w:col w:w="1466" w:space="6326"/>
            <w:col w:w="510" w:space="773"/>
            <w:col w:w="1075"/>
          </w:cols>
        </w:sectPr>
      </w:pPr>
    </w:p>
    <w:p>
      <w:pPr>
        <w:tabs>
          <w:tab w:pos="8090" w:val="left" w:leader="none"/>
          <w:tab w:pos="9387" w:val="left" w:leader="none"/>
        </w:tabs>
        <w:spacing w:before="28"/>
        <w:ind w:left="548" w:right="125" w:firstLine="0"/>
        <w:jc w:val="left"/>
        <w:rPr>
          <w:sz w:val="18"/>
        </w:rPr>
      </w:pPr>
      <w:r>
        <w:rPr/>
        <w:pict>
          <v:group style="position:absolute;margin-left:416.470001pt;margin-top:13.08928pt;width:129.85pt;height:1pt;mso-position-horizontal-relative:page;mso-position-vertical-relative:paragraph;z-index:5248;mso-wrap-distance-left:0;mso-wrap-distance-right:0" coordorigin="8329,262" coordsize="2597,20">
            <v:line style="position:absolute" from="8330,263" to="9628,263" stroked="true" strokeweight=".06pt" strokecolor="#000000"/>
            <v:line style="position:absolute" from="8330,264" to="9628,264" stroked="true" strokeweight=".06pt" strokecolor="#000000"/>
            <v:line style="position:absolute" from="8330,265" to="9628,265" stroked="true" strokeweight=".06pt" strokecolor="#000000"/>
            <v:line style="position:absolute" from="8330,266" to="9628,266" stroked="true" strokeweight=".06pt" strokecolor="#000000"/>
            <v:line style="position:absolute" from="8330,268" to="9628,268" stroked="true" strokeweight=".06pt" strokecolor="#000000"/>
            <v:line style="position:absolute" from="8330,269" to="9628,269" stroked="true" strokeweight=".06pt" strokecolor="#000000"/>
            <v:line style="position:absolute" from="8330,270" to="9628,270" stroked="true" strokeweight=".06pt" strokecolor="#000000"/>
            <v:line style="position:absolute" from="8330,271" to="9628,271" stroked="true" strokeweight=".06pt" strokecolor="#000000"/>
            <v:line style="position:absolute" from="8330,272" to="9628,272" stroked="true" strokeweight=".06pt" strokecolor="#000000"/>
            <v:line style="position:absolute" from="8330,274" to="9628,274" stroked="true" strokeweight=".06pt" strokecolor="#000000"/>
            <v:line style="position:absolute" from="8330,275" to="9628,275" stroked="true" strokeweight=".06pt" strokecolor="#000000"/>
            <v:line style="position:absolute" from="8330,276" to="9628,276" stroked="true" strokeweight=".06pt" strokecolor="#000000"/>
            <v:line style="position:absolute" from="8330,277" to="9628,277" stroked="true" strokeweight=".06pt" strokecolor="#000000"/>
            <v:line style="position:absolute" from="8330,278" to="9628,278" stroked="true" strokeweight=".06pt" strokecolor="#000000"/>
            <v:line style="position:absolute" from="8330,280" to="9628,280" stroked="true" strokeweight=".06pt" strokecolor="#000000"/>
            <v:line style="position:absolute" from="8330,281" to="9628,281" stroked="true" strokeweight=".06pt" strokecolor="#000000"/>
            <v:line style="position:absolute" from="9628,263" to="10925,263" stroked="true" strokeweight=".06pt" strokecolor="#000000"/>
            <v:line style="position:absolute" from="9628,264" to="10925,264" stroked="true" strokeweight=".06pt" strokecolor="#000000"/>
            <v:line style="position:absolute" from="9628,265" to="10925,265" stroked="true" strokeweight=".06pt" strokecolor="#000000"/>
            <v:line style="position:absolute" from="9628,266" to="10925,266" stroked="true" strokeweight=".06pt" strokecolor="#000000"/>
            <v:line style="position:absolute" from="9628,268" to="10925,268" stroked="true" strokeweight=".06pt" strokecolor="#000000"/>
            <v:line style="position:absolute" from="9628,269" to="10925,269" stroked="true" strokeweight=".06pt" strokecolor="#000000"/>
            <v:line style="position:absolute" from="9628,270" to="10925,270" stroked="true" strokeweight=".06pt" strokecolor="#000000"/>
            <v:line style="position:absolute" from="9628,271" to="10925,271" stroked="true" strokeweight=".06pt" strokecolor="#000000"/>
            <v:line style="position:absolute" from="9628,272" to="10925,272" stroked="true" strokeweight=".06pt" strokecolor="#000000"/>
            <v:line style="position:absolute" from="9628,274" to="10925,274" stroked="true" strokeweight=".06pt" strokecolor="#000000"/>
            <v:line style="position:absolute" from="9628,275" to="10925,275" stroked="true" strokeweight=".06pt" strokecolor="#000000"/>
            <v:line style="position:absolute" from="9628,276" to="10925,276" stroked="true" strokeweight=".06pt" strokecolor="#000000"/>
            <v:line style="position:absolute" from="9628,277" to="10925,277" stroked="true" strokeweight=".06pt" strokecolor="#000000"/>
            <v:line style="position:absolute" from="9628,278" to="10925,278" stroked="true" strokeweight=".06pt" strokecolor="#000000"/>
            <v:line style="position:absolute" from="9628,280" to="10925,280" stroked="true" strokeweight=".06pt" strokecolor="#000000"/>
            <v:line style="position:absolute" from="9628,281" to="10925,281" stroked="true" strokeweight=".06pt" strokecolor="#000000"/>
            <w10:wrap type="topAndBottom"/>
          </v:group>
        </w:pict>
      </w:r>
      <w:r>
        <w:rPr>
          <w:sz w:val="18"/>
        </w:rPr>
        <w:t>Merchandise</w:t>
        <w:tab/>
      </w:r>
      <w:r>
        <w:rPr>
          <w:b/>
          <w:sz w:val="18"/>
        </w:rPr>
        <w:t>14,620</w:t>
        <w:tab/>
      </w:r>
      <w:r>
        <w:rPr>
          <w:sz w:val="18"/>
        </w:rPr>
        <w:t>13,294</w:t>
      </w:r>
    </w:p>
    <w:p>
      <w:pPr>
        <w:tabs>
          <w:tab w:pos="1297" w:val="left" w:leader="none"/>
        </w:tabs>
        <w:spacing w:before="84"/>
        <w:ind w:left="0" w:right="204" w:firstLine="0"/>
        <w:jc w:val="right"/>
        <w:rPr>
          <w:sz w:val="18"/>
        </w:rPr>
      </w:pPr>
      <w:r>
        <w:rPr>
          <w:b/>
          <w:sz w:val="18"/>
        </w:rPr>
        <w:t>14,620</w:t>
        <w:tab/>
      </w:r>
      <w:r>
        <w:rPr>
          <w:w w:val="95"/>
          <w:sz w:val="18"/>
        </w:rPr>
        <w:t>13,294</w:t>
      </w:r>
    </w:p>
    <w:p>
      <w:pPr>
        <w:pStyle w:val="BodyText"/>
        <w:spacing w:line="50" w:lineRule="exact"/>
        <w:ind w:left="7429"/>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spacing w:before="2"/>
      </w:pPr>
    </w:p>
    <w:p>
      <w:pPr>
        <w:pStyle w:val="BodyText"/>
        <w:spacing w:before="77"/>
        <w:ind w:left="505" w:right="125"/>
      </w:pPr>
      <w:r>
        <w:rPr/>
        <w:t>Write down of inventories to net realisable value during the year were $ NIL (2011: $ NIL).</w:t>
      </w:r>
    </w:p>
    <w:p>
      <w:pPr>
        <w:spacing w:after="0"/>
        <w:sectPr>
          <w:type w:val="continuous"/>
          <w:pgSz w:w="11910" w:h="16840"/>
          <w:pgMar w:top="0" w:bottom="280" w:left="900" w:right="860"/>
        </w:sectPr>
      </w:pPr>
    </w:p>
    <w:p>
      <w:pPr>
        <w:pStyle w:val="BodyText"/>
        <w:spacing w:before="2"/>
        <w:rPr>
          <w:sz w:val="24"/>
        </w:rPr>
      </w:pPr>
    </w:p>
    <w:p>
      <w:pPr>
        <w:pStyle w:val="Heading3"/>
        <w:spacing w:before="64"/>
        <w:ind w:left="147" w:right="685"/>
      </w:pPr>
      <w:r>
        <w:rPr/>
        <w:t>Notes to the Financial Statements</w:t>
      </w:r>
    </w:p>
    <w:p>
      <w:pPr>
        <w:pStyle w:val="Heading6"/>
        <w:ind w:left="147" w:right="685"/>
      </w:pPr>
      <w:r>
        <w:rPr/>
        <w:t>For the Year Ended 31 December 2012</w:t>
      </w:r>
    </w:p>
    <w:p>
      <w:pPr>
        <w:pStyle w:val="BodyText"/>
        <w:rPr>
          <w:b/>
          <w:sz w:val="20"/>
        </w:rPr>
      </w:pPr>
    </w:p>
    <w:p>
      <w:pPr>
        <w:pStyle w:val="BodyText"/>
        <w:rPr>
          <w:b/>
          <w:sz w:val="20"/>
        </w:rPr>
      </w:pPr>
    </w:p>
    <w:p>
      <w:pPr>
        <w:pStyle w:val="BodyText"/>
        <w:spacing w:before="3"/>
        <w:rPr>
          <w:b/>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7074"/>
        <w:gridCol w:w="1490"/>
        <w:gridCol w:w="1104"/>
      </w:tblGrid>
      <w:tr>
        <w:trPr>
          <w:trHeight w:val="567" w:hRule="exact"/>
        </w:trPr>
        <w:tc>
          <w:tcPr>
            <w:tcW w:w="283" w:type="dxa"/>
          </w:tcPr>
          <w:p>
            <w:pPr>
              <w:pStyle w:val="TableParagraph"/>
              <w:spacing w:before="77"/>
              <w:ind w:left="35"/>
              <w:rPr>
                <w:b/>
                <w:sz w:val="18"/>
              </w:rPr>
            </w:pPr>
            <w:r>
              <w:rPr>
                <w:b/>
                <w:w w:val="99"/>
                <w:sz w:val="18"/>
              </w:rPr>
              <w:t>5</w:t>
            </w:r>
          </w:p>
        </w:tc>
        <w:tc>
          <w:tcPr>
            <w:tcW w:w="7074" w:type="dxa"/>
          </w:tcPr>
          <w:p>
            <w:pPr>
              <w:pStyle w:val="TableParagraph"/>
              <w:spacing w:before="77"/>
              <w:ind w:left="147"/>
              <w:rPr>
                <w:b/>
                <w:sz w:val="18"/>
              </w:rPr>
            </w:pPr>
            <w:r>
              <w:rPr>
                <w:b/>
                <w:sz w:val="18"/>
              </w:rPr>
              <w:t>Property, plant and equipment</w:t>
            </w:r>
          </w:p>
        </w:tc>
        <w:tc>
          <w:tcPr>
            <w:tcW w:w="1490" w:type="dxa"/>
          </w:tcPr>
          <w:p>
            <w:pPr>
              <w:pStyle w:val="TableParagraph"/>
              <w:rPr>
                <w:b/>
                <w:sz w:val="18"/>
              </w:rPr>
            </w:pPr>
          </w:p>
          <w:p>
            <w:pPr>
              <w:pStyle w:val="TableParagraph"/>
              <w:spacing w:before="110"/>
              <w:ind w:left="471"/>
              <w:rPr>
                <w:b/>
                <w:sz w:val="18"/>
              </w:rPr>
            </w:pPr>
            <w:r>
              <w:rPr>
                <w:b/>
                <w:sz w:val="18"/>
              </w:rPr>
              <w:t>2012</w:t>
            </w:r>
          </w:p>
        </w:tc>
        <w:tc>
          <w:tcPr>
            <w:tcW w:w="1104" w:type="dxa"/>
          </w:tcPr>
          <w:p>
            <w:pPr>
              <w:pStyle w:val="TableParagraph"/>
              <w:rPr>
                <w:b/>
                <w:sz w:val="18"/>
              </w:rPr>
            </w:pPr>
          </w:p>
          <w:p>
            <w:pPr>
              <w:pStyle w:val="TableParagraph"/>
              <w:spacing w:before="110"/>
              <w:ind w:left="263"/>
              <w:rPr>
                <w:b/>
                <w:sz w:val="18"/>
              </w:rPr>
            </w:pPr>
            <w:r>
              <w:rPr>
                <w:b/>
                <w:sz w:val="18"/>
              </w:rPr>
              <w:t>2011</w:t>
            </w:r>
          </w:p>
        </w:tc>
      </w:tr>
      <w:tr>
        <w:trPr>
          <w:trHeight w:val="313" w:hRule="exact"/>
        </w:trPr>
        <w:tc>
          <w:tcPr>
            <w:tcW w:w="283" w:type="dxa"/>
          </w:tcPr>
          <w:p>
            <w:pPr/>
          </w:p>
        </w:tc>
        <w:tc>
          <w:tcPr>
            <w:tcW w:w="7074" w:type="dxa"/>
          </w:tcPr>
          <w:p>
            <w:pPr/>
          </w:p>
        </w:tc>
        <w:tc>
          <w:tcPr>
            <w:tcW w:w="1490" w:type="dxa"/>
          </w:tcPr>
          <w:p>
            <w:pPr>
              <w:pStyle w:val="TableParagraph"/>
              <w:spacing w:before="24"/>
              <w:ind w:right="145"/>
              <w:jc w:val="center"/>
              <w:rPr>
                <w:b/>
                <w:sz w:val="18"/>
              </w:rPr>
            </w:pPr>
            <w:r>
              <w:rPr>
                <w:b/>
                <w:w w:val="99"/>
                <w:sz w:val="18"/>
              </w:rPr>
              <w:t>$</w:t>
            </w:r>
          </w:p>
        </w:tc>
        <w:tc>
          <w:tcPr>
            <w:tcW w:w="1104" w:type="dxa"/>
          </w:tcPr>
          <w:p>
            <w:pPr>
              <w:pStyle w:val="TableParagraph"/>
              <w:spacing w:before="24"/>
              <w:ind w:left="413"/>
              <w:rPr>
                <w:b/>
                <w:sz w:val="18"/>
              </w:rPr>
            </w:pPr>
            <w:r>
              <w:rPr>
                <w:b/>
                <w:w w:val="99"/>
                <w:sz w:val="18"/>
              </w:rPr>
              <w:t>$</w:t>
            </w:r>
          </w:p>
        </w:tc>
      </w:tr>
      <w:tr>
        <w:trPr>
          <w:trHeight w:val="544" w:hRule="exact"/>
        </w:trPr>
        <w:tc>
          <w:tcPr>
            <w:tcW w:w="283" w:type="dxa"/>
          </w:tcPr>
          <w:p>
            <w:pPr/>
          </w:p>
        </w:tc>
        <w:tc>
          <w:tcPr>
            <w:tcW w:w="7074" w:type="dxa"/>
          </w:tcPr>
          <w:p>
            <w:pPr>
              <w:pStyle w:val="TableParagraph"/>
              <w:spacing w:before="63"/>
              <w:ind w:left="192"/>
              <w:rPr>
                <w:b/>
                <w:sz w:val="18"/>
              </w:rPr>
            </w:pPr>
            <w:r>
              <w:rPr>
                <w:b/>
                <w:sz w:val="18"/>
              </w:rPr>
              <w:t>Plant and equipment</w:t>
            </w:r>
          </w:p>
          <w:p>
            <w:pPr>
              <w:pStyle w:val="TableParagraph"/>
              <w:spacing w:before="29"/>
              <w:ind w:left="192"/>
              <w:rPr>
                <w:sz w:val="18"/>
              </w:rPr>
            </w:pPr>
            <w:r>
              <w:rPr>
                <w:sz w:val="18"/>
              </w:rPr>
              <w:t>Property, Plant and Equipment</w:t>
            </w:r>
          </w:p>
        </w:tc>
        <w:tc>
          <w:tcPr>
            <w:tcW w:w="1490" w:type="dxa"/>
          </w:tcPr>
          <w:p>
            <w:pPr>
              <w:pStyle w:val="TableParagraph"/>
              <w:spacing w:before="11"/>
              <w:rPr>
                <w:b/>
                <w:sz w:val="25"/>
              </w:rPr>
            </w:pPr>
          </w:p>
          <w:p>
            <w:pPr>
              <w:pStyle w:val="TableParagraph"/>
              <w:ind w:left="561"/>
              <w:rPr>
                <w:b/>
                <w:sz w:val="18"/>
              </w:rPr>
            </w:pPr>
            <w:r>
              <w:rPr>
                <w:b/>
                <w:sz w:val="18"/>
              </w:rPr>
              <w:t>743,995</w:t>
            </w:r>
          </w:p>
        </w:tc>
        <w:tc>
          <w:tcPr>
            <w:tcW w:w="1104" w:type="dxa"/>
          </w:tcPr>
          <w:p>
            <w:pPr>
              <w:pStyle w:val="TableParagraph"/>
              <w:spacing w:before="11"/>
              <w:rPr>
                <w:b/>
                <w:sz w:val="25"/>
              </w:rPr>
            </w:pPr>
          </w:p>
          <w:p>
            <w:pPr>
              <w:pStyle w:val="TableParagraph"/>
              <w:ind w:right="83"/>
              <w:jc w:val="right"/>
              <w:rPr>
                <w:sz w:val="18"/>
              </w:rPr>
            </w:pPr>
            <w:r>
              <w:rPr>
                <w:w w:val="95"/>
                <w:sz w:val="18"/>
              </w:rPr>
              <w:t>420,699</w:t>
            </w:r>
          </w:p>
        </w:tc>
      </w:tr>
      <w:tr>
        <w:trPr>
          <w:trHeight w:val="262" w:hRule="exact"/>
        </w:trPr>
        <w:tc>
          <w:tcPr>
            <w:tcW w:w="283" w:type="dxa"/>
          </w:tcPr>
          <w:p>
            <w:pPr/>
          </w:p>
        </w:tc>
        <w:tc>
          <w:tcPr>
            <w:tcW w:w="7074" w:type="dxa"/>
          </w:tcPr>
          <w:p>
            <w:pPr>
              <w:pStyle w:val="TableParagraph"/>
              <w:spacing w:before="19"/>
              <w:ind w:left="192"/>
              <w:rPr>
                <w:sz w:val="18"/>
              </w:rPr>
            </w:pPr>
            <w:r>
              <w:rPr>
                <w:sz w:val="18"/>
              </w:rPr>
              <w:t>Accumulated depreciation</w:t>
            </w:r>
          </w:p>
        </w:tc>
        <w:tc>
          <w:tcPr>
            <w:tcW w:w="1490" w:type="dxa"/>
            <w:tcBorders>
              <w:bottom w:val="single" w:sz="0" w:space="0" w:color="000000"/>
            </w:tcBorders>
          </w:tcPr>
          <w:p>
            <w:pPr>
              <w:pStyle w:val="TableParagraph"/>
              <w:spacing w:before="18"/>
              <w:ind w:right="216"/>
              <w:jc w:val="right"/>
              <w:rPr>
                <w:b/>
                <w:sz w:val="18"/>
              </w:rPr>
            </w:pPr>
            <w:r>
              <w:rPr>
                <w:b/>
                <w:w w:val="95"/>
                <w:sz w:val="18"/>
              </w:rPr>
              <w:t>(136,313)</w:t>
            </w:r>
          </w:p>
        </w:tc>
        <w:tc>
          <w:tcPr>
            <w:tcW w:w="1104" w:type="dxa"/>
            <w:tcBorders>
              <w:bottom w:val="single" w:sz="0" w:space="0" w:color="000000"/>
            </w:tcBorders>
          </w:tcPr>
          <w:p>
            <w:pPr>
              <w:pStyle w:val="TableParagraph"/>
              <w:spacing w:before="18"/>
              <w:ind w:right="23"/>
              <w:jc w:val="right"/>
              <w:rPr>
                <w:sz w:val="18"/>
              </w:rPr>
            </w:pPr>
            <w:r>
              <w:rPr>
                <w:w w:val="95"/>
                <w:sz w:val="18"/>
              </w:rPr>
              <w:t>(66,064)</w:t>
            </w:r>
          </w:p>
        </w:tc>
      </w:tr>
      <w:tr>
        <w:trPr>
          <w:trHeight w:val="338" w:hRule="exact"/>
        </w:trPr>
        <w:tc>
          <w:tcPr>
            <w:tcW w:w="283" w:type="dxa"/>
          </w:tcPr>
          <w:p>
            <w:pPr/>
          </w:p>
        </w:tc>
        <w:tc>
          <w:tcPr>
            <w:tcW w:w="7074" w:type="dxa"/>
          </w:tcPr>
          <w:p>
            <w:pPr>
              <w:pStyle w:val="TableParagraph"/>
              <w:spacing w:before="95"/>
              <w:ind w:left="192"/>
              <w:rPr>
                <w:b/>
                <w:sz w:val="18"/>
              </w:rPr>
            </w:pPr>
            <w:r>
              <w:rPr>
                <w:b/>
                <w:sz w:val="18"/>
              </w:rPr>
              <w:t>Total plant and equipment</w:t>
            </w:r>
          </w:p>
        </w:tc>
        <w:tc>
          <w:tcPr>
            <w:tcW w:w="1490" w:type="dxa"/>
            <w:tcBorders>
              <w:top w:val="single" w:sz="0" w:space="0" w:color="000000"/>
              <w:bottom w:val="single" w:sz="0" w:space="0" w:color="000000"/>
            </w:tcBorders>
          </w:tcPr>
          <w:p>
            <w:pPr>
              <w:pStyle w:val="TableParagraph"/>
              <w:spacing w:before="122"/>
              <w:ind w:left="561"/>
              <w:rPr>
                <w:b/>
                <w:sz w:val="18"/>
              </w:rPr>
            </w:pPr>
            <w:r>
              <w:rPr>
                <w:b/>
                <w:sz w:val="18"/>
              </w:rPr>
              <w:t>607,682</w:t>
            </w:r>
          </w:p>
        </w:tc>
        <w:tc>
          <w:tcPr>
            <w:tcW w:w="1104" w:type="dxa"/>
            <w:tcBorders>
              <w:top w:val="single" w:sz="0" w:space="0" w:color="000000"/>
              <w:bottom w:val="single" w:sz="0" w:space="0" w:color="000000"/>
            </w:tcBorders>
          </w:tcPr>
          <w:p>
            <w:pPr>
              <w:pStyle w:val="TableParagraph"/>
              <w:spacing w:before="122"/>
              <w:ind w:right="83"/>
              <w:jc w:val="right"/>
              <w:rPr>
                <w:sz w:val="18"/>
              </w:rPr>
            </w:pPr>
            <w:r>
              <w:rPr>
                <w:w w:val="95"/>
                <w:sz w:val="18"/>
              </w:rPr>
              <w:t>354,635</w:t>
            </w:r>
          </w:p>
        </w:tc>
      </w:tr>
      <w:tr>
        <w:trPr>
          <w:trHeight w:val="604" w:hRule="exact"/>
        </w:trPr>
        <w:tc>
          <w:tcPr>
            <w:tcW w:w="283" w:type="dxa"/>
          </w:tcPr>
          <w:p>
            <w:pPr/>
          </w:p>
        </w:tc>
        <w:tc>
          <w:tcPr>
            <w:tcW w:w="7074" w:type="dxa"/>
          </w:tcPr>
          <w:p>
            <w:pPr>
              <w:pStyle w:val="TableParagraph"/>
              <w:spacing w:before="123"/>
              <w:ind w:left="192"/>
              <w:rPr>
                <w:b/>
                <w:sz w:val="18"/>
              </w:rPr>
            </w:pPr>
            <w:r>
              <w:rPr>
                <w:b/>
                <w:sz w:val="18"/>
              </w:rPr>
              <w:t>Leasehold Improvements</w:t>
            </w:r>
          </w:p>
          <w:p>
            <w:pPr>
              <w:pStyle w:val="TableParagraph"/>
              <w:spacing w:before="29"/>
              <w:ind w:left="192"/>
              <w:rPr>
                <w:sz w:val="18"/>
              </w:rPr>
            </w:pPr>
            <w:r>
              <w:rPr>
                <w:sz w:val="18"/>
              </w:rPr>
              <w:t>Leasehold improvements</w:t>
            </w:r>
          </w:p>
        </w:tc>
        <w:tc>
          <w:tcPr>
            <w:tcW w:w="1490" w:type="dxa"/>
            <w:tcBorders>
              <w:top w:val="single" w:sz="0" w:space="0" w:color="000000"/>
            </w:tcBorders>
          </w:tcPr>
          <w:p>
            <w:pPr>
              <w:pStyle w:val="TableParagraph"/>
              <w:rPr>
                <w:b/>
                <w:sz w:val="18"/>
              </w:rPr>
            </w:pPr>
          </w:p>
          <w:p>
            <w:pPr>
              <w:pStyle w:val="TableParagraph"/>
              <w:spacing w:before="151"/>
              <w:ind w:left="411"/>
              <w:rPr>
                <w:b/>
                <w:sz w:val="18"/>
              </w:rPr>
            </w:pPr>
            <w:r>
              <w:rPr>
                <w:b/>
                <w:sz w:val="18"/>
              </w:rPr>
              <w:t>2,427,091</w:t>
            </w:r>
          </w:p>
        </w:tc>
        <w:tc>
          <w:tcPr>
            <w:tcW w:w="1104" w:type="dxa"/>
            <w:tcBorders>
              <w:top w:val="single" w:sz="0" w:space="0" w:color="000000"/>
            </w:tcBorders>
          </w:tcPr>
          <w:p>
            <w:pPr>
              <w:pStyle w:val="TableParagraph"/>
              <w:rPr>
                <w:b/>
                <w:sz w:val="18"/>
              </w:rPr>
            </w:pPr>
          </w:p>
          <w:p>
            <w:pPr>
              <w:pStyle w:val="TableParagraph"/>
              <w:spacing w:before="151"/>
              <w:ind w:right="82"/>
              <w:jc w:val="right"/>
              <w:rPr>
                <w:sz w:val="18"/>
              </w:rPr>
            </w:pPr>
            <w:r>
              <w:rPr>
                <w:w w:val="95"/>
                <w:sz w:val="18"/>
              </w:rPr>
              <w:t>1,952,365</w:t>
            </w:r>
          </w:p>
        </w:tc>
      </w:tr>
      <w:tr>
        <w:trPr>
          <w:trHeight w:val="262" w:hRule="exact"/>
        </w:trPr>
        <w:tc>
          <w:tcPr>
            <w:tcW w:w="283" w:type="dxa"/>
          </w:tcPr>
          <w:p>
            <w:pPr/>
          </w:p>
        </w:tc>
        <w:tc>
          <w:tcPr>
            <w:tcW w:w="7074" w:type="dxa"/>
          </w:tcPr>
          <w:p>
            <w:pPr>
              <w:pStyle w:val="TableParagraph"/>
              <w:spacing w:before="19"/>
              <w:ind w:left="192"/>
              <w:rPr>
                <w:sz w:val="18"/>
              </w:rPr>
            </w:pPr>
            <w:r>
              <w:rPr>
                <w:sz w:val="18"/>
              </w:rPr>
              <w:t>Accumulated amortisation</w:t>
            </w:r>
          </w:p>
        </w:tc>
        <w:tc>
          <w:tcPr>
            <w:tcW w:w="1490" w:type="dxa"/>
            <w:tcBorders>
              <w:bottom w:val="single" w:sz="0" w:space="0" w:color="000000"/>
            </w:tcBorders>
          </w:tcPr>
          <w:p>
            <w:pPr>
              <w:pStyle w:val="TableParagraph"/>
              <w:spacing w:before="18"/>
              <w:ind w:right="216"/>
              <w:jc w:val="right"/>
              <w:rPr>
                <w:b/>
                <w:sz w:val="18"/>
              </w:rPr>
            </w:pPr>
            <w:r>
              <w:rPr>
                <w:b/>
                <w:w w:val="95"/>
                <w:sz w:val="18"/>
              </w:rPr>
              <w:t>(1,351,563)</w:t>
            </w:r>
          </w:p>
        </w:tc>
        <w:tc>
          <w:tcPr>
            <w:tcW w:w="1104" w:type="dxa"/>
            <w:tcBorders>
              <w:bottom w:val="single" w:sz="0" w:space="0" w:color="000000"/>
            </w:tcBorders>
          </w:tcPr>
          <w:p>
            <w:pPr>
              <w:pStyle w:val="TableParagraph"/>
              <w:spacing w:before="18"/>
              <w:ind w:right="23"/>
              <w:jc w:val="right"/>
              <w:rPr>
                <w:sz w:val="18"/>
              </w:rPr>
            </w:pPr>
            <w:r>
              <w:rPr>
                <w:w w:val="95"/>
                <w:sz w:val="18"/>
              </w:rPr>
              <w:t>(760,419)</w:t>
            </w:r>
          </w:p>
        </w:tc>
      </w:tr>
      <w:tr>
        <w:trPr>
          <w:trHeight w:val="338" w:hRule="exact"/>
        </w:trPr>
        <w:tc>
          <w:tcPr>
            <w:tcW w:w="283" w:type="dxa"/>
          </w:tcPr>
          <w:p>
            <w:pPr/>
          </w:p>
        </w:tc>
        <w:tc>
          <w:tcPr>
            <w:tcW w:w="7074" w:type="dxa"/>
          </w:tcPr>
          <w:p>
            <w:pPr>
              <w:pStyle w:val="TableParagraph"/>
              <w:spacing w:before="95"/>
              <w:ind w:left="192"/>
              <w:rPr>
                <w:b/>
                <w:sz w:val="18"/>
              </w:rPr>
            </w:pPr>
            <w:r>
              <w:rPr>
                <w:b/>
                <w:sz w:val="18"/>
              </w:rPr>
              <w:t>Total leasehold improvements</w:t>
            </w:r>
          </w:p>
        </w:tc>
        <w:tc>
          <w:tcPr>
            <w:tcW w:w="1490" w:type="dxa"/>
            <w:tcBorders>
              <w:top w:val="single" w:sz="0" w:space="0" w:color="000000"/>
              <w:bottom w:val="single" w:sz="0" w:space="0" w:color="000000"/>
            </w:tcBorders>
          </w:tcPr>
          <w:p>
            <w:pPr>
              <w:pStyle w:val="TableParagraph"/>
              <w:spacing w:before="122"/>
              <w:ind w:left="411"/>
              <w:rPr>
                <w:b/>
                <w:sz w:val="18"/>
              </w:rPr>
            </w:pPr>
            <w:r>
              <w:rPr>
                <w:b/>
                <w:sz w:val="18"/>
              </w:rPr>
              <w:t>1,075,528</w:t>
            </w:r>
          </w:p>
        </w:tc>
        <w:tc>
          <w:tcPr>
            <w:tcW w:w="1104" w:type="dxa"/>
            <w:tcBorders>
              <w:top w:val="single" w:sz="0" w:space="0" w:color="000000"/>
              <w:bottom w:val="single" w:sz="0" w:space="0" w:color="000000"/>
            </w:tcBorders>
          </w:tcPr>
          <w:p>
            <w:pPr>
              <w:pStyle w:val="TableParagraph"/>
              <w:spacing w:before="122"/>
              <w:ind w:right="82"/>
              <w:jc w:val="right"/>
              <w:rPr>
                <w:sz w:val="18"/>
              </w:rPr>
            </w:pPr>
            <w:r>
              <w:rPr>
                <w:w w:val="95"/>
                <w:sz w:val="18"/>
              </w:rPr>
              <w:t>1,191,946</w:t>
            </w:r>
          </w:p>
        </w:tc>
      </w:tr>
      <w:tr>
        <w:trPr>
          <w:trHeight w:val="602" w:hRule="exact"/>
        </w:trPr>
        <w:tc>
          <w:tcPr>
            <w:tcW w:w="283" w:type="dxa"/>
          </w:tcPr>
          <w:p>
            <w:pPr/>
          </w:p>
        </w:tc>
        <w:tc>
          <w:tcPr>
            <w:tcW w:w="7074" w:type="dxa"/>
          </w:tcPr>
          <w:p>
            <w:pPr>
              <w:pStyle w:val="TableParagraph"/>
              <w:spacing w:before="123"/>
              <w:ind w:left="192"/>
              <w:rPr>
                <w:b/>
                <w:sz w:val="18"/>
              </w:rPr>
            </w:pPr>
            <w:r>
              <w:rPr>
                <w:b/>
                <w:sz w:val="18"/>
              </w:rPr>
              <w:t>Artwork</w:t>
            </w:r>
          </w:p>
          <w:p>
            <w:pPr>
              <w:pStyle w:val="TableParagraph"/>
              <w:spacing w:before="29"/>
              <w:ind w:left="192"/>
              <w:rPr>
                <w:sz w:val="18"/>
              </w:rPr>
            </w:pPr>
            <w:r>
              <w:rPr>
                <w:sz w:val="18"/>
              </w:rPr>
              <w:t>At cost</w:t>
            </w:r>
          </w:p>
        </w:tc>
        <w:tc>
          <w:tcPr>
            <w:tcW w:w="1490" w:type="dxa"/>
            <w:tcBorders>
              <w:top w:val="single" w:sz="0" w:space="0" w:color="000000"/>
              <w:bottom w:val="single" w:sz="0" w:space="0" w:color="000000"/>
            </w:tcBorders>
          </w:tcPr>
          <w:p>
            <w:pPr>
              <w:pStyle w:val="TableParagraph"/>
              <w:rPr>
                <w:b/>
                <w:sz w:val="18"/>
              </w:rPr>
            </w:pPr>
          </w:p>
          <w:p>
            <w:pPr>
              <w:pStyle w:val="TableParagraph"/>
              <w:spacing w:before="151"/>
              <w:ind w:right="276"/>
              <w:jc w:val="right"/>
              <w:rPr>
                <w:b/>
                <w:sz w:val="18"/>
              </w:rPr>
            </w:pPr>
            <w:r>
              <w:rPr>
                <w:b/>
                <w:w w:val="95"/>
                <w:sz w:val="18"/>
              </w:rPr>
              <w:t>11,909</w:t>
            </w:r>
          </w:p>
        </w:tc>
        <w:tc>
          <w:tcPr>
            <w:tcW w:w="1104" w:type="dxa"/>
            <w:tcBorders>
              <w:top w:val="single" w:sz="0" w:space="0" w:color="000000"/>
              <w:bottom w:val="single" w:sz="0" w:space="0" w:color="000000"/>
            </w:tcBorders>
          </w:tcPr>
          <w:p>
            <w:pPr>
              <w:pStyle w:val="TableParagraph"/>
              <w:rPr>
                <w:b/>
                <w:sz w:val="18"/>
              </w:rPr>
            </w:pPr>
          </w:p>
          <w:p>
            <w:pPr>
              <w:pStyle w:val="TableParagraph"/>
              <w:spacing w:before="151"/>
              <w:ind w:right="83"/>
              <w:jc w:val="right"/>
              <w:rPr>
                <w:sz w:val="18"/>
              </w:rPr>
            </w:pPr>
            <w:r>
              <w:rPr>
                <w:w w:val="95"/>
                <w:sz w:val="18"/>
              </w:rPr>
              <w:t>11,909</w:t>
            </w:r>
          </w:p>
        </w:tc>
      </w:tr>
      <w:tr>
        <w:trPr>
          <w:trHeight w:val="338" w:hRule="exact"/>
        </w:trPr>
        <w:tc>
          <w:tcPr>
            <w:tcW w:w="283" w:type="dxa"/>
          </w:tcPr>
          <w:p>
            <w:pPr/>
          </w:p>
        </w:tc>
        <w:tc>
          <w:tcPr>
            <w:tcW w:w="7074" w:type="dxa"/>
          </w:tcPr>
          <w:p>
            <w:pPr>
              <w:pStyle w:val="TableParagraph"/>
              <w:spacing w:before="95"/>
              <w:ind w:left="192"/>
              <w:rPr>
                <w:b/>
                <w:sz w:val="18"/>
              </w:rPr>
            </w:pPr>
            <w:r>
              <w:rPr>
                <w:b/>
                <w:sz w:val="18"/>
              </w:rPr>
              <w:t>Total artwork</w:t>
            </w:r>
          </w:p>
        </w:tc>
        <w:tc>
          <w:tcPr>
            <w:tcW w:w="1490" w:type="dxa"/>
            <w:tcBorders>
              <w:top w:val="single" w:sz="0" w:space="0" w:color="000000"/>
              <w:bottom w:val="single" w:sz="0" w:space="0" w:color="000000"/>
            </w:tcBorders>
          </w:tcPr>
          <w:p>
            <w:pPr>
              <w:pStyle w:val="TableParagraph"/>
              <w:spacing w:before="122"/>
              <w:ind w:right="276"/>
              <w:jc w:val="right"/>
              <w:rPr>
                <w:b/>
                <w:sz w:val="18"/>
              </w:rPr>
            </w:pPr>
            <w:r>
              <w:rPr>
                <w:b/>
                <w:w w:val="95"/>
                <w:sz w:val="18"/>
              </w:rPr>
              <w:t>11,909</w:t>
            </w:r>
          </w:p>
        </w:tc>
        <w:tc>
          <w:tcPr>
            <w:tcW w:w="1104" w:type="dxa"/>
            <w:tcBorders>
              <w:top w:val="single" w:sz="0" w:space="0" w:color="000000"/>
              <w:bottom w:val="single" w:sz="0" w:space="0" w:color="000000"/>
            </w:tcBorders>
          </w:tcPr>
          <w:p>
            <w:pPr>
              <w:pStyle w:val="TableParagraph"/>
              <w:spacing w:before="122"/>
              <w:ind w:right="83"/>
              <w:jc w:val="right"/>
              <w:rPr>
                <w:sz w:val="18"/>
              </w:rPr>
            </w:pPr>
            <w:r>
              <w:rPr>
                <w:w w:val="95"/>
                <w:sz w:val="18"/>
              </w:rPr>
              <w:t>11,909</w:t>
            </w:r>
          </w:p>
        </w:tc>
      </w:tr>
      <w:tr>
        <w:trPr>
          <w:trHeight w:val="353" w:hRule="exact"/>
        </w:trPr>
        <w:tc>
          <w:tcPr>
            <w:tcW w:w="283" w:type="dxa"/>
          </w:tcPr>
          <w:p>
            <w:pPr/>
          </w:p>
        </w:tc>
        <w:tc>
          <w:tcPr>
            <w:tcW w:w="7074" w:type="dxa"/>
          </w:tcPr>
          <w:p>
            <w:pPr>
              <w:pStyle w:val="TableParagraph"/>
              <w:spacing w:before="123"/>
              <w:ind w:left="192"/>
              <w:rPr>
                <w:b/>
                <w:sz w:val="18"/>
              </w:rPr>
            </w:pPr>
            <w:r>
              <w:rPr>
                <w:b/>
                <w:sz w:val="18"/>
              </w:rPr>
              <w:t>Total property, plant and equipment</w:t>
            </w:r>
          </w:p>
        </w:tc>
        <w:tc>
          <w:tcPr>
            <w:tcW w:w="1490" w:type="dxa"/>
            <w:tcBorders>
              <w:top w:val="single" w:sz="0" w:space="0" w:color="000000"/>
              <w:bottom w:val="single" w:sz="0" w:space="0" w:color="000000"/>
            </w:tcBorders>
          </w:tcPr>
          <w:p>
            <w:pPr>
              <w:pStyle w:val="TableParagraph"/>
              <w:spacing w:before="122"/>
              <w:ind w:left="411"/>
              <w:rPr>
                <w:b/>
                <w:sz w:val="18"/>
              </w:rPr>
            </w:pPr>
            <w:r>
              <w:rPr>
                <w:b/>
                <w:sz w:val="18"/>
              </w:rPr>
              <w:t>1,695,119</w:t>
            </w:r>
          </w:p>
        </w:tc>
        <w:tc>
          <w:tcPr>
            <w:tcW w:w="1104" w:type="dxa"/>
            <w:tcBorders>
              <w:top w:val="single" w:sz="0" w:space="0" w:color="000000"/>
              <w:bottom w:val="single" w:sz="0" w:space="0" w:color="000000"/>
            </w:tcBorders>
          </w:tcPr>
          <w:p>
            <w:pPr>
              <w:pStyle w:val="TableParagraph"/>
              <w:spacing w:before="122"/>
              <w:ind w:right="82"/>
              <w:jc w:val="right"/>
              <w:rPr>
                <w:sz w:val="18"/>
              </w:rPr>
            </w:pPr>
            <w:r>
              <w:rPr>
                <w:w w:val="95"/>
                <w:sz w:val="18"/>
              </w:rPr>
              <w:t>1,558,490</w:t>
            </w:r>
          </w:p>
        </w:tc>
      </w:tr>
    </w:tbl>
    <w:p>
      <w:pPr>
        <w:spacing w:after="0"/>
        <w:jc w:val="right"/>
        <w:rPr>
          <w:sz w:val="18"/>
        </w:rPr>
        <w:sectPr>
          <w:pgSz w:w="11910" w:h="16840"/>
          <w:pgMar w:header="1038" w:footer="507" w:top="1460" w:bottom="700" w:left="860" w:right="860"/>
        </w:sectPr>
      </w:pPr>
    </w:p>
    <w:p>
      <w:pPr>
        <w:pStyle w:val="BodyText"/>
        <w:spacing w:before="2"/>
        <w:rPr>
          <w:b/>
          <w:sz w:val="24"/>
        </w:rPr>
      </w:pPr>
    </w:p>
    <w:p>
      <w:pPr>
        <w:spacing w:before="64"/>
        <w:ind w:left="147" w:right="685" w:firstLine="0"/>
        <w:jc w:val="left"/>
        <w:rPr>
          <w:b/>
          <w:sz w:val="28"/>
        </w:rPr>
      </w:pPr>
      <w:r>
        <w:rPr>
          <w:b/>
          <w:sz w:val="28"/>
        </w:rPr>
        <w:t>Notes to the Financial Statements</w:t>
      </w:r>
    </w:p>
    <w:p>
      <w:pPr>
        <w:spacing w:before="57"/>
        <w:ind w:left="147" w:right="685" w:firstLine="0"/>
        <w:jc w:val="left"/>
        <w:rPr>
          <w:b/>
          <w:sz w:val="22"/>
        </w:rPr>
      </w:pPr>
      <w:r>
        <w:rPr>
          <w:b/>
          <w:sz w:val="22"/>
        </w:rPr>
        <w:t>For the Year Ended 31 December 2012</w:t>
      </w:r>
    </w:p>
    <w:p>
      <w:pPr>
        <w:pStyle w:val="BodyText"/>
        <w:rPr>
          <w:b/>
          <w:sz w:val="22"/>
        </w:rPr>
      </w:pPr>
    </w:p>
    <w:p>
      <w:pPr>
        <w:pStyle w:val="BodyText"/>
        <w:rPr>
          <w:b/>
          <w:sz w:val="22"/>
        </w:rPr>
      </w:pPr>
    </w:p>
    <w:p>
      <w:pPr>
        <w:pStyle w:val="Heading9"/>
        <w:numPr>
          <w:ilvl w:val="0"/>
          <w:numId w:val="87"/>
        </w:numPr>
        <w:tabs>
          <w:tab w:pos="546" w:val="left" w:leader="none"/>
        </w:tabs>
        <w:spacing w:line="240" w:lineRule="auto" w:before="160" w:after="0"/>
        <w:ind w:left="545" w:right="0" w:hanging="396"/>
        <w:jc w:val="left"/>
      </w:pPr>
      <w:r>
        <w:rPr/>
        <w:t>Property, plant and equipment continued</w:t>
      </w:r>
    </w:p>
    <w:p>
      <w:pPr>
        <w:pStyle w:val="BodyText"/>
        <w:spacing w:before="11"/>
        <w:rPr>
          <w:b/>
          <w:sz w:val="24"/>
        </w:rPr>
      </w:pPr>
    </w:p>
    <w:p>
      <w:pPr>
        <w:pStyle w:val="ListParagraph"/>
        <w:numPr>
          <w:ilvl w:val="1"/>
          <w:numId w:val="87"/>
        </w:numPr>
        <w:tabs>
          <w:tab w:pos="1112" w:val="left" w:leader="none"/>
        </w:tabs>
        <w:spacing w:line="240" w:lineRule="auto" w:before="0" w:after="0"/>
        <w:ind w:left="1111" w:right="0" w:hanging="566"/>
        <w:jc w:val="left"/>
        <w:rPr>
          <w:b/>
          <w:sz w:val="18"/>
        </w:rPr>
      </w:pPr>
      <w:r>
        <w:rPr>
          <w:b/>
          <w:sz w:val="18"/>
        </w:rPr>
        <w:t>Movements in Carrying</w:t>
      </w:r>
      <w:r>
        <w:rPr>
          <w:b/>
          <w:spacing w:val="-3"/>
          <w:sz w:val="18"/>
        </w:rPr>
        <w:t> </w:t>
      </w:r>
      <w:r>
        <w:rPr>
          <w:b/>
          <w:sz w:val="18"/>
        </w:rPr>
        <w:t>Amounts</w:t>
      </w:r>
    </w:p>
    <w:p>
      <w:pPr>
        <w:pStyle w:val="BodyText"/>
        <w:spacing w:before="11"/>
        <w:rPr>
          <w:b/>
          <w:sz w:val="24"/>
        </w:rPr>
      </w:pPr>
    </w:p>
    <w:p>
      <w:pPr>
        <w:pStyle w:val="BodyText"/>
        <w:ind w:left="1112" w:right="282"/>
      </w:pPr>
      <w:r>
        <w:rPr/>
        <w:t>Movement in the carrying amounts for each class of property, plant and equipment between the beginning and the end of the financial year:</w:t>
      </w:r>
    </w:p>
    <w:p>
      <w:pPr>
        <w:pStyle w:val="Heading9"/>
        <w:spacing w:before="33" w:after="22"/>
        <w:ind w:left="0" w:right="1681"/>
        <w:jc w:val="right"/>
      </w:pPr>
      <w:r>
        <w:rPr/>
        <w:t>Property,</w:t>
      </w:r>
    </w:p>
    <w:tbl>
      <w:tblPr>
        <w:tblW w:w="0" w:type="auto"/>
        <w:jc w:val="left"/>
        <w:tblInd w:w="107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28"/>
        <w:gridCol w:w="1601"/>
        <w:gridCol w:w="1204"/>
        <w:gridCol w:w="1448"/>
        <w:gridCol w:w="1104"/>
      </w:tblGrid>
      <w:tr>
        <w:trPr>
          <w:trHeight w:val="433" w:hRule="exact"/>
        </w:trPr>
        <w:tc>
          <w:tcPr>
            <w:tcW w:w="3628" w:type="dxa"/>
            <w:vMerge w:val="restart"/>
          </w:tcPr>
          <w:p>
            <w:pPr/>
          </w:p>
        </w:tc>
        <w:tc>
          <w:tcPr>
            <w:tcW w:w="1601" w:type="dxa"/>
          </w:tcPr>
          <w:p>
            <w:pPr>
              <w:pStyle w:val="TableParagraph"/>
              <w:spacing w:line="184" w:lineRule="exact"/>
              <w:ind w:left="165" w:right="159"/>
              <w:jc w:val="center"/>
              <w:rPr>
                <w:b/>
                <w:sz w:val="18"/>
              </w:rPr>
            </w:pPr>
            <w:r>
              <w:rPr>
                <w:b/>
                <w:sz w:val="18"/>
              </w:rPr>
              <w:t>Leasehold</w:t>
            </w:r>
          </w:p>
          <w:p>
            <w:pPr>
              <w:pStyle w:val="TableParagraph"/>
              <w:spacing w:line="207" w:lineRule="exact"/>
              <w:ind w:left="171" w:right="159"/>
              <w:jc w:val="center"/>
              <w:rPr>
                <w:b/>
                <w:sz w:val="18"/>
              </w:rPr>
            </w:pPr>
            <w:r>
              <w:rPr>
                <w:b/>
                <w:sz w:val="18"/>
              </w:rPr>
              <w:t>improvements</w:t>
            </w:r>
          </w:p>
        </w:tc>
        <w:tc>
          <w:tcPr>
            <w:tcW w:w="1204" w:type="dxa"/>
          </w:tcPr>
          <w:p>
            <w:pPr>
              <w:pStyle w:val="TableParagraph"/>
              <w:spacing w:before="11"/>
              <w:rPr>
                <w:b/>
                <w:sz w:val="15"/>
              </w:rPr>
            </w:pPr>
          </w:p>
          <w:p>
            <w:pPr>
              <w:pStyle w:val="TableParagraph"/>
              <w:ind w:left="160"/>
              <w:rPr>
                <w:b/>
                <w:sz w:val="18"/>
              </w:rPr>
            </w:pPr>
            <w:r>
              <w:rPr>
                <w:b/>
                <w:sz w:val="18"/>
              </w:rPr>
              <w:t>Artwork</w:t>
            </w:r>
          </w:p>
        </w:tc>
        <w:tc>
          <w:tcPr>
            <w:tcW w:w="1448" w:type="dxa"/>
          </w:tcPr>
          <w:p>
            <w:pPr>
              <w:pStyle w:val="TableParagraph"/>
              <w:spacing w:line="184" w:lineRule="exact"/>
              <w:ind w:left="127" w:firstLine="59"/>
              <w:rPr>
                <w:b/>
                <w:sz w:val="18"/>
              </w:rPr>
            </w:pPr>
            <w:r>
              <w:rPr>
                <w:b/>
                <w:sz w:val="18"/>
              </w:rPr>
              <w:t>Plant and</w:t>
            </w:r>
          </w:p>
          <w:p>
            <w:pPr>
              <w:pStyle w:val="TableParagraph"/>
              <w:spacing w:line="207" w:lineRule="exact"/>
              <w:ind w:left="127"/>
              <w:rPr>
                <w:b/>
                <w:sz w:val="18"/>
              </w:rPr>
            </w:pPr>
            <w:r>
              <w:rPr>
                <w:b/>
                <w:sz w:val="18"/>
              </w:rPr>
              <w:t>Equipment</w:t>
            </w:r>
          </w:p>
        </w:tc>
        <w:tc>
          <w:tcPr>
            <w:tcW w:w="1104" w:type="dxa"/>
          </w:tcPr>
          <w:p>
            <w:pPr>
              <w:pStyle w:val="TableParagraph"/>
              <w:spacing w:before="11"/>
              <w:rPr>
                <w:b/>
                <w:sz w:val="15"/>
              </w:rPr>
            </w:pPr>
          </w:p>
          <w:p>
            <w:pPr>
              <w:pStyle w:val="TableParagraph"/>
              <w:ind w:left="227"/>
              <w:rPr>
                <w:b/>
                <w:sz w:val="18"/>
              </w:rPr>
            </w:pPr>
            <w:r>
              <w:rPr>
                <w:b/>
                <w:sz w:val="18"/>
              </w:rPr>
              <w:t>Total</w:t>
            </w:r>
          </w:p>
        </w:tc>
      </w:tr>
      <w:tr>
        <w:trPr>
          <w:trHeight w:val="313" w:hRule="exact"/>
        </w:trPr>
        <w:tc>
          <w:tcPr>
            <w:tcW w:w="3628" w:type="dxa"/>
            <w:vMerge/>
          </w:tcPr>
          <w:p>
            <w:pPr/>
          </w:p>
        </w:tc>
        <w:tc>
          <w:tcPr>
            <w:tcW w:w="1601" w:type="dxa"/>
          </w:tcPr>
          <w:p>
            <w:pPr>
              <w:pStyle w:val="TableParagraph"/>
              <w:spacing w:before="23"/>
              <w:ind w:left="8"/>
              <w:jc w:val="center"/>
              <w:rPr>
                <w:b/>
                <w:sz w:val="18"/>
              </w:rPr>
            </w:pPr>
            <w:r>
              <w:rPr>
                <w:b/>
                <w:w w:val="99"/>
                <w:sz w:val="18"/>
              </w:rPr>
              <w:t>$</w:t>
            </w:r>
          </w:p>
        </w:tc>
        <w:tc>
          <w:tcPr>
            <w:tcW w:w="1204" w:type="dxa"/>
          </w:tcPr>
          <w:p>
            <w:pPr>
              <w:pStyle w:val="TableParagraph"/>
              <w:spacing w:before="23"/>
              <w:ind w:right="200"/>
              <w:jc w:val="center"/>
              <w:rPr>
                <w:b/>
                <w:sz w:val="18"/>
              </w:rPr>
            </w:pPr>
            <w:r>
              <w:rPr>
                <w:b/>
                <w:w w:val="99"/>
                <w:sz w:val="18"/>
              </w:rPr>
              <w:t>$</w:t>
            </w:r>
          </w:p>
        </w:tc>
        <w:tc>
          <w:tcPr>
            <w:tcW w:w="1448" w:type="dxa"/>
          </w:tcPr>
          <w:p>
            <w:pPr>
              <w:pStyle w:val="TableParagraph"/>
              <w:spacing w:before="24"/>
              <w:ind w:right="258"/>
              <w:jc w:val="center"/>
              <w:rPr>
                <w:b/>
                <w:sz w:val="18"/>
              </w:rPr>
            </w:pPr>
            <w:r>
              <w:rPr>
                <w:b/>
                <w:w w:val="99"/>
                <w:sz w:val="18"/>
              </w:rPr>
              <w:t>$</w:t>
            </w:r>
          </w:p>
        </w:tc>
        <w:tc>
          <w:tcPr>
            <w:tcW w:w="1104" w:type="dxa"/>
          </w:tcPr>
          <w:p>
            <w:pPr>
              <w:pStyle w:val="TableParagraph"/>
              <w:spacing w:before="24"/>
              <w:ind w:right="216"/>
              <w:jc w:val="center"/>
              <w:rPr>
                <w:b/>
                <w:sz w:val="18"/>
              </w:rPr>
            </w:pPr>
            <w:r>
              <w:rPr>
                <w:b/>
                <w:w w:val="99"/>
                <w:sz w:val="18"/>
              </w:rPr>
              <w:t>$</w:t>
            </w:r>
          </w:p>
        </w:tc>
      </w:tr>
      <w:tr>
        <w:trPr>
          <w:trHeight w:val="544" w:hRule="exact"/>
        </w:trPr>
        <w:tc>
          <w:tcPr>
            <w:tcW w:w="3628" w:type="dxa"/>
          </w:tcPr>
          <w:p>
            <w:pPr>
              <w:pStyle w:val="TableParagraph"/>
              <w:spacing w:before="63"/>
              <w:ind w:left="35"/>
              <w:rPr>
                <w:b/>
                <w:sz w:val="18"/>
              </w:rPr>
            </w:pPr>
            <w:r>
              <w:rPr>
                <w:b/>
                <w:sz w:val="18"/>
              </w:rPr>
              <w:t>2012</w:t>
            </w:r>
          </w:p>
          <w:p>
            <w:pPr>
              <w:pStyle w:val="TableParagraph"/>
              <w:spacing w:before="29"/>
              <w:ind w:left="35"/>
              <w:rPr>
                <w:sz w:val="18"/>
              </w:rPr>
            </w:pPr>
            <w:r>
              <w:rPr>
                <w:sz w:val="18"/>
              </w:rPr>
              <w:t>Balance at the beginning of year</w:t>
            </w:r>
          </w:p>
        </w:tc>
        <w:tc>
          <w:tcPr>
            <w:tcW w:w="1601" w:type="dxa"/>
          </w:tcPr>
          <w:p>
            <w:pPr>
              <w:pStyle w:val="TableParagraph"/>
              <w:spacing w:before="11"/>
              <w:rPr>
                <w:b/>
                <w:sz w:val="25"/>
              </w:rPr>
            </w:pPr>
          </w:p>
          <w:p>
            <w:pPr>
              <w:pStyle w:val="TableParagraph"/>
              <w:ind w:right="219"/>
              <w:jc w:val="right"/>
              <w:rPr>
                <w:b/>
                <w:sz w:val="18"/>
              </w:rPr>
            </w:pPr>
            <w:r>
              <w:rPr>
                <w:b/>
                <w:w w:val="95"/>
                <w:sz w:val="18"/>
              </w:rPr>
              <w:t>1,191,946</w:t>
            </w:r>
          </w:p>
        </w:tc>
        <w:tc>
          <w:tcPr>
            <w:tcW w:w="1204" w:type="dxa"/>
          </w:tcPr>
          <w:p>
            <w:pPr>
              <w:pStyle w:val="TableParagraph"/>
              <w:spacing w:before="11"/>
              <w:rPr>
                <w:b/>
                <w:sz w:val="25"/>
              </w:rPr>
            </w:pPr>
          </w:p>
          <w:p>
            <w:pPr>
              <w:pStyle w:val="TableParagraph"/>
              <w:ind w:right="125"/>
              <w:jc w:val="right"/>
              <w:rPr>
                <w:b/>
                <w:sz w:val="18"/>
              </w:rPr>
            </w:pPr>
            <w:r>
              <w:rPr>
                <w:b/>
                <w:w w:val="95"/>
                <w:sz w:val="18"/>
              </w:rPr>
              <w:t>11,909</w:t>
            </w:r>
          </w:p>
        </w:tc>
        <w:tc>
          <w:tcPr>
            <w:tcW w:w="1448" w:type="dxa"/>
          </w:tcPr>
          <w:p>
            <w:pPr>
              <w:pStyle w:val="TableParagraph"/>
              <w:spacing w:before="11"/>
              <w:rPr>
                <w:b/>
                <w:sz w:val="25"/>
              </w:rPr>
            </w:pPr>
          </w:p>
          <w:p>
            <w:pPr>
              <w:pStyle w:val="TableParagraph"/>
              <w:ind w:left="519"/>
              <w:rPr>
                <w:b/>
                <w:sz w:val="18"/>
              </w:rPr>
            </w:pPr>
            <w:r>
              <w:rPr>
                <w:b/>
                <w:sz w:val="18"/>
              </w:rPr>
              <w:t>354,635</w:t>
            </w:r>
          </w:p>
        </w:tc>
        <w:tc>
          <w:tcPr>
            <w:tcW w:w="1104" w:type="dxa"/>
          </w:tcPr>
          <w:p>
            <w:pPr>
              <w:pStyle w:val="TableParagraph"/>
              <w:spacing w:before="11"/>
              <w:rPr>
                <w:b/>
                <w:sz w:val="25"/>
              </w:rPr>
            </w:pPr>
          </w:p>
          <w:p>
            <w:pPr>
              <w:pStyle w:val="TableParagraph"/>
              <w:ind w:left="218"/>
              <w:rPr>
                <w:b/>
                <w:sz w:val="18"/>
              </w:rPr>
            </w:pPr>
            <w:r>
              <w:rPr>
                <w:b/>
                <w:sz w:val="18"/>
              </w:rPr>
              <w:t>1,558,490</w:t>
            </w:r>
          </w:p>
        </w:tc>
      </w:tr>
      <w:tr>
        <w:trPr>
          <w:trHeight w:val="264" w:hRule="exact"/>
        </w:trPr>
        <w:tc>
          <w:tcPr>
            <w:tcW w:w="3628" w:type="dxa"/>
          </w:tcPr>
          <w:p>
            <w:pPr>
              <w:pStyle w:val="TableParagraph"/>
              <w:spacing w:before="19"/>
              <w:ind w:left="35"/>
              <w:rPr>
                <w:sz w:val="18"/>
              </w:rPr>
            </w:pPr>
            <w:r>
              <w:rPr>
                <w:sz w:val="18"/>
              </w:rPr>
              <w:t>Additions</w:t>
            </w:r>
          </w:p>
        </w:tc>
        <w:tc>
          <w:tcPr>
            <w:tcW w:w="1601" w:type="dxa"/>
          </w:tcPr>
          <w:p>
            <w:pPr>
              <w:pStyle w:val="TableParagraph"/>
              <w:spacing w:before="18"/>
              <w:ind w:right="218"/>
              <w:jc w:val="right"/>
              <w:rPr>
                <w:b/>
                <w:sz w:val="18"/>
              </w:rPr>
            </w:pPr>
            <w:r>
              <w:rPr>
                <w:b/>
                <w:w w:val="95"/>
                <w:sz w:val="18"/>
              </w:rPr>
              <w:t>474,726</w:t>
            </w:r>
          </w:p>
        </w:tc>
        <w:tc>
          <w:tcPr>
            <w:tcW w:w="1204" w:type="dxa"/>
          </w:tcPr>
          <w:p>
            <w:pPr>
              <w:pStyle w:val="TableParagraph"/>
              <w:spacing w:before="18"/>
              <w:ind w:right="202"/>
              <w:jc w:val="center"/>
              <w:rPr>
                <w:b/>
                <w:sz w:val="18"/>
              </w:rPr>
            </w:pPr>
            <w:r>
              <w:rPr>
                <w:b/>
                <w:w w:val="99"/>
                <w:sz w:val="18"/>
              </w:rPr>
              <w:t>-</w:t>
            </w:r>
          </w:p>
        </w:tc>
        <w:tc>
          <w:tcPr>
            <w:tcW w:w="1448" w:type="dxa"/>
          </w:tcPr>
          <w:p>
            <w:pPr>
              <w:pStyle w:val="TableParagraph"/>
              <w:spacing w:before="18"/>
              <w:ind w:left="519"/>
              <w:rPr>
                <w:b/>
                <w:sz w:val="18"/>
              </w:rPr>
            </w:pPr>
            <w:r>
              <w:rPr>
                <w:b/>
                <w:sz w:val="18"/>
              </w:rPr>
              <w:t>574,917</w:t>
            </w:r>
          </w:p>
        </w:tc>
        <w:tc>
          <w:tcPr>
            <w:tcW w:w="1104" w:type="dxa"/>
          </w:tcPr>
          <w:p>
            <w:pPr>
              <w:pStyle w:val="TableParagraph"/>
              <w:spacing w:before="18"/>
              <w:ind w:left="218"/>
              <w:rPr>
                <w:b/>
                <w:sz w:val="18"/>
              </w:rPr>
            </w:pPr>
            <w:r>
              <w:rPr>
                <w:b/>
                <w:sz w:val="18"/>
              </w:rPr>
              <w:t>1,049,643</w:t>
            </w:r>
          </w:p>
        </w:tc>
      </w:tr>
      <w:tr>
        <w:trPr>
          <w:trHeight w:val="264" w:hRule="exact"/>
        </w:trPr>
        <w:tc>
          <w:tcPr>
            <w:tcW w:w="3628" w:type="dxa"/>
          </w:tcPr>
          <w:p>
            <w:pPr>
              <w:pStyle w:val="TableParagraph"/>
              <w:spacing w:before="19"/>
              <w:ind w:left="35"/>
              <w:rPr>
                <w:sz w:val="18"/>
              </w:rPr>
            </w:pPr>
            <w:r>
              <w:rPr>
                <w:sz w:val="18"/>
              </w:rPr>
              <w:t>Disposals</w:t>
            </w:r>
          </w:p>
        </w:tc>
        <w:tc>
          <w:tcPr>
            <w:tcW w:w="1601" w:type="dxa"/>
          </w:tcPr>
          <w:p>
            <w:pPr>
              <w:pStyle w:val="TableParagraph"/>
              <w:spacing w:before="18"/>
              <w:ind w:left="6"/>
              <w:jc w:val="center"/>
              <w:rPr>
                <w:b/>
                <w:sz w:val="18"/>
              </w:rPr>
            </w:pPr>
            <w:r>
              <w:rPr>
                <w:b/>
                <w:w w:val="99"/>
                <w:sz w:val="18"/>
              </w:rPr>
              <w:t>-</w:t>
            </w:r>
          </w:p>
        </w:tc>
        <w:tc>
          <w:tcPr>
            <w:tcW w:w="1204" w:type="dxa"/>
          </w:tcPr>
          <w:p>
            <w:pPr>
              <w:pStyle w:val="TableParagraph"/>
              <w:spacing w:before="18"/>
              <w:ind w:right="202"/>
              <w:jc w:val="center"/>
              <w:rPr>
                <w:b/>
                <w:sz w:val="18"/>
              </w:rPr>
            </w:pPr>
            <w:r>
              <w:rPr>
                <w:b/>
                <w:w w:val="99"/>
                <w:sz w:val="18"/>
              </w:rPr>
              <w:t>-</w:t>
            </w:r>
          </w:p>
        </w:tc>
        <w:tc>
          <w:tcPr>
            <w:tcW w:w="1448" w:type="dxa"/>
          </w:tcPr>
          <w:p>
            <w:pPr>
              <w:pStyle w:val="TableParagraph"/>
              <w:spacing w:before="18"/>
              <w:ind w:right="216"/>
              <w:jc w:val="right"/>
              <w:rPr>
                <w:b/>
                <w:sz w:val="18"/>
              </w:rPr>
            </w:pPr>
            <w:r>
              <w:rPr>
                <w:b/>
                <w:w w:val="95"/>
                <w:sz w:val="18"/>
              </w:rPr>
              <w:t>(211,608)</w:t>
            </w:r>
          </w:p>
        </w:tc>
        <w:tc>
          <w:tcPr>
            <w:tcW w:w="1104" w:type="dxa"/>
          </w:tcPr>
          <w:p>
            <w:pPr>
              <w:pStyle w:val="TableParagraph"/>
              <w:spacing w:before="18"/>
              <w:ind w:right="23"/>
              <w:jc w:val="right"/>
              <w:rPr>
                <w:b/>
                <w:sz w:val="18"/>
              </w:rPr>
            </w:pPr>
            <w:r>
              <w:rPr>
                <w:b/>
                <w:w w:val="95"/>
                <w:sz w:val="18"/>
              </w:rPr>
              <w:t>(211,608)</w:t>
            </w:r>
          </w:p>
        </w:tc>
      </w:tr>
      <w:tr>
        <w:trPr>
          <w:trHeight w:val="264" w:hRule="exact"/>
        </w:trPr>
        <w:tc>
          <w:tcPr>
            <w:tcW w:w="3628" w:type="dxa"/>
          </w:tcPr>
          <w:p>
            <w:pPr>
              <w:pStyle w:val="TableParagraph"/>
              <w:spacing w:before="19"/>
              <w:ind w:left="35"/>
              <w:rPr>
                <w:sz w:val="18"/>
              </w:rPr>
            </w:pPr>
            <w:r>
              <w:rPr>
                <w:sz w:val="18"/>
              </w:rPr>
              <w:t>Transfers</w:t>
            </w:r>
          </w:p>
        </w:tc>
        <w:tc>
          <w:tcPr>
            <w:tcW w:w="1601" w:type="dxa"/>
          </w:tcPr>
          <w:p>
            <w:pPr>
              <w:pStyle w:val="TableParagraph"/>
              <w:spacing w:before="18"/>
              <w:ind w:left="6"/>
              <w:jc w:val="center"/>
              <w:rPr>
                <w:b/>
                <w:sz w:val="18"/>
              </w:rPr>
            </w:pPr>
            <w:r>
              <w:rPr>
                <w:b/>
                <w:w w:val="99"/>
                <w:sz w:val="18"/>
              </w:rPr>
              <w:t>-</w:t>
            </w:r>
          </w:p>
        </w:tc>
        <w:tc>
          <w:tcPr>
            <w:tcW w:w="1204" w:type="dxa"/>
          </w:tcPr>
          <w:p>
            <w:pPr>
              <w:pStyle w:val="TableParagraph"/>
              <w:spacing w:before="18"/>
              <w:ind w:right="202"/>
              <w:jc w:val="center"/>
              <w:rPr>
                <w:b/>
                <w:sz w:val="18"/>
              </w:rPr>
            </w:pPr>
            <w:r>
              <w:rPr>
                <w:b/>
                <w:w w:val="99"/>
                <w:sz w:val="18"/>
              </w:rPr>
              <w:t>-</w:t>
            </w:r>
          </w:p>
        </w:tc>
        <w:tc>
          <w:tcPr>
            <w:tcW w:w="1448" w:type="dxa"/>
          </w:tcPr>
          <w:p>
            <w:pPr>
              <w:pStyle w:val="TableParagraph"/>
              <w:spacing w:before="18"/>
              <w:ind w:left="619"/>
              <w:rPr>
                <w:b/>
                <w:sz w:val="18"/>
              </w:rPr>
            </w:pPr>
            <w:r>
              <w:rPr>
                <w:b/>
                <w:sz w:val="18"/>
              </w:rPr>
              <w:t>21,987</w:t>
            </w:r>
          </w:p>
        </w:tc>
        <w:tc>
          <w:tcPr>
            <w:tcW w:w="1104" w:type="dxa"/>
          </w:tcPr>
          <w:p>
            <w:pPr>
              <w:pStyle w:val="TableParagraph"/>
              <w:spacing w:before="18"/>
              <w:ind w:right="83"/>
              <w:jc w:val="right"/>
              <w:rPr>
                <w:b/>
                <w:sz w:val="18"/>
              </w:rPr>
            </w:pPr>
            <w:r>
              <w:rPr>
                <w:b/>
                <w:w w:val="95"/>
                <w:sz w:val="18"/>
              </w:rPr>
              <w:t>21,987</w:t>
            </w:r>
          </w:p>
        </w:tc>
      </w:tr>
      <w:tr>
        <w:trPr>
          <w:trHeight w:val="263" w:hRule="exact"/>
        </w:trPr>
        <w:tc>
          <w:tcPr>
            <w:tcW w:w="3628" w:type="dxa"/>
          </w:tcPr>
          <w:p>
            <w:pPr>
              <w:pStyle w:val="TableParagraph"/>
              <w:spacing w:before="19"/>
              <w:ind w:left="35"/>
              <w:rPr>
                <w:sz w:val="18"/>
              </w:rPr>
            </w:pPr>
            <w:r>
              <w:rPr>
                <w:sz w:val="18"/>
              </w:rPr>
              <w:t>Depreciation expense</w:t>
            </w:r>
          </w:p>
        </w:tc>
        <w:tc>
          <w:tcPr>
            <w:tcW w:w="1601" w:type="dxa"/>
            <w:tcBorders>
              <w:bottom w:val="single" w:sz="0" w:space="0" w:color="000000"/>
            </w:tcBorders>
          </w:tcPr>
          <w:p>
            <w:pPr>
              <w:pStyle w:val="TableParagraph"/>
              <w:spacing w:before="18"/>
              <w:ind w:right="158"/>
              <w:jc w:val="right"/>
              <w:rPr>
                <w:b/>
                <w:sz w:val="18"/>
              </w:rPr>
            </w:pPr>
            <w:r>
              <w:rPr>
                <w:b/>
                <w:w w:val="95"/>
                <w:sz w:val="18"/>
              </w:rPr>
              <w:t>(591,144)</w:t>
            </w:r>
          </w:p>
        </w:tc>
        <w:tc>
          <w:tcPr>
            <w:tcW w:w="1204" w:type="dxa"/>
            <w:tcBorders>
              <w:bottom w:val="single" w:sz="0" w:space="0" w:color="000000"/>
            </w:tcBorders>
          </w:tcPr>
          <w:p>
            <w:pPr>
              <w:pStyle w:val="TableParagraph"/>
              <w:spacing w:before="18"/>
              <w:ind w:right="202"/>
              <w:jc w:val="center"/>
              <w:rPr>
                <w:b/>
                <w:sz w:val="18"/>
              </w:rPr>
            </w:pPr>
            <w:r>
              <w:rPr>
                <w:b/>
                <w:w w:val="99"/>
                <w:sz w:val="18"/>
              </w:rPr>
              <w:t>-</w:t>
            </w:r>
          </w:p>
        </w:tc>
        <w:tc>
          <w:tcPr>
            <w:tcW w:w="1448" w:type="dxa"/>
            <w:tcBorders>
              <w:bottom w:val="single" w:sz="0" w:space="0" w:color="000000"/>
            </w:tcBorders>
          </w:tcPr>
          <w:p>
            <w:pPr>
              <w:pStyle w:val="TableParagraph"/>
              <w:spacing w:before="18"/>
              <w:ind w:right="216"/>
              <w:jc w:val="right"/>
              <w:rPr>
                <w:b/>
                <w:sz w:val="18"/>
              </w:rPr>
            </w:pPr>
            <w:r>
              <w:rPr>
                <w:b/>
                <w:w w:val="95"/>
                <w:sz w:val="18"/>
              </w:rPr>
              <w:t>(132,249)</w:t>
            </w:r>
          </w:p>
        </w:tc>
        <w:tc>
          <w:tcPr>
            <w:tcW w:w="1104" w:type="dxa"/>
            <w:tcBorders>
              <w:bottom w:val="single" w:sz="0" w:space="0" w:color="000000"/>
            </w:tcBorders>
          </w:tcPr>
          <w:p>
            <w:pPr>
              <w:pStyle w:val="TableParagraph"/>
              <w:spacing w:before="18"/>
              <w:ind w:right="23"/>
              <w:jc w:val="right"/>
              <w:rPr>
                <w:b/>
                <w:sz w:val="18"/>
              </w:rPr>
            </w:pPr>
            <w:r>
              <w:rPr>
                <w:b/>
                <w:w w:val="95"/>
                <w:sz w:val="18"/>
              </w:rPr>
              <w:t>(723,393)</w:t>
            </w:r>
          </w:p>
        </w:tc>
      </w:tr>
      <w:tr>
        <w:trPr>
          <w:trHeight w:val="353" w:hRule="exact"/>
        </w:trPr>
        <w:tc>
          <w:tcPr>
            <w:tcW w:w="3628" w:type="dxa"/>
          </w:tcPr>
          <w:p>
            <w:pPr>
              <w:pStyle w:val="TableParagraph"/>
              <w:spacing w:before="123"/>
              <w:ind w:left="35"/>
              <w:rPr>
                <w:b/>
                <w:sz w:val="18"/>
              </w:rPr>
            </w:pPr>
            <w:r>
              <w:rPr>
                <w:b/>
                <w:sz w:val="18"/>
              </w:rPr>
              <w:t>Balance at 31 December 2012</w:t>
            </w:r>
          </w:p>
        </w:tc>
        <w:tc>
          <w:tcPr>
            <w:tcW w:w="1601" w:type="dxa"/>
            <w:tcBorders>
              <w:top w:val="single" w:sz="0" w:space="0" w:color="000000"/>
              <w:bottom w:val="single" w:sz="0" w:space="0" w:color="000000"/>
            </w:tcBorders>
          </w:tcPr>
          <w:p>
            <w:pPr>
              <w:pStyle w:val="TableParagraph"/>
              <w:spacing w:before="38"/>
              <w:ind w:right="219"/>
              <w:jc w:val="right"/>
              <w:rPr>
                <w:b/>
                <w:sz w:val="18"/>
              </w:rPr>
            </w:pPr>
            <w:r>
              <w:rPr>
                <w:b/>
                <w:w w:val="95"/>
                <w:sz w:val="18"/>
              </w:rPr>
              <w:t>1,075,528</w:t>
            </w:r>
          </w:p>
        </w:tc>
        <w:tc>
          <w:tcPr>
            <w:tcW w:w="1204" w:type="dxa"/>
            <w:tcBorders>
              <w:top w:val="single" w:sz="0" w:space="0" w:color="000000"/>
              <w:bottom w:val="single" w:sz="0" w:space="0" w:color="000000"/>
            </w:tcBorders>
          </w:tcPr>
          <w:p>
            <w:pPr>
              <w:pStyle w:val="TableParagraph"/>
              <w:spacing w:before="38"/>
              <w:ind w:right="125"/>
              <w:jc w:val="right"/>
              <w:rPr>
                <w:b/>
                <w:sz w:val="18"/>
              </w:rPr>
            </w:pPr>
            <w:r>
              <w:rPr>
                <w:b/>
                <w:w w:val="95"/>
                <w:sz w:val="18"/>
              </w:rPr>
              <w:t>11,909</w:t>
            </w:r>
          </w:p>
        </w:tc>
        <w:tc>
          <w:tcPr>
            <w:tcW w:w="1448" w:type="dxa"/>
            <w:tcBorders>
              <w:top w:val="single" w:sz="0" w:space="0" w:color="000000"/>
              <w:bottom w:val="single" w:sz="0" w:space="0" w:color="000000"/>
            </w:tcBorders>
          </w:tcPr>
          <w:p>
            <w:pPr>
              <w:pStyle w:val="TableParagraph"/>
              <w:spacing w:before="38"/>
              <w:ind w:left="519"/>
              <w:rPr>
                <w:b/>
                <w:sz w:val="18"/>
              </w:rPr>
            </w:pPr>
            <w:r>
              <w:rPr>
                <w:b/>
                <w:sz w:val="18"/>
              </w:rPr>
              <w:t>607,682</w:t>
            </w:r>
          </w:p>
        </w:tc>
        <w:tc>
          <w:tcPr>
            <w:tcW w:w="1104" w:type="dxa"/>
            <w:tcBorders>
              <w:top w:val="single" w:sz="0" w:space="0" w:color="000000"/>
              <w:bottom w:val="single" w:sz="0" w:space="0" w:color="000000"/>
            </w:tcBorders>
          </w:tcPr>
          <w:p>
            <w:pPr>
              <w:pStyle w:val="TableParagraph"/>
              <w:spacing w:before="38"/>
              <w:ind w:left="218"/>
              <w:rPr>
                <w:b/>
                <w:sz w:val="18"/>
              </w:rPr>
            </w:pPr>
            <w:r>
              <w:rPr>
                <w:b/>
                <w:sz w:val="18"/>
              </w:rPr>
              <w:t>1,695,119</w:t>
            </w:r>
          </w:p>
        </w:tc>
      </w:tr>
      <w:tr>
        <w:trPr>
          <w:trHeight w:val="938" w:hRule="exact"/>
        </w:trPr>
        <w:tc>
          <w:tcPr>
            <w:tcW w:w="3628" w:type="dxa"/>
          </w:tcPr>
          <w:p>
            <w:pPr>
              <w:pStyle w:val="TableParagraph"/>
              <w:rPr>
                <w:b/>
                <w:sz w:val="18"/>
              </w:rPr>
            </w:pPr>
          </w:p>
          <w:p>
            <w:pPr>
              <w:pStyle w:val="TableParagraph"/>
              <w:spacing w:before="9"/>
              <w:rPr>
                <w:b/>
                <w:sz w:val="21"/>
              </w:rPr>
            </w:pPr>
          </w:p>
          <w:p>
            <w:pPr>
              <w:pStyle w:val="TableParagraph"/>
              <w:ind w:left="35"/>
              <w:rPr>
                <w:b/>
                <w:sz w:val="18"/>
              </w:rPr>
            </w:pPr>
            <w:r>
              <w:rPr>
                <w:b/>
                <w:sz w:val="18"/>
              </w:rPr>
              <w:t>2011</w:t>
            </w:r>
          </w:p>
          <w:p>
            <w:pPr>
              <w:pStyle w:val="TableParagraph"/>
              <w:spacing w:before="29"/>
              <w:ind w:left="35"/>
              <w:rPr>
                <w:sz w:val="18"/>
              </w:rPr>
            </w:pPr>
            <w:r>
              <w:rPr>
                <w:sz w:val="18"/>
              </w:rPr>
              <w:t>Balance at the beginning of year</w:t>
            </w:r>
          </w:p>
        </w:tc>
        <w:tc>
          <w:tcPr>
            <w:tcW w:w="1601" w:type="dxa"/>
            <w:tcBorders>
              <w:top w:val="single" w:sz="0" w:space="0" w:color="000000"/>
            </w:tcBorders>
          </w:tcPr>
          <w:p>
            <w:pPr>
              <w:pStyle w:val="TableParagraph"/>
              <w:rPr>
                <w:b/>
                <w:sz w:val="18"/>
              </w:rPr>
            </w:pPr>
          </w:p>
          <w:p>
            <w:pPr>
              <w:pStyle w:val="TableParagraph"/>
              <w:rPr>
                <w:b/>
                <w:sz w:val="18"/>
              </w:rPr>
            </w:pPr>
          </w:p>
          <w:p>
            <w:pPr>
              <w:pStyle w:val="TableParagraph"/>
              <w:spacing w:before="2"/>
              <w:rPr>
                <w:b/>
                <w:sz w:val="24"/>
              </w:rPr>
            </w:pPr>
          </w:p>
          <w:p>
            <w:pPr>
              <w:pStyle w:val="TableParagraph"/>
              <w:ind w:right="218"/>
              <w:jc w:val="right"/>
              <w:rPr>
                <w:sz w:val="18"/>
              </w:rPr>
            </w:pPr>
            <w:r>
              <w:rPr>
                <w:w w:val="95"/>
                <w:sz w:val="18"/>
              </w:rPr>
              <w:t>950,747</w:t>
            </w:r>
          </w:p>
        </w:tc>
        <w:tc>
          <w:tcPr>
            <w:tcW w:w="1204" w:type="dxa"/>
            <w:tcBorders>
              <w:top w:val="single" w:sz="0" w:space="0" w:color="000000"/>
            </w:tcBorders>
          </w:tcPr>
          <w:p>
            <w:pPr>
              <w:pStyle w:val="TableParagraph"/>
              <w:rPr>
                <w:b/>
                <w:sz w:val="18"/>
              </w:rPr>
            </w:pPr>
          </w:p>
          <w:p>
            <w:pPr>
              <w:pStyle w:val="TableParagraph"/>
              <w:rPr>
                <w:b/>
                <w:sz w:val="18"/>
              </w:rPr>
            </w:pPr>
          </w:p>
          <w:p>
            <w:pPr>
              <w:pStyle w:val="TableParagraph"/>
              <w:spacing w:before="2"/>
              <w:rPr>
                <w:b/>
                <w:sz w:val="24"/>
              </w:rPr>
            </w:pPr>
          </w:p>
          <w:p>
            <w:pPr>
              <w:pStyle w:val="TableParagraph"/>
              <w:ind w:right="125"/>
              <w:jc w:val="right"/>
              <w:rPr>
                <w:sz w:val="18"/>
              </w:rPr>
            </w:pPr>
            <w:r>
              <w:rPr>
                <w:w w:val="95"/>
                <w:sz w:val="18"/>
              </w:rPr>
              <w:t>11,909</w:t>
            </w:r>
          </w:p>
        </w:tc>
        <w:tc>
          <w:tcPr>
            <w:tcW w:w="1448" w:type="dxa"/>
            <w:tcBorders>
              <w:top w:val="single" w:sz="0" w:space="0" w:color="000000"/>
            </w:tcBorders>
          </w:tcPr>
          <w:p>
            <w:pPr>
              <w:pStyle w:val="TableParagraph"/>
              <w:rPr>
                <w:b/>
                <w:sz w:val="18"/>
              </w:rPr>
            </w:pPr>
          </w:p>
          <w:p>
            <w:pPr>
              <w:pStyle w:val="TableParagraph"/>
              <w:rPr>
                <w:b/>
                <w:sz w:val="18"/>
              </w:rPr>
            </w:pPr>
          </w:p>
          <w:p>
            <w:pPr>
              <w:pStyle w:val="TableParagraph"/>
              <w:spacing w:before="2"/>
              <w:rPr>
                <w:b/>
                <w:sz w:val="24"/>
              </w:rPr>
            </w:pPr>
          </w:p>
          <w:p>
            <w:pPr>
              <w:pStyle w:val="TableParagraph"/>
              <w:ind w:left="519"/>
              <w:rPr>
                <w:sz w:val="18"/>
              </w:rPr>
            </w:pPr>
            <w:r>
              <w:rPr>
                <w:sz w:val="18"/>
              </w:rPr>
              <w:t>391,207</w:t>
            </w:r>
          </w:p>
        </w:tc>
        <w:tc>
          <w:tcPr>
            <w:tcW w:w="1104" w:type="dxa"/>
            <w:tcBorders>
              <w:top w:val="single" w:sz="0" w:space="0" w:color="000000"/>
            </w:tcBorders>
          </w:tcPr>
          <w:p>
            <w:pPr>
              <w:pStyle w:val="TableParagraph"/>
              <w:rPr>
                <w:b/>
                <w:sz w:val="18"/>
              </w:rPr>
            </w:pPr>
          </w:p>
          <w:p>
            <w:pPr>
              <w:pStyle w:val="TableParagraph"/>
              <w:rPr>
                <w:b/>
                <w:sz w:val="18"/>
              </w:rPr>
            </w:pPr>
          </w:p>
          <w:p>
            <w:pPr>
              <w:pStyle w:val="TableParagraph"/>
              <w:spacing w:before="2"/>
              <w:rPr>
                <w:b/>
                <w:sz w:val="24"/>
              </w:rPr>
            </w:pPr>
          </w:p>
          <w:p>
            <w:pPr>
              <w:pStyle w:val="TableParagraph"/>
              <w:ind w:left="218"/>
              <w:rPr>
                <w:sz w:val="18"/>
              </w:rPr>
            </w:pPr>
            <w:r>
              <w:rPr>
                <w:sz w:val="18"/>
              </w:rPr>
              <w:t>1,353,863</w:t>
            </w:r>
          </w:p>
        </w:tc>
      </w:tr>
      <w:tr>
        <w:trPr>
          <w:trHeight w:val="264" w:hRule="exact"/>
        </w:trPr>
        <w:tc>
          <w:tcPr>
            <w:tcW w:w="3628" w:type="dxa"/>
          </w:tcPr>
          <w:p>
            <w:pPr>
              <w:pStyle w:val="TableParagraph"/>
              <w:spacing w:before="19"/>
              <w:ind w:left="35"/>
              <w:rPr>
                <w:sz w:val="18"/>
              </w:rPr>
            </w:pPr>
            <w:r>
              <w:rPr>
                <w:sz w:val="18"/>
              </w:rPr>
              <w:t>Additions</w:t>
            </w:r>
          </w:p>
        </w:tc>
        <w:tc>
          <w:tcPr>
            <w:tcW w:w="1601" w:type="dxa"/>
          </w:tcPr>
          <w:p>
            <w:pPr>
              <w:pStyle w:val="TableParagraph"/>
              <w:spacing w:before="18"/>
              <w:ind w:right="218"/>
              <w:jc w:val="right"/>
              <w:rPr>
                <w:sz w:val="18"/>
              </w:rPr>
            </w:pPr>
            <w:r>
              <w:rPr>
                <w:w w:val="95"/>
                <w:sz w:val="18"/>
              </w:rPr>
              <w:t>558,760</w:t>
            </w:r>
          </w:p>
        </w:tc>
        <w:tc>
          <w:tcPr>
            <w:tcW w:w="1204" w:type="dxa"/>
          </w:tcPr>
          <w:p>
            <w:pPr>
              <w:pStyle w:val="TableParagraph"/>
              <w:spacing w:before="18"/>
              <w:ind w:right="202"/>
              <w:jc w:val="center"/>
              <w:rPr>
                <w:sz w:val="18"/>
              </w:rPr>
            </w:pPr>
            <w:r>
              <w:rPr>
                <w:w w:val="99"/>
                <w:sz w:val="18"/>
              </w:rPr>
              <w:t>-</w:t>
            </w:r>
          </w:p>
        </w:tc>
        <w:tc>
          <w:tcPr>
            <w:tcW w:w="1448" w:type="dxa"/>
          </w:tcPr>
          <w:p>
            <w:pPr>
              <w:pStyle w:val="TableParagraph"/>
              <w:spacing w:before="18"/>
              <w:ind w:left="519"/>
              <w:rPr>
                <w:sz w:val="18"/>
              </w:rPr>
            </w:pPr>
            <w:r>
              <w:rPr>
                <w:sz w:val="18"/>
              </w:rPr>
              <w:t>242,119</w:t>
            </w:r>
          </w:p>
        </w:tc>
        <w:tc>
          <w:tcPr>
            <w:tcW w:w="1104" w:type="dxa"/>
          </w:tcPr>
          <w:p>
            <w:pPr>
              <w:pStyle w:val="TableParagraph"/>
              <w:spacing w:before="18"/>
              <w:ind w:left="368"/>
              <w:rPr>
                <w:sz w:val="18"/>
              </w:rPr>
            </w:pPr>
            <w:r>
              <w:rPr>
                <w:sz w:val="18"/>
              </w:rPr>
              <w:t>800,879</w:t>
            </w:r>
          </w:p>
        </w:tc>
      </w:tr>
      <w:tr>
        <w:trPr>
          <w:trHeight w:val="264" w:hRule="exact"/>
        </w:trPr>
        <w:tc>
          <w:tcPr>
            <w:tcW w:w="3628" w:type="dxa"/>
          </w:tcPr>
          <w:p>
            <w:pPr>
              <w:pStyle w:val="TableParagraph"/>
              <w:spacing w:before="19"/>
              <w:ind w:left="35"/>
              <w:rPr>
                <w:sz w:val="18"/>
              </w:rPr>
            </w:pPr>
            <w:r>
              <w:rPr>
                <w:sz w:val="18"/>
              </w:rPr>
              <w:t>Disposals</w:t>
            </w:r>
          </w:p>
        </w:tc>
        <w:tc>
          <w:tcPr>
            <w:tcW w:w="1601" w:type="dxa"/>
          </w:tcPr>
          <w:p>
            <w:pPr>
              <w:pStyle w:val="TableParagraph"/>
              <w:spacing w:before="18"/>
              <w:ind w:left="6"/>
              <w:jc w:val="center"/>
              <w:rPr>
                <w:sz w:val="18"/>
              </w:rPr>
            </w:pPr>
            <w:r>
              <w:rPr>
                <w:w w:val="99"/>
                <w:sz w:val="18"/>
              </w:rPr>
              <w:t>-</w:t>
            </w:r>
          </w:p>
        </w:tc>
        <w:tc>
          <w:tcPr>
            <w:tcW w:w="1204" w:type="dxa"/>
          </w:tcPr>
          <w:p>
            <w:pPr>
              <w:pStyle w:val="TableParagraph"/>
              <w:spacing w:before="18"/>
              <w:ind w:right="202"/>
              <w:jc w:val="center"/>
              <w:rPr>
                <w:sz w:val="18"/>
              </w:rPr>
            </w:pPr>
            <w:r>
              <w:rPr>
                <w:w w:val="99"/>
                <w:sz w:val="18"/>
              </w:rPr>
              <w:t>-</w:t>
            </w:r>
          </w:p>
        </w:tc>
        <w:tc>
          <w:tcPr>
            <w:tcW w:w="1448" w:type="dxa"/>
          </w:tcPr>
          <w:p>
            <w:pPr>
              <w:pStyle w:val="TableParagraph"/>
              <w:spacing w:before="18"/>
              <w:ind w:right="216"/>
              <w:jc w:val="right"/>
              <w:rPr>
                <w:sz w:val="18"/>
              </w:rPr>
            </w:pPr>
            <w:r>
              <w:rPr>
                <w:w w:val="95"/>
                <w:sz w:val="18"/>
              </w:rPr>
              <w:t>(208,857)</w:t>
            </w:r>
          </w:p>
        </w:tc>
        <w:tc>
          <w:tcPr>
            <w:tcW w:w="1104" w:type="dxa"/>
          </w:tcPr>
          <w:p>
            <w:pPr>
              <w:pStyle w:val="TableParagraph"/>
              <w:spacing w:before="18"/>
              <w:ind w:right="23"/>
              <w:jc w:val="right"/>
              <w:rPr>
                <w:sz w:val="18"/>
              </w:rPr>
            </w:pPr>
            <w:r>
              <w:rPr>
                <w:w w:val="95"/>
                <w:sz w:val="18"/>
              </w:rPr>
              <w:t>(208,857)</w:t>
            </w:r>
          </w:p>
        </w:tc>
      </w:tr>
      <w:tr>
        <w:trPr>
          <w:trHeight w:val="262" w:hRule="exact"/>
        </w:trPr>
        <w:tc>
          <w:tcPr>
            <w:tcW w:w="5229" w:type="dxa"/>
            <w:gridSpan w:val="2"/>
          </w:tcPr>
          <w:p>
            <w:pPr>
              <w:pStyle w:val="TableParagraph"/>
              <w:tabs>
                <w:tab w:pos="4298" w:val="left" w:leader="none"/>
              </w:tabs>
              <w:spacing w:before="19"/>
              <w:ind w:left="35"/>
              <w:rPr>
                <w:sz w:val="18"/>
              </w:rPr>
            </w:pPr>
            <w:r>
              <w:rPr>
                <w:sz w:val="18"/>
              </w:rPr>
              <w:t>Depreciation</w:t>
            </w:r>
            <w:r>
              <w:rPr>
                <w:spacing w:val="-1"/>
                <w:sz w:val="18"/>
              </w:rPr>
              <w:t> </w:t>
            </w:r>
            <w:r>
              <w:rPr>
                <w:sz w:val="18"/>
              </w:rPr>
              <w:t>expense</w:t>
              <w:tab/>
              <w:t>(317,561)</w:t>
            </w:r>
          </w:p>
        </w:tc>
        <w:tc>
          <w:tcPr>
            <w:tcW w:w="1204" w:type="dxa"/>
            <w:tcBorders>
              <w:bottom w:val="single" w:sz="0" w:space="0" w:color="000000"/>
            </w:tcBorders>
          </w:tcPr>
          <w:p>
            <w:pPr>
              <w:pStyle w:val="TableParagraph"/>
              <w:spacing w:before="18"/>
              <w:ind w:right="202"/>
              <w:jc w:val="center"/>
              <w:rPr>
                <w:sz w:val="18"/>
              </w:rPr>
            </w:pPr>
            <w:r>
              <w:rPr>
                <w:w w:val="99"/>
                <w:sz w:val="18"/>
              </w:rPr>
              <w:t>-</w:t>
            </w:r>
          </w:p>
        </w:tc>
        <w:tc>
          <w:tcPr>
            <w:tcW w:w="1448" w:type="dxa"/>
            <w:tcBorders>
              <w:bottom w:val="single" w:sz="0" w:space="0" w:color="000000"/>
            </w:tcBorders>
          </w:tcPr>
          <w:p>
            <w:pPr>
              <w:pStyle w:val="TableParagraph"/>
              <w:spacing w:before="18"/>
              <w:ind w:right="216"/>
              <w:jc w:val="right"/>
              <w:rPr>
                <w:sz w:val="18"/>
              </w:rPr>
            </w:pPr>
            <w:r>
              <w:rPr>
                <w:w w:val="95"/>
                <w:sz w:val="18"/>
              </w:rPr>
              <w:t>(69,834)</w:t>
            </w:r>
          </w:p>
        </w:tc>
        <w:tc>
          <w:tcPr>
            <w:tcW w:w="1104" w:type="dxa"/>
            <w:tcBorders>
              <w:bottom w:val="single" w:sz="0" w:space="0" w:color="000000"/>
            </w:tcBorders>
          </w:tcPr>
          <w:p>
            <w:pPr>
              <w:pStyle w:val="TableParagraph"/>
              <w:spacing w:before="18"/>
              <w:ind w:right="23"/>
              <w:jc w:val="right"/>
              <w:rPr>
                <w:sz w:val="18"/>
              </w:rPr>
            </w:pPr>
            <w:r>
              <w:rPr>
                <w:w w:val="95"/>
                <w:sz w:val="18"/>
              </w:rPr>
              <w:t>(387,395)</w:t>
            </w:r>
          </w:p>
        </w:tc>
      </w:tr>
      <w:tr>
        <w:trPr>
          <w:trHeight w:val="338" w:hRule="exact"/>
        </w:trPr>
        <w:tc>
          <w:tcPr>
            <w:tcW w:w="5229" w:type="dxa"/>
            <w:gridSpan w:val="2"/>
          </w:tcPr>
          <w:p>
            <w:pPr>
              <w:pStyle w:val="TableParagraph"/>
              <w:tabs>
                <w:tab w:pos="4208" w:val="left" w:leader="none"/>
              </w:tabs>
              <w:spacing w:before="43"/>
              <w:ind w:left="34"/>
              <w:rPr>
                <w:sz w:val="18"/>
              </w:rPr>
            </w:pPr>
            <w:r>
              <w:rPr>
                <w:b/>
                <w:sz w:val="18"/>
              </w:rPr>
              <w:t>Balance at 31</w:t>
            </w:r>
            <w:r>
              <w:rPr>
                <w:b/>
                <w:spacing w:val="-3"/>
                <w:sz w:val="18"/>
              </w:rPr>
              <w:t> </w:t>
            </w:r>
            <w:r>
              <w:rPr>
                <w:b/>
                <w:sz w:val="18"/>
              </w:rPr>
              <w:t>December</w:t>
            </w:r>
            <w:r>
              <w:rPr>
                <w:b/>
                <w:spacing w:val="-1"/>
                <w:sz w:val="18"/>
              </w:rPr>
              <w:t> </w:t>
            </w:r>
            <w:r>
              <w:rPr>
                <w:b/>
                <w:sz w:val="18"/>
              </w:rPr>
              <w:t>2011</w:t>
              <w:tab/>
            </w:r>
            <w:r>
              <w:rPr>
                <w:position w:val="8"/>
                <w:sz w:val="18"/>
              </w:rPr>
              <w:t>1,191,946</w:t>
            </w:r>
          </w:p>
        </w:tc>
        <w:tc>
          <w:tcPr>
            <w:tcW w:w="1204" w:type="dxa"/>
            <w:tcBorders>
              <w:top w:val="single" w:sz="0" w:space="0" w:color="000000"/>
              <w:bottom w:val="single" w:sz="0" w:space="0" w:color="000000"/>
            </w:tcBorders>
          </w:tcPr>
          <w:p>
            <w:pPr>
              <w:pStyle w:val="TableParagraph"/>
              <w:spacing w:before="38"/>
              <w:ind w:right="125"/>
              <w:jc w:val="right"/>
              <w:rPr>
                <w:sz w:val="18"/>
              </w:rPr>
            </w:pPr>
            <w:r>
              <w:rPr>
                <w:w w:val="95"/>
                <w:sz w:val="18"/>
              </w:rPr>
              <w:t>11,909</w:t>
            </w:r>
          </w:p>
        </w:tc>
        <w:tc>
          <w:tcPr>
            <w:tcW w:w="1448" w:type="dxa"/>
            <w:tcBorders>
              <w:top w:val="single" w:sz="0" w:space="0" w:color="000000"/>
              <w:bottom w:val="single" w:sz="0" w:space="0" w:color="000000"/>
            </w:tcBorders>
          </w:tcPr>
          <w:p>
            <w:pPr>
              <w:pStyle w:val="TableParagraph"/>
              <w:spacing w:before="38"/>
              <w:ind w:left="519"/>
              <w:rPr>
                <w:sz w:val="18"/>
              </w:rPr>
            </w:pPr>
            <w:r>
              <w:rPr>
                <w:sz w:val="18"/>
              </w:rPr>
              <w:t>354,635</w:t>
            </w:r>
          </w:p>
        </w:tc>
        <w:tc>
          <w:tcPr>
            <w:tcW w:w="1104" w:type="dxa"/>
            <w:tcBorders>
              <w:top w:val="single" w:sz="0" w:space="0" w:color="000000"/>
              <w:bottom w:val="single" w:sz="0" w:space="0" w:color="000000"/>
            </w:tcBorders>
          </w:tcPr>
          <w:p>
            <w:pPr>
              <w:pStyle w:val="TableParagraph"/>
              <w:spacing w:before="38"/>
              <w:ind w:left="218"/>
              <w:rPr>
                <w:sz w:val="18"/>
              </w:rPr>
            </w:pPr>
            <w:r>
              <w:rPr>
                <w:sz w:val="18"/>
              </w:rPr>
              <w:t>1,558,490</w:t>
            </w:r>
          </w:p>
        </w:tc>
      </w:tr>
    </w:tbl>
    <w:p>
      <w:pPr>
        <w:pStyle w:val="BodyText"/>
        <w:rPr>
          <w:b/>
          <w:sz w:val="20"/>
        </w:rPr>
      </w:pPr>
    </w:p>
    <w:p>
      <w:pPr>
        <w:pStyle w:val="BodyText"/>
        <w:rPr>
          <w:b/>
          <w:sz w:val="20"/>
        </w:rPr>
      </w:pPr>
    </w:p>
    <w:p>
      <w:pPr>
        <w:pStyle w:val="BodyText"/>
        <w:spacing w:before="3"/>
        <w:rPr>
          <w:b/>
          <w:sz w:val="22"/>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7074"/>
        <w:gridCol w:w="1482"/>
        <w:gridCol w:w="1112"/>
      </w:tblGrid>
      <w:tr>
        <w:trPr>
          <w:trHeight w:val="567" w:hRule="exact"/>
        </w:trPr>
        <w:tc>
          <w:tcPr>
            <w:tcW w:w="283" w:type="dxa"/>
          </w:tcPr>
          <w:p>
            <w:pPr>
              <w:pStyle w:val="TableParagraph"/>
              <w:spacing w:before="77"/>
              <w:ind w:left="35"/>
              <w:rPr>
                <w:b/>
                <w:sz w:val="18"/>
              </w:rPr>
            </w:pPr>
            <w:r>
              <w:rPr>
                <w:b/>
                <w:w w:val="99"/>
                <w:sz w:val="18"/>
              </w:rPr>
              <w:t>6</w:t>
            </w:r>
          </w:p>
        </w:tc>
        <w:tc>
          <w:tcPr>
            <w:tcW w:w="7074" w:type="dxa"/>
          </w:tcPr>
          <w:p>
            <w:pPr>
              <w:pStyle w:val="TableParagraph"/>
              <w:spacing w:before="77"/>
              <w:ind w:left="147"/>
              <w:rPr>
                <w:b/>
                <w:sz w:val="18"/>
              </w:rPr>
            </w:pPr>
            <w:r>
              <w:rPr>
                <w:b/>
                <w:sz w:val="18"/>
              </w:rPr>
              <w:t>Accrued expenses</w:t>
            </w:r>
          </w:p>
        </w:tc>
        <w:tc>
          <w:tcPr>
            <w:tcW w:w="1482" w:type="dxa"/>
          </w:tcPr>
          <w:p>
            <w:pPr>
              <w:pStyle w:val="TableParagraph"/>
              <w:rPr>
                <w:b/>
                <w:sz w:val="18"/>
              </w:rPr>
            </w:pPr>
          </w:p>
          <w:p>
            <w:pPr>
              <w:pStyle w:val="TableParagraph"/>
              <w:spacing w:before="110"/>
              <w:ind w:left="470"/>
              <w:rPr>
                <w:b/>
                <w:sz w:val="18"/>
              </w:rPr>
            </w:pPr>
            <w:r>
              <w:rPr>
                <w:b/>
                <w:sz w:val="18"/>
              </w:rPr>
              <w:t>2012</w:t>
            </w:r>
          </w:p>
        </w:tc>
        <w:tc>
          <w:tcPr>
            <w:tcW w:w="1112" w:type="dxa"/>
          </w:tcPr>
          <w:p>
            <w:pPr>
              <w:pStyle w:val="TableParagraph"/>
              <w:rPr>
                <w:b/>
                <w:sz w:val="18"/>
              </w:rPr>
            </w:pPr>
          </w:p>
          <w:p>
            <w:pPr>
              <w:pStyle w:val="TableParagraph"/>
              <w:spacing w:before="110"/>
              <w:ind w:left="270"/>
              <w:rPr>
                <w:b/>
                <w:sz w:val="18"/>
              </w:rPr>
            </w:pPr>
            <w:r>
              <w:rPr>
                <w:b/>
                <w:sz w:val="18"/>
              </w:rPr>
              <w:t>2011</w:t>
            </w:r>
          </w:p>
        </w:tc>
      </w:tr>
      <w:tr>
        <w:trPr>
          <w:trHeight w:val="313" w:hRule="exact"/>
        </w:trPr>
        <w:tc>
          <w:tcPr>
            <w:tcW w:w="283" w:type="dxa"/>
          </w:tcPr>
          <w:p>
            <w:pPr/>
          </w:p>
        </w:tc>
        <w:tc>
          <w:tcPr>
            <w:tcW w:w="7074" w:type="dxa"/>
          </w:tcPr>
          <w:p>
            <w:pPr/>
          </w:p>
        </w:tc>
        <w:tc>
          <w:tcPr>
            <w:tcW w:w="1482" w:type="dxa"/>
          </w:tcPr>
          <w:p>
            <w:pPr>
              <w:pStyle w:val="TableParagraph"/>
              <w:spacing w:before="24"/>
              <w:ind w:right="139"/>
              <w:jc w:val="center"/>
              <w:rPr>
                <w:b/>
                <w:sz w:val="18"/>
              </w:rPr>
            </w:pPr>
            <w:r>
              <w:rPr>
                <w:b/>
                <w:w w:val="99"/>
                <w:sz w:val="18"/>
              </w:rPr>
              <w:t>$</w:t>
            </w:r>
          </w:p>
        </w:tc>
        <w:tc>
          <w:tcPr>
            <w:tcW w:w="1112" w:type="dxa"/>
          </w:tcPr>
          <w:p>
            <w:pPr>
              <w:pStyle w:val="TableParagraph"/>
              <w:spacing w:before="24"/>
              <w:ind w:left="420"/>
              <w:rPr>
                <w:b/>
                <w:sz w:val="18"/>
              </w:rPr>
            </w:pPr>
            <w:r>
              <w:rPr>
                <w:b/>
                <w:w w:val="99"/>
                <w:sz w:val="18"/>
              </w:rPr>
              <w:t>$</w:t>
            </w:r>
          </w:p>
        </w:tc>
      </w:tr>
      <w:tr>
        <w:trPr>
          <w:trHeight w:val="543" w:hRule="exact"/>
        </w:trPr>
        <w:tc>
          <w:tcPr>
            <w:tcW w:w="283" w:type="dxa"/>
          </w:tcPr>
          <w:p>
            <w:pPr/>
          </w:p>
        </w:tc>
        <w:tc>
          <w:tcPr>
            <w:tcW w:w="7074" w:type="dxa"/>
          </w:tcPr>
          <w:p>
            <w:pPr>
              <w:pStyle w:val="TableParagraph"/>
              <w:spacing w:before="63"/>
              <w:ind w:left="190"/>
              <w:rPr>
                <w:b/>
                <w:sz w:val="18"/>
              </w:rPr>
            </w:pPr>
            <w:r>
              <w:rPr>
                <w:b/>
                <w:sz w:val="18"/>
              </w:rPr>
              <w:t>CURRENT</w:t>
            </w:r>
          </w:p>
          <w:p>
            <w:pPr>
              <w:pStyle w:val="TableParagraph"/>
              <w:spacing w:before="27"/>
              <w:ind w:left="190"/>
              <w:rPr>
                <w:sz w:val="18"/>
              </w:rPr>
            </w:pPr>
            <w:r>
              <w:rPr>
                <w:sz w:val="18"/>
              </w:rPr>
              <w:t>Salary accrual</w:t>
            </w:r>
          </w:p>
        </w:tc>
        <w:tc>
          <w:tcPr>
            <w:tcW w:w="1482" w:type="dxa"/>
          </w:tcPr>
          <w:p>
            <w:pPr>
              <w:pStyle w:val="TableParagraph"/>
              <w:spacing w:before="11"/>
              <w:rPr>
                <w:b/>
                <w:sz w:val="25"/>
              </w:rPr>
            </w:pPr>
          </w:p>
          <w:p>
            <w:pPr>
              <w:pStyle w:val="TableParagraph"/>
              <w:ind w:right="269"/>
              <w:jc w:val="right"/>
              <w:rPr>
                <w:b/>
                <w:sz w:val="18"/>
              </w:rPr>
            </w:pPr>
            <w:r>
              <w:rPr>
                <w:b/>
                <w:w w:val="95"/>
                <w:sz w:val="18"/>
              </w:rPr>
              <w:t>563,565</w:t>
            </w:r>
          </w:p>
        </w:tc>
        <w:tc>
          <w:tcPr>
            <w:tcW w:w="1112" w:type="dxa"/>
          </w:tcPr>
          <w:p>
            <w:pPr>
              <w:pStyle w:val="TableParagraph"/>
              <w:spacing w:before="11"/>
              <w:rPr>
                <w:b/>
                <w:sz w:val="25"/>
              </w:rPr>
            </w:pPr>
          </w:p>
          <w:p>
            <w:pPr>
              <w:pStyle w:val="TableParagraph"/>
              <w:ind w:right="84"/>
              <w:jc w:val="right"/>
              <w:rPr>
                <w:sz w:val="18"/>
              </w:rPr>
            </w:pPr>
            <w:r>
              <w:rPr>
                <w:w w:val="95"/>
                <w:sz w:val="18"/>
              </w:rPr>
              <w:t>343,194</w:t>
            </w:r>
          </w:p>
        </w:tc>
      </w:tr>
      <w:tr>
        <w:trPr>
          <w:trHeight w:val="264" w:hRule="exact"/>
        </w:trPr>
        <w:tc>
          <w:tcPr>
            <w:tcW w:w="283" w:type="dxa"/>
          </w:tcPr>
          <w:p>
            <w:pPr/>
          </w:p>
        </w:tc>
        <w:tc>
          <w:tcPr>
            <w:tcW w:w="7074" w:type="dxa"/>
          </w:tcPr>
          <w:p>
            <w:pPr>
              <w:pStyle w:val="TableParagraph"/>
              <w:spacing w:before="18"/>
              <w:ind w:left="190"/>
              <w:rPr>
                <w:sz w:val="18"/>
              </w:rPr>
            </w:pPr>
            <w:r>
              <w:rPr>
                <w:sz w:val="18"/>
              </w:rPr>
              <w:t>Payables</w:t>
            </w:r>
          </w:p>
        </w:tc>
        <w:tc>
          <w:tcPr>
            <w:tcW w:w="1482" w:type="dxa"/>
          </w:tcPr>
          <w:p>
            <w:pPr>
              <w:pStyle w:val="TableParagraph"/>
              <w:spacing w:before="19"/>
              <w:ind w:right="269"/>
              <w:jc w:val="right"/>
              <w:rPr>
                <w:b/>
                <w:sz w:val="18"/>
              </w:rPr>
            </w:pPr>
            <w:r>
              <w:rPr>
                <w:b/>
                <w:w w:val="95"/>
                <w:sz w:val="18"/>
              </w:rPr>
              <w:t>367,995</w:t>
            </w:r>
          </w:p>
        </w:tc>
        <w:tc>
          <w:tcPr>
            <w:tcW w:w="1112" w:type="dxa"/>
          </w:tcPr>
          <w:p>
            <w:pPr>
              <w:pStyle w:val="TableParagraph"/>
              <w:spacing w:before="19"/>
              <w:ind w:right="84"/>
              <w:jc w:val="right"/>
              <w:rPr>
                <w:sz w:val="18"/>
              </w:rPr>
            </w:pPr>
            <w:r>
              <w:rPr>
                <w:w w:val="95"/>
                <w:sz w:val="18"/>
              </w:rPr>
              <w:t>133,521</w:t>
            </w:r>
          </w:p>
        </w:tc>
      </w:tr>
      <w:tr>
        <w:trPr>
          <w:trHeight w:val="264" w:hRule="exact"/>
        </w:trPr>
        <w:tc>
          <w:tcPr>
            <w:tcW w:w="283" w:type="dxa"/>
          </w:tcPr>
          <w:p>
            <w:pPr/>
          </w:p>
        </w:tc>
        <w:tc>
          <w:tcPr>
            <w:tcW w:w="7074" w:type="dxa"/>
          </w:tcPr>
          <w:p>
            <w:pPr>
              <w:pStyle w:val="TableParagraph"/>
              <w:spacing w:before="18"/>
              <w:ind w:left="191"/>
              <w:rPr>
                <w:sz w:val="18"/>
              </w:rPr>
            </w:pPr>
            <w:r>
              <w:rPr>
                <w:sz w:val="18"/>
              </w:rPr>
              <w:t>Agents commissions</w:t>
            </w:r>
          </w:p>
        </w:tc>
        <w:tc>
          <w:tcPr>
            <w:tcW w:w="1482" w:type="dxa"/>
          </w:tcPr>
          <w:p>
            <w:pPr>
              <w:pStyle w:val="TableParagraph"/>
              <w:spacing w:before="19"/>
              <w:ind w:right="269"/>
              <w:jc w:val="right"/>
              <w:rPr>
                <w:b/>
                <w:sz w:val="18"/>
              </w:rPr>
            </w:pPr>
            <w:r>
              <w:rPr>
                <w:b/>
                <w:w w:val="95"/>
                <w:sz w:val="18"/>
              </w:rPr>
              <w:t>176,888</w:t>
            </w:r>
          </w:p>
        </w:tc>
        <w:tc>
          <w:tcPr>
            <w:tcW w:w="1112" w:type="dxa"/>
          </w:tcPr>
          <w:p>
            <w:pPr>
              <w:pStyle w:val="TableParagraph"/>
              <w:spacing w:before="19"/>
              <w:ind w:right="84"/>
              <w:jc w:val="right"/>
              <w:rPr>
                <w:sz w:val="18"/>
              </w:rPr>
            </w:pPr>
            <w:r>
              <w:rPr>
                <w:w w:val="95"/>
                <w:sz w:val="18"/>
              </w:rPr>
              <w:t>150,497</w:t>
            </w:r>
          </w:p>
        </w:tc>
      </w:tr>
      <w:tr>
        <w:trPr>
          <w:trHeight w:val="263" w:hRule="exact"/>
        </w:trPr>
        <w:tc>
          <w:tcPr>
            <w:tcW w:w="283" w:type="dxa"/>
          </w:tcPr>
          <w:p>
            <w:pPr/>
          </w:p>
        </w:tc>
        <w:tc>
          <w:tcPr>
            <w:tcW w:w="7074" w:type="dxa"/>
          </w:tcPr>
          <w:p>
            <w:pPr>
              <w:pStyle w:val="TableParagraph"/>
              <w:spacing w:before="18"/>
              <w:ind w:left="191"/>
              <w:rPr>
                <w:sz w:val="18"/>
              </w:rPr>
            </w:pPr>
            <w:r>
              <w:rPr>
                <w:sz w:val="18"/>
              </w:rPr>
              <w:t>Other</w:t>
            </w:r>
          </w:p>
        </w:tc>
        <w:tc>
          <w:tcPr>
            <w:tcW w:w="1482" w:type="dxa"/>
            <w:tcBorders>
              <w:bottom w:val="single" w:sz="0" w:space="0" w:color="000000"/>
            </w:tcBorders>
          </w:tcPr>
          <w:p>
            <w:pPr>
              <w:pStyle w:val="TableParagraph"/>
              <w:spacing w:before="19"/>
              <w:ind w:right="269"/>
              <w:jc w:val="right"/>
              <w:rPr>
                <w:b/>
                <w:sz w:val="18"/>
              </w:rPr>
            </w:pPr>
            <w:r>
              <w:rPr>
                <w:b/>
                <w:w w:val="95"/>
                <w:sz w:val="18"/>
              </w:rPr>
              <w:t>95,174</w:t>
            </w:r>
          </w:p>
        </w:tc>
        <w:tc>
          <w:tcPr>
            <w:tcW w:w="1112" w:type="dxa"/>
            <w:tcBorders>
              <w:bottom w:val="single" w:sz="0" w:space="0" w:color="000000"/>
            </w:tcBorders>
          </w:tcPr>
          <w:p>
            <w:pPr>
              <w:pStyle w:val="TableParagraph"/>
              <w:spacing w:before="19"/>
              <w:ind w:right="84"/>
              <w:jc w:val="right"/>
              <w:rPr>
                <w:sz w:val="18"/>
              </w:rPr>
            </w:pPr>
            <w:r>
              <w:rPr>
                <w:w w:val="95"/>
                <w:sz w:val="18"/>
              </w:rPr>
              <w:t>14,809</w:t>
            </w:r>
          </w:p>
        </w:tc>
      </w:tr>
      <w:tr>
        <w:trPr>
          <w:trHeight w:val="353" w:hRule="exact"/>
        </w:trPr>
        <w:tc>
          <w:tcPr>
            <w:tcW w:w="283" w:type="dxa"/>
          </w:tcPr>
          <w:p>
            <w:pPr/>
          </w:p>
        </w:tc>
        <w:tc>
          <w:tcPr>
            <w:tcW w:w="7074" w:type="dxa"/>
          </w:tcPr>
          <w:p>
            <w:pPr/>
          </w:p>
        </w:tc>
        <w:tc>
          <w:tcPr>
            <w:tcW w:w="1482" w:type="dxa"/>
            <w:tcBorders>
              <w:top w:val="single" w:sz="0" w:space="0" w:color="000000"/>
              <w:bottom w:val="single" w:sz="0" w:space="0" w:color="000000"/>
            </w:tcBorders>
          </w:tcPr>
          <w:p>
            <w:pPr>
              <w:pStyle w:val="TableParagraph"/>
              <w:spacing w:before="122"/>
              <w:ind w:right="270"/>
              <w:jc w:val="right"/>
              <w:rPr>
                <w:b/>
                <w:sz w:val="18"/>
              </w:rPr>
            </w:pPr>
            <w:r>
              <w:rPr>
                <w:b/>
                <w:w w:val="95"/>
                <w:sz w:val="18"/>
              </w:rPr>
              <w:t>1,203,622</w:t>
            </w:r>
          </w:p>
        </w:tc>
        <w:tc>
          <w:tcPr>
            <w:tcW w:w="1112" w:type="dxa"/>
            <w:tcBorders>
              <w:top w:val="single" w:sz="0" w:space="0" w:color="000000"/>
              <w:bottom w:val="single" w:sz="0" w:space="0" w:color="000000"/>
            </w:tcBorders>
          </w:tcPr>
          <w:p>
            <w:pPr>
              <w:pStyle w:val="TableParagraph"/>
              <w:spacing w:before="122"/>
              <w:ind w:right="84"/>
              <w:jc w:val="right"/>
              <w:rPr>
                <w:sz w:val="18"/>
              </w:rPr>
            </w:pPr>
            <w:r>
              <w:rPr>
                <w:w w:val="95"/>
                <w:sz w:val="18"/>
              </w:rPr>
              <w:t>642,021</w:t>
            </w:r>
          </w:p>
        </w:tc>
      </w:tr>
    </w:tbl>
    <w:p>
      <w:pPr>
        <w:spacing w:after="0"/>
        <w:jc w:val="right"/>
        <w:rPr>
          <w:sz w:val="18"/>
        </w:rPr>
        <w:sectPr>
          <w:pgSz w:w="11910" w:h="16840"/>
          <w:pgMar w:header="1038" w:footer="507" w:top="1460" w:bottom="700" w:left="860" w:right="860"/>
        </w:sectPr>
      </w:pPr>
    </w:p>
    <w:p>
      <w:pPr>
        <w:pStyle w:val="BodyText"/>
        <w:spacing w:before="2"/>
        <w:rPr>
          <w:b/>
          <w:sz w:val="24"/>
        </w:rPr>
      </w:pPr>
    </w:p>
    <w:p>
      <w:pPr>
        <w:spacing w:before="64"/>
        <w:ind w:left="147" w:right="685" w:firstLine="0"/>
        <w:jc w:val="left"/>
        <w:rPr>
          <w:b/>
          <w:sz w:val="28"/>
        </w:rPr>
      </w:pPr>
      <w:r>
        <w:rPr>
          <w:b/>
          <w:sz w:val="28"/>
        </w:rPr>
        <w:t>Notes to the Financial Statements</w:t>
      </w:r>
    </w:p>
    <w:p>
      <w:pPr>
        <w:spacing w:before="57"/>
        <w:ind w:left="147" w:right="685" w:firstLine="0"/>
        <w:jc w:val="left"/>
        <w:rPr>
          <w:b/>
          <w:sz w:val="22"/>
        </w:rPr>
      </w:pPr>
      <w:r>
        <w:rPr>
          <w:b/>
          <w:sz w:val="22"/>
        </w:rPr>
        <w:t>For the Year Ended 31 December 2012</w:t>
      </w:r>
    </w:p>
    <w:p>
      <w:pPr>
        <w:pStyle w:val="BodyText"/>
        <w:spacing w:before="2"/>
        <w:rPr>
          <w:b/>
          <w:sz w:val="26"/>
        </w:rPr>
      </w:pPr>
    </w:p>
    <w:p>
      <w:pPr>
        <w:spacing w:after="0"/>
        <w:rPr>
          <w:sz w:val="26"/>
        </w:rPr>
        <w:sectPr>
          <w:pgSz w:w="11910" w:h="16840"/>
          <w:pgMar w:header="1038" w:footer="507" w:top="1460" w:bottom="700" w:left="860" w:right="860"/>
        </w:sectPr>
      </w:pPr>
    </w:p>
    <w:p>
      <w:pPr>
        <w:tabs>
          <w:tab w:pos="545" w:val="left" w:leader="none"/>
        </w:tabs>
        <w:spacing w:before="77"/>
        <w:ind w:left="149" w:right="0" w:firstLine="0"/>
        <w:jc w:val="left"/>
        <w:rPr>
          <w:b/>
          <w:sz w:val="18"/>
        </w:rPr>
      </w:pPr>
      <w:r>
        <w:rPr>
          <w:b/>
          <w:sz w:val="18"/>
        </w:rPr>
        <w:t>7</w:t>
        <w:tab/>
        <w:t>Employee</w:t>
      </w:r>
      <w:r>
        <w:rPr>
          <w:b/>
          <w:spacing w:val="-2"/>
          <w:sz w:val="18"/>
        </w:rPr>
        <w:t> </w:t>
      </w:r>
      <w:r>
        <w:rPr>
          <w:b/>
          <w:sz w:val="18"/>
        </w:rPr>
        <w:t>Benefits</w:t>
      </w:r>
    </w:p>
    <w:p>
      <w:pPr>
        <w:pStyle w:val="BodyText"/>
        <w:rPr>
          <w:b/>
        </w:rPr>
      </w:pPr>
    </w:p>
    <w:p>
      <w:pPr>
        <w:pStyle w:val="BodyText"/>
        <w:rPr>
          <w:b/>
        </w:rPr>
      </w:pPr>
    </w:p>
    <w:p>
      <w:pPr>
        <w:spacing w:before="160"/>
        <w:ind w:left="545" w:right="0" w:firstLine="0"/>
        <w:jc w:val="left"/>
        <w:rPr>
          <w:b/>
          <w:sz w:val="18"/>
        </w:rPr>
      </w:pPr>
      <w:r>
        <w:rPr>
          <w:b/>
          <w:sz w:val="18"/>
        </w:rPr>
        <w:t>CURRENT</w:t>
      </w:r>
    </w:p>
    <w:p>
      <w:pPr>
        <w:pStyle w:val="BodyText"/>
        <w:rPr>
          <w:b/>
        </w:rPr>
      </w:pPr>
      <w:r>
        <w:rPr/>
        <w:br w:type="column"/>
      </w:r>
      <w:r>
        <w:rPr>
          <w:b/>
        </w:rPr>
      </w:r>
    </w:p>
    <w:p>
      <w:pPr>
        <w:spacing w:before="110"/>
        <w:ind w:left="149" w:right="0" w:firstLine="0"/>
        <w:jc w:val="center"/>
        <w:rPr>
          <w:b/>
          <w:sz w:val="18"/>
        </w:rPr>
      </w:pPr>
      <w:r>
        <w:rPr>
          <w:b/>
          <w:sz w:val="18"/>
        </w:rPr>
        <w:t>2012</w:t>
      </w:r>
    </w:p>
    <w:p>
      <w:pPr>
        <w:spacing w:before="66"/>
        <w:ind w:left="148" w:right="0" w:firstLine="0"/>
        <w:jc w:val="center"/>
        <w:rPr>
          <w:b/>
          <w:sz w:val="18"/>
        </w:rPr>
      </w:pPr>
      <w:r>
        <w:rPr>
          <w:b/>
          <w:w w:val="99"/>
          <w:sz w:val="18"/>
        </w:rPr>
        <w:t>$</w:t>
      </w:r>
    </w:p>
    <w:p>
      <w:pPr>
        <w:pStyle w:val="BodyText"/>
        <w:rPr>
          <w:b/>
        </w:rPr>
      </w:pPr>
      <w:r>
        <w:rPr/>
        <w:br w:type="column"/>
      </w:r>
      <w:r>
        <w:rPr>
          <w:b/>
        </w:rPr>
      </w:r>
    </w:p>
    <w:p>
      <w:pPr>
        <w:spacing w:before="110"/>
        <w:ind w:left="133" w:right="562" w:firstLine="0"/>
        <w:jc w:val="center"/>
        <w:rPr>
          <w:b/>
          <w:sz w:val="18"/>
        </w:rPr>
      </w:pPr>
      <w:r>
        <w:rPr>
          <w:b/>
          <w:sz w:val="18"/>
        </w:rPr>
        <w:t>2011</w:t>
      </w:r>
    </w:p>
    <w:p>
      <w:pPr>
        <w:spacing w:before="66"/>
        <w:ind w:left="0" w:right="430" w:firstLine="0"/>
        <w:jc w:val="center"/>
        <w:rPr>
          <w:b/>
          <w:sz w:val="18"/>
        </w:rPr>
      </w:pPr>
      <w:r>
        <w:rPr>
          <w:b/>
          <w:w w:val="99"/>
          <w:sz w:val="18"/>
        </w:rPr>
        <w:t>$</w:t>
      </w:r>
    </w:p>
    <w:p>
      <w:pPr>
        <w:spacing w:after="0"/>
        <w:jc w:val="center"/>
        <w:rPr>
          <w:sz w:val="18"/>
        </w:rPr>
        <w:sectPr>
          <w:type w:val="continuous"/>
          <w:pgSz w:w="11910" w:h="16840"/>
          <w:pgMar w:top="0" w:bottom="280" w:left="860" w:right="860"/>
          <w:cols w:num="3" w:equalWidth="0">
            <w:col w:w="2156" w:space="5614"/>
            <w:col w:w="550" w:space="734"/>
            <w:col w:w="1136"/>
          </w:cols>
        </w:sectPr>
      </w:pPr>
    </w:p>
    <w:p>
      <w:pPr>
        <w:pStyle w:val="BodyText"/>
        <w:tabs>
          <w:tab w:pos="8030" w:val="left" w:leader="none"/>
          <w:tab w:pos="9329" w:val="left" w:leader="none"/>
        </w:tabs>
        <w:spacing w:before="57"/>
        <w:ind w:left="545" w:right="59"/>
      </w:pPr>
      <w:r>
        <w:rPr/>
        <w:t>Employee benefits -</w:t>
      </w:r>
      <w:r>
        <w:rPr>
          <w:spacing w:val="-1"/>
        </w:rPr>
        <w:t> </w:t>
      </w:r>
      <w:r>
        <w:rPr/>
        <w:t>annual</w:t>
      </w:r>
      <w:r>
        <w:rPr>
          <w:spacing w:val="-1"/>
        </w:rPr>
        <w:t> </w:t>
      </w:r>
      <w:r>
        <w:rPr/>
        <w:t>leave</w:t>
        <w:tab/>
      </w:r>
      <w:r>
        <w:rPr>
          <w:b/>
        </w:rPr>
        <w:t>935,125</w:t>
        <w:tab/>
      </w:r>
      <w:r>
        <w:rPr/>
        <w:t>768,183</w:t>
      </w:r>
    </w:p>
    <w:p>
      <w:pPr>
        <w:pStyle w:val="BodyText"/>
        <w:tabs>
          <w:tab w:pos="8030" w:val="left" w:leader="none"/>
          <w:tab w:pos="9329" w:val="left" w:leader="none"/>
        </w:tabs>
        <w:spacing w:before="57"/>
        <w:ind w:left="545" w:right="59"/>
      </w:pPr>
      <w:r>
        <w:rPr/>
        <w:pict>
          <v:group style="position:absolute;margin-left:417.850006pt;margin-top:14.485225pt;width:127.1pt;height:1pt;mso-position-horizontal-relative:page;mso-position-vertical-relative:paragraph;z-index:5320;mso-wrap-distance-left:0;mso-wrap-distance-right:0" coordorigin="8357,290" coordsize="2542,20">
            <v:line style="position:absolute" from="8358,291" to="9600,291" stroked="true" strokeweight=".06pt" strokecolor="#000000"/>
            <v:line style="position:absolute" from="8358,292" to="9600,292" stroked="true" strokeweight=".06pt" strokecolor="#000000"/>
            <v:line style="position:absolute" from="8358,293" to="9600,293" stroked="true" strokeweight=".06pt" strokecolor="#000000"/>
            <v:line style="position:absolute" from="8358,294" to="9600,294" stroked="true" strokeweight=".06pt" strokecolor="#000000"/>
            <v:line style="position:absolute" from="8358,296" to="9600,296" stroked="true" strokeweight=".06pt" strokecolor="#000000"/>
            <v:line style="position:absolute" from="8358,297" to="9600,297" stroked="true" strokeweight=".06pt" strokecolor="#000000"/>
            <v:line style="position:absolute" from="8358,298" to="9600,298" stroked="true" strokeweight=".06pt" strokecolor="#000000"/>
            <v:line style="position:absolute" from="8358,299" to="9600,299" stroked="true" strokeweight=".06pt" strokecolor="#000000"/>
            <v:line style="position:absolute" from="8358,300" to="9600,300" stroked="true" strokeweight=".06pt" strokecolor="#000000"/>
            <v:line style="position:absolute" from="8358,302" to="9600,302" stroked="true" strokeweight=".06pt" strokecolor="#000000"/>
            <v:line style="position:absolute" from="8358,303" to="9600,303" stroked="true" strokeweight=".06pt" strokecolor="#000000"/>
            <v:line style="position:absolute" from="8358,304" to="9600,304" stroked="true" strokeweight=".06pt" strokecolor="#000000"/>
            <v:line style="position:absolute" from="8358,305" to="9600,305" stroked="true" strokeweight=".06pt" strokecolor="#000000"/>
            <v:line style="position:absolute" from="8358,306" to="9600,306" stroked="true" strokeweight=".06pt" strokecolor="#000000"/>
            <v:line style="position:absolute" from="8358,308" to="9600,308" stroked="true" strokeweight=".06pt" strokecolor="#000000"/>
            <v:line style="position:absolute" from="8358,309" to="9600,309" stroked="true" strokeweight=".06pt" strokecolor="#000000"/>
            <v:line style="position:absolute" from="9628,291" to="10897,291" stroked="true" strokeweight=".06pt" strokecolor="#000000"/>
            <v:line style="position:absolute" from="9628,292" to="10897,292" stroked="true" strokeweight=".06pt" strokecolor="#000000"/>
            <v:line style="position:absolute" from="9628,293" to="10897,293" stroked="true" strokeweight=".06pt" strokecolor="#000000"/>
            <v:line style="position:absolute" from="9628,294" to="10897,294" stroked="true" strokeweight=".06pt" strokecolor="#000000"/>
            <v:line style="position:absolute" from="9628,296" to="10897,296" stroked="true" strokeweight=".06pt" strokecolor="#000000"/>
            <v:line style="position:absolute" from="9628,297" to="10897,297" stroked="true" strokeweight=".06pt" strokecolor="#000000"/>
            <v:line style="position:absolute" from="9628,298" to="10897,298" stroked="true" strokeweight=".06pt" strokecolor="#000000"/>
            <v:line style="position:absolute" from="9628,299" to="10897,299" stroked="true" strokeweight=".06pt" strokecolor="#000000"/>
            <v:line style="position:absolute" from="9628,300" to="10897,300" stroked="true" strokeweight=".06pt" strokecolor="#000000"/>
            <v:line style="position:absolute" from="9628,302" to="10897,302" stroked="true" strokeweight=".06pt" strokecolor="#000000"/>
            <v:line style="position:absolute" from="9628,303" to="10897,303" stroked="true" strokeweight=".06pt" strokecolor="#000000"/>
            <v:line style="position:absolute" from="9628,304" to="10897,304" stroked="true" strokeweight=".06pt" strokecolor="#000000"/>
            <v:line style="position:absolute" from="9628,305" to="10897,305" stroked="true" strokeweight=".06pt" strokecolor="#000000"/>
            <v:line style="position:absolute" from="9628,306" to="10897,306" stroked="true" strokeweight=".06pt" strokecolor="#000000"/>
            <v:line style="position:absolute" from="9628,308" to="10897,308" stroked="true" strokeweight=".06pt" strokecolor="#000000"/>
            <v:line style="position:absolute" from="9628,309" to="10897,309" stroked="true" strokeweight=".06pt" strokecolor="#000000"/>
            <v:line style="position:absolute" from="8358,291" to="9600,291" stroked="true" strokeweight=".06pt" strokecolor="#000000"/>
            <v:line style="position:absolute" from="8358,292" to="9600,292" stroked="true" strokeweight=".06pt" strokecolor="#000000"/>
            <v:line style="position:absolute" from="8358,293" to="9600,293" stroked="true" strokeweight=".06pt" strokecolor="#000000"/>
            <v:line style="position:absolute" from="8358,294" to="9600,294" stroked="true" strokeweight=".06pt" strokecolor="#000000"/>
            <v:line style="position:absolute" from="8358,296" to="9600,296" stroked="true" strokeweight=".06pt" strokecolor="#000000"/>
            <v:line style="position:absolute" from="8358,297" to="9600,297" stroked="true" strokeweight=".06pt" strokecolor="#000000"/>
            <v:line style="position:absolute" from="8358,298" to="9600,298" stroked="true" strokeweight=".06pt" strokecolor="#000000"/>
            <v:line style="position:absolute" from="8358,299" to="9600,299" stroked="true" strokeweight=".06pt" strokecolor="#000000"/>
            <v:line style="position:absolute" from="8358,300" to="9600,300" stroked="true" strokeweight=".06pt" strokecolor="#000000"/>
            <v:line style="position:absolute" from="8358,302" to="9600,302" stroked="true" strokeweight=".06pt" strokecolor="#000000"/>
            <v:line style="position:absolute" from="8358,303" to="9600,303" stroked="true" strokeweight=".06pt" strokecolor="#000000"/>
            <v:line style="position:absolute" from="8358,304" to="9600,304" stroked="true" strokeweight=".06pt" strokecolor="#000000"/>
            <v:line style="position:absolute" from="8358,305" to="9600,305" stroked="true" strokeweight=".06pt" strokecolor="#000000"/>
            <v:line style="position:absolute" from="8358,306" to="9600,306" stroked="true" strokeweight=".06pt" strokecolor="#000000"/>
            <v:line style="position:absolute" from="8358,308" to="9600,308" stroked="true" strokeweight=".06pt" strokecolor="#000000"/>
            <v:line style="position:absolute" from="8358,309" to="9600,309" stroked="true" strokeweight=".06pt" strokecolor="#000000"/>
            <v:line style="position:absolute" from="9628,291" to="10897,291" stroked="true" strokeweight=".06pt" strokecolor="#000000"/>
            <v:line style="position:absolute" from="9628,292" to="10897,292" stroked="true" strokeweight=".06pt" strokecolor="#000000"/>
            <v:line style="position:absolute" from="9628,293" to="10897,293" stroked="true" strokeweight=".06pt" strokecolor="#000000"/>
            <v:line style="position:absolute" from="9628,294" to="10897,294" stroked="true" strokeweight=".06pt" strokecolor="#000000"/>
            <v:line style="position:absolute" from="9628,296" to="10897,296" stroked="true" strokeweight=".06pt" strokecolor="#000000"/>
            <v:line style="position:absolute" from="9628,297" to="10897,297" stroked="true" strokeweight=".06pt" strokecolor="#000000"/>
            <v:line style="position:absolute" from="9628,298" to="10897,298" stroked="true" strokeweight=".06pt" strokecolor="#000000"/>
            <v:line style="position:absolute" from="9628,299" to="10897,299" stroked="true" strokeweight=".06pt" strokecolor="#000000"/>
            <v:line style="position:absolute" from="9628,300" to="10897,300" stroked="true" strokeweight=".06pt" strokecolor="#000000"/>
            <v:line style="position:absolute" from="9628,302" to="10897,302" stroked="true" strokeweight=".06pt" strokecolor="#000000"/>
            <v:line style="position:absolute" from="9628,303" to="10897,303" stroked="true" strokeweight=".06pt" strokecolor="#000000"/>
            <v:line style="position:absolute" from="9628,304" to="10897,304" stroked="true" strokeweight=".06pt" strokecolor="#000000"/>
            <v:line style="position:absolute" from="9628,305" to="10897,305" stroked="true" strokeweight=".06pt" strokecolor="#000000"/>
            <v:line style="position:absolute" from="9628,306" to="10897,306" stroked="true" strokeweight=".06pt" strokecolor="#000000"/>
            <v:line style="position:absolute" from="9628,308" to="10897,308" stroked="true" strokeweight=".06pt" strokecolor="#000000"/>
            <v:line style="position:absolute" from="9628,309" to="10897,309" stroked="true" strokeweight=".06pt" strokecolor="#000000"/>
            <w10:wrap type="topAndBottom"/>
          </v:group>
        </w:pict>
      </w:r>
      <w:r>
        <w:rPr/>
        <w:t>Employee benefits - long</w:t>
      </w:r>
      <w:r>
        <w:rPr>
          <w:spacing w:val="-1"/>
        </w:rPr>
        <w:t> </w:t>
      </w:r>
      <w:r>
        <w:rPr/>
        <w:t>service</w:t>
      </w:r>
      <w:r>
        <w:rPr>
          <w:spacing w:val="-1"/>
        </w:rPr>
        <w:t> </w:t>
      </w:r>
      <w:r>
        <w:rPr/>
        <w:t>leave</w:t>
        <w:tab/>
      </w:r>
      <w:r>
        <w:rPr>
          <w:b/>
        </w:rPr>
        <w:t>216,415</w:t>
        <w:tab/>
      </w:r>
      <w:r>
        <w:rPr/>
        <w:t>292,000</w:t>
      </w:r>
    </w:p>
    <w:p>
      <w:pPr>
        <w:tabs>
          <w:tab w:pos="1298" w:val="left" w:leader="none"/>
        </w:tabs>
        <w:spacing w:before="84"/>
        <w:ind w:left="0" w:right="202" w:firstLine="0"/>
        <w:jc w:val="right"/>
        <w:rPr>
          <w:sz w:val="18"/>
        </w:rPr>
      </w:pPr>
      <w:r>
        <w:rPr>
          <w:b/>
          <w:sz w:val="18"/>
        </w:rPr>
        <w:t>1,151,540</w:t>
        <w:tab/>
      </w:r>
      <w:r>
        <w:rPr>
          <w:spacing w:val="-1"/>
          <w:sz w:val="18"/>
        </w:rPr>
        <w:t>1,060,183</w:t>
      </w:r>
    </w:p>
    <w:p>
      <w:pPr>
        <w:pStyle w:val="BodyText"/>
        <w:spacing w:line="50" w:lineRule="exact"/>
        <w:ind w:left="7469"/>
        <w:rPr>
          <w:sz w:val="4"/>
        </w:rPr>
      </w:pPr>
      <w:r>
        <w:rPr>
          <w:position w:val="0"/>
          <w:sz w:val="4"/>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group>
        </w:pict>
      </w:r>
      <w:r>
        <w:rPr>
          <w:position w:val="0"/>
          <w:sz w:val="4"/>
        </w:rPr>
      </w:r>
    </w:p>
    <w:p>
      <w:pPr>
        <w:tabs>
          <w:tab w:pos="1298" w:val="left" w:leader="none"/>
        </w:tabs>
        <w:spacing w:before="111"/>
        <w:ind w:left="0" w:right="202" w:firstLine="0"/>
        <w:jc w:val="right"/>
        <w:rPr>
          <w:sz w:val="18"/>
        </w:rPr>
      </w:pPr>
      <w:r>
        <w:rPr>
          <w:b/>
          <w:sz w:val="18"/>
        </w:rPr>
        <w:t>1,151,540</w:t>
        <w:tab/>
      </w:r>
      <w:r>
        <w:rPr>
          <w:spacing w:val="-1"/>
          <w:sz w:val="18"/>
        </w:rPr>
        <w:t>1,060,183</w:t>
      </w:r>
    </w:p>
    <w:p>
      <w:pPr>
        <w:pStyle w:val="BodyText"/>
        <w:spacing w:line="50" w:lineRule="exact"/>
        <w:ind w:left="7469"/>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spacing w:before="2"/>
      </w:pPr>
    </w:p>
    <w:p>
      <w:pPr>
        <w:pStyle w:val="Heading9"/>
        <w:spacing w:before="77"/>
        <w:ind w:left="545" w:right="685"/>
      </w:pPr>
      <w:r>
        <w:rPr/>
        <w:t>Amounts not expected to be settled within the next 12 months</w:t>
      </w:r>
    </w:p>
    <w:p>
      <w:pPr>
        <w:pStyle w:val="BodyText"/>
        <w:rPr>
          <w:b/>
          <w:sz w:val="25"/>
        </w:rPr>
      </w:pPr>
    </w:p>
    <w:p>
      <w:pPr>
        <w:pStyle w:val="BodyText"/>
        <w:spacing w:after="36"/>
        <w:ind w:left="545" w:right="129"/>
      </w:pPr>
      <w:r>
        <w:rPr/>
        <w:t>The current provision for employee benefits includes accrued annual leave. The entire amount of the provision is presented as current, since the Company does not have an unconditional right to defer settlement of any of these obligations. However, based on past experience, the Company does not expect all employees to take the full amount of accrued leave or require payment within the next 12 months. The following amounts reflect leave that is not to be expected to be taken or paid within the next 12 months.</w:t>
      </w: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7075"/>
        <w:gridCol w:w="1472"/>
        <w:gridCol w:w="1122"/>
      </w:tblGrid>
      <w:tr>
        <w:trPr>
          <w:trHeight w:val="783" w:hRule="exact"/>
        </w:trPr>
        <w:tc>
          <w:tcPr>
            <w:tcW w:w="282" w:type="dxa"/>
            <w:vMerge w:val="restart"/>
          </w:tcPr>
          <w:p>
            <w:pPr/>
          </w:p>
        </w:tc>
        <w:tc>
          <w:tcPr>
            <w:tcW w:w="7075" w:type="dxa"/>
          </w:tcPr>
          <w:p>
            <w:pPr>
              <w:pStyle w:val="TableParagraph"/>
              <w:rPr>
                <w:sz w:val="18"/>
              </w:rPr>
            </w:pPr>
          </w:p>
          <w:p>
            <w:pPr>
              <w:pStyle w:val="TableParagraph"/>
              <w:rPr>
                <w:sz w:val="18"/>
              </w:rPr>
            </w:pPr>
          </w:p>
          <w:p>
            <w:pPr>
              <w:pStyle w:val="TableParagraph"/>
              <w:spacing w:before="126"/>
              <w:ind w:left="147"/>
              <w:rPr>
                <w:sz w:val="18"/>
              </w:rPr>
            </w:pPr>
            <w:r>
              <w:rPr>
                <w:sz w:val="18"/>
              </w:rPr>
              <w:t>Leave obligations expected to be settled after 12 months</w:t>
            </w:r>
          </w:p>
        </w:tc>
        <w:tc>
          <w:tcPr>
            <w:tcW w:w="1472" w:type="dxa"/>
            <w:tcBorders>
              <w:bottom w:val="single" w:sz="0" w:space="0" w:color="000000"/>
            </w:tcBorders>
          </w:tcPr>
          <w:p>
            <w:pPr>
              <w:pStyle w:val="TableParagraph"/>
              <w:spacing w:line="204" w:lineRule="exact"/>
              <w:ind w:left="448" w:right="241"/>
              <w:rPr>
                <w:b/>
                <w:sz w:val="18"/>
              </w:rPr>
            </w:pPr>
            <w:r>
              <w:rPr>
                <w:b/>
                <w:sz w:val="18"/>
              </w:rPr>
              <w:t>2012</w:t>
            </w:r>
          </w:p>
          <w:p>
            <w:pPr>
              <w:pStyle w:val="TableParagraph"/>
              <w:spacing w:line="312" w:lineRule="auto" w:before="66"/>
              <w:ind w:left="560" w:right="241" w:firstLine="38"/>
              <w:rPr>
                <w:b/>
                <w:sz w:val="18"/>
              </w:rPr>
            </w:pPr>
            <w:r>
              <w:rPr>
                <w:b/>
                <w:sz w:val="18"/>
              </w:rPr>
              <w:t>$ 149,859</w:t>
            </w:r>
          </w:p>
        </w:tc>
        <w:tc>
          <w:tcPr>
            <w:tcW w:w="1122" w:type="dxa"/>
            <w:tcBorders>
              <w:bottom w:val="single" w:sz="0" w:space="0" w:color="000000"/>
            </w:tcBorders>
          </w:tcPr>
          <w:p>
            <w:pPr>
              <w:pStyle w:val="TableParagraph"/>
              <w:spacing w:line="204" w:lineRule="exact"/>
              <w:ind w:left="241" w:right="440"/>
              <w:jc w:val="center"/>
              <w:rPr>
                <w:b/>
                <w:sz w:val="18"/>
              </w:rPr>
            </w:pPr>
            <w:r>
              <w:rPr>
                <w:b/>
                <w:sz w:val="18"/>
              </w:rPr>
              <w:t>2011</w:t>
            </w:r>
          </w:p>
          <w:p>
            <w:pPr>
              <w:pStyle w:val="TableParagraph"/>
              <w:spacing w:before="66"/>
              <w:ind w:right="199"/>
              <w:jc w:val="center"/>
              <w:rPr>
                <w:b/>
                <w:sz w:val="18"/>
              </w:rPr>
            </w:pPr>
            <w:r>
              <w:rPr>
                <w:b/>
                <w:w w:val="99"/>
                <w:sz w:val="18"/>
              </w:rPr>
              <w:t>$</w:t>
            </w:r>
          </w:p>
          <w:p>
            <w:pPr>
              <w:pStyle w:val="TableParagraph"/>
              <w:spacing w:before="61"/>
              <w:ind w:left="386"/>
              <w:rPr>
                <w:sz w:val="18"/>
              </w:rPr>
            </w:pPr>
            <w:r>
              <w:rPr>
                <w:sz w:val="18"/>
              </w:rPr>
              <w:t>300,912</w:t>
            </w:r>
          </w:p>
        </w:tc>
      </w:tr>
      <w:tr>
        <w:trPr>
          <w:trHeight w:val="544" w:hRule="exact"/>
        </w:trPr>
        <w:tc>
          <w:tcPr>
            <w:tcW w:w="282" w:type="dxa"/>
            <w:vMerge/>
          </w:tcPr>
          <w:p>
            <w:pPr/>
          </w:p>
        </w:tc>
        <w:tc>
          <w:tcPr>
            <w:tcW w:w="7075" w:type="dxa"/>
          </w:tcPr>
          <w:p>
            <w:pPr>
              <w:pStyle w:val="TableParagraph"/>
              <w:rPr>
                <w:sz w:val="26"/>
              </w:rPr>
            </w:pPr>
          </w:p>
          <w:p>
            <w:pPr>
              <w:pStyle w:val="TableParagraph"/>
              <w:ind w:left="188"/>
              <w:rPr>
                <w:b/>
                <w:sz w:val="18"/>
              </w:rPr>
            </w:pPr>
            <w:r>
              <w:rPr>
                <w:b/>
                <w:sz w:val="18"/>
              </w:rPr>
              <w:t>NON-CURRENT</w:t>
            </w:r>
          </w:p>
        </w:tc>
        <w:tc>
          <w:tcPr>
            <w:tcW w:w="1472" w:type="dxa"/>
            <w:tcBorders>
              <w:top w:val="single" w:sz="0" w:space="0" w:color="000000"/>
            </w:tcBorders>
          </w:tcPr>
          <w:p>
            <w:pPr/>
          </w:p>
        </w:tc>
        <w:tc>
          <w:tcPr>
            <w:tcW w:w="1122" w:type="dxa"/>
            <w:tcBorders>
              <w:top w:val="single" w:sz="0" w:space="0" w:color="000000"/>
            </w:tcBorders>
          </w:tcPr>
          <w:p>
            <w:pPr/>
          </w:p>
        </w:tc>
      </w:tr>
      <w:tr>
        <w:trPr>
          <w:trHeight w:val="262" w:hRule="exact"/>
        </w:trPr>
        <w:tc>
          <w:tcPr>
            <w:tcW w:w="282" w:type="dxa"/>
            <w:vMerge/>
          </w:tcPr>
          <w:p>
            <w:pPr/>
          </w:p>
        </w:tc>
        <w:tc>
          <w:tcPr>
            <w:tcW w:w="7075" w:type="dxa"/>
          </w:tcPr>
          <w:p>
            <w:pPr>
              <w:pStyle w:val="TableParagraph"/>
              <w:spacing w:before="19"/>
              <w:ind w:left="188"/>
              <w:rPr>
                <w:sz w:val="18"/>
              </w:rPr>
            </w:pPr>
            <w:r>
              <w:rPr>
                <w:sz w:val="18"/>
              </w:rPr>
              <w:t>Employee benefits - long service leave</w:t>
            </w:r>
          </w:p>
        </w:tc>
        <w:tc>
          <w:tcPr>
            <w:tcW w:w="1472" w:type="dxa"/>
            <w:tcBorders>
              <w:bottom w:val="single" w:sz="0" w:space="0" w:color="000000"/>
            </w:tcBorders>
          </w:tcPr>
          <w:p>
            <w:pPr>
              <w:pStyle w:val="TableParagraph"/>
              <w:spacing w:before="18"/>
              <w:ind w:right="258"/>
              <w:jc w:val="right"/>
              <w:rPr>
                <w:b/>
                <w:sz w:val="18"/>
              </w:rPr>
            </w:pPr>
            <w:r>
              <w:rPr>
                <w:b/>
                <w:w w:val="95"/>
                <w:sz w:val="18"/>
              </w:rPr>
              <w:t>495,331</w:t>
            </w:r>
          </w:p>
        </w:tc>
        <w:tc>
          <w:tcPr>
            <w:tcW w:w="1122" w:type="dxa"/>
            <w:tcBorders>
              <w:bottom w:val="single" w:sz="0" w:space="0" w:color="000000"/>
            </w:tcBorders>
          </w:tcPr>
          <w:p>
            <w:pPr>
              <w:pStyle w:val="TableParagraph"/>
              <w:spacing w:before="18"/>
              <w:ind w:right="84"/>
              <w:jc w:val="right"/>
              <w:rPr>
                <w:sz w:val="18"/>
              </w:rPr>
            </w:pPr>
            <w:r>
              <w:rPr>
                <w:w w:val="95"/>
                <w:sz w:val="18"/>
              </w:rPr>
              <w:t>269,000</w:t>
            </w:r>
          </w:p>
        </w:tc>
      </w:tr>
      <w:tr>
        <w:trPr>
          <w:trHeight w:val="788" w:hRule="exact"/>
        </w:trPr>
        <w:tc>
          <w:tcPr>
            <w:tcW w:w="282" w:type="dxa"/>
          </w:tcPr>
          <w:p>
            <w:pPr>
              <w:pStyle w:val="TableParagraph"/>
              <w:spacing w:before="11"/>
              <w:rPr>
                <w:sz w:val="25"/>
              </w:rPr>
            </w:pPr>
          </w:p>
          <w:p>
            <w:pPr>
              <w:pStyle w:val="TableParagraph"/>
              <w:ind w:left="35"/>
              <w:rPr>
                <w:b/>
                <w:sz w:val="18"/>
              </w:rPr>
            </w:pPr>
            <w:r>
              <w:rPr>
                <w:b/>
                <w:w w:val="99"/>
                <w:sz w:val="18"/>
              </w:rPr>
              <w:t>8</w:t>
            </w:r>
          </w:p>
        </w:tc>
        <w:tc>
          <w:tcPr>
            <w:tcW w:w="7075" w:type="dxa"/>
          </w:tcPr>
          <w:p>
            <w:pPr>
              <w:pStyle w:val="TableParagraph"/>
              <w:spacing w:before="11"/>
              <w:rPr>
                <w:sz w:val="25"/>
              </w:rPr>
            </w:pPr>
          </w:p>
          <w:p>
            <w:pPr>
              <w:pStyle w:val="TableParagraph"/>
              <w:ind w:left="148"/>
              <w:rPr>
                <w:b/>
                <w:sz w:val="18"/>
              </w:rPr>
            </w:pPr>
            <w:r>
              <w:rPr>
                <w:b/>
                <w:sz w:val="18"/>
              </w:rPr>
              <w:t>Other liabilities</w:t>
            </w:r>
          </w:p>
        </w:tc>
        <w:tc>
          <w:tcPr>
            <w:tcW w:w="1472" w:type="dxa"/>
            <w:tcBorders>
              <w:top w:val="single" w:sz="0" w:space="0" w:color="000000"/>
            </w:tcBorders>
          </w:tcPr>
          <w:p>
            <w:pPr>
              <w:pStyle w:val="TableParagraph"/>
              <w:rPr>
                <w:sz w:val="18"/>
              </w:rPr>
            </w:pPr>
          </w:p>
          <w:p>
            <w:pPr>
              <w:pStyle w:val="TableParagraph"/>
              <w:rPr>
                <w:sz w:val="18"/>
              </w:rPr>
            </w:pPr>
          </w:p>
          <w:p>
            <w:pPr>
              <w:pStyle w:val="TableParagraph"/>
              <w:spacing w:before="124"/>
              <w:ind w:left="448" w:right="241"/>
              <w:rPr>
                <w:b/>
                <w:sz w:val="18"/>
              </w:rPr>
            </w:pPr>
            <w:r>
              <w:rPr>
                <w:b/>
                <w:sz w:val="18"/>
              </w:rPr>
              <w:t>2012</w:t>
            </w:r>
          </w:p>
        </w:tc>
        <w:tc>
          <w:tcPr>
            <w:tcW w:w="1122" w:type="dxa"/>
            <w:tcBorders>
              <w:top w:val="single" w:sz="0" w:space="0" w:color="000000"/>
            </w:tcBorders>
          </w:tcPr>
          <w:p>
            <w:pPr>
              <w:pStyle w:val="TableParagraph"/>
              <w:rPr>
                <w:sz w:val="18"/>
              </w:rPr>
            </w:pPr>
          </w:p>
          <w:p>
            <w:pPr>
              <w:pStyle w:val="TableParagraph"/>
              <w:rPr>
                <w:sz w:val="18"/>
              </w:rPr>
            </w:pPr>
          </w:p>
          <w:p>
            <w:pPr>
              <w:pStyle w:val="TableParagraph"/>
              <w:spacing w:before="124"/>
              <w:ind w:left="260"/>
              <w:rPr>
                <w:b/>
                <w:sz w:val="18"/>
              </w:rPr>
            </w:pPr>
            <w:r>
              <w:rPr>
                <w:b/>
                <w:sz w:val="18"/>
              </w:rPr>
              <w:t>2011</w:t>
            </w:r>
          </w:p>
        </w:tc>
      </w:tr>
      <w:tr>
        <w:trPr>
          <w:trHeight w:val="271" w:hRule="exact"/>
        </w:trPr>
        <w:tc>
          <w:tcPr>
            <w:tcW w:w="282" w:type="dxa"/>
          </w:tcPr>
          <w:p>
            <w:pPr/>
          </w:p>
        </w:tc>
        <w:tc>
          <w:tcPr>
            <w:tcW w:w="7075" w:type="dxa"/>
          </w:tcPr>
          <w:p>
            <w:pPr/>
          </w:p>
        </w:tc>
        <w:tc>
          <w:tcPr>
            <w:tcW w:w="1472" w:type="dxa"/>
          </w:tcPr>
          <w:p>
            <w:pPr>
              <w:pStyle w:val="TableParagraph"/>
              <w:spacing w:before="24"/>
              <w:ind w:right="172"/>
              <w:jc w:val="center"/>
              <w:rPr>
                <w:b/>
                <w:sz w:val="18"/>
              </w:rPr>
            </w:pPr>
            <w:r>
              <w:rPr>
                <w:b/>
                <w:w w:val="99"/>
                <w:sz w:val="18"/>
              </w:rPr>
              <w:t>$</w:t>
            </w:r>
          </w:p>
        </w:tc>
        <w:tc>
          <w:tcPr>
            <w:tcW w:w="1122" w:type="dxa"/>
          </w:tcPr>
          <w:p>
            <w:pPr>
              <w:pStyle w:val="TableParagraph"/>
              <w:spacing w:before="24"/>
              <w:ind w:left="410"/>
              <w:rPr>
                <w:b/>
                <w:sz w:val="18"/>
              </w:rPr>
            </w:pPr>
            <w:r>
              <w:rPr>
                <w:b/>
                <w:w w:val="99"/>
                <w:sz w:val="18"/>
              </w:rPr>
              <w:t>$</w:t>
            </w:r>
          </w:p>
        </w:tc>
      </w:tr>
      <w:tr>
        <w:trPr>
          <w:trHeight w:val="266" w:hRule="exact"/>
        </w:trPr>
        <w:tc>
          <w:tcPr>
            <w:tcW w:w="282" w:type="dxa"/>
          </w:tcPr>
          <w:p>
            <w:pPr/>
          </w:p>
        </w:tc>
        <w:tc>
          <w:tcPr>
            <w:tcW w:w="7075" w:type="dxa"/>
          </w:tcPr>
          <w:p>
            <w:pPr>
              <w:pStyle w:val="TableParagraph"/>
              <w:spacing w:before="21"/>
              <w:ind w:left="148"/>
              <w:rPr>
                <w:sz w:val="18"/>
              </w:rPr>
            </w:pPr>
            <w:r>
              <w:rPr>
                <w:sz w:val="18"/>
              </w:rPr>
              <w:t>IELTS clearing</w:t>
            </w:r>
          </w:p>
        </w:tc>
        <w:tc>
          <w:tcPr>
            <w:tcW w:w="1472" w:type="dxa"/>
          </w:tcPr>
          <w:p>
            <w:pPr>
              <w:pStyle w:val="TableParagraph"/>
              <w:spacing w:before="22"/>
              <w:ind w:right="259"/>
              <w:jc w:val="right"/>
              <w:rPr>
                <w:b/>
                <w:sz w:val="18"/>
              </w:rPr>
            </w:pPr>
            <w:r>
              <w:rPr>
                <w:b/>
                <w:w w:val="95"/>
                <w:sz w:val="18"/>
              </w:rPr>
              <w:t>209,220</w:t>
            </w:r>
          </w:p>
        </w:tc>
        <w:tc>
          <w:tcPr>
            <w:tcW w:w="1122" w:type="dxa"/>
          </w:tcPr>
          <w:p>
            <w:pPr>
              <w:pStyle w:val="TableParagraph"/>
              <w:spacing w:before="22"/>
              <w:ind w:right="83"/>
              <w:jc w:val="right"/>
              <w:rPr>
                <w:sz w:val="18"/>
              </w:rPr>
            </w:pPr>
            <w:r>
              <w:rPr>
                <w:w w:val="95"/>
                <w:sz w:val="18"/>
              </w:rPr>
              <w:t>210,210</w:t>
            </w:r>
          </w:p>
        </w:tc>
      </w:tr>
      <w:tr>
        <w:trPr>
          <w:trHeight w:val="264" w:hRule="exact"/>
        </w:trPr>
        <w:tc>
          <w:tcPr>
            <w:tcW w:w="282" w:type="dxa"/>
          </w:tcPr>
          <w:p>
            <w:pPr/>
          </w:p>
        </w:tc>
        <w:tc>
          <w:tcPr>
            <w:tcW w:w="7075" w:type="dxa"/>
          </w:tcPr>
          <w:p>
            <w:pPr>
              <w:pStyle w:val="TableParagraph"/>
              <w:spacing w:before="18"/>
              <w:ind w:left="148"/>
              <w:rPr>
                <w:sz w:val="18"/>
              </w:rPr>
            </w:pPr>
            <w:r>
              <w:rPr>
                <w:sz w:val="18"/>
              </w:rPr>
              <w:t>Payroll tax clearing</w:t>
            </w:r>
          </w:p>
        </w:tc>
        <w:tc>
          <w:tcPr>
            <w:tcW w:w="1472" w:type="dxa"/>
          </w:tcPr>
          <w:p>
            <w:pPr>
              <w:pStyle w:val="TableParagraph"/>
              <w:spacing w:before="19"/>
              <w:ind w:right="260"/>
              <w:jc w:val="right"/>
              <w:rPr>
                <w:b/>
                <w:sz w:val="18"/>
              </w:rPr>
            </w:pPr>
            <w:r>
              <w:rPr>
                <w:b/>
                <w:w w:val="95"/>
                <w:sz w:val="18"/>
              </w:rPr>
              <w:t>62,882</w:t>
            </w:r>
          </w:p>
        </w:tc>
        <w:tc>
          <w:tcPr>
            <w:tcW w:w="1122" w:type="dxa"/>
          </w:tcPr>
          <w:p>
            <w:pPr>
              <w:pStyle w:val="TableParagraph"/>
              <w:spacing w:before="19"/>
              <w:ind w:right="83"/>
              <w:jc w:val="right"/>
              <w:rPr>
                <w:sz w:val="18"/>
              </w:rPr>
            </w:pPr>
            <w:r>
              <w:rPr>
                <w:w w:val="95"/>
                <w:sz w:val="18"/>
              </w:rPr>
              <w:t>55,954</w:t>
            </w:r>
          </w:p>
        </w:tc>
      </w:tr>
      <w:tr>
        <w:trPr>
          <w:trHeight w:val="264" w:hRule="exact"/>
        </w:trPr>
        <w:tc>
          <w:tcPr>
            <w:tcW w:w="282" w:type="dxa"/>
          </w:tcPr>
          <w:p>
            <w:pPr/>
          </w:p>
        </w:tc>
        <w:tc>
          <w:tcPr>
            <w:tcW w:w="7075" w:type="dxa"/>
          </w:tcPr>
          <w:p>
            <w:pPr>
              <w:pStyle w:val="TableParagraph"/>
              <w:spacing w:before="18"/>
              <w:ind w:left="148"/>
              <w:rPr>
                <w:sz w:val="18"/>
              </w:rPr>
            </w:pPr>
            <w:r>
              <w:rPr>
                <w:sz w:val="18"/>
              </w:rPr>
              <w:t>Fringe benefits tax clearing</w:t>
            </w:r>
          </w:p>
        </w:tc>
        <w:tc>
          <w:tcPr>
            <w:tcW w:w="1472" w:type="dxa"/>
          </w:tcPr>
          <w:p>
            <w:pPr>
              <w:pStyle w:val="TableParagraph"/>
              <w:spacing w:before="19"/>
              <w:ind w:right="260"/>
              <w:jc w:val="right"/>
              <w:rPr>
                <w:b/>
                <w:sz w:val="18"/>
              </w:rPr>
            </w:pPr>
            <w:r>
              <w:rPr>
                <w:b/>
                <w:w w:val="95"/>
                <w:sz w:val="18"/>
              </w:rPr>
              <w:t>61,560</w:t>
            </w:r>
          </w:p>
        </w:tc>
        <w:tc>
          <w:tcPr>
            <w:tcW w:w="1122" w:type="dxa"/>
          </w:tcPr>
          <w:p>
            <w:pPr>
              <w:pStyle w:val="TableParagraph"/>
              <w:spacing w:before="19"/>
              <w:ind w:right="83"/>
              <w:jc w:val="right"/>
              <w:rPr>
                <w:sz w:val="18"/>
              </w:rPr>
            </w:pPr>
            <w:r>
              <w:rPr>
                <w:w w:val="95"/>
                <w:sz w:val="18"/>
              </w:rPr>
              <w:t>30,351</w:t>
            </w:r>
          </w:p>
        </w:tc>
      </w:tr>
      <w:tr>
        <w:trPr>
          <w:trHeight w:val="264" w:hRule="exact"/>
        </w:trPr>
        <w:tc>
          <w:tcPr>
            <w:tcW w:w="282" w:type="dxa"/>
          </w:tcPr>
          <w:p>
            <w:pPr/>
          </w:p>
        </w:tc>
        <w:tc>
          <w:tcPr>
            <w:tcW w:w="7075" w:type="dxa"/>
          </w:tcPr>
          <w:p>
            <w:pPr>
              <w:pStyle w:val="TableParagraph"/>
              <w:spacing w:before="18"/>
              <w:ind w:left="148"/>
              <w:rPr>
                <w:sz w:val="18"/>
              </w:rPr>
            </w:pPr>
            <w:r>
              <w:rPr>
                <w:sz w:val="18"/>
              </w:rPr>
              <w:t>Student suspense receipts</w:t>
            </w:r>
          </w:p>
        </w:tc>
        <w:tc>
          <w:tcPr>
            <w:tcW w:w="1472" w:type="dxa"/>
          </w:tcPr>
          <w:p>
            <w:pPr>
              <w:pStyle w:val="TableParagraph"/>
              <w:spacing w:before="19"/>
              <w:ind w:right="260"/>
              <w:jc w:val="right"/>
              <w:rPr>
                <w:b/>
                <w:sz w:val="18"/>
              </w:rPr>
            </w:pPr>
            <w:r>
              <w:rPr>
                <w:b/>
                <w:w w:val="95"/>
                <w:sz w:val="18"/>
              </w:rPr>
              <w:t>39,956</w:t>
            </w:r>
          </w:p>
        </w:tc>
        <w:tc>
          <w:tcPr>
            <w:tcW w:w="1122" w:type="dxa"/>
          </w:tcPr>
          <w:p>
            <w:pPr>
              <w:pStyle w:val="TableParagraph"/>
              <w:spacing w:before="19"/>
              <w:ind w:right="84"/>
              <w:jc w:val="right"/>
              <w:rPr>
                <w:sz w:val="18"/>
              </w:rPr>
            </w:pPr>
            <w:r>
              <w:rPr>
                <w:w w:val="95"/>
                <w:sz w:val="18"/>
              </w:rPr>
              <w:t>3,583</w:t>
            </w:r>
          </w:p>
        </w:tc>
      </w:tr>
      <w:tr>
        <w:trPr>
          <w:trHeight w:val="263" w:hRule="exact"/>
        </w:trPr>
        <w:tc>
          <w:tcPr>
            <w:tcW w:w="282" w:type="dxa"/>
          </w:tcPr>
          <w:p>
            <w:pPr/>
          </w:p>
        </w:tc>
        <w:tc>
          <w:tcPr>
            <w:tcW w:w="7075" w:type="dxa"/>
          </w:tcPr>
          <w:p>
            <w:pPr>
              <w:pStyle w:val="TableParagraph"/>
              <w:spacing w:before="18"/>
              <w:ind w:left="148"/>
              <w:rPr>
                <w:sz w:val="18"/>
              </w:rPr>
            </w:pPr>
            <w:r>
              <w:rPr>
                <w:sz w:val="18"/>
              </w:rPr>
              <w:t>Other</w:t>
            </w:r>
          </w:p>
        </w:tc>
        <w:tc>
          <w:tcPr>
            <w:tcW w:w="1472" w:type="dxa"/>
            <w:tcBorders>
              <w:bottom w:val="single" w:sz="0" w:space="0" w:color="000000"/>
            </w:tcBorders>
          </w:tcPr>
          <w:p>
            <w:pPr>
              <w:pStyle w:val="TableParagraph"/>
              <w:spacing w:before="19"/>
              <w:ind w:right="260"/>
              <w:jc w:val="right"/>
              <w:rPr>
                <w:b/>
                <w:sz w:val="18"/>
              </w:rPr>
            </w:pPr>
            <w:r>
              <w:rPr>
                <w:b/>
                <w:w w:val="95"/>
                <w:sz w:val="18"/>
              </w:rPr>
              <w:t>6,087</w:t>
            </w:r>
          </w:p>
        </w:tc>
        <w:tc>
          <w:tcPr>
            <w:tcW w:w="1122" w:type="dxa"/>
            <w:tcBorders>
              <w:bottom w:val="single" w:sz="0" w:space="0" w:color="000000"/>
            </w:tcBorders>
          </w:tcPr>
          <w:p>
            <w:pPr>
              <w:pStyle w:val="TableParagraph"/>
              <w:spacing w:before="19"/>
              <w:ind w:right="84"/>
              <w:jc w:val="right"/>
              <w:rPr>
                <w:sz w:val="18"/>
              </w:rPr>
            </w:pPr>
            <w:r>
              <w:rPr>
                <w:w w:val="95"/>
                <w:sz w:val="18"/>
              </w:rPr>
              <w:t>8,071</w:t>
            </w:r>
          </w:p>
        </w:tc>
      </w:tr>
      <w:tr>
        <w:trPr>
          <w:trHeight w:val="353" w:hRule="exact"/>
        </w:trPr>
        <w:tc>
          <w:tcPr>
            <w:tcW w:w="282" w:type="dxa"/>
          </w:tcPr>
          <w:p>
            <w:pPr/>
          </w:p>
        </w:tc>
        <w:tc>
          <w:tcPr>
            <w:tcW w:w="7075" w:type="dxa"/>
          </w:tcPr>
          <w:p>
            <w:pPr/>
          </w:p>
        </w:tc>
        <w:tc>
          <w:tcPr>
            <w:tcW w:w="1472" w:type="dxa"/>
            <w:tcBorders>
              <w:top w:val="single" w:sz="0" w:space="0" w:color="000000"/>
              <w:bottom w:val="single" w:sz="0" w:space="0" w:color="000000"/>
            </w:tcBorders>
          </w:tcPr>
          <w:p>
            <w:pPr>
              <w:pStyle w:val="TableParagraph"/>
              <w:spacing w:before="122"/>
              <w:ind w:right="259"/>
              <w:jc w:val="right"/>
              <w:rPr>
                <w:b/>
                <w:sz w:val="18"/>
              </w:rPr>
            </w:pPr>
            <w:r>
              <w:rPr>
                <w:b/>
                <w:w w:val="95"/>
                <w:sz w:val="18"/>
              </w:rPr>
              <w:t>379,705</w:t>
            </w:r>
          </w:p>
        </w:tc>
        <w:tc>
          <w:tcPr>
            <w:tcW w:w="1122" w:type="dxa"/>
            <w:tcBorders>
              <w:top w:val="single" w:sz="0" w:space="0" w:color="000000"/>
              <w:bottom w:val="single" w:sz="0" w:space="0" w:color="000000"/>
            </w:tcBorders>
          </w:tcPr>
          <w:p>
            <w:pPr>
              <w:pStyle w:val="TableParagraph"/>
              <w:spacing w:before="122"/>
              <w:ind w:right="83"/>
              <w:jc w:val="right"/>
              <w:rPr>
                <w:sz w:val="18"/>
              </w:rPr>
            </w:pPr>
            <w:r>
              <w:rPr>
                <w:w w:val="95"/>
                <w:sz w:val="18"/>
              </w:rPr>
              <w:t>308,169</w:t>
            </w:r>
          </w:p>
        </w:tc>
      </w:tr>
      <w:tr>
        <w:trPr>
          <w:trHeight w:val="803" w:hRule="exact"/>
        </w:trPr>
        <w:tc>
          <w:tcPr>
            <w:tcW w:w="282" w:type="dxa"/>
          </w:tcPr>
          <w:p>
            <w:pPr>
              <w:pStyle w:val="TableParagraph"/>
              <w:rPr>
                <w:sz w:val="18"/>
              </w:rPr>
            </w:pPr>
          </w:p>
          <w:p>
            <w:pPr>
              <w:pStyle w:val="TableParagraph"/>
              <w:spacing w:before="106"/>
              <w:ind w:left="35"/>
              <w:rPr>
                <w:b/>
                <w:sz w:val="18"/>
              </w:rPr>
            </w:pPr>
            <w:r>
              <w:rPr>
                <w:b/>
                <w:w w:val="99"/>
                <w:sz w:val="18"/>
              </w:rPr>
              <w:t>9</w:t>
            </w:r>
          </w:p>
        </w:tc>
        <w:tc>
          <w:tcPr>
            <w:tcW w:w="7075" w:type="dxa"/>
          </w:tcPr>
          <w:p>
            <w:pPr>
              <w:pStyle w:val="TableParagraph"/>
              <w:rPr>
                <w:sz w:val="18"/>
              </w:rPr>
            </w:pPr>
          </w:p>
          <w:p>
            <w:pPr>
              <w:pStyle w:val="TableParagraph"/>
              <w:spacing w:before="106"/>
              <w:ind w:left="148"/>
              <w:rPr>
                <w:b/>
                <w:sz w:val="18"/>
              </w:rPr>
            </w:pPr>
            <w:r>
              <w:rPr>
                <w:b/>
                <w:sz w:val="18"/>
              </w:rPr>
              <w:t>Issued Capital</w:t>
            </w:r>
          </w:p>
        </w:tc>
        <w:tc>
          <w:tcPr>
            <w:tcW w:w="1472" w:type="dxa"/>
            <w:tcBorders>
              <w:top w:val="single" w:sz="0" w:space="0" w:color="000000"/>
            </w:tcBorders>
          </w:tcPr>
          <w:p>
            <w:pPr>
              <w:pStyle w:val="TableParagraph"/>
              <w:rPr>
                <w:sz w:val="18"/>
              </w:rPr>
            </w:pPr>
          </w:p>
          <w:p>
            <w:pPr>
              <w:pStyle w:val="TableParagraph"/>
              <w:rPr>
                <w:sz w:val="18"/>
              </w:rPr>
            </w:pPr>
          </w:p>
          <w:p>
            <w:pPr>
              <w:pStyle w:val="TableParagraph"/>
              <w:spacing w:before="139"/>
              <w:ind w:left="448" w:right="241"/>
              <w:rPr>
                <w:b/>
                <w:sz w:val="18"/>
              </w:rPr>
            </w:pPr>
            <w:r>
              <w:rPr>
                <w:b/>
                <w:sz w:val="18"/>
              </w:rPr>
              <w:t>2012</w:t>
            </w:r>
          </w:p>
        </w:tc>
        <w:tc>
          <w:tcPr>
            <w:tcW w:w="1122" w:type="dxa"/>
            <w:tcBorders>
              <w:top w:val="single" w:sz="0" w:space="0" w:color="000000"/>
            </w:tcBorders>
          </w:tcPr>
          <w:p>
            <w:pPr>
              <w:pStyle w:val="TableParagraph"/>
              <w:rPr>
                <w:sz w:val="18"/>
              </w:rPr>
            </w:pPr>
          </w:p>
          <w:p>
            <w:pPr>
              <w:pStyle w:val="TableParagraph"/>
              <w:rPr>
                <w:sz w:val="18"/>
              </w:rPr>
            </w:pPr>
          </w:p>
          <w:p>
            <w:pPr>
              <w:pStyle w:val="TableParagraph"/>
              <w:spacing w:before="139"/>
              <w:ind w:left="260"/>
              <w:rPr>
                <w:b/>
                <w:sz w:val="18"/>
              </w:rPr>
            </w:pPr>
            <w:r>
              <w:rPr>
                <w:b/>
                <w:sz w:val="18"/>
              </w:rPr>
              <w:t>2011</w:t>
            </w:r>
          </w:p>
        </w:tc>
      </w:tr>
      <w:tr>
        <w:trPr>
          <w:trHeight w:val="271" w:hRule="exact"/>
        </w:trPr>
        <w:tc>
          <w:tcPr>
            <w:tcW w:w="282" w:type="dxa"/>
          </w:tcPr>
          <w:p>
            <w:pPr/>
          </w:p>
        </w:tc>
        <w:tc>
          <w:tcPr>
            <w:tcW w:w="7075" w:type="dxa"/>
          </w:tcPr>
          <w:p>
            <w:pPr/>
          </w:p>
        </w:tc>
        <w:tc>
          <w:tcPr>
            <w:tcW w:w="1472" w:type="dxa"/>
          </w:tcPr>
          <w:p>
            <w:pPr>
              <w:pStyle w:val="TableParagraph"/>
              <w:spacing w:before="24"/>
              <w:ind w:right="172"/>
              <w:jc w:val="center"/>
              <w:rPr>
                <w:b/>
                <w:sz w:val="18"/>
              </w:rPr>
            </w:pPr>
            <w:r>
              <w:rPr>
                <w:b/>
                <w:w w:val="99"/>
                <w:sz w:val="18"/>
              </w:rPr>
              <w:t>$</w:t>
            </w:r>
          </w:p>
        </w:tc>
        <w:tc>
          <w:tcPr>
            <w:tcW w:w="1122" w:type="dxa"/>
          </w:tcPr>
          <w:p>
            <w:pPr>
              <w:pStyle w:val="TableParagraph"/>
              <w:spacing w:before="24"/>
              <w:ind w:left="410"/>
              <w:rPr>
                <w:b/>
                <w:sz w:val="18"/>
              </w:rPr>
            </w:pPr>
            <w:r>
              <w:rPr>
                <w:b/>
                <w:w w:val="99"/>
                <w:sz w:val="18"/>
              </w:rPr>
              <w:t>$</w:t>
            </w:r>
          </w:p>
        </w:tc>
      </w:tr>
      <w:tr>
        <w:trPr>
          <w:trHeight w:val="265" w:hRule="exact"/>
        </w:trPr>
        <w:tc>
          <w:tcPr>
            <w:tcW w:w="282" w:type="dxa"/>
          </w:tcPr>
          <w:p>
            <w:pPr/>
          </w:p>
        </w:tc>
        <w:tc>
          <w:tcPr>
            <w:tcW w:w="7075" w:type="dxa"/>
          </w:tcPr>
          <w:p>
            <w:pPr>
              <w:pStyle w:val="TableParagraph"/>
              <w:spacing w:before="22"/>
              <w:ind w:left="148"/>
              <w:rPr>
                <w:sz w:val="18"/>
              </w:rPr>
            </w:pPr>
            <w:r>
              <w:rPr>
                <w:sz w:val="18"/>
              </w:rPr>
              <w:t>Ordinary Shares</w:t>
            </w:r>
          </w:p>
        </w:tc>
        <w:tc>
          <w:tcPr>
            <w:tcW w:w="1472" w:type="dxa"/>
            <w:tcBorders>
              <w:bottom w:val="single" w:sz="0" w:space="0" w:color="000000"/>
            </w:tcBorders>
          </w:tcPr>
          <w:p>
            <w:pPr>
              <w:pStyle w:val="TableParagraph"/>
              <w:spacing w:before="21"/>
              <w:ind w:right="261"/>
              <w:jc w:val="right"/>
              <w:rPr>
                <w:b/>
                <w:sz w:val="18"/>
              </w:rPr>
            </w:pPr>
            <w:r>
              <w:rPr>
                <w:b/>
                <w:w w:val="99"/>
                <w:sz w:val="18"/>
              </w:rPr>
              <w:t>1</w:t>
            </w:r>
          </w:p>
        </w:tc>
        <w:tc>
          <w:tcPr>
            <w:tcW w:w="1122" w:type="dxa"/>
            <w:tcBorders>
              <w:bottom w:val="single" w:sz="0" w:space="0" w:color="000000"/>
            </w:tcBorders>
          </w:tcPr>
          <w:p>
            <w:pPr>
              <w:pStyle w:val="TableParagraph"/>
              <w:spacing w:before="21"/>
              <w:ind w:right="85"/>
              <w:jc w:val="right"/>
              <w:rPr>
                <w:sz w:val="18"/>
              </w:rPr>
            </w:pPr>
            <w:r>
              <w:rPr>
                <w:w w:val="99"/>
                <w:sz w:val="18"/>
              </w:rPr>
              <w:t>1</w:t>
            </w:r>
          </w:p>
        </w:tc>
      </w:tr>
      <w:tr>
        <w:trPr>
          <w:trHeight w:val="353" w:hRule="exact"/>
        </w:trPr>
        <w:tc>
          <w:tcPr>
            <w:tcW w:w="282" w:type="dxa"/>
          </w:tcPr>
          <w:p>
            <w:pPr/>
          </w:p>
        </w:tc>
        <w:tc>
          <w:tcPr>
            <w:tcW w:w="7075" w:type="dxa"/>
          </w:tcPr>
          <w:p>
            <w:pPr>
              <w:pStyle w:val="TableParagraph"/>
              <w:spacing w:before="123"/>
              <w:ind w:left="148"/>
              <w:rPr>
                <w:b/>
                <w:sz w:val="18"/>
              </w:rPr>
            </w:pPr>
            <w:r>
              <w:rPr>
                <w:b/>
                <w:sz w:val="18"/>
              </w:rPr>
              <w:t>Total contributed equity</w:t>
            </w:r>
          </w:p>
        </w:tc>
        <w:tc>
          <w:tcPr>
            <w:tcW w:w="1472" w:type="dxa"/>
            <w:tcBorders>
              <w:top w:val="single" w:sz="0" w:space="0" w:color="000000"/>
              <w:bottom w:val="single" w:sz="0" w:space="0" w:color="000000"/>
            </w:tcBorders>
          </w:tcPr>
          <w:p>
            <w:pPr>
              <w:pStyle w:val="TableParagraph"/>
              <w:spacing w:before="122"/>
              <w:ind w:right="261"/>
              <w:jc w:val="right"/>
              <w:rPr>
                <w:b/>
                <w:sz w:val="18"/>
              </w:rPr>
            </w:pPr>
            <w:r>
              <w:rPr>
                <w:b/>
                <w:w w:val="99"/>
                <w:sz w:val="18"/>
              </w:rPr>
              <w:t>1</w:t>
            </w:r>
          </w:p>
        </w:tc>
        <w:tc>
          <w:tcPr>
            <w:tcW w:w="1122" w:type="dxa"/>
            <w:tcBorders>
              <w:top w:val="single" w:sz="0" w:space="0" w:color="000000"/>
              <w:bottom w:val="single" w:sz="0" w:space="0" w:color="000000"/>
            </w:tcBorders>
          </w:tcPr>
          <w:p>
            <w:pPr>
              <w:pStyle w:val="TableParagraph"/>
              <w:spacing w:before="122"/>
              <w:ind w:right="85"/>
              <w:jc w:val="right"/>
              <w:rPr>
                <w:sz w:val="18"/>
              </w:rPr>
            </w:pPr>
            <w:r>
              <w:rPr>
                <w:w w:val="99"/>
                <w:sz w:val="18"/>
              </w:rPr>
              <w:t>1</w:t>
            </w:r>
          </w:p>
        </w:tc>
      </w:tr>
    </w:tbl>
    <w:p>
      <w:pPr>
        <w:spacing w:after="0"/>
        <w:jc w:val="right"/>
        <w:rPr>
          <w:sz w:val="18"/>
        </w:rPr>
        <w:sectPr>
          <w:type w:val="continuous"/>
          <w:pgSz w:w="11910" w:h="16840"/>
          <w:pgMar w:top="0" w:bottom="280" w:left="860" w:right="860"/>
        </w:sectPr>
      </w:pPr>
    </w:p>
    <w:p>
      <w:pPr>
        <w:pStyle w:val="BodyText"/>
        <w:spacing w:before="2"/>
        <w:rPr>
          <w:sz w:val="24"/>
        </w:rPr>
      </w:pPr>
    </w:p>
    <w:p>
      <w:pPr>
        <w:pStyle w:val="Heading3"/>
        <w:spacing w:before="64"/>
      </w:pPr>
      <w:r>
        <w:rPr/>
        <w:t>Notes to the Financial Statements</w:t>
      </w:r>
    </w:p>
    <w:p>
      <w:pPr>
        <w:pStyle w:val="Heading6"/>
      </w:pPr>
      <w:r>
        <w:rPr/>
        <w:t>For the Year Ended 31 December 2012</w:t>
      </w:r>
    </w:p>
    <w:p>
      <w:pPr>
        <w:pStyle w:val="BodyText"/>
        <w:spacing w:before="10"/>
        <w:rPr>
          <w:b/>
          <w:sz w:val="32"/>
        </w:rPr>
      </w:pPr>
    </w:p>
    <w:p>
      <w:pPr>
        <w:pStyle w:val="Heading9"/>
        <w:numPr>
          <w:ilvl w:val="0"/>
          <w:numId w:val="88"/>
        </w:numPr>
        <w:tabs>
          <w:tab w:pos="506" w:val="left" w:leader="none"/>
        </w:tabs>
        <w:spacing w:line="240" w:lineRule="auto" w:before="0" w:after="0"/>
        <w:ind w:left="505" w:right="0" w:hanging="396"/>
        <w:jc w:val="left"/>
      </w:pPr>
      <w:r>
        <w:rPr/>
        <w:t>Capital and Leasing</w:t>
      </w:r>
      <w:r>
        <w:rPr>
          <w:spacing w:val="-1"/>
        </w:rPr>
        <w:t> </w:t>
      </w:r>
      <w:r>
        <w:rPr/>
        <w:t>Commitments</w:t>
      </w:r>
    </w:p>
    <w:p>
      <w:pPr>
        <w:pStyle w:val="BodyText"/>
        <w:spacing w:before="11"/>
        <w:rPr>
          <w:b/>
          <w:sz w:val="24"/>
        </w:rPr>
      </w:pPr>
    </w:p>
    <w:p>
      <w:pPr>
        <w:pStyle w:val="ListParagraph"/>
        <w:numPr>
          <w:ilvl w:val="1"/>
          <w:numId w:val="88"/>
        </w:numPr>
        <w:tabs>
          <w:tab w:pos="1072" w:val="left" w:leader="none"/>
        </w:tabs>
        <w:spacing w:line="240" w:lineRule="auto" w:before="0" w:after="0"/>
        <w:ind w:left="1071" w:right="0" w:hanging="566"/>
        <w:jc w:val="left"/>
        <w:rPr>
          <w:b/>
          <w:sz w:val="18"/>
        </w:rPr>
      </w:pPr>
      <w:r>
        <w:rPr>
          <w:b/>
          <w:sz w:val="18"/>
        </w:rPr>
        <w:t>Operating lease</w:t>
      </w:r>
      <w:r>
        <w:rPr>
          <w:b/>
          <w:spacing w:val="-2"/>
          <w:sz w:val="18"/>
        </w:rPr>
        <w:t> </w:t>
      </w:r>
      <w:r>
        <w:rPr>
          <w:b/>
          <w:sz w:val="18"/>
        </w:rPr>
        <w:t>commitments</w:t>
      </w:r>
    </w:p>
    <w:p>
      <w:pPr>
        <w:pStyle w:val="BodyText"/>
        <w:rPr>
          <w:b/>
          <w:sz w:val="25"/>
        </w:rPr>
      </w:pPr>
    </w:p>
    <w:p>
      <w:pPr>
        <w:pStyle w:val="BodyText"/>
        <w:ind w:left="505" w:right="319"/>
      </w:pPr>
      <w:r>
        <w:rPr/>
        <w:t>The Company leases plant and office equipment under non-cancellable operating leases contracted for but not capitalised in the financial statements. The lease has renewal rights whereby the terms of the lease are renegotiated.</w:t>
      </w:r>
    </w:p>
    <w:p>
      <w:pPr>
        <w:pStyle w:val="BodyText"/>
        <w:rPr>
          <w:sz w:val="20"/>
        </w:rPr>
      </w:pPr>
    </w:p>
    <w:p>
      <w:pPr>
        <w:pStyle w:val="BodyText"/>
        <w:spacing w:before="1" w:after="1"/>
        <w:rPr>
          <w:sz w:val="19"/>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60"/>
        <w:gridCol w:w="1459"/>
        <w:gridCol w:w="1135"/>
      </w:tblGrid>
      <w:tr>
        <w:trPr>
          <w:trHeight w:val="862" w:hRule="exact"/>
        </w:trPr>
        <w:tc>
          <w:tcPr>
            <w:tcW w:w="6960" w:type="dxa"/>
          </w:tcPr>
          <w:p>
            <w:pPr>
              <w:pStyle w:val="TableParagraph"/>
              <w:rPr>
                <w:sz w:val="18"/>
              </w:rPr>
            </w:pPr>
          </w:p>
          <w:p>
            <w:pPr>
              <w:pStyle w:val="TableParagraph"/>
              <w:rPr>
                <w:sz w:val="18"/>
              </w:rPr>
            </w:pPr>
          </w:p>
          <w:p>
            <w:pPr>
              <w:pStyle w:val="TableParagraph"/>
              <w:spacing w:before="8"/>
              <w:rPr>
                <w:sz w:val="17"/>
              </w:rPr>
            </w:pPr>
          </w:p>
          <w:p>
            <w:pPr>
              <w:pStyle w:val="TableParagraph"/>
              <w:spacing w:before="1"/>
              <w:ind w:left="75" w:right="-10"/>
              <w:rPr>
                <w:sz w:val="18"/>
              </w:rPr>
            </w:pPr>
            <w:r>
              <w:rPr>
                <w:sz w:val="18"/>
              </w:rPr>
              <w:t>Payable - minimum lease payments:</w:t>
            </w:r>
          </w:p>
        </w:tc>
        <w:tc>
          <w:tcPr>
            <w:tcW w:w="1459" w:type="dxa"/>
          </w:tcPr>
          <w:p>
            <w:pPr>
              <w:pStyle w:val="TableParagraph"/>
              <w:spacing w:before="77"/>
              <w:ind w:left="451" w:right="566"/>
              <w:jc w:val="center"/>
              <w:rPr>
                <w:b/>
                <w:sz w:val="18"/>
              </w:rPr>
            </w:pPr>
            <w:r>
              <w:rPr>
                <w:b/>
                <w:sz w:val="18"/>
              </w:rPr>
              <w:t>2012</w:t>
            </w:r>
          </w:p>
          <w:p>
            <w:pPr>
              <w:pStyle w:val="TableParagraph"/>
              <w:spacing w:before="66"/>
              <w:ind w:right="116"/>
              <w:jc w:val="center"/>
              <w:rPr>
                <w:b/>
                <w:sz w:val="18"/>
              </w:rPr>
            </w:pPr>
            <w:r>
              <w:rPr>
                <w:b/>
                <w:w w:val="99"/>
                <w:sz w:val="18"/>
              </w:rPr>
              <w:t>$</w:t>
            </w:r>
          </w:p>
        </w:tc>
        <w:tc>
          <w:tcPr>
            <w:tcW w:w="1135" w:type="dxa"/>
          </w:tcPr>
          <w:p>
            <w:pPr>
              <w:pStyle w:val="TableParagraph"/>
              <w:spacing w:before="77"/>
              <w:ind w:left="275" w:right="419"/>
              <w:jc w:val="center"/>
              <w:rPr>
                <w:b/>
                <w:sz w:val="18"/>
              </w:rPr>
            </w:pPr>
            <w:r>
              <w:rPr>
                <w:b/>
                <w:sz w:val="18"/>
              </w:rPr>
              <w:t>2011</w:t>
            </w:r>
          </w:p>
          <w:p>
            <w:pPr>
              <w:pStyle w:val="TableParagraph"/>
              <w:spacing w:before="66"/>
              <w:ind w:right="145"/>
              <w:jc w:val="center"/>
              <w:rPr>
                <w:b/>
                <w:sz w:val="18"/>
              </w:rPr>
            </w:pPr>
            <w:r>
              <w:rPr>
                <w:b/>
                <w:w w:val="99"/>
                <w:sz w:val="18"/>
              </w:rPr>
              <w:t>$</w:t>
            </w:r>
          </w:p>
        </w:tc>
      </w:tr>
      <w:tr>
        <w:trPr>
          <w:trHeight w:val="263" w:hRule="exact"/>
        </w:trPr>
        <w:tc>
          <w:tcPr>
            <w:tcW w:w="6960" w:type="dxa"/>
          </w:tcPr>
          <w:p>
            <w:pPr>
              <w:pStyle w:val="TableParagraph"/>
              <w:spacing w:before="18"/>
              <w:ind w:left="75" w:right="-10"/>
              <w:rPr>
                <w:sz w:val="18"/>
              </w:rPr>
            </w:pPr>
            <w:r>
              <w:rPr>
                <w:sz w:val="18"/>
              </w:rPr>
              <w:t>- no later than 1 year</w:t>
            </w:r>
          </w:p>
        </w:tc>
        <w:tc>
          <w:tcPr>
            <w:tcW w:w="1459" w:type="dxa"/>
          </w:tcPr>
          <w:p>
            <w:pPr>
              <w:pStyle w:val="TableParagraph"/>
              <w:spacing w:before="19"/>
              <w:ind w:right="246"/>
              <w:jc w:val="right"/>
              <w:rPr>
                <w:b/>
                <w:sz w:val="18"/>
              </w:rPr>
            </w:pPr>
            <w:r>
              <w:rPr>
                <w:b/>
                <w:w w:val="95"/>
                <w:sz w:val="18"/>
              </w:rPr>
              <w:t>18,856</w:t>
            </w:r>
          </w:p>
        </w:tc>
        <w:tc>
          <w:tcPr>
            <w:tcW w:w="1135" w:type="dxa"/>
          </w:tcPr>
          <w:p>
            <w:pPr>
              <w:pStyle w:val="TableParagraph"/>
              <w:spacing w:before="19"/>
              <w:ind w:right="84"/>
              <w:jc w:val="right"/>
              <w:rPr>
                <w:sz w:val="18"/>
              </w:rPr>
            </w:pPr>
            <w:r>
              <w:rPr>
                <w:w w:val="95"/>
                <w:sz w:val="18"/>
              </w:rPr>
              <w:t>1,582,790</w:t>
            </w:r>
          </w:p>
        </w:tc>
      </w:tr>
      <w:tr>
        <w:trPr>
          <w:trHeight w:val="264" w:hRule="exact"/>
        </w:trPr>
        <w:tc>
          <w:tcPr>
            <w:tcW w:w="6960" w:type="dxa"/>
          </w:tcPr>
          <w:p>
            <w:pPr>
              <w:pStyle w:val="TableParagraph"/>
              <w:spacing w:before="18"/>
              <w:ind w:left="75" w:right="-10"/>
              <w:rPr>
                <w:sz w:val="18"/>
              </w:rPr>
            </w:pPr>
            <w:r>
              <w:rPr>
                <w:sz w:val="18"/>
              </w:rPr>
              <w:t>- between 1 year and 5 years</w:t>
            </w:r>
          </w:p>
        </w:tc>
        <w:tc>
          <w:tcPr>
            <w:tcW w:w="1459" w:type="dxa"/>
          </w:tcPr>
          <w:p>
            <w:pPr>
              <w:pStyle w:val="TableParagraph"/>
              <w:spacing w:before="19"/>
              <w:ind w:right="246"/>
              <w:jc w:val="right"/>
              <w:rPr>
                <w:b/>
                <w:sz w:val="18"/>
              </w:rPr>
            </w:pPr>
            <w:r>
              <w:rPr>
                <w:b/>
                <w:w w:val="95"/>
                <w:sz w:val="18"/>
              </w:rPr>
              <w:t>1,571</w:t>
            </w:r>
          </w:p>
        </w:tc>
        <w:tc>
          <w:tcPr>
            <w:tcW w:w="1135" w:type="dxa"/>
          </w:tcPr>
          <w:p>
            <w:pPr>
              <w:pStyle w:val="TableParagraph"/>
              <w:spacing w:before="19"/>
              <w:ind w:right="84"/>
              <w:jc w:val="right"/>
              <w:rPr>
                <w:sz w:val="18"/>
              </w:rPr>
            </w:pPr>
            <w:r>
              <w:rPr>
                <w:w w:val="95"/>
                <w:sz w:val="18"/>
              </w:rPr>
              <w:t>20,428</w:t>
            </w:r>
          </w:p>
        </w:tc>
      </w:tr>
      <w:tr>
        <w:trPr>
          <w:trHeight w:val="263" w:hRule="exact"/>
        </w:trPr>
        <w:tc>
          <w:tcPr>
            <w:tcW w:w="6960" w:type="dxa"/>
          </w:tcPr>
          <w:p>
            <w:pPr>
              <w:pStyle w:val="TableParagraph"/>
              <w:spacing w:before="18"/>
              <w:ind w:left="75" w:right="-10"/>
              <w:rPr>
                <w:sz w:val="18"/>
              </w:rPr>
            </w:pPr>
            <w:r>
              <w:rPr>
                <w:sz w:val="18"/>
              </w:rPr>
              <w:t>- greater than 5 years</w:t>
            </w:r>
          </w:p>
        </w:tc>
        <w:tc>
          <w:tcPr>
            <w:tcW w:w="1459" w:type="dxa"/>
            <w:tcBorders>
              <w:bottom w:val="single" w:sz="0" w:space="0" w:color="000000"/>
            </w:tcBorders>
          </w:tcPr>
          <w:p>
            <w:pPr>
              <w:pStyle w:val="TableParagraph"/>
              <w:spacing w:before="19"/>
              <w:ind w:right="117"/>
              <w:jc w:val="center"/>
              <w:rPr>
                <w:b/>
                <w:sz w:val="18"/>
              </w:rPr>
            </w:pPr>
            <w:r>
              <w:rPr>
                <w:b/>
                <w:w w:val="99"/>
                <w:sz w:val="18"/>
              </w:rPr>
              <w:t>-</w:t>
            </w:r>
          </w:p>
        </w:tc>
        <w:tc>
          <w:tcPr>
            <w:tcW w:w="1135" w:type="dxa"/>
            <w:tcBorders>
              <w:bottom w:val="single" w:sz="0" w:space="0" w:color="000000"/>
            </w:tcBorders>
          </w:tcPr>
          <w:p>
            <w:pPr>
              <w:pStyle w:val="TableParagraph"/>
              <w:spacing w:before="19"/>
              <w:ind w:right="146"/>
              <w:jc w:val="center"/>
              <w:rPr>
                <w:sz w:val="18"/>
              </w:rPr>
            </w:pPr>
            <w:r>
              <w:rPr>
                <w:w w:val="99"/>
                <w:sz w:val="18"/>
              </w:rPr>
              <w:t>-</w:t>
            </w:r>
          </w:p>
        </w:tc>
      </w:tr>
      <w:tr>
        <w:trPr>
          <w:trHeight w:val="359" w:hRule="exact"/>
        </w:trPr>
        <w:tc>
          <w:tcPr>
            <w:tcW w:w="6960" w:type="dxa"/>
          </w:tcPr>
          <w:p>
            <w:pP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20,427</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1,603,218</w:t>
            </w:r>
          </w:p>
        </w:tc>
      </w:tr>
      <w:tr>
        <w:trPr>
          <w:trHeight w:val="622" w:hRule="exact"/>
        </w:trPr>
        <w:tc>
          <w:tcPr>
            <w:tcW w:w="6960" w:type="dxa"/>
          </w:tcPr>
          <w:p>
            <w:pPr>
              <w:pStyle w:val="TableParagraph"/>
              <w:rPr>
                <w:sz w:val="18"/>
              </w:rPr>
            </w:pPr>
          </w:p>
          <w:p>
            <w:pPr>
              <w:pStyle w:val="TableParagraph"/>
              <w:tabs>
                <w:tab w:pos="601" w:val="left" w:leader="none"/>
              </w:tabs>
              <w:spacing w:before="112"/>
              <w:ind w:left="35"/>
              <w:rPr>
                <w:b/>
                <w:sz w:val="18"/>
              </w:rPr>
            </w:pPr>
            <w:r>
              <w:rPr>
                <w:b/>
                <w:sz w:val="18"/>
              </w:rPr>
              <w:t>(b)</w:t>
              <w:tab/>
              <w:t>Capital commitments</w:t>
            </w:r>
          </w:p>
        </w:tc>
        <w:tc>
          <w:tcPr>
            <w:tcW w:w="1459" w:type="dxa"/>
            <w:tcBorders>
              <w:top w:val="single" w:sz="0" w:space="0" w:color="000000"/>
            </w:tcBorders>
          </w:tcPr>
          <w:p>
            <w:pPr/>
          </w:p>
        </w:tc>
        <w:tc>
          <w:tcPr>
            <w:tcW w:w="1135" w:type="dxa"/>
            <w:tcBorders>
              <w:top w:val="single" w:sz="0" w:space="0" w:color="000000"/>
            </w:tcBorders>
          </w:tcPr>
          <w:p>
            <w:pPr/>
          </w:p>
        </w:tc>
      </w:tr>
    </w:tbl>
    <w:p>
      <w:pPr>
        <w:pStyle w:val="BodyText"/>
        <w:spacing w:before="10"/>
        <w:rPr>
          <w:sz w:val="9"/>
        </w:rPr>
      </w:pPr>
    </w:p>
    <w:p>
      <w:pPr>
        <w:pStyle w:val="BodyText"/>
        <w:spacing w:before="78"/>
        <w:ind w:left="505" w:right="125"/>
        <w:rPr>
          <w:b/>
        </w:rPr>
      </w:pPr>
      <w:r>
        <w:rPr/>
        <w:t>The Company has no capital commitments as at 31 December 2012 whilst 2011 was also nil</w:t>
      </w:r>
      <w:r>
        <w:rPr>
          <w:b/>
        </w:rPr>
        <w:t>.</w:t>
      </w:r>
    </w:p>
    <w:p>
      <w:pPr>
        <w:spacing w:after="0"/>
        <w:sectPr>
          <w:pgSz w:w="11910" w:h="16840"/>
          <w:pgMar w:header="1038" w:footer="507" w:top="1460" w:bottom="700" w:left="900" w:right="860"/>
        </w:sectPr>
      </w:pPr>
    </w:p>
    <w:p>
      <w:pPr>
        <w:pStyle w:val="BodyText"/>
        <w:spacing w:before="2"/>
        <w:rPr>
          <w:b/>
          <w:sz w:val="24"/>
        </w:rPr>
      </w:pPr>
    </w:p>
    <w:p>
      <w:pPr>
        <w:pStyle w:val="Heading3"/>
        <w:spacing w:before="64"/>
      </w:pPr>
      <w:r>
        <w:rPr/>
        <w:t>Notes to the Financial Statements</w:t>
      </w:r>
    </w:p>
    <w:p>
      <w:pPr>
        <w:pStyle w:val="Heading6"/>
      </w:pPr>
      <w:r>
        <w:rPr/>
        <w:t>For the Year Ended 31 December 2012</w:t>
      </w:r>
    </w:p>
    <w:p>
      <w:pPr>
        <w:pStyle w:val="BodyText"/>
        <w:spacing w:before="10"/>
        <w:rPr>
          <w:b/>
          <w:sz w:val="32"/>
        </w:rPr>
      </w:pPr>
    </w:p>
    <w:p>
      <w:pPr>
        <w:pStyle w:val="Heading9"/>
        <w:numPr>
          <w:ilvl w:val="0"/>
          <w:numId w:val="88"/>
        </w:numPr>
        <w:tabs>
          <w:tab w:pos="506" w:val="left" w:leader="none"/>
        </w:tabs>
        <w:spacing w:line="240" w:lineRule="auto" w:before="0" w:after="0"/>
        <w:ind w:left="505" w:right="0" w:hanging="396"/>
        <w:jc w:val="left"/>
      </w:pPr>
      <w:r>
        <w:rPr/>
        <w:t>Financial Risk</w:t>
      </w:r>
      <w:r>
        <w:rPr>
          <w:spacing w:val="-2"/>
        </w:rPr>
        <w:t> </w:t>
      </w:r>
      <w:r>
        <w:rPr/>
        <w:t>Management</w:t>
      </w:r>
    </w:p>
    <w:p>
      <w:pPr>
        <w:pStyle w:val="BodyText"/>
        <w:rPr>
          <w:b/>
          <w:sz w:val="25"/>
        </w:rPr>
      </w:pPr>
    </w:p>
    <w:p>
      <w:pPr>
        <w:pStyle w:val="BodyText"/>
        <w:ind w:left="505" w:right="201"/>
      </w:pPr>
      <w:r>
        <w:rPr/>
        <w:t>The main risks the Company is exposed to through its financial instruments are credit risk, liquidity risk and market risk consisting of interest rate risk, foreign currency risk and equity price risk.</w:t>
      </w:r>
    </w:p>
    <w:p>
      <w:pPr>
        <w:pStyle w:val="BodyText"/>
        <w:rPr>
          <w:sz w:val="25"/>
        </w:rPr>
      </w:pPr>
    </w:p>
    <w:p>
      <w:pPr>
        <w:pStyle w:val="BodyText"/>
        <w:ind w:left="505" w:right="125"/>
      </w:pPr>
      <w:r>
        <w:rPr/>
        <w:t>The Company's financial instruments consist mainly of deposits with banks and local money market instruments.</w:t>
      </w:r>
    </w:p>
    <w:p>
      <w:pPr>
        <w:pStyle w:val="BodyText"/>
        <w:spacing w:before="11"/>
        <w:rPr>
          <w:sz w:val="24"/>
        </w:rPr>
      </w:pPr>
    </w:p>
    <w:p>
      <w:pPr>
        <w:pStyle w:val="BodyText"/>
        <w:spacing w:after="36"/>
        <w:ind w:left="505" w:right="770"/>
      </w:pPr>
      <w:r>
        <w:rPr/>
        <w:t>The totals for each category of financial instruments, measured in accordance with AASB 139 as detailed in the accounting policies to these financial statements, are as follows:</w:t>
      </w:r>
    </w:p>
    <w:tbl>
      <w:tblPr>
        <w:tblW w:w="0" w:type="auto"/>
        <w:jc w:val="left"/>
        <w:tblInd w:w="5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17"/>
        <w:gridCol w:w="1459"/>
        <w:gridCol w:w="1135"/>
      </w:tblGrid>
      <w:tr>
        <w:trPr>
          <w:trHeight w:val="560" w:hRule="exact"/>
        </w:trPr>
        <w:tc>
          <w:tcPr>
            <w:tcW w:w="6917" w:type="dxa"/>
          </w:tcPr>
          <w:p>
            <w:pPr/>
          </w:p>
        </w:tc>
        <w:tc>
          <w:tcPr>
            <w:tcW w:w="1459" w:type="dxa"/>
          </w:tcPr>
          <w:p>
            <w:pPr>
              <w:pStyle w:val="TableParagraph"/>
              <w:spacing w:line="204" w:lineRule="exact"/>
              <w:ind w:left="451" w:right="567"/>
              <w:jc w:val="center"/>
              <w:rPr>
                <w:b/>
                <w:sz w:val="18"/>
              </w:rPr>
            </w:pPr>
            <w:r>
              <w:rPr>
                <w:b/>
                <w:sz w:val="18"/>
              </w:rPr>
              <w:t>2012</w:t>
            </w:r>
          </w:p>
          <w:p>
            <w:pPr>
              <w:pStyle w:val="TableParagraph"/>
              <w:spacing w:before="66"/>
              <w:ind w:right="116"/>
              <w:jc w:val="center"/>
              <w:rPr>
                <w:b/>
                <w:sz w:val="18"/>
              </w:rPr>
            </w:pPr>
            <w:r>
              <w:rPr>
                <w:b/>
                <w:w w:val="99"/>
                <w:sz w:val="18"/>
              </w:rPr>
              <w:t>$</w:t>
            </w:r>
          </w:p>
        </w:tc>
        <w:tc>
          <w:tcPr>
            <w:tcW w:w="1135" w:type="dxa"/>
          </w:tcPr>
          <w:p>
            <w:pPr>
              <w:pStyle w:val="TableParagraph"/>
              <w:spacing w:line="204" w:lineRule="exact"/>
              <w:ind w:left="274" w:right="419"/>
              <w:jc w:val="center"/>
              <w:rPr>
                <w:b/>
                <w:sz w:val="18"/>
              </w:rPr>
            </w:pPr>
            <w:r>
              <w:rPr>
                <w:b/>
                <w:sz w:val="18"/>
              </w:rPr>
              <w:t>2011</w:t>
            </w:r>
          </w:p>
          <w:p>
            <w:pPr>
              <w:pStyle w:val="TableParagraph"/>
              <w:spacing w:before="66"/>
              <w:ind w:right="145"/>
              <w:jc w:val="center"/>
              <w:rPr>
                <w:b/>
                <w:sz w:val="18"/>
              </w:rPr>
            </w:pPr>
            <w:r>
              <w:rPr>
                <w:b/>
                <w:w w:val="99"/>
                <w:sz w:val="18"/>
              </w:rPr>
              <w:t>$</w:t>
            </w:r>
          </w:p>
        </w:tc>
      </w:tr>
      <w:tr>
        <w:trPr>
          <w:trHeight w:val="543" w:hRule="exact"/>
        </w:trPr>
        <w:tc>
          <w:tcPr>
            <w:tcW w:w="6917" w:type="dxa"/>
          </w:tcPr>
          <w:p>
            <w:pPr>
              <w:pStyle w:val="TableParagraph"/>
              <w:spacing w:before="63"/>
              <w:ind w:left="35"/>
              <w:rPr>
                <w:b/>
                <w:sz w:val="18"/>
              </w:rPr>
            </w:pPr>
            <w:r>
              <w:rPr>
                <w:b/>
                <w:sz w:val="18"/>
              </w:rPr>
              <w:t>Financial Assets</w:t>
            </w:r>
          </w:p>
          <w:p>
            <w:pPr>
              <w:pStyle w:val="TableParagraph"/>
              <w:spacing w:before="27"/>
              <w:ind w:left="35"/>
              <w:rPr>
                <w:sz w:val="18"/>
              </w:rPr>
            </w:pPr>
            <w:r>
              <w:rPr>
                <w:sz w:val="18"/>
              </w:rPr>
              <w:t>Loans to ultimate parent entity</w:t>
            </w:r>
          </w:p>
        </w:tc>
        <w:tc>
          <w:tcPr>
            <w:tcW w:w="1459" w:type="dxa"/>
          </w:tcPr>
          <w:p>
            <w:pPr>
              <w:pStyle w:val="TableParagraph"/>
              <w:spacing w:before="11"/>
              <w:rPr>
                <w:sz w:val="25"/>
              </w:rPr>
            </w:pPr>
          </w:p>
          <w:p>
            <w:pPr>
              <w:pStyle w:val="TableParagraph"/>
              <w:ind w:right="246"/>
              <w:jc w:val="right"/>
              <w:rPr>
                <w:b/>
                <w:sz w:val="18"/>
              </w:rPr>
            </w:pPr>
            <w:r>
              <w:rPr>
                <w:b/>
                <w:w w:val="95"/>
                <w:sz w:val="18"/>
              </w:rPr>
              <w:t>6,163,827</w:t>
            </w:r>
          </w:p>
        </w:tc>
        <w:tc>
          <w:tcPr>
            <w:tcW w:w="1135" w:type="dxa"/>
          </w:tcPr>
          <w:p>
            <w:pPr>
              <w:pStyle w:val="TableParagraph"/>
              <w:spacing w:before="11"/>
              <w:rPr>
                <w:sz w:val="25"/>
              </w:rPr>
            </w:pPr>
          </w:p>
          <w:p>
            <w:pPr>
              <w:pStyle w:val="TableParagraph"/>
              <w:ind w:right="147"/>
              <w:jc w:val="center"/>
              <w:rPr>
                <w:sz w:val="18"/>
              </w:rPr>
            </w:pPr>
            <w:r>
              <w:rPr>
                <w:w w:val="99"/>
                <w:sz w:val="18"/>
              </w:rPr>
              <w:t>-</w:t>
            </w:r>
          </w:p>
        </w:tc>
      </w:tr>
      <w:tr>
        <w:trPr>
          <w:trHeight w:val="264" w:hRule="exact"/>
        </w:trPr>
        <w:tc>
          <w:tcPr>
            <w:tcW w:w="6917" w:type="dxa"/>
          </w:tcPr>
          <w:p>
            <w:pPr>
              <w:pStyle w:val="TableParagraph"/>
              <w:spacing w:before="18"/>
              <w:ind w:left="35"/>
              <w:rPr>
                <w:sz w:val="18"/>
              </w:rPr>
            </w:pPr>
            <w:r>
              <w:rPr>
                <w:sz w:val="18"/>
              </w:rPr>
              <w:t>Cash and cash equivalents</w:t>
            </w:r>
          </w:p>
        </w:tc>
        <w:tc>
          <w:tcPr>
            <w:tcW w:w="1459" w:type="dxa"/>
          </w:tcPr>
          <w:p>
            <w:pPr>
              <w:pStyle w:val="TableParagraph"/>
              <w:spacing w:before="19"/>
              <w:ind w:right="246"/>
              <w:jc w:val="right"/>
              <w:rPr>
                <w:b/>
                <w:sz w:val="18"/>
              </w:rPr>
            </w:pPr>
            <w:r>
              <w:rPr>
                <w:b/>
                <w:w w:val="95"/>
                <w:sz w:val="18"/>
              </w:rPr>
              <w:t>649,802</w:t>
            </w:r>
          </w:p>
        </w:tc>
        <w:tc>
          <w:tcPr>
            <w:tcW w:w="1135" w:type="dxa"/>
          </w:tcPr>
          <w:p>
            <w:pPr>
              <w:pStyle w:val="TableParagraph"/>
              <w:spacing w:before="19"/>
              <w:ind w:right="84"/>
              <w:jc w:val="right"/>
              <w:rPr>
                <w:sz w:val="18"/>
              </w:rPr>
            </w:pPr>
            <w:r>
              <w:rPr>
                <w:w w:val="95"/>
                <w:sz w:val="18"/>
              </w:rPr>
              <w:t>3,293,082</w:t>
            </w:r>
          </w:p>
        </w:tc>
      </w:tr>
      <w:tr>
        <w:trPr>
          <w:trHeight w:val="263" w:hRule="exact"/>
        </w:trPr>
        <w:tc>
          <w:tcPr>
            <w:tcW w:w="6917" w:type="dxa"/>
          </w:tcPr>
          <w:p>
            <w:pPr>
              <w:pStyle w:val="TableParagraph"/>
              <w:spacing w:before="18"/>
              <w:ind w:left="35"/>
              <w:rPr>
                <w:sz w:val="18"/>
              </w:rPr>
            </w:pPr>
            <w:r>
              <w:rPr>
                <w:sz w:val="18"/>
              </w:rPr>
              <w:t>Trade receivables</w:t>
            </w:r>
          </w:p>
        </w:tc>
        <w:tc>
          <w:tcPr>
            <w:tcW w:w="1459" w:type="dxa"/>
            <w:tcBorders>
              <w:bottom w:val="single" w:sz="0" w:space="0" w:color="000000"/>
            </w:tcBorders>
          </w:tcPr>
          <w:p>
            <w:pPr>
              <w:pStyle w:val="TableParagraph"/>
              <w:spacing w:before="19"/>
              <w:ind w:right="247"/>
              <w:jc w:val="right"/>
              <w:rPr>
                <w:b/>
                <w:sz w:val="18"/>
              </w:rPr>
            </w:pPr>
            <w:r>
              <w:rPr>
                <w:b/>
                <w:w w:val="95"/>
                <w:sz w:val="18"/>
              </w:rPr>
              <w:t>68,411</w:t>
            </w:r>
          </w:p>
        </w:tc>
        <w:tc>
          <w:tcPr>
            <w:tcW w:w="1135" w:type="dxa"/>
            <w:tcBorders>
              <w:bottom w:val="single" w:sz="0" w:space="0" w:color="000000"/>
            </w:tcBorders>
          </w:tcPr>
          <w:p>
            <w:pPr>
              <w:pStyle w:val="TableParagraph"/>
              <w:spacing w:before="19"/>
              <w:ind w:right="84"/>
              <w:jc w:val="right"/>
              <w:rPr>
                <w:sz w:val="18"/>
              </w:rPr>
            </w:pPr>
            <w:r>
              <w:rPr>
                <w:w w:val="95"/>
                <w:sz w:val="18"/>
              </w:rPr>
              <w:t>71,978</w:t>
            </w:r>
          </w:p>
        </w:tc>
      </w:tr>
      <w:tr>
        <w:trPr>
          <w:trHeight w:val="353" w:hRule="exact"/>
        </w:trPr>
        <w:tc>
          <w:tcPr>
            <w:tcW w:w="6917" w:type="dxa"/>
          </w:tcPr>
          <w:p>
            <w:pPr>
              <w:pStyle w:val="TableParagraph"/>
              <w:spacing w:before="123"/>
              <w:ind w:left="35"/>
              <w:rPr>
                <w:b/>
                <w:sz w:val="18"/>
              </w:rPr>
            </w:pPr>
            <w:r>
              <w:rPr>
                <w:b/>
                <w:sz w:val="18"/>
              </w:rPr>
              <w:t>Total financial assets</w:t>
            </w: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6,882,040</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3,365,060</w:t>
            </w:r>
          </w:p>
        </w:tc>
      </w:tr>
      <w:tr>
        <w:trPr>
          <w:trHeight w:val="618" w:hRule="exact"/>
        </w:trPr>
        <w:tc>
          <w:tcPr>
            <w:tcW w:w="6917" w:type="dxa"/>
          </w:tcPr>
          <w:p>
            <w:pPr>
              <w:pStyle w:val="TableParagraph"/>
              <w:spacing w:before="138"/>
              <w:ind w:left="35"/>
              <w:rPr>
                <w:b/>
                <w:sz w:val="18"/>
              </w:rPr>
            </w:pPr>
            <w:r>
              <w:rPr>
                <w:b/>
                <w:sz w:val="18"/>
              </w:rPr>
              <w:t>Financial Liabilities</w:t>
            </w:r>
          </w:p>
          <w:p>
            <w:pPr>
              <w:pStyle w:val="TableParagraph"/>
              <w:spacing w:before="27"/>
              <w:ind w:left="35"/>
              <w:rPr>
                <w:sz w:val="18"/>
              </w:rPr>
            </w:pPr>
            <w:r>
              <w:rPr>
                <w:sz w:val="18"/>
              </w:rPr>
              <w:t>Accrued expenses</w:t>
            </w:r>
          </w:p>
        </w:tc>
        <w:tc>
          <w:tcPr>
            <w:tcW w:w="1459" w:type="dxa"/>
            <w:tcBorders>
              <w:top w:val="single" w:sz="0" w:space="0" w:color="000000"/>
            </w:tcBorders>
          </w:tcPr>
          <w:p>
            <w:pPr>
              <w:pStyle w:val="TableParagraph"/>
              <w:rPr>
                <w:sz w:val="18"/>
              </w:rPr>
            </w:pPr>
          </w:p>
          <w:p>
            <w:pPr>
              <w:pStyle w:val="TableParagraph"/>
              <w:spacing w:before="5"/>
              <w:rPr>
                <w:sz w:val="14"/>
              </w:rPr>
            </w:pPr>
          </w:p>
          <w:p>
            <w:pPr>
              <w:pStyle w:val="TableParagraph"/>
              <w:ind w:right="246"/>
              <w:jc w:val="right"/>
              <w:rPr>
                <w:b/>
                <w:sz w:val="18"/>
              </w:rPr>
            </w:pPr>
            <w:r>
              <w:rPr>
                <w:b/>
                <w:w w:val="95"/>
                <w:sz w:val="18"/>
              </w:rPr>
              <w:t>1,203,622</w:t>
            </w:r>
          </w:p>
        </w:tc>
        <w:tc>
          <w:tcPr>
            <w:tcW w:w="1135" w:type="dxa"/>
            <w:tcBorders>
              <w:top w:val="single" w:sz="0" w:space="0" w:color="000000"/>
            </w:tcBorders>
          </w:tcPr>
          <w:p>
            <w:pPr>
              <w:pStyle w:val="TableParagraph"/>
              <w:rPr>
                <w:sz w:val="18"/>
              </w:rPr>
            </w:pPr>
          </w:p>
          <w:p>
            <w:pPr>
              <w:pStyle w:val="TableParagraph"/>
              <w:spacing w:before="5"/>
              <w:rPr>
                <w:sz w:val="14"/>
              </w:rPr>
            </w:pPr>
          </w:p>
          <w:p>
            <w:pPr>
              <w:pStyle w:val="TableParagraph"/>
              <w:ind w:right="84"/>
              <w:jc w:val="right"/>
              <w:rPr>
                <w:sz w:val="18"/>
              </w:rPr>
            </w:pPr>
            <w:r>
              <w:rPr>
                <w:w w:val="95"/>
                <w:sz w:val="18"/>
              </w:rPr>
              <w:t>642,021</w:t>
            </w:r>
          </w:p>
        </w:tc>
      </w:tr>
      <w:tr>
        <w:trPr>
          <w:trHeight w:val="264" w:hRule="exact"/>
        </w:trPr>
        <w:tc>
          <w:tcPr>
            <w:tcW w:w="6917" w:type="dxa"/>
          </w:tcPr>
          <w:p>
            <w:pPr>
              <w:pStyle w:val="TableParagraph"/>
              <w:spacing w:before="18"/>
              <w:ind w:left="35"/>
              <w:rPr>
                <w:sz w:val="18"/>
              </w:rPr>
            </w:pPr>
            <w:r>
              <w:rPr>
                <w:sz w:val="18"/>
              </w:rPr>
              <w:t>Tuition fees advance receipts</w:t>
            </w:r>
          </w:p>
        </w:tc>
        <w:tc>
          <w:tcPr>
            <w:tcW w:w="1459" w:type="dxa"/>
          </w:tcPr>
          <w:p>
            <w:pPr>
              <w:pStyle w:val="TableParagraph"/>
              <w:spacing w:before="19"/>
              <w:ind w:right="246"/>
              <w:jc w:val="right"/>
              <w:rPr>
                <w:b/>
                <w:sz w:val="18"/>
              </w:rPr>
            </w:pPr>
            <w:r>
              <w:rPr>
                <w:b/>
                <w:w w:val="95"/>
                <w:sz w:val="18"/>
              </w:rPr>
              <w:t>888,699</w:t>
            </w:r>
          </w:p>
        </w:tc>
        <w:tc>
          <w:tcPr>
            <w:tcW w:w="1135" w:type="dxa"/>
          </w:tcPr>
          <w:p>
            <w:pPr>
              <w:pStyle w:val="TableParagraph"/>
              <w:spacing w:before="19"/>
              <w:ind w:right="84"/>
              <w:jc w:val="right"/>
              <w:rPr>
                <w:sz w:val="18"/>
              </w:rPr>
            </w:pPr>
            <w:r>
              <w:rPr>
                <w:w w:val="95"/>
                <w:sz w:val="18"/>
              </w:rPr>
              <w:t>817,799</w:t>
            </w:r>
          </w:p>
        </w:tc>
      </w:tr>
      <w:tr>
        <w:trPr>
          <w:trHeight w:val="264" w:hRule="exact"/>
        </w:trPr>
        <w:tc>
          <w:tcPr>
            <w:tcW w:w="6917" w:type="dxa"/>
          </w:tcPr>
          <w:p>
            <w:pPr>
              <w:pStyle w:val="TableParagraph"/>
              <w:spacing w:before="18"/>
              <w:ind w:left="35"/>
              <w:rPr>
                <w:sz w:val="18"/>
              </w:rPr>
            </w:pPr>
            <w:r>
              <w:rPr>
                <w:sz w:val="18"/>
              </w:rPr>
              <w:t>Amounts due to related parties</w:t>
            </w:r>
          </w:p>
        </w:tc>
        <w:tc>
          <w:tcPr>
            <w:tcW w:w="1459" w:type="dxa"/>
          </w:tcPr>
          <w:p>
            <w:pPr>
              <w:pStyle w:val="TableParagraph"/>
              <w:spacing w:before="19"/>
              <w:ind w:right="246"/>
              <w:jc w:val="right"/>
              <w:rPr>
                <w:b/>
                <w:sz w:val="18"/>
              </w:rPr>
            </w:pPr>
            <w:r>
              <w:rPr>
                <w:b/>
                <w:w w:val="95"/>
                <w:sz w:val="18"/>
              </w:rPr>
              <w:t>368,970</w:t>
            </w:r>
          </w:p>
        </w:tc>
        <w:tc>
          <w:tcPr>
            <w:tcW w:w="1135" w:type="dxa"/>
          </w:tcPr>
          <w:p>
            <w:pPr>
              <w:pStyle w:val="TableParagraph"/>
              <w:spacing w:before="19"/>
              <w:ind w:right="84"/>
              <w:jc w:val="right"/>
              <w:rPr>
                <w:sz w:val="18"/>
              </w:rPr>
            </w:pPr>
            <w:r>
              <w:rPr>
                <w:w w:val="95"/>
                <w:sz w:val="18"/>
              </w:rPr>
              <w:t>425,897</w:t>
            </w:r>
          </w:p>
        </w:tc>
      </w:tr>
      <w:tr>
        <w:trPr>
          <w:trHeight w:val="263" w:hRule="exact"/>
        </w:trPr>
        <w:tc>
          <w:tcPr>
            <w:tcW w:w="6917" w:type="dxa"/>
          </w:tcPr>
          <w:p>
            <w:pPr>
              <w:pStyle w:val="TableParagraph"/>
              <w:spacing w:before="18"/>
              <w:ind w:left="35"/>
              <w:rPr>
                <w:sz w:val="18"/>
              </w:rPr>
            </w:pPr>
            <w:r>
              <w:rPr>
                <w:sz w:val="18"/>
              </w:rPr>
              <w:t>Trade payables</w:t>
            </w:r>
          </w:p>
        </w:tc>
        <w:tc>
          <w:tcPr>
            <w:tcW w:w="1459" w:type="dxa"/>
            <w:tcBorders>
              <w:bottom w:val="single" w:sz="0" w:space="0" w:color="000000"/>
            </w:tcBorders>
          </w:tcPr>
          <w:p>
            <w:pPr>
              <w:pStyle w:val="TableParagraph"/>
              <w:spacing w:before="19"/>
              <w:ind w:right="246"/>
              <w:jc w:val="right"/>
              <w:rPr>
                <w:b/>
                <w:sz w:val="18"/>
              </w:rPr>
            </w:pPr>
            <w:r>
              <w:rPr>
                <w:b/>
                <w:w w:val="95"/>
                <w:sz w:val="18"/>
              </w:rPr>
              <w:t>256,258</w:t>
            </w:r>
          </w:p>
        </w:tc>
        <w:tc>
          <w:tcPr>
            <w:tcW w:w="1135" w:type="dxa"/>
            <w:tcBorders>
              <w:bottom w:val="single" w:sz="0" w:space="0" w:color="000000"/>
            </w:tcBorders>
          </w:tcPr>
          <w:p>
            <w:pPr>
              <w:pStyle w:val="TableParagraph"/>
              <w:spacing w:before="19"/>
              <w:ind w:right="85"/>
              <w:jc w:val="right"/>
              <w:rPr>
                <w:sz w:val="18"/>
              </w:rPr>
            </w:pPr>
            <w:r>
              <w:rPr>
                <w:w w:val="95"/>
                <w:sz w:val="18"/>
              </w:rPr>
              <w:t>150,737</w:t>
            </w:r>
          </w:p>
        </w:tc>
      </w:tr>
      <w:tr>
        <w:trPr>
          <w:trHeight w:val="353" w:hRule="exact"/>
        </w:trPr>
        <w:tc>
          <w:tcPr>
            <w:tcW w:w="6917" w:type="dxa"/>
          </w:tcPr>
          <w:p>
            <w:pPr>
              <w:pStyle w:val="TableParagraph"/>
              <w:spacing w:before="123"/>
              <w:ind w:left="35"/>
              <w:rPr>
                <w:b/>
                <w:sz w:val="18"/>
              </w:rPr>
            </w:pPr>
            <w:r>
              <w:rPr>
                <w:b/>
                <w:sz w:val="18"/>
              </w:rPr>
              <w:t>Total financial liabilities</w:t>
            </w: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2,717,549</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2,036,454</w:t>
            </w:r>
          </w:p>
        </w:tc>
      </w:tr>
    </w:tbl>
    <w:p>
      <w:pPr>
        <w:pStyle w:val="BodyText"/>
        <w:rPr>
          <w:sz w:val="20"/>
        </w:rPr>
      </w:pPr>
    </w:p>
    <w:p>
      <w:pPr>
        <w:pStyle w:val="BodyText"/>
        <w:rPr>
          <w:sz w:val="20"/>
        </w:rPr>
      </w:pPr>
    </w:p>
    <w:p>
      <w:pPr>
        <w:pStyle w:val="BodyText"/>
        <w:spacing w:before="1"/>
        <w:rPr>
          <w:sz w:val="17"/>
        </w:rPr>
      </w:pPr>
    </w:p>
    <w:p>
      <w:pPr>
        <w:pStyle w:val="Heading9"/>
        <w:tabs>
          <w:tab w:pos="8318" w:val="left" w:leader="none"/>
        </w:tabs>
        <w:spacing w:before="77"/>
        <w:ind w:left="4591" w:right="125"/>
      </w:pPr>
      <w:r>
        <w:rPr/>
        <w:t>Weighted average</w:t>
      </w:r>
      <w:r>
        <w:rPr>
          <w:spacing w:val="-1"/>
        </w:rPr>
        <w:t> </w:t>
      </w:r>
      <w:r>
        <w:rPr/>
        <w:t>interest</w:t>
      </w:r>
      <w:r>
        <w:rPr>
          <w:spacing w:val="-1"/>
        </w:rPr>
        <w:t> </w:t>
      </w:r>
      <w:r>
        <w:rPr/>
        <w:t>rate</w:t>
        <w:tab/>
        <w:t>Balance</w:t>
      </w:r>
    </w:p>
    <w:p>
      <w:pPr>
        <w:pStyle w:val="BodyText"/>
        <w:spacing w:before="10"/>
        <w:rPr>
          <w:b/>
          <w:sz w:val="22"/>
        </w:rPr>
      </w:pPr>
    </w:p>
    <w:tbl>
      <w:tblPr>
        <w:tblW w:w="0" w:type="auto"/>
        <w:jc w:val="left"/>
        <w:tblInd w:w="108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95"/>
        <w:gridCol w:w="2093"/>
        <w:gridCol w:w="1454"/>
        <w:gridCol w:w="1474"/>
        <w:gridCol w:w="1120"/>
      </w:tblGrid>
      <w:tr>
        <w:trPr>
          <w:trHeight w:val="864" w:hRule="exact"/>
        </w:trPr>
        <w:tc>
          <w:tcPr>
            <w:tcW w:w="2795" w:type="dxa"/>
          </w:tcPr>
          <w:p>
            <w:pPr>
              <w:pStyle w:val="TableParagraph"/>
              <w:rPr>
                <w:b/>
                <w:sz w:val="18"/>
              </w:rPr>
            </w:pPr>
          </w:p>
          <w:p>
            <w:pPr>
              <w:pStyle w:val="TableParagraph"/>
              <w:rPr>
                <w:b/>
                <w:sz w:val="18"/>
              </w:rPr>
            </w:pPr>
          </w:p>
          <w:p>
            <w:pPr>
              <w:pStyle w:val="TableParagraph"/>
              <w:spacing w:before="8"/>
              <w:rPr>
                <w:b/>
                <w:sz w:val="17"/>
              </w:rPr>
            </w:pPr>
          </w:p>
          <w:p>
            <w:pPr>
              <w:pStyle w:val="TableParagraph"/>
              <w:spacing w:before="1"/>
              <w:ind w:left="35"/>
              <w:rPr>
                <w:sz w:val="18"/>
              </w:rPr>
            </w:pPr>
            <w:r>
              <w:rPr>
                <w:sz w:val="18"/>
              </w:rPr>
              <w:t>Financial Assets</w:t>
            </w:r>
          </w:p>
        </w:tc>
        <w:tc>
          <w:tcPr>
            <w:tcW w:w="2093" w:type="dxa"/>
          </w:tcPr>
          <w:p>
            <w:pPr>
              <w:pStyle w:val="TableParagraph"/>
              <w:spacing w:before="77"/>
              <w:ind w:left="1234" w:right="419"/>
              <w:jc w:val="center"/>
              <w:rPr>
                <w:b/>
                <w:sz w:val="18"/>
              </w:rPr>
            </w:pPr>
            <w:r>
              <w:rPr>
                <w:b/>
                <w:sz w:val="18"/>
              </w:rPr>
              <w:t>2012</w:t>
            </w:r>
          </w:p>
          <w:p>
            <w:pPr>
              <w:pStyle w:val="TableParagraph"/>
              <w:spacing w:line="312" w:lineRule="auto" w:before="66"/>
              <w:ind w:left="1249" w:right="491" w:firstLine="59"/>
              <w:jc w:val="center"/>
              <w:rPr>
                <w:b/>
                <w:sz w:val="18"/>
              </w:rPr>
            </w:pPr>
            <w:r>
              <w:rPr>
                <w:b/>
                <w:sz w:val="18"/>
              </w:rPr>
              <w:t>% 3.70</w:t>
            </w:r>
          </w:p>
        </w:tc>
        <w:tc>
          <w:tcPr>
            <w:tcW w:w="1454" w:type="dxa"/>
          </w:tcPr>
          <w:p>
            <w:pPr>
              <w:pStyle w:val="TableParagraph"/>
              <w:spacing w:before="77"/>
              <w:ind w:left="419" w:right="580"/>
              <w:jc w:val="center"/>
              <w:rPr>
                <w:b/>
                <w:sz w:val="18"/>
              </w:rPr>
            </w:pPr>
            <w:r>
              <w:rPr>
                <w:b/>
                <w:sz w:val="18"/>
              </w:rPr>
              <w:t>2011</w:t>
            </w:r>
          </w:p>
          <w:p>
            <w:pPr>
              <w:pStyle w:val="TableParagraph"/>
              <w:spacing w:before="66"/>
              <w:ind w:right="162"/>
              <w:jc w:val="center"/>
              <w:rPr>
                <w:b/>
                <w:sz w:val="18"/>
              </w:rPr>
            </w:pPr>
            <w:r>
              <w:rPr>
                <w:b/>
                <w:w w:val="99"/>
                <w:sz w:val="18"/>
              </w:rPr>
              <w:t>%</w:t>
            </w:r>
          </w:p>
          <w:p>
            <w:pPr>
              <w:pStyle w:val="TableParagraph"/>
              <w:spacing w:before="62"/>
              <w:ind w:left="363" w:right="587"/>
              <w:jc w:val="center"/>
              <w:rPr>
                <w:sz w:val="18"/>
              </w:rPr>
            </w:pPr>
            <w:r>
              <w:rPr>
                <w:sz w:val="18"/>
              </w:rPr>
              <w:t>4.50</w:t>
            </w:r>
          </w:p>
        </w:tc>
        <w:tc>
          <w:tcPr>
            <w:tcW w:w="1474" w:type="dxa"/>
          </w:tcPr>
          <w:p>
            <w:pPr>
              <w:pStyle w:val="TableParagraph"/>
              <w:spacing w:before="77"/>
              <w:ind w:left="470" w:right="214"/>
              <w:rPr>
                <w:b/>
                <w:sz w:val="18"/>
              </w:rPr>
            </w:pPr>
            <w:r>
              <w:rPr>
                <w:b/>
                <w:sz w:val="18"/>
              </w:rPr>
              <w:t>2012</w:t>
            </w:r>
          </w:p>
          <w:p>
            <w:pPr>
              <w:pStyle w:val="TableParagraph"/>
              <w:spacing w:line="312" w:lineRule="auto" w:before="66"/>
              <w:ind w:left="439" w:right="214" w:firstLine="181"/>
              <w:rPr>
                <w:b/>
                <w:sz w:val="18"/>
              </w:rPr>
            </w:pPr>
            <w:r>
              <w:rPr>
                <w:b/>
                <w:sz w:val="18"/>
              </w:rPr>
              <w:t>$ 6,882,040</w:t>
            </w:r>
          </w:p>
        </w:tc>
        <w:tc>
          <w:tcPr>
            <w:tcW w:w="1120" w:type="dxa"/>
          </w:tcPr>
          <w:p>
            <w:pPr>
              <w:pStyle w:val="TableParagraph"/>
              <w:spacing w:before="77"/>
              <w:ind w:left="261" w:right="418"/>
              <w:jc w:val="center"/>
              <w:rPr>
                <w:b/>
                <w:sz w:val="18"/>
              </w:rPr>
            </w:pPr>
            <w:r>
              <w:rPr>
                <w:b/>
                <w:sz w:val="18"/>
              </w:rPr>
              <w:t>2011</w:t>
            </w:r>
          </w:p>
          <w:p>
            <w:pPr>
              <w:pStyle w:val="TableParagraph"/>
              <w:spacing w:before="66"/>
              <w:ind w:right="157"/>
              <w:jc w:val="center"/>
              <w:rPr>
                <w:b/>
                <w:sz w:val="18"/>
              </w:rPr>
            </w:pPr>
            <w:r>
              <w:rPr>
                <w:b/>
                <w:w w:val="99"/>
                <w:sz w:val="18"/>
              </w:rPr>
              <w:t>$</w:t>
            </w:r>
          </w:p>
          <w:p>
            <w:pPr>
              <w:pStyle w:val="TableParagraph"/>
              <w:spacing w:before="62"/>
              <w:ind w:left="234"/>
              <w:rPr>
                <w:sz w:val="18"/>
              </w:rPr>
            </w:pPr>
            <w:r>
              <w:rPr>
                <w:sz w:val="18"/>
              </w:rPr>
              <w:t>3,365,060</w:t>
            </w:r>
          </w:p>
        </w:tc>
      </w:tr>
      <w:tr>
        <w:trPr>
          <w:trHeight w:val="263" w:hRule="exact"/>
        </w:trPr>
        <w:tc>
          <w:tcPr>
            <w:tcW w:w="2795" w:type="dxa"/>
          </w:tcPr>
          <w:p>
            <w:pPr>
              <w:pStyle w:val="TableParagraph"/>
              <w:spacing w:before="18"/>
              <w:ind w:left="35"/>
              <w:rPr>
                <w:sz w:val="18"/>
              </w:rPr>
            </w:pPr>
            <w:r>
              <w:rPr>
                <w:sz w:val="18"/>
              </w:rPr>
              <w:t>Financial Liabilities</w:t>
            </w:r>
          </w:p>
        </w:tc>
        <w:tc>
          <w:tcPr>
            <w:tcW w:w="2093" w:type="dxa"/>
          </w:tcPr>
          <w:p>
            <w:pPr/>
          </w:p>
        </w:tc>
        <w:tc>
          <w:tcPr>
            <w:tcW w:w="1454" w:type="dxa"/>
          </w:tcPr>
          <w:p>
            <w:pPr/>
          </w:p>
        </w:tc>
        <w:tc>
          <w:tcPr>
            <w:tcW w:w="1474" w:type="dxa"/>
            <w:tcBorders>
              <w:bottom w:val="single" w:sz="0" w:space="0" w:color="000000"/>
            </w:tcBorders>
          </w:tcPr>
          <w:p>
            <w:pPr>
              <w:pStyle w:val="TableParagraph"/>
              <w:spacing w:before="19"/>
              <w:ind w:right="172"/>
              <w:jc w:val="right"/>
              <w:rPr>
                <w:b/>
                <w:sz w:val="18"/>
              </w:rPr>
            </w:pPr>
            <w:r>
              <w:rPr>
                <w:b/>
                <w:w w:val="95"/>
                <w:sz w:val="18"/>
              </w:rPr>
              <w:t>(2,717,549)</w:t>
            </w:r>
          </w:p>
        </w:tc>
        <w:tc>
          <w:tcPr>
            <w:tcW w:w="1120" w:type="dxa"/>
            <w:tcBorders>
              <w:bottom w:val="single" w:sz="0" w:space="0" w:color="000000"/>
            </w:tcBorders>
          </w:tcPr>
          <w:p>
            <w:pPr>
              <w:pStyle w:val="TableParagraph"/>
              <w:spacing w:before="19"/>
              <w:ind w:left="174"/>
              <w:rPr>
                <w:sz w:val="18"/>
              </w:rPr>
            </w:pPr>
            <w:r>
              <w:rPr>
                <w:sz w:val="18"/>
              </w:rPr>
              <w:t>(2,036,454)</w:t>
            </w:r>
          </w:p>
        </w:tc>
      </w:tr>
      <w:tr>
        <w:trPr>
          <w:trHeight w:val="338" w:hRule="exact"/>
        </w:trPr>
        <w:tc>
          <w:tcPr>
            <w:tcW w:w="2795" w:type="dxa"/>
          </w:tcPr>
          <w:p>
            <w:pPr/>
          </w:p>
        </w:tc>
        <w:tc>
          <w:tcPr>
            <w:tcW w:w="2093" w:type="dxa"/>
          </w:tcPr>
          <w:p>
            <w:pPr/>
          </w:p>
        </w:tc>
        <w:tc>
          <w:tcPr>
            <w:tcW w:w="1454" w:type="dxa"/>
          </w:tcPr>
          <w:p>
            <w:pPr/>
          </w:p>
        </w:tc>
        <w:tc>
          <w:tcPr>
            <w:tcW w:w="1474" w:type="dxa"/>
            <w:tcBorders>
              <w:top w:val="single" w:sz="0" w:space="0" w:color="000000"/>
              <w:bottom w:val="single" w:sz="0" w:space="0" w:color="000000"/>
            </w:tcBorders>
          </w:tcPr>
          <w:p>
            <w:pPr>
              <w:pStyle w:val="TableParagraph"/>
              <w:spacing w:before="122"/>
              <w:ind w:right="232"/>
              <w:jc w:val="right"/>
              <w:rPr>
                <w:b/>
                <w:sz w:val="18"/>
              </w:rPr>
            </w:pPr>
            <w:r>
              <w:rPr>
                <w:b/>
                <w:w w:val="95"/>
                <w:sz w:val="18"/>
              </w:rPr>
              <w:t>4,164,491</w:t>
            </w:r>
          </w:p>
        </w:tc>
        <w:tc>
          <w:tcPr>
            <w:tcW w:w="1120" w:type="dxa"/>
            <w:tcBorders>
              <w:top w:val="single" w:sz="0" w:space="0" w:color="000000"/>
              <w:bottom w:val="single" w:sz="0" w:space="0" w:color="000000"/>
            </w:tcBorders>
          </w:tcPr>
          <w:p>
            <w:pPr>
              <w:pStyle w:val="TableParagraph"/>
              <w:spacing w:before="122"/>
              <w:ind w:left="234"/>
              <w:rPr>
                <w:sz w:val="18"/>
              </w:rPr>
            </w:pPr>
            <w:r>
              <w:rPr>
                <w:sz w:val="18"/>
              </w:rPr>
              <w:t>1,328,606</w:t>
            </w:r>
          </w:p>
        </w:tc>
      </w:tr>
    </w:tbl>
    <w:p>
      <w:pPr>
        <w:spacing w:after="0"/>
        <w:rPr>
          <w:sz w:val="18"/>
        </w:rPr>
        <w:sectPr>
          <w:pgSz w:w="11910" w:h="16840"/>
          <w:pgMar w:header="1038" w:footer="507" w:top="1460" w:bottom="700" w:left="900" w:right="860"/>
        </w:sectPr>
      </w:pPr>
    </w:p>
    <w:p>
      <w:pPr>
        <w:pStyle w:val="BodyText"/>
        <w:spacing w:before="2"/>
        <w:rPr>
          <w:b/>
          <w:sz w:val="24"/>
        </w:rPr>
      </w:pPr>
    </w:p>
    <w:p>
      <w:pPr>
        <w:spacing w:before="64"/>
        <w:ind w:left="107" w:right="93" w:firstLine="0"/>
        <w:jc w:val="left"/>
        <w:rPr>
          <w:b/>
          <w:sz w:val="28"/>
        </w:rPr>
      </w:pPr>
      <w:r>
        <w:rPr>
          <w:b/>
          <w:sz w:val="28"/>
        </w:rPr>
        <w:t>Notes to the Financial Statements</w:t>
      </w:r>
    </w:p>
    <w:p>
      <w:pPr>
        <w:spacing w:before="57"/>
        <w:ind w:left="107" w:right="93" w:firstLine="0"/>
        <w:jc w:val="left"/>
        <w:rPr>
          <w:b/>
          <w:sz w:val="22"/>
        </w:rPr>
      </w:pPr>
      <w:r>
        <w:rPr>
          <w:b/>
          <w:sz w:val="22"/>
        </w:rPr>
        <w:t>For the Year Ended 31 December 2012</w:t>
      </w:r>
    </w:p>
    <w:p>
      <w:pPr>
        <w:pStyle w:val="BodyText"/>
        <w:rPr>
          <w:b/>
          <w:sz w:val="22"/>
        </w:rPr>
      </w:pPr>
    </w:p>
    <w:p>
      <w:pPr>
        <w:pStyle w:val="BodyText"/>
        <w:rPr>
          <w:b/>
          <w:sz w:val="22"/>
        </w:rPr>
      </w:pPr>
    </w:p>
    <w:p>
      <w:pPr>
        <w:spacing w:line="573" w:lineRule="auto" w:before="160"/>
        <w:ind w:left="505" w:right="5721" w:hanging="397"/>
        <w:jc w:val="left"/>
        <w:rPr>
          <w:b/>
          <w:sz w:val="18"/>
        </w:rPr>
      </w:pPr>
      <w:r>
        <w:rPr>
          <w:b/>
          <w:sz w:val="18"/>
        </w:rPr>
        <w:t>11 Financial Risk Management continued Financial risk management policies</w:t>
      </w:r>
    </w:p>
    <w:p>
      <w:pPr>
        <w:pStyle w:val="BodyText"/>
        <w:spacing w:before="8"/>
        <w:ind w:left="505" w:right="450"/>
      </w:pPr>
      <w:r>
        <w:rPr/>
        <w:t>The Board of Directors has overall responsibility for the establishment of the Company’s financial risk management framework.</w:t>
      </w:r>
    </w:p>
    <w:p>
      <w:pPr>
        <w:pStyle w:val="BodyText"/>
        <w:rPr>
          <w:sz w:val="25"/>
        </w:rPr>
      </w:pPr>
    </w:p>
    <w:p>
      <w:pPr>
        <w:pStyle w:val="BodyText"/>
        <w:ind w:left="505" w:right="830"/>
      </w:pPr>
      <w:r>
        <w:rPr/>
        <w:t>Risk management policies and systems are reviewed regularly to reflect changes in market conditions and the Company's activities.</w:t>
      </w:r>
    </w:p>
    <w:p>
      <w:pPr>
        <w:pStyle w:val="BodyText"/>
        <w:rPr>
          <w:sz w:val="25"/>
        </w:rPr>
      </w:pPr>
    </w:p>
    <w:p>
      <w:pPr>
        <w:pStyle w:val="BodyText"/>
        <w:ind w:left="505" w:right="519"/>
      </w:pPr>
      <w:r>
        <w:rPr/>
        <w:t>The Company does not actively engage in the trading of financial assets for speculative purposes nor does it write options.</w:t>
      </w:r>
    </w:p>
    <w:p>
      <w:pPr>
        <w:pStyle w:val="BodyText"/>
        <w:rPr>
          <w:sz w:val="25"/>
        </w:rPr>
      </w:pPr>
    </w:p>
    <w:p>
      <w:pPr>
        <w:pStyle w:val="BodyText"/>
        <w:ind w:left="505" w:right="93"/>
      </w:pPr>
      <w:r>
        <w:rPr/>
        <w:t>Mitigation strategies for specific risks faced are described below:</w:t>
      </w:r>
    </w:p>
    <w:p>
      <w:pPr>
        <w:pStyle w:val="BodyText"/>
        <w:spacing w:before="11"/>
        <w:rPr>
          <w:sz w:val="24"/>
        </w:rPr>
      </w:pPr>
    </w:p>
    <w:p>
      <w:pPr>
        <w:pStyle w:val="Heading9"/>
        <w:numPr>
          <w:ilvl w:val="0"/>
          <w:numId w:val="89"/>
        </w:numPr>
        <w:tabs>
          <w:tab w:pos="1072" w:val="left" w:leader="none"/>
        </w:tabs>
        <w:spacing w:line="240" w:lineRule="auto" w:before="0" w:after="0"/>
        <w:ind w:left="1071" w:right="0" w:hanging="566"/>
        <w:jc w:val="left"/>
      </w:pPr>
      <w:r>
        <w:rPr/>
        <w:t>Credit</w:t>
      </w:r>
      <w:r>
        <w:rPr>
          <w:spacing w:val="-1"/>
        </w:rPr>
        <w:t> </w:t>
      </w:r>
      <w:r>
        <w:rPr/>
        <w:t>risk</w:t>
      </w:r>
    </w:p>
    <w:p>
      <w:pPr>
        <w:pStyle w:val="BodyText"/>
        <w:rPr>
          <w:b/>
          <w:sz w:val="25"/>
        </w:rPr>
      </w:pPr>
    </w:p>
    <w:p>
      <w:pPr>
        <w:pStyle w:val="BodyText"/>
        <w:ind w:left="1072" w:right="105"/>
        <w:jc w:val="both"/>
      </w:pPr>
      <w:r>
        <w:rPr/>
        <w:t>Exposure to credit risk relating to financial assets arises from the potential non-performance by counterparties of contract obligations that could lead to a financial loss to the Company and arises principally from the Company's receivables.</w:t>
      </w:r>
    </w:p>
    <w:p>
      <w:pPr>
        <w:pStyle w:val="BodyText"/>
        <w:rPr>
          <w:sz w:val="25"/>
        </w:rPr>
      </w:pPr>
    </w:p>
    <w:p>
      <w:pPr>
        <w:pStyle w:val="BodyText"/>
        <w:ind w:left="1072" w:right="443"/>
      </w:pPr>
      <w:r>
        <w:rPr/>
        <w:t>Services are sold subject to retention of title clauses, so that in the event of non-payment the Company may have a secured claim.</w:t>
      </w:r>
    </w:p>
    <w:p>
      <w:pPr>
        <w:pStyle w:val="BodyText"/>
        <w:rPr>
          <w:sz w:val="25"/>
        </w:rPr>
      </w:pPr>
    </w:p>
    <w:p>
      <w:pPr>
        <w:pStyle w:val="BodyText"/>
        <w:ind w:left="1072" w:right="233"/>
      </w:pPr>
      <w:r>
        <w:rPr/>
        <w:t>There are not any material differences between from the carrying amount and fair value of financial assets and liabilities and hence the carry amount represents fair value.</w:t>
      </w:r>
    </w:p>
    <w:p>
      <w:pPr>
        <w:pStyle w:val="BodyText"/>
        <w:spacing w:before="11"/>
        <w:rPr>
          <w:sz w:val="24"/>
        </w:rPr>
      </w:pPr>
    </w:p>
    <w:p>
      <w:pPr>
        <w:pStyle w:val="Heading9"/>
        <w:numPr>
          <w:ilvl w:val="0"/>
          <w:numId w:val="89"/>
        </w:numPr>
        <w:tabs>
          <w:tab w:pos="1072" w:val="left" w:leader="none"/>
        </w:tabs>
        <w:spacing w:line="240" w:lineRule="auto" w:before="0" w:after="0"/>
        <w:ind w:left="1071" w:right="0" w:hanging="566"/>
        <w:jc w:val="left"/>
      </w:pPr>
      <w:r>
        <w:rPr/>
        <w:t>Liquidity</w:t>
      </w:r>
      <w:r>
        <w:rPr>
          <w:spacing w:val="-1"/>
        </w:rPr>
        <w:t> </w:t>
      </w:r>
      <w:r>
        <w:rPr/>
        <w:t>risk</w:t>
      </w:r>
    </w:p>
    <w:p>
      <w:pPr>
        <w:pStyle w:val="BodyText"/>
        <w:rPr>
          <w:b/>
          <w:sz w:val="25"/>
        </w:rPr>
      </w:pPr>
    </w:p>
    <w:p>
      <w:pPr>
        <w:pStyle w:val="BodyText"/>
        <w:ind w:left="1072" w:right="93"/>
      </w:pPr>
      <w:r>
        <w:rPr/>
        <w:t>Liquidity risk arises from the possibility that the Company might encounter difficulty in settling its debts or otherwise meeting its obligations related to financial liabilities. The Company manages this risk through the following mechanisms:</w:t>
      </w:r>
    </w:p>
    <w:p>
      <w:pPr>
        <w:pStyle w:val="BodyText"/>
        <w:spacing w:before="5"/>
        <w:rPr>
          <w:sz w:val="25"/>
        </w:rPr>
      </w:pPr>
    </w:p>
    <w:p>
      <w:pPr>
        <w:pStyle w:val="ListParagraph"/>
        <w:numPr>
          <w:ilvl w:val="1"/>
          <w:numId w:val="89"/>
        </w:numPr>
        <w:tabs>
          <w:tab w:pos="1640" w:val="left" w:leader="none"/>
        </w:tabs>
        <w:spacing w:line="259" w:lineRule="auto" w:before="1" w:after="0"/>
        <w:ind w:left="1639" w:right="111" w:hanging="567"/>
        <w:jc w:val="left"/>
        <w:rPr>
          <w:sz w:val="18"/>
        </w:rPr>
      </w:pPr>
      <w:r>
        <w:rPr>
          <w:sz w:val="18"/>
        </w:rPr>
        <w:t>preparing forward-looking cash flow analysis in relation to its operational, investing and financial activities which are monitored on a weekly basis, and reported monthly;</w:t>
      </w:r>
      <w:r>
        <w:rPr>
          <w:spacing w:val="-1"/>
          <w:sz w:val="18"/>
        </w:rPr>
        <w:t> </w:t>
      </w:r>
      <w:r>
        <w:rPr>
          <w:sz w:val="18"/>
        </w:rPr>
        <w:t>and</w:t>
      </w:r>
    </w:p>
    <w:p>
      <w:pPr>
        <w:pStyle w:val="BodyText"/>
        <w:spacing w:before="2"/>
        <w:rPr>
          <w:sz w:val="24"/>
        </w:rPr>
      </w:pPr>
    </w:p>
    <w:p>
      <w:pPr>
        <w:pStyle w:val="ListParagraph"/>
        <w:numPr>
          <w:ilvl w:val="1"/>
          <w:numId w:val="89"/>
        </w:numPr>
        <w:tabs>
          <w:tab w:pos="1640" w:val="left" w:leader="none"/>
        </w:tabs>
        <w:spacing w:line="240" w:lineRule="auto" w:before="0" w:after="0"/>
        <w:ind w:left="1639" w:right="0" w:hanging="567"/>
        <w:jc w:val="left"/>
        <w:rPr>
          <w:sz w:val="18"/>
        </w:rPr>
      </w:pPr>
      <w:r>
        <w:rPr>
          <w:sz w:val="18"/>
        </w:rPr>
        <w:t>only investing surplus cash with major financial institutions or with the parent</w:t>
      </w:r>
      <w:r>
        <w:rPr>
          <w:spacing w:val="-1"/>
          <w:sz w:val="18"/>
        </w:rPr>
        <w:t> </w:t>
      </w:r>
      <w:r>
        <w:rPr>
          <w:sz w:val="18"/>
        </w:rPr>
        <w:t>entity;</w:t>
      </w:r>
    </w:p>
    <w:p>
      <w:pPr>
        <w:pStyle w:val="BodyText"/>
        <w:spacing w:before="11"/>
        <w:rPr>
          <w:sz w:val="24"/>
        </w:rPr>
      </w:pPr>
    </w:p>
    <w:p>
      <w:pPr>
        <w:pStyle w:val="BodyText"/>
        <w:ind w:left="1072" w:right="263"/>
      </w:pPr>
      <w:r>
        <w:rPr/>
        <w:t>The timing of expected outflows is not expected to be materially different from contracted cashflows. The table below reflect an undiscounted contractual maturity analysis for financial liabilities.</w:t>
      </w:r>
    </w:p>
    <w:p>
      <w:pPr>
        <w:spacing w:after="0"/>
        <w:sectPr>
          <w:pgSz w:w="11910" w:h="16840"/>
          <w:pgMar w:header="1038" w:footer="507" w:top="1460" w:bottom="700" w:left="900" w:right="900"/>
        </w:sectPr>
      </w:pPr>
    </w:p>
    <w:p>
      <w:pPr>
        <w:pStyle w:val="Heading6"/>
        <w:spacing w:before="45"/>
        <w:ind w:right="0"/>
      </w:pPr>
      <w:r>
        <w:rPr/>
        <w:t>UWS College Pty Limited</w:t>
      </w:r>
    </w:p>
    <w:p>
      <w:pPr>
        <w:spacing w:before="56"/>
        <w:ind w:left="107" w:right="0" w:firstLine="0"/>
        <w:jc w:val="left"/>
        <w:rPr>
          <w:b/>
          <w:sz w:val="14"/>
        </w:rPr>
      </w:pPr>
      <w:r>
        <w:rPr>
          <w:b/>
          <w:sz w:val="14"/>
        </w:rPr>
        <w:t>ABN: 44 003 474 468</w:t>
      </w:r>
    </w:p>
    <w:p>
      <w:pPr>
        <w:pStyle w:val="BodyText"/>
        <w:rPr>
          <w:b/>
          <w:sz w:val="14"/>
        </w:rPr>
      </w:pPr>
    </w:p>
    <w:p>
      <w:pPr>
        <w:pStyle w:val="BodyText"/>
        <w:spacing w:before="5"/>
        <w:rPr>
          <w:b/>
          <w:sz w:val="15"/>
        </w:rPr>
      </w:pPr>
    </w:p>
    <w:p>
      <w:pPr>
        <w:pStyle w:val="Heading3"/>
        <w:spacing w:before="0"/>
        <w:ind w:right="0"/>
      </w:pPr>
      <w:r>
        <w:rPr/>
        <w:t>Notes to the Financial Statements</w:t>
      </w:r>
    </w:p>
    <w:p>
      <w:pPr>
        <w:pStyle w:val="Heading6"/>
        <w:ind w:right="0"/>
      </w:pPr>
      <w:r>
        <w:rPr/>
        <w:t>For the Year Ended 31 December 2012</w:t>
      </w:r>
    </w:p>
    <w:p>
      <w:pPr>
        <w:pStyle w:val="BodyText"/>
        <w:rPr>
          <w:b/>
          <w:sz w:val="22"/>
        </w:rPr>
      </w:pPr>
    </w:p>
    <w:p>
      <w:pPr>
        <w:pStyle w:val="BodyText"/>
        <w:rPr>
          <w:b/>
          <w:sz w:val="22"/>
        </w:rPr>
      </w:pPr>
    </w:p>
    <w:p>
      <w:pPr>
        <w:pStyle w:val="Heading9"/>
        <w:spacing w:before="160"/>
        <w:ind w:left="109"/>
      </w:pPr>
      <w:r>
        <w:rPr/>
        <w:t>11    Financial Risk Management continued</w:t>
      </w:r>
    </w:p>
    <w:p>
      <w:pPr>
        <w:pStyle w:val="BodyText"/>
        <w:spacing w:before="3"/>
        <w:rPr>
          <w:b/>
        </w:rPr>
      </w:pPr>
    </w:p>
    <w:p>
      <w:pPr>
        <w:spacing w:before="77"/>
        <w:ind w:left="1076" w:right="0" w:firstLine="0"/>
        <w:jc w:val="left"/>
        <w:rPr>
          <w:i/>
          <w:sz w:val="18"/>
        </w:rPr>
      </w:pPr>
      <w:r>
        <w:rPr>
          <w:i/>
          <w:sz w:val="18"/>
        </w:rPr>
        <w:t>Financial liability maturity analysis - Non-derivative</w:t>
      </w:r>
    </w:p>
    <w:p>
      <w:pPr>
        <w:pStyle w:val="Heading9"/>
        <w:tabs>
          <w:tab w:pos="7985" w:val="left" w:leader="none"/>
          <w:tab w:pos="10536" w:val="left" w:leader="none"/>
          <w:tab w:pos="13463" w:val="left" w:leader="none"/>
        </w:tabs>
        <w:spacing w:before="33" w:after="36"/>
        <w:ind w:left="5325"/>
      </w:pPr>
      <w:r>
        <w:rPr/>
        <w:t>Within</w:t>
      </w:r>
      <w:r>
        <w:rPr>
          <w:spacing w:val="-1"/>
        </w:rPr>
        <w:t> </w:t>
      </w:r>
      <w:r>
        <w:rPr/>
        <w:t>1</w:t>
      </w:r>
      <w:r>
        <w:rPr>
          <w:spacing w:val="-1"/>
        </w:rPr>
        <w:t> </w:t>
      </w:r>
      <w:r>
        <w:rPr/>
        <w:t>Year</w:t>
        <w:tab/>
        <w:t>1 to</w:t>
      </w:r>
      <w:r>
        <w:rPr>
          <w:spacing w:val="-1"/>
        </w:rPr>
        <w:t> </w:t>
      </w:r>
      <w:r>
        <w:rPr/>
        <w:t>5</w:t>
      </w:r>
      <w:r>
        <w:rPr>
          <w:spacing w:val="-1"/>
        </w:rPr>
        <w:t> </w:t>
      </w:r>
      <w:r>
        <w:rPr/>
        <w:t>Years</w:t>
        <w:tab/>
        <w:t>Over</w:t>
      </w:r>
      <w:r>
        <w:rPr>
          <w:spacing w:val="-1"/>
        </w:rPr>
        <w:t> </w:t>
      </w:r>
      <w:r>
        <w:rPr/>
        <w:t>5</w:t>
      </w:r>
      <w:r>
        <w:rPr>
          <w:spacing w:val="-1"/>
        </w:rPr>
        <w:t> </w:t>
      </w:r>
      <w:r>
        <w:rPr/>
        <w:t>Years</w:t>
        <w:tab/>
        <w:t>Total</w:t>
      </w:r>
    </w:p>
    <w:tbl>
      <w:tblPr>
        <w:tblW w:w="0" w:type="auto"/>
        <w:jc w:val="left"/>
        <w:tblInd w:w="1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67"/>
        <w:gridCol w:w="1474"/>
        <w:gridCol w:w="1314"/>
        <w:gridCol w:w="1127"/>
        <w:gridCol w:w="1297"/>
        <w:gridCol w:w="1297"/>
        <w:gridCol w:w="1297"/>
        <w:gridCol w:w="1452"/>
        <w:gridCol w:w="1120"/>
      </w:tblGrid>
      <w:tr>
        <w:trPr>
          <w:trHeight w:val="594" w:hRule="exact"/>
        </w:trPr>
        <w:tc>
          <w:tcPr>
            <w:tcW w:w="3467" w:type="dxa"/>
          </w:tcPr>
          <w:p>
            <w:pPr/>
          </w:p>
        </w:tc>
        <w:tc>
          <w:tcPr>
            <w:tcW w:w="1474" w:type="dxa"/>
          </w:tcPr>
          <w:p>
            <w:pPr>
              <w:pStyle w:val="TableParagraph"/>
              <w:spacing w:before="30"/>
              <w:ind w:left="452" w:right="580"/>
              <w:jc w:val="center"/>
              <w:rPr>
                <w:b/>
                <w:sz w:val="18"/>
              </w:rPr>
            </w:pPr>
            <w:r>
              <w:rPr>
                <w:b/>
                <w:sz w:val="18"/>
              </w:rPr>
              <w:t>2012</w:t>
            </w:r>
          </w:p>
          <w:p>
            <w:pPr>
              <w:pStyle w:val="TableParagraph"/>
              <w:spacing w:before="66"/>
              <w:ind w:right="128"/>
              <w:jc w:val="center"/>
              <w:rPr>
                <w:b/>
                <w:sz w:val="18"/>
              </w:rPr>
            </w:pPr>
            <w:r>
              <w:rPr>
                <w:b/>
                <w:w w:val="99"/>
                <w:sz w:val="18"/>
              </w:rPr>
              <w:t>$</w:t>
            </w:r>
          </w:p>
        </w:tc>
        <w:tc>
          <w:tcPr>
            <w:tcW w:w="1314" w:type="dxa"/>
          </w:tcPr>
          <w:p>
            <w:pPr>
              <w:pStyle w:val="TableParagraph"/>
              <w:spacing w:before="30"/>
              <w:ind w:left="276" w:right="597"/>
              <w:jc w:val="center"/>
              <w:rPr>
                <w:b/>
                <w:sz w:val="18"/>
              </w:rPr>
            </w:pPr>
            <w:r>
              <w:rPr>
                <w:b/>
                <w:sz w:val="18"/>
              </w:rPr>
              <w:t>2011</w:t>
            </w:r>
          </w:p>
          <w:p>
            <w:pPr>
              <w:pStyle w:val="TableParagraph"/>
              <w:spacing w:before="66"/>
              <w:ind w:right="322"/>
              <w:jc w:val="center"/>
              <w:rPr>
                <w:b/>
                <w:sz w:val="18"/>
              </w:rPr>
            </w:pPr>
            <w:r>
              <w:rPr>
                <w:b/>
                <w:w w:val="99"/>
                <w:sz w:val="18"/>
              </w:rPr>
              <w:t>$</w:t>
            </w:r>
          </w:p>
        </w:tc>
        <w:tc>
          <w:tcPr>
            <w:tcW w:w="1127" w:type="dxa"/>
          </w:tcPr>
          <w:p>
            <w:pPr>
              <w:pStyle w:val="TableParagraph"/>
              <w:spacing w:before="30"/>
              <w:ind w:left="259" w:right="427"/>
              <w:jc w:val="center"/>
              <w:rPr>
                <w:b/>
                <w:sz w:val="18"/>
              </w:rPr>
            </w:pPr>
            <w:r>
              <w:rPr>
                <w:b/>
                <w:sz w:val="18"/>
              </w:rPr>
              <w:t>2012</w:t>
            </w:r>
          </w:p>
          <w:p>
            <w:pPr>
              <w:pStyle w:val="TableParagraph"/>
              <w:spacing w:before="66"/>
              <w:ind w:right="168"/>
              <w:jc w:val="center"/>
              <w:rPr>
                <w:b/>
                <w:sz w:val="18"/>
              </w:rPr>
            </w:pPr>
            <w:r>
              <w:rPr>
                <w:b/>
                <w:w w:val="99"/>
                <w:sz w:val="18"/>
              </w:rPr>
              <w:t>$</w:t>
            </w:r>
          </w:p>
        </w:tc>
        <w:tc>
          <w:tcPr>
            <w:tcW w:w="1297" w:type="dxa"/>
          </w:tcPr>
          <w:p>
            <w:pPr>
              <w:pStyle w:val="TableParagraph"/>
              <w:spacing w:before="30"/>
              <w:ind w:left="428" w:right="428"/>
              <w:jc w:val="center"/>
              <w:rPr>
                <w:b/>
                <w:sz w:val="18"/>
              </w:rPr>
            </w:pPr>
            <w:r>
              <w:rPr>
                <w:b/>
                <w:sz w:val="18"/>
              </w:rPr>
              <w:t>2011</w:t>
            </w:r>
          </w:p>
          <w:p>
            <w:pPr>
              <w:pStyle w:val="TableParagraph"/>
              <w:spacing w:before="66"/>
              <w:jc w:val="center"/>
              <w:rPr>
                <w:b/>
                <w:sz w:val="18"/>
              </w:rPr>
            </w:pPr>
            <w:r>
              <w:rPr>
                <w:b/>
                <w:w w:val="99"/>
                <w:sz w:val="18"/>
              </w:rPr>
              <w:t>$</w:t>
            </w:r>
          </w:p>
        </w:tc>
        <w:tc>
          <w:tcPr>
            <w:tcW w:w="1297" w:type="dxa"/>
          </w:tcPr>
          <w:p>
            <w:pPr>
              <w:pStyle w:val="TableParagraph"/>
              <w:spacing w:before="30"/>
              <w:ind w:left="428" w:right="428"/>
              <w:jc w:val="center"/>
              <w:rPr>
                <w:b/>
                <w:sz w:val="18"/>
              </w:rPr>
            </w:pPr>
            <w:r>
              <w:rPr>
                <w:b/>
                <w:sz w:val="18"/>
              </w:rPr>
              <w:t>2012</w:t>
            </w:r>
          </w:p>
          <w:p>
            <w:pPr>
              <w:pStyle w:val="TableParagraph"/>
              <w:spacing w:before="66"/>
              <w:jc w:val="center"/>
              <w:rPr>
                <w:b/>
                <w:sz w:val="18"/>
              </w:rPr>
            </w:pPr>
            <w:r>
              <w:rPr>
                <w:b/>
                <w:w w:val="99"/>
                <w:sz w:val="18"/>
              </w:rPr>
              <w:t>$</w:t>
            </w:r>
          </w:p>
        </w:tc>
        <w:tc>
          <w:tcPr>
            <w:tcW w:w="1297" w:type="dxa"/>
          </w:tcPr>
          <w:p>
            <w:pPr>
              <w:pStyle w:val="TableParagraph"/>
              <w:spacing w:before="30"/>
              <w:ind w:left="428" w:right="428"/>
              <w:jc w:val="center"/>
              <w:rPr>
                <w:b/>
                <w:sz w:val="18"/>
              </w:rPr>
            </w:pPr>
            <w:r>
              <w:rPr>
                <w:b/>
                <w:sz w:val="18"/>
              </w:rPr>
              <w:t>2011</w:t>
            </w:r>
          </w:p>
          <w:p>
            <w:pPr>
              <w:pStyle w:val="TableParagraph"/>
              <w:spacing w:before="66"/>
              <w:jc w:val="center"/>
              <w:rPr>
                <w:b/>
                <w:sz w:val="18"/>
              </w:rPr>
            </w:pPr>
            <w:r>
              <w:rPr>
                <w:b/>
                <w:w w:val="99"/>
                <w:sz w:val="18"/>
              </w:rPr>
              <w:t>$</w:t>
            </w:r>
          </w:p>
        </w:tc>
        <w:tc>
          <w:tcPr>
            <w:tcW w:w="1452" w:type="dxa"/>
          </w:tcPr>
          <w:p>
            <w:pPr>
              <w:pStyle w:val="TableParagraph"/>
              <w:spacing w:before="30"/>
              <w:ind w:left="429" w:right="581"/>
              <w:jc w:val="center"/>
              <w:rPr>
                <w:b/>
                <w:sz w:val="18"/>
              </w:rPr>
            </w:pPr>
            <w:r>
              <w:rPr>
                <w:b/>
                <w:sz w:val="18"/>
              </w:rPr>
              <w:t>2012</w:t>
            </w:r>
          </w:p>
          <w:p>
            <w:pPr>
              <w:pStyle w:val="TableParagraph"/>
              <w:spacing w:before="66"/>
              <w:ind w:right="152"/>
              <w:jc w:val="center"/>
              <w:rPr>
                <w:b/>
                <w:sz w:val="18"/>
              </w:rPr>
            </w:pPr>
            <w:r>
              <w:rPr>
                <w:b/>
                <w:w w:val="99"/>
                <w:sz w:val="18"/>
              </w:rPr>
              <w:t>$</w:t>
            </w:r>
          </w:p>
        </w:tc>
        <w:tc>
          <w:tcPr>
            <w:tcW w:w="1120" w:type="dxa"/>
          </w:tcPr>
          <w:p>
            <w:pPr>
              <w:pStyle w:val="TableParagraph"/>
              <w:spacing w:before="30"/>
              <w:ind w:left="274" w:right="404"/>
              <w:jc w:val="center"/>
              <w:rPr>
                <w:b/>
                <w:sz w:val="18"/>
              </w:rPr>
            </w:pPr>
            <w:r>
              <w:rPr>
                <w:b/>
                <w:sz w:val="18"/>
              </w:rPr>
              <w:t>2011</w:t>
            </w:r>
          </w:p>
          <w:p>
            <w:pPr>
              <w:pStyle w:val="TableParagraph"/>
              <w:spacing w:before="66"/>
              <w:ind w:right="130"/>
              <w:jc w:val="center"/>
              <w:rPr>
                <w:b/>
                <w:sz w:val="18"/>
              </w:rPr>
            </w:pPr>
            <w:r>
              <w:rPr>
                <w:b/>
                <w:w w:val="99"/>
                <w:sz w:val="18"/>
              </w:rPr>
              <w:t>$</w:t>
            </w:r>
          </w:p>
        </w:tc>
      </w:tr>
      <w:tr>
        <w:trPr>
          <w:trHeight w:val="293" w:hRule="exact"/>
        </w:trPr>
        <w:tc>
          <w:tcPr>
            <w:tcW w:w="3467" w:type="dxa"/>
          </w:tcPr>
          <w:p>
            <w:pPr>
              <w:pStyle w:val="TableParagraph"/>
              <w:spacing w:before="63"/>
              <w:ind w:left="35"/>
              <w:rPr>
                <w:b/>
                <w:sz w:val="18"/>
              </w:rPr>
            </w:pPr>
            <w:r>
              <w:rPr>
                <w:b/>
                <w:sz w:val="18"/>
              </w:rPr>
              <w:t>Financial assets due for receipt</w:t>
            </w:r>
          </w:p>
        </w:tc>
        <w:tc>
          <w:tcPr>
            <w:tcW w:w="1474" w:type="dxa"/>
          </w:tcPr>
          <w:p>
            <w:pPr/>
          </w:p>
        </w:tc>
        <w:tc>
          <w:tcPr>
            <w:tcW w:w="1314" w:type="dxa"/>
          </w:tcPr>
          <w:p>
            <w:pPr/>
          </w:p>
        </w:tc>
        <w:tc>
          <w:tcPr>
            <w:tcW w:w="1127" w:type="dxa"/>
          </w:tcPr>
          <w:p>
            <w:pPr/>
          </w:p>
        </w:tc>
        <w:tc>
          <w:tcPr>
            <w:tcW w:w="1297" w:type="dxa"/>
          </w:tcPr>
          <w:p>
            <w:pPr/>
          </w:p>
        </w:tc>
        <w:tc>
          <w:tcPr>
            <w:tcW w:w="1297" w:type="dxa"/>
          </w:tcPr>
          <w:p>
            <w:pPr/>
          </w:p>
        </w:tc>
        <w:tc>
          <w:tcPr>
            <w:tcW w:w="1297" w:type="dxa"/>
          </w:tcPr>
          <w:p>
            <w:pPr/>
          </w:p>
        </w:tc>
        <w:tc>
          <w:tcPr>
            <w:tcW w:w="1452" w:type="dxa"/>
          </w:tcPr>
          <w:p>
            <w:pPr/>
          </w:p>
        </w:tc>
        <w:tc>
          <w:tcPr>
            <w:tcW w:w="1120" w:type="dxa"/>
          </w:tcPr>
          <w:p>
            <w:pPr/>
          </w:p>
        </w:tc>
      </w:tr>
      <w:tr>
        <w:trPr>
          <w:trHeight w:val="250" w:hRule="exact"/>
        </w:trPr>
        <w:tc>
          <w:tcPr>
            <w:tcW w:w="3467" w:type="dxa"/>
          </w:tcPr>
          <w:p>
            <w:pPr>
              <w:pStyle w:val="TableParagraph"/>
              <w:spacing w:before="4"/>
              <w:ind w:left="35"/>
              <w:rPr>
                <w:sz w:val="18"/>
              </w:rPr>
            </w:pPr>
            <w:r>
              <w:rPr>
                <w:sz w:val="18"/>
              </w:rPr>
              <w:t>Cash and cash equivalents *</w:t>
            </w:r>
          </w:p>
        </w:tc>
        <w:tc>
          <w:tcPr>
            <w:tcW w:w="1474" w:type="dxa"/>
          </w:tcPr>
          <w:p>
            <w:pPr>
              <w:pStyle w:val="TableParagraph"/>
              <w:spacing w:before="5"/>
              <w:ind w:right="233"/>
              <w:jc w:val="right"/>
              <w:rPr>
                <w:b/>
                <w:sz w:val="18"/>
              </w:rPr>
            </w:pPr>
            <w:r>
              <w:rPr>
                <w:b/>
                <w:w w:val="95"/>
                <w:sz w:val="18"/>
              </w:rPr>
              <w:t>649,802</w:t>
            </w:r>
          </w:p>
        </w:tc>
        <w:tc>
          <w:tcPr>
            <w:tcW w:w="1314" w:type="dxa"/>
          </w:tcPr>
          <w:p>
            <w:pPr>
              <w:pStyle w:val="TableParagraph"/>
              <w:spacing w:before="5"/>
              <w:ind w:right="277"/>
              <w:jc w:val="right"/>
              <w:rPr>
                <w:sz w:val="18"/>
              </w:rPr>
            </w:pPr>
            <w:r>
              <w:rPr>
                <w:w w:val="95"/>
                <w:sz w:val="18"/>
              </w:rPr>
              <w:t>3,293,082</w:t>
            </w:r>
          </w:p>
        </w:tc>
        <w:tc>
          <w:tcPr>
            <w:tcW w:w="6470" w:type="dxa"/>
            <w:gridSpan w:val="5"/>
          </w:tcPr>
          <w:p>
            <w:pPr>
              <w:pStyle w:val="TableParagraph"/>
              <w:tabs>
                <w:tab w:pos="1743" w:val="left" w:leader="none"/>
                <w:tab w:pos="3041" w:val="left" w:leader="none"/>
                <w:tab w:pos="4338" w:val="left" w:leader="none"/>
                <w:tab w:pos="5583" w:val="left" w:leader="none"/>
              </w:tabs>
              <w:spacing w:before="5"/>
              <w:ind w:left="446"/>
              <w:rPr>
                <w:b/>
                <w:sz w:val="18"/>
              </w:rPr>
            </w:pPr>
            <w:r>
              <w:rPr>
                <w:b/>
                <w:sz w:val="18"/>
              </w:rPr>
              <w:t>-</w:t>
              <w:tab/>
            </w:r>
            <w:r>
              <w:rPr>
                <w:sz w:val="18"/>
              </w:rPr>
              <w:t>-</w:t>
              <w:tab/>
            </w:r>
            <w:r>
              <w:rPr>
                <w:b/>
                <w:sz w:val="18"/>
              </w:rPr>
              <w:t>-</w:t>
              <w:tab/>
            </w:r>
            <w:r>
              <w:rPr>
                <w:sz w:val="18"/>
              </w:rPr>
              <w:t>-</w:t>
              <w:tab/>
            </w:r>
            <w:r>
              <w:rPr>
                <w:b/>
                <w:sz w:val="18"/>
              </w:rPr>
              <w:t>649,802</w:t>
            </w:r>
          </w:p>
        </w:tc>
        <w:tc>
          <w:tcPr>
            <w:tcW w:w="1120" w:type="dxa"/>
          </w:tcPr>
          <w:p>
            <w:pPr>
              <w:pStyle w:val="TableParagraph"/>
              <w:spacing w:before="5"/>
              <w:ind w:right="83"/>
              <w:jc w:val="right"/>
              <w:rPr>
                <w:sz w:val="18"/>
              </w:rPr>
            </w:pPr>
            <w:r>
              <w:rPr>
                <w:w w:val="95"/>
                <w:sz w:val="18"/>
              </w:rPr>
              <w:t>3,293,082</w:t>
            </w:r>
          </w:p>
        </w:tc>
      </w:tr>
      <w:tr>
        <w:trPr>
          <w:trHeight w:val="264" w:hRule="exact"/>
        </w:trPr>
        <w:tc>
          <w:tcPr>
            <w:tcW w:w="3467" w:type="dxa"/>
          </w:tcPr>
          <w:p>
            <w:pPr>
              <w:pStyle w:val="TableParagraph"/>
              <w:spacing w:before="18"/>
              <w:ind w:left="35"/>
              <w:rPr>
                <w:sz w:val="18"/>
              </w:rPr>
            </w:pPr>
            <w:r>
              <w:rPr>
                <w:sz w:val="18"/>
              </w:rPr>
              <w:t>Prepayments</w:t>
            </w:r>
          </w:p>
        </w:tc>
        <w:tc>
          <w:tcPr>
            <w:tcW w:w="1474" w:type="dxa"/>
          </w:tcPr>
          <w:p>
            <w:pPr>
              <w:pStyle w:val="TableParagraph"/>
              <w:spacing w:before="19"/>
              <w:ind w:right="232"/>
              <w:jc w:val="right"/>
              <w:rPr>
                <w:b/>
                <w:sz w:val="18"/>
              </w:rPr>
            </w:pPr>
            <w:r>
              <w:rPr>
                <w:b/>
                <w:w w:val="95"/>
                <w:sz w:val="18"/>
              </w:rPr>
              <w:t>415,761</w:t>
            </w:r>
          </w:p>
        </w:tc>
        <w:tc>
          <w:tcPr>
            <w:tcW w:w="1314" w:type="dxa"/>
          </w:tcPr>
          <w:p>
            <w:pPr>
              <w:pStyle w:val="TableParagraph"/>
              <w:spacing w:before="19"/>
              <w:ind w:right="277"/>
              <w:jc w:val="right"/>
              <w:rPr>
                <w:sz w:val="18"/>
              </w:rPr>
            </w:pPr>
            <w:r>
              <w:rPr>
                <w:w w:val="95"/>
                <w:sz w:val="18"/>
              </w:rPr>
              <w:t>942,841</w:t>
            </w:r>
          </w:p>
        </w:tc>
        <w:tc>
          <w:tcPr>
            <w:tcW w:w="6470" w:type="dxa"/>
            <w:gridSpan w:val="5"/>
          </w:tcPr>
          <w:p>
            <w:pPr>
              <w:pStyle w:val="TableParagraph"/>
              <w:tabs>
                <w:tab w:pos="1743" w:val="left" w:leader="none"/>
                <w:tab w:pos="3041" w:val="left" w:leader="none"/>
                <w:tab w:pos="4338" w:val="left" w:leader="none"/>
                <w:tab w:pos="5584" w:val="left" w:leader="none"/>
              </w:tabs>
              <w:spacing w:before="19"/>
              <w:ind w:left="446"/>
              <w:rPr>
                <w:b/>
                <w:sz w:val="18"/>
              </w:rPr>
            </w:pPr>
            <w:r>
              <w:rPr>
                <w:b/>
                <w:sz w:val="18"/>
              </w:rPr>
              <w:t>-</w:t>
              <w:tab/>
            </w:r>
            <w:r>
              <w:rPr>
                <w:sz w:val="18"/>
              </w:rPr>
              <w:t>-</w:t>
              <w:tab/>
            </w:r>
            <w:r>
              <w:rPr>
                <w:b/>
                <w:sz w:val="18"/>
              </w:rPr>
              <w:t>-</w:t>
              <w:tab/>
            </w:r>
            <w:r>
              <w:rPr>
                <w:sz w:val="18"/>
              </w:rPr>
              <w:t>-</w:t>
              <w:tab/>
            </w:r>
            <w:r>
              <w:rPr>
                <w:b/>
                <w:sz w:val="18"/>
              </w:rPr>
              <w:t>415,761</w:t>
            </w:r>
          </w:p>
        </w:tc>
        <w:tc>
          <w:tcPr>
            <w:tcW w:w="1120" w:type="dxa"/>
          </w:tcPr>
          <w:p>
            <w:pPr>
              <w:pStyle w:val="TableParagraph"/>
              <w:spacing w:before="19"/>
              <w:ind w:right="83"/>
              <w:jc w:val="right"/>
              <w:rPr>
                <w:sz w:val="18"/>
              </w:rPr>
            </w:pPr>
            <w:r>
              <w:rPr>
                <w:w w:val="95"/>
                <w:sz w:val="18"/>
              </w:rPr>
              <w:t>942,841</w:t>
            </w:r>
          </w:p>
        </w:tc>
      </w:tr>
      <w:tr>
        <w:trPr>
          <w:trHeight w:val="264" w:hRule="exact"/>
        </w:trPr>
        <w:tc>
          <w:tcPr>
            <w:tcW w:w="3467" w:type="dxa"/>
          </w:tcPr>
          <w:p>
            <w:pPr>
              <w:pStyle w:val="TableParagraph"/>
              <w:spacing w:before="18"/>
              <w:ind w:left="35"/>
              <w:rPr>
                <w:sz w:val="18"/>
              </w:rPr>
            </w:pPr>
            <w:r>
              <w:rPr>
                <w:sz w:val="18"/>
              </w:rPr>
              <w:t>Trade receivables</w:t>
            </w:r>
          </w:p>
        </w:tc>
        <w:tc>
          <w:tcPr>
            <w:tcW w:w="1474" w:type="dxa"/>
          </w:tcPr>
          <w:p>
            <w:pPr>
              <w:pStyle w:val="TableParagraph"/>
              <w:spacing w:before="19"/>
              <w:ind w:right="233"/>
              <w:jc w:val="right"/>
              <w:rPr>
                <w:b/>
                <w:sz w:val="18"/>
              </w:rPr>
            </w:pPr>
            <w:r>
              <w:rPr>
                <w:b/>
                <w:w w:val="95"/>
                <w:sz w:val="18"/>
              </w:rPr>
              <w:t>68,411</w:t>
            </w:r>
          </w:p>
        </w:tc>
        <w:tc>
          <w:tcPr>
            <w:tcW w:w="1314" w:type="dxa"/>
          </w:tcPr>
          <w:p>
            <w:pPr>
              <w:pStyle w:val="TableParagraph"/>
              <w:spacing w:before="19"/>
              <w:ind w:right="277"/>
              <w:jc w:val="right"/>
              <w:rPr>
                <w:sz w:val="18"/>
              </w:rPr>
            </w:pPr>
            <w:r>
              <w:rPr>
                <w:w w:val="95"/>
                <w:sz w:val="18"/>
              </w:rPr>
              <w:t>71,978</w:t>
            </w:r>
          </w:p>
        </w:tc>
        <w:tc>
          <w:tcPr>
            <w:tcW w:w="6470" w:type="dxa"/>
            <w:gridSpan w:val="5"/>
          </w:tcPr>
          <w:p>
            <w:pPr>
              <w:pStyle w:val="TableParagraph"/>
              <w:tabs>
                <w:tab w:pos="1743" w:val="left" w:leader="none"/>
                <w:tab w:pos="3041" w:val="left" w:leader="none"/>
                <w:tab w:pos="4338" w:val="left" w:leader="none"/>
                <w:tab w:pos="5683" w:val="left" w:leader="none"/>
              </w:tabs>
              <w:spacing w:before="19"/>
              <w:ind w:left="446"/>
              <w:rPr>
                <w:b/>
                <w:sz w:val="18"/>
              </w:rPr>
            </w:pPr>
            <w:r>
              <w:rPr>
                <w:b/>
                <w:sz w:val="18"/>
              </w:rPr>
              <w:t>-</w:t>
              <w:tab/>
            </w:r>
            <w:r>
              <w:rPr>
                <w:sz w:val="18"/>
              </w:rPr>
              <w:t>-</w:t>
              <w:tab/>
            </w:r>
            <w:r>
              <w:rPr>
                <w:b/>
                <w:sz w:val="18"/>
              </w:rPr>
              <w:t>-</w:t>
              <w:tab/>
            </w:r>
            <w:r>
              <w:rPr>
                <w:sz w:val="18"/>
              </w:rPr>
              <w:t>-</w:t>
              <w:tab/>
            </w:r>
            <w:r>
              <w:rPr>
                <w:b/>
                <w:sz w:val="18"/>
              </w:rPr>
              <w:t>68,411</w:t>
            </w:r>
          </w:p>
        </w:tc>
        <w:tc>
          <w:tcPr>
            <w:tcW w:w="1120" w:type="dxa"/>
          </w:tcPr>
          <w:p>
            <w:pPr>
              <w:pStyle w:val="TableParagraph"/>
              <w:spacing w:before="19"/>
              <w:ind w:right="84"/>
              <w:jc w:val="right"/>
              <w:rPr>
                <w:sz w:val="18"/>
              </w:rPr>
            </w:pPr>
            <w:r>
              <w:rPr>
                <w:w w:val="95"/>
                <w:sz w:val="18"/>
              </w:rPr>
              <w:t>71,978</w:t>
            </w:r>
          </w:p>
        </w:tc>
      </w:tr>
      <w:tr>
        <w:trPr>
          <w:trHeight w:val="307" w:hRule="exact"/>
        </w:trPr>
        <w:tc>
          <w:tcPr>
            <w:tcW w:w="3467" w:type="dxa"/>
          </w:tcPr>
          <w:p>
            <w:pPr>
              <w:pStyle w:val="TableParagraph"/>
              <w:spacing w:before="18"/>
              <w:ind w:left="35"/>
              <w:rPr>
                <w:sz w:val="18"/>
              </w:rPr>
            </w:pPr>
            <w:r>
              <w:rPr>
                <w:sz w:val="18"/>
              </w:rPr>
              <w:t>Accrued revenue</w:t>
            </w:r>
          </w:p>
        </w:tc>
        <w:tc>
          <w:tcPr>
            <w:tcW w:w="1474" w:type="dxa"/>
          </w:tcPr>
          <w:p>
            <w:pPr>
              <w:pStyle w:val="TableParagraph"/>
              <w:spacing w:before="19"/>
              <w:ind w:right="233"/>
              <w:jc w:val="right"/>
              <w:rPr>
                <w:b/>
                <w:sz w:val="18"/>
              </w:rPr>
            </w:pPr>
            <w:r>
              <w:rPr>
                <w:b/>
                <w:w w:val="95"/>
                <w:sz w:val="18"/>
              </w:rPr>
              <w:t>1,190</w:t>
            </w:r>
          </w:p>
        </w:tc>
        <w:tc>
          <w:tcPr>
            <w:tcW w:w="1314" w:type="dxa"/>
          </w:tcPr>
          <w:p>
            <w:pPr>
              <w:pStyle w:val="TableParagraph"/>
              <w:spacing w:before="19"/>
              <w:ind w:right="276"/>
              <w:jc w:val="right"/>
              <w:rPr>
                <w:sz w:val="18"/>
              </w:rPr>
            </w:pPr>
            <w:r>
              <w:rPr>
                <w:w w:val="95"/>
                <w:sz w:val="18"/>
              </w:rPr>
              <w:t>931,660</w:t>
            </w:r>
          </w:p>
        </w:tc>
        <w:tc>
          <w:tcPr>
            <w:tcW w:w="6470" w:type="dxa"/>
            <w:gridSpan w:val="5"/>
          </w:tcPr>
          <w:p>
            <w:pPr>
              <w:pStyle w:val="TableParagraph"/>
              <w:tabs>
                <w:tab w:pos="1744" w:val="left" w:leader="none"/>
                <w:tab w:pos="3042" w:val="left" w:leader="none"/>
                <w:tab w:pos="4339" w:val="left" w:leader="none"/>
                <w:tab w:pos="5784" w:val="left" w:leader="none"/>
              </w:tabs>
              <w:spacing w:before="19"/>
              <w:ind w:left="447"/>
              <w:rPr>
                <w:b/>
                <w:sz w:val="18"/>
              </w:rPr>
            </w:pPr>
            <w:r>
              <w:rPr>
                <w:b/>
                <w:sz w:val="18"/>
              </w:rPr>
              <w:t>-</w:t>
              <w:tab/>
            </w:r>
            <w:r>
              <w:rPr>
                <w:sz w:val="18"/>
              </w:rPr>
              <w:t>-</w:t>
              <w:tab/>
            </w:r>
            <w:r>
              <w:rPr>
                <w:b/>
                <w:sz w:val="18"/>
              </w:rPr>
              <w:t>-</w:t>
              <w:tab/>
            </w:r>
            <w:r>
              <w:rPr>
                <w:sz w:val="18"/>
              </w:rPr>
              <w:t>-</w:t>
              <w:tab/>
            </w:r>
            <w:r>
              <w:rPr>
                <w:b/>
                <w:sz w:val="18"/>
              </w:rPr>
              <w:t>1,190</w:t>
            </w:r>
          </w:p>
        </w:tc>
        <w:tc>
          <w:tcPr>
            <w:tcW w:w="1120" w:type="dxa"/>
          </w:tcPr>
          <w:p>
            <w:pPr>
              <w:pStyle w:val="TableParagraph"/>
              <w:spacing w:before="19"/>
              <w:ind w:right="82"/>
              <w:jc w:val="right"/>
              <w:rPr>
                <w:sz w:val="18"/>
              </w:rPr>
            </w:pPr>
            <w:r>
              <w:rPr>
                <w:w w:val="95"/>
                <w:sz w:val="18"/>
              </w:rPr>
              <w:t>931,660</w:t>
            </w:r>
          </w:p>
        </w:tc>
      </w:tr>
      <w:tr>
        <w:trPr>
          <w:trHeight w:val="541" w:hRule="exact"/>
        </w:trPr>
        <w:tc>
          <w:tcPr>
            <w:tcW w:w="3467" w:type="dxa"/>
          </w:tcPr>
          <w:p>
            <w:pPr>
              <w:pStyle w:val="TableParagraph"/>
              <w:spacing w:before="61"/>
              <w:ind w:left="36"/>
              <w:rPr>
                <w:b/>
                <w:sz w:val="18"/>
              </w:rPr>
            </w:pPr>
            <w:r>
              <w:rPr>
                <w:b/>
                <w:sz w:val="18"/>
              </w:rPr>
              <w:t>Financial liabilities due for payment</w:t>
            </w:r>
          </w:p>
          <w:p>
            <w:pPr>
              <w:pStyle w:val="TableParagraph"/>
              <w:spacing w:before="27"/>
              <w:ind w:left="35"/>
              <w:rPr>
                <w:sz w:val="18"/>
              </w:rPr>
            </w:pPr>
            <w:r>
              <w:rPr>
                <w:sz w:val="18"/>
              </w:rPr>
              <w:t>Accrued Expenses</w:t>
            </w:r>
          </w:p>
        </w:tc>
        <w:tc>
          <w:tcPr>
            <w:tcW w:w="1474" w:type="dxa"/>
          </w:tcPr>
          <w:p>
            <w:pPr>
              <w:pStyle w:val="TableParagraph"/>
              <w:spacing w:before="8"/>
              <w:rPr>
                <w:b/>
                <w:sz w:val="25"/>
              </w:rPr>
            </w:pPr>
          </w:p>
          <w:p>
            <w:pPr>
              <w:pStyle w:val="TableParagraph"/>
              <w:ind w:right="231"/>
              <w:jc w:val="right"/>
              <w:rPr>
                <w:b/>
                <w:sz w:val="18"/>
              </w:rPr>
            </w:pPr>
            <w:r>
              <w:rPr>
                <w:b/>
                <w:w w:val="95"/>
                <w:sz w:val="18"/>
              </w:rPr>
              <w:t>1,203,662</w:t>
            </w:r>
          </w:p>
        </w:tc>
        <w:tc>
          <w:tcPr>
            <w:tcW w:w="1314" w:type="dxa"/>
          </w:tcPr>
          <w:p>
            <w:pPr>
              <w:pStyle w:val="TableParagraph"/>
              <w:spacing w:before="8"/>
              <w:rPr>
                <w:b/>
                <w:sz w:val="25"/>
              </w:rPr>
            </w:pPr>
          </w:p>
          <w:p>
            <w:pPr>
              <w:pStyle w:val="TableParagraph"/>
              <w:ind w:right="276"/>
              <w:jc w:val="right"/>
              <w:rPr>
                <w:sz w:val="18"/>
              </w:rPr>
            </w:pPr>
            <w:r>
              <w:rPr>
                <w:w w:val="95"/>
                <w:sz w:val="18"/>
              </w:rPr>
              <w:t>642,021</w:t>
            </w:r>
          </w:p>
        </w:tc>
        <w:tc>
          <w:tcPr>
            <w:tcW w:w="6470" w:type="dxa"/>
            <w:gridSpan w:val="5"/>
          </w:tcPr>
          <w:p>
            <w:pPr>
              <w:pStyle w:val="TableParagraph"/>
              <w:spacing w:before="8"/>
              <w:rPr>
                <w:b/>
                <w:sz w:val="25"/>
              </w:rPr>
            </w:pPr>
          </w:p>
          <w:p>
            <w:pPr>
              <w:pStyle w:val="TableParagraph"/>
              <w:tabs>
                <w:tab w:pos="1744" w:val="left" w:leader="none"/>
                <w:tab w:pos="3042" w:val="left" w:leader="none"/>
                <w:tab w:pos="4339" w:val="left" w:leader="none"/>
                <w:tab w:pos="5435" w:val="left" w:leader="none"/>
              </w:tabs>
              <w:ind w:left="447"/>
              <w:rPr>
                <w:b/>
                <w:sz w:val="18"/>
              </w:rPr>
            </w:pPr>
            <w:r>
              <w:rPr>
                <w:b/>
                <w:sz w:val="18"/>
              </w:rPr>
              <w:t>-</w:t>
              <w:tab/>
            </w:r>
            <w:r>
              <w:rPr>
                <w:sz w:val="18"/>
              </w:rPr>
              <w:t>-</w:t>
              <w:tab/>
            </w:r>
            <w:r>
              <w:rPr>
                <w:b/>
                <w:sz w:val="18"/>
              </w:rPr>
              <w:t>-</w:t>
              <w:tab/>
            </w:r>
            <w:r>
              <w:rPr>
                <w:sz w:val="18"/>
              </w:rPr>
              <w:t>-</w:t>
              <w:tab/>
            </w:r>
            <w:r>
              <w:rPr>
                <w:b/>
                <w:sz w:val="18"/>
              </w:rPr>
              <w:t>1,203,662</w:t>
            </w:r>
          </w:p>
        </w:tc>
        <w:tc>
          <w:tcPr>
            <w:tcW w:w="1120" w:type="dxa"/>
          </w:tcPr>
          <w:p>
            <w:pPr>
              <w:pStyle w:val="TableParagraph"/>
              <w:spacing w:before="8"/>
              <w:rPr>
                <w:b/>
                <w:sz w:val="25"/>
              </w:rPr>
            </w:pPr>
          </w:p>
          <w:p>
            <w:pPr>
              <w:pStyle w:val="TableParagraph"/>
              <w:ind w:right="82"/>
              <w:jc w:val="right"/>
              <w:rPr>
                <w:sz w:val="18"/>
              </w:rPr>
            </w:pPr>
            <w:r>
              <w:rPr>
                <w:w w:val="95"/>
                <w:sz w:val="18"/>
              </w:rPr>
              <w:t>642,021</w:t>
            </w:r>
          </w:p>
        </w:tc>
      </w:tr>
      <w:tr>
        <w:trPr>
          <w:trHeight w:val="264" w:hRule="exact"/>
        </w:trPr>
        <w:tc>
          <w:tcPr>
            <w:tcW w:w="3467" w:type="dxa"/>
          </w:tcPr>
          <w:p>
            <w:pPr>
              <w:pStyle w:val="TableParagraph"/>
              <w:spacing w:before="18"/>
              <w:ind w:left="35"/>
              <w:rPr>
                <w:sz w:val="18"/>
              </w:rPr>
            </w:pPr>
            <w:r>
              <w:rPr>
                <w:sz w:val="18"/>
              </w:rPr>
              <w:t>Amounts due to related parties *</w:t>
            </w:r>
          </w:p>
        </w:tc>
        <w:tc>
          <w:tcPr>
            <w:tcW w:w="1474" w:type="dxa"/>
          </w:tcPr>
          <w:p>
            <w:pPr>
              <w:pStyle w:val="TableParagraph"/>
              <w:spacing w:before="19"/>
              <w:ind w:right="232"/>
              <w:jc w:val="right"/>
              <w:rPr>
                <w:b/>
                <w:sz w:val="18"/>
              </w:rPr>
            </w:pPr>
            <w:r>
              <w:rPr>
                <w:b/>
                <w:w w:val="95"/>
                <w:sz w:val="18"/>
              </w:rPr>
              <w:t>368,970</w:t>
            </w:r>
          </w:p>
        </w:tc>
        <w:tc>
          <w:tcPr>
            <w:tcW w:w="1314" w:type="dxa"/>
          </w:tcPr>
          <w:p>
            <w:pPr>
              <w:pStyle w:val="TableParagraph"/>
              <w:spacing w:before="19"/>
              <w:ind w:right="276"/>
              <w:jc w:val="right"/>
              <w:rPr>
                <w:sz w:val="18"/>
              </w:rPr>
            </w:pPr>
            <w:r>
              <w:rPr>
                <w:w w:val="95"/>
                <w:sz w:val="18"/>
              </w:rPr>
              <w:t>425,897</w:t>
            </w:r>
          </w:p>
        </w:tc>
        <w:tc>
          <w:tcPr>
            <w:tcW w:w="6470" w:type="dxa"/>
            <w:gridSpan w:val="5"/>
          </w:tcPr>
          <w:p>
            <w:pPr>
              <w:pStyle w:val="TableParagraph"/>
              <w:tabs>
                <w:tab w:pos="1744" w:val="left" w:leader="none"/>
                <w:tab w:pos="3042" w:val="left" w:leader="none"/>
                <w:tab w:pos="4339" w:val="left" w:leader="none"/>
                <w:tab w:pos="5584" w:val="left" w:leader="none"/>
              </w:tabs>
              <w:spacing w:before="19"/>
              <w:ind w:left="447"/>
              <w:rPr>
                <w:b/>
                <w:sz w:val="18"/>
              </w:rPr>
            </w:pPr>
            <w:r>
              <w:rPr>
                <w:b/>
                <w:sz w:val="18"/>
              </w:rPr>
              <w:t>-</w:t>
              <w:tab/>
            </w:r>
            <w:r>
              <w:rPr>
                <w:sz w:val="18"/>
              </w:rPr>
              <w:t>-</w:t>
              <w:tab/>
            </w:r>
            <w:r>
              <w:rPr>
                <w:b/>
                <w:sz w:val="18"/>
              </w:rPr>
              <w:t>-</w:t>
              <w:tab/>
            </w:r>
            <w:r>
              <w:rPr>
                <w:sz w:val="18"/>
              </w:rPr>
              <w:t>-</w:t>
              <w:tab/>
            </w:r>
            <w:r>
              <w:rPr>
                <w:b/>
                <w:sz w:val="18"/>
              </w:rPr>
              <w:t>368,970</w:t>
            </w:r>
          </w:p>
        </w:tc>
        <w:tc>
          <w:tcPr>
            <w:tcW w:w="1120" w:type="dxa"/>
          </w:tcPr>
          <w:p>
            <w:pPr>
              <w:pStyle w:val="TableParagraph"/>
              <w:spacing w:before="19"/>
              <w:ind w:right="83"/>
              <w:jc w:val="right"/>
              <w:rPr>
                <w:sz w:val="18"/>
              </w:rPr>
            </w:pPr>
            <w:r>
              <w:rPr>
                <w:w w:val="95"/>
                <w:sz w:val="18"/>
              </w:rPr>
              <w:t>425,897</w:t>
            </w:r>
          </w:p>
        </w:tc>
      </w:tr>
      <w:tr>
        <w:trPr>
          <w:trHeight w:val="264" w:hRule="exact"/>
        </w:trPr>
        <w:tc>
          <w:tcPr>
            <w:tcW w:w="3467" w:type="dxa"/>
          </w:tcPr>
          <w:p>
            <w:pPr>
              <w:pStyle w:val="TableParagraph"/>
              <w:spacing w:before="18"/>
              <w:ind w:left="35"/>
              <w:rPr>
                <w:sz w:val="18"/>
              </w:rPr>
            </w:pPr>
            <w:r>
              <w:rPr>
                <w:sz w:val="18"/>
              </w:rPr>
              <w:t>Trade payables</w:t>
            </w:r>
          </w:p>
        </w:tc>
        <w:tc>
          <w:tcPr>
            <w:tcW w:w="1474" w:type="dxa"/>
          </w:tcPr>
          <w:p>
            <w:pPr>
              <w:pStyle w:val="TableParagraph"/>
              <w:spacing w:before="19"/>
              <w:ind w:right="232"/>
              <w:jc w:val="right"/>
              <w:rPr>
                <w:b/>
                <w:sz w:val="18"/>
              </w:rPr>
            </w:pPr>
            <w:r>
              <w:rPr>
                <w:b/>
                <w:w w:val="95"/>
                <w:sz w:val="18"/>
              </w:rPr>
              <w:t>256,258</w:t>
            </w:r>
          </w:p>
        </w:tc>
        <w:tc>
          <w:tcPr>
            <w:tcW w:w="1314" w:type="dxa"/>
          </w:tcPr>
          <w:p>
            <w:pPr>
              <w:pStyle w:val="TableParagraph"/>
              <w:spacing w:before="19"/>
              <w:ind w:right="276"/>
              <w:jc w:val="right"/>
              <w:rPr>
                <w:sz w:val="18"/>
              </w:rPr>
            </w:pPr>
            <w:r>
              <w:rPr>
                <w:w w:val="95"/>
                <w:sz w:val="18"/>
              </w:rPr>
              <w:t>150,737</w:t>
            </w:r>
          </w:p>
        </w:tc>
        <w:tc>
          <w:tcPr>
            <w:tcW w:w="6470" w:type="dxa"/>
            <w:gridSpan w:val="5"/>
          </w:tcPr>
          <w:p>
            <w:pPr>
              <w:pStyle w:val="TableParagraph"/>
              <w:tabs>
                <w:tab w:pos="1744" w:val="left" w:leader="none"/>
                <w:tab w:pos="3042" w:val="left" w:leader="none"/>
                <w:tab w:pos="4339" w:val="left" w:leader="none"/>
                <w:tab w:pos="5584" w:val="left" w:leader="none"/>
              </w:tabs>
              <w:spacing w:before="19"/>
              <w:ind w:left="447"/>
              <w:rPr>
                <w:b/>
                <w:sz w:val="18"/>
              </w:rPr>
            </w:pPr>
            <w:r>
              <w:rPr>
                <w:b/>
                <w:sz w:val="18"/>
              </w:rPr>
              <w:t>-</w:t>
              <w:tab/>
            </w:r>
            <w:r>
              <w:rPr>
                <w:sz w:val="18"/>
              </w:rPr>
              <w:t>-</w:t>
              <w:tab/>
            </w:r>
            <w:r>
              <w:rPr>
                <w:b/>
                <w:sz w:val="18"/>
              </w:rPr>
              <w:t>-</w:t>
              <w:tab/>
            </w:r>
            <w:r>
              <w:rPr>
                <w:sz w:val="18"/>
              </w:rPr>
              <w:t>-</w:t>
              <w:tab/>
            </w:r>
            <w:r>
              <w:rPr>
                <w:b/>
                <w:sz w:val="18"/>
              </w:rPr>
              <w:t>256,258</w:t>
            </w:r>
          </w:p>
        </w:tc>
        <w:tc>
          <w:tcPr>
            <w:tcW w:w="1120" w:type="dxa"/>
          </w:tcPr>
          <w:p>
            <w:pPr>
              <w:pStyle w:val="TableParagraph"/>
              <w:spacing w:before="19"/>
              <w:ind w:right="83"/>
              <w:jc w:val="right"/>
              <w:rPr>
                <w:sz w:val="18"/>
              </w:rPr>
            </w:pPr>
            <w:r>
              <w:rPr>
                <w:w w:val="95"/>
                <w:sz w:val="18"/>
              </w:rPr>
              <w:t>150,737</w:t>
            </w:r>
          </w:p>
        </w:tc>
      </w:tr>
      <w:tr>
        <w:trPr>
          <w:trHeight w:val="264" w:hRule="exact"/>
        </w:trPr>
        <w:tc>
          <w:tcPr>
            <w:tcW w:w="3467" w:type="dxa"/>
          </w:tcPr>
          <w:p>
            <w:pPr>
              <w:pStyle w:val="TableParagraph"/>
              <w:spacing w:before="18"/>
              <w:ind w:left="35"/>
              <w:rPr>
                <w:sz w:val="18"/>
              </w:rPr>
            </w:pPr>
            <w:r>
              <w:rPr>
                <w:sz w:val="18"/>
              </w:rPr>
              <w:t>IELTS clearing</w:t>
            </w:r>
          </w:p>
        </w:tc>
        <w:tc>
          <w:tcPr>
            <w:tcW w:w="1474" w:type="dxa"/>
          </w:tcPr>
          <w:p>
            <w:pPr>
              <w:pStyle w:val="TableParagraph"/>
              <w:spacing w:before="19"/>
              <w:ind w:right="232"/>
              <w:jc w:val="right"/>
              <w:rPr>
                <w:b/>
                <w:sz w:val="18"/>
              </w:rPr>
            </w:pPr>
            <w:r>
              <w:rPr>
                <w:b/>
                <w:w w:val="95"/>
                <w:sz w:val="18"/>
              </w:rPr>
              <w:t>209,220</w:t>
            </w:r>
          </w:p>
        </w:tc>
        <w:tc>
          <w:tcPr>
            <w:tcW w:w="1314" w:type="dxa"/>
          </w:tcPr>
          <w:p>
            <w:pPr>
              <w:pStyle w:val="TableParagraph"/>
              <w:spacing w:before="19"/>
              <w:ind w:right="276"/>
              <w:jc w:val="right"/>
              <w:rPr>
                <w:sz w:val="18"/>
              </w:rPr>
            </w:pPr>
            <w:r>
              <w:rPr>
                <w:w w:val="95"/>
                <w:sz w:val="18"/>
              </w:rPr>
              <w:t>210,210</w:t>
            </w:r>
          </w:p>
        </w:tc>
        <w:tc>
          <w:tcPr>
            <w:tcW w:w="6470" w:type="dxa"/>
            <w:gridSpan w:val="5"/>
          </w:tcPr>
          <w:p>
            <w:pPr>
              <w:pStyle w:val="TableParagraph"/>
              <w:tabs>
                <w:tab w:pos="1744" w:val="left" w:leader="none"/>
                <w:tab w:pos="3042" w:val="left" w:leader="none"/>
                <w:tab w:pos="4339" w:val="left" w:leader="none"/>
                <w:tab w:pos="5584" w:val="left" w:leader="none"/>
              </w:tabs>
              <w:spacing w:before="19"/>
              <w:ind w:left="447"/>
              <w:rPr>
                <w:b/>
                <w:sz w:val="18"/>
              </w:rPr>
            </w:pPr>
            <w:r>
              <w:rPr>
                <w:b/>
                <w:sz w:val="18"/>
              </w:rPr>
              <w:t>-</w:t>
              <w:tab/>
            </w:r>
            <w:r>
              <w:rPr>
                <w:sz w:val="18"/>
              </w:rPr>
              <w:t>-</w:t>
              <w:tab/>
            </w:r>
            <w:r>
              <w:rPr>
                <w:b/>
                <w:sz w:val="18"/>
              </w:rPr>
              <w:t>-</w:t>
              <w:tab/>
            </w:r>
            <w:r>
              <w:rPr>
                <w:sz w:val="18"/>
              </w:rPr>
              <w:t>-</w:t>
              <w:tab/>
            </w:r>
            <w:r>
              <w:rPr>
                <w:b/>
                <w:sz w:val="18"/>
              </w:rPr>
              <w:t>209,220</w:t>
            </w:r>
          </w:p>
        </w:tc>
        <w:tc>
          <w:tcPr>
            <w:tcW w:w="1120" w:type="dxa"/>
          </w:tcPr>
          <w:p>
            <w:pPr>
              <w:pStyle w:val="TableParagraph"/>
              <w:spacing w:before="19"/>
              <w:ind w:right="83"/>
              <w:jc w:val="right"/>
              <w:rPr>
                <w:sz w:val="18"/>
              </w:rPr>
            </w:pPr>
            <w:r>
              <w:rPr>
                <w:w w:val="95"/>
                <w:sz w:val="18"/>
              </w:rPr>
              <w:t>210,210</w:t>
            </w:r>
          </w:p>
        </w:tc>
      </w:tr>
      <w:tr>
        <w:trPr>
          <w:trHeight w:val="264" w:hRule="exact"/>
        </w:trPr>
        <w:tc>
          <w:tcPr>
            <w:tcW w:w="3467" w:type="dxa"/>
          </w:tcPr>
          <w:p>
            <w:pPr>
              <w:pStyle w:val="TableParagraph"/>
              <w:spacing w:before="18"/>
              <w:ind w:left="35"/>
              <w:rPr>
                <w:sz w:val="18"/>
              </w:rPr>
            </w:pPr>
            <w:r>
              <w:rPr>
                <w:sz w:val="18"/>
              </w:rPr>
              <w:t>Other Payables</w:t>
            </w:r>
          </w:p>
        </w:tc>
        <w:tc>
          <w:tcPr>
            <w:tcW w:w="1474" w:type="dxa"/>
          </w:tcPr>
          <w:p>
            <w:pPr>
              <w:pStyle w:val="TableParagraph"/>
              <w:spacing w:before="19"/>
              <w:ind w:right="232"/>
              <w:jc w:val="right"/>
              <w:rPr>
                <w:b/>
                <w:sz w:val="18"/>
              </w:rPr>
            </w:pPr>
            <w:r>
              <w:rPr>
                <w:b/>
                <w:w w:val="95"/>
                <w:sz w:val="18"/>
              </w:rPr>
              <w:t>167,849</w:t>
            </w:r>
          </w:p>
        </w:tc>
        <w:tc>
          <w:tcPr>
            <w:tcW w:w="1314" w:type="dxa"/>
          </w:tcPr>
          <w:p>
            <w:pPr>
              <w:pStyle w:val="TableParagraph"/>
              <w:spacing w:before="19"/>
              <w:ind w:right="276"/>
              <w:jc w:val="right"/>
              <w:rPr>
                <w:sz w:val="18"/>
              </w:rPr>
            </w:pPr>
            <w:r>
              <w:rPr>
                <w:w w:val="95"/>
                <w:sz w:val="18"/>
              </w:rPr>
              <w:t>89,414</w:t>
            </w:r>
          </w:p>
        </w:tc>
        <w:tc>
          <w:tcPr>
            <w:tcW w:w="6470" w:type="dxa"/>
            <w:gridSpan w:val="5"/>
          </w:tcPr>
          <w:p>
            <w:pPr>
              <w:pStyle w:val="TableParagraph"/>
              <w:tabs>
                <w:tab w:pos="1744" w:val="left" w:leader="none"/>
                <w:tab w:pos="3042" w:val="left" w:leader="none"/>
                <w:tab w:pos="4339" w:val="left" w:leader="none"/>
                <w:tab w:pos="5584" w:val="left" w:leader="none"/>
              </w:tabs>
              <w:spacing w:before="19"/>
              <w:ind w:left="447"/>
              <w:rPr>
                <w:b/>
                <w:sz w:val="18"/>
              </w:rPr>
            </w:pPr>
            <w:r>
              <w:rPr>
                <w:b/>
                <w:sz w:val="18"/>
              </w:rPr>
              <w:t>-</w:t>
              <w:tab/>
            </w:r>
            <w:r>
              <w:rPr>
                <w:sz w:val="18"/>
              </w:rPr>
              <w:t>-</w:t>
              <w:tab/>
            </w:r>
            <w:r>
              <w:rPr>
                <w:b/>
                <w:sz w:val="18"/>
              </w:rPr>
              <w:t>-</w:t>
              <w:tab/>
            </w:r>
            <w:r>
              <w:rPr>
                <w:sz w:val="18"/>
              </w:rPr>
              <w:t>-</w:t>
              <w:tab/>
            </w:r>
            <w:r>
              <w:rPr>
                <w:b/>
                <w:sz w:val="18"/>
              </w:rPr>
              <w:t>167,849</w:t>
            </w:r>
          </w:p>
        </w:tc>
        <w:tc>
          <w:tcPr>
            <w:tcW w:w="1120" w:type="dxa"/>
          </w:tcPr>
          <w:p>
            <w:pPr>
              <w:pStyle w:val="TableParagraph"/>
              <w:spacing w:before="19"/>
              <w:ind w:right="83"/>
              <w:jc w:val="right"/>
              <w:rPr>
                <w:sz w:val="18"/>
              </w:rPr>
            </w:pPr>
            <w:r>
              <w:rPr>
                <w:w w:val="95"/>
                <w:sz w:val="18"/>
              </w:rPr>
              <w:t>89,414</w:t>
            </w:r>
          </w:p>
        </w:tc>
      </w:tr>
      <w:tr>
        <w:trPr>
          <w:trHeight w:val="263" w:hRule="exact"/>
        </w:trPr>
        <w:tc>
          <w:tcPr>
            <w:tcW w:w="3467" w:type="dxa"/>
          </w:tcPr>
          <w:p>
            <w:pPr>
              <w:pStyle w:val="TableParagraph"/>
              <w:spacing w:before="18"/>
              <w:ind w:left="36"/>
              <w:rPr>
                <w:sz w:val="18"/>
              </w:rPr>
            </w:pPr>
            <w:r>
              <w:rPr>
                <w:sz w:val="18"/>
              </w:rPr>
              <w:t>Financial guarantee contracts</w:t>
            </w:r>
          </w:p>
        </w:tc>
        <w:tc>
          <w:tcPr>
            <w:tcW w:w="1474" w:type="dxa"/>
            <w:tcBorders>
              <w:bottom w:val="single" w:sz="0" w:space="0" w:color="000000"/>
            </w:tcBorders>
          </w:tcPr>
          <w:p>
            <w:pPr>
              <w:pStyle w:val="TableParagraph"/>
              <w:spacing w:before="19"/>
              <w:ind w:right="129"/>
              <w:jc w:val="center"/>
              <w:rPr>
                <w:b/>
                <w:sz w:val="18"/>
              </w:rPr>
            </w:pPr>
            <w:r>
              <w:rPr>
                <w:b/>
                <w:w w:val="99"/>
                <w:sz w:val="18"/>
              </w:rPr>
              <w:t>-</w:t>
            </w:r>
          </w:p>
        </w:tc>
        <w:tc>
          <w:tcPr>
            <w:tcW w:w="1314" w:type="dxa"/>
            <w:tcBorders>
              <w:bottom w:val="single" w:sz="0" w:space="0" w:color="000000"/>
            </w:tcBorders>
          </w:tcPr>
          <w:p>
            <w:pPr>
              <w:pStyle w:val="TableParagraph"/>
              <w:spacing w:before="19"/>
              <w:ind w:right="276"/>
              <w:jc w:val="right"/>
              <w:rPr>
                <w:sz w:val="18"/>
              </w:rPr>
            </w:pPr>
            <w:r>
              <w:rPr>
                <w:w w:val="95"/>
                <w:sz w:val="18"/>
              </w:rPr>
              <w:t>14,000</w:t>
            </w:r>
          </w:p>
        </w:tc>
        <w:tc>
          <w:tcPr>
            <w:tcW w:w="6470" w:type="dxa"/>
            <w:gridSpan w:val="5"/>
            <w:tcBorders>
              <w:bottom w:val="single" w:sz="0" w:space="0" w:color="000000"/>
            </w:tcBorders>
          </w:tcPr>
          <w:p>
            <w:pPr>
              <w:pStyle w:val="TableParagraph"/>
              <w:tabs>
                <w:tab w:pos="1744" w:val="left" w:leader="none"/>
                <w:tab w:pos="3042" w:val="left" w:leader="none"/>
                <w:tab w:pos="4339" w:val="left" w:leader="none"/>
                <w:tab w:pos="5636" w:val="left" w:leader="none"/>
              </w:tabs>
              <w:spacing w:before="19"/>
              <w:ind w:left="447"/>
              <w:rPr>
                <w:b/>
                <w:sz w:val="18"/>
              </w:rPr>
            </w:pPr>
            <w:r>
              <w:rPr>
                <w:b/>
                <w:sz w:val="18"/>
              </w:rPr>
              <w:t>-</w:t>
              <w:tab/>
            </w:r>
            <w:r>
              <w:rPr>
                <w:sz w:val="18"/>
              </w:rPr>
              <w:t>-</w:t>
              <w:tab/>
            </w:r>
            <w:r>
              <w:rPr>
                <w:b/>
                <w:sz w:val="18"/>
              </w:rPr>
              <w:t>-</w:t>
              <w:tab/>
            </w:r>
            <w:r>
              <w:rPr>
                <w:sz w:val="18"/>
              </w:rPr>
              <w:t>-</w:t>
              <w:tab/>
            </w:r>
            <w:r>
              <w:rPr>
                <w:b/>
                <w:sz w:val="18"/>
              </w:rPr>
              <w:t>-</w:t>
            </w:r>
          </w:p>
        </w:tc>
        <w:tc>
          <w:tcPr>
            <w:tcW w:w="1120" w:type="dxa"/>
            <w:tcBorders>
              <w:bottom w:val="single" w:sz="0" w:space="0" w:color="000000"/>
            </w:tcBorders>
          </w:tcPr>
          <w:p>
            <w:pPr>
              <w:pStyle w:val="TableParagraph"/>
              <w:spacing w:before="19"/>
              <w:ind w:right="83"/>
              <w:jc w:val="right"/>
              <w:rPr>
                <w:sz w:val="18"/>
              </w:rPr>
            </w:pPr>
            <w:r>
              <w:rPr>
                <w:w w:val="95"/>
                <w:sz w:val="18"/>
              </w:rPr>
              <w:t>14,000</w:t>
            </w:r>
          </w:p>
        </w:tc>
      </w:tr>
      <w:tr>
        <w:trPr>
          <w:trHeight w:val="338" w:hRule="exact"/>
        </w:trPr>
        <w:tc>
          <w:tcPr>
            <w:tcW w:w="4941" w:type="dxa"/>
            <w:gridSpan w:val="2"/>
          </w:tcPr>
          <w:p>
            <w:pPr>
              <w:pStyle w:val="TableParagraph"/>
              <w:tabs>
                <w:tab w:pos="3905" w:val="left" w:leader="none"/>
              </w:tabs>
              <w:spacing w:before="29"/>
              <w:ind w:left="36"/>
              <w:rPr>
                <w:b/>
                <w:sz w:val="18"/>
              </w:rPr>
            </w:pPr>
            <w:r>
              <w:rPr>
                <w:b/>
                <w:sz w:val="18"/>
              </w:rPr>
              <w:t>Total contractual outflows</w:t>
              <w:tab/>
            </w:r>
            <w:r>
              <w:rPr>
                <w:b/>
                <w:position w:val="-7"/>
                <w:sz w:val="18"/>
              </w:rPr>
              <w:t>3,341,123</w:t>
            </w:r>
          </w:p>
        </w:tc>
        <w:tc>
          <w:tcPr>
            <w:tcW w:w="1314" w:type="dxa"/>
            <w:tcBorders>
              <w:bottom w:val="single" w:sz="0" w:space="0" w:color="000000"/>
            </w:tcBorders>
          </w:tcPr>
          <w:p>
            <w:pPr>
              <w:pStyle w:val="TableParagraph"/>
              <w:spacing w:before="113"/>
              <w:ind w:right="276"/>
              <w:jc w:val="right"/>
              <w:rPr>
                <w:sz w:val="18"/>
              </w:rPr>
            </w:pPr>
            <w:r>
              <w:rPr>
                <w:w w:val="95"/>
                <w:sz w:val="18"/>
              </w:rPr>
              <w:t>6,771,840</w:t>
            </w:r>
          </w:p>
        </w:tc>
        <w:tc>
          <w:tcPr>
            <w:tcW w:w="6470" w:type="dxa"/>
            <w:gridSpan w:val="5"/>
            <w:tcBorders>
              <w:bottom w:val="single" w:sz="0" w:space="0" w:color="000000"/>
            </w:tcBorders>
          </w:tcPr>
          <w:p>
            <w:pPr>
              <w:pStyle w:val="TableParagraph"/>
              <w:tabs>
                <w:tab w:pos="1744" w:val="left" w:leader="none"/>
                <w:tab w:pos="3041" w:val="left" w:leader="none"/>
                <w:tab w:pos="4339" w:val="left" w:leader="none"/>
                <w:tab w:pos="5434" w:val="left" w:leader="none"/>
              </w:tabs>
              <w:spacing w:before="113"/>
              <w:ind w:left="447"/>
              <w:rPr>
                <w:b/>
                <w:sz w:val="18"/>
              </w:rPr>
            </w:pPr>
            <w:r>
              <w:rPr>
                <w:b/>
                <w:sz w:val="18"/>
              </w:rPr>
              <w:t>-</w:t>
              <w:tab/>
            </w:r>
            <w:r>
              <w:rPr>
                <w:sz w:val="18"/>
              </w:rPr>
              <w:t>-</w:t>
              <w:tab/>
            </w:r>
            <w:r>
              <w:rPr>
                <w:b/>
                <w:sz w:val="18"/>
              </w:rPr>
              <w:t>-</w:t>
              <w:tab/>
            </w:r>
            <w:r>
              <w:rPr>
                <w:sz w:val="18"/>
              </w:rPr>
              <w:t>-</w:t>
              <w:tab/>
            </w:r>
            <w:r>
              <w:rPr>
                <w:b/>
                <w:sz w:val="18"/>
              </w:rPr>
              <w:t>3,341,123</w:t>
            </w:r>
          </w:p>
        </w:tc>
        <w:tc>
          <w:tcPr>
            <w:tcW w:w="1120" w:type="dxa"/>
            <w:tcBorders>
              <w:bottom w:val="single" w:sz="0" w:space="0" w:color="000000"/>
            </w:tcBorders>
          </w:tcPr>
          <w:p>
            <w:pPr>
              <w:pStyle w:val="TableParagraph"/>
              <w:spacing w:before="113"/>
              <w:ind w:right="82"/>
              <w:jc w:val="right"/>
              <w:rPr>
                <w:sz w:val="18"/>
              </w:rPr>
            </w:pPr>
            <w:r>
              <w:rPr>
                <w:w w:val="95"/>
                <w:sz w:val="18"/>
              </w:rPr>
              <w:t>6,771,840</w:t>
            </w:r>
          </w:p>
        </w:tc>
      </w:tr>
    </w:tbl>
    <w:p>
      <w:pPr>
        <w:pStyle w:val="BodyText"/>
        <w:spacing w:before="3"/>
        <w:rPr>
          <w:b/>
          <w:sz w:val="19"/>
        </w:rPr>
      </w:pPr>
    </w:p>
    <w:p>
      <w:pPr>
        <w:pStyle w:val="BodyText"/>
        <w:spacing w:before="77"/>
        <w:ind w:left="1072"/>
      </w:pPr>
      <w:r>
        <w:rPr/>
        <w:t>* The weighted average interest rate applicable for the above items is 3.7% for 2012 and 4.5% for 2011.</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30"/>
        <w:ind w:left="7367" w:right="7385" w:firstLine="0"/>
        <w:jc w:val="center"/>
        <w:rPr>
          <w:sz w:val="16"/>
        </w:rPr>
      </w:pPr>
      <w:r>
        <w:rPr>
          <w:sz w:val="16"/>
        </w:rPr>
        <w:t>187</w:t>
      </w:r>
    </w:p>
    <w:p>
      <w:pPr>
        <w:spacing w:after="0"/>
        <w:jc w:val="center"/>
        <w:rPr>
          <w:sz w:val="16"/>
        </w:rPr>
        <w:sectPr>
          <w:headerReference w:type="default" r:id="rId186"/>
          <w:footerReference w:type="default" r:id="rId187"/>
          <w:pgSz w:w="16840" w:h="11910" w:orient="landscape"/>
          <w:pgMar w:header="0" w:footer="0" w:top="960" w:bottom="280" w:left="900" w:right="880"/>
        </w:sectPr>
      </w:pPr>
    </w:p>
    <w:p>
      <w:pPr>
        <w:pStyle w:val="Heading6"/>
        <w:spacing w:before="49"/>
        <w:ind w:right="93"/>
      </w:pPr>
      <w:r>
        <w:rPr/>
        <w:t>UWS College Pty Limited</w:t>
      </w:r>
    </w:p>
    <w:p>
      <w:pPr>
        <w:spacing w:before="56"/>
        <w:ind w:left="107" w:right="93" w:firstLine="0"/>
        <w:jc w:val="left"/>
        <w:rPr>
          <w:b/>
          <w:sz w:val="14"/>
        </w:rPr>
      </w:pPr>
      <w:r>
        <w:rPr>
          <w:b/>
          <w:sz w:val="14"/>
        </w:rPr>
        <w:t>ABN: 44 003 474 468</w:t>
      </w:r>
    </w:p>
    <w:p>
      <w:pPr>
        <w:pStyle w:val="BodyText"/>
        <w:rPr>
          <w:b/>
          <w:sz w:val="14"/>
        </w:rPr>
      </w:pPr>
    </w:p>
    <w:p>
      <w:pPr>
        <w:pStyle w:val="BodyText"/>
        <w:spacing w:before="5"/>
        <w:rPr>
          <w:b/>
          <w:sz w:val="15"/>
        </w:rPr>
      </w:pPr>
    </w:p>
    <w:p>
      <w:pPr>
        <w:pStyle w:val="Heading3"/>
        <w:spacing w:before="0"/>
        <w:ind w:right="93"/>
      </w:pPr>
      <w:r>
        <w:rPr/>
        <w:t>Notes to the Financial Statements</w:t>
      </w:r>
    </w:p>
    <w:p>
      <w:pPr>
        <w:pStyle w:val="Heading6"/>
        <w:ind w:right="93"/>
      </w:pPr>
      <w:r>
        <w:rPr/>
        <w:t>For the Year Ended 31 December 2012</w:t>
      </w:r>
    </w:p>
    <w:p>
      <w:pPr>
        <w:pStyle w:val="BodyText"/>
        <w:rPr>
          <w:b/>
          <w:sz w:val="22"/>
        </w:rPr>
      </w:pPr>
    </w:p>
    <w:p>
      <w:pPr>
        <w:pStyle w:val="BodyText"/>
        <w:rPr>
          <w:b/>
          <w:sz w:val="22"/>
        </w:rPr>
      </w:pPr>
    </w:p>
    <w:p>
      <w:pPr>
        <w:pStyle w:val="Heading9"/>
        <w:spacing w:before="160"/>
        <w:ind w:left="109" w:right="93"/>
      </w:pPr>
      <w:r>
        <w:rPr/>
        <w:t>11    Financial Risk Management continued</w:t>
      </w:r>
    </w:p>
    <w:p>
      <w:pPr>
        <w:pStyle w:val="BodyText"/>
        <w:rPr>
          <w:b/>
          <w:sz w:val="25"/>
        </w:rPr>
      </w:pPr>
    </w:p>
    <w:p>
      <w:pPr>
        <w:spacing w:before="0"/>
        <w:ind w:left="1076" w:right="93" w:firstLine="0"/>
        <w:jc w:val="left"/>
        <w:rPr>
          <w:i/>
          <w:sz w:val="18"/>
        </w:rPr>
      </w:pPr>
      <w:r>
        <w:rPr>
          <w:i/>
          <w:sz w:val="18"/>
        </w:rPr>
        <w:t>Financial assets pledged as collateral</w:t>
      </w:r>
    </w:p>
    <w:p>
      <w:pPr>
        <w:pStyle w:val="BodyText"/>
        <w:rPr>
          <w:i/>
          <w:sz w:val="25"/>
        </w:rPr>
      </w:pPr>
    </w:p>
    <w:p>
      <w:pPr>
        <w:pStyle w:val="BodyText"/>
        <w:ind w:left="1072" w:right="93"/>
      </w:pPr>
      <w:r>
        <w:rPr/>
        <w:t>No financial assets have been pledged as security for any financial liability.</w:t>
      </w:r>
    </w:p>
    <w:p>
      <w:pPr>
        <w:pStyle w:val="BodyText"/>
        <w:spacing w:before="11"/>
        <w:rPr>
          <w:sz w:val="24"/>
        </w:rPr>
      </w:pPr>
    </w:p>
    <w:p>
      <w:pPr>
        <w:pStyle w:val="Heading9"/>
        <w:numPr>
          <w:ilvl w:val="0"/>
          <w:numId w:val="89"/>
        </w:numPr>
        <w:tabs>
          <w:tab w:pos="1072" w:val="left" w:leader="none"/>
        </w:tabs>
        <w:spacing w:line="240" w:lineRule="auto" w:before="0" w:after="0"/>
        <w:ind w:left="1071" w:right="0" w:hanging="566"/>
        <w:jc w:val="left"/>
      </w:pPr>
      <w:r>
        <w:rPr/>
        <w:t>Market</w:t>
      </w:r>
      <w:r>
        <w:rPr>
          <w:spacing w:val="-1"/>
        </w:rPr>
        <w:t> </w:t>
      </w:r>
      <w:r>
        <w:rPr/>
        <w:t>risk</w:t>
      </w:r>
    </w:p>
    <w:p>
      <w:pPr>
        <w:pStyle w:val="BodyText"/>
        <w:spacing w:before="11"/>
        <w:rPr>
          <w:b/>
          <w:sz w:val="24"/>
        </w:rPr>
      </w:pPr>
    </w:p>
    <w:p>
      <w:pPr>
        <w:pStyle w:val="BodyText"/>
        <w:ind w:left="1072" w:right="374"/>
      </w:pPr>
      <w:r>
        <w:rPr/>
        <w:t>Market risk is the risk that the fair value or future cash flows of a financial instrument will fluctuate because of changes in market prices.</w:t>
      </w:r>
    </w:p>
    <w:p>
      <w:pPr>
        <w:pStyle w:val="BodyText"/>
        <w:rPr>
          <w:sz w:val="25"/>
        </w:rPr>
      </w:pPr>
    </w:p>
    <w:p>
      <w:pPr>
        <w:pStyle w:val="ListParagraph"/>
        <w:numPr>
          <w:ilvl w:val="0"/>
          <w:numId w:val="90"/>
        </w:numPr>
        <w:tabs>
          <w:tab w:pos="1213" w:val="left" w:leader="none"/>
        </w:tabs>
        <w:spacing w:line="240" w:lineRule="auto" w:before="0" w:after="0"/>
        <w:ind w:left="1212" w:right="0" w:hanging="140"/>
        <w:jc w:val="left"/>
        <w:rPr>
          <w:i/>
          <w:sz w:val="18"/>
        </w:rPr>
      </w:pPr>
      <w:r>
        <w:rPr>
          <w:i/>
          <w:sz w:val="18"/>
        </w:rPr>
        <w:t>Interest rate</w:t>
      </w:r>
      <w:r>
        <w:rPr>
          <w:i/>
          <w:spacing w:val="-1"/>
          <w:sz w:val="18"/>
        </w:rPr>
        <w:t> </w:t>
      </w:r>
      <w:r>
        <w:rPr>
          <w:i/>
          <w:sz w:val="18"/>
        </w:rPr>
        <w:t>risk</w:t>
      </w:r>
    </w:p>
    <w:p>
      <w:pPr>
        <w:pStyle w:val="BodyText"/>
        <w:rPr>
          <w:i/>
          <w:sz w:val="25"/>
        </w:rPr>
      </w:pPr>
    </w:p>
    <w:p>
      <w:pPr>
        <w:pStyle w:val="BodyText"/>
        <w:ind w:left="1072" w:right="283"/>
      </w:pPr>
      <w:r>
        <w:rPr/>
        <w:t>Exposure to interest rate risk arises on financial assets and financial liabilities recognised at the end of the reporting period, whereby a future change in interest rates will affect future cash flows or the fair value of fixed rate financial instruments.</w:t>
      </w:r>
    </w:p>
    <w:p>
      <w:pPr>
        <w:pStyle w:val="BodyText"/>
        <w:rPr>
          <w:sz w:val="25"/>
        </w:rPr>
      </w:pPr>
    </w:p>
    <w:p>
      <w:pPr>
        <w:pStyle w:val="ListParagraph"/>
        <w:numPr>
          <w:ilvl w:val="0"/>
          <w:numId w:val="90"/>
        </w:numPr>
        <w:tabs>
          <w:tab w:pos="1257" w:val="left" w:leader="none"/>
        </w:tabs>
        <w:spacing w:line="240" w:lineRule="auto" w:before="0" w:after="0"/>
        <w:ind w:left="1256" w:right="0" w:hanging="180"/>
        <w:jc w:val="left"/>
        <w:rPr>
          <w:i/>
          <w:sz w:val="18"/>
        </w:rPr>
      </w:pPr>
      <w:r>
        <w:rPr>
          <w:i/>
          <w:sz w:val="18"/>
        </w:rPr>
        <w:t>Price</w:t>
      </w:r>
      <w:r>
        <w:rPr>
          <w:i/>
          <w:spacing w:val="-9"/>
          <w:sz w:val="18"/>
        </w:rPr>
        <w:t> </w:t>
      </w:r>
      <w:r>
        <w:rPr>
          <w:i/>
          <w:sz w:val="18"/>
        </w:rPr>
        <w:t>risk</w:t>
      </w:r>
    </w:p>
    <w:p>
      <w:pPr>
        <w:pStyle w:val="BodyText"/>
        <w:rPr>
          <w:i/>
          <w:sz w:val="25"/>
        </w:rPr>
      </w:pPr>
    </w:p>
    <w:p>
      <w:pPr>
        <w:pStyle w:val="BodyText"/>
        <w:ind w:left="1072" w:right="103"/>
      </w:pPr>
      <w:r>
        <w:rPr/>
        <w:t>Price risk relates to the risk that the fair value or future cash flows of a financial instrument will fluctuate because of changes in market prices of securities held being available-for-sale or fair value through profit and loss.</w:t>
      </w:r>
    </w:p>
    <w:p>
      <w:pPr>
        <w:pStyle w:val="BodyText"/>
        <w:rPr>
          <w:sz w:val="25"/>
        </w:rPr>
      </w:pPr>
    </w:p>
    <w:p>
      <w:pPr>
        <w:pStyle w:val="BodyText"/>
        <w:ind w:left="1072" w:right="93"/>
      </w:pPr>
      <w:r>
        <w:rPr/>
        <w:t>Such risk is managed through diversification of investments across industries and geographic locations.</w:t>
      </w:r>
    </w:p>
    <w:p>
      <w:pPr>
        <w:pStyle w:val="BodyText"/>
        <w:rPr>
          <w:sz w:val="25"/>
        </w:rPr>
      </w:pPr>
    </w:p>
    <w:p>
      <w:pPr>
        <w:spacing w:before="0"/>
        <w:ind w:left="1076" w:right="93" w:firstLine="0"/>
        <w:jc w:val="left"/>
        <w:rPr>
          <w:i/>
          <w:sz w:val="18"/>
        </w:rPr>
      </w:pPr>
      <w:r>
        <w:rPr>
          <w:i/>
          <w:sz w:val="18"/>
        </w:rPr>
        <w:t>Sensitivity analysis</w:t>
      </w:r>
    </w:p>
    <w:p>
      <w:pPr>
        <w:pStyle w:val="BodyText"/>
        <w:rPr>
          <w:i/>
          <w:sz w:val="25"/>
        </w:rPr>
      </w:pPr>
    </w:p>
    <w:p>
      <w:pPr>
        <w:pStyle w:val="BodyText"/>
        <w:ind w:left="1072" w:right="93"/>
      </w:pPr>
      <w:r>
        <w:rPr/>
        <w:t>The following table illustrates sensitivities to the Company's exposures to changes in the interest rate risk.</w:t>
      </w:r>
    </w:p>
    <w:p>
      <w:pPr>
        <w:pStyle w:val="BodyText"/>
        <w:rPr>
          <w:sz w:val="25"/>
        </w:rPr>
      </w:pPr>
    </w:p>
    <w:p>
      <w:pPr>
        <w:pStyle w:val="Heading9"/>
        <w:ind w:left="1072" w:right="93"/>
      </w:pPr>
      <w:r>
        <w:rPr/>
        <w:t>Fair value measurements</w:t>
      </w:r>
    </w:p>
    <w:p>
      <w:pPr>
        <w:pStyle w:val="BodyText"/>
        <w:rPr>
          <w:b/>
          <w:sz w:val="25"/>
        </w:rPr>
      </w:pPr>
    </w:p>
    <w:p>
      <w:pPr>
        <w:pStyle w:val="BodyText"/>
        <w:ind w:left="1072" w:right="783"/>
      </w:pPr>
      <w:r>
        <w:rPr/>
        <w:t>The fair values of financial assets and financial liabilities are presented in the following table and can be compared to their carrying values as presented in the statement of financial position.</w:t>
      </w:r>
    </w:p>
    <w:p>
      <w:pPr>
        <w:pStyle w:val="BodyText"/>
        <w:rPr>
          <w:sz w:val="25"/>
        </w:rPr>
      </w:pPr>
    </w:p>
    <w:p>
      <w:pPr>
        <w:pStyle w:val="Heading9"/>
        <w:ind w:left="1071" w:right="93"/>
      </w:pPr>
      <w:r>
        <w:rPr/>
        <w:t>Interest Rate Risk - Sensitivity Analysis</w:t>
      </w:r>
    </w:p>
    <w:p>
      <w:pPr>
        <w:pStyle w:val="BodyText"/>
        <w:spacing w:before="10"/>
        <w:rPr>
          <w:b/>
          <w:sz w:val="24"/>
        </w:rPr>
      </w:pPr>
    </w:p>
    <w:p>
      <w:pPr>
        <w:pStyle w:val="BodyText"/>
        <w:ind w:left="1072" w:right="593"/>
      </w:pPr>
      <w:r>
        <w:rPr/>
        <w:t>The following sensitivity analysis is based on the interest rate risk exposures in existence at the end of the reporting period.</w:t>
      </w:r>
    </w:p>
    <w:p>
      <w:pPr>
        <w:pStyle w:val="BodyText"/>
        <w:rPr>
          <w:sz w:val="25"/>
        </w:rPr>
      </w:pPr>
    </w:p>
    <w:p>
      <w:pPr>
        <w:pStyle w:val="BodyText"/>
        <w:ind w:left="1072" w:right="93"/>
      </w:pPr>
      <w:r>
        <w:rPr/>
        <w:t>An increase of 100 basis points or a decrease of 100 basis points would have increased equity and surplus or deficit by the amounts shown below. This analysis assumes that other variables are held constant.</w:t>
      </w:r>
    </w:p>
    <w:p>
      <w:pPr>
        <w:pStyle w:val="BodyText"/>
        <w:rPr>
          <w:sz w:val="25"/>
        </w:rPr>
      </w:pPr>
    </w:p>
    <w:p>
      <w:pPr>
        <w:pStyle w:val="BodyText"/>
        <w:ind w:left="1072" w:right="93"/>
      </w:pPr>
      <w:r>
        <w:rPr/>
        <w:t>The movements in surplus / (deficit) are due to higher interest costs from variable rate debt and cash balances.</w:t>
      </w:r>
    </w:p>
    <w:p>
      <w:pPr>
        <w:pStyle w:val="BodyText"/>
        <w:spacing w:before="11"/>
        <w:rPr>
          <w:sz w:val="24"/>
        </w:rPr>
      </w:pPr>
    </w:p>
    <w:p>
      <w:pPr>
        <w:pStyle w:val="BodyText"/>
        <w:ind w:left="1072" w:right="112"/>
      </w:pPr>
      <w:r>
        <w:rPr/>
        <w:t>The net exposure at the end of the reporting period is representative of what the Company was and is expecting to be exposed to at the end of the next twelve months. The sensitivity analysis is performed on the same basis as in 2011.</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4"/>
        </w:rPr>
      </w:pPr>
    </w:p>
    <w:p>
      <w:pPr>
        <w:spacing w:before="0"/>
        <w:ind w:left="4901" w:right="4901" w:firstLine="0"/>
        <w:jc w:val="center"/>
        <w:rPr>
          <w:sz w:val="16"/>
        </w:rPr>
      </w:pPr>
      <w:r>
        <w:rPr>
          <w:sz w:val="16"/>
        </w:rPr>
        <w:t>188</w:t>
      </w:r>
    </w:p>
    <w:p>
      <w:pPr>
        <w:spacing w:after="0"/>
        <w:jc w:val="center"/>
        <w:rPr>
          <w:sz w:val="16"/>
        </w:rPr>
        <w:sectPr>
          <w:headerReference w:type="default" r:id="rId188"/>
          <w:footerReference w:type="default" r:id="rId189"/>
          <w:pgSz w:w="11910" w:h="16840"/>
          <w:pgMar w:header="0" w:footer="0" w:top="960" w:bottom="280" w:left="900" w:right="900"/>
        </w:sectPr>
      </w:pPr>
    </w:p>
    <w:p>
      <w:pPr>
        <w:pStyle w:val="Heading6"/>
        <w:spacing w:before="45"/>
        <w:ind w:left="147" w:right="0"/>
      </w:pPr>
      <w:r>
        <w:rPr/>
        <w:t>UWS College Pty Limited</w:t>
      </w:r>
    </w:p>
    <w:p>
      <w:pPr>
        <w:spacing w:before="56"/>
        <w:ind w:left="147" w:right="0" w:firstLine="0"/>
        <w:jc w:val="left"/>
        <w:rPr>
          <w:b/>
          <w:sz w:val="14"/>
        </w:rPr>
      </w:pPr>
      <w:r>
        <w:rPr>
          <w:b/>
          <w:sz w:val="14"/>
        </w:rPr>
        <w:t>ABN: 44 003 474 468</w:t>
      </w:r>
    </w:p>
    <w:p>
      <w:pPr>
        <w:pStyle w:val="BodyText"/>
        <w:rPr>
          <w:b/>
          <w:sz w:val="14"/>
        </w:rPr>
      </w:pPr>
    </w:p>
    <w:p>
      <w:pPr>
        <w:pStyle w:val="BodyText"/>
        <w:spacing w:before="5"/>
        <w:rPr>
          <w:b/>
          <w:sz w:val="15"/>
        </w:rPr>
      </w:pPr>
    </w:p>
    <w:p>
      <w:pPr>
        <w:pStyle w:val="Heading3"/>
        <w:spacing w:before="0"/>
        <w:ind w:left="147" w:right="0"/>
      </w:pPr>
      <w:r>
        <w:rPr/>
        <w:t>Notes to the Financial Statements</w:t>
      </w:r>
    </w:p>
    <w:p>
      <w:pPr>
        <w:pStyle w:val="Heading6"/>
        <w:ind w:left="147" w:right="0"/>
      </w:pPr>
      <w:r>
        <w:rPr/>
        <w:t>For the Year Ended 31 December 2012</w:t>
      </w:r>
    </w:p>
    <w:p>
      <w:pPr>
        <w:pStyle w:val="BodyText"/>
        <w:rPr>
          <w:b/>
          <w:sz w:val="20"/>
        </w:rPr>
      </w:pPr>
    </w:p>
    <w:p>
      <w:pPr>
        <w:pStyle w:val="BodyText"/>
        <w:rPr>
          <w:b/>
          <w:sz w:val="20"/>
        </w:rPr>
      </w:pPr>
    </w:p>
    <w:p>
      <w:pPr>
        <w:pStyle w:val="BodyText"/>
        <w:spacing w:before="3"/>
        <w:rPr>
          <w:b/>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7194"/>
        <w:gridCol w:w="1012"/>
        <w:gridCol w:w="1586"/>
        <w:gridCol w:w="1616"/>
        <w:gridCol w:w="1556"/>
        <w:gridCol w:w="1583"/>
      </w:tblGrid>
      <w:tr>
        <w:trPr>
          <w:trHeight w:val="567" w:hRule="exact"/>
        </w:trPr>
        <w:tc>
          <w:tcPr>
            <w:tcW w:w="333" w:type="dxa"/>
          </w:tcPr>
          <w:p>
            <w:pPr>
              <w:pStyle w:val="TableParagraph"/>
              <w:spacing w:before="77"/>
              <w:ind w:left="35"/>
              <w:rPr>
                <w:b/>
                <w:sz w:val="18"/>
              </w:rPr>
            </w:pPr>
            <w:r>
              <w:rPr>
                <w:b/>
                <w:sz w:val="18"/>
              </w:rPr>
              <w:t>11</w:t>
            </w:r>
          </w:p>
        </w:tc>
        <w:tc>
          <w:tcPr>
            <w:tcW w:w="7194" w:type="dxa"/>
          </w:tcPr>
          <w:p>
            <w:pPr>
              <w:pStyle w:val="TableParagraph"/>
              <w:spacing w:before="77"/>
              <w:ind w:left="97"/>
              <w:rPr>
                <w:b/>
                <w:sz w:val="18"/>
              </w:rPr>
            </w:pPr>
            <w:r>
              <w:rPr>
                <w:b/>
                <w:sz w:val="18"/>
              </w:rPr>
              <w:t>Financial Risk Management continued</w:t>
            </w:r>
          </w:p>
        </w:tc>
        <w:tc>
          <w:tcPr>
            <w:tcW w:w="1012" w:type="dxa"/>
          </w:tcPr>
          <w:p>
            <w:pPr/>
          </w:p>
        </w:tc>
        <w:tc>
          <w:tcPr>
            <w:tcW w:w="1586" w:type="dxa"/>
          </w:tcPr>
          <w:p>
            <w:pPr>
              <w:pStyle w:val="TableParagraph"/>
              <w:rPr>
                <w:b/>
                <w:sz w:val="18"/>
              </w:rPr>
            </w:pPr>
          </w:p>
          <w:p>
            <w:pPr>
              <w:pStyle w:val="TableParagraph"/>
              <w:spacing w:before="110"/>
              <w:ind w:right="120"/>
              <w:jc w:val="right"/>
              <w:rPr>
                <w:b/>
                <w:sz w:val="18"/>
              </w:rPr>
            </w:pPr>
            <w:r>
              <w:rPr>
                <w:b/>
                <w:sz w:val="18"/>
              </w:rPr>
              <w:t>Surplus / deficit</w:t>
            </w:r>
          </w:p>
        </w:tc>
        <w:tc>
          <w:tcPr>
            <w:tcW w:w="1616" w:type="dxa"/>
          </w:tcPr>
          <w:p>
            <w:pPr>
              <w:pStyle w:val="TableParagraph"/>
              <w:rPr>
                <w:b/>
                <w:sz w:val="18"/>
              </w:rPr>
            </w:pPr>
          </w:p>
          <w:p>
            <w:pPr>
              <w:pStyle w:val="TableParagraph"/>
              <w:spacing w:before="110"/>
              <w:ind w:left="113" w:right="106"/>
              <w:rPr>
                <w:b/>
                <w:sz w:val="18"/>
              </w:rPr>
            </w:pPr>
            <w:r>
              <w:rPr>
                <w:b/>
                <w:sz w:val="18"/>
              </w:rPr>
              <w:t>Surplus / deficit</w:t>
            </w:r>
          </w:p>
        </w:tc>
        <w:tc>
          <w:tcPr>
            <w:tcW w:w="1556" w:type="dxa"/>
          </w:tcPr>
          <w:p>
            <w:pPr>
              <w:pStyle w:val="TableParagraph"/>
              <w:rPr>
                <w:b/>
                <w:sz w:val="18"/>
              </w:rPr>
            </w:pPr>
          </w:p>
          <w:p>
            <w:pPr>
              <w:pStyle w:val="TableParagraph"/>
              <w:spacing w:before="110"/>
              <w:ind w:left="484" w:right="77"/>
              <w:rPr>
                <w:b/>
                <w:sz w:val="18"/>
              </w:rPr>
            </w:pPr>
            <w:r>
              <w:rPr>
                <w:b/>
                <w:sz w:val="18"/>
              </w:rPr>
              <w:t>Equity</w:t>
            </w:r>
          </w:p>
        </w:tc>
        <w:tc>
          <w:tcPr>
            <w:tcW w:w="1583" w:type="dxa"/>
          </w:tcPr>
          <w:p>
            <w:pPr>
              <w:pStyle w:val="TableParagraph"/>
              <w:rPr>
                <w:b/>
                <w:sz w:val="18"/>
              </w:rPr>
            </w:pPr>
          </w:p>
          <w:p>
            <w:pPr>
              <w:pStyle w:val="TableParagraph"/>
              <w:spacing w:before="110"/>
              <w:ind w:left="514" w:right="73"/>
              <w:rPr>
                <w:b/>
                <w:sz w:val="18"/>
              </w:rPr>
            </w:pPr>
            <w:r>
              <w:rPr>
                <w:b/>
                <w:sz w:val="18"/>
              </w:rPr>
              <w:t>Equity</w:t>
            </w:r>
          </w:p>
        </w:tc>
      </w:tr>
      <w:tr>
        <w:trPr>
          <w:trHeight w:val="480" w:hRule="exact"/>
        </w:trPr>
        <w:tc>
          <w:tcPr>
            <w:tcW w:w="333" w:type="dxa"/>
          </w:tcPr>
          <w:p>
            <w:pPr/>
          </w:p>
        </w:tc>
        <w:tc>
          <w:tcPr>
            <w:tcW w:w="7194" w:type="dxa"/>
          </w:tcPr>
          <w:p>
            <w:pPr/>
          </w:p>
        </w:tc>
        <w:tc>
          <w:tcPr>
            <w:tcW w:w="1012" w:type="dxa"/>
          </w:tcPr>
          <w:p>
            <w:pPr>
              <w:pStyle w:val="TableParagraph"/>
              <w:spacing w:before="24"/>
              <w:ind w:left="164" w:right="131" w:hanging="44"/>
              <w:rPr>
                <w:b/>
                <w:sz w:val="18"/>
              </w:rPr>
            </w:pPr>
            <w:r>
              <w:rPr>
                <w:b/>
                <w:sz w:val="18"/>
              </w:rPr>
              <w:t>Carrying amount</w:t>
            </w:r>
          </w:p>
        </w:tc>
        <w:tc>
          <w:tcPr>
            <w:tcW w:w="1586" w:type="dxa"/>
          </w:tcPr>
          <w:p>
            <w:pPr>
              <w:pStyle w:val="TableParagraph"/>
              <w:spacing w:before="24"/>
              <w:ind w:left="424" w:right="78" w:hanging="337"/>
              <w:rPr>
                <w:b/>
                <w:sz w:val="18"/>
              </w:rPr>
            </w:pPr>
            <w:r>
              <w:rPr>
                <w:b/>
                <w:sz w:val="18"/>
              </w:rPr>
              <w:t>100 basis points increase</w:t>
            </w:r>
          </w:p>
        </w:tc>
        <w:tc>
          <w:tcPr>
            <w:tcW w:w="1616" w:type="dxa"/>
          </w:tcPr>
          <w:p>
            <w:pPr>
              <w:pStyle w:val="TableParagraph"/>
              <w:spacing w:before="24"/>
              <w:ind w:left="400" w:right="106" w:hanging="311"/>
              <w:rPr>
                <w:b/>
                <w:sz w:val="18"/>
              </w:rPr>
            </w:pPr>
            <w:r>
              <w:rPr>
                <w:b/>
                <w:sz w:val="18"/>
              </w:rPr>
              <w:t>100 basis points decrease</w:t>
            </w:r>
          </w:p>
        </w:tc>
        <w:tc>
          <w:tcPr>
            <w:tcW w:w="1556" w:type="dxa"/>
          </w:tcPr>
          <w:p>
            <w:pPr>
              <w:pStyle w:val="TableParagraph"/>
              <w:spacing w:before="24"/>
              <w:ind w:left="395" w:right="77" w:hanging="337"/>
              <w:rPr>
                <w:b/>
                <w:sz w:val="18"/>
              </w:rPr>
            </w:pPr>
            <w:r>
              <w:rPr>
                <w:b/>
                <w:sz w:val="18"/>
              </w:rPr>
              <w:t>100 basis points increase</w:t>
            </w:r>
          </w:p>
        </w:tc>
        <w:tc>
          <w:tcPr>
            <w:tcW w:w="1583" w:type="dxa"/>
          </w:tcPr>
          <w:p>
            <w:pPr>
              <w:pStyle w:val="TableParagraph"/>
              <w:spacing w:before="24"/>
              <w:ind w:left="400" w:right="73" w:hanging="311"/>
              <w:rPr>
                <w:b/>
                <w:sz w:val="18"/>
              </w:rPr>
            </w:pPr>
            <w:r>
              <w:rPr>
                <w:b/>
                <w:sz w:val="18"/>
              </w:rPr>
              <w:t>100 basis points decrease</w:t>
            </w:r>
          </w:p>
        </w:tc>
      </w:tr>
      <w:tr>
        <w:trPr>
          <w:trHeight w:val="313" w:hRule="exact"/>
        </w:trPr>
        <w:tc>
          <w:tcPr>
            <w:tcW w:w="333" w:type="dxa"/>
          </w:tcPr>
          <w:p>
            <w:pPr/>
          </w:p>
        </w:tc>
        <w:tc>
          <w:tcPr>
            <w:tcW w:w="7194" w:type="dxa"/>
          </w:tcPr>
          <w:p>
            <w:pPr/>
          </w:p>
        </w:tc>
        <w:tc>
          <w:tcPr>
            <w:tcW w:w="1012" w:type="dxa"/>
          </w:tcPr>
          <w:p>
            <w:pPr>
              <w:pStyle w:val="TableParagraph"/>
              <w:spacing w:before="24"/>
              <w:ind w:right="29"/>
              <w:jc w:val="center"/>
              <w:rPr>
                <w:b/>
                <w:sz w:val="18"/>
              </w:rPr>
            </w:pPr>
            <w:r>
              <w:rPr>
                <w:b/>
                <w:w w:val="99"/>
                <w:sz w:val="18"/>
              </w:rPr>
              <w:t>$</w:t>
            </w:r>
          </w:p>
        </w:tc>
        <w:tc>
          <w:tcPr>
            <w:tcW w:w="1586" w:type="dxa"/>
          </w:tcPr>
          <w:p>
            <w:pPr>
              <w:pStyle w:val="TableParagraph"/>
              <w:spacing w:before="24"/>
              <w:ind w:right="5"/>
              <w:jc w:val="center"/>
              <w:rPr>
                <w:b/>
                <w:sz w:val="18"/>
              </w:rPr>
            </w:pPr>
            <w:r>
              <w:rPr>
                <w:b/>
                <w:w w:val="99"/>
                <w:sz w:val="18"/>
              </w:rPr>
              <w:t>$</w:t>
            </w:r>
          </w:p>
        </w:tc>
        <w:tc>
          <w:tcPr>
            <w:tcW w:w="1616" w:type="dxa"/>
          </w:tcPr>
          <w:p>
            <w:pPr>
              <w:pStyle w:val="TableParagraph"/>
              <w:spacing w:before="24"/>
              <w:ind w:right="34"/>
              <w:jc w:val="center"/>
              <w:rPr>
                <w:b/>
                <w:sz w:val="18"/>
              </w:rPr>
            </w:pPr>
            <w:r>
              <w:rPr>
                <w:b/>
                <w:w w:val="99"/>
                <w:sz w:val="18"/>
              </w:rPr>
              <w:t>$</w:t>
            </w:r>
          </w:p>
        </w:tc>
        <w:tc>
          <w:tcPr>
            <w:tcW w:w="1556" w:type="dxa"/>
          </w:tcPr>
          <w:p>
            <w:pPr>
              <w:pStyle w:val="TableParagraph"/>
              <w:spacing w:before="24"/>
              <w:ind w:right="34"/>
              <w:jc w:val="center"/>
              <w:rPr>
                <w:b/>
                <w:sz w:val="18"/>
              </w:rPr>
            </w:pPr>
            <w:r>
              <w:rPr>
                <w:b/>
                <w:w w:val="99"/>
                <w:sz w:val="18"/>
              </w:rPr>
              <w:t>$</w:t>
            </w:r>
          </w:p>
        </w:tc>
        <w:tc>
          <w:tcPr>
            <w:tcW w:w="1583" w:type="dxa"/>
          </w:tcPr>
          <w:p>
            <w:pPr>
              <w:pStyle w:val="TableParagraph"/>
              <w:spacing w:before="24"/>
              <w:jc w:val="center"/>
              <w:rPr>
                <w:b/>
                <w:sz w:val="18"/>
              </w:rPr>
            </w:pPr>
            <w:r>
              <w:rPr>
                <w:b/>
                <w:w w:val="99"/>
                <w:sz w:val="18"/>
              </w:rPr>
              <w:t>$</w:t>
            </w:r>
          </w:p>
        </w:tc>
      </w:tr>
      <w:tr>
        <w:trPr>
          <w:trHeight w:val="336" w:hRule="exact"/>
        </w:trPr>
        <w:tc>
          <w:tcPr>
            <w:tcW w:w="333" w:type="dxa"/>
          </w:tcPr>
          <w:p>
            <w:pPr/>
          </w:p>
        </w:tc>
        <w:tc>
          <w:tcPr>
            <w:tcW w:w="7194" w:type="dxa"/>
          </w:tcPr>
          <w:p>
            <w:pPr>
              <w:pStyle w:val="TableParagraph"/>
              <w:spacing w:before="63"/>
              <w:ind w:left="669"/>
              <w:rPr>
                <w:b/>
                <w:sz w:val="18"/>
              </w:rPr>
            </w:pPr>
            <w:r>
              <w:rPr>
                <w:b/>
                <w:sz w:val="18"/>
              </w:rPr>
              <w:t>2012</w:t>
            </w:r>
          </w:p>
        </w:tc>
        <w:tc>
          <w:tcPr>
            <w:tcW w:w="1012" w:type="dxa"/>
          </w:tcPr>
          <w:p>
            <w:pPr/>
          </w:p>
        </w:tc>
        <w:tc>
          <w:tcPr>
            <w:tcW w:w="1586" w:type="dxa"/>
          </w:tcPr>
          <w:p>
            <w:pPr/>
          </w:p>
        </w:tc>
        <w:tc>
          <w:tcPr>
            <w:tcW w:w="1616" w:type="dxa"/>
          </w:tcPr>
          <w:p>
            <w:pPr/>
          </w:p>
        </w:tc>
        <w:tc>
          <w:tcPr>
            <w:tcW w:w="1556" w:type="dxa"/>
          </w:tcPr>
          <w:p>
            <w:pPr/>
          </w:p>
        </w:tc>
        <w:tc>
          <w:tcPr>
            <w:tcW w:w="1583" w:type="dxa"/>
          </w:tcPr>
          <w:p>
            <w:pPr/>
          </w:p>
        </w:tc>
      </w:tr>
      <w:tr>
        <w:trPr>
          <w:trHeight w:val="277" w:hRule="exact"/>
        </w:trPr>
        <w:tc>
          <w:tcPr>
            <w:tcW w:w="333" w:type="dxa"/>
          </w:tcPr>
          <w:p>
            <w:pPr/>
          </w:p>
        </w:tc>
        <w:tc>
          <w:tcPr>
            <w:tcW w:w="7194" w:type="dxa"/>
          </w:tcPr>
          <w:p>
            <w:pPr>
              <w:pStyle w:val="TableParagraph"/>
              <w:spacing w:before="46"/>
              <w:ind w:left="669"/>
              <w:rPr>
                <w:b/>
                <w:sz w:val="18"/>
              </w:rPr>
            </w:pPr>
            <w:r>
              <w:rPr>
                <w:b/>
                <w:sz w:val="18"/>
              </w:rPr>
              <w:t>Financial assets</w:t>
            </w:r>
          </w:p>
        </w:tc>
        <w:tc>
          <w:tcPr>
            <w:tcW w:w="1012" w:type="dxa"/>
          </w:tcPr>
          <w:p>
            <w:pPr/>
          </w:p>
        </w:tc>
        <w:tc>
          <w:tcPr>
            <w:tcW w:w="1586" w:type="dxa"/>
          </w:tcPr>
          <w:p>
            <w:pPr/>
          </w:p>
        </w:tc>
        <w:tc>
          <w:tcPr>
            <w:tcW w:w="1616" w:type="dxa"/>
          </w:tcPr>
          <w:p>
            <w:pPr/>
          </w:p>
        </w:tc>
        <w:tc>
          <w:tcPr>
            <w:tcW w:w="1556" w:type="dxa"/>
          </w:tcPr>
          <w:p>
            <w:pPr/>
          </w:p>
        </w:tc>
        <w:tc>
          <w:tcPr>
            <w:tcW w:w="1583" w:type="dxa"/>
          </w:tcPr>
          <w:p>
            <w:pPr/>
          </w:p>
        </w:tc>
      </w:tr>
      <w:tr>
        <w:trPr>
          <w:trHeight w:val="250" w:hRule="exact"/>
        </w:trPr>
        <w:tc>
          <w:tcPr>
            <w:tcW w:w="333" w:type="dxa"/>
          </w:tcPr>
          <w:p>
            <w:pPr/>
          </w:p>
        </w:tc>
        <w:tc>
          <w:tcPr>
            <w:tcW w:w="7194" w:type="dxa"/>
          </w:tcPr>
          <w:p>
            <w:pPr>
              <w:pStyle w:val="TableParagraph"/>
              <w:spacing w:before="6"/>
              <w:ind w:left="669"/>
              <w:rPr>
                <w:sz w:val="18"/>
              </w:rPr>
            </w:pPr>
            <w:r>
              <w:rPr>
                <w:sz w:val="18"/>
              </w:rPr>
              <w:t>Loans to ultimate parent entity</w:t>
            </w:r>
          </w:p>
        </w:tc>
        <w:tc>
          <w:tcPr>
            <w:tcW w:w="1012" w:type="dxa"/>
          </w:tcPr>
          <w:p>
            <w:pPr>
              <w:pStyle w:val="TableParagraph"/>
              <w:spacing w:before="4"/>
              <w:ind w:right="86"/>
              <w:jc w:val="right"/>
              <w:rPr>
                <w:sz w:val="18"/>
              </w:rPr>
            </w:pPr>
            <w:r>
              <w:rPr>
                <w:w w:val="95"/>
                <w:sz w:val="18"/>
              </w:rPr>
              <w:t>6,163,827</w:t>
            </w:r>
          </w:p>
        </w:tc>
        <w:tc>
          <w:tcPr>
            <w:tcW w:w="1586" w:type="dxa"/>
          </w:tcPr>
          <w:p>
            <w:pPr>
              <w:pStyle w:val="TableParagraph"/>
              <w:spacing w:before="4"/>
              <w:ind w:right="87"/>
              <w:jc w:val="right"/>
              <w:rPr>
                <w:sz w:val="18"/>
              </w:rPr>
            </w:pPr>
            <w:r>
              <w:rPr>
                <w:w w:val="95"/>
                <w:sz w:val="18"/>
              </w:rPr>
              <w:t>61,638</w:t>
            </w:r>
          </w:p>
        </w:tc>
        <w:tc>
          <w:tcPr>
            <w:tcW w:w="1616" w:type="dxa"/>
          </w:tcPr>
          <w:p>
            <w:pPr>
              <w:pStyle w:val="TableParagraph"/>
              <w:spacing w:before="4"/>
              <w:ind w:right="57"/>
              <w:jc w:val="right"/>
              <w:rPr>
                <w:sz w:val="18"/>
              </w:rPr>
            </w:pPr>
            <w:r>
              <w:rPr>
                <w:w w:val="95"/>
                <w:sz w:val="18"/>
              </w:rPr>
              <w:t>(61,638)</w:t>
            </w:r>
          </w:p>
        </w:tc>
        <w:tc>
          <w:tcPr>
            <w:tcW w:w="1556" w:type="dxa"/>
          </w:tcPr>
          <w:p>
            <w:pPr>
              <w:pStyle w:val="TableParagraph"/>
              <w:spacing w:before="4"/>
              <w:ind w:right="87"/>
              <w:jc w:val="right"/>
              <w:rPr>
                <w:sz w:val="18"/>
              </w:rPr>
            </w:pPr>
            <w:r>
              <w:rPr>
                <w:w w:val="95"/>
                <w:sz w:val="18"/>
              </w:rPr>
              <w:t>61,638</w:t>
            </w:r>
          </w:p>
        </w:tc>
        <w:tc>
          <w:tcPr>
            <w:tcW w:w="1583" w:type="dxa"/>
          </w:tcPr>
          <w:p>
            <w:pPr>
              <w:pStyle w:val="TableParagraph"/>
              <w:spacing w:before="4"/>
              <w:ind w:right="24"/>
              <w:jc w:val="right"/>
              <w:rPr>
                <w:sz w:val="18"/>
              </w:rPr>
            </w:pPr>
            <w:r>
              <w:rPr>
                <w:w w:val="95"/>
                <w:sz w:val="18"/>
              </w:rPr>
              <w:t>(61,638)</w:t>
            </w:r>
          </w:p>
        </w:tc>
      </w:tr>
      <w:tr>
        <w:trPr>
          <w:trHeight w:val="262" w:hRule="exact"/>
        </w:trPr>
        <w:tc>
          <w:tcPr>
            <w:tcW w:w="333" w:type="dxa"/>
          </w:tcPr>
          <w:p>
            <w:pPr/>
          </w:p>
        </w:tc>
        <w:tc>
          <w:tcPr>
            <w:tcW w:w="7194" w:type="dxa"/>
          </w:tcPr>
          <w:p>
            <w:pPr>
              <w:pStyle w:val="TableParagraph"/>
              <w:spacing w:before="19"/>
              <w:ind w:left="669"/>
              <w:rPr>
                <w:sz w:val="18"/>
              </w:rPr>
            </w:pPr>
            <w:r>
              <w:rPr>
                <w:sz w:val="18"/>
              </w:rPr>
              <w:t>Cash and cash equivalents</w:t>
            </w:r>
          </w:p>
        </w:tc>
        <w:tc>
          <w:tcPr>
            <w:tcW w:w="1012" w:type="dxa"/>
            <w:tcBorders>
              <w:bottom w:val="single" w:sz="0" w:space="0" w:color="000000"/>
            </w:tcBorders>
          </w:tcPr>
          <w:p>
            <w:pPr>
              <w:pStyle w:val="TableParagraph"/>
              <w:spacing w:before="18"/>
              <w:ind w:right="86"/>
              <w:jc w:val="right"/>
              <w:rPr>
                <w:sz w:val="18"/>
              </w:rPr>
            </w:pPr>
            <w:r>
              <w:rPr>
                <w:w w:val="95"/>
                <w:sz w:val="18"/>
              </w:rPr>
              <w:t>649,802</w:t>
            </w:r>
          </w:p>
        </w:tc>
        <w:tc>
          <w:tcPr>
            <w:tcW w:w="1586" w:type="dxa"/>
            <w:tcBorders>
              <w:bottom w:val="single" w:sz="0" w:space="0" w:color="000000"/>
            </w:tcBorders>
          </w:tcPr>
          <w:p>
            <w:pPr>
              <w:pStyle w:val="TableParagraph"/>
              <w:spacing w:before="18"/>
              <w:ind w:right="87"/>
              <w:jc w:val="right"/>
              <w:rPr>
                <w:sz w:val="18"/>
              </w:rPr>
            </w:pPr>
            <w:r>
              <w:rPr>
                <w:w w:val="95"/>
                <w:sz w:val="18"/>
              </w:rPr>
              <w:t>6,498</w:t>
            </w:r>
          </w:p>
        </w:tc>
        <w:tc>
          <w:tcPr>
            <w:tcW w:w="1616" w:type="dxa"/>
            <w:tcBorders>
              <w:bottom w:val="single" w:sz="0" w:space="0" w:color="000000"/>
            </w:tcBorders>
          </w:tcPr>
          <w:p>
            <w:pPr>
              <w:pStyle w:val="TableParagraph"/>
              <w:spacing w:before="18"/>
              <w:ind w:right="57"/>
              <w:jc w:val="right"/>
              <w:rPr>
                <w:sz w:val="18"/>
              </w:rPr>
            </w:pPr>
            <w:r>
              <w:rPr>
                <w:w w:val="95"/>
                <w:sz w:val="18"/>
              </w:rPr>
              <w:t>(6,498)</w:t>
            </w:r>
          </w:p>
        </w:tc>
        <w:tc>
          <w:tcPr>
            <w:tcW w:w="1556" w:type="dxa"/>
            <w:tcBorders>
              <w:bottom w:val="single" w:sz="0" w:space="0" w:color="000000"/>
            </w:tcBorders>
          </w:tcPr>
          <w:p>
            <w:pPr>
              <w:pStyle w:val="TableParagraph"/>
              <w:spacing w:before="18"/>
              <w:ind w:right="89"/>
              <w:jc w:val="right"/>
              <w:rPr>
                <w:sz w:val="18"/>
              </w:rPr>
            </w:pPr>
            <w:r>
              <w:rPr>
                <w:w w:val="95"/>
                <w:sz w:val="18"/>
              </w:rPr>
              <w:t>6,498</w:t>
            </w:r>
          </w:p>
        </w:tc>
        <w:tc>
          <w:tcPr>
            <w:tcW w:w="1583" w:type="dxa"/>
            <w:tcBorders>
              <w:bottom w:val="single" w:sz="0" w:space="0" w:color="000000"/>
            </w:tcBorders>
          </w:tcPr>
          <w:p>
            <w:pPr>
              <w:pStyle w:val="TableParagraph"/>
              <w:spacing w:before="18"/>
              <w:ind w:right="25"/>
              <w:jc w:val="right"/>
              <w:rPr>
                <w:sz w:val="18"/>
              </w:rPr>
            </w:pPr>
            <w:r>
              <w:rPr>
                <w:w w:val="95"/>
                <w:sz w:val="18"/>
              </w:rPr>
              <w:t>(6,498)</w:t>
            </w:r>
          </w:p>
        </w:tc>
      </w:tr>
      <w:tr>
        <w:trPr>
          <w:trHeight w:val="396" w:hRule="exact"/>
        </w:trPr>
        <w:tc>
          <w:tcPr>
            <w:tcW w:w="333" w:type="dxa"/>
          </w:tcPr>
          <w:p>
            <w:pPr/>
          </w:p>
        </w:tc>
        <w:tc>
          <w:tcPr>
            <w:tcW w:w="7194" w:type="dxa"/>
          </w:tcPr>
          <w:p>
            <w:pPr>
              <w:pStyle w:val="TableParagraph"/>
              <w:spacing w:before="123"/>
              <w:ind w:right="2660"/>
              <w:jc w:val="right"/>
              <w:rPr>
                <w:b/>
                <w:sz w:val="18"/>
              </w:rPr>
            </w:pPr>
            <w:r>
              <w:rPr>
                <w:b/>
                <w:sz w:val="18"/>
              </w:rPr>
              <w:t>Total increase / (decrease) in financial assets</w:t>
            </w:r>
          </w:p>
        </w:tc>
        <w:tc>
          <w:tcPr>
            <w:tcW w:w="1012" w:type="dxa"/>
            <w:tcBorders>
              <w:top w:val="single" w:sz="0" w:space="0" w:color="000000"/>
            </w:tcBorders>
          </w:tcPr>
          <w:p>
            <w:pPr>
              <w:pStyle w:val="TableParagraph"/>
              <w:spacing w:before="122"/>
              <w:ind w:right="86"/>
              <w:jc w:val="right"/>
              <w:rPr>
                <w:sz w:val="18"/>
              </w:rPr>
            </w:pPr>
            <w:r>
              <w:rPr>
                <w:w w:val="95"/>
                <w:sz w:val="18"/>
              </w:rPr>
              <w:t>6,813,629</w:t>
            </w:r>
          </w:p>
        </w:tc>
        <w:tc>
          <w:tcPr>
            <w:tcW w:w="1586" w:type="dxa"/>
            <w:tcBorders>
              <w:top w:val="single" w:sz="0" w:space="0" w:color="000000"/>
            </w:tcBorders>
          </w:tcPr>
          <w:p>
            <w:pPr>
              <w:pStyle w:val="TableParagraph"/>
              <w:spacing w:before="122"/>
              <w:ind w:right="87"/>
              <w:jc w:val="right"/>
              <w:rPr>
                <w:sz w:val="18"/>
              </w:rPr>
            </w:pPr>
            <w:r>
              <w:rPr>
                <w:w w:val="95"/>
                <w:sz w:val="18"/>
              </w:rPr>
              <w:t>68,136</w:t>
            </w:r>
          </w:p>
        </w:tc>
        <w:tc>
          <w:tcPr>
            <w:tcW w:w="1616" w:type="dxa"/>
            <w:tcBorders>
              <w:top w:val="single" w:sz="0" w:space="0" w:color="000000"/>
            </w:tcBorders>
          </w:tcPr>
          <w:p>
            <w:pPr>
              <w:pStyle w:val="TableParagraph"/>
              <w:spacing w:before="122"/>
              <w:ind w:right="57"/>
              <w:jc w:val="right"/>
              <w:rPr>
                <w:sz w:val="18"/>
              </w:rPr>
            </w:pPr>
            <w:r>
              <w:rPr>
                <w:w w:val="95"/>
                <w:sz w:val="18"/>
              </w:rPr>
              <w:t>(68,136)</w:t>
            </w:r>
          </w:p>
        </w:tc>
        <w:tc>
          <w:tcPr>
            <w:tcW w:w="1556" w:type="dxa"/>
            <w:tcBorders>
              <w:top w:val="single" w:sz="0" w:space="0" w:color="000000"/>
            </w:tcBorders>
          </w:tcPr>
          <w:p>
            <w:pPr>
              <w:pStyle w:val="TableParagraph"/>
              <w:spacing w:before="122"/>
              <w:ind w:right="87"/>
              <w:jc w:val="right"/>
              <w:rPr>
                <w:sz w:val="18"/>
              </w:rPr>
            </w:pPr>
            <w:r>
              <w:rPr>
                <w:w w:val="95"/>
                <w:sz w:val="18"/>
              </w:rPr>
              <w:t>68,136</w:t>
            </w:r>
          </w:p>
        </w:tc>
        <w:tc>
          <w:tcPr>
            <w:tcW w:w="1583" w:type="dxa"/>
            <w:tcBorders>
              <w:top w:val="single" w:sz="0" w:space="0" w:color="000000"/>
            </w:tcBorders>
          </w:tcPr>
          <w:p>
            <w:pPr>
              <w:pStyle w:val="TableParagraph"/>
              <w:spacing w:before="122"/>
              <w:ind w:right="24"/>
              <w:jc w:val="right"/>
              <w:rPr>
                <w:sz w:val="18"/>
              </w:rPr>
            </w:pPr>
            <w:r>
              <w:rPr>
                <w:w w:val="95"/>
                <w:sz w:val="18"/>
              </w:rPr>
              <w:t>(68,136)</w:t>
            </w:r>
          </w:p>
        </w:tc>
      </w:tr>
      <w:tr>
        <w:trPr>
          <w:trHeight w:val="277" w:hRule="exact"/>
        </w:trPr>
        <w:tc>
          <w:tcPr>
            <w:tcW w:w="333" w:type="dxa"/>
          </w:tcPr>
          <w:p>
            <w:pPr/>
          </w:p>
        </w:tc>
        <w:tc>
          <w:tcPr>
            <w:tcW w:w="7194" w:type="dxa"/>
          </w:tcPr>
          <w:p>
            <w:pPr>
              <w:pStyle w:val="TableParagraph"/>
              <w:spacing w:before="46"/>
              <w:ind w:left="669"/>
              <w:rPr>
                <w:b/>
                <w:sz w:val="18"/>
              </w:rPr>
            </w:pPr>
            <w:r>
              <w:rPr>
                <w:b/>
                <w:sz w:val="18"/>
              </w:rPr>
              <w:t>Financial liabilities</w:t>
            </w:r>
          </w:p>
        </w:tc>
        <w:tc>
          <w:tcPr>
            <w:tcW w:w="1012" w:type="dxa"/>
          </w:tcPr>
          <w:p>
            <w:pPr/>
          </w:p>
        </w:tc>
        <w:tc>
          <w:tcPr>
            <w:tcW w:w="1586" w:type="dxa"/>
          </w:tcPr>
          <w:p>
            <w:pPr/>
          </w:p>
        </w:tc>
        <w:tc>
          <w:tcPr>
            <w:tcW w:w="1616" w:type="dxa"/>
          </w:tcPr>
          <w:p>
            <w:pPr/>
          </w:p>
        </w:tc>
        <w:tc>
          <w:tcPr>
            <w:tcW w:w="1556" w:type="dxa"/>
          </w:tcPr>
          <w:p>
            <w:pPr/>
          </w:p>
        </w:tc>
        <w:tc>
          <w:tcPr>
            <w:tcW w:w="1583" w:type="dxa"/>
          </w:tcPr>
          <w:p>
            <w:pPr/>
          </w:p>
        </w:tc>
      </w:tr>
      <w:tr>
        <w:trPr>
          <w:trHeight w:val="248" w:hRule="exact"/>
        </w:trPr>
        <w:tc>
          <w:tcPr>
            <w:tcW w:w="333" w:type="dxa"/>
          </w:tcPr>
          <w:p>
            <w:pPr/>
          </w:p>
        </w:tc>
        <w:tc>
          <w:tcPr>
            <w:tcW w:w="7194" w:type="dxa"/>
          </w:tcPr>
          <w:p>
            <w:pPr>
              <w:pStyle w:val="TableParagraph"/>
              <w:spacing w:before="6"/>
              <w:ind w:left="669"/>
              <w:rPr>
                <w:sz w:val="18"/>
              </w:rPr>
            </w:pPr>
            <w:r>
              <w:rPr>
                <w:sz w:val="18"/>
              </w:rPr>
              <w:t>Amounts due to related parties</w:t>
            </w:r>
          </w:p>
        </w:tc>
        <w:tc>
          <w:tcPr>
            <w:tcW w:w="1012" w:type="dxa"/>
            <w:tcBorders>
              <w:bottom w:val="single" w:sz="0" w:space="0" w:color="000000"/>
            </w:tcBorders>
          </w:tcPr>
          <w:p>
            <w:pPr>
              <w:pStyle w:val="TableParagraph"/>
              <w:spacing w:before="4"/>
              <w:ind w:right="87"/>
              <w:jc w:val="right"/>
              <w:rPr>
                <w:sz w:val="18"/>
              </w:rPr>
            </w:pPr>
            <w:r>
              <w:rPr>
                <w:w w:val="95"/>
                <w:sz w:val="18"/>
              </w:rPr>
              <w:t>368,970</w:t>
            </w:r>
          </w:p>
        </w:tc>
        <w:tc>
          <w:tcPr>
            <w:tcW w:w="1586" w:type="dxa"/>
            <w:tcBorders>
              <w:bottom w:val="single" w:sz="0" w:space="0" w:color="000000"/>
            </w:tcBorders>
          </w:tcPr>
          <w:p>
            <w:pPr>
              <w:pStyle w:val="TableParagraph"/>
              <w:spacing w:before="4"/>
              <w:ind w:right="88"/>
              <w:jc w:val="right"/>
              <w:rPr>
                <w:sz w:val="18"/>
              </w:rPr>
            </w:pPr>
            <w:r>
              <w:rPr>
                <w:w w:val="95"/>
                <w:sz w:val="18"/>
              </w:rPr>
              <w:t>3,690</w:t>
            </w:r>
          </w:p>
        </w:tc>
        <w:tc>
          <w:tcPr>
            <w:tcW w:w="1616" w:type="dxa"/>
            <w:tcBorders>
              <w:bottom w:val="single" w:sz="0" w:space="0" w:color="000000"/>
            </w:tcBorders>
          </w:tcPr>
          <w:p>
            <w:pPr>
              <w:pStyle w:val="TableParagraph"/>
              <w:spacing w:before="4"/>
              <w:ind w:right="58"/>
              <w:jc w:val="right"/>
              <w:rPr>
                <w:sz w:val="18"/>
              </w:rPr>
            </w:pPr>
            <w:r>
              <w:rPr>
                <w:w w:val="95"/>
                <w:sz w:val="18"/>
              </w:rPr>
              <w:t>(3,690)</w:t>
            </w:r>
          </w:p>
        </w:tc>
        <w:tc>
          <w:tcPr>
            <w:tcW w:w="1556" w:type="dxa"/>
            <w:tcBorders>
              <w:bottom w:val="single" w:sz="0" w:space="0" w:color="000000"/>
            </w:tcBorders>
          </w:tcPr>
          <w:p>
            <w:pPr>
              <w:pStyle w:val="TableParagraph"/>
              <w:spacing w:before="4"/>
              <w:ind w:right="88"/>
              <w:jc w:val="right"/>
              <w:rPr>
                <w:sz w:val="18"/>
              </w:rPr>
            </w:pPr>
            <w:r>
              <w:rPr>
                <w:w w:val="95"/>
                <w:sz w:val="18"/>
              </w:rPr>
              <w:t>3,690</w:t>
            </w:r>
          </w:p>
        </w:tc>
        <w:tc>
          <w:tcPr>
            <w:tcW w:w="1583" w:type="dxa"/>
            <w:tcBorders>
              <w:bottom w:val="single" w:sz="0" w:space="0" w:color="000000"/>
            </w:tcBorders>
          </w:tcPr>
          <w:p>
            <w:pPr>
              <w:pStyle w:val="TableParagraph"/>
              <w:spacing w:before="4"/>
              <w:ind w:right="25"/>
              <w:jc w:val="right"/>
              <w:rPr>
                <w:sz w:val="18"/>
              </w:rPr>
            </w:pPr>
            <w:r>
              <w:rPr>
                <w:w w:val="95"/>
                <w:sz w:val="18"/>
              </w:rPr>
              <w:t>(3,690)</w:t>
            </w:r>
          </w:p>
        </w:tc>
      </w:tr>
      <w:tr>
        <w:trPr>
          <w:trHeight w:val="533" w:hRule="exact"/>
        </w:trPr>
        <w:tc>
          <w:tcPr>
            <w:tcW w:w="333" w:type="dxa"/>
          </w:tcPr>
          <w:p>
            <w:pPr/>
          </w:p>
        </w:tc>
        <w:tc>
          <w:tcPr>
            <w:tcW w:w="7194" w:type="dxa"/>
          </w:tcPr>
          <w:p>
            <w:pPr>
              <w:pStyle w:val="TableParagraph"/>
              <w:spacing w:before="123"/>
              <w:ind w:left="669"/>
              <w:rPr>
                <w:b/>
                <w:sz w:val="18"/>
              </w:rPr>
            </w:pPr>
            <w:r>
              <w:rPr>
                <w:b/>
                <w:sz w:val="18"/>
              </w:rPr>
              <w:t>Total increase / (decrease)</w:t>
            </w:r>
          </w:p>
        </w:tc>
        <w:tc>
          <w:tcPr>
            <w:tcW w:w="1012" w:type="dxa"/>
            <w:tcBorders>
              <w:top w:val="single" w:sz="0" w:space="0" w:color="000000"/>
            </w:tcBorders>
          </w:tcPr>
          <w:p>
            <w:pPr>
              <w:pStyle w:val="TableParagraph"/>
              <w:spacing w:before="122"/>
              <w:ind w:right="86"/>
              <w:jc w:val="right"/>
              <w:rPr>
                <w:sz w:val="18"/>
              </w:rPr>
            </w:pPr>
            <w:r>
              <w:rPr>
                <w:w w:val="95"/>
                <w:sz w:val="18"/>
              </w:rPr>
              <w:t>7,182,599</w:t>
            </w:r>
          </w:p>
        </w:tc>
        <w:tc>
          <w:tcPr>
            <w:tcW w:w="1586" w:type="dxa"/>
            <w:tcBorders>
              <w:top w:val="single" w:sz="0" w:space="0" w:color="000000"/>
            </w:tcBorders>
          </w:tcPr>
          <w:p>
            <w:pPr>
              <w:pStyle w:val="TableParagraph"/>
              <w:spacing w:before="122"/>
              <w:ind w:right="87"/>
              <w:jc w:val="right"/>
              <w:rPr>
                <w:sz w:val="18"/>
              </w:rPr>
            </w:pPr>
            <w:r>
              <w:rPr>
                <w:w w:val="95"/>
                <w:sz w:val="18"/>
              </w:rPr>
              <w:t>71,826</w:t>
            </w:r>
          </w:p>
        </w:tc>
        <w:tc>
          <w:tcPr>
            <w:tcW w:w="1616" w:type="dxa"/>
            <w:tcBorders>
              <w:top w:val="single" w:sz="0" w:space="0" w:color="000000"/>
            </w:tcBorders>
          </w:tcPr>
          <w:p>
            <w:pPr>
              <w:pStyle w:val="TableParagraph"/>
              <w:spacing w:before="122"/>
              <w:ind w:right="57"/>
              <w:jc w:val="right"/>
              <w:rPr>
                <w:sz w:val="18"/>
              </w:rPr>
            </w:pPr>
            <w:r>
              <w:rPr>
                <w:w w:val="95"/>
                <w:sz w:val="18"/>
              </w:rPr>
              <w:t>(71,826)</w:t>
            </w:r>
          </w:p>
        </w:tc>
        <w:tc>
          <w:tcPr>
            <w:tcW w:w="1556" w:type="dxa"/>
            <w:tcBorders>
              <w:top w:val="single" w:sz="0" w:space="0" w:color="000000"/>
            </w:tcBorders>
          </w:tcPr>
          <w:p>
            <w:pPr>
              <w:pStyle w:val="TableParagraph"/>
              <w:spacing w:before="122"/>
              <w:ind w:right="87"/>
              <w:jc w:val="right"/>
              <w:rPr>
                <w:sz w:val="18"/>
              </w:rPr>
            </w:pPr>
            <w:r>
              <w:rPr>
                <w:w w:val="95"/>
                <w:sz w:val="18"/>
              </w:rPr>
              <w:t>71,826</w:t>
            </w:r>
          </w:p>
        </w:tc>
        <w:tc>
          <w:tcPr>
            <w:tcW w:w="1583" w:type="dxa"/>
            <w:tcBorders>
              <w:top w:val="single" w:sz="0" w:space="0" w:color="000000"/>
            </w:tcBorders>
          </w:tcPr>
          <w:p>
            <w:pPr>
              <w:pStyle w:val="TableParagraph"/>
              <w:spacing w:before="122"/>
              <w:ind w:right="24"/>
              <w:jc w:val="right"/>
              <w:rPr>
                <w:sz w:val="18"/>
              </w:rPr>
            </w:pPr>
            <w:r>
              <w:rPr>
                <w:w w:val="95"/>
                <w:sz w:val="18"/>
              </w:rPr>
              <w:t>(71,826)</w:t>
            </w:r>
          </w:p>
        </w:tc>
      </w:tr>
      <w:tr>
        <w:trPr>
          <w:trHeight w:val="456" w:hRule="exact"/>
        </w:trPr>
        <w:tc>
          <w:tcPr>
            <w:tcW w:w="333" w:type="dxa"/>
          </w:tcPr>
          <w:p>
            <w:pPr/>
          </w:p>
        </w:tc>
        <w:tc>
          <w:tcPr>
            <w:tcW w:w="7194" w:type="dxa"/>
          </w:tcPr>
          <w:p>
            <w:pPr>
              <w:pStyle w:val="TableParagraph"/>
              <w:spacing w:before="10"/>
              <w:rPr>
                <w:b/>
                <w:sz w:val="15"/>
              </w:rPr>
            </w:pPr>
          </w:p>
          <w:p>
            <w:pPr>
              <w:pStyle w:val="TableParagraph"/>
              <w:spacing w:before="1"/>
              <w:ind w:left="669"/>
              <w:rPr>
                <w:b/>
                <w:sz w:val="18"/>
              </w:rPr>
            </w:pPr>
            <w:r>
              <w:rPr>
                <w:b/>
                <w:sz w:val="18"/>
              </w:rPr>
              <w:t>2011</w:t>
            </w:r>
          </w:p>
        </w:tc>
        <w:tc>
          <w:tcPr>
            <w:tcW w:w="1012" w:type="dxa"/>
          </w:tcPr>
          <w:p>
            <w:pPr/>
          </w:p>
        </w:tc>
        <w:tc>
          <w:tcPr>
            <w:tcW w:w="1586" w:type="dxa"/>
          </w:tcPr>
          <w:p>
            <w:pPr/>
          </w:p>
        </w:tc>
        <w:tc>
          <w:tcPr>
            <w:tcW w:w="1616" w:type="dxa"/>
          </w:tcPr>
          <w:p>
            <w:pPr/>
          </w:p>
        </w:tc>
        <w:tc>
          <w:tcPr>
            <w:tcW w:w="1556" w:type="dxa"/>
          </w:tcPr>
          <w:p>
            <w:pPr/>
          </w:p>
        </w:tc>
        <w:tc>
          <w:tcPr>
            <w:tcW w:w="1583" w:type="dxa"/>
          </w:tcPr>
          <w:p>
            <w:pPr/>
          </w:p>
        </w:tc>
      </w:tr>
      <w:tr>
        <w:trPr>
          <w:trHeight w:val="277" w:hRule="exact"/>
        </w:trPr>
        <w:tc>
          <w:tcPr>
            <w:tcW w:w="333" w:type="dxa"/>
          </w:tcPr>
          <w:p>
            <w:pPr/>
          </w:p>
        </w:tc>
        <w:tc>
          <w:tcPr>
            <w:tcW w:w="7194" w:type="dxa"/>
          </w:tcPr>
          <w:p>
            <w:pPr>
              <w:pStyle w:val="TableParagraph"/>
              <w:spacing w:before="46"/>
              <w:ind w:left="669"/>
              <w:rPr>
                <w:b/>
                <w:sz w:val="18"/>
              </w:rPr>
            </w:pPr>
            <w:r>
              <w:rPr>
                <w:b/>
                <w:sz w:val="18"/>
              </w:rPr>
              <w:t>Financial assets</w:t>
            </w:r>
          </w:p>
        </w:tc>
        <w:tc>
          <w:tcPr>
            <w:tcW w:w="1012" w:type="dxa"/>
          </w:tcPr>
          <w:p>
            <w:pPr/>
          </w:p>
        </w:tc>
        <w:tc>
          <w:tcPr>
            <w:tcW w:w="1586" w:type="dxa"/>
          </w:tcPr>
          <w:p>
            <w:pPr/>
          </w:p>
        </w:tc>
        <w:tc>
          <w:tcPr>
            <w:tcW w:w="1616" w:type="dxa"/>
          </w:tcPr>
          <w:p>
            <w:pPr/>
          </w:p>
        </w:tc>
        <w:tc>
          <w:tcPr>
            <w:tcW w:w="1556" w:type="dxa"/>
          </w:tcPr>
          <w:p>
            <w:pPr/>
          </w:p>
        </w:tc>
        <w:tc>
          <w:tcPr>
            <w:tcW w:w="1583" w:type="dxa"/>
          </w:tcPr>
          <w:p>
            <w:pPr/>
          </w:p>
        </w:tc>
      </w:tr>
      <w:tr>
        <w:trPr>
          <w:trHeight w:val="249" w:hRule="exact"/>
        </w:trPr>
        <w:tc>
          <w:tcPr>
            <w:tcW w:w="333" w:type="dxa"/>
          </w:tcPr>
          <w:p>
            <w:pPr/>
          </w:p>
        </w:tc>
        <w:tc>
          <w:tcPr>
            <w:tcW w:w="7194" w:type="dxa"/>
          </w:tcPr>
          <w:p>
            <w:pPr>
              <w:pStyle w:val="TableParagraph"/>
              <w:spacing w:before="6"/>
              <w:ind w:left="669"/>
              <w:rPr>
                <w:sz w:val="18"/>
              </w:rPr>
            </w:pPr>
            <w:r>
              <w:rPr>
                <w:sz w:val="18"/>
              </w:rPr>
              <w:t>Cash and cash equivalents</w:t>
            </w:r>
          </w:p>
        </w:tc>
        <w:tc>
          <w:tcPr>
            <w:tcW w:w="1012" w:type="dxa"/>
            <w:tcBorders>
              <w:bottom w:val="single" w:sz="0" w:space="0" w:color="000000"/>
            </w:tcBorders>
          </w:tcPr>
          <w:p>
            <w:pPr>
              <w:pStyle w:val="TableParagraph"/>
              <w:spacing w:before="4"/>
              <w:ind w:right="86"/>
              <w:jc w:val="right"/>
              <w:rPr>
                <w:sz w:val="18"/>
              </w:rPr>
            </w:pPr>
            <w:r>
              <w:rPr>
                <w:w w:val="95"/>
                <w:sz w:val="18"/>
              </w:rPr>
              <w:t>3,293,081</w:t>
            </w:r>
          </w:p>
        </w:tc>
        <w:tc>
          <w:tcPr>
            <w:tcW w:w="1586" w:type="dxa"/>
            <w:tcBorders>
              <w:bottom w:val="single" w:sz="0" w:space="0" w:color="000000"/>
            </w:tcBorders>
          </w:tcPr>
          <w:p>
            <w:pPr>
              <w:pStyle w:val="TableParagraph"/>
              <w:spacing w:before="4"/>
              <w:ind w:right="87"/>
              <w:jc w:val="right"/>
              <w:rPr>
                <w:sz w:val="18"/>
              </w:rPr>
            </w:pPr>
            <w:r>
              <w:rPr>
                <w:w w:val="95"/>
                <w:sz w:val="18"/>
              </w:rPr>
              <w:t>32,931</w:t>
            </w:r>
          </w:p>
        </w:tc>
        <w:tc>
          <w:tcPr>
            <w:tcW w:w="1616" w:type="dxa"/>
            <w:tcBorders>
              <w:bottom w:val="single" w:sz="0" w:space="0" w:color="000000"/>
            </w:tcBorders>
          </w:tcPr>
          <w:p>
            <w:pPr>
              <w:pStyle w:val="TableParagraph"/>
              <w:spacing w:before="4"/>
              <w:ind w:right="58"/>
              <w:jc w:val="right"/>
              <w:rPr>
                <w:sz w:val="18"/>
              </w:rPr>
            </w:pPr>
            <w:r>
              <w:rPr>
                <w:w w:val="95"/>
                <w:sz w:val="18"/>
              </w:rPr>
              <w:t>(32,931)</w:t>
            </w:r>
          </w:p>
        </w:tc>
        <w:tc>
          <w:tcPr>
            <w:tcW w:w="1556" w:type="dxa"/>
            <w:tcBorders>
              <w:bottom w:val="single" w:sz="0" w:space="0" w:color="000000"/>
            </w:tcBorders>
          </w:tcPr>
          <w:p>
            <w:pPr>
              <w:pStyle w:val="TableParagraph"/>
              <w:spacing w:before="4"/>
              <w:ind w:right="88"/>
              <w:jc w:val="right"/>
              <w:rPr>
                <w:sz w:val="18"/>
              </w:rPr>
            </w:pPr>
            <w:r>
              <w:rPr>
                <w:w w:val="95"/>
                <w:sz w:val="18"/>
              </w:rPr>
              <w:t>32,931</w:t>
            </w:r>
          </w:p>
        </w:tc>
        <w:tc>
          <w:tcPr>
            <w:tcW w:w="1583" w:type="dxa"/>
            <w:tcBorders>
              <w:bottom w:val="single" w:sz="0" w:space="0" w:color="000000"/>
            </w:tcBorders>
          </w:tcPr>
          <w:p>
            <w:pPr>
              <w:pStyle w:val="TableParagraph"/>
              <w:spacing w:before="4"/>
              <w:ind w:right="25"/>
              <w:jc w:val="right"/>
              <w:rPr>
                <w:sz w:val="18"/>
              </w:rPr>
            </w:pPr>
            <w:r>
              <w:rPr>
                <w:w w:val="95"/>
                <w:sz w:val="18"/>
              </w:rPr>
              <w:t>(32,931)</w:t>
            </w:r>
          </w:p>
        </w:tc>
      </w:tr>
      <w:tr>
        <w:trPr>
          <w:trHeight w:val="396" w:hRule="exact"/>
        </w:trPr>
        <w:tc>
          <w:tcPr>
            <w:tcW w:w="333" w:type="dxa"/>
          </w:tcPr>
          <w:p>
            <w:pPr/>
          </w:p>
        </w:tc>
        <w:tc>
          <w:tcPr>
            <w:tcW w:w="7194" w:type="dxa"/>
          </w:tcPr>
          <w:p>
            <w:pPr>
              <w:pStyle w:val="TableParagraph"/>
              <w:spacing w:before="123"/>
              <w:ind w:right="2660"/>
              <w:jc w:val="right"/>
              <w:rPr>
                <w:b/>
                <w:sz w:val="18"/>
              </w:rPr>
            </w:pPr>
            <w:r>
              <w:rPr>
                <w:b/>
                <w:sz w:val="18"/>
              </w:rPr>
              <w:t>Total increase / (decrease) in financial assets</w:t>
            </w:r>
          </w:p>
        </w:tc>
        <w:tc>
          <w:tcPr>
            <w:tcW w:w="1012" w:type="dxa"/>
            <w:tcBorders>
              <w:top w:val="single" w:sz="0" w:space="0" w:color="000000"/>
            </w:tcBorders>
          </w:tcPr>
          <w:p>
            <w:pPr>
              <w:pStyle w:val="TableParagraph"/>
              <w:spacing w:before="122"/>
              <w:ind w:right="86"/>
              <w:jc w:val="right"/>
              <w:rPr>
                <w:sz w:val="18"/>
              </w:rPr>
            </w:pPr>
            <w:r>
              <w:rPr>
                <w:w w:val="95"/>
                <w:sz w:val="18"/>
              </w:rPr>
              <w:t>3,293,081</w:t>
            </w:r>
          </w:p>
        </w:tc>
        <w:tc>
          <w:tcPr>
            <w:tcW w:w="1586" w:type="dxa"/>
            <w:tcBorders>
              <w:top w:val="single" w:sz="0" w:space="0" w:color="000000"/>
            </w:tcBorders>
          </w:tcPr>
          <w:p>
            <w:pPr>
              <w:pStyle w:val="TableParagraph"/>
              <w:spacing w:before="122"/>
              <w:ind w:right="87"/>
              <w:jc w:val="right"/>
              <w:rPr>
                <w:sz w:val="18"/>
              </w:rPr>
            </w:pPr>
            <w:r>
              <w:rPr>
                <w:w w:val="95"/>
                <w:sz w:val="18"/>
              </w:rPr>
              <w:t>32,931</w:t>
            </w:r>
          </w:p>
        </w:tc>
        <w:tc>
          <w:tcPr>
            <w:tcW w:w="1616" w:type="dxa"/>
            <w:tcBorders>
              <w:top w:val="single" w:sz="0" w:space="0" w:color="000000"/>
            </w:tcBorders>
          </w:tcPr>
          <w:p>
            <w:pPr>
              <w:pStyle w:val="TableParagraph"/>
              <w:spacing w:before="122"/>
              <w:ind w:right="57"/>
              <w:jc w:val="right"/>
              <w:rPr>
                <w:sz w:val="18"/>
              </w:rPr>
            </w:pPr>
            <w:r>
              <w:rPr>
                <w:w w:val="95"/>
                <w:sz w:val="18"/>
              </w:rPr>
              <w:t>(32,931)</w:t>
            </w:r>
          </w:p>
        </w:tc>
        <w:tc>
          <w:tcPr>
            <w:tcW w:w="1556" w:type="dxa"/>
            <w:tcBorders>
              <w:top w:val="single" w:sz="0" w:space="0" w:color="000000"/>
            </w:tcBorders>
          </w:tcPr>
          <w:p>
            <w:pPr>
              <w:pStyle w:val="TableParagraph"/>
              <w:spacing w:before="122"/>
              <w:ind w:right="87"/>
              <w:jc w:val="right"/>
              <w:rPr>
                <w:sz w:val="18"/>
              </w:rPr>
            </w:pPr>
            <w:r>
              <w:rPr>
                <w:w w:val="95"/>
                <w:sz w:val="18"/>
              </w:rPr>
              <w:t>32,931</w:t>
            </w:r>
          </w:p>
        </w:tc>
        <w:tc>
          <w:tcPr>
            <w:tcW w:w="1583" w:type="dxa"/>
            <w:tcBorders>
              <w:top w:val="single" w:sz="0" w:space="0" w:color="000000"/>
            </w:tcBorders>
          </w:tcPr>
          <w:p>
            <w:pPr>
              <w:pStyle w:val="TableParagraph"/>
              <w:spacing w:before="122"/>
              <w:ind w:right="24"/>
              <w:jc w:val="right"/>
              <w:rPr>
                <w:sz w:val="18"/>
              </w:rPr>
            </w:pPr>
            <w:r>
              <w:rPr>
                <w:w w:val="95"/>
                <w:sz w:val="18"/>
              </w:rPr>
              <w:t>(32,931)</w:t>
            </w:r>
          </w:p>
        </w:tc>
      </w:tr>
      <w:tr>
        <w:trPr>
          <w:trHeight w:val="277" w:hRule="exact"/>
        </w:trPr>
        <w:tc>
          <w:tcPr>
            <w:tcW w:w="333" w:type="dxa"/>
          </w:tcPr>
          <w:p>
            <w:pPr/>
          </w:p>
        </w:tc>
        <w:tc>
          <w:tcPr>
            <w:tcW w:w="7194" w:type="dxa"/>
          </w:tcPr>
          <w:p>
            <w:pPr>
              <w:pStyle w:val="TableParagraph"/>
              <w:spacing w:before="46"/>
              <w:ind w:left="669"/>
              <w:rPr>
                <w:b/>
                <w:sz w:val="18"/>
              </w:rPr>
            </w:pPr>
            <w:r>
              <w:rPr>
                <w:b/>
                <w:sz w:val="18"/>
              </w:rPr>
              <w:t>Financial liabilities</w:t>
            </w:r>
          </w:p>
        </w:tc>
        <w:tc>
          <w:tcPr>
            <w:tcW w:w="1012" w:type="dxa"/>
          </w:tcPr>
          <w:p>
            <w:pPr/>
          </w:p>
        </w:tc>
        <w:tc>
          <w:tcPr>
            <w:tcW w:w="1586" w:type="dxa"/>
          </w:tcPr>
          <w:p>
            <w:pPr/>
          </w:p>
        </w:tc>
        <w:tc>
          <w:tcPr>
            <w:tcW w:w="1616" w:type="dxa"/>
          </w:tcPr>
          <w:p>
            <w:pPr/>
          </w:p>
        </w:tc>
        <w:tc>
          <w:tcPr>
            <w:tcW w:w="1556" w:type="dxa"/>
          </w:tcPr>
          <w:p>
            <w:pPr/>
          </w:p>
        </w:tc>
        <w:tc>
          <w:tcPr>
            <w:tcW w:w="1583" w:type="dxa"/>
          </w:tcPr>
          <w:p>
            <w:pPr/>
          </w:p>
        </w:tc>
      </w:tr>
      <w:tr>
        <w:trPr>
          <w:trHeight w:val="248" w:hRule="exact"/>
        </w:trPr>
        <w:tc>
          <w:tcPr>
            <w:tcW w:w="333" w:type="dxa"/>
          </w:tcPr>
          <w:p>
            <w:pPr/>
          </w:p>
        </w:tc>
        <w:tc>
          <w:tcPr>
            <w:tcW w:w="7194" w:type="dxa"/>
          </w:tcPr>
          <w:p>
            <w:pPr>
              <w:pStyle w:val="TableParagraph"/>
              <w:spacing w:before="6"/>
              <w:ind w:left="669"/>
              <w:rPr>
                <w:sz w:val="18"/>
              </w:rPr>
            </w:pPr>
            <w:r>
              <w:rPr>
                <w:sz w:val="18"/>
              </w:rPr>
              <w:t>Amounts due to related parties</w:t>
            </w:r>
          </w:p>
        </w:tc>
        <w:tc>
          <w:tcPr>
            <w:tcW w:w="1012" w:type="dxa"/>
            <w:tcBorders>
              <w:bottom w:val="single" w:sz="0" w:space="0" w:color="000000"/>
            </w:tcBorders>
          </w:tcPr>
          <w:p>
            <w:pPr>
              <w:pStyle w:val="TableParagraph"/>
              <w:spacing w:before="4"/>
              <w:ind w:right="87"/>
              <w:jc w:val="right"/>
              <w:rPr>
                <w:sz w:val="18"/>
              </w:rPr>
            </w:pPr>
            <w:r>
              <w:rPr>
                <w:w w:val="95"/>
                <w:sz w:val="18"/>
              </w:rPr>
              <w:t>425,897</w:t>
            </w:r>
          </w:p>
        </w:tc>
        <w:tc>
          <w:tcPr>
            <w:tcW w:w="1586" w:type="dxa"/>
            <w:tcBorders>
              <w:bottom w:val="single" w:sz="0" w:space="0" w:color="000000"/>
            </w:tcBorders>
          </w:tcPr>
          <w:p>
            <w:pPr>
              <w:pStyle w:val="TableParagraph"/>
              <w:spacing w:before="4"/>
              <w:ind w:right="88"/>
              <w:jc w:val="right"/>
              <w:rPr>
                <w:sz w:val="18"/>
              </w:rPr>
            </w:pPr>
            <w:r>
              <w:rPr>
                <w:w w:val="95"/>
                <w:sz w:val="18"/>
              </w:rPr>
              <w:t>4,259</w:t>
            </w:r>
          </w:p>
        </w:tc>
        <w:tc>
          <w:tcPr>
            <w:tcW w:w="1616" w:type="dxa"/>
            <w:tcBorders>
              <w:bottom w:val="single" w:sz="0" w:space="0" w:color="000000"/>
            </w:tcBorders>
          </w:tcPr>
          <w:p>
            <w:pPr>
              <w:pStyle w:val="TableParagraph"/>
              <w:spacing w:before="4"/>
              <w:ind w:right="58"/>
              <w:jc w:val="right"/>
              <w:rPr>
                <w:sz w:val="18"/>
              </w:rPr>
            </w:pPr>
            <w:r>
              <w:rPr>
                <w:w w:val="95"/>
                <w:sz w:val="18"/>
              </w:rPr>
              <w:t>(4,259)</w:t>
            </w:r>
          </w:p>
        </w:tc>
        <w:tc>
          <w:tcPr>
            <w:tcW w:w="1556" w:type="dxa"/>
            <w:tcBorders>
              <w:bottom w:val="single" w:sz="0" w:space="0" w:color="000000"/>
            </w:tcBorders>
          </w:tcPr>
          <w:p>
            <w:pPr>
              <w:pStyle w:val="TableParagraph"/>
              <w:spacing w:before="4"/>
              <w:ind w:right="88"/>
              <w:jc w:val="right"/>
              <w:rPr>
                <w:sz w:val="18"/>
              </w:rPr>
            </w:pPr>
            <w:r>
              <w:rPr>
                <w:w w:val="95"/>
                <w:sz w:val="18"/>
              </w:rPr>
              <w:t>4,259</w:t>
            </w:r>
          </w:p>
        </w:tc>
        <w:tc>
          <w:tcPr>
            <w:tcW w:w="1583" w:type="dxa"/>
            <w:tcBorders>
              <w:bottom w:val="single" w:sz="0" w:space="0" w:color="000000"/>
            </w:tcBorders>
          </w:tcPr>
          <w:p>
            <w:pPr>
              <w:pStyle w:val="TableParagraph"/>
              <w:spacing w:before="4"/>
              <w:ind w:right="25"/>
              <w:jc w:val="right"/>
              <w:rPr>
                <w:sz w:val="18"/>
              </w:rPr>
            </w:pPr>
            <w:r>
              <w:rPr>
                <w:w w:val="95"/>
                <w:sz w:val="18"/>
              </w:rPr>
              <w:t>(4,259)</w:t>
            </w:r>
          </w:p>
        </w:tc>
      </w:tr>
      <w:tr>
        <w:trPr>
          <w:trHeight w:val="426" w:hRule="exact"/>
        </w:trPr>
        <w:tc>
          <w:tcPr>
            <w:tcW w:w="333" w:type="dxa"/>
          </w:tcPr>
          <w:p>
            <w:pPr/>
          </w:p>
        </w:tc>
        <w:tc>
          <w:tcPr>
            <w:tcW w:w="7194" w:type="dxa"/>
          </w:tcPr>
          <w:p>
            <w:pPr>
              <w:pStyle w:val="TableParagraph"/>
              <w:spacing w:before="123"/>
              <w:ind w:left="669"/>
              <w:rPr>
                <w:b/>
                <w:sz w:val="18"/>
              </w:rPr>
            </w:pPr>
            <w:r>
              <w:rPr>
                <w:b/>
                <w:sz w:val="18"/>
              </w:rPr>
              <w:t>Total increase / (decrease)</w:t>
            </w:r>
          </w:p>
        </w:tc>
        <w:tc>
          <w:tcPr>
            <w:tcW w:w="1012" w:type="dxa"/>
            <w:tcBorders>
              <w:top w:val="single" w:sz="0" w:space="0" w:color="000000"/>
            </w:tcBorders>
          </w:tcPr>
          <w:p>
            <w:pPr>
              <w:pStyle w:val="TableParagraph"/>
              <w:spacing w:before="122"/>
              <w:ind w:right="86"/>
              <w:jc w:val="right"/>
              <w:rPr>
                <w:sz w:val="18"/>
              </w:rPr>
            </w:pPr>
            <w:r>
              <w:rPr>
                <w:w w:val="95"/>
                <w:sz w:val="18"/>
              </w:rPr>
              <w:t>3,718,978</w:t>
            </w:r>
          </w:p>
        </w:tc>
        <w:tc>
          <w:tcPr>
            <w:tcW w:w="1586" w:type="dxa"/>
            <w:tcBorders>
              <w:top w:val="single" w:sz="0" w:space="0" w:color="000000"/>
            </w:tcBorders>
          </w:tcPr>
          <w:p>
            <w:pPr>
              <w:pStyle w:val="TableParagraph"/>
              <w:spacing w:before="122"/>
              <w:ind w:right="87"/>
              <w:jc w:val="right"/>
              <w:rPr>
                <w:sz w:val="18"/>
              </w:rPr>
            </w:pPr>
            <w:r>
              <w:rPr>
                <w:w w:val="95"/>
                <w:sz w:val="18"/>
              </w:rPr>
              <w:t>37,190</w:t>
            </w:r>
          </w:p>
        </w:tc>
        <w:tc>
          <w:tcPr>
            <w:tcW w:w="1616" w:type="dxa"/>
            <w:tcBorders>
              <w:top w:val="single" w:sz="0" w:space="0" w:color="000000"/>
            </w:tcBorders>
          </w:tcPr>
          <w:p>
            <w:pPr>
              <w:pStyle w:val="TableParagraph"/>
              <w:spacing w:before="122"/>
              <w:ind w:right="57"/>
              <w:jc w:val="right"/>
              <w:rPr>
                <w:sz w:val="18"/>
              </w:rPr>
            </w:pPr>
            <w:r>
              <w:rPr>
                <w:w w:val="95"/>
                <w:sz w:val="18"/>
              </w:rPr>
              <w:t>(37,190)</w:t>
            </w:r>
          </w:p>
        </w:tc>
        <w:tc>
          <w:tcPr>
            <w:tcW w:w="1556" w:type="dxa"/>
            <w:tcBorders>
              <w:top w:val="single" w:sz="0" w:space="0" w:color="000000"/>
            </w:tcBorders>
          </w:tcPr>
          <w:p>
            <w:pPr>
              <w:pStyle w:val="TableParagraph"/>
              <w:spacing w:before="122"/>
              <w:ind w:right="87"/>
              <w:jc w:val="right"/>
              <w:rPr>
                <w:sz w:val="18"/>
              </w:rPr>
            </w:pPr>
            <w:r>
              <w:rPr>
                <w:w w:val="95"/>
                <w:sz w:val="18"/>
              </w:rPr>
              <w:t>37,190</w:t>
            </w:r>
          </w:p>
        </w:tc>
        <w:tc>
          <w:tcPr>
            <w:tcW w:w="1583" w:type="dxa"/>
            <w:tcBorders>
              <w:top w:val="single" w:sz="0" w:space="0" w:color="000000"/>
            </w:tcBorders>
          </w:tcPr>
          <w:p>
            <w:pPr>
              <w:pStyle w:val="TableParagraph"/>
              <w:spacing w:before="122"/>
              <w:ind w:right="24"/>
              <w:jc w:val="right"/>
              <w:rPr>
                <w:sz w:val="18"/>
              </w:rPr>
            </w:pPr>
            <w:r>
              <w:rPr>
                <w:w w:val="95"/>
                <w:sz w:val="18"/>
              </w:rPr>
              <w:t>(37,190)</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2"/>
        </w:rPr>
      </w:pPr>
    </w:p>
    <w:p>
      <w:pPr>
        <w:spacing w:before="0"/>
        <w:ind w:left="7406" w:right="7387" w:firstLine="0"/>
        <w:jc w:val="center"/>
        <w:rPr>
          <w:sz w:val="16"/>
        </w:rPr>
      </w:pPr>
      <w:r>
        <w:rPr>
          <w:sz w:val="16"/>
        </w:rPr>
        <w:t>189</w:t>
      </w:r>
    </w:p>
    <w:p>
      <w:pPr>
        <w:spacing w:after="0"/>
        <w:jc w:val="center"/>
        <w:rPr>
          <w:sz w:val="16"/>
        </w:rPr>
        <w:sectPr>
          <w:headerReference w:type="default" r:id="rId190"/>
          <w:footerReference w:type="default" r:id="rId191"/>
          <w:pgSz w:w="16840" w:h="11910" w:orient="landscape"/>
          <w:pgMar w:header="0" w:footer="0" w:top="960" w:bottom="280" w:left="860" w:right="880"/>
        </w:sectPr>
      </w:pPr>
    </w:p>
    <w:p>
      <w:pPr>
        <w:pStyle w:val="BodyText"/>
        <w:spacing w:before="2"/>
        <w:rPr>
          <w:sz w:val="24"/>
        </w:rPr>
      </w:pPr>
    </w:p>
    <w:p>
      <w:pPr>
        <w:pStyle w:val="Heading3"/>
        <w:spacing w:before="64"/>
        <w:ind w:left="147" w:right="685"/>
      </w:pPr>
      <w:r>
        <w:rPr/>
        <w:t>Notes to the Financial Statements</w:t>
      </w:r>
    </w:p>
    <w:p>
      <w:pPr>
        <w:pStyle w:val="Heading6"/>
        <w:ind w:left="147" w:right="685"/>
      </w:pPr>
      <w:r>
        <w:rPr/>
        <w:t>For the Year Ended 31 December 2012</w:t>
      </w:r>
    </w:p>
    <w:p>
      <w:pPr>
        <w:pStyle w:val="BodyText"/>
        <w:rPr>
          <w:b/>
          <w:sz w:val="20"/>
        </w:rPr>
      </w:pPr>
    </w:p>
    <w:p>
      <w:pPr>
        <w:pStyle w:val="BodyText"/>
        <w:rPr>
          <w:b/>
          <w:sz w:val="20"/>
        </w:rPr>
      </w:pPr>
    </w:p>
    <w:p>
      <w:pPr>
        <w:pStyle w:val="BodyText"/>
        <w:spacing w:before="3"/>
        <w:rPr>
          <w:b/>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7024"/>
        <w:gridCol w:w="1246"/>
        <w:gridCol w:w="1348"/>
      </w:tblGrid>
      <w:tr>
        <w:trPr>
          <w:trHeight w:val="804" w:hRule="exact"/>
        </w:trPr>
        <w:tc>
          <w:tcPr>
            <w:tcW w:w="333" w:type="dxa"/>
          </w:tcPr>
          <w:p>
            <w:pPr>
              <w:pStyle w:val="TableParagraph"/>
              <w:spacing w:before="77"/>
              <w:ind w:left="35"/>
              <w:rPr>
                <w:b/>
                <w:sz w:val="18"/>
              </w:rPr>
            </w:pPr>
            <w:r>
              <w:rPr>
                <w:b/>
                <w:sz w:val="18"/>
              </w:rPr>
              <w:t>12</w:t>
            </w:r>
          </w:p>
        </w:tc>
        <w:tc>
          <w:tcPr>
            <w:tcW w:w="7024" w:type="dxa"/>
          </w:tcPr>
          <w:p>
            <w:pPr>
              <w:pStyle w:val="TableParagraph"/>
              <w:spacing w:before="77"/>
              <w:ind w:left="97"/>
              <w:rPr>
                <w:b/>
                <w:sz w:val="18"/>
              </w:rPr>
            </w:pPr>
            <w:r>
              <w:rPr>
                <w:b/>
                <w:sz w:val="18"/>
              </w:rPr>
              <w:t>Revenue</w:t>
            </w:r>
          </w:p>
          <w:p>
            <w:pPr>
              <w:pStyle w:val="TableParagraph"/>
              <w:spacing w:before="11"/>
              <w:rPr>
                <w:b/>
                <w:sz w:val="24"/>
              </w:rPr>
            </w:pPr>
          </w:p>
          <w:p>
            <w:pPr>
              <w:pStyle w:val="TableParagraph"/>
              <w:tabs>
                <w:tab w:pos="664" w:val="left" w:leader="none"/>
              </w:tabs>
              <w:ind w:left="97"/>
              <w:rPr>
                <w:b/>
                <w:sz w:val="18"/>
              </w:rPr>
            </w:pPr>
            <w:r>
              <w:rPr>
                <w:b/>
                <w:sz w:val="18"/>
              </w:rPr>
              <w:t>(a)</w:t>
              <w:tab/>
              <w:t>Revenue from rendering of</w:t>
            </w:r>
            <w:r>
              <w:rPr>
                <w:b/>
                <w:spacing w:val="-1"/>
                <w:sz w:val="18"/>
              </w:rPr>
              <w:t> </w:t>
            </w:r>
            <w:r>
              <w:rPr>
                <w:b/>
                <w:sz w:val="18"/>
              </w:rPr>
              <w:t>services</w:t>
            </w:r>
          </w:p>
        </w:tc>
        <w:tc>
          <w:tcPr>
            <w:tcW w:w="2594" w:type="dxa"/>
            <w:gridSpan w:val="2"/>
          </w:tcPr>
          <w:p>
            <w:pPr/>
          </w:p>
        </w:tc>
      </w:tr>
      <w:tr>
        <w:trPr>
          <w:trHeight w:val="257" w:hRule="exact"/>
        </w:trPr>
        <w:tc>
          <w:tcPr>
            <w:tcW w:w="333" w:type="dxa"/>
          </w:tcPr>
          <w:p>
            <w:pPr/>
          </w:p>
        </w:tc>
        <w:tc>
          <w:tcPr>
            <w:tcW w:w="7024" w:type="dxa"/>
          </w:tcPr>
          <w:p>
            <w:pPr/>
          </w:p>
        </w:tc>
        <w:tc>
          <w:tcPr>
            <w:tcW w:w="1246" w:type="dxa"/>
          </w:tcPr>
          <w:p>
            <w:pPr>
              <w:pStyle w:val="TableParagraph"/>
              <w:spacing w:before="7"/>
              <w:ind w:left="471"/>
              <w:rPr>
                <w:b/>
                <w:sz w:val="18"/>
              </w:rPr>
            </w:pPr>
            <w:r>
              <w:rPr>
                <w:b/>
                <w:sz w:val="18"/>
              </w:rPr>
              <w:t>2012</w:t>
            </w:r>
          </w:p>
        </w:tc>
        <w:tc>
          <w:tcPr>
            <w:tcW w:w="1348" w:type="dxa"/>
          </w:tcPr>
          <w:p>
            <w:pPr>
              <w:pStyle w:val="TableParagraph"/>
              <w:spacing w:before="7"/>
              <w:ind w:left="508"/>
              <w:rPr>
                <w:b/>
                <w:sz w:val="18"/>
              </w:rPr>
            </w:pPr>
            <w:r>
              <w:rPr>
                <w:b/>
                <w:sz w:val="18"/>
              </w:rPr>
              <w:t>2011</w:t>
            </w:r>
          </w:p>
        </w:tc>
      </w:tr>
      <w:tr>
        <w:trPr>
          <w:trHeight w:val="313" w:hRule="exact"/>
        </w:trPr>
        <w:tc>
          <w:tcPr>
            <w:tcW w:w="333" w:type="dxa"/>
          </w:tcPr>
          <w:p>
            <w:pPr/>
          </w:p>
        </w:tc>
        <w:tc>
          <w:tcPr>
            <w:tcW w:w="7024" w:type="dxa"/>
          </w:tcPr>
          <w:p>
            <w:pPr/>
          </w:p>
        </w:tc>
        <w:tc>
          <w:tcPr>
            <w:tcW w:w="1246" w:type="dxa"/>
          </w:tcPr>
          <w:p>
            <w:pPr>
              <w:pStyle w:val="TableParagraph"/>
              <w:spacing w:before="24"/>
              <w:ind w:left="97"/>
              <w:jc w:val="center"/>
              <w:rPr>
                <w:b/>
                <w:sz w:val="18"/>
              </w:rPr>
            </w:pPr>
            <w:r>
              <w:rPr>
                <w:b/>
                <w:w w:val="99"/>
                <w:sz w:val="18"/>
              </w:rPr>
              <w:t>$</w:t>
            </w:r>
          </w:p>
        </w:tc>
        <w:tc>
          <w:tcPr>
            <w:tcW w:w="1348" w:type="dxa"/>
          </w:tcPr>
          <w:p>
            <w:pPr>
              <w:pStyle w:val="TableParagraph"/>
              <w:spacing w:before="24"/>
              <w:ind w:left="67"/>
              <w:jc w:val="center"/>
              <w:rPr>
                <w:b/>
                <w:sz w:val="18"/>
              </w:rPr>
            </w:pPr>
            <w:r>
              <w:rPr>
                <w:b/>
                <w:w w:val="99"/>
                <w:sz w:val="18"/>
              </w:rPr>
              <w:t>$</w:t>
            </w:r>
          </w:p>
        </w:tc>
      </w:tr>
      <w:tr>
        <w:trPr>
          <w:trHeight w:val="543" w:hRule="exact"/>
        </w:trPr>
        <w:tc>
          <w:tcPr>
            <w:tcW w:w="333" w:type="dxa"/>
          </w:tcPr>
          <w:p>
            <w:pPr/>
          </w:p>
        </w:tc>
        <w:tc>
          <w:tcPr>
            <w:tcW w:w="7024" w:type="dxa"/>
          </w:tcPr>
          <w:p>
            <w:pPr>
              <w:pStyle w:val="TableParagraph"/>
              <w:spacing w:before="63"/>
              <w:ind w:left="708"/>
              <w:rPr>
                <w:b/>
                <w:sz w:val="18"/>
              </w:rPr>
            </w:pPr>
            <w:r>
              <w:rPr>
                <w:b/>
                <w:sz w:val="18"/>
              </w:rPr>
              <w:t>Sales revenue</w:t>
            </w:r>
          </w:p>
          <w:p>
            <w:pPr>
              <w:pStyle w:val="TableParagraph"/>
              <w:spacing w:before="27"/>
              <w:ind w:left="708"/>
              <w:rPr>
                <w:sz w:val="18"/>
              </w:rPr>
            </w:pPr>
            <w:r>
              <w:rPr>
                <w:sz w:val="18"/>
              </w:rPr>
              <w:t>Tuition income</w:t>
            </w:r>
          </w:p>
        </w:tc>
        <w:tc>
          <w:tcPr>
            <w:tcW w:w="1246" w:type="dxa"/>
          </w:tcPr>
          <w:p>
            <w:pPr>
              <w:pStyle w:val="TableParagraph"/>
              <w:spacing w:before="11"/>
              <w:rPr>
                <w:b/>
                <w:sz w:val="25"/>
              </w:rPr>
            </w:pPr>
          </w:p>
          <w:p>
            <w:pPr>
              <w:pStyle w:val="TableParagraph"/>
              <w:ind w:right="31"/>
              <w:jc w:val="right"/>
              <w:rPr>
                <w:b/>
                <w:sz w:val="18"/>
              </w:rPr>
            </w:pPr>
            <w:r>
              <w:rPr>
                <w:b/>
                <w:w w:val="95"/>
                <w:sz w:val="18"/>
              </w:rPr>
              <w:t>22,410,986</w:t>
            </w:r>
          </w:p>
        </w:tc>
        <w:tc>
          <w:tcPr>
            <w:tcW w:w="1348" w:type="dxa"/>
          </w:tcPr>
          <w:p>
            <w:pPr>
              <w:pStyle w:val="TableParagraph"/>
              <w:spacing w:before="11"/>
              <w:rPr>
                <w:b/>
                <w:sz w:val="25"/>
              </w:rPr>
            </w:pPr>
          </w:p>
          <w:p>
            <w:pPr>
              <w:pStyle w:val="TableParagraph"/>
              <w:ind w:right="83"/>
              <w:jc w:val="right"/>
              <w:rPr>
                <w:sz w:val="18"/>
              </w:rPr>
            </w:pPr>
            <w:r>
              <w:rPr>
                <w:w w:val="95"/>
                <w:sz w:val="18"/>
              </w:rPr>
              <w:t>20,304,932</w:t>
            </w:r>
          </w:p>
        </w:tc>
      </w:tr>
      <w:tr>
        <w:trPr>
          <w:trHeight w:val="264" w:hRule="exact"/>
        </w:trPr>
        <w:tc>
          <w:tcPr>
            <w:tcW w:w="333" w:type="dxa"/>
          </w:tcPr>
          <w:p>
            <w:pPr/>
          </w:p>
        </w:tc>
        <w:tc>
          <w:tcPr>
            <w:tcW w:w="7024" w:type="dxa"/>
          </w:tcPr>
          <w:p>
            <w:pPr>
              <w:pStyle w:val="TableParagraph"/>
              <w:spacing w:before="18"/>
              <w:ind w:left="708"/>
              <w:rPr>
                <w:sz w:val="18"/>
              </w:rPr>
            </w:pPr>
            <w:r>
              <w:rPr>
                <w:sz w:val="18"/>
              </w:rPr>
              <w:t>Student test fees</w:t>
            </w:r>
          </w:p>
        </w:tc>
        <w:tc>
          <w:tcPr>
            <w:tcW w:w="1246" w:type="dxa"/>
          </w:tcPr>
          <w:p>
            <w:pPr>
              <w:pStyle w:val="TableParagraph"/>
              <w:spacing w:before="19"/>
              <w:ind w:right="32"/>
              <w:jc w:val="right"/>
              <w:rPr>
                <w:b/>
                <w:sz w:val="18"/>
              </w:rPr>
            </w:pPr>
            <w:r>
              <w:rPr>
                <w:b/>
                <w:w w:val="95"/>
                <w:sz w:val="18"/>
              </w:rPr>
              <w:t>1,888,851</w:t>
            </w:r>
          </w:p>
        </w:tc>
        <w:tc>
          <w:tcPr>
            <w:tcW w:w="1348" w:type="dxa"/>
          </w:tcPr>
          <w:p>
            <w:pPr>
              <w:pStyle w:val="TableParagraph"/>
              <w:spacing w:before="19"/>
              <w:ind w:right="84"/>
              <w:jc w:val="right"/>
              <w:rPr>
                <w:sz w:val="18"/>
              </w:rPr>
            </w:pPr>
            <w:r>
              <w:rPr>
                <w:w w:val="95"/>
                <w:sz w:val="18"/>
              </w:rPr>
              <w:t>1,447,019</w:t>
            </w:r>
          </w:p>
        </w:tc>
      </w:tr>
      <w:tr>
        <w:trPr>
          <w:trHeight w:val="263" w:hRule="exact"/>
        </w:trPr>
        <w:tc>
          <w:tcPr>
            <w:tcW w:w="333" w:type="dxa"/>
          </w:tcPr>
          <w:p>
            <w:pPr/>
          </w:p>
        </w:tc>
        <w:tc>
          <w:tcPr>
            <w:tcW w:w="7024" w:type="dxa"/>
          </w:tcPr>
          <w:p>
            <w:pPr>
              <w:pStyle w:val="TableParagraph"/>
              <w:spacing w:before="18"/>
              <w:ind w:left="708"/>
              <w:rPr>
                <w:sz w:val="18"/>
              </w:rPr>
            </w:pPr>
            <w:r>
              <w:rPr>
                <w:sz w:val="18"/>
              </w:rPr>
              <w:t>Student charges</w:t>
            </w:r>
          </w:p>
        </w:tc>
        <w:tc>
          <w:tcPr>
            <w:tcW w:w="1246" w:type="dxa"/>
            <w:tcBorders>
              <w:bottom w:val="single" w:sz="0" w:space="0" w:color="000000"/>
            </w:tcBorders>
          </w:tcPr>
          <w:p>
            <w:pPr>
              <w:pStyle w:val="TableParagraph"/>
              <w:spacing w:before="19"/>
              <w:ind w:right="32"/>
              <w:jc w:val="right"/>
              <w:rPr>
                <w:b/>
                <w:sz w:val="18"/>
              </w:rPr>
            </w:pPr>
            <w:r>
              <w:rPr>
                <w:b/>
                <w:w w:val="95"/>
                <w:sz w:val="18"/>
              </w:rPr>
              <w:t>205,284</w:t>
            </w:r>
          </w:p>
        </w:tc>
        <w:tc>
          <w:tcPr>
            <w:tcW w:w="1348" w:type="dxa"/>
            <w:tcBorders>
              <w:bottom w:val="single" w:sz="0" w:space="0" w:color="000000"/>
            </w:tcBorders>
          </w:tcPr>
          <w:p>
            <w:pPr>
              <w:pStyle w:val="TableParagraph"/>
              <w:spacing w:before="19"/>
              <w:ind w:right="84"/>
              <w:jc w:val="right"/>
              <w:rPr>
                <w:sz w:val="18"/>
              </w:rPr>
            </w:pPr>
            <w:r>
              <w:rPr>
                <w:w w:val="95"/>
                <w:sz w:val="18"/>
              </w:rPr>
              <w:t>180,554</w:t>
            </w:r>
          </w:p>
        </w:tc>
      </w:tr>
      <w:tr>
        <w:trPr>
          <w:trHeight w:val="338" w:hRule="exact"/>
        </w:trPr>
        <w:tc>
          <w:tcPr>
            <w:tcW w:w="333" w:type="dxa"/>
          </w:tcPr>
          <w:p>
            <w:pPr/>
          </w:p>
        </w:tc>
        <w:tc>
          <w:tcPr>
            <w:tcW w:w="7024" w:type="dxa"/>
          </w:tcPr>
          <w:p>
            <w:pPr>
              <w:pStyle w:val="TableParagraph"/>
              <w:spacing w:before="123"/>
              <w:ind w:left="708"/>
              <w:rPr>
                <w:b/>
                <w:sz w:val="18"/>
              </w:rPr>
            </w:pPr>
            <w:r>
              <w:rPr>
                <w:b/>
                <w:sz w:val="18"/>
              </w:rPr>
              <w:t>Total revenue from rendering of services</w:t>
            </w:r>
          </w:p>
        </w:tc>
        <w:tc>
          <w:tcPr>
            <w:tcW w:w="1246" w:type="dxa"/>
            <w:tcBorders>
              <w:top w:val="single" w:sz="0" w:space="0" w:color="000000"/>
              <w:bottom w:val="single" w:sz="0" w:space="0" w:color="000000"/>
            </w:tcBorders>
          </w:tcPr>
          <w:p>
            <w:pPr>
              <w:pStyle w:val="TableParagraph"/>
              <w:spacing w:before="122"/>
              <w:ind w:right="31"/>
              <w:jc w:val="right"/>
              <w:rPr>
                <w:b/>
                <w:sz w:val="18"/>
              </w:rPr>
            </w:pPr>
            <w:r>
              <w:rPr>
                <w:b/>
                <w:w w:val="95"/>
                <w:sz w:val="18"/>
              </w:rPr>
              <w:t>24,505,121</w:t>
            </w:r>
          </w:p>
        </w:tc>
        <w:tc>
          <w:tcPr>
            <w:tcW w:w="1348" w:type="dxa"/>
            <w:tcBorders>
              <w:top w:val="single" w:sz="0" w:space="0" w:color="000000"/>
              <w:bottom w:val="single" w:sz="0" w:space="0" w:color="000000"/>
            </w:tcBorders>
          </w:tcPr>
          <w:p>
            <w:pPr>
              <w:pStyle w:val="TableParagraph"/>
              <w:spacing w:before="122"/>
              <w:ind w:right="83"/>
              <w:jc w:val="right"/>
              <w:rPr>
                <w:sz w:val="18"/>
              </w:rPr>
            </w:pPr>
            <w:r>
              <w:rPr>
                <w:w w:val="95"/>
                <w:sz w:val="18"/>
              </w:rPr>
              <w:t>21,932,505</w:t>
            </w:r>
          </w:p>
        </w:tc>
      </w:tr>
      <w:tr>
        <w:trPr>
          <w:trHeight w:val="532" w:hRule="exact"/>
        </w:trPr>
        <w:tc>
          <w:tcPr>
            <w:tcW w:w="333" w:type="dxa"/>
          </w:tcPr>
          <w:p>
            <w:pPr/>
          </w:p>
        </w:tc>
        <w:tc>
          <w:tcPr>
            <w:tcW w:w="7024" w:type="dxa"/>
          </w:tcPr>
          <w:p>
            <w:pPr>
              <w:pStyle w:val="TableParagraph"/>
              <w:spacing w:before="11"/>
              <w:rPr>
                <w:b/>
                <w:sz w:val="25"/>
              </w:rPr>
            </w:pPr>
          </w:p>
          <w:p>
            <w:pPr>
              <w:pStyle w:val="TableParagraph"/>
              <w:tabs>
                <w:tab w:pos="664" w:val="left" w:leader="none"/>
              </w:tabs>
              <w:ind w:left="97"/>
              <w:rPr>
                <w:b/>
                <w:sz w:val="18"/>
              </w:rPr>
            </w:pPr>
            <w:r>
              <w:rPr>
                <w:b/>
                <w:sz w:val="18"/>
              </w:rPr>
              <w:t>(b)</w:t>
              <w:tab/>
              <w:t>Other</w:t>
            </w:r>
            <w:r>
              <w:rPr>
                <w:b/>
                <w:spacing w:val="-1"/>
                <w:sz w:val="18"/>
              </w:rPr>
              <w:t> </w:t>
            </w:r>
            <w:r>
              <w:rPr>
                <w:b/>
                <w:sz w:val="18"/>
              </w:rPr>
              <w:t>revenue</w:t>
            </w:r>
          </w:p>
        </w:tc>
        <w:tc>
          <w:tcPr>
            <w:tcW w:w="1246" w:type="dxa"/>
            <w:tcBorders>
              <w:top w:val="single" w:sz="0" w:space="0" w:color="000000"/>
            </w:tcBorders>
          </w:tcPr>
          <w:p>
            <w:pPr/>
          </w:p>
        </w:tc>
        <w:tc>
          <w:tcPr>
            <w:tcW w:w="1348" w:type="dxa"/>
            <w:tcBorders>
              <w:top w:val="single" w:sz="0" w:space="0" w:color="000000"/>
            </w:tcBorders>
          </w:tcPr>
          <w:p>
            <w:pPr/>
          </w:p>
        </w:tc>
      </w:tr>
      <w:tr>
        <w:trPr>
          <w:trHeight w:val="264" w:hRule="exact"/>
        </w:trPr>
        <w:tc>
          <w:tcPr>
            <w:tcW w:w="333" w:type="dxa"/>
          </w:tcPr>
          <w:p>
            <w:pPr/>
          </w:p>
        </w:tc>
        <w:tc>
          <w:tcPr>
            <w:tcW w:w="7024" w:type="dxa"/>
          </w:tcPr>
          <w:p>
            <w:pPr/>
          </w:p>
        </w:tc>
        <w:tc>
          <w:tcPr>
            <w:tcW w:w="1246" w:type="dxa"/>
          </w:tcPr>
          <w:p>
            <w:pPr>
              <w:pStyle w:val="TableParagraph"/>
              <w:spacing w:before="7"/>
              <w:ind w:left="447"/>
              <w:rPr>
                <w:b/>
                <w:sz w:val="18"/>
              </w:rPr>
            </w:pPr>
            <w:r>
              <w:rPr>
                <w:b/>
                <w:sz w:val="18"/>
              </w:rPr>
              <w:t>2012</w:t>
            </w:r>
          </w:p>
        </w:tc>
        <w:tc>
          <w:tcPr>
            <w:tcW w:w="1348" w:type="dxa"/>
          </w:tcPr>
          <w:p>
            <w:pPr>
              <w:pStyle w:val="TableParagraph"/>
              <w:spacing w:before="7"/>
              <w:ind w:left="464" w:right="442"/>
              <w:jc w:val="center"/>
              <w:rPr>
                <w:b/>
                <w:sz w:val="18"/>
              </w:rPr>
            </w:pPr>
            <w:r>
              <w:rPr>
                <w:b/>
                <w:sz w:val="18"/>
              </w:rPr>
              <w:t>2011</w:t>
            </w:r>
          </w:p>
        </w:tc>
      </w:tr>
    </w:tbl>
    <w:p>
      <w:pPr>
        <w:pStyle w:val="Heading9"/>
        <w:tabs>
          <w:tab w:pos="1283" w:val="left" w:leader="none"/>
        </w:tabs>
        <w:spacing w:before="17"/>
        <w:ind w:left="0" w:right="729"/>
        <w:jc w:val="right"/>
      </w:pPr>
      <w:r>
        <w:rPr/>
        <w:t>$</w:t>
        <w:tab/>
      </w:r>
      <w:r>
        <w:rPr>
          <w:spacing w:val="-1"/>
        </w:rPr>
        <w:t>$</w:t>
      </w:r>
    </w:p>
    <w:p>
      <w:pPr>
        <w:pStyle w:val="BodyText"/>
        <w:tabs>
          <w:tab w:pos="8030" w:val="left" w:leader="none"/>
          <w:tab w:pos="9178" w:val="left" w:leader="none"/>
        </w:tabs>
        <w:spacing w:before="62" w:after="36"/>
        <w:ind w:left="1111" w:right="59"/>
      </w:pPr>
      <w:r>
        <w:rPr/>
        <w:t>Commonwealth grant from</w:t>
      </w:r>
      <w:r>
        <w:rPr>
          <w:spacing w:val="-1"/>
        </w:rPr>
        <w:t> </w:t>
      </w:r>
      <w:r>
        <w:rPr/>
        <w:t>parent</w:t>
      </w:r>
      <w:r>
        <w:rPr>
          <w:spacing w:val="-1"/>
        </w:rPr>
        <w:t> </w:t>
      </w:r>
      <w:r>
        <w:rPr/>
        <w:t>entity</w:t>
        <w:tab/>
      </w:r>
      <w:r>
        <w:rPr>
          <w:b/>
        </w:rPr>
        <w:t>705,422</w:t>
        <w:tab/>
      </w:r>
      <w:r>
        <w:rPr/>
        <w:t>1,438,286</w:t>
      </w:r>
    </w:p>
    <w:tbl>
      <w:tblPr>
        <w:tblW w:w="0" w:type="auto"/>
        <w:jc w:val="left"/>
        <w:tblInd w:w="107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94"/>
        <w:gridCol w:w="1460"/>
        <w:gridCol w:w="1135"/>
      </w:tblGrid>
      <w:tr>
        <w:trPr>
          <w:trHeight w:val="265" w:hRule="exact"/>
        </w:trPr>
        <w:tc>
          <w:tcPr>
            <w:tcW w:w="6394" w:type="dxa"/>
          </w:tcPr>
          <w:p>
            <w:pPr>
              <w:pStyle w:val="TableParagraph"/>
              <w:spacing w:before="20"/>
              <w:ind w:left="35"/>
              <w:rPr>
                <w:sz w:val="18"/>
              </w:rPr>
            </w:pPr>
            <w:r>
              <w:rPr>
                <w:sz w:val="18"/>
              </w:rPr>
              <w:t>Consulting income</w:t>
            </w:r>
          </w:p>
        </w:tc>
        <w:tc>
          <w:tcPr>
            <w:tcW w:w="1460" w:type="dxa"/>
          </w:tcPr>
          <w:p>
            <w:pPr>
              <w:pStyle w:val="TableParagraph"/>
              <w:spacing w:before="21"/>
              <w:ind w:right="247"/>
              <w:jc w:val="right"/>
              <w:rPr>
                <w:b/>
                <w:sz w:val="18"/>
              </w:rPr>
            </w:pPr>
            <w:r>
              <w:rPr>
                <w:b/>
                <w:w w:val="95"/>
                <w:sz w:val="18"/>
              </w:rPr>
              <w:t>40,773</w:t>
            </w:r>
          </w:p>
        </w:tc>
        <w:tc>
          <w:tcPr>
            <w:tcW w:w="1135" w:type="dxa"/>
          </w:tcPr>
          <w:p>
            <w:pPr>
              <w:pStyle w:val="TableParagraph"/>
              <w:spacing w:before="21"/>
              <w:ind w:right="83"/>
              <w:jc w:val="right"/>
              <w:rPr>
                <w:sz w:val="18"/>
              </w:rPr>
            </w:pPr>
            <w:r>
              <w:rPr>
                <w:w w:val="95"/>
                <w:sz w:val="18"/>
              </w:rPr>
              <w:t>45,455</w:t>
            </w:r>
          </w:p>
        </w:tc>
      </w:tr>
      <w:tr>
        <w:trPr>
          <w:trHeight w:val="264" w:hRule="exact"/>
        </w:trPr>
        <w:tc>
          <w:tcPr>
            <w:tcW w:w="6394" w:type="dxa"/>
          </w:tcPr>
          <w:p>
            <w:pPr>
              <w:pStyle w:val="TableParagraph"/>
              <w:spacing w:before="18"/>
              <w:ind w:left="35"/>
              <w:rPr>
                <w:sz w:val="18"/>
              </w:rPr>
            </w:pPr>
            <w:r>
              <w:rPr>
                <w:sz w:val="18"/>
              </w:rPr>
              <w:t>Bad debts recovered</w:t>
            </w:r>
          </w:p>
        </w:tc>
        <w:tc>
          <w:tcPr>
            <w:tcW w:w="1460" w:type="dxa"/>
          </w:tcPr>
          <w:p>
            <w:pPr>
              <w:pStyle w:val="TableParagraph"/>
              <w:spacing w:before="19"/>
              <w:ind w:right="247"/>
              <w:jc w:val="right"/>
              <w:rPr>
                <w:b/>
                <w:sz w:val="18"/>
              </w:rPr>
            </w:pPr>
            <w:r>
              <w:rPr>
                <w:b/>
                <w:w w:val="95"/>
                <w:sz w:val="18"/>
              </w:rPr>
              <w:t>36,476</w:t>
            </w:r>
          </w:p>
        </w:tc>
        <w:tc>
          <w:tcPr>
            <w:tcW w:w="1135" w:type="dxa"/>
          </w:tcPr>
          <w:p>
            <w:pPr>
              <w:pStyle w:val="TableParagraph"/>
              <w:spacing w:before="19"/>
              <w:ind w:right="189"/>
              <w:jc w:val="center"/>
              <w:rPr>
                <w:sz w:val="18"/>
              </w:rPr>
            </w:pPr>
            <w:r>
              <w:rPr>
                <w:w w:val="99"/>
                <w:sz w:val="18"/>
              </w:rPr>
              <w:t>-</w:t>
            </w:r>
          </w:p>
        </w:tc>
      </w:tr>
      <w:tr>
        <w:trPr>
          <w:trHeight w:val="264" w:hRule="exact"/>
        </w:trPr>
        <w:tc>
          <w:tcPr>
            <w:tcW w:w="6394" w:type="dxa"/>
          </w:tcPr>
          <w:p>
            <w:pPr>
              <w:pStyle w:val="TableParagraph"/>
              <w:spacing w:before="18"/>
              <w:ind w:left="35"/>
              <w:rPr>
                <w:sz w:val="18"/>
              </w:rPr>
            </w:pPr>
            <w:r>
              <w:rPr>
                <w:sz w:val="18"/>
              </w:rPr>
              <w:t>Salary Recoveries</w:t>
            </w:r>
          </w:p>
        </w:tc>
        <w:tc>
          <w:tcPr>
            <w:tcW w:w="1460" w:type="dxa"/>
          </w:tcPr>
          <w:p>
            <w:pPr>
              <w:pStyle w:val="TableParagraph"/>
              <w:spacing w:before="19"/>
              <w:ind w:right="247"/>
              <w:jc w:val="right"/>
              <w:rPr>
                <w:b/>
                <w:sz w:val="18"/>
              </w:rPr>
            </w:pPr>
            <w:r>
              <w:rPr>
                <w:b/>
                <w:w w:val="95"/>
                <w:sz w:val="18"/>
              </w:rPr>
              <w:t>33,207</w:t>
            </w:r>
          </w:p>
        </w:tc>
        <w:tc>
          <w:tcPr>
            <w:tcW w:w="1135" w:type="dxa"/>
          </w:tcPr>
          <w:p>
            <w:pPr>
              <w:pStyle w:val="TableParagraph"/>
              <w:spacing w:before="19"/>
              <w:ind w:right="189"/>
              <w:jc w:val="center"/>
              <w:rPr>
                <w:sz w:val="18"/>
              </w:rPr>
            </w:pPr>
            <w:r>
              <w:rPr>
                <w:w w:val="99"/>
                <w:sz w:val="18"/>
              </w:rPr>
              <w:t>-</w:t>
            </w:r>
          </w:p>
        </w:tc>
      </w:tr>
      <w:tr>
        <w:trPr>
          <w:trHeight w:val="264" w:hRule="exact"/>
        </w:trPr>
        <w:tc>
          <w:tcPr>
            <w:tcW w:w="6394" w:type="dxa"/>
          </w:tcPr>
          <w:p>
            <w:pPr>
              <w:pStyle w:val="TableParagraph"/>
              <w:spacing w:before="18"/>
              <w:ind w:left="35"/>
              <w:rPr>
                <w:sz w:val="18"/>
              </w:rPr>
            </w:pPr>
            <w:r>
              <w:rPr>
                <w:sz w:val="18"/>
              </w:rPr>
              <w:t>Government grants</w:t>
            </w:r>
          </w:p>
        </w:tc>
        <w:tc>
          <w:tcPr>
            <w:tcW w:w="1460" w:type="dxa"/>
          </w:tcPr>
          <w:p>
            <w:pPr>
              <w:pStyle w:val="TableParagraph"/>
              <w:spacing w:before="19"/>
              <w:ind w:right="162"/>
              <w:jc w:val="center"/>
              <w:rPr>
                <w:b/>
                <w:sz w:val="18"/>
              </w:rPr>
            </w:pPr>
            <w:r>
              <w:rPr>
                <w:b/>
                <w:w w:val="99"/>
                <w:sz w:val="18"/>
              </w:rPr>
              <w:t>-</w:t>
            </w:r>
          </w:p>
        </w:tc>
        <w:tc>
          <w:tcPr>
            <w:tcW w:w="1135" w:type="dxa"/>
          </w:tcPr>
          <w:p>
            <w:pPr>
              <w:pStyle w:val="TableParagraph"/>
              <w:spacing w:before="19"/>
              <w:ind w:right="83"/>
              <w:jc w:val="right"/>
              <w:rPr>
                <w:sz w:val="18"/>
              </w:rPr>
            </w:pPr>
            <w:r>
              <w:rPr>
                <w:w w:val="95"/>
                <w:sz w:val="18"/>
              </w:rPr>
              <w:t>70,283</w:t>
            </w:r>
          </w:p>
        </w:tc>
      </w:tr>
      <w:tr>
        <w:trPr>
          <w:trHeight w:val="263" w:hRule="exact"/>
        </w:trPr>
        <w:tc>
          <w:tcPr>
            <w:tcW w:w="6394" w:type="dxa"/>
          </w:tcPr>
          <w:p>
            <w:pPr>
              <w:pStyle w:val="TableParagraph"/>
              <w:spacing w:before="18"/>
              <w:ind w:left="35"/>
              <w:rPr>
                <w:sz w:val="18"/>
              </w:rPr>
            </w:pPr>
            <w:r>
              <w:rPr>
                <w:sz w:val="18"/>
              </w:rPr>
              <w:t>Other income</w:t>
            </w:r>
          </w:p>
        </w:tc>
        <w:tc>
          <w:tcPr>
            <w:tcW w:w="1460" w:type="dxa"/>
            <w:tcBorders>
              <w:bottom w:val="single" w:sz="0" w:space="0" w:color="000000"/>
            </w:tcBorders>
          </w:tcPr>
          <w:p>
            <w:pPr>
              <w:pStyle w:val="TableParagraph"/>
              <w:spacing w:before="19"/>
              <w:ind w:right="247"/>
              <w:jc w:val="right"/>
              <w:rPr>
                <w:b/>
                <w:sz w:val="18"/>
              </w:rPr>
            </w:pPr>
            <w:r>
              <w:rPr>
                <w:b/>
                <w:w w:val="95"/>
                <w:sz w:val="18"/>
              </w:rPr>
              <w:t>55,953</w:t>
            </w:r>
          </w:p>
        </w:tc>
        <w:tc>
          <w:tcPr>
            <w:tcW w:w="1135" w:type="dxa"/>
            <w:tcBorders>
              <w:bottom w:val="single" w:sz="0" w:space="0" w:color="000000"/>
            </w:tcBorders>
          </w:tcPr>
          <w:p>
            <w:pPr>
              <w:pStyle w:val="TableParagraph"/>
              <w:spacing w:before="19"/>
              <w:ind w:right="83"/>
              <w:jc w:val="right"/>
              <w:rPr>
                <w:sz w:val="18"/>
              </w:rPr>
            </w:pPr>
            <w:r>
              <w:rPr>
                <w:w w:val="95"/>
                <w:sz w:val="18"/>
              </w:rPr>
              <w:t>103,676</w:t>
            </w:r>
          </w:p>
        </w:tc>
      </w:tr>
      <w:tr>
        <w:trPr>
          <w:trHeight w:val="338" w:hRule="exact"/>
        </w:trPr>
        <w:tc>
          <w:tcPr>
            <w:tcW w:w="6394" w:type="dxa"/>
          </w:tcPr>
          <w:p>
            <w:pPr>
              <w:pStyle w:val="TableParagraph"/>
              <w:spacing w:before="123"/>
              <w:ind w:left="35"/>
              <w:rPr>
                <w:b/>
                <w:sz w:val="18"/>
              </w:rPr>
            </w:pPr>
            <w:r>
              <w:rPr>
                <w:b/>
                <w:sz w:val="18"/>
              </w:rPr>
              <w:t>Total other revenue</w:t>
            </w: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871,831</w:t>
            </w:r>
          </w:p>
        </w:tc>
        <w:tc>
          <w:tcPr>
            <w:tcW w:w="1135" w:type="dxa"/>
            <w:tcBorders>
              <w:top w:val="single" w:sz="0" w:space="0" w:color="000000"/>
              <w:bottom w:val="single" w:sz="0" w:space="0" w:color="000000"/>
            </w:tcBorders>
          </w:tcPr>
          <w:p>
            <w:pPr>
              <w:pStyle w:val="TableParagraph"/>
              <w:spacing w:before="122"/>
              <w:ind w:right="82"/>
              <w:jc w:val="right"/>
              <w:rPr>
                <w:sz w:val="18"/>
              </w:rPr>
            </w:pPr>
            <w:r>
              <w:rPr>
                <w:w w:val="95"/>
                <w:sz w:val="18"/>
              </w:rPr>
              <w:t>1,657,700</w:t>
            </w:r>
          </w:p>
        </w:tc>
      </w:tr>
    </w:tbl>
    <w:p>
      <w:pPr>
        <w:spacing w:after="0"/>
        <w:jc w:val="right"/>
        <w:rPr>
          <w:sz w:val="18"/>
        </w:rPr>
        <w:sectPr>
          <w:headerReference w:type="default" r:id="rId192"/>
          <w:footerReference w:type="default" r:id="rId193"/>
          <w:pgSz w:w="11910" w:h="16840"/>
          <w:pgMar w:header="1038" w:footer="505" w:top="1460" w:bottom="700" w:left="860" w:right="860"/>
          <w:pgNumType w:start="190"/>
        </w:sectPr>
      </w:pPr>
    </w:p>
    <w:p>
      <w:pPr>
        <w:pStyle w:val="BodyText"/>
        <w:spacing w:before="2"/>
        <w:rPr>
          <w:sz w:val="24"/>
        </w:rPr>
      </w:pPr>
    </w:p>
    <w:p>
      <w:pPr>
        <w:pStyle w:val="Heading3"/>
        <w:spacing w:before="64"/>
        <w:ind w:left="147" w:right="685"/>
      </w:pPr>
      <w:r>
        <w:rPr/>
        <w:t>Notes to the Financial Statements</w:t>
      </w:r>
    </w:p>
    <w:p>
      <w:pPr>
        <w:pStyle w:val="Heading6"/>
        <w:ind w:left="147" w:right="685"/>
      </w:pPr>
      <w:r>
        <w:rPr/>
        <w:t>For the Year Ended 31 December 2012</w:t>
      </w:r>
    </w:p>
    <w:p>
      <w:pPr>
        <w:pStyle w:val="BodyText"/>
        <w:spacing w:before="2"/>
        <w:rPr>
          <w:b/>
          <w:sz w:val="26"/>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7024"/>
        <w:gridCol w:w="1410"/>
        <w:gridCol w:w="1185"/>
      </w:tblGrid>
      <w:tr>
        <w:trPr>
          <w:trHeight w:val="567" w:hRule="exact"/>
        </w:trPr>
        <w:tc>
          <w:tcPr>
            <w:tcW w:w="333" w:type="dxa"/>
          </w:tcPr>
          <w:p>
            <w:pPr>
              <w:pStyle w:val="TableParagraph"/>
              <w:spacing w:before="77"/>
              <w:ind w:left="35"/>
              <w:rPr>
                <w:b/>
                <w:sz w:val="18"/>
              </w:rPr>
            </w:pPr>
            <w:r>
              <w:rPr>
                <w:b/>
                <w:sz w:val="18"/>
              </w:rPr>
              <w:t>13</w:t>
            </w:r>
          </w:p>
        </w:tc>
        <w:tc>
          <w:tcPr>
            <w:tcW w:w="7024" w:type="dxa"/>
          </w:tcPr>
          <w:p>
            <w:pPr>
              <w:pStyle w:val="TableParagraph"/>
              <w:spacing w:before="77"/>
              <w:ind w:left="98"/>
              <w:rPr>
                <w:b/>
                <w:sz w:val="18"/>
              </w:rPr>
            </w:pPr>
            <w:r>
              <w:rPr>
                <w:b/>
                <w:sz w:val="18"/>
              </w:rPr>
              <w:t>Expenses</w:t>
            </w:r>
          </w:p>
        </w:tc>
        <w:tc>
          <w:tcPr>
            <w:tcW w:w="1410" w:type="dxa"/>
          </w:tcPr>
          <w:p>
            <w:pPr>
              <w:pStyle w:val="TableParagraph"/>
              <w:rPr>
                <w:b/>
                <w:sz w:val="18"/>
              </w:rPr>
            </w:pPr>
          </w:p>
          <w:p>
            <w:pPr>
              <w:pStyle w:val="TableParagraph"/>
              <w:spacing w:before="110"/>
              <w:ind w:left="448"/>
              <w:rPr>
                <w:b/>
                <w:sz w:val="18"/>
              </w:rPr>
            </w:pPr>
            <w:r>
              <w:rPr>
                <w:b/>
                <w:sz w:val="18"/>
              </w:rPr>
              <w:t>2012</w:t>
            </w:r>
          </w:p>
        </w:tc>
        <w:tc>
          <w:tcPr>
            <w:tcW w:w="1185" w:type="dxa"/>
          </w:tcPr>
          <w:p>
            <w:pPr>
              <w:pStyle w:val="TableParagraph"/>
              <w:rPr>
                <w:b/>
                <w:sz w:val="18"/>
              </w:rPr>
            </w:pPr>
          </w:p>
          <w:p>
            <w:pPr>
              <w:pStyle w:val="TableParagraph"/>
              <w:spacing w:before="110"/>
              <w:ind w:left="336"/>
              <w:rPr>
                <w:b/>
                <w:sz w:val="18"/>
              </w:rPr>
            </w:pPr>
            <w:r>
              <w:rPr>
                <w:b/>
                <w:sz w:val="18"/>
              </w:rPr>
              <w:t>2011</w:t>
            </w:r>
          </w:p>
        </w:tc>
      </w:tr>
      <w:tr>
        <w:trPr>
          <w:trHeight w:val="313" w:hRule="exact"/>
        </w:trPr>
        <w:tc>
          <w:tcPr>
            <w:tcW w:w="333" w:type="dxa"/>
          </w:tcPr>
          <w:p>
            <w:pPr/>
          </w:p>
        </w:tc>
        <w:tc>
          <w:tcPr>
            <w:tcW w:w="7024" w:type="dxa"/>
          </w:tcPr>
          <w:p>
            <w:pPr/>
          </w:p>
        </w:tc>
        <w:tc>
          <w:tcPr>
            <w:tcW w:w="1410" w:type="dxa"/>
          </w:tcPr>
          <w:p>
            <w:pPr>
              <w:pStyle w:val="TableParagraph"/>
              <w:spacing w:before="24"/>
              <w:ind w:right="110"/>
              <w:jc w:val="center"/>
              <w:rPr>
                <w:b/>
                <w:sz w:val="18"/>
              </w:rPr>
            </w:pPr>
            <w:r>
              <w:rPr>
                <w:b/>
                <w:w w:val="99"/>
                <w:sz w:val="18"/>
              </w:rPr>
              <w:t>$</w:t>
            </w:r>
          </w:p>
        </w:tc>
        <w:tc>
          <w:tcPr>
            <w:tcW w:w="1185" w:type="dxa"/>
          </w:tcPr>
          <w:p>
            <w:pPr>
              <w:pStyle w:val="TableParagraph"/>
              <w:spacing w:before="24"/>
              <w:ind w:right="110"/>
              <w:jc w:val="center"/>
              <w:rPr>
                <w:b/>
                <w:sz w:val="18"/>
              </w:rPr>
            </w:pPr>
            <w:r>
              <w:rPr>
                <w:b/>
                <w:w w:val="99"/>
                <w:sz w:val="18"/>
              </w:rPr>
              <w:t>$</w:t>
            </w:r>
          </w:p>
        </w:tc>
      </w:tr>
      <w:tr>
        <w:trPr>
          <w:trHeight w:val="294" w:hRule="exact"/>
        </w:trPr>
        <w:tc>
          <w:tcPr>
            <w:tcW w:w="333" w:type="dxa"/>
          </w:tcPr>
          <w:p>
            <w:pPr/>
          </w:p>
        </w:tc>
        <w:tc>
          <w:tcPr>
            <w:tcW w:w="7024" w:type="dxa"/>
          </w:tcPr>
          <w:p>
            <w:pPr>
              <w:pStyle w:val="TableParagraph"/>
              <w:spacing w:before="63"/>
              <w:ind w:left="97"/>
              <w:rPr>
                <w:b/>
                <w:sz w:val="18"/>
              </w:rPr>
            </w:pPr>
            <w:r>
              <w:rPr>
                <w:b/>
                <w:sz w:val="18"/>
              </w:rPr>
              <w:t>Depreciation and Amortisation</w:t>
            </w:r>
          </w:p>
        </w:tc>
        <w:tc>
          <w:tcPr>
            <w:tcW w:w="1410" w:type="dxa"/>
          </w:tcPr>
          <w:p>
            <w:pPr/>
          </w:p>
        </w:tc>
        <w:tc>
          <w:tcPr>
            <w:tcW w:w="1185" w:type="dxa"/>
          </w:tcPr>
          <w:p>
            <w:pPr/>
          </w:p>
        </w:tc>
      </w:tr>
      <w:tr>
        <w:trPr>
          <w:trHeight w:val="250" w:hRule="exact"/>
        </w:trPr>
        <w:tc>
          <w:tcPr>
            <w:tcW w:w="333" w:type="dxa"/>
          </w:tcPr>
          <w:p>
            <w:pPr/>
          </w:p>
        </w:tc>
        <w:tc>
          <w:tcPr>
            <w:tcW w:w="7024" w:type="dxa"/>
          </w:tcPr>
          <w:p>
            <w:pPr>
              <w:pStyle w:val="TableParagraph"/>
              <w:spacing w:before="6"/>
              <w:ind w:left="97"/>
              <w:rPr>
                <w:sz w:val="18"/>
              </w:rPr>
            </w:pPr>
            <w:r>
              <w:rPr>
                <w:sz w:val="18"/>
              </w:rPr>
              <w:t>Leasehold improvements</w:t>
            </w:r>
          </w:p>
        </w:tc>
        <w:tc>
          <w:tcPr>
            <w:tcW w:w="1410" w:type="dxa"/>
          </w:tcPr>
          <w:p>
            <w:pPr>
              <w:pStyle w:val="TableParagraph"/>
              <w:spacing w:before="4"/>
              <w:ind w:right="197"/>
              <w:jc w:val="right"/>
              <w:rPr>
                <w:b/>
                <w:sz w:val="18"/>
              </w:rPr>
            </w:pPr>
            <w:r>
              <w:rPr>
                <w:b/>
                <w:w w:val="95"/>
                <w:sz w:val="18"/>
              </w:rPr>
              <w:t>591,144</w:t>
            </w:r>
          </w:p>
        </w:tc>
        <w:tc>
          <w:tcPr>
            <w:tcW w:w="1185" w:type="dxa"/>
          </w:tcPr>
          <w:p>
            <w:pPr>
              <w:pStyle w:val="TableParagraph"/>
              <w:spacing w:before="4"/>
              <w:ind w:right="84"/>
              <w:jc w:val="right"/>
              <w:rPr>
                <w:sz w:val="18"/>
              </w:rPr>
            </w:pPr>
            <w:r>
              <w:rPr>
                <w:w w:val="95"/>
                <w:sz w:val="18"/>
              </w:rPr>
              <w:t>317,561</w:t>
            </w:r>
          </w:p>
        </w:tc>
      </w:tr>
      <w:tr>
        <w:trPr>
          <w:trHeight w:val="264" w:hRule="exact"/>
        </w:trPr>
        <w:tc>
          <w:tcPr>
            <w:tcW w:w="333" w:type="dxa"/>
          </w:tcPr>
          <w:p>
            <w:pPr/>
          </w:p>
        </w:tc>
        <w:tc>
          <w:tcPr>
            <w:tcW w:w="7024" w:type="dxa"/>
          </w:tcPr>
          <w:p>
            <w:pPr>
              <w:pStyle w:val="TableParagraph"/>
              <w:spacing w:before="19"/>
              <w:ind w:left="97"/>
              <w:rPr>
                <w:sz w:val="18"/>
              </w:rPr>
            </w:pPr>
            <w:r>
              <w:rPr>
                <w:sz w:val="18"/>
              </w:rPr>
              <w:t>Office equipment</w:t>
            </w:r>
          </w:p>
        </w:tc>
        <w:tc>
          <w:tcPr>
            <w:tcW w:w="1410" w:type="dxa"/>
          </w:tcPr>
          <w:p>
            <w:pPr>
              <w:pStyle w:val="TableParagraph"/>
              <w:spacing w:before="18"/>
              <w:ind w:right="197"/>
              <w:jc w:val="right"/>
              <w:rPr>
                <w:b/>
                <w:sz w:val="18"/>
              </w:rPr>
            </w:pPr>
            <w:r>
              <w:rPr>
                <w:b/>
                <w:w w:val="95"/>
                <w:sz w:val="18"/>
              </w:rPr>
              <w:t>67,336</w:t>
            </w:r>
          </w:p>
        </w:tc>
        <w:tc>
          <w:tcPr>
            <w:tcW w:w="1185" w:type="dxa"/>
          </w:tcPr>
          <w:p>
            <w:pPr>
              <w:pStyle w:val="TableParagraph"/>
              <w:spacing w:before="18"/>
              <w:ind w:right="85"/>
              <w:jc w:val="right"/>
              <w:rPr>
                <w:sz w:val="18"/>
              </w:rPr>
            </w:pPr>
            <w:r>
              <w:rPr>
                <w:w w:val="95"/>
                <w:sz w:val="18"/>
              </w:rPr>
              <w:t>3,874</w:t>
            </w:r>
          </w:p>
        </w:tc>
      </w:tr>
      <w:tr>
        <w:trPr>
          <w:trHeight w:val="263" w:hRule="exact"/>
        </w:trPr>
        <w:tc>
          <w:tcPr>
            <w:tcW w:w="333" w:type="dxa"/>
          </w:tcPr>
          <w:p>
            <w:pPr/>
          </w:p>
        </w:tc>
        <w:tc>
          <w:tcPr>
            <w:tcW w:w="7024" w:type="dxa"/>
          </w:tcPr>
          <w:p>
            <w:pPr>
              <w:pStyle w:val="TableParagraph"/>
              <w:spacing w:before="19"/>
              <w:ind w:left="97"/>
              <w:rPr>
                <w:sz w:val="18"/>
              </w:rPr>
            </w:pPr>
            <w:r>
              <w:rPr>
                <w:sz w:val="18"/>
              </w:rPr>
              <w:t>Motor vehicles</w:t>
            </w:r>
          </w:p>
        </w:tc>
        <w:tc>
          <w:tcPr>
            <w:tcW w:w="1410" w:type="dxa"/>
            <w:tcBorders>
              <w:bottom w:val="single" w:sz="0" w:space="0" w:color="000000"/>
            </w:tcBorders>
          </w:tcPr>
          <w:p>
            <w:pPr>
              <w:pStyle w:val="TableParagraph"/>
              <w:spacing w:before="18"/>
              <w:ind w:right="197"/>
              <w:jc w:val="right"/>
              <w:rPr>
                <w:b/>
                <w:sz w:val="18"/>
              </w:rPr>
            </w:pPr>
            <w:r>
              <w:rPr>
                <w:b/>
                <w:w w:val="95"/>
                <w:sz w:val="18"/>
              </w:rPr>
              <w:t>64,913</w:t>
            </w:r>
          </w:p>
        </w:tc>
        <w:tc>
          <w:tcPr>
            <w:tcW w:w="1185" w:type="dxa"/>
            <w:tcBorders>
              <w:bottom w:val="single" w:sz="0" w:space="0" w:color="000000"/>
            </w:tcBorders>
          </w:tcPr>
          <w:p>
            <w:pPr>
              <w:pStyle w:val="TableParagraph"/>
              <w:spacing w:before="18"/>
              <w:ind w:right="84"/>
              <w:jc w:val="right"/>
              <w:rPr>
                <w:sz w:val="18"/>
              </w:rPr>
            </w:pPr>
            <w:r>
              <w:rPr>
                <w:w w:val="95"/>
                <w:sz w:val="18"/>
              </w:rPr>
              <w:t>65,960</w:t>
            </w:r>
          </w:p>
        </w:tc>
      </w:tr>
      <w:tr>
        <w:trPr>
          <w:trHeight w:val="338" w:hRule="exact"/>
        </w:trPr>
        <w:tc>
          <w:tcPr>
            <w:tcW w:w="333" w:type="dxa"/>
          </w:tcPr>
          <w:p>
            <w:pPr/>
          </w:p>
        </w:tc>
        <w:tc>
          <w:tcPr>
            <w:tcW w:w="7024" w:type="dxa"/>
          </w:tcPr>
          <w:p>
            <w:pPr>
              <w:pStyle w:val="TableParagraph"/>
              <w:spacing w:before="95"/>
              <w:ind w:left="98"/>
              <w:rPr>
                <w:b/>
                <w:sz w:val="18"/>
              </w:rPr>
            </w:pPr>
            <w:r>
              <w:rPr>
                <w:b/>
                <w:sz w:val="18"/>
              </w:rPr>
              <w:t>Total depreciation and amortisation</w:t>
            </w:r>
          </w:p>
        </w:tc>
        <w:tc>
          <w:tcPr>
            <w:tcW w:w="1410" w:type="dxa"/>
            <w:tcBorders>
              <w:top w:val="single" w:sz="0" w:space="0" w:color="000000"/>
              <w:bottom w:val="single" w:sz="0" w:space="0" w:color="000000"/>
            </w:tcBorders>
          </w:tcPr>
          <w:p>
            <w:pPr>
              <w:pStyle w:val="TableParagraph"/>
              <w:spacing w:before="122"/>
              <w:ind w:right="196"/>
              <w:jc w:val="right"/>
              <w:rPr>
                <w:b/>
                <w:sz w:val="18"/>
              </w:rPr>
            </w:pPr>
            <w:r>
              <w:rPr>
                <w:b/>
                <w:w w:val="95"/>
                <w:sz w:val="18"/>
              </w:rPr>
              <w:t>723,393</w:t>
            </w:r>
          </w:p>
        </w:tc>
        <w:tc>
          <w:tcPr>
            <w:tcW w:w="1185" w:type="dxa"/>
            <w:tcBorders>
              <w:top w:val="single" w:sz="0" w:space="0" w:color="000000"/>
              <w:bottom w:val="single" w:sz="0" w:space="0" w:color="000000"/>
            </w:tcBorders>
          </w:tcPr>
          <w:p>
            <w:pPr>
              <w:pStyle w:val="TableParagraph"/>
              <w:spacing w:before="122"/>
              <w:ind w:right="84"/>
              <w:jc w:val="right"/>
              <w:rPr>
                <w:sz w:val="18"/>
              </w:rPr>
            </w:pPr>
            <w:r>
              <w:rPr>
                <w:w w:val="95"/>
                <w:sz w:val="18"/>
              </w:rPr>
              <w:t>387,395</w:t>
            </w:r>
          </w:p>
        </w:tc>
      </w:tr>
      <w:tr>
        <w:trPr>
          <w:trHeight w:val="354" w:hRule="exact"/>
        </w:trPr>
        <w:tc>
          <w:tcPr>
            <w:tcW w:w="333" w:type="dxa"/>
          </w:tcPr>
          <w:p>
            <w:pPr/>
          </w:p>
        </w:tc>
        <w:tc>
          <w:tcPr>
            <w:tcW w:w="7024" w:type="dxa"/>
          </w:tcPr>
          <w:p>
            <w:pPr>
              <w:pStyle w:val="TableParagraph"/>
              <w:spacing w:before="123"/>
              <w:ind w:left="98"/>
              <w:rPr>
                <w:b/>
                <w:sz w:val="18"/>
              </w:rPr>
            </w:pPr>
            <w:r>
              <w:rPr>
                <w:b/>
                <w:sz w:val="18"/>
              </w:rPr>
              <w:t>Employee benefits expense (including academic and non academic)</w:t>
            </w:r>
          </w:p>
        </w:tc>
        <w:tc>
          <w:tcPr>
            <w:tcW w:w="1410" w:type="dxa"/>
            <w:tcBorders>
              <w:top w:val="single" w:sz="0" w:space="0" w:color="000000"/>
            </w:tcBorders>
          </w:tcPr>
          <w:p>
            <w:pPr/>
          </w:p>
        </w:tc>
        <w:tc>
          <w:tcPr>
            <w:tcW w:w="1185" w:type="dxa"/>
            <w:tcBorders>
              <w:top w:val="single" w:sz="0" w:space="0" w:color="000000"/>
            </w:tcBorders>
          </w:tcPr>
          <w:p>
            <w:pPr/>
          </w:p>
        </w:tc>
      </w:tr>
      <w:tr>
        <w:trPr>
          <w:trHeight w:val="250" w:hRule="exact"/>
        </w:trPr>
        <w:tc>
          <w:tcPr>
            <w:tcW w:w="333" w:type="dxa"/>
          </w:tcPr>
          <w:p>
            <w:pPr/>
          </w:p>
        </w:tc>
        <w:tc>
          <w:tcPr>
            <w:tcW w:w="7024" w:type="dxa"/>
          </w:tcPr>
          <w:p>
            <w:pPr>
              <w:pStyle w:val="TableParagraph"/>
              <w:spacing w:before="6"/>
              <w:ind w:left="98"/>
              <w:rPr>
                <w:sz w:val="18"/>
              </w:rPr>
            </w:pPr>
            <w:r>
              <w:rPr>
                <w:sz w:val="18"/>
              </w:rPr>
              <w:t>Salaries and wages</w:t>
            </w:r>
          </w:p>
        </w:tc>
        <w:tc>
          <w:tcPr>
            <w:tcW w:w="1410" w:type="dxa"/>
          </w:tcPr>
          <w:p>
            <w:pPr>
              <w:pStyle w:val="TableParagraph"/>
              <w:spacing w:before="4"/>
              <w:ind w:right="196"/>
              <w:jc w:val="right"/>
              <w:rPr>
                <w:b/>
                <w:sz w:val="18"/>
              </w:rPr>
            </w:pPr>
            <w:r>
              <w:rPr>
                <w:b/>
                <w:w w:val="95"/>
                <w:sz w:val="18"/>
              </w:rPr>
              <w:t>11,723,089</w:t>
            </w:r>
          </w:p>
        </w:tc>
        <w:tc>
          <w:tcPr>
            <w:tcW w:w="1185" w:type="dxa"/>
          </w:tcPr>
          <w:p>
            <w:pPr>
              <w:pStyle w:val="TableParagraph"/>
              <w:spacing w:before="4"/>
              <w:ind w:right="83"/>
              <w:jc w:val="right"/>
              <w:rPr>
                <w:sz w:val="18"/>
              </w:rPr>
            </w:pPr>
            <w:r>
              <w:rPr>
                <w:w w:val="95"/>
                <w:sz w:val="18"/>
              </w:rPr>
              <w:t>11,164,868</w:t>
            </w:r>
          </w:p>
        </w:tc>
      </w:tr>
      <w:tr>
        <w:trPr>
          <w:trHeight w:val="264" w:hRule="exact"/>
        </w:trPr>
        <w:tc>
          <w:tcPr>
            <w:tcW w:w="333" w:type="dxa"/>
          </w:tcPr>
          <w:p>
            <w:pPr/>
          </w:p>
        </w:tc>
        <w:tc>
          <w:tcPr>
            <w:tcW w:w="7024" w:type="dxa"/>
          </w:tcPr>
          <w:p>
            <w:pPr>
              <w:pStyle w:val="TableParagraph"/>
              <w:spacing w:before="19"/>
              <w:ind w:left="98"/>
              <w:rPr>
                <w:sz w:val="18"/>
              </w:rPr>
            </w:pPr>
            <w:r>
              <w:rPr>
                <w:sz w:val="18"/>
              </w:rPr>
              <w:t>Leave</w:t>
            </w:r>
          </w:p>
        </w:tc>
        <w:tc>
          <w:tcPr>
            <w:tcW w:w="1410" w:type="dxa"/>
          </w:tcPr>
          <w:p>
            <w:pPr>
              <w:pStyle w:val="TableParagraph"/>
              <w:spacing w:before="18"/>
              <w:ind w:right="196"/>
              <w:jc w:val="right"/>
              <w:rPr>
                <w:b/>
                <w:sz w:val="18"/>
              </w:rPr>
            </w:pPr>
            <w:r>
              <w:rPr>
                <w:b/>
                <w:w w:val="95"/>
                <w:sz w:val="18"/>
              </w:rPr>
              <w:t>1,235,354</w:t>
            </w:r>
          </w:p>
        </w:tc>
        <w:tc>
          <w:tcPr>
            <w:tcW w:w="1185" w:type="dxa"/>
          </w:tcPr>
          <w:p>
            <w:pPr>
              <w:pStyle w:val="TableParagraph"/>
              <w:spacing w:before="18"/>
              <w:ind w:right="83"/>
              <w:jc w:val="right"/>
              <w:rPr>
                <w:sz w:val="18"/>
              </w:rPr>
            </w:pPr>
            <w:r>
              <w:rPr>
                <w:w w:val="95"/>
                <w:sz w:val="18"/>
              </w:rPr>
              <w:t>1,282,535</w:t>
            </w:r>
          </w:p>
        </w:tc>
      </w:tr>
      <w:tr>
        <w:trPr>
          <w:trHeight w:val="264" w:hRule="exact"/>
        </w:trPr>
        <w:tc>
          <w:tcPr>
            <w:tcW w:w="333" w:type="dxa"/>
          </w:tcPr>
          <w:p>
            <w:pPr/>
          </w:p>
        </w:tc>
        <w:tc>
          <w:tcPr>
            <w:tcW w:w="7024" w:type="dxa"/>
          </w:tcPr>
          <w:p>
            <w:pPr>
              <w:pStyle w:val="TableParagraph"/>
              <w:spacing w:before="19"/>
              <w:ind w:left="98"/>
              <w:rPr>
                <w:sz w:val="18"/>
              </w:rPr>
            </w:pPr>
            <w:r>
              <w:rPr>
                <w:sz w:val="18"/>
              </w:rPr>
              <w:t>Superannuation</w:t>
            </w:r>
          </w:p>
        </w:tc>
        <w:tc>
          <w:tcPr>
            <w:tcW w:w="1410" w:type="dxa"/>
          </w:tcPr>
          <w:p>
            <w:pPr>
              <w:pStyle w:val="TableParagraph"/>
              <w:spacing w:before="18"/>
              <w:ind w:right="196"/>
              <w:jc w:val="right"/>
              <w:rPr>
                <w:b/>
                <w:sz w:val="18"/>
              </w:rPr>
            </w:pPr>
            <w:r>
              <w:rPr>
                <w:b/>
                <w:w w:val="95"/>
                <w:sz w:val="18"/>
              </w:rPr>
              <w:t>1,046,133</w:t>
            </w:r>
          </w:p>
        </w:tc>
        <w:tc>
          <w:tcPr>
            <w:tcW w:w="1185" w:type="dxa"/>
          </w:tcPr>
          <w:p>
            <w:pPr>
              <w:pStyle w:val="TableParagraph"/>
              <w:spacing w:before="18"/>
              <w:ind w:right="83"/>
              <w:jc w:val="right"/>
              <w:rPr>
                <w:sz w:val="18"/>
              </w:rPr>
            </w:pPr>
            <w:r>
              <w:rPr>
                <w:w w:val="95"/>
                <w:sz w:val="18"/>
              </w:rPr>
              <w:t>1,039,926</w:t>
            </w:r>
          </w:p>
        </w:tc>
      </w:tr>
      <w:tr>
        <w:trPr>
          <w:trHeight w:val="264" w:hRule="exact"/>
        </w:trPr>
        <w:tc>
          <w:tcPr>
            <w:tcW w:w="333" w:type="dxa"/>
          </w:tcPr>
          <w:p>
            <w:pPr/>
          </w:p>
        </w:tc>
        <w:tc>
          <w:tcPr>
            <w:tcW w:w="7024" w:type="dxa"/>
          </w:tcPr>
          <w:p>
            <w:pPr>
              <w:pStyle w:val="TableParagraph"/>
              <w:spacing w:before="19"/>
              <w:ind w:left="98"/>
              <w:rPr>
                <w:sz w:val="18"/>
              </w:rPr>
            </w:pPr>
            <w:r>
              <w:rPr>
                <w:sz w:val="18"/>
              </w:rPr>
              <w:t>Payroll tax</w:t>
            </w:r>
          </w:p>
        </w:tc>
        <w:tc>
          <w:tcPr>
            <w:tcW w:w="1410" w:type="dxa"/>
          </w:tcPr>
          <w:p>
            <w:pPr>
              <w:pStyle w:val="TableParagraph"/>
              <w:spacing w:before="18"/>
              <w:ind w:right="196"/>
              <w:jc w:val="right"/>
              <w:rPr>
                <w:b/>
                <w:sz w:val="18"/>
              </w:rPr>
            </w:pPr>
            <w:r>
              <w:rPr>
                <w:b/>
                <w:w w:val="95"/>
                <w:sz w:val="18"/>
              </w:rPr>
              <w:t>742,811</w:t>
            </w:r>
          </w:p>
        </w:tc>
        <w:tc>
          <w:tcPr>
            <w:tcW w:w="1185" w:type="dxa"/>
          </w:tcPr>
          <w:p>
            <w:pPr>
              <w:pStyle w:val="TableParagraph"/>
              <w:spacing w:before="18"/>
              <w:ind w:right="84"/>
              <w:jc w:val="right"/>
              <w:rPr>
                <w:sz w:val="18"/>
              </w:rPr>
            </w:pPr>
            <w:r>
              <w:rPr>
                <w:w w:val="95"/>
                <w:sz w:val="18"/>
              </w:rPr>
              <w:t>738,770</w:t>
            </w:r>
          </w:p>
        </w:tc>
      </w:tr>
      <w:tr>
        <w:trPr>
          <w:trHeight w:val="264" w:hRule="exact"/>
        </w:trPr>
        <w:tc>
          <w:tcPr>
            <w:tcW w:w="333" w:type="dxa"/>
          </w:tcPr>
          <w:p>
            <w:pPr/>
          </w:p>
        </w:tc>
        <w:tc>
          <w:tcPr>
            <w:tcW w:w="7024" w:type="dxa"/>
          </w:tcPr>
          <w:p>
            <w:pPr>
              <w:pStyle w:val="TableParagraph"/>
              <w:spacing w:before="19"/>
              <w:ind w:left="98"/>
              <w:rPr>
                <w:sz w:val="18"/>
              </w:rPr>
            </w:pPr>
            <w:r>
              <w:rPr>
                <w:sz w:val="18"/>
              </w:rPr>
              <w:t>Workers Compensation</w:t>
            </w:r>
          </w:p>
        </w:tc>
        <w:tc>
          <w:tcPr>
            <w:tcW w:w="1410" w:type="dxa"/>
          </w:tcPr>
          <w:p>
            <w:pPr>
              <w:pStyle w:val="TableParagraph"/>
              <w:spacing w:before="18"/>
              <w:ind w:right="196"/>
              <w:jc w:val="right"/>
              <w:rPr>
                <w:b/>
                <w:sz w:val="18"/>
              </w:rPr>
            </w:pPr>
            <w:r>
              <w:rPr>
                <w:b/>
                <w:w w:val="95"/>
                <w:sz w:val="18"/>
              </w:rPr>
              <w:t>112,465</w:t>
            </w:r>
          </w:p>
        </w:tc>
        <w:tc>
          <w:tcPr>
            <w:tcW w:w="1185" w:type="dxa"/>
          </w:tcPr>
          <w:p>
            <w:pPr>
              <w:pStyle w:val="TableParagraph"/>
              <w:spacing w:before="18"/>
              <w:ind w:right="84"/>
              <w:jc w:val="right"/>
              <w:rPr>
                <w:sz w:val="18"/>
              </w:rPr>
            </w:pPr>
            <w:r>
              <w:rPr>
                <w:w w:val="95"/>
                <w:sz w:val="18"/>
              </w:rPr>
              <w:t>178,889</w:t>
            </w:r>
          </w:p>
        </w:tc>
      </w:tr>
      <w:tr>
        <w:trPr>
          <w:trHeight w:val="263" w:hRule="exact"/>
        </w:trPr>
        <w:tc>
          <w:tcPr>
            <w:tcW w:w="333" w:type="dxa"/>
          </w:tcPr>
          <w:p>
            <w:pPr/>
          </w:p>
        </w:tc>
        <w:tc>
          <w:tcPr>
            <w:tcW w:w="7024" w:type="dxa"/>
          </w:tcPr>
          <w:p>
            <w:pPr>
              <w:pStyle w:val="TableParagraph"/>
              <w:spacing w:before="19"/>
              <w:ind w:left="98"/>
              <w:rPr>
                <w:sz w:val="18"/>
              </w:rPr>
            </w:pPr>
            <w:r>
              <w:rPr>
                <w:sz w:val="18"/>
              </w:rPr>
              <w:t>Redundancies</w:t>
            </w:r>
          </w:p>
        </w:tc>
        <w:tc>
          <w:tcPr>
            <w:tcW w:w="1410" w:type="dxa"/>
            <w:tcBorders>
              <w:bottom w:val="single" w:sz="0" w:space="0" w:color="000000"/>
            </w:tcBorders>
          </w:tcPr>
          <w:p>
            <w:pPr>
              <w:pStyle w:val="TableParagraph"/>
              <w:spacing w:before="18"/>
              <w:ind w:right="111"/>
              <w:jc w:val="center"/>
              <w:rPr>
                <w:b/>
                <w:sz w:val="18"/>
              </w:rPr>
            </w:pPr>
            <w:r>
              <w:rPr>
                <w:b/>
                <w:w w:val="99"/>
                <w:sz w:val="18"/>
              </w:rPr>
              <w:t>-</w:t>
            </w:r>
          </w:p>
        </w:tc>
        <w:tc>
          <w:tcPr>
            <w:tcW w:w="1185" w:type="dxa"/>
            <w:tcBorders>
              <w:bottom w:val="single" w:sz="0" w:space="0" w:color="000000"/>
            </w:tcBorders>
          </w:tcPr>
          <w:p>
            <w:pPr>
              <w:pStyle w:val="TableParagraph"/>
              <w:spacing w:before="18"/>
              <w:ind w:right="84"/>
              <w:jc w:val="right"/>
              <w:rPr>
                <w:sz w:val="18"/>
              </w:rPr>
            </w:pPr>
            <w:r>
              <w:rPr>
                <w:w w:val="95"/>
                <w:sz w:val="18"/>
              </w:rPr>
              <w:t>276,273</w:t>
            </w:r>
          </w:p>
        </w:tc>
      </w:tr>
      <w:tr>
        <w:trPr>
          <w:trHeight w:val="602" w:hRule="exact"/>
        </w:trPr>
        <w:tc>
          <w:tcPr>
            <w:tcW w:w="333" w:type="dxa"/>
          </w:tcPr>
          <w:p>
            <w:pPr/>
          </w:p>
        </w:tc>
        <w:tc>
          <w:tcPr>
            <w:tcW w:w="7024" w:type="dxa"/>
          </w:tcPr>
          <w:p>
            <w:pPr>
              <w:pStyle w:val="TableParagraph"/>
              <w:rPr>
                <w:b/>
                <w:sz w:val="18"/>
              </w:rPr>
            </w:pPr>
          </w:p>
          <w:p>
            <w:pPr>
              <w:pStyle w:val="TableParagraph"/>
              <w:spacing w:before="150"/>
              <w:ind w:left="98"/>
              <w:rPr>
                <w:b/>
                <w:sz w:val="18"/>
              </w:rPr>
            </w:pPr>
            <w:r>
              <w:rPr>
                <w:b/>
                <w:sz w:val="18"/>
              </w:rPr>
              <w:t>Fees for service</w:t>
            </w:r>
          </w:p>
        </w:tc>
        <w:tc>
          <w:tcPr>
            <w:tcW w:w="1410" w:type="dxa"/>
            <w:tcBorders>
              <w:top w:val="single" w:sz="0" w:space="0" w:color="000000"/>
            </w:tcBorders>
          </w:tcPr>
          <w:p>
            <w:pPr>
              <w:pStyle w:val="TableParagraph"/>
              <w:spacing w:before="122"/>
              <w:ind w:right="196"/>
              <w:jc w:val="right"/>
              <w:rPr>
                <w:b/>
                <w:sz w:val="18"/>
              </w:rPr>
            </w:pPr>
            <w:r>
              <w:rPr>
                <w:b/>
                <w:w w:val="95"/>
                <w:sz w:val="18"/>
              </w:rPr>
              <w:t>14,859,852</w:t>
            </w:r>
          </w:p>
        </w:tc>
        <w:tc>
          <w:tcPr>
            <w:tcW w:w="1185" w:type="dxa"/>
            <w:tcBorders>
              <w:top w:val="single" w:sz="0" w:space="0" w:color="000000"/>
            </w:tcBorders>
          </w:tcPr>
          <w:p>
            <w:pPr>
              <w:pStyle w:val="TableParagraph"/>
              <w:spacing w:before="122"/>
              <w:ind w:right="83"/>
              <w:jc w:val="right"/>
              <w:rPr>
                <w:sz w:val="18"/>
              </w:rPr>
            </w:pPr>
            <w:r>
              <w:rPr>
                <w:w w:val="95"/>
                <w:sz w:val="18"/>
              </w:rPr>
              <w:t>14,681,261</w:t>
            </w:r>
          </w:p>
        </w:tc>
      </w:tr>
      <w:tr>
        <w:trPr>
          <w:trHeight w:val="264" w:hRule="exact"/>
        </w:trPr>
        <w:tc>
          <w:tcPr>
            <w:tcW w:w="333" w:type="dxa"/>
          </w:tcPr>
          <w:p>
            <w:pPr/>
          </w:p>
        </w:tc>
        <w:tc>
          <w:tcPr>
            <w:tcW w:w="7024" w:type="dxa"/>
          </w:tcPr>
          <w:p>
            <w:pPr>
              <w:pStyle w:val="TableParagraph"/>
              <w:spacing w:before="19"/>
              <w:ind w:left="98"/>
              <w:rPr>
                <w:sz w:val="18"/>
              </w:rPr>
            </w:pPr>
            <w:r>
              <w:rPr>
                <w:sz w:val="18"/>
              </w:rPr>
              <w:t>UWS services</w:t>
            </w:r>
          </w:p>
        </w:tc>
        <w:tc>
          <w:tcPr>
            <w:tcW w:w="1410" w:type="dxa"/>
          </w:tcPr>
          <w:p>
            <w:pPr>
              <w:pStyle w:val="TableParagraph"/>
              <w:spacing w:before="18"/>
              <w:ind w:right="196"/>
              <w:jc w:val="right"/>
              <w:rPr>
                <w:b/>
                <w:sz w:val="18"/>
              </w:rPr>
            </w:pPr>
            <w:r>
              <w:rPr>
                <w:b/>
                <w:w w:val="95"/>
                <w:sz w:val="18"/>
              </w:rPr>
              <w:t>1,933,083</w:t>
            </w:r>
          </w:p>
        </w:tc>
        <w:tc>
          <w:tcPr>
            <w:tcW w:w="1185" w:type="dxa"/>
          </w:tcPr>
          <w:p>
            <w:pPr>
              <w:pStyle w:val="TableParagraph"/>
              <w:spacing w:before="18"/>
              <w:ind w:right="84"/>
              <w:jc w:val="right"/>
              <w:rPr>
                <w:sz w:val="18"/>
              </w:rPr>
            </w:pPr>
            <w:r>
              <w:rPr>
                <w:w w:val="95"/>
                <w:sz w:val="18"/>
              </w:rPr>
              <w:t>2,627,517</w:t>
            </w:r>
          </w:p>
        </w:tc>
      </w:tr>
      <w:tr>
        <w:trPr>
          <w:trHeight w:val="264" w:hRule="exact"/>
        </w:trPr>
        <w:tc>
          <w:tcPr>
            <w:tcW w:w="333" w:type="dxa"/>
          </w:tcPr>
          <w:p>
            <w:pPr/>
          </w:p>
        </w:tc>
        <w:tc>
          <w:tcPr>
            <w:tcW w:w="7024" w:type="dxa"/>
          </w:tcPr>
          <w:p>
            <w:pPr>
              <w:pStyle w:val="TableParagraph"/>
              <w:spacing w:before="19"/>
              <w:ind w:left="98"/>
              <w:rPr>
                <w:sz w:val="18"/>
              </w:rPr>
            </w:pPr>
            <w:r>
              <w:rPr>
                <w:sz w:val="18"/>
              </w:rPr>
              <w:t>Agent Commissions</w:t>
            </w:r>
          </w:p>
        </w:tc>
        <w:tc>
          <w:tcPr>
            <w:tcW w:w="1410" w:type="dxa"/>
          </w:tcPr>
          <w:p>
            <w:pPr>
              <w:pStyle w:val="TableParagraph"/>
              <w:spacing w:before="18"/>
              <w:ind w:right="196"/>
              <w:jc w:val="right"/>
              <w:rPr>
                <w:b/>
                <w:sz w:val="18"/>
              </w:rPr>
            </w:pPr>
            <w:r>
              <w:rPr>
                <w:b/>
                <w:w w:val="95"/>
                <w:sz w:val="18"/>
              </w:rPr>
              <w:t>1,009,315</w:t>
            </w:r>
          </w:p>
        </w:tc>
        <w:tc>
          <w:tcPr>
            <w:tcW w:w="1185" w:type="dxa"/>
          </w:tcPr>
          <w:p>
            <w:pPr>
              <w:pStyle w:val="TableParagraph"/>
              <w:spacing w:before="18"/>
              <w:ind w:right="84"/>
              <w:jc w:val="right"/>
              <w:rPr>
                <w:sz w:val="18"/>
              </w:rPr>
            </w:pPr>
            <w:r>
              <w:rPr>
                <w:w w:val="95"/>
                <w:sz w:val="18"/>
              </w:rPr>
              <w:t>799,631</w:t>
            </w:r>
          </w:p>
        </w:tc>
      </w:tr>
      <w:tr>
        <w:trPr>
          <w:trHeight w:val="264" w:hRule="exact"/>
        </w:trPr>
        <w:tc>
          <w:tcPr>
            <w:tcW w:w="333" w:type="dxa"/>
          </w:tcPr>
          <w:p>
            <w:pPr/>
          </w:p>
        </w:tc>
        <w:tc>
          <w:tcPr>
            <w:tcW w:w="7024" w:type="dxa"/>
          </w:tcPr>
          <w:p>
            <w:pPr>
              <w:pStyle w:val="TableParagraph"/>
              <w:spacing w:before="19"/>
              <w:ind w:left="98"/>
              <w:rPr>
                <w:sz w:val="18"/>
              </w:rPr>
            </w:pPr>
            <w:r>
              <w:rPr>
                <w:sz w:val="18"/>
              </w:rPr>
              <w:t>Study tours</w:t>
            </w:r>
          </w:p>
        </w:tc>
        <w:tc>
          <w:tcPr>
            <w:tcW w:w="1410" w:type="dxa"/>
          </w:tcPr>
          <w:p>
            <w:pPr>
              <w:pStyle w:val="TableParagraph"/>
              <w:spacing w:before="18"/>
              <w:ind w:right="196"/>
              <w:jc w:val="right"/>
              <w:rPr>
                <w:b/>
                <w:sz w:val="18"/>
              </w:rPr>
            </w:pPr>
            <w:r>
              <w:rPr>
                <w:b/>
                <w:w w:val="95"/>
                <w:sz w:val="18"/>
              </w:rPr>
              <w:t>187,445</w:t>
            </w:r>
          </w:p>
        </w:tc>
        <w:tc>
          <w:tcPr>
            <w:tcW w:w="1185" w:type="dxa"/>
          </w:tcPr>
          <w:p>
            <w:pPr>
              <w:pStyle w:val="TableParagraph"/>
              <w:spacing w:before="18"/>
              <w:ind w:right="84"/>
              <w:jc w:val="right"/>
              <w:rPr>
                <w:sz w:val="18"/>
              </w:rPr>
            </w:pPr>
            <w:r>
              <w:rPr>
                <w:w w:val="95"/>
                <w:sz w:val="18"/>
              </w:rPr>
              <w:t>285,234</w:t>
            </w:r>
          </w:p>
        </w:tc>
      </w:tr>
      <w:tr>
        <w:trPr>
          <w:trHeight w:val="264" w:hRule="exact"/>
        </w:trPr>
        <w:tc>
          <w:tcPr>
            <w:tcW w:w="333" w:type="dxa"/>
          </w:tcPr>
          <w:p>
            <w:pPr/>
          </w:p>
        </w:tc>
        <w:tc>
          <w:tcPr>
            <w:tcW w:w="7024" w:type="dxa"/>
          </w:tcPr>
          <w:p>
            <w:pPr>
              <w:pStyle w:val="TableParagraph"/>
              <w:spacing w:before="19"/>
              <w:ind w:left="98"/>
              <w:rPr>
                <w:sz w:val="18"/>
              </w:rPr>
            </w:pPr>
            <w:r>
              <w:rPr>
                <w:sz w:val="18"/>
              </w:rPr>
              <w:t>Temporary contract staff</w:t>
            </w:r>
          </w:p>
        </w:tc>
        <w:tc>
          <w:tcPr>
            <w:tcW w:w="1410" w:type="dxa"/>
          </w:tcPr>
          <w:p>
            <w:pPr>
              <w:pStyle w:val="TableParagraph"/>
              <w:spacing w:before="18"/>
              <w:ind w:right="196"/>
              <w:jc w:val="right"/>
              <w:rPr>
                <w:b/>
                <w:sz w:val="18"/>
              </w:rPr>
            </w:pPr>
            <w:r>
              <w:rPr>
                <w:b/>
                <w:w w:val="95"/>
                <w:sz w:val="18"/>
              </w:rPr>
              <w:t>124,083</w:t>
            </w:r>
          </w:p>
        </w:tc>
        <w:tc>
          <w:tcPr>
            <w:tcW w:w="1185" w:type="dxa"/>
          </w:tcPr>
          <w:p>
            <w:pPr>
              <w:pStyle w:val="TableParagraph"/>
              <w:spacing w:before="18"/>
              <w:ind w:right="84"/>
              <w:jc w:val="right"/>
              <w:rPr>
                <w:sz w:val="18"/>
              </w:rPr>
            </w:pPr>
            <w:r>
              <w:rPr>
                <w:w w:val="95"/>
                <w:sz w:val="18"/>
              </w:rPr>
              <w:t>201,437</w:t>
            </w:r>
          </w:p>
        </w:tc>
      </w:tr>
      <w:tr>
        <w:trPr>
          <w:trHeight w:val="264" w:hRule="exact"/>
        </w:trPr>
        <w:tc>
          <w:tcPr>
            <w:tcW w:w="333" w:type="dxa"/>
          </w:tcPr>
          <w:p>
            <w:pPr/>
          </w:p>
        </w:tc>
        <w:tc>
          <w:tcPr>
            <w:tcW w:w="7024" w:type="dxa"/>
          </w:tcPr>
          <w:p>
            <w:pPr>
              <w:pStyle w:val="TableParagraph"/>
              <w:spacing w:before="19"/>
              <w:ind w:left="98"/>
              <w:rPr>
                <w:sz w:val="18"/>
              </w:rPr>
            </w:pPr>
            <w:r>
              <w:rPr>
                <w:sz w:val="18"/>
              </w:rPr>
              <w:t>Consultants</w:t>
            </w:r>
          </w:p>
        </w:tc>
        <w:tc>
          <w:tcPr>
            <w:tcW w:w="1410" w:type="dxa"/>
          </w:tcPr>
          <w:p>
            <w:pPr>
              <w:pStyle w:val="TableParagraph"/>
              <w:spacing w:before="18"/>
              <w:ind w:right="197"/>
              <w:jc w:val="right"/>
              <w:rPr>
                <w:b/>
                <w:sz w:val="18"/>
              </w:rPr>
            </w:pPr>
            <w:r>
              <w:rPr>
                <w:b/>
                <w:w w:val="95"/>
                <w:sz w:val="18"/>
              </w:rPr>
              <w:t>87,666</w:t>
            </w:r>
          </w:p>
        </w:tc>
        <w:tc>
          <w:tcPr>
            <w:tcW w:w="1185" w:type="dxa"/>
          </w:tcPr>
          <w:p>
            <w:pPr>
              <w:pStyle w:val="TableParagraph"/>
              <w:spacing w:before="18"/>
              <w:ind w:right="84"/>
              <w:jc w:val="right"/>
              <w:rPr>
                <w:sz w:val="18"/>
              </w:rPr>
            </w:pPr>
            <w:r>
              <w:rPr>
                <w:w w:val="95"/>
                <w:sz w:val="18"/>
              </w:rPr>
              <w:t>202,240</w:t>
            </w:r>
          </w:p>
        </w:tc>
      </w:tr>
      <w:tr>
        <w:trPr>
          <w:trHeight w:val="262" w:hRule="exact"/>
        </w:trPr>
        <w:tc>
          <w:tcPr>
            <w:tcW w:w="333" w:type="dxa"/>
          </w:tcPr>
          <w:p>
            <w:pPr/>
          </w:p>
        </w:tc>
        <w:tc>
          <w:tcPr>
            <w:tcW w:w="7024" w:type="dxa"/>
          </w:tcPr>
          <w:p>
            <w:pPr>
              <w:pStyle w:val="TableParagraph"/>
              <w:spacing w:before="19"/>
              <w:ind w:left="98"/>
              <w:rPr>
                <w:sz w:val="18"/>
              </w:rPr>
            </w:pPr>
            <w:r>
              <w:rPr>
                <w:sz w:val="18"/>
              </w:rPr>
              <w:t>Other</w:t>
            </w:r>
          </w:p>
        </w:tc>
        <w:tc>
          <w:tcPr>
            <w:tcW w:w="1410" w:type="dxa"/>
            <w:tcBorders>
              <w:bottom w:val="single" w:sz="0" w:space="0" w:color="000000"/>
            </w:tcBorders>
          </w:tcPr>
          <w:p>
            <w:pPr>
              <w:pStyle w:val="TableParagraph"/>
              <w:spacing w:before="18"/>
              <w:ind w:right="196"/>
              <w:jc w:val="right"/>
              <w:rPr>
                <w:b/>
                <w:sz w:val="18"/>
              </w:rPr>
            </w:pPr>
            <w:r>
              <w:rPr>
                <w:b/>
                <w:w w:val="95"/>
                <w:sz w:val="18"/>
              </w:rPr>
              <w:t>230,281</w:t>
            </w:r>
          </w:p>
        </w:tc>
        <w:tc>
          <w:tcPr>
            <w:tcW w:w="1185" w:type="dxa"/>
            <w:tcBorders>
              <w:bottom w:val="single" w:sz="0" w:space="0" w:color="000000"/>
            </w:tcBorders>
          </w:tcPr>
          <w:p>
            <w:pPr>
              <w:pStyle w:val="TableParagraph"/>
              <w:spacing w:before="18"/>
              <w:ind w:right="84"/>
              <w:jc w:val="right"/>
              <w:rPr>
                <w:sz w:val="18"/>
              </w:rPr>
            </w:pPr>
            <w:r>
              <w:rPr>
                <w:w w:val="95"/>
                <w:sz w:val="18"/>
              </w:rPr>
              <w:t>229,006</w:t>
            </w:r>
          </w:p>
        </w:tc>
      </w:tr>
      <w:tr>
        <w:trPr>
          <w:trHeight w:val="396" w:hRule="exact"/>
        </w:trPr>
        <w:tc>
          <w:tcPr>
            <w:tcW w:w="333" w:type="dxa"/>
          </w:tcPr>
          <w:p>
            <w:pPr/>
          </w:p>
        </w:tc>
        <w:tc>
          <w:tcPr>
            <w:tcW w:w="7024" w:type="dxa"/>
          </w:tcPr>
          <w:p>
            <w:pPr/>
          </w:p>
        </w:tc>
        <w:tc>
          <w:tcPr>
            <w:tcW w:w="1410" w:type="dxa"/>
            <w:tcBorders>
              <w:top w:val="single" w:sz="0" w:space="0" w:color="000000"/>
            </w:tcBorders>
          </w:tcPr>
          <w:p>
            <w:pPr>
              <w:pStyle w:val="TableParagraph"/>
              <w:spacing w:before="122"/>
              <w:ind w:right="196"/>
              <w:jc w:val="right"/>
              <w:rPr>
                <w:b/>
                <w:sz w:val="18"/>
              </w:rPr>
            </w:pPr>
            <w:r>
              <w:rPr>
                <w:b/>
                <w:w w:val="95"/>
                <w:sz w:val="18"/>
              </w:rPr>
              <w:t>3,571,873</w:t>
            </w:r>
          </w:p>
        </w:tc>
        <w:tc>
          <w:tcPr>
            <w:tcW w:w="1185" w:type="dxa"/>
            <w:tcBorders>
              <w:top w:val="single" w:sz="0" w:space="0" w:color="000000"/>
            </w:tcBorders>
          </w:tcPr>
          <w:p>
            <w:pPr>
              <w:pStyle w:val="TableParagraph"/>
              <w:spacing w:before="122"/>
              <w:ind w:right="84"/>
              <w:jc w:val="right"/>
              <w:rPr>
                <w:sz w:val="18"/>
              </w:rPr>
            </w:pPr>
            <w:r>
              <w:rPr>
                <w:w w:val="95"/>
                <w:sz w:val="18"/>
              </w:rPr>
              <w:t>4,345,065</w:t>
            </w:r>
          </w:p>
        </w:tc>
      </w:tr>
      <w:tr>
        <w:trPr>
          <w:trHeight w:val="277" w:hRule="exact"/>
        </w:trPr>
        <w:tc>
          <w:tcPr>
            <w:tcW w:w="333" w:type="dxa"/>
          </w:tcPr>
          <w:p>
            <w:pPr/>
          </w:p>
        </w:tc>
        <w:tc>
          <w:tcPr>
            <w:tcW w:w="7024" w:type="dxa"/>
          </w:tcPr>
          <w:p>
            <w:pPr>
              <w:pStyle w:val="TableParagraph"/>
              <w:spacing w:before="46"/>
              <w:ind w:left="97"/>
              <w:rPr>
                <w:b/>
                <w:sz w:val="18"/>
              </w:rPr>
            </w:pPr>
            <w:r>
              <w:rPr>
                <w:b/>
                <w:sz w:val="18"/>
              </w:rPr>
              <w:t>Occupancy expenses</w:t>
            </w:r>
          </w:p>
        </w:tc>
        <w:tc>
          <w:tcPr>
            <w:tcW w:w="1410" w:type="dxa"/>
          </w:tcPr>
          <w:p>
            <w:pPr/>
          </w:p>
        </w:tc>
        <w:tc>
          <w:tcPr>
            <w:tcW w:w="1185" w:type="dxa"/>
          </w:tcPr>
          <w:p>
            <w:pPr/>
          </w:p>
        </w:tc>
      </w:tr>
      <w:tr>
        <w:trPr>
          <w:trHeight w:val="250" w:hRule="exact"/>
        </w:trPr>
        <w:tc>
          <w:tcPr>
            <w:tcW w:w="333" w:type="dxa"/>
          </w:tcPr>
          <w:p>
            <w:pPr/>
          </w:p>
        </w:tc>
        <w:tc>
          <w:tcPr>
            <w:tcW w:w="7024" w:type="dxa"/>
          </w:tcPr>
          <w:p>
            <w:pPr>
              <w:pStyle w:val="TableParagraph"/>
              <w:spacing w:before="6"/>
              <w:ind w:left="98"/>
              <w:rPr>
                <w:sz w:val="18"/>
              </w:rPr>
            </w:pPr>
            <w:r>
              <w:rPr>
                <w:sz w:val="18"/>
              </w:rPr>
              <w:t>Operating lease repayments</w:t>
            </w:r>
          </w:p>
        </w:tc>
        <w:tc>
          <w:tcPr>
            <w:tcW w:w="1410" w:type="dxa"/>
          </w:tcPr>
          <w:p>
            <w:pPr>
              <w:pStyle w:val="TableParagraph"/>
              <w:spacing w:before="4"/>
              <w:ind w:right="196"/>
              <w:jc w:val="right"/>
              <w:rPr>
                <w:b/>
                <w:sz w:val="18"/>
              </w:rPr>
            </w:pPr>
            <w:r>
              <w:rPr>
                <w:b/>
                <w:w w:val="95"/>
                <w:sz w:val="18"/>
              </w:rPr>
              <w:t>1,741,749</w:t>
            </w:r>
          </w:p>
        </w:tc>
        <w:tc>
          <w:tcPr>
            <w:tcW w:w="1185" w:type="dxa"/>
          </w:tcPr>
          <w:p>
            <w:pPr>
              <w:pStyle w:val="TableParagraph"/>
              <w:spacing w:before="4"/>
              <w:ind w:right="84"/>
              <w:jc w:val="right"/>
              <w:rPr>
                <w:sz w:val="18"/>
              </w:rPr>
            </w:pPr>
            <w:r>
              <w:rPr>
                <w:w w:val="95"/>
                <w:sz w:val="18"/>
              </w:rPr>
              <w:t>1,894,076</w:t>
            </w:r>
          </w:p>
        </w:tc>
      </w:tr>
      <w:tr>
        <w:trPr>
          <w:trHeight w:val="264" w:hRule="exact"/>
        </w:trPr>
        <w:tc>
          <w:tcPr>
            <w:tcW w:w="333" w:type="dxa"/>
          </w:tcPr>
          <w:p>
            <w:pPr/>
          </w:p>
        </w:tc>
        <w:tc>
          <w:tcPr>
            <w:tcW w:w="7024" w:type="dxa"/>
          </w:tcPr>
          <w:p>
            <w:pPr>
              <w:pStyle w:val="TableParagraph"/>
              <w:spacing w:before="19"/>
              <w:ind w:left="98"/>
              <w:rPr>
                <w:sz w:val="18"/>
              </w:rPr>
            </w:pPr>
            <w:r>
              <w:rPr>
                <w:sz w:val="18"/>
              </w:rPr>
              <w:t>Cleaning</w:t>
            </w:r>
          </w:p>
        </w:tc>
        <w:tc>
          <w:tcPr>
            <w:tcW w:w="1410" w:type="dxa"/>
          </w:tcPr>
          <w:p>
            <w:pPr>
              <w:pStyle w:val="TableParagraph"/>
              <w:spacing w:before="18"/>
              <w:ind w:right="197"/>
              <w:jc w:val="right"/>
              <w:rPr>
                <w:b/>
                <w:sz w:val="18"/>
              </w:rPr>
            </w:pPr>
            <w:r>
              <w:rPr>
                <w:b/>
                <w:w w:val="95"/>
                <w:sz w:val="18"/>
              </w:rPr>
              <w:t>60,725</w:t>
            </w:r>
          </w:p>
        </w:tc>
        <w:tc>
          <w:tcPr>
            <w:tcW w:w="1185" w:type="dxa"/>
          </w:tcPr>
          <w:p>
            <w:pPr>
              <w:pStyle w:val="TableParagraph"/>
              <w:spacing w:before="18"/>
              <w:ind w:right="84"/>
              <w:jc w:val="right"/>
              <w:rPr>
                <w:sz w:val="18"/>
              </w:rPr>
            </w:pPr>
            <w:r>
              <w:rPr>
                <w:w w:val="95"/>
                <w:sz w:val="18"/>
              </w:rPr>
              <w:t>74,777</w:t>
            </w:r>
          </w:p>
        </w:tc>
      </w:tr>
      <w:tr>
        <w:trPr>
          <w:trHeight w:val="262" w:hRule="exact"/>
        </w:trPr>
        <w:tc>
          <w:tcPr>
            <w:tcW w:w="333" w:type="dxa"/>
          </w:tcPr>
          <w:p>
            <w:pPr/>
          </w:p>
        </w:tc>
        <w:tc>
          <w:tcPr>
            <w:tcW w:w="7024" w:type="dxa"/>
          </w:tcPr>
          <w:p>
            <w:pPr>
              <w:pStyle w:val="TableParagraph"/>
              <w:spacing w:before="19"/>
              <w:ind w:left="98"/>
              <w:rPr>
                <w:sz w:val="18"/>
              </w:rPr>
            </w:pPr>
            <w:r>
              <w:rPr>
                <w:sz w:val="18"/>
              </w:rPr>
              <w:t>Other</w:t>
            </w:r>
          </w:p>
        </w:tc>
        <w:tc>
          <w:tcPr>
            <w:tcW w:w="1410" w:type="dxa"/>
            <w:tcBorders>
              <w:bottom w:val="single" w:sz="0" w:space="0" w:color="000000"/>
            </w:tcBorders>
          </w:tcPr>
          <w:p>
            <w:pPr>
              <w:pStyle w:val="TableParagraph"/>
              <w:spacing w:before="18"/>
              <w:ind w:right="197"/>
              <w:jc w:val="right"/>
              <w:rPr>
                <w:b/>
                <w:sz w:val="18"/>
              </w:rPr>
            </w:pPr>
            <w:r>
              <w:rPr>
                <w:b/>
                <w:w w:val="95"/>
                <w:sz w:val="18"/>
              </w:rPr>
              <w:t>41,453</w:t>
            </w:r>
          </w:p>
        </w:tc>
        <w:tc>
          <w:tcPr>
            <w:tcW w:w="1185" w:type="dxa"/>
            <w:tcBorders>
              <w:bottom w:val="single" w:sz="0" w:space="0" w:color="000000"/>
            </w:tcBorders>
          </w:tcPr>
          <w:p>
            <w:pPr>
              <w:pStyle w:val="TableParagraph"/>
              <w:spacing w:before="18"/>
              <w:ind w:right="84"/>
              <w:jc w:val="right"/>
              <w:rPr>
                <w:sz w:val="18"/>
              </w:rPr>
            </w:pPr>
            <w:r>
              <w:rPr>
                <w:w w:val="95"/>
                <w:sz w:val="18"/>
              </w:rPr>
              <w:t>85,639</w:t>
            </w:r>
          </w:p>
        </w:tc>
      </w:tr>
      <w:tr>
        <w:trPr>
          <w:trHeight w:val="396" w:hRule="exact"/>
        </w:trPr>
        <w:tc>
          <w:tcPr>
            <w:tcW w:w="333" w:type="dxa"/>
          </w:tcPr>
          <w:p>
            <w:pPr/>
          </w:p>
        </w:tc>
        <w:tc>
          <w:tcPr>
            <w:tcW w:w="7024" w:type="dxa"/>
          </w:tcPr>
          <w:p>
            <w:pPr/>
          </w:p>
        </w:tc>
        <w:tc>
          <w:tcPr>
            <w:tcW w:w="1410" w:type="dxa"/>
            <w:tcBorders>
              <w:top w:val="single" w:sz="0" w:space="0" w:color="000000"/>
            </w:tcBorders>
          </w:tcPr>
          <w:p>
            <w:pPr>
              <w:pStyle w:val="TableParagraph"/>
              <w:spacing w:before="122"/>
              <w:ind w:right="196"/>
              <w:jc w:val="right"/>
              <w:rPr>
                <w:b/>
                <w:sz w:val="18"/>
              </w:rPr>
            </w:pPr>
            <w:r>
              <w:rPr>
                <w:b/>
                <w:w w:val="95"/>
                <w:sz w:val="18"/>
              </w:rPr>
              <w:t>1,843,927</w:t>
            </w:r>
          </w:p>
        </w:tc>
        <w:tc>
          <w:tcPr>
            <w:tcW w:w="1185" w:type="dxa"/>
            <w:tcBorders>
              <w:top w:val="single" w:sz="0" w:space="0" w:color="000000"/>
            </w:tcBorders>
          </w:tcPr>
          <w:p>
            <w:pPr>
              <w:pStyle w:val="TableParagraph"/>
              <w:spacing w:before="122"/>
              <w:ind w:right="84"/>
              <w:jc w:val="right"/>
              <w:rPr>
                <w:sz w:val="18"/>
              </w:rPr>
            </w:pPr>
            <w:r>
              <w:rPr>
                <w:w w:val="95"/>
                <w:sz w:val="18"/>
              </w:rPr>
              <w:t>2,054,492</w:t>
            </w:r>
          </w:p>
        </w:tc>
      </w:tr>
      <w:tr>
        <w:trPr>
          <w:trHeight w:val="277" w:hRule="exact"/>
        </w:trPr>
        <w:tc>
          <w:tcPr>
            <w:tcW w:w="333" w:type="dxa"/>
          </w:tcPr>
          <w:p>
            <w:pPr/>
          </w:p>
        </w:tc>
        <w:tc>
          <w:tcPr>
            <w:tcW w:w="7024" w:type="dxa"/>
          </w:tcPr>
          <w:p>
            <w:pPr>
              <w:pStyle w:val="TableParagraph"/>
              <w:spacing w:before="46"/>
              <w:ind w:left="97"/>
              <w:rPr>
                <w:b/>
                <w:sz w:val="18"/>
              </w:rPr>
            </w:pPr>
            <w:r>
              <w:rPr>
                <w:b/>
                <w:sz w:val="18"/>
              </w:rPr>
              <w:t>Other expenses</w:t>
            </w:r>
          </w:p>
        </w:tc>
        <w:tc>
          <w:tcPr>
            <w:tcW w:w="1410" w:type="dxa"/>
          </w:tcPr>
          <w:p>
            <w:pPr/>
          </w:p>
        </w:tc>
        <w:tc>
          <w:tcPr>
            <w:tcW w:w="1185" w:type="dxa"/>
          </w:tcPr>
          <w:p>
            <w:pPr/>
          </w:p>
        </w:tc>
      </w:tr>
      <w:tr>
        <w:trPr>
          <w:trHeight w:val="250" w:hRule="exact"/>
        </w:trPr>
        <w:tc>
          <w:tcPr>
            <w:tcW w:w="333" w:type="dxa"/>
          </w:tcPr>
          <w:p>
            <w:pPr/>
          </w:p>
        </w:tc>
        <w:tc>
          <w:tcPr>
            <w:tcW w:w="7024" w:type="dxa"/>
          </w:tcPr>
          <w:p>
            <w:pPr>
              <w:pStyle w:val="TableParagraph"/>
              <w:spacing w:before="6"/>
              <w:ind w:left="97"/>
              <w:rPr>
                <w:sz w:val="18"/>
              </w:rPr>
            </w:pPr>
            <w:r>
              <w:rPr>
                <w:sz w:val="18"/>
              </w:rPr>
              <w:t>Minor equipment</w:t>
            </w:r>
          </w:p>
        </w:tc>
        <w:tc>
          <w:tcPr>
            <w:tcW w:w="1410" w:type="dxa"/>
          </w:tcPr>
          <w:p>
            <w:pPr>
              <w:pStyle w:val="TableParagraph"/>
              <w:spacing w:before="4"/>
              <w:ind w:right="198"/>
              <w:jc w:val="right"/>
              <w:rPr>
                <w:b/>
                <w:sz w:val="18"/>
              </w:rPr>
            </w:pPr>
            <w:r>
              <w:rPr>
                <w:b/>
                <w:w w:val="95"/>
                <w:sz w:val="18"/>
              </w:rPr>
              <w:t>387,958</w:t>
            </w:r>
          </w:p>
        </w:tc>
        <w:tc>
          <w:tcPr>
            <w:tcW w:w="1185" w:type="dxa"/>
          </w:tcPr>
          <w:p>
            <w:pPr>
              <w:pStyle w:val="TableParagraph"/>
              <w:spacing w:before="4"/>
              <w:ind w:right="84"/>
              <w:jc w:val="right"/>
              <w:rPr>
                <w:sz w:val="18"/>
              </w:rPr>
            </w:pPr>
            <w:r>
              <w:rPr>
                <w:w w:val="95"/>
                <w:sz w:val="18"/>
              </w:rPr>
              <w:t>160,798</w:t>
            </w:r>
          </w:p>
        </w:tc>
      </w:tr>
      <w:tr>
        <w:trPr>
          <w:trHeight w:val="264" w:hRule="exact"/>
        </w:trPr>
        <w:tc>
          <w:tcPr>
            <w:tcW w:w="333" w:type="dxa"/>
          </w:tcPr>
          <w:p>
            <w:pPr/>
          </w:p>
        </w:tc>
        <w:tc>
          <w:tcPr>
            <w:tcW w:w="7024" w:type="dxa"/>
          </w:tcPr>
          <w:p>
            <w:pPr>
              <w:pStyle w:val="TableParagraph"/>
              <w:spacing w:before="19"/>
              <w:ind w:left="97"/>
              <w:rPr>
                <w:sz w:val="18"/>
              </w:rPr>
            </w:pPr>
            <w:r>
              <w:rPr>
                <w:sz w:val="18"/>
              </w:rPr>
              <w:t>Staff recruitment</w:t>
            </w:r>
          </w:p>
        </w:tc>
        <w:tc>
          <w:tcPr>
            <w:tcW w:w="1410" w:type="dxa"/>
          </w:tcPr>
          <w:p>
            <w:pPr>
              <w:pStyle w:val="TableParagraph"/>
              <w:spacing w:before="18"/>
              <w:ind w:right="197"/>
              <w:jc w:val="right"/>
              <w:rPr>
                <w:b/>
                <w:sz w:val="18"/>
              </w:rPr>
            </w:pPr>
            <w:r>
              <w:rPr>
                <w:b/>
                <w:w w:val="95"/>
                <w:sz w:val="18"/>
              </w:rPr>
              <w:t>59,235</w:t>
            </w:r>
          </w:p>
        </w:tc>
        <w:tc>
          <w:tcPr>
            <w:tcW w:w="1185" w:type="dxa"/>
          </w:tcPr>
          <w:p>
            <w:pPr>
              <w:pStyle w:val="TableParagraph"/>
              <w:spacing w:before="18"/>
              <w:ind w:right="84"/>
              <w:jc w:val="right"/>
              <w:rPr>
                <w:sz w:val="18"/>
              </w:rPr>
            </w:pPr>
            <w:r>
              <w:rPr>
                <w:w w:val="95"/>
                <w:sz w:val="18"/>
              </w:rPr>
              <w:t>43,243</w:t>
            </w:r>
          </w:p>
        </w:tc>
      </w:tr>
      <w:tr>
        <w:trPr>
          <w:trHeight w:val="264" w:hRule="exact"/>
        </w:trPr>
        <w:tc>
          <w:tcPr>
            <w:tcW w:w="333" w:type="dxa"/>
          </w:tcPr>
          <w:p>
            <w:pPr/>
          </w:p>
        </w:tc>
        <w:tc>
          <w:tcPr>
            <w:tcW w:w="7024" w:type="dxa"/>
          </w:tcPr>
          <w:p>
            <w:pPr>
              <w:pStyle w:val="TableParagraph"/>
              <w:spacing w:before="19"/>
              <w:ind w:left="98"/>
              <w:rPr>
                <w:sz w:val="18"/>
              </w:rPr>
            </w:pPr>
            <w:r>
              <w:rPr>
                <w:sz w:val="18"/>
              </w:rPr>
              <w:t>Training and seminars</w:t>
            </w:r>
          </w:p>
        </w:tc>
        <w:tc>
          <w:tcPr>
            <w:tcW w:w="1410" w:type="dxa"/>
          </w:tcPr>
          <w:p>
            <w:pPr>
              <w:pStyle w:val="TableParagraph"/>
              <w:spacing w:before="18"/>
              <w:ind w:right="197"/>
              <w:jc w:val="right"/>
              <w:rPr>
                <w:b/>
                <w:sz w:val="18"/>
              </w:rPr>
            </w:pPr>
            <w:r>
              <w:rPr>
                <w:b/>
                <w:w w:val="95"/>
                <w:sz w:val="18"/>
              </w:rPr>
              <w:t>50,621</w:t>
            </w:r>
          </w:p>
        </w:tc>
        <w:tc>
          <w:tcPr>
            <w:tcW w:w="1185" w:type="dxa"/>
          </w:tcPr>
          <w:p>
            <w:pPr>
              <w:pStyle w:val="TableParagraph"/>
              <w:spacing w:before="18"/>
              <w:ind w:right="84"/>
              <w:jc w:val="right"/>
              <w:rPr>
                <w:sz w:val="18"/>
              </w:rPr>
            </w:pPr>
            <w:r>
              <w:rPr>
                <w:w w:val="95"/>
                <w:sz w:val="18"/>
              </w:rPr>
              <w:t>53,169</w:t>
            </w:r>
          </w:p>
        </w:tc>
      </w:tr>
      <w:tr>
        <w:trPr>
          <w:trHeight w:val="264" w:hRule="exact"/>
        </w:trPr>
        <w:tc>
          <w:tcPr>
            <w:tcW w:w="333" w:type="dxa"/>
          </w:tcPr>
          <w:p>
            <w:pPr/>
          </w:p>
        </w:tc>
        <w:tc>
          <w:tcPr>
            <w:tcW w:w="7024" w:type="dxa"/>
          </w:tcPr>
          <w:p>
            <w:pPr>
              <w:pStyle w:val="TableParagraph"/>
              <w:spacing w:before="19"/>
              <w:ind w:left="98"/>
              <w:rPr>
                <w:sz w:val="18"/>
              </w:rPr>
            </w:pPr>
            <w:r>
              <w:rPr>
                <w:sz w:val="18"/>
              </w:rPr>
              <w:t>Conference fees</w:t>
            </w:r>
          </w:p>
        </w:tc>
        <w:tc>
          <w:tcPr>
            <w:tcW w:w="1410" w:type="dxa"/>
          </w:tcPr>
          <w:p>
            <w:pPr>
              <w:pStyle w:val="TableParagraph"/>
              <w:spacing w:before="18"/>
              <w:ind w:right="198"/>
              <w:jc w:val="right"/>
              <w:rPr>
                <w:b/>
                <w:sz w:val="18"/>
              </w:rPr>
            </w:pPr>
            <w:r>
              <w:rPr>
                <w:b/>
                <w:w w:val="95"/>
                <w:sz w:val="18"/>
              </w:rPr>
              <w:t>47,517</w:t>
            </w:r>
          </w:p>
        </w:tc>
        <w:tc>
          <w:tcPr>
            <w:tcW w:w="1185" w:type="dxa"/>
          </w:tcPr>
          <w:p>
            <w:pPr>
              <w:pStyle w:val="TableParagraph"/>
              <w:spacing w:before="18"/>
              <w:ind w:right="84"/>
              <w:jc w:val="right"/>
              <w:rPr>
                <w:sz w:val="18"/>
              </w:rPr>
            </w:pPr>
            <w:r>
              <w:rPr>
                <w:w w:val="95"/>
                <w:sz w:val="18"/>
              </w:rPr>
              <w:t>51,226</w:t>
            </w:r>
          </w:p>
        </w:tc>
      </w:tr>
      <w:tr>
        <w:trPr>
          <w:trHeight w:val="263" w:hRule="exact"/>
        </w:trPr>
        <w:tc>
          <w:tcPr>
            <w:tcW w:w="333" w:type="dxa"/>
          </w:tcPr>
          <w:p>
            <w:pPr/>
          </w:p>
        </w:tc>
        <w:tc>
          <w:tcPr>
            <w:tcW w:w="7024" w:type="dxa"/>
          </w:tcPr>
          <w:p>
            <w:pPr>
              <w:pStyle w:val="TableParagraph"/>
              <w:spacing w:before="19"/>
              <w:ind w:left="98"/>
              <w:rPr>
                <w:sz w:val="18"/>
              </w:rPr>
            </w:pPr>
            <w:r>
              <w:rPr>
                <w:sz w:val="18"/>
              </w:rPr>
              <w:t>Other expenses</w:t>
            </w:r>
          </w:p>
        </w:tc>
        <w:tc>
          <w:tcPr>
            <w:tcW w:w="1410" w:type="dxa"/>
            <w:tcBorders>
              <w:bottom w:val="single" w:sz="0" w:space="0" w:color="000000"/>
            </w:tcBorders>
          </w:tcPr>
          <w:p>
            <w:pPr>
              <w:pStyle w:val="TableParagraph"/>
              <w:spacing w:before="18"/>
              <w:ind w:right="196"/>
              <w:jc w:val="right"/>
              <w:rPr>
                <w:b/>
                <w:sz w:val="18"/>
              </w:rPr>
            </w:pPr>
            <w:r>
              <w:rPr>
                <w:b/>
                <w:w w:val="95"/>
                <w:sz w:val="18"/>
              </w:rPr>
              <w:t>664,200</w:t>
            </w:r>
          </w:p>
        </w:tc>
        <w:tc>
          <w:tcPr>
            <w:tcW w:w="1185" w:type="dxa"/>
            <w:tcBorders>
              <w:bottom w:val="single" w:sz="0" w:space="0" w:color="000000"/>
            </w:tcBorders>
          </w:tcPr>
          <w:p>
            <w:pPr>
              <w:pStyle w:val="TableParagraph"/>
              <w:spacing w:before="18"/>
              <w:ind w:right="83"/>
              <w:jc w:val="right"/>
              <w:rPr>
                <w:sz w:val="18"/>
              </w:rPr>
            </w:pPr>
            <w:r>
              <w:rPr>
                <w:w w:val="95"/>
                <w:sz w:val="18"/>
              </w:rPr>
              <w:t>518,487</w:t>
            </w:r>
          </w:p>
        </w:tc>
      </w:tr>
      <w:tr>
        <w:trPr>
          <w:trHeight w:val="338" w:hRule="exact"/>
        </w:trPr>
        <w:tc>
          <w:tcPr>
            <w:tcW w:w="333" w:type="dxa"/>
          </w:tcPr>
          <w:p>
            <w:pPr/>
          </w:p>
        </w:tc>
        <w:tc>
          <w:tcPr>
            <w:tcW w:w="7024" w:type="dxa"/>
          </w:tcPr>
          <w:p>
            <w:pPr/>
          </w:p>
        </w:tc>
        <w:tc>
          <w:tcPr>
            <w:tcW w:w="1410" w:type="dxa"/>
            <w:tcBorders>
              <w:top w:val="single" w:sz="0" w:space="0" w:color="000000"/>
              <w:bottom w:val="single" w:sz="0" w:space="0" w:color="000000"/>
            </w:tcBorders>
          </w:tcPr>
          <w:p>
            <w:pPr>
              <w:pStyle w:val="TableParagraph"/>
              <w:spacing w:before="122"/>
              <w:ind w:right="196"/>
              <w:jc w:val="right"/>
              <w:rPr>
                <w:b/>
                <w:sz w:val="18"/>
              </w:rPr>
            </w:pPr>
            <w:r>
              <w:rPr>
                <w:b/>
                <w:w w:val="95"/>
                <w:sz w:val="18"/>
              </w:rPr>
              <w:t>1,209,531</w:t>
            </w:r>
          </w:p>
        </w:tc>
        <w:tc>
          <w:tcPr>
            <w:tcW w:w="1185" w:type="dxa"/>
            <w:tcBorders>
              <w:top w:val="single" w:sz="0" w:space="0" w:color="000000"/>
              <w:bottom w:val="single" w:sz="0" w:space="0" w:color="000000"/>
            </w:tcBorders>
          </w:tcPr>
          <w:p>
            <w:pPr>
              <w:pStyle w:val="TableParagraph"/>
              <w:spacing w:before="122"/>
              <w:ind w:right="84"/>
              <w:jc w:val="right"/>
              <w:rPr>
                <w:sz w:val="18"/>
              </w:rPr>
            </w:pPr>
            <w:r>
              <w:rPr>
                <w:w w:val="95"/>
                <w:sz w:val="18"/>
              </w:rPr>
              <w:t>826,923</w:t>
            </w:r>
          </w:p>
        </w:tc>
      </w:tr>
    </w:tbl>
    <w:p>
      <w:pPr>
        <w:spacing w:after="0"/>
        <w:jc w:val="right"/>
        <w:rPr>
          <w:sz w:val="18"/>
        </w:rPr>
        <w:sectPr>
          <w:pgSz w:w="11910" w:h="16840"/>
          <w:pgMar w:header="1038" w:footer="505" w:top="1460" w:bottom="700" w:left="860" w:right="860"/>
        </w:sectPr>
      </w:pPr>
    </w:p>
    <w:p>
      <w:pPr>
        <w:pStyle w:val="BodyText"/>
        <w:spacing w:before="2"/>
        <w:rPr>
          <w:b/>
          <w:sz w:val="24"/>
        </w:rPr>
      </w:pPr>
    </w:p>
    <w:p>
      <w:pPr>
        <w:spacing w:before="64"/>
        <w:ind w:left="107" w:right="125" w:firstLine="0"/>
        <w:jc w:val="left"/>
        <w:rPr>
          <w:b/>
          <w:sz w:val="28"/>
        </w:rPr>
      </w:pPr>
      <w:r>
        <w:rPr>
          <w:b/>
          <w:sz w:val="28"/>
        </w:rPr>
        <w:t>Notes to the Financial Statements</w:t>
      </w:r>
    </w:p>
    <w:p>
      <w:pPr>
        <w:spacing w:before="57"/>
        <w:ind w:left="107" w:right="125" w:firstLine="0"/>
        <w:jc w:val="left"/>
        <w:rPr>
          <w:b/>
          <w:sz w:val="22"/>
        </w:rPr>
      </w:pPr>
      <w:r>
        <w:rPr>
          <w:b/>
          <w:sz w:val="22"/>
        </w:rPr>
        <w:t>For the Year Ended 31 December 2012</w:t>
      </w:r>
    </w:p>
    <w:p>
      <w:pPr>
        <w:pStyle w:val="BodyText"/>
        <w:spacing w:before="2"/>
        <w:rPr>
          <w:b/>
          <w:sz w:val="26"/>
        </w:rPr>
      </w:pPr>
    </w:p>
    <w:p>
      <w:pPr>
        <w:spacing w:after="0"/>
        <w:rPr>
          <w:sz w:val="26"/>
        </w:rPr>
        <w:sectPr>
          <w:pgSz w:w="11910" w:h="16840"/>
          <w:pgMar w:header="1038" w:footer="505" w:top="1460" w:bottom="700" w:left="900" w:right="860"/>
        </w:sectPr>
      </w:pPr>
    </w:p>
    <w:p>
      <w:pPr>
        <w:pStyle w:val="Heading9"/>
        <w:numPr>
          <w:ilvl w:val="0"/>
          <w:numId w:val="91"/>
        </w:numPr>
        <w:tabs>
          <w:tab w:pos="506" w:val="left" w:leader="none"/>
        </w:tabs>
        <w:spacing w:line="240" w:lineRule="auto" w:before="77" w:after="0"/>
        <w:ind w:left="505" w:right="0" w:hanging="396"/>
        <w:jc w:val="left"/>
      </w:pPr>
      <w:r>
        <w:rPr/>
        <w:t>Remuneration of Auditors</w:t>
      </w:r>
    </w:p>
    <w:p>
      <w:pPr>
        <w:pStyle w:val="BodyText"/>
        <w:rPr>
          <w:b/>
        </w:rPr>
      </w:pPr>
    </w:p>
    <w:p>
      <w:pPr>
        <w:pStyle w:val="BodyText"/>
        <w:rPr>
          <w:b/>
        </w:rPr>
      </w:pPr>
    </w:p>
    <w:p>
      <w:pPr>
        <w:spacing w:before="160"/>
        <w:ind w:left="548" w:right="-20" w:firstLine="0"/>
        <w:jc w:val="left"/>
        <w:rPr>
          <w:b/>
          <w:sz w:val="18"/>
        </w:rPr>
      </w:pPr>
      <w:r>
        <w:rPr>
          <w:b/>
          <w:sz w:val="18"/>
        </w:rPr>
        <w:t>The Audit Office of New South Wales</w:t>
      </w:r>
    </w:p>
    <w:p>
      <w:pPr>
        <w:pStyle w:val="BodyText"/>
        <w:rPr>
          <w:b/>
        </w:rPr>
      </w:pPr>
      <w:r>
        <w:rPr/>
        <w:br w:type="column"/>
      </w:r>
      <w:r>
        <w:rPr>
          <w:b/>
        </w:rPr>
      </w:r>
    </w:p>
    <w:p>
      <w:pPr>
        <w:spacing w:before="110"/>
        <w:ind w:left="109" w:right="0" w:firstLine="0"/>
        <w:jc w:val="center"/>
        <w:rPr>
          <w:b/>
          <w:sz w:val="18"/>
        </w:rPr>
      </w:pPr>
      <w:r>
        <w:rPr>
          <w:b/>
          <w:sz w:val="18"/>
        </w:rPr>
        <w:t>2012</w:t>
      </w:r>
    </w:p>
    <w:p>
      <w:pPr>
        <w:spacing w:before="66"/>
        <w:ind w:left="108" w:right="0" w:firstLine="0"/>
        <w:jc w:val="center"/>
        <w:rPr>
          <w:b/>
          <w:sz w:val="18"/>
        </w:rPr>
      </w:pPr>
      <w:r>
        <w:rPr>
          <w:b/>
          <w:w w:val="99"/>
          <w:sz w:val="18"/>
        </w:rPr>
        <w:t>$</w:t>
      </w:r>
    </w:p>
    <w:p>
      <w:pPr>
        <w:pStyle w:val="BodyText"/>
        <w:rPr>
          <w:b/>
        </w:rPr>
      </w:pPr>
      <w:r>
        <w:rPr/>
        <w:br w:type="column"/>
      </w:r>
      <w:r>
        <w:rPr>
          <w:b/>
        </w:rPr>
      </w:r>
    </w:p>
    <w:p>
      <w:pPr>
        <w:spacing w:before="110"/>
        <w:ind w:left="92" w:right="540" w:firstLine="0"/>
        <w:jc w:val="center"/>
        <w:rPr>
          <w:b/>
          <w:sz w:val="18"/>
        </w:rPr>
      </w:pPr>
      <w:r>
        <w:rPr>
          <w:b/>
          <w:sz w:val="18"/>
        </w:rPr>
        <w:t>2011</w:t>
      </w:r>
    </w:p>
    <w:p>
      <w:pPr>
        <w:spacing w:before="66"/>
        <w:ind w:left="0" w:right="448" w:firstLine="0"/>
        <w:jc w:val="center"/>
        <w:rPr>
          <w:b/>
          <w:sz w:val="18"/>
        </w:rPr>
      </w:pPr>
      <w:r>
        <w:rPr>
          <w:b/>
          <w:w w:val="99"/>
          <w:sz w:val="18"/>
        </w:rPr>
        <w:t>$</w:t>
      </w:r>
    </w:p>
    <w:p>
      <w:pPr>
        <w:spacing w:after="0"/>
        <w:jc w:val="center"/>
        <w:rPr>
          <w:sz w:val="18"/>
        </w:rPr>
        <w:sectPr>
          <w:type w:val="continuous"/>
          <w:pgSz w:w="11910" w:h="16840"/>
          <w:pgMar w:top="0" w:bottom="280" w:left="900" w:right="860"/>
          <w:cols w:num="3" w:equalWidth="0">
            <w:col w:w="3709" w:space="4084"/>
            <w:col w:w="510" w:space="773"/>
            <w:col w:w="1074"/>
          </w:cols>
        </w:sectPr>
      </w:pPr>
    </w:p>
    <w:p>
      <w:pPr>
        <w:pStyle w:val="BodyText"/>
        <w:tabs>
          <w:tab w:pos="8091" w:val="left" w:leader="none"/>
          <w:tab w:pos="9387" w:val="left" w:leader="none"/>
        </w:tabs>
        <w:spacing w:before="56"/>
        <w:ind w:left="548" w:right="125"/>
      </w:pPr>
      <w:r>
        <w:rPr/>
        <w:pict>
          <v:group style="position:absolute;margin-left:420.130005pt;margin-top:14.492183pt;width:126.2pt;height:1pt;mso-position-horizontal-relative:page;mso-position-vertical-relative:paragraph;z-index:5392;mso-wrap-distance-left:0;mso-wrap-distance-right:0" coordorigin="8403,290" coordsize="2524,20">
            <v:line style="position:absolute" from="8404,291" to="9600,291" stroked="true" strokeweight=".06pt" strokecolor="#000000"/>
            <v:line style="position:absolute" from="8404,292" to="9600,292" stroked="true" strokeweight=".06pt" strokecolor="#000000"/>
            <v:line style="position:absolute" from="8404,293" to="9600,293" stroked="true" strokeweight=".06pt" strokecolor="#000000"/>
            <v:line style="position:absolute" from="8404,294" to="9600,294" stroked="true" strokeweight=".06pt" strokecolor="#000000"/>
            <v:line style="position:absolute" from="8404,296" to="9600,296" stroked="true" strokeweight=".06pt" strokecolor="#000000"/>
            <v:line style="position:absolute" from="8404,297" to="9600,297" stroked="true" strokeweight=".06pt" strokecolor="#000000"/>
            <v:line style="position:absolute" from="8404,298" to="9600,298" stroked="true" strokeweight=".06pt" strokecolor="#000000"/>
            <v:line style="position:absolute" from="8404,299" to="9600,299" stroked="true" strokeweight=".06pt" strokecolor="#000000"/>
            <v:line style="position:absolute" from="8404,300" to="9600,300" stroked="true" strokeweight=".06pt" strokecolor="#000000"/>
            <v:line style="position:absolute" from="8404,302" to="9600,302" stroked="true" strokeweight=".06pt" strokecolor="#000000"/>
            <v:line style="position:absolute" from="8404,303" to="9600,303" stroked="true" strokeweight=".06pt" strokecolor="#000000"/>
            <v:line style="position:absolute" from="8404,304" to="9600,304" stroked="true" strokeweight=".06pt" strokecolor="#000000"/>
            <v:line style="position:absolute" from="8404,305" to="9600,305" stroked="true" strokeweight=".06pt" strokecolor="#000000"/>
            <v:line style="position:absolute" from="8404,306" to="9600,306" stroked="true" strokeweight=".06pt" strokecolor="#000000"/>
            <v:line style="position:absolute" from="8404,308" to="9600,308" stroked="true" strokeweight=".06pt" strokecolor="#000000"/>
            <v:line style="position:absolute" from="8404,309" to="9600,309" stroked="true" strokeweight=".06pt" strokecolor="#000000"/>
            <v:line style="position:absolute" from="9628,291" to="10925,291" stroked="true" strokeweight=".06pt" strokecolor="#000000"/>
            <v:line style="position:absolute" from="9628,292" to="10925,292" stroked="true" strokeweight=".06pt" strokecolor="#000000"/>
            <v:line style="position:absolute" from="9628,293" to="10925,293" stroked="true" strokeweight=".06pt" strokecolor="#000000"/>
            <v:line style="position:absolute" from="9628,294" to="10925,294" stroked="true" strokeweight=".06pt" strokecolor="#000000"/>
            <v:line style="position:absolute" from="9628,296" to="10925,296" stroked="true" strokeweight=".06pt" strokecolor="#000000"/>
            <v:line style="position:absolute" from="9628,297" to="10925,297" stroked="true" strokeweight=".06pt" strokecolor="#000000"/>
            <v:line style="position:absolute" from="9628,298" to="10925,298" stroked="true" strokeweight=".06pt" strokecolor="#000000"/>
            <v:line style="position:absolute" from="9628,299" to="10925,299" stroked="true" strokeweight=".06pt" strokecolor="#000000"/>
            <v:line style="position:absolute" from="9628,300" to="10925,300" stroked="true" strokeweight=".06pt" strokecolor="#000000"/>
            <v:line style="position:absolute" from="9628,302" to="10925,302" stroked="true" strokeweight=".06pt" strokecolor="#000000"/>
            <v:line style="position:absolute" from="9628,303" to="10925,303" stroked="true" strokeweight=".06pt" strokecolor="#000000"/>
            <v:line style="position:absolute" from="9628,304" to="10925,304" stroked="true" strokeweight=".06pt" strokecolor="#000000"/>
            <v:line style="position:absolute" from="9628,305" to="10925,305" stroked="true" strokeweight=".06pt" strokecolor="#000000"/>
            <v:line style="position:absolute" from="9628,306" to="10925,306" stroked="true" strokeweight=".06pt" strokecolor="#000000"/>
            <v:line style="position:absolute" from="9628,308" to="10925,308" stroked="true" strokeweight=".06pt" strokecolor="#000000"/>
            <v:line style="position:absolute" from="9628,309" to="10925,309" stroked="true" strokeweight=".06pt" strokecolor="#000000"/>
            <w10:wrap type="topAndBottom"/>
          </v:group>
        </w:pict>
      </w:r>
      <w:r>
        <w:rPr/>
        <w:t>- Audit of</w:t>
      </w:r>
      <w:r>
        <w:rPr>
          <w:spacing w:val="-1"/>
        </w:rPr>
        <w:t> </w:t>
      </w:r>
      <w:r>
        <w:rPr/>
        <w:t>financial</w:t>
      </w:r>
      <w:r>
        <w:rPr>
          <w:spacing w:val="-1"/>
        </w:rPr>
        <w:t> </w:t>
      </w:r>
      <w:r>
        <w:rPr/>
        <w:t>statements</w:t>
        <w:tab/>
      </w:r>
      <w:r>
        <w:rPr>
          <w:b/>
        </w:rPr>
        <w:t>31,900</w:t>
        <w:tab/>
      </w:r>
      <w:r>
        <w:rPr/>
        <w:t>28,820</w:t>
      </w:r>
    </w:p>
    <w:p>
      <w:pPr>
        <w:pStyle w:val="Heading9"/>
        <w:tabs>
          <w:tab w:pos="8091" w:val="left" w:leader="none"/>
          <w:tab w:pos="9387" w:val="left" w:leader="none"/>
        </w:tabs>
        <w:spacing w:before="84"/>
        <w:ind w:left="548" w:right="125"/>
        <w:rPr>
          <w:b w:val="0"/>
        </w:rPr>
      </w:pPr>
      <w:r>
        <w:rPr/>
        <w:t>- Total remuneration for audit and other assurance services (inclusive</w:t>
      </w:r>
      <w:r>
        <w:rPr>
          <w:spacing w:val="-1"/>
        </w:rPr>
        <w:t> </w:t>
      </w:r>
      <w:r>
        <w:rPr/>
        <w:t>of</w:t>
      </w:r>
      <w:r>
        <w:rPr>
          <w:spacing w:val="-1"/>
        </w:rPr>
        <w:t> </w:t>
      </w:r>
      <w:r>
        <w:rPr/>
        <w:t>GST)</w:t>
        <w:tab/>
        <w:t>31,900</w:t>
        <w:tab/>
      </w:r>
      <w:r>
        <w:rPr>
          <w:b w:val="0"/>
        </w:rPr>
        <w:t>28,820</w:t>
      </w:r>
    </w:p>
    <w:p>
      <w:pPr>
        <w:pStyle w:val="BodyText"/>
        <w:rPr>
          <w:sz w:val="25"/>
        </w:rPr>
      </w:pPr>
    </w:p>
    <w:p>
      <w:pPr>
        <w:pStyle w:val="ListParagraph"/>
        <w:numPr>
          <w:ilvl w:val="0"/>
          <w:numId w:val="91"/>
        </w:numPr>
        <w:tabs>
          <w:tab w:pos="506" w:val="left" w:leader="none"/>
        </w:tabs>
        <w:spacing w:line="573" w:lineRule="auto" w:before="0" w:after="0"/>
        <w:ind w:left="505" w:right="7806" w:hanging="396"/>
        <w:jc w:val="left"/>
        <w:rPr>
          <w:b/>
          <w:sz w:val="18"/>
        </w:rPr>
      </w:pPr>
      <w:r>
        <w:rPr>
          <w:b/>
          <w:sz w:val="18"/>
        </w:rPr>
        <w:t>Contingencies Contingent Liabilities</w:t>
      </w:r>
    </w:p>
    <w:p>
      <w:pPr>
        <w:pStyle w:val="BodyText"/>
        <w:spacing w:before="8"/>
        <w:ind w:left="505" w:right="125"/>
      </w:pPr>
      <w:r>
        <w:rPr/>
        <w:t>The Company had the following contingent liabilities at the end of the reporting period:</w:t>
      </w:r>
    </w:p>
    <w:p>
      <w:pPr>
        <w:pStyle w:val="BodyText"/>
        <w:rPr>
          <w:sz w:val="25"/>
        </w:rPr>
      </w:pPr>
    </w:p>
    <w:p>
      <w:pPr>
        <w:spacing w:before="0"/>
        <w:ind w:left="505" w:right="125" w:firstLine="0"/>
        <w:jc w:val="left"/>
        <w:rPr>
          <w:i/>
          <w:sz w:val="18"/>
        </w:rPr>
      </w:pPr>
      <w:r>
        <w:rPr>
          <w:i/>
          <w:sz w:val="18"/>
        </w:rPr>
        <w:t>Claims</w:t>
      </w:r>
    </w:p>
    <w:p>
      <w:pPr>
        <w:pStyle w:val="BodyText"/>
        <w:rPr>
          <w:i/>
          <w:sz w:val="25"/>
        </w:rPr>
      </w:pPr>
    </w:p>
    <w:p>
      <w:pPr>
        <w:pStyle w:val="BodyText"/>
        <w:ind w:left="505" w:right="125"/>
      </w:pPr>
      <w:r>
        <w:rPr/>
        <w:t>The Directors of the Company are not aware of the existence of any legal claims as at 31 December 2012.</w:t>
      </w:r>
    </w:p>
    <w:p>
      <w:pPr>
        <w:pStyle w:val="BodyText"/>
        <w:rPr>
          <w:sz w:val="25"/>
        </w:rPr>
      </w:pPr>
    </w:p>
    <w:p>
      <w:pPr>
        <w:spacing w:before="0"/>
        <w:ind w:left="505" w:right="125" w:firstLine="0"/>
        <w:jc w:val="left"/>
        <w:rPr>
          <w:i/>
          <w:sz w:val="18"/>
        </w:rPr>
      </w:pPr>
      <w:r>
        <w:rPr>
          <w:i/>
          <w:sz w:val="18"/>
        </w:rPr>
        <w:t>Guarantees</w:t>
      </w:r>
    </w:p>
    <w:p>
      <w:pPr>
        <w:pStyle w:val="BodyText"/>
        <w:rPr>
          <w:i/>
          <w:sz w:val="25"/>
        </w:rPr>
      </w:pPr>
    </w:p>
    <w:p>
      <w:pPr>
        <w:pStyle w:val="BodyText"/>
        <w:ind w:left="505" w:right="309"/>
      </w:pPr>
      <w:r>
        <w:rPr/>
        <w:t>The Directors of the Company are not aware of any guarantees that are in place as at 31 December 2012 (2011 : Leasing Facility $100,000 and Bank Guarantee Facility $14,000). The Directors of the Company are not aware of any further instances.</w:t>
      </w:r>
    </w:p>
    <w:p>
      <w:pPr>
        <w:pStyle w:val="BodyText"/>
        <w:rPr>
          <w:sz w:val="25"/>
        </w:rPr>
      </w:pPr>
    </w:p>
    <w:p>
      <w:pPr>
        <w:spacing w:before="0"/>
        <w:ind w:left="505" w:right="125" w:firstLine="0"/>
        <w:jc w:val="left"/>
        <w:rPr>
          <w:i/>
          <w:sz w:val="18"/>
        </w:rPr>
      </w:pPr>
      <w:r>
        <w:rPr>
          <w:i/>
          <w:sz w:val="18"/>
        </w:rPr>
        <w:t>Invoices not yet received</w:t>
      </w:r>
    </w:p>
    <w:p>
      <w:pPr>
        <w:pStyle w:val="BodyText"/>
        <w:rPr>
          <w:i/>
          <w:sz w:val="25"/>
        </w:rPr>
      </w:pPr>
    </w:p>
    <w:p>
      <w:pPr>
        <w:pStyle w:val="BodyText"/>
        <w:ind w:left="505" w:right="142"/>
        <w:jc w:val="both"/>
      </w:pPr>
      <w:r>
        <w:rPr/>
        <w:t>All commission invoices from the international agents relating to students enrolled in 2012 may not have been received. An amount has been accrued into the financial statements based upon the methodology adopted by the ultimate parent entity. These will be paid in 2013 upon receipt.</w:t>
      </w:r>
    </w:p>
    <w:p>
      <w:pPr>
        <w:pStyle w:val="BodyText"/>
        <w:rPr>
          <w:sz w:val="25"/>
        </w:rPr>
      </w:pPr>
    </w:p>
    <w:p>
      <w:pPr>
        <w:pStyle w:val="Heading9"/>
        <w:numPr>
          <w:ilvl w:val="0"/>
          <w:numId w:val="91"/>
        </w:numPr>
        <w:tabs>
          <w:tab w:pos="506" w:val="left" w:leader="none"/>
        </w:tabs>
        <w:spacing w:line="240" w:lineRule="auto" w:before="0" w:after="0"/>
        <w:ind w:left="505" w:right="0" w:hanging="396"/>
        <w:jc w:val="left"/>
      </w:pPr>
      <w:r>
        <w:rPr/>
        <w:t>Remuneration of the Board</w:t>
      </w:r>
    </w:p>
    <w:p>
      <w:pPr>
        <w:pStyle w:val="BodyText"/>
        <w:rPr>
          <w:b/>
          <w:sz w:val="25"/>
        </w:rPr>
      </w:pPr>
    </w:p>
    <w:p>
      <w:pPr>
        <w:pStyle w:val="BodyText"/>
        <w:ind w:left="505" w:right="75"/>
      </w:pPr>
      <w:r>
        <w:rPr/>
        <w:t>The totals of remuneration paid to external independent Board members of the Company during the year are as follows:</w:t>
      </w:r>
    </w:p>
    <w:p>
      <w:pPr>
        <w:spacing w:after="0"/>
        <w:sectPr>
          <w:type w:val="continuous"/>
          <w:pgSz w:w="11910" w:h="16840"/>
          <w:pgMar w:top="0" w:bottom="280" w:left="900" w:right="860"/>
        </w:sectPr>
      </w:pPr>
    </w:p>
    <w:p>
      <w:pPr>
        <w:pStyle w:val="Heading9"/>
        <w:spacing w:before="32"/>
        <w:ind w:left="0"/>
        <w:jc w:val="right"/>
      </w:pPr>
      <w:r>
        <w:rPr/>
        <w:t>2012</w:t>
      </w:r>
    </w:p>
    <w:p>
      <w:pPr>
        <w:spacing w:before="66"/>
        <w:ind w:left="0" w:right="148" w:firstLine="0"/>
        <w:jc w:val="right"/>
        <w:rPr>
          <w:b/>
          <w:sz w:val="18"/>
        </w:rPr>
      </w:pPr>
      <w:r>
        <w:rPr>
          <w:b/>
          <w:w w:val="99"/>
          <w:sz w:val="18"/>
        </w:rPr>
        <w:t>$</w:t>
      </w:r>
    </w:p>
    <w:p>
      <w:pPr>
        <w:spacing w:before="32"/>
        <w:ind w:left="839" w:right="526" w:firstLine="0"/>
        <w:jc w:val="center"/>
        <w:rPr>
          <w:b/>
          <w:sz w:val="18"/>
        </w:rPr>
      </w:pPr>
      <w:r>
        <w:rPr/>
        <w:br w:type="column"/>
      </w:r>
      <w:r>
        <w:rPr>
          <w:b/>
          <w:sz w:val="18"/>
        </w:rPr>
        <w:t>2011</w:t>
      </w:r>
    </w:p>
    <w:p>
      <w:pPr>
        <w:spacing w:before="66"/>
        <w:ind w:left="312" w:right="0" w:firstLine="0"/>
        <w:jc w:val="center"/>
        <w:rPr>
          <w:b/>
          <w:sz w:val="18"/>
        </w:rPr>
      </w:pPr>
      <w:r>
        <w:rPr>
          <w:b/>
          <w:w w:val="99"/>
          <w:sz w:val="18"/>
        </w:rPr>
        <w:t>$</w:t>
      </w:r>
    </w:p>
    <w:p>
      <w:pPr>
        <w:spacing w:after="0"/>
        <w:jc w:val="center"/>
        <w:rPr>
          <w:sz w:val="18"/>
        </w:rPr>
        <w:sectPr>
          <w:type w:val="continuous"/>
          <w:pgSz w:w="11910" w:h="16840"/>
          <w:pgMar w:top="0" w:bottom="280" w:left="900" w:right="860"/>
          <w:cols w:num="2" w:equalWidth="0">
            <w:col w:w="8304" w:space="40"/>
            <w:col w:w="1806"/>
          </w:cols>
        </w:sectPr>
      </w:pPr>
    </w:p>
    <w:p>
      <w:pPr>
        <w:tabs>
          <w:tab w:pos="8092" w:val="left" w:leader="none"/>
          <w:tab w:pos="9389" w:val="left" w:leader="none"/>
        </w:tabs>
        <w:spacing w:before="63"/>
        <w:ind w:left="505" w:right="125" w:firstLine="0"/>
        <w:jc w:val="left"/>
        <w:rPr>
          <w:b/>
          <w:sz w:val="18"/>
        </w:rPr>
      </w:pPr>
      <w:r>
        <w:rPr>
          <w:sz w:val="18"/>
        </w:rPr>
        <w:t>Independent</w:t>
      </w:r>
      <w:r>
        <w:rPr>
          <w:spacing w:val="-1"/>
          <w:sz w:val="18"/>
        </w:rPr>
        <w:t> </w:t>
      </w:r>
      <w:r>
        <w:rPr>
          <w:sz w:val="18"/>
        </w:rPr>
        <w:t>Directors</w:t>
      </w:r>
      <w:r>
        <w:rPr>
          <w:spacing w:val="-1"/>
          <w:sz w:val="18"/>
        </w:rPr>
        <w:t> </w:t>
      </w:r>
      <w:r>
        <w:rPr>
          <w:sz w:val="18"/>
        </w:rPr>
        <w:t>fees</w:t>
        <w:tab/>
      </w:r>
      <w:r>
        <w:rPr>
          <w:b/>
          <w:sz w:val="18"/>
        </w:rPr>
        <w:t>25,833</w:t>
        <w:tab/>
        <w:t>20,000</w:t>
      </w:r>
    </w:p>
    <w:p>
      <w:pPr>
        <w:pStyle w:val="BodyText"/>
        <w:rPr>
          <w:b/>
        </w:rPr>
      </w:pPr>
    </w:p>
    <w:p>
      <w:pPr>
        <w:pStyle w:val="Heading9"/>
        <w:spacing w:before="108"/>
        <w:ind w:left="504" w:right="125"/>
      </w:pPr>
      <w:r>
        <w:rPr/>
        <w:t>Other key management personnel transactions</w:t>
      </w:r>
    </w:p>
    <w:p>
      <w:pPr>
        <w:pStyle w:val="BodyText"/>
        <w:rPr>
          <w:b/>
          <w:sz w:val="25"/>
        </w:rPr>
      </w:pPr>
    </w:p>
    <w:p>
      <w:pPr>
        <w:pStyle w:val="BodyText"/>
        <w:ind w:left="505" w:right="125"/>
      </w:pPr>
      <w:r>
        <w:rPr/>
        <w:t>For details of other transactions with key management personnel, refer to Note 17: Related Party Transactions.</w:t>
      </w:r>
    </w:p>
    <w:p>
      <w:pPr>
        <w:spacing w:after="0"/>
        <w:sectPr>
          <w:type w:val="continuous"/>
          <w:pgSz w:w="11910" w:h="16840"/>
          <w:pgMar w:top="0" w:bottom="280" w:left="900" w:right="860"/>
        </w:sectPr>
      </w:pPr>
    </w:p>
    <w:p>
      <w:pPr>
        <w:pStyle w:val="BodyText"/>
        <w:spacing w:before="2"/>
        <w:rPr>
          <w:sz w:val="24"/>
        </w:rPr>
      </w:pPr>
    </w:p>
    <w:p>
      <w:pPr>
        <w:pStyle w:val="Heading3"/>
        <w:spacing w:before="64"/>
      </w:pPr>
      <w:r>
        <w:rPr/>
        <w:t>Notes to the Financial Statements</w:t>
      </w:r>
    </w:p>
    <w:p>
      <w:pPr>
        <w:pStyle w:val="Heading6"/>
      </w:pPr>
      <w:r>
        <w:rPr/>
        <w:t>For the Year Ended 31 December 2012</w:t>
      </w:r>
    </w:p>
    <w:p>
      <w:pPr>
        <w:pStyle w:val="BodyText"/>
        <w:spacing w:before="10"/>
        <w:rPr>
          <w:b/>
          <w:sz w:val="32"/>
        </w:rPr>
      </w:pPr>
    </w:p>
    <w:p>
      <w:pPr>
        <w:pStyle w:val="Heading9"/>
        <w:numPr>
          <w:ilvl w:val="0"/>
          <w:numId w:val="91"/>
        </w:numPr>
        <w:tabs>
          <w:tab w:pos="506" w:val="left" w:leader="none"/>
        </w:tabs>
        <w:spacing w:line="240" w:lineRule="auto" w:before="0" w:after="0"/>
        <w:ind w:left="505" w:right="0" w:hanging="396"/>
        <w:jc w:val="left"/>
      </w:pPr>
      <w:r>
        <w:rPr/>
        <w:t>Related</w:t>
      </w:r>
      <w:r>
        <w:rPr>
          <w:spacing w:val="-1"/>
        </w:rPr>
        <w:t> </w:t>
      </w:r>
      <w:r>
        <w:rPr/>
        <w:t>Parties</w:t>
      </w:r>
    </w:p>
    <w:p>
      <w:pPr>
        <w:pStyle w:val="BodyText"/>
        <w:spacing w:before="11"/>
        <w:rPr>
          <w:b/>
          <w:sz w:val="24"/>
        </w:rPr>
      </w:pPr>
    </w:p>
    <w:p>
      <w:pPr>
        <w:pStyle w:val="ListParagraph"/>
        <w:numPr>
          <w:ilvl w:val="1"/>
          <w:numId w:val="91"/>
        </w:numPr>
        <w:tabs>
          <w:tab w:pos="1072" w:val="left" w:leader="none"/>
        </w:tabs>
        <w:spacing w:line="240" w:lineRule="auto" w:before="0" w:after="0"/>
        <w:ind w:left="1071" w:right="0" w:hanging="566"/>
        <w:jc w:val="left"/>
        <w:rPr>
          <w:b/>
          <w:sz w:val="18"/>
        </w:rPr>
      </w:pPr>
      <w:r>
        <w:rPr>
          <w:b/>
          <w:sz w:val="18"/>
        </w:rPr>
        <w:t>The Company's main related parties are as</w:t>
      </w:r>
      <w:r>
        <w:rPr>
          <w:b/>
          <w:spacing w:val="-2"/>
          <w:sz w:val="18"/>
        </w:rPr>
        <w:t> </w:t>
      </w:r>
      <w:r>
        <w:rPr>
          <w:b/>
          <w:sz w:val="18"/>
        </w:rPr>
        <w:t>follows:</w:t>
      </w:r>
    </w:p>
    <w:p>
      <w:pPr>
        <w:pStyle w:val="BodyText"/>
        <w:spacing w:before="11"/>
        <w:rPr>
          <w:b/>
          <w:sz w:val="24"/>
        </w:rPr>
      </w:pPr>
    </w:p>
    <w:p>
      <w:pPr>
        <w:pStyle w:val="ListParagraph"/>
        <w:numPr>
          <w:ilvl w:val="2"/>
          <w:numId w:val="91"/>
        </w:numPr>
        <w:tabs>
          <w:tab w:pos="1287" w:val="left" w:leader="none"/>
        </w:tabs>
        <w:spacing w:line="240" w:lineRule="auto" w:before="0" w:after="0"/>
        <w:ind w:left="1286" w:right="0" w:hanging="210"/>
        <w:jc w:val="left"/>
        <w:rPr>
          <w:i/>
          <w:sz w:val="18"/>
        </w:rPr>
      </w:pPr>
      <w:r>
        <w:rPr>
          <w:i/>
          <w:sz w:val="18"/>
        </w:rPr>
        <w:t>Entities exercising control over the</w:t>
      </w:r>
      <w:r>
        <w:rPr>
          <w:i/>
          <w:spacing w:val="-10"/>
          <w:sz w:val="18"/>
        </w:rPr>
        <w:t> </w:t>
      </w:r>
      <w:r>
        <w:rPr>
          <w:i/>
          <w:sz w:val="18"/>
        </w:rPr>
        <w:t>Company:</w:t>
      </w:r>
    </w:p>
    <w:p>
      <w:pPr>
        <w:pStyle w:val="BodyText"/>
        <w:rPr>
          <w:i/>
          <w:sz w:val="25"/>
        </w:rPr>
      </w:pPr>
    </w:p>
    <w:p>
      <w:pPr>
        <w:pStyle w:val="BodyText"/>
        <w:ind w:left="1072" w:right="125"/>
      </w:pPr>
      <w:r>
        <w:rPr/>
        <w:t>The ultimate parent entity, which exercises control over the Company, is University of Western Sydney which owns 100% of the Company.</w:t>
      </w:r>
    </w:p>
    <w:p>
      <w:pPr>
        <w:pStyle w:val="BodyText"/>
        <w:spacing w:before="11"/>
        <w:rPr>
          <w:sz w:val="24"/>
        </w:rPr>
      </w:pPr>
    </w:p>
    <w:p>
      <w:pPr>
        <w:pStyle w:val="Heading9"/>
        <w:numPr>
          <w:ilvl w:val="1"/>
          <w:numId w:val="91"/>
        </w:numPr>
        <w:tabs>
          <w:tab w:pos="1072" w:val="left" w:leader="none"/>
        </w:tabs>
        <w:spacing w:line="240" w:lineRule="auto" w:before="0" w:after="0"/>
        <w:ind w:left="1071" w:right="0" w:hanging="566"/>
        <w:jc w:val="left"/>
      </w:pPr>
      <w:r>
        <w:rPr/>
        <w:t>Transactions with related parties</w:t>
      </w:r>
    </w:p>
    <w:p>
      <w:pPr>
        <w:pStyle w:val="BodyText"/>
        <w:rPr>
          <w:b/>
          <w:sz w:val="25"/>
        </w:rPr>
      </w:pPr>
    </w:p>
    <w:p>
      <w:pPr>
        <w:pStyle w:val="BodyText"/>
        <w:ind w:left="1072" w:right="263"/>
      </w:pPr>
      <w:r>
        <w:rPr/>
        <w:t>Transactions between related parties are on normal commercial terms and conditions no more favourable than those available to other parties unless otherwise stated.</w:t>
      </w:r>
    </w:p>
    <w:p>
      <w:pPr>
        <w:pStyle w:val="BodyText"/>
        <w:rPr>
          <w:sz w:val="25"/>
        </w:rPr>
      </w:pPr>
    </w:p>
    <w:p>
      <w:pPr>
        <w:pStyle w:val="BodyText"/>
        <w:ind w:left="1072" w:right="125"/>
      </w:pPr>
      <w:r>
        <w:rPr/>
        <w:t>The following transactions occurred with related parties:</w:t>
      </w:r>
    </w:p>
    <w:p>
      <w:pPr>
        <w:pStyle w:val="BodyText"/>
        <w:spacing w:before="11"/>
        <w:rPr>
          <w:sz w:val="24"/>
        </w:rPr>
      </w:pPr>
    </w:p>
    <w:p>
      <w:pPr>
        <w:pStyle w:val="Heading9"/>
        <w:numPr>
          <w:ilvl w:val="1"/>
          <w:numId w:val="91"/>
        </w:numPr>
        <w:tabs>
          <w:tab w:pos="1072" w:val="left" w:leader="none"/>
        </w:tabs>
        <w:spacing w:line="240" w:lineRule="auto" w:before="0" w:after="36"/>
        <w:ind w:left="1071" w:right="0" w:hanging="566"/>
        <w:jc w:val="left"/>
      </w:pPr>
      <w:r>
        <w:rPr/>
        <w:t>Balances from related</w:t>
      </w:r>
      <w:r>
        <w:rPr>
          <w:spacing w:val="-1"/>
        </w:rPr>
        <w:t> </w:t>
      </w:r>
      <w:r>
        <w:rPr/>
        <w:t>parties</w:t>
      </w: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
        <w:gridCol w:w="6533"/>
        <w:gridCol w:w="1460"/>
        <w:gridCol w:w="1134"/>
      </w:tblGrid>
      <w:tr>
        <w:trPr>
          <w:trHeight w:val="560" w:hRule="exact"/>
        </w:trPr>
        <w:tc>
          <w:tcPr>
            <w:tcW w:w="428" w:type="dxa"/>
            <w:vMerge w:val="restart"/>
          </w:tcPr>
          <w:p>
            <w:pPr/>
          </w:p>
        </w:tc>
        <w:tc>
          <w:tcPr>
            <w:tcW w:w="6533" w:type="dxa"/>
          </w:tcPr>
          <w:p>
            <w:pPr/>
          </w:p>
        </w:tc>
        <w:tc>
          <w:tcPr>
            <w:tcW w:w="1460" w:type="dxa"/>
          </w:tcPr>
          <w:p>
            <w:pPr>
              <w:pStyle w:val="TableParagraph"/>
              <w:spacing w:line="204" w:lineRule="exact"/>
              <w:ind w:left="452" w:right="566"/>
              <w:jc w:val="center"/>
              <w:rPr>
                <w:b/>
                <w:sz w:val="18"/>
              </w:rPr>
            </w:pPr>
            <w:r>
              <w:rPr>
                <w:b/>
                <w:sz w:val="18"/>
              </w:rPr>
              <w:t>2012</w:t>
            </w:r>
          </w:p>
          <w:p>
            <w:pPr>
              <w:pStyle w:val="TableParagraph"/>
              <w:spacing w:before="66"/>
              <w:ind w:right="114"/>
              <w:jc w:val="center"/>
              <w:rPr>
                <w:b/>
                <w:sz w:val="18"/>
              </w:rPr>
            </w:pPr>
            <w:r>
              <w:rPr>
                <w:b/>
                <w:w w:val="99"/>
                <w:sz w:val="18"/>
              </w:rPr>
              <w:t>$</w:t>
            </w:r>
          </w:p>
        </w:tc>
        <w:tc>
          <w:tcPr>
            <w:tcW w:w="1134" w:type="dxa"/>
          </w:tcPr>
          <w:p>
            <w:pPr>
              <w:pStyle w:val="TableParagraph"/>
              <w:spacing w:line="204" w:lineRule="exact"/>
              <w:ind w:left="275" w:right="418"/>
              <w:jc w:val="center"/>
              <w:rPr>
                <w:b/>
                <w:sz w:val="18"/>
              </w:rPr>
            </w:pPr>
            <w:r>
              <w:rPr>
                <w:b/>
                <w:sz w:val="18"/>
              </w:rPr>
              <w:t>2011</w:t>
            </w:r>
          </w:p>
          <w:p>
            <w:pPr>
              <w:pStyle w:val="TableParagraph"/>
              <w:spacing w:before="66"/>
              <w:ind w:right="143"/>
              <w:jc w:val="center"/>
              <w:rPr>
                <w:b/>
                <w:sz w:val="18"/>
              </w:rPr>
            </w:pPr>
            <w:r>
              <w:rPr>
                <w:b/>
                <w:w w:val="99"/>
                <w:sz w:val="18"/>
              </w:rPr>
              <w:t>$</w:t>
            </w:r>
          </w:p>
        </w:tc>
      </w:tr>
      <w:tr>
        <w:trPr>
          <w:trHeight w:val="543" w:hRule="exact"/>
        </w:trPr>
        <w:tc>
          <w:tcPr>
            <w:tcW w:w="428" w:type="dxa"/>
            <w:vMerge/>
          </w:tcPr>
          <w:p>
            <w:pPr/>
          </w:p>
        </w:tc>
        <w:tc>
          <w:tcPr>
            <w:tcW w:w="6533" w:type="dxa"/>
          </w:tcPr>
          <w:p>
            <w:pPr>
              <w:pStyle w:val="TableParagraph"/>
              <w:spacing w:before="63"/>
              <w:ind w:left="217"/>
              <w:rPr>
                <w:b/>
                <w:sz w:val="18"/>
              </w:rPr>
            </w:pPr>
            <w:r>
              <w:rPr>
                <w:b/>
                <w:sz w:val="18"/>
              </w:rPr>
              <w:t>Purchase of goods and services</w:t>
            </w:r>
          </w:p>
          <w:p>
            <w:pPr>
              <w:pStyle w:val="TableParagraph"/>
              <w:spacing w:before="27"/>
              <w:ind w:left="217"/>
              <w:rPr>
                <w:sz w:val="18"/>
              </w:rPr>
            </w:pPr>
            <w:r>
              <w:rPr>
                <w:sz w:val="18"/>
              </w:rPr>
              <w:t>Purchase of building lease from ultimate parent entity</w:t>
            </w:r>
          </w:p>
        </w:tc>
        <w:tc>
          <w:tcPr>
            <w:tcW w:w="1460" w:type="dxa"/>
          </w:tcPr>
          <w:p>
            <w:pPr>
              <w:pStyle w:val="TableParagraph"/>
              <w:spacing w:before="11"/>
              <w:rPr>
                <w:b/>
                <w:sz w:val="25"/>
              </w:rPr>
            </w:pPr>
          </w:p>
          <w:p>
            <w:pPr>
              <w:pStyle w:val="TableParagraph"/>
              <w:ind w:right="245"/>
              <w:jc w:val="right"/>
              <w:rPr>
                <w:b/>
                <w:sz w:val="18"/>
              </w:rPr>
            </w:pPr>
            <w:r>
              <w:rPr>
                <w:b/>
                <w:w w:val="95"/>
                <w:sz w:val="18"/>
              </w:rPr>
              <w:t>2,377,822</w:t>
            </w:r>
          </w:p>
        </w:tc>
        <w:tc>
          <w:tcPr>
            <w:tcW w:w="1134" w:type="dxa"/>
          </w:tcPr>
          <w:p>
            <w:pPr>
              <w:pStyle w:val="TableParagraph"/>
              <w:spacing w:before="11"/>
              <w:rPr>
                <w:b/>
                <w:sz w:val="25"/>
              </w:rPr>
            </w:pPr>
          </w:p>
          <w:p>
            <w:pPr>
              <w:pStyle w:val="TableParagraph"/>
              <w:ind w:right="84"/>
              <w:jc w:val="right"/>
              <w:rPr>
                <w:sz w:val="18"/>
              </w:rPr>
            </w:pPr>
            <w:r>
              <w:rPr>
                <w:w w:val="95"/>
                <w:sz w:val="18"/>
              </w:rPr>
              <w:t>2,239,078</w:t>
            </w:r>
          </w:p>
        </w:tc>
      </w:tr>
      <w:tr>
        <w:trPr>
          <w:trHeight w:val="264" w:hRule="exact"/>
        </w:trPr>
        <w:tc>
          <w:tcPr>
            <w:tcW w:w="428" w:type="dxa"/>
            <w:vMerge/>
          </w:tcPr>
          <w:p>
            <w:pPr/>
          </w:p>
        </w:tc>
        <w:tc>
          <w:tcPr>
            <w:tcW w:w="6533" w:type="dxa"/>
          </w:tcPr>
          <w:p>
            <w:pPr>
              <w:pStyle w:val="TableParagraph"/>
              <w:spacing w:before="18"/>
              <w:ind w:left="217"/>
              <w:rPr>
                <w:sz w:val="18"/>
              </w:rPr>
            </w:pPr>
            <w:r>
              <w:rPr>
                <w:sz w:val="18"/>
              </w:rPr>
              <w:t>Purchase of capital works from ultimate parent entity</w:t>
            </w:r>
          </w:p>
        </w:tc>
        <w:tc>
          <w:tcPr>
            <w:tcW w:w="1460" w:type="dxa"/>
          </w:tcPr>
          <w:p>
            <w:pPr>
              <w:pStyle w:val="TableParagraph"/>
              <w:spacing w:before="19"/>
              <w:ind w:right="245"/>
              <w:jc w:val="right"/>
              <w:rPr>
                <w:b/>
                <w:sz w:val="18"/>
              </w:rPr>
            </w:pPr>
            <w:r>
              <w:rPr>
                <w:b/>
                <w:w w:val="95"/>
                <w:sz w:val="18"/>
              </w:rPr>
              <w:t>675,683</w:t>
            </w:r>
          </w:p>
        </w:tc>
        <w:tc>
          <w:tcPr>
            <w:tcW w:w="1134" w:type="dxa"/>
          </w:tcPr>
          <w:p>
            <w:pPr>
              <w:pStyle w:val="TableParagraph"/>
              <w:spacing w:before="19"/>
              <w:ind w:right="84"/>
              <w:jc w:val="right"/>
              <w:rPr>
                <w:sz w:val="18"/>
              </w:rPr>
            </w:pPr>
            <w:r>
              <w:rPr>
                <w:w w:val="95"/>
                <w:sz w:val="18"/>
              </w:rPr>
              <w:t>1,696,010</w:t>
            </w:r>
          </w:p>
        </w:tc>
      </w:tr>
      <w:tr>
        <w:trPr>
          <w:trHeight w:val="264" w:hRule="exact"/>
        </w:trPr>
        <w:tc>
          <w:tcPr>
            <w:tcW w:w="428" w:type="dxa"/>
            <w:vMerge/>
          </w:tcPr>
          <w:p>
            <w:pPr/>
          </w:p>
        </w:tc>
        <w:tc>
          <w:tcPr>
            <w:tcW w:w="6533" w:type="dxa"/>
          </w:tcPr>
          <w:p>
            <w:pPr>
              <w:pStyle w:val="TableParagraph"/>
              <w:spacing w:before="18"/>
              <w:ind w:left="217"/>
              <w:rPr>
                <w:sz w:val="18"/>
              </w:rPr>
            </w:pPr>
            <w:r>
              <w:rPr>
                <w:sz w:val="18"/>
              </w:rPr>
              <w:t>Purchase of marketing and promotional activities from ultimate parent entity</w:t>
            </w:r>
          </w:p>
        </w:tc>
        <w:tc>
          <w:tcPr>
            <w:tcW w:w="1460" w:type="dxa"/>
          </w:tcPr>
          <w:p>
            <w:pPr>
              <w:pStyle w:val="TableParagraph"/>
              <w:spacing w:before="19"/>
              <w:ind w:right="245"/>
              <w:jc w:val="right"/>
              <w:rPr>
                <w:b/>
                <w:sz w:val="18"/>
              </w:rPr>
            </w:pPr>
            <w:r>
              <w:rPr>
                <w:b/>
                <w:w w:val="95"/>
                <w:sz w:val="18"/>
              </w:rPr>
              <w:t>479,440</w:t>
            </w:r>
          </w:p>
        </w:tc>
        <w:tc>
          <w:tcPr>
            <w:tcW w:w="1134" w:type="dxa"/>
          </w:tcPr>
          <w:p>
            <w:pPr>
              <w:pStyle w:val="TableParagraph"/>
              <w:spacing w:before="19"/>
              <w:ind w:right="84"/>
              <w:jc w:val="right"/>
              <w:rPr>
                <w:sz w:val="18"/>
              </w:rPr>
            </w:pPr>
            <w:r>
              <w:rPr>
                <w:w w:val="95"/>
                <w:sz w:val="18"/>
              </w:rPr>
              <w:t>461,004</w:t>
            </w:r>
          </w:p>
        </w:tc>
      </w:tr>
      <w:tr>
        <w:trPr>
          <w:trHeight w:val="263" w:hRule="exact"/>
        </w:trPr>
        <w:tc>
          <w:tcPr>
            <w:tcW w:w="428" w:type="dxa"/>
            <w:vMerge/>
          </w:tcPr>
          <w:p>
            <w:pPr/>
          </w:p>
        </w:tc>
        <w:tc>
          <w:tcPr>
            <w:tcW w:w="6533" w:type="dxa"/>
          </w:tcPr>
          <w:p>
            <w:pPr>
              <w:pStyle w:val="TableParagraph"/>
              <w:spacing w:before="18"/>
              <w:ind w:left="217"/>
              <w:rPr>
                <w:sz w:val="18"/>
              </w:rPr>
            </w:pPr>
            <w:r>
              <w:rPr>
                <w:sz w:val="18"/>
              </w:rPr>
              <w:t>Purchase of catering services from other related parties</w:t>
            </w:r>
          </w:p>
        </w:tc>
        <w:tc>
          <w:tcPr>
            <w:tcW w:w="1460" w:type="dxa"/>
            <w:tcBorders>
              <w:bottom w:val="single" w:sz="0" w:space="0" w:color="000000"/>
            </w:tcBorders>
          </w:tcPr>
          <w:p>
            <w:pPr>
              <w:pStyle w:val="TableParagraph"/>
              <w:spacing w:before="19"/>
              <w:ind w:right="246"/>
              <w:jc w:val="right"/>
              <w:rPr>
                <w:b/>
                <w:sz w:val="18"/>
              </w:rPr>
            </w:pPr>
            <w:r>
              <w:rPr>
                <w:b/>
                <w:w w:val="95"/>
                <w:sz w:val="18"/>
              </w:rPr>
              <w:t>25,102</w:t>
            </w:r>
          </w:p>
        </w:tc>
        <w:tc>
          <w:tcPr>
            <w:tcW w:w="1134" w:type="dxa"/>
            <w:tcBorders>
              <w:bottom w:val="single" w:sz="0" w:space="0" w:color="000000"/>
            </w:tcBorders>
          </w:tcPr>
          <w:p>
            <w:pPr>
              <w:pStyle w:val="TableParagraph"/>
              <w:spacing w:before="19"/>
              <w:ind w:right="84"/>
              <w:jc w:val="right"/>
              <w:rPr>
                <w:sz w:val="18"/>
              </w:rPr>
            </w:pPr>
            <w:r>
              <w:rPr>
                <w:w w:val="95"/>
                <w:sz w:val="18"/>
              </w:rPr>
              <w:t>49,684</w:t>
            </w:r>
          </w:p>
        </w:tc>
      </w:tr>
      <w:tr>
        <w:trPr>
          <w:trHeight w:val="338" w:hRule="exact"/>
        </w:trPr>
        <w:tc>
          <w:tcPr>
            <w:tcW w:w="428" w:type="dxa"/>
          </w:tcPr>
          <w:p>
            <w:pPr/>
          </w:p>
        </w:tc>
        <w:tc>
          <w:tcPr>
            <w:tcW w:w="6533" w:type="dxa"/>
          </w:tcPr>
          <w:p>
            <w:pPr>
              <w:pStyle w:val="TableParagraph"/>
              <w:spacing w:before="123"/>
              <w:ind w:left="217"/>
              <w:rPr>
                <w:b/>
                <w:sz w:val="18"/>
              </w:rPr>
            </w:pPr>
            <w:r>
              <w:rPr>
                <w:b/>
                <w:sz w:val="18"/>
              </w:rPr>
              <w:t>Total</w:t>
            </w:r>
          </w:p>
        </w:tc>
        <w:tc>
          <w:tcPr>
            <w:tcW w:w="1460" w:type="dxa"/>
            <w:tcBorders>
              <w:top w:val="single" w:sz="0" w:space="0" w:color="000000"/>
              <w:bottom w:val="single" w:sz="0" w:space="0" w:color="000000"/>
            </w:tcBorders>
          </w:tcPr>
          <w:p>
            <w:pPr>
              <w:pStyle w:val="TableParagraph"/>
              <w:spacing w:before="122"/>
              <w:ind w:right="245"/>
              <w:jc w:val="right"/>
              <w:rPr>
                <w:b/>
                <w:sz w:val="18"/>
              </w:rPr>
            </w:pPr>
            <w:r>
              <w:rPr>
                <w:b/>
                <w:w w:val="95"/>
                <w:sz w:val="18"/>
              </w:rPr>
              <w:t>3,558,047</w:t>
            </w:r>
          </w:p>
        </w:tc>
        <w:tc>
          <w:tcPr>
            <w:tcW w:w="1134" w:type="dxa"/>
            <w:tcBorders>
              <w:top w:val="single" w:sz="0" w:space="0" w:color="000000"/>
              <w:bottom w:val="single" w:sz="0" w:space="0" w:color="000000"/>
            </w:tcBorders>
          </w:tcPr>
          <w:p>
            <w:pPr>
              <w:pStyle w:val="TableParagraph"/>
              <w:spacing w:before="122"/>
              <w:ind w:right="84"/>
              <w:jc w:val="right"/>
              <w:rPr>
                <w:sz w:val="18"/>
              </w:rPr>
            </w:pPr>
            <w:r>
              <w:rPr>
                <w:w w:val="95"/>
                <w:sz w:val="18"/>
              </w:rPr>
              <w:t>4,445,776</w:t>
            </w:r>
          </w:p>
        </w:tc>
      </w:tr>
    </w:tbl>
    <w:p>
      <w:pPr>
        <w:pStyle w:val="BodyText"/>
        <w:rPr>
          <w:b/>
          <w:sz w:val="20"/>
        </w:rPr>
      </w:pPr>
    </w:p>
    <w:p>
      <w:pPr>
        <w:pStyle w:val="BodyText"/>
        <w:spacing w:before="1"/>
        <w:rPr>
          <w:b/>
          <w:sz w:val="20"/>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3"/>
        <w:gridCol w:w="6528"/>
        <w:gridCol w:w="1460"/>
        <w:gridCol w:w="1135"/>
      </w:tblGrid>
      <w:tr>
        <w:trPr>
          <w:trHeight w:val="640" w:hRule="exact"/>
        </w:trPr>
        <w:tc>
          <w:tcPr>
            <w:tcW w:w="433" w:type="dxa"/>
            <w:vMerge w:val="restart"/>
          </w:tcPr>
          <w:p>
            <w:pPr/>
          </w:p>
        </w:tc>
        <w:tc>
          <w:tcPr>
            <w:tcW w:w="6528" w:type="dxa"/>
          </w:tcPr>
          <w:p>
            <w:pPr/>
          </w:p>
        </w:tc>
        <w:tc>
          <w:tcPr>
            <w:tcW w:w="1460" w:type="dxa"/>
          </w:tcPr>
          <w:p>
            <w:pPr>
              <w:pStyle w:val="TableParagraph"/>
              <w:spacing w:before="77"/>
              <w:ind w:left="452" w:right="566"/>
              <w:jc w:val="center"/>
              <w:rPr>
                <w:b/>
                <w:sz w:val="18"/>
              </w:rPr>
            </w:pPr>
            <w:r>
              <w:rPr>
                <w:b/>
                <w:sz w:val="18"/>
              </w:rPr>
              <w:t>2012</w:t>
            </w:r>
          </w:p>
          <w:p>
            <w:pPr>
              <w:pStyle w:val="TableParagraph"/>
              <w:spacing w:before="66"/>
              <w:ind w:right="114"/>
              <w:jc w:val="center"/>
              <w:rPr>
                <w:b/>
                <w:sz w:val="18"/>
              </w:rPr>
            </w:pPr>
            <w:r>
              <w:rPr>
                <w:b/>
                <w:w w:val="99"/>
                <w:sz w:val="18"/>
              </w:rPr>
              <w:t>$</w:t>
            </w:r>
          </w:p>
        </w:tc>
        <w:tc>
          <w:tcPr>
            <w:tcW w:w="1135" w:type="dxa"/>
          </w:tcPr>
          <w:p>
            <w:pPr>
              <w:pStyle w:val="TableParagraph"/>
              <w:spacing w:before="77"/>
              <w:ind w:left="275" w:right="418"/>
              <w:jc w:val="center"/>
              <w:rPr>
                <w:b/>
                <w:sz w:val="18"/>
              </w:rPr>
            </w:pPr>
            <w:r>
              <w:rPr>
                <w:b/>
                <w:sz w:val="18"/>
              </w:rPr>
              <w:t>2011</w:t>
            </w:r>
          </w:p>
          <w:p>
            <w:pPr>
              <w:pStyle w:val="TableParagraph"/>
              <w:spacing w:before="66"/>
              <w:ind w:right="143"/>
              <w:jc w:val="center"/>
              <w:rPr>
                <w:b/>
                <w:sz w:val="18"/>
              </w:rPr>
            </w:pPr>
            <w:r>
              <w:rPr>
                <w:b/>
                <w:w w:val="99"/>
                <w:sz w:val="18"/>
              </w:rPr>
              <w:t>$</w:t>
            </w:r>
          </w:p>
        </w:tc>
      </w:tr>
      <w:tr>
        <w:trPr>
          <w:trHeight w:val="543" w:hRule="exact"/>
        </w:trPr>
        <w:tc>
          <w:tcPr>
            <w:tcW w:w="433" w:type="dxa"/>
            <w:vMerge/>
          </w:tcPr>
          <w:p>
            <w:pPr/>
          </w:p>
        </w:tc>
        <w:tc>
          <w:tcPr>
            <w:tcW w:w="6528" w:type="dxa"/>
          </w:tcPr>
          <w:p>
            <w:pPr>
              <w:pStyle w:val="TableParagraph"/>
              <w:spacing w:before="63"/>
              <w:ind w:left="212"/>
              <w:rPr>
                <w:b/>
                <w:sz w:val="18"/>
              </w:rPr>
            </w:pPr>
            <w:r>
              <w:rPr>
                <w:b/>
                <w:sz w:val="18"/>
              </w:rPr>
              <w:t>Other transactions</w:t>
            </w:r>
          </w:p>
          <w:p>
            <w:pPr>
              <w:pStyle w:val="TableParagraph"/>
              <w:spacing w:before="27"/>
              <w:ind w:left="212"/>
              <w:rPr>
                <w:sz w:val="18"/>
              </w:rPr>
            </w:pPr>
            <w:r>
              <w:rPr>
                <w:sz w:val="18"/>
              </w:rPr>
              <w:t>Commonwealth Government grant funding from ultimate parent entity</w:t>
            </w:r>
          </w:p>
        </w:tc>
        <w:tc>
          <w:tcPr>
            <w:tcW w:w="1460" w:type="dxa"/>
          </w:tcPr>
          <w:p>
            <w:pPr>
              <w:pStyle w:val="TableParagraph"/>
              <w:spacing w:before="11"/>
              <w:rPr>
                <w:b/>
                <w:sz w:val="25"/>
              </w:rPr>
            </w:pPr>
          </w:p>
          <w:p>
            <w:pPr>
              <w:pStyle w:val="TableParagraph"/>
              <w:ind w:right="245"/>
              <w:jc w:val="right"/>
              <w:rPr>
                <w:b/>
                <w:sz w:val="18"/>
              </w:rPr>
            </w:pPr>
            <w:r>
              <w:rPr>
                <w:b/>
                <w:w w:val="95"/>
                <w:sz w:val="18"/>
              </w:rPr>
              <w:t>705,422</w:t>
            </w:r>
          </w:p>
        </w:tc>
        <w:tc>
          <w:tcPr>
            <w:tcW w:w="1135" w:type="dxa"/>
          </w:tcPr>
          <w:p>
            <w:pPr>
              <w:pStyle w:val="TableParagraph"/>
              <w:spacing w:before="11"/>
              <w:rPr>
                <w:b/>
                <w:sz w:val="25"/>
              </w:rPr>
            </w:pPr>
          </w:p>
          <w:p>
            <w:pPr>
              <w:pStyle w:val="TableParagraph"/>
              <w:ind w:right="84"/>
              <w:jc w:val="right"/>
              <w:rPr>
                <w:sz w:val="18"/>
              </w:rPr>
            </w:pPr>
            <w:r>
              <w:rPr>
                <w:w w:val="95"/>
                <w:sz w:val="18"/>
              </w:rPr>
              <w:t>1,438,286</w:t>
            </w:r>
          </w:p>
        </w:tc>
      </w:tr>
      <w:tr>
        <w:trPr>
          <w:trHeight w:val="263" w:hRule="exact"/>
        </w:trPr>
        <w:tc>
          <w:tcPr>
            <w:tcW w:w="433" w:type="dxa"/>
            <w:vMerge/>
          </w:tcPr>
          <w:p>
            <w:pPr/>
          </w:p>
        </w:tc>
        <w:tc>
          <w:tcPr>
            <w:tcW w:w="6528" w:type="dxa"/>
          </w:tcPr>
          <w:p>
            <w:pPr>
              <w:pStyle w:val="TableParagraph"/>
              <w:spacing w:before="18"/>
              <w:ind w:left="212"/>
              <w:rPr>
                <w:sz w:val="18"/>
              </w:rPr>
            </w:pPr>
            <w:r>
              <w:rPr>
                <w:sz w:val="18"/>
              </w:rPr>
              <w:t>Royalty to ultimate parent entity</w:t>
            </w:r>
          </w:p>
        </w:tc>
        <w:tc>
          <w:tcPr>
            <w:tcW w:w="1460" w:type="dxa"/>
            <w:tcBorders>
              <w:bottom w:val="single" w:sz="0" w:space="0" w:color="000000"/>
            </w:tcBorders>
          </w:tcPr>
          <w:p>
            <w:pPr>
              <w:pStyle w:val="TableParagraph"/>
              <w:spacing w:before="19"/>
              <w:ind w:right="245"/>
              <w:jc w:val="right"/>
              <w:rPr>
                <w:b/>
                <w:sz w:val="18"/>
              </w:rPr>
            </w:pPr>
            <w:r>
              <w:rPr>
                <w:b/>
                <w:w w:val="95"/>
                <w:sz w:val="18"/>
              </w:rPr>
              <w:t>1,295,313</w:t>
            </w:r>
          </w:p>
        </w:tc>
        <w:tc>
          <w:tcPr>
            <w:tcW w:w="1135" w:type="dxa"/>
            <w:tcBorders>
              <w:bottom w:val="single" w:sz="0" w:space="0" w:color="000000"/>
            </w:tcBorders>
          </w:tcPr>
          <w:p>
            <w:pPr>
              <w:pStyle w:val="TableParagraph"/>
              <w:spacing w:before="19"/>
              <w:ind w:right="84"/>
              <w:jc w:val="right"/>
              <w:rPr>
                <w:sz w:val="18"/>
              </w:rPr>
            </w:pPr>
            <w:r>
              <w:rPr>
                <w:w w:val="95"/>
                <w:sz w:val="18"/>
              </w:rPr>
              <w:t>4,200,000</w:t>
            </w:r>
          </w:p>
        </w:tc>
      </w:tr>
      <w:tr>
        <w:trPr>
          <w:trHeight w:val="338" w:hRule="exact"/>
        </w:trPr>
        <w:tc>
          <w:tcPr>
            <w:tcW w:w="433" w:type="dxa"/>
            <w:vMerge/>
          </w:tcPr>
          <w:p>
            <w:pPr/>
          </w:p>
        </w:tc>
        <w:tc>
          <w:tcPr>
            <w:tcW w:w="6528" w:type="dxa"/>
          </w:tcPr>
          <w:p>
            <w:pPr>
              <w:pStyle w:val="TableParagraph"/>
              <w:spacing w:before="123"/>
              <w:ind w:left="212"/>
              <w:rPr>
                <w:b/>
                <w:sz w:val="18"/>
              </w:rPr>
            </w:pPr>
            <w:r>
              <w:rPr>
                <w:b/>
                <w:sz w:val="18"/>
              </w:rPr>
              <w:t>Total</w:t>
            </w:r>
          </w:p>
        </w:tc>
        <w:tc>
          <w:tcPr>
            <w:tcW w:w="1460" w:type="dxa"/>
            <w:tcBorders>
              <w:top w:val="single" w:sz="0" w:space="0" w:color="000000"/>
              <w:bottom w:val="single" w:sz="0" w:space="0" w:color="000000"/>
            </w:tcBorders>
          </w:tcPr>
          <w:p>
            <w:pPr>
              <w:pStyle w:val="TableParagraph"/>
              <w:spacing w:before="122"/>
              <w:ind w:right="245"/>
              <w:jc w:val="right"/>
              <w:rPr>
                <w:b/>
                <w:sz w:val="18"/>
              </w:rPr>
            </w:pPr>
            <w:r>
              <w:rPr>
                <w:b/>
                <w:w w:val="95"/>
                <w:sz w:val="18"/>
              </w:rPr>
              <w:t>2,000,735</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5,638,286</w:t>
            </w:r>
          </w:p>
        </w:tc>
      </w:tr>
      <w:tr>
        <w:trPr>
          <w:trHeight w:val="602" w:hRule="exact"/>
        </w:trPr>
        <w:tc>
          <w:tcPr>
            <w:tcW w:w="433" w:type="dxa"/>
          </w:tcPr>
          <w:p>
            <w:pPr>
              <w:pStyle w:val="TableParagraph"/>
              <w:spacing w:before="11"/>
              <w:rPr>
                <w:b/>
                <w:sz w:val="25"/>
              </w:rPr>
            </w:pPr>
          </w:p>
          <w:p>
            <w:pPr>
              <w:pStyle w:val="TableParagraph"/>
              <w:ind w:left="35"/>
              <w:rPr>
                <w:b/>
                <w:sz w:val="18"/>
              </w:rPr>
            </w:pPr>
            <w:r>
              <w:rPr>
                <w:b/>
                <w:sz w:val="18"/>
              </w:rPr>
              <w:t>(d)</w:t>
            </w:r>
          </w:p>
        </w:tc>
        <w:tc>
          <w:tcPr>
            <w:tcW w:w="6528" w:type="dxa"/>
          </w:tcPr>
          <w:p>
            <w:pPr>
              <w:pStyle w:val="TableParagraph"/>
              <w:spacing w:before="11"/>
              <w:rPr>
                <w:b/>
                <w:sz w:val="25"/>
              </w:rPr>
            </w:pPr>
          </w:p>
          <w:p>
            <w:pPr>
              <w:pStyle w:val="TableParagraph"/>
              <w:ind w:left="168"/>
              <w:rPr>
                <w:b/>
                <w:sz w:val="18"/>
              </w:rPr>
            </w:pPr>
            <w:r>
              <w:rPr>
                <w:b/>
                <w:sz w:val="18"/>
              </w:rPr>
              <w:t>Loans to/from related parties</w:t>
            </w:r>
          </w:p>
        </w:tc>
        <w:tc>
          <w:tcPr>
            <w:tcW w:w="1460" w:type="dxa"/>
            <w:tcBorders>
              <w:top w:val="single" w:sz="0" w:space="0" w:color="000000"/>
            </w:tcBorders>
          </w:tcPr>
          <w:p>
            <w:pPr/>
          </w:p>
        </w:tc>
        <w:tc>
          <w:tcPr>
            <w:tcW w:w="1135" w:type="dxa"/>
            <w:tcBorders>
              <w:top w:val="single" w:sz="0" w:space="0" w:color="000000"/>
            </w:tcBorders>
          </w:tcPr>
          <w:p>
            <w:pPr/>
          </w:p>
        </w:tc>
      </w:tr>
    </w:tbl>
    <w:p>
      <w:pPr>
        <w:pStyle w:val="BodyText"/>
        <w:spacing w:before="10"/>
        <w:rPr>
          <w:b/>
          <w:sz w:val="9"/>
        </w:rPr>
      </w:pPr>
    </w:p>
    <w:p>
      <w:pPr>
        <w:pStyle w:val="BodyText"/>
        <w:spacing w:before="78"/>
        <w:ind w:left="1072" w:right="258"/>
      </w:pPr>
      <w:r>
        <w:rPr/>
        <w:t>Unsecured loans are made to the ultimate parent entity on an arm's length basis. Interest is calculated monthly on a daily balance of the intercompany loan account using the monthly TCorp Cash Client Return rate for that month, and is to be attributed to the intercompany loan balance . Loans are unsecured and repayable in cash.</w:t>
      </w:r>
    </w:p>
    <w:p>
      <w:pPr>
        <w:pStyle w:val="BodyText"/>
        <w:rPr>
          <w:sz w:val="20"/>
        </w:rPr>
      </w:pPr>
    </w:p>
    <w:p>
      <w:pPr>
        <w:pStyle w:val="BodyText"/>
        <w:spacing w:before="1"/>
        <w:rPr>
          <w:sz w:val="19"/>
        </w:rPr>
      </w:pPr>
    </w:p>
    <w:p>
      <w:pPr>
        <w:spacing w:after="0"/>
        <w:rPr>
          <w:sz w:val="19"/>
        </w:rPr>
        <w:sectPr>
          <w:pgSz w:w="11910" w:h="16840"/>
          <w:pgMar w:header="1038" w:footer="505" w:top="1460" w:bottom="700" w:left="900" w:right="860"/>
        </w:sectPr>
      </w:pPr>
    </w:p>
    <w:p>
      <w:pPr>
        <w:pStyle w:val="BodyText"/>
      </w:pPr>
    </w:p>
    <w:p>
      <w:pPr>
        <w:pStyle w:val="BodyText"/>
      </w:pPr>
    </w:p>
    <w:p>
      <w:pPr>
        <w:pStyle w:val="BodyText"/>
        <w:spacing w:before="4"/>
        <w:rPr>
          <w:sz w:val="19"/>
        </w:rPr>
      </w:pPr>
    </w:p>
    <w:p>
      <w:pPr>
        <w:pStyle w:val="Heading9"/>
        <w:ind w:left="1071" w:right="-20"/>
      </w:pPr>
      <w:r>
        <w:rPr/>
        <w:t>Loans to ultimate parent</w:t>
      </w:r>
    </w:p>
    <w:p>
      <w:pPr>
        <w:spacing w:before="78"/>
        <w:ind w:left="1102" w:right="-18" w:hanging="32"/>
        <w:jc w:val="left"/>
        <w:rPr>
          <w:b/>
          <w:sz w:val="18"/>
        </w:rPr>
      </w:pPr>
      <w:r>
        <w:rPr/>
        <w:br w:type="column"/>
      </w:r>
      <w:r>
        <w:rPr>
          <w:b/>
          <w:sz w:val="18"/>
        </w:rPr>
        <w:t>Opening balance</w:t>
      </w:r>
    </w:p>
    <w:p>
      <w:pPr>
        <w:spacing w:before="77"/>
        <w:ind w:left="383" w:right="-20" w:firstLine="4"/>
        <w:jc w:val="left"/>
        <w:rPr>
          <w:b/>
          <w:sz w:val="18"/>
        </w:rPr>
      </w:pPr>
      <w:r>
        <w:rPr/>
        <w:br w:type="column"/>
      </w:r>
      <w:r>
        <w:rPr>
          <w:b/>
          <w:sz w:val="18"/>
        </w:rPr>
        <w:t>Closing balance</w:t>
      </w:r>
    </w:p>
    <w:p>
      <w:pPr>
        <w:spacing w:before="77"/>
        <w:ind w:left="397" w:right="-20" w:hanging="141"/>
        <w:jc w:val="left"/>
        <w:rPr>
          <w:b/>
          <w:sz w:val="18"/>
        </w:rPr>
      </w:pPr>
      <w:r>
        <w:rPr/>
        <w:br w:type="column"/>
      </w:r>
      <w:r>
        <w:rPr>
          <w:b/>
          <w:sz w:val="18"/>
        </w:rPr>
        <w:t>Interest not</w:t>
      </w:r>
      <w:r>
        <w:rPr>
          <w:b/>
          <w:w w:val="100"/>
          <w:sz w:val="18"/>
        </w:rPr>
        <w:t> </w:t>
      </w:r>
      <w:r>
        <w:rPr>
          <w:b/>
          <w:sz w:val="18"/>
        </w:rPr>
        <w:t>charged</w:t>
      </w:r>
    </w:p>
    <w:p>
      <w:pPr>
        <w:spacing w:line="207" w:lineRule="exact" w:before="77"/>
        <w:ind w:left="357" w:right="0" w:firstLine="0"/>
        <w:jc w:val="left"/>
        <w:rPr>
          <w:b/>
          <w:sz w:val="18"/>
        </w:rPr>
      </w:pPr>
      <w:r>
        <w:rPr/>
        <w:br w:type="column"/>
      </w:r>
      <w:r>
        <w:rPr>
          <w:b/>
          <w:sz w:val="18"/>
        </w:rPr>
        <w:t>Interest</w:t>
      </w:r>
    </w:p>
    <w:p>
      <w:pPr>
        <w:tabs>
          <w:tab w:pos="1431" w:val="left" w:leader="none"/>
        </w:tabs>
        <w:spacing w:line="207" w:lineRule="exact" w:before="0"/>
        <w:ind w:left="244" w:right="0" w:firstLine="0"/>
        <w:jc w:val="left"/>
        <w:rPr>
          <w:b/>
          <w:sz w:val="18"/>
        </w:rPr>
      </w:pPr>
      <w:r>
        <w:rPr>
          <w:b/>
          <w:sz w:val="18"/>
        </w:rPr>
        <w:t>receivable</w:t>
        <w:tab/>
        <w:t>Impairment</w:t>
      </w:r>
    </w:p>
    <w:p>
      <w:pPr>
        <w:spacing w:after="0" w:line="207" w:lineRule="exact"/>
        <w:jc w:val="left"/>
        <w:rPr>
          <w:sz w:val="18"/>
        </w:rPr>
        <w:sectPr>
          <w:type w:val="continuous"/>
          <w:pgSz w:w="11910" w:h="16840"/>
          <w:pgMar w:top="0" w:bottom="280" w:left="900" w:right="860"/>
          <w:cols w:num="5" w:equalWidth="0">
            <w:col w:w="3162" w:space="185"/>
            <w:col w:w="1802" w:space="40"/>
            <w:col w:w="1054" w:space="40"/>
            <w:col w:w="1237" w:space="40"/>
            <w:col w:w="2590"/>
          </w:cols>
        </w:sectPr>
      </w:pPr>
    </w:p>
    <w:p>
      <w:pPr>
        <w:tabs>
          <w:tab w:pos="4754" w:val="left" w:leader="none"/>
          <w:tab w:pos="5594" w:val="left" w:leader="none"/>
          <w:tab w:pos="6998" w:val="left" w:leader="none"/>
          <w:tab w:pos="8266" w:val="left" w:leader="none"/>
          <w:tab w:pos="9444" w:val="left" w:leader="none"/>
        </w:tabs>
        <w:spacing w:before="29"/>
        <w:ind w:left="1071" w:right="125" w:firstLine="0"/>
        <w:jc w:val="left"/>
        <w:rPr>
          <w:b/>
          <w:sz w:val="18"/>
        </w:rPr>
      </w:pPr>
      <w:r>
        <w:rPr>
          <w:sz w:val="18"/>
        </w:rPr>
        <w:t>Loan to ultimate parent</w:t>
      </w:r>
      <w:r>
        <w:rPr>
          <w:spacing w:val="-1"/>
          <w:sz w:val="18"/>
        </w:rPr>
        <w:t> </w:t>
      </w:r>
      <w:r>
        <w:rPr>
          <w:sz w:val="18"/>
        </w:rPr>
        <w:t>entity</w:t>
      </w:r>
      <w:r>
        <w:rPr>
          <w:spacing w:val="-1"/>
          <w:sz w:val="18"/>
        </w:rPr>
        <w:t> </w:t>
      </w:r>
      <w:r>
        <w:rPr>
          <w:sz w:val="18"/>
        </w:rPr>
        <w:t>2012</w:t>
        <w:tab/>
      </w:r>
      <w:r>
        <w:rPr>
          <w:b/>
          <w:sz w:val="18"/>
        </w:rPr>
        <w:t>-</w:t>
        <w:tab/>
        <w:t>6,163,827</w:t>
        <w:tab/>
        <w:t>-</w:t>
        <w:tab/>
        <w:t>65,805</w:t>
        <w:tab/>
        <w:t>-</w:t>
      </w:r>
    </w:p>
    <w:p>
      <w:pPr>
        <w:pStyle w:val="BodyText"/>
        <w:tabs>
          <w:tab w:pos="4754" w:val="left" w:leader="none"/>
          <w:tab w:pos="5876" w:val="left" w:leader="none"/>
          <w:tab w:pos="6998" w:val="left" w:leader="none"/>
          <w:tab w:pos="8210" w:val="left" w:leader="none"/>
          <w:tab w:pos="9444" w:val="left" w:leader="none"/>
        </w:tabs>
        <w:spacing w:before="57"/>
        <w:ind w:left="1071" w:right="125"/>
      </w:pPr>
      <w:r>
        <w:rPr/>
        <w:t>Loan to ultimate parent</w:t>
      </w:r>
      <w:r>
        <w:rPr>
          <w:spacing w:val="-1"/>
        </w:rPr>
        <w:t> </w:t>
      </w:r>
      <w:r>
        <w:rPr/>
        <w:t>entity</w:t>
      </w:r>
      <w:r>
        <w:rPr>
          <w:spacing w:val="-1"/>
        </w:rPr>
        <w:t> </w:t>
      </w:r>
      <w:r>
        <w:rPr/>
        <w:t>2011</w:t>
        <w:tab/>
        <w:t>-</w:t>
        <w:tab/>
        <w:t>-</w:t>
        <w:tab/>
        <w:t>-</w:t>
        <w:tab/>
        <w:t>-</w:t>
        <w:tab/>
        <w:t>-</w:t>
      </w:r>
    </w:p>
    <w:p>
      <w:pPr>
        <w:spacing w:after="0"/>
        <w:sectPr>
          <w:type w:val="continuous"/>
          <w:pgSz w:w="11910" w:h="16840"/>
          <w:pgMar w:top="0" w:bottom="280" w:left="900" w:right="860"/>
        </w:sectPr>
      </w:pPr>
    </w:p>
    <w:p>
      <w:pPr>
        <w:pStyle w:val="BodyText"/>
        <w:spacing w:before="2"/>
        <w:rPr>
          <w:sz w:val="24"/>
        </w:rPr>
      </w:pPr>
    </w:p>
    <w:p>
      <w:pPr>
        <w:pStyle w:val="Heading3"/>
        <w:spacing w:before="64"/>
      </w:pPr>
      <w:r>
        <w:rPr/>
        <w:t>Notes to the Financial Statements</w:t>
      </w:r>
    </w:p>
    <w:p>
      <w:pPr>
        <w:pStyle w:val="Heading6"/>
      </w:pPr>
      <w:r>
        <w:rPr/>
        <w:t>For the Year Ended 31 December 2012</w:t>
      </w:r>
    </w:p>
    <w:p>
      <w:pPr>
        <w:pStyle w:val="BodyText"/>
        <w:rPr>
          <w:b/>
          <w:sz w:val="22"/>
        </w:rPr>
      </w:pPr>
    </w:p>
    <w:p>
      <w:pPr>
        <w:pStyle w:val="BodyText"/>
        <w:rPr>
          <w:b/>
          <w:sz w:val="22"/>
        </w:rPr>
      </w:pPr>
    </w:p>
    <w:p>
      <w:pPr>
        <w:pStyle w:val="Heading9"/>
        <w:numPr>
          <w:ilvl w:val="0"/>
          <w:numId w:val="91"/>
        </w:numPr>
        <w:tabs>
          <w:tab w:pos="506" w:val="left" w:leader="none"/>
        </w:tabs>
        <w:spacing w:line="240" w:lineRule="auto" w:before="160" w:after="0"/>
        <w:ind w:left="505" w:right="0" w:hanging="396"/>
        <w:jc w:val="left"/>
      </w:pPr>
      <w:r>
        <w:rPr/>
        <w:t>Reconciliation of Surplus / (deficit) to Net Cash Flows From Operating</w:t>
      </w:r>
      <w:r>
        <w:rPr>
          <w:spacing w:val="-3"/>
        </w:rPr>
        <w:t> </w:t>
      </w:r>
      <w:r>
        <w:rPr/>
        <w:t>Activities</w:t>
      </w:r>
    </w:p>
    <w:p>
      <w:pPr>
        <w:pStyle w:val="BodyText"/>
        <w:rPr>
          <w:b/>
          <w:sz w:val="20"/>
        </w:rPr>
      </w:pPr>
    </w:p>
    <w:p>
      <w:pPr>
        <w:pStyle w:val="BodyText"/>
        <w:spacing w:before="1" w:after="1"/>
        <w:rPr>
          <w:b/>
          <w:sz w:val="19"/>
        </w:rPr>
      </w:pPr>
    </w:p>
    <w:tbl>
      <w:tblPr>
        <w:tblW w:w="0" w:type="auto"/>
        <w:jc w:val="left"/>
        <w:tblInd w:w="5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22"/>
        <w:gridCol w:w="1460"/>
        <w:gridCol w:w="1143"/>
      </w:tblGrid>
      <w:tr>
        <w:trPr>
          <w:trHeight w:val="864" w:hRule="exact"/>
        </w:trPr>
        <w:tc>
          <w:tcPr>
            <w:tcW w:w="6922" w:type="dxa"/>
          </w:tcPr>
          <w:p>
            <w:pPr>
              <w:pStyle w:val="TableParagraph"/>
              <w:rPr>
                <w:b/>
                <w:sz w:val="18"/>
              </w:rPr>
            </w:pPr>
          </w:p>
          <w:p>
            <w:pPr>
              <w:pStyle w:val="TableParagraph"/>
              <w:rPr>
                <w:b/>
                <w:sz w:val="18"/>
              </w:rPr>
            </w:pPr>
          </w:p>
          <w:p>
            <w:pPr>
              <w:pStyle w:val="TableParagraph"/>
              <w:spacing w:before="8"/>
              <w:rPr>
                <w:b/>
                <w:sz w:val="17"/>
              </w:rPr>
            </w:pPr>
          </w:p>
          <w:p>
            <w:pPr>
              <w:pStyle w:val="TableParagraph"/>
              <w:spacing w:before="1"/>
              <w:ind w:left="35"/>
              <w:rPr>
                <w:b/>
                <w:sz w:val="18"/>
              </w:rPr>
            </w:pPr>
            <w:r>
              <w:rPr>
                <w:b/>
                <w:sz w:val="18"/>
              </w:rPr>
              <w:t>Operating surplus / (deficit) for the year</w:t>
            </w:r>
          </w:p>
        </w:tc>
        <w:tc>
          <w:tcPr>
            <w:tcW w:w="1460" w:type="dxa"/>
          </w:tcPr>
          <w:p>
            <w:pPr>
              <w:pStyle w:val="TableParagraph"/>
              <w:spacing w:before="77"/>
              <w:ind w:left="471" w:right="228"/>
              <w:rPr>
                <w:b/>
                <w:sz w:val="18"/>
              </w:rPr>
            </w:pPr>
            <w:r>
              <w:rPr>
                <w:b/>
                <w:sz w:val="18"/>
              </w:rPr>
              <w:t>2012</w:t>
            </w:r>
          </w:p>
          <w:p>
            <w:pPr>
              <w:pStyle w:val="TableParagraph"/>
              <w:spacing w:line="312" w:lineRule="auto" w:before="66"/>
              <w:ind w:left="411" w:right="228" w:firstLine="209"/>
              <w:rPr>
                <w:b/>
                <w:sz w:val="18"/>
              </w:rPr>
            </w:pPr>
            <w:r>
              <w:rPr>
                <w:b/>
                <w:sz w:val="18"/>
              </w:rPr>
              <w:t>$ 1,127,067</w:t>
            </w:r>
          </w:p>
        </w:tc>
        <w:tc>
          <w:tcPr>
            <w:tcW w:w="1143" w:type="dxa"/>
          </w:tcPr>
          <w:p>
            <w:pPr>
              <w:pStyle w:val="TableParagraph"/>
              <w:spacing w:before="77"/>
              <w:ind w:left="275" w:right="427"/>
              <w:jc w:val="center"/>
              <w:rPr>
                <w:b/>
                <w:sz w:val="18"/>
              </w:rPr>
            </w:pPr>
            <w:r>
              <w:rPr>
                <w:b/>
                <w:sz w:val="18"/>
              </w:rPr>
              <w:t>2011</w:t>
            </w:r>
          </w:p>
          <w:p>
            <w:pPr>
              <w:pStyle w:val="TableParagraph"/>
              <w:spacing w:before="66"/>
              <w:ind w:right="152"/>
              <w:jc w:val="center"/>
              <w:rPr>
                <w:b/>
                <w:sz w:val="18"/>
              </w:rPr>
            </w:pPr>
            <w:r>
              <w:rPr>
                <w:b/>
                <w:w w:val="99"/>
                <w:sz w:val="18"/>
              </w:rPr>
              <w:t>$</w:t>
            </w:r>
          </w:p>
          <w:p>
            <w:pPr>
              <w:pStyle w:val="TableParagraph"/>
              <w:spacing w:before="62"/>
              <w:ind w:left="187"/>
              <w:rPr>
                <w:sz w:val="18"/>
              </w:rPr>
            </w:pPr>
            <w:r>
              <w:rPr>
                <w:sz w:val="18"/>
              </w:rPr>
              <w:t>(3,724,878)</w:t>
            </w:r>
          </w:p>
        </w:tc>
      </w:tr>
      <w:tr>
        <w:trPr>
          <w:trHeight w:val="262" w:hRule="exact"/>
        </w:trPr>
        <w:tc>
          <w:tcPr>
            <w:tcW w:w="6922" w:type="dxa"/>
          </w:tcPr>
          <w:p>
            <w:pPr>
              <w:pStyle w:val="TableParagraph"/>
              <w:spacing w:before="18"/>
              <w:ind w:left="35"/>
              <w:rPr>
                <w:b/>
                <w:sz w:val="18"/>
              </w:rPr>
            </w:pPr>
            <w:r>
              <w:rPr>
                <w:b/>
                <w:sz w:val="18"/>
              </w:rPr>
              <w:t>Non-cash flows in surplus / (deficit)</w:t>
            </w:r>
          </w:p>
        </w:tc>
        <w:tc>
          <w:tcPr>
            <w:tcW w:w="1460" w:type="dxa"/>
          </w:tcPr>
          <w:p>
            <w:pPr/>
          </w:p>
        </w:tc>
        <w:tc>
          <w:tcPr>
            <w:tcW w:w="1143" w:type="dxa"/>
          </w:tcPr>
          <w:p>
            <w:pPr/>
          </w:p>
        </w:tc>
      </w:tr>
      <w:tr>
        <w:trPr>
          <w:trHeight w:val="263" w:hRule="exact"/>
        </w:trPr>
        <w:tc>
          <w:tcPr>
            <w:tcW w:w="6922" w:type="dxa"/>
          </w:tcPr>
          <w:p>
            <w:pPr>
              <w:pStyle w:val="TableParagraph"/>
              <w:spacing w:before="17"/>
              <w:ind w:left="250"/>
              <w:rPr>
                <w:sz w:val="18"/>
              </w:rPr>
            </w:pPr>
            <w:r>
              <w:rPr>
                <w:sz w:val="18"/>
              </w:rPr>
              <w:t>Depreciation and amortisation</w:t>
            </w:r>
          </w:p>
        </w:tc>
        <w:tc>
          <w:tcPr>
            <w:tcW w:w="1460" w:type="dxa"/>
          </w:tcPr>
          <w:p>
            <w:pPr>
              <w:pStyle w:val="TableParagraph"/>
              <w:spacing w:before="19"/>
              <w:ind w:right="245"/>
              <w:jc w:val="right"/>
              <w:rPr>
                <w:b/>
                <w:sz w:val="18"/>
              </w:rPr>
            </w:pPr>
            <w:r>
              <w:rPr>
                <w:b/>
                <w:w w:val="95"/>
                <w:sz w:val="18"/>
              </w:rPr>
              <w:t>723,393</w:t>
            </w:r>
          </w:p>
        </w:tc>
        <w:tc>
          <w:tcPr>
            <w:tcW w:w="1143" w:type="dxa"/>
          </w:tcPr>
          <w:p>
            <w:pPr>
              <w:pStyle w:val="TableParagraph"/>
              <w:spacing w:before="19"/>
              <w:ind w:left="397"/>
              <w:rPr>
                <w:sz w:val="18"/>
              </w:rPr>
            </w:pPr>
            <w:r>
              <w:rPr>
                <w:sz w:val="18"/>
              </w:rPr>
              <w:t>387,395</w:t>
            </w:r>
          </w:p>
        </w:tc>
      </w:tr>
      <w:tr>
        <w:trPr>
          <w:trHeight w:val="264" w:hRule="exact"/>
        </w:trPr>
        <w:tc>
          <w:tcPr>
            <w:tcW w:w="6922" w:type="dxa"/>
          </w:tcPr>
          <w:p>
            <w:pPr>
              <w:pStyle w:val="TableParagraph"/>
              <w:spacing w:before="18"/>
              <w:ind w:left="250"/>
              <w:rPr>
                <w:sz w:val="18"/>
              </w:rPr>
            </w:pPr>
            <w:r>
              <w:rPr>
                <w:sz w:val="18"/>
              </w:rPr>
              <w:t>UWS loan interest non cash</w:t>
            </w:r>
          </w:p>
        </w:tc>
        <w:tc>
          <w:tcPr>
            <w:tcW w:w="1460" w:type="dxa"/>
          </w:tcPr>
          <w:p>
            <w:pPr>
              <w:pStyle w:val="TableParagraph"/>
              <w:spacing w:before="19"/>
              <w:ind w:right="186"/>
              <w:jc w:val="right"/>
              <w:rPr>
                <w:b/>
                <w:sz w:val="18"/>
              </w:rPr>
            </w:pPr>
            <w:r>
              <w:rPr>
                <w:b/>
                <w:w w:val="95"/>
                <w:sz w:val="18"/>
              </w:rPr>
              <w:t>(65,806)</w:t>
            </w:r>
          </w:p>
        </w:tc>
        <w:tc>
          <w:tcPr>
            <w:tcW w:w="1143" w:type="dxa"/>
          </w:tcPr>
          <w:p>
            <w:pPr>
              <w:pStyle w:val="TableParagraph"/>
              <w:spacing w:before="19"/>
              <w:ind w:right="153"/>
              <w:jc w:val="center"/>
              <w:rPr>
                <w:sz w:val="18"/>
              </w:rPr>
            </w:pPr>
            <w:r>
              <w:rPr>
                <w:w w:val="99"/>
                <w:sz w:val="18"/>
              </w:rPr>
              <w:t>-</w:t>
            </w:r>
          </w:p>
        </w:tc>
      </w:tr>
      <w:tr>
        <w:trPr>
          <w:trHeight w:val="223" w:hRule="exact"/>
        </w:trPr>
        <w:tc>
          <w:tcPr>
            <w:tcW w:w="6922" w:type="dxa"/>
          </w:tcPr>
          <w:p>
            <w:pPr>
              <w:pStyle w:val="TableParagraph"/>
              <w:spacing w:before="18"/>
              <w:ind w:left="250"/>
              <w:rPr>
                <w:sz w:val="18"/>
              </w:rPr>
            </w:pPr>
            <w:r>
              <w:rPr>
                <w:sz w:val="18"/>
              </w:rPr>
              <w:t>Net (gain)/loss on sale of non-current assets</w:t>
            </w:r>
          </w:p>
        </w:tc>
        <w:tc>
          <w:tcPr>
            <w:tcW w:w="1460" w:type="dxa"/>
          </w:tcPr>
          <w:p>
            <w:pPr>
              <w:pStyle w:val="TableParagraph"/>
              <w:spacing w:before="19"/>
              <w:ind w:right="245"/>
              <w:jc w:val="right"/>
              <w:rPr>
                <w:b/>
                <w:sz w:val="18"/>
              </w:rPr>
            </w:pPr>
            <w:r>
              <w:rPr>
                <w:b/>
                <w:w w:val="95"/>
                <w:sz w:val="18"/>
              </w:rPr>
              <w:t>15,253</w:t>
            </w:r>
          </w:p>
        </w:tc>
        <w:tc>
          <w:tcPr>
            <w:tcW w:w="1143" w:type="dxa"/>
          </w:tcPr>
          <w:p>
            <w:pPr>
              <w:pStyle w:val="TableParagraph"/>
              <w:spacing w:before="19"/>
              <w:ind w:right="33"/>
              <w:jc w:val="right"/>
              <w:rPr>
                <w:sz w:val="18"/>
              </w:rPr>
            </w:pPr>
            <w:r>
              <w:rPr>
                <w:w w:val="95"/>
                <w:sz w:val="18"/>
              </w:rPr>
              <w:t>(5,152)</w:t>
            </w:r>
          </w:p>
        </w:tc>
      </w:tr>
      <w:tr>
        <w:trPr>
          <w:trHeight w:val="304" w:hRule="exact"/>
        </w:trPr>
        <w:tc>
          <w:tcPr>
            <w:tcW w:w="6922" w:type="dxa"/>
          </w:tcPr>
          <w:p>
            <w:pPr>
              <w:pStyle w:val="TableParagraph"/>
              <w:spacing w:before="60"/>
              <w:ind w:left="35"/>
              <w:rPr>
                <w:b/>
                <w:sz w:val="18"/>
              </w:rPr>
            </w:pPr>
            <w:r>
              <w:rPr>
                <w:b/>
                <w:sz w:val="18"/>
              </w:rPr>
              <w:t>Changes in assets and liabilities</w:t>
            </w:r>
          </w:p>
        </w:tc>
        <w:tc>
          <w:tcPr>
            <w:tcW w:w="1460" w:type="dxa"/>
          </w:tcPr>
          <w:p>
            <w:pPr/>
          </w:p>
        </w:tc>
        <w:tc>
          <w:tcPr>
            <w:tcW w:w="1143" w:type="dxa"/>
          </w:tcPr>
          <w:p>
            <w:pPr/>
          </w:p>
        </w:tc>
      </w:tr>
      <w:tr>
        <w:trPr>
          <w:trHeight w:val="263" w:hRule="exact"/>
        </w:trPr>
        <w:tc>
          <w:tcPr>
            <w:tcW w:w="6922" w:type="dxa"/>
          </w:tcPr>
          <w:p>
            <w:pPr>
              <w:pStyle w:val="TableParagraph"/>
              <w:spacing w:before="17"/>
              <w:ind w:left="250"/>
              <w:rPr>
                <w:sz w:val="18"/>
              </w:rPr>
            </w:pPr>
            <w:r>
              <w:rPr>
                <w:sz w:val="18"/>
              </w:rPr>
              <w:t>(increase)/decrease in trade and other receivables</w:t>
            </w:r>
          </w:p>
        </w:tc>
        <w:tc>
          <w:tcPr>
            <w:tcW w:w="1460" w:type="dxa"/>
          </w:tcPr>
          <w:p>
            <w:pPr>
              <w:pStyle w:val="TableParagraph"/>
              <w:spacing w:before="19"/>
              <w:ind w:right="245"/>
              <w:jc w:val="right"/>
              <w:rPr>
                <w:b/>
                <w:sz w:val="18"/>
              </w:rPr>
            </w:pPr>
            <w:r>
              <w:rPr>
                <w:b/>
                <w:w w:val="95"/>
                <w:sz w:val="18"/>
              </w:rPr>
              <w:t>936,145</w:t>
            </w:r>
          </w:p>
        </w:tc>
        <w:tc>
          <w:tcPr>
            <w:tcW w:w="1143" w:type="dxa"/>
          </w:tcPr>
          <w:p>
            <w:pPr>
              <w:pStyle w:val="TableParagraph"/>
              <w:spacing w:before="19"/>
              <w:ind w:right="92"/>
              <w:jc w:val="right"/>
              <w:rPr>
                <w:sz w:val="18"/>
              </w:rPr>
            </w:pPr>
            <w:r>
              <w:rPr>
                <w:w w:val="95"/>
                <w:sz w:val="18"/>
              </w:rPr>
              <w:t>596,346</w:t>
            </w:r>
          </w:p>
        </w:tc>
      </w:tr>
      <w:tr>
        <w:trPr>
          <w:trHeight w:val="264" w:hRule="exact"/>
        </w:trPr>
        <w:tc>
          <w:tcPr>
            <w:tcW w:w="6922" w:type="dxa"/>
          </w:tcPr>
          <w:p>
            <w:pPr>
              <w:pStyle w:val="TableParagraph"/>
              <w:spacing w:before="18"/>
              <w:ind w:left="250"/>
              <w:rPr>
                <w:sz w:val="18"/>
              </w:rPr>
            </w:pPr>
            <w:r>
              <w:rPr>
                <w:sz w:val="18"/>
              </w:rPr>
              <w:t>(increase)/decrease in prepayments</w:t>
            </w:r>
          </w:p>
        </w:tc>
        <w:tc>
          <w:tcPr>
            <w:tcW w:w="1460" w:type="dxa"/>
          </w:tcPr>
          <w:p>
            <w:pPr>
              <w:pStyle w:val="TableParagraph"/>
              <w:spacing w:before="19"/>
              <w:ind w:right="245"/>
              <w:jc w:val="right"/>
              <w:rPr>
                <w:b/>
                <w:sz w:val="18"/>
              </w:rPr>
            </w:pPr>
            <w:r>
              <w:rPr>
                <w:b/>
                <w:w w:val="95"/>
                <w:sz w:val="18"/>
              </w:rPr>
              <w:t>527,080</w:t>
            </w:r>
          </w:p>
        </w:tc>
        <w:tc>
          <w:tcPr>
            <w:tcW w:w="1143" w:type="dxa"/>
          </w:tcPr>
          <w:p>
            <w:pPr>
              <w:pStyle w:val="TableParagraph"/>
              <w:spacing w:before="19"/>
              <w:ind w:right="32"/>
              <w:jc w:val="right"/>
              <w:rPr>
                <w:sz w:val="18"/>
              </w:rPr>
            </w:pPr>
            <w:r>
              <w:rPr>
                <w:w w:val="95"/>
                <w:sz w:val="18"/>
              </w:rPr>
              <w:t>(641,197)</w:t>
            </w:r>
          </w:p>
        </w:tc>
      </w:tr>
      <w:tr>
        <w:trPr>
          <w:trHeight w:val="264" w:hRule="exact"/>
        </w:trPr>
        <w:tc>
          <w:tcPr>
            <w:tcW w:w="6922" w:type="dxa"/>
          </w:tcPr>
          <w:p>
            <w:pPr>
              <w:pStyle w:val="TableParagraph"/>
              <w:spacing w:before="18"/>
              <w:ind w:left="250"/>
              <w:rPr>
                <w:sz w:val="18"/>
              </w:rPr>
            </w:pPr>
            <w:r>
              <w:rPr>
                <w:sz w:val="18"/>
              </w:rPr>
              <w:t>(increase)/decrease in inventories</w:t>
            </w:r>
          </w:p>
        </w:tc>
        <w:tc>
          <w:tcPr>
            <w:tcW w:w="1460" w:type="dxa"/>
          </w:tcPr>
          <w:p>
            <w:pPr>
              <w:pStyle w:val="TableParagraph"/>
              <w:spacing w:before="19"/>
              <w:ind w:right="186"/>
              <w:jc w:val="right"/>
              <w:rPr>
                <w:b/>
                <w:sz w:val="18"/>
              </w:rPr>
            </w:pPr>
            <w:r>
              <w:rPr>
                <w:b/>
                <w:w w:val="95"/>
                <w:sz w:val="18"/>
              </w:rPr>
              <w:t>(1,326)</w:t>
            </w:r>
          </w:p>
        </w:tc>
        <w:tc>
          <w:tcPr>
            <w:tcW w:w="1143" w:type="dxa"/>
          </w:tcPr>
          <w:p>
            <w:pPr>
              <w:pStyle w:val="TableParagraph"/>
              <w:spacing w:before="19"/>
              <w:ind w:right="33"/>
              <w:jc w:val="right"/>
              <w:rPr>
                <w:sz w:val="18"/>
              </w:rPr>
            </w:pPr>
            <w:r>
              <w:rPr>
                <w:w w:val="95"/>
                <w:sz w:val="18"/>
              </w:rPr>
              <w:t>(13,294)</w:t>
            </w:r>
          </w:p>
        </w:tc>
      </w:tr>
      <w:tr>
        <w:trPr>
          <w:trHeight w:val="264" w:hRule="exact"/>
        </w:trPr>
        <w:tc>
          <w:tcPr>
            <w:tcW w:w="6922" w:type="dxa"/>
          </w:tcPr>
          <w:p>
            <w:pPr>
              <w:pStyle w:val="TableParagraph"/>
              <w:spacing w:before="18"/>
              <w:ind w:left="250"/>
              <w:rPr>
                <w:sz w:val="18"/>
              </w:rPr>
            </w:pPr>
            <w:r>
              <w:rPr>
                <w:sz w:val="18"/>
              </w:rPr>
              <w:t>increase/(decrease) in intercompany account balances</w:t>
            </w:r>
          </w:p>
        </w:tc>
        <w:tc>
          <w:tcPr>
            <w:tcW w:w="1460" w:type="dxa"/>
          </w:tcPr>
          <w:p>
            <w:pPr>
              <w:pStyle w:val="TableParagraph"/>
              <w:spacing w:before="19"/>
              <w:ind w:right="185"/>
              <w:jc w:val="right"/>
              <w:rPr>
                <w:b/>
                <w:sz w:val="18"/>
              </w:rPr>
            </w:pPr>
            <w:r>
              <w:rPr>
                <w:b/>
                <w:w w:val="95"/>
                <w:sz w:val="18"/>
              </w:rPr>
              <w:t>(56,926)</w:t>
            </w:r>
          </w:p>
        </w:tc>
        <w:tc>
          <w:tcPr>
            <w:tcW w:w="1143" w:type="dxa"/>
          </w:tcPr>
          <w:p>
            <w:pPr>
              <w:pStyle w:val="TableParagraph"/>
              <w:spacing w:before="19"/>
              <w:ind w:right="32"/>
              <w:jc w:val="right"/>
              <w:rPr>
                <w:sz w:val="18"/>
              </w:rPr>
            </w:pPr>
            <w:r>
              <w:rPr>
                <w:w w:val="95"/>
                <w:sz w:val="18"/>
              </w:rPr>
              <w:t>(3,145,452)</w:t>
            </w:r>
          </w:p>
        </w:tc>
      </w:tr>
      <w:tr>
        <w:trPr>
          <w:trHeight w:val="264" w:hRule="exact"/>
        </w:trPr>
        <w:tc>
          <w:tcPr>
            <w:tcW w:w="6922" w:type="dxa"/>
          </w:tcPr>
          <w:p>
            <w:pPr>
              <w:pStyle w:val="TableParagraph"/>
              <w:spacing w:before="18"/>
              <w:ind w:left="250"/>
              <w:rPr>
                <w:sz w:val="18"/>
              </w:rPr>
            </w:pPr>
            <w:r>
              <w:rPr>
                <w:sz w:val="18"/>
              </w:rPr>
              <w:t>increase/(decrease) in accruals</w:t>
            </w:r>
          </w:p>
        </w:tc>
        <w:tc>
          <w:tcPr>
            <w:tcW w:w="1460" w:type="dxa"/>
          </w:tcPr>
          <w:p>
            <w:pPr>
              <w:pStyle w:val="TableParagraph"/>
              <w:spacing w:before="19"/>
              <w:ind w:right="245"/>
              <w:jc w:val="right"/>
              <w:rPr>
                <w:b/>
                <w:sz w:val="18"/>
              </w:rPr>
            </w:pPr>
            <w:r>
              <w:rPr>
                <w:b/>
                <w:w w:val="95"/>
                <w:sz w:val="18"/>
              </w:rPr>
              <w:t>561,600</w:t>
            </w:r>
          </w:p>
        </w:tc>
        <w:tc>
          <w:tcPr>
            <w:tcW w:w="1143" w:type="dxa"/>
          </w:tcPr>
          <w:p>
            <w:pPr>
              <w:pStyle w:val="TableParagraph"/>
              <w:spacing w:before="19"/>
              <w:ind w:right="32"/>
              <w:jc w:val="right"/>
              <w:rPr>
                <w:sz w:val="18"/>
              </w:rPr>
            </w:pPr>
            <w:r>
              <w:rPr>
                <w:w w:val="95"/>
                <w:sz w:val="18"/>
              </w:rPr>
              <w:t>(193,937)</w:t>
            </w:r>
          </w:p>
        </w:tc>
      </w:tr>
      <w:tr>
        <w:trPr>
          <w:trHeight w:val="264" w:hRule="exact"/>
        </w:trPr>
        <w:tc>
          <w:tcPr>
            <w:tcW w:w="6922" w:type="dxa"/>
          </w:tcPr>
          <w:p>
            <w:pPr>
              <w:pStyle w:val="TableParagraph"/>
              <w:spacing w:before="18"/>
              <w:ind w:left="250"/>
              <w:rPr>
                <w:sz w:val="18"/>
              </w:rPr>
            </w:pPr>
            <w:r>
              <w:rPr>
                <w:sz w:val="18"/>
              </w:rPr>
              <w:t>increase/(decrease) in trade and other payables</w:t>
            </w:r>
          </w:p>
        </w:tc>
        <w:tc>
          <w:tcPr>
            <w:tcW w:w="1460" w:type="dxa"/>
          </w:tcPr>
          <w:p>
            <w:pPr>
              <w:pStyle w:val="TableParagraph"/>
              <w:spacing w:before="19"/>
              <w:ind w:right="245"/>
              <w:jc w:val="right"/>
              <w:rPr>
                <w:b/>
                <w:sz w:val="18"/>
              </w:rPr>
            </w:pPr>
            <w:r>
              <w:rPr>
                <w:b/>
                <w:w w:val="95"/>
                <w:sz w:val="18"/>
              </w:rPr>
              <w:t>180,858</w:t>
            </w:r>
          </w:p>
        </w:tc>
        <w:tc>
          <w:tcPr>
            <w:tcW w:w="1143" w:type="dxa"/>
          </w:tcPr>
          <w:p>
            <w:pPr>
              <w:pStyle w:val="TableParagraph"/>
              <w:spacing w:before="19"/>
              <w:ind w:right="32"/>
              <w:jc w:val="right"/>
              <w:rPr>
                <w:sz w:val="18"/>
              </w:rPr>
            </w:pPr>
            <w:r>
              <w:rPr>
                <w:w w:val="95"/>
                <w:sz w:val="18"/>
              </w:rPr>
              <w:t>(302,316)</w:t>
            </w:r>
          </w:p>
        </w:tc>
      </w:tr>
      <w:tr>
        <w:trPr>
          <w:trHeight w:val="264" w:hRule="exact"/>
        </w:trPr>
        <w:tc>
          <w:tcPr>
            <w:tcW w:w="6922" w:type="dxa"/>
          </w:tcPr>
          <w:p>
            <w:pPr>
              <w:pStyle w:val="TableParagraph"/>
              <w:spacing w:before="18"/>
              <w:ind w:left="250"/>
              <w:rPr>
                <w:sz w:val="18"/>
              </w:rPr>
            </w:pPr>
            <w:r>
              <w:rPr>
                <w:sz w:val="18"/>
              </w:rPr>
              <w:t>increase/(decrease) in other operating liabilities</w:t>
            </w:r>
          </w:p>
        </w:tc>
        <w:tc>
          <w:tcPr>
            <w:tcW w:w="1460" w:type="dxa"/>
          </w:tcPr>
          <w:p>
            <w:pPr>
              <w:pStyle w:val="TableParagraph"/>
              <w:spacing w:before="19"/>
              <w:ind w:right="245"/>
              <w:jc w:val="right"/>
              <w:rPr>
                <w:b/>
                <w:sz w:val="18"/>
              </w:rPr>
            </w:pPr>
            <w:r>
              <w:rPr>
                <w:b/>
                <w:w w:val="95"/>
                <w:sz w:val="18"/>
              </w:rPr>
              <w:t>64,991</w:t>
            </w:r>
          </w:p>
        </w:tc>
        <w:tc>
          <w:tcPr>
            <w:tcW w:w="1143" w:type="dxa"/>
          </w:tcPr>
          <w:p>
            <w:pPr>
              <w:pStyle w:val="TableParagraph"/>
              <w:spacing w:before="19"/>
              <w:ind w:right="32"/>
              <w:jc w:val="right"/>
              <w:rPr>
                <w:sz w:val="18"/>
              </w:rPr>
            </w:pPr>
            <w:r>
              <w:rPr>
                <w:w w:val="95"/>
                <w:sz w:val="18"/>
              </w:rPr>
              <w:t>(445,146)</w:t>
            </w:r>
          </w:p>
        </w:tc>
      </w:tr>
      <w:tr>
        <w:trPr>
          <w:trHeight w:val="263" w:hRule="exact"/>
        </w:trPr>
        <w:tc>
          <w:tcPr>
            <w:tcW w:w="6922" w:type="dxa"/>
          </w:tcPr>
          <w:p>
            <w:pPr>
              <w:pStyle w:val="TableParagraph"/>
              <w:spacing w:before="18"/>
              <w:ind w:left="250"/>
              <w:rPr>
                <w:sz w:val="18"/>
              </w:rPr>
            </w:pPr>
            <w:r>
              <w:rPr>
                <w:sz w:val="18"/>
              </w:rPr>
              <w:t>increase/(decrease) in employee benefits</w:t>
            </w:r>
          </w:p>
        </w:tc>
        <w:tc>
          <w:tcPr>
            <w:tcW w:w="1460" w:type="dxa"/>
            <w:tcBorders>
              <w:bottom w:val="single" w:sz="0" w:space="0" w:color="000000"/>
            </w:tcBorders>
          </w:tcPr>
          <w:p>
            <w:pPr>
              <w:pStyle w:val="TableParagraph"/>
              <w:spacing w:before="19"/>
              <w:ind w:right="244"/>
              <w:jc w:val="right"/>
              <w:rPr>
                <w:b/>
                <w:sz w:val="18"/>
              </w:rPr>
            </w:pPr>
            <w:r>
              <w:rPr>
                <w:b/>
                <w:w w:val="95"/>
                <w:sz w:val="18"/>
              </w:rPr>
              <w:t>317,688</w:t>
            </w:r>
          </w:p>
        </w:tc>
        <w:tc>
          <w:tcPr>
            <w:tcW w:w="1143" w:type="dxa"/>
            <w:tcBorders>
              <w:bottom w:val="single" w:sz="0" w:space="0" w:color="000000"/>
            </w:tcBorders>
          </w:tcPr>
          <w:p>
            <w:pPr>
              <w:pStyle w:val="TableParagraph"/>
              <w:spacing w:before="19"/>
              <w:ind w:right="32"/>
              <w:jc w:val="right"/>
              <w:rPr>
                <w:sz w:val="18"/>
              </w:rPr>
            </w:pPr>
            <w:r>
              <w:rPr>
                <w:w w:val="95"/>
                <w:sz w:val="18"/>
              </w:rPr>
              <w:t>(62,092)</w:t>
            </w:r>
          </w:p>
        </w:tc>
      </w:tr>
    </w:tbl>
    <w:p>
      <w:pPr>
        <w:tabs>
          <w:tab w:pos="7843" w:val="left" w:leader="none"/>
          <w:tab w:pos="9079" w:val="left" w:leader="none"/>
        </w:tabs>
        <w:spacing w:before="38"/>
        <w:ind w:left="544" w:right="92" w:firstLine="0"/>
        <w:jc w:val="left"/>
        <w:rPr>
          <w:sz w:val="18"/>
        </w:rPr>
      </w:pPr>
      <w:r>
        <w:rPr>
          <w:b/>
          <w:sz w:val="18"/>
        </w:rPr>
        <w:t>Net cash flows from</w:t>
      </w:r>
      <w:r>
        <w:rPr>
          <w:b/>
          <w:spacing w:val="-1"/>
          <w:sz w:val="18"/>
        </w:rPr>
        <w:t> </w:t>
      </w:r>
      <w:r>
        <w:rPr>
          <w:b/>
          <w:sz w:val="18"/>
        </w:rPr>
        <w:t>operating activities</w:t>
        <w:tab/>
      </w:r>
      <w:r>
        <w:rPr>
          <w:b/>
          <w:position w:val="-8"/>
          <w:sz w:val="18"/>
        </w:rPr>
        <w:t>4,330,017</w:t>
        <w:tab/>
      </w:r>
      <w:r>
        <w:rPr>
          <w:position w:val="-8"/>
          <w:sz w:val="18"/>
        </w:rPr>
        <w:t>(7,549,723)</w:t>
      </w:r>
    </w:p>
    <w:p>
      <w:pPr>
        <w:pStyle w:val="BodyText"/>
        <w:spacing w:line="50" w:lineRule="exact"/>
        <w:ind w:left="7430"/>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spacing w:before="9"/>
        <w:rPr>
          <w:sz w:val="17"/>
        </w:rPr>
      </w:pPr>
    </w:p>
    <w:p>
      <w:pPr>
        <w:pStyle w:val="ListParagraph"/>
        <w:numPr>
          <w:ilvl w:val="0"/>
          <w:numId w:val="91"/>
        </w:numPr>
        <w:tabs>
          <w:tab w:pos="506" w:val="left" w:leader="none"/>
        </w:tabs>
        <w:spacing w:line="240" w:lineRule="auto" w:before="77" w:after="0"/>
        <w:ind w:left="505" w:right="0" w:hanging="396"/>
        <w:jc w:val="left"/>
        <w:rPr>
          <w:b/>
          <w:sz w:val="18"/>
        </w:rPr>
      </w:pPr>
      <w:r>
        <w:rPr>
          <w:b/>
          <w:sz w:val="18"/>
        </w:rPr>
        <w:t>Events Occurring After the Reporting</w:t>
      </w:r>
      <w:r>
        <w:rPr>
          <w:b/>
          <w:spacing w:val="-2"/>
          <w:sz w:val="18"/>
        </w:rPr>
        <w:t> </w:t>
      </w:r>
      <w:r>
        <w:rPr>
          <w:b/>
          <w:sz w:val="18"/>
        </w:rPr>
        <w:t>Date</w:t>
      </w:r>
    </w:p>
    <w:p>
      <w:pPr>
        <w:pStyle w:val="BodyText"/>
        <w:spacing w:before="7"/>
        <w:rPr>
          <w:b/>
          <w:sz w:val="26"/>
        </w:rPr>
      </w:pPr>
    </w:p>
    <w:p>
      <w:pPr>
        <w:pStyle w:val="BodyText"/>
        <w:ind w:left="505" w:right="125"/>
      </w:pPr>
      <w:r>
        <w:rPr/>
        <w:t>The financial statements are authorised for issue on 4 April 2013 by the board of directors.</w:t>
      </w:r>
    </w:p>
    <w:p>
      <w:pPr>
        <w:pStyle w:val="BodyText"/>
        <w:spacing w:before="4"/>
        <w:rPr>
          <w:sz w:val="25"/>
        </w:rPr>
      </w:pPr>
    </w:p>
    <w:p>
      <w:pPr>
        <w:pStyle w:val="BodyText"/>
        <w:ind w:left="505" w:right="92"/>
      </w:pPr>
      <w:r>
        <w:rPr/>
        <w:t>No matters or circumstances have arisen since the end of the financial year which significantly affected or may significantly affect the operations of the Company, the results of those operations, or the state of affairs of the Company in future financial years.</w:t>
      </w:r>
    </w:p>
    <w:p>
      <w:pPr>
        <w:pStyle w:val="BodyText"/>
        <w:rPr>
          <w:sz w:val="25"/>
        </w:rPr>
      </w:pPr>
    </w:p>
    <w:p>
      <w:pPr>
        <w:pStyle w:val="Heading9"/>
        <w:numPr>
          <w:ilvl w:val="0"/>
          <w:numId w:val="91"/>
        </w:numPr>
        <w:tabs>
          <w:tab w:pos="506" w:val="left" w:leader="none"/>
        </w:tabs>
        <w:spacing w:line="240" w:lineRule="auto" w:before="0" w:after="0"/>
        <w:ind w:left="505" w:right="0" w:hanging="396"/>
        <w:jc w:val="left"/>
      </w:pPr>
      <w:r>
        <w:rPr/>
        <w:t>Company Details</w:t>
      </w:r>
    </w:p>
    <w:p>
      <w:pPr>
        <w:pStyle w:val="BodyText"/>
        <w:rPr>
          <w:b/>
          <w:sz w:val="25"/>
        </w:rPr>
      </w:pPr>
    </w:p>
    <w:p>
      <w:pPr>
        <w:pStyle w:val="BodyText"/>
        <w:spacing w:line="302" w:lineRule="auto" w:before="1"/>
        <w:ind w:left="719" w:right="6434" w:hanging="215"/>
      </w:pPr>
      <w:r>
        <w:rPr/>
        <w:t>The registered office of the Company is: UWS College Pty Limited</w:t>
      </w:r>
    </w:p>
    <w:p>
      <w:pPr>
        <w:pStyle w:val="BodyText"/>
        <w:spacing w:before="2"/>
        <w:ind w:left="719" w:right="125"/>
      </w:pPr>
      <w:r>
        <w:rPr/>
        <w:t>158-160 Hawkesbury Road</w:t>
      </w:r>
    </w:p>
    <w:p>
      <w:pPr>
        <w:pStyle w:val="BodyText"/>
        <w:spacing w:before="54"/>
        <w:ind w:left="719" w:right="125"/>
      </w:pPr>
      <w:r>
        <w:rPr/>
        <w:t>Westmead NSW 2145</w:t>
      </w:r>
    </w:p>
    <w:p>
      <w:pPr>
        <w:pStyle w:val="BodyText"/>
      </w:pPr>
    </w:p>
    <w:p>
      <w:pPr>
        <w:pStyle w:val="BodyText"/>
      </w:pPr>
    </w:p>
    <w:p>
      <w:pPr>
        <w:pStyle w:val="BodyText"/>
        <w:spacing w:before="2"/>
        <w:rPr>
          <w:sz w:val="14"/>
        </w:rPr>
      </w:pPr>
    </w:p>
    <w:p>
      <w:pPr>
        <w:pStyle w:val="Heading9"/>
        <w:spacing w:before="1"/>
        <w:ind w:left="1963" w:right="125"/>
      </w:pPr>
      <w:r>
        <w:rPr/>
        <w:t>End of Audited Financial Statements</w:t>
      </w:r>
    </w:p>
    <w:p>
      <w:pPr>
        <w:spacing w:after="0"/>
        <w:sectPr>
          <w:pgSz w:w="11910" w:h="16840"/>
          <w:pgMar w:header="1038" w:footer="505" w:top="1460" w:bottom="700" w:left="900" w:right="860"/>
        </w:sectPr>
      </w:pPr>
    </w:p>
    <w:p>
      <w:pPr>
        <w:spacing w:line="35" w:lineRule="exact" w:before="55"/>
        <w:ind w:left="42" w:right="0" w:firstLine="0"/>
        <w:jc w:val="center"/>
        <w:rPr>
          <w:sz w:val="20"/>
        </w:rPr>
      </w:pPr>
      <w:r>
        <w:rPr>
          <w:color w:val="131315"/>
          <w:w w:val="335"/>
          <w:sz w:val="20"/>
        </w:rPr>
        <w:t>,</w:t>
      </w:r>
      <w:r>
        <w:rPr>
          <w:color w:val="131315"/>
          <w:w w:val="100"/>
          <w:sz w:val="20"/>
        </w:rPr>
        <w:t>oR-G€</w:t>
      </w:r>
      <w:r>
        <w:rPr>
          <w:color w:val="131315"/>
          <w:spacing w:val="-11"/>
          <w:w w:val="100"/>
          <w:sz w:val="20"/>
        </w:rPr>
        <w:t>"</w:t>
      </w:r>
      <w:r>
        <w:rPr>
          <w:color w:val="131315"/>
          <w:w w:val="92"/>
          <w:sz w:val="20"/>
        </w:rPr>
        <w:t>'V</w:t>
      </w:r>
    </w:p>
    <w:p>
      <w:pPr>
        <w:spacing w:after="0" w:line="35" w:lineRule="exact"/>
        <w:jc w:val="center"/>
        <w:rPr>
          <w:sz w:val="20"/>
        </w:rPr>
        <w:sectPr>
          <w:headerReference w:type="default" r:id="rId194"/>
          <w:footerReference w:type="default" r:id="rId195"/>
          <w:pgSz w:w="11910" w:h="16840"/>
          <w:pgMar w:header="0" w:footer="505" w:top="740" w:bottom="700" w:left="660" w:right="840"/>
          <w:pgNumType w:start="195"/>
        </w:sectPr>
      </w:pPr>
    </w:p>
    <w:p>
      <w:pPr>
        <w:spacing w:before="51"/>
        <w:ind w:left="0" w:right="0" w:firstLine="0"/>
        <w:jc w:val="right"/>
        <w:rPr>
          <w:sz w:val="9"/>
        </w:rPr>
      </w:pPr>
      <w:r>
        <w:rPr>
          <w:rFonts w:ascii="Times New Roman"/>
          <w:color w:val="131315"/>
          <w:spacing w:val="-335"/>
          <w:w w:val="236"/>
          <w:sz w:val="55"/>
        </w:rPr>
        <w:t>;</w:t>
      </w:r>
      <w:r>
        <w:rPr>
          <w:rFonts w:ascii="Times New Roman"/>
          <w:color w:val="131315"/>
          <w:w w:val="55"/>
          <w:sz w:val="55"/>
        </w:rPr>
        <w:t>0</w:t>
      </w:r>
      <w:r>
        <w:rPr>
          <w:rFonts w:ascii="Times New Roman"/>
          <w:color w:val="131315"/>
          <w:spacing w:val="12"/>
          <w:sz w:val="55"/>
        </w:rPr>
        <w:t> </w:t>
      </w:r>
      <w:r>
        <w:rPr>
          <w:color w:val="545454"/>
          <w:w w:val="157"/>
          <w:position w:val="-6"/>
          <w:sz w:val="9"/>
        </w:rPr>
        <w:t>.</w:t>
      </w:r>
    </w:p>
    <w:p>
      <w:pPr>
        <w:tabs>
          <w:tab w:pos="926" w:val="left" w:leader="none"/>
        </w:tabs>
        <w:spacing w:line="856" w:lineRule="exact" w:before="0"/>
        <w:ind w:left="69" w:right="0" w:firstLine="0"/>
        <w:jc w:val="left"/>
        <w:rPr>
          <w:sz w:val="35"/>
        </w:rPr>
      </w:pPr>
      <w:r>
        <w:rPr/>
        <w:br w:type="column"/>
      </w:r>
      <w:r>
        <w:rPr>
          <w:color w:val="3B3B3B"/>
          <w:spacing w:val="-62"/>
          <w:w w:val="91"/>
          <w:sz w:val="26"/>
        </w:rPr>
        <w:t>.</w:t>
      </w:r>
      <w:r>
        <w:rPr>
          <w:rFonts w:ascii="Times New Roman"/>
          <w:color w:val="131315"/>
          <w:spacing w:val="-48"/>
          <w:w w:val="104"/>
          <w:position w:val="-19"/>
          <w:sz w:val="42"/>
        </w:rPr>
        <w:t>.</w:t>
      </w:r>
      <w:r>
        <w:rPr>
          <w:color w:val="3B3B3B"/>
          <w:spacing w:val="-4"/>
          <w:w w:val="91"/>
          <w:sz w:val="26"/>
        </w:rPr>
        <w:t>:</w:t>
      </w:r>
      <w:r>
        <w:rPr>
          <w:color w:val="3B3B3B"/>
          <w:spacing w:val="-140"/>
          <w:w w:val="65"/>
          <w:position w:val="-6"/>
          <w:sz w:val="78"/>
        </w:rPr>
        <w:t>.</w:t>
      </w:r>
      <w:r>
        <w:rPr>
          <w:color w:val="3B3B3B"/>
          <w:spacing w:val="-19"/>
          <w:w w:val="91"/>
          <w:sz w:val="26"/>
        </w:rPr>
        <w:t>&amp;</w:t>
      </w:r>
      <w:r>
        <w:rPr>
          <w:rFonts w:ascii="Times New Roman"/>
          <w:color w:val="131315"/>
          <w:spacing w:val="-91"/>
          <w:w w:val="104"/>
          <w:position w:val="-19"/>
          <w:sz w:val="42"/>
        </w:rPr>
        <w:t>.</w:t>
      </w:r>
      <w:r>
        <w:rPr>
          <w:color w:val="3B3B3B"/>
          <w:w w:val="91"/>
          <w:sz w:val="26"/>
        </w:rPr>
        <w:t>:</w:t>
      </w:r>
      <w:r>
        <w:rPr>
          <w:color w:val="3B3B3B"/>
          <w:sz w:val="26"/>
        </w:rPr>
        <w:tab/>
      </w:r>
      <w:r>
        <w:rPr>
          <w:color w:val="131315"/>
          <w:w w:val="61"/>
          <w:position w:val="-6"/>
          <w:sz w:val="35"/>
        </w:rPr>
        <w:t>.-</w:t>
      </w:r>
    </w:p>
    <w:p>
      <w:pPr>
        <w:spacing w:after="0" w:line="856" w:lineRule="exact"/>
        <w:jc w:val="left"/>
        <w:rPr>
          <w:sz w:val="35"/>
        </w:rPr>
        <w:sectPr>
          <w:type w:val="continuous"/>
          <w:pgSz w:w="11910" w:h="16840"/>
          <w:pgMar w:top="0" w:bottom="280" w:left="660" w:right="840"/>
          <w:cols w:num="2" w:equalWidth="0">
            <w:col w:w="4944" w:space="40"/>
            <w:col w:w="5426"/>
          </w:cols>
        </w:sectPr>
      </w:pPr>
    </w:p>
    <w:p>
      <w:pPr>
        <w:pStyle w:val="BodyText"/>
        <w:rPr>
          <w:sz w:val="6"/>
        </w:rPr>
      </w:pPr>
    </w:p>
    <w:p>
      <w:pPr>
        <w:pStyle w:val="BodyText"/>
        <w:spacing w:before="2"/>
        <w:rPr>
          <w:sz w:val="7"/>
        </w:rPr>
      </w:pPr>
    </w:p>
    <w:p>
      <w:pPr>
        <w:spacing w:line="66" w:lineRule="exact" w:before="0"/>
        <w:ind w:left="61" w:right="0" w:firstLine="0"/>
        <w:jc w:val="center"/>
        <w:rPr>
          <w:rFonts w:ascii="Times New Roman"/>
          <w:sz w:val="6"/>
        </w:rPr>
      </w:pPr>
      <w:r>
        <w:rPr>
          <w:rFonts w:ascii="Times New Roman"/>
          <w:b/>
          <w:color w:val="3B3B3B"/>
          <w:w w:val="165"/>
          <w:sz w:val="6"/>
        </w:rPr>
        <w:t>,., </w:t>
      </w:r>
      <w:r>
        <w:rPr>
          <w:rFonts w:ascii="Times New Roman"/>
          <w:b/>
          <w:color w:val="131315"/>
          <w:w w:val="130"/>
          <w:sz w:val="6"/>
        </w:rPr>
        <w:t>.. </w:t>
      </w:r>
      <w:r>
        <w:rPr>
          <w:rFonts w:ascii="Times New Roman"/>
          <w:b/>
          <w:color w:val="3B3B3B"/>
          <w:w w:val="130"/>
          <w:sz w:val="6"/>
        </w:rPr>
        <w:t>"lt.llO)</w:t>
      </w:r>
      <w:r>
        <w:rPr>
          <w:rFonts w:ascii="Times New Roman"/>
          <w:b/>
          <w:color w:val="545454"/>
          <w:w w:val="130"/>
          <w:sz w:val="6"/>
        </w:rPr>
        <w:t>&lt;&gt;u  </w:t>
      </w:r>
      <w:r>
        <w:rPr>
          <w:rFonts w:ascii="Times New Roman"/>
          <w:b/>
          <w:color w:val="3B3B3B"/>
          <w:w w:val="115"/>
          <w:sz w:val="6"/>
        </w:rPr>
        <w:t>M  </w:t>
      </w:r>
      <w:r>
        <w:rPr>
          <w:rFonts w:ascii="Times New Roman"/>
          <w:color w:val="3B3B3B"/>
          <w:w w:val="180"/>
          <w:sz w:val="6"/>
        </w:rPr>
        <w:t>.,.,. </w:t>
      </w:r>
      <w:r>
        <w:rPr>
          <w:rFonts w:ascii="Times New Roman"/>
          <w:color w:val="3B3B3B"/>
          <w:w w:val="165"/>
          <w:sz w:val="6"/>
        </w:rPr>
        <w:t>,.,</w:t>
      </w:r>
      <w:r>
        <w:rPr>
          <w:rFonts w:ascii="Times New Roman"/>
          <w:color w:val="545454"/>
          <w:w w:val="165"/>
          <w:sz w:val="6"/>
        </w:rPr>
        <w:t>, </w:t>
      </w:r>
      <w:r>
        <w:rPr>
          <w:rFonts w:ascii="Times New Roman"/>
          <w:color w:val="3B3B3B"/>
          <w:w w:val="295"/>
          <w:sz w:val="6"/>
        </w:rPr>
        <w:t>,</w:t>
      </w:r>
    </w:p>
    <w:p>
      <w:pPr>
        <w:spacing w:line="66" w:lineRule="exact" w:before="0"/>
        <w:ind w:left="0" w:right="980" w:firstLine="0"/>
        <w:jc w:val="center"/>
        <w:rPr>
          <w:rFonts w:ascii="Times New Roman"/>
          <w:b/>
          <w:sz w:val="6"/>
        </w:rPr>
      </w:pPr>
      <w:r>
        <w:rPr/>
        <w:drawing>
          <wp:anchor distT="0" distB="0" distL="0" distR="0" allowOverlap="1" layoutInCell="1" locked="0" behindDoc="0" simplePos="0" relativeHeight="5440">
            <wp:simplePos x="0" y="0"/>
            <wp:positionH relativeFrom="page">
              <wp:posOffset>3316224</wp:posOffset>
            </wp:positionH>
            <wp:positionV relativeFrom="paragraph">
              <wp:posOffset>120597</wp:posOffset>
            </wp:positionV>
            <wp:extent cx="841247" cy="243840"/>
            <wp:effectExtent l="0" t="0" r="0" b="0"/>
            <wp:wrapTopAndBottom/>
            <wp:docPr id="79" name="image67.jpeg" descr=""/>
            <wp:cNvGraphicFramePr>
              <a:graphicFrameLocks noChangeAspect="1"/>
            </wp:cNvGraphicFramePr>
            <a:graphic>
              <a:graphicData uri="http://schemas.openxmlformats.org/drawingml/2006/picture">
                <pic:pic>
                  <pic:nvPicPr>
                    <pic:cNvPr id="80" name="image67.jpeg"/>
                    <pic:cNvPicPr/>
                  </pic:nvPicPr>
                  <pic:blipFill>
                    <a:blip r:embed="rId196" cstate="print"/>
                    <a:stretch>
                      <a:fillRect/>
                    </a:stretch>
                  </pic:blipFill>
                  <pic:spPr>
                    <a:xfrm>
                      <a:off x="0" y="0"/>
                      <a:ext cx="841247" cy="243840"/>
                    </a:xfrm>
                    <a:prstGeom prst="rect">
                      <a:avLst/>
                    </a:prstGeom>
                  </pic:spPr>
                </pic:pic>
              </a:graphicData>
            </a:graphic>
          </wp:anchor>
        </w:drawing>
      </w:r>
      <w:r>
        <w:rPr>
          <w:rFonts w:ascii="Times New Roman"/>
          <w:b/>
          <w:color w:val="3B3B3B"/>
          <w:w w:val="148"/>
          <w:sz w:val="6"/>
        </w:rPr>
        <w:t>0</w:t>
      </w:r>
    </w:p>
    <w:p>
      <w:pPr>
        <w:pStyle w:val="BodyText"/>
        <w:rPr>
          <w:rFonts w:ascii="Times New Roman"/>
          <w:b/>
          <w:sz w:val="20"/>
        </w:rPr>
      </w:pPr>
    </w:p>
    <w:p>
      <w:pPr>
        <w:pStyle w:val="BodyText"/>
        <w:rPr>
          <w:rFonts w:ascii="Times New Roman"/>
          <w:b/>
          <w:sz w:val="20"/>
        </w:rPr>
      </w:pPr>
    </w:p>
    <w:p>
      <w:pPr>
        <w:pStyle w:val="BodyText"/>
        <w:spacing w:before="1"/>
        <w:rPr>
          <w:rFonts w:ascii="Times New Roman"/>
          <w:b/>
        </w:rPr>
      </w:pPr>
    </w:p>
    <w:p>
      <w:pPr>
        <w:pStyle w:val="Heading8"/>
        <w:spacing w:before="75"/>
        <w:ind w:left="699" w:right="118"/>
        <w:jc w:val="left"/>
      </w:pPr>
      <w:r>
        <w:rPr>
          <w:color w:val="131315"/>
        </w:rPr>
        <w:t>To the Directors</w:t>
      </w:r>
    </w:p>
    <w:p>
      <w:pPr>
        <w:spacing w:before="0"/>
        <w:ind w:left="714" w:right="118" w:firstLine="0"/>
        <w:jc w:val="left"/>
        <w:rPr>
          <w:sz w:val="20"/>
        </w:rPr>
      </w:pPr>
      <w:r>
        <w:rPr>
          <w:color w:val="131315"/>
          <w:sz w:val="20"/>
        </w:rPr>
        <w:t>UWS College Pty Limited</w:t>
      </w:r>
    </w:p>
    <w:p>
      <w:pPr>
        <w:pStyle w:val="BodyText"/>
        <w:rPr>
          <w:sz w:val="20"/>
        </w:rPr>
      </w:pPr>
    </w:p>
    <w:p>
      <w:pPr>
        <w:pStyle w:val="BodyText"/>
        <w:rPr>
          <w:sz w:val="20"/>
        </w:rPr>
      </w:pPr>
    </w:p>
    <w:p>
      <w:pPr>
        <w:pStyle w:val="BodyText"/>
        <w:rPr>
          <w:sz w:val="20"/>
        </w:rPr>
      </w:pPr>
    </w:p>
    <w:p>
      <w:pPr>
        <w:pStyle w:val="BodyText"/>
        <w:spacing w:before="3"/>
        <w:rPr>
          <w:sz w:val="17"/>
        </w:rPr>
      </w:pPr>
    </w:p>
    <w:p>
      <w:pPr>
        <w:spacing w:before="71"/>
        <w:ind w:left="63" w:right="0" w:firstLine="0"/>
        <w:jc w:val="center"/>
        <w:rPr>
          <w:b/>
          <w:sz w:val="23"/>
        </w:rPr>
      </w:pPr>
      <w:r>
        <w:rPr>
          <w:b/>
          <w:color w:val="131315"/>
          <w:sz w:val="23"/>
        </w:rPr>
        <w:t>Auditor's  Independence  Declaration</w:t>
      </w:r>
    </w:p>
    <w:p>
      <w:pPr>
        <w:pStyle w:val="BodyText"/>
        <w:rPr>
          <w:b/>
          <w:sz w:val="22"/>
        </w:rPr>
      </w:pPr>
    </w:p>
    <w:p>
      <w:pPr>
        <w:pStyle w:val="BodyText"/>
        <w:rPr>
          <w:b/>
          <w:sz w:val="22"/>
        </w:rPr>
      </w:pPr>
    </w:p>
    <w:p>
      <w:pPr>
        <w:spacing w:line="242" w:lineRule="auto" w:before="182"/>
        <w:ind w:left="709" w:right="644" w:hanging="10"/>
        <w:jc w:val="both"/>
        <w:rPr>
          <w:sz w:val="20"/>
        </w:rPr>
      </w:pPr>
      <w:r>
        <w:rPr>
          <w:color w:val="131315"/>
          <w:sz w:val="20"/>
        </w:rPr>
        <w:t>As auditor for the audit of the financial statements  of  UWS College  Pty Limited for the year  ended  31 December </w:t>
      </w:r>
      <w:r>
        <w:rPr>
          <w:color w:val="131315"/>
          <w:spacing w:val="2"/>
          <w:sz w:val="20"/>
        </w:rPr>
        <w:t>2012</w:t>
      </w:r>
      <w:r>
        <w:rPr>
          <w:color w:val="3B3B3B"/>
          <w:spacing w:val="2"/>
          <w:sz w:val="20"/>
        </w:rPr>
        <w:t>, </w:t>
      </w:r>
      <w:r>
        <w:rPr>
          <w:color w:val="131315"/>
          <w:sz w:val="20"/>
        </w:rPr>
        <w:t>I </w:t>
      </w:r>
      <w:r>
        <w:rPr>
          <w:color w:val="131315"/>
          <w:spacing w:val="2"/>
          <w:sz w:val="20"/>
        </w:rPr>
        <w:t>declare</w:t>
      </w:r>
      <w:r>
        <w:rPr>
          <w:color w:val="3B3B3B"/>
          <w:spacing w:val="2"/>
          <w:sz w:val="20"/>
        </w:rPr>
        <w:t>, </w:t>
      </w:r>
      <w:r>
        <w:rPr>
          <w:color w:val="131315"/>
          <w:sz w:val="20"/>
        </w:rPr>
        <w:t>to the best of my knowledge and </w:t>
      </w:r>
      <w:r>
        <w:rPr>
          <w:color w:val="131315"/>
          <w:spacing w:val="2"/>
          <w:sz w:val="20"/>
        </w:rPr>
        <w:t>belief</w:t>
      </w:r>
      <w:r>
        <w:rPr>
          <w:color w:val="3B3B3B"/>
          <w:spacing w:val="2"/>
          <w:sz w:val="20"/>
        </w:rPr>
        <w:t>, </w:t>
      </w:r>
      <w:r>
        <w:rPr>
          <w:color w:val="131315"/>
          <w:sz w:val="20"/>
        </w:rPr>
        <w:t>there have been no contraventions</w:t>
      </w:r>
      <w:r>
        <w:rPr>
          <w:color w:val="131315"/>
          <w:spacing w:val="-2"/>
          <w:sz w:val="20"/>
        </w:rPr>
        <w:t> </w:t>
      </w:r>
      <w:r>
        <w:rPr>
          <w:color w:val="131315"/>
          <w:sz w:val="20"/>
        </w:rPr>
        <w:t>of:</w:t>
      </w:r>
    </w:p>
    <w:p>
      <w:pPr>
        <w:pStyle w:val="BodyText"/>
        <w:spacing w:before="11"/>
        <w:rPr>
          <w:sz w:val="23"/>
        </w:rPr>
      </w:pPr>
    </w:p>
    <w:p>
      <w:pPr>
        <w:pStyle w:val="ListParagraph"/>
        <w:numPr>
          <w:ilvl w:val="0"/>
          <w:numId w:val="92"/>
        </w:numPr>
        <w:tabs>
          <w:tab w:pos="1280" w:val="left" w:leader="none"/>
        </w:tabs>
        <w:spacing w:line="240" w:lineRule="auto" w:before="0" w:after="0"/>
        <w:ind w:left="1279" w:right="0" w:hanging="570"/>
        <w:jc w:val="both"/>
        <w:rPr>
          <w:sz w:val="20"/>
        </w:rPr>
      </w:pPr>
      <w:r>
        <w:rPr>
          <w:color w:val="131315"/>
          <w:sz w:val="20"/>
        </w:rPr>
        <w:t>the auditor independence requirements of the </w:t>
      </w:r>
      <w:r>
        <w:rPr>
          <w:i/>
          <w:color w:val="131315"/>
          <w:sz w:val="19"/>
        </w:rPr>
        <w:t>Corporations Act 2001 </w:t>
      </w:r>
      <w:r>
        <w:rPr>
          <w:color w:val="131315"/>
          <w:sz w:val="20"/>
        </w:rPr>
        <w:t>in relation to the </w:t>
      </w:r>
      <w:r>
        <w:rPr>
          <w:color w:val="131315"/>
          <w:spacing w:val="9"/>
          <w:sz w:val="20"/>
        </w:rPr>
        <w:t> </w:t>
      </w:r>
      <w:r>
        <w:rPr>
          <w:color w:val="131315"/>
          <w:sz w:val="20"/>
        </w:rPr>
        <w:t>audit</w:t>
      </w:r>
    </w:p>
    <w:p>
      <w:pPr>
        <w:pStyle w:val="Heading8"/>
        <w:numPr>
          <w:ilvl w:val="0"/>
          <w:numId w:val="92"/>
        </w:numPr>
        <w:tabs>
          <w:tab w:pos="1280" w:val="left" w:leader="none"/>
        </w:tabs>
        <w:spacing w:line="240" w:lineRule="auto" w:before="62" w:after="0"/>
        <w:ind w:left="1279" w:right="0" w:hanging="570"/>
        <w:jc w:val="both"/>
      </w:pPr>
      <w:r>
        <w:rPr>
          <w:color w:val="131315"/>
        </w:rPr>
        <w:t>any applicable code of profess</w:t>
      </w:r>
      <w:r>
        <w:rPr>
          <w:color w:val="3B3B3B"/>
        </w:rPr>
        <w:t>i</w:t>
      </w:r>
      <w:r>
        <w:rPr>
          <w:color w:val="131315"/>
        </w:rPr>
        <w:t>onal conduct in relation to the</w:t>
      </w:r>
      <w:r>
        <w:rPr>
          <w:color w:val="131315"/>
          <w:spacing w:val="-31"/>
        </w:rPr>
        <w:t> </w:t>
      </w:r>
      <w:r>
        <w:rPr>
          <w:color w:val="131315"/>
        </w:rPr>
        <w:t>audit.</w:t>
      </w:r>
    </w:p>
    <w:p>
      <w:pPr>
        <w:pStyle w:val="BodyText"/>
        <w:spacing w:before="9"/>
        <w:rPr>
          <w:sz w:val="21"/>
        </w:rPr>
      </w:pPr>
    </w:p>
    <w:p>
      <w:pPr>
        <w:spacing w:before="0"/>
        <w:ind w:left="470" w:right="118" w:firstLine="0"/>
        <w:jc w:val="left"/>
        <w:rPr>
          <w:rFonts w:ascii="Times New Roman"/>
          <w:i/>
          <w:sz w:val="62"/>
        </w:rPr>
      </w:pPr>
      <w:r>
        <w:rPr>
          <w:rFonts w:ascii="Times New Roman"/>
          <w:i/>
          <w:color w:val="131315"/>
          <w:spacing w:val="-39"/>
          <w:w w:val="150"/>
          <w:sz w:val="62"/>
        </w:rPr>
        <w:t>@1r--</w:t>
      </w:r>
      <w:r>
        <w:rPr>
          <w:rFonts w:ascii="Times New Roman"/>
          <w:i/>
          <w:color w:val="131315"/>
          <w:spacing w:val="12"/>
          <w:w w:val="150"/>
          <w:sz w:val="62"/>
        </w:rPr>
        <w:t> </w:t>
      </w:r>
      <w:r>
        <w:rPr>
          <w:rFonts w:ascii="Times New Roman"/>
          <w:i/>
          <w:color w:val="131315"/>
          <w:spacing w:val="-30"/>
          <w:sz w:val="62"/>
        </w:rPr>
        <w:t>.</w:t>
      </w:r>
    </w:p>
    <w:p>
      <w:pPr>
        <w:pStyle w:val="Heading8"/>
        <w:spacing w:before="14"/>
        <w:ind w:left="714"/>
      </w:pPr>
      <w:r>
        <w:rPr>
          <w:color w:val="131315"/>
        </w:rPr>
        <w:t>Renee Meimaroglou</w:t>
      </w:r>
    </w:p>
    <w:p>
      <w:pPr>
        <w:spacing w:before="0"/>
        <w:ind w:left="714" w:right="0" w:firstLine="0"/>
        <w:jc w:val="both"/>
        <w:rPr>
          <w:sz w:val="20"/>
        </w:rPr>
      </w:pPr>
      <w:r>
        <w:rPr>
          <w:color w:val="131315"/>
          <w:sz w:val="20"/>
        </w:rPr>
        <w:t>Director</w:t>
      </w:r>
      <w:r>
        <w:rPr>
          <w:color w:val="3B3B3B"/>
          <w:sz w:val="20"/>
        </w:rPr>
        <w:t>, </w:t>
      </w:r>
      <w:r>
        <w:rPr>
          <w:color w:val="131315"/>
          <w:sz w:val="20"/>
        </w:rPr>
        <w:t>F</w:t>
      </w:r>
      <w:r>
        <w:rPr>
          <w:color w:val="3B3B3B"/>
          <w:sz w:val="20"/>
        </w:rPr>
        <w:t>i</w:t>
      </w:r>
      <w:r>
        <w:rPr>
          <w:color w:val="131315"/>
          <w:sz w:val="20"/>
        </w:rPr>
        <w:t>nancial Audit Services</w:t>
      </w:r>
    </w:p>
    <w:p>
      <w:pPr>
        <w:pStyle w:val="BodyText"/>
        <w:spacing w:before="6"/>
        <w:rPr>
          <w:sz w:val="19"/>
        </w:rPr>
      </w:pPr>
    </w:p>
    <w:p>
      <w:pPr>
        <w:spacing w:before="1"/>
        <w:ind w:left="704" w:right="0" w:firstLine="0"/>
        <w:jc w:val="both"/>
        <w:rPr>
          <w:sz w:val="20"/>
        </w:rPr>
      </w:pPr>
      <w:r>
        <w:rPr>
          <w:color w:val="131315"/>
          <w:sz w:val="20"/>
        </w:rPr>
        <w:t>2 April 2013</w:t>
      </w:r>
    </w:p>
    <w:p>
      <w:pPr>
        <w:spacing w:before="9"/>
        <w:ind w:left="709" w:right="0" w:firstLine="0"/>
        <w:jc w:val="both"/>
        <w:rPr>
          <w:b/>
          <w:sz w:val="19"/>
        </w:rPr>
      </w:pPr>
      <w:r>
        <w:rPr>
          <w:b/>
          <w:color w:val="131315"/>
          <w:w w:val="105"/>
          <w:sz w:val="19"/>
        </w:rPr>
        <w:t>SYDNEY</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0"/>
        </w:rPr>
      </w:pPr>
      <w:r>
        <w:rPr/>
        <w:pict>
          <v:line style="position:absolute;mso-position-horizontal-relative:page;mso-position-vertical-relative:paragraph;z-index:5464;mso-wrap-distance-left:0;mso-wrap-distance-right:0" from="38.307331pt,14.047594pt" to="546.837011pt,14.047594pt" stroked="true" strokeweight=".478842pt" strokecolor="#4b4b4b">
            <w10:wrap type="topAndBottom"/>
          </v:line>
        </w:pict>
      </w:r>
    </w:p>
    <w:p>
      <w:pPr>
        <w:spacing w:before="97"/>
        <w:ind w:left="2" w:right="0" w:firstLine="0"/>
        <w:jc w:val="center"/>
        <w:rPr>
          <w:sz w:val="13"/>
        </w:rPr>
      </w:pPr>
      <w:r>
        <w:rPr>
          <w:color w:val="131315"/>
          <w:w w:val="105"/>
          <w:sz w:val="13"/>
        </w:rPr>
        <w:t>Level 15</w:t>
      </w:r>
      <w:r>
        <w:rPr>
          <w:color w:val="3B3B3B"/>
          <w:w w:val="105"/>
          <w:sz w:val="13"/>
        </w:rPr>
        <w:t>, </w:t>
      </w:r>
      <w:r>
        <w:rPr>
          <w:color w:val="131315"/>
          <w:w w:val="105"/>
          <w:sz w:val="13"/>
        </w:rPr>
        <w:t>1 Margaret Street, Sydney NSW 2000  </w:t>
      </w:r>
      <w:r>
        <w:rPr>
          <w:color w:val="3B3B3B"/>
          <w:w w:val="90"/>
          <w:sz w:val="19"/>
        </w:rPr>
        <w:t>I </w:t>
      </w:r>
      <w:r>
        <w:rPr>
          <w:color w:val="3B3B3B"/>
          <w:w w:val="105"/>
          <w:sz w:val="13"/>
        </w:rPr>
        <w:t>GPO Bo</w:t>
      </w:r>
      <w:r>
        <w:rPr>
          <w:color w:val="545454"/>
          <w:w w:val="105"/>
          <w:sz w:val="13"/>
        </w:rPr>
        <w:t>x  </w:t>
      </w:r>
      <w:r>
        <w:rPr>
          <w:color w:val="3B3B3B"/>
          <w:w w:val="105"/>
          <w:sz w:val="13"/>
        </w:rPr>
        <w:t>12</w:t>
      </w:r>
      <w:r>
        <w:rPr>
          <w:color w:val="545454"/>
          <w:w w:val="105"/>
          <w:sz w:val="13"/>
        </w:rPr>
        <w:t>, </w:t>
      </w:r>
      <w:r>
        <w:rPr>
          <w:color w:val="3B3B3B"/>
          <w:w w:val="105"/>
          <w:sz w:val="13"/>
        </w:rPr>
        <w:t>S</w:t>
      </w:r>
      <w:r>
        <w:rPr>
          <w:color w:val="545454"/>
          <w:w w:val="105"/>
          <w:sz w:val="13"/>
        </w:rPr>
        <w:t>y</w:t>
      </w:r>
      <w:r>
        <w:rPr>
          <w:color w:val="3B3B3B"/>
          <w:w w:val="105"/>
          <w:sz w:val="13"/>
        </w:rPr>
        <w:t>dne</w:t>
      </w:r>
      <w:r>
        <w:rPr>
          <w:color w:val="545454"/>
          <w:w w:val="105"/>
          <w:sz w:val="13"/>
        </w:rPr>
        <w:t>y </w:t>
      </w:r>
      <w:r>
        <w:rPr>
          <w:color w:val="3B3B3B"/>
          <w:w w:val="105"/>
          <w:sz w:val="13"/>
        </w:rPr>
        <w:t>NSW 2001  </w:t>
      </w:r>
      <w:r>
        <w:rPr>
          <w:color w:val="3B3B3B"/>
          <w:w w:val="90"/>
          <w:sz w:val="19"/>
        </w:rPr>
        <w:t>I </w:t>
      </w:r>
      <w:r>
        <w:rPr>
          <w:color w:val="131315"/>
          <w:w w:val="105"/>
          <w:sz w:val="13"/>
        </w:rPr>
        <w:t>t </w:t>
      </w:r>
      <w:r>
        <w:rPr>
          <w:color w:val="3B3B3B"/>
          <w:w w:val="105"/>
          <w:sz w:val="13"/>
        </w:rPr>
        <w:t>02 9275 7101  </w:t>
      </w:r>
      <w:r>
        <w:rPr>
          <w:color w:val="545454"/>
          <w:w w:val="90"/>
          <w:sz w:val="19"/>
        </w:rPr>
        <w:t>I </w:t>
      </w:r>
      <w:r>
        <w:rPr>
          <w:color w:val="131315"/>
          <w:w w:val="105"/>
          <w:sz w:val="13"/>
        </w:rPr>
        <w:t>f </w:t>
      </w:r>
      <w:r>
        <w:rPr>
          <w:color w:val="3B3B3B"/>
          <w:w w:val="105"/>
          <w:sz w:val="13"/>
        </w:rPr>
        <w:t>02 9275 7179  </w:t>
      </w:r>
      <w:r>
        <w:rPr>
          <w:color w:val="131315"/>
          <w:w w:val="90"/>
          <w:sz w:val="19"/>
        </w:rPr>
        <w:t>I </w:t>
      </w:r>
      <w:r>
        <w:rPr>
          <w:color w:val="3B3B3B"/>
          <w:w w:val="105"/>
          <w:sz w:val="13"/>
        </w:rPr>
        <w:t>e </w:t>
      </w:r>
      <w:hyperlink r:id="rId113">
        <w:r>
          <w:rPr>
            <w:color w:val="3B3B3B"/>
            <w:w w:val="105"/>
            <w:sz w:val="13"/>
          </w:rPr>
          <w:t>m</w:t>
        </w:r>
        <w:r>
          <w:rPr>
            <w:color w:val="545454"/>
            <w:w w:val="105"/>
            <w:sz w:val="13"/>
          </w:rPr>
          <w:t>a</w:t>
        </w:r>
        <w:r>
          <w:rPr>
            <w:color w:val="3B3B3B"/>
            <w:w w:val="105"/>
            <w:sz w:val="13"/>
          </w:rPr>
          <w:t>il</w:t>
        </w:r>
        <w:r>
          <w:rPr>
            <w:color w:val="545454"/>
            <w:w w:val="105"/>
            <w:sz w:val="13"/>
          </w:rPr>
          <w:t>@</w:t>
        </w:r>
        <w:r>
          <w:rPr>
            <w:color w:val="3B3B3B"/>
            <w:w w:val="105"/>
            <w:sz w:val="13"/>
          </w:rPr>
          <w:t>aud</w:t>
        </w:r>
        <w:r>
          <w:rPr>
            <w:color w:val="545454"/>
            <w:w w:val="105"/>
            <w:sz w:val="13"/>
          </w:rPr>
          <w:t>i</w:t>
        </w:r>
        <w:r>
          <w:rPr>
            <w:color w:val="3B3B3B"/>
            <w:w w:val="105"/>
            <w:sz w:val="13"/>
          </w:rPr>
          <w:t>t.ns</w:t>
        </w:r>
        <w:r>
          <w:rPr>
            <w:color w:val="545454"/>
            <w:w w:val="105"/>
            <w:sz w:val="13"/>
          </w:rPr>
          <w:t>w.</w:t>
        </w:r>
        <w:r>
          <w:rPr>
            <w:color w:val="3B3B3B"/>
            <w:w w:val="105"/>
            <w:sz w:val="13"/>
          </w:rPr>
          <w:t>go</w:t>
        </w:r>
        <w:r>
          <w:rPr>
            <w:color w:val="545454"/>
            <w:w w:val="105"/>
            <w:sz w:val="13"/>
          </w:rPr>
          <w:t>v</w:t>
        </w:r>
        <w:r>
          <w:rPr>
            <w:color w:val="3B3B3B"/>
            <w:w w:val="105"/>
            <w:sz w:val="13"/>
          </w:rPr>
          <w:t>.a</w:t>
        </w:r>
        <w:r>
          <w:rPr>
            <w:color w:val="131315"/>
            <w:w w:val="105"/>
            <w:sz w:val="13"/>
          </w:rPr>
          <w:t>u</w:t>
        </w:r>
      </w:hyperlink>
      <w:r>
        <w:rPr>
          <w:color w:val="131315"/>
          <w:w w:val="105"/>
          <w:sz w:val="13"/>
        </w:rPr>
        <w:t>  </w:t>
      </w:r>
      <w:r>
        <w:rPr>
          <w:color w:val="545454"/>
          <w:w w:val="90"/>
          <w:sz w:val="19"/>
        </w:rPr>
        <w:t>I </w:t>
      </w:r>
      <w:r>
        <w:rPr>
          <w:color w:val="131315"/>
          <w:w w:val="105"/>
          <w:sz w:val="13"/>
        </w:rPr>
        <w:t>audit.nsw</w:t>
      </w:r>
      <w:r>
        <w:rPr>
          <w:color w:val="3B3B3B"/>
          <w:w w:val="105"/>
          <w:sz w:val="13"/>
        </w:rPr>
        <w:t>.</w:t>
      </w:r>
      <w:r>
        <w:rPr>
          <w:color w:val="131315"/>
          <w:w w:val="105"/>
          <w:sz w:val="13"/>
        </w:rPr>
        <w:t>gov</w:t>
      </w:r>
      <w:r>
        <w:rPr>
          <w:color w:val="3B3B3B"/>
          <w:w w:val="105"/>
          <w:sz w:val="13"/>
        </w:rPr>
        <w:t>.a</w:t>
      </w:r>
      <w:r>
        <w:rPr>
          <w:color w:val="131315"/>
          <w:w w:val="105"/>
          <w:sz w:val="13"/>
        </w:rPr>
        <w:t>u</w:t>
      </w:r>
    </w:p>
    <w:p>
      <w:pPr>
        <w:spacing w:after="0"/>
        <w:jc w:val="center"/>
        <w:rPr>
          <w:sz w:val="13"/>
        </w:rPr>
        <w:sectPr>
          <w:type w:val="continuous"/>
          <w:pgSz w:w="11910" w:h="16840"/>
          <w:pgMar w:top="0" w:bottom="280" w:left="660" w:right="8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before="56"/>
        <w:ind w:left="2883" w:right="2884" w:firstLine="0"/>
        <w:jc w:val="center"/>
        <w:rPr>
          <w:rFonts w:ascii="Calibri"/>
          <w:sz w:val="22"/>
        </w:rPr>
      </w:pPr>
      <w:r>
        <w:rPr>
          <w:rFonts w:ascii="Calibri"/>
          <w:sz w:val="22"/>
        </w:rPr>
        <w:t>This page is intentionally blank</w:t>
      </w:r>
    </w:p>
    <w:p>
      <w:pPr>
        <w:spacing w:after="0"/>
        <w:jc w:val="center"/>
        <w:rPr>
          <w:rFonts w:ascii="Calibri"/>
          <w:sz w:val="22"/>
        </w:rPr>
        <w:sectPr>
          <w:headerReference w:type="default" r:id="rId197"/>
          <w:footerReference w:type="default" r:id="rId198"/>
          <w:pgSz w:w="11910" w:h="16840"/>
          <w:pgMar w:header="0" w:footer="507" w:top="1580" w:bottom="700" w:left="1680" w:right="1680"/>
          <w:pgNumType w:start="196"/>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4"/>
        <w:rPr>
          <w:rFonts w:ascii="Calibri"/>
        </w:rPr>
      </w:pPr>
    </w:p>
    <w:p>
      <w:pPr>
        <w:pStyle w:val="Heading1"/>
        <w:spacing w:line="644" w:lineRule="exact" w:before="30"/>
        <w:ind w:left="105" w:right="68"/>
      </w:pPr>
      <w:r>
        <w:rPr/>
        <w:t>uwsconnect Limited</w:t>
      </w:r>
    </w:p>
    <w:p>
      <w:pPr>
        <w:spacing w:before="0"/>
        <w:ind w:left="105" w:right="68" w:firstLine="0"/>
        <w:jc w:val="left"/>
        <w:rPr>
          <w:b/>
          <w:sz w:val="20"/>
        </w:rPr>
      </w:pPr>
      <w:r>
        <w:rPr>
          <w:b/>
          <w:sz w:val="20"/>
        </w:rPr>
        <w:t>ABN: 45 107 759 197</w:t>
      </w:r>
    </w:p>
    <w:p>
      <w:pPr>
        <w:pStyle w:val="BodyText"/>
        <w:spacing w:before="10"/>
        <w:rPr>
          <w:b/>
          <w:sz w:val="27"/>
        </w:rPr>
      </w:pPr>
    </w:p>
    <w:p>
      <w:pPr>
        <w:spacing w:before="1"/>
        <w:ind w:left="105" w:right="68" w:firstLine="0"/>
        <w:jc w:val="left"/>
        <w:rPr>
          <w:b/>
          <w:sz w:val="28"/>
        </w:rPr>
      </w:pPr>
      <w:r>
        <w:rPr>
          <w:b/>
          <w:sz w:val="28"/>
        </w:rPr>
        <w:t>Financial Statements</w:t>
      </w:r>
    </w:p>
    <w:p>
      <w:pPr>
        <w:spacing w:before="230"/>
        <w:ind w:left="105" w:right="68" w:firstLine="0"/>
        <w:jc w:val="left"/>
        <w:rPr>
          <w:b/>
          <w:sz w:val="20"/>
        </w:rPr>
      </w:pPr>
      <w:r>
        <w:rPr>
          <w:b/>
          <w:sz w:val="20"/>
        </w:rPr>
        <w:t>For the Year Ended 31 December 2012</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0"/>
        </w:rPr>
      </w:pPr>
    </w:p>
    <w:p>
      <w:pPr>
        <w:pStyle w:val="BodyText"/>
        <w:spacing w:before="1"/>
        <w:ind w:left="105" w:right="68"/>
      </w:pPr>
      <w:r>
        <w:rPr/>
        <w:t>These financial statements are the individual entity statements of uwsconnect Limited (the Company). The financial statements are presented in the Australian currency.</w:t>
      </w:r>
    </w:p>
    <w:p>
      <w:pPr>
        <w:pStyle w:val="BodyText"/>
        <w:spacing w:before="10"/>
        <w:rPr>
          <w:sz w:val="17"/>
        </w:rPr>
      </w:pPr>
    </w:p>
    <w:p>
      <w:pPr>
        <w:pStyle w:val="BodyText"/>
        <w:ind w:left="785" w:right="1440" w:hanging="680"/>
      </w:pPr>
      <w:r>
        <w:rPr/>
        <w:t>The Company is limited by guarantee, incorporated and domiciled in Australia. Its registered office is: University of Western Sydney</w:t>
      </w:r>
    </w:p>
    <w:p>
      <w:pPr>
        <w:pStyle w:val="BodyText"/>
        <w:ind w:left="785" w:right="7634"/>
      </w:pPr>
      <w:r>
        <w:rPr/>
        <w:t>Great Western Highway Werrington NSW 2747</w:t>
      </w:r>
    </w:p>
    <w:p>
      <w:pPr>
        <w:pStyle w:val="BodyText"/>
        <w:spacing w:before="10"/>
        <w:rPr>
          <w:sz w:val="17"/>
        </w:rPr>
      </w:pPr>
    </w:p>
    <w:p>
      <w:pPr>
        <w:pStyle w:val="BodyText"/>
        <w:ind w:left="106" w:right="1060"/>
      </w:pPr>
      <w:r>
        <w:rPr/>
        <w:t>A description of the nature of the Company's operations and its principal activities is included in the directors' report which is not part of these financial statements.</w:t>
      </w:r>
    </w:p>
    <w:p>
      <w:pPr>
        <w:pStyle w:val="BodyText"/>
        <w:spacing w:before="10"/>
        <w:rPr>
          <w:sz w:val="17"/>
        </w:rPr>
      </w:pPr>
    </w:p>
    <w:p>
      <w:pPr>
        <w:pStyle w:val="BodyText"/>
        <w:ind w:left="106" w:right="68"/>
      </w:pPr>
      <w:r>
        <w:rPr/>
        <w:t>The financial statements were authorised for issue by the directors on 25 February 2013. The directors have the power to amend and reissue the financial statements.</w:t>
      </w:r>
    </w:p>
    <w:p>
      <w:pPr>
        <w:spacing w:after="0"/>
        <w:sectPr>
          <w:headerReference w:type="default" r:id="rId199"/>
          <w:footerReference w:type="default" r:id="rId200"/>
          <w:pgSz w:w="11910" w:h="16840"/>
          <w:pgMar w:header="0" w:footer="507" w:top="1600" w:bottom="700" w:left="800" w:right="760"/>
          <w:pgNumType w:start="197"/>
        </w:sectPr>
      </w:pPr>
    </w:p>
    <w:p>
      <w:pPr>
        <w:pStyle w:val="BodyText"/>
        <w:rPr>
          <w:sz w:val="20"/>
        </w:rPr>
      </w:pPr>
    </w:p>
    <w:p>
      <w:pPr>
        <w:spacing w:before="197"/>
        <w:ind w:left="105" w:right="269" w:firstLine="0"/>
        <w:jc w:val="left"/>
        <w:rPr>
          <w:b/>
          <w:sz w:val="22"/>
        </w:rPr>
      </w:pPr>
      <w:r>
        <w:rPr>
          <w:b/>
          <w:sz w:val="22"/>
        </w:rPr>
        <w:t>Directors' report</w:t>
      </w:r>
    </w:p>
    <w:p>
      <w:pPr>
        <w:pStyle w:val="BodyText"/>
        <w:spacing w:before="168"/>
        <w:ind w:left="105" w:right="269"/>
      </w:pPr>
      <w:r>
        <w:rPr/>
        <w:t>Your directors present their report on the Company at the year ended 31 December 2012.</w:t>
      </w:r>
    </w:p>
    <w:p>
      <w:pPr>
        <w:pStyle w:val="BodyText"/>
        <w:spacing w:before="7"/>
        <w:rPr>
          <w:sz w:val="14"/>
        </w:rPr>
      </w:pPr>
    </w:p>
    <w:p>
      <w:pPr>
        <w:pStyle w:val="Heading9"/>
        <w:spacing w:line="207" w:lineRule="exact"/>
        <w:ind w:left="105" w:right="269"/>
      </w:pPr>
      <w:r>
        <w:rPr/>
        <w:t>Directors</w:t>
      </w:r>
    </w:p>
    <w:p>
      <w:pPr>
        <w:pStyle w:val="BodyText"/>
        <w:spacing w:line="207" w:lineRule="exact"/>
        <w:ind w:left="105" w:right="269"/>
      </w:pPr>
      <w:r>
        <w:rPr/>
        <w:t>The following persons were directors of the Company during the whole of the financial year and up to the date of this report:</w:t>
      </w:r>
    </w:p>
    <w:p>
      <w:pPr>
        <w:pStyle w:val="BodyText"/>
      </w:pPr>
    </w:p>
    <w:p>
      <w:pPr>
        <w:pStyle w:val="BodyText"/>
        <w:spacing w:before="7"/>
        <w:rPr>
          <w:sz w:val="14"/>
        </w:rPr>
      </w:pPr>
    </w:p>
    <w:p>
      <w:pPr>
        <w:pStyle w:val="BodyText"/>
        <w:ind w:left="105" w:right="8964"/>
      </w:pPr>
      <w:r>
        <w:rPr/>
        <w:t>Timothy Ferraro John Banks Vicki Buchanan James Majarich Aisha Parsons Thea Seabrook</w:t>
      </w:r>
    </w:p>
    <w:p>
      <w:pPr>
        <w:pStyle w:val="BodyText"/>
        <w:spacing w:line="206" w:lineRule="exact"/>
        <w:ind w:left="105" w:right="269"/>
      </w:pPr>
      <w:r>
        <w:rPr/>
        <w:t>David Stephens (resigned 14 August 2012)</w:t>
      </w:r>
    </w:p>
    <w:p>
      <w:pPr>
        <w:pStyle w:val="BodyText"/>
        <w:ind w:left="105" w:right="1349"/>
      </w:pPr>
      <w:r>
        <w:rPr/>
        <w:t>Brent Jones was appointed a director on 10 December 2012 and continues in office at the date of this report. Harpreet Singh was appointed a director on 10 December 2012 and continues in office at the date of this report.</w:t>
      </w:r>
    </w:p>
    <w:p>
      <w:pPr>
        <w:pStyle w:val="BodyText"/>
        <w:spacing w:before="7"/>
        <w:rPr>
          <w:sz w:val="14"/>
        </w:rPr>
      </w:pPr>
    </w:p>
    <w:p>
      <w:pPr>
        <w:pStyle w:val="Heading9"/>
        <w:spacing w:line="207" w:lineRule="exact"/>
        <w:ind w:left="105" w:right="269"/>
      </w:pPr>
      <w:r>
        <w:rPr/>
        <w:t>Short and long term objectives and strategy</w:t>
      </w:r>
    </w:p>
    <w:p>
      <w:pPr>
        <w:pStyle w:val="BodyText"/>
        <w:ind w:left="105" w:right="269"/>
      </w:pPr>
      <w:r>
        <w:rPr/>
        <w:t>The principal objective of the Company is to provide food and beverage, retail, sporting and campus life facilities and services across all six of the University of Western Sydney campuses.</w:t>
      </w:r>
    </w:p>
    <w:p>
      <w:pPr>
        <w:pStyle w:val="BodyText"/>
        <w:spacing w:before="7"/>
        <w:rPr>
          <w:sz w:val="14"/>
        </w:rPr>
      </w:pPr>
    </w:p>
    <w:p>
      <w:pPr>
        <w:pStyle w:val="BodyText"/>
        <w:ind w:left="105" w:right="469"/>
      </w:pPr>
      <w:r>
        <w:rPr/>
        <w:t>The Company aims to work collaboratively to build a strong, professional and financially sustainable business that provides equitable and affordable services to meet the needs of the UWS community and residents of Greater Western Sydney.</w:t>
      </w:r>
    </w:p>
    <w:p>
      <w:pPr>
        <w:pStyle w:val="BodyText"/>
      </w:pPr>
    </w:p>
    <w:p>
      <w:pPr>
        <w:pStyle w:val="BodyText"/>
        <w:spacing w:before="7"/>
        <w:rPr>
          <w:sz w:val="14"/>
        </w:rPr>
      </w:pPr>
    </w:p>
    <w:p>
      <w:pPr>
        <w:pStyle w:val="Heading9"/>
        <w:spacing w:line="207" w:lineRule="exact"/>
        <w:ind w:left="105" w:right="269"/>
      </w:pPr>
      <w:r>
        <w:rPr/>
        <w:t>Principal activities</w:t>
      </w:r>
    </w:p>
    <w:p>
      <w:pPr>
        <w:pStyle w:val="BodyText"/>
        <w:ind w:left="105" w:right="108"/>
      </w:pPr>
      <w:r>
        <w:rPr/>
        <w:t>During the 2012 financial year, uwsconnect Limited continued the provision of sports and leisure, retail, food and beverage, and other services consistent with its principal objective.</w:t>
      </w:r>
    </w:p>
    <w:p>
      <w:pPr>
        <w:pStyle w:val="BodyText"/>
      </w:pPr>
    </w:p>
    <w:p>
      <w:pPr>
        <w:pStyle w:val="BodyText"/>
        <w:spacing w:before="7"/>
        <w:rPr>
          <w:sz w:val="14"/>
        </w:rPr>
      </w:pPr>
    </w:p>
    <w:p>
      <w:pPr>
        <w:pStyle w:val="Heading9"/>
        <w:spacing w:line="207" w:lineRule="exact"/>
        <w:ind w:left="105" w:right="269"/>
      </w:pPr>
      <w:r>
        <w:rPr/>
        <w:t>Performance measures</w:t>
      </w:r>
    </w:p>
    <w:p>
      <w:pPr>
        <w:pStyle w:val="BodyText"/>
        <w:ind w:left="105" w:right="319"/>
      </w:pPr>
      <w:r>
        <w:rPr/>
        <w:t>The performance measures of the Company can be separated into financial KPI’s relating to profit and revenue for all trading areas and non financial KPI’s relating to Community Services, based on participation and compliance.</w:t>
      </w:r>
    </w:p>
    <w:p>
      <w:pPr>
        <w:pStyle w:val="BodyText"/>
      </w:pPr>
    </w:p>
    <w:p>
      <w:pPr>
        <w:pStyle w:val="BodyText"/>
        <w:spacing w:before="7"/>
        <w:rPr>
          <w:sz w:val="14"/>
        </w:rPr>
      </w:pPr>
    </w:p>
    <w:p>
      <w:pPr>
        <w:pStyle w:val="Heading9"/>
        <w:spacing w:line="207" w:lineRule="exact"/>
        <w:ind w:left="105" w:right="269"/>
      </w:pPr>
      <w:r>
        <w:rPr/>
        <w:t>Dividends</w:t>
      </w:r>
    </w:p>
    <w:p>
      <w:pPr>
        <w:pStyle w:val="BodyText"/>
        <w:ind w:left="105" w:right="358"/>
      </w:pPr>
      <w:r>
        <w:rPr/>
        <w:t>No dividend is paid or payable since the commencement of the financial year and up to and including the date of signing this report (2011: $nil).</w:t>
      </w:r>
    </w:p>
    <w:p>
      <w:pPr>
        <w:pStyle w:val="BodyText"/>
      </w:pPr>
    </w:p>
    <w:p>
      <w:pPr>
        <w:pStyle w:val="BodyText"/>
        <w:spacing w:before="7"/>
        <w:rPr>
          <w:sz w:val="14"/>
        </w:rPr>
      </w:pPr>
    </w:p>
    <w:p>
      <w:pPr>
        <w:pStyle w:val="Heading9"/>
        <w:spacing w:line="207" w:lineRule="exact"/>
        <w:ind w:left="105" w:right="269"/>
      </w:pPr>
      <w:r>
        <w:rPr/>
        <w:t>Review of operations</w:t>
      </w:r>
    </w:p>
    <w:p>
      <w:pPr>
        <w:pStyle w:val="BodyText"/>
        <w:spacing w:line="207" w:lineRule="exact"/>
        <w:ind w:left="105" w:right="269"/>
      </w:pPr>
      <w:r>
        <w:rPr/>
        <w:t>The surplus/(deficit) for the year ended 31 December 2012 is $158,227 (2011: $20,341).</w:t>
      </w:r>
    </w:p>
    <w:p>
      <w:pPr>
        <w:pStyle w:val="BodyText"/>
      </w:pPr>
    </w:p>
    <w:p>
      <w:pPr>
        <w:pStyle w:val="BodyText"/>
        <w:spacing w:before="8"/>
        <w:rPr>
          <w:sz w:val="16"/>
        </w:rPr>
      </w:pPr>
    </w:p>
    <w:p>
      <w:pPr>
        <w:pStyle w:val="Heading9"/>
        <w:spacing w:line="207" w:lineRule="exact"/>
        <w:ind w:left="105" w:right="269"/>
      </w:pPr>
      <w:r>
        <w:rPr/>
        <w:t>Significant changes in the state of affairs</w:t>
      </w:r>
    </w:p>
    <w:p>
      <w:pPr>
        <w:pStyle w:val="BodyText"/>
        <w:spacing w:line="207" w:lineRule="exact"/>
        <w:ind w:left="105" w:right="269"/>
      </w:pPr>
      <w:r>
        <w:rPr/>
        <w:t>There were no significant changes in the Company's state of affairs during the financial year.</w:t>
      </w:r>
    </w:p>
    <w:p>
      <w:pPr>
        <w:pStyle w:val="BodyText"/>
      </w:pPr>
    </w:p>
    <w:p>
      <w:pPr>
        <w:pStyle w:val="BodyText"/>
        <w:spacing w:before="7"/>
        <w:rPr>
          <w:sz w:val="14"/>
        </w:rPr>
      </w:pPr>
    </w:p>
    <w:p>
      <w:pPr>
        <w:pStyle w:val="Heading9"/>
        <w:spacing w:line="207" w:lineRule="exact"/>
        <w:ind w:left="105" w:right="269"/>
      </w:pPr>
      <w:r>
        <w:rPr/>
        <w:t>Events subsequent to reporting date</w:t>
      </w:r>
    </w:p>
    <w:p>
      <w:pPr>
        <w:pStyle w:val="BodyText"/>
        <w:ind w:left="105" w:right="139"/>
      </w:pPr>
      <w:r>
        <w:rPr/>
        <w:t>There has not been any matter or circumstance, other than that referred to in the financial statements or notes thereto, that has arisen since the end of the financial year, that has significantly affected, or may significantly affect, the operations of the Company, the results of the operation, or the state of affairs of the Company in future financial years.</w:t>
      </w:r>
    </w:p>
    <w:p>
      <w:pPr>
        <w:pStyle w:val="BodyText"/>
        <w:spacing w:before="11"/>
        <w:rPr>
          <w:sz w:val="19"/>
        </w:rPr>
      </w:pPr>
    </w:p>
    <w:p>
      <w:pPr>
        <w:pStyle w:val="Heading9"/>
        <w:spacing w:line="207" w:lineRule="exact"/>
        <w:ind w:left="105" w:right="269"/>
      </w:pPr>
      <w:r>
        <w:rPr/>
        <w:t>Likely developments and expected results of operations in future years</w:t>
      </w:r>
    </w:p>
    <w:p>
      <w:pPr>
        <w:pStyle w:val="BodyText"/>
        <w:ind w:left="105" w:right="89"/>
      </w:pPr>
      <w:r>
        <w:rPr/>
        <w:t>Likely developments in the entity’s operation in future financial years are not expected to significantly affect the expected results of the Company.</w:t>
      </w:r>
    </w:p>
    <w:p>
      <w:pPr>
        <w:pStyle w:val="BodyText"/>
        <w:spacing w:before="11"/>
        <w:rPr>
          <w:sz w:val="19"/>
        </w:rPr>
      </w:pPr>
    </w:p>
    <w:p>
      <w:pPr>
        <w:pStyle w:val="Heading9"/>
        <w:spacing w:line="207" w:lineRule="exact"/>
        <w:ind w:left="105" w:right="269"/>
      </w:pPr>
      <w:r>
        <w:rPr/>
        <w:t>Environmental regulation</w:t>
      </w:r>
    </w:p>
    <w:p>
      <w:pPr>
        <w:pStyle w:val="BodyText"/>
        <w:spacing w:line="207" w:lineRule="exact"/>
        <w:ind w:left="105" w:right="269"/>
      </w:pPr>
      <w:r>
        <w:rPr/>
        <w:t>The Company is not subject to any significant environmental regulations.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r>
        <w:rPr/>
        <w:pict>
          <v:line style="position:absolute;mso-position-horizontal-relative:page;mso-position-vertical-relative:paragraph;z-index:5488;mso-wrap-distance-left:0;mso-wrap-distance-right:0" from="297.900299pt,12.359057pt" to="302.904299pt,12.359057pt" stroked="true" strokeweight=".7487pt" strokecolor="#ff0000">
            <w10:wrap type="topAndBottom"/>
          </v:line>
        </w:pict>
      </w:r>
    </w:p>
    <w:p>
      <w:pPr>
        <w:spacing w:after="0"/>
        <w:rPr>
          <w:sz w:val="17"/>
        </w:rPr>
        <w:sectPr>
          <w:headerReference w:type="default" r:id="rId201"/>
          <w:pgSz w:w="11910" w:h="16840"/>
          <w:pgMar w:header="936" w:footer="507" w:top="2040" w:bottom="700" w:left="800" w:right="740"/>
        </w:sectPr>
      </w:pPr>
    </w:p>
    <w:p>
      <w:pPr>
        <w:pStyle w:val="BodyText"/>
        <w:spacing w:before="1"/>
        <w:rPr>
          <w:sz w:val="15"/>
        </w:rPr>
      </w:pPr>
    </w:p>
    <w:p>
      <w:pPr>
        <w:pStyle w:val="Heading9"/>
        <w:ind w:left="105" w:right="685"/>
      </w:pPr>
      <w:r>
        <w:rPr/>
        <w:t>Information on directors</w:t>
      </w:r>
    </w:p>
    <w:p>
      <w:pPr>
        <w:pStyle w:val="BodyText"/>
        <w:spacing w:before="11"/>
        <w:rPr>
          <w:b/>
          <w:sz w:val="19"/>
        </w:rPr>
      </w:pPr>
    </w:p>
    <w:p>
      <w:pPr>
        <w:pStyle w:val="BodyText"/>
        <w:tabs>
          <w:tab w:pos="1607" w:val="left" w:leader="none"/>
        </w:tabs>
        <w:ind w:left="1607" w:right="452" w:hanging="1502"/>
      </w:pPr>
      <w:r>
        <w:rPr>
          <w:b/>
        </w:rPr>
        <w:t>Tim Ferraro</w:t>
        <w:tab/>
      </w:r>
      <w:r>
        <w:rPr/>
        <w:t>Experience &amp; Qualifications: Principal Consultant, GHD. MBA, BAppSc (Hons), Member</w:t>
      </w:r>
      <w:r>
        <w:rPr>
          <w:spacing w:val="-1"/>
        </w:rPr>
        <w:t> </w:t>
      </w:r>
      <w:r>
        <w:rPr/>
        <w:t>AIM,</w:t>
      </w:r>
      <w:r>
        <w:rPr>
          <w:spacing w:val="-1"/>
        </w:rPr>
        <w:t> </w:t>
      </w:r>
      <w:r>
        <w:rPr/>
        <w:t>Member</w:t>
      </w:r>
      <w:r>
        <w:rPr>
          <w:w w:val="99"/>
        </w:rPr>
        <w:t> </w:t>
      </w:r>
      <w:r>
        <w:rPr/>
        <w:t>IPAA, Member Aust. Rangelands Scty, MAICD. Non</w:t>
      </w:r>
      <w:r>
        <w:rPr>
          <w:spacing w:val="-1"/>
        </w:rPr>
        <w:t> </w:t>
      </w:r>
      <w:r>
        <w:rPr/>
        <w:t>executive.</w:t>
      </w:r>
    </w:p>
    <w:p>
      <w:pPr>
        <w:pStyle w:val="BodyText"/>
        <w:spacing w:before="141"/>
        <w:ind w:left="1607" w:right="841"/>
        <w:jc w:val="both"/>
      </w:pPr>
      <w:r>
        <w:rPr/>
        <w:t>Special responsibilities: Chair - uwsconnect Ltd Board; Chair - uwsconnect Executive Committee; Chair - uwsconnect Audit &amp; Risk Management Committee. Member – UWS / uwsconnect Liaison Committee.</w:t>
      </w:r>
    </w:p>
    <w:p>
      <w:pPr>
        <w:pStyle w:val="BodyText"/>
        <w:spacing w:before="10"/>
        <w:rPr>
          <w:sz w:val="15"/>
        </w:rPr>
      </w:pPr>
    </w:p>
    <w:p>
      <w:pPr>
        <w:pStyle w:val="BodyText"/>
        <w:tabs>
          <w:tab w:pos="1607" w:val="left" w:leader="none"/>
        </w:tabs>
        <w:ind w:left="1607" w:right="1002" w:hanging="1502"/>
      </w:pPr>
      <w:r>
        <w:rPr>
          <w:b/>
        </w:rPr>
        <w:t>John Banks</w:t>
        <w:tab/>
      </w:r>
      <w:r>
        <w:rPr/>
        <w:t>Experience &amp; Qualifications: Director, Talent2. Member UWS Board of Trustees,</w:t>
      </w:r>
      <w:r>
        <w:rPr>
          <w:spacing w:val="-1"/>
        </w:rPr>
        <w:t> </w:t>
      </w:r>
      <w:r>
        <w:rPr/>
        <w:t>Member</w:t>
      </w:r>
      <w:r>
        <w:rPr>
          <w:spacing w:val="-1"/>
        </w:rPr>
        <w:t> </w:t>
      </w:r>
      <w:r>
        <w:rPr/>
        <w:t>UWS Foundation, Member Committee of Sydney. Non</w:t>
      </w:r>
      <w:r>
        <w:rPr>
          <w:spacing w:val="-1"/>
        </w:rPr>
        <w:t> </w:t>
      </w:r>
      <w:r>
        <w:rPr/>
        <w:t>executive.</w:t>
      </w:r>
    </w:p>
    <w:p>
      <w:pPr>
        <w:pStyle w:val="BodyText"/>
        <w:spacing w:before="85"/>
        <w:ind w:left="1607" w:right="479"/>
      </w:pPr>
      <w:r>
        <w:rPr/>
        <w:t>Special responsibilities: Member - uwsconnect Executive Committee; Member - uwsconnect Strategy, Finance and Capital Development Committee.</w:t>
      </w:r>
    </w:p>
    <w:p>
      <w:pPr>
        <w:pStyle w:val="BodyText"/>
        <w:spacing w:before="4"/>
      </w:pPr>
    </w:p>
    <w:p>
      <w:pPr>
        <w:pStyle w:val="BodyText"/>
        <w:spacing w:before="1"/>
        <w:ind w:left="1607" w:right="59" w:hanging="1502"/>
      </w:pPr>
      <w:r>
        <w:rPr>
          <w:b/>
        </w:rPr>
        <w:t>Vicki Buchanan </w:t>
      </w:r>
      <w:r>
        <w:rPr/>
        <w:t>Experience &amp; Qualifications: Former Area Manager, Centrelink, with extensive experience within Tertiary, Government and private sectors. BA (Psychology) (English Literature), Dip Librarianship, MPA, Dip Proj. Mgmt, Assoc. LLA, TCE, Member – IPAA, CAHRI, FAICD. Non executive.</w:t>
      </w:r>
    </w:p>
    <w:p>
      <w:pPr>
        <w:pStyle w:val="BodyText"/>
        <w:spacing w:before="83"/>
        <w:ind w:left="1607" w:right="669"/>
      </w:pPr>
      <w:r>
        <w:rPr/>
        <w:t>Special responsibilities: Member - uwsconnect Executive Committee; Chair – uwsconnect Strategy, Finance and Capital Development Committee. Member – UWS / uwsconnect Liaison Committee.</w:t>
      </w:r>
    </w:p>
    <w:p>
      <w:pPr>
        <w:pStyle w:val="BodyText"/>
        <w:spacing w:before="8"/>
        <w:rPr>
          <w:sz w:val="20"/>
        </w:rPr>
      </w:pPr>
    </w:p>
    <w:p>
      <w:pPr>
        <w:pStyle w:val="BodyText"/>
        <w:tabs>
          <w:tab w:pos="1607" w:val="left" w:leader="none"/>
        </w:tabs>
        <w:spacing w:line="207" w:lineRule="exact"/>
        <w:ind w:left="105" w:right="59"/>
      </w:pPr>
      <w:r>
        <w:rPr>
          <w:b/>
        </w:rPr>
        <w:t>Brent Jones</w:t>
        <w:tab/>
      </w:r>
      <w:r>
        <w:rPr/>
        <w:t>Experience and Qualifications: Enrolled UWS student. B.Business &amp; Commerce (Sports</w:t>
      </w:r>
      <w:r>
        <w:rPr>
          <w:spacing w:val="-1"/>
        </w:rPr>
        <w:t> </w:t>
      </w:r>
      <w:r>
        <w:rPr/>
        <w:t>management).</w:t>
      </w:r>
    </w:p>
    <w:p>
      <w:pPr>
        <w:pStyle w:val="BodyText"/>
        <w:spacing w:line="207" w:lineRule="exact"/>
        <w:ind w:left="1607"/>
        <w:jc w:val="both"/>
      </w:pPr>
      <w:r>
        <w:rPr/>
        <w:t>Non executive.</w:t>
      </w:r>
    </w:p>
    <w:p>
      <w:pPr>
        <w:pStyle w:val="BodyText"/>
        <w:spacing w:before="8"/>
        <w:rPr>
          <w:sz w:val="25"/>
        </w:rPr>
      </w:pPr>
    </w:p>
    <w:p>
      <w:pPr>
        <w:spacing w:before="0"/>
        <w:ind w:left="105" w:right="685" w:firstLine="0"/>
        <w:jc w:val="left"/>
        <w:rPr>
          <w:sz w:val="18"/>
        </w:rPr>
      </w:pPr>
      <w:r>
        <w:rPr>
          <w:b/>
          <w:position w:val="-2"/>
          <w:sz w:val="18"/>
        </w:rPr>
        <w:t>James Majarich   </w:t>
      </w:r>
      <w:r>
        <w:rPr>
          <w:sz w:val="18"/>
        </w:rPr>
        <w:t>Experience &amp; Qualifications: Enrolled UWS Student. Non executive.</w:t>
      </w:r>
    </w:p>
    <w:p>
      <w:pPr>
        <w:pStyle w:val="BodyText"/>
        <w:spacing w:before="27"/>
        <w:ind w:left="1607" w:right="139"/>
      </w:pPr>
      <w:r>
        <w:rPr/>
        <w:t>Special responsibilities: Member – uwsconnect Executive Committee; Member – uwsconnect Audit &amp; Risk Management Committee. Member – UWS / uwsconnect Liaison Committee.</w:t>
      </w:r>
    </w:p>
    <w:p>
      <w:pPr>
        <w:pStyle w:val="BodyText"/>
        <w:spacing w:before="8"/>
        <w:rPr>
          <w:sz w:val="20"/>
        </w:rPr>
      </w:pPr>
    </w:p>
    <w:p>
      <w:pPr>
        <w:pStyle w:val="BodyText"/>
        <w:tabs>
          <w:tab w:pos="1607" w:val="left" w:leader="none"/>
        </w:tabs>
        <w:ind w:left="105" w:right="685"/>
      </w:pPr>
      <w:r>
        <w:rPr>
          <w:b/>
          <w:position w:val="-2"/>
        </w:rPr>
        <w:t>Aisha</w:t>
      </w:r>
      <w:r>
        <w:rPr>
          <w:b/>
          <w:spacing w:val="-1"/>
          <w:position w:val="-2"/>
        </w:rPr>
        <w:t> </w:t>
      </w:r>
      <w:r>
        <w:rPr>
          <w:b/>
          <w:position w:val="-2"/>
        </w:rPr>
        <w:t>Parsons</w:t>
        <w:tab/>
      </w:r>
      <w:r>
        <w:rPr/>
        <w:t>Experience &amp; Qualifications: Director - Sales Activations, enrolled UWS student. Non</w:t>
      </w:r>
      <w:r>
        <w:rPr>
          <w:spacing w:val="-1"/>
        </w:rPr>
        <w:t> </w:t>
      </w:r>
      <w:r>
        <w:rPr/>
        <w:t>executive.</w:t>
      </w:r>
    </w:p>
    <w:p>
      <w:pPr>
        <w:pStyle w:val="BodyText"/>
        <w:spacing w:before="111"/>
        <w:ind w:left="1607" w:right="330" w:hanging="1"/>
      </w:pPr>
      <w:r>
        <w:rPr/>
        <w:t>Special responsibilities: Member – uwsconnect Strategy, Finance and Capital Development Committee; Member – UWS / uwsconnect Liaison Committee.</w:t>
      </w:r>
    </w:p>
    <w:p>
      <w:pPr>
        <w:pStyle w:val="BodyText"/>
        <w:spacing w:before="8"/>
        <w:rPr>
          <w:sz w:val="20"/>
        </w:rPr>
      </w:pPr>
    </w:p>
    <w:p>
      <w:pPr>
        <w:pStyle w:val="BodyText"/>
        <w:tabs>
          <w:tab w:pos="1607" w:val="left" w:leader="none"/>
        </w:tabs>
        <w:ind w:left="1607" w:right="382" w:hanging="1502"/>
      </w:pPr>
      <w:r>
        <w:rPr>
          <w:b/>
        </w:rPr>
        <w:t>Thea Seabrook</w:t>
        <w:tab/>
      </w:r>
      <w:r>
        <w:rPr/>
        <w:t>Experience &amp; Qualifications: Former UWS Academic Registrar with extensive experience</w:t>
      </w:r>
      <w:r>
        <w:rPr>
          <w:spacing w:val="-1"/>
        </w:rPr>
        <w:t> </w:t>
      </w:r>
      <w:r>
        <w:rPr/>
        <w:t>within</w:t>
      </w:r>
      <w:r>
        <w:rPr>
          <w:spacing w:val="-1"/>
        </w:rPr>
        <w:t> </w:t>
      </w:r>
      <w:r>
        <w:rPr/>
        <w:t>tertiary institutions. BA, MA (Psychology), M. Ed Educational Admin. Non</w:t>
      </w:r>
      <w:r>
        <w:rPr>
          <w:spacing w:val="-1"/>
        </w:rPr>
        <w:t> </w:t>
      </w:r>
      <w:r>
        <w:rPr/>
        <w:t>executive.</w:t>
      </w:r>
    </w:p>
    <w:p>
      <w:pPr>
        <w:pStyle w:val="BodyText"/>
        <w:spacing w:before="10"/>
        <w:rPr>
          <w:sz w:val="17"/>
        </w:rPr>
      </w:pPr>
    </w:p>
    <w:p>
      <w:pPr>
        <w:pStyle w:val="BodyText"/>
        <w:tabs>
          <w:tab w:pos="1607" w:val="left" w:leader="none"/>
        </w:tabs>
        <w:ind w:left="105" w:right="685"/>
      </w:pPr>
      <w:r>
        <w:rPr>
          <w:b/>
        </w:rPr>
        <w:t>Harpreet</w:t>
      </w:r>
      <w:r>
        <w:rPr>
          <w:b/>
          <w:spacing w:val="-1"/>
        </w:rPr>
        <w:t> </w:t>
      </w:r>
      <w:r>
        <w:rPr>
          <w:b/>
        </w:rPr>
        <w:t>Singh</w:t>
        <w:tab/>
      </w:r>
      <w:r>
        <w:rPr/>
        <w:t>Experience &amp; Qualifications: Enrolled UWS student, Non</w:t>
      </w:r>
      <w:r>
        <w:rPr>
          <w:spacing w:val="-1"/>
        </w:rPr>
        <w:t> </w:t>
      </w:r>
      <w:r>
        <w:rPr/>
        <w:t>executive.</w:t>
      </w:r>
    </w:p>
    <w:p>
      <w:pPr>
        <w:pStyle w:val="BodyText"/>
        <w:spacing w:before="10"/>
        <w:rPr>
          <w:sz w:val="17"/>
        </w:rPr>
      </w:pPr>
    </w:p>
    <w:p>
      <w:pPr>
        <w:pStyle w:val="BodyText"/>
        <w:ind w:left="1607" w:right="59" w:hanging="1502"/>
      </w:pPr>
      <w:r>
        <w:rPr>
          <w:b/>
        </w:rPr>
        <w:t>David Stephens </w:t>
      </w:r>
      <w:r>
        <w:rPr/>
        <w:t>Experience &amp; Qualifications: Former CEO within the Pharmaceutical sector. FAICD, Accred. Associate IIB, Member LEADR, Hon Life Member ASMI. Non executive.</w:t>
      </w:r>
    </w:p>
    <w:p>
      <w:pPr>
        <w:pStyle w:val="BodyText"/>
        <w:spacing w:before="28"/>
        <w:ind w:left="1607" w:right="539"/>
      </w:pPr>
      <w:r>
        <w:rPr/>
        <w:t>Special responsibilities: Former Chair - uwsconnect Ltd Board; Former Chair - uwsconnect Executive Committee; Member – UWS / uwsconnect Liaison Committee</w:t>
      </w:r>
    </w:p>
    <w:p>
      <w:pPr>
        <w:pStyle w:val="BodyText"/>
        <w:spacing w:before="8"/>
        <w:rPr>
          <w:sz w:val="20"/>
        </w:rPr>
      </w:pPr>
    </w:p>
    <w:p>
      <w:pPr>
        <w:pStyle w:val="Heading9"/>
        <w:spacing w:line="207" w:lineRule="exact"/>
        <w:ind w:left="105" w:right="685"/>
      </w:pPr>
      <w:r>
        <w:rPr/>
        <w:t>Company Secretary</w:t>
      </w:r>
    </w:p>
    <w:p>
      <w:pPr>
        <w:pStyle w:val="BodyText"/>
        <w:ind w:left="105" w:right="59"/>
      </w:pPr>
      <w:r>
        <w:rPr/>
        <w:t>Anne Waller held the position of Company Secretary during and at the end of the financial year. Mrs Waller has held the position since 11 December 2006.</w:t>
      </w:r>
    </w:p>
    <w:p>
      <w:pPr>
        <w:spacing w:after="0"/>
        <w:sectPr>
          <w:pgSz w:w="11910" w:h="16840"/>
          <w:pgMar w:header="936" w:footer="507" w:top="2040" w:bottom="700" w:left="800" w:right="920"/>
        </w:sectPr>
      </w:pPr>
    </w:p>
    <w:p>
      <w:pPr>
        <w:pStyle w:val="Heading6"/>
        <w:spacing w:before="47"/>
        <w:ind w:right="92"/>
      </w:pPr>
      <w:r>
        <w:rPr/>
        <w:t>uwsconnect Limited</w:t>
      </w:r>
    </w:p>
    <w:p>
      <w:pPr>
        <w:spacing w:before="2"/>
        <w:ind w:left="107" w:right="92" w:firstLine="0"/>
        <w:jc w:val="left"/>
        <w:rPr>
          <w:sz w:val="14"/>
        </w:rPr>
      </w:pPr>
      <w:r>
        <w:rPr>
          <w:sz w:val="14"/>
        </w:rPr>
        <w:t>ABN: 45 107 759 197</w:t>
      </w:r>
    </w:p>
    <w:p>
      <w:pPr>
        <w:pStyle w:val="BodyText"/>
        <w:rPr>
          <w:sz w:val="14"/>
        </w:rPr>
      </w:pPr>
    </w:p>
    <w:p>
      <w:pPr>
        <w:pStyle w:val="Heading3"/>
        <w:spacing w:line="321" w:lineRule="exact" w:before="0"/>
        <w:ind w:right="92"/>
      </w:pPr>
      <w:r>
        <w:rPr/>
        <w:t>Directors' Report</w:t>
      </w:r>
    </w:p>
    <w:p>
      <w:pPr>
        <w:pStyle w:val="Heading6"/>
        <w:spacing w:line="252" w:lineRule="exact" w:before="0"/>
        <w:ind w:right="92"/>
      </w:pPr>
      <w:r>
        <w:rPr/>
        <w:t>31 December 2012</w:t>
      </w:r>
    </w:p>
    <w:p>
      <w:pPr>
        <w:pStyle w:val="Heading9"/>
        <w:spacing w:before="168"/>
        <w:ind w:left="107" w:right="92"/>
      </w:pPr>
      <w:r>
        <w:rPr/>
        <w:t>Meetings of directors</w:t>
      </w:r>
    </w:p>
    <w:p>
      <w:pPr>
        <w:pStyle w:val="BodyText"/>
        <w:spacing w:before="4"/>
        <w:ind w:left="107" w:right="92"/>
      </w:pPr>
      <w:r>
        <w:rPr/>
        <w:t>The numbers of meetings of the Company's board of directors held during the year ended 31 December 2012, and the numbers of meetings attended by each director were:</w:t>
      </w:r>
    </w:p>
    <w:p>
      <w:pPr>
        <w:pStyle w:val="BodyText"/>
        <w:spacing w:before="8"/>
        <w:rPr>
          <w:sz w:val="19"/>
        </w:rPr>
      </w:pPr>
    </w:p>
    <w:p>
      <w:pPr>
        <w:spacing w:before="0" w:after="37"/>
        <w:ind w:left="6551" w:right="92" w:firstLine="0"/>
        <w:jc w:val="left"/>
        <w:rPr>
          <w:b/>
          <w:sz w:val="16"/>
        </w:rPr>
      </w:pPr>
      <w:r>
        <w:rPr>
          <w:b/>
          <w:sz w:val="16"/>
        </w:rPr>
        <w:t>Full meetings of directors</w:t>
      </w:r>
    </w:p>
    <w:tbl>
      <w:tblPr>
        <w:tblW w:w="0" w:type="auto"/>
        <w:jc w:val="left"/>
        <w:tblInd w:w="14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878"/>
        <w:gridCol w:w="2276"/>
        <w:gridCol w:w="1443"/>
      </w:tblGrid>
      <w:tr>
        <w:trPr>
          <w:trHeight w:val="359" w:hRule="exact"/>
        </w:trPr>
        <w:tc>
          <w:tcPr>
            <w:tcW w:w="4878" w:type="dxa"/>
          </w:tcPr>
          <w:p>
            <w:pPr/>
          </w:p>
        </w:tc>
        <w:tc>
          <w:tcPr>
            <w:tcW w:w="2276" w:type="dxa"/>
          </w:tcPr>
          <w:p>
            <w:pPr>
              <w:pStyle w:val="TableParagraph"/>
              <w:spacing w:line="160" w:lineRule="exact"/>
              <w:ind w:left="1505" w:firstLine="28"/>
              <w:rPr>
                <w:b/>
                <w:sz w:val="14"/>
              </w:rPr>
            </w:pPr>
            <w:r>
              <w:rPr>
                <w:b/>
                <w:sz w:val="14"/>
              </w:rPr>
              <w:t>Number </w:t>
            </w:r>
            <w:r>
              <w:rPr>
                <w:b/>
                <w:w w:val="95"/>
                <w:sz w:val="14"/>
              </w:rPr>
              <w:t>attended</w:t>
            </w:r>
          </w:p>
        </w:tc>
        <w:tc>
          <w:tcPr>
            <w:tcW w:w="1443" w:type="dxa"/>
          </w:tcPr>
          <w:p>
            <w:pPr>
              <w:pStyle w:val="TableParagraph"/>
              <w:spacing w:line="160" w:lineRule="exact"/>
              <w:ind w:left="588" w:right="14" w:hanging="401"/>
              <w:rPr>
                <w:b/>
                <w:sz w:val="14"/>
              </w:rPr>
            </w:pPr>
            <w:r>
              <w:rPr>
                <w:b/>
                <w:sz w:val="14"/>
              </w:rPr>
              <w:t>Number eligible to attend</w:t>
            </w:r>
          </w:p>
        </w:tc>
      </w:tr>
      <w:tr>
        <w:trPr>
          <w:trHeight w:val="243" w:hRule="exact"/>
        </w:trPr>
        <w:tc>
          <w:tcPr>
            <w:tcW w:w="4878" w:type="dxa"/>
          </w:tcPr>
          <w:p>
            <w:pPr>
              <w:pStyle w:val="TableParagraph"/>
              <w:spacing w:before="23"/>
              <w:ind w:left="36"/>
              <w:rPr>
                <w:sz w:val="16"/>
              </w:rPr>
            </w:pPr>
            <w:r>
              <w:rPr>
                <w:sz w:val="16"/>
              </w:rPr>
              <w:t>Tim Ferraro</w:t>
            </w:r>
          </w:p>
        </w:tc>
        <w:tc>
          <w:tcPr>
            <w:tcW w:w="2276" w:type="dxa"/>
          </w:tcPr>
          <w:p>
            <w:pPr>
              <w:pStyle w:val="TableParagraph"/>
              <w:spacing w:before="23"/>
              <w:ind w:right="431"/>
              <w:jc w:val="right"/>
              <w:rPr>
                <w:sz w:val="16"/>
              </w:rPr>
            </w:pPr>
            <w:r>
              <w:rPr>
                <w:w w:val="100"/>
                <w:sz w:val="16"/>
              </w:rPr>
              <w:t>6</w:t>
            </w:r>
          </w:p>
        </w:tc>
        <w:tc>
          <w:tcPr>
            <w:tcW w:w="1443" w:type="dxa"/>
          </w:tcPr>
          <w:p>
            <w:pPr>
              <w:pStyle w:val="TableParagraph"/>
              <w:spacing w:before="23"/>
              <w:ind w:right="597"/>
              <w:jc w:val="right"/>
              <w:rPr>
                <w:sz w:val="16"/>
              </w:rPr>
            </w:pPr>
            <w:r>
              <w:rPr>
                <w:w w:val="100"/>
                <w:sz w:val="16"/>
              </w:rPr>
              <w:t>6</w:t>
            </w:r>
          </w:p>
        </w:tc>
      </w:tr>
      <w:tr>
        <w:trPr>
          <w:trHeight w:val="240" w:hRule="exact"/>
        </w:trPr>
        <w:tc>
          <w:tcPr>
            <w:tcW w:w="4878" w:type="dxa"/>
          </w:tcPr>
          <w:p>
            <w:pPr>
              <w:pStyle w:val="TableParagraph"/>
              <w:spacing w:before="20"/>
              <w:ind w:left="36"/>
              <w:rPr>
                <w:sz w:val="16"/>
              </w:rPr>
            </w:pPr>
            <w:r>
              <w:rPr>
                <w:sz w:val="16"/>
              </w:rPr>
              <w:t>John Banks</w:t>
            </w:r>
          </w:p>
        </w:tc>
        <w:tc>
          <w:tcPr>
            <w:tcW w:w="2276" w:type="dxa"/>
          </w:tcPr>
          <w:p>
            <w:pPr>
              <w:pStyle w:val="TableParagraph"/>
              <w:spacing w:before="20"/>
              <w:ind w:right="431"/>
              <w:jc w:val="right"/>
              <w:rPr>
                <w:sz w:val="16"/>
              </w:rPr>
            </w:pPr>
            <w:r>
              <w:rPr>
                <w:w w:val="100"/>
                <w:sz w:val="16"/>
              </w:rPr>
              <w:t>3</w:t>
            </w:r>
          </w:p>
        </w:tc>
        <w:tc>
          <w:tcPr>
            <w:tcW w:w="1443" w:type="dxa"/>
          </w:tcPr>
          <w:p>
            <w:pPr>
              <w:pStyle w:val="TableParagraph"/>
              <w:spacing w:before="20"/>
              <w:ind w:right="597"/>
              <w:jc w:val="right"/>
              <w:rPr>
                <w:sz w:val="16"/>
              </w:rPr>
            </w:pPr>
            <w:r>
              <w:rPr>
                <w:w w:val="100"/>
                <w:sz w:val="16"/>
              </w:rPr>
              <w:t>6</w:t>
            </w:r>
          </w:p>
        </w:tc>
      </w:tr>
      <w:tr>
        <w:trPr>
          <w:trHeight w:val="240" w:hRule="exact"/>
        </w:trPr>
        <w:tc>
          <w:tcPr>
            <w:tcW w:w="4878" w:type="dxa"/>
          </w:tcPr>
          <w:p>
            <w:pPr>
              <w:pStyle w:val="TableParagraph"/>
              <w:spacing w:before="20"/>
              <w:ind w:left="35"/>
              <w:rPr>
                <w:sz w:val="16"/>
              </w:rPr>
            </w:pPr>
            <w:r>
              <w:rPr>
                <w:sz w:val="16"/>
              </w:rPr>
              <w:t>Vicki Buchanan</w:t>
            </w:r>
          </w:p>
        </w:tc>
        <w:tc>
          <w:tcPr>
            <w:tcW w:w="2276" w:type="dxa"/>
          </w:tcPr>
          <w:p>
            <w:pPr>
              <w:pStyle w:val="TableParagraph"/>
              <w:spacing w:before="20"/>
              <w:ind w:right="431"/>
              <w:jc w:val="right"/>
              <w:rPr>
                <w:sz w:val="16"/>
              </w:rPr>
            </w:pPr>
            <w:r>
              <w:rPr>
                <w:w w:val="100"/>
                <w:sz w:val="16"/>
              </w:rPr>
              <w:t>5</w:t>
            </w:r>
          </w:p>
        </w:tc>
        <w:tc>
          <w:tcPr>
            <w:tcW w:w="1443" w:type="dxa"/>
          </w:tcPr>
          <w:p>
            <w:pPr>
              <w:pStyle w:val="TableParagraph"/>
              <w:spacing w:before="20"/>
              <w:ind w:right="597"/>
              <w:jc w:val="right"/>
              <w:rPr>
                <w:sz w:val="16"/>
              </w:rPr>
            </w:pPr>
            <w:r>
              <w:rPr>
                <w:w w:val="100"/>
                <w:sz w:val="16"/>
              </w:rPr>
              <w:t>6</w:t>
            </w:r>
          </w:p>
        </w:tc>
      </w:tr>
      <w:tr>
        <w:trPr>
          <w:trHeight w:val="240" w:hRule="exact"/>
        </w:trPr>
        <w:tc>
          <w:tcPr>
            <w:tcW w:w="4878" w:type="dxa"/>
          </w:tcPr>
          <w:p>
            <w:pPr>
              <w:pStyle w:val="TableParagraph"/>
              <w:spacing w:before="20"/>
              <w:ind w:left="35"/>
              <w:rPr>
                <w:sz w:val="16"/>
              </w:rPr>
            </w:pPr>
            <w:r>
              <w:rPr>
                <w:sz w:val="16"/>
              </w:rPr>
              <w:t>Brent Jones (appointed 10 December 2012)</w:t>
            </w:r>
          </w:p>
        </w:tc>
        <w:tc>
          <w:tcPr>
            <w:tcW w:w="2276" w:type="dxa"/>
          </w:tcPr>
          <w:p>
            <w:pPr>
              <w:pStyle w:val="TableParagraph"/>
              <w:spacing w:before="20"/>
              <w:ind w:right="431"/>
              <w:jc w:val="right"/>
              <w:rPr>
                <w:sz w:val="16"/>
              </w:rPr>
            </w:pPr>
            <w:r>
              <w:rPr>
                <w:w w:val="100"/>
                <w:sz w:val="16"/>
              </w:rPr>
              <w:t>1</w:t>
            </w:r>
          </w:p>
        </w:tc>
        <w:tc>
          <w:tcPr>
            <w:tcW w:w="1443" w:type="dxa"/>
          </w:tcPr>
          <w:p>
            <w:pPr>
              <w:pStyle w:val="TableParagraph"/>
              <w:spacing w:before="20"/>
              <w:ind w:right="597"/>
              <w:jc w:val="right"/>
              <w:rPr>
                <w:sz w:val="16"/>
              </w:rPr>
            </w:pPr>
            <w:r>
              <w:rPr>
                <w:w w:val="100"/>
                <w:sz w:val="16"/>
              </w:rPr>
              <w:t>1</w:t>
            </w:r>
          </w:p>
        </w:tc>
      </w:tr>
      <w:tr>
        <w:trPr>
          <w:trHeight w:val="240" w:hRule="exact"/>
        </w:trPr>
        <w:tc>
          <w:tcPr>
            <w:tcW w:w="4878" w:type="dxa"/>
          </w:tcPr>
          <w:p>
            <w:pPr>
              <w:pStyle w:val="TableParagraph"/>
              <w:spacing w:before="20"/>
              <w:ind w:left="35"/>
              <w:rPr>
                <w:sz w:val="16"/>
              </w:rPr>
            </w:pPr>
            <w:r>
              <w:rPr>
                <w:sz w:val="16"/>
              </w:rPr>
              <w:t>James Majarich</w:t>
            </w:r>
          </w:p>
        </w:tc>
        <w:tc>
          <w:tcPr>
            <w:tcW w:w="2276" w:type="dxa"/>
          </w:tcPr>
          <w:p>
            <w:pPr>
              <w:pStyle w:val="TableParagraph"/>
              <w:spacing w:before="20"/>
              <w:ind w:right="431"/>
              <w:jc w:val="right"/>
              <w:rPr>
                <w:sz w:val="16"/>
              </w:rPr>
            </w:pPr>
            <w:r>
              <w:rPr>
                <w:w w:val="100"/>
                <w:sz w:val="16"/>
              </w:rPr>
              <w:t>6</w:t>
            </w:r>
          </w:p>
        </w:tc>
        <w:tc>
          <w:tcPr>
            <w:tcW w:w="1443" w:type="dxa"/>
          </w:tcPr>
          <w:p>
            <w:pPr>
              <w:pStyle w:val="TableParagraph"/>
              <w:spacing w:before="20"/>
              <w:ind w:right="597"/>
              <w:jc w:val="right"/>
              <w:rPr>
                <w:sz w:val="16"/>
              </w:rPr>
            </w:pPr>
            <w:r>
              <w:rPr>
                <w:w w:val="100"/>
                <w:sz w:val="16"/>
              </w:rPr>
              <w:t>6</w:t>
            </w:r>
          </w:p>
        </w:tc>
      </w:tr>
      <w:tr>
        <w:trPr>
          <w:trHeight w:val="240" w:hRule="exact"/>
        </w:trPr>
        <w:tc>
          <w:tcPr>
            <w:tcW w:w="4878" w:type="dxa"/>
          </w:tcPr>
          <w:p>
            <w:pPr>
              <w:pStyle w:val="TableParagraph"/>
              <w:spacing w:before="20"/>
              <w:ind w:left="35"/>
              <w:rPr>
                <w:sz w:val="16"/>
              </w:rPr>
            </w:pPr>
            <w:r>
              <w:rPr>
                <w:sz w:val="16"/>
              </w:rPr>
              <w:t>Aisha Parsons</w:t>
            </w:r>
          </w:p>
        </w:tc>
        <w:tc>
          <w:tcPr>
            <w:tcW w:w="2276" w:type="dxa"/>
          </w:tcPr>
          <w:p>
            <w:pPr>
              <w:pStyle w:val="TableParagraph"/>
              <w:spacing w:before="20"/>
              <w:ind w:right="431"/>
              <w:jc w:val="right"/>
              <w:rPr>
                <w:sz w:val="16"/>
              </w:rPr>
            </w:pPr>
            <w:r>
              <w:rPr>
                <w:w w:val="100"/>
                <w:sz w:val="16"/>
              </w:rPr>
              <w:t>4</w:t>
            </w:r>
          </w:p>
        </w:tc>
        <w:tc>
          <w:tcPr>
            <w:tcW w:w="1443" w:type="dxa"/>
          </w:tcPr>
          <w:p>
            <w:pPr>
              <w:pStyle w:val="TableParagraph"/>
              <w:spacing w:before="20"/>
              <w:ind w:right="598"/>
              <w:jc w:val="right"/>
              <w:rPr>
                <w:sz w:val="16"/>
              </w:rPr>
            </w:pPr>
            <w:r>
              <w:rPr>
                <w:w w:val="100"/>
                <w:sz w:val="16"/>
              </w:rPr>
              <w:t>6</w:t>
            </w:r>
          </w:p>
        </w:tc>
      </w:tr>
      <w:tr>
        <w:trPr>
          <w:trHeight w:val="240" w:hRule="exact"/>
        </w:trPr>
        <w:tc>
          <w:tcPr>
            <w:tcW w:w="4878" w:type="dxa"/>
          </w:tcPr>
          <w:p>
            <w:pPr>
              <w:pStyle w:val="TableParagraph"/>
              <w:spacing w:before="20"/>
              <w:ind w:left="35"/>
              <w:rPr>
                <w:sz w:val="16"/>
              </w:rPr>
            </w:pPr>
            <w:r>
              <w:rPr>
                <w:sz w:val="16"/>
              </w:rPr>
              <w:t>Thea Seabrook</w:t>
            </w:r>
          </w:p>
        </w:tc>
        <w:tc>
          <w:tcPr>
            <w:tcW w:w="2276" w:type="dxa"/>
          </w:tcPr>
          <w:p>
            <w:pPr>
              <w:pStyle w:val="TableParagraph"/>
              <w:spacing w:before="20"/>
              <w:ind w:right="432"/>
              <w:jc w:val="right"/>
              <w:rPr>
                <w:sz w:val="16"/>
              </w:rPr>
            </w:pPr>
            <w:r>
              <w:rPr>
                <w:w w:val="100"/>
                <w:sz w:val="16"/>
              </w:rPr>
              <w:t>4</w:t>
            </w:r>
          </w:p>
        </w:tc>
        <w:tc>
          <w:tcPr>
            <w:tcW w:w="1443" w:type="dxa"/>
          </w:tcPr>
          <w:p>
            <w:pPr>
              <w:pStyle w:val="TableParagraph"/>
              <w:spacing w:before="20"/>
              <w:ind w:right="598"/>
              <w:jc w:val="right"/>
              <w:rPr>
                <w:sz w:val="16"/>
              </w:rPr>
            </w:pPr>
            <w:r>
              <w:rPr>
                <w:w w:val="100"/>
                <w:sz w:val="16"/>
              </w:rPr>
              <w:t>6</w:t>
            </w:r>
          </w:p>
        </w:tc>
      </w:tr>
      <w:tr>
        <w:trPr>
          <w:trHeight w:val="240" w:hRule="exact"/>
        </w:trPr>
        <w:tc>
          <w:tcPr>
            <w:tcW w:w="4878" w:type="dxa"/>
          </w:tcPr>
          <w:p>
            <w:pPr>
              <w:pStyle w:val="TableParagraph"/>
              <w:spacing w:before="20"/>
              <w:ind w:left="35"/>
              <w:rPr>
                <w:sz w:val="16"/>
              </w:rPr>
            </w:pPr>
            <w:r>
              <w:rPr>
                <w:sz w:val="16"/>
              </w:rPr>
              <w:t>Harpreet Singh (appointed 10 December 2012)</w:t>
            </w:r>
          </w:p>
        </w:tc>
        <w:tc>
          <w:tcPr>
            <w:tcW w:w="2276" w:type="dxa"/>
          </w:tcPr>
          <w:p>
            <w:pPr>
              <w:pStyle w:val="TableParagraph"/>
              <w:spacing w:before="20"/>
              <w:ind w:right="432"/>
              <w:jc w:val="right"/>
              <w:rPr>
                <w:sz w:val="16"/>
              </w:rPr>
            </w:pPr>
            <w:r>
              <w:rPr>
                <w:w w:val="100"/>
                <w:sz w:val="16"/>
              </w:rPr>
              <w:t>1</w:t>
            </w:r>
          </w:p>
        </w:tc>
        <w:tc>
          <w:tcPr>
            <w:tcW w:w="1443" w:type="dxa"/>
          </w:tcPr>
          <w:p>
            <w:pPr>
              <w:pStyle w:val="TableParagraph"/>
              <w:spacing w:before="20"/>
              <w:ind w:right="598"/>
              <w:jc w:val="right"/>
              <w:rPr>
                <w:sz w:val="16"/>
              </w:rPr>
            </w:pPr>
            <w:r>
              <w:rPr>
                <w:w w:val="100"/>
                <w:sz w:val="16"/>
              </w:rPr>
              <w:t>1</w:t>
            </w:r>
          </w:p>
        </w:tc>
      </w:tr>
      <w:tr>
        <w:trPr>
          <w:trHeight w:val="300" w:hRule="exact"/>
        </w:trPr>
        <w:tc>
          <w:tcPr>
            <w:tcW w:w="4878" w:type="dxa"/>
          </w:tcPr>
          <w:p>
            <w:pPr>
              <w:pStyle w:val="TableParagraph"/>
              <w:spacing w:before="20"/>
              <w:ind w:left="35"/>
              <w:rPr>
                <w:sz w:val="16"/>
              </w:rPr>
            </w:pPr>
            <w:r>
              <w:rPr>
                <w:sz w:val="16"/>
              </w:rPr>
              <w:t>David Stephens (resigned 14 August 2012)</w:t>
            </w:r>
          </w:p>
        </w:tc>
        <w:tc>
          <w:tcPr>
            <w:tcW w:w="2276" w:type="dxa"/>
          </w:tcPr>
          <w:p>
            <w:pPr>
              <w:pStyle w:val="TableParagraph"/>
              <w:spacing w:before="20"/>
              <w:ind w:right="432"/>
              <w:jc w:val="right"/>
              <w:rPr>
                <w:sz w:val="16"/>
              </w:rPr>
            </w:pPr>
            <w:r>
              <w:rPr>
                <w:w w:val="100"/>
                <w:sz w:val="16"/>
              </w:rPr>
              <w:t>3</w:t>
            </w:r>
          </w:p>
        </w:tc>
        <w:tc>
          <w:tcPr>
            <w:tcW w:w="1443" w:type="dxa"/>
          </w:tcPr>
          <w:p>
            <w:pPr>
              <w:pStyle w:val="TableParagraph"/>
              <w:spacing w:before="20"/>
              <w:ind w:right="598"/>
              <w:jc w:val="right"/>
              <w:rPr>
                <w:sz w:val="16"/>
              </w:rPr>
            </w:pPr>
            <w:r>
              <w:rPr>
                <w:w w:val="100"/>
                <w:sz w:val="16"/>
              </w:rPr>
              <w:t>4</w:t>
            </w:r>
          </w:p>
        </w:tc>
      </w:tr>
    </w:tbl>
    <w:p>
      <w:pPr>
        <w:pStyle w:val="BodyText"/>
        <w:rPr>
          <w:b/>
          <w:sz w:val="20"/>
        </w:rPr>
      </w:pPr>
    </w:p>
    <w:p>
      <w:pPr>
        <w:pStyle w:val="BodyText"/>
        <w:rPr>
          <w:b/>
          <w:sz w:val="20"/>
        </w:rPr>
      </w:pPr>
    </w:p>
    <w:p>
      <w:pPr>
        <w:pStyle w:val="BodyText"/>
        <w:rPr>
          <w:b/>
          <w:sz w:val="20"/>
        </w:rPr>
      </w:pPr>
    </w:p>
    <w:p>
      <w:pPr>
        <w:pStyle w:val="BodyText"/>
        <w:spacing w:before="2"/>
        <w:rPr>
          <w:b/>
          <w:sz w:val="27"/>
        </w:rPr>
      </w:pPr>
    </w:p>
    <w:p>
      <w:pPr>
        <w:pStyle w:val="Heading9"/>
        <w:spacing w:before="77"/>
        <w:ind w:left="107" w:right="92"/>
      </w:pPr>
      <w:r>
        <w:rPr/>
        <w:t>Proceedings on behalf of the Company</w:t>
      </w:r>
    </w:p>
    <w:p>
      <w:pPr>
        <w:pStyle w:val="BodyText"/>
        <w:spacing w:before="4"/>
        <w:ind w:left="107" w:right="226"/>
      </w:pPr>
      <w:r>
        <w:rPr/>
        <w:t>No person has applied to the Court under section 237 of the Corporations Act 2001 for leave to bring proceedings on behalf of the Company, or to intervene in any proceedings to which the Company is a party, for the purposes of taking responsibility on behalf of the Company for all or part of those proceedings.</w:t>
      </w:r>
    </w:p>
    <w:p>
      <w:pPr>
        <w:pStyle w:val="BodyText"/>
        <w:spacing w:before="2"/>
        <w:rPr>
          <w:sz w:val="20"/>
        </w:rPr>
      </w:pPr>
    </w:p>
    <w:p>
      <w:pPr>
        <w:pStyle w:val="BodyText"/>
        <w:ind w:left="107" w:right="92"/>
      </w:pPr>
      <w:r>
        <w:rPr/>
        <w:t>Total amount that members of the Company are liable to contribute if the entity is wound up will not exceed $10.00.</w:t>
      </w:r>
    </w:p>
    <w:p>
      <w:pPr>
        <w:pStyle w:val="BodyText"/>
      </w:pPr>
    </w:p>
    <w:p>
      <w:pPr>
        <w:pStyle w:val="BodyText"/>
        <w:spacing w:before="4"/>
        <w:rPr>
          <w:sz w:val="16"/>
        </w:rPr>
      </w:pPr>
    </w:p>
    <w:p>
      <w:pPr>
        <w:pStyle w:val="Heading9"/>
        <w:ind w:left="107" w:right="92"/>
      </w:pPr>
      <w:r>
        <w:rPr/>
        <w:t>Auditor's independent declaration</w:t>
      </w:r>
    </w:p>
    <w:p>
      <w:pPr>
        <w:pStyle w:val="BodyText"/>
        <w:spacing w:before="4"/>
        <w:ind w:left="107" w:right="382"/>
      </w:pPr>
      <w:r>
        <w:rPr/>
        <w:t>A copy of the Auditor's Independence Declaration as required under section 307C of the Corporations Act 2001 is set out on page 201.</w:t>
      </w:r>
    </w:p>
    <w:p>
      <w:pPr>
        <w:pStyle w:val="BodyText"/>
      </w:pPr>
    </w:p>
    <w:p>
      <w:pPr>
        <w:pStyle w:val="BodyText"/>
        <w:spacing w:before="4"/>
        <w:rPr>
          <w:sz w:val="16"/>
        </w:rPr>
      </w:pPr>
    </w:p>
    <w:p>
      <w:pPr>
        <w:pStyle w:val="Heading9"/>
        <w:ind w:left="107" w:right="92"/>
      </w:pPr>
      <w:r>
        <w:rPr/>
        <w:t>Auditor</w:t>
      </w:r>
    </w:p>
    <w:p>
      <w:pPr>
        <w:pStyle w:val="BodyText"/>
        <w:spacing w:line="482" w:lineRule="auto" w:before="4"/>
        <w:ind w:left="107" w:right="4430"/>
      </w:pPr>
      <w:r>
        <w:rPr/>
        <w:drawing>
          <wp:anchor distT="0" distB="0" distL="0" distR="0" allowOverlap="1" layoutInCell="1" locked="0" behindDoc="1" simplePos="0" relativeHeight="267126767">
            <wp:simplePos x="0" y="0"/>
            <wp:positionH relativeFrom="page">
              <wp:posOffset>579231</wp:posOffset>
            </wp:positionH>
            <wp:positionV relativeFrom="paragraph">
              <wp:posOffset>507973</wp:posOffset>
            </wp:positionV>
            <wp:extent cx="2668894" cy="560701"/>
            <wp:effectExtent l="0" t="0" r="0" b="0"/>
            <wp:wrapNone/>
            <wp:docPr id="81" name="image68.png" descr=""/>
            <wp:cNvGraphicFramePr>
              <a:graphicFrameLocks noChangeAspect="1"/>
            </wp:cNvGraphicFramePr>
            <a:graphic>
              <a:graphicData uri="http://schemas.openxmlformats.org/drawingml/2006/picture">
                <pic:pic>
                  <pic:nvPicPr>
                    <pic:cNvPr id="82" name="image68.png"/>
                    <pic:cNvPicPr/>
                  </pic:nvPicPr>
                  <pic:blipFill>
                    <a:blip r:embed="rId204" cstate="print"/>
                    <a:stretch>
                      <a:fillRect/>
                    </a:stretch>
                  </pic:blipFill>
                  <pic:spPr>
                    <a:xfrm>
                      <a:off x="0" y="0"/>
                      <a:ext cx="2668894" cy="560701"/>
                    </a:xfrm>
                    <a:prstGeom prst="rect">
                      <a:avLst/>
                    </a:prstGeom>
                  </pic:spPr>
                </pic:pic>
              </a:graphicData>
            </a:graphic>
          </wp:anchor>
        </w:drawing>
      </w:r>
      <w:r>
        <w:rPr/>
        <w:t>The Audit Office of New South Wales, GPO BOX 12, Sydney NSW 2001. This report is made in accordance with a resolution of directors.</w:t>
      </w:r>
    </w:p>
    <w:p>
      <w:pPr>
        <w:pStyle w:val="BodyText"/>
      </w:pPr>
    </w:p>
    <w:p>
      <w:pPr>
        <w:pStyle w:val="BodyText"/>
      </w:pPr>
    </w:p>
    <w:p>
      <w:pPr>
        <w:pStyle w:val="BodyText"/>
      </w:pPr>
    </w:p>
    <w:p>
      <w:pPr>
        <w:pStyle w:val="BodyText"/>
        <w:spacing w:before="8"/>
        <w:rPr>
          <w:sz w:val="19"/>
        </w:rPr>
      </w:pPr>
    </w:p>
    <w:p>
      <w:pPr>
        <w:pStyle w:val="BodyText"/>
        <w:ind w:left="107" w:right="9012"/>
      </w:pPr>
      <w:r>
        <w:rPr/>
        <w:t>Vicki Buchanan Director</w:t>
      </w:r>
    </w:p>
    <w:p>
      <w:pPr>
        <w:pStyle w:val="BodyText"/>
        <w:spacing w:before="11"/>
        <w:rPr>
          <w:sz w:val="11"/>
        </w:rPr>
      </w:pPr>
      <w:r>
        <w:rPr/>
        <w:drawing>
          <wp:anchor distT="0" distB="0" distL="0" distR="0" allowOverlap="1" layoutInCell="1" locked="0" behindDoc="0" simplePos="0" relativeHeight="5512">
            <wp:simplePos x="0" y="0"/>
            <wp:positionH relativeFrom="page">
              <wp:posOffset>578896</wp:posOffset>
            </wp:positionH>
            <wp:positionV relativeFrom="paragraph">
              <wp:posOffset>112096</wp:posOffset>
            </wp:positionV>
            <wp:extent cx="2466340" cy="740663"/>
            <wp:effectExtent l="0" t="0" r="0" b="0"/>
            <wp:wrapTopAndBottom/>
            <wp:docPr id="83" name="image69.png" descr=""/>
            <wp:cNvGraphicFramePr>
              <a:graphicFrameLocks noChangeAspect="1"/>
            </wp:cNvGraphicFramePr>
            <a:graphic>
              <a:graphicData uri="http://schemas.openxmlformats.org/drawingml/2006/picture">
                <pic:pic>
                  <pic:nvPicPr>
                    <pic:cNvPr id="84" name="image69.png"/>
                    <pic:cNvPicPr/>
                  </pic:nvPicPr>
                  <pic:blipFill>
                    <a:blip r:embed="rId205" cstate="print"/>
                    <a:stretch>
                      <a:fillRect/>
                    </a:stretch>
                  </pic:blipFill>
                  <pic:spPr>
                    <a:xfrm>
                      <a:off x="0" y="0"/>
                      <a:ext cx="2466340" cy="740663"/>
                    </a:xfrm>
                    <a:prstGeom prst="rect">
                      <a:avLst/>
                    </a:prstGeom>
                  </pic:spPr>
                </pic:pic>
              </a:graphicData>
            </a:graphic>
          </wp:anchor>
        </w:drawing>
      </w:r>
    </w:p>
    <w:p>
      <w:pPr>
        <w:pStyle w:val="BodyText"/>
        <w:ind w:left="107" w:right="9313"/>
      </w:pPr>
      <w:r>
        <w:rPr/>
        <w:t>Tim Ferraro Director</w:t>
      </w:r>
    </w:p>
    <w:p>
      <w:pPr>
        <w:pStyle w:val="BodyText"/>
      </w:pPr>
    </w:p>
    <w:p>
      <w:pPr>
        <w:pStyle w:val="BodyText"/>
        <w:spacing w:before="8"/>
        <w:rPr>
          <w:sz w:val="14"/>
        </w:rPr>
      </w:pPr>
    </w:p>
    <w:p>
      <w:pPr>
        <w:pStyle w:val="BodyText"/>
        <w:spacing w:line="207" w:lineRule="exact"/>
        <w:ind w:left="107" w:right="92"/>
      </w:pPr>
      <w:r>
        <w:rPr/>
        <w:t>Sydney</w:t>
      </w:r>
    </w:p>
    <w:p>
      <w:pPr>
        <w:pStyle w:val="BodyText"/>
        <w:spacing w:line="207" w:lineRule="exact"/>
        <w:ind w:left="107" w:right="92"/>
      </w:pPr>
      <w:r>
        <w:rPr/>
        <w:t>25 February 2013</w:t>
      </w:r>
    </w:p>
    <w:p>
      <w:pPr>
        <w:spacing w:after="0" w:line="207" w:lineRule="exact"/>
        <w:sectPr>
          <w:headerReference w:type="default" r:id="rId202"/>
          <w:footerReference w:type="default" r:id="rId203"/>
          <w:pgSz w:w="11960" w:h="16850"/>
          <w:pgMar w:header="0" w:footer="507" w:top="660" w:bottom="700" w:left="800" w:right="780"/>
        </w:sectPr>
      </w:pPr>
    </w:p>
    <w:p>
      <w:pPr>
        <w:pStyle w:val="BodyText"/>
        <w:ind w:left="4465"/>
        <w:rPr>
          <w:sz w:val="20"/>
        </w:rPr>
      </w:pPr>
      <w:r>
        <w:rPr>
          <w:sz w:val="20"/>
        </w:rPr>
        <w:drawing>
          <wp:inline distT="0" distB="0" distL="0" distR="0">
            <wp:extent cx="1011936" cy="1048512"/>
            <wp:effectExtent l="0" t="0" r="0" b="0"/>
            <wp:docPr id="85" name="image70.jpeg" descr=""/>
            <wp:cNvGraphicFramePr>
              <a:graphicFrameLocks noChangeAspect="1"/>
            </wp:cNvGraphicFramePr>
            <a:graphic>
              <a:graphicData uri="http://schemas.openxmlformats.org/drawingml/2006/picture">
                <pic:pic>
                  <pic:nvPicPr>
                    <pic:cNvPr id="86" name="image70.jpeg"/>
                    <pic:cNvPicPr/>
                  </pic:nvPicPr>
                  <pic:blipFill>
                    <a:blip r:embed="rId208" cstate="print"/>
                    <a:stretch>
                      <a:fillRect/>
                    </a:stretch>
                  </pic:blipFill>
                  <pic:spPr>
                    <a:xfrm>
                      <a:off x="0" y="0"/>
                      <a:ext cx="1011936" cy="1048512"/>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4"/>
        <w:rPr>
          <w:sz w:val="20"/>
        </w:rPr>
      </w:pPr>
    </w:p>
    <w:p>
      <w:pPr>
        <w:spacing w:before="75"/>
        <w:ind w:left="713" w:right="7920" w:hanging="10"/>
        <w:jc w:val="left"/>
        <w:rPr>
          <w:sz w:val="20"/>
        </w:rPr>
      </w:pPr>
      <w:r>
        <w:rPr>
          <w:color w:val="131315"/>
          <w:sz w:val="20"/>
        </w:rPr>
        <w:t>To the Directors uwsconnect Limited</w:t>
      </w:r>
    </w:p>
    <w:p>
      <w:pPr>
        <w:pStyle w:val="BodyText"/>
        <w:rPr>
          <w:sz w:val="20"/>
        </w:rPr>
      </w:pPr>
    </w:p>
    <w:p>
      <w:pPr>
        <w:pStyle w:val="BodyText"/>
        <w:spacing w:before="2"/>
        <w:rPr>
          <w:sz w:val="19"/>
        </w:rPr>
      </w:pPr>
    </w:p>
    <w:p>
      <w:pPr>
        <w:spacing w:before="1"/>
        <w:ind w:left="3193" w:right="118" w:firstLine="0"/>
        <w:jc w:val="left"/>
        <w:rPr>
          <w:b/>
          <w:sz w:val="23"/>
        </w:rPr>
      </w:pPr>
      <w:r>
        <w:rPr>
          <w:b/>
          <w:color w:val="131315"/>
          <w:w w:val="105"/>
          <w:sz w:val="23"/>
        </w:rPr>
        <w:t>Auditor's Independence Declaration</w:t>
      </w:r>
    </w:p>
    <w:p>
      <w:pPr>
        <w:pStyle w:val="BodyText"/>
        <w:rPr>
          <w:b/>
          <w:sz w:val="22"/>
        </w:rPr>
      </w:pPr>
    </w:p>
    <w:p>
      <w:pPr>
        <w:pStyle w:val="BodyText"/>
        <w:spacing w:before="3"/>
        <w:rPr>
          <w:b/>
        </w:rPr>
      </w:pPr>
    </w:p>
    <w:p>
      <w:pPr>
        <w:spacing w:line="242" w:lineRule="auto" w:before="0"/>
        <w:ind w:left="708" w:right="633" w:hanging="5"/>
        <w:jc w:val="both"/>
        <w:rPr>
          <w:sz w:val="20"/>
        </w:rPr>
      </w:pPr>
      <w:r>
        <w:rPr>
          <w:color w:val="131315"/>
          <w:sz w:val="20"/>
        </w:rPr>
        <w:t>As auditor for  the  audit  of  the  financial  statements  of  uwsconnect  Limited  for  the  year  ended  31 December 2012, I declare that, to the best of my knowledge and belief, there have been no contraventions</w:t>
      </w:r>
      <w:r>
        <w:rPr>
          <w:color w:val="131315"/>
          <w:spacing w:val="1"/>
          <w:sz w:val="20"/>
        </w:rPr>
        <w:t> </w:t>
      </w:r>
      <w:r>
        <w:rPr>
          <w:color w:val="131315"/>
          <w:spacing w:val="4"/>
          <w:sz w:val="20"/>
        </w:rPr>
        <w:t>of</w:t>
      </w:r>
      <w:r>
        <w:rPr>
          <w:color w:val="3A3A3A"/>
          <w:spacing w:val="4"/>
          <w:sz w:val="20"/>
        </w:rPr>
        <w:t>:</w:t>
      </w:r>
    </w:p>
    <w:p>
      <w:pPr>
        <w:pStyle w:val="BodyText"/>
        <w:spacing w:before="11"/>
        <w:rPr>
          <w:sz w:val="23"/>
        </w:rPr>
      </w:pPr>
    </w:p>
    <w:p>
      <w:pPr>
        <w:pStyle w:val="ListParagraph"/>
        <w:numPr>
          <w:ilvl w:val="0"/>
          <w:numId w:val="93"/>
        </w:numPr>
        <w:tabs>
          <w:tab w:pos="1274" w:val="left" w:leader="none"/>
        </w:tabs>
        <w:spacing w:line="240" w:lineRule="auto" w:before="0" w:after="0"/>
        <w:ind w:left="1237" w:right="0" w:hanging="529"/>
        <w:jc w:val="both"/>
        <w:rPr>
          <w:color w:val="131315"/>
          <w:sz w:val="20"/>
        </w:rPr>
      </w:pPr>
      <w:r>
        <w:rPr>
          <w:color w:val="131315"/>
          <w:sz w:val="20"/>
        </w:rPr>
        <w:t>the auditor independence requirements of the </w:t>
      </w:r>
      <w:r>
        <w:rPr>
          <w:i/>
          <w:color w:val="131315"/>
          <w:sz w:val="19"/>
        </w:rPr>
        <w:t>Corporations Act 2001 </w:t>
      </w:r>
      <w:r>
        <w:rPr>
          <w:color w:val="131315"/>
          <w:sz w:val="20"/>
        </w:rPr>
        <w:t>in relation to the audit, </w:t>
      </w:r>
      <w:r>
        <w:rPr>
          <w:color w:val="131315"/>
          <w:spacing w:val="25"/>
          <w:sz w:val="20"/>
        </w:rPr>
        <w:t> </w:t>
      </w:r>
      <w:r>
        <w:rPr>
          <w:color w:val="131315"/>
          <w:sz w:val="20"/>
        </w:rPr>
        <w:t>and</w:t>
      </w:r>
    </w:p>
    <w:p>
      <w:pPr>
        <w:pStyle w:val="Heading8"/>
        <w:numPr>
          <w:ilvl w:val="0"/>
          <w:numId w:val="93"/>
        </w:numPr>
        <w:tabs>
          <w:tab w:pos="1279" w:val="left" w:leader="none"/>
        </w:tabs>
        <w:spacing w:line="240" w:lineRule="auto" w:before="62" w:after="0"/>
        <w:ind w:left="1278" w:right="0" w:hanging="565"/>
        <w:jc w:val="both"/>
        <w:rPr>
          <w:color w:val="131315"/>
        </w:rPr>
      </w:pPr>
      <w:r>
        <w:rPr>
          <w:color w:val="131315"/>
        </w:rPr>
        <w:t>any applicable code of professional conduct in relation to the</w:t>
      </w:r>
      <w:r>
        <w:rPr>
          <w:color w:val="131315"/>
          <w:spacing w:val="-18"/>
        </w:rPr>
        <w:t> </w:t>
      </w:r>
      <w:r>
        <w:rPr>
          <w:color w:val="131315"/>
        </w:rPr>
        <w:t>audit.</w:t>
      </w:r>
    </w:p>
    <w:p>
      <w:pPr>
        <w:pStyle w:val="BodyText"/>
        <w:rPr>
          <w:sz w:val="20"/>
        </w:rPr>
      </w:pPr>
    </w:p>
    <w:p>
      <w:pPr>
        <w:pStyle w:val="BodyText"/>
        <w:spacing w:before="3"/>
        <w:rPr>
          <w:sz w:val="21"/>
        </w:rPr>
      </w:pPr>
      <w:r>
        <w:rPr/>
        <w:drawing>
          <wp:anchor distT="0" distB="0" distL="0" distR="0" allowOverlap="1" layoutInCell="1" locked="0" behindDoc="0" simplePos="0" relativeHeight="5560">
            <wp:simplePos x="0" y="0"/>
            <wp:positionH relativeFrom="page">
              <wp:posOffset>780288</wp:posOffset>
            </wp:positionH>
            <wp:positionV relativeFrom="paragraph">
              <wp:posOffset>180379</wp:posOffset>
            </wp:positionV>
            <wp:extent cx="1523999" cy="499872"/>
            <wp:effectExtent l="0" t="0" r="0" b="0"/>
            <wp:wrapTopAndBottom/>
            <wp:docPr id="87" name="image71.jpeg" descr=""/>
            <wp:cNvGraphicFramePr>
              <a:graphicFrameLocks noChangeAspect="1"/>
            </wp:cNvGraphicFramePr>
            <a:graphic>
              <a:graphicData uri="http://schemas.openxmlformats.org/drawingml/2006/picture">
                <pic:pic>
                  <pic:nvPicPr>
                    <pic:cNvPr id="88" name="image71.jpeg"/>
                    <pic:cNvPicPr/>
                  </pic:nvPicPr>
                  <pic:blipFill>
                    <a:blip r:embed="rId209" cstate="print"/>
                    <a:stretch>
                      <a:fillRect/>
                    </a:stretch>
                  </pic:blipFill>
                  <pic:spPr>
                    <a:xfrm>
                      <a:off x="0" y="0"/>
                      <a:ext cx="1523999" cy="499872"/>
                    </a:xfrm>
                    <a:prstGeom prst="rect">
                      <a:avLst/>
                    </a:prstGeom>
                  </pic:spPr>
                </pic:pic>
              </a:graphicData>
            </a:graphic>
          </wp:anchor>
        </w:drawing>
      </w:r>
    </w:p>
    <w:p>
      <w:pPr>
        <w:spacing w:before="103"/>
        <w:ind w:left="718" w:right="0" w:firstLine="0"/>
        <w:jc w:val="both"/>
        <w:rPr>
          <w:sz w:val="20"/>
        </w:rPr>
      </w:pPr>
      <w:r>
        <w:rPr>
          <w:color w:val="131315"/>
          <w:sz w:val="20"/>
        </w:rPr>
        <w:t>Renee Meimaroglou CA</w:t>
      </w:r>
    </w:p>
    <w:p>
      <w:pPr>
        <w:spacing w:before="0"/>
        <w:ind w:left="718" w:right="0" w:firstLine="0"/>
        <w:jc w:val="both"/>
        <w:rPr>
          <w:sz w:val="20"/>
        </w:rPr>
      </w:pPr>
      <w:r>
        <w:rPr>
          <w:color w:val="131315"/>
          <w:sz w:val="20"/>
        </w:rPr>
        <w:t>Director Financial Audit Services</w:t>
      </w:r>
    </w:p>
    <w:p>
      <w:pPr>
        <w:pStyle w:val="BodyText"/>
        <w:spacing w:before="6"/>
        <w:rPr>
          <w:sz w:val="19"/>
        </w:rPr>
      </w:pPr>
    </w:p>
    <w:p>
      <w:pPr>
        <w:spacing w:before="1"/>
        <w:ind w:left="713" w:right="8103" w:hanging="5"/>
        <w:jc w:val="left"/>
        <w:rPr>
          <w:sz w:val="20"/>
        </w:rPr>
      </w:pPr>
      <w:r>
        <w:rPr>
          <w:color w:val="131315"/>
          <w:sz w:val="20"/>
        </w:rPr>
        <w:t>26 February 2012 SYDNEY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r>
        <w:rPr/>
        <w:pict>
          <v:line style="position:absolute;mso-position-horizontal-relative:page;mso-position-vertical-relative:paragraph;z-index:5584;mso-wrap-distance-left:0;mso-wrap-distance-right:0" from="39.743862pt,16.462694pt" to="548.034112pt,16.462694pt" stroked="true" strokeweight=".478842pt" strokecolor="#484848">
            <w10:wrap type="topAndBottom"/>
          </v:line>
        </w:pict>
      </w:r>
    </w:p>
    <w:p>
      <w:pPr>
        <w:spacing w:after="0"/>
        <w:rPr>
          <w:sz w:val="24"/>
        </w:rPr>
        <w:sectPr>
          <w:headerReference w:type="default" r:id="rId206"/>
          <w:footerReference w:type="default" r:id="rId207"/>
          <w:pgSz w:w="11910" w:h="16840"/>
          <w:pgMar w:header="0" w:footer="708" w:top="920" w:bottom="900" w:left="680" w:right="820"/>
        </w:sectPr>
      </w:pPr>
    </w:p>
    <w:p>
      <w:pPr>
        <w:pStyle w:val="BodyText"/>
        <w:rPr>
          <w:sz w:val="20"/>
        </w:rPr>
      </w:pPr>
    </w:p>
    <w:p>
      <w:pPr>
        <w:pStyle w:val="BodyText"/>
        <w:rPr>
          <w:sz w:val="20"/>
        </w:rPr>
      </w:pPr>
    </w:p>
    <w:p>
      <w:pPr>
        <w:pStyle w:val="Heading8"/>
        <w:spacing w:before="164"/>
        <w:ind w:left="140" w:right="142"/>
        <w:jc w:val="center"/>
        <w:rPr>
          <w:rFonts w:ascii="Times New Roman" w:hAnsi="Times New Roman"/>
        </w:rPr>
      </w:pPr>
      <w:r>
        <w:rPr/>
        <w:pict>
          <v:shape style="position:absolute;margin-left:256.177124pt;margin-top:-18.622692pt;width:8.65pt;height:72pt;mso-position-horizontal-relative:page;mso-position-vertical-relative:paragraph;z-index:5680" type="#_x0000_t202" filled="false" stroked="false">
            <v:textbox inset="0,0,0,0">
              <w:txbxContent>
                <w:p>
                  <w:pPr>
                    <w:spacing w:line="1440" w:lineRule="exact" w:before="0"/>
                    <w:ind w:left="0" w:right="-13" w:firstLine="0"/>
                    <w:jc w:val="left"/>
                    <w:rPr>
                      <w:rFonts w:ascii="Times New Roman"/>
                      <w:i/>
                      <w:sz w:val="144"/>
                    </w:rPr>
                  </w:pPr>
                  <w:r>
                    <w:rPr>
                      <w:rFonts w:ascii="Times New Roman"/>
                      <w:i/>
                      <w:color w:val="111113"/>
                      <w:spacing w:val="-127"/>
                      <w:w w:val="35"/>
                      <w:sz w:val="144"/>
                    </w:rPr>
                    <w:t>;?</w:t>
                  </w:r>
                </w:p>
              </w:txbxContent>
            </v:textbox>
            <w10:wrap type="none"/>
          </v:shape>
        </w:pict>
      </w:r>
      <w:r>
        <w:rPr>
          <w:rFonts w:ascii="Times New Roman" w:hAnsi="Times New Roman"/>
          <w:color w:val="111113"/>
          <w:w w:val="115"/>
        </w:rPr>
        <w:t>, oR-G€"'\t</w:t>
      </w:r>
    </w:p>
    <w:p>
      <w:pPr>
        <w:pStyle w:val="BodyText"/>
        <w:spacing w:before="11"/>
        <w:rPr>
          <w:rFonts w:ascii="Times New Roman"/>
          <w:sz w:val="21"/>
        </w:rPr>
      </w:pPr>
    </w:p>
    <w:p>
      <w:pPr>
        <w:tabs>
          <w:tab w:pos="743" w:val="left" w:leader="none"/>
          <w:tab w:pos="1483" w:val="left" w:leader="none"/>
        </w:tabs>
        <w:spacing w:before="0"/>
        <w:ind w:left="480" w:right="0" w:firstLine="0"/>
        <w:jc w:val="center"/>
        <w:rPr>
          <w:rFonts w:ascii="Times New Roman" w:hAnsi="Times New Roman"/>
          <w:i/>
          <w:sz w:val="12"/>
        </w:rPr>
      </w:pPr>
      <w:r>
        <w:rPr/>
        <w:pict>
          <v:shape style="position:absolute;margin-left:299.629425pt;margin-top:.120605pt;width:6.55pt;height:21pt;mso-position-horizontal-relative:page;mso-position-vertical-relative:paragraph;z-index:-1308568" type="#_x0000_t202" filled="false" stroked="false">
            <v:textbox inset="0,0,0,0">
              <w:txbxContent>
                <w:p>
                  <w:pPr>
                    <w:spacing w:line="420" w:lineRule="exact" w:before="0"/>
                    <w:ind w:left="0" w:right="0" w:firstLine="0"/>
                    <w:jc w:val="left"/>
                    <w:rPr>
                      <w:rFonts w:ascii="Times New Roman"/>
                      <w:sz w:val="42"/>
                    </w:rPr>
                  </w:pPr>
                  <w:r>
                    <w:rPr>
                      <w:rFonts w:ascii="Times New Roman"/>
                      <w:color w:val="111113"/>
                      <w:w w:val="124"/>
                      <w:sz w:val="42"/>
                    </w:rPr>
                    <w:t>.</w:t>
                  </w:r>
                </w:p>
              </w:txbxContent>
            </v:textbox>
            <w10:wrap type="none"/>
          </v:shape>
        </w:pict>
      </w:r>
      <w:r>
        <w:rPr>
          <w:color w:val="464646"/>
          <w:w w:val="103"/>
          <w:sz w:val="9"/>
        </w:rPr>
        <w:t>.</w:t>
      </w:r>
      <w:r>
        <w:rPr>
          <w:color w:val="464646"/>
          <w:sz w:val="9"/>
        </w:rPr>
        <w:tab/>
      </w:r>
      <w:r>
        <w:rPr>
          <w:color w:val="7E8280"/>
          <w:spacing w:val="5"/>
          <w:w w:val="19"/>
          <w:sz w:val="22"/>
        </w:rPr>
        <w:t>'</w:t>
      </w:r>
      <w:r>
        <w:rPr>
          <w:color w:val="313133"/>
          <w:w w:val="93"/>
          <w:sz w:val="22"/>
        </w:rPr>
        <w:t>•</w:t>
      </w:r>
      <w:r>
        <w:rPr>
          <w:color w:val="313133"/>
          <w:sz w:val="22"/>
        </w:rPr>
        <w:tab/>
      </w:r>
      <w:r>
        <w:rPr>
          <w:rFonts w:ascii="Times New Roman" w:hAnsi="Times New Roman"/>
          <w:i/>
          <w:color w:val="111113"/>
          <w:w w:val="130"/>
          <w:sz w:val="12"/>
        </w:rPr>
        <w:t>(</w:t>
      </w:r>
      <w:r>
        <w:rPr>
          <w:rFonts w:ascii="Times New Roman" w:hAnsi="Times New Roman"/>
          <w:i/>
          <w:color w:val="111113"/>
          <w:w w:val="130"/>
          <w:sz w:val="12"/>
        </w:rPr>
        <w:t>"</w:t>
      </w:r>
    </w:p>
    <w:p>
      <w:pPr>
        <w:spacing w:before="21"/>
        <w:ind w:left="0" w:right="209" w:firstLine="0"/>
        <w:jc w:val="center"/>
        <w:rPr>
          <w:sz w:val="7"/>
        </w:rPr>
      </w:pPr>
      <w:r>
        <w:rPr>
          <w:color w:val="959A97"/>
          <w:w w:val="65"/>
          <w:sz w:val="7"/>
        </w:rPr>
        <w:t>'</w:t>
      </w:r>
    </w:p>
    <w:p>
      <w:pPr>
        <w:pStyle w:val="BodyText"/>
        <w:rPr>
          <w:sz w:val="10"/>
        </w:rPr>
      </w:pPr>
    </w:p>
    <w:p>
      <w:pPr>
        <w:spacing w:before="68"/>
        <w:ind w:left="110" w:right="142" w:firstLine="0"/>
        <w:jc w:val="center"/>
        <w:rPr>
          <w:rFonts w:ascii="Times New Roman" w:hAnsi="Times New Roman"/>
          <w:i/>
          <w:sz w:val="8"/>
        </w:rPr>
      </w:pPr>
      <w:r>
        <w:rPr>
          <w:rFonts w:ascii="Times New Roman" w:hAnsi="Times New Roman"/>
          <w:b/>
          <w:color w:val="464646"/>
          <w:w w:val="85"/>
          <w:sz w:val="10"/>
        </w:rPr>
        <w:t>&lt;&gt;,., </w:t>
      </w:r>
      <w:r>
        <w:rPr>
          <w:rFonts w:ascii="Times New Roman" w:hAnsi="Times New Roman"/>
          <w:b/>
          <w:color w:val="111113"/>
          <w:w w:val="85"/>
          <w:sz w:val="10"/>
        </w:rPr>
        <w:t>,. </w:t>
      </w:r>
      <w:r>
        <w:rPr>
          <w:rFonts w:ascii="Times New Roman" w:hAnsi="Times New Roman"/>
          <w:b/>
          <w:color w:val="313133"/>
          <w:w w:val="85"/>
          <w:sz w:val="10"/>
        </w:rPr>
        <w:t>,.t.&lt;- </w:t>
      </w:r>
      <w:r>
        <w:rPr>
          <w:rFonts w:ascii="Times New Roman" w:hAnsi="Times New Roman"/>
          <w:b/>
          <w:color w:val="111113"/>
          <w:w w:val="85"/>
          <w:sz w:val="10"/>
        </w:rPr>
        <w:t>U• </w:t>
      </w:r>
      <w:r>
        <w:rPr>
          <w:rFonts w:ascii="Times New Roman" w:hAnsi="Times New Roman"/>
          <w:color w:val="464646"/>
          <w:w w:val="125"/>
          <w:sz w:val="7"/>
        </w:rPr>
        <w:t>au </w:t>
      </w:r>
      <w:r>
        <w:rPr>
          <w:rFonts w:ascii="Times New Roman" w:hAnsi="Times New Roman"/>
          <w:color w:val="111113"/>
          <w:w w:val="125"/>
          <w:sz w:val="7"/>
        </w:rPr>
        <w:t>.. </w:t>
      </w:r>
      <w:r>
        <w:rPr>
          <w:rFonts w:ascii="Times New Roman" w:hAnsi="Times New Roman"/>
          <w:color w:val="111113"/>
          <w:w w:val="150"/>
          <w:sz w:val="7"/>
        </w:rPr>
        <w:t>., </w:t>
      </w:r>
      <w:r>
        <w:rPr>
          <w:rFonts w:ascii="Times New Roman" w:hAnsi="Times New Roman"/>
          <w:color w:val="313133"/>
          <w:w w:val="125"/>
          <w:sz w:val="7"/>
        </w:rPr>
        <w:t>"'""' </w:t>
      </w:r>
      <w:r>
        <w:rPr>
          <w:rFonts w:ascii="Times New Roman" w:hAnsi="Times New Roman"/>
          <w:i/>
          <w:color w:val="313133"/>
          <w:w w:val="125"/>
          <w:sz w:val="8"/>
        </w:rPr>
        <w:t>"•r</w:t>
      </w:r>
      <w:r>
        <w:rPr>
          <w:rFonts w:ascii="Times New Roman" w:hAnsi="Times New Roman"/>
          <w:i/>
          <w:color w:val="59595B"/>
          <w:w w:val="125"/>
          <w:sz w:val="8"/>
        </w:rPr>
        <w:t>e</w:t>
      </w:r>
    </w:p>
    <w:p>
      <w:pPr>
        <w:pStyle w:val="BodyText"/>
        <w:spacing w:before="4"/>
        <w:rPr>
          <w:rFonts w:ascii="Times New Roman"/>
          <w:i/>
          <w:sz w:val="9"/>
        </w:rPr>
      </w:pPr>
      <w:r>
        <w:rPr/>
        <w:drawing>
          <wp:anchor distT="0" distB="0" distL="0" distR="0" allowOverlap="1" layoutInCell="1" locked="0" behindDoc="0" simplePos="0" relativeHeight="5608">
            <wp:simplePos x="0" y="0"/>
            <wp:positionH relativeFrom="page">
              <wp:posOffset>3340608</wp:posOffset>
            </wp:positionH>
            <wp:positionV relativeFrom="paragraph">
              <wp:posOffset>93518</wp:posOffset>
            </wp:positionV>
            <wp:extent cx="841247" cy="243840"/>
            <wp:effectExtent l="0" t="0" r="0" b="0"/>
            <wp:wrapTopAndBottom/>
            <wp:docPr id="89" name="image72.jpeg" descr=""/>
            <wp:cNvGraphicFramePr>
              <a:graphicFrameLocks noChangeAspect="1"/>
            </wp:cNvGraphicFramePr>
            <a:graphic>
              <a:graphicData uri="http://schemas.openxmlformats.org/drawingml/2006/picture">
                <pic:pic>
                  <pic:nvPicPr>
                    <pic:cNvPr id="90" name="image72.jpeg"/>
                    <pic:cNvPicPr/>
                  </pic:nvPicPr>
                  <pic:blipFill>
                    <a:blip r:embed="rId212" cstate="print"/>
                    <a:stretch>
                      <a:fillRect/>
                    </a:stretch>
                  </pic:blipFill>
                  <pic:spPr>
                    <a:xfrm>
                      <a:off x="0" y="0"/>
                      <a:ext cx="841247" cy="243840"/>
                    </a:xfrm>
                    <a:prstGeom prst="rect">
                      <a:avLst/>
                    </a:prstGeom>
                  </pic:spPr>
                </pic:pic>
              </a:graphicData>
            </a:graphic>
          </wp:anchor>
        </w:drawing>
      </w:r>
    </w:p>
    <w:p>
      <w:pPr>
        <w:pStyle w:val="BodyText"/>
        <w:rPr>
          <w:rFonts w:ascii="Times New Roman"/>
          <w:i/>
          <w:sz w:val="10"/>
        </w:rPr>
      </w:pPr>
    </w:p>
    <w:p>
      <w:pPr>
        <w:pStyle w:val="BodyText"/>
        <w:spacing w:before="8"/>
        <w:rPr>
          <w:rFonts w:ascii="Times New Roman"/>
          <w:i/>
          <w:sz w:val="14"/>
        </w:rPr>
      </w:pPr>
    </w:p>
    <w:p>
      <w:pPr>
        <w:spacing w:before="0"/>
        <w:ind w:left="187" w:right="142" w:firstLine="0"/>
        <w:jc w:val="center"/>
        <w:rPr>
          <w:b/>
          <w:sz w:val="23"/>
        </w:rPr>
      </w:pPr>
      <w:r>
        <w:rPr>
          <w:b/>
          <w:color w:val="111113"/>
          <w:sz w:val="23"/>
        </w:rPr>
        <w:t>INDEPENDENT  AUDITOR'S  REPORT</w:t>
      </w:r>
    </w:p>
    <w:p>
      <w:pPr>
        <w:pStyle w:val="BodyText"/>
        <w:rPr>
          <w:b/>
          <w:sz w:val="21"/>
        </w:rPr>
      </w:pPr>
    </w:p>
    <w:p>
      <w:pPr>
        <w:spacing w:before="0"/>
        <w:ind w:left="182" w:right="142" w:firstLine="0"/>
        <w:jc w:val="center"/>
        <w:rPr>
          <w:b/>
          <w:sz w:val="19"/>
        </w:rPr>
      </w:pPr>
      <w:r>
        <w:rPr>
          <w:b/>
          <w:color w:val="111113"/>
          <w:w w:val="105"/>
          <w:sz w:val="19"/>
        </w:rPr>
        <w:t>uwsconnect Limited</w:t>
      </w:r>
    </w:p>
    <w:p>
      <w:pPr>
        <w:pStyle w:val="BodyText"/>
        <w:rPr>
          <w:b/>
        </w:rPr>
      </w:pPr>
    </w:p>
    <w:p>
      <w:pPr>
        <w:pStyle w:val="BodyText"/>
        <w:spacing w:before="1"/>
        <w:rPr>
          <w:b/>
          <w:sz w:val="22"/>
        </w:rPr>
      </w:pPr>
    </w:p>
    <w:p>
      <w:pPr>
        <w:spacing w:before="0"/>
        <w:ind w:left="669" w:right="0" w:firstLine="0"/>
        <w:jc w:val="both"/>
        <w:rPr>
          <w:sz w:val="20"/>
        </w:rPr>
      </w:pPr>
      <w:r>
        <w:rPr>
          <w:color w:val="111113"/>
          <w:sz w:val="20"/>
        </w:rPr>
        <w:t>To Members of the New South Wales Parliament and Members of uwsconnect Limited</w:t>
      </w:r>
    </w:p>
    <w:p>
      <w:pPr>
        <w:pStyle w:val="BodyText"/>
        <w:spacing w:before="1"/>
        <w:rPr>
          <w:sz w:val="20"/>
        </w:rPr>
      </w:pPr>
    </w:p>
    <w:p>
      <w:pPr>
        <w:spacing w:line="237" w:lineRule="auto" w:before="0"/>
        <w:ind w:left="674" w:right="656" w:firstLine="9"/>
        <w:jc w:val="both"/>
        <w:rPr>
          <w:sz w:val="20"/>
        </w:rPr>
      </w:pPr>
      <w:r>
        <w:rPr>
          <w:color w:val="111113"/>
          <w:sz w:val="20"/>
        </w:rPr>
        <w:t>I have audited the accompanying financial statements of uwsconnect Limited (the Company), which comprise the statement of financial position as at 31 December 2012, the statement of comprehensive income, statement of changes in equity and statement of cash flows for the year then ended, notes comprising a summary of significant account </w:t>
      </w:r>
      <w:r>
        <w:rPr>
          <w:color w:val="313133"/>
          <w:sz w:val="20"/>
        </w:rPr>
        <w:t>i</w:t>
      </w:r>
      <w:r>
        <w:rPr>
          <w:color w:val="111113"/>
          <w:sz w:val="20"/>
        </w:rPr>
        <w:t>ng policies and other explanatory information and the directors</w:t>
      </w:r>
      <w:r>
        <w:rPr>
          <w:color w:val="313133"/>
          <w:sz w:val="20"/>
        </w:rPr>
        <w:t>' </w:t>
      </w:r>
      <w:r>
        <w:rPr>
          <w:color w:val="111113"/>
          <w:sz w:val="20"/>
        </w:rPr>
        <w:t>report</w:t>
      </w:r>
      <w:r>
        <w:rPr>
          <w:color w:val="313133"/>
          <w:sz w:val="20"/>
        </w:rPr>
        <w:t>.</w:t>
      </w:r>
    </w:p>
    <w:p>
      <w:pPr>
        <w:pStyle w:val="BodyText"/>
        <w:spacing w:before="10"/>
        <w:rPr>
          <w:sz w:val="20"/>
        </w:rPr>
      </w:pPr>
    </w:p>
    <w:p>
      <w:pPr>
        <w:spacing w:before="0"/>
        <w:ind w:left="674" w:right="0" w:firstLine="0"/>
        <w:jc w:val="both"/>
        <w:rPr>
          <w:b/>
          <w:sz w:val="23"/>
        </w:rPr>
      </w:pPr>
      <w:r>
        <w:rPr>
          <w:b/>
          <w:color w:val="111113"/>
          <w:w w:val="105"/>
          <w:sz w:val="23"/>
        </w:rPr>
        <w:t>Opinion</w:t>
      </w:r>
    </w:p>
    <w:p>
      <w:pPr>
        <w:pStyle w:val="BodyText"/>
        <w:spacing w:before="2"/>
        <w:rPr>
          <w:b/>
          <w:sz w:val="20"/>
        </w:rPr>
      </w:pPr>
    </w:p>
    <w:p>
      <w:pPr>
        <w:spacing w:before="0"/>
        <w:ind w:left="679" w:right="0" w:firstLine="0"/>
        <w:jc w:val="both"/>
        <w:rPr>
          <w:sz w:val="20"/>
        </w:rPr>
      </w:pPr>
      <w:r>
        <w:rPr>
          <w:color w:val="111113"/>
          <w:sz w:val="20"/>
        </w:rPr>
        <w:t>In my opinion the financial statements </w:t>
      </w:r>
      <w:r>
        <w:rPr>
          <w:color w:val="464646"/>
          <w:sz w:val="20"/>
        </w:rPr>
        <w:t>:</w:t>
      </w:r>
    </w:p>
    <w:p>
      <w:pPr>
        <w:pStyle w:val="BodyText"/>
        <w:spacing w:before="6"/>
        <w:rPr>
          <w:sz w:val="24"/>
        </w:rPr>
      </w:pPr>
    </w:p>
    <w:p>
      <w:pPr>
        <w:pStyle w:val="ListParagraph"/>
        <w:numPr>
          <w:ilvl w:val="0"/>
          <w:numId w:val="93"/>
        </w:numPr>
        <w:tabs>
          <w:tab w:pos="1238" w:val="left" w:leader="none"/>
        </w:tabs>
        <w:spacing w:line="240" w:lineRule="auto" w:before="0" w:after="0"/>
        <w:ind w:left="1237" w:right="0" w:hanging="563"/>
        <w:jc w:val="both"/>
        <w:rPr>
          <w:color w:val="111113"/>
          <w:sz w:val="20"/>
        </w:rPr>
      </w:pPr>
      <w:r>
        <w:rPr>
          <w:color w:val="111113"/>
          <w:sz w:val="20"/>
        </w:rPr>
        <w:t>are in accordance with the </w:t>
      </w:r>
      <w:r>
        <w:rPr>
          <w:i/>
          <w:color w:val="111113"/>
          <w:sz w:val="19"/>
        </w:rPr>
        <w:t>Corporations Act </w:t>
      </w:r>
      <w:r>
        <w:rPr>
          <w:i/>
          <w:color w:val="111113"/>
          <w:spacing w:val="2"/>
          <w:sz w:val="19"/>
        </w:rPr>
        <w:t>2001</w:t>
      </w:r>
      <w:r>
        <w:rPr>
          <w:i/>
          <w:color w:val="313133"/>
          <w:spacing w:val="2"/>
          <w:sz w:val="19"/>
        </w:rPr>
        <w:t>, </w:t>
      </w:r>
      <w:r>
        <w:rPr>
          <w:i/>
          <w:color w:val="313133"/>
          <w:spacing w:val="34"/>
          <w:sz w:val="19"/>
        </w:rPr>
        <w:t> </w:t>
      </w:r>
      <w:r>
        <w:rPr>
          <w:color w:val="111113"/>
          <w:sz w:val="20"/>
        </w:rPr>
        <w:t>including</w:t>
      </w:r>
      <w:r>
        <w:rPr>
          <w:color w:val="464646"/>
          <w:sz w:val="20"/>
        </w:rPr>
        <w:t>:</w:t>
      </w:r>
    </w:p>
    <w:p>
      <w:pPr>
        <w:spacing w:before="62"/>
        <w:ind w:left="1805" w:right="597" w:firstLine="0"/>
        <w:jc w:val="left"/>
        <w:rPr>
          <w:sz w:val="20"/>
        </w:rPr>
      </w:pPr>
      <w:r>
        <w:rPr>
          <w:color w:val="111113"/>
          <w:sz w:val="20"/>
        </w:rPr>
        <w:t>giving a true and fair view of the Company</w:t>
      </w:r>
      <w:r>
        <w:rPr>
          <w:color w:val="313133"/>
          <w:sz w:val="20"/>
        </w:rPr>
        <w:t>'</w:t>
      </w:r>
      <w:r>
        <w:rPr>
          <w:color w:val="111113"/>
          <w:sz w:val="20"/>
        </w:rPr>
        <w:t>s financial position as at 31 December 2012 and its performance for the year ended on that date</w:t>
      </w:r>
    </w:p>
    <w:p>
      <w:pPr>
        <w:spacing w:before="62"/>
        <w:ind w:left="1805" w:right="269" w:firstLine="0"/>
        <w:jc w:val="left"/>
        <w:rPr>
          <w:sz w:val="20"/>
        </w:rPr>
      </w:pPr>
      <w:r>
        <w:rPr>
          <w:color w:val="111113"/>
          <w:sz w:val="20"/>
        </w:rPr>
        <w:t>complying with Australian Accounting Standards and the Corporations Regulations 2001</w:t>
      </w:r>
    </w:p>
    <w:p>
      <w:pPr>
        <w:pStyle w:val="ListParagraph"/>
        <w:numPr>
          <w:ilvl w:val="0"/>
          <w:numId w:val="93"/>
        </w:numPr>
        <w:tabs>
          <w:tab w:pos="1238" w:val="left" w:leader="none"/>
        </w:tabs>
        <w:spacing w:line="240" w:lineRule="auto" w:before="52" w:after="0"/>
        <w:ind w:left="1237" w:right="889" w:hanging="568"/>
        <w:jc w:val="left"/>
        <w:rPr>
          <w:color w:val="111113"/>
          <w:sz w:val="20"/>
        </w:rPr>
      </w:pPr>
      <w:r>
        <w:rPr>
          <w:color w:val="111113"/>
          <w:sz w:val="20"/>
        </w:rPr>
        <w:t>are</w:t>
      </w:r>
      <w:r>
        <w:rPr>
          <w:color w:val="111113"/>
          <w:spacing w:val="-4"/>
          <w:sz w:val="20"/>
        </w:rPr>
        <w:t> </w:t>
      </w:r>
      <w:r>
        <w:rPr>
          <w:color w:val="111113"/>
          <w:sz w:val="20"/>
        </w:rPr>
        <w:t>in</w:t>
      </w:r>
      <w:r>
        <w:rPr>
          <w:color w:val="111113"/>
          <w:spacing w:val="-14"/>
          <w:sz w:val="20"/>
        </w:rPr>
        <w:t> </w:t>
      </w:r>
      <w:r>
        <w:rPr>
          <w:color w:val="111113"/>
          <w:sz w:val="20"/>
        </w:rPr>
        <w:t>accordance</w:t>
      </w:r>
      <w:r>
        <w:rPr>
          <w:color w:val="111113"/>
          <w:spacing w:val="1"/>
          <w:sz w:val="20"/>
        </w:rPr>
        <w:t> </w:t>
      </w:r>
      <w:r>
        <w:rPr>
          <w:color w:val="111113"/>
          <w:sz w:val="20"/>
        </w:rPr>
        <w:t>with</w:t>
      </w:r>
      <w:r>
        <w:rPr>
          <w:color w:val="111113"/>
          <w:spacing w:val="1"/>
          <w:sz w:val="20"/>
        </w:rPr>
        <w:t> </w:t>
      </w:r>
      <w:r>
        <w:rPr>
          <w:color w:val="111113"/>
          <w:sz w:val="20"/>
        </w:rPr>
        <w:t>section</w:t>
      </w:r>
      <w:r>
        <w:rPr>
          <w:color w:val="111113"/>
          <w:spacing w:val="-6"/>
          <w:sz w:val="20"/>
        </w:rPr>
        <w:t> </w:t>
      </w:r>
      <w:r>
        <w:rPr>
          <w:color w:val="111113"/>
          <w:spacing w:val="2"/>
          <w:sz w:val="20"/>
        </w:rPr>
        <w:t>41(B)</w:t>
      </w:r>
      <w:r>
        <w:rPr>
          <w:color w:val="111113"/>
          <w:spacing w:val="-10"/>
          <w:sz w:val="20"/>
        </w:rPr>
        <w:t> </w:t>
      </w:r>
      <w:r>
        <w:rPr>
          <w:color w:val="111113"/>
          <w:sz w:val="20"/>
        </w:rPr>
        <w:t>of</w:t>
      </w:r>
      <w:r>
        <w:rPr>
          <w:color w:val="111113"/>
          <w:spacing w:val="-7"/>
          <w:sz w:val="20"/>
        </w:rPr>
        <w:t> </w:t>
      </w:r>
      <w:r>
        <w:rPr>
          <w:color w:val="111113"/>
          <w:sz w:val="20"/>
        </w:rPr>
        <w:t>the</w:t>
      </w:r>
      <w:r>
        <w:rPr>
          <w:color w:val="111113"/>
          <w:spacing w:val="3"/>
          <w:sz w:val="20"/>
        </w:rPr>
        <w:t> </w:t>
      </w:r>
      <w:r>
        <w:rPr>
          <w:color w:val="111113"/>
          <w:sz w:val="20"/>
        </w:rPr>
        <w:t>Public</w:t>
      </w:r>
      <w:r>
        <w:rPr>
          <w:color w:val="111113"/>
          <w:spacing w:val="-5"/>
          <w:sz w:val="20"/>
        </w:rPr>
        <w:t> </w:t>
      </w:r>
      <w:r>
        <w:rPr>
          <w:color w:val="111113"/>
          <w:sz w:val="20"/>
        </w:rPr>
        <w:t>Finance</w:t>
      </w:r>
      <w:r>
        <w:rPr>
          <w:color w:val="111113"/>
          <w:spacing w:val="-6"/>
          <w:sz w:val="20"/>
        </w:rPr>
        <w:t> </w:t>
      </w:r>
      <w:r>
        <w:rPr>
          <w:color w:val="111113"/>
          <w:sz w:val="20"/>
        </w:rPr>
        <w:t>and</w:t>
      </w:r>
      <w:r>
        <w:rPr>
          <w:color w:val="111113"/>
          <w:spacing w:val="-16"/>
          <w:sz w:val="20"/>
        </w:rPr>
        <w:t> </w:t>
      </w:r>
      <w:r>
        <w:rPr>
          <w:color w:val="111113"/>
          <w:sz w:val="20"/>
        </w:rPr>
        <w:t>Audit</w:t>
      </w:r>
      <w:r>
        <w:rPr>
          <w:color w:val="111113"/>
          <w:spacing w:val="-4"/>
          <w:sz w:val="20"/>
        </w:rPr>
        <w:t> </w:t>
      </w:r>
      <w:r>
        <w:rPr>
          <w:color w:val="111113"/>
          <w:sz w:val="20"/>
        </w:rPr>
        <w:t>Act</w:t>
      </w:r>
      <w:r>
        <w:rPr>
          <w:color w:val="111113"/>
          <w:spacing w:val="13"/>
          <w:sz w:val="20"/>
        </w:rPr>
        <w:t> </w:t>
      </w:r>
      <w:r>
        <w:rPr>
          <w:color w:val="111113"/>
          <w:sz w:val="20"/>
        </w:rPr>
        <w:t>1983</w:t>
      </w:r>
      <w:r>
        <w:rPr>
          <w:color w:val="111113"/>
          <w:spacing w:val="-11"/>
          <w:sz w:val="20"/>
        </w:rPr>
        <w:t> </w:t>
      </w:r>
      <w:r>
        <w:rPr>
          <w:color w:val="111113"/>
          <w:sz w:val="20"/>
        </w:rPr>
        <w:t>(the</w:t>
      </w:r>
      <w:r>
        <w:rPr>
          <w:color w:val="111113"/>
          <w:spacing w:val="-5"/>
          <w:sz w:val="20"/>
        </w:rPr>
        <w:t> </w:t>
      </w:r>
      <w:r>
        <w:rPr>
          <w:color w:val="111113"/>
          <w:sz w:val="20"/>
        </w:rPr>
        <w:t>PF&amp;A</w:t>
      </w:r>
      <w:r>
        <w:rPr>
          <w:color w:val="111113"/>
          <w:spacing w:val="-10"/>
          <w:sz w:val="20"/>
        </w:rPr>
        <w:t> </w:t>
      </w:r>
      <w:r>
        <w:rPr>
          <w:color w:val="111113"/>
          <w:sz w:val="20"/>
        </w:rPr>
        <w:t>Act) and the Public Finance and Audit Regulation</w:t>
      </w:r>
      <w:r>
        <w:rPr>
          <w:color w:val="111113"/>
          <w:spacing w:val="-28"/>
          <w:sz w:val="20"/>
        </w:rPr>
        <w:t> </w:t>
      </w:r>
      <w:r>
        <w:rPr>
          <w:color w:val="111113"/>
          <w:sz w:val="20"/>
        </w:rPr>
        <w:t>2010</w:t>
      </w:r>
    </w:p>
    <w:p>
      <w:pPr>
        <w:pStyle w:val="BodyText"/>
        <w:spacing w:before="10"/>
        <w:rPr>
          <w:sz w:val="24"/>
        </w:rPr>
      </w:pPr>
    </w:p>
    <w:p>
      <w:pPr>
        <w:spacing w:before="1"/>
        <w:ind w:left="674" w:right="0" w:firstLine="0"/>
        <w:jc w:val="both"/>
        <w:rPr>
          <w:sz w:val="20"/>
        </w:rPr>
      </w:pPr>
      <w:r>
        <w:rPr>
          <w:color w:val="111113"/>
          <w:sz w:val="20"/>
        </w:rPr>
        <w:t>My opinion should be read in conjunction with the rest of this report</w:t>
      </w:r>
      <w:r>
        <w:rPr>
          <w:color w:val="313133"/>
          <w:sz w:val="20"/>
        </w:rPr>
        <w:t>.</w:t>
      </w:r>
    </w:p>
    <w:p>
      <w:pPr>
        <w:pStyle w:val="BodyText"/>
        <w:spacing w:before="4"/>
        <w:rPr>
          <w:sz w:val="20"/>
        </w:rPr>
      </w:pPr>
    </w:p>
    <w:p>
      <w:pPr>
        <w:spacing w:before="1"/>
        <w:ind w:left="674" w:right="0" w:firstLine="0"/>
        <w:jc w:val="both"/>
        <w:rPr>
          <w:b/>
          <w:sz w:val="23"/>
        </w:rPr>
      </w:pPr>
      <w:r>
        <w:rPr>
          <w:b/>
          <w:color w:val="111113"/>
          <w:sz w:val="23"/>
        </w:rPr>
        <w:t>Directors'  Responsibility  for the  Financial Statements</w:t>
      </w:r>
    </w:p>
    <w:p>
      <w:pPr>
        <w:pStyle w:val="BodyText"/>
        <w:spacing w:before="2"/>
        <w:rPr>
          <w:b/>
          <w:sz w:val="20"/>
        </w:rPr>
      </w:pPr>
    </w:p>
    <w:p>
      <w:pPr>
        <w:spacing w:before="0"/>
        <w:ind w:left="659" w:right="669" w:firstLine="0"/>
        <w:jc w:val="both"/>
        <w:rPr>
          <w:sz w:val="20"/>
        </w:rPr>
      </w:pPr>
      <w:r>
        <w:rPr>
          <w:color w:val="111113"/>
          <w:sz w:val="20"/>
        </w:rPr>
        <w:t>The directors of the Company are responsible for the preparation of the financial statements that give a true and fair view in accordance with Australian Accounting Standards, the PF&amp;A Act and the </w:t>
      </w:r>
      <w:r>
        <w:rPr>
          <w:i/>
          <w:color w:val="111113"/>
          <w:sz w:val="19"/>
        </w:rPr>
        <w:t>Corporations Act 2001 </w:t>
      </w:r>
      <w:r>
        <w:rPr>
          <w:color w:val="111113"/>
          <w:sz w:val="20"/>
        </w:rPr>
        <w:t>and for such internal control as the d</w:t>
      </w:r>
      <w:r>
        <w:rPr>
          <w:color w:val="313133"/>
          <w:sz w:val="20"/>
        </w:rPr>
        <w:t>i</w:t>
      </w:r>
      <w:r>
        <w:rPr>
          <w:color w:val="111113"/>
          <w:sz w:val="20"/>
        </w:rPr>
        <w:t>rectors determine is necessary to enable the preparation of the financial statements that give a true and fair view and that are free from mater</w:t>
      </w:r>
      <w:r>
        <w:rPr>
          <w:color w:val="313133"/>
          <w:sz w:val="20"/>
        </w:rPr>
        <w:t>i</w:t>
      </w:r>
      <w:r>
        <w:rPr>
          <w:color w:val="111113"/>
          <w:sz w:val="20"/>
        </w:rPr>
        <w:t>al misstatement, whether due to fraud or error</w:t>
      </w:r>
      <w:r>
        <w:rPr>
          <w:color w:val="313133"/>
          <w:sz w:val="20"/>
        </w:rPr>
        <w:t>.</w:t>
      </w:r>
    </w:p>
    <w:p>
      <w:pPr>
        <w:pStyle w:val="BodyText"/>
        <w:spacing w:before="4"/>
        <w:rPr>
          <w:sz w:val="20"/>
        </w:rPr>
      </w:pPr>
    </w:p>
    <w:p>
      <w:pPr>
        <w:spacing w:before="1"/>
        <w:ind w:left="655" w:right="0" w:firstLine="0"/>
        <w:jc w:val="both"/>
        <w:rPr>
          <w:b/>
          <w:sz w:val="23"/>
        </w:rPr>
      </w:pPr>
      <w:r>
        <w:rPr>
          <w:b/>
          <w:color w:val="111113"/>
          <w:sz w:val="23"/>
        </w:rPr>
        <w:t>Auditor's  Responsibility</w:t>
      </w:r>
    </w:p>
    <w:p>
      <w:pPr>
        <w:pStyle w:val="BodyText"/>
        <w:spacing w:before="2"/>
        <w:rPr>
          <w:b/>
          <w:sz w:val="20"/>
        </w:rPr>
      </w:pPr>
    </w:p>
    <w:p>
      <w:pPr>
        <w:spacing w:line="240" w:lineRule="auto" w:before="0"/>
        <w:ind w:left="650" w:right="679" w:firstLine="14"/>
        <w:jc w:val="both"/>
        <w:rPr>
          <w:sz w:val="20"/>
        </w:rPr>
      </w:pPr>
      <w:r>
        <w:rPr>
          <w:color w:val="111113"/>
          <w:sz w:val="20"/>
        </w:rPr>
        <w:t>My responsibility is to express an opinion on the financial statements based on my audit. I conducted my aud</w:t>
      </w:r>
      <w:r>
        <w:rPr>
          <w:color w:val="313133"/>
          <w:sz w:val="20"/>
        </w:rPr>
        <w:t>i</w:t>
      </w:r>
      <w:r>
        <w:rPr>
          <w:color w:val="111113"/>
          <w:sz w:val="20"/>
        </w:rPr>
        <w:t>t in accordance with Australian Auditing Standards </w:t>
      </w:r>
      <w:r>
        <w:rPr>
          <w:color w:val="313133"/>
          <w:sz w:val="20"/>
        </w:rPr>
        <w:t>. </w:t>
      </w:r>
      <w:r>
        <w:rPr>
          <w:color w:val="111113"/>
          <w:sz w:val="20"/>
        </w:rPr>
        <w:t>Those Standards require that I comply with relevant ethical requirements relating to audit engagements and plan and perform the audit to obtain reasonable assurance about whether the financial statements are free from material misstatement.</w:t>
      </w:r>
    </w:p>
    <w:p>
      <w:pPr>
        <w:pStyle w:val="BodyText"/>
        <w:spacing w:before="1"/>
        <w:rPr>
          <w:sz w:val="20"/>
        </w:rPr>
      </w:pPr>
    </w:p>
    <w:p>
      <w:pPr>
        <w:spacing w:line="237" w:lineRule="auto" w:before="0"/>
        <w:ind w:left="645" w:right="679" w:firstLine="4"/>
        <w:jc w:val="both"/>
        <w:rPr>
          <w:sz w:val="20"/>
        </w:rPr>
      </w:pPr>
      <w:r>
        <w:rPr>
          <w:color w:val="111113"/>
          <w:sz w:val="20"/>
        </w:rPr>
        <w:t>An audit involves performing procedures to obtain audit evidence about the amounts and disclosures in</w:t>
      </w:r>
      <w:r>
        <w:rPr>
          <w:color w:val="111113"/>
          <w:spacing w:val="-12"/>
          <w:sz w:val="20"/>
        </w:rPr>
        <w:t> </w:t>
      </w:r>
      <w:r>
        <w:rPr>
          <w:color w:val="111113"/>
          <w:sz w:val="20"/>
        </w:rPr>
        <w:t>the</w:t>
      </w:r>
      <w:r>
        <w:rPr>
          <w:color w:val="111113"/>
          <w:spacing w:val="-4"/>
          <w:sz w:val="20"/>
        </w:rPr>
        <w:t> </w:t>
      </w:r>
      <w:r>
        <w:rPr>
          <w:color w:val="111113"/>
          <w:sz w:val="20"/>
        </w:rPr>
        <w:t>financial</w:t>
      </w:r>
      <w:r>
        <w:rPr>
          <w:color w:val="111113"/>
          <w:spacing w:val="9"/>
          <w:sz w:val="20"/>
        </w:rPr>
        <w:t> </w:t>
      </w:r>
      <w:r>
        <w:rPr>
          <w:color w:val="111113"/>
          <w:sz w:val="20"/>
        </w:rPr>
        <w:t>statements</w:t>
      </w:r>
      <w:r>
        <w:rPr>
          <w:color w:val="111113"/>
          <w:spacing w:val="-36"/>
          <w:sz w:val="20"/>
        </w:rPr>
        <w:t> </w:t>
      </w:r>
      <w:r>
        <w:rPr>
          <w:color w:val="313133"/>
          <w:sz w:val="20"/>
        </w:rPr>
        <w:t>.</w:t>
      </w:r>
      <w:r>
        <w:rPr>
          <w:color w:val="313133"/>
          <w:spacing w:val="-15"/>
          <w:sz w:val="20"/>
        </w:rPr>
        <w:t> </w:t>
      </w:r>
      <w:r>
        <w:rPr>
          <w:color w:val="111113"/>
          <w:sz w:val="20"/>
        </w:rPr>
        <w:t>The</w:t>
      </w:r>
      <w:r>
        <w:rPr>
          <w:color w:val="111113"/>
          <w:spacing w:val="2"/>
          <w:sz w:val="20"/>
        </w:rPr>
        <w:t> </w:t>
      </w:r>
      <w:r>
        <w:rPr>
          <w:color w:val="111113"/>
          <w:sz w:val="20"/>
        </w:rPr>
        <w:t>procedures</w:t>
      </w:r>
      <w:r>
        <w:rPr>
          <w:color w:val="111113"/>
          <w:spacing w:val="3"/>
          <w:sz w:val="20"/>
        </w:rPr>
        <w:t> </w:t>
      </w:r>
      <w:r>
        <w:rPr>
          <w:color w:val="111113"/>
          <w:sz w:val="20"/>
        </w:rPr>
        <w:t>selected</w:t>
      </w:r>
      <w:r>
        <w:rPr>
          <w:color w:val="111113"/>
          <w:spacing w:val="3"/>
          <w:sz w:val="20"/>
        </w:rPr>
        <w:t> </w:t>
      </w:r>
      <w:r>
        <w:rPr>
          <w:color w:val="111113"/>
          <w:sz w:val="20"/>
        </w:rPr>
        <w:t>depend</w:t>
      </w:r>
      <w:r>
        <w:rPr>
          <w:color w:val="111113"/>
          <w:spacing w:val="4"/>
          <w:sz w:val="20"/>
        </w:rPr>
        <w:t> </w:t>
      </w:r>
      <w:r>
        <w:rPr>
          <w:color w:val="111113"/>
          <w:sz w:val="20"/>
        </w:rPr>
        <w:t>on</w:t>
      </w:r>
      <w:r>
        <w:rPr>
          <w:color w:val="111113"/>
          <w:spacing w:val="-5"/>
          <w:sz w:val="20"/>
        </w:rPr>
        <w:t> </w:t>
      </w:r>
      <w:r>
        <w:rPr>
          <w:color w:val="111113"/>
          <w:sz w:val="20"/>
        </w:rPr>
        <w:t>the</w:t>
      </w:r>
      <w:r>
        <w:rPr>
          <w:color w:val="111113"/>
          <w:spacing w:val="-1"/>
          <w:sz w:val="20"/>
        </w:rPr>
        <w:t> </w:t>
      </w:r>
      <w:r>
        <w:rPr>
          <w:color w:val="111113"/>
          <w:sz w:val="20"/>
        </w:rPr>
        <w:t>auditor's</w:t>
      </w:r>
      <w:r>
        <w:rPr>
          <w:color w:val="111113"/>
          <w:spacing w:val="-12"/>
          <w:sz w:val="20"/>
        </w:rPr>
        <w:t> </w:t>
      </w:r>
      <w:r>
        <w:rPr>
          <w:color w:val="111113"/>
          <w:sz w:val="20"/>
        </w:rPr>
        <w:t>judgement</w:t>
      </w:r>
      <w:r>
        <w:rPr>
          <w:color w:val="111113"/>
          <w:spacing w:val="-21"/>
          <w:sz w:val="20"/>
        </w:rPr>
        <w:t> </w:t>
      </w:r>
      <w:r>
        <w:rPr>
          <w:color w:val="313133"/>
          <w:sz w:val="20"/>
        </w:rPr>
        <w:t>,</w:t>
      </w:r>
      <w:r>
        <w:rPr>
          <w:color w:val="313133"/>
          <w:spacing w:val="-5"/>
          <w:sz w:val="20"/>
        </w:rPr>
        <w:t> </w:t>
      </w:r>
      <w:r>
        <w:rPr>
          <w:color w:val="111113"/>
          <w:sz w:val="20"/>
        </w:rPr>
        <w:t>including</w:t>
      </w:r>
      <w:r>
        <w:rPr>
          <w:color w:val="111113"/>
          <w:spacing w:val="1"/>
          <w:sz w:val="20"/>
        </w:rPr>
        <w:t> </w:t>
      </w:r>
      <w:r>
        <w:rPr>
          <w:color w:val="111113"/>
          <w:sz w:val="20"/>
        </w:rPr>
        <w:t>the assessment of the risks of material misstatement of the financial statements, whether due to fraud or error</w:t>
      </w:r>
      <w:r>
        <w:rPr>
          <w:color w:val="59595B"/>
          <w:sz w:val="20"/>
        </w:rPr>
        <w:t>. </w:t>
      </w:r>
      <w:r>
        <w:rPr>
          <w:color w:val="111113"/>
          <w:sz w:val="20"/>
        </w:rPr>
        <w:t>In making those risk assessments </w:t>
      </w:r>
      <w:r>
        <w:rPr>
          <w:color w:val="313133"/>
          <w:sz w:val="20"/>
        </w:rPr>
        <w:t>, </w:t>
      </w:r>
      <w:r>
        <w:rPr>
          <w:color w:val="111113"/>
          <w:sz w:val="20"/>
        </w:rPr>
        <w:t>the auditor considers internal control relevant to the Company's preparation of the financial statements that give a true and fair </w:t>
      </w:r>
      <w:r>
        <w:rPr>
          <w:color w:val="111113"/>
          <w:spacing w:val="-3"/>
          <w:sz w:val="20"/>
        </w:rPr>
        <w:t>v</w:t>
      </w:r>
      <w:r>
        <w:rPr>
          <w:color w:val="313133"/>
          <w:spacing w:val="-3"/>
          <w:sz w:val="20"/>
        </w:rPr>
        <w:t>i</w:t>
      </w:r>
      <w:r>
        <w:rPr>
          <w:color w:val="111113"/>
          <w:spacing w:val="-3"/>
          <w:sz w:val="20"/>
        </w:rPr>
        <w:t>ew </w:t>
      </w:r>
      <w:r>
        <w:rPr>
          <w:color w:val="111113"/>
          <w:sz w:val="20"/>
        </w:rPr>
        <w:t>in order to design audit procedures tha</w:t>
      </w:r>
      <w:r>
        <w:rPr>
          <w:color w:val="313133"/>
          <w:sz w:val="20"/>
        </w:rPr>
        <w:t>t </w:t>
      </w:r>
      <w:r>
        <w:rPr>
          <w:color w:val="111113"/>
          <w:sz w:val="20"/>
        </w:rPr>
        <w:t>are appropriate in the c</w:t>
      </w:r>
      <w:r>
        <w:rPr>
          <w:color w:val="313133"/>
          <w:sz w:val="20"/>
        </w:rPr>
        <w:t>i</w:t>
      </w:r>
      <w:r>
        <w:rPr>
          <w:color w:val="111113"/>
          <w:sz w:val="20"/>
        </w:rPr>
        <w:t>rcumstances</w:t>
      </w:r>
      <w:r>
        <w:rPr>
          <w:color w:val="313133"/>
          <w:sz w:val="20"/>
        </w:rPr>
        <w:t>, </w:t>
      </w:r>
      <w:r>
        <w:rPr>
          <w:color w:val="111113"/>
          <w:sz w:val="20"/>
        </w:rPr>
        <w:t>but not for the purpose of expressing an opinion on the effectiveness of the company's internal control. An audit also includes evaluating the appropriateness of accounting policies used and the reasonableness of accounting estimates made</w:t>
      </w:r>
      <w:r>
        <w:rPr>
          <w:color w:val="111113"/>
          <w:spacing w:val="-33"/>
          <w:sz w:val="20"/>
        </w:rPr>
        <w:t> </w:t>
      </w:r>
      <w:r>
        <w:rPr>
          <w:color w:val="111113"/>
          <w:sz w:val="20"/>
        </w:rPr>
        <w:t>by the</w:t>
      </w:r>
      <w:r>
        <w:rPr>
          <w:color w:val="111113"/>
          <w:spacing w:val="-6"/>
          <w:sz w:val="20"/>
        </w:rPr>
        <w:t> </w:t>
      </w:r>
      <w:r>
        <w:rPr>
          <w:color w:val="111113"/>
          <w:sz w:val="20"/>
        </w:rPr>
        <w:t>directors</w:t>
      </w:r>
      <w:r>
        <w:rPr>
          <w:color w:val="111113"/>
          <w:spacing w:val="-35"/>
          <w:sz w:val="20"/>
        </w:rPr>
        <w:t> </w:t>
      </w:r>
      <w:r>
        <w:rPr>
          <w:color w:val="313133"/>
          <w:sz w:val="20"/>
        </w:rPr>
        <w:t>,</w:t>
      </w:r>
      <w:r>
        <w:rPr>
          <w:color w:val="313133"/>
          <w:spacing w:val="-15"/>
          <w:sz w:val="20"/>
        </w:rPr>
        <w:t> </w:t>
      </w:r>
      <w:r>
        <w:rPr>
          <w:color w:val="111113"/>
          <w:sz w:val="20"/>
        </w:rPr>
        <w:t>as</w:t>
      </w:r>
      <w:r>
        <w:rPr>
          <w:color w:val="111113"/>
          <w:spacing w:val="-11"/>
          <w:sz w:val="20"/>
        </w:rPr>
        <w:t> </w:t>
      </w:r>
      <w:r>
        <w:rPr>
          <w:color w:val="111113"/>
          <w:sz w:val="20"/>
        </w:rPr>
        <w:t>well</w:t>
      </w:r>
      <w:r>
        <w:rPr>
          <w:color w:val="111113"/>
          <w:spacing w:val="-1"/>
          <w:sz w:val="20"/>
        </w:rPr>
        <w:t> </w:t>
      </w:r>
      <w:r>
        <w:rPr>
          <w:color w:val="111113"/>
          <w:sz w:val="20"/>
        </w:rPr>
        <w:t>as</w:t>
      </w:r>
      <w:r>
        <w:rPr>
          <w:color w:val="111113"/>
          <w:spacing w:val="-11"/>
          <w:sz w:val="20"/>
        </w:rPr>
        <w:t> </w:t>
      </w:r>
      <w:r>
        <w:rPr>
          <w:color w:val="111113"/>
          <w:sz w:val="20"/>
        </w:rPr>
        <w:t>evaluating</w:t>
      </w:r>
      <w:r>
        <w:rPr>
          <w:color w:val="111113"/>
          <w:spacing w:val="1"/>
          <w:sz w:val="20"/>
        </w:rPr>
        <w:t> </w:t>
      </w:r>
      <w:r>
        <w:rPr>
          <w:color w:val="111113"/>
          <w:sz w:val="20"/>
        </w:rPr>
        <w:t>the</w:t>
      </w:r>
      <w:r>
        <w:rPr>
          <w:color w:val="111113"/>
          <w:spacing w:val="-6"/>
          <w:sz w:val="20"/>
        </w:rPr>
        <w:t> </w:t>
      </w:r>
      <w:r>
        <w:rPr>
          <w:color w:val="111113"/>
          <w:sz w:val="20"/>
        </w:rPr>
        <w:t>overall</w:t>
      </w:r>
      <w:r>
        <w:rPr>
          <w:color w:val="111113"/>
          <w:spacing w:val="-3"/>
          <w:sz w:val="20"/>
        </w:rPr>
        <w:t> </w:t>
      </w:r>
      <w:r>
        <w:rPr>
          <w:color w:val="111113"/>
          <w:sz w:val="20"/>
        </w:rPr>
        <w:t>presentation</w:t>
      </w:r>
      <w:r>
        <w:rPr>
          <w:color w:val="111113"/>
          <w:spacing w:val="-1"/>
          <w:sz w:val="20"/>
        </w:rPr>
        <w:t> </w:t>
      </w:r>
      <w:r>
        <w:rPr>
          <w:color w:val="111113"/>
          <w:sz w:val="20"/>
        </w:rPr>
        <w:t>of</w:t>
      </w:r>
      <w:r>
        <w:rPr>
          <w:color w:val="111113"/>
          <w:spacing w:val="-11"/>
          <w:sz w:val="20"/>
        </w:rPr>
        <w:t> </w:t>
      </w:r>
      <w:r>
        <w:rPr>
          <w:color w:val="111113"/>
          <w:sz w:val="20"/>
        </w:rPr>
        <w:t>the</w:t>
      </w:r>
      <w:r>
        <w:rPr>
          <w:color w:val="111113"/>
          <w:spacing w:val="-8"/>
          <w:sz w:val="20"/>
        </w:rPr>
        <w:t> </w:t>
      </w:r>
      <w:r>
        <w:rPr>
          <w:color w:val="111113"/>
          <w:sz w:val="20"/>
        </w:rPr>
        <w:t>financial</w:t>
      </w:r>
      <w:r>
        <w:rPr>
          <w:color w:val="111113"/>
          <w:spacing w:val="-1"/>
          <w:sz w:val="20"/>
        </w:rPr>
        <w:t> </w:t>
      </w:r>
      <w:r>
        <w:rPr>
          <w:color w:val="111113"/>
          <w:sz w:val="20"/>
        </w:rPr>
        <w:t>statements.</w:t>
      </w:r>
    </w:p>
    <w:p>
      <w:pPr>
        <w:pStyle w:val="BodyText"/>
        <w:rPr>
          <w:sz w:val="20"/>
        </w:rPr>
      </w:pPr>
    </w:p>
    <w:p>
      <w:pPr>
        <w:pStyle w:val="BodyText"/>
        <w:rPr>
          <w:sz w:val="20"/>
        </w:rPr>
      </w:pPr>
    </w:p>
    <w:p>
      <w:pPr>
        <w:pStyle w:val="BodyText"/>
        <w:spacing w:before="9"/>
        <w:rPr>
          <w:sz w:val="21"/>
        </w:rPr>
      </w:pPr>
      <w:r>
        <w:rPr/>
        <w:pict>
          <v:line style="position:absolute;mso-position-horizontal-relative:page;mso-position-vertical-relative:paragraph;z-index:5632;mso-wrap-distance-left:0;mso-wrap-distance-right:0" from="41.542252pt,14.750426pt" to="548.644112pt,14.750426pt" stroked="true" strokeweight=".477497pt" strokecolor="#444444">
            <w10:wrap type="topAndBottom"/>
          </v:line>
        </w:pict>
      </w:r>
    </w:p>
    <w:p>
      <w:pPr>
        <w:spacing w:before="91"/>
        <w:ind w:left="137" w:right="142" w:firstLine="0"/>
        <w:jc w:val="center"/>
        <w:rPr>
          <w:sz w:val="13"/>
        </w:rPr>
      </w:pPr>
      <w:r>
        <w:rPr>
          <w:color w:val="111113"/>
          <w:sz w:val="13"/>
        </w:rPr>
        <w:t>Level 15, </w:t>
      </w:r>
      <w:r>
        <w:rPr>
          <w:color w:val="313133"/>
          <w:sz w:val="13"/>
        </w:rPr>
        <w:t>1 </w:t>
      </w:r>
      <w:r>
        <w:rPr>
          <w:color w:val="111113"/>
          <w:sz w:val="13"/>
        </w:rPr>
        <w:t>Margar</w:t>
      </w:r>
      <w:r>
        <w:rPr>
          <w:color w:val="313133"/>
          <w:sz w:val="13"/>
        </w:rPr>
        <w:t>e</w:t>
      </w:r>
      <w:r>
        <w:rPr>
          <w:color w:val="111113"/>
          <w:sz w:val="13"/>
        </w:rPr>
        <w:t>t Street</w:t>
      </w:r>
      <w:r>
        <w:rPr>
          <w:color w:val="313133"/>
          <w:sz w:val="13"/>
        </w:rPr>
        <w:t>, </w:t>
      </w:r>
      <w:r>
        <w:rPr>
          <w:color w:val="111113"/>
          <w:sz w:val="13"/>
        </w:rPr>
        <w:t>Sydney  NSW 2000   </w:t>
      </w:r>
      <w:r>
        <w:rPr>
          <w:color w:val="111113"/>
          <w:sz w:val="19"/>
        </w:rPr>
        <w:t>I </w:t>
      </w:r>
      <w:r>
        <w:rPr>
          <w:color w:val="313133"/>
          <w:sz w:val="13"/>
        </w:rPr>
        <w:t>GPO Box  12, Sydney NSW 200</w:t>
      </w:r>
      <w:r>
        <w:rPr>
          <w:color w:val="111113"/>
          <w:sz w:val="13"/>
        </w:rPr>
        <w:t>1  </w:t>
      </w:r>
      <w:r>
        <w:rPr>
          <w:color w:val="313133"/>
          <w:sz w:val="19"/>
        </w:rPr>
        <w:t>I </w:t>
      </w:r>
      <w:r>
        <w:rPr>
          <w:color w:val="111113"/>
          <w:sz w:val="13"/>
        </w:rPr>
        <w:t>t </w:t>
      </w:r>
      <w:r>
        <w:rPr>
          <w:color w:val="313133"/>
          <w:sz w:val="13"/>
        </w:rPr>
        <w:t>02 9275 </w:t>
      </w:r>
      <w:r>
        <w:rPr>
          <w:color w:val="464646"/>
          <w:sz w:val="13"/>
        </w:rPr>
        <w:t>7101   </w:t>
      </w:r>
      <w:r>
        <w:rPr>
          <w:color w:val="111113"/>
          <w:sz w:val="19"/>
        </w:rPr>
        <w:t>I </w:t>
      </w:r>
      <w:r>
        <w:rPr>
          <w:color w:val="111113"/>
          <w:sz w:val="13"/>
        </w:rPr>
        <w:t>f </w:t>
      </w:r>
      <w:r>
        <w:rPr>
          <w:color w:val="313133"/>
          <w:sz w:val="13"/>
        </w:rPr>
        <w:t>02 9275 </w:t>
      </w:r>
      <w:r>
        <w:rPr>
          <w:color w:val="111113"/>
          <w:sz w:val="13"/>
        </w:rPr>
        <w:t>71</w:t>
      </w:r>
      <w:r>
        <w:rPr>
          <w:color w:val="313133"/>
          <w:sz w:val="13"/>
        </w:rPr>
        <w:t>79   </w:t>
      </w:r>
      <w:r>
        <w:rPr>
          <w:color w:val="313133"/>
          <w:w w:val="90"/>
          <w:sz w:val="19"/>
        </w:rPr>
        <w:t>I  </w:t>
      </w:r>
      <w:r>
        <w:rPr>
          <w:color w:val="111113"/>
          <w:sz w:val="13"/>
        </w:rPr>
        <w:t>e </w:t>
      </w:r>
      <w:hyperlink r:id="rId113">
        <w:r>
          <w:rPr>
            <w:color w:val="313133"/>
            <w:sz w:val="13"/>
          </w:rPr>
          <w:t>mai</w:t>
        </w:r>
        <w:r>
          <w:rPr>
            <w:color w:val="111113"/>
            <w:sz w:val="13"/>
          </w:rPr>
          <w:t>l</w:t>
        </w:r>
        <w:r>
          <w:rPr>
            <w:color w:val="464646"/>
            <w:sz w:val="13"/>
          </w:rPr>
          <w:t>@aud</w:t>
        </w:r>
        <w:r>
          <w:rPr>
            <w:color w:val="111113"/>
            <w:sz w:val="13"/>
          </w:rPr>
          <w:t>i</w:t>
        </w:r>
        <w:r>
          <w:rPr>
            <w:color w:val="313133"/>
            <w:sz w:val="13"/>
          </w:rPr>
          <w:t>t.nsw.gov</w:t>
        </w:r>
        <w:r>
          <w:rPr>
            <w:color w:val="111113"/>
            <w:sz w:val="13"/>
          </w:rPr>
          <w:t>.</w:t>
        </w:r>
        <w:r>
          <w:rPr>
            <w:color w:val="313133"/>
            <w:sz w:val="13"/>
          </w:rPr>
          <w:t>a</w:t>
        </w:r>
        <w:r>
          <w:rPr>
            <w:color w:val="111113"/>
            <w:sz w:val="13"/>
          </w:rPr>
          <w:t>u</w:t>
        </w:r>
      </w:hyperlink>
      <w:r>
        <w:rPr>
          <w:color w:val="111113"/>
          <w:sz w:val="13"/>
        </w:rPr>
        <w:t>  </w:t>
      </w:r>
      <w:r>
        <w:rPr>
          <w:color w:val="111113"/>
          <w:w w:val="90"/>
          <w:sz w:val="19"/>
        </w:rPr>
        <w:t>I    </w:t>
      </w:r>
      <w:r>
        <w:rPr>
          <w:color w:val="111113"/>
          <w:sz w:val="13"/>
        </w:rPr>
        <w:t>audit.nsw.gov.au</w:t>
      </w:r>
    </w:p>
    <w:p>
      <w:pPr>
        <w:spacing w:after="0"/>
        <w:jc w:val="center"/>
        <w:rPr>
          <w:sz w:val="13"/>
        </w:rPr>
        <w:sectPr>
          <w:headerReference w:type="default" r:id="rId210"/>
          <w:footerReference w:type="default" r:id="rId211"/>
          <w:pgSz w:w="11910" w:h="16840"/>
          <w:pgMar w:header="0" w:footer="507" w:top="200" w:bottom="700" w:left="720" w:right="820"/>
          <w:pgNumType w:start="202"/>
        </w:sectPr>
      </w:pPr>
    </w:p>
    <w:p>
      <w:pPr>
        <w:pStyle w:val="Heading8"/>
        <w:spacing w:before="54"/>
        <w:ind w:left="257" w:right="102" w:firstLine="4"/>
        <w:jc w:val="left"/>
      </w:pPr>
      <w:r>
        <w:rPr>
          <w:color w:val="111113"/>
          <w:w w:val="123"/>
        </w:rPr>
        <w:t>I </w:t>
      </w:r>
      <w:r>
        <w:rPr>
          <w:color w:val="111113"/>
          <w:w w:val="97"/>
        </w:rPr>
        <w:t>believe </w:t>
      </w:r>
      <w:r>
        <w:rPr>
          <w:color w:val="111113"/>
          <w:w w:val="96"/>
        </w:rPr>
        <w:t>the </w:t>
      </w:r>
      <w:r>
        <w:rPr>
          <w:color w:val="111113"/>
          <w:w w:val="97"/>
        </w:rPr>
        <w:t>audit </w:t>
      </w:r>
      <w:r>
        <w:rPr>
          <w:color w:val="111113"/>
          <w:w w:val="92"/>
        </w:rPr>
        <w:t>evide</w:t>
      </w:r>
      <w:r>
        <w:rPr>
          <w:color w:val="BCBCBF"/>
          <w:w w:val="92"/>
        </w:rPr>
        <w:t>-</w:t>
      </w:r>
      <w:r>
        <w:rPr>
          <w:color w:val="111113"/>
          <w:w w:val="92"/>
        </w:rPr>
        <w:t>nce </w:t>
      </w:r>
      <w:r>
        <w:rPr>
          <w:color w:val="111113"/>
          <w:w w:val="123"/>
        </w:rPr>
        <w:t>I </w:t>
      </w:r>
      <w:r>
        <w:rPr>
          <w:color w:val="111113"/>
          <w:w w:val="97"/>
        </w:rPr>
        <w:t>have </w:t>
      </w:r>
      <w:r>
        <w:rPr>
          <w:color w:val="111113"/>
          <w:w w:val="97"/>
        </w:rPr>
        <w:t>obtained </w:t>
      </w:r>
      <w:r>
        <w:rPr>
          <w:color w:val="111113"/>
          <w:w w:val="98"/>
        </w:rPr>
        <w:t>is </w:t>
      </w:r>
      <w:r>
        <w:rPr>
          <w:color w:val="111113"/>
          <w:w w:val="97"/>
        </w:rPr>
        <w:t>sufficient </w:t>
      </w:r>
      <w:r>
        <w:rPr>
          <w:color w:val="111113"/>
          <w:w w:val="97"/>
        </w:rPr>
        <w:t>and </w:t>
      </w:r>
      <w:r>
        <w:rPr>
          <w:color w:val="111113"/>
          <w:w w:val="97"/>
        </w:rPr>
        <w:t>appropriate </w:t>
      </w:r>
      <w:r>
        <w:rPr>
          <w:color w:val="111113"/>
          <w:w w:val="95"/>
        </w:rPr>
        <w:t>to  </w:t>
      </w:r>
      <w:r>
        <w:rPr>
          <w:color w:val="111113"/>
          <w:w w:val="97"/>
        </w:rPr>
        <w:t>provide  </w:t>
      </w:r>
      <w:r>
        <w:rPr>
          <w:color w:val="111113"/>
          <w:w w:val="92"/>
        </w:rPr>
        <w:t>a  </w:t>
      </w:r>
      <w:r>
        <w:rPr>
          <w:color w:val="111113"/>
          <w:w w:val="94"/>
        </w:rPr>
        <w:t>basis </w:t>
      </w:r>
      <w:r>
        <w:rPr>
          <w:color w:val="111113"/>
          <w:w w:val="95"/>
        </w:rPr>
        <w:t>for  </w:t>
      </w:r>
      <w:r>
        <w:rPr>
          <w:color w:val="111113"/>
          <w:w w:val="96"/>
        </w:rPr>
        <w:t>my </w:t>
      </w:r>
      <w:r>
        <w:rPr>
          <w:color w:val="111113"/>
        </w:rPr>
        <w:t>audit opinion</w:t>
      </w:r>
      <w:r>
        <w:rPr>
          <w:color w:val="565456"/>
        </w:rPr>
        <w:t>.</w:t>
      </w:r>
    </w:p>
    <w:p>
      <w:pPr>
        <w:pStyle w:val="BodyText"/>
        <w:rPr>
          <w:sz w:val="20"/>
        </w:rPr>
      </w:pPr>
    </w:p>
    <w:p>
      <w:pPr>
        <w:spacing w:before="0"/>
        <w:ind w:left="262" w:right="102" w:firstLine="0"/>
        <w:jc w:val="left"/>
        <w:rPr>
          <w:sz w:val="20"/>
        </w:rPr>
      </w:pPr>
      <w:r>
        <w:rPr>
          <w:color w:val="111113"/>
          <w:sz w:val="20"/>
        </w:rPr>
        <w:t>My opinion does </w:t>
      </w:r>
      <w:r>
        <w:rPr>
          <w:i/>
          <w:color w:val="111113"/>
          <w:sz w:val="20"/>
        </w:rPr>
        <w:t>not </w:t>
      </w:r>
      <w:r>
        <w:rPr>
          <w:color w:val="111113"/>
          <w:sz w:val="20"/>
        </w:rPr>
        <w:t>provide assurance </w:t>
      </w:r>
      <w:r>
        <w:rPr>
          <w:color w:val="333133"/>
          <w:sz w:val="20"/>
        </w:rPr>
        <w:t>:</w:t>
      </w:r>
    </w:p>
    <w:p>
      <w:pPr>
        <w:pStyle w:val="BodyText"/>
        <w:spacing w:before="5"/>
        <w:rPr>
          <w:sz w:val="25"/>
        </w:rPr>
      </w:pPr>
    </w:p>
    <w:p>
      <w:pPr>
        <w:pStyle w:val="ListParagraph"/>
        <w:numPr>
          <w:ilvl w:val="0"/>
          <w:numId w:val="94"/>
        </w:numPr>
        <w:tabs>
          <w:tab w:pos="823" w:val="left" w:leader="none"/>
        </w:tabs>
        <w:spacing w:line="240" w:lineRule="auto" w:before="0" w:after="0"/>
        <w:ind w:left="822" w:right="0" w:hanging="570"/>
        <w:jc w:val="left"/>
        <w:rPr>
          <w:sz w:val="20"/>
        </w:rPr>
      </w:pPr>
      <w:r>
        <w:rPr>
          <w:color w:val="111113"/>
          <w:sz w:val="20"/>
        </w:rPr>
        <w:t>about the future viability of the</w:t>
      </w:r>
      <w:r>
        <w:rPr>
          <w:color w:val="111113"/>
          <w:spacing w:val="-15"/>
          <w:sz w:val="20"/>
        </w:rPr>
        <w:t> </w:t>
      </w:r>
      <w:r>
        <w:rPr>
          <w:color w:val="111113"/>
          <w:sz w:val="20"/>
        </w:rPr>
        <w:t>Company</w:t>
      </w:r>
    </w:p>
    <w:p>
      <w:pPr>
        <w:pStyle w:val="ListParagraph"/>
        <w:numPr>
          <w:ilvl w:val="0"/>
          <w:numId w:val="94"/>
        </w:numPr>
        <w:tabs>
          <w:tab w:pos="818" w:val="left" w:leader="none"/>
        </w:tabs>
        <w:spacing w:line="240" w:lineRule="auto" w:before="22" w:after="0"/>
        <w:ind w:left="817" w:right="0" w:hanging="565"/>
        <w:jc w:val="left"/>
        <w:rPr>
          <w:sz w:val="20"/>
        </w:rPr>
      </w:pPr>
      <w:r>
        <w:rPr>
          <w:color w:val="111113"/>
          <w:sz w:val="20"/>
        </w:rPr>
        <w:t>that</w:t>
      </w:r>
      <w:r>
        <w:rPr>
          <w:color w:val="111113"/>
          <w:spacing w:val="-1"/>
          <w:sz w:val="20"/>
        </w:rPr>
        <w:t> </w:t>
      </w:r>
      <w:r>
        <w:rPr>
          <w:color w:val="111113"/>
          <w:sz w:val="20"/>
        </w:rPr>
        <w:t>it</w:t>
      </w:r>
      <w:r>
        <w:rPr>
          <w:color w:val="111113"/>
          <w:spacing w:val="-13"/>
          <w:sz w:val="20"/>
        </w:rPr>
        <w:t> </w:t>
      </w:r>
      <w:r>
        <w:rPr>
          <w:color w:val="111113"/>
          <w:sz w:val="20"/>
        </w:rPr>
        <w:t>has</w:t>
      </w:r>
      <w:r>
        <w:rPr>
          <w:color w:val="111113"/>
          <w:spacing w:val="-10"/>
          <w:sz w:val="20"/>
        </w:rPr>
        <w:t> </w:t>
      </w:r>
      <w:r>
        <w:rPr>
          <w:color w:val="111113"/>
          <w:sz w:val="20"/>
        </w:rPr>
        <w:t>carried</w:t>
      </w:r>
      <w:r>
        <w:rPr>
          <w:color w:val="111113"/>
          <w:spacing w:val="-2"/>
          <w:sz w:val="20"/>
        </w:rPr>
        <w:t> </w:t>
      </w:r>
      <w:r>
        <w:rPr>
          <w:color w:val="111113"/>
          <w:sz w:val="20"/>
        </w:rPr>
        <w:t>out</w:t>
      </w:r>
      <w:r>
        <w:rPr>
          <w:color w:val="111113"/>
          <w:spacing w:val="-4"/>
          <w:sz w:val="20"/>
        </w:rPr>
        <w:t> </w:t>
      </w:r>
      <w:r>
        <w:rPr>
          <w:color w:val="111113"/>
          <w:sz w:val="20"/>
        </w:rPr>
        <w:t>its</w:t>
      </w:r>
      <w:r>
        <w:rPr>
          <w:color w:val="111113"/>
          <w:spacing w:val="-12"/>
          <w:sz w:val="20"/>
        </w:rPr>
        <w:t> </w:t>
      </w:r>
      <w:r>
        <w:rPr>
          <w:color w:val="111113"/>
          <w:sz w:val="20"/>
        </w:rPr>
        <w:t>activities</w:t>
      </w:r>
      <w:r>
        <w:rPr>
          <w:color w:val="111113"/>
          <w:spacing w:val="2"/>
          <w:sz w:val="20"/>
        </w:rPr>
        <w:t> </w:t>
      </w:r>
      <w:r>
        <w:rPr>
          <w:color w:val="111113"/>
          <w:sz w:val="20"/>
        </w:rPr>
        <w:t>effectively</w:t>
      </w:r>
      <w:r>
        <w:rPr>
          <w:color w:val="111113"/>
          <w:spacing w:val="-36"/>
          <w:sz w:val="20"/>
        </w:rPr>
        <w:t> </w:t>
      </w:r>
      <w:r>
        <w:rPr>
          <w:color w:val="444446"/>
          <w:sz w:val="20"/>
        </w:rPr>
        <w:t>,</w:t>
      </w:r>
      <w:r>
        <w:rPr>
          <w:color w:val="444446"/>
          <w:spacing w:val="-21"/>
          <w:sz w:val="20"/>
        </w:rPr>
        <w:t> </w:t>
      </w:r>
      <w:r>
        <w:rPr>
          <w:color w:val="111113"/>
          <w:sz w:val="20"/>
        </w:rPr>
        <w:t>efficiently</w:t>
      </w:r>
      <w:r>
        <w:rPr>
          <w:color w:val="111113"/>
          <w:spacing w:val="11"/>
          <w:sz w:val="20"/>
        </w:rPr>
        <w:t> </w:t>
      </w:r>
      <w:r>
        <w:rPr>
          <w:color w:val="111113"/>
          <w:sz w:val="20"/>
        </w:rPr>
        <w:t>and</w:t>
      </w:r>
      <w:r>
        <w:rPr>
          <w:color w:val="111113"/>
          <w:spacing w:val="-7"/>
          <w:sz w:val="20"/>
        </w:rPr>
        <w:t> </w:t>
      </w:r>
      <w:r>
        <w:rPr>
          <w:color w:val="111113"/>
          <w:sz w:val="20"/>
        </w:rPr>
        <w:t>economically</w:t>
      </w:r>
    </w:p>
    <w:p>
      <w:pPr>
        <w:pStyle w:val="ListParagraph"/>
        <w:numPr>
          <w:ilvl w:val="0"/>
          <w:numId w:val="94"/>
        </w:numPr>
        <w:tabs>
          <w:tab w:pos="823" w:val="left" w:leader="none"/>
        </w:tabs>
        <w:spacing w:line="240" w:lineRule="auto" w:before="22" w:after="0"/>
        <w:ind w:left="822" w:right="0" w:hanging="570"/>
        <w:jc w:val="left"/>
        <w:rPr>
          <w:sz w:val="20"/>
        </w:rPr>
      </w:pPr>
      <w:r>
        <w:rPr>
          <w:color w:val="111113"/>
          <w:sz w:val="20"/>
        </w:rPr>
        <w:t>about the effectiveness of its internal</w:t>
      </w:r>
      <w:r>
        <w:rPr>
          <w:color w:val="111113"/>
          <w:spacing w:val="-13"/>
          <w:sz w:val="20"/>
        </w:rPr>
        <w:t> </w:t>
      </w:r>
      <w:r>
        <w:rPr>
          <w:color w:val="111113"/>
          <w:sz w:val="20"/>
        </w:rPr>
        <w:t>control</w:t>
      </w:r>
    </w:p>
    <w:p>
      <w:pPr>
        <w:pStyle w:val="ListParagraph"/>
        <w:numPr>
          <w:ilvl w:val="0"/>
          <w:numId w:val="95"/>
        </w:numPr>
        <w:tabs>
          <w:tab w:pos="823" w:val="left" w:leader="none"/>
        </w:tabs>
        <w:spacing w:line="230" w:lineRule="exact" w:before="26" w:after="0"/>
        <w:ind w:left="822" w:right="1135" w:hanging="570"/>
        <w:jc w:val="left"/>
        <w:rPr>
          <w:sz w:val="20"/>
        </w:rPr>
      </w:pPr>
      <w:r>
        <w:rPr>
          <w:color w:val="111113"/>
          <w:sz w:val="20"/>
        </w:rPr>
        <w:t>about the security and controls over the electronic publication of the audited</w:t>
      </w:r>
      <w:r>
        <w:rPr>
          <w:color w:val="111113"/>
          <w:spacing w:val="-22"/>
          <w:sz w:val="20"/>
        </w:rPr>
        <w:t> </w:t>
      </w:r>
      <w:r>
        <w:rPr>
          <w:color w:val="111113"/>
          <w:sz w:val="20"/>
        </w:rPr>
        <w:t>financial statements on any website where they may be</w:t>
      </w:r>
      <w:r>
        <w:rPr>
          <w:color w:val="111113"/>
          <w:spacing w:val="-16"/>
          <w:sz w:val="20"/>
        </w:rPr>
        <w:t> </w:t>
      </w:r>
      <w:r>
        <w:rPr>
          <w:color w:val="111113"/>
          <w:sz w:val="20"/>
        </w:rPr>
        <w:t>presented</w:t>
      </w:r>
    </w:p>
    <w:p>
      <w:pPr>
        <w:pStyle w:val="ListParagraph"/>
        <w:numPr>
          <w:ilvl w:val="0"/>
          <w:numId w:val="96"/>
        </w:numPr>
        <w:tabs>
          <w:tab w:pos="823" w:val="left" w:leader="none"/>
        </w:tabs>
        <w:spacing w:line="240" w:lineRule="auto" w:before="54" w:after="0"/>
        <w:ind w:left="822" w:right="0" w:hanging="570"/>
        <w:jc w:val="left"/>
        <w:rPr>
          <w:sz w:val="20"/>
        </w:rPr>
      </w:pPr>
      <w:r>
        <w:rPr>
          <w:color w:val="111113"/>
          <w:sz w:val="20"/>
        </w:rPr>
        <w:t>about</w:t>
      </w:r>
      <w:r>
        <w:rPr>
          <w:color w:val="111113"/>
          <w:spacing w:val="-3"/>
          <w:sz w:val="20"/>
        </w:rPr>
        <w:t> </w:t>
      </w:r>
      <w:r>
        <w:rPr>
          <w:color w:val="111113"/>
          <w:sz w:val="20"/>
        </w:rPr>
        <w:t>other</w:t>
      </w:r>
      <w:r>
        <w:rPr>
          <w:color w:val="111113"/>
          <w:spacing w:val="-3"/>
          <w:sz w:val="20"/>
        </w:rPr>
        <w:t> </w:t>
      </w:r>
      <w:r>
        <w:rPr>
          <w:color w:val="111113"/>
          <w:sz w:val="20"/>
        </w:rPr>
        <w:t>information</w:t>
      </w:r>
      <w:r>
        <w:rPr>
          <w:color w:val="111113"/>
          <w:spacing w:val="-8"/>
          <w:sz w:val="20"/>
        </w:rPr>
        <w:t> </w:t>
      </w:r>
      <w:r>
        <w:rPr>
          <w:color w:val="111113"/>
          <w:sz w:val="20"/>
        </w:rPr>
        <w:t>that</w:t>
      </w:r>
      <w:r>
        <w:rPr>
          <w:color w:val="111113"/>
          <w:spacing w:val="2"/>
          <w:sz w:val="20"/>
        </w:rPr>
        <w:t> </w:t>
      </w:r>
      <w:r>
        <w:rPr>
          <w:color w:val="111113"/>
          <w:sz w:val="20"/>
        </w:rPr>
        <w:t>may</w:t>
      </w:r>
      <w:r>
        <w:rPr>
          <w:color w:val="111113"/>
          <w:spacing w:val="-4"/>
          <w:sz w:val="20"/>
        </w:rPr>
        <w:t> </w:t>
      </w:r>
      <w:r>
        <w:rPr>
          <w:color w:val="111113"/>
          <w:sz w:val="20"/>
        </w:rPr>
        <w:t>have</w:t>
      </w:r>
      <w:r>
        <w:rPr>
          <w:color w:val="111113"/>
          <w:spacing w:val="-5"/>
          <w:sz w:val="20"/>
        </w:rPr>
        <w:t> </w:t>
      </w:r>
      <w:r>
        <w:rPr>
          <w:color w:val="111113"/>
          <w:sz w:val="20"/>
        </w:rPr>
        <w:t>been</w:t>
      </w:r>
      <w:r>
        <w:rPr>
          <w:color w:val="111113"/>
          <w:spacing w:val="-6"/>
          <w:sz w:val="20"/>
        </w:rPr>
        <w:t> </w:t>
      </w:r>
      <w:r>
        <w:rPr>
          <w:color w:val="111113"/>
          <w:sz w:val="20"/>
        </w:rPr>
        <w:t>hyperlinked</w:t>
      </w:r>
      <w:r>
        <w:rPr>
          <w:color w:val="111113"/>
          <w:spacing w:val="-3"/>
          <w:sz w:val="20"/>
        </w:rPr>
        <w:t> </w:t>
      </w:r>
      <w:r>
        <w:rPr>
          <w:color w:val="111113"/>
          <w:sz w:val="20"/>
        </w:rPr>
        <w:t>to/from</w:t>
      </w:r>
      <w:r>
        <w:rPr>
          <w:color w:val="111113"/>
          <w:spacing w:val="1"/>
          <w:sz w:val="20"/>
        </w:rPr>
        <w:t> </w:t>
      </w:r>
      <w:r>
        <w:rPr>
          <w:color w:val="111113"/>
          <w:sz w:val="20"/>
        </w:rPr>
        <w:t>the</w:t>
      </w:r>
      <w:r>
        <w:rPr>
          <w:color w:val="111113"/>
          <w:spacing w:val="-12"/>
          <w:sz w:val="20"/>
        </w:rPr>
        <w:t> </w:t>
      </w:r>
      <w:r>
        <w:rPr>
          <w:color w:val="111113"/>
          <w:sz w:val="20"/>
        </w:rPr>
        <w:t>financial statements</w:t>
      </w:r>
      <w:r>
        <w:rPr>
          <w:color w:val="111113"/>
          <w:spacing w:val="-33"/>
          <w:sz w:val="20"/>
        </w:rPr>
        <w:t> </w:t>
      </w:r>
      <w:r>
        <w:rPr>
          <w:color w:val="444446"/>
          <w:sz w:val="20"/>
        </w:rPr>
        <w:t>.</w:t>
      </w:r>
    </w:p>
    <w:p>
      <w:pPr>
        <w:pStyle w:val="BodyText"/>
        <w:spacing w:before="8"/>
        <w:rPr>
          <w:sz w:val="16"/>
        </w:rPr>
      </w:pPr>
    </w:p>
    <w:p>
      <w:pPr>
        <w:spacing w:before="70"/>
        <w:ind w:left="262" w:right="0" w:firstLine="0"/>
        <w:jc w:val="both"/>
        <w:rPr>
          <w:b/>
          <w:sz w:val="23"/>
        </w:rPr>
      </w:pPr>
      <w:r>
        <w:rPr>
          <w:b/>
          <w:color w:val="111113"/>
          <w:w w:val="105"/>
          <w:sz w:val="23"/>
        </w:rPr>
        <w:t>Independence</w:t>
      </w:r>
    </w:p>
    <w:p>
      <w:pPr>
        <w:pStyle w:val="BodyText"/>
        <w:spacing w:before="8"/>
        <w:rPr>
          <w:b/>
          <w:sz w:val="20"/>
        </w:rPr>
      </w:pPr>
    </w:p>
    <w:p>
      <w:pPr>
        <w:spacing w:before="0"/>
        <w:ind w:left="243" w:right="128" w:firstLine="14"/>
        <w:jc w:val="both"/>
        <w:rPr>
          <w:sz w:val="20"/>
        </w:rPr>
      </w:pPr>
      <w:r>
        <w:rPr>
          <w:color w:val="111113"/>
          <w:sz w:val="20"/>
        </w:rPr>
        <w:t>In conducting my audit</w:t>
      </w:r>
      <w:r>
        <w:rPr>
          <w:color w:val="333133"/>
          <w:sz w:val="20"/>
        </w:rPr>
        <w:t>, </w:t>
      </w:r>
      <w:r>
        <w:rPr>
          <w:color w:val="111113"/>
          <w:sz w:val="20"/>
        </w:rPr>
        <w:t>I have complied with the independence requirements of the  Australian Auditing Standards, the </w:t>
      </w:r>
      <w:r>
        <w:rPr>
          <w:i/>
          <w:color w:val="111113"/>
          <w:sz w:val="20"/>
        </w:rPr>
        <w:t>Corporations Act 2001 </w:t>
      </w:r>
      <w:r>
        <w:rPr>
          <w:color w:val="111113"/>
          <w:sz w:val="20"/>
        </w:rPr>
        <w:t>and relevant ethical pronouncements </w:t>
      </w:r>
      <w:r>
        <w:rPr>
          <w:color w:val="565456"/>
          <w:sz w:val="20"/>
        </w:rPr>
        <w:t>. </w:t>
      </w:r>
      <w:r>
        <w:rPr>
          <w:color w:val="111113"/>
          <w:sz w:val="20"/>
        </w:rPr>
        <w:t>The PF&amp;A Act further promotes independence by</w:t>
      </w:r>
      <w:r>
        <w:rPr>
          <w:color w:val="333133"/>
          <w:sz w:val="20"/>
        </w:rPr>
        <w:t>:</w:t>
      </w:r>
    </w:p>
    <w:p>
      <w:pPr>
        <w:pStyle w:val="BodyText"/>
        <w:rPr>
          <w:sz w:val="26"/>
        </w:rPr>
      </w:pPr>
    </w:p>
    <w:p>
      <w:pPr>
        <w:pStyle w:val="ListParagraph"/>
        <w:numPr>
          <w:ilvl w:val="0"/>
          <w:numId w:val="97"/>
        </w:numPr>
        <w:tabs>
          <w:tab w:pos="823" w:val="left" w:leader="none"/>
        </w:tabs>
        <w:spacing w:line="226" w:lineRule="exact" w:before="0" w:after="0"/>
        <w:ind w:left="812" w:right="1410" w:hanging="565"/>
        <w:jc w:val="left"/>
        <w:rPr>
          <w:sz w:val="20"/>
        </w:rPr>
      </w:pPr>
      <w:r>
        <w:rPr>
          <w:color w:val="111113"/>
          <w:sz w:val="20"/>
        </w:rPr>
        <w:t>providing that only Parliament, and not the executive government, can remove an Auditor-General</w:t>
      </w:r>
    </w:p>
    <w:p>
      <w:pPr>
        <w:pStyle w:val="ListParagraph"/>
        <w:numPr>
          <w:ilvl w:val="0"/>
          <w:numId w:val="97"/>
        </w:numPr>
        <w:tabs>
          <w:tab w:pos="823" w:val="left" w:leader="none"/>
        </w:tabs>
        <w:spacing w:line="237" w:lineRule="auto" w:before="61" w:after="0"/>
        <w:ind w:left="812" w:right="147" w:hanging="565"/>
        <w:jc w:val="left"/>
        <w:rPr>
          <w:sz w:val="20"/>
        </w:rPr>
      </w:pPr>
      <w:r>
        <w:rPr>
          <w:color w:val="111113"/>
          <w:sz w:val="20"/>
        </w:rPr>
        <w:t>mandating the Auditor</w:t>
      </w:r>
      <w:r>
        <w:rPr>
          <w:color w:val="333133"/>
          <w:sz w:val="20"/>
        </w:rPr>
        <w:t>-</w:t>
      </w:r>
      <w:r>
        <w:rPr>
          <w:color w:val="111113"/>
          <w:sz w:val="20"/>
        </w:rPr>
        <w:t>General as auditor of public sector agencies, but precluding the</w:t>
      </w:r>
      <w:r>
        <w:rPr>
          <w:color w:val="111113"/>
          <w:spacing w:val="-33"/>
          <w:sz w:val="20"/>
        </w:rPr>
        <w:t> </w:t>
      </w:r>
      <w:r>
        <w:rPr>
          <w:color w:val="111113"/>
          <w:sz w:val="20"/>
        </w:rPr>
        <w:t>provision of non-audit </w:t>
      </w:r>
      <w:r>
        <w:rPr>
          <w:color w:val="111113"/>
          <w:spacing w:val="2"/>
          <w:sz w:val="20"/>
        </w:rPr>
        <w:t>services</w:t>
      </w:r>
      <w:r>
        <w:rPr>
          <w:color w:val="333133"/>
          <w:spacing w:val="2"/>
          <w:sz w:val="20"/>
        </w:rPr>
        <w:t>, </w:t>
      </w:r>
      <w:r>
        <w:rPr>
          <w:color w:val="111113"/>
          <w:sz w:val="20"/>
        </w:rPr>
        <w:t>thus ensuring the Auditor-General and the Aud</w:t>
      </w:r>
      <w:r>
        <w:rPr>
          <w:color w:val="333133"/>
          <w:sz w:val="20"/>
        </w:rPr>
        <w:t>i</w:t>
      </w:r>
      <w:r>
        <w:rPr>
          <w:color w:val="111113"/>
          <w:sz w:val="20"/>
        </w:rPr>
        <w:t>t Office of New South Wales are not compromised in their roles by the possibility of losing clients or</w:t>
      </w:r>
      <w:r>
        <w:rPr>
          <w:color w:val="111113"/>
          <w:spacing w:val="8"/>
          <w:sz w:val="20"/>
        </w:rPr>
        <w:t> </w:t>
      </w:r>
      <w:r>
        <w:rPr>
          <w:color w:val="111113"/>
          <w:sz w:val="20"/>
        </w:rPr>
        <w:t>income</w:t>
      </w:r>
      <w:r>
        <w:rPr>
          <w:color w:val="565456"/>
          <w:sz w:val="20"/>
        </w:rPr>
        <w:t>.</w:t>
      </w:r>
    </w:p>
    <w:p>
      <w:pPr>
        <w:pStyle w:val="BodyText"/>
        <w:spacing w:before="11"/>
        <w:rPr>
          <w:sz w:val="22"/>
        </w:rPr>
      </w:pPr>
    </w:p>
    <w:p>
      <w:pPr>
        <w:spacing w:line="242" w:lineRule="auto" w:before="0"/>
        <w:ind w:left="243" w:right="122" w:firstLine="14"/>
        <w:jc w:val="both"/>
        <w:rPr>
          <w:sz w:val="20"/>
        </w:rPr>
      </w:pPr>
      <w:r>
        <w:rPr>
          <w:color w:val="111113"/>
          <w:sz w:val="20"/>
        </w:rPr>
        <w:t>I confirm that the independence declaration required by the </w:t>
      </w:r>
      <w:r>
        <w:rPr>
          <w:i/>
          <w:color w:val="111113"/>
          <w:sz w:val="20"/>
        </w:rPr>
        <w:t>Corporations Act </w:t>
      </w:r>
      <w:r>
        <w:rPr>
          <w:i/>
          <w:color w:val="111113"/>
          <w:spacing w:val="2"/>
          <w:sz w:val="20"/>
        </w:rPr>
        <w:t>2001</w:t>
      </w:r>
      <w:r>
        <w:rPr>
          <w:i/>
          <w:color w:val="333133"/>
          <w:spacing w:val="2"/>
          <w:sz w:val="20"/>
        </w:rPr>
        <w:t>, </w:t>
      </w:r>
      <w:r>
        <w:rPr>
          <w:color w:val="111113"/>
          <w:sz w:val="20"/>
        </w:rPr>
        <w:t>provided to the directors</w:t>
      </w:r>
      <w:r>
        <w:rPr>
          <w:color w:val="111113"/>
          <w:spacing w:val="4"/>
          <w:sz w:val="20"/>
        </w:rPr>
        <w:t> </w:t>
      </w:r>
      <w:r>
        <w:rPr>
          <w:color w:val="111113"/>
          <w:sz w:val="20"/>
        </w:rPr>
        <w:t>of</w:t>
      </w:r>
      <w:r>
        <w:rPr>
          <w:color w:val="111113"/>
          <w:spacing w:val="-9"/>
          <w:sz w:val="20"/>
        </w:rPr>
        <w:t> </w:t>
      </w:r>
      <w:r>
        <w:rPr>
          <w:color w:val="111113"/>
          <w:sz w:val="20"/>
        </w:rPr>
        <w:t>the</w:t>
      </w:r>
      <w:r>
        <w:rPr>
          <w:color w:val="111113"/>
          <w:spacing w:val="2"/>
          <w:sz w:val="20"/>
        </w:rPr>
        <w:t> </w:t>
      </w:r>
      <w:r>
        <w:rPr>
          <w:color w:val="111113"/>
          <w:sz w:val="20"/>
        </w:rPr>
        <w:t>Company</w:t>
      </w:r>
      <w:r>
        <w:rPr>
          <w:color w:val="111113"/>
          <w:spacing w:val="3"/>
          <w:sz w:val="20"/>
        </w:rPr>
        <w:t> </w:t>
      </w:r>
      <w:r>
        <w:rPr>
          <w:color w:val="111113"/>
          <w:sz w:val="20"/>
        </w:rPr>
        <w:t>on</w:t>
      </w:r>
      <w:r>
        <w:rPr>
          <w:color w:val="111113"/>
          <w:spacing w:val="-11"/>
          <w:sz w:val="20"/>
        </w:rPr>
        <w:t> </w:t>
      </w:r>
      <w:r>
        <w:rPr>
          <w:color w:val="111113"/>
          <w:sz w:val="20"/>
        </w:rPr>
        <w:t>26</w:t>
      </w:r>
      <w:r>
        <w:rPr>
          <w:color w:val="111113"/>
          <w:spacing w:val="7"/>
          <w:sz w:val="20"/>
        </w:rPr>
        <w:t> </w:t>
      </w:r>
      <w:r>
        <w:rPr>
          <w:color w:val="111113"/>
          <w:sz w:val="20"/>
        </w:rPr>
        <w:t>February</w:t>
      </w:r>
      <w:r>
        <w:rPr>
          <w:color w:val="111113"/>
          <w:spacing w:val="4"/>
          <w:sz w:val="20"/>
        </w:rPr>
        <w:t> </w:t>
      </w:r>
      <w:r>
        <w:rPr>
          <w:color w:val="111113"/>
          <w:sz w:val="20"/>
        </w:rPr>
        <w:t>2013</w:t>
      </w:r>
      <w:r>
        <w:rPr>
          <w:color w:val="111113"/>
          <w:spacing w:val="-41"/>
          <w:sz w:val="20"/>
        </w:rPr>
        <w:t> </w:t>
      </w:r>
      <w:r>
        <w:rPr>
          <w:color w:val="333133"/>
          <w:sz w:val="20"/>
        </w:rPr>
        <w:t>,</w:t>
      </w:r>
      <w:r>
        <w:rPr>
          <w:color w:val="333133"/>
          <w:spacing w:val="-24"/>
          <w:sz w:val="20"/>
        </w:rPr>
        <w:t> </w:t>
      </w:r>
      <w:r>
        <w:rPr>
          <w:color w:val="111113"/>
          <w:sz w:val="20"/>
        </w:rPr>
        <w:t>would</w:t>
      </w:r>
      <w:r>
        <w:rPr>
          <w:color w:val="111113"/>
          <w:spacing w:val="12"/>
          <w:sz w:val="20"/>
        </w:rPr>
        <w:t> </w:t>
      </w:r>
      <w:r>
        <w:rPr>
          <w:color w:val="111113"/>
          <w:sz w:val="20"/>
        </w:rPr>
        <w:t>be</w:t>
      </w:r>
      <w:r>
        <w:rPr>
          <w:color w:val="111113"/>
          <w:spacing w:val="-3"/>
          <w:sz w:val="20"/>
        </w:rPr>
        <w:t> </w:t>
      </w:r>
      <w:r>
        <w:rPr>
          <w:color w:val="111113"/>
          <w:sz w:val="20"/>
        </w:rPr>
        <w:t>in</w:t>
      </w:r>
      <w:r>
        <w:rPr>
          <w:color w:val="111113"/>
          <w:spacing w:val="-12"/>
          <w:sz w:val="20"/>
        </w:rPr>
        <w:t> </w:t>
      </w:r>
      <w:r>
        <w:rPr>
          <w:color w:val="111113"/>
          <w:sz w:val="20"/>
        </w:rPr>
        <w:t>the</w:t>
      </w:r>
      <w:r>
        <w:rPr>
          <w:color w:val="111113"/>
          <w:spacing w:val="-1"/>
          <w:sz w:val="20"/>
        </w:rPr>
        <w:t> </w:t>
      </w:r>
      <w:r>
        <w:rPr>
          <w:color w:val="111113"/>
          <w:sz w:val="20"/>
        </w:rPr>
        <w:t>same</w:t>
      </w:r>
      <w:r>
        <w:rPr>
          <w:color w:val="111113"/>
          <w:spacing w:val="-1"/>
          <w:sz w:val="20"/>
        </w:rPr>
        <w:t> </w:t>
      </w:r>
      <w:r>
        <w:rPr>
          <w:color w:val="111113"/>
          <w:sz w:val="20"/>
        </w:rPr>
        <w:t>terms</w:t>
      </w:r>
      <w:r>
        <w:rPr>
          <w:color w:val="111113"/>
          <w:spacing w:val="2"/>
          <w:sz w:val="20"/>
        </w:rPr>
        <w:t> </w:t>
      </w:r>
      <w:r>
        <w:rPr>
          <w:color w:val="111113"/>
          <w:sz w:val="20"/>
        </w:rPr>
        <w:t>if</w:t>
      </w:r>
      <w:r>
        <w:rPr>
          <w:color w:val="111113"/>
          <w:spacing w:val="-8"/>
          <w:sz w:val="20"/>
        </w:rPr>
        <w:t> </w:t>
      </w:r>
      <w:r>
        <w:rPr>
          <w:color w:val="111113"/>
          <w:sz w:val="20"/>
        </w:rPr>
        <w:t>provided</w:t>
      </w:r>
      <w:r>
        <w:rPr>
          <w:color w:val="111113"/>
          <w:spacing w:val="-1"/>
          <w:sz w:val="20"/>
        </w:rPr>
        <w:t> </w:t>
      </w:r>
      <w:r>
        <w:rPr>
          <w:color w:val="111113"/>
          <w:sz w:val="20"/>
        </w:rPr>
        <w:t>to</w:t>
      </w:r>
      <w:r>
        <w:rPr>
          <w:color w:val="111113"/>
          <w:spacing w:val="-6"/>
          <w:sz w:val="20"/>
        </w:rPr>
        <w:t> </w:t>
      </w:r>
      <w:r>
        <w:rPr>
          <w:color w:val="111113"/>
          <w:sz w:val="20"/>
        </w:rPr>
        <w:t>the</w:t>
      </w:r>
      <w:r>
        <w:rPr>
          <w:color w:val="111113"/>
          <w:spacing w:val="-5"/>
          <w:sz w:val="20"/>
        </w:rPr>
        <w:t> </w:t>
      </w:r>
      <w:r>
        <w:rPr>
          <w:color w:val="111113"/>
          <w:sz w:val="20"/>
        </w:rPr>
        <w:t>directors as at the time of this auditor</w:t>
      </w:r>
      <w:r>
        <w:rPr>
          <w:color w:val="333133"/>
          <w:sz w:val="20"/>
        </w:rPr>
        <w:t>'</w:t>
      </w:r>
      <w:r>
        <w:rPr>
          <w:color w:val="111113"/>
          <w:sz w:val="20"/>
        </w:rPr>
        <w:t>s</w:t>
      </w:r>
      <w:r>
        <w:rPr>
          <w:color w:val="111113"/>
          <w:spacing w:val="26"/>
          <w:sz w:val="20"/>
        </w:rPr>
        <w:t> </w:t>
      </w:r>
      <w:r>
        <w:rPr>
          <w:color w:val="111113"/>
          <w:sz w:val="20"/>
        </w:rPr>
        <w:t>report</w:t>
      </w:r>
      <w:r>
        <w:rPr>
          <w:color w:val="444446"/>
          <w:sz w:val="20"/>
        </w:rPr>
        <w:t>.</w:t>
      </w:r>
    </w:p>
    <w:p>
      <w:pPr>
        <w:pStyle w:val="BodyText"/>
        <w:rPr>
          <w:sz w:val="20"/>
        </w:rPr>
      </w:pPr>
    </w:p>
    <w:p>
      <w:pPr>
        <w:pStyle w:val="BodyText"/>
        <w:spacing w:before="7"/>
        <w:rPr>
          <w:sz w:val="14"/>
        </w:rPr>
      </w:pPr>
      <w:r>
        <w:rPr/>
        <w:drawing>
          <wp:anchor distT="0" distB="0" distL="0" distR="0" allowOverlap="1" layoutInCell="1" locked="0" behindDoc="0" simplePos="0" relativeHeight="5704">
            <wp:simplePos x="0" y="0"/>
            <wp:positionH relativeFrom="page">
              <wp:posOffset>804672</wp:posOffset>
            </wp:positionH>
            <wp:positionV relativeFrom="paragraph">
              <wp:posOffset>131737</wp:posOffset>
            </wp:positionV>
            <wp:extent cx="1621536" cy="573024"/>
            <wp:effectExtent l="0" t="0" r="0" b="0"/>
            <wp:wrapTopAndBottom/>
            <wp:docPr id="91" name="image73.jpeg" descr=""/>
            <wp:cNvGraphicFramePr>
              <a:graphicFrameLocks noChangeAspect="1"/>
            </wp:cNvGraphicFramePr>
            <a:graphic>
              <a:graphicData uri="http://schemas.openxmlformats.org/drawingml/2006/picture">
                <pic:pic>
                  <pic:nvPicPr>
                    <pic:cNvPr id="92" name="image73.jpeg"/>
                    <pic:cNvPicPr/>
                  </pic:nvPicPr>
                  <pic:blipFill>
                    <a:blip r:embed="rId215" cstate="print"/>
                    <a:stretch>
                      <a:fillRect/>
                    </a:stretch>
                  </pic:blipFill>
                  <pic:spPr>
                    <a:xfrm>
                      <a:off x="0" y="0"/>
                      <a:ext cx="1621536" cy="573024"/>
                    </a:xfrm>
                    <a:prstGeom prst="rect">
                      <a:avLst/>
                    </a:prstGeom>
                  </pic:spPr>
                </pic:pic>
              </a:graphicData>
            </a:graphic>
          </wp:anchor>
        </w:drawing>
      </w:r>
    </w:p>
    <w:p>
      <w:pPr>
        <w:spacing w:before="9"/>
        <w:ind w:left="252" w:right="0" w:firstLine="0"/>
        <w:jc w:val="both"/>
        <w:rPr>
          <w:sz w:val="20"/>
        </w:rPr>
      </w:pPr>
      <w:r>
        <w:rPr>
          <w:color w:val="111113"/>
          <w:sz w:val="20"/>
        </w:rPr>
        <w:t>Renee Meimaroglou</w:t>
      </w:r>
    </w:p>
    <w:p>
      <w:pPr>
        <w:spacing w:before="0"/>
        <w:ind w:left="252" w:right="0" w:firstLine="0"/>
        <w:jc w:val="both"/>
        <w:rPr>
          <w:sz w:val="20"/>
        </w:rPr>
      </w:pPr>
      <w:r>
        <w:rPr>
          <w:color w:val="111113"/>
          <w:sz w:val="20"/>
        </w:rPr>
        <w:t>Director Financial Audit Services</w:t>
      </w:r>
    </w:p>
    <w:p>
      <w:pPr>
        <w:pStyle w:val="BodyText"/>
        <w:rPr>
          <w:sz w:val="20"/>
        </w:rPr>
      </w:pPr>
    </w:p>
    <w:p>
      <w:pPr>
        <w:spacing w:before="0"/>
        <w:ind w:left="233" w:right="0" w:firstLine="0"/>
        <w:jc w:val="both"/>
        <w:rPr>
          <w:sz w:val="20"/>
        </w:rPr>
      </w:pPr>
      <w:r>
        <w:rPr>
          <w:color w:val="111113"/>
          <w:sz w:val="20"/>
        </w:rPr>
        <w:t>4 March 2013</w:t>
      </w:r>
    </w:p>
    <w:p>
      <w:pPr>
        <w:spacing w:before="9"/>
        <w:ind w:left="243" w:right="0" w:firstLine="0"/>
        <w:jc w:val="both"/>
        <w:rPr>
          <w:b/>
          <w:sz w:val="19"/>
        </w:rPr>
      </w:pPr>
      <w:r>
        <w:rPr>
          <w:b/>
          <w:color w:val="111113"/>
          <w:w w:val="105"/>
          <w:sz w:val="19"/>
        </w:rPr>
        <w:t>SYDNEY</w:t>
      </w:r>
    </w:p>
    <w:p>
      <w:pPr>
        <w:spacing w:after="0"/>
        <w:jc w:val="both"/>
        <w:rPr>
          <w:sz w:val="19"/>
        </w:rPr>
        <w:sectPr>
          <w:headerReference w:type="default" r:id="rId213"/>
          <w:footerReference w:type="default" r:id="rId214"/>
          <w:pgSz w:w="11910" w:h="16840"/>
          <w:pgMar w:header="0" w:footer="526" w:top="1360" w:bottom="720" w:left="1160" w:right="1320"/>
          <w:pgNumType w:start="203"/>
        </w:sectPr>
      </w:pPr>
    </w:p>
    <w:p>
      <w:pPr>
        <w:pStyle w:val="BodyText"/>
        <w:spacing w:before="7"/>
        <w:rPr>
          <w:b/>
          <w:sz w:val="8"/>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42"/>
        <w:gridCol w:w="1599"/>
        <w:gridCol w:w="1410"/>
        <w:gridCol w:w="1184"/>
      </w:tblGrid>
      <w:tr>
        <w:trPr>
          <w:trHeight w:val="855" w:hRule="exact"/>
        </w:trPr>
        <w:tc>
          <w:tcPr>
            <w:tcW w:w="6042" w:type="dxa"/>
          </w:tcPr>
          <w:p>
            <w:pPr>
              <w:pStyle w:val="TableParagraph"/>
              <w:spacing w:before="64"/>
              <w:ind w:left="35"/>
              <w:rPr>
                <w:b/>
                <w:sz w:val="28"/>
              </w:rPr>
            </w:pPr>
            <w:r>
              <w:rPr>
                <w:b/>
                <w:sz w:val="28"/>
              </w:rPr>
              <w:t>Statement of comprehensive income</w:t>
            </w:r>
          </w:p>
          <w:p>
            <w:pPr>
              <w:pStyle w:val="TableParagraph"/>
              <w:ind w:left="35"/>
              <w:rPr>
                <w:b/>
                <w:sz w:val="22"/>
              </w:rPr>
            </w:pPr>
            <w:r>
              <w:rPr>
                <w:b/>
                <w:sz w:val="22"/>
              </w:rPr>
              <w:t>For the year ended 31 December 2012</w:t>
            </w:r>
          </w:p>
        </w:tc>
        <w:tc>
          <w:tcPr>
            <w:tcW w:w="4193" w:type="dxa"/>
            <w:gridSpan w:val="3"/>
          </w:tcPr>
          <w:p>
            <w:pPr/>
          </w:p>
        </w:tc>
      </w:tr>
      <w:tr>
        <w:trPr>
          <w:trHeight w:val="447" w:hRule="exact"/>
        </w:trPr>
        <w:tc>
          <w:tcPr>
            <w:tcW w:w="6042" w:type="dxa"/>
          </w:tcPr>
          <w:p>
            <w:pPr/>
          </w:p>
        </w:tc>
        <w:tc>
          <w:tcPr>
            <w:tcW w:w="1599" w:type="dxa"/>
          </w:tcPr>
          <w:p>
            <w:pPr/>
          </w:p>
        </w:tc>
        <w:tc>
          <w:tcPr>
            <w:tcW w:w="1410" w:type="dxa"/>
          </w:tcPr>
          <w:p>
            <w:pPr>
              <w:pStyle w:val="TableParagraph"/>
              <w:spacing w:before="1"/>
              <w:rPr>
                <w:b/>
                <w:sz w:val="17"/>
              </w:rPr>
            </w:pPr>
          </w:p>
          <w:p>
            <w:pPr>
              <w:pStyle w:val="TableParagraph"/>
              <w:ind w:left="452" w:right="516"/>
              <w:jc w:val="center"/>
              <w:rPr>
                <w:b/>
                <w:sz w:val="18"/>
              </w:rPr>
            </w:pPr>
            <w:r>
              <w:rPr>
                <w:b/>
                <w:sz w:val="18"/>
              </w:rPr>
              <w:t>2012</w:t>
            </w:r>
          </w:p>
        </w:tc>
        <w:tc>
          <w:tcPr>
            <w:tcW w:w="1184" w:type="dxa"/>
          </w:tcPr>
          <w:p>
            <w:pPr>
              <w:pStyle w:val="TableParagraph"/>
              <w:spacing w:before="1"/>
              <w:rPr>
                <w:b/>
                <w:sz w:val="17"/>
              </w:rPr>
            </w:pPr>
          </w:p>
          <w:p>
            <w:pPr>
              <w:pStyle w:val="TableParagraph"/>
              <w:ind w:left="343"/>
              <w:rPr>
                <w:sz w:val="18"/>
              </w:rPr>
            </w:pPr>
            <w:r>
              <w:rPr>
                <w:sz w:val="18"/>
              </w:rPr>
              <w:t>2011</w:t>
            </w:r>
          </w:p>
        </w:tc>
      </w:tr>
      <w:tr>
        <w:trPr>
          <w:trHeight w:val="313" w:hRule="exact"/>
        </w:trPr>
        <w:tc>
          <w:tcPr>
            <w:tcW w:w="6042" w:type="dxa"/>
          </w:tcPr>
          <w:p>
            <w:pPr/>
          </w:p>
        </w:tc>
        <w:tc>
          <w:tcPr>
            <w:tcW w:w="1599" w:type="dxa"/>
          </w:tcPr>
          <w:p>
            <w:pPr>
              <w:pStyle w:val="TableParagraph"/>
              <w:spacing w:before="24"/>
              <w:ind w:right="88"/>
              <w:jc w:val="right"/>
              <w:rPr>
                <w:sz w:val="18"/>
              </w:rPr>
            </w:pPr>
            <w:r>
              <w:rPr>
                <w:sz w:val="18"/>
              </w:rPr>
              <w:t>Note</w:t>
            </w:r>
          </w:p>
        </w:tc>
        <w:tc>
          <w:tcPr>
            <w:tcW w:w="1410" w:type="dxa"/>
          </w:tcPr>
          <w:p>
            <w:pPr>
              <w:pStyle w:val="TableParagraph"/>
              <w:spacing w:before="24"/>
              <w:ind w:right="65"/>
              <w:jc w:val="center"/>
              <w:rPr>
                <w:b/>
                <w:sz w:val="18"/>
              </w:rPr>
            </w:pPr>
            <w:r>
              <w:rPr>
                <w:b/>
                <w:w w:val="99"/>
                <w:sz w:val="18"/>
              </w:rPr>
              <w:t>$</w:t>
            </w:r>
          </w:p>
        </w:tc>
        <w:tc>
          <w:tcPr>
            <w:tcW w:w="1184" w:type="dxa"/>
          </w:tcPr>
          <w:p>
            <w:pPr>
              <w:pStyle w:val="TableParagraph"/>
              <w:spacing w:before="24"/>
              <w:ind w:right="94"/>
              <w:jc w:val="center"/>
              <w:rPr>
                <w:sz w:val="18"/>
              </w:rPr>
            </w:pPr>
            <w:r>
              <w:rPr>
                <w:w w:val="99"/>
                <w:sz w:val="18"/>
              </w:rPr>
              <w:t>$</w:t>
            </w:r>
          </w:p>
        </w:tc>
      </w:tr>
      <w:tr>
        <w:trPr>
          <w:trHeight w:val="453" w:hRule="exact"/>
        </w:trPr>
        <w:tc>
          <w:tcPr>
            <w:tcW w:w="6042" w:type="dxa"/>
          </w:tcPr>
          <w:p>
            <w:pPr>
              <w:pStyle w:val="TableParagraph"/>
              <w:spacing w:before="63"/>
              <w:ind w:left="79"/>
              <w:rPr>
                <w:b/>
                <w:sz w:val="18"/>
              </w:rPr>
            </w:pPr>
            <w:r>
              <w:rPr>
                <w:b/>
                <w:sz w:val="18"/>
              </w:rPr>
              <w:t>Revenue</w:t>
            </w:r>
          </w:p>
        </w:tc>
        <w:tc>
          <w:tcPr>
            <w:tcW w:w="1599" w:type="dxa"/>
          </w:tcPr>
          <w:p>
            <w:pPr/>
          </w:p>
        </w:tc>
        <w:tc>
          <w:tcPr>
            <w:tcW w:w="1410" w:type="dxa"/>
          </w:tcPr>
          <w:p>
            <w:pPr/>
          </w:p>
        </w:tc>
        <w:tc>
          <w:tcPr>
            <w:tcW w:w="1184" w:type="dxa"/>
          </w:tcPr>
          <w:p>
            <w:pPr/>
          </w:p>
        </w:tc>
      </w:tr>
      <w:tr>
        <w:trPr>
          <w:trHeight w:val="409" w:hRule="exact"/>
        </w:trPr>
        <w:tc>
          <w:tcPr>
            <w:tcW w:w="6042" w:type="dxa"/>
          </w:tcPr>
          <w:p>
            <w:pPr>
              <w:pStyle w:val="TableParagraph"/>
              <w:spacing w:before="2"/>
              <w:rPr>
                <w:b/>
                <w:sz w:val="14"/>
              </w:rPr>
            </w:pPr>
          </w:p>
          <w:p>
            <w:pPr>
              <w:pStyle w:val="TableParagraph"/>
              <w:ind w:left="79"/>
              <w:rPr>
                <w:sz w:val="18"/>
              </w:rPr>
            </w:pPr>
            <w:r>
              <w:rPr>
                <w:sz w:val="18"/>
              </w:rPr>
              <w:t>Sale of goods</w:t>
            </w:r>
          </w:p>
        </w:tc>
        <w:tc>
          <w:tcPr>
            <w:tcW w:w="1599" w:type="dxa"/>
          </w:tcPr>
          <w:p>
            <w:pPr>
              <w:pStyle w:val="TableParagraph"/>
              <w:spacing w:before="3"/>
              <w:rPr>
                <w:b/>
                <w:sz w:val="14"/>
              </w:rPr>
            </w:pPr>
          </w:p>
          <w:p>
            <w:pPr>
              <w:pStyle w:val="TableParagraph"/>
              <w:spacing w:before="1"/>
              <w:ind w:right="228"/>
              <w:jc w:val="right"/>
              <w:rPr>
                <w:sz w:val="18"/>
              </w:rPr>
            </w:pPr>
            <w:r>
              <w:rPr>
                <w:w w:val="99"/>
                <w:sz w:val="18"/>
              </w:rPr>
              <w:t>3</w:t>
            </w:r>
          </w:p>
        </w:tc>
        <w:tc>
          <w:tcPr>
            <w:tcW w:w="1410" w:type="dxa"/>
          </w:tcPr>
          <w:p>
            <w:pPr>
              <w:pStyle w:val="TableParagraph"/>
              <w:spacing w:before="3"/>
              <w:rPr>
                <w:b/>
                <w:sz w:val="14"/>
              </w:rPr>
            </w:pPr>
          </w:p>
          <w:p>
            <w:pPr>
              <w:pStyle w:val="TableParagraph"/>
              <w:spacing w:before="1"/>
              <w:ind w:right="195"/>
              <w:jc w:val="right"/>
              <w:rPr>
                <w:b/>
                <w:sz w:val="18"/>
              </w:rPr>
            </w:pPr>
            <w:r>
              <w:rPr>
                <w:b/>
                <w:w w:val="95"/>
                <w:sz w:val="18"/>
              </w:rPr>
              <w:t>19,975,500</w:t>
            </w:r>
          </w:p>
        </w:tc>
        <w:tc>
          <w:tcPr>
            <w:tcW w:w="1184" w:type="dxa"/>
          </w:tcPr>
          <w:p>
            <w:pPr>
              <w:pStyle w:val="TableParagraph"/>
              <w:spacing w:before="3"/>
              <w:rPr>
                <w:b/>
                <w:sz w:val="14"/>
              </w:rPr>
            </w:pPr>
          </w:p>
          <w:p>
            <w:pPr>
              <w:pStyle w:val="TableParagraph"/>
              <w:spacing w:before="1"/>
              <w:ind w:right="83"/>
              <w:jc w:val="right"/>
              <w:rPr>
                <w:sz w:val="18"/>
              </w:rPr>
            </w:pPr>
            <w:r>
              <w:rPr>
                <w:w w:val="95"/>
                <w:sz w:val="18"/>
              </w:rPr>
              <w:t>20,261,713</w:t>
            </w:r>
          </w:p>
        </w:tc>
      </w:tr>
      <w:tr>
        <w:trPr>
          <w:trHeight w:val="264" w:hRule="exact"/>
        </w:trPr>
        <w:tc>
          <w:tcPr>
            <w:tcW w:w="6042" w:type="dxa"/>
          </w:tcPr>
          <w:p>
            <w:pPr>
              <w:pStyle w:val="TableParagraph"/>
              <w:spacing w:before="18"/>
              <w:ind w:left="79"/>
              <w:rPr>
                <w:sz w:val="18"/>
              </w:rPr>
            </w:pPr>
            <w:r>
              <w:rPr>
                <w:sz w:val="18"/>
              </w:rPr>
              <w:t>Rendering of services</w:t>
            </w:r>
          </w:p>
        </w:tc>
        <w:tc>
          <w:tcPr>
            <w:tcW w:w="1599" w:type="dxa"/>
          </w:tcPr>
          <w:p>
            <w:pPr>
              <w:pStyle w:val="TableParagraph"/>
              <w:spacing w:before="19"/>
              <w:ind w:right="228"/>
              <w:jc w:val="right"/>
              <w:rPr>
                <w:sz w:val="18"/>
              </w:rPr>
            </w:pPr>
            <w:r>
              <w:rPr>
                <w:w w:val="99"/>
                <w:sz w:val="18"/>
              </w:rPr>
              <w:t>3</w:t>
            </w:r>
          </w:p>
        </w:tc>
        <w:tc>
          <w:tcPr>
            <w:tcW w:w="1410" w:type="dxa"/>
          </w:tcPr>
          <w:p>
            <w:pPr>
              <w:pStyle w:val="TableParagraph"/>
              <w:spacing w:before="19"/>
              <w:ind w:right="196"/>
              <w:jc w:val="right"/>
              <w:rPr>
                <w:b/>
                <w:sz w:val="18"/>
              </w:rPr>
            </w:pPr>
            <w:r>
              <w:rPr>
                <w:b/>
                <w:w w:val="95"/>
                <w:sz w:val="18"/>
              </w:rPr>
              <w:t>2,374,001</w:t>
            </w:r>
          </w:p>
        </w:tc>
        <w:tc>
          <w:tcPr>
            <w:tcW w:w="1184" w:type="dxa"/>
          </w:tcPr>
          <w:p>
            <w:pPr>
              <w:pStyle w:val="TableParagraph"/>
              <w:spacing w:before="19"/>
              <w:ind w:right="84"/>
              <w:jc w:val="right"/>
              <w:rPr>
                <w:sz w:val="18"/>
              </w:rPr>
            </w:pPr>
            <w:r>
              <w:rPr>
                <w:w w:val="95"/>
                <w:sz w:val="18"/>
              </w:rPr>
              <w:t>2,307,066</w:t>
            </w:r>
          </w:p>
        </w:tc>
      </w:tr>
      <w:tr>
        <w:trPr>
          <w:trHeight w:val="264" w:hRule="exact"/>
        </w:trPr>
        <w:tc>
          <w:tcPr>
            <w:tcW w:w="6042" w:type="dxa"/>
          </w:tcPr>
          <w:p>
            <w:pPr>
              <w:pStyle w:val="TableParagraph"/>
              <w:spacing w:before="18"/>
              <w:ind w:left="79"/>
              <w:rPr>
                <w:sz w:val="18"/>
              </w:rPr>
            </w:pPr>
            <w:r>
              <w:rPr>
                <w:sz w:val="18"/>
              </w:rPr>
              <w:t>UWS Funding</w:t>
            </w:r>
          </w:p>
        </w:tc>
        <w:tc>
          <w:tcPr>
            <w:tcW w:w="1599" w:type="dxa"/>
          </w:tcPr>
          <w:p>
            <w:pPr>
              <w:pStyle w:val="TableParagraph"/>
              <w:spacing w:before="19"/>
              <w:ind w:right="228"/>
              <w:jc w:val="right"/>
              <w:rPr>
                <w:sz w:val="18"/>
              </w:rPr>
            </w:pPr>
            <w:r>
              <w:rPr>
                <w:w w:val="99"/>
                <w:sz w:val="18"/>
              </w:rPr>
              <w:t>3</w:t>
            </w:r>
          </w:p>
        </w:tc>
        <w:tc>
          <w:tcPr>
            <w:tcW w:w="1410" w:type="dxa"/>
          </w:tcPr>
          <w:p>
            <w:pPr>
              <w:pStyle w:val="TableParagraph"/>
              <w:spacing w:before="19"/>
              <w:ind w:right="196"/>
              <w:jc w:val="right"/>
              <w:rPr>
                <w:b/>
                <w:sz w:val="18"/>
              </w:rPr>
            </w:pPr>
            <w:r>
              <w:rPr>
                <w:b/>
                <w:w w:val="95"/>
                <w:sz w:val="18"/>
              </w:rPr>
              <w:t>2,854,150</w:t>
            </w:r>
          </w:p>
        </w:tc>
        <w:tc>
          <w:tcPr>
            <w:tcW w:w="1184" w:type="dxa"/>
          </w:tcPr>
          <w:p>
            <w:pPr>
              <w:pStyle w:val="TableParagraph"/>
              <w:spacing w:before="19"/>
              <w:ind w:right="84"/>
              <w:jc w:val="right"/>
              <w:rPr>
                <w:sz w:val="18"/>
              </w:rPr>
            </w:pPr>
            <w:r>
              <w:rPr>
                <w:w w:val="95"/>
                <w:sz w:val="18"/>
              </w:rPr>
              <w:t>3,245,850</w:t>
            </w:r>
          </w:p>
        </w:tc>
      </w:tr>
      <w:tr>
        <w:trPr>
          <w:trHeight w:val="263" w:hRule="exact"/>
        </w:trPr>
        <w:tc>
          <w:tcPr>
            <w:tcW w:w="6042" w:type="dxa"/>
          </w:tcPr>
          <w:p>
            <w:pPr>
              <w:pStyle w:val="TableParagraph"/>
              <w:spacing w:before="18"/>
              <w:ind w:left="79"/>
              <w:rPr>
                <w:sz w:val="18"/>
              </w:rPr>
            </w:pPr>
            <w:r>
              <w:rPr>
                <w:sz w:val="18"/>
              </w:rPr>
              <w:t>Other revenue</w:t>
            </w:r>
          </w:p>
        </w:tc>
        <w:tc>
          <w:tcPr>
            <w:tcW w:w="1599" w:type="dxa"/>
          </w:tcPr>
          <w:p>
            <w:pPr>
              <w:pStyle w:val="TableParagraph"/>
              <w:spacing w:before="19"/>
              <w:ind w:right="228"/>
              <w:jc w:val="right"/>
              <w:rPr>
                <w:sz w:val="18"/>
              </w:rPr>
            </w:pPr>
            <w:r>
              <w:rPr>
                <w:w w:val="99"/>
                <w:sz w:val="18"/>
              </w:rPr>
              <w:t>3</w:t>
            </w:r>
          </w:p>
        </w:tc>
        <w:tc>
          <w:tcPr>
            <w:tcW w:w="1410" w:type="dxa"/>
            <w:tcBorders>
              <w:bottom w:val="single" w:sz="0" w:space="0" w:color="000000"/>
            </w:tcBorders>
          </w:tcPr>
          <w:p>
            <w:pPr>
              <w:pStyle w:val="TableParagraph"/>
              <w:spacing w:before="19"/>
              <w:ind w:right="196"/>
              <w:jc w:val="right"/>
              <w:rPr>
                <w:b/>
                <w:sz w:val="18"/>
              </w:rPr>
            </w:pPr>
            <w:r>
              <w:rPr>
                <w:b/>
                <w:w w:val="95"/>
                <w:sz w:val="18"/>
              </w:rPr>
              <w:t>573,073</w:t>
            </w:r>
          </w:p>
        </w:tc>
        <w:tc>
          <w:tcPr>
            <w:tcW w:w="1184" w:type="dxa"/>
            <w:tcBorders>
              <w:bottom w:val="single" w:sz="0" w:space="0" w:color="000000"/>
            </w:tcBorders>
          </w:tcPr>
          <w:p>
            <w:pPr>
              <w:pStyle w:val="TableParagraph"/>
              <w:spacing w:before="19"/>
              <w:ind w:right="84"/>
              <w:jc w:val="right"/>
              <w:rPr>
                <w:sz w:val="18"/>
              </w:rPr>
            </w:pPr>
            <w:r>
              <w:rPr>
                <w:w w:val="95"/>
                <w:sz w:val="18"/>
              </w:rPr>
              <w:t>550,939</w:t>
            </w:r>
          </w:p>
        </w:tc>
      </w:tr>
      <w:tr>
        <w:trPr>
          <w:trHeight w:val="338" w:hRule="exact"/>
        </w:trPr>
        <w:tc>
          <w:tcPr>
            <w:tcW w:w="6042" w:type="dxa"/>
          </w:tcPr>
          <w:p>
            <w:pPr>
              <w:pStyle w:val="TableParagraph"/>
              <w:spacing w:before="123"/>
              <w:ind w:left="79"/>
              <w:rPr>
                <w:b/>
                <w:sz w:val="18"/>
              </w:rPr>
            </w:pPr>
            <w:r>
              <w:rPr>
                <w:b/>
                <w:sz w:val="18"/>
              </w:rPr>
              <w:t>Total revenue from operations</w:t>
            </w:r>
          </w:p>
        </w:tc>
        <w:tc>
          <w:tcPr>
            <w:tcW w:w="1599" w:type="dxa"/>
          </w:tcPr>
          <w:p>
            <w:pPr/>
          </w:p>
        </w:tc>
        <w:tc>
          <w:tcPr>
            <w:tcW w:w="1410" w:type="dxa"/>
            <w:tcBorders>
              <w:top w:val="single" w:sz="0" w:space="0" w:color="000000"/>
              <w:bottom w:val="single" w:sz="0" w:space="0" w:color="000000"/>
            </w:tcBorders>
          </w:tcPr>
          <w:p>
            <w:pPr>
              <w:pStyle w:val="TableParagraph"/>
              <w:spacing w:before="122"/>
              <w:ind w:right="195"/>
              <w:jc w:val="right"/>
              <w:rPr>
                <w:b/>
                <w:sz w:val="18"/>
              </w:rPr>
            </w:pPr>
            <w:r>
              <w:rPr>
                <w:b/>
                <w:w w:val="95"/>
                <w:sz w:val="18"/>
              </w:rPr>
              <w:t>25,776,724</w:t>
            </w:r>
          </w:p>
        </w:tc>
        <w:tc>
          <w:tcPr>
            <w:tcW w:w="1184" w:type="dxa"/>
            <w:tcBorders>
              <w:top w:val="single" w:sz="0" w:space="0" w:color="000000"/>
              <w:bottom w:val="single" w:sz="0" w:space="0" w:color="000000"/>
            </w:tcBorders>
          </w:tcPr>
          <w:p>
            <w:pPr>
              <w:pStyle w:val="TableParagraph"/>
              <w:spacing w:before="122"/>
              <w:ind w:right="83"/>
              <w:jc w:val="right"/>
              <w:rPr>
                <w:sz w:val="18"/>
              </w:rPr>
            </w:pPr>
            <w:r>
              <w:rPr>
                <w:w w:val="95"/>
                <w:sz w:val="18"/>
              </w:rPr>
              <w:t>26,365,568</w:t>
            </w:r>
          </w:p>
        </w:tc>
      </w:tr>
      <w:tr>
        <w:trPr>
          <w:trHeight w:val="602" w:hRule="exact"/>
        </w:trPr>
        <w:tc>
          <w:tcPr>
            <w:tcW w:w="6042" w:type="dxa"/>
          </w:tcPr>
          <w:p>
            <w:pPr>
              <w:pStyle w:val="TableParagraph"/>
              <w:rPr>
                <w:b/>
                <w:sz w:val="18"/>
              </w:rPr>
            </w:pPr>
          </w:p>
          <w:p>
            <w:pPr>
              <w:pStyle w:val="TableParagraph"/>
              <w:spacing w:before="150"/>
              <w:ind w:left="79"/>
              <w:rPr>
                <w:sz w:val="18"/>
              </w:rPr>
            </w:pPr>
            <w:r>
              <w:rPr>
                <w:sz w:val="18"/>
              </w:rPr>
              <w:t>Net gain (loss) on disposal of property, plant and equipment</w:t>
            </w:r>
          </w:p>
        </w:tc>
        <w:tc>
          <w:tcPr>
            <w:tcW w:w="1599" w:type="dxa"/>
          </w:tcPr>
          <w:p>
            <w:pPr/>
          </w:p>
        </w:tc>
        <w:tc>
          <w:tcPr>
            <w:tcW w:w="1410" w:type="dxa"/>
            <w:tcBorders>
              <w:top w:val="single" w:sz="0" w:space="0" w:color="000000"/>
              <w:bottom w:val="single" w:sz="0" w:space="0" w:color="000000"/>
            </w:tcBorders>
          </w:tcPr>
          <w:p>
            <w:pPr>
              <w:pStyle w:val="TableParagraph"/>
              <w:rPr>
                <w:b/>
                <w:sz w:val="18"/>
              </w:rPr>
            </w:pPr>
          </w:p>
          <w:p>
            <w:pPr>
              <w:pStyle w:val="TableParagraph"/>
              <w:spacing w:before="151"/>
              <w:ind w:right="196"/>
              <w:jc w:val="right"/>
              <w:rPr>
                <w:b/>
                <w:sz w:val="18"/>
              </w:rPr>
            </w:pPr>
            <w:r>
              <w:rPr>
                <w:b/>
                <w:w w:val="95"/>
                <w:sz w:val="18"/>
              </w:rPr>
              <w:t>19,953</w:t>
            </w:r>
          </w:p>
        </w:tc>
        <w:tc>
          <w:tcPr>
            <w:tcW w:w="1184" w:type="dxa"/>
            <w:tcBorders>
              <w:top w:val="single" w:sz="0" w:space="0" w:color="000000"/>
              <w:bottom w:val="single" w:sz="0" w:space="0" w:color="000000"/>
            </w:tcBorders>
          </w:tcPr>
          <w:p>
            <w:pPr>
              <w:pStyle w:val="TableParagraph"/>
              <w:rPr>
                <w:b/>
                <w:sz w:val="18"/>
              </w:rPr>
            </w:pPr>
          </w:p>
          <w:p>
            <w:pPr>
              <w:pStyle w:val="TableParagraph"/>
              <w:spacing w:before="151"/>
              <w:ind w:right="24"/>
              <w:jc w:val="right"/>
              <w:rPr>
                <w:sz w:val="18"/>
              </w:rPr>
            </w:pPr>
            <w:r>
              <w:rPr>
                <w:w w:val="95"/>
                <w:sz w:val="18"/>
              </w:rPr>
              <w:t>(26,012)</w:t>
            </w:r>
          </w:p>
        </w:tc>
      </w:tr>
      <w:tr>
        <w:trPr>
          <w:trHeight w:val="338" w:hRule="exact"/>
        </w:trPr>
        <w:tc>
          <w:tcPr>
            <w:tcW w:w="6042" w:type="dxa"/>
          </w:tcPr>
          <w:p>
            <w:pPr>
              <w:pStyle w:val="TableParagraph"/>
              <w:spacing w:before="123"/>
              <w:ind w:left="79"/>
              <w:rPr>
                <w:b/>
                <w:sz w:val="18"/>
              </w:rPr>
            </w:pPr>
            <w:r>
              <w:rPr>
                <w:b/>
                <w:sz w:val="18"/>
              </w:rPr>
              <w:t>Total income</w:t>
            </w:r>
          </w:p>
        </w:tc>
        <w:tc>
          <w:tcPr>
            <w:tcW w:w="1599" w:type="dxa"/>
          </w:tcPr>
          <w:p>
            <w:pPr/>
          </w:p>
        </w:tc>
        <w:tc>
          <w:tcPr>
            <w:tcW w:w="1410" w:type="dxa"/>
            <w:tcBorders>
              <w:top w:val="single" w:sz="0" w:space="0" w:color="000000"/>
              <w:bottom w:val="single" w:sz="0" w:space="0" w:color="000000"/>
            </w:tcBorders>
          </w:tcPr>
          <w:p>
            <w:pPr>
              <w:pStyle w:val="TableParagraph"/>
              <w:spacing w:before="122"/>
              <w:ind w:right="195"/>
              <w:jc w:val="right"/>
              <w:rPr>
                <w:b/>
                <w:sz w:val="18"/>
              </w:rPr>
            </w:pPr>
            <w:r>
              <w:rPr>
                <w:b/>
                <w:w w:val="95"/>
                <w:sz w:val="18"/>
              </w:rPr>
              <w:t>25,796,677</w:t>
            </w:r>
          </w:p>
        </w:tc>
        <w:tc>
          <w:tcPr>
            <w:tcW w:w="1184" w:type="dxa"/>
            <w:tcBorders>
              <w:top w:val="single" w:sz="0" w:space="0" w:color="000000"/>
              <w:bottom w:val="single" w:sz="0" w:space="0" w:color="000000"/>
            </w:tcBorders>
          </w:tcPr>
          <w:p>
            <w:pPr>
              <w:pStyle w:val="TableParagraph"/>
              <w:spacing w:before="122"/>
              <w:ind w:right="83"/>
              <w:jc w:val="right"/>
              <w:rPr>
                <w:sz w:val="18"/>
              </w:rPr>
            </w:pPr>
            <w:r>
              <w:rPr>
                <w:w w:val="95"/>
                <w:sz w:val="18"/>
              </w:rPr>
              <w:t>26,339,556</w:t>
            </w:r>
          </w:p>
        </w:tc>
      </w:tr>
      <w:tr>
        <w:trPr>
          <w:trHeight w:val="832" w:hRule="exact"/>
        </w:trPr>
        <w:tc>
          <w:tcPr>
            <w:tcW w:w="6042" w:type="dxa"/>
          </w:tcPr>
          <w:p>
            <w:pPr>
              <w:pStyle w:val="TableParagraph"/>
              <w:rPr>
                <w:b/>
                <w:sz w:val="18"/>
              </w:rPr>
            </w:pPr>
          </w:p>
          <w:p>
            <w:pPr>
              <w:pStyle w:val="TableParagraph"/>
              <w:spacing w:before="5"/>
              <w:rPr>
                <w:b/>
                <w:sz w:val="20"/>
              </w:rPr>
            </w:pPr>
          </w:p>
          <w:p>
            <w:pPr>
              <w:pStyle w:val="TableParagraph"/>
              <w:ind w:left="79"/>
              <w:rPr>
                <w:b/>
                <w:sz w:val="18"/>
              </w:rPr>
            </w:pPr>
            <w:r>
              <w:rPr>
                <w:b/>
                <w:sz w:val="18"/>
              </w:rPr>
              <w:t>Expenses</w:t>
            </w:r>
          </w:p>
        </w:tc>
        <w:tc>
          <w:tcPr>
            <w:tcW w:w="1599" w:type="dxa"/>
          </w:tcPr>
          <w:p>
            <w:pPr/>
          </w:p>
        </w:tc>
        <w:tc>
          <w:tcPr>
            <w:tcW w:w="1410" w:type="dxa"/>
            <w:tcBorders>
              <w:top w:val="single" w:sz="0" w:space="0" w:color="000000"/>
            </w:tcBorders>
          </w:tcPr>
          <w:p>
            <w:pPr/>
          </w:p>
        </w:tc>
        <w:tc>
          <w:tcPr>
            <w:tcW w:w="1184" w:type="dxa"/>
            <w:tcBorders>
              <w:top w:val="single" w:sz="0" w:space="0" w:color="000000"/>
            </w:tcBorders>
          </w:tcPr>
          <w:p>
            <w:pPr/>
          </w:p>
        </w:tc>
      </w:tr>
      <w:tr>
        <w:trPr>
          <w:trHeight w:val="409" w:hRule="exact"/>
        </w:trPr>
        <w:tc>
          <w:tcPr>
            <w:tcW w:w="6042" w:type="dxa"/>
          </w:tcPr>
          <w:p>
            <w:pPr>
              <w:pStyle w:val="TableParagraph"/>
              <w:spacing w:before="2"/>
              <w:rPr>
                <w:b/>
                <w:sz w:val="14"/>
              </w:rPr>
            </w:pPr>
          </w:p>
          <w:p>
            <w:pPr>
              <w:pStyle w:val="TableParagraph"/>
              <w:ind w:left="79"/>
              <w:rPr>
                <w:sz w:val="18"/>
              </w:rPr>
            </w:pPr>
            <w:r>
              <w:rPr>
                <w:sz w:val="18"/>
              </w:rPr>
              <w:t>Raw materials and consumables used</w:t>
            </w:r>
          </w:p>
        </w:tc>
        <w:tc>
          <w:tcPr>
            <w:tcW w:w="1599" w:type="dxa"/>
          </w:tcPr>
          <w:p>
            <w:pPr/>
          </w:p>
        </w:tc>
        <w:tc>
          <w:tcPr>
            <w:tcW w:w="1410" w:type="dxa"/>
          </w:tcPr>
          <w:p>
            <w:pPr>
              <w:pStyle w:val="TableParagraph"/>
              <w:spacing w:before="3"/>
              <w:rPr>
                <w:b/>
                <w:sz w:val="14"/>
              </w:rPr>
            </w:pPr>
          </w:p>
          <w:p>
            <w:pPr>
              <w:pStyle w:val="TableParagraph"/>
              <w:spacing w:before="1"/>
              <w:ind w:right="135"/>
              <w:jc w:val="right"/>
              <w:rPr>
                <w:b/>
                <w:sz w:val="18"/>
              </w:rPr>
            </w:pPr>
            <w:r>
              <w:rPr>
                <w:b/>
                <w:w w:val="95"/>
                <w:sz w:val="18"/>
              </w:rPr>
              <w:t>(11,505,818)</w:t>
            </w:r>
          </w:p>
        </w:tc>
        <w:tc>
          <w:tcPr>
            <w:tcW w:w="1184" w:type="dxa"/>
          </w:tcPr>
          <w:p>
            <w:pPr>
              <w:pStyle w:val="TableParagraph"/>
              <w:spacing w:before="3"/>
              <w:rPr>
                <w:b/>
                <w:sz w:val="14"/>
              </w:rPr>
            </w:pPr>
          </w:p>
          <w:p>
            <w:pPr>
              <w:pStyle w:val="TableParagraph"/>
              <w:spacing w:before="1"/>
              <w:ind w:right="23"/>
              <w:jc w:val="right"/>
              <w:rPr>
                <w:sz w:val="18"/>
              </w:rPr>
            </w:pPr>
            <w:r>
              <w:rPr>
                <w:w w:val="95"/>
                <w:sz w:val="18"/>
              </w:rPr>
              <w:t>(11,876,826)</w:t>
            </w:r>
          </w:p>
        </w:tc>
      </w:tr>
      <w:tr>
        <w:trPr>
          <w:trHeight w:val="264" w:hRule="exact"/>
        </w:trPr>
        <w:tc>
          <w:tcPr>
            <w:tcW w:w="6042" w:type="dxa"/>
          </w:tcPr>
          <w:p>
            <w:pPr>
              <w:pStyle w:val="TableParagraph"/>
              <w:spacing w:before="18"/>
              <w:ind w:left="79"/>
              <w:rPr>
                <w:sz w:val="18"/>
              </w:rPr>
            </w:pPr>
            <w:r>
              <w:rPr>
                <w:sz w:val="18"/>
              </w:rPr>
              <w:t>Employee benefits expense</w:t>
            </w:r>
          </w:p>
        </w:tc>
        <w:tc>
          <w:tcPr>
            <w:tcW w:w="1599" w:type="dxa"/>
          </w:tcPr>
          <w:p>
            <w:pPr>
              <w:pStyle w:val="TableParagraph"/>
              <w:spacing w:before="19"/>
              <w:ind w:right="227"/>
              <w:jc w:val="right"/>
              <w:rPr>
                <w:sz w:val="18"/>
              </w:rPr>
            </w:pPr>
            <w:r>
              <w:rPr>
                <w:w w:val="99"/>
                <w:sz w:val="18"/>
              </w:rPr>
              <w:t>4</w:t>
            </w:r>
          </w:p>
        </w:tc>
        <w:tc>
          <w:tcPr>
            <w:tcW w:w="1410" w:type="dxa"/>
          </w:tcPr>
          <w:p>
            <w:pPr>
              <w:pStyle w:val="TableParagraph"/>
              <w:spacing w:before="19"/>
              <w:ind w:right="136"/>
              <w:jc w:val="right"/>
              <w:rPr>
                <w:b/>
                <w:sz w:val="18"/>
              </w:rPr>
            </w:pPr>
            <w:r>
              <w:rPr>
                <w:b/>
                <w:w w:val="95"/>
                <w:sz w:val="18"/>
              </w:rPr>
              <w:t>(9,574,968)</w:t>
            </w:r>
          </w:p>
        </w:tc>
        <w:tc>
          <w:tcPr>
            <w:tcW w:w="1184" w:type="dxa"/>
          </w:tcPr>
          <w:p>
            <w:pPr>
              <w:pStyle w:val="TableParagraph"/>
              <w:spacing w:before="19"/>
              <w:ind w:right="24"/>
              <w:jc w:val="right"/>
              <w:rPr>
                <w:sz w:val="18"/>
              </w:rPr>
            </w:pPr>
            <w:r>
              <w:rPr>
                <w:w w:val="95"/>
                <w:sz w:val="18"/>
              </w:rPr>
              <w:t>(9,706,596)</w:t>
            </w:r>
          </w:p>
        </w:tc>
      </w:tr>
      <w:tr>
        <w:trPr>
          <w:trHeight w:val="264" w:hRule="exact"/>
        </w:trPr>
        <w:tc>
          <w:tcPr>
            <w:tcW w:w="6042" w:type="dxa"/>
          </w:tcPr>
          <w:p>
            <w:pPr>
              <w:pStyle w:val="TableParagraph"/>
              <w:spacing w:before="18"/>
              <w:ind w:left="79"/>
              <w:rPr>
                <w:sz w:val="18"/>
              </w:rPr>
            </w:pPr>
            <w:r>
              <w:rPr>
                <w:sz w:val="18"/>
              </w:rPr>
              <w:t>Depreciation and amortisation expense</w:t>
            </w:r>
          </w:p>
        </w:tc>
        <w:tc>
          <w:tcPr>
            <w:tcW w:w="1599" w:type="dxa"/>
          </w:tcPr>
          <w:p>
            <w:pPr>
              <w:pStyle w:val="TableParagraph"/>
              <w:spacing w:before="19"/>
              <w:ind w:right="227"/>
              <w:jc w:val="right"/>
              <w:rPr>
                <w:sz w:val="18"/>
              </w:rPr>
            </w:pPr>
            <w:r>
              <w:rPr>
                <w:w w:val="99"/>
                <w:sz w:val="18"/>
              </w:rPr>
              <w:t>4</w:t>
            </w:r>
          </w:p>
        </w:tc>
        <w:tc>
          <w:tcPr>
            <w:tcW w:w="1410" w:type="dxa"/>
          </w:tcPr>
          <w:p>
            <w:pPr>
              <w:pStyle w:val="TableParagraph"/>
              <w:spacing w:before="19"/>
              <w:ind w:right="136"/>
              <w:jc w:val="right"/>
              <w:rPr>
                <w:b/>
                <w:sz w:val="18"/>
              </w:rPr>
            </w:pPr>
            <w:r>
              <w:rPr>
                <w:b/>
                <w:w w:val="95"/>
                <w:sz w:val="18"/>
              </w:rPr>
              <w:t>(239,880)</w:t>
            </w:r>
          </w:p>
        </w:tc>
        <w:tc>
          <w:tcPr>
            <w:tcW w:w="1184" w:type="dxa"/>
          </w:tcPr>
          <w:p>
            <w:pPr>
              <w:pStyle w:val="TableParagraph"/>
              <w:spacing w:before="19"/>
              <w:ind w:right="24"/>
              <w:jc w:val="right"/>
              <w:rPr>
                <w:sz w:val="18"/>
              </w:rPr>
            </w:pPr>
            <w:r>
              <w:rPr>
                <w:w w:val="95"/>
                <w:sz w:val="18"/>
              </w:rPr>
              <w:t>(233,830)</w:t>
            </w:r>
          </w:p>
        </w:tc>
      </w:tr>
      <w:tr>
        <w:trPr>
          <w:trHeight w:val="264" w:hRule="exact"/>
        </w:trPr>
        <w:tc>
          <w:tcPr>
            <w:tcW w:w="6042" w:type="dxa"/>
          </w:tcPr>
          <w:p>
            <w:pPr>
              <w:pStyle w:val="TableParagraph"/>
              <w:spacing w:before="18"/>
              <w:ind w:left="79"/>
              <w:rPr>
                <w:sz w:val="18"/>
              </w:rPr>
            </w:pPr>
            <w:r>
              <w:rPr>
                <w:sz w:val="18"/>
              </w:rPr>
              <w:t>Occupancy expenses</w:t>
            </w:r>
          </w:p>
        </w:tc>
        <w:tc>
          <w:tcPr>
            <w:tcW w:w="1599" w:type="dxa"/>
          </w:tcPr>
          <w:p>
            <w:pPr>
              <w:pStyle w:val="TableParagraph"/>
              <w:spacing w:before="19"/>
              <w:ind w:right="227"/>
              <w:jc w:val="right"/>
              <w:rPr>
                <w:sz w:val="18"/>
              </w:rPr>
            </w:pPr>
            <w:r>
              <w:rPr>
                <w:w w:val="99"/>
                <w:sz w:val="18"/>
              </w:rPr>
              <w:t>4</w:t>
            </w:r>
          </w:p>
        </w:tc>
        <w:tc>
          <w:tcPr>
            <w:tcW w:w="1410" w:type="dxa"/>
          </w:tcPr>
          <w:p>
            <w:pPr>
              <w:pStyle w:val="TableParagraph"/>
              <w:spacing w:before="19"/>
              <w:ind w:right="136"/>
              <w:jc w:val="right"/>
              <w:rPr>
                <w:b/>
                <w:sz w:val="18"/>
              </w:rPr>
            </w:pPr>
            <w:r>
              <w:rPr>
                <w:b/>
                <w:w w:val="95"/>
                <w:sz w:val="18"/>
              </w:rPr>
              <w:t>(1,206,246)</w:t>
            </w:r>
          </w:p>
        </w:tc>
        <w:tc>
          <w:tcPr>
            <w:tcW w:w="1184" w:type="dxa"/>
          </w:tcPr>
          <w:p>
            <w:pPr>
              <w:pStyle w:val="TableParagraph"/>
              <w:spacing w:before="19"/>
              <w:ind w:right="24"/>
              <w:jc w:val="right"/>
              <w:rPr>
                <w:sz w:val="18"/>
              </w:rPr>
            </w:pPr>
            <w:r>
              <w:rPr>
                <w:w w:val="95"/>
                <w:sz w:val="18"/>
              </w:rPr>
              <w:t>(1,109,717)</w:t>
            </w:r>
          </w:p>
        </w:tc>
      </w:tr>
      <w:tr>
        <w:trPr>
          <w:trHeight w:val="264" w:hRule="exact"/>
        </w:trPr>
        <w:tc>
          <w:tcPr>
            <w:tcW w:w="6042" w:type="dxa"/>
          </w:tcPr>
          <w:p>
            <w:pPr>
              <w:pStyle w:val="TableParagraph"/>
              <w:spacing w:before="18"/>
              <w:ind w:left="79"/>
              <w:rPr>
                <w:sz w:val="18"/>
              </w:rPr>
            </w:pPr>
            <w:r>
              <w:rPr>
                <w:sz w:val="18"/>
              </w:rPr>
              <w:t>Minor equipment</w:t>
            </w:r>
          </w:p>
        </w:tc>
        <w:tc>
          <w:tcPr>
            <w:tcW w:w="1599" w:type="dxa"/>
          </w:tcPr>
          <w:p>
            <w:pPr/>
          </w:p>
        </w:tc>
        <w:tc>
          <w:tcPr>
            <w:tcW w:w="1410" w:type="dxa"/>
          </w:tcPr>
          <w:p>
            <w:pPr>
              <w:pStyle w:val="TableParagraph"/>
              <w:spacing w:before="19"/>
              <w:ind w:right="136"/>
              <w:jc w:val="right"/>
              <w:rPr>
                <w:b/>
                <w:sz w:val="18"/>
              </w:rPr>
            </w:pPr>
            <w:r>
              <w:rPr>
                <w:b/>
                <w:w w:val="95"/>
                <w:sz w:val="18"/>
              </w:rPr>
              <w:t>(204,013)</w:t>
            </w:r>
          </w:p>
        </w:tc>
        <w:tc>
          <w:tcPr>
            <w:tcW w:w="1184" w:type="dxa"/>
          </w:tcPr>
          <w:p>
            <w:pPr>
              <w:pStyle w:val="TableParagraph"/>
              <w:spacing w:before="19"/>
              <w:ind w:right="24"/>
              <w:jc w:val="right"/>
              <w:rPr>
                <w:sz w:val="18"/>
              </w:rPr>
            </w:pPr>
            <w:r>
              <w:rPr>
                <w:w w:val="95"/>
                <w:sz w:val="18"/>
              </w:rPr>
              <w:t>(722,770)</w:t>
            </w:r>
          </w:p>
        </w:tc>
      </w:tr>
      <w:tr>
        <w:trPr>
          <w:trHeight w:val="264" w:hRule="exact"/>
        </w:trPr>
        <w:tc>
          <w:tcPr>
            <w:tcW w:w="6042" w:type="dxa"/>
          </w:tcPr>
          <w:p>
            <w:pPr>
              <w:pStyle w:val="TableParagraph"/>
              <w:spacing w:before="18"/>
              <w:ind w:left="79"/>
              <w:rPr>
                <w:sz w:val="18"/>
              </w:rPr>
            </w:pPr>
            <w:r>
              <w:rPr>
                <w:sz w:val="18"/>
              </w:rPr>
              <w:t>Other expenses</w:t>
            </w:r>
          </w:p>
        </w:tc>
        <w:tc>
          <w:tcPr>
            <w:tcW w:w="1599" w:type="dxa"/>
          </w:tcPr>
          <w:p>
            <w:pPr>
              <w:pStyle w:val="TableParagraph"/>
              <w:spacing w:before="19"/>
              <w:ind w:right="227"/>
              <w:jc w:val="right"/>
              <w:rPr>
                <w:sz w:val="18"/>
              </w:rPr>
            </w:pPr>
            <w:r>
              <w:rPr>
                <w:w w:val="99"/>
                <w:sz w:val="18"/>
              </w:rPr>
              <w:t>4</w:t>
            </w:r>
          </w:p>
        </w:tc>
        <w:tc>
          <w:tcPr>
            <w:tcW w:w="1410" w:type="dxa"/>
          </w:tcPr>
          <w:p>
            <w:pPr>
              <w:pStyle w:val="TableParagraph"/>
              <w:spacing w:before="19"/>
              <w:ind w:right="136"/>
              <w:jc w:val="right"/>
              <w:rPr>
                <w:b/>
                <w:sz w:val="18"/>
              </w:rPr>
            </w:pPr>
            <w:r>
              <w:rPr>
                <w:b/>
                <w:w w:val="95"/>
                <w:sz w:val="18"/>
              </w:rPr>
              <w:t>(2,835,890)</w:t>
            </w:r>
          </w:p>
        </w:tc>
        <w:tc>
          <w:tcPr>
            <w:tcW w:w="1184" w:type="dxa"/>
          </w:tcPr>
          <w:p>
            <w:pPr>
              <w:pStyle w:val="TableParagraph"/>
              <w:spacing w:before="19"/>
              <w:ind w:right="24"/>
              <w:jc w:val="right"/>
              <w:rPr>
                <w:sz w:val="18"/>
              </w:rPr>
            </w:pPr>
            <w:r>
              <w:rPr>
                <w:w w:val="95"/>
                <w:sz w:val="18"/>
              </w:rPr>
              <w:t>(2,595,174)</w:t>
            </w:r>
          </w:p>
        </w:tc>
      </w:tr>
      <w:tr>
        <w:trPr>
          <w:trHeight w:val="263" w:hRule="exact"/>
        </w:trPr>
        <w:tc>
          <w:tcPr>
            <w:tcW w:w="6042" w:type="dxa"/>
          </w:tcPr>
          <w:p>
            <w:pPr>
              <w:pStyle w:val="TableParagraph"/>
              <w:spacing w:before="18"/>
              <w:ind w:left="79"/>
              <w:rPr>
                <w:sz w:val="18"/>
              </w:rPr>
            </w:pPr>
            <w:r>
              <w:rPr>
                <w:sz w:val="18"/>
              </w:rPr>
              <w:t>Finance costs</w:t>
            </w:r>
          </w:p>
        </w:tc>
        <w:tc>
          <w:tcPr>
            <w:tcW w:w="1599" w:type="dxa"/>
          </w:tcPr>
          <w:p>
            <w:pPr/>
          </w:p>
        </w:tc>
        <w:tc>
          <w:tcPr>
            <w:tcW w:w="1410" w:type="dxa"/>
            <w:tcBorders>
              <w:bottom w:val="single" w:sz="0" w:space="0" w:color="000000"/>
            </w:tcBorders>
          </w:tcPr>
          <w:p>
            <w:pPr>
              <w:pStyle w:val="TableParagraph"/>
              <w:spacing w:before="19"/>
              <w:ind w:right="136"/>
              <w:jc w:val="right"/>
              <w:rPr>
                <w:b/>
                <w:sz w:val="18"/>
              </w:rPr>
            </w:pPr>
            <w:r>
              <w:rPr>
                <w:b/>
                <w:w w:val="95"/>
                <w:sz w:val="18"/>
              </w:rPr>
              <w:t>(71,635)</w:t>
            </w:r>
          </w:p>
        </w:tc>
        <w:tc>
          <w:tcPr>
            <w:tcW w:w="1184" w:type="dxa"/>
            <w:tcBorders>
              <w:bottom w:val="single" w:sz="0" w:space="0" w:color="000000"/>
            </w:tcBorders>
          </w:tcPr>
          <w:p>
            <w:pPr>
              <w:pStyle w:val="TableParagraph"/>
              <w:spacing w:before="19"/>
              <w:ind w:right="24"/>
              <w:jc w:val="right"/>
              <w:rPr>
                <w:sz w:val="18"/>
              </w:rPr>
            </w:pPr>
            <w:r>
              <w:rPr>
                <w:w w:val="95"/>
                <w:sz w:val="18"/>
              </w:rPr>
              <w:t>(74,302)</w:t>
            </w:r>
          </w:p>
        </w:tc>
      </w:tr>
      <w:tr>
        <w:trPr>
          <w:trHeight w:val="677" w:hRule="exact"/>
        </w:trPr>
        <w:tc>
          <w:tcPr>
            <w:tcW w:w="6042" w:type="dxa"/>
          </w:tcPr>
          <w:p>
            <w:pPr>
              <w:pStyle w:val="TableParagraph"/>
              <w:spacing w:before="123"/>
              <w:ind w:left="79"/>
              <w:rPr>
                <w:b/>
                <w:sz w:val="18"/>
              </w:rPr>
            </w:pPr>
            <w:r>
              <w:rPr>
                <w:b/>
                <w:sz w:val="18"/>
              </w:rPr>
              <w:t>Total expenses</w:t>
            </w:r>
          </w:p>
        </w:tc>
        <w:tc>
          <w:tcPr>
            <w:tcW w:w="1599" w:type="dxa"/>
          </w:tcPr>
          <w:p>
            <w:pPr/>
          </w:p>
        </w:tc>
        <w:tc>
          <w:tcPr>
            <w:tcW w:w="1410" w:type="dxa"/>
            <w:tcBorders>
              <w:top w:val="single" w:sz="0" w:space="0" w:color="000000"/>
              <w:bottom w:val="single" w:sz="0" w:space="0" w:color="000000"/>
            </w:tcBorders>
          </w:tcPr>
          <w:p>
            <w:pPr>
              <w:pStyle w:val="TableParagraph"/>
              <w:spacing w:before="122"/>
              <w:ind w:right="135"/>
              <w:jc w:val="right"/>
              <w:rPr>
                <w:b/>
                <w:sz w:val="18"/>
              </w:rPr>
            </w:pPr>
            <w:r>
              <w:rPr>
                <w:b/>
                <w:sz w:val="18"/>
              </w:rPr>
              <w:t>(25,638,450)</w:t>
            </w:r>
          </w:p>
        </w:tc>
        <w:tc>
          <w:tcPr>
            <w:tcW w:w="1184" w:type="dxa"/>
            <w:tcBorders>
              <w:top w:val="single" w:sz="0" w:space="0" w:color="000000"/>
              <w:bottom w:val="single" w:sz="0" w:space="0" w:color="000000"/>
            </w:tcBorders>
          </w:tcPr>
          <w:p>
            <w:pPr>
              <w:pStyle w:val="TableParagraph"/>
              <w:spacing w:before="122"/>
              <w:ind w:right="23"/>
              <w:jc w:val="right"/>
              <w:rPr>
                <w:sz w:val="18"/>
              </w:rPr>
            </w:pPr>
            <w:r>
              <w:rPr>
                <w:sz w:val="18"/>
              </w:rPr>
              <w:t>(26,319,215)</w:t>
            </w:r>
          </w:p>
        </w:tc>
      </w:tr>
      <w:tr>
        <w:trPr>
          <w:trHeight w:val="338" w:hRule="exact"/>
        </w:trPr>
        <w:tc>
          <w:tcPr>
            <w:tcW w:w="6042" w:type="dxa"/>
          </w:tcPr>
          <w:p>
            <w:pPr>
              <w:pStyle w:val="TableParagraph"/>
              <w:spacing w:before="123"/>
              <w:ind w:left="79"/>
              <w:rPr>
                <w:b/>
                <w:sz w:val="18"/>
              </w:rPr>
            </w:pPr>
            <w:r>
              <w:rPr>
                <w:b/>
                <w:sz w:val="18"/>
              </w:rPr>
              <w:t>Surplus/(deficit) for the year</w:t>
            </w:r>
          </w:p>
        </w:tc>
        <w:tc>
          <w:tcPr>
            <w:tcW w:w="1599" w:type="dxa"/>
          </w:tcPr>
          <w:p>
            <w:pPr/>
          </w:p>
        </w:tc>
        <w:tc>
          <w:tcPr>
            <w:tcW w:w="1410" w:type="dxa"/>
            <w:tcBorders>
              <w:top w:val="single" w:sz="0" w:space="0" w:color="000000"/>
              <w:bottom w:val="single" w:sz="0" w:space="0" w:color="000000"/>
            </w:tcBorders>
          </w:tcPr>
          <w:p>
            <w:pPr>
              <w:pStyle w:val="TableParagraph"/>
              <w:spacing w:before="122"/>
              <w:ind w:right="196"/>
              <w:jc w:val="right"/>
              <w:rPr>
                <w:b/>
                <w:sz w:val="18"/>
              </w:rPr>
            </w:pPr>
            <w:r>
              <w:rPr>
                <w:b/>
                <w:w w:val="95"/>
                <w:sz w:val="18"/>
              </w:rPr>
              <w:t>158,227</w:t>
            </w:r>
          </w:p>
        </w:tc>
        <w:tc>
          <w:tcPr>
            <w:tcW w:w="1184" w:type="dxa"/>
            <w:tcBorders>
              <w:top w:val="single" w:sz="0" w:space="0" w:color="000000"/>
              <w:bottom w:val="single" w:sz="0" w:space="0" w:color="000000"/>
            </w:tcBorders>
          </w:tcPr>
          <w:p>
            <w:pPr>
              <w:pStyle w:val="TableParagraph"/>
              <w:spacing w:before="122"/>
              <w:ind w:right="84"/>
              <w:jc w:val="right"/>
              <w:rPr>
                <w:sz w:val="18"/>
              </w:rPr>
            </w:pPr>
            <w:r>
              <w:rPr>
                <w:w w:val="95"/>
                <w:sz w:val="18"/>
              </w:rPr>
              <w:t>20,341</w:t>
            </w:r>
          </w:p>
        </w:tc>
      </w:tr>
      <w:tr>
        <w:trPr>
          <w:trHeight w:val="602" w:hRule="exact"/>
        </w:trPr>
        <w:tc>
          <w:tcPr>
            <w:tcW w:w="6042" w:type="dxa"/>
          </w:tcPr>
          <w:p>
            <w:pPr>
              <w:pStyle w:val="TableParagraph"/>
              <w:rPr>
                <w:b/>
                <w:sz w:val="18"/>
              </w:rPr>
            </w:pPr>
          </w:p>
          <w:p>
            <w:pPr>
              <w:pStyle w:val="TableParagraph"/>
              <w:spacing w:before="150"/>
              <w:ind w:left="79"/>
              <w:rPr>
                <w:sz w:val="18"/>
              </w:rPr>
            </w:pPr>
            <w:r>
              <w:rPr>
                <w:sz w:val="18"/>
              </w:rPr>
              <w:t>Other comprehensive income for the year</w:t>
            </w:r>
          </w:p>
        </w:tc>
        <w:tc>
          <w:tcPr>
            <w:tcW w:w="1599" w:type="dxa"/>
          </w:tcPr>
          <w:p>
            <w:pPr/>
          </w:p>
        </w:tc>
        <w:tc>
          <w:tcPr>
            <w:tcW w:w="1410" w:type="dxa"/>
            <w:tcBorders>
              <w:top w:val="single" w:sz="0" w:space="0" w:color="000000"/>
              <w:bottom w:val="single" w:sz="0" w:space="0" w:color="000000"/>
            </w:tcBorders>
          </w:tcPr>
          <w:p>
            <w:pPr>
              <w:pStyle w:val="TableParagraph"/>
              <w:rPr>
                <w:b/>
                <w:sz w:val="18"/>
              </w:rPr>
            </w:pPr>
          </w:p>
          <w:p>
            <w:pPr>
              <w:pStyle w:val="TableParagraph"/>
              <w:spacing w:before="151"/>
              <w:ind w:right="198"/>
              <w:jc w:val="right"/>
              <w:rPr>
                <w:b/>
                <w:sz w:val="18"/>
              </w:rPr>
            </w:pPr>
            <w:r>
              <w:rPr>
                <w:b/>
                <w:w w:val="99"/>
                <w:sz w:val="18"/>
              </w:rPr>
              <w:t>-</w:t>
            </w:r>
          </w:p>
        </w:tc>
        <w:tc>
          <w:tcPr>
            <w:tcW w:w="1184" w:type="dxa"/>
            <w:tcBorders>
              <w:top w:val="single" w:sz="0" w:space="0" w:color="000000"/>
              <w:bottom w:val="single" w:sz="0" w:space="0" w:color="000000"/>
            </w:tcBorders>
          </w:tcPr>
          <w:p>
            <w:pPr>
              <w:pStyle w:val="TableParagraph"/>
              <w:rPr>
                <w:b/>
                <w:sz w:val="18"/>
              </w:rPr>
            </w:pPr>
          </w:p>
          <w:p>
            <w:pPr>
              <w:pStyle w:val="TableParagraph"/>
              <w:spacing w:before="151"/>
              <w:ind w:right="86"/>
              <w:jc w:val="right"/>
              <w:rPr>
                <w:sz w:val="18"/>
              </w:rPr>
            </w:pPr>
            <w:r>
              <w:rPr>
                <w:w w:val="99"/>
                <w:sz w:val="18"/>
              </w:rPr>
              <w:t>-</w:t>
            </w:r>
          </w:p>
        </w:tc>
      </w:tr>
      <w:tr>
        <w:trPr>
          <w:trHeight w:val="353" w:hRule="exact"/>
        </w:trPr>
        <w:tc>
          <w:tcPr>
            <w:tcW w:w="6042" w:type="dxa"/>
          </w:tcPr>
          <w:p>
            <w:pPr>
              <w:pStyle w:val="TableParagraph"/>
              <w:spacing w:before="123"/>
              <w:ind w:left="79"/>
              <w:rPr>
                <w:b/>
                <w:sz w:val="18"/>
              </w:rPr>
            </w:pPr>
            <w:r>
              <w:rPr>
                <w:b/>
                <w:sz w:val="18"/>
              </w:rPr>
              <w:t>Total comprehensive income for the year</w:t>
            </w:r>
          </w:p>
        </w:tc>
        <w:tc>
          <w:tcPr>
            <w:tcW w:w="1599" w:type="dxa"/>
          </w:tcPr>
          <w:p>
            <w:pPr/>
          </w:p>
        </w:tc>
        <w:tc>
          <w:tcPr>
            <w:tcW w:w="1410" w:type="dxa"/>
            <w:tcBorders>
              <w:top w:val="single" w:sz="0" w:space="0" w:color="000000"/>
              <w:bottom w:val="single" w:sz="0" w:space="0" w:color="000000"/>
            </w:tcBorders>
          </w:tcPr>
          <w:p>
            <w:pPr>
              <w:pStyle w:val="TableParagraph"/>
              <w:spacing w:before="122"/>
              <w:ind w:right="196"/>
              <w:jc w:val="right"/>
              <w:rPr>
                <w:b/>
                <w:sz w:val="18"/>
              </w:rPr>
            </w:pPr>
            <w:r>
              <w:rPr>
                <w:b/>
                <w:w w:val="95"/>
                <w:sz w:val="18"/>
              </w:rPr>
              <w:t>158,227</w:t>
            </w:r>
          </w:p>
        </w:tc>
        <w:tc>
          <w:tcPr>
            <w:tcW w:w="1184" w:type="dxa"/>
            <w:tcBorders>
              <w:top w:val="single" w:sz="0" w:space="0" w:color="000000"/>
              <w:bottom w:val="single" w:sz="0" w:space="0" w:color="000000"/>
            </w:tcBorders>
          </w:tcPr>
          <w:p>
            <w:pPr>
              <w:pStyle w:val="TableParagraph"/>
              <w:spacing w:before="122"/>
              <w:ind w:right="84"/>
              <w:jc w:val="right"/>
              <w:rPr>
                <w:sz w:val="18"/>
              </w:rPr>
            </w:pPr>
            <w:r>
              <w:rPr>
                <w:w w:val="95"/>
                <w:sz w:val="18"/>
              </w:rPr>
              <w:t>20,341</w:t>
            </w:r>
          </w:p>
        </w:tc>
      </w:tr>
      <w:tr>
        <w:trPr>
          <w:trHeight w:val="937" w:hRule="exact"/>
        </w:trPr>
        <w:tc>
          <w:tcPr>
            <w:tcW w:w="6042" w:type="dxa"/>
          </w:tcPr>
          <w:p>
            <w:pPr>
              <w:pStyle w:val="TableParagraph"/>
              <w:rPr>
                <w:b/>
                <w:sz w:val="18"/>
              </w:rPr>
            </w:pPr>
          </w:p>
          <w:p>
            <w:pPr>
              <w:pStyle w:val="TableParagraph"/>
              <w:spacing w:before="9"/>
              <w:rPr>
                <w:b/>
                <w:sz w:val="21"/>
              </w:rPr>
            </w:pPr>
          </w:p>
          <w:p>
            <w:pPr>
              <w:pStyle w:val="TableParagraph"/>
              <w:ind w:left="79"/>
              <w:rPr>
                <w:b/>
                <w:sz w:val="18"/>
              </w:rPr>
            </w:pPr>
            <w:r>
              <w:rPr>
                <w:b/>
                <w:sz w:val="18"/>
              </w:rPr>
              <w:t>Comprehensive income for the year attributable to</w:t>
            </w:r>
          </w:p>
          <w:p>
            <w:pPr>
              <w:pStyle w:val="TableParagraph"/>
              <w:spacing w:before="27"/>
              <w:ind w:left="79"/>
              <w:rPr>
                <w:sz w:val="18"/>
              </w:rPr>
            </w:pPr>
            <w:r>
              <w:rPr>
                <w:sz w:val="18"/>
              </w:rPr>
              <w:t>Non-controlling interests</w:t>
            </w:r>
          </w:p>
        </w:tc>
        <w:tc>
          <w:tcPr>
            <w:tcW w:w="1599" w:type="dxa"/>
          </w:tcPr>
          <w:p>
            <w:pPr/>
          </w:p>
        </w:tc>
        <w:tc>
          <w:tcPr>
            <w:tcW w:w="1410" w:type="dxa"/>
            <w:tcBorders>
              <w:top w:val="single" w:sz="0" w:space="0" w:color="000000"/>
            </w:tcBorders>
          </w:tcPr>
          <w:p>
            <w:pPr>
              <w:pStyle w:val="TableParagraph"/>
              <w:rPr>
                <w:b/>
                <w:sz w:val="18"/>
              </w:rPr>
            </w:pPr>
          </w:p>
          <w:p>
            <w:pPr>
              <w:pStyle w:val="TableParagraph"/>
              <w:rPr>
                <w:b/>
                <w:sz w:val="18"/>
              </w:rPr>
            </w:pPr>
          </w:p>
          <w:p>
            <w:pPr>
              <w:pStyle w:val="TableParagraph"/>
              <w:spacing w:before="2"/>
              <w:rPr>
                <w:b/>
                <w:sz w:val="24"/>
              </w:rPr>
            </w:pPr>
          </w:p>
          <w:p>
            <w:pPr>
              <w:pStyle w:val="TableParagraph"/>
              <w:ind w:right="198"/>
              <w:jc w:val="right"/>
              <w:rPr>
                <w:b/>
                <w:sz w:val="18"/>
              </w:rPr>
            </w:pPr>
            <w:r>
              <w:rPr>
                <w:b/>
                <w:w w:val="99"/>
                <w:sz w:val="18"/>
              </w:rPr>
              <w:t>-</w:t>
            </w:r>
          </w:p>
        </w:tc>
        <w:tc>
          <w:tcPr>
            <w:tcW w:w="1184" w:type="dxa"/>
            <w:tcBorders>
              <w:top w:val="single" w:sz="0" w:space="0" w:color="000000"/>
            </w:tcBorders>
          </w:tcPr>
          <w:p>
            <w:pPr>
              <w:pStyle w:val="TableParagraph"/>
              <w:rPr>
                <w:b/>
                <w:sz w:val="18"/>
              </w:rPr>
            </w:pPr>
          </w:p>
          <w:p>
            <w:pPr>
              <w:pStyle w:val="TableParagraph"/>
              <w:rPr>
                <w:b/>
                <w:sz w:val="18"/>
              </w:rPr>
            </w:pPr>
          </w:p>
          <w:p>
            <w:pPr>
              <w:pStyle w:val="TableParagraph"/>
              <w:spacing w:before="2"/>
              <w:rPr>
                <w:b/>
                <w:sz w:val="24"/>
              </w:rPr>
            </w:pPr>
          </w:p>
          <w:p>
            <w:pPr>
              <w:pStyle w:val="TableParagraph"/>
              <w:ind w:right="86"/>
              <w:jc w:val="right"/>
              <w:rPr>
                <w:sz w:val="18"/>
              </w:rPr>
            </w:pPr>
            <w:r>
              <w:rPr>
                <w:w w:val="99"/>
                <w:sz w:val="18"/>
              </w:rPr>
              <w:t>-</w:t>
            </w:r>
          </w:p>
        </w:tc>
      </w:tr>
      <w:tr>
        <w:trPr>
          <w:trHeight w:val="263" w:hRule="exact"/>
        </w:trPr>
        <w:tc>
          <w:tcPr>
            <w:tcW w:w="6042" w:type="dxa"/>
          </w:tcPr>
          <w:p>
            <w:pPr>
              <w:pStyle w:val="TableParagraph"/>
              <w:spacing w:before="18"/>
              <w:ind w:left="79"/>
              <w:rPr>
                <w:sz w:val="18"/>
              </w:rPr>
            </w:pPr>
            <w:r>
              <w:rPr>
                <w:sz w:val="18"/>
              </w:rPr>
              <w:t>Owner of the parent</w:t>
            </w:r>
          </w:p>
        </w:tc>
        <w:tc>
          <w:tcPr>
            <w:tcW w:w="1599" w:type="dxa"/>
          </w:tcPr>
          <w:p>
            <w:pPr/>
          </w:p>
        </w:tc>
        <w:tc>
          <w:tcPr>
            <w:tcW w:w="1410" w:type="dxa"/>
            <w:tcBorders>
              <w:bottom w:val="single" w:sz="0" w:space="0" w:color="000000"/>
            </w:tcBorders>
          </w:tcPr>
          <w:p>
            <w:pPr>
              <w:pStyle w:val="TableParagraph"/>
              <w:spacing w:before="19"/>
              <w:ind w:right="196"/>
              <w:jc w:val="right"/>
              <w:rPr>
                <w:b/>
                <w:sz w:val="18"/>
              </w:rPr>
            </w:pPr>
            <w:r>
              <w:rPr>
                <w:b/>
                <w:w w:val="95"/>
                <w:sz w:val="18"/>
              </w:rPr>
              <w:t>158,227</w:t>
            </w:r>
          </w:p>
        </w:tc>
        <w:tc>
          <w:tcPr>
            <w:tcW w:w="1184" w:type="dxa"/>
            <w:tcBorders>
              <w:bottom w:val="single" w:sz="0" w:space="0" w:color="000000"/>
            </w:tcBorders>
          </w:tcPr>
          <w:p>
            <w:pPr>
              <w:pStyle w:val="TableParagraph"/>
              <w:spacing w:before="19"/>
              <w:ind w:right="84"/>
              <w:jc w:val="right"/>
              <w:rPr>
                <w:sz w:val="18"/>
              </w:rPr>
            </w:pPr>
            <w:r>
              <w:rPr>
                <w:w w:val="95"/>
                <w:sz w:val="18"/>
              </w:rPr>
              <w:t>20,341</w:t>
            </w:r>
          </w:p>
        </w:tc>
      </w:tr>
      <w:tr>
        <w:trPr>
          <w:trHeight w:val="353" w:hRule="exact"/>
        </w:trPr>
        <w:tc>
          <w:tcPr>
            <w:tcW w:w="6042" w:type="dxa"/>
          </w:tcPr>
          <w:p>
            <w:pPr>
              <w:pStyle w:val="TableParagraph"/>
              <w:spacing w:before="123"/>
              <w:ind w:left="79"/>
              <w:rPr>
                <w:b/>
                <w:sz w:val="18"/>
              </w:rPr>
            </w:pPr>
            <w:r>
              <w:rPr>
                <w:b/>
                <w:sz w:val="18"/>
              </w:rPr>
              <w:t>Total comprehensive income for the year</w:t>
            </w:r>
          </w:p>
        </w:tc>
        <w:tc>
          <w:tcPr>
            <w:tcW w:w="1599" w:type="dxa"/>
          </w:tcPr>
          <w:p>
            <w:pPr/>
          </w:p>
        </w:tc>
        <w:tc>
          <w:tcPr>
            <w:tcW w:w="1410" w:type="dxa"/>
            <w:tcBorders>
              <w:top w:val="single" w:sz="0" w:space="0" w:color="000000"/>
              <w:bottom w:val="single" w:sz="0" w:space="0" w:color="000000"/>
            </w:tcBorders>
          </w:tcPr>
          <w:p>
            <w:pPr>
              <w:pStyle w:val="TableParagraph"/>
              <w:spacing w:before="122"/>
              <w:ind w:right="196"/>
              <w:jc w:val="right"/>
              <w:rPr>
                <w:b/>
                <w:sz w:val="18"/>
              </w:rPr>
            </w:pPr>
            <w:r>
              <w:rPr>
                <w:b/>
                <w:w w:val="95"/>
                <w:sz w:val="18"/>
              </w:rPr>
              <w:t>158,227</w:t>
            </w:r>
          </w:p>
        </w:tc>
        <w:tc>
          <w:tcPr>
            <w:tcW w:w="1184" w:type="dxa"/>
            <w:tcBorders>
              <w:top w:val="single" w:sz="0" w:space="0" w:color="000000"/>
              <w:bottom w:val="single" w:sz="0" w:space="0" w:color="000000"/>
            </w:tcBorders>
          </w:tcPr>
          <w:p>
            <w:pPr>
              <w:pStyle w:val="TableParagraph"/>
              <w:spacing w:before="122"/>
              <w:ind w:right="84"/>
              <w:jc w:val="right"/>
              <w:rPr>
                <w:sz w:val="18"/>
              </w:rPr>
            </w:pPr>
            <w:r>
              <w:rPr>
                <w:w w:val="95"/>
                <w:sz w:val="18"/>
              </w:rPr>
              <w:t>20,341</w:t>
            </w:r>
          </w:p>
        </w:tc>
      </w:tr>
    </w:tbl>
    <w:p>
      <w:pPr>
        <w:pStyle w:val="BodyText"/>
        <w:rPr>
          <w:b/>
          <w:sz w:val="20"/>
        </w:rPr>
      </w:pPr>
    </w:p>
    <w:p>
      <w:pPr>
        <w:pStyle w:val="BodyText"/>
        <w:rPr>
          <w:b/>
          <w:sz w:val="20"/>
        </w:rPr>
      </w:pPr>
    </w:p>
    <w:p>
      <w:pPr>
        <w:pStyle w:val="BodyText"/>
        <w:spacing w:before="5"/>
        <w:rPr>
          <w:b/>
          <w:sz w:val="17"/>
        </w:rPr>
      </w:pPr>
    </w:p>
    <w:p>
      <w:pPr>
        <w:spacing w:before="0"/>
        <w:ind w:left="145" w:right="139" w:firstLine="0"/>
        <w:jc w:val="left"/>
        <w:rPr>
          <w:i/>
          <w:sz w:val="18"/>
        </w:rPr>
      </w:pPr>
      <w:r>
        <w:rPr>
          <w:i/>
          <w:sz w:val="18"/>
        </w:rPr>
        <w:t>The above statement of comprehensive income should be read in conjunction with the accompanying notes.</w:t>
      </w:r>
    </w:p>
    <w:p>
      <w:pPr>
        <w:spacing w:after="0"/>
        <w:jc w:val="left"/>
        <w:rPr>
          <w:sz w:val="18"/>
        </w:rPr>
        <w:sectPr>
          <w:headerReference w:type="default" r:id="rId216"/>
          <w:pgSz w:w="11910" w:h="16840"/>
          <w:pgMar w:header="936" w:footer="526" w:top="1300" w:bottom="700" w:left="760" w:right="680"/>
        </w:sectPr>
      </w:pPr>
    </w:p>
    <w:p>
      <w:pPr>
        <w:pStyle w:val="BodyText"/>
        <w:spacing w:before="7"/>
        <w:rPr>
          <w:i/>
          <w:sz w:val="8"/>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634"/>
        <w:gridCol w:w="2008"/>
        <w:gridCol w:w="1459"/>
        <w:gridCol w:w="1135"/>
      </w:tblGrid>
      <w:tr>
        <w:trPr>
          <w:trHeight w:val="855" w:hRule="exact"/>
        </w:trPr>
        <w:tc>
          <w:tcPr>
            <w:tcW w:w="5634" w:type="dxa"/>
          </w:tcPr>
          <w:p>
            <w:pPr>
              <w:pStyle w:val="TableParagraph"/>
              <w:spacing w:before="64"/>
              <w:ind w:left="35"/>
              <w:rPr>
                <w:b/>
                <w:sz w:val="28"/>
              </w:rPr>
            </w:pPr>
            <w:r>
              <w:rPr>
                <w:b/>
                <w:sz w:val="28"/>
              </w:rPr>
              <w:t>Statement of financial position</w:t>
            </w:r>
          </w:p>
          <w:p>
            <w:pPr>
              <w:pStyle w:val="TableParagraph"/>
              <w:ind w:left="35"/>
              <w:rPr>
                <w:b/>
                <w:sz w:val="22"/>
              </w:rPr>
            </w:pPr>
            <w:r>
              <w:rPr>
                <w:b/>
                <w:sz w:val="22"/>
              </w:rPr>
              <w:t>31 December 2012</w:t>
            </w:r>
          </w:p>
        </w:tc>
        <w:tc>
          <w:tcPr>
            <w:tcW w:w="4602" w:type="dxa"/>
            <w:gridSpan w:val="3"/>
          </w:tcPr>
          <w:p>
            <w:pPr/>
          </w:p>
        </w:tc>
      </w:tr>
      <w:tr>
        <w:trPr>
          <w:trHeight w:val="447" w:hRule="exact"/>
        </w:trPr>
        <w:tc>
          <w:tcPr>
            <w:tcW w:w="5634" w:type="dxa"/>
          </w:tcPr>
          <w:p>
            <w:pPr/>
          </w:p>
        </w:tc>
        <w:tc>
          <w:tcPr>
            <w:tcW w:w="2008" w:type="dxa"/>
          </w:tcPr>
          <w:p>
            <w:pPr/>
          </w:p>
        </w:tc>
        <w:tc>
          <w:tcPr>
            <w:tcW w:w="1459" w:type="dxa"/>
          </w:tcPr>
          <w:p>
            <w:pPr>
              <w:pStyle w:val="TableParagraph"/>
              <w:spacing w:before="1"/>
              <w:rPr>
                <w:i/>
                <w:sz w:val="17"/>
              </w:rPr>
            </w:pPr>
          </w:p>
          <w:p>
            <w:pPr>
              <w:pStyle w:val="TableParagraph"/>
              <w:ind w:left="448"/>
              <w:rPr>
                <w:b/>
                <w:sz w:val="18"/>
              </w:rPr>
            </w:pPr>
            <w:r>
              <w:rPr>
                <w:b/>
                <w:sz w:val="18"/>
              </w:rPr>
              <w:t>2012</w:t>
            </w:r>
          </w:p>
        </w:tc>
        <w:tc>
          <w:tcPr>
            <w:tcW w:w="1135" w:type="dxa"/>
          </w:tcPr>
          <w:p>
            <w:pPr>
              <w:pStyle w:val="TableParagraph"/>
              <w:spacing w:before="1"/>
              <w:rPr>
                <w:i/>
                <w:sz w:val="17"/>
              </w:rPr>
            </w:pPr>
          </w:p>
          <w:p>
            <w:pPr>
              <w:pStyle w:val="TableParagraph"/>
              <w:ind w:left="286"/>
              <w:rPr>
                <w:sz w:val="18"/>
              </w:rPr>
            </w:pPr>
            <w:r>
              <w:rPr>
                <w:sz w:val="18"/>
              </w:rPr>
              <w:t>2011</w:t>
            </w:r>
          </w:p>
        </w:tc>
      </w:tr>
      <w:tr>
        <w:trPr>
          <w:trHeight w:val="313" w:hRule="exact"/>
        </w:trPr>
        <w:tc>
          <w:tcPr>
            <w:tcW w:w="5634" w:type="dxa"/>
          </w:tcPr>
          <w:p>
            <w:pPr/>
          </w:p>
        </w:tc>
        <w:tc>
          <w:tcPr>
            <w:tcW w:w="2008" w:type="dxa"/>
          </w:tcPr>
          <w:p>
            <w:pPr>
              <w:pStyle w:val="TableParagraph"/>
              <w:spacing w:before="24"/>
              <w:ind w:left="1508" w:right="78"/>
              <w:jc w:val="center"/>
              <w:rPr>
                <w:sz w:val="18"/>
              </w:rPr>
            </w:pPr>
            <w:r>
              <w:rPr>
                <w:sz w:val="18"/>
              </w:rPr>
              <w:t>Note</w:t>
            </w:r>
          </w:p>
        </w:tc>
        <w:tc>
          <w:tcPr>
            <w:tcW w:w="1459" w:type="dxa"/>
          </w:tcPr>
          <w:p>
            <w:pPr>
              <w:pStyle w:val="TableParagraph"/>
              <w:spacing w:before="24"/>
              <w:ind w:right="159"/>
              <w:jc w:val="center"/>
              <w:rPr>
                <w:b/>
                <w:sz w:val="18"/>
              </w:rPr>
            </w:pPr>
            <w:r>
              <w:rPr>
                <w:b/>
                <w:w w:val="99"/>
                <w:sz w:val="18"/>
              </w:rPr>
              <w:t>$</w:t>
            </w:r>
          </w:p>
        </w:tc>
        <w:tc>
          <w:tcPr>
            <w:tcW w:w="1135" w:type="dxa"/>
          </w:tcPr>
          <w:p>
            <w:pPr>
              <w:pStyle w:val="TableParagraph"/>
              <w:spacing w:before="24"/>
              <w:ind w:right="160"/>
              <w:jc w:val="center"/>
              <w:rPr>
                <w:sz w:val="18"/>
              </w:rPr>
            </w:pPr>
            <w:r>
              <w:rPr>
                <w:w w:val="99"/>
                <w:sz w:val="18"/>
              </w:rPr>
              <w:t>$</w:t>
            </w:r>
          </w:p>
        </w:tc>
      </w:tr>
      <w:tr>
        <w:trPr>
          <w:trHeight w:val="336" w:hRule="exact"/>
        </w:trPr>
        <w:tc>
          <w:tcPr>
            <w:tcW w:w="5634" w:type="dxa"/>
          </w:tcPr>
          <w:p>
            <w:pPr>
              <w:pStyle w:val="TableParagraph"/>
              <w:spacing w:before="63"/>
              <w:ind w:left="62"/>
              <w:rPr>
                <w:b/>
                <w:sz w:val="18"/>
              </w:rPr>
            </w:pPr>
            <w:r>
              <w:rPr>
                <w:b/>
                <w:sz w:val="18"/>
              </w:rPr>
              <w:t>ASSETS</w:t>
            </w:r>
          </w:p>
        </w:tc>
        <w:tc>
          <w:tcPr>
            <w:tcW w:w="2008" w:type="dxa"/>
          </w:tcPr>
          <w:p>
            <w:pPr/>
          </w:p>
        </w:tc>
        <w:tc>
          <w:tcPr>
            <w:tcW w:w="1459" w:type="dxa"/>
          </w:tcPr>
          <w:p>
            <w:pPr/>
          </w:p>
        </w:tc>
        <w:tc>
          <w:tcPr>
            <w:tcW w:w="1135" w:type="dxa"/>
          </w:tcPr>
          <w:p>
            <w:pPr/>
          </w:p>
        </w:tc>
      </w:tr>
      <w:tr>
        <w:trPr>
          <w:trHeight w:val="526" w:hRule="exact"/>
        </w:trPr>
        <w:tc>
          <w:tcPr>
            <w:tcW w:w="5634" w:type="dxa"/>
          </w:tcPr>
          <w:p>
            <w:pPr>
              <w:pStyle w:val="TableParagraph"/>
              <w:spacing w:before="46"/>
              <w:ind w:left="62"/>
              <w:rPr>
                <w:b/>
                <w:sz w:val="18"/>
              </w:rPr>
            </w:pPr>
            <w:r>
              <w:rPr>
                <w:b/>
                <w:sz w:val="18"/>
              </w:rPr>
              <w:t>Current assets</w:t>
            </w:r>
          </w:p>
          <w:p>
            <w:pPr>
              <w:pStyle w:val="TableParagraph"/>
              <w:spacing w:before="27"/>
              <w:ind w:left="62"/>
              <w:rPr>
                <w:sz w:val="18"/>
              </w:rPr>
            </w:pPr>
            <w:r>
              <w:rPr>
                <w:sz w:val="18"/>
              </w:rPr>
              <w:t>Cash and cash equivalents</w:t>
            </w:r>
          </w:p>
        </w:tc>
        <w:tc>
          <w:tcPr>
            <w:tcW w:w="2008" w:type="dxa"/>
          </w:tcPr>
          <w:p>
            <w:pPr>
              <w:pStyle w:val="TableParagraph"/>
              <w:spacing w:before="5"/>
              <w:rPr>
                <w:i/>
                <w:sz w:val="24"/>
              </w:rPr>
            </w:pPr>
          </w:p>
          <w:p>
            <w:pPr>
              <w:pStyle w:val="TableParagraph"/>
              <w:spacing w:before="1"/>
              <w:ind w:left="1430"/>
              <w:jc w:val="center"/>
              <w:rPr>
                <w:sz w:val="18"/>
              </w:rPr>
            </w:pPr>
            <w:r>
              <w:rPr>
                <w:w w:val="99"/>
                <w:sz w:val="18"/>
              </w:rPr>
              <w:t>5</w:t>
            </w:r>
          </w:p>
        </w:tc>
        <w:tc>
          <w:tcPr>
            <w:tcW w:w="1459" w:type="dxa"/>
          </w:tcPr>
          <w:p>
            <w:pPr>
              <w:pStyle w:val="TableParagraph"/>
              <w:spacing w:before="5"/>
              <w:rPr>
                <w:i/>
                <w:sz w:val="24"/>
              </w:rPr>
            </w:pPr>
          </w:p>
          <w:p>
            <w:pPr>
              <w:pStyle w:val="TableParagraph"/>
              <w:spacing w:before="1"/>
              <w:ind w:right="246"/>
              <w:jc w:val="right"/>
              <w:rPr>
                <w:b/>
                <w:sz w:val="18"/>
              </w:rPr>
            </w:pPr>
            <w:r>
              <w:rPr>
                <w:b/>
                <w:w w:val="95"/>
                <w:sz w:val="18"/>
              </w:rPr>
              <w:t>2,281,787</w:t>
            </w:r>
          </w:p>
        </w:tc>
        <w:tc>
          <w:tcPr>
            <w:tcW w:w="1135" w:type="dxa"/>
          </w:tcPr>
          <w:p>
            <w:pPr>
              <w:pStyle w:val="TableParagraph"/>
              <w:spacing w:before="5"/>
              <w:rPr>
                <w:i/>
                <w:sz w:val="24"/>
              </w:rPr>
            </w:pPr>
          </w:p>
          <w:p>
            <w:pPr>
              <w:pStyle w:val="TableParagraph"/>
              <w:spacing w:before="1"/>
              <w:ind w:right="84"/>
              <w:jc w:val="right"/>
              <w:rPr>
                <w:sz w:val="18"/>
              </w:rPr>
            </w:pPr>
            <w:r>
              <w:rPr>
                <w:w w:val="95"/>
                <w:sz w:val="18"/>
              </w:rPr>
              <w:t>534,311</w:t>
            </w:r>
          </w:p>
        </w:tc>
      </w:tr>
      <w:tr>
        <w:trPr>
          <w:trHeight w:val="264" w:hRule="exact"/>
        </w:trPr>
        <w:tc>
          <w:tcPr>
            <w:tcW w:w="5634" w:type="dxa"/>
          </w:tcPr>
          <w:p>
            <w:pPr>
              <w:pStyle w:val="TableParagraph"/>
              <w:spacing w:before="18"/>
              <w:ind w:left="62"/>
              <w:rPr>
                <w:sz w:val="18"/>
              </w:rPr>
            </w:pPr>
            <w:r>
              <w:rPr>
                <w:sz w:val="18"/>
              </w:rPr>
              <w:t>Trade and other receivables</w:t>
            </w:r>
          </w:p>
        </w:tc>
        <w:tc>
          <w:tcPr>
            <w:tcW w:w="2008" w:type="dxa"/>
          </w:tcPr>
          <w:p>
            <w:pPr>
              <w:pStyle w:val="TableParagraph"/>
              <w:spacing w:before="19"/>
              <w:ind w:left="1430"/>
              <w:jc w:val="center"/>
              <w:rPr>
                <w:sz w:val="18"/>
              </w:rPr>
            </w:pPr>
            <w:r>
              <w:rPr>
                <w:w w:val="99"/>
                <w:sz w:val="18"/>
              </w:rPr>
              <w:t>6</w:t>
            </w:r>
          </w:p>
        </w:tc>
        <w:tc>
          <w:tcPr>
            <w:tcW w:w="1459" w:type="dxa"/>
          </w:tcPr>
          <w:p>
            <w:pPr>
              <w:pStyle w:val="TableParagraph"/>
              <w:spacing w:before="19"/>
              <w:ind w:right="246"/>
              <w:jc w:val="right"/>
              <w:rPr>
                <w:b/>
                <w:sz w:val="18"/>
              </w:rPr>
            </w:pPr>
            <w:r>
              <w:rPr>
                <w:b/>
                <w:w w:val="95"/>
                <w:sz w:val="18"/>
              </w:rPr>
              <w:t>596,473</w:t>
            </w:r>
          </w:p>
        </w:tc>
        <w:tc>
          <w:tcPr>
            <w:tcW w:w="1135" w:type="dxa"/>
          </w:tcPr>
          <w:p>
            <w:pPr>
              <w:pStyle w:val="TableParagraph"/>
              <w:spacing w:before="19"/>
              <w:ind w:right="84"/>
              <w:jc w:val="right"/>
              <w:rPr>
                <w:sz w:val="18"/>
              </w:rPr>
            </w:pPr>
            <w:r>
              <w:rPr>
                <w:w w:val="95"/>
                <w:sz w:val="18"/>
              </w:rPr>
              <w:t>526,394</w:t>
            </w:r>
          </w:p>
        </w:tc>
      </w:tr>
      <w:tr>
        <w:trPr>
          <w:trHeight w:val="263" w:hRule="exact"/>
        </w:trPr>
        <w:tc>
          <w:tcPr>
            <w:tcW w:w="5634" w:type="dxa"/>
          </w:tcPr>
          <w:p>
            <w:pPr>
              <w:pStyle w:val="TableParagraph"/>
              <w:spacing w:before="18"/>
              <w:ind w:left="62"/>
              <w:rPr>
                <w:sz w:val="18"/>
              </w:rPr>
            </w:pPr>
            <w:r>
              <w:rPr>
                <w:sz w:val="18"/>
              </w:rPr>
              <w:t>Inventories</w:t>
            </w:r>
          </w:p>
        </w:tc>
        <w:tc>
          <w:tcPr>
            <w:tcW w:w="2008" w:type="dxa"/>
          </w:tcPr>
          <w:p>
            <w:pPr>
              <w:pStyle w:val="TableParagraph"/>
              <w:spacing w:before="19"/>
              <w:ind w:left="1430"/>
              <w:jc w:val="center"/>
              <w:rPr>
                <w:sz w:val="18"/>
              </w:rPr>
            </w:pPr>
            <w:r>
              <w:rPr>
                <w:w w:val="99"/>
                <w:sz w:val="18"/>
              </w:rPr>
              <w:t>7</w:t>
            </w:r>
          </w:p>
        </w:tc>
        <w:tc>
          <w:tcPr>
            <w:tcW w:w="1459" w:type="dxa"/>
            <w:tcBorders>
              <w:bottom w:val="single" w:sz="0" w:space="0" w:color="000000"/>
            </w:tcBorders>
          </w:tcPr>
          <w:p>
            <w:pPr>
              <w:pStyle w:val="TableParagraph"/>
              <w:spacing w:before="19"/>
              <w:ind w:right="246"/>
              <w:jc w:val="right"/>
              <w:rPr>
                <w:b/>
                <w:sz w:val="18"/>
              </w:rPr>
            </w:pPr>
            <w:r>
              <w:rPr>
                <w:b/>
                <w:w w:val="95"/>
                <w:sz w:val="18"/>
              </w:rPr>
              <w:t>5,516,491</w:t>
            </w:r>
          </w:p>
        </w:tc>
        <w:tc>
          <w:tcPr>
            <w:tcW w:w="1135" w:type="dxa"/>
            <w:tcBorders>
              <w:bottom w:val="single" w:sz="0" w:space="0" w:color="000000"/>
            </w:tcBorders>
          </w:tcPr>
          <w:p>
            <w:pPr>
              <w:pStyle w:val="TableParagraph"/>
              <w:spacing w:before="19"/>
              <w:ind w:right="84"/>
              <w:jc w:val="right"/>
              <w:rPr>
                <w:sz w:val="18"/>
              </w:rPr>
            </w:pPr>
            <w:r>
              <w:rPr>
                <w:w w:val="95"/>
                <w:sz w:val="18"/>
              </w:rPr>
              <w:t>5,117,585</w:t>
            </w:r>
          </w:p>
        </w:tc>
      </w:tr>
      <w:tr>
        <w:trPr>
          <w:trHeight w:val="338" w:hRule="exact"/>
        </w:trPr>
        <w:tc>
          <w:tcPr>
            <w:tcW w:w="5634" w:type="dxa"/>
          </w:tcPr>
          <w:p>
            <w:pPr>
              <w:pStyle w:val="TableParagraph"/>
              <w:spacing w:before="39"/>
              <w:ind w:left="62"/>
              <w:rPr>
                <w:b/>
                <w:sz w:val="18"/>
              </w:rPr>
            </w:pPr>
            <w:r>
              <w:rPr>
                <w:b/>
                <w:sz w:val="18"/>
              </w:rPr>
              <w:t>Total current assets</w:t>
            </w:r>
          </w:p>
        </w:tc>
        <w:tc>
          <w:tcPr>
            <w:tcW w:w="2008" w:type="dxa"/>
          </w:tcPr>
          <w:p>
            <w:pP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8,394,751</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6,178,290</w:t>
            </w:r>
          </w:p>
        </w:tc>
      </w:tr>
      <w:tr>
        <w:trPr>
          <w:trHeight w:val="922" w:hRule="exact"/>
        </w:trPr>
        <w:tc>
          <w:tcPr>
            <w:tcW w:w="5634" w:type="dxa"/>
          </w:tcPr>
          <w:p>
            <w:pPr>
              <w:pStyle w:val="TableParagraph"/>
              <w:rPr>
                <w:i/>
                <w:sz w:val="18"/>
              </w:rPr>
            </w:pPr>
          </w:p>
          <w:p>
            <w:pPr>
              <w:pStyle w:val="TableParagraph"/>
              <w:spacing w:before="5"/>
              <w:rPr>
                <w:i/>
                <w:sz w:val="20"/>
              </w:rPr>
            </w:pPr>
          </w:p>
          <w:p>
            <w:pPr>
              <w:pStyle w:val="TableParagraph"/>
              <w:ind w:left="62"/>
              <w:rPr>
                <w:b/>
                <w:sz w:val="18"/>
              </w:rPr>
            </w:pPr>
            <w:r>
              <w:rPr>
                <w:b/>
                <w:sz w:val="18"/>
              </w:rPr>
              <w:t>Non-current assets</w:t>
            </w:r>
          </w:p>
          <w:p>
            <w:pPr>
              <w:pStyle w:val="TableParagraph"/>
              <w:spacing w:before="27"/>
              <w:ind w:left="62"/>
              <w:rPr>
                <w:sz w:val="18"/>
              </w:rPr>
            </w:pPr>
            <w:r>
              <w:rPr>
                <w:sz w:val="18"/>
              </w:rPr>
              <w:t>Property, plant and equipment</w:t>
            </w:r>
          </w:p>
        </w:tc>
        <w:tc>
          <w:tcPr>
            <w:tcW w:w="2008" w:type="dxa"/>
          </w:tcPr>
          <w:p>
            <w:pPr>
              <w:pStyle w:val="TableParagraph"/>
              <w:rPr>
                <w:i/>
                <w:sz w:val="18"/>
              </w:rPr>
            </w:pPr>
          </w:p>
          <w:p>
            <w:pPr>
              <w:pStyle w:val="TableParagraph"/>
              <w:rPr>
                <w:i/>
                <w:sz w:val="18"/>
              </w:rPr>
            </w:pPr>
          </w:p>
          <w:p>
            <w:pPr>
              <w:pStyle w:val="TableParagraph"/>
              <w:spacing w:before="10"/>
              <w:rPr>
                <w:i/>
                <w:sz w:val="22"/>
              </w:rPr>
            </w:pPr>
          </w:p>
          <w:p>
            <w:pPr>
              <w:pStyle w:val="TableParagraph"/>
              <w:spacing w:before="1"/>
              <w:ind w:left="1430"/>
              <w:jc w:val="center"/>
              <w:rPr>
                <w:sz w:val="18"/>
              </w:rPr>
            </w:pPr>
            <w:r>
              <w:rPr>
                <w:w w:val="99"/>
                <w:sz w:val="18"/>
              </w:rPr>
              <w:t>8</w:t>
            </w:r>
          </w:p>
        </w:tc>
        <w:tc>
          <w:tcPr>
            <w:tcW w:w="1459" w:type="dxa"/>
            <w:tcBorders>
              <w:top w:val="single" w:sz="0" w:space="0" w:color="000000"/>
            </w:tcBorders>
          </w:tcPr>
          <w:p>
            <w:pPr>
              <w:pStyle w:val="TableParagraph"/>
              <w:rPr>
                <w:i/>
                <w:sz w:val="18"/>
              </w:rPr>
            </w:pPr>
          </w:p>
          <w:p>
            <w:pPr>
              <w:pStyle w:val="TableParagraph"/>
              <w:rPr>
                <w:i/>
                <w:sz w:val="18"/>
              </w:rPr>
            </w:pPr>
          </w:p>
          <w:p>
            <w:pPr>
              <w:pStyle w:val="TableParagraph"/>
              <w:spacing w:before="10"/>
              <w:rPr>
                <w:i/>
                <w:sz w:val="22"/>
              </w:rPr>
            </w:pPr>
          </w:p>
          <w:p>
            <w:pPr>
              <w:pStyle w:val="TableParagraph"/>
              <w:ind w:right="246"/>
              <w:jc w:val="right"/>
              <w:rPr>
                <w:b/>
                <w:sz w:val="18"/>
              </w:rPr>
            </w:pPr>
            <w:r>
              <w:rPr>
                <w:b/>
                <w:w w:val="95"/>
                <w:sz w:val="18"/>
              </w:rPr>
              <w:t>831,009</w:t>
            </w:r>
          </w:p>
        </w:tc>
        <w:tc>
          <w:tcPr>
            <w:tcW w:w="1135" w:type="dxa"/>
            <w:tcBorders>
              <w:top w:val="single" w:sz="0" w:space="0" w:color="000000"/>
            </w:tcBorders>
          </w:tcPr>
          <w:p>
            <w:pPr>
              <w:pStyle w:val="TableParagraph"/>
              <w:rPr>
                <w:i/>
                <w:sz w:val="18"/>
              </w:rPr>
            </w:pPr>
          </w:p>
          <w:p>
            <w:pPr>
              <w:pStyle w:val="TableParagraph"/>
              <w:rPr>
                <w:i/>
                <w:sz w:val="18"/>
              </w:rPr>
            </w:pPr>
          </w:p>
          <w:p>
            <w:pPr>
              <w:pStyle w:val="TableParagraph"/>
              <w:spacing w:before="10"/>
              <w:rPr>
                <w:i/>
                <w:sz w:val="22"/>
              </w:rPr>
            </w:pPr>
          </w:p>
          <w:p>
            <w:pPr>
              <w:pStyle w:val="TableParagraph"/>
              <w:ind w:right="84"/>
              <w:jc w:val="right"/>
              <w:rPr>
                <w:sz w:val="18"/>
              </w:rPr>
            </w:pPr>
            <w:r>
              <w:rPr>
                <w:w w:val="95"/>
                <w:sz w:val="18"/>
              </w:rPr>
              <w:t>1,033,152</w:t>
            </w:r>
          </w:p>
        </w:tc>
      </w:tr>
      <w:tr>
        <w:trPr>
          <w:trHeight w:val="263" w:hRule="exact"/>
        </w:trPr>
        <w:tc>
          <w:tcPr>
            <w:tcW w:w="5634" w:type="dxa"/>
          </w:tcPr>
          <w:p>
            <w:pPr>
              <w:pStyle w:val="TableParagraph"/>
              <w:spacing w:before="18"/>
              <w:ind w:left="62"/>
              <w:rPr>
                <w:sz w:val="18"/>
              </w:rPr>
            </w:pPr>
            <w:r>
              <w:rPr>
                <w:sz w:val="18"/>
              </w:rPr>
              <w:t>Intangible assets</w:t>
            </w:r>
          </w:p>
        </w:tc>
        <w:tc>
          <w:tcPr>
            <w:tcW w:w="2008" w:type="dxa"/>
          </w:tcPr>
          <w:p>
            <w:pPr>
              <w:pStyle w:val="TableParagraph"/>
              <w:spacing w:before="19"/>
              <w:ind w:left="1430"/>
              <w:jc w:val="center"/>
              <w:rPr>
                <w:sz w:val="18"/>
              </w:rPr>
            </w:pPr>
            <w:r>
              <w:rPr>
                <w:w w:val="99"/>
                <w:sz w:val="18"/>
              </w:rPr>
              <w:t>9</w:t>
            </w:r>
          </w:p>
        </w:tc>
        <w:tc>
          <w:tcPr>
            <w:tcW w:w="1459" w:type="dxa"/>
            <w:tcBorders>
              <w:bottom w:val="single" w:sz="0" w:space="0" w:color="000000"/>
            </w:tcBorders>
          </w:tcPr>
          <w:p>
            <w:pPr>
              <w:pStyle w:val="TableParagraph"/>
              <w:spacing w:before="19"/>
              <w:ind w:right="246"/>
              <w:jc w:val="right"/>
              <w:rPr>
                <w:b/>
                <w:sz w:val="18"/>
              </w:rPr>
            </w:pPr>
            <w:r>
              <w:rPr>
                <w:b/>
                <w:w w:val="95"/>
                <w:sz w:val="18"/>
              </w:rPr>
              <w:t>13,192</w:t>
            </w:r>
          </w:p>
        </w:tc>
        <w:tc>
          <w:tcPr>
            <w:tcW w:w="1135" w:type="dxa"/>
            <w:tcBorders>
              <w:bottom w:val="single" w:sz="0" w:space="0" w:color="000000"/>
            </w:tcBorders>
          </w:tcPr>
          <w:p>
            <w:pPr>
              <w:pStyle w:val="TableParagraph"/>
              <w:spacing w:before="19"/>
              <w:ind w:right="84"/>
              <w:jc w:val="right"/>
              <w:rPr>
                <w:sz w:val="18"/>
              </w:rPr>
            </w:pPr>
            <w:r>
              <w:rPr>
                <w:w w:val="95"/>
                <w:sz w:val="18"/>
              </w:rPr>
              <w:t>13,942</w:t>
            </w:r>
          </w:p>
        </w:tc>
      </w:tr>
    </w:tbl>
    <w:p>
      <w:pPr>
        <w:tabs>
          <w:tab w:pos="8313" w:val="left" w:leader="none"/>
          <w:tab w:pos="9460" w:val="left" w:leader="none"/>
        </w:tabs>
        <w:spacing w:before="39" w:after="22"/>
        <w:ind w:left="173" w:right="139" w:firstLine="0"/>
        <w:jc w:val="left"/>
        <w:rPr>
          <w:sz w:val="18"/>
        </w:rPr>
      </w:pPr>
      <w:r>
        <w:rPr/>
        <w:pict>
          <v:group style="position:absolute;margin-left:425.589996pt;margin-top:16.402206pt;width:129.85pt;height:1pt;mso-position-horizontal-relative:page;mso-position-vertical-relative:paragraph;z-index:-1308496" coordorigin="8512,328" coordsize="2597,20">
            <v:line style="position:absolute" from="8513,329" to="9810,329" stroked="true" strokeweight=".06pt" strokecolor="#000000"/>
            <v:line style="position:absolute" from="8513,330" to="9810,330" stroked="true" strokeweight=".06pt" strokecolor="#000000"/>
            <v:line style="position:absolute" from="8513,331" to="9810,331" stroked="true" strokeweight=".06pt" strokecolor="#000000"/>
            <v:line style="position:absolute" from="8513,333" to="9810,333" stroked="true" strokeweight=".06pt" strokecolor="#000000"/>
            <v:line style="position:absolute" from="8513,334" to="9810,334" stroked="true" strokeweight=".06pt" strokecolor="#000000"/>
            <v:line style="position:absolute" from="8513,335" to="9810,335" stroked="true" strokeweight=".06pt" strokecolor="#000000"/>
            <v:line style="position:absolute" from="8513,336" to="9810,336" stroked="true" strokeweight=".06pt" strokecolor="#000000"/>
            <v:line style="position:absolute" from="8513,337" to="9810,337" stroked="true" strokeweight=".06pt" strokecolor="#000000"/>
            <v:line style="position:absolute" from="8513,339" to="9810,339" stroked="true" strokeweight=".06pt" strokecolor="#000000"/>
            <v:line style="position:absolute" from="8513,340" to="9810,340" stroked="true" strokeweight=".06pt" strokecolor="#000000"/>
            <v:line style="position:absolute" from="8513,341" to="9810,341" stroked="true" strokeweight=".06pt" strokecolor="#000000"/>
            <v:line style="position:absolute" from="8513,342" to="9810,342" stroked="true" strokeweight=".06pt" strokecolor="#000000"/>
            <v:line style="position:absolute" from="8513,343" to="9810,343" stroked="true" strokeweight=".06pt" strokecolor="#000000"/>
            <v:line style="position:absolute" from="8513,345" to="9810,345" stroked="true" strokeweight=".06pt" strokecolor="#000000"/>
            <v:line style="position:absolute" from="8513,346" to="9810,346" stroked="true" strokeweight=".06pt" strokecolor="#000000"/>
            <v:line style="position:absolute" from="8513,347" to="9810,347" stroked="true" strokeweight=".06pt" strokecolor="#000000"/>
            <v:line style="position:absolute" from="9810,329" to="11107,329" stroked="true" strokeweight=".06pt" strokecolor="#000000"/>
            <v:line style="position:absolute" from="9810,330" to="11107,330" stroked="true" strokeweight=".06pt" strokecolor="#000000"/>
            <v:line style="position:absolute" from="9810,331" to="11107,331" stroked="true" strokeweight=".06pt" strokecolor="#000000"/>
            <v:line style="position:absolute" from="9810,333" to="11107,333" stroked="true" strokeweight=".06pt" strokecolor="#000000"/>
            <v:line style="position:absolute" from="9810,334" to="11107,334" stroked="true" strokeweight=".06pt" strokecolor="#000000"/>
            <v:line style="position:absolute" from="9810,335" to="11107,335" stroked="true" strokeweight=".06pt" strokecolor="#000000"/>
            <v:line style="position:absolute" from="9810,336" to="11107,336" stroked="true" strokeweight=".06pt" strokecolor="#000000"/>
            <v:line style="position:absolute" from="9810,337" to="11107,337" stroked="true" strokeweight=".06pt" strokecolor="#000000"/>
            <v:line style="position:absolute" from="9810,339" to="11107,339" stroked="true" strokeweight=".06pt" strokecolor="#000000"/>
            <v:line style="position:absolute" from="9810,340" to="11107,340" stroked="true" strokeweight=".06pt" strokecolor="#000000"/>
            <v:line style="position:absolute" from="9810,341" to="11107,341" stroked="true" strokeweight=".06pt" strokecolor="#000000"/>
            <v:line style="position:absolute" from="9810,342" to="11107,342" stroked="true" strokeweight=".06pt" strokecolor="#000000"/>
            <v:line style="position:absolute" from="9810,343" to="11107,343" stroked="true" strokeweight=".06pt" strokecolor="#000000"/>
            <v:line style="position:absolute" from="9810,345" to="11107,345" stroked="true" strokeweight=".06pt" strokecolor="#000000"/>
            <v:line style="position:absolute" from="9810,346" to="11107,346" stroked="true" strokeweight=".06pt" strokecolor="#000000"/>
            <v:line style="position:absolute" from="9810,347" to="11107,347" stroked="true" strokeweight=".06pt" strokecolor="#000000"/>
            <v:line style="position:absolute" from="8513,329" to="9810,329" stroked="true" strokeweight=".06pt" strokecolor="#000000"/>
            <v:line style="position:absolute" from="8513,330" to="9810,330" stroked="true" strokeweight=".06pt" strokecolor="#000000"/>
            <v:line style="position:absolute" from="8513,331" to="9810,331" stroked="true" strokeweight=".06pt" strokecolor="#000000"/>
            <v:line style="position:absolute" from="8513,333" to="9810,333" stroked="true" strokeweight=".06pt" strokecolor="#000000"/>
            <v:line style="position:absolute" from="8513,334" to="9810,334" stroked="true" strokeweight=".06pt" strokecolor="#000000"/>
            <v:line style="position:absolute" from="8513,335" to="9810,335" stroked="true" strokeweight=".06pt" strokecolor="#000000"/>
            <v:line style="position:absolute" from="8513,336" to="9810,336" stroked="true" strokeweight=".06pt" strokecolor="#000000"/>
            <v:line style="position:absolute" from="8513,337" to="9810,337" stroked="true" strokeweight=".06pt" strokecolor="#000000"/>
            <v:line style="position:absolute" from="8513,339" to="9810,339" stroked="true" strokeweight=".06pt" strokecolor="#000000"/>
            <v:line style="position:absolute" from="8513,340" to="9810,340" stroked="true" strokeweight=".06pt" strokecolor="#000000"/>
            <v:line style="position:absolute" from="8513,341" to="9810,341" stroked="true" strokeweight=".06pt" strokecolor="#000000"/>
            <v:line style="position:absolute" from="8513,342" to="9810,342" stroked="true" strokeweight=".06pt" strokecolor="#000000"/>
            <v:line style="position:absolute" from="8513,343" to="9810,343" stroked="true" strokeweight=".06pt" strokecolor="#000000"/>
            <v:line style="position:absolute" from="8513,345" to="9810,345" stroked="true" strokeweight=".06pt" strokecolor="#000000"/>
            <v:line style="position:absolute" from="8513,346" to="9810,346" stroked="true" strokeweight=".06pt" strokecolor="#000000"/>
            <v:line style="position:absolute" from="8513,347" to="9810,347" stroked="true" strokeweight=".06pt" strokecolor="#000000"/>
            <v:line style="position:absolute" from="9810,329" to="11107,329" stroked="true" strokeweight=".06pt" strokecolor="#000000"/>
            <v:line style="position:absolute" from="9810,330" to="11107,330" stroked="true" strokeweight=".06pt" strokecolor="#000000"/>
            <v:line style="position:absolute" from="9810,331" to="11107,331" stroked="true" strokeweight=".06pt" strokecolor="#000000"/>
            <v:line style="position:absolute" from="9810,333" to="11107,333" stroked="true" strokeweight=".06pt" strokecolor="#000000"/>
            <v:line style="position:absolute" from="9810,334" to="11107,334" stroked="true" strokeweight=".06pt" strokecolor="#000000"/>
            <v:line style="position:absolute" from="9810,335" to="11107,335" stroked="true" strokeweight=".06pt" strokecolor="#000000"/>
            <v:line style="position:absolute" from="9810,336" to="11107,336" stroked="true" strokeweight=".06pt" strokecolor="#000000"/>
            <v:line style="position:absolute" from="9810,337" to="11107,337" stroked="true" strokeweight=".06pt" strokecolor="#000000"/>
            <v:line style="position:absolute" from="9810,339" to="11107,339" stroked="true" strokeweight=".06pt" strokecolor="#000000"/>
            <v:line style="position:absolute" from="9810,340" to="11107,340" stroked="true" strokeweight=".06pt" strokecolor="#000000"/>
            <v:line style="position:absolute" from="9810,341" to="11107,341" stroked="true" strokeweight=".06pt" strokecolor="#000000"/>
            <v:line style="position:absolute" from="9810,342" to="11107,342" stroked="true" strokeweight=".06pt" strokecolor="#000000"/>
            <v:line style="position:absolute" from="9810,343" to="11107,343" stroked="true" strokeweight=".06pt" strokecolor="#000000"/>
            <v:line style="position:absolute" from="9810,345" to="11107,345" stroked="true" strokeweight=".06pt" strokecolor="#000000"/>
            <v:line style="position:absolute" from="9810,346" to="11107,346" stroked="true" strokeweight=".06pt" strokecolor="#000000"/>
            <v:line style="position:absolute" from="9810,347" to="11107,347" stroked="true" strokeweight=".06pt" strokecolor="#000000"/>
            <w10:wrap type="none"/>
          </v:group>
        </w:pict>
      </w:r>
      <w:r>
        <w:rPr>
          <w:b/>
          <w:sz w:val="18"/>
        </w:rPr>
        <w:t>Total non-current assets</w:t>
        <w:tab/>
      </w:r>
      <w:r>
        <w:rPr>
          <w:b/>
          <w:position w:val="-7"/>
          <w:sz w:val="18"/>
        </w:rPr>
        <w:t>844,201</w:t>
        <w:tab/>
      </w:r>
      <w:r>
        <w:rPr>
          <w:position w:val="-7"/>
          <w:sz w:val="18"/>
        </w:rPr>
        <w:t>1,047,094</w:t>
      </w:r>
    </w:p>
    <w:tbl>
      <w:tblPr>
        <w:tblW w:w="0" w:type="auto"/>
        <w:jc w:val="left"/>
        <w:tblInd w:w="13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190"/>
        <w:gridCol w:w="424"/>
        <w:gridCol w:w="1460"/>
        <w:gridCol w:w="1135"/>
      </w:tblGrid>
      <w:tr>
        <w:trPr>
          <w:trHeight w:val="344" w:hRule="exact"/>
        </w:trPr>
        <w:tc>
          <w:tcPr>
            <w:tcW w:w="7190" w:type="dxa"/>
          </w:tcPr>
          <w:p>
            <w:pPr>
              <w:pStyle w:val="TableParagraph"/>
              <w:spacing w:before="29"/>
              <w:ind w:left="35"/>
              <w:rPr>
                <w:b/>
                <w:sz w:val="18"/>
              </w:rPr>
            </w:pPr>
            <w:r>
              <w:rPr>
                <w:b/>
                <w:sz w:val="18"/>
              </w:rPr>
              <w:t>Total assets</w:t>
            </w:r>
          </w:p>
        </w:tc>
        <w:tc>
          <w:tcPr>
            <w:tcW w:w="424" w:type="dxa"/>
          </w:tcPr>
          <w:p>
            <w:pPr/>
          </w:p>
        </w:tc>
        <w:tc>
          <w:tcPr>
            <w:tcW w:w="1460" w:type="dxa"/>
            <w:tcBorders>
              <w:bottom w:val="single" w:sz="0" w:space="0" w:color="000000"/>
            </w:tcBorders>
          </w:tcPr>
          <w:p>
            <w:pPr>
              <w:pStyle w:val="TableParagraph"/>
              <w:spacing w:before="113"/>
              <w:ind w:right="246"/>
              <w:jc w:val="right"/>
              <w:rPr>
                <w:b/>
                <w:sz w:val="18"/>
              </w:rPr>
            </w:pPr>
            <w:r>
              <w:rPr>
                <w:b/>
                <w:w w:val="95"/>
                <w:sz w:val="18"/>
              </w:rPr>
              <w:t>9,238,952</w:t>
            </w:r>
          </w:p>
        </w:tc>
        <w:tc>
          <w:tcPr>
            <w:tcW w:w="1135" w:type="dxa"/>
            <w:tcBorders>
              <w:bottom w:val="single" w:sz="0" w:space="0" w:color="000000"/>
            </w:tcBorders>
          </w:tcPr>
          <w:p>
            <w:pPr>
              <w:pStyle w:val="TableParagraph"/>
              <w:spacing w:before="113"/>
              <w:ind w:right="84"/>
              <w:jc w:val="right"/>
              <w:rPr>
                <w:sz w:val="18"/>
              </w:rPr>
            </w:pPr>
            <w:r>
              <w:rPr>
                <w:w w:val="95"/>
                <w:sz w:val="18"/>
              </w:rPr>
              <w:t>7,225,384</w:t>
            </w:r>
          </w:p>
        </w:tc>
      </w:tr>
      <w:tr>
        <w:trPr>
          <w:trHeight w:val="730" w:hRule="exact"/>
        </w:trPr>
        <w:tc>
          <w:tcPr>
            <w:tcW w:w="7190" w:type="dxa"/>
          </w:tcPr>
          <w:p>
            <w:pPr>
              <w:pStyle w:val="TableParagraph"/>
              <w:rPr>
                <w:sz w:val="18"/>
              </w:rPr>
            </w:pPr>
          </w:p>
          <w:p>
            <w:pPr>
              <w:pStyle w:val="TableParagraph"/>
              <w:spacing w:before="9"/>
              <w:rPr>
                <w:sz w:val="21"/>
              </w:rPr>
            </w:pPr>
          </w:p>
          <w:p>
            <w:pPr>
              <w:pStyle w:val="TableParagraph"/>
              <w:ind w:left="35"/>
              <w:rPr>
                <w:b/>
                <w:sz w:val="18"/>
              </w:rPr>
            </w:pPr>
            <w:r>
              <w:rPr>
                <w:b/>
                <w:sz w:val="18"/>
              </w:rPr>
              <w:t>LIABILITIES</w:t>
            </w:r>
          </w:p>
        </w:tc>
        <w:tc>
          <w:tcPr>
            <w:tcW w:w="424" w:type="dxa"/>
          </w:tcPr>
          <w:p>
            <w:pPr/>
          </w:p>
        </w:tc>
        <w:tc>
          <w:tcPr>
            <w:tcW w:w="1460" w:type="dxa"/>
            <w:tcBorders>
              <w:top w:val="single" w:sz="0" w:space="0" w:color="000000"/>
            </w:tcBorders>
          </w:tcPr>
          <w:p>
            <w:pPr/>
          </w:p>
        </w:tc>
        <w:tc>
          <w:tcPr>
            <w:tcW w:w="1135" w:type="dxa"/>
            <w:tcBorders>
              <w:top w:val="single" w:sz="0" w:space="0" w:color="000000"/>
            </w:tcBorders>
          </w:tcPr>
          <w:p>
            <w:pPr/>
          </w:p>
        </w:tc>
      </w:tr>
      <w:tr>
        <w:trPr>
          <w:trHeight w:val="526" w:hRule="exact"/>
        </w:trPr>
        <w:tc>
          <w:tcPr>
            <w:tcW w:w="7190" w:type="dxa"/>
          </w:tcPr>
          <w:p>
            <w:pPr>
              <w:pStyle w:val="TableParagraph"/>
              <w:spacing w:before="46"/>
              <w:ind w:left="35"/>
              <w:rPr>
                <w:b/>
                <w:sz w:val="18"/>
              </w:rPr>
            </w:pPr>
            <w:r>
              <w:rPr>
                <w:b/>
                <w:sz w:val="18"/>
              </w:rPr>
              <w:t>Current liabilities</w:t>
            </w:r>
          </w:p>
          <w:p>
            <w:pPr>
              <w:pStyle w:val="TableParagraph"/>
              <w:spacing w:before="27"/>
              <w:ind w:left="35"/>
              <w:rPr>
                <w:sz w:val="18"/>
              </w:rPr>
            </w:pPr>
            <w:r>
              <w:rPr>
                <w:sz w:val="18"/>
              </w:rPr>
              <w:t>Trade and other payables</w:t>
            </w:r>
          </w:p>
        </w:tc>
        <w:tc>
          <w:tcPr>
            <w:tcW w:w="424" w:type="dxa"/>
          </w:tcPr>
          <w:p>
            <w:pPr>
              <w:pStyle w:val="TableParagraph"/>
              <w:spacing w:before="5"/>
              <w:rPr>
                <w:sz w:val="24"/>
              </w:rPr>
            </w:pPr>
          </w:p>
          <w:p>
            <w:pPr>
              <w:pStyle w:val="TableParagraph"/>
              <w:spacing w:before="1"/>
              <w:ind w:left="35"/>
              <w:rPr>
                <w:sz w:val="18"/>
              </w:rPr>
            </w:pPr>
            <w:r>
              <w:rPr>
                <w:sz w:val="18"/>
              </w:rPr>
              <w:t>10</w:t>
            </w:r>
          </w:p>
        </w:tc>
        <w:tc>
          <w:tcPr>
            <w:tcW w:w="1460" w:type="dxa"/>
          </w:tcPr>
          <w:p>
            <w:pPr>
              <w:pStyle w:val="TableParagraph"/>
              <w:spacing w:before="5"/>
              <w:rPr>
                <w:sz w:val="24"/>
              </w:rPr>
            </w:pPr>
          </w:p>
          <w:p>
            <w:pPr>
              <w:pStyle w:val="TableParagraph"/>
              <w:spacing w:before="1"/>
              <w:ind w:right="246"/>
              <w:jc w:val="right"/>
              <w:rPr>
                <w:b/>
                <w:sz w:val="18"/>
              </w:rPr>
            </w:pPr>
            <w:r>
              <w:rPr>
                <w:b/>
                <w:w w:val="95"/>
                <w:sz w:val="18"/>
              </w:rPr>
              <w:t>3,535,563</w:t>
            </w:r>
          </w:p>
        </w:tc>
        <w:tc>
          <w:tcPr>
            <w:tcW w:w="1135" w:type="dxa"/>
          </w:tcPr>
          <w:p>
            <w:pPr>
              <w:pStyle w:val="TableParagraph"/>
              <w:spacing w:before="5"/>
              <w:rPr>
                <w:sz w:val="24"/>
              </w:rPr>
            </w:pPr>
          </w:p>
          <w:p>
            <w:pPr>
              <w:pStyle w:val="TableParagraph"/>
              <w:spacing w:before="1"/>
              <w:ind w:right="84"/>
              <w:jc w:val="right"/>
              <w:rPr>
                <w:sz w:val="18"/>
              </w:rPr>
            </w:pPr>
            <w:r>
              <w:rPr>
                <w:w w:val="95"/>
                <w:sz w:val="18"/>
              </w:rPr>
              <w:t>3,003,938</w:t>
            </w:r>
          </w:p>
        </w:tc>
      </w:tr>
      <w:tr>
        <w:trPr>
          <w:trHeight w:val="264" w:hRule="exact"/>
        </w:trPr>
        <w:tc>
          <w:tcPr>
            <w:tcW w:w="7190" w:type="dxa"/>
          </w:tcPr>
          <w:p>
            <w:pPr>
              <w:pStyle w:val="TableParagraph"/>
              <w:spacing w:before="18"/>
              <w:ind w:left="35"/>
              <w:rPr>
                <w:sz w:val="18"/>
              </w:rPr>
            </w:pPr>
            <w:r>
              <w:rPr>
                <w:sz w:val="18"/>
              </w:rPr>
              <w:t>Borrowings</w:t>
            </w:r>
          </w:p>
        </w:tc>
        <w:tc>
          <w:tcPr>
            <w:tcW w:w="424" w:type="dxa"/>
          </w:tcPr>
          <w:p>
            <w:pPr>
              <w:pStyle w:val="TableParagraph"/>
              <w:spacing w:before="19"/>
              <w:ind w:left="35"/>
              <w:rPr>
                <w:sz w:val="18"/>
              </w:rPr>
            </w:pPr>
            <w:r>
              <w:rPr>
                <w:sz w:val="18"/>
              </w:rPr>
              <w:t>11</w:t>
            </w:r>
          </w:p>
        </w:tc>
        <w:tc>
          <w:tcPr>
            <w:tcW w:w="1460" w:type="dxa"/>
          </w:tcPr>
          <w:p>
            <w:pPr>
              <w:pStyle w:val="TableParagraph"/>
              <w:spacing w:before="19"/>
              <w:ind w:right="246"/>
              <w:jc w:val="right"/>
              <w:rPr>
                <w:b/>
                <w:sz w:val="18"/>
              </w:rPr>
            </w:pPr>
            <w:r>
              <w:rPr>
                <w:b/>
                <w:w w:val="95"/>
                <w:sz w:val="18"/>
              </w:rPr>
              <w:t>1,517,745</w:t>
            </w:r>
          </w:p>
        </w:tc>
        <w:tc>
          <w:tcPr>
            <w:tcW w:w="1135" w:type="dxa"/>
          </w:tcPr>
          <w:p>
            <w:pPr>
              <w:pStyle w:val="TableParagraph"/>
              <w:spacing w:before="19"/>
              <w:ind w:right="83"/>
              <w:jc w:val="right"/>
              <w:rPr>
                <w:sz w:val="18"/>
              </w:rPr>
            </w:pPr>
            <w:r>
              <w:rPr>
                <w:w w:val="95"/>
                <w:sz w:val="18"/>
              </w:rPr>
              <w:t>1,625,000</w:t>
            </w:r>
          </w:p>
        </w:tc>
      </w:tr>
      <w:tr>
        <w:trPr>
          <w:trHeight w:val="264" w:hRule="exact"/>
        </w:trPr>
        <w:tc>
          <w:tcPr>
            <w:tcW w:w="7190" w:type="dxa"/>
          </w:tcPr>
          <w:p>
            <w:pPr>
              <w:pStyle w:val="TableParagraph"/>
              <w:spacing w:before="18"/>
              <w:ind w:left="35"/>
              <w:rPr>
                <w:sz w:val="18"/>
              </w:rPr>
            </w:pPr>
            <w:r>
              <w:rPr>
                <w:sz w:val="18"/>
              </w:rPr>
              <w:t>Provisions</w:t>
            </w:r>
          </w:p>
        </w:tc>
        <w:tc>
          <w:tcPr>
            <w:tcW w:w="424" w:type="dxa"/>
          </w:tcPr>
          <w:p>
            <w:pPr>
              <w:pStyle w:val="TableParagraph"/>
              <w:spacing w:before="19"/>
              <w:ind w:left="35"/>
              <w:rPr>
                <w:sz w:val="18"/>
              </w:rPr>
            </w:pPr>
            <w:r>
              <w:rPr>
                <w:sz w:val="18"/>
              </w:rPr>
              <w:t>12</w:t>
            </w:r>
          </w:p>
        </w:tc>
        <w:tc>
          <w:tcPr>
            <w:tcW w:w="1460" w:type="dxa"/>
          </w:tcPr>
          <w:p>
            <w:pPr>
              <w:pStyle w:val="TableParagraph"/>
              <w:spacing w:before="19"/>
              <w:ind w:right="246"/>
              <w:jc w:val="right"/>
              <w:rPr>
                <w:b/>
                <w:sz w:val="18"/>
              </w:rPr>
            </w:pPr>
            <w:r>
              <w:rPr>
                <w:b/>
                <w:w w:val="95"/>
                <w:sz w:val="18"/>
              </w:rPr>
              <w:t>592,708</w:t>
            </w:r>
          </w:p>
        </w:tc>
        <w:tc>
          <w:tcPr>
            <w:tcW w:w="1135" w:type="dxa"/>
          </w:tcPr>
          <w:p>
            <w:pPr>
              <w:pStyle w:val="TableParagraph"/>
              <w:spacing w:before="19"/>
              <w:ind w:right="83"/>
              <w:jc w:val="right"/>
              <w:rPr>
                <w:sz w:val="18"/>
              </w:rPr>
            </w:pPr>
            <w:r>
              <w:rPr>
                <w:w w:val="95"/>
                <w:sz w:val="18"/>
              </w:rPr>
              <w:t>669,417</w:t>
            </w:r>
          </w:p>
        </w:tc>
      </w:tr>
      <w:tr>
        <w:trPr>
          <w:trHeight w:val="263" w:hRule="exact"/>
        </w:trPr>
        <w:tc>
          <w:tcPr>
            <w:tcW w:w="7190" w:type="dxa"/>
          </w:tcPr>
          <w:p>
            <w:pPr>
              <w:pStyle w:val="TableParagraph"/>
              <w:spacing w:before="18"/>
              <w:ind w:left="35"/>
              <w:rPr>
                <w:sz w:val="18"/>
              </w:rPr>
            </w:pPr>
            <w:r>
              <w:rPr>
                <w:sz w:val="18"/>
              </w:rPr>
              <w:t>Other liabilities</w:t>
            </w:r>
          </w:p>
        </w:tc>
        <w:tc>
          <w:tcPr>
            <w:tcW w:w="424" w:type="dxa"/>
          </w:tcPr>
          <w:p>
            <w:pPr>
              <w:pStyle w:val="TableParagraph"/>
              <w:spacing w:before="19"/>
              <w:ind w:left="35"/>
              <w:rPr>
                <w:sz w:val="18"/>
              </w:rPr>
            </w:pPr>
            <w:r>
              <w:rPr>
                <w:sz w:val="18"/>
              </w:rPr>
              <w:t>13</w:t>
            </w:r>
          </w:p>
        </w:tc>
        <w:tc>
          <w:tcPr>
            <w:tcW w:w="1460" w:type="dxa"/>
            <w:tcBorders>
              <w:bottom w:val="single" w:sz="0" w:space="0" w:color="000000"/>
            </w:tcBorders>
          </w:tcPr>
          <w:p>
            <w:pPr>
              <w:pStyle w:val="TableParagraph"/>
              <w:spacing w:before="19"/>
              <w:ind w:right="246"/>
              <w:jc w:val="right"/>
              <w:rPr>
                <w:b/>
                <w:sz w:val="18"/>
              </w:rPr>
            </w:pPr>
            <w:r>
              <w:rPr>
                <w:b/>
                <w:w w:val="95"/>
                <w:sz w:val="18"/>
              </w:rPr>
              <w:t>1,782,564</w:t>
            </w:r>
          </w:p>
        </w:tc>
        <w:tc>
          <w:tcPr>
            <w:tcW w:w="1135" w:type="dxa"/>
            <w:tcBorders>
              <w:bottom w:val="single" w:sz="0" w:space="0" w:color="000000"/>
            </w:tcBorders>
          </w:tcPr>
          <w:p>
            <w:pPr>
              <w:pStyle w:val="TableParagraph"/>
              <w:spacing w:before="19"/>
              <w:ind w:right="83"/>
              <w:jc w:val="right"/>
              <w:rPr>
                <w:sz w:val="18"/>
              </w:rPr>
            </w:pPr>
            <w:r>
              <w:rPr>
                <w:w w:val="95"/>
                <w:sz w:val="18"/>
              </w:rPr>
              <w:t>150,520</w:t>
            </w:r>
          </w:p>
        </w:tc>
      </w:tr>
      <w:tr>
        <w:trPr>
          <w:trHeight w:val="338" w:hRule="exact"/>
        </w:trPr>
        <w:tc>
          <w:tcPr>
            <w:tcW w:w="7190" w:type="dxa"/>
          </w:tcPr>
          <w:p>
            <w:pPr>
              <w:pStyle w:val="TableParagraph"/>
              <w:spacing w:before="39"/>
              <w:ind w:left="35"/>
              <w:rPr>
                <w:b/>
                <w:sz w:val="18"/>
              </w:rPr>
            </w:pPr>
            <w:r>
              <w:rPr>
                <w:b/>
                <w:sz w:val="18"/>
              </w:rPr>
              <w:t>Total current liabilities</w:t>
            </w:r>
          </w:p>
        </w:tc>
        <w:tc>
          <w:tcPr>
            <w:tcW w:w="424" w:type="dxa"/>
          </w:tcPr>
          <w:p>
            <w:pPr/>
          </w:p>
        </w:tc>
        <w:tc>
          <w:tcPr>
            <w:tcW w:w="1460" w:type="dxa"/>
            <w:tcBorders>
              <w:top w:val="single" w:sz="0" w:space="0" w:color="000000"/>
              <w:bottom w:val="single" w:sz="0" w:space="0" w:color="000000"/>
            </w:tcBorders>
          </w:tcPr>
          <w:p>
            <w:pPr>
              <w:pStyle w:val="TableParagraph"/>
              <w:spacing w:before="123"/>
              <w:ind w:right="246"/>
              <w:jc w:val="right"/>
              <w:rPr>
                <w:b/>
                <w:sz w:val="18"/>
              </w:rPr>
            </w:pPr>
            <w:r>
              <w:rPr>
                <w:b/>
                <w:w w:val="95"/>
                <w:sz w:val="18"/>
              </w:rPr>
              <w:t>7,428,580</w:t>
            </w:r>
          </w:p>
        </w:tc>
        <w:tc>
          <w:tcPr>
            <w:tcW w:w="1135" w:type="dxa"/>
            <w:tcBorders>
              <w:top w:val="single" w:sz="0" w:space="0" w:color="000000"/>
              <w:bottom w:val="single" w:sz="0" w:space="0" w:color="000000"/>
            </w:tcBorders>
          </w:tcPr>
          <w:p>
            <w:pPr>
              <w:pStyle w:val="TableParagraph"/>
              <w:spacing w:before="123"/>
              <w:ind w:right="84"/>
              <w:jc w:val="right"/>
              <w:rPr>
                <w:sz w:val="18"/>
              </w:rPr>
            </w:pPr>
            <w:r>
              <w:rPr>
                <w:w w:val="95"/>
                <w:sz w:val="18"/>
              </w:rPr>
              <w:t>5,448,875</w:t>
            </w:r>
          </w:p>
        </w:tc>
      </w:tr>
      <w:tr>
        <w:trPr>
          <w:trHeight w:val="922" w:hRule="exact"/>
        </w:trPr>
        <w:tc>
          <w:tcPr>
            <w:tcW w:w="7190" w:type="dxa"/>
          </w:tcPr>
          <w:p>
            <w:pPr>
              <w:pStyle w:val="TableParagraph"/>
              <w:rPr>
                <w:sz w:val="18"/>
              </w:rPr>
            </w:pPr>
          </w:p>
          <w:p>
            <w:pPr>
              <w:pStyle w:val="TableParagraph"/>
              <w:spacing w:before="5"/>
              <w:rPr>
                <w:sz w:val="20"/>
              </w:rPr>
            </w:pPr>
          </w:p>
          <w:p>
            <w:pPr>
              <w:pStyle w:val="TableParagraph"/>
              <w:ind w:left="35"/>
              <w:rPr>
                <w:b/>
                <w:sz w:val="18"/>
              </w:rPr>
            </w:pPr>
            <w:r>
              <w:rPr>
                <w:b/>
                <w:sz w:val="18"/>
              </w:rPr>
              <w:t>Non-current liabilities</w:t>
            </w:r>
          </w:p>
          <w:p>
            <w:pPr>
              <w:pStyle w:val="TableParagraph"/>
              <w:spacing w:before="27"/>
              <w:ind w:left="35"/>
              <w:rPr>
                <w:sz w:val="18"/>
              </w:rPr>
            </w:pPr>
            <w:r>
              <w:rPr>
                <w:sz w:val="18"/>
              </w:rPr>
              <w:t>Borrowings</w:t>
            </w:r>
          </w:p>
        </w:tc>
        <w:tc>
          <w:tcPr>
            <w:tcW w:w="424" w:type="dxa"/>
          </w:tcPr>
          <w:p>
            <w:pPr>
              <w:pStyle w:val="TableParagraph"/>
              <w:rPr>
                <w:sz w:val="18"/>
              </w:rPr>
            </w:pPr>
          </w:p>
          <w:p>
            <w:pPr>
              <w:pStyle w:val="TableParagraph"/>
              <w:rPr>
                <w:sz w:val="18"/>
              </w:rPr>
            </w:pPr>
          </w:p>
          <w:p>
            <w:pPr>
              <w:pStyle w:val="TableParagraph"/>
              <w:spacing w:before="10"/>
              <w:rPr>
                <w:sz w:val="22"/>
              </w:rPr>
            </w:pPr>
          </w:p>
          <w:p>
            <w:pPr>
              <w:pStyle w:val="TableParagraph"/>
              <w:spacing w:before="1"/>
              <w:ind w:left="35"/>
              <w:rPr>
                <w:sz w:val="18"/>
              </w:rPr>
            </w:pPr>
            <w:r>
              <w:rPr>
                <w:sz w:val="18"/>
              </w:rPr>
              <w:t>11</w:t>
            </w:r>
          </w:p>
        </w:tc>
        <w:tc>
          <w:tcPr>
            <w:tcW w:w="1460" w:type="dxa"/>
            <w:tcBorders>
              <w:top w:val="single" w:sz="0" w:space="0" w:color="000000"/>
            </w:tcBorders>
          </w:tcPr>
          <w:p>
            <w:pPr>
              <w:pStyle w:val="TableParagraph"/>
              <w:rPr>
                <w:sz w:val="18"/>
              </w:rPr>
            </w:pPr>
          </w:p>
          <w:p>
            <w:pPr>
              <w:pStyle w:val="TableParagraph"/>
              <w:rPr>
                <w:sz w:val="18"/>
              </w:rPr>
            </w:pPr>
          </w:p>
          <w:p>
            <w:pPr>
              <w:pStyle w:val="TableParagraph"/>
              <w:spacing w:before="10"/>
              <w:rPr>
                <w:sz w:val="22"/>
              </w:rPr>
            </w:pPr>
          </w:p>
          <w:p>
            <w:pPr>
              <w:pStyle w:val="TableParagraph"/>
              <w:ind w:right="246"/>
              <w:jc w:val="right"/>
              <w:rPr>
                <w:b/>
                <w:sz w:val="18"/>
              </w:rPr>
            </w:pPr>
            <w:r>
              <w:rPr>
                <w:b/>
                <w:w w:val="95"/>
                <w:sz w:val="18"/>
              </w:rPr>
              <w:t>93,750</w:t>
            </w:r>
          </w:p>
        </w:tc>
        <w:tc>
          <w:tcPr>
            <w:tcW w:w="1135" w:type="dxa"/>
            <w:tcBorders>
              <w:top w:val="single" w:sz="0" w:space="0" w:color="000000"/>
            </w:tcBorders>
          </w:tcPr>
          <w:p>
            <w:pPr>
              <w:pStyle w:val="TableParagraph"/>
              <w:rPr>
                <w:sz w:val="18"/>
              </w:rPr>
            </w:pPr>
          </w:p>
          <w:p>
            <w:pPr>
              <w:pStyle w:val="TableParagraph"/>
              <w:rPr>
                <w:sz w:val="18"/>
              </w:rPr>
            </w:pPr>
          </w:p>
          <w:p>
            <w:pPr>
              <w:pStyle w:val="TableParagraph"/>
              <w:spacing w:before="10"/>
              <w:rPr>
                <w:sz w:val="22"/>
              </w:rPr>
            </w:pPr>
          </w:p>
          <w:p>
            <w:pPr>
              <w:pStyle w:val="TableParagraph"/>
              <w:ind w:right="84"/>
              <w:jc w:val="right"/>
              <w:rPr>
                <w:sz w:val="18"/>
              </w:rPr>
            </w:pPr>
            <w:r>
              <w:rPr>
                <w:w w:val="95"/>
                <w:sz w:val="18"/>
              </w:rPr>
              <w:t>234,375</w:t>
            </w:r>
          </w:p>
        </w:tc>
      </w:tr>
      <w:tr>
        <w:trPr>
          <w:trHeight w:val="263" w:hRule="exact"/>
        </w:trPr>
        <w:tc>
          <w:tcPr>
            <w:tcW w:w="7190" w:type="dxa"/>
          </w:tcPr>
          <w:p>
            <w:pPr>
              <w:pStyle w:val="TableParagraph"/>
              <w:spacing w:before="18"/>
              <w:ind w:left="35"/>
              <w:rPr>
                <w:sz w:val="18"/>
              </w:rPr>
            </w:pPr>
            <w:r>
              <w:rPr>
                <w:sz w:val="18"/>
              </w:rPr>
              <w:t>Provisions</w:t>
            </w:r>
          </w:p>
        </w:tc>
        <w:tc>
          <w:tcPr>
            <w:tcW w:w="424" w:type="dxa"/>
          </w:tcPr>
          <w:p>
            <w:pPr>
              <w:pStyle w:val="TableParagraph"/>
              <w:spacing w:before="19"/>
              <w:ind w:left="35"/>
              <w:rPr>
                <w:sz w:val="18"/>
              </w:rPr>
            </w:pPr>
            <w:r>
              <w:rPr>
                <w:sz w:val="18"/>
              </w:rPr>
              <w:t>12</w:t>
            </w:r>
          </w:p>
        </w:tc>
        <w:tc>
          <w:tcPr>
            <w:tcW w:w="1460" w:type="dxa"/>
            <w:tcBorders>
              <w:bottom w:val="single" w:sz="0" w:space="0" w:color="000000"/>
            </w:tcBorders>
          </w:tcPr>
          <w:p>
            <w:pPr>
              <w:pStyle w:val="TableParagraph"/>
              <w:spacing w:before="19"/>
              <w:ind w:right="246"/>
              <w:jc w:val="right"/>
              <w:rPr>
                <w:b/>
                <w:sz w:val="18"/>
              </w:rPr>
            </w:pPr>
            <w:r>
              <w:rPr>
                <w:b/>
                <w:w w:val="95"/>
                <w:sz w:val="18"/>
              </w:rPr>
              <w:t>198,248</w:t>
            </w:r>
          </w:p>
        </w:tc>
        <w:tc>
          <w:tcPr>
            <w:tcW w:w="1135" w:type="dxa"/>
            <w:tcBorders>
              <w:bottom w:val="single" w:sz="0" w:space="0" w:color="000000"/>
            </w:tcBorders>
          </w:tcPr>
          <w:p>
            <w:pPr>
              <w:pStyle w:val="TableParagraph"/>
              <w:spacing w:before="19"/>
              <w:ind w:right="84"/>
              <w:jc w:val="right"/>
              <w:rPr>
                <w:sz w:val="18"/>
              </w:rPr>
            </w:pPr>
            <w:r>
              <w:rPr>
                <w:w w:val="95"/>
                <w:sz w:val="18"/>
              </w:rPr>
              <w:t>181,987</w:t>
            </w:r>
          </w:p>
        </w:tc>
      </w:tr>
      <w:tr>
        <w:trPr>
          <w:trHeight w:val="338" w:hRule="exact"/>
        </w:trPr>
        <w:tc>
          <w:tcPr>
            <w:tcW w:w="7614" w:type="dxa"/>
            <w:gridSpan w:val="2"/>
          </w:tcPr>
          <w:p>
            <w:pPr>
              <w:pStyle w:val="TableParagraph"/>
              <w:spacing w:before="29"/>
              <w:ind w:left="35"/>
              <w:rPr>
                <w:b/>
                <w:sz w:val="18"/>
              </w:rPr>
            </w:pPr>
            <w:r>
              <w:rPr>
                <w:b/>
                <w:sz w:val="18"/>
              </w:rPr>
              <w:t>Total non-current liabilities</w:t>
            </w:r>
          </w:p>
        </w:tc>
        <w:tc>
          <w:tcPr>
            <w:tcW w:w="1460" w:type="dxa"/>
            <w:tcBorders>
              <w:bottom w:val="single" w:sz="0" w:space="0" w:color="000000"/>
            </w:tcBorders>
          </w:tcPr>
          <w:p>
            <w:pPr>
              <w:pStyle w:val="TableParagraph"/>
              <w:spacing w:before="113"/>
              <w:ind w:right="246"/>
              <w:jc w:val="right"/>
              <w:rPr>
                <w:b/>
                <w:sz w:val="18"/>
              </w:rPr>
            </w:pPr>
            <w:r>
              <w:rPr>
                <w:b/>
                <w:w w:val="95"/>
                <w:sz w:val="18"/>
              </w:rPr>
              <w:t>291,998</w:t>
            </w:r>
          </w:p>
        </w:tc>
        <w:tc>
          <w:tcPr>
            <w:tcW w:w="1135" w:type="dxa"/>
            <w:tcBorders>
              <w:bottom w:val="single" w:sz="0" w:space="0" w:color="000000"/>
            </w:tcBorders>
          </w:tcPr>
          <w:p>
            <w:pPr>
              <w:pStyle w:val="TableParagraph"/>
              <w:spacing w:before="113"/>
              <w:ind w:right="84"/>
              <w:jc w:val="right"/>
              <w:rPr>
                <w:sz w:val="18"/>
              </w:rPr>
            </w:pPr>
            <w:r>
              <w:rPr>
                <w:w w:val="95"/>
                <w:sz w:val="18"/>
              </w:rPr>
              <w:t>416,362</w:t>
            </w:r>
          </w:p>
        </w:tc>
      </w:tr>
      <w:tr>
        <w:trPr>
          <w:trHeight w:val="338" w:hRule="exact"/>
        </w:trPr>
        <w:tc>
          <w:tcPr>
            <w:tcW w:w="7614" w:type="dxa"/>
            <w:gridSpan w:val="2"/>
          </w:tcPr>
          <w:p>
            <w:pPr>
              <w:pStyle w:val="TableParagraph"/>
              <w:spacing w:before="39"/>
              <w:ind w:left="35"/>
              <w:rPr>
                <w:b/>
                <w:sz w:val="18"/>
              </w:rPr>
            </w:pPr>
            <w:r>
              <w:rPr>
                <w:b/>
                <w:sz w:val="18"/>
              </w:rPr>
              <w:t>Total liabilities</w:t>
            </w: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7,720,578</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5,865,237</w:t>
            </w:r>
          </w:p>
        </w:tc>
      </w:tr>
      <w:tr>
        <w:trPr>
          <w:trHeight w:val="353" w:hRule="exact"/>
        </w:trPr>
        <w:tc>
          <w:tcPr>
            <w:tcW w:w="7614" w:type="dxa"/>
            <w:gridSpan w:val="2"/>
          </w:tcPr>
          <w:p>
            <w:pPr>
              <w:pStyle w:val="TableParagraph"/>
              <w:spacing w:before="39"/>
              <w:ind w:left="35"/>
              <w:rPr>
                <w:b/>
                <w:sz w:val="18"/>
              </w:rPr>
            </w:pPr>
            <w:r>
              <w:rPr>
                <w:b/>
                <w:sz w:val="18"/>
              </w:rPr>
              <w:t>Net assets</w:t>
            </w: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1,518,374</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1,360,147</w:t>
            </w:r>
          </w:p>
        </w:tc>
      </w:tr>
      <w:tr>
        <w:trPr>
          <w:trHeight w:val="913" w:hRule="exact"/>
        </w:trPr>
        <w:tc>
          <w:tcPr>
            <w:tcW w:w="7614" w:type="dxa"/>
            <w:gridSpan w:val="2"/>
          </w:tcPr>
          <w:p>
            <w:pPr>
              <w:pStyle w:val="TableParagraph"/>
              <w:rPr>
                <w:sz w:val="18"/>
              </w:rPr>
            </w:pPr>
          </w:p>
          <w:p>
            <w:pPr>
              <w:pStyle w:val="TableParagraph"/>
              <w:spacing w:before="8"/>
              <w:rPr>
                <w:sz w:val="19"/>
              </w:rPr>
            </w:pPr>
          </w:p>
          <w:p>
            <w:pPr>
              <w:pStyle w:val="TableParagraph"/>
              <w:ind w:left="35"/>
              <w:rPr>
                <w:b/>
                <w:sz w:val="18"/>
              </w:rPr>
            </w:pPr>
            <w:r>
              <w:rPr>
                <w:b/>
                <w:sz w:val="18"/>
              </w:rPr>
              <w:t>EQUITY</w:t>
            </w:r>
          </w:p>
          <w:p>
            <w:pPr>
              <w:pStyle w:val="TableParagraph"/>
              <w:tabs>
                <w:tab w:pos="7425" w:val="right" w:leader="none"/>
              </w:tabs>
              <w:spacing w:before="28"/>
              <w:ind w:left="35"/>
              <w:rPr>
                <w:sz w:val="18"/>
              </w:rPr>
            </w:pPr>
            <w:r>
              <w:rPr>
                <w:sz w:val="18"/>
              </w:rPr>
              <w:t>Retained earnings</w:t>
            </w:r>
            <w:r>
              <w:rPr>
                <w:rFonts w:ascii="Times New Roman"/>
                <w:sz w:val="18"/>
              </w:rPr>
              <w:tab/>
            </w:r>
            <w:r>
              <w:rPr>
                <w:sz w:val="18"/>
              </w:rPr>
              <w:t>14</w:t>
            </w:r>
          </w:p>
        </w:tc>
        <w:tc>
          <w:tcPr>
            <w:tcW w:w="1460" w:type="dxa"/>
            <w:tcBorders>
              <w:top w:val="single" w:sz="0" w:space="0" w:color="000000"/>
              <w:bottom w:val="single" w:sz="0" w:space="0" w:color="000000"/>
            </w:tcBorders>
          </w:tcPr>
          <w:p>
            <w:pPr>
              <w:pStyle w:val="TableParagraph"/>
              <w:rPr>
                <w:sz w:val="18"/>
              </w:rPr>
            </w:pPr>
          </w:p>
          <w:p>
            <w:pPr>
              <w:pStyle w:val="TableParagraph"/>
              <w:rPr>
                <w:sz w:val="18"/>
              </w:rPr>
            </w:pPr>
          </w:p>
          <w:p>
            <w:pPr>
              <w:pStyle w:val="TableParagraph"/>
              <w:spacing w:before="1"/>
              <w:rPr>
                <w:sz w:val="22"/>
              </w:rPr>
            </w:pPr>
          </w:p>
          <w:p>
            <w:pPr>
              <w:pStyle w:val="TableParagraph"/>
              <w:ind w:right="246"/>
              <w:jc w:val="right"/>
              <w:rPr>
                <w:b/>
                <w:sz w:val="18"/>
              </w:rPr>
            </w:pPr>
            <w:r>
              <w:rPr>
                <w:b/>
                <w:w w:val="95"/>
                <w:sz w:val="18"/>
              </w:rPr>
              <w:t>1,518,374</w:t>
            </w:r>
          </w:p>
        </w:tc>
        <w:tc>
          <w:tcPr>
            <w:tcW w:w="1135" w:type="dxa"/>
            <w:tcBorders>
              <w:top w:val="single" w:sz="0" w:space="0" w:color="000000"/>
              <w:bottom w:val="single" w:sz="0" w:space="0" w:color="000000"/>
            </w:tcBorders>
          </w:tcPr>
          <w:p>
            <w:pPr>
              <w:pStyle w:val="TableParagraph"/>
              <w:rPr>
                <w:sz w:val="18"/>
              </w:rPr>
            </w:pPr>
          </w:p>
          <w:p>
            <w:pPr>
              <w:pStyle w:val="TableParagraph"/>
              <w:rPr>
                <w:sz w:val="18"/>
              </w:rPr>
            </w:pPr>
          </w:p>
          <w:p>
            <w:pPr>
              <w:pStyle w:val="TableParagraph"/>
              <w:spacing w:before="1"/>
              <w:rPr>
                <w:sz w:val="22"/>
              </w:rPr>
            </w:pPr>
          </w:p>
          <w:p>
            <w:pPr>
              <w:pStyle w:val="TableParagraph"/>
              <w:ind w:right="84"/>
              <w:jc w:val="right"/>
              <w:rPr>
                <w:sz w:val="18"/>
              </w:rPr>
            </w:pPr>
            <w:r>
              <w:rPr>
                <w:w w:val="95"/>
                <w:sz w:val="18"/>
              </w:rPr>
              <w:t>1,360,147</w:t>
            </w:r>
          </w:p>
        </w:tc>
      </w:tr>
      <w:tr>
        <w:trPr>
          <w:trHeight w:val="353" w:hRule="exact"/>
        </w:trPr>
        <w:tc>
          <w:tcPr>
            <w:tcW w:w="7614" w:type="dxa"/>
            <w:gridSpan w:val="2"/>
          </w:tcPr>
          <w:p>
            <w:pPr>
              <w:pStyle w:val="TableParagraph"/>
              <w:spacing w:before="39"/>
              <w:ind w:left="35"/>
              <w:rPr>
                <w:b/>
                <w:sz w:val="18"/>
              </w:rPr>
            </w:pPr>
            <w:r>
              <w:rPr>
                <w:b/>
                <w:sz w:val="18"/>
              </w:rPr>
              <w:t>Total equity</w:t>
            </w: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1,518,374</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1,360,147</w:t>
            </w:r>
          </w:p>
        </w:tc>
      </w:tr>
    </w:tbl>
    <w:p>
      <w:pPr>
        <w:pStyle w:val="BodyText"/>
        <w:rPr>
          <w:sz w:val="20"/>
        </w:rPr>
      </w:pPr>
    </w:p>
    <w:p>
      <w:pPr>
        <w:pStyle w:val="BodyText"/>
        <w:rPr>
          <w:sz w:val="20"/>
        </w:rPr>
      </w:pPr>
    </w:p>
    <w:p>
      <w:pPr>
        <w:pStyle w:val="BodyText"/>
        <w:spacing w:before="4"/>
        <w:rPr>
          <w:sz w:val="17"/>
        </w:rPr>
      </w:pPr>
    </w:p>
    <w:p>
      <w:pPr>
        <w:spacing w:before="1"/>
        <w:ind w:left="145" w:right="139" w:firstLine="0"/>
        <w:jc w:val="left"/>
        <w:rPr>
          <w:i/>
          <w:sz w:val="18"/>
        </w:rPr>
      </w:pPr>
      <w:r>
        <w:rPr>
          <w:i/>
          <w:sz w:val="18"/>
        </w:rPr>
        <w:t>The above statement of financial position should be read in conjunction with the accompanying notes.</w:t>
      </w:r>
    </w:p>
    <w:p>
      <w:pPr>
        <w:spacing w:after="0"/>
        <w:jc w:val="left"/>
        <w:rPr>
          <w:sz w:val="18"/>
        </w:rPr>
        <w:sectPr>
          <w:pgSz w:w="11910" w:h="16840"/>
          <w:pgMar w:header="936" w:footer="526" w:top="1300" w:bottom="700" w:left="760" w:right="680"/>
        </w:sectPr>
      </w:pPr>
    </w:p>
    <w:p>
      <w:pPr>
        <w:pStyle w:val="BodyText"/>
        <w:spacing w:before="7"/>
        <w:rPr>
          <w:i/>
          <w:sz w:val="8"/>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415"/>
        <w:gridCol w:w="1227"/>
        <w:gridCol w:w="1221"/>
      </w:tblGrid>
      <w:tr>
        <w:trPr>
          <w:trHeight w:val="855" w:hRule="exact"/>
        </w:trPr>
        <w:tc>
          <w:tcPr>
            <w:tcW w:w="7415" w:type="dxa"/>
          </w:tcPr>
          <w:p>
            <w:pPr>
              <w:pStyle w:val="TableParagraph"/>
              <w:spacing w:before="64"/>
              <w:ind w:left="35"/>
              <w:rPr>
                <w:b/>
                <w:sz w:val="28"/>
              </w:rPr>
            </w:pPr>
            <w:r>
              <w:rPr>
                <w:b/>
                <w:sz w:val="28"/>
              </w:rPr>
              <w:t>Statement of changes in equity</w:t>
            </w:r>
          </w:p>
          <w:p>
            <w:pPr>
              <w:pStyle w:val="TableParagraph"/>
              <w:ind w:left="35"/>
              <w:rPr>
                <w:b/>
                <w:sz w:val="22"/>
              </w:rPr>
            </w:pPr>
            <w:r>
              <w:rPr>
                <w:b/>
                <w:sz w:val="22"/>
              </w:rPr>
              <w:t>For the year ended 31 December 2012</w:t>
            </w:r>
          </w:p>
        </w:tc>
        <w:tc>
          <w:tcPr>
            <w:tcW w:w="2448" w:type="dxa"/>
            <w:gridSpan w:val="2"/>
          </w:tcPr>
          <w:p>
            <w:pPr/>
          </w:p>
        </w:tc>
      </w:tr>
      <w:tr>
        <w:trPr>
          <w:trHeight w:val="653" w:hRule="exact"/>
        </w:trPr>
        <w:tc>
          <w:tcPr>
            <w:tcW w:w="7415" w:type="dxa"/>
          </w:tcPr>
          <w:p>
            <w:pPr/>
          </w:p>
        </w:tc>
        <w:tc>
          <w:tcPr>
            <w:tcW w:w="1227" w:type="dxa"/>
          </w:tcPr>
          <w:p>
            <w:pPr>
              <w:pStyle w:val="TableParagraph"/>
              <w:spacing w:before="1"/>
              <w:rPr>
                <w:i/>
                <w:sz w:val="17"/>
              </w:rPr>
            </w:pPr>
          </w:p>
          <w:p>
            <w:pPr>
              <w:pStyle w:val="TableParagraph"/>
              <w:ind w:left="236" w:right="216" w:hanging="5"/>
              <w:rPr>
                <w:b/>
                <w:sz w:val="18"/>
              </w:rPr>
            </w:pPr>
            <w:r>
              <w:rPr>
                <w:b/>
                <w:sz w:val="18"/>
              </w:rPr>
              <w:t>Retained earnings</w:t>
            </w:r>
          </w:p>
        </w:tc>
        <w:tc>
          <w:tcPr>
            <w:tcW w:w="1221" w:type="dxa"/>
          </w:tcPr>
          <w:p>
            <w:pPr>
              <w:pStyle w:val="TableParagraph"/>
              <w:rPr>
                <w:i/>
                <w:sz w:val="18"/>
              </w:rPr>
            </w:pPr>
          </w:p>
          <w:p>
            <w:pPr>
              <w:pStyle w:val="TableParagraph"/>
              <w:spacing w:before="1"/>
              <w:rPr>
                <w:i/>
                <w:sz w:val="17"/>
              </w:rPr>
            </w:pPr>
          </w:p>
          <w:p>
            <w:pPr>
              <w:pStyle w:val="TableParagraph"/>
              <w:ind w:left="89"/>
              <w:rPr>
                <w:b/>
                <w:sz w:val="18"/>
              </w:rPr>
            </w:pPr>
            <w:r>
              <w:rPr>
                <w:b/>
                <w:sz w:val="18"/>
              </w:rPr>
              <w:t>Total equity</w:t>
            </w:r>
          </w:p>
        </w:tc>
      </w:tr>
      <w:tr>
        <w:trPr>
          <w:trHeight w:val="272" w:hRule="exact"/>
        </w:trPr>
        <w:tc>
          <w:tcPr>
            <w:tcW w:w="7415" w:type="dxa"/>
          </w:tcPr>
          <w:p>
            <w:pPr/>
          </w:p>
        </w:tc>
        <w:tc>
          <w:tcPr>
            <w:tcW w:w="1227" w:type="dxa"/>
            <w:tcBorders>
              <w:bottom w:val="single" w:sz="0" w:space="0" w:color="000000"/>
            </w:tcBorders>
          </w:tcPr>
          <w:p>
            <w:pPr>
              <w:pStyle w:val="TableParagraph"/>
              <w:spacing w:before="24"/>
              <w:ind w:right="1"/>
              <w:jc w:val="center"/>
              <w:rPr>
                <w:b/>
                <w:sz w:val="18"/>
              </w:rPr>
            </w:pPr>
            <w:r>
              <w:rPr>
                <w:b/>
                <w:w w:val="99"/>
                <w:sz w:val="18"/>
              </w:rPr>
              <w:t>$</w:t>
            </w:r>
          </w:p>
        </w:tc>
        <w:tc>
          <w:tcPr>
            <w:tcW w:w="1221" w:type="dxa"/>
            <w:tcBorders>
              <w:bottom w:val="single" w:sz="0" w:space="0" w:color="000000"/>
            </w:tcBorders>
          </w:tcPr>
          <w:p>
            <w:pPr>
              <w:pStyle w:val="TableParagraph"/>
              <w:spacing w:before="24"/>
              <w:ind w:right="28"/>
              <w:jc w:val="center"/>
              <w:rPr>
                <w:b/>
                <w:sz w:val="18"/>
              </w:rPr>
            </w:pPr>
            <w:r>
              <w:rPr>
                <w:b/>
                <w:w w:val="99"/>
                <w:sz w:val="18"/>
              </w:rPr>
              <w:t>$</w:t>
            </w:r>
          </w:p>
        </w:tc>
      </w:tr>
      <w:tr>
        <w:trPr>
          <w:trHeight w:val="421" w:hRule="exact"/>
        </w:trPr>
        <w:tc>
          <w:tcPr>
            <w:tcW w:w="7415" w:type="dxa"/>
          </w:tcPr>
          <w:p>
            <w:pPr>
              <w:pStyle w:val="TableParagraph"/>
              <w:spacing w:before="44"/>
              <w:ind w:left="62"/>
              <w:rPr>
                <w:b/>
                <w:sz w:val="18"/>
              </w:rPr>
            </w:pPr>
            <w:r>
              <w:rPr>
                <w:b/>
                <w:sz w:val="18"/>
              </w:rPr>
              <w:t>Balance at 1 January 2012</w:t>
            </w:r>
          </w:p>
        </w:tc>
        <w:tc>
          <w:tcPr>
            <w:tcW w:w="1227" w:type="dxa"/>
            <w:tcBorders>
              <w:top w:val="single" w:sz="0" w:space="0" w:color="000000"/>
            </w:tcBorders>
          </w:tcPr>
          <w:p>
            <w:pPr>
              <w:pStyle w:val="TableParagraph"/>
              <w:spacing w:before="48"/>
              <w:ind w:right="87"/>
              <w:jc w:val="right"/>
              <w:rPr>
                <w:b/>
                <w:sz w:val="18"/>
              </w:rPr>
            </w:pPr>
            <w:r>
              <w:rPr>
                <w:b/>
                <w:w w:val="95"/>
                <w:sz w:val="18"/>
              </w:rPr>
              <w:t>1,360,147</w:t>
            </w:r>
          </w:p>
        </w:tc>
        <w:tc>
          <w:tcPr>
            <w:tcW w:w="1221" w:type="dxa"/>
            <w:tcBorders>
              <w:top w:val="single" w:sz="0" w:space="0" w:color="000000"/>
            </w:tcBorders>
          </w:tcPr>
          <w:p>
            <w:pPr>
              <w:pStyle w:val="TableParagraph"/>
              <w:spacing w:before="48"/>
              <w:ind w:right="84"/>
              <w:jc w:val="right"/>
              <w:rPr>
                <w:b/>
                <w:sz w:val="18"/>
              </w:rPr>
            </w:pPr>
            <w:r>
              <w:rPr>
                <w:b/>
                <w:w w:val="95"/>
                <w:sz w:val="18"/>
              </w:rPr>
              <w:t>1,360,147</w:t>
            </w:r>
          </w:p>
        </w:tc>
      </w:tr>
      <w:tr>
        <w:trPr>
          <w:trHeight w:val="419" w:hRule="exact"/>
        </w:trPr>
        <w:tc>
          <w:tcPr>
            <w:tcW w:w="7415" w:type="dxa"/>
          </w:tcPr>
          <w:p>
            <w:pPr>
              <w:pStyle w:val="TableParagraph"/>
              <w:spacing w:before="146"/>
              <w:ind w:left="62"/>
              <w:rPr>
                <w:b/>
                <w:sz w:val="18"/>
              </w:rPr>
            </w:pPr>
            <w:r>
              <w:rPr>
                <w:b/>
                <w:sz w:val="18"/>
              </w:rPr>
              <w:t>Total comprehensive income for the year</w:t>
            </w:r>
          </w:p>
        </w:tc>
        <w:tc>
          <w:tcPr>
            <w:tcW w:w="1227" w:type="dxa"/>
          </w:tcPr>
          <w:p>
            <w:pPr/>
          </w:p>
        </w:tc>
        <w:tc>
          <w:tcPr>
            <w:tcW w:w="1221" w:type="dxa"/>
          </w:tcPr>
          <w:p>
            <w:pPr/>
          </w:p>
        </w:tc>
      </w:tr>
      <w:tr>
        <w:trPr>
          <w:trHeight w:val="292" w:hRule="exact"/>
        </w:trPr>
        <w:tc>
          <w:tcPr>
            <w:tcW w:w="7415" w:type="dxa"/>
          </w:tcPr>
          <w:p>
            <w:pPr>
              <w:pStyle w:val="TableParagraph"/>
              <w:spacing w:before="46"/>
              <w:ind w:left="62"/>
              <w:rPr>
                <w:sz w:val="18"/>
              </w:rPr>
            </w:pPr>
            <w:r>
              <w:rPr>
                <w:sz w:val="18"/>
              </w:rPr>
              <w:t>Surplus / (deficit)</w:t>
            </w:r>
          </w:p>
        </w:tc>
        <w:tc>
          <w:tcPr>
            <w:tcW w:w="1227" w:type="dxa"/>
          </w:tcPr>
          <w:p>
            <w:pPr>
              <w:pStyle w:val="TableParagraph"/>
              <w:spacing w:before="48"/>
              <w:ind w:right="87"/>
              <w:jc w:val="right"/>
              <w:rPr>
                <w:b/>
                <w:sz w:val="18"/>
              </w:rPr>
            </w:pPr>
            <w:r>
              <w:rPr>
                <w:b/>
                <w:w w:val="95"/>
                <w:sz w:val="18"/>
              </w:rPr>
              <w:t>158,227</w:t>
            </w:r>
          </w:p>
        </w:tc>
        <w:tc>
          <w:tcPr>
            <w:tcW w:w="1221" w:type="dxa"/>
          </w:tcPr>
          <w:p>
            <w:pPr>
              <w:pStyle w:val="TableParagraph"/>
              <w:spacing w:before="46"/>
              <w:ind w:right="84"/>
              <w:jc w:val="right"/>
              <w:rPr>
                <w:b/>
                <w:sz w:val="18"/>
              </w:rPr>
            </w:pPr>
            <w:r>
              <w:rPr>
                <w:b/>
                <w:w w:val="95"/>
                <w:sz w:val="18"/>
              </w:rPr>
              <w:t>158,227</w:t>
            </w:r>
          </w:p>
        </w:tc>
      </w:tr>
      <w:tr>
        <w:trPr>
          <w:trHeight w:val="262" w:hRule="exact"/>
        </w:trPr>
        <w:tc>
          <w:tcPr>
            <w:tcW w:w="7415" w:type="dxa"/>
          </w:tcPr>
          <w:p>
            <w:pPr>
              <w:pStyle w:val="TableParagraph"/>
              <w:spacing w:before="19"/>
              <w:ind w:left="62"/>
              <w:rPr>
                <w:sz w:val="18"/>
              </w:rPr>
            </w:pPr>
            <w:r>
              <w:rPr>
                <w:sz w:val="18"/>
              </w:rPr>
              <w:t>Total other comprehensive income</w:t>
            </w:r>
          </w:p>
        </w:tc>
        <w:tc>
          <w:tcPr>
            <w:tcW w:w="1227" w:type="dxa"/>
            <w:tcBorders>
              <w:bottom w:val="single" w:sz="0" w:space="0" w:color="000000"/>
            </w:tcBorders>
          </w:tcPr>
          <w:p>
            <w:pPr>
              <w:pStyle w:val="TableParagraph"/>
              <w:spacing w:before="19"/>
              <w:ind w:right="90"/>
              <w:jc w:val="right"/>
              <w:rPr>
                <w:b/>
                <w:sz w:val="18"/>
              </w:rPr>
            </w:pPr>
            <w:r>
              <w:rPr>
                <w:b/>
                <w:w w:val="99"/>
                <w:sz w:val="18"/>
              </w:rPr>
              <w:t>-</w:t>
            </w:r>
          </w:p>
        </w:tc>
        <w:tc>
          <w:tcPr>
            <w:tcW w:w="1221" w:type="dxa"/>
            <w:tcBorders>
              <w:bottom w:val="single" w:sz="0" w:space="0" w:color="000000"/>
            </w:tcBorders>
          </w:tcPr>
          <w:p>
            <w:pPr>
              <w:pStyle w:val="TableParagraph"/>
              <w:spacing w:before="18"/>
              <w:ind w:right="86"/>
              <w:jc w:val="right"/>
              <w:rPr>
                <w:b/>
                <w:sz w:val="18"/>
              </w:rPr>
            </w:pPr>
            <w:r>
              <w:rPr>
                <w:b/>
                <w:w w:val="99"/>
                <w:sz w:val="18"/>
              </w:rPr>
              <w:t>-</w:t>
            </w:r>
          </w:p>
        </w:tc>
      </w:tr>
      <w:tr>
        <w:trPr>
          <w:trHeight w:val="338" w:hRule="exact"/>
        </w:trPr>
        <w:tc>
          <w:tcPr>
            <w:tcW w:w="7415" w:type="dxa"/>
          </w:tcPr>
          <w:p>
            <w:pPr>
              <w:pStyle w:val="TableParagraph"/>
              <w:spacing w:before="123"/>
              <w:ind w:left="62"/>
              <w:rPr>
                <w:b/>
                <w:sz w:val="18"/>
              </w:rPr>
            </w:pPr>
            <w:r>
              <w:rPr>
                <w:b/>
                <w:sz w:val="18"/>
              </w:rPr>
              <w:t>Total comprehensive income for the year</w:t>
            </w:r>
          </w:p>
        </w:tc>
        <w:tc>
          <w:tcPr>
            <w:tcW w:w="1227" w:type="dxa"/>
            <w:tcBorders>
              <w:top w:val="single" w:sz="0" w:space="0" w:color="000000"/>
              <w:bottom w:val="single" w:sz="0" w:space="0" w:color="000000"/>
            </w:tcBorders>
          </w:tcPr>
          <w:p>
            <w:pPr>
              <w:pStyle w:val="TableParagraph"/>
              <w:spacing w:before="122"/>
              <w:ind w:right="87"/>
              <w:jc w:val="right"/>
              <w:rPr>
                <w:b/>
                <w:sz w:val="18"/>
              </w:rPr>
            </w:pPr>
            <w:r>
              <w:rPr>
                <w:b/>
                <w:w w:val="95"/>
                <w:sz w:val="18"/>
              </w:rPr>
              <w:t>158,227</w:t>
            </w:r>
          </w:p>
        </w:tc>
        <w:tc>
          <w:tcPr>
            <w:tcW w:w="1221" w:type="dxa"/>
            <w:tcBorders>
              <w:top w:val="single" w:sz="0" w:space="0" w:color="000000"/>
              <w:bottom w:val="single" w:sz="0" w:space="0" w:color="000000"/>
            </w:tcBorders>
          </w:tcPr>
          <w:p>
            <w:pPr>
              <w:pStyle w:val="TableParagraph"/>
              <w:spacing w:before="122"/>
              <w:ind w:right="84"/>
              <w:jc w:val="right"/>
              <w:rPr>
                <w:b/>
                <w:sz w:val="18"/>
              </w:rPr>
            </w:pPr>
            <w:r>
              <w:rPr>
                <w:b/>
                <w:w w:val="95"/>
                <w:sz w:val="18"/>
              </w:rPr>
              <w:t>158,227</w:t>
            </w:r>
          </w:p>
        </w:tc>
      </w:tr>
      <w:tr>
        <w:trPr>
          <w:trHeight w:val="524" w:hRule="exact"/>
        </w:trPr>
        <w:tc>
          <w:tcPr>
            <w:tcW w:w="7415" w:type="dxa"/>
          </w:tcPr>
          <w:p>
            <w:pPr>
              <w:pStyle w:val="TableParagraph"/>
              <w:spacing w:before="6"/>
              <w:rPr>
                <w:i/>
                <w:sz w:val="25"/>
              </w:rPr>
            </w:pPr>
          </w:p>
          <w:p>
            <w:pPr>
              <w:pStyle w:val="TableParagraph"/>
              <w:ind w:left="62"/>
              <w:rPr>
                <w:b/>
                <w:sz w:val="18"/>
              </w:rPr>
            </w:pPr>
            <w:r>
              <w:rPr>
                <w:b/>
                <w:sz w:val="18"/>
              </w:rPr>
              <w:t>Balance at 31 December 2012</w:t>
            </w:r>
          </w:p>
        </w:tc>
        <w:tc>
          <w:tcPr>
            <w:tcW w:w="1227" w:type="dxa"/>
            <w:tcBorders>
              <w:top w:val="single" w:sz="0" w:space="0" w:color="000000"/>
              <w:bottom w:val="single" w:sz="0" w:space="0" w:color="000000"/>
            </w:tcBorders>
          </w:tcPr>
          <w:p>
            <w:pPr>
              <w:pStyle w:val="TableParagraph"/>
              <w:spacing w:before="5"/>
              <w:rPr>
                <w:i/>
                <w:sz w:val="25"/>
              </w:rPr>
            </w:pPr>
          </w:p>
          <w:p>
            <w:pPr>
              <w:pStyle w:val="TableParagraph"/>
              <w:ind w:right="87"/>
              <w:jc w:val="right"/>
              <w:rPr>
                <w:b/>
                <w:sz w:val="18"/>
              </w:rPr>
            </w:pPr>
            <w:r>
              <w:rPr>
                <w:b/>
                <w:w w:val="95"/>
                <w:sz w:val="18"/>
              </w:rPr>
              <w:t>1,518,374</w:t>
            </w:r>
          </w:p>
        </w:tc>
        <w:tc>
          <w:tcPr>
            <w:tcW w:w="1221" w:type="dxa"/>
            <w:tcBorders>
              <w:top w:val="single" w:sz="0" w:space="0" w:color="000000"/>
              <w:bottom w:val="single" w:sz="0" w:space="0" w:color="000000"/>
            </w:tcBorders>
          </w:tcPr>
          <w:p>
            <w:pPr>
              <w:pStyle w:val="TableParagraph"/>
              <w:spacing w:before="5"/>
              <w:rPr>
                <w:i/>
                <w:sz w:val="25"/>
              </w:rPr>
            </w:pPr>
          </w:p>
          <w:p>
            <w:pPr>
              <w:pStyle w:val="TableParagraph"/>
              <w:ind w:right="84"/>
              <w:jc w:val="right"/>
              <w:rPr>
                <w:b/>
                <w:sz w:val="18"/>
              </w:rPr>
            </w:pPr>
            <w:r>
              <w:rPr>
                <w:b/>
                <w:w w:val="95"/>
                <w:sz w:val="18"/>
              </w:rPr>
              <w:t>1,518,374</w:t>
            </w:r>
          </w:p>
        </w:tc>
      </w:tr>
      <w:tr>
        <w:trPr>
          <w:trHeight w:val="811" w:hRule="exact"/>
        </w:trPr>
        <w:tc>
          <w:tcPr>
            <w:tcW w:w="7415" w:type="dxa"/>
          </w:tcPr>
          <w:p>
            <w:pPr/>
          </w:p>
        </w:tc>
        <w:tc>
          <w:tcPr>
            <w:tcW w:w="1227" w:type="dxa"/>
            <w:tcBorders>
              <w:top w:val="single" w:sz="0" w:space="0" w:color="000000"/>
            </w:tcBorders>
          </w:tcPr>
          <w:p>
            <w:pPr>
              <w:pStyle w:val="TableParagraph"/>
              <w:rPr>
                <w:i/>
                <w:sz w:val="18"/>
              </w:rPr>
            </w:pPr>
          </w:p>
          <w:p>
            <w:pPr>
              <w:pStyle w:val="TableParagraph"/>
              <w:spacing w:before="146"/>
              <w:ind w:left="267" w:right="235" w:hanging="16"/>
              <w:rPr>
                <w:sz w:val="18"/>
              </w:rPr>
            </w:pPr>
            <w:r>
              <w:rPr>
                <w:sz w:val="18"/>
              </w:rPr>
              <w:t>Retained earnings</w:t>
            </w:r>
          </w:p>
        </w:tc>
        <w:tc>
          <w:tcPr>
            <w:tcW w:w="1221" w:type="dxa"/>
            <w:tcBorders>
              <w:top w:val="single" w:sz="0" w:space="0" w:color="000000"/>
            </w:tcBorders>
          </w:tcPr>
          <w:p>
            <w:pPr>
              <w:pStyle w:val="TableParagraph"/>
              <w:rPr>
                <w:i/>
                <w:sz w:val="18"/>
              </w:rPr>
            </w:pPr>
          </w:p>
          <w:p>
            <w:pPr>
              <w:pStyle w:val="TableParagraph"/>
              <w:rPr>
                <w:i/>
                <w:sz w:val="18"/>
              </w:rPr>
            </w:pPr>
          </w:p>
          <w:p>
            <w:pPr>
              <w:pStyle w:val="TableParagraph"/>
              <w:spacing w:before="146"/>
              <w:ind w:left="131"/>
              <w:rPr>
                <w:sz w:val="18"/>
              </w:rPr>
            </w:pPr>
            <w:r>
              <w:rPr>
                <w:sz w:val="18"/>
              </w:rPr>
              <w:t>Total equity</w:t>
            </w:r>
          </w:p>
        </w:tc>
      </w:tr>
      <w:tr>
        <w:trPr>
          <w:trHeight w:val="272" w:hRule="exact"/>
        </w:trPr>
        <w:tc>
          <w:tcPr>
            <w:tcW w:w="7415" w:type="dxa"/>
          </w:tcPr>
          <w:p>
            <w:pPr/>
          </w:p>
        </w:tc>
        <w:tc>
          <w:tcPr>
            <w:tcW w:w="1227" w:type="dxa"/>
            <w:tcBorders>
              <w:bottom w:val="single" w:sz="0" w:space="0" w:color="000000"/>
            </w:tcBorders>
          </w:tcPr>
          <w:p>
            <w:pPr>
              <w:pStyle w:val="TableParagraph"/>
              <w:spacing w:before="24"/>
              <w:ind w:right="1"/>
              <w:jc w:val="center"/>
              <w:rPr>
                <w:b/>
                <w:sz w:val="18"/>
              </w:rPr>
            </w:pPr>
            <w:r>
              <w:rPr>
                <w:b/>
                <w:w w:val="99"/>
                <w:sz w:val="18"/>
              </w:rPr>
              <w:t>$</w:t>
            </w:r>
          </w:p>
        </w:tc>
        <w:tc>
          <w:tcPr>
            <w:tcW w:w="1221" w:type="dxa"/>
            <w:tcBorders>
              <w:bottom w:val="single" w:sz="0" w:space="0" w:color="000000"/>
            </w:tcBorders>
          </w:tcPr>
          <w:p>
            <w:pPr>
              <w:pStyle w:val="TableParagraph"/>
              <w:spacing w:before="24"/>
              <w:ind w:right="28"/>
              <w:jc w:val="center"/>
              <w:rPr>
                <w:b/>
                <w:sz w:val="18"/>
              </w:rPr>
            </w:pPr>
            <w:r>
              <w:rPr>
                <w:b/>
                <w:w w:val="99"/>
                <w:sz w:val="18"/>
              </w:rPr>
              <w:t>$</w:t>
            </w:r>
          </w:p>
        </w:tc>
      </w:tr>
      <w:tr>
        <w:trPr>
          <w:trHeight w:val="421" w:hRule="exact"/>
        </w:trPr>
        <w:tc>
          <w:tcPr>
            <w:tcW w:w="7415" w:type="dxa"/>
          </w:tcPr>
          <w:p>
            <w:pPr>
              <w:pStyle w:val="TableParagraph"/>
              <w:spacing w:before="44"/>
              <w:ind w:left="62"/>
              <w:rPr>
                <w:b/>
                <w:sz w:val="18"/>
              </w:rPr>
            </w:pPr>
            <w:r>
              <w:rPr>
                <w:b/>
                <w:sz w:val="18"/>
              </w:rPr>
              <w:t>Balance at 1 January 2011</w:t>
            </w:r>
          </w:p>
        </w:tc>
        <w:tc>
          <w:tcPr>
            <w:tcW w:w="1227" w:type="dxa"/>
            <w:tcBorders>
              <w:top w:val="single" w:sz="0" w:space="0" w:color="000000"/>
            </w:tcBorders>
          </w:tcPr>
          <w:p>
            <w:pPr>
              <w:pStyle w:val="TableParagraph"/>
              <w:spacing w:before="48"/>
              <w:ind w:right="87"/>
              <w:jc w:val="right"/>
              <w:rPr>
                <w:sz w:val="18"/>
              </w:rPr>
            </w:pPr>
            <w:r>
              <w:rPr>
                <w:w w:val="95"/>
                <w:sz w:val="18"/>
              </w:rPr>
              <w:t>1,339,806</w:t>
            </w:r>
          </w:p>
        </w:tc>
        <w:tc>
          <w:tcPr>
            <w:tcW w:w="1221" w:type="dxa"/>
            <w:tcBorders>
              <w:top w:val="single" w:sz="0" w:space="0" w:color="000000"/>
            </w:tcBorders>
          </w:tcPr>
          <w:p>
            <w:pPr>
              <w:pStyle w:val="TableParagraph"/>
              <w:spacing w:before="48"/>
              <w:ind w:right="84"/>
              <w:jc w:val="right"/>
              <w:rPr>
                <w:sz w:val="18"/>
              </w:rPr>
            </w:pPr>
            <w:r>
              <w:rPr>
                <w:w w:val="95"/>
                <w:sz w:val="18"/>
              </w:rPr>
              <w:t>1,339,806</w:t>
            </w:r>
          </w:p>
        </w:tc>
      </w:tr>
      <w:tr>
        <w:trPr>
          <w:trHeight w:val="419" w:hRule="exact"/>
        </w:trPr>
        <w:tc>
          <w:tcPr>
            <w:tcW w:w="7415" w:type="dxa"/>
          </w:tcPr>
          <w:p>
            <w:pPr>
              <w:pStyle w:val="TableParagraph"/>
              <w:spacing w:before="146"/>
              <w:ind w:left="62"/>
              <w:rPr>
                <w:b/>
                <w:sz w:val="18"/>
              </w:rPr>
            </w:pPr>
            <w:r>
              <w:rPr>
                <w:b/>
                <w:sz w:val="18"/>
              </w:rPr>
              <w:t>Total comprehensive income for the year</w:t>
            </w:r>
          </w:p>
        </w:tc>
        <w:tc>
          <w:tcPr>
            <w:tcW w:w="1227" w:type="dxa"/>
          </w:tcPr>
          <w:p>
            <w:pPr/>
          </w:p>
        </w:tc>
        <w:tc>
          <w:tcPr>
            <w:tcW w:w="1221" w:type="dxa"/>
          </w:tcPr>
          <w:p>
            <w:pPr/>
          </w:p>
        </w:tc>
      </w:tr>
      <w:tr>
        <w:trPr>
          <w:trHeight w:val="292" w:hRule="exact"/>
        </w:trPr>
        <w:tc>
          <w:tcPr>
            <w:tcW w:w="7415" w:type="dxa"/>
          </w:tcPr>
          <w:p>
            <w:pPr>
              <w:pStyle w:val="TableParagraph"/>
              <w:spacing w:before="46"/>
              <w:ind w:left="62"/>
              <w:rPr>
                <w:sz w:val="18"/>
              </w:rPr>
            </w:pPr>
            <w:r>
              <w:rPr>
                <w:sz w:val="18"/>
              </w:rPr>
              <w:t>Surplus / (deficit)</w:t>
            </w:r>
          </w:p>
        </w:tc>
        <w:tc>
          <w:tcPr>
            <w:tcW w:w="1227" w:type="dxa"/>
          </w:tcPr>
          <w:p>
            <w:pPr>
              <w:pStyle w:val="TableParagraph"/>
              <w:spacing w:before="46"/>
              <w:ind w:right="87"/>
              <w:jc w:val="right"/>
              <w:rPr>
                <w:sz w:val="18"/>
              </w:rPr>
            </w:pPr>
            <w:r>
              <w:rPr>
                <w:w w:val="95"/>
                <w:sz w:val="18"/>
              </w:rPr>
              <w:t>20,341</w:t>
            </w:r>
          </w:p>
        </w:tc>
        <w:tc>
          <w:tcPr>
            <w:tcW w:w="1221" w:type="dxa"/>
          </w:tcPr>
          <w:p>
            <w:pPr>
              <w:pStyle w:val="TableParagraph"/>
              <w:spacing w:before="46"/>
              <w:ind w:right="84"/>
              <w:jc w:val="right"/>
              <w:rPr>
                <w:sz w:val="18"/>
              </w:rPr>
            </w:pPr>
            <w:r>
              <w:rPr>
                <w:w w:val="95"/>
                <w:sz w:val="18"/>
              </w:rPr>
              <w:t>20,341</w:t>
            </w:r>
          </w:p>
        </w:tc>
      </w:tr>
      <w:tr>
        <w:trPr>
          <w:trHeight w:val="263" w:hRule="exact"/>
        </w:trPr>
        <w:tc>
          <w:tcPr>
            <w:tcW w:w="7415" w:type="dxa"/>
          </w:tcPr>
          <w:p>
            <w:pPr>
              <w:pStyle w:val="TableParagraph"/>
              <w:spacing w:before="19"/>
              <w:ind w:left="62"/>
              <w:rPr>
                <w:sz w:val="18"/>
              </w:rPr>
            </w:pPr>
            <w:r>
              <w:rPr>
                <w:sz w:val="18"/>
              </w:rPr>
              <w:t>Total other comprehensive income</w:t>
            </w:r>
          </w:p>
        </w:tc>
        <w:tc>
          <w:tcPr>
            <w:tcW w:w="1227" w:type="dxa"/>
            <w:tcBorders>
              <w:bottom w:val="single" w:sz="0" w:space="0" w:color="000000"/>
            </w:tcBorders>
          </w:tcPr>
          <w:p>
            <w:pPr>
              <w:pStyle w:val="TableParagraph"/>
              <w:spacing w:before="19"/>
              <w:ind w:right="90"/>
              <w:jc w:val="right"/>
              <w:rPr>
                <w:sz w:val="18"/>
              </w:rPr>
            </w:pPr>
            <w:r>
              <w:rPr>
                <w:w w:val="99"/>
                <w:sz w:val="18"/>
              </w:rPr>
              <w:t>-</w:t>
            </w:r>
          </w:p>
        </w:tc>
        <w:tc>
          <w:tcPr>
            <w:tcW w:w="1221" w:type="dxa"/>
            <w:tcBorders>
              <w:bottom w:val="single" w:sz="0" w:space="0" w:color="000000"/>
            </w:tcBorders>
          </w:tcPr>
          <w:p>
            <w:pPr>
              <w:pStyle w:val="TableParagraph"/>
              <w:spacing w:before="19"/>
              <w:ind w:right="87"/>
              <w:jc w:val="right"/>
              <w:rPr>
                <w:sz w:val="18"/>
              </w:rPr>
            </w:pPr>
            <w:r>
              <w:rPr>
                <w:w w:val="99"/>
                <w:sz w:val="18"/>
              </w:rPr>
              <w:t>-</w:t>
            </w:r>
          </w:p>
        </w:tc>
      </w:tr>
      <w:tr>
        <w:trPr>
          <w:trHeight w:val="338" w:hRule="exact"/>
        </w:trPr>
        <w:tc>
          <w:tcPr>
            <w:tcW w:w="7415" w:type="dxa"/>
          </w:tcPr>
          <w:p>
            <w:pPr>
              <w:pStyle w:val="TableParagraph"/>
              <w:spacing w:before="123"/>
              <w:ind w:left="62"/>
              <w:rPr>
                <w:b/>
                <w:sz w:val="18"/>
              </w:rPr>
            </w:pPr>
            <w:r>
              <w:rPr>
                <w:b/>
                <w:sz w:val="18"/>
              </w:rPr>
              <w:t>Total comprehensive income for the year</w:t>
            </w:r>
          </w:p>
        </w:tc>
        <w:tc>
          <w:tcPr>
            <w:tcW w:w="1227" w:type="dxa"/>
            <w:tcBorders>
              <w:top w:val="single" w:sz="0" w:space="0" w:color="000000"/>
              <w:bottom w:val="single" w:sz="0" w:space="0" w:color="000000"/>
            </w:tcBorders>
          </w:tcPr>
          <w:p>
            <w:pPr>
              <w:pStyle w:val="TableParagraph"/>
              <w:spacing w:before="122"/>
              <w:ind w:right="87"/>
              <w:jc w:val="right"/>
              <w:rPr>
                <w:sz w:val="18"/>
              </w:rPr>
            </w:pPr>
            <w:r>
              <w:rPr>
                <w:w w:val="95"/>
                <w:sz w:val="18"/>
              </w:rPr>
              <w:t>20,341</w:t>
            </w:r>
          </w:p>
        </w:tc>
        <w:tc>
          <w:tcPr>
            <w:tcW w:w="1221" w:type="dxa"/>
            <w:tcBorders>
              <w:top w:val="single" w:sz="0" w:space="0" w:color="000000"/>
              <w:bottom w:val="single" w:sz="0" w:space="0" w:color="000000"/>
            </w:tcBorders>
          </w:tcPr>
          <w:p>
            <w:pPr>
              <w:pStyle w:val="TableParagraph"/>
              <w:spacing w:before="122"/>
              <w:ind w:right="84"/>
              <w:jc w:val="right"/>
              <w:rPr>
                <w:sz w:val="18"/>
              </w:rPr>
            </w:pPr>
            <w:r>
              <w:rPr>
                <w:w w:val="95"/>
                <w:sz w:val="18"/>
              </w:rPr>
              <w:t>20,341</w:t>
            </w:r>
          </w:p>
        </w:tc>
      </w:tr>
      <w:tr>
        <w:trPr>
          <w:trHeight w:val="524" w:hRule="exact"/>
        </w:trPr>
        <w:tc>
          <w:tcPr>
            <w:tcW w:w="7415" w:type="dxa"/>
          </w:tcPr>
          <w:p>
            <w:pPr>
              <w:pStyle w:val="TableParagraph"/>
              <w:spacing w:before="6"/>
              <w:rPr>
                <w:i/>
                <w:sz w:val="25"/>
              </w:rPr>
            </w:pPr>
          </w:p>
          <w:p>
            <w:pPr>
              <w:pStyle w:val="TableParagraph"/>
              <w:ind w:left="62"/>
              <w:rPr>
                <w:b/>
                <w:sz w:val="18"/>
              </w:rPr>
            </w:pPr>
            <w:r>
              <w:rPr>
                <w:b/>
                <w:sz w:val="18"/>
              </w:rPr>
              <w:t>Balance at 31 December 2011</w:t>
            </w:r>
          </w:p>
        </w:tc>
        <w:tc>
          <w:tcPr>
            <w:tcW w:w="1227" w:type="dxa"/>
            <w:tcBorders>
              <w:top w:val="single" w:sz="0" w:space="0" w:color="000000"/>
              <w:bottom w:val="single" w:sz="0" w:space="0" w:color="000000"/>
            </w:tcBorders>
          </w:tcPr>
          <w:p>
            <w:pPr>
              <w:pStyle w:val="TableParagraph"/>
              <w:spacing w:before="5"/>
              <w:rPr>
                <w:i/>
                <w:sz w:val="25"/>
              </w:rPr>
            </w:pPr>
          </w:p>
          <w:p>
            <w:pPr>
              <w:pStyle w:val="TableParagraph"/>
              <w:ind w:right="87"/>
              <w:jc w:val="right"/>
              <w:rPr>
                <w:sz w:val="18"/>
              </w:rPr>
            </w:pPr>
            <w:r>
              <w:rPr>
                <w:w w:val="95"/>
                <w:sz w:val="18"/>
              </w:rPr>
              <w:t>1,360,147</w:t>
            </w:r>
          </w:p>
        </w:tc>
        <w:tc>
          <w:tcPr>
            <w:tcW w:w="1221" w:type="dxa"/>
            <w:tcBorders>
              <w:top w:val="single" w:sz="0" w:space="0" w:color="000000"/>
              <w:bottom w:val="single" w:sz="0" w:space="0" w:color="000000"/>
            </w:tcBorders>
          </w:tcPr>
          <w:p>
            <w:pPr>
              <w:pStyle w:val="TableParagraph"/>
              <w:spacing w:before="5"/>
              <w:rPr>
                <w:i/>
                <w:sz w:val="25"/>
              </w:rPr>
            </w:pPr>
          </w:p>
          <w:p>
            <w:pPr>
              <w:pStyle w:val="TableParagraph"/>
              <w:ind w:right="84"/>
              <w:jc w:val="right"/>
              <w:rPr>
                <w:sz w:val="18"/>
              </w:rPr>
            </w:pPr>
            <w:r>
              <w:rPr>
                <w:w w:val="95"/>
                <w:sz w:val="18"/>
              </w:rPr>
              <w:t>1,360,147</w:t>
            </w:r>
          </w:p>
        </w:tc>
      </w:tr>
    </w:tbl>
    <w:p>
      <w:pPr>
        <w:pStyle w:val="BodyText"/>
        <w:rPr>
          <w:i/>
          <w:sz w:val="20"/>
        </w:rPr>
      </w:pPr>
    </w:p>
    <w:p>
      <w:pPr>
        <w:pStyle w:val="BodyText"/>
        <w:rPr>
          <w:i/>
          <w:sz w:val="20"/>
        </w:rPr>
      </w:pPr>
    </w:p>
    <w:p>
      <w:pPr>
        <w:pStyle w:val="BodyText"/>
        <w:spacing w:before="5"/>
        <w:rPr>
          <w:i/>
          <w:sz w:val="17"/>
        </w:rPr>
      </w:pPr>
    </w:p>
    <w:p>
      <w:pPr>
        <w:spacing w:before="0"/>
        <w:ind w:left="147" w:right="86" w:firstLine="0"/>
        <w:jc w:val="left"/>
        <w:rPr>
          <w:i/>
          <w:sz w:val="18"/>
        </w:rPr>
      </w:pPr>
      <w:r>
        <w:rPr>
          <w:i/>
          <w:sz w:val="18"/>
        </w:rPr>
        <w:t>The above statement of changes in equity should be read in conjunction with the accompanying notes.</w:t>
      </w:r>
    </w:p>
    <w:p>
      <w:pPr>
        <w:spacing w:after="0"/>
        <w:jc w:val="left"/>
        <w:rPr>
          <w:sz w:val="18"/>
        </w:rPr>
        <w:sectPr>
          <w:pgSz w:w="11910" w:h="16840"/>
          <w:pgMar w:header="936" w:footer="526" w:top="1400" w:bottom="700" w:left="860" w:right="960"/>
        </w:sectPr>
      </w:pPr>
    </w:p>
    <w:p>
      <w:pPr>
        <w:pStyle w:val="BodyText"/>
        <w:spacing w:before="7"/>
        <w:rPr>
          <w:i/>
          <w:sz w:val="8"/>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06"/>
        <w:gridCol w:w="1735"/>
        <w:gridCol w:w="1410"/>
        <w:gridCol w:w="1184"/>
      </w:tblGrid>
      <w:tr>
        <w:trPr>
          <w:trHeight w:val="855" w:hRule="exact"/>
        </w:trPr>
        <w:tc>
          <w:tcPr>
            <w:tcW w:w="5906" w:type="dxa"/>
          </w:tcPr>
          <w:p>
            <w:pPr>
              <w:pStyle w:val="TableParagraph"/>
              <w:spacing w:before="64"/>
              <w:ind w:left="35"/>
              <w:rPr>
                <w:b/>
                <w:sz w:val="28"/>
              </w:rPr>
            </w:pPr>
            <w:r>
              <w:rPr>
                <w:b/>
                <w:sz w:val="28"/>
              </w:rPr>
              <w:t>Statement of cash flows</w:t>
            </w:r>
          </w:p>
          <w:p>
            <w:pPr>
              <w:pStyle w:val="TableParagraph"/>
              <w:ind w:left="35"/>
              <w:rPr>
                <w:b/>
                <w:sz w:val="22"/>
              </w:rPr>
            </w:pPr>
            <w:r>
              <w:rPr>
                <w:b/>
                <w:sz w:val="22"/>
              </w:rPr>
              <w:t>For the year ended 31 December 2012</w:t>
            </w:r>
          </w:p>
        </w:tc>
        <w:tc>
          <w:tcPr>
            <w:tcW w:w="4329" w:type="dxa"/>
            <w:gridSpan w:val="3"/>
          </w:tcPr>
          <w:p>
            <w:pPr/>
          </w:p>
        </w:tc>
      </w:tr>
      <w:tr>
        <w:trPr>
          <w:trHeight w:val="447" w:hRule="exact"/>
        </w:trPr>
        <w:tc>
          <w:tcPr>
            <w:tcW w:w="5906" w:type="dxa"/>
          </w:tcPr>
          <w:p>
            <w:pPr/>
          </w:p>
        </w:tc>
        <w:tc>
          <w:tcPr>
            <w:tcW w:w="1735" w:type="dxa"/>
          </w:tcPr>
          <w:p>
            <w:pPr/>
          </w:p>
        </w:tc>
        <w:tc>
          <w:tcPr>
            <w:tcW w:w="1410" w:type="dxa"/>
          </w:tcPr>
          <w:p>
            <w:pPr>
              <w:pStyle w:val="TableParagraph"/>
              <w:spacing w:before="1"/>
              <w:rPr>
                <w:i/>
                <w:sz w:val="17"/>
              </w:rPr>
            </w:pPr>
          </w:p>
          <w:p>
            <w:pPr>
              <w:pStyle w:val="TableParagraph"/>
              <w:ind w:left="452" w:right="516"/>
              <w:jc w:val="center"/>
              <w:rPr>
                <w:b/>
                <w:sz w:val="18"/>
              </w:rPr>
            </w:pPr>
            <w:r>
              <w:rPr>
                <w:b/>
                <w:sz w:val="18"/>
              </w:rPr>
              <w:t>2012</w:t>
            </w:r>
          </w:p>
        </w:tc>
        <w:tc>
          <w:tcPr>
            <w:tcW w:w="1184" w:type="dxa"/>
          </w:tcPr>
          <w:p>
            <w:pPr>
              <w:pStyle w:val="TableParagraph"/>
              <w:spacing w:before="1"/>
              <w:rPr>
                <w:i/>
                <w:sz w:val="17"/>
              </w:rPr>
            </w:pPr>
          </w:p>
          <w:p>
            <w:pPr>
              <w:pStyle w:val="TableParagraph"/>
              <w:ind w:left="344"/>
              <w:rPr>
                <w:sz w:val="18"/>
              </w:rPr>
            </w:pPr>
            <w:r>
              <w:rPr>
                <w:sz w:val="18"/>
              </w:rPr>
              <w:t>2011</w:t>
            </w:r>
          </w:p>
        </w:tc>
      </w:tr>
      <w:tr>
        <w:trPr>
          <w:trHeight w:val="313" w:hRule="exact"/>
        </w:trPr>
        <w:tc>
          <w:tcPr>
            <w:tcW w:w="5906" w:type="dxa"/>
          </w:tcPr>
          <w:p>
            <w:pPr/>
          </w:p>
        </w:tc>
        <w:tc>
          <w:tcPr>
            <w:tcW w:w="1735" w:type="dxa"/>
          </w:tcPr>
          <w:p>
            <w:pPr>
              <w:pStyle w:val="TableParagraph"/>
              <w:spacing w:before="24"/>
              <w:ind w:right="88"/>
              <w:jc w:val="right"/>
              <w:rPr>
                <w:sz w:val="18"/>
              </w:rPr>
            </w:pPr>
            <w:r>
              <w:rPr>
                <w:sz w:val="18"/>
              </w:rPr>
              <w:t>Note</w:t>
            </w:r>
          </w:p>
        </w:tc>
        <w:tc>
          <w:tcPr>
            <w:tcW w:w="1410" w:type="dxa"/>
          </w:tcPr>
          <w:p>
            <w:pPr>
              <w:pStyle w:val="TableParagraph"/>
              <w:spacing w:before="24"/>
              <w:ind w:right="65"/>
              <w:jc w:val="center"/>
              <w:rPr>
                <w:b/>
                <w:sz w:val="18"/>
              </w:rPr>
            </w:pPr>
            <w:r>
              <w:rPr>
                <w:b/>
                <w:w w:val="99"/>
                <w:sz w:val="18"/>
              </w:rPr>
              <w:t>$</w:t>
            </w:r>
          </w:p>
        </w:tc>
        <w:tc>
          <w:tcPr>
            <w:tcW w:w="1184" w:type="dxa"/>
          </w:tcPr>
          <w:p>
            <w:pPr>
              <w:pStyle w:val="TableParagraph"/>
              <w:spacing w:before="24"/>
              <w:ind w:right="94"/>
              <w:jc w:val="center"/>
              <w:rPr>
                <w:sz w:val="18"/>
              </w:rPr>
            </w:pPr>
            <w:r>
              <w:rPr>
                <w:w w:val="99"/>
                <w:sz w:val="18"/>
              </w:rPr>
              <w:t>$</w:t>
            </w:r>
          </w:p>
        </w:tc>
      </w:tr>
      <w:tr>
        <w:trPr>
          <w:trHeight w:val="543" w:hRule="exact"/>
        </w:trPr>
        <w:tc>
          <w:tcPr>
            <w:tcW w:w="5906" w:type="dxa"/>
          </w:tcPr>
          <w:p>
            <w:pPr>
              <w:pStyle w:val="TableParagraph"/>
              <w:spacing w:before="63"/>
              <w:ind w:left="79"/>
              <w:rPr>
                <w:b/>
                <w:sz w:val="18"/>
              </w:rPr>
            </w:pPr>
            <w:r>
              <w:rPr>
                <w:b/>
                <w:sz w:val="18"/>
              </w:rPr>
              <w:t>Cash flows from operating activities</w:t>
            </w:r>
          </w:p>
          <w:p>
            <w:pPr>
              <w:pStyle w:val="TableParagraph"/>
              <w:spacing w:before="27"/>
              <w:ind w:left="79"/>
              <w:rPr>
                <w:sz w:val="18"/>
              </w:rPr>
            </w:pPr>
            <w:r>
              <w:rPr>
                <w:sz w:val="18"/>
              </w:rPr>
              <w:t>Receipts from customers</w:t>
            </w:r>
          </w:p>
        </w:tc>
        <w:tc>
          <w:tcPr>
            <w:tcW w:w="1735" w:type="dxa"/>
          </w:tcPr>
          <w:p>
            <w:pPr/>
          </w:p>
        </w:tc>
        <w:tc>
          <w:tcPr>
            <w:tcW w:w="1410" w:type="dxa"/>
          </w:tcPr>
          <w:p>
            <w:pPr>
              <w:pStyle w:val="TableParagraph"/>
              <w:spacing w:before="11"/>
              <w:rPr>
                <w:i/>
                <w:sz w:val="25"/>
              </w:rPr>
            </w:pPr>
          </w:p>
          <w:p>
            <w:pPr>
              <w:pStyle w:val="TableParagraph"/>
              <w:ind w:right="195"/>
              <w:jc w:val="right"/>
              <w:rPr>
                <w:b/>
                <w:sz w:val="18"/>
              </w:rPr>
            </w:pPr>
            <w:r>
              <w:rPr>
                <w:b/>
                <w:w w:val="95"/>
                <w:sz w:val="18"/>
              </w:rPr>
              <w:t>30,155,659</w:t>
            </w:r>
          </w:p>
        </w:tc>
        <w:tc>
          <w:tcPr>
            <w:tcW w:w="1184" w:type="dxa"/>
          </w:tcPr>
          <w:p>
            <w:pPr>
              <w:pStyle w:val="TableParagraph"/>
              <w:spacing w:before="11"/>
              <w:rPr>
                <w:i/>
                <w:sz w:val="25"/>
              </w:rPr>
            </w:pPr>
          </w:p>
          <w:p>
            <w:pPr>
              <w:pStyle w:val="TableParagraph"/>
              <w:ind w:right="83"/>
              <w:jc w:val="right"/>
              <w:rPr>
                <w:sz w:val="18"/>
              </w:rPr>
            </w:pPr>
            <w:r>
              <w:rPr>
                <w:w w:val="95"/>
                <w:sz w:val="18"/>
              </w:rPr>
              <w:t>29,105,111</w:t>
            </w:r>
          </w:p>
        </w:tc>
      </w:tr>
      <w:tr>
        <w:trPr>
          <w:trHeight w:val="263" w:hRule="exact"/>
        </w:trPr>
        <w:tc>
          <w:tcPr>
            <w:tcW w:w="5906" w:type="dxa"/>
          </w:tcPr>
          <w:p>
            <w:pPr>
              <w:pStyle w:val="TableParagraph"/>
              <w:spacing w:before="18"/>
              <w:ind w:left="79"/>
              <w:rPr>
                <w:sz w:val="18"/>
              </w:rPr>
            </w:pPr>
            <w:r>
              <w:rPr>
                <w:sz w:val="18"/>
              </w:rPr>
              <w:t>Payments to suppliers and employees</w:t>
            </w:r>
          </w:p>
        </w:tc>
        <w:tc>
          <w:tcPr>
            <w:tcW w:w="1735" w:type="dxa"/>
          </w:tcPr>
          <w:p>
            <w:pPr/>
          </w:p>
        </w:tc>
        <w:tc>
          <w:tcPr>
            <w:tcW w:w="1410" w:type="dxa"/>
            <w:tcBorders>
              <w:bottom w:val="single" w:sz="0" w:space="0" w:color="000000"/>
            </w:tcBorders>
          </w:tcPr>
          <w:p>
            <w:pPr>
              <w:pStyle w:val="TableParagraph"/>
              <w:spacing w:before="19"/>
              <w:ind w:right="135"/>
              <w:jc w:val="right"/>
              <w:rPr>
                <w:b/>
                <w:sz w:val="18"/>
              </w:rPr>
            </w:pPr>
            <w:r>
              <w:rPr>
                <w:b/>
                <w:w w:val="95"/>
                <w:sz w:val="18"/>
              </w:rPr>
              <w:t>(28,176,382)</w:t>
            </w:r>
          </w:p>
        </w:tc>
        <w:tc>
          <w:tcPr>
            <w:tcW w:w="1184" w:type="dxa"/>
            <w:tcBorders>
              <w:bottom w:val="single" w:sz="0" w:space="0" w:color="000000"/>
            </w:tcBorders>
          </w:tcPr>
          <w:p>
            <w:pPr>
              <w:pStyle w:val="TableParagraph"/>
              <w:spacing w:before="19"/>
              <w:ind w:right="24"/>
              <w:jc w:val="right"/>
              <w:rPr>
                <w:sz w:val="18"/>
              </w:rPr>
            </w:pPr>
            <w:r>
              <w:rPr>
                <w:w w:val="95"/>
                <w:sz w:val="18"/>
              </w:rPr>
              <w:t>(29,140,516)</w:t>
            </w:r>
          </w:p>
        </w:tc>
      </w:tr>
      <w:tr>
        <w:trPr>
          <w:trHeight w:val="353" w:hRule="exact"/>
        </w:trPr>
        <w:tc>
          <w:tcPr>
            <w:tcW w:w="5906" w:type="dxa"/>
          </w:tcPr>
          <w:p>
            <w:pPr/>
          </w:p>
        </w:tc>
        <w:tc>
          <w:tcPr>
            <w:tcW w:w="1735" w:type="dxa"/>
          </w:tcPr>
          <w:p>
            <w:pPr/>
          </w:p>
        </w:tc>
        <w:tc>
          <w:tcPr>
            <w:tcW w:w="1410" w:type="dxa"/>
            <w:tcBorders>
              <w:top w:val="single" w:sz="0" w:space="0" w:color="000000"/>
            </w:tcBorders>
          </w:tcPr>
          <w:p>
            <w:pPr>
              <w:pStyle w:val="TableParagraph"/>
              <w:spacing w:before="122"/>
              <w:ind w:right="195"/>
              <w:jc w:val="right"/>
              <w:rPr>
                <w:b/>
                <w:sz w:val="18"/>
              </w:rPr>
            </w:pPr>
            <w:r>
              <w:rPr>
                <w:b/>
                <w:w w:val="95"/>
                <w:sz w:val="18"/>
              </w:rPr>
              <w:t>1,979,277</w:t>
            </w:r>
          </w:p>
        </w:tc>
        <w:tc>
          <w:tcPr>
            <w:tcW w:w="1184" w:type="dxa"/>
            <w:tcBorders>
              <w:top w:val="single" w:sz="0" w:space="0" w:color="000000"/>
            </w:tcBorders>
          </w:tcPr>
          <w:p>
            <w:pPr>
              <w:pStyle w:val="TableParagraph"/>
              <w:spacing w:before="122"/>
              <w:ind w:right="24"/>
              <w:jc w:val="right"/>
              <w:rPr>
                <w:sz w:val="18"/>
              </w:rPr>
            </w:pPr>
            <w:r>
              <w:rPr>
                <w:w w:val="95"/>
                <w:sz w:val="18"/>
              </w:rPr>
              <w:t>(35,405)</w:t>
            </w:r>
          </w:p>
        </w:tc>
      </w:tr>
      <w:tr>
        <w:trPr>
          <w:trHeight w:val="249" w:hRule="exact"/>
        </w:trPr>
        <w:tc>
          <w:tcPr>
            <w:tcW w:w="5906" w:type="dxa"/>
          </w:tcPr>
          <w:p>
            <w:pPr>
              <w:pStyle w:val="TableParagraph"/>
              <w:spacing w:before="4"/>
              <w:ind w:left="79"/>
              <w:rPr>
                <w:sz w:val="18"/>
              </w:rPr>
            </w:pPr>
            <w:r>
              <w:rPr>
                <w:sz w:val="18"/>
              </w:rPr>
              <w:t>Interest received</w:t>
            </w:r>
          </w:p>
        </w:tc>
        <w:tc>
          <w:tcPr>
            <w:tcW w:w="1735" w:type="dxa"/>
          </w:tcPr>
          <w:p>
            <w:pPr/>
          </w:p>
        </w:tc>
        <w:tc>
          <w:tcPr>
            <w:tcW w:w="1410" w:type="dxa"/>
            <w:tcBorders>
              <w:bottom w:val="single" w:sz="0" w:space="0" w:color="000000"/>
            </w:tcBorders>
          </w:tcPr>
          <w:p>
            <w:pPr>
              <w:pStyle w:val="TableParagraph"/>
              <w:spacing w:before="5"/>
              <w:ind w:right="196"/>
              <w:jc w:val="right"/>
              <w:rPr>
                <w:b/>
                <w:sz w:val="18"/>
              </w:rPr>
            </w:pPr>
            <w:r>
              <w:rPr>
                <w:b/>
                <w:w w:val="95"/>
                <w:sz w:val="18"/>
              </w:rPr>
              <w:t>41,482</w:t>
            </w:r>
          </w:p>
        </w:tc>
        <w:tc>
          <w:tcPr>
            <w:tcW w:w="1184" w:type="dxa"/>
            <w:tcBorders>
              <w:bottom w:val="single" w:sz="0" w:space="0" w:color="000000"/>
            </w:tcBorders>
          </w:tcPr>
          <w:p>
            <w:pPr>
              <w:pStyle w:val="TableParagraph"/>
              <w:spacing w:before="5"/>
              <w:ind w:right="84"/>
              <w:jc w:val="right"/>
              <w:rPr>
                <w:sz w:val="18"/>
              </w:rPr>
            </w:pPr>
            <w:r>
              <w:rPr>
                <w:w w:val="95"/>
                <w:sz w:val="18"/>
              </w:rPr>
              <w:t>47,879</w:t>
            </w:r>
          </w:p>
        </w:tc>
      </w:tr>
      <w:tr>
        <w:trPr>
          <w:trHeight w:val="338" w:hRule="exact"/>
        </w:trPr>
        <w:tc>
          <w:tcPr>
            <w:tcW w:w="5906" w:type="dxa"/>
          </w:tcPr>
          <w:p>
            <w:pPr>
              <w:pStyle w:val="TableParagraph"/>
              <w:spacing w:before="39"/>
              <w:ind w:left="79"/>
              <w:rPr>
                <w:b/>
                <w:sz w:val="18"/>
              </w:rPr>
            </w:pPr>
            <w:r>
              <w:rPr>
                <w:b/>
                <w:sz w:val="18"/>
              </w:rPr>
              <w:t>Net cash flows from operating activities</w:t>
            </w:r>
          </w:p>
        </w:tc>
        <w:tc>
          <w:tcPr>
            <w:tcW w:w="1735" w:type="dxa"/>
          </w:tcPr>
          <w:p>
            <w:pPr>
              <w:pStyle w:val="TableParagraph"/>
              <w:spacing w:before="39"/>
              <w:ind w:right="178"/>
              <w:jc w:val="right"/>
              <w:rPr>
                <w:sz w:val="18"/>
              </w:rPr>
            </w:pPr>
            <w:r>
              <w:rPr>
                <w:w w:val="95"/>
                <w:sz w:val="18"/>
              </w:rPr>
              <w:t>21</w:t>
            </w:r>
          </w:p>
        </w:tc>
        <w:tc>
          <w:tcPr>
            <w:tcW w:w="1410" w:type="dxa"/>
            <w:tcBorders>
              <w:top w:val="single" w:sz="0" w:space="0" w:color="000000"/>
              <w:bottom w:val="single" w:sz="0" w:space="0" w:color="000000"/>
            </w:tcBorders>
          </w:tcPr>
          <w:p>
            <w:pPr>
              <w:pStyle w:val="TableParagraph"/>
              <w:spacing w:before="122"/>
              <w:ind w:right="195"/>
              <w:jc w:val="right"/>
              <w:rPr>
                <w:b/>
                <w:sz w:val="18"/>
              </w:rPr>
            </w:pPr>
            <w:r>
              <w:rPr>
                <w:b/>
                <w:w w:val="95"/>
                <w:sz w:val="18"/>
              </w:rPr>
              <w:t>2,020,759</w:t>
            </w:r>
          </w:p>
        </w:tc>
        <w:tc>
          <w:tcPr>
            <w:tcW w:w="1184" w:type="dxa"/>
            <w:tcBorders>
              <w:top w:val="single" w:sz="0" w:space="0" w:color="000000"/>
              <w:bottom w:val="single" w:sz="0" w:space="0" w:color="000000"/>
            </w:tcBorders>
          </w:tcPr>
          <w:p>
            <w:pPr>
              <w:pStyle w:val="TableParagraph"/>
              <w:spacing w:before="122"/>
              <w:ind w:right="84"/>
              <w:jc w:val="right"/>
              <w:rPr>
                <w:sz w:val="18"/>
              </w:rPr>
            </w:pPr>
            <w:r>
              <w:rPr>
                <w:w w:val="95"/>
                <w:sz w:val="18"/>
              </w:rPr>
              <w:t>12,474</w:t>
            </w:r>
          </w:p>
        </w:tc>
      </w:tr>
      <w:tr>
        <w:trPr>
          <w:trHeight w:val="898" w:hRule="exact"/>
        </w:trPr>
        <w:tc>
          <w:tcPr>
            <w:tcW w:w="5906" w:type="dxa"/>
          </w:tcPr>
          <w:p>
            <w:pPr>
              <w:pStyle w:val="TableParagraph"/>
              <w:rPr>
                <w:i/>
                <w:sz w:val="18"/>
              </w:rPr>
            </w:pPr>
          </w:p>
          <w:p>
            <w:pPr>
              <w:pStyle w:val="TableParagraph"/>
              <w:spacing w:before="4"/>
              <w:rPr>
                <w:i/>
                <w:sz w:val="18"/>
              </w:rPr>
            </w:pPr>
          </w:p>
          <w:p>
            <w:pPr>
              <w:pStyle w:val="TableParagraph"/>
              <w:ind w:left="79"/>
              <w:rPr>
                <w:b/>
                <w:sz w:val="18"/>
              </w:rPr>
            </w:pPr>
            <w:r>
              <w:rPr>
                <w:b/>
                <w:sz w:val="18"/>
              </w:rPr>
              <w:t>Cash flows from investing activities</w:t>
            </w:r>
          </w:p>
          <w:p>
            <w:pPr>
              <w:pStyle w:val="TableParagraph"/>
              <w:spacing w:before="27"/>
              <w:ind w:left="79"/>
              <w:rPr>
                <w:sz w:val="18"/>
              </w:rPr>
            </w:pPr>
            <w:r>
              <w:rPr>
                <w:sz w:val="18"/>
              </w:rPr>
              <w:t>Payments for property, plant and equipment</w:t>
            </w:r>
          </w:p>
        </w:tc>
        <w:tc>
          <w:tcPr>
            <w:tcW w:w="1735" w:type="dxa"/>
          </w:tcPr>
          <w:p>
            <w:pPr>
              <w:pStyle w:val="TableParagraph"/>
              <w:rPr>
                <w:i/>
                <w:sz w:val="18"/>
              </w:rPr>
            </w:pPr>
          </w:p>
          <w:p>
            <w:pPr>
              <w:pStyle w:val="TableParagraph"/>
              <w:rPr>
                <w:i/>
                <w:sz w:val="18"/>
              </w:rPr>
            </w:pPr>
          </w:p>
          <w:p>
            <w:pPr>
              <w:pStyle w:val="TableParagraph"/>
              <w:spacing w:before="9"/>
              <w:rPr>
                <w:i/>
                <w:sz w:val="20"/>
              </w:rPr>
            </w:pPr>
          </w:p>
          <w:p>
            <w:pPr>
              <w:pStyle w:val="TableParagraph"/>
              <w:spacing w:before="1"/>
              <w:ind w:right="227"/>
              <w:jc w:val="right"/>
              <w:rPr>
                <w:sz w:val="18"/>
              </w:rPr>
            </w:pPr>
            <w:r>
              <w:rPr>
                <w:w w:val="99"/>
                <w:sz w:val="18"/>
              </w:rPr>
              <w:t>8</w:t>
            </w:r>
          </w:p>
        </w:tc>
        <w:tc>
          <w:tcPr>
            <w:tcW w:w="1410" w:type="dxa"/>
            <w:tcBorders>
              <w:top w:val="single" w:sz="0" w:space="0" w:color="000000"/>
            </w:tcBorders>
          </w:tcPr>
          <w:p>
            <w:pPr>
              <w:pStyle w:val="TableParagraph"/>
              <w:rPr>
                <w:i/>
                <w:sz w:val="18"/>
              </w:rPr>
            </w:pPr>
          </w:p>
          <w:p>
            <w:pPr>
              <w:pStyle w:val="TableParagraph"/>
              <w:rPr>
                <w:i/>
                <w:sz w:val="18"/>
              </w:rPr>
            </w:pPr>
          </w:p>
          <w:p>
            <w:pPr>
              <w:pStyle w:val="TableParagraph"/>
              <w:spacing w:before="9"/>
              <w:rPr>
                <w:i/>
                <w:sz w:val="20"/>
              </w:rPr>
            </w:pPr>
          </w:p>
          <w:p>
            <w:pPr>
              <w:pStyle w:val="TableParagraph"/>
              <w:ind w:right="136"/>
              <w:jc w:val="right"/>
              <w:rPr>
                <w:b/>
                <w:sz w:val="18"/>
              </w:rPr>
            </w:pPr>
            <w:r>
              <w:rPr>
                <w:b/>
                <w:w w:val="95"/>
                <w:sz w:val="18"/>
              </w:rPr>
              <w:t>(58,114)</w:t>
            </w:r>
          </w:p>
        </w:tc>
        <w:tc>
          <w:tcPr>
            <w:tcW w:w="1184" w:type="dxa"/>
            <w:tcBorders>
              <w:top w:val="single" w:sz="0" w:space="0" w:color="000000"/>
            </w:tcBorders>
          </w:tcPr>
          <w:p>
            <w:pPr>
              <w:pStyle w:val="TableParagraph"/>
              <w:rPr>
                <w:i/>
                <w:sz w:val="18"/>
              </w:rPr>
            </w:pPr>
          </w:p>
          <w:p>
            <w:pPr>
              <w:pStyle w:val="TableParagraph"/>
              <w:rPr>
                <w:i/>
                <w:sz w:val="18"/>
              </w:rPr>
            </w:pPr>
          </w:p>
          <w:p>
            <w:pPr>
              <w:pStyle w:val="TableParagraph"/>
              <w:spacing w:before="9"/>
              <w:rPr>
                <w:i/>
                <w:sz w:val="20"/>
              </w:rPr>
            </w:pPr>
          </w:p>
          <w:p>
            <w:pPr>
              <w:pStyle w:val="TableParagraph"/>
              <w:ind w:right="24"/>
              <w:jc w:val="right"/>
              <w:rPr>
                <w:sz w:val="18"/>
              </w:rPr>
            </w:pPr>
            <w:r>
              <w:rPr>
                <w:w w:val="95"/>
                <w:sz w:val="18"/>
              </w:rPr>
              <w:t>(513,682)</w:t>
            </w:r>
          </w:p>
        </w:tc>
      </w:tr>
      <w:tr>
        <w:trPr>
          <w:trHeight w:val="264" w:hRule="exact"/>
        </w:trPr>
        <w:tc>
          <w:tcPr>
            <w:tcW w:w="5906" w:type="dxa"/>
          </w:tcPr>
          <w:p>
            <w:pPr>
              <w:pStyle w:val="TableParagraph"/>
              <w:spacing w:before="18"/>
              <w:ind w:left="79"/>
              <w:rPr>
                <w:sz w:val="18"/>
              </w:rPr>
            </w:pPr>
            <w:r>
              <w:rPr>
                <w:sz w:val="18"/>
              </w:rPr>
              <w:t>Payments for intangibles</w:t>
            </w:r>
          </w:p>
        </w:tc>
        <w:tc>
          <w:tcPr>
            <w:tcW w:w="1735" w:type="dxa"/>
          </w:tcPr>
          <w:p>
            <w:pPr>
              <w:pStyle w:val="TableParagraph"/>
              <w:spacing w:before="19"/>
              <w:ind w:right="227"/>
              <w:jc w:val="right"/>
              <w:rPr>
                <w:sz w:val="18"/>
              </w:rPr>
            </w:pPr>
            <w:r>
              <w:rPr>
                <w:w w:val="99"/>
                <w:sz w:val="18"/>
              </w:rPr>
              <w:t>9</w:t>
            </w:r>
          </w:p>
        </w:tc>
        <w:tc>
          <w:tcPr>
            <w:tcW w:w="1410" w:type="dxa"/>
          </w:tcPr>
          <w:p>
            <w:pPr>
              <w:pStyle w:val="TableParagraph"/>
              <w:spacing w:before="19"/>
              <w:ind w:right="198"/>
              <w:jc w:val="right"/>
              <w:rPr>
                <w:b/>
                <w:sz w:val="18"/>
              </w:rPr>
            </w:pPr>
            <w:r>
              <w:rPr>
                <w:b/>
                <w:w w:val="99"/>
                <w:sz w:val="18"/>
              </w:rPr>
              <w:t>-</w:t>
            </w:r>
          </w:p>
        </w:tc>
        <w:tc>
          <w:tcPr>
            <w:tcW w:w="1184" w:type="dxa"/>
          </w:tcPr>
          <w:p>
            <w:pPr>
              <w:pStyle w:val="TableParagraph"/>
              <w:spacing w:before="19"/>
              <w:ind w:right="25"/>
              <w:jc w:val="right"/>
              <w:rPr>
                <w:sz w:val="18"/>
              </w:rPr>
            </w:pPr>
            <w:r>
              <w:rPr>
                <w:w w:val="95"/>
                <w:sz w:val="18"/>
              </w:rPr>
              <w:t>(7,500)</w:t>
            </w:r>
          </w:p>
        </w:tc>
      </w:tr>
      <w:tr>
        <w:trPr>
          <w:trHeight w:val="263" w:hRule="exact"/>
        </w:trPr>
        <w:tc>
          <w:tcPr>
            <w:tcW w:w="5906" w:type="dxa"/>
          </w:tcPr>
          <w:p>
            <w:pPr>
              <w:pStyle w:val="TableParagraph"/>
              <w:spacing w:before="18"/>
              <w:ind w:left="79"/>
              <w:rPr>
                <w:sz w:val="18"/>
              </w:rPr>
            </w:pPr>
            <w:r>
              <w:rPr>
                <w:sz w:val="18"/>
              </w:rPr>
              <w:t>Proceeds from sale of property, plant and equipment</w:t>
            </w:r>
          </w:p>
        </w:tc>
        <w:tc>
          <w:tcPr>
            <w:tcW w:w="1735" w:type="dxa"/>
          </w:tcPr>
          <w:p>
            <w:pPr/>
          </w:p>
        </w:tc>
        <w:tc>
          <w:tcPr>
            <w:tcW w:w="1410" w:type="dxa"/>
            <w:tcBorders>
              <w:bottom w:val="single" w:sz="0" w:space="0" w:color="000000"/>
            </w:tcBorders>
          </w:tcPr>
          <w:p>
            <w:pPr>
              <w:pStyle w:val="TableParagraph"/>
              <w:spacing w:before="19"/>
              <w:ind w:right="196"/>
              <w:jc w:val="right"/>
              <w:rPr>
                <w:b/>
                <w:sz w:val="18"/>
              </w:rPr>
            </w:pPr>
            <w:r>
              <w:rPr>
                <w:b/>
                <w:w w:val="95"/>
                <w:sz w:val="18"/>
              </w:rPr>
              <w:t>41,081</w:t>
            </w:r>
          </w:p>
        </w:tc>
        <w:tc>
          <w:tcPr>
            <w:tcW w:w="1184" w:type="dxa"/>
            <w:tcBorders>
              <w:bottom w:val="single" w:sz="0" w:space="0" w:color="000000"/>
            </w:tcBorders>
          </w:tcPr>
          <w:p>
            <w:pPr>
              <w:pStyle w:val="TableParagraph"/>
              <w:spacing w:before="19"/>
              <w:ind w:right="84"/>
              <w:jc w:val="right"/>
              <w:rPr>
                <w:sz w:val="18"/>
              </w:rPr>
            </w:pPr>
            <w:r>
              <w:rPr>
                <w:w w:val="95"/>
                <w:sz w:val="18"/>
              </w:rPr>
              <w:t>52,816</w:t>
            </w:r>
          </w:p>
        </w:tc>
      </w:tr>
      <w:tr>
        <w:trPr>
          <w:trHeight w:val="338" w:hRule="exact"/>
        </w:trPr>
        <w:tc>
          <w:tcPr>
            <w:tcW w:w="5906" w:type="dxa"/>
          </w:tcPr>
          <w:p>
            <w:pPr>
              <w:pStyle w:val="TableParagraph"/>
              <w:spacing w:before="39"/>
              <w:ind w:left="79"/>
              <w:rPr>
                <w:b/>
                <w:sz w:val="18"/>
              </w:rPr>
            </w:pPr>
            <w:r>
              <w:rPr>
                <w:b/>
                <w:sz w:val="18"/>
              </w:rPr>
              <w:t>Net cash flows from investing activities</w:t>
            </w:r>
          </w:p>
        </w:tc>
        <w:tc>
          <w:tcPr>
            <w:tcW w:w="1735" w:type="dxa"/>
          </w:tcPr>
          <w:p>
            <w:pPr/>
          </w:p>
        </w:tc>
        <w:tc>
          <w:tcPr>
            <w:tcW w:w="1410" w:type="dxa"/>
            <w:tcBorders>
              <w:top w:val="single" w:sz="0" w:space="0" w:color="000000"/>
              <w:bottom w:val="single" w:sz="0" w:space="0" w:color="000000"/>
            </w:tcBorders>
          </w:tcPr>
          <w:p>
            <w:pPr>
              <w:pStyle w:val="TableParagraph"/>
              <w:spacing w:before="122"/>
              <w:ind w:right="136"/>
              <w:jc w:val="right"/>
              <w:rPr>
                <w:b/>
                <w:sz w:val="18"/>
              </w:rPr>
            </w:pPr>
            <w:r>
              <w:rPr>
                <w:b/>
                <w:w w:val="95"/>
                <w:sz w:val="18"/>
              </w:rPr>
              <w:t>(17,033)</w:t>
            </w:r>
          </w:p>
        </w:tc>
        <w:tc>
          <w:tcPr>
            <w:tcW w:w="1184" w:type="dxa"/>
            <w:tcBorders>
              <w:top w:val="single" w:sz="0" w:space="0" w:color="000000"/>
              <w:bottom w:val="single" w:sz="0" w:space="0" w:color="000000"/>
            </w:tcBorders>
          </w:tcPr>
          <w:p>
            <w:pPr>
              <w:pStyle w:val="TableParagraph"/>
              <w:spacing w:before="122"/>
              <w:ind w:right="24"/>
              <w:jc w:val="right"/>
              <w:rPr>
                <w:sz w:val="18"/>
              </w:rPr>
            </w:pPr>
            <w:r>
              <w:rPr>
                <w:sz w:val="18"/>
              </w:rPr>
              <w:t>(468,366)</w:t>
            </w:r>
          </w:p>
        </w:tc>
      </w:tr>
      <w:tr>
        <w:trPr>
          <w:trHeight w:val="898" w:hRule="exact"/>
        </w:trPr>
        <w:tc>
          <w:tcPr>
            <w:tcW w:w="5906" w:type="dxa"/>
          </w:tcPr>
          <w:p>
            <w:pPr>
              <w:pStyle w:val="TableParagraph"/>
              <w:rPr>
                <w:i/>
                <w:sz w:val="18"/>
              </w:rPr>
            </w:pPr>
          </w:p>
          <w:p>
            <w:pPr>
              <w:pStyle w:val="TableParagraph"/>
              <w:spacing w:before="4"/>
              <w:rPr>
                <w:i/>
                <w:sz w:val="18"/>
              </w:rPr>
            </w:pPr>
          </w:p>
          <w:p>
            <w:pPr>
              <w:pStyle w:val="TableParagraph"/>
              <w:ind w:left="79"/>
              <w:rPr>
                <w:b/>
                <w:sz w:val="18"/>
              </w:rPr>
            </w:pPr>
            <w:r>
              <w:rPr>
                <w:b/>
                <w:sz w:val="18"/>
              </w:rPr>
              <w:t>Cash flows from financing activities</w:t>
            </w:r>
          </w:p>
          <w:p>
            <w:pPr>
              <w:pStyle w:val="TableParagraph"/>
              <w:spacing w:before="27"/>
              <w:ind w:left="79"/>
              <w:rPr>
                <w:sz w:val="18"/>
              </w:rPr>
            </w:pPr>
            <w:r>
              <w:rPr>
                <w:sz w:val="18"/>
              </w:rPr>
              <w:t>Proceeds from borrowings</w:t>
            </w:r>
          </w:p>
        </w:tc>
        <w:tc>
          <w:tcPr>
            <w:tcW w:w="1735" w:type="dxa"/>
          </w:tcPr>
          <w:p>
            <w:pPr/>
          </w:p>
        </w:tc>
        <w:tc>
          <w:tcPr>
            <w:tcW w:w="1410" w:type="dxa"/>
            <w:tcBorders>
              <w:top w:val="single" w:sz="0" w:space="0" w:color="000000"/>
            </w:tcBorders>
          </w:tcPr>
          <w:p>
            <w:pPr>
              <w:pStyle w:val="TableParagraph"/>
              <w:rPr>
                <w:i/>
                <w:sz w:val="18"/>
              </w:rPr>
            </w:pPr>
          </w:p>
          <w:p>
            <w:pPr>
              <w:pStyle w:val="TableParagraph"/>
              <w:rPr>
                <w:i/>
                <w:sz w:val="18"/>
              </w:rPr>
            </w:pPr>
          </w:p>
          <w:p>
            <w:pPr>
              <w:pStyle w:val="TableParagraph"/>
              <w:spacing w:before="9"/>
              <w:rPr>
                <w:i/>
                <w:sz w:val="20"/>
              </w:rPr>
            </w:pPr>
          </w:p>
          <w:p>
            <w:pPr>
              <w:pStyle w:val="TableParagraph"/>
              <w:ind w:right="195"/>
              <w:jc w:val="right"/>
              <w:rPr>
                <w:b/>
                <w:sz w:val="18"/>
              </w:rPr>
            </w:pPr>
            <w:r>
              <w:rPr>
                <w:b/>
                <w:w w:val="95"/>
                <w:sz w:val="18"/>
              </w:rPr>
              <w:t>2,700,000</w:t>
            </w:r>
          </w:p>
        </w:tc>
        <w:tc>
          <w:tcPr>
            <w:tcW w:w="1184" w:type="dxa"/>
            <w:tcBorders>
              <w:top w:val="single" w:sz="0" w:space="0" w:color="000000"/>
            </w:tcBorders>
          </w:tcPr>
          <w:p>
            <w:pPr>
              <w:pStyle w:val="TableParagraph"/>
              <w:rPr>
                <w:i/>
                <w:sz w:val="18"/>
              </w:rPr>
            </w:pPr>
          </w:p>
          <w:p>
            <w:pPr>
              <w:pStyle w:val="TableParagraph"/>
              <w:rPr>
                <w:i/>
                <w:sz w:val="18"/>
              </w:rPr>
            </w:pPr>
          </w:p>
          <w:p>
            <w:pPr>
              <w:pStyle w:val="TableParagraph"/>
              <w:spacing w:before="9"/>
              <w:rPr>
                <w:i/>
                <w:sz w:val="20"/>
              </w:rPr>
            </w:pPr>
          </w:p>
          <w:p>
            <w:pPr>
              <w:pStyle w:val="TableParagraph"/>
              <w:ind w:right="84"/>
              <w:jc w:val="right"/>
              <w:rPr>
                <w:sz w:val="18"/>
              </w:rPr>
            </w:pPr>
            <w:r>
              <w:rPr>
                <w:w w:val="95"/>
                <w:sz w:val="18"/>
              </w:rPr>
              <w:t>2,950,000</w:t>
            </w:r>
          </w:p>
        </w:tc>
      </w:tr>
      <w:tr>
        <w:trPr>
          <w:trHeight w:val="263" w:hRule="exact"/>
        </w:trPr>
        <w:tc>
          <w:tcPr>
            <w:tcW w:w="5906" w:type="dxa"/>
          </w:tcPr>
          <w:p>
            <w:pPr>
              <w:pStyle w:val="TableParagraph"/>
              <w:spacing w:before="18"/>
              <w:ind w:left="79"/>
              <w:rPr>
                <w:sz w:val="18"/>
              </w:rPr>
            </w:pPr>
            <w:r>
              <w:rPr>
                <w:sz w:val="18"/>
              </w:rPr>
              <w:t>Repayment of borrowings</w:t>
            </w:r>
          </w:p>
        </w:tc>
        <w:tc>
          <w:tcPr>
            <w:tcW w:w="1735" w:type="dxa"/>
          </w:tcPr>
          <w:p>
            <w:pPr/>
          </w:p>
        </w:tc>
        <w:tc>
          <w:tcPr>
            <w:tcW w:w="1410" w:type="dxa"/>
            <w:tcBorders>
              <w:bottom w:val="single" w:sz="0" w:space="0" w:color="000000"/>
            </w:tcBorders>
          </w:tcPr>
          <w:p>
            <w:pPr>
              <w:pStyle w:val="TableParagraph"/>
              <w:spacing w:before="19"/>
              <w:ind w:right="135"/>
              <w:jc w:val="right"/>
              <w:rPr>
                <w:b/>
                <w:sz w:val="18"/>
              </w:rPr>
            </w:pPr>
            <w:r>
              <w:rPr>
                <w:b/>
                <w:w w:val="95"/>
                <w:sz w:val="18"/>
              </w:rPr>
              <w:t>(2,956,250)</w:t>
            </w:r>
          </w:p>
        </w:tc>
        <w:tc>
          <w:tcPr>
            <w:tcW w:w="1184" w:type="dxa"/>
            <w:tcBorders>
              <w:bottom w:val="single" w:sz="0" w:space="0" w:color="000000"/>
            </w:tcBorders>
          </w:tcPr>
          <w:p>
            <w:pPr>
              <w:pStyle w:val="TableParagraph"/>
              <w:spacing w:before="19"/>
              <w:ind w:right="24"/>
              <w:jc w:val="right"/>
              <w:rPr>
                <w:sz w:val="18"/>
              </w:rPr>
            </w:pPr>
            <w:r>
              <w:rPr>
                <w:w w:val="95"/>
                <w:sz w:val="18"/>
              </w:rPr>
              <w:t>(2,693,750)</w:t>
            </w:r>
          </w:p>
        </w:tc>
      </w:tr>
      <w:tr>
        <w:trPr>
          <w:trHeight w:val="338" w:hRule="exact"/>
        </w:trPr>
        <w:tc>
          <w:tcPr>
            <w:tcW w:w="5906" w:type="dxa"/>
          </w:tcPr>
          <w:p>
            <w:pPr>
              <w:pStyle w:val="TableParagraph"/>
              <w:spacing w:before="39"/>
              <w:ind w:left="79"/>
              <w:rPr>
                <w:b/>
                <w:sz w:val="18"/>
              </w:rPr>
            </w:pPr>
            <w:r>
              <w:rPr>
                <w:b/>
                <w:sz w:val="18"/>
              </w:rPr>
              <w:t>Net cash flows from financing activities</w:t>
            </w:r>
          </w:p>
        </w:tc>
        <w:tc>
          <w:tcPr>
            <w:tcW w:w="1735" w:type="dxa"/>
          </w:tcPr>
          <w:p>
            <w:pPr/>
          </w:p>
        </w:tc>
        <w:tc>
          <w:tcPr>
            <w:tcW w:w="1410" w:type="dxa"/>
            <w:tcBorders>
              <w:top w:val="single" w:sz="0" w:space="0" w:color="000000"/>
              <w:bottom w:val="single" w:sz="0" w:space="0" w:color="000000"/>
            </w:tcBorders>
          </w:tcPr>
          <w:p>
            <w:pPr>
              <w:pStyle w:val="TableParagraph"/>
              <w:spacing w:before="122"/>
              <w:ind w:right="135"/>
              <w:jc w:val="right"/>
              <w:rPr>
                <w:b/>
                <w:sz w:val="18"/>
              </w:rPr>
            </w:pPr>
            <w:r>
              <w:rPr>
                <w:b/>
                <w:sz w:val="18"/>
              </w:rPr>
              <w:t>(256,250)</w:t>
            </w:r>
          </w:p>
        </w:tc>
        <w:tc>
          <w:tcPr>
            <w:tcW w:w="1184" w:type="dxa"/>
            <w:tcBorders>
              <w:top w:val="single" w:sz="0" w:space="0" w:color="000000"/>
              <w:bottom w:val="single" w:sz="0" w:space="0" w:color="000000"/>
            </w:tcBorders>
          </w:tcPr>
          <w:p>
            <w:pPr>
              <w:pStyle w:val="TableParagraph"/>
              <w:spacing w:before="122"/>
              <w:ind w:right="84"/>
              <w:jc w:val="right"/>
              <w:rPr>
                <w:sz w:val="18"/>
              </w:rPr>
            </w:pPr>
            <w:r>
              <w:rPr>
                <w:w w:val="95"/>
                <w:sz w:val="18"/>
              </w:rPr>
              <w:t>256,250</w:t>
            </w:r>
          </w:p>
        </w:tc>
      </w:tr>
      <w:tr>
        <w:trPr>
          <w:trHeight w:val="579" w:hRule="exact"/>
        </w:trPr>
        <w:tc>
          <w:tcPr>
            <w:tcW w:w="5906" w:type="dxa"/>
          </w:tcPr>
          <w:p>
            <w:pPr>
              <w:pStyle w:val="TableParagraph"/>
              <w:rPr>
                <w:i/>
                <w:sz w:val="18"/>
              </w:rPr>
            </w:pPr>
          </w:p>
          <w:p>
            <w:pPr>
              <w:pStyle w:val="TableParagraph"/>
              <w:spacing w:before="127"/>
              <w:ind w:left="79"/>
              <w:rPr>
                <w:b/>
                <w:sz w:val="18"/>
              </w:rPr>
            </w:pPr>
            <w:r>
              <w:rPr>
                <w:b/>
                <w:sz w:val="18"/>
              </w:rPr>
              <w:t>Net increase (decrease) in cash and cash equivalents</w:t>
            </w:r>
          </w:p>
        </w:tc>
        <w:tc>
          <w:tcPr>
            <w:tcW w:w="1735" w:type="dxa"/>
          </w:tcPr>
          <w:p>
            <w:pPr/>
          </w:p>
        </w:tc>
        <w:tc>
          <w:tcPr>
            <w:tcW w:w="1410" w:type="dxa"/>
            <w:tcBorders>
              <w:top w:val="single" w:sz="0" w:space="0" w:color="000000"/>
            </w:tcBorders>
          </w:tcPr>
          <w:p>
            <w:pPr>
              <w:pStyle w:val="TableParagraph"/>
              <w:rPr>
                <w:i/>
                <w:sz w:val="18"/>
              </w:rPr>
            </w:pPr>
          </w:p>
          <w:p>
            <w:pPr>
              <w:pStyle w:val="TableParagraph"/>
              <w:spacing w:before="127"/>
              <w:ind w:right="195"/>
              <w:jc w:val="right"/>
              <w:rPr>
                <w:b/>
                <w:sz w:val="18"/>
              </w:rPr>
            </w:pPr>
            <w:r>
              <w:rPr>
                <w:b/>
                <w:w w:val="95"/>
                <w:sz w:val="18"/>
              </w:rPr>
              <w:t>1,747,476</w:t>
            </w:r>
          </w:p>
        </w:tc>
        <w:tc>
          <w:tcPr>
            <w:tcW w:w="1184" w:type="dxa"/>
            <w:tcBorders>
              <w:top w:val="single" w:sz="0" w:space="0" w:color="000000"/>
            </w:tcBorders>
          </w:tcPr>
          <w:p>
            <w:pPr>
              <w:pStyle w:val="TableParagraph"/>
              <w:rPr>
                <w:i/>
                <w:sz w:val="18"/>
              </w:rPr>
            </w:pPr>
          </w:p>
          <w:p>
            <w:pPr>
              <w:pStyle w:val="TableParagraph"/>
              <w:spacing w:before="127"/>
              <w:ind w:right="24"/>
              <w:jc w:val="right"/>
              <w:rPr>
                <w:sz w:val="18"/>
              </w:rPr>
            </w:pPr>
            <w:r>
              <w:rPr>
                <w:w w:val="95"/>
                <w:sz w:val="18"/>
              </w:rPr>
              <w:t>(199,642)</w:t>
            </w:r>
          </w:p>
        </w:tc>
      </w:tr>
      <w:tr>
        <w:trPr>
          <w:trHeight w:val="263" w:hRule="exact"/>
        </w:trPr>
        <w:tc>
          <w:tcPr>
            <w:tcW w:w="5906" w:type="dxa"/>
          </w:tcPr>
          <w:p>
            <w:pPr>
              <w:pStyle w:val="TableParagraph"/>
              <w:spacing w:before="18"/>
              <w:ind w:left="79"/>
              <w:rPr>
                <w:sz w:val="18"/>
              </w:rPr>
            </w:pPr>
            <w:r>
              <w:rPr>
                <w:sz w:val="18"/>
              </w:rPr>
              <w:t>Cash and cash equivalents at beginning of financial year</w:t>
            </w:r>
          </w:p>
        </w:tc>
        <w:tc>
          <w:tcPr>
            <w:tcW w:w="1735" w:type="dxa"/>
          </w:tcPr>
          <w:p>
            <w:pPr/>
          </w:p>
        </w:tc>
        <w:tc>
          <w:tcPr>
            <w:tcW w:w="1410" w:type="dxa"/>
            <w:tcBorders>
              <w:bottom w:val="single" w:sz="0" w:space="0" w:color="000000"/>
            </w:tcBorders>
          </w:tcPr>
          <w:p>
            <w:pPr>
              <w:pStyle w:val="TableParagraph"/>
              <w:spacing w:before="19"/>
              <w:ind w:right="195"/>
              <w:jc w:val="right"/>
              <w:rPr>
                <w:b/>
                <w:sz w:val="18"/>
              </w:rPr>
            </w:pPr>
            <w:r>
              <w:rPr>
                <w:b/>
                <w:w w:val="95"/>
                <w:sz w:val="18"/>
              </w:rPr>
              <w:t>534,311</w:t>
            </w:r>
          </w:p>
        </w:tc>
        <w:tc>
          <w:tcPr>
            <w:tcW w:w="1184" w:type="dxa"/>
            <w:tcBorders>
              <w:bottom w:val="single" w:sz="0" w:space="0" w:color="000000"/>
            </w:tcBorders>
          </w:tcPr>
          <w:p>
            <w:pPr>
              <w:pStyle w:val="TableParagraph"/>
              <w:spacing w:before="19"/>
              <w:ind w:right="84"/>
              <w:jc w:val="right"/>
              <w:rPr>
                <w:sz w:val="18"/>
              </w:rPr>
            </w:pPr>
            <w:r>
              <w:rPr>
                <w:w w:val="95"/>
                <w:sz w:val="18"/>
              </w:rPr>
              <w:t>733,953</w:t>
            </w:r>
          </w:p>
        </w:tc>
      </w:tr>
      <w:tr>
        <w:trPr>
          <w:trHeight w:val="353" w:hRule="exact"/>
        </w:trPr>
        <w:tc>
          <w:tcPr>
            <w:tcW w:w="9051" w:type="dxa"/>
            <w:gridSpan w:val="3"/>
          </w:tcPr>
          <w:p>
            <w:pPr>
              <w:pStyle w:val="TableParagraph"/>
              <w:tabs>
                <w:tab w:pos="7310" w:val="left" w:leader="none"/>
                <w:tab w:pos="8052" w:val="left" w:leader="none"/>
              </w:tabs>
              <w:spacing w:before="29"/>
              <w:ind w:left="79"/>
              <w:rPr>
                <w:b/>
                <w:sz w:val="18"/>
              </w:rPr>
            </w:pPr>
            <w:r>
              <w:rPr>
                <w:b/>
                <w:sz w:val="18"/>
              </w:rPr>
              <w:t>Cash and cash equivalents at end of</w:t>
            </w:r>
            <w:r>
              <w:rPr>
                <w:b/>
                <w:spacing w:val="-1"/>
                <w:sz w:val="18"/>
              </w:rPr>
              <w:t> </w:t>
            </w:r>
            <w:r>
              <w:rPr>
                <w:b/>
                <w:sz w:val="18"/>
              </w:rPr>
              <w:t>financial</w:t>
            </w:r>
            <w:r>
              <w:rPr>
                <w:b/>
                <w:spacing w:val="-1"/>
                <w:sz w:val="18"/>
              </w:rPr>
              <w:t> </w:t>
            </w:r>
            <w:r>
              <w:rPr>
                <w:b/>
                <w:sz w:val="18"/>
              </w:rPr>
              <w:t>year</w:t>
              <w:tab/>
            </w:r>
            <w:r>
              <w:rPr>
                <w:sz w:val="18"/>
              </w:rPr>
              <w:t>5</w:t>
              <w:tab/>
            </w:r>
            <w:r>
              <w:rPr>
                <w:b/>
                <w:position w:val="-7"/>
                <w:sz w:val="18"/>
              </w:rPr>
              <w:t>2,281,787</w:t>
            </w:r>
          </w:p>
        </w:tc>
        <w:tc>
          <w:tcPr>
            <w:tcW w:w="1184" w:type="dxa"/>
            <w:tcBorders>
              <w:bottom w:val="single" w:sz="0" w:space="0" w:color="000000"/>
            </w:tcBorders>
          </w:tcPr>
          <w:p>
            <w:pPr>
              <w:pStyle w:val="TableParagraph"/>
              <w:spacing w:before="113"/>
              <w:ind w:right="84"/>
              <w:jc w:val="right"/>
              <w:rPr>
                <w:sz w:val="18"/>
              </w:rPr>
            </w:pPr>
            <w:r>
              <w:rPr>
                <w:w w:val="95"/>
                <w:sz w:val="18"/>
              </w:rPr>
              <w:t>534,311</w:t>
            </w:r>
          </w:p>
        </w:tc>
      </w:tr>
    </w:tbl>
    <w:p>
      <w:pPr>
        <w:pStyle w:val="BodyText"/>
        <w:rPr>
          <w:i/>
          <w:sz w:val="20"/>
        </w:rPr>
      </w:pPr>
    </w:p>
    <w:p>
      <w:pPr>
        <w:pStyle w:val="BodyText"/>
        <w:rPr>
          <w:i/>
          <w:sz w:val="20"/>
        </w:rPr>
      </w:pPr>
    </w:p>
    <w:p>
      <w:pPr>
        <w:pStyle w:val="BodyText"/>
        <w:spacing w:before="5"/>
        <w:rPr>
          <w:i/>
          <w:sz w:val="17"/>
        </w:rPr>
      </w:pPr>
    </w:p>
    <w:p>
      <w:pPr>
        <w:spacing w:before="0"/>
        <w:ind w:left="145" w:right="139" w:firstLine="0"/>
        <w:jc w:val="left"/>
        <w:rPr>
          <w:i/>
          <w:sz w:val="18"/>
        </w:rPr>
      </w:pPr>
      <w:r>
        <w:rPr>
          <w:i/>
          <w:sz w:val="18"/>
        </w:rPr>
        <w:t>The above statement of cash flows should be read in conjunction with the accompanying notes.</w:t>
      </w:r>
    </w:p>
    <w:p>
      <w:pPr>
        <w:spacing w:after="0"/>
        <w:jc w:val="left"/>
        <w:rPr>
          <w:sz w:val="18"/>
        </w:rPr>
        <w:sectPr>
          <w:pgSz w:w="11910" w:h="16840"/>
          <w:pgMar w:header="936" w:footer="526" w:top="1300" w:bottom="700" w:left="760" w:right="680"/>
        </w:sectPr>
      </w:pPr>
    </w:p>
    <w:p>
      <w:pPr>
        <w:pStyle w:val="BodyText"/>
        <w:rPr>
          <w:i/>
          <w:sz w:val="20"/>
        </w:rPr>
      </w:pPr>
    </w:p>
    <w:p>
      <w:pPr>
        <w:pStyle w:val="BodyText"/>
        <w:spacing w:before="3"/>
        <w:rPr>
          <w:i/>
          <w:sz w:val="26"/>
        </w:rPr>
      </w:pPr>
    </w:p>
    <w:p>
      <w:pPr>
        <w:pStyle w:val="Heading9"/>
        <w:tabs>
          <w:tab w:pos="501" w:val="left" w:leader="none"/>
        </w:tabs>
        <w:spacing w:before="77"/>
        <w:ind w:left="105" w:right="118"/>
      </w:pPr>
      <w:r>
        <w:rPr/>
        <w:t>1</w:t>
        <w:tab/>
        <w:t>Summary of significant accounting</w:t>
      </w:r>
      <w:r>
        <w:rPr>
          <w:spacing w:val="-3"/>
        </w:rPr>
        <w:t> </w:t>
      </w:r>
      <w:r>
        <w:rPr/>
        <w:t>policies</w:t>
      </w:r>
    </w:p>
    <w:p>
      <w:pPr>
        <w:pStyle w:val="BodyText"/>
        <w:spacing w:before="7"/>
        <w:rPr>
          <w:b/>
          <w:sz w:val="14"/>
        </w:rPr>
      </w:pPr>
    </w:p>
    <w:p>
      <w:pPr>
        <w:pStyle w:val="ListParagraph"/>
        <w:numPr>
          <w:ilvl w:val="0"/>
          <w:numId w:val="98"/>
        </w:numPr>
        <w:tabs>
          <w:tab w:pos="502" w:val="left" w:leader="none"/>
        </w:tabs>
        <w:spacing w:line="240" w:lineRule="auto" w:before="0" w:after="0"/>
        <w:ind w:left="502" w:right="0" w:hanging="396"/>
        <w:jc w:val="left"/>
        <w:rPr>
          <w:b/>
          <w:sz w:val="18"/>
        </w:rPr>
      </w:pPr>
      <w:r>
        <w:rPr>
          <w:b/>
          <w:sz w:val="18"/>
        </w:rPr>
        <w:t>Basis of</w:t>
      </w:r>
      <w:r>
        <w:rPr>
          <w:b/>
          <w:spacing w:val="-1"/>
          <w:sz w:val="18"/>
        </w:rPr>
        <w:t> </w:t>
      </w:r>
      <w:r>
        <w:rPr>
          <w:b/>
          <w:sz w:val="18"/>
        </w:rPr>
        <w:t>preparation</w:t>
      </w:r>
    </w:p>
    <w:p>
      <w:pPr>
        <w:pStyle w:val="BodyText"/>
        <w:spacing w:before="7"/>
        <w:rPr>
          <w:b/>
          <w:sz w:val="14"/>
        </w:rPr>
      </w:pPr>
    </w:p>
    <w:p>
      <w:pPr>
        <w:pStyle w:val="BodyText"/>
        <w:ind w:left="105" w:right="118"/>
      </w:pPr>
      <w:r>
        <w:rPr/>
        <w:t>These financial statements are prepared on an accruals basis and in accordance with Australian Accounting Standards, the Corporations Act 2001, Section 41B(1) of the Public Finance &amp; Audit Act 1983, Public Finance and Audit Regulation 2010, other authoritative pronouncements of the Australian Accounting Standards Board and Urgent Issues Group Interpretations.</w:t>
      </w:r>
    </w:p>
    <w:p>
      <w:pPr>
        <w:pStyle w:val="BodyText"/>
        <w:spacing w:before="6"/>
        <w:rPr>
          <w:sz w:val="24"/>
        </w:rPr>
      </w:pPr>
    </w:p>
    <w:p>
      <w:pPr>
        <w:pStyle w:val="ListParagraph"/>
        <w:numPr>
          <w:ilvl w:val="0"/>
          <w:numId w:val="99"/>
        </w:numPr>
        <w:tabs>
          <w:tab w:pos="502" w:val="left" w:leader="none"/>
        </w:tabs>
        <w:spacing w:line="207" w:lineRule="exact" w:before="0" w:after="0"/>
        <w:ind w:left="502" w:right="0" w:hanging="396"/>
        <w:jc w:val="left"/>
        <w:rPr>
          <w:i/>
          <w:sz w:val="18"/>
        </w:rPr>
      </w:pPr>
      <w:r>
        <w:rPr>
          <w:i/>
          <w:sz w:val="18"/>
        </w:rPr>
        <w:t>Compliance with</w:t>
      </w:r>
      <w:r>
        <w:rPr>
          <w:i/>
          <w:spacing w:val="-1"/>
          <w:sz w:val="18"/>
        </w:rPr>
        <w:t> </w:t>
      </w:r>
      <w:r>
        <w:rPr>
          <w:i/>
          <w:sz w:val="18"/>
        </w:rPr>
        <w:t>IFRS</w:t>
      </w:r>
    </w:p>
    <w:p>
      <w:pPr>
        <w:pStyle w:val="BodyText"/>
        <w:ind w:left="105" w:right="380"/>
      </w:pPr>
      <w:r>
        <w:rPr/>
        <w:t>The financial statements of the Company comply with Australian Accounting Standards, some of which contain requirements specific to not for profit entities that are inconsistent with International Financial Reporting Standards (IFRS) requirements.</w:t>
      </w:r>
    </w:p>
    <w:p>
      <w:pPr>
        <w:pStyle w:val="BodyText"/>
        <w:spacing w:before="6"/>
        <w:rPr>
          <w:sz w:val="24"/>
        </w:rPr>
      </w:pPr>
    </w:p>
    <w:p>
      <w:pPr>
        <w:pStyle w:val="ListParagraph"/>
        <w:numPr>
          <w:ilvl w:val="0"/>
          <w:numId w:val="99"/>
        </w:numPr>
        <w:tabs>
          <w:tab w:pos="502" w:val="left" w:leader="none"/>
        </w:tabs>
        <w:spacing w:line="207" w:lineRule="exact" w:before="0" w:after="0"/>
        <w:ind w:left="502" w:right="0" w:hanging="396"/>
        <w:jc w:val="left"/>
        <w:rPr>
          <w:i/>
          <w:sz w:val="18"/>
        </w:rPr>
      </w:pPr>
      <w:r>
        <w:rPr>
          <w:i/>
          <w:sz w:val="18"/>
        </w:rPr>
        <w:t>Historical cost</w:t>
      </w:r>
      <w:r>
        <w:rPr>
          <w:i/>
          <w:spacing w:val="-1"/>
          <w:sz w:val="18"/>
        </w:rPr>
        <w:t> </w:t>
      </w:r>
      <w:r>
        <w:rPr>
          <w:i/>
          <w:sz w:val="18"/>
        </w:rPr>
        <w:t>convention</w:t>
      </w:r>
    </w:p>
    <w:p>
      <w:pPr>
        <w:pStyle w:val="BodyText"/>
        <w:ind w:left="105" w:right="149"/>
      </w:pPr>
      <w:r>
        <w:rPr/>
        <w:t>These financial statements are prepared in accordance with the historical cost convention, except for certain assets which, as noted, are at fair value. Unless otherwise stated, the accounting policies adopted are consistent with those of the previous year.</w:t>
      </w:r>
    </w:p>
    <w:p>
      <w:pPr>
        <w:pStyle w:val="BodyText"/>
        <w:spacing w:before="7"/>
        <w:rPr>
          <w:sz w:val="14"/>
        </w:rPr>
      </w:pPr>
    </w:p>
    <w:p>
      <w:pPr>
        <w:pStyle w:val="BodyText"/>
        <w:ind w:left="106" w:right="118"/>
      </w:pPr>
      <w:r>
        <w:rPr/>
        <w:t>Comparative information is reclassified, where appropriate, to conform with the current year’s presentation.</w:t>
      </w:r>
    </w:p>
    <w:p>
      <w:pPr>
        <w:pStyle w:val="BodyText"/>
        <w:spacing w:before="6"/>
        <w:rPr>
          <w:sz w:val="24"/>
        </w:rPr>
      </w:pPr>
    </w:p>
    <w:p>
      <w:pPr>
        <w:pStyle w:val="ListParagraph"/>
        <w:numPr>
          <w:ilvl w:val="0"/>
          <w:numId w:val="99"/>
        </w:numPr>
        <w:tabs>
          <w:tab w:pos="502" w:val="left" w:leader="none"/>
        </w:tabs>
        <w:spacing w:line="207" w:lineRule="exact" w:before="0" w:after="0"/>
        <w:ind w:left="501" w:right="0" w:hanging="395"/>
        <w:jc w:val="left"/>
        <w:rPr>
          <w:i/>
          <w:sz w:val="18"/>
        </w:rPr>
      </w:pPr>
      <w:r>
        <w:rPr>
          <w:i/>
          <w:sz w:val="18"/>
        </w:rPr>
        <w:t>Critical accounting</w:t>
      </w:r>
      <w:r>
        <w:rPr>
          <w:i/>
          <w:spacing w:val="-1"/>
          <w:sz w:val="18"/>
        </w:rPr>
        <w:t> </w:t>
      </w:r>
      <w:r>
        <w:rPr>
          <w:i/>
          <w:sz w:val="18"/>
        </w:rPr>
        <w:t>estimates</w:t>
      </w:r>
    </w:p>
    <w:p>
      <w:pPr>
        <w:pStyle w:val="BodyText"/>
        <w:ind w:left="106" w:right="108"/>
      </w:pPr>
      <w:r>
        <w:rPr/>
        <w:t>The preparation of financial statements requires the use of certain critical accounting estimates. It also requires management to exercise its judgement in the process of applying the Company's accounting policies. Estimates and judgments are continually evaluated and are based on historic experience and other factors, including expectations of future events that may have a financial impact on the Company and that are believed to be reasonable under the circumstances. Actual results may differ from these estimates. These accounting policies have been consistently applied to all periods in the financial statements. The estimates and assumptions are reviewed on an ongoing basis. Revisions to any estimates are recognised in the period in which the estimate is reviewed, if the revision affects only that period or in the period of the revision and the future periods if the revision affects both current and future periods.</w:t>
      </w:r>
    </w:p>
    <w:p>
      <w:pPr>
        <w:pStyle w:val="BodyText"/>
        <w:spacing w:before="6"/>
        <w:rPr>
          <w:sz w:val="14"/>
        </w:rPr>
      </w:pPr>
    </w:p>
    <w:p>
      <w:pPr>
        <w:pStyle w:val="Heading9"/>
        <w:numPr>
          <w:ilvl w:val="0"/>
          <w:numId w:val="98"/>
        </w:numPr>
        <w:tabs>
          <w:tab w:pos="502" w:val="left" w:leader="none"/>
        </w:tabs>
        <w:spacing w:line="240" w:lineRule="auto" w:before="0" w:after="0"/>
        <w:ind w:left="502" w:right="0" w:hanging="396"/>
        <w:jc w:val="left"/>
      </w:pPr>
      <w:r>
        <w:rPr/>
        <w:t>Revenue</w:t>
      </w:r>
      <w:r>
        <w:rPr>
          <w:spacing w:val="-1"/>
        </w:rPr>
        <w:t> </w:t>
      </w:r>
      <w:r>
        <w:rPr/>
        <w:t>recognition</w:t>
      </w:r>
    </w:p>
    <w:p>
      <w:pPr>
        <w:pStyle w:val="BodyText"/>
        <w:spacing w:before="7"/>
        <w:rPr>
          <w:b/>
          <w:sz w:val="14"/>
        </w:rPr>
      </w:pPr>
    </w:p>
    <w:p>
      <w:pPr>
        <w:pStyle w:val="BodyText"/>
        <w:ind w:left="106" w:right="137"/>
      </w:pPr>
      <w:r>
        <w:rPr/>
        <w:t>When required by Accounting Standards, comparative figures have been adjusted to conform to changes in presentation for the current financial year.</w:t>
      </w:r>
    </w:p>
    <w:p>
      <w:pPr>
        <w:pStyle w:val="BodyText"/>
        <w:spacing w:before="7"/>
        <w:rPr>
          <w:sz w:val="14"/>
        </w:rPr>
      </w:pPr>
    </w:p>
    <w:p>
      <w:pPr>
        <w:pStyle w:val="BodyText"/>
        <w:ind w:left="105" w:right="459"/>
      </w:pPr>
      <w:r>
        <w:rPr/>
        <w:t>Revenue is measured at the fair value of the consideration received or receivable. Amounts disclosed as revenue are net of returns, trade allowances, rebates and amounts collected on behalf of third parties.</w:t>
      </w:r>
    </w:p>
    <w:p>
      <w:pPr>
        <w:pStyle w:val="BodyText"/>
        <w:spacing w:before="7"/>
        <w:rPr>
          <w:sz w:val="14"/>
        </w:rPr>
      </w:pPr>
    </w:p>
    <w:p>
      <w:pPr>
        <w:pStyle w:val="BodyText"/>
        <w:ind w:left="105" w:right="99"/>
      </w:pPr>
      <w:r>
        <w:rPr/>
        <w:t>The Company recognises revenue when the amount of revenue can be reliably measured, it is probable that future economic benefits will flow to the entity and specific criteria have been met for each of the Company's activities as described below. The Company bases its estimates on historical results, taking into consideration the type of customer, the type of transaction and the specifics of each arrangement.</w:t>
      </w:r>
    </w:p>
    <w:p>
      <w:pPr>
        <w:pStyle w:val="BodyText"/>
        <w:spacing w:before="7"/>
        <w:rPr>
          <w:sz w:val="14"/>
        </w:rPr>
      </w:pPr>
    </w:p>
    <w:p>
      <w:pPr>
        <w:pStyle w:val="BodyText"/>
        <w:ind w:left="105" w:right="118"/>
      </w:pPr>
      <w:r>
        <w:rPr/>
        <w:t>Revenue is recognised for the major business activities as follows:</w:t>
      </w:r>
    </w:p>
    <w:p>
      <w:pPr>
        <w:pStyle w:val="BodyText"/>
        <w:spacing w:before="6"/>
        <w:rPr>
          <w:sz w:val="24"/>
        </w:rPr>
      </w:pPr>
    </w:p>
    <w:p>
      <w:pPr>
        <w:pStyle w:val="ListParagraph"/>
        <w:numPr>
          <w:ilvl w:val="0"/>
          <w:numId w:val="100"/>
        </w:numPr>
        <w:tabs>
          <w:tab w:pos="502" w:val="left" w:leader="none"/>
        </w:tabs>
        <w:spacing w:line="207" w:lineRule="exact" w:before="0" w:after="0"/>
        <w:ind w:left="501" w:right="0" w:hanging="396"/>
        <w:jc w:val="left"/>
        <w:rPr>
          <w:i/>
          <w:sz w:val="18"/>
        </w:rPr>
      </w:pPr>
      <w:r>
        <w:rPr>
          <w:i/>
          <w:sz w:val="18"/>
        </w:rPr>
        <w:t>Sale of goods and rendering of</w:t>
      </w:r>
      <w:r>
        <w:rPr>
          <w:i/>
          <w:spacing w:val="-1"/>
          <w:sz w:val="18"/>
        </w:rPr>
        <w:t> </w:t>
      </w:r>
      <w:r>
        <w:rPr>
          <w:i/>
          <w:sz w:val="18"/>
        </w:rPr>
        <w:t>services</w:t>
      </w:r>
    </w:p>
    <w:p>
      <w:pPr>
        <w:pStyle w:val="BodyText"/>
        <w:ind w:left="105" w:right="188"/>
      </w:pPr>
      <w:r>
        <w:rPr/>
        <w:t>A sale is recorded when goods have been delivered to the customer, the customer has accepted the goods and collectability of the related receivables is probable. Revenue from rendering of services is recognised when that service has been provided.</w:t>
      </w:r>
    </w:p>
    <w:p>
      <w:pPr>
        <w:pStyle w:val="BodyText"/>
        <w:spacing w:before="6"/>
        <w:rPr>
          <w:sz w:val="24"/>
        </w:rPr>
      </w:pPr>
    </w:p>
    <w:p>
      <w:pPr>
        <w:pStyle w:val="ListParagraph"/>
        <w:numPr>
          <w:ilvl w:val="0"/>
          <w:numId w:val="100"/>
        </w:numPr>
        <w:tabs>
          <w:tab w:pos="502" w:val="left" w:leader="none"/>
        </w:tabs>
        <w:spacing w:line="207" w:lineRule="exact" w:before="0" w:after="0"/>
        <w:ind w:left="501" w:right="0" w:hanging="396"/>
        <w:jc w:val="left"/>
        <w:rPr>
          <w:i/>
          <w:sz w:val="18"/>
        </w:rPr>
      </w:pPr>
      <w:r>
        <w:rPr>
          <w:i/>
          <w:sz w:val="18"/>
        </w:rPr>
        <w:t>Other</w:t>
      </w:r>
      <w:r>
        <w:rPr>
          <w:i/>
          <w:spacing w:val="-1"/>
          <w:sz w:val="18"/>
        </w:rPr>
        <w:t> </w:t>
      </w:r>
      <w:r>
        <w:rPr>
          <w:i/>
          <w:sz w:val="18"/>
        </w:rPr>
        <w:t>revenue</w:t>
      </w:r>
    </w:p>
    <w:p>
      <w:pPr>
        <w:pStyle w:val="BodyText"/>
        <w:spacing w:line="207" w:lineRule="exact"/>
        <w:ind w:left="105" w:right="118"/>
      </w:pPr>
      <w:r>
        <w:rPr/>
        <w:t>All other material revenue is accounted for on an accrual basis.</w:t>
      </w:r>
    </w:p>
    <w:p>
      <w:pPr>
        <w:pStyle w:val="BodyText"/>
        <w:spacing w:before="7"/>
        <w:rPr>
          <w:sz w:val="14"/>
        </w:rPr>
      </w:pPr>
    </w:p>
    <w:p>
      <w:pPr>
        <w:pStyle w:val="BodyText"/>
        <w:ind w:left="105" w:right="118"/>
      </w:pPr>
      <w:r>
        <w:rPr/>
        <w:t>Comparative figures have been adjusted to conform to changes in presentation for the current financial year where required by Australian Accounting Standards or as a result of a change in accounting policy.</w:t>
      </w:r>
    </w:p>
    <w:p>
      <w:pPr>
        <w:pStyle w:val="BodyText"/>
        <w:spacing w:before="7"/>
        <w:rPr>
          <w:sz w:val="14"/>
        </w:rPr>
      </w:pPr>
    </w:p>
    <w:p>
      <w:pPr>
        <w:pStyle w:val="Heading9"/>
        <w:numPr>
          <w:ilvl w:val="0"/>
          <w:numId w:val="98"/>
        </w:numPr>
        <w:tabs>
          <w:tab w:pos="502" w:val="left" w:leader="none"/>
        </w:tabs>
        <w:spacing w:line="240" w:lineRule="auto" w:before="0" w:after="0"/>
        <w:ind w:left="502" w:right="0" w:hanging="396"/>
        <w:jc w:val="left"/>
      </w:pPr>
      <w:r>
        <w:rPr/>
        <w:t>Finance</w:t>
      </w:r>
      <w:r>
        <w:rPr>
          <w:spacing w:val="-1"/>
        </w:rPr>
        <w:t> </w:t>
      </w:r>
      <w:r>
        <w:rPr/>
        <w:t>costs</w:t>
      </w:r>
    </w:p>
    <w:p>
      <w:pPr>
        <w:pStyle w:val="BodyText"/>
        <w:spacing w:before="7"/>
        <w:rPr>
          <w:b/>
          <w:sz w:val="14"/>
        </w:rPr>
      </w:pPr>
    </w:p>
    <w:p>
      <w:pPr>
        <w:pStyle w:val="BodyText"/>
        <w:ind w:left="105" w:right="118"/>
      </w:pPr>
      <w:r>
        <w:rPr/>
        <w:t>Finance costs relating to the University of Western Sydney loan facilities are expensed.</w:t>
      </w:r>
    </w:p>
    <w:p>
      <w:pPr>
        <w:pStyle w:val="BodyText"/>
        <w:spacing w:before="7"/>
        <w:rPr>
          <w:sz w:val="14"/>
        </w:rPr>
      </w:pPr>
    </w:p>
    <w:p>
      <w:pPr>
        <w:pStyle w:val="Heading9"/>
        <w:numPr>
          <w:ilvl w:val="0"/>
          <w:numId w:val="98"/>
        </w:numPr>
        <w:tabs>
          <w:tab w:pos="502" w:val="left" w:leader="none"/>
        </w:tabs>
        <w:spacing w:line="240" w:lineRule="auto" w:before="0" w:after="0"/>
        <w:ind w:left="502" w:right="0" w:hanging="396"/>
        <w:jc w:val="left"/>
      </w:pPr>
      <w:r>
        <w:rPr/>
        <w:t>Income</w:t>
      </w:r>
      <w:r>
        <w:rPr>
          <w:spacing w:val="-1"/>
        </w:rPr>
        <w:t> </w:t>
      </w:r>
      <w:r>
        <w:rPr/>
        <w:t>tax</w:t>
      </w:r>
    </w:p>
    <w:p>
      <w:pPr>
        <w:pStyle w:val="BodyText"/>
        <w:spacing w:before="7"/>
        <w:rPr>
          <w:b/>
          <w:sz w:val="14"/>
        </w:rPr>
      </w:pPr>
    </w:p>
    <w:p>
      <w:pPr>
        <w:pStyle w:val="BodyText"/>
        <w:ind w:left="105" w:right="1080"/>
      </w:pPr>
      <w:r>
        <w:rPr/>
        <w:t>The Company is exempt from the payment of tax by virtue of section 50-B of the Income Tax Assessment Act 1997. Accordingly, no provision for income tax liability or future income tax benefit has been included in the accounts.</w:t>
      </w:r>
    </w:p>
    <w:p>
      <w:pPr>
        <w:spacing w:after="0"/>
        <w:sectPr>
          <w:headerReference w:type="default" r:id="rId217"/>
          <w:pgSz w:w="11910" w:h="16840"/>
          <w:pgMar w:header="936" w:footer="526" w:top="2040" w:bottom="700" w:left="800" w:right="700"/>
        </w:sectPr>
      </w:pPr>
    </w:p>
    <w:p>
      <w:pPr>
        <w:pStyle w:val="BodyText"/>
        <w:rPr>
          <w:sz w:val="20"/>
        </w:rPr>
      </w:pPr>
    </w:p>
    <w:p>
      <w:pPr>
        <w:pStyle w:val="BodyText"/>
        <w:rPr>
          <w:sz w:val="20"/>
        </w:rPr>
      </w:pPr>
    </w:p>
    <w:p>
      <w:pPr>
        <w:pStyle w:val="BodyText"/>
        <w:spacing w:before="4"/>
      </w:pPr>
    </w:p>
    <w:p>
      <w:pPr>
        <w:pStyle w:val="Heading9"/>
        <w:tabs>
          <w:tab w:pos="501" w:val="left" w:leader="none"/>
        </w:tabs>
        <w:ind w:left="105" w:right="118"/>
      </w:pPr>
      <w:r>
        <w:rPr/>
        <w:t>1</w:t>
        <w:tab/>
        <w:t>Summary of significant accounting</w:t>
      </w:r>
      <w:r>
        <w:rPr>
          <w:spacing w:val="-3"/>
        </w:rPr>
        <w:t> </w:t>
      </w:r>
      <w:r>
        <w:rPr/>
        <w:t>policies</w:t>
      </w:r>
    </w:p>
    <w:p>
      <w:pPr>
        <w:pStyle w:val="BodyText"/>
        <w:spacing w:before="7"/>
        <w:rPr>
          <w:b/>
          <w:sz w:val="14"/>
        </w:rPr>
      </w:pPr>
    </w:p>
    <w:p>
      <w:pPr>
        <w:pStyle w:val="ListParagraph"/>
        <w:numPr>
          <w:ilvl w:val="0"/>
          <w:numId w:val="98"/>
        </w:numPr>
        <w:tabs>
          <w:tab w:pos="502" w:val="left" w:leader="none"/>
        </w:tabs>
        <w:spacing w:line="240" w:lineRule="auto" w:before="0" w:after="0"/>
        <w:ind w:left="502" w:right="0" w:hanging="396"/>
        <w:jc w:val="left"/>
        <w:rPr>
          <w:b/>
          <w:sz w:val="18"/>
        </w:rPr>
      </w:pPr>
      <w:r>
        <w:rPr>
          <w:b/>
          <w:sz w:val="18"/>
        </w:rPr>
        <w:t>Cash and cash</w:t>
      </w:r>
      <w:r>
        <w:rPr>
          <w:b/>
          <w:spacing w:val="-1"/>
          <w:sz w:val="18"/>
        </w:rPr>
        <w:t> </w:t>
      </w:r>
      <w:r>
        <w:rPr>
          <w:b/>
          <w:sz w:val="18"/>
        </w:rPr>
        <w:t>equivalents</w:t>
      </w:r>
    </w:p>
    <w:p>
      <w:pPr>
        <w:pStyle w:val="BodyText"/>
        <w:spacing w:before="7"/>
        <w:rPr>
          <w:b/>
          <w:sz w:val="14"/>
        </w:rPr>
      </w:pPr>
    </w:p>
    <w:p>
      <w:pPr>
        <w:pStyle w:val="BodyText"/>
        <w:ind w:left="105" w:right="308"/>
      </w:pPr>
      <w:r>
        <w:rPr/>
        <w:t>For the purpose of presentation in the statement of cash flows, cash and cash equivalents includes cash on hand and cash at bank.</w:t>
      </w:r>
    </w:p>
    <w:p>
      <w:pPr>
        <w:pStyle w:val="BodyText"/>
        <w:spacing w:before="7"/>
        <w:rPr>
          <w:sz w:val="14"/>
        </w:rPr>
      </w:pPr>
    </w:p>
    <w:p>
      <w:pPr>
        <w:pStyle w:val="Heading9"/>
        <w:numPr>
          <w:ilvl w:val="0"/>
          <w:numId w:val="98"/>
        </w:numPr>
        <w:tabs>
          <w:tab w:pos="502" w:val="left" w:leader="none"/>
        </w:tabs>
        <w:spacing w:line="240" w:lineRule="auto" w:before="0" w:after="0"/>
        <w:ind w:left="502" w:right="0" w:hanging="396"/>
        <w:jc w:val="left"/>
      </w:pPr>
      <w:r>
        <w:rPr/>
        <w:t>Trade</w:t>
      </w:r>
      <w:r>
        <w:rPr>
          <w:spacing w:val="-1"/>
        </w:rPr>
        <w:t> </w:t>
      </w:r>
      <w:r>
        <w:rPr/>
        <w:t>receivables</w:t>
      </w:r>
    </w:p>
    <w:p>
      <w:pPr>
        <w:pStyle w:val="BodyText"/>
        <w:spacing w:before="7"/>
        <w:rPr>
          <w:b/>
          <w:sz w:val="14"/>
        </w:rPr>
      </w:pPr>
    </w:p>
    <w:p>
      <w:pPr>
        <w:pStyle w:val="BodyText"/>
        <w:ind w:left="105" w:right="129"/>
      </w:pPr>
      <w:r>
        <w:rPr/>
        <w:t>Trade receivables are recognised initially at fair value and subsequently measured at amortised cost using the effective interest method, less provision for impairment. The amount of the provision is recognised in the income statements. This is recognised as the difference between the assets carrying amount and the present value of estimated future cash flows, discounted at the effective interest rate. Collectability of trade receivables is reviewed on an ongoing basis at board level. Individual debts that are known to be uncollectible are written off when identified.</w:t>
      </w:r>
    </w:p>
    <w:p>
      <w:pPr>
        <w:pStyle w:val="BodyText"/>
        <w:spacing w:before="7"/>
        <w:rPr>
          <w:sz w:val="14"/>
        </w:rPr>
      </w:pPr>
    </w:p>
    <w:p>
      <w:pPr>
        <w:pStyle w:val="BodyText"/>
        <w:ind w:left="105" w:right="89"/>
      </w:pPr>
      <w:r>
        <w:rPr/>
        <w:t>Short term receivables, with no stated interest rates, are measured at the original invoice amount where the effect of discounting is immaterial.</w:t>
      </w:r>
    </w:p>
    <w:p>
      <w:pPr>
        <w:pStyle w:val="BodyText"/>
        <w:spacing w:before="7"/>
        <w:rPr>
          <w:sz w:val="14"/>
        </w:rPr>
      </w:pPr>
    </w:p>
    <w:p>
      <w:pPr>
        <w:pStyle w:val="BodyText"/>
        <w:ind w:left="105" w:right="160"/>
      </w:pPr>
      <w:r>
        <w:rPr/>
        <w:t>Our primary debtor for the business is the University of Western Sydney. Standard terms for trade receivables are fourteen (14) days.</w:t>
      </w:r>
    </w:p>
    <w:p>
      <w:pPr>
        <w:pStyle w:val="BodyText"/>
        <w:spacing w:before="7"/>
        <w:rPr>
          <w:sz w:val="14"/>
        </w:rPr>
      </w:pPr>
    </w:p>
    <w:p>
      <w:pPr>
        <w:pStyle w:val="Heading9"/>
        <w:numPr>
          <w:ilvl w:val="0"/>
          <w:numId w:val="98"/>
        </w:numPr>
        <w:tabs>
          <w:tab w:pos="502" w:val="left" w:leader="none"/>
        </w:tabs>
        <w:spacing w:line="240" w:lineRule="auto" w:before="0" w:after="0"/>
        <w:ind w:left="502" w:right="0" w:hanging="396"/>
        <w:jc w:val="left"/>
      </w:pPr>
      <w:r>
        <w:rPr/>
        <w:t>Inventories</w:t>
      </w:r>
    </w:p>
    <w:p>
      <w:pPr>
        <w:pStyle w:val="BodyText"/>
        <w:spacing w:before="7"/>
        <w:rPr>
          <w:b/>
          <w:sz w:val="14"/>
        </w:rPr>
      </w:pPr>
    </w:p>
    <w:p>
      <w:pPr>
        <w:pStyle w:val="BodyText"/>
        <w:ind w:left="105" w:right="219"/>
      </w:pPr>
      <w:r>
        <w:rPr/>
        <w:t>All inventories are measured at the lower of cost and net realisable value. Textbooks and Retail stock are valued at a weighted average price; other stock is valued at last purchase price.</w:t>
      </w:r>
    </w:p>
    <w:p>
      <w:pPr>
        <w:pStyle w:val="BodyText"/>
        <w:spacing w:before="7"/>
        <w:rPr>
          <w:sz w:val="14"/>
        </w:rPr>
      </w:pPr>
    </w:p>
    <w:p>
      <w:pPr>
        <w:pStyle w:val="Heading9"/>
        <w:numPr>
          <w:ilvl w:val="0"/>
          <w:numId w:val="98"/>
        </w:numPr>
        <w:tabs>
          <w:tab w:pos="502" w:val="left" w:leader="none"/>
        </w:tabs>
        <w:spacing w:line="240" w:lineRule="auto" w:before="0" w:after="0"/>
        <w:ind w:left="502" w:right="0" w:hanging="396"/>
        <w:jc w:val="left"/>
      </w:pPr>
      <w:r>
        <w:rPr/>
        <w:t>Financial</w:t>
      </w:r>
      <w:r>
        <w:rPr>
          <w:spacing w:val="-1"/>
        </w:rPr>
        <w:t> </w:t>
      </w:r>
      <w:r>
        <w:rPr/>
        <w:t>assets</w:t>
      </w:r>
    </w:p>
    <w:p>
      <w:pPr>
        <w:pStyle w:val="BodyText"/>
        <w:rPr>
          <w:b/>
          <w:sz w:val="25"/>
        </w:rPr>
      </w:pPr>
    </w:p>
    <w:p>
      <w:pPr>
        <w:spacing w:line="207" w:lineRule="exact" w:before="0"/>
        <w:ind w:left="105" w:right="118" w:firstLine="0"/>
        <w:jc w:val="left"/>
        <w:rPr>
          <w:b/>
          <w:i/>
          <w:sz w:val="18"/>
        </w:rPr>
      </w:pPr>
      <w:r>
        <w:rPr>
          <w:b/>
          <w:i/>
          <w:sz w:val="18"/>
        </w:rPr>
        <w:t>Classification</w:t>
      </w:r>
    </w:p>
    <w:p>
      <w:pPr>
        <w:pStyle w:val="BodyText"/>
        <w:spacing w:line="207" w:lineRule="exact"/>
        <w:ind w:left="105" w:right="118"/>
      </w:pPr>
      <w:r>
        <w:rPr/>
        <w:t>The Company classifies its investments as loans and receivables.</w:t>
      </w:r>
    </w:p>
    <w:p>
      <w:pPr>
        <w:pStyle w:val="BodyText"/>
        <w:spacing w:before="6"/>
        <w:rPr>
          <w:sz w:val="24"/>
        </w:rPr>
      </w:pPr>
    </w:p>
    <w:p>
      <w:pPr>
        <w:spacing w:line="207" w:lineRule="exact" w:before="0"/>
        <w:ind w:left="105" w:right="118" w:firstLine="0"/>
        <w:jc w:val="left"/>
        <w:rPr>
          <w:i/>
          <w:sz w:val="18"/>
        </w:rPr>
      </w:pPr>
      <w:r>
        <w:rPr>
          <w:i/>
          <w:sz w:val="18"/>
        </w:rPr>
        <w:t>(i) Loans and receivables</w:t>
      </w:r>
    </w:p>
    <w:p>
      <w:pPr>
        <w:pStyle w:val="BodyText"/>
        <w:ind w:left="105" w:right="158"/>
      </w:pPr>
      <w:r>
        <w:rPr/>
        <w:t>Loans and receivables are non derivative financial assets with fixed or determinable payments that are not quoted in an active market. They are included in current assets, except for those with maturities greater than 12 months after the reporting period which are classified as non current assets. Loans and receivables are included in trade and other receivables (note 6) in statement of financial position. The assets residual values are reviewed and adjusted if appropriate at each balance sheet date.</w:t>
      </w:r>
    </w:p>
    <w:p>
      <w:pPr>
        <w:pStyle w:val="BodyText"/>
        <w:rPr>
          <w:sz w:val="25"/>
        </w:rPr>
      </w:pPr>
    </w:p>
    <w:p>
      <w:pPr>
        <w:spacing w:line="207" w:lineRule="exact" w:before="0"/>
        <w:ind w:left="106" w:right="118" w:firstLine="0"/>
        <w:jc w:val="left"/>
        <w:rPr>
          <w:b/>
          <w:i/>
          <w:sz w:val="18"/>
        </w:rPr>
      </w:pPr>
      <w:r>
        <w:rPr>
          <w:b/>
          <w:i/>
          <w:sz w:val="18"/>
        </w:rPr>
        <w:t>Measurement</w:t>
      </w:r>
    </w:p>
    <w:p>
      <w:pPr>
        <w:pStyle w:val="BodyText"/>
        <w:spacing w:line="207" w:lineRule="exact"/>
        <w:ind w:left="106" w:right="118"/>
      </w:pPr>
      <w:r>
        <w:rPr/>
        <w:t>Details on how the fair value of financial instruments is determined are disclosed in note 2.</w:t>
      </w:r>
    </w:p>
    <w:p>
      <w:pPr>
        <w:pStyle w:val="BodyText"/>
        <w:rPr>
          <w:sz w:val="25"/>
        </w:rPr>
      </w:pPr>
    </w:p>
    <w:p>
      <w:pPr>
        <w:spacing w:before="0"/>
        <w:ind w:left="106" w:right="118" w:firstLine="0"/>
        <w:jc w:val="left"/>
        <w:rPr>
          <w:b/>
          <w:i/>
          <w:sz w:val="18"/>
        </w:rPr>
      </w:pPr>
      <w:r>
        <w:rPr>
          <w:b/>
          <w:i/>
          <w:sz w:val="18"/>
        </w:rPr>
        <w:t>Impairment</w:t>
      </w:r>
    </w:p>
    <w:p>
      <w:pPr>
        <w:pStyle w:val="BodyText"/>
        <w:spacing w:before="6"/>
        <w:rPr>
          <w:b/>
          <w:i/>
          <w:sz w:val="24"/>
        </w:rPr>
      </w:pPr>
    </w:p>
    <w:p>
      <w:pPr>
        <w:spacing w:line="207" w:lineRule="exact" w:before="0"/>
        <w:ind w:left="106" w:right="118" w:firstLine="0"/>
        <w:jc w:val="left"/>
        <w:rPr>
          <w:i/>
          <w:sz w:val="18"/>
        </w:rPr>
      </w:pPr>
      <w:r>
        <w:rPr>
          <w:i/>
          <w:sz w:val="18"/>
        </w:rPr>
        <w:t>(i) Assets carried at amortised cost</w:t>
      </w:r>
    </w:p>
    <w:p>
      <w:pPr>
        <w:pStyle w:val="BodyText"/>
        <w:ind w:left="106" w:right="108"/>
      </w:pPr>
      <w:r>
        <w:rPr/>
        <w:t>For loans and receivables, the amount of the loss is measured as the difference between the asset’s carrying amount and the present value of estimated future cash flows (excluding future credit losses that have not been incurred) discounted at the financial asset’s original effective interest rate. The carrying amount of the asset is reduced and the amount of the loss is recognised in the profit or loss. If the loan has a variable interest rate, the discount rate for measuring any impairment loss is the current effective interest rate determined under the contract. As a practical expedient, the Company may measure impairment on the basis of an instrument’s fair value using an observable market price.</w:t>
      </w:r>
    </w:p>
    <w:p>
      <w:pPr>
        <w:pStyle w:val="BodyText"/>
        <w:spacing w:before="7"/>
        <w:rPr>
          <w:sz w:val="14"/>
        </w:rPr>
      </w:pPr>
    </w:p>
    <w:p>
      <w:pPr>
        <w:pStyle w:val="BodyText"/>
        <w:ind w:left="106" w:right="107"/>
      </w:pPr>
      <w:r>
        <w:rPr/>
        <w:t>If, in a subsequent period, the amount of the impairment loss decreases and the decrease can be related objectively to an event occurring after the impairment was recognised (such as an improvement in the debtor’s credit rating), the reversal of the previously recognised impairment loss is recognised in the income statement.</w:t>
      </w:r>
    </w:p>
    <w:p>
      <w:pPr>
        <w:pStyle w:val="BodyText"/>
        <w:spacing w:before="7"/>
        <w:rPr>
          <w:sz w:val="14"/>
        </w:rPr>
      </w:pPr>
    </w:p>
    <w:p>
      <w:pPr>
        <w:pStyle w:val="BodyText"/>
        <w:ind w:left="106" w:right="118"/>
      </w:pPr>
      <w:r>
        <w:rPr/>
        <w:t>Impairment testing of trade receivables is described in note 1(f).</w:t>
      </w:r>
    </w:p>
    <w:p>
      <w:pPr>
        <w:pStyle w:val="BodyText"/>
        <w:spacing w:before="7"/>
        <w:rPr>
          <w:sz w:val="14"/>
        </w:rPr>
      </w:pPr>
    </w:p>
    <w:p>
      <w:pPr>
        <w:pStyle w:val="Heading9"/>
        <w:numPr>
          <w:ilvl w:val="0"/>
          <w:numId w:val="101"/>
        </w:numPr>
        <w:tabs>
          <w:tab w:pos="502" w:val="left" w:leader="none"/>
        </w:tabs>
        <w:spacing w:line="240" w:lineRule="auto" w:before="0" w:after="0"/>
        <w:ind w:left="502" w:right="0" w:hanging="396"/>
        <w:jc w:val="left"/>
      </w:pPr>
      <w:r>
        <w:rPr/>
        <w:t>Fair value estimation</w:t>
      </w:r>
    </w:p>
    <w:p>
      <w:pPr>
        <w:pStyle w:val="BodyText"/>
        <w:spacing w:before="7"/>
        <w:rPr>
          <w:b/>
          <w:sz w:val="14"/>
        </w:rPr>
      </w:pPr>
    </w:p>
    <w:p>
      <w:pPr>
        <w:pStyle w:val="BodyText"/>
        <w:ind w:left="106" w:right="198"/>
      </w:pPr>
      <w:r>
        <w:rPr/>
        <w:t>The carrying value less impairment provision of trade receivables and payables are assumed to approximate their fair values due to their short term nature. The fair value of financial liabilities for disclosure purposes is estimated by discounting the future contractual cash flows at the current market interest rate that is available to the Company for similar financial instruments.</w:t>
      </w:r>
    </w:p>
    <w:p>
      <w:pPr>
        <w:spacing w:after="0"/>
        <w:sectPr>
          <w:pgSz w:w="11910" w:h="16840"/>
          <w:pgMar w:header="936" w:footer="526" w:top="2040" w:bottom="700" w:left="800" w:right="700"/>
        </w:sectPr>
      </w:pPr>
    </w:p>
    <w:p>
      <w:pPr>
        <w:pStyle w:val="BodyText"/>
        <w:rPr>
          <w:sz w:val="20"/>
        </w:rPr>
      </w:pPr>
    </w:p>
    <w:p>
      <w:pPr>
        <w:pStyle w:val="BodyText"/>
        <w:rPr>
          <w:sz w:val="20"/>
        </w:rPr>
      </w:pPr>
    </w:p>
    <w:p>
      <w:pPr>
        <w:pStyle w:val="BodyText"/>
        <w:spacing w:before="4"/>
      </w:pPr>
    </w:p>
    <w:p>
      <w:pPr>
        <w:pStyle w:val="Heading9"/>
        <w:tabs>
          <w:tab w:pos="501" w:val="left" w:leader="none"/>
        </w:tabs>
        <w:ind w:left="105" w:right="118"/>
      </w:pPr>
      <w:r>
        <w:rPr/>
        <w:t>1</w:t>
        <w:tab/>
        <w:t>Summary of significant accounting</w:t>
      </w:r>
      <w:r>
        <w:rPr>
          <w:spacing w:val="-3"/>
        </w:rPr>
        <w:t> </w:t>
      </w:r>
      <w:r>
        <w:rPr/>
        <w:t>policies</w:t>
      </w:r>
    </w:p>
    <w:p>
      <w:pPr>
        <w:pStyle w:val="BodyText"/>
        <w:spacing w:before="7"/>
        <w:rPr>
          <w:b/>
          <w:sz w:val="14"/>
        </w:rPr>
      </w:pPr>
    </w:p>
    <w:p>
      <w:pPr>
        <w:pStyle w:val="ListParagraph"/>
        <w:numPr>
          <w:ilvl w:val="0"/>
          <w:numId w:val="101"/>
        </w:numPr>
        <w:tabs>
          <w:tab w:pos="502" w:val="left" w:leader="none"/>
        </w:tabs>
        <w:spacing w:line="240" w:lineRule="auto" w:before="0" w:after="0"/>
        <w:ind w:left="502" w:right="0" w:hanging="396"/>
        <w:jc w:val="left"/>
        <w:rPr>
          <w:b/>
          <w:sz w:val="18"/>
        </w:rPr>
      </w:pPr>
      <w:r>
        <w:rPr>
          <w:b/>
          <w:sz w:val="18"/>
        </w:rPr>
        <w:t>Property, plant and equipment</w:t>
      </w:r>
    </w:p>
    <w:p>
      <w:pPr>
        <w:pStyle w:val="BodyText"/>
        <w:spacing w:before="7"/>
        <w:rPr>
          <w:b/>
          <w:sz w:val="14"/>
        </w:rPr>
      </w:pPr>
    </w:p>
    <w:p>
      <w:pPr>
        <w:pStyle w:val="BodyText"/>
        <w:ind w:left="106" w:right="339"/>
      </w:pPr>
      <w:r>
        <w:rPr/>
        <w:t>Property, plant and equipment is stated at historical cost less depreciation. Historical cost includes expenditure that is directly attributable to the acquisition of the items.</w:t>
      </w:r>
    </w:p>
    <w:p>
      <w:pPr>
        <w:pStyle w:val="BodyText"/>
        <w:spacing w:before="7"/>
        <w:rPr>
          <w:sz w:val="14"/>
        </w:rPr>
      </w:pPr>
    </w:p>
    <w:p>
      <w:pPr>
        <w:pStyle w:val="BodyText"/>
        <w:ind w:left="106" w:right="143"/>
      </w:pPr>
      <w:r>
        <w:rPr/>
        <w:t>Subsequent costs are included in the asset's carrying amount or recognised as a separate asset, as appropriate, only when it is probable that future economic benefits associated with the item will flow to the Company and the cost of the item can be measured reliably. All other repairs and maintenance are charged to the statement of comprehensive income during the reporting period in which they are incurred.</w:t>
      </w:r>
    </w:p>
    <w:p>
      <w:pPr>
        <w:pStyle w:val="BodyText"/>
        <w:spacing w:before="7"/>
        <w:rPr>
          <w:sz w:val="14"/>
        </w:rPr>
      </w:pPr>
    </w:p>
    <w:p>
      <w:pPr>
        <w:pStyle w:val="BodyText"/>
        <w:ind w:left="106" w:right="658"/>
      </w:pPr>
      <w:r>
        <w:rPr/>
        <w:t>Depreciation on assets is calculated using the straight line method to allocate their cost or re-valued amounts, net of their residual values, over their estimated useful lives or, in the case of leasehold improvements and certain leased plant and equipment, the shorter lease term as follows:</w:t>
      </w:r>
    </w:p>
    <w:p>
      <w:pPr>
        <w:spacing w:line="206" w:lineRule="exact" w:before="0"/>
        <w:ind w:left="0" w:right="3163" w:firstLine="0"/>
        <w:jc w:val="right"/>
        <w:rPr>
          <w:i/>
          <w:sz w:val="18"/>
        </w:rPr>
      </w:pPr>
      <w:r>
        <w:rPr>
          <w:i/>
          <w:w w:val="95"/>
          <w:sz w:val="18"/>
        </w:rPr>
        <w:t>Life</w:t>
      </w:r>
    </w:p>
    <w:p>
      <w:pPr>
        <w:pStyle w:val="BodyText"/>
        <w:rPr>
          <w:i/>
          <w:sz w:val="22"/>
        </w:rPr>
      </w:pPr>
    </w:p>
    <w:p>
      <w:pPr>
        <w:pStyle w:val="ListParagraph"/>
        <w:numPr>
          <w:ilvl w:val="0"/>
          <w:numId w:val="102"/>
        </w:numPr>
        <w:tabs>
          <w:tab w:pos="256" w:val="left" w:leader="none"/>
          <w:tab w:pos="6948" w:val="left" w:leader="none"/>
        </w:tabs>
        <w:spacing w:line="207" w:lineRule="exact" w:before="1" w:after="0"/>
        <w:ind w:left="255" w:right="0" w:hanging="110"/>
        <w:jc w:val="left"/>
        <w:rPr>
          <w:sz w:val="18"/>
        </w:rPr>
      </w:pPr>
      <w:r>
        <w:rPr>
          <w:sz w:val="18"/>
        </w:rPr>
        <w:t>Computing</w:t>
        <w:tab/>
        <w:t>3-4</w:t>
      </w:r>
      <w:r>
        <w:rPr>
          <w:spacing w:val="-1"/>
          <w:sz w:val="18"/>
        </w:rPr>
        <w:t> </w:t>
      </w:r>
      <w:r>
        <w:rPr>
          <w:sz w:val="18"/>
        </w:rPr>
        <w:t>years</w:t>
      </w:r>
    </w:p>
    <w:p>
      <w:pPr>
        <w:pStyle w:val="ListParagraph"/>
        <w:numPr>
          <w:ilvl w:val="0"/>
          <w:numId w:val="102"/>
        </w:numPr>
        <w:tabs>
          <w:tab w:pos="256" w:val="left" w:leader="none"/>
          <w:tab w:pos="6948" w:val="left" w:leader="none"/>
        </w:tabs>
        <w:spacing w:line="206" w:lineRule="exact" w:before="0" w:after="0"/>
        <w:ind w:left="255" w:right="0" w:hanging="110"/>
        <w:jc w:val="left"/>
        <w:rPr>
          <w:sz w:val="18"/>
        </w:rPr>
      </w:pPr>
      <w:r>
        <w:rPr>
          <w:sz w:val="18"/>
        </w:rPr>
        <w:t>Leasehold</w:t>
      </w:r>
      <w:r>
        <w:rPr>
          <w:spacing w:val="-1"/>
          <w:sz w:val="18"/>
        </w:rPr>
        <w:t> </w:t>
      </w:r>
      <w:r>
        <w:rPr>
          <w:sz w:val="18"/>
        </w:rPr>
        <w:t>improvements</w:t>
        <w:tab/>
        <w:t>2-6</w:t>
      </w:r>
      <w:r>
        <w:rPr>
          <w:spacing w:val="-1"/>
          <w:sz w:val="18"/>
        </w:rPr>
        <w:t> </w:t>
      </w:r>
      <w:r>
        <w:rPr>
          <w:sz w:val="18"/>
        </w:rPr>
        <w:t>years</w:t>
      </w:r>
    </w:p>
    <w:p>
      <w:pPr>
        <w:pStyle w:val="ListParagraph"/>
        <w:numPr>
          <w:ilvl w:val="0"/>
          <w:numId w:val="102"/>
        </w:numPr>
        <w:tabs>
          <w:tab w:pos="256" w:val="left" w:leader="none"/>
          <w:tab w:pos="6948" w:val="left" w:leader="none"/>
        </w:tabs>
        <w:spacing w:line="206" w:lineRule="exact" w:before="0" w:after="0"/>
        <w:ind w:left="255" w:right="0" w:hanging="110"/>
        <w:jc w:val="left"/>
        <w:rPr>
          <w:sz w:val="18"/>
        </w:rPr>
      </w:pPr>
      <w:r>
        <w:rPr>
          <w:sz w:val="18"/>
        </w:rPr>
        <w:t>Motor</w:t>
      </w:r>
      <w:r>
        <w:rPr>
          <w:spacing w:val="-1"/>
          <w:sz w:val="18"/>
        </w:rPr>
        <w:t> </w:t>
      </w:r>
      <w:r>
        <w:rPr>
          <w:sz w:val="18"/>
        </w:rPr>
        <w:t>vehicles</w:t>
        <w:tab/>
        <w:t>5-8</w:t>
      </w:r>
      <w:r>
        <w:rPr>
          <w:spacing w:val="-1"/>
          <w:sz w:val="18"/>
        </w:rPr>
        <w:t> </w:t>
      </w:r>
      <w:r>
        <w:rPr>
          <w:sz w:val="18"/>
        </w:rPr>
        <w:t>years</w:t>
      </w:r>
    </w:p>
    <w:p>
      <w:pPr>
        <w:pStyle w:val="ListParagraph"/>
        <w:numPr>
          <w:ilvl w:val="0"/>
          <w:numId w:val="102"/>
        </w:numPr>
        <w:tabs>
          <w:tab w:pos="256" w:val="left" w:leader="none"/>
          <w:tab w:pos="6948" w:val="left" w:leader="none"/>
        </w:tabs>
        <w:spacing w:line="206" w:lineRule="exact" w:before="0" w:after="0"/>
        <w:ind w:left="255" w:right="0" w:hanging="110"/>
        <w:jc w:val="left"/>
        <w:rPr>
          <w:sz w:val="18"/>
        </w:rPr>
      </w:pPr>
      <w:r>
        <w:rPr>
          <w:sz w:val="18"/>
        </w:rPr>
        <w:t>Gym</w:t>
      </w:r>
      <w:r>
        <w:rPr>
          <w:spacing w:val="-1"/>
          <w:sz w:val="18"/>
        </w:rPr>
        <w:t> </w:t>
      </w:r>
      <w:r>
        <w:rPr>
          <w:sz w:val="18"/>
        </w:rPr>
        <w:t>equipment</w:t>
        <w:tab/>
        <w:t>3-10</w:t>
      </w:r>
      <w:r>
        <w:rPr>
          <w:spacing w:val="-1"/>
          <w:sz w:val="18"/>
        </w:rPr>
        <w:t> </w:t>
      </w:r>
      <w:r>
        <w:rPr>
          <w:sz w:val="18"/>
        </w:rPr>
        <w:t>years</w:t>
      </w:r>
    </w:p>
    <w:p>
      <w:pPr>
        <w:pStyle w:val="ListParagraph"/>
        <w:numPr>
          <w:ilvl w:val="0"/>
          <w:numId w:val="102"/>
        </w:numPr>
        <w:tabs>
          <w:tab w:pos="256" w:val="left" w:leader="none"/>
          <w:tab w:pos="6948" w:val="left" w:leader="none"/>
        </w:tabs>
        <w:spacing w:line="207" w:lineRule="exact" w:before="0" w:after="0"/>
        <w:ind w:left="255" w:right="0" w:hanging="110"/>
        <w:jc w:val="left"/>
        <w:rPr>
          <w:sz w:val="18"/>
        </w:rPr>
      </w:pPr>
      <w:r>
        <w:rPr>
          <w:sz w:val="18"/>
        </w:rPr>
        <w:t>Other</w:t>
        <w:tab/>
        <w:t>10-20</w:t>
      </w:r>
      <w:r>
        <w:rPr>
          <w:spacing w:val="-1"/>
          <w:sz w:val="18"/>
        </w:rPr>
        <w:t> </w:t>
      </w:r>
      <w:r>
        <w:rPr>
          <w:sz w:val="18"/>
        </w:rPr>
        <w:t>years</w:t>
      </w:r>
    </w:p>
    <w:p>
      <w:pPr>
        <w:pStyle w:val="BodyText"/>
        <w:spacing w:before="7"/>
        <w:rPr>
          <w:sz w:val="14"/>
        </w:rPr>
      </w:pPr>
    </w:p>
    <w:p>
      <w:pPr>
        <w:pStyle w:val="BodyText"/>
        <w:ind w:left="106" w:right="210"/>
      </w:pPr>
      <w:r>
        <w:rPr/>
        <w:t>An asset's carrying amount is written down immediately to its recoverable amount if the asset's carrying amount is greater than its estimated recoverable amount.</w:t>
      </w:r>
    </w:p>
    <w:p>
      <w:pPr>
        <w:pStyle w:val="BodyText"/>
        <w:spacing w:before="7"/>
        <w:rPr>
          <w:sz w:val="14"/>
        </w:rPr>
      </w:pPr>
    </w:p>
    <w:p>
      <w:pPr>
        <w:pStyle w:val="BodyText"/>
        <w:ind w:left="106" w:right="838"/>
      </w:pPr>
      <w:r>
        <w:rPr/>
        <w:t>Gains and losses on disposals are determined by comparing proceeds with carrying amount. These are included in the statement of comprehensive income.</w:t>
      </w:r>
    </w:p>
    <w:p>
      <w:pPr>
        <w:pStyle w:val="BodyText"/>
        <w:spacing w:before="6"/>
        <w:rPr>
          <w:sz w:val="14"/>
        </w:rPr>
      </w:pPr>
    </w:p>
    <w:p>
      <w:pPr>
        <w:pStyle w:val="Heading9"/>
        <w:numPr>
          <w:ilvl w:val="0"/>
          <w:numId w:val="101"/>
        </w:numPr>
        <w:tabs>
          <w:tab w:pos="502" w:val="left" w:leader="none"/>
        </w:tabs>
        <w:spacing w:line="240" w:lineRule="auto" w:before="0" w:after="0"/>
        <w:ind w:left="502" w:right="0" w:hanging="396"/>
        <w:jc w:val="left"/>
      </w:pPr>
      <w:r>
        <w:rPr/>
        <w:t>Intangible</w:t>
      </w:r>
      <w:r>
        <w:rPr>
          <w:spacing w:val="-2"/>
        </w:rPr>
        <w:t> </w:t>
      </w:r>
      <w:r>
        <w:rPr/>
        <w:t>assets</w:t>
      </w:r>
    </w:p>
    <w:p>
      <w:pPr>
        <w:pStyle w:val="BodyText"/>
        <w:spacing w:before="6"/>
        <w:rPr>
          <w:b/>
          <w:sz w:val="24"/>
        </w:rPr>
      </w:pPr>
    </w:p>
    <w:p>
      <w:pPr>
        <w:pStyle w:val="ListParagraph"/>
        <w:numPr>
          <w:ilvl w:val="0"/>
          <w:numId w:val="103"/>
        </w:numPr>
        <w:tabs>
          <w:tab w:pos="316" w:val="left" w:leader="none"/>
        </w:tabs>
        <w:spacing w:line="207" w:lineRule="exact" w:before="0" w:after="0"/>
        <w:ind w:left="315" w:right="0" w:hanging="209"/>
        <w:jc w:val="left"/>
        <w:rPr>
          <w:i/>
          <w:sz w:val="18"/>
        </w:rPr>
      </w:pPr>
      <w:r>
        <w:rPr>
          <w:i/>
          <w:sz w:val="18"/>
        </w:rPr>
        <w:t>IT development and</w:t>
      </w:r>
      <w:r>
        <w:rPr>
          <w:i/>
          <w:spacing w:val="-1"/>
          <w:sz w:val="18"/>
        </w:rPr>
        <w:t> </w:t>
      </w:r>
      <w:r>
        <w:rPr>
          <w:i/>
          <w:sz w:val="18"/>
        </w:rPr>
        <w:t>software</w:t>
      </w:r>
    </w:p>
    <w:p>
      <w:pPr>
        <w:pStyle w:val="BodyText"/>
        <w:ind w:left="106" w:right="136"/>
      </w:pPr>
      <w:r>
        <w:rPr/>
        <w:t>Costs incurred in developing products or systems and costs incurred in acquiring software and licences that will contribute to future period financial benefits through revenue generation and/or cost reduction, are capitalised to software and systems. Costs capitalised include external direct costs of materials and service and direct payroll and payroll related costs of employees' time spent on the project. Amortisation is calculated on a straight line basis over periods generally ranging from 3 to 5</w:t>
      </w:r>
      <w:r>
        <w:rPr>
          <w:spacing w:val="-2"/>
        </w:rPr>
        <w:t> </w:t>
      </w:r>
      <w:r>
        <w:rPr/>
        <w:t>years.</w:t>
      </w:r>
    </w:p>
    <w:p>
      <w:pPr>
        <w:pStyle w:val="BodyText"/>
        <w:spacing w:before="6"/>
        <w:rPr>
          <w:sz w:val="24"/>
        </w:rPr>
      </w:pPr>
    </w:p>
    <w:p>
      <w:pPr>
        <w:pStyle w:val="ListParagraph"/>
        <w:numPr>
          <w:ilvl w:val="0"/>
          <w:numId w:val="103"/>
        </w:numPr>
        <w:tabs>
          <w:tab w:pos="356" w:val="left" w:leader="none"/>
        </w:tabs>
        <w:spacing w:line="207" w:lineRule="exact" w:before="0" w:after="0"/>
        <w:ind w:left="355" w:right="0" w:hanging="249"/>
        <w:jc w:val="left"/>
        <w:rPr>
          <w:i/>
          <w:sz w:val="18"/>
        </w:rPr>
      </w:pPr>
      <w:r>
        <w:rPr>
          <w:i/>
          <w:sz w:val="18"/>
        </w:rPr>
        <w:t>Franchise</w:t>
      </w:r>
      <w:r>
        <w:rPr>
          <w:i/>
          <w:spacing w:val="-1"/>
          <w:sz w:val="18"/>
        </w:rPr>
        <w:t> </w:t>
      </w:r>
      <w:r>
        <w:rPr>
          <w:i/>
          <w:sz w:val="18"/>
        </w:rPr>
        <w:t>Fees</w:t>
      </w:r>
    </w:p>
    <w:p>
      <w:pPr>
        <w:pStyle w:val="BodyText"/>
        <w:spacing w:line="207" w:lineRule="exact"/>
        <w:ind w:left="106" w:right="118"/>
      </w:pPr>
      <w:r>
        <w:rPr/>
        <w:t>Cost incurred to acquire Subway Franchise fees are amortised over a period of 20 years on a straight line basis.</w:t>
      </w:r>
    </w:p>
    <w:p>
      <w:pPr>
        <w:pStyle w:val="BodyText"/>
        <w:spacing w:before="7"/>
        <w:rPr>
          <w:sz w:val="14"/>
        </w:rPr>
      </w:pPr>
    </w:p>
    <w:p>
      <w:pPr>
        <w:pStyle w:val="Heading9"/>
        <w:numPr>
          <w:ilvl w:val="0"/>
          <w:numId w:val="101"/>
        </w:numPr>
        <w:tabs>
          <w:tab w:pos="502" w:val="left" w:leader="none"/>
        </w:tabs>
        <w:spacing w:line="240" w:lineRule="auto" w:before="0" w:after="0"/>
        <w:ind w:left="502" w:right="0" w:hanging="396"/>
        <w:jc w:val="left"/>
      </w:pPr>
      <w:r>
        <w:rPr/>
        <w:t>Trade and other</w:t>
      </w:r>
      <w:r>
        <w:rPr>
          <w:spacing w:val="-1"/>
        </w:rPr>
        <w:t> </w:t>
      </w:r>
      <w:r>
        <w:rPr/>
        <w:t>payables</w:t>
      </w:r>
    </w:p>
    <w:p>
      <w:pPr>
        <w:pStyle w:val="BodyText"/>
        <w:spacing w:before="7"/>
        <w:rPr>
          <w:b/>
          <w:sz w:val="14"/>
        </w:rPr>
      </w:pPr>
    </w:p>
    <w:p>
      <w:pPr>
        <w:pStyle w:val="BodyText"/>
        <w:ind w:left="105" w:right="129"/>
      </w:pPr>
      <w:r>
        <w:rPr/>
        <w:t>These amounts represent liabilities for goods and services provided to the Company prior to the end of the financial year which are unpaid. The amounts are unsecured and are usually paid according to the credit terms agreed with the suppliers. Trade and other payables are presented as current liabilities unless payment is not due within 12 months from the reporting date. They are recognised initially at their fair value and subsequently measured at amortised cost using the effective interest method.</w:t>
      </w:r>
    </w:p>
    <w:p>
      <w:pPr>
        <w:pStyle w:val="BodyText"/>
        <w:spacing w:before="7"/>
        <w:rPr>
          <w:sz w:val="14"/>
        </w:rPr>
      </w:pPr>
    </w:p>
    <w:p>
      <w:pPr>
        <w:pStyle w:val="Heading9"/>
        <w:numPr>
          <w:ilvl w:val="0"/>
          <w:numId w:val="101"/>
        </w:numPr>
        <w:tabs>
          <w:tab w:pos="502" w:val="left" w:leader="none"/>
        </w:tabs>
        <w:spacing w:line="240" w:lineRule="auto" w:before="0" w:after="0"/>
        <w:ind w:left="501" w:right="0" w:hanging="396"/>
        <w:jc w:val="left"/>
      </w:pPr>
      <w:r>
        <w:rPr/>
        <w:t>Employee benefits</w:t>
      </w:r>
    </w:p>
    <w:p>
      <w:pPr>
        <w:pStyle w:val="BodyText"/>
        <w:spacing w:before="6"/>
        <w:rPr>
          <w:b/>
          <w:sz w:val="24"/>
        </w:rPr>
      </w:pPr>
    </w:p>
    <w:p>
      <w:pPr>
        <w:pStyle w:val="ListParagraph"/>
        <w:numPr>
          <w:ilvl w:val="0"/>
          <w:numId w:val="104"/>
        </w:numPr>
        <w:tabs>
          <w:tab w:pos="316" w:val="left" w:leader="none"/>
        </w:tabs>
        <w:spacing w:line="207" w:lineRule="exact" w:before="0" w:after="0"/>
        <w:ind w:left="315" w:right="0" w:hanging="210"/>
        <w:jc w:val="left"/>
        <w:rPr>
          <w:i/>
          <w:sz w:val="18"/>
        </w:rPr>
      </w:pPr>
      <w:r>
        <w:rPr>
          <w:i/>
          <w:sz w:val="18"/>
        </w:rPr>
        <w:t>Short term</w:t>
      </w:r>
      <w:r>
        <w:rPr>
          <w:i/>
          <w:spacing w:val="-1"/>
          <w:sz w:val="18"/>
        </w:rPr>
        <w:t> </w:t>
      </w:r>
      <w:r>
        <w:rPr>
          <w:i/>
          <w:sz w:val="18"/>
        </w:rPr>
        <w:t>obligations</w:t>
      </w:r>
    </w:p>
    <w:p>
      <w:pPr>
        <w:pStyle w:val="BodyText"/>
        <w:ind w:left="105" w:right="88"/>
      </w:pPr>
      <w:r>
        <w:rPr/>
        <w:t>Liabilities for wages and salaries, including non monetary benefits, expected to be settled within 12 months after the end of each reporting period are measured at the amounts expected to be paid when the liabilities are settled and recognised in other payables. The liability for annual leave is recognised in the provision for employee benefits.</w:t>
      </w:r>
    </w:p>
    <w:p>
      <w:pPr>
        <w:pStyle w:val="BodyText"/>
        <w:spacing w:before="6"/>
        <w:rPr>
          <w:sz w:val="24"/>
        </w:rPr>
      </w:pPr>
    </w:p>
    <w:p>
      <w:pPr>
        <w:pStyle w:val="ListParagraph"/>
        <w:numPr>
          <w:ilvl w:val="0"/>
          <w:numId w:val="104"/>
        </w:numPr>
        <w:tabs>
          <w:tab w:pos="356" w:val="left" w:leader="none"/>
        </w:tabs>
        <w:spacing w:line="207" w:lineRule="exact" w:before="0" w:after="0"/>
        <w:ind w:left="355" w:right="0" w:hanging="250"/>
        <w:jc w:val="left"/>
        <w:rPr>
          <w:i/>
          <w:sz w:val="18"/>
        </w:rPr>
      </w:pPr>
      <w:r>
        <w:rPr>
          <w:i/>
          <w:sz w:val="18"/>
        </w:rPr>
        <w:t>Other long term employee benefit</w:t>
      </w:r>
      <w:r>
        <w:rPr>
          <w:i/>
          <w:spacing w:val="-1"/>
          <w:sz w:val="18"/>
        </w:rPr>
        <w:t> </w:t>
      </w:r>
      <w:r>
        <w:rPr>
          <w:i/>
          <w:sz w:val="18"/>
        </w:rPr>
        <w:t>obligations</w:t>
      </w:r>
    </w:p>
    <w:p>
      <w:pPr>
        <w:pStyle w:val="BodyText"/>
        <w:ind w:left="105" w:right="249"/>
      </w:pPr>
      <w:r>
        <w:rPr/>
        <w:t>The liability for long service leave and annual leave, which is not expected to be settled within 12 months after the end of the reporting period in which the employees render the related service, is recognised in the provision for employee benefits and measured as the present value of expected future payments to be made when the liability is settled. Consideration is given to expected future wage and salary levels, experience of employee departures and periods of service. Expected future payments are discounted using market yields at the end of the reporting period on national government bonds with terms to maturity and currency that match, as closely as possible, the estimated future cash outflows.</w:t>
      </w:r>
    </w:p>
    <w:p>
      <w:pPr>
        <w:spacing w:after="0"/>
        <w:sectPr>
          <w:pgSz w:w="11910" w:h="16840"/>
          <w:pgMar w:header="936" w:footer="526" w:top="2040" w:bottom="700" w:left="800" w:right="700"/>
        </w:sectPr>
      </w:pPr>
    </w:p>
    <w:p>
      <w:pPr>
        <w:pStyle w:val="BodyText"/>
        <w:rPr>
          <w:sz w:val="20"/>
        </w:rPr>
      </w:pPr>
    </w:p>
    <w:p>
      <w:pPr>
        <w:pStyle w:val="BodyText"/>
        <w:rPr>
          <w:sz w:val="20"/>
        </w:rPr>
      </w:pPr>
    </w:p>
    <w:p>
      <w:pPr>
        <w:pStyle w:val="BodyText"/>
        <w:spacing w:before="4"/>
      </w:pPr>
    </w:p>
    <w:p>
      <w:pPr>
        <w:pStyle w:val="Heading9"/>
        <w:numPr>
          <w:ilvl w:val="0"/>
          <w:numId w:val="105"/>
        </w:numPr>
        <w:tabs>
          <w:tab w:pos="502" w:val="left" w:leader="none"/>
        </w:tabs>
        <w:spacing w:line="240" w:lineRule="auto" w:before="0" w:after="0"/>
        <w:ind w:left="502" w:right="0" w:hanging="396"/>
        <w:jc w:val="left"/>
      </w:pPr>
      <w:r>
        <w:rPr/>
        <w:t>Summary of significant accounting</w:t>
      </w:r>
      <w:r>
        <w:rPr>
          <w:spacing w:val="-3"/>
        </w:rPr>
        <w:t> </w:t>
      </w:r>
      <w:r>
        <w:rPr/>
        <w:t>policies</w:t>
      </w:r>
    </w:p>
    <w:p>
      <w:pPr>
        <w:pStyle w:val="BodyText"/>
        <w:spacing w:before="7"/>
        <w:rPr>
          <w:b/>
          <w:sz w:val="14"/>
        </w:rPr>
      </w:pPr>
    </w:p>
    <w:p>
      <w:pPr>
        <w:pStyle w:val="ListParagraph"/>
        <w:numPr>
          <w:ilvl w:val="0"/>
          <w:numId w:val="106"/>
        </w:numPr>
        <w:tabs>
          <w:tab w:pos="502" w:val="left" w:leader="none"/>
        </w:tabs>
        <w:spacing w:line="240" w:lineRule="auto" w:before="0" w:after="0"/>
        <w:ind w:left="502" w:right="0" w:hanging="396"/>
        <w:jc w:val="left"/>
        <w:rPr>
          <w:b/>
          <w:sz w:val="18"/>
        </w:rPr>
      </w:pPr>
      <w:r>
        <w:rPr>
          <w:b/>
          <w:sz w:val="18"/>
        </w:rPr>
        <w:t>Employee benefits</w:t>
      </w:r>
    </w:p>
    <w:p>
      <w:pPr>
        <w:pStyle w:val="BodyText"/>
        <w:spacing w:before="7"/>
        <w:rPr>
          <w:b/>
          <w:sz w:val="14"/>
        </w:rPr>
      </w:pPr>
    </w:p>
    <w:p>
      <w:pPr>
        <w:pStyle w:val="BodyText"/>
        <w:ind w:left="105" w:right="109"/>
      </w:pPr>
      <w:r>
        <w:rPr/>
        <w:t>Regardless of the expected timing of settlements, provisions made in respect of employee benefits are classified as a current liability, unless there is an unconditional right to defer the settlement of the liability for at least 12 months after the reporting date, in which case, it would be classified as a non-current liability.</w:t>
      </w:r>
    </w:p>
    <w:p>
      <w:pPr>
        <w:pStyle w:val="BodyText"/>
        <w:spacing w:before="7"/>
        <w:rPr>
          <w:sz w:val="14"/>
        </w:rPr>
      </w:pPr>
    </w:p>
    <w:p>
      <w:pPr>
        <w:pStyle w:val="ListParagraph"/>
        <w:numPr>
          <w:ilvl w:val="0"/>
          <w:numId w:val="104"/>
        </w:numPr>
        <w:tabs>
          <w:tab w:pos="396" w:val="left" w:leader="none"/>
        </w:tabs>
        <w:spacing w:line="207" w:lineRule="exact" w:before="0" w:after="0"/>
        <w:ind w:left="395" w:right="0" w:hanging="289"/>
        <w:jc w:val="left"/>
        <w:rPr>
          <w:i/>
          <w:sz w:val="18"/>
        </w:rPr>
      </w:pPr>
      <w:r>
        <w:rPr>
          <w:i/>
          <w:sz w:val="18"/>
        </w:rPr>
        <w:t>Retirement benefit</w:t>
      </w:r>
      <w:r>
        <w:rPr>
          <w:i/>
          <w:spacing w:val="-1"/>
          <w:sz w:val="18"/>
        </w:rPr>
        <w:t> </w:t>
      </w:r>
      <w:r>
        <w:rPr>
          <w:i/>
          <w:sz w:val="18"/>
        </w:rPr>
        <w:t>obligations</w:t>
      </w:r>
    </w:p>
    <w:p>
      <w:pPr>
        <w:pStyle w:val="BodyText"/>
        <w:ind w:left="105" w:right="158"/>
      </w:pPr>
      <w:r>
        <w:rPr/>
        <w:t>Contributions to the defined contribution fund are recognised as an expense as they become payable. Prepaid contributions are recognised as an asset to the extent that a cash refund or a reduction in the future payments is available.</w:t>
      </w:r>
    </w:p>
    <w:p>
      <w:pPr>
        <w:pStyle w:val="BodyText"/>
        <w:spacing w:before="7"/>
        <w:rPr>
          <w:sz w:val="14"/>
        </w:rPr>
      </w:pPr>
    </w:p>
    <w:p>
      <w:pPr>
        <w:pStyle w:val="ListParagraph"/>
        <w:numPr>
          <w:ilvl w:val="0"/>
          <w:numId w:val="104"/>
        </w:numPr>
        <w:tabs>
          <w:tab w:pos="406" w:val="left" w:leader="none"/>
        </w:tabs>
        <w:spacing w:line="207" w:lineRule="exact" w:before="0" w:after="0"/>
        <w:ind w:left="405" w:right="0" w:hanging="299"/>
        <w:jc w:val="left"/>
        <w:rPr>
          <w:i/>
          <w:sz w:val="18"/>
        </w:rPr>
      </w:pPr>
      <w:r>
        <w:rPr>
          <w:i/>
          <w:sz w:val="18"/>
        </w:rPr>
        <w:t>Termination</w:t>
      </w:r>
      <w:r>
        <w:rPr>
          <w:i/>
          <w:spacing w:val="-1"/>
          <w:sz w:val="18"/>
        </w:rPr>
        <w:t> </w:t>
      </w:r>
      <w:r>
        <w:rPr>
          <w:i/>
          <w:sz w:val="18"/>
        </w:rPr>
        <w:t>benefits</w:t>
      </w:r>
    </w:p>
    <w:p>
      <w:pPr>
        <w:pStyle w:val="BodyText"/>
        <w:ind w:left="105" w:right="219"/>
      </w:pPr>
      <w:r>
        <w:rPr/>
        <w:t>Termination benefits are payable when employment is terminated before the normal retirement date, or when an employee accepts voluntary redundancy in exchange for these benefits. The Company recognises termination benefits when it is demonstrably committed to either terminating the employment of current employees according to a detailed formal plan without possibility of withdrawal or to providing termination benefits as a result of an offer made to encourage voluntary redundancy.</w:t>
      </w:r>
    </w:p>
    <w:p>
      <w:pPr>
        <w:pStyle w:val="BodyText"/>
        <w:spacing w:line="206" w:lineRule="exact"/>
        <w:ind w:left="105" w:right="894"/>
      </w:pPr>
      <w:r>
        <w:rPr/>
        <w:t>Benefits falling due more than 12 months after the end of the reporting period are discounted to present value.</w:t>
      </w:r>
    </w:p>
    <w:p>
      <w:pPr>
        <w:pStyle w:val="BodyText"/>
        <w:spacing w:before="6"/>
        <w:rPr>
          <w:sz w:val="14"/>
        </w:rPr>
      </w:pPr>
    </w:p>
    <w:p>
      <w:pPr>
        <w:pStyle w:val="Heading9"/>
        <w:numPr>
          <w:ilvl w:val="0"/>
          <w:numId w:val="106"/>
        </w:numPr>
        <w:tabs>
          <w:tab w:pos="502" w:val="left" w:leader="none"/>
        </w:tabs>
        <w:spacing w:line="240" w:lineRule="auto" w:before="1" w:after="0"/>
        <w:ind w:left="502" w:right="0" w:hanging="396"/>
        <w:jc w:val="left"/>
      </w:pPr>
      <w:r>
        <w:rPr/>
        <w:t>Borrowings</w:t>
      </w:r>
    </w:p>
    <w:p>
      <w:pPr>
        <w:pStyle w:val="BodyText"/>
        <w:spacing w:before="7"/>
        <w:rPr>
          <w:b/>
          <w:sz w:val="14"/>
        </w:rPr>
      </w:pPr>
    </w:p>
    <w:p>
      <w:pPr>
        <w:pStyle w:val="BodyText"/>
        <w:ind w:left="106" w:right="119"/>
      </w:pPr>
      <w:r>
        <w:rPr/>
        <w:t>Borrowings are initially recognised at fair value, net of transaction costs incurred. Borrowings are subsequently measured at amortised cost. Any difference between the proceeds (net of transaction costs) and the redemption amount is recognised in income statement over the period of the borrowings using the effective interest method. Fees paid on the establishment of loan facilities are recognised as transaction costs of the loan to the extent that it is probable that some or all of the facility will be drawn down. In this case, the fee is deferred until the draw down occurs. To the extent there is no evidence that it is probable that some or all of the facility will be drawn down, the fee is capitalised as a prepayment for liquidity services and amortised over the period of the facility to which it relates.</w:t>
      </w:r>
    </w:p>
    <w:p>
      <w:pPr>
        <w:pStyle w:val="BodyText"/>
        <w:spacing w:before="7"/>
        <w:rPr>
          <w:sz w:val="14"/>
        </w:rPr>
      </w:pPr>
    </w:p>
    <w:p>
      <w:pPr>
        <w:pStyle w:val="BodyText"/>
        <w:ind w:left="106" w:right="508"/>
      </w:pPr>
      <w:r>
        <w:rPr/>
        <w:t>Borrowings are removed from the statement of financial position when the obligation specified in the contract is discharged, cancelled or expired.</w:t>
      </w:r>
    </w:p>
    <w:p>
      <w:pPr>
        <w:pStyle w:val="BodyText"/>
        <w:spacing w:before="7"/>
        <w:rPr>
          <w:sz w:val="14"/>
        </w:rPr>
      </w:pPr>
    </w:p>
    <w:p>
      <w:pPr>
        <w:pStyle w:val="BodyText"/>
        <w:ind w:left="106" w:right="298"/>
      </w:pPr>
      <w:r>
        <w:rPr/>
        <w:t>Borrowings are classified as current liabilities unless the Company has an unconditional right to defer settlement of the liability for at least 12 months after the reporting period.</w:t>
      </w:r>
    </w:p>
    <w:p>
      <w:pPr>
        <w:pStyle w:val="BodyText"/>
        <w:spacing w:before="7"/>
        <w:rPr>
          <w:sz w:val="14"/>
        </w:rPr>
      </w:pPr>
    </w:p>
    <w:p>
      <w:pPr>
        <w:pStyle w:val="BodyText"/>
        <w:ind w:left="106" w:right="894"/>
      </w:pPr>
      <w:r>
        <w:rPr/>
        <w:t>Borrowing costs are expensed in the statement of comprehensive income.</w:t>
      </w:r>
    </w:p>
    <w:p>
      <w:pPr>
        <w:pStyle w:val="BodyText"/>
        <w:spacing w:before="6"/>
        <w:rPr>
          <w:sz w:val="14"/>
        </w:rPr>
      </w:pPr>
    </w:p>
    <w:p>
      <w:pPr>
        <w:pStyle w:val="Heading9"/>
        <w:numPr>
          <w:ilvl w:val="0"/>
          <w:numId w:val="106"/>
        </w:numPr>
        <w:tabs>
          <w:tab w:pos="502" w:val="left" w:leader="none"/>
        </w:tabs>
        <w:spacing w:line="240" w:lineRule="auto" w:before="1" w:after="0"/>
        <w:ind w:left="502" w:right="0" w:hanging="396"/>
        <w:jc w:val="left"/>
      </w:pPr>
      <w:r>
        <w:rPr/>
        <w:t>Goods and Services Tax</w:t>
      </w:r>
      <w:r>
        <w:rPr>
          <w:spacing w:val="-2"/>
        </w:rPr>
        <w:t> </w:t>
      </w:r>
      <w:r>
        <w:rPr/>
        <w:t>(GST)</w:t>
      </w:r>
    </w:p>
    <w:p>
      <w:pPr>
        <w:pStyle w:val="BodyText"/>
        <w:spacing w:before="7"/>
        <w:rPr>
          <w:b/>
          <w:sz w:val="14"/>
        </w:rPr>
      </w:pPr>
    </w:p>
    <w:p>
      <w:pPr>
        <w:pStyle w:val="BodyText"/>
        <w:ind w:left="105" w:right="99"/>
      </w:pPr>
      <w:r>
        <w:rPr/>
        <w:t>Revenues, expenses and assets are recognised net of the amount of associated GST, unless the GST incurred is not recoverable from the taxation authority. In this case it is recognised as part of the cost of acquisition of the asset or as part of the expense.</w:t>
      </w:r>
    </w:p>
    <w:p>
      <w:pPr>
        <w:pStyle w:val="BodyText"/>
        <w:spacing w:before="7"/>
        <w:rPr>
          <w:sz w:val="14"/>
        </w:rPr>
      </w:pPr>
    </w:p>
    <w:p>
      <w:pPr>
        <w:pStyle w:val="BodyText"/>
        <w:ind w:left="105" w:right="109"/>
      </w:pPr>
      <w:r>
        <w:rPr/>
        <w:t>Receivables and payables are stated inclusive of the amount of GST receivable or payable. The net amount of GST recoverable from, or payable to, the taxation authority is included with other receivables or payables in the balance sheet.</w:t>
      </w:r>
    </w:p>
    <w:p>
      <w:pPr>
        <w:pStyle w:val="BodyText"/>
        <w:spacing w:before="7"/>
        <w:rPr>
          <w:sz w:val="14"/>
        </w:rPr>
      </w:pPr>
    </w:p>
    <w:p>
      <w:pPr>
        <w:pStyle w:val="BodyText"/>
        <w:ind w:left="105" w:right="480"/>
      </w:pPr>
      <w:r>
        <w:rPr/>
        <w:t>Cash flows are presented on a gross basis. The GST components of cash flows arising from investing or financing activities which are recoverable from, or payable to the taxation authority, are presented as operating cash flows.</w:t>
      </w:r>
    </w:p>
    <w:p>
      <w:pPr>
        <w:pStyle w:val="BodyText"/>
        <w:spacing w:before="7"/>
        <w:rPr>
          <w:sz w:val="14"/>
        </w:rPr>
      </w:pPr>
    </w:p>
    <w:p>
      <w:pPr>
        <w:pStyle w:val="Heading9"/>
        <w:numPr>
          <w:ilvl w:val="0"/>
          <w:numId w:val="106"/>
        </w:numPr>
        <w:tabs>
          <w:tab w:pos="502" w:val="left" w:leader="none"/>
        </w:tabs>
        <w:spacing w:line="240" w:lineRule="auto" w:before="0" w:after="0"/>
        <w:ind w:left="502" w:right="0" w:hanging="396"/>
        <w:jc w:val="left"/>
      </w:pPr>
      <w:r>
        <w:rPr/>
        <w:t>New accounting standards and</w:t>
      </w:r>
      <w:r>
        <w:rPr>
          <w:spacing w:val="-1"/>
        </w:rPr>
        <w:t> </w:t>
      </w:r>
      <w:r>
        <w:rPr/>
        <w:t>interpretations</w:t>
      </w:r>
    </w:p>
    <w:p>
      <w:pPr>
        <w:pStyle w:val="BodyText"/>
        <w:spacing w:before="7"/>
        <w:rPr>
          <w:b/>
          <w:sz w:val="14"/>
        </w:rPr>
      </w:pPr>
    </w:p>
    <w:p>
      <w:pPr>
        <w:pStyle w:val="BodyText"/>
        <w:ind w:left="105" w:right="119"/>
      </w:pPr>
      <w:r>
        <w:rPr/>
        <w:t>Certain new accounting standards and interpretations have been published that are not mandatory for 31 December 2012 reporting periods and have not yet been applied to the financial statements. The Company's assessment of the impact of these new standards and interpretations is that they will not materially affect any of the amounts recognised in the financial statements or significantly impact the disclosures in relation to the Company.</w:t>
      </w:r>
    </w:p>
    <w:p>
      <w:pPr>
        <w:pStyle w:val="BodyText"/>
        <w:spacing w:before="7"/>
        <w:rPr>
          <w:sz w:val="14"/>
        </w:rPr>
      </w:pPr>
    </w:p>
    <w:p>
      <w:pPr>
        <w:pStyle w:val="Heading9"/>
        <w:numPr>
          <w:ilvl w:val="0"/>
          <w:numId w:val="106"/>
        </w:numPr>
        <w:tabs>
          <w:tab w:pos="502" w:val="left" w:leader="none"/>
        </w:tabs>
        <w:spacing w:line="240" w:lineRule="auto" w:before="0" w:after="0"/>
        <w:ind w:left="501" w:right="0" w:hanging="396"/>
        <w:jc w:val="left"/>
      </w:pPr>
      <w:r>
        <w:rPr/>
        <w:t>Comparative</w:t>
      </w:r>
      <w:r>
        <w:rPr>
          <w:spacing w:val="-1"/>
        </w:rPr>
        <w:t> </w:t>
      </w:r>
      <w:r>
        <w:rPr/>
        <w:t>amounts</w:t>
      </w:r>
    </w:p>
    <w:p>
      <w:pPr>
        <w:pStyle w:val="BodyText"/>
        <w:spacing w:before="7"/>
        <w:rPr>
          <w:b/>
          <w:sz w:val="14"/>
        </w:rPr>
      </w:pPr>
    </w:p>
    <w:p>
      <w:pPr>
        <w:pStyle w:val="BodyText"/>
        <w:ind w:left="105" w:right="158"/>
      </w:pPr>
      <w:r>
        <w:rPr/>
        <w:t>When required by Accounting Standards, comparative figures have been adjusted to conform to changes in presentation for the current year.</w:t>
      </w:r>
    </w:p>
    <w:p>
      <w:pPr>
        <w:pStyle w:val="BodyText"/>
        <w:spacing w:before="7"/>
        <w:rPr>
          <w:sz w:val="14"/>
        </w:rPr>
      </w:pPr>
    </w:p>
    <w:p>
      <w:pPr>
        <w:pStyle w:val="BodyText"/>
        <w:ind w:left="105" w:right="290"/>
      </w:pPr>
      <w:r>
        <w:rPr/>
        <w:t>When the Company applies an accounting policy retrospectively, makes a retrospective restatement or reclassifies items in its financial statements, a statement of financial position as at the beginning of the earliest comparative period will be presented.</w:t>
      </w:r>
    </w:p>
    <w:p>
      <w:pPr>
        <w:pStyle w:val="BodyText"/>
        <w:spacing w:before="7"/>
        <w:rPr>
          <w:sz w:val="14"/>
        </w:rPr>
      </w:pPr>
    </w:p>
    <w:p>
      <w:pPr>
        <w:pStyle w:val="BodyText"/>
        <w:ind w:left="105" w:right="894"/>
      </w:pPr>
      <w:r>
        <w:rPr/>
        <w:t>There has been some reclassification to comparatives due to format amendments.</w:t>
      </w:r>
    </w:p>
    <w:p>
      <w:pPr>
        <w:spacing w:after="0"/>
        <w:sectPr>
          <w:pgSz w:w="11910" w:h="16840"/>
          <w:pgMar w:header="936" w:footer="526" w:top="2040" w:bottom="700" w:left="800" w:right="680"/>
        </w:sectPr>
      </w:pPr>
    </w:p>
    <w:p>
      <w:pPr>
        <w:pStyle w:val="BodyText"/>
        <w:rPr>
          <w:sz w:val="20"/>
        </w:rPr>
      </w:pPr>
    </w:p>
    <w:p>
      <w:pPr>
        <w:pStyle w:val="BodyText"/>
        <w:spacing w:before="8"/>
        <w:rPr>
          <w:sz w:val="24"/>
        </w:rPr>
      </w:pPr>
    </w:p>
    <w:p>
      <w:pPr>
        <w:pStyle w:val="Heading9"/>
        <w:numPr>
          <w:ilvl w:val="0"/>
          <w:numId w:val="105"/>
        </w:numPr>
        <w:tabs>
          <w:tab w:pos="542" w:val="left" w:leader="none"/>
        </w:tabs>
        <w:spacing w:line="240" w:lineRule="auto" w:before="77" w:after="0"/>
        <w:ind w:left="542" w:right="0" w:hanging="396"/>
        <w:jc w:val="left"/>
      </w:pPr>
      <w:r>
        <w:rPr/>
        <w:t>Financial risk management</w:t>
      </w:r>
    </w:p>
    <w:p>
      <w:pPr>
        <w:pStyle w:val="BodyText"/>
        <w:spacing w:before="4"/>
        <w:rPr>
          <w:b/>
          <w:sz w:val="15"/>
        </w:rPr>
      </w:pPr>
    </w:p>
    <w:p>
      <w:pPr>
        <w:pStyle w:val="BodyText"/>
        <w:ind w:left="145" w:right="170"/>
      </w:pPr>
      <w:r>
        <w:rPr/>
        <w:t>The Company's activities expose it to a variety of financial risks: market risk (including interest rate risk), credit risk and liquidity risk. The Company's overall risk management program focuses on the unpredictability of financial markets and seeks to minimise potential adverse effects on the financial performance of the Company. The Company uses different methods to measure different types of risk to which it is exposed. These methods include sensitivity analysis in the case of interest rate and aging analysis for credit risk to determine market risk.</w:t>
      </w:r>
    </w:p>
    <w:p>
      <w:pPr>
        <w:pStyle w:val="BodyText"/>
        <w:spacing w:before="11"/>
        <w:rPr>
          <w:sz w:val="7"/>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41"/>
        <w:gridCol w:w="1460"/>
        <w:gridCol w:w="1135"/>
      </w:tblGrid>
      <w:tr>
        <w:trPr>
          <w:trHeight w:val="567" w:hRule="exact"/>
        </w:trPr>
        <w:tc>
          <w:tcPr>
            <w:tcW w:w="7641" w:type="dxa"/>
          </w:tcPr>
          <w:p>
            <w:pPr>
              <w:pStyle w:val="TableParagraph"/>
              <w:spacing w:before="77"/>
              <w:ind w:left="35"/>
              <w:rPr>
                <w:sz w:val="18"/>
              </w:rPr>
            </w:pPr>
            <w:r>
              <w:rPr>
                <w:sz w:val="18"/>
              </w:rPr>
              <w:t>The Company holds the following financial instruments:</w:t>
            </w:r>
          </w:p>
        </w:tc>
        <w:tc>
          <w:tcPr>
            <w:tcW w:w="1460" w:type="dxa"/>
          </w:tcPr>
          <w:p>
            <w:pPr>
              <w:pStyle w:val="TableParagraph"/>
              <w:rPr>
                <w:sz w:val="18"/>
              </w:rPr>
            </w:pPr>
          </w:p>
          <w:p>
            <w:pPr>
              <w:pStyle w:val="TableParagraph"/>
              <w:spacing w:before="110"/>
              <w:ind w:left="471"/>
              <w:rPr>
                <w:b/>
                <w:sz w:val="18"/>
              </w:rPr>
            </w:pPr>
            <w:r>
              <w:rPr>
                <w:b/>
                <w:sz w:val="18"/>
              </w:rPr>
              <w:t>2012</w:t>
            </w:r>
          </w:p>
        </w:tc>
        <w:tc>
          <w:tcPr>
            <w:tcW w:w="1135" w:type="dxa"/>
          </w:tcPr>
          <w:p>
            <w:pPr>
              <w:pStyle w:val="TableParagraph"/>
              <w:rPr>
                <w:sz w:val="18"/>
              </w:rPr>
            </w:pPr>
          </w:p>
          <w:p>
            <w:pPr>
              <w:pStyle w:val="TableParagraph"/>
              <w:spacing w:before="110"/>
              <w:ind w:left="294"/>
              <w:rPr>
                <w:sz w:val="18"/>
              </w:rPr>
            </w:pPr>
            <w:r>
              <w:rPr>
                <w:sz w:val="18"/>
              </w:rPr>
              <w:t>2011</w:t>
            </w:r>
          </w:p>
        </w:tc>
      </w:tr>
      <w:tr>
        <w:trPr>
          <w:trHeight w:val="313" w:hRule="exact"/>
        </w:trPr>
        <w:tc>
          <w:tcPr>
            <w:tcW w:w="7641" w:type="dxa"/>
          </w:tcPr>
          <w:p>
            <w:pPr/>
          </w:p>
        </w:tc>
        <w:tc>
          <w:tcPr>
            <w:tcW w:w="1460" w:type="dxa"/>
          </w:tcPr>
          <w:p>
            <w:pPr>
              <w:pStyle w:val="TableParagraph"/>
              <w:spacing w:before="24"/>
              <w:ind w:right="114"/>
              <w:jc w:val="center"/>
              <w:rPr>
                <w:b/>
                <w:sz w:val="18"/>
              </w:rPr>
            </w:pPr>
            <w:r>
              <w:rPr>
                <w:b/>
                <w:w w:val="99"/>
                <w:sz w:val="18"/>
              </w:rPr>
              <w:t>$</w:t>
            </w:r>
          </w:p>
        </w:tc>
        <w:tc>
          <w:tcPr>
            <w:tcW w:w="1135" w:type="dxa"/>
          </w:tcPr>
          <w:p>
            <w:pPr>
              <w:pStyle w:val="TableParagraph"/>
              <w:spacing w:before="24"/>
              <w:ind w:right="143"/>
              <w:jc w:val="center"/>
              <w:rPr>
                <w:sz w:val="18"/>
              </w:rPr>
            </w:pPr>
            <w:r>
              <w:rPr>
                <w:w w:val="99"/>
                <w:sz w:val="18"/>
              </w:rPr>
              <w:t>$</w:t>
            </w:r>
          </w:p>
        </w:tc>
      </w:tr>
      <w:tr>
        <w:trPr>
          <w:trHeight w:val="543" w:hRule="exact"/>
        </w:trPr>
        <w:tc>
          <w:tcPr>
            <w:tcW w:w="7641" w:type="dxa"/>
          </w:tcPr>
          <w:p>
            <w:pPr>
              <w:pStyle w:val="TableParagraph"/>
              <w:spacing w:before="63"/>
              <w:ind w:left="79"/>
              <w:rPr>
                <w:b/>
                <w:sz w:val="18"/>
              </w:rPr>
            </w:pPr>
            <w:r>
              <w:rPr>
                <w:b/>
                <w:sz w:val="18"/>
              </w:rPr>
              <w:t>Financial assets</w:t>
            </w:r>
          </w:p>
          <w:p>
            <w:pPr>
              <w:pStyle w:val="TableParagraph"/>
              <w:spacing w:before="27"/>
              <w:ind w:left="79"/>
              <w:rPr>
                <w:sz w:val="18"/>
              </w:rPr>
            </w:pPr>
            <w:r>
              <w:rPr>
                <w:sz w:val="18"/>
              </w:rPr>
              <w:t>Cash and cash equivalents</w:t>
            </w:r>
          </w:p>
        </w:tc>
        <w:tc>
          <w:tcPr>
            <w:tcW w:w="1460" w:type="dxa"/>
          </w:tcPr>
          <w:p>
            <w:pPr>
              <w:pStyle w:val="TableParagraph"/>
              <w:spacing w:before="11"/>
              <w:rPr>
                <w:sz w:val="25"/>
              </w:rPr>
            </w:pPr>
          </w:p>
          <w:p>
            <w:pPr>
              <w:pStyle w:val="TableParagraph"/>
              <w:ind w:right="246"/>
              <w:jc w:val="right"/>
              <w:rPr>
                <w:b/>
                <w:sz w:val="18"/>
              </w:rPr>
            </w:pPr>
            <w:r>
              <w:rPr>
                <w:b/>
                <w:w w:val="95"/>
                <w:sz w:val="18"/>
              </w:rPr>
              <w:t>2,281,787</w:t>
            </w:r>
          </w:p>
        </w:tc>
        <w:tc>
          <w:tcPr>
            <w:tcW w:w="1135" w:type="dxa"/>
          </w:tcPr>
          <w:p>
            <w:pPr>
              <w:pStyle w:val="TableParagraph"/>
              <w:spacing w:before="11"/>
              <w:rPr>
                <w:sz w:val="25"/>
              </w:rPr>
            </w:pPr>
          </w:p>
          <w:p>
            <w:pPr>
              <w:pStyle w:val="TableParagraph"/>
              <w:ind w:right="84"/>
              <w:jc w:val="right"/>
              <w:rPr>
                <w:sz w:val="18"/>
              </w:rPr>
            </w:pPr>
            <w:r>
              <w:rPr>
                <w:w w:val="95"/>
                <w:sz w:val="18"/>
              </w:rPr>
              <w:t>534,311</w:t>
            </w:r>
          </w:p>
        </w:tc>
      </w:tr>
      <w:tr>
        <w:trPr>
          <w:trHeight w:val="263" w:hRule="exact"/>
        </w:trPr>
        <w:tc>
          <w:tcPr>
            <w:tcW w:w="7641" w:type="dxa"/>
          </w:tcPr>
          <w:p>
            <w:pPr>
              <w:pStyle w:val="TableParagraph"/>
              <w:spacing w:before="18"/>
              <w:ind w:left="78"/>
              <w:rPr>
                <w:sz w:val="18"/>
              </w:rPr>
            </w:pPr>
            <w:r>
              <w:rPr>
                <w:sz w:val="18"/>
              </w:rPr>
              <w:t>Trade and other receivables</w:t>
            </w:r>
          </w:p>
        </w:tc>
        <w:tc>
          <w:tcPr>
            <w:tcW w:w="1460" w:type="dxa"/>
            <w:tcBorders>
              <w:bottom w:val="single" w:sz="0" w:space="0" w:color="000000"/>
            </w:tcBorders>
          </w:tcPr>
          <w:p>
            <w:pPr>
              <w:pStyle w:val="TableParagraph"/>
              <w:spacing w:before="19"/>
              <w:ind w:right="246"/>
              <w:jc w:val="right"/>
              <w:rPr>
                <w:b/>
                <w:sz w:val="18"/>
              </w:rPr>
            </w:pPr>
            <w:r>
              <w:rPr>
                <w:b/>
                <w:w w:val="95"/>
                <w:sz w:val="18"/>
              </w:rPr>
              <w:t>596,473</w:t>
            </w:r>
          </w:p>
        </w:tc>
        <w:tc>
          <w:tcPr>
            <w:tcW w:w="1135" w:type="dxa"/>
            <w:tcBorders>
              <w:bottom w:val="single" w:sz="0" w:space="0" w:color="000000"/>
            </w:tcBorders>
          </w:tcPr>
          <w:p>
            <w:pPr>
              <w:pStyle w:val="TableParagraph"/>
              <w:spacing w:before="19"/>
              <w:ind w:right="84"/>
              <w:jc w:val="right"/>
              <w:rPr>
                <w:sz w:val="18"/>
              </w:rPr>
            </w:pPr>
            <w:r>
              <w:rPr>
                <w:w w:val="95"/>
                <w:sz w:val="18"/>
              </w:rPr>
              <w:t>526,394</w:t>
            </w:r>
          </w:p>
        </w:tc>
      </w:tr>
      <w:tr>
        <w:trPr>
          <w:trHeight w:val="353" w:hRule="exact"/>
        </w:trPr>
        <w:tc>
          <w:tcPr>
            <w:tcW w:w="7641" w:type="dxa"/>
          </w:tcPr>
          <w:p>
            <w:pPr/>
          </w:p>
        </w:tc>
        <w:tc>
          <w:tcPr>
            <w:tcW w:w="1460" w:type="dxa"/>
            <w:tcBorders>
              <w:top w:val="single" w:sz="0" w:space="0" w:color="000000"/>
              <w:bottom w:val="single" w:sz="0" w:space="0" w:color="000000"/>
            </w:tcBorders>
          </w:tcPr>
          <w:p>
            <w:pPr>
              <w:pStyle w:val="TableParagraph"/>
              <w:spacing w:before="122"/>
              <w:ind w:right="245"/>
              <w:jc w:val="right"/>
              <w:rPr>
                <w:b/>
                <w:sz w:val="18"/>
              </w:rPr>
            </w:pPr>
            <w:r>
              <w:rPr>
                <w:b/>
                <w:w w:val="95"/>
                <w:sz w:val="18"/>
              </w:rPr>
              <w:t>2,878,260</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1,060,705</w:t>
            </w:r>
          </w:p>
        </w:tc>
      </w:tr>
      <w:tr>
        <w:trPr>
          <w:trHeight w:val="618" w:hRule="exact"/>
        </w:trPr>
        <w:tc>
          <w:tcPr>
            <w:tcW w:w="7641" w:type="dxa"/>
          </w:tcPr>
          <w:p>
            <w:pPr>
              <w:pStyle w:val="TableParagraph"/>
              <w:spacing w:before="138"/>
              <w:ind w:left="79"/>
              <w:rPr>
                <w:b/>
                <w:sz w:val="18"/>
              </w:rPr>
            </w:pPr>
            <w:r>
              <w:rPr>
                <w:b/>
                <w:sz w:val="18"/>
              </w:rPr>
              <w:t>Financial liabilities</w:t>
            </w:r>
          </w:p>
          <w:p>
            <w:pPr>
              <w:pStyle w:val="TableParagraph"/>
              <w:spacing w:before="27"/>
              <w:ind w:left="79"/>
              <w:rPr>
                <w:sz w:val="18"/>
              </w:rPr>
            </w:pPr>
            <w:r>
              <w:rPr>
                <w:sz w:val="18"/>
              </w:rPr>
              <w:t>Trade and other payables</w:t>
            </w:r>
          </w:p>
        </w:tc>
        <w:tc>
          <w:tcPr>
            <w:tcW w:w="1460" w:type="dxa"/>
            <w:tcBorders>
              <w:top w:val="single" w:sz="0" w:space="0" w:color="000000"/>
            </w:tcBorders>
          </w:tcPr>
          <w:p>
            <w:pPr>
              <w:pStyle w:val="TableParagraph"/>
              <w:rPr>
                <w:sz w:val="18"/>
              </w:rPr>
            </w:pPr>
          </w:p>
          <w:p>
            <w:pPr>
              <w:pStyle w:val="TableParagraph"/>
              <w:spacing w:before="5"/>
              <w:rPr>
                <w:sz w:val="14"/>
              </w:rPr>
            </w:pPr>
          </w:p>
          <w:p>
            <w:pPr>
              <w:pStyle w:val="TableParagraph"/>
              <w:ind w:right="245"/>
              <w:jc w:val="right"/>
              <w:rPr>
                <w:b/>
                <w:sz w:val="18"/>
              </w:rPr>
            </w:pPr>
            <w:r>
              <w:rPr>
                <w:b/>
                <w:w w:val="95"/>
                <w:sz w:val="18"/>
              </w:rPr>
              <w:t>3,535,561</w:t>
            </w:r>
          </w:p>
        </w:tc>
        <w:tc>
          <w:tcPr>
            <w:tcW w:w="1135" w:type="dxa"/>
            <w:tcBorders>
              <w:top w:val="single" w:sz="0" w:space="0" w:color="000000"/>
            </w:tcBorders>
          </w:tcPr>
          <w:p>
            <w:pPr>
              <w:pStyle w:val="TableParagraph"/>
              <w:rPr>
                <w:sz w:val="18"/>
              </w:rPr>
            </w:pPr>
          </w:p>
          <w:p>
            <w:pPr>
              <w:pStyle w:val="TableParagraph"/>
              <w:spacing w:before="5"/>
              <w:rPr>
                <w:sz w:val="14"/>
              </w:rPr>
            </w:pPr>
          </w:p>
          <w:p>
            <w:pPr>
              <w:pStyle w:val="TableParagraph"/>
              <w:ind w:right="84"/>
              <w:jc w:val="right"/>
              <w:rPr>
                <w:sz w:val="18"/>
              </w:rPr>
            </w:pPr>
            <w:r>
              <w:rPr>
                <w:w w:val="95"/>
                <w:sz w:val="18"/>
              </w:rPr>
              <w:t>3,003,938</w:t>
            </w:r>
          </w:p>
        </w:tc>
      </w:tr>
      <w:tr>
        <w:trPr>
          <w:trHeight w:val="263" w:hRule="exact"/>
        </w:trPr>
        <w:tc>
          <w:tcPr>
            <w:tcW w:w="7641" w:type="dxa"/>
          </w:tcPr>
          <w:p>
            <w:pPr>
              <w:pStyle w:val="TableParagraph"/>
              <w:spacing w:before="18"/>
              <w:ind w:left="79"/>
              <w:rPr>
                <w:sz w:val="18"/>
              </w:rPr>
            </w:pPr>
            <w:r>
              <w:rPr>
                <w:sz w:val="18"/>
              </w:rPr>
              <w:t>Borrowings</w:t>
            </w:r>
          </w:p>
        </w:tc>
        <w:tc>
          <w:tcPr>
            <w:tcW w:w="1460" w:type="dxa"/>
            <w:tcBorders>
              <w:bottom w:val="single" w:sz="0" w:space="0" w:color="000000"/>
            </w:tcBorders>
          </w:tcPr>
          <w:p>
            <w:pPr>
              <w:pStyle w:val="TableParagraph"/>
              <w:spacing w:before="19"/>
              <w:ind w:right="245"/>
              <w:jc w:val="right"/>
              <w:rPr>
                <w:b/>
                <w:sz w:val="18"/>
              </w:rPr>
            </w:pPr>
            <w:r>
              <w:rPr>
                <w:b/>
                <w:w w:val="95"/>
                <w:sz w:val="18"/>
              </w:rPr>
              <w:t>1,611,495</w:t>
            </w:r>
          </w:p>
        </w:tc>
        <w:tc>
          <w:tcPr>
            <w:tcW w:w="1135" w:type="dxa"/>
            <w:tcBorders>
              <w:bottom w:val="single" w:sz="0" w:space="0" w:color="000000"/>
            </w:tcBorders>
          </w:tcPr>
          <w:p>
            <w:pPr>
              <w:pStyle w:val="TableParagraph"/>
              <w:spacing w:before="19"/>
              <w:ind w:right="84"/>
              <w:jc w:val="right"/>
              <w:rPr>
                <w:sz w:val="18"/>
              </w:rPr>
            </w:pPr>
            <w:r>
              <w:rPr>
                <w:w w:val="95"/>
                <w:sz w:val="18"/>
              </w:rPr>
              <w:t>1,859,375</w:t>
            </w:r>
          </w:p>
        </w:tc>
      </w:tr>
      <w:tr>
        <w:trPr>
          <w:trHeight w:val="353" w:hRule="exact"/>
        </w:trPr>
        <w:tc>
          <w:tcPr>
            <w:tcW w:w="7641" w:type="dxa"/>
          </w:tcPr>
          <w:p>
            <w:pPr/>
          </w:p>
        </w:tc>
        <w:tc>
          <w:tcPr>
            <w:tcW w:w="1460" w:type="dxa"/>
            <w:tcBorders>
              <w:top w:val="single" w:sz="0" w:space="0" w:color="000000"/>
              <w:bottom w:val="single" w:sz="0" w:space="0" w:color="000000"/>
            </w:tcBorders>
          </w:tcPr>
          <w:p>
            <w:pPr>
              <w:pStyle w:val="TableParagraph"/>
              <w:spacing w:before="122"/>
              <w:ind w:right="245"/>
              <w:jc w:val="right"/>
              <w:rPr>
                <w:b/>
                <w:sz w:val="18"/>
              </w:rPr>
            </w:pPr>
            <w:r>
              <w:rPr>
                <w:b/>
                <w:w w:val="95"/>
                <w:sz w:val="18"/>
              </w:rPr>
              <w:t>5,147,056</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4,863,313</w:t>
            </w:r>
          </w:p>
        </w:tc>
      </w:tr>
    </w:tbl>
    <w:p>
      <w:pPr>
        <w:pStyle w:val="BodyText"/>
        <w:rPr>
          <w:sz w:val="20"/>
        </w:rPr>
      </w:pPr>
    </w:p>
    <w:p>
      <w:pPr>
        <w:pStyle w:val="BodyText"/>
        <w:rPr>
          <w:sz w:val="20"/>
        </w:rPr>
      </w:pPr>
    </w:p>
    <w:p>
      <w:pPr>
        <w:pStyle w:val="BodyText"/>
        <w:rPr>
          <w:sz w:val="20"/>
        </w:rPr>
      </w:pPr>
    </w:p>
    <w:p>
      <w:pPr>
        <w:pStyle w:val="Heading9"/>
        <w:tabs>
          <w:tab w:pos="825" w:val="left" w:leader="none"/>
        </w:tabs>
        <w:ind w:left="145" w:right="139"/>
      </w:pPr>
      <w:r>
        <w:rPr/>
        <w:t>(a)</w:t>
        <w:tab/>
        <w:t>Market</w:t>
      </w:r>
      <w:r>
        <w:rPr>
          <w:spacing w:val="-1"/>
        </w:rPr>
        <w:t> </w:t>
      </w:r>
      <w:r>
        <w:rPr/>
        <w:t>risk</w:t>
      </w:r>
    </w:p>
    <w:p>
      <w:pPr>
        <w:pStyle w:val="BodyText"/>
        <w:spacing w:before="6"/>
        <w:rPr>
          <w:b/>
          <w:sz w:val="24"/>
        </w:rPr>
      </w:pPr>
    </w:p>
    <w:p>
      <w:pPr>
        <w:pStyle w:val="ListParagraph"/>
        <w:numPr>
          <w:ilvl w:val="0"/>
          <w:numId w:val="107"/>
        </w:numPr>
        <w:tabs>
          <w:tab w:pos="542" w:val="left" w:leader="none"/>
        </w:tabs>
        <w:spacing w:line="207" w:lineRule="exact" w:before="0" w:after="0"/>
        <w:ind w:left="542" w:right="0" w:hanging="396"/>
        <w:jc w:val="left"/>
        <w:rPr>
          <w:i/>
          <w:sz w:val="18"/>
        </w:rPr>
      </w:pPr>
      <w:r>
        <w:rPr>
          <w:i/>
          <w:sz w:val="18"/>
        </w:rPr>
        <w:t>Cash flow and fair value interest rate</w:t>
      </w:r>
      <w:r>
        <w:rPr>
          <w:i/>
          <w:spacing w:val="-1"/>
          <w:sz w:val="18"/>
        </w:rPr>
        <w:t> </w:t>
      </w:r>
      <w:r>
        <w:rPr>
          <w:i/>
          <w:sz w:val="18"/>
        </w:rPr>
        <w:t>risk</w:t>
      </w:r>
    </w:p>
    <w:p>
      <w:pPr>
        <w:pStyle w:val="BodyText"/>
        <w:ind w:left="145" w:right="716"/>
      </w:pPr>
      <w:r>
        <w:rPr/>
        <w:t>The Company's main interest rate risk arises from short term borrowings. Borrowings issued at variable rates expose the Company to cash flow interest rate risk.</w:t>
      </w:r>
    </w:p>
    <w:p>
      <w:pPr>
        <w:pStyle w:val="BodyText"/>
        <w:spacing w:before="7"/>
        <w:rPr>
          <w:sz w:val="14"/>
        </w:rPr>
      </w:pPr>
    </w:p>
    <w:p>
      <w:pPr>
        <w:pStyle w:val="BodyText"/>
        <w:ind w:left="145" w:right="139"/>
      </w:pPr>
      <w:r>
        <w:rPr/>
        <w:t>As at the end of the reporting period, the Company had the following variable rate borrowings:</w:t>
      </w:r>
    </w:p>
    <w:p>
      <w:pPr>
        <w:pStyle w:val="BodyText"/>
        <w:spacing w:before="8"/>
        <w:rPr>
          <w:sz w:val="23"/>
        </w:rPr>
      </w:pPr>
    </w:p>
    <w:p>
      <w:pPr>
        <w:tabs>
          <w:tab w:pos="8169" w:val="left" w:leader="none"/>
        </w:tabs>
        <w:spacing w:before="0"/>
        <w:ind w:left="5315" w:right="139" w:firstLine="0"/>
        <w:jc w:val="left"/>
        <w:rPr>
          <w:sz w:val="18"/>
        </w:rPr>
      </w:pPr>
      <w:r>
        <w:rPr>
          <w:b/>
          <w:sz w:val="18"/>
        </w:rPr>
        <w:t>31</w:t>
      </w:r>
      <w:r>
        <w:rPr>
          <w:b/>
          <w:spacing w:val="-1"/>
          <w:sz w:val="18"/>
        </w:rPr>
        <w:t> </w:t>
      </w:r>
      <w:r>
        <w:rPr>
          <w:b/>
          <w:sz w:val="18"/>
        </w:rPr>
        <w:t>December</w:t>
      </w:r>
      <w:r>
        <w:rPr>
          <w:b/>
          <w:spacing w:val="-1"/>
          <w:sz w:val="18"/>
        </w:rPr>
        <w:t> </w:t>
      </w:r>
      <w:r>
        <w:rPr>
          <w:b/>
          <w:sz w:val="18"/>
        </w:rPr>
        <w:t>2012</w:t>
        <w:tab/>
      </w:r>
      <w:r>
        <w:rPr>
          <w:position w:val="-2"/>
          <w:sz w:val="18"/>
        </w:rPr>
        <w:t>31 December</w:t>
      </w:r>
      <w:r>
        <w:rPr>
          <w:spacing w:val="-1"/>
          <w:position w:val="-2"/>
          <w:sz w:val="18"/>
        </w:rPr>
        <w:t> </w:t>
      </w:r>
      <w:r>
        <w:rPr>
          <w:position w:val="-2"/>
          <w:sz w:val="18"/>
        </w:rPr>
        <w:t>2011</w:t>
      </w:r>
    </w:p>
    <w:p>
      <w:pPr>
        <w:spacing w:after="0"/>
        <w:jc w:val="left"/>
        <w:rPr>
          <w:sz w:val="18"/>
        </w:rPr>
        <w:sectPr>
          <w:pgSz w:w="11910" w:h="16840"/>
          <w:pgMar w:header="936" w:footer="526" w:top="2040" w:bottom="700" w:left="760" w:right="680"/>
        </w:sectPr>
      </w:pPr>
    </w:p>
    <w:p>
      <w:pPr>
        <w:pStyle w:val="Heading9"/>
        <w:spacing w:line="207" w:lineRule="exact" w:before="70"/>
        <w:ind w:left="4762"/>
      </w:pPr>
      <w:r>
        <w:rPr/>
        <w:t>Weighted average</w:t>
      </w:r>
    </w:p>
    <w:p>
      <w:pPr>
        <w:tabs>
          <w:tab w:pos="1586" w:val="left" w:leader="none"/>
        </w:tabs>
        <w:spacing w:line="227" w:lineRule="exact" w:before="0"/>
        <w:ind w:left="0" w:right="0" w:firstLine="0"/>
        <w:jc w:val="right"/>
        <w:rPr>
          <w:b/>
          <w:sz w:val="18"/>
        </w:rPr>
      </w:pPr>
      <w:r>
        <w:rPr>
          <w:b/>
          <w:sz w:val="18"/>
        </w:rPr>
        <w:t>interest</w:t>
      </w:r>
      <w:r>
        <w:rPr>
          <w:b/>
          <w:spacing w:val="-1"/>
          <w:sz w:val="18"/>
        </w:rPr>
        <w:t> </w:t>
      </w:r>
      <w:r>
        <w:rPr>
          <w:b/>
          <w:sz w:val="18"/>
        </w:rPr>
        <w:t>rate</w:t>
        <w:tab/>
      </w:r>
      <w:r>
        <w:rPr>
          <w:b/>
          <w:spacing w:val="-1"/>
          <w:position w:val="-1"/>
          <w:sz w:val="18"/>
        </w:rPr>
        <w:t>Balance</w:t>
      </w:r>
    </w:p>
    <w:p>
      <w:pPr>
        <w:pStyle w:val="BodyText"/>
        <w:spacing w:line="207" w:lineRule="exact" w:before="70"/>
        <w:ind w:left="302"/>
      </w:pPr>
      <w:r>
        <w:rPr/>
        <w:br w:type="column"/>
      </w:r>
      <w:r>
        <w:rPr/>
        <w:t>Weighted average</w:t>
      </w:r>
    </w:p>
    <w:p>
      <w:pPr>
        <w:pStyle w:val="BodyText"/>
        <w:tabs>
          <w:tab w:pos="2124" w:val="left" w:leader="none"/>
        </w:tabs>
        <w:spacing w:line="227" w:lineRule="exact"/>
        <w:ind w:left="557"/>
      </w:pPr>
      <w:r>
        <w:rPr/>
        <w:t>interest</w:t>
      </w:r>
      <w:r>
        <w:rPr>
          <w:spacing w:val="-1"/>
        </w:rPr>
        <w:t> </w:t>
      </w:r>
      <w:r>
        <w:rPr/>
        <w:t>rate</w:t>
        <w:tab/>
      </w:r>
      <w:r>
        <w:rPr>
          <w:position w:val="-1"/>
        </w:rPr>
        <w:t>Balance</w:t>
      </w:r>
    </w:p>
    <w:p>
      <w:pPr>
        <w:spacing w:after="0" w:line="227" w:lineRule="exact"/>
        <w:sectPr>
          <w:type w:val="continuous"/>
          <w:pgSz w:w="11910" w:h="16840"/>
          <w:pgMar w:top="0" w:bottom="280" w:left="760" w:right="680"/>
          <w:cols w:num="2" w:equalWidth="0">
            <w:col w:w="7294" w:space="40"/>
            <w:col w:w="3136"/>
          </w:cols>
        </w:sectPr>
      </w:pPr>
    </w:p>
    <w:p>
      <w:pPr>
        <w:tabs>
          <w:tab w:pos="6898" w:val="left" w:leader="none"/>
          <w:tab w:pos="8285" w:val="left" w:leader="none"/>
          <w:tab w:pos="9732" w:val="left" w:leader="none"/>
        </w:tabs>
        <w:spacing w:before="70"/>
        <w:ind w:left="5450" w:right="139" w:firstLine="0"/>
        <w:jc w:val="left"/>
        <w:rPr>
          <w:sz w:val="18"/>
        </w:rPr>
      </w:pPr>
      <w:r>
        <w:rPr>
          <w:b/>
          <w:sz w:val="18"/>
        </w:rPr>
        <w:t>%</w:t>
        <w:tab/>
        <w:t>$</w:t>
        <w:tab/>
      </w:r>
      <w:r>
        <w:rPr>
          <w:sz w:val="18"/>
        </w:rPr>
        <w:t>%</w:t>
        <w:tab/>
        <w:t>$</w:t>
      </w:r>
    </w:p>
    <w:p>
      <w:pPr>
        <w:pStyle w:val="BodyText"/>
        <w:spacing w:before="2"/>
        <w:rPr>
          <w:sz w:val="16"/>
        </w:rPr>
      </w:pPr>
    </w:p>
    <w:tbl>
      <w:tblPr>
        <w:tblW w:w="0" w:type="auto"/>
        <w:jc w:val="left"/>
        <w:tblInd w:w="15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60"/>
        <w:gridCol w:w="1800"/>
        <w:gridCol w:w="1562"/>
        <w:gridCol w:w="1272"/>
        <w:gridCol w:w="1002"/>
      </w:tblGrid>
      <w:tr>
        <w:trPr>
          <w:trHeight w:val="293" w:hRule="exact"/>
        </w:trPr>
        <w:tc>
          <w:tcPr>
            <w:tcW w:w="4560" w:type="dxa"/>
          </w:tcPr>
          <w:p>
            <w:pPr>
              <w:pStyle w:val="TableParagraph"/>
              <w:spacing w:before="77"/>
              <w:ind w:left="35"/>
              <w:rPr>
                <w:sz w:val="18"/>
              </w:rPr>
            </w:pPr>
            <w:r>
              <w:rPr>
                <w:sz w:val="18"/>
              </w:rPr>
              <w:t>Borrowings</w:t>
            </w:r>
          </w:p>
        </w:tc>
        <w:tc>
          <w:tcPr>
            <w:tcW w:w="1800" w:type="dxa"/>
          </w:tcPr>
          <w:p>
            <w:pPr>
              <w:pStyle w:val="TableParagraph"/>
              <w:spacing w:before="77"/>
              <w:ind w:left="1123"/>
              <w:rPr>
                <w:b/>
                <w:sz w:val="18"/>
              </w:rPr>
            </w:pPr>
            <w:r>
              <w:rPr>
                <w:b/>
                <w:sz w:val="18"/>
              </w:rPr>
              <w:t>6.39%</w:t>
            </w:r>
          </w:p>
        </w:tc>
        <w:tc>
          <w:tcPr>
            <w:tcW w:w="1562" w:type="dxa"/>
          </w:tcPr>
          <w:p>
            <w:pPr>
              <w:pStyle w:val="TableParagraph"/>
              <w:spacing w:before="77"/>
              <w:ind w:left="166"/>
              <w:rPr>
                <w:b/>
                <w:sz w:val="18"/>
              </w:rPr>
            </w:pPr>
            <w:r>
              <w:rPr>
                <w:b/>
                <w:sz w:val="18"/>
                <w:u w:val="single"/>
              </w:rPr>
              <w:t>1,611,495</w:t>
            </w:r>
          </w:p>
        </w:tc>
        <w:tc>
          <w:tcPr>
            <w:tcW w:w="1272" w:type="dxa"/>
          </w:tcPr>
          <w:p>
            <w:pPr>
              <w:pStyle w:val="TableParagraph"/>
              <w:spacing w:before="77"/>
              <w:ind w:left="595"/>
              <w:rPr>
                <w:sz w:val="18"/>
              </w:rPr>
            </w:pPr>
            <w:r>
              <w:rPr>
                <w:sz w:val="18"/>
              </w:rPr>
              <w:t>7.25%</w:t>
            </w:r>
          </w:p>
        </w:tc>
        <w:tc>
          <w:tcPr>
            <w:tcW w:w="1002" w:type="dxa"/>
          </w:tcPr>
          <w:p>
            <w:pPr>
              <w:pStyle w:val="TableParagraph"/>
              <w:spacing w:before="77"/>
              <w:ind w:right="33"/>
              <w:jc w:val="right"/>
              <w:rPr>
                <w:sz w:val="18"/>
              </w:rPr>
            </w:pPr>
            <w:r>
              <w:rPr>
                <w:w w:val="95"/>
                <w:sz w:val="18"/>
                <w:u w:val="single"/>
              </w:rPr>
              <w:t>1,859,375</w:t>
            </w:r>
          </w:p>
        </w:tc>
      </w:tr>
      <w:tr>
        <w:trPr>
          <w:trHeight w:val="293" w:hRule="exact"/>
        </w:trPr>
        <w:tc>
          <w:tcPr>
            <w:tcW w:w="4560" w:type="dxa"/>
          </w:tcPr>
          <w:p>
            <w:pPr>
              <w:pStyle w:val="TableParagraph"/>
              <w:spacing w:line="197" w:lineRule="exact"/>
              <w:ind w:left="35"/>
              <w:rPr>
                <w:sz w:val="18"/>
              </w:rPr>
            </w:pPr>
            <w:r>
              <w:rPr>
                <w:sz w:val="18"/>
              </w:rPr>
              <w:t>Net exposure to cash flow interest rate risk</w:t>
            </w:r>
          </w:p>
        </w:tc>
        <w:tc>
          <w:tcPr>
            <w:tcW w:w="1800" w:type="dxa"/>
          </w:tcPr>
          <w:p>
            <w:pPr/>
          </w:p>
        </w:tc>
        <w:tc>
          <w:tcPr>
            <w:tcW w:w="1562" w:type="dxa"/>
          </w:tcPr>
          <w:p>
            <w:pPr>
              <w:pStyle w:val="TableParagraph"/>
              <w:spacing w:line="197" w:lineRule="exact"/>
              <w:ind w:left="166"/>
              <w:rPr>
                <w:b/>
                <w:sz w:val="18"/>
              </w:rPr>
            </w:pPr>
            <w:r>
              <w:rPr>
                <w:b/>
                <w:sz w:val="18"/>
                <w:u w:val="single"/>
              </w:rPr>
              <w:t>1,611,495</w:t>
            </w:r>
          </w:p>
        </w:tc>
        <w:tc>
          <w:tcPr>
            <w:tcW w:w="1272" w:type="dxa"/>
          </w:tcPr>
          <w:p>
            <w:pPr/>
          </w:p>
        </w:tc>
        <w:tc>
          <w:tcPr>
            <w:tcW w:w="1002" w:type="dxa"/>
          </w:tcPr>
          <w:p>
            <w:pPr>
              <w:pStyle w:val="TableParagraph"/>
              <w:spacing w:line="197" w:lineRule="exact"/>
              <w:ind w:right="33"/>
              <w:jc w:val="right"/>
              <w:rPr>
                <w:sz w:val="18"/>
              </w:rPr>
            </w:pPr>
            <w:r>
              <w:rPr>
                <w:w w:val="95"/>
                <w:sz w:val="18"/>
                <w:u w:val="single"/>
              </w:rPr>
              <w:t>1,859,375</w:t>
            </w:r>
          </w:p>
        </w:tc>
      </w:tr>
    </w:tbl>
    <w:p>
      <w:pPr>
        <w:pStyle w:val="BodyText"/>
        <w:rPr>
          <w:sz w:val="20"/>
        </w:rPr>
      </w:pPr>
    </w:p>
    <w:p>
      <w:pPr>
        <w:pStyle w:val="BodyText"/>
        <w:rPr>
          <w:sz w:val="21"/>
        </w:rPr>
      </w:pPr>
    </w:p>
    <w:p>
      <w:pPr>
        <w:pStyle w:val="BodyText"/>
        <w:ind w:left="145" w:right="139"/>
      </w:pPr>
      <w:r>
        <w:rPr/>
        <w:t>An analysis by maturities is provided in (c) below.</w:t>
      </w:r>
    </w:p>
    <w:p>
      <w:pPr>
        <w:spacing w:after="0"/>
        <w:sectPr>
          <w:type w:val="continuous"/>
          <w:pgSz w:w="11910" w:h="16840"/>
          <w:pgMar w:top="0" w:bottom="280" w:left="760" w:right="680"/>
        </w:sectPr>
      </w:pPr>
    </w:p>
    <w:p>
      <w:pPr>
        <w:pStyle w:val="BodyText"/>
        <w:rPr>
          <w:sz w:val="20"/>
        </w:rPr>
      </w:pPr>
    </w:p>
    <w:p>
      <w:pPr>
        <w:pStyle w:val="BodyText"/>
        <w:spacing w:before="4"/>
        <w:rPr>
          <w:sz w:val="21"/>
        </w:rPr>
      </w:pPr>
    </w:p>
    <w:p>
      <w:pPr>
        <w:pStyle w:val="Heading9"/>
        <w:tabs>
          <w:tab w:pos="501" w:val="left" w:leader="none"/>
        </w:tabs>
        <w:spacing w:before="77"/>
        <w:ind w:left="105" w:right="676"/>
      </w:pPr>
      <w:r>
        <w:rPr/>
        <w:t>2</w:t>
        <w:tab/>
        <w:t>Financial risk</w:t>
      </w:r>
      <w:r>
        <w:rPr>
          <w:spacing w:val="-3"/>
        </w:rPr>
        <w:t> </w:t>
      </w:r>
      <w:r>
        <w:rPr/>
        <w:t>management</w:t>
      </w:r>
    </w:p>
    <w:p>
      <w:pPr>
        <w:pStyle w:val="BodyText"/>
        <w:spacing w:before="1"/>
        <w:rPr>
          <w:b/>
          <w:sz w:val="25"/>
        </w:rPr>
      </w:pPr>
    </w:p>
    <w:p>
      <w:pPr>
        <w:pStyle w:val="ListParagraph"/>
        <w:numPr>
          <w:ilvl w:val="0"/>
          <w:numId w:val="108"/>
        </w:numPr>
        <w:tabs>
          <w:tab w:pos="786" w:val="left" w:leader="none"/>
        </w:tabs>
        <w:spacing w:line="240" w:lineRule="auto" w:before="0" w:after="0"/>
        <w:ind w:left="785" w:right="0" w:hanging="679"/>
        <w:jc w:val="left"/>
        <w:rPr>
          <w:b/>
          <w:sz w:val="18"/>
        </w:rPr>
      </w:pPr>
      <w:r>
        <w:rPr>
          <w:b/>
          <w:sz w:val="18"/>
        </w:rPr>
        <w:t>Market</w:t>
      </w:r>
      <w:r>
        <w:rPr>
          <w:b/>
          <w:spacing w:val="-1"/>
          <w:sz w:val="18"/>
        </w:rPr>
        <w:t> </w:t>
      </w:r>
      <w:r>
        <w:rPr>
          <w:b/>
          <w:sz w:val="18"/>
        </w:rPr>
        <w:t>risk</w:t>
      </w:r>
    </w:p>
    <w:p>
      <w:pPr>
        <w:pStyle w:val="BodyText"/>
        <w:spacing w:before="6"/>
        <w:rPr>
          <w:b/>
          <w:sz w:val="24"/>
        </w:rPr>
      </w:pPr>
    </w:p>
    <w:p>
      <w:pPr>
        <w:pStyle w:val="ListParagraph"/>
        <w:numPr>
          <w:ilvl w:val="0"/>
          <w:numId w:val="107"/>
        </w:numPr>
        <w:tabs>
          <w:tab w:pos="502" w:val="left" w:leader="none"/>
        </w:tabs>
        <w:spacing w:line="207" w:lineRule="exact" w:before="0" w:after="0"/>
        <w:ind w:left="502" w:right="0" w:hanging="396"/>
        <w:jc w:val="left"/>
        <w:rPr>
          <w:i/>
          <w:sz w:val="18"/>
        </w:rPr>
      </w:pPr>
      <w:r>
        <w:rPr>
          <w:i/>
          <w:sz w:val="18"/>
        </w:rPr>
        <w:t>Summarised sensitivity</w:t>
      </w:r>
      <w:r>
        <w:rPr>
          <w:i/>
          <w:spacing w:val="-1"/>
          <w:sz w:val="18"/>
        </w:rPr>
        <w:t> </w:t>
      </w:r>
      <w:r>
        <w:rPr>
          <w:i/>
          <w:sz w:val="18"/>
        </w:rPr>
        <w:t>analysis</w:t>
      </w:r>
    </w:p>
    <w:p>
      <w:pPr>
        <w:pStyle w:val="BodyText"/>
        <w:ind w:left="105" w:right="676"/>
      </w:pPr>
      <w:r>
        <w:rPr/>
        <w:t>The following table summarises the sensitivity of the Company's financial assets and financial liabilities to interest rate risk, foreign exchange risk and other price risk.</w:t>
      </w:r>
    </w:p>
    <w:p>
      <w:pPr>
        <w:pStyle w:val="BodyText"/>
        <w:spacing w:before="11"/>
        <w:rPr>
          <w:sz w:val="10"/>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16"/>
        <w:gridCol w:w="1242"/>
        <w:gridCol w:w="1399"/>
        <w:gridCol w:w="916"/>
        <w:gridCol w:w="1443"/>
        <w:gridCol w:w="898"/>
      </w:tblGrid>
      <w:tr>
        <w:trPr>
          <w:trHeight w:val="528" w:hRule="exact"/>
        </w:trPr>
        <w:tc>
          <w:tcPr>
            <w:tcW w:w="4416" w:type="dxa"/>
            <w:vMerge w:val="restart"/>
          </w:tcPr>
          <w:p>
            <w:pPr/>
          </w:p>
        </w:tc>
        <w:tc>
          <w:tcPr>
            <w:tcW w:w="1242" w:type="dxa"/>
          </w:tcPr>
          <w:p>
            <w:pPr/>
          </w:p>
        </w:tc>
        <w:tc>
          <w:tcPr>
            <w:tcW w:w="1399" w:type="dxa"/>
          </w:tcPr>
          <w:p>
            <w:pPr>
              <w:pStyle w:val="TableParagraph"/>
              <w:spacing w:before="7"/>
              <w:rPr>
                <w:sz w:val="26"/>
              </w:rPr>
            </w:pPr>
          </w:p>
          <w:p>
            <w:pPr>
              <w:pStyle w:val="TableParagraph"/>
              <w:ind w:right="72"/>
              <w:jc w:val="right"/>
              <w:rPr>
                <w:b/>
                <w:sz w:val="18"/>
              </w:rPr>
            </w:pPr>
            <w:r>
              <w:rPr>
                <w:b/>
                <w:sz w:val="18"/>
              </w:rPr>
              <w:t>-1%</w:t>
            </w:r>
          </w:p>
        </w:tc>
        <w:tc>
          <w:tcPr>
            <w:tcW w:w="916" w:type="dxa"/>
          </w:tcPr>
          <w:p>
            <w:pPr>
              <w:pStyle w:val="TableParagraph"/>
              <w:spacing w:before="77"/>
              <w:ind w:right="25"/>
              <w:jc w:val="right"/>
              <w:rPr>
                <w:b/>
                <w:sz w:val="18"/>
              </w:rPr>
            </w:pPr>
            <w:r>
              <w:rPr>
                <w:b/>
                <w:sz w:val="18"/>
              </w:rPr>
              <w:t>Interest</w:t>
            </w:r>
          </w:p>
        </w:tc>
        <w:tc>
          <w:tcPr>
            <w:tcW w:w="1443" w:type="dxa"/>
          </w:tcPr>
          <w:p>
            <w:pPr>
              <w:pStyle w:val="TableParagraph"/>
              <w:spacing w:before="77"/>
              <w:ind w:left="22"/>
              <w:rPr>
                <w:b/>
                <w:sz w:val="18"/>
              </w:rPr>
            </w:pPr>
            <w:r>
              <w:rPr>
                <w:b/>
                <w:sz w:val="18"/>
              </w:rPr>
              <w:t>rate risk</w:t>
            </w:r>
          </w:p>
          <w:p>
            <w:pPr>
              <w:pStyle w:val="TableParagraph"/>
              <w:spacing w:before="22"/>
              <w:ind w:right="56"/>
              <w:jc w:val="right"/>
              <w:rPr>
                <w:b/>
                <w:sz w:val="18"/>
              </w:rPr>
            </w:pPr>
            <w:r>
              <w:rPr>
                <w:b/>
                <w:sz w:val="18"/>
              </w:rPr>
              <w:t>+1%</w:t>
            </w:r>
          </w:p>
        </w:tc>
        <w:tc>
          <w:tcPr>
            <w:tcW w:w="898" w:type="dxa"/>
            <w:vMerge w:val="restart"/>
          </w:tcPr>
          <w:p>
            <w:pPr/>
          </w:p>
        </w:tc>
      </w:tr>
      <w:tr>
        <w:trPr>
          <w:trHeight w:val="226" w:hRule="exact"/>
        </w:trPr>
        <w:tc>
          <w:tcPr>
            <w:tcW w:w="4416" w:type="dxa"/>
            <w:vMerge/>
          </w:tcPr>
          <w:p>
            <w:pPr/>
          </w:p>
        </w:tc>
        <w:tc>
          <w:tcPr>
            <w:tcW w:w="1242" w:type="dxa"/>
          </w:tcPr>
          <w:p>
            <w:pPr>
              <w:pStyle w:val="TableParagraph"/>
              <w:spacing w:line="203" w:lineRule="exact"/>
              <w:ind w:left="230"/>
              <w:rPr>
                <w:b/>
                <w:sz w:val="18"/>
              </w:rPr>
            </w:pPr>
            <w:r>
              <w:rPr>
                <w:b/>
                <w:sz w:val="18"/>
              </w:rPr>
              <w:t>Carrying</w:t>
            </w:r>
          </w:p>
        </w:tc>
        <w:tc>
          <w:tcPr>
            <w:tcW w:w="1399" w:type="dxa"/>
          </w:tcPr>
          <w:p>
            <w:pPr>
              <w:pStyle w:val="TableParagraph"/>
              <w:spacing w:line="203" w:lineRule="exact"/>
              <w:ind w:left="181"/>
              <w:rPr>
                <w:b/>
                <w:sz w:val="18"/>
              </w:rPr>
            </w:pPr>
            <w:r>
              <w:rPr>
                <w:b/>
                <w:sz w:val="18"/>
              </w:rPr>
              <w:t>Surplus /</w:t>
            </w:r>
          </w:p>
        </w:tc>
        <w:tc>
          <w:tcPr>
            <w:tcW w:w="916" w:type="dxa"/>
          </w:tcPr>
          <w:p>
            <w:pPr/>
          </w:p>
        </w:tc>
        <w:tc>
          <w:tcPr>
            <w:tcW w:w="1443" w:type="dxa"/>
          </w:tcPr>
          <w:p>
            <w:pPr>
              <w:pStyle w:val="TableParagraph"/>
              <w:spacing w:line="203" w:lineRule="exact"/>
              <w:ind w:left="225"/>
              <w:rPr>
                <w:b/>
                <w:sz w:val="18"/>
              </w:rPr>
            </w:pPr>
            <w:r>
              <w:rPr>
                <w:b/>
                <w:sz w:val="18"/>
              </w:rPr>
              <w:t>Surplus /</w:t>
            </w:r>
          </w:p>
        </w:tc>
        <w:tc>
          <w:tcPr>
            <w:tcW w:w="898" w:type="dxa"/>
            <w:vMerge/>
          </w:tcPr>
          <w:p>
            <w:pPr/>
          </w:p>
        </w:tc>
      </w:tr>
      <w:tr>
        <w:trPr>
          <w:trHeight w:val="253" w:hRule="exact"/>
        </w:trPr>
        <w:tc>
          <w:tcPr>
            <w:tcW w:w="4416" w:type="dxa"/>
          </w:tcPr>
          <w:p>
            <w:pPr>
              <w:pStyle w:val="TableParagraph"/>
              <w:spacing w:before="25"/>
              <w:ind w:left="35"/>
              <w:rPr>
                <w:b/>
                <w:sz w:val="18"/>
              </w:rPr>
            </w:pPr>
            <w:r>
              <w:rPr>
                <w:b/>
                <w:sz w:val="18"/>
              </w:rPr>
              <w:t>31 December 2012</w:t>
            </w:r>
          </w:p>
        </w:tc>
        <w:tc>
          <w:tcPr>
            <w:tcW w:w="1242" w:type="dxa"/>
          </w:tcPr>
          <w:p>
            <w:pPr>
              <w:pStyle w:val="TableParagraph"/>
              <w:spacing w:before="3"/>
              <w:ind w:left="274"/>
              <w:rPr>
                <w:b/>
                <w:sz w:val="18"/>
              </w:rPr>
            </w:pPr>
            <w:r>
              <w:rPr>
                <w:b/>
                <w:sz w:val="18"/>
              </w:rPr>
              <w:t>amount</w:t>
            </w:r>
          </w:p>
        </w:tc>
        <w:tc>
          <w:tcPr>
            <w:tcW w:w="1399" w:type="dxa"/>
          </w:tcPr>
          <w:p>
            <w:pPr>
              <w:pStyle w:val="TableParagraph"/>
              <w:spacing w:before="3"/>
              <w:ind w:left="232"/>
              <w:rPr>
                <w:b/>
                <w:sz w:val="18"/>
              </w:rPr>
            </w:pPr>
            <w:r>
              <w:rPr>
                <w:b/>
                <w:sz w:val="18"/>
              </w:rPr>
              <w:t>(Deficit)</w:t>
            </w:r>
          </w:p>
        </w:tc>
        <w:tc>
          <w:tcPr>
            <w:tcW w:w="916" w:type="dxa"/>
          </w:tcPr>
          <w:p>
            <w:pPr>
              <w:pStyle w:val="TableParagraph"/>
              <w:spacing w:before="3"/>
              <w:ind w:left="74"/>
              <w:rPr>
                <w:b/>
                <w:sz w:val="18"/>
              </w:rPr>
            </w:pPr>
            <w:r>
              <w:rPr>
                <w:b/>
                <w:sz w:val="18"/>
              </w:rPr>
              <w:t>Equity</w:t>
            </w:r>
          </w:p>
        </w:tc>
        <w:tc>
          <w:tcPr>
            <w:tcW w:w="1443" w:type="dxa"/>
          </w:tcPr>
          <w:p>
            <w:pPr>
              <w:pStyle w:val="TableParagraph"/>
              <w:spacing w:before="3"/>
              <w:ind w:left="277"/>
              <w:rPr>
                <w:b/>
                <w:sz w:val="18"/>
              </w:rPr>
            </w:pPr>
            <w:r>
              <w:rPr>
                <w:b/>
                <w:sz w:val="18"/>
              </w:rPr>
              <w:t>(Deficit)</w:t>
            </w:r>
          </w:p>
        </w:tc>
        <w:tc>
          <w:tcPr>
            <w:tcW w:w="898" w:type="dxa"/>
          </w:tcPr>
          <w:p>
            <w:pPr>
              <w:pStyle w:val="TableParagraph"/>
              <w:spacing w:before="3"/>
              <w:ind w:left="58"/>
              <w:rPr>
                <w:b/>
                <w:sz w:val="18"/>
              </w:rPr>
            </w:pPr>
            <w:r>
              <w:rPr>
                <w:b/>
                <w:sz w:val="18"/>
              </w:rPr>
              <w:t>Equity</w:t>
            </w:r>
          </w:p>
        </w:tc>
      </w:tr>
      <w:tr>
        <w:trPr>
          <w:trHeight w:val="229" w:hRule="exact"/>
        </w:trPr>
        <w:tc>
          <w:tcPr>
            <w:tcW w:w="4416" w:type="dxa"/>
          </w:tcPr>
          <w:p>
            <w:pPr/>
          </w:p>
        </w:tc>
        <w:tc>
          <w:tcPr>
            <w:tcW w:w="1242" w:type="dxa"/>
          </w:tcPr>
          <w:p>
            <w:pPr>
              <w:pStyle w:val="TableParagraph"/>
              <w:spacing w:before="1"/>
              <w:ind w:right="26"/>
              <w:jc w:val="center"/>
              <w:rPr>
                <w:b/>
                <w:sz w:val="18"/>
              </w:rPr>
            </w:pPr>
            <w:r>
              <w:rPr>
                <w:b/>
                <w:w w:val="99"/>
                <w:sz w:val="18"/>
              </w:rPr>
              <w:t>$</w:t>
            </w:r>
          </w:p>
        </w:tc>
        <w:tc>
          <w:tcPr>
            <w:tcW w:w="1399" w:type="dxa"/>
          </w:tcPr>
          <w:p>
            <w:pPr>
              <w:pStyle w:val="TableParagraph"/>
              <w:spacing w:before="1"/>
              <w:ind w:right="245"/>
              <w:jc w:val="center"/>
              <w:rPr>
                <w:b/>
                <w:sz w:val="18"/>
              </w:rPr>
            </w:pPr>
            <w:r>
              <w:rPr>
                <w:b/>
                <w:w w:val="99"/>
                <w:sz w:val="18"/>
              </w:rPr>
              <w:t>$</w:t>
            </w:r>
          </w:p>
        </w:tc>
        <w:tc>
          <w:tcPr>
            <w:tcW w:w="916" w:type="dxa"/>
          </w:tcPr>
          <w:p>
            <w:pPr>
              <w:pStyle w:val="TableParagraph"/>
              <w:spacing w:before="1"/>
              <w:ind w:right="201"/>
              <w:jc w:val="center"/>
              <w:rPr>
                <w:b/>
                <w:sz w:val="18"/>
              </w:rPr>
            </w:pPr>
            <w:r>
              <w:rPr>
                <w:b/>
                <w:w w:val="99"/>
                <w:sz w:val="18"/>
              </w:rPr>
              <w:t>$</w:t>
            </w:r>
          </w:p>
        </w:tc>
        <w:tc>
          <w:tcPr>
            <w:tcW w:w="1443" w:type="dxa"/>
          </w:tcPr>
          <w:p>
            <w:pPr>
              <w:pStyle w:val="TableParagraph"/>
              <w:spacing w:before="1"/>
              <w:ind w:right="201"/>
              <w:jc w:val="center"/>
              <w:rPr>
                <w:b/>
                <w:sz w:val="18"/>
              </w:rPr>
            </w:pPr>
            <w:r>
              <w:rPr>
                <w:b/>
                <w:w w:val="99"/>
                <w:sz w:val="18"/>
              </w:rPr>
              <w:t>$</w:t>
            </w:r>
          </w:p>
        </w:tc>
        <w:tc>
          <w:tcPr>
            <w:tcW w:w="898" w:type="dxa"/>
          </w:tcPr>
          <w:p>
            <w:pPr>
              <w:pStyle w:val="TableParagraph"/>
              <w:spacing w:before="1"/>
              <w:ind w:left="290"/>
              <w:rPr>
                <w:b/>
                <w:sz w:val="18"/>
              </w:rPr>
            </w:pPr>
            <w:r>
              <w:rPr>
                <w:b/>
                <w:w w:val="99"/>
                <w:sz w:val="18"/>
              </w:rPr>
              <w:t>$</w:t>
            </w:r>
          </w:p>
        </w:tc>
      </w:tr>
      <w:tr>
        <w:trPr>
          <w:trHeight w:val="229" w:hRule="exact"/>
        </w:trPr>
        <w:tc>
          <w:tcPr>
            <w:tcW w:w="4416" w:type="dxa"/>
          </w:tcPr>
          <w:p>
            <w:pPr>
              <w:pStyle w:val="TableParagraph"/>
              <w:spacing w:before="1"/>
              <w:ind w:left="35"/>
              <w:rPr>
                <w:b/>
                <w:sz w:val="18"/>
              </w:rPr>
            </w:pPr>
            <w:r>
              <w:rPr>
                <w:b/>
                <w:sz w:val="18"/>
              </w:rPr>
              <w:t>Financial assets</w:t>
            </w:r>
          </w:p>
        </w:tc>
        <w:tc>
          <w:tcPr>
            <w:tcW w:w="1242" w:type="dxa"/>
          </w:tcPr>
          <w:p>
            <w:pPr/>
          </w:p>
        </w:tc>
        <w:tc>
          <w:tcPr>
            <w:tcW w:w="1399" w:type="dxa"/>
          </w:tcPr>
          <w:p>
            <w:pPr/>
          </w:p>
        </w:tc>
        <w:tc>
          <w:tcPr>
            <w:tcW w:w="916" w:type="dxa"/>
          </w:tcPr>
          <w:p>
            <w:pPr/>
          </w:p>
        </w:tc>
        <w:tc>
          <w:tcPr>
            <w:tcW w:w="1443" w:type="dxa"/>
          </w:tcPr>
          <w:p>
            <w:pPr/>
          </w:p>
        </w:tc>
        <w:tc>
          <w:tcPr>
            <w:tcW w:w="898" w:type="dxa"/>
          </w:tcPr>
          <w:p>
            <w:pPr/>
          </w:p>
        </w:tc>
      </w:tr>
      <w:tr>
        <w:trPr>
          <w:trHeight w:val="229" w:hRule="exact"/>
        </w:trPr>
        <w:tc>
          <w:tcPr>
            <w:tcW w:w="4416" w:type="dxa"/>
          </w:tcPr>
          <w:p>
            <w:pPr>
              <w:pStyle w:val="TableParagraph"/>
              <w:spacing w:before="1"/>
              <w:ind w:left="35"/>
              <w:rPr>
                <w:sz w:val="18"/>
              </w:rPr>
            </w:pPr>
            <w:r>
              <w:rPr>
                <w:sz w:val="18"/>
              </w:rPr>
              <w:t>Cash and cash equivalents</w:t>
            </w:r>
          </w:p>
        </w:tc>
        <w:tc>
          <w:tcPr>
            <w:tcW w:w="1242" w:type="dxa"/>
          </w:tcPr>
          <w:p>
            <w:pPr>
              <w:pStyle w:val="TableParagraph"/>
              <w:spacing w:before="1"/>
              <w:ind w:left="302"/>
              <w:rPr>
                <w:b/>
                <w:sz w:val="18"/>
              </w:rPr>
            </w:pPr>
            <w:r>
              <w:rPr>
                <w:b/>
                <w:sz w:val="18"/>
              </w:rPr>
              <w:t>2,281,787</w:t>
            </w:r>
          </w:p>
        </w:tc>
        <w:tc>
          <w:tcPr>
            <w:tcW w:w="1399" w:type="dxa"/>
          </w:tcPr>
          <w:p>
            <w:pPr>
              <w:pStyle w:val="TableParagraph"/>
              <w:spacing w:before="1"/>
              <w:ind w:left="428"/>
              <w:rPr>
                <w:b/>
                <w:sz w:val="18"/>
              </w:rPr>
            </w:pPr>
            <w:r>
              <w:rPr>
                <w:b/>
                <w:sz w:val="18"/>
              </w:rPr>
              <w:t>(22,817)</w:t>
            </w:r>
          </w:p>
        </w:tc>
        <w:tc>
          <w:tcPr>
            <w:tcW w:w="916" w:type="dxa"/>
          </w:tcPr>
          <w:p>
            <w:pPr>
              <w:pStyle w:val="TableParagraph"/>
              <w:spacing w:before="1"/>
              <w:ind w:right="36"/>
              <w:jc w:val="right"/>
              <w:rPr>
                <w:b/>
                <w:sz w:val="18"/>
              </w:rPr>
            </w:pPr>
            <w:r>
              <w:rPr>
                <w:b/>
                <w:w w:val="95"/>
                <w:sz w:val="18"/>
              </w:rPr>
              <w:t>(22,817)</w:t>
            </w:r>
          </w:p>
        </w:tc>
        <w:tc>
          <w:tcPr>
            <w:tcW w:w="1443" w:type="dxa"/>
          </w:tcPr>
          <w:p>
            <w:pPr>
              <w:pStyle w:val="TableParagraph"/>
              <w:spacing w:before="1"/>
              <w:ind w:right="359"/>
              <w:jc w:val="right"/>
              <w:rPr>
                <w:b/>
                <w:sz w:val="18"/>
              </w:rPr>
            </w:pPr>
            <w:r>
              <w:rPr>
                <w:b/>
                <w:w w:val="95"/>
                <w:sz w:val="18"/>
              </w:rPr>
              <w:t>22,817</w:t>
            </w:r>
          </w:p>
        </w:tc>
        <w:tc>
          <w:tcPr>
            <w:tcW w:w="898" w:type="dxa"/>
          </w:tcPr>
          <w:p>
            <w:pPr>
              <w:pStyle w:val="TableParagraph"/>
              <w:spacing w:before="1"/>
              <w:ind w:right="91"/>
              <w:jc w:val="right"/>
              <w:rPr>
                <w:b/>
                <w:sz w:val="18"/>
              </w:rPr>
            </w:pPr>
            <w:r>
              <w:rPr>
                <w:b/>
                <w:w w:val="95"/>
                <w:sz w:val="18"/>
              </w:rPr>
              <w:t>22,817</w:t>
            </w:r>
          </w:p>
        </w:tc>
      </w:tr>
      <w:tr>
        <w:trPr>
          <w:trHeight w:val="241" w:hRule="exact"/>
        </w:trPr>
        <w:tc>
          <w:tcPr>
            <w:tcW w:w="4416" w:type="dxa"/>
          </w:tcPr>
          <w:p>
            <w:pPr>
              <w:pStyle w:val="TableParagraph"/>
              <w:spacing w:before="1"/>
              <w:ind w:left="35"/>
              <w:rPr>
                <w:sz w:val="18"/>
              </w:rPr>
            </w:pPr>
            <w:r>
              <w:rPr>
                <w:sz w:val="18"/>
              </w:rPr>
              <w:t>Receivables</w:t>
            </w:r>
          </w:p>
        </w:tc>
        <w:tc>
          <w:tcPr>
            <w:tcW w:w="1242" w:type="dxa"/>
            <w:tcBorders>
              <w:bottom w:val="single" w:sz="8" w:space="0" w:color="000000"/>
            </w:tcBorders>
          </w:tcPr>
          <w:p>
            <w:pPr>
              <w:pStyle w:val="TableParagraph"/>
              <w:spacing w:before="1"/>
              <w:ind w:left="452"/>
              <w:rPr>
                <w:b/>
                <w:sz w:val="18"/>
              </w:rPr>
            </w:pPr>
            <w:r>
              <w:rPr>
                <w:b/>
                <w:sz w:val="18"/>
              </w:rPr>
              <w:t>536,721</w:t>
            </w:r>
          </w:p>
        </w:tc>
        <w:tc>
          <w:tcPr>
            <w:tcW w:w="1399" w:type="dxa"/>
            <w:tcBorders>
              <w:bottom w:val="single" w:sz="8" w:space="0" w:color="000000"/>
            </w:tcBorders>
          </w:tcPr>
          <w:p>
            <w:pPr>
              <w:pStyle w:val="TableParagraph"/>
              <w:spacing w:before="1"/>
              <w:ind w:left="528"/>
              <w:rPr>
                <w:b/>
                <w:sz w:val="18"/>
              </w:rPr>
            </w:pPr>
            <w:r>
              <w:rPr>
                <w:b/>
                <w:sz w:val="18"/>
              </w:rPr>
              <w:t>(5,367)</w:t>
            </w:r>
          </w:p>
        </w:tc>
        <w:tc>
          <w:tcPr>
            <w:tcW w:w="916" w:type="dxa"/>
            <w:tcBorders>
              <w:bottom w:val="single" w:sz="8" w:space="0" w:color="000000"/>
            </w:tcBorders>
          </w:tcPr>
          <w:p>
            <w:pPr>
              <w:pStyle w:val="TableParagraph"/>
              <w:spacing w:before="1"/>
              <w:ind w:right="35"/>
              <w:jc w:val="right"/>
              <w:rPr>
                <w:b/>
                <w:sz w:val="18"/>
              </w:rPr>
            </w:pPr>
            <w:r>
              <w:rPr>
                <w:b/>
                <w:w w:val="95"/>
                <w:sz w:val="18"/>
              </w:rPr>
              <w:t>(5,367)</w:t>
            </w:r>
          </w:p>
        </w:tc>
        <w:tc>
          <w:tcPr>
            <w:tcW w:w="1443" w:type="dxa"/>
            <w:tcBorders>
              <w:bottom w:val="single" w:sz="8" w:space="0" w:color="000000"/>
            </w:tcBorders>
          </w:tcPr>
          <w:p>
            <w:pPr>
              <w:pStyle w:val="TableParagraph"/>
              <w:spacing w:before="1"/>
              <w:ind w:right="358"/>
              <w:jc w:val="right"/>
              <w:rPr>
                <w:b/>
                <w:sz w:val="18"/>
              </w:rPr>
            </w:pPr>
            <w:r>
              <w:rPr>
                <w:b/>
                <w:sz w:val="18"/>
              </w:rPr>
              <w:t>5,367</w:t>
            </w:r>
          </w:p>
        </w:tc>
        <w:tc>
          <w:tcPr>
            <w:tcW w:w="898" w:type="dxa"/>
            <w:tcBorders>
              <w:bottom w:val="single" w:sz="8" w:space="0" w:color="000000"/>
            </w:tcBorders>
          </w:tcPr>
          <w:p>
            <w:pPr>
              <w:pStyle w:val="TableParagraph"/>
              <w:spacing w:before="1"/>
              <w:ind w:right="91"/>
              <w:jc w:val="right"/>
              <w:rPr>
                <w:b/>
                <w:sz w:val="18"/>
              </w:rPr>
            </w:pPr>
            <w:r>
              <w:rPr>
                <w:b/>
                <w:w w:val="95"/>
                <w:sz w:val="18"/>
              </w:rPr>
              <w:t>5,367</w:t>
            </w:r>
          </w:p>
        </w:tc>
      </w:tr>
      <w:tr>
        <w:trPr>
          <w:trHeight w:val="446" w:hRule="exact"/>
        </w:trPr>
        <w:tc>
          <w:tcPr>
            <w:tcW w:w="4416" w:type="dxa"/>
          </w:tcPr>
          <w:p>
            <w:pPr>
              <w:pStyle w:val="TableParagraph"/>
              <w:spacing w:before="11"/>
              <w:rPr>
                <w:sz w:val="18"/>
              </w:rPr>
            </w:pPr>
          </w:p>
          <w:p>
            <w:pPr>
              <w:pStyle w:val="TableParagraph"/>
              <w:ind w:left="35"/>
              <w:rPr>
                <w:b/>
                <w:sz w:val="18"/>
              </w:rPr>
            </w:pPr>
            <w:r>
              <w:rPr>
                <w:b/>
                <w:sz w:val="18"/>
              </w:rPr>
              <w:t>Financial liabilities</w:t>
            </w:r>
          </w:p>
        </w:tc>
        <w:tc>
          <w:tcPr>
            <w:tcW w:w="1242" w:type="dxa"/>
            <w:tcBorders>
              <w:top w:val="single" w:sz="8" w:space="0" w:color="000000"/>
            </w:tcBorders>
          </w:tcPr>
          <w:p>
            <w:pPr/>
          </w:p>
        </w:tc>
        <w:tc>
          <w:tcPr>
            <w:tcW w:w="1399" w:type="dxa"/>
            <w:tcBorders>
              <w:top w:val="single" w:sz="8" w:space="0" w:color="000000"/>
            </w:tcBorders>
          </w:tcPr>
          <w:p>
            <w:pPr/>
          </w:p>
        </w:tc>
        <w:tc>
          <w:tcPr>
            <w:tcW w:w="916" w:type="dxa"/>
            <w:tcBorders>
              <w:top w:val="single" w:sz="8" w:space="0" w:color="000000"/>
            </w:tcBorders>
          </w:tcPr>
          <w:p>
            <w:pPr/>
          </w:p>
        </w:tc>
        <w:tc>
          <w:tcPr>
            <w:tcW w:w="1443" w:type="dxa"/>
            <w:tcBorders>
              <w:top w:val="single" w:sz="8" w:space="0" w:color="000000"/>
            </w:tcBorders>
          </w:tcPr>
          <w:p>
            <w:pPr/>
          </w:p>
        </w:tc>
        <w:tc>
          <w:tcPr>
            <w:tcW w:w="898" w:type="dxa"/>
            <w:tcBorders>
              <w:top w:val="single" w:sz="8" w:space="0" w:color="000000"/>
            </w:tcBorders>
          </w:tcPr>
          <w:p>
            <w:pPr/>
          </w:p>
        </w:tc>
      </w:tr>
      <w:tr>
        <w:trPr>
          <w:trHeight w:val="229" w:hRule="exact"/>
        </w:trPr>
        <w:tc>
          <w:tcPr>
            <w:tcW w:w="4416" w:type="dxa"/>
          </w:tcPr>
          <w:p>
            <w:pPr>
              <w:pStyle w:val="TableParagraph"/>
              <w:spacing w:before="1"/>
              <w:ind w:left="35"/>
              <w:rPr>
                <w:sz w:val="18"/>
              </w:rPr>
            </w:pPr>
            <w:r>
              <w:rPr>
                <w:sz w:val="18"/>
              </w:rPr>
              <w:t>Borrowings</w:t>
            </w:r>
          </w:p>
        </w:tc>
        <w:tc>
          <w:tcPr>
            <w:tcW w:w="1242" w:type="dxa"/>
          </w:tcPr>
          <w:p>
            <w:pPr>
              <w:pStyle w:val="TableParagraph"/>
              <w:spacing w:before="1"/>
              <w:ind w:left="242"/>
              <w:rPr>
                <w:b/>
                <w:sz w:val="18"/>
              </w:rPr>
            </w:pPr>
            <w:r>
              <w:rPr>
                <w:b/>
                <w:sz w:val="18"/>
              </w:rPr>
              <w:t>(1,611,495)</w:t>
            </w:r>
          </w:p>
        </w:tc>
        <w:tc>
          <w:tcPr>
            <w:tcW w:w="1399" w:type="dxa"/>
          </w:tcPr>
          <w:p>
            <w:pPr>
              <w:pStyle w:val="TableParagraph"/>
              <w:spacing w:before="1"/>
              <w:ind w:left="487"/>
              <w:rPr>
                <w:b/>
                <w:sz w:val="18"/>
              </w:rPr>
            </w:pPr>
            <w:r>
              <w:rPr>
                <w:b/>
                <w:sz w:val="18"/>
              </w:rPr>
              <w:t>16,115</w:t>
            </w:r>
          </w:p>
        </w:tc>
        <w:tc>
          <w:tcPr>
            <w:tcW w:w="916" w:type="dxa"/>
          </w:tcPr>
          <w:p>
            <w:pPr>
              <w:pStyle w:val="TableParagraph"/>
              <w:spacing w:before="1"/>
              <w:ind w:left="269"/>
              <w:rPr>
                <w:b/>
                <w:sz w:val="18"/>
              </w:rPr>
            </w:pPr>
            <w:r>
              <w:rPr>
                <w:b/>
                <w:sz w:val="18"/>
              </w:rPr>
              <w:t>16,115</w:t>
            </w:r>
          </w:p>
        </w:tc>
        <w:tc>
          <w:tcPr>
            <w:tcW w:w="1443" w:type="dxa"/>
          </w:tcPr>
          <w:p>
            <w:pPr>
              <w:pStyle w:val="TableParagraph"/>
              <w:spacing w:before="1"/>
              <w:ind w:right="299"/>
              <w:jc w:val="right"/>
              <w:rPr>
                <w:b/>
                <w:sz w:val="18"/>
              </w:rPr>
            </w:pPr>
            <w:r>
              <w:rPr>
                <w:b/>
                <w:w w:val="95"/>
                <w:sz w:val="18"/>
              </w:rPr>
              <w:t>(16,115)</w:t>
            </w:r>
          </w:p>
        </w:tc>
        <w:tc>
          <w:tcPr>
            <w:tcW w:w="898" w:type="dxa"/>
          </w:tcPr>
          <w:p>
            <w:pPr>
              <w:pStyle w:val="TableParagraph"/>
              <w:spacing w:before="1"/>
              <w:ind w:right="32"/>
              <w:jc w:val="right"/>
              <w:rPr>
                <w:b/>
                <w:sz w:val="18"/>
              </w:rPr>
            </w:pPr>
            <w:r>
              <w:rPr>
                <w:b/>
                <w:w w:val="95"/>
                <w:sz w:val="18"/>
              </w:rPr>
              <w:t>(16,115)</w:t>
            </w:r>
          </w:p>
        </w:tc>
      </w:tr>
      <w:tr>
        <w:trPr>
          <w:trHeight w:val="242" w:hRule="exact"/>
        </w:trPr>
        <w:tc>
          <w:tcPr>
            <w:tcW w:w="4416" w:type="dxa"/>
          </w:tcPr>
          <w:p>
            <w:pPr>
              <w:pStyle w:val="TableParagraph"/>
              <w:spacing w:before="1"/>
              <w:ind w:left="35"/>
              <w:rPr>
                <w:sz w:val="18"/>
              </w:rPr>
            </w:pPr>
            <w:r>
              <w:rPr>
                <w:sz w:val="18"/>
              </w:rPr>
              <w:t>Payables</w:t>
            </w:r>
          </w:p>
        </w:tc>
        <w:tc>
          <w:tcPr>
            <w:tcW w:w="1242" w:type="dxa"/>
            <w:tcBorders>
              <w:bottom w:val="single" w:sz="8" w:space="0" w:color="000000"/>
            </w:tcBorders>
          </w:tcPr>
          <w:p>
            <w:pPr>
              <w:pStyle w:val="TableParagraph"/>
              <w:spacing w:before="1"/>
              <w:ind w:left="242"/>
              <w:rPr>
                <w:b/>
                <w:sz w:val="18"/>
              </w:rPr>
            </w:pPr>
            <w:r>
              <w:rPr>
                <w:b/>
                <w:sz w:val="18"/>
              </w:rPr>
              <w:t>(3,294,123)</w:t>
            </w:r>
          </w:p>
        </w:tc>
        <w:tc>
          <w:tcPr>
            <w:tcW w:w="1399" w:type="dxa"/>
            <w:tcBorders>
              <w:bottom w:val="single" w:sz="8" w:space="0" w:color="000000"/>
            </w:tcBorders>
          </w:tcPr>
          <w:p>
            <w:pPr>
              <w:pStyle w:val="TableParagraph"/>
              <w:spacing w:before="1"/>
              <w:ind w:left="487"/>
              <w:rPr>
                <w:b/>
                <w:sz w:val="18"/>
              </w:rPr>
            </w:pPr>
            <w:r>
              <w:rPr>
                <w:b/>
                <w:sz w:val="18"/>
              </w:rPr>
              <w:t>32,941</w:t>
            </w:r>
          </w:p>
        </w:tc>
        <w:tc>
          <w:tcPr>
            <w:tcW w:w="916" w:type="dxa"/>
            <w:tcBorders>
              <w:bottom w:val="single" w:sz="8" w:space="0" w:color="000000"/>
            </w:tcBorders>
          </w:tcPr>
          <w:p>
            <w:pPr>
              <w:pStyle w:val="TableParagraph"/>
              <w:spacing w:before="1"/>
              <w:ind w:left="269"/>
              <w:rPr>
                <w:b/>
                <w:sz w:val="18"/>
              </w:rPr>
            </w:pPr>
            <w:r>
              <w:rPr>
                <w:b/>
                <w:sz w:val="18"/>
              </w:rPr>
              <w:t>32,941</w:t>
            </w:r>
          </w:p>
        </w:tc>
        <w:tc>
          <w:tcPr>
            <w:tcW w:w="1443" w:type="dxa"/>
            <w:tcBorders>
              <w:bottom w:val="single" w:sz="8" w:space="0" w:color="000000"/>
            </w:tcBorders>
          </w:tcPr>
          <w:p>
            <w:pPr>
              <w:pStyle w:val="TableParagraph"/>
              <w:spacing w:before="1"/>
              <w:ind w:right="299"/>
              <w:jc w:val="right"/>
              <w:rPr>
                <w:b/>
                <w:sz w:val="18"/>
              </w:rPr>
            </w:pPr>
            <w:r>
              <w:rPr>
                <w:b/>
                <w:w w:val="95"/>
                <w:sz w:val="18"/>
              </w:rPr>
              <w:t>(32,941)</w:t>
            </w:r>
          </w:p>
        </w:tc>
        <w:tc>
          <w:tcPr>
            <w:tcW w:w="898" w:type="dxa"/>
            <w:tcBorders>
              <w:bottom w:val="single" w:sz="8" w:space="0" w:color="000000"/>
            </w:tcBorders>
          </w:tcPr>
          <w:p>
            <w:pPr>
              <w:pStyle w:val="TableParagraph"/>
              <w:spacing w:before="1"/>
              <w:ind w:right="32"/>
              <w:jc w:val="right"/>
              <w:rPr>
                <w:b/>
                <w:sz w:val="18"/>
              </w:rPr>
            </w:pPr>
            <w:r>
              <w:rPr>
                <w:b/>
                <w:w w:val="95"/>
                <w:sz w:val="18"/>
              </w:rPr>
              <w:t>(32,941)</w:t>
            </w:r>
          </w:p>
        </w:tc>
      </w:tr>
      <w:tr>
        <w:trPr>
          <w:trHeight w:val="459" w:hRule="exact"/>
        </w:trPr>
        <w:tc>
          <w:tcPr>
            <w:tcW w:w="4416" w:type="dxa"/>
          </w:tcPr>
          <w:p>
            <w:pPr>
              <w:pStyle w:val="TableParagraph"/>
              <w:spacing w:before="3"/>
              <w:rPr>
                <w:sz w:val="17"/>
              </w:rPr>
            </w:pPr>
          </w:p>
          <w:p>
            <w:pPr>
              <w:pStyle w:val="TableParagraph"/>
              <w:ind w:left="35"/>
              <w:rPr>
                <w:b/>
                <w:sz w:val="18"/>
              </w:rPr>
            </w:pPr>
            <w:r>
              <w:rPr>
                <w:b/>
                <w:sz w:val="18"/>
              </w:rPr>
              <w:t>Total increase / (decrease)</w:t>
            </w:r>
          </w:p>
        </w:tc>
        <w:tc>
          <w:tcPr>
            <w:tcW w:w="1242" w:type="dxa"/>
            <w:tcBorders>
              <w:top w:val="single" w:sz="8" w:space="0" w:color="000000"/>
            </w:tcBorders>
          </w:tcPr>
          <w:p>
            <w:pPr/>
          </w:p>
        </w:tc>
        <w:tc>
          <w:tcPr>
            <w:tcW w:w="1399" w:type="dxa"/>
            <w:tcBorders>
              <w:top w:val="single" w:sz="8" w:space="0" w:color="000000"/>
              <w:bottom w:val="single" w:sz="23" w:space="0" w:color="000000"/>
            </w:tcBorders>
          </w:tcPr>
          <w:p>
            <w:pPr>
              <w:pStyle w:val="TableParagraph"/>
              <w:spacing w:before="5"/>
              <w:rPr>
                <w:sz w:val="16"/>
              </w:rPr>
            </w:pPr>
          </w:p>
          <w:p>
            <w:pPr>
              <w:pStyle w:val="TableParagraph"/>
              <w:ind w:left="488"/>
              <w:rPr>
                <w:b/>
                <w:sz w:val="18"/>
              </w:rPr>
            </w:pPr>
            <w:r>
              <w:rPr>
                <w:b/>
                <w:sz w:val="18"/>
              </w:rPr>
              <w:t>20,872</w:t>
            </w:r>
          </w:p>
        </w:tc>
        <w:tc>
          <w:tcPr>
            <w:tcW w:w="916" w:type="dxa"/>
            <w:tcBorders>
              <w:top w:val="single" w:sz="8" w:space="0" w:color="000000"/>
              <w:bottom w:val="single" w:sz="23" w:space="0" w:color="000000"/>
            </w:tcBorders>
          </w:tcPr>
          <w:p>
            <w:pPr>
              <w:pStyle w:val="TableParagraph"/>
              <w:spacing w:before="5"/>
              <w:rPr>
                <w:sz w:val="16"/>
              </w:rPr>
            </w:pPr>
          </w:p>
          <w:p>
            <w:pPr>
              <w:pStyle w:val="TableParagraph"/>
              <w:ind w:left="268"/>
              <w:rPr>
                <w:b/>
                <w:sz w:val="18"/>
              </w:rPr>
            </w:pPr>
            <w:r>
              <w:rPr>
                <w:b/>
                <w:sz w:val="18"/>
              </w:rPr>
              <w:t>20,872</w:t>
            </w:r>
          </w:p>
        </w:tc>
        <w:tc>
          <w:tcPr>
            <w:tcW w:w="1443" w:type="dxa"/>
            <w:tcBorders>
              <w:top w:val="single" w:sz="8" w:space="0" w:color="000000"/>
              <w:bottom w:val="single" w:sz="23" w:space="0" w:color="000000"/>
            </w:tcBorders>
          </w:tcPr>
          <w:p>
            <w:pPr>
              <w:pStyle w:val="TableParagraph"/>
              <w:spacing w:before="5"/>
              <w:rPr>
                <w:sz w:val="16"/>
              </w:rPr>
            </w:pPr>
          </w:p>
          <w:p>
            <w:pPr>
              <w:pStyle w:val="TableParagraph"/>
              <w:ind w:right="300"/>
              <w:jc w:val="right"/>
              <w:rPr>
                <w:b/>
                <w:sz w:val="18"/>
              </w:rPr>
            </w:pPr>
            <w:r>
              <w:rPr>
                <w:b/>
                <w:sz w:val="18"/>
              </w:rPr>
              <w:t>(20,872)</w:t>
            </w:r>
          </w:p>
        </w:tc>
        <w:tc>
          <w:tcPr>
            <w:tcW w:w="898" w:type="dxa"/>
            <w:tcBorders>
              <w:top w:val="single" w:sz="8" w:space="0" w:color="000000"/>
              <w:bottom w:val="single" w:sz="23" w:space="0" w:color="000000"/>
            </w:tcBorders>
          </w:tcPr>
          <w:p>
            <w:pPr>
              <w:pStyle w:val="TableParagraph"/>
              <w:spacing w:before="5"/>
              <w:rPr>
                <w:sz w:val="16"/>
              </w:rPr>
            </w:pPr>
          </w:p>
          <w:p>
            <w:pPr>
              <w:pStyle w:val="TableParagraph"/>
              <w:ind w:right="34"/>
              <w:jc w:val="right"/>
              <w:rPr>
                <w:b/>
                <w:sz w:val="18"/>
              </w:rPr>
            </w:pPr>
            <w:r>
              <w:rPr>
                <w:b/>
                <w:sz w:val="18"/>
              </w:rPr>
              <w:t>(20,872)</w:t>
            </w:r>
          </w:p>
        </w:tc>
      </w:tr>
      <w:tr>
        <w:trPr>
          <w:trHeight w:val="445" w:hRule="exact"/>
        </w:trPr>
        <w:tc>
          <w:tcPr>
            <w:tcW w:w="4416" w:type="dxa"/>
          </w:tcPr>
          <w:p>
            <w:pPr/>
          </w:p>
        </w:tc>
        <w:tc>
          <w:tcPr>
            <w:tcW w:w="1242" w:type="dxa"/>
          </w:tcPr>
          <w:p>
            <w:pPr/>
          </w:p>
        </w:tc>
        <w:tc>
          <w:tcPr>
            <w:tcW w:w="1399" w:type="dxa"/>
            <w:tcBorders>
              <w:top w:val="single" w:sz="23" w:space="0" w:color="000000"/>
            </w:tcBorders>
          </w:tcPr>
          <w:p>
            <w:pPr/>
          </w:p>
        </w:tc>
        <w:tc>
          <w:tcPr>
            <w:tcW w:w="916" w:type="dxa"/>
            <w:tcBorders>
              <w:top w:val="single" w:sz="23" w:space="0" w:color="000000"/>
            </w:tcBorders>
          </w:tcPr>
          <w:p>
            <w:pPr>
              <w:pStyle w:val="TableParagraph"/>
              <w:spacing w:before="4"/>
              <w:rPr>
                <w:sz w:val="16"/>
              </w:rPr>
            </w:pPr>
          </w:p>
          <w:p>
            <w:pPr>
              <w:pStyle w:val="TableParagraph"/>
              <w:spacing w:before="1"/>
              <w:ind w:right="20"/>
              <w:jc w:val="right"/>
              <w:rPr>
                <w:sz w:val="18"/>
              </w:rPr>
            </w:pPr>
            <w:r>
              <w:rPr>
                <w:sz w:val="18"/>
              </w:rPr>
              <w:t>Interest</w:t>
            </w:r>
          </w:p>
        </w:tc>
        <w:tc>
          <w:tcPr>
            <w:tcW w:w="1443" w:type="dxa"/>
            <w:tcBorders>
              <w:top w:val="single" w:sz="23" w:space="0" w:color="000000"/>
            </w:tcBorders>
          </w:tcPr>
          <w:p>
            <w:pPr>
              <w:pStyle w:val="TableParagraph"/>
              <w:spacing w:before="4"/>
              <w:rPr>
                <w:sz w:val="16"/>
              </w:rPr>
            </w:pPr>
          </w:p>
          <w:p>
            <w:pPr>
              <w:pStyle w:val="TableParagraph"/>
              <w:spacing w:before="1"/>
              <w:ind w:left="27"/>
              <w:rPr>
                <w:sz w:val="18"/>
              </w:rPr>
            </w:pPr>
            <w:r>
              <w:rPr>
                <w:sz w:val="18"/>
              </w:rPr>
              <w:t>rate risk</w:t>
            </w:r>
          </w:p>
        </w:tc>
        <w:tc>
          <w:tcPr>
            <w:tcW w:w="898" w:type="dxa"/>
            <w:tcBorders>
              <w:top w:val="single" w:sz="23" w:space="0" w:color="000000"/>
            </w:tcBorders>
          </w:tcPr>
          <w:p>
            <w:pPr/>
          </w:p>
        </w:tc>
      </w:tr>
      <w:tr>
        <w:trPr>
          <w:trHeight w:val="451" w:hRule="exact"/>
        </w:trPr>
        <w:tc>
          <w:tcPr>
            <w:tcW w:w="4416" w:type="dxa"/>
          </w:tcPr>
          <w:p>
            <w:pPr/>
          </w:p>
        </w:tc>
        <w:tc>
          <w:tcPr>
            <w:tcW w:w="1242" w:type="dxa"/>
          </w:tcPr>
          <w:p>
            <w:pPr>
              <w:pStyle w:val="TableParagraph"/>
              <w:spacing w:before="6"/>
              <w:rPr>
                <w:sz w:val="19"/>
              </w:rPr>
            </w:pPr>
          </w:p>
          <w:p>
            <w:pPr>
              <w:pStyle w:val="TableParagraph"/>
              <w:ind w:left="286"/>
              <w:rPr>
                <w:sz w:val="18"/>
              </w:rPr>
            </w:pPr>
            <w:r>
              <w:rPr>
                <w:sz w:val="18"/>
              </w:rPr>
              <w:t>Carrying</w:t>
            </w:r>
          </w:p>
        </w:tc>
        <w:tc>
          <w:tcPr>
            <w:tcW w:w="1399" w:type="dxa"/>
          </w:tcPr>
          <w:p>
            <w:pPr>
              <w:pStyle w:val="TableParagraph"/>
              <w:spacing w:before="1"/>
              <w:ind w:right="72"/>
              <w:jc w:val="right"/>
              <w:rPr>
                <w:sz w:val="18"/>
              </w:rPr>
            </w:pPr>
            <w:r>
              <w:rPr>
                <w:sz w:val="18"/>
              </w:rPr>
              <w:t>-1%</w:t>
            </w:r>
          </w:p>
          <w:p>
            <w:pPr>
              <w:pStyle w:val="TableParagraph"/>
              <w:spacing w:before="16"/>
              <w:ind w:left="237"/>
              <w:rPr>
                <w:sz w:val="18"/>
              </w:rPr>
            </w:pPr>
            <w:r>
              <w:rPr>
                <w:sz w:val="18"/>
              </w:rPr>
              <w:t>Surplus /</w:t>
            </w:r>
          </w:p>
        </w:tc>
        <w:tc>
          <w:tcPr>
            <w:tcW w:w="916" w:type="dxa"/>
          </w:tcPr>
          <w:p>
            <w:pPr/>
          </w:p>
        </w:tc>
        <w:tc>
          <w:tcPr>
            <w:tcW w:w="1443" w:type="dxa"/>
          </w:tcPr>
          <w:p>
            <w:pPr>
              <w:pStyle w:val="TableParagraph"/>
              <w:spacing w:before="1"/>
              <w:ind w:right="58"/>
              <w:jc w:val="right"/>
              <w:rPr>
                <w:sz w:val="18"/>
              </w:rPr>
            </w:pPr>
            <w:r>
              <w:rPr>
                <w:sz w:val="18"/>
              </w:rPr>
              <w:t>+1%</w:t>
            </w:r>
          </w:p>
          <w:p>
            <w:pPr>
              <w:pStyle w:val="TableParagraph"/>
              <w:spacing w:before="16"/>
              <w:ind w:left="281"/>
              <w:rPr>
                <w:sz w:val="18"/>
              </w:rPr>
            </w:pPr>
            <w:r>
              <w:rPr>
                <w:sz w:val="18"/>
              </w:rPr>
              <w:t>Surplus /</w:t>
            </w:r>
          </w:p>
        </w:tc>
        <w:tc>
          <w:tcPr>
            <w:tcW w:w="898" w:type="dxa"/>
          </w:tcPr>
          <w:p>
            <w:pPr/>
          </w:p>
        </w:tc>
      </w:tr>
      <w:tr>
        <w:trPr>
          <w:trHeight w:val="251" w:hRule="exact"/>
        </w:trPr>
        <w:tc>
          <w:tcPr>
            <w:tcW w:w="4416" w:type="dxa"/>
          </w:tcPr>
          <w:p>
            <w:pPr>
              <w:pStyle w:val="TableParagraph"/>
              <w:spacing w:before="23"/>
              <w:ind w:left="35"/>
              <w:rPr>
                <w:sz w:val="18"/>
              </w:rPr>
            </w:pPr>
            <w:r>
              <w:rPr>
                <w:sz w:val="18"/>
              </w:rPr>
              <w:t>31 December 2011</w:t>
            </w:r>
          </w:p>
        </w:tc>
        <w:tc>
          <w:tcPr>
            <w:tcW w:w="1242" w:type="dxa"/>
          </w:tcPr>
          <w:p>
            <w:pPr>
              <w:pStyle w:val="TableParagraph"/>
              <w:ind w:left="299"/>
              <w:rPr>
                <w:sz w:val="18"/>
              </w:rPr>
            </w:pPr>
            <w:r>
              <w:rPr>
                <w:sz w:val="18"/>
              </w:rPr>
              <w:t>amount</w:t>
            </w:r>
          </w:p>
        </w:tc>
        <w:tc>
          <w:tcPr>
            <w:tcW w:w="1399" w:type="dxa"/>
          </w:tcPr>
          <w:p>
            <w:pPr>
              <w:pStyle w:val="TableParagraph"/>
              <w:ind w:left="257"/>
              <w:rPr>
                <w:sz w:val="18"/>
              </w:rPr>
            </w:pPr>
            <w:r>
              <w:rPr>
                <w:sz w:val="18"/>
              </w:rPr>
              <w:t>(Deficit)</w:t>
            </w:r>
          </w:p>
        </w:tc>
        <w:tc>
          <w:tcPr>
            <w:tcW w:w="916" w:type="dxa"/>
          </w:tcPr>
          <w:p>
            <w:pPr>
              <w:pStyle w:val="TableParagraph"/>
              <w:ind w:left="125"/>
              <w:rPr>
                <w:sz w:val="18"/>
              </w:rPr>
            </w:pPr>
            <w:r>
              <w:rPr>
                <w:sz w:val="18"/>
              </w:rPr>
              <w:t>Equity</w:t>
            </w:r>
          </w:p>
        </w:tc>
        <w:tc>
          <w:tcPr>
            <w:tcW w:w="1443" w:type="dxa"/>
          </w:tcPr>
          <w:p>
            <w:pPr>
              <w:pStyle w:val="TableParagraph"/>
              <w:ind w:left="302"/>
              <w:rPr>
                <w:sz w:val="18"/>
              </w:rPr>
            </w:pPr>
            <w:r>
              <w:rPr>
                <w:sz w:val="18"/>
              </w:rPr>
              <w:t>(Deficit)</w:t>
            </w:r>
          </w:p>
        </w:tc>
        <w:tc>
          <w:tcPr>
            <w:tcW w:w="898" w:type="dxa"/>
          </w:tcPr>
          <w:p>
            <w:pPr>
              <w:pStyle w:val="TableParagraph"/>
              <w:ind w:left="109"/>
              <w:rPr>
                <w:sz w:val="18"/>
              </w:rPr>
            </w:pPr>
            <w:r>
              <w:rPr>
                <w:sz w:val="18"/>
              </w:rPr>
              <w:t>Equity</w:t>
            </w:r>
          </w:p>
        </w:tc>
      </w:tr>
      <w:tr>
        <w:trPr>
          <w:trHeight w:val="229" w:hRule="exact"/>
        </w:trPr>
        <w:tc>
          <w:tcPr>
            <w:tcW w:w="4416" w:type="dxa"/>
          </w:tcPr>
          <w:p>
            <w:pPr/>
          </w:p>
        </w:tc>
        <w:tc>
          <w:tcPr>
            <w:tcW w:w="1242" w:type="dxa"/>
          </w:tcPr>
          <w:p>
            <w:pPr>
              <w:pStyle w:val="TableParagraph"/>
              <w:spacing w:before="1"/>
              <w:ind w:right="26"/>
              <w:jc w:val="center"/>
              <w:rPr>
                <w:sz w:val="18"/>
              </w:rPr>
            </w:pPr>
            <w:r>
              <w:rPr>
                <w:w w:val="99"/>
                <w:sz w:val="18"/>
              </w:rPr>
              <w:t>$</w:t>
            </w:r>
          </w:p>
        </w:tc>
        <w:tc>
          <w:tcPr>
            <w:tcW w:w="1399" w:type="dxa"/>
          </w:tcPr>
          <w:p>
            <w:pPr>
              <w:pStyle w:val="TableParagraph"/>
              <w:spacing w:before="1"/>
              <w:ind w:right="245"/>
              <w:jc w:val="center"/>
              <w:rPr>
                <w:sz w:val="18"/>
              </w:rPr>
            </w:pPr>
            <w:r>
              <w:rPr>
                <w:w w:val="99"/>
                <w:sz w:val="18"/>
              </w:rPr>
              <w:t>$</w:t>
            </w:r>
          </w:p>
        </w:tc>
        <w:tc>
          <w:tcPr>
            <w:tcW w:w="916" w:type="dxa"/>
          </w:tcPr>
          <w:p>
            <w:pPr>
              <w:pStyle w:val="TableParagraph"/>
              <w:spacing w:before="1"/>
              <w:ind w:right="201"/>
              <w:jc w:val="center"/>
              <w:rPr>
                <w:sz w:val="18"/>
              </w:rPr>
            </w:pPr>
            <w:r>
              <w:rPr>
                <w:w w:val="99"/>
                <w:sz w:val="18"/>
              </w:rPr>
              <w:t>$</w:t>
            </w:r>
          </w:p>
        </w:tc>
        <w:tc>
          <w:tcPr>
            <w:tcW w:w="1443" w:type="dxa"/>
          </w:tcPr>
          <w:p>
            <w:pPr>
              <w:pStyle w:val="TableParagraph"/>
              <w:spacing w:before="1"/>
              <w:ind w:right="201"/>
              <w:jc w:val="center"/>
              <w:rPr>
                <w:sz w:val="18"/>
              </w:rPr>
            </w:pPr>
            <w:r>
              <w:rPr>
                <w:w w:val="99"/>
                <w:sz w:val="18"/>
              </w:rPr>
              <w:t>$</w:t>
            </w:r>
          </w:p>
        </w:tc>
        <w:tc>
          <w:tcPr>
            <w:tcW w:w="898" w:type="dxa"/>
          </w:tcPr>
          <w:p>
            <w:pPr>
              <w:pStyle w:val="TableParagraph"/>
              <w:spacing w:before="1"/>
              <w:ind w:left="290"/>
              <w:rPr>
                <w:sz w:val="18"/>
              </w:rPr>
            </w:pPr>
            <w:r>
              <w:rPr>
                <w:w w:val="99"/>
                <w:sz w:val="18"/>
              </w:rPr>
              <w:t>$</w:t>
            </w:r>
          </w:p>
        </w:tc>
      </w:tr>
      <w:tr>
        <w:trPr>
          <w:trHeight w:val="229" w:hRule="exact"/>
        </w:trPr>
        <w:tc>
          <w:tcPr>
            <w:tcW w:w="4416" w:type="dxa"/>
          </w:tcPr>
          <w:p>
            <w:pPr>
              <w:pStyle w:val="TableParagraph"/>
              <w:spacing w:before="1"/>
              <w:ind w:left="35"/>
              <w:rPr>
                <w:sz w:val="18"/>
              </w:rPr>
            </w:pPr>
            <w:r>
              <w:rPr>
                <w:sz w:val="18"/>
              </w:rPr>
              <w:t>Financial assets</w:t>
            </w:r>
          </w:p>
        </w:tc>
        <w:tc>
          <w:tcPr>
            <w:tcW w:w="1242" w:type="dxa"/>
          </w:tcPr>
          <w:p>
            <w:pPr/>
          </w:p>
        </w:tc>
        <w:tc>
          <w:tcPr>
            <w:tcW w:w="1399" w:type="dxa"/>
          </w:tcPr>
          <w:p>
            <w:pPr/>
          </w:p>
        </w:tc>
        <w:tc>
          <w:tcPr>
            <w:tcW w:w="916" w:type="dxa"/>
          </w:tcPr>
          <w:p>
            <w:pPr/>
          </w:p>
        </w:tc>
        <w:tc>
          <w:tcPr>
            <w:tcW w:w="1443" w:type="dxa"/>
          </w:tcPr>
          <w:p>
            <w:pPr/>
          </w:p>
        </w:tc>
        <w:tc>
          <w:tcPr>
            <w:tcW w:w="898" w:type="dxa"/>
          </w:tcPr>
          <w:p>
            <w:pPr/>
          </w:p>
        </w:tc>
      </w:tr>
      <w:tr>
        <w:trPr>
          <w:trHeight w:val="229" w:hRule="exact"/>
        </w:trPr>
        <w:tc>
          <w:tcPr>
            <w:tcW w:w="4416" w:type="dxa"/>
          </w:tcPr>
          <w:p>
            <w:pPr>
              <w:pStyle w:val="TableParagraph"/>
              <w:spacing w:before="1"/>
              <w:ind w:left="35"/>
              <w:rPr>
                <w:sz w:val="18"/>
              </w:rPr>
            </w:pPr>
            <w:r>
              <w:rPr>
                <w:sz w:val="18"/>
              </w:rPr>
              <w:t>Cash and cash equivalents</w:t>
            </w:r>
          </w:p>
        </w:tc>
        <w:tc>
          <w:tcPr>
            <w:tcW w:w="1242" w:type="dxa"/>
          </w:tcPr>
          <w:p>
            <w:pPr>
              <w:pStyle w:val="TableParagraph"/>
              <w:spacing w:before="1"/>
              <w:ind w:left="452"/>
              <w:rPr>
                <w:sz w:val="18"/>
              </w:rPr>
            </w:pPr>
            <w:r>
              <w:rPr>
                <w:sz w:val="18"/>
              </w:rPr>
              <w:t>534,311</w:t>
            </w:r>
          </w:p>
        </w:tc>
        <w:tc>
          <w:tcPr>
            <w:tcW w:w="1399" w:type="dxa"/>
          </w:tcPr>
          <w:p>
            <w:pPr>
              <w:pStyle w:val="TableParagraph"/>
              <w:spacing w:before="1"/>
              <w:ind w:left="528"/>
              <w:rPr>
                <w:sz w:val="18"/>
              </w:rPr>
            </w:pPr>
            <w:r>
              <w:rPr>
                <w:sz w:val="18"/>
              </w:rPr>
              <w:t>(5,343)</w:t>
            </w:r>
          </w:p>
        </w:tc>
        <w:tc>
          <w:tcPr>
            <w:tcW w:w="916" w:type="dxa"/>
          </w:tcPr>
          <w:p>
            <w:pPr>
              <w:pStyle w:val="TableParagraph"/>
              <w:spacing w:before="1"/>
              <w:ind w:right="35"/>
              <w:jc w:val="right"/>
              <w:rPr>
                <w:sz w:val="18"/>
              </w:rPr>
            </w:pPr>
            <w:r>
              <w:rPr>
                <w:w w:val="95"/>
                <w:sz w:val="18"/>
              </w:rPr>
              <w:t>(5,343)</w:t>
            </w:r>
          </w:p>
        </w:tc>
        <w:tc>
          <w:tcPr>
            <w:tcW w:w="1443" w:type="dxa"/>
          </w:tcPr>
          <w:p>
            <w:pPr>
              <w:pStyle w:val="TableParagraph"/>
              <w:spacing w:before="1"/>
              <w:ind w:right="358"/>
              <w:jc w:val="right"/>
              <w:rPr>
                <w:sz w:val="18"/>
              </w:rPr>
            </w:pPr>
            <w:r>
              <w:rPr>
                <w:sz w:val="18"/>
              </w:rPr>
              <w:t>5,343</w:t>
            </w:r>
          </w:p>
        </w:tc>
        <w:tc>
          <w:tcPr>
            <w:tcW w:w="898" w:type="dxa"/>
          </w:tcPr>
          <w:p>
            <w:pPr>
              <w:pStyle w:val="TableParagraph"/>
              <w:spacing w:before="1"/>
              <w:ind w:right="91"/>
              <w:jc w:val="right"/>
              <w:rPr>
                <w:sz w:val="18"/>
              </w:rPr>
            </w:pPr>
            <w:r>
              <w:rPr>
                <w:w w:val="95"/>
                <w:sz w:val="18"/>
              </w:rPr>
              <w:t>5,343</w:t>
            </w:r>
          </w:p>
        </w:tc>
      </w:tr>
      <w:tr>
        <w:trPr>
          <w:trHeight w:val="242" w:hRule="exact"/>
        </w:trPr>
        <w:tc>
          <w:tcPr>
            <w:tcW w:w="4416" w:type="dxa"/>
          </w:tcPr>
          <w:p>
            <w:pPr>
              <w:pStyle w:val="TableParagraph"/>
              <w:spacing w:before="1"/>
              <w:ind w:left="35"/>
              <w:rPr>
                <w:sz w:val="18"/>
              </w:rPr>
            </w:pPr>
            <w:r>
              <w:rPr>
                <w:sz w:val="18"/>
              </w:rPr>
              <w:t>Receivables</w:t>
            </w:r>
          </w:p>
        </w:tc>
        <w:tc>
          <w:tcPr>
            <w:tcW w:w="1242" w:type="dxa"/>
            <w:tcBorders>
              <w:bottom w:val="single" w:sz="7" w:space="0" w:color="000000"/>
            </w:tcBorders>
          </w:tcPr>
          <w:p>
            <w:pPr>
              <w:pStyle w:val="TableParagraph"/>
              <w:spacing w:before="1"/>
              <w:ind w:left="451"/>
              <w:rPr>
                <w:sz w:val="18"/>
              </w:rPr>
            </w:pPr>
            <w:r>
              <w:rPr>
                <w:sz w:val="18"/>
              </w:rPr>
              <w:t>485,212</w:t>
            </w:r>
          </w:p>
        </w:tc>
        <w:tc>
          <w:tcPr>
            <w:tcW w:w="1399" w:type="dxa"/>
            <w:tcBorders>
              <w:bottom w:val="single" w:sz="7" w:space="0" w:color="000000"/>
            </w:tcBorders>
          </w:tcPr>
          <w:p>
            <w:pPr>
              <w:pStyle w:val="TableParagraph"/>
              <w:spacing w:before="1"/>
              <w:ind w:left="528"/>
              <w:rPr>
                <w:sz w:val="18"/>
              </w:rPr>
            </w:pPr>
            <w:r>
              <w:rPr>
                <w:sz w:val="18"/>
              </w:rPr>
              <w:t>(4,852)</w:t>
            </w:r>
          </w:p>
        </w:tc>
        <w:tc>
          <w:tcPr>
            <w:tcW w:w="916" w:type="dxa"/>
            <w:tcBorders>
              <w:bottom w:val="single" w:sz="7" w:space="0" w:color="000000"/>
            </w:tcBorders>
          </w:tcPr>
          <w:p>
            <w:pPr>
              <w:pStyle w:val="TableParagraph"/>
              <w:spacing w:before="1"/>
              <w:ind w:right="35"/>
              <w:jc w:val="right"/>
              <w:rPr>
                <w:sz w:val="18"/>
              </w:rPr>
            </w:pPr>
            <w:r>
              <w:rPr>
                <w:w w:val="95"/>
                <w:sz w:val="18"/>
              </w:rPr>
              <w:t>(4,852)</w:t>
            </w:r>
          </w:p>
        </w:tc>
        <w:tc>
          <w:tcPr>
            <w:tcW w:w="1443" w:type="dxa"/>
            <w:tcBorders>
              <w:bottom w:val="single" w:sz="7" w:space="0" w:color="000000"/>
            </w:tcBorders>
          </w:tcPr>
          <w:p>
            <w:pPr>
              <w:pStyle w:val="TableParagraph"/>
              <w:spacing w:before="1"/>
              <w:ind w:right="358"/>
              <w:jc w:val="right"/>
              <w:rPr>
                <w:sz w:val="18"/>
              </w:rPr>
            </w:pPr>
            <w:r>
              <w:rPr>
                <w:sz w:val="18"/>
              </w:rPr>
              <w:t>4,852</w:t>
            </w:r>
          </w:p>
        </w:tc>
        <w:tc>
          <w:tcPr>
            <w:tcW w:w="898" w:type="dxa"/>
            <w:tcBorders>
              <w:bottom w:val="single" w:sz="7" w:space="0" w:color="000000"/>
            </w:tcBorders>
          </w:tcPr>
          <w:p>
            <w:pPr>
              <w:pStyle w:val="TableParagraph"/>
              <w:spacing w:before="1"/>
              <w:ind w:right="91"/>
              <w:jc w:val="right"/>
              <w:rPr>
                <w:sz w:val="18"/>
              </w:rPr>
            </w:pPr>
            <w:r>
              <w:rPr>
                <w:w w:val="95"/>
                <w:sz w:val="18"/>
              </w:rPr>
              <w:t>4,852</w:t>
            </w:r>
          </w:p>
        </w:tc>
      </w:tr>
      <w:tr>
        <w:trPr>
          <w:trHeight w:val="445" w:hRule="exact"/>
        </w:trPr>
        <w:tc>
          <w:tcPr>
            <w:tcW w:w="4416" w:type="dxa"/>
          </w:tcPr>
          <w:p>
            <w:pPr>
              <w:pStyle w:val="TableParagraph"/>
              <w:spacing w:before="10"/>
              <w:rPr>
                <w:sz w:val="18"/>
              </w:rPr>
            </w:pPr>
          </w:p>
          <w:p>
            <w:pPr>
              <w:pStyle w:val="TableParagraph"/>
              <w:ind w:left="35"/>
              <w:rPr>
                <w:sz w:val="18"/>
              </w:rPr>
            </w:pPr>
            <w:r>
              <w:rPr>
                <w:sz w:val="18"/>
              </w:rPr>
              <w:t>Financial liabilities</w:t>
            </w:r>
          </w:p>
        </w:tc>
        <w:tc>
          <w:tcPr>
            <w:tcW w:w="1242" w:type="dxa"/>
            <w:tcBorders>
              <w:top w:val="single" w:sz="7" w:space="0" w:color="000000"/>
            </w:tcBorders>
          </w:tcPr>
          <w:p>
            <w:pPr/>
          </w:p>
        </w:tc>
        <w:tc>
          <w:tcPr>
            <w:tcW w:w="1399" w:type="dxa"/>
            <w:tcBorders>
              <w:top w:val="single" w:sz="7" w:space="0" w:color="000000"/>
            </w:tcBorders>
          </w:tcPr>
          <w:p>
            <w:pPr/>
          </w:p>
        </w:tc>
        <w:tc>
          <w:tcPr>
            <w:tcW w:w="916" w:type="dxa"/>
            <w:tcBorders>
              <w:top w:val="single" w:sz="7" w:space="0" w:color="000000"/>
            </w:tcBorders>
          </w:tcPr>
          <w:p>
            <w:pPr/>
          </w:p>
        </w:tc>
        <w:tc>
          <w:tcPr>
            <w:tcW w:w="1443" w:type="dxa"/>
            <w:tcBorders>
              <w:top w:val="single" w:sz="7" w:space="0" w:color="000000"/>
            </w:tcBorders>
          </w:tcPr>
          <w:p>
            <w:pPr/>
          </w:p>
        </w:tc>
        <w:tc>
          <w:tcPr>
            <w:tcW w:w="898" w:type="dxa"/>
            <w:tcBorders>
              <w:top w:val="single" w:sz="7" w:space="0" w:color="000000"/>
            </w:tcBorders>
          </w:tcPr>
          <w:p>
            <w:pPr/>
          </w:p>
        </w:tc>
      </w:tr>
      <w:tr>
        <w:trPr>
          <w:trHeight w:val="229" w:hRule="exact"/>
        </w:trPr>
        <w:tc>
          <w:tcPr>
            <w:tcW w:w="4416" w:type="dxa"/>
          </w:tcPr>
          <w:p>
            <w:pPr>
              <w:pStyle w:val="TableParagraph"/>
              <w:spacing w:before="1"/>
              <w:ind w:left="35"/>
              <w:rPr>
                <w:sz w:val="18"/>
              </w:rPr>
            </w:pPr>
            <w:r>
              <w:rPr>
                <w:sz w:val="18"/>
              </w:rPr>
              <w:t>Borrowings</w:t>
            </w:r>
          </w:p>
        </w:tc>
        <w:tc>
          <w:tcPr>
            <w:tcW w:w="1242" w:type="dxa"/>
          </w:tcPr>
          <w:p>
            <w:pPr>
              <w:pStyle w:val="TableParagraph"/>
              <w:spacing w:before="1"/>
              <w:ind w:left="242"/>
              <w:rPr>
                <w:sz w:val="18"/>
              </w:rPr>
            </w:pPr>
            <w:r>
              <w:rPr>
                <w:sz w:val="18"/>
              </w:rPr>
              <w:t>(1,859,375)</w:t>
            </w:r>
          </w:p>
        </w:tc>
        <w:tc>
          <w:tcPr>
            <w:tcW w:w="1399" w:type="dxa"/>
          </w:tcPr>
          <w:p>
            <w:pPr>
              <w:pStyle w:val="TableParagraph"/>
              <w:spacing w:before="1"/>
              <w:ind w:left="487"/>
              <w:rPr>
                <w:sz w:val="18"/>
              </w:rPr>
            </w:pPr>
            <w:r>
              <w:rPr>
                <w:sz w:val="18"/>
              </w:rPr>
              <w:t>18,594</w:t>
            </w:r>
          </w:p>
        </w:tc>
        <w:tc>
          <w:tcPr>
            <w:tcW w:w="916" w:type="dxa"/>
          </w:tcPr>
          <w:p>
            <w:pPr>
              <w:pStyle w:val="TableParagraph"/>
              <w:spacing w:before="1"/>
              <w:ind w:left="269"/>
              <w:rPr>
                <w:sz w:val="18"/>
              </w:rPr>
            </w:pPr>
            <w:r>
              <w:rPr>
                <w:sz w:val="18"/>
              </w:rPr>
              <w:t>18,594</w:t>
            </w:r>
          </w:p>
        </w:tc>
        <w:tc>
          <w:tcPr>
            <w:tcW w:w="1443" w:type="dxa"/>
          </w:tcPr>
          <w:p>
            <w:pPr>
              <w:pStyle w:val="TableParagraph"/>
              <w:spacing w:before="1"/>
              <w:ind w:right="299"/>
              <w:jc w:val="right"/>
              <w:rPr>
                <w:sz w:val="18"/>
              </w:rPr>
            </w:pPr>
            <w:r>
              <w:rPr>
                <w:w w:val="95"/>
                <w:sz w:val="18"/>
              </w:rPr>
              <w:t>(18,594)</w:t>
            </w:r>
          </w:p>
        </w:tc>
        <w:tc>
          <w:tcPr>
            <w:tcW w:w="898" w:type="dxa"/>
          </w:tcPr>
          <w:p>
            <w:pPr>
              <w:pStyle w:val="TableParagraph"/>
              <w:spacing w:before="1"/>
              <w:ind w:right="32"/>
              <w:jc w:val="right"/>
              <w:rPr>
                <w:sz w:val="18"/>
              </w:rPr>
            </w:pPr>
            <w:r>
              <w:rPr>
                <w:w w:val="95"/>
                <w:sz w:val="18"/>
              </w:rPr>
              <w:t>(18,594)</w:t>
            </w:r>
          </w:p>
        </w:tc>
      </w:tr>
      <w:tr>
        <w:trPr>
          <w:trHeight w:val="242" w:hRule="exact"/>
        </w:trPr>
        <w:tc>
          <w:tcPr>
            <w:tcW w:w="4416" w:type="dxa"/>
          </w:tcPr>
          <w:p>
            <w:pPr>
              <w:pStyle w:val="TableParagraph"/>
              <w:spacing w:before="1"/>
              <w:ind w:left="35"/>
              <w:rPr>
                <w:sz w:val="18"/>
              </w:rPr>
            </w:pPr>
            <w:r>
              <w:rPr>
                <w:sz w:val="18"/>
              </w:rPr>
              <w:t>Payables</w:t>
            </w:r>
          </w:p>
        </w:tc>
        <w:tc>
          <w:tcPr>
            <w:tcW w:w="1242" w:type="dxa"/>
            <w:tcBorders>
              <w:bottom w:val="single" w:sz="8" w:space="0" w:color="000000"/>
            </w:tcBorders>
          </w:tcPr>
          <w:p>
            <w:pPr>
              <w:pStyle w:val="TableParagraph"/>
              <w:spacing w:before="1"/>
              <w:ind w:left="242"/>
              <w:rPr>
                <w:sz w:val="18"/>
              </w:rPr>
            </w:pPr>
            <w:r>
              <w:rPr>
                <w:sz w:val="18"/>
              </w:rPr>
              <w:t>(2,857,323)</w:t>
            </w:r>
          </w:p>
        </w:tc>
        <w:tc>
          <w:tcPr>
            <w:tcW w:w="1399" w:type="dxa"/>
            <w:tcBorders>
              <w:bottom w:val="single" w:sz="8" w:space="0" w:color="000000"/>
            </w:tcBorders>
          </w:tcPr>
          <w:p>
            <w:pPr>
              <w:pStyle w:val="TableParagraph"/>
              <w:spacing w:before="1"/>
              <w:ind w:left="487"/>
              <w:rPr>
                <w:sz w:val="18"/>
              </w:rPr>
            </w:pPr>
            <w:r>
              <w:rPr>
                <w:sz w:val="18"/>
              </w:rPr>
              <w:t>28,573</w:t>
            </w:r>
          </w:p>
        </w:tc>
        <w:tc>
          <w:tcPr>
            <w:tcW w:w="916" w:type="dxa"/>
            <w:tcBorders>
              <w:bottom w:val="single" w:sz="8" w:space="0" w:color="000000"/>
            </w:tcBorders>
          </w:tcPr>
          <w:p>
            <w:pPr>
              <w:pStyle w:val="TableParagraph"/>
              <w:spacing w:before="1"/>
              <w:ind w:left="269"/>
              <w:rPr>
                <w:sz w:val="18"/>
              </w:rPr>
            </w:pPr>
            <w:r>
              <w:rPr>
                <w:sz w:val="18"/>
              </w:rPr>
              <w:t>28,573</w:t>
            </w:r>
          </w:p>
        </w:tc>
        <w:tc>
          <w:tcPr>
            <w:tcW w:w="1443" w:type="dxa"/>
            <w:tcBorders>
              <w:bottom w:val="single" w:sz="8" w:space="0" w:color="000000"/>
            </w:tcBorders>
          </w:tcPr>
          <w:p>
            <w:pPr>
              <w:pStyle w:val="TableParagraph"/>
              <w:spacing w:before="1"/>
              <w:ind w:right="299"/>
              <w:jc w:val="right"/>
              <w:rPr>
                <w:sz w:val="18"/>
              </w:rPr>
            </w:pPr>
            <w:r>
              <w:rPr>
                <w:w w:val="95"/>
                <w:sz w:val="18"/>
              </w:rPr>
              <w:t>(28,573)</w:t>
            </w:r>
          </w:p>
        </w:tc>
        <w:tc>
          <w:tcPr>
            <w:tcW w:w="898" w:type="dxa"/>
            <w:tcBorders>
              <w:bottom w:val="single" w:sz="8" w:space="0" w:color="000000"/>
            </w:tcBorders>
          </w:tcPr>
          <w:p>
            <w:pPr>
              <w:pStyle w:val="TableParagraph"/>
              <w:spacing w:before="1"/>
              <w:ind w:right="32"/>
              <w:jc w:val="right"/>
              <w:rPr>
                <w:sz w:val="18"/>
              </w:rPr>
            </w:pPr>
            <w:r>
              <w:rPr>
                <w:w w:val="95"/>
                <w:sz w:val="18"/>
              </w:rPr>
              <w:t>(28,573)</w:t>
            </w:r>
          </w:p>
        </w:tc>
      </w:tr>
      <w:tr>
        <w:trPr>
          <w:trHeight w:val="459" w:hRule="exact"/>
        </w:trPr>
        <w:tc>
          <w:tcPr>
            <w:tcW w:w="4416" w:type="dxa"/>
          </w:tcPr>
          <w:p>
            <w:pPr>
              <w:pStyle w:val="TableParagraph"/>
              <w:spacing w:before="3"/>
              <w:rPr>
                <w:sz w:val="17"/>
              </w:rPr>
            </w:pPr>
          </w:p>
          <w:p>
            <w:pPr>
              <w:pStyle w:val="TableParagraph"/>
              <w:ind w:left="35"/>
              <w:rPr>
                <w:sz w:val="18"/>
              </w:rPr>
            </w:pPr>
            <w:r>
              <w:rPr>
                <w:sz w:val="18"/>
              </w:rPr>
              <w:t>Total increase / (decrease)</w:t>
            </w:r>
          </w:p>
        </w:tc>
        <w:tc>
          <w:tcPr>
            <w:tcW w:w="1242" w:type="dxa"/>
            <w:tcBorders>
              <w:top w:val="single" w:sz="8" w:space="0" w:color="000000"/>
            </w:tcBorders>
          </w:tcPr>
          <w:p>
            <w:pPr/>
          </w:p>
        </w:tc>
        <w:tc>
          <w:tcPr>
            <w:tcW w:w="1399" w:type="dxa"/>
            <w:tcBorders>
              <w:top w:val="single" w:sz="8" w:space="0" w:color="000000"/>
              <w:bottom w:val="single" w:sz="23" w:space="0" w:color="000000"/>
            </w:tcBorders>
          </w:tcPr>
          <w:p>
            <w:pPr>
              <w:pStyle w:val="TableParagraph"/>
              <w:spacing w:before="5"/>
              <w:rPr>
                <w:sz w:val="16"/>
              </w:rPr>
            </w:pPr>
          </w:p>
          <w:p>
            <w:pPr>
              <w:pStyle w:val="TableParagraph"/>
              <w:ind w:left="488"/>
              <w:rPr>
                <w:sz w:val="18"/>
              </w:rPr>
            </w:pPr>
            <w:r>
              <w:rPr>
                <w:sz w:val="18"/>
              </w:rPr>
              <w:t>36,972</w:t>
            </w:r>
          </w:p>
        </w:tc>
        <w:tc>
          <w:tcPr>
            <w:tcW w:w="916" w:type="dxa"/>
            <w:tcBorders>
              <w:top w:val="single" w:sz="8" w:space="0" w:color="000000"/>
              <w:bottom w:val="single" w:sz="23" w:space="0" w:color="000000"/>
            </w:tcBorders>
          </w:tcPr>
          <w:p>
            <w:pPr>
              <w:pStyle w:val="TableParagraph"/>
              <w:spacing w:before="5"/>
              <w:rPr>
                <w:sz w:val="16"/>
              </w:rPr>
            </w:pPr>
          </w:p>
          <w:p>
            <w:pPr>
              <w:pStyle w:val="TableParagraph"/>
              <w:ind w:left="268"/>
              <w:rPr>
                <w:sz w:val="18"/>
              </w:rPr>
            </w:pPr>
            <w:r>
              <w:rPr>
                <w:sz w:val="18"/>
              </w:rPr>
              <w:t>36,972</w:t>
            </w:r>
          </w:p>
        </w:tc>
        <w:tc>
          <w:tcPr>
            <w:tcW w:w="1443" w:type="dxa"/>
            <w:tcBorders>
              <w:top w:val="single" w:sz="8" w:space="0" w:color="000000"/>
              <w:bottom w:val="single" w:sz="23" w:space="0" w:color="000000"/>
            </w:tcBorders>
          </w:tcPr>
          <w:p>
            <w:pPr>
              <w:pStyle w:val="TableParagraph"/>
              <w:spacing w:before="5"/>
              <w:rPr>
                <w:sz w:val="16"/>
              </w:rPr>
            </w:pPr>
          </w:p>
          <w:p>
            <w:pPr>
              <w:pStyle w:val="TableParagraph"/>
              <w:ind w:right="300"/>
              <w:jc w:val="right"/>
              <w:rPr>
                <w:sz w:val="18"/>
              </w:rPr>
            </w:pPr>
            <w:r>
              <w:rPr>
                <w:sz w:val="18"/>
              </w:rPr>
              <w:t>(36,972)</w:t>
            </w:r>
          </w:p>
        </w:tc>
        <w:tc>
          <w:tcPr>
            <w:tcW w:w="898" w:type="dxa"/>
            <w:tcBorders>
              <w:top w:val="single" w:sz="8" w:space="0" w:color="000000"/>
              <w:bottom w:val="single" w:sz="23" w:space="0" w:color="000000"/>
            </w:tcBorders>
          </w:tcPr>
          <w:p>
            <w:pPr>
              <w:pStyle w:val="TableParagraph"/>
              <w:spacing w:before="5"/>
              <w:rPr>
                <w:sz w:val="16"/>
              </w:rPr>
            </w:pPr>
          </w:p>
          <w:p>
            <w:pPr>
              <w:pStyle w:val="TableParagraph"/>
              <w:ind w:right="34"/>
              <w:jc w:val="right"/>
              <w:rPr>
                <w:sz w:val="18"/>
              </w:rPr>
            </w:pPr>
            <w:r>
              <w:rPr>
                <w:sz w:val="18"/>
              </w:rPr>
              <w:t>(36,972)</w:t>
            </w:r>
          </w:p>
        </w:tc>
      </w:tr>
    </w:tbl>
    <w:p>
      <w:pPr>
        <w:pStyle w:val="BodyText"/>
        <w:rPr>
          <w:sz w:val="20"/>
        </w:rPr>
      </w:pPr>
    </w:p>
    <w:p>
      <w:pPr>
        <w:pStyle w:val="BodyText"/>
        <w:spacing w:before="6"/>
        <w:rPr>
          <w:sz w:val="17"/>
        </w:rPr>
      </w:pPr>
    </w:p>
    <w:p>
      <w:pPr>
        <w:pStyle w:val="Heading9"/>
        <w:numPr>
          <w:ilvl w:val="0"/>
          <w:numId w:val="108"/>
        </w:numPr>
        <w:tabs>
          <w:tab w:pos="786" w:val="left" w:leader="none"/>
        </w:tabs>
        <w:spacing w:line="240" w:lineRule="auto" w:before="77" w:after="0"/>
        <w:ind w:left="785" w:right="0" w:hanging="679"/>
        <w:jc w:val="left"/>
      </w:pPr>
      <w:r>
        <w:rPr/>
        <w:t>Credit</w:t>
      </w:r>
      <w:r>
        <w:rPr>
          <w:spacing w:val="-1"/>
        </w:rPr>
        <w:t> </w:t>
      </w:r>
      <w:r>
        <w:rPr/>
        <w:t>risk</w:t>
      </w:r>
    </w:p>
    <w:p>
      <w:pPr>
        <w:pStyle w:val="BodyText"/>
        <w:spacing w:before="7"/>
        <w:rPr>
          <w:b/>
          <w:sz w:val="14"/>
        </w:rPr>
      </w:pPr>
    </w:p>
    <w:p>
      <w:pPr>
        <w:pStyle w:val="BodyText"/>
        <w:ind w:left="106" w:right="314"/>
      </w:pPr>
      <w:r>
        <w:rPr/>
        <w:t>The credit risk on financial assets of the Company which have been recognised on the statement of financial position is generally the carrying amount, net of provision for loss. Credit risk arises when there is the possibility of the Company's debtors defaulting on their contractual obligations, resulting in financial loss to the Company. The Company does not have any significant exposure to any unrelated customer.</w:t>
      </w:r>
    </w:p>
    <w:p>
      <w:pPr>
        <w:pStyle w:val="BodyText"/>
        <w:spacing w:before="1"/>
        <w:rPr>
          <w:sz w:val="25"/>
        </w:rPr>
      </w:pPr>
    </w:p>
    <w:p>
      <w:pPr>
        <w:pStyle w:val="Heading9"/>
        <w:numPr>
          <w:ilvl w:val="0"/>
          <w:numId w:val="108"/>
        </w:numPr>
        <w:tabs>
          <w:tab w:pos="786" w:val="left" w:leader="none"/>
        </w:tabs>
        <w:spacing w:line="240" w:lineRule="auto" w:before="0" w:after="0"/>
        <w:ind w:left="785" w:right="0" w:hanging="679"/>
        <w:jc w:val="left"/>
      </w:pPr>
      <w:r>
        <w:rPr/>
        <w:t>Liquidity</w:t>
      </w:r>
      <w:r>
        <w:rPr>
          <w:spacing w:val="-1"/>
        </w:rPr>
        <w:t> </w:t>
      </w:r>
      <w:r>
        <w:rPr/>
        <w:t>risk</w:t>
      </w:r>
    </w:p>
    <w:p>
      <w:pPr>
        <w:pStyle w:val="BodyText"/>
        <w:spacing w:before="7"/>
        <w:rPr>
          <w:b/>
          <w:sz w:val="14"/>
        </w:rPr>
      </w:pPr>
    </w:p>
    <w:p>
      <w:pPr>
        <w:pStyle w:val="BodyText"/>
        <w:ind w:left="106" w:right="207"/>
      </w:pPr>
      <w:r>
        <w:rPr/>
        <w:t>Prudent liquidity risk management implies maintaining sufficient cash and the availability of funding through an adequate amount of committed credit facilities to meet obligations when due.</w:t>
      </w:r>
    </w:p>
    <w:p>
      <w:pPr>
        <w:pStyle w:val="BodyText"/>
        <w:spacing w:before="6"/>
        <w:rPr>
          <w:sz w:val="24"/>
        </w:rPr>
      </w:pPr>
    </w:p>
    <w:p>
      <w:pPr>
        <w:spacing w:line="207" w:lineRule="exact" w:before="0"/>
        <w:ind w:left="106" w:right="676" w:firstLine="0"/>
        <w:jc w:val="left"/>
        <w:rPr>
          <w:i/>
          <w:sz w:val="18"/>
        </w:rPr>
      </w:pPr>
      <w:r>
        <w:rPr>
          <w:i/>
          <w:sz w:val="18"/>
        </w:rPr>
        <w:t>Maturities of financial liabilities</w:t>
      </w:r>
    </w:p>
    <w:p>
      <w:pPr>
        <w:pStyle w:val="BodyText"/>
        <w:ind w:left="106" w:right="194"/>
      </w:pPr>
      <w:r>
        <w:rPr/>
        <w:t>The tables below analyse the Company's financial liabilities into relevant maturity groupings based on their contractual maturities for all non derivative financial liabilities.</w:t>
      </w:r>
    </w:p>
    <w:p>
      <w:pPr>
        <w:pStyle w:val="BodyText"/>
        <w:spacing w:before="7"/>
        <w:rPr>
          <w:sz w:val="14"/>
        </w:rPr>
      </w:pPr>
    </w:p>
    <w:p>
      <w:pPr>
        <w:pStyle w:val="BodyText"/>
        <w:ind w:left="106" w:right="608"/>
      </w:pPr>
      <w:r>
        <w:rPr/>
        <w:t>The amounts disclosed in the table are the contractual undiscounted cash flows. Balances due within 12 months equal their carrying balances as the impact of discounting is not significant.</w:t>
      </w:r>
    </w:p>
    <w:p>
      <w:pPr>
        <w:spacing w:after="0"/>
        <w:sectPr>
          <w:pgSz w:w="11910" w:h="16840"/>
          <w:pgMar w:header="936" w:footer="526" w:top="2040" w:bottom="700" w:left="800" w:right="560"/>
        </w:sectPr>
      </w:pPr>
    </w:p>
    <w:p>
      <w:pPr>
        <w:pStyle w:val="BodyText"/>
        <w:rPr>
          <w:sz w:val="20"/>
        </w:rPr>
      </w:pPr>
      <w:r>
        <w:rPr/>
        <w:pict>
          <v:shape style="position:absolute;margin-left:197.160004pt;margin-top:311.519989pt;width:307.75pt;height:1.95pt;mso-position-horizontal-relative:page;mso-position-vertical-relative:page;z-index:-1308472" coordorigin="3943,6230" coordsize="6155,39" path="m3943,6230l5220,6230m3943,6269l5220,6269m5267,6230l6511,6230m5267,6269l6511,6269m6558,6230l7596,6230m6558,6269l7596,6269m7643,6230l8807,6230m7643,6269l8807,6269m8854,6230l10098,6230m8854,6269l10098,6269e" filled="false" stroked="true" strokeweight=".96pt" strokecolor="#000000">
            <v:path arrowok="t"/>
            <w10:wrap type="none"/>
          </v:shape>
        </w:pict>
      </w:r>
    </w:p>
    <w:p>
      <w:pPr>
        <w:pStyle w:val="BodyText"/>
        <w:spacing w:before="4"/>
        <w:rPr>
          <w:sz w:val="21"/>
        </w:rPr>
      </w:pPr>
    </w:p>
    <w:p>
      <w:pPr>
        <w:pStyle w:val="Heading9"/>
        <w:tabs>
          <w:tab w:pos="541" w:val="left" w:leader="none"/>
        </w:tabs>
        <w:spacing w:before="77"/>
        <w:ind w:left="145" w:right="118"/>
      </w:pPr>
      <w:r>
        <w:rPr/>
        <w:t>2</w:t>
        <w:tab/>
        <w:t>Financial risk</w:t>
      </w:r>
      <w:r>
        <w:rPr>
          <w:spacing w:val="-3"/>
        </w:rPr>
        <w:t> </w:t>
      </w:r>
      <w:r>
        <w:rPr/>
        <w:t>management</w:t>
      </w:r>
    </w:p>
    <w:p>
      <w:pPr>
        <w:pStyle w:val="BodyText"/>
        <w:spacing w:before="4"/>
        <w:rPr>
          <w:b/>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72"/>
        <w:gridCol w:w="1347"/>
        <w:gridCol w:w="1302"/>
        <w:gridCol w:w="937"/>
        <w:gridCol w:w="1392"/>
        <w:gridCol w:w="1177"/>
        <w:gridCol w:w="885"/>
      </w:tblGrid>
      <w:tr>
        <w:trPr>
          <w:trHeight w:val="685" w:hRule="exact"/>
        </w:trPr>
        <w:tc>
          <w:tcPr>
            <w:tcW w:w="3072" w:type="dxa"/>
          </w:tcPr>
          <w:p>
            <w:pPr>
              <w:pStyle w:val="TableParagraph"/>
              <w:tabs>
                <w:tab w:pos="714" w:val="left" w:leader="none"/>
              </w:tabs>
              <w:spacing w:before="77"/>
              <w:ind w:left="35"/>
              <w:rPr>
                <w:b/>
                <w:sz w:val="18"/>
              </w:rPr>
            </w:pPr>
            <w:r>
              <w:rPr>
                <w:b/>
                <w:sz w:val="18"/>
              </w:rPr>
              <w:t>(c)</w:t>
              <w:tab/>
              <w:t>Liquidity</w:t>
            </w:r>
            <w:r>
              <w:rPr>
                <w:b/>
                <w:spacing w:val="-1"/>
                <w:sz w:val="18"/>
              </w:rPr>
              <w:t> </w:t>
            </w:r>
            <w:r>
              <w:rPr>
                <w:b/>
                <w:sz w:val="18"/>
              </w:rPr>
              <w:t>risk</w:t>
            </w:r>
          </w:p>
          <w:p>
            <w:pPr>
              <w:pStyle w:val="TableParagraph"/>
              <w:spacing w:before="7"/>
              <w:rPr>
                <w:b/>
                <w:sz w:val="16"/>
              </w:rPr>
            </w:pPr>
          </w:p>
          <w:p>
            <w:pPr>
              <w:pStyle w:val="TableParagraph"/>
              <w:ind w:left="79"/>
              <w:rPr>
                <w:b/>
                <w:sz w:val="18"/>
              </w:rPr>
            </w:pPr>
            <w:r>
              <w:rPr>
                <w:b/>
                <w:sz w:val="18"/>
              </w:rPr>
              <w:t>Contractual maturities of financial</w:t>
            </w:r>
          </w:p>
        </w:tc>
        <w:tc>
          <w:tcPr>
            <w:tcW w:w="1347" w:type="dxa"/>
          </w:tcPr>
          <w:p>
            <w:pPr/>
          </w:p>
        </w:tc>
        <w:tc>
          <w:tcPr>
            <w:tcW w:w="1302" w:type="dxa"/>
          </w:tcPr>
          <w:p>
            <w:pPr/>
          </w:p>
        </w:tc>
        <w:tc>
          <w:tcPr>
            <w:tcW w:w="937" w:type="dxa"/>
          </w:tcPr>
          <w:p>
            <w:pPr/>
          </w:p>
        </w:tc>
        <w:tc>
          <w:tcPr>
            <w:tcW w:w="1392" w:type="dxa"/>
          </w:tcPr>
          <w:p>
            <w:pPr/>
          </w:p>
        </w:tc>
        <w:tc>
          <w:tcPr>
            <w:tcW w:w="1177" w:type="dxa"/>
          </w:tcPr>
          <w:p>
            <w:pPr>
              <w:pStyle w:val="TableParagraph"/>
              <w:rPr>
                <w:b/>
                <w:sz w:val="18"/>
              </w:rPr>
            </w:pPr>
          </w:p>
          <w:p>
            <w:pPr>
              <w:pStyle w:val="TableParagraph"/>
              <w:spacing w:before="10"/>
              <w:rPr>
                <w:b/>
                <w:sz w:val="19"/>
              </w:rPr>
            </w:pPr>
          </w:p>
          <w:p>
            <w:pPr>
              <w:pStyle w:val="TableParagraph"/>
              <w:ind w:left="186"/>
              <w:rPr>
                <w:b/>
                <w:sz w:val="18"/>
              </w:rPr>
            </w:pPr>
            <w:r>
              <w:rPr>
                <w:b/>
                <w:sz w:val="18"/>
              </w:rPr>
              <w:t>Carrying</w:t>
            </w:r>
          </w:p>
        </w:tc>
        <w:tc>
          <w:tcPr>
            <w:tcW w:w="885" w:type="dxa"/>
          </w:tcPr>
          <w:p>
            <w:pPr>
              <w:pStyle w:val="TableParagraph"/>
              <w:rPr>
                <w:b/>
                <w:sz w:val="18"/>
              </w:rPr>
            </w:pPr>
          </w:p>
          <w:p>
            <w:pPr>
              <w:pStyle w:val="TableParagraph"/>
              <w:spacing w:before="10"/>
              <w:rPr>
                <w:b/>
                <w:sz w:val="19"/>
              </w:rPr>
            </w:pPr>
          </w:p>
          <w:p>
            <w:pPr>
              <w:pStyle w:val="TableParagraph"/>
              <w:ind w:right="37"/>
              <w:jc w:val="right"/>
              <w:rPr>
                <w:b/>
                <w:sz w:val="18"/>
              </w:rPr>
            </w:pPr>
            <w:r>
              <w:rPr>
                <w:b/>
                <w:w w:val="95"/>
                <w:sz w:val="18"/>
              </w:rPr>
              <w:t>Average</w:t>
            </w:r>
          </w:p>
        </w:tc>
      </w:tr>
      <w:tr>
        <w:trPr>
          <w:trHeight w:val="469" w:hRule="exact"/>
        </w:trPr>
        <w:tc>
          <w:tcPr>
            <w:tcW w:w="3072" w:type="dxa"/>
          </w:tcPr>
          <w:p>
            <w:pPr>
              <w:pStyle w:val="TableParagraph"/>
              <w:spacing w:before="23"/>
              <w:ind w:left="79"/>
              <w:rPr>
                <w:b/>
                <w:sz w:val="18"/>
              </w:rPr>
            </w:pPr>
            <w:r>
              <w:rPr>
                <w:b/>
                <w:sz w:val="18"/>
              </w:rPr>
              <w:t>assets and liabilities</w:t>
            </w:r>
          </w:p>
        </w:tc>
        <w:tc>
          <w:tcPr>
            <w:tcW w:w="1347" w:type="dxa"/>
          </w:tcPr>
          <w:p>
            <w:pPr>
              <w:pStyle w:val="TableParagraph"/>
              <w:spacing w:line="191" w:lineRule="exact"/>
              <w:ind w:left="125" w:right="191"/>
              <w:jc w:val="center"/>
              <w:rPr>
                <w:b/>
                <w:sz w:val="18"/>
              </w:rPr>
            </w:pPr>
            <w:r>
              <w:rPr>
                <w:b/>
                <w:sz w:val="18"/>
              </w:rPr>
              <w:t>Less than 1</w:t>
            </w:r>
          </w:p>
          <w:p>
            <w:pPr>
              <w:pStyle w:val="TableParagraph"/>
              <w:spacing w:before="26"/>
              <w:ind w:left="125" w:right="190"/>
              <w:jc w:val="center"/>
              <w:rPr>
                <w:b/>
                <w:sz w:val="18"/>
              </w:rPr>
            </w:pPr>
            <w:r>
              <w:rPr>
                <w:b/>
                <w:sz w:val="18"/>
              </w:rPr>
              <w:t>year</w:t>
            </w:r>
          </w:p>
        </w:tc>
        <w:tc>
          <w:tcPr>
            <w:tcW w:w="1302" w:type="dxa"/>
          </w:tcPr>
          <w:p>
            <w:pPr>
              <w:pStyle w:val="TableParagraph"/>
              <w:spacing w:line="191" w:lineRule="exact"/>
              <w:ind w:left="153"/>
              <w:rPr>
                <w:b/>
                <w:sz w:val="18"/>
              </w:rPr>
            </w:pPr>
            <w:r>
              <w:rPr>
                <w:b/>
                <w:sz w:val="18"/>
              </w:rPr>
              <w:t>Between 1</w:t>
            </w:r>
          </w:p>
          <w:p>
            <w:pPr>
              <w:pStyle w:val="TableParagraph"/>
              <w:spacing w:before="26"/>
              <w:ind w:left="106"/>
              <w:rPr>
                <w:b/>
                <w:sz w:val="18"/>
              </w:rPr>
            </w:pPr>
            <w:r>
              <w:rPr>
                <w:b/>
                <w:sz w:val="18"/>
              </w:rPr>
              <w:t>and 5 years</w:t>
            </w:r>
          </w:p>
        </w:tc>
        <w:tc>
          <w:tcPr>
            <w:tcW w:w="937" w:type="dxa"/>
          </w:tcPr>
          <w:p>
            <w:pPr>
              <w:pStyle w:val="TableParagraph"/>
              <w:spacing w:line="191" w:lineRule="exact"/>
              <w:ind w:left="252" w:hanging="45"/>
              <w:rPr>
                <w:b/>
                <w:sz w:val="18"/>
              </w:rPr>
            </w:pPr>
            <w:r>
              <w:rPr>
                <w:b/>
                <w:sz w:val="18"/>
              </w:rPr>
              <w:t>Over 5</w:t>
            </w:r>
          </w:p>
          <w:p>
            <w:pPr>
              <w:pStyle w:val="TableParagraph"/>
              <w:spacing w:before="26"/>
              <w:ind w:left="252"/>
              <w:rPr>
                <w:b/>
                <w:sz w:val="18"/>
              </w:rPr>
            </w:pPr>
            <w:r>
              <w:rPr>
                <w:b/>
                <w:sz w:val="18"/>
              </w:rPr>
              <w:t>years</w:t>
            </w:r>
          </w:p>
        </w:tc>
        <w:tc>
          <w:tcPr>
            <w:tcW w:w="1392" w:type="dxa"/>
          </w:tcPr>
          <w:p>
            <w:pPr>
              <w:pStyle w:val="TableParagraph"/>
              <w:spacing w:before="9"/>
              <w:rPr>
                <w:b/>
                <w:sz w:val="18"/>
              </w:rPr>
            </w:pPr>
          </w:p>
          <w:p>
            <w:pPr>
              <w:pStyle w:val="TableParagraph"/>
              <w:ind w:left="151" w:right="149"/>
              <w:jc w:val="center"/>
              <w:rPr>
                <w:b/>
                <w:sz w:val="18"/>
              </w:rPr>
            </w:pPr>
            <w:r>
              <w:rPr>
                <w:b/>
                <w:sz w:val="18"/>
              </w:rPr>
              <w:t>Non interest</w:t>
            </w:r>
          </w:p>
        </w:tc>
        <w:tc>
          <w:tcPr>
            <w:tcW w:w="1177" w:type="dxa"/>
          </w:tcPr>
          <w:p>
            <w:pPr>
              <w:pStyle w:val="TableParagraph"/>
              <w:spacing w:line="191" w:lineRule="exact"/>
              <w:ind w:left="169" w:firstLine="61"/>
              <w:rPr>
                <w:b/>
                <w:sz w:val="18"/>
              </w:rPr>
            </w:pPr>
            <w:r>
              <w:rPr>
                <w:b/>
                <w:sz w:val="18"/>
              </w:rPr>
              <w:t>amount</w:t>
            </w:r>
          </w:p>
          <w:p>
            <w:pPr>
              <w:pStyle w:val="TableParagraph"/>
              <w:spacing w:before="26"/>
              <w:ind w:left="169"/>
              <w:rPr>
                <w:b/>
                <w:sz w:val="18"/>
              </w:rPr>
            </w:pPr>
            <w:r>
              <w:rPr>
                <w:b/>
                <w:sz w:val="18"/>
              </w:rPr>
              <w:t>liabilities</w:t>
            </w:r>
          </w:p>
        </w:tc>
        <w:tc>
          <w:tcPr>
            <w:tcW w:w="885" w:type="dxa"/>
          </w:tcPr>
          <w:p>
            <w:pPr>
              <w:pStyle w:val="TableParagraph"/>
              <w:spacing w:line="191" w:lineRule="exact"/>
              <w:ind w:left="149" w:right="44"/>
              <w:jc w:val="center"/>
              <w:rPr>
                <w:b/>
                <w:sz w:val="18"/>
              </w:rPr>
            </w:pPr>
            <w:r>
              <w:rPr>
                <w:b/>
                <w:sz w:val="18"/>
              </w:rPr>
              <w:t>interest</w:t>
            </w:r>
          </w:p>
          <w:p>
            <w:pPr>
              <w:pStyle w:val="TableParagraph"/>
              <w:spacing w:before="26"/>
              <w:ind w:left="149" w:right="42"/>
              <w:jc w:val="center"/>
              <w:rPr>
                <w:b/>
                <w:sz w:val="18"/>
              </w:rPr>
            </w:pPr>
            <w:r>
              <w:rPr>
                <w:b/>
                <w:sz w:val="18"/>
              </w:rPr>
              <w:t>rate</w:t>
            </w:r>
          </w:p>
        </w:tc>
      </w:tr>
      <w:tr>
        <w:trPr>
          <w:trHeight w:val="398" w:hRule="exact"/>
        </w:trPr>
        <w:tc>
          <w:tcPr>
            <w:tcW w:w="3072" w:type="dxa"/>
          </w:tcPr>
          <w:p>
            <w:pPr>
              <w:pStyle w:val="TableParagraph"/>
              <w:spacing w:before="26"/>
              <w:ind w:left="79"/>
              <w:rPr>
                <w:b/>
                <w:sz w:val="18"/>
              </w:rPr>
            </w:pPr>
            <w:r>
              <w:rPr>
                <w:b/>
                <w:sz w:val="18"/>
              </w:rPr>
              <w:t>2012</w:t>
            </w:r>
          </w:p>
        </w:tc>
        <w:tc>
          <w:tcPr>
            <w:tcW w:w="1347" w:type="dxa"/>
          </w:tcPr>
          <w:p>
            <w:pPr>
              <w:pStyle w:val="TableParagraph"/>
              <w:spacing w:before="26"/>
              <w:ind w:right="49"/>
              <w:jc w:val="center"/>
              <w:rPr>
                <w:b/>
                <w:sz w:val="18"/>
              </w:rPr>
            </w:pPr>
            <w:r>
              <w:rPr>
                <w:b/>
                <w:w w:val="99"/>
                <w:sz w:val="18"/>
              </w:rPr>
              <w:t>$</w:t>
            </w:r>
          </w:p>
        </w:tc>
        <w:tc>
          <w:tcPr>
            <w:tcW w:w="1302" w:type="dxa"/>
          </w:tcPr>
          <w:p>
            <w:pPr>
              <w:pStyle w:val="TableParagraph"/>
              <w:spacing w:before="26"/>
              <w:ind w:right="84"/>
              <w:jc w:val="center"/>
              <w:rPr>
                <w:b/>
                <w:sz w:val="18"/>
              </w:rPr>
            </w:pPr>
            <w:r>
              <w:rPr>
                <w:b/>
                <w:w w:val="99"/>
                <w:sz w:val="18"/>
              </w:rPr>
              <w:t>$</w:t>
            </w:r>
          </w:p>
        </w:tc>
        <w:tc>
          <w:tcPr>
            <w:tcW w:w="937" w:type="dxa"/>
          </w:tcPr>
          <w:p>
            <w:pPr>
              <w:pStyle w:val="TableParagraph"/>
              <w:spacing w:before="26"/>
              <w:ind w:left="49"/>
              <w:jc w:val="center"/>
              <w:rPr>
                <w:b/>
                <w:sz w:val="18"/>
              </w:rPr>
            </w:pPr>
            <w:r>
              <w:rPr>
                <w:b/>
                <w:w w:val="99"/>
                <w:sz w:val="18"/>
              </w:rPr>
              <w:t>$</w:t>
            </w:r>
          </w:p>
        </w:tc>
        <w:tc>
          <w:tcPr>
            <w:tcW w:w="1392" w:type="dxa"/>
          </w:tcPr>
          <w:p>
            <w:pPr>
              <w:pStyle w:val="TableParagraph"/>
              <w:spacing w:before="26"/>
              <w:ind w:left="17"/>
              <w:jc w:val="center"/>
              <w:rPr>
                <w:b/>
                <w:sz w:val="18"/>
              </w:rPr>
            </w:pPr>
            <w:r>
              <w:rPr>
                <w:b/>
                <w:w w:val="99"/>
                <w:sz w:val="18"/>
              </w:rPr>
              <w:t>$</w:t>
            </w:r>
          </w:p>
        </w:tc>
        <w:tc>
          <w:tcPr>
            <w:tcW w:w="1177" w:type="dxa"/>
          </w:tcPr>
          <w:p>
            <w:pPr>
              <w:pStyle w:val="TableParagraph"/>
              <w:spacing w:before="26"/>
              <w:ind w:right="48"/>
              <w:jc w:val="center"/>
              <w:rPr>
                <w:b/>
                <w:sz w:val="18"/>
              </w:rPr>
            </w:pPr>
            <w:r>
              <w:rPr>
                <w:b/>
                <w:w w:val="99"/>
                <w:sz w:val="18"/>
              </w:rPr>
              <w:t>$</w:t>
            </w:r>
          </w:p>
        </w:tc>
        <w:tc>
          <w:tcPr>
            <w:tcW w:w="885" w:type="dxa"/>
          </w:tcPr>
          <w:p>
            <w:pPr>
              <w:pStyle w:val="TableParagraph"/>
              <w:spacing w:before="26"/>
              <w:ind w:left="122"/>
              <w:jc w:val="center"/>
              <w:rPr>
                <w:b/>
                <w:sz w:val="18"/>
              </w:rPr>
            </w:pPr>
            <w:r>
              <w:rPr>
                <w:b/>
                <w:w w:val="99"/>
                <w:sz w:val="18"/>
              </w:rPr>
              <w:t>%</w:t>
            </w:r>
          </w:p>
        </w:tc>
      </w:tr>
      <w:tr>
        <w:trPr>
          <w:trHeight w:val="515" w:hRule="exact"/>
        </w:trPr>
        <w:tc>
          <w:tcPr>
            <w:tcW w:w="3072" w:type="dxa"/>
          </w:tcPr>
          <w:p>
            <w:pPr>
              <w:pStyle w:val="TableParagraph"/>
              <w:spacing w:before="145"/>
              <w:ind w:left="79"/>
              <w:rPr>
                <w:b/>
                <w:sz w:val="18"/>
              </w:rPr>
            </w:pPr>
            <w:r>
              <w:rPr>
                <w:b/>
                <w:sz w:val="18"/>
              </w:rPr>
              <w:t>Non derivatives</w:t>
            </w:r>
          </w:p>
        </w:tc>
        <w:tc>
          <w:tcPr>
            <w:tcW w:w="1347" w:type="dxa"/>
          </w:tcPr>
          <w:p>
            <w:pPr/>
          </w:p>
        </w:tc>
        <w:tc>
          <w:tcPr>
            <w:tcW w:w="1302" w:type="dxa"/>
          </w:tcPr>
          <w:p>
            <w:pPr/>
          </w:p>
        </w:tc>
        <w:tc>
          <w:tcPr>
            <w:tcW w:w="937" w:type="dxa"/>
          </w:tcPr>
          <w:p>
            <w:pPr/>
          </w:p>
        </w:tc>
        <w:tc>
          <w:tcPr>
            <w:tcW w:w="1392" w:type="dxa"/>
          </w:tcPr>
          <w:p>
            <w:pPr/>
          </w:p>
        </w:tc>
        <w:tc>
          <w:tcPr>
            <w:tcW w:w="1177" w:type="dxa"/>
          </w:tcPr>
          <w:p>
            <w:pPr/>
          </w:p>
        </w:tc>
        <w:tc>
          <w:tcPr>
            <w:tcW w:w="885" w:type="dxa"/>
          </w:tcPr>
          <w:p>
            <w:pPr/>
          </w:p>
        </w:tc>
      </w:tr>
      <w:tr>
        <w:trPr>
          <w:trHeight w:val="386" w:hRule="exact"/>
        </w:trPr>
        <w:tc>
          <w:tcPr>
            <w:tcW w:w="3072" w:type="dxa"/>
          </w:tcPr>
          <w:p>
            <w:pPr>
              <w:pStyle w:val="TableParagraph"/>
              <w:spacing w:before="144"/>
              <w:ind w:left="79"/>
              <w:rPr>
                <w:sz w:val="18"/>
              </w:rPr>
            </w:pPr>
            <w:r>
              <w:rPr>
                <w:sz w:val="18"/>
              </w:rPr>
              <w:t>Receivables</w:t>
            </w:r>
          </w:p>
        </w:tc>
        <w:tc>
          <w:tcPr>
            <w:tcW w:w="1347" w:type="dxa"/>
          </w:tcPr>
          <w:p>
            <w:pPr>
              <w:pStyle w:val="TableParagraph"/>
              <w:spacing w:before="144"/>
              <w:ind w:right="163"/>
              <w:jc w:val="right"/>
              <w:rPr>
                <w:b/>
                <w:sz w:val="18"/>
              </w:rPr>
            </w:pPr>
            <w:r>
              <w:rPr>
                <w:b/>
                <w:w w:val="95"/>
                <w:sz w:val="18"/>
              </w:rPr>
              <w:t>536,721</w:t>
            </w:r>
          </w:p>
        </w:tc>
        <w:tc>
          <w:tcPr>
            <w:tcW w:w="4808" w:type="dxa"/>
            <w:gridSpan w:val="4"/>
          </w:tcPr>
          <w:p>
            <w:pPr>
              <w:pStyle w:val="TableParagraph"/>
              <w:tabs>
                <w:tab w:pos="1951" w:val="left" w:leader="none"/>
                <w:tab w:pos="2774" w:val="left" w:leader="none"/>
                <w:tab w:pos="4064" w:val="left" w:leader="none"/>
              </w:tabs>
              <w:spacing w:before="144"/>
              <w:ind w:left="866"/>
              <w:rPr>
                <w:b/>
                <w:sz w:val="18"/>
              </w:rPr>
            </w:pPr>
            <w:r>
              <w:rPr>
                <w:b/>
                <w:sz w:val="18"/>
              </w:rPr>
              <w:t>-</w:t>
              <w:tab/>
              <w:t>-</w:t>
              <w:tab/>
              <w:t>536,721</w:t>
              <w:tab/>
              <w:t>536,721</w:t>
            </w:r>
          </w:p>
        </w:tc>
        <w:tc>
          <w:tcPr>
            <w:tcW w:w="885" w:type="dxa"/>
          </w:tcPr>
          <w:p>
            <w:pPr>
              <w:pStyle w:val="TableParagraph"/>
              <w:spacing w:before="144"/>
              <w:ind w:left="586"/>
              <w:rPr>
                <w:b/>
                <w:sz w:val="18"/>
              </w:rPr>
            </w:pPr>
            <w:r>
              <w:rPr>
                <w:b/>
                <w:w w:val="99"/>
                <w:sz w:val="18"/>
              </w:rPr>
              <w:t>-</w:t>
            </w:r>
          </w:p>
        </w:tc>
      </w:tr>
      <w:tr>
        <w:trPr>
          <w:trHeight w:val="258" w:hRule="exact"/>
        </w:trPr>
        <w:tc>
          <w:tcPr>
            <w:tcW w:w="3072" w:type="dxa"/>
          </w:tcPr>
          <w:p>
            <w:pPr>
              <w:pStyle w:val="TableParagraph"/>
              <w:spacing w:before="16"/>
              <w:ind w:left="79"/>
              <w:rPr>
                <w:sz w:val="18"/>
              </w:rPr>
            </w:pPr>
            <w:r>
              <w:rPr>
                <w:sz w:val="18"/>
              </w:rPr>
              <w:t>Payables</w:t>
            </w:r>
          </w:p>
        </w:tc>
        <w:tc>
          <w:tcPr>
            <w:tcW w:w="1347" w:type="dxa"/>
          </w:tcPr>
          <w:p>
            <w:pPr>
              <w:pStyle w:val="TableParagraph"/>
              <w:spacing w:before="16"/>
              <w:ind w:right="104"/>
              <w:jc w:val="right"/>
              <w:rPr>
                <w:b/>
                <w:sz w:val="18"/>
              </w:rPr>
            </w:pPr>
            <w:r>
              <w:rPr>
                <w:b/>
                <w:w w:val="95"/>
                <w:sz w:val="18"/>
              </w:rPr>
              <w:t>(3,294,123)</w:t>
            </w:r>
          </w:p>
        </w:tc>
        <w:tc>
          <w:tcPr>
            <w:tcW w:w="4808" w:type="dxa"/>
            <w:gridSpan w:val="4"/>
          </w:tcPr>
          <w:p>
            <w:pPr>
              <w:pStyle w:val="TableParagraph"/>
              <w:tabs>
                <w:tab w:pos="1951" w:val="left" w:leader="none"/>
                <w:tab w:pos="2564" w:val="left" w:leader="none"/>
                <w:tab w:pos="3856" w:val="left" w:leader="none"/>
              </w:tabs>
              <w:spacing w:before="16"/>
              <w:ind w:left="865"/>
              <w:rPr>
                <w:b/>
                <w:sz w:val="18"/>
              </w:rPr>
            </w:pPr>
            <w:r>
              <w:rPr>
                <w:b/>
                <w:sz w:val="18"/>
              </w:rPr>
              <w:t>-</w:t>
              <w:tab/>
              <w:t>-</w:t>
              <w:tab/>
              <w:t>(3,294,123)</w:t>
              <w:tab/>
              <w:t>(3,294,123)</w:t>
            </w:r>
          </w:p>
        </w:tc>
        <w:tc>
          <w:tcPr>
            <w:tcW w:w="885" w:type="dxa"/>
          </w:tcPr>
          <w:p>
            <w:pPr>
              <w:pStyle w:val="TableParagraph"/>
              <w:spacing w:before="16"/>
              <w:ind w:right="232"/>
              <w:jc w:val="right"/>
              <w:rPr>
                <w:b/>
                <w:sz w:val="18"/>
              </w:rPr>
            </w:pPr>
            <w:r>
              <w:rPr>
                <w:b/>
                <w:w w:val="99"/>
                <w:sz w:val="18"/>
              </w:rPr>
              <w:t>-</w:t>
            </w:r>
          </w:p>
        </w:tc>
      </w:tr>
      <w:tr>
        <w:trPr>
          <w:trHeight w:val="256" w:hRule="exact"/>
        </w:trPr>
        <w:tc>
          <w:tcPr>
            <w:tcW w:w="3072" w:type="dxa"/>
          </w:tcPr>
          <w:p>
            <w:pPr>
              <w:pStyle w:val="TableParagraph"/>
              <w:spacing w:before="16"/>
              <w:ind w:left="79"/>
              <w:rPr>
                <w:sz w:val="18"/>
              </w:rPr>
            </w:pPr>
            <w:r>
              <w:rPr>
                <w:sz w:val="18"/>
              </w:rPr>
              <w:t>Borrowings</w:t>
            </w:r>
          </w:p>
        </w:tc>
        <w:tc>
          <w:tcPr>
            <w:tcW w:w="1347" w:type="dxa"/>
            <w:tcBorders>
              <w:bottom w:val="single" w:sz="8" w:space="0" w:color="000000"/>
            </w:tcBorders>
          </w:tcPr>
          <w:p>
            <w:pPr>
              <w:pStyle w:val="TableParagraph"/>
              <w:spacing w:before="16"/>
              <w:ind w:right="104"/>
              <w:jc w:val="right"/>
              <w:rPr>
                <w:b/>
                <w:sz w:val="18"/>
              </w:rPr>
            </w:pPr>
            <w:r>
              <w:rPr>
                <w:b/>
                <w:w w:val="95"/>
                <w:sz w:val="18"/>
              </w:rPr>
              <w:t>(1,517,745)</w:t>
            </w:r>
          </w:p>
        </w:tc>
        <w:tc>
          <w:tcPr>
            <w:tcW w:w="4808" w:type="dxa"/>
            <w:gridSpan w:val="4"/>
            <w:tcBorders>
              <w:bottom w:val="single" w:sz="8" w:space="0" w:color="000000"/>
            </w:tcBorders>
          </w:tcPr>
          <w:p>
            <w:pPr>
              <w:pStyle w:val="TableParagraph"/>
              <w:tabs>
                <w:tab w:pos="1950" w:val="left" w:leader="none"/>
                <w:tab w:pos="3163" w:val="left" w:leader="none"/>
                <w:tab w:pos="3854" w:val="left" w:leader="none"/>
              </w:tabs>
              <w:spacing w:before="16"/>
              <w:ind w:left="516"/>
              <w:rPr>
                <w:b/>
                <w:sz w:val="18"/>
              </w:rPr>
            </w:pPr>
            <w:r>
              <w:rPr>
                <w:b/>
                <w:sz w:val="18"/>
              </w:rPr>
              <w:t>(93,750)</w:t>
              <w:tab/>
              <w:t>-</w:t>
              <w:tab/>
              <w:t>-</w:t>
              <w:tab/>
              <w:t>(1,611,495)</w:t>
            </w:r>
          </w:p>
        </w:tc>
        <w:tc>
          <w:tcPr>
            <w:tcW w:w="885" w:type="dxa"/>
          </w:tcPr>
          <w:p>
            <w:pPr>
              <w:pStyle w:val="TableParagraph"/>
              <w:spacing w:before="16"/>
              <w:ind w:right="33"/>
              <w:jc w:val="right"/>
              <w:rPr>
                <w:b/>
                <w:sz w:val="18"/>
              </w:rPr>
            </w:pPr>
            <w:r>
              <w:rPr>
                <w:b/>
                <w:w w:val="95"/>
                <w:sz w:val="18"/>
              </w:rPr>
              <w:t>6.39</w:t>
            </w:r>
          </w:p>
        </w:tc>
      </w:tr>
      <w:tr>
        <w:trPr>
          <w:trHeight w:val="363" w:hRule="exact"/>
        </w:trPr>
        <w:tc>
          <w:tcPr>
            <w:tcW w:w="10112" w:type="dxa"/>
            <w:gridSpan w:val="7"/>
          </w:tcPr>
          <w:p>
            <w:pPr>
              <w:pStyle w:val="TableParagraph"/>
              <w:tabs>
                <w:tab w:pos="3391" w:val="left" w:leader="none"/>
                <w:tab w:pos="4934" w:val="left" w:leader="none"/>
                <w:tab w:pos="6370" w:val="left" w:leader="none"/>
                <w:tab w:pos="6983" w:val="left" w:leader="none"/>
                <w:tab w:pos="8274" w:val="left" w:leader="none"/>
              </w:tabs>
              <w:spacing w:line="205" w:lineRule="exact"/>
              <w:ind w:left="79"/>
              <w:rPr>
                <w:b/>
                <w:sz w:val="18"/>
              </w:rPr>
            </w:pPr>
            <w:r>
              <w:rPr>
                <w:b/>
                <w:sz w:val="18"/>
              </w:rPr>
              <w:t>Total</w:t>
            </w:r>
            <w:r>
              <w:rPr>
                <w:b/>
                <w:spacing w:val="-6"/>
                <w:sz w:val="18"/>
              </w:rPr>
              <w:t> </w:t>
            </w:r>
            <w:r>
              <w:rPr>
                <w:b/>
                <w:sz w:val="18"/>
              </w:rPr>
              <w:t>non</w:t>
            </w:r>
            <w:r>
              <w:rPr>
                <w:b/>
                <w:spacing w:val="-6"/>
                <w:sz w:val="18"/>
              </w:rPr>
              <w:t> </w:t>
            </w:r>
            <w:r>
              <w:rPr>
                <w:b/>
                <w:sz w:val="18"/>
              </w:rPr>
              <w:t>derivatives</w:t>
              <w:tab/>
              <w:t>(4,275,147)</w:t>
              <w:tab/>
              <w:t>(93,750)</w:t>
              <w:tab/>
              <w:t>-</w:t>
              <w:tab/>
              <w:t>(2,757,402)</w:t>
              <w:tab/>
              <w:t>(4,368,897)</w:t>
            </w:r>
          </w:p>
        </w:tc>
      </w:tr>
      <w:tr>
        <w:trPr>
          <w:trHeight w:val="365" w:hRule="exact"/>
        </w:trPr>
        <w:tc>
          <w:tcPr>
            <w:tcW w:w="3072" w:type="dxa"/>
          </w:tcPr>
          <w:p>
            <w:pPr/>
          </w:p>
        </w:tc>
        <w:tc>
          <w:tcPr>
            <w:tcW w:w="1347" w:type="dxa"/>
          </w:tcPr>
          <w:p>
            <w:pPr/>
          </w:p>
        </w:tc>
        <w:tc>
          <w:tcPr>
            <w:tcW w:w="1302" w:type="dxa"/>
          </w:tcPr>
          <w:p>
            <w:pPr/>
          </w:p>
        </w:tc>
        <w:tc>
          <w:tcPr>
            <w:tcW w:w="937" w:type="dxa"/>
          </w:tcPr>
          <w:p>
            <w:pPr/>
          </w:p>
        </w:tc>
        <w:tc>
          <w:tcPr>
            <w:tcW w:w="1392" w:type="dxa"/>
          </w:tcPr>
          <w:p>
            <w:pPr/>
          </w:p>
        </w:tc>
        <w:tc>
          <w:tcPr>
            <w:tcW w:w="1177" w:type="dxa"/>
          </w:tcPr>
          <w:p>
            <w:pPr>
              <w:pStyle w:val="TableParagraph"/>
              <w:spacing w:before="138"/>
              <w:ind w:left="218"/>
              <w:rPr>
                <w:sz w:val="18"/>
              </w:rPr>
            </w:pPr>
            <w:r>
              <w:rPr>
                <w:sz w:val="18"/>
              </w:rPr>
              <w:t>Carrying</w:t>
            </w:r>
          </w:p>
        </w:tc>
        <w:tc>
          <w:tcPr>
            <w:tcW w:w="885" w:type="dxa"/>
          </w:tcPr>
          <w:p>
            <w:pPr>
              <w:pStyle w:val="TableParagraph"/>
              <w:spacing w:before="138"/>
              <w:ind w:right="53"/>
              <w:jc w:val="right"/>
              <w:rPr>
                <w:sz w:val="18"/>
              </w:rPr>
            </w:pPr>
            <w:r>
              <w:rPr>
                <w:w w:val="95"/>
                <w:sz w:val="18"/>
              </w:rPr>
              <w:t>Average</w:t>
            </w:r>
          </w:p>
        </w:tc>
      </w:tr>
      <w:tr>
        <w:trPr>
          <w:trHeight w:val="227" w:hRule="exact"/>
        </w:trPr>
        <w:tc>
          <w:tcPr>
            <w:tcW w:w="3072" w:type="dxa"/>
          </w:tcPr>
          <w:p>
            <w:pPr/>
          </w:p>
        </w:tc>
        <w:tc>
          <w:tcPr>
            <w:tcW w:w="1347" w:type="dxa"/>
          </w:tcPr>
          <w:p>
            <w:pPr>
              <w:pStyle w:val="TableParagraph"/>
              <w:ind w:left="175"/>
              <w:rPr>
                <w:sz w:val="18"/>
              </w:rPr>
            </w:pPr>
            <w:r>
              <w:rPr>
                <w:sz w:val="18"/>
              </w:rPr>
              <w:t>Less than 1</w:t>
            </w:r>
          </w:p>
        </w:tc>
        <w:tc>
          <w:tcPr>
            <w:tcW w:w="1302" w:type="dxa"/>
          </w:tcPr>
          <w:p>
            <w:pPr>
              <w:pStyle w:val="TableParagraph"/>
              <w:ind w:left="110" w:right="210"/>
              <w:jc w:val="center"/>
              <w:rPr>
                <w:sz w:val="18"/>
              </w:rPr>
            </w:pPr>
            <w:r>
              <w:rPr>
                <w:sz w:val="18"/>
              </w:rPr>
              <w:t>Between 1</w:t>
            </w:r>
          </w:p>
        </w:tc>
        <w:tc>
          <w:tcPr>
            <w:tcW w:w="937" w:type="dxa"/>
          </w:tcPr>
          <w:p>
            <w:pPr>
              <w:pStyle w:val="TableParagraph"/>
              <w:ind w:left="195" w:right="161"/>
              <w:jc w:val="center"/>
              <w:rPr>
                <w:sz w:val="18"/>
              </w:rPr>
            </w:pPr>
            <w:r>
              <w:rPr>
                <w:sz w:val="18"/>
              </w:rPr>
              <w:t>Over 5</w:t>
            </w:r>
          </w:p>
        </w:tc>
        <w:tc>
          <w:tcPr>
            <w:tcW w:w="1392" w:type="dxa"/>
          </w:tcPr>
          <w:p>
            <w:pPr/>
          </w:p>
        </w:tc>
        <w:tc>
          <w:tcPr>
            <w:tcW w:w="1177" w:type="dxa"/>
          </w:tcPr>
          <w:p>
            <w:pPr>
              <w:pStyle w:val="TableParagraph"/>
              <w:ind w:left="256"/>
              <w:rPr>
                <w:sz w:val="18"/>
              </w:rPr>
            </w:pPr>
            <w:r>
              <w:rPr>
                <w:sz w:val="18"/>
              </w:rPr>
              <w:t>amount</w:t>
            </w:r>
          </w:p>
        </w:tc>
        <w:tc>
          <w:tcPr>
            <w:tcW w:w="885" w:type="dxa"/>
          </w:tcPr>
          <w:p>
            <w:pPr>
              <w:pStyle w:val="TableParagraph"/>
              <w:ind w:right="93"/>
              <w:jc w:val="right"/>
              <w:rPr>
                <w:sz w:val="18"/>
              </w:rPr>
            </w:pPr>
            <w:r>
              <w:rPr>
                <w:w w:val="95"/>
                <w:sz w:val="18"/>
              </w:rPr>
              <w:t>interest</w:t>
            </w:r>
          </w:p>
        </w:tc>
      </w:tr>
      <w:tr>
        <w:trPr>
          <w:trHeight w:val="254" w:hRule="exact"/>
        </w:trPr>
        <w:tc>
          <w:tcPr>
            <w:tcW w:w="3072" w:type="dxa"/>
          </w:tcPr>
          <w:p>
            <w:pPr/>
          </w:p>
        </w:tc>
        <w:tc>
          <w:tcPr>
            <w:tcW w:w="1347" w:type="dxa"/>
          </w:tcPr>
          <w:p>
            <w:pPr>
              <w:pStyle w:val="TableParagraph"/>
              <w:ind w:left="125" w:right="189"/>
              <w:jc w:val="center"/>
              <w:rPr>
                <w:sz w:val="18"/>
              </w:rPr>
            </w:pPr>
            <w:r>
              <w:rPr>
                <w:sz w:val="18"/>
              </w:rPr>
              <w:t>year</w:t>
            </w:r>
          </w:p>
        </w:tc>
        <w:tc>
          <w:tcPr>
            <w:tcW w:w="1302" w:type="dxa"/>
          </w:tcPr>
          <w:p>
            <w:pPr>
              <w:pStyle w:val="TableParagraph"/>
              <w:ind w:left="110" w:right="211"/>
              <w:jc w:val="center"/>
              <w:rPr>
                <w:sz w:val="18"/>
              </w:rPr>
            </w:pPr>
            <w:r>
              <w:rPr>
                <w:sz w:val="18"/>
              </w:rPr>
              <w:t>and 5 years</w:t>
            </w:r>
          </w:p>
        </w:tc>
        <w:tc>
          <w:tcPr>
            <w:tcW w:w="937" w:type="dxa"/>
          </w:tcPr>
          <w:p>
            <w:pPr>
              <w:pStyle w:val="TableParagraph"/>
              <w:ind w:left="195" w:right="161"/>
              <w:jc w:val="center"/>
              <w:rPr>
                <w:sz w:val="18"/>
              </w:rPr>
            </w:pPr>
            <w:r>
              <w:rPr>
                <w:sz w:val="18"/>
              </w:rPr>
              <w:t>years</w:t>
            </w:r>
          </w:p>
        </w:tc>
        <w:tc>
          <w:tcPr>
            <w:tcW w:w="1392" w:type="dxa"/>
          </w:tcPr>
          <w:p>
            <w:pPr>
              <w:pStyle w:val="TableParagraph"/>
              <w:ind w:left="150" w:right="149"/>
              <w:jc w:val="center"/>
              <w:rPr>
                <w:sz w:val="18"/>
              </w:rPr>
            </w:pPr>
            <w:r>
              <w:rPr>
                <w:sz w:val="18"/>
              </w:rPr>
              <w:t>Non interest</w:t>
            </w:r>
          </w:p>
        </w:tc>
        <w:tc>
          <w:tcPr>
            <w:tcW w:w="1177" w:type="dxa"/>
          </w:tcPr>
          <w:p>
            <w:pPr>
              <w:pStyle w:val="TableParagraph"/>
              <w:ind w:left="216"/>
              <w:rPr>
                <w:sz w:val="18"/>
              </w:rPr>
            </w:pPr>
            <w:r>
              <w:rPr>
                <w:sz w:val="18"/>
              </w:rPr>
              <w:t>liabilities</w:t>
            </w:r>
          </w:p>
        </w:tc>
        <w:tc>
          <w:tcPr>
            <w:tcW w:w="885" w:type="dxa"/>
          </w:tcPr>
          <w:p>
            <w:pPr>
              <w:pStyle w:val="TableParagraph"/>
              <w:ind w:left="340"/>
              <w:rPr>
                <w:sz w:val="18"/>
              </w:rPr>
            </w:pPr>
            <w:r>
              <w:rPr>
                <w:sz w:val="18"/>
              </w:rPr>
              <w:t>rate</w:t>
            </w:r>
          </w:p>
        </w:tc>
      </w:tr>
      <w:tr>
        <w:trPr>
          <w:trHeight w:val="398" w:hRule="exact"/>
        </w:trPr>
        <w:tc>
          <w:tcPr>
            <w:tcW w:w="3072" w:type="dxa"/>
          </w:tcPr>
          <w:p>
            <w:pPr>
              <w:pStyle w:val="TableParagraph"/>
              <w:spacing w:before="27"/>
              <w:ind w:left="79"/>
              <w:rPr>
                <w:sz w:val="18"/>
              </w:rPr>
            </w:pPr>
            <w:r>
              <w:rPr>
                <w:sz w:val="18"/>
              </w:rPr>
              <w:t>2011</w:t>
            </w:r>
          </w:p>
        </w:tc>
        <w:tc>
          <w:tcPr>
            <w:tcW w:w="1347" w:type="dxa"/>
          </w:tcPr>
          <w:p>
            <w:pPr>
              <w:pStyle w:val="TableParagraph"/>
              <w:spacing w:before="27"/>
              <w:ind w:right="49"/>
              <w:jc w:val="center"/>
              <w:rPr>
                <w:sz w:val="18"/>
              </w:rPr>
            </w:pPr>
            <w:r>
              <w:rPr>
                <w:w w:val="99"/>
                <w:sz w:val="18"/>
              </w:rPr>
              <w:t>$</w:t>
            </w:r>
          </w:p>
        </w:tc>
        <w:tc>
          <w:tcPr>
            <w:tcW w:w="1302" w:type="dxa"/>
          </w:tcPr>
          <w:p>
            <w:pPr>
              <w:pStyle w:val="TableParagraph"/>
              <w:spacing w:before="27"/>
              <w:ind w:right="85"/>
              <w:jc w:val="center"/>
              <w:rPr>
                <w:sz w:val="18"/>
              </w:rPr>
            </w:pPr>
            <w:r>
              <w:rPr>
                <w:w w:val="99"/>
                <w:sz w:val="18"/>
              </w:rPr>
              <w:t>$</w:t>
            </w:r>
          </w:p>
        </w:tc>
        <w:tc>
          <w:tcPr>
            <w:tcW w:w="937" w:type="dxa"/>
          </w:tcPr>
          <w:p>
            <w:pPr>
              <w:pStyle w:val="TableParagraph"/>
              <w:spacing w:before="27"/>
              <w:ind w:left="49"/>
              <w:jc w:val="center"/>
              <w:rPr>
                <w:sz w:val="18"/>
              </w:rPr>
            </w:pPr>
            <w:r>
              <w:rPr>
                <w:w w:val="99"/>
                <w:sz w:val="18"/>
              </w:rPr>
              <w:t>$</w:t>
            </w:r>
          </w:p>
        </w:tc>
        <w:tc>
          <w:tcPr>
            <w:tcW w:w="1392" w:type="dxa"/>
          </w:tcPr>
          <w:p>
            <w:pPr>
              <w:pStyle w:val="TableParagraph"/>
              <w:spacing w:before="27"/>
              <w:ind w:left="16"/>
              <w:jc w:val="center"/>
              <w:rPr>
                <w:sz w:val="18"/>
              </w:rPr>
            </w:pPr>
            <w:r>
              <w:rPr>
                <w:w w:val="99"/>
                <w:sz w:val="18"/>
              </w:rPr>
              <w:t>$</w:t>
            </w:r>
          </w:p>
        </w:tc>
        <w:tc>
          <w:tcPr>
            <w:tcW w:w="1177" w:type="dxa"/>
          </w:tcPr>
          <w:p>
            <w:pPr>
              <w:pStyle w:val="TableParagraph"/>
              <w:spacing w:before="27"/>
              <w:ind w:right="49"/>
              <w:jc w:val="center"/>
              <w:rPr>
                <w:sz w:val="18"/>
              </w:rPr>
            </w:pPr>
            <w:r>
              <w:rPr>
                <w:w w:val="99"/>
                <w:sz w:val="18"/>
              </w:rPr>
              <w:t>$</w:t>
            </w:r>
          </w:p>
        </w:tc>
        <w:tc>
          <w:tcPr>
            <w:tcW w:w="885" w:type="dxa"/>
          </w:tcPr>
          <w:p>
            <w:pPr>
              <w:pStyle w:val="TableParagraph"/>
              <w:spacing w:before="27"/>
              <w:ind w:left="119"/>
              <w:jc w:val="center"/>
              <w:rPr>
                <w:sz w:val="18"/>
              </w:rPr>
            </w:pPr>
            <w:r>
              <w:rPr>
                <w:w w:val="99"/>
                <w:sz w:val="18"/>
              </w:rPr>
              <w:t>%</w:t>
            </w:r>
          </w:p>
        </w:tc>
      </w:tr>
      <w:tr>
        <w:trPr>
          <w:trHeight w:val="516" w:hRule="exact"/>
        </w:trPr>
        <w:tc>
          <w:tcPr>
            <w:tcW w:w="3072" w:type="dxa"/>
          </w:tcPr>
          <w:p>
            <w:pPr>
              <w:pStyle w:val="TableParagraph"/>
              <w:spacing w:before="145"/>
              <w:ind w:left="79"/>
              <w:rPr>
                <w:b/>
                <w:sz w:val="18"/>
              </w:rPr>
            </w:pPr>
            <w:r>
              <w:rPr>
                <w:b/>
                <w:sz w:val="18"/>
              </w:rPr>
              <w:t>Non derivatives</w:t>
            </w:r>
          </w:p>
        </w:tc>
        <w:tc>
          <w:tcPr>
            <w:tcW w:w="1347" w:type="dxa"/>
          </w:tcPr>
          <w:p>
            <w:pPr/>
          </w:p>
        </w:tc>
        <w:tc>
          <w:tcPr>
            <w:tcW w:w="1302" w:type="dxa"/>
          </w:tcPr>
          <w:p>
            <w:pPr/>
          </w:p>
        </w:tc>
        <w:tc>
          <w:tcPr>
            <w:tcW w:w="937" w:type="dxa"/>
          </w:tcPr>
          <w:p>
            <w:pPr/>
          </w:p>
        </w:tc>
        <w:tc>
          <w:tcPr>
            <w:tcW w:w="1392" w:type="dxa"/>
          </w:tcPr>
          <w:p>
            <w:pPr/>
          </w:p>
        </w:tc>
        <w:tc>
          <w:tcPr>
            <w:tcW w:w="1177" w:type="dxa"/>
          </w:tcPr>
          <w:p>
            <w:pPr/>
          </w:p>
        </w:tc>
        <w:tc>
          <w:tcPr>
            <w:tcW w:w="885" w:type="dxa"/>
          </w:tcPr>
          <w:p>
            <w:pPr/>
          </w:p>
        </w:tc>
      </w:tr>
      <w:tr>
        <w:trPr>
          <w:trHeight w:val="386" w:hRule="exact"/>
        </w:trPr>
        <w:tc>
          <w:tcPr>
            <w:tcW w:w="3072" w:type="dxa"/>
          </w:tcPr>
          <w:p>
            <w:pPr>
              <w:pStyle w:val="TableParagraph"/>
              <w:spacing w:before="145"/>
              <w:ind w:left="79"/>
              <w:rPr>
                <w:sz w:val="18"/>
              </w:rPr>
            </w:pPr>
            <w:r>
              <w:rPr>
                <w:sz w:val="18"/>
              </w:rPr>
              <w:t>Receivables</w:t>
            </w:r>
          </w:p>
        </w:tc>
        <w:tc>
          <w:tcPr>
            <w:tcW w:w="1347" w:type="dxa"/>
          </w:tcPr>
          <w:p>
            <w:pPr>
              <w:pStyle w:val="TableParagraph"/>
              <w:spacing w:before="145"/>
              <w:ind w:right="164"/>
              <w:jc w:val="right"/>
              <w:rPr>
                <w:sz w:val="18"/>
              </w:rPr>
            </w:pPr>
            <w:r>
              <w:rPr>
                <w:w w:val="95"/>
                <w:sz w:val="18"/>
              </w:rPr>
              <w:t>485,212</w:t>
            </w:r>
          </w:p>
        </w:tc>
        <w:tc>
          <w:tcPr>
            <w:tcW w:w="4808" w:type="dxa"/>
            <w:gridSpan w:val="4"/>
          </w:tcPr>
          <w:p>
            <w:pPr>
              <w:pStyle w:val="TableParagraph"/>
              <w:tabs>
                <w:tab w:pos="1950" w:val="left" w:leader="none"/>
                <w:tab w:pos="2773" w:val="left" w:leader="none"/>
                <w:tab w:pos="4063" w:val="left" w:leader="none"/>
              </w:tabs>
              <w:spacing w:before="145"/>
              <w:ind w:left="866"/>
              <w:rPr>
                <w:sz w:val="18"/>
              </w:rPr>
            </w:pPr>
            <w:r>
              <w:rPr>
                <w:sz w:val="18"/>
              </w:rPr>
              <w:t>-</w:t>
              <w:tab/>
              <w:t>-</w:t>
              <w:tab/>
              <w:t>485,212</w:t>
              <w:tab/>
              <w:t>485,212</w:t>
            </w:r>
          </w:p>
        </w:tc>
        <w:tc>
          <w:tcPr>
            <w:tcW w:w="885" w:type="dxa"/>
          </w:tcPr>
          <w:p>
            <w:pPr>
              <w:pStyle w:val="TableParagraph"/>
              <w:spacing w:before="145"/>
              <w:ind w:left="585"/>
              <w:rPr>
                <w:sz w:val="18"/>
              </w:rPr>
            </w:pPr>
            <w:r>
              <w:rPr>
                <w:w w:val="99"/>
                <w:sz w:val="18"/>
              </w:rPr>
              <w:t>-</w:t>
            </w:r>
          </w:p>
        </w:tc>
      </w:tr>
      <w:tr>
        <w:trPr>
          <w:trHeight w:val="257" w:hRule="exact"/>
        </w:trPr>
        <w:tc>
          <w:tcPr>
            <w:tcW w:w="3072" w:type="dxa"/>
          </w:tcPr>
          <w:p>
            <w:pPr>
              <w:pStyle w:val="TableParagraph"/>
              <w:spacing w:before="15"/>
              <w:ind w:left="79"/>
              <w:rPr>
                <w:sz w:val="18"/>
              </w:rPr>
            </w:pPr>
            <w:r>
              <w:rPr>
                <w:sz w:val="18"/>
              </w:rPr>
              <w:t>Payables</w:t>
            </w:r>
          </w:p>
        </w:tc>
        <w:tc>
          <w:tcPr>
            <w:tcW w:w="1347" w:type="dxa"/>
          </w:tcPr>
          <w:p>
            <w:pPr>
              <w:pStyle w:val="TableParagraph"/>
              <w:spacing w:before="15"/>
              <w:ind w:right="105"/>
              <w:jc w:val="right"/>
              <w:rPr>
                <w:sz w:val="18"/>
              </w:rPr>
            </w:pPr>
            <w:r>
              <w:rPr>
                <w:w w:val="95"/>
                <w:sz w:val="18"/>
              </w:rPr>
              <w:t>(2,857,323)</w:t>
            </w:r>
          </w:p>
        </w:tc>
        <w:tc>
          <w:tcPr>
            <w:tcW w:w="4808" w:type="dxa"/>
            <w:gridSpan w:val="4"/>
          </w:tcPr>
          <w:p>
            <w:pPr>
              <w:pStyle w:val="TableParagraph"/>
              <w:tabs>
                <w:tab w:pos="1950" w:val="left" w:leader="none"/>
                <w:tab w:pos="2563" w:val="left" w:leader="none"/>
                <w:tab w:pos="3855" w:val="left" w:leader="none"/>
              </w:tabs>
              <w:spacing w:before="15"/>
              <w:ind w:left="864"/>
              <w:rPr>
                <w:sz w:val="18"/>
              </w:rPr>
            </w:pPr>
            <w:r>
              <w:rPr>
                <w:sz w:val="18"/>
              </w:rPr>
              <w:t>-</w:t>
              <w:tab/>
              <w:t>-</w:t>
              <w:tab/>
              <w:t>(2,857,323)</w:t>
              <w:tab/>
              <w:t>(2,857,323)</w:t>
            </w:r>
          </w:p>
        </w:tc>
        <w:tc>
          <w:tcPr>
            <w:tcW w:w="885" w:type="dxa"/>
          </w:tcPr>
          <w:p>
            <w:pPr>
              <w:pStyle w:val="TableParagraph"/>
              <w:spacing w:before="15"/>
              <w:ind w:left="589"/>
              <w:rPr>
                <w:sz w:val="18"/>
              </w:rPr>
            </w:pPr>
            <w:r>
              <w:rPr>
                <w:w w:val="99"/>
                <w:sz w:val="18"/>
              </w:rPr>
              <w:t>-</w:t>
            </w:r>
          </w:p>
        </w:tc>
      </w:tr>
      <w:tr>
        <w:trPr>
          <w:trHeight w:val="257" w:hRule="exact"/>
        </w:trPr>
        <w:tc>
          <w:tcPr>
            <w:tcW w:w="3072" w:type="dxa"/>
          </w:tcPr>
          <w:p>
            <w:pPr>
              <w:pStyle w:val="TableParagraph"/>
              <w:spacing w:before="16"/>
              <w:ind w:left="78"/>
              <w:rPr>
                <w:sz w:val="18"/>
              </w:rPr>
            </w:pPr>
            <w:r>
              <w:rPr>
                <w:sz w:val="18"/>
              </w:rPr>
              <w:t>Borrowings</w:t>
            </w:r>
          </w:p>
        </w:tc>
        <w:tc>
          <w:tcPr>
            <w:tcW w:w="1347" w:type="dxa"/>
            <w:tcBorders>
              <w:bottom w:val="single" w:sz="8" w:space="0" w:color="000000"/>
            </w:tcBorders>
          </w:tcPr>
          <w:p>
            <w:pPr>
              <w:pStyle w:val="TableParagraph"/>
              <w:spacing w:before="16"/>
              <w:ind w:right="106"/>
              <w:jc w:val="right"/>
              <w:rPr>
                <w:sz w:val="18"/>
              </w:rPr>
            </w:pPr>
            <w:r>
              <w:rPr>
                <w:w w:val="95"/>
                <w:sz w:val="18"/>
              </w:rPr>
              <w:t>(1,625,000)</w:t>
            </w:r>
          </w:p>
        </w:tc>
        <w:tc>
          <w:tcPr>
            <w:tcW w:w="4808" w:type="dxa"/>
            <w:gridSpan w:val="4"/>
            <w:tcBorders>
              <w:bottom w:val="single" w:sz="8" w:space="0" w:color="000000"/>
            </w:tcBorders>
          </w:tcPr>
          <w:p>
            <w:pPr>
              <w:pStyle w:val="TableParagraph"/>
              <w:tabs>
                <w:tab w:pos="1949" w:val="left" w:leader="none"/>
                <w:tab w:pos="3162" w:val="left" w:leader="none"/>
                <w:tab w:pos="3853" w:val="left" w:leader="none"/>
              </w:tabs>
              <w:spacing w:before="16"/>
              <w:ind w:left="415"/>
              <w:rPr>
                <w:sz w:val="18"/>
              </w:rPr>
            </w:pPr>
            <w:r>
              <w:rPr>
                <w:sz w:val="18"/>
              </w:rPr>
              <w:t>(234,375)</w:t>
              <w:tab/>
              <w:t>-</w:t>
              <w:tab/>
              <w:t>-</w:t>
              <w:tab/>
              <w:t>(1,859,375)</w:t>
            </w:r>
          </w:p>
        </w:tc>
        <w:tc>
          <w:tcPr>
            <w:tcW w:w="885" w:type="dxa"/>
          </w:tcPr>
          <w:p>
            <w:pPr>
              <w:pStyle w:val="TableParagraph"/>
              <w:spacing w:before="16"/>
              <w:ind w:right="33"/>
              <w:jc w:val="right"/>
              <w:rPr>
                <w:sz w:val="18"/>
              </w:rPr>
            </w:pPr>
            <w:r>
              <w:rPr>
                <w:w w:val="95"/>
                <w:sz w:val="18"/>
              </w:rPr>
              <w:t>7.25</w:t>
            </w:r>
          </w:p>
        </w:tc>
      </w:tr>
      <w:tr>
        <w:trPr>
          <w:trHeight w:val="258" w:hRule="exact"/>
        </w:trPr>
        <w:tc>
          <w:tcPr>
            <w:tcW w:w="3072" w:type="dxa"/>
          </w:tcPr>
          <w:p>
            <w:pPr>
              <w:pStyle w:val="TableParagraph"/>
              <w:spacing w:line="205" w:lineRule="exact"/>
              <w:ind w:left="78"/>
              <w:rPr>
                <w:b/>
                <w:sz w:val="18"/>
              </w:rPr>
            </w:pPr>
            <w:r>
              <w:rPr>
                <w:b/>
                <w:sz w:val="18"/>
              </w:rPr>
              <w:t>Total non derivatives</w:t>
            </w:r>
          </w:p>
        </w:tc>
        <w:tc>
          <w:tcPr>
            <w:tcW w:w="1347" w:type="dxa"/>
            <w:tcBorders>
              <w:top w:val="single" w:sz="8" w:space="0" w:color="000000"/>
              <w:bottom w:val="single" w:sz="23" w:space="0" w:color="000000"/>
            </w:tcBorders>
          </w:tcPr>
          <w:p>
            <w:pPr>
              <w:pStyle w:val="TableParagraph"/>
              <w:spacing w:line="196" w:lineRule="exact"/>
              <w:ind w:right="105"/>
              <w:jc w:val="right"/>
              <w:rPr>
                <w:sz w:val="18"/>
              </w:rPr>
            </w:pPr>
            <w:r>
              <w:rPr>
                <w:w w:val="95"/>
                <w:sz w:val="18"/>
              </w:rPr>
              <w:t>(3,997,111)</w:t>
            </w:r>
          </w:p>
        </w:tc>
        <w:tc>
          <w:tcPr>
            <w:tcW w:w="4808" w:type="dxa"/>
            <w:gridSpan w:val="4"/>
            <w:tcBorders>
              <w:top w:val="single" w:sz="8" w:space="0" w:color="000000"/>
              <w:bottom w:val="single" w:sz="23" w:space="0" w:color="000000"/>
            </w:tcBorders>
          </w:tcPr>
          <w:p>
            <w:pPr>
              <w:pStyle w:val="TableParagraph"/>
              <w:tabs>
                <w:tab w:pos="1949" w:val="left" w:leader="none"/>
                <w:tab w:pos="2563" w:val="left" w:leader="none"/>
                <w:tab w:pos="3855" w:val="left" w:leader="none"/>
              </w:tabs>
              <w:spacing w:line="196" w:lineRule="exact"/>
              <w:ind w:left="415"/>
              <w:rPr>
                <w:sz w:val="18"/>
              </w:rPr>
            </w:pPr>
            <w:r>
              <w:rPr>
                <w:sz w:val="18"/>
              </w:rPr>
              <w:t>(234,375)</w:t>
              <w:tab/>
              <w:t>-</w:t>
              <w:tab/>
              <w:t>(2,372,111)</w:t>
              <w:tab/>
              <w:t>(4,231,486)</w:t>
            </w:r>
          </w:p>
        </w:tc>
        <w:tc>
          <w:tcPr>
            <w:tcW w:w="885" w:type="dxa"/>
          </w:tcPr>
          <w:p>
            <w:pPr/>
          </w:p>
        </w:tc>
      </w:tr>
    </w:tbl>
    <w:p>
      <w:pPr>
        <w:pStyle w:val="BodyText"/>
        <w:rPr>
          <w:b/>
          <w:sz w:val="20"/>
        </w:rPr>
      </w:pPr>
    </w:p>
    <w:p>
      <w:pPr>
        <w:pStyle w:val="BodyText"/>
        <w:rPr>
          <w:b/>
          <w:sz w:val="20"/>
        </w:rPr>
      </w:pPr>
    </w:p>
    <w:p>
      <w:pPr>
        <w:pStyle w:val="BodyText"/>
        <w:rPr>
          <w:b/>
          <w:sz w:val="20"/>
        </w:rPr>
      </w:pPr>
    </w:p>
    <w:p>
      <w:pPr>
        <w:pStyle w:val="BodyText"/>
        <w:spacing w:before="11"/>
        <w:rPr>
          <w:b/>
          <w:sz w:val="24"/>
        </w:rPr>
      </w:pPr>
    </w:p>
    <w:p>
      <w:pPr>
        <w:pStyle w:val="ListParagraph"/>
        <w:numPr>
          <w:ilvl w:val="0"/>
          <w:numId w:val="108"/>
        </w:numPr>
        <w:tabs>
          <w:tab w:pos="826" w:val="left" w:leader="none"/>
        </w:tabs>
        <w:spacing w:line="240" w:lineRule="auto" w:before="77" w:after="0"/>
        <w:ind w:left="825" w:right="0" w:hanging="679"/>
        <w:jc w:val="left"/>
        <w:rPr>
          <w:b/>
          <w:sz w:val="18"/>
        </w:rPr>
      </w:pPr>
      <w:r>
        <w:rPr>
          <w:b/>
          <w:sz w:val="18"/>
        </w:rPr>
        <w:t>Fair value</w:t>
      </w:r>
      <w:r>
        <w:rPr>
          <w:b/>
          <w:spacing w:val="-1"/>
          <w:sz w:val="18"/>
        </w:rPr>
        <w:t> </w:t>
      </w:r>
      <w:r>
        <w:rPr>
          <w:b/>
          <w:sz w:val="18"/>
        </w:rPr>
        <w:t>measurements</w:t>
      </w:r>
    </w:p>
    <w:p>
      <w:pPr>
        <w:pStyle w:val="BodyText"/>
        <w:spacing w:before="7"/>
        <w:rPr>
          <w:b/>
          <w:sz w:val="14"/>
        </w:rPr>
      </w:pPr>
    </w:p>
    <w:p>
      <w:pPr>
        <w:pStyle w:val="BodyText"/>
        <w:ind w:left="145" w:right="340"/>
      </w:pPr>
      <w:r>
        <w:rPr/>
        <w:t>The fair value of financial assets and financial liabilities must be estimated for recognition and measurement or for disclosure purposes.</w:t>
      </w:r>
    </w:p>
    <w:p>
      <w:pPr>
        <w:pStyle w:val="BodyText"/>
        <w:spacing w:before="7"/>
        <w:rPr>
          <w:sz w:val="14"/>
        </w:rPr>
      </w:pPr>
    </w:p>
    <w:p>
      <w:pPr>
        <w:pStyle w:val="BodyText"/>
        <w:ind w:left="145" w:right="295"/>
      </w:pPr>
      <w:r>
        <w:rPr/>
        <w:t>As the Company's financial instruments are short term in nature, their carrying values recognised in the statement of financial position approximates their fair value.</w:t>
      </w:r>
    </w:p>
    <w:p>
      <w:pPr>
        <w:pStyle w:val="BodyText"/>
        <w:spacing w:before="7"/>
        <w:rPr>
          <w:sz w:val="14"/>
        </w:rPr>
      </w:pPr>
    </w:p>
    <w:p>
      <w:pPr>
        <w:pStyle w:val="BodyText"/>
        <w:ind w:left="145" w:right="118"/>
      </w:pPr>
      <w:r>
        <w:rPr/>
        <w:t>The carrying amount and aggregate net fair values of financial assets and financial liabilities at balance date are:</w:t>
      </w:r>
    </w:p>
    <w:p>
      <w:pPr>
        <w:pStyle w:val="BodyText"/>
        <w:spacing w:before="9"/>
        <w:rPr>
          <w:sz w:val="28"/>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30"/>
        <w:gridCol w:w="4385"/>
        <w:gridCol w:w="1471"/>
      </w:tblGrid>
      <w:tr>
        <w:trPr>
          <w:trHeight w:val="640" w:hRule="exact"/>
        </w:trPr>
        <w:tc>
          <w:tcPr>
            <w:tcW w:w="4330" w:type="dxa"/>
          </w:tcPr>
          <w:p>
            <w:pPr/>
          </w:p>
        </w:tc>
        <w:tc>
          <w:tcPr>
            <w:tcW w:w="4385" w:type="dxa"/>
          </w:tcPr>
          <w:p>
            <w:pPr>
              <w:pStyle w:val="TableParagraph"/>
              <w:spacing w:before="77"/>
              <w:ind w:left="2673" w:right="340"/>
              <w:jc w:val="center"/>
              <w:rPr>
                <w:sz w:val="18"/>
              </w:rPr>
            </w:pPr>
            <w:r>
              <w:rPr>
                <w:sz w:val="18"/>
              </w:rPr>
              <w:t>Carrying amount</w:t>
            </w:r>
          </w:p>
          <w:p>
            <w:pPr>
              <w:pStyle w:val="TableParagraph"/>
              <w:spacing w:before="66"/>
              <w:ind w:right="975"/>
              <w:jc w:val="right"/>
              <w:rPr>
                <w:sz w:val="18"/>
              </w:rPr>
            </w:pPr>
            <w:r>
              <w:rPr>
                <w:w w:val="99"/>
                <w:sz w:val="18"/>
              </w:rPr>
              <w:t>$</w:t>
            </w:r>
          </w:p>
        </w:tc>
        <w:tc>
          <w:tcPr>
            <w:tcW w:w="1471" w:type="dxa"/>
          </w:tcPr>
          <w:p>
            <w:pPr>
              <w:pStyle w:val="TableParagraph"/>
              <w:spacing w:before="77"/>
              <w:ind w:left="244" w:right="395"/>
              <w:jc w:val="center"/>
              <w:rPr>
                <w:sz w:val="18"/>
              </w:rPr>
            </w:pPr>
            <w:r>
              <w:rPr>
                <w:sz w:val="18"/>
              </w:rPr>
              <w:t>Fair value</w:t>
            </w:r>
          </w:p>
          <w:p>
            <w:pPr>
              <w:pStyle w:val="TableParagraph"/>
              <w:spacing w:before="66"/>
              <w:ind w:right="152"/>
              <w:jc w:val="center"/>
              <w:rPr>
                <w:sz w:val="18"/>
              </w:rPr>
            </w:pPr>
            <w:r>
              <w:rPr>
                <w:w w:val="99"/>
                <w:sz w:val="18"/>
              </w:rPr>
              <w:t>$</w:t>
            </w:r>
          </w:p>
        </w:tc>
      </w:tr>
      <w:tr>
        <w:trPr>
          <w:trHeight w:val="544" w:hRule="exact"/>
        </w:trPr>
        <w:tc>
          <w:tcPr>
            <w:tcW w:w="4330" w:type="dxa"/>
          </w:tcPr>
          <w:p>
            <w:pPr>
              <w:pStyle w:val="TableParagraph"/>
              <w:spacing w:before="63"/>
              <w:ind w:left="35"/>
              <w:rPr>
                <w:b/>
                <w:sz w:val="18"/>
              </w:rPr>
            </w:pPr>
            <w:r>
              <w:rPr>
                <w:b/>
                <w:sz w:val="18"/>
              </w:rPr>
              <w:t>Financial assets</w:t>
            </w:r>
          </w:p>
          <w:p>
            <w:pPr>
              <w:pStyle w:val="TableParagraph"/>
              <w:spacing w:before="29"/>
              <w:ind w:left="35"/>
              <w:rPr>
                <w:sz w:val="18"/>
              </w:rPr>
            </w:pPr>
            <w:r>
              <w:rPr>
                <w:sz w:val="18"/>
              </w:rPr>
              <w:t>Cash</w:t>
            </w:r>
          </w:p>
        </w:tc>
        <w:tc>
          <w:tcPr>
            <w:tcW w:w="4385" w:type="dxa"/>
          </w:tcPr>
          <w:p>
            <w:pPr>
              <w:pStyle w:val="TableParagraph"/>
              <w:spacing w:before="11"/>
              <w:rPr>
                <w:sz w:val="25"/>
              </w:rPr>
            </w:pPr>
          </w:p>
          <w:p>
            <w:pPr>
              <w:pStyle w:val="TableParagraph"/>
              <w:ind w:right="261"/>
              <w:jc w:val="right"/>
              <w:rPr>
                <w:sz w:val="18"/>
              </w:rPr>
            </w:pPr>
            <w:r>
              <w:rPr>
                <w:w w:val="95"/>
                <w:sz w:val="18"/>
              </w:rPr>
              <w:t>2,281,787</w:t>
            </w:r>
          </w:p>
        </w:tc>
        <w:tc>
          <w:tcPr>
            <w:tcW w:w="1471" w:type="dxa"/>
          </w:tcPr>
          <w:p>
            <w:pPr>
              <w:pStyle w:val="TableParagraph"/>
              <w:spacing w:before="10"/>
              <w:rPr>
                <w:sz w:val="25"/>
              </w:rPr>
            </w:pPr>
          </w:p>
          <w:p>
            <w:pPr>
              <w:pStyle w:val="TableParagraph"/>
              <w:spacing w:before="1"/>
              <w:ind w:right="33"/>
              <w:jc w:val="right"/>
              <w:rPr>
                <w:sz w:val="18"/>
              </w:rPr>
            </w:pPr>
            <w:r>
              <w:rPr>
                <w:w w:val="95"/>
                <w:sz w:val="18"/>
              </w:rPr>
              <w:t>2,281,787</w:t>
            </w:r>
          </w:p>
        </w:tc>
      </w:tr>
      <w:tr>
        <w:trPr>
          <w:trHeight w:val="306" w:hRule="exact"/>
        </w:trPr>
        <w:tc>
          <w:tcPr>
            <w:tcW w:w="4330" w:type="dxa"/>
          </w:tcPr>
          <w:p>
            <w:pPr>
              <w:pStyle w:val="TableParagraph"/>
              <w:spacing w:before="19"/>
              <w:ind w:left="35"/>
              <w:rPr>
                <w:sz w:val="18"/>
              </w:rPr>
            </w:pPr>
            <w:r>
              <w:rPr>
                <w:sz w:val="18"/>
              </w:rPr>
              <w:t>Receivables</w:t>
            </w:r>
          </w:p>
        </w:tc>
        <w:tc>
          <w:tcPr>
            <w:tcW w:w="4385" w:type="dxa"/>
          </w:tcPr>
          <w:p>
            <w:pPr>
              <w:pStyle w:val="TableParagraph"/>
              <w:spacing w:before="18"/>
              <w:ind w:right="262"/>
              <w:jc w:val="right"/>
              <w:rPr>
                <w:sz w:val="18"/>
              </w:rPr>
            </w:pPr>
            <w:r>
              <w:rPr>
                <w:w w:val="95"/>
                <w:sz w:val="18"/>
              </w:rPr>
              <w:t>536,721</w:t>
            </w:r>
          </w:p>
        </w:tc>
        <w:tc>
          <w:tcPr>
            <w:tcW w:w="1471" w:type="dxa"/>
          </w:tcPr>
          <w:p>
            <w:pPr>
              <w:pStyle w:val="TableParagraph"/>
              <w:spacing w:before="18"/>
              <w:ind w:right="33"/>
              <w:jc w:val="right"/>
              <w:rPr>
                <w:sz w:val="18"/>
              </w:rPr>
            </w:pPr>
            <w:r>
              <w:rPr>
                <w:w w:val="95"/>
                <w:sz w:val="18"/>
              </w:rPr>
              <w:t>536,721</w:t>
            </w:r>
          </w:p>
        </w:tc>
      </w:tr>
      <w:tr>
        <w:trPr>
          <w:trHeight w:val="291" w:hRule="exact"/>
        </w:trPr>
        <w:tc>
          <w:tcPr>
            <w:tcW w:w="4330" w:type="dxa"/>
          </w:tcPr>
          <w:p>
            <w:pPr>
              <w:pStyle w:val="TableParagraph"/>
              <w:spacing w:before="60"/>
              <w:ind w:left="35"/>
              <w:rPr>
                <w:b/>
                <w:sz w:val="18"/>
              </w:rPr>
            </w:pPr>
            <w:r>
              <w:rPr>
                <w:b/>
                <w:sz w:val="18"/>
              </w:rPr>
              <w:t>Financial liabilities</w:t>
            </w:r>
          </w:p>
        </w:tc>
        <w:tc>
          <w:tcPr>
            <w:tcW w:w="4385" w:type="dxa"/>
          </w:tcPr>
          <w:p>
            <w:pPr/>
          </w:p>
        </w:tc>
        <w:tc>
          <w:tcPr>
            <w:tcW w:w="1471" w:type="dxa"/>
          </w:tcPr>
          <w:p>
            <w:pPr/>
          </w:p>
        </w:tc>
      </w:tr>
      <w:tr>
        <w:trPr>
          <w:trHeight w:val="250" w:hRule="exact"/>
        </w:trPr>
        <w:tc>
          <w:tcPr>
            <w:tcW w:w="4330" w:type="dxa"/>
          </w:tcPr>
          <w:p>
            <w:pPr>
              <w:pStyle w:val="TableParagraph"/>
              <w:spacing w:before="6"/>
              <w:ind w:left="35"/>
              <w:rPr>
                <w:sz w:val="18"/>
              </w:rPr>
            </w:pPr>
            <w:r>
              <w:rPr>
                <w:sz w:val="18"/>
              </w:rPr>
              <w:t>Borrowings</w:t>
            </w:r>
          </w:p>
        </w:tc>
        <w:tc>
          <w:tcPr>
            <w:tcW w:w="4385" w:type="dxa"/>
          </w:tcPr>
          <w:p>
            <w:pPr>
              <w:pStyle w:val="TableParagraph"/>
              <w:spacing w:before="4"/>
              <w:ind w:right="262"/>
              <w:jc w:val="right"/>
              <w:rPr>
                <w:sz w:val="18"/>
              </w:rPr>
            </w:pPr>
            <w:r>
              <w:rPr>
                <w:w w:val="95"/>
                <w:sz w:val="18"/>
              </w:rPr>
              <w:t>1,611,495</w:t>
            </w:r>
          </w:p>
        </w:tc>
        <w:tc>
          <w:tcPr>
            <w:tcW w:w="1471" w:type="dxa"/>
          </w:tcPr>
          <w:p>
            <w:pPr>
              <w:pStyle w:val="TableParagraph"/>
              <w:spacing w:before="4"/>
              <w:ind w:right="33"/>
              <w:jc w:val="right"/>
              <w:rPr>
                <w:sz w:val="18"/>
              </w:rPr>
            </w:pPr>
            <w:r>
              <w:rPr>
                <w:w w:val="95"/>
                <w:sz w:val="18"/>
              </w:rPr>
              <w:t>1,611,495</w:t>
            </w:r>
          </w:p>
        </w:tc>
      </w:tr>
      <w:tr>
        <w:trPr>
          <w:trHeight w:val="323" w:hRule="exact"/>
        </w:trPr>
        <w:tc>
          <w:tcPr>
            <w:tcW w:w="4330" w:type="dxa"/>
          </w:tcPr>
          <w:p>
            <w:pPr>
              <w:pStyle w:val="TableParagraph"/>
              <w:spacing w:before="19"/>
              <w:ind w:left="35"/>
              <w:rPr>
                <w:sz w:val="18"/>
              </w:rPr>
            </w:pPr>
            <w:r>
              <w:rPr>
                <w:sz w:val="18"/>
              </w:rPr>
              <w:t>Payables</w:t>
            </w:r>
          </w:p>
        </w:tc>
        <w:tc>
          <w:tcPr>
            <w:tcW w:w="4385" w:type="dxa"/>
          </w:tcPr>
          <w:p>
            <w:pPr>
              <w:pStyle w:val="TableParagraph"/>
              <w:spacing w:before="18"/>
              <w:ind w:right="262"/>
              <w:jc w:val="right"/>
              <w:rPr>
                <w:sz w:val="18"/>
              </w:rPr>
            </w:pPr>
            <w:r>
              <w:rPr>
                <w:w w:val="95"/>
                <w:sz w:val="18"/>
              </w:rPr>
              <w:t>3,294,123</w:t>
            </w:r>
          </w:p>
        </w:tc>
        <w:tc>
          <w:tcPr>
            <w:tcW w:w="1471" w:type="dxa"/>
          </w:tcPr>
          <w:p>
            <w:pPr>
              <w:pStyle w:val="TableParagraph"/>
              <w:spacing w:before="18"/>
              <w:ind w:right="33"/>
              <w:jc w:val="right"/>
              <w:rPr>
                <w:sz w:val="18"/>
              </w:rPr>
            </w:pPr>
            <w:r>
              <w:rPr>
                <w:w w:val="95"/>
                <w:sz w:val="18"/>
              </w:rPr>
              <w:t>3,294,123</w:t>
            </w:r>
          </w:p>
        </w:tc>
      </w:tr>
    </w:tbl>
    <w:p>
      <w:pPr>
        <w:spacing w:after="0"/>
        <w:jc w:val="right"/>
        <w:rPr>
          <w:sz w:val="18"/>
        </w:rPr>
        <w:sectPr>
          <w:pgSz w:w="11910" w:h="16840"/>
          <w:pgMar w:header="936" w:footer="526" w:top="2040" w:bottom="700" w:left="760" w:right="740"/>
        </w:sectPr>
      </w:pPr>
    </w:p>
    <w:p>
      <w:pPr>
        <w:pStyle w:val="BodyText"/>
        <w:rPr>
          <w:rFonts w:ascii="Times New Roman"/>
          <w:sz w:val="20"/>
        </w:rPr>
      </w:pPr>
    </w:p>
    <w:p>
      <w:pPr>
        <w:pStyle w:val="BodyText"/>
        <w:spacing w:before="8"/>
        <w:rPr>
          <w:rFonts w:ascii="Times New Roman"/>
          <w:sz w:val="24"/>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41"/>
        <w:gridCol w:w="2594"/>
      </w:tblGrid>
      <w:tr>
        <w:trPr>
          <w:trHeight w:val="575" w:hRule="exact"/>
        </w:trPr>
        <w:tc>
          <w:tcPr>
            <w:tcW w:w="7641" w:type="dxa"/>
          </w:tcPr>
          <w:p>
            <w:pPr>
              <w:pStyle w:val="TableParagraph"/>
              <w:tabs>
                <w:tab w:pos="430" w:val="left" w:leader="none"/>
              </w:tabs>
              <w:spacing w:before="77"/>
              <w:ind w:left="35"/>
              <w:rPr>
                <w:b/>
                <w:sz w:val="18"/>
              </w:rPr>
            </w:pPr>
            <w:r>
              <w:rPr>
                <w:b/>
                <w:sz w:val="18"/>
              </w:rPr>
              <w:t>3</w:t>
              <w:tab/>
              <w:t>Revenue</w:t>
            </w:r>
          </w:p>
        </w:tc>
        <w:tc>
          <w:tcPr>
            <w:tcW w:w="2594" w:type="dxa"/>
          </w:tcPr>
          <w:p>
            <w:pPr>
              <w:pStyle w:val="TableParagraph"/>
              <w:rPr>
                <w:rFonts w:ascii="Times New Roman"/>
                <w:sz w:val="18"/>
              </w:rPr>
            </w:pPr>
          </w:p>
          <w:p>
            <w:pPr>
              <w:pStyle w:val="TableParagraph"/>
              <w:tabs>
                <w:tab w:pos="1754" w:val="left" w:leader="none"/>
              </w:tabs>
              <w:spacing w:before="118"/>
              <w:ind w:left="457"/>
              <w:rPr>
                <w:sz w:val="18"/>
              </w:rPr>
            </w:pPr>
            <w:r>
              <w:rPr>
                <w:b/>
                <w:sz w:val="18"/>
              </w:rPr>
              <w:t>2012</w:t>
              <w:tab/>
            </w:r>
            <w:r>
              <w:rPr>
                <w:sz w:val="18"/>
              </w:rPr>
              <w:t>2011</w:t>
            </w:r>
          </w:p>
        </w:tc>
      </w:tr>
      <w:tr>
        <w:trPr>
          <w:trHeight w:val="257" w:hRule="exact"/>
        </w:trPr>
        <w:tc>
          <w:tcPr>
            <w:tcW w:w="7641" w:type="dxa"/>
          </w:tcPr>
          <w:p>
            <w:pPr/>
          </w:p>
        </w:tc>
        <w:tc>
          <w:tcPr>
            <w:tcW w:w="2594" w:type="dxa"/>
          </w:tcPr>
          <w:p>
            <w:pPr>
              <w:pStyle w:val="TableParagraph"/>
              <w:tabs>
                <w:tab w:pos="1904" w:val="left" w:leader="none"/>
              </w:tabs>
              <w:spacing w:before="24"/>
              <w:ind w:left="607"/>
              <w:rPr>
                <w:sz w:val="18"/>
              </w:rPr>
            </w:pPr>
            <w:r>
              <w:rPr>
                <w:b/>
                <w:sz w:val="18"/>
              </w:rPr>
              <w:t>$</w:t>
              <w:tab/>
            </w:r>
            <w:r>
              <w:rPr>
                <w:sz w:val="18"/>
              </w:rPr>
              <w:t>$</w:t>
            </w:r>
          </w:p>
        </w:tc>
      </w:tr>
      <w:tr>
        <w:trPr>
          <w:trHeight w:val="326" w:hRule="exact"/>
        </w:trPr>
        <w:tc>
          <w:tcPr>
            <w:tcW w:w="7641" w:type="dxa"/>
          </w:tcPr>
          <w:p>
            <w:pPr>
              <w:pStyle w:val="TableParagraph"/>
              <w:spacing w:before="7"/>
              <w:ind w:left="79"/>
              <w:rPr>
                <w:b/>
                <w:sz w:val="18"/>
              </w:rPr>
            </w:pPr>
            <w:r>
              <w:rPr>
                <w:b/>
                <w:sz w:val="18"/>
              </w:rPr>
              <w:t>Revenue from operating activities</w:t>
            </w:r>
          </w:p>
        </w:tc>
        <w:tc>
          <w:tcPr>
            <w:tcW w:w="2594" w:type="dxa"/>
          </w:tcPr>
          <w:p>
            <w:pPr/>
          </w:p>
        </w:tc>
      </w:tr>
      <w:tr>
        <w:trPr>
          <w:trHeight w:val="323" w:hRule="exact"/>
        </w:trPr>
        <w:tc>
          <w:tcPr>
            <w:tcW w:w="7641" w:type="dxa"/>
          </w:tcPr>
          <w:p>
            <w:pPr>
              <w:pStyle w:val="TableParagraph"/>
              <w:spacing w:before="93"/>
              <w:ind w:left="79"/>
              <w:rPr>
                <w:sz w:val="18"/>
              </w:rPr>
            </w:pPr>
            <w:r>
              <w:rPr>
                <w:sz w:val="18"/>
              </w:rPr>
              <w:t>Sale of goods</w:t>
            </w:r>
          </w:p>
        </w:tc>
        <w:tc>
          <w:tcPr>
            <w:tcW w:w="2594" w:type="dxa"/>
          </w:tcPr>
          <w:p>
            <w:pPr/>
          </w:p>
        </w:tc>
      </w:tr>
      <w:tr>
        <w:trPr>
          <w:trHeight w:val="248" w:hRule="exact"/>
        </w:trPr>
        <w:tc>
          <w:tcPr>
            <w:tcW w:w="7641" w:type="dxa"/>
          </w:tcPr>
          <w:p>
            <w:pPr>
              <w:pStyle w:val="TableParagraph"/>
              <w:spacing w:before="4"/>
              <w:ind w:left="294"/>
              <w:rPr>
                <w:sz w:val="18"/>
              </w:rPr>
            </w:pPr>
            <w:r>
              <w:rPr>
                <w:sz w:val="18"/>
              </w:rPr>
              <w:t>Books</w:t>
            </w:r>
          </w:p>
        </w:tc>
        <w:tc>
          <w:tcPr>
            <w:tcW w:w="2594" w:type="dxa"/>
          </w:tcPr>
          <w:p>
            <w:pPr>
              <w:pStyle w:val="TableParagraph"/>
              <w:tabs>
                <w:tab w:pos="1297" w:val="left" w:leader="none"/>
              </w:tabs>
              <w:spacing w:before="31"/>
              <w:ind w:right="84"/>
              <w:jc w:val="right"/>
              <w:rPr>
                <w:sz w:val="18"/>
              </w:rPr>
            </w:pPr>
            <w:r>
              <w:rPr>
                <w:b/>
                <w:sz w:val="18"/>
              </w:rPr>
              <w:t>8,931,436</w:t>
              <w:tab/>
            </w:r>
            <w:r>
              <w:rPr>
                <w:w w:val="95"/>
                <w:sz w:val="18"/>
              </w:rPr>
              <w:t>9,482,946</w:t>
            </w:r>
          </w:p>
        </w:tc>
      </w:tr>
      <w:tr>
        <w:trPr>
          <w:trHeight w:val="206" w:hRule="exact"/>
        </w:trPr>
        <w:tc>
          <w:tcPr>
            <w:tcW w:w="7641" w:type="dxa"/>
          </w:tcPr>
          <w:p>
            <w:pPr>
              <w:pStyle w:val="TableParagraph"/>
              <w:spacing w:line="197" w:lineRule="exact"/>
              <w:ind w:left="294"/>
              <w:rPr>
                <w:sz w:val="18"/>
              </w:rPr>
            </w:pPr>
            <w:r>
              <w:rPr>
                <w:sz w:val="18"/>
              </w:rPr>
              <w:t>Food and beverage</w:t>
            </w:r>
          </w:p>
        </w:tc>
        <w:tc>
          <w:tcPr>
            <w:tcW w:w="2594" w:type="dxa"/>
          </w:tcPr>
          <w:p>
            <w:pPr>
              <w:pStyle w:val="TableParagraph"/>
              <w:tabs>
                <w:tab w:pos="1297" w:val="left" w:leader="none"/>
              </w:tabs>
              <w:spacing w:line="197" w:lineRule="exact"/>
              <w:ind w:right="84"/>
              <w:jc w:val="right"/>
              <w:rPr>
                <w:sz w:val="18"/>
              </w:rPr>
            </w:pPr>
            <w:r>
              <w:rPr>
                <w:b/>
                <w:sz w:val="18"/>
              </w:rPr>
              <w:t>8,629,554</w:t>
              <w:tab/>
            </w:r>
            <w:r>
              <w:rPr>
                <w:w w:val="95"/>
                <w:sz w:val="18"/>
              </w:rPr>
              <w:t>8,374,042</w:t>
            </w:r>
          </w:p>
        </w:tc>
      </w:tr>
      <w:tr>
        <w:trPr>
          <w:trHeight w:val="216" w:hRule="exact"/>
        </w:trPr>
        <w:tc>
          <w:tcPr>
            <w:tcW w:w="7641" w:type="dxa"/>
          </w:tcPr>
          <w:p>
            <w:pPr>
              <w:pStyle w:val="TableParagraph"/>
              <w:spacing w:line="197" w:lineRule="exact"/>
              <w:ind w:left="294"/>
              <w:rPr>
                <w:sz w:val="18"/>
              </w:rPr>
            </w:pPr>
            <w:r>
              <w:rPr>
                <w:sz w:val="18"/>
              </w:rPr>
              <w:t>Retail</w:t>
            </w:r>
          </w:p>
        </w:tc>
        <w:tc>
          <w:tcPr>
            <w:tcW w:w="2594" w:type="dxa"/>
          </w:tcPr>
          <w:p>
            <w:pPr>
              <w:pStyle w:val="TableParagraph"/>
              <w:tabs>
                <w:tab w:pos="410" w:val="left" w:leader="none"/>
                <w:tab w:pos="1707" w:val="left" w:leader="none"/>
              </w:tabs>
              <w:spacing w:line="197" w:lineRule="exact"/>
              <w:ind w:right="84"/>
              <w:jc w:val="right"/>
              <w:rPr>
                <w:sz w:val="18"/>
              </w:rPr>
            </w:pPr>
            <w:r>
              <w:rPr>
                <w:b/>
                <w:w w:val="100"/>
                <w:sz w:val="18"/>
                <w:u w:val="single"/>
              </w:rPr>
              <w:t> </w:t>
            </w:r>
            <w:r>
              <w:rPr>
                <w:b/>
                <w:sz w:val="18"/>
                <w:u w:val="single"/>
              </w:rPr>
              <w:tab/>
              <w:t>2,414,510</w:t>
              <w:tab/>
            </w:r>
            <w:r>
              <w:rPr>
                <w:w w:val="95"/>
                <w:sz w:val="18"/>
                <w:u w:val="single"/>
              </w:rPr>
              <w:t>2,404,725</w:t>
            </w:r>
          </w:p>
        </w:tc>
      </w:tr>
      <w:tr>
        <w:trPr>
          <w:trHeight w:val="329" w:hRule="exact"/>
        </w:trPr>
        <w:tc>
          <w:tcPr>
            <w:tcW w:w="7641" w:type="dxa"/>
          </w:tcPr>
          <w:p>
            <w:pPr>
              <w:pStyle w:val="TableParagraph"/>
              <w:spacing w:line="207" w:lineRule="exact"/>
              <w:ind w:left="79"/>
              <w:rPr>
                <w:sz w:val="18"/>
              </w:rPr>
            </w:pPr>
            <w:r>
              <w:rPr>
                <w:sz w:val="18"/>
              </w:rPr>
              <w:t>Total sale of goods</w:t>
            </w:r>
          </w:p>
        </w:tc>
        <w:tc>
          <w:tcPr>
            <w:tcW w:w="2594" w:type="dxa"/>
          </w:tcPr>
          <w:p>
            <w:pPr>
              <w:pStyle w:val="TableParagraph"/>
              <w:tabs>
                <w:tab w:pos="310" w:val="left" w:leader="none"/>
                <w:tab w:pos="1607" w:val="left" w:leader="none"/>
              </w:tabs>
              <w:spacing w:line="207" w:lineRule="exact"/>
              <w:ind w:right="83"/>
              <w:jc w:val="right"/>
              <w:rPr>
                <w:sz w:val="18"/>
              </w:rPr>
            </w:pPr>
            <w:r>
              <w:rPr>
                <w:b/>
                <w:w w:val="100"/>
                <w:sz w:val="18"/>
                <w:u w:val="single"/>
              </w:rPr>
              <w:t> </w:t>
            </w:r>
            <w:r>
              <w:rPr>
                <w:b/>
                <w:sz w:val="18"/>
                <w:u w:val="single"/>
              </w:rPr>
              <w:tab/>
              <w:t>19,975,500</w:t>
              <w:tab/>
            </w:r>
            <w:r>
              <w:rPr>
                <w:w w:val="95"/>
                <w:sz w:val="18"/>
                <w:u w:val="single"/>
              </w:rPr>
              <w:t>20,261,713</w:t>
            </w:r>
          </w:p>
        </w:tc>
      </w:tr>
      <w:tr>
        <w:trPr>
          <w:trHeight w:val="526" w:hRule="exact"/>
        </w:trPr>
        <w:tc>
          <w:tcPr>
            <w:tcW w:w="7641" w:type="dxa"/>
          </w:tcPr>
          <w:p>
            <w:pPr>
              <w:pStyle w:val="TableParagraph"/>
              <w:spacing w:before="103"/>
              <w:ind w:left="294" w:right="5800" w:hanging="215"/>
              <w:rPr>
                <w:sz w:val="18"/>
              </w:rPr>
            </w:pPr>
            <w:r>
              <w:rPr>
                <w:sz w:val="18"/>
              </w:rPr>
              <w:t>Rendering of services Sports</w:t>
            </w:r>
          </w:p>
        </w:tc>
        <w:tc>
          <w:tcPr>
            <w:tcW w:w="2594" w:type="dxa"/>
          </w:tcPr>
          <w:p>
            <w:pPr>
              <w:pStyle w:val="TableParagraph"/>
              <w:spacing w:before="10"/>
              <w:rPr>
                <w:rFonts w:ascii="Times New Roman"/>
                <w:sz w:val="26"/>
              </w:rPr>
            </w:pPr>
          </w:p>
          <w:p>
            <w:pPr>
              <w:pStyle w:val="TableParagraph"/>
              <w:tabs>
                <w:tab w:pos="1297" w:val="left" w:leader="none"/>
              </w:tabs>
              <w:ind w:right="84"/>
              <w:jc w:val="right"/>
              <w:rPr>
                <w:sz w:val="18"/>
              </w:rPr>
            </w:pPr>
            <w:r>
              <w:rPr>
                <w:b/>
                <w:sz w:val="18"/>
              </w:rPr>
              <w:t>1,788,736</w:t>
              <w:tab/>
            </w:r>
            <w:r>
              <w:rPr>
                <w:w w:val="95"/>
                <w:sz w:val="18"/>
              </w:rPr>
              <w:t>1,755,074</w:t>
            </w:r>
          </w:p>
        </w:tc>
      </w:tr>
      <w:tr>
        <w:trPr>
          <w:trHeight w:val="206" w:hRule="exact"/>
        </w:trPr>
        <w:tc>
          <w:tcPr>
            <w:tcW w:w="7641" w:type="dxa"/>
          </w:tcPr>
          <w:p>
            <w:pPr>
              <w:pStyle w:val="TableParagraph"/>
              <w:spacing w:line="197" w:lineRule="exact"/>
              <w:ind w:left="294"/>
              <w:rPr>
                <w:sz w:val="18"/>
              </w:rPr>
            </w:pPr>
            <w:r>
              <w:rPr>
                <w:sz w:val="18"/>
              </w:rPr>
              <w:t>Graduation</w:t>
            </w:r>
          </w:p>
        </w:tc>
        <w:tc>
          <w:tcPr>
            <w:tcW w:w="2594" w:type="dxa"/>
          </w:tcPr>
          <w:p>
            <w:pPr>
              <w:pStyle w:val="TableParagraph"/>
              <w:tabs>
                <w:tab w:pos="1297" w:val="left" w:leader="none"/>
              </w:tabs>
              <w:spacing w:line="197" w:lineRule="exact"/>
              <w:ind w:right="84"/>
              <w:jc w:val="right"/>
              <w:rPr>
                <w:sz w:val="18"/>
              </w:rPr>
            </w:pPr>
            <w:r>
              <w:rPr>
                <w:b/>
                <w:sz w:val="18"/>
              </w:rPr>
              <w:t>276,642</w:t>
              <w:tab/>
            </w:r>
            <w:r>
              <w:rPr>
                <w:w w:val="95"/>
                <w:sz w:val="18"/>
              </w:rPr>
              <w:t>257,722</w:t>
            </w:r>
          </w:p>
        </w:tc>
      </w:tr>
      <w:tr>
        <w:trPr>
          <w:trHeight w:val="216" w:hRule="exact"/>
        </w:trPr>
        <w:tc>
          <w:tcPr>
            <w:tcW w:w="7641" w:type="dxa"/>
          </w:tcPr>
          <w:p>
            <w:pPr>
              <w:pStyle w:val="TableParagraph"/>
              <w:spacing w:line="197" w:lineRule="exact"/>
              <w:ind w:left="294"/>
              <w:rPr>
                <w:sz w:val="18"/>
              </w:rPr>
            </w:pPr>
            <w:r>
              <w:rPr>
                <w:sz w:val="18"/>
              </w:rPr>
              <w:t>Venue hire</w:t>
            </w:r>
          </w:p>
        </w:tc>
        <w:tc>
          <w:tcPr>
            <w:tcW w:w="2594" w:type="dxa"/>
          </w:tcPr>
          <w:p>
            <w:pPr>
              <w:pStyle w:val="TableParagraph"/>
              <w:tabs>
                <w:tab w:pos="560" w:val="left" w:leader="none"/>
                <w:tab w:pos="1857" w:val="left" w:leader="none"/>
              </w:tabs>
              <w:spacing w:line="197" w:lineRule="exact"/>
              <w:ind w:right="85"/>
              <w:jc w:val="right"/>
              <w:rPr>
                <w:sz w:val="18"/>
              </w:rPr>
            </w:pPr>
            <w:r>
              <w:rPr>
                <w:b/>
                <w:w w:val="100"/>
                <w:sz w:val="18"/>
                <w:u w:val="single"/>
              </w:rPr>
              <w:t> </w:t>
            </w:r>
            <w:r>
              <w:rPr>
                <w:b/>
                <w:sz w:val="18"/>
                <w:u w:val="single"/>
              </w:rPr>
              <w:tab/>
              <w:t>308,623</w:t>
              <w:tab/>
            </w:r>
            <w:r>
              <w:rPr>
                <w:w w:val="95"/>
                <w:sz w:val="18"/>
                <w:u w:val="single"/>
              </w:rPr>
              <w:t>294,270</w:t>
            </w:r>
          </w:p>
        </w:tc>
      </w:tr>
      <w:tr>
        <w:trPr>
          <w:trHeight w:val="338" w:hRule="exact"/>
        </w:trPr>
        <w:tc>
          <w:tcPr>
            <w:tcW w:w="7641" w:type="dxa"/>
          </w:tcPr>
          <w:p>
            <w:pPr>
              <w:pStyle w:val="TableParagraph"/>
              <w:spacing w:line="207" w:lineRule="exact"/>
              <w:ind w:left="79"/>
              <w:rPr>
                <w:sz w:val="18"/>
              </w:rPr>
            </w:pPr>
            <w:r>
              <w:rPr>
                <w:sz w:val="18"/>
              </w:rPr>
              <w:t>Total rendering of services</w:t>
            </w:r>
          </w:p>
        </w:tc>
        <w:tc>
          <w:tcPr>
            <w:tcW w:w="2594" w:type="dxa"/>
          </w:tcPr>
          <w:p>
            <w:pPr>
              <w:pStyle w:val="TableParagraph"/>
              <w:tabs>
                <w:tab w:pos="410" w:val="left" w:leader="none"/>
                <w:tab w:pos="1707" w:val="left" w:leader="none"/>
              </w:tabs>
              <w:spacing w:line="207" w:lineRule="exact"/>
              <w:ind w:right="84"/>
              <w:jc w:val="right"/>
              <w:rPr>
                <w:sz w:val="18"/>
              </w:rPr>
            </w:pPr>
            <w:r>
              <w:rPr>
                <w:b/>
                <w:w w:val="100"/>
                <w:sz w:val="18"/>
                <w:u w:val="single"/>
              </w:rPr>
              <w:t> </w:t>
            </w:r>
            <w:r>
              <w:rPr>
                <w:b/>
                <w:sz w:val="18"/>
                <w:u w:val="single"/>
              </w:rPr>
              <w:tab/>
              <w:t>2,374,001</w:t>
              <w:tab/>
            </w:r>
            <w:r>
              <w:rPr>
                <w:w w:val="95"/>
                <w:sz w:val="18"/>
                <w:u w:val="single"/>
              </w:rPr>
              <w:t>2,307,066</w:t>
            </w:r>
          </w:p>
        </w:tc>
      </w:tr>
      <w:tr>
        <w:trPr>
          <w:trHeight w:val="535" w:hRule="exact"/>
        </w:trPr>
        <w:tc>
          <w:tcPr>
            <w:tcW w:w="7641" w:type="dxa"/>
          </w:tcPr>
          <w:p>
            <w:pPr>
              <w:pStyle w:val="TableParagraph"/>
              <w:spacing w:line="207" w:lineRule="exact" w:before="112"/>
              <w:ind w:left="79"/>
              <w:rPr>
                <w:sz w:val="18"/>
              </w:rPr>
            </w:pPr>
            <w:r>
              <w:rPr>
                <w:sz w:val="18"/>
              </w:rPr>
              <w:t>UWS Funding</w:t>
            </w:r>
          </w:p>
          <w:p>
            <w:pPr>
              <w:pStyle w:val="TableParagraph"/>
              <w:spacing w:line="207" w:lineRule="exact"/>
              <w:ind w:left="294"/>
              <w:rPr>
                <w:sz w:val="18"/>
              </w:rPr>
            </w:pPr>
            <w:r>
              <w:rPr>
                <w:sz w:val="18"/>
              </w:rPr>
              <w:t>UWS Funding - community services</w:t>
            </w:r>
          </w:p>
        </w:tc>
        <w:tc>
          <w:tcPr>
            <w:tcW w:w="2594" w:type="dxa"/>
          </w:tcPr>
          <w:p>
            <w:pPr>
              <w:pStyle w:val="TableParagraph"/>
              <w:rPr>
                <w:rFonts w:ascii="Times New Roman"/>
                <w:sz w:val="18"/>
              </w:rPr>
            </w:pPr>
          </w:p>
          <w:p>
            <w:pPr>
              <w:pStyle w:val="TableParagraph"/>
              <w:tabs>
                <w:tab w:pos="1297" w:val="left" w:leader="none"/>
              </w:tabs>
              <w:spacing w:before="112"/>
              <w:ind w:right="84"/>
              <w:jc w:val="right"/>
              <w:rPr>
                <w:sz w:val="18"/>
              </w:rPr>
            </w:pPr>
            <w:r>
              <w:rPr>
                <w:b/>
                <w:sz w:val="18"/>
              </w:rPr>
              <w:t>1,250,000</w:t>
              <w:tab/>
            </w:r>
            <w:r>
              <w:rPr>
                <w:w w:val="95"/>
                <w:sz w:val="18"/>
              </w:rPr>
              <w:t>1,350,000</w:t>
            </w:r>
          </w:p>
        </w:tc>
      </w:tr>
      <w:tr>
        <w:trPr>
          <w:trHeight w:val="206" w:hRule="exact"/>
        </w:trPr>
        <w:tc>
          <w:tcPr>
            <w:tcW w:w="7641" w:type="dxa"/>
          </w:tcPr>
          <w:p>
            <w:pPr>
              <w:pStyle w:val="TableParagraph"/>
              <w:spacing w:line="197" w:lineRule="exact"/>
              <w:ind w:left="294"/>
              <w:rPr>
                <w:sz w:val="18"/>
              </w:rPr>
            </w:pPr>
            <w:r>
              <w:rPr>
                <w:sz w:val="18"/>
              </w:rPr>
              <w:t>UWS Funding - bus services</w:t>
            </w:r>
          </w:p>
        </w:tc>
        <w:tc>
          <w:tcPr>
            <w:tcW w:w="2594" w:type="dxa"/>
          </w:tcPr>
          <w:p>
            <w:pPr>
              <w:pStyle w:val="TableParagraph"/>
              <w:tabs>
                <w:tab w:pos="1297" w:val="left" w:leader="none"/>
              </w:tabs>
              <w:spacing w:line="197" w:lineRule="exact"/>
              <w:ind w:right="84"/>
              <w:jc w:val="right"/>
              <w:rPr>
                <w:sz w:val="18"/>
              </w:rPr>
            </w:pPr>
            <w:r>
              <w:rPr>
                <w:b/>
                <w:sz w:val="18"/>
              </w:rPr>
              <w:t>1,372,000</w:t>
              <w:tab/>
            </w:r>
            <w:r>
              <w:rPr>
                <w:w w:val="95"/>
                <w:sz w:val="18"/>
              </w:rPr>
              <w:t>1,033,000</w:t>
            </w:r>
          </w:p>
        </w:tc>
      </w:tr>
      <w:tr>
        <w:trPr>
          <w:trHeight w:val="206" w:hRule="exact"/>
        </w:trPr>
        <w:tc>
          <w:tcPr>
            <w:tcW w:w="7641" w:type="dxa"/>
          </w:tcPr>
          <w:p>
            <w:pPr>
              <w:pStyle w:val="TableParagraph"/>
              <w:spacing w:line="197" w:lineRule="exact"/>
              <w:ind w:left="294"/>
              <w:rPr>
                <w:sz w:val="18"/>
              </w:rPr>
            </w:pPr>
            <w:r>
              <w:rPr>
                <w:sz w:val="18"/>
              </w:rPr>
              <w:t>UWS Funding - clubs</w:t>
            </w:r>
          </w:p>
        </w:tc>
        <w:tc>
          <w:tcPr>
            <w:tcW w:w="2594" w:type="dxa"/>
          </w:tcPr>
          <w:p>
            <w:pPr>
              <w:pStyle w:val="TableParagraph"/>
              <w:tabs>
                <w:tab w:pos="1885" w:val="left" w:leader="none"/>
              </w:tabs>
              <w:spacing w:line="197" w:lineRule="exact"/>
              <w:ind w:right="86"/>
              <w:jc w:val="right"/>
              <w:rPr>
                <w:sz w:val="18"/>
              </w:rPr>
            </w:pPr>
            <w:r>
              <w:rPr>
                <w:b/>
                <w:sz w:val="18"/>
              </w:rPr>
              <w:t>205,000</w:t>
              <w:tab/>
            </w:r>
            <w:r>
              <w:rPr>
                <w:sz w:val="18"/>
              </w:rPr>
              <w:t>-</w:t>
            </w:r>
          </w:p>
        </w:tc>
      </w:tr>
      <w:tr>
        <w:trPr>
          <w:trHeight w:val="216" w:hRule="exact"/>
        </w:trPr>
        <w:tc>
          <w:tcPr>
            <w:tcW w:w="7641" w:type="dxa"/>
          </w:tcPr>
          <w:p>
            <w:pPr>
              <w:pStyle w:val="TableParagraph"/>
              <w:spacing w:line="197" w:lineRule="exact"/>
              <w:ind w:left="294"/>
              <w:rPr>
                <w:sz w:val="18"/>
              </w:rPr>
            </w:pPr>
            <w:r>
              <w:rPr>
                <w:sz w:val="18"/>
              </w:rPr>
              <w:t>UWS Funding - capital and minor equipment</w:t>
            </w:r>
          </w:p>
        </w:tc>
        <w:tc>
          <w:tcPr>
            <w:tcW w:w="2594" w:type="dxa"/>
          </w:tcPr>
          <w:p>
            <w:pPr>
              <w:pStyle w:val="TableParagraph"/>
              <w:tabs>
                <w:tab w:pos="659" w:val="left" w:leader="none"/>
                <w:tab w:pos="1857" w:val="left" w:leader="none"/>
              </w:tabs>
              <w:spacing w:line="197" w:lineRule="exact"/>
              <w:ind w:right="84"/>
              <w:jc w:val="right"/>
              <w:rPr>
                <w:sz w:val="18"/>
              </w:rPr>
            </w:pPr>
            <w:r>
              <w:rPr>
                <w:b/>
                <w:w w:val="100"/>
                <w:sz w:val="18"/>
                <w:u w:val="single"/>
              </w:rPr>
              <w:t> </w:t>
            </w:r>
            <w:r>
              <w:rPr>
                <w:b/>
                <w:sz w:val="18"/>
                <w:u w:val="single"/>
              </w:rPr>
              <w:tab/>
              <w:t>27,150</w:t>
              <w:tab/>
            </w:r>
            <w:r>
              <w:rPr>
                <w:w w:val="95"/>
                <w:sz w:val="18"/>
                <w:u w:val="single"/>
              </w:rPr>
              <w:t>862,850</w:t>
            </w:r>
          </w:p>
        </w:tc>
      </w:tr>
      <w:tr>
        <w:trPr>
          <w:trHeight w:val="329" w:hRule="exact"/>
        </w:trPr>
        <w:tc>
          <w:tcPr>
            <w:tcW w:w="7641" w:type="dxa"/>
          </w:tcPr>
          <w:p>
            <w:pPr>
              <w:pStyle w:val="TableParagraph"/>
              <w:spacing w:line="207" w:lineRule="exact"/>
              <w:ind w:left="79"/>
              <w:rPr>
                <w:sz w:val="18"/>
              </w:rPr>
            </w:pPr>
            <w:r>
              <w:rPr>
                <w:sz w:val="18"/>
              </w:rPr>
              <w:t>Total UWS Funding</w:t>
            </w:r>
          </w:p>
        </w:tc>
        <w:tc>
          <w:tcPr>
            <w:tcW w:w="2594" w:type="dxa"/>
          </w:tcPr>
          <w:p>
            <w:pPr>
              <w:pStyle w:val="TableParagraph"/>
              <w:tabs>
                <w:tab w:pos="410" w:val="left" w:leader="none"/>
                <w:tab w:pos="1707" w:val="left" w:leader="none"/>
              </w:tabs>
              <w:spacing w:line="207" w:lineRule="exact"/>
              <w:ind w:right="84"/>
              <w:jc w:val="right"/>
              <w:rPr>
                <w:sz w:val="18"/>
              </w:rPr>
            </w:pPr>
            <w:r>
              <w:rPr>
                <w:b/>
                <w:w w:val="100"/>
                <w:sz w:val="18"/>
                <w:u w:val="single"/>
              </w:rPr>
              <w:t> </w:t>
            </w:r>
            <w:r>
              <w:rPr>
                <w:b/>
                <w:sz w:val="18"/>
                <w:u w:val="single"/>
              </w:rPr>
              <w:tab/>
              <w:t>2,854,150</w:t>
              <w:tab/>
            </w:r>
            <w:r>
              <w:rPr>
                <w:w w:val="95"/>
                <w:sz w:val="18"/>
                <w:u w:val="single"/>
              </w:rPr>
              <w:t>3,245,850</w:t>
            </w:r>
          </w:p>
        </w:tc>
      </w:tr>
      <w:tr>
        <w:trPr>
          <w:trHeight w:val="526" w:hRule="exact"/>
        </w:trPr>
        <w:tc>
          <w:tcPr>
            <w:tcW w:w="7641" w:type="dxa"/>
          </w:tcPr>
          <w:p>
            <w:pPr>
              <w:pStyle w:val="TableParagraph"/>
              <w:spacing w:before="103"/>
              <w:ind w:left="294" w:right="6266" w:hanging="215"/>
              <w:rPr>
                <w:sz w:val="18"/>
              </w:rPr>
            </w:pPr>
            <w:r>
              <w:rPr>
                <w:sz w:val="18"/>
              </w:rPr>
              <w:t>Other revenue Bank Interest</w:t>
            </w:r>
          </w:p>
        </w:tc>
        <w:tc>
          <w:tcPr>
            <w:tcW w:w="2594" w:type="dxa"/>
          </w:tcPr>
          <w:p>
            <w:pPr>
              <w:pStyle w:val="TableParagraph"/>
              <w:spacing w:before="10"/>
              <w:rPr>
                <w:rFonts w:ascii="Times New Roman"/>
                <w:sz w:val="26"/>
              </w:rPr>
            </w:pPr>
          </w:p>
          <w:p>
            <w:pPr>
              <w:pStyle w:val="TableParagraph"/>
              <w:tabs>
                <w:tab w:pos="1297" w:val="left" w:leader="none"/>
              </w:tabs>
              <w:ind w:right="84"/>
              <w:jc w:val="right"/>
              <w:rPr>
                <w:sz w:val="18"/>
              </w:rPr>
            </w:pPr>
            <w:r>
              <w:rPr>
                <w:b/>
                <w:sz w:val="18"/>
              </w:rPr>
              <w:t>41,482</w:t>
              <w:tab/>
            </w:r>
            <w:r>
              <w:rPr>
                <w:w w:val="95"/>
                <w:sz w:val="18"/>
              </w:rPr>
              <w:t>47,879</w:t>
            </w:r>
          </w:p>
        </w:tc>
      </w:tr>
      <w:tr>
        <w:trPr>
          <w:trHeight w:val="216" w:hRule="exact"/>
        </w:trPr>
        <w:tc>
          <w:tcPr>
            <w:tcW w:w="7641" w:type="dxa"/>
          </w:tcPr>
          <w:p>
            <w:pPr>
              <w:pStyle w:val="TableParagraph"/>
              <w:spacing w:line="197" w:lineRule="exact"/>
              <w:ind w:left="294"/>
              <w:rPr>
                <w:sz w:val="18"/>
              </w:rPr>
            </w:pPr>
            <w:r>
              <w:rPr>
                <w:sz w:val="18"/>
              </w:rPr>
              <w:t>Other revenue</w:t>
            </w:r>
          </w:p>
        </w:tc>
        <w:tc>
          <w:tcPr>
            <w:tcW w:w="2594" w:type="dxa"/>
          </w:tcPr>
          <w:p>
            <w:pPr>
              <w:pStyle w:val="TableParagraph"/>
              <w:tabs>
                <w:tab w:pos="560" w:val="left" w:leader="none"/>
                <w:tab w:pos="1857" w:val="left" w:leader="none"/>
              </w:tabs>
              <w:spacing w:line="197" w:lineRule="exact"/>
              <w:ind w:right="84"/>
              <w:jc w:val="right"/>
              <w:rPr>
                <w:sz w:val="18"/>
              </w:rPr>
            </w:pPr>
            <w:r>
              <w:rPr>
                <w:b/>
                <w:w w:val="100"/>
                <w:sz w:val="18"/>
                <w:u w:val="single"/>
              </w:rPr>
              <w:t> </w:t>
            </w:r>
            <w:r>
              <w:rPr>
                <w:b/>
                <w:sz w:val="18"/>
                <w:u w:val="single"/>
              </w:rPr>
              <w:tab/>
              <w:t>531,591</w:t>
              <w:tab/>
            </w:r>
            <w:r>
              <w:rPr>
                <w:w w:val="95"/>
                <w:sz w:val="18"/>
                <w:u w:val="single"/>
              </w:rPr>
              <w:t>503,060</w:t>
            </w:r>
          </w:p>
        </w:tc>
      </w:tr>
      <w:tr>
        <w:trPr>
          <w:trHeight w:val="226" w:hRule="exact"/>
        </w:trPr>
        <w:tc>
          <w:tcPr>
            <w:tcW w:w="7641" w:type="dxa"/>
          </w:tcPr>
          <w:p>
            <w:pPr>
              <w:pStyle w:val="TableParagraph"/>
              <w:spacing w:line="207" w:lineRule="exact"/>
              <w:ind w:left="79"/>
              <w:rPr>
                <w:sz w:val="18"/>
              </w:rPr>
            </w:pPr>
            <w:r>
              <w:rPr>
                <w:sz w:val="18"/>
              </w:rPr>
              <w:t>Total other revenue</w:t>
            </w:r>
          </w:p>
        </w:tc>
        <w:tc>
          <w:tcPr>
            <w:tcW w:w="2594" w:type="dxa"/>
          </w:tcPr>
          <w:p>
            <w:pPr>
              <w:pStyle w:val="TableParagraph"/>
              <w:tabs>
                <w:tab w:pos="560" w:val="left" w:leader="none"/>
                <w:tab w:pos="1857" w:val="left" w:leader="none"/>
              </w:tabs>
              <w:spacing w:line="207" w:lineRule="exact"/>
              <w:ind w:right="84"/>
              <w:jc w:val="right"/>
              <w:rPr>
                <w:sz w:val="18"/>
              </w:rPr>
            </w:pPr>
            <w:r>
              <w:rPr>
                <w:b/>
                <w:w w:val="100"/>
                <w:sz w:val="18"/>
                <w:u w:val="single"/>
              </w:rPr>
              <w:t> </w:t>
            </w:r>
            <w:r>
              <w:rPr>
                <w:b/>
                <w:sz w:val="18"/>
                <w:u w:val="single"/>
              </w:rPr>
              <w:tab/>
              <w:t>573,073</w:t>
              <w:tab/>
            </w:r>
            <w:r>
              <w:rPr>
                <w:w w:val="95"/>
                <w:sz w:val="18"/>
                <w:u w:val="single"/>
              </w:rPr>
              <w:t>550,939</w:t>
            </w:r>
          </w:p>
        </w:tc>
      </w:tr>
      <w:tr>
        <w:trPr>
          <w:trHeight w:val="230" w:hRule="exact"/>
        </w:trPr>
        <w:tc>
          <w:tcPr>
            <w:tcW w:w="7641" w:type="dxa"/>
          </w:tcPr>
          <w:p>
            <w:pPr>
              <w:pStyle w:val="TableParagraph"/>
              <w:ind w:left="79"/>
              <w:rPr>
                <w:b/>
                <w:sz w:val="18"/>
              </w:rPr>
            </w:pPr>
            <w:r>
              <w:rPr>
                <w:b/>
                <w:sz w:val="18"/>
              </w:rPr>
              <w:t>Total revenue from operating activities</w:t>
            </w:r>
          </w:p>
        </w:tc>
        <w:tc>
          <w:tcPr>
            <w:tcW w:w="2594" w:type="dxa"/>
            <w:tcBorders>
              <w:bottom w:val="single" w:sz="0" w:space="0" w:color="000000"/>
            </w:tcBorders>
          </w:tcPr>
          <w:p>
            <w:pPr>
              <w:pStyle w:val="TableParagraph"/>
              <w:tabs>
                <w:tab w:pos="1297" w:val="left" w:leader="none"/>
              </w:tabs>
              <w:ind w:right="83"/>
              <w:jc w:val="right"/>
              <w:rPr>
                <w:sz w:val="18"/>
              </w:rPr>
            </w:pPr>
            <w:r>
              <w:rPr>
                <w:b/>
                <w:sz w:val="18"/>
              </w:rPr>
              <w:t>25,776,724</w:t>
              <w:tab/>
            </w:r>
            <w:r>
              <w:rPr>
                <w:w w:val="95"/>
                <w:sz w:val="18"/>
              </w:rPr>
              <w:t>26,365,568</w:t>
            </w:r>
          </w:p>
        </w:tc>
      </w:tr>
    </w:tbl>
    <w:p>
      <w:pPr>
        <w:spacing w:after="0"/>
        <w:jc w:val="right"/>
        <w:rPr>
          <w:sz w:val="18"/>
        </w:rPr>
        <w:sectPr>
          <w:pgSz w:w="11910" w:h="16840"/>
          <w:pgMar w:header="936" w:footer="526" w:top="2040" w:bottom="700" w:left="760" w:right="680"/>
        </w:sectPr>
      </w:pPr>
    </w:p>
    <w:p>
      <w:pPr>
        <w:pStyle w:val="BodyText"/>
        <w:rPr>
          <w:rFonts w:ascii="Times New Roman"/>
          <w:sz w:val="20"/>
        </w:rPr>
      </w:pPr>
    </w:p>
    <w:p>
      <w:pPr>
        <w:pStyle w:val="BodyText"/>
        <w:spacing w:before="8"/>
        <w:rPr>
          <w:rFonts w:ascii="Times New Roman"/>
          <w:sz w:val="24"/>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42"/>
        <w:gridCol w:w="1459"/>
        <w:gridCol w:w="1135"/>
      </w:tblGrid>
      <w:tr>
        <w:trPr>
          <w:trHeight w:val="575" w:hRule="exact"/>
        </w:trPr>
        <w:tc>
          <w:tcPr>
            <w:tcW w:w="7642" w:type="dxa"/>
          </w:tcPr>
          <w:p>
            <w:pPr>
              <w:pStyle w:val="TableParagraph"/>
              <w:tabs>
                <w:tab w:pos="431" w:val="left" w:leader="none"/>
              </w:tabs>
              <w:spacing w:before="77"/>
              <w:ind w:left="35"/>
              <w:rPr>
                <w:b/>
                <w:sz w:val="18"/>
              </w:rPr>
            </w:pPr>
            <w:r>
              <w:rPr>
                <w:b/>
                <w:sz w:val="18"/>
              </w:rPr>
              <w:t>4</w:t>
              <w:tab/>
              <w:t>Expenses</w:t>
            </w:r>
          </w:p>
        </w:tc>
        <w:tc>
          <w:tcPr>
            <w:tcW w:w="1459" w:type="dxa"/>
          </w:tcPr>
          <w:p>
            <w:pPr>
              <w:pStyle w:val="TableParagraph"/>
              <w:rPr>
                <w:rFonts w:ascii="Times New Roman"/>
                <w:sz w:val="18"/>
              </w:rPr>
            </w:pPr>
          </w:p>
          <w:p>
            <w:pPr>
              <w:pStyle w:val="TableParagraph"/>
              <w:spacing w:before="118"/>
              <w:ind w:left="448"/>
              <w:rPr>
                <w:b/>
                <w:sz w:val="18"/>
              </w:rPr>
            </w:pPr>
            <w:r>
              <w:rPr>
                <w:b/>
                <w:sz w:val="18"/>
              </w:rPr>
              <w:t>2012</w:t>
            </w:r>
          </w:p>
        </w:tc>
        <w:tc>
          <w:tcPr>
            <w:tcW w:w="1135" w:type="dxa"/>
          </w:tcPr>
          <w:p>
            <w:pPr>
              <w:pStyle w:val="TableParagraph"/>
              <w:rPr>
                <w:rFonts w:ascii="Times New Roman"/>
                <w:sz w:val="18"/>
              </w:rPr>
            </w:pPr>
          </w:p>
          <w:p>
            <w:pPr>
              <w:pStyle w:val="TableParagraph"/>
              <w:spacing w:before="118"/>
              <w:ind w:left="286"/>
              <w:rPr>
                <w:sz w:val="18"/>
              </w:rPr>
            </w:pPr>
            <w:r>
              <w:rPr>
                <w:sz w:val="18"/>
              </w:rPr>
              <w:t>2011</w:t>
            </w:r>
          </w:p>
        </w:tc>
      </w:tr>
      <w:tr>
        <w:trPr>
          <w:trHeight w:val="271" w:hRule="exact"/>
        </w:trPr>
        <w:tc>
          <w:tcPr>
            <w:tcW w:w="7642" w:type="dxa"/>
          </w:tcPr>
          <w:p>
            <w:pPr/>
          </w:p>
        </w:tc>
        <w:tc>
          <w:tcPr>
            <w:tcW w:w="1459" w:type="dxa"/>
          </w:tcPr>
          <w:p>
            <w:pPr>
              <w:pStyle w:val="TableParagraph"/>
              <w:spacing w:before="24"/>
              <w:ind w:right="159"/>
              <w:jc w:val="center"/>
              <w:rPr>
                <w:b/>
                <w:sz w:val="18"/>
              </w:rPr>
            </w:pPr>
            <w:r>
              <w:rPr>
                <w:b/>
                <w:w w:val="99"/>
                <w:sz w:val="18"/>
              </w:rPr>
              <w:t>$</w:t>
            </w:r>
          </w:p>
        </w:tc>
        <w:tc>
          <w:tcPr>
            <w:tcW w:w="1135" w:type="dxa"/>
          </w:tcPr>
          <w:p>
            <w:pPr>
              <w:pStyle w:val="TableParagraph"/>
              <w:spacing w:before="24"/>
              <w:ind w:right="160"/>
              <w:jc w:val="center"/>
              <w:rPr>
                <w:sz w:val="18"/>
              </w:rPr>
            </w:pPr>
            <w:r>
              <w:rPr>
                <w:w w:val="99"/>
                <w:sz w:val="18"/>
              </w:rPr>
              <w:t>$</w:t>
            </w:r>
          </w:p>
        </w:tc>
      </w:tr>
      <w:tr>
        <w:trPr>
          <w:trHeight w:val="266" w:hRule="exact"/>
        </w:trPr>
        <w:tc>
          <w:tcPr>
            <w:tcW w:w="7642" w:type="dxa"/>
          </w:tcPr>
          <w:p>
            <w:pPr>
              <w:pStyle w:val="TableParagraph"/>
              <w:spacing w:before="21"/>
              <w:ind w:left="35"/>
              <w:rPr>
                <w:i/>
                <w:sz w:val="18"/>
              </w:rPr>
            </w:pPr>
            <w:r>
              <w:rPr>
                <w:i/>
                <w:sz w:val="18"/>
              </w:rPr>
              <w:t>Employee benefits expense</w:t>
            </w:r>
          </w:p>
        </w:tc>
        <w:tc>
          <w:tcPr>
            <w:tcW w:w="1459" w:type="dxa"/>
          </w:tcPr>
          <w:p>
            <w:pPr/>
          </w:p>
        </w:tc>
        <w:tc>
          <w:tcPr>
            <w:tcW w:w="1135" w:type="dxa"/>
          </w:tcPr>
          <w:p>
            <w:pPr/>
          </w:p>
        </w:tc>
      </w:tr>
      <w:tr>
        <w:trPr>
          <w:trHeight w:val="265" w:hRule="exact"/>
        </w:trPr>
        <w:tc>
          <w:tcPr>
            <w:tcW w:w="7642" w:type="dxa"/>
          </w:tcPr>
          <w:p>
            <w:pPr>
              <w:pStyle w:val="TableParagraph"/>
              <w:spacing w:before="20"/>
              <w:ind w:left="249"/>
              <w:rPr>
                <w:sz w:val="18"/>
              </w:rPr>
            </w:pPr>
            <w:r>
              <w:rPr>
                <w:sz w:val="18"/>
              </w:rPr>
              <w:t>Salaries and wages</w:t>
            </w:r>
          </w:p>
        </w:tc>
        <w:tc>
          <w:tcPr>
            <w:tcW w:w="1459" w:type="dxa"/>
          </w:tcPr>
          <w:p>
            <w:pPr>
              <w:pStyle w:val="TableParagraph"/>
              <w:spacing w:before="19"/>
              <w:ind w:right="246"/>
              <w:jc w:val="right"/>
              <w:rPr>
                <w:b/>
                <w:sz w:val="18"/>
              </w:rPr>
            </w:pPr>
            <w:r>
              <w:rPr>
                <w:b/>
                <w:w w:val="95"/>
                <w:sz w:val="18"/>
              </w:rPr>
              <w:t>8,000,442</w:t>
            </w:r>
          </w:p>
        </w:tc>
        <w:tc>
          <w:tcPr>
            <w:tcW w:w="1135" w:type="dxa"/>
          </w:tcPr>
          <w:p>
            <w:pPr>
              <w:pStyle w:val="TableParagraph"/>
              <w:spacing w:before="19"/>
              <w:ind w:right="84"/>
              <w:jc w:val="right"/>
              <w:rPr>
                <w:sz w:val="18"/>
              </w:rPr>
            </w:pPr>
            <w:r>
              <w:rPr>
                <w:w w:val="95"/>
                <w:sz w:val="18"/>
              </w:rPr>
              <w:t>8,100,712</w:t>
            </w:r>
          </w:p>
        </w:tc>
      </w:tr>
      <w:tr>
        <w:trPr>
          <w:trHeight w:val="264" w:hRule="exact"/>
        </w:trPr>
        <w:tc>
          <w:tcPr>
            <w:tcW w:w="7642" w:type="dxa"/>
          </w:tcPr>
          <w:p>
            <w:pPr>
              <w:pStyle w:val="TableParagraph"/>
              <w:spacing w:before="19"/>
              <w:ind w:left="249"/>
              <w:rPr>
                <w:sz w:val="18"/>
              </w:rPr>
            </w:pPr>
            <w:r>
              <w:rPr>
                <w:sz w:val="18"/>
              </w:rPr>
              <w:t>Superannuation</w:t>
            </w:r>
          </w:p>
        </w:tc>
        <w:tc>
          <w:tcPr>
            <w:tcW w:w="1459" w:type="dxa"/>
          </w:tcPr>
          <w:p>
            <w:pPr>
              <w:pStyle w:val="TableParagraph"/>
              <w:spacing w:before="18"/>
              <w:ind w:right="246"/>
              <w:jc w:val="right"/>
              <w:rPr>
                <w:b/>
                <w:sz w:val="18"/>
              </w:rPr>
            </w:pPr>
            <w:r>
              <w:rPr>
                <w:b/>
                <w:w w:val="95"/>
                <w:sz w:val="18"/>
              </w:rPr>
              <w:t>736,017</w:t>
            </w:r>
          </w:p>
        </w:tc>
        <w:tc>
          <w:tcPr>
            <w:tcW w:w="1135" w:type="dxa"/>
          </w:tcPr>
          <w:p>
            <w:pPr>
              <w:pStyle w:val="TableParagraph"/>
              <w:spacing w:before="18"/>
              <w:ind w:right="84"/>
              <w:jc w:val="right"/>
              <w:rPr>
                <w:sz w:val="18"/>
              </w:rPr>
            </w:pPr>
            <w:r>
              <w:rPr>
                <w:w w:val="95"/>
                <w:sz w:val="18"/>
              </w:rPr>
              <w:t>744,206</w:t>
            </w:r>
          </w:p>
        </w:tc>
      </w:tr>
      <w:tr>
        <w:trPr>
          <w:trHeight w:val="264" w:hRule="exact"/>
        </w:trPr>
        <w:tc>
          <w:tcPr>
            <w:tcW w:w="7642" w:type="dxa"/>
          </w:tcPr>
          <w:p>
            <w:pPr>
              <w:pStyle w:val="TableParagraph"/>
              <w:spacing w:before="19"/>
              <w:ind w:left="249"/>
              <w:rPr>
                <w:sz w:val="18"/>
              </w:rPr>
            </w:pPr>
            <w:r>
              <w:rPr>
                <w:sz w:val="18"/>
              </w:rPr>
              <w:t>Annual leave</w:t>
            </w:r>
          </w:p>
        </w:tc>
        <w:tc>
          <w:tcPr>
            <w:tcW w:w="1459" w:type="dxa"/>
          </w:tcPr>
          <w:p>
            <w:pPr>
              <w:pStyle w:val="TableParagraph"/>
              <w:spacing w:before="18"/>
              <w:ind w:right="246"/>
              <w:jc w:val="right"/>
              <w:rPr>
                <w:b/>
                <w:sz w:val="18"/>
              </w:rPr>
            </w:pPr>
            <w:r>
              <w:rPr>
                <w:b/>
                <w:w w:val="95"/>
                <w:sz w:val="18"/>
              </w:rPr>
              <w:t>440,098</w:t>
            </w:r>
          </w:p>
        </w:tc>
        <w:tc>
          <w:tcPr>
            <w:tcW w:w="1135" w:type="dxa"/>
          </w:tcPr>
          <w:p>
            <w:pPr>
              <w:pStyle w:val="TableParagraph"/>
              <w:spacing w:before="18"/>
              <w:ind w:right="84"/>
              <w:jc w:val="right"/>
              <w:rPr>
                <w:sz w:val="18"/>
              </w:rPr>
            </w:pPr>
            <w:r>
              <w:rPr>
                <w:w w:val="95"/>
                <w:sz w:val="18"/>
              </w:rPr>
              <w:t>471,131</w:t>
            </w:r>
          </w:p>
        </w:tc>
      </w:tr>
      <w:tr>
        <w:trPr>
          <w:trHeight w:val="264" w:hRule="exact"/>
        </w:trPr>
        <w:tc>
          <w:tcPr>
            <w:tcW w:w="7642" w:type="dxa"/>
          </w:tcPr>
          <w:p>
            <w:pPr>
              <w:pStyle w:val="TableParagraph"/>
              <w:spacing w:before="19"/>
              <w:ind w:left="249"/>
              <w:rPr>
                <w:sz w:val="18"/>
              </w:rPr>
            </w:pPr>
            <w:r>
              <w:rPr>
                <w:sz w:val="18"/>
              </w:rPr>
              <w:t>Long service leave</w:t>
            </w:r>
          </w:p>
        </w:tc>
        <w:tc>
          <w:tcPr>
            <w:tcW w:w="1459" w:type="dxa"/>
          </w:tcPr>
          <w:p>
            <w:pPr>
              <w:pStyle w:val="TableParagraph"/>
              <w:spacing w:before="18"/>
              <w:ind w:right="246"/>
              <w:jc w:val="right"/>
              <w:rPr>
                <w:b/>
                <w:sz w:val="18"/>
              </w:rPr>
            </w:pPr>
            <w:r>
              <w:rPr>
                <w:b/>
                <w:w w:val="95"/>
                <w:sz w:val="18"/>
              </w:rPr>
              <w:t>99,255</w:t>
            </w:r>
          </w:p>
        </w:tc>
        <w:tc>
          <w:tcPr>
            <w:tcW w:w="1135" w:type="dxa"/>
          </w:tcPr>
          <w:p>
            <w:pPr>
              <w:pStyle w:val="TableParagraph"/>
              <w:spacing w:before="18"/>
              <w:ind w:right="84"/>
              <w:jc w:val="right"/>
              <w:rPr>
                <w:sz w:val="18"/>
              </w:rPr>
            </w:pPr>
            <w:r>
              <w:rPr>
                <w:w w:val="95"/>
                <w:sz w:val="18"/>
              </w:rPr>
              <w:t>102,176</w:t>
            </w:r>
          </w:p>
        </w:tc>
      </w:tr>
      <w:tr>
        <w:trPr>
          <w:trHeight w:val="264" w:hRule="exact"/>
        </w:trPr>
        <w:tc>
          <w:tcPr>
            <w:tcW w:w="7642" w:type="dxa"/>
          </w:tcPr>
          <w:p>
            <w:pPr>
              <w:pStyle w:val="TableParagraph"/>
              <w:spacing w:before="19"/>
              <w:ind w:left="249"/>
              <w:rPr>
                <w:sz w:val="18"/>
              </w:rPr>
            </w:pPr>
            <w:r>
              <w:rPr>
                <w:sz w:val="18"/>
              </w:rPr>
              <w:t>Workers compensation</w:t>
            </w:r>
          </w:p>
        </w:tc>
        <w:tc>
          <w:tcPr>
            <w:tcW w:w="1459" w:type="dxa"/>
          </w:tcPr>
          <w:p>
            <w:pPr>
              <w:pStyle w:val="TableParagraph"/>
              <w:spacing w:before="18"/>
              <w:ind w:right="246"/>
              <w:jc w:val="right"/>
              <w:rPr>
                <w:b/>
                <w:sz w:val="18"/>
              </w:rPr>
            </w:pPr>
            <w:r>
              <w:rPr>
                <w:b/>
                <w:w w:val="95"/>
                <w:sz w:val="18"/>
              </w:rPr>
              <w:t>173,742</w:t>
            </w:r>
          </w:p>
        </w:tc>
        <w:tc>
          <w:tcPr>
            <w:tcW w:w="1135" w:type="dxa"/>
          </w:tcPr>
          <w:p>
            <w:pPr>
              <w:pStyle w:val="TableParagraph"/>
              <w:spacing w:before="18"/>
              <w:ind w:right="84"/>
              <w:jc w:val="right"/>
              <w:rPr>
                <w:sz w:val="18"/>
              </w:rPr>
            </w:pPr>
            <w:r>
              <w:rPr>
                <w:w w:val="95"/>
                <w:sz w:val="18"/>
              </w:rPr>
              <w:t>113,292</w:t>
            </w:r>
          </w:p>
        </w:tc>
      </w:tr>
      <w:tr>
        <w:trPr>
          <w:trHeight w:val="262" w:hRule="exact"/>
        </w:trPr>
        <w:tc>
          <w:tcPr>
            <w:tcW w:w="7642" w:type="dxa"/>
          </w:tcPr>
          <w:p>
            <w:pPr>
              <w:pStyle w:val="TableParagraph"/>
              <w:spacing w:before="19"/>
              <w:ind w:left="249"/>
              <w:rPr>
                <w:sz w:val="18"/>
              </w:rPr>
            </w:pPr>
            <w:r>
              <w:rPr>
                <w:sz w:val="18"/>
              </w:rPr>
              <w:t>Other</w:t>
            </w:r>
          </w:p>
        </w:tc>
        <w:tc>
          <w:tcPr>
            <w:tcW w:w="1459" w:type="dxa"/>
            <w:tcBorders>
              <w:bottom w:val="single" w:sz="0" w:space="0" w:color="000000"/>
            </w:tcBorders>
          </w:tcPr>
          <w:p>
            <w:pPr>
              <w:pStyle w:val="TableParagraph"/>
              <w:spacing w:before="18"/>
              <w:ind w:right="246"/>
              <w:jc w:val="right"/>
              <w:rPr>
                <w:b/>
                <w:sz w:val="18"/>
              </w:rPr>
            </w:pPr>
            <w:r>
              <w:rPr>
                <w:b/>
                <w:w w:val="95"/>
                <w:sz w:val="18"/>
              </w:rPr>
              <w:t>125,414</w:t>
            </w:r>
          </w:p>
        </w:tc>
        <w:tc>
          <w:tcPr>
            <w:tcW w:w="1135" w:type="dxa"/>
            <w:tcBorders>
              <w:bottom w:val="single" w:sz="0" w:space="0" w:color="000000"/>
            </w:tcBorders>
          </w:tcPr>
          <w:p>
            <w:pPr>
              <w:pStyle w:val="TableParagraph"/>
              <w:spacing w:before="18"/>
              <w:ind w:right="84"/>
              <w:jc w:val="right"/>
              <w:rPr>
                <w:sz w:val="18"/>
              </w:rPr>
            </w:pPr>
            <w:r>
              <w:rPr>
                <w:w w:val="95"/>
                <w:sz w:val="18"/>
              </w:rPr>
              <w:t>175,079</w:t>
            </w:r>
          </w:p>
        </w:tc>
      </w:tr>
      <w:tr>
        <w:trPr>
          <w:trHeight w:val="338" w:hRule="exact"/>
        </w:trPr>
        <w:tc>
          <w:tcPr>
            <w:tcW w:w="7642" w:type="dxa"/>
          </w:tcPr>
          <w:p>
            <w:pP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9,574,968</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9,706,596</w:t>
            </w:r>
          </w:p>
        </w:tc>
      </w:tr>
      <w:tr>
        <w:trPr>
          <w:trHeight w:val="604" w:hRule="exact"/>
        </w:trPr>
        <w:tc>
          <w:tcPr>
            <w:tcW w:w="7642" w:type="dxa"/>
          </w:tcPr>
          <w:p>
            <w:pPr>
              <w:pStyle w:val="TableParagraph"/>
              <w:spacing w:before="123"/>
              <w:ind w:left="35"/>
              <w:rPr>
                <w:i/>
                <w:sz w:val="18"/>
              </w:rPr>
            </w:pPr>
            <w:r>
              <w:rPr>
                <w:i/>
                <w:sz w:val="18"/>
              </w:rPr>
              <w:t>Depreciation</w:t>
            </w:r>
          </w:p>
          <w:p>
            <w:pPr>
              <w:pStyle w:val="TableParagraph"/>
              <w:spacing w:before="29"/>
              <w:ind w:left="249"/>
              <w:rPr>
                <w:sz w:val="18"/>
              </w:rPr>
            </w:pPr>
            <w:r>
              <w:rPr>
                <w:sz w:val="18"/>
              </w:rPr>
              <w:t>Plant and equipment</w:t>
            </w:r>
          </w:p>
        </w:tc>
        <w:tc>
          <w:tcPr>
            <w:tcW w:w="1459" w:type="dxa"/>
            <w:tcBorders>
              <w:top w:val="single" w:sz="0" w:space="0" w:color="000000"/>
            </w:tcBorders>
          </w:tcPr>
          <w:p>
            <w:pPr>
              <w:pStyle w:val="TableParagraph"/>
              <w:rPr>
                <w:rFonts w:ascii="Times New Roman"/>
                <w:sz w:val="18"/>
              </w:rPr>
            </w:pPr>
          </w:p>
          <w:p>
            <w:pPr>
              <w:pStyle w:val="TableParagraph"/>
              <w:spacing w:before="151"/>
              <w:ind w:right="246"/>
              <w:jc w:val="right"/>
              <w:rPr>
                <w:b/>
                <w:sz w:val="18"/>
              </w:rPr>
            </w:pPr>
            <w:r>
              <w:rPr>
                <w:b/>
                <w:w w:val="95"/>
                <w:sz w:val="18"/>
              </w:rPr>
              <w:t>92,509</w:t>
            </w:r>
          </w:p>
        </w:tc>
        <w:tc>
          <w:tcPr>
            <w:tcW w:w="1135" w:type="dxa"/>
            <w:tcBorders>
              <w:top w:val="single" w:sz="0" w:space="0" w:color="000000"/>
            </w:tcBorders>
          </w:tcPr>
          <w:p>
            <w:pPr>
              <w:pStyle w:val="TableParagraph"/>
              <w:rPr>
                <w:rFonts w:ascii="Times New Roman"/>
                <w:sz w:val="18"/>
              </w:rPr>
            </w:pPr>
          </w:p>
          <w:p>
            <w:pPr>
              <w:pStyle w:val="TableParagraph"/>
              <w:spacing w:before="151"/>
              <w:ind w:right="84"/>
              <w:jc w:val="right"/>
              <w:rPr>
                <w:sz w:val="18"/>
              </w:rPr>
            </w:pPr>
            <w:r>
              <w:rPr>
                <w:w w:val="95"/>
                <w:sz w:val="18"/>
              </w:rPr>
              <w:t>52,971</w:t>
            </w:r>
          </w:p>
        </w:tc>
      </w:tr>
      <w:tr>
        <w:trPr>
          <w:trHeight w:val="264" w:hRule="exact"/>
        </w:trPr>
        <w:tc>
          <w:tcPr>
            <w:tcW w:w="7642" w:type="dxa"/>
          </w:tcPr>
          <w:p>
            <w:pPr>
              <w:pStyle w:val="TableParagraph"/>
              <w:spacing w:before="19"/>
              <w:ind w:left="249"/>
              <w:rPr>
                <w:sz w:val="18"/>
              </w:rPr>
            </w:pPr>
            <w:r>
              <w:rPr>
                <w:sz w:val="18"/>
              </w:rPr>
              <w:t>Furniture and fittings</w:t>
            </w:r>
          </w:p>
        </w:tc>
        <w:tc>
          <w:tcPr>
            <w:tcW w:w="1459" w:type="dxa"/>
          </w:tcPr>
          <w:p>
            <w:pPr>
              <w:pStyle w:val="TableParagraph"/>
              <w:spacing w:before="18"/>
              <w:ind w:right="246"/>
              <w:jc w:val="right"/>
              <w:rPr>
                <w:b/>
                <w:sz w:val="18"/>
              </w:rPr>
            </w:pPr>
            <w:r>
              <w:rPr>
                <w:b/>
                <w:w w:val="95"/>
                <w:sz w:val="18"/>
              </w:rPr>
              <w:t>67,489</w:t>
            </w:r>
          </w:p>
        </w:tc>
        <w:tc>
          <w:tcPr>
            <w:tcW w:w="1135" w:type="dxa"/>
          </w:tcPr>
          <w:p>
            <w:pPr>
              <w:pStyle w:val="TableParagraph"/>
              <w:spacing w:before="18"/>
              <w:ind w:right="84"/>
              <w:jc w:val="right"/>
              <w:rPr>
                <w:sz w:val="18"/>
              </w:rPr>
            </w:pPr>
            <w:r>
              <w:rPr>
                <w:w w:val="95"/>
                <w:sz w:val="18"/>
              </w:rPr>
              <w:t>63,565</w:t>
            </w:r>
          </w:p>
        </w:tc>
      </w:tr>
      <w:tr>
        <w:trPr>
          <w:trHeight w:val="263" w:hRule="exact"/>
        </w:trPr>
        <w:tc>
          <w:tcPr>
            <w:tcW w:w="7642" w:type="dxa"/>
          </w:tcPr>
          <w:p>
            <w:pPr>
              <w:pStyle w:val="TableParagraph"/>
              <w:spacing w:before="19"/>
              <w:ind w:left="249"/>
              <w:rPr>
                <w:sz w:val="18"/>
              </w:rPr>
            </w:pPr>
            <w:r>
              <w:rPr>
                <w:sz w:val="18"/>
              </w:rPr>
              <w:t>Motor vehicles</w:t>
            </w:r>
          </w:p>
        </w:tc>
        <w:tc>
          <w:tcPr>
            <w:tcW w:w="1459" w:type="dxa"/>
            <w:tcBorders>
              <w:bottom w:val="single" w:sz="0" w:space="0" w:color="000000"/>
            </w:tcBorders>
          </w:tcPr>
          <w:p>
            <w:pPr>
              <w:pStyle w:val="TableParagraph"/>
              <w:spacing w:before="18"/>
              <w:ind w:right="246"/>
              <w:jc w:val="right"/>
              <w:rPr>
                <w:b/>
                <w:sz w:val="18"/>
              </w:rPr>
            </w:pPr>
            <w:r>
              <w:rPr>
                <w:b/>
                <w:w w:val="95"/>
                <w:sz w:val="18"/>
              </w:rPr>
              <w:t>79,132</w:t>
            </w:r>
          </w:p>
        </w:tc>
        <w:tc>
          <w:tcPr>
            <w:tcW w:w="1135" w:type="dxa"/>
            <w:tcBorders>
              <w:bottom w:val="single" w:sz="0" w:space="0" w:color="000000"/>
            </w:tcBorders>
          </w:tcPr>
          <w:p>
            <w:pPr>
              <w:pStyle w:val="TableParagraph"/>
              <w:spacing w:before="18"/>
              <w:ind w:right="84"/>
              <w:jc w:val="right"/>
              <w:rPr>
                <w:sz w:val="18"/>
              </w:rPr>
            </w:pPr>
            <w:r>
              <w:rPr>
                <w:w w:val="95"/>
                <w:sz w:val="18"/>
              </w:rPr>
              <w:t>94,778</w:t>
            </w:r>
          </w:p>
        </w:tc>
      </w:tr>
      <w:tr>
        <w:trPr>
          <w:trHeight w:val="338" w:hRule="exact"/>
        </w:trPr>
        <w:tc>
          <w:tcPr>
            <w:tcW w:w="7642" w:type="dxa"/>
          </w:tcPr>
          <w:p>
            <w:pP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239,130</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211,314</w:t>
            </w:r>
          </w:p>
        </w:tc>
      </w:tr>
      <w:tr>
        <w:trPr>
          <w:trHeight w:val="604" w:hRule="exact"/>
        </w:trPr>
        <w:tc>
          <w:tcPr>
            <w:tcW w:w="7642" w:type="dxa"/>
          </w:tcPr>
          <w:p>
            <w:pPr>
              <w:pStyle w:val="TableParagraph"/>
              <w:spacing w:before="123"/>
              <w:ind w:left="16" w:right="6585"/>
              <w:jc w:val="center"/>
              <w:rPr>
                <w:i/>
                <w:sz w:val="18"/>
              </w:rPr>
            </w:pPr>
            <w:r>
              <w:rPr>
                <w:i/>
                <w:sz w:val="18"/>
              </w:rPr>
              <w:t>Amortisation</w:t>
            </w:r>
          </w:p>
          <w:p>
            <w:pPr>
              <w:pStyle w:val="TableParagraph"/>
              <w:spacing w:before="29"/>
              <w:ind w:left="16" w:right="6445"/>
              <w:jc w:val="center"/>
              <w:rPr>
                <w:sz w:val="18"/>
              </w:rPr>
            </w:pPr>
            <w:r>
              <w:rPr>
                <w:sz w:val="18"/>
              </w:rPr>
              <w:t>Software</w:t>
            </w:r>
          </w:p>
        </w:tc>
        <w:tc>
          <w:tcPr>
            <w:tcW w:w="1459" w:type="dxa"/>
            <w:tcBorders>
              <w:top w:val="single" w:sz="0" w:space="0" w:color="000000"/>
            </w:tcBorders>
          </w:tcPr>
          <w:p>
            <w:pPr>
              <w:pStyle w:val="TableParagraph"/>
              <w:rPr>
                <w:rFonts w:ascii="Times New Roman"/>
                <w:sz w:val="18"/>
              </w:rPr>
            </w:pPr>
          </w:p>
          <w:p>
            <w:pPr>
              <w:pStyle w:val="TableParagraph"/>
              <w:spacing w:before="151"/>
              <w:ind w:right="248"/>
              <w:jc w:val="right"/>
              <w:rPr>
                <w:b/>
                <w:sz w:val="18"/>
              </w:rPr>
            </w:pPr>
            <w:r>
              <w:rPr>
                <w:b/>
                <w:w w:val="99"/>
                <w:sz w:val="18"/>
              </w:rPr>
              <w:t>-</w:t>
            </w:r>
          </w:p>
        </w:tc>
        <w:tc>
          <w:tcPr>
            <w:tcW w:w="1135" w:type="dxa"/>
            <w:tcBorders>
              <w:top w:val="single" w:sz="0" w:space="0" w:color="000000"/>
            </w:tcBorders>
          </w:tcPr>
          <w:p>
            <w:pPr>
              <w:pStyle w:val="TableParagraph"/>
              <w:rPr>
                <w:rFonts w:ascii="Times New Roman"/>
                <w:sz w:val="18"/>
              </w:rPr>
            </w:pPr>
          </w:p>
          <w:p>
            <w:pPr>
              <w:pStyle w:val="TableParagraph"/>
              <w:spacing w:before="151"/>
              <w:ind w:right="84"/>
              <w:jc w:val="right"/>
              <w:rPr>
                <w:sz w:val="18"/>
              </w:rPr>
            </w:pPr>
            <w:r>
              <w:rPr>
                <w:w w:val="95"/>
                <w:sz w:val="18"/>
              </w:rPr>
              <w:t>21,833</w:t>
            </w:r>
          </w:p>
        </w:tc>
      </w:tr>
      <w:tr>
        <w:trPr>
          <w:trHeight w:val="262" w:hRule="exact"/>
        </w:trPr>
        <w:tc>
          <w:tcPr>
            <w:tcW w:w="7642" w:type="dxa"/>
          </w:tcPr>
          <w:p>
            <w:pPr>
              <w:pStyle w:val="TableParagraph"/>
              <w:spacing w:before="19"/>
              <w:ind w:left="249"/>
              <w:rPr>
                <w:sz w:val="18"/>
              </w:rPr>
            </w:pPr>
            <w:r>
              <w:rPr>
                <w:sz w:val="18"/>
              </w:rPr>
              <w:t>Franchise fee</w:t>
            </w:r>
          </w:p>
        </w:tc>
        <w:tc>
          <w:tcPr>
            <w:tcW w:w="1459" w:type="dxa"/>
            <w:tcBorders>
              <w:bottom w:val="single" w:sz="0" w:space="0" w:color="000000"/>
            </w:tcBorders>
          </w:tcPr>
          <w:p>
            <w:pPr>
              <w:pStyle w:val="TableParagraph"/>
              <w:spacing w:before="18"/>
              <w:ind w:right="247"/>
              <w:jc w:val="right"/>
              <w:rPr>
                <w:b/>
                <w:sz w:val="18"/>
              </w:rPr>
            </w:pPr>
            <w:r>
              <w:rPr>
                <w:b/>
                <w:w w:val="95"/>
                <w:sz w:val="18"/>
              </w:rPr>
              <w:t>750</w:t>
            </w:r>
          </w:p>
        </w:tc>
        <w:tc>
          <w:tcPr>
            <w:tcW w:w="1135" w:type="dxa"/>
            <w:tcBorders>
              <w:bottom w:val="single" w:sz="0" w:space="0" w:color="000000"/>
            </w:tcBorders>
          </w:tcPr>
          <w:p>
            <w:pPr>
              <w:pStyle w:val="TableParagraph"/>
              <w:spacing w:before="18"/>
              <w:ind w:right="85"/>
              <w:jc w:val="right"/>
              <w:rPr>
                <w:sz w:val="18"/>
              </w:rPr>
            </w:pPr>
            <w:r>
              <w:rPr>
                <w:w w:val="95"/>
                <w:sz w:val="18"/>
              </w:rPr>
              <w:t>683</w:t>
            </w:r>
          </w:p>
        </w:tc>
      </w:tr>
      <w:tr>
        <w:trPr>
          <w:trHeight w:val="338" w:hRule="exact"/>
        </w:trPr>
        <w:tc>
          <w:tcPr>
            <w:tcW w:w="7642" w:type="dxa"/>
          </w:tcPr>
          <w:p>
            <w:pPr/>
          </w:p>
        </w:tc>
        <w:tc>
          <w:tcPr>
            <w:tcW w:w="1459" w:type="dxa"/>
            <w:tcBorders>
              <w:top w:val="single" w:sz="0" w:space="0" w:color="000000"/>
              <w:bottom w:val="single" w:sz="0" w:space="0" w:color="000000"/>
            </w:tcBorders>
          </w:tcPr>
          <w:p>
            <w:pPr>
              <w:pStyle w:val="TableParagraph"/>
              <w:spacing w:before="122"/>
              <w:ind w:right="247"/>
              <w:jc w:val="right"/>
              <w:rPr>
                <w:b/>
                <w:sz w:val="18"/>
              </w:rPr>
            </w:pPr>
            <w:r>
              <w:rPr>
                <w:b/>
                <w:w w:val="95"/>
                <w:sz w:val="18"/>
              </w:rPr>
              <w:t>750</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22,516</w:t>
            </w:r>
          </w:p>
        </w:tc>
      </w:tr>
      <w:tr>
        <w:trPr>
          <w:trHeight w:val="338" w:hRule="exact"/>
        </w:trPr>
        <w:tc>
          <w:tcPr>
            <w:tcW w:w="7642" w:type="dxa"/>
          </w:tcPr>
          <w:p>
            <w:pPr>
              <w:pStyle w:val="TableParagraph"/>
              <w:spacing w:before="95"/>
              <w:ind w:left="35"/>
              <w:rPr>
                <w:sz w:val="18"/>
              </w:rPr>
            </w:pPr>
            <w:r>
              <w:rPr>
                <w:sz w:val="18"/>
              </w:rPr>
              <w:t>Total depreciation and amortisation</w:t>
            </w: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239,880</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233,830</w:t>
            </w:r>
          </w:p>
        </w:tc>
      </w:tr>
      <w:tr>
        <w:trPr>
          <w:trHeight w:val="604" w:hRule="exact"/>
        </w:trPr>
        <w:tc>
          <w:tcPr>
            <w:tcW w:w="7642" w:type="dxa"/>
          </w:tcPr>
          <w:p>
            <w:pPr>
              <w:pStyle w:val="TableParagraph"/>
              <w:spacing w:before="123"/>
              <w:ind w:left="35"/>
              <w:rPr>
                <w:i/>
                <w:sz w:val="18"/>
              </w:rPr>
            </w:pPr>
            <w:r>
              <w:rPr>
                <w:i/>
                <w:sz w:val="18"/>
              </w:rPr>
              <w:t>Occupancy expenses</w:t>
            </w:r>
          </w:p>
          <w:p>
            <w:pPr>
              <w:pStyle w:val="TableParagraph"/>
              <w:spacing w:before="29"/>
              <w:ind w:left="249"/>
              <w:rPr>
                <w:sz w:val="18"/>
              </w:rPr>
            </w:pPr>
            <w:r>
              <w:rPr>
                <w:sz w:val="18"/>
              </w:rPr>
              <w:t>Rental minimum operating lease payments</w:t>
            </w:r>
          </w:p>
        </w:tc>
        <w:tc>
          <w:tcPr>
            <w:tcW w:w="1459" w:type="dxa"/>
            <w:tcBorders>
              <w:top w:val="single" w:sz="0" w:space="0" w:color="000000"/>
            </w:tcBorders>
          </w:tcPr>
          <w:p>
            <w:pPr>
              <w:pStyle w:val="TableParagraph"/>
              <w:rPr>
                <w:rFonts w:ascii="Times New Roman"/>
                <w:sz w:val="18"/>
              </w:rPr>
            </w:pPr>
          </w:p>
          <w:p>
            <w:pPr>
              <w:pStyle w:val="TableParagraph"/>
              <w:spacing w:before="151"/>
              <w:ind w:right="246"/>
              <w:jc w:val="right"/>
              <w:rPr>
                <w:b/>
                <w:sz w:val="18"/>
              </w:rPr>
            </w:pPr>
            <w:r>
              <w:rPr>
                <w:b/>
                <w:w w:val="95"/>
                <w:sz w:val="18"/>
              </w:rPr>
              <w:t>468,032</w:t>
            </w:r>
          </w:p>
        </w:tc>
        <w:tc>
          <w:tcPr>
            <w:tcW w:w="1135" w:type="dxa"/>
            <w:tcBorders>
              <w:top w:val="single" w:sz="0" w:space="0" w:color="000000"/>
            </w:tcBorders>
          </w:tcPr>
          <w:p>
            <w:pPr>
              <w:pStyle w:val="TableParagraph"/>
              <w:rPr>
                <w:rFonts w:ascii="Times New Roman"/>
                <w:sz w:val="18"/>
              </w:rPr>
            </w:pPr>
          </w:p>
          <w:p>
            <w:pPr>
              <w:pStyle w:val="TableParagraph"/>
              <w:spacing w:before="151"/>
              <w:ind w:right="84"/>
              <w:jc w:val="right"/>
              <w:rPr>
                <w:sz w:val="18"/>
              </w:rPr>
            </w:pPr>
            <w:r>
              <w:rPr>
                <w:w w:val="95"/>
                <w:sz w:val="18"/>
              </w:rPr>
              <w:t>561,325</w:t>
            </w:r>
          </w:p>
        </w:tc>
      </w:tr>
      <w:tr>
        <w:trPr>
          <w:trHeight w:val="264" w:hRule="exact"/>
        </w:trPr>
        <w:tc>
          <w:tcPr>
            <w:tcW w:w="7642" w:type="dxa"/>
          </w:tcPr>
          <w:p>
            <w:pPr>
              <w:pStyle w:val="TableParagraph"/>
              <w:spacing w:before="19"/>
              <w:ind w:left="249"/>
              <w:rPr>
                <w:sz w:val="18"/>
              </w:rPr>
            </w:pPr>
            <w:r>
              <w:rPr>
                <w:sz w:val="18"/>
              </w:rPr>
              <w:t>Repairs and maintenance</w:t>
            </w:r>
          </w:p>
        </w:tc>
        <w:tc>
          <w:tcPr>
            <w:tcW w:w="1459" w:type="dxa"/>
          </w:tcPr>
          <w:p>
            <w:pPr>
              <w:pStyle w:val="TableParagraph"/>
              <w:spacing w:before="18"/>
              <w:ind w:right="246"/>
              <w:jc w:val="right"/>
              <w:rPr>
                <w:b/>
                <w:sz w:val="18"/>
              </w:rPr>
            </w:pPr>
            <w:r>
              <w:rPr>
                <w:b/>
                <w:w w:val="95"/>
                <w:sz w:val="18"/>
              </w:rPr>
              <w:t>412,636</w:t>
            </w:r>
          </w:p>
        </w:tc>
        <w:tc>
          <w:tcPr>
            <w:tcW w:w="1135" w:type="dxa"/>
          </w:tcPr>
          <w:p>
            <w:pPr>
              <w:pStyle w:val="TableParagraph"/>
              <w:spacing w:before="18"/>
              <w:ind w:right="84"/>
              <w:jc w:val="right"/>
              <w:rPr>
                <w:sz w:val="18"/>
              </w:rPr>
            </w:pPr>
            <w:r>
              <w:rPr>
                <w:w w:val="95"/>
                <w:sz w:val="18"/>
              </w:rPr>
              <w:t>207,073</w:t>
            </w:r>
          </w:p>
        </w:tc>
      </w:tr>
      <w:tr>
        <w:trPr>
          <w:trHeight w:val="264" w:hRule="exact"/>
        </w:trPr>
        <w:tc>
          <w:tcPr>
            <w:tcW w:w="7642" w:type="dxa"/>
          </w:tcPr>
          <w:p>
            <w:pPr>
              <w:pStyle w:val="TableParagraph"/>
              <w:spacing w:before="19"/>
              <w:ind w:left="249"/>
              <w:rPr>
                <w:sz w:val="18"/>
              </w:rPr>
            </w:pPr>
            <w:r>
              <w:rPr>
                <w:sz w:val="18"/>
              </w:rPr>
              <w:t>Utilities</w:t>
            </w:r>
          </w:p>
        </w:tc>
        <w:tc>
          <w:tcPr>
            <w:tcW w:w="1459" w:type="dxa"/>
          </w:tcPr>
          <w:p>
            <w:pPr>
              <w:pStyle w:val="TableParagraph"/>
              <w:spacing w:before="18"/>
              <w:ind w:right="246"/>
              <w:jc w:val="right"/>
              <w:rPr>
                <w:b/>
                <w:sz w:val="18"/>
              </w:rPr>
            </w:pPr>
            <w:r>
              <w:rPr>
                <w:b/>
                <w:w w:val="95"/>
                <w:sz w:val="18"/>
              </w:rPr>
              <w:t>100,840</w:t>
            </w:r>
          </w:p>
        </w:tc>
        <w:tc>
          <w:tcPr>
            <w:tcW w:w="1135" w:type="dxa"/>
          </w:tcPr>
          <w:p>
            <w:pPr>
              <w:pStyle w:val="TableParagraph"/>
              <w:spacing w:before="18"/>
              <w:ind w:right="84"/>
              <w:jc w:val="right"/>
              <w:rPr>
                <w:sz w:val="18"/>
              </w:rPr>
            </w:pPr>
            <w:r>
              <w:rPr>
                <w:w w:val="95"/>
                <w:sz w:val="18"/>
              </w:rPr>
              <w:t>104,538</w:t>
            </w:r>
          </w:p>
        </w:tc>
      </w:tr>
      <w:tr>
        <w:trPr>
          <w:trHeight w:val="264" w:hRule="exact"/>
        </w:trPr>
        <w:tc>
          <w:tcPr>
            <w:tcW w:w="7642" w:type="dxa"/>
          </w:tcPr>
          <w:p>
            <w:pPr>
              <w:pStyle w:val="TableParagraph"/>
              <w:spacing w:before="19"/>
              <w:ind w:left="249"/>
              <w:rPr>
                <w:sz w:val="18"/>
              </w:rPr>
            </w:pPr>
            <w:r>
              <w:rPr>
                <w:sz w:val="18"/>
              </w:rPr>
              <w:t>Cleaning and waste removal</w:t>
            </w:r>
          </w:p>
        </w:tc>
        <w:tc>
          <w:tcPr>
            <w:tcW w:w="1459" w:type="dxa"/>
          </w:tcPr>
          <w:p>
            <w:pPr>
              <w:pStyle w:val="TableParagraph"/>
              <w:spacing w:before="18"/>
              <w:ind w:right="246"/>
              <w:jc w:val="right"/>
              <w:rPr>
                <w:b/>
                <w:sz w:val="18"/>
              </w:rPr>
            </w:pPr>
            <w:r>
              <w:rPr>
                <w:b/>
                <w:w w:val="95"/>
                <w:sz w:val="18"/>
              </w:rPr>
              <w:t>158,497</w:t>
            </w:r>
          </w:p>
        </w:tc>
        <w:tc>
          <w:tcPr>
            <w:tcW w:w="1135" w:type="dxa"/>
          </w:tcPr>
          <w:p>
            <w:pPr>
              <w:pStyle w:val="TableParagraph"/>
              <w:spacing w:before="18"/>
              <w:ind w:right="84"/>
              <w:jc w:val="right"/>
              <w:rPr>
                <w:sz w:val="18"/>
              </w:rPr>
            </w:pPr>
            <w:r>
              <w:rPr>
                <w:w w:val="95"/>
                <w:sz w:val="18"/>
              </w:rPr>
              <w:t>158,470</w:t>
            </w:r>
          </w:p>
        </w:tc>
      </w:tr>
      <w:tr>
        <w:trPr>
          <w:trHeight w:val="263" w:hRule="exact"/>
        </w:trPr>
        <w:tc>
          <w:tcPr>
            <w:tcW w:w="7642" w:type="dxa"/>
          </w:tcPr>
          <w:p>
            <w:pPr>
              <w:pStyle w:val="TableParagraph"/>
              <w:spacing w:before="19"/>
              <w:ind w:left="249"/>
              <w:rPr>
                <w:sz w:val="18"/>
              </w:rPr>
            </w:pPr>
            <w:r>
              <w:rPr>
                <w:sz w:val="18"/>
              </w:rPr>
              <w:t>Security</w:t>
            </w:r>
          </w:p>
        </w:tc>
        <w:tc>
          <w:tcPr>
            <w:tcW w:w="1459" w:type="dxa"/>
            <w:tcBorders>
              <w:bottom w:val="single" w:sz="0" w:space="0" w:color="000000"/>
            </w:tcBorders>
          </w:tcPr>
          <w:p>
            <w:pPr>
              <w:pStyle w:val="TableParagraph"/>
              <w:spacing w:before="18"/>
              <w:ind w:right="246"/>
              <w:jc w:val="right"/>
              <w:rPr>
                <w:b/>
                <w:sz w:val="18"/>
              </w:rPr>
            </w:pPr>
            <w:r>
              <w:rPr>
                <w:b/>
                <w:w w:val="95"/>
                <w:sz w:val="18"/>
              </w:rPr>
              <w:t>66,241</w:t>
            </w:r>
          </w:p>
        </w:tc>
        <w:tc>
          <w:tcPr>
            <w:tcW w:w="1135" w:type="dxa"/>
            <w:tcBorders>
              <w:bottom w:val="single" w:sz="0" w:space="0" w:color="000000"/>
            </w:tcBorders>
          </w:tcPr>
          <w:p>
            <w:pPr>
              <w:pStyle w:val="TableParagraph"/>
              <w:spacing w:before="18"/>
              <w:ind w:right="84"/>
              <w:jc w:val="right"/>
              <w:rPr>
                <w:sz w:val="18"/>
              </w:rPr>
            </w:pPr>
            <w:r>
              <w:rPr>
                <w:w w:val="95"/>
                <w:sz w:val="18"/>
              </w:rPr>
              <w:t>78,311</w:t>
            </w:r>
          </w:p>
        </w:tc>
      </w:tr>
      <w:tr>
        <w:trPr>
          <w:trHeight w:val="338" w:hRule="exact"/>
        </w:trPr>
        <w:tc>
          <w:tcPr>
            <w:tcW w:w="7642" w:type="dxa"/>
          </w:tcPr>
          <w:p>
            <w:pP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1,206,246</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1,109,717</w:t>
            </w:r>
          </w:p>
        </w:tc>
      </w:tr>
      <w:tr>
        <w:trPr>
          <w:trHeight w:val="604" w:hRule="exact"/>
        </w:trPr>
        <w:tc>
          <w:tcPr>
            <w:tcW w:w="7642" w:type="dxa"/>
          </w:tcPr>
          <w:p>
            <w:pPr>
              <w:pStyle w:val="TableParagraph"/>
              <w:spacing w:before="123"/>
              <w:ind w:left="35"/>
              <w:rPr>
                <w:i/>
                <w:sz w:val="18"/>
              </w:rPr>
            </w:pPr>
            <w:r>
              <w:rPr>
                <w:i/>
                <w:sz w:val="18"/>
              </w:rPr>
              <w:t>Other expenses</w:t>
            </w:r>
          </w:p>
          <w:p>
            <w:pPr>
              <w:pStyle w:val="TableParagraph"/>
              <w:spacing w:before="29"/>
              <w:ind w:left="249"/>
              <w:rPr>
                <w:sz w:val="18"/>
              </w:rPr>
            </w:pPr>
            <w:r>
              <w:rPr>
                <w:sz w:val="18"/>
              </w:rPr>
              <w:t>Consultancy, agency and service provider fees</w:t>
            </w:r>
          </w:p>
        </w:tc>
        <w:tc>
          <w:tcPr>
            <w:tcW w:w="1459" w:type="dxa"/>
            <w:tcBorders>
              <w:top w:val="single" w:sz="0" w:space="0" w:color="000000"/>
            </w:tcBorders>
          </w:tcPr>
          <w:p>
            <w:pPr>
              <w:pStyle w:val="TableParagraph"/>
              <w:rPr>
                <w:rFonts w:ascii="Times New Roman"/>
                <w:sz w:val="18"/>
              </w:rPr>
            </w:pPr>
          </w:p>
          <w:p>
            <w:pPr>
              <w:pStyle w:val="TableParagraph"/>
              <w:spacing w:before="151"/>
              <w:ind w:right="246"/>
              <w:jc w:val="right"/>
              <w:rPr>
                <w:b/>
                <w:sz w:val="18"/>
              </w:rPr>
            </w:pPr>
            <w:r>
              <w:rPr>
                <w:b/>
                <w:w w:val="95"/>
                <w:sz w:val="18"/>
              </w:rPr>
              <w:t>1,136,714</w:t>
            </w:r>
          </w:p>
        </w:tc>
        <w:tc>
          <w:tcPr>
            <w:tcW w:w="1135" w:type="dxa"/>
            <w:tcBorders>
              <w:top w:val="single" w:sz="0" w:space="0" w:color="000000"/>
            </w:tcBorders>
          </w:tcPr>
          <w:p>
            <w:pPr>
              <w:pStyle w:val="TableParagraph"/>
              <w:rPr>
                <w:rFonts w:ascii="Times New Roman"/>
                <w:sz w:val="18"/>
              </w:rPr>
            </w:pPr>
          </w:p>
          <w:p>
            <w:pPr>
              <w:pStyle w:val="TableParagraph"/>
              <w:spacing w:before="151"/>
              <w:ind w:right="84"/>
              <w:jc w:val="right"/>
              <w:rPr>
                <w:sz w:val="18"/>
              </w:rPr>
            </w:pPr>
            <w:r>
              <w:rPr>
                <w:w w:val="95"/>
                <w:sz w:val="18"/>
              </w:rPr>
              <w:t>1,040,175</w:t>
            </w:r>
          </w:p>
        </w:tc>
      </w:tr>
      <w:tr>
        <w:trPr>
          <w:trHeight w:val="264" w:hRule="exact"/>
        </w:trPr>
        <w:tc>
          <w:tcPr>
            <w:tcW w:w="7642" w:type="dxa"/>
          </w:tcPr>
          <w:p>
            <w:pPr>
              <w:pStyle w:val="TableParagraph"/>
              <w:spacing w:before="19"/>
              <w:ind w:left="249"/>
              <w:rPr>
                <w:sz w:val="18"/>
              </w:rPr>
            </w:pPr>
            <w:r>
              <w:rPr>
                <w:sz w:val="18"/>
              </w:rPr>
              <w:t>Advertising, promotional and event</w:t>
            </w:r>
          </w:p>
        </w:tc>
        <w:tc>
          <w:tcPr>
            <w:tcW w:w="1459" w:type="dxa"/>
          </w:tcPr>
          <w:p>
            <w:pPr>
              <w:pStyle w:val="TableParagraph"/>
              <w:spacing w:before="18"/>
              <w:ind w:right="246"/>
              <w:jc w:val="right"/>
              <w:rPr>
                <w:b/>
                <w:sz w:val="18"/>
              </w:rPr>
            </w:pPr>
            <w:r>
              <w:rPr>
                <w:b/>
                <w:w w:val="95"/>
                <w:sz w:val="18"/>
              </w:rPr>
              <w:t>739,430</w:t>
            </w:r>
          </w:p>
        </w:tc>
        <w:tc>
          <w:tcPr>
            <w:tcW w:w="1135" w:type="dxa"/>
          </w:tcPr>
          <w:p>
            <w:pPr>
              <w:pStyle w:val="TableParagraph"/>
              <w:spacing w:before="18"/>
              <w:ind w:right="84"/>
              <w:jc w:val="right"/>
              <w:rPr>
                <w:sz w:val="18"/>
              </w:rPr>
            </w:pPr>
            <w:r>
              <w:rPr>
                <w:w w:val="95"/>
                <w:sz w:val="18"/>
              </w:rPr>
              <w:t>700,809</w:t>
            </w:r>
          </w:p>
        </w:tc>
      </w:tr>
      <w:tr>
        <w:trPr>
          <w:trHeight w:val="264" w:hRule="exact"/>
        </w:trPr>
        <w:tc>
          <w:tcPr>
            <w:tcW w:w="7642" w:type="dxa"/>
          </w:tcPr>
          <w:p>
            <w:pPr>
              <w:pStyle w:val="TableParagraph"/>
              <w:spacing w:before="19"/>
              <w:ind w:left="249"/>
              <w:rPr>
                <w:sz w:val="18"/>
              </w:rPr>
            </w:pPr>
            <w:r>
              <w:rPr>
                <w:sz w:val="18"/>
              </w:rPr>
              <w:t>Equipment hire</w:t>
            </w:r>
          </w:p>
        </w:tc>
        <w:tc>
          <w:tcPr>
            <w:tcW w:w="1459" w:type="dxa"/>
          </w:tcPr>
          <w:p>
            <w:pPr>
              <w:pStyle w:val="TableParagraph"/>
              <w:spacing w:before="18"/>
              <w:ind w:right="246"/>
              <w:jc w:val="right"/>
              <w:rPr>
                <w:b/>
                <w:sz w:val="18"/>
              </w:rPr>
            </w:pPr>
            <w:r>
              <w:rPr>
                <w:b/>
                <w:w w:val="95"/>
                <w:sz w:val="18"/>
              </w:rPr>
              <w:t>291,504</w:t>
            </w:r>
          </w:p>
        </w:tc>
        <w:tc>
          <w:tcPr>
            <w:tcW w:w="1135" w:type="dxa"/>
          </w:tcPr>
          <w:p>
            <w:pPr>
              <w:pStyle w:val="TableParagraph"/>
              <w:spacing w:before="18"/>
              <w:ind w:right="84"/>
              <w:jc w:val="right"/>
              <w:rPr>
                <w:sz w:val="18"/>
              </w:rPr>
            </w:pPr>
            <w:r>
              <w:rPr>
                <w:w w:val="95"/>
                <w:sz w:val="18"/>
              </w:rPr>
              <w:t>293,383</w:t>
            </w:r>
          </w:p>
        </w:tc>
      </w:tr>
      <w:tr>
        <w:trPr>
          <w:trHeight w:val="264" w:hRule="exact"/>
        </w:trPr>
        <w:tc>
          <w:tcPr>
            <w:tcW w:w="7642" w:type="dxa"/>
          </w:tcPr>
          <w:p>
            <w:pPr>
              <w:pStyle w:val="TableParagraph"/>
              <w:spacing w:before="19"/>
              <w:ind w:left="249"/>
              <w:rPr>
                <w:sz w:val="18"/>
              </w:rPr>
            </w:pPr>
            <w:r>
              <w:rPr>
                <w:sz w:val="18"/>
              </w:rPr>
              <w:t>Motor vehicle</w:t>
            </w:r>
          </w:p>
        </w:tc>
        <w:tc>
          <w:tcPr>
            <w:tcW w:w="1459" w:type="dxa"/>
          </w:tcPr>
          <w:p>
            <w:pPr>
              <w:pStyle w:val="TableParagraph"/>
              <w:spacing w:before="18"/>
              <w:ind w:right="246"/>
              <w:jc w:val="right"/>
              <w:rPr>
                <w:b/>
                <w:sz w:val="18"/>
              </w:rPr>
            </w:pPr>
            <w:r>
              <w:rPr>
                <w:b/>
                <w:w w:val="95"/>
                <w:sz w:val="18"/>
              </w:rPr>
              <w:t>213,827</w:t>
            </w:r>
          </w:p>
        </w:tc>
        <w:tc>
          <w:tcPr>
            <w:tcW w:w="1135" w:type="dxa"/>
          </w:tcPr>
          <w:p>
            <w:pPr>
              <w:pStyle w:val="TableParagraph"/>
              <w:spacing w:before="18"/>
              <w:ind w:right="84"/>
              <w:jc w:val="right"/>
              <w:rPr>
                <w:sz w:val="18"/>
              </w:rPr>
            </w:pPr>
            <w:r>
              <w:rPr>
                <w:w w:val="95"/>
                <w:sz w:val="18"/>
              </w:rPr>
              <w:t>196,513</w:t>
            </w:r>
          </w:p>
        </w:tc>
      </w:tr>
      <w:tr>
        <w:trPr>
          <w:trHeight w:val="264" w:hRule="exact"/>
        </w:trPr>
        <w:tc>
          <w:tcPr>
            <w:tcW w:w="7642" w:type="dxa"/>
          </w:tcPr>
          <w:p>
            <w:pPr>
              <w:pStyle w:val="TableParagraph"/>
              <w:spacing w:before="19"/>
              <w:ind w:left="249"/>
              <w:rPr>
                <w:sz w:val="18"/>
              </w:rPr>
            </w:pPr>
            <w:r>
              <w:rPr>
                <w:sz w:val="18"/>
              </w:rPr>
              <w:t>Consumables and supplies</w:t>
            </w:r>
          </w:p>
        </w:tc>
        <w:tc>
          <w:tcPr>
            <w:tcW w:w="1459" w:type="dxa"/>
          </w:tcPr>
          <w:p>
            <w:pPr>
              <w:pStyle w:val="TableParagraph"/>
              <w:spacing w:before="18"/>
              <w:ind w:right="246"/>
              <w:jc w:val="right"/>
              <w:rPr>
                <w:b/>
                <w:sz w:val="18"/>
              </w:rPr>
            </w:pPr>
            <w:r>
              <w:rPr>
                <w:b/>
                <w:w w:val="95"/>
                <w:sz w:val="18"/>
              </w:rPr>
              <w:t>136,216</w:t>
            </w:r>
          </w:p>
        </w:tc>
        <w:tc>
          <w:tcPr>
            <w:tcW w:w="1135" w:type="dxa"/>
          </w:tcPr>
          <w:p>
            <w:pPr>
              <w:pStyle w:val="TableParagraph"/>
              <w:spacing w:before="18"/>
              <w:ind w:right="84"/>
              <w:jc w:val="right"/>
              <w:rPr>
                <w:sz w:val="18"/>
              </w:rPr>
            </w:pPr>
            <w:r>
              <w:rPr>
                <w:w w:val="95"/>
                <w:sz w:val="18"/>
              </w:rPr>
              <w:t>113,690</w:t>
            </w:r>
          </w:p>
        </w:tc>
      </w:tr>
      <w:tr>
        <w:trPr>
          <w:trHeight w:val="262" w:hRule="exact"/>
        </w:trPr>
        <w:tc>
          <w:tcPr>
            <w:tcW w:w="7642" w:type="dxa"/>
          </w:tcPr>
          <w:p>
            <w:pPr>
              <w:pStyle w:val="TableParagraph"/>
              <w:spacing w:before="19"/>
              <w:ind w:left="249"/>
              <w:rPr>
                <w:sz w:val="18"/>
              </w:rPr>
            </w:pPr>
            <w:r>
              <w:rPr>
                <w:sz w:val="18"/>
              </w:rPr>
              <w:t>Other</w:t>
            </w:r>
          </w:p>
        </w:tc>
        <w:tc>
          <w:tcPr>
            <w:tcW w:w="1459" w:type="dxa"/>
            <w:tcBorders>
              <w:bottom w:val="single" w:sz="0" w:space="0" w:color="000000"/>
            </w:tcBorders>
          </w:tcPr>
          <w:p>
            <w:pPr>
              <w:pStyle w:val="TableParagraph"/>
              <w:spacing w:before="18"/>
              <w:ind w:right="246"/>
              <w:jc w:val="right"/>
              <w:rPr>
                <w:b/>
                <w:sz w:val="18"/>
              </w:rPr>
            </w:pPr>
            <w:r>
              <w:rPr>
                <w:b/>
                <w:w w:val="95"/>
                <w:sz w:val="18"/>
              </w:rPr>
              <w:t>318,199</w:t>
            </w:r>
          </w:p>
        </w:tc>
        <w:tc>
          <w:tcPr>
            <w:tcW w:w="1135" w:type="dxa"/>
            <w:tcBorders>
              <w:bottom w:val="single" w:sz="0" w:space="0" w:color="000000"/>
            </w:tcBorders>
          </w:tcPr>
          <w:p>
            <w:pPr>
              <w:pStyle w:val="TableParagraph"/>
              <w:spacing w:before="18"/>
              <w:ind w:right="84"/>
              <w:jc w:val="right"/>
              <w:rPr>
                <w:sz w:val="18"/>
              </w:rPr>
            </w:pPr>
            <w:r>
              <w:rPr>
                <w:w w:val="95"/>
                <w:sz w:val="18"/>
              </w:rPr>
              <w:t>250,604</w:t>
            </w:r>
          </w:p>
        </w:tc>
      </w:tr>
      <w:tr>
        <w:trPr>
          <w:trHeight w:val="338" w:hRule="exact"/>
        </w:trPr>
        <w:tc>
          <w:tcPr>
            <w:tcW w:w="7642" w:type="dxa"/>
          </w:tcPr>
          <w:p>
            <w:pP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2,835,890</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2,595,174</w:t>
            </w:r>
          </w:p>
        </w:tc>
      </w:tr>
    </w:tbl>
    <w:p>
      <w:pPr>
        <w:pStyle w:val="BodyText"/>
        <w:spacing w:before="2"/>
        <w:rPr>
          <w:rFonts w:ascii="Times New Roman"/>
          <w:sz w:val="22"/>
        </w:rPr>
      </w:pPr>
    </w:p>
    <w:p>
      <w:pPr>
        <w:spacing w:after="0"/>
        <w:rPr>
          <w:rFonts w:ascii="Times New Roman"/>
          <w:sz w:val="22"/>
        </w:rPr>
        <w:sectPr>
          <w:pgSz w:w="11910" w:h="16840"/>
          <w:pgMar w:header="936" w:footer="526" w:top="2040" w:bottom="700" w:left="760" w:right="680"/>
        </w:sectPr>
      </w:pPr>
    </w:p>
    <w:p>
      <w:pPr>
        <w:pStyle w:val="Heading9"/>
        <w:tabs>
          <w:tab w:pos="541" w:val="left" w:leader="none"/>
        </w:tabs>
        <w:spacing w:before="77"/>
        <w:ind w:left="145"/>
      </w:pPr>
      <w:r>
        <w:rPr/>
        <w:t>5</w:t>
        <w:tab/>
        <w:t>Cash and cash</w:t>
      </w:r>
      <w:r>
        <w:rPr>
          <w:spacing w:val="-1"/>
        </w:rPr>
        <w:t> </w:t>
      </w:r>
      <w:r>
        <w:rPr/>
        <w:t>equivalents</w:t>
      </w:r>
    </w:p>
    <w:p>
      <w:pPr>
        <w:pStyle w:val="BodyText"/>
        <w:rPr>
          <w:b/>
        </w:rPr>
      </w:pPr>
      <w:r>
        <w:rPr/>
        <w:br w:type="column"/>
      </w:r>
      <w:r>
        <w:rPr>
          <w:b/>
        </w:rPr>
      </w:r>
    </w:p>
    <w:p>
      <w:pPr>
        <w:spacing w:before="118"/>
        <w:ind w:left="146" w:right="0" w:firstLine="0"/>
        <w:jc w:val="center"/>
        <w:rPr>
          <w:b/>
          <w:sz w:val="18"/>
        </w:rPr>
      </w:pPr>
      <w:r>
        <w:rPr>
          <w:b/>
          <w:sz w:val="18"/>
        </w:rPr>
        <w:t>2012</w:t>
      </w:r>
    </w:p>
    <w:p>
      <w:pPr>
        <w:spacing w:before="66"/>
        <w:ind w:left="145" w:right="0" w:firstLine="0"/>
        <w:jc w:val="center"/>
        <w:rPr>
          <w:b/>
          <w:sz w:val="18"/>
        </w:rPr>
      </w:pPr>
      <w:r>
        <w:rPr>
          <w:b/>
          <w:w w:val="99"/>
          <w:sz w:val="18"/>
        </w:rPr>
        <w:t>$</w:t>
      </w:r>
    </w:p>
    <w:p>
      <w:pPr>
        <w:pStyle w:val="BodyText"/>
        <w:rPr>
          <w:b/>
        </w:rPr>
      </w:pPr>
      <w:r>
        <w:rPr/>
        <w:br w:type="column"/>
      </w:r>
      <w:r>
        <w:rPr>
          <w:b/>
        </w:rPr>
      </w:r>
    </w:p>
    <w:p>
      <w:pPr>
        <w:pStyle w:val="BodyText"/>
        <w:spacing w:before="118"/>
        <w:ind w:left="129" w:right="539"/>
        <w:jc w:val="center"/>
      </w:pPr>
      <w:r>
        <w:rPr/>
        <w:t>2011</w:t>
      </w:r>
    </w:p>
    <w:p>
      <w:pPr>
        <w:pStyle w:val="BodyText"/>
        <w:spacing w:before="66"/>
        <w:ind w:right="410"/>
        <w:jc w:val="center"/>
      </w:pPr>
      <w:r>
        <w:rPr>
          <w:w w:val="99"/>
        </w:rPr>
        <w:t>$</w:t>
      </w:r>
    </w:p>
    <w:p>
      <w:pPr>
        <w:spacing w:after="0"/>
        <w:jc w:val="center"/>
        <w:sectPr>
          <w:type w:val="continuous"/>
          <w:pgSz w:w="11910" w:h="16840"/>
          <w:pgMar w:top="0" w:bottom="280" w:left="760" w:right="680"/>
          <w:cols w:num="3" w:equalWidth="0">
            <w:col w:w="2853" w:space="5224"/>
            <w:col w:w="547" w:space="736"/>
            <w:col w:w="1110"/>
          </w:cols>
        </w:sectPr>
      </w:pPr>
    </w:p>
    <w:p>
      <w:pPr>
        <w:tabs>
          <w:tab w:pos="7751" w:val="left" w:leader="none"/>
          <w:tab w:pos="8162" w:val="left" w:leader="none"/>
          <w:tab w:pos="9608" w:val="left" w:leader="none"/>
        </w:tabs>
        <w:spacing w:before="118"/>
        <w:ind w:left="190" w:right="139" w:firstLine="0"/>
        <w:jc w:val="left"/>
        <w:rPr>
          <w:sz w:val="18"/>
        </w:rPr>
      </w:pPr>
      <w:r>
        <w:rPr>
          <w:sz w:val="18"/>
        </w:rPr>
        <w:t>Cash at bank and</w:t>
      </w:r>
      <w:r>
        <w:rPr>
          <w:spacing w:val="-1"/>
          <w:sz w:val="18"/>
        </w:rPr>
        <w:t> </w:t>
      </w:r>
      <w:r>
        <w:rPr>
          <w:sz w:val="18"/>
        </w:rPr>
        <w:t>in</w:t>
      </w:r>
      <w:r>
        <w:rPr>
          <w:spacing w:val="-1"/>
          <w:sz w:val="18"/>
        </w:rPr>
        <w:t> </w:t>
      </w:r>
      <w:r>
        <w:rPr>
          <w:sz w:val="18"/>
        </w:rPr>
        <w:t>hand</w:t>
        <w:tab/>
      </w:r>
      <w:r>
        <w:rPr>
          <w:b/>
          <w:position w:val="-2"/>
          <w:sz w:val="18"/>
          <w:u w:val="single"/>
        </w:rPr>
        <w:t> </w:t>
        <w:tab/>
        <w:t>2,281,787</w:t>
        <w:tab/>
      </w:r>
      <w:r>
        <w:rPr>
          <w:position w:val="-2"/>
          <w:sz w:val="18"/>
          <w:u w:val="single"/>
        </w:rPr>
        <w:t>534,311</w:t>
      </w:r>
    </w:p>
    <w:p>
      <w:pPr>
        <w:tabs>
          <w:tab w:pos="8163" w:val="left" w:leader="none"/>
          <w:tab w:pos="9609" w:val="left" w:leader="none"/>
        </w:tabs>
        <w:spacing w:before="129"/>
        <w:ind w:left="190" w:right="139" w:firstLine="0"/>
        <w:jc w:val="left"/>
        <w:rPr>
          <w:sz w:val="18"/>
        </w:rPr>
      </w:pPr>
      <w:r>
        <w:rPr>
          <w:b/>
          <w:sz w:val="18"/>
        </w:rPr>
        <w:t>Total</w:t>
        <w:tab/>
        <w:t>2,281,787</w:t>
        <w:tab/>
      </w:r>
      <w:r>
        <w:rPr>
          <w:sz w:val="18"/>
        </w:rPr>
        <w:t>534,311</w:t>
      </w:r>
    </w:p>
    <w:p>
      <w:pPr>
        <w:pStyle w:val="BodyText"/>
        <w:spacing w:line="50" w:lineRule="exact"/>
        <w:ind w:left="7750"/>
        <w:rPr>
          <w:sz w:val="4"/>
        </w:rPr>
      </w:pPr>
      <w:r>
        <w:rPr>
          <w:position w:val="0"/>
          <w:sz w:val="4"/>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4"/>
        </w:rPr>
      </w:r>
    </w:p>
    <w:p>
      <w:pPr>
        <w:spacing w:after="0" w:line="50" w:lineRule="exact"/>
        <w:rPr>
          <w:sz w:val="4"/>
        </w:rPr>
        <w:sectPr>
          <w:type w:val="continuous"/>
          <w:pgSz w:w="11910" w:h="16840"/>
          <w:pgMar w:top="0" w:bottom="280" w:left="760" w:right="680"/>
        </w:sectPr>
      </w:pPr>
    </w:p>
    <w:p>
      <w:pPr>
        <w:pStyle w:val="BodyText"/>
        <w:rPr>
          <w:sz w:val="20"/>
        </w:rPr>
      </w:pPr>
    </w:p>
    <w:p>
      <w:pPr>
        <w:pStyle w:val="BodyText"/>
        <w:spacing w:before="4"/>
        <w:rPr>
          <w:sz w:val="21"/>
        </w:rPr>
      </w:pPr>
    </w:p>
    <w:p>
      <w:pPr>
        <w:pStyle w:val="Heading9"/>
        <w:tabs>
          <w:tab w:pos="541" w:val="left" w:leader="none"/>
        </w:tabs>
        <w:spacing w:before="77"/>
        <w:ind w:left="145" w:right="139"/>
      </w:pPr>
      <w:r>
        <w:rPr/>
        <w:t>5</w:t>
        <w:tab/>
        <w:t>Cash and cash</w:t>
      </w:r>
      <w:r>
        <w:rPr>
          <w:spacing w:val="-1"/>
        </w:rPr>
        <w:t> </w:t>
      </w:r>
      <w:r>
        <w:rPr/>
        <w:t>equivalents</w:t>
      </w:r>
    </w:p>
    <w:p>
      <w:pPr>
        <w:pStyle w:val="BodyText"/>
        <w:spacing w:before="1"/>
        <w:rPr>
          <w:b/>
          <w:sz w:val="25"/>
        </w:rPr>
      </w:pPr>
    </w:p>
    <w:p>
      <w:pPr>
        <w:pStyle w:val="ListParagraph"/>
        <w:numPr>
          <w:ilvl w:val="0"/>
          <w:numId w:val="109"/>
        </w:numPr>
        <w:tabs>
          <w:tab w:pos="826" w:val="left" w:leader="none"/>
        </w:tabs>
        <w:spacing w:line="240" w:lineRule="auto" w:before="0" w:after="0"/>
        <w:ind w:left="825" w:right="0" w:hanging="679"/>
        <w:jc w:val="left"/>
        <w:rPr>
          <w:b/>
          <w:sz w:val="18"/>
        </w:rPr>
      </w:pPr>
      <w:r>
        <w:rPr>
          <w:b/>
          <w:sz w:val="18"/>
        </w:rPr>
        <w:t>Reconciliation to cash at the end of the</w:t>
      </w:r>
      <w:r>
        <w:rPr>
          <w:b/>
          <w:spacing w:val="-2"/>
          <w:sz w:val="18"/>
        </w:rPr>
        <w:t> </w:t>
      </w:r>
      <w:r>
        <w:rPr>
          <w:b/>
          <w:sz w:val="18"/>
        </w:rPr>
        <w:t>year</w:t>
      </w:r>
    </w:p>
    <w:p>
      <w:pPr>
        <w:pStyle w:val="BodyText"/>
        <w:spacing w:before="7"/>
        <w:rPr>
          <w:b/>
          <w:sz w:val="14"/>
        </w:rPr>
      </w:pPr>
    </w:p>
    <w:p>
      <w:pPr>
        <w:pStyle w:val="BodyText"/>
        <w:ind w:left="145" w:right="139"/>
      </w:pPr>
      <w:r>
        <w:rPr/>
        <w:t>The above figures are reconciled to cash at the end of the financial year as shown in the statement of cash flows as follows:</w:t>
      </w:r>
    </w:p>
    <w:p>
      <w:pPr>
        <w:pStyle w:val="BodyText"/>
        <w:spacing w:before="9"/>
        <w:rPr>
          <w:sz w:val="28"/>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41"/>
        <w:gridCol w:w="1472"/>
        <w:gridCol w:w="1122"/>
      </w:tblGrid>
      <w:tr>
        <w:trPr>
          <w:trHeight w:val="863" w:hRule="exact"/>
        </w:trPr>
        <w:tc>
          <w:tcPr>
            <w:tcW w:w="7641" w:type="dxa"/>
          </w:tcPr>
          <w:p>
            <w:pPr>
              <w:pStyle w:val="TableParagraph"/>
              <w:rPr>
                <w:sz w:val="18"/>
              </w:rPr>
            </w:pPr>
          </w:p>
          <w:p>
            <w:pPr>
              <w:pStyle w:val="TableParagraph"/>
              <w:rPr>
                <w:sz w:val="18"/>
              </w:rPr>
            </w:pPr>
          </w:p>
          <w:p>
            <w:pPr>
              <w:pStyle w:val="TableParagraph"/>
              <w:spacing w:before="11"/>
              <w:rPr>
                <w:sz w:val="17"/>
              </w:rPr>
            </w:pPr>
          </w:p>
          <w:p>
            <w:pPr>
              <w:pStyle w:val="TableParagraph"/>
              <w:ind w:left="35"/>
              <w:rPr>
                <w:sz w:val="18"/>
              </w:rPr>
            </w:pPr>
            <w:r>
              <w:rPr>
                <w:sz w:val="18"/>
              </w:rPr>
              <w:t>Balances as above</w:t>
            </w:r>
          </w:p>
        </w:tc>
        <w:tc>
          <w:tcPr>
            <w:tcW w:w="1472" w:type="dxa"/>
            <w:tcBorders>
              <w:bottom w:val="single" w:sz="0" w:space="0" w:color="000000"/>
            </w:tcBorders>
          </w:tcPr>
          <w:p>
            <w:pPr>
              <w:pStyle w:val="TableParagraph"/>
              <w:spacing w:before="77"/>
              <w:ind w:left="448" w:right="241"/>
              <w:rPr>
                <w:b/>
                <w:sz w:val="18"/>
              </w:rPr>
            </w:pPr>
            <w:r>
              <w:rPr>
                <w:b/>
                <w:sz w:val="18"/>
              </w:rPr>
              <w:t>2012</w:t>
            </w:r>
          </w:p>
          <w:p>
            <w:pPr>
              <w:pStyle w:val="TableParagraph"/>
              <w:spacing w:line="312" w:lineRule="auto" w:before="66"/>
              <w:ind w:left="410" w:right="241" w:firstLine="188"/>
              <w:rPr>
                <w:b/>
                <w:sz w:val="18"/>
              </w:rPr>
            </w:pPr>
            <w:r>
              <w:rPr>
                <w:b/>
                <w:sz w:val="18"/>
              </w:rPr>
              <w:t>$ 2,281,787</w:t>
            </w:r>
          </w:p>
        </w:tc>
        <w:tc>
          <w:tcPr>
            <w:tcW w:w="1122" w:type="dxa"/>
            <w:tcBorders>
              <w:bottom w:val="single" w:sz="0" w:space="0" w:color="000000"/>
            </w:tcBorders>
          </w:tcPr>
          <w:p>
            <w:pPr>
              <w:pStyle w:val="TableParagraph"/>
              <w:spacing w:before="77"/>
              <w:ind w:left="260" w:right="65"/>
              <w:rPr>
                <w:sz w:val="18"/>
              </w:rPr>
            </w:pPr>
            <w:r>
              <w:rPr>
                <w:sz w:val="18"/>
              </w:rPr>
              <w:t>2011</w:t>
            </w:r>
          </w:p>
          <w:p>
            <w:pPr>
              <w:pStyle w:val="TableParagraph"/>
              <w:spacing w:line="312" w:lineRule="auto" w:before="66"/>
              <w:ind w:left="386" w:right="65" w:firstLine="23"/>
              <w:rPr>
                <w:sz w:val="18"/>
              </w:rPr>
            </w:pPr>
            <w:r>
              <w:rPr>
                <w:sz w:val="18"/>
              </w:rPr>
              <w:t>$ 534,311</w:t>
            </w:r>
          </w:p>
        </w:tc>
      </w:tr>
      <w:tr>
        <w:trPr>
          <w:trHeight w:val="353" w:hRule="exact"/>
        </w:trPr>
        <w:tc>
          <w:tcPr>
            <w:tcW w:w="7641" w:type="dxa"/>
          </w:tcPr>
          <w:p>
            <w:pPr>
              <w:pStyle w:val="TableParagraph"/>
              <w:spacing w:before="123"/>
              <w:ind w:left="35"/>
              <w:rPr>
                <w:sz w:val="18"/>
              </w:rPr>
            </w:pPr>
            <w:r>
              <w:rPr>
                <w:sz w:val="18"/>
              </w:rPr>
              <w:t>Balances per statement of cash flows</w:t>
            </w:r>
          </w:p>
        </w:tc>
        <w:tc>
          <w:tcPr>
            <w:tcW w:w="1472" w:type="dxa"/>
            <w:tcBorders>
              <w:top w:val="single" w:sz="0" w:space="0" w:color="000000"/>
              <w:bottom w:val="single" w:sz="0" w:space="0" w:color="000000"/>
            </w:tcBorders>
          </w:tcPr>
          <w:p>
            <w:pPr>
              <w:pStyle w:val="TableParagraph"/>
              <w:spacing w:before="122"/>
              <w:ind w:left="410"/>
              <w:rPr>
                <w:b/>
                <w:sz w:val="18"/>
              </w:rPr>
            </w:pPr>
            <w:r>
              <w:rPr>
                <w:b/>
                <w:sz w:val="18"/>
              </w:rPr>
              <w:t>2,281,787</w:t>
            </w:r>
          </w:p>
        </w:tc>
        <w:tc>
          <w:tcPr>
            <w:tcW w:w="1122" w:type="dxa"/>
            <w:tcBorders>
              <w:top w:val="single" w:sz="0" w:space="0" w:color="000000"/>
              <w:bottom w:val="single" w:sz="0" w:space="0" w:color="000000"/>
            </w:tcBorders>
          </w:tcPr>
          <w:p>
            <w:pPr>
              <w:pStyle w:val="TableParagraph"/>
              <w:spacing w:before="122"/>
              <w:ind w:left="386"/>
              <w:rPr>
                <w:sz w:val="18"/>
              </w:rPr>
            </w:pPr>
            <w:r>
              <w:rPr>
                <w:sz w:val="18"/>
              </w:rPr>
              <w:t>534,311</w:t>
            </w:r>
          </w:p>
        </w:tc>
      </w:tr>
    </w:tbl>
    <w:p>
      <w:pPr>
        <w:pStyle w:val="BodyText"/>
        <w:spacing w:before="7"/>
        <w:rPr>
          <w:sz w:val="20"/>
        </w:rPr>
      </w:pPr>
    </w:p>
    <w:p>
      <w:pPr>
        <w:pStyle w:val="Heading9"/>
        <w:numPr>
          <w:ilvl w:val="0"/>
          <w:numId w:val="109"/>
        </w:numPr>
        <w:tabs>
          <w:tab w:pos="826" w:val="left" w:leader="none"/>
        </w:tabs>
        <w:spacing w:line="240" w:lineRule="auto" w:before="77" w:after="0"/>
        <w:ind w:left="825" w:right="0" w:hanging="679"/>
        <w:jc w:val="left"/>
      </w:pPr>
      <w:r>
        <w:rPr/>
        <w:t>Risk</w:t>
      </w:r>
      <w:r>
        <w:rPr>
          <w:spacing w:val="-1"/>
        </w:rPr>
        <w:t> </w:t>
      </w:r>
      <w:r>
        <w:rPr/>
        <w:t>exposure</w:t>
      </w:r>
    </w:p>
    <w:p>
      <w:pPr>
        <w:pStyle w:val="BodyText"/>
        <w:spacing w:before="7"/>
        <w:rPr>
          <w:b/>
          <w:sz w:val="14"/>
        </w:rPr>
      </w:pPr>
    </w:p>
    <w:p>
      <w:pPr>
        <w:pStyle w:val="BodyText"/>
        <w:ind w:left="146" w:right="139"/>
      </w:pPr>
      <w:r>
        <w:rPr/>
        <w:t>The Company's exposure to interest rate risk is discussed in note 2. The maximum exposure to credit risk at the end of each reporting period is the carrying amount of each class of cash and cash equivalents mentioned above.</w:t>
      </w:r>
    </w:p>
    <w:p>
      <w:pPr>
        <w:pStyle w:val="BodyText"/>
        <w:spacing w:before="1"/>
        <w:rPr>
          <w:sz w:val="25"/>
        </w:rPr>
      </w:pPr>
    </w:p>
    <w:p>
      <w:pPr>
        <w:pStyle w:val="Heading9"/>
        <w:numPr>
          <w:ilvl w:val="0"/>
          <w:numId w:val="109"/>
        </w:numPr>
        <w:tabs>
          <w:tab w:pos="826" w:val="left" w:leader="none"/>
        </w:tabs>
        <w:spacing w:line="240" w:lineRule="auto" w:before="0" w:after="0"/>
        <w:ind w:left="825" w:right="0" w:hanging="679"/>
        <w:jc w:val="left"/>
      </w:pPr>
      <w:r>
        <w:rPr/>
        <w:t>Cash at bank and on hand</w:t>
      </w:r>
    </w:p>
    <w:p>
      <w:pPr>
        <w:pStyle w:val="BodyText"/>
        <w:spacing w:before="7"/>
        <w:rPr>
          <w:b/>
          <w:sz w:val="14"/>
        </w:rPr>
      </w:pPr>
    </w:p>
    <w:p>
      <w:pPr>
        <w:pStyle w:val="BodyText"/>
        <w:ind w:left="146" w:right="139"/>
      </w:pPr>
      <w:r>
        <w:rPr/>
        <w:t>These are interest bearing.</w:t>
      </w:r>
    </w:p>
    <w:p>
      <w:pPr>
        <w:pStyle w:val="BodyText"/>
        <w:rPr>
          <w:sz w:val="20"/>
        </w:rPr>
      </w:pPr>
    </w:p>
    <w:p>
      <w:pPr>
        <w:pStyle w:val="BodyText"/>
        <w:rPr>
          <w:sz w:val="20"/>
        </w:rPr>
      </w:pPr>
    </w:p>
    <w:p>
      <w:pPr>
        <w:pStyle w:val="BodyText"/>
        <w:spacing w:before="3"/>
        <w:rPr>
          <w:sz w:val="14"/>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41"/>
        <w:gridCol w:w="1513"/>
        <w:gridCol w:w="1082"/>
      </w:tblGrid>
      <w:tr>
        <w:trPr>
          <w:trHeight w:val="575" w:hRule="exact"/>
        </w:trPr>
        <w:tc>
          <w:tcPr>
            <w:tcW w:w="7641" w:type="dxa"/>
          </w:tcPr>
          <w:p>
            <w:pPr>
              <w:pStyle w:val="TableParagraph"/>
              <w:tabs>
                <w:tab w:pos="430" w:val="left" w:leader="none"/>
              </w:tabs>
              <w:spacing w:before="77"/>
              <w:ind w:left="35"/>
              <w:rPr>
                <w:b/>
                <w:sz w:val="18"/>
              </w:rPr>
            </w:pPr>
            <w:r>
              <w:rPr>
                <w:b/>
                <w:sz w:val="18"/>
              </w:rPr>
              <w:t>6</w:t>
              <w:tab/>
              <w:t>Trade and other</w:t>
            </w:r>
            <w:r>
              <w:rPr>
                <w:b/>
                <w:spacing w:val="-1"/>
                <w:sz w:val="18"/>
              </w:rPr>
              <w:t> </w:t>
            </w:r>
            <w:r>
              <w:rPr>
                <w:b/>
                <w:sz w:val="18"/>
              </w:rPr>
              <w:t>receivables</w:t>
            </w:r>
          </w:p>
        </w:tc>
        <w:tc>
          <w:tcPr>
            <w:tcW w:w="1513" w:type="dxa"/>
          </w:tcPr>
          <w:p>
            <w:pPr>
              <w:pStyle w:val="TableParagraph"/>
              <w:rPr>
                <w:sz w:val="18"/>
              </w:rPr>
            </w:pPr>
          </w:p>
          <w:p>
            <w:pPr>
              <w:pStyle w:val="TableParagraph"/>
              <w:spacing w:before="118"/>
              <w:ind w:left="471"/>
              <w:rPr>
                <w:b/>
                <w:sz w:val="18"/>
              </w:rPr>
            </w:pPr>
            <w:r>
              <w:rPr>
                <w:b/>
                <w:sz w:val="18"/>
              </w:rPr>
              <w:t>2012</w:t>
            </w:r>
          </w:p>
        </w:tc>
        <w:tc>
          <w:tcPr>
            <w:tcW w:w="1082" w:type="dxa"/>
          </w:tcPr>
          <w:p>
            <w:pPr>
              <w:pStyle w:val="TableParagraph"/>
              <w:rPr>
                <w:sz w:val="18"/>
              </w:rPr>
            </w:pPr>
          </w:p>
          <w:p>
            <w:pPr>
              <w:pStyle w:val="TableParagraph"/>
              <w:spacing w:before="118"/>
              <w:ind w:left="241"/>
              <w:rPr>
                <w:sz w:val="18"/>
              </w:rPr>
            </w:pPr>
            <w:r>
              <w:rPr>
                <w:sz w:val="18"/>
              </w:rPr>
              <w:t>2011</w:t>
            </w:r>
          </w:p>
        </w:tc>
      </w:tr>
      <w:tr>
        <w:trPr>
          <w:trHeight w:val="271" w:hRule="exact"/>
        </w:trPr>
        <w:tc>
          <w:tcPr>
            <w:tcW w:w="7641" w:type="dxa"/>
          </w:tcPr>
          <w:p>
            <w:pPr/>
          </w:p>
        </w:tc>
        <w:tc>
          <w:tcPr>
            <w:tcW w:w="1513" w:type="dxa"/>
          </w:tcPr>
          <w:p>
            <w:pPr>
              <w:pStyle w:val="TableParagraph"/>
              <w:spacing w:before="24"/>
              <w:ind w:right="167"/>
              <w:jc w:val="center"/>
              <w:rPr>
                <w:b/>
                <w:sz w:val="18"/>
              </w:rPr>
            </w:pPr>
            <w:r>
              <w:rPr>
                <w:b/>
                <w:w w:val="99"/>
                <w:sz w:val="18"/>
              </w:rPr>
              <w:t>$</w:t>
            </w:r>
          </w:p>
        </w:tc>
        <w:tc>
          <w:tcPr>
            <w:tcW w:w="1082" w:type="dxa"/>
          </w:tcPr>
          <w:p>
            <w:pPr>
              <w:pStyle w:val="TableParagraph"/>
              <w:spacing w:before="24"/>
              <w:ind w:right="196"/>
              <w:jc w:val="center"/>
              <w:rPr>
                <w:sz w:val="18"/>
              </w:rPr>
            </w:pPr>
            <w:r>
              <w:rPr>
                <w:w w:val="99"/>
                <w:sz w:val="18"/>
              </w:rPr>
              <w:t>$</w:t>
            </w:r>
          </w:p>
        </w:tc>
      </w:tr>
      <w:tr>
        <w:trPr>
          <w:trHeight w:val="266" w:hRule="exact"/>
        </w:trPr>
        <w:tc>
          <w:tcPr>
            <w:tcW w:w="7641" w:type="dxa"/>
          </w:tcPr>
          <w:p>
            <w:pPr>
              <w:pStyle w:val="TableParagraph"/>
              <w:spacing w:before="21"/>
              <w:ind w:left="79"/>
              <w:rPr>
                <w:sz w:val="18"/>
              </w:rPr>
            </w:pPr>
            <w:r>
              <w:rPr>
                <w:sz w:val="18"/>
              </w:rPr>
              <w:t>Trade receivables</w:t>
            </w:r>
          </w:p>
        </w:tc>
        <w:tc>
          <w:tcPr>
            <w:tcW w:w="1513" w:type="dxa"/>
          </w:tcPr>
          <w:p>
            <w:pPr>
              <w:pStyle w:val="TableParagraph"/>
              <w:spacing w:before="22"/>
              <w:ind w:right="298"/>
              <w:jc w:val="right"/>
              <w:rPr>
                <w:b/>
                <w:sz w:val="18"/>
              </w:rPr>
            </w:pPr>
            <w:r>
              <w:rPr>
                <w:b/>
                <w:w w:val="95"/>
                <w:sz w:val="18"/>
              </w:rPr>
              <w:t>557,783</w:t>
            </w:r>
          </w:p>
        </w:tc>
        <w:tc>
          <w:tcPr>
            <w:tcW w:w="1082" w:type="dxa"/>
          </w:tcPr>
          <w:p>
            <w:pPr>
              <w:pStyle w:val="TableParagraph"/>
              <w:spacing w:before="22"/>
              <w:ind w:right="84"/>
              <w:jc w:val="right"/>
              <w:rPr>
                <w:sz w:val="18"/>
              </w:rPr>
            </w:pPr>
            <w:r>
              <w:rPr>
                <w:w w:val="95"/>
                <w:sz w:val="18"/>
              </w:rPr>
              <w:t>366,548</w:t>
            </w:r>
          </w:p>
        </w:tc>
      </w:tr>
      <w:tr>
        <w:trPr>
          <w:trHeight w:val="264" w:hRule="exact"/>
        </w:trPr>
        <w:tc>
          <w:tcPr>
            <w:tcW w:w="7641" w:type="dxa"/>
          </w:tcPr>
          <w:p>
            <w:pPr>
              <w:pStyle w:val="TableParagraph"/>
              <w:spacing w:before="18"/>
              <w:ind w:left="79"/>
              <w:rPr>
                <w:sz w:val="18"/>
              </w:rPr>
            </w:pPr>
            <w:r>
              <w:rPr>
                <w:sz w:val="18"/>
              </w:rPr>
              <w:t>Sundry debtors and accruals</w:t>
            </w:r>
          </w:p>
        </w:tc>
        <w:tc>
          <w:tcPr>
            <w:tcW w:w="1513" w:type="dxa"/>
          </w:tcPr>
          <w:p>
            <w:pPr>
              <w:pStyle w:val="TableParagraph"/>
              <w:spacing w:before="19"/>
              <w:ind w:right="299"/>
              <w:jc w:val="right"/>
              <w:rPr>
                <w:b/>
                <w:sz w:val="18"/>
              </w:rPr>
            </w:pPr>
            <w:r>
              <w:rPr>
                <w:b/>
                <w:w w:val="95"/>
                <w:sz w:val="18"/>
              </w:rPr>
              <w:t>44,861</w:t>
            </w:r>
          </w:p>
        </w:tc>
        <w:tc>
          <w:tcPr>
            <w:tcW w:w="1082" w:type="dxa"/>
          </w:tcPr>
          <w:p>
            <w:pPr>
              <w:pStyle w:val="TableParagraph"/>
              <w:spacing w:before="19"/>
              <w:ind w:right="86"/>
              <w:jc w:val="right"/>
              <w:rPr>
                <w:sz w:val="18"/>
              </w:rPr>
            </w:pPr>
            <w:r>
              <w:rPr>
                <w:w w:val="95"/>
                <w:sz w:val="18"/>
              </w:rPr>
              <w:t>67,762</w:t>
            </w:r>
          </w:p>
        </w:tc>
      </w:tr>
      <w:tr>
        <w:trPr>
          <w:trHeight w:val="264" w:hRule="exact"/>
        </w:trPr>
        <w:tc>
          <w:tcPr>
            <w:tcW w:w="7641" w:type="dxa"/>
          </w:tcPr>
          <w:p>
            <w:pPr>
              <w:pStyle w:val="TableParagraph"/>
              <w:spacing w:before="18"/>
              <w:ind w:left="79"/>
              <w:rPr>
                <w:sz w:val="18"/>
              </w:rPr>
            </w:pPr>
            <w:r>
              <w:rPr>
                <w:sz w:val="18"/>
              </w:rPr>
              <w:t>Goods and services tax</w:t>
            </w:r>
          </w:p>
        </w:tc>
        <w:tc>
          <w:tcPr>
            <w:tcW w:w="1513" w:type="dxa"/>
          </w:tcPr>
          <w:p>
            <w:pPr>
              <w:pStyle w:val="TableParagraph"/>
              <w:spacing w:before="19"/>
              <w:ind w:right="301"/>
              <w:jc w:val="right"/>
              <w:rPr>
                <w:b/>
                <w:sz w:val="18"/>
              </w:rPr>
            </w:pPr>
            <w:r>
              <w:rPr>
                <w:b/>
                <w:w w:val="99"/>
                <w:sz w:val="18"/>
              </w:rPr>
              <w:t>-</w:t>
            </w:r>
          </w:p>
        </w:tc>
        <w:tc>
          <w:tcPr>
            <w:tcW w:w="1082" w:type="dxa"/>
          </w:tcPr>
          <w:p>
            <w:pPr>
              <w:pStyle w:val="TableParagraph"/>
              <w:spacing w:before="19"/>
              <w:ind w:right="84"/>
              <w:jc w:val="right"/>
              <w:rPr>
                <w:sz w:val="18"/>
              </w:rPr>
            </w:pPr>
            <w:r>
              <w:rPr>
                <w:w w:val="95"/>
                <w:sz w:val="18"/>
              </w:rPr>
              <w:t>101,455</w:t>
            </w:r>
          </w:p>
        </w:tc>
      </w:tr>
      <w:tr>
        <w:trPr>
          <w:trHeight w:val="263" w:hRule="exact"/>
        </w:trPr>
        <w:tc>
          <w:tcPr>
            <w:tcW w:w="7641" w:type="dxa"/>
          </w:tcPr>
          <w:p>
            <w:pPr>
              <w:pStyle w:val="TableParagraph"/>
              <w:spacing w:before="18"/>
              <w:ind w:left="78"/>
              <w:rPr>
                <w:sz w:val="18"/>
              </w:rPr>
            </w:pPr>
            <w:r>
              <w:rPr>
                <w:sz w:val="18"/>
              </w:rPr>
              <w:t>Less:  Allowance for impairment</w:t>
            </w:r>
          </w:p>
        </w:tc>
        <w:tc>
          <w:tcPr>
            <w:tcW w:w="1513" w:type="dxa"/>
            <w:tcBorders>
              <w:bottom w:val="single" w:sz="0" w:space="0" w:color="000000"/>
            </w:tcBorders>
          </w:tcPr>
          <w:p>
            <w:pPr>
              <w:pStyle w:val="TableParagraph"/>
              <w:spacing w:before="19"/>
              <w:ind w:right="239"/>
              <w:jc w:val="right"/>
              <w:rPr>
                <w:b/>
                <w:sz w:val="18"/>
              </w:rPr>
            </w:pPr>
            <w:r>
              <w:rPr>
                <w:b/>
                <w:w w:val="95"/>
                <w:sz w:val="18"/>
              </w:rPr>
              <w:t>(65,923)</w:t>
            </w:r>
          </w:p>
        </w:tc>
        <w:tc>
          <w:tcPr>
            <w:tcW w:w="1082" w:type="dxa"/>
            <w:tcBorders>
              <w:bottom w:val="single" w:sz="0" w:space="0" w:color="000000"/>
            </w:tcBorders>
          </w:tcPr>
          <w:p>
            <w:pPr>
              <w:pStyle w:val="TableParagraph"/>
              <w:spacing w:before="19"/>
              <w:ind w:right="25"/>
              <w:jc w:val="right"/>
              <w:rPr>
                <w:sz w:val="18"/>
              </w:rPr>
            </w:pPr>
            <w:r>
              <w:rPr>
                <w:w w:val="95"/>
                <w:sz w:val="18"/>
              </w:rPr>
              <w:t>(50,553)</w:t>
            </w:r>
          </w:p>
        </w:tc>
      </w:tr>
      <w:tr>
        <w:trPr>
          <w:trHeight w:val="353" w:hRule="exact"/>
        </w:trPr>
        <w:tc>
          <w:tcPr>
            <w:tcW w:w="7641" w:type="dxa"/>
          </w:tcPr>
          <w:p>
            <w:pPr/>
          </w:p>
        </w:tc>
        <w:tc>
          <w:tcPr>
            <w:tcW w:w="1513" w:type="dxa"/>
            <w:tcBorders>
              <w:top w:val="single" w:sz="0" w:space="0" w:color="000000"/>
            </w:tcBorders>
          </w:tcPr>
          <w:p>
            <w:pPr>
              <w:pStyle w:val="TableParagraph"/>
              <w:spacing w:before="122"/>
              <w:ind w:right="298"/>
              <w:jc w:val="right"/>
              <w:rPr>
                <w:b/>
                <w:sz w:val="18"/>
              </w:rPr>
            </w:pPr>
            <w:r>
              <w:rPr>
                <w:b/>
                <w:w w:val="95"/>
                <w:sz w:val="18"/>
              </w:rPr>
              <w:t>536,721</w:t>
            </w:r>
          </w:p>
        </w:tc>
        <w:tc>
          <w:tcPr>
            <w:tcW w:w="1082" w:type="dxa"/>
            <w:tcBorders>
              <w:top w:val="single" w:sz="0" w:space="0" w:color="000000"/>
            </w:tcBorders>
          </w:tcPr>
          <w:p>
            <w:pPr>
              <w:pStyle w:val="TableParagraph"/>
              <w:spacing w:before="122"/>
              <w:ind w:right="84"/>
              <w:jc w:val="right"/>
              <w:rPr>
                <w:sz w:val="18"/>
              </w:rPr>
            </w:pPr>
            <w:r>
              <w:rPr>
                <w:w w:val="95"/>
                <w:sz w:val="18"/>
              </w:rPr>
              <w:t>485,212</w:t>
            </w:r>
          </w:p>
        </w:tc>
      </w:tr>
      <w:tr>
        <w:trPr>
          <w:trHeight w:val="249" w:hRule="exact"/>
        </w:trPr>
        <w:tc>
          <w:tcPr>
            <w:tcW w:w="7641" w:type="dxa"/>
          </w:tcPr>
          <w:p>
            <w:pPr>
              <w:pStyle w:val="TableParagraph"/>
              <w:spacing w:before="4"/>
              <w:ind w:left="79"/>
              <w:rPr>
                <w:sz w:val="18"/>
              </w:rPr>
            </w:pPr>
            <w:r>
              <w:rPr>
                <w:sz w:val="18"/>
              </w:rPr>
              <w:t>Prepayments</w:t>
            </w:r>
          </w:p>
        </w:tc>
        <w:tc>
          <w:tcPr>
            <w:tcW w:w="1513" w:type="dxa"/>
            <w:tcBorders>
              <w:bottom w:val="single" w:sz="0" w:space="0" w:color="000000"/>
            </w:tcBorders>
          </w:tcPr>
          <w:p>
            <w:pPr>
              <w:pStyle w:val="TableParagraph"/>
              <w:spacing w:before="5"/>
              <w:ind w:right="299"/>
              <w:jc w:val="right"/>
              <w:rPr>
                <w:b/>
                <w:sz w:val="18"/>
              </w:rPr>
            </w:pPr>
            <w:r>
              <w:rPr>
                <w:b/>
                <w:w w:val="95"/>
                <w:sz w:val="18"/>
              </w:rPr>
              <w:t>59,752</w:t>
            </w:r>
          </w:p>
        </w:tc>
        <w:tc>
          <w:tcPr>
            <w:tcW w:w="1082" w:type="dxa"/>
            <w:tcBorders>
              <w:bottom w:val="single" w:sz="0" w:space="0" w:color="000000"/>
            </w:tcBorders>
          </w:tcPr>
          <w:p>
            <w:pPr>
              <w:pStyle w:val="TableParagraph"/>
              <w:spacing w:before="5"/>
              <w:ind w:right="84"/>
              <w:jc w:val="right"/>
              <w:rPr>
                <w:sz w:val="18"/>
              </w:rPr>
            </w:pPr>
            <w:r>
              <w:rPr>
                <w:w w:val="95"/>
                <w:sz w:val="18"/>
              </w:rPr>
              <w:t>41,182</w:t>
            </w:r>
          </w:p>
        </w:tc>
      </w:tr>
      <w:tr>
        <w:trPr>
          <w:trHeight w:val="353" w:hRule="exact"/>
        </w:trPr>
        <w:tc>
          <w:tcPr>
            <w:tcW w:w="7641" w:type="dxa"/>
          </w:tcPr>
          <w:p>
            <w:pPr/>
          </w:p>
        </w:tc>
        <w:tc>
          <w:tcPr>
            <w:tcW w:w="1513" w:type="dxa"/>
            <w:tcBorders>
              <w:top w:val="single" w:sz="0" w:space="0" w:color="000000"/>
              <w:bottom w:val="single" w:sz="0" w:space="0" w:color="000000"/>
            </w:tcBorders>
          </w:tcPr>
          <w:p>
            <w:pPr>
              <w:pStyle w:val="TableParagraph"/>
              <w:spacing w:before="122"/>
              <w:ind w:right="298"/>
              <w:jc w:val="right"/>
              <w:rPr>
                <w:b/>
                <w:sz w:val="18"/>
              </w:rPr>
            </w:pPr>
            <w:r>
              <w:rPr>
                <w:b/>
                <w:w w:val="95"/>
                <w:sz w:val="18"/>
              </w:rPr>
              <w:t>596,473</w:t>
            </w:r>
          </w:p>
        </w:tc>
        <w:tc>
          <w:tcPr>
            <w:tcW w:w="1082" w:type="dxa"/>
            <w:tcBorders>
              <w:top w:val="single" w:sz="0" w:space="0" w:color="000000"/>
              <w:bottom w:val="single" w:sz="0" w:space="0" w:color="000000"/>
            </w:tcBorders>
          </w:tcPr>
          <w:p>
            <w:pPr>
              <w:pStyle w:val="TableParagraph"/>
              <w:spacing w:before="122"/>
              <w:ind w:right="84"/>
              <w:jc w:val="right"/>
              <w:rPr>
                <w:sz w:val="18"/>
              </w:rPr>
            </w:pPr>
            <w:r>
              <w:rPr>
                <w:w w:val="95"/>
                <w:sz w:val="18"/>
              </w:rPr>
              <w:t>526,394</w:t>
            </w:r>
          </w:p>
        </w:tc>
      </w:tr>
      <w:tr>
        <w:trPr>
          <w:trHeight w:val="612" w:hRule="exact"/>
        </w:trPr>
        <w:tc>
          <w:tcPr>
            <w:tcW w:w="7641" w:type="dxa"/>
          </w:tcPr>
          <w:p>
            <w:pPr>
              <w:pStyle w:val="TableParagraph"/>
              <w:spacing w:before="9"/>
              <w:rPr>
                <w:sz w:val="26"/>
              </w:rPr>
            </w:pPr>
          </w:p>
          <w:p>
            <w:pPr>
              <w:pStyle w:val="TableParagraph"/>
              <w:ind w:left="35"/>
              <w:rPr>
                <w:sz w:val="18"/>
              </w:rPr>
            </w:pPr>
            <w:r>
              <w:rPr>
                <w:sz w:val="18"/>
              </w:rPr>
              <w:t>Trade and other receivables are non-interest bearing.</w:t>
            </w:r>
          </w:p>
        </w:tc>
        <w:tc>
          <w:tcPr>
            <w:tcW w:w="1513" w:type="dxa"/>
            <w:tcBorders>
              <w:top w:val="single" w:sz="0" w:space="0" w:color="000000"/>
            </w:tcBorders>
          </w:tcPr>
          <w:p>
            <w:pPr/>
          </w:p>
        </w:tc>
        <w:tc>
          <w:tcPr>
            <w:tcW w:w="1082" w:type="dxa"/>
            <w:tcBorders>
              <w:top w:val="single" w:sz="0" w:space="0" w:color="000000"/>
            </w:tcBorders>
          </w:tcPr>
          <w:p>
            <w:pPr/>
          </w:p>
        </w:tc>
      </w:tr>
    </w:tbl>
    <w:p>
      <w:pPr>
        <w:pStyle w:val="BodyText"/>
        <w:rPr>
          <w:sz w:val="20"/>
        </w:rPr>
      </w:pPr>
    </w:p>
    <w:p>
      <w:pPr>
        <w:pStyle w:val="BodyText"/>
        <w:spacing w:before="2"/>
        <w:rPr>
          <w:sz w:val="22"/>
        </w:rPr>
      </w:pPr>
    </w:p>
    <w:p>
      <w:pPr>
        <w:pStyle w:val="BodyText"/>
        <w:spacing w:before="77"/>
        <w:ind w:left="145" w:right="139"/>
      </w:pPr>
      <w:r>
        <w:rPr/>
        <w:t>At 31 December 2012, current receivables of uwsconnect Limited with a nominal value of $68,265 (2011: $70,564) were impaired. The amount of the provision was $65,923 (2011: $50,553). The individually impaired reviews relate mainly to CNG Sports and Sukha Productions.  It was assessed that a portion of the receivables is expected to be recovered.</w:t>
      </w:r>
    </w:p>
    <w:p>
      <w:pPr>
        <w:spacing w:after="0"/>
        <w:sectPr>
          <w:pgSz w:w="11910" w:h="16840"/>
          <w:pgMar w:header="936" w:footer="526" w:top="2040" w:bottom="700" w:left="760" w:right="680"/>
        </w:sectPr>
      </w:pPr>
    </w:p>
    <w:p>
      <w:pPr>
        <w:pStyle w:val="BodyText"/>
        <w:rPr>
          <w:sz w:val="20"/>
        </w:rPr>
      </w:pPr>
    </w:p>
    <w:p>
      <w:pPr>
        <w:pStyle w:val="BodyText"/>
        <w:spacing w:before="4"/>
        <w:rPr>
          <w:sz w:val="21"/>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42"/>
        <w:gridCol w:w="1472"/>
        <w:gridCol w:w="1122"/>
      </w:tblGrid>
      <w:tr>
        <w:trPr>
          <w:trHeight w:val="930" w:hRule="exact"/>
        </w:trPr>
        <w:tc>
          <w:tcPr>
            <w:tcW w:w="7642" w:type="dxa"/>
          </w:tcPr>
          <w:p>
            <w:pPr>
              <w:pStyle w:val="TableParagraph"/>
              <w:tabs>
                <w:tab w:pos="431" w:val="left" w:leader="none"/>
              </w:tabs>
              <w:spacing w:before="77"/>
              <w:ind w:left="35"/>
              <w:rPr>
                <w:b/>
                <w:sz w:val="18"/>
              </w:rPr>
            </w:pPr>
            <w:r>
              <w:rPr>
                <w:b/>
                <w:sz w:val="18"/>
              </w:rPr>
              <w:t>6</w:t>
              <w:tab/>
              <w:t>Trade and other</w:t>
            </w:r>
            <w:r>
              <w:rPr>
                <w:b/>
                <w:spacing w:val="-1"/>
                <w:sz w:val="18"/>
              </w:rPr>
              <w:t> </w:t>
            </w:r>
            <w:r>
              <w:rPr>
                <w:b/>
                <w:sz w:val="18"/>
              </w:rPr>
              <w:t>receivables</w:t>
            </w:r>
          </w:p>
          <w:p>
            <w:pPr>
              <w:pStyle w:val="TableParagraph"/>
              <w:spacing w:before="6"/>
              <w:rPr>
                <w:sz w:val="24"/>
              </w:rPr>
            </w:pPr>
          </w:p>
          <w:p>
            <w:pPr>
              <w:pStyle w:val="TableParagraph"/>
              <w:ind w:left="35"/>
              <w:rPr>
                <w:sz w:val="18"/>
              </w:rPr>
            </w:pPr>
            <w:r>
              <w:rPr>
                <w:sz w:val="18"/>
              </w:rPr>
              <w:t>Movements in the provision for impairment of receivables are as follows:</w:t>
            </w:r>
          </w:p>
        </w:tc>
        <w:tc>
          <w:tcPr>
            <w:tcW w:w="2594" w:type="dxa"/>
            <w:gridSpan w:val="2"/>
          </w:tcPr>
          <w:p>
            <w:pPr/>
          </w:p>
        </w:tc>
      </w:tr>
      <w:tr>
        <w:trPr>
          <w:trHeight w:val="387" w:hRule="exact"/>
        </w:trPr>
        <w:tc>
          <w:tcPr>
            <w:tcW w:w="7642" w:type="dxa"/>
          </w:tcPr>
          <w:p>
            <w:pPr/>
          </w:p>
        </w:tc>
        <w:tc>
          <w:tcPr>
            <w:tcW w:w="1472" w:type="dxa"/>
          </w:tcPr>
          <w:p>
            <w:pPr>
              <w:pStyle w:val="TableParagraph"/>
              <w:spacing w:before="137"/>
              <w:ind w:left="435"/>
              <w:rPr>
                <w:b/>
                <w:sz w:val="18"/>
              </w:rPr>
            </w:pPr>
            <w:r>
              <w:rPr>
                <w:b/>
                <w:sz w:val="18"/>
              </w:rPr>
              <w:t>2012</w:t>
            </w:r>
          </w:p>
        </w:tc>
        <w:tc>
          <w:tcPr>
            <w:tcW w:w="1122" w:type="dxa"/>
          </w:tcPr>
          <w:p>
            <w:pPr>
              <w:pStyle w:val="TableParagraph"/>
              <w:spacing w:before="137"/>
              <w:ind w:left="260"/>
              <w:rPr>
                <w:sz w:val="18"/>
              </w:rPr>
            </w:pPr>
            <w:r>
              <w:rPr>
                <w:sz w:val="18"/>
              </w:rPr>
              <w:t>2011</w:t>
            </w:r>
          </w:p>
        </w:tc>
      </w:tr>
      <w:tr>
        <w:trPr>
          <w:trHeight w:val="313" w:hRule="exact"/>
        </w:trPr>
        <w:tc>
          <w:tcPr>
            <w:tcW w:w="7642" w:type="dxa"/>
          </w:tcPr>
          <w:p>
            <w:pPr/>
          </w:p>
        </w:tc>
        <w:tc>
          <w:tcPr>
            <w:tcW w:w="1472" w:type="dxa"/>
          </w:tcPr>
          <w:p>
            <w:pPr>
              <w:pStyle w:val="TableParagraph"/>
              <w:spacing w:before="24"/>
              <w:ind w:right="199"/>
              <w:jc w:val="center"/>
              <w:rPr>
                <w:b/>
                <w:sz w:val="18"/>
              </w:rPr>
            </w:pPr>
            <w:r>
              <w:rPr>
                <w:b/>
                <w:w w:val="99"/>
                <w:sz w:val="18"/>
              </w:rPr>
              <w:t>$</w:t>
            </w:r>
          </w:p>
        </w:tc>
        <w:tc>
          <w:tcPr>
            <w:tcW w:w="1122" w:type="dxa"/>
          </w:tcPr>
          <w:p>
            <w:pPr>
              <w:pStyle w:val="TableParagraph"/>
              <w:spacing w:before="24"/>
              <w:ind w:right="199"/>
              <w:jc w:val="center"/>
              <w:rPr>
                <w:sz w:val="18"/>
              </w:rPr>
            </w:pPr>
            <w:r>
              <w:rPr>
                <w:w w:val="99"/>
                <w:sz w:val="18"/>
              </w:rPr>
              <w:t>$</w:t>
            </w:r>
          </w:p>
        </w:tc>
      </w:tr>
      <w:tr>
        <w:trPr>
          <w:trHeight w:val="544" w:hRule="exact"/>
        </w:trPr>
        <w:tc>
          <w:tcPr>
            <w:tcW w:w="7642" w:type="dxa"/>
          </w:tcPr>
          <w:p>
            <w:pPr>
              <w:pStyle w:val="TableParagraph"/>
              <w:spacing w:before="63"/>
              <w:ind w:left="35"/>
              <w:rPr>
                <w:b/>
                <w:sz w:val="18"/>
              </w:rPr>
            </w:pPr>
            <w:r>
              <w:rPr>
                <w:b/>
                <w:sz w:val="18"/>
              </w:rPr>
              <w:t>Movements in the allowance for impairment</w:t>
            </w:r>
          </w:p>
          <w:p>
            <w:pPr>
              <w:pStyle w:val="TableParagraph"/>
              <w:spacing w:before="29"/>
              <w:ind w:left="35"/>
              <w:rPr>
                <w:sz w:val="18"/>
              </w:rPr>
            </w:pPr>
            <w:r>
              <w:rPr>
                <w:sz w:val="18"/>
              </w:rPr>
              <w:t>At 1 January</w:t>
            </w:r>
          </w:p>
        </w:tc>
        <w:tc>
          <w:tcPr>
            <w:tcW w:w="1472" w:type="dxa"/>
          </w:tcPr>
          <w:p>
            <w:pPr>
              <w:pStyle w:val="TableParagraph"/>
              <w:spacing w:before="11"/>
              <w:rPr>
                <w:sz w:val="25"/>
              </w:rPr>
            </w:pPr>
          </w:p>
          <w:p>
            <w:pPr>
              <w:pStyle w:val="TableParagraph"/>
              <w:ind w:right="258"/>
              <w:jc w:val="right"/>
              <w:rPr>
                <w:b/>
                <w:sz w:val="18"/>
              </w:rPr>
            </w:pPr>
            <w:r>
              <w:rPr>
                <w:b/>
                <w:w w:val="95"/>
                <w:sz w:val="18"/>
              </w:rPr>
              <w:t>50,553</w:t>
            </w:r>
          </w:p>
        </w:tc>
        <w:tc>
          <w:tcPr>
            <w:tcW w:w="1122" w:type="dxa"/>
          </w:tcPr>
          <w:p>
            <w:pPr>
              <w:pStyle w:val="TableParagraph"/>
              <w:spacing w:before="11"/>
              <w:rPr>
                <w:sz w:val="25"/>
              </w:rPr>
            </w:pPr>
          </w:p>
          <w:p>
            <w:pPr>
              <w:pStyle w:val="TableParagraph"/>
              <w:ind w:right="84"/>
              <w:jc w:val="right"/>
              <w:rPr>
                <w:sz w:val="18"/>
              </w:rPr>
            </w:pPr>
            <w:r>
              <w:rPr>
                <w:w w:val="95"/>
                <w:sz w:val="18"/>
              </w:rPr>
              <w:t>6,600</w:t>
            </w:r>
          </w:p>
        </w:tc>
      </w:tr>
      <w:tr>
        <w:trPr>
          <w:trHeight w:val="264" w:hRule="exact"/>
        </w:trPr>
        <w:tc>
          <w:tcPr>
            <w:tcW w:w="7642" w:type="dxa"/>
          </w:tcPr>
          <w:p>
            <w:pPr>
              <w:pStyle w:val="TableParagraph"/>
              <w:spacing w:before="19"/>
              <w:ind w:left="35"/>
              <w:rPr>
                <w:sz w:val="18"/>
              </w:rPr>
            </w:pPr>
            <w:r>
              <w:rPr>
                <w:sz w:val="18"/>
              </w:rPr>
              <w:t>Allowance for impairment recognised during the year</w:t>
            </w:r>
          </w:p>
        </w:tc>
        <w:tc>
          <w:tcPr>
            <w:tcW w:w="1472" w:type="dxa"/>
          </w:tcPr>
          <w:p>
            <w:pPr>
              <w:pStyle w:val="TableParagraph"/>
              <w:spacing w:before="18"/>
              <w:ind w:right="258"/>
              <w:jc w:val="right"/>
              <w:rPr>
                <w:b/>
                <w:sz w:val="18"/>
              </w:rPr>
            </w:pPr>
            <w:r>
              <w:rPr>
                <w:b/>
                <w:w w:val="95"/>
                <w:sz w:val="18"/>
              </w:rPr>
              <w:t>15,370</w:t>
            </w:r>
          </w:p>
        </w:tc>
        <w:tc>
          <w:tcPr>
            <w:tcW w:w="1122" w:type="dxa"/>
          </w:tcPr>
          <w:p>
            <w:pPr>
              <w:pStyle w:val="TableParagraph"/>
              <w:spacing w:before="18"/>
              <w:ind w:right="83"/>
              <w:jc w:val="right"/>
              <w:rPr>
                <w:sz w:val="18"/>
              </w:rPr>
            </w:pPr>
            <w:r>
              <w:rPr>
                <w:w w:val="95"/>
                <w:sz w:val="18"/>
              </w:rPr>
              <w:t>47,041</w:t>
            </w:r>
          </w:p>
        </w:tc>
      </w:tr>
      <w:tr>
        <w:trPr>
          <w:trHeight w:val="264" w:hRule="exact"/>
        </w:trPr>
        <w:tc>
          <w:tcPr>
            <w:tcW w:w="7642" w:type="dxa"/>
          </w:tcPr>
          <w:p>
            <w:pPr>
              <w:pStyle w:val="TableParagraph"/>
              <w:spacing w:before="19"/>
              <w:ind w:left="35"/>
              <w:rPr>
                <w:sz w:val="18"/>
              </w:rPr>
            </w:pPr>
            <w:r>
              <w:rPr>
                <w:sz w:val="18"/>
              </w:rPr>
              <w:t>Receivables written off during the year as uncollectible</w:t>
            </w:r>
          </w:p>
        </w:tc>
        <w:tc>
          <w:tcPr>
            <w:tcW w:w="1472" w:type="dxa"/>
          </w:tcPr>
          <w:p>
            <w:pPr>
              <w:pStyle w:val="TableParagraph"/>
              <w:spacing w:before="18"/>
              <w:ind w:right="260"/>
              <w:jc w:val="right"/>
              <w:rPr>
                <w:b/>
                <w:sz w:val="18"/>
              </w:rPr>
            </w:pPr>
            <w:r>
              <w:rPr>
                <w:b/>
                <w:w w:val="99"/>
                <w:sz w:val="18"/>
              </w:rPr>
              <w:t>-</w:t>
            </w:r>
          </w:p>
        </w:tc>
        <w:tc>
          <w:tcPr>
            <w:tcW w:w="1122" w:type="dxa"/>
          </w:tcPr>
          <w:p>
            <w:pPr>
              <w:pStyle w:val="TableParagraph"/>
              <w:spacing w:before="18"/>
              <w:ind w:right="24"/>
              <w:jc w:val="right"/>
              <w:rPr>
                <w:sz w:val="18"/>
              </w:rPr>
            </w:pPr>
            <w:r>
              <w:rPr>
                <w:w w:val="95"/>
                <w:sz w:val="18"/>
              </w:rPr>
              <w:t>(375)</w:t>
            </w:r>
          </w:p>
        </w:tc>
      </w:tr>
      <w:tr>
        <w:trPr>
          <w:trHeight w:val="262" w:hRule="exact"/>
        </w:trPr>
        <w:tc>
          <w:tcPr>
            <w:tcW w:w="7642" w:type="dxa"/>
          </w:tcPr>
          <w:p>
            <w:pPr>
              <w:pStyle w:val="TableParagraph"/>
              <w:spacing w:before="19"/>
              <w:ind w:left="35"/>
              <w:rPr>
                <w:sz w:val="18"/>
              </w:rPr>
            </w:pPr>
            <w:r>
              <w:rPr>
                <w:sz w:val="18"/>
              </w:rPr>
              <w:t>Unused amount reversed</w:t>
            </w:r>
          </w:p>
        </w:tc>
        <w:tc>
          <w:tcPr>
            <w:tcW w:w="1472" w:type="dxa"/>
            <w:tcBorders>
              <w:bottom w:val="single" w:sz="0" w:space="0" w:color="000000"/>
            </w:tcBorders>
          </w:tcPr>
          <w:p>
            <w:pPr>
              <w:pStyle w:val="TableParagraph"/>
              <w:spacing w:before="18"/>
              <w:ind w:right="260"/>
              <w:jc w:val="right"/>
              <w:rPr>
                <w:b/>
                <w:sz w:val="18"/>
              </w:rPr>
            </w:pPr>
            <w:r>
              <w:rPr>
                <w:b/>
                <w:w w:val="99"/>
                <w:sz w:val="18"/>
              </w:rPr>
              <w:t>-</w:t>
            </w:r>
          </w:p>
        </w:tc>
        <w:tc>
          <w:tcPr>
            <w:tcW w:w="1122" w:type="dxa"/>
            <w:tcBorders>
              <w:bottom w:val="single" w:sz="0" w:space="0" w:color="000000"/>
            </w:tcBorders>
          </w:tcPr>
          <w:p>
            <w:pPr>
              <w:pStyle w:val="TableParagraph"/>
              <w:spacing w:before="18"/>
              <w:ind w:right="23"/>
              <w:jc w:val="right"/>
              <w:rPr>
                <w:sz w:val="18"/>
              </w:rPr>
            </w:pPr>
            <w:r>
              <w:rPr>
                <w:w w:val="95"/>
                <w:sz w:val="18"/>
              </w:rPr>
              <w:t>(2,713)</w:t>
            </w:r>
          </w:p>
        </w:tc>
      </w:tr>
      <w:tr>
        <w:trPr>
          <w:trHeight w:val="353" w:hRule="exact"/>
        </w:trPr>
        <w:tc>
          <w:tcPr>
            <w:tcW w:w="7642" w:type="dxa"/>
          </w:tcPr>
          <w:p>
            <w:pPr>
              <w:pStyle w:val="TableParagraph"/>
              <w:spacing w:before="123"/>
              <w:ind w:left="35"/>
              <w:rPr>
                <w:sz w:val="18"/>
              </w:rPr>
            </w:pPr>
            <w:r>
              <w:rPr>
                <w:sz w:val="18"/>
              </w:rPr>
              <w:t>At 31 December</w:t>
            </w:r>
          </w:p>
        </w:tc>
        <w:tc>
          <w:tcPr>
            <w:tcW w:w="1472" w:type="dxa"/>
            <w:tcBorders>
              <w:top w:val="single" w:sz="0" w:space="0" w:color="000000"/>
              <w:bottom w:val="single" w:sz="0" w:space="0" w:color="000000"/>
            </w:tcBorders>
          </w:tcPr>
          <w:p>
            <w:pPr>
              <w:pStyle w:val="TableParagraph"/>
              <w:spacing w:before="122"/>
              <w:ind w:right="258"/>
              <w:jc w:val="right"/>
              <w:rPr>
                <w:b/>
                <w:sz w:val="18"/>
              </w:rPr>
            </w:pPr>
            <w:r>
              <w:rPr>
                <w:b/>
                <w:w w:val="95"/>
                <w:sz w:val="18"/>
              </w:rPr>
              <w:t>65,923</w:t>
            </w:r>
          </w:p>
        </w:tc>
        <w:tc>
          <w:tcPr>
            <w:tcW w:w="1122" w:type="dxa"/>
            <w:tcBorders>
              <w:top w:val="single" w:sz="0" w:space="0" w:color="000000"/>
              <w:bottom w:val="single" w:sz="0" w:space="0" w:color="000000"/>
            </w:tcBorders>
          </w:tcPr>
          <w:p>
            <w:pPr>
              <w:pStyle w:val="TableParagraph"/>
              <w:spacing w:before="122"/>
              <w:ind w:right="83"/>
              <w:jc w:val="right"/>
              <w:rPr>
                <w:sz w:val="18"/>
              </w:rPr>
            </w:pPr>
            <w:r>
              <w:rPr>
                <w:w w:val="95"/>
                <w:sz w:val="18"/>
              </w:rPr>
              <w:t>50,553</w:t>
            </w:r>
          </w:p>
        </w:tc>
      </w:tr>
    </w:tbl>
    <w:p>
      <w:pPr>
        <w:pStyle w:val="BodyText"/>
        <w:rPr>
          <w:sz w:val="20"/>
        </w:rPr>
      </w:pPr>
    </w:p>
    <w:p>
      <w:pPr>
        <w:pStyle w:val="BodyText"/>
        <w:spacing w:before="10"/>
        <w:rPr>
          <w:sz w:val="22"/>
        </w:rPr>
      </w:pPr>
    </w:p>
    <w:p>
      <w:pPr>
        <w:pStyle w:val="BodyText"/>
        <w:spacing w:before="77"/>
        <w:ind w:left="145" w:right="548"/>
      </w:pPr>
      <w:r>
        <w:rPr/>
        <w:t>As at 31 December 2012, trade receivables of $382,248 (2011 : $315,995) were past due but not impaired. These relate to UWS. The ageing of these receivables is as follows:</w:t>
      </w:r>
    </w:p>
    <w:p>
      <w:pPr>
        <w:pStyle w:val="BodyText"/>
        <w:spacing w:before="9"/>
        <w:rPr>
          <w:sz w:val="28"/>
        </w:rPr>
      </w:pPr>
    </w:p>
    <w:tbl>
      <w:tblPr>
        <w:tblW w:w="0" w:type="auto"/>
        <w:jc w:val="left"/>
        <w:tblInd w:w="13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14"/>
        <w:gridCol w:w="1472"/>
        <w:gridCol w:w="1123"/>
      </w:tblGrid>
      <w:tr>
        <w:trPr>
          <w:trHeight w:val="613" w:hRule="exact"/>
        </w:trPr>
        <w:tc>
          <w:tcPr>
            <w:tcW w:w="7614" w:type="dxa"/>
          </w:tcPr>
          <w:p>
            <w:pPr/>
          </w:p>
        </w:tc>
        <w:tc>
          <w:tcPr>
            <w:tcW w:w="1472" w:type="dxa"/>
          </w:tcPr>
          <w:p>
            <w:pPr>
              <w:pStyle w:val="TableParagraph"/>
              <w:spacing w:before="77"/>
              <w:ind w:left="429" w:right="602"/>
              <w:jc w:val="center"/>
              <w:rPr>
                <w:b/>
                <w:sz w:val="18"/>
              </w:rPr>
            </w:pPr>
            <w:r>
              <w:rPr>
                <w:b/>
                <w:sz w:val="18"/>
              </w:rPr>
              <w:t>2012</w:t>
            </w:r>
          </w:p>
          <w:p>
            <w:pPr>
              <w:pStyle w:val="TableParagraph"/>
              <w:spacing w:before="66"/>
              <w:ind w:right="172"/>
              <w:jc w:val="center"/>
              <w:rPr>
                <w:b/>
                <w:sz w:val="18"/>
              </w:rPr>
            </w:pPr>
            <w:r>
              <w:rPr>
                <w:b/>
                <w:w w:val="99"/>
                <w:sz w:val="18"/>
              </w:rPr>
              <w:t>$</w:t>
            </w:r>
          </w:p>
        </w:tc>
        <w:tc>
          <w:tcPr>
            <w:tcW w:w="1123" w:type="dxa"/>
          </w:tcPr>
          <w:p>
            <w:pPr>
              <w:pStyle w:val="TableParagraph"/>
              <w:spacing w:before="77"/>
              <w:ind w:left="242" w:right="440"/>
              <w:jc w:val="center"/>
              <w:rPr>
                <w:sz w:val="18"/>
              </w:rPr>
            </w:pPr>
            <w:r>
              <w:rPr>
                <w:sz w:val="18"/>
              </w:rPr>
              <w:t>2011</w:t>
            </w:r>
          </w:p>
          <w:p>
            <w:pPr>
              <w:pStyle w:val="TableParagraph"/>
              <w:spacing w:before="66"/>
              <w:ind w:right="198"/>
              <w:jc w:val="center"/>
              <w:rPr>
                <w:sz w:val="18"/>
              </w:rPr>
            </w:pPr>
            <w:r>
              <w:rPr>
                <w:w w:val="99"/>
                <w:sz w:val="18"/>
              </w:rPr>
              <w:t>$</w:t>
            </w:r>
          </w:p>
        </w:tc>
      </w:tr>
      <w:tr>
        <w:trPr>
          <w:trHeight w:val="282" w:hRule="exact"/>
        </w:trPr>
        <w:tc>
          <w:tcPr>
            <w:tcW w:w="7614" w:type="dxa"/>
          </w:tcPr>
          <w:p>
            <w:pPr>
              <w:pStyle w:val="TableParagraph"/>
              <w:spacing w:before="37"/>
              <w:ind w:left="35"/>
              <w:rPr>
                <w:sz w:val="18"/>
              </w:rPr>
            </w:pPr>
            <w:r>
              <w:rPr>
                <w:sz w:val="18"/>
              </w:rPr>
              <w:t>Up to 3 months</w:t>
            </w:r>
          </w:p>
        </w:tc>
        <w:tc>
          <w:tcPr>
            <w:tcW w:w="1472" w:type="dxa"/>
          </w:tcPr>
          <w:p>
            <w:pPr>
              <w:pStyle w:val="TableParagraph"/>
              <w:spacing w:before="36"/>
              <w:ind w:right="259"/>
              <w:jc w:val="right"/>
              <w:rPr>
                <w:b/>
                <w:sz w:val="18"/>
              </w:rPr>
            </w:pPr>
            <w:r>
              <w:rPr>
                <w:b/>
                <w:w w:val="95"/>
                <w:sz w:val="18"/>
              </w:rPr>
              <w:t>372,750</w:t>
            </w:r>
          </w:p>
        </w:tc>
        <w:tc>
          <w:tcPr>
            <w:tcW w:w="1123" w:type="dxa"/>
          </w:tcPr>
          <w:p>
            <w:pPr>
              <w:pStyle w:val="TableParagraph"/>
              <w:spacing w:before="36"/>
              <w:ind w:right="83"/>
              <w:jc w:val="right"/>
              <w:rPr>
                <w:sz w:val="18"/>
              </w:rPr>
            </w:pPr>
            <w:r>
              <w:rPr>
                <w:w w:val="95"/>
                <w:sz w:val="18"/>
              </w:rPr>
              <w:t>283,686</w:t>
            </w:r>
          </w:p>
        </w:tc>
      </w:tr>
      <w:tr>
        <w:trPr>
          <w:trHeight w:val="264" w:hRule="exact"/>
        </w:trPr>
        <w:tc>
          <w:tcPr>
            <w:tcW w:w="7614" w:type="dxa"/>
          </w:tcPr>
          <w:p>
            <w:pPr>
              <w:pStyle w:val="TableParagraph"/>
              <w:spacing w:before="19"/>
              <w:ind w:left="35"/>
              <w:rPr>
                <w:sz w:val="18"/>
              </w:rPr>
            </w:pPr>
            <w:r>
              <w:rPr>
                <w:sz w:val="18"/>
              </w:rPr>
              <w:t>3 to 6 months</w:t>
            </w:r>
          </w:p>
        </w:tc>
        <w:tc>
          <w:tcPr>
            <w:tcW w:w="1472" w:type="dxa"/>
          </w:tcPr>
          <w:p>
            <w:pPr>
              <w:pStyle w:val="TableParagraph"/>
              <w:spacing w:before="18"/>
              <w:ind w:right="260"/>
              <w:jc w:val="right"/>
              <w:rPr>
                <w:b/>
                <w:sz w:val="18"/>
              </w:rPr>
            </w:pPr>
            <w:r>
              <w:rPr>
                <w:b/>
                <w:w w:val="95"/>
                <w:sz w:val="18"/>
              </w:rPr>
              <w:t>8,746</w:t>
            </w:r>
          </w:p>
        </w:tc>
        <w:tc>
          <w:tcPr>
            <w:tcW w:w="1123" w:type="dxa"/>
          </w:tcPr>
          <w:p>
            <w:pPr>
              <w:pStyle w:val="TableParagraph"/>
              <w:spacing w:before="18"/>
              <w:ind w:right="83"/>
              <w:jc w:val="right"/>
              <w:rPr>
                <w:sz w:val="18"/>
              </w:rPr>
            </w:pPr>
            <w:r>
              <w:rPr>
                <w:w w:val="95"/>
                <w:sz w:val="18"/>
              </w:rPr>
              <w:t>22,770</w:t>
            </w:r>
          </w:p>
        </w:tc>
      </w:tr>
      <w:tr>
        <w:trPr>
          <w:trHeight w:val="262" w:hRule="exact"/>
        </w:trPr>
        <w:tc>
          <w:tcPr>
            <w:tcW w:w="7614" w:type="dxa"/>
          </w:tcPr>
          <w:p>
            <w:pPr>
              <w:pStyle w:val="TableParagraph"/>
              <w:spacing w:before="19"/>
              <w:ind w:left="35"/>
              <w:rPr>
                <w:sz w:val="18"/>
              </w:rPr>
            </w:pPr>
            <w:r>
              <w:rPr>
                <w:sz w:val="18"/>
              </w:rPr>
              <w:t>Over 6 months</w:t>
            </w:r>
          </w:p>
        </w:tc>
        <w:tc>
          <w:tcPr>
            <w:tcW w:w="1472" w:type="dxa"/>
            <w:tcBorders>
              <w:bottom w:val="single" w:sz="0" w:space="0" w:color="000000"/>
            </w:tcBorders>
          </w:tcPr>
          <w:p>
            <w:pPr>
              <w:pStyle w:val="TableParagraph"/>
              <w:spacing w:before="18"/>
              <w:ind w:right="260"/>
              <w:jc w:val="right"/>
              <w:rPr>
                <w:b/>
                <w:sz w:val="18"/>
              </w:rPr>
            </w:pPr>
            <w:r>
              <w:rPr>
                <w:b/>
                <w:w w:val="95"/>
                <w:sz w:val="18"/>
              </w:rPr>
              <w:t>752</w:t>
            </w:r>
          </w:p>
        </w:tc>
        <w:tc>
          <w:tcPr>
            <w:tcW w:w="1123" w:type="dxa"/>
            <w:tcBorders>
              <w:bottom w:val="single" w:sz="0" w:space="0" w:color="000000"/>
            </w:tcBorders>
          </w:tcPr>
          <w:p>
            <w:pPr>
              <w:pStyle w:val="TableParagraph"/>
              <w:spacing w:before="18"/>
              <w:ind w:right="84"/>
              <w:jc w:val="right"/>
              <w:rPr>
                <w:sz w:val="18"/>
              </w:rPr>
            </w:pPr>
            <w:r>
              <w:rPr>
                <w:w w:val="95"/>
                <w:sz w:val="18"/>
              </w:rPr>
              <w:t>9,539</w:t>
            </w:r>
          </w:p>
        </w:tc>
      </w:tr>
      <w:tr>
        <w:trPr>
          <w:trHeight w:val="353" w:hRule="exact"/>
        </w:trPr>
        <w:tc>
          <w:tcPr>
            <w:tcW w:w="7614" w:type="dxa"/>
          </w:tcPr>
          <w:p>
            <w:pPr/>
          </w:p>
        </w:tc>
        <w:tc>
          <w:tcPr>
            <w:tcW w:w="1472" w:type="dxa"/>
            <w:tcBorders>
              <w:top w:val="single" w:sz="0" w:space="0" w:color="000000"/>
              <w:bottom w:val="single" w:sz="0" w:space="0" w:color="000000"/>
            </w:tcBorders>
          </w:tcPr>
          <w:p>
            <w:pPr>
              <w:pStyle w:val="TableParagraph"/>
              <w:spacing w:before="122"/>
              <w:ind w:right="258"/>
              <w:jc w:val="right"/>
              <w:rPr>
                <w:b/>
                <w:sz w:val="18"/>
              </w:rPr>
            </w:pPr>
            <w:r>
              <w:rPr>
                <w:b/>
                <w:w w:val="95"/>
                <w:sz w:val="18"/>
              </w:rPr>
              <w:t>382,248</w:t>
            </w:r>
          </w:p>
        </w:tc>
        <w:tc>
          <w:tcPr>
            <w:tcW w:w="1123" w:type="dxa"/>
            <w:tcBorders>
              <w:top w:val="single" w:sz="0" w:space="0" w:color="000000"/>
              <w:bottom w:val="single" w:sz="0" w:space="0" w:color="000000"/>
            </w:tcBorders>
          </w:tcPr>
          <w:p>
            <w:pPr>
              <w:pStyle w:val="TableParagraph"/>
              <w:spacing w:before="122"/>
              <w:ind w:right="83"/>
              <w:jc w:val="right"/>
              <w:rPr>
                <w:sz w:val="18"/>
              </w:rPr>
            </w:pPr>
            <w:r>
              <w:rPr>
                <w:w w:val="95"/>
                <w:sz w:val="18"/>
              </w:rPr>
              <w:t>315,995</w:t>
            </w:r>
          </w:p>
        </w:tc>
      </w:tr>
    </w:tbl>
    <w:p>
      <w:pPr>
        <w:pStyle w:val="BodyText"/>
        <w:rPr>
          <w:sz w:val="20"/>
        </w:rPr>
      </w:pPr>
    </w:p>
    <w:p>
      <w:pPr>
        <w:pStyle w:val="BodyText"/>
        <w:spacing w:before="10"/>
        <w:rPr>
          <w:sz w:val="22"/>
        </w:rPr>
      </w:pPr>
    </w:p>
    <w:p>
      <w:pPr>
        <w:pStyle w:val="BodyText"/>
        <w:spacing w:before="77"/>
        <w:ind w:left="145" w:right="139"/>
      </w:pPr>
      <w:r>
        <w:rPr/>
        <w:t>The other amounts within receivables do not contain impaired assets that are not past due. Based on credit history, it is expected that these amounts will be received when due.</w:t>
      </w:r>
    </w:p>
    <w:p>
      <w:pPr>
        <w:pStyle w:val="BodyText"/>
        <w:spacing w:before="1"/>
        <w:rPr>
          <w:sz w:val="25"/>
        </w:rPr>
      </w:pPr>
    </w:p>
    <w:p>
      <w:pPr>
        <w:pStyle w:val="Heading9"/>
        <w:tabs>
          <w:tab w:pos="825" w:val="left" w:leader="none"/>
        </w:tabs>
        <w:ind w:left="145" w:right="139"/>
      </w:pPr>
      <w:r>
        <w:rPr/>
        <w:t>(a)</w:t>
        <w:tab/>
        <w:t>Fair value and credit</w:t>
      </w:r>
      <w:r>
        <w:rPr>
          <w:spacing w:val="-2"/>
        </w:rPr>
        <w:t> </w:t>
      </w:r>
      <w:r>
        <w:rPr/>
        <w:t>risk</w:t>
      </w:r>
    </w:p>
    <w:p>
      <w:pPr>
        <w:pStyle w:val="BodyText"/>
        <w:spacing w:before="7"/>
        <w:rPr>
          <w:b/>
          <w:sz w:val="14"/>
        </w:rPr>
      </w:pPr>
    </w:p>
    <w:p>
      <w:pPr>
        <w:pStyle w:val="BodyText"/>
        <w:ind w:left="145" w:right="139"/>
      </w:pPr>
      <w:r>
        <w:rPr/>
        <w:t>Due to the short term nature of these receivables, their carrying amount is assumed to approximate their fair value.</w:t>
      </w:r>
    </w:p>
    <w:p>
      <w:pPr>
        <w:pStyle w:val="BodyText"/>
        <w:spacing w:before="7"/>
        <w:rPr>
          <w:sz w:val="14"/>
        </w:rPr>
      </w:pPr>
    </w:p>
    <w:p>
      <w:pPr>
        <w:pStyle w:val="BodyText"/>
        <w:ind w:left="145" w:right="249"/>
      </w:pPr>
      <w:r>
        <w:rPr/>
        <w:t>The maximum exposure to credit risk at the end of each reporting period is the carrying amount of each class of receivables mentioned above. Refer to note 2 for more information on the risk management policy of the Company and the credit quality of the entity's trade receivables.</w:t>
      </w:r>
    </w:p>
    <w:p>
      <w:pPr>
        <w:pStyle w:val="BodyText"/>
        <w:rPr>
          <w:sz w:val="20"/>
        </w:rPr>
      </w:pPr>
    </w:p>
    <w:p>
      <w:pPr>
        <w:pStyle w:val="BodyText"/>
        <w:rPr>
          <w:sz w:val="28"/>
        </w:rPr>
      </w:pPr>
    </w:p>
    <w:p>
      <w:pPr>
        <w:spacing w:after="0"/>
        <w:rPr>
          <w:sz w:val="28"/>
        </w:rPr>
        <w:sectPr>
          <w:pgSz w:w="11910" w:h="16840"/>
          <w:pgMar w:header="936" w:footer="526" w:top="2040" w:bottom="700" w:left="760" w:right="680"/>
        </w:sectPr>
      </w:pPr>
    </w:p>
    <w:p>
      <w:pPr>
        <w:pStyle w:val="Heading9"/>
        <w:tabs>
          <w:tab w:pos="541" w:val="left" w:leader="none"/>
        </w:tabs>
        <w:spacing w:before="77"/>
        <w:ind w:left="145"/>
      </w:pPr>
      <w:r>
        <w:rPr/>
        <w:t>7</w:t>
        <w:tab/>
        <w:t>Inventories</w:t>
      </w:r>
    </w:p>
    <w:p>
      <w:pPr>
        <w:pStyle w:val="BodyText"/>
        <w:rPr>
          <w:b/>
        </w:rPr>
      </w:pPr>
      <w:r>
        <w:rPr/>
        <w:br w:type="column"/>
      </w:r>
      <w:r>
        <w:rPr>
          <w:b/>
        </w:rPr>
      </w:r>
    </w:p>
    <w:p>
      <w:pPr>
        <w:spacing w:before="119"/>
        <w:ind w:left="146" w:right="0" w:firstLine="0"/>
        <w:jc w:val="center"/>
        <w:rPr>
          <w:b/>
          <w:sz w:val="18"/>
        </w:rPr>
      </w:pPr>
      <w:r>
        <w:rPr>
          <w:b/>
          <w:sz w:val="18"/>
        </w:rPr>
        <w:t>2012</w:t>
      </w:r>
    </w:p>
    <w:p>
      <w:pPr>
        <w:spacing w:before="66"/>
        <w:ind w:left="145" w:right="0" w:firstLine="0"/>
        <w:jc w:val="center"/>
        <w:rPr>
          <w:b/>
          <w:sz w:val="18"/>
        </w:rPr>
      </w:pPr>
      <w:r>
        <w:rPr>
          <w:b/>
          <w:w w:val="99"/>
          <w:sz w:val="18"/>
        </w:rPr>
        <w:t>$</w:t>
      </w:r>
    </w:p>
    <w:p>
      <w:pPr>
        <w:pStyle w:val="BodyText"/>
        <w:rPr>
          <w:b/>
        </w:rPr>
      </w:pPr>
      <w:r>
        <w:rPr/>
        <w:br w:type="column"/>
      </w:r>
      <w:r>
        <w:rPr>
          <w:b/>
        </w:rPr>
      </w:r>
    </w:p>
    <w:p>
      <w:pPr>
        <w:pStyle w:val="BodyText"/>
        <w:spacing w:before="119"/>
        <w:ind w:left="129" w:right="539"/>
        <w:jc w:val="center"/>
      </w:pPr>
      <w:r>
        <w:rPr/>
        <w:t>2011</w:t>
      </w:r>
    </w:p>
    <w:p>
      <w:pPr>
        <w:pStyle w:val="BodyText"/>
        <w:spacing w:before="66"/>
        <w:ind w:right="410"/>
        <w:jc w:val="center"/>
      </w:pPr>
      <w:r>
        <w:rPr>
          <w:w w:val="99"/>
        </w:rPr>
        <w:t>$</w:t>
      </w:r>
    </w:p>
    <w:p>
      <w:pPr>
        <w:spacing w:after="0"/>
        <w:jc w:val="center"/>
        <w:sectPr>
          <w:type w:val="continuous"/>
          <w:pgSz w:w="11910" w:h="16840"/>
          <w:pgMar w:top="0" w:bottom="280" w:left="760" w:right="680"/>
          <w:cols w:num="3" w:equalWidth="0">
            <w:col w:w="1503" w:space="6574"/>
            <w:col w:w="547" w:space="736"/>
            <w:col w:w="1110"/>
          </w:cols>
        </w:sectPr>
      </w:pPr>
    </w:p>
    <w:p>
      <w:pPr>
        <w:pStyle w:val="BodyText"/>
        <w:rPr>
          <w:sz w:val="28"/>
        </w:rPr>
      </w:pPr>
    </w:p>
    <w:tbl>
      <w:tblPr>
        <w:tblW w:w="0" w:type="auto"/>
        <w:jc w:val="left"/>
        <w:tblInd w:w="15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597"/>
        <w:gridCol w:w="1460"/>
        <w:gridCol w:w="1135"/>
      </w:tblGrid>
      <w:tr>
        <w:trPr>
          <w:trHeight w:val="641" w:hRule="exact"/>
        </w:trPr>
        <w:tc>
          <w:tcPr>
            <w:tcW w:w="7597" w:type="dxa"/>
          </w:tcPr>
          <w:p>
            <w:pPr>
              <w:pStyle w:val="TableParagraph"/>
              <w:spacing w:before="77"/>
              <w:ind w:left="35"/>
              <w:rPr>
                <w:sz w:val="18"/>
              </w:rPr>
            </w:pPr>
            <w:r>
              <w:rPr>
                <w:sz w:val="18"/>
              </w:rPr>
              <w:t>Finished goods</w:t>
            </w:r>
          </w:p>
          <w:p>
            <w:pPr>
              <w:pStyle w:val="TableParagraph"/>
              <w:spacing w:before="142"/>
              <w:ind w:left="35"/>
              <w:rPr>
                <w:sz w:val="18"/>
              </w:rPr>
            </w:pPr>
            <w:r>
              <w:rPr>
                <w:sz w:val="18"/>
              </w:rPr>
              <w:t>- at net realisable value</w:t>
            </w:r>
          </w:p>
        </w:tc>
        <w:tc>
          <w:tcPr>
            <w:tcW w:w="1460" w:type="dxa"/>
            <w:tcBorders>
              <w:bottom w:val="single" w:sz="0" w:space="0" w:color="000000"/>
            </w:tcBorders>
          </w:tcPr>
          <w:p>
            <w:pPr>
              <w:pStyle w:val="TableParagraph"/>
              <w:spacing w:before="78"/>
              <w:ind w:right="245"/>
              <w:jc w:val="right"/>
              <w:rPr>
                <w:b/>
                <w:sz w:val="18"/>
              </w:rPr>
            </w:pPr>
            <w:r>
              <w:rPr>
                <w:b/>
                <w:w w:val="95"/>
                <w:sz w:val="18"/>
              </w:rPr>
              <w:t>5,516,491</w:t>
            </w:r>
          </w:p>
        </w:tc>
        <w:tc>
          <w:tcPr>
            <w:tcW w:w="1135" w:type="dxa"/>
            <w:tcBorders>
              <w:bottom w:val="single" w:sz="0" w:space="0" w:color="000000"/>
            </w:tcBorders>
          </w:tcPr>
          <w:p>
            <w:pPr>
              <w:pStyle w:val="TableParagraph"/>
              <w:spacing w:before="78"/>
              <w:ind w:right="84"/>
              <w:jc w:val="right"/>
              <w:rPr>
                <w:sz w:val="18"/>
              </w:rPr>
            </w:pPr>
            <w:r>
              <w:rPr>
                <w:w w:val="95"/>
                <w:sz w:val="18"/>
              </w:rPr>
              <w:t>5,117,585</w:t>
            </w:r>
          </w:p>
        </w:tc>
      </w:tr>
      <w:tr>
        <w:trPr>
          <w:trHeight w:val="353" w:hRule="exact"/>
        </w:trPr>
        <w:tc>
          <w:tcPr>
            <w:tcW w:w="7597" w:type="dxa"/>
          </w:tcPr>
          <w:p>
            <w:pPr/>
          </w:p>
        </w:tc>
        <w:tc>
          <w:tcPr>
            <w:tcW w:w="1460" w:type="dxa"/>
            <w:tcBorders>
              <w:top w:val="single" w:sz="0" w:space="0" w:color="000000"/>
              <w:bottom w:val="single" w:sz="0" w:space="0" w:color="000000"/>
            </w:tcBorders>
          </w:tcPr>
          <w:p>
            <w:pPr>
              <w:pStyle w:val="TableParagraph"/>
              <w:spacing w:before="122"/>
              <w:ind w:right="245"/>
              <w:jc w:val="right"/>
              <w:rPr>
                <w:b/>
                <w:sz w:val="18"/>
              </w:rPr>
            </w:pPr>
            <w:r>
              <w:rPr>
                <w:b/>
                <w:w w:val="95"/>
                <w:sz w:val="18"/>
              </w:rPr>
              <w:t>5,516,491</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5,117,585</w:t>
            </w:r>
          </w:p>
        </w:tc>
      </w:tr>
    </w:tbl>
    <w:p>
      <w:pPr>
        <w:pStyle w:val="BodyText"/>
        <w:spacing w:before="6"/>
        <w:rPr>
          <w:sz w:val="20"/>
        </w:rPr>
      </w:pPr>
    </w:p>
    <w:p>
      <w:pPr>
        <w:pStyle w:val="Heading9"/>
        <w:spacing w:before="77"/>
        <w:ind w:left="145" w:right="139"/>
      </w:pPr>
      <w:r>
        <w:rPr/>
        <w:t>(a)  Provision for impairment</w:t>
      </w:r>
    </w:p>
    <w:p>
      <w:pPr>
        <w:pStyle w:val="BodyText"/>
        <w:spacing w:before="7"/>
        <w:rPr>
          <w:b/>
          <w:sz w:val="14"/>
        </w:rPr>
      </w:pPr>
    </w:p>
    <w:p>
      <w:pPr>
        <w:pStyle w:val="BodyText"/>
        <w:ind w:left="145" w:right="359"/>
      </w:pPr>
      <w:r>
        <w:rPr/>
        <w:t>Provision for impairment of inventories to net realisable value recognised as an expense during the year ended 31 December 2012 amounted to $41,124 (2011: $19,108).</w:t>
      </w:r>
    </w:p>
    <w:p>
      <w:pPr>
        <w:spacing w:after="0"/>
        <w:sectPr>
          <w:type w:val="continuous"/>
          <w:pgSz w:w="11910" w:h="16840"/>
          <w:pgMar w:top="0" w:bottom="280" w:left="760" w:right="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68"/>
        <w:gridCol w:w="1444"/>
        <w:gridCol w:w="1462"/>
        <w:gridCol w:w="1420"/>
        <w:gridCol w:w="1193"/>
      </w:tblGrid>
      <w:tr>
        <w:trPr>
          <w:trHeight w:val="674" w:hRule="exact"/>
        </w:trPr>
        <w:tc>
          <w:tcPr>
            <w:tcW w:w="4668" w:type="dxa"/>
          </w:tcPr>
          <w:p>
            <w:pPr>
              <w:pStyle w:val="TableParagraph"/>
              <w:tabs>
                <w:tab w:pos="430" w:val="left" w:leader="none"/>
              </w:tabs>
              <w:spacing w:before="77"/>
              <w:ind w:left="35"/>
              <w:rPr>
                <w:b/>
                <w:sz w:val="18"/>
              </w:rPr>
            </w:pPr>
            <w:r>
              <w:rPr>
                <w:b/>
                <w:sz w:val="18"/>
              </w:rPr>
              <w:t>8</w:t>
              <w:tab/>
              <w:t>Property, plant and equipment</w:t>
            </w:r>
          </w:p>
        </w:tc>
        <w:tc>
          <w:tcPr>
            <w:tcW w:w="1444" w:type="dxa"/>
          </w:tcPr>
          <w:p>
            <w:pPr/>
          </w:p>
        </w:tc>
        <w:tc>
          <w:tcPr>
            <w:tcW w:w="1462" w:type="dxa"/>
          </w:tcPr>
          <w:p>
            <w:pPr>
              <w:pStyle w:val="TableParagraph"/>
              <w:rPr>
                <w:rFonts w:ascii="Times New Roman"/>
                <w:sz w:val="18"/>
              </w:rPr>
            </w:pPr>
          </w:p>
          <w:p>
            <w:pPr>
              <w:pStyle w:val="TableParagraph"/>
              <w:spacing w:before="7"/>
              <w:rPr>
                <w:rFonts w:ascii="Times New Roman"/>
                <w:sz w:val="20"/>
              </w:rPr>
            </w:pPr>
          </w:p>
          <w:p>
            <w:pPr>
              <w:pStyle w:val="TableParagraph"/>
              <w:ind w:left="233" w:right="330"/>
              <w:rPr>
                <w:b/>
                <w:sz w:val="18"/>
              </w:rPr>
            </w:pPr>
            <w:r>
              <w:rPr>
                <w:b/>
                <w:sz w:val="18"/>
              </w:rPr>
              <w:t>Furniture,</w:t>
            </w:r>
          </w:p>
        </w:tc>
        <w:tc>
          <w:tcPr>
            <w:tcW w:w="2613" w:type="dxa"/>
            <w:gridSpan w:val="2"/>
          </w:tcPr>
          <w:p>
            <w:pPr/>
          </w:p>
        </w:tc>
      </w:tr>
      <w:tr>
        <w:trPr>
          <w:trHeight w:val="514" w:hRule="exact"/>
        </w:trPr>
        <w:tc>
          <w:tcPr>
            <w:tcW w:w="4668" w:type="dxa"/>
          </w:tcPr>
          <w:p>
            <w:pPr/>
          </w:p>
        </w:tc>
        <w:tc>
          <w:tcPr>
            <w:tcW w:w="1444" w:type="dxa"/>
          </w:tcPr>
          <w:p>
            <w:pPr>
              <w:pStyle w:val="TableParagraph"/>
              <w:spacing w:line="271" w:lineRule="auto" w:before="3"/>
              <w:ind w:left="216" w:right="298" w:firstLine="75"/>
              <w:rPr>
                <w:b/>
                <w:sz w:val="18"/>
              </w:rPr>
            </w:pPr>
            <w:r>
              <w:rPr>
                <w:b/>
                <w:sz w:val="18"/>
              </w:rPr>
              <w:t>Plant and equipment</w:t>
            </w:r>
          </w:p>
        </w:tc>
        <w:tc>
          <w:tcPr>
            <w:tcW w:w="1462" w:type="dxa"/>
          </w:tcPr>
          <w:p>
            <w:pPr>
              <w:pStyle w:val="TableParagraph"/>
              <w:spacing w:line="271" w:lineRule="auto" w:before="3"/>
              <w:ind w:left="173" w:right="330" w:hanging="32"/>
              <w:rPr>
                <w:b/>
                <w:sz w:val="18"/>
              </w:rPr>
            </w:pPr>
            <w:r>
              <w:rPr>
                <w:b/>
                <w:sz w:val="18"/>
              </w:rPr>
              <w:t>fittings and equipment</w:t>
            </w:r>
          </w:p>
        </w:tc>
        <w:tc>
          <w:tcPr>
            <w:tcW w:w="1420" w:type="dxa"/>
          </w:tcPr>
          <w:p>
            <w:pPr>
              <w:pStyle w:val="TableParagraph"/>
              <w:spacing w:line="271" w:lineRule="auto" w:before="3"/>
              <w:ind w:left="200" w:firstLine="128"/>
              <w:rPr>
                <w:b/>
                <w:sz w:val="18"/>
              </w:rPr>
            </w:pPr>
            <w:r>
              <w:rPr>
                <w:b/>
                <w:sz w:val="18"/>
              </w:rPr>
              <w:t>Motor vehicles</w:t>
            </w:r>
          </w:p>
        </w:tc>
        <w:tc>
          <w:tcPr>
            <w:tcW w:w="1193" w:type="dxa"/>
          </w:tcPr>
          <w:p>
            <w:pPr>
              <w:pStyle w:val="TableParagraph"/>
              <w:spacing w:before="5"/>
              <w:rPr>
                <w:rFonts w:ascii="Times New Roman"/>
                <w:sz w:val="22"/>
              </w:rPr>
            </w:pPr>
          </w:p>
          <w:p>
            <w:pPr>
              <w:pStyle w:val="TableParagraph"/>
              <w:ind w:left="313"/>
              <w:rPr>
                <w:b/>
                <w:sz w:val="18"/>
              </w:rPr>
            </w:pPr>
            <w:r>
              <w:rPr>
                <w:b/>
                <w:sz w:val="18"/>
              </w:rPr>
              <w:t>Total</w:t>
            </w:r>
          </w:p>
        </w:tc>
      </w:tr>
      <w:tr>
        <w:trPr>
          <w:trHeight w:val="287" w:hRule="exact"/>
        </w:trPr>
        <w:tc>
          <w:tcPr>
            <w:tcW w:w="4668" w:type="dxa"/>
          </w:tcPr>
          <w:p>
            <w:pPr/>
          </w:p>
        </w:tc>
        <w:tc>
          <w:tcPr>
            <w:tcW w:w="1444" w:type="dxa"/>
          </w:tcPr>
          <w:p>
            <w:pPr>
              <w:pStyle w:val="TableParagraph"/>
              <w:spacing w:before="30"/>
              <w:ind w:right="84"/>
              <w:jc w:val="center"/>
              <w:rPr>
                <w:b/>
                <w:sz w:val="18"/>
              </w:rPr>
            </w:pPr>
            <w:r>
              <w:rPr>
                <w:b/>
                <w:w w:val="99"/>
                <w:sz w:val="18"/>
              </w:rPr>
              <w:t>$</w:t>
            </w:r>
          </w:p>
        </w:tc>
        <w:tc>
          <w:tcPr>
            <w:tcW w:w="1462" w:type="dxa"/>
          </w:tcPr>
          <w:p>
            <w:pPr>
              <w:pStyle w:val="TableParagraph"/>
              <w:spacing w:before="30"/>
              <w:ind w:right="187"/>
              <w:jc w:val="center"/>
              <w:rPr>
                <w:b/>
                <w:sz w:val="18"/>
              </w:rPr>
            </w:pPr>
            <w:r>
              <w:rPr>
                <w:b/>
                <w:w w:val="99"/>
                <w:sz w:val="18"/>
              </w:rPr>
              <w:t>$</w:t>
            </w:r>
          </w:p>
        </w:tc>
        <w:tc>
          <w:tcPr>
            <w:tcW w:w="1420" w:type="dxa"/>
          </w:tcPr>
          <w:p>
            <w:pPr>
              <w:pStyle w:val="TableParagraph"/>
              <w:spacing w:before="30"/>
              <w:ind w:right="294"/>
              <w:jc w:val="center"/>
              <w:rPr>
                <w:b/>
                <w:sz w:val="18"/>
              </w:rPr>
            </w:pPr>
            <w:r>
              <w:rPr>
                <w:b/>
                <w:w w:val="99"/>
                <w:sz w:val="18"/>
              </w:rPr>
              <w:t>$</w:t>
            </w:r>
          </w:p>
        </w:tc>
        <w:tc>
          <w:tcPr>
            <w:tcW w:w="1193" w:type="dxa"/>
          </w:tcPr>
          <w:p>
            <w:pPr>
              <w:pStyle w:val="TableParagraph"/>
              <w:spacing w:before="30"/>
              <w:ind w:right="133"/>
              <w:jc w:val="center"/>
              <w:rPr>
                <w:b/>
                <w:sz w:val="18"/>
              </w:rPr>
            </w:pPr>
            <w:r>
              <w:rPr>
                <w:b/>
                <w:w w:val="99"/>
                <w:sz w:val="18"/>
              </w:rPr>
              <w:t>$</w:t>
            </w:r>
          </w:p>
        </w:tc>
      </w:tr>
      <w:tr>
        <w:trPr>
          <w:trHeight w:val="287" w:hRule="exact"/>
        </w:trPr>
        <w:tc>
          <w:tcPr>
            <w:tcW w:w="4668" w:type="dxa"/>
          </w:tcPr>
          <w:p>
            <w:pPr>
              <w:pStyle w:val="TableParagraph"/>
              <w:spacing w:before="30"/>
              <w:ind w:left="79"/>
              <w:rPr>
                <w:b/>
                <w:sz w:val="18"/>
              </w:rPr>
            </w:pPr>
            <w:r>
              <w:rPr>
                <w:b/>
                <w:sz w:val="18"/>
              </w:rPr>
              <w:t>At January 2011</w:t>
            </w:r>
          </w:p>
        </w:tc>
        <w:tc>
          <w:tcPr>
            <w:tcW w:w="1444" w:type="dxa"/>
          </w:tcPr>
          <w:p>
            <w:pPr/>
          </w:p>
        </w:tc>
        <w:tc>
          <w:tcPr>
            <w:tcW w:w="1462" w:type="dxa"/>
          </w:tcPr>
          <w:p>
            <w:pPr/>
          </w:p>
        </w:tc>
        <w:tc>
          <w:tcPr>
            <w:tcW w:w="1420" w:type="dxa"/>
          </w:tcPr>
          <w:p>
            <w:pPr/>
          </w:p>
        </w:tc>
        <w:tc>
          <w:tcPr>
            <w:tcW w:w="1193" w:type="dxa"/>
          </w:tcPr>
          <w:p>
            <w:pPr/>
          </w:p>
        </w:tc>
      </w:tr>
      <w:tr>
        <w:trPr>
          <w:trHeight w:val="287" w:hRule="exact"/>
        </w:trPr>
        <w:tc>
          <w:tcPr>
            <w:tcW w:w="4668" w:type="dxa"/>
          </w:tcPr>
          <w:p>
            <w:pPr>
              <w:pStyle w:val="TableParagraph"/>
              <w:spacing w:before="30"/>
              <w:ind w:left="79"/>
              <w:rPr>
                <w:sz w:val="18"/>
              </w:rPr>
            </w:pPr>
            <w:r>
              <w:rPr>
                <w:sz w:val="18"/>
              </w:rPr>
              <w:t>Cost</w:t>
            </w:r>
          </w:p>
        </w:tc>
        <w:tc>
          <w:tcPr>
            <w:tcW w:w="1444" w:type="dxa"/>
          </w:tcPr>
          <w:p>
            <w:pPr>
              <w:pStyle w:val="TableParagraph"/>
              <w:spacing w:before="30"/>
              <w:ind w:right="198"/>
              <w:jc w:val="right"/>
              <w:rPr>
                <w:sz w:val="18"/>
              </w:rPr>
            </w:pPr>
            <w:r>
              <w:rPr>
                <w:w w:val="95"/>
                <w:sz w:val="18"/>
              </w:rPr>
              <w:t>645,986</w:t>
            </w:r>
          </w:p>
        </w:tc>
        <w:tc>
          <w:tcPr>
            <w:tcW w:w="1462" w:type="dxa"/>
          </w:tcPr>
          <w:p>
            <w:pPr>
              <w:pStyle w:val="TableParagraph"/>
              <w:spacing w:before="30"/>
              <w:ind w:left="553"/>
              <w:rPr>
                <w:sz w:val="18"/>
              </w:rPr>
            </w:pPr>
            <w:r>
              <w:rPr>
                <w:sz w:val="18"/>
              </w:rPr>
              <w:t>453,911</w:t>
            </w:r>
          </w:p>
        </w:tc>
        <w:tc>
          <w:tcPr>
            <w:tcW w:w="1420" w:type="dxa"/>
          </w:tcPr>
          <w:p>
            <w:pPr>
              <w:pStyle w:val="TableParagraph"/>
              <w:spacing w:before="30"/>
              <w:ind w:right="287"/>
              <w:jc w:val="right"/>
              <w:rPr>
                <w:sz w:val="18"/>
              </w:rPr>
            </w:pPr>
            <w:r>
              <w:rPr>
                <w:w w:val="95"/>
                <w:sz w:val="18"/>
              </w:rPr>
              <w:t>575,275</w:t>
            </w:r>
          </w:p>
        </w:tc>
        <w:tc>
          <w:tcPr>
            <w:tcW w:w="1193" w:type="dxa"/>
          </w:tcPr>
          <w:p>
            <w:pPr>
              <w:pStyle w:val="TableParagraph"/>
              <w:spacing w:before="30"/>
              <w:ind w:right="93"/>
              <w:jc w:val="right"/>
              <w:rPr>
                <w:sz w:val="18"/>
              </w:rPr>
            </w:pPr>
            <w:r>
              <w:rPr>
                <w:w w:val="95"/>
                <w:sz w:val="18"/>
              </w:rPr>
              <w:t>1,675,172</w:t>
            </w:r>
          </w:p>
        </w:tc>
      </w:tr>
      <w:tr>
        <w:trPr>
          <w:trHeight w:val="271" w:hRule="exact"/>
        </w:trPr>
        <w:tc>
          <w:tcPr>
            <w:tcW w:w="4668" w:type="dxa"/>
          </w:tcPr>
          <w:p>
            <w:pPr>
              <w:pStyle w:val="TableParagraph"/>
              <w:spacing w:before="30"/>
              <w:ind w:left="79"/>
              <w:rPr>
                <w:sz w:val="18"/>
              </w:rPr>
            </w:pPr>
            <w:r>
              <w:rPr>
                <w:sz w:val="18"/>
              </w:rPr>
              <w:t>Accumulated depreciation</w:t>
            </w:r>
          </w:p>
        </w:tc>
        <w:tc>
          <w:tcPr>
            <w:tcW w:w="1444" w:type="dxa"/>
            <w:tcBorders>
              <w:bottom w:val="single" w:sz="8" w:space="0" w:color="000000"/>
            </w:tcBorders>
          </w:tcPr>
          <w:p>
            <w:pPr>
              <w:pStyle w:val="TableParagraph"/>
              <w:spacing w:before="30"/>
              <w:ind w:right="139"/>
              <w:jc w:val="right"/>
              <w:rPr>
                <w:sz w:val="18"/>
              </w:rPr>
            </w:pPr>
            <w:r>
              <w:rPr>
                <w:w w:val="95"/>
                <w:sz w:val="18"/>
              </w:rPr>
              <w:t>(413,395)</w:t>
            </w:r>
          </w:p>
        </w:tc>
        <w:tc>
          <w:tcPr>
            <w:tcW w:w="1462" w:type="dxa"/>
            <w:tcBorders>
              <w:bottom w:val="single" w:sz="8" w:space="0" w:color="000000"/>
            </w:tcBorders>
          </w:tcPr>
          <w:p>
            <w:pPr>
              <w:pStyle w:val="TableParagraph"/>
              <w:spacing w:before="30"/>
              <w:ind w:right="198"/>
              <w:jc w:val="right"/>
              <w:rPr>
                <w:sz w:val="18"/>
              </w:rPr>
            </w:pPr>
            <w:r>
              <w:rPr>
                <w:w w:val="95"/>
                <w:sz w:val="18"/>
              </w:rPr>
              <w:t>(164,439)</w:t>
            </w:r>
          </w:p>
        </w:tc>
        <w:tc>
          <w:tcPr>
            <w:tcW w:w="1420" w:type="dxa"/>
            <w:tcBorders>
              <w:bottom w:val="single" w:sz="8" w:space="0" w:color="000000"/>
            </w:tcBorders>
          </w:tcPr>
          <w:p>
            <w:pPr>
              <w:pStyle w:val="TableParagraph"/>
              <w:spacing w:before="30"/>
              <w:ind w:right="231"/>
              <w:jc w:val="right"/>
              <w:rPr>
                <w:sz w:val="18"/>
              </w:rPr>
            </w:pPr>
            <w:r>
              <w:rPr>
                <w:sz w:val="18"/>
              </w:rPr>
              <w:t>(287,727)</w:t>
            </w:r>
          </w:p>
        </w:tc>
        <w:tc>
          <w:tcPr>
            <w:tcW w:w="1193" w:type="dxa"/>
            <w:tcBorders>
              <w:bottom w:val="single" w:sz="8" w:space="0" w:color="000000"/>
            </w:tcBorders>
          </w:tcPr>
          <w:p>
            <w:pPr>
              <w:pStyle w:val="TableParagraph"/>
              <w:spacing w:before="30"/>
              <w:ind w:right="37"/>
              <w:jc w:val="right"/>
              <w:rPr>
                <w:sz w:val="18"/>
              </w:rPr>
            </w:pPr>
            <w:r>
              <w:rPr>
                <w:w w:val="95"/>
                <w:sz w:val="18"/>
              </w:rPr>
              <w:t>(865,561)</w:t>
            </w:r>
          </w:p>
        </w:tc>
      </w:tr>
      <w:tr>
        <w:trPr>
          <w:trHeight w:val="287" w:hRule="exact"/>
        </w:trPr>
        <w:tc>
          <w:tcPr>
            <w:tcW w:w="4668" w:type="dxa"/>
          </w:tcPr>
          <w:p>
            <w:pPr>
              <w:pStyle w:val="TableParagraph"/>
              <w:spacing w:before="46"/>
              <w:ind w:left="79"/>
              <w:rPr>
                <w:sz w:val="18"/>
              </w:rPr>
            </w:pPr>
            <w:r>
              <w:rPr>
                <w:sz w:val="18"/>
              </w:rPr>
              <w:t>Net book amount</w:t>
            </w:r>
          </w:p>
        </w:tc>
        <w:tc>
          <w:tcPr>
            <w:tcW w:w="1444" w:type="dxa"/>
            <w:tcBorders>
              <w:top w:val="single" w:sz="8" w:space="0" w:color="000000"/>
              <w:bottom w:val="single" w:sz="8" w:space="0" w:color="000000"/>
            </w:tcBorders>
          </w:tcPr>
          <w:p>
            <w:pPr>
              <w:pStyle w:val="TableParagraph"/>
              <w:spacing w:before="36"/>
              <w:ind w:right="198"/>
              <w:jc w:val="right"/>
              <w:rPr>
                <w:sz w:val="18"/>
              </w:rPr>
            </w:pPr>
            <w:r>
              <w:rPr>
                <w:w w:val="95"/>
                <w:sz w:val="18"/>
              </w:rPr>
              <w:t>232,591</w:t>
            </w:r>
          </w:p>
        </w:tc>
        <w:tc>
          <w:tcPr>
            <w:tcW w:w="1462" w:type="dxa"/>
            <w:tcBorders>
              <w:top w:val="single" w:sz="8" w:space="0" w:color="000000"/>
              <w:bottom w:val="single" w:sz="8" w:space="0" w:color="000000"/>
            </w:tcBorders>
          </w:tcPr>
          <w:p>
            <w:pPr>
              <w:pStyle w:val="TableParagraph"/>
              <w:spacing w:before="36"/>
              <w:ind w:left="553"/>
              <w:rPr>
                <w:sz w:val="18"/>
              </w:rPr>
            </w:pPr>
            <w:r>
              <w:rPr>
                <w:sz w:val="18"/>
              </w:rPr>
              <w:t>289,472</w:t>
            </w:r>
          </w:p>
        </w:tc>
        <w:tc>
          <w:tcPr>
            <w:tcW w:w="1420" w:type="dxa"/>
            <w:tcBorders>
              <w:top w:val="single" w:sz="8" w:space="0" w:color="000000"/>
              <w:bottom w:val="single" w:sz="8" w:space="0" w:color="000000"/>
            </w:tcBorders>
          </w:tcPr>
          <w:p>
            <w:pPr>
              <w:pStyle w:val="TableParagraph"/>
              <w:spacing w:before="36"/>
              <w:ind w:right="287"/>
              <w:jc w:val="right"/>
              <w:rPr>
                <w:sz w:val="18"/>
              </w:rPr>
            </w:pPr>
            <w:r>
              <w:rPr>
                <w:w w:val="95"/>
                <w:sz w:val="18"/>
              </w:rPr>
              <w:t>287,548</w:t>
            </w:r>
          </w:p>
        </w:tc>
        <w:tc>
          <w:tcPr>
            <w:tcW w:w="1193" w:type="dxa"/>
            <w:tcBorders>
              <w:top w:val="single" w:sz="8" w:space="0" w:color="000000"/>
              <w:bottom w:val="single" w:sz="8" w:space="0" w:color="000000"/>
            </w:tcBorders>
          </w:tcPr>
          <w:p>
            <w:pPr>
              <w:pStyle w:val="TableParagraph"/>
              <w:spacing w:before="36"/>
              <w:ind w:right="93"/>
              <w:jc w:val="right"/>
              <w:rPr>
                <w:sz w:val="18"/>
              </w:rPr>
            </w:pPr>
            <w:r>
              <w:rPr>
                <w:w w:val="95"/>
                <w:sz w:val="18"/>
              </w:rPr>
              <w:t>809,611</w:t>
            </w:r>
          </w:p>
        </w:tc>
      </w:tr>
      <w:tr>
        <w:trPr>
          <w:trHeight w:val="590" w:hRule="exact"/>
        </w:trPr>
        <w:tc>
          <w:tcPr>
            <w:tcW w:w="4668" w:type="dxa"/>
          </w:tcPr>
          <w:p>
            <w:pPr>
              <w:pStyle w:val="TableParagraph"/>
              <w:rPr>
                <w:rFonts w:ascii="Times New Roman"/>
                <w:sz w:val="18"/>
              </w:rPr>
            </w:pPr>
          </w:p>
          <w:p>
            <w:pPr>
              <w:pStyle w:val="TableParagraph"/>
              <w:spacing w:before="126"/>
              <w:ind w:left="78"/>
              <w:rPr>
                <w:b/>
                <w:sz w:val="18"/>
              </w:rPr>
            </w:pPr>
            <w:r>
              <w:rPr>
                <w:b/>
                <w:sz w:val="18"/>
              </w:rPr>
              <w:t>Year ended 31 December 2011</w:t>
            </w:r>
          </w:p>
        </w:tc>
        <w:tc>
          <w:tcPr>
            <w:tcW w:w="1444" w:type="dxa"/>
            <w:tcBorders>
              <w:top w:val="single" w:sz="8" w:space="0" w:color="000000"/>
            </w:tcBorders>
          </w:tcPr>
          <w:p>
            <w:pPr/>
          </w:p>
        </w:tc>
        <w:tc>
          <w:tcPr>
            <w:tcW w:w="1462" w:type="dxa"/>
            <w:tcBorders>
              <w:top w:val="single" w:sz="8" w:space="0" w:color="000000"/>
            </w:tcBorders>
          </w:tcPr>
          <w:p>
            <w:pPr/>
          </w:p>
        </w:tc>
        <w:tc>
          <w:tcPr>
            <w:tcW w:w="1420" w:type="dxa"/>
            <w:tcBorders>
              <w:top w:val="single" w:sz="8" w:space="0" w:color="000000"/>
            </w:tcBorders>
          </w:tcPr>
          <w:p>
            <w:pPr/>
          </w:p>
        </w:tc>
        <w:tc>
          <w:tcPr>
            <w:tcW w:w="1193" w:type="dxa"/>
            <w:tcBorders>
              <w:top w:val="single" w:sz="8" w:space="0" w:color="000000"/>
            </w:tcBorders>
          </w:tcPr>
          <w:p>
            <w:pPr/>
          </w:p>
        </w:tc>
      </w:tr>
      <w:tr>
        <w:trPr>
          <w:trHeight w:val="287" w:hRule="exact"/>
        </w:trPr>
        <w:tc>
          <w:tcPr>
            <w:tcW w:w="4668" w:type="dxa"/>
          </w:tcPr>
          <w:p>
            <w:pPr>
              <w:pStyle w:val="TableParagraph"/>
              <w:spacing w:before="30"/>
              <w:ind w:left="78"/>
              <w:rPr>
                <w:sz w:val="18"/>
              </w:rPr>
            </w:pPr>
            <w:r>
              <w:rPr>
                <w:sz w:val="18"/>
              </w:rPr>
              <w:t>Opening net book amount</w:t>
            </w:r>
          </w:p>
        </w:tc>
        <w:tc>
          <w:tcPr>
            <w:tcW w:w="1444" w:type="dxa"/>
          </w:tcPr>
          <w:p>
            <w:pPr>
              <w:pStyle w:val="TableParagraph"/>
              <w:spacing w:before="30"/>
              <w:ind w:right="200"/>
              <w:jc w:val="right"/>
              <w:rPr>
                <w:sz w:val="18"/>
              </w:rPr>
            </w:pPr>
            <w:r>
              <w:rPr>
                <w:w w:val="95"/>
                <w:sz w:val="18"/>
              </w:rPr>
              <w:t>232,591</w:t>
            </w:r>
          </w:p>
        </w:tc>
        <w:tc>
          <w:tcPr>
            <w:tcW w:w="1462" w:type="dxa"/>
          </w:tcPr>
          <w:p>
            <w:pPr>
              <w:pStyle w:val="TableParagraph"/>
              <w:spacing w:before="30"/>
              <w:ind w:left="553"/>
              <w:rPr>
                <w:sz w:val="18"/>
              </w:rPr>
            </w:pPr>
            <w:r>
              <w:rPr>
                <w:sz w:val="18"/>
              </w:rPr>
              <w:t>289,472</w:t>
            </w:r>
          </w:p>
        </w:tc>
        <w:tc>
          <w:tcPr>
            <w:tcW w:w="1420" w:type="dxa"/>
          </w:tcPr>
          <w:p>
            <w:pPr>
              <w:pStyle w:val="TableParagraph"/>
              <w:spacing w:before="30"/>
              <w:ind w:right="287"/>
              <w:jc w:val="right"/>
              <w:rPr>
                <w:sz w:val="18"/>
              </w:rPr>
            </w:pPr>
            <w:r>
              <w:rPr>
                <w:w w:val="95"/>
                <w:sz w:val="18"/>
              </w:rPr>
              <w:t>287,548</w:t>
            </w:r>
          </w:p>
        </w:tc>
        <w:tc>
          <w:tcPr>
            <w:tcW w:w="1193" w:type="dxa"/>
          </w:tcPr>
          <w:p>
            <w:pPr>
              <w:pStyle w:val="TableParagraph"/>
              <w:spacing w:before="30"/>
              <w:ind w:right="95"/>
              <w:jc w:val="right"/>
              <w:rPr>
                <w:sz w:val="18"/>
              </w:rPr>
            </w:pPr>
            <w:r>
              <w:rPr>
                <w:w w:val="95"/>
                <w:sz w:val="18"/>
              </w:rPr>
              <w:t>809,611</w:t>
            </w:r>
          </w:p>
        </w:tc>
      </w:tr>
      <w:tr>
        <w:trPr>
          <w:trHeight w:val="287" w:hRule="exact"/>
        </w:trPr>
        <w:tc>
          <w:tcPr>
            <w:tcW w:w="4668" w:type="dxa"/>
          </w:tcPr>
          <w:p>
            <w:pPr>
              <w:pStyle w:val="TableParagraph"/>
              <w:spacing w:before="30"/>
              <w:ind w:left="78"/>
              <w:rPr>
                <w:sz w:val="18"/>
              </w:rPr>
            </w:pPr>
            <w:r>
              <w:rPr>
                <w:sz w:val="18"/>
              </w:rPr>
              <w:t>Write offs</w:t>
            </w:r>
          </w:p>
        </w:tc>
        <w:tc>
          <w:tcPr>
            <w:tcW w:w="1444" w:type="dxa"/>
          </w:tcPr>
          <w:p>
            <w:pPr>
              <w:pStyle w:val="TableParagraph"/>
              <w:spacing w:before="30"/>
              <w:ind w:right="140"/>
              <w:jc w:val="right"/>
              <w:rPr>
                <w:sz w:val="18"/>
              </w:rPr>
            </w:pPr>
            <w:r>
              <w:rPr>
                <w:sz w:val="18"/>
              </w:rPr>
              <w:t>(12,015)</w:t>
            </w:r>
          </w:p>
        </w:tc>
        <w:tc>
          <w:tcPr>
            <w:tcW w:w="4075" w:type="dxa"/>
            <w:gridSpan w:val="3"/>
          </w:tcPr>
          <w:p>
            <w:pPr>
              <w:pStyle w:val="TableParagraph"/>
              <w:tabs>
                <w:tab w:pos="2328" w:val="left" w:leader="none"/>
                <w:tab w:pos="3367" w:val="left" w:leader="none"/>
              </w:tabs>
              <w:spacing w:before="30"/>
              <w:ind w:left="941"/>
              <w:rPr>
                <w:sz w:val="18"/>
              </w:rPr>
            </w:pPr>
            <w:r>
              <w:rPr>
                <w:sz w:val="18"/>
              </w:rPr>
              <w:t>-</w:t>
              <w:tab/>
              <w:t>-</w:t>
              <w:tab/>
              <w:t>(12,015)</w:t>
            </w:r>
          </w:p>
        </w:tc>
      </w:tr>
      <w:tr>
        <w:trPr>
          <w:trHeight w:val="287" w:hRule="exact"/>
        </w:trPr>
        <w:tc>
          <w:tcPr>
            <w:tcW w:w="4668" w:type="dxa"/>
          </w:tcPr>
          <w:p>
            <w:pPr>
              <w:pStyle w:val="TableParagraph"/>
              <w:spacing w:before="30"/>
              <w:ind w:left="78"/>
              <w:rPr>
                <w:sz w:val="18"/>
              </w:rPr>
            </w:pPr>
            <w:r>
              <w:rPr>
                <w:sz w:val="18"/>
              </w:rPr>
              <w:t>Additions</w:t>
            </w:r>
          </w:p>
        </w:tc>
        <w:tc>
          <w:tcPr>
            <w:tcW w:w="1444" w:type="dxa"/>
          </w:tcPr>
          <w:p>
            <w:pPr>
              <w:pStyle w:val="TableParagraph"/>
              <w:spacing w:before="30"/>
              <w:ind w:right="200"/>
              <w:jc w:val="right"/>
              <w:rPr>
                <w:sz w:val="18"/>
              </w:rPr>
            </w:pPr>
            <w:r>
              <w:rPr>
                <w:w w:val="95"/>
                <w:sz w:val="18"/>
              </w:rPr>
              <w:t>118,207</w:t>
            </w:r>
          </w:p>
        </w:tc>
        <w:tc>
          <w:tcPr>
            <w:tcW w:w="4075" w:type="dxa"/>
            <w:gridSpan w:val="3"/>
          </w:tcPr>
          <w:p>
            <w:pPr>
              <w:pStyle w:val="TableParagraph"/>
              <w:tabs>
                <w:tab w:pos="1939" w:val="left" w:leader="none"/>
                <w:tab w:pos="3326" w:val="left" w:leader="none"/>
              </w:tabs>
              <w:spacing w:before="30"/>
              <w:ind w:left="552"/>
              <w:rPr>
                <w:sz w:val="18"/>
              </w:rPr>
            </w:pPr>
            <w:r>
              <w:rPr>
                <w:sz w:val="18"/>
              </w:rPr>
              <w:t>243,321</w:t>
              <w:tab/>
              <w:t>152,154</w:t>
              <w:tab/>
              <w:t>513,682</w:t>
            </w:r>
          </w:p>
        </w:tc>
      </w:tr>
      <w:tr>
        <w:trPr>
          <w:trHeight w:val="287" w:hRule="exact"/>
        </w:trPr>
        <w:tc>
          <w:tcPr>
            <w:tcW w:w="4668" w:type="dxa"/>
          </w:tcPr>
          <w:p>
            <w:pPr>
              <w:pStyle w:val="TableParagraph"/>
              <w:spacing w:before="30"/>
              <w:ind w:left="77"/>
              <w:rPr>
                <w:sz w:val="18"/>
              </w:rPr>
            </w:pPr>
            <w:r>
              <w:rPr>
                <w:sz w:val="18"/>
              </w:rPr>
              <w:t>Disposals</w:t>
            </w:r>
          </w:p>
        </w:tc>
        <w:tc>
          <w:tcPr>
            <w:tcW w:w="1444" w:type="dxa"/>
          </w:tcPr>
          <w:p>
            <w:pPr>
              <w:pStyle w:val="TableParagraph"/>
              <w:spacing w:before="30"/>
              <w:ind w:right="141"/>
              <w:jc w:val="right"/>
              <w:rPr>
                <w:sz w:val="18"/>
              </w:rPr>
            </w:pPr>
            <w:r>
              <w:rPr>
                <w:w w:val="95"/>
                <w:sz w:val="18"/>
              </w:rPr>
              <w:t>(6,287)</w:t>
            </w:r>
          </w:p>
        </w:tc>
        <w:tc>
          <w:tcPr>
            <w:tcW w:w="4075" w:type="dxa"/>
            <w:gridSpan w:val="3"/>
          </w:tcPr>
          <w:p>
            <w:pPr>
              <w:pStyle w:val="TableParagraph"/>
              <w:tabs>
                <w:tab w:pos="1979" w:val="left" w:leader="none"/>
                <w:tab w:pos="3368" w:val="left" w:leader="none"/>
              </w:tabs>
              <w:spacing w:before="30"/>
              <w:ind w:left="940"/>
              <w:rPr>
                <w:sz w:val="18"/>
              </w:rPr>
            </w:pPr>
            <w:r>
              <w:rPr>
                <w:sz w:val="18"/>
              </w:rPr>
              <w:t>-</w:t>
              <w:tab/>
              <w:t>(60,525)</w:t>
              <w:tab/>
              <w:t>(66,812)</w:t>
            </w:r>
          </w:p>
        </w:tc>
      </w:tr>
      <w:tr>
        <w:trPr>
          <w:trHeight w:val="271" w:hRule="exact"/>
        </w:trPr>
        <w:tc>
          <w:tcPr>
            <w:tcW w:w="4668" w:type="dxa"/>
          </w:tcPr>
          <w:p>
            <w:pPr>
              <w:pStyle w:val="TableParagraph"/>
              <w:spacing w:before="30"/>
              <w:ind w:left="77"/>
              <w:rPr>
                <w:sz w:val="18"/>
              </w:rPr>
            </w:pPr>
            <w:r>
              <w:rPr>
                <w:sz w:val="18"/>
              </w:rPr>
              <w:t>Depreciation charge</w:t>
            </w:r>
          </w:p>
        </w:tc>
        <w:tc>
          <w:tcPr>
            <w:tcW w:w="1444" w:type="dxa"/>
            <w:tcBorders>
              <w:bottom w:val="single" w:sz="8" w:space="0" w:color="000000"/>
            </w:tcBorders>
          </w:tcPr>
          <w:p>
            <w:pPr>
              <w:pStyle w:val="TableParagraph"/>
              <w:spacing w:before="30"/>
              <w:ind w:right="140"/>
              <w:jc w:val="right"/>
              <w:rPr>
                <w:sz w:val="18"/>
              </w:rPr>
            </w:pPr>
            <w:r>
              <w:rPr>
                <w:sz w:val="18"/>
              </w:rPr>
              <w:t>(52,971)</w:t>
            </w:r>
          </w:p>
        </w:tc>
        <w:tc>
          <w:tcPr>
            <w:tcW w:w="1462" w:type="dxa"/>
            <w:tcBorders>
              <w:bottom w:val="single" w:sz="8" w:space="0" w:color="000000"/>
            </w:tcBorders>
          </w:tcPr>
          <w:p>
            <w:pPr>
              <w:pStyle w:val="TableParagraph"/>
              <w:spacing w:before="30"/>
              <w:ind w:right="200"/>
              <w:jc w:val="right"/>
              <w:rPr>
                <w:sz w:val="18"/>
              </w:rPr>
            </w:pPr>
            <w:r>
              <w:rPr>
                <w:w w:val="95"/>
                <w:sz w:val="18"/>
              </w:rPr>
              <w:t>(63,565)</w:t>
            </w:r>
          </w:p>
        </w:tc>
        <w:tc>
          <w:tcPr>
            <w:tcW w:w="1420" w:type="dxa"/>
            <w:tcBorders>
              <w:bottom w:val="single" w:sz="8" w:space="0" w:color="000000"/>
            </w:tcBorders>
          </w:tcPr>
          <w:p>
            <w:pPr>
              <w:pStyle w:val="TableParagraph"/>
              <w:spacing w:before="30"/>
              <w:ind w:right="233"/>
              <w:jc w:val="right"/>
              <w:rPr>
                <w:sz w:val="18"/>
              </w:rPr>
            </w:pPr>
            <w:r>
              <w:rPr>
                <w:w w:val="95"/>
                <w:sz w:val="18"/>
              </w:rPr>
              <w:t>(94,778)</w:t>
            </w:r>
          </w:p>
        </w:tc>
        <w:tc>
          <w:tcPr>
            <w:tcW w:w="1193" w:type="dxa"/>
            <w:tcBorders>
              <w:bottom w:val="single" w:sz="8" w:space="0" w:color="000000"/>
            </w:tcBorders>
          </w:tcPr>
          <w:p>
            <w:pPr>
              <w:pStyle w:val="TableParagraph"/>
              <w:spacing w:before="30"/>
              <w:ind w:right="39"/>
              <w:jc w:val="right"/>
              <w:rPr>
                <w:sz w:val="18"/>
              </w:rPr>
            </w:pPr>
            <w:r>
              <w:rPr>
                <w:w w:val="95"/>
                <w:sz w:val="18"/>
              </w:rPr>
              <w:t>(211,314)</w:t>
            </w:r>
          </w:p>
        </w:tc>
      </w:tr>
      <w:tr>
        <w:trPr>
          <w:trHeight w:val="287" w:hRule="exact"/>
        </w:trPr>
        <w:tc>
          <w:tcPr>
            <w:tcW w:w="4668" w:type="dxa"/>
          </w:tcPr>
          <w:p>
            <w:pPr>
              <w:pStyle w:val="TableParagraph"/>
              <w:spacing w:before="46"/>
              <w:ind w:left="77"/>
              <w:rPr>
                <w:sz w:val="18"/>
              </w:rPr>
            </w:pPr>
            <w:r>
              <w:rPr>
                <w:sz w:val="18"/>
              </w:rPr>
              <w:t>Closing net book amount</w:t>
            </w:r>
          </w:p>
        </w:tc>
        <w:tc>
          <w:tcPr>
            <w:tcW w:w="1444" w:type="dxa"/>
            <w:tcBorders>
              <w:top w:val="single" w:sz="8" w:space="0" w:color="000000"/>
              <w:bottom w:val="single" w:sz="8" w:space="0" w:color="000000"/>
            </w:tcBorders>
          </w:tcPr>
          <w:p>
            <w:pPr>
              <w:pStyle w:val="TableParagraph"/>
              <w:spacing w:before="36"/>
              <w:ind w:right="199"/>
              <w:jc w:val="right"/>
              <w:rPr>
                <w:sz w:val="18"/>
              </w:rPr>
            </w:pPr>
            <w:r>
              <w:rPr>
                <w:w w:val="95"/>
                <w:sz w:val="18"/>
              </w:rPr>
              <w:t>279,525</w:t>
            </w:r>
          </w:p>
        </w:tc>
        <w:tc>
          <w:tcPr>
            <w:tcW w:w="1462" w:type="dxa"/>
            <w:tcBorders>
              <w:top w:val="single" w:sz="8" w:space="0" w:color="000000"/>
              <w:bottom w:val="single" w:sz="8" w:space="0" w:color="000000"/>
            </w:tcBorders>
          </w:tcPr>
          <w:p>
            <w:pPr>
              <w:pStyle w:val="TableParagraph"/>
              <w:spacing w:before="36"/>
              <w:ind w:left="552"/>
              <w:rPr>
                <w:sz w:val="18"/>
              </w:rPr>
            </w:pPr>
            <w:r>
              <w:rPr>
                <w:sz w:val="18"/>
              </w:rPr>
              <w:t>469,228</w:t>
            </w:r>
          </w:p>
        </w:tc>
        <w:tc>
          <w:tcPr>
            <w:tcW w:w="1420" w:type="dxa"/>
            <w:tcBorders>
              <w:top w:val="single" w:sz="8" w:space="0" w:color="000000"/>
              <w:bottom w:val="single" w:sz="8" w:space="0" w:color="000000"/>
            </w:tcBorders>
          </w:tcPr>
          <w:p>
            <w:pPr>
              <w:pStyle w:val="TableParagraph"/>
              <w:spacing w:before="36"/>
              <w:ind w:right="288"/>
              <w:jc w:val="right"/>
              <w:rPr>
                <w:sz w:val="18"/>
              </w:rPr>
            </w:pPr>
            <w:r>
              <w:rPr>
                <w:w w:val="95"/>
                <w:sz w:val="18"/>
              </w:rPr>
              <w:t>284,399</w:t>
            </w:r>
          </w:p>
        </w:tc>
        <w:tc>
          <w:tcPr>
            <w:tcW w:w="1193" w:type="dxa"/>
            <w:tcBorders>
              <w:top w:val="single" w:sz="8" w:space="0" w:color="000000"/>
              <w:bottom w:val="single" w:sz="8" w:space="0" w:color="000000"/>
            </w:tcBorders>
          </w:tcPr>
          <w:p>
            <w:pPr>
              <w:pStyle w:val="TableParagraph"/>
              <w:spacing w:before="36"/>
              <w:ind w:right="94"/>
              <w:jc w:val="right"/>
              <w:rPr>
                <w:sz w:val="18"/>
              </w:rPr>
            </w:pPr>
            <w:r>
              <w:rPr>
                <w:w w:val="95"/>
                <w:sz w:val="18"/>
              </w:rPr>
              <w:t>1,033,152</w:t>
            </w:r>
          </w:p>
        </w:tc>
      </w:tr>
      <w:tr>
        <w:trPr>
          <w:trHeight w:val="589" w:hRule="exact"/>
        </w:trPr>
        <w:tc>
          <w:tcPr>
            <w:tcW w:w="4668" w:type="dxa"/>
          </w:tcPr>
          <w:p>
            <w:pPr>
              <w:pStyle w:val="TableParagraph"/>
              <w:rPr>
                <w:rFonts w:ascii="Times New Roman"/>
                <w:sz w:val="18"/>
              </w:rPr>
            </w:pPr>
          </w:p>
          <w:p>
            <w:pPr>
              <w:pStyle w:val="TableParagraph"/>
              <w:spacing w:before="125"/>
              <w:ind w:left="77"/>
              <w:rPr>
                <w:b/>
                <w:sz w:val="18"/>
              </w:rPr>
            </w:pPr>
            <w:r>
              <w:rPr>
                <w:b/>
                <w:sz w:val="18"/>
              </w:rPr>
              <w:t>At 31 December 2011</w:t>
            </w:r>
          </w:p>
        </w:tc>
        <w:tc>
          <w:tcPr>
            <w:tcW w:w="1444" w:type="dxa"/>
            <w:tcBorders>
              <w:top w:val="single" w:sz="8" w:space="0" w:color="000000"/>
            </w:tcBorders>
          </w:tcPr>
          <w:p>
            <w:pPr/>
          </w:p>
        </w:tc>
        <w:tc>
          <w:tcPr>
            <w:tcW w:w="1462" w:type="dxa"/>
            <w:tcBorders>
              <w:top w:val="single" w:sz="8" w:space="0" w:color="000000"/>
            </w:tcBorders>
          </w:tcPr>
          <w:p>
            <w:pPr/>
          </w:p>
        </w:tc>
        <w:tc>
          <w:tcPr>
            <w:tcW w:w="1420" w:type="dxa"/>
            <w:tcBorders>
              <w:top w:val="single" w:sz="8" w:space="0" w:color="000000"/>
            </w:tcBorders>
          </w:tcPr>
          <w:p>
            <w:pPr/>
          </w:p>
        </w:tc>
        <w:tc>
          <w:tcPr>
            <w:tcW w:w="1193" w:type="dxa"/>
            <w:tcBorders>
              <w:top w:val="single" w:sz="8" w:space="0" w:color="000000"/>
            </w:tcBorders>
          </w:tcPr>
          <w:p>
            <w:pPr/>
          </w:p>
        </w:tc>
      </w:tr>
      <w:tr>
        <w:trPr>
          <w:trHeight w:val="287" w:hRule="exact"/>
        </w:trPr>
        <w:tc>
          <w:tcPr>
            <w:tcW w:w="4668" w:type="dxa"/>
          </w:tcPr>
          <w:p>
            <w:pPr>
              <w:pStyle w:val="TableParagraph"/>
              <w:spacing w:before="30"/>
              <w:ind w:left="77"/>
              <w:rPr>
                <w:sz w:val="18"/>
              </w:rPr>
            </w:pPr>
            <w:r>
              <w:rPr>
                <w:sz w:val="18"/>
              </w:rPr>
              <w:t>Cost</w:t>
            </w:r>
          </w:p>
        </w:tc>
        <w:tc>
          <w:tcPr>
            <w:tcW w:w="1444" w:type="dxa"/>
          </w:tcPr>
          <w:p>
            <w:pPr>
              <w:pStyle w:val="TableParagraph"/>
              <w:spacing w:before="30"/>
              <w:ind w:right="200"/>
              <w:jc w:val="right"/>
              <w:rPr>
                <w:sz w:val="18"/>
              </w:rPr>
            </w:pPr>
            <w:r>
              <w:rPr>
                <w:w w:val="95"/>
                <w:sz w:val="18"/>
              </w:rPr>
              <w:t>717,186</w:t>
            </w:r>
          </w:p>
        </w:tc>
        <w:tc>
          <w:tcPr>
            <w:tcW w:w="1462" w:type="dxa"/>
          </w:tcPr>
          <w:p>
            <w:pPr>
              <w:pStyle w:val="TableParagraph"/>
              <w:spacing w:before="30"/>
              <w:ind w:left="551"/>
              <w:rPr>
                <w:sz w:val="18"/>
              </w:rPr>
            </w:pPr>
            <w:r>
              <w:rPr>
                <w:sz w:val="18"/>
              </w:rPr>
              <w:t>697,232</w:t>
            </w:r>
          </w:p>
        </w:tc>
        <w:tc>
          <w:tcPr>
            <w:tcW w:w="1420" w:type="dxa"/>
          </w:tcPr>
          <w:p>
            <w:pPr>
              <w:pStyle w:val="TableParagraph"/>
              <w:spacing w:before="30"/>
              <w:ind w:right="289"/>
              <w:jc w:val="right"/>
              <w:rPr>
                <w:sz w:val="18"/>
              </w:rPr>
            </w:pPr>
            <w:r>
              <w:rPr>
                <w:w w:val="95"/>
                <w:sz w:val="18"/>
              </w:rPr>
              <w:t>630,710</w:t>
            </w:r>
          </w:p>
        </w:tc>
        <w:tc>
          <w:tcPr>
            <w:tcW w:w="1193" w:type="dxa"/>
          </w:tcPr>
          <w:p>
            <w:pPr>
              <w:pStyle w:val="TableParagraph"/>
              <w:spacing w:before="30"/>
              <w:ind w:right="96"/>
              <w:jc w:val="right"/>
              <w:rPr>
                <w:sz w:val="18"/>
              </w:rPr>
            </w:pPr>
            <w:r>
              <w:rPr>
                <w:w w:val="95"/>
                <w:sz w:val="18"/>
              </w:rPr>
              <w:t>2,045,128</w:t>
            </w:r>
          </w:p>
        </w:tc>
      </w:tr>
      <w:tr>
        <w:trPr>
          <w:trHeight w:val="271" w:hRule="exact"/>
        </w:trPr>
        <w:tc>
          <w:tcPr>
            <w:tcW w:w="4668" w:type="dxa"/>
          </w:tcPr>
          <w:p>
            <w:pPr>
              <w:pStyle w:val="TableParagraph"/>
              <w:spacing w:before="30"/>
              <w:ind w:left="77"/>
              <w:rPr>
                <w:sz w:val="18"/>
              </w:rPr>
            </w:pPr>
            <w:r>
              <w:rPr>
                <w:sz w:val="18"/>
              </w:rPr>
              <w:t>Accumulated depreciation</w:t>
            </w:r>
          </w:p>
        </w:tc>
        <w:tc>
          <w:tcPr>
            <w:tcW w:w="1444" w:type="dxa"/>
            <w:tcBorders>
              <w:bottom w:val="single" w:sz="8" w:space="0" w:color="000000"/>
            </w:tcBorders>
          </w:tcPr>
          <w:p>
            <w:pPr>
              <w:pStyle w:val="TableParagraph"/>
              <w:spacing w:before="30"/>
              <w:ind w:right="143"/>
              <w:jc w:val="right"/>
              <w:rPr>
                <w:sz w:val="18"/>
              </w:rPr>
            </w:pPr>
            <w:r>
              <w:rPr>
                <w:w w:val="95"/>
                <w:sz w:val="18"/>
              </w:rPr>
              <w:t>(437,661)</w:t>
            </w:r>
          </w:p>
        </w:tc>
        <w:tc>
          <w:tcPr>
            <w:tcW w:w="1462" w:type="dxa"/>
            <w:tcBorders>
              <w:bottom w:val="single" w:sz="8" w:space="0" w:color="000000"/>
            </w:tcBorders>
          </w:tcPr>
          <w:p>
            <w:pPr>
              <w:pStyle w:val="TableParagraph"/>
              <w:spacing w:before="30"/>
              <w:ind w:right="200"/>
              <w:jc w:val="right"/>
              <w:rPr>
                <w:sz w:val="18"/>
              </w:rPr>
            </w:pPr>
            <w:r>
              <w:rPr>
                <w:w w:val="95"/>
                <w:sz w:val="18"/>
              </w:rPr>
              <w:t>(228,004)</w:t>
            </w:r>
          </w:p>
        </w:tc>
        <w:tc>
          <w:tcPr>
            <w:tcW w:w="1420" w:type="dxa"/>
            <w:tcBorders>
              <w:bottom w:val="single" w:sz="8" w:space="0" w:color="000000"/>
            </w:tcBorders>
          </w:tcPr>
          <w:p>
            <w:pPr>
              <w:pStyle w:val="TableParagraph"/>
              <w:spacing w:before="30"/>
              <w:ind w:right="233"/>
              <w:jc w:val="right"/>
              <w:rPr>
                <w:sz w:val="18"/>
              </w:rPr>
            </w:pPr>
            <w:r>
              <w:rPr>
                <w:w w:val="95"/>
                <w:sz w:val="18"/>
              </w:rPr>
              <w:t>(346,311)</w:t>
            </w:r>
          </w:p>
        </w:tc>
        <w:tc>
          <w:tcPr>
            <w:tcW w:w="1193" w:type="dxa"/>
            <w:tcBorders>
              <w:bottom w:val="single" w:sz="8" w:space="0" w:color="000000"/>
            </w:tcBorders>
          </w:tcPr>
          <w:p>
            <w:pPr>
              <w:pStyle w:val="TableParagraph"/>
              <w:spacing w:before="30"/>
              <w:ind w:right="40"/>
              <w:jc w:val="right"/>
              <w:rPr>
                <w:sz w:val="18"/>
              </w:rPr>
            </w:pPr>
            <w:r>
              <w:rPr>
                <w:w w:val="95"/>
                <w:sz w:val="18"/>
              </w:rPr>
              <w:t>(1,011,976)</w:t>
            </w:r>
          </w:p>
        </w:tc>
      </w:tr>
      <w:tr>
        <w:trPr>
          <w:trHeight w:val="300" w:hRule="exact"/>
        </w:trPr>
        <w:tc>
          <w:tcPr>
            <w:tcW w:w="4668" w:type="dxa"/>
          </w:tcPr>
          <w:p>
            <w:pPr>
              <w:pStyle w:val="TableParagraph"/>
              <w:spacing w:before="41"/>
              <w:ind w:left="77"/>
              <w:rPr>
                <w:sz w:val="18"/>
              </w:rPr>
            </w:pPr>
            <w:r>
              <w:rPr>
                <w:sz w:val="18"/>
              </w:rPr>
              <w:t>Net book amount</w:t>
            </w:r>
          </w:p>
        </w:tc>
        <w:tc>
          <w:tcPr>
            <w:tcW w:w="1444" w:type="dxa"/>
            <w:tcBorders>
              <w:top w:val="single" w:sz="8" w:space="0" w:color="000000"/>
              <w:bottom w:val="single" w:sz="23" w:space="0" w:color="000000"/>
            </w:tcBorders>
          </w:tcPr>
          <w:p>
            <w:pPr>
              <w:pStyle w:val="TableParagraph"/>
              <w:spacing w:before="31"/>
              <w:ind w:right="199"/>
              <w:jc w:val="right"/>
              <w:rPr>
                <w:sz w:val="18"/>
              </w:rPr>
            </w:pPr>
            <w:r>
              <w:rPr>
                <w:w w:val="95"/>
                <w:sz w:val="18"/>
              </w:rPr>
              <w:t>279,525</w:t>
            </w:r>
          </w:p>
        </w:tc>
        <w:tc>
          <w:tcPr>
            <w:tcW w:w="1462" w:type="dxa"/>
            <w:tcBorders>
              <w:top w:val="single" w:sz="8" w:space="0" w:color="000000"/>
              <w:bottom w:val="single" w:sz="23" w:space="0" w:color="000000"/>
            </w:tcBorders>
          </w:tcPr>
          <w:p>
            <w:pPr>
              <w:pStyle w:val="TableParagraph"/>
              <w:spacing w:before="31"/>
              <w:ind w:left="551"/>
              <w:rPr>
                <w:sz w:val="18"/>
              </w:rPr>
            </w:pPr>
            <w:r>
              <w:rPr>
                <w:sz w:val="18"/>
              </w:rPr>
              <w:t>469,228</w:t>
            </w:r>
          </w:p>
        </w:tc>
        <w:tc>
          <w:tcPr>
            <w:tcW w:w="1420" w:type="dxa"/>
            <w:tcBorders>
              <w:top w:val="single" w:sz="8" w:space="0" w:color="000000"/>
              <w:bottom w:val="single" w:sz="23" w:space="0" w:color="000000"/>
            </w:tcBorders>
          </w:tcPr>
          <w:p>
            <w:pPr>
              <w:pStyle w:val="TableParagraph"/>
              <w:spacing w:before="31"/>
              <w:ind w:right="289"/>
              <w:jc w:val="right"/>
              <w:rPr>
                <w:sz w:val="18"/>
              </w:rPr>
            </w:pPr>
            <w:r>
              <w:rPr>
                <w:w w:val="95"/>
                <w:sz w:val="18"/>
              </w:rPr>
              <w:t>284,399</w:t>
            </w:r>
          </w:p>
        </w:tc>
        <w:tc>
          <w:tcPr>
            <w:tcW w:w="1193" w:type="dxa"/>
            <w:tcBorders>
              <w:top w:val="single" w:sz="8" w:space="0" w:color="000000"/>
              <w:bottom w:val="single" w:sz="23" w:space="0" w:color="000000"/>
            </w:tcBorders>
          </w:tcPr>
          <w:p>
            <w:pPr>
              <w:pStyle w:val="TableParagraph"/>
              <w:spacing w:before="31"/>
              <w:ind w:right="95"/>
              <w:jc w:val="right"/>
              <w:rPr>
                <w:sz w:val="18"/>
              </w:rPr>
            </w:pPr>
            <w:r>
              <w:rPr>
                <w:w w:val="95"/>
                <w:sz w:val="18"/>
              </w:rPr>
              <w:t>1,033,152</w:t>
            </w:r>
          </w:p>
        </w:tc>
      </w:tr>
      <w:tr>
        <w:trPr>
          <w:trHeight w:val="603" w:hRule="exact"/>
        </w:trPr>
        <w:tc>
          <w:tcPr>
            <w:tcW w:w="4668" w:type="dxa"/>
          </w:tcPr>
          <w:p>
            <w:pPr>
              <w:pStyle w:val="TableParagraph"/>
              <w:rPr>
                <w:rFonts w:ascii="Times New Roman"/>
                <w:sz w:val="18"/>
              </w:rPr>
            </w:pPr>
          </w:p>
          <w:p>
            <w:pPr>
              <w:pStyle w:val="TableParagraph"/>
              <w:spacing w:before="139"/>
              <w:ind w:left="76"/>
              <w:rPr>
                <w:b/>
                <w:sz w:val="18"/>
              </w:rPr>
            </w:pPr>
            <w:r>
              <w:rPr>
                <w:b/>
                <w:sz w:val="18"/>
              </w:rPr>
              <w:t>Year ended 31 December 2012</w:t>
            </w:r>
          </w:p>
        </w:tc>
        <w:tc>
          <w:tcPr>
            <w:tcW w:w="1444" w:type="dxa"/>
            <w:tcBorders>
              <w:top w:val="single" w:sz="23" w:space="0" w:color="000000"/>
            </w:tcBorders>
          </w:tcPr>
          <w:p>
            <w:pPr/>
          </w:p>
        </w:tc>
        <w:tc>
          <w:tcPr>
            <w:tcW w:w="1462" w:type="dxa"/>
            <w:tcBorders>
              <w:top w:val="single" w:sz="23" w:space="0" w:color="000000"/>
            </w:tcBorders>
          </w:tcPr>
          <w:p>
            <w:pPr/>
          </w:p>
        </w:tc>
        <w:tc>
          <w:tcPr>
            <w:tcW w:w="1420" w:type="dxa"/>
            <w:tcBorders>
              <w:top w:val="single" w:sz="23" w:space="0" w:color="000000"/>
            </w:tcBorders>
          </w:tcPr>
          <w:p>
            <w:pPr/>
          </w:p>
        </w:tc>
        <w:tc>
          <w:tcPr>
            <w:tcW w:w="1193" w:type="dxa"/>
            <w:tcBorders>
              <w:top w:val="single" w:sz="23" w:space="0" w:color="000000"/>
            </w:tcBorders>
          </w:tcPr>
          <w:p>
            <w:pPr/>
          </w:p>
        </w:tc>
      </w:tr>
      <w:tr>
        <w:trPr>
          <w:trHeight w:val="287" w:hRule="exact"/>
        </w:trPr>
        <w:tc>
          <w:tcPr>
            <w:tcW w:w="4668" w:type="dxa"/>
          </w:tcPr>
          <w:p>
            <w:pPr>
              <w:pStyle w:val="TableParagraph"/>
              <w:spacing w:before="30"/>
              <w:ind w:left="76"/>
              <w:rPr>
                <w:sz w:val="18"/>
              </w:rPr>
            </w:pPr>
            <w:r>
              <w:rPr>
                <w:sz w:val="18"/>
              </w:rPr>
              <w:t>Opening net book amount</w:t>
            </w:r>
          </w:p>
        </w:tc>
        <w:tc>
          <w:tcPr>
            <w:tcW w:w="1444" w:type="dxa"/>
          </w:tcPr>
          <w:p>
            <w:pPr>
              <w:pStyle w:val="TableParagraph"/>
              <w:spacing w:before="30"/>
              <w:ind w:right="202"/>
              <w:jc w:val="right"/>
              <w:rPr>
                <w:b/>
                <w:sz w:val="18"/>
              </w:rPr>
            </w:pPr>
            <w:r>
              <w:rPr>
                <w:b/>
                <w:w w:val="95"/>
                <w:sz w:val="18"/>
              </w:rPr>
              <w:t>279,525</w:t>
            </w:r>
          </w:p>
        </w:tc>
        <w:tc>
          <w:tcPr>
            <w:tcW w:w="1462" w:type="dxa"/>
          </w:tcPr>
          <w:p>
            <w:pPr>
              <w:pStyle w:val="TableParagraph"/>
              <w:spacing w:before="30"/>
              <w:ind w:left="551"/>
              <w:rPr>
                <w:b/>
                <w:sz w:val="18"/>
              </w:rPr>
            </w:pPr>
            <w:r>
              <w:rPr>
                <w:b/>
                <w:sz w:val="18"/>
              </w:rPr>
              <w:t>469,228</w:t>
            </w:r>
          </w:p>
        </w:tc>
        <w:tc>
          <w:tcPr>
            <w:tcW w:w="1420" w:type="dxa"/>
          </w:tcPr>
          <w:p>
            <w:pPr>
              <w:pStyle w:val="TableParagraph"/>
              <w:spacing w:before="30"/>
              <w:ind w:right="289"/>
              <w:jc w:val="right"/>
              <w:rPr>
                <w:b/>
                <w:sz w:val="18"/>
              </w:rPr>
            </w:pPr>
            <w:r>
              <w:rPr>
                <w:b/>
                <w:w w:val="95"/>
                <w:sz w:val="18"/>
              </w:rPr>
              <w:t>284,399</w:t>
            </w:r>
          </w:p>
        </w:tc>
        <w:tc>
          <w:tcPr>
            <w:tcW w:w="1193" w:type="dxa"/>
          </w:tcPr>
          <w:p>
            <w:pPr>
              <w:pStyle w:val="TableParagraph"/>
              <w:spacing w:before="30"/>
              <w:ind w:right="95"/>
              <w:jc w:val="right"/>
              <w:rPr>
                <w:b/>
                <w:sz w:val="18"/>
              </w:rPr>
            </w:pPr>
            <w:r>
              <w:rPr>
                <w:b/>
                <w:w w:val="95"/>
                <w:sz w:val="18"/>
              </w:rPr>
              <w:t>1,033,152</w:t>
            </w:r>
          </w:p>
        </w:tc>
      </w:tr>
      <w:tr>
        <w:trPr>
          <w:trHeight w:val="287" w:hRule="exact"/>
        </w:trPr>
        <w:tc>
          <w:tcPr>
            <w:tcW w:w="4668" w:type="dxa"/>
          </w:tcPr>
          <w:p>
            <w:pPr>
              <w:pStyle w:val="TableParagraph"/>
              <w:spacing w:before="30"/>
              <w:ind w:left="76"/>
              <w:rPr>
                <w:sz w:val="18"/>
              </w:rPr>
            </w:pPr>
            <w:r>
              <w:rPr>
                <w:sz w:val="18"/>
              </w:rPr>
              <w:t>Write offs</w:t>
            </w:r>
          </w:p>
        </w:tc>
        <w:tc>
          <w:tcPr>
            <w:tcW w:w="1444" w:type="dxa"/>
          </w:tcPr>
          <w:p>
            <w:pPr>
              <w:pStyle w:val="TableParagraph"/>
              <w:spacing w:before="30"/>
              <w:ind w:right="142"/>
              <w:jc w:val="right"/>
              <w:rPr>
                <w:b/>
                <w:sz w:val="18"/>
              </w:rPr>
            </w:pPr>
            <w:r>
              <w:rPr>
                <w:b/>
                <w:w w:val="95"/>
                <w:sz w:val="18"/>
              </w:rPr>
              <w:t>(3,575)</w:t>
            </w:r>
          </w:p>
        </w:tc>
        <w:tc>
          <w:tcPr>
            <w:tcW w:w="1462" w:type="dxa"/>
          </w:tcPr>
          <w:p>
            <w:pPr>
              <w:pStyle w:val="TableParagraph"/>
              <w:spacing w:before="30"/>
              <w:ind w:right="201"/>
              <w:jc w:val="right"/>
              <w:rPr>
                <w:b/>
                <w:sz w:val="18"/>
              </w:rPr>
            </w:pPr>
            <w:r>
              <w:rPr>
                <w:b/>
                <w:sz w:val="18"/>
              </w:rPr>
              <w:t>(1,360)</w:t>
            </w:r>
          </w:p>
        </w:tc>
        <w:tc>
          <w:tcPr>
            <w:tcW w:w="1420" w:type="dxa"/>
          </w:tcPr>
          <w:p>
            <w:pPr>
              <w:pStyle w:val="TableParagraph"/>
              <w:spacing w:before="30"/>
              <w:ind w:left="369"/>
              <w:jc w:val="center"/>
              <w:rPr>
                <w:b/>
                <w:sz w:val="18"/>
              </w:rPr>
            </w:pPr>
            <w:r>
              <w:rPr>
                <w:b/>
                <w:w w:val="99"/>
                <w:sz w:val="18"/>
              </w:rPr>
              <w:t>-</w:t>
            </w:r>
          </w:p>
        </w:tc>
        <w:tc>
          <w:tcPr>
            <w:tcW w:w="1193" w:type="dxa"/>
          </w:tcPr>
          <w:p>
            <w:pPr>
              <w:pStyle w:val="TableParagraph"/>
              <w:spacing w:before="30"/>
              <w:ind w:right="36"/>
              <w:jc w:val="right"/>
              <w:rPr>
                <w:b/>
                <w:sz w:val="18"/>
              </w:rPr>
            </w:pPr>
            <w:r>
              <w:rPr>
                <w:b/>
                <w:w w:val="95"/>
                <w:sz w:val="18"/>
              </w:rPr>
              <w:t>(4,935)</w:t>
            </w:r>
          </w:p>
        </w:tc>
      </w:tr>
      <w:tr>
        <w:trPr>
          <w:trHeight w:val="287" w:hRule="exact"/>
        </w:trPr>
        <w:tc>
          <w:tcPr>
            <w:tcW w:w="4668" w:type="dxa"/>
          </w:tcPr>
          <w:p>
            <w:pPr>
              <w:pStyle w:val="TableParagraph"/>
              <w:spacing w:before="30"/>
              <w:ind w:left="76"/>
              <w:rPr>
                <w:sz w:val="18"/>
              </w:rPr>
            </w:pPr>
            <w:r>
              <w:rPr>
                <w:sz w:val="18"/>
              </w:rPr>
              <w:t>Additions</w:t>
            </w:r>
          </w:p>
        </w:tc>
        <w:tc>
          <w:tcPr>
            <w:tcW w:w="1444" w:type="dxa"/>
          </w:tcPr>
          <w:p>
            <w:pPr>
              <w:pStyle w:val="TableParagraph"/>
              <w:spacing w:before="30"/>
              <w:ind w:right="202"/>
              <w:jc w:val="right"/>
              <w:rPr>
                <w:b/>
                <w:sz w:val="18"/>
              </w:rPr>
            </w:pPr>
            <w:r>
              <w:rPr>
                <w:b/>
                <w:sz w:val="18"/>
              </w:rPr>
              <w:t>8,221</w:t>
            </w:r>
          </w:p>
        </w:tc>
        <w:tc>
          <w:tcPr>
            <w:tcW w:w="1462" w:type="dxa"/>
          </w:tcPr>
          <w:p>
            <w:pPr>
              <w:pStyle w:val="TableParagraph"/>
              <w:spacing w:before="30"/>
              <w:ind w:left="939"/>
              <w:rPr>
                <w:b/>
                <w:sz w:val="18"/>
              </w:rPr>
            </w:pPr>
            <w:r>
              <w:rPr>
                <w:b/>
                <w:w w:val="99"/>
                <w:sz w:val="18"/>
              </w:rPr>
              <w:t>-</w:t>
            </w:r>
          </w:p>
        </w:tc>
        <w:tc>
          <w:tcPr>
            <w:tcW w:w="1420" w:type="dxa"/>
          </w:tcPr>
          <w:p>
            <w:pPr>
              <w:pStyle w:val="TableParagraph"/>
              <w:spacing w:before="30"/>
              <w:ind w:right="289"/>
              <w:jc w:val="right"/>
              <w:rPr>
                <w:b/>
                <w:sz w:val="18"/>
              </w:rPr>
            </w:pPr>
            <w:r>
              <w:rPr>
                <w:b/>
                <w:w w:val="95"/>
                <w:sz w:val="18"/>
              </w:rPr>
              <w:t>49,893</w:t>
            </w:r>
          </w:p>
        </w:tc>
        <w:tc>
          <w:tcPr>
            <w:tcW w:w="1193" w:type="dxa"/>
          </w:tcPr>
          <w:p>
            <w:pPr>
              <w:pStyle w:val="TableParagraph"/>
              <w:spacing w:before="30"/>
              <w:ind w:right="95"/>
              <w:jc w:val="right"/>
              <w:rPr>
                <w:b/>
                <w:sz w:val="18"/>
              </w:rPr>
            </w:pPr>
            <w:r>
              <w:rPr>
                <w:b/>
                <w:w w:val="95"/>
                <w:sz w:val="18"/>
              </w:rPr>
              <w:t>58,114</w:t>
            </w:r>
          </w:p>
        </w:tc>
      </w:tr>
      <w:tr>
        <w:trPr>
          <w:trHeight w:val="287" w:hRule="exact"/>
        </w:trPr>
        <w:tc>
          <w:tcPr>
            <w:tcW w:w="4668" w:type="dxa"/>
          </w:tcPr>
          <w:p>
            <w:pPr>
              <w:pStyle w:val="TableParagraph"/>
              <w:spacing w:before="30"/>
              <w:ind w:left="76"/>
              <w:rPr>
                <w:sz w:val="18"/>
              </w:rPr>
            </w:pPr>
            <w:r>
              <w:rPr>
                <w:sz w:val="18"/>
              </w:rPr>
              <w:t>Disposals</w:t>
            </w:r>
          </w:p>
        </w:tc>
        <w:tc>
          <w:tcPr>
            <w:tcW w:w="1444" w:type="dxa"/>
          </w:tcPr>
          <w:p>
            <w:pPr>
              <w:pStyle w:val="TableParagraph"/>
              <w:spacing w:before="30"/>
              <w:ind w:right="401"/>
              <w:jc w:val="right"/>
              <w:rPr>
                <w:b/>
                <w:sz w:val="18"/>
              </w:rPr>
            </w:pPr>
            <w:r>
              <w:rPr>
                <w:b/>
                <w:w w:val="99"/>
                <w:sz w:val="18"/>
              </w:rPr>
              <w:t>-</w:t>
            </w:r>
          </w:p>
        </w:tc>
        <w:tc>
          <w:tcPr>
            <w:tcW w:w="1462" w:type="dxa"/>
          </w:tcPr>
          <w:p>
            <w:pPr>
              <w:pStyle w:val="TableParagraph"/>
              <w:spacing w:before="30"/>
              <w:ind w:left="939"/>
              <w:rPr>
                <w:b/>
                <w:sz w:val="18"/>
              </w:rPr>
            </w:pPr>
            <w:r>
              <w:rPr>
                <w:b/>
                <w:w w:val="99"/>
                <w:sz w:val="18"/>
              </w:rPr>
              <w:t>-</w:t>
            </w:r>
          </w:p>
        </w:tc>
        <w:tc>
          <w:tcPr>
            <w:tcW w:w="1420" w:type="dxa"/>
          </w:tcPr>
          <w:p>
            <w:pPr>
              <w:pStyle w:val="TableParagraph"/>
              <w:spacing w:before="30"/>
              <w:ind w:right="230"/>
              <w:jc w:val="right"/>
              <w:rPr>
                <w:b/>
                <w:sz w:val="18"/>
              </w:rPr>
            </w:pPr>
            <w:r>
              <w:rPr>
                <w:b/>
                <w:w w:val="95"/>
                <w:sz w:val="18"/>
              </w:rPr>
              <w:t>(16,192)</w:t>
            </w:r>
          </w:p>
        </w:tc>
        <w:tc>
          <w:tcPr>
            <w:tcW w:w="1193" w:type="dxa"/>
          </w:tcPr>
          <w:p>
            <w:pPr>
              <w:pStyle w:val="TableParagraph"/>
              <w:spacing w:before="30"/>
              <w:ind w:right="34"/>
              <w:jc w:val="right"/>
              <w:rPr>
                <w:b/>
                <w:sz w:val="18"/>
              </w:rPr>
            </w:pPr>
            <w:r>
              <w:rPr>
                <w:b/>
                <w:w w:val="95"/>
                <w:sz w:val="18"/>
              </w:rPr>
              <w:t>(16,192)</w:t>
            </w:r>
          </w:p>
        </w:tc>
      </w:tr>
      <w:tr>
        <w:trPr>
          <w:trHeight w:val="272" w:hRule="exact"/>
        </w:trPr>
        <w:tc>
          <w:tcPr>
            <w:tcW w:w="4668" w:type="dxa"/>
          </w:tcPr>
          <w:p>
            <w:pPr>
              <w:pStyle w:val="TableParagraph"/>
              <w:spacing w:before="30"/>
              <w:ind w:left="76"/>
              <w:rPr>
                <w:sz w:val="18"/>
              </w:rPr>
            </w:pPr>
            <w:r>
              <w:rPr>
                <w:sz w:val="18"/>
              </w:rPr>
              <w:t>Depreciation charge</w:t>
            </w:r>
          </w:p>
        </w:tc>
        <w:tc>
          <w:tcPr>
            <w:tcW w:w="1444" w:type="dxa"/>
            <w:tcBorders>
              <w:bottom w:val="single" w:sz="8" w:space="0" w:color="000000"/>
            </w:tcBorders>
          </w:tcPr>
          <w:p>
            <w:pPr>
              <w:pStyle w:val="TableParagraph"/>
              <w:spacing w:before="30"/>
              <w:ind w:right="143"/>
              <w:jc w:val="right"/>
              <w:rPr>
                <w:b/>
                <w:sz w:val="18"/>
              </w:rPr>
            </w:pPr>
            <w:r>
              <w:rPr>
                <w:b/>
                <w:sz w:val="18"/>
              </w:rPr>
              <w:t>(92,509)</w:t>
            </w:r>
          </w:p>
        </w:tc>
        <w:tc>
          <w:tcPr>
            <w:tcW w:w="1462" w:type="dxa"/>
            <w:tcBorders>
              <w:bottom w:val="single" w:sz="8" w:space="0" w:color="000000"/>
            </w:tcBorders>
          </w:tcPr>
          <w:p>
            <w:pPr>
              <w:pStyle w:val="TableParagraph"/>
              <w:spacing w:before="30"/>
              <w:ind w:right="202"/>
              <w:jc w:val="right"/>
              <w:rPr>
                <w:b/>
                <w:sz w:val="18"/>
              </w:rPr>
            </w:pPr>
            <w:r>
              <w:rPr>
                <w:b/>
                <w:w w:val="95"/>
                <w:sz w:val="18"/>
              </w:rPr>
              <w:t>(67,489)</w:t>
            </w:r>
          </w:p>
        </w:tc>
        <w:tc>
          <w:tcPr>
            <w:tcW w:w="1420" w:type="dxa"/>
            <w:tcBorders>
              <w:bottom w:val="single" w:sz="8" w:space="0" w:color="000000"/>
            </w:tcBorders>
          </w:tcPr>
          <w:p>
            <w:pPr>
              <w:pStyle w:val="TableParagraph"/>
              <w:spacing w:before="30"/>
              <w:ind w:right="234"/>
              <w:jc w:val="right"/>
              <w:rPr>
                <w:b/>
                <w:sz w:val="18"/>
              </w:rPr>
            </w:pPr>
            <w:r>
              <w:rPr>
                <w:b/>
                <w:w w:val="95"/>
                <w:sz w:val="18"/>
              </w:rPr>
              <w:t>(79,132)</w:t>
            </w:r>
          </w:p>
        </w:tc>
        <w:tc>
          <w:tcPr>
            <w:tcW w:w="1193" w:type="dxa"/>
            <w:tcBorders>
              <w:bottom w:val="single" w:sz="8" w:space="0" w:color="000000"/>
            </w:tcBorders>
          </w:tcPr>
          <w:p>
            <w:pPr>
              <w:pStyle w:val="TableParagraph"/>
              <w:spacing w:before="30"/>
              <w:ind w:right="40"/>
              <w:jc w:val="right"/>
              <w:rPr>
                <w:b/>
                <w:sz w:val="18"/>
              </w:rPr>
            </w:pPr>
            <w:r>
              <w:rPr>
                <w:b/>
                <w:w w:val="95"/>
                <w:sz w:val="18"/>
              </w:rPr>
              <w:t>(239,130)</w:t>
            </w:r>
          </w:p>
        </w:tc>
      </w:tr>
      <w:tr>
        <w:trPr>
          <w:trHeight w:val="287" w:hRule="exact"/>
        </w:trPr>
        <w:tc>
          <w:tcPr>
            <w:tcW w:w="4668" w:type="dxa"/>
          </w:tcPr>
          <w:p>
            <w:pPr>
              <w:pStyle w:val="TableParagraph"/>
              <w:spacing w:before="45"/>
              <w:ind w:left="76"/>
              <w:rPr>
                <w:sz w:val="18"/>
              </w:rPr>
            </w:pPr>
            <w:r>
              <w:rPr>
                <w:sz w:val="18"/>
              </w:rPr>
              <w:t>Closing net book amount</w:t>
            </w:r>
          </w:p>
        </w:tc>
        <w:tc>
          <w:tcPr>
            <w:tcW w:w="1444" w:type="dxa"/>
            <w:tcBorders>
              <w:top w:val="single" w:sz="8" w:space="0" w:color="000000"/>
              <w:bottom w:val="single" w:sz="8" w:space="0" w:color="000000"/>
            </w:tcBorders>
          </w:tcPr>
          <w:p>
            <w:pPr>
              <w:pStyle w:val="TableParagraph"/>
              <w:spacing w:before="35"/>
              <w:ind w:right="202"/>
              <w:jc w:val="right"/>
              <w:rPr>
                <w:b/>
                <w:sz w:val="18"/>
              </w:rPr>
            </w:pPr>
            <w:r>
              <w:rPr>
                <w:b/>
                <w:w w:val="95"/>
                <w:sz w:val="18"/>
              </w:rPr>
              <w:t>191,662</w:t>
            </w:r>
          </w:p>
        </w:tc>
        <w:tc>
          <w:tcPr>
            <w:tcW w:w="1462" w:type="dxa"/>
            <w:tcBorders>
              <w:top w:val="single" w:sz="8" w:space="0" w:color="000000"/>
              <w:bottom w:val="single" w:sz="8" w:space="0" w:color="000000"/>
            </w:tcBorders>
          </w:tcPr>
          <w:p>
            <w:pPr>
              <w:pStyle w:val="TableParagraph"/>
              <w:spacing w:before="35"/>
              <w:ind w:left="550"/>
              <w:rPr>
                <w:b/>
                <w:sz w:val="18"/>
              </w:rPr>
            </w:pPr>
            <w:r>
              <w:rPr>
                <w:b/>
                <w:sz w:val="18"/>
              </w:rPr>
              <w:t>400,379</w:t>
            </w:r>
          </w:p>
        </w:tc>
        <w:tc>
          <w:tcPr>
            <w:tcW w:w="1420" w:type="dxa"/>
            <w:tcBorders>
              <w:top w:val="single" w:sz="8" w:space="0" w:color="000000"/>
              <w:bottom w:val="single" w:sz="8" w:space="0" w:color="000000"/>
            </w:tcBorders>
          </w:tcPr>
          <w:p>
            <w:pPr>
              <w:pStyle w:val="TableParagraph"/>
              <w:spacing w:before="35"/>
              <w:ind w:right="290"/>
              <w:jc w:val="right"/>
              <w:rPr>
                <w:b/>
                <w:sz w:val="18"/>
              </w:rPr>
            </w:pPr>
            <w:r>
              <w:rPr>
                <w:b/>
                <w:w w:val="95"/>
                <w:sz w:val="18"/>
              </w:rPr>
              <w:t>238,968</w:t>
            </w:r>
          </w:p>
        </w:tc>
        <w:tc>
          <w:tcPr>
            <w:tcW w:w="1193" w:type="dxa"/>
            <w:tcBorders>
              <w:top w:val="single" w:sz="8" w:space="0" w:color="000000"/>
              <w:bottom w:val="single" w:sz="8" w:space="0" w:color="000000"/>
            </w:tcBorders>
          </w:tcPr>
          <w:p>
            <w:pPr>
              <w:pStyle w:val="TableParagraph"/>
              <w:spacing w:before="35"/>
              <w:ind w:right="96"/>
              <w:jc w:val="right"/>
              <w:rPr>
                <w:b/>
                <w:sz w:val="18"/>
              </w:rPr>
            </w:pPr>
            <w:r>
              <w:rPr>
                <w:b/>
                <w:w w:val="95"/>
                <w:sz w:val="18"/>
              </w:rPr>
              <w:t>831,009</w:t>
            </w:r>
          </w:p>
        </w:tc>
      </w:tr>
      <w:tr>
        <w:trPr>
          <w:trHeight w:val="588" w:hRule="exact"/>
        </w:trPr>
        <w:tc>
          <w:tcPr>
            <w:tcW w:w="4668" w:type="dxa"/>
          </w:tcPr>
          <w:p>
            <w:pPr>
              <w:pStyle w:val="TableParagraph"/>
              <w:rPr>
                <w:rFonts w:ascii="Times New Roman"/>
                <w:sz w:val="18"/>
              </w:rPr>
            </w:pPr>
          </w:p>
          <w:p>
            <w:pPr>
              <w:pStyle w:val="TableParagraph"/>
              <w:spacing w:before="125"/>
              <w:ind w:left="75"/>
              <w:rPr>
                <w:b/>
                <w:sz w:val="18"/>
              </w:rPr>
            </w:pPr>
            <w:r>
              <w:rPr>
                <w:b/>
                <w:sz w:val="18"/>
              </w:rPr>
              <w:t>At 31 December 2012</w:t>
            </w:r>
          </w:p>
        </w:tc>
        <w:tc>
          <w:tcPr>
            <w:tcW w:w="1444" w:type="dxa"/>
            <w:tcBorders>
              <w:top w:val="single" w:sz="8" w:space="0" w:color="000000"/>
            </w:tcBorders>
          </w:tcPr>
          <w:p>
            <w:pPr/>
          </w:p>
        </w:tc>
        <w:tc>
          <w:tcPr>
            <w:tcW w:w="1462" w:type="dxa"/>
            <w:tcBorders>
              <w:top w:val="single" w:sz="8" w:space="0" w:color="000000"/>
            </w:tcBorders>
          </w:tcPr>
          <w:p>
            <w:pPr/>
          </w:p>
        </w:tc>
        <w:tc>
          <w:tcPr>
            <w:tcW w:w="1420" w:type="dxa"/>
            <w:tcBorders>
              <w:top w:val="single" w:sz="8" w:space="0" w:color="000000"/>
            </w:tcBorders>
          </w:tcPr>
          <w:p>
            <w:pPr/>
          </w:p>
        </w:tc>
        <w:tc>
          <w:tcPr>
            <w:tcW w:w="1193" w:type="dxa"/>
            <w:tcBorders>
              <w:top w:val="single" w:sz="8" w:space="0" w:color="000000"/>
            </w:tcBorders>
          </w:tcPr>
          <w:p>
            <w:pPr/>
          </w:p>
        </w:tc>
      </w:tr>
      <w:tr>
        <w:trPr>
          <w:trHeight w:val="287" w:hRule="exact"/>
        </w:trPr>
        <w:tc>
          <w:tcPr>
            <w:tcW w:w="4668" w:type="dxa"/>
          </w:tcPr>
          <w:p>
            <w:pPr>
              <w:pStyle w:val="TableParagraph"/>
              <w:spacing w:before="30"/>
              <w:ind w:left="75"/>
              <w:rPr>
                <w:sz w:val="18"/>
              </w:rPr>
            </w:pPr>
            <w:r>
              <w:rPr>
                <w:sz w:val="18"/>
              </w:rPr>
              <w:t>Cost</w:t>
            </w:r>
          </w:p>
        </w:tc>
        <w:tc>
          <w:tcPr>
            <w:tcW w:w="1444" w:type="dxa"/>
          </w:tcPr>
          <w:p>
            <w:pPr>
              <w:pStyle w:val="TableParagraph"/>
              <w:spacing w:before="30"/>
              <w:ind w:right="203"/>
              <w:jc w:val="right"/>
              <w:rPr>
                <w:b/>
                <w:sz w:val="18"/>
              </w:rPr>
            </w:pPr>
            <w:r>
              <w:rPr>
                <w:b/>
                <w:w w:val="95"/>
                <w:sz w:val="18"/>
              </w:rPr>
              <w:t>712,924</w:t>
            </w:r>
          </w:p>
        </w:tc>
        <w:tc>
          <w:tcPr>
            <w:tcW w:w="1462" w:type="dxa"/>
          </w:tcPr>
          <w:p>
            <w:pPr>
              <w:pStyle w:val="TableParagraph"/>
              <w:spacing w:before="30"/>
              <w:ind w:left="549"/>
              <w:rPr>
                <w:b/>
                <w:sz w:val="18"/>
              </w:rPr>
            </w:pPr>
            <w:r>
              <w:rPr>
                <w:b/>
                <w:sz w:val="18"/>
              </w:rPr>
              <w:t>691,525</w:t>
            </w:r>
          </w:p>
        </w:tc>
        <w:tc>
          <w:tcPr>
            <w:tcW w:w="1420" w:type="dxa"/>
          </w:tcPr>
          <w:p>
            <w:pPr>
              <w:pStyle w:val="TableParagraph"/>
              <w:spacing w:before="30"/>
              <w:ind w:right="291"/>
              <w:jc w:val="right"/>
              <w:rPr>
                <w:b/>
                <w:sz w:val="18"/>
              </w:rPr>
            </w:pPr>
            <w:r>
              <w:rPr>
                <w:b/>
                <w:w w:val="95"/>
                <w:sz w:val="18"/>
              </w:rPr>
              <w:t>583,613</w:t>
            </w:r>
          </w:p>
        </w:tc>
        <w:tc>
          <w:tcPr>
            <w:tcW w:w="1193" w:type="dxa"/>
          </w:tcPr>
          <w:p>
            <w:pPr>
              <w:pStyle w:val="TableParagraph"/>
              <w:spacing w:before="30"/>
              <w:ind w:right="96"/>
              <w:jc w:val="right"/>
              <w:rPr>
                <w:b/>
                <w:sz w:val="18"/>
              </w:rPr>
            </w:pPr>
            <w:r>
              <w:rPr>
                <w:b/>
                <w:w w:val="95"/>
                <w:sz w:val="18"/>
              </w:rPr>
              <w:t>1,988,062</w:t>
            </w:r>
          </w:p>
        </w:tc>
      </w:tr>
      <w:tr>
        <w:trPr>
          <w:trHeight w:val="272" w:hRule="exact"/>
        </w:trPr>
        <w:tc>
          <w:tcPr>
            <w:tcW w:w="4668" w:type="dxa"/>
          </w:tcPr>
          <w:p>
            <w:pPr>
              <w:pStyle w:val="TableParagraph"/>
              <w:spacing w:before="30"/>
              <w:ind w:left="75"/>
              <w:rPr>
                <w:sz w:val="18"/>
              </w:rPr>
            </w:pPr>
            <w:r>
              <w:rPr>
                <w:sz w:val="18"/>
              </w:rPr>
              <w:t>Accumulated depreciation</w:t>
            </w:r>
          </w:p>
        </w:tc>
        <w:tc>
          <w:tcPr>
            <w:tcW w:w="1444" w:type="dxa"/>
            <w:tcBorders>
              <w:bottom w:val="single" w:sz="8" w:space="0" w:color="000000"/>
            </w:tcBorders>
          </w:tcPr>
          <w:p>
            <w:pPr>
              <w:pStyle w:val="TableParagraph"/>
              <w:spacing w:before="30"/>
              <w:ind w:right="144"/>
              <w:jc w:val="right"/>
              <w:rPr>
                <w:b/>
                <w:sz w:val="18"/>
              </w:rPr>
            </w:pPr>
            <w:r>
              <w:rPr>
                <w:b/>
                <w:sz w:val="18"/>
              </w:rPr>
              <w:t>(521,262)</w:t>
            </w:r>
          </w:p>
        </w:tc>
        <w:tc>
          <w:tcPr>
            <w:tcW w:w="1462" w:type="dxa"/>
            <w:tcBorders>
              <w:bottom w:val="single" w:sz="8" w:space="0" w:color="000000"/>
            </w:tcBorders>
          </w:tcPr>
          <w:p>
            <w:pPr>
              <w:pStyle w:val="TableParagraph"/>
              <w:spacing w:before="30"/>
              <w:ind w:right="203"/>
              <w:jc w:val="right"/>
              <w:rPr>
                <w:b/>
                <w:sz w:val="18"/>
              </w:rPr>
            </w:pPr>
            <w:r>
              <w:rPr>
                <w:b/>
                <w:w w:val="95"/>
                <w:sz w:val="18"/>
              </w:rPr>
              <w:t>(291,146)</w:t>
            </w:r>
          </w:p>
        </w:tc>
        <w:tc>
          <w:tcPr>
            <w:tcW w:w="1420" w:type="dxa"/>
            <w:tcBorders>
              <w:bottom w:val="single" w:sz="8" w:space="0" w:color="000000"/>
            </w:tcBorders>
          </w:tcPr>
          <w:p>
            <w:pPr>
              <w:pStyle w:val="TableParagraph"/>
              <w:spacing w:before="30"/>
              <w:ind w:right="234"/>
              <w:jc w:val="right"/>
              <w:rPr>
                <w:b/>
                <w:sz w:val="18"/>
              </w:rPr>
            </w:pPr>
            <w:r>
              <w:rPr>
                <w:b/>
                <w:sz w:val="18"/>
              </w:rPr>
              <w:t>(344,645)</w:t>
            </w:r>
          </w:p>
        </w:tc>
        <w:tc>
          <w:tcPr>
            <w:tcW w:w="1193" w:type="dxa"/>
            <w:tcBorders>
              <w:bottom w:val="single" w:sz="8" w:space="0" w:color="000000"/>
            </w:tcBorders>
          </w:tcPr>
          <w:p>
            <w:pPr>
              <w:pStyle w:val="TableParagraph"/>
              <w:spacing w:before="30"/>
              <w:ind w:right="41"/>
              <w:jc w:val="right"/>
              <w:rPr>
                <w:b/>
                <w:sz w:val="18"/>
              </w:rPr>
            </w:pPr>
            <w:r>
              <w:rPr>
                <w:b/>
                <w:w w:val="95"/>
                <w:sz w:val="18"/>
              </w:rPr>
              <w:t>(1,157,053)</w:t>
            </w:r>
          </w:p>
        </w:tc>
      </w:tr>
      <w:tr>
        <w:trPr>
          <w:trHeight w:val="302" w:hRule="exact"/>
        </w:trPr>
        <w:tc>
          <w:tcPr>
            <w:tcW w:w="4668" w:type="dxa"/>
          </w:tcPr>
          <w:p>
            <w:pPr>
              <w:pStyle w:val="TableParagraph"/>
              <w:spacing w:before="40"/>
              <w:ind w:left="75"/>
              <w:rPr>
                <w:sz w:val="18"/>
              </w:rPr>
            </w:pPr>
            <w:r>
              <w:rPr>
                <w:sz w:val="18"/>
              </w:rPr>
              <w:t>Net book amount</w:t>
            </w:r>
          </w:p>
        </w:tc>
        <w:tc>
          <w:tcPr>
            <w:tcW w:w="1444" w:type="dxa"/>
            <w:tcBorders>
              <w:top w:val="single" w:sz="8" w:space="0" w:color="000000"/>
              <w:bottom w:val="single" w:sz="23" w:space="0" w:color="000000"/>
            </w:tcBorders>
          </w:tcPr>
          <w:p>
            <w:pPr>
              <w:pStyle w:val="TableParagraph"/>
              <w:spacing w:before="30"/>
              <w:ind w:right="203"/>
              <w:jc w:val="right"/>
              <w:rPr>
                <w:b/>
                <w:sz w:val="18"/>
              </w:rPr>
            </w:pPr>
            <w:r>
              <w:rPr>
                <w:b/>
                <w:w w:val="95"/>
                <w:sz w:val="18"/>
              </w:rPr>
              <w:t>191,662</w:t>
            </w:r>
          </w:p>
        </w:tc>
        <w:tc>
          <w:tcPr>
            <w:tcW w:w="1462" w:type="dxa"/>
            <w:tcBorders>
              <w:top w:val="single" w:sz="8" w:space="0" w:color="000000"/>
              <w:bottom w:val="single" w:sz="23" w:space="0" w:color="000000"/>
            </w:tcBorders>
          </w:tcPr>
          <w:p>
            <w:pPr>
              <w:pStyle w:val="TableParagraph"/>
              <w:spacing w:before="30"/>
              <w:ind w:left="549"/>
              <w:rPr>
                <w:b/>
                <w:sz w:val="18"/>
              </w:rPr>
            </w:pPr>
            <w:r>
              <w:rPr>
                <w:b/>
                <w:sz w:val="18"/>
              </w:rPr>
              <w:t>400,379</w:t>
            </w:r>
          </w:p>
        </w:tc>
        <w:tc>
          <w:tcPr>
            <w:tcW w:w="1420" w:type="dxa"/>
            <w:tcBorders>
              <w:top w:val="single" w:sz="8" w:space="0" w:color="000000"/>
              <w:bottom w:val="single" w:sz="23" w:space="0" w:color="000000"/>
            </w:tcBorders>
          </w:tcPr>
          <w:p>
            <w:pPr>
              <w:pStyle w:val="TableParagraph"/>
              <w:spacing w:before="30"/>
              <w:ind w:right="291"/>
              <w:jc w:val="right"/>
              <w:rPr>
                <w:b/>
                <w:sz w:val="18"/>
              </w:rPr>
            </w:pPr>
            <w:r>
              <w:rPr>
                <w:b/>
                <w:w w:val="95"/>
                <w:sz w:val="18"/>
              </w:rPr>
              <w:t>238,968</w:t>
            </w:r>
          </w:p>
        </w:tc>
        <w:tc>
          <w:tcPr>
            <w:tcW w:w="1193" w:type="dxa"/>
            <w:tcBorders>
              <w:top w:val="single" w:sz="8" w:space="0" w:color="000000"/>
              <w:bottom w:val="single" w:sz="23" w:space="0" w:color="000000"/>
            </w:tcBorders>
          </w:tcPr>
          <w:p>
            <w:pPr>
              <w:pStyle w:val="TableParagraph"/>
              <w:spacing w:before="31"/>
              <w:ind w:right="97"/>
              <w:jc w:val="right"/>
              <w:rPr>
                <w:b/>
                <w:sz w:val="18"/>
              </w:rPr>
            </w:pPr>
            <w:r>
              <w:rPr>
                <w:b/>
                <w:w w:val="95"/>
                <w:sz w:val="18"/>
              </w:rPr>
              <w:t>831,009</w:t>
            </w:r>
          </w:p>
        </w:tc>
      </w:tr>
    </w:tbl>
    <w:p>
      <w:pPr>
        <w:spacing w:after="0"/>
        <w:jc w:val="right"/>
        <w:rPr>
          <w:sz w:val="18"/>
        </w:rPr>
        <w:sectPr>
          <w:pgSz w:w="11910" w:h="16840"/>
          <w:pgMar w:header="936" w:footer="526" w:top="2040" w:bottom="700" w:left="760" w:right="740"/>
        </w:sectPr>
      </w:pPr>
    </w:p>
    <w:p>
      <w:pPr>
        <w:pStyle w:val="BodyText"/>
        <w:rPr>
          <w:rFonts w:ascii="Times New Roman"/>
          <w:sz w:val="20"/>
        </w:rPr>
      </w:pPr>
    </w:p>
    <w:p>
      <w:pPr>
        <w:pStyle w:val="BodyText"/>
        <w:rPr>
          <w:rFonts w:ascii="Times New Roman"/>
          <w:sz w:val="20"/>
        </w:rPr>
      </w:pPr>
    </w:p>
    <w:p>
      <w:pPr>
        <w:pStyle w:val="BodyText"/>
        <w:spacing w:before="1"/>
        <w:rPr>
          <w:rFonts w:ascii="Times New Roman"/>
          <w:sz w:val="15"/>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229"/>
        <w:gridCol w:w="1449"/>
        <w:gridCol w:w="1468"/>
        <w:gridCol w:w="1132"/>
      </w:tblGrid>
      <w:tr>
        <w:trPr>
          <w:trHeight w:val="305" w:hRule="exact"/>
        </w:trPr>
        <w:tc>
          <w:tcPr>
            <w:tcW w:w="6229" w:type="dxa"/>
          </w:tcPr>
          <w:p>
            <w:pPr>
              <w:pStyle w:val="TableParagraph"/>
              <w:tabs>
                <w:tab w:pos="430" w:val="left" w:leader="none"/>
              </w:tabs>
              <w:spacing w:before="77"/>
              <w:ind w:left="35"/>
              <w:rPr>
                <w:b/>
                <w:sz w:val="18"/>
              </w:rPr>
            </w:pPr>
            <w:r>
              <w:rPr>
                <w:b/>
                <w:sz w:val="18"/>
              </w:rPr>
              <w:t>9</w:t>
              <w:tab/>
              <w:t>Intangible assets</w:t>
            </w:r>
          </w:p>
        </w:tc>
        <w:tc>
          <w:tcPr>
            <w:tcW w:w="4049" w:type="dxa"/>
            <w:gridSpan w:val="3"/>
          </w:tcPr>
          <w:p>
            <w:pPr/>
          </w:p>
        </w:tc>
      </w:tr>
      <w:tr>
        <w:trPr>
          <w:trHeight w:val="232" w:hRule="exact"/>
        </w:trPr>
        <w:tc>
          <w:tcPr>
            <w:tcW w:w="6229" w:type="dxa"/>
          </w:tcPr>
          <w:p>
            <w:pPr/>
          </w:p>
        </w:tc>
        <w:tc>
          <w:tcPr>
            <w:tcW w:w="1449" w:type="dxa"/>
          </w:tcPr>
          <w:p>
            <w:pPr/>
          </w:p>
        </w:tc>
        <w:tc>
          <w:tcPr>
            <w:tcW w:w="1468" w:type="dxa"/>
          </w:tcPr>
          <w:p>
            <w:pPr>
              <w:pStyle w:val="TableParagraph"/>
              <w:spacing w:before="2"/>
              <w:ind w:left="176"/>
              <w:rPr>
                <w:b/>
                <w:sz w:val="18"/>
              </w:rPr>
            </w:pPr>
            <w:r>
              <w:rPr>
                <w:b/>
                <w:sz w:val="18"/>
              </w:rPr>
              <w:t>Franchise</w:t>
            </w:r>
          </w:p>
        </w:tc>
        <w:tc>
          <w:tcPr>
            <w:tcW w:w="1132" w:type="dxa"/>
          </w:tcPr>
          <w:p>
            <w:pPr/>
          </w:p>
        </w:tc>
      </w:tr>
      <w:tr>
        <w:trPr>
          <w:trHeight w:val="254" w:hRule="exact"/>
        </w:trPr>
        <w:tc>
          <w:tcPr>
            <w:tcW w:w="6229" w:type="dxa"/>
          </w:tcPr>
          <w:p>
            <w:pPr/>
          </w:p>
        </w:tc>
        <w:tc>
          <w:tcPr>
            <w:tcW w:w="1449" w:type="dxa"/>
          </w:tcPr>
          <w:p>
            <w:pPr>
              <w:pStyle w:val="TableParagraph"/>
              <w:spacing w:before="3"/>
              <w:ind w:left="297"/>
              <w:rPr>
                <w:b/>
                <w:sz w:val="18"/>
              </w:rPr>
            </w:pPr>
            <w:r>
              <w:rPr>
                <w:b/>
                <w:sz w:val="18"/>
              </w:rPr>
              <w:t>Software</w:t>
            </w:r>
          </w:p>
        </w:tc>
        <w:tc>
          <w:tcPr>
            <w:tcW w:w="1468" w:type="dxa"/>
          </w:tcPr>
          <w:p>
            <w:pPr>
              <w:pStyle w:val="TableParagraph"/>
              <w:spacing w:before="3"/>
              <w:ind w:left="397"/>
              <w:rPr>
                <w:b/>
                <w:sz w:val="18"/>
              </w:rPr>
            </w:pPr>
            <w:r>
              <w:rPr>
                <w:b/>
                <w:sz w:val="18"/>
              </w:rPr>
              <w:t>fees</w:t>
            </w:r>
          </w:p>
        </w:tc>
        <w:tc>
          <w:tcPr>
            <w:tcW w:w="1132" w:type="dxa"/>
          </w:tcPr>
          <w:p>
            <w:pPr>
              <w:pStyle w:val="TableParagraph"/>
              <w:spacing w:before="25"/>
              <w:ind w:left="271"/>
              <w:rPr>
                <w:b/>
                <w:sz w:val="18"/>
              </w:rPr>
            </w:pPr>
            <w:r>
              <w:rPr>
                <w:b/>
                <w:sz w:val="18"/>
              </w:rPr>
              <w:t>Total</w:t>
            </w:r>
          </w:p>
        </w:tc>
      </w:tr>
      <w:tr>
        <w:trPr>
          <w:trHeight w:val="233" w:hRule="exact"/>
        </w:trPr>
        <w:tc>
          <w:tcPr>
            <w:tcW w:w="6229" w:type="dxa"/>
          </w:tcPr>
          <w:p>
            <w:pPr/>
          </w:p>
        </w:tc>
        <w:tc>
          <w:tcPr>
            <w:tcW w:w="1449" w:type="dxa"/>
          </w:tcPr>
          <w:p>
            <w:pPr>
              <w:pStyle w:val="TableParagraph"/>
              <w:spacing w:before="3"/>
              <w:ind w:right="120"/>
              <w:jc w:val="center"/>
              <w:rPr>
                <w:b/>
                <w:sz w:val="18"/>
              </w:rPr>
            </w:pPr>
            <w:r>
              <w:rPr>
                <w:b/>
                <w:w w:val="99"/>
                <w:sz w:val="18"/>
              </w:rPr>
              <w:t>$</w:t>
            </w:r>
          </w:p>
        </w:tc>
        <w:tc>
          <w:tcPr>
            <w:tcW w:w="1468" w:type="dxa"/>
          </w:tcPr>
          <w:p>
            <w:pPr>
              <w:pStyle w:val="TableParagraph"/>
              <w:spacing w:before="3"/>
              <w:ind w:right="296"/>
              <w:jc w:val="center"/>
              <w:rPr>
                <w:b/>
                <w:sz w:val="18"/>
              </w:rPr>
            </w:pPr>
            <w:r>
              <w:rPr>
                <w:b/>
                <w:w w:val="99"/>
                <w:sz w:val="18"/>
              </w:rPr>
              <w:t>$</w:t>
            </w:r>
          </w:p>
        </w:tc>
        <w:tc>
          <w:tcPr>
            <w:tcW w:w="1132" w:type="dxa"/>
          </w:tcPr>
          <w:p>
            <w:pPr>
              <w:pStyle w:val="TableParagraph"/>
              <w:spacing w:before="3"/>
              <w:ind w:right="155"/>
              <w:jc w:val="center"/>
              <w:rPr>
                <w:b/>
                <w:sz w:val="18"/>
              </w:rPr>
            </w:pPr>
            <w:r>
              <w:rPr>
                <w:b/>
                <w:w w:val="99"/>
                <w:sz w:val="18"/>
              </w:rPr>
              <w:t>$</w:t>
            </w:r>
          </w:p>
        </w:tc>
      </w:tr>
      <w:tr>
        <w:trPr>
          <w:trHeight w:val="233" w:hRule="exact"/>
        </w:trPr>
        <w:tc>
          <w:tcPr>
            <w:tcW w:w="6229" w:type="dxa"/>
          </w:tcPr>
          <w:p>
            <w:pPr>
              <w:pStyle w:val="TableParagraph"/>
              <w:spacing w:before="3"/>
              <w:ind w:left="79"/>
              <w:rPr>
                <w:b/>
                <w:sz w:val="18"/>
              </w:rPr>
            </w:pPr>
            <w:r>
              <w:rPr>
                <w:b/>
                <w:sz w:val="18"/>
              </w:rPr>
              <w:t>At 1 January 2011</w:t>
            </w:r>
          </w:p>
        </w:tc>
        <w:tc>
          <w:tcPr>
            <w:tcW w:w="1449" w:type="dxa"/>
          </w:tcPr>
          <w:p>
            <w:pPr/>
          </w:p>
        </w:tc>
        <w:tc>
          <w:tcPr>
            <w:tcW w:w="1468" w:type="dxa"/>
          </w:tcPr>
          <w:p>
            <w:pPr/>
          </w:p>
        </w:tc>
        <w:tc>
          <w:tcPr>
            <w:tcW w:w="1132" w:type="dxa"/>
          </w:tcPr>
          <w:p>
            <w:pPr/>
          </w:p>
        </w:tc>
      </w:tr>
      <w:tr>
        <w:trPr>
          <w:trHeight w:val="233" w:hRule="exact"/>
        </w:trPr>
        <w:tc>
          <w:tcPr>
            <w:tcW w:w="6229" w:type="dxa"/>
          </w:tcPr>
          <w:p>
            <w:pPr>
              <w:pStyle w:val="TableParagraph"/>
              <w:spacing w:before="3"/>
              <w:ind w:left="79"/>
              <w:rPr>
                <w:sz w:val="18"/>
              </w:rPr>
            </w:pPr>
            <w:r>
              <w:rPr>
                <w:sz w:val="18"/>
              </w:rPr>
              <w:t>Cost</w:t>
            </w:r>
          </w:p>
        </w:tc>
        <w:tc>
          <w:tcPr>
            <w:tcW w:w="1449" w:type="dxa"/>
          </w:tcPr>
          <w:p>
            <w:pPr>
              <w:pStyle w:val="TableParagraph"/>
              <w:spacing w:before="3"/>
              <w:ind w:right="235"/>
              <w:jc w:val="right"/>
              <w:rPr>
                <w:sz w:val="18"/>
              </w:rPr>
            </w:pPr>
            <w:r>
              <w:rPr>
                <w:w w:val="95"/>
                <w:sz w:val="18"/>
              </w:rPr>
              <w:t>65,500</w:t>
            </w:r>
          </w:p>
        </w:tc>
        <w:tc>
          <w:tcPr>
            <w:tcW w:w="1468" w:type="dxa"/>
          </w:tcPr>
          <w:p>
            <w:pPr>
              <w:pStyle w:val="TableParagraph"/>
              <w:spacing w:before="3"/>
              <w:ind w:right="329"/>
              <w:jc w:val="right"/>
              <w:rPr>
                <w:sz w:val="18"/>
              </w:rPr>
            </w:pPr>
            <w:r>
              <w:rPr>
                <w:w w:val="95"/>
                <w:sz w:val="18"/>
              </w:rPr>
              <w:t>7,500</w:t>
            </w:r>
          </w:p>
        </w:tc>
        <w:tc>
          <w:tcPr>
            <w:tcW w:w="1132" w:type="dxa"/>
          </w:tcPr>
          <w:p>
            <w:pPr>
              <w:pStyle w:val="TableParagraph"/>
              <w:spacing w:before="3"/>
              <w:ind w:right="90"/>
              <w:jc w:val="right"/>
              <w:rPr>
                <w:sz w:val="18"/>
              </w:rPr>
            </w:pPr>
            <w:r>
              <w:rPr>
                <w:w w:val="95"/>
                <w:sz w:val="18"/>
              </w:rPr>
              <w:t>73,000</w:t>
            </w:r>
          </w:p>
        </w:tc>
      </w:tr>
      <w:tr>
        <w:trPr>
          <w:trHeight w:val="244" w:hRule="exact"/>
        </w:trPr>
        <w:tc>
          <w:tcPr>
            <w:tcW w:w="6229" w:type="dxa"/>
          </w:tcPr>
          <w:p>
            <w:pPr>
              <w:pStyle w:val="TableParagraph"/>
              <w:spacing w:before="3"/>
              <w:ind w:left="79"/>
              <w:rPr>
                <w:sz w:val="18"/>
              </w:rPr>
            </w:pPr>
            <w:r>
              <w:rPr>
                <w:sz w:val="18"/>
              </w:rPr>
              <w:t>Accumulated amortisation</w:t>
            </w:r>
          </w:p>
        </w:tc>
        <w:tc>
          <w:tcPr>
            <w:tcW w:w="1449" w:type="dxa"/>
            <w:tcBorders>
              <w:bottom w:val="single" w:sz="8" w:space="0" w:color="000000"/>
            </w:tcBorders>
          </w:tcPr>
          <w:p>
            <w:pPr>
              <w:pStyle w:val="TableParagraph"/>
              <w:spacing w:before="3"/>
              <w:ind w:right="176"/>
              <w:jc w:val="right"/>
              <w:rPr>
                <w:sz w:val="18"/>
              </w:rPr>
            </w:pPr>
            <w:r>
              <w:rPr>
                <w:w w:val="95"/>
                <w:sz w:val="18"/>
              </w:rPr>
              <w:t>(43,667)</w:t>
            </w:r>
          </w:p>
        </w:tc>
        <w:tc>
          <w:tcPr>
            <w:tcW w:w="1468" w:type="dxa"/>
            <w:tcBorders>
              <w:bottom w:val="single" w:sz="8" w:space="0" w:color="000000"/>
            </w:tcBorders>
          </w:tcPr>
          <w:p>
            <w:pPr>
              <w:pStyle w:val="TableParagraph"/>
              <w:spacing w:before="3"/>
              <w:ind w:right="273"/>
              <w:jc w:val="right"/>
              <w:rPr>
                <w:sz w:val="18"/>
              </w:rPr>
            </w:pPr>
            <w:r>
              <w:rPr>
                <w:sz w:val="18"/>
              </w:rPr>
              <w:t>(375)</w:t>
            </w:r>
          </w:p>
        </w:tc>
        <w:tc>
          <w:tcPr>
            <w:tcW w:w="1132" w:type="dxa"/>
            <w:tcBorders>
              <w:bottom w:val="single" w:sz="8" w:space="0" w:color="000000"/>
            </w:tcBorders>
          </w:tcPr>
          <w:p>
            <w:pPr>
              <w:pStyle w:val="TableParagraph"/>
              <w:spacing w:before="3"/>
              <w:ind w:right="35"/>
              <w:jc w:val="right"/>
              <w:rPr>
                <w:sz w:val="18"/>
              </w:rPr>
            </w:pPr>
            <w:r>
              <w:rPr>
                <w:w w:val="95"/>
                <w:sz w:val="18"/>
              </w:rPr>
              <w:t>(44,042)</w:t>
            </w:r>
          </w:p>
        </w:tc>
      </w:tr>
      <w:tr>
        <w:trPr>
          <w:trHeight w:val="244" w:hRule="exact"/>
        </w:trPr>
        <w:tc>
          <w:tcPr>
            <w:tcW w:w="6229" w:type="dxa"/>
          </w:tcPr>
          <w:p>
            <w:pPr>
              <w:pStyle w:val="TableParagraph"/>
              <w:spacing w:before="3"/>
              <w:ind w:left="79"/>
              <w:rPr>
                <w:sz w:val="18"/>
              </w:rPr>
            </w:pPr>
            <w:r>
              <w:rPr>
                <w:sz w:val="18"/>
              </w:rPr>
              <w:t>Net book amount</w:t>
            </w:r>
          </w:p>
        </w:tc>
        <w:tc>
          <w:tcPr>
            <w:tcW w:w="1449" w:type="dxa"/>
            <w:tcBorders>
              <w:top w:val="single" w:sz="8" w:space="0" w:color="000000"/>
              <w:bottom w:val="single" w:sz="8" w:space="0" w:color="000000"/>
            </w:tcBorders>
          </w:tcPr>
          <w:p>
            <w:pPr>
              <w:pStyle w:val="TableParagraph"/>
              <w:spacing w:line="201" w:lineRule="exact"/>
              <w:ind w:right="233"/>
              <w:jc w:val="right"/>
              <w:rPr>
                <w:sz w:val="18"/>
              </w:rPr>
            </w:pPr>
            <w:r>
              <w:rPr>
                <w:w w:val="95"/>
                <w:sz w:val="18"/>
              </w:rPr>
              <w:t>21,833</w:t>
            </w:r>
          </w:p>
        </w:tc>
        <w:tc>
          <w:tcPr>
            <w:tcW w:w="1468" w:type="dxa"/>
            <w:tcBorders>
              <w:top w:val="single" w:sz="8" w:space="0" w:color="000000"/>
              <w:bottom w:val="single" w:sz="8" w:space="0" w:color="000000"/>
            </w:tcBorders>
          </w:tcPr>
          <w:p>
            <w:pPr>
              <w:pStyle w:val="TableParagraph"/>
              <w:spacing w:line="201" w:lineRule="exact"/>
              <w:ind w:right="329"/>
              <w:jc w:val="right"/>
              <w:rPr>
                <w:sz w:val="18"/>
              </w:rPr>
            </w:pPr>
            <w:r>
              <w:rPr>
                <w:w w:val="95"/>
                <w:sz w:val="18"/>
              </w:rPr>
              <w:t>7,125</w:t>
            </w:r>
          </w:p>
        </w:tc>
        <w:tc>
          <w:tcPr>
            <w:tcW w:w="1132" w:type="dxa"/>
            <w:tcBorders>
              <w:top w:val="single" w:sz="8" w:space="0" w:color="000000"/>
              <w:bottom w:val="single" w:sz="8" w:space="0" w:color="000000"/>
            </w:tcBorders>
          </w:tcPr>
          <w:p>
            <w:pPr>
              <w:pStyle w:val="TableParagraph"/>
              <w:spacing w:line="201" w:lineRule="exact"/>
              <w:ind w:right="90"/>
              <w:jc w:val="right"/>
              <w:rPr>
                <w:sz w:val="18"/>
              </w:rPr>
            </w:pPr>
            <w:r>
              <w:rPr>
                <w:w w:val="95"/>
                <w:sz w:val="18"/>
              </w:rPr>
              <w:t>28,958</w:t>
            </w:r>
          </w:p>
        </w:tc>
      </w:tr>
      <w:tr>
        <w:trPr>
          <w:trHeight w:val="350" w:hRule="exact"/>
        </w:trPr>
        <w:tc>
          <w:tcPr>
            <w:tcW w:w="6229" w:type="dxa"/>
          </w:tcPr>
          <w:p>
            <w:pPr>
              <w:pStyle w:val="TableParagraph"/>
              <w:spacing w:before="121"/>
              <w:ind w:left="79"/>
              <w:rPr>
                <w:b/>
                <w:sz w:val="18"/>
              </w:rPr>
            </w:pPr>
            <w:r>
              <w:rPr>
                <w:b/>
                <w:sz w:val="18"/>
              </w:rPr>
              <w:t>Year ended 31 December 2011</w:t>
            </w:r>
          </w:p>
        </w:tc>
        <w:tc>
          <w:tcPr>
            <w:tcW w:w="1449" w:type="dxa"/>
            <w:tcBorders>
              <w:top w:val="single" w:sz="8" w:space="0" w:color="000000"/>
            </w:tcBorders>
          </w:tcPr>
          <w:p>
            <w:pPr/>
          </w:p>
        </w:tc>
        <w:tc>
          <w:tcPr>
            <w:tcW w:w="1468" w:type="dxa"/>
            <w:tcBorders>
              <w:top w:val="single" w:sz="8" w:space="0" w:color="000000"/>
            </w:tcBorders>
          </w:tcPr>
          <w:p>
            <w:pPr/>
          </w:p>
        </w:tc>
        <w:tc>
          <w:tcPr>
            <w:tcW w:w="1132" w:type="dxa"/>
            <w:tcBorders>
              <w:top w:val="single" w:sz="8" w:space="0" w:color="000000"/>
            </w:tcBorders>
          </w:tcPr>
          <w:p>
            <w:pPr/>
          </w:p>
        </w:tc>
      </w:tr>
      <w:tr>
        <w:trPr>
          <w:trHeight w:val="233" w:hRule="exact"/>
        </w:trPr>
        <w:tc>
          <w:tcPr>
            <w:tcW w:w="6229" w:type="dxa"/>
          </w:tcPr>
          <w:p>
            <w:pPr>
              <w:pStyle w:val="TableParagraph"/>
              <w:spacing w:before="3"/>
              <w:ind w:left="79"/>
              <w:rPr>
                <w:sz w:val="18"/>
              </w:rPr>
            </w:pPr>
            <w:r>
              <w:rPr>
                <w:sz w:val="18"/>
              </w:rPr>
              <w:t>Opening net book amount</w:t>
            </w:r>
          </w:p>
        </w:tc>
        <w:tc>
          <w:tcPr>
            <w:tcW w:w="1449" w:type="dxa"/>
          </w:tcPr>
          <w:p>
            <w:pPr>
              <w:pStyle w:val="TableParagraph"/>
              <w:spacing w:before="3"/>
              <w:ind w:right="234"/>
              <w:jc w:val="right"/>
              <w:rPr>
                <w:sz w:val="18"/>
              </w:rPr>
            </w:pPr>
            <w:r>
              <w:rPr>
                <w:w w:val="95"/>
                <w:sz w:val="18"/>
              </w:rPr>
              <w:t>21,833</w:t>
            </w:r>
          </w:p>
        </w:tc>
        <w:tc>
          <w:tcPr>
            <w:tcW w:w="1468" w:type="dxa"/>
          </w:tcPr>
          <w:p>
            <w:pPr>
              <w:pStyle w:val="TableParagraph"/>
              <w:spacing w:before="3"/>
              <w:ind w:right="329"/>
              <w:jc w:val="right"/>
              <w:rPr>
                <w:sz w:val="18"/>
              </w:rPr>
            </w:pPr>
            <w:r>
              <w:rPr>
                <w:w w:val="95"/>
                <w:sz w:val="18"/>
              </w:rPr>
              <w:t>7,125</w:t>
            </w:r>
          </w:p>
        </w:tc>
        <w:tc>
          <w:tcPr>
            <w:tcW w:w="1132" w:type="dxa"/>
          </w:tcPr>
          <w:p>
            <w:pPr>
              <w:pStyle w:val="TableParagraph"/>
              <w:spacing w:before="3"/>
              <w:ind w:right="90"/>
              <w:jc w:val="right"/>
              <w:rPr>
                <w:sz w:val="18"/>
              </w:rPr>
            </w:pPr>
            <w:r>
              <w:rPr>
                <w:w w:val="95"/>
                <w:sz w:val="18"/>
              </w:rPr>
              <w:t>28,958</w:t>
            </w:r>
          </w:p>
        </w:tc>
      </w:tr>
      <w:tr>
        <w:trPr>
          <w:trHeight w:val="233" w:hRule="exact"/>
        </w:trPr>
        <w:tc>
          <w:tcPr>
            <w:tcW w:w="6229" w:type="dxa"/>
          </w:tcPr>
          <w:p>
            <w:pPr>
              <w:pStyle w:val="TableParagraph"/>
              <w:spacing w:before="3"/>
              <w:ind w:left="79"/>
              <w:rPr>
                <w:sz w:val="18"/>
              </w:rPr>
            </w:pPr>
            <w:r>
              <w:rPr>
                <w:sz w:val="18"/>
              </w:rPr>
              <w:t>Additions</w:t>
            </w:r>
          </w:p>
        </w:tc>
        <w:tc>
          <w:tcPr>
            <w:tcW w:w="1449" w:type="dxa"/>
          </w:tcPr>
          <w:p>
            <w:pPr>
              <w:pStyle w:val="TableParagraph"/>
              <w:spacing w:before="3"/>
              <w:ind w:left="953"/>
              <w:rPr>
                <w:sz w:val="18"/>
              </w:rPr>
            </w:pPr>
            <w:r>
              <w:rPr>
                <w:w w:val="99"/>
                <w:sz w:val="18"/>
              </w:rPr>
              <w:t>-</w:t>
            </w:r>
          </w:p>
        </w:tc>
        <w:tc>
          <w:tcPr>
            <w:tcW w:w="1468" w:type="dxa"/>
          </w:tcPr>
          <w:p>
            <w:pPr>
              <w:pStyle w:val="TableParagraph"/>
              <w:spacing w:before="3"/>
              <w:ind w:right="329"/>
              <w:jc w:val="right"/>
              <w:rPr>
                <w:sz w:val="18"/>
              </w:rPr>
            </w:pPr>
            <w:r>
              <w:rPr>
                <w:w w:val="95"/>
                <w:sz w:val="18"/>
              </w:rPr>
              <w:t>7,500</w:t>
            </w:r>
          </w:p>
        </w:tc>
        <w:tc>
          <w:tcPr>
            <w:tcW w:w="1132" w:type="dxa"/>
          </w:tcPr>
          <w:p>
            <w:pPr>
              <w:pStyle w:val="TableParagraph"/>
              <w:spacing w:before="3"/>
              <w:ind w:right="91"/>
              <w:jc w:val="right"/>
              <w:rPr>
                <w:sz w:val="18"/>
              </w:rPr>
            </w:pPr>
            <w:r>
              <w:rPr>
                <w:w w:val="95"/>
                <w:sz w:val="18"/>
              </w:rPr>
              <w:t>7,500</w:t>
            </w:r>
          </w:p>
        </w:tc>
      </w:tr>
      <w:tr>
        <w:trPr>
          <w:trHeight w:val="243" w:hRule="exact"/>
        </w:trPr>
        <w:tc>
          <w:tcPr>
            <w:tcW w:w="6229" w:type="dxa"/>
          </w:tcPr>
          <w:p>
            <w:pPr>
              <w:pStyle w:val="TableParagraph"/>
              <w:spacing w:before="3"/>
              <w:ind w:left="79"/>
              <w:rPr>
                <w:sz w:val="18"/>
              </w:rPr>
            </w:pPr>
            <w:r>
              <w:rPr>
                <w:sz w:val="18"/>
              </w:rPr>
              <w:t>Amortisation charge</w:t>
            </w:r>
          </w:p>
        </w:tc>
        <w:tc>
          <w:tcPr>
            <w:tcW w:w="1449" w:type="dxa"/>
            <w:tcBorders>
              <w:bottom w:val="single" w:sz="8" w:space="0" w:color="000000"/>
            </w:tcBorders>
          </w:tcPr>
          <w:p>
            <w:pPr>
              <w:pStyle w:val="TableParagraph"/>
              <w:spacing w:before="3"/>
              <w:ind w:right="175"/>
              <w:jc w:val="right"/>
              <w:rPr>
                <w:sz w:val="18"/>
              </w:rPr>
            </w:pPr>
            <w:r>
              <w:rPr>
                <w:w w:val="95"/>
                <w:sz w:val="18"/>
              </w:rPr>
              <w:t>(21,833)</w:t>
            </w:r>
          </w:p>
        </w:tc>
        <w:tc>
          <w:tcPr>
            <w:tcW w:w="1468" w:type="dxa"/>
            <w:tcBorders>
              <w:bottom w:val="single" w:sz="8" w:space="0" w:color="000000"/>
            </w:tcBorders>
          </w:tcPr>
          <w:p>
            <w:pPr>
              <w:pStyle w:val="TableParagraph"/>
              <w:spacing w:before="3"/>
              <w:ind w:right="273"/>
              <w:jc w:val="right"/>
              <w:rPr>
                <w:sz w:val="18"/>
              </w:rPr>
            </w:pPr>
            <w:r>
              <w:rPr>
                <w:sz w:val="18"/>
              </w:rPr>
              <w:t>(683)</w:t>
            </w:r>
          </w:p>
        </w:tc>
        <w:tc>
          <w:tcPr>
            <w:tcW w:w="1132" w:type="dxa"/>
            <w:tcBorders>
              <w:bottom w:val="single" w:sz="8" w:space="0" w:color="000000"/>
            </w:tcBorders>
          </w:tcPr>
          <w:p>
            <w:pPr>
              <w:pStyle w:val="TableParagraph"/>
              <w:spacing w:before="3"/>
              <w:ind w:right="35"/>
              <w:jc w:val="right"/>
              <w:rPr>
                <w:sz w:val="18"/>
              </w:rPr>
            </w:pPr>
            <w:r>
              <w:rPr>
                <w:w w:val="95"/>
                <w:sz w:val="18"/>
              </w:rPr>
              <w:t>(22,516)</w:t>
            </w:r>
          </w:p>
        </w:tc>
      </w:tr>
      <w:tr>
        <w:trPr>
          <w:trHeight w:val="244" w:hRule="exact"/>
        </w:trPr>
        <w:tc>
          <w:tcPr>
            <w:tcW w:w="6229" w:type="dxa"/>
          </w:tcPr>
          <w:p>
            <w:pPr>
              <w:pStyle w:val="TableParagraph"/>
              <w:spacing w:before="3"/>
              <w:ind w:left="79"/>
              <w:rPr>
                <w:sz w:val="18"/>
              </w:rPr>
            </w:pPr>
            <w:r>
              <w:rPr>
                <w:sz w:val="18"/>
              </w:rPr>
              <w:t>Closing net book amount</w:t>
            </w:r>
          </w:p>
        </w:tc>
        <w:tc>
          <w:tcPr>
            <w:tcW w:w="1449" w:type="dxa"/>
            <w:tcBorders>
              <w:top w:val="single" w:sz="8" w:space="0" w:color="000000"/>
              <w:bottom w:val="single" w:sz="8" w:space="0" w:color="000000"/>
            </w:tcBorders>
          </w:tcPr>
          <w:p>
            <w:pPr>
              <w:pStyle w:val="TableParagraph"/>
              <w:spacing w:line="201" w:lineRule="exact"/>
              <w:ind w:left="953"/>
              <w:rPr>
                <w:sz w:val="18"/>
              </w:rPr>
            </w:pPr>
            <w:r>
              <w:rPr>
                <w:w w:val="99"/>
                <w:sz w:val="18"/>
              </w:rPr>
              <w:t>-</w:t>
            </w:r>
          </w:p>
        </w:tc>
        <w:tc>
          <w:tcPr>
            <w:tcW w:w="1468" w:type="dxa"/>
            <w:tcBorders>
              <w:top w:val="single" w:sz="8" w:space="0" w:color="000000"/>
              <w:bottom w:val="single" w:sz="8" w:space="0" w:color="000000"/>
            </w:tcBorders>
          </w:tcPr>
          <w:p>
            <w:pPr>
              <w:pStyle w:val="TableParagraph"/>
              <w:spacing w:line="201" w:lineRule="exact"/>
              <w:ind w:right="328"/>
              <w:jc w:val="right"/>
              <w:rPr>
                <w:sz w:val="18"/>
              </w:rPr>
            </w:pPr>
            <w:r>
              <w:rPr>
                <w:w w:val="95"/>
                <w:sz w:val="18"/>
              </w:rPr>
              <w:t>13,942</w:t>
            </w:r>
          </w:p>
        </w:tc>
        <w:tc>
          <w:tcPr>
            <w:tcW w:w="1132" w:type="dxa"/>
            <w:tcBorders>
              <w:top w:val="single" w:sz="8" w:space="0" w:color="000000"/>
              <w:bottom w:val="single" w:sz="8" w:space="0" w:color="000000"/>
            </w:tcBorders>
          </w:tcPr>
          <w:p>
            <w:pPr>
              <w:pStyle w:val="TableParagraph"/>
              <w:spacing w:line="201" w:lineRule="exact"/>
              <w:ind w:right="90"/>
              <w:jc w:val="right"/>
              <w:rPr>
                <w:sz w:val="18"/>
              </w:rPr>
            </w:pPr>
            <w:r>
              <w:rPr>
                <w:w w:val="95"/>
                <w:sz w:val="18"/>
              </w:rPr>
              <w:t>13,942</w:t>
            </w:r>
          </w:p>
        </w:tc>
      </w:tr>
      <w:tr>
        <w:trPr>
          <w:trHeight w:val="351" w:hRule="exact"/>
        </w:trPr>
        <w:tc>
          <w:tcPr>
            <w:tcW w:w="6229" w:type="dxa"/>
          </w:tcPr>
          <w:p>
            <w:pPr>
              <w:pStyle w:val="TableParagraph"/>
              <w:spacing w:before="121"/>
              <w:ind w:left="79"/>
              <w:rPr>
                <w:b/>
                <w:sz w:val="18"/>
              </w:rPr>
            </w:pPr>
            <w:r>
              <w:rPr>
                <w:b/>
                <w:sz w:val="18"/>
              </w:rPr>
              <w:t>At 31 December 2011</w:t>
            </w:r>
          </w:p>
        </w:tc>
        <w:tc>
          <w:tcPr>
            <w:tcW w:w="1449" w:type="dxa"/>
            <w:tcBorders>
              <w:top w:val="single" w:sz="8" w:space="0" w:color="000000"/>
            </w:tcBorders>
          </w:tcPr>
          <w:p>
            <w:pPr/>
          </w:p>
        </w:tc>
        <w:tc>
          <w:tcPr>
            <w:tcW w:w="1468" w:type="dxa"/>
            <w:tcBorders>
              <w:top w:val="single" w:sz="8" w:space="0" w:color="000000"/>
            </w:tcBorders>
          </w:tcPr>
          <w:p>
            <w:pPr/>
          </w:p>
        </w:tc>
        <w:tc>
          <w:tcPr>
            <w:tcW w:w="1132" w:type="dxa"/>
            <w:tcBorders>
              <w:top w:val="single" w:sz="8" w:space="0" w:color="000000"/>
            </w:tcBorders>
          </w:tcPr>
          <w:p>
            <w:pPr/>
          </w:p>
        </w:tc>
      </w:tr>
      <w:tr>
        <w:trPr>
          <w:trHeight w:val="233" w:hRule="exact"/>
        </w:trPr>
        <w:tc>
          <w:tcPr>
            <w:tcW w:w="6229" w:type="dxa"/>
          </w:tcPr>
          <w:p>
            <w:pPr>
              <w:pStyle w:val="TableParagraph"/>
              <w:spacing w:before="3"/>
              <w:ind w:left="79"/>
              <w:rPr>
                <w:sz w:val="18"/>
              </w:rPr>
            </w:pPr>
            <w:r>
              <w:rPr>
                <w:sz w:val="18"/>
              </w:rPr>
              <w:t>Cost</w:t>
            </w:r>
          </w:p>
        </w:tc>
        <w:tc>
          <w:tcPr>
            <w:tcW w:w="1449" w:type="dxa"/>
          </w:tcPr>
          <w:p>
            <w:pPr>
              <w:pStyle w:val="TableParagraph"/>
              <w:spacing w:before="3"/>
              <w:ind w:right="235"/>
              <w:jc w:val="right"/>
              <w:rPr>
                <w:sz w:val="18"/>
              </w:rPr>
            </w:pPr>
            <w:r>
              <w:rPr>
                <w:w w:val="95"/>
                <w:sz w:val="18"/>
              </w:rPr>
              <w:t>65,500</w:t>
            </w:r>
          </w:p>
        </w:tc>
        <w:tc>
          <w:tcPr>
            <w:tcW w:w="1468" w:type="dxa"/>
          </w:tcPr>
          <w:p>
            <w:pPr>
              <w:pStyle w:val="TableParagraph"/>
              <w:spacing w:before="3"/>
              <w:ind w:right="329"/>
              <w:jc w:val="right"/>
              <w:rPr>
                <w:sz w:val="18"/>
              </w:rPr>
            </w:pPr>
            <w:r>
              <w:rPr>
                <w:w w:val="95"/>
                <w:sz w:val="18"/>
              </w:rPr>
              <w:t>15,000</w:t>
            </w:r>
          </w:p>
        </w:tc>
        <w:tc>
          <w:tcPr>
            <w:tcW w:w="1132" w:type="dxa"/>
          </w:tcPr>
          <w:p>
            <w:pPr>
              <w:pStyle w:val="TableParagraph"/>
              <w:spacing w:before="3"/>
              <w:ind w:right="90"/>
              <w:jc w:val="right"/>
              <w:rPr>
                <w:sz w:val="18"/>
              </w:rPr>
            </w:pPr>
            <w:r>
              <w:rPr>
                <w:w w:val="95"/>
                <w:sz w:val="18"/>
              </w:rPr>
              <w:t>80,500</w:t>
            </w:r>
          </w:p>
        </w:tc>
      </w:tr>
      <w:tr>
        <w:trPr>
          <w:trHeight w:val="242" w:hRule="exact"/>
        </w:trPr>
        <w:tc>
          <w:tcPr>
            <w:tcW w:w="6229" w:type="dxa"/>
          </w:tcPr>
          <w:p>
            <w:pPr>
              <w:pStyle w:val="TableParagraph"/>
              <w:spacing w:before="3"/>
              <w:ind w:left="79"/>
              <w:rPr>
                <w:sz w:val="18"/>
              </w:rPr>
            </w:pPr>
            <w:r>
              <w:rPr>
                <w:sz w:val="18"/>
              </w:rPr>
              <w:t>Accumulated amortisation</w:t>
            </w:r>
          </w:p>
        </w:tc>
        <w:tc>
          <w:tcPr>
            <w:tcW w:w="1449" w:type="dxa"/>
            <w:tcBorders>
              <w:bottom w:val="single" w:sz="8" w:space="0" w:color="000000"/>
            </w:tcBorders>
          </w:tcPr>
          <w:p>
            <w:pPr>
              <w:pStyle w:val="TableParagraph"/>
              <w:spacing w:before="3"/>
              <w:ind w:right="175"/>
              <w:jc w:val="right"/>
              <w:rPr>
                <w:sz w:val="18"/>
              </w:rPr>
            </w:pPr>
            <w:r>
              <w:rPr>
                <w:w w:val="95"/>
                <w:sz w:val="18"/>
              </w:rPr>
              <w:t>(65,500)</w:t>
            </w:r>
          </w:p>
        </w:tc>
        <w:tc>
          <w:tcPr>
            <w:tcW w:w="1468" w:type="dxa"/>
            <w:tcBorders>
              <w:bottom w:val="single" w:sz="8" w:space="0" w:color="000000"/>
            </w:tcBorders>
          </w:tcPr>
          <w:p>
            <w:pPr>
              <w:pStyle w:val="TableParagraph"/>
              <w:spacing w:before="3"/>
              <w:ind w:right="273"/>
              <w:jc w:val="right"/>
              <w:rPr>
                <w:sz w:val="18"/>
              </w:rPr>
            </w:pPr>
            <w:r>
              <w:rPr>
                <w:w w:val="95"/>
                <w:sz w:val="18"/>
              </w:rPr>
              <w:t>(1,058)</w:t>
            </w:r>
          </w:p>
        </w:tc>
        <w:tc>
          <w:tcPr>
            <w:tcW w:w="1132" w:type="dxa"/>
            <w:tcBorders>
              <w:bottom w:val="single" w:sz="8" w:space="0" w:color="000000"/>
            </w:tcBorders>
          </w:tcPr>
          <w:p>
            <w:pPr>
              <w:pStyle w:val="TableParagraph"/>
              <w:spacing w:before="3"/>
              <w:ind w:right="35"/>
              <w:jc w:val="right"/>
              <w:rPr>
                <w:sz w:val="18"/>
              </w:rPr>
            </w:pPr>
            <w:r>
              <w:rPr>
                <w:w w:val="95"/>
                <w:sz w:val="18"/>
              </w:rPr>
              <w:t>(66,558)</w:t>
            </w:r>
          </w:p>
        </w:tc>
      </w:tr>
      <w:tr>
        <w:trPr>
          <w:trHeight w:val="239" w:hRule="exact"/>
        </w:trPr>
        <w:tc>
          <w:tcPr>
            <w:tcW w:w="6229" w:type="dxa"/>
          </w:tcPr>
          <w:p>
            <w:pPr>
              <w:pStyle w:val="TableParagraph"/>
              <w:spacing w:line="206" w:lineRule="exact"/>
              <w:ind w:left="79"/>
              <w:rPr>
                <w:sz w:val="18"/>
              </w:rPr>
            </w:pPr>
            <w:r>
              <w:rPr>
                <w:sz w:val="18"/>
              </w:rPr>
              <w:t>Net book amount</w:t>
            </w:r>
          </w:p>
        </w:tc>
        <w:tc>
          <w:tcPr>
            <w:tcW w:w="1449" w:type="dxa"/>
            <w:tcBorders>
              <w:top w:val="single" w:sz="8" w:space="0" w:color="000000"/>
              <w:bottom w:val="single" w:sz="23" w:space="0" w:color="000000"/>
            </w:tcBorders>
          </w:tcPr>
          <w:p>
            <w:pPr>
              <w:pStyle w:val="TableParagraph"/>
              <w:spacing w:line="196" w:lineRule="exact"/>
              <w:ind w:left="953"/>
              <w:rPr>
                <w:sz w:val="18"/>
              </w:rPr>
            </w:pPr>
            <w:r>
              <w:rPr>
                <w:w w:val="99"/>
                <w:sz w:val="18"/>
              </w:rPr>
              <w:t>-</w:t>
            </w:r>
          </w:p>
        </w:tc>
        <w:tc>
          <w:tcPr>
            <w:tcW w:w="1468" w:type="dxa"/>
            <w:tcBorders>
              <w:top w:val="single" w:sz="8" w:space="0" w:color="000000"/>
              <w:bottom w:val="single" w:sz="23" w:space="0" w:color="000000"/>
            </w:tcBorders>
          </w:tcPr>
          <w:p>
            <w:pPr>
              <w:pStyle w:val="TableParagraph"/>
              <w:spacing w:line="196" w:lineRule="exact"/>
              <w:ind w:right="328"/>
              <w:jc w:val="right"/>
              <w:rPr>
                <w:sz w:val="18"/>
              </w:rPr>
            </w:pPr>
            <w:r>
              <w:rPr>
                <w:w w:val="95"/>
                <w:sz w:val="18"/>
              </w:rPr>
              <w:t>13,942</w:t>
            </w:r>
          </w:p>
        </w:tc>
        <w:tc>
          <w:tcPr>
            <w:tcW w:w="1132" w:type="dxa"/>
            <w:tcBorders>
              <w:top w:val="single" w:sz="8" w:space="0" w:color="000000"/>
              <w:bottom w:val="single" w:sz="23" w:space="0" w:color="000000"/>
            </w:tcBorders>
          </w:tcPr>
          <w:p>
            <w:pPr>
              <w:pStyle w:val="TableParagraph"/>
              <w:spacing w:line="196" w:lineRule="exact"/>
              <w:ind w:right="90"/>
              <w:jc w:val="right"/>
              <w:rPr>
                <w:sz w:val="18"/>
              </w:rPr>
            </w:pPr>
            <w:r>
              <w:rPr>
                <w:w w:val="95"/>
                <w:sz w:val="18"/>
              </w:rPr>
              <w:t>13,942</w:t>
            </w:r>
          </w:p>
        </w:tc>
      </w:tr>
      <w:tr>
        <w:trPr>
          <w:trHeight w:val="370" w:hRule="exact"/>
        </w:trPr>
        <w:tc>
          <w:tcPr>
            <w:tcW w:w="6229" w:type="dxa"/>
          </w:tcPr>
          <w:p>
            <w:pPr>
              <w:pStyle w:val="TableParagraph"/>
              <w:spacing w:before="140"/>
              <w:ind w:left="79"/>
              <w:rPr>
                <w:b/>
                <w:sz w:val="18"/>
              </w:rPr>
            </w:pPr>
            <w:r>
              <w:rPr>
                <w:b/>
                <w:sz w:val="18"/>
              </w:rPr>
              <w:t>Year ended 31 December 2012</w:t>
            </w:r>
          </w:p>
        </w:tc>
        <w:tc>
          <w:tcPr>
            <w:tcW w:w="1449" w:type="dxa"/>
            <w:tcBorders>
              <w:top w:val="single" w:sz="23" w:space="0" w:color="000000"/>
            </w:tcBorders>
          </w:tcPr>
          <w:p>
            <w:pPr/>
          </w:p>
        </w:tc>
        <w:tc>
          <w:tcPr>
            <w:tcW w:w="1468" w:type="dxa"/>
            <w:tcBorders>
              <w:top w:val="single" w:sz="23" w:space="0" w:color="000000"/>
            </w:tcBorders>
          </w:tcPr>
          <w:p>
            <w:pPr/>
          </w:p>
        </w:tc>
        <w:tc>
          <w:tcPr>
            <w:tcW w:w="1132" w:type="dxa"/>
            <w:tcBorders>
              <w:top w:val="single" w:sz="23" w:space="0" w:color="000000"/>
            </w:tcBorders>
          </w:tcPr>
          <w:p>
            <w:pPr/>
          </w:p>
        </w:tc>
      </w:tr>
      <w:tr>
        <w:trPr>
          <w:trHeight w:val="233" w:hRule="exact"/>
        </w:trPr>
        <w:tc>
          <w:tcPr>
            <w:tcW w:w="6229" w:type="dxa"/>
          </w:tcPr>
          <w:p>
            <w:pPr>
              <w:pStyle w:val="TableParagraph"/>
              <w:spacing w:before="3"/>
              <w:ind w:left="79"/>
              <w:rPr>
                <w:sz w:val="18"/>
              </w:rPr>
            </w:pPr>
            <w:r>
              <w:rPr>
                <w:sz w:val="18"/>
              </w:rPr>
              <w:t>Opening net book amount</w:t>
            </w:r>
          </w:p>
        </w:tc>
        <w:tc>
          <w:tcPr>
            <w:tcW w:w="1449" w:type="dxa"/>
          </w:tcPr>
          <w:p>
            <w:pPr>
              <w:pStyle w:val="TableParagraph"/>
              <w:spacing w:before="3"/>
              <w:ind w:left="952"/>
              <w:rPr>
                <w:b/>
                <w:sz w:val="18"/>
              </w:rPr>
            </w:pPr>
            <w:r>
              <w:rPr>
                <w:b/>
                <w:w w:val="99"/>
                <w:sz w:val="18"/>
              </w:rPr>
              <w:t>-</w:t>
            </w:r>
          </w:p>
        </w:tc>
        <w:tc>
          <w:tcPr>
            <w:tcW w:w="1468" w:type="dxa"/>
          </w:tcPr>
          <w:p>
            <w:pPr>
              <w:pStyle w:val="TableParagraph"/>
              <w:spacing w:before="3"/>
              <w:ind w:right="328"/>
              <w:jc w:val="right"/>
              <w:rPr>
                <w:b/>
                <w:sz w:val="18"/>
              </w:rPr>
            </w:pPr>
            <w:r>
              <w:rPr>
                <w:b/>
                <w:w w:val="95"/>
                <w:sz w:val="18"/>
              </w:rPr>
              <w:t>13,942</w:t>
            </w:r>
          </w:p>
        </w:tc>
        <w:tc>
          <w:tcPr>
            <w:tcW w:w="1132" w:type="dxa"/>
          </w:tcPr>
          <w:p>
            <w:pPr>
              <w:pStyle w:val="TableParagraph"/>
              <w:spacing w:before="3"/>
              <w:ind w:right="90"/>
              <w:jc w:val="right"/>
              <w:rPr>
                <w:b/>
                <w:sz w:val="18"/>
              </w:rPr>
            </w:pPr>
            <w:r>
              <w:rPr>
                <w:b/>
                <w:w w:val="95"/>
                <w:sz w:val="18"/>
              </w:rPr>
              <w:t>13,942</w:t>
            </w:r>
          </w:p>
        </w:tc>
      </w:tr>
      <w:tr>
        <w:trPr>
          <w:trHeight w:val="233" w:hRule="exact"/>
        </w:trPr>
        <w:tc>
          <w:tcPr>
            <w:tcW w:w="6229" w:type="dxa"/>
          </w:tcPr>
          <w:p>
            <w:pPr>
              <w:pStyle w:val="TableParagraph"/>
              <w:spacing w:before="3"/>
              <w:ind w:left="79"/>
              <w:rPr>
                <w:sz w:val="18"/>
              </w:rPr>
            </w:pPr>
            <w:r>
              <w:rPr>
                <w:sz w:val="18"/>
              </w:rPr>
              <w:t>Additions</w:t>
            </w:r>
          </w:p>
        </w:tc>
        <w:tc>
          <w:tcPr>
            <w:tcW w:w="1449" w:type="dxa"/>
          </w:tcPr>
          <w:p>
            <w:pPr>
              <w:pStyle w:val="TableParagraph"/>
              <w:spacing w:before="3"/>
              <w:ind w:left="953"/>
              <w:rPr>
                <w:b/>
                <w:sz w:val="18"/>
              </w:rPr>
            </w:pPr>
            <w:r>
              <w:rPr>
                <w:b/>
                <w:w w:val="99"/>
                <w:sz w:val="18"/>
              </w:rPr>
              <w:t>-</w:t>
            </w:r>
          </w:p>
        </w:tc>
        <w:tc>
          <w:tcPr>
            <w:tcW w:w="1468" w:type="dxa"/>
          </w:tcPr>
          <w:p>
            <w:pPr>
              <w:pStyle w:val="TableParagraph"/>
              <w:spacing w:before="3"/>
              <w:ind w:left="342"/>
              <w:jc w:val="center"/>
              <w:rPr>
                <w:b/>
                <w:sz w:val="18"/>
              </w:rPr>
            </w:pPr>
            <w:r>
              <w:rPr>
                <w:b/>
                <w:w w:val="99"/>
                <w:sz w:val="18"/>
              </w:rPr>
              <w:t>-</w:t>
            </w:r>
          </w:p>
        </w:tc>
        <w:tc>
          <w:tcPr>
            <w:tcW w:w="1132" w:type="dxa"/>
          </w:tcPr>
          <w:p>
            <w:pPr>
              <w:pStyle w:val="TableParagraph"/>
              <w:spacing w:before="3"/>
              <w:ind w:right="292"/>
              <w:jc w:val="right"/>
              <w:rPr>
                <w:b/>
                <w:sz w:val="18"/>
              </w:rPr>
            </w:pPr>
            <w:r>
              <w:rPr>
                <w:b/>
                <w:w w:val="99"/>
                <w:sz w:val="18"/>
              </w:rPr>
              <w:t>-</w:t>
            </w:r>
          </w:p>
        </w:tc>
      </w:tr>
      <w:tr>
        <w:trPr>
          <w:trHeight w:val="243" w:hRule="exact"/>
        </w:trPr>
        <w:tc>
          <w:tcPr>
            <w:tcW w:w="6229" w:type="dxa"/>
          </w:tcPr>
          <w:p>
            <w:pPr>
              <w:pStyle w:val="TableParagraph"/>
              <w:spacing w:before="3"/>
              <w:ind w:left="79"/>
              <w:rPr>
                <w:sz w:val="18"/>
              </w:rPr>
            </w:pPr>
            <w:r>
              <w:rPr>
                <w:sz w:val="18"/>
              </w:rPr>
              <w:t>Amortisation charge</w:t>
            </w:r>
          </w:p>
        </w:tc>
        <w:tc>
          <w:tcPr>
            <w:tcW w:w="1449" w:type="dxa"/>
            <w:tcBorders>
              <w:bottom w:val="single" w:sz="8" w:space="0" w:color="000000"/>
            </w:tcBorders>
          </w:tcPr>
          <w:p>
            <w:pPr>
              <w:pStyle w:val="TableParagraph"/>
              <w:spacing w:before="3"/>
              <w:ind w:left="953"/>
              <w:rPr>
                <w:b/>
                <w:sz w:val="18"/>
              </w:rPr>
            </w:pPr>
            <w:r>
              <w:rPr>
                <w:b/>
                <w:w w:val="99"/>
                <w:sz w:val="18"/>
              </w:rPr>
              <w:t>-</w:t>
            </w:r>
          </w:p>
        </w:tc>
        <w:tc>
          <w:tcPr>
            <w:tcW w:w="1468" w:type="dxa"/>
            <w:tcBorders>
              <w:bottom w:val="single" w:sz="8" w:space="0" w:color="000000"/>
            </w:tcBorders>
          </w:tcPr>
          <w:p>
            <w:pPr>
              <w:pStyle w:val="TableParagraph"/>
              <w:spacing w:before="3"/>
              <w:ind w:right="269"/>
              <w:jc w:val="right"/>
              <w:rPr>
                <w:b/>
                <w:sz w:val="18"/>
              </w:rPr>
            </w:pPr>
            <w:r>
              <w:rPr>
                <w:b/>
                <w:w w:val="95"/>
                <w:sz w:val="18"/>
              </w:rPr>
              <w:t>(750)</w:t>
            </w:r>
          </w:p>
        </w:tc>
        <w:tc>
          <w:tcPr>
            <w:tcW w:w="1132" w:type="dxa"/>
            <w:tcBorders>
              <w:bottom w:val="single" w:sz="8" w:space="0" w:color="000000"/>
            </w:tcBorders>
          </w:tcPr>
          <w:p>
            <w:pPr>
              <w:pStyle w:val="TableParagraph"/>
              <w:spacing w:before="3"/>
              <w:ind w:right="29"/>
              <w:jc w:val="right"/>
              <w:rPr>
                <w:b/>
                <w:sz w:val="18"/>
              </w:rPr>
            </w:pPr>
            <w:r>
              <w:rPr>
                <w:b/>
                <w:w w:val="95"/>
                <w:sz w:val="18"/>
              </w:rPr>
              <w:t>(750)</w:t>
            </w:r>
          </w:p>
        </w:tc>
      </w:tr>
      <w:tr>
        <w:trPr>
          <w:trHeight w:val="233" w:hRule="exact"/>
        </w:trPr>
        <w:tc>
          <w:tcPr>
            <w:tcW w:w="6229" w:type="dxa"/>
          </w:tcPr>
          <w:p>
            <w:pPr>
              <w:pStyle w:val="TableParagraph"/>
              <w:spacing w:line="200" w:lineRule="exact"/>
              <w:ind w:left="79"/>
              <w:rPr>
                <w:sz w:val="18"/>
              </w:rPr>
            </w:pPr>
            <w:r>
              <w:rPr>
                <w:sz w:val="18"/>
              </w:rPr>
              <w:t>Closing net book amount</w:t>
            </w:r>
          </w:p>
        </w:tc>
        <w:tc>
          <w:tcPr>
            <w:tcW w:w="1449" w:type="dxa"/>
            <w:tcBorders>
              <w:top w:val="single" w:sz="8" w:space="0" w:color="000000"/>
              <w:bottom w:val="single" w:sz="8" w:space="0" w:color="000000"/>
            </w:tcBorders>
          </w:tcPr>
          <w:p>
            <w:pPr>
              <w:pStyle w:val="TableParagraph"/>
              <w:spacing w:line="191" w:lineRule="exact"/>
              <w:ind w:left="953"/>
              <w:rPr>
                <w:b/>
                <w:sz w:val="18"/>
              </w:rPr>
            </w:pPr>
            <w:r>
              <w:rPr>
                <w:b/>
                <w:w w:val="99"/>
                <w:sz w:val="18"/>
              </w:rPr>
              <w:t>-</w:t>
            </w:r>
          </w:p>
        </w:tc>
        <w:tc>
          <w:tcPr>
            <w:tcW w:w="1468" w:type="dxa"/>
            <w:tcBorders>
              <w:top w:val="single" w:sz="8" w:space="0" w:color="000000"/>
              <w:bottom w:val="single" w:sz="8" w:space="0" w:color="000000"/>
            </w:tcBorders>
          </w:tcPr>
          <w:p>
            <w:pPr>
              <w:pStyle w:val="TableParagraph"/>
              <w:spacing w:line="191" w:lineRule="exact"/>
              <w:ind w:right="328"/>
              <w:jc w:val="right"/>
              <w:rPr>
                <w:b/>
                <w:sz w:val="18"/>
              </w:rPr>
            </w:pPr>
            <w:r>
              <w:rPr>
                <w:b/>
                <w:w w:val="95"/>
                <w:sz w:val="18"/>
              </w:rPr>
              <w:t>13,192</w:t>
            </w:r>
          </w:p>
        </w:tc>
        <w:tc>
          <w:tcPr>
            <w:tcW w:w="1132" w:type="dxa"/>
            <w:tcBorders>
              <w:top w:val="single" w:sz="8" w:space="0" w:color="000000"/>
              <w:bottom w:val="single" w:sz="8" w:space="0" w:color="000000"/>
            </w:tcBorders>
          </w:tcPr>
          <w:p>
            <w:pPr>
              <w:pStyle w:val="TableParagraph"/>
              <w:spacing w:line="191" w:lineRule="exact"/>
              <w:ind w:right="90"/>
              <w:jc w:val="right"/>
              <w:rPr>
                <w:b/>
                <w:sz w:val="18"/>
              </w:rPr>
            </w:pPr>
            <w:r>
              <w:rPr>
                <w:b/>
                <w:w w:val="95"/>
                <w:sz w:val="18"/>
              </w:rPr>
              <w:t>13,192</w:t>
            </w:r>
          </w:p>
        </w:tc>
      </w:tr>
      <w:tr>
        <w:trPr>
          <w:trHeight w:val="351" w:hRule="exact"/>
        </w:trPr>
        <w:tc>
          <w:tcPr>
            <w:tcW w:w="6229" w:type="dxa"/>
          </w:tcPr>
          <w:p>
            <w:pPr>
              <w:pStyle w:val="TableParagraph"/>
              <w:spacing w:before="122"/>
              <w:ind w:left="79"/>
              <w:rPr>
                <w:b/>
                <w:sz w:val="18"/>
              </w:rPr>
            </w:pPr>
            <w:r>
              <w:rPr>
                <w:b/>
                <w:sz w:val="18"/>
              </w:rPr>
              <w:t>At 31 December 2012</w:t>
            </w:r>
          </w:p>
        </w:tc>
        <w:tc>
          <w:tcPr>
            <w:tcW w:w="1449" w:type="dxa"/>
            <w:tcBorders>
              <w:top w:val="single" w:sz="8" w:space="0" w:color="000000"/>
            </w:tcBorders>
          </w:tcPr>
          <w:p>
            <w:pPr/>
          </w:p>
        </w:tc>
        <w:tc>
          <w:tcPr>
            <w:tcW w:w="1468" w:type="dxa"/>
            <w:tcBorders>
              <w:top w:val="single" w:sz="8" w:space="0" w:color="000000"/>
            </w:tcBorders>
          </w:tcPr>
          <w:p>
            <w:pPr/>
          </w:p>
        </w:tc>
        <w:tc>
          <w:tcPr>
            <w:tcW w:w="1132" w:type="dxa"/>
            <w:tcBorders>
              <w:top w:val="single" w:sz="8" w:space="0" w:color="000000"/>
            </w:tcBorders>
          </w:tcPr>
          <w:p>
            <w:pPr/>
          </w:p>
        </w:tc>
      </w:tr>
      <w:tr>
        <w:trPr>
          <w:trHeight w:val="233" w:hRule="exact"/>
        </w:trPr>
        <w:tc>
          <w:tcPr>
            <w:tcW w:w="6229" w:type="dxa"/>
          </w:tcPr>
          <w:p>
            <w:pPr>
              <w:pStyle w:val="TableParagraph"/>
              <w:spacing w:before="3"/>
              <w:ind w:left="79"/>
              <w:rPr>
                <w:sz w:val="18"/>
              </w:rPr>
            </w:pPr>
            <w:r>
              <w:rPr>
                <w:sz w:val="18"/>
              </w:rPr>
              <w:t>Cost</w:t>
            </w:r>
          </w:p>
        </w:tc>
        <w:tc>
          <w:tcPr>
            <w:tcW w:w="1449" w:type="dxa"/>
          </w:tcPr>
          <w:p>
            <w:pPr>
              <w:pStyle w:val="TableParagraph"/>
              <w:spacing w:before="3"/>
              <w:ind w:right="234"/>
              <w:jc w:val="right"/>
              <w:rPr>
                <w:b/>
                <w:sz w:val="18"/>
              </w:rPr>
            </w:pPr>
            <w:r>
              <w:rPr>
                <w:b/>
                <w:w w:val="95"/>
                <w:sz w:val="18"/>
              </w:rPr>
              <w:t>65,500</w:t>
            </w:r>
          </w:p>
        </w:tc>
        <w:tc>
          <w:tcPr>
            <w:tcW w:w="1468" w:type="dxa"/>
          </w:tcPr>
          <w:p>
            <w:pPr>
              <w:pStyle w:val="TableParagraph"/>
              <w:spacing w:before="3"/>
              <w:ind w:right="328"/>
              <w:jc w:val="right"/>
              <w:rPr>
                <w:b/>
                <w:sz w:val="18"/>
              </w:rPr>
            </w:pPr>
            <w:r>
              <w:rPr>
                <w:b/>
                <w:w w:val="95"/>
                <w:sz w:val="18"/>
              </w:rPr>
              <w:t>15,000</w:t>
            </w:r>
          </w:p>
        </w:tc>
        <w:tc>
          <w:tcPr>
            <w:tcW w:w="1132" w:type="dxa"/>
          </w:tcPr>
          <w:p>
            <w:pPr>
              <w:pStyle w:val="TableParagraph"/>
              <w:spacing w:before="3"/>
              <w:ind w:right="90"/>
              <w:jc w:val="right"/>
              <w:rPr>
                <w:b/>
                <w:sz w:val="18"/>
              </w:rPr>
            </w:pPr>
            <w:r>
              <w:rPr>
                <w:b/>
                <w:w w:val="95"/>
                <w:sz w:val="18"/>
              </w:rPr>
              <w:t>80,500</w:t>
            </w:r>
          </w:p>
        </w:tc>
      </w:tr>
      <w:tr>
        <w:trPr>
          <w:trHeight w:val="243" w:hRule="exact"/>
        </w:trPr>
        <w:tc>
          <w:tcPr>
            <w:tcW w:w="6229" w:type="dxa"/>
          </w:tcPr>
          <w:p>
            <w:pPr>
              <w:pStyle w:val="TableParagraph"/>
              <w:spacing w:before="3"/>
              <w:ind w:left="79"/>
              <w:rPr>
                <w:sz w:val="18"/>
              </w:rPr>
            </w:pPr>
            <w:r>
              <w:rPr>
                <w:sz w:val="18"/>
              </w:rPr>
              <w:t>Accumulated amortisation</w:t>
            </w:r>
          </w:p>
        </w:tc>
        <w:tc>
          <w:tcPr>
            <w:tcW w:w="1449" w:type="dxa"/>
            <w:tcBorders>
              <w:bottom w:val="single" w:sz="8" w:space="0" w:color="000000"/>
            </w:tcBorders>
          </w:tcPr>
          <w:p>
            <w:pPr>
              <w:pStyle w:val="TableParagraph"/>
              <w:spacing w:before="3"/>
              <w:ind w:right="176"/>
              <w:jc w:val="right"/>
              <w:rPr>
                <w:b/>
                <w:sz w:val="18"/>
              </w:rPr>
            </w:pPr>
            <w:r>
              <w:rPr>
                <w:b/>
                <w:w w:val="95"/>
                <w:sz w:val="18"/>
              </w:rPr>
              <w:t>(65,500)</w:t>
            </w:r>
          </w:p>
        </w:tc>
        <w:tc>
          <w:tcPr>
            <w:tcW w:w="1468" w:type="dxa"/>
            <w:tcBorders>
              <w:bottom w:val="single" w:sz="8" w:space="0" w:color="000000"/>
            </w:tcBorders>
          </w:tcPr>
          <w:p>
            <w:pPr>
              <w:pStyle w:val="TableParagraph"/>
              <w:spacing w:before="3"/>
              <w:ind w:right="272"/>
              <w:jc w:val="right"/>
              <w:rPr>
                <w:b/>
                <w:sz w:val="18"/>
              </w:rPr>
            </w:pPr>
            <w:r>
              <w:rPr>
                <w:b/>
                <w:w w:val="95"/>
                <w:sz w:val="18"/>
              </w:rPr>
              <w:t>(1,808)</w:t>
            </w:r>
          </w:p>
        </w:tc>
        <w:tc>
          <w:tcPr>
            <w:tcW w:w="1132" w:type="dxa"/>
            <w:tcBorders>
              <w:bottom w:val="single" w:sz="8" w:space="0" w:color="000000"/>
            </w:tcBorders>
          </w:tcPr>
          <w:p>
            <w:pPr>
              <w:pStyle w:val="TableParagraph"/>
              <w:spacing w:before="3"/>
              <w:ind w:right="34"/>
              <w:jc w:val="right"/>
              <w:rPr>
                <w:b/>
                <w:sz w:val="18"/>
              </w:rPr>
            </w:pPr>
            <w:r>
              <w:rPr>
                <w:b/>
                <w:w w:val="95"/>
                <w:sz w:val="18"/>
              </w:rPr>
              <w:t>(67,308)</w:t>
            </w:r>
          </w:p>
        </w:tc>
      </w:tr>
      <w:tr>
        <w:trPr>
          <w:trHeight w:val="239" w:hRule="exact"/>
        </w:trPr>
        <w:tc>
          <w:tcPr>
            <w:tcW w:w="6229" w:type="dxa"/>
          </w:tcPr>
          <w:p>
            <w:pPr>
              <w:pStyle w:val="TableParagraph"/>
              <w:spacing w:line="207" w:lineRule="exact"/>
              <w:ind w:left="79"/>
              <w:rPr>
                <w:sz w:val="18"/>
              </w:rPr>
            </w:pPr>
            <w:r>
              <w:rPr>
                <w:sz w:val="18"/>
              </w:rPr>
              <w:t>Net book amount</w:t>
            </w:r>
          </w:p>
        </w:tc>
        <w:tc>
          <w:tcPr>
            <w:tcW w:w="1449" w:type="dxa"/>
            <w:tcBorders>
              <w:top w:val="single" w:sz="8" w:space="0" w:color="000000"/>
              <w:bottom w:val="single" w:sz="23" w:space="0" w:color="000000"/>
            </w:tcBorders>
          </w:tcPr>
          <w:p>
            <w:pPr>
              <w:pStyle w:val="TableParagraph"/>
              <w:spacing w:line="197" w:lineRule="exact"/>
              <w:ind w:left="953"/>
              <w:rPr>
                <w:b/>
                <w:sz w:val="18"/>
              </w:rPr>
            </w:pPr>
            <w:r>
              <w:rPr>
                <w:b/>
                <w:w w:val="99"/>
                <w:sz w:val="18"/>
              </w:rPr>
              <w:t>-</w:t>
            </w:r>
          </w:p>
        </w:tc>
        <w:tc>
          <w:tcPr>
            <w:tcW w:w="1468" w:type="dxa"/>
            <w:tcBorders>
              <w:top w:val="single" w:sz="8" w:space="0" w:color="000000"/>
              <w:bottom w:val="single" w:sz="23" w:space="0" w:color="000000"/>
            </w:tcBorders>
          </w:tcPr>
          <w:p>
            <w:pPr>
              <w:pStyle w:val="TableParagraph"/>
              <w:spacing w:line="197" w:lineRule="exact"/>
              <w:ind w:right="328"/>
              <w:jc w:val="right"/>
              <w:rPr>
                <w:b/>
                <w:sz w:val="18"/>
              </w:rPr>
            </w:pPr>
            <w:r>
              <w:rPr>
                <w:b/>
                <w:w w:val="95"/>
                <w:sz w:val="18"/>
              </w:rPr>
              <w:t>13,192</w:t>
            </w:r>
          </w:p>
        </w:tc>
        <w:tc>
          <w:tcPr>
            <w:tcW w:w="1132" w:type="dxa"/>
            <w:tcBorders>
              <w:top w:val="single" w:sz="8" w:space="0" w:color="000000"/>
              <w:bottom w:val="single" w:sz="23" w:space="0" w:color="000000"/>
            </w:tcBorders>
          </w:tcPr>
          <w:p>
            <w:pPr>
              <w:pStyle w:val="TableParagraph"/>
              <w:spacing w:line="197" w:lineRule="exact"/>
              <w:ind w:right="90"/>
              <w:jc w:val="right"/>
              <w:rPr>
                <w:b/>
                <w:sz w:val="18"/>
              </w:rPr>
            </w:pPr>
            <w:r>
              <w:rPr>
                <w:b/>
                <w:w w:val="95"/>
                <w:sz w:val="18"/>
              </w:rPr>
              <w:t>13,192</w:t>
            </w:r>
          </w:p>
        </w:tc>
      </w:tr>
    </w:tbl>
    <w:p>
      <w:pPr>
        <w:pStyle w:val="BodyText"/>
        <w:rPr>
          <w:rFonts w:ascii="Times New Roman"/>
          <w:sz w:val="20"/>
        </w:rPr>
      </w:pPr>
    </w:p>
    <w:p>
      <w:pPr>
        <w:pStyle w:val="BodyText"/>
        <w:spacing w:before="9"/>
        <w:rPr>
          <w:rFonts w:ascii="Times New Roman"/>
          <w:sz w:val="22"/>
        </w:rPr>
      </w:pPr>
    </w:p>
    <w:p>
      <w:pPr>
        <w:pStyle w:val="Heading9"/>
        <w:spacing w:before="77" w:after="36"/>
        <w:ind w:left="145"/>
      </w:pPr>
      <w:r>
        <w:rPr/>
        <w:t>10    Trade and other payables</w:t>
      </w: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41"/>
        <w:gridCol w:w="1460"/>
        <w:gridCol w:w="1135"/>
      </w:tblGrid>
      <w:tr>
        <w:trPr>
          <w:trHeight w:val="792" w:hRule="exact"/>
        </w:trPr>
        <w:tc>
          <w:tcPr>
            <w:tcW w:w="7641" w:type="dxa"/>
          </w:tcPr>
          <w:p>
            <w:pPr>
              <w:pStyle w:val="TableParagraph"/>
              <w:rPr>
                <w:b/>
                <w:sz w:val="18"/>
              </w:rPr>
            </w:pPr>
          </w:p>
          <w:p>
            <w:pPr>
              <w:pStyle w:val="TableParagraph"/>
              <w:rPr>
                <w:b/>
                <w:sz w:val="18"/>
              </w:rPr>
            </w:pPr>
          </w:p>
          <w:p>
            <w:pPr>
              <w:pStyle w:val="TableParagraph"/>
              <w:spacing w:before="105"/>
              <w:ind w:left="35"/>
              <w:rPr>
                <w:sz w:val="18"/>
              </w:rPr>
            </w:pPr>
            <w:r>
              <w:rPr>
                <w:sz w:val="18"/>
              </w:rPr>
              <w:t>Trade payables</w:t>
            </w:r>
          </w:p>
        </w:tc>
        <w:tc>
          <w:tcPr>
            <w:tcW w:w="1460" w:type="dxa"/>
          </w:tcPr>
          <w:p>
            <w:pPr>
              <w:pStyle w:val="TableParagraph"/>
              <w:spacing w:before="39"/>
              <w:ind w:left="448" w:right="229"/>
              <w:rPr>
                <w:b/>
                <w:sz w:val="18"/>
              </w:rPr>
            </w:pPr>
            <w:r>
              <w:rPr>
                <w:b/>
                <w:sz w:val="18"/>
              </w:rPr>
              <w:t>2012</w:t>
            </w:r>
          </w:p>
          <w:p>
            <w:pPr>
              <w:pStyle w:val="TableParagraph"/>
              <w:spacing w:line="312" w:lineRule="auto" w:before="33"/>
              <w:ind w:left="410" w:right="229" w:firstLine="188"/>
              <w:rPr>
                <w:b/>
                <w:sz w:val="18"/>
              </w:rPr>
            </w:pPr>
            <w:r>
              <w:rPr>
                <w:b/>
                <w:sz w:val="18"/>
              </w:rPr>
              <w:t>$ 2,924,673</w:t>
            </w:r>
          </w:p>
        </w:tc>
        <w:tc>
          <w:tcPr>
            <w:tcW w:w="1135" w:type="dxa"/>
          </w:tcPr>
          <w:p>
            <w:pPr>
              <w:pStyle w:val="TableParagraph"/>
              <w:spacing w:before="5"/>
              <w:ind w:left="272" w:right="65"/>
              <w:rPr>
                <w:sz w:val="18"/>
              </w:rPr>
            </w:pPr>
            <w:r>
              <w:rPr>
                <w:sz w:val="18"/>
              </w:rPr>
              <w:t>2011</w:t>
            </w:r>
          </w:p>
          <w:p>
            <w:pPr>
              <w:pStyle w:val="TableParagraph"/>
              <w:spacing w:line="312" w:lineRule="auto" w:before="66"/>
              <w:ind w:left="248" w:right="65" w:firstLine="174"/>
              <w:rPr>
                <w:sz w:val="18"/>
              </w:rPr>
            </w:pPr>
            <w:r>
              <w:rPr>
                <w:sz w:val="18"/>
              </w:rPr>
              <w:t>$ 2,609,447</w:t>
            </w:r>
          </w:p>
        </w:tc>
      </w:tr>
      <w:tr>
        <w:trPr>
          <w:trHeight w:val="264" w:hRule="exact"/>
        </w:trPr>
        <w:tc>
          <w:tcPr>
            <w:tcW w:w="7641" w:type="dxa"/>
          </w:tcPr>
          <w:p>
            <w:pPr>
              <w:pStyle w:val="TableParagraph"/>
              <w:spacing w:before="18"/>
              <w:ind w:left="35"/>
              <w:rPr>
                <w:sz w:val="18"/>
              </w:rPr>
            </w:pPr>
            <w:r>
              <w:rPr>
                <w:sz w:val="18"/>
              </w:rPr>
              <w:t>Accrued expenses</w:t>
            </w:r>
          </w:p>
        </w:tc>
        <w:tc>
          <w:tcPr>
            <w:tcW w:w="1460" w:type="dxa"/>
          </w:tcPr>
          <w:p>
            <w:pPr>
              <w:pStyle w:val="TableParagraph"/>
              <w:spacing w:before="19"/>
              <w:ind w:right="246"/>
              <w:jc w:val="right"/>
              <w:rPr>
                <w:b/>
                <w:sz w:val="18"/>
              </w:rPr>
            </w:pPr>
            <w:r>
              <w:rPr>
                <w:b/>
                <w:w w:val="95"/>
                <w:sz w:val="18"/>
              </w:rPr>
              <w:t>241,440</w:t>
            </w:r>
          </w:p>
        </w:tc>
        <w:tc>
          <w:tcPr>
            <w:tcW w:w="1135" w:type="dxa"/>
          </w:tcPr>
          <w:p>
            <w:pPr>
              <w:pStyle w:val="TableParagraph"/>
              <w:spacing w:before="19"/>
              <w:ind w:right="83"/>
              <w:jc w:val="right"/>
              <w:rPr>
                <w:sz w:val="18"/>
              </w:rPr>
            </w:pPr>
            <w:r>
              <w:rPr>
                <w:w w:val="95"/>
                <w:sz w:val="18"/>
              </w:rPr>
              <w:t>146,615</w:t>
            </w:r>
          </w:p>
        </w:tc>
      </w:tr>
      <w:tr>
        <w:trPr>
          <w:trHeight w:val="263" w:hRule="exact"/>
        </w:trPr>
        <w:tc>
          <w:tcPr>
            <w:tcW w:w="7641" w:type="dxa"/>
          </w:tcPr>
          <w:p>
            <w:pPr>
              <w:pStyle w:val="TableParagraph"/>
              <w:spacing w:before="18"/>
              <w:ind w:left="35"/>
              <w:rPr>
                <w:sz w:val="18"/>
              </w:rPr>
            </w:pPr>
            <w:r>
              <w:rPr>
                <w:sz w:val="18"/>
              </w:rPr>
              <w:t>Other payables</w:t>
            </w:r>
          </w:p>
        </w:tc>
        <w:tc>
          <w:tcPr>
            <w:tcW w:w="1460" w:type="dxa"/>
            <w:tcBorders>
              <w:bottom w:val="single" w:sz="0" w:space="0" w:color="000000"/>
            </w:tcBorders>
          </w:tcPr>
          <w:p>
            <w:pPr>
              <w:pStyle w:val="TableParagraph"/>
              <w:spacing w:before="19"/>
              <w:ind w:right="246"/>
              <w:jc w:val="right"/>
              <w:rPr>
                <w:b/>
                <w:sz w:val="18"/>
              </w:rPr>
            </w:pPr>
            <w:r>
              <w:rPr>
                <w:b/>
                <w:w w:val="95"/>
                <w:sz w:val="18"/>
              </w:rPr>
              <w:t>369,450</w:t>
            </w:r>
          </w:p>
        </w:tc>
        <w:tc>
          <w:tcPr>
            <w:tcW w:w="1135" w:type="dxa"/>
            <w:tcBorders>
              <w:bottom w:val="single" w:sz="0" w:space="0" w:color="000000"/>
            </w:tcBorders>
          </w:tcPr>
          <w:p>
            <w:pPr>
              <w:pStyle w:val="TableParagraph"/>
              <w:spacing w:before="19"/>
              <w:ind w:right="83"/>
              <w:jc w:val="right"/>
              <w:rPr>
                <w:sz w:val="18"/>
              </w:rPr>
            </w:pPr>
            <w:r>
              <w:rPr>
                <w:w w:val="95"/>
                <w:sz w:val="18"/>
              </w:rPr>
              <w:t>247,876</w:t>
            </w:r>
          </w:p>
        </w:tc>
      </w:tr>
      <w:tr>
        <w:trPr>
          <w:trHeight w:val="353" w:hRule="exact"/>
        </w:trPr>
        <w:tc>
          <w:tcPr>
            <w:tcW w:w="7641" w:type="dxa"/>
          </w:tcPr>
          <w:p>
            <w:pP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3,535,563</w:t>
            </w:r>
          </w:p>
        </w:tc>
        <w:tc>
          <w:tcPr>
            <w:tcW w:w="1135" w:type="dxa"/>
            <w:tcBorders>
              <w:top w:val="single" w:sz="0" w:space="0" w:color="000000"/>
              <w:bottom w:val="single" w:sz="0" w:space="0" w:color="000000"/>
            </w:tcBorders>
          </w:tcPr>
          <w:p>
            <w:pPr>
              <w:pStyle w:val="TableParagraph"/>
              <w:spacing w:before="122"/>
              <w:ind w:right="82"/>
              <w:jc w:val="right"/>
              <w:rPr>
                <w:sz w:val="18"/>
              </w:rPr>
            </w:pPr>
            <w:r>
              <w:rPr>
                <w:w w:val="95"/>
                <w:sz w:val="18"/>
              </w:rPr>
              <w:t>3,003,938</w:t>
            </w:r>
          </w:p>
        </w:tc>
      </w:tr>
      <w:tr>
        <w:trPr>
          <w:trHeight w:val="385" w:hRule="exact"/>
        </w:trPr>
        <w:tc>
          <w:tcPr>
            <w:tcW w:w="7641" w:type="dxa"/>
          </w:tcPr>
          <w:p>
            <w:pPr>
              <w:pStyle w:val="TableParagraph"/>
              <w:spacing w:before="148"/>
              <w:ind w:left="35"/>
              <w:rPr>
                <w:b/>
                <w:sz w:val="18"/>
              </w:rPr>
            </w:pPr>
            <w:r>
              <w:rPr>
                <w:b/>
                <w:sz w:val="18"/>
              </w:rPr>
              <w:t>11   Borrowings</w:t>
            </w:r>
          </w:p>
        </w:tc>
        <w:tc>
          <w:tcPr>
            <w:tcW w:w="1460" w:type="dxa"/>
            <w:tcBorders>
              <w:top w:val="single" w:sz="0" w:space="0" w:color="000000"/>
            </w:tcBorders>
          </w:tcPr>
          <w:p>
            <w:pPr/>
          </w:p>
        </w:tc>
        <w:tc>
          <w:tcPr>
            <w:tcW w:w="1135" w:type="dxa"/>
            <w:tcBorders>
              <w:top w:val="single" w:sz="0" w:space="0" w:color="000000"/>
            </w:tcBorders>
          </w:tcPr>
          <w:p>
            <w:pPr/>
          </w:p>
        </w:tc>
      </w:tr>
      <w:tr>
        <w:trPr>
          <w:trHeight w:val="278" w:hRule="exact"/>
        </w:trPr>
        <w:tc>
          <w:tcPr>
            <w:tcW w:w="7641" w:type="dxa"/>
          </w:tcPr>
          <w:p>
            <w:pPr/>
          </w:p>
        </w:tc>
        <w:tc>
          <w:tcPr>
            <w:tcW w:w="1460" w:type="dxa"/>
          </w:tcPr>
          <w:p>
            <w:pPr>
              <w:pStyle w:val="TableParagraph"/>
              <w:spacing w:before="45"/>
              <w:ind w:left="448" w:right="229"/>
              <w:rPr>
                <w:b/>
                <w:sz w:val="18"/>
              </w:rPr>
            </w:pPr>
            <w:r>
              <w:rPr>
                <w:b/>
                <w:sz w:val="18"/>
              </w:rPr>
              <w:t>2012</w:t>
            </w:r>
          </w:p>
        </w:tc>
        <w:tc>
          <w:tcPr>
            <w:tcW w:w="1135" w:type="dxa"/>
          </w:tcPr>
          <w:p>
            <w:pPr>
              <w:pStyle w:val="TableParagraph"/>
              <w:spacing w:before="11"/>
              <w:ind w:left="272" w:right="65"/>
              <w:rPr>
                <w:sz w:val="18"/>
              </w:rPr>
            </w:pPr>
            <w:r>
              <w:rPr>
                <w:sz w:val="18"/>
              </w:rPr>
              <w:t>2011</w:t>
            </w:r>
          </w:p>
        </w:tc>
      </w:tr>
      <w:tr>
        <w:trPr>
          <w:trHeight w:val="240" w:hRule="exact"/>
        </w:trPr>
        <w:tc>
          <w:tcPr>
            <w:tcW w:w="7641" w:type="dxa"/>
          </w:tcPr>
          <w:p>
            <w:pPr/>
          </w:p>
        </w:tc>
        <w:tc>
          <w:tcPr>
            <w:tcW w:w="1460" w:type="dxa"/>
          </w:tcPr>
          <w:p>
            <w:pPr>
              <w:pStyle w:val="TableParagraph"/>
              <w:spacing w:before="7"/>
              <w:ind w:right="160"/>
              <w:jc w:val="center"/>
              <w:rPr>
                <w:b/>
                <w:sz w:val="18"/>
              </w:rPr>
            </w:pPr>
            <w:r>
              <w:rPr>
                <w:b/>
                <w:w w:val="99"/>
                <w:sz w:val="18"/>
              </w:rPr>
              <w:t>$</w:t>
            </w:r>
          </w:p>
        </w:tc>
        <w:tc>
          <w:tcPr>
            <w:tcW w:w="1135" w:type="dxa"/>
          </w:tcPr>
          <w:p>
            <w:pPr>
              <w:pStyle w:val="TableParagraph"/>
              <w:spacing w:before="7"/>
              <w:ind w:right="186"/>
              <w:jc w:val="center"/>
              <w:rPr>
                <w:sz w:val="18"/>
              </w:rPr>
            </w:pPr>
            <w:r>
              <w:rPr>
                <w:w w:val="99"/>
                <w:sz w:val="18"/>
              </w:rPr>
              <w:t>$</w:t>
            </w:r>
          </w:p>
        </w:tc>
      </w:tr>
      <w:tr>
        <w:trPr>
          <w:trHeight w:val="486" w:hRule="exact"/>
        </w:trPr>
        <w:tc>
          <w:tcPr>
            <w:tcW w:w="7641" w:type="dxa"/>
          </w:tcPr>
          <w:p>
            <w:pPr>
              <w:pStyle w:val="TableParagraph"/>
              <w:spacing w:before="7"/>
              <w:ind w:left="35"/>
              <w:rPr>
                <w:b/>
                <w:sz w:val="18"/>
              </w:rPr>
            </w:pPr>
            <w:r>
              <w:rPr>
                <w:b/>
                <w:sz w:val="18"/>
              </w:rPr>
              <w:t>Unsecured - current</w:t>
            </w:r>
          </w:p>
          <w:p>
            <w:pPr>
              <w:pStyle w:val="TableParagraph"/>
              <w:spacing w:before="27"/>
              <w:ind w:left="35"/>
              <w:rPr>
                <w:sz w:val="18"/>
              </w:rPr>
            </w:pPr>
            <w:r>
              <w:rPr>
                <w:sz w:val="18"/>
              </w:rPr>
              <w:t>Loans from related parties</w:t>
            </w:r>
          </w:p>
        </w:tc>
        <w:tc>
          <w:tcPr>
            <w:tcW w:w="1460" w:type="dxa"/>
            <w:tcBorders>
              <w:bottom w:val="single" w:sz="0" w:space="0" w:color="000000"/>
            </w:tcBorders>
          </w:tcPr>
          <w:p>
            <w:pPr>
              <w:pStyle w:val="TableParagraph"/>
              <w:rPr>
                <w:b/>
                <w:sz w:val="21"/>
              </w:rPr>
            </w:pPr>
          </w:p>
          <w:p>
            <w:pPr>
              <w:pStyle w:val="TableParagraph"/>
              <w:ind w:right="246"/>
              <w:jc w:val="right"/>
              <w:rPr>
                <w:b/>
                <w:sz w:val="18"/>
              </w:rPr>
            </w:pPr>
            <w:r>
              <w:rPr>
                <w:b/>
                <w:w w:val="95"/>
                <w:sz w:val="18"/>
              </w:rPr>
              <w:t>1,517,745</w:t>
            </w:r>
          </w:p>
        </w:tc>
        <w:tc>
          <w:tcPr>
            <w:tcW w:w="1135" w:type="dxa"/>
            <w:tcBorders>
              <w:bottom w:val="single" w:sz="0" w:space="0" w:color="000000"/>
            </w:tcBorders>
          </w:tcPr>
          <w:p>
            <w:pPr>
              <w:pStyle w:val="TableParagraph"/>
              <w:rPr>
                <w:b/>
                <w:sz w:val="21"/>
              </w:rPr>
            </w:pPr>
          </w:p>
          <w:p>
            <w:pPr>
              <w:pStyle w:val="TableParagraph"/>
              <w:ind w:right="83"/>
              <w:jc w:val="right"/>
              <w:rPr>
                <w:sz w:val="18"/>
              </w:rPr>
            </w:pPr>
            <w:r>
              <w:rPr>
                <w:w w:val="95"/>
                <w:sz w:val="18"/>
              </w:rPr>
              <w:t>1,625,000</w:t>
            </w:r>
          </w:p>
        </w:tc>
      </w:tr>
      <w:tr>
        <w:trPr>
          <w:trHeight w:val="353" w:hRule="exact"/>
        </w:trPr>
        <w:tc>
          <w:tcPr>
            <w:tcW w:w="7641" w:type="dxa"/>
          </w:tcPr>
          <w:p>
            <w:pPr>
              <w:pStyle w:val="TableParagraph"/>
              <w:spacing w:before="10"/>
              <w:ind w:left="34"/>
              <w:rPr>
                <w:b/>
                <w:sz w:val="18"/>
              </w:rPr>
            </w:pPr>
            <w:r>
              <w:rPr>
                <w:b/>
                <w:sz w:val="18"/>
              </w:rPr>
              <w:t>Total current borrowings</w:t>
            </w: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1,517,745</w:t>
            </w:r>
          </w:p>
        </w:tc>
        <w:tc>
          <w:tcPr>
            <w:tcW w:w="1135" w:type="dxa"/>
            <w:tcBorders>
              <w:top w:val="single" w:sz="0" w:space="0" w:color="000000"/>
              <w:bottom w:val="single" w:sz="0" w:space="0" w:color="000000"/>
            </w:tcBorders>
          </w:tcPr>
          <w:p>
            <w:pPr>
              <w:pStyle w:val="TableParagraph"/>
              <w:spacing w:before="122"/>
              <w:ind w:right="82"/>
              <w:jc w:val="right"/>
              <w:rPr>
                <w:sz w:val="18"/>
              </w:rPr>
            </w:pPr>
            <w:r>
              <w:rPr>
                <w:w w:val="95"/>
                <w:sz w:val="18"/>
              </w:rPr>
              <w:t>1,625,000</w:t>
            </w:r>
          </w:p>
        </w:tc>
      </w:tr>
      <w:tr>
        <w:trPr>
          <w:trHeight w:val="256" w:hRule="exact"/>
        </w:trPr>
        <w:tc>
          <w:tcPr>
            <w:tcW w:w="7641" w:type="dxa"/>
          </w:tcPr>
          <w:p>
            <w:pPr>
              <w:pStyle w:val="TableParagraph"/>
              <w:spacing w:before="25"/>
              <w:ind w:left="35"/>
              <w:rPr>
                <w:b/>
                <w:sz w:val="18"/>
              </w:rPr>
            </w:pPr>
            <w:r>
              <w:rPr>
                <w:b/>
                <w:sz w:val="18"/>
              </w:rPr>
              <w:t>Unsecured - non-current</w:t>
            </w:r>
          </w:p>
        </w:tc>
        <w:tc>
          <w:tcPr>
            <w:tcW w:w="1460" w:type="dxa"/>
            <w:tcBorders>
              <w:top w:val="single" w:sz="0" w:space="0" w:color="000000"/>
            </w:tcBorders>
          </w:tcPr>
          <w:p>
            <w:pPr/>
          </w:p>
        </w:tc>
        <w:tc>
          <w:tcPr>
            <w:tcW w:w="1135" w:type="dxa"/>
            <w:tcBorders>
              <w:top w:val="single" w:sz="0" w:space="0" w:color="000000"/>
            </w:tcBorders>
          </w:tcPr>
          <w:p>
            <w:pPr/>
          </w:p>
        </w:tc>
      </w:tr>
      <w:tr>
        <w:trPr>
          <w:trHeight w:val="249" w:hRule="exact"/>
        </w:trPr>
        <w:tc>
          <w:tcPr>
            <w:tcW w:w="7641" w:type="dxa"/>
          </w:tcPr>
          <w:p>
            <w:pPr>
              <w:pStyle w:val="TableParagraph"/>
              <w:spacing w:before="6"/>
              <w:ind w:left="35"/>
              <w:rPr>
                <w:sz w:val="18"/>
              </w:rPr>
            </w:pPr>
            <w:r>
              <w:rPr>
                <w:sz w:val="18"/>
              </w:rPr>
              <w:t>Loans from related parties</w:t>
            </w:r>
          </w:p>
        </w:tc>
        <w:tc>
          <w:tcPr>
            <w:tcW w:w="1460" w:type="dxa"/>
            <w:tcBorders>
              <w:bottom w:val="single" w:sz="0" w:space="0" w:color="000000"/>
            </w:tcBorders>
          </w:tcPr>
          <w:p>
            <w:pPr>
              <w:pStyle w:val="TableParagraph"/>
              <w:spacing w:before="4"/>
              <w:ind w:right="247"/>
              <w:jc w:val="right"/>
              <w:rPr>
                <w:b/>
                <w:sz w:val="18"/>
              </w:rPr>
            </w:pPr>
            <w:r>
              <w:rPr>
                <w:b/>
                <w:w w:val="95"/>
                <w:sz w:val="18"/>
              </w:rPr>
              <w:t>93,750</w:t>
            </w:r>
          </w:p>
        </w:tc>
        <w:tc>
          <w:tcPr>
            <w:tcW w:w="1135" w:type="dxa"/>
            <w:tcBorders>
              <w:bottom w:val="single" w:sz="0" w:space="0" w:color="000000"/>
            </w:tcBorders>
          </w:tcPr>
          <w:p>
            <w:pPr>
              <w:pStyle w:val="TableParagraph"/>
              <w:spacing w:before="4"/>
              <w:ind w:right="83"/>
              <w:jc w:val="right"/>
              <w:rPr>
                <w:sz w:val="18"/>
              </w:rPr>
            </w:pPr>
            <w:r>
              <w:rPr>
                <w:w w:val="95"/>
                <w:sz w:val="18"/>
              </w:rPr>
              <w:t>234,375</w:t>
            </w:r>
          </w:p>
        </w:tc>
      </w:tr>
      <w:tr>
        <w:trPr>
          <w:trHeight w:val="353" w:hRule="exact"/>
        </w:trPr>
        <w:tc>
          <w:tcPr>
            <w:tcW w:w="7641" w:type="dxa"/>
          </w:tcPr>
          <w:p>
            <w:pPr>
              <w:pStyle w:val="TableParagraph"/>
              <w:spacing w:before="123"/>
              <w:ind w:left="35"/>
              <w:rPr>
                <w:b/>
                <w:sz w:val="18"/>
              </w:rPr>
            </w:pPr>
            <w:r>
              <w:rPr>
                <w:b/>
                <w:sz w:val="18"/>
              </w:rPr>
              <w:t>Total non-current borrowings</w:t>
            </w:r>
          </w:p>
        </w:tc>
        <w:tc>
          <w:tcPr>
            <w:tcW w:w="1460" w:type="dxa"/>
            <w:tcBorders>
              <w:top w:val="single" w:sz="0" w:space="0" w:color="000000"/>
              <w:bottom w:val="single" w:sz="0" w:space="0" w:color="000000"/>
            </w:tcBorders>
          </w:tcPr>
          <w:p>
            <w:pPr>
              <w:pStyle w:val="TableParagraph"/>
              <w:spacing w:before="122"/>
              <w:ind w:right="247"/>
              <w:jc w:val="right"/>
              <w:rPr>
                <w:b/>
                <w:sz w:val="18"/>
              </w:rPr>
            </w:pPr>
            <w:r>
              <w:rPr>
                <w:b/>
                <w:w w:val="95"/>
                <w:sz w:val="18"/>
              </w:rPr>
              <w:t>93,750</w:t>
            </w:r>
          </w:p>
        </w:tc>
        <w:tc>
          <w:tcPr>
            <w:tcW w:w="1135" w:type="dxa"/>
            <w:tcBorders>
              <w:top w:val="single" w:sz="0" w:space="0" w:color="000000"/>
              <w:bottom w:val="single" w:sz="0" w:space="0" w:color="000000"/>
            </w:tcBorders>
          </w:tcPr>
          <w:p>
            <w:pPr>
              <w:pStyle w:val="TableParagraph"/>
              <w:spacing w:before="122"/>
              <w:ind w:right="83"/>
              <w:jc w:val="right"/>
              <w:rPr>
                <w:sz w:val="18"/>
              </w:rPr>
            </w:pPr>
            <w:r>
              <w:rPr>
                <w:w w:val="95"/>
                <w:sz w:val="18"/>
              </w:rPr>
              <w:t>234,375</w:t>
            </w:r>
          </w:p>
        </w:tc>
      </w:tr>
      <w:tr>
        <w:trPr>
          <w:trHeight w:val="535" w:hRule="exact"/>
        </w:trPr>
        <w:tc>
          <w:tcPr>
            <w:tcW w:w="7641" w:type="dxa"/>
          </w:tcPr>
          <w:p>
            <w:pPr>
              <w:pStyle w:val="TableParagraph"/>
              <w:spacing w:before="1"/>
              <w:rPr>
                <w:b/>
                <w:sz w:val="20"/>
              </w:rPr>
            </w:pPr>
          </w:p>
          <w:p>
            <w:pPr>
              <w:pStyle w:val="TableParagraph"/>
              <w:spacing w:before="1"/>
              <w:ind w:left="35"/>
              <w:rPr>
                <w:sz w:val="18"/>
              </w:rPr>
            </w:pPr>
            <w:r>
              <w:rPr>
                <w:sz w:val="18"/>
              </w:rPr>
              <w:t>uwsconnect Limited has an unused operating lease facility to the value of $1.5m.</w:t>
            </w:r>
          </w:p>
        </w:tc>
        <w:tc>
          <w:tcPr>
            <w:tcW w:w="1460" w:type="dxa"/>
            <w:tcBorders>
              <w:top w:val="single" w:sz="0" w:space="0" w:color="000000"/>
            </w:tcBorders>
          </w:tcPr>
          <w:p>
            <w:pPr/>
          </w:p>
        </w:tc>
        <w:tc>
          <w:tcPr>
            <w:tcW w:w="1135" w:type="dxa"/>
            <w:tcBorders>
              <w:top w:val="single" w:sz="0" w:space="0" w:color="000000"/>
            </w:tcBorders>
          </w:tcPr>
          <w:p>
            <w:pPr/>
          </w:p>
        </w:tc>
      </w:tr>
    </w:tbl>
    <w:p>
      <w:pPr>
        <w:spacing w:after="0"/>
        <w:sectPr>
          <w:pgSz w:w="11910" w:h="16840"/>
          <w:pgMar w:header="936" w:footer="526" w:top="2040" w:bottom="700" w:left="760" w:right="640"/>
        </w:sectPr>
      </w:pPr>
    </w:p>
    <w:p>
      <w:pPr>
        <w:pStyle w:val="BodyText"/>
        <w:rPr>
          <w:rFonts w:ascii="Times New Roman"/>
          <w:sz w:val="20"/>
        </w:rPr>
      </w:pPr>
    </w:p>
    <w:p>
      <w:pPr>
        <w:pStyle w:val="BodyText"/>
        <w:spacing w:before="8"/>
        <w:rPr>
          <w:rFonts w:ascii="Times New Roman"/>
          <w:sz w:val="24"/>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42"/>
        <w:gridCol w:w="1460"/>
        <w:gridCol w:w="1134"/>
      </w:tblGrid>
      <w:tr>
        <w:trPr>
          <w:trHeight w:val="694" w:hRule="exact"/>
        </w:trPr>
        <w:tc>
          <w:tcPr>
            <w:tcW w:w="7642" w:type="dxa"/>
          </w:tcPr>
          <w:p>
            <w:pPr>
              <w:pStyle w:val="TableParagraph"/>
              <w:spacing w:before="77"/>
              <w:ind w:left="35"/>
              <w:rPr>
                <w:b/>
                <w:sz w:val="18"/>
              </w:rPr>
            </w:pPr>
            <w:r>
              <w:rPr>
                <w:b/>
                <w:sz w:val="18"/>
              </w:rPr>
              <w:t>12   Provisions</w:t>
            </w:r>
          </w:p>
          <w:p>
            <w:pPr>
              <w:pStyle w:val="TableParagraph"/>
              <w:spacing w:before="4"/>
              <w:rPr>
                <w:rFonts w:ascii="Times New Roman"/>
                <w:sz w:val="15"/>
              </w:rPr>
            </w:pPr>
          </w:p>
          <w:p>
            <w:pPr>
              <w:pStyle w:val="TableParagraph"/>
              <w:ind w:left="35"/>
              <w:rPr>
                <w:sz w:val="18"/>
              </w:rPr>
            </w:pPr>
            <w:r>
              <w:rPr>
                <w:sz w:val="18"/>
              </w:rPr>
              <w:t>Current provisions expected to be settled within 12 months.</w:t>
            </w:r>
          </w:p>
        </w:tc>
        <w:tc>
          <w:tcPr>
            <w:tcW w:w="2594" w:type="dxa"/>
            <w:gridSpan w:val="2"/>
          </w:tcPr>
          <w:p>
            <w:pPr/>
          </w:p>
        </w:tc>
      </w:tr>
      <w:tr>
        <w:trPr>
          <w:trHeight w:val="257" w:hRule="exact"/>
        </w:trPr>
        <w:tc>
          <w:tcPr>
            <w:tcW w:w="7642" w:type="dxa"/>
          </w:tcPr>
          <w:p>
            <w:pPr/>
          </w:p>
        </w:tc>
        <w:tc>
          <w:tcPr>
            <w:tcW w:w="1460" w:type="dxa"/>
          </w:tcPr>
          <w:p>
            <w:pPr>
              <w:pStyle w:val="TableParagraph"/>
              <w:spacing w:before="7"/>
              <w:ind w:left="448"/>
              <w:rPr>
                <w:b/>
                <w:sz w:val="18"/>
              </w:rPr>
            </w:pPr>
            <w:r>
              <w:rPr>
                <w:b/>
                <w:sz w:val="18"/>
              </w:rPr>
              <w:t>2012</w:t>
            </w:r>
          </w:p>
        </w:tc>
        <w:tc>
          <w:tcPr>
            <w:tcW w:w="1134" w:type="dxa"/>
          </w:tcPr>
          <w:p>
            <w:pPr>
              <w:pStyle w:val="TableParagraph"/>
              <w:spacing w:before="7"/>
              <w:ind w:left="272"/>
              <w:rPr>
                <w:sz w:val="18"/>
              </w:rPr>
            </w:pPr>
            <w:r>
              <w:rPr>
                <w:sz w:val="18"/>
              </w:rPr>
              <w:t>2011</w:t>
            </w:r>
          </w:p>
        </w:tc>
      </w:tr>
      <w:tr>
        <w:trPr>
          <w:trHeight w:val="271" w:hRule="exact"/>
        </w:trPr>
        <w:tc>
          <w:tcPr>
            <w:tcW w:w="7642" w:type="dxa"/>
          </w:tcPr>
          <w:p>
            <w:pPr/>
          </w:p>
        </w:tc>
        <w:tc>
          <w:tcPr>
            <w:tcW w:w="1460" w:type="dxa"/>
          </w:tcPr>
          <w:p>
            <w:pPr>
              <w:pStyle w:val="TableParagraph"/>
              <w:spacing w:before="24"/>
              <w:ind w:right="160"/>
              <w:jc w:val="center"/>
              <w:rPr>
                <w:b/>
                <w:sz w:val="18"/>
              </w:rPr>
            </w:pPr>
            <w:r>
              <w:rPr>
                <w:b/>
                <w:w w:val="99"/>
                <w:sz w:val="18"/>
              </w:rPr>
              <w:t>$</w:t>
            </w:r>
          </w:p>
        </w:tc>
        <w:tc>
          <w:tcPr>
            <w:tcW w:w="1134" w:type="dxa"/>
          </w:tcPr>
          <w:p>
            <w:pPr>
              <w:pStyle w:val="TableParagraph"/>
              <w:spacing w:before="24"/>
              <w:ind w:right="187"/>
              <w:jc w:val="center"/>
              <w:rPr>
                <w:sz w:val="18"/>
              </w:rPr>
            </w:pPr>
            <w:r>
              <w:rPr>
                <w:w w:val="99"/>
                <w:sz w:val="18"/>
              </w:rPr>
              <w:t>$</w:t>
            </w:r>
          </w:p>
        </w:tc>
      </w:tr>
      <w:tr>
        <w:trPr>
          <w:trHeight w:val="267" w:hRule="exact"/>
        </w:trPr>
        <w:tc>
          <w:tcPr>
            <w:tcW w:w="7642" w:type="dxa"/>
          </w:tcPr>
          <w:p>
            <w:pPr>
              <w:pStyle w:val="TableParagraph"/>
              <w:spacing w:before="22"/>
              <w:ind w:left="35"/>
              <w:rPr>
                <w:sz w:val="18"/>
              </w:rPr>
            </w:pPr>
            <w:r>
              <w:rPr>
                <w:sz w:val="18"/>
              </w:rPr>
              <w:t>Annual leave</w:t>
            </w:r>
          </w:p>
        </w:tc>
        <w:tc>
          <w:tcPr>
            <w:tcW w:w="1460" w:type="dxa"/>
          </w:tcPr>
          <w:p>
            <w:pPr>
              <w:pStyle w:val="TableParagraph"/>
              <w:spacing w:before="21"/>
              <w:ind w:right="247"/>
              <w:jc w:val="right"/>
              <w:rPr>
                <w:b/>
                <w:sz w:val="18"/>
              </w:rPr>
            </w:pPr>
            <w:r>
              <w:rPr>
                <w:b/>
                <w:w w:val="95"/>
                <w:sz w:val="18"/>
              </w:rPr>
              <w:t>328,992</w:t>
            </w:r>
          </w:p>
        </w:tc>
        <w:tc>
          <w:tcPr>
            <w:tcW w:w="1134" w:type="dxa"/>
          </w:tcPr>
          <w:p>
            <w:pPr>
              <w:pStyle w:val="TableParagraph"/>
              <w:spacing w:before="21"/>
              <w:ind w:right="83"/>
              <w:jc w:val="right"/>
              <w:rPr>
                <w:sz w:val="18"/>
              </w:rPr>
            </w:pPr>
            <w:r>
              <w:rPr>
                <w:w w:val="95"/>
                <w:sz w:val="18"/>
              </w:rPr>
              <w:t>430,322</w:t>
            </w:r>
          </w:p>
        </w:tc>
      </w:tr>
      <w:tr>
        <w:trPr>
          <w:trHeight w:val="264" w:hRule="exact"/>
        </w:trPr>
        <w:tc>
          <w:tcPr>
            <w:tcW w:w="7642" w:type="dxa"/>
          </w:tcPr>
          <w:p>
            <w:pPr>
              <w:pStyle w:val="TableParagraph"/>
              <w:spacing w:before="19"/>
              <w:ind w:left="35"/>
              <w:rPr>
                <w:sz w:val="18"/>
              </w:rPr>
            </w:pPr>
            <w:r>
              <w:rPr>
                <w:sz w:val="18"/>
              </w:rPr>
              <w:t>Long service leave</w:t>
            </w:r>
          </w:p>
        </w:tc>
        <w:tc>
          <w:tcPr>
            <w:tcW w:w="1460" w:type="dxa"/>
          </w:tcPr>
          <w:p>
            <w:pPr>
              <w:pStyle w:val="TableParagraph"/>
              <w:spacing w:before="18"/>
              <w:ind w:right="248"/>
              <w:jc w:val="right"/>
              <w:rPr>
                <w:b/>
                <w:sz w:val="18"/>
              </w:rPr>
            </w:pPr>
            <w:r>
              <w:rPr>
                <w:b/>
                <w:w w:val="95"/>
                <w:sz w:val="18"/>
              </w:rPr>
              <w:t>65,929</w:t>
            </w:r>
          </w:p>
        </w:tc>
        <w:tc>
          <w:tcPr>
            <w:tcW w:w="1134" w:type="dxa"/>
          </w:tcPr>
          <w:p>
            <w:pPr>
              <w:pStyle w:val="TableParagraph"/>
              <w:spacing w:before="18"/>
              <w:ind w:right="83"/>
              <w:jc w:val="right"/>
              <w:rPr>
                <w:sz w:val="18"/>
              </w:rPr>
            </w:pPr>
            <w:r>
              <w:rPr>
                <w:w w:val="95"/>
                <w:sz w:val="18"/>
              </w:rPr>
              <w:t>59,774</w:t>
            </w:r>
          </w:p>
        </w:tc>
      </w:tr>
      <w:tr>
        <w:trPr>
          <w:trHeight w:val="262" w:hRule="exact"/>
        </w:trPr>
        <w:tc>
          <w:tcPr>
            <w:tcW w:w="7642" w:type="dxa"/>
          </w:tcPr>
          <w:p>
            <w:pPr>
              <w:pStyle w:val="TableParagraph"/>
              <w:spacing w:before="19"/>
              <w:ind w:left="35"/>
              <w:rPr>
                <w:sz w:val="18"/>
              </w:rPr>
            </w:pPr>
            <w:r>
              <w:rPr>
                <w:sz w:val="18"/>
              </w:rPr>
              <w:t>Leave in lieu</w:t>
            </w:r>
          </w:p>
        </w:tc>
        <w:tc>
          <w:tcPr>
            <w:tcW w:w="1460" w:type="dxa"/>
            <w:tcBorders>
              <w:bottom w:val="single" w:sz="0" w:space="0" w:color="000000"/>
            </w:tcBorders>
          </w:tcPr>
          <w:p>
            <w:pPr>
              <w:pStyle w:val="TableParagraph"/>
              <w:spacing w:before="18"/>
              <w:ind w:right="250"/>
              <w:jc w:val="right"/>
              <w:rPr>
                <w:b/>
                <w:sz w:val="18"/>
              </w:rPr>
            </w:pPr>
            <w:r>
              <w:rPr>
                <w:b/>
                <w:w w:val="99"/>
                <w:sz w:val="18"/>
              </w:rPr>
              <w:t>-</w:t>
            </w:r>
          </w:p>
        </w:tc>
        <w:tc>
          <w:tcPr>
            <w:tcW w:w="1134" w:type="dxa"/>
            <w:tcBorders>
              <w:bottom w:val="single" w:sz="0" w:space="0" w:color="000000"/>
            </w:tcBorders>
          </w:tcPr>
          <w:p>
            <w:pPr>
              <w:pStyle w:val="TableParagraph"/>
              <w:spacing w:before="18"/>
              <w:ind w:right="85"/>
              <w:jc w:val="right"/>
              <w:rPr>
                <w:sz w:val="18"/>
              </w:rPr>
            </w:pPr>
            <w:r>
              <w:rPr>
                <w:w w:val="99"/>
                <w:sz w:val="18"/>
              </w:rPr>
              <w:t>-</w:t>
            </w:r>
          </w:p>
        </w:tc>
      </w:tr>
      <w:tr>
        <w:trPr>
          <w:trHeight w:val="353" w:hRule="exact"/>
        </w:trPr>
        <w:tc>
          <w:tcPr>
            <w:tcW w:w="7642" w:type="dxa"/>
          </w:tcPr>
          <w:p>
            <w:pPr/>
          </w:p>
        </w:tc>
        <w:tc>
          <w:tcPr>
            <w:tcW w:w="1460" w:type="dxa"/>
            <w:tcBorders>
              <w:top w:val="single" w:sz="0" w:space="0" w:color="000000"/>
              <w:bottom w:val="single" w:sz="0" w:space="0" w:color="000000"/>
            </w:tcBorders>
          </w:tcPr>
          <w:p>
            <w:pPr>
              <w:pStyle w:val="TableParagraph"/>
              <w:spacing w:before="122"/>
              <w:ind w:right="247"/>
              <w:jc w:val="right"/>
              <w:rPr>
                <w:b/>
                <w:sz w:val="18"/>
              </w:rPr>
            </w:pPr>
            <w:r>
              <w:rPr>
                <w:b/>
                <w:w w:val="95"/>
                <w:sz w:val="18"/>
              </w:rPr>
              <w:t>394,921</w:t>
            </w:r>
          </w:p>
        </w:tc>
        <w:tc>
          <w:tcPr>
            <w:tcW w:w="1134" w:type="dxa"/>
            <w:tcBorders>
              <w:top w:val="single" w:sz="0" w:space="0" w:color="000000"/>
              <w:bottom w:val="single" w:sz="0" w:space="0" w:color="000000"/>
            </w:tcBorders>
          </w:tcPr>
          <w:p>
            <w:pPr>
              <w:pStyle w:val="TableParagraph"/>
              <w:spacing w:before="122"/>
              <w:ind w:right="83"/>
              <w:jc w:val="right"/>
              <w:rPr>
                <w:sz w:val="18"/>
              </w:rPr>
            </w:pPr>
            <w:r>
              <w:rPr>
                <w:w w:val="95"/>
                <w:sz w:val="18"/>
              </w:rPr>
              <w:t>490,096</w:t>
            </w:r>
          </w:p>
        </w:tc>
      </w:tr>
      <w:tr>
        <w:trPr>
          <w:trHeight w:val="508" w:hRule="exact"/>
        </w:trPr>
        <w:tc>
          <w:tcPr>
            <w:tcW w:w="7642" w:type="dxa"/>
          </w:tcPr>
          <w:p>
            <w:pPr>
              <w:pStyle w:val="TableParagraph"/>
              <w:spacing w:before="10"/>
              <w:rPr>
                <w:rFonts w:ascii="Times New Roman"/>
                <w:sz w:val="16"/>
              </w:rPr>
            </w:pPr>
          </w:p>
          <w:p>
            <w:pPr>
              <w:pStyle w:val="TableParagraph"/>
              <w:ind w:left="35"/>
              <w:rPr>
                <w:sz w:val="18"/>
              </w:rPr>
            </w:pPr>
            <w:r>
              <w:rPr>
                <w:sz w:val="18"/>
              </w:rPr>
              <w:t>Current provisions expected to be settled after more than 12 months.</w:t>
            </w:r>
          </w:p>
        </w:tc>
        <w:tc>
          <w:tcPr>
            <w:tcW w:w="1460" w:type="dxa"/>
            <w:tcBorders>
              <w:top w:val="single" w:sz="0" w:space="0" w:color="000000"/>
            </w:tcBorders>
          </w:tcPr>
          <w:p>
            <w:pPr/>
          </w:p>
        </w:tc>
        <w:tc>
          <w:tcPr>
            <w:tcW w:w="1134" w:type="dxa"/>
            <w:tcBorders>
              <w:top w:val="single" w:sz="0" w:space="0" w:color="000000"/>
            </w:tcBorders>
          </w:tcPr>
          <w:p>
            <w:pPr/>
          </w:p>
        </w:tc>
      </w:tr>
      <w:tr>
        <w:trPr>
          <w:trHeight w:val="337" w:hRule="exact"/>
        </w:trPr>
        <w:tc>
          <w:tcPr>
            <w:tcW w:w="7642" w:type="dxa"/>
          </w:tcPr>
          <w:p>
            <w:pPr/>
          </w:p>
        </w:tc>
        <w:tc>
          <w:tcPr>
            <w:tcW w:w="1460" w:type="dxa"/>
          </w:tcPr>
          <w:p>
            <w:pPr>
              <w:pStyle w:val="TableParagraph"/>
              <w:spacing w:before="87"/>
              <w:ind w:left="435"/>
              <w:rPr>
                <w:b/>
                <w:sz w:val="18"/>
              </w:rPr>
            </w:pPr>
            <w:r>
              <w:rPr>
                <w:b/>
                <w:sz w:val="18"/>
              </w:rPr>
              <w:t>2012</w:t>
            </w:r>
          </w:p>
        </w:tc>
        <w:tc>
          <w:tcPr>
            <w:tcW w:w="1134" w:type="dxa"/>
          </w:tcPr>
          <w:p>
            <w:pPr>
              <w:pStyle w:val="TableParagraph"/>
              <w:spacing w:before="87"/>
              <w:ind w:left="272"/>
              <w:rPr>
                <w:sz w:val="18"/>
              </w:rPr>
            </w:pPr>
            <w:r>
              <w:rPr>
                <w:sz w:val="18"/>
              </w:rPr>
              <w:t>2011</w:t>
            </w:r>
          </w:p>
        </w:tc>
      </w:tr>
      <w:tr>
        <w:trPr>
          <w:trHeight w:val="271" w:hRule="exact"/>
        </w:trPr>
        <w:tc>
          <w:tcPr>
            <w:tcW w:w="7642" w:type="dxa"/>
          </w:tcPr>
          <w:p>
            <w:pPr/>
          </w:p>
        </w:tc>
        <w:tc>
          <w:tcPr>
            <w:tcW w:w="1460" w:type="dxa"/>
          </w:tcPr>
          <w:p>
            <w:pPr>
              <w:pStyle w:val="TableParagraph"/>
              <w:spacing w:before="24"/>
              <w:ind w:right="187"/>
              <w:jc w:val="center"/>
              <w:rPr>
                <w:b/>
                <w:sz w:val="18"/>
              </w:rPr>
            </w:pPr>
            <w:r>
              <w:rPr>
                <w:b/>
                <w:w w:val="99"/>
                <w:sz w:val="18"/>
              </w:rPr>
              <w:t>$</w:t>
            </w:r>
          </w:p>
        </w:tc>
        <w:tc>
          <w:tcPr>
            <w:tcW w:w="1134" w:type="dxa"/>
          </w:tcPr>
          <w:p>
            <w:pPr>
              <w:pStyle w:val="TableParagraph"/>
              <w:spacing w:before="24"/>
              <w:ind w:right="187"/>
              <w:jc w:val="center"/>
              <w:rPr>
                <w:sz w:val="18"/>
              </w:rPr>
            </w:pPr>
            <w:r>
              <w:rPr>
                <w:w w:val="99"/>
                <w:sz w:val="18"/>
              </w:rPr>
              <w:t>$</w:t>
            </w:r>
          </w:p>
        </w:tc>
      </w:tr>
      <w:tr>
        <w:trPr>
          <w:trHeight w:val="267" w:hRule="exact"/>
        </w:trPr>
        <w:tc>
          <w:tcPr>
            <w:tcW w:w="7642" w:type="dxa"/>
          </w:tcPr>
          <w:p>
            <w:pPr>
              <w:pStyle w:val="TableParagraph"/>
              <w:spacing w:before="22"/>
              <w:ind w:left="35"/>
              <w:rPr>
                <w:sz w:val="18"/>
              </w:rPr>
            </w:pPr>
            <w:r>
              <w:rPr>
                <w:sz w:val="18"/>
              </w:rPr>
              <w:t>Annual leave</w:t>
            </w:r>
          </w:p>
        </w:tc>
        <w:tc>
          <w:tcPr>
            <w:tcW w:w="1460" w:type="dxa"/>
          </w:tcPr>
          <w:p>
            <w:pPr>
              <w:pStyle w:val="TableParagraph"/>
              <w:spacing w:before="21"/>
              <w:ind w:right="248"/>
              <w:jc w:val="right"/>
              <w:rPr>
                <w:b/>
                <w:sz w:val="18"/>
              </w:rPr>
            </w:pPr>
            <w:r>
              <w:rPr>
                <w:b/>
                <w:w w:val="99"/>
                <w:sz w:val="18"/>
              </w:rPr>
              <w:t>-</w:t>
            </w:r>
          </w:p>
        </w:tc>
        <w:tc>
          <w:tcPr>
            <w:tcW w:w="1134" w:type="dxa"/>
          </w:tcPr>
          <w:p>
            <w:pPr>
              <w:pStyle w:val="TableParagraph"/>
              <w:spacing w:before="21"/>
              <w:ind w:right="85"/>
              <w:jc w:val="right"/>
              <w:rPr>
                <w:sz w:val="18"/>
              </w:rPr>
            </w:pPr>
            <w:r>
              <w:rPr>
                <w:w w:val="99"/>
                <w:sz w:val="18"/>
              </w:rPr>
              <w:t>-</w:t>
            </w:r>
          </w:p>
        </w:tc>
      </w:tr>
      <w:tr>
        <w:trPr>
          <w:trHeight w:val="264" w:hRule="exact"/>
        </w:trPr>
        <w:tc>
          <w:tcPr>
            <w:tcW w:w="7642" w:type="dxa"/>
          </w:tcPr>
          <w:p>
            <w:pPr>
              <w:pStyle w:val="TableParagraph"/>
              <w:spacing w:before="19"/>
              <w:ind w:left="35"/>
              <w:rPr>
                <w:sz w:val="18"/>
              </w:rPr>
            </w:pPr>
            <w:r>
              <w:rPr>
                <w:sz w:val="18"/>
              </w:rPr>
              <w:t>Long service leave</w:t>
            </w:r>
          </w:p>
        </w:tc>
        <w:tc>
          <w:tcPr>
            <w:tcW w:w="1460" w:type="dxa"/>
          </w:tcPr>
          <w:p>
            <w:pPr>
              <w:pStyle w:val="TableParagraph"/>
              <w:spacing w:before="18"/>
              <w:ind w:right="246"/>
              <w:jc w:val="right"/>
              <w:rPr>
                <w:b/>
                <w:sz w:val="18"/>
              </w:rPr>
            </w:pPr>
            <w:r>
              <w:rPr>
                <w:b/>
                <w:w w:val="95"/>
                <w:sz w:val="18"/>
              </w:rPr>
              <w:t>197,787</w:t>
            </w:r>
          </w:p>
        </w:tc>
        <w:tc>
          <w:tcPr>
            <w:tcW w:w="1134" w:type="dxa"/>
          </w:tcPr>
          <w:p>
            <w:pPr>
              <w:pStyle w:val="TableParagraph"/>
              <w:spacing w:before="18"/>
              <w:ind w:right="83"/>
              <w:jc w:val="right"/>
              <w:rPr>
                <w:sz w:val="18"/>
              </w:rPr>
            </w:pPr>
            <w:r>
              <w:rPr>
                <w:w w:val="95"/>
                <w:sz w:val="18"/>
              </w:rPr>
              <w:t>179,321</w:t>
            </w:r>
          </w:p>
        </w:tc>
      </w:tr>
      <w:tr>
        <w:trPr>
          <w:trHeight w:val="262" w:hRule="exact"/>
        </w:trPr>
        <w:tc>
          <w:tcPr>
            <w:tcW w:w="7642" w:type="dxa"/>
          </w:tcPr>
          <w:p>
            <w:pPr>
              <w:pStyle w:val="TableParagraph"/>
              <w:spacing w:before="19"/>
              <w:ind w:left="35"/>
              <w:rPr>
                <w:sz w:val="18"/>
              </w:rPr>
            </w:pPr>
            <w:r>
              <w:rPr>
                <w:sz w:val="18"/>
              </w:rPr>
              <w:t>Leave in lieu</w:t>
            </w:r>
          </w:p>
        </w:tc>
        <w:tc>
          <w:tcPr>
            <w:tcW w:w="1460" w:type="dxa"/>
            <w:tcBorders>
              <w:bottom w:val="single" w:sz="0" w:space="0" w:color="000000"/>
            </w:tcBorders>
          </w:tcPr>
          <w:p>
            <w:pPr>
              <w:pStyle w:val="TableParagraph"/>
              <w:spacing w:before="18"/>
              <w:ind w:right="248"/>
              <w:jc w:val="right"/>
              <w:rPr>
                <w:b/>
                <w:sz w:val="18"/>
              </w:rPr>
            </w:pPr>
            <w:r>
              <w:rPr>
                <w:b/>
                <w:w w:val="99"/>
                <w:sz w:val="18"/>
              </w:rPr>
              <w:t>-</w:t>
            </w:r>
          </w:p>
        </w:tc>
        <w:tc>
          <w:tcPr>
            <w:tcW w:w="1134" w:type="dxa"/>
            <w:tcBorders>
              <w:bottom w:val="single" w:sz="0" w:space="0" w:color="000000"/>
            </w:tcBorders>
          </w:tcPr>
          <w:p>
            <w:pPr>
              <w:pStyle w:val="TableParagraph"/>
              <w:spacing w:before="18"/>
              <w:ind w:right="85"/>
              <w:jc w:val="right"/>
              <w:rPr>
                <w:sz w:val="18"/>
              </w:rPr>
            </w:pPr>
            <w:r>
              <w:rPr>
                <w:w w:val="99"/>
                <w:sz w:val="18"/>
              </w:rPr>
              <w:t>-</w:t>
            </w:r>
          </w:p>
        </w:tc>
      </w:tr>
      <w:tr>
        <w:trPr>
          <w:trHeight w:val="353" w:hRule="exact"/>
        </w:trPr>
        <w:tc>
          <w:tcPr>
            <w:tcW w:w="7642" w:type="dxa"/>
          </w:tcPr>
          <w:p>
            <w:pP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197,787</w:t>
            </w:r>
          </w:p>
        </w:tc>
        <w:tc>
          <w:tcPr>
            <w:tcW w:w="1134" w:type="dxa"/>
            <w:tcBorders>
              <w:top w:val="single" w:sz="0" w:space="0" w:color="000000"/>
              <w:bottom w:val="single" w:sz="0" w:space="0" w:color="000000"/>
            </w:tcBorders>
          </w:tcPr>
          <w:p>
            <w:pPr>
              <w:pStyle w:val="TableParagraph"/>
              <w:spacing w:before="122"/>
              <w:ind w:right="83"/>
              <w:jc w:val="right"/>
              <w:rPr>
                <w:sz w:val="18"/>
              </w:rPr>
            </w:pPr>
            <w:r>
              <w:rPr>
                <w:w w:val="95"/>
                <w:sz w:val="18"/>
              </w:rPr>
              <w:t>179,321</w:t>
            </w:r>
          </w:p>
        </w:tc>
      </w:tr>
      <w:tr>
        <w:trPr>
          <w:trHeight w:val="470" w:hRule="exact"/>
        </w:trPr>
        <w:tc>
          <w:tcPr>
            <w:tcW w:w="7642" w:type="dxa"/>
          </w:tcPr>
          <w:p>
            <w:pPr/>
          </w:p>
        </w:tc>
        <w:tc>
          <w:tcPr>
            <w:tcW w:w="1460" w:type="dxa"/>
            <w:tcBorders>
              <w:top w:val="single" w:sz="0" w:space="0" w:color="000000"/>
            </w:tcBorders>
          </w:tcPr>
          <w:p>
            <w:pPr>
              <w:pStyle w:val="TableParagraph"/>
              <w:rPr>
                <w:rFonts w:ascii="Times New Roman"/>
                <w:sz w:val="19"/>
              </w:rPr>
            </w:pPr>
          </w:p>
          <w:p>
            <w:pPr>
              <w:pStyle w:val="TableParagraph"/>
              <w:spacing w:before="1"/>
              <w:ind w:left="435"/>
              <w:rPr>
                <w:b/>
                <w:sz w:val="18"/>
              </w:rPr>
            </w:pPr>
            <w:r>
              <w:rPr>
                <w:b/>
                <w:sz w:val="18"/>
              </w:rPr>
              <w:t>2012</w:t>
            </w:r>
          </w:p>
        </w:tc>
        <w:tc>
          <w:tcPr>
            <w:tcW w:w="1134" w:type="dxa"/>
            <w:tcBorders>
              <w:top w:val="single" w:sz="0" w:space="0" w:color="000000"/>
            </w:tcBorders>
          </w:tcPr>
          <w:p>
            <w:pPr>
              <w:pStyle w:val="TableParagraph"/>
              <w:rPr>
                <w:rFonts w:ascii="Times New Roman"/>
                <w:sz w:val="19"/>
              </w:rPr>
            </w:pPr>
          </w:p>
          <w:p>
            <w:pPr>
              <w:pStyle w:val="TableParagraph"/>
              <w:spacing w:before="1"/>
              <w:ind w:left="272"/>
              <w:rPr>
                <w:sz w:val="18"/>
              </w:rPr>
            </w:pPr>
            <w:r>
              <w:rPr>
                <w:sz w:val="18"/>
              </w:rPr>
              <w:t>2011</w:t>
            </w:r>
          </w:p>
        </w:tc>
      </w:tr>
      <w:tr>
        <w:trPr>
          <w:trHeight w:val="431" w:hRule="exact"/>
        </w:trPr>
        <w:tc>
          <w:tcPr>
            <w:tcW w:w="7642" w:type="dxa"/>
          </w:tcPr>
          <w:p>
            <w:pPr>
              <w:pStyle w:val="TableParagraph"/>
              <w:spacing w:before="24"/>
              <w:ind w:left="35"/>
              <w:rPr>
                <w:sz w:val="18"/>
              </w:rPr>
            </w:pPr>
            <w:r>
              <w:rPr>
                <w:sz w:val="18"/>
              </w:rPr>
              <w:t>Non-current provisions</w:t>
            </w:r>
          </w:p>
        </w:tc>
        <w:tc>
          <w:tcPr>
            <w:tcW w:w="1460" w:type="dxa"/>
          </w:tcPr>
          <w:p>
            <w:pPr>
              <w:pStyle w:val="TableParagraph"/>
              <w:spacing w:before="24"/>
              <w:ind w:right="187"/>
              <w:jc w:val="center"/>
              <w:rPr>
                <w:b/>
                <w:sz w:val="18"/>
              </w:rPr>
            </w:pPr>
            <w:r>
              <w:rPr>
                <w:b/>
                <w:w w:val="99"/>
                <w:sz w:val="18"/>
              </w:rPr>
              <w:t>$</w:t>
            </w:r>
          </w:p>
        </w:tc>
        <w:tc>
          <w:tcPr>
            <w:tcW w:w="1134" w:type="dxa"/>
          </w:tcPr>
          <w:p>
            <w:pPr>
              <w:pStyle w:val="TableParagraph"/>
              <w:spacing w:before="24"/>
              <w:ind w:right="187"/>
              <w:jc w:val="center"/>
              <w:rPr>
                <w:sz w:val="18"/>
              </w:rPr>
            </w:pPr>
            <w:r>
              <w:rPr>
                <w:w w:val="99"/>
                <w:sz w:val="18"/>
              </w:rPr>
              <w:t>$</w:t>
            </w:r>
          </w:p>
        </w:tc>
      </w:tr>
      <w:tr>
        <w:trPr>
          <w:trHeight w:val="425" w:hRule="exact"/>
        </w:trPr>
        <w:tc>
          <w:tcPr>
            <w:tcW w:w="7642" w:type="dxa"/>
          </w:tcPr>
          <w:p>
            <w:pPr>
              <w:pStyle w:val="TableParagraph"/>
              <w:spacing w:before="9"/>
              <w:rPr>
                <w:rFonts w:ascii="Times New Roman"/>
                <w:sz w:val="15"/>
              </w:rPr>
            </w:pPr>
          </w:p>
          <w:p>
            <w:pPr>
              <w:pStyle w:val="TableParagraph"/>
              <w:ind w:left="35"/>
              <w:rPr>
                <w:sz w:val="18"/>
              </w:rPr>
            </w:pPr>
            <w:r>
              <w:rPr>
                <w:sz w:val="18"/>
              </w:rPr>
              <w:t>Employee benefits - long service leave</w:t>
            </w:r>
          </w:p>
        </w:tc>
        <w:tc>
          <w:tcPr>
            <w:tcW w:w="1460" w:type="dxa"/>
            <w:tcBorders>
              <w:bottom w:val="single" w:sz="0" w:space="0" w:color="000000"/>
            </w:tcBorders>
          </w:tcPr>
          <w:p>
            <w:pPr>
              <w:pStyle w:val="TableParagraph"/>
              <w:spacing w:before="8"/>
              <w:rPr>
                <w:rFonts w:ascii="Times New Roman"/>
                <w:sz w:val="15"/>
              </w:rPr>
            </w:pPr>
          </w:p>
          <w:p>
            <w:pPr>
              <w:pStyle w:val="TableParagraph"/>
              <w:ind w:right="246"/>
              <w:jc w:val="right"/>
              <w:rPr>
                <w:b/>
                <w:sz w:val="18"/>
              </w:rPr>
            </w:pPr>
            <w:r>
              <w:rPr>
                <w:b/>
                <w:w w:val="95"/>
                <w:sz w:val="18"/>
              </w:rPr>
              <w:t>198,248</w:t>
            </w:r>
          </w:p>
        </w:tc>
        <w:tc>
          <w:tcPr>
            <w:tcW w:w="1134" w:type="dxa"/>
            <w:tcBorders>
              <w:bottom w:val="single" w:sz="0" w:space="0" w:color="000000"/>
            </w:tcBorders>
          </w:tcPr>
          <w:p>
            <w:pPr>
              <w:pStyle w:val="TableParagraph"/>
              <w:spacing w:before="8"/>
              <w:rPr>
                <w:rFonts w:ascii="Times New Roman"/>
                <w:sz w:val="15"/>
              </w:rPr>
            </w:pPr>
          </w:p>
          <w:p>
            <w:pPr>
              <w:pStyle w:val="TableParagraph"/>
              <w:ind w:right="83"/>
              <w:jc w:val="right"/>
              <w:rPr>
                <w:sz w:val="18"/>
              </w:rPr>
            </w:pPr>
            <w:r>
              <w:rPr>
                <w:w w:val="95"/>
                <w:sz w:val="18"/>
              </w:rPr>
              <w:t>181,987</w:t>
            </w:r>
          </w:p>
        </w:tc>
      </w:tr>
      <w:tr>
        <w:trPr>
          <w:trHeight w:val="353" w:hRule="exact"/>
        </w:trPr>
        <w:tc>
          <w:tcPr>
            <w:tcW w:w="7642" w:type="dxa"/>
          </w:tcPr>
          <w:p>
            <w:pP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198,248</w:t>
            </w:r>
          </w:p>
        </w:tc>
        <w:tc>
          <w:tcPr>
            <w:tcW w:w="1134" w:type="dxa"/>
            <w:tcBorders>
              <w:top w:val="single" w:sz="0" w:space="0" w:color="000000"/>
              <w:bottom w:val="single" w:sz="0" w:space="0" w:color="000000"/>
            </w:tcBorders>
          </w:tcPr>
          <w:p>
            <w:pPr>
              <w:pStyle w:val="TableParagraph"/>
              <w:spacing w:before="122"/>
              <w:ind w:right="83"/>
              <w:jc w:val="right"/>
              <w:rPr>
                <w:sz w:val="18"/>
              </w:rPr>
            </w:pPr>
            <w:r>
              <w:rPr>
                <w:w w:val="95"/>
                <w:sz w:val="18"/>
              </w:rPr>
              <w:t>181,987</w:t>
            </w:r>
          </w:p>
        </w:tc>
      </w:tr>
      <w:tr>
        <w:trPr>
          <w:trHeight w:val="584" w:hRule="exact"/>
        </w:trPr>
        <w:tc>
          <w:tcPr>
            <w:tcW w:w="7642" w:type="dxa"/>
          </w:tcPr>
          <w:p>
            <w:pPr>
              <w:pStyle w:val="TableParagraph"/>
              <w:rPr>
                <w:rFonts w:ascii="Times New Roman"/>
                <w:sz w:val="18"/>
              </w:rPr>
            </w:pPr>
          </w:p>
          <w:p>
            <w:pPr>
              <w:pStyle w:val="TableParagraph"/>
              <w:spacing w:before="140"/>
              <w:ind w:left="35"/>
              <w:rPr>
                <w:b/>
                <w:sz w:val="18"/>
              </w:rPr>
            </w:pPr>
            <w:r>
              <w:rPr>
                <w:b/>
                <w:sz w:val="18"/>
              </w:rPr>
              <w:t>13    Other liabilities</w:t>
            </w:r>
          </w:p>
        </w:tc>
        <w:tc>
          <w:tcPr>
            <w:tcW w:w="1460" w:type="dxa"/>
            <w:tcBorders>
              <w:top w:val="single" w:sz="0" w:space="0" w:color="000000"/>
            </w:tcBorders>
          </w:tcPr>
          <w:p>
            <w:pPr/>
          </w:p>
        </w:tc>
        <w:tc>
          <w:tcPr>
            <w:tcW w:w="1134" w:type="dxa"/>
            <w:tcBorders>
              <w:top w:val="single" w:sz="0" w:space="0" w:color="000000"/>
            </w:tcBorders>
          </w:tcPr>
          <w:p>
            <w:pPr/>
          </w:p>
        </w:tc>
      </w:tr>
      <w:tr>
        <w:trPr>
          <w:trHeight w:val="261" w:hRule="exact"/>
        </w:trPr>
        <w:tc>
          <w:tcPr>
            <w:tcW w:w="7642" w:type="dxa"/>
          </w:tcPr>
          <w:p>
            <w:pPr/>
          </w:p>
        </w:tc>
        <w:tc>
          <w:tcPr>
            <w:tcW w:w="1460" w:type="dxa"/>
          </w:tcPr>
          <w:p>
            <w:pPr>
              <w:pStyle w:val="TableParagraph"/>
              <w:spacing w:before="11"/>
              <w:ind w:left="471"/>
              <w:rPr>
                <w:b/>
                <w:sz w:val="18"/>
              </w:rPr>
            </w:pPr>
            <w:r>
              <w:rPr>
                <w:b/>
                <w:sz w:val="18"/>
              </w:rPr>
              <w:t>2012</w:t>
            </w:r>
          </w:p>
        </w:tc>
        <w:tc>
          <w:tcPr>
            <w:tcW w:w="1134" w:type="dxa"/>
          </w:tcPr>
          <w:p>
            <w:pPr>
              <w:pStyle w:val="TableParagraph"/>
              <w:spacing w:before="11"/>
              <w:ind w:left="293"/>
              <w:rPr>
                <w:sz w:val="18"/>
              </w:rPr>
            </w:pPr>
            <w:r>
              <w:rPr>
                <w:sz w:val="18"/>
              </w:rPr>
              <w:t>2011</w:t>
            </w:r>
          </w:p>
        </w:tc>
      </w:tr>
      <w:tr>
        <w:trPr>
          <w:trHeight w:val="271" w:hRule="exact"/>
        </w:trPr>
        <w:tc>
          <w:tcPr>
            <w:tcW w:w="7642" w:type="dxa"/>
          </w:tcPr>
          <w:p>
            <w:pPr/>
          </w:p>
        </w:tc>
        <w:tc>
          <w:tcPr>
            <w:tcW w:w="1460" w:type="dxa"/>
          </w:tcPr>
          <w:p>
            <w:pPr>
              <w:pStyle w:val="TableParagraph"/>
              <w:spacing w:before="24"/>
              <w:ind w:right="115"/>
              <w:jc w:val="center"/>
              <w:rPr>
                <w:b/>
                <w:sz w:val="18"/>
              </w:rPr>
            </w:pPr>
            <w:r>
              <w:rPr>
                <w:b/>
                <w:w w:val="99"/>
                <w:sz w:val="18"/>
              </w:rPr>
              <w:t>$</w:t>
            </w:r>
          </w:p>
        </w:tc>
        <w:tc>
          <w:tcPr>
            <w:tcW w:w="1134" w:type="dxa"/>
          </w:tcPr>
          <w:p>
            <w:pPr>
              <w:pStyle w:val="TableParagraph"/>
              <w:spacing w:before="24"/>
              <w:ind w:right="144"/>
              <w:jc w:val="center"/>
              <w:rPr>
                <w:sz w:val="18"/>
              </w:rPr>
            </w:pPr>
            <w:r>
              <w:rPr>
                <w:w w:val="99"/>
                <w:sz w:val="18"/>
              </w:rPr>
              <w:t>$</w:t>
            </w:r>
          </w:p>
        </w:tc>
      </w:tr>
      <w:tr>
        <w:trPr>
          <w:trHeight w:val="266" w:hRule="exact"/>
        </w:trPr>
        <w:tc>
          <w:tcPr>
            <w:tcW w:w="7642" w:type="dxa"/>
          </w:tcPr>
          <w:p>
            <w:pPr>
              <w:pStyle w:val="TableParagraph"/>
              <w:spacing w:before="21"/>
              <w:ind w:left="79"/>
              <w:rPr>
                <w:sz w:val="18"/>
              </w:rPr>
            </w:pPr>
            <w:r>
              <w:rPr>
                <w:sz w:val="18"/>
              </w:rPr>
              <w:t>Voucher liability</w:t>
            </w:r>
          </w:p>
        </w:tc>
        <w:tc>
          <w:tcPr>
            <w:tcW w:w="1460" w:type="dxa"/>
          </w:tcPr>
          <w:p>
            <w:pPr>
              <w:pStyle w:val="TableParagraph"/>
              <w:spacing w:before="22"/>
              <w:ind w:right="246"/>
              <w:jc w:val="right"/>
              <w:rPr>
                <w:b/>
                <w:sz w:val="18"/>
              </w:rPr>
            </w:pPr>
            <w:r>
              <w:rPr>
                <w:b/>
                <w:w w:val="95"/>
                <w:sz w:val="18"/>
              </w:rPr>
              <w:t>1,699,099</w:t>
            </w:r>
          </w:p>
        </w:tc>
        <w:tc>
          <w:tcPr>
            <w:tcW w:w="1134" w:type="dxa"/>
          </w:tcPr>
          <w:p>
            <w:pPr>
              <w:pStyle w:val="TableParagraph"/>
              <w:spacing w:before="22"/>
              <w:ind w:right="84"/>
              <w:jc w:val="right"/>
              <w:rPr>
                <w:sz w:val="18"/>
              </w:rPr>
            </w:pPr>
            <w:r>
              <w:rPr>
                <w:w w:val="95"/>
                <w:sz w:val="18"/>
              </w:rPr>
              <w:t>79,090</w:t>
            </w:r>
          </w:p>
        </w:tc>
      </w:tr>
      <w:tr>
        <w:trPr>
          <w:trHeight w:val="264" w:hRule="exact"/>
        </w:trPr>
        <w:tc>
          <w:tcPr>
            <w:tcW w:w="7642" w:type="dxa"/>
          </w:tcPr>
          <w:p>
            <w:pPr>
              <w:pStyle w:val="TableParagraph"/>
              <w:spacing w:before="18"/>
              <w:ind w:left="79"/>
              <w:rPr>
                <w:sz w:val="18"/>
              </w:rPr>
            </w:pPr>
            <w:r>
              <w:rPr>
                <w:sz w:val="18"/>
              </w:rPr>
              <w:t>Deposits on hand</w:t>
            </w:r>
          </w:p>
        </w:tc>
        <w:tc>
          <w:tcPr>
            <w:tcW w:w="1460" w:type="dxa"/>
          </w:tcPr>
          <w:p>
            <w:pPr>
              <w:pStyle w:val="TableParagraph"/>
              <w:spacing w:before="19"/>
              <w:ind w:right="246"/>
              <w:jc w:val="right"/>
              <w:rPr>
                <w:b/>
                <w:sz w:val="18"/>
              </w:rPr>
            </w:pPr>
            <w:r>
              <w:rPr>
                <w:b/>
                <w:w w:val="95"/>
                <w:sz w:val="18"/>
              </w:rPr>
              <w:t>83,465</w:t>
            </w:r>
          </w:p>
        </w:tc>
        <w:tc>
          <w:tcPr>
            <w:tcW w:w="1134" w:type="dxa"/>
          </w:tcPr>
          <w:p>
            <w:pPr>
              <w:pStyle w:val="TableParagraph"/>
              <w:spacing w:before="19"/>
              <w:ind w:right="84"/>
              <w:jc w:val="right"/>
              <w:rPr>
                <w:sz w:val="18"/>
              </w:rPr>
            </w:pPr>
            <w:r>
              <w:rPr>
                <w:w w:val="95"/>
                <w:sz w:val="18"/>
              </w:rPr>
              <w:t>44,280</w:t>
            </w:r>
          </w:p>
        </w:tc>
      </w:tr>
      <w:tr>
        <w:trPr>
          <w:trHeight w:val="263" w:hRule="exact"/>
        </w:trPr>
        <w:tc>
          <w:tcPr>
            <w:tcW w:w="7642" w:type="dxa"/>
          </w:tcPr>
          <w:p>
            <w:pPr>
              <w:pStyle w:val="TableParagraph"/>
              <w:spacing w:before="18"/>
              <w:ind w:left="79"/>
              <w:rPr>
                <w:sz w:val="18"/>
              </w:rPr>
            </w:pPr>
            <w:r>
              <w:rPr>
                <w:sz w:val="18"/>
              </w:rPr>
              <w:t>Unearned income - UWS funding</w:t>
            </w:r>
          </w:p>
        </w:tc>
        <w:tc>
          <w:tcPr>
            <w:tcW w:w="1460" w:type="dxa"/>
            <w:tcBorders>
              <w:bottom w:val="single" w:sz="0" w:space="0" w:color="000000"/>
            </w:tcBorders>
          </w:tcPr>
          <w:p>
            <w:pPr>
              <w:pStyle w:val="TableParagraph"/>
              <w:spacing w:before="19"/>
              <w:ind w:right="248"/>
              <w:jc w:val="right"/>
              <w:rPr>
                <w:b/>
                <w:sz w:val="18"/>
              </w:rPr>
            </w:pPr>
            <w:r>
              <w:rPr>
                <w:b/>
                <w:w w:val="99"/>
                <w:sz w:val="18"/>
              </w:rPr>
              <w:t>-</w:t>
            </w:r>
          </w:p>
        </w:tc>
        <w:tc>
          <w:tcPr>
            <w:tcW w:w="1134" w:type="dxa"/>
            <w:tcBorders>
              <w:bottom w:val="single" w:sz="0" w:space="0" w:color="000000"/>
            </w:tcBorders>
          </w:tcPr>
          <w:p>
            <w:pPr>
              <w:pStyle w:val="TableParagraph"/>
              <w:spacing w:before="19"/>
              <w:ind w:right="84"/>
              <w:jc w:val="right"/>
              <w:rPr>
                <w:sz w:val="18"/>
              </w:rPr>
            </w:pPr>
            <w:r>
              <w:rPr>
                <w:w w:val="95"/>
                <w:sz w:val="18"/>
              </w:rPr>
              <w:t>27,150</w:t>
            </w:r>
          </w:p>
        </w:tc>
      </w:tr>
      <w:tr>
        <w:trPr>
          <w:trHeight w:val="353" w:hRule="exact"/>
        </w:trPr>
        <w:tc>
          <w:tcPr>
            <w:tcW w:w="7642" w:type="dxa"/>
          </w:tcPr>
          <w:p>
            <w:pP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1,782,564</w:t>
            </w:r>
          </w:p>
        </w:tc>
        <w:tc>
          <w:tcPr>
            <w:tcW w:w="1134" w:type="dxa"/>
            <w:tcBorders>
              <w:top w:val="single" w:sz="0" w:space="0" w:color="000000"/>
              <w:bottom w:val="single" w:sz="0" w:space="0" w:color="000000"/>
            </w:tcBorders>
          </w:tcPr>
          <w:p>
            <w:pPr>
              <w:pStyle w:val="TableParagraph"/>
              <w:spacing w:before="122"/>
              <w:ind w:right="84"/>
              <w:jc w:val="right"/>
              <w:rPr>
                <w:sz w:val="18"/>
              </w:rPr>
            </w:pPr>
            <w:r>
              <w:rPr>
                <w:w w:val="95"/>
                <w:sz w:val="18"/>
              </w:rPr>
              <w:t>150,520</w:t>
            </w:r>
          </w:p>
        </w:tc>
      </w:tr>
      <w:tr>
        <w:trPr>
          <w:trHeight w:val="652" w:hRule="exact"/>
        </w:trPr>
        <w:tc>
          <w:tcPr>
            <w:tcW w:w="7642" w:type="dxa"/>
          </w:tcPr>
          <w:p>
            <w:pPr>
              <w:pStyle w:val="TableParagraph"/>
              <w:rPr>
                <w:rFonts w:ascii="Times New Roman"/>
                <w:sz w:val="18"/>
              </w:rPr>
            </w:pPr>
          </w:p>
          <w:p>
            <w:pPr>
              <w:pStyle w:val="TableParagraph"/>
              <w:spacing w:before="140"/>
              <w:ind w:left="35"/>
              <w:rPr>
                <w:b/>
                <w:sz w:val="18"/>
              </w:rPr>
            </w:pPr>
            <w:r>
              <w:rPr>
                <w:b/>
                <w:sz w:val="18"/>
              </w:rPr>
              <w:t>14    Retained earnings</w:t>
            </w:r>
          </w:p>
        </w:tc>
        <w:tc>
          <w:tcPr>
            <w:tcW w:w="1460" w:type="dxa"/>
            <w:tcBorders>
              <w:top w:val="single" w:sz="0" w:space="0" w:color="000000"/>
            </w:tcBorders>
          </w:tcPr>
          <w:p>
            <w:pPr/>
          </w:p>
        </w:tc>
        <w:tc>
          <w:tcPr>
            <w:tcW w:w="1134" w:type="dxa"/>
            <w:tcBorders>
              <w:top w:val="single" w:sz="0" w:space="0" w:color="000000"/>
            </w:tcBorders>
          </w:tcPr>
          <w:p>
            <w:pPr/>
          </w:p>
        </w:tc>
      </w:tr>
      <w:tr>
        <w:trPr>
          <w:trHeight w:val="569" w:hRule="exact"/>
        </w:trPr>
        <w:tc>
          <w:tcPr>
            <w:tcW w:w="7642" w:type="dxa"/>
          </w:tcPr>
          <w:p>
            <w:pPr>
              <w:pStyle w:val="TableParagraph"/>
              <w:spacing w:before="79"/>
              <w:ind w:left="35"/>
              <w:rPr>
                <w:sz w:val="18"/>
              </w:rPr>
            </w:pPr>
            <w:r>
              <w:rPr>
                <w:sz w:val="18"/>
              </w:rPr>
              <w:t>Movements in retained earnings were as follows:</w:t>
            </w:r>
          </w:p>
        </w:tc>
        <w:tc>
          <w:tcPr>
            <w:tcW w:w="1460" w:type="dxa"/>
          </w:tcPr>
          <w:p>
            <w:pPr>
              <w:pStyle w:val="TableParagraph"/>
              <w:rPr>
                <w:rFonts w:ascii="Times New Roman"/>
                <w:sz w:val="18"/>
              </w:rPr>
            </w:pPr>
          </w:p>
          <w:p>
            <w:pPr>
              <w:pStyle w:val="TableParagraph"/>
              <w:spacing w:before="112"/>
              <w:ind w:left="448"/>
              <w:rPr>
                <w:b/>
                <w:sz w:val="18"/>
              </w:rPr>
            </w:pPr>
            <w:r>
              <w:rPr>
                <w:b/>
                <w:sz w:val="18"/>
              </w:rPr>
              <w:t>2012</w:t>
            </w:r>
          </w:p>
        </w:tc>
        <w:tc>
          <w:tcPr>
            <w:tcW w:w="1134" w:type="dxa"/>
          </w:tcPr>
          <w:p>
            <w:pPr>
              <w:pStyle w:val="TableParagraph"/>
              <w:rPr>
                <w:rFonts w:ascii="Times New Roman"/>
                <w:sz w:val="18"/>
              </w:rPr>
            </w:pPr>
          </w:p>
          <w:p>
            <w:pPr>
              <w:pStyle w:val="TableParagraph"/>
              <w:spacing w:before="112"/>
              <w:ind w:left="272"/>
              <w:rPr>
                <w:sz w:val="18"/>
              </w:rPr>
            </w:pPr>
            <w:r>
              <w:rPr>
                <w:sz w:val="18"/>
              </w:rPr>
              <w:t>2011</w:t>
            </w:r>
          </w:p>
        </w:tc>
      </w:tr>
      <w:tr>
        <w:trPr>
          <w:trHeight w:val="271" w:hRule="exact"/>
        </w:trPr>
        <w:tc>
          <w:tcPr>
            <w:tcW w:w="7642" w:type="dxa"/>
          </w:tcPr>
          <w:p>
            <w:pPr/>
          </w:p>
        </w:tc>
        <w:tc>
          <w:tcPr>
            <w:tcW w:w="1460" w:type="dxa"/>
          </w:tcPr>
          <w:p>
            <w:pPr>
              <w:pStyle w:val="TableParagraph"/>
              <w:spacing w:before="24"/>
              <w:ind w:right="160"/>
              <w:jc w:val="center"/>
              <w:rPr>
                <w:b/>
                <w:sz w:val="18"/>
              </w:rPr>
            </w:pPr>
            <w:r>
              <w:rPr>
                <w:b/>
                <w:w w:val="99"/>
                <w:sz w:val="18"/>
              </w:rPr>
              <w:t>$</w:t>
            </w:r>
          </w:p>
        </w:tc>
        <w:tc>
          <w:tcPr>
            <w:tcW w:w="1134" w:type="dxa"/>
          </w:tcPr>
          <w:p>
            <w:pPr>
              <w:pStyle w:val="TableParagraph"/>
              <w:spacing w:before="24"/>
              <w:ind w:right="187"/>
              <w:jc w:val="center"/>
              <w:rPr>
                <w:sz w:val="18"/>
              </w:rPr>
            </w:pPr>
            <w:r>
              <w:rPr>
                <w:w w:val="99"/>
                <w:sz w:val="18"/>
              </w:rPr>
              <w:t>$</w:t>
            </w:r>
          </w:p>
        </w:tc>
      </w:tr>
      <w:tr>
        <w:trPr>
          <w:trHeight w:val="267" w:hRule="exact"/>
        </w:trPr>
        <w:tc>
          <w:tcPr>
            <w:tcW w:w="7642" w:type="dxa"/>
          </w:tcPr>
          <w:p>
            <w:pPr>
              <w:pStyle w:val="TableParagraph"/>
              <w:spacing w:before="22"/>
              <w:ind w:left="35"/>
              <w:rPr>
                <w:sz w:val="18"/>
              </w:rPr>
            </w:pPr>
            <w:r>
              <w:rPr>
                <w:sz w:val="18"/>
              </w:rPr>
              <w:t>Balance 1 January</w:t>
            </w:r>
          </w:p>
        </w:tc>
        <w:tc>
          <w:tcPr>
            <w:tcW w:w="1460" w:type="dxa"/>
          </w:tcPr>
          <w:p>
            <w:pPr>
              <w:pStyle w:val="TableParagraph"/>
              <w:spacing w:before="21"/>
              <w:ind w:right="247"/>
              <w:jc w:val="right"/>
              <w:rPr>
                <w:b/>
                <w:sz w:val="18"/>
              </w:rPr>
            </w:pPr>
            <w:r>
              <w:rPr>
                <w:b/>
                <w:w w:val="95"/>
                <w:sz w:val="18"/>
              </w:rPr>
              <w:t>1,360,147</w:t>
            </w:r>
          </w:p>
        </w:tc>
        <w:tc>
          <w:tcPr>
            <w:tcW w:w="1134" w:type="dxa"/>
          </w:tcPr>
          <w:p>
            <w:pPr>
              <w:pStyle w:val="TableParagraph"/>
              <w:spacing w:before="21"/>
              <w:ind w:right="83"/>
              <w:jc w:val="right"/>
              <w:rPr>
                <w:sz w:val="18"/>
              </w:rPr>
            </w:pPr>
            <w:r>
              <w:rPr>
                <w:w w:val="95"/>
                <w:sz w:val="18"/>
              </w:rPr>
              <w:t>1,339,806</w:t>
            </w:r>
          </w:p>
        </w:tc>
      </w:tr>
      <w:tr>
        <w:trPr>
          <w:trHeight w:val="262" w:hRule="exact"/>
        </w:trPr>
        <w:tc>
          <w:tcPr>
            <w:tcW w:w="7642" w:type="dxa"/>
          </w:tcPr>
          <w:p>
            <w:pPr>
              <w:pStyle w:val="TableParagraph"/>
              <w:spacing w:before="19"/>
              <w:ind w:left="35"/>
              <w:rPr>
                <w:sz w:val="18"/>
              </w:rPr>
            </w:pPr>
            <w:r>
              <w:rPr>
                <w:sz w:val="18"/>
              </w:rPr>
              <w:t>Profit for the year</w:t>
            </w:r>
          </w:p>
        </w:tc>
        <w:tc>
          <w:tcPr>
            <w:tcW w:w="1460" w:type="dxa"/>
            <w:tcBorders>
              <w:bottom w:val="single" w:sz="0" w:space="0" w:color="000000"/>
            </w:tcBorders>
          </w:tcPr>
          <w:p>
            <w:pPr>
              <w:pStyle w:val="TableParagraph"/>
              <w:spacing w:before="18"/>
              <w:ind w:right="247"/>
              <w:jc w:val="right"/>
              <w:rPr>
                <w:b/>
                <w:sz w:val="18"/>
              </w:rPr>
            </w:pPr>
            <w:r>
              <w:rPr>
                <w:b/>
                <w:w w:val="95"/>
                <w:sz w:val="18"/>
              </w:rPr>
              <w:t>158,227</w:t>
            </w:r>
          </w:p>
        </w:tc>
        <w:tc>
          <w:tcPr>
            <w:tcW w:w="1134" w:type="dxa"/>
            <w:tcBorders>
              <w:bottom w:val="single" w:sz="0" w:space="0" w:color="000000"/>
            </w:tcBorders>
          </w:tcPr>
          <w:p>
            <w:pPr>
              <w:pStyle w:val="TableParagraph"/>
              <w:spacing w:before="18"/>
              <w:ind w:right="83"/>
              <w:jc w:val="right"/>
              <w:rPr>
                <w:sz w:val="18"/>
              </w:rPr>
            </w:pPr>
            <w:r>
              <w:rPr>
                <w:w w:val="95"/>
                <w:sz w:val="18"/>
              </w:rPr>
              <w:t>20,341</w:t>
            </w:r>
          </w:p>
        </w:tc>
      </w:tr>
      <w:tr>
        <w:trPr>
          <w:trHeight w:val="353" w:hRule="exact"/>
        </w:trPr>
        <w:tc>
          <w:tcPr>
            <w:tcW w:w="7642" w:type="dxa"/>
          </w:tcPr>
          <w:p>
            <w:pPr>
              <w:pStyle w:val="TableParagraph"/>
              <w:spacing w:before="123"/>
              <w:ind w:left="35"/>
              <w:rPr>
                <w:sz w:val="18"/>
              </w:rPr>
            </w:pPr>
            <w:r>
              <w:rPr>
                <w:sz w:val="18"/>
              </w:rPr>
              <w:t>Balance 31 December</w:t>
            </w:r>
          </w:p>
        </w:tc>
        <w:tc>
          <w:tcPr>
            <w:tcW w:w="1460" w:type="dxa"/>
            <w:tcBorders>
              <w:top w:val="single" w:sz="0" w:space="0" w:color="000000"/>
              <w:bottom w:val="single" w:sz="0" w:space="0" w:color="000000"/>
            </w:tcBorders>
          </w:tcPr>
          <w:p>
            <w:pPr>
              <w:pStyle w:val="TableParagraph"/>
              <w:spacing w:before="122"/>
              <w:ind w:right="247"/>
              <w:jc w:val="right"/>
              <w:rPr>
                <w:b/>
                <w:sz w:val="18"/>
              </w:rPr>
            </w:pPr>
            <w:r>
              <w:rPr>
                <w:b/>
                <w:w w:val="95"/>
                <w:sz w:val="18"/>
              </w:rPr>
              <w:t>1,518,374</w:t>
            </w:r>
          </w:p>
        </w:tc>
        <w:tc>
          <w:tcPr>
            <w:tcW w:w="1134" w:type="dxa"/>
            <w:tcBorders>
              <w:top w:val="single" w:sz="0" w:space="0" w:color="000000"/>
              <w:bottom w:val="single" w:sz="0" w:space="0" w:color="000000"/>
            </w:tcBorders>
          </w:tcPr>
          <w:p>
            <w:pPr>
              <w:pStyle w:val="TableParagraph"/>
              <w:spacing w:before="122"/>
              <w:ind w:right="82"/>
              <w:jc w:val="right"/>
              <w:rPr>
                <w:sz w:val="18"/>
              </w:rPr>
            </w:pPr>
            <w:r>
              <w:rPr>
                <w:w w:val="95"/>
                <w:sz w:val="18"/>
              </w:rPr>
              <w:t>1,360,147</w:t>
            </w:r>
          </w:p>
        </w:tc>
      </w:tr>
    </w:tbl>
    <w:p>
      <w:pPr>
        <w:spacing w:after="0"/>
        <w:jc w:val="right"/>
        <w:rPr>
          <w:sz w:val="18"/>
        </w:rPr>
        <w:sectPr>
          <w:pgSz w:w="11910" w:h="16840"/>
          <w:pgMar w:header="936" w:footer="526" w:top="2040" w:bottom="700" w:left="760" w:right="680"/>
        </w:sectPr>
      </w:pPr>
    </w:p>
    <w:p>
      <w:pPr>
        <w:pStyle w:val="BodyText"/>
        <w:spacing w:before="11"/>
        <w:rPr>
          <w:rFonts w:ascii="Times New Roman"/>
          <w:sz w:val="29"/>
        </w:rPr>
      </w:pPr>
    </w:p>
    <w:p>
      <w:pPr>
        <w:spacing w:before="77" w:after="36"/>
        <w:ind w:left="145" w:right="139" w:firstLine="0"/>
        <w:jc w:val="left"/>
        <w:rPr>
          <w:b/>
          <w:sz w:val="18"/>
        </w:rPr>
      </w:pPr>
      <w:r>
        <w:rPr>
          <w:b/>
          <w:sz w:val="18"/>
        </w:rPr>
        <w:t>15    Remuneration of auditors</w:t>
      </w: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42"/>
        <w:gridCol w:w="1483"/>
        <w:gridCol w:w="1111"/>
      </w:tblGrid>
      <w:tr>
        <w:trPr>
          <w:trHeight w:val="792" w:hRule="exact"/>
        </w:trPr>
        <w:tc>
          <w:tcPr>
            <w:tcW w:w="7642" w:type="dxa"/>
          </w:tcPr>
          <w:p>
            <w:pPr>
              <w:pStyle w:val="TableParagraph"/>
              <w:rPr>
                <w:b/>
                <w:sz w:val="18"/>
              </w:rPr>
            </w:pPr>
          </w:p>
          <w:p>
            <w:pPr>
              <w:pStyle w:val="TableParagraph"/>
              <w:rPr>
                <w:b/>
                <w:sz w:val="18"/>
              </w:rPr>
            </w:pPr>
          </w:p>
          <w:p>
            <w:pPr>
              <w:pStyle w:val="TableParagraph"/>
              <w:spacing w:before="132"/>
              <w:ind w:left="79" w:right="950"/>
              <w:rPr>
                <w:sz w:val="18"/>
              </w:rPr>
            </w:pPr>
            <w:r>
              <w:rPr>
                <w:sz w:val="18"/>
              </w:rPr>
              <w:t>Audit of financial statement</w:t>
            </w:r>
          </w:p>
        </w:tc>
        <w:tc>
          <w:tcPr>
            <w:tcW w:w="1483" w:type="dxa"/>
            <w:tcBorders>
              <w:bottom w:val="single" w:sz="0" w:space="0" w:color="000000"/>
            </w:tcBorders>
          </w:tcPr>
          <w:p>
            <w:pPr>
              <w:pStyle w:val="TableParagraph"/>
              <w:spacing w:before="5"/>
              <w:ind w:left="452" w:right="589"/>
              <w:jc w:val="center"/>
              <w:rPr>
                <w:b/>
                <w:sz w:val="18"/>
              </w:rPr>
            </w:pPr>
            <w:r>
              <w:rPr>
                <w:b/>
                <w:sz w:val="18"/>
              </w:rPr>
              <w:t>2012</w:t>
            </w:r>
          </w:p>
          <w:p>
            <w:pPr>
              <w:pStyle w:val="TableParagraph"/>
              <w:spacing w:before="66"/>
              <w:ind w:right="137"/>
              <w:jc w:val="center"/>
              <w:rPr>
                <w:b/>
                <w:sz w:val="18"/>
              </w:rPr>
            </w:pPr>
            <w:r>
              <w:rPr>
                <w:b/>
                <w:w w:val="99"/>
                <w:sz w:val="18"/>
              </w:rPr>
              <w:t>$</w:t>
            </w:r>
          </w:p>
          <w:p>
            <w:pPr>
              <w:pStyle w:val="TableParagraph"/>
              <w:spacing w:before="62"/>
              <w:ind w:left="661"/>
              <w:rPr>
                <w:b/>
                <w:sz w:val="18"/>
              </w:rPr>
            </w:pPr>
            <w:r>
              <w:rPr>
                <w:b/>
                <w:sz w:val="18"/>
              </w:rPr>
              <w:t>28,600</w:t>
            </w:r>
          </w:p>
        </w:tc>
        <w:tc>
          <w:tcPr>
            <w:tcW w:w="1111" w:type="dxa"/>
            <w:tcBorders>
              <w:bottom w:val="single" w:sz="0" w:space="0" w:color="000000"/>
            </w:tcBorders>
          </w:tcPr>
          <w:p>
            <w:pPr>
              <w:pStyle w:val="TableParagraph"/>
              <w:spacing w:before="5"/>
              <w:ind w:left="252" w:right="418"/>
              <w:jc w:val="center"/>
              <w:rPr>
                <w:sz w:val="18"/>
              </w:rPr>
            </w:pPr>
            <w:r>
              <w:rPr>
                <w:sz w:val="18"/>
              </w:rPr>
              <w:t>2011</w:t>
            </w:r>
          </w:p>
          <w:p>
            <w:pPr>
              <w:pStyle w:val="TableParagraph"/>
              <w:spacing w:before="66"/>
              <w:ind w:right="166"/>
              <w:jc w:val="center"/>
              <w:rPr>
                <w:sz w:val="18"/>
              </w:rPr>
            </w:pPr>
            <w:r>
              <w:rPr>
                <w:w w:val="99"/>
                <w:sz w:val="18"/>
              </w:rPr>
              <w:t>$</w:t>
            </w:r>
          </w:p>
          <w:p>
            <w:pPr>
              <w:pStyle w:val="TableParagraph"/>
              <w:spacing w:before="62"/>
              <w:ind w:left="474"/>
              <w:rPr>
                <w:sz w:val="18"/>
              </w:rPr>
            </w:pPr>
            <w:r>
              <w:rPr>
                <w:sz w:val="18"/>
              </w:rPr>
              <w:t>27,379</w:t>
            </w:r>
          </w:p>
        </w:tc>
      </w:tr>
      <w:tr>
        <w:trPr>
          <w:trHeight w:val="353" w:hRule="exact"/>
        </w:trPr>
        <w:tc>
          <w:tcPr>
            <w:tcW w:w="7642" w:type="dxa"/>
          </w:tcPr>
          <w:p>
            <w:pPr>
              <w:pStyle w:val="TableParagraph"/>
              <w:spacing w:before="123"/>
              <w:ind w:left="79" w:right="950"/>
              <w:rPr>
                <w:sz w:val="18"/>
              </w:rPr>
            </w:pPr>
            <w:r>
              <w:rPr>
                <w:sz w:val="18"/>
              </w:rPr>
              <w:t>Total remuneration for audit and other assurance services (inclusive of GST)</w:t>
            </w:r>
          </w:p>
        </w:tc>
        <w:tc>
          <w:tcPr>
            <w:tcW w:w="1483" w:type="dxa"/>
            <w:tcBorders>
              <w:top w:val="single" w:sz="0" w:space="0" w:color="000000"/>
              <w:bottom w:val="single" w:sz="0" w:space="0" w:color="000000"/>
            </w:tcBorders>
          </w:tcPr>
          <w:p>
            <w:pPr>
              <w:pStyle w:val="TableParagraph"/>
              <w:spacing w:before="122"/>
              <w:ind w:left="661"/>
              <w:rPr>
                <w:b/>
                <w:sz w:val="18"/>
              </w:rPr>
            </w:pPr>
            <w:r>
              <w:rPr>
                <w:b/>
                <w:sz w:val="18"/>
              </w:rPr>
              <w:t>28,600</w:t>
            </w:r>
          </w:p>
        </w:tc>
        <w:tc>
          <w:tcPr>
            <w:tcW w:w="1111" w:type="dxa"/>
            <w:tcBorders>
              <w:top w:val="single" w:sz="0" w:space="0" w:color="000000"/>
              <w:bottom w:val="single" w:sz="0" w:space="0" w:color="000000"/>
            </w:tcBorders>
          </w:tcPr>
          <w:p>
            <w:pPr>
              <w:pStyle w:val="TableParagraph"/>
              <w:spacing w:before="122"/>
              <w:ind w:left="474"/>
              <w:rPr>
                <w:sz w:val="18"/>
              </w:rPr>
            </w:pPr>
            <w:r>
              <w:rPr>
                <w:sz w:val="18"/>
              </w:rPr>
              <w:t>27,379</w:t>
            </w:r>
          </w:p>
        </w:tc>
      </w:tr>
      <w:tr>
        <w:trPr>
          <w:trHeight w:val="1104" w:hRule="exact"/>
        </w:trPr>
        <w:tc>
          <w:tcPr>
            <w:tcW w:w="7642" w:type="dxa"/>
          </w:tcPr>
          <w:p>
            <w:pPr>
              <w:pStyle w:val="TableParagraph"/>
              <w:rPr>
                <w:b/>
                <w:sz w:val="18"/>
              </w:rPr>
            </w:pPr>
          </w:p>
          <w:p>
            <w:pPr>
              <w:pStyle w:val="TableParagraph"/>
              <w:spacing w:before="2"/>
              <w:rPr>
                <w:b/>
                <w:sz w:val="18"/>
              </w:rPr>
            </w:pPr>
          </w:p>
          <w:p>
            <w:pPr>
              <w:pStyle w:val="TableParagraph"/>
              <w:ind w:left="35" w:right="950"/>
              <w:rPr>
                <w:b/>
                <w:sz w:val="18"/>
              </w:rPr>
            </w:pPr>
            <w:r>
              <w:rPr>
                <w:b/>
                <w:sz w:val="18"/>
              </w:rPr>
              <w:t>16   Contingencies</w:t>
            </w:r>
          </w:p>
          <w:p>
            <w:pPr>
              <w:pStyle w:val="TableParagraph"/>
              <w:spacing w:before="4"/>
              <w:rPr>
                <w:b/>
                <w:sz w:val="15"/>
              </w:rPr>
            </w:pPr>
          </w:p>
          <w:p>
            <w:pPr>
              <w:pStyle w:val="TableParagraph"/>
              <w:ind w:left="35" w:right="950"/>
              <w:rPr>
                <w:sz w:val="18"/>
              </w:rPr>
            </w:pPr>
            <w:r>
              <w:rPr>
                <w:sz w:val="18"/>
              </w:rPr>
              <w:t>The Company had no contingent liabilities at 31 December 2012 (2011: $nil).</w:t>
            </w:r>
          </w:p>
        </w:tc>
        <w:tc>
          <w:tcPr>
            <w:tcW w:w="1483" w:type="dxa"/>
            <w:tcBorders>
              <w:top w:val="single" w:sz="0" w:space="0" w:color="000000"/>
            </w:tcBorders>
          </w:tcPr>
          <w:p>
            <w:pPr/>
          </w:p>
        </w:tc>
        <w:tc>
          <w:tcPr>
            <w:tcW w:w="1111" w:type="dxa"/>
            <w:tcBorders>
              <w:top w:val="single" w:sz="0" w:space="0" w:color="000000"/>
            </w:tcBorders>
          </w:tcPr>
          <w:p>
            <w:pPr/>
          </w:p>
        </w:tc>
      </w:tr>
    </w:tbl>
    <w:p>
      <w:pPr>
        <w:pStyle w:val="BodyText"/>
        <w:rPr>
          <w:b/>
          <w:sz w:val="20"/>
        </w:rPr>
      </w:pPr>
    </w:p>
    <w:p>
      <w:pPr>
        <w:pStyle w:val="BodyText"/>
        <w:spacing w:before="3"/>
        <w:rPr>
          <w:b/>
          <w:sz w:val="22"/>
        </w:rPr>
      </w:pPr>
    </w:p>
    <w:p>
      <w:pPr>
        <w:pStyle w:val="ListParagraph"/>
        <w:numPr>
          <w:ilvl w:val="0"/>
          <w:numId w:val="110"/>
        </w:numPr>
        <w:tabs>
          <w:tab w:pos="542" w:val="left" w:leader="none"/>
        </w:tabs>
        <w:spacing w:line="240" w:lineRule="auto" w:before="0" w:after="0"/>
        <w:ind w:left="542" w:right="0" w:hanging="396"/>
        <w:jc w:val="left"/>
        <w:rPr>
          <w:b/>
          <w:sz w:val="18"/>
        </w:rPr>
      </w:pPr>
      <w:r>
        <w:rPr>
          <w:b/>
          <w:sz w:val="18"/>
        </w:rPr>
        <w:t>Commitments</w:t>
      </w:r>
    </w:p>
    <w:p>
      <w:pPr>
        <w:pStyle w:val="BodyText"/>
        <w:spacing w:before="1"/>
        <w:rPr>
          <w:b/>
          <w:sz w:val="19"/>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42"/>
        <w:gridCol w:w="1483"/>
        <w:gridCol w:w="1111"/>
      </w:tblGrid>
      <w:tr>
        <w:trPr>
          <w:trHeight w:val="567" w:hRule="exact"/>
        </w:trPr>
        <w:tc>
          <w:tcPr>
            <w:tcW w:w="7642" w:type="dxa"/>
          </w:tcPr>
          <w:p>
            <w:pPr>
              <w:pStyle w:val="TableParagraph"/>
              <w:tabs>
                <w:tab w:pos="714" w:val="left" w:leader="none"/>
              </w:tabs>
              <w:spacing w:before="77"/>
              <w:ind w:left="35" w:right="950"/>
              <w:rPr>
                <w:b/>
                <w:sz w:val="18"/>
              </w:rPr>
            </w:pPr>
            <w:r>
              <w:rPr>
                <w:b/>
                <w:sz w:val="18"/>
              </w:rPr>
              <w:t>(a)</w:t>
              <w:tab/>
              <w:t>Operating lease</w:t>
            </w:r>
            <w:r>
              <w:rPr>
                <w:b/>
                <w:spacing w:val="-2"/>
                <w:sz w:val="18"/>
              </w:rPr>
              <w:t> </w:t>
            </w:r>
            <w:r>
              <w:rPr>
                <w:b/>
                <w:sz w:val="18"/>
              </w:rPr>
              <w:t>commitments</w:t>
            </w:r>
          </w:p>
        </w:tc>
        <w:tc>
          <w:tcPr>
            <w:tcW w:w="1483" w:type="dxa"/>
          </w:tcPr>
          <w:p>
            <w:pPr>
              <w:pStyle w:val="TableParagraph"/>
              <w:rPr>
                <w:b/>
                <w:sz w:val="18"/>
              </w:rPr>
            </w:pPr>
          </w:p>
          <w:p>
            <w:pPr>
              <w:pStyle w:val="TableParagraph"/>
              <w:spacing w:before="110"/>
              <w:ind w:left="471"/>
              <w:rPr>
                <w:b/>
                <w:sz w:val="18"/>
              </w:rPr>
            </w:pPr>
            <w:r>
              <w:rPr>
                <w:b/>
                <w:sz w:val="18"/>
              </w:rPr>
              <w:t>2012</w:t>
            </w:r>
          </w:p>
        </w:tc>
        <w:tc>
          <w:tcPr>
            <w:tcW w:w="1111" w:type="dxa"/>
          </w:tcPr>
          <w:p>
            <w:pPr>
              <w:pStyle w:val="TableParagraph"/>
              <w:rPr>
                <w:b/>
                <w:sz w:val="18"/>
              </w:rPr>
            </w:pPr>
          </w:p>
          <w:p>
            <w:pPr>
              <w:pStyle w:val="TableParagraph"/>
              <w:spacing w:before="110"/>
              <w:ind w:left="271"/>
              <w:rPr>
                <w:sz w:val="18"/>
              </w:rPr>
            </w:pPr>
            <w:r>
              <w:rPr>
                <w:sz w:val="18"/>
              </w:rPr>
              <w:t>2011</w:t>
            </w:r>
          </w:p>
        </w:tc>
      </w:tr>
      <w:tr>
        <w:trPr>
          <w:trHeight w:val="374" w:hRule="exact"/>
        </w:trPr>
        <w:tc>
          <w:tcPr>
            <w:tcW w:w="7642" w:type="dxa"/>
          </w:tcPr>
          <w:p>
            <w:pPr/>
          </w:p>
        </w:tc>
        <w:tc>
          <w:tcPr>
            <w:tcW w:w="1483" w:type="dxa"/>
          </w:tcPr>
          <w:p>
            <w:pPr>
              <w:pStyle w:val="TableParagraph"/>
              <w:spacing w:before="24"/>
              <w:ind w:right="138"/>
              <w:jc w:val="center"/>
              <w:rPr>
                <w:b/>
                <w:sz w:val="18"/>
              </w:rPr>
            </w:pPr>
            <w:r>
              <w:rPr>
                <w:b/>
                <w:w w:val="99"/>
                <w:sz w:val="18"/>
              </w:rPr>
              <w:t>$</w:t>
            </w:r>
          </w:p>
        </w:tc>
        <w:tc>
          <w:tcPr>
            <w:tcW w:w="1111" w:type="dxa"/>
          </w:tcPr>
          <w:p>
            <w:pPr>
              <w:pStyle w:val="TableParagraph"/>
              <w:spacing w:before="24"/>
              <w:ind w:right="167"/>
              <w:jc w:val="center"/>
              <w:rPr>
                <w:sz w:val="18"/>
              </w:rPr>
            </w:pPr>
            <w:r>
              <w:rPr>
                <w:w w:val="99"/>
                <w:sz w:val="18"/>
              </w:rPr>
              <w:t>$</w:t>
            </w:r>
          </w:p>
        </w:tc>
      </w:tr>
      <w:tr>
        <w:trPr>
          <w:trHeight w:val="574" w:hRule="exact"/>
        </w:trPr>
        <w:tc>
          <w:tcPr>
            <w:tcW w:w="7642" w:type="dxa"/>
          </w:tcPr>
          <w:p>
            <w:pPr>
              <w:pStyle w:val="TableParagraph"/>
              <w:spacing w:before="124"/>
              <w:ind w:left="79" w:right="950" w:hanging="1"/>
              <w:rPr>
                <w:sz w:val="18"/>
              </w:rPr>
            </w:pPr>
            <w:r>
              <w:rPr>
                <w:sz w:val="18"/>
              </w:rPr>
              <w:t>Commitments for minimum lease payments in relation to non cancellable operating leases are payable as follows:</w:t>
            </w:r>
          </w:p>
        </w:tc>
        <w:tc>
          <w:tcPr>
            <w:tcW w:w="1483" w:type="dxa"/>
          </w:tcPr>
          <w:p>
            <w:pPr/>
          </w:p>
        </w:tc>
        <w:tc>
          <w:tcPr>
            <w:tcW w:w="1111" w:type="dxa"/>
          </w:tcPr>
          <w:p>
            <w:pPr/>
          </w:p>
        </w:tc>
      </w:tr>
      <w:tr>
        <w:trPr>
          <w:trHeight w:val="263" w:hRule="exact"/>
        </w:trPr>
        <w:tc>
          <w:tcPr>
            <w:tcW w:w="7642" w:type="dxa"/>
          </w:tcPr>
          <w:p>
            <w:pPr>
              <w:pStyle w:val="TableParagraph"/>
              <w:spacing w:before="17"/>
              <w:ind w:left="79" w:right="950"/>
              <w:rPr>
                <w:sz w:val="18"/>
              </w:rPr>
            </w:pPr>
            <w:r>
              <w:rPr>
                <w:sz w:val="18"/>
              </w:rPr>
              <w:t>Within one year</w:t>
            </w:r>
          </w:p>
        </w:tc>
        <w:tc>
          <w:tcPr>
            <w:tcW w:w="1483" w:type="dxa"/>
          </w:tcPr>
          <w:p>
            <w:pPr>
              <w:pStyle w:val="TableParagraph"/>
              <w:spacing w:before="19"/>
              <w:ind w:right="269"/>
              <w:jc w:val="right"/>
              <w:rPr>
                <w:b/>
                <w:sz w:val="18"/>
              </w:rPr>
            </w:pPr>
            <w:r>
              <w:rPr>
                <w:b/>
                <w:w w:val="95"/>
                <w:sz w:val="18"/>
              </w:rPr>
              <w:t>227,514</w:t>
            </w:r>
          </w:p>
        </w:tc>
        <w:tc>
          <w:tcPr>
            <w:tcW w:w="1111" w:type="dxa"/>
          </w:tcPr>
          <w:p>
            <w:pPr>
              <w:pStyle w:val="TableParagraph"/>
              <w:spacing w:before="19"/>
              <w:ind w:right="84"/>
              <w:jc w:val="right"/>
              <w:rPr>
                <w:sz w:val="18"/>
              </w:rPr>
            </w:pPr>
            <w:r>
              <w:rPr>
                <w:w w:val="95"/>
                <w:sz w:val="18"/>
              </w:rPr>
              <w:t>487,457</w:t>
            </w:r>
          </w:p>
        </w:tc>
      </w:tr>
      <w:tr>
        <w:trPr>
          <w:trHeight w:val="263" w:hRule="exact"/>
        </w:trPr>
        <w:tc>
          <w:tcPr>
            <w:tcW w:w="7642" w:type="dxa"/>
          </w:tcPr>
          <w:p>
            <w:pPr>
              <w:pStyle w:val="TableParagraph"/>
              <w:spacing w:before="18"/>
              <w:ind w:left="79" w:right="950"/>
              <w:rPr>
                <w:sz w:val="18"/>
              </w:rPr>
            </w:pPr>
            <w:r>
              <w:rPr>
                <w:sz w:val="18"/>
              </w:rPr>
              <w:t>Later than one year</w:t>
            </w:r>
          </w:p>
        </w:tc>
        <w:tc>
          <w:tcPr>
            <w:tcW w:w="1483" w:type="dxa"/>
            <w:tcBorders>
              <w:bottom w:val="single" w:sz="0" w:space="0" w:color="000000"/>
            </w:tcBorders>
          </w:tcPr>
          <w:p>
            <w:pPr>
              <w:pStyle w:val="TableParagraph"/>
              <w:spacing w:before="19"/>
              <w:ind w:right="269"/>
              <w:jc w:val="right"/>
              <w:rPr>
                <w:b/>
                <w:sz w:val="18"/>
              </w:rPr>
            </w:pPr>
            <w:r>
              <w:rPr>
                <w:b/>
                <w:w w:val="95"/>
                <w:sz w:val="18"/>
              </w:rPr>
              <w:t>31,376</w:t>
            </w:r>
          </w:p>
        </w:tc>
        <w:tc>
          <w:tcPr>
            <w:tcW w:w="1111" w:type="dxa"/>
            <w:tcBorders>
              <w:bottom w:val="single" w:sz="0" w:space="0" w:color="000000"/>
            </w:tcBorders>
          </w:tcPr>
          <w:p>
            <w:pPr>
              <w:pStyle w:val="TableParagraph"/>
              <w:spacing w:before="19"/>
              <w:ind w:right="84"/>
              <w:jc w:val="right"/>
              <w:rPr>
                <w:sz w:val="18"/>
              </w:rPr>
            </w:pPr>
            <w:r>
              <w:rPr>
                <w:w w:val="95"/>
                <w:sz w:val="18"/>
              </w:rPr>
              <w:t>195,413</w:t>
            </w:r>
          </w:p>
        </w:tc>
      </w:tr>
      <w:tr>
        <w:trPr>
          <w:trHeight w:val="353" w:hRule="exact"/>
        </w:trPr>
        <w:tc>
          <w:tcPr>
            <w:tcW w:w="7642" w:type="dxa"/>
          </w:tcPr>
          <w:p>
            <w:pPr/>
          </w:p>
        </w:tc>
        <w:tc>
          <w:tcPr>
            <w:tcW w:w="1483" w:type="dxa"/>
            <w:tcBorders>
              <w:top w:val="single" w:sz="0" w:space="0" w:color="000000"/>
              <w:bottom w:val="single" w:sz="0" w:space="0" w:color="000000"/>
            </w:tcBorders>
          </w:tcPr>
          <w:p>
            <w:pPr>
              <w:pStyle w:val="TableParagraph"/>
              <w:spacing w:before="122"/>
              <w:ind w:right="269"/>
              <w:jc w:val="right"/>
              <w:rPr>
                <w:b/>
                <w:sz w:val="18"/>
              </w:rPr>
            </w:pPr>
            <w:r>
              <w:rPr>
                <w:b/>
                <w:w w:val="95"/>
                <w:sz w:val="18"/>
              </w:rPr>
              <w:t>258,890</w:t>
            </w:r>
          </w:p>
        </w:tc>
        <w:tc>
          <w:tcPr>
            <w:tcW w:w="1111" w:type="dxa"/>
            <w:tcBorders>
              <w:top w:val="single" w:sz="0" w:space="0" w:color="000000"/>
              <w:bottom w:val="single" w:sz="0" w:space="0" w:color="000000"/>
            </w:tcBorders>
          </w:tcPr>
          <w:p>
            <w:pPr>
              <w:pStyle w:val="TableParagraph"/>
              <w:spacing w:before="122"/>
              <w:ind w:right="84"/>
              <w:jc w:val="right"/>
              <w:rPr>
                <w:sz w:val="18"/>
              </w:rPr>
            </w:pPr>
            <w:r>
              <w:rPr>
                <w:w w:val="95"/>
                <w:sz w:val="18"/>
              </w:rPr>
              <w:t>682,870</w:t>
            </w:r>
          </w:p>
        </w:tc>
      </w:tr>
      <w:tr>
        <w:trPr>
          <w:trHeight w:val="618" w:hRule="exact"/>
        </w:trPr>
        <w:tc>
          <w:tcPr>
            <w:tcW w:w="7642" w:type="dxa"/>
          </w:tcPr>
          <w:p>
            <w:pPr>
              <w:pStyle w:val="TableParagraph"/>
              <w:rPr>
                <w:b/>
                <w:sz w:val="18"/>
              </w:rPr>
            </w:pPr>
          </w:p>
          <w:p>
            <w:pPr>
              <w:pStyle w:val="TableParagraph"/>
              <w:tabs>
                <w:tab w:pos="714" w:val="left" w:leader="none"/>
              </w:tabs>
              <w:spacing w:before="107"/>
              <w:ind w:left="35" w:right="950"/>
              <w:rPr>
                <w:b/>
                <w:sz w:val="18"/>
              </w:rPr>
            </w:pPr>
            <w:r>
              <w:rPr>
                <w:b/>
                <w:sz w:val="18"/>
              </w:rPr>
              <w:t>(b)</w:t>
              <w:tab/>
              <w:t>Capital expenditure</w:t>
            </w:r>
            <w:r>
              <w:rPr>
                <w:b/>
                <w:spacing w:val="-1"/>
                <w:sz w:val="18"/>
              </w:rPr>
              <w:t> </w:t>
            </w:r>
            <w:r>
              <w:rPr>
                <w:b/>
                <w:sz w:val="18"/>
              </w:rPr>
              <w:t>commitments</w:t>
            </w:r>
          </w:p>
        </w:tc>
        <w:tc>
          <w:tcPr>
            <w:tcW w:w="1483" w:type="dxa"/>
            <w:tcBorders>
              <w:top w:val="single" w:sz="0" w:space="0" w:color="000000"/>
            </w:tcBorders>
          </w:tcPr>
          <w:p>
            <w:pPr/>
          </w:p>
        </w:tc>
        <w:tc>
          <w:tcPr>
            <w:tcW w:w="1111" w:type="dxa"/>
            <w:tcBorders>
              <w:top w:val="single" w:sz="0" w:space="0" w:color="000000"/>
            </w:tcBorders>
          </w:tcPr>
          <w:p>
            <w:pPr/>
          </w:p>
        </w:tc>
      </w:tr>
    </w:tbl>
    <w:p>
      <w:pPr>
        <w:pStyle w:val="BodyText"/>
        <w:spacing w:before="72"/>
        <w:ind w:left="146" w:right="139"/>
      </w:pPr>
      <w:r>
        <w:rPr/>
        <w:t>There are no capital expenditure commitments as at the end of the 2012 reporting period (2011 : $27,150).</w:t>
      </w:r>
    </w:p>
    <w:p>
      <w:pPr>
        <w:pStyle w:val="BodyText"/>
      </w:pPr>
    </w:p>
    <w:p>
      <w:pPr>
        <w:pStyle w:val="Heading9"/>
        <w:numPr>
          <w:ilvl w:val="0"/>
          <w:numId w:val="110"/>
        </w:numPr>
        <w:tabs>
          <w:tab w:pos="543" w:val="left" w:leader="none"/>
        </w:tabs>
        <w:spacing w:line="240" w:lineRule="auto" w:before="0" w:after="0"/>
        <w:ind w:left="542" w:right="0" w:hanging="396"/>
        <w:jc w:val="left"/>
      </w:pPr>
      <w:r>
        <w:rPr/>
        <w:t>Related party</w:t>
      </w:r>
      <w:r>
        <w:rPr>
          <w:spacing w:val="-1"/>
        </w:rPr>
        <w:t> </w:t>
      </w:r>
      <w:r>
        <w:rPr/>
        <w:t>transactions</w:t>
      </w:r>
    </w:p>
    <w:p>
      <w:pPr>
        <w:pStyle w:val="BodyText"/>
        <w:spacing w:before="9"/>
        <w:rPr>
          <w:b/>
          <w:sz w:val="25"/>
        </w:rPr>
      </w:pPr>
    </w:p>
    <w:p>
      <w:pPr>
        <w:tabs>
          <w:tab w:pos="825" w:val="left" w:leader="none"/>
        </w:tabs>
        <w:spacing w:before="0"/>
        <w:ind w:left="145" w:right="139" w:firstLine="0"/>
        <w:jc w:val="left"/>
        <w:rPr>
          <w:b/>
          <w:sz w:val="18"/>
        </w:rPr>
      </w:pPr>
      <w:r>
        <w:rPr>
          <w:b/>
          <w:sz w:val="18"/>
        </w:rPr>
        <w:t>(a)</w:t>
        <w:tab/>
        <w:t>Parent</w:t>
      </w:r>
      <w:r>
        <w:rPr>
          <w:b/>
          <w:spacing w:val="-1"/>
          <w:sz w:val="18"/>
        </w:rPr>
        <w:t> </w:t>
      </w:r>
      <w:r>
        <w:rPr>
          <w:b/>
          <w:sz w:val="18"/>
        </w:rPr>
        <w:t>entities</w:t>
      </w:r>
    </w:p>
    <w:p>
      <w:pPr>
        <w:pStyle w:val="BodyText"/>
        <w:spacing w:before="7"/>
        <w:rPr>
          <w:b/>
          <w:sz w:val="14"/>
        </w:rPr>
      </w:pPr>
    </w:p>
    <w:p>
      <w:pPr>
        <w:pStyle w:val="BodyText"/>
        <w:ind w:left="146" w:right="139"/>
      </w:pPr>
      <w:r>
        <w:rPr/>
        <w:t>The ultimate parent entity of the Company is the University of Western Sydney.</w:t>
      </w:r>
    </w:p>
    <w:p>
      <w:pPr>
        <w:pStyle w:val="BodyText"/>
        <w:spacing w:before="4"/>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41"/>
        <w:gridCol w:w="1460"/>
        <w:gridCol w:w="1135"/>
      </w:tblGrid>
      <w:tr>
        <w:trPr>
          <w:trHeight w:val="686" w:hRule="exact"/>
        </w:trPr>
        <w:tc>
          <w:tcPr>
            <w:tcW w:w="7641" w:type="dxa"/>
          </w:tcPr>
          <w:p>
            <w:pPr>
              <w:pStyle w:val="TableParagraph"/>
              <w:tabs>
                <w:tab w:pos="714" w:val="left" w:leader="none"/>
              </w:tabs>
              <w:spacing w:before="77"/>
              <w:ind w:left="35"/>
              <w:rPr>
                <w:b/>
                <w:sz w:val="18"/>
              </w:rPr>
            </w:pPr>
            <w:r>
              <w:rPr>
                <w:b/>
                <w:sz w:val="18"/>
              </w:rPr>
              <w:t>(b)</w:t>
              <w:tab/>
              <w:t>Transactions with related parties</w:t>
            </w:r>
          </w:p>
          <w:p>
            <w:pPr>
              <w:pStyle w:val="TableParagraph"/>
              <w:spacing w:before="7"/>
              <w:rPr>
                <w:sz w:val="14"/>
              </w:rPr>
            </w:pPr>
          </w:p>
          <w:p>
            <w:pPr>
              <w:pStyle w:val="TableParagraph"/>
              <w:ind w:left="35"/>
              <w:rPr>
                <w:sz w:val="18"/>
              </w:rPr>
            </w:pPr>
            <w:r>
              <w:rPr>
                <w:sz w:val="18"/>
              </w:rPr>
              <w:t>The following transactions occurred with related parties:</w:t>
            </w:r>
          </w:p>
        </w:tc>
        <w:tc>
          <w:tcPr>
            <w:tcW w:w="2594" w:type="dxa"/>
            <w:gridSpan w:val="2"/>
          </w:tcPr>
          <w:p>
            <w:pPr/>
          </w:p>
        </w:tc>
      </w:tr>
      <w:tr>
        <w:trPr>
          <w:trHeight w:val="257" w:hRule="exact"/>
        </w:trPr>
        <w:tc>
          <w:tcPr>
            <w:tcW w:w="7641" w:type="dxa"/>
          </w:tcPr>
          <w:p>
            <w:pPr/>
          </w:p>
        </w:tc>
        <w:tc>
          <w:tcPr>
            <w:tcW w:w="1460" w:type="dxa"/>
          </w:tcPr>
          <w:p>
            <w:pPr>
              <w:pStyle w:val="TableParagraph"/>
              <w:spacing w:before="7"/>
              <w:ind w:left="471"/>
              <w:rPr>
                <w:b/>
                <w:sz w:val="18"/>
              </w:rPr>
            </w:pPr>
            <w:r>
              <w:rPr>
                <w:b/>
                <w:sz w:val="18"/>
              </w:rPr>
              <w:t>2012</w:t>
            </w:r>
          </w:p>
        </w:tc>
        <w:tc>
          <w:tcPr>
            <w:tcW w:w="1135" w:type="dxa"/>
          </w:tcPr>
          <w:p>
            <w:pPr>
              <w:pStyle w:val="TableParagraph"/>
              <w:spacing w:before="7"/>
              <w:ind w:left="294"/>
              <w:rPr>
                <w:sz w:val="18"/>
              </w:rPr>
            </w:pPr>
            <w:r>
              <w:rPr>
                <w:sz w:val="18"/>
              </w:rPr>
              <w:t>2011</w:t>
            </w:r>
          </w:p>
        </w:tc>
      </w:tr>
      <w:tr>
        <w:trPr>
          <w:trHeight w:val="313" w:hRule="exact"/>
        </w:trPr>
        <w:tc>
          <w:tcPr>
            <w:tcW w:w="7641" w:type="dxa"/>
          </w:tcPr>
          <w:p>
            <w:pPr/>
          </w:p>
        </w:tc>
        <w:tc>
          <w:tcPr>
            <w:tcW w:w="1460" w:type="dxa"/>
          </w:tcPr>
          <w:p>
            <w:pPr>
              <w:pStyle w:val="TableParagraph"/>
              <w:spacing w:before="24"/>
              <w:ind w:right="114"/>
              <w:jc w:val="center"/>
              <w:rPr>
                <w:b/>
                <w:sz w:val="18"/>
              </w:rPr>
            </w:pPr>
            <w:r>
              <w:rPr>
                <w:b/>
                <w:w w:val="99"/>
                <w:sz w:val="18"/>
              </w:rPr>
              <w:t>$</w:t>
            </w:r>
          </w:p>
        </w:tc>
        <w:tc>
          <w:tcPr>
            <w:tcW w:w="1135" w:type="dxa"/>
          </w:tcPr>
          <w:p>
            <w:pPr>
              <w:pStyle w:val="TableParagraph"/>
              <w:spacing w:before="24"/>
              <w:ind w:right="143"/>
              <w:jc w:val="center"/>
              <w:rPr>
                <w:sz w:val="18"/>
              </w:rPr>
            </w:pPr>
            <w:r>
              <w:rPr>
                <w:w w:val="99"/>
                <w:sz w:val="18"/>
              </w:rPr>
              <w:t>$</w:t>
            </w:r>
          </w:p>
        </w:tc>
      </w:tr>
      <w:tr>
        <w:trPr>
          <w:trHeight w:val="544" w:hRule="exact"/>
        </w:trPr>
        <w:tc>
          <w:tcPr>
            <w:tcW w:w="7641" w:type="dxa"/>
          </w:tcPr>
          <w:p>
            <w:pPr>
              <w:pStyle w:val="TableParagraph"/>
              <w:spacing w:before="63"/>
              <w:ind w:left="129"/>
              <w:rPr>
                <w:i/>
                <w:sz w:val="18"/>
              </w:rPr>
            </w:pPr>
            <w:r>
              <w:rPr>
                <w:i/>
                <w:sz w:val="18"/>
              </w:rPr>
              <w:t>Sales of goods and services</w:t>
            </w:r>
          </w:p>
          <w:p>
            <w:pPr>
              <w:pStyle w:val="TableParagraph"/>
              <w:spacing w:before="29"/>
              <w:ind w:left="129"/>
              <w:rPr>
                <w:sz w:val="18"/>
              </w:rPr>
            </w:pPr>
            <w:r>
              <w:rPr>
                <w:sz w:val="18"/>
              </w:rPr>
              <w:t>Sale of goods and services to the ultimate parent entity</w:t>
            </w:r>
          </w:p>
        </w:tc>
        <w:tc>
          <w:tcPr>
            <w:tcW w:w="1460" w:type="dxa"/>
          </w:tcPr>
          <w:p>
            <w:pPr>
              <w:pStyle w:val="TableParagraph"/>
              <w:spacing w:before="11"/>
              <w:rPr>
                <w:sz w:val="25"/>
              </w:rPr>
            </w:pPr>
          </w:p>
          <w:p>
            <w:pPr>
              <w:pStyle w:val="TableParagraph"/>
              <w:ind w:right="245"/>
              <w:jc w:val="right"/>
              <w:rPr>
                <w:b/>
                <w:sz w:val="18"/>
              </w:rPr>
            </w:pPr>
            <w:r>
              <w:rPr>
                <w:b/>
                <w:w w:val="95"/>
                <w:sz w:val="18"/>
              </w:rPr>
              <w:t>3,867,186</w:t>
            </w:r>
          </w:p>
        </w:tc>
        <w:tc>
          <w:tcPr>
            <w:tcW w:w="1135" w:type="dxa"/>
          </w:tcPr>
          <w:p>
            <w:pPr>
              <w:pStyle w:val="TableParagraph"/>
              <w:spacing w:before="11"/>
              <w:rPr>
                <w:sz w:val="25"/>
              </w:rPr>
            </w:pPr>
          </w:p>
          <w:p>
            <w:pPr>
              <w:pStyle w:val="TableParagraph"/>
              <w:ind w:right="84"/>
              <w:jc w:val="right"/>
              <w:rPr>
                <w:sz w:val="18"/>
              </w:rPr>
            </w:pPr>
            <w:r>
              <w:rPr>
                <w:w w:val="95"/>
                <w:sz w:val="18"/>
              </w:rPr>
              <w:t>2,081,941</w:t>
            </w:r>
          </w:p>
        </w:tc>
      </w:tr>
      <w:tr>
        <w:trPr>
          <w:trHeight w:val="262" w:hRule="exact"/>
        </w:trPr>
        <w:tc>
          <w:tcPr>
            <w:tcW w:w="7641" w:type="dxa"/>
          </w:tcPr>
          <w:p>
            <w:pPr>
              <w:pStyle w:val="TableParagraph"/>
              <w:spacing w:before="19"/>
              <w:ind w:left="129"/>
              <w:rPr>
                <w:sz w:val="18"/>
              </w:rPr>
            </w:pPr>
            <w:r>
              <w:rPr>
                <w:sz w:val="18"/>
              </w:rPr>
              <w:t>Sale of goods and sevices to other related parties</w:t>
            </w:r>
          </w:p>
        </w:tc>
        <w:tc>
          <w:tcPr>
            <w:tcW w:w="1460" w:type="dxa"/>
            <w:tcBorders>
              <w:bottom w:val="single" w:sz="0" w:space="0" w:color="000000"/>
            </w:tcBorders>
          </w:tcPr>
          <w:p>
            <w:pPr>
              <w:pStyle w:val="TableParagraph"/>
              <w:spacing w:before="18"/>
              <w:ind w:right="246"/>
              <w:jc w:val="right"/>
              <w:rPr>
                <w:b/>
                <w:sz w:val="18"/>
              </w:rPr>
            </w:pPr>
            <w:r>
              <w:rPr>
                <w:b/>
                <w:w w:val="95"/>
                <w:sz w:val="18"/>
              </w:rPr>
              <w:t>25,102</w:t>
            </w:r>
          </w:p>
        </w:tc>
        <w:tc>
          <w:tcPr>
            <w:tcW w:w="1135" w:type="dxa"/>
            <w:tcBorders>
              <w:bottom w:val="single" w:sz="0" w:space="0" w:color="000000"/>
            </w:tcBorders>
          </w:tcPr>
          <w:p>
            <w:pPr>
              <w:pStyle w:val="TableParagraph"/>
              <w:spacing w:before="18"/>
              <w:ind w:right="84"/>
              <w:jc w:val="right"/>
              <w:rPr>
                <w:sz w:val="18"/>
              </w:rPr>
            </w:pPr>
            <w:r>
              <w:rPr>
                <w:w w:val="95"/>
                <w:sz w:val="18"/>
              </w:rPr>
              <w:t>49,684</w:t>
            </w:r>
          </w:p>
        </w:tc>
      </w:tr>
      <w:tr>
        <w:trPr>
          <w:trHeight w:val="353" w:hRule="exact"/>
        </w:trPr>
        <w:tc>
          <w:tcPr>
            <w:tcW w:w="7641" w:type="dxa"/>
          </w:tcPr>
          <w:p>
            <w:pPr/>
          </w:p>
        </w:tc>
        <w:tc>
          <w:tcPr>
            <w:tcW w:w="1460" w:type="dxa"/>
            <w:tcBorders>
              <w:top w:val="single" w:sz="0" w:space="0" w:color="000000"/>
              <w:bottom w:val="single" w:sz="0" w:space="0" w:color="000000"/>
            </w:tcBorders>
          </w:tcPr>
          <w:p>
            <w:pPr>
              <w:pStyle w:val="TableParagraph"/>
              <w:spacing w:before="122"/>
              <w:ind w:right="245"/>
              <w:jc w:val="right"/>
              <w:rPr>
                <w:b/>
                <w:sz w:val="18"/>
              </w:rPr>
            </w:pPr>
            <w:r>
              <w:rPr>
                <w:b/>
                <w:w w:val="95"/>
                <w:sz w:val="18"/>
              </w:rPr>
              <w:t>3,892,288</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2,131,625</w:t>
            </w:r>
          </w:p>
        </w:tc>
      </w:tr>
      <w:tr>
        <w:trPr>
          <w:trHeight w:val="617" w:hRule="exact"/>
        </w:trPr>
        <w:tc>
          <w:tcPr>
            <w:tcW w:w="7641" w:type="dxa"/>
          </w:tcPr>
          <w:p>
            <w:pPr>
              <w:pStyle w:val="TableParagraph"/>
              <w:spacing w:before="138"/>
              <w:ind w:left="129"/>
              <w:rPr>
                <w:i/>
                <w:sz w:val="18"/>
              </w:rPr>
            </w:pPr>
            <w:r>
              <w:rPr>
                <w:i/>
                <w:sz w:val="18"/>
              </w:rPr>
              <w:t>Purchases of goods and services</w:t>
            </w:r>
          </w:p>
          <w:p>
            <w:pPr>
              <w:pStyle w:val="TableParagraph"/>
              <w:spacing w:before="29"/>
              <w:ind w:left="129"/>
              <w:rPr>
                <w:sz w:val="18"/>
              </w:rPr>
            </w:pPr>
            <w:r>
              <w:rPr>
                <w:sz w:val="18"/>
              </w:rPr>
              <w:t>Purchases of goods and services from the ultimate parent entity</w:t>
            </w:r>
          </w:p>
        </w:tc>
        <w:tc>
          <w:tcPr>
            <w:tcW w:w="1460" w:type="dxa"/>
            <w:tcBorders>
              <w:top w:val="single" w:sz="0" w:space="0" w:color="000000"/>
              <w:bottom w:val="single" w:sz="0" w:space="0" w:color="000000"/>
            </w:tcBorders>
          </w:tcPr>
          <w:p>
            <w:pPr>
              <w:pStyle w:val="TableParagraph"/>
              <w:rPr>
                <w:sz w:val="18"/>
              </w:rPr>
            </w:pPr>
          </w:p>
          <w:p>
            <w:pPr>
              <w:pStyle w:val="TableParagraph"/>
              <w:spacing w:before="4"/>
              <w:rPr>
                <w:sz w:val="14"/>
              </w:rPr>
            </w:pPr>
          </w:p>
          <w:p>
            <w:pPr>
              <w:pStyle w:val="TableParagraph"/>
              <w:spacing w:before="1"/>
              <w:ind w:right="245"/>
              <w:jc w:val="right"/>
              <w:rPr>
                <w:b/>
                <w:sz w:val="18"/>
              </w:rPr>
            </w:pPr>
            <w:r>
              <w:rPr>
                <w:b/>
                <w:w w:val="95"/>
                <w:sz w:val="18"/>
              </w:rPr>
              <w:t>131,904</w:t>
            </w:r>
          </w:p>
        </w:tc>
        <w:tc>
          <w:tcPr>
            <w:tcW w:w="1135" w:type="dxa"/>
            <w:tcBorders>
              <w:top w:val="single" w:sz="0" w:space="0" w:color="000000"/>
              <w:bottom w:val="single" w:sz="0" w:space="0" w:color="000000"/>
            </w:tcBorders>
          </w:tcPr>
          <w:p>
            <w:pPr>
              <w:pStyle w:val="TableParagraph"/>
              <w:rPr>
                <w:sz w:val="18"/>
              </w:rPr>
            </w:pPr>
          </w:p>
          <w:p>
            <w:pPr>
              <w:pStyle w:val="TableParagraph"/>
              <w:spacing w:before="4"/>
              <w:rPr>
                <w:sz w:val="14"/>
              </w:rPr>
            </w:pPr>
          </w:p>
          <w:p>
            <w:pPr>
              <w:pStyle w:val="TableParagraph"/>
              <w:spacing w:before="1"/>
              <w:ind w:right="84"/>
              <w:jc w:val="right"/>
              <w:rPr>
                <w:sz w:val="18"/>
              </w:rPr>
            </w:pPr>
            <w:r>
              <w:rPr>
                <w:w w:val="95"/>
                <w:sz w:val="18"/>
              </w:rPr>
              <w:t>398,739</w:t>
            </w:r>
          </w:p>
        </w:tc>
      </w:tr>
      <w:tr>
        <w:trPr>
          <w:trHeight w:val="353" w:hRule="exact"/>
        </w:trPr>
        <w:tc>
          <w:tcPr>
            <w:tcW w:w="7641" w:type="dxa"/>
          </w:tcPr>
          <w:p>
            <w:pPr/>
          </w:p>
        </w:tc>
        <w:tc>
          <w:tcPr>
            <w:tcW w:w="1460" w:type="dxa"/>
            <w:tcBorders>
              <w:top w:val="single" w:sz="0" w:space="0" w:color="000000"/>
              <w:bottom w:val="single" w:sz="0" w:space="0" w:color="000000"/>
            </w:tcBorders>
          </w:tcPr>
          <w:p>
            <w:pPr>
              <w:pStyle w:val="TableParagraph"/>
              <w:spacing w:before="122"/>
              <w:ind w:right="245"/>
              <w:jc w:val="right"/>
              <w:rPr>
                <w:b/>
                <w:sz w:val="18"/>
              </w:rPr>
            </w:pPr>
            <w:r>
              <w:rPr>
                <w:b/>
                <w:w w:val="95"/>
                <w:sz w:val="18"/>
              </w:rPr>
              <w:t>131,904</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398,739</w:t>
            </w:r>
          </w:p>
        </w:tc>
      </w:tr>
      <w:tr>
        <w:trPr>
          <w:trHeight w:val="617" w:hRule="exact"/>
        </w:trPr>
        <w:tc>
          <w:tcPr>
            <w:tcW w:w="7641" w:type="dxa"/>
          </w:tcPr>
          <w:p>
            <w:pPr>
              <w:pStyle w:val="TableParagraph"/>
              <w:spacing w:before="138"/>
              <w:ind w:left="129"/>
              <w:rPr>
                <w:i/>
                <w:sz w:val="18"/>
              </w:rPr>
            </w:pPr>
            <w:r>
              <w:rPr>
                <w:i/>
                <w:sz w:val="18"/>
              </w:rPr>
              <w:t>Other transactions</w:t>
            </w:r>
          </w:p>
          <w:p>
            <w:pPr>
              <w:pStyle w:val="TableParagraph"/>
              <w:spacing w:before="29"/>
              <w:ind w:left="129"/>
              <w:rPr>
                <w:sz w:val="18"/>
              </w:rPr>
            </w:pPr>
            <w:r>
              <w:rPr>
                <w:sz w:val="18"/>
              </w:rPr>
              <w:t>University funding from the ultimate parent entity</w:t>
            </w:r>
          </w:p>
        </w:tc>
        <w:tc>
          <w:tcPr>
            <w:tcW w:w="1460" w:type="dxa"/>
            <w:tcBorders>
              <w:top w:val="single" w:sz="0" w:space="0" w:color="000000"/>
              <w:bottom w:val="single" w:sz="0" w:space="0" w:color="000000"/>
            </w:tcBorders>
          </w:tcPr>
          <w:p>
            <w:pPr>
              <w:pStyle w:val="TableParagraph"/>
              <w:rPr>
                <w:sz w:val="18"/>
              </w:rPr>
            </w:pPr>
          </w:p>
          <w:p>
            <w:pPr>
              <w:pStyle w:val="TableParagraph"/>
              <w:spacing w:before="4"/>
              <w:rPr>
                <w:sz w:val="14"/>
              </w:rPr>
            </w:pPr>
          </w:p>
          <w:p>
            <w:pPr>
              <w:pStyle w:val="TableParagraph"/>
              <w:spacing w:before="1"/>
              <w:ind w:right="245"/>
              <w:jc w:val="right"/>
              <w:rPr>
                <w:b/>
                <w:sz w:val="18"/>
              </w:rPr>
            </w:pPr>
            <w:r>
              <w:rPr>
                <w:b/>
                <w:w w:val="95"/>
                <w:sz w:val="18"/>
              </w:rPr>
              <w:t>2,827,000</w:t>
            </w:r>
          </w:p>
        </w:tc>
        <w:tc>
          <w:tcPr>
            <w:tcW w:w="1135" w:type="dxa"/>
            <w:tcBorders>
              <w:top w:val="single" w:sz="0" w:space="0" w:color="000000"/>
              <w:bottom w:val="single" w:sz="0" w:space="0" w:color="000000"/>
            </w:tcBorders>
          </w:tcPr>
          <w:p>
            <w:pPr>
              <w:pStyle w:val="TableParagraph"/>
              <w:rPr>
                <w:sz w:val="18"/>
              </w:rPr>
            </w:pPr>
          </w:p>
          <w:p>
            <w:pPr>
              <w:pStyle w:val="TableParagraph"/>
              <w:spacing w:before="4"/>
              <w:rPr>
                <w:sz w:val="14"/>
              </w:rPr>
            </w:pPr>
          </w:p>
          <w:p>
            <w:pPr>
              <w:pStyle w:val="TableParagraph"/>
              <w:spacing w:before="1"/>
              <w:ind w:right="84"/>
              <w:jc w:val="right"/>
              <w:rPr>
                <w:sz w:val="18"/>
              </w:rPr>
            </w:pPr>
            <w:r>
              <w:rPr>
                <w:w w:val="95"/>
                <w:sz w:val="18"/>
              </w:rPr>
              <w:t>3,273,000</w:t>
            </w:r>
          </w:p>
        </w:tc>
      </w:tr>
      <w:tr>
        <w:trPr>
          <w:trHeight w:val="353" w:hRule="exact"/>
        </w:trPr>
        <w:tc>
          <w:tcPr>
            <w:tcW w:w="7641" w:type="dxa"/>
          </w:tcPr>
          <w:p>
            <w:pPr/>
          </w:p>
        </w:tc>
        <w:tc>
          <w:tcPr>
            <w:tcW w:w="1460" w:type="dxa"/>
            <w:tcBorders>
              <w:top w:val="single" w:sz="0" w:space="0" w:color="000000"/>
              <w:bottom w:val="single" w:sz="0" w:space="0" w:color="000000"/>
            </w:tcBorders>
          </w:tcPr>
          <w:p>
            <w:pPr>
              <w:pStyle w:val="TableParagraph"/>
              <w:spacing w:before="122"/>
              <w:ind w:right="245"/>
              <w:jc w:val="right"/>
              <w:rPr>
                <w:b/>
                <w:sz w:val="18"/>
              </w:rPr>
            </w:pPr>
            <w:r>
              <w:rPr>
                <w:b/>
                <w:w w:val="95"/>
                <w:sz w:val="18"/>
              </w:rPr>
              <w:t>2,827,000</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3,273,000</w:t>
            </w:r>
          </w:p>
        </w:tc>
      </w:tr>
    </w:tbl>
    <w:p>
      <w:pPr>
        <w:spacing w:after="0"/>
        <w:jc w:val="right"/>
        <w:rPr>
          <w:sz w:val="18"/>
        </w:rPr>
        <w:sectPr>
          <w:pgSz w:w="11910" w:h="16840"/>
          <w:pgMar w:header="936" w:footer="526" w:top="2040" w:bottom="700" w:left="760" w:right="680"/>
        </w:sectPr>
      </w:pPr>
    </w:p>
    <w:p>
      <w:pPr>
        <w:pStyle w:val="BodyText"/>
        <w:rPr>
          <w:sz w:val="20"/>
        </w:rPr>
      </w:pPr>
    </w:p>
    <w:p>
      <w:pPr>
        <w:pStyle w:val="BodyText"/>
        <w:spacing w:before="4"/>
        <w:rPr>
          <w:sz w:val="21"/>
        </w:rPr>
      </w:pPr>
    </w:p>
    <w:p>
      <w:pPr>
        <w:pStyle w:val="Heading9"/>
        <w:numPr>
          <w:ilvl w:val="0"/>
          <w:numId w:val="111"/>
        </w:numPr>
        <w:tabs>
          <w:tab w:pos="502" w:val="left" w:leader="none"/>
        </w:tabs>
        <w:spacing w:line="240" w:lineRule="auto" w:before="77" w:after="0"/>
        <w:ind w:left="502" w:right="0" w:hanging="396"/>
        <w:jc w:val="left"/>
      </w:pPr>
      <w:r>
        <w:rPr/>
        <w:t>Related party</w:t>
      </w:r>
      <w:r>
        <w:rPr>
          <w:spacing w:val="-1"/>
        </w:rPr>
        <w:t> </w:t>
      </w:r>
      <w:r>
        <w:rPr/>
        <w:t>transactions</w:t>
      </w:r>
    </w:p>
    <w:p>
      <w:pPr>
        <w:pStyle w:val="BodyText"/>
        <w:spacing w:before="1"/>
        <w:rPr>
          <w:b/>
          <w:sz w:val="25"/>
        </w:rPr>
      </w:pPr>
    </w:p>
    <w:p>
      <w:pPr>
        <w:tabs>
          <w:tab w:pos="785" w:val="left" w:leader="none"/>
        </w:tabs>
        <w:spacing w:before="0"/>
        <w:ind w:left="105" w:right="894" w:firstLine="0"/>
        <w:jc w:val="left"/>
        <w:rPr>
          <w:b/>
          <w:sz w:val="18"/>
        </w:rPr>
      </w:pPr>
      <w:r>
        <w:rPr>
          <w:b/>
          <w:sz w:val="18"/>
        </w:rPr>
        <w:t>(c)</w:t>
        <w:tab/>
        <w:t>Outstanding balances arising from sales or purchases of goods and</w:t>
      </w:r>
      <w:r>
        <w:rPr>
          <w:b/>
          <w:spacing w:val="-2"/>
          <w:sz w:val="18"/>
        </w:rPr>
        <w:t> </w:t>
      </w:r>
      <w:r>
        <w:rPr>
          <w:b/>
          <w:sz w:val="18"/>
        </w:rPr>
        <w:t>services</w:t>
      </w:r>
    </w:p>
    <w:p>
      <w:pPr>
        <w:pStyle w:val="BodyText"/>
        <w:spacing w:before="112" w:after="36"/>
        <w:ind w:left="105" w:right="670"/>
      </w:pPr>
      <w:r>
        <w:rPr/>
        <w:t>The following balances are outstanding at the end of the reporting period in relation to transactions with related parties:</w:t>
      </w: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597"/>
        <w:gridCol w:w="1460"/>
        <w:gridCol w:w="1135"/>
      </w:tblGrid>
      <w:tr>
        <w:trPr>
          <w:trHeight w:val="504" w:hRule="exact"/>
        </w:trPr>
        <w:tc>
          <w:tcPr>
            <w:tcW w:w="7597" w:type="dxa"/>
          </w:tcPr>
          <w:p>
            <w:pPr/>
          </w:p>
        </w:tc>
        <w:tc>
          <w:tcPr>
            <w:tcW w:w="1460" w:type="dxa"/>
          </w:tcPr>
          <w:p>
            <w:pPr>
              <w:pStyle w:val="TableParagraph"/>
              <w:spacing w:line="204" w:lineRule="exact"/>
              <w:ind w:left="452" w:right="566"/>
              <w:jc w:val="center"/>
              <w:rPr>
                <w:b/>
                <w:sz w:val="18"/>
              </w:rPr>
            </w:pPr>
            <w:r>
              <w:rPr>
                <w:b/>
                <w:sz w:val="18"/>
              </w:rPr>
              <w:t>2012</w:t>
            </w:r>
          </w:p>
          <w:p>
            <w:pPr>
              <w:pStyle w:val="TableParagraph"/>
              <w:spacing w:before="66"/>
              <w:ind w:right="114"/>
              <w:jc w:val="center"/>
              <w:rPr>
                <w:b/>
                <w:sz w:val="18"/>
              </w:rPr>
            </w:pPr>
            <w:r>
              <w:rPr>
                <w:b/>
                <w:w w:val="99"/>
                <w:sz w:val="18"/>
              </w:rPr>
              <w:t>$</w:t>
            </w:r>
          </w:p>
        </w:tc>
        <w:tc>
          <w:tcPr>
            <w:tcW w:w="1135" w:type="dxa"/>
          </w:tcPr>
          <w:p>
            <w:pPr>
              <w:pStyle w:val="TableParagraph"/>
              <w:spacing w:line="204" w:lineRule="exact"/>
              <w:ind w:left="275" w:right="418"/>
              <w:jc w:val="center"/>
              <w:rPr>
                <w:sz w:val="18"/>
              </w:rPr>
            </w:pPr>
            <w:r>
              <w:rPr>
                <w:sz w:val="18"/>
              </w:rPr>
              <w:t>2011</w:t>
            </w:r>
          </w:p>
          <w:p>
            <w:pPr>
              <w:pStyle w:val="TableParagraph"/>
              <w:spacing w:before="66"/>
              <w:ind w:right="143"/>
              <w:jc w:val="center"/>
              <w:rPr>
                <w:sz w:val="18"/>
              </w:rPr>
            </w:pPr>
            <w:r>
              <w:rPr>
                <w:w w:val="99"/>
                <w:sz w:val="18"/>
              </w:rPr>
              <w:t>$</w:t>
            </w:r>
          </w:p>
        </w:tc>
      </w:tr>
      <w:tr>
        <w:trPr>
          <w:trHeight w:val="488" w:hRule="exact"/>
        </w:trPr>
        <w:tc>
          <w:tcPr>
            <w:tcW w:w="7597" w:type="dxa"/>
          </w:tcPr>
          <w:p>
            <w:pPr>
              <w:pStyle w:val="TableParagraph"/>
              <w:spacing w:before="7"/>
              <w:ind w:left="35"/>
              <w:rPr>
                <w:i/>
                <w:sz w:val="18"/>
              </w:rPr>
            </w:pPr>
            <w:r>
              <w:rPr>
                <w:i/>
                <w:sz w:val="18"/>
              </w:rPr>
              <w:t>Current receivables</w:t>
            </w:r>
          </w:p>
          <w:p>
            <w:pPr>
              <w:pStyle w:val="TableParagraph"/>
              <w:spacing w:before="29"/>
              <w:ind w:left="35"/>
              <w:rPr>
                <w:sz w:val="18"/>
              </w:rPr>
            </w:pPr>
            <w:r>
              <w:rPr>
                <w:sz w:val="18"/>
              </w:rPr>
              <w:t>Ultimate parent entity</w:t>
            </w:r>
          </w:p>
        </w:tc>
        <w:tc>
          <w:tcPr>
            <w:tcW w:w="1460" w:type="dxa"/>
          </w:tcPr>
          <w:p>
            <w:pPr>
              <w:pStyle w:val="TableParagraph"/>
              <w:rPr>
                <w:sz w:val="21"/>
              </w:rPr>
            </w:pPr>
          </w:p>
          <w:p>
            <w:pPr>
              <w:pStyle w:val="TableParagraph"/>
              <w:spacing w:before="1"/>
              <w:ind w:right="245"/>
              <w:jc w:val="right"/>
              <w:rPr>
                <w:b/>
                <w:sz w:val="18"/>
              </w:rPr>
            </w:pPr>
            <w:r>
              <w:rPr>
                <w:b/>
                <w:w w:val="95"/>
                <w:sz w:val="18"/>
              </w:rPr>
              <w:t>379,204</w:t>
            </w:r>
          </w:p>
        </w:tc>
        <w:tc>
          <w:tcPr>
            <w:tcW w:w="1135" w:type="dxa"/>
          </w:tcPr>
          <w:p>
            <w:pPr>
              <w:pStyle w:val="TableParagraph"/>
              <w:rPr>
                <w:sz w:val="21"/>
              </w:rPr>
            </w:pPr>
          </w:p>
          <w:p>
            <w:pPr>
              <w:pStyle w:val="TableParagraph"/>
              <w:spacing w:before="1"/>
              <w:ind w:right="84"/>
              <w:jc w:val="right"/>
              <w:rPr>
                <w:sz w:val="18"/>
              </w:rPr>
            </w:pPr>
            <w:r>
              <w:rPr>
                <w:w w:val="95"/>
                <w:sz w:val="18"/>
              </w:rPr>
              <w:t>248,123</w:t>
            </w:r>
          </w:p>
        </w:tc>
      </w:tr>
      <w:tr>
        <w:trPr>
          <w:trHeight w:val="262" w:hRule="exact"/>
        </w:trPr>
        <w:tc>
          <w:tcPr>
            <w:tcW w:w="7597" w:type="dxa"/>
          </w:tcPr>
          <w:p>
            <w:pPr>
              <w:pStyle w:val="TableParagraph"/>
              <w:spacing w:before="19"/>
              <w:ind w:left="35"/>
              <w:rPr>
                <w:sz w:val="18"/>
              </w:rPr>
            </w:pPr>
            <w:r>
              <w:rPr>
                <w:sz w:val="18"/>
              </w:rPr>
              <w:t>Other related parties</w:t>
            </w:r>
          </w:p>
        </w:tc>
        <w:tc>
          <w:tcPr>
            <w:tcW w:w="1460" w:type="dxa"/>
            <w:tcBorders>
              <w:bottom w:val="single" w:sz="0" w:space="0" w:color="000000"/>
            </w:tcBorders>
          </w:tcPr>
          <w:p>
            <w:pPr>
              <w:pStyle w:val="TableParagraph"/>
              <w:spacing w:before="18"/>
              <w:ind w:right="246"/>
              <w:jc w:val="right"/>
              <w:rPr>
                <w:b/>
                <w:sz w:val="18"/>
              </w:rPr>
            </w:pPr>
            <w:r>
              <w:rPr>
                <w:b/>
                <w:w w:val="95"/>
                <w:sz w:val="18"/>
              </w:rPr>
              <w:t>2,925</w:t>
            </w:r>
          </w:p>
        </w:tc>
        <w:tc>
          <w:tcPr>
            <w:tcW w:w="1135" w:type="dxa"/>
            <w:tcBorders>
              <w:bottom w:val="single" w:sz="0" w:space="0" w:color="000000"/>
            </w:tcBorders>
          </w:tcPr>
          <w:p>
            <w:pPr>
              <w:pStyle w:val="TableParagraph"/>
              <w:spacing w:before="18"/>
              <w:ind w:right="85"/>
              <w:jc w:val="right"/>
              <w:rPr>
                <w:sz w:val="18"/>
              </w:rPr>
            </w:pPr>
            <w:r>
              <w:rPr>
                <w:w w:val="95"/>
                <w:sz w:val="18"/>
              </w:rPr>
              <w:t>4,676</w:t>
            </w:r>
          </w:p>
        </w:tc>
      </w:tr>
      <w:tr>
        <w:trPr>
          <w:trHeight w:val="353" w:hRule="exact"/>
        </w:trPr>
        <w:tc>
          <w:tcPr>
            <w:tcW w:w="7597" w:type="dxa"/>
          </w:tcPr>
          <w:p>
            <w:pPr/>
          </w:p>
        </w:tc>
        <w:tc>
          <w:tcPr>
            <w:tcW w:w="1460" w:type="dxa"/>
            <w:tcBorders>
              <w:top w:val="single" w:sz="0" w:space="0" w:color="000000"/>
              <w:bottom w:val="single" w:sz="0" w:space="0" w:color="000000"/>
            </w:tcBorders>
          </w:tcPr>
          <w:p>
            <w:pPr>
              <w:pStyle w:val="TableParagraph"/>
              <w:spacing w:before="122"/>
              <w:ind w:right="245"/>
              <w:jc w:val="right"/>
              <w:rPr>
                <w:b/>
                <w:sz w:val="18"/>
              </w:rPr>
            </w:pPr>
            <w:r>
              <w:rPr>
                <w:b/>
                <w:w w:val="95"/>
                <w:sz w:val="18"/>
              </w:rPr>
              <w:t>382,129</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252,799</w:t>
            </w:r>
          </w:p>
        </w:tc>
      </w:tr>
      <w:tr>
        <w:trPr>
          <w:trHeight w:val="505" w:hRule="exact"/>
        </w:trPr>
        <w:tc>
          <w:tcPr>
            <w:tcW w:w="7597" w:type="dxa"/>
          </w:tcPr>
          <w:p>
            <w:pPr>
              <w:pStyle w:val="TableParagraph"/>
              <w:spacing w:before="25"/>
              <w:ind w:left="35"/>
              <w:rPr>
                <w:i/>
                <w:sz w:val="18"/>
              </w:rPr>
            </w:pPr>
            <w:r>
              <w:rPr>
                <w:i/>
                <w:sz w:val="18"/>
              </w:rPr>
              <w:t>Current payables</w:t>
            </w:r>
          </w:p>
          <w:p>
            <w:pPr>
              <w:pStyle w:val="TableParagraph"/>
              <w:spacing w:before="29"/>
              <w:ind w:left="35"/>
              <w:rPr>
                <w:sz w:val="18"/>
              </w:rPr>
            </w:pPr>
            <w:r>
              <w:rPr>
                <w:sz w:val="18"/>
              </w:rPr>
              <w:t>Ultimate parent entity</w:t>
            </w:r>
          </w:p>
        </w:tc>
        <w:tc>
          <w:tcPr>
            <w:tcW w:w="1460" w:type="dxa"/>
            <w:tcBorders>
              <w:top w:val="single" w:sz="0" w:space="0" w:color="000000"/>
              <w:bottom w:val="single" w:sz="0" w:space="0" w:color="000000"/>
            </w:tcBorders>
          </w:tcPr>
          <w:p>
            <w:pPr>
              <w:pStyle w:val="TableParagraph"/>
              <w:spacing w:before="7"/>
              <w:rPr>
                <w:sz w:val="22"/>
              </w:rPr>
            </w:pPr>
          </w:p>
          <w:p>
            <w:pPr>
              <w:pStyle w:val="TableParagraph"/>
              <w:ind w:right="245"/>
              <w:jc w:val="right"/>
              <w:rPr>
                <w:b/>
                <w:sz w:val="18"/>
              </w:rPr>
            </w:pPr>
            <w:r>
              <w:rPr>
                <w:b/>
                <w:w w:val="95"/>
                <w:sz w:val="18"/>
              </w:rPr>
              <w:t>1,532,161</w:t>
            </w:r>
          </w:p>
        </w:tc>
        <w:tc>
          <w:tcPr>
            <w:tcW w:w="1135" w:type="dxa"/>
            <w:tcBorders>
              <w:top w:val="single" w:sz="0" w:space="0" w:color="000000"/>
              <w:bottom w:val="single" w:sz="0" w:space="0" w:color="000000"/>
            </w:tcBorders>
          </w:tcPr>
          <w:p>
            <w:pPr>
              <w:pStyle w:val="TableParagraph"/>
              <w:spacing w:before="7"/>
              <w:rPr>
                <w:sz w:val="22"/>
              </w:rPr>
            </w:pPr>
          </w:p>
          <w:p>
            <w:pPr>
              <w:pStyle w:val="TableParagraph"/>
              <w:ind w:right="84"/>
              <w:jc w:val="right"/>
              <w:rPr>
                <w:sz w:val="18"/>
              </w:rPr>
            </w:pPr>
            <w:r>
              <w:rPr>
                <w:w w:val="95"/>
                <w:sz w:val="18"/>
              </w:rPr>
              <w:t>1,639,013</w:t>
            </w:r>
          </w:p>
        </w:tc>
      </w:tr>
      <w:tr>
        <w:trPr>
          <w:trHeight w:val="353" w:hRule="exact"/>
        </w:trPr>
        <w:tc>
          <w:tcPr>
            <w:tcW w:w="7597" w:type="dxa"/>
          </w:tcPr>
          <w:p>
            <w:pPr/>
          </w:p>
        </w:tc>
        <w:tc>
          <w:tcPr>
            <w:tcW w:w="1460" w:type="dxa"/>
            <w:tcBorders>
              <w:top w:val="single" w:sz="0" w:space="0" w:color="000000"/>
              <w:bottom w:val="single" w:sz="0" w:space="0" w:color="000000"/>
            </w:tcBorders>
          </w:tcPr>
          <w:p>
            <w:pPr>
              <w:pStyle w:val="TableParagraph"/>
              <w:spacing w:before="122"/>
              <w:ind w:right="245"/>
              <w:jc w:val="right"/>
              <w:rPr>
                <w:b/>
                <w:sz w:val="18"/>
              </w:rPr>
            </w:pPr>
            <w:r>
              <w:rPr>
                <w:b/>
                <w:w w:val="95"/>
                <w:sz w:val="18"/>
              </w:rPr>
              <w:t>1,532,161</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1,639,013</w:t>
            </w:r>
          </w:p>
        </w:tc>
      </w:tr>
      <w:tr>
        <w:trPr>
          <w:trHeight w:val="505" w:hRule="exact"/>
        </w:trPr>
        <w:tc>
          <w:tcPr>
            <w:tcW w:w="7597" w:type="dxa"/>
          </w:tcPr>
          <w:p>
            <w:pPr>
              <w:pStyle w:val="TableParagraph"/>
              <w:spacing w:before="25"/>
              <w:ind w:left="85"/>
              <w:rPr>
                <w:i/>
                <w:sz w:val="18"/>
              </w:rPr>
            </w:pPr>
            <w:r>
              <w:rPr>
                <w:i/>
                <w:sz w:val="18"/>
              </w:rPr>
              <w:t>Non-current payables</w:t>
            </w:r>
          </w:p>
          <w:p>
            <w:pPr>
              <w:pStyle w:val="TableParagraph"/>
              <w:spacing w:before="28"/>
              <w:ind w:left="85"/>
              <w:rPr>
                <w:sz w:val="18"/>
              </w:rPr>
            </w:pPr>
            <w:r>
              <w:rPr>
                <w:sz w:val="18"/>
              </w:rPr>
              <w:t>Ultimate parent entity</w:t>
            </w:r>
          </w:p>
        </w:tc>
        <w:tc>
          <w:tcPr>
            <w:tcW w:w="1460" w:type="dxa"/>
            <w:tcBorders>
              <w:top w:val="single" w:sz="0" w:space="0" w:color="000000"/>
              <w:bottom w:val="single" w:sz="0" w:space="0" w:color="000000"/>
            </w:tcBorders>
          </w:tcPr>
          <w:p>
            <w:pPr>
              <w:pStyle w:val="TableParagraph"/>
              <w:spacing w:before="7"/>
              <w:rPr>
                <w:sz w:val="22"/>
              </w:rPr>
            </w:pPr>
          </w:p>
          <w:p>
            <w:pPr>
              <w:pStyle w:val="TableParagraph"/>
              <w:ind w:right="246"/>
              <w:jc w:val="right"/>
              <w:rPr>
                <w:b/>
                <w:sz w:val="18"/>
              </w:rPr>
            </w:pPr>
            <w:r>
              <w:rPr>
                <w:b/>
                <w:w w:val="95"/>
                <w:sz w:val="18"/>
              </w:rPr>
              <w:t>93,750</w:t>
            </w:r>
          </w:p>
        </w:tc>
        <w:tc>
          <w:tcPr>
            <w:tcW w:w="1135" w:type="dxa"/>
            <w:tcBorders>
              <w:top w:val="single" w:sz="0" w:space="0" w:color="000000"/>
              <w:bottom w:val="single" w:sz="0" w:space="0" w:color="000000"/>
            </w:tcBorders>
          </w:tcPr>
          <w:p>
            <w:pPr>
              <w:pStyle w:val="TableParagraph"/>
              <w:spacing w:before="7"/>
              <w:rPr>
                <w:sz w:val="22"/>
              </w:rPr>
            </w:pPr>
          </w:p>
          <w:p>
            <w:pPr>
              <w:pStyle w:val="TableParagraph"/>
              <w:ind w:right="84"/>
              <w:jc w:val="right"/>
              <w:rPr>
                <w:sz w:val="18"/>
              </w:rPr>
            </w:pPr>
            <w:r>
              <w:rPr>
                <w:w w:val="95"/>
                <w:sz w:val="18"/>
              </w:rPr>
              <w:t>234,375</w:t>
            </w:r>
          </w:p>
        </w:tc>
      </w:tr>
      <w:tr>
        <w:trPr>
          <w:trHeight w:val="353" w:hRule="exact"/>
        </w:trPr>
        <w:tc>
          <w:tcPr>
            <w:tcW w:w="7597" w:type="dxa"/>
          </w:tcPr>
          <w:p>
            <w:pP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93,750</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234,375</w:t>
            </w:r>
          </w:p>
        </w:tc>
      </w:tr>
    </w:tbl>
    <w:p>
      <w:pPr>
        <w:pStyle w:val="BodyText"/>
        <w:spacing w:before="2"/>
        <w:rPr>
          <w:sz w:val="10"/>
        </w:rPr>
      </w:pPr>
    </w:p>
    <w:p>
      <w:pPr>
        <w:pStyle w:val="BodyText"/>
        <w:spacing w:before="77"/>
        <w:ind w:left="105" w:right="618"/>
      </w:pPr>
      <w:r>
        <w:rPr/>
        <w:t>There is no allowance account for impaired receivables in relation to any outstanding balances, and no expense has been recognised in respect of impaired receivables due from related parties.</w:t>
      </w:r>
    </w:p>
    <w:p>
      <w:pPr>
        <w:pStyle w:val="BodyText"/>
      </w:pPr>
    </w:p>
    <w:p>
      <w:pPr>
        <w:pStyle w:val="Heading9"/>
        <w:numPr>
          <w:ilvl w:val="0"/>
          <w:numId w:val="111"/>
        </w:numPr>
        <w:tabs>
          <w:tab w:pos="502" w:val="left" w:leader="none"/>
        </w:tabs>
        <w:spacing w:line="240" w:lineRule="auto" w:before="0" w:after="0"/>
        <w:ind w:left="502" w:right="0" w:hanging="396"/>
        <w:jc w:val="left"/>
      </w:pPr>
      <w:r>
        <w:rPr/>
        <w:t>Economic dependency</w:t>
      </w:r>
    </w:p>
    <w:p>
      <w:pPr>
        <w:pStyle w:val="BodyText"/>
        <w:spacing w:before="4"/>
        <w:rPr>
          <w:b/>
          <w:sz w:val="15"/>
        </w:rPr>
      </w:pPr>
    </w:p>
    <w:p>
      <w:pPr>
        <w:pStyle w:val="BodyText"/>
        <w:ind w:left="105" w:right="359"/>
      </w:pPr>
      <w:r>
        <w:rPr/>
        <w:t>The Company is economically dependent on the University of Western Sydney for the provision of office accommodation and support activities.</w:t>
      </w:r>
    </w:p>
    <w:p>
      <w:pPr>
        <w:pStyle w:val="BodyText"/>
        <w:spacing w:before="7"/>
        <w:rPr>
          <w:sz w:val="14"/>
        </w:rPr>
      </w:pPr>
    </w:p>
    <w:p>
      <w:pPr>
        <w:pStyle w:val="BodyText"/>
        <w:ind w:left="105" w:right="121"/>
      </w:pPr>
      <w:r>
        <w:rPr/>
        <w:t>uwsconnect Limited, as a 100% owned entity of the University of Western Sydney, received $2,827,000 in direct funding in 2012 for University services, capital investment and provision of bus services.  Funding for 2013 has been approved for $2,756,000 for University services and provision of bus</w:t>
      </w:r>
      <w:r>
        <w:rPr>
          <w:spacing w:val="-1"/>
        </w:rPr>
        <w:t> </w:t>
      </w:r>
      <w:r>
        <w:rPr/>
        <w:t>services.</w:t>
      </w:r>
    </w:p>
    <w:p>
      <w:pPr>
        <w:pStyle w:val="BodyText"/>
      </w:pPr>
    </w:p>
    <w:p>
      <w:pPr>
        <w:pStyle w:val="Heading9"/>
        <w:numPr>
          <w:ilvl w:val="0"/>
          <w:numId w:val="111"/>
        </w:numPr>
        <w:tabs>
          <w:tab w:pos="502" w:val="left" w:leader="none"/>
        </w:tabs>
        <w:spacing w:line="240" w:lineRule="auto" w:before="0" w:after="0"/>
        <w:ind w:left="502" w:right="0" w:hanging="396"/>
        <w:jc w:val="left"/>
      </w:pPr>
      <w:r>
        <w:rPr/>
        <w:t>Events occurring after the reporting</w:t>
      </w:r>
      <w:r>
        <w:rPr>
          <w:spacing w:val="-1"/>
        </w:rPr>
        <w:t> </w:t>
      </w:r>
      <w:r>
        <w:rPr/>
        <w:t>period</w:t>
      </w:r>
    </w:p>
    <w:p>
      <w:pPr>
        <w:pStyle w:val="BodyText"/>
        <w:spacing w:before="4"/>
        <w:rPr>
          <w:b/>
          <w:sz w:val="15"/>
        </w:rPr>
      </w:pPr>
    </w:p>
    <w:p>
      <w:pPr>
        <w:pStyle w:val="BodyText"/>
        <w:ind w:left="105" w:right="809"/>
      </w:pPr>
      <w:r>
        <w:rPr/>
        <w:t>There are no events after the balance sheet date of which the Directors are aware that will have a material effect on the Company's operations (2011: $nil).</w:t>
      </w:r>
    </w:p>
    <w:p>
      <w:pPr>
        <w:spacing w:after="0"/>
        <w:sectPr>
          <w:pgSz w:w="11910" w:h="16840"/>
          <w:pgMar w:header="936" w:footer="526" w:top="2040" w:bottom="700" w:left="800" w:right="680"/>
        </w:sectPr>
      </w:pPr>
    </w:p>
    <w:p>
      <w:pPr>
        <w:pStyle w:val="BodyText"/>
        <w:rPr>
          <w:sz w:val="20"/>
        </w:rPr>
      </w:pPr>
    </w:p>
    <w:p>
      <w:pPr>
        <w:pStyle w:val="BodyText"/>
        <w:spacing w:before="8"/>
        <w:rPr>
          <w:sz w:val="24"/>
        </w:rPr>
      </w:pPr>
    </w:p>
    <w:p>
      <w:pPr>
        <w:spacing w:after="0"/>
        <w:rPr>
          <w:sz w:val="24"/>
        </w:rPr>
        <w:sectPr>
          <w:pgSz w:w="11910" w:h="16840"/>
          <w:pgMar w:header="936" w:footer="526" w:top="2040" w:bottom="700" w:left="800" w:right="680"/>
        </w:sectPr>
      </w:pPr>
    </w:p>
    <w:p>
      <w:pPr>
        <w:pStyle w:val="Heading9"/>
        <w:numPr>
          <w:ilvl w:val="0"/>
          <w:numId w:val="111"/>
        </w:numPr>
        <w:tabs>
          <w:tab w:pos="502" w:val="left" w:leader="none"/>
        </w:tabs>
        <w:spacing w:line="240" w:lineRule="auto" w:before="77" w:after="0"/>
        <w:ind w:left="502" w:right="0" w:hanging="396"/>
        <w:jc w:val="left"/>
      </w:pPr>
      <w:r>
        <w:rPr/>
        <w:t>Reconciliation of operating surplus/(deficit) to net cash flows from operating activities</w:t>
      </w:r>
    </w:p>
    <w:p>
      <w:pPr>
        <w:pStyle w:val="BodyText"/>
        <w:rPr>
          <w:b/>
        </w:rPr>
      </w:pPr>
      <w:r>
        <w:rPr/>
        <w:br w:type="column"/>
      </w:r>
      <w:r>
        <w:rPr>
          <w:b/>
        </w:rPr>
      </w:r>
    </w:p>
    <w:p>
      <w:pPr>
        <w:spacing w:before="118"/>
        <w:ind w:left="106" w:right="0" w:firstLine="0"/>
        <w:jc w:val="center"/>
        <w:rPr>
          <w:b/>
          <w:sz w:val="18"/>
        </w:rPr>
      </w:pPr>
      <w:r>
        <w:rPr>
          <w:b/>
          <w:sz w:val="18"/>
        </w:rPr>
        <w:t>2012</w:t>
      </w:r>
    </w:p>
    <w:p>
      <w:pPr>
        <w:spacing w:before="66"/>
        <w:ind w:left="105" w:right="0" w:firstLine="0"/>
        <w:jc w:val="center"/>
        <w:rPr>
          <w:b/>
          <w:sz w:val="18"/>
        </w:rPr>
      </w:pPr>
      <w:r>
        <w:rPr>
          <w:b/>
          <w:w w:val="99"/>
          <w:sz w:val="18"/>
        </w:rPr>
        <w:t>$</w:t>
      </w:r>
    </w:p>
    <w:p>
      <w:pPr>
        <w:pStyle w:val="BodyText"/>
        <w:rPr>
          <w:b/>
        </w:rPr>
      </w:pPr>
      <w:r>
        <w:rPr/>
        <w:br w:type="column"/>
      </w:r>
      <w:r>
        <w:rPr>
          <w:b/>
        </w:rPr>
      </w:r>
    </w:p>
    <w:p>
      <w:pPr>
        <w:pStyle w:val="BodyText"/>
        <w:spacing w:before="118"/>
        <w:ind w:left="89" w:right="539"/>
        <w:jc w:val="center"/>
      </w:pPr>
      <w:r>
        <w:rPr/>
        <w:t>2011</w:t>
      </w:r>
    </w:p>
    <w:p>
      <w:pPr>
        <w:pStyle w:val="BodyText"/>
        <w:spacing w:before="66"/>
        <w:ind w:right="449"/>
        <w:jc w:val="center"/>
      </w:pPr>
      <w:r>
        <w:rPr>
          <w:w w:val="99"/>
        </w:rPr>
        <w:t>$</w:t>
      </w:r>
    </w:p>
    <w:p>
      <w:pPr>
        <w:spacing w:after="0"/>
        <w:jc w:val="center"/>
        <w:sectPr>
          <w:type w:val="continuous"/>
          <w:pgSz w:w="11910" w:h="16840"/>
          <w:pgMar w:top="0" w:bottom="280" w:left="800" w:right="680"/>
          <w:cols w:num="3" w:equalWidth="0">
            <w:col w:w="7874" w:space="204"/>
            <w:col w:w="507" w:space="776"/>
            <w:col w:w="1069"/>
          </w:cols>
        </w:sectPr>
      </w:pPr>
    </w:p>
    <w:p>
      <w:pPr>
        <w:pStyle w:val="BodyText"/>
        <w:tabs>
          <w:tab w:pos="8274" w:val="left" w:leader="none"/>
          <w:tab w:pos="9669" w:val="left" w:leader="none"/>
        </w:tabs>
        <w:spacing w:before="62" w:after="36"/>
        <w:ind w:left="150" w:right="109"/>
      </w:pPr>
      <w:r>
        <w:rPr/>
        <w:t>Operating surplus/(deficit) for</w:t>
      </w:r>
      <w:r>
        <w:rPr>
          <w:spacing w:val="-1"/>
        </w:rPr>
        <w:t> </w:t>
      </w:r>
      <w:r>
        <w:rPr/>
        <w:t>the</w:t>
      </w:r>
      <w:r>
        <w:rPr>
          <w:spacing w:val="-1"/>
        </w:rPr>
        <w:t> </w:t>
      </w:r>
      <w:r>
        <w:rPr/>
        <w:t>year</w:t>
        <w:tab/>
      </w:r>
      <w:r>
        <w:rPr>
          <w:b/>
        </w:rPr>
        <w:t>158,227</w:t>
        <w:tab/>
      </w:r>
      <w:r>
        <w:rPr/>
        <w:t>20,341</w:t>
      </w: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597"/>
        <w:gridCol w:w="1460"/>
        <w:gridCol w:w="1134"/>
      </w:tblGrid>
      <w:tr>
        <w:trPr>
          <w:trHeight w:val="265" w:hRule="exact"/>
        </w:trPr>
        <w:tc>
          <w:tcPr>
            <w:tcW w:w="7597" w:type="dxa"/>
          </w:tcPr>
          <w:p>
            <w:pPr>
              <w:pStyle w:val="TableParagraph"/>
              <w:spacing w:before="20"/>
              <w:ind w:left="249"/>
              <w:rPr>
                <w:sz w:val="18"/>
              </w:rPr>
            </w:pPr>
            <w:r>
              <w:rPr>
                <w:sz w:val="18"/>
              </w:rPr>
              <w:t>Depreciation and amortisation</w:t>
            </w:r>
          </w:p>
        </w:tc>
        <w:tc>
          <w:tcPr>
            <w:tcW w:w="1460" w:type="dxa"/>
          </w:tcPr>
          <w:p>
            <w:pPr>
              <w:pStyle w:val="TableParagraph"/>
              <w:spacing w:before="21"/>
              <w:ind w:right="245"/>
              <w:jc w:val="right"/>
              <w:rPr>
                <w:b/>
                <w:sz w:val="18"/>
              </w:rPr>
            </w:pPr>
            <w:r>
              <w:rPr>
                <w:b/>
                <w:w w:val="95"/>
                <w:sz w:val="18"/>
              </w:rPr>
              <w:t>239,880</w:t>
            </w:r>
          </w:p>
        </w:tc>
        <w:tc>
          <w:tcPr>
            <w:tcW w:w="1134" w:type="dxa"/>
          </w:tcPr>
          <w:p>
            <w:pPr>
              <w:pStyle w:val="TableParagraph"/>
              <w:spacing w:before="21"/>
              <w:ind w:right="84"/>
              <w:jc w:val="right"/>
              <w:rPr>
                <w:sz w:val="18"/>
              </w:rPr>
            </w:pPr>
            <w:r>
              <w:rPr>
                <w:w w:val="95"/>
                <w:sz w:val="18"/>
              </w:rPr>
              <w:t>233,830</w:t>
            </w:r>
          </w:p>
        </w:tc>
      </w:tr>
      <w:tr>
        <w:trPr>
          <w:trHeight w:val="264" w:hRule="exact"/>
        </w:trPr>
        <w:tc>
          <w:tcPr>
            <w:tcW w:w="7597" w:type="dxa"/>
          </w:tcPr>
          <w:p>
            <w:pPr>
              <w:pStyle w:val="TableParagraph"/>
              <w:spacing w:before="18"/>
              <w:ind w:left="249"/>
              <w:rPr>
                <w:sz w:val="18"/>
              </w:rPr>
            </w:pPr>
            <w:r>
              <w:rPr>
                <w:sz w:val="18"/>
              </w:rPr>
              <w:t>Write-off of assets</w:t>
            </w:r>
          </w:p>
        </w:tc>
        <w:tc>
          <w:tcPr>
            <w:tcW w:w="1460" w:type="dxa"/>
          </w:tcPr>
          <w:p>
            <w:pPr>
              <w:pStyle w:val="TableParagraph"/>
              <w:spacing w:before="19"/>
              <w:ind w:right="246"/>
              <w:jc w:val="right"/>
              <w:rPr>
                <w:b/>
                <w:sz w:val="18"/>
              </w:rPr>
            </w:pPr>
            <w:r>
              <w:rPr>
                <w:b/>
                <w:w w:val="95"/>
                <w:sz w:val="18"/>
              </w:rPr>
              <w:t>4,935</w:t>
            </w:r>
          </w:p>
        </w:tc>
        <w:tc>
          <w:tcPr>
            <w:tcW w:w="1134" w:type="dxa"/>
          </w:tcPr>
          <w:p>
            <w:pPr>
              <w:pStyle w:val="TableParagraph"/>
              <w:spacing w:before="19"/>
              <w:ind w:right="84"/>
              <w:jc w:val="right"/>
              <w:rPr>
                <w:sz w:val="18"/>
              </w:rPr>
            </w:pPr>
            <w:r>
              <w:rPr>
                <w:w w:val="95"/>
                <w:sz w:val="18"/>
              </w:rPr>
              <w:t>12,015</w:t>
            </w:r>
          </w:p>
        </w:tc>
      </w:tr>
      <w:tr>
        <w:trPr>
          <w:trHeight w:val="264" w:hRule="exact"/>
        </w:trPr>
        <w:tc>
          <w:tcPr>
            <w:tcW w:w="7597" w:type="dxa"/>
          </w:tcPr>
          <w:p>
            <w:pPr>
              <w:pStyle w:val="TableParagraph"/>
              <w:spacing w:before="18"/>
              <w:ind w:left="249"/>
              <w:rPr>
                <w:sz w:val="18"/>
              </w:rPr>
            </w:pPr>
            <w:r>
              <w:rPr>
                <w:sz w:val="18"/>
              </w:rPr>
              <w:t>Net (gain) loss on sale of non-current assets</w:t>
            </w:r>
          </w:p>
        </w:tc>
        <w:tc>
          <w:tcPr>
            <w:tcW w:w="1460" w:type="dxa"/>
          </w:tcPr>
          <w:p>
            <w:pPr>
              <w:pStyle w:val="TableParagraph"/>
              <w:spacing w:before="19"/>
              <w:ind w:right="186"/>
              <w:jc w:val="right"/>
              <w:rPr>
                <w:b/>
                <w:sz w:val="18"/>
              </w:rPr>
            </w:pPr>
            <w:r>
              <w:rPr>
                <w:b/>
                <w:w w:val="95"/>
                <w:sz w:val="18"/>
              </w:rPr>
              <w:t>(24,888)</w:t>
            </w:r>
          </w:p>
        </w:tc>
        <w:tc>
          <w:tcPr>
            <w:tcW w:w="1134" w:type="dxa"/>
          </w:tcPr>
          <w:p>
            <w:pPr>
              <w:pStyle w:val="TableParagraph"/>
              <w:spacing w:before="19"/>
              <w:ind w:right="84"/>
              <w:jc w:val="right"/>
              <w:rPr>
                <w:sz w:val="18"/>
              </w:rPr>
            </w:pPr>
            <w:r>
              <w:rPr>
                <w:w w:val="95"/>
                <w:sz w:val="18"/>
              </w:rPr>
              <w:t>13,997</w:t>
            </w:r>
          </w:p>
        </w:tc>
      </w:tr>
      <w:tr>
        <w:trPr>
          <w:trHeight w:val="262" w:hRule="exact"/>
        </w:trPr>
        <w:tc>
          <w:tcPr>
            <w:tcW w:w="7597" w:type="dxa"/>
          </w:tcPr>
          <w:p>
            <w:pPr>
              <w:pStyle w:val="TableParagraph"/>
              <w:spacing w:before="18"/>
              <w:ind w:left="35"/>
              <w:rPr>
                <w:sz w:val="18"/>
              </w:rPr>
            </w:pPr>
            <w:r>
              <w:rPr>
                <w:sz w:val="18"/>
              </w:rPr>
              <w:t>Change in operating assets and liabilities</w:t>
            </w:r>
          </w:p>
        </w:tc>
        <w:tc>
          <w:tcPr>
            <w:tcW w:w="1460" w:type="dxa"/>
          </w:tcPr>
          <w:p>
            <w:pPr/>
          </w:p>
        </w:tc>
        <w:tc>
          <w:tcPr>
            <w:tcW w:w="1134" w:type="dxa"/>
          </w:tcPr>
          <w:p>
            <w:pPr/>
          </w:p>
        </w:tc>
      </w:tr>
      <w:tr>
        <w:trPr>
          <w:trHeight w:val="263" w:hRule="exact"/>
        </w:trPr>
        <w:tc>
          <w:tcPr>
            <w:tcW w:w="7597" w:type="dxa"/>
          </w:tcPr>
          <w:p>
            <w:pPr>
              <w:pStyle w:val="TableParagraph"/>
              <w:spacing w:before="17"/>
              <w:ind w:left="299"/>
              <w:rPr>
                <w:sz w:val="18"/>
              </w:rPr>
            </w:pPr>
            <w:r>
              <w:rPr>
                <w:sz w:val="18"/>
              </w:rPr>
              <w:t>(Increase)/decrease in trade debtors</w:t>
            </w:r>
          </w:p>
        </w:tc>
        <w:tc>
          <w:tcPr>
            <w:tcW w:w="1460" w:type="dxa"/>
          </w:tcPr>
          <w:p>
            <w:pPr>
              <w:pStyle w:val="TableParagraph"/>
              <w:spacing w:before="19"/>
              <w:ind w:right="186"/>
              <w:jc w:val="right"/>
              <w:rPr>
                <w:b/>
                <w:sz w:val="18"/>
              </w:rPr>
            </w:pPr>
            <w:r>
              <w:rPr>
                <w:b/>
                <w:w w:val="95"/>
                <w:sz w:val="18"/>
              </w:rPr>
              <w:t>(175,866)</w:t>
            </w:r>
          </w:p>
        </w:tc>
        <w:tc>
          <w:tcPr>
            <w:tcW w:w="1134" w:type="dxa"/>
          </w:tcPr>
          <w:p>
            <w:pPr>
              <w:pStyle w:val="TableParagraph"/>
              <w:spacing w:before="19"/>
              <w:ind w:right="84"/>
              <w:jc w:val="right"/>
              <w:rPr>
                <w:sz w:val="18"/>
              </w:rPr>
            </w:pPr>
            <w:r>
              <w:rPr>
                <w:w w:val="95"/>
                <w:sz w:val="18"/>
              </w:rPr>
              <w:t>11,284</w:t>
            </w:r>
          </w:p>
        </w:tc>
      </w:tr>
      <w:tr>
        <w:trPr>
          <w:trHeight w:val="264" w:hRule="exact"/>
        </w:trPr>
        <w:tc>
          <w:tcPr>
            <w:tcW w:w="7597" w:type="dxa"/>
          </w:tcPr>
          <w:p>
            <w:pPr>
              <w:pStyle w:val="TableParagraph"/>
              <w:spacing w:before="18"/>
              <w:ind w:left="249"/>
              <w:rPr>
                <w:sz w:val="18"/>
              </w:rPr>
            </w:pPr>
            <w:r>
              <w:rPr>
                <w:sz w:val="18"/>
              </w:rPr>
              <w:t>(Increase)/decrease in inventories</w:t>
            </w:r>
          </w:p>
        </w:tc>
        <w:tc>
          <w:tcPr>
            <w:tcW w:w="1460" w:type="dxa"/>
          </w:tcPr>
          <w:p>
            <w:pPr>
              <w:pStyle w:val="TableParagraph"/>
              <w:spacing w:before="19"/>
              <w:ind w:right="185"/>
              <w:jc w:val="right"/>
              <w:rPr>
                <w:b/>
                <w:sz w:val="18"/>
              </w:rPr>
            </w:pPr>
            <w:r>
              <w:rPr>
                <w:b/>
                <w:w w:val="95"/>
                <w:sz w:val="18"/>
              </w:rPr>
              <w:t>(398,906)</w:t>
            </w:r>
          </w:p>
        </w:tc>
        <w:tc>
          <w:tcPr>
            <w:tcW w:w="1134" w:type="dxa"/>
          </w:tcPr>
          <w:p>
            <w:pPr>
              <w:pStyle w:val="TableParagraph"/>
              <w:spacing w:before="19"/>
              <w:ind w:right="23"/>
              <w:jc w:val="right"/>
              <w:rPr>
                <w:sz w:val="18"/>
              </w:rPr>
            </w:pPr>
            <w:r>
              <w:rPr>
                <w:w w:val="95"/>
                <w:sz w:val="18"/>
              </w:rPr>
              <w:t>(1,329,042)</w:t>
            </w:r>
          </w:p>
        </w:tc>
      </w:tr>
      <w:tr>
        <w:trPr>
          <w:trHeight w:val="264" w:hRule="exact"/>
        </w:trPr>
        <w:tc>
          <w:tcPr>
            <w:tcW w:w="7597" w:type="dxa"/>
          </w:tcPr>
          <w:p>
            <w:pPr>
              <w:pStyle w:val="TableParagraph"/>
              <w:spacing w:before="18"/>
              <w:ind w:left="300"/>
              <w:rPr>
                <w:sz w:val="18"/>
              </w:rPr>
            </w:pPr>
            <w:r>
              <w:rPr>
                <w:sz w:val="18"/>
              </w:rPr>
              <w:t>(Increase)/decrease in other operating assets</w:t>
            </w:r>
          </w:p>
        </w:tc>
        <w:tc>
          <w:tcPr>
            <w:tcW w:w="1460" w:type="dxa"/>
          </w:tcPr>
          <w:p>
            <w:pPr>
              <w:pStyle w:val="TableParagraph"/>
              <w:spacing w:before="19"/>
              <w:ind w:right="245"/>
              <w:jc w:val="right"/>
              <w:rPr>
                <w:b/>
                <w:sz w:val="18"/>
              </w:rPr>
            </w:pPr>
            <w:r>
              <w:rPr>
                <w:b/>
                <w:w w:val="95"/>
                <w:sz w:val="18"/>
              </w:rPr>
              <w:t>105,786</w:t>
            </w:r>
          </w:p>
        </w:tc>
        <w:tc>
          <w:tcPr>
            <w:tcW w:w="1134" w:type="dxa"/>
          </w:tcPr>
          <w:p>
            <w:pPr>
              <w:pStyle w:val="TableParagraph"/>
              <w:spacing w:before="19"/>
              <w:ind w:right="24"/>
              <w:jc w:val="right"/>
              <w:rPr>
                <w:sz w:val="18"/>
              </w:rPr>
            </w:pPr>
            <w:r>
              <w:rPr>
                <w:w w:val="95"/>
                <w:sz w:val="18"/>
              </w:rPr>
              <w:t>(35,627)</w:t>
            </w:r>
          </w:p>
        </w:tc>
      </w:tr>
      <w:tr>
        <w:trPr>
          <w:trHeight w:val="264" w:hRule="exact"/>
        </w:trPr>
        <w:tc>
          <w:tcPr>
            <w:tcW w:w="7597" w:type="dxa"/>
          </w:tcPr>
          <w:p>
            <w:pPr>
              <w:pStyle w:val="TableParagraph"/>
              <w:spacing w:before="18"/>
              <w:ind w:left="300"/>
              <w:rPr>
                <w:sz w:val="18"/>
              </w:rPr>
            </w:pPr>
            <w:r>
              <w:rPr>
                <w:sz w:val="18"/>
              </w:rPr>
              <w:t>Increase/(decrease) in trade creditors</w:t>
            </w:r>
          </w:p>
        </w:tc>
        <w:tc>
          <w:tcPr>
            <w:tcW w:w="1460" w:type="dxa"/>
          </w:tcPr>
          <w:p>
            <w:pPr>
              <w:pStyle w:val="TableParagraph"/>
              <w:spacing w:before="19"/>
              <w:ind w:right="245"/>
              <w:jc w:val="right"/>
              <w:rPr>
                <w:b/>
                <w:sz w:val="18"/>
              </w:rPr>
            </w:pPr>
            <w:r>
              <w:rPr>
                <w:b/>
                <w:w w:val="95"/>
                <w:sz w:val="18"/>
              </w:rPr>
              <w:t>315,226</w:t>
            </w:r>
          </w:p>
        </w:tc>
        <w:tc>
          <w:tcPr>
            <w:tcW w:w="1134" w:type="dxa"/>
          </w:tcPr>
          <w:p>
            <w:pPr>
              <w:pStyle w:val="TableParagraph"/>
              <w:spacing w:before="19"/>
              <w:ind w:right="83"/>
              <w:jc w:val="right"/>
              <w:rPr>
                <w:sz w:val="18"/>
              </w:rPr>
            </w:pPr>
            <w:r>
              <w:rPr>
                <w:w w:val="95"/>
                <w:sz w:val="18"/>
              </w:rPr>
              <w:t>856,255</w:t>
            </w:r>
          </w:p>
        </w:tc>
      </w:tr>
      <w:tr>
        <w:trPr>
          <w:trHeight w:val="264" w:hRule="exact"/>
        </w:trPr>
        <w:tc>
          <w:tcPr>
            <w:tcW w:w="7597" w:type="dxa"/>
          </w:tcPr>
          <w:p>
            <w:pPr>
              <w:pStyle w:val="TableParagraph"/>
              <w:spacing w:before="18"/>
              <w:ind w:left="250"/>
              <w:rPr>
                <w:sz w:val="18"/>
              </w:rPr>
            </w:pPr>
            <w:r>
              <w:rPr>
                <w:sz w:val="18"/>
              </w:rPr>
              <w:t>Increase/(decrease) in other operating liabilities</w:t>
            </w:r>
          </w:p>
        </w:tc>
        <w:tc>
          <w:tcPr>
            <w:tcW w:w="1460" w:type="dxa"/>
          </w:tcPr>
          <w:p>
            <w:pPr>
              <w:pStyle w:val="TableParagraph"/>
              <w:spacing w:before="19"/>
              <w:ind w:right="245"/>
              <w:jc w:val="right"/>
              <w:rPr>
                <w:b/>
                <w:sz w:val="18"/>
              </w:rPr>
            </w:pPr>
            <w:r>
              <w:rPr>
                <w:b/>
                <w:w w:val="95"/>
                <w:sz w:val="18"/>
              </w:rPr>
              <w:t>1,856,812</w:t>
            </w:r>
          </w:p>
        </w:tc>
        <w:tc>
          <w:tcPr>
            <w:tcW w:w="1134" w:type="dxa"/>
          </w:tcPr>
          <w:p>
            <w:pPr>
              <w:pStyle w:val="TableParagraph"/>
              <w:spacing w:before="19"/>
              <w:ind w:right="84"/>
              <w:jc w:val="right"/>
              <w:rPr>
                <w:sz w:val="18"/>
              </w:rPr>
            </w:pPr>
            <w:r>
              <w:rPr>
                <w:w w:val="95"/>
                <w:sz w:val="18"/>
              </w:rPr>
              <w:t>68,680</w:t>
            </w:r>
          </w:p>
        </w:tc>
      </w:tr>
      <w:tr>
        <w:trPr>
          <w:trHeight w:val="263" w:hRule="exact"/>
        </w:trPr>
        <w:tc>
          <w:tcPr>
            <w:tcW w:w="7597" w:type="dxa"/>
          </w:tcPr>
          <w:p>
            <w:pPr>
              <w:pStyle w:val="TableParagraph"/>
              <w:spacing w:before="18"/>
              <w:ind w:left="250"/>
              <w:rPr>
                <w:sz w:val="18"/>
              </w:rPr>
            </w:pPr>
            <w:r>
              <w:rPr>
                <w:sz w:val="18"/>
              </w:rPr>
              <w:t>Increase/(decrease) in other provisions</w:t>
            </w:r>
          </w:p>
        </w:tc>
        <w:tc>
          <w:tcPr>
            <w:tcW w:w="1460" w:type="dxa"/>
            <w:tcBorders>
              <w:bottom w:val="single" w:sz="0" w:space="0" w:color="000000"/>
            </w:tcBorders>
          </w:tcPr>
          <w:p>
            <w:pPr>
              <w:pStyle w:val="TableParagraph"/>
              <w:spacing w:before="19"/>
              <w:ind w:right="186"/>
              <w:jc w:val="right"/>
              <w:rPr>
                <w:b/>
                <w:sz w:val="18"/>
              </w:rPr>
            </w:pPr>
            <w:r>
              <w:rPr>
                <w:b/>
                <w:w w:val="95"/>
                <w:sz w:val="18"/>
              </w:rPr>
              <w:t>(60,447)</w:t>
            </w:r>
          </w:p>
        </w:tc>
        <w:tc>
          <w:tcPr>
            <w:tcW w:w="1134" w:type="dxa"/>
            <w:tcBorders>
              <w:bottom w:val="single" w:sz="0" w:space="0" w:color="000000"/>
            </w:tcBorders>
          </w:tcPr>
          <w:p>
            <w:pPr>
              <w:pStyle w:val="TableParagraph"/>
              <w:spacing w:before="19"/>
              <w:ind w:right="83"/>
              <w:jc w:val="right"/>
              <w:rPr>
                <w:sz w:val="18"/>
              </w:rPr>
            </w:pPr>
            <w:r>
              <w:rPr>
                <w:w w:val="95"/>
                <w:sz w:val="18"/>
              </w:rPr>
              <w:t>160,741</w:t>
            </w:r>
          </w:p>
        </w:tc>
      </w:tr>
    </w:tbl>
    <w:p>
      <w:pPr>
        <w:pStyle w:val="BodyText"/>
        <w:tabs>
          <w:tab w:pos="8124" w:val="left" w:leader="none"/>
          <w:tab w:pos="9669" w:val="left" w:leader="none"/>
        </w:tabs>
        <w:spacing w:before="38" w:after="3"/>
        <w:ind w:left="151" w:right="109"/>
      </w:pPr>
      <w:r>
        <w:rPr/>
        <w:t>Net cash flows from</w:t>
      </w:r>
      <w:r>
        <w:rPr>
          <w:spacing w:val="-1"/>
        </w:rPr>
        <w:t> </w:t>
      </w:r>
      <w:r>
        <w:rPr/>
        <w:t>operating</w:t>
      </w:r>
      <w:r>
        <w:rPr>
          <w:spacing w:val="-1"/>
        </w:rPr>
        <w:t> </w:t>
      </w:r>
      <w:r>
        <w:rPr/>
        <w:t>activities</w:t>
        <w:tab/>
      </w:r>
      <w:r>
        <w:rPr>
          <w:b/>
          <w:position w:val="-7"/>
        </w:rPr>
        <w:t>2,020,759</w:t>
        <w:tab/>
      </w:r>
      <w:r>
        <w:rPr>
          <w:position w:val="-7"/>
        </w:rPr>
        <w:t>12,474</w:t>
      </w:r>
    </w:p>
    <w:p>
      <w:pPr>
        <w:pStyle w:val="BodyText"/>
        <w:spacing w:line="50" w:lineRule="exact"/>
        <w:ind w:left="7711"/>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rPr>
          <w:sz w:val="20"/>
        </w:rPr>
      </w:pPr>
    </w:p>
    <w:p>
      <w:pPr>
        <w:pStyle w:val="BodyText"/>
        <w:spacing w:before="8"/>
        <w:rPr>
          <w:sz w:val="20"/>
        </w:rPr>
      </w:pPr>
    </w:p>
    <w:p>
      <w:pPr>
        <w:pStyle w:val="BodyText"/>
        <w:spacing w:before="77"/>
        <w:ind w:left="81" w:right="83"/>
        <w:jc w:val="center"/>
      </w:pPr>
      <w:r>
        <w:rPr/>
        <w:t>End of the audited financial statements</w:t>
      </w:r>
    </w:p>
    <w:p>
      <w:pPr>
        <w:spacing w:after="0"/>
        <w:jc w:val="center"/>
        <w:sectPr>
          <w:type w:val="continuous"/>
          <w:pgSz w:w="11910" w:h="16840"/>
          <w:pgMar w:top="0" w:bottom="280" w:left="800" w:right="680"/>
        </w:sectPr>
      </w:pPr>
    </w:p>
    <w:p>
      <w:pPr>
        <w:pStyle w:val="Heading6"/>
        <w:spacing w:before="47"/>
        <w:ind w:right="25"/>
      </w:pPr>
      <w:r>
        <w:rPr/>
        <w:t>uwsconnect Limited</w:t>
      </w:r>
    </w:p>
    <w:p>
      <w:pPr>
        <w:spacing w:before="2"/>
        <w:ind w:left="107" w:right="25" w:firstLine="0"/>
        <w:jc w:val="left"/>
        <w:rPr>
          <w:sz w:val="14"/>
        </w:rPr>
      </w:pPr>
      <w:r>
        <w:rPr>
          <w:sz w:val="14"/>
        </w:rPr>
        <w:t>ABN: 45 107 759 197</w:t>
      </w:r>
    </w:p>
    <w:p>
      <w:pPr>
        <w:pStyle w:val="BodyText"/>
        <w:rPr>
          <w:sz w:val="14"/>
        </w:rPr>
      </w:pPr>
    </w:p>
    <w:p>
      <w:pPr>
        <w:pStyle w:val="Heading3"/>
        <w:spacing w:before="0"/>
        <w:ind w:right="25"/>
      </w:pPr>
      <w:r>
        <w:rPr/>
        <w:t>Directors' Declaration</w:t>
      </w:r>
    </w:p>
    <w:p>
      <w:pPr>
        <w:pStyle w:val="BodyText"/>
        <w:rPr>
          <w:b/>
          <w:sz w:val="28"/>
        </w:rPr>
      </w:pPr>
    </w:p>
    <w:p>
      <w:pPr>
        <w:pStyle w:val="BodyText"/>
        <w:spacing w:before="2"/>
        <w:rPr>
          <w:b/>
          <w:sz w:val="40"/>
        </w:rPr>
      </w:pPr>
    </w:p>
    <w:p>
      <w:pPr>
        <w:pStyle w:val="BodyText"/>
        <w:ind w:left="107" w:right="25"/>
      </w:pPr>
      <w:r>
        <w:rPr/>
        <w:t>In the directors' opinion:</w:t>
      </w:r>
    </w:p>
    <w:p>
      <w:pPr>
        <w:pStyle w:val="BodyText"/>
        <w:spacing w:before="2"/>
        <w:rPr>
          <w:sz w:val="25"/>
        </w:rPr>
      </w:pPr>
    </w:p>
    <w:p>
      <w:pPr>
        <w:pStyle w:val="ListParagraph"/>
        <w:numPr>
          <w:ilvl w:val="0"/>
          <w:numId w:val="112"/>
        </w:numPr>
        <w:tabs>
          <w:tab w:pos="787" w:val="left" w:leader="none"/>
        </w:tabs>
        <w:spacing w:line="240" w:lineRule="auto" w:before="0" w:after="0"/>
        <w:ind w:left="786" w:right="0" w:hanging="679"/>
        <w:jc w:val="left"/>
        <w:rPr>
          <w:sz w:val="18"/>
        </w:rPr>
      </w:pPr>
      <w:r>
        <w:rPr>
          <w:sz w:val="18"/>
        </w:rPr>
        <w:t>the financial statements and notes are in accordance with the Corporations Act</w:t>
      </w:r>
      <w:r>
        <w:rPr>
          <w:spacing w:val="-32"/>
          <w:sz w:val="18"/>
        </w:rPr>
        <w:t> </w:t>
      </w:r>
      <w:r>
        <w:rPr>
          <w:sz w:val="18"/>
        </w:rPr>
        <w:t>2001,including:</w:t>
      </w:r>
    </w:p>
    <w:p>
      <w:pPr>
        <w:pStyle w:val="BodyText"/>
      </w:pPr>
    </w:p>
    <w:p>
      <w:pPr>
        <w:pStyle w:val="BodyText"/>
        <w:spacing w:before="1"/>
        <w:rPr>
          <w:sz w:val="25"/>
        </w:rPr>
      </w:pPr>
    </w:p>
    <w:p>
      <w:pPr>
        <w:pStyle w:val="ListParagraph"/>
        <w:numPr>
          <w:ilvl w:val="1"/>
          <w:numId w:val="112"/>
        </w:numPr>
        <w:tabs>
          <w:tab w:pos="1468" w:val="left" w:leader="none"/>
        </w:tabs>
        <w:spacing w:line="240" w:lineRule="auto" w:before="1" w:after="0"/>
        <w:ind w:left="1468" w:right="0" w:hanging="682"/>
        <w:jc w:val="left"/>
        <w:rPr>
          <w:sz w:val="18"/>
        </w:rPr>
      </w:pPr>
      <w:r>
        <w:rPr>
          <w:sz w:val="18"/>
        </w:rPr>
        <w:t>complying</w:t>
      </w:r>
      <w:r>
        <w:rPr>
          <w:spacing w:val="-3"/>
          <w:sz w:val="18"/>
        </w:rPr>
        <w:t> </w:t>
      </w:r>
      <w:r>
        <w:rPr>
          <w:sz w:val="18"/>
        </w:rPr>
        <w:t>with</w:t>
      </w:r>
      <w:r>
        <w:rPr>
          <w:spacing w:val="-3"/>
          <w:sz w:val="18"/>
        </w:rPr>
        <w:t> </w:t>
      </w:r>
      <w:r>
        <w:rPr>
          <w:sz w:val="18"/>
        </w:rPr>
        <w:t>Accounting</w:t>
      </w:r>
      <w:r>
        <w:rPr>
          <w:spacing w:val="-3"/>
          <w:sz w:val="18"/>
        </w:rPr>
        <w:t> </w:t>
      </w:r>
      <w:r>
        <w:rPr>
          <w:sz w:val="18"/>
        </w:rPr>
        <w:t>Standards,</w:t>
      </w:r>
      <w:r>
        <w:rPr>
          <w:spacing w:val="-4"/>
          <w:sz w:val="18"/>
        </w:rPr>
        <w:t> </w:t>
      </w:r>
      <w:r>
        <w:rPr>
          <w:sz w:val="18"/>
        </w:rPr>
        <w:t>the</w:t>
      </w:r>
      <w:r>
        <w:rPr>
          <w:spacing w:val="-3"/>
          <w:sz w:val="18"/>
        </w:rPr>
        <w:t> </w:t>
      </w:r>
      <w:r>
        <w:rPr>
          <w:sz w:val="18"/>
        </w:rPr>
        <w:t>Corporations</w:t>
      </w:r>
      <w:r>
        <w:rPr>
          <w:spacing w:val="-5"/>
          <w:sz w:val="18"/>
        </w:rPr>
        <w:t> </w:t>
      </w:r>
      <w:r>
        <w:rPr>
          <w:sz w:val="18"/>
        </w:rPr>
        <w:t>Regulations</w:t>
      </w:r>
      <w:r>
        <w:rPr>
          <w:spacing w:val="-5"/>
          <w:sz w:val="18"/>
        </w:rPr>
        <w:t> </w:t>
      </w:r>
      <w:r>
        <w:rPr>
          <w:sz w:val="18"/>
        </w:rPr>
        <w:t>2001,</w:t>
      </w:r>
      <w:r>
        <w:rPr>
          <w:spacing w:val="-4"/>
          <w:sz w:val="18"/>
        </w:rPr>
        <w:t> </w:t>
      </w:r>
      <w:r>
        <w:rPr>
          <w:sz w:val="18"/>
        </w:rPr>
        <w:t>Public</w:t>
      </w:r>
      <w:r>
        <w:rPr>
          <w:spacing w:val="-3"/>
          <w:sz w:val="18"/>
        </w:rPr>
        <w:t> </w:t>
      </w:r>
      <w:r>
        <w:rPr>
          <w:sz w:val="18"/>
        </w:rPr>
        <w:t>Finance</w:t>
      </w:r>
      <w:r>
        <w:rPr>
          <w:spacing w:val="-6"/>
          <w:sz w:val="18"/>
        </w:rPr>
        <w:t> </w:t>
      </w:r>
      <w:r>
        <w:rPr>
          <w:sz w:val="18"/>
        </w:rPr>
        <w:t>and</w:t>
      </w:r>
      <w:r>
        <w:rPr>
          <w:spacing w:val="-3"/>
          <w:sz w:val="18"/>
        </w:rPr>
        <w:t> </w:t>
      </w:r>
      <w:r>
        <w:rPr>
          <w:sz w:val="18"/>
        </w:rPr>
        <w:t>Audit</w:t>
      </w:r>
      <w:r>
        <w:rPr>
          <w:spacing w:val="-4"/>
          <w:sz w:val="18"/>
        </w:rPr>
        <w:t> </w:t>
      </w:r>
      <w:r>
        <w:rPr>
          <w:sz w:val="18"/>
        </w:rPr>
        <w:t>Act</w:t>
      </w:r>
      <w:r>
        <w:rPr>
          <w:spacing w:val="-4"/>
          <w:sz w:val="18"/>
        </w:rPr>
        <w:t> </w:t>
      </w:r>
      <w:r>
        <w:rPr>
          <w:sz w:val="18"/>
        </w:rPr>
        <w:t>1983,</w:t>
      </w:r>
    </w:p>
    <w:p>
      <w:pPr>
        <w:pStyle w:val="BodyText"/>
        <w:spacing w:before="2"/>
        <w:ind w:left="1467" w:right="25"/>
      </w:pPr>
      <w:r>
        <w:rPr/>
        <w:t>Public Finance and Audit Regulation 2010 and other mandatory professional reporting requirements, and</w:t>
      </w:r>
    </w:p>
    <w:p>
      <w:pPr>
        <w:pStyle w:val="BodyText"/>
        <w:rPr>
          <w:sz w:val="25"/>
        </w:rPr>
      </w:pPr>
    </w:p>
    <w:p>
      <w:pPr>
        <w:pStyle w:val="ListParagraph"/>
        <w:numPr>
          <w:ilvl w:val="1"/>
          <w:numId w:val="112"/>
        </w:numPr>
        <w:tabs>
          <w:tab w:pos="1468" w:val="left" w:leader="none"/>
        </w:tabs>
        <w:spacing w:line="240" w:lineRule="auto" w:before="0" w:after="0"/>
        <w:ind w:left="1468" w:right="149" w:hanging="682"/>
        <w:jc w:val="left"/>
        <w:rPr>
          <w:sz w:val="18"/>
        </w:rPr>
      </w:pPr>
      <w:r>
        <w:rPr>
          <w:sz w:val="18"/>
        </w:rPr>
        <w:t>giving a true and fair view of the Company's financial position as at 31 December 2012 and of its performance for the financial year ended on that date,</w:t>
      </w:r>
      <w:r>
        <w:rPr>
          <w:spacing w:val="-20"/>
          <w:sz w:val="18"/>
        </w:rPr>
        <w:t> </w:t>
      </w:r>
      <w:r>
        <w:rPr>
          <w:sz w:val="18"/>
        </w:rPr>
        <w:t>and</w:t>
      </w:r>
    </w:p>
    <w:p>
      <w:pPr>
        <w:pStyle w:val="BodyText"/>
        <w:spacing w:before="2"/>
        <w:rPr>
          <w:sz w:val="25"/>
        </w:rPr>
      </w:pPr>
    </w:p>
    <w:p>
      <w:pPr>
        <w:pStyle w:val="ListParagraph"/>
        <w:numPr>
          <w:ilvl w:val="0"/>
          <w:numId w:val="112"/>
        </w:numPr>
        <w:tabs>
          <w:tab w:pos="787" w:val="left" w:leader="none"/>
        </w:tabs>
        <w:spacing w:line="240" w:lineRule="auto" w:before="0" w:after="0"/>
        <w:ind w:left="786" w:right="202" w:hanging="679"/>
        <w:jc w:val="left"/>
        <w:rPr>
          <w:sz w:val="18"/>
        </w:rPr>
      </w:pPr>
      <w:r>
        <w:rPr>
          <w:sz w:val="18"/>
        </w:rPr>
        <w:t>there are reasonable grounds to believe that the Company will be able to pay its debts as and when they become due and</w:t>
      </w:r>
      <w:r>
        <w:rPr>
          <w:spacing w:val="-4"/>
          <w:sz w:val="18"/>
        </w:rPr>
        <w:t> </w:t>
      </w:r>
      <w:r>
        <w:rPr>
          <w:sz w:val="18"/>
        </w:rPr>
        <w:t>payable,</w:t>
      </w:r>
    </w:p>
    <w:p>
      <w:pPr>
        <w:pStyle w:val="BodyText"/>
        <w:spacing w:before="2"/>
        <w:rPr>
          <w:sz w:val="25"/>
        </w:rPr>
      </w:pPr>
    </w:p>
    <w:p>
      <w:pPr>
        <w:pStyle w:val="BodyText"/>
        <w:ind w:left="107" w:right="25"/>
      </w:pPr>
      <w:r>
        <w:rPr/>
        <w:t>This declaration is made in accordance with a resolution of the directors as at 25 February 2013.</w:t>
      </w:r>
    </w:p>
    <w:p>
      <w:pPr>
        <w:pStyle w:val="BodyText"/>
        <w:spacing w:before="2"/>
        <w:rPr>
          <w:sz w:val="22"/>
        </w:rPr>
      </w:pPr>
      <w:r>
        <w:rPr/>
        <w:drawing>
          <wp:anchor distT="0" distB="0" distL="0" distR="0" allowOverlap="1" layoutInCell="1" locked="0" behindDoc="0" simplePos="0" relativeHeight="5824">
            <wp:simplePos x="0" y="0"/>
            <wp:positionH relativeFrom="page">
              <wp:posOffset>579801</wp:posOffset>
            </wp:positionH>
            <wp:positionV relativeFrom="paragraph">
              <wp:posOffset>186699</wp:posOffset>
            </wp:positionV>
            <wp:extent cx="2761611" cy="464820"/>
            <wp:effectExtent l="0" t="0" r="0" b="0"/>
            <wp:wrapTopAndBottom/>
            <wp:docPr id="93" name="image74.png" descr=""/>
            <wp:cNvGraphicFramePr>
              <a:graphicFrameLocks noChangeAspect="1"/>
            </wp:cNvGraphicFramePr>
            <a:graphic>
              <a:graphicData uri="http://schemas.openxmlformats.org/drawingml/2006/picture">
                <pic:pic>
                  <pic:nvPicPr>
                    <pic:cNvPr id="94" name="image74.png"/>
                    <pic:cNvPicPr/>
                  </pic:nvPicPr>
                  <pic:blipFill>
                    <a:blip r:embed="rId220" cstate="print"/>
                    <a:stretch>
                      <a:fillRect/>
                    </a:stretch>
                  </pic:blipFill>
                  <pic:spPr>
                    <a:xfrm>
                      <a:off x="0" y="0"/>
                      <a:ext cx="2761611" cy="464820"/>
                    </a:xfrm>
                    <a:prstGeom prst="rect">
                      <a:avLst/>
                    </a:prstGeom>
                  </pic:spPr>
                </pic:pic>
              </a:graphicData>
            </a:graphic>
          </wp:anchor>
        </w:drawing>
      </w:r>
    </w:p>
    <w:p>
      <w:pPr>
        <w:pStyle w:val="BodyText"/>
        <w:rPr>
          <w:sz w:val="15"/>
        </w:rPr>
      </w:pPr>
    </w:p>
    <w:p>
      <w:pPr>
        <w:pStyle w:val="BodyText"/>
        <w:spacing w:after="5"/>
        <w:ind w:left="107" w:right="8992"/>
      </w:pPr>
      <w:r>
        <w:rPr/>
        <w:t>Vicki Buchanan Director</w:t>
      </w:r>
    </w:p>
    <w:p>
      <w:pPr>
        <w:pStyle w:val="BodyText"/>
        <w:ind w:left="112"/>
        <w:rPr>
          <w:sz w:val="20"/>
        </w:rPr>
      </w:pPr>
      <w:r>
        <w:rPr>
          <w:sz w:val="20"/>
        </w:rPr>
        <w:drawing>
          <wp:inline distT="0" distB="0" distL="0" distR="0">
            <wp:extent cx="2501105" cy="504158"/>
            <wp:effectExtent l="0" t="0" r="0" b="0"/>
            <wp:docPr id="95" name="image75.png" descr=""/>
            <wp:cNvGraphicFramePr>
              <a:graphicFrameLocks noChangeAspect="1"/>
            </wp:cNvGraphicFramePr>
            <a:graphic>
              <a:graphicData uri="http://schemas.openxmlformats.org/drawingml/2006/picture">
                <pic:pic>
                  <pic:nvPicPr>
                    <pic:cNvPr id="96" name="image75.png"/>
                    <pic:cNvPicPr/>
                  </pic:nvPicPr>
                  <pic:blipFill>
                    <a:blip r:embed="rId221" cstate="print"/>
                    <a:stretch>
                      <a:fillRect/>
                    </a:stretch>
                  </pic:blipFill>
                  <pic:spPr>
                    <a:xfrm>
                      <a:off x="0" y="0"/>
                      <a:ext cx="2501105" cy="504158"/>
                    </a:xfrm>
                    <a:prstGeom prst="rect">
                      <a:avLst/>
                    </a:prstGeom>
                  </pic:spPr>
                </pic:pic>
              </a:graphicData>
            </a:graphic>
          </wp:inline>
        </w:drawing>
      </w:r>
      <w:r>
        <w:rPr>
          <w:sz w:val="20"/>
        </w:rPr>
      </w:r>
    </w:p>
    <w:p>
      <w:pPr>
        <w:pStyle w:val="BodyText"/>
        <w:spacing w:before="7"/>
        <w:rPr>
          <w:sz w:val="17"/>
        </w:rPr>
      </w:pPr>
    </w:p>
    <w:p>
      <w:pPr>
        <w:pStyle w:val="BodyText"/>
        <w:ind w:left="107" w:right="9293"/>
      </w:pPr>
      <w:r>
        <w:rPr/>
        <w:t>Tim Ferraro Director</w:t>
      </w:r>
    </w:p>
    <w:p>
      <w:pPr>
        <w:pStyle w:val="BodyText"/>
      </w:pPr>
    </w:p>
    <w:p>
      <w:pPr>
        <w:pStyle w:val="BodyText"/>
      </w:pPr>
    </w:p>
    <w:p>
      <w:pPr>
        <w:pStyle w:val="BodyText"/>
      </w:pPr>
    </w:p>
    <w:p>
      <w:pPr>
        <w:pStyle w:val="BodyText"/>
        <w:spacing w:line="207" w:lineRule="exact"/>
        <w:ind w:left="107" w:right="25"/>
      </w:pPr>
      <w:r>
        <w:rPr/>
        <w:t>Sydney</w:t>
      </w:r>
    </w:p>
    <w:p>
      <w:pPr>
        <w:pStyle w:val="BodyText"/>
        <w:spacing w:line="207" w:lineRule="exact"/>
        <w:ind w:left="107" w:right="25"/>
      </w:pPr>
      <w:r>
        <w:rPr/>
        <w:t>25 February 2013</w:t>
      </w:r>
    </w:p>
    <w:p>
      <w:pPr>
        <w:spacing w:after="0" w:line="207" w:lineRule="exact"/>
        <w:sectPr>
          <w:headerReference w:type="default" r:id="rId218"/>
          <w:footerReference w:type="default" r:id="rId219"/>
          <w:pgSz w:w="11960" w:h="16850"/>
          <w:pgMar w:header="0" w:footer="507" w:top="660" w:bottom="700" w:left="800" w:right="8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pStyle w:val="Heading7"/>
      </w:pPr>
      <w:r>
        <w:rPr/>
        <w:t>This page is intentionally blank</w:t>
      </w:r>
    </w:p>
    <w:p>
      <w:pPr>
        <w:spacing w:after="0"/>
        <w:sectPr>
          <w:headerReference w:type="default" r:id="rId222"/>
          <w:footerReference w:type="default" r:id="rId223"/>
          <w:pgSz w:w="11910" w:h="16840"/>
          <w:pgMar w:header="0" w:footer="507" w:top="1580" w:bottom="700" w:left="1680" w:right="168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9"/>
        <w:rPr>
          <w:rFonts w:ascii="Calibri"/>
          <w:sz w:val="25"/>
        </w:rPr>
      </w:pPr>
    </w:p>
    <w:p>
      <w:pPr>
        <w:pStyle w:val="Heading1"/>
        <w:spacing w:line="643" w:lineRule="exact" w:before="28"/>
        <w:ind w:right="98"/>
      </w:pPr>
      <w:r>
        <w:rPr/>
        <w:t>UWS Early Learning Limited</w:t>
      </w:r>
    </w:p>
    <w:p>
      <w:pPr>
        <w:spacing w:line="229" w:lineRule="exact" w:before="0"/>
        <w:ind w:left="107" w:right="98" w:firstLine="0"/>
        <w:jc w:val="left"/>
        <w:rPr>
          <w:b/>
          <w:sz w:val="20"/>
        </w:rPr>
      </w:pPr>
      <w:r>
        <w:rPr>
          <w:b/>
          <w:sz w:val="20"/>
        </w:rPr>
        <w:t>ABN 39155993445</w:t>
      </w:r>
    </w:p>
    <w:p>
      <w:pPr>
        <w:pStyle w:val="BodyText"/>
        <w:spacing w:before="1"/>
        <w:rPr>
          <w:b/>
          <w:sz w:val="28"/>
        </w:rPr>
      </w:pPr>
    </w:p>
    <w:p>
      <w:pPr>
        <w:spacing w:before="0"/>
        <w:ind w:left="107" w:right="98" w:firstLine="0"/>
        <w:jc w:val="left"/>
        <w:rPr>
          <w:b/>
          <w:sz w:val="28"/>
        </w:rPr>
      </w:pPr>
      <w:r>
        <w:rPr>
          <w:b/>
          <w:sz w:val="28"/>
        </w:rPr>
        <w:t>Financial Statements</w:t>
      </w:r>
    </w:p>
    <w:p>
      <w:pPr>
        <w:pStyle w:val="BodyText"/>
        <w:spacing w:before="10"/>
        <w:rPr>
          <w:b/>
          <w:sz w:val="39"/>
        </w:rPr>
      </w:pPr>
    </w:p>
    <w:p>
      <w:pPr>
        <w:spacing w:before="0"/>
        <w:ind w:left="107" w:right="98" w:firstLine="0"/>
        <w:jc w:val="left"/>
        <w:rPr>
          <w:b/>
          <w:sz w:val="20"/>
        </w:rPr>
      </w:pPr>
      <w:r>
        <w:rPr>
          <w:b/>
          <w:sz w:val="20"/>
        </w:rPr>
        <w:t>For the period from 2 March 2012 to 31 December 2012</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35"/>
        <w:ind w:left="107" w:right="98"/>
      </w:pPr>
      <w:r>
        <w:rPr/>
        <w:t>These financial statements are the individual entity statements of UWS Early Learning Limited (the Company).</w:t>
      </w:r>
    </w:p>
    <w:p>
      <w:pPr>
        <w:pStyle w:val="BodyText"/>
        <w:spacing w:before="8"/>
        <w:rPr>
          <w:sz w:val="14"/>
        </w:rPr>
      </w:pPr>
    </w:p>
    <w:p>
      <w:pPr>
        <w:pStyle w:val="BodyText"/>
        <w:ind w:left="107" w:right="98"/>
      </w:pPr>
      <w:r>
        <w:rPr/>
        <w:t>The Company is a company limited by guarantee, incorporated and domiciled in Australia. The financial statements are presented in Australian currency.</w:t>
      </w:r>
    </w:p>
    <w:p>
      <w:pPr>
        <w:pStyle w:val="BodyText"/>
        <w:spacing w:before="11"/>
        <w:rPr>
          <w:sz w:val="14"/>
        </w:rPr>
      </w:pPr>
    </w:p>
    <w:p>
      <w:pPr>
        <w:pStyle w:val="BodyText"/>
        <w:spacing w:line="207" w:lineRule="exact"/>
        <w:ind w:left="107" w:right="98"/>
      </w:pPr>
      <w:r>
        <w:rPr/>
        <w:t>Its registered office is:</w:t>
      </w:r>
    </w:p>
    <w:p>
      <w:pPr>
        <w:pStyle w:val="BodyText"/>
        <w:spacing w:line="206" w:lineRule="exact"/>
        <w:ind w:left="787" w:right="98"/>
      </w:pPr>
      <w:r>
        <w:rPr/>
        <w:t>UWS Early Learning Limited</w:t>
      </w:r>
    </w:p>
    <w:p>
      <w:pPr>
        <w:pStyle w:val="BodyText"/>
        <w:ind w:left="787" w:right="4831"/>
      </w:pPr>
      <w:r>
        <w:rPr/>
        <w:t>UWS Company Secretary , Entities, Finance Office Building M16 College Drive</w:t>
      </w:r>
    </w:p>
    <w:p>
      <w:pPr>
        <w:pStyle w:val="BodyText"/>
        <w:spacing w:line="206" w:lineRule="exact"/>
        <w:ind w:left="787" w:right="98"/>
      </w:pPr>
      <w:r>
        <w:rPr/>
        <w:t>Richmond NSW 2753</w:t>
      </w:r>
    </w:p>
    <w:p>
      <w:pPr>
        <w:pStyle w:val="BodyText"/>
        <w:spacing w:before="11"/>
        <w:rPr>
          <w:sz w:val="14"/>
        </w:rPr>
      </w:pPr>
    </w:p>
    <w:p>
      <w:pPr>
        <w:pStyle w:val="BodyText"/>
        <w:ind w:left="786" w:right="6722" w:hanging="680"/>
      </w:pPr>
      <w:r>
        <w:rPr/>
        <w:t>The principal place of business is : Building M16 College Drive Richmond NSW 2753</w:t>
      </w:r>
    </w:p>
    <w:p>
      <w:pPr>
        <w:pStyle w:val="BodyText"/>
      </w:pPr>
    </w:p>
    <w:p>
      <w:pPr>
        <w:pStyle w:val="BodyText"/>
      </w:pPr>
    </w:p>
    <w:p>
      <w:pPr>
        <w:pStyle w:val="BodyText"/>
        <w:spacing w:before="130"/>
        <w:ind w:left="107" w:right="190"/>
      </w:pPr>
      <w:r>
        <w:rPr/>
        <w:t>A</w:t>
      </w:r>
      <w:r>
        <w:rPr>
          <w:spacing w:val="-9"/>
        </w:rPr>
        <w:t> </w:t>
      </w:r>
      <w:r>
        <w:rPr/>
        <w:t>description</w:t>
      </w:r>
      <w:r>
        <w:rPr>
          <w:spacing w:val="-9"/>
        </w:rPr>
        <w:t> </w:t>
      </w:r>
      <w:r>
        <w:rPr/>
        <w:t>of</w:t>
      </w:r>
      <w:r>
        <w:rPr>
          <w:spacing w:val="-9"/>
        </w:rPr>
        <w:t> </w:t>
      </w:r>
      <w:r>
        <w:rPr/>
        <w:t>the</w:t>
      </w:r>
      <w:r>
        <w:rPr>
          <w:spacing w:val="-9"/>
        </w:rPr>
        <w:t> </w:t>
      </w:r>
      <w:r>
        <w:rPr/>
        <w:t>nature</w:t>
      </w:r>
      <w:r>
        <w:rPr>
          <w:spacing w:val="-9"/>
        </w:rPr>
        <w:t> </w:t>
      </w:r>
      <w:r>
        <w:rPr/>
        <w:t>of</w:t>
      </w:r>
      <w:r>
        <w:rPr>
          <w:spacing w:val="-9"/>
        </w:rPr>
        <w:t> </w:t>
      </w:r>
      <w:r>
        <w:rPr/>
        <w:t>the</w:t>
      </w:r>
      <w:r>
        <w:rPr>
          <w:spacing w:val="-9"/>
        </w:rPr>
        <w:t> </w:t>
      </w:r>
      <w:r>
        <w:rPr/>
        <w:t>company's</w:t>
      </w:r>
      <w:r>
        <w:rPr>
          <w:spacing w:val="-8"/>
        </w:rPr>
        <w:t> </w:t>
      </w:r>
      <w:r>
        <w:rPr/>
        <w:t>operations</w:t>
      </w:r>
      <w:r>
        <w:rPr>
          <w:spacing w:val="-8"/>
        </w:rPr>
        <w:t> </w:t>
      </w:r>
      <w:r>
        <w:rPr/>
        <w:t>and</w:t>
      </w:r>
      <w:r>
        <w:rPr>
          <w:spacing w:val="-2"/>
        </w:rPr>
        <w:t> </w:t>
      </w:r>
      <w:r>
        <w:rPr>
          <w:spacing w:val="-3"/>
        </w:rPr>
        <w:t>it's</w:t>
      </w:r>
      <w:r>
        <w:rPr>
          <w:spacing w:val="-8"/>
        </w:rPr>
        <w:t> </w:t>
      </w:r>
      <w:r>
        <w:rPr/>
        <w:t>principal</w:t>
      </w:r>
      <w:r>
        <w:rPr>
          <w:spacing w:val="-8"/>
        </w:rPr>
        <w:t> </w:t>
      </w:r>
      <w:r>
        <w:rPr/>
        <w:t>activities</w:t>
      </w:r>
      <w:r>
        <w:rPr>
          <w:spacing w:val="-8"/>
        </w:rPr>
        <w:t> </w:t>
      </w:r>
      <w:r>
        <w:rPr/>
        <w:t>is</w:t>
      </w:r>
      <w:r>
        <w:rPr>
          <w:spacing w:val="-10"/>
        </w:rPr>
        <w:t> </w:t>
      </w:r>
      <w:r>
        <w:rPr/>
        <w:t>included</w:t>
      </w:r>
      <w:r>
        <w:rPr>
          <w:spacing w:val="-9"/>
        </w:rPr>
        <w:t> </w:t>
      </w:r>
      <w:r>
        <w:rPr/>
        <w:t>in</w:t>
      </w:r>
      <w:r>
        <w:rPr>
          <w:spacing w:val="-9"/>
        </w:rPr>
        <w:t> </w:t>
      </w:r>
      <w:r>
        <w:rPr/>
        <w:t>the</w:t>
      </w:r>
      <w:r>
        <w:rPr>
          <w:spacing w:val="-9"/>
        </w:rPr>
        <w:t> </w:t>
      </w:r>
      <w:r>
        <w:rPr/>
        <w:t>directors</w:t>
      </w:r>
      <w:r>
        <w:rPr>
          <w:spacing w:val="-8"/>
        </w:rPr>
        <w:t> </w:t>
      </w:r>
      <w:r>
        <w:rPr/>
        <w:t>report which form part of these financial</w:t>
      </w:r>
      <w:r>
        <w:rPr>
          <w:spacing w:val="-19"/>
        </w:rPr>
        <w:t> </w:t>
      </w:r>
      <w:r>
        <w:rPr/>
        <w:t>statements.</w:t>
      </w:r>
    </w:p>
    <w:p>
      <w:pPr>
        <w:pStyle w:val="BodyText"/>
        <w:spacing w:before="8"/>
        <w:rPr>
          <w:sz w:val="14"/>
        </w:rPr>
      </w:pPr>
    </w:p>
    <w:p>
      <w:pPr>
        <w:pStyle w:val="BodyText"/>
        <w:ind w:left="107" w:right="98"/>
      </w:pPr>
      <w:r>
        <w:rPr/>
        <w:t>The financial statements were authorised for issue by the directors on 18 April 2013. The directors have the power to amend and reissue the financial statements.</w:t>
      </w:r>
    </w:p>
    <w:p>
      <w:pPr>
        <w:spacing w:after="0"/>
        <w:sectPr>
          <w:headerReference w:type="default" r:id="rId224"/>
          <w:footerReference w:type="default" r:id="rId225"/>
          <w:pgSz w:w="11960" w:h="16850"/>
          <w:pgMar w:header="0" w:footer="507" w:top="1600" w:bottom="700" w:left="900" w:right="1360"/>
          <w:pgNumType w:start="227"/>
        </w:sectPr>
      </w:pPr>
    </w:p>
    <w:p>
      <w:pPr>
        <w:pStyle w:val="BodyText"/>
        <w:spacing w:before="8"/>
        <w:rPr>
          <w:sz w:val="23"/>
        </w:rPr>
      </w:pPr>
    </w:p>
    <w:p>
      <w:pPr>
        <w:pStyle w:val="Heading6"/>
        <w:spacing w:line="290" w:lineRule="auto" w:before="73"/>
        <w:ind w:right="8112"/>
      </w:pPr>
      <w:r>
        <w:rPr/>
        <w:t>Directors' Report 31 December 2012</w:t>
      </w:r>
    </w:p>
    <w:p>
      <w:pPr>
        <w:pStyle w:val="BodyText"/>
        <w:rPr>
          <w:b/>
          <w:sz w:val="21"/>
        </w:rPr>
      </w:pPr>
    </w:p>
    <w:p>
      <w:pPr>
        <w:pStyle w:val="BodyText"/>
        <w:ind w:left="107" w:right="378"/>
      </w:pPr>
      <w:r>
        <w:rPr/>
        <w:t>Your directors present their report on UWS Early Learning Limited (hereafter referred to as the Company) for the financial period from 2 March 2012 to 31 December 2012.</w:t>
      </w:r>
    </w:p>
    <w:p>
      <w:pPr>
        <w:pStyle w:val="BodyText"/>
        <w:spacing w:before="9"/>
        <w:rPr>
          <w:sz w:val="24"/>
        </w:rPr>
      </w:pPr>
    </w:p>
    <w:p>
      <w:pPr>
        <w:pStyle w:val="Heading9"/>
        <w:ind w:left="107" w:right="210"/>
      </w:pPr>
      <w:r>
        <w:rPr/>
        <w:t>Directors</w:t>
      </w:r>
    </w:p>
    <w:p>
      <w:pPr>
        <w:pStyle w:val="BodyText"/>
        <w:spacing w:before="4"/>
        <w:rPr>
          <w:b/>
          <w:sz w:val="25"/>
        </w:rPr>
      </w:pPr>
    </w:p>
    <w:p>
      <w:pPr>
        <w:pStyle w:val="BodyText"/>
        <w:ind w:left="107" w:right="17"/>
      </w:pPr>
      <w:r>
        <w:rPr/>
        <w:t>The</w:t>
      </w:r>
      <w:r>
        <w:rPr>
          <w:spacing w:val="-9"/>
        </w:rPr>
        <w:t> </w:t>
      </w:r>
      <w:r>
        <w:rPr/>
        <w:t>following</w:t>
      </w:r>
      <w:r>
        <w:rPr>
          <w:spacing w:val="-11"/>
        </w:rPr>
        <w:t> </w:t>
      </w:r>
      <w:r>
        <w:rPr/>
        <w:t>persons</w:t>
      </w:r>
      <w:r>
        <w:rPr>
          <w:spacing w:val="-9"/>
        </w:rPr>
        <w:t> </w:t>
      </w:r>
      <w:r>
        <w:rPr/>
        <w:t>were</w:t>
      </w:r>
      <w:r>
        <w:rPr>
          <w:spacing w:val="-9"/>
        </w:rPr>
        <w:t> </w:t>
      </w:r>
      <w:r>
        <w:rPr/>
        <w:t>directors</w:t>
      </w:r>
      <w:r>
        <w:rPr>
          <w:spacing w:val="-9"/>
        </w:rPr>
        <w:t> </w:t>
      </w:r>
      <w:r>
        <w:rPr/>
        <w:t>of</w:t>
      </w:r>
      <w:r>
        <w:rPr>
          <w:spacing w:val="-11"/>
        </w:rPr>
        <w:t> </w:t>
      </w:r>
      <w:r>
        <w:rPr/>
        <w:t>the</w:t>
      </w:r>
      <w:r>
        <w:rPr>
          <w:spacing w:val="-11"/>
        </w:rPr>
        <w:t> </w:t>
      </w:r>
      <w:r>
        <w:rPr/>
        <w:t>Company</w:t>
      </w:r>
      <w:r>
        <w:rPr>
          <w:spacing w:val="-11"/>
        </w:rPr>
        <w:t> </w:t>
      </w:r>
      <w:r>
        <w:rPr/>
        <w:t>during</w:t>
      </w:r>
      <w:r>
        <w:rPr>
          <w:spacing w:val="-11"/>
        </w:rPr>
        <w:t> </w:t>
      </w:r>
      <w:r>
        <w:rPr/>
        <w:t>the</w:t>
      </w:r>
      <w:r>
        <w:rPr>
          <w:spacing w:val="-9"/>
        </w:rPr>
        <w:t> </w:t>
      </w:r>
      <w:r>
        <w:rPr/>
        <w:t>period</w:t>
      </w:r>
      <w:r>
        <w:rPr>
          <w:spacing w:val="-11"/>
        </w:rPr>
        <w:t> </w:t>
      </w:r>
      <w:r>
        <w:rPr/>
        <w:t>from</w:t>
      </w:r>
      <w:r>
        <w:rPr>
          <w:spacing w:val="-9"/>
        </w:rPr>
        <w:t> </w:t>
      </w:r>
      <w:r>
        <w:rPr/>
        <w:t>2</w:t>
      </w:r>
      <w:r>
        <w:rPr>
          <w:spacing w:val="-2"/>
        </w:rPr>
        <w:t> </w:t>
      </w:r>
      <w:r>
        <w:rPr>
          <w:spacing w:val="-3"/>
        </w:rPr>
        <w:t>March</w:t>
      </w:r>
      <w:r>
        <w:rPr>
          <w:spacing w:val="-9"/>
        </w:rPr>
        <w:t> </w:t>
      </w:r>
      <w:r>
        <w:rPr/>
        <w:t>2012</w:t>
      </w:r>
      <w:r>
        <w:rPr>
          <w:spacing w:val="-11"/>
        </w:rPr>
        <w:t> </w:t>
      </w:r>
      <w:r>
        <w:rPr/>
        <w:t>to</w:t>
      </w:r>
      <w:r>
        <w:rPr>
          <w:spacing w:val="-9"/>
        </w:rPr>
        <w:t> </w:t>
      </w:r>
      <w:r>
        <w:rPr/>
        <w:t>31</w:t>
      </w:r>
      <w:r>
        <w:rPr>
          <w:spacing w:val="-2"/>
        </w:rPr>
        <w:t> </w:t>
      </w:r>
      <w:r>
        <w:rPr/>
        <w:t>December</w:t>
      </w:r>
      <w:r>
        <w:rPr>
          <w:spacing w:val="-12"/>
        </w:rPr>
        <w:t> </w:t>
      </w:r>
      <w:r>
        <w:rPr/>
        <w:t>2012</w:t>
      </w:r>
      <w:r>
        <w:rPr>
          <w:spacing w:val="-9"/>
        </w:rPr>
        <w:t> </w:t>
      </w:r>
      <w:r>
        <w:rPr/>
        <w:t>and</w:t>
      </w:r>
      <w:r>
        <w:rPr>
          <w:spacing w:val="-9"/>
        </w:rPr>
        <w:t> </w:t>
      </w:r>
      <w:r>
        <w:rPr/>
        <w:t>up</w:t>
      </w:r>
      <w:r>
        <w:rPr>
          <w:spacing w:val="-9"/>
        </w:rPr>
        <w:t> </w:t>
      </w:r>
      <w:r>
        <w:rPr/>
        <w:t>to</w:t>
      </w:r>
      <w:r>
        <w:rPr>
          <w:spacing w:val="-11"/>
        </w:rPr>
        <w:t> </w:t>
      </w:r>
      <w:r>
        <w:rPr/>
        <w:t>the date of this</w:t>
      </w:r>
      <w:r>
        <w:rPr>
          <w:spacing w:val="-6"/>
        </w:rPr>
        <w:t> </w:t>
      </w:r>
      <w:r>
        <w:rPr/>
        <w:t>report:</w:t>
      </w:r>
    </w:p>
    <w:p>
      <w:pPr>
        <w:pStyle w:val="BodyText"/>
        <w:spacing w:before="6"/>
        <w:rPr>
          <w:sz w:val="24"/>
        </w:rPr>
      </w:pPr>
    </w:p>
    <w:p>
      <w:pPr>
        <w:pStyle w:val="BodyText"/>
        <w:spacing w:line="247" w:lineRule="auto"/>
        <w:ind w:left="107" w:right="531"/>
      </w:pPr>
      <w:r>
        <w:rPr>
          <w:b/>
        </w:rPr>
        <w:t>Mrs Susan Alison Hudson</w:t>
      </w:r>
      <w:r>
        <w:rPr/>
        <w:t>, BA(UWS), Grad Cert BA (UQ), MLMEd (U Newcastle), Diploma AICD, JP, Non- Executive Director and Chair</w:t>
      </w:r>
    </w:p>
    <w:p>
      <w:pPr>
        <w:pStyle w:val="BodyText"/>
        <w:ind w:left="107" w:right="17"/>
      </w:pPr>
      <w:r>
        <w:rPr/>
        <w:t>Appointed as an inaugural member of the Board of UWS Early Learning Ltd. as from 2 March 2012. Susan has extensive experience in senior management positions at the University which includes over 15 years key management committee experience. Through her family Susan has been extensively involved with the parents and friends association of her children’s school and has a particular interest in fundraising and developing the physical assets of the school. Susan’s external interests include the NSW/ACT Regional Committee Deputy Chair (engagement) of the Association of Tertiary Education Managers.</w:t>
      </w:r>
    </w:p>
    <w:p>
      <w:pPr>
        <w:pStyle w:val="BodyText"/>
        <w:spacing w:before="6"/>
        <w:rPr>
          <w:sz w:val="24"/>
        </w:rPr>
      </w:pPr>
    </w:p>
    <w:p>
      <w:pPr>
        <w:spacing w:before="0"/>
        <w:ind w:left="107" w:right="210" w:firstLine="0"/>
        <w:jc w:val="left"/>
        <w:rPr>
          <w:sz w:val="18"/>
        </w:rPr>
      </w:pPr>
      <w:r>
        <w:rPr>
          <w:b/>
          <w:sz w:val="18"/>
        </w:rPr>
        <w:t>Mrs Denise Fraser</w:t>
      </w:r>
      <w:r>
        <w:rPr>
          <w:sz w:val="18"/>
        </w:rPr>
        <w:t>, BEd Early Childhood, Grad Cert HRM, Non-Executive Director</w:t>
      </w:r>
    </w:p>
    <w:p>
      <w:pPr>
        <w:pStyle w:val="BodyText"/>
        <w:spacing w:before="6"/>
        <w:ind w:left="107" w:right="157"/>
      </w:pPr>
      <w:r>
        <w:rPr/>
        <w:t>Appointed as an inaugural member of the Board of UWS Early Learning Ltd. as from 2 March 2012. Denise is a senior educational professional in the provision of Early Childhood Programs as well as course advisor in such programs for the University. She also has extensive experience in the governance of children’s services at both local and state government levels.</w:t>
      </w:r>
      <w:r>
        <w:rPr>
          <w:spacing w:val="-9"/>
        </w:rPr>
        <w:t> </w:t>
      </w:r>
      <w:r>
        <w:rPr/>
        <w:t>For</w:t>
      </w:r>
      <w:r>
        <w:rPr>
          <w:spacing w:val="-9"/>
        </w:rPr>
        <w:t> </w:t>
      </w:r>
      <w:r>
        <w:rPr/>
        <w:t>the</w:t>
      </w:r>
      <w:r>
        <w:rPr>
          <w:spacing w:val="-9"/>
        </w:rPr>
        <w:t> </w:t>
      </w:r>
      <w:r>
        <w:rPr/>
        <w:t>past</w:t>
      </w:r>
      <w:r>
        <w:rPr>
          <w:spacing w:val="-9"/>
        </w:rPr>
        <w:t> </w:t>
      </w:r>
      <w:r>
        <w:rPr/>
        <w:t>8</w:t>
      </w:r>
      <w:r>
        <w:rPr>
          <w:spacing w:val="-1"/>
        </w:rPr>
        <w:t> </w:t>
      </w:r>
      <w:r>
        <w:rPr>
          <w:spacing w:val="-3"/>
        </w:rPr>
        <w:t>years</w:t>
      </w:r>
      <w:r>
        <w:rPr>
          <w:spacing w:val="-8"/>
        </w:rPr>
        <w:t> </w:t>
      </w:r>
      <w:r>
        <w:rPr/>
        <w:t>Denise</w:t>
      </w:r>
      <w:r>
        <w:rPr>
          <w:spacing w:val="-9"/>
        </w:rPr>
        <w:t> </w:t>
      </w:r>
      <w:r>
        <w:rPr/>
        <w:t>has</w:t>
      </w:r>
      <w:r>
        <w:rPr>
          <w:spacing w:val="-8"/>
        </w:rPr>
        <w:t> </w:t>
      </w:r>
      <w:r>
        <w:rPr/>
        <w:t>been</w:t>
      </w:r>
      <w:r>
        <w:rPr>
          <w:spacing w:val="-9"/>
        </w:rPr>
        <w:t> </w:t>
      </w:r>
      <w:r>
        <w:rPr/>
        <w:t>actively</w:t>
      </w:r>
      <w:r>
        <w:rPr>
          <w:spacing w:val="-11"/>
        </w:rPr>
        <w:t> </w:t>
      </w:r>
      <w:r>
        <w:rPr/>
        <w:t>involved</w:t>
      </w:r>
      <w:r>
        <w:rPr>
          <w:spacing w:val="-9"/>
        </w:rPr>
        <w:t> </w:t>
      </w:r>
      <w:r>
        <w:rPr/>
        <w:t>as</w:t>
      </w:r>
      <w:r>
        <w:rPr>
          <w:spacing w:val="-8"/>
        </w:rPr>
        <w:t> </w:t>
      </w:r>
      <w:r>
        <w:rPr/>
        <w:t>a</w:t>
      </w:r>
      <w:r>
        <w:rPr>
          <w:spacing w:val="-1"/>
        </w:rPr>
        <w:t> </w:t>
      </w:r>
      <w:r>
        <w:rPr>
          <w:spacing w:val="-3"/>
        </w:rPr>
        <w:t>Board</w:t>
      </w:r>
      <w:r>
        <w:rPr>
          <w:spacing w:val="-9"/>
        </w:rPr>
        <w:t> </w:t>
      </w:r>
      <w:r>
        <w:rPr/>
        <w:t>member</w:t>
      </w:r>
      <w:r>
        <w:rPr>
          <w:spacing w:val="-9"/>
        </w:rPr>
        <w:t> </w:t>
      </w:r>
      <w:r>
        <w:rPr/>
        <w:t>of</w:t>
      </w:r>
      <w:r>
        <w:rPr>
          <w:spacing w:val="-11"/>
        </w:rPr>
        <w:t> </w:t>
      </w:r>
      <w:r>
        <w:rPr/>
        <w:t>a</w:t>
      </w:r>
      <w:r>
        <w:rPr>
          <w:spacing w:val="-9"/>
        </w:rPr>
        <w:t> </w:t>
      </w:r>
      <w:r>
        <w:rPr/>
        <w:t>large</w:t>
      </w:r>
      <w:r>
        <w:rPr>
          <w:spacing w:val="-9"/>
        </w:rPr>
        <w:t> </w:t>
      </w:r>
      <w:r>
        <w:rPr/>
        <w:t>not</w:t>
      </w:r>
      <w:r>
        <w:rPr>
          <w:spacing w:val="-9"/>
        </w:rPr>
        <w:t> </w:t>
      </w:r>
      <w:r>
        <w:rPr/>
        <w:t>for</w:t>
      </w:r>
      <w:r>
        <w:rPr>
          <w:spacing w:val="-9"/>
        </w:rPr>
        <w:t> </w:t>
      </w:r>
      <w:r>
        <w:rPr/>
        <w:t>profit</w:t>
      </w:r>
      <w:r>
        <w:rPr>
          <w:spacing w:val="-9"/>
        </w:rPr>
        <w:t> </w:t>
      </w:r>
      <w:r>
        <w:rPr/>
        <w:t>provider</w:t>
      </w:r>
      <w:r>
        <w:rPr>
          <w:spacing w:val="-9"/>
        </w:rPr>
        <w:t> </w:t>
      </w:r>
      <w:r>
        <w:rPr/>
        <w:t>of</w:t>
      </w:r>
      <w:r>
        <w:rPr>
          <w:spacing w:val="-9"/>
        </w:rPr>
        <w:t> </w:t>
      </w:r>
      <w:r>
        <w:rPr/>
        <w:t>child</w:t>
      </w:r>
      <w:r>
        <w:rPr>
          <w:spacing w:val="-9"/>
        </w:rPr>
        <w:t> </w:t>
      </w:r>
      <w:r>
        <w:rPr/>
        <w:t>care in</w:t>
      </w:r>
      <w:r>
        <w:rPr>
          <w:spacing w:val="-1"/>
        </w:rPr>
        <w:t> </w:t>
      </w:r>
      <w:r>
        <w:rPr/>
        <w:t>Long</w:t>
      </w:r>
      <w:r>
        <w:rPr>
          <w:spacing w:val="-1"/>
        </w:rPr>
        <w:t> </w:t>
      </w:r>
      <w:r>
        <w:rPr/>
        <w:t>Day</w:t>
      </w:r>
      <w:r>
        <w:rPr>
          <w:spacing w:val="-3"/>
        </w:rPr>
        <w:t> </w:t>
      </w:r>
      <w:r>
        <w:rPr/>
        <w:t>Care,</w:t>
      </w:r>
      <w:r>
        <w:rPr>
          <w:spacing w:val="-4"/>
        </w:rPr>
        <w:t> </w:t>
      </w:r>
      <w:r>
        <w:rPr/>
        <w:t>Pre-school</w:t>
      </w:r>
      <w:r>
        <w:rPr>
          <w:spacing w:val="-4"/>
        </w:rPr>
        <w:t> </w:t>
      </w:r>
      <w:r>
        <w:rPr/>
        <w:t>and</w:t>
      </w:r>
      <w:r>
        <w:rPr>
          <w:spacing w:val="-1"/>
        </w:rPr>
        <w:t> </w:t>
      </w:r>
      <w:r>
        <w:rPr/>
        <w:t>OOSH</w:t>
      </w:r>
      <w:r>
        <w:rPr>
          <w:spacing w:val="-2"/>
        </w:rPr>
        <w:t> </w:t>
      </w:r>
      <w:r>
        <w:rPr/>
        <w:t>services</w:t>
      </w:r>
      <w:r>
        <w:rPr>
          <w:spacing w:val="-3"/>
        </w:rPr>
        <w:t> </w:t>
      </w:r>
      <w:r>
        <w:rPr/>
        <w:t>as</w:t>
      </w:r>
      <w:r>
        <w:rPr>
          <w:spacing w:val="-1"/>
        </w:rPr>
        <w:t> </w:t>
      </w:r>
      <w:r>
        <w:rPr/>
        <w:t>well</w:t>
      </w:r>
      <w:r>
        <w:rPr>
          <w:spacing w:val="-4"/>
        </w:rPr>
        <w:t> </w:t>
      </w:r>
      <w:r>
        <w:rPr/>
        <w:t>as</w:t>
      </w:r>
      <w:r>
        <w:rPr>
          <w:spacing w:val="-3"/>
        </w:rPr>
        <w:t> </w:t>
      </w:r>
      <w:r>
        <w:rPr/>
        <w:t>a</w:t>
      </w:r>
      <w:r>
        <w:rPr>
          <w:spacing w:val="-1"/>
        </w:rPr>
        <w:t> </w:t>
      </w:r>
      <w:r>
        <w:rPr/>
        <w:t>number</w:t>
      </w:r>
      <w:r>
        <w:rPr>
          <w:spacing w:val="-4"/>
        </w:rPr>
        <w:t> </w:t>
      </w:r>
      <w:r>
        <w:rPr/>
        <w:t>of</w:t>
      </w:r>
      <w:r>
        <w:rPr>
          <w:spacing w:val="-2"/>
        </w:rPr>
        <w:t> </w:t>
      </w:r>
      <w:r>
        <w:rPr/>
        <w:t>other</w:t>
      </w:r>
      <w:r>
        <w:rPr>
          <w:spacing w:val="-4"/>
        </w:rPr>
        <w:t> </w:t>
      </w:r>
      <w:r>
        <w:rPr/>
        <w:t>child</w:t>
      </w:r>
      <w:r>
        <w:rPr>
          <w:spacing w:val="-1"/>
        </w:rPr>
        <w:t> </w:t>
      </w:r>
      <w:r>
        <w:rPr/>
        <w:t>related</w:t>
      </w:r>
      <w:r>
        <w:rPr>
          <w:spacing w:val="-1"/>
        </w:rPr>
        <w:t> </w:t>
      </w:r>
      <w:r>
        <w:rPr/>
        <w:t>activities.</w:t>
      </w:r>
    </w:p>
    <w:p>
      <w:pPr>
        <w:pStyle w:val="BodyText"/>
        <w:spacing w:before="6"/>
        <w:rPr>
          <w:sz w:val="24"/>
        </w:rPr>
      </w:pPr>
    </w:p>
    <w:p>
      <w:pPr>
        <w:spacing w:before="0"/>
        <w:ind w:left="107" w:right="210" w:firstLine="0"/>
        <w:jc w:val="left"/>
        <w:rPr>
          <w:sz w:val="18"/>
        </w:rPr>
      </w:pPr>
      <w:r>
        <w:rPr>
          <w:b/>
          <w:sz w:val="18"/>
        </w:rPr>
        <w:t>Mrs Ellen Brackenreg</w:t>
      </w:r>
      <w:r>
        <w:rPr>
          <w:sz w:val="18"/>
        </w:rPr>
        <w:t>, BA(Psych), BSW, MBA, GAICD, Non-Executive Director</w:t>
      </w:r>
    </w:p>
    <w:p>
      <w:pPr>
        <w:pStyle w:val="BodyText"/>
        <w:spacing w:before="6"/>
        <w:ind w:left="107" w:right="17"/>
      </w:pPr>
      <w:r>
        <w:rPr/>
        <w:t>Appointed as an inaugural member of the Board of UWS Early Learning Ltd. as from 2 March 2012. Ellen has extensive experience</w:t>
      </w:r>
      <w:r>
        <w:rPr>
          <w:spacing w:val="-9"/>
        </w:rPr>
        <w:t> </w:t>
      </w:r>
      <w:r>
        <w:rPr/>
        <w:t>in</w:t>
      </w:r>
      <w:r>
        <w:rPr>
          <w:spacing w:val="-9"/>
        </w:rPr>
        <w:t> </w:t>
      </w:r>
      <w:r>
        <w:rPr/>
        <w:t>senior</w:t>
      </w:r>
      <w:r>
        <w:rPr>
          <w:spacing w:val="-12"/>
        </w:rPr>
        <w:t> </w:t>
      </w:r>
      <w:r>
        <w:rPr/>
        <w:t>management</w:t>
      </w:r>
      <w:r>
        <w:rPr>
          <w:spacing w:val="-9"/>
        </w:rPr>
        <w:t> </w:t>
      </w:r>
      <w:r>
        <w:rPr/>
        <w:t>positions</w:t>
      </w:r>
      <w:r>
        <w:rPr>
          <w:spacing w:val="-8"/>
        </w:rPr>
        <w:t> </w:t>
      </w:r>
      <w:r>
        <w:rPr/>
        <w:t>in</w:t>
      </w:r>
      <w:r>
        <w:rPr>
          <w:spacing w:val="-14"/>
        </w:rPr>
        <w:t> </w:t>
      </w:r>
      <w:r>
        <w:rPr>
          <w:spacing w:val="3"/>
        </w:rPr>
        <w:t>WA</w:t>
      </w:r>
      <w:r>
        <w:rPr>
          <w:spacing w:val="-12"/>
        </w:rPr>
        <w:t> </w:t>
      </w:r>
      <w:r>
        <w:rPr/>
        <w:t>Health</w:t>
      </w:r>
      <w:r>
        <w:rPr>
          <w:spacing w:val="-9"/>
        </w:rPr>
        <w:t> </w:t>
      </w:r>
      <w:r>
        <w:rPr/>
        <w:t>and</w:t>
      </w:r>
      <w:r>
        <w:rPr>
          <w:spacing w:val="-11"/>
        </w:rPr>
        <w:t> </w:t>
      </w:r>
      <w:r>
        <w:rPr/>
        <w:t>at</w:t>
      </w:r>
      <w:r>
        <w:rPr>
          <w:spacing w:val="-9"/>
        </w:rPr>
        <w:t> </w:t>
      </w:r>
      <w:r>
        <w:rPr/>
        <w:t>the</w:t>
      </w:r>
      <w:r>
        <w:rPr>
          <w:spacing w:val="-9"/>
        </w:rPr>
        <w:t> </w:t>
      </w:r>
      <w:r>
        <w:rPr/>
        <w:t>University</w:t>
      </w:r>
      <w:r>
        <w:rPr>
          <w:spacing w:val="-11"/>
        </w:rPr>
        <w:t> </w:t>
      </w:r>
      <w:r>
        <w:rPr/>
        <w:t>which</w:t>
      </w:r>
      <w:r>
        <w:rPr>
          <w:spacing w:val="-9"/>
        </w:rPr>
        <w:t> </w:t>
      </w:r>
      <w:r>
        <w:rPr/>
        <w:t>includes</w:t>
      </w:r>
      <w:r>
        <w:rPr>
          <w:spacing w:val="-8"/>
        </w:rPr>
        <w:t> </w:t>
      </w:r>
      <w:r>
        <w:rPr/>
        <w:t>over</w:t>
      </w:r>
      <w:r>
        <w:rPr>
          <w:spacing w:val="-9"/>
        </w:rPr>
        <w:t> </w:t>
      </w:r>
      <w:r>
        <w:rPr/>
        <w:t>20</w:t>
      </w:r>
      <w:r>
        <w:rPr>
          <w:spacing w:val="-2"/>
        </w:rPr>
        <w:t> </w:t>
      </w:r>
      <w:r>
        <w:rPr>
          <w:spacing w:val="-3"/>
        </w:rPr>
        <w:t>years</w:t>
      </w:r>
      <w:r>
        <w:rPr>
          <w:spacing w:val="-8"/>
        </w:rPr>
        <w:t> </w:t>
      </w:r>
      <w:r>
        <w:rPr/>
        <w:t>key</w:t>
      </w:r>
      <w:r>
        <w:rPr>
          <w:spacing w:val="-11"/>
        </w:rPr>
        <w:t> </w:t>
      </w:r>
      <w:r>
        <w:rPr/>
        <w:t>management committee experience. Her vast experience extends from her work in children’s services, student support services, allied health services and psychiatric services. Ellen’s professional experience includes child and adolescent services, residential child</w:t>
      </w:r>
      <w:r>
        <w:rPr>
          <w:spacing w:val="-10"/>
        </w:rPr>
        <w:t> </w:t>
      </w:r>
      <w:r>
        <w:rPr/>
        <w:t>care,</w:t>
      </w:r>
      <w:r>
        <w:rPr>
          <w:spacing w:val="-10"/>
        </w:rPr>
        <w:t> </w:t>
      </w:r>
      <w:r>
        <w:rPr/>
        <w:t>child</w:t>
      </w:r>
      <w:r>
        <w:rPr>
          <w:spacing w:val="-10"/>
        </w:rPr>
        <w:t> </w:t>
      </w:r>
      <w:r>
        <w:rPr/>
        <w:t>care</w:t>
      </w:r>
      <w:r>
        <w:rPr>
          <w:spacing w:val="-10"/>
        </w:rPr>
        <w:t> </w:t>
      </w:r>
      <w:r>
        <w:rPr/>
        <w:t>management</w:t>
      </w:r>
      <w:r>
        <w:rPr>
          <w:spacing w:val="-10"/>
        </w:rPr>
        <w:t> </w:t>
      </w:r>
      <w:r>
        <w:rPr/>
        <w:t>committee</w:t>
      </w:r>
      <w:r>
        <w:rPr>
          <w:spacing w:val="-10"/>
        </w:rPr>
        <w:t> </w:t>
      </w:r>
      <w:r>
        <w:rPr/>
        <w:t>and</w:t>
      </w:r>
      <w:r>
        <w:rPr>
          <w:spacing w:val="-10"/>
        </w:rPr>
        <w:t> </w:t>
      </w:r>
      <w:r>
        <w:rPr/>
        <w:t>until</w:t>
      </w:r>
      <w:r>
        <w:rPr>
          <w:spacing w:val="-10"/>
        </w:rPr>
        <w:t> </w:t>
      </w:r>
      <w:r>
        <w:rPr/>
        <w:t>recently</w:t>
      </w:r>
      <w:r>
        <w:rPr>
          <w:spacing w:val="-9"/>
        </w:rPr>
        <w:t> </w:t>
      </w:r>
      <w:r>
        <w:rPr/>
        <w:t>she</w:t>
      </w:r>
      <w:r>
        <w:rPr>
          <w:spacing w:val="-7"/>
        </w:rPr>
        <w:t> </w:t>
      </w:r>
      <w:r>
        <w:rPr/>
        <w:t>was</w:t>
      </w:r>
      <w:r>
        <w:rPr>
          <w:spacing w:val="-9"/>
        </w:rPr>
        <w:t> </w:t>
      </w:r>
      <w:r>
        <w:rPr/>
        <w:t>a</w:t>
      </w:r>
      <w:r>
        <w:rPr>
          <w:spacing w:val="-10"/>
        </w:rPr>
        <w:t> </w:t>
      </w:r>
      <w:r>
        <w:rPr/>
        <w:t>company</w:t>
      </w:r>
      <w:r>
        <w:rPr>
          <w:spacing w:val="-12"/>
        </w:rPr>
        <w:t> </w:t>
      </w:r>
      <w:r>
        <w:rPr/>
        <w:t>director</w:t>
      </w:r>
      <w:r>
        <w:rPr>
          <w:spacing w:val="-8"/>
        </w:rPr>
        <w:t> </w:t>
      </w:r>
      <w:r>
        <w:rPr/>
        <w:t>of</w:t>
      </w:r>
      <w:r>
        <w:rPr>
          <w:spacing w:val="-10"/>
        </w:rPr>
        <w:t> </w:t>
      </w:r>
      <w:r>
        <w:rPr/>
        <w:t>UWS</w:t>
      </w:r>
      <w:r>
        <w:rPr>
          <w:spacing w:val="-10"/>
        </w:rPr>
        <w:t> </w:t>
      </w:r>
      <w:r>
        <w:rPr/>
        <w:t>Residential</w:t>
      </w:r>
      <w:r>
        <w:rPr>
          <w:spacing w:val="-10"/>
        </w:rPr>
        <w:t> </w:t>
      </w:r>
      <w:r>
        <w:rPr/>
        <w:t>Colleges</w:t>
      </w:r>
      <w:r>
        <w:rPr>
          <w:spacing w:val="-7"/>
        </w:rPr>
        <w:t> </w:t>
      </w:r>
      <w:r>
        <w:rPr/>
        <w:t>Ltd.</w:t>
      </w:r>
    </w:p>
    <w:p>
      <w:pPr>
        <w:pStyle w:val="BodyText"/>
        <w:spacing w:before="6"/>
        <w:rPr>
          <w:sz w:val="24"/>
        </w:rPr>
      </w:pPr>
    </w:p>
    <w:p>
      <w:pPr>
        <w:spacing w:before="0"/>
        <w:ind w:left="107" w:right="210" w:firstLine="0"/>
        <w:jc w:val="left"/>
        <w:rPr>
          <w:sz w:val="18"/>
        </w:rPr>
      </w:pPr>
      <w:r>
        <w:rPr>
          <w:b/>
          <w:sz w:val="18"/>
        </w:rPr>
        <w:t>Ms Patricia (Trish) Diane Mullins</w:t>
      </w:r>
      <w:r>
        <w:rPr>
          <w:sz w:val="18"/>
        </w:rPr>
        <w:t>, BA/LLB, QSM(NZ), Non-Executive Director</w:t>
      </w:r>
    </w:p>
    <w:p>
      <w:pPr>
        <w:pStyle w:val="BodyText"/>
        <w:spacing w:before="6"/>
        <w:ind w:left="107" w:right="17"/>
      </w:pPr>
      <w:r>
        <w:rPr/>
        <w:t>Appointed as an inaugural member of the Board of UWS Early Learning Ltd. as from 2 March 2012. Trish has extensive experience as a lawyer and industrial relations practitioner as well as considerable experience in major funding applications, government</w:t>
      </w:r>
      <w:r>
        <w:rPr>
          <w:spacing w:val="-6"/>
        </w:rPr>
        <w:t> </w:t>
      </w:r>
      <w:r>
        <w:rPr/>
        <w:t>relations</w:t>
      </w:r>
      <w:r>
        <w:rPr>
          <w:spacing w:val="-8"/>
        </w:rPr>
        <w:t> </w:t>
      </w:r>
      <w:r>
        <w:rPr/>
        <w:t>and</w:t>
      </w:r>
      <w:r>
        <w:rPr>
          <w:spacing w:val="-8"/>
        </w:rPr>
        <w:t> </w:t>
      </w:r>
      <w:r>
        <w:rPr/>
        <w:t>strategy/policy</w:t>
      </w:r>
      <w:r>
        <w:rPr>
          <w:spacing w:val="-8"/>
        </w:rPr>
        <w:t> </w:t>
      </w:r>
      <w:r>
        <w:rPr/>
        <w:t>development</w:t>
      </w:r>
      <w:r>
        <w:rPr>
          <w:spacing w:val="-8"/>
        </w:rPr>
        <w:t> </w:t>
      </w:r>
      <w:r>
        <w:rPr/>
        <w:t>roles</w:t>
      </w:r>
      <w:r>
        <w:rPr>
          <w:spacing w:val="-8"/>
        </w:rPr>
        <w:t> </w:t>
      </w:r>
      <w:r>
        <w:rPr/>
        <w:t>in</w:t>
      </w:r>
      <w:r>
        <w:rPr>
          <w:spacing w:val="-6"/>
        </w:rPr>
        <w:t> </w:t>
      </w:r>
      <w:r>
        <w:rPr/>
        <w:t>the</w:t>
      </w:r>
      <w:r>
        <w:rPr>
          <w:spacing w:val="-6"/>
        </w:rPr>
        <w:t> </w:t>
      </w:r>
      <w:r>
        <w:rPr/>
        <w:t>University.</w:t>
      </w:r>
      <w:r>
        <w:rPr>
          <w:spacing w:val="-6"/>
        </w:rPr>
        <w:t> </w:t>
      </w:r>
      <w:r>
        <w:rPr/>
        <w:t>She</w:t>
      </w:r>
      <w:r>
        <w:rPr>
          <w:spacing w:val="-6"/>
        </w:rPr>
        <w:t> </w:t>
      </w:r>
      <w:r>
        <w:rPr/>
        <w:t>was</w:t>
      </w:r>
      <w:r>
        <w:rPr>
          <w:spacing w:val="-8"/>
        </w:rPr>
        <w:t> </w:t>
      </w:r>
      <w:r>
        <w:rPr/>
        <w:t>responsible</w:t>
      </w:r>
      <w:r>
        <w:rPr>
          <w:spacing w:val="-8"/>
        </w:rPr>
        <w:t> </w:t>
      </w:r>
      <w:r>
        <w:rPr/>
        <w:t>for</w:t>
      </w:r>
      <w:r>
        <w:rPr>
          <w:spacing w:val="-9"/>
        </w:rPr>
        <w:t> </w:t>
      </w:r>
      <w:r>
        <w:rPr/>
        <w:t>the</w:t>
      </w:r>
      <w:r>
        <w:rPr>
          <w:spacing w:val="-6"/>
        </w:rPr>
        <w:t> </w:t>
      </w:r>
      <w:r>
        <w:rPr/>
        <w:t>development</w:t>
      </w:r>
      <w:r>
        <w:rPr>
          <w:spacing w:val="-6"/>
        </w:rPr>
        <w:t> </w:t>
      </w:r>
      <w:r>
        <w:rPr/>
        <w:t>of</w:t>
      </w:r>
      <w:r>
        <w:rPr>
          <w:spacing w:val="-10"/>
        </w:rPr>
        <w:t> </w:t>
      </w:r>
      <w:r>
        <w:rPr/>
        <w:t>the proposal</w:t>
      </w:r>
      <w:r>
        <w:rPr>
          <w:spacing w:val="-13"/>
        </w:rPr>
        <w:t> </w:t>
      </w:r>
      <w:r>
        <w:rPr/>
        <w:t>to</w:t>
      </w:r>
      <w:r>
        <w:rPr>
          <w:spacing w:val="-13"/>
        </w:rPr>
        <w:t> </w:t>
      </w:r>
      <w:r>
        <w:rPr/>
        <w:t>approach</w:t>
      </w:r>
      <w:r>
        <w:rPr>
          <w:spacing w:val="-11"/>
        </w:rPr>
        <w:t> </w:t>
      </w:r>
      <w:r>
        <w:rPr/>
        <w:t>existing</w:t>
      </w:r>
      <w:r>
        <w:rPr>
          <w:spacing w:val="-13"/>
        </w:rPr>
        <w:t> </w:t>
      </w:r>
      <w:r>
        <w:rPr/>
        <w:t>child</w:t>
      </w:r>
      <w:r>
        <w:rPr>
          <w:spacing w:val="-13"/>
        </w:rPr>
        <w:t> </w:t>
      </w:r>
      <w:r>
        <w:rPr/>
        <w:t>care</w:t>
      </w:r>
      <w:r>
        <w:rPr>
          <w:spacing w:val="-13"/>
        </w:rPr>
        <w:t> </w:t>
      </w:r>
      <w:r>
        <w:rPr/>
        <w:t>centres</w:t>
      </w:r>
      <w:r>
        <w:rPr>
          <w:spacing w:val="-13"/>
        </w:rPr>
        <w:t> </w:t>
      </w:r>
      <w:r>
        <w:rPr/>
        <w:t>on</w:t>
      </w:r>
      <w:r>
        <w:rPr>
          <w:spacing w:val="-11"/>
        </w:rPr>
        <w:t> </w:t>
      </w:r>
      <w:r>
        <w:rPr/>
        <w:t>UWS</w:t>
      </w:r>
      <w:r>
        <w:rPr>
          <w:spacing w:val="-17"/>
        </w:rPr>
        <w:t> </w:t>
      </w:r>
      <w:r>
        <w:rPr/>
        <w:t>campuses</w:t>
      </w:r>
      <w:r>
        <w:rPr>
          <w:spacing w:val="-10"/>
        </w:rPr>
        <w:t> </w:t>
      </w:r>
      <w:r>
        <w:rPr/>
        <w:t>to</w:t>
      </w:r>
      <w:r>
        <w:rPr>
          <w:spacing w:val="-11"/>
        </w:rPr>
        <w:t> </w:t>
      </w:r>
      <w:r>
        <w:rPr/>
        <w:t>form</w:t>
      </w:r>
      <w:r>
        <w:rPr>
          <w:spacing w:val="-13"/>
        </w:rPr>
        <w:t> </w:t>
      </w:r>
      <w:r>
        <w:rPr/>
        <w:t>a</w:t>
      </w:r>
      <w:r>
        <w:rPr>
          <w:spacing w:val="-11"/>
        </w:rPr>
        <w:t> </w:t>
      </w:r>
      <w:r>
        <w:rPr/>
        <w:t>new</w:t>
      </w:r>
      <w:r>
        <w:rPr>
          <w:spacing w:val="-14"/>
        </w:rPr>
        <w:t> </w:t>
      </w:r>
      <w:r>
        <w:rPr/>
        <w:t>legal</w:t>
      </w:r>
      <w:r>
        <w:rPr>
          <w:spacing w:val="-13"/>
        </w:rPr>
        <w:t> </w:t>
      </w:r>
      <w:r>
        <w:rPr/>
        <w:t>to</w:t>
      </w:r>
      <w:r>
        <w:rPr>
          <w:spacing w:val="-13"/>
        </w:rPr>
        <w:t> </w:t>
      </w:r>
      <w:r>
        <w:rPr/>
        <w:t>operate</w:t>
      </w:r>
      <w:r>
        <w:rPr>
          <w:spacing w:val="-13"/>
        </w:rPr>
        <w:t> </w:t>
      </w:r>
      <w:r>
        <w:rPr/>
        <w:t>all</w:t>
      </w:r>
      <w:r>
        <w:rPr>
          <w:spacing w:val="-13"/>
        </w:rPr>
        <w:t> </w:t>
      </w:r>
      <w:r>
        <w:rPr/>
        <w:t>of</w:t>
      </w:r>
      <w:r>
        <w:rPr>
          <w:spacing w:val="-14"/>
        </w:rPr>
        <w:t> </w:t>
      </w:r>
      <w:r>
        <w:rPr/>
        <w:t>the</w:t>
      </w:r>
      <w:r>
        <w:rPr>
          <w:spacing w:val="-13"/>
        </w:rPr>
        <w:t> </w:t>
      </w:r>
      <w:r>
        <w:rPr/>
        <w:t>Centres</w:t>
      </w:r>
      <w:r>
        <w:rPr>
          <w:spacing w:val="-10"/>
        </w:rPr>
        <w:t> </w:t>
      </w:r>
      <w:r>
        <w:rPr/>
        <w:t>which</w:t>
      </w:r>
      <w:r>
        <w:rPr>
          <w:spacing w:val="-11"/>
        </w:rPr>
        <w:t> </w:t>
      </w:r>
      <w:r>
        <w:rPr/>
        <w:t>then became</w:t>
      </w:r>
      <w:r>
        <w:rPr>
          <w:spacing w:val="-11"/>
        </w:rPr>
        <w:t> </w:t>
      </w:r>
      <w:r>
        <w:rPr/>
        <w:t>UWS</w:t>
      </w:r>
      <w:r>
        <w:rPr>
          <w:spacing w:val="-14"/>
        </w:rPr>
        <w:t> </w:t>
      </w:r>
      <w:r>
        <w:rPr/>
        <w:t>Early</w:t>
      </w:r>
      <w:r>
        <w:rPr>
          <w:spacing w:val="-13"/>
        </w:rPr>
        <w:t> </w:t>
      </w:r>
      <w:r>
        <w:rPr/>
        <w:t>Learning</w:t>
      </w:r>
      <w:r>
        <w:rPr>
          <w:spacing w:val="-11"/>
        </w:rPr>
        <w:t> </w:t>
      </w:r>
      <w:r>
        <w:rPr/>
        <w:t>Ltd.</w:t>
      </w:r>
      <w:r>
        <w:rPr>
          <w:spacing w:val="-11"/>
        </w:rPr>
        <w:t> </w:t>
      </w:r>
      <w:r>
        <w:rPr/>
        <w:t>Through</w:t>
      </w:r>
      <w:r>
        <w:rPr>
          <w:spacing w:val="-13"/>
        </w:rPr>
        <w:t> </w:t>
      </w:r>
      <w:r>
        <w:rPr/>
        <w:t>her</w:t>
      </w:r>
      <w:r>
        <w:rPr>
          <w:spacing w:val="-12"/>
        </w:rPr>
        <w:t> </w:t>
      </w:r>
      <w:r>
        <w:rPr/>
        <w:t>family</w:t>
      </w:r>
      <w:r>
        <w:rPr>
          <w:spacing w:val="-13"/>
        </w:rPr>
        <w:t> </w:t>
      </w:r>
      <w:r>
        <w:rPr/>
        <w:t>involvement</w:t>
      </w:r>
      <w:r>
        <w:rPr>
          <w:spacing w:val="-11"/>
        </w:rPr>
        <w:t> </w:t>
      </w:r>
      <w:r>
        <w:rPr/>
        <w:t>Trish</w:t>
      </w:r>
      <w:r>
        <w:rPr>
          <w:spacing w:val="-11"/>
        </w:rPr>
        <w:t> </w:t>
      </w:r>
      <w:r>
        <w:rPr/>
        <w:t>has</w:t>
      </w:r>
      <w:r>
        <w:rPr>
          <w:spacing w:val="-10"/>
        </w:rPr>
        <w:t> </w:t>
      </w:r>
      <w:r>
        <w:rPr/>
        <w:t>been</w:t>
      </w:r>
      <w:r>
        <w:rPr>
          <w:spacing w:val="-13"/>
        </w:rPr>
        <w:t> </w:t>
      </w:r>
      <w:r>
        <w:rPr/>
        <w:t>a</w:t>
      </w:r>
      <w:r>
        <w:rPr>
          <w:spacing w:val="-11"/>
        </w:rPr>
        <w:t> </w:t>
      </w:r>
      <w:r>
        <w:rPr/>
        <w:t>member</w:t>
      </w:r>
      <w:r>
        <w:rPr>
          <w:spacing w:val="-14"/>
        </w:rPr>
        <w:t> </w:t>
      </w:r>
      <w:r>
        <w:rPr/>
        <w:t>and</w:t>
      </w:r>
      <w:r>
        <w:rPr>
          <w:spacing w:val="-2"/>
        </w:rPr>
        <w:t> </w:t>
      </w:r>
      <w:r>
        <w:rPr>
          <w:spacing w:val="-3"/>
        </w:rPr>
        <w:t>then</w:t>
      </w:r>
      <w:r>
        <w:rPr>
          <w:spacing w:val="-11"/>
        </w:rPr>
        <w:t> </w:t>
      </w:r>
      <w:r>
        <w:rPr/>
        <w:t>President</w:t>
      </w:r>
      <w:r>
        <w:rPr>
          <w:spacing w:val="-14"/>
        </w:rPr>
        <w:t> </w:t>
      </w:r>
      <w:r>
        <w:rPr/>
        <w:t>of</w:t>
      </w:r>
      <w:r>
        <w:rPr>
          <w:spacing w:val="-11"/>
        </w:rPr>
        <w:t> </w:t>
      </w:r>
      <w:r>
        <w:rPr/>
        <w:t>the</w:t>
      </w:r>
      <w:r>
        <w:rPr>
          <w:spacing w:val="-11"/>
        </w:rPr>
        <w:t> </w:t>
      </w:r>
      <w:r>
        <w:rPr/>
        <w:t>Board</w:t>
      </w:r>
      <w:r>
        <w:rPr>
          <w:spacing w:val="-11"/>
        </w:rPr>
        <w:t> </w:t>
      </w:r>
      <w:r>
        <w:rPr/>
        <w:t>of Directors for SOS Child Care Centre,</w:t>
      </w:r>
      <w:r>
        <w:rPr>
          <w:spacing w:val="-16"/>
        </w:rPr>
        <w:t> </w:t>
      </w:r>
      <w:r>
        <w:rPr/>
        <w:t>Randwick.</w:t>
      </w:r>
    </w:p>
    <w:p>
      <w:pPr>
        <w:pStyle w:val="BodyText"/>
        <w:spacing w:before="6"/>
        <w:rPr>
          <w:sz w:val="24"/>
        </w:rPr>
      </w:pPr>
    </w:p>
    <w:p>
      <w:pPr>
        <w:pStyle w:val="BodyText"/>
        <w:spacing w:line="247" w:lineRule="auto"/>
        <w:ind w:left="107" w:right="19"/>
      </w:pPr>
      <w:r>
        <w:rPr>
          <w:b/>
        </w:rPr>
        <w:t>Mrs Susan Benzie</w:t>
      </w:r>
      <w:r>
        <w:rPr/>
        <w:t>, Teach Cert (Infants &amp; Preschool), Teach Cert (Deaf), Dip Teach, Bed, MLMEd, Grad Cert Ed Stud. (Spec Ed), MACE, MACEL, JP, Director</w:t>
      </w:r>
    </w:p>
    <w:p>
      <w:pPr>
        <w:pStyle w:val="BodyText"/>
        <w:ind w:left="107" w:right="17"/>
      </w:pPr>
      <w:r>
        <w:rPr/>
        <w:t>Appointed as an external member of the Board of UWS Early Learning Limited as from 23 July 2012. Susan is a very senior educational professional who recently retired after an extensive period as Head of the Royal Institute for Deaf and Blind Children</w:t>
      </w:r>
      <w:r>
        <w:rPr>
          <w:spacing w:val="-12"/>
        </w:rPr>
        <w:t> </w:t>
      </w:r>
      <w:r>
        <w:rPr/>
        <w:t>(RIDBC)</w:t>
      </w:r>
      <w:r>
        <w:rPr>
          <w:spacing w:val="-13"/>
        </w:rPr>
        <w:t> </w:t>
      </w:r>
      <w:r>
        <w:rPr/>
        <w:t>Early</w:t>
      </w:r>
      <w:r>
        <w:rPr>
          <w:spacing w:val="-14"/>
        </w:rPr>
        <w:t> </w:t>
      </w:r>
      <w:r>
        <w:rPr/>
        <w:t>Childhood</w:t>
      </w:r>
      <w:r>
        <w:rPr>
          <w:spacing w:val="-12"/>
        </w:rPr>
        <w:t> </w:t>
      </w:r>
      <w:r>
        <w:rPr/>
        <w:t>Services.</w:t>
      </w:r>
      <w:r>
        <w:rPr>
          <w:spacing w:val="-15"/>
        </w:rPr>
        <w:t> </w:t>
      </w:r>
      <w:r>
        <w:rPr/>
        <w:t>Susan’s</w:t>
      </w:r>
      <w:r>
        <w:rPr>
          <w:spacing w:val="-11"/>
        </w:rPr>
        <w:t> </w:t>
      </w:r>
      <w:r>
        <w:rPr/>
        <w:t>very</w:t>
      </w:r>
      <w:r>
        <w:rPr>
          <w:spacing w:val="-14"/>
        </w:rPr>
        <w:t> </w:t>
      </w:r>
      <w:r>
        <w:rPr/>
        <w:t>extensive</w:t>
      </w:r>
      <w:r>
        <w:rPr>
          <w:spacing w:val="-14"/>
        </w:rPr>
        <w:t> </w:t>
      </w:r>
      <w:r>
        <w:rPr/>
        <w:t>experience</w:t>
      </w:r>
      <w:r>
        <w:rPr>
          <w:spacing w:val="-14"/>
        </w:rPr>
        <w:t> </w:t>
      </w:r>
      <w:r>
        <w:rPr/>
        <w:t>spans</w:t>
      </w:r>
      <w:r>
        <w:rPr>
          <w:spacing w:val="-11"/>
        </w:rPr>
        <w:t> </w:t>
      </w:r>
      <w:r>
        <w:rPr/>
        <w:t>roles</w:t>
      </w:r>
      <w:r>
        <w:rPr>
          <w:spacing w:val="-14"/>
        </w:rPr>
        <w:t> </w:t>
      </w:r>
      <w:r>
        <w:rPr/>
        <w:t>in</w:t>
      </w:r>
      <w:r>
        <w:rPr>
          <w:spacing w:val="-12"/>
        </w:rPr>
        <w:t> </w:t>
      </w:r>
      <w:r>
        <w:rPr/>
        <w:t>the</w:t>
      </w:r>
      <w:r>
        <w:rPr>
          <w:spacing w:val="-14"/>
        </w:rPr>
        <w:t> </w:t>
      </w:r>
      <w:r>
        <w:rPr/>
        <w:t>provision</w:t>
      </w:r>
      <w:r>
        <w:rPr>
          <w:spacing w:val="-14"/>
        </w:rPr>
        <w:t> </w:t>
      </w:r>
      <w:r>
        <w:rPr/>
        <w:t>of</w:t>
      </w:r>
      <w:r>
        <w:rPr>
          <w:spacing w:val="-12"/>
        </w:rPr>
        <w:t> </w:t>
      </w:r>
      <w:r>
        <w:rPr/>
        <w:t>Early</w:t>
      </w:r>
      <w:r>
        <w:rPr>
          <w:spacing w:val="-14"/>
        </w:rPr>
        <w:t> </w:t>
      </w:r>
      <w:r>
        <w:rPr/>
        <w:t>Childhood services</w:t>
      </w:r>
      <w:r>
        <w:rPr>
          <w:spacing w:val="-4"/>
        </w:rPr>
        <w:t> </w:t>
      </w:r>
      <w:r>
        <w:rPr/>
        <w:t>in</w:t>
      </w:r>
      <w:r>
        <w:rPr>
          <w:spacing w:val="-4"/>
        </w:rPr>
        <w:t> </w:t>
      </w:r>
      <w:r>
        <w:rPr/>
        <w:t>preschool,</w:t>
      </w:r>
      <w:r>
        <w:rPr>
          <w:spacing w:val="-4"/>
        </w:rPr>
        <w:t> </w:t>
      </w:r>
      <w:r>
        <w:rPr/>
        <w:t>infants</w:t>
      </w:r>
      <w:r>
        <w:rPr>
          <w:spacing w:val="-6"/>
        </w:rPr>
        <w:t> </w:t>
      </w:r>
      <w:r>
        <w:rPr/>
        <w:t>and</w:t>
      </w:r>
      <w:r>
        <w:rPr>
          <w:spacing w:val="-4"/>
        </w:rPr>
        <w:t> </w:t>
      </w:r>
      <w:r>
        <w:rPr/>
        <w:t>more</w:t>
      </w:r>
      <w:r>
        <w:rPr>
          <w:spacing w:val="-2"/>
        </w:rPr>
        <w:t> </w:t>
      </w:r>
      <w:r>
        <w:rPr/>
        <w:t>recently</w:t>
      </w:r>
      <w:r>
        <w:rPr>
          <w:spacing w:val="-4"/>
        </w:rPr>
        <w:t> </w:t>
      </w:r>
      <w:r>
        <w:rPr/>
        <w:t>at</w:t>
      </w:r>
      <w:r>
        <w:rPr>
          <w:spacing w:val="-3"/>
        </w:rPr>
        <w:t> </w:t>
      </w:r>
      <w:r>
        <w:rPr/>
        <w:t>RIDBC.</w:t>
      </w:r>
      <w:r>
        <w:rPr>
          <w:spacing w:val="-6"/>
        </w:rPr>
        <w:t> </w:t>
      </w:r>
      <w:r>
        <w:rPr/>
        <w:t>Susan’s</w:t>
      </w:r>
      <w:r>
        <w:rPr>
          <w:spacing w:val="-4"/>
        </w:rPr>
        <w:t> </w:t>
      </w:r>
      <w:r>
        <w:rPr/>
        <w:t>extensive</w:t>
      </w:r>
      <w:r>
        <w:rPr>
          <w:spacing w:val="-4"/>
        </w:rPr>
        <w:t> </w:t>
      </w:r>
      <w:r>
        <w:rPr/>
        <w:t>skill</w:t>
      </w:r>
      <w:r>
        <w:rPr>
          <w:spacing w:val="-4"/>
        </w:rPr>
        <w:t> </w:t>
      </w:r>
      <w:r>
        <w:rPr/>
        <w:t>set</w:t>
      </w:r>
      <w:r>
        <w:rPr>
          <w:spacing w:val="-4"/>
        </w:rPr>
        <w:t> </w:t>
      </w:r>
      <w:r>
        <w:rPr/>
        <w:t>covers</w:t>
      </w:r>
      <w:r>
        <w:rPr>
          <w:spacing w:val="-4"/>
        </w:rPr>
        <w:t> </w:t>
      </w:r>
      <w:r>
        <w:rPr/>
        <w:t>such</w:t>
      </w:r>
      <w:r>
        <w:rPr>
          <w:spacing w:val="-4"/>
        </w:rPr>
        <w:t> </w:t>
      </w:r>
      <w:r>
        <w:rPr/>
        <w:t>roles</w:t>
      </w:r>
      <w:r>
        <w:rPr>
          <w:spacing w:val="-4"/>
        </w:rPr>
        <w:t> </w:t>
      </w:r>
      <w:r>
        <w:rPr/>
        <w:t>as</w:t>
      </w:r>
      <w:r>
        <w:rPr>
          <w:spacing w:val="-4"/>
        </w:rPr>
        <w:t> </w:t>
      </w:r>
      <w:r>
        <w:rPr/>
        <w:t>program</w:t>
      </w:r>
      <w:r>
        <w:rPr>
          <w:spacing w:val="-4"/>
        </w:rPr>
        <w:t> </w:t>
      </w:r>
      <w:r>
        <w:rPr/>
        <w:t>and</w:t>
      </w:r>
      <w:r>
        <w:rPr>
          <w:spacing w:val="-4"/>
        </w:rPr>
        <w:t> </w:t>
      </w:r>
      <w:r>
        <w:rPr/>
        <w:t>staff management, policy development and review, budget control and performance management, event planning and family support. Susan has served as a senior member on a number of professional associations during her illustrious career and is now an active member of the Board of UWSEL</w:t>
      </w:r>
      <w:r>
        <w:rPr>
          <w:spacing w:val="-16"/>
        </w:rPr>
        <w:t> </w:t>
      </w:r>
      <w:r>
        <w:rPr/>
        <w:t>Ltd.</w:t>
      </w:r>
    </w:p>
    <w:p>
      <w:pPr>
        <w:pStyle w:val="BodyText"/>
        <w:spacing w:before="9"/>
        <w:rPr>
          <w:sz w:val="24"/>
        </w:rPr>
      </w:pPr>
    </w:p>
    <w:p>
      <w:pPr>
        <w:spacing w:before="0"/>
        <w:ind w:left="107" w:right="210" w:firstLine="0"/>
        <w:jc w:val="left"/>
        <w:rPr>
          <w:sz w:val="18"/>
        </w:rPr>
      </w:pPr>
      <w:r>
        <w:rPr>
          <w:b/>
          <w:sz w:val="18"/>
        </w:rPr>
        <w:t>Mr Kerry Michael O’Reilly</w:t>
      </w:r>
      <w:r>
        <w:rPr>
          <w:sz w:val="18"/>
        </w:rPr>
        <w:t>, BEc, FIPA, JP, Non-Executive Director and Secretary</w:t>
      </w:r>
    </w:p>
    <w:p>
      <w:pPr>
        <w:pStyle w:val="BodyText"/>
        <w:spacing w:before="4"/>
        <w:ind w:left="107" w:right="17"/>
      </w:pPr>
      <w:r>
        <w:rPr/>
        <w:t>Appointed as an inaugural member of the Board of UWS Early Learning Ltd. as from 2 March 2012. Kerry has extensive experience in both the private business sector as well as the education sector. He has been held senior Finance positions in NSW TAFE, the University of NSW and a leading independent school in the Hills District. He has gained some 12 years experience as a Company Secretary and Company Director. Kerry also has practical financial and business management expertise</w:t>
      </w:r>
      <w:r>
        <w:rPr>
          <w:spacing w:val="-11"/>
        </w:rPr>
        <w:t> </w:t>
      </w:r>
      <w:r>
        <w:rPr/>
        <w:t>in</w:t>
      </w:r>
      <w:r>
        <w:rPr>
          <w:spacing w:val="-11"/>
        </w:rPr>
        <w:t> </w:t>
      </w:r>
      <w:r>
        <w:rPr/>
        <w:t>child</w:t>
      </w:r>
      <w:r>
        <w:rPr>
          <w:spacing w:val="-13"/>
        </w:rPr>
        <w:t> </w:t>
      </w:r>
      <w:r>
        <w:rPr/>
        <w:t>care</w:t>
      </w:r>
      <w:r>
        <w:rPr>
          <w:spacing w:val="-11"/>
        </w:rPr>
        <w:t> </w:t>
      </w:r>
      <w:r>
        <w:rPr/>
        <w:t>centres</w:t>
      </w:r>
      <w:r>
        <w:rPr>
          <w:spacing w:val="-10"/>
        </w:rPr>
        <w:t> </w:t>
      </w:r>
      <w:r>
        <w:rPr/>
        <w:t>run</w:t>
      </w:r>
      <w:r>
        <w:rPr>
          <w:spacing w:val="-11"/>
        </w:rPr>
        <w:t> </w:t>
      </w:r>
      <w:r>
        <w:rPr/>
        <w:t>by</w:t>
      </w:r>
      <w:r>
        <w:rPr>
          <w:spacing w:val="-13"/>
        </w:rPr>
        <w:t> </w:t>
      </w:r>
      <w:r>
        <w:rPr/>
        <w:t>both</w:t>
      </w:r>
      <w:r>
        <w:rPr>
          <w:spacing w:val="-11"/>
        </w:rPr>
        <w:t> </w:t>
      </w:r>
      <w:r>
        <w:rPr/>
        <w:t>government</w:t>
      </w:r>
      <w:r>
        <w:rPr>
          <w:spacing w:val="-11"/>
        </w:rPr>
        <w:t> </w:t>
      </w:r>
      <w:r>
        <w:rPr/>
        <w:t>and</w:t>
      </w:r>
      <w:r>
        <w:rPr>
          <w:spacing w:val="-11"/>
        </w:rPr>
        <w:t> </w:t>
      </w:r>
      <w:r>
        <w:rPr/>
        <w:t>private</w:t>
      </w:r>
      <w:r>
        <w:rPr>
          <w:spacing w:val="-11"/>
        </w:rPr>
        <w:t> </w:t>
      </w:r>
      <w:r>
        <w:rPr/>
        <w:t>enterprise.</w:t>
      </w:r>
      <w:r>
        <w:rPr>
          <w:spacing w:val="-11"/>
        </w:rPr>
        <w:t> </w:t>
      </w:r>
      <w:r>
        <w:rPr/>
        <w:t>Kerry</w:t>
      </w:r>
      <w:r>
        <w:rPr>
          <w:spacing w:val="-13"/>
        </w:rPr>
        <w:t> </w:t>
      </w:r>
      <w:r>
        <w:rPr/>
        <w:t>resigned</w:t>
      </w:r>
      <w:r>
        <w:rPr>
          <w:spacing w:val="-13"/>
        </w:rPr>
        <w:t> </w:t>
      </w:r>
      <w:r>
        <w:rPr/>
        <w:t>as</w:t>
      </w:r>
      <w:r>
        <w:rPr>
          <w:spacing w:val="-10"/>
        </w:rPr>
        <w:t> </w:t>
      </w:r>
      <w:r>
        <w:rPr/>
        <w:t>Director</w:t>
      </w:r>
      <w:r>
        <w:rPr>
          <w:spacing w:val="-12"/>
        </w:rPr>
        <w:t> </w:t>
      </w:r>
      <w:r>
        <w:rPr/>
        <w:t>on</w:t>
      </w:r>
      <w:r>
        <w:rPr>
          <w:spacing w:val="-1"/>
        </w:rPr>
        <w:t> </w:t>
      </w:r>
      <w:r>
        <w:rPr/>
        <w:t>7</w:t>
      </w:r>
      <w:r>
        <w:rPr>
          <w:spacing w:val="-1"/>
        </w:rPr>
        <w:t> </w:t>
      </w:r>
      <w:r>
        <w:rPr>
          <w:spacing w:val="-3"/>
        </w:rPr>
        <w:t>December</w:t>
      </w:r>
      <w:r>
        <w:rPr>
          <w:spacing w:val="-12"/>
        </w:rPr>
        <w:t> </w:t>
      </w:r>
      <w:r>
        <w:rPr/>
        <w:t>2012.</w:t>
      </w:r>
    </w:p>
    <w:p>
      <w:pPr>
        <w:pStyle w:val="BodyText"/>
        <w:spacing w:before="2"/>
        <w:rPr>
          <w:sz w:val="25"/>
        </w:rPr>
      </w:pPr>
    </w:p>
    <w:p>
      <w:pPr>
        <w:pStyle w:val="BodyText"/>
        <w:ind w:left="107" w:right="210"/>
      </w:pPr>
      <w:r>
        <w:rPr/>
        <w:t>Directors have been in office since the start of the financial period to the date of this report unless otherwise stated.</w:t>
      </w:r>
    </w:p>
    <w:p>
      <w:pPr>
        <w:spacing w:after="0"/>
        <w:sectPr>
          <w:headerReference w:type="default" r:id="rId226"/>
          <w:pgSz w:w="11960" w:h="16850"/>
          <w:pgMar w:header="743" w:footer="507" w:top="1180" w:bottom="700" w:left="900" w:right="900"/>
        </w:sectPr>
      </w:pPr>
    </w:p>
    <w:p>
      <w:pPr>
        <w:pStyle w:val="BodyText"/>
        <w:spacing w:before="8"/>
        <w:rPr>
          <w:sz w:val="23"/>
        </w:rPr>
      </w:pPr>
    </w:p>
    <w:p>
      <w:pPr>
        <w:pStyle w:val="Heading6"/>
        <w:spacing w:line="290" w:lineRule="auto" w:before="73"/>
        <w:ind w:right="8112"/>
      </w:pPr>
      <w:r>
        <w:rPr/>
        <w:t>Directors' Report 31 December 2012</w:t>
      </w:r>
    </w:p>
    <w:p>
      <w:pPr>
        <w:pStyle w:val="BodyText"/>
        <w:spacing w:before="7"/>
        <w:rPr>
          <w:b/>
          <w:sz w:val="20"/>
        </w:rPr>
      </w:pPr>
    </w:p>
    <w:p>
      <w:pPr>
        <w:pStyle w:val="Heading9"/>
        <w:ind w:left="107" w:right="210"/>
      </w:pPr>
      <w:r>
        <w:rPr/>
        <w:t>Company Secretary</w:t>
      </w:r>
    </w:p>
    <w:p>
      <w:pPr>
        <w:pStyle w:val="BodyText"/>
        <w:spacing w:before="4"/>
        <w:rPr>
          <w:b/>
          <w:sz w:val="25"/>
        </w:rPr>
      </w:pPr>
    </w:p>
    <w:p>
      <w:pPr>
        <w:pStyle w:val="BodyText"/>
        <w:spacing w:line="576" w:lineRule="auto"/>
        <w:ind w:left="107" w:right="1017"/>
      </w:pPr>
      <w:r>
        <w:rPr/>
        <w:t>The following person held the position of UWS Early Learning Limited Secretary at the end of the financial period: Mr Kerry Michael O’Reilly, BEc, FIPA, JP, has been the Company Secretary since 2 March 2012.</w:t>
      </w:r>
    </w:p>
    <w:p>
      <w:pPr>
        <w:pStyle w:val="Heading9"/>
        <w:spacing w:before="3"/>
        <w:ind w:left="107" w:right="210"/>
      </w:pPr>
      <w:r>
        <w:rPr/>
        <w:t>Principal activities</w:t>
      </w:r>
    </w:p>
    <w:p>
      <w:pPr>
        <w:pStyle w:val="BodyText"/>
        <w:spacing w:before="4"/>
        <w:rPr>
          <w:b/>
          <w:sz w:val="25"/>
        </w:rPr>
      </w:pPr>
    </w:p>
    <w:p>
      <w:pPr>
        <w:pStyle w:val="BodyText"/>
        <w:ind w:left="107" w:right="377"/>
      </w:pPr>
      <w:r>
        <w:rPr/>
        <w:t>The Company was incorporated in the state of NSW on 2nd March 2012. The principal activity of the Company during the financial period was to provide affordable, high quality early childhood care and education for the children of UWS staff, students and the local community.</w:t>
      </w:r>
    </w:p>
    <w:p>
      <w:pPr>
        <w:pStyle w:val="BodyText"/>
        <w:spacing w:before="6"/>
        <w:rPr>
          <w:sz w:val="24"/>
        </w:rPr>
      </w:pPr>
    </w:p>
    <w:p>
      <w:pPr>
        <w:pStyle w:val="Heading9"/>
        <w:ind w:left="107" w:right="210"/>
      </w:pPr>
      <w:r>
        <w:rPr/>
        <w:t>Short-term objectives</w:t>
      </w:r>
    </w:p>
    <w:p>
      <w:pPr>
        <w:pStyle w:val="BodyText"/>
        <w:spacing w:before="7"/>
        <w:rPr>
          <w:b/>
          <w:sz w:val="25"/>
        </w:rPr>
      </w:pPr>
    </w:p>
    <w:p>
      <w:pPr>
        <w:pStyle w:val="BodyText"/>
        <w:ind w:left="107" w:right="210"/>
      </w:pPr>
      <w:r>
        <w:rPr/>
        <w:t>The Company's short-term objectives have been to:</w:t>
      </w:r>
    </w:p>
    <w:p>
      <w:pPr>
        <w:pStyle w:val="ListParagraph"/>
        <w:numPr>
          <w:ilvl w:val="0"/>
          <w:numId w:val="113"/>
        </w:numPr>
        <w:tabs>
          <w:tab w:pos="675" w:val="left" w:leader="none"/>
        </w:tabs>
        <w:spacing w:line="240" w:lineRule="auto" w:before="1" w:after="0"/>
        <w:ind w:left="674" w:right="779" w:hanging="567"/>
        <w:jc w:val="left"/>
        <w:rPr>
          <w:sz w:val="18"/>
        </w:rPr>
      </w:pPr>
      <w:r>
        <w:rPr>
          <w:sz w:val="18"/>
        </w:rPr>
        <w:t>Successfully consolidate the operations of 4 centres at the campuses of Hawkesbury, Blacktown, Penrith and Campbelltown into 1 coherent</w:t>
      </w:r>
      <w:r>
        <w:rPr>
          <w:spacing w:val="-15"/>
          <w:sz w:val="18"/>
        </w:rPr>
        <w:t> </w:t>
      </w:r>
      <w:r>
        <w:rPr>
          <w:sz w:val="18"/>
        </w:rPr>
        <w:t>operation.</w:t>
      </w:r>
    </w:p>
    <w:p>
      <w:pPr>
        <w:pStyle w:val="ListParagraph"/>
        <w:numPr>
          <w:ilvl w:val="0"/>
          <w:numId w:val="113"/>
        </w:numPr>
        <w:tabs>
          <w:tab w:pos="674" w:val="left" w:leader="none"/>
        </w:tabs>
        <w:spacing w:line="220" w:lineRule="exact" w:before="0" w:after="0"/>
        <w:ind w:left="673" w:right="0" w:hanging="566"/>
        <w:jc w:val="left"/>
        <w:rPr>
          <w:sz w:val="18"/>
        </w:rPr>
      </w:pPr>
      <w:r>
        <w:rPr>
          <w:sz w:val="18"/>
        </w:rPr>
        <w:t>Standardise all accounting and ancillary</w:t>
      </w:r>
      <w:r>
        <w:rPr>
          <w:spacing w:val="-21"/>
          <w:sz w:val="18"/>
        </w:rPr>
        <w:t> </w:t>
      </w:r>
      <w:r>
        <w:rPr>
          <w:sz w:val="18"/>
        </w:rPr>
        <w:t>systems.</w:t>
      </w:r>
    </w:p>
    <w:p>
      <w:pPr>
        <w:pStyle w:val="ListParagraph"/>
        <w:numPr>
          <w:ilvl w:val="0"/>
          <w:numId w:val="113"/>
        </w:numPr>
        <w:tabs>
          <w:tab w:pos="674" w:val="left" w:leader="none"/>
        </w:tabs>
        <w:spacing w:line="219" w:lineRule="exact" w:before="0" w:after="0"/>
        <w:ind w:left="673" w:right="0" w:hanging="566"/>
        <w:jc w:val="left"/>
        <w:rPr>
          <w:sz w:val="18"/>
        </w:rPr>
      </w:pPr>
      <w:r>
        <w:rPr>
          <w:sz w:val="18"/>
        </w:rPr>
        <w:t>Transfer the individual operating licences for each centre to the new</w:t>
      </w:r>
      <w:r>
        <w:rPr>
          <w:spacing w:val="-31"/>
          <w:sz w:val="18"/>
        </w:rPr>
        <w:t> </w:t>
      </w:r>
      <w:r>
        <w:rPr>
          <w:sz w:val="18"/>
        </w:rPr>
        <w:t>company.</w:t>
      </w:r>
    </w:p>
    <w:p>
      <w:pPr>
        <w:pStyle w:val="ListParagraph"/>
        <w:numPr>
          <w:ilvl w:val="0"/>
          <w:numId w:val="113"/>
        </w:numPr>
        <w:tabs>
          <w:tab w:pos="674" w:val="left" w:leader="none"/>
        </w:tabs>
        <w:spacing w:line="219" w:lineRule="exact" w:before="0" w:after="0"/>
        <w:ind w:left="673" w:right="0" w:hanging="566"/>
        <w:jc w:val="left"/>
        <w:rPr>
          <w:sz w:val="18"/>
        </w:rPr>
      </w:pPr>
      <w:r>
        <w:rPr>
          <w:sz w:val="18"/>
        </w:rPr>
        <w:t>Appoint</w:t>
      </w:r>
      <w:r>
        <w:rPr>
          <w:spacing w:val="-3"/>
          <w:sz w:val="18"/>
        </w:rPr>
        <w:t> </w:t>
      </w:r>
      <w:r>
        <w:rPr>
          <w:sz w:val="18"/>
        </w:rPr>
        <w:t>an</w:t>
      </w:r>
      <w:r>
        <w:rPr>
          <w:spacing w:val="-5"/>
          <w:sz w:val="18"/>
        </w:rPr>
        <w:t> </w:t>
      </w:r>
      <w:r>
        <w:rPr>
          <w:sz w:val="18"/>
        </w:rPr>
        <w:t>external</w:t>
      </w:r>
      <w:r>
        <w:rPr>
          <w:spacing w:val="-2"/>
          <w:sz w:val="18"/>
        </w:rPr>
        <w:t> </w:t>
      </w:r>
      <w:r>
        <w:rPr>
          <w:sz w:val="18"/>
        </w:rPr>
        <w:t>Director</w:t>
      </w:r>
      <w:r>
        <w:rPr>
          <w:spacing w:val="-5"/>
          <w:sz w:val="18"/>
        </w:rPr>
        <w:t> </w:t>
      </w:r>
      <w:r>
        <w:rPr>
          <w:sz w:val="18"/>
        </w:rPr>
        <w:t>to</w:t>
      </w:r>
      <w:r>
        <w:rPr>
          <w:spacing w:val="-5"/>
          <w:sz w:val="18"/>
        </w:rPr>
        <w:t> </w:t>
      </w:r>
      <w:r>
        <w:rPr>
          <w:sz w:val="18"/>
        </w:rPr>
        <w:t>the</w:t>
      </w:r>
      <w:r>
        <w:rPr>
          <w:spacing w:val="-2"/>
          <w:sz w:val="18"/>
        </w:rPr>
        <w:t> </w:t>
      </w:r>
      <w:r>
        <w:rPr>
          <w:sz w:val="18"/>
        </w:rPr>
        <w:t>Board</w:t>
      </w:r>
      <w:r>
        <w:rPr>
          <w:spacing w:val="-2"/>
          <w:sz w:val="18"/>
        </w:rPr>
        <w:t> </w:t>
      </w:r>
      <w:r>
        <w:rPr>
          <w:sz w:val="18"/>
        </w:rPr>
        <w:t>to</w:t>
      </w:r>
      <w:r>
        <w:rPr>
          <w:spacing w:val="-2"/>
          <w:sz w:val="18"/>
        </w:rPr>
        <w:t> </w:t>
      </w:r>
      <w:r>
        <w:rPr>
          <w:sz w:val="18"/>
        </w:rPr>
        <w:t>give</w:t>
      </w:r>
      <w:r>
        <w:rPr>
          <w:spacing w:val="-2"/>
          <w:sz w:val="18"/>
        </w:rPr>
        <w:t> </w:t>
      </w:r>
      <w:r>
        <w:rPr>
          <w:sz w:val="18"/>
        </w:rPr>
        <w:t>the</w:t>
      </w:r>
      <w:r>
        <w:rPr>
          <w:spacing w:val="-2"/>
          <w:sz w:val="18"/>
        </w:rPr>
        <w:t> </w:t>
      </w:r>
      <w:r>
        <w:rPr>
          <w:sz w:val="18"/>
        </w:rPr>
        <w:t>Company</w:t>
      </w:r>
      <w:r>
        <w:rPr>
          <w:spacing w:val="-4"/>
          <w:sz w:val="18"/>
        </w:rPr>
        <w:t> </w:t>
      </w:r>
      <w:r>
        <w:rPr>
          <w:sz w:val="18"/>
        </w:rPr>
        <w:t>a</w:t>
      </w:r>
      <w:r>
        <w:rPr>
          <w:spacing w:val="-2"/>
          <w:sz w:val="18"/>
        </w:rPr>
        <w:t> </w:t>
      </w:r>
      <w:r>
        <w:rPr>
          <w:sz w:val="18"/>
        </w:rPr>
        <w:t>better</w:t>
      </w:r>
      <w:r>
        <w:rPr>
          <w:spacing w:val="-5"/>
          <w:sz w:val="18"/>
        </w:rPr>
        <w:t> </w:t>
      </w:r>
      <w:r>
        <w:rPr>
          <w:sz w:val="18"/>
        </w:rPr>
        <w:t>balance</w:t>
      </w:r>
      <w:r>
        <w:rPr>
          <w:spacing w:val="-2"/>
          <w:sz w:val="18"/>
        </w:rPr>
        <w:t> </w:t>
      </w:r>
      <w:r>
        <w:rPr>
          <w:sz w:val="18"/>
        </w:rPr>
        <w:t>in</w:t>
      </w:r>
      <w:r>
        <w:rPr>
          <w:spacing w:val="-2"/>
          <w:sz w:val="18"/>
        </w:rPr>
        <w:t> </w:t>
      </w:r>
      <w:r>
        <w:rPr>
          <w:sz w:val="18"/>
        </w:rPr>
        <w:t>its</w:t>
      </w:r>
      <w:r>
        <w:rPr>
          <w:spacing w:val="-2"/>
          <w:sz w:val="18"/>
        </w:rPr>
        <w:t> </w:t>
      </w:r>
      <w:r>
        <w:rPr>
          <w:sz w:val="18"/>
        </w:rPr>
        <w:t>overall</w:t>
      </w:r>
      <w:r>
        <w:rPr>
          <w:spacing w:val="-5"/>
          <w:sz w:val="18"/>
        </w:rPr>
        <w:t> </w:t>
      </w:r>
      <w:r>
        <w:rPr>
          <w:sz w:val="18"/>
        </w:rPr>
        <w:t>management</w:t>
      </w:r>
      <w:r>
        <w:rPr>
          <w:spacing w:val="-5"/>
          <w:sz w:val="18"/>
        </w:rPr>
        <w:t> </w:t>
      </w:r>
      <w:r>
        <w:rPr>
          <w:sz w:val="18"/>
        </w:rPr>
        <w:t>structure.</w:t>
      </w:r>
    </w:p>
    <w:p>
      <w:pPr>
        <w:pStyle w:val="BodyText"/>
        <w:spacing w:before="5"/>
        <w:rPr>
          <w:sz w:val="24"/>
        </w:rPr>
      </w:pPr>
    </w:p>
    <w:p>
      <w:pPr>
        <w:pStyle w:val="Heading9"/>
        <w:ind w:left="107" w:right="210"/>
      </w:pPr>
      <w:r>
        <w:rPr/>
        <w:t>Long-term objectives</w:t>
      </w:r>
    </w:p>
    <w:p>
      <w:pPr>
        <w:pStyle w:val="BodyText"/>
        <w:spacing w:before="7"/>
        <w:rPr>
          <w:b/>
          <w:sz w:val="25"/>
        </w:rPr>
      </w:pPr>
    </w:p>
    <w:p>
      <w:pPr>
        <w:pStyle w:val="BodyText"/>
        <w:spacing w:line="207" w:lineRule="exact"/>
        <w:ind w:left="107" w:right="210"/>
      </w:pPr>
      <w:r>
        <w:rPr/>
        <w:t>The Company's long-term objectives are to:</w:t>
      </w:r>
    </w:p>
    <w:p>
      <w:pPr>
        <w:pStyle w:val="ListParagraph"/>
        <w:numPr>
          <w:ilvl w:val="0"/>
          <w:numId w:val="113"/>
        </w:numPr>
        <w:tabs>
          <w:tab w:pos="674" w:val="left" w:leader="none"/>
        </w:tabs>
        <w:spacing w:line="220" w:lineRule="exact" w:before="0" w:after="0"/>
        <w:ind w:left="673" w:right="0" w:hanging="566"/>
        <w:jc w:val="left"/>
        <w:rPr>
          <w:sz w:val="18"/>
        </w:rPr>
      </w:pPr>
      <w:r>
        <w:rPr>
          <w:sz w:val="18"/>
        </w:rPr>
        <w:t>Establish a new centre at the Bankstown campus in early</w:t>
      </w:r>
      <w:r>
        <w:rPr>
          <w:spacing w:val="-26"/>
          <w:sz w:val="18"/>
        </w:rPr>
        <w:t> </w:t>
      </w:r>
      <w:r>
        <w:rPr>
          <w:sz w:val="18"/>
        </w:rPr>
        <w:t>2013.</w:t>
      </w:r>
    </w:p>
    <w:p>
      <w:pPr>
        <w:pStyle w:val="ListParagraph"/>
        <w:numPr>
          <w:ilvl w:val="0"/>
          <w:numId w:val="113"/>
        </w:numPr>
        <w:tabs>
          <w:tab w:pos="674" w:val="left" w:leader="none"/>
        </w:tabs>
        <w:spacing w:line="219" w:lineRule="exact" w:before="0" w:after="0"/>
        <w:ind w:left="673" w:right="0" w:hanging="566"/>
        <w:jc w:val="left"/>
        <w:rPr>
          <w:sz w:val="18"/>
        </w:rPr>
      </w:pPr>
      <w:r>
        <w:rPr>
          <w:sz w:val="18"/>
        </w:rPr>
        <w:t>Establish a new centre at the Parramatta campus in the ensuing</w:t>
      </w:r>
      <w:r>
        <w:rPr>
          <w:spacing w:val="-29"/>
          <w:sz w:val="18"/>
        </w:rPr>
        <w:t> </w:t>
      </w:r>
      <w:r>
        <w:rPr>
          <w:sz w:val="18"/>
        </w:rPr>
        <w:t>triennium.</w:t>
      </w:r>
    </w:p>
    <w:p>
      <w:pPr>
        <w:pStyle w:val="ListParagraph"/>
        <w:numPr>
          <w:ilvl w:val="0"/>
          <w:numId w:val="113"/>
        </w:numPr>
        <w:tabs>
          <w:tab w:pos="674" w:val="left" w:leader="none"/>
        </w:tabs>
        <w:spacing w:line="218" w:lineRule="exact" w:before="0" w:after="0"/>
        <w:ind w:left="673" w:right="0" w:hanging="566"/>
        <w:jc w:val="left"/>
        <w:rPr>
          <w:sz w:val="18"/>
        </w:rPr>
      </w:pPr>
      <w:r>
        <w:rPr>
          <w:sz w:val="18"/>
        </w:rPr>
        <w:t>Provide occasional care in addition to permanent placements to students and</w:t>
      </w:r>
      <w:r>
        <w:rPr>
          <w:spacing w:val="-30"/>
          <w:sz w:val="18"/>
        </w:rPr>
        <w:t> </w:t>
      </w:r>
      <w:r>
        <w:rPr>
          <w:sz w:val="18"/>
        </w:rPr>
        <w:t>staff.</w:t>
      </w:r>
    </w:p>
    <w:p>
      <w:pPr>
        <w:pStyle w:val="ListParagraph"/>
        <w:numPr>
          <w:ilvl w:val="0"/>
          <w:numId w:val="113"/>
        </w:numPr>
        <w:tabs>
          <w:tab w:pos="674" w:val="left" w:leader="none"/>
        </w:tabs>
        <w:spacing w:line="219" w:lineRule="exact" w:before="0" w:after="0"/>
        <w:ind w:left="673" w:right="0" w:hanging="566"/>
        <w:jc w:val="left"/>
        <w:rPr>
          <w:sz w:val="18"/>
        </w:rPr>
      </w:pPr>
      <w:r>
        <w:rPr>
          <w:sz w:val="18"/>
        </w:rPr>
        <w:t>Become financially self-sufficient from the University's financial</w:t>
      </w:r>
      <w:r>
        <w:rPr>
          <w:spacing w:val="-35"/>
          <w:sz w:val="18"/>
        </w:rPr>
        <w:t> </w:t>
      </w:r>
      <w:r>
        <w:rPr>
          <w:sz w:val="18"/>
        </w:rPr>
        <w:t>support.</w:t>
      </w:r>
    </w:p>
    <w:p>
      <w:pPr>
        <w:pStyle w:val="BodyText"/>
      </w:pPr>
    </w:p>
    <w:p>
      <w:pPr>
        <w:pStyle w:val="BodyText"/>
        <w:spacing w:before="10"/>
        <w:rPr>
          <w:sz w:val="26"/>
        </w:rPr>
      </w:pPr>
    </w:p>
    <w:p>
      <w:pPr>
        <w:pStyle w:val="BodyText"/>
        <w:ind w:left="107" w:right="210"/>
      </w:pPr>
      <w:r>
        <w:rPr/>
        <w:t>No significant changes in the nature of the Company's activity occurred during the financial period.</w:t>
      </w:r>
    </w:p>
    <w:p>
      <w:pPr>
        <w:pStyle w:val="BodyText"/>
        <w:spacing w:before="9"/>
        <w:rPr>
          <w:sz w:val="24"/>
        </w:rPr>
      </w:pPr>
    </w:p>
    <w:p>
      <w:pPr>
        <w:pStyle w:val="Heading9"/>
        <w:ind w:left="107" w:right="210"/>
      </w:pPr>
      <w:r>
        <w:rPr/>
        <w:t>Performance measures</w:t>
      </w:r>
    </w:p>
    <w:p>
      <w:pPr>
        <w:pStyle w:val="BodyText"/>
        <w:spacing w:before="7"/>
        <w:rPr>
          <w:b/>
          <w:sz w:val="25"/>
        </w:rPr>
      </w:pPr>
    </w:p>
    <w:p>
      <w:pPr>
        <w:pStyle w:val="BodyText"/>
        <w:ind w:left="107" w:right="157"/>
      </w:pPr>
      <w:r>
        <w:rPr/>
        <w:t>The Company measures its performance by the use of financial, quantitative and qualitative metrics. The Company uses the following key performance indicators to measure its performance:</w:t>
      </w:r>
    </w:p>
    <w:p>
      <w:pPr>
        <w:pStyle w:val="ListParagraph"/>
        <w:numPr>
          <w:ilvl w:val="0"/>
          <w:numId w:val="113"/>
        </w:numPr>
        <w:tabs>
          <w:tab w:pos="675" w:val="left" w:leader="none"/>
        </w:tabs>
        <w:spacing w:line="219" w:lineRule="exact" w:before="1" w:after="0"/>
        <w:ind w:left="674" w:right="0" w:hanging="566"/>
        <w:jc w:val="left"/>
        <w:rPr>
          <w:sz w:val="18"/>
        </w:rPr>
      </w:pPr>
      <w:r>
        <w:rPr>
          <w:sz w:val="18"/>
        </w:rPr>
        <w:t>Reporting actual operating results for each centre against approved annual</w:t>
      </w:r>
      <w:r>
        <w:rPr>
          <w:spacing w:val="-33"/>
          <w:sz w:val="18"/>
        </w:rPr>
        <w:t> </w:t>
      </w:r>
      <w:r>
        <w:rPr>
          <w:sz w:val="18"/>
        </w:rPr>
        <w:t>budgets.</w:t>
      </w:r>
    </w:p>
    <w:p>
      <w:pPr>
        <w:pStyle w:val="ListParagraph"/>
        <w:numPr>
          <w:ilvl w:val="0"/>
          <w:numId w:val="113"/>
        </w:numPr>
        <w:tabs>
          <w:tab w:pos="675" w:val="left" w:leader="none"/>
        </w:tabs>
        <w:spacing w:line="218" w:lineRule="exact" w:before="0" w:after="0"/>
        <w:ind w:left="674" w:right="0" w:hanging="567"/>
        <w:jc w:val="left"/>
        <w:rPr>
          <w:sz w:val="18"/>
        </w:rPr>
      </w:pPr>
      <w:r>
        <w:rPr>
          <w:sz w:val="18"/>
        </w:rPr>
        <w:t>Reporting</w:t>
      </w:r>
      <w:r>
        <w:rPr>
          <w:spacing w:val="-2"/>
          <w:sz w:val="18"/>
        </w:rPr>
        <w:t> </w:t>
      </w:r>
      <w:r>
        <w:rPr>
          <w:sz w:val="18"/>
        </w:rPr>
        <w:t>actual</w:t>
      </w:r>
      <w:r>
        <w:rPr>
          <w:spacing w:val="-2"/>
          <w:sz w:val="18"/>
        </w:rPr>
        <w:t> </w:t>
      </w:r>
      <w:r>
        <w:rPr>
          <w:sz w:val="18"/>
        </w:rPr>
        <w:t>occupancy</w:t>
      </w:r>
      <w:r>
        <w:rPr>
          <w:spacing w:val="-4"/>
          <w:sz w:val="18"/>
        </w:rPr>
        <w:t> </w:t>
      </w:r>
      <w:r>
        <w:rPr>
          <w:sz w:val="18"/>
        </w:rPr>
        <w:t>rates</w:t>
      </w:r>
      <w:r>
        <w:rPr>
          <w:spacing w:val="-2"/>
          <w:sz w:val="18"/>
        </w:rPr>
        <w:t> </w:t>
      </w:r>
      <w:r>
        <w:rPr>
          <w:sz w:val="18"/>
        </w:rPr>
        <w:t>for</w:t>
      </w:r>
      <w:r>
        <w:rPr>
          <w:spacing w:val="-3"/>
          <w:sz w:val="18"/>
        </w:rPr>
        <w:t> </w:t>
      </w:r>
      <w:r>
        <w:rPr>
          <w:sz w:val="18"/>
        </w:rPr>
        <w:t>each</w:t>
      </w:r>
      <w:r>
        <w:rPr>
          <w:spacing w:val="-5"/>
          <w:sz w:val="18"/>
        </w:rPr>
        <w:t> </w:t>
      </w:r>
      <w:r>
        <w:rPr>
          <w:sz w:val="18"/>
        </w:rPr>
        <w:t>age</w:t>
      </w:r>
      <w:r>
        <w:rPr>
          <w:spacing w:val="-5"/>
          <w:sz w:val="18"/>
        </w:rPr>
        <w:t> </w:t>
      </w:r>
      <w:r>
        <w:rPr>
          <w:sz w:val="18"/>
        </w:rPr>
        <w:t>group</w:t>
      </w:r>
      <w:r>
        <w:rPr>
          <w:spacing w:val="-5"/>
          <w:sz w:val="18"/>
        </w:rPr>
        <w:t> </w:t>
      </w:r>
      <w:r>
        <w:rPr>
          <w:sz w:val="18"/>
        </w:rPr>
        <w:t>for</w:t>
      </w:r>
      <w:r>
        <w:rPr>
          <w:spacing w:val="-5"/>
          <w:sz w:val="18"/>
        </w:rPr>
        <w:t> </w:t>
      </w:r>
      <w:r>
        <w:rPr>
          <w:sz w:val="18"/>
        </w:rPr>
        <w:t>each</w:t>
      </w:r>
      <w:r>
        <w:rPr>
          <w:spacing w:val="-2"/>
          <w:sz w:val="18"/>
        </w:rPr>
        <w:t> </w:t>
      </w:r>
      <w:r>
        <w:rPr>
          <w:sz w:val="18"/>
        </w:rPr>
        <w:t>centre</w:t>
      </w:r>
      <w:r>
        <w:rPr>
          <w:spacing w:val="-2"/>
          <w:sz w:val="18"/>
        </w:rPr>
        <w:t> </w:t>
      </w:r>
      <w:r>
        <w:rPr>
          <w:sz w:val="18"/>
        </w:rPr>
        <w:t>against</w:t>
      </w:r>
      <w:r>
        <w:rPr>
          <w:spacing w:val="-5"/>
          <w:sz w:val="18"/>
        </w:rPr>
        <w:t> </w:t>
      </w:r>
      <w:r>
        <w:rPr>
          <w:sz w:val="18"/>
        </w:rPr>
        <w:t>approved</w:t>
      </w:r>
      <w:r>
        <w:rPr>
          <w:spacing w:val="-2"/>
          <w:sz w:val="18"/>
        </w:rPr>
        <w:t> </w:t>
      </w:r>
      <w:r>
        <w:rPr>
          <w:sz w:val="18"/>
        </w:rPr>
        <w:t>licenced</w:t>
      </w:r>
      <w:r>
        <w:rPr>
          <w:spacing w:val="-5"/>
          <w:sz w:val="18"/>
        </w:rPr>
        <w:t> </w:t>
      </w:r>
      <w:r>
        <w:rPr>
          <w:sz w:val="18"/>
        </w:rPr>
        <w:t>places.</w:t>
      </w:r>
    </w:p>
    <w:p>
      <w:pPr>
        <w:pStyle w:val="ListParagraph"/>
        <w:numPr>
          <w:ilvl w:val="0"/>
          <w:numId w:val="113"/>
        </w:numPr>
        <w:tabs>
          <w:tab w:pos="674" w:val="left" w:leader="none"/>
        </w:tabs>
        <w:spacing w:line="240" w:lineRule="auto" w:before="0" w:after="0"/>
        <w:ind w:left="673" w:right="104" w:hanging="566"/>
        <w:jc w:val="left"/>
        <w:rPr>
          <w:sz w:val="18"/>
        </w:rPr>
      </w:pPr>
      <w:r>
        <w:rPr>
          <w:sz w:val="18"/>
        </w:rPr>
        <w:t>Maintaining</w:t>
      </w:r>
      <w:r>
        <w:rPr>
          <w:spacing w:val="-12"/>
          <w:sz w:val="18"/>
        </w:rPr>
        <w:t> </w:t>
      </w:r>
      <w:r>
        <w:rPr>
          <w:sz w:val="18"/>
        </w:rPr>
        <w:t>sufficient</w:t>
      </w:r>
      <w:r>
        <w:rPr>
          <w:spacing w:val="-11"/>
          <w:sz w:val="18"/>
        </w:rPr>
        <w:t> </w:t>
      </w:r>
      <w:r>
        <w:rPr>
          <w:sz w:val="18"/>
        </w:rPr>
        <w:t>working</w:t>
      </w:r>
      <w:r>
        <w:rPr>
          <w:spacing w:val="-12"/>
          <w:sz w:val="18"/>
        </w:rPr>
        <w:t> </w:t>
      </w:r>
      <w:r>
        <w:rPr>
          <w:sz w:val="18"/>
        </w:rPr>
        <w:t>capital</w:t>
      </w:r>
      <w:r>
        <w:rPr>
          <w:spacing w:val="-10"/>
          <w:sz w:val="18"/>
        </w:rPr>
        <w:t> </w:t>
      </w:r>
      <w:r>
        <w:rPr>
          <w:sz w:val="18"/>
        </w:rPr>
        <w:t>to</w:t>
      </w:r>
      <w:r>
        <w:rPr>
          <w:spacing w:val="-11"/>
          <w:sz w:val="18"/>
        </w:rPr>
        <w:t> </w:t>
      </w:r>
      <w:r>
        <w:rPr>
          <w:sz w:val="18"/>
        </w:rPr>
        <w:t>meet</w:t>
      </w:r>
      <w:r>
        <w:rPr>
          <w:spacing w:val="-11"/>
          <w:sz w:val="18"/>
        </w:rPr>
        <w:t> </w:t>
      </w:r>
      <w:r>
        <w:rPr>
          <w:sz w:val="18"/>
        </w:rPr>
        <w:t>ongoing</w:t>
      </w:r>
      <w:r>
        <w:rPr>
          <w:spacing w:val="-11"/>
          <w:sz w:val="18"/>
        </w:rPr>
        <w:t> </w:t>
      </w:r>
      <w:r>
        <w:rPr>
          <w:sz w:val="18"/>
        </w:rPr>
        <w:t>employee</w:t>
      </w:r>
      <w:r>
        <w:rPr>
          <w:spacing w:val="-11"/>
          <w:sz w:val="18"/>
        </w:rPr>
        <w:t> </w:t>
      </w:r>
      <w:r>
        <w:rPr>
          <w:sz w:val="18"/>
        </w:rPr>
        <w:t>entitlements</w:t>
      </w:r>
      <w:r>
        <w:rPr>
          <w:spacing w:val="-10"/>
          <w:sz w:val="18"/>
        </w:rPr>
        <w:t> </w:t>
      </w:r>
      <w:r>
        <w:rPr>
          <w:sz w:val="18"/>
        </w:rPr>
        <w:t>and</w:t>
      </w:r>
      <w:r>
        <w:rPr>
          <w:spacing w:val="-3"/>
          <w:sz w:val="18"/>
        </w:rPr>
        <w:t> </w:t>
      </w:r>
      <w:r>
        <w:rPr>
          <w:sz w:val="18"/>
        </w:rPr>
        <w:t>related</w:t>
      </w:r>
      <w:r>
        <w:rPr>
          <w:spacing w:val="-11"/>
          <w:sz w:val="18"/>
        </w:rPr>
        <w:t> </w:t>
      </w:r>
      <w:r>
        <w:rPr>
          <w:sz w:val="18"/>
        </w:rPr>
        <w:t>liabilities</w:t>
      </w:r>
      <w:r>
        <w:rPr>
          <w:spacing w:val="-10"/>
          <w:sz w:val="18"/>
        </w:rPr>
        <w:t> </w:t>
      </w:r>
      <w:r>
        <w:rPr>
          <w:sz w:val="18"/>
        </w:rPr>
        <w:t>as</w:t>
      </w:r>
      <w:r>
        <w:rPr>
          <w:spacing w:val="-10"/>
          <w:sz w:val="18"/>
        </w:rPr>
        <w:t> </w:t>
      </w:r>
      <w:r>
        <w:rPr>
          <w:sz w:val="18"/>
        </w:rPr>
        <w:t>and</w:t>
      </w:r>
      <w:r>
        <w:rPr>
          <w:spacing w:val="-3"/>
          <w:sz w:val="18"/>
        </w:rPr>
        <w:t> when</w:t>
      </w:r>
      <w:r>
        <w:rPr>
          <w:spacing w:val="-11"/>
          <w:sz w:val="18"/>
        </w:rPr>
        <w:t> </w:t>
      </w:r>
      <w:r>
        <w:rPr>
          <w:sz w:val="18"/>
        </w:rPr>
        <w:t>due</w:t>
      </w:r>
      <w:r>
        <w:rPr>
          <w:spacing w:val="-11"/>
          <w:sz w:val="18"/>
        </w:rPr>
        <w:t> </w:t>
      </w:r>
      <w:r>
        <w:rPr>
          <w:sz w:val="18"/>
        </w:rPr>
        <w:t>for payment.</w:t>
      </w:r>
    </w:p>
    <w:p>
      <w:pPr>
        <w:pStyle w:val="ListParagraph"/>
        <w:numPr>
          <w:ilvl w:val="0"/>
          <w:numId w:val="113"/>
        </w:numPr>
        <w:tabs>
          <w:tab w:pos="674" w:val="left" w:leader="none"/>
        </w:tabs>
        <w:spacing w:line="219" w:lineRule="exact" w:before="0" w:after="0"/>
        <w:ind w:left="673" w:right="0" w:hanging="566"/>
        <w:jc w:val="left"/>
        <w:rPr>
          <w:sz w:val="18"/>
        </w:rPr>
      </w:pPr>
      <w:r>
        <w:rPr>
          <w:sz w:val="18"/>
        </w:rPr>
        <w:t>Monitoring</w:t>
      </w:r>
      <w:r>
        <w:rPr>
          <w:spacing w:val="-5"/>
          <w:sz w:val="18"/>
        </w:rPr>
        <w:t> </w:t>
      </w:r>
      <w:r>
        <w:rPr>
          <w:sz w:val="18"/>
        </w:rPr>
        <w:t>retention</w:t>
      </w:r>
      <w:r>
        <w:rPr>
          <w:spacing w:val="-5"/>
          <w:sz w:val="18"/>
        </w:rPr>
        <w:t> </w:t>
      </w:r>
      <w:r>
        <w:rPr>
          <w:sz w:val="18"/>
        </w:rPr>
        <w:t>rates,</w:t>
      </w:r>
      <w:r>
        <w:rPr>
          <w:spacing w:val="-6"/>
          <w:sz w:val="18"/>
        </w:rPr>
        <w:t> </w:t>
      </w:r>
      <w:r>
        <w:rPr>
          <w:sz w:val="18"/>
        </w:rPr>
        <w:t>maintaining</w:t>
      </w:r>
      <w:r>
        <w:rPr>
          <w:spacing w:val="-7"/>
          <w:sz w:val="18"/>
        </w:rPr>
        <w:t> </w:t>
      </w:r>
      <w:r>
        <w:rPr>
          <w:sz w:val="18"/>
        </w:rPr>
        <w:t>family</w:t>
      </w:r>
      <w:r>
        <w:rPr>
          <w:spacing w:val="-6"/>
          <w:sz w:val="18"/>
        </w:rPr>
        <w:t> </w:t>
      </w:r>
      <w:r>
        <w:rPr>
          <w:sz w:val="18"/>
        </w:rPr>
        <w:t>satisfaction</w:t>
      </w:r>
      <w:r>
        <w:rPr>
          <w:spacing w:val="-5"/>
          <w:sz w:val="18"/>
        </w:rPr>
        <w:t> </w:t>
      </w:r>
      <w:r>
        <w:rPr>
          <w:sz w:val="18"/>
        </w:rPr>
        <w:t>surveys</w:t>
      </w:r>
      <w:r>
        <w:rPr>
          <w:spacing w:val="-5"/>
          <w:sz w:val="18"/>
        </w:rPr>
        <w:t> </w:t>
      </w:r>
      <w:r>
        <w:rPr>
          <w:sz w:val="18"/>
        </w:rPr>
        <w:t>and</w:t>
      </w:r>
      <w:r>
        <w:rPr>
          <w:spacing w:val="-5"/>
          <w:sz w:val="18"/>
        </w:rPr>
        <w:t> </w:t>
      </w:r>
      <w:r>
        <w:rPr>
          <w:sz w:val="18"/>
        </w:rPr>
        <w:t>evaluating</w:t>
      </w:r>
      <w:r>
        <w:rPr>
          <w:spacing w:val="-5"/>
          <w:sz w:val="18"/>
        </w:rPr>
        <w:t> </w:t>
      </w:r>
      <w:r>
        <w:rPr>
          <w:sz w:val="18"/>
        </w:rPr>
        <w:t>feedback.</w:t>
      </w:r>
    </w:p>
    <w:p>
      <w:pPr>
        <w:pStyle w:val="ListParagraph"/>
        <w:numPr>
          <w:ilvl w:val="0"/>
          <w:numId w:val="113"/>
        </w:numPr>
        <w:tabs>
          <w:tab w:pos="674" w:val="left" w:leader="none"/>
        </w:tabs>
        <w:spacing w:line="240" w:lineRule="auto" w:before="0" w:after="0"/>
        <w:ind w:left="673" w:right="127" w:hanging="566"/>
        <w:jc w:val="left"/>
        <w:rPr>
          <w:sz w:val="18"/>
        </w:rPr>
      </w:pPr>
      <w:r>
        <w:rPr>
          <w:sz w:val="18"/>
        </w:rPr>
        <w:t>Managing occupational health and safety risk management practices for both children under care and staff interaction where sickness may severely impact the operations of each</w:t>
      </w:r>
      <w:r>
        <w:rPr>
          <w:spacing w:val="-26"/>
          <w:sz w:val="18"/>
        </w:rPr>
        <w:t> </w:t>
      </w:r>
      <w:r>
        <w:rPr>
          <w:sz w:val="18"/>
        </w:rPr>
        <w:t>centre.</w:t>
      </w:r>
    </w:p>
    <w:p>
      <w:pPr>
        <w:pStyle w:val="ListParagraph"/>
        <w:numPr>
          <w:ilvl w:val="0"/>
          <w:numId w:val="113"/>
        </w:numPr>
        <w:tabs>
          <w:tab w:pos="674" w:val="left" w:leader="none"/>
        </w:tabs>
        <w:spacing w:line="240" w:lineRule="auto" w:before="1" w:after="0"/>
        <w:ind w:left="673" w:right="0" w:hanging="566"/>
        <w:jc w:val="left"/>
        <w:rPr>
          <w:sz w:val="18"/>
        </w:rPr>
      </w:pPr>
      <w:r>
        <w:rPr>
          <w:sz w:val="18"/>
        </w:rPr>
        <w:t>Maintaining</w:t>
      </w:r>
      <w:r>
        <w:rPr>
          <w:spacing w:val="-6"/>
          <w:sz w:val="18"/>
        </w:rPr>
        <w:t> </w:t>
      </w:r>
      <w:r>
        <w:rPr>
          <w:sz w:val="18"/>
        </w:rPr>
        <w:t>appropriate</w:t>
      </w:r>
      <w:r>
        <w:rPr>
          <w:spacing w:val="-6"/>
          <w:sz w:val="18"/>
        </w:rPr>
        <w:t> </w:t>
      </w:r>
      <w:r>
        <w:rPr>
          <w:sz w:val="18"/>
        </w:rPr>
        <w:t>levels</w:t>
      </w:r>
      <w:r>
        <w:rPr>
          <w:spacing w:val="-8"/>
          <w:sz w:val="18"/>
        </w:rPr>
        <w:t> </w:t>
      </w:r>
      <w:r>
        <w:rPr>
          <w:sz w:val="18"/>
        </w:rPr>
        <w:t>of</w:t>
      </w:r>
      <w:r>
        <w:rPr>
          <w:spacing w:val="-4"/>
          <w:sz w:val="18"/>
        </w:rPr>
        <w:t> </w:t>
      </w:r>
      <w:r>
        <w:rPr>
          <w:sz w:val="18"/>
        </w:rPr>
        <w:t>children/teacher</w:t>
      </w:r>
      <w:r>
        <w:rPr>
          <w:spacing w:val="-4"/>
          <w:sz w:val="18"/>
        </w:rPr>
        <w:t> </w:t>
      </w:r>
      <w:r>
        <w:rPr>
          <w:sz w:val="18"/>
        </w:rPr>
        <w:t>ratios</w:t>
      </w:r>
      <w:r>
        <w:rPr>
          <w:spacing w:val="-3"/>
          <w:sz w:val="18"/>
        </w:rPr>
        <w:t> </w:t>
      </w:r>
      <w:r>
        <w:rPr>
          <w:sz w:val="18"/>
        </w:rPr>
        <w:t>as</w:t>
      </w:r>
      <w:r>
        <w:rPr>
          <w:spacing w:val="-3"/>
          <w:sz w:val="18"/>
        </w:rPr>
        <w:t> </w:t>
      </w:r>
      <w:r>
        <w:rPr>
          <w:sz w:val="18"/>
        </w:rPr>
        <w:t>prescribed</w:t>
      </w:r>
      <w:r>
        <w:rPr>
          <w:spacing w:val="-6"/>
          <w:sz w:val="18"/>
        </w:rPr>
        <w:t> </w:t>
      </w:r>
      <w:r>
        <w:rPr>
          <w:sz w:val="18"/>
        </w:rPr>
        <w:t>by</w:t>
      </w:r>
      <w:r>
        <w:rPr>
          <w:spacing w:val="-5"/>
          <w:sz w:val="18"/>
        </w:rPr>
        <w:t> </w:t>
      </w:r>
      <w:r>
        <w:rPr>
          <w:sz w:val="18"/>
        </w:rPr>
        <w:t>regulation.</w:t>
      </w:r>
    </w:p>
    <w:p>
      <w:pPr>
        <w:spacing w:after="0" w:line="240" w:lineRule="auto"/>
        <w:jc w:val="left"/>
        <w:rPr>
          <w:sz w:val="18"/>
        </w:rPr>
        <w:sectPr>
          <w:pgSz w:w="11960" w:h="16850"/>
          <w:pgMar w:header="743" w:footer="507" w:top="1180" w:bottom="700" w:left="900" w:right="900"/>
        </w:sectPr>
      </w:pPr>
    </w:p>
    <w:p>
      <w:pPr>
        <w:pStyle w:val="BodyText"/>
        <w:spacing w:before="8"/>
        <w:rPr>
          <w:sz w:val="23"/>
        </w:rPr>
      </w:pPr>
    </w:p>
    <w:p>
      <w:pPr>
        <w:pStyle w:val="Heading6"/>
        <w:spacing w:line="290" w:lineRule="auto" w:before="73"/>
        <w:ind w:left="307" w:right="8112"/>
      </w:pPr>
      <w:r>
        <w:rPr/>
        <w:t>Directors' Report 31 December 2012</w:t>
      </w:r>
    </w:p>
    <w:p>
      <w:pPr>
        <w:pStyle w:val="BodyText"/>
        <w:spacing w:before="7"/>
        <w:rPr>
          <w:b/>
          <w:sz w:val="20"/>
        </w:rPr>
      </w:pPr>
    </w:p>
    <w:p>
      <w:pPr>
        <w:pStyle w:val="Heading9"/>
        <w:ind w:left="307" w:right="25"/>
      </w:pPr>
      <w:r>
        <w:rPr/>
        <w:t>Meetings of directors</w:t>
      </w:r>
    </w:p>
    <w:p>
      <w:pPr>
        <w:pStyle w:val="BodyText"/>
        <w:spacing w:before="4"/>
        <w:rPr>
          <w:b/>
          <w:sz w:val="25"/>
        </w:rPr>
      </w:pPr>
    </w:p>
    <w:p>
      <w:pPr>
        <w:pStyle w:val="BodyText"/>
        <w:spacing w:after="51"/>
        <w:ind w:left="307" w:right="25"/>
      </w:pPr>
      <w:r>
        <w:rPr/>
        <w:t>The</w:t>
      </w:r>
      <w:r>
        <w:rPr>
          <w:spacing w:val="-9"/>
        </w:rPr>
        <w:t> </w:t>
      </w:r>
      <w:r>
        <w:rPr/>
        <w:t>number</w:t>
      </w:r>
      <w:r>
        <w:rPr>
          <w:spacing w:val="-12"/>
        </w:rPr>
        <w:t> </w:t>
      </w:r>
      <w:r>
        <w:rPr/>
        <w:t>of</w:t>
      </w:r>
      <w:r>
        <w:rPr>
          <w:spacing w:val="-11"/>
        </w:rPr>
        <w:t> </w:t>
      </w:r>
      <w:r>
        <w:rPr/>
        <w:t>meetings</w:t>
      </w:r>
      <w:r>
        <w:rPr>
          <w:spacing w:val="-8"/>
        </w:rPr>
        <w:t> </w:t>
      </w:r>
      <w:r>
        <w:rPr/>
        <w:t>of</w:t>
      </w:r>
      <w:r>
        <w:rPr>
          <w:spacing w:val="-9"/>
        </w:rPr>
        <w:t> </w:t>
      </w:r>
      <w:r>
        <w:rPr/>
        <w:t>the</w:t>
      </w:r>
      <w:r>
        <w:rPr>
          <w:spacing w:val="-11"/>
        </w:rPr>
        <w:t> </w:t>
      </w:r>
      <w:r>
        <w:rPr/>
        <w:t>Company's</w:t>
      </w:r>
      <w:r>
        <w:rPr>
          <w:spacing w:val="-8"/>
        </w:rPr>
        <w:t> </w:t>
      </w:r>
      <w:r>
        <w:rPr/>
        <w:t>Board</w:t>
      </w:r>
      <w:r>
        <w:rPr>
          <w:spacing w:val="-9"/>
        </w:rPr>
        <w:t> </w:t>
      </w:r>
      <w:r>
        <w:rPr/>
        <w:t>of</w:t>
      </w:r>
      <w:r>
        <w:rPr>
          <w:spacing w:val="-9"/>
        </w:rPr>
        <w:t> </w:t>
      </w:r>
      <w:r>
        <w:rPr/>
        <w:t>Directors</w:t>
      </w:r>
      <w:r>
        <w:rPr>
          <w:spacing w:val="-11"/>
        </w:rPr>
        <w:t> </w:t>
      </w:r>
      <w:r>
        <w:rPr/>
        <w:t>held</w:t>
      </w:r>
      <w:r>
        <w:rPr>
          <w:spacing w:val="-11"/>
        </w:rPr>
        <w:t> </w:t>
      </w:r>
      <w:r>
        <w:rPr/>
        <w:t>during</w:t>
      </w:r>
      <w:r>
        <w:rPr>
          <w:spacing w:val="-9"/>
        </w:rPr>
        <w:t> </w:t>
      </w:r>
      <w:r>
        <w:rPr/>
        <w:t>the</w:t>
      </w:r>
      <w:r>
        <w:rPr>
          <w:spacing w:val="-9"/>
        </w:rPr>
        <w:t> </w:t>
      </w:r>
      <w:r>
        <w:rPr/>
        <w:t>period</w:t>
      </w:r>
      <w:r>
        <w:rPr>
          <w:spacing w:val="-9"/>
        </w:rPr>
        <w:t> </w:t>
      </w:r>
      <w:r>
        <w:rPr/>
        <w:t>from</w:t>
      </w:r>
      <w:r>
        <w:rPr>
          <w:spacing w:val="-10"/>
        </w:rPr>
        <w:t> </w:t>
      </w:r>
      <w:r>
        <w:rPr/>
        <w:t>2</w:t>
      </w:r>
      <w:r>
        <w:rPr>
          <w:spacing w:val="-11"/>
        </w:rPr>
        <w:t> </w:t>
      </w:r>
      <w:r>
        <w:rPr/>
        <w:t>March</w:t>
      </w:r>
      <w:r>
        <w:rPr>
          <w:spacing w:val="-9"/>
        </w:rPr>
        <w:t> </w:t>
      </w:r>
      <w:r>
        <w:rPr/>
        <w:t>2012</w:t>
      </w:r>
      <w:r>
        <w:rPr>
          <w:spacing w:val="-2"/>
        </w:rPr>
        <w:t> </w:t>
      </w:r>
      <w:r>
        <w:rPr>
          <w:spacing w:val="-4"/>
        </w:rPr>
        <w:t>to</w:t>
      </w:r>
      <w:r>
        <w:rPr>
          <w:spacing w:val="-11"/>
        </w:rPr>
        <w:t> </w:t>
      </w:r>
      <w:r>
        <w:rPr/>
        <w:t>31</w:t>
      </w:r>
      <w:r>
        <w:rPr>
          <w:spacing w:val="-9"/>
        </w:rPr>
        <w:t> </w:t>
      </w:r>
      <w:r>
        <w:rPr/>
        <w:t>December</w:t>
      </w:r>
      <w:r>
        <w:rPr>
          <w:spacing w:val="-9"/>
        </w:rPr>
        <w:t> </w:t>
      </w:r>
      <w:r>
        <w:rPr/>
        <w:t>2012, and the number of meetings attended by each director</w:t>
      </w:r>
      <w:r>
        <w:rPr>
          <w:spacing w:val="-20"/>
        </w:rPr>
        <w:t> </w:t>
      </w:r>
      <w:r>
        <w:rPr/>
        <w:t>were:</w:t>
      </w: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158"/>
        <w:gridCol w:w="3946"/>
        <w:gridCol w:w="776"/>
      </w:tblGrid>
      <w:tr>
        <w:trPr>
          <w:trHeight w:val="227" w:hRule="exact"/>
        </w:trPr>
        <w:tc>
          <w:tcPr>
            <w:tcW w:w="5158" w:type="dxa"/>
          </w:tcPr>
          <w:p>
            <w:pPr/>
          </w:p>
        </w:tc>
        <w:tc>
          <w:tcPr>
            <w:tcW w:w="3946" w:type="dxa"/>
          </w:tcPr>
          <w:p>
            <w:pPr>
              <w:pStyle w:val="TableParagraph"/>
              <w:spacing w:line="184" w:lineRule="exact"/>
              <w:ind w:right="444"/>
              <w:jc w:val="right"/>
              <w:rPr>
                <w:b/>
                <w:sz w:val="18"/>
              </w:rPr>
            </w:pPr>
            <w:r>
              <w:rPr>
                <w:b/>
                <w:w w:val="99"/>
                <w:sz w:val="18"/>
              </w:rPr>
              <w:t>A</w:t>
            </w:r>
          </w:p>
        </w:tc>
        <w:tc>
          <w:tcPr>
            <w:tcW w:w="776" w:type="dxa"/>
          </w:tcPr>
          <w:p>
            <w:pPr>
              <w:pStyle w:val="TableParagraph"/>
              <w:spacing w:line="184" w:lineRule="exact"/>
              <w:ind w:right="198"/>
              <w:jc w:val="right"/>
              <w:rPr>
                <w:b/>
                <w:sz w:val="18"/>
              </w:rPr>
            </w:pPr>
            <w:r>
              <w:rPr>
                <w:b/>
                <w:w w:val="99"/>
                <w:sz w:val="18"/>
              </w:rPr>
              <w:t>B</w:t>
            </w:r>
          </w:p>
        </w:tc>
      </w:tr>
      <w:tr>
        <w:trPr>
          <w:trHeight w:val="268" w:hRule="exact"/>
        </w:trPr>
        <w:tc>
          <w:tcPr>
            <w:tcW w:w="5158" w:type="dxa"/>
          </w:tcPr>
          <w:p>
            <w:pPr>
              <w:pStyle w:val="TableParagraph"/>
              <w:spacing w:before="24"/>
              <w:ind w:left="200"/>
              <w:rPr>
                <w:sz w:val="18"/>
              </w:rPr>
            </w:pPr>
            <w:r>
              <w:rPr>
                <w:sz w:val="18"/>
              </w:rPr>
              <w:t>Susan Hudson</w:t>
            </w:r>
          </w:p>
        </w:tc>
        <w:tc>
          <w:tcPr>
            <w:tcW w:w="3946" w:type="dxa"/>
          </w:tcPr>
          <w:p>
            <w:pPr>
              <w:pStyle w:val="TableParagraph"/>
              <w:spacing w:before="23"/>
              <w:ind w:right="459"/>
              <w:jc w:val="right"/>
              <w:rPr>
                <w:sz w:val="18"/>
              </w:rPr>
            </w:pPr>
            <w:r>
              <w:rPr>
                <w:w w:val="99"/>
                <w:sz w:val="18"/>
              </w:rPr>
              <w:t>5</w:t>
            </w:r>
          </w:p>
        </w:tc>
        <w:tc>
          <w:tcPr>
            <w:tcW w:w="776" w:type="dxa"/>
          </w:tcPr>
          <w:p>
            <w:pPr>
              <w:pStyle w:val="TableParagraph"/>
              <w:spacing w:before="23"/>
              <w:ind w:right="213"/>
              <w:jc w:val="right"/>
              <w:rPr>
                <w:sz w:val="18"/>
              </w:rPr>
            </w:pPr>
            <w:r>
              <w:rPr>
                <w:w w:val="99"/>
                <w:sz w:val="18"/>
              </w:rPr>
              <w:t>5</w:t>
            </w:r>
          </w:p>
        </w:tc>
      </w:tr>
      <w:tr>
        <w:trPr>
          <w:trHeight w:val="263" w:hRule="exact"/>
        </w:trPr>
        <w:tc>
          <w:tcPr>
            <w:tcW w:w="5158" w:type="dxa"/>
          </w:tcPr>
          <w:p>
            <w:pPr>
              <w:pStyle w:val="TableParagraph"/>
              <w:spacing w:before="17"/>
              <w:ind w:left="200"/>
              <w:rPr>
                <w:sz w:val="18"/>
              </w:rPr>
            </w:pPr>
            <w:r>
              <w:rPr>
                <w:sz w:val="18"/>
              </w:rPr>
              <w:t>Denise Fraser</w:t>
            </w:r>
          </w:p>
        </w:tc>
        <w:tc>
          <w:tcPr>
            <w:tcW w:w="3946" w:type="dxa"/>
          </w:tcPr>
          <w:p>
            <w:pPr>
              <w:pStyle w:val="TableParagraph"/>
              <w:spacing w:before="17"/>
              <w:ind w:right="459"/>
              <w:jc w:val="right"/>
              <w:rPr>
                <w:sz w:val="18"/>
              </w:rPr>
            </w:pPr>
            <w:r>
              <w:rPr>
                <w:w w:val="99"/>
                <w:sz w:val="18"/>
              </w:rPr>
              <w:t>4</w:t>
            </w:r>
          </w:p>
        </w:tc>
        <w:tc>
          <w:tcPr>
            <w:tcW w:w="776" w:type="dxa"/>
          </w:tcPr>
          <w:p>
            <w:pPr>
              <w:pStyle w:val="TableParagraph"/>
              <w:spacing w:before="17"/>
              <w:ind w:right="213"/>
              <w:jc w:val="right"/>
              <w:rPr>
                <w:sz w:val="18"/>
              </w:rPr>
            </w:pPr>
            <w:r>
              <w:rPr>
                <w:w w:val="99"/>
                <w:sz w:val="18"/>
              </w:rPr>
              <w:t>5</w:t>
            </w:r>
          </w:p>
        </w:tc>
      </w:tr>
      <w:tr>
        <w:trPr>
          <w:trHeight w:val="263" w:hRule="exact"/>
        </w:trPr>
        <w:tc>
          <w:tcPr>
            <w:tcW w:w="5158" w:type="dxa"/>
          </w:tcPr>
          <w:p>
            <w:pPr>
              <w:pStyle w:val="TableParagraph"/>
              <w:spacing w:before="19"/>
              <w:ind w:left="200"/>
              <w:rPr>
                <w:sz w:val="18"/>
              </w:rPr>
            </w:pPr>
            <w:r>
              <w:rPr>
                <w:sz w:val="18"/>
              </w:rPr>
              <w:t>Ellen M Brackenreg</w:t>
            </w:r>
          </w:p>
        </w:tc>
        <w:tc>
          <w:tcPr>
            <w:tcW w:w="3946" w:type="dxa"/>
          </w:tcPr>
          <w:p>
            <w:pPr>
              <w:pStyle w:val="TableParagraph"/>
              <w:spacing w:before="19"/>
              <w:ind w:right="459"/>
              <w:jc w:val="right"/>
              <w:rPr>
                <w:sz w:val="18"/>
              </w:rPr>
            </w:pPr>
            <w:r>
              <w:rPr>
                <w:w w:val="99"/>
                <w:sz w:val="18"/>
              </w:rPr>
              <w:t>4</w:t>
            </w:r>
          </w:p>
        </w:tc>
        <w:tc>
          <w:tcPr>
            <w:tcW w:w="776" w:type="dxa"/>
          </w:tcPr>
          <w:p>
            <w:pPr>
              <w:pStyle w:val="TableParagraph"/>
              <w:spacing w:before="19"/>
              <w:ind w:right="213"/>
              <w:jc w:val="right"/>
              <w:rPr>
                <w:sz w:val="18"/>
              </w:rPr>
            </w:pPr>
            <w:r>
              <w:rPr>
                <w:w w:val="99"/>
                <w:sz w:val="18"/>
              </w:rPr>
              <w:t>5</w:t>
            </w:r>
          </w:p>
        </w:tc>
      </w:tr>
      <w:tr>
        <w:trPr>
          <w:trHeight w:val="263" w:hRule="exact"/>
        </w:trPr>
        <w:tc>
          <w:tcPr>
            <w:tcW w:w="5158" w:type="dxa"/>
          </w:tcPr>
          <w:p>
            <w:pPr>
              <w:pStyle w:val="TableParagraph"/>
              <w:spacing w:before="18"/>
              <w:ind w:left="200"/>
              <w:rPr>
                <w:sz w:val="18"/>
              </w:rPr>
            </w:pPr>
            <w:r>
              <w:rPr>
                <w:sz w:val="18"/>
              </w:rPr>
              <w:t>Patricia Mullins</w:t>
            </w:r>
          </w:p>
        </w:tc>
        <w:tc>
          <w:tcPr>
            <w:tcW w:w="3946" w:type="dxa"/>
          </w:tcPr>
          <w:p>
            <w:pPr>
              <w:pStyle w:val="TableParagraph"/>
              <w:spacing w:before="18"/>
              <w:ind w:right="459"/>
              <w:jc w:val="right"/>
              <w:rPr>
                <w:sz w:val="18"/>
              </w:rPr>
            </w:pPr>
            <w:r>
              <w:rPr>
                <w:w w:val="99"/>
                <w:sz w:val="18"/>
              </w:rPr>
              <w:t>5</w:t>
            </w:r>
          </w:p>
        </w:tc>
        <w:tc>
          <w:tcPr>
            <w:tcW w:w="776" w:type="dxa"/>
          </w:tcPr>
          <w:p>
            <w:pPr>
              <w:pStyle w:val="TableParagraph"/>
              <w:spacing w:before="18"/>
              <w:ind w:right="213"/>
              <w:jc w:val="right"/>
              <w:rPr>
                <w:sz w:val="18"/>
              </w:rPr>
            </w:pPr>
            <w:r>
              <w:rPr>
                <w:w w:val="99"/>
                <w:sz w:val="18"/>
              </w:rPr>
              <w:t>5</w:t>
            </w:r>
          </w:p>
        </w:tc>
      </w:tr>
      <w:tr>
        <w:trPr>
          <w:trHeight w:val="264" w:hRule="exact"/>
        </w:trPr>
        <w:tc>
          <w:tcPr>
            <w:tcW w:w="5158" w:type="dxa"/>
          </w:tcPr>
          <w:p>
            <w:pPr>
              <w:pStyle w:val="TableParagraph"/>
              <w:spacing w:before="19"/>
              <w:ind w:left="200"/>
              <w:rPr>
                <w:sz w:val="18"/>
              </w:rPr>
            </w:pPr>
            <w:r>
              <w:rPr>
                <w:sz w:val="18"/>
              </w:rPr>
              <w:t>Susan M Benzie</w:t>
            </w:r>
          </w:p>
        </w:tc>
        <w:tc>
          <w:tcPr>
            <w:tcW w:w="3946" w:type="dxa"/>
          </w:tcPr>
          <w:p>
            <w:pPr>
              <w:pStyle w:val="TableParagraph"/>
              <w:spacing w:before="19"/>
              <w:ind w:right="459"/>
              <w:jc w:val="right"/>
              <w:rPr>
                <w:sz w:val="18"/>
              </w:rPr>
            </w:pPr>
            <w:r>
              <w:rPr>
                <w:w w:val="99"/>
                <w:sz w:val="18"/>
              </w:rPr>
              <w:t>2</w:t>
            </w:r>
          </w:p>
        </w:tc>
        <w:tc>
          <w:tcPr>
            <w:tcW w:w="776" w:type="dxa"/>
          </w:tcPr>
          <w:p>
            <w:pPr>
              <w:pStyle w:val="TableParagraph"/>
              <w:spacing w:before="19"/>
              <w:ind w:right="213"/>
              <w:jc w:val="right"/>
              <w:rPr>
                <w:sz w:val="18"/>
              </w:rPr>
            </w:pPr>
            <w:r>
              <w:rPr>
                <w:w w:val="99"/>
                <w:sz w:val="18"/>
              </w:rPr>
              <w:t>3</w:t>
            </w:r>
          </w:p>
        </w:tc>
      </w:tr>
      <w:tr>
        <w:trPr>
          <w:trHeight w:val="222" w:hRule="exact"/>
        </w:trPr>
        <w:tc>
          <w:tcPr>
            <w:tcW w:w="5158" w:type="dxa"/>
          </w:tcPr>
          <w:p>
            <w:pPr>
              <w:pStyle w:val="TableParagraph"/>
              <w:spacing w:before="19"/>
              <w:ind w:left="200"/>
              <w:rPr>
                <w:sz w:val="18"/>
              </w:rPr>
            </w:pPr>
            <w:r>
              <w:rPr>
                <w:sz w:val="18"/>
              </w:rPr>
              <w:t>Kerry M O'Reilly</w:t>
            </w:r>
          </w:p>
        </w:tc>
        <w:tc>
          <w:tcPr>
            <w:tcW w:w="3946" w:type="dxa"/>
          </w:tcPr>
          <w:p>
            <w:pPr>
              <w:pStyle w:val="TableParagraph"/>
              <w:spacing w:before="19"/>
              <w:ind w:right="459"/>
              <w:jc w:val="right"/>
              <w:rPr>
                <w:sz w:val="18"/>
              </w:rPr>
            </w:pPr>
            <w:r>
              <w:rPr>
                <w:w w:val="99"/>
                <w:sz w:val="18"/>
              </w:rPr>
              <w:t>4</w:t>
            </w:r>
          </w:p>
        </w:tc>
        <w:tc>
          <w:tcPr>
            <w:tcW w:w="776" w:type="dxa"/>
          </w:tcPr>
          <w:p>
            <w:pPr>
              <w:pStyle w:val="TableParagraph"/>
              <w:spacing w:before="19"/>
              <w:ind w:right="213"/>
              <w:jc w:val="right"/>
              <w:rPr>
                <w:sz w:val="18"/>
              </w:rPr>
            </w:pPr>
            <w:r>
              <w:rPr>
                <w:w w:val="99"/>
                <w:sz w:val="18"/>
              </w:rPr>
              <w:t>4</w:t>
            </w:r>
          </w:p>
        </w:tc>
      </w:tr>
    </w:tbl>
    <w:p>
      <w:pPr>
        <w:pStyle w:val="BodyText"/>
        <w:spacing w:before="1"/>
        <w:rPr>
          <w:sz w:val="21"/>
        </w:rPr>
      </w:pPr>
    </w:p>
    <w:p>
      <w:pPr>
        <w:pStyle w:val="BodyText"/>
        <w:spacing w:before="77"/>
        <w:ind w:left="307" w:right="25"/>
      </w:pPr>
      <w:r>
        <w:rPr/>
        <w:t>A =   Number of meetings attended</w:t>
      </w:r>
    </w:p>
    <w:p>
      <w:pPr>
        <w:pStyle w:val="BodyText"/>
        <w:spacing w:before="2"/>
        <w:ind w:left="308" w:right="25"/>
      </w:pPr>
      <w:r>
        <w:rPr/>
        <w:t>B =   Number of meeting held during the time the director held office</w:t>
      </w:r>
    </w:p>
    <w:p>
      <w:pPr>
        <w:pStyle w:val="BodyText"/>
        <w:spacing w:before="6"/>
        <w:rPr>
          <w:sz w:val="24"/>
        </w:rPr>
      </w:pPr>
    </w:p>
    <w:p>
      <w:pPr>
        <w:pStyle w:val="Heading9"/>
        <w:ind w:left="307" w:right="25"/>
      </w:pPr>
      <w:r>
        <w:rPr/>
        <w:t>Members</w:t>
      </w:r>
    </w:p>
    <w:p>
      <w:pPr>
        <w:pStyle w:val="BodyText"/>
        <w:spacing w:before="7"/>
        <w:rPr>
          <w:b/>
          <w:sz w:val="25"/>
        </w:rPr>
      </w:pPr>
    </w:p>
    <w:p>
      <w:pPr>
        <w:pStyle w:val="BodyText"/>
        <w:ind w:left="307" w:right="25"/>
      </w:pPr>
      <w:r>
        <w:rPr/>
        <w:t>The</w:t>
      </w:r>
      <w:r>
        <w:rPr>
          <w:spacing w:val="-7"/>
        </w:rPr>
        <w:t> </w:t>
      </w:r>
      <w:r>
        <w:rPr/>
        <w:t>following</w:t>
      </w:r>
      <w:r>
        <w:rPr>
          <w:spacing w:val="-7"/>
        </w:rPr>
        <w:t> </w:t>
      </w:r>
      <w:r>
        <w:rPr/>
        <w:t>were</w:t>
      </w:r>
      <w:r>
        <w:rPr>
          <w:spacing w:val="-7"/>
        </w:rPr>
        <w:t> </w:t>
      </w:r>
      <w:r>
        <w:rPr/>
        <w:t>members</w:t>
      </w:r>
      <w:r>
        <w:rPr>
          <w:spacing w:val="-8"/>
        </w:rPr>
        <w:t> </w:t>
      </w:r>
      <w:r>
        <w:rPr/>
        <w:t>of</w:t>
      </w:r>
      <w:r>
        <w:rPr>
          <w:spacing w:val="-8"/>
        </w:rPr>
        <w:t> </w:t>
      </w:r>
      <w:r>
        <w:rPr/>
        <w:t>the</w:t>
      </w:r>
      <w:r>
        <w:rPr>
          <w:spacing w:val="-9"/>
        </w:rPr>
        <w:t> </w:t>
      </w:r>
      <w:r>
        <w:rPr/>
        <w:t>Company</w:t>
      </w:r>
      <w:r>
        <w:rPr>
          <w:spacing w:val="-11"/>
        </w:rPr>
        <w:t> </w:t>
      </w:r>
      <w:r>
        <w:rPr/>
        <w:t>during</w:t>
      </w:r>
      <w:r>
        <w:rPr>
          <w:spacing w:val="-9"/>
        </w:rPr>
        <w:t> </w:t>
      </w:r>
      <w:r>
        <w:rPr/>
        <w:t>the</w:t>
      </w:r>
      <w:r>
        <w:rPr>
          <w:spacing w:val="-9"/>
        </w:rPr>
        <w:t> </w:t>
      </w:r>
      <w:r>
        <w:rPr/>
        <w:t>period</w:t>
      </w:r>
      <w:r>
        <w:rPr>
          <w:spacing w:val="-7"/>
        </w:rPr>
        <w:t> </w:t>
      </w:r>
      <w:r>
        <w:rPr/>
        <w:t>from</w:t>
      </w:r>
      <w:r>
        <w:rPr>
          <w:spacing w:val="-8"/>
        </w:rPr>
        <w:t> </w:t>
      </w:r>
      <w:r>
        <w:rPr/>
        <w:t>2</w:t>
      </w:r>
      <w:r>
        <w:rPr>
          <w:spacing w:val="-7"/>
        </w:rPr>
        <w:t> </w:t>
      </w:r>
      <w:r>
        <w:rPr/>
        <w:t>March</w:t>
      </w:r>
      <w:r>
        <w:rPr>
          <w:spacing w:val="-9"/>
        </w:rPr>
        <w:t> </w:t>
      </w:r>
      <w:r>
        <w:rPr/>
        <w:t>2012</w:t>
      </w:r>
      <w:r>
        <w:rPr>
          <w:spacing w:val="-7"/>
        </w:rPr>
        <w:t> </w:t>
      </w:r>
      <w:r>
        <w:rPr/>
        <w:t>to</w:t>
      </w:r>
      <w:r>
        <w:rPr>
          <w:spacing w:val="-9"/>
        </w:rPr>
        <w:t> </w:t>
      </w:r>
      <w:r>
        <w:rPr/>
        <w:t>31</w:t>
      </w:r>
      <w:r>
        <w:rPr>
          <w:spacing w:val="-7"/>
        </w:rPr>
        <w:t> </w:t>
      </w:r>
      <w:r>
        <w:rPr/>
        <w:t>December</w:t>
      </w:r>
      <w:r>
        <w:rPr>
          <w:spacing w:val="-9"/>
        </w:rPr>
        <w:t> </w:t>
      </w:r>
      <w:r>
        <w:rPr/>
        <w:t>2012</w:t>
      </w:r>
      <w:r>
        <w:rPr>
          <w:spacing w:val="-9"/>
        </w:rPr>
        <w:t> </w:t>
      </w:r>
      <w:r>
        <w:rPr/>
        <w:t>and</w:t>
      </w:r>
      <w:r>
        <w:rPr>
          <w:spacing w:val="-9"/>
        </w:rPr>
        <w:t> </w:t>
      </w:r>
      <w:r>
        <w:rPr/>
        <w:t>up</w:t>
      </w:r>
      <w:r>
        <w:rPr>
          <w:spacing w:val="-7"/>
        </w:rPr>
        <w:t> </w:t>
      </w:r>
      <w:r>
        <w:rPr/>
        <w:t>to</w:t>
      </w:r>
      <w:r>
        <w:rPr>
          <w:spacing w:val="-7"/>
        </w:rPr>
        <w:t> </w:t>
      </w:r>
      <w:r>
        <w:rPr/>
        <w:t>the</w:t>
      </w:r>
      <w:r>
        <w:rPr>
          <w:spacing w:val="-9"/>
        </w:rPr>
        <w:t> </w:t>
      </w:r>
      <w:r>
        <w:rPr/>
        <w:t>date</w:t>
      </w:r>
      <w:r>
        <w:rPr>
          <w:spacing w:val="-9"/>
        </w:rPr>
        <w:t> </w:t>
      </w:r>
      <w:r>
        <w:rPr/>
        <w:t>of this</w:t>
      </w:r>
      <w:r>
        <w:rPr>
          <w:spacing w:val="-6"/>
        </w:rPr>
        <w:t> </w:t>
      </w:r>
      <w:r>
        <w:rPr/>
        <w:t>report:</w:t>
      </w:r>
    </w:p>
    <w:p>
      <w:pPr>
        <w:pStyle w:val="ListParagraph"/>
        <w:numPr>
          <w:ilvl w:val="1"/>
          <w:numId w:val="113"/>
        </w:numPr>
        <w:tabs>
          <w:tab w:pos="875" w:val="left" w:leader="none"/>
        </w:tabs>
        <w:spacing w:line="219" w:lineRule="exact" w:before="1" w:after="0"/>
        <w:ind w:left="874" w:right="0" w:hanging="566"/>
        <w:jc w:val="left"/>
        <w:rPr>
          <w:sz w:val="18"/>
        </w:rPr>
      </w:pPr>
      <w:r>
        <w:rPr>
          <w:sz w:val="18"/>
        </w:rPr>
        <w:t>University of Western</w:t>
      </w:r>
      <w:r>
        <w:rPr>
          <w:spacing w:val="-13"/>
          <w:sz w:val="18"/>
        </w:rPr>
        <w:t> </w:t>
      </w:r>
      <w:r>
        <w:rPr>
          <w:sz w:val="18"/>
        </w:rPr>
        <w:t>Sydney.</w:t>
      </w:r>
    </w:p>
    <w:p>
      <w:pPr>
        <w:pStyle w:val="ListParagraph"/>
        <w:numPr>
          <w:ilvl w:val="1"/>
          <w:numId w:val="113"/>
        </w:numPr>
        <w:tabs>
          <w:tab w:pos="875" w:val="left" w:leader="none"/>
        </w:tabs>
        <w:spacing w:line="240" w:lineRule="auto" w:before="0" w:after="0"/>
        <w:ind w:left="874" w:right="378" w:hanging="567"/>
        <w:jc w:val="left"/>
        <w:rPr>
          <w:sz w:val="18"/>
        </w:rPr>
      </w:pPr>
      <w:r>
        <w:rPr>
          <w:sz w:val="18"/>
        </w:rPr>
        <w:t>The existing members of the incorporated bodies that were amalgamated to form the incorporated association that became the Company on 2 March</w:t>
      </w:r>
      <w:r>
        <w:rPr>
          <w:spacing w:val="-12"/>
          <w:sz w:val="18"/>
        </w:rPr>
        <w:t> </w:t>
      </w:r>
      <w:r>
        <w:rPr>
          <w:sz w:val="18"/>
        </w:rPr>
        <w:t>2012.</w:t>
      </w:r>
    </w:p>
    <w:p>
      <w:pPr>
        <w:pStyle w:val="ListParagraph"/>
        <w:numPr>
          <w:ilvl w:val="1"/>
          <w:numId w:val="113"/>
        </w:numPr>
        <w:tabs>
          <w:tab w:pos="874" w:val="left" w:leader="none"/>
        </w:tabs>
        <w:spacing w:line="240" w:lineRule="auto" w:before="1" w:after="0"/>
        <w:ind w:left="873" w:right="435" w:hanging="566"/>
        <w:jc w:val="left"/>
        <w:rPr>
          <w:sz w:val="18"/>
        </w:rPr>
      </w:pPr>
      <w:r>
        <w:rPr>
          <w:sz w:val="18"/>
        </w:rPr>
        <w:t>Any parent, relative or guardian of a child currently enrolled in a centre who has completed an application form for membership.</w:t>
      </w:r>
    </w:p>
    <w:p>
      <w:pPr>
        <w:pStyle w:val="BodyText"/>
        <w:spacing w:before="6"/>
        <w:rPr>
          <w:sz w:val="24"/>
        </w:rPr>
      </w:pPr>
    </w:p>
    <w:p>
      <w:pPr>
        <w:pStyle w:val="Heading9"/>
        <w:ind w:left="307" w:right="25"/>
      </w:pPr>
      <w:r>
        <w:rPr/>
        <w:t>Members' guarantee</w:t>
      </w:r>
    </w:p>
    <w:p>
      <w:pPr>
        <w:pStyle w:val="BodyText"/>
        <w:spacing w:before="7"/>
        <w:rPr>
          <w:b/>
          <w:sz w:val="25"/>
        </w:rPr>
      </w:pPr>
    </w:p>
    <w:p>
      <w:pPr>
        <w:pStyle w:val="BodyText"/>
        <w:ind w:left="307" w:right="25"/>
      </w:pPr>
      <w:r>
        <w:rPr/>
        <w:t>The Liability of members of the company is limited. If the company is wound up during the time of a member's membership or within one year afterwards, each member of the company is liable to contribute an amount not greater than $2.00.</w:t>
      </w:r>
    </w:p>
    <w:p>
      <w:pPr>
        <w:pStyle w:val="BodyText"/>
        <w:spacing w:before="2"/>
        <w:rPr>
          <w:sz w:val="25"/>
        </w:rPr>
      </w:pPr>
    </w:p>
    <w:p>
      <w:pPr>
        <w:pStyle w:val="BodyText"/>
        <w:ind w:left="307" w:right="25"/>
      </w:pPr>
      <w:r>
        <w:rPr/>
        <w:t>The total amount that members of the Company are liable to contribute if the Company is wound up is $2.00.</w:t>
      </w:r>
    </w:p>
    <w:p>
      <w:pPr>
        <w:pStyle w:val="BodyText"/>
        <w:spacing w:before="6"/>
        <w:rPr>
          <w:sz w:val="24"/>
        </w:rPr>
      </w:pPr>
    </w:p>
    <w:p>
      <w:pPr>
        <w:pStyle w:val="Heading9"/>
        <w:ind w:left="307" w:right="25"/>
      </w:pPr>
      <w:r>
        <w:rPr/>
        <w:t>Review of operations</w:t>
      </w:r>
    </w:p>
    <w:p>
      <w:pPr>
        <w:pStyle w:val="BodyText"/>
        <w:spacing w:before="7"/>
        <w:rPr>
          <w:b/>
          <w:sz w:val="25"/>
        </w:rPr>
      </w:pPr>
    </w:p>
    <w:p>
      <w:pPr>
        <w:pStyle w:val="BodyText"/>
        <w:ind w:left="307" w:right="25"/>
      </w:pPr>
      <w:r>
        <w:rPr/>
        <w:t>The</w:t>
      </w:r>
      <w:r>
        <w:rPr>
          <w:spacing w:val="-6"/>
        </w:rPr>
        <w:t> </w:t>
      </w:r>
      <w:r>
        <w:rPr/>
        <w:t>surplus</w:t>
      </w:r>
      <w:r>
        <w:rPr>
          <w:spacing w:val="-6"/>
        </w:rPr>
        <w:t> </w:t>
      </w:r>
      <w:r>
        <w:rPr/>
        <w:t>for</w:t>
      </w:r>
      <w:r>
        <w:rPr>
          <w:spacing w:val="-7"/>
        </w:rPr>
        <w:t> </w:t>
      </w:r>
      <w:r>
        <w:rPr/>
        <w:t>the</w:t>
      </w:r>
      <w:r>
        <w:rPr>
          <w:spacing w:val="-6"/>
        </w:rPr>
        <w:t> </w:t>
      </w:r>
      <w:r>
        <w:rPr/>
        <w:t>period</w:t>
      </w:r>
      <w:r>
        <w:rPr>
          <w:spacing w:val="-9"/>
        </w:rPr>
        <w:t> </w:t>
      </w:r>
      <w:r>
        <w:rPr/>
        <w:t>from</w:t>
      </w:r>
      <w:r>
        <w:rPr>
          <w:spacing w:val="-8"/>
        </w:rPr>
        <w:t> </w:t>
      </w:r>
      <w:r>
        <w:rPr/>
        <w:t>2</w:t>
      </w:r>
      <w:r>
        <w:rPr>
          <w:spacing w:val="-6"/>
        </w:rPr>
        <w:t> </w:t>
      </w:r>
      <w:r>
        <w:rPr/>
        <w:t>March</w:t>
      </w:r>
      <w:r>
        <w:rPr>
          <w:spacing w:val="-6"/>
        </w:rPr>
        <w:t> </w:t>
      </w:r>
      <w:r>
        <w:rPr/>
        <w:t>2012</w:t>
      </w:r>
      <w:r>
        <w:rPr>
          <w:spacing w:val="-6"/>
        </w:rPr>
        <w:t> </w:t>
      </w:r>
      <w:r>
        <w:rPr/>
        <w:t>to</w:t>
      </w:r>
      <w:r>
        <w:rPr>
          <w:spacing w:val="-9"/>
        </w:rPr>
        <w:t> </w:t>
      </w:r>
      <w:r>
        <w:rPr/>
        <w:t>31</w:t>
      </w:r>
      <w:r>
        <w:rPr>
          <w:spacing w:val="-6"/>
        </w:rPr>
        <w:t> </w:t>
      </w:r>
      <w:r>
        <w:rPr/>
        <w:t>December</w:t>
      </w:r>
      <w:r>
        <w:rPr>
          <w:spacing w:val="-9"/>
        </w:rPr>
        <w:t> </w:t>
      </w:r>
      <w:r>
        <w:rPr/>
        <w:t>2012</w:t>
      </w:r>
      <w:r>
        <w:rPr>
          <w:spacing w:val="-9"/>
        </w:rPr>
        <w:t> </w:t>
      </w:r>
      <w:r>
        <w:rPr/>
        <w:t>is</w:t>
      </w:r>
      <w:r>
        <w:rPr>
          <w:spacing w:val="-8"/>
        </w:rPr>
        <w:t> </w:t>
      </w:r>
      <w:r>
        <w:rPr/>
        <w:t>$</w:t>
      </w:r>
      <w:r>
        <w:rPr>
          <w:spacing w:val="-6"/>
        </w:rPr>
        <w:t> </w:t>
      </w:r>
      <w:r>
        <w:rPr/>
        <w:t>404,365.</w:t>
      </w:r>
      <w:r>
        <w:rPr>
          <w:spacing w:val="-7"/>
        </w:rPr>
        <w:t> </w:t>
      </w:r>
      <w:r>
        <w:rPr/>
        <w:t>As</w:t>
      </w:r>
      <w:r>
        <w:rPr>
          <w:spacing w:val="-6"/>
        </w:rPr>
        <w:t> </w:t>
      </w:r>
      <w:r>
        <w:rPr/>
        <w:t>this</w:t>
      </w:r>
      <w:r>
        <w:rPr>
          <w:spacing w:val="-8"/>
        </w:rPr>
        <w:t> </w:t>
      </w:r>
      <w:r>
        <w:rPr/>
        <w:t>is</w:t>
      </w:r>
      <w:r>
        <w:rPr>
          <w:spacing w:val="-8"/>
        </w:rPr>
        <w:t> </w:t>
      </w:r>
      <w:r>
        <w:rPr/>
        <w:t>the</w:t>
      </w:r>
      <w:r>
        <w:rPr>
          <w:spacing w:val="-6"/>
        </w:rPr>
        <w:t> </w:t>
      </w:r>
      <w:r>
        <w:rPr/>
        <w:t>first</w:t>
      </w:r>
      <w:r>
        <w:rPr>
          <w:spacing w:val="-7"/>
        </w:rPr>
        <w:t> </w:t>
      </w:r>
      <w:r>
        <w:rPr/>
        <w:t>year</w:t>
      </w:r>
      <w:r>
        <w:rPr>
          <w:spacing w:val="-9"/>
        </w:rPr>
        <w:t> </w:t>
      </w:r>
      <w:r>
        <w:rPr/>
        <w:t>that</w:t>
      </w:r>
      <w:r>
        <w:rPr>
          <w:spacing w:val="-9"/>
        </w:rPr>
        <w:t> </w:t>
      </w:r>
      <w:r>
        <w:rPr/>
        <w:t>the</w:t>
      </w:r>
      <w:r>
        <w:rPr>
          <w:spacing w:val="-9"/>
        </w:rPr>
        <w:t> </w:t>
      </w:r>
      <w:r>
        <w:rPr/>
        <w:t>company</w:t>
      </w:r>
      <w:r>
        <w:rPr>
          <w:spacing w:val="-8"/>
        </w:rPr>
        <w:t> </w:t>
      </w:r>
      <w:r>
        <w:rPr/>
        <w:t>has prepared</w:t>
      </w:r>
      <w:r>
        <w:rPr>
          <w:spacing w:val="-4"/>
        </w:rPr>
        <w:t> </w:t>
      </w:r>
      <w:r>
        <w:rPr/>
        <w:t>financial</w:t>
      </w:r>
      <w:r>
        <w:rPr>
          <w:spacing w:val="-4"/>
        </w:rPr>
        <w:t> </w:t>
      </w:r>
      <w:r>
        <w:rPr/>
        <w:t>statements</w:t>
      </w:r>
      <w:r>
        <w:rPr>
          <w:spacing w:val="-6"/>
        </w:rPr>
        <w:t> </w:t>
      </w:r>
      <w:r>
        <w:rPr/>
        <w:t>comparatives</w:t>
      </w:r>
      <w:r>
        <w:rPr>
          <w:spacing w:val="-4"/>
        </w:rPr>
        <w:t> </w:t>
      </w:r>
      <w:r>
        <w:rPr/>
        <w:t>with</w:t>
      </w:r>
      <w:r>
        <w:rPr>
          <w:spacing w:val="-4"/>
        </w:rPr>
        <w:t> </w:t>
      </w:r>
      <w:r>
        <w:rPr/>
        <w:t>previous</w:t>
      </w:r>
      <w:r>
        <w:rPr>
          <w:spacing w:val="-6"/>
        </w:rPr>
        <w:t> </w:t>
      </w:r>
      <w:r>
        <w:rPr/>
        <w:t>reporting</w:t>
      </w:r>
      <w:r>
        <w:rPr>
          <w:spacing w:val="-4"/>
        </w:rPr>
        <w:t> </w:t>
      </w:r>
      <w:r>
        <w:rPr/>
        <w:t>periods</w:t>
      </w:r>
      <w:r>
        <w:rPr>
          <w:spacing w:val="-4"/>
        </w:rPr>
        <w:t> </w:t>
      </w:r>
      <w:r>
        <w:rPr/>
        <w:t>are</w:t>
      </w:r>
      <w:r>
        <w:rPr>
          <w:spacing w:val="-4"/>
        </w:rPr>
        <w:t> </w:t>
      </w:r>
      <w:r>
        <w:rPr/>
        <w:t>not</w:t>
      </w:r>
      <w:r>
        <w:rPr>
          <w:spacing w:val="-7"/>
        </w:rPr>
        <w:t> </w:t>
      </w:r>
      <w:r>
        <w:rPr/>
        <w:t>available.</w:t>
      </w:r>
    </w:p>
    <w:p>
      <w:pPr>
        <w:pStyle w:val="BodyText"/>
        <w:spacing w:before="6"/>
        <w:rPr>
          <w:sz w:val="24"/>
        </w:rPr>
      </w:pPr>
    </w:p>
    <w:p>
      <w:pPr>
        <w:pStyle w:val="Heading9"/>
        <w:ind w:left="307" w:right="25"/>
      </w:pPr>
      <w:r>
        <w:rPr/>
        <w:t>Dividends paid or recommended</w:t>
      </w:r>
    </w:p>
    <w:p>
      <w:pPr>
        <w:pStyle w:val="BodyText"/>
        <w:spacing w:before="4"/>
        <w:rPr>
          <w:b/>
          <w:sz w:val="25"/>
        </w:rPr>
      </w:pPr>
    </w:p>
    <w:p>
      <w:pPr>
        <w:pStyle w:val="BodyText"/>
        <w:ind w:left="307" w:right="95"/>
      </w:pPr>
      <w:r>
        <w:rPr/>
        <w:t>No</w:t>
      </w:r>
      <w:r>
        <w:rPr>
          <w:spacing w:val="-10"/>
        </w:rPr>
        <w:t> </w:t>
      </w:r>
      <w:r>
        <w:rPr/>
        <w:t>dividend</w:t>
      </w:r>
      <w:r>
        <w:rPr>
          <w:spacing w:val="-10"/>
        </w:rPr>
        <w:t> </w:t>
      </w:r>
      <w:r>
        <w:rPr/>
        <w:t>was</w:t>
      </w:r>
      <w:r>
        <w:rPr>
          <w:spacing w:val="-9"/>
        </w:rPr>
        <w:t> </w:t>
      </w:r>
      <w:r>
        <w:rPr/>
        <w:t>paid</w:t>
      </w:r>
      <w:r>
        <w:rPr>
          <w:spacing w:val="-10"/>
        </w:rPr>
        <w:t> </w:t>
      </w:r>
      <w:r>
        <w:rPr/>
        <w:t>or</w:t>
      </w:r>
      <w:r>
        <w:rPr>
          <w:spacing w:val="-10"/>
        </w:rPr>
        <w:t> </w:t>
      </w:r>
      <w:r>
        <w:rPr/>
        <w:t>is</w:t>
      </w:r>
      <w:r>
        <w:rPr>
          <w:spacing w:val="-9"/>
        </w:rPr>
        <w:t> </w:t>
      </w:r>
      <w:r>
        <w:rPr/>
        <w:t>payable</w:t>
      </w:r>
      <w:r>
        <w:rPr>
          <w:spacing w:val="-11"/>
        </w:rPr>
        <w:t> </w:t>
      </w:r>
      <w:r>
        <w:rPr/>
        <w:t>since</w:t>
      </w:r>
      <w:r>
        <w:rPr>
          <w:spacing w:val="-10"/>
        </w:rPr>
        <w:t> </w:t>
      </w:r>
      <w:r>
        <w:rPr/>
        <w:t>the</w:t>
      </w:r>
      <w:r>
        <w:rPr>
          <w:spacing w:val="-10"/>
        </w:rPr>
        <w:t> </w:t>
      </w:r>
      <w:r>
        <w:rPr/>
        <w:t>commencement</w:t>
      </w:r>
      <w:r>
        <w:rPr>
          <w:spacing w:val="-11"/>
        </w:rPr>
        <w:t> </w:t>
      </w:r>
      <w:r>
        <w:rPr/>
        <w:t>of</w:t>
      </w:r>
      <w:r>
        <w:rPr>
          <w:spacing w:val="-10"/>
        </w:rPr>
        <w:t> </w:t>
      </w:r>
      <w:r>
        <w:rPr/>
        <w:t>the</w:t>
      </w:r>
      <w:r>
        <w:rPr>
          <w:spacing w:val="-10"/>
        </w:rPr>
        <w:t> </w:t>
      </w:r>
      <w:r>
        <w:rPr/>
        <w:t>financial</w:t>
      </w:r>
      <w:r>
        <w:rPr>
          <w:spacing w:val="-9"/>
        </w:rPr>
        <w:t> </w:t>
      </w:r>
      <w:r>
        <w:rPr/>
        <w:t>period</w:t>
      </w:r>
      <w:r>
        <w:rPr>
          <w:spacing w:val="-10"/>
        </w:rPr>
        <w:t> </w:t>
      </w:r>
      <w:r>
        <w:rPr/>
        <w:t>and</w:t>
      </w:r>
      <w:r>
        <w:rPr>
          <w:spacing w:val="-10"/>
        </w:rPr>
        <w:t> </w:t>
      </w:r>
      <w:r>
        <w:rPr/>
        <w:t>up</w:t>
      </w:r>
      <w:r>
        <w:rPr>
          <w:spacing w:val="-2"/>
        </w:rPr>
        <w:t> </w:t>
      </w:r>
      <w:r>
        <w:rPr>
          <w:spacing w:val="-5"/>
        </w:rPr>
        <w:t>to</w:t>
      </w:r>
      <w:r>
        <w:rPr>
          <w:spacing w:val="-10"/>
        </w:rPr>
        <w:t> </w:t>
      </w:r>
      <w:r>
        <w:rPr/>
        <w:t>and</w:t>
      </w:r>
      <w:r>
        <w:rPr>
          <w:spacing w:val="-2"/>
        </w:rPr>
        <w:t> </w:t>
      </w:r>
      <w:r>
        <w:rPr/>
        <w:t>including</w:t>
      </w:r>
      <w:r>
        <w:rPr>
          <w:spacing w:val="-10"/>
        </w:rPr>
        <w:t> </w:t>
      </w:r>
      <w:r>
        <w:rPr/>
        <w:t>the</w:t>
      </w:r>
      <w:r>
        <w:rPr>
          <w:spacing w:val="-11"/>
        </w:rPr>
        <w:t> </w:t>
      </w:r>
      <w:r>
        <w:rPr/>
        <w:t>date</w:t>
      </w:r>
      <w:r>
        <w:rPr>
          <w:spacing w:val="-10"/>
        </w:rPr>
        <w:t> </w:t>
      </w:r>
      <w:r>
        <w:rPr/>
        <w:t>of</w:t>
      </w:r>
      <w:r>
        <w:rPr>
          <w:spacing w:val="-10"/>
        </w:rPr>
        <w:t> </w:t>
      </w:r>
      <w:r>
        <w:rPr/>
        <w:t>signing of this report. (2011:</w:t>
      </w:r>
      <w:r>
        <w:rPr>
          <w:spacing w:val="-12"/>
        </w:rPr>
        <w:t> </w:t>
      </w:r>
      <w:r>
        <w:rPr/>
        <w:t>$Nil).</w:t>
      </w:r>
    </w:p>
    <w:p>
      <w:pPr>
        <w:pStyle w:val="BodyText"/>
        <w:spacing w:before="6"/>
        <w:rPr>
          <w:sz w:val="24"/>
        </w:rPr>
      </w:pPr>
    </w:p>
    <w:p>
      <w:pPr>
        <w:pStyle w:val="Heading9"/>
        <w:ind w:left="307" w:right="25"/>
      </w:pPr>
      <w:r>
        <w:rPr/>
        <w:t>Significant changes in state of affairs</w:t>
      </w:r>
    </w:p>
    <w:p>
      <w:pPr>
        <w:pStyle w:val="BodyText"/>
        <w:spacing w:before="7"/>
        <w:rPr>
          <w:b/>
          <w:sz w:val="25"/>
        </w:rPr>
      </w:pPr>
    </w:p>
    <w:p>
      <w:pPr>
        <w:pStyle w:val="BodyText"/>
        <w:ind w:left="308" w:right="25"/>
      </w:pPr>
      <w:r>
        <w:rPr/>
        <w:t>No significant changes in the nature of the company's activities occurred during the period.</w:t>
      </w:r>
    </w:p>
    <w:p>
      <w:pPr>
        <w:pStyle w:val="BodyText"/>
        <w:spacing w:before="9"/>
        <w:rPr>
          <w:sz w:val="24"/>
        </w:rPr>
      </w:pPr>
    </w:p>
    <w:p>
      <w:pPr>
        <w:pStyle w:val="Heading9"/>
        <w:ind w:left="308" w:right="25"/>
      </w:pPr>
      <w:r>
        <w:rPr/>
        <w:t>Matters subsequent to the end of the financial period</w:t>
      </w:r>
    </w:p>
    <w:p>
      <w:pPr>
        <w:pStyle w:val="BodyText"/>
        <w:spacing w:before="4"/>
        <w:rPr>
          <w:b/>
          <w:sz w:val="25"/>
        </w:rPr>
      </w:pPr>
    </w:p>
    <w:p>
      <w:pPr>
        <w:pStyle w:val="BodyText"/>
        <w:ind w:left="308" w:right="106"/>
        <w:jc w:val="both"/>
      </w:pPr>
      <w:r>
        <w:rPr/>
        <w:t>No matters or circumstances have arisen since the end of the financial period which significantly affected or may significantly affect the operations of the Company, the results of those operations or the state of affairs of the Company in future financial years.</w:t>
      </w:r>
    </w:p>
    <w:p>
      <w:pPr>
        <w:spacing w:after="0"/>
        <w:jc w:val="both"/>
        <w:sectPr>
          <w:pgSz w:w="11960" w:h="16850"/>
          <w:pgMar w:header="743" w:footer="507" w:top="1180" w:bottom="700" w:left="700" w:right="900"/>
        </w:sectPr>
      </w:pPr>
    </w:p>
    <w:p>
      <w:pPr>
        <w:pStyle w:val="BodyText"/>
        <w:spacing w:before="8"/>
        <w:rPr>
          <w:sz w:val="23"/>
        </w:rPr>
      </w:pPr>
    </w:p>
    <w:p>
      <w:pPr>
        <w:pStyle w:val="Heading6"/>
        <w:spacing w:line="290" w:lineRule="auto" w:before="73"/>
        <w:ind w:right="8112"/>
      </w:pPr>
      <w:r>
        <w:rPr/>
        <w:t>Directors' Report 31 December 2012</w:t>
      </w:r>
    </w:p>
    <w:p>
      <w:pPr>
        <w:pStyle w:val="BodyText"/>
        <w:rPr>
          <w:b/>
          <w:sz w:val="22"/>
        </w:rPr>
      </w:pPr>
    </w:p>
    <w:p>
      <w:pPr>
        <w:pStyle w:val="BodyText"/>
        <w:rPr>
          <w:b/>
          <w:sz w:val="22"/>
        </w:rPr>
      </w:pPr>
    </w:p>
    <w:p>
      <w:pPr>
        <w:pStyle w:val="BodyText"/>
        <w:spacing w:before="7"/>
        <w:rPr>
          <w:b/>
          <w:sz w:val="19"/>
        </w:rPr>
      </w:pPr>
    </w:p>
    <w:p>
      <w:pPr>
        <w:pStyle w:val="Heading9"/>
        <w:ind w:left="107" w:right="210"/>
      </w:pPr>
      <w:r>
        <w:rPr/>
        <w:t>Likely developments and expected results of operations</w:t>
      </w:r>
    </w:p>
    <w:p>
      <w:pPr>
        <w:pStyle w:val="BodyText"/>
        <w:spacing w:before="7"/>
        <w:rPr>
          <w:b/>
          <w:sz w:val="25"/>
        </w:rPr>
      </w:pPr>
    </w:p>
    <w:p>
      <w:pPr>
        <w:pStyle w:val="BodyText"/>
        <w:ind w:left="107" w:right="207"/>
      </w:pPr>
      <w:r>
        <w:rPr/>
        <w:t>Likely developments in the operations of the Company and the expected results of those operations in future financial years are not expected to significantly affect the expected results of the Company.</w:t>
      </w:r>
    </w:p>
    <w:p>
      <w:pPr>
        <w:pStyle w:val="BodyText"/>
        <w:spacing w:before="6"/>
        <w:rPr>
          <w:sz w:val="24"/>
        </w:rPr>
      </w:pPr>
    </w:p>
    <w:p>
      <w:pPr>
        <w:pStyle w:val="Heading9"/>
        <w:ind w:left="107" w:right="210"/>
      </w:pPr>
      <w:r>
        <w:rPr/>
        <w:t>Environmental regulation</w:t>
      </w:r>
    </w:p>
    <w:p>
      <w:pPr>
        <w:pStyle w:val="BodyText"/>
        <w:spacing w:before="7"/>
        <w:rPr>
          <w:b/>
          <w:sz w:val="25"/>
        </w:rPr>
      </w:pPr>
    </w:p>
    <w:p>
      <w:pPr>
        <w:pStyle w:val="BodyText"/>
        <w:ind w:left="107" w:right="210"/>
      </w:pPr>
      <w:r>
        <w:rPr/>
        <w:t>The Company is not subject to any significant environmental regulations.</w:t>
      </w:r>
    </w:p>
    <w:p>
      <w:pPr>
        <w:pStyle w:val="BodyText"/>
        <w:spacing w:before="6"/>
        <w:rPr>
          <w:sz w:val="24"/>
        </w:rPr>
      </w:pPr>
    </w:p>
    <w:p>
      <w:pPr>
        <w:pStyle w:val="Heading9"/>
        <w:ind w:left="107" w:right="210"/>
      </w:pPr>
      <w:r>
        <w:rPr/>
        <w:t>Insurance of officers</w:t>
      </w:r>
    </w:p>
    <w:p>
      <w:pPr>
        <w:pStyle w:val="BodyText"/>
        <w:spacing w:before="7"/>
        <w:rPr>
          <w:b/>
          <w:sz w:val="25"/>
        </w:rPr>
      </w:pPr>
    </w:p>
    <w:p>
      <w:pPr>
        <w:pStyle w:val="BodyText"/>
        <w:ind w:left="107" w:right="257"/>
      </w:pPr>
      <w:r>
        <w:rPr/>
        <w:t>No indemnities have been given or insurance premiums paid, during or since the end of the financial period, for any person who is or has been an officer or auditor of the Company.</w:t>
      </w:r>
    </w:p>
    <w:p>
      <w:pPr>
        <w:pStyle w:val="BodyText"/>
        <w:spacing w:before="9"/>
        <w:rPr>
          <w:sz w:val="24"/>
        </w:rPr>
      </w:pPr>
    </w:p>
    <w:p>
      <w:pPr>
        <w:pStyle w:val="Heading9"/>
        <w:ind w:left="107" w:right="210"/>
      </w:pPr>
      <w:r>
        <w:rPr/>
        <w:t>Proceeding on behalf of the Company</w:t>
      </w:r>
    </w:p>
    <w:p>
      <w:pPr>
        <w:pStyle w:val="BodyText"/>
        <w:spacing w:before="4"/>
        <w:rPr>
          <w:b/>
          <w:sz w:val="25"/>
        </w:rPr>
      </w:pPr>
    </w:p>
    <w:p>
      <w:pPr>
        <w:pStyle w:val="BodyText"/>
        <w:ind w:left="107" w:right="286"/>
      </w:pPr>
      <w:r>
        <w:rPr/>
        <w:t>No person has applied for leave of court to bring proceedings on behalf of the Company or intervene in any proceedings to which the Company is a party for the purpose of taking responsibility on behalf of the Company for all or any part of those proceedings.</w:t>
      </w:r>
    </w:p>
    <w:p>
      <w:pPr>
        <w:pStyle w:val="BodyText"/>
        <w:spacing w:before="2"/>
        <w:rPr>
          <w:sz w:val="25"/>
        </w:rPr>
      </w:pPr>
    </w:p>
    <w:p>
      <w:pPr>
        <w:pStyle w:val="BodyText"/>
        <w:ind w:left="107" w:right="210"/>
      </w:pPr>
      <w:r>
        <w:rPr/>
        <w:t>The Company was not a party to any such proceedings during the period.</w:t>
      </w:r>
    </w:p>
    <w:p>
      <w:pPr>
        <w:pStyle w:val="BodyText"/>
        <w:spacing w:before="6"/>
        <w:rPr>
          <w:sz w:val="24"/>
        </w:rPr>
      </w:pPr>
    </w:p>
    <w:p>
      <w:pPr>
        <w:pStyle w:val="Heading9"/>
        <w:ind w:left="107" w:right="210"/>
      </w:pPr>
      <w:r>
        <w:rPr/>
        <w:t>Auditor's independence declaration</w:t>
      </w:r>
    </w:p>
    <w:p>
      <w:pPr>
        <w:pStyle w:val="BodyText"/>
        <w:spacing w:before="4"/>
        <w:rPr>
          <w:b/>
          <w:sz w:val="25"/>
        </w:rPr>
      </w:pPr>
    </w:p>
    <w:p>
      <w:pPr>
        <w:pStyle w:val="BodyText"/>
        <w:spacing w:line="244" w:lineRule="auto"/>
        <w:ind w:left="107" w:right="104"/>
      </w:pPr>
      <w:r>
        <w:rPr/>
        <w:t>The</w:t>
      </w:r>
      <w:r>
        <w:rPr>
          <w:spacing w:val="-12"/>
        </w:rPr>
        <w:t> </w:t>
      </w:r>
      <w:r>
        <w:rPr/>
        <w:t>lead</w:t>
      </w:r>
      <w:r>
        <w:rPr>
          <w:spacing w:val="-12"/>
        </w:rPr>
        <w:t> </w:t>
      </w:r>
      <w:r>
        <w:rPr/>
        <w:t>auditor's</w:t>
      </w:r>
      <w:r>
        <w:rPr>
          <w:spacing w:val="-11"/>
        </w:rPr>
        <w:t> </w:t>
      </w:r>
      <w:r>
        <w:rPr/>
        <w:t>independence</w:t>
      </w:r>
      <w:r>
        <w:rPr>
          <w:spacing w:val="-12"/>
        </w:rPr>
        <w:t> </w:t>
      </w:r>
      <w:r>
        <w:rPr/>
        <w:t>declaration</w:t>
      </w:r>
      <w:r>
        <w:rPr>
          <w:spacing w:val="-12"/>
        </w:rPr>
        <w:t> </w:t>
      </w:r>
      <w:r>
        <w:rPr/>
        <w:t>in</w:t>
      </w:r>
      <w:r>
        <w:rPr>
          <w:spacing w:val="-12"/>
        </w:rPr>
        <w:t> </w:t>
      </w:r>
      <w:r>
        <w:rPr/>
        <w:t>accordance</w:t>
      </w:r>
      <w:r>
        <w:rPr>
          <w:spacing w:val="-12"/>
        </w:rPr>
        <w:t> </w:t>
      </w:r>
      <w:r>
        <w:rPr/>
        <w:t>with</w:t>
      </w:r>
      <w:r>
        <w:rPr>
          <w:spacing w:val="-12"/>
        </w:rPr>
        <w:t> </w:t>
      </w:r>
      <w:r>
        <w:rPr/>
        <w:t>section</w:t>
      </w:r>
      <w:r>
        <w:rPr>
          <w:spacing w:val="-12"/>
        </w:rPr>
        <w:t> </w:t>
      </w:r>
      <w:r>
        <w:rPr/>
        <w:t>307C</w:t>
      </w:r>
      <w:r>
        <w:rPr>
          <w:spacing w:val="-13"/>
        </w:rPr>
        <w:t> </w:t>
      </w:r>
      <w:r>
        <w:rPr/>
        <w:t>of</w:t>
      </w:r>
      <w:r>
        <w:rPr>
          <w:spacing w:val="-12"/>
        </w:rPr>
        <w:t> </w:t>
      </w:r>
      <w:r>
        <w:rPr/>
        <w:t>the</w:t>
      </w:r>
      <w:r>
        <w:rPr>
          <w:spacing w:val="-12"/>
        </w:rPr>
        <w:t> </w:t>
      </w:r>
      <w:r>
        <w:rPr>
          <w:i/>
        </w:rPr>
        <w:t>Corporations</w:t>
      </w:r>
      <w:r>
        <w:rPr>
          <w:i/>
          <w:spacing w:val="-11"/>
        </w:rPr>
        <w:t> </w:t>
      </w:r>
      <w:r>
        <w:rPr>
          <w:i/>
        </w:rPr>
        <w:t>Act</w:t>
      </w:r>
      <w:r>
        <w:rPr>
          <w:i/>
          <w:spacing w:val="-12"/>
        </w:rPr>
        <w:t> </w:t>
      </w:r>
      <w:r>
        <w:rPr>
          <w:i/>
        </w:rPr>
        <w:t>2001</w:t>
      </w:r>
      <w:r>
        <w:rPr/>
        <w:t>,</w:t>
      </w:r>
      <w:r>
        <w:rPr>
          <w:spacing w:val="-12"/>
        </w:rPr>
        <w:t> </w:t>
      </w:r>
      <w:r>
        <w:rPr/>
        <w:t>for</w:t>
      </w:r>
      <w:r>
        <w:rPr>
          <w:spacing w:val="-13"/>
        </w:rPr>
        <w:t> </w:t>
      </w:r>
      <w:r>
        <w:rPr/>
        <w:t>the</w:t>
      </w:r>
      <w:r>
        <w:rPr>
          <w:spacing w:val="-12"/>
        </w:rPr>
        <w:t> </w:t>
      </w:r>
      <w:r>
        <w:rPr/>
        <w:t>period</w:t>
      </w:r>
      <w:r>
        <w:rPr>
          <w:spacing w:val="-12"/>
        </w:rPr>
        <w:t> </w:t>
      </w:r>
      <w:r>
        <w:rPr/>
        <w:t>from 2 March 2012 to 31 December 2012 has been received and can be found in the financial</w:t>
      </w:r>
      <w:r>
        <w:rPr>
          <w:spacing w:val="-34"/>
        </w:rPr>
        <w:t> </w:t>
      </w:r>
      <w:r>
        <w:rPr/>
        <w:t>report.</w:t>
      </w:r>
    </w:p>
    <w:p>
      <w:pPr>
        <w:pStyle w:val="BodyText"/>
        <w:spacing w:before="7"/>
        <w:rPr>
          <w:sz w:val="24"/>
        </w:rPr>
      </w:pPr>
    </w:p>
    <w:p>
      <w:pPr>
        <w:pStyle w:val="BodyText"/>
        <w:ind w:left="107" w:right="210"/>
      </w:pPr>
      <w:r>
        <w:rPr/>
        <w:t>This report is made in accordance with a resolution of the Board of Directors:</w:t>
      </w:r>
    </w:p>
    <w:p>
      <w:pPr>
        <w:pStyle w:val="BodyText"/>
        <w:rPr>
          <w:sz w:val="20"/>
        </w:rPr>
      </w:pPr>
    </w:p>
    <w:p>
      <w:pPr>
        <w:pStyle w:val="BodyText"/>
        <w:spacing w:before="9"/>
        <w:rPr>
          <w:sz w:val="19"/>
        </w:rPr>
      </w:pPr>
      <w:r>
        <w:rPr/>
        <w:drawing>
          <wp:anchor distT="0" distB="0" distL="0" distR="0" allowOverlap="1" layoutInCell="1" locked="0" behindDoc="0" simplePos="0" relativeHeight="5848">
            <wp:simplePos x="0" y="0"/>
            <wp:positionH relativeFrom="page">
              <wp:posOffset>640714</wp:posOffset>
            </wp:positionH>
            <wp:positionV relativeFrom="paragraph">
              <wp:posOffset>169579</wp:posOffset>
            </wp:positionV>
            <wp:extent cx="6085081" cy="2000250"/>
            <wp:effectExtent l="0" t="0" r="0" b="0"/>
            <wp:wrapTopAndBottom/>
            <wp:docPr id="97" name="image76.png" descr=""/>
            <wp:cNvGraphicFramePr>
              <a:graphicFrameLocks noChangeAspect="1"/>
            </wp:cNvGraphicFramePr>
            <a:graphic>
              <a:graphicData uri="http://schemas.openxmlformats.org/drawingml/2006/picture">
                <pic:pic>
                  <pic:nvPicPr>
                    <pic:cNvPr id="98" name="image76.png"/>
                    <pic:cNvPicPr/>
                  </pic:nvPicPr>
                  <pic:blipFill>
                    <a:blip r:embed="rId227" cstate="print"/>
                    <a:stretch>
                      <a:fillRect/>
                    </a:stretch>
                  </pic:blipFill>
                  <pic:spPr>
                    <a:xfrm>
                      <a:off x="0" y="0"/>
                      <a:ext cx="6085081" cy="2000250"/>
                    </a:xfrm>
                    <a:prstGeom prst="rect">
                      <a:avLst/>
                    </a:prstGeom>
                  </pic:spPr>
                </pic:pic>
              </a:graphicData>
            </a:graphic>
          </wp:anchor>
        </w:drawing>
      </w:r>
    </w:p>
    <w:p>
      <w:pPr>
        <w:spacing w:after="0"/>
        <w:rPr>
          <w:sz w:val="19"/>
        </w:rPr>
        <w:sectPr>
          <w:pgSz w:w="11960" w:h="16850"/>
          <w:pgMar w:header="743" w:footer="507" w:top="1180" w:bottom="700" w:left="900" w:right="900"/>
        </w:sectPr>
      </w:pPr>
    </w:p>
    <w:p>
      <w:pPr>
        <w:pStyle w:val="Heading6"/>
        <w:spacing w:before="59"/>
        <w:ind w:right="262"/>
      </w:pPr>
      <w:r>
        <w:rPr/>
        <w:t>UWS Early Learning Limited</w:t>
      </w:r>
    </w:p>
    <w:p>
      <w:pPr>
        <w:spacing w:before="57"/>
        <w:ind w:left="107" w:right="262" w:firstLine="0"/>
        <w:jc w:val="left"/>
        <w:rPr>
          <w:b/>
          <w:sz w:val="14"/>
        </w:rPr>
      </w:pPr>
      <w:r>
        <w:rPr>
          <w:b/>
          <w:sz w:val="14"/>
        </w:rPr>
        <w:t>ABN 39155993445</w:t>
      </w:r>
    </w:p>
    <w:p>
      <w:pPr>
        <w:pStyle w:val="BodyText"/>
        <w:spacing w:before="3"/>
        <w:rPr>
          <w:b/>
          <w:sz w:val="22"/>
        </w:rPr>
      </w:pPr>
      <w:r>
        <w:rPr/>
        <w:drawing>
          <wp:anchor distT="0" distB="0" distL="0" distR="0" allowOverlap="1" layoutInCell="1" locked="0" behindDoc="0" simplePos="0" relativeHeight="5872">
            <wp:simplePos x="0" y="0"/>
            <wp:positionH relativeFrom="page">
              <wp:posOffset>641984</wp:posOffset>
            </wp:positionH>
            <wp:positionV relativeFrom="paragraph">
              <wp:posOffset>187726</wp:posOffset>
            </wp:positionV>
            <wp:extent cx="6181623" cy="8629078"/>
            <wp:effectExtent l="0" t="0" r="0" b="0"/>
            <wp:wrapTopAndBottom/>
            <wp:docPr id="99" name="image77.jpeg" descr=""/>
            <wp:cNvGraphicFramePr>
              <a:graphicFrameLocks noChangeAspect="1"/>
            </wp:cNvGraphicFramePr>
            <a:graphic>
              <a:graphicData uri="http://schemas.openxmlformats.org/drawingml/2006/picture">
                <pic:pic>
                  <pic:nvPicPr>
                    <pic:cNvPr id="100" name="image77.jpeg"/>
                    <pic:cNvPicPr/>
                  </pic:nvPicPr>
                  <pic:blipFill>
                    <a:blip r:embed="rId230" cstate="print"/>
                    <a:stretch>
                      <a:fillRect/>
                    </a:stretch>
                  </pic:blipFill>
                  <pic:spPr>
                    <a:xfrm>
                      <a:off x="0" y="0"/>
                      <a:ext cx="6181623" cy="8629078"/>
                    </a:xfrm>
                    <a:prstGeom prst="rect">
                      <a:avLst/>
                    </a:prstGeom>
                  </pic:spPr>
                </pic:pic>
              </a:graphicData>
            </a:graphic>
          </wp:anchor>
        </w:drawing>
      </w:r>
    </w:p>
    <w:p>
      <w:pPr>
        <w:spacing w:after="0"/>
        <w:rPr>
          <w:sz w:val="22"/>
        </w:rPr>
        <w:sectPr>
          <w:headerReference w:type="default" r:id="rId228"/>
          <w:footerReference w:type="default" r:id="rId229"/>
          <w:pgSz w:w="11960" w:h="16850"/>
          <w:pgMar w:header="0" w:footer="507" w:top="900" w:bottom="700" w:left="900" w:right="940"/>
          <w:pgNumType w:start="232"/>
        </w:sectPr>
      </w:pPr>
    </w:p>
    <w:p>
      <w:pPr>
        <w:pStyle w:val="BodyText"/>
        <w:spacing w:before="8"/>
        <w:rPr>
          <w:b/>
          <w:sz w:val="23"/>
        </w:rPr>
      </w:pPr>
    </w:p>
    <w:p>
      <w:pPr>
        <w:pStyle w:val="Heading6"/>
        <w:spacing w:before="73"/>
        <w:ind w:left="287" w:right="0"/>
      </w:pPr>
      <w:r>
        <w:rPr/>
        <w:t>Statement of Comprehensive Income</w:t>
      </w:r>
    </w:p>
    <w:p>
      <w:pPr>
        <w:spacing w:before="54"/>
        <w:ind w:left="288" w:right="0" w:firstLine="0"/>
        <w:jc w:val="left"/>
        <w:rPr>
          <w:b/>
          <w:sz w:val="22"/>
        </w:rPr>
      </w:pPr>
      <w:r>
        <w:rPr>
          <w:b/>
          <w:sz w:val="22"/>
        </w:rPr>
        <w:t>For the period from 2 March 2012 to 31 December 2012</w:t>
      </w:r>
    </w:p>
    <w:p>
      <w:pPr>
        <w:pStyle w:val="BodyText"/>
        <w:rPr>
          <w:b/>
          <w:sz w:val="20"/>
        </w:rPr>
      </w:pPr>
    </w:p>
    <w:p>
      <w:pPr>
        <w:pStyle w:val="BodyText"/>
        <w:rPr>
          <w:b/>
          <w:sz w:val="20"/>
        </w:rPr>
      </w:pPr>
    </w:p>
    <w:p>
      <w:pPr>
        <w:pStyle w:val="BodyText"/>
        <w:spacing w:before="7"/>
        <w:rPr>
          <w:b/>
          <w:sz w:val="24"/>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174"/>
        <w:gridCol w:w="2620"/>
        <w:gridCol w:w="1298"/>
      </w:tblGrid>
      <w:tr>
        <w:trPr>
          <w:trHeight w:val="509" w:hRule="exact"/>
        </w:trPr>
        <w:tc>
          <w:tcPr>
            <w:tcW w:w="6174" w:type="dxa"/>
          </w:tcPr>
          <w:p>
            <w:pPr/>
          </w:p>
        </w:tc>
        <w:tc>
          <w:tcPr>
            <w:tcW w:w="2620" w:type="dxa"/>
          </w:tcPr>
          <w:p>
            <w:pPr>
              <w:pStyle w:val="TableParagraph"/>
              <w:spacing w:before="1"/>
              <w:rPr>
                <w:b/>
                <w:sz w:val="19"/>
              </w:rPr>
            </w:pPr>
          </w:p>
          <w:p>
            <w:pPr>
              <w:pStyle w:val="TableParagraph"/>
              <w:ind w:right="87"/>
              <w:jc w:val="right"/>
              <w:rPr>
                <w:b/>
                <w:sz w:val="18"/>
              </w:rPr>
            </w:pPr>
            <w:r>
              <w:rPr>
                <w:b/>
                <w:sz w:val="18"/>
              </w:rPr>
              <w:t>Note</w:t>
            </w:r>
          </w:p>
        </w:tc>
        <w:tc>
          <w:tcPr>
            <w:tcW w:w="1298" w:type="dxa"/>
          </w:tcPr>
          <w:p>
            <w:pPr>
              <w:pStyle w:val="TableParagraph"/>
              <w:spacing w:line="184" w:lineRule="exact"/>
              <w:ind w:left="406" w:right="404"/>
              <w:jc w:val="center"/>
              <w:rPr>
                <w:b/>
                <w:sz w:val="18"/>
              </w:rPr>
            </w:pPr>
            <w:r>
              <w:rPr>
                <w:b/>
                <w:sz w:val="18"/>
              </w:rPr>
              <w:t>2012</w:t>
            </w:r>
          </w:p>
          <w:p>
            <w:pPr>
              <w:pStyle w:val="TableParagraph"/>
              <w:spacing w:before="35"/>
              <w:ind w:left="1"/>
              <w:jc w:val="center"/>
              <w:rPr>
                <w:b/>
                <w:sz w:val="18"/>
              </w:rPr>
            </w:pPr>
            <w:r>
              <w:rPr>
                <w:b/>
                <w:w w:val="99"/>
                <w:sz w:val="18"/>
              </w:rPr>
              <w:t>$</w:t>
            </w:r>
          </w:p>
        </w:tc>
      </w:tr>
      <w:tr>
        <w:trPr>
          <w:trHeight w:val="294" w:hRule="exact"/>
        </w:trPr>
        <w:tc>
          <w:tcPr>
            <w:tcW w:w="6174" w:type="dxa"/>
          </w:tcPr>
          <w:p>
            <w:pPr>
              <w:pStyle w:val="TableParagraph"/>
              <w:spacing w:before="63"/>
              <w:ind w:left="200"/>
              <w:rPr>
                <w:b/>
                <w:sz w:val="18"/>
              </w:rPr>
            </w:pPr>
            <w:r>
              <w:rPr>
                <w:b/>
                <w:sz w:val="18"/>
              </w:rPr>
              <w:t>Revenue</w:t>
            </w:r>
          </w:p>
        </w:tc>
        <w:tc>
          <w:tcPr>
            <w:tcW w:w="2620" w:type="dxa"/>
          </w:tcPr>
          <w:p>
            <w:pPr/>
          </w:p>
        </w:tc>
        <w:tc>
          <w:tcPr>
            <w:tcW w:w="1298" w:type="dxa"/>
          </w:tcPr>
          <w:p>
            <w:pPr/>
          </w:p>
        </w:tc>
      </w:tr>
      <w:tr>
        <w:trPr>
          <w:trHeight w:val="251" w:hRule="exact"/>
        </w:trPr>
        <w:tc>
          <w:tcPr>
            <w:tcW w:w="6174" w:type="dxa"/>
          </w:tcPr>
          <w:p>
            <w:pPr>
              <w:pStyle w:val="TableParagraph"/>
              <w:spacing w:before="9"/>
              <w:ind w:left="200"/>
              <w:rPr>
                <w:sz w:val="18"/>
              </w:rPr>
            </w:pPr>
            <w:r>
              <w:rPr>
                <w:sz w:val="18"/>
              </w:rPr>
              <w:t>Child care services</w:t>
            </w:r>
          </w:p>
        </w:tc>
        <w:tc>
          <w:tcPr>
            <w:tcW w:w="2620" w:type="dxa"/>
          </w:tcPr>
          <w:p>
            <w:pPr>
              <w:pStyle w:val="TableParagraph"/>
              <w:spacing w:before="9"/>
              <w:ind w:right="236"/>
              <w:jc w:val="right"/>
              <w:rPr>
                <w:sz w:val="18"/>
              </w:rPr>
            </w:pPr>
            <w:r>
              <w:rPr>
                <w:w w:val="99"/>
                <w:sz w:val="18"/>
              </w:rPr>
              <w:t>2</w:t>
            </w:r>
          </w:p>
        </w:tc>
        <w:tc>
          <w:tcPr>
            <w:tcW w:w="1298" w:type="dxa"/>
          </w:tcPr>
          <w:p>
            <w:pPr>
              <w:pStyle w:val="TableParagraph"/>
              <w:spacing w:before="4"/>
              <w:ind w:right="48"/>
              <w:jc w:val="right"/>
              <w:rPr>
                <w:b/>
                <w:sz w:val="18"/>
              </w:rPr>
            </w:pPr>
            <w:r>
              <w:rPr>
                <w:b/>
                <w:sz w:val="18"/>
              </w:rPr>
              <w:t>2,383,205</w:t>
            </w:r>
          </w:p>
        </w:tc>
      </w:tr>
      <w:tr>
        <w:trPr>
          <w:trHeight w:val="268" w:hRule="exact"/>
        </w:trPr>
        <w:tc>
          <w:tcPr>
            <w:tcW w:w="6174" w:type="dxa"/>
          </w:tcPr>
          <w:p>
            <w:pPr>
              <w:pStyle w:val="TableParagraph"/>
              <w:spacing w:before="20"/>
              <w:ind w:left="200"/>
              <w:rPr>
                <w:sz w:val="18"/>
              </w:rPr>
            </w:pPr>
            <w:r>
              <w:rPr>
                <w:sz w:val="18"/>
              </w:rPr>
              <w:t>Fundraising revenue</w:t>
            </w:r>
          </w:p>
        </w:tc>
        <w:tc>
          <w:tcPr>
            <w:tcW w:w="2620" w:type="dxa"/>
          </w:tcPr>
          <w:p>
            <w:pPr>
              <w:pStyle w:val="TableParagraph"/>
              <w:spacing w:before="20"/>
              <w:ind w:right="185"/>
              <w:jc w:val="right"/>
              <w:rPr>
                <w:sz w:val="18"/>
              </w:rPr>
            </w:pPr>
            <w:r>
              <w:rPr>
                <w:w w:val="95"/>
                <w:sz w:val="18"/>
              </w:rPr>
              <w:t>18</w:t>
            </w:r>
          </w:p>
        </w:tc>
        <w:tc>
          <w:tcPr>
            <w:tcW w:w="1298" w:type="dxa"/>
            <w:tcBorders>
              <w:bottom w:val="single" w:sz="8" w:space="0" w:color="000000"/>
            </w:tcBorders>
          </w:tcPr>
          <w:p>
            <w:pPr>
              <w:pStyle w:val="TableParagraph"/>
              <w:spacing w:before="15"/>
              <w:ind w:right="48"/>
              <w:jc w:val="right"/>
              <w:rPr>
                <w:b/>
                <w:sz w:val="18"/>
              </w:rPr>
            </w:pPr>
            <w:r>
              <w:rPr>
                <w:b/>
                <w:sz w:val="18"/>
              </w:rPr>
              <w:t>7,534</w:t>
            </w:r>
          </w:p>
        </w:tc>
      </w:tr>
      <w:tr>
        <w:trPr>
          <w:trHeight w:val="389" w:hRule="exact"/>
        </w:trPr>
        <w:tc>
          <w:tcPr>
            <w:tcW w:w="6174" w:type="dxa"/>
          </w:tcPr>
          <w:p>
            <w:pPr>
              <w:pStyle w:val="TableParagraph"/>
              <w:spacing w:before="116"/>
              <w:ind w:left="200"/>
              <w:rPr>
                <w:b/>
                <w:sz w:val="18"/>
              </w:rPr>
            </w:pPr>
            <w:r>
              <w:rPr>
                <w:b/>
                <w:sz w:val="18"/>
              </w:rPr>
              <w:t>Total Revenue</w:t>
            </w:r>
          </w:p>
        </w:tc>
        <w:tc>
          <w:tcPr>
            <w:tcW w:w="2620" w:type="dxa"/>
          </w:tcPr>
          <w:p>
            <w:pPr/>
          </w:p>
        </w:tc>
        <w:tc>
          <w:tcPr>
            <w:tcW w:w="1298" w:type="dxa"/>
            <w:tcBorders>
              <w:top w:val="single" w:sz="8" w:space="0" w:color="000000"/>
            </w:tcBorders>
          </w:tcPr>
          <w:p>
            <w:pPr>
              <w:pStyle w:val="TableParagraph"/>
              <w:spacing w:before="107"/>
              <w:ind w:right="48"/>
              <w:jc w:val="right"/>
              <w:rPr>
                <w:b/>
                <w:sz w:val="18"/>
              </w:rPr>
            </w:pPr>
            <w:r>
              <w:rPr>
                <w:b/>
                <w:sz w:val="18"/>
              </w:rPr>
              <w:t>2,390,739</w:t>
            </w:r>
          </w:p>
        </w:tc>
      </w:tr>
      <w:tr>
        <w:trPr>
          <w:trHeight w:val="277" w:hRule="exact"/>
        </w:trPr>
        <w:tc>
          <w:tcPr>
            <w:tcW w:w="6174" w:type="dxa"/>
          </w:tcPr>
          <w:p>
            <w:pPr>
              <w:pStyle w:val="TableParagraph"/>
              <w:spacing w:before="46"/>
              <w:ind w:left="200"/>
              <w:rPr>
                <w:b/>
                <w:sz w:val="18"/>
              </w:rPr>
            </w:pPr>
            <w:r>
              <w:rPr>
                <w:b/>
                <w:sz w:val="18"/>
              </w:rPr>
              <w:t>Other Revenue</w:t>
            </w:r>
          </w:p>
        </w:tc>
        <w:tc>
          <w:tcPr>
            <w:tcW w:w="2620" w:type="dxa"/>
          </w:tcPr>
          <w:p>
            <w:pPr/>
          </w:p>
        </w:tc>
        <w:tc>
          <w:tcPr>
            <w:tcW w:w="1298" w:type="dxa"/>
          </w:tcPr>
          <w:p>
            <w:pPr/>
          </w:p>
        </w:tc>
      </w:tr>
      <w:tr>
        <w:trPr>
          <w:trHeight w:val="251" w:hRule="exact"/>
        </w:trPr>
        <w:tc>
          <w:tcPr>
            <w:tcW w:w="6174" w:type="dxa"/>
          </w:tcPr>
          <w:p>
            <w:pPr>
              <w:pStyle w:val="TableParagraph"/>
              <w:spacing w:before="9"/>
              <w:ind w:left="200"/>
              <w:rPr>
                <w:sz w:val="18"/>
              </w:rPr>
            </w:pPr>
            <w:r>
              <w:rPr>
                <w:sz w:val="18"/>
              </w:rPr>
              <w:t>Interest</w:t>
            </w:r>
          </w:p>
        </w:tc>
        <w:tc>
          <w:tcPr>
            <w:tcW w:w="2620" w:type="dxa"/>
          </w:tcPr>
          <w:p>
            <w:pPr/>
          </w:p>
        </w:tc>
        <w:tc>
          <w:tcPr>
            <w:tcW w:w="1298" w:type="dxa"/>
          </w:tcPr>
          <w:p>
            <w:pPr>
              <w:pStyle w:val="TableParagraph"/>
              <w:spacing w:before="4"/>
              <w:ind w:right="49"/>
              <w:jc w:val="right"/>
              <w:rPr>
                <w:b/>
                <w:sz w:val="18"/>
              </w:rPr>
            </w:pPr>
            <w:r>
              <w:rPr>
                <w:b/>
                <w:sz w:val="18"/>
              </w:rPr>
              <w:t>18,270</w:t>
            </w:r>
          </w:p>
        </w:tc>
      </w:tr>
      <w:tr>
        <w:trPr>
          <w:trHeight w:val="268" w:hRule="exact"/>
        </w:trPr>
        <w:tc>
          <w:tcPr>
            <w:tcW w:w="6174" w:type="dxa"/>
          </w:tcPr>
          <w:p>
            <w:pPr>
              <w:pStyle w:val="TableParagraph"/>
              <w:spacing w:before="20"/>
              <w:ind w:left="200"/>
              <w:rPr>
                <w:sz w:val="18"/>
              </w:rPr>
            </w:pPr>
            <w:r>
              <w:rPr>
                <w:sz w:val="18"/>
              </w:rPr>
              <w:t>Donation from UWS Early Learning Inc.</w:t>
            </w:r>
          </w:p>
        </w:tc>
        <w:tc>
          <w:tcPr>
            <w:tcW w:w="2620" w:type="dxa"/>
          </w:tcPr>
          <w:p>
            <w:pPr>
              <w:pStyle w:val="TableParagraph"/>
              <w:spacing w:before="20"/>
              <w:ind w:right="185"/>
              <w:jc w:val="right"/>
              <w:rPr>
                <w:sz w:val="18"/>
              </w:rPr>
            </w:pPr>
            <w:r>
              <w:rPr>
                <w:w w:val="95"/>
                <w:sz w:val="18"/>
              </w:rPr>
              <w:t>14</w:t>
            </w:r>
          </w:p>
        </w:tc>
        <w:tc>
          <w:tcPr>
            <w:tcW w:w="1298" w:type="dxa"/>
            <w:tcBorders>
              <w:bottom w:val="single" w:sz="8" w:space="0" w:color="000000"/>
            </w:tcBorders>
          </w:tcPr>
          <w:p>
            <w:pPr>
              <w:pStyle w:val="TableParagraph"/>
              <w:spacing w:before="15"/>
              <w:ind w:right="48"/>
              <w:jc w:val="right"/>
              <w:rPr>
                <w:b/>
                <w:sz w:val="18"/>
              </w:rPr>
            </w:pPr>
            <w:r>
              <w:rPr>
                <w:b/>
                <w:sz w:val="18"/>
              </w:rPr>
              <w:t>207,632</w:t>
            </w:r>
          </w:p>
        </w:tc>
      </w:tr>
      <w:tr>
        <w:trPr>
          <w:trHeight w:val="391" w:hRule="exact"/>
        </w:trPr>
        <w:tc>
          <w:tcPr>
            <w:tcW w:w="6174" w:type="dxa"/>
          </w:tcPr>
          <w:p>
            <w:pPr>
              <w:pStyle w:val="TableParagraph"/>
              <w:spacing w:before="116"/>
              <w:ind w:left="200"/>
              <w:rPr>
                <w:b/>
                <w:sz w:val="18"/>
              </w:rPr>
            </w:pPr>
            <w:r>
              <w:rPr>
                <w:b/>
                <w:sz w:val="18"/>
              </w:rPr>
              <w:t>Total Other Revenue</w:t>
            </w:r>
          </w:p>
        </w:tc>
        <w:tc>
          <w:tcPr>
            <w:tcW w:w="2620" w:type="dxa"/>
          </w:tcPr>
          <w:p>
            <w:pPr/>
          </w:p>
        </w:tc>
        <w:tc>
          <w:tcPr>
            <w:tcW w:w="1298" w:type="dxa"/>
            <w:tcBorders>
              <w:top w:val="single" w:sz="8" w:space="0" w:color="000000"/>
            </w:tcBorders>
          </w:tcPr>
          <w:p>
            <w:pPr>
              <w:pStyle w:val="TableParagraph"/>
              <w:spacing w:before="107"/>
              <w:ind w:right="48"/>
              <w:jc w:val="right"/>
              <w:rPr>
                <w:b/>
                <w:sz w:val="18"/>
              </w:rPr>
            </w:pPr>
            <w:r>
              <w:rPr>
                <w:b/>
                <w:sz w:val="18"/>
              </w:rPr>
              <w:t>225,902</w:t>
            </w:r>
          </w:p>
        </w:tc>
      </w:tr>
      <w:tr>
        <w:trPr>
          <w:trHeight w:val="269" w:hRule="exact"/>
        </w:trPr>
        <w:tc>
          <w:tcPr>
            <w:tcW w:w="6174" w:type="dxa"/>
          </w:tcPr>
          <w:p>
            <w:pPr>
              <w:pStyle w:val="TableParagraph"/>
              <w:spacing w:before="48"/>
              <w:ind w:left="200"/>
              <w:rPr>
                <w:b/>
                <w:sz w:val="18"/>
              </w:rPr>
            </w:pPr>
            <w:r>
              <w:rPr>
                <w:b/>
                <w:sz w:val="18"/>
              </w:rPr>
              <w:t>Total Revenue</w:t>
            </w:r>
          </w:p>
        </w:tc>
        <w:tc>
          <w:tcPr>
            <w:tcW w:w="2620" w:type="dxa"/>
          </w:tcPr>
          <w:p>
            <w:pPr/>
          </w:p>
        </w:tc>
        <w:tc>
          <w:tcPr>
            <w:tcW w:w="1298" w:type="dxa"/>
            <w:tcBorders>
              <w:bottom w:val="single" w:sz="8" w:space="0" w:color="000000"/>
            </w:tcBorders>
          </w:tcPr>
          <w:p>
            <w:pPr>
              <w:pStyle w:val="TableParagraph"/>
              <w:spacing w:before="48"/>
              <w:ind w:right="48"/>
              <w:jc w:val="right"/>
              <w:rPr>
                <w:b/>
                <w:sz w:val="18"/>
              </w:rPr>
            </w:pPr>
            <w:r>
              <w:rPr>
                <w:b/>
                <w:sz w:val="18"/>
              </w:rPr>
              <w:t>2,616,641</w:t>
            </w:r>
          </w:p>
        </w:tc>
      </w:tr>
      <w:tr>
        <w:trPr>
          <w:trHeight w:val="347" w:hRule="exact"/>
        </w:trPr>
        <w:tc>
          <w:tcPr>
            <w:tcW w:w="6174" w:type="dxa"/>
          </w:tcPr>
          <w:p>
            <w:pPr>
              <w:pStyle w:val="TableParagraph"/>
              <w:spacing w:before="116"/>
              <w:ind w:left="200"/>
              <w:rPr>
                <w:b/>
                <w:sz w:val="18"/>
              </w:rPr>
            </w:pPr>
            <w:r>
              <w:rPr>
                <w:b/>
                <w:sz w:val="18"/>
              </w:rPr>
              <w:t>Expenses</w:t>
            </w:r>
          </w:p>
        </w:tc>
        <w:tc>
          <w:tcPr>
            <w:tcW w:w="2620" w:type="dxa"/>
          </w:tcPr>
          <w:p>
            <w:pPr/>
          </w:p>
        </w:tc>
        <w:tc>
          <w:tcPr>
            <w:tcW w:w="1298" w:type="dxa"/>
            <w:tcBorders>
              <w:top w:val="single" w:sz="8" w:space="0" w:color="000000"/>
            </w:tcBorders>
          </w:tcPr>
          <w:p>
            <w:pPr/>
          </w:p>
        </w:tc>
      </w:tr>
      <w:tr>
        <w:trPr>
          <w:trHeight w:val="251" w:hRule="exact"/>
        </w:trPr>
        <w:tc>
          <w:tcPr>
            <w:tcW w:w="6174" w:type="dxa"/>
          </w:tcPr>
          <w:p>
            <w:pPr>
              <w:pStyle w:val="TableParagraph"/>
              <w:spacing w:before="9"/>
              <w:ind w:left="200"/>
              <w:rPr>
                <w:sz w:val="18"/>
              </w:rPr>
            </w:pPr>
            <w:r>
              <w:rPr>
                <w:sz w:val="18"/>
              </w:rPr>
              <w:t>Employee benefits expense</w:t>
            </w:r>
          </w:p>
        </w:tc>
        <w:tc>
          <w:tcPr>
            <w:tcW w:w="2620" w:type="dxa"/>
          </w:tcPr>
          <w:p>
            <w:pPr>
              <w:pStyle w:val="TableParagraph"/>
              <w:spacing w:before="9"/>
              <w:ind w:right="236"/>
              <w:jc w:val="right"/>
              <w:rPr>
                <w:sz w:val="18"/>
              </w:rPr>
            </w:pPr>
            <w:r>
              <w:rPr>
                <w:w w:val="99"/>
                <w:sz w:val="18"/>
              </w:rPr>
              <w:t>3</w:t>
            </w:r>
          </w:p>
        </w:tc>
        <w:tc>
          <w:tcPr>
            <w:tcW w:w="1298" w:type="dxa"/>
          </w:tcPr>
          <w:p>
            <w:pPr>
              <w:pStyle w:val="TableParagraph"/>
              <w:spacing w:before="4"/>
              <w:ind w:right="47"/>
              <w:jc w:val="right"/>
              <w:rPr>
                <w:b/>
                <w:sz w:val="18"/>
              </w:rPr>
            </w:pPr>
            <w:r>
              <w:rPr>
                <w:b/>
                <w:sz w:val="18"/>
              </w:rPr>
              <w:t>(1,902,828)</w:t>
            </w:r>
          </w:p>
        </w:tc>
      </w:tr>
      <w:tr>
        <w:trPr>
          <w:trHeight w:val="263" w:hRule="exact"/>
        </w:trPr>
        <w:tc>
          <w:tcPr>
            <w:tcW w:w="6174" w:type="dxa"/>
          </w:tcPr>
          <w:p>
            <w:pPr>
              <w:pStyle w:val="TableParagraph"/>
              <w:spacing w:before="20"/>
              <w:ind w:left="200"/>
              <w:rPr>
                <w:sz w:val="18"/>
              </w:rPr>
            </w:pPr>
            <w:r>
              <w:rPr>
                <w:sz w:val="18"/>
              </w:rPr>
              <w:t>Fundraising expense</w:t>
            </w:r>
          </w:p>
        </w:tc>
        <w:tc>
          <w:tcPr>
            <w:tcW w:w="2620" w:type="dxa"/>
          </w:tcPr>
          <w:p>
            <w:pPr>
              <w:pStyle w:val="TableParagraph"/>
              <w:spacing w:before="20"/>
              <w:ind w:right="185"/>
              <w:jc w:val="right"/>
              <w:rPr>
                <w:sz w:val="18"/>
              </w:rPr>
            </w:pPr>
            <w:r>
              <w:rPr>
                <w:w w:val="95"/>
                <w:sz w:val="18"/>
              </w:rPr>
              <w:t>18</w:t>
            </w:r>
          </w:p>
        </w:tc>
        <w:tc>
          <w:tcPr>
            <w:tcW w:w="1298" w:type="dxa"/>
          </w:tcPr>
          <w:p>
            <w:pPr>
              <w:pStyle w:val="TableParagraph"/>
              <w:spacing w:before="15"/>
              <w:ind w:right="47"/>
              <w:jc w:val="right"/>
              <w:rPr>
                <w:b/>
                <w:sz w:val="18"/>
              </w:rPr>
            </w:pPr>
            <w:r>
              <w:rPr>
                <w:b/>
                <w:w w:val="95"/>
                <w:sz w:val="18"/>
              </w:rPr>
              <w:t>(3,983)</w:t>
            </w:r>
          </w:p>
        </w:tc>
      </w:tr>
      <w:tr>
        <w:trPr>
          <w:trHeight w:val="267" w:hRule="exact"/>
        </w:trPr>
        <w:tc>
          <w:tcPr>
            <w:tcW w:w="6174" w:type="dxa"/>
          </w:tcPr>
          <w:p>
            <w:pPr>
              <w:pStyle w:val="TableParagraph"/>
              <w:spacing w:before="21"/>
              <w:ind w:left="200"/>
              <w:rPr>
                <w:sz w:val="18"/>
              </w:rPr>
            </w:pPr>
            <w:r>
              <w:rPr>
                <w:sz w:val="18"/>
              </w:rPr>
              <w:t>Other expenses</w:t>
            </w:r>
          </w:p>
        </w:tc>
        <w:tc>
          <w:tcPr>
            <w:tcW w:w="2620" w:type="dxa"/>
          </w:tcPr>
          <w:p>
            <w:pPr>
              <w:pStyle w:val="TableParagraph"/>
              <w:spacing w:before="21"/>
              <w:ind w:right="236"/>
              <w:jc w:val="right"/>
              <w:rPr>
                <w:sz w:val="18"/>
              </w:rPr>
            </w:pPr>
            <w:r>
              <w:rPr>
                <w:w w:val="99"/>
                <w:sz w:val="18"/>
              </w:rPr>
              <w:t>3</w:t>
            </w:r>
          </w:p>
        </w:tc>
        <w:tc>
          <w:tcPr>
            <w:tcW w:w="1298" w:type="dxa"/>
            <w:tcBorders>
              <w:bottom w:val="single" w:sz="8" w:space="0" w:color="000000"/>
            </w:tcBorders>
          </w:tcPr>
          <w:p>
            <w:pPr>
              <w:pStyle w:val="TableParagraph"/>
              <w:spacing w:before="16"/>
              <w:ind w:right="47"/>
              <w:jc w:val="right"/>
              <w:rPr>
                <w:b/>
                <w:sz w:val="18"/>
              </w:rPr>
            </w:pPr>
            <w:r>
              <w:rPr>
                <w:b/>
                <w:sz w:val="18"/>
              </w:rPr>
              <w:t>(305,465)</w:t>
            </w:r>
          </w:p>
        </w:tc>
      </w:tr>
      <w:tr>
        <w:trPr>
          <w:trHeight w:val="341" w:hRule="exact"/>
        </w:trPr>
        <w:tc>
          <w:tcPr>
            <w:tcW w:w="6174" w:type="dxa"/>
          </w:tcPr>
          <w:p>
            <w:pPr>
              <w:pStyle w:val="TableParagraph"/>
              <w:spacing w:before="119"/>
              <w:ind w:left="200"/>
              <w:rPr>
                <w:b/>
                <w:sz w:val="18"/>
              </w:rPr>
            </w:pPr>
            <w:r>
              <w:rPr>
                <w:b/>
                <w:sz w:val="18"/>
              </w:rPr>
              <w:t>Total Expenses</w:t>
            </w:r>
          </w:p>
        </w:tc>
        <w:tc>
          <w:tcPr>
            <w:tcW w:w="2620" w:type="dxa"/>
          </w:tcPr>
          <w:p>
            <w:pPr/>
          </w:p>
        </w:tc>
        <w:tc>
          <w:tcPr>
            <w:tcW w:w="1298" w:type="dxa"/>
            <w:tcBorders>
              <w:top w:val="single" w:sz="8" w:space="0" w:color="000000"/>
              <w:bottom w:val="single" w:sz="8" w:space="0" w:color="000000"/>
            </w:tcBorders>
          </w:tcPr>
          <w:p>
            <w:pPr>
              <w:pStyle w:val="TableParagraph"/>
              <w:spacing w:before="109"/>
              <w:ind w:right="47"/>
              <w:jc w:val="right"/>
              <w:rPr>
                <w:b/>
                <w:sz w:val="18"/>
              </w:rPr>
            </w:pPr>
            <w:r>
              <w:rPr>
                <w:b/>
                <w:sz w:val="18"/>
              </w:rPr>
              <w:t>(2,212,276)</w:t>
            </w:r>
          </w:p>
        </w:tc>
      </w:tr>
      <w:tr>
        <w:trPr>
          <w:trHeight w:val="391" w:hRule="exact"/>
        </w:trPr>
        <w:tc>
          <w:tcPr>
            <w:tcW w:w="6174" w:type="dxa"/>
          </w:tcPr>
          <w:p>
            <w:pPr>
              <w:pStyle w:val="TableParagraph"/>
              <w:spacing w:before="116"/>
              <w:ind w:left="200"/>
              <w:rPr>
                <w:b/>
                <w:sz w:val="18"/>
              </w:rPr>
            </w:pPr>
            <w:r>
              <w:rPr>
                <w:b/>
                <w:sz w:val="18"/>
              </w:rPr>
              <w:t>Surplus/(deficit) for the period</w:t>
            </w:r>
          </w:p>
        </w:tc>
        <w:tc>
          <w:tcPr>
            <w:tcW w:w="2620" w:type="dxa"/>
          </w:tcPr>
          <w:p>
            <w:pPr/>
          </w:p>
        </w:tc>
        <w:tc>
          <w:tcPr>
            <w:tcW w:w="1298" w:type="dxa"/>
            <w:tcBorders>
              <w:top w:val="single" w:sz="8" w:space="0" w:color="000000"/>
            </w:tcBorders>
          </w:tcPr>
          <w:p>
            <w:pPr>
              <w:pStyle w:val="TableParagraph"/>
              <w:spacing w:before="107"/>
              <w:ind w:right="48"/>
              <w:jc w:val="right"/>
              <w:rPr>
                <w:b/>
                <w:sz w:val="18"/>
              </w:rPr>
            </w:pPr>
            <w:r>
              <w:rPr>
                <w:b/>
                <w:sz w:val="18"/>
              </w:rPr>
              <w:t>404,365</w:t>
            </w:r>
          </w:p>
        </w:tc>
      </w:tr>
      <w:tr>
        <w:trPr>
          <w:trHeight w:val="269" w:hRule="exact"/>
        </w:trPr>
        <w:tc>
          <w:tcPr>
            <w:tcW w:w="6174" w:type="dxa"/>
          </w:tcPr>
          <w:p>
            <w:pPr>
              <w:pStyle w:val="TableParagraph"/>
              <w:spacing w:before="48"/>
              <w:ind w:left="200"/>
              <w:rPr>
                <w:b/>
                <w:sz w:val="18"/>
              </w:rPr>
            </w:pPr>
            <w:r>
              <w:rPr>
                <w:b/>
                <w:sz w:val="18"/>
              </w:rPr>
              <w:t>Other comprehensive income for the period</w:t>
            </w:r>
          </w:p>
        </w:tc>
        <w:tc>
          <w:tcPr>
            <w:tcW w:w="2620" w:type="dxa"/>
          </w:tcPr>
          <w:p>
            <w:pPr/>
          </w:p>
        </w:tc>
        <w:tc>
          <w:tcPr>
            <w:tcW w:w="1298" w:type="dxa"/>
            <w:tcBorders>
              <w:bottom w:val="single" w:sz="8" w:space="0" w:color="000000"/>
            </w:tcBorders>
          </w:tcPr>
          <w:p>
            <w:pPr>
              <w:pStyle w:val="TableParagraph"/>
              <w:spacing w:before="48"/>
              <w:ind w:right="84"/>
              <w:jc w:val="right"/>
              <w:rPr>
                <w:b/>
                <w:sz w:val="18"/>
              </w:rPr>
            </w:pPr>
            <w:r>
              <w:rPr>
                <w:b/>
                <w:w w:val="99"/>
                <w:sz w:val="18"/>
              </w:rPr>
              <w:t>-</w:t>
            </w:r>
          </w:p>
        </w:tc>
      </w:tr>
      <w:tr>
        <w:trPr>
          <w:trHeight w:val="353" w:hRule="exact"/>
        </w:trPr>
        <w:tc>
          <w:tcPr>
            <w:tcW w:w="6174" w:type="dxa"/>
          </w:tcPr>
          <w:p>
            <w:pPr>
              <w:pStyle w:val="TableParagraph"/>
              <w:spacing w:before="116"/>
              <w:ind w:left="200"/>
              <w:rPr>
                <w:b/>
                <w:sz w:val="18"/>
              </w:rPr>
            </w:pPr>
            <w:r>
              <w:rPr>
                <w:b/>
                <w:sz w:val="18"/>
              </w:rPr>
              <w:t>Total comprehensive income for the period</w:t>
            </w:r>
          </w:p>
        </w:tc>
        <w:tc>
          <w:tcPr>
            <w:tcW w:w="2620" w:type="dxa"/>
          </w:tcPr>
          <w:p>
            <w:pPr/>
          </w:p>
        </w:tc>
        <w:tc>
          <w:tcPr>
            <w:tcW w:w="1298" w:type="dxa"/>
            <w:tcBorders>
              <w:top w:val="single" w:sz="8" w:space="0" w:color="000000"/>
              <w:bottom w:val="single" w:sz="17" w:space="0" w:color="000000"/>
            </w:tcBorders>
          </w:tcPr>
          <w:p>
            <w:pPr>
              <w:pStyle w:val="TableParagraph"/>
              <w:spacing w:before="107"/>
              <w:ind w:right="48"/>
              <w:jc w:val="right"/>
              <w:rPr>
                <w:b/>
                <w:sz w:val="18"/>
              </w:rPr>
            </w:pPr>
            <w:r>
              <w:rPr>
                <w:b/>
                <w:sz w:val="18"/>
              </w:rPr>
              <w:t>404,365</w:t>
            </w:r>
          </w:p>
        </w:tc>
      </w:tr>
    </w:tbl>
    <w:p>
      <w:pPr>
        <w:spacing w:after="0"/>
        <w:jc w:val="right"/>
        <w:rPr>
          <w:sz w:val="18"/>
        </w:rPr>
        <w:sectPr>
          <w:headerReference w:type="default" r:id="rId231"/>
          <w:footerReference w:type="default" r:id="rId232"/>
          <w:pgSz w:w="11960" w:h="16850"/>
          <w:pgMar w:header="743" w:footer="911" w:top="1180" w:bottom="1100" w:left="720" w:right="920"/>
          <w:pgNumType w:start="233"/>
        </w:sectPr>
      </w:pPr>
    </w:p>
    <w:p>
      <w:pPr>
        <w:pStyle w:val="BodyText"/>
        <w:spacing w:before="8"/>
        <w:rPr>
          <w:b/>
          <w:sz w:val="23"/>
        </w:rPr>
      </w:pPr>
    </w:p>
    <w:p>
      <w:pPr>
        <w:spacing w:line="290" w:lineRule="auto" w:before="73"/>
        <w:ind w:left="288" w:right="6736" w:firstLine="0"/>
        <w:jc w:val="left"/>
        <w:rPr>
          <w:b/>
          <w:sz w:val="22"/>
        </w:rPr>
      </w:pPr>
      <w:r>
        <w:rPr>
          <w:b/>
          <w:sz w:val="22"/>
        </w:rPr>
        <w:t>Statement of Financial Position 31 December 2012</w:t>
      </w:r>
    </w:p>
    <w:p>
      <w:pPr>
        <w:pStyle w:val="BodyText"/>
        <w:rPr>
          <w:b/>
          <w:sz w:val="20"/>
        </w:rPr>
      </w:pPr>
    </w:p>
    <w:p>
      <w:pPr>
        <w:pStyle w:val="BodyText"/>
        <w:spacing w:before="5"/>
        <w:rPr>
          <w:b/>
          <w:sz w:val="13"/>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45"/>
        <w:gridCol w:w="3349"/>
        <w:gridCol w:w="1298"/>
      </w:tblGrid>
      <w:tr>
        <w:trPr>
          <w:trHeight w:val="508" w:hRule="exact"/>
        </w:trPr>
        <w:tc>
          <w:tcPr>
            <w:tcW w:w="5445" w:type="dxa"/>
          </w:tcPr>
          <w:p>
            <w:pPr/>
          </w:p>
        </w:tc>
        <w:tc>
          <w:tcPr>
            <w:tcW w:w="3349" w:type="dxa"/>
          </w:tcPr>
          <w:p>
            <w:pPr>
              <w:pStyle w:val="TableParagraph"/>
              <w:spacing w:before="9"/>
              <w:rPr>
                <w:b/>
                <w:sz w:val="18"/>
              </w:rPr>
            </w:pPr>
          </w:p>
          <w:p>
            <w:pPr>
              <w:pStyle w:val="TableParagraph"/>
              <w:spacing w:before="1"/>
              <w:ind w:left="2839" w:right="69"/>
              <w:jc w:val="center"/>
              <w:rPr>
                <w:b/>
                <w:sz w:val="18"/>
              </w:rPr>
            </w:pPr>
            <w:r>
              <w:rPr>
                <w:b/>
                <w:sz w:val="18"/>
              </w:rPr>
              <w:t>Note</w:t>
            </w:r>
          </w:p>
        </w:tc>
        <w:tc>
          <w:tcPr>
            <w:tcW w:w="1298" w:type="dxa"/>
          </w:tcPr>
          <w:p>
            <w:pPr>
              <w:pStyle w:val="TableParagraph"/>
              <w:spacing w:line="184" w:lineRule="exact"/>
              <w:ind w:left="406" w:right="404"/>
              <w:jc w:val="center"/>
              <w:rPr>
                <w:b/>
                <w:sz w:val="18"/>
              </w:rPr>
            </w:pPr>
            <w:r>
              <w:rPr>
                <w:b/>
                <w:sz w:val="18"/>
              </w:rPr>
              <w:t>2012</w:t>
            </w:r>
          </w:p>
          <w:p>
            <w:pPr>
              <w:pStyle w:val="TableParagraph"/>
              <w:spacing w:before="33"/>
              <w:ind w:left="1"/>
              <w:jc w:val="center"/>
              <w:rPr>
                <w:b/>
                <w:sz w:val="18"/>
              </w:rPr>
            </w:pPr>
            <w:r>
              <w:rPr>
                <w:b/>
                <w:w w:val="99"/>
                <w:sz w:val="18"/>
              </w:rPr>
              <w:t>$</w:t>
            </w:r>
          </w:p>
        </w:tc>
      </w:tr>
      <w:tr>
        <w:trPr>
          <w:trHeight w:val="337" w:hRule="exact"/>
        </w:trPr>
        <w:tc>
          <w:tcPr>
            <w:tcW w:w="5445" w:type="dxa"/>
          </w:tcPr>
          <w:p>
            <w:pPr>
              <w:pStyle w:val="TableParagraph"/>
              <w:spacing w:before="64"/>
              <w:ind w:left="200"/>
              <w:rPr>
                <w:b/>
                <w:sz w:val="18"/>
              </w:rPr>
            </w:pPr>
            <w:r>
              <w:rPr>
                <w:b/>
                <w:sz w:val="18"/>
              </w:rPr>
              <w:t>ASSETS</w:t>
            </w:r>
          </w:p>
        </w:tc>
        <w:tc>
          <w:tcPr>
            <w:tcW w:w="3349" w:type="dxa"/>
          </w:tcPr>
          <w:p>
            <w:pPr/>
          </w:p>
        </w:tc>
        <w:tc>
          <w:tcPr>
            <w:tcW w:w="1298" w:type="dxa"/>
          </w:tcPr>
          <w:p>
            <w:pPr/>
          </w:p>
        </w:tc>
      </w:tr>
      <w:tr>
        <w:trPr>
          <w:trHeight w:val="276" w:hRule="exact"/>
        </w:trPr>
        <w:tc>
          <w:tcPr>
            <w:tcW w:w="5445" w:type="dxa"/>
          </w:tcPr>
          <w:p>
            <w:pPr>
              <w:pStyle w:val="TableParagraph"/>
              <w:spacing w:before="46"/>
              <w:ind w:left="200"/>
              <w:rPr>
                <w:b/>
                <w:sz w:val="18"/>
              </w:rPr>
            </w:pPr>
            <w:r>
              <w:rPr>
                <w:b/>
                <w:sz w:val="18"/>
              </w:rPr>
              <w:t>Current Assets</w:t>
            </w:r>
          </w:p>
        </w:tc>
        <w:tc>
          <w:tcPr>
            <w:tcW w:w="3349" w:type="dxa"/>
          </w:tcPr>
          <w:p>
            <w:pPr/>
          </w:p>
        </w:tc>
        <w:tc>
          <w:tcPr>
            <w:tcW w:w="1298" w:type="dxa"/>
          </w:tcPr>
          <w:p>
            <w:pPr/>
          </w:p>
        </w:tc>
      </w:tr>
      <w:tr>
        <w:trPr>
          <w:trHeight w:val="251" w:hRule="exact"/>
        </w:trPr>
        <w:tc>
          <w:tcPr>
            <w:tcW w:w="5445" w:type="dxa"/>
          </w:tcPr>
          <w:p>
            <w:pPr>
              <w:pStyle w:val="TableParagraph"/>
              <w:spacing w:before="8"/>
              <w:ind w:left="200"/>
              <w:rPr>
                <w:sz w:val="18"/>
              </w:rPr>
            </w:pPr>
            <w:r>
              <w:rPr>
                <w:sz w:val="18"/>
              </w:rPr>
              <w:t>Cash and cash equivalents</w:t>
            </w:r>
          </w:p>
        </w:tc>
        <w:tc>
          <w:tcPr>
            <w:tcW w:w="3349" w:type="dxa"/>
          </w:tcPr>
          <w:p>
            <w:pPr>
              <w:pStyle w:val="TableParagraph"/>
              <w:spacing w:before="8"/>
              <w:ind w:left="2772"/>
              <w:jc w:val="center"/>
              <w:rPr>
                <w:sz w:val="18"/>
              </w:rPr>
            </w:pPr>
            <w:r>
              <w:rPr>
                <w:w w:val="99"/>
                <w:sz w:val="18"/>
              </w:rPr>
              <w:t>4</w:t>
            </w:r>
          </w:p>
        </w:tc>
        <w:tc>
          <w:tcPr>
            <w:tcW w:w="1298" w:type="dxa"/>
          </w:tcPr>
          <w:p>
            <w:pPr>
              <w:pStyle w:val="TableParagraph"/>
              <w:spacing w:before="3"/>
              <w:ind w:right="48"/>
              <w:jc w:val="right"/>
              <w:rPr>
                <w:b/>
                <w:sz w:val="18"/>
              </w:rPr>
            </w:pPr>
            <w:r>
              <w:rPr>
                <w:b/>
                <w:sz w:val="18"/>
              </w:rPr>
              <w:t>873,270</w:t>
            </w:r>
          </w:p>
        </w:tc>
      </w:tr>
      <w:tr>
        <w:trPr>
          <w:trHeight w:val="267" w:hRule="exact"/>
        </w:trPr>
        <w:tc>
          <w:tcPr>
            <w:tcW w:w="5445" w:type="dxa"/>
          </w:tcPr>
          <w:p>
            <w:pPr>
              <w:pStyle w:val="TableParagraph"/>
              <w:spacing w:before="21"/>
              <w:ind w:left="200"/>
              <w:rPr>
                <w:sz w:val="18"/>
              </w:rPr>
            </w:pPr>
            <w:r>
              <w:rPr>
                <w:sz w:val="18"/>
              </w:rPr>
              <w:t>Receivables</w:t>
            </w:r>
          </w:p>
        </w:tc>
        <w:tc>
          <w:tcPr>
            <w:tcW w:w="3349" w:type="dxa"/>
          </w:tcPr>
          <w:p>
            <w:pPr>
              <w:pStyle w:val="TableParagraph"/>
              <w:spacing w:before="21"/>
              <w:ind w:left="2772"/>
              <w:jc w:val="center"/>
              <w:rPr>
                <w:sz w:val="18"/>
              </w:rPr>
            </w:pPr>
            <w:r>
              <w:rPr>
                <w:w w:val="99"/>
                <w:sz w:val="18"/>
              </w:rPr>
              <w:t>5</w:t>
            </w:r>
          </w:p>
        </w:tc>
        <w:tc>
          <w:tcPr>
            <w:tcW w:w="1298" w:type="dxa"/>
            <w:tcBorders>
              <w:bottom w:val="single" w:sz="8" w:space="0" w:color="000000"/>
            </w:tcBorders>
          </w:tcPr>
          <w:p>
            <w:pPr>
              <w:pStyle w:val="TableParagraph"/>
              <w:spacing w:before="16"/>
              <w:ind w:right="49"/>
              <w:jc w:val="right"/>
              <w:rPr>
                <w:b/>
                <w:sz w:val="18"/>
              </w:rPr>
            </w:pPr>
            <w:r>
              <w:rPr>
                <w:b/>
                <w:sz w:val="18"/>
              </w:rPr>
              <w:t>28,218</w:t>
            </w:r>
          </w:p>
        </w:tc>
      </w:tr>
      <w:tr>
        <w:trPr>
          <w:trHeight w:val="341" w:hRule="exact"/>
        </w:trPr>
        <w:tc>
          <w:tcPr>
            <w:tcW w:w="5445" w:type="dxa"/>
          </w:tcPr>
          <w:p>
            <w:pPr>
              <w:pStyle w:val="TableParagraph"/>
              <w:spacing w:before="37"/>
              <w:ind w:left="200"/>
              <w:rPr>
                <w:sz w:val="18"/>
              </w:rPr>
            </w:pPr>
            <w:r>
              <w:rPr>
                <w:sz w:val="18"/>
              </w:rPr>
              <w:t>Total Current Assets</w:t>
            </w:r>
          </w:p>
        </w:tc>
        <w:tc>
          <w:tcPr>
            <w:tcW w:w="3349" w:type="dxa"/>
          </w:tcPr>
          <w:p>
            <w:pPr/>
          </w:p>
        </w:tc>
        <w:tc>
          <w:tcPr>
            <w:tcW w:w="1298" w:type="dxa"/>
            <w:tcBorders>
              <w:top w:val="single" w:sz="8" w:space="0" w:color="000000"/>
              <w:bottom w:val="single" w:sz="8" w:space="0" w:color="000000"/>
            </w:tcBorders>
          </w:tcPr>
          <w:p>
            <w:pPr>
              <w:pStyle w:val="TableParagraph"/>
              <w:spacing w:before="109"/>
              <w:ind w:right="48"/>
              <w:jc w:val="right"/>
              <w:rPr>
                <w:b/>
                <w:sz w:val="18"/>
              </w:rPr>
            </w:pPr>
            <w:r>
              <w:rPr>
                <w:b/>
                <w:sz w:val="18"/>
              </w:rPr>
              <w:t>901,488</w:t>
            </w:r>
          </w:p>
        </w:tc>
      </w:tr>
      <w:tr>
        <w:trPr>
          <w:trHeight w:val="350" w:hRule="exact"/>
        </w:trPr>
        <w:tc>
          <w:tcPr>
            <w:tcW w:w="5445" w:type="dxa"/>
          </w:tcPr>
          <w:p>
            <w:pPr>
              <w:pStyle w:val="TableParagraph"/>
              <w:spacing w:before="116"/>
              <w:ind w:left="200"/>
              <w:rPr>
                <w:b/>
                <w:sz w:val="18"/>
              </w:rPr>
            </w:pPr>
            <w:r>
              <w:rPr>
                <w:b/>
                <w:sz w:val="18"/>
              </w:rPr>
              <w:t>Non-Current Assets</w:t>
            </w:r>
          </w:p>
        </w:tc>
        <w:tc>
          <w:tcPr>
            <w:tcW w:w="3349" w:type="dxa"/>
          </w:tcPr>
          <w:p>
            <w:pPr/>
          </w:p>
        </w:tc>
        <w:tc>
          <w:tcPr>
            <w:tcW w:w="1298" w:type="dxa"/>
            <w:tcBorders>
              <w:top w:val="single" w:sz="8" w:space="0" w:color="000000"/>
            </w:tcBorders>
          </w:tcPr>
          <w:p>
            <w:pPr/>
          </w:p>
        </w:tc>
      </w:tr>
      <w:tr>
        <w:trPr>
          <w:trHeight w:val="330" w:hRule="exact"/>
        </w:trPr>
        <w:tc>
          <w:tcPr>
            <w:tcW w:w="5445" w:type="dxa"/>
          </w:tcPr>
          <w:p>
            <w:pPr>
              <w:pStyle w:val="TableParagraph"/>
              <w:spacing w:before="7"/>
              <w:ind w:left="200"/>
              <w:rPr>
                <w:sz w:val="18"/>
              </w:rPr>
            </w:pPr>
            <w:r>
              <w:rPr>
                <w:sz w:val="18"/>
              </w:rPr>
              <w:t>Total Non-Current Assets</w:t>
            </w:r>
          </w:p>
        </w:tc>
        <w:tc>
          <w:tcPr>
            <w:tcW w:w="4648" w:type="dxa"/>
            <w:gridSpan w:val="2"/>
          </w:tcPr>
          <w:p>
            <w:pPr>
              <w:pStyle w:val="TableParagraph"/>
              <w:tabs>
                <w:tab w:pos="1151" w:val="left" w:leader="none"/>
                <w:tab w:pos="1298" w:val="left" w:leader="none"/>
              </w:tabs>
              <w:spacing w:before="88"/>
              <w:jc w:val="right"/>
              <w:rPr>
                <w:b/>
                <w:sz w:val="18"/>
              </w:rPr>
            </w:pPr>
            <w:r>
              <w:rPr>
                <w:b/>
                <w:w w:val="100"/>
                <w:sz w:val="18"/>
                <w:u w:val="single"/>
              </w:rPr>
              <w:t> </w:t>
            </w:r>
            <w:r>
              <w:rPr>
                <w:b/>
                <w:sz w:val="18"/>
                <w:u w:val="single"/>
              </w:rPr>
              <w:tab/>
              <w:t>-</w:t>
              <w:tab/>
            </w:r>
          </w:p>
        </w:tc>
      </w:tr>
      <w:tr>
        <w:trPr>
          <w:trHeight w:val="333" w:hRule="exact"/>
        </w:trPr>
        <w:tc>
          <w:tcPr>
            <w:tcW w:w="5445" w:type="dxa"/>
          </w:tcPr>
          <w:p>
            <w:pPr>
              <w:pStyle w:val="TableParagraph"/>
              <w:spacing w:before="15"/>
              <w:ind w:left="200"/>
              <w:rPr>
                <w:sz w:val="18"/>
              </w:rPr>
            </w:pPr>
            <w:r>
              <w:rPr>
                <w:sz w:val="18"/>
              </w:rPr>
              <w:t>TOTAL ASSETS</w:t>
            </w:r>
          </w:p>
        </w:tc>
        <w:tc>
          <w:tcPr>
            <w:tcW w:w="4648" w:type="dxa"/>
            <w:gridSpan w:val="2"/>
          </w:tcPr>
          <w:p>
            <w:pPr>
              <w:pStyle w:val="TableParagraph"/>
              <w:spacing w:before="97"/>
              <w:ind w:right="48"/>
              <w:jc w:val="right"/>
              <w:rPr>
                <w:b/>
                <w:sz w:val="18"/>
              </w:rPr>
            </w:pPr>
            <w:r>
              <w:rPr>
                <w:b/>
                <w:sz w:val="18"/>
              </w:rPr>
              <w:t>901,488</w:t>
            </w:r>
          </w:p>
        </w:tc>
      </w:tr>
      <w:tr>
        <w:trPr>
          <w:trHeight w:val="403" w:hRule="exact"/>
        </w:trPr>
        <w:tc>
          <w:tcPr>
            <w:tcW w:w="5445" w:type="dxa"/>
          </w:tcPr>
          <w:p>
            <w:pPr>
              <w:pStyle w:val="TableParagraph"/>
              <w:spacing w:before="128"/>
              <w:ind w:left="200"/>
              <w:rPr>
                <w:b/>
                <w:sz w:val="18"/>
              </w:rPr>
            </w:pPr>
            <w:r>
              <w:rPr>
                <w:b/>
                <w:sz w:val="18"/>
              </w:rPr>
              <w:t>LIABILITIES</w:t>
            </w:r>
          </w:p>
        </w:tc>
        <w:tc>
          <w:tcPr>
            <w:tcW w:w="3349" w:type="dxa"/>
          </w:tcPr>
          <w:p>
            <w:pPr/>
          </w:p>
        </w:tc>
        <w:tc>
          <w:tcPr>
            <w:tcW w:w="1298" w:type="dxa"/>
            <w:tcBorders>
              <w:top w:val="single" w:sz="17" w:space="0" w:color="000000"/>
            </w:tcBorders>
          </w:tcPr>
          <w:p>
            <w:pPr/>
          </w:p>
        </w:tc>
      </w:tr>
      <w:tr>
        <w:trPr>
          <w:trHeight w:val="277" w:hRule="exact"/>
        </w:trPr>
        <w:tc>
          <w:tcPr>
            <w:tcW w:w="5445" w:type="dxa"/>
          </w:tcPr>
          <w:p>
            <w:pPr>
              <w:pStyle w:val="TableParagraph"/>
              <w:spacing w:before="48"/>
              <w:ind w:left="200"/>
              <w:rPr>
                <w:b/>
                <w:sz w:val="18"/>
              </w:rPr>
            </w:pPr>
            <w:r>
              <w:rPr>
                <w:b/>
                <w:sz w:val="18"/>
              </w:rPr>
              <w:t>Current Liabilities</w:t>
            </w:r>
          </w:p>
        </w:tc>
        <w:tc>
          <w:tcPr>
            <w:tcW w:w="3349" w:type="dxa"/>
          </w:tcPr>
          <w:p>
            <w:pPr/>
          </w:p>
        </w:tc>
        <w:tc>
          <w:tcPr>
            <w:tcW w:w="1298" w:type="dxa"/>
          </w:tcPr>
          <w:p>
            <w:pPr/>
          </w:p>
        </w:tc>
      </w:tr>
      <w:tr>
        <w:trPr>
          <w:trHeight w:val="251" w:hRule="exact"/>
        </w:trPr>
        <w:tc>
          <w:tcPr>
            <w:tcW w:w="5445" w:type="dxa"/>
          </w:tcPr>
          <w:p>
            <w:pPr>
              <w:pStyle w:val="TableParagraph"/>
              <w:spacing w:before="8"/>
              <w:ind w:left="200"/>
              <w:rPr>
                <w:sz w:val="18"/>
              </w:rPr>
            </w:pPr>
            <w:r>
              <w:rPr>
                <w:sz w:val="18"/>
              </w:rPr>
              <w:t>Trade and other payables</w:t>
            </w:r>
          </w:p>
        </w:tc>
        <w:tc>
          <w:tcPr>
            <w:tcW w:w="3349" w:type="dxa"/>
          </w:tcPr>
          <w:p>
            <w:pPr>
              <w:pStyle w:val="TableParagraph"/>
              <w:spacing w:before="8"/>
              <w:ind w:left="2772"/>
              <w:jc w:val="center"/>
              <w:rPr>
                <w:sz w:val="18"/>
              </w:rPr>
            </w:pPr>
            <w:r>
              <w:rPr>
                <w:w w:val="99"/>
                <w:sz w:val="18"/>
              </w:rPr>
              <w:t>6</w:t>
            </w:r>
          </w:p>
        </w:tc>
        <w:tc>
          <w:tcPr>
            <w:tcW w:w="1298" w:type="dxa"/>
          </w:tcPr>
          <w:p>
            <w:pPr>
              <w:pStyle w:val="TableParagraph"/>
              <w:spacing w:before="3"/>
              <w:ind w:right="48"/>
              <w:jc w:val="right"/>
              <w:rPr>
                <w:b/>
                <w:sz w:val="18"/>
              </w:rPr>
            </w:pPr>
            <w:r>
              <w:rPr>
                <w:b/>
                <w:sz w:val="18"/>
              </w:rPr>
              <w:t>241,366</w:t>
            </w:r>
          </w:p>
        </w:tc>
      </w:tr>
      <w:tr>
        <w:trPr>
          <w:trHeight w:val="263" w:hRule="exact"/>
        </w:trPr>
        <w:tc>
          <w:tcPr>
            <w:tcW w:w="5445" w:type="dxa"/>
          </w:tcPr>
          <w:p>
            <w:pPr>
              <w:pStyle w:val="TableParagraph"/>
              <w:spacing w:before="21"/>
              <w:ind w:left="200"/>
              <w:rPr>
                <w:sz w:val="18"/>
              </w:rPr>
            </w:pPr>
            <w:r>
              <w:rPr>
                <w:sz w:val="18"/>
              </w:rPr>
              <w:t>Deferred income</w:t>
            </w:r>
          </w:p>
        </w:tc>
        <w:tc>
          <w:tcPr>
            <w:tcW w:w="3349" w:type="dxa"/>
          </w:tcPr>
          <w:p>
            <w:pPr/>
          </w:p>
        </w:tc>
        <w:tc>
          <w:tcPr>
            <w:tcW w:w="1298" w:type="dxa"/>
          </w:tcPr>
          <w:p>
            <w:pPr>
              <w:pStyle w:val="TableParagraph"/>
              <w:spacing w:before="16"/>
              <w:ind w:right="49"/>
              <w:jc w:val="right"/>
              <w:rPr>
                <w:b/>
                <w:sz w:val="18"/>
              </w:rPr>
            </w:pPr>
            <w:r>
              <w:rPr>
                <w:b/>
                <w:sz w:val="18"/>
              </w:rPr>
              <w:t>26,380</w:t>
            </w:r>
          </w:p>
        </w:tc>
      </w:tr>
      <w:tr>
        <w:trPr>
          <w:trHeight w:val="268" w:hRule="exact"/>
        </w:trPr>
        <w:tc>
          <w:tcPr>
            <w:tcW w:w="5445" w:type="dxa"/>
          </w:tcPr>
          <w:p>
            <w:pPr>
              <w:pStyle w:val="TableParagraph"/>
              <w:spacing w:before="20"/>
              <w:ind w:left="200"/>
              <w:rPr>
                <w:sz w:val="18"/>
              </w:rPr>
            </w:pPr>
            <w:r>
              <w:rPr>
                <w:sz w:val="18"/>
              </w:rPr>
              <w:t>Provisions</w:t>
            </w:r>
          </w:p>
        </w:tc>
        <w:tc>
          <w:tcPr>
            <w:tcW w:w="3349" w:type="dxa"/>
          </w:tcPr>
          <w:p>
            <w:pPr>
              <w:pStyle w:val="TableParagraph"/>
              <w:spacing w:before="20"/>
              <w:ind w:left="2772"/>
              <w:jc w:val="center"/>
              <w:rPr>
                <w:sz w:val="18"/>
              </w:rPr>
            </w:pPr>
            <w:r>
              <w:rPr>
                <w:w w:val="99"/>
                <w:sz w:val="18"/>
              </w:rPr>
              <w:t>7</w:t>
            </w:r>
          </w:p>
        </w:tc>
        <w:tc>
          <w:tcPr>
            <w:tcW w:w="1298" w:type="dxa"/>
            <w:tcBorders>
              <w:bottom w:val="single" w:sz="8" w:space="0" w:color="000000"/>
            </w:tcBorders>
          </w:tcPr>
          <w:p>
            <w:pPr>
              <w:pStyle w:val="TableParagraph"/>
              <w:spacing w:before="15"/>
              <w:ind w:right="48"/>
              <w:jc w:val="right"/>
              <w:rPr>
                <w:b/>
                <w:sz w:val="18"/>
              </w:rPr>
            </w:pPr>
            <w:r>
              <w:rPr>
                <w:b/>
                <w:sz w:val="18"/>
              </w:rPr>
              <w:t>117,110</w:t>
            </w:r>
          </w:p>
        </w:tc>
      </w:tr>
      <w:tr>
        <w:trPr>
          <w:trHeight w:val="338" w:hRule="exact"/>
        </w:trPr>
        <w:tc>
          <w:tcPr>
            <w:tcW w:w="5445" w:type="dxa"/>
          </w:tcPr>
          <w:p>
            <w:pPr>
              <w:pStyle w:val="TableParagraph"/>
              <w:spacing w:before="35"/>
              <w:ind w:left="200"/>
              <w:rPr>
                <w:sz w:val="18"/>
              </w:rPr>
            </w:pPr>
            <w:r>
              <w:rPr>
                <w:sz w:val="18"/>
              </w:rPr>
              <w:t>Total Current Liabilities</w:t>
            </w:r>
          </w:p>
        </w:tc>
        <w:tc>
          <w:tcPr>
            <w:tcW w:w="3349" w:type="dxa"/>
          </w:tcPr>
          <w:p>
            <w:pPr/>
          </w:p>
        </w:tc>
        <w:tc>
          <w:tcPr>
            <w:tcW w:w="1298" w:type="dxa"/>
            <w:tcBorders>
              <w:top w:val="single" w:sz="8" w:space="0" w:color="000000"/>
              <w:bottom w:val="single" w:sz="8" w:space="0" w:color="000000"/>
            </w:tcBorders>
          </w:tcPr>
          <w:p>
            <w:pPr>
              <w:pStyle w:val="TableParagraph"/>
              <w:spacing w:before="107"/>
              <w:ind w:right="48"/>
              <w:jc w:val="right"/>
              <w:rPr>
                <w:b/>
                <w:sz w:val="18"/>
              </w:rPr>
            </w:pPr>
            <w:r>
              <w:rPr>
                <w:b/>
                <w:sz w:val="18"/>
              </w:rPr>
              <w:t>384,856</w:t>
            </w:r>
          </w:p>
        </w:tc>
      </w:tr>
      <w:tr>
        <w:trPr>
          <w:trHeight w:val="349" w:hRule="exact"/>
        </w:trPr>
        <w:tc>
          <w:tcPr>
            <w:tcW w:w="5445" w:type="dxa"/>
          </w:tcPr>
          <w:p>
            <w:pPr>
              <w:pStyle w:val="TableParagraph"/>
              <w:spacing w:before="119"/>
              <w:ind w:left="200"/>
              <w:rPr>
                <w:b/>
                <w:sz w:val="18"/>
              </w:rPr>
            </w:pPr>
            <w:r>
              <w:rPr>
                <w:b/>
                <w:sz w:val="18"/>
              </w:rPr>
              <w:t>Non-Current Liabilities</w:t>
            </w:r>
          </w:p>
        </w:tc>
        <w:tc>
          <w:tcPr>
            <w:tcW w:w="3349" w:type="dxa"/>
          </w:tcPr>
          <w:p>
            <w:pPr/>
          </w:p>
        </w:tc>
        <w:tc>
          <w:tcPr>
            <w:tcW w:w="1298" w:type="dxa"/>
            <w:tcBorders>
              <w:top w:val="single" w:sz="8" w:space="0" w:color="000000"/>
            </w:tcBorders>
          </w:tcPr>
          <w:p>
            <w:pPr/>
          </w:p>
        </w:tc>
      </w:tr>
      <w:tr>
        <w:trPr>
          <w:trHeight w:val="256" w:hRule="exact"/>
        </w:trPr>
        <w:tc>
          <w:tcPr>
            <w:tcW w:w="5445" w:type="dxa"/>
          </w:tcPr>
          <w:p>
            <w:pPr>
              <w:pStyle w:val="TableParagraph"/>
              <w:spacing w:before="8"/>
              <w:ind w:left="200"/>
              <w:rPr>
                <w:sz w:val="18"/>
              </w:rPr>
            </w:pPr>
            <w:r>
              <w:rPr>
                <w:sz w:val="18"/>
              </w:rPr>
              <w:t>Provisions</w:t>
            </w:r>
          </w:p>
        </w:tc>
        <w:tc>
          <w:tcPr>
            <w:tcW w:w="3349" w:type="dxa"/>
          </w:tcPr>
          <w:p>
            <w:pPr>
              <w:pStyle w:val="TableParagraph"/>
              <w:spacing w:before="8"/>
              <w:ind w:left="2772"/>
              <w:jc w:val="center"/>
              <w:rPr>
                <w:sz w:val="18"/>
              </w:rPr>
            </w:pPr>
            <w:r>
              <w:rPr>
                <w:w w:val="99"/>
                <w:sz w:val="18"/>
              </w:rPr>
              <w:t>7</w:t>
            </w:r>
          </w:p>
        </w:tc>
        <w:tc>
          <w:tcPr>
            <w:tcW w:w="1298" w:type="dxa"/>
            <w:tcBorders>
              <w:bottom w:val="single" w:sz="8" w:space="0" w:color="000000"/>
            </w:tcBorders>
          </w:tcPr>
          <w:p>
            <w:pPr>
              <w:pStyle w:val="TableParagraph"/>
              <w:spacing w:before="3"/>
              <w:ind w:right="48"/>
              <w:jc w:val="right"/>
              <w:rPr>
                <w:b/>
                <w:sz w:val="18"/>
              </w:rPr>
            </w:pPr>
            <w:r>
              <w:rPr>
                <w:b/>
                <w:sz w:val="18"/>
              </w:rPr>
              <w:t>112,267</w:t>
            </w:r>
          </w:p>
        </w:tc>
      </w:tr>
      <w:tr>
        <w:trPr>
          <w:trHeight w:val="338" w:hRule="exact"/>
        </w:trPr>
        <w:tc>
          <w:tcPr>
            <w:tcW w:w="5445" w:type="dxa"/>
          </w:tcPr>
          <w:p>
            <w:pPr>
              <w:pStyle w:val="TableParagraph"/>
              <w:spacing w:before="35"/>
              <w:ind w:left="200"/>
              <w:rPr>
                <w:sz w:val="18"/>
              </w:rPr>
            </w:pPr>
            <w:r>
              <w:rPr>
                <w:sz w:val="18"/>
              </w:rPr>
              <w:t>Total Non-Current Liabilities</w:t>
            </w:r>
          </w:p>
        </w:tc>
        <w:tc>
          <w:tcPr>
            <w:tcW w:w="3349" w:type="dxa"/>
          </w:tcPr>
          <w:p>
            <w:pPr/>
          </w:p>
        </w:tc>
        <w:tc>
          <w:tcPr>
            <w:tcW w:w="1298" w:type="dxa"/>
            <w:tcBorders>
              <w:top w:val="single" w:sz="8" w:space="0" w:color="000000"/>
              <w:bottom w:val="single" w:sz="8" w:space="0" w:color="000000"/>
            </w:tcBorders>
          </w:tcPr>
          <w:p>
            <w:pPr>
              <w:pStyle w:val="TableParagraph"/>
              <w:spacing w:before="107"/>
              <w:ind w:right="48"/>
              <w:jc w:val="right"/>
              <w:rPr>
                <w:b/>
                <w:sz w:val="18"/>
              </w:rPr>
            </w:pPr>
            <w:r>
              <w:rPr>
                <w:b/>
                <w:sz w:val="18"/>
              </w:rPr>
              <w:t>112,267</w:t>
            </w:r>
          </w:p>
        </w:tc>
      </w:tr>
      <w:tr>
        <w:trPr>
          <w:trHeight w:val="341" w:hRule="exact"/>
        </w:trPr>
        <w:tc>
          <w:tcPr>
            <w:tcW w:w="5445" w:type="dxa"/>
          </w:tcPr>
          <w:p>
            <w:pPr>
              <w:pStyle w:val="TableParagraph"/>
              <w:spacing w:before="37"/>
              <w:ind w:left="200"/>
              <w:rPr>
                <w:sz w:val="18"/>
              </w:rPr>
            </w:pPr>
            <w:r>
              <w:rPr>
                <w:sz w:val="18"/>
              </w:rPr>
              <w:t>TOTAL LIABILITIES</w:t>
            </w:r>
          </w:p>
        </w:tc>
        <w:tc>
          <w:tcPr>
            <w:tcW w:w="3349" w:type="dxa"/>
          </w:tcPr>
          <w:p>
            <w:pPr/>
          </w:p>
        </w:tc>
        <w:tc>
          <w:tcPr>
            <w:tcW w:w="1298" w:type="dxa"/>
            <w:tcBorders>
              <w:top w:val="single" w:sz="8" w:space="0" w:color="000000"/>
              <w:bottom w:val="single" w:sz="8" w:space="0" w:color="000000"/>
            </w:tcBorders>
          </w:tcPr>
          <w:p>
            <w:pPr>
              <w:pStyle w:val="TableParagraph"/>
              <w:spacing w:before="109"/>
              <w:ind w:right="48"/>
              <w:jc w:val="right"/>
              <w:rPr>
                <w:b/>
                <w:sz w:val="18"/>
              </w:rPr>
            </w:pPr>
            <w:r>
              <w:rPr>
                <w:b/>
                <w:sz w:val="18"/>
              </w:rPr>
              <w:t>497,123</w:t>
            </w:r>
          </w:p>
        </w:tc>
      </w:tr>
      <w:tr>
        <w:trPr>
          <w:trHeight w:val="353" w:hRule="exact"/>
        </w:trPr>
        <w:tc>
          <w:tcPr>
            <w:tcW w:w="5445" w:type="dxa"/>
          </w:tcPr>
          <w:p>
            <w:pPr>
              <w:pStyle w:val="TableParagraph"/>
              <w:spacing w:before="35"/>
              <w:ind w:left="200"/>
              <w:rPr>
                <w:sz w:val="18"/>
              </w:rPr>
            </w:pPr>
            <w:r>
              <w:rPr>
                <w:sz w:val="18"/>
              </w:rPr>
              <w:t>Net Assets</w:t>
            </w:r>
          </w:p>
        </w:tc>
        <w:tc>
          <w:tcPr>
            <w:tcW w:w="3349" w:type="dxa"/>
          </w:tcPr>
          <w:p>
            <w:pPr/>
          </w:p>
        </w:tc>
        <w:tc>
          <w:tcPr>
            <w:tcW w:w="1298" w:type="dxa"/>
            <w:tcBorders>
              <w:top w:val="single" w:sz="8" w:space="0" w:color="000000"/>
              <w:bottom w:val="single" w:sz="17" w:space="0" w:color="000000"/>
            </w:tcBorders>
          </w:tcPr>
          <w:p>
            <w:pPr>
              <w:pStyle w:val="TableParagraph"/>
              <w:spacing w:before="107"/>
              <w:ind w:right="48"/>
              <w:jc w:val="right"/>
              <w:rPr>
                <w:b/>
                <w:sz w:val="18"/>
              </w:rPr>
            </w:pPr>
            <w:r>
              <w:rPr>
                <w:b/>
                <w:sz w:val="18"/>
              </w:rPr>
              <w:t>404,365</w:t>
            </w:r>
          </w:p>
        </w:tc>
      </w:tr>
      <w:tr>
        <w:trPr>
          <w:trHeight w:val="359" w:hRule="exact"/>
        </w:trPr>
        <w:tc>
          <w:tcPr>
            <w:tcW w:w="5445" w:type="dxa"/>
          </w:tcPr>
          <w:p>
            <w:pPr>
              <w:pStyle w:val="TableParagraph"/>
              <w:spacing w:before="128"/>
              <w:ind w:left="200"/>
              <w:rPr>
                <w:b/>
                <w:sz w:val="18"/>
              </w:rPr>
            </w:pPr>
            <w:r>
              <w:rPr>
                <w:b/>
                <w:sz w:val="18"/>
              </w:rPr>
              <w:t>EQUITY</w:t>
            </w:r>
          </w:p>
        </w:tc>
        <w:tc>
          <w:tcPr>
            <w:tcW w:w="3349" w:type="dxa"/>
          </w:tcPr>
          <w:p>
            <w:pPr/>
          </w:p>
        </w:tc>
        <w:tc>
          <w:tcPr>
            <w:tcW w:w="1298" w:type="dxa"/>
            <w:tcBorders>
              <w:top w:val="single" w:sz="17" w:space="0" w:color="000000"/>
            </w:tcBorders>
          </w:tcPr>
          <w:p>
            <w:pPr/>
          </w:p>
        </w:tc>
      </w:tr>
      <w:tr>
        <w:trPr>
          <w:trHeight w:val="255" w:hRule="exact"/>
        </w:trPr>
        <w:tc>
          <w:tcPr>
            <w:tcW w:w="5445" w:type="dxa"/>
          </w:tcPr>
          <w:p>
            <w:pPr>
              <w:pStyle w:val="TableParagraph"/>
              <w:spacing w:before="9"/>
              <w:ind w:left="200"/>
              <w:rPr>
                <w:sz w:val="18"/>
              </w:rPr>
            </w:pPr>
            <w:r>
              <w:rPr>
                <w:sz w:val="18"/>
              </w:rPr>
              <w:t>Retained earnings</w:t>
            </w:r>
          </w:p>
        </w:tc>
        <w:tc>
          <w:tcPr>
            <w:tcW w:w="3349" w:type="dxa"/>
          </w:tcPr>
          <w:p>
            <w:pPr>
              <w:pStyle w:val="TableParagraph"/>
              <w:spacing w:before="9"/>
              <w:ind w:left="2772"/>
              <w:jc w:val="center"/>
              <w:rPr>
                <w:sz w:val="18"/>
              </w:rPr>
            </w:pPr>
            <w:r>
              <w:rPr>
                <w:w w:val="99"/>
                <w:sz w:val="18"/>
              </w:rPr>
              <w:t>8</w:t>
            </w:r>
          </w:p>
        </w:tc>
        <w:tc>
          <w:tcPr>
            <w:tcW w:w="1298" w:type="dxa"/>
            <w:tcBorders>
              <w:bottom w:val="single" w:sz="8" w:space="0" w:color="000000"/>
            </w:tcBorders>
          </w:tcPr>
          <w:p>
            <w:pPr>
              <w:pStyle w:val="TableParagraph"/>
              <w:spacing w:before="4"/>
              <w:ind w:right="48"/>
              <w:jc w:val="right"/>
              <w:rPr>
                <w:b/>
                <w:sz w:val="18"/>
              </w:rPr>
            </w:pPr>
            <w:r>
              <w:rPr>
                <w:b/>
                <w:sz w:val="18"/>
              </w:rPr>
              <w:t>404,365</w:t>
            </w:r>
          </w:p>
        </w:tc>
      </w:tr>
      <w:tr>
        <w:trPr>
          <w:trHeight w:val="355" w:hRule="exact"/>
        </w:trPr>
        <w:tc>
          <w:tcPr>
            <w:tcW w:w="5445" w:type="dxa"/>
          </w:tcPr>
          <w:p>
            <w:pPr>
              <w:pStyle w:val="TableParagraph"/>
              <w:spacing w:before="37"/>
              <w:ind w:left="200"/>
              <w:rPr>
                <w:sz w:val="18"/>
              </w:rPr>
            </w:pPr>
            <w:r>
              <w:rPr>
                <w:sz w:val="18"/>
              </w:rPr>
              <w:t>TOTAL EQUITY</w:t>
            </w:r>
          </w:p>
        </w:tc>
        <w:tc>
          <w:tcPr>
            <w:tcW w:w="3349" w:type="dxa"/>
          </w:tcPr>
          <w:p>
            <w:pPr/>
          </w:p>
        </w:tc>
        <w:tc>
          <w:tcPr>
            <w:tcW w:w="1298" w:type="dxa"/>
            <w:tcBorders>
              <w:top w:val="single" w:sz="8" w:space="0" w:color="000000"/>
              <w:bottom w:val="single" w:sz="17" w:space="0" w:color="000000"/>
            </w:tcBorders>
          </w:tcPr>
          <w:p>
            <w:pPr>
              <w:pStyle w:val="TableParagraph"/>
              <w:spacing w:before="109"/>
              <w:ind w:right="48"/>
              <w:jc w:val="right"/>
              <w:rPr>
                <w:b/>
                <w:sz w:val="18"/>
              </w:rPr>
            </w:pPr>
            <w:r>
              <w:rPr>
                <w:b/>
                <w:sz w:val="18"/>
              </w:rPr>
              <w:t>404,365</w:t>
            </w:r>
          </w:p>
        </w:tc>
      </w:tr>
    </w:tbl>
    <w:p>
      <w:pPr>
        <w:spacing w:after="0"/>
        <w:jc w:val="right"/>
        <w:rPr>
          <w:sz w:val="18"/>
        </w:rPr>
        <w:sectPr>
          <w:pgSz w:w="11960" w:h="16850"/>
          <w:pgMar w:header="743" w:footer="911" w:top="1180" w:bottom="1100" w:left="720" w:right="920"/>
        </w:sectPr>
      </w:pPr>
    </w:p>
    <w:p>
      <w:pPr>
        <w:pStyle w:val="BodyText"/>
        <w:spacing w:before="8"/>
        <w:rPr>
          <w:b/>
          <w:sz w:val="23"/>
        </w:rPr>
      </w:pPr>
    </w:p>
    <w:p>
      <w:pPr>
        <w:spacing w:before="73"/>
        <w:ind w:left="287" w:right="0" w:firstLine="0"/>
        <w:jc w:val="left"/>
        <w:rPr>
          <w:b/>
          <w:sz w:val="22"/>
        </w:rPr>
      </w:pPr>
      <w:r>
        <w:rPr>
          <w:b/>
          <w:sz w:val="22"/>
        </w:rPr>
        <w:t>Statement of Changes in Equity</w:t>
      </w:r>
    </w:p>
    <w:p>
      <w:pPr>
        <w:spacing w:before="54"/>
        <w:ind w:left="288" w:right="0" w:firstLine="0"/>
        <w:jc w:val="left"/>
        <w:rPr>
          <w:b/>
          <w:sz w:val="22"/>
        </w:rPr>
      </w:pPr>
      <w:r>
        <w:rPr>
          <w:b/>
          <w:sz w:val="22"/>
        </w:rPr>
        <w:t>For the period from 2 March 2012 to 31 December 2012</w:t>
      </w:r>
    </w:p>
    <w:p>
      <w:pPr>
        <w:pStyle w:val="BodyText"/>
        <w:rPr>
          <w:b/>
          <w:sz w:val="20"/>
        </w:rPr>
      </w:pPr>
    </w:p>
    <w:p>
      <w:pPr>
        <w:pStyle w:val="BodyText"/>
        <w:rPr>
          <w:b/>
          <w:sz w:val="20"/>
        </w:rPr>
      </w:pPr>
    </w:p>
    <w:p>
      <w:pPr>
        <w:pStyle w:val="BodyText"/>
        <w:spacing w:before="7"/>
        <w:rPr>
          <w:b/>
          <w:sz w:val="24"/>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42"/>
        <w:gridCol w:w="1246"/>
        <w:gridCol w:w="1202"/>
      </w:tblGrid>
      <w:tr>
        <w:trPr>
          <w:trHeight w:val="677" w:hRule="exact"/>
        </w:trPr>
        <w:tc>
          <w:tcPr>
            <w:tcW w:w="7642" w:type="dxa"/>
          </w:tcPr>
          <w:p>
            <w:pPr/>
          </w:p>
        </w:tc>
        <w:tc>
          <w:tcPr>
            <w:tcW w:w="1246" w:type="dxa"/>
          </w:tcPr>
          <w:p>
            <w:pPr>
              <w:pStyle w:val="TableParagraph"/>
              <w:spacing w:line="184" w:lineRule="exact"/>
              <w:ind w:left="213" w:right="232"/>
              <w:jc w:val="center"/>
              <w:rPr>
                <w:b/>
                <w:sz w:val="18"/>
              </w:rPr>
            </w:pPr>
            <w:r>
              <w:rPr>
                <w:b/>
                <w:sz w:val="18"/>
              </w:rPr>
              <w:t>Retained</w:t>
            </w:r>
          </w:p>
          <w:p>
            <w:pPr>
              <w:pStyle w:val="TableParagraph"/>
              <w:spacing w:before="2"/>
              <w:ind w:left="213" w:right="228"/>
              <w:jc w:val="center"/>
              <w:rPr>
                <w:b/>
                <w:sz w:val="18"/>
              </w:rPr>
            </w:pPr>
            <w:r>
              <w:rPr>
                <w:b/>
                <w:sz w:val="18"/>
              </w:rPr>
              <w:t>earnings</w:t>
            </w:r>
          </w:p>
          <w:p>
            <w:pPr>
              <w:pStyle w:val="TableParagraph"/>
              <w:spacing w:before="33"/>
              <w:ind w:right="20"/>
              <w:jc w:val="center"/>
              <w:rPr>
                <w:b/>
                <w:sz w:val="18"/>
              </w:rPr>
            </w:pPr>
            <w:r>
              <w:rPr>
                <w:b/>
                <w:w w:val="99"/>
                <w:sz w:val="18"/>
              </w:rPr>
              <w:t>$</w:t>
            </w:r>
          </w:p>
        </w:tc>
        <w:tc>
          <w:tcPr>
            <w:tcW w:w="1202" w:type="dxa"/>
          </w:tcPr>
          <w:p>
            <w:pPr>
              <w:pStyle w:val="TableParagraph"/>
              <w:spacing w:before="1"/>
              <w:rPr>
                <w:b/>
                <w:sz w:val="16"/>
              </w:rPr>
            </w:pPr>
          </w:p>
          <w:p>
            <w:pPr>
              <w:pStyle w:val="TableParagraph"/>
              <w:spacing w:before="1"/>
              <w:ind w:left="55" w:right="97"/>
              <w:jc w:val="center"/>
              <w:rPr>
                <w:b/>
                <w:sz w:val="18"/>
              </w:rPr>
            </w:pPr>
            <w:r>
              <w:rPr>
                <w:b/>
                <w:sz w:val="18"/>
              </w:rPr>
              <w:t>Total equity</w:t>
            </w:r>
          </w:p>
          <w:p>
            <w:pPr>
              <w:pStyle w:val="TableParagraph"/>
              <w:spacing w:before="33"/>
              <w:ind w:right="44"/>
              <w:jc w:val="center"/>
              <w:rPr>
                <w:b/>
                <w:sz w:val="18"/>
              </w:rPr>
            </w:pPr>
            <w:r>
              <w:rPr>
                <w:b/>
                <w:w w:val="99"/>
                <w:sz w:val="18"/>
              </w:rPr>
              <w:t>$</w:t>
            </w:r>
          </w:p>
        </w:tc>
      </w:tr>
      <w:tr>
        <w:trPr>
          <w:trHeight w:val="413" w:hRule="exact"/>
        </w:trPr>
        <w:tc>
          <w:tcPr>
            <w:tcW w:w="7642" w:type="dxa"/>
          </w:tcPr>
          <w:p>
            <w:pPr>
              <w:pStyle w:val="TableParagraph"/>
              <w:spacing w:before="25"/>
              <w:ind w:left="200"/>
              <w:rPr>
                <w:b/>
                <w:sz w:val="18"/>
              </w:rPr>
            </w:pPr>
            <w:r>
              <w:rPr>
                <w:b/>
                <w:sz w:val="18"/>
              </w:rPr>
              <w:t>Balance at 2 March 2012</w:t>
            </w:r>
          </w:p>
        </w:tc>
        <w:tc>
          <w:tcPr>
            <w:tcW w:w="1246" w:type="dxa"/>
          </w:tcPr>
          <w:p>
            <w:pPr/>
          </w:p>
        </w:tc>
        <w:tc>
          <w:tcPr>
            <w:tcW w:w="1202" w:type="dxa"/>
          </w:tcPr>
          <w:p>
            <w:pPr/>
          </w:p>
        </w:tc>
      </w:tr>
      <w:tr>
        <w:trPr>
          <w:trHeight w:val="408" w:hRule="exact"/>
        </w:trPr>
        <w:tc>
          <w:tcPr>
            <w:tcW w:w="7642" w:type="dxa"/>
          </w:tcPr>
          <w:p>
            <w:pPr>
              <w:pStyle w:val="TableParagraph"/>
              <w:spacing w:before="162"/>
              <w:ind w:left="200"/>
              <w:rPr>
                <w:b/>
                <w:sz w:val="18"/>
              </w:rPr>
            </w:pPr>
            <w:r>
              <w:rPr>
                <w:b/>
                <w:sz w:val="18"/>
              </w:rPr>
              <w:t>Comprehensive income for the period</w:t>
            </w:r>
          </w:p>
        </w:tc>
        <w:tc>
          <w:tcPr>
            <w:tcW w:w="1246" w:type="dxa"/>
          </w:tcPr>
          <w:p>
            <w:pPr/>
          </w:p>
        </w:tc>
        <w:tc>
          <w:tcPr>
            <w:tcW w:w="1202" w:type="dxa"/>
          </w:tcPr>
          <w:p>
            <w:pPr/>
          </w:p>
        </w:tc>
      </w:tr>
      <w:tr>
        <w:trPr>
          <w:trHeight w:val="268" w:hRule="exact"/>
        </w:trPr>
        <w:tc>
          <w:tcPr>
            <w:tcW w:w="7642" w:type="dxa"/>
          </w:tcPr>
          <w:p>
            <w:pPr>
              <w:pStyle w:val="TableParagraph"/>
              <w:spacing w:before="25"/>
              <w:ind w:left="341"/>
              <w:rPr>
                <w:sz w:val="18"/>
              </w:rPr>
            </w:pPr>
            <w:r>
              <w:rPr>
                <w:sz w:val="18"/>
              </w:rPr>
              <w:t>Surplus for the year</w:t>
            </w:r>
          </w:p>
        </w:tc>
        <w:tc>
          <w:tcPr>
            <w:tcW w:w="1246" w:type="dxa"/>
          </w:tcPr>
          <w:p>
            <w:pPr>
              <w:pStyle w:val="TableParagraph"/>
              <w:spacing w:before="20"/>
              <w:ind w:right="69"/>
              <w:jc w:val="right"/>
              <w:rPr>
                <w:b/>
                <w:sz w:val="18"/>
              </w:rPr>
            </w:pPr>
            <w:r>
              <w:rPr>
                <w:b/>
                <w:sz w:val="18"/>
              </w:rPr>
              <w:t>404,365</w:t>
            </w:r>
          </w:p>
        </w:tc>
        <w:tc>
          <w:tcPr>
            <w:tcW w:w="1202" w:type="dxa"/>
          </w:tcPr>
          <w:p>
            <w:pPr>
              <w:pStyle w:val="TableParagraph"/>
              <w:spacing w:before="20"/>
              <w:ind w:right="48"/>
              <w:jc w:val="right"/>
              <w:rPr>
                <w:b/>
                <w:sz w:val="18"/>
              </w:rPr>
            </w:pPr>
            <w:r>
              <w:rPr>
                <w:b/>
                <w:sz w:val="18"/>
              </w:rPr>
              <w:t>404,365</w:t>
            </w:r>
          </w:p>
        </w:tc>
      </w:tr>
      <w:tr>
        <w:trPr>
          <w:trHeight w:val="267" w:hRule="exact"/>
        </w:trPr>
        <w:tc>
          <w:tcPr>
            <w:tcW w:w="7642" w:type="dxa"/>
          </w:tcPr>
          <w:p>
            <w:pPr>
              <w:pStyle w:val="TableParagraph"/>
              <w:spacing w:before="21"/>
              <w:ind w:left="341"/>
              <w:rPr>
                <w:sz w:val="18"/>
              </w:rPr>
            </w:pPr>
            <w:r>
              <w:rPr>
                <w:sz w:val="18"/>
              </w:rPr>
              <w:t>Total other comprehensive income</w:t>
            </w:r>
          </w:p>
        </w:tc>
        <w:tc>
          <w:tcPr>
            <w:tcW w:w="1246" w:type="dxa"/>
            <w:tcBorders>
              <w:bottom w:val="single" w:sz="8" w:space="0" w:color="000000"/>
            </w:tcBorders>
          </w:tcPr>
          <w:p>
            <w:pPr>
              <w:pStyle w:val="TableParagraph"/>
              <w:spacing w:before="16"/>
              <w:ind w:right="106"/>
              <w:jc w:val="right"/>
              <w:rPr>
                <w:b/>
                <w:sz w:val="18"/>
              </w:rPr>
            </w:pPr>
            <w:r>
              <w:rPr>
                <w:b/>
                <w:w w:val="99"/>
                <w:sz w:val="18"/>
              </w:rPr>
              <w:t>-</w:t>
            </w:r>
          </w:p>
        </w:tc>
        <w:tc>
          <w:tcPr>
            <w:tcW w:w="1202" w:type="dxa"/>
            <w:tcBorders>
              <w:bottom w:val="single" w:sz="8" w:space="0" w:color="000000"/>
            </w:tcBorders>
          </w:tcPr>
          <w:p>
            <w:pPr>
              <w:pStyle w:val="TableParagraph"/>
              <w:spacing w:before="16"/>
              <w:ind w:right="84"/>
              <w:jc w:val="right"/>
              <w:rPr>
                <w:b/>
                <w:sz w:val="18"/>
              </w:rPr>
            </w:pPr>
            <w:r>
              <w:rPr>
                <w:b/>
                <w:w w:val="99"/>
                <w:sz w:val="18"/>
              </w:rPr>
              <w:t>-</w:t>
            </w:r>
          </w:p>
        </w:tc>
      </w:tr>
      <w:tr>
        <w:trPr>
          <w:trHeight w:val="341" w:hRule="exact"/>
        </w:trPr>
        <w:tc>
          <w:tcPr>
            <w:tcW w:w="7642" w:type="dxa"/>
          </w:tcPr>
          <w:p>
            <w:pPr>
              <w:pStyle w:val="TableParagraph"/>
              <w:spacing w:before="124"/>
              <w:ind w:left="200"/>
              <w:rPr>
                <w:sz w:val="18"/>
              </w:rPr>
            </w:pPr>
            <w:r>
              <w:rPr>
                <w:sz w:val="18"/>
              </w:rPr>
              <w:t>Total comprehensive income for the period</w:t>
            </w:r>
          </w:p>
        </w:tc>
        <w:tc>
          <w:tcPr>
            <w:tcW w:w="1246" w:type="dxa"/>
            <w:tcBorders>
              <w:top w:val="single" w:sz="8" w:space="0" w:color="000000"/>
              <w:bottom w:val="single" w:sz="8" w:space="0" w:color="000000"/>
            </w:tcBorders>
          </w:tcPr>
          <w:p>
            <w:pPr>
              <w:pStyle w:val="TableParagraph"/>
              <w:spacing w:before="109"/>
              <w:ind w:right="69"/>
              <w:jc w:val="right"/>
              <w:rPr>
                <w:b/>
                <w:sz w:val="18"/>
              </w:rPr>
            </w:pPr>
            <w:r>
              <w:rPr>
                <w:b/>
                <w:sz w:val="18"/>
              </w:rPr>
              <w:t>404,365</w:t>
            </w:r>
          </w:p>
        </w:tc>
        <w:tc>
          <w:tcPr>
            <w:tcW w:w="1202" w:type="dxa"/>
            <w:tcBorders>
              <w:top w:val="single" w:sz="8" w:space="0" w:color="000000"/>
              <w:bottom w:val="single" w:sz="8" w:space="0" w:color="000000"/>
            </w:tcBorders>
          </w:tcPr>
          <w:p>
            <w:pPr>
              <w:pStyle w:val="TableParagraph"/>
              <w:spacing w:before="109"/>
              <w:ind w:right="48"/>
              <w:jc w:val="right"/>
              <w:rPr>
                <w:b/>
                <w:sz w:val="18"/>
              </w:rPr>
            </w:pPr>
            <w:r>
              <w:rPr>
                <w:b/>
                <w:sz w:val="18"/>
              </w:rPr>
              <w:t>404,365</w:t>
            </w:r>
          </w:p>
        </w:tc>
      </w:tr>
      <w:tr>
        <w:trPr>
          <w:trHeight w:val="353" w:hRule="exact"/>
        </w:trPr>
        <w:tc>
          <w:tcPr>
            <w:tcW w:w="7642" w:type="dxa"/>
          </w:tcPr>
          <w:p>
            <w:pPr>
              <w:pStyle w:val="TableParagraph"/>
              <w:spacing w:before="116"/>
              <w:ind w:left="200"/>
              <w:rPr>
                <w:b/>
                <w:sz w:val="18"/>
              </w:rPr>
            </w:pPr>
            <w:r>
              <w:rPr>
                <w:b/>
                <w:sz w:val="18"/>
              </w:rPr>
              <w:t>Balance at 31 December 2012</w:t>
            </w:r>
          </w:p>
        </w:tc>
        <w:tc>
          <w:tcPr>
            <w:tcW w:w="1246" w:type="dxa"/>
            <w:tcBorders>
              <w:top w:val="single" w:sz="8" w:space="0" w:color="000000"/>
              <w:bottom w:val="single" w:sz="17" w:space="0" w:color="000000"/>
            </w:tcBorders>
          </w:tcPr>
          <w:p>
            <w:pPr>
              <w:pStyle w:val="TableParagraph"/>
              <w:spacing w:before="107"/>
              <w:ind w:right="69"/>
              <w:jc w:val="right"/>
              <w:rPr>
                <w:b/>
                <w:sz w:val="18"/>
              </w:rPr>
            </w:pPr>
            <w:r>
              <w:rPr>
                <w:b/>
                <w:sz w:val="18"/>
              </w:rPr>
              <w:t>404,365</w:t>
            </w:r>
          </w:p>
        </w:tc>
        <w:tc>
          <w:tcPr>
            <w:tcW w:w="1202" w:type="dxa"/>
            <w:tcBorders>
              <w:top w:val="single" w:sz="8" w:space="0" w:color="000000"/>
              <w:bottom w:val="single" w:sz="17" w:space="0" w:color="000000"/>
            </w:tcBorders>
          </w:tcPr>
          <w:p>
            <w:pPr>
              <w:pStyle w:val="TableParagraph"/>
              <w:spacing w:before="107"/>
              <w:ind w:right="48"/>
              <w:jc w:val="right"/>
              <w:rPr>
                <w:b/>
                <w:sz w:val="18"/>
              </w:rPr>
            </w:pPr>
            <w:r>
              <w:rPr>
                <w:b/>
                <w:sz w:val="18"/>
              </w:rPr>
              <w:t>404,365</w:t>
            </w:r>
          </w:p>
        </w:tc>
      </w:tr>
    </w:tbl>
    <w:p>
      <w:pPr>
        <w:spacing w:after="0"/>
        <w:jc w:val="right"/>
        <w:rPr>
          <w:sz w:val="18"/>
        </w:rPr>
        <w:sectPr>
          <w:pgSz w:w="11960" w:h="16850"/>
          <w:pgMar w:header="743" w:footer="911" w:top="1180" w:bottom="1100" w:left="720" w:right="920"/>
        </w:sectPr>
      </w:pPr>
    </w:p>
    <w:p>
      <w:pPr>
        <w:pStyle w:val="BodyText"/>
        <w:spacing w:before="8"/>
        <w:rPr>
          <w:b/>
          <w:sz w:val="23"/>
        </w:rPr>
      </w:pPr>
    </w:p>
    <w:p>
      <w:pPr>
        <w:spacing w:before="73"/>
        <w:ind w:left="287" w:right="0" w:firstLine="0"/>
        <w:jc w:val="left"/>
        <w:rPr>
          <w:b/>
          <w:sz w:val="22"/>
        </w:rPr>
      </w:pPr>
      <w:r>
        <w:rPr>
          <w:b/>
          <w:sz w:val="22"/>
        </w:rPr>
        <w:t>Statement of Cash Flows</w:t>
      </w:r>
    </w:p>
    <w:p>
      <w:pPr>
        <w:spacing w:before="54"/>
        <w:ind w:left="288" w:right="0" w:firstLine="0"/>
        <w:jc w:val="left"/>
        <w:rPr>
          <w:b/>
          <w:sz w:val="22"/>
        </w:rPr>
      </w:pPr>
      <w:r>
        <w:rPr>
          <w:b/>
          <w:sz w:val="22"/>
        </w:rPr>
        <w:t>For the period from 2 March 2012 to 31 December 2012</w:t>
      </w:r>
    </w:p>
    <w:p>
      <w:pPr>
        <w:pStyle w:val="BodyText"/>
        <w:rPr>
          <w:b/>
          <w:sz w:val="20"/>
        </w:rPr>
      </w:pPr>
    </w:p>
    <w:p>
      <w:pPr>
        <w:pStyle w:val="BodyText"/>
        <w:rPr>
          <w:b/>
          <w:sz w:val="20"/>
        </w:rPr>
      </w:pPr>
    </w:p>
    <w:p>
      <w:pPr>
        <w:pStyle w:val="BodyText"/>
        <w:spacing w:before="7"/>
        <w:rPr>
          <w:b/>
          <w:sz w:val="24"/>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555"/>
        <w:gridCol w:w="2240"/>
        <w:gridCol w:w="1298"/>
      </w:tblGrid>
      <w:tr>
        <w:trPr>
          <w:trHeight w:val="509" w:hRule="exact"/>
        </w:trPr>
        <w:tc>
          <w:tcPr>
            <w:tcW w:w="6555" w:type="dxa"/>
          </w:tcPr>
          <w:p>
            <w:pPr/>
          </w:p>
        </w:tc>
        <w:tc>
          <w:tcPr>
            <w:tcW w:w="2240" w:type="dxa"/>
          </w:tcPr>
          <w:p>
            <w:pPr>
              <w:pStyle w:val="TableParagraph"/>
              <w:spacing w:before="1"/>
              <w:rPr>
                <w:b/>
                <w:sz w:val="19"/>
              </w:rPr>
            </w:pPr>
          </w:p>
          <w:p>
            <w:pPr>
              <w:pStyle w:val="TableParagraph"/>
              <w:ind w:right="87"/>
              <w:jc w:val="right"/>
              <w:rPr>
                <w:b/>
                <w:sz w:val="18"/>
              </w:rPr>
            </w:pPr>
            <w:r>
              <w:rPr>
                <w:b/>
                <w:sz w:val="18"/>
              </w:rPr>
              <w:t>Note</w:t>
            </w:r>
          </w:p>
        </w:tc>
        <w:tc>
          <w:tcPr>
            <w:tcW w:w="1298" w:type="dxa"/>
          </w:tcPr>
          <w:p>
            <w:pPr>
              <w:pStyle w:val="TableParagraph"/>
              <w:spacing w:line="184" w:lineRule="exact"/>
              <w:ind w:left="406" w:right="404"/>
              <w:jc w:val="center"/>
              <w:rPr>
                <w:b/>
                <w:sz w:val="18"/>
              </w:rPr>
            </w:pPr>
            <w:r>
              <w:rPr>
                <w:b/>
                <w:sz w:val="18"/>
              </w:rPr>
              <w:t>2012</w:t>
            </w:r>
          </w:p>
          <w:p>
            <w:pPr>
              <w:pStyle w:val="TableParagraph"/>
              <w:spacing w:before="35"/>
              <w:ind w:left="1"/>
              <w:jc w:val="center"/>
              <w:rPr>
                <w:b/>
                <w:sz w:val="18"/>
              </w:rPr>
            </w:pPr>
            <w:r>
              <w:rPr>
                <w:b/>
                <w:w w:val="99"/>
                <w:sz w:val="18"/>
              </w:rPr>
              <w:t>$</w:t>
            </w:r>
          </w:p>
        </w:tc>
      </w:tr>
      <w:tr>
        <w:trPr>
          <w:trHeight w:val="294" w:hRule="exact"/>
        </w:trPr>
        <w:tc>
          <w:tcPr>
            <w:tcW w:w="6555" w:type="dxa"/>
          </w:tcPr>
          <w:p>
            <w:pPr>
              <w:pStyle w:val="TableParagraph"/>
              <w:spacing w:before="63"/>
              <w:ind w:left="200"/>
              <w:rPr>
                <w:b/>
                <w:sz w:val="18"/>
              </w:rPr>
            </w:pPr>
            <w:r>
              <w:rPr>
                <w:b/>
                <w:sz w:val="18"/>
              </w:rPr>
              <w:t>CASH FLOWS FROM OPERATING ACTIVITIES</w:t>
            </w:r>
          </w:p>
        </w:tc>
        <w:tc>
          <w:tcPr>
            <w:tcW w:w="2240" w:type="dxa"/>
          </w:tcPr>
          <w:p>
            <w:pPr/>
          </w:p>
        </w:tc>
        <w:tc>
          <w:tcPr>
            <w:tcW w:w="1298" w:type="dxa"/>
          </w:tcPr>
          <w:p>
            <w:pPr/>
          </w:p>
        </w:tc>
      </w:tr>
      <w:tr>
        <w:trPr>
          <w:trHeight w:val="251" w:hRule="exact"/>
        </w:trPr>
        <w:tc>
          <w:tcPr>
            <w:tcW w:w="6555" w:type="dxa"/>
          </w:tcPr>
          <w:p>
            <w:pPr>
              <w:pStyle w:val="TableParagraph"/>
              <w:spacing w:before="9"/>
              <w:ind w:left="200"/>
              <w:rPr>
                <w:sz w:val="18"/>
              </w:rPr>
            </w:pPr>
            <w:r>
              <w:rPr>
                <w:sz w:val="18"/>
              </w:rPr>
              <w:t>Receipts from fees, fundraising and others</w:t>
            </w:r>
          </w:p>
        </w:tc>
        <w:tc>
          <w:tcPr>
            <w:tcW w:w="2240" w:type="dxa"/>
          </w:tcPr>
          <w:p>
            <w:pPr/>
          </w:p>
        </w:tc>
        <w:tc>
          <w:tcPr>
            <w:tcW w:w="1298" w:type="dxa"/>
          </w:tcPr>
          <w:p>
            <w:pPr>
              <w:pStyle w:val="TableParagraph"/>
              <w:spacing w:before="4"/>
              <w:ind w:right="48"/>
              <w:jc w:val="right"/>
              <w:rPr>
                <w:b/>
                <w:sz w:val="18"/>
              </w:rPr>
            </w:pPr>
            <w:r>
              <w:rPr>
                <w:b/>
                <w:sz w:val="18"/>
              </w:rPr>
              <w:t>1,882,153</w:t>
            </w:r>
          </w:p>
        </w:tc>
      </w:tr>
      <w:tr>
        <w:trPr>
          <w:trHeight w:val="263" w:hRule="exact"/>
        </w:trPr>
        <w:tc>
          <w:tcPr>
            <w:tcW w:w="6555" w:type="dxa"/>
          </w:tcPr>
          <w:p>
            <w:pPr>
              <w:pStyle w:val="TableParagraph"/>
              <w:spacing w:before="20"/>
              <w:ind w:left="200"/>
              <w:rPr>
                <w:sz w:val="18"/>
              </w:rPr>
            </w:pPr>
            <w:r>
              <w:rPr>
                <w:sz w:val="18"/>
              </w:rPr>
              <w:t>Payments to suppliers and employees</w:t>
            </w:r>
          </w:p>
        </w:tc>
        <w:tc>
          <w:tcPr>
            <w:tcW w:w="2240" w:type="dxa"/>
          </w:tcPr>
          <w:p>
            <w:pPr/>
          </w:p>
        </w:tc>
        <w:tc>
          <w:tcPr>
            <w:tcW w:w="1298" w:type="dxa"/>
          </w:tcPr>
          <w:p>
            <w:pPr>
              <w:pStyle w:val="TableParagraph"/>
              <w:spacing w:before="15"/>
              <w:ind w:right="47"/>
              <w:jc w:val="right"/>
              <w:rPr>
                <w:b/>
                <w:sz w:val="18"/>
              </w:rPr>
            </w:pPr>
            <w:r>
              <w:rPr>
                <w:b/>
                <w:sz w:val="18"/>
              </w:rPr>
              <w:t>(2,157,068)</w:t>
            </w:r>
          </w:p>
        </w:tc>
      </w:tr>
      <w:tr>
        <w:trPr>
          <w:trHeight w:val="263" w:hRule="exact"/>
        </w:trPr>
        <w:tc>
          <w:tcPr>
            <w:tcW w:w="6555" w:type="dxa"/>
          </w:tcPr>
          <w:p>
            <w:pPr>
              <w:pStyle w:val="TableParagraph"/>
              <w:spacing w:before="21"/>
              <w:ind w:left="200"/>
              <w:rPr>
                <w:sz w:val="18"/>
              </w:rPr>
            </w:pPr>
            <w:r>
              <w:rPr>
                <w:sz w:val="18"/>
              </w:rPr>
              <w:t>Receipts from Australian Government child care benefits</w:t>
            </w:r>
          </w:p>
        </w:tc>
        <w:tc>
          <w:tcPr>
            <w:tcW w:w="2240" w:type="dxa"/>
          </w:tcPr>
          <w:p>
            <w:pPr/>
          </w:p>
        </w:tc>
        <w:tc>
          <w:tcPr>
            <w:tcW w:w="1298" w:type="dxa"/>
          </w:tcPr>
          <w:p>
            <w:pPr>
              <w:pStyle w:val="TableParagraph"/>
              <w:spacing w:before="16"/>
              <w:ind w:right="48"/>
              <w:jc w:val="right"/>
              <w:rPr>
                <w:b/>
                <w:sz w:val="18"/>
              </w:rPr>
            </w:pPr>
            <w:r>
              <w:rPr>
                <w:b/>
                <w:sz w:val="18"/>
              </w:rPr>
              <w:t>990,526</w:t>
            </w:r>
          </w:p>
        </w:tc>
      </w:tr>
      <w:tr>
        <w:trPr>
          <w:trHeight w:val="263" w:hRule="exact"/>
        </w:trPr>
        <w:tc>
          <w:tcPr>
            <w:tcW w:w="6555" w:type="dxa"/>
          </w:tcPr>
          <w:p>
            <w:pPr>
              <w:pStyle w:val="TableParagraph"/>
              <w:spacing w:before="20"/>
              <w:ind w:left="200"/>
              <w:rPr>
                <w:sz w:val="18"/>
              </w:rPr>
            </w:pPr>
            <w:r>
              <w:rPr>
                <w:sz w:val="18"/>
              </w:rPr>
              <w:t>Subsidies received</w:t>
            </w:r>
          </w:p>
        </w:tc>
        <w:tc>
          <w:tcPr>
            <w:tcW w:w="2240" w:type="dxa"/>
          </w:tcPr>
          <w:p>
            <w:pPr/>
          </w:p>
        </w:tc>
        <w:tc>
          <w:tcPr>
            <w:tcW w:w="1298" w:type="dxa"/>
          </w:tcPr>
          <w:p>
            <w:pPr>
              <w:pStyle w:val="TableParagraph"/>
              <w:spacing w:before="15"/>
              <w:ind w:right="48"/>
              <w:jc w:val="right"/>
              <w:rPr>
                <w:b/>
                <w:sz w:val="18"/>
              </w:rPr>
            </w:pPr>
            <w:r>
              <w:rPr>
                <w:b/>
                <w:sz w:val="18"/>
              </w:rPr>
              <w:t>139,389</w:t>
            </w:r>
          </w:p>
        </w:tc>
      </w:tr>
      <w:tr>
        <w:trPr>
          <w:trHeight w:val="267" w:hRule="exact"/>
        </w:trPr>
        <w:tc>
          <w:tcPr>
            <w:tcW w:w="6555" w:type="dxa"/>
          </w:tcPr>
          <w:p>
            <w:pPr>
              <w:pStyle w:val="TableParagraph"/>
              <w:spacing w:before="21"/>
              <w:ind w:left="200"/>
              <w:rPr>
                <w:sz w:val="18"/>
              </w:rPr>
            </w:pPr>
            <w:r>
              <w:rPr>
                <w:sz w:val="18"/>
              </w:rPr>
              <w:t>Interest received</w:t>
            </w:r>
          </w:p>
        </w:tc>
        <w:tc>
          <w:tcPr>
            <w:tcW w:w="2240" w:type="dxa"/>
          </w:tcPr>
          <w:p>
            <w:pPr/>
          </w:p>
        </w:tc>
        <w:tc>
          <w:tcPr>
            <w:tcW w:w="1298" w:type="dxa"/>
            <w:tcBorders>
              <w:bottom w:val="single" w:sz="8" w:space="0" w:color="000000"/>
            </w:tcBorders>
          </w:tcPr>
          <w:p>
            <w:pPr>
              <w:pStyle w:val="TableParagraph"/>
              <w:spacing w:before="16"/>
              <w:ind w:right="49"/>
              <w:jc w:val="right"/>
              <w:rPr>
                <w:b/>
                <w:sz w:val="18"/>
              </w:rPr>
            </w:pPr>
            <w:r>
              <w:rPr>
                <w:b/>
                <w:sz w:val="18"/>
              </w:rPr>
              <w:t>18,270</w:t>
            </w:r>
          </w:p>
        </w:tc>
      </w:tr>
      <w:tr>
        <w:trPr>
          <w:trHeight w:val="341" w:hRule="exact"/>
        </w:trPr>
        <w:tc>
          <w:tcPr>
            <w:tcW w:w="6555" w:type="dxa"/>
          </w:tcPr>
          <w:p>
            <w:pPr>
              <w:pStyle w:val="TableParagraph"/>
              <w:spacing w:before="37"/>
              <w:ind w:left="200"/>
              <w:rPr>
                <w:sz w:val="18"/>
              </w:rPr>
            </w:pPr>
            <w:r>
              <w:rPr>
                <w:sz w:val="18"/>
              </w:rPr>
              <w:t>Net cash provided by / (used in) operating activities</w:t>
            </w:r>
          </w:p>
        </w:tc>
        <w:tc>
          <w:tcPr>
            <w:tcW w:w="2240" w:type="dxa"/>
          </w:tcPr>
          <w:p>
            <w:pPr>
              <w:pStyle w:val="TableParagraph"/>
              <w:spacing w:before="37"/>
              <w:ind w:right="185"/>
              <w:jc w:val="right"/>
              <w:rPr>
                <w:sz w:val="18"/>
              </w:rPr>
            </w:pPr>
            <w:r>
              <w:rPr>
                <w:w w:val="95"/>
                <w:sz w:val="18"/>
              </w:rPr>
              <w:t>16</w:t>
            </w:r>
          </w:p>
        </w:tc>
        <w:tc>
          <w:tcPr>
            <w:tcW w:w="1298" w:type="dxa"/>
            <w:tcBorders>
              <w:top w:val="single" w:sz="8" w:space="0" w:color="000000"/>
              <w:bottom w:val="single" w:sz="8" w:space="0" w:color="000000"/>
            </w:tcBorders>
          </w:tcPr>
          <w:p>
            <w:pPr>
              <w:pStyle w:val="TableParagraph"/>
              <w:spacing w:before="109"/>
              <w:ind w:right="48"/>
              <w:jc w:val="right"/>
              <w:rPr>
                <w:b/>
                <w:sz w:val="18"/>
              </w:rPr>
            </w:pPr>
            <w:r>
              <w:rPr>
                <w:b/>
                <w:sz w:val="18"/>
              </w:rPr>
              <w:t>873,270</w:t>
            </w:r>
          </w:p>
        </w:tc>
      </w:tr>
    </w:tbl>
    <w:p>
      <w:pPr>
        <w:pStyle w:val="BodyText"/>
        <w:rPr>
          <w:b/>
          <w:sz w:val="20"/>
        </w:rPr>
      </w:pPr>
    </w:p>
    <w:p>
      <w:pPr>
        <w:pStyle w:val="BodyText"/>
        <w:spacing w:before="2"/>
        <w:rPr>
          <w:b/>
          <w:sz w:val="17"/>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206"/>
      </w:tblGrid>
      <w:tr>
        <w:trPr>
          <w:trHeight w:val="210" w:hRule="exact"/>
        </w:trPr>
        <w:tc>
          <w:tcPr>
            <w:tcW w:w="10206" w:type="dxa"/>
          </w:tcPr>
          <w:p>
            <w:pPr>
              <w:pStyle w:val="TableParagraph"/>
              <w:spacing w:line="184" w:lineRule="exact"/>
              <w:ind w:left="200"/>
              <w:rPr>
                <w:b/>
                <w:sz w:val="18"/>
              </w:rPr>
            </w:pPr>
            <w:r>
              <w:rPr>
                <w:b/>
                <w:sz w:val="18"/>
              </w:rPr>
              <w:t>CASH FLOWS FROM INVESTING ACTIVITIES</w:t>
            </w:r>
          </w:p>
        </w:tc>
      </w:tr>
      <w:tr>
        <w:trPr>
          <w:trHeight w:val="292" w:hRule="exact"/>
        </w:trPr>
        <w:tc>
          <w:tcPr>
            <w:tcW w:w="10206" w:type="dxa"/>
          </w:tcPr>
          <w:p>
            <w:pPr>
              <w:pStyle w:val="TableParagraph"/>
              <w:tabs>
                <w:tab w:pos="8779" w:val="left" w:leader="none"/>
                <w:tab w:pos="9946" w:val="left" w:leader="none"/>
                <w:tab w:pos="10092" w:val="left" w:leader="none"/>
              </w:tabs>
              <w:spacing w:before="7"/>
              <w:ind w:left="200"/>
              <w:rPr>
                <w:b/>
                <w:sz w:val="18"/>
              </w:rPr>
            </w:pPr>
            <w:r>
              <w:rPr>
                <w:sz w:val="18"/>
              </w:rPr>
              <w:t>Net cash provided by / (used in)</w:t>
            </w:r>
            <w:r>
              <w:rPr>
                <w:spacing w:val="-17"/>
                <w:sz w:val="18"/>
              </w:rPr>
              <w:t> </w:t>
            </w:r>
            <w:r>
              <w:rPr>
                <w:sz w:val="18"/>
              </w:rPr>
              <w:t>investing</w:t>
            </w:r>
            <w:r>
              <w:rPr>
                <w:spacing w:val="-4"/>
                <w:sz w:val="18"/>
              </w:rPr>
              <w:t> </w:t>
            </w:r>
            <w:r>
              <w:rPr>
                <w:sz w:val="18"/>
              </w:rPr>
              <w:t>activities</w:t>
              <w:tab/>
            </w:r>
            <w:r>
              <w:rPr>
                <w:b/>
                <w:position w:val="-7"/>
                <w:sz w:val="18"/>
                <w:u w:val="single"/>
              </w:rPr>
              <w:t> </w:t>
              <w:tab/>
              <w:t>-</w:t>
              <w:tab/>
            </w:r>
          </w:p>
        </w:tc>
      </w:tr>
    </w:tbl>
    <w:p>
      <w:pPr>
        <w:pStyle w:val="BodyText"/>
        <w:rPr>
          <w:b/>
          <w:sz w:val="20"/>
        </w:rPr>
      </w:pPr>
    </w:p>
    <w:p>
      <w:pPr>
        <w:pStyle w:val="BodyText"/>
        <w:spacing w:before="7"/>
        <w:rPr>
          <w:b/>
          <w:sz w:val="19"/>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206"/>
      </w:tblGrid>
      <w:tr>
        <w:trPr>
          <w:trHeight w:val="209" w:hRule="exact"/>
        </w:trPr>
        <w:tc>
          <w:tcPr>
            <w:tcW w:w="10206" w:type="dxa"/>
          </w:tcPr>
          <w:p>
            <w:pPr>
              <w:pStyle w:val="TableParagraph"/>
              <w:spacing w:line="184" w:lineRule="exact"/>
              <w:ind w:left="200"/>
              <w:rPr>
                <w:b/>
                <w:sz w:val="18"/>
              </w:rPr>
            </w:pPr>
            <w:r>
              <w:rPr>
                <w:b/>
                <w:sz w:val="18"/>
              </w:rPr>
              <w:t>CASH FLOWS FROM FINANCING ACTIVITIES</w:t>
            </w:r>
          </w:p>
        </w:tc>
      </w:tr>
      <w:tr>
        <w:trPr>
          <w:trHeight w:val="290" w:hRule="exact"/>
        </w:trPr>
        <w:tc>
          <w:tcPr>
            <w:tcW w:w="10206" w:type="dxa"/>
          </w:tcPr>
          <w:p>
            <w:pPr>
              <w:pStyle w:val="TableParagraph"/>
              <w:tabs>
                <w:tab w:pos="8779" w:val="left" w:leader="none"/>
                <w:tab w:pos="9946" w:val="left" w:leader="none"/>
                <w:tab w:pos="10092" w:val="left" w:leader="none"/>
              </w:tabs>
              <w:spacing w:before="6"/>
              <w:ind w:left="200"/>
              <w:rPr>
                <w:b/>
                <w:sz w:val="18"/>
              </w:rPr>
            </w:pPr>
            <w:r>
              <w:rPr>
                <w:sz w:val="18"/>
              </w:rPr>
              <w:t>Net cash provided by / (used in)</w:t>
            </w:r>
            <w:r>
              <w:rPr>
                <w:spacing w:val="-16"/>
                <w:sz w:val="18"/>
              </w:rPr>
              <w:t> </w:t>
            </w:r>
            <w:r>
              <w:rPr>
                <w:sz w:val="18"/>
              </w:rPr>
              <w:t>financing</w:t>
            </w:r>
            <w:r>
              <w:rPr>
                <w:spacing w:val="-4"/>
                <w:sz w:val="18"/>
              </w:rPr>
              <w:t> </w:t>
            </w:r>
            <w:r>
              <w:rPr>
                <w:sz w:val="18"/>
              </w:rPr>
              <w:t>activities</w:t>
              <w:tab/>
            </w:r>
            <w:r>
              <w:rPr>
                <w:b/>
                <w:position w:val="-7"/>
                <w:sz w:val="18"/>
                <w:u w:val="single"/>
              </w:rPr>
              <w:t> </w:t>
              <w:tab/>
              <w:t>-</w:t>
              <w:tab/>
            </w:r>
          </w:p>
        </w:tc>
      </w:tr>
    </w:tbl>
    <w:p>
      <w:pPr>
        <w:pStyle w:val="BodyText"/>
        <w:rPr>
          <w:b/>
          <w:sz w:val="20"/>
        </w:rPr>
      </w:pPr>
    </w:p>
    <w:p>
      <w:pPr>
        <w:pStyle w:val="BodyText"/>
        <w:spacing w:before="3" w:after="1"/>
        <w:rPr>
          <w:b/>
          <w:sz w:val="12"/>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30"/>
        <w:gridCol w:w="1864"/>
        <w:gridCol w:w="1298"/>
      </w:tblGrid>
      <w:tr>
        <w:trPr>
          <w:trHeight w:val="221" w:hRule="exact"/>
        </w:trPr>
        <w:tc>
          <w:tcPr>
            <w:tcW w:w="6930" w:type="dxa"/>
          </w:tcPr>
          <w:p>
            <w:pPr>
              <w:pStyle w:val="TableParagraph"/>
              <w:spacing w:line="184" w:lineRule="exact"/>
              <w:ind w:left="200"/>
              <w:rPr>
                <w:b/>
                <w:sz w:val="18"/>
              </w:rPr>
            </w:pPr>
            <w:r>
              <w:rPr>
                <w:b/>
                <w:sz w:val="18"/>
              </w:rPr>
              <w:t>Net increase / (decrease) in cash   and cash equivalents held</w:t>
            </w:r>
          </w:p>
        </w:tc>
        <w:tc>
          <w:tcPr>
            <w:tcW w:w="1864" w:type="dxa"/>
          </w:tcPr>
          <w:p>
            <w:pPr/>
          </w:p>
        </w:tc>
        <w:tc>
          <w:tcPr>
            <w:tcW w:w="1298" w:type="dxa"/>
          </w:tcPr>
          <w:p>
            <w:pPr>
              <w:pStyle w:val="TableParagraph"/>
              <w:spacing w:line="184" w:lineRule="exact"/>
              <w:ind w:right="48"/>
              <w:jc w:val="right"/>
              <w:rPr>
                <w:b/>
                <w:sz w:val="18"/>
              </w:rPr>
            </w:pPr>
            <w:r>
              <w:rPr>
                <w:b/>
                <w:sz w:val="18"/>
              </w:rPr>
              <w:t>873,270</w:t>
            </w:r>
          </w:p>
        </w:tc>
      </w:tr>
      <w:tr>
        <w:trPr>
          <w:trHeight w:val="271" w:hRule="exact"/>
        </w:trPr>
        <w:tc>
          <w:tcPr>
            <w:tcW w:w="6930" w:type="dxa"/>
          </w:tcPr>
          <w:p>
            <w:pPr>
              <w:pStyle w:val="TableParagraph"/>
              <w:spacing w:before="22"/>
              <w:ind w:left="200"/>
              <w:rPr>
                <w:sz w:val="18"/>
              </w:rPr>
            </w:pPr>
            <w:r>
              <w:rPr>
                <w:sz w:val="18"/>
              </w:rPr>
              <w:t>Cash and cash equivalents at the beginning of financial period</w:t>
            </w:r>
          </w:p>
        </w:tc>
        <w:tc>
          <w:tcPr>
            <w:tcW w:w="1864" w:type="dxa"/>
          </w:tcPr>
          <w:p>
            <w:pPr/>
          </w:p>
        </w:tc>
        <w:tc>
          <w:tcPr>
            <w:tcW w:w="1298" w:type="dxa"/>
            <w:tcBorders>
              <w:bottom w:val="single" w:sz="8" w:space="0" w:color="000000"/>
            </w:tcBorders>
          </w:tcPr>
          <w:p>
            <w:pPr>
              <w:pStyle w:val="TableParagraph"/>
              <w:spacing w:before="18"/>
              <w:ind w:right="84"/>
              <w:jc w:val="right"/>
              <w:rPr>
                <w:b/>
                <w:sz w:val="18"/>
              </w:rPr>
            </w:pPr>
            <w:r>
              <w:rPr>
                <w:b/>
                <w:w w:val="99"/>
                <w:sz w:val="18"/>
              </w:rPr>
              <w:t>-</w:t>
            </w:r>
          </w:p>
        </w:tc>
      </w:tr>
      <w:tr>
        <w:trPr>
          <w:trHeight w:val="353" w:hRule="exact"/>
        </w:trPr>
        <w:tc>
          <w:tcPr>
            <w:tcW w:w="6930" w:type="dxa"/>
          </w:tcPr>
          <w:p>
            <w:pPr>
              <w:pStyle w:val="TableParagraph"/>
              <w:spacing w:before="30"/>
              <w:ind w:left="200"/>
              <w:rPr>
                <w:b/>
                <w:sz w:val="18"/>
              </w:rPr>
            </w:pPr>
            <w:r>
              <w:rPr>
                <w:b/>
                <w:sz w:val="18"/>
              </w:rPr>
              <w:t>Cash and cash equivalents at the end of financial period</w:t>
            </w:r>
          </w:p>
        </w:tc>
        <w:tc>
          <w:tcPr>
            <w:tcW w:w="1864" w:type="dxa"/>
          </w:tcPr>
          <w:p>
            <w:pPr>
              <w:pStyle w:val="TableParagraph"/>
              <w:spacing w:before="35"/>
              <w:ind w:right="236"/>
              <w:jc w:val="right"/>
              <w:rPr>
                <w:sz w:val="18"/>
              </w:rPr>
            </w:pPr>
            <w:r>
              <w:rPr>
                <w:w w:val="99"/>
                <w:sz w:val="18"/>
              </w:rPr>
              <w:t>4</w:t>
            </w:r>
          </w:p>
        </w:tc>
        <w:tc>
          <w:tcPr>
            <w:tcW w:w="1298" w:type="dxa"/>
            <w:tcBorders>
              <w:top w:val="single" w:sz="8" w:space="0" w:color="000000"/>
              <w:bottom w:val="single" w:sz="17" w:space="0" w:color="000000"/>
            </w:tcBorders>
          </w:tcPr>
          <w:p>
            <w:pPr>
              <w:pStyle w:val="TableParagraph"/>
              <w:spacing w:before="107"/>
              <w:ind w:right="48"/>
              <w:jc w:val="right"/>
              <w:rPr>
                <w:b/>
                <w:sz w:val="18"/>
              </w:rPr>
            </w:pPr>
            <w:r>
              <w:rPr>
                <w:b/>
                <w:sz w:val="18"/>
              </w:rPr>
              <w:t>873,270</w:t>
            </w:r>
          </w:p>
        </w:tc>
      </w:tr>
    </w:tbl>
    <w:p>
      <w:pPr>
        <w:spacing w:after="0"/>
        <w:jc w:val="right"/>
        <w:rPr>
          <w:sz w:val="18"/>
        </w:rPr>
        <w:sectPr>
          <w:pgSz w:w="11960" w:h="16850"/>
          <w:pgMar w:header="743" w:footer="911" w:top="1180" w:bottom="1100" w:left="720" w:right="800"/>
        </w:sectPr>
      </w:pPr>
    </w:p>
    <w:p>
      <w:pPr>
        <w:pStyle w:val="BodyText"/>
        <w:spacing w:before="8"/>
        <w:rPr>
          <w:b/>
          <w:sz w:val="23"/>
        </w:rPr>
      </w:pPr>
    </w:p>
    <w:p>
      <w:pPr>
        <w:pStyle w:val="Heading6"/>
        <w:spacing w:before="73"/>
        <w:ind w:left="307" w:right="181"/>
      </w:pPr>
      <w:r>
        <w:rPr/>
        <w:t>Notes to the Financial Statements</w:t>
      </w:r>
    </w:p>
    <w:p>
      <w:pPr>
        <w:spacing w:before="54"/>
        <w:ind w:left="308" w:right="181" w:firstLine="0"/>
        <w:jc w:val="left"/>
        <w:rPr>
          <w:b/>
          <w:sz w:val="22"/>
        </w:rPr>
      </w:pPr>
      <w:r>
        <w:rPr>
          <w:b/>
          <w:sz w:val="22"/>
        </w:rPr>
        <w:t>For the period from 2 March 2012 to 31 December 2012</w:t>
      </w:r>
    </w:p>
    <w:p>
      <w:pPr>
        <w:pStyle w:val="BodyText"/>
        <w:rPr>
          <w:b/>
          <w:sz w:val="20"/>
        </w:rPr>
      </w:pPr>
    </w:p>
    <w:p>
      <w:pPr>
        <w:pStyle w:val="BodyText"/>
        <w:rPr>
          <w:b/>
          <w:sz w:val="20"/>
        </w:rPr>
      </w:pPr>
    </w:p>
    <w:p>
      <w:pPr>
        <w:pStyle w:val="BodyText"/>
        <w:spacing w:before="9"/>
        <w:rPr>
          <w:b/>
          <w:sz w:val="13"/>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321"/>
      </w:tblGrid>
      <w:tr>
        <w:trPr>
          <w:trHeight w:val="341" w:hRule="exact"/>
        </w:trPr>
        <w:tc>
          <w:tcPr>
            <w:tcW w:w="10321" w:type="dxa"/>
          </w:tcPr>
          <w:p>
            <w:pPr>
              <w:pStyle w:val="TableParagraph"/>
              <w:tabs>
                <w:tab w:pos="595" w:val="left" w:leader="none"/>
              </w:tabs>
              <w:spacing w:line="184" w:lineRule="exact"/>
              <w:ind w:left="200"/>
              <w:rPr>
                <w:b/>
                <w:sz w:val="18"/>
              </w:rPr>
            </w:pPr>
            <w:r>
              <w:rPr>
                <w:b/>
                <w:sz w:val="18"/>
              </w:rPr>
              <w:t>1</w:t>
              <w:tab/>
              <w:t>Summary of significant accounting</w:t>
            </w:r>
            <w:r>
              <w:rPr>
                <w:b/>
                <w:spacing w:val="-16"/>
                <w:sz w:val="18"/>
              </w:rPr>
              <w:t> </w:t>
            </w:r>
            <w:r>
              <w:rPr>
                <w:b/>
                <w:sz w:val="18"/>
              </w:rPr>
              <w:t>policies</w:t>
            </w:r>
          </w:p>
        </w:tc>
      </w:tr>
      <w:tr>
        <w:trPr>
          <w:trHeight w:val="2237" w:hRule="exact"/>
        </w:trPr>
        <w:tc>
          <w:tcPr>
            <w:tcW w:w="10321" w:type="dxa"/>
          </w:tcPr>
          <w:p>
            <w:pPr>
              <w:pStyle w:val="TableParagraph"/>
              <w:spacing w:before="138"/>
              <w:ind w:left="1162"/>
              <w:rPr>
                <w:sz w:val="18"/>
              </w:rPr>
            </w:pPr>
            <w:r>
              <w:rPr>
                <w:sz w:val="18"/>
              </w:rPr>
              <w:t>UWS Early Learning Limited (the Company) is a not-for-profit company limited by guarantee incorporated on 2nd March 2012 and domiciled in Australia.</w:t>
            </w:r>
          </w:p>
          <w:p>
            <w:pPr>
              <w:pStyle w:val="TableParagraph"/>
              <w:spacing w:before="11"/>
              <w:rPr>
                <w:b/>
                <w:sz w:val="24"/>
              </w:rPr>
            </w:pPr>
          </w:p>
          <w:p>
            <w:pPr>
              <w:pStyle w:val="TableParagraph"/>
              <w:ind w:left="1162" w:right="344"/>
              <w:rPr>
                <w:sz w:val="18"/>
              </w:rPr>
            </w:pPr>
            <w:r>
              <w:rPr>
                <w:sz w:val="18"/>
              </w:rPr>
              <w:t>This is the first financial report of the Company and covers the period from incorporation on 2nd March 2012 to 31 December 2012. The Company commenced operations on 2nd March 2012.</w:t>
            </w:r>
          </w:p>
          <w:p>
            <w:pPr>
              <w:pStyle w:val="TableParagraph"/>
              <w:rPr>
                <w:b/>
                <w:sz w:val="25"/>
              </w:rPr>
            </w:pPr>
          </w:p>
          <w:p>
            <w:pPr>
              <w:pStyle w:val="TableParagraph"/>
              <w:ind w:left="1162"/>
              <w:rPr>
                <w:sz w:val="18"/>
              </w:rPr>
            </w:pPr>
            <w:r>
              <w:rPr>
                <w:sz w:val="18"/>
              </w:rPr>
              <w:t>The principal accounting policies adopted in the preparation of these financial statements are set out below.</w:t>
            </w:r>
          </w:p>
          <w:p>
            <w:pPr>
              <w:pStyle w:val="TableParagraph"/>
              <w:spacing w:before="6"/>
              <w:rPr>
                <w:b/>
                <w:sz w:val="24"/>
              </w:rPr>
            </w:pPr>
          </w:p>
          <w:p>
            <w:pPr>
              <w:pStyle w:val="TableParagraph"/>
              <w:tabs>
                <w:tab w:pos="1162" w:val="left" w:leader="none"/>
              </w:tabs>
              <w:ind w:left="596"/>
              <w:rPr>
                <w:b/>
                <w:sz w:val="18"/>
              </w:rPr>
            </w:pPr>
            <w:r>
              <w:rPr>
                <w:b/>
                <w:sz w:val="18"/>
              </w:rPr>
              <w:t>(a)</w:t>
              <w:tab/>
              <w:t>Basis of</w:t>
            </w:r>
            <w:r>
              <w:rPr>
                <w:b/>
                <w:spacing w:val="-7"/>
                <w:sz w:val="18"/>
              </w:rPr>
              <w:t> </w:t>
            </w:r>
            <w:r>
              <w:rPr>
                <w:b/>
                <w:sz w:val="18"/>
              </w:rPr>
              <w:t>preparation</w:t>
            </w:r>
          </w:p>
        </w:tc>
      </w:tr>
    </w:tbl>
    <w:p>
      <w:pPr>
        <w:pStyle w:val="BodyText"/>
        <w:spacing w:before="3"/>
        <w:rPr>
          <w:b/>
          <w:sz w:val="19"/>
        </w:rPr>
      </w:pPr>
    </w:p>
    <w:p>
      <w:pPr>
        <w:pStyle w:val="BodyText"/>
        <w:spacing w:before="77"/>
        <w:ind w:left="1270" w:right="181"/>
      </w:pPr>
      <w:r>
        <w:rPr/>
        <w:t>This</w:t>
      </w:r>
      <w:r>
        <w:rPr>
          <w:spacing w:val="-11"/>
        </w:rPr>
        <w:t> </w:t>
      </w:r>
      <w:r>
        <w:rPr/>
        <w:t>general</w:t>
      </w:r>
      <w:r>
        <w:rPr>
          <w:spacing w:val="-12"/>
        </w:rPr>
        <w:t> </w:t>
      </w:r>
      <w:r>
        <w:rPr/>
        <w:t>purpose</w:t>
      </w:r>
      <w:r>
        <w:rPr>
          <w:spacing w:val="-12"/>
        </w:rPr>
        <w:t> </w:t>
      </w:r>
      <w:r>
        <w:rPr/>
        <w:t>financial</w:t>
      </w:r>
      <w:r>
        <w:rPr>
          <w:spacing w:val="-14"/>
        </w:rPr>
        <w:t> </w:t>
      </w:r>
      <w:r>
        <w:rPr/>
        <w:t>report</w:t>
      </w:r>
      <w:r>
        <w:rPr>
          <w:spacing w:val="-12"/>
        </w:rPr>
        <w:t> </w:t>
      </w:r>
      <w:r>
        <w:rPr/>
        <w:t>has</w:t>
      </w:r>
      <w:r>
        <w:rPr>
          <w:spacing w:val="-11"/>
        </w:rPr>
        <w:t> </w:t>
      </w:r>
      <w:r>
        <w:rPr/>
        <w:t>been</w:t>
      </w:r>
      <w:r>
        <w:rPr>
          <w:spacing w:val="-12"/>
        </w:rPr>
        <w:t> </w:t>
      </w:r>
      <w:r>
        <w:rPr/>
        <w:t>prepared</w:t>
      </w:r>
      <w:r>
        <w:rPr>
          <w:spacing w:val="-12"/>
        </w:rPr>
        <w:t> </w:t>
      </w:r>
      <w:r>
        <w:rPr/>
        <w:t>on</w:t>
      </w:r>
      <w:r>
        <w:rPr>
          <w:spacing w:val="-14"/>
        </w:rPr>
        <w:t> </w:t>
      </w:r>
      <w:r>
        <w:rPr/>
        <w:t>an</w:t>
      </w:r>
      <w:r>
        <w:rPr>
          <w:spacing w:val="-12"/>
        </w:rPr>
        <w:t> </w:t>
      </w:r>
      <w:r>
        <w:rPr/>
        <w:t>accrual</w:t>
      </w:r>
      <w:r>
        <w:rPr>
          <w:spacing w:val="-14"/>
        </w:rPr>
        <w:t> </w:t>
      </w:r>
      <w:r>
        <w:rPr/>
        <w:t>basis</w:t>
      </w:r>
      <w:r>
        <w:rPr>
          <w:spacing w:val="-14"/>
        </w:rPr>
        <w:t> </w:t>
      </w:r>
      <w:r>
        <w:rPr/>
        <w:t>and</w:t>
      </w:r>
      <w:r>
        <w:rPr>
          <w:spacing w:val="-12"/>
        </w:rPr>
        <w:t> </w:t>
      </w:r>
      <w:r>
        <w:rPr/>
        <w:t>in</w:t>
      </w:r>
      <w:r>
        <w:rPr>
          <w:spacing w:val="-12"/>
        </w:rPr>
        <w:t> </w:t>
      </w:r>
      <w:r>
        <w:rPr/>
        <w:t>accordance</w:t>
      </w:r>
      <w:r>
        <w:rPr>
          <w:spacing w:val="-12"/>
        </w:rPr>
        <w:t> </w:t>
      </w:r>
      <w:r>
        <w:rPr/>
        <w:t>with</w:t>
      </w:r>
      <w:r>
        <w:rPr>
          <w:spacing w:val="-12"/>
        </w:rPr>
        <w:t> </w:t>
      </w:r>
      <w:r>
        <w:rPr/>
        <w:t>the</w:t>
      </w:r>
      <w:r>
        <w:rPr>
          <w:spacing w:val="-12"/>
        </w:rPr>
        <w:t> </w:t>
      </w:r>
      <w:r>
        <w:rPr/>
        <w:t>Australian Accounting</w:t>
      </w:r>
      <w:r>
        <w:rPr>
          <w:spacing w:val="-11"/>
        </w:rPr>
        <w:t> </w:t>
      </w:r>
      <w:r>
        <w:rPr/>
        <w:t>Standards,</w:t>
      </w:r>
      <w:r>
        <w:rPr>
          <w:spacing w:val="-11"/>
        </w:rPr>
        <w:t> </w:t>
      </w:r>
      <w:r>
        <w:rPr/>
        <w:t>the</w:t>
      </w:r>
      <w:r>
        <w:rPr>
          <w:spacing w:val="-11"/>
        </w:rPr>
        <w:t> </w:t>
      </w:r>
      <w:r>
        <w:rPr/>
        <w:t>Corporations</w:t>
      </w:r>
      <w:r>
        <w:rPr>
          <w:spacing w:val="-10"/>
        </w:rPr>
        <w:t> </w:t>
      </w:r>
      <w:r>
        <w:rPr/>
        <w:t>Act</w:t>
      </w:r>
      <w:r>
        <w:rPr>
          <w:spacing w:val="-11"/>
        </w:rPr>
        <w:t> </w:t>
      </w:r>
      <w:r>
        <w:rPr/>
        <w:t>2001,</w:t>
      </w:r>
      <w:r>
        <w:rPr>
          <w:spacing w:val="-11"/>
        </w:rPr>
        <w:t> </w:t>
      </w:r>
      <w:r>
        <w:rPr/>
        <w:t>section</w:t>
      </w:r>
      <w:r>
        <w:rPr>
          <w:spacing w:val="-11"/>
        </w:rPr>
        <w:t> </w:t>
      </w:r>
      <w:r>
        <w:rPr/>
        <w:t>41B(1)</w:t>
      </w:r>
      <w:r>
        <w:rPr>
          <w:spacing w:val="-12"/>
        </w:rPr>
        <w:t> </w:t>
      </w:r>
      <w:r>
        <w:rPr/>
        <w:t>of</w:t>
      </w:r>
      <w:r>
        <w:rPr>
          <w:spacing w:val="-11"/>
        </w:rPr>
        <w:t> </w:t>
      </w:r>
      <w:r>
        <w:rPr/>
        <w:t>the</w:t>
      </w:r>
      <w:r>
        <w:rPr>
          <w:spacing w:val="-11"/>
        </w:rPr>
        <w:t> </w:t>
      </w:r>
      <w:r>
        <w:rPr/>
        <w:t>Public</w:t>
      </w:r>
      <w:r>
        <w:rPr>
          <w:spacing w:val="-10"/>
        </w:rPr>
        <w:t> </w:t>
      </w:r>
      <w:r>
        <w:rPr/>
        <w:t>Finance</w:t>
      </w:r>
      <w:r>
        <w:rPr>
          <w:spacing w:val="-11"/>
        </w:rPr>
        <w:t> </w:t>
      </w:r>
      <w:r>
        <w:rPr/>
        <w:t>and</w:t>
      </w:r>
      <w:r>
        <w:rPr>
          <w:spacing w:val="-11"/>
        </w:rPr>
        <w:t> </w:t>
      </w:r>
      <w:r>
        <w:rPr/>
        <w:t>Audit</w:t>
      </w:r>
      <w:r>
        <w:rPr>
          <w:spacing w:val="-11"/>
        </w:rPr>
        <w:t> </w:t>
      </w:r>
      <w:r>
        <w:rPr/>
        <w:t>Act</w:t>
      </w:r>
      <w:r>
        <w:rPr>
          <w:spacing w:val="-11"/>
        </w:rPr>
        <w:t> </w:t>
      </w:r>
      <w:r>
        <w:rPr/>
        <w:t>1983,</w:t>
      </w:r>
      <w:r>
        <w:rPr>
          <w:spacing w:val="-11"/>
        </w:rPr>
        <w:t> </w:t>
      </w:r>
      <w:r>
        <w:rPr/>
        <w:t>Public Finance and Audit Regulation 2010 and other authoratitive pronouncements of the Australian Accounting Standards Board and Urgent Issues Group</w:t>
      </w:r>
      <w:r>
        <w:rPr>
          <w:spacing w:val="-20"/>
        </w:rPr>
        <w:t> </w:t>
      </w:r>
      <w:r>
        <w:rPr/>
        <w:t>Interpretations.</w:t>
      </w:r>
    </w:p>
    <w:p>
      <w:pPr>
        <w:pStyle w:val="BodyText"/>
        <w:rPr>
          <w:sz w:val="25"/>
        </w:rPr>
      </w:pPr>
    </w:p>
    <w:p>
      <w:pPr>
        <w:pStyle w:val="ListParagraph"/>
        <w:numPr>
          <w:ilvl w:val="0"/>
          <w:numId w:val="114"/>
        </w:numPr>
        <w:tabs>
          <w:tab w:pos="1482" w:val="left" w:leader="none"/>
        </w:tabs>
        <w:spacing w:line="240" w:lineRule="auto" w:before="0" w:after="0"/>
        <w:ind w:left="1481" w:right="0" w:hanging="211"/>
        <w:jc w:val="left"/>
        <w:rPr>
          <w:i/>
          <w:sz w:val="18"/>
        </w:rPr>
      </w:pPr>
      <w:r>
        <w:rPr>
          <w:i/>
          <w:sz w:val="18"/>
        </w:rPr>
        <w:t>Compliance with</w:t>
      </w:r>
      <w:r>
        <w:rPr>
          <w:i/>
          <w:spacing w:val="-11"/>
          <w:sz w:val="18"/>
        </w:rPr>
        <w:t> </w:t>
      </w:r>
      <w:r>
        <w:rPr>
          <w:i/>
          <w:sz w:val="18"/>
        </w:rPr>
        <w:t>IFRS</w:t>
      </w:r>
    </w:p>
    <w:p>
      <w:pPr>
        <w:pStyle w:val="BodyText"/>
        <w:spacing w:before="2"/>
        <w:rPr>
          <w:i/>
          <w:sz w:val="25"/>
        </w:rPr>
      </w:pPr>
    </w:p>
    <w:p>
      <w:pPr>
        <w:pStyle w:val="BodyText"/>
        <w:ind w:left="1270" w:right="445"/>
      </w:pPr>
      <w:r>
        <w:rPr/>
        <w:t>The financial statements of the Company comply with Australian Accounting Standards, some of which contain requirements specific to not-for-profit entities that are inconsistent with International Financial Reporting Standards (IFRS) requirements.</w:t>
      </w:r>
    </w:p>
    <w:p>
      <w:pPr>
        <w:pStyle w:val="BodyText"/>
        <w:spacing w:before="9"/>
        <w:rPr>
          <w:sz w:val="24"/>
        </w:rPr>
      </w:pPr>
    </w:p>
    <w:p>
      <w:pPr>
        <w:pStyle w:val="ListParagraph"/>
        <w:numPr>
          <w:ilvl w:val="0"/>
          <w:numId w:val="114"/>
        </w:numPr>
        <w:tabs>
          <w:tab w:pos="1523" w:val="left" w:leader="none"/>
        </w:tabs>
        <w:spacing w:line="240" w:lineRule="auto" w:before="0" w:after="0"/>
        <w:ind w:left="1522" w:right="0" w:hanging="252"/>
        <w:jc w:val="left"/>
        <w:rPr>
          <w:i/>
          <w:sz w:val="18"/>
        </w:rPr>
      </w:pPr>
      <w:r>
        <w:rPr>
          <w:i/>
          <w:sz w:val="18"/>
        </w:rPr>
        <w:t>Historical cost</w:t>
      </w:r>
      <w:r>
        <w:rPr>
          <w:i/>
          <w:spacing w:val="-10"/>
          <w:sz w:val="18"/>
        </w:rPr>
        <w:t> </w:t>
      </w:r>
      <w:r>
        <w:rPr>
          <w:i/>
          <w:sz w:val="18"/>
        </w:rPr>
        <w:t>convention</w:t>
      </w:r>
    </w:p>
    <w:p>
      <w:pPr>
        <w:pStyle w:val="BodyText"/>
        <w:spacing w:before="4"/>
        <w:rPr>
          <w:i/>
          <w:sz w:val="25"/>
        </w:rPr>
      </w:pPr>
    </w:p>
    <w:p>
      <w:pPr>
        <w:pStyle w:val="BodyText"/>
        <w:ind w:left="1270" w:right="181"/>
      </w:pPr>
      <w:r>
        <w:rPr/>
        <w:t>These financial statements have been prepared under the historical cost convention.</w:t>
      </w:r>
    </w:p>
    <w:p>
      <w:pPr>
        <w:pStyle w:val="BodyText"/>
        <w:rPr>
          <w:sz w:val="25"/>
        </w:rPr>
      </w:pPr>
    </w:p>
    <w:p>
      <w:pPr>
        <w:pStyle w:val="ListParagraph"/>
        <w:numPr>
          <w:ilvl w:val="0"/>
          <w:numId w:val="114"/>
        </w:numPr>
        <w:tabs>
          <w:tab w:pos="1564" w:val="left" w:leader="none"/>
        </w:tabs>
        <w:spacing w:line="240" w:lineRule="auto" w:before="0" w:after="0"/>
        <w:ind w:left="1563" w:right="0" w:hanging="293"/>
        <w:jc w:val="left"/>
        <w:rPr>
          <w:i/>
          <w:sz w:val="18"/>
        </w:rPr>
      </w:pPr>
      <w:r>
        <w:rPr>
          <w:i/>
          <w:sz w:val="18"/>
        </w:rPr>
        <w:t>Critical accounting</w:t>
      </w:r>
      <w:r>
        <w:rPr>
          <w:i/>
          <w:spacing w:val="-17"/>
          <w:sz w:val="18"/>
        </w:rPr>
        <w:t> </w:t>
      </w:r>
      <w:r>
        <w:rPr>
          <w:i/>
          <w:sz w:val="18"/>
        </w:rPr>
        <w:t>estimates</w:t>
      </w:r>
    </w:p>
    <w:p>
      <w:pPr>
        <w:pStyle w:val="BodyText"/>
        <w:spacing w:before="2"/>
        <w:rPr>
          <w:i/>
          <w:sz w:val="25"/>
        </w:rPr>
      </w:pPr>
    </w:p>
    <w:p>
      <w:pPr>
        <w:pStyle w:val="BodyText"/>
        <w:ind w:left="1270" w:right="360"/>
      </w:pPr>
      <w:r>
        <w:rPr/>
        <w:t>The preparation of financial statements requires the use of certain critical accounting estimates. It also requires management to exercise its judgement in the process of applying the Company's accounting policies. Estimates and judgements are continually evaluated and are based on historical experience and other factors, including expectations of future events that may have a financial impact on the Company and that are believed to be reasonable under the circumstances.</w:t>
      </w:r>
    </w:p>
    <w:p>
      <w:pPr>
        <w:pStyle w:val="BodyText"/>
        <w:rPr>
          <w:sz w:val="25"/>
        </w:rPr>
      </w:pPr>
    </w:p>
    <w:p>
      <w:pPr>
        <w:pStyle w:val="BodyText"/>
        <w:ind w:left="1270" w:right="535"/>
      </w:pPr>
      <w:r>
        <w:rPr/>
        <w:t>There are no areas which involve a high degree of judgement or complexity, or areas where assumptions and estimates are significant to the financial statements of the Company.</w:t>
      </w:r>
    </w:p>
    <w:p>
      <w:pPr>
        <w:pStyle w:val="BodyText"/>
        <w:rPr>
          <w:sz w:val="25"/>
        </w:rPr>
      </w:pPr>
    </w:p>
    <w:p>
      <w:pPr>
        <w:pStyle w:val="BodyText"/>
        <w:ind w:left="1270" w:right="181"/>
      </w:pPr>
      <w:r>
        <w:rPr/>
        <w:t>The financial statements were authorised for issue by the directors on 18 April 2013.</w:t>
      </w:r>
    </w:p>
    <w:p>
      <w:pPr>
        <w:pStyle w:val="BodyText"/>
        <w:spacing w:before="8"/>
        <w:rPr>
          <w:sz w:val="24"/>
        </w:rPr>
      </w:pPr>
    </w:p>
    <w:p>
      <w:pPr>
        <w:pStyle w:val="Heading9"/>
        <w:numPr>
          <w:ilvl w:val="0"/>
          <w:numId w:val="115"/>
        </w:numPr>
        <w:tabs>
          <w:tab w:pos="1271" w:val="left" w:leader="none"/>
        </w:tabs>
        <w:spacing w:line="240" w:lineRule="auto" w:before="0" w:after="0"/>
        <w:ind w:left="1270" w:right="0" w:hanging="566"/>
        <w:jc w:val="left"/>
      </w:pPr>
      <w:r>
        <w:rPr/>
        <w:t>Functional and presentation</w:t>
      </w:r>
      <w:r>
        <w:rPr>
          <w:spacing w:val="-9"/>
        </w:rPr>
        <w:t> </w:t>
      </w:r>
      <w:r>
        <w:rPr/>
        <w:t>currency</w:t>
      </w:r>
    </w:p>
    <w:p>
      <w:pPr>
        <w:pStyle w:val="BodyText"/>
        <w:spacing w:before="4"/>
        <w:rPr>
          <w:b/>
          <w:sz w:val="25"/>
        </w:rPr>
      </w:pPr>
    </w:p>
    <w:p>
      <w:pPr>
        <w:pStyle w:val="BodyText"/>
        <w:ind w:left="1349" w:right="181"/>
      </w:pPr>
      <w:r>
        <w:rPr/>
        <w:t>The financial statements are presented in Australian dollars.</w:t>
      </w:r>
    </w:p>
    <w:p>
      <w:pPr>
        <w:pStyle w:val="BodyText"/>
        <w:spacing w:before="9"/>
        <w:rPr>
          <w:sz w:val="24"/>
        </w:rPr>
      </w:pPr>
    </w:p>
    <w:p>
      <w:pPr>
        <w:pStyle w:val="Heading9"/>
        <w:numPr>
          <w:ilvl w:val="0"/>
          <w:numId w:val="115"/>
        </w:numPr>
        <w:tabs>
          <w:tab w:pos="1271" w:val="left" w:leader="none"/>
        </w:tabs>
        <w:spacing w:line="240" w:lineRule="auto" w:before="0" w:after="0"/>
        <w:ind w:left="1270" w:right="0" w:hanging="566"/>
        <w:jc w:val="left"/>
      </w:pPr>
      <w:r>
        <w:rPr/>
        <w:t>Revenue</w:t>
      </w:r>
      <w:r>
        <w:rPr>
          <w:spacing w:val="-5"/>
        </w:rPr>
        <w:t> </w:t>
      </w:r>
      <w:r>
        <w:rPr/>
        <w:t>recognition</w:t>
      </w:r>
    </w:p>
    <w:p>
      <w:pPr>
        <w:pStyle w:val="BodyText"/>
        <w:spacing w:before="4"/>
        <w:rPr>
          <w:b/>
          <w:sz w:val="25"/>
        </w:rPr>
      </w:pPr>
    </w:p>
    <w:p>
      <w:pPr>
        <w:pStyle w:val="BodyText"/>
        <w:ind w:left="1270" w:right="181"/>
      </w:pPr>
      <w:r>
        <w:rPr/>
        <w:t>The</w:t>
      </w:r>
      <w:r>
        <w:rPr>
          <w:spacing w:val="-12"/>
        </w:rPr>
        <w:t> </w:t>
      </w:r>
      <w:r>
        <w:rPr/>
        <w:t>Company</w:t>
      </w:r>
      <w:r>
        <w:rPr>
          <w:spacing w:val="-14"/>
        </w:rPr>
        <w:t> </w:t>
      </w:r>
      <w:r>
        <w:rPr/>
        <w:t>recognises</w:t>
      </w:r>
      <w:r>
        <w:rPr>
          <w:spacing w:val="-11"/>
        </w:rPr>
        <w:t> </w:t>
      </w:r>
      <w:r>
        <w:rPr/>
        <w:t>revenue</w:t>
      </w:r>
      <w:r>
        <w:rPr>
          <w:spacing w:val="-12"/>
        </w:rPr>
        <w:t> </w:t>
      </w:r>
      <w:r>
        <w:rPr/>
        <w:t>when</w:t>
      </w:r>
      <w:r>
        <w:rPr>
          <w:spacing w:val="-12"/>
        </w:rPr>
        <w:t> </w:t>
      </w:r>
      <w:r>
        <w:rPr/>
        <w:t>the</w:t>
      </w:r>
      <w:r>
        <w:rPr>
          <w:spacing w:val="-12"/>
        </w:rPr>
        <w:t> </w:t>
      </w:r>
      <w:r>
        <w:rPr/>
        <w:t>amount</w:t>
      </w:r>
      <w:r>
        <w:rPr>
          <w:spacing w:val="-12"/>
        </w:rPr>
        <w:t> </w:t>
      </w:r>
      <w:r>
        <w:rPr/>
        <w:t>of</w:t>
      </w:r>
      <w:r>
        <w:rPr>
          <w:spacing w:val="-12"/>
        </w:rPr>
        <w:t> </w:t>
      </w:r>
      <w:r>
        <w:rPr/>
        <w:t>revenue</w:t>
      </w:r>
      <w:r>
        <w:rPr>
          <w:spacing w:val="-12"/>
        </w:rPr>
        <w:t> </w:t>
      </w:r>
      <w:r>
        <w:rPr/>
        <w:t>can</w:t>
      </w:r>
      <w:r>
        <w:rPr>
          <w:spacing w:val="-12"/>
        </w:rPr>
        <w:t> </w:t>
      </w:r>
      <w:r>
        <w:rPr/>
        <w:t>be</w:t>
      </w:r>
      <w:r>
        <w:rPr>
          <w:spacing w:val="-3"/>
        </w:rPr>
        <w:t> </w:t>
      </w:r>
      <w:r>
        <w:rPr/>
        <w:t>reliably</w:t>
      </w:r>
      <w:r>
        <w:rPr>
          <w:spacing w:val="-14"/>
        </w:rPr>
        <w:t> </w:t>
      </w:r>
      <w:r>
        <w:rPr/>
        <w:t>measured,</w:t>
      </w:r>
      <w:r>
        <w:rPr>
          <w:spacing w:val="-12"/>
        </w:rPr>
        <w:t> </w:t>
      </w:r>
      <w:r>
        <w:rPr/>
        <w:t>it</w:t>
      </w:r>
      <w:r>
        <w:rPr>
          <w:spacing w:val="-15"/>
        </w:rPr>
        <w:t> </w:t>
      </w:r>
      <w:r>
        <w:rPr/>
        <w:t>is</w:t>
      </w:r>
      <w:r>
        <w:rPr>
          <w:spacing w:val="-11"/>
        </w:rPr>
        <w:t> </w:t>
      </w:r>
      <w:r>
        <w:rPr/>
        <w:t>probable</w:t>
      </w:r>
      <w:r>
        <w:rPr>
          <w:spacing w:val="-12"/>
        </w:rPr>
        <w:t> </w:t>
      </w:r>
      <w:r>
        <w:rPr/>
        <w:t>that</w:t>
      </w:r>
      <w:r>
        <w:rPr>
          <w:spacing w:val="-12"/>
        </w:rPr>
        <w:t> </w:t>
      </w:r>
      <w:r>
        <w:rPr/>
        <w:t>future economic benefits will flow to the Company and specific criteria have been met for each of the Company's activities</w:t>
      </w:r>
      <w:r>
        <w:rPr>
          <w:spacing w:val="-8"/>
        </w:rPr>
        <w:t> </w:t>
      </w:r>
      <w:r>
        <w:rPr/>
        <w:t>as</w:t>
      </w:r>
      <w:r>
        <w:rPr>
          <w:spacing w:val="-8"/>
        </w:rPr>
        <w:t> </w:t>
      </w:r>
      <w:r>
        <w:rPr/>
        <w:t>discussed</w:t>
      </w:r>
      <w:r>
        <w:rPr>
          <w:spacing w:val="-9"/>
        </w:rPr>
        <w:t> </w:t>
      </w:r>
      <w:r>
        <w:rPr/>
        <w:t>below.</w:t>
      </w:r>
      <w:r>
        <w:rPr>
          <w:spacing w:val="-9"/>
        </w:rPr>
        <w:t> </w:t>
      </w:r>
      <w:r>
        <w:rPr/>
        <w:t>The</w:t>
      </w:r>
      <w:r>
        <w:rPr>
          <w:spacing w:val="-7"/>
        </w:rPr>
        <w:t> </w:t>
      </w:r>
      <w:r>
        <w:rPr/>
        <w:t>Company</w:t>
      </w:r>
      <w:r>
        <w:rPr>
          <w:spacing w:val="-8"/>
        </w:rPr>
        <w:t> </w:t>
      </w:r>
      <w:r>
        <w:rPr/>
        <w:t>bases</w:t>
      </w:r>
      <w:r>
        <w:rPr>
          <w:spacing w:val="-8"/>
        </w:rPr>
        <w:t> </w:t>
      </w:r>
      <w:r>
        <w:rPr/>
        <w:t>its</w:t>
      </w:r>
      <w:r>
        <w:rPr>
          <w:spacing w:val="-8"/>
        </w:rPr>
        <w:t> </w:t>
      </w:r>
      <w:r>
        <w:rPr/>
        <w:t>estimates</w:t>
      </w:r>
      <w:r>
        <w:rPr>
          <w:spacing w:val="-7"/>
        </w:rPr>
        <w:t> </w:t>
      </w:r>
      <w:r>
        <w:rPr/>
        <w:t>on</w:t>
      </w:r>
      <w:r>
        <w:rPr>
          <w:spacing w:val="-7"/>
        </w:rPr>
        <w:t> </w:t>
      </w:r>
      <w:r>
        <w:rPr/>
        <w:t>historical</w:t>
      </w:r>
      <w:r>
        <w:rPr>
          <w:spacing w:val="-7"/>
        </w:rPr>
        <w:t> </w:t>
      </w:r>
      <w:r>
        <w:rPr/>
        <w:t>results,</w:t>
      </w:r>
      <w:r>
        <w:rPr>
          <w:spacing w:val="-9"/>
        </w:rPr>
        <w:t> </w:t>
      </w:r>
      <w:r>
        <w:rPr/>
        <w:t>taking</w:t>
      </w:r>
      <w:r>
        <w:rPr>
          <w:spacing w:val="-11"/>
        </w:rPr>
        <w:t> </w:t>
      </w:r>
      <w:r>
        <w:rPr/>
        <w:t>into</w:t>
      </w:r>
      <w:r>
        <w:rPr>
          <w:spacing w:val="-9"/>
        </w:rPr>
        <w:t> </w:t>
      </w:r>
      <w:r>
        <w:rPr/>
        <w:t>consideration</w:t>
      </w:r>
      <w:r>
        <w:rPr>
          <w:spacing w:val="-7"/>
        </w:rPr>
        <w:t> </w:t>
      </w:r>
      <w:r>
        <w:rPr/>
        <w:t>the type of customer, the type of transaction and the specifics of each</w:t>
      </w:r>
      <w:r>
        <w:rPr>
          <w:spacing w:val="-28"/>
        </w:rPr>
        <w:t> </w:t>
      </w:r>
      <w:r>
        <w:rPr/>
        <w:t>arrangement.</w:t>
      </w:r>
    </w:p>
    <w:p>
      <w:pPr>
        <w:pStyle w:val="BodyText"/>
        <w:rPr>
          <w:sz w:val="25"/>
        </w:rPr>
      </w:pPr>
    </w:p>
    <w:p>
      <w:pPr>
        <w:pStyle w:val="BodyText"/>
        <w:ind w:left="1270" w:right="181"/>
      </w:pPr>
      <w:r>
        <w:rPr/>
        <w:t>Revenue is recognised for the major business activities as follows:</w:t>
      </w:r>
    </w:p>
    <w:p>
      <w:pPr>
        <w:spacing w:after="0"/>
        <w:sectPr>
          <w:footerReference w:type="default" r:id="rId233"/>
          <w:pgSz w:w="11960" w:h="16850"/>
          <w:pgMar w:footer="507" w:header="743" w:top="1180" w:bottom="700" w:left="700" w:right="720"/>
          <w:pgNumType w:start="237"/>
        </w:sectPr>
      </w:pPr>
    </w:p>
    <w:p>
      <w:pPr>
        <w:pStyle w:val="BodyText"/>
        <w:spacing w:before="8"/>
        <w:rPr>
          <w:sz w:val="23"/>
        </w:rPr>
      </w:pPr>
    </w:p>
    <w:p>
      <w:pPr>
        <w:pStyle w:val="Heading6"/>
        <w:spacing w:before="73"/>
        <w:ind w:right="210"/>
      </w:pPr>
      <w:r>
        <w:rPr/>
        <w:t>Notes to the Financial Statements</w:t>
      </w:r>
    </w:p>
    <w:p>
      <w:pPr>
        <w:spacing w:before="54"/>
        <w:ind w:left="108" w:right="210" w:firstLine="0"/>
        <w:jc w:val="left"/>
        <w:rPr>
          <w:b/>
          <w:sz w:val="22"/>
        </w:rPr>
      </w:pPr>
      <w:r>
        <w:rPr>
          <w:b/>
          <w:sz w:val="22"/>
        </w:rPr>
        <w:t>For the period from 2 March 2012 to 31 December 2012</w:t>
      </w:r>
    </w:p>
    <w:p>
      <w:pPr>
        <w:pStyle w:val="BodyText"/>
        <w:rPr>
          <w:b/>
          <w:sz w:val="22"/>
        </w:rPr>
      </w:pPr>
    </w:p>
    <w:p>
      <w:pPr>
        <w:pStyle w:val="BodyText"/>
        <w:spacing w:before="9"/>
        <w:rPr>
          <w:b/>
          <w:sz w:val="29"/>
        </w:rPr>
      </w:pPr>
    </w:p>
    <w:p>
      <w:pPr>
        <w:pStyle w:val="Heading9"/>
        <w:tabs>
          <w:tab w:pos="503" w:val="left" w:leader="none"/>
        </w:tabs>
        <w:ind w:left="107" w:right="210"/>
      </w:pPr>
      <w:r>
        <w:rPr/>
        <w:t>1</w:t>
        <w:tab/>
        <w:t>Summary of significant accounting policies</w:t>
      </w:r>
      <w:r>
        <w:rPr>
          <w:spacing w:val="-19"/>
        </w:rPr>
        <w:t> </w:t>
      </w:r>
      <w:r>
        <w:rPr/>
        <w:t>continued</w:t>
      </w:r>
    </w:p>
    <w:p>
      <w:pPr>
        <w:pStyle w:val="BodyText"/>
        <w:spacing w:before="4"/>
        <w:rPr>
          <w:b/>
          <w:sz w:val="25"/>
        </w:rPr>
      </w:pPr>
    </w:p>
    <w:p>
      <w:pPr>
        <w:pStyle w:val="ListParagraph"/>
        <w:numPr>
          <w:ilvl w:val="0"/>
          <w:numId w:val="116"/>
        </w:numPr>
        <w:tabs>
          <w:tab w:pos="1469" w:val="left" w:leader="none"/>
        </w:tabs>
        <w:spacing w:line="240" w:lineRule="auto" w:before="1" w:after="0"/>
        <w:ind w:left="1468" w:right="0" w:hanging="398"/>
        <w:jc w:val="left"/>
        <w:rPr>
          <w:i/>
          <w:sz w:val="18"/>
        </w:rPr>
      </w:pPr>
      <w:r>
        <w:rPr>
          <w:i/>
          <w:sz w:val="18"/>
        </w:rPr>
        <w:t>Child care</w:t>
      </w:r>
      <w:r>
        <w:rPr>
          <w:i/>
          <w:spacing w:val="-7"/>
          <w:sz w:val="18"/>
        </w:rPr>
        <w:t> </w:t>
      </w:r>
      <w:r>
        <w:rPr>
          <w:i/>
          <w:sz w:val="18"/>
        </w:rPr>
        <w:t>services</w:t>
      </w:r>
    </w:p>
    <w:p>
      <w:pPr>
        <w:pStyle w:val="BodyText"/>
        <w:spacing w:before="4"/>
        <w:rPr>
          <w:i/>
          <w:sz w:val="25"/>
        </w:rPr>
      </w:pPr>
    </w:p>
    <w:p>
      <w:pPr>
        <w:pStyle w:val="BodyText"/>
        <w:ind w:left="1070" w:right="17"/>
      </w:pPr>
      <w:r>
        <w:rPr/>
        <w:t>Revenue from child care services is recognised when services have been provided to the customer, the customer has accepted the services and collectability of the related receivables is probable.</w:t>
      </w:r>
    </w:p>
    <w:p>
      <w:pPr>
        <w:pStyle w:val="BodyText"/>
        <w:rPr>
          <w:sz w:val="25"/>
        </w:rPr>
      </w:pPr>
    </w:p>
    <w:p>
      <w:pPr>
        <w:pStyle w:val="ListParagraph"/>
        <w:numPr>
          <w:ilvl w:val="0"/>
          <w:numId w:val="116"/>
        </w:numPr>
        <w:tabs>
          <w:tab w:pos="1469" w:val="left" w:leader="none"/>
        </w:tabs>
        <w:spacing w:line="240" w:lineRule="auto" w:before="0" w:after="0"/>
        <w:ind w:left="1468" w:right="0" w:hanging="398"/>
        <w:jc w:val="left"/>
        <w:rPr>
          <w:i/>
          <w:sz w:val="18"/>
        </w:rPr>
      </w:pPr>
      <w:r>
        <w:rPr>
          <w:i/>
          <w:sz w:val="18"/>
        </w:rPr>
        <w:t>Fundraising</w:t>
      </w:r>
      <w:r>
        <w:rPr>
          <w:i/>
          <w:spacing w:val="-11"/>
          <w:sz w:val="18"/>
        </w:rPr>
        <w:t> </w:t>
      </w:r>
      <w:r>
        <w:rPr>
          <w:i/>
          <w:sz w:val="18"/>
        </w:rPr>
        <w:t>income</w:t>
      </w:r>
    </w:p>
    <w:p>
      <w:pPr>
        <w:pStyle w:val="BodyText"/>
        <w:spacing w:before="2"/>
        <w:rPr>
          <w:i/>
          <w:sz w:val="25"/>
        </w:rPr>
      </w:pPr>
    </w:p>
    <w:p>
      <w:pPr>
        <w:pStyle w:val="BodyText"/>
        <w:ind w:left="1070" w:right="210"/>
      </w:pPr>
      <w:r>
        <w:rPr/>
        <w:t>Fundraising income is recognised as income in the period of receipt.</w:t>
      </w:r>
    </w:p>
    <w:p>
      <w:pPr>
        <w:pStyle w:val="BodyText"/>
        <w:rPr>
          <w:sz w:val="25"/>
        </w:rPr>
      </w:pPr>
    </w:p>
    <w:p>
      <w:pPr>
        <w:pStyle w:val="ListParagraph"/>
        <w:numPr>
          <w:ilvl w:val="0"/>
          <w:numId w:val="116"/>
        </w:numPr>
        <w:tabs>
          <w:tab w:pos="1469" w:val="left" w:leader="none"/>
        </w:tabs>
        <w:spacing w:line="240" w:lineRule="auto" w:before="0" w:after="0"/>
        <w:ind w:left="1468" w:right="0" w:hanging="398"/>
        <w:jc w:val="left"/>
        <w:rPr>
          <w:i/>
          <w:sz w:val="18"/>
        </w:rPr>
      </w:pPr>
      <w:r>
        <w:rPr>
          <w:i/>
          <w:sz w:val="18"/>
        </w:rPr>
        <w:t>Investment</w:t>
      </w:r>
      <w:r>
        <w:rPr>
          <w:i/>
          <w:spacing w:val="-9"/>
          <w:sz w:val="18"/>
        </w:rPr>
        <w:t> </w:t>
      </w:r>
      <w:r>
        <w:rPr>
          <w:i/>
          <w:sz w:val="18"/>
        </w:rPr>
        <w:t>income</w:t>
      </w:r>
    </w:p>
    <w:p>
      <w:pPr>
        <w:pStyle w:val="BodyText"/>
        <w:spacing w:before="4"/>
        <w:rPr>
          <w:i/>
          <w:sz w:val="25"/>
        </w:rPr>
      </w:pPr>
    </w:p>
    <w:p>
      <w:pPr>
        <w:pStyle w:val="BodyText"/>
        <w:ind w:left="1070" w:right="210"/>
      </w:pPr>
      <w:r>
        <w:rPr/>
        <w:t>Interest income is recognised using the effective interest method.</w:t>
      </w:r>
    </w:p>
    <w:p>
      <w:pPr>
        <w:pStyle w:val="BodyText"/>
        <w:spacing w:before="6"/>
        <w:rPr>
          <w:sz w:val="24"/>
        </w:rPr>
      </w:pPr>
    </w:p>
    <w:p>
      <w:pPr>
        <w:pStyle w:val="Heading9"/>
        <w:numPr>
          <w:ilvl w:val="0"/>
          <w:numId w:val="115"/>
        </w:numPr>
        <w:tabs>
          <w:tab w:pos="1071" w:val="left" w:leader="none"/>
        </w:tabs>
        <w:spacing w:line="240" w:lineRule="auto" w:before="0" w:after="0"/>
        <w:ind w:left="1070" w:right="0" w:hanging="566"/>
        <w:jc w:val="left"/>
      </w:pPr>
      <w:r>
        <w:rPr/>
        <w:t>Income tax</w:t>
      </w:r>
      <w:r>
        <w:rPr>
          <w:spacing w:val="-7"/>
        </w:rPr>
        <w:t> </w:t>
      </w:r>
      <w:r>
        <w:rPr/>
        <w:t>exemption</w:t>
      </w:r>
    </w:p>
    <w:p>
      <w:pPr>
        <w:pStyle w:val="BodyText"/>
        <w:spacing w:before="7"/>
        <w:rPr>
          <w:b/>
          <w:sz w:val="25"/>
        </w:rPr>
      </w:pPr>
    </w:p>
    <w:p>
      <w:pPr>
        <w:pStyle w:val="BodyText"/>
        <w:ind w:left="1070" w:right="366"/>
      </w:pPr>
      <w:r>
        <w:rPr/>
        <w:t>The Company is exempt from the payment of tax by virtue of section 50-B of the Income Tax Assessment Act 1997. Accordingly, no provision for income tax liability or future income tax benefit has been included in the financial statements.</w:t>
      </w:r>
    </w:p>
    <w:p>
      <w:pPr>
        <w:pStyle w:val="BodyText"/>
        <w:spacing w:before="6"/>
        <w:rPr>
          <w:sz w:val="24"/>
        </w:rPr>
      </w:pPr>
    </w:p>
    <w:p>
      <w:pPr>
        <w:pStyle w:val="Heading9"/>
        <w:numPr>
          <w:ilvl w:val="0"/>
          <w:numId w:val="115"/>
        </w:numPr>
        <w:tabs>
          <w:tab w:pos="1071" w:val="left" w:leader="none"/>
        </w:tabs>
        <w:spacing w:line="240" w:lineRule="auto" w:before="0" w:after="0"/>
        <w:ind w:left="1070" w:right="0" w:hanging="566"/>
        <w:jc w:val="left"/>
      </w:pPr>
      <w:r>
        <w:rPr/>
        <w:t>Cash and cash</w:t>
      </w:r>
      <w:r>
        <w:rPr>
          <w:spacing w:val="-10"/>
        </w:rPr>
        <w:t> </w:t>
      </w:r>
      <w:r>
        <w:rPr/>
        <w:t>equivalents</w:t>
      </w:r>
    </w:p>
    <w:p>
      <w:pPr>
        <w:pStyle w:val="BodyText"/>
        <w:spacing w:before="7"/>
        <w:rPr>
          <w:b/>
          <w:sz w:val="25"/>
        </w:rPr>
      </w:pPr>
    </w:p>
    <w:p>
      <w:pPr>
        <w:pStyle w:val="BodyText"/>
        <w:ind w:left="1070" w:right="210"/>
      </w:pPr>
      <w:r>
        <w:rPr/>
        <w:t>Cash and cash equivalents includes cash at bank and on hand.</w:t>
      </w:r>
    </w:p>
    <w:p>
      <w:pPr>
        <w:pStyle w:val="BodyText"/>
        <w:spacing w:before="6"/>
        <w:rPr>
          <w:sz w:val="24"/>
        </w:rPr>
      </w:pPr>
    </w:p>
    <w:p>
      <w:pPr>
        <w:pStyle w:val="Heading9"/>
        <w:numPr>
          <w:ilvl w:val="0"/>
          <w:numId w:val="115"/>
        </w:numPr>
        <w:tabs>
          <w:tab w:pos="1071" w:val="left" w:leader="none"/>
        </w:tabs>
        <w:spacing w:line="240" w:lineRule="auto" w:before="0" w:after="0"/>
        <w:ind w:left="1070" w:right="0" w:hanging="566"/>
        <w:jc w:val="left"/>
      </w:pPr>
      <w:r>
        <w:rPr/>
        <w:t>Trade</w:t>
      </w:r>
      <w:r>
        <w:rPr>
          <w:spacing w:val="-6"/>
        </w:rPr>
        <w:t> </w:t>
      </w:r>
      <w:r>
        <w:rPr/>
        <w:t>receivables</w:t>
      </w:r>
    </w:p>
    <w:p>
      <w:pPr>
        <w:pStyle w:val="BodyText"/>
        <w:spacing w:before="7"/>
        <w:rPr>
          <w:b/>
          <w:sz w:val="25"/>
        </w:rPr>
      </w:pPr>
    </w:p>
    <w:p>
      <w:pPr>
        <w:pStyle w:val="BodyText"/>
        <w:ind w:left="1070" w:right="25"/>
      </w:pPr>
      <w:r>
        <w:rPr/>
        <w:t>Trade receivables are recognised initially at fair value and subsequently measured at amortised cost using the effective interest method, less provision for impairment. Trade receivables are due for settlement no more than 30 days for debtors. They are presented as current assets unless collection is not expected for more than 12 months after reporting date.</w:t>
      </w:r>
    </w:p>
    <w:p>
      <w:pPr>
        <w:pStyle w:val="BodyText"/>
        <w:rPr>
          <w:sz w:val="25"/>
        </w:rPr>
      </w:pPr>
    </w:p>
    <w:p>
      <w:pPr>
        <w:pStyle w:val="BodyText"/>
        <w:ind w:left="1070" w:right="17"/>
      </w:pPr>
      <w:r>
        <w:rPr/>
        <w:t>Collectability of trade receivables is reviewed on an ongoing basis. Debts which are known to be uncollectible are written off. A provision for impairment of receivables is established when there is objective evidence that the Company will not be able to collect all amounts due according to the original terms of receivables. Significant financial difficulties of debtor, probability that the debtor will enter bankruptcy or financial reorganisation, and default or delinquency in payments (more than 30 days overdue) are considered indicators that the trade receivable is impaired. The amount of the impairment allowance is the difference between the asset's carrying amount and the present value of estimated future cash flows, discounted at the effective interest rate. Cash flows relating to short-term receivables are not discounted if the effect of discounting is immaterial. The amount of movement in the impairment allowance is recognised in the statement of comprehensive income.</w:t>
      </w:r>
    </w:p>
    <w:p>
      <w:pPr>
        <w:pStyle w:val="BodyText"/>
        <w:spacing w:before="6"/>
        <w:rPr>
          <w:sz w:val="24"/>
        </w:rPr>
      </w:pPr>
    </w:p>
    <w:p>
      <w:pPr>
        <w:pStyle w:val="Heading9"/>
        <w:numPr>
          <w:ilvl w:val="0"/>
          <w:numId w:val="115"/>
        </w:numPr>
        <w:tabs>
          <w:tab w:pos="1071" w:val="left" w:leader="none"/>
        </w:tabs>
        <w:spacing w:line="240" w:lineRule="auto" w:before="0" w:after="0"/>
        <w:ind w:left="1070" w:right="0" w:hanging="566"/>
        <w:jc w:val="left"/>
      </w:pPr>
      <w:r>
        <w:rPr/>
        <w:t>Financial</w:t>
      </w:r>
      <w:r>
        <w:rPr>
          <w:spacing w:val="-5"/>
        </w:rPr>
        <w:t> </w:t>
      </w:r>
      <w:r>
        <w:rPr/>
        <w:t>assets</w:t>
      </w:r>
    </w:p>
    <w:p>
      <w:pPr>
        <w:pStyle w:val="BodyText"/>
        <w:spacing w:before="4"/>
        <w:rPr>
          <w:b/>
          <w:sz w:val="25"/>
        </w:rPr>
      </w:pPr>
    </w:p>
    <w:p>
      <w:pPr>
        <w:spacing w:before="0"/>
        <w:ind w:left="1070" w:right="210" w:firstLine="0"/>
        <w:jc w:val="left"/>
        <w:rPr>
          <w:b/>
          <w:i/>
          <w:sz w:val="18"/>
        </w:rPr>
      </w:pPr>
      <w:r>
        <w:rPr>
          <w:b/>
          <w:i/>
          <w:sz w:val="18"/>
        </w:rPr>
        <w:t>Classification</w:t>
      </w:r>
    </w:p>
    <w:p>
      <w:pPr>
        <w:pStyle w:val="BodyText"/>
        <w:rPr>
          <w:b/>
          <w:i/>
          <w:sz w:val="25"/>
        </w:rPr>
      </w:pPr>
    </w:p>
    <w:p>
      <w:pPr>
        <w:pStyle w:val="ListParagraph"/>
        <w:numPr>
          <w:ilvl w:val="1"/>
          <w:numId w:val="115"/>
        </w:numPr>
        <w:tabs>
          <w:tab w:pos="1548" w:val="left" w:leader="none"/>
        </w:tabs>
        <w:spacing w:line="240" w:lineRule="auto" w:before="0" w:after="0"/>
        <w:ind w:left="1547" w:right="0" w:hanging="477"/>
        <w:jc w:val="left"/>
        <w:rPr>
          <w:i/>
          <w:sz w:val="18"/>
        </w:rPr>
      </w:pPr>
      <w:r>
        <w:rPr>
          <w:i/>
          <w:sz w:val="18"/>
        </w:rPr>
        <w:t>Loans and</w:t>
      </w:r>
      <w:r>
        <w:rPr>
          <w:i/>
          <w:spacing w:val="-7"/>
          <w:sz w:val="18"/>
        </w:rPr>
        <w:t> </w:t>
      </w:r>
      <w:r>
        <w:rPr>
          <w:i/>
          <w:sz w:val="18"/>
        </w:rPr>
        <w:t>receivables</w:t>
      </w:r>
    </w:p>
    <w:p>
      <w:pPr>
        <w:pStyle w:val="BodyText"/>
        <w:spacing w:before="4"/>
        <w:rPr>
          <w:i/>
          <w:sz w:val="25"/>
        </w:rPr>
      </w:pPr>
    </w:p>
    <w:p>
      <w:pPr>
        <w:pStyle w:val="BodyText"/>
        <w:ind w:left="1070" w:right="104"/>
      </w:pPr>
      <w:r>
        <w:rPr/>
        <w:t>Loans</w:t>
      </w:r>
      <w:r>
        <w:rPr>
          <w:spacing w:val="-10"/>
        </w:rPr>
        <w:t> </w:t>
      </w:r>
      <w:r>
        <w:rPr/>
        <w:t>and</w:t>
      </w:r>
      <w:r>
        <w:rPr>
          <w:spacing w:val="-3"/>
        </w:rPr>
        <w:t> </w:t>
      </w:r>
      <w:r>
        <w:rPr/>
        <w:t>receivables</w:t>
      </w:r>
      <w:r>
        <w:rPr>
          <w:spacing w:val="-10"/>
        </w:rPr>
        <w:t> </w:t>
      </w:r>
      <w:r>
        <w:rPr/>
        <w:t>are</w:t>
      </w:r>
      <w:r>
        <w:rPr>
          <w:spacing w:val="-11"/>
        </w:rPr>
        <w:t> </w:t>
      </w:r>
      <w:r>
        <w:rPr/>
        <w:t>non-derivative</w:t>
      </w:r>
      <w:r>
        <w:rPr>
          <w:spacing w:val="-11"/>
        </w:rPr>
        <w:t> </w:t>
      </w:r>
      <w:r>
        <w:rPr/>
        <w:t>financial</w:t>
      </w:r>
      <w:r>
        <w:rPr>
          <w:spacing w:val="-10"/>
        </w:rPr>
        <w:t> </w:t>
      </w:r>
      <w:r>
        <w:rPr/>
        <w:t>assets</w:t>
      </w:r>
      <w:r>
        <w:rPr>
          <w:spacing w:val="-10"/>
        </w:rPr>
        <w:t> </w:t>
      </w:r>
      <w:r>
        <w:rPr/>
        <w:t>with</w:t>
      </w:r>
      <w:r>
        <w:rPr>
          <w:spacing w:val="-11"/>
        </w:rPr>
        <w:t> </w:t>
      </w:r>
      <w:r>
        <w:rPr/>
        <w:t>fixed</w:t>
      </w:r>
      <w:r>
        <w:rPr>
          <w:spacing w:val="-11"/>
        </w:rPr>
        <w:t> </w:t>
      </w:r>
      <w:r>
        <w:rPr/>
        <w:t>or</w:t>
      </w:r>
      <w:r>
        <w:rPr>
          <w:spacing w:val="-11"/>
        </w:rPr>
        <w:t> </w:t>
      </w:r>
      <w:r>
        <w:rPr/>
        <w:t>determinable</w:t>
      </w:r>
      <w:r>
        <w:rPr>
          <w:spacing w:val="-11"/>
        </w:rPr>
        <w:t> </w:t>
      </w:r>
      <w:r>
        <w:rPr/>
        <w:t>payments</w:t>
      </w:r>
      <w:r>
        <w:rPr>
          <w:spacing w:val="-10"/>
        </w:rPr>
        <w:t> </w:t>
      </w:r>
      <w:r>
        <w:rPr/>
        <w:t>that</w:t>
      </w:r>
      <w:r>
        <w:rPr>
          <w:spacing w:val="-11"/>
        </w:rPr>
        <w:t> </w:t>
      </w:r>
      <w:r>
        <w:rPr/>
        <w:t>are</w:t>
      </w:r>
      <w:r>
        <w:rPr>
          <w:spacing w:val="-11"/>
        </w:rPr>
        <w:t> </w:t>
      </w:r>
      <w:r>
        <w:rPr/>
        <w:t>not</w:t>
      </w:r>
      <w:r>
        <w:rPr>
          <w:spacing w:val="-13"/>
        </w:rPr>
        <w:t> </w:t>
      </w:r>
      <w:r>
        <w:rPr/>
        <w:t>quoted in an active market. They are included in current assets, except for those with maturities greater than 12 months after</w:t>
      </w:r>
      <w:r>
        <w:rPr>
          <w:spacing w:val="-10"/>
        </w:rPr>
        <w:t> </w:t>
      </w:r>
      <w:r>
        <w:rPr/>
        <w:t>the</w:t>
      </w:r>
      <w:r>
        <w:rPr>
          <w:spacing w:val="-10"/>
        </w:rPr>
        <w:t> </w:t>
      </w:r>
      <w:r>
        <w:rPr/>
        <w:t>statement</w:t>
      </w:r>
      <w:r>
        <w:rPr>
          <w:spacing w:val="-10"/>
        </w:rPr>
        <w:t> </w:t>
      </w:r>
      <w:r>
        <w:rPr/>
        <w:t>of</w:t>
      </w:r>
      <w:r>
        <w:rPr>
          <w:spacing w:val="-10"/>
        </w:rPr>
        <w:t> </w:t>
      </w:r>
      <w:r>
        <w:rPr/>
        <w:t>financial</w:t>
      </w:r>
      <w:r>
        <w:rPr>
          <w:spacing w:val="-12"/>
        </w:rPr>
        <w:t> </w:t>
      </w:r>
      <w:r>
        <w:rPr/>
        <w:t>position</w:t>
      </w:r>
      <w:r>
        <w:rPr>
          <w:spacing w:val="-12"/>
        </w:rPr>
        <w:t> </w:t>
      </w:r>
      <w:r>
        <w:rPr/>
        <w:t>date</w:t>
      </w:r>
      <w:r>
        <w:rPr>
          <w:spacing w:val="-10"/>
        </w:rPr>
        <w:t> </w:t>
      </w:r>
      <w:r>
        <w:rPr/>
        <w:t>which</w:t>
      </w:r>
      <w:r>
        <w:rPr>
          <w:spacing w:val="-10"/>
        </w:rPr>
        <w:t> </w:t>
      </w:r>
      <w:r>
        <w:rPr/>
        <w:t>are</w:t>
      </w:r>
      <w:r>
        <w:rPr>
          <w:spacing w:val="-10"/>
        </w:rPr>
        <w:t> </w:t>
      </w:r>
      <w:r>
        <w:rPr/>
        <w:t>classified</w:t>
      </w:r>
      <w:r>
        <w:rPr>
          <w:spacing w:val="-10"/>
        </w:rPr>
        <w:t> </w:t>
      </w:r>
      <w:r>
        <w:rPr/>
        <w:t>as</w:t>
      </w:r>
      <w:r>
        <w:rPr>
          <w:spacing w:val="-12"/>
        </w:rPr>
        <w:t> </w:t>
      </w:r>
      <w:r>
        <w:rPr/>
        <w:t>non-current</w:t>
      </w:r>
      <w:r>
        <w:rPr>
          <w:spacing w:val="-10"/>
        </w:rPr>
        <w:t> </w:t>
      </w:r>
      <w:r>
        <w:rPr/>
        <w:t>assets.</w:t>
      </w:r>
      <w:r>
        <w:rPr>
          <w:spacing w:val="-10"/>
        </w:rPr>
        <w:t> </w:t>
      </w:r>
      <w:r>
        <w:rPr/>
        <w:t>Loans</w:t>
      </w:r>
      <w:r>
        <w:rPr>
          <w:spacing w:val="-9"/>
        </w:rPr>
        <w:t> </w:t>
      </w:r>
      <w:r>
        <w:rPr/>
        <w:t>and</w:t>
      </w:r>
      <w:r>
        <w:rPr>
          <w:spacing w:val="-12"/>
        </w:rPr>
        <w:t> </w:t>
      </w:r>
      <w:r>
        <w:rPr/>
        <w:t>receivables</w:t>
      </w:r>
      <w:r>
        <w:rPr>
          <w:spacing w:val="-11"/>
        </w:rPr>
        <w:t> </w:t>
      </w:r>
      <w:r>
        <w:rPr/>
        <w:t>are included in receivables in the statement of financial</w:t>
      </w:r>
      <w:r>
        <w:rPr>
          <w:spacing w:val="-27"/>
        </w:rPr>
        <w:t> </w:t>
      </w:r>
      <w:r>
        <w:rPr/>
        <w:t>position.</w:t>
      </w:r>
    </w:p>
    <w:p>
      <w:pPr>
        <w:spacing w:after="0"/>
        <w:sectPr>
          <w:pgSz w:w="11960" w:h="16850"/>
          <w:pgMar w:header="743" w:footer="507" w:top="1180" w:bottom="700" w:left="900" w:right="900"/>
        </w:sectPr>
      </w:pPr>
    </w:p>
    <w:p>
      <w:pPr>
        <w:pStyle w:val="BodyText"/>
        <w:spacing w:before="8"/>
        <w:rPr>
          <w:sz w:val="23"/>
        </w:rPr>
      </w:pPr>
    </w:p>
    <w:p>
      <w:pPr>
        <w:pStyle w:val="Heading6"/>
        <w:spacing w:before="73"/>
        <w:ind w:right="210"/>
      </w:pPr>
      <w:r>
        <w:rPr/>
        <w:t>Notes to the Financial Statements</w:t>
      </w:r>
    </w:p>
    <w:p>
      <w:pPr>
        <w:spacing w:before="54"/>
        <w:ind w:left="108" w:right="210" w:firstLine="0"/>
        <w:jc w:val="left"/>
        <w:rPr>
          <w:b/>
          <w:sz w:val="22"/>
        </w:rPr>
      </w:pPr>
      <w:r>
        <w:rPr>
          <w:b/>
          <w:sz w:val="22"/>
        </w:rPr>
        <w:t>For the period from 2 March 2012 to 31 December 2012</w:t>
      </w:r>
    </w:p>
    <w:p>
      <w:pPr>
        <w:pStyle w:val="BodyText"/>
        <w:rPr>
          <w:b/>
          <w:sz w:val="22"/>
        </w:rPr>
      </w:pPr>
    </w:p>
    <w:p>
      <w:pPr>
        <w:pStyle w:val="BodyText"/>
        <w:spacing w:before="9"/>
        <w:rPr>
          <w:b/>
          <w:sz w:val="29"/>
        </w:rPr>
      </w:pPr>
    </w:p>
    <w:p>
      <w:pPr>
        <w:pStyle w:val="Heading9"/>
        <w:tabs>
          <w:tab w:pos="503" w:val="left" w:leader="none"/>
        </w:tabs>
        <w:ind w:left="107" w:right="210"/>
      </w:pPr>
      <w:r>
        <w:rPr/>
        <w:t>1</w:t>
        <w:tab/>
        <w:t>Summary of significant accounting policies</w:t>
      </w:r>
      <w:r>
        <w:rPr>
          <w:spacing w:val="-19"/>
        </w:rPr>
        <w:t> </w:t>
      </w:r>
      <w:r>
        <w:rPr/>
        <w:t>continued</w:t>
      </w:r>
    </w:p>
    <w:p>
      <w:pPr>
        <w:pStyle w:val="BodyText"/>
        <w:spacing w:before="4"/>
        <w:rPr>
          <w:b/>
          <w:sz w:val="25"/>
        </w:rPr>
      </w:pPr>
    </w:p>
    <w:p>
      <w:pPr>
        <w:spacing w:before="1"/>
        <w:ind w:left="1070" w:right="210" w:firstLine="0"/>
        <w:jc w:val="left"/>
        <w:rPr>
          <w:b/>
          <w:i/>
          <w:sz w:val="18"/>
        </w:rPr>
      </w:pPr>
      <w:r>
        <w:rPr>
          <w:b/>
          <w:i/>
          <w:sz w:val="18"/>
        </w:rPr>
        <w:t>Subsequent measurement</w:t>
      </w:r>
    </w:p>
    <w:p>
      <w:pPr>
        <w:pStyle w:val="BodyText"/>
        <w:spacing w:before="4"/>
        <w:rPr>
          <w:b/>
          <w:i/>
          <w:sz w:val="25"/>
        </w:rPr>
      </w:pPr>
    </w:p>
    <w:p>
      <w:pPr>
        <w:pStyle w:val="BodyText"/>
        <w:ind w:left="1070" w:right="210"/>
      </w:pPr>
      <w:r>
        <w:rPr/>
        <w:t>Loans and receivables are carried at amortised cost using the effective interest method.</w:t>
      </w:r>
    </w:p>
    <w:p>
      <w:pPr>
        <w:pStyle w:val="BodyText"/>
        <w:spacing w:before="9"/>
        <w:rPr>
          <w:sz w:val="24"/>
        </w:rPr>
      </w:pPr>
    </w:p>
    <w:p>
      <w:pPr>
        <w:spacing w:before="0"/>
        <w:ind w:left="1070" w:right="210" w:firstLine="0"/>
        <w:jc w:val="left"/>
        <w:rPr>
          <w:b/>
          <w:i/>
          <w:sz w:val="18"/>
        </w:rPr>
      </w:pPr>
      <w:r>
        <w:rPr>
          <w:b/>
          <w:i/>
          <w:sz w:val="18"/>
        </w:rPr>
        <w:t>Impairment</w:t>
      </w:r>
    </w:p>
    <w:p>
      <w:pPr>
        <w:pStyle w:val="BodyText"/>
        <w:spacing w:before="2"/>
        <w:rPr>
          <w:b/>
          <w:i/>
          <w:sz w:val="25"/>
        </w:rPr>
      </w:pPr>
    </w:p>
    <w:p>
      <w:pPr>
        <w:pStyle w:val="ListParagraph"/>
        <w:numPr>
          <w:ilvl w:val="0"/>
          <w:numId w:val="117"/>
        </w:numPr>
        <w:tabs>
          <w:tab w:pos="1469" w:val="left" w:leader="none"/>
        </w:tabs>
        <w:spacing w:line="240" w:lineRule="auto" w:before="0" w:after="0"/>
        <w:ind w:left="1468" w:right="0" w:hanging="398"/>
        <w:jc w:val="left"/>
        <w:rPr>
          <w:i/>
          <w:sz w:val="18"/>
        </w:rPr>
      </w:pPr>
      <w:r>
        <w:rPr>
          <w:i/>
          <w:sz w:val="18"/>
        </w:rPr>
        <w:t>Assets carried at amortised</w:t>
      </w:r>
      <w:r>
        <w:rPr>
          <w:i/>
          <w:spacing w:val="-10"/>
          <w:sz w:val="18"/>
        </w:rPr>
        <w:t> </w:t>
      </w:r>
      <w:r>
        <w:rPr>
          <w:i/>
          <w:sz w:val="18"/>
        </w:rPr>
        <w:t>cost.</w:t>
      </w:r>
    </w:p>
    <w:p>
      <w:pPr>
        <w:pStyle w:val="BodyText"/>
        <w:spacing w:before="4"/>
        <w:rPr>
          <w:i/>
          <w:sz w:val="25"/>
        </w:rPr>
      </w:pPr>
    </w:p>
    <w:p>
      <w:pPr>
        <w:pStyle w:val="BodyText"/>
        <w:ind w:left="1070" w:right="17"/>
      </w:pPr>
      <w:r>
        <w:rPr/>
        <w:t>For loans and receivables, the amount of the loss is measured as the difference between the assets carrying amount and the present value of estimated future cash flows (excluding future credit losses that have not been incurred) discounted at the financial assets original effective interest rate. The carrying amount of the asset is reduced and the amount of the loss is recognised in the statement of comprehensive income. The loan has a variable interest rate, the discount rate for measuring any impairment loss is the current effective interest rate determined</w:t>
      </w:r>
      <w:r>
        <w:rPr>
          <w:spacing w:val="-11"/>
        </w:rPr>
        <w:t> </w:t>
      </w:r>
      <w:r>
        <w:rPr/>
        <w:t>under</w:t>
      </w:r>
      <w:r>
        <w:rPr>
          <w:spacing w:val="-12"/>
        </w:rPr>
        <w:t> </w:t>
      </w:r>
      <w:r>
        <w:rPr/>
        <w:t>the</w:t>
      </w:r>
      <w:r>
        <w:rPr>
          <w:spacing w:val="-13"/>
        </w:rPr>
        <w:t> </w:t>
      </w:r>
      <w:r>
        <w:rPr/>
        <w:t>contract.</w:t>
      </w:r>
      <w:r>
        <w:rPr>
          <w:spacing w:val="-14"/>
        </w:rPr>
        <w:t> </w:t>
      </w:r>
      <w:r>
        <w:rPr/>
        <w:t>As</w:t>
      </w:r>
      <w:r>
        <w:rPr>
          <w:spacing w:val="-10"/>
        </w:rPr>
        <w:t> </w:t>
      </w:r>
      <w:r>
        <w:rPr/>
        <w:t>a</w:t>
      </w:r>
      <w:r>
        <w:rPr>
          <w:spacing w:val="-13"/>
        </w:rPr>
        <w:t> </w:t>
      </w:r>
      <w:r>
        <w:rPr/>
        <w:t>practical</w:t>
      </w:r>
      <w:r>
        <w:rPr>
          <w:spacing w:val="-11"/>
        </w:rPr>
        <w:t> </w:t>
      </w:r>
      <w:r>
        <w:rPr/>
        <w:t>expedient,</w:t>
      </w:r>
      <w:r>
        <w:rPr>
          <w:spacing w:val="-11"/>
        </w:rPr>
        <w:t> </w:t>
      </w:r>
      <w:r>
        <w:rPr/>
        <w:t>the</w:t>
      </w:r>
      <w:r>
        <w:rPr>
          <w:spacing w:val="-11"/>
        </w:rPr>
        <w:t> </w:t>
      </w:r>
      <w:r>
        <w:rPr/>
        <w:t>Company</w:t>
      </w:r>
      <w:r>
        <w:rPr>
          <w:spacing w:val="-13"/>
        </w:rPr>
        <w:t> </w:t>
      </w:r>
      <w:r>
        <w:rPr/>
        <w:t>may</w:t>
      </w:r>
      <w:r>
        <w:rPr>
          <w:spacing w:val="-13"/>
        </w:rPr>
        <w:t> </w:t>
      </w:r>
      <w:r>
        <w:rPr/>
        <w:t>measure</w:t>
      </w:r>
      <w:r>
        <w:rPr>
          <w:spacing w:val="-13"/>
        </w:rPr>
        <w:t> </w:t>
      </w:r>
      <w:r>
        <w:rPr/>
        <w:t>impairment</w:t>
      </w:r>
      <w:r>
        <w:rPr>
          <w:spacing w:val="-11"/>
        </w:rPr>
        <w:t> </w:t>
      </w:r>
      <w:r>
        <w:rPr/>
        <w:t>on</w:t>
      </w:r>
      <w:r>
        <w:rPr>
          <w:spacing w:val="-13"/>
        </w:rPr>
        <w:t> </w:t>
      </w:r>
      <w:r>
        <w:rPr/>
        <w:t>the</w:t>
      </w:r>
      <w:r>
        <w:rPr>
          <w:spacing w:val="-13"/>
        </w:rPr>
        <w:t> </w:t>
      </w:r>
      <w:r>
        <w:rPr/>
        <w:t>basis</w:t>
      </w:r>
      <w:r>
        <w:rPr>
          <w:spacing w:val="-13"/>
        </w:rPr>
        <w:t> </w:t>
      </w:r>
      <w:r>
        <w:rPr/>
        <w:t>of</w:t>
      </w:r>
      <w:r>
        <w:rPr>
          <w:spacing w:val="-14"/>
        </w:rPr>
        <w:t> </w:t>
      </w:r>
      <w:r>
        <w:rPr/>
        <w:t>an instruments fair value using an observable market</w:t>
      </w:r>
      <w:r>
        <w:rPr>
          <w:spacing w:val="-26"/>
        </w:rPr>
        <w:t> </w:t>
      </w:r>
      <w:r>
        <w:rPr/>
        <w:t>price.</w:t>
      </w:r>
    </w:p>
    <w:p>
      <w:pPr>
        <w:pStyle w:val="BodyText"/>
        <w:rPr>
          <w:sz w:val="25"/>
        </w:rPr>
      </w:pPr>
    </w:p>
    <w:p>
      <w:pPr>
        <w:pStyle w:val="BodyText"/>
        <w:ind w:left="1070" w:right="301"/>
      </w:pPr>
      <w:r>
        <w:rPr/>
        <w:t>If, in a subsequent period, the amount of the impairment loss decreases and the decrease can be related objectively to an event occurring after the impairment was recognised (such as an improvement in the debtor's credit rating), the reversal of the previously recognised impairment loss is recognised in the statement of comprehensive income.</w:t>
      </w:r>
    </w:p>
    <w:p>
      <w:pPr>
        <w:pStyle w:val="BodyText"/>
        <w:spacing w:before="6"/>
        <w:rPr>
          <w:sz w:val="24"/>
        </w:rPr>
      </w:pPr>
    </w:p>
    <w:p>
      <w:pPr>
        <w:pStyle w:val="Heading9"/>
        <w:numPr>
          <w:ilvl w:val="0"/>
          <w:numId w:val="115"/>
        </w:numPr>
        <w:tabs>
          <w:tab w:pos="1071" w:val="left" w:leader="none"/>
        </w:tabs>
        <w:spacing w:line="240" w:lineRule="auto" w:before="0" w:after="0"/>
        <w:ind w:left="1070" w:right="0" w:hanging="566"/>
        <w:jc w:val="left"/>
      </w:pPr>
      <w:r>
        <w:rPr/>
        <w:t>Trade and other</w:t>
      </w:r>
      <w:r>
        <w:rPr>
          <w:spacing w:val="-10"/>
        </w:rPr>
        <w:t> </w:t>
      </w:r>
      <w:r>
        <w:rPr/>
        <w:t>payables</w:t>
      </w:r>
    </w:p>
    <w:p>
      <w:pPr>
        <w:pStyle w:val="BodyText"/>
        <w:spacing w:before="7"/>
        <w:rPr>
          <w:b/>
          <w:sz w:val="25"/>
        </w:rPr>
      </w:pPr>
    </w:p>
    <w:p>
      <w:pPr>
        <w:pStyle w:val="BodyText"/>
        <w:ind w:left="1070" w:right="14"/>
      </w:pPr>
      <w:r>
        <w:rPr/>
        <w:t>These amounts represent liabilities for goods and services provided to the Company prior to the end of the financial period, which are unpaid. The amounts are unsecured and are usually paid within 30 days of recognition.</w:t>
      </w:r>
    </w:p>
    <w:p>
      <w:pPr>
        <w:pStyle w:val="BodyText"/>
        <w:spacing w:before="8"/>
        <w:rPr>
          <w:sz w:val="24"/>
        </w:rPr>
      </w:pPr>
    </w:p>
    <w:p>
      <w:pPr>
        <w:pStyle w:val="Heading9"/>
        <w:numPr>
          <w:ilvl w:val="0"/>
          <w:numId w:val="115"/>
        </w:numPr>
        <w:tabs>
          <w:tab w:pos="1071" w:val="left" w:leader="none"/>
        </w:tabs>
        <w:spacing w:line="240" w:lineRule="auto" w:before="1" w:after="0"/>
        <w:ind w:left="1070" w:right="0" w:hanging="566"/>
        <w:jc w:val="left"/>
      </w:pPr>
      <w:r>
        <w:rPr/>
        <w:t>Employee</w:t>
      </w:r>
      <w:r>
        <w:rPr>
          <w:spacing w:val="-5"/>
        </w:rPr>
        <w:t> </w:t>
      </w:r>
      <w:r>
        <w:rPr/>
        <w:t>benefits</w:t>
      </w:r>
    </w:p>
    <w:p>
      <w:pPr>
        <w:pStyle w:val="BodyText"/>
        <w:spacing w:before="2"/>
        <w:rPr>
          <w:b/>
          <w:sz w:val="25"/>
        </w:rPr>
      </w:pPr>
    </w:p>
    <w:p>
      <w:pPr>
        <w:pStyle w:val="ListParagraph"/>
        <w:numPr>
          <w:ilvl w:val="1"/>
          <w:numId w:val="115"/>
        </w:numPr>
        <w:tabs>
          <w:tab w:pos="1469" w:val="left" w:leader="none"/>
        </w:tabs>
        <w:spacing w:line="240" w:lineRule="auto" w:before="0" w:after="0"/>
        <w:ind w:left="1468" w:right="0" w:hanging="398"/>
        <w:jc w:val="left"/>
        <w:rPr>
          <w:i/>
          <w:sz w:val="18"/>
        </w:rPr>
      </w:pPr>
      <w:r>
        <w:rPr>
          <w:i/>
          <w:sz w:val="18"/>
        </w:rPr>
        <w:t>Wages and</w:t>
      </w:r>
      <w:r>
        <w:rPr>
          <w:i/>
          <w:spacing w:val="-7"/>
          <w:sz w:val="18"/>
        </w:rPr>
        <w:t> </w:t>
      </w:r>
      <w:r>
        <w:rPr>
          <w:i/>
          <w:sz w:val="18"/>
        </w:rPr>
        <w:t>salaries</w:t>
      </w:r>
    </w:p>
    <w:p>
      <w:pPr>
        <w:pStyle w:val="BodyText"/>
        <w:spacing w:before="4"/>
        <w:rPr>
          <w:i/>
          <w:sz w:val="25"/>
        </w:rPr>
      </w:pPr>
    </w:p>
    <w:p>
      <w:pPr>
        <w:pStyle w:val="BodyText"/>
        <w:ind w:left="1070" w:right="318"/>
        <w:jc w:val="both"/>
      </w:pPr>
      <w:r>
        <w:rPr/>
        <w:t>Liabilities for short-term employee benefits including wages and salaries and non-monetary benefits due to be settled within 12 months after the end of the period are measured at the amount expected to be paid when the liability is settled and recognised in other payables.</w:t>
      </w:r>
    </w:p>
    <w:p>
      <w:pPr>
        <w:pStyle w:val="BodyText"/>
        <w:spacing w:before="9"/>
        <w:rPr>
          <w:sz w:val="24"/>
        </w:rPr>
      </w:pPr>
    </w:p>
    <w:p>
      <w:pPr>
        <w:pStyle w:val="ListParagraph"/>
        <w:numPr>
          <w:ilvl w:val="1"/>
          <w:numId w:val="115"/>
        </w:numPr>
        <w:tabs>
          <w:tab w:pos="1469" w:val="left" w:leader="none"/>
        </w:tabs>
        <w:spacing w:line="240" w:lineRule="auto" w:before="0" w:after="0"/>
        <w:ind w:left="1468" w:right="0" w:hanging="398"/>
        <w:jc w:val="left"/>
        <w:rPr>
          <w:i/>
          <w:sz w:val="18"/>
        </w:rPr>
      </w:pPr>
      <w:r>
        <w:rPr>
          <w:i/>
          <w:sz w:val="18"/>
        </w:rPr>
        <w:t>Annual</w:t>
      </w:r>
      <w:r>
        <w:rPr>
          <w:i/>
          <w:spacing w:val="-4"/>
          <w:sz w:val="18"/>
        </w:rPr>
        <w:t> </w:t>
      </w:r>
      <w:r>
        <w:rPr>
          <w:i/>
          <w:sz w:val="18"/>
        </w:rPr>
        <w:t>leave</w:t>
      </w:r>
    </w:p>
    <w:p>
      <w:pPr>
        <w:pStyle w:val="BodyText"/>
        <w:spacing w:before="4"/>
        <w:rPr>
          <w:i/>
          <w:sz w:val="25"/>
        </w:rPr>
      </w:pPr>
    </w:p>
    <w:p>
      <w:pPr>
        <w:pStyle w:val="BodyText"/>
        <w:ind w:left="1070" w:right="104"/>
      </w:pPr>
      <w:r>
        <w:rPr/>
        <w:t>The liability for annual leave is recognised in current provisions for employee benefits as it is due to be settled within</w:t>
      </w:r>
      <w:r>
        <w:rPr>
          <w:spacing w:val="-4"/>
        </w:rPr>
        <w:t> </w:t>
      </w:r>
      <w:r>
        <w:rPr/>
        <w:t>12</w:t>
      </w:r>
      <w:r>
        <w:rPr>
          <w:spacing w:val="-6"/>
        </w:rPr>
        <w:t> </w:t>
      </w:r>
      <w:r>
        <w:rPr/>
        <w:t>months</w:t>
      </w:r>
      <w:r>
        <w:rPr>
          <w:spacing w:val="-3"/>
        </w:rPr>
        <w:t> </w:t>
      </w:r>
      <w:r>
        <w:rPr/>
        <w:t>after</w:t>
      </w:r>
      <w:r>
        <w:rPr>
          <w:spacing w:val="-4"/>
        </w:rPr>
        <w:t> </w:t>
      </w:r>
      <w:r>
        <w:rPr/>
        <w:t>the</w:t>
      </w:r>
      <w:r>
        <w:rPr>
          <w:spacing w:val="-4"/>
        </w:rPr>
        <w:t> </w:t>
      </w:r>
      <w:r>
        <w:rPr/>
        <w:t>end</w:t>
      </w:r>
      <w:r>
        <w:rPr>
          <w:spacing w:val="-6"/>
        </w:rPr>
        <w:t> </w:t>
      </w:r>
      <w:r>
        <w:rPr/>
        <w:t>of</w:t>
      </w:r>
      <w:r>
        <w:rPr>
          <w:spacing w:val="-4"/>
        </w:rPr>
        <w:t> </w:t>
      </w:r>
      <w:r>
        <w:rPr/>
        <w:t>the</w:t>
      </w:r>
      <w:r>
        <w:rPr>
          <w:spacing w:val="-4"/>
        </w:rPr>
        <w:t> </w:t>
      </w:r>
      <w:r>
        <w:rPr/>
        <w:t>reporting</w:t>
      </w:r>
      <w:r>
        <w:rPr>
          <w:spacing w:val="-6"/>
        </w:rPr>
        <w:t> </w:t>
      </w:r>
      <w:r>
        <w:rPr/>
        <w:t>period.</w:t>
      </w:r>
      <w:r>
        <w:rPr>
          <w:spacing w:val="-4"/>
        </w:rPr>
        <w:t> </w:t>
      </w:r>
      <w:r>
        <w:rPr/>
        <w:t>It</w:t>
      </w:r>
      <w:r>
        <w:rPr>
          <w:spacing w:val="-6"/>
        </w:rPr>
        <w:t> </w:t>
      </w:r>
      <w:r>
        <w:rPr/>
        <w:t>is</w:t>
      </w:r>
      <w:r>
        <w:rPr>
          <w:spacing w:val="-6"/>
        </w:rPr>
        <w:t> </w:t>
      </w:r>
      <w:r>
        <w:rPr/>
        <w:t>measured</w:t>
      </w:r>
      <w:r>
        <w:rPr>
          <w:spacing w:val="-4"/>
        </w:rPr>
        <w:t> </w:t>
      </w:r>
      <w:r>
        <w:rPr/>
        <w:t>at</w:t>
      </w:r>
      <w:r>
        <w:rPr>
          <w:spacing w:val="-4"/>
        </w:rPr>
        <w:t> </w:t>
      </w:r>
      <w:r>
        <w:rPr/>
        <w:t>the</w:t>
      </w:r>
      <w:r>
        <w:rPr>
          <w:spacing w:val="-4"/>
        </w:rPr>
        <w:t> </w:t>
      </w:r>
      <w:r>
        <w:rPr/>
        <w:t>present</w:t>
      </w:r>
      <w:r>
        <w:rPr>
          <w:spacing w:val="-4"/>
        </w:rPr>
        <w:t> </w:t>
      </w:r>
      <w:r>
        <w:rPr/>
        <w:t>value</w:t>
      </w:r>
      <w:r>
        <w:rPr>
          <w:spacing w:val="-4"/>
        </w:rPr>
        <w:t> </w:t>
      </w:r>
      <w:r>
        <w:rPr/>
        <w:t>of</w:t>
      </w:r>
      <w:r>
        <w:rPr>
          <w:spacing w:val="-7"/>
        </w:rPr>
        <w:t> </w:t>
      </w:r>
      <w:r>
        <w:rPr/>
        <w:t>the</w:t>
      </w:r>
      <w:r>
        <w:rPr>
          <w:spacing w:val="-4"/>
        </w:rPr>
        <w:t> </w:t>
      </w:r>
      <w:r>
        <w:rPr/>
        <w:t>amount</w:t>
      </w:r>
      <w:r>
        <w:rPr>
          <w:spacing w:val="-4"/>
        </w:rPr>
        <w:t> </w:t>
      </w:r>
      <w:r>
        <w:rPr/>
        <w:t>expected to</w:t>
      </w:r>
      <w:r>
        <w:rPr>
          <w:spacing w:val="-12"/>
        </w:rPr>
        <w:t> </w:t>
      </w:r>
      <w:r>
        <w:rPr/>
        <w:t>be</w:t>
      </w:r>
      <w:r>
        <w:rPr>
          <w:spacing w:val="-14"/>
        </w:rPr>
        <w:t> </w:t>
      </w:r>
      <w:r>
        <w:rPr/>
        <w:t>paid</w:t>
      </w:r>
      <w:r>
        <w:rPr>
          <w:spacing w:val="-12"/>
        </w:rPr>
        <w:t> </w:t>
      </w:r>
      <w:r>
        <w:rPr/>
        <w:t>when</w:t>
      </w:r>
      <w:r>
        <w:rPr>
          <w:spacing w:val="-15"/>
        </w:rPr>
        <w:t> </w:t>
      </w:r>
      <w:r>
        <w:rPr/>
        <w:t>the</w:t>
      </w:r>
      <w:r>
        <w:rPr>
          <w:spacing w:val="-14"/>
        </w:rPr>
        <w:t> </w:t>
      </w:r>
      <w:r>
        <w:rPr/>
        <w:t>liability</w:t>
      </w:r>
      <w:r>
        <w:rPr>
          <w:spacing w:val="-14"/>
        </w:rPr>
        <w:t> </w:t>
      </w:r>
      <w:r>
        <w:rPr/>
        <w:t>is</w:t>
      </w:r>
      <w:r>
        <w:rPr>
          <w:spacing w:val="-14"/>
        </w:rPr>
        <w:t> </w:t>
      </w:r>
      <w:r>
        <w:rPr/>
        <w:t>settled.</w:t>
      </w:r>
      <w:r>
        <w:rPr>
          <w:spacing w:val="-12"/>
        </w:rPr>
        <w:t> </w:t>
      </w:r>
      <w:r>
        <w:rPr/>
        <w:t>Regardless</w:t>
      </w:r>
      <w:r>
        <w:rPr>
          <w:spacing w:val="-11"/>
        </w:rPr>
        <w:t> </w:t>
      </w:r>
      <w:r>
        <w:rPr/>
        <w:t>of</w:t>
      </w:r>
      <w:r>
        <w:rPr>
          <w:spacing w:val="-12"/>
        </w:rPr>
        <w:t> </w:t>
      </w:r>
      <w:r>
        <w:rPr/>
        <w:t>the</w:t>
      </w:r>
      <w:r>
        <w:rPr>
          <w:spacing w:val="-12"/>
        </w:rPr>
        <w:t> </w:t>
      </w:r>
      <w:r>
        <w:rPr/>
        <w:t>expected</w:t>
      </w:r>
      <w:r>
        <w:rPr>
          <w:spacing w:val="-12"/>
        </w:rPr>
        <w:t> </w:t>
      </w:r>
      <w:r>
        <w:rPr/>
        <w:t>timing</w:t>
      </w:r>
      <w:r>
        <w:rPr>
          <w:spacing w:val="-14"/>
        </w:rPr>
        <w:t> </w:t>
      </w:r>
      <w:r>
        <w:rPr/>
        <w:t>of</w:t>
      </w:r>
      <w:r>
        <w:rPr>
          <w:spacing w:val="-15"/>
        </w:rPr>
        <w:t> </w:t>
      </w:r>
      <w:r>
        <w:rPr/>
        <w:t>settlements,</w:t>
      </w:r>
      <w:r>
        <w:rPr>
          <w:spacing w:val="-15"/>
        </w:rPr>
        <w:t> </w:t>
      </w:r>
      <w:r>
        <w:rPr/>
        <w:t>provisions</w:t>
      </w:r>
      <w:r>
        <w:rPr>
          <w:spacing w:val="-14"/>
        </w:rPr>
        <w:t> </w:t>
      </w:r>
      <w:r>
        <w:rPr/>
        <w:t>made</w:t>
      </w:r>
      <w:r>
        <w:rPr>
          <w:spacing w:val="-12"/>
        </w:rPr>
        <w:t> </w:t>
      </w:r>
      <w:r>
        <w:rPr/>
        <w:t>in</w:t>
      </w:r>
      <w:r>
        <w:rPr>
          <w:spacing w:val="-12"/>
        </w:rPr>
        <w:t> </w:t>
      </w:r>
      <w:r>
        <w:rPr/>
        <w:t>respect of employee benefits are classified as a current liability, unless there is an unconditional right to defer the settlement of the liability for at least 12 months after the reporting date, in which case it would be classified as a non-current</w:t>
      </w:r>
      <w:r>
        <w:rPr>
          <w:spacing w:val="-11"/>
        </w:rPr>
        <w:t> </w:t>
      </w:r>
      <w:r>
        <w:rPr/>
        <w:t>liability.</w:t>
      </w:r>
    </w:p>
    <w:p>
      <w:pPr>
        <w:pStyle w:val="BodyText"/>
        <w:rPr>
          <w:sz w:val="25"/>
        </w:rPr>
      </w:pPr>
    </w:p>
    <w:p>
      <w:pPr>
        <w:pStyle w:val="ListParagraph"/>
        <w:numPr>
          <w:ilvl w:val="1"/>
          <w:numId w:val="115"/>
        </w:numPr>
        <w:tabs>
          <w:tab w:pos="1469" w:val="left" w:leader="none"/>
        </w:tabs>
        <w:spacing w:line="240" w:lineRule="auto" w:before="0" w:after="0"/>
        <w:ind w:left="1468" w:right="0" w:hanging="398"/>
        <w:jc w:val="left"/>
        <w:rPr>
          <w:i/>
          <w:sz w:val="18"/>
        </w:rPr>
      </w:pPr>
      <w:r>
        <w:rPr>
          <w:i/>
          <w:sz w:val="18"/>
        </w:rPr>
        <w:t>Long service</w:t>
      </w:r>
      <w:r>
        <w:rPr>
          <w:i/>
          <w:spacing w:val="-9"/>
          <w:sz w:val="18"/>
        </w:rPr>
        <w:t> </w:t>
      </w:r>
      <w:r>
        <w:rPr>
          <w:i/>
          <w:sz w:val="18"/>
        </w:rPr>
        <w:t>leave</w:t>
      </w:r>
    </w:p>
    <w:p>
      <w:pPr>
        <w:pStyle w:val="BodyText"/>
        <w:spacing w:before="2"/>
        <w:rPr>
          <w:i/>
          <w:sz w:val="25"/>
        </w:rPr>
      </w:pPr>
    </w:p>
    <w:p>
      <w:pPr>
        <w:pStyle w:val="BodyText"/>
        <w:ind w:left="1070" w:right="17"/>
      </w:pPr>
      <w:r>
        <w:rPr/>
        <w:t>The liability for long service leave is recognised in the provision for employee benefits and measured as the present value of expected future payments to be made in respect of services provided by employees up to the reporting date using the projected unit credit method. Consideration is given to expected future wage and salary levels,</w:t>
      </w:r>
      <w:r>
        <w:rPr>
          <w:spacing w:val="-15"/>
        </w:rPr>
        <w:t> </w:t>
      </w:r>
      <w:r>
        <w:rPr/>
        <w:t>experience</w:t>
      </w:r>
      <w:r>
        <w:rPr>
          <w:spacing w:val="-12"/>
        </w:rPr>
        <w:t> </w:t>
      </w:r>
      <w:r>
        <w:rPr/>
        <w:t>of</w:t>
      </w:r>
      <w:r>
        <w:rPr>
          <w:spacing w:val="-12"/>
        </w:rPr>
        <w:t> </w:t>
      </w:r>
      <w:r>
        <w:rPr/>
        <w:t>employee</w:t>
      </w:r>
      <w:r>
        <w:rPr>
          <w:spacing w:val="-14"/>
        </w:rPr>
        <w:t> </w:t>
      </w:r>
      <w:r>
        <w:rPr/>
        <w:t>departures</w:t>
      </w:r>
      <w:r>
        <w:rPr>
          <w:spacing w:val="-11"/>
        </w:rPr>
        <w:t> </w:t>
      </w:r>
      <w:r>
        <w:rPr/>
        <w:t>and</w:t>
      </w:r>
      <w:r>
        <w:rPr>
          <w:spacing w:val="-12"/>
        </w:rPr>
        <w:t> </w:t>
      </w:r>
      <w:r>
        <w:rPr/>
        <w:t>periods</w:t>
      </w:r>
      <w:r>
        <w:rPr>
          <w:spacing w:val="-11"/>
        </w:rPr>
        <w:t> </w:t>
      </w:r>
      <w:r>
        <w:rPr/>
        <w:t>of</w:t>
      </w:r>
      <w:r>
        <w:rPr>
          <w:spacing w:val="-15"/>
        </w:rPr>
        <w:t> </w:t>
      </w:r>
      <w:r>
        <w:rPr/>
        <w:t>service.</w:t>
      </w:r>
      <w:r>
        <w:rPr>
          <w:spacing w:val="-12"/>
        </w:rPr>
        <w:t> </w:t>
      </w:r>
      <w:r>
        <w:rPr/>
        <w:t>Expected</w:t>
      </w:r>
      <w:r>
        <w:rPr>
          <w:spacing w:val="-12"/>
        </w:rPr>
        <w:t> </w:t>
      </w:r>
      <w:r>
        <w:rPr/>
        <w:t>future</w:t>
      </w:r>
      <w:r>
        <w:rPr>
          <w:spacing w:val="-14"/>
        </w:rPr>
        <w:t> </w:t>
      </w:r>
      <w:r>
        <w:rPr/>
        <w:t>payments</w:t>
      </w:r>
      <w:r>
        <w:rPr>
          <w:spacing w:val="-14"/>
        </w:rPr>
        <w:t> </w:t>
      </w:r>
      <w:r>
        <w:rPr/>
        <w:t>are</w:t>
      </w:r>
      <w:r>
        <w:rPr>
          <w:spacing w:val="-12"/>
        </w:rPr>
        <w:t> </w:t>
      </w:r>
      <w:r>
        <w:rPr/>
        <w:t>discounted</w:t>
      </w:r>
      <w:r>
        <w:rPr>
          <w:spacing w:val="-12"/>
        </w:rPr>
        <w:t> </w:t>
      </w:r>
      <w:r>
        <w:rPr/>
        <w:t>using market</w:t>
      </w:r>
      <w:r>
        <w:rPr>
          <w:spacing w:val="-3"/>
        </w:rPr>
        <w:t> </w:t>
      </w:r>
      <w:r>
        <w:rPr/>
        <w:t>yields</w:t>
      </w:r>
      <w:r>
        <w:rPr>
          <w:spacing w:val="-2"/>
        </w:rPr>
        <w:t> </w:t>
      </w:r>
      <w:r>
        <w:rPr/>
        <w:t>at</w:t>
      </w:r>
      <w:r>
        <w:rPr>
          <w:spacing w:val="-5"/>
        </w:rPr>
        <w:t> </w:t>
      </w:r>
      <w:r>
        <w:rPr/>
        <w:t>the</w:t>
      </w:r>
      <w:r>
        <w:rPr>
          <w:spacing w:val="-2"/>
        </w:rPr>
        <w:t> </w:t>
      </w:r>
      <w:r>
        <w:rPr/>
        <w:t>reporting</w:t>
      </w:r>
      <w:r>
        <w:rPr>
          <w:spacing w:val="-6"/>
        </w:rPr>
        <w:t> </w:t>
      </w:r>
      <w:r>
        <w:rPr/>
        <w:t>date</w:t>
      </w:r>
      <w:r>
        <w:rPr>
          <w:spacing w:val="-5"/>
        </w:rPr>
        <w:t> </w:t>
      </w:r>
      <w:r>
        <w:rPr/>
        <w:t>on</w:t>
      </w:r>
      <w:r>
        <w:rPr>
          <w:spacing w:val="-5"/>
        </w:rPr>
        <w:t> </w:t>
      </w:r>
      <w:r>
        <w:rPr/>
        <w:t>national</w:t>
      </w:r>
      <w:r>
        <w:rPr>
          <w:spacing w:val="-5"/>
        </w:rPr>
        <w:t> </w:t>
      </w:r>
      <w:r>
        <w:rPr/>
        <w:t>government</w:t>
      </w:r>
      <w:r>
        <w:rPr>
          <w:spacing w:val="-5"/>
        </w:rPr>
        <w:t> </w:t>
      </w:r>
      <w:r>
        <w:rPr/>
        <w:t>bonds</w:t>
      </w:r>
      <w:r>
        <w:rPr>
          <w:spacing w:val="-4"/>
        </w:rPr>
        <w:t> </w:t>
      </w:r>
      <w:r>
        <w:rPr/>
        <w:t>with</w:t>
      </w:r>
      <w:r>
        <w:rPr>
          <w:spacing w:val="-2"/>
        </w:rPr>
        <w:t> </w:t>
      </w:r>
      <w:r>
        <w:rPr/>
        <w:t>terms</w:t>
      </w:r>
      <w:r>
        <w:rPr>
          <w:spacing w:val="-4"/>
        </w:rPr>
        <w:t> </w:t>
      </w:r>
      <w:r>
        <w:rPr/>
        <w:t>to</w:t>
      </w:r>
      <w:r>
        <w:rPr>
          <w:spacing w:val="-5"/>
        </w:rPr>
        <w:t> </w:t>
      </w:r>
      <w:r>
        <w:rPr/>
        <w:t>maturity</w:t>
      </w:r>
      <w:r>
        <w:rPr>
          <w:spacing w:val="-4"/>
        </w:rPr>
        <w:t> </w:t>
      </w:r>
      <w:r>
        <w:rPr/>
        <w:t>and</w:t>
      </w:r>
      <w:r>
        <w:rPr>
          <w:spacing w:val="-2"/>
        </w:rPr>
        <w:t> </w:t>
      </w:r>
      <w:r>
        <w:rPr/>
        <w:t>currency</w:t>
      </w:r>
      <w:r>
        <w:rPr>
          <w:spacing w:val="-4"/>
        </w:rPr>
        <w:t> </w:t>
      </w:r>
      <w:r>
        <w:rPr/>
        <w:t>that</w:t>
      </w:r>
      <w:r>
        <w:rPr>
          <w:spacing w:val="-5"/>
        </w:rPr>
        <w:t> </w:t>
      </w:r>
      <w:r>
        <w:rPr/>
        <w:t>match, as closely as possible, the estimated future cash</w:t>
      </w:r>
      <w:r>
        <w:rPr>
          <w:spacing w:val="-22"/>
        </w:rPr>
        <w:t> </w:t>
      </w:r>
      <w:r>
        <w:rPr/>
        <w:t>outflows.</w:t>
      </w:r>
    </w:p>
    <w:p>
      <w:pPr>
        <w:spacing w:after="0"/>
        <w:sectPr>
          <w:pgSz w:w="11960" w:h="16850"/>
          <w:pgMar w:header="743" w:footer="507" w:top="1180" w:bottom="700" w:left="900" w:right="900"/>
        </w:sectPr>
      </w:pPr>
    </w:p>
    <w:p>
      <w:pPr>
        <w:pStyle w:val="BodyText"/>
        <w:spacing w:before="8"/>
        <w:rPr>
          <w:sz w:val="23"/>
        </w:rPr>
      </w:pPr>
    </w:p>
    <w:p>
      <w:pPr>
        <w:pStyle w:val="Heading6"/>
        <w:spacing w:before="73"/>
        <w:ind w:left="307" w:right="25"/>
      </w:pPr>
      <w:r>
        <w:rPr/>
        <w:t>Notes to the Financial Statements</w:t>
      </w:r>
    </w:p>
    <w:p>
      <w:pPr>
        <w:spacing w:before="54"/>
        <w:ind w:left="308" w:right="25" w:firstLine="0"/>
        <w:jc w:val="left"/>
        <w:rPr>
          <w:b/>
          <w:sz w:val="22"/>
        </w:rPr>
      </w:pPr>
      <w:r>
        <w:rPr>
          <w:b/>
          <w:sz w:val="22"/>
        </w:rPr>
        <w:t>For the period from 2 March 2012 to 31 December 2012</w:t>
      </w:r>
    </w:p>
    <w:p>
      <w:pPr>
        <w:pStyle w:val="BodyText"/>
        <w:rPr>
          <w:b/>
          <w:sz w:val="22"/>
        </w:rPr>
      </w:pPr>
    </w:p>
    <w:p>
      <w:pPr>
        <w:pStyle w:val="BodyText"/>
        <w:spacing w:before="9"/>
        <w:rPr>
          <w:b/>
          <w:sz w:val="29"/>
        </w:rPr>
      </w:pPr>
    </w:p>
    <w:p>
      <w:pPr>
        <w:pStyle w:val="Heading9"/>
        <w:tabs>
          <w:tab w:pos="703" w:val="left" w:leader="none"/>
        </w:tabs>
        <w:ind w:left="307" w:right="25"/>
      </w:pPr>
      <w:r>
        <w:rPr/>
        <w:t>1</w:t>
        <w:tab/>
        <w:t>Summary of significant accounting policies</w:t>
      </w:r>
      <w:r>
        <w:rPr>
          <w:spacing w:val="-18"/>
        </w:rPr>
        <w:t> </w:t>
      </w:r>
      <w:r>
        <w:rPr/>
        <w:t>continued</w:t>
      </w:r>
    </w:p>
    <w:p>
      <w:pPr>
        <w:pStyle w:val="BodyText"/>
        <w:spacing w:before="2"/>
        <w:rPr>
          <w:b/>
          <w:sz w:val="25"/>
        </w:rPr>
      </w:pPr>
    </w:p>
    <w:p>
      <w:pPr>
        <w:pStyle w:val="ListParagraph"/>
        <w:numPr>
          <w:ilvl w:val="0"/>
          <w:numId w:val="118"/>
        </w:numPr>
        <w:tabs>
          <w:tab w:pos="1271" w:val="left" w:leader="none"/>
        </w:tabs>
        <w:spacing w:line="240" w:lineRule="auto" w:before="0" w:after="0"/>
        <w:ind w:left="1270" w:right="0" w:hanging="566"/>
        <w:jc w:val="left"/>
        <w:rPr>
          <w:b/>
          <w:sz w:val="18"/>
        </w:rPr>
      </w:pPr>
      <w:r>
        <w:rPr>
          <w:b/>
          <w:sz w:val="18"/>
        </w:rPr>
        <w:t>Employee benefits</w:t>
      </w:r>
      <w:r>
        <w:rPr>
          <w:b/>
          <w:spacing w:val="-10"/>
          <w:sz w:val="18"/>
        </w:rPr>
        <w:t> </w:t>
      </w:r>
      <w:r>
        <w:rPr>
          <w:b/>
          <w:sz w:val="18"/>
        </w:rPr>
        <w:t>continued</w:t>
      </w:r>
    </w:p>
    <w:p>
      <w:pPr>
        <w:pStyle w:val="BodyText"/>
        <w:rPr>
          <w:b/>
        </w:rPr>
      </w:pPr>
    </w:p>
    <w:p>
      <w:pPr>
        <w:pStyle w:val="BodyText"/>
        <w:rPr>
          <w:b/>
        </w:rPr>
      </w:pPr>
    </w:p>
    <w:p>
      <w:pPr>
        <w:pStyle w:val="BodyText"/>
        <w:rPr>
          <w:b/>
        </w:rPr>
      </w:pPr>
    </w:p>
    <w:p>
      <w:pPr>
        <w:pStyle w:val="BodyText"/>
        <w:spacing w:before="4"/>
        <w:rPr>
          <w:b/>
          <w:sz w:val="14"/>
        </w:rPr>
      </w:pPr>
    </w:p>
    <w:p>
      <w:pPr>
        <w:spacing w:before="1"/>
        <w:ind w:left="1270" w:right="25" w:firstLine="0"/>
        <w:jc w:val="left"/>
        <w:rPr>
          <w:i/>
          <w:sz w:val="18"/>
        </w:rPr>
      </w:pPr>
      <w:r>
        <w:rPr>
          <w:i/>
          <w:sz w:val="18"/>
        </w:rPr>
        <w:t>(iv)   Termination benefits</w:t>
      </w:r>
    </w:p>
    <w:p>
      <w:pPr>
        <w:pStyle w:val="BodyText"/>
        <w:spacing w:before="4"/>
        <w:rPr>
          <w:i/>
          <w:sz w:val="25"/>
        </w:rPr>
      </w:pPr>
    </w:p>
    <w:p>
      <w:pPr>
        <w:pStyle w:val="BodyText"/>
        <w:ind w:left="1270" w:right="95"/>
      </w:pPr>
      <w:r>
        <w:rPr/>
        <w:t>Termination benefits are payable when employment is terminated before the normal retirement date, or when an employee accepts voluntary redundancy in exchange for these benefits. The Company recognises termination benefits when it is demonstrably committed to either terminating the employment of current employees according to a detailed formal plan without possibility of withdrawal or providing termination benefits as a result of an offer made to encourage voluntary redundancy. Benefits falling due more than 12 months after balance date are discounted to present value.</w:t>
      </w:r>
    </w:p>
    <w:p>
      <w:pPr>
        <w:pStyle w:val="BodyText"/>
        <w:rPr>
          <w:sz w:val="25"/>
        </w:rPr>
      </w:pPr>
    </w:p>
    <w:p>
      <w:pPr>
        <w:pStyle w:val="BodyText"/>
        <w:ind w:left="1270" w:right="270"/>
      </w:pPr>
      <w:r>
        <w:rPr/>
        <w:t>Contributions are made by the company to any employee's superannuation fund and are charged as expenses when incurred.</w:t>
      </w:r>
    </w:p>
    <w:p>
      <w:pPr>
        <w:pStyle w:val="BodyText"/>
        <w:spacing w:before="6"/>
        <w:rPr>
          <w:sz w:val="24"/>
        </w:rPr>
      </w:pPr>
    </w:p>
    <w:p>
      <w:pPr>
        <w:pStyle w:val="Heading9"/>
        <w:numPr>
          <w:ilvl w:val="0"/>
          <w:numId w:val="115"/>
        </w:numPr>
        <w:tabs>
          <w:tab w:pos="1271" w:val="left" w:leader="none"/>
        </w:tabs>
        <w:spacing w:line="240" w:lineRule="auto" w:before="0" w:after="0"/>
        <w:ind w:left="1270" w:right="0" w:hanging="566"/>
        <w:jc w:val="left"/>
      </w:pPr>
      <w:r>
        <w:rPr/>
        <w:t>Goods and Services Tax</w:t>
      </w:r>
      <w:r>
        <w:rPr>
          <w:spacing w:val="-10"/>
        </w:rPr>
        <w:t> </w:t>
      </w:r>
      <w:r>
        <w:rPr/>
        <w:t>(GST)</w:t>
      </w:r>
    </w:p>
    <w:p>
      <w:pPr>
        <w:pStyle w:val="BodyText"/>
        <w:spacing w:before="150"/>
        <w:ind w:left="1270" w:right="25"/>
      </w:pPr>
      <w:r>
        <w:rPr/>
        <w:t>Revenues, expenses and assets are recognised net of the amount of associated GST, unless the GST incurred is not recoverable from the taxation authority. In this case, it is recognised as part of the cost of acquisition of the asset or as part of the expense.</w:t>
      </w:r>
    </w:p>
    <w:p>
      <w:pPr>
        <w:pStyle w:val="BodyText"/>
        <w:rPr>
          <w:sz w:val="25"/>
        </w:rPr>
      </w:pPr>
    </w:p>
    <w:p>
      <w:pPr>
        <w:pStyle w:val="BodyText"/>
        <w:ind w:left="1270" w:right="225"/>
      </w:pPr>
      <w:r>
        <w:rPr/>
        <w:t>Receivables and payables are stated inclusive of the amount of GST receivable or payable. The net amount of GST recoverable from, or payable to, the taxation authority is included with other receivables or payables in the statement of financial position.</w:t>
      </w:r>
    </w:p>
    <w:p>
      <w:pPr>
        <w:pStyle w:val="BodyText"/>
        <w:spacing w:before="146"/>
        <w:ind w:left="1270" w:right="25"/>
      </w:pPr>
      <w:r>
        <w:rPr/>
        <w:t>Cash</w:t>
      </w:r>
      <w:r>
        <w:rPr>
          <w:spacing w:val="-9"/>
        </w:rPr>
        <w:t> </w:t>
      </w:r>
      <w:r>
        <w:rPr/>
        <w:t>flows</w:t>
      </w:r>
      <w:r>
        <w:rPr>
          <w:spacing w:val="-8"/>
        </w:rPr>
        <w:t> </w:t>
      </w:r>
      <w:r>
        <w:rPr/>
        <w:t>are</w:t>
      </w:r>
      <w:r>
        <w:rPr>
          <w:spacing w:val="-9"/>
        </w:rPr>
        <w:t> </w:t>
      </w:r>
      <w:r>
        <w:rPr/>
        <w:t>presented</w:t>
      </w:r>
      <w:r>
        <w:rPr>
          <w:spacing w:val="-9"/>
        </w:rPr>
        <w:t> </w:t>
      </w:r>
      <w:r>
        <w:rPr/>
        <w:t>on</w:t>
      </w:r>
      <w:r>
        <w:rPr>
          <w:spacing w:val="-9"/>
        </w:rPr>
        <w:t> </w:t>
      </w:r>
      <w:r>
        <w:rPr/>
        <w:t>a</w:t>
      </w:r>
      <w:r>
        <w:rPr>
          <w:spacing w:val="-11"/>
        </w:rPr>
        <w:t> </w:t>
      </w:r>
      <w:r>
        <w:rPr/>
        <w:t>gross</w:t>
      </w:r>
      <w:r>
        <w:rPr>
          <w:spacing w:val="-8"/>
        </w:rPr>
        <w:t> </w:t>
      </w:r>
      <w:r>
        <w:rPr/>
        <w:t>basis.</w:t>
      </w:r>
      <w:r>
        <w:rPr>
          <w:spacing w:val="-9"/>
        </w:rPr>
        <w:t> </w:t>
      </w:r>
      <w:r>
        <w:rPr/>
        <w:t>The</w:t>
      </w:r>
      <w:r>
        <w:rPr>
          <w:spacing w:val="-9"/>
        </w:rPr>
        <w:t> </w:t>
      </w:r>
      <w:r>
        <w:rPr/>
        <w:t>GST</w:t>
      </w:r>
      <w:r>
        <w:rPr>
          <w:spacing w:val="-11"/>
        </w:rPr>
        <w:t> </w:t>
      </w:r>
      <w:r>
        <w:rPr/>
        <w:t>components</w:t>
      </w:r>
      <w:r>
        <w:rPr>
          <w:spacing w:val="-8"/>
        </w:rPr>
        <w:t> </w:t>
      </w:r>
      <w:r>
        <w:rPr/>
        <w:t>of</w:t>
      </w:r>
      <w:r>
        <w:rPr>
          <w:spacing w:val="-11"/>
        </w:rPr>
        <w:t> </w:t>
      </w:r>
      <w:r>
        <w:rPr/>
        <w:t>cash</w:t>
      </w:r>
      <w:r>
        <w:rPr>
          <w:spacing w:val="-9"/>
        </w:rPr>
        <w:t> </w:t>
      </w:r>
      <w:r>
        <w:rPr/>
        <w:t>flows</w:t>
      </w:r>
      <w:r>
        <w:rPr>
          <w:spacing w:val="-8"/>
        </w:rPr>
        <w:t> </w:t>
      </w:r>
      <w:r>
        <w:rPr/>
        <w:t>arising</w:t>
      </w:r>
      <w:r>
        <w:rPr>
          <w:spacing w:val="-10"/>
        </w:rPr>
        <w:t> </w:t>
      </w:r>
      <w:r>
        <w:rPr/>
        <w:t>from</w:t>
      </w:r>
      <w:r>
        <w:rPr>
          <w:spacing w:val="-10"/>
        </w:rPr>
        <w:t> </w:t>
      </w:r>
      <w:r>
        <w:rPr/>
        <w:t>investing</w:t>
      </w:r>
      <w:r>
        <w:rPr>
          <w:spacing w:val="-9"/>
        </w:rPr>
        <w:t> </w:t>
      </w:r>
      <w:r>
        <w:rPr/>
        <w:t>or</w:t>
      </w:r>
      <w:r>
        <w:rPr>
          <w:spacing w:val="-9"/>
        </w:rPr>
        <w:t> </w:t>
      </w:r>
      <w:r>
        <w:rPr/>
        <w:t>financing activities</w:t>
      </w:r>
      <w:r>
        <w:rPr>
          <w:spacing w:val="-7"/>
        </w:rPr>
        <w:t> </w:t>
      </w:r>
      <w:r>
        <w:rPr/>
        <w:t>which</w:t>
      </w:r>
      <w:r>
        <w:rPr>
          <w:spacing w:val="-7"/>
        </w:rPr>
        <w:t> </w:t>
      </w:r>
      <w:r>
        <w:rPr/>
        <w:t>are</w:t>
      </w:r>
      <w:r>
        <w:rPr>
          <w:spacing w:val="-5"/>
        </w:rPr>
        <w:t> </w:t>
      </w:r>
      <w:r>
        <w:rPr/>
        <w:t>recoverable</w:t>
      </w:r>
      <w:r>
        <w:rPr>
          <w:spacing w:val="-5"/>
        </w:rPr>
        <w:t> </w:t>
      </w:r>
      <w:r>
        <w:rPr/>
        <w:t>from,</w:t>
      </w:r>
      <w:r>
        <w:rPr>
          <w:spacing w:val="-5"/>
        </w:rPr>
        <w:t> </w:t>
      </w:r>
      <w:r>
        <w:rPr/>
        <w:t>or</w:t>
      </w:r>
      <w:r>
        <w:rPr>
          <w:spacing w:val="-8"/>
        </w:rPr>
        <w:t> </w:t>
      </w:r>
      <w:r>
        <w:rPr/>
        <w:t>payable</w:t>
      </w:r>
      <w:r>
        <w:rPr>
          <w:spacing w:val="-5"/>
        </w:rPr>
        <w:t> </w:t>
      </w:r>
      <w:r>
        <w:rPr/>
        <w:t>to,</w:t>
      </w:r>
      <w:r>
        <w:rPr>
          <w:spacing w:val="-5"/>
        </w:rPr>
        <w:t> </w:t>
      </w:r>
      <w:r>
        <w:rPr/>
        <w:t>the</w:t>
      </w:r>
      <w:r>
        <w:rPr>
          <w:spacing w:val="-5"/>
        </w:rPr>
        <w:t> </w:t>
      </w:r>
      <w:r>
        <w:rPr/>
        <w:t>taxation</w:t>
      </w:r>
      <w:r>
        <w:rPr>
          <w:spacing w:val="-5"/>
        </w:rPr>
        <w:t> </w:t>
      </w:r>
      <w:r>
        <w:rPr/>
        <w:t>authority,</w:t>
      </w:r>
      <w:r>
        <w:rPr>
          <w:spacing w:val="-5"/>
        </w:rPr>
        <w:t> </w:t>
      </w:r>
      <w:r>
        <w:rPr/>
        <w:t>are</w:t>
      </w:r>
      <w:r>
        <w:rPr>
          <w:spacing w:val="-5"/>
        </w:rPr>
        <w:t> </w:t>
      </w:r>
      <w:r>
        <w:rPr/>
        <w:t>presented</w:t>
      </w:r>
      <w:r>
        <w:rPr>
          <w:spacing w:val="-7"/>
        </w:rPr>
        <w:t> </w:t>
      </w:r>
      <w:r>
        <w:rPr/>
        <w:t>as</w:t>
      </w:r>
      <w:r>
        <w:rPr>
          <w:spacing w:val="-7"/>
        </w:rPr>
        <w:t> </w:t>
      </w:r>
      <w:r>
        <w:rPr/>
        <w:t>operating</w:t>
      </w:r>
      <w:r>
        <w:rPr>
          <w:spacing w:val="-5"/>
        </w:rPr>
        <w:t> </w:t>
      </w:r>
      <w:r>
        <w:rPr/>
        <w:t>cash</w:t>
      </w:r>
      <w:r>
        <w:rPr>
          <w:spacing w:val="-7"/>
        </w:rPr>
        <w:t> </w:t>
      </w:r>
      <w:r>
        <w:rPr/>
        <w:t>flows.</w:t>
      </w:r>
    </w:p>
    <w:p>
      <w:pPr>
        <w:pStyle w:val="BodyText"/>
        <w:spacing w:before="6"/>
        <w:rPr>
          <w:sz w:val="24"/>
        </w:rPr>
      </w:pPr>
    </w:p>
    <w:p>
      <w:pPr>
        <w:pStyle w:val="Heading9"/>
        <w:numPr>
          <w:ilvl w:val="0"/>
          <w:numId w:val="115"/>
        </w:numPr>
        <w:tabs>
          <w:tab w:pos="1271" w:val="left" w:leader="none"/>
        </w:tabs>
        <w:spacing w:line="240" w:lineRule="auto" w:before="0" w:after="0"/>
        <w:ind w:left="1270" w:right="0" w:hanging="566"/>
        <w:jc w:val="left"/>
      </w:pPr>
      <w:r>
        <w:rPr/>
        <w:t>New and Revised Accounting</w:t>
      </w:r>
      <w:r>
        <w:rPr>
          <w:spacing w:val="-14"/>
        </w:rPr>
        <w:t> </w:t>
      </w:r>
      <w:r>
        <w:rPr/>
        <w:t>Standards</w:t>
      </w:r>
    </w:p>
    <w:p>
      <w:pPr>
        <w:pStyle w:val="BodyText"/>
        <w:spacing w:line="207" w:lineRule="exact" w:before="153"/>
        <w:ind w:left="1270" w:right="25"/>
      </w:pPr>
      <w:r>
        <w:rPr/>
        <w:t>Certain new accounting standards and Interpretations have been published that are not mandatory for</w:t>
      </w:r>
    </w:p>
    <w:p>
      <w:pPr>
        <w:pStyle w:val="BodyText"/>
        <w:ind w:left="1270" w:right="25"/>
      </w:pPr>
      <w:r>
        <w:rPr/>
        <w:t>31 December 2012 reporting periods and have not yet been applied to the financial statements. The Company's assessment</w:t>
      </w:r>
      <w:r>
        <w:rPr>
          <w:spacing w:val="-14"/>
        </w:rPr>
        <w:t> </w:t>
      </w:r>
      <w:r>
        <w:rPr/>
        <w:t>of</w:t>
      </w:r>
      <w:r>
        <w:rPr>
          <w:spacing w:val="-11"/>
        </w:rPr>
        <w:t> </w:t>
      </w:r>
      <w:r>
        <w:rPr/>
        <w:t>the</w:t>
      </w:r>
      <w:r>
        <w:rPr>
          <w:spacing w:val="-13"/>
        </w:rPr>
        <w:t> </w:t>
      </w:r>
      <w:r>
        <w:rPr/>
        <w:t>impact</w:t>
      </w:r>
      <w:r>
        <w:rPr>
          <w:spacing w:val="-14"/>
        </w:rPr>
        <w:t> </w:t>
      </w:r>
      <w:r>
        <w:rPr/>
        <w:t>of</w:t>
      </w:r>
      <w:r>
        <w:rPr>
          <w:spacing w:val="-14"/>
        </w:rPr>
        <w:t> </w:t>
      </w:r>
      <w:r>
        <w:rPr/>
        <w:t>these</w:t>
      </w:r>
      <w:r>
        <w:rPr>
          <w:spacing w:val="-13"/>
        </w:rPr>
        <w:t> </w:t>
      </w:r>
      <w:r>
        <w:rPr/>
        <w:t>new</w:t>
      </w:r>
      <w:r>
        <w:rPr>
          <w:spacing w:val="-14"/>
        </w:rPr>
        <w:t> </w:t>
      </w:r>
      <w:r>
        <w:rPr/>
        <w:t>standards</w:t>
      </w:r>
      <w:r>
        <w:rPr>
          <w:spacing w:val="-13"/>
        </w:rPr>
        <w:t> </w:t>
      </w:r>
      <w:r>
        <w:rPr/>
        <w:t>and</w:t>
      </w:r>
      <w:r>
        <w:rPr>
          <w:spacing w:val="-13"/>
        </w:rPr>
        <w:t> </w:t>
      </w:r>
      <w:r>
        <w:rPr/>
        <w:t>interpretations</w:t>
      </w:r>
      <w:r>
        <w:rPr>
          <w:spacing w:val="-13"/>
        </w:rPr>
        <w:t> </w:t>
      </w:r>
      <w:r>
        <w:rPr/>
        <w:t>is</w:t>
      </w:r>
      <w:r>
        <w:rPr>
          <w:spacing w:val="-10"/>
        </w:rPr>
        <w:t> </w:t>
      </w:r>
      <w:r>
        <w:rPr/>
        <w:t>that</w:t>
      </w:r>
      <w:r>
        <w:rPr>
          <w:spacing w:val="-11"/>
        </w:rPr>
        <w:t> </w:t>
      </w:r>
      <w:r>
        <w:rPr/>
        <w:t>they</w:t>
      </w:r>
      <w:r>
        <w:rPr>
          <w:spacing w:val="-13"/>
        </w:rPr>
        <w:t> </w:t>
      </w:r>
      <w:r>
        <w:rPr/>
        <w:t>will</w:t>
      </w:r>
      <w:r>
        <w:rPr>
          <w:spacing w:val="-11"/>
        </w:rPr>
        <w:t> </w:t>
      </w:r>
      <w:r>
        <w:rPr/>
        <w:t>not</w:t>
      </w:r>
      <w:r>
        <w:rPr>
          <w:spacing w:val="-14"/>
        </w:rPr>
        <w:t> </w:t>
      </w:r>
      <w:r>
        <w:rPr/>
        <w:t>materially</w:t>
      </w:r>
      <w:r>
        <w:rPr>
          <w:spacing w:val="-13"/>
        </w:rPr>
        <w:t> </w:t>
      </w:r>
      <w:r>
        <w:rPr/>
        <w:t>affect</w:t>
      </w:r>
      <w:r>
        <w:rPr>
          <w:spacing w:val="-14"/>
        </w:rPr>
        <w:t> </w:t>
      </w:r>
      <w:r>
        <w:rPr/>
        <w:t>any</w:t>
      </w:r>
      <w:r>
        <w:rPr>
          <w:spacing w:val="-13"/>
        </w:rPr>
        <w:t> </w:t>
      </w:r>
      <w:r>
        <w:rPr/>
        <w:t>of</w:t>
      </w:r>
      <w:r>
        <w:rPr>
          <w:spacing w:val="-14"/>
        </w:rPr>
        <w:t> </w:t>
      </w:r>
      <w:r>
        <w:rPr>
          <w:spacing w:val="-2"/>
        </w:rPr>
        <w:t>the </w:t>
      </w:r>
      <w:r>
        <w:rPr/>
        <w:t>amounts</w:t>
      </w:r>
      <w:r>
        <w:rPr>
          <w:spacing w:val="-5"/>
        </w:rPr>
        <w:t> </w:t>
      </w:r>
      <w:r>
        <w:rPr/>
        <w:t>recognised</w:t>
      </w:r>
      <w:r>
        <w:rPr>
          <w:spacing w:val="-3"/>
        </w:rPr>
        <w:t> </w:t>
      </w:r>
      <w:r>
        <w:rPr/>
        <w:t>in</w:t>
      </w:r>
      <w:r>
        <w:rPr>
          <w:spacing w:val="-3"/>
        </w:rPr>
        <w:t> </w:t>
      </w:r>
      <w:r>
        <w:rPr/>
        <w:t>the</w:t>
      </w:r>
      <w:r>
        <w:rPr>
          <w:spacing w:val="-3"/>
        </w:rPr>
        <w:t> </w:t>
      </w:r>
      <w:r>
        <w:rPr/>
        <w:t>financial</w:t>
      </w:r>
      <w:r>
        <w:rPr>
          <w:spacing w:val="-3"/>
        </w:rPr>
        <w:t> </w:t>
      </w:r>
      <w:r>
        <w:rPr/>
        <w:t>statements</w:t>
      </w:r>
      <w:r>
        <w:rPr>
          <w:spacing w:val="-5"/>
        </w:rPr>
        <w:t> </w:t>
      </w:r>
      <w:r>
        <w:rPr/>
        <w:t>or</w:t>
      </w:r>
      <w:r>
        <w:rPr>
          <w:spacing w:val="-4"/>
        </w:rPr>
        <w:t> </w:t>
      </w:r>
      <w:r>
        <w:rPr/>
        <w:t>significantly</w:t>
      </w:r>
      <w:r>
        <w:rPr>
          <w:spacing w:val="-5"/>
        </w:rPr>
        <w:t> </w:t>
      </w:r>
      <w:r>
        <w:rPr/>
        <w:t>impact</w:t>
      </w:r>
      <w:r>
        <w:rPr>
          <w:spacing w:val="-4"/>
        </w:rPr>
        <w:t> </w:t>
      </w:r>
      <w:r>
        <w:rPr/>
        <w:t>the</w:t>
      </w:r>
      <w:r>
        <w:rPr>
          <w:spacing w:val="-3"/>
        </w:rPr>
        <w:t> </w:t>
      </w:r>
      <w:r>
        <w:rPr/>
        <w:t>disclosures</w:t>
      </w:r>
      <w:r>
        <w:rPr>
          <w:spacing w:val="-5"/>
        </w:rPr>
        <w:t> </w:t>
      </w:r>
      <w:r>
        <w:rPr/>
        <w:t>in</w:t>
      </w:r>
      <w:r>
        <w:rPr>
          <w:spacing w:val="-3"/>
        </w:rPr>
        <w:t> </w:t>
      </w:r>
      <w:r>
        <w:rPr/>
        <w:t>relation</w:t>
      </w:r>
      <w:r>
        <w:rPr>
          <w:spacing w:val="-6"/>
        </w:rPr>
        <w:t> </w:t>
      </w:r>
      <w:r>
        <w:rPr/>
        <w:t>to</w:t>
      </w:r>
      <w:r>
        <w:rPr>
          <w:spacing w:val="-3"/>
        </w:rPr>
        <w:t> </w:t>
      </w:r>
      <w:r>
        <w:rPr/>
        <w:t>the</w:t>
      </w:r>
      <w:r>
        <w:rPr>
          <w:spacing w:val="-3"/>
        </w:rPr>
        <w:t> </w:t>
      </w:r>
      <w:r>
        <w:rPr/>
        <w:t>Company.</w:t>
      </w:r>
    </w:p>
    <w:p>
      <w:pPr>
        <w:pStyle w:val="BodyText"/>
        <w:spacing w:before="6"/>
        <w:rPr>
          <w:sz w:val="26"/>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823"/>
        <w:gridCol w:w="1298"/>
      </w:tblGrid>
      <w:tr>
        <w:trPr>
          <w:trHeight w:val="338" w:hRule="exact"/>
        </w:trPr>
        <w:tc>
          <w:tcPr>
            <w:tcW w:w="8823" w:type="dxa"/>
          </w:tcPr>
          <w:p>
            <w:pPr>
              <w:pStyle w:val="TableParagraph"/>
              <w:tabs>
                <w:tab w:pos="595" w:val="left" w:leader="none"/>
              </w:tabs>
              <w:spacing w:line="184" w:lineRule="exact"/>
              <w:ind w:left="200"/>
              <w:rPr>
                <w:b/>
                <w:sz w:val="18"/>
              </w:rPr>
            </w:pPr>
            <w:r>
              <w:rPr>
                <w:b/>
                <w:sz w:val="18"/>
              </w:rPr>
              <w:t>2</w:t>
              <w:tab/>
              <w:t>Revenue</w:t>
            </w:r>
          </w:p>
        </w:tc>
        <w:tc>
          <w:tcPr>
            <w:tcW w:w="1298" w:type="dxa"/>
          </w:tcPr>
          <w:p>
            <w:pPr/>
          </w:p>
        </w:tc>
      </w:tr>
      <w:tr>
        <w:trPr>
          <w:trHeight w:val="368" w:hRule="exact"/>
        </w:trPr>
        <w:tc>
          <w:tcPr>
            <w:tcW w:w="8823" w:type="dxa"/>
          </w:tcPr>
          <w:p>
            <w:pPr>
              <w:pStyle w:val="TableParagraph"/>
              <w:spacing w:before="135"/>
              <w:ind w:left="596"/>
              <w:rPr>
                <w:b/>
                <w:sz w:val="18"/>
              </w:rPr>
            </w:pPr>
            <w:r>
              <w:rPr>
                <w:b/>
                <w:sz w:val="18"/>
              </w:rPr>
              <w:t>Child care services</w:t>
            </w:r>
          </w:p>
        </w:tc>
        <w:tc>
          <w:tcPr>
            <w:tcW w:w="1298" w:type="dxa"/>
          </w:tcPr>
          <w:p>
            <w:pPr/>
          </w:p>
        </w:tc>
      </w:tr>
      <w:tr>
        <w:trPr>
          <w:trHeight w:val="496" w:hRule="exact"/>
        </w:trPr>
        <w:tc>
          <w:tcPr>
            <w:tcW w:w="8823" w:type="dxa"/>
          </w:tcPr>
          <w:p>
            <w:pPr/>
          </w:p>
        </w:tc>
        <w:tc>
          <w:tcPr>
            <w:tcW w:w="1298" w:type="dxa"/>
          </w:tcPr>
          <w:p>
            <w:pPr>
              <w:pStyle w:val="TableParagraph"/>
              <w:spacing w:before="7"/>
              <w:ind w:left="417" w:right="367"/>
              <w:jc w:val="center"/>
              <w:rPr>
                <w:b/>
                <w:sz w:val="18"/>
              </w:rPr>
            </w:pPr>
            <w:r>
              <w:rPr>
                <w:b/>
                <w:sz w:val="18"/>
              </w:rPr>
              <w:t>2012</w:t>
            </w:r>
          </w:p>
          <w:p>
            <w:pPr>
              <w:pStyle w:val="TableParagraph"/>
              <w:spacing w:before="35"/>
              <w:ind w:left="45"/>
              <w:jc w:val="center"/>
              <w:rPr>
                <w:b/>
                <w:sz w:val="18"/>
              </w:rPr>
            </w:pPr>
            <w:r>
              <w:rPr>
                <w:b/>
                <w:w w:val="99"/>
                <w:sz w:val="18"/>
              </w:rPr>
              <w:t>$</w:t>
            </w:r>
          </w:p>
        </w:tc>
      </w:tr>
      <w:tr>
        <w:trPr>
          <w:trHeight w:val="268" w:hRule="exact"/>
        </w:trPr>
        <w:tc>
          <w:tcPr>
            <w:tcW w:w="8823" w:type="dxa"/>
          </w:tcPr>
          <w:p>
            <w:pPr>
              <w:pStyle w:val="TableParagraph"/>
              <w:spacing w:before="25"/>
              <w:ind w:left="644"/>
              <w:rPr>
                <w:sz w:val="18"/>
              </w:rPr>
            </w:pPr>
            <w:r>
              <w:rPr>
                <w:sz w:val="18"/>
              </w:rPr>
              <w:t>Family fee income</w:t>
            </w:r>
          </w:p>
        </w:tc>
        <w:tc>
          <w:tcPr>
            <w:tcW w:w="1298" w:type="dxa"/>
          </w:tcPr>
          <w:p>
            <w:pPr>
              <w:pStyle w:val="TableParagraph"/>
              <w:spacing w:before="20"/>
              <w:ind w:right="48"/>
              <w:jc w:val="right"/>
              <w:rPr>
                <w:b/>
                <w:sz w:val="18"/>
              </w:rPr>
            </w:pPr>
            <w:r>
              <w:rPr>
                <w:b/>
                <w:sz w:val="18"/>
              </w:rPr>
              <w:t>1,228,106</w:t>
            </w:r>
          </w:p>
        </w:tc>
      </w:tr>
      <w:tr>
        <w:trPr>
          <w:trHeight w:val="263" w:hRule="exact"/>
        </w:trPr>
        <w:tc>
          <w:tcPr>
            <w:tcW w:w="8823" w:type="dxa"/>
          </w:tcPr>
          <w:p>
            <w:pPr>
              <w:pStyle w:val="TableParagraph"/>
              <w:spacing w:before="21"/>
              <w:ind w:left="643"/>
              <w:rPr>
                <w:sz w:val="18"/>
              </w:rPr>
            </w:pPr>
            <w:r>
              <w:rPr>
                <w:sz w:val="18"/>
              </w:rPr>
              <w:t>Australian Government Child Care Benefits</w:t>
            </w:r>
          </w:p>
        </w:tc>
        <w:tc>
          <w:tcPr>
            <w:tcW w:w="1298" w:type="dxa"/>
          </w:tcPr>
          <w:p>
            <w:pPr>
              <w:pStyle w:val="TableParagraph"/>
              <w:spacing w:before="16"/>
              <w:ind w:right="48"/>
              <w:jc w:val="right"/>
              <w:rPr>
                <w:b/>
                <w:sz w:val="18"/>
              </w:rPr>
            </w:pPr>
            <w:r>
              <w:rPr>
                <w:b/>
                <w:sz w:val="18"/>
              </w:rPr>
              <w:t>990,526</w:t>
            </w:r>
          </w:p>
        </w:tc>
      </w:tr>
      <w:tr>
        <w:trPr>
          <w:trHeight w:val="263" w:hRule="exact"/>
        </w:trPr>
        <w:tc>
          <w:tcPr>
            <w:tcW w:w="8823" w:type="dxa"/>
          </w:tcPr>
          <w:p>
            <w:pPr>
              <w:pStyle w:val="TableParagraph"/>
              <w:spacing w:before="20"/>
              <w:ind w:left="643"/>
              <w:rPr>
                <w:sz w:val="18"/>
              </w:rPr>
            </w:pPr>
            <w:r>
              <w:rPr>
                <w:sz w:val="18"/>
              </w:rPr>
              <w:t>Subsidies</w:t>
            </w:r>
          </w:p>
        </w:tc>
        <w:tc>
          <w:tcPr>
            <w:tcW w:w="1298" w:type="dxa"/>
          </w:tcPr>
          <w:p>
            <w:pPr>
              <w:pStyle w:val="TableParagraph"/>
              <w:spacing w:before="15"/>
              <w:ind w:right="48"/>
              <w:jc w:val="right"/>
              <w:rPr>
                <w:b/>
                <w:sz w:val="18"/>
              </w:rPr>
            </w:pPr>
            <w:r>
              <w:rPr>
                <w:b/>
                <w:sz w:val="18"/>
              </w:rPr>
              <w:t>139,389</w:t>
            </w:r>
          </w:p>
        </w:tc>
      </w:tr>
      <w:tr>
        <w:trPr>
          <w:trHeight w:val="269" w:hRule="exact"/>
        </w:trPr>
        <w:tc>
          <w:tcPr>
            <w:tcW w:w="8823" w:type="dxa"/>
          </w:tcPr>
          <w:p>
            <w:pPr>
              <w:pStyle w:val="TableParagraph"/>
              <w:spacing w:before="21"/>
              <w:ind w:left="643"/>
              <w:rPr>
                <w:sz w:val="18"/>
              </w:rPr>
            </w:pPr>
            <w:r>
              <w:rPr>
                <w:sz w:val="18"/>
              </w:rPr>
              <w:t>Other income</w:t>
            </w:r>
          </w:p>
        </w:tc>
        <w:tc>
          <w:tcPr>
            <w:tcW w:w="1298" w:type="dxa"/>
            <w:tcBorders>
              <w:bottom w:val="single" w:sz="8" w:space="0" w:color="000000"/>
            </w:tcBorders>
          </w:tcPr>
          <w:p>
            <w:pPr>
              <w:pStyle w:val="TableParagraph"/>
              <w:spacing w:before="16"/>
              <w:ind w:right="49"/>
              <w:jc w:val="right"/>
              <w:rPr>
                <w:b/>
                <w:sz w:val="18"/>
              </w:rPr>
            </w:pPr>
            <w:r>
              <w:rPr>
                <w:b/>
                <w:sz w:val="18"/>
              </w:rPr>
              <w:t>25,185</w:t>
            </w:r>
          </w:p>
        </w:tc>
      </w:tr>
      <w:tr>
        <w:trPr>
          <w:trHeight w:val="353" w:hRule="exact"/>
        </w:trPr>
        <w:tc>
          <w:tcPr>
            <w:tcW w:w="8823" w:type="dxa"/>
          </w:tcPr>
          <w:p>
            <w:pPr>
              <w:pStyle w:val="TableParagraph"/>
              <w:spacing w:before="116"/>
              <w:ind w:left="643"/>
              <w:rPr>
                <w:b/>
                <w:sz w:val="18"/>
              </w:rPr>
            </w:pPr>
            <w:r>
              <w:rPr>
                <w:b/>
                <w:sz w:val="18"/>
              </w:rPr>
              <w:t>Total child care services</w:t>
            </w:r>
          </w:p>
        </w:tc>
        <w:tc>
          <w:tcPr>
            <w:tcW w:w="1298" w:type="dxa"/>
            <w:tcBorders>
              <w:top w:val="single" w:sz="8" w:space="0" w:color="000000"/>
              <w:bottom w:val="single" w:sz="17" w:space="0" w:color="000000"/>
            </w:tcBorders>
          </w:tcPr>
          <w:p>
            <w:pPr>
              <w:pStyle w:val="TableParagraph"/>
              <w:spacing w:before="107"/>
              <w:ind w:right="48"/>
              <w:jc w:val="right"/>
              <w:rPr>
                <w:b/>
                <w:sz w:val="18"/>
              </w:rPr>
            </w:pPr>
            <w:r>
              <w:rPr>
                <w:b/>
                <w:sz w:val="18"/>
              </w:rPr>
              <w:t>2,383,206</w:t>
            </w:r>
          </w:p>
        </w:tc>
      </w:tr>
    </w:tbl>
    <w:p>
      <w:pPr>
        <w:spacing w:after="0"/>
        <w:jc w:val="right"/>
        <w:rPr>
          <w:sz w:val="18"/>
        </w:rPr>
        <w:sectPr>
          <w:pgSz w:w="11960" w:h="16850"/>
          <w:pgMar w:header="743" w:footer="507" w:top="1180" w:bottom="700" w:left="700" w:right="900"/>
        </w:sectPr>
      </w:pPr>
    </w:p>
    <w:p>
      <w:pPr>
        <w:pStyle w:val="BodyText"/>
        <w:spacing w:before="8"/>
        <w:rPr>
          <w:sz w:val="23"/>
        </w:rPr>
      </w:pPr>
    </w:p>
    <w:p>
      <w:pPr>
        <w:pStyle w:val="Heading6"/>
        <w:spacing w:before="73"/>
        <w:ind w:left="307" w:right="3233"/>
      </w:pPr>
      <w:r>
        <w:rPr/>
        <w:t>Notes to the Financial Statements</w:t>
      </w:r>
    </w:p>
    <w:p>
      <w:pPr>
        <w:spacing w:before="54"/>
        <w:ind w:left="308" w:right="3233" w:firstLine="0"/>
        <w:jc w:val="left"/>
        <w:rPr>
          <w:b/>
          <w:sz w:val="22"/>
        </w:rPr>
      </w:pPr>
      <w:r>
        <w:rPr>
          <w:b/>
          <w:sz w:val="22"/>
        </w:rPr>
        <w:t>For the period from 2 March 2012 to 31 December 2012</w:t>
      </w:r>
    </w:p>
    <w:p>
      <w:pPr>
        <w:pStyle w:val="BodyText"/>
        <w:rPr>
          <w:b/>
          <w:sz w:val="20"/>
        </w:rPr>
      </w:pPr>
    </w:p>
    <w:p>
      <w:pPr>
        <w:pStyle w:val="BodyText"/>
        <w:rPr>
          <w:b/>
          <w:sz w:val="20"/>
        </w:rPr>
      </w:pPr>
    </w:p>
    <w:p>
      <w:pPr>
        <w:pStyle w:val="BodyText"/>
        <w:spacing w:before="9"/>
        <w:rPr>
          <w:b/>
          <w:sz w:val="13"/>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823"/>
        <w:gridCol w:w="1298"/>
      </w:tblGrid>
      <w:tr>
        <w:trPr>
          <w:trHeight w:val="338" w:hRule="exact"/>
        </w:trPr>
        <w:tc>
          <w:tcPr>
            <w:tcW w:w="8823" w:type="dxa"/>
          </w:tcPr>
          <w:p>
            <w:pPr>
              <w:pStyle w:val="TableParagraph"/>
              <w:tabs>
                <w:tab w:pos="595" w:val="left" w:leader="none"/>
              </w:tabs>
              <w:spacing w:line="184" w:lineRule="exact"/>
              <w:ind w:left="200"/>
              <w:rPr>
                <w:b/>
                <w:sz w:val="18"/>
              </w:rPr>
            </w:pPr>
            <w:r>
              <w:rPr>
                <w:b/>
                <w:sz w:val="18"/>
              </w:rPr>
              <w:t>3</w:t>
              <w:tab/>
              <w:t>Expenses</w:t>
            </w:r>
          </w:p>
        </w:tc>
        <w:tc>
          <w:tcPr>
            <w:tcW w:w="1298" w:type="dxa"/>
          </w:tcPr>
          <w:p>
            <w:pPr/>
          </w:p>
        </w:tc>
      </w:tr>
      <w:tr>
        <w:trPr>
          <w:trHeight w:val="370" w:hRule="exact"/>
        </w:trPr>
        <w:tc>
          <w:tcPr>
            <w:tcW w:w="8823" w:type="dxa"/>
          </w:tcPr>
          <w:p>
            <w:pPr>
              <w:pStyle w:val="TableParagraph"/>
              <w:spacing w:before="135"/>
              <w:ind w:left="596"/>
              <w:rPr>
                <w:b/>
                <w:sz w:val="18"/>
              </w:rPr>
            </w:pPr>
            <w:r>
              <w:rPr>
                <w:b/>
                <w:sz w:val="18"/>
              </w:rPr>
              <w:t>The result for the period includes the following specific expenses</w:t>
            </w:r>
          </w:p>
        </w:tc>
        <w:tc>
          <w:tcPr>
            <w:tcW w:w="1298" w:type="dxa"/>
          </w:tcPr>
          <w:p>
            <w:pPr/>
          </w:p>
        </w:tc>
      </w:tr>
      <w:tr>
        <w:trPr>
          <w:trHeight w:val="484" w:hRule="exact"/>
        </w:trPr>
        <w:tc>
          <w:tcPr>
            <w:tcW w:w="8823" w:type="dxa"/>
          </w:tcPr>
          <w:p>
            <w:pPr/>
          </w:p>
        </w:tc>
        <w:tc>
          <w:tcPr>
            <w:tcW w:w="1298" w:type="dxa"/>
          </w:tcPr>
          <w:p>
            <w:pPr>
              <w:pStyle w:val="TableParagraph"/>
              <w:spacing w:before="8"/>
              <w:ind w:left="417" w:right="367"/>
              <w:jc w:val="center"/>
              <w:rPr>
                <w:b/>
                <w:sz w:val="18"/>
              </w:rPr>
            </w:pPr>
            <w:r>
              <w:rPr>
                <w:b/>
                <w:sz w:val="18"/>
              </w:rPr>
              <w:t>2012</w:t>
            </w:r>
          </w:p>
          <w:p>
            <w:pPr>
              <w:pStyle w:val="TableParagraph"/>
              <w:spacing w:before="33"/>
              <w:ind w:left="45"/>
              <w:jc w:val="center"/>
              <w:rPr>
                <w:b/>
                <w:sz w:val="18"/>
              </w:rPr>
            </w:pPr>
            <w:r>
              <w:rPr>
                <w:b/>
                <w:w w:val="99"/>
                <w:sz w:val="18"/>
              </w:rPr>
              <w:t>$</w:t>
            </w:r>
          </w:p>
        </w:tc>
      </w:tr>
      <w:tr>
        <w:trPr>
          <w:trHeight w:val="238" w:hRule="exact"/>
        </w:trPr>
        <w:tc>
          <w:tcPr>
            <w:tcW w:w="8823" w:type="dxa"/>
          </w:tcPr>
          <w:p>
            <w:pPr>
              <w:pStyle w:val="TableParagraph"/>
              <w:spacing w:before="9"/>
              <w:ind w:left="643"/>
              <w:rPr>
                <w:i/>
                <w:sz w:val="18"/>
              </w:rPr>
            </w:pPr>
            <w:r>
              <w:rPr>
                <w:i/>
                <w:sz w:val="18"/>
              </w:rPr>
              <w:t>Employee benefits expense</w:t>
            </w:r>
          </w:p>
        </w:tc>
        <w:tc>
          <w:tcPr>
            <w:tcW w:w="1298" w:type="dxa"/>
          </w:tcPr>
          <w:p>
            <w:pPr/>
          </w:p>
        </w:tc>
      </w:tr>
      <w:tr>
        <w:trPr>
          <w:trHeight w:val="248" w:hRule="exact"/>
        </w:trPr>
        <w:tc>
          <w:tcPr>
            <w:tcW w:w="8823" w:type="dxa"/>
          </w:tcPr>
          <w:p>
            <w:pPr>
              <w:pStyle w:val="TableParagraph"/>
              <w:spacing w:before="7"/>
              <w:ind w:left="860"/>
              <w:rPr>
                <w:sz w:val="18"/>
              </w:rPr>
            </w:pPr>
            <w:r>
              <w:rPr>
                <w:sz w:val="18"/>
              </w:rPr>
              <w:t>Salaries and wages</w:t>
            </w:r>
          </w:p>
        </w:tc>
        <w:tc>
          <w:tcPr>
            <w:tcW w:w="1298" w:type="dxa"/>
          </w:tcPr>
          <w:p>
            <w:pPr>
              <w:pStyle w:val="TableParagraph"/>
              <w:spacing w:before="2"/>
              <w:ind w:right="48"/>
              <w:jc w:val="right"/>
              <w:rPr>
                <w:b/>
                <w:sz w:val="18"/>
              </w:rPr>
            </w:pPr>
            <w:r>
              <w:rPr>
                <w:b/>
                <w:sz w:val="18"/>
              </w:rPr>
              <w:t>1,651,859</w:t>
            </w:r>
          </w:p>
        </w:tc>
      </w:tr>
      <w:tr>
        <w:trPr>
          <w:trHeight w:val="263" w:hRule="exact"/>
        </w:trPr>
        <w:tc>
          <w:tcPr>
            <w:tcW w:w="8823" w:type="dxa"/>
          </w:tcPr>
          <w:p>
            <w:pPr>
              <w:pStyle w:val="TableParagraph"/>
              <w:spacing w:before="20"/>
              <w:ind w:left="860"/>
              <w:rPr>
                <w:sz w:val="18"/>
              </w:rPr>
            </w:pPr>
            <w:r>
              <w:rPr>
                <w:sz w:val="18"/>
              </w:rPr>
              <w:t>Superannuation expense</w:t>
            </w:r>
          </w:p>
        </w:tc>
        <w:tc>
          <w:tcPr>
            <w:tcW w:w="1298" w:type="dxa"/>
          </w:tcPr>
          <w:p>
            <w:pPr>
              <w:pStyle w:val="TableParagraph"/>
              <w:spacing w:before="15"/>
              <w:ind w:right="48"/>
              <w:jc w:val="right"/>
              <w:rPr>
                <w:b/>
                <w:sz w:val="18"/>
              </w:rPr>
            </w:pPr>
            <w:r>
              <w:rPr>
                <w:b/>
                <w:sz w:val="18"/>
              </w:rPr>
              <w:t>144,559</w:t>
            </w:r>
          </w:p>
        </w:tc>
      </w:tr>
      <w:tr>
        <w:trPr>
          <w:trHeight w:val="264" w:hRule="exact"/>
        </w:trPr>
        <w:tc>
          <w:tcPr>
            <w:tcW w:w="8823" w:type="dxa"/>
          </w:tcPr>
          <w:p>
            <w:pPr>
              <w:pStyle w:val="TableParagraph"/>
              <w:spacing w:before="21"/>
              <w:ind w:left="860"/>
              <w:rPr>
                <w:sz w:val="18"/>
              </w:rPr>
            </w:pPr>
            <w:r>
              <w:rPr>
                <w:sz w:val="18"/>
              </w:rPr>
              <w:t>Long service leave</w:t>
            </w:r>
          </w:p>
        </w:tc>
        <w:tc>
          <w:tcPr>
            <w:tcW w:w="1298" w:type="dxa"/>
          </w:tcPr>
          <w:p>
            <w:pPr>
              <w:pStyle w:val="TableParagraph"/>
              <w:spacing w:before="16"/>
              <w:ind w:right="49"/>
              <w:jc w:val="right"/>
              <w:rPr>
                <w:b/>
                <w:sz w:val="18"/>
              </w:rPr>
            </w:pPr>
            <w:r>
              <w:rPr>
                <w:b/>
                <w:sz w:val="18"/>
              </w:rPr>
              <w:t>14,527</w:t>
            </w:r>
          </w:p>
        </w:tc>
      </w:tr>
      <w:tr>
        <w:trPr>
          <w:trHeight w:val="263" w:hRule="exact"/>
        </w:trPr>
        <w:tc>
          <w:tcPr>
            <w:tcW w:w="8823" w:type="dxa"/>
          </w:tcPr>
          <w:p>
            <w:pPr>
              <w:pStyle w:val="TableParagraph"/>
              <w:spacing w:before="21"/>
              <w:ind w:left="860"/>
              <w:rPr>
                <w:sz w:val="18"/>
              </w:rPr>
            </w:pPr>
            <w:r>
              <w:rPr>
                <w:sz w:val="18"/>
              </w:rPr>
              <w:t>Annual leave</w:t>
            </w:r>
          </w:p>
        </w:tc>
        <w:tc>
          <w:tcPr>
            <w:tcW w:w="1298" w:type="dxa"/>
          </w:tcPr>
          <w:p>
            <w:pPr>
              <w:pStyle w:val="TableParagraph"/>
              <w:spacing w:before="16"/>
              <w:ind w:right="49"/>
              <w:jc w:val="right"/>
              <w:rPr>
                <w:b/>
                <w:sz w:val="18"/>
              </w:rPr>
            </w:pPr>
            <w:r>
              <w:rPr>
                <w:b/>
                <w:sz w:val="18"/>
              </w:rPr>
              <w:t>47,426</w:t>
            </w:r>
          </w:p>
        </w:tc>
      </w:tr>
      <w:tr>
        <w:trPr>
          <w:trHeight w:val="263" w:hRule="exact"/>
        </w:trPr>
        <w:tc>
          <w:tcPr>
            <w:tcW w:w="8823" w:type="dxa"/>
          </w:tcPr>
          <w:p>
            <w:pPr>
              <w:pStyle w:val="TableParagraph"/>
              <w:spacing w:before="20"/>
              <w:ind w:left="860"/>
              <w:rPr>
                <w:sz w:val="18"/>
              </w:rPr>
            </w:pPr>
            <w:r>
              <w:rPr>
                <w:sz w:val="18"/>
              </w:rPr>
              <w:t>Worker's compensation</w:t>
            </w:r>
          </w:p>
        </w:tc>
        <w:tc>
          <w:tcPr>
            <w:tcW w:w="1298" w:type="dxa"/>
          </w:tcPr>
          <w:p>
            <w:pPr>
              <w:pStyle w:val="TableParagraph"/>
              <w:spacing w:before="15"/>
              <w:ind w:right="49"/>
              <w:jc w:val="right"/>
              <w:rPr>
                <w:b/>
                <w:sz w:val="18"/>
              </w:rPr>
            </w:pPr>
            <w:r>
              <w:rPr>
                <w:b/>
                <w:sz w:val="18"/>
              </w:rPr>
              <w:t>39,827</w:t>
            </w:r>
          </w:p>
        </w:tc>
      </w:tr>
      <w:tr>
        <w:trPr>
          <w:trHeight w:val="267" w:hRule="exact"/>
        </w:trPr>
        <w:tc>
          <w:tcPr>
            <w:tcW w:w="8823" w:type="dxa"/>
          </w:tcPr>
          <w:p>
            <w:pPr>
              <w:pStyle w:val="TableParagraph"/>
              <w:spacing w:before="21"/>
              <w:ind w:left="860"/>
              <w:rPr>
                <w:sz w:val="18"/>
              </w:rPr>
            </w:pPr>
            <w:r>
              <w:rPr>
                <w:sz w:val="18"/>
              </w:rPr>
              <w:t>Other</w:t>
            </w:r>
          </w:p>
        </w:tc>
        <w:tc>
          <w:tcPr>
            <w:tcW w:w="1298" w:type="dxa"/>
            <w:tcBorders>
              <w:bottom w:val="single" w:sz="8" w:space="0" w:color="000000"/>
            </w:tcBorders>
          </w:tcPr>
          <w:p>
            <w:pPr>
              <w:pStyle w:val="TableParagraph"/>
              <w:spacing w:before="16"/>
              <w:ind w:right="48"/>
              <w:jc w:val="right"/>
              <w:rPr>
                <w:b/>
                <w:sz w:val="18"/>
              </w:rPr>
            </w:pPr>
            <w:r>
              <w:rPr>
                <w:b/>
                <w:sz w:val="18"/>
              </w:rPr>
              <w:t>4,631</w:t>
            </w:r>
          </w:p>
        </w:tc>
      </w:tr>
      <w:tr>
        <w:trPr>
          <w:trHeight w:val="353" w:hRule="exact"/>
        </w:trPr>
        <w:tc>
          <w:tcPr>
            <w:tcW w:w="8823" w:type="dxa"/>
          </w:tcPr>
          <w:p>
            <w:pPr>
              <w:pStyle w:val="TableParagraph"/>
              <w:spacing w:before="92"/>
              <w:ind w:left="643"/>
              <w:rPr>
                <w:sz w:val="18"/>
              </w:rPr>
            </w:pPr>
            <w:r>
              <w:rPr>
                <w:sz w:val="18"/>
              </w:rPr>
              <w:t>Total employee benefits expense</w:t>
            </w:r>
          </w:p>
        </w:tc>
        <w:tc>
          <w:tcPr>
            <w:tcW w:w="1298" w:type="dxa"/>
            <w:tcBorders>
              <w:top w:val="single" w:sz="8" w:space="0" w:color="000000"/>
              <w:bottom w:val="single" w:sz="17" w:space="0" w:color="000000"/>
            </w:tcBorders>
          </w:tcPr>
          <w:p>
            <w:pPr>
              <w:pStyle w:val="TableParagraph"/>
              <w:spacing w:before="109"/>
              <w:ind w:right="48"/>
              <w:jc w:val="right"/>
              <w:rPr>
                <w:b/>
                <w:sz w:val="18"/>
              </w:rPr>
            </w:pPr>
            <w:r>
              <w:rPr>
                <w:b/>
                <w:sz w:val="18"/>
              </w:rPr>
              <w:t>1,902,829</w:t>
            </w:r>
          </w:p>
        </w:tc>
      </w:tr>
      <w:tr>
        <w:trPr>
          <w:trHeight w:val="681" w:hRule="exact"/>
        </w:trPr>
        <w:tc>
          <w:tcPr>
            <w:tcW w:w="8823" w:type="dxa"/>
          </w:tcPr>
          <w:p>
            <w:pPr>
              <w:pStyle w:val="TableParagraph"/>
              <w:rPr>
                <w:b/>
                <w:sz w:val="18"/>
              </w:rPr>
            </w:pPr>
          </w:p>
          <w:p>
            <w:pPr>
              <w:pStyle w:val="TableParagraph"/>
              <w:spacing w:before="4"/>
              <w:rPr>
                <w:b/>
                <w:sz w:val="21"/>
              </w:rPr>
            </w:pPr>
          </w:p>
          <w:p>
            <w:pPr>
              <w:pStyle w:val="TableParagraph"/>
              <w:ind w:left="598"/>
              <w:rPr>
                <w:i/>
                <w:sz w:val="18"/>
              </w:rPr>
            </w:pPr>
            <w:r>
              <w:rPr>
                <w:i/>
                <w:sz w:val="18"/>
              </w:rPr>
              <w:t>Other expenses</w:t>
            </w:r>
          </w:p>
        </w:tc>
        <w:tc>
          <w:tcPr>
            <w:tcW w:w="1298" w:type="dxa"/>
            <w:tcBorders>
              <w:top w:val="single" w:sz="17" w:space="0" w:color="000000"/>
            </w:tcBorders>
          </w:tcPr>
          <w:p>
            <w:pPr/>
          </w:p>
        </w:tc>
      </w:tr>
      <w:tr>
        <w:trPr>
          <w:trHeight w:val="250" w:hRule="exact"/>
        </w:trPr>
        <w:tc>
          <w:tcPr>
            <w:tcW w:w="8823" w:type="dxa"/>
          </w:tcPr>
          <w:p>
            <w:pPr>
              <w:pStyle w:val="TableParagraph"/>
              <w:spacing w:before="7"/>
              <w:ind w:left="814"/>
              <w:rPr>
                <w:sz w:val="18"/>
              </w:rPr>
            </w:pPr>
            <w:r>
              <w:rPr>
                <w:sz w:val="18"/>
              </w:rPr>
              <w:t>Catering</w:t>
            </w:r>
          </w:p>
        </w:tc>
        <w:tc>
          <w:tcPr>
            <w:tcW w:w="1298" w:type="dxa"/>
          </w:tcPr>
          <w:p>
            <w:pPr>
              <w:pStyle w:val="TableParagraph"/>
              <w:spacing w:before="2"/>
              <w:ind w:right="49"/>
              <w:jc w:val="right"/>
              <w:rPr>
                <w:b/>
                <w:sz w:val="18"/>
              </w:rPr>
            </w:pPr>
            <w:r>
              <w:rPr>
                <w:b/>
                <w:sz w:val="18"/>
              </w:rPr>
              <w:t>67,080</w:t>
            </w:r>
          </w:p>
        </w:tc>
      </w:tr>
      <w:tr>
        <w:trPr>
          <w:trHeight w:val="264" w:hRule="exact"/>
        </w:trPr>
        <w:tc>
          <w:tcPr>
            <w:tcW w:w="8823" w:type="dxa"/>
          </w:tcPr>
          <w:p>
            <w:pPr>
              <w:pStyle w:val="TableParagraph"/>
              <w:spacing w:before="21"/>
              <w:ind w:left="814"/>
              <w:rPr>
                <w:sz w:val="18"/>
              </w:rPr>
            </w:pPr>
            <w:r>
              <w:rPr>
                <w:sz w:val="18"/>
              </w:rPr>
              <w:t>Cleaning</w:t>
            </w:r>
          </w:p>
        </w:tc>
        <w:tc>
          <w:tcPr>
            <w:tcW w:w="1298" w:type="dxa"/>
          </w:tcPr>
          <w:p>
            <w:pPr>
              <w:pStyle w:val="TableParagraph"/>
              <w:spacing w:before="16"/>
              <w:ind w:right="49"/>
              <w:jc w:val="right"/>
              <w:rPr>
                <w:b/>
                <w:sz w:val="18"/>
              </w:rPr>
            </w:pPr>
            <w:r>
              <w:rPr>
                <w:b/>
                <w:sz w:val="18"/>
              </w:rPr>
              <w:t>58,749</w:t>
            </w:r>
          </w:p>
        </w:tc>
      </w:tr>
      <w:tr>
        <w:trPr>
          <w:trHeight w:val="263" w:hRule="exact"/>
        </w:trPr>
        <w:tc>
          <w:tcPr>
            <w:tcW w:w="8823" w:type="dxa"/>
          </w:tcPr>
          <w:p>
            <w:pPr>
              <w:pStyle w:val="TableParagraph"/>
              <w:spacing w:before="21"/>
              <w:ind w:left="814"/>
              <w:rPr>
                <w:sz w:val="18"/>
              </w:rPr>
            </w:pPr>
            <w:r>
              <w:rPr>
                <w:sz w:val="18"/>
              </w:rPr>
              <w:t>Non-capitalised equipment</w:t>
            </w:r>
          </w:p>
        </w:tc>
        <w:tc>
          <w:tcPr>
            <w:tcW w:w="1298" w:type="dxa"/>
          </w:tcPr>
          <w:p>
            <w:pPr>
              <w:pStyle w:val="TableParagraph"/>
              <w:spacing w:before="16"/>
              <w:ind w:right="49"/>
              <w:jc w:val="right"/>
              <w:rPr>
                <w:b/>
                <w:sz w:val="18"/>
              </w:rPr>
            </w:pPr>
            <w:r>
              <w:rPr>
                <w:b/>
                <w:sz w:val="18"/>
              </w:rPr>
              <w:t>36,997</w:t>
            </w:r>
          </w:p>
        </w:tc>
      </w:tr>
      <w:tr>
        <w:trPr>
          <w:trHeight w:val="263" w:hRule="exact"/>
        </w:trPr>
        <w:tc>
          <w:tcPr>
            <w:tcW w:w="8823" w:type="dxa"/>
          </w:tcPr>
          <w:p>
            <w:pPr>
              <w:pStyle w:val="TableParagraph"/>
              <w:spacing w:before="20"/>
              <w:ind w:left="814"/>
              <w:rPr>
                <w:sz w:val="18"/>
              </w:rPr>
            </w:pPr>
            <w:r>
              <w:rPr>
                <w:sz w:val="18"/>
              </w:rPr>
              <w:t>Centre resources and supplies</w:t>
            </w:r>
          </w:p>
        </w:tc>
        <w:tc>
          <w:tcPr>
            <w:tcW w:w="1298" w:type="dxa"/>
          </w:tcPr>
          <w:p>
            <w:pPr>
              <w:pStyle w:val="TableParagraph"/>
              <w:spacing w:before="15"/>
              <w:ind w:right="49"/>
              <w:jc w:val="right"/>
              <w:rPr>
                <w:b/>
                <w:sz w:val="18"/>
              </w:rPr>
            </w:pPr>
            <w:r>
              <w:rPr>
                <w:b/>
                <w:sz w:val="18"/>
              </w:rPr>
              <w:t>28,503</w:t>
            </w:r>
          </w:p>
        </w:tc>
      </w:tr>
      <w:tr>
        <w:trPr>
          <w:trHeight w:val="263" w:hRule="exact"/>
        </w:trPr>
        <w:tc>
          <w:tcPr>
            <w:tcW w:w="8823" w:type="dxa"/>
          </w:tcPr>
          <w:p>
            <w:pPr>
              <w:pStyle w:val="TableParagraph"/>
              <w:spacing w:before="21"/>
              <w:ind w:left="814"/>
              <w:rPr>
                <w:sz w:val="18"/>
              </w:rPr>
            </w:pPr>
            <w:r>
              <w:rPr>
                <w:sz w:val="18"/>
              </w:rPr>
              <w:t>Repairs and maintenance</w:t>
            </w:r>
          </w:p>
        </w:tc>
        <w:tc>
          <w:tcPr>
            <w:tcW w:w="1298" w:type="dxa"/>
          </w:tcPr>
          <w:p>
            <w:pPr>
              <w:pStyle w:val="TableParagraph"/>
              <w:spacing w:before="16"/>
              <w:ind w:right="49"/>
              <w:jc w:val="right"/>
              <w:rPr>
                <w:b/>
                <w:sz w:val="18"/>
              </w:rPr>
            </w:pPr>
            <w:r>
              <w:rPr>
                <w:b/>
                <w:sz w:val="18"/>
              </w:rPr>
              <w:t>25,879</w:t>
            </w:r>
          </w:p>
        </w:tc>
      </w:tr>
      <w:tr>
        <w:trPr>
          <w:trHeight w:val="268" w:hRule="exact"/>
        </w:trPr>
        <w:tc>
          <w:tcPr>
            <w:tcW w:w="8823" w:type="dxa"/>
          </w:tcPr>
          <w:p>
            <w:pPr>
              <w:pStyle w:val="TableParagraph"/>
              <w:spacing w:before="20"/>
              <w:ind w:left="814"/>
              <w:rPr>
                <w:sz w:val="18"/>
              </w:rPr>
            </w:pPr>
            <w:r>
              <w:rPr>
                <w:sz w:val="18"/>
              </w:rPr>
              <w:t>Other</w:t>
            </w:r>
          </w:p>
        </w:tc>
        <w:tc>
          <w:tcPr>
            <w:tcW w:w="1298" w:type="dxa"/>
            <w:tcBorders>
              <w:bottom w:val="single" w:sz="8" w:space="0" w:color="000000"/>
            </w:tcBorders>
          </w:tcPr>
          <w:p>
            <w:pPr>
              <w:pStyle w:val="TableParagraph"/>
              <w:spacing w:before="15"/>
              <w:ind w:right="49"/>
              <w:jc w:val="right"/>
              <w:rPr>
                <w:b/>
                <w:sz w:val="18"/>
              </w:rPr>
            </w:pPr>
            <w:r>
              <w:rPr>
                <w:b/>
                <w:sz w:val="18"/>
              </w:rPr>
              <w:t>88,257</w:t>
            </w:r>
          </w:p>
        </w:tc>
      </w:tr>
      <w:tr>
        <w:trPr>
          <w:trHeight w:val="353" w:hRule="exact"/>
        </w:trPr>
        <w:tc>
          <w:tcPr>
            <w:tcW w:w="8823" w:type="dxa"/>
          </w:tcPr>
          <w:p>
            <w:pPr>
              <w:pStyle w:val="TableParagraph"/>
              <w:spacing w:before="92"/>
              <w:ind w:left="598"/>
              <w:rPr>
                <w:sz w:val="18"/>
              </w:rPr>
            </w:pPr>
            <w:r>
              <w:rPr>
                <w:sz w:val="18"/>
              </w:rPr>
              <w:t>Total other expenses</w:t>
            </w:r>
          </w:p>
        </w:tc>
        <w:tc>
          <w:tcPr>
            <w:tcW w:w="1298" w:type="dxa"/>
            <w:tcBorders>
              <w:top w:val="single" w:sz="8" w:space="0" w:color="000000"/>
              <w:bottom w:val="single" w:sz="17" w:space="0" w:color="000000"/>
            </w:tcBorders>
          </w:tcPr>
          <w:p>
            <w:pPr>
              <w:pStyle w:val="TableParagraph"/>
              <w:spacing w:before="107"/>
              <w:ind w:right="48"/>
              <w:jc w:val="right"/>
              <w:rPr>
                <w:b/>
                <w:sz w:val="18"/>
              </w:rPr>
            </w:pPr>
            <w:r>
              <w:rPr>
                <w:b/>
                <w:sz w:val="18"/>
              </w:rPr>
              <w:t>305,465</w:t>
            </w:r>
          </w:p>
        </w:tc>
      </w:tr>
    </w:tbl>
    <w:p>
      <w:pPr>
        <w:spacing w:after="0"/>
        <w:jc w:val="right"/>
        <w:rPr>
          <w:sz w:val="18"/>
        </w:rPr>
        <w:sectPr>
          <w:pgSz w:w="11960" w:h="16850"/>
          <w:pgMar w:header="743" w:footer="507" w:top="1180" w:bottom="700" w:left="700" w:right="920"/>
        </w:sectPr>
      </w:pPr>
    </w:p>
    <w:p>
      <w:pPr>
        <w:pStyle w:val="BodyText"/>
        <w:spacing w:before="8"/>
        <w:rPr>
          <w:b/>
          <w:sz w:val="23"/>
        </w:rPr>
      </w:pPr>
    </w:p>
    <w:p>
      <w:pPr>
        <w:spacing w:before="73"/>
        <w:ind w:left="307" w:right="25" w:firstLine="0"/>
        <w:jc w:val="left"/>
        <w:rPr>
          <w:b/>
          <w:sz w:val="22"/>
        </w:rPr>
      </w:pPr>
      <w:r>
        <w:rPr>
          <w:b/>
          <w:sz w:val="22"/>
        </w:rPr>
        <w:t>Notes to the Financial Statements</w:t>
      </w:r>
    </w:p>
    <w:p>
      <w:pPr>
        <w:spacing w:before="54"/>
        <w:ind w:left="308" w:right="25" w:firstLine="0"/>
        <w:jc w:val="left"/>
        <w:rPr>
          <w:b/>
          <w:sz w:val="22"/>
        </w:rPr>
      </w:pPr>
      <w:r>
        <w:rPr>
          <w:b/>
          <w:sz w:val="22"/>
        </w:rPr>
        <w:t>For the period from 2 March 2012 to 31 December 2012</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7"/>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823"/>
        <w:gridCol w:w="1298"/>
      </w:tblGrid>
      <w:tr>
        <w:trPr>
          <w:trHeight w:val="211" w:hRule="exact"/>
        </w:trPr>
        <w:tc>
          <w:tcPr>
            <w:tcW w:w="8823" w:type="dxa"/>
          </w:tcPr>
          <w:p>
            <w:pPr>
              <w:pStyle w:val="TableParagraph"/>
              <w:tabs>
                <w:tab w:pos="595" w:val="left" w:leader="none"/>
              </w:tabs>
              <w:spacing w:line="184" w:lineRule="exact"/>
              <w:ind w:left="200"/>
              <w:rPr>
                <w:b/>
                <w:sz w:val="18"/>
              </w:rPr>
            </w:pPr>
            <w:r>
              <w:rPr>
                <w:b/>
                <w:sz w:val="18"/>
              </w:rPr>
              <w:t>4</w:t>
              <w:tab/>
              <w:t>Cash and cash</w:t>
            </w:r>
            <w:r>
              <w:rPr>
                <w:b/>
                <w:spacing w:val="-10"/>
                <w:sz w:val="18"/>
              </w:rPr>
              <w:t> </w:t>
            </w:r>
            <w:r>
              <w:rPr>
                <w:b/>
                <w:sz w:val="18"/>
              </w:rPr>
              <w:t>equivalents</w:t>
            </w:r>
          </w:p>
        </w:tc>
        <w:tc>
          <w:tcPr>
            <w:tcW w:w="1298" w:type="dxa"/>
          </w:tcPr>
          <w:p>
            <w:pPr/>
          </w:p>
        </w:tc>
      </w:tr>
      <w:tr>
        <w:trPr>
          <w:trHeight w:val="539" w:hRule="exact"/>
        </w:trPr>
        <w:tc>
          <w:tcPr>
            <w:tcW w:w="8823" w:type="dxa"/>
          </w:tcPr>
          <w:p>
            <w:pPr/>
          </w:p>
        </w:tc>
        <w:tc>
          <w:tcPr>
            <w:tcW w:w="1298" w:type="dxa"/>
          </w:tcPr>
          <w:p>
            <w:pPr>
              <w:pStyle w:val="TableParagraph"/>
              <w:spacing w:before="8"/>
              <w:ind w:left="417" w:right="372"/>
              <w:jc w:val="center"/>
              <w:rPr>
                <w:b/>
                <w:sz w:val="18"/>
              </w:rPr>
            </w:pPr>
            <w:r>
              <w:rPr>
                <w:b/>
                <w:sz w:val="18"/>
              </w:rPr>
              <w:t>2012</w:t>
            </w:r>
          </w:p>
          <w:p>
            <w:pPr>
              <w:pStyle w:val="TableParagraph"/>
              <w:spacing w:before="33"/>
              <w:ind w:left="40"/>
              <w:jc w:val="center"/>
              <w:rPr>
                <w:b/>
                <w:sz w:val="18"/>
              </w:rPr>
            </w:pPr>
            <w:r>
              <w:rPr>
                <w:b/>
                <w:w w:val="99"/>
                <w:sz w:val="18"/>
              </w:rPr>
              <w:t>$</w:t>
            </w:r>
          </w:p>
        </w:tc>
      </w:tr>
      <w:tr>
        <w:trPr>
          <w:trHeight w:val="298" w:hRule="exact"/>
        </w:trPr>
        <w:tc>
          <w:tcPr>
            <w:tcW w:w="8823" w:type="dxa"/>
          </w:tcPr>
          <w:p>
            <w:pPr>
              <w:pStyle w:val="TableParagraph"/>
              <w:spacing w:before="69"/>
              <w:ind w:left="641"/>
              <w:rPr>
                <w:sz w:val="18"/>
              </w:rPr>
            </w:pPr>
            <w:r>
              <w:rPr>
                <w:sz w:val="18"/>
              </w:rPr>
              <w:t>Cash at bank and on hand</w:t>
            </w:r>
          </w:p>
        </w:tc>
        <w:tc>
          <w:tcPr>
            <w:tcW w:w="1298" w:type="dxa"/>
            <w:tcBorders>
              <w:bottom w:val="single" w:sz="17" w:space="0" w:color="000000"/>
            </w:tcBorders>
          </w:tcPr>
          <w:p>
            <w:pPr>
              <w:pStyle w:val="TableParagraph"/>
              <w:spacing w:before="64"/>
              <w:ind w:left="592"/>
              <w:rPr>
                <w:b/>
                <w:sz w:val="18"/>
              </w:rPr>
            </w:pPr>
            <w:r>
              <w:rPr>
                <w:b/>
                <w:sz w:val="18"/>
              </w:rPr>
              <w:t>873,270</w:t>
            </w:r>
          </w:p>
        </w:tc>
      </w:tr>
      <w:tr>
        <w:trPr>
          <w:trHeight w:val="509" w:hRule="exact"/>
        </w:trPr>
        <w:tc>
          <w:tcPr>
            <w:tcW w:w="8823" w:type="dxa"/>
          </w:tcPr>
          <w:p>
            <w:pPr>
              <w:pStyle w:val="TableParagraph"/>
              <w:spacing w:before="7"/>
              <w:rPr>
                <w:b/>
                <w:sz w:val="26"/>
              </w:rPr>
            </w:pPr>
          </w:p>
          <w:p>
            <w:pPr>
              <w:pStyle w:val="TableParagraph"/>
              <w:tabs>
                <w:tab w:pos="1162" w:val="left" w:leader="none"/>
              </w:tabs>
              <w:ind w:left="596"/>
              <w:rPr>
                <w:b/>
                <w:sz w:val="18"/>
              </w:rPr>
            </w:pPr>
            <w:r>
              <w:rPr>
                <w:b/>
                <w:sz w:val="18"/>
              </w:rPr>
              <w:t>(a)</w:t>
              <w:tab/>
              <w:t>Reconciliation to cash at the end of the</w:t>
            </w:r>
            <w:r>
              <w:rPr>
                <w:b/>
                <w:spacing w:val="-16"/>
                <w:sz w:val="18"/>
              </w:rPr>
              <w:t> </w:t>
            </w:r>
            <w:r>
              <w:rPr>
                <w:b/>
                <w:sz w:val="18"/>
              </w:rPr>
              <w:t>period</w:t>
            </w:r>
          </w:p>
        </w:tc>
        <w:tc>
          <w:tcPr>
            <w:tcW w:w="1298" w:type="dxa"/>
            <w:tcBorders>
              <w:top w:val="single" w:sz="17" w:space="0" w:color="000000"/>
            </w:tcBorders>
          </w:tcPr>
          <w:p>
            <w:pPr/>
          </w:p>
        </w:tc>
      </w:tr>
    </w:tbl>
    <w:p>
      <w:pPr>
        <w:pStyle w:val="BodyText"/>
        <w:rPr>
          <w:b/>
          <w:sz w:val="19"/>
        </w:rPr>
      </w:pPr>
    </w:p>
    <w:p>
      <w:pPr>
        <w:pStyle w:val="BodyText"/>
        <w:spacing w:before="77" w:after="51"/>
        <w:ind w:left="1272" w:right="442"/>
      </w:pPr>
      <w:r>
        <w:rPr/>
        <w:t>The above figures are reconciled to cash at the end of the period as shown in the statement of cash flows as follows:</w:t>
      </w: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823"/>
        <w:gridCol w:w="1302"/>
      </w:tblGrid>
      <w:tr>
        <w:trPr>
          <w:trHeight w:val="466" w:hRule="exact"/>
        </w:trPr>
        <w:tc>
          <w:tcPr>
            <w:tcW w:w="8823" w:type="dxa"/>
          </w:tcPr>
          <w:p>
            <w:pPr/>
          </w:p>
        </w:tc>
        <w:tc>
          <w:tcPr>
            <w:tcW w:w="1302" w:type="dxa"/>
          </w:tcPr>
          <w:p>
            <w:pPr>
              <w:pStyle w:val="TableParagraph"/>
              <w:spacing w:line="184" w:lineRule="exact"/>
              <w:ind w:left="409" w:right="410"/>
              <w:jc w:val="center"/>
              <w:rPr>
                <w:b/>
                <w:sz w:val="18"/>
              </w:rPr>
            </w:pPr>
            <w:r>
              <w:rPr>
                <w:b/>
                <w:sz w:val="18"/>
              </w:rPr>
              <w:t>2012</w:t>
            </w:r>
          </w:p>
          <w:p>
            <w:pPr>
              <w:pStyle w:val="TableParagraph"/>
              <w:spacing w:before="35"/>
              <w:jc w:val="center"/>
              <w:rPr>
                <w:b/>
                <w:sz w:val="18"/>
              </w:rPr>
            </w:pPr>
            <w:r>
              <w:rPr>
                <w:b/>
                <w:w w:val="99"/>
                <w:sz w:val="18"/>
              </w:rPr>
              <w:t>$</w:t>
            </w:r>
          </w:p>
        </w:tc>
      </w:tr>
      <w:tr>
        <w:trPr>
          <w:trHeight w:val="285" w:hRule="exact"/>
        </w:trPr>
        <w:tc>
          <w:tcPr>
            <w:tcW w:w="8823" w:type="dxa"/>
          </w:tcPr>
          <w:p>
            <w:pPr>
              <w:pStyle w:val="TableParagraph"/>
              <w:spacing w:before="25"/>
              <w:ind w:left="1164"/>
              <w:rPr>
                <w:sz w:val="18"/>
              </w:rPr>
            </w:pPr>
            <w:r>
              <w:rPr>
                <w:sz w:val="18"/>
              </w:rPr>
              <w:t>Cash at bank and on hand</w:t>
            </w:r>
          </w:p>
        </w:tc>
        <w:tc>
          <w:tcPr>
            <w:tcW w:w="1302" w:type="dxa"/>
            <w:tcBorders>
              <w:bottom w:val="single" w:sz="17" w:space="0" w:color="000000"/>
            </w:tcBorders>
          </w:tcPr>
          <w:p>
            <w:pPr>
              <w:pStyle w:val="TableParagraph"/>
              <w:spacing w:before="20"/>
              <w:ind w:right="52"/>
              <w:jc w:val="right"/>
              <w:rPr>
                <w:b/>
                <w:sz w:val="18"/>
              </w:rPr>
            </w:pPr>
            <w:r>
              <w:rPr>
                <w:b/>
                <w:sz w:val="18"/>
              </w:rPr>
              <w:t>873,270</w:t>
            </w:r>
          </w:p>
        </w:tc>
      </w:tr>
      <w:tr>
        <w:trPr>
          <w:trHeight w:val="365" w:hRule="exact"/>
        </w:trPr>
        <w:tc>
          <w:tcPr>
            <w:tcW w:w="8823" w:type="dxa"/>
          </w:tcPr>
          <w:p>
            <w:pPr>
              <w:pStyle w:val="TableParagraph"/>
              <w:spacing w:before="131"/>
              <w:ind w:left="1164"/>
              <w:rPr>
                <w:b/>
                <w:sz w:val="18"/>
              </w:rPr>
            </w:pPr>
            <w:r>
              <w:rPr>
                <w:b/>
                <w:sz w:val="18"/>
              </w:rPr>
              <w:t>Balance as per statement of cash flows</w:t>
            </w:r>
          </w:p>
        </w:tc>
        <w:tc>
          <w:tcPr>
            <w:tcW w:w="1302" w:type="dxa"/>
            <w:tcBorders>
              <w:top w:val="single" w:sz="17" w:space="0" w:color="000000"/>
              <w:bottom w:val="single" w:sz="17" w:space="0" w:color="000000"/>
            </w:tcBorders>
          </w:tcPr>
          <w:p>
            <w:pPr>
              <w:pStyle w:val="TableParagraph"/>
              <w:spacing w:before="109"/>
              <w:ind w:right="52"/>
              <w:jc w:val="right"/>
              <w:rPr>
                <w:b/>
                <w:sz w:val="18"/>
              </w:rPr>
            </w:pPr>
            <w:r>
              <w:rPr>
                <w:b/>
                <w:sz w:val="18"/>
              </w:rPr>
              <w:t>873,270</w:t>
            </w:r>
          </w:p>
        </w:tc>
      </w:tr>
      <w:tr>
        <w:trPr>
          <w:trHeight w:val="1946" w:hRule="exact"/>
        </w:trPr>
        <w:tc>
          <w:tcPr>
            <w:tcW w:w="10126" w:type="dxa"/>
            <w:gridSpan w:val="2"/>
          </w:tcPr>
          <w:p>
            <w:pPr>
              <w:pStyle w:val="TableParagraph"/>
              <w:spacing w:before="7"/>
              <w:rPr>
                <w:sz w:val="26"/>
              </w:rPr>
            </w:pPr>
          </w:p>
          <w:p>
            <w:pPr>
              <w:pStyle w:val="TableParagraph"/>
              <w:tabs>
                <w:tab w:pos="1162" w:val="left" w:leader="none"/>
              </w:tabs>
              <w:ind w:left="596" w:right="156"/>
              <w:rPr>
                <w:b/>
                <w:sz w:val="18"/>
              </w:rPr>
            </w:pPr>
            <w:r>
              <w:rPr>
                <w:b/>
                <w:sz w:val="18"/>
              </w:rPr>
              <w:t>(b)</w:t>
              <w:tab/>
              <w:t>Cash at bank and on</w:t>
            </w:r>
            <w:r>
              <w:rPr>
                <w:b/>
                <w:spacing w:val="-7"/>
                <w:sz w:val="18"/>
              </w:rPr>
              <w:t> </w:t>
            </w:r>
            <w:r>
              <w:rPr>
                <w:b/>
                <w:sz w:val="18"/>
              </w:rPr>
              <w:t>hand</w:t>
            </w:r>
          </w:p>
          <w:p>
            <w:pPr>
              <w:pStyle w:val="TableParagraph"/>
              <w:spacing w:before="4"/>
              <w:rPr>
                <w:sz w:val="25"/>
              </w:rPr>
            </w:pPr>
          </w:p>
          <w:p>
            <w:pPr>
              <w:pStyle w:val="TableParagraph"/>
              <w:ind w:left="1162"/>
              <w:jc w:val="both"/>
              <w:rPr>
                <w:sz w:val="18"/>
              </w:rPr>
            </w:pPr>
            <w:r>
              <w:rPr>
                <w:sz w:val="18"/>
              </w:rPr>
              <w:t>The</w:t>
            </w:r>
            <w:r>
              <w:rPr>
                <w:spacing w:val="-4"/>
                <w:sz w:val="18"/>
              </w:rPr>
              <w:t> </w:t>
            </w:r>
            <w:r>
              <w:rPr>
                <w:sz w:val="18"/>
              </w:rPr>
              <w:t>Company's</w:t>
            </w:r>
            <w:r>
              <w:rPr>
                <w:spacing w:val="-4"/>
                <w:sz w:val="18"/>
              </w:rPr>
              <w:t> </w:t>
            </w:r>
            <w:r>
              <w:rPr>
                <w:sz w:val="18"/>
              </w:rPr>
              <w:t>exposure</w:t>
            </w:r>
            <w:r>
              <w:rPr>
                <w:spacing w:val="-6"/>
                <w:sz w:val="18"/>
              </w:rPr>
              <w:t> </w:t>
            </w:r>
            <w:r>
              <w:rPr>
                <w:sz w:val="18"/>
              </w:rPr>
              <w:t>to</w:t>
            </w:r>
            <w:r>
              <w:rPr>
                <w:spacing w:val="-4"/>
                <w:sz w:val="18"/>
              </w:rPr>
              <w:t> </w:t>
            </w:r>
            <w:r>
              <w:rPr>
                <w:sz w:val="18"/>
              </w:rPr>
              <w:t>interest</w:t>
            </w:r>
            <w:r>
              <w:rPr>
                <w:spacing w:val="-4"/>
                <w:sz w:val="18"/>
              </w:rPr>
              <w:t> </w:t>
            </w:r>
            <w:r>
              <w:rPr>
                <w:sz w:val="18"/>
              </w:rPr>
              <w:t>rate</w:t>
            </w:r>
            <w:r>
              <w:rPr>
                <w:spacing w:val="-4"/>
                <w:sz w:val="18"/>
              </w:rPr>
              <w:t> </w:t>
            </w:r>
            <w:r>
              <w:rPr>
                <w:sz w:val="18"/>
              </w:rPr>
              <w:t>risk</w:t>
            </w:r>
            <w:r>
              <w:rPr>
                <w:spacing w:val="-4"/>
                <w:sz w:val="18"/>
              </w:rPr>
              <w:t> </w:t>
            </w:r>
            <w:r>
              <w:rPr>
                <w:sz w:val="18"/>
              </w:rPr>
              <w:t>is</w:t>
            </w:r>
            <w:r>
              <w:rPr>
                <w:spacing w:val="-6"/>
                <w:sz w:val="18"/>
              </w:rPr>
              <w:t> </w:t>
            </w:r>
            <w:r>
              <w:rPr>
                <w:sz w:val="18"/>
              </w:rPr>
              <w:t>discussed</w:t>
            </w:r>
            <w:r>
              <w:rPr>
                <w:spacing w:val="-4"/>
                <w:sz w:val="18"/>
              </w:rPr>
              <w:t> </w:t>
            </w:r>
            <w:r>
              <w:rPr>
                <w:sz w:val="18"/>
              </w:rPr>
              <w:t>in</w:t>
            </w:r>
            <w:r>
              <w:rPr>
                <w:spacing w:val="-6"/>
                <w:sz w:val="18"/>
              </w:rPr>
              <w:t> </w:t>
            </w:r>
            <w:r>
              <w:rPr>
                <w:sz w:val="18"/>
              </w:rPr>
              <w:t>note</w:t>
            </w:r>
            <w:r>
              <w:rPr>
                <w:spacing w:val="-4"/>
                <w:sz w:val="18"/>
              </w:rPr>
              <w:t> </w:t>
            </w:r>
            <w:r>
              <w:rPr>
                <w:sz w:val="18"/>
              </w:rPr>
              <w:t>17.</w:t>
            </w:r>
            <w:r>
              <w:rPr>
                <w:spacing w:val="-4"/>
                <w:sz w:val="18"/>
              </w:rPr>
              <w:t> </w:t>
            </w:r>
            <w:r>
              <w:rPr>
                <w:sz w:val="18"/>
              </w:rPr>
              <w:t>The</w:t>
            </w:r>
            <w:r>
              <w:rPr>
                <w:spacing w:val="-4"/>
                <w:sz w:val="18"/>
              </w:rPr>
              <w:t> </w:t>
            </w:r>
            <w:r>
              <w:rPr>
                <w:sz w:val="18"/>
              </w:rPr>
              <w:t>maximum</w:t>
            </w:r>
            <w:r>
              <w:rPr>
                <w:spacing w:val="-4"/>
                <w:sz w:val="18"/>
              </w:rPr>
              <w:t> </w:t>
            </w:r>
            <w:r>
              <w:rPr>
                <w:sz w:val="18"/>
              </w:rPr>
              <w:t>exposure</w:t>
            </w:r>
            <w:r>
              <w:rPr>
                <w:spacing w:val="-4"/>
                <w:sz w:val="18"/>
              </w:rPr>
              <w:t> </w:t>
            </w:r>
            <w:r>
              <w:rPr>
                <w:sz w:val="18"/>
              </w:rPr>
              <w:t>to</w:t>
            </w:r>
            <w:r>
              <w:rPr>
                <w:spacing w:val="-6"/>
                <w:sz w:val="18"/>
              </w:rPr>
              <w:t> </w:t>
            </w:r>
            <w:r>
              <w:rPr>
                <w:sz w:val="18"/>
              </w:rPr>
              <w:t>credit</w:t>
            </w:r>
            <w:r>
              <w:rPr>
                <w:spacing w:val="-4"/>
                <w:sz w:val="18"/>
              </w:rPr>
              <w:t> </w:t>
            </w:r>
            <w:r>
              <w:rPr>
                <w:sz w:val="18"/>
              </w:rPr>
              <w:t>risk</w:t>
            </w:r>
            <w:r>
              <w:rPr>
                <w:spacing w:val="-4"/>
                <w:sz w:val="18"/>
              </w:rPr>
              <w:t> </w:t>
            </w:r>
            <w:r>
              <w:rPr>
                <w:sz w:val="18"/>
              </w:rPr>
              <w:t>at</w:t>
            </w:r>
            <w:r>
              <w:rPr>
                <w:spacing w:val="-4"/>
                <w:sz w:val="18"/>
              </w:rPr>
              <w:t> </w:t>
            </w:r>
            <w:r>
              <w:rPr>
                <w:sz w:val="18"/>
              </w:rPr>
              <w:t>the end</w:t>
            </w:r>
            <w:r>
              <w:rPr>
                <w:spacing w:val="-6"/>
                <w:sz w:val="18"/>
              </w:rPr>
              <w:t> </w:t>
            </w:r>
            <w:r>
              <w:rPr>
                <w:sz w:val="18"/>
              </w:rPr>
              <w:t>of</w:t>
            </w:r>
            <w:r>
              <w:rPr>
                <w:spacing w:val="-6"/>
                <w:sz w:val="18"/>
              </w:rPr>
              <w:t> </w:t>
            </w:r>
            <w:r>
              <w:rPr>
                <w:sz w:val="18"/>
              </w:rPr>
              <w:t>each</w:t>
            </w:r>
            <w:r>
              <w:rPr>
                <w:spacing w:val="-6"/>
                <w:sz w:val="18"/>
              </w:rPr>
              <w:t> </w:t>
            </w:r>
            <w:r>
              <w:rPr>
                <w:sz w:val="18"/>
              </w:rPr>
              <w:t>reporting</w:t>
            </w:r>
            <w:r>
              <w:rPr>
                <w:spacing w:val="-6"/>
                <w:sz w:val="18"/>
              </w:rPr>
              <w:t> </w:t>
            </w:r>
            <w:r>
              <w:rPr>
                <w:sz w:val="18"/>
              </w:rPr>
              <w:t>period</w:t>
            </w:r>
            <w:r>
              <w:rPr>
                <w:spacing w:val="-6"/>
                <w:sz w:val="18"/>
              </w:rPr>
              <w:t> </w:t>
            </w:r>
            <w:r>
              <w:rPr>
                <w:sz w:val="18"/>
              </w:rPr>
              <w:t>is</w:t>
            </w:r>
            <w:r>
              <w:rPr>
                <w:spacing w:val="-8"/>
                <w:sz w:val="18"/>
              </w:rPr>
              <w:t> </w:t>
            </w:r>
            <w:r>
              <w:rPr>
                <w:sz w:val="18"/>
              </w:rPr>
              <w:t>the</w:t>
            </w:r>
            <w:r>
              <w:rPr>
                <w:spacing w:val="-6"/>
                <w:sz w:val="18"/>
              </w:rPr>
              <w:t> </w:t>
            </w:r>
            <w:r>
              <w:rPr>
                <w:sz w:val="18"/>
              </w:rPr>
              <w:t>carrying</w:t>
            </w:r>
            <w:r>
              <w:rPr>
                <w:spacing w:val="-6"/>
                <w:sz w:val="18"/>
              </w:rPr>
              <w:t> </w:t>
            </w:r>
            <w:r>
              <w:rPr>
                <w:sz w:val="18"/>
              </w:rPr>
              <w:t>amount</w:t>
            </w:r>
            <w:r>
              <w:rPr>
                <w:spacing w:val="-7"/>
                <w:sz w:val="18"/>
              </w:rPr>
              <w:t> </w:t>
            </w:r>
            <w:r>
              <w:rPr>
                <w:sz w:val="18"/>
              </w:rPr>
              <w:t>of</w:t>
            </w:r>
            <w:r>
              <w:rPr>
                <w:spacing w:val="-7"/>
                <w:sz w:val="18"/>
              </w:rPr>
              <w:t> </w:t>
            </w:r>
            <w:r>
              <w:rPr>
                <w:sz w:val="18"/>
              </w:rPr>
              <w:t>each</w:t>
            </w:r>
            <w:r>
              <w:rPr>
                <w:spacing w:val="-6"/>
                <w:sz w:val="18"/>
              </w:rPr>
              <w:t> </w:t>
            </w:r>
            <w:r>
              <w:rPr>
                <w:sz w:val="18"/>
              </w:rPr>
              <w:t>class</w:t>
            </w:r>
            <w:r>
              <w:rPr>
                <w:spacing w:val="-6"/>
                <w:sz w:val="18"/>
              </w:rPr>
              <w:t> </w:t>
            </w:r>
            <w:r>
              <w:rPr>
                <w:sz w:val="18"/>
              </w:rPr>
              <w:t>of</w:t>
            </w:r>
            <w:r>
              <w:rPr>
                <w:spacing w:val="-9"/>
                <w:sz w:val="18"/>
              </w:rPr>
              <w:t> </w:t>
            </w:r>
            <w:r>
              <w:rPr>
                <w:sz w:val="18"/>
              </w:rPr>
              <w:t>cash</w:t>
            </w:r>
            <w:r>
              <w:rPr>
                <w:spacing w:val="-6"/>
                <w:sz w:val="18"/>
              </w:rPr>
              <w:t> </w:t>
            </w:r>
            <w:r>
              <w:rPr>
                <w:sz w:val="18"/>
              </w:rPr>
              <w:t>and</w:t>
            </w:r>
            <w:r>
              <w:rPr>
                <w:spacing w:val="-9"/>
                <w:sz w:val="18"/>
              </w:rPr>
              <w:t> </w:t>
            </w:r>
            <w:r>
              <w:rPr>
                <w:sz w:val="18"/>
              </w:rPr>
              <w:t>cash</w:t>
            </w:r>
            <w:r>
              <w:rPr>
                <w:spacing w:val="-6"/>
                <w:sz w:val="18"/>
              </w:rPr>
              <w:t> </w:t>
            </w:r>
            <w:r>
              <w:rPr>
                <w:sz w:val="18"/>
              </w:rPr>
              <w:t>equivalents</w:t>
            </w:r>
            <w:r>
              <w:rPr>
                <w:spacing w:val="-6"/>
                <w:sz w:val="18"/>
              </w:rPr>
              <w:t> </w:t>
            </w:r>
            <w:r>
              <w:rPr>
                <w:sz w:val="18"/>
              </w:rPr>
              <w:t>mentioned</w:t>
            </w:r>
            <w:r>
              <w:rPr>
                <w:spacing w:val="-6"/>
                <w:sz w:val="18"/>
              </w:rPr>
              <w:t> </w:t>
            </w:r>
            <w:r>
              <w:rPr>
                <w:sz w:val="18"/>
              </w:rPr>
              <w:t>above. Cash at bank is</w:t>
            </w:r>
            <w:r>
              <w:rPr>
                <w:spacing w:val="-16"/>
                <w:sz w:val="18"/>
              </w:rPr>
              <w:t> </w:t>
            </w:r>
            <w:r>
              <w:rPr>
                <w:sz w:val="18"/>
              </w:rPr>
              <w:t>interest-bearing.</w:t>
            </w:r>
          </w:p>
          <w:p>
            <w:pPr>
              <w:pStyle w:val="TableParagraph"/>
              <w:spacing w:before="9"/>
              <w:rPr>
                <w:sz w:val="24"/>
              </w:rPr>
            </w:pPr>
          </w:p>
          <w:p>
            <w:pPr>
              <w:pStyle w:val="TableParagraph"/>
              <w:tabs>
                <w:tab w:pos="595" w:val="left" w:leader="none"/>
              </w:tabs>
              <w:ind w:left="200" w:right="156"/>
              <w:rPr>
                <w:b/>
                <w:sz w:val="18"/>
              </w:rPr>
            </w:pPr>
            <w:r>
              <w:rPr>
                <w:b/>
                <w:sz w:val="18"/>
              </w:rPr>
              <w:t>5</w:t>
              <w:tab/>
              <w:t>Trade and other</w:t>
            </w:r>
            <w:r>
              <w:rPr>
                <w:b/>
                <w:spacing w:val="-10"/>
                <w:sz w:val="18"/>
              </w:rPr>
              <w:t> </w:t>
            </w:r>
            <w:r>
              <w:rPr>
                <w:b/>
                <w:sz w:val="18"/>
              </w:rPr>
              <w:t>receivables</w:t>
            </w:r>
          </w:p>
        </w:tc>
      </w:tr>
      <w:tr>
        <w:trPr>
          <w:trHeight w:val="541" w:hRule="exact"/>
        </w:trPr>
        <w:tc>
          <w:tcPr>
            <w:tcW w:w="8823" w:type="dxa"/>
          </w:tcPr>
          <w:p>
            <w:pPr/>
          </w:p>
        </w:tc>
        <w:tc>
          <w:tcPr>
            <w:tcW w:w="1302" w:type="dxa"/>
          </w:tcPr>
          <w:p>
            <w:pPr>
              <w:pStyle w:val="TableParagraph"/>
              <w:spacing w:before="7"/>
              <w:ind w:left="430" w:right="389"/>
              <w:jc w:val="center"/>
              <w:rPr>
                <w:b/>
                <w:sz w:val="18"/>
              </w:rPr>
            </w:pPr>
            <w:r>
              <w:rPr>
                <w:b/>
                <w:sz w:val="18"/>
              </w:rPr>
              <w:t>2012</w:t>
            </w:r>
          </w:p>
          <w:p>
            <w:pPr>
              <w:pStyle w:val="TableParagraph"/>
              <w:spacing w:before="35"/>
              <w:ind w:left="36"/>
              <w:jc w:val="center"/>
              <w:rPr>
                <w:b/>
                <w:sz w:val="18"/>
              </w:rPr>
            </w:pPr>
            <w:r>
              <w:rPr>
                <w:b/>
                <w:w w:val="99"/>
                <w:sz w:val="18"/>
              </w:rPr>
              <w:t>$</w:t>
            </w:r>
          </w:p>
        </w:tc>
      </w:tr>
      <w:tr>
        <w:trPr>
          <w:trHeight w:val="293" w:hRule="exact"/>
        </w:trPr>
        <w:tc>
          <w:tcPr>
            <w:tcW w:w="8823" w:type="dxa"/>
          </w:tcPr>
          <w:p>
            <w:pPr>
              <w:pStyle w:val="TableParagraph"/>
              <w:spacing w:before="65"/>
              <w:ind w:left="641"/>
              <w:rPr>
                <w:sz w:val="18"/>
              </w:rPr>
            </w:pPr>
            <w:r>
              <w:rPr>
                <w:sz w:val="18"/>
              </w:rPr>
              <w:t>CURRENT</w:t>
            </w:r>
          </w:p>
        </w:tc>
        <w:tc>
          <w:tcPr>
            <w:tcW w:w="1302" w:type="dxa"/>
          </w:tcPr>
          <w:p>
            <w:pPr/>
          </w:p>
        </w:tc>
      </w:tr>
      <w:tr>
        <w:trPr>
          <w:trHeight w:val="248" w:hRule="exact"/>
        </w:trPr>
        <w:tc>
          <w:tcPr>
            <w:tcW w:w="8823" w:type="dxa"/>
          </w:tcPr>
          <w:p>
            <w:pPr>
              <w:pStyle w:val="TableParagraph"/>
              <w:spacing w:before="6"/>
              <w:ind w:left="641"/>
              <w:rPr>
                <w:sz w:val="18"/>
              </w:rPr>
            </w:pPr>
            <w:r>
              <w:rPr>
                <w:sz w:val="18"/>
              </w:rPr>
              <w:t>Trade receivables</w:t>
            </w:r>
          </w:p>
        </w:tc>
        <w:tc>
          <w:tcPr>
            <w:tcW w:w="1302" w:type="dxa"/>
          </w:tcPr>
          <w:p>
            <w:pPr>
              <w:pStyle w:val="TableParagraph"/>
              <w:spacing w:before="1"/>
              <w:ind w:right="55"/>
              <w:jc w:val="right"/>
              <w:rPr>
                <w:b/>
                <w:sz w:val="18"/>
              </w:rPr>
            </w:pPr>
            <w:r>
              <w:rPr>
                <w:b/>
                <w:sz w:val="18"/>
              </w:rPr>
              <w:t>19,022</w:t>
            </w:r>
          </w:p>
        </w:tc>
      </w:tr>
      <w:tr>
        <w:trPr>
          <w:trHeight w:val="269" w:hRule="exact"/>
        </w:trPr>
        <w:tc>
          <w:tcPr>
            <w:tcW w:w="8823" w:type="dxa"/>
          </w:tcPr>
          <w:p>
            <w:pPr>
              <w:pStyle w:val="TableParagraph"/>
              <w:spacing w:before="21"/>
              <w:ind w:left="641"/>
              <w:rPr>
                <w:sz w:val="18"/>
              </w:rPr>
            </w:pPr>
            <w:r>
              <w:rPr>
                <w:sz w:val="18"/>
              </w:rPr>
              <w:t>Less: Provision for impaired receivables</w:t>
            </w:r>
          </w:p>
        </w:tc>
        <w:tc>
          <w:tcPr>
            <w:tcW w:w="1302" w:type="dxa"/>
            <w:tcBorders>
              <w:bottom w:val="single" w:sz="8" w:space="0" w:color="000000"/>
            </w:tcBorders>
          </w:tcPr>
          <w:p>
            <w:pPr>
              <w:pStyle w:val="TableParagraph"/>
              <w:spacing w:before="16"/>
              <w:ind w:right="90"/>
              <w:jc w:val="right"/>
              <w:rPr>
                <w:b/>
                <w:sz w:val="18"/>
              </w:rPr>
            </w:pPr>
            <w:r>
              <w:rPr>
                <w:b/>
                <w:w w:val="99"/>
                <w:sz w:val="18"/>
              </w:rPr>
              <w:t>-</w:t>
            </w:r>
          </w:p>
        </w:tc>
      </w:tr>
      <w:tr>
        <w:trPr>
          <w:trHeight w:val="346" w:hRule="exact"/>
        </w:trPr>
        <w:tc>
          <w:tcPr>
            <w:tcW w:w="8823" w:type="dxa"/>
          </w:tcPr>
          <w:p>
            <w:pPr/>
          </w:p>
        </w:tc>
        <w:tc>
          <w:tcPr>
            <w:tcW w:w="1302" w:type="dxa"/>
            <w:tcBorders>
              <w:top w:val="single" w:sz="8" w:space="0" w:color="000000"/>
            </w:tcBorders>
          </w:tcPr>
          <w:p>
            <w:pPr>
              <w:pStyle w:val="TableParagraph"/>
              <w:spacing w:before="107"/>
              <w:ind w:right="55"/>
              <w:jc w:val="right"/>
              <w:rPr>
                <w:b/>
                <w:sz w:val="18"/>
              </w:rPr>
            </w:pPr>
            <w:r>
              <w:rPr>
                <w:b/>
                <w:sz w:val="18"/>
              </w:rPr>
              <w:t>19,022</w:t>
            </w:r>
          </w:p>
        </w:tc>
      </w:tr>
      <w:tr>
        <w:trPr>
          <w:trHeight w:val="251" w:hRule="exact"/>
        </w:trPr>
        <w:tc>
          <w:tcPr>
            <w:tcW w:w="8823" w:type="dxa"/>
          </w:tcPr>
          <w:p>
            <w:pPr>
              <w:pStyle w:val="TableParagraph"/>
              <w:spacing w:before="8"/>
              <w:ind w:left="641"/>
              <w:rPr>
                <w:sz w:val="18"/>
              </w:rPr>
            </w:pPr>
            <w:r>
              <w:rPr>
                <w:sz w:val="18"/>
              </w:rPr>
              <w:t>GST receivable</w:t>
            </w:r>
          </w:p>
        </w:tc>
        <w:tc>
          <w:tcPr>
            <w:tcW w:w="1302" w:type="dxa"/>
          </w:tcPr>
          <w:p>
            <w:pPr>
              <w:pStyle w:val="TableParagraph"/>
              <w:spacing w:before="3"/>
              <w:ind w:right="54"/>
              <w:jc w:val="right"/>
              <w:rPr>
                <w:b/>
                <w:sz w:val="18"/>
              </w:rPr>
            </w:pPr>
            <w:r>
              <w:rPr>
                <w:b/>
                <w:w w:val="95"/>
                <w:sz w:val="18"/>
              </w:rPr>
              <w:t>6,176</w:t>
            </w:r>
          </w:p>
        </w:tc>
      </w:tr>
      <w:tr>
        <w:trPr>
          <w:trHeight w:val="267" w:hRule="exact"/>
        </w:trPr>
        <w:tc>
          <w:tcPr>
            <w:tcW w:w="8823" w:type="dxa"/>
          </w:tcPr>
          <w:p>
            <w:pPr>
              <w:pStyle w:val="TableParagraph"/>
              <w:spacing w:before="21"/>
              <w:ind w:left="641"/>
              <w:rPr>
                <w:sz w:val="18"/>
              </w:rPr>
            </w:pPr>
            <w:r>
              <w:rPr>
                <w:sz w:val="18"/>
              </w:rPr>
              <w:t>Other receivables</w:t>
            </w:r>
          </w:p>
        </w:tc>
        <w:tc>
          <w:tcPr>
            <w:tcW w:w="1302" w:type="dxa"/>
            <w:tcBorders>
              <w:bottom w:val="single" w:sz="8" w:space="0" w:color="000000"/>
            </w:tcBorders>
          </w:tcPr>
          <w:p>
            <w:pPr>
              <w:pStyle w:val="TableParagraph"/>
              <w:spacing w:before="16"/>
              <w:ind w:right="54"/>
              <w:jc w:val="right"/>
              <w:rPr>
                <w:b/>
                <w:sz w:val="18"/>
              </w:rPr>
            </w:pPr>
            <w:r>
              <w:rPr>
                <w:b/>
                <w:w w:val="95"/>
                <w:sz w:val="18"/>
              </w:rPr>
              <w:t>3,020</w:t>
            </w:r>
          </w:p>
        </w:tc>
      </w:tr>
      <w:tr>
        <w:trPr>
          <w:trHeight w:val="353" w:hRule="exact"/>
        </w:trPr>
        <w:tc>
          <w:tcPr>
            <w:tcW w:w="8823" w:type="dxa"/>
          </w:tcPr>
          <w:p>
            <w:pPr>
              <w:pStyle w:val="TableParagraph"/>
              <w:spacing w:before="119"/>
              <w:ind w:left="641"/>
              <w:rPr>
                <w:b/>
                <w:sz w:val="18"/>
              </w:rPr>
            </w:pPr>
            <w:r>
              <w:rPr>
                <w:b/>
                <w:sz w:val="18"/>
              </w:rPr>
              <w:t>Total current and other receivables</w:t>
            </w:r>
          </w:p>
        </w:tc>
        <w:tc>
          <w:tcPr>
            <w:tcW w:w="1302" w:type="dxa"/>
            <w:tcBorders>
              <w:top w:val="single" w:sz="8" w:space="0" w:color="000000"/>
              <w:bottom w:val="single" w:sz="17" w:space="0" w:color="000000"/>
            </w:tcBorders>
          </w:tcPr>
          <w:p>
            <w:pPr>
              <w:pStyle w:val="TableParagraph"/>
              <w:spacing w:before="109"/>
              <w:ind w:right="55"/>
              <w:jc w:val="right"/>
              <w:rPr>
                <w:b/>
                <w:sz w:val="18"/>
              </w:rPr>
            </w:pPr>
            <w:r>
              <w:rPr>
                <w:b/>
                <w:sz w:val="18"/>
              </w:rPr>
              <w:t>28,218</w:t>
            </w:r>
          </w:p>
        </w:tc>
      </w:tr>
      <w:tr>
        <w:trPr>
          <w:trHeight w:val="2127" w:hRule="exact"/>
        </w:trPr>
        <w:tc>
          <w:tcPr>
            <w:tcW w:w="10126" w:type="dxa"/>
            <w:gridSpan w:val="2"/>
          </w:tcPr>
          <w:p>
            <w:pPr>
              <w:pStyle w:val="TableParagraph"/>
              <w:spacing w:before="7"/>
              <w:rPr>
                <w:sz w:val="26"/>
              </w:rPr>
            </w:pPr>
          </w:p>
          <w:p>
            <w:pPr>
              <w:pStyle w:val="TableParagraph"/>
              <w:ind w:left="596" w:right="156"/>
              <w:rPr>
                <w:b/>
                <w:sz w:val="18"/>
              </w:rPr>
            </w:pPr>
            <w:r>
              <w:rPr>
                <w:b/>
                <w:sz w:val="18"/>
              </w:rPr>
              <w:t>Credit risk</w:t>
            </w:r>
          </w:p>
          <w:p>
            <w:pPr>
              <w:pStyle w:val="TableParagraph"/>
              <w:spacing w:before="4"/>
              <w:rPr>
                <w:sz w:val="25"/>
              </w:rPr>
            </w:pPr>
          </w:p>
          <w:p>
            <w:pPr>
              <w:pStyle w:val="TableParagraph"/>
              <w:ind w:left="596" w:right="156"/>
              <w:rPr>
                <w:sz w:val="18"/>
              </w:rPr>
            </w:pPr>
            <w:r>
              <w:rPr>
                <w:sz w:val="18"/>
              </w:rPr>
              <w:t>The Company has no significant concentration of credit risk with respect to any single counter party or group or counterparties. The class of assets described as " trade and other receivables" is considered to be the main source of credit risk related to the Company.</w:t>
            </w:r>
          </w:p>
          <w:p>
            <w:pPr>
              <w:pStyle w:val="TableParagraph"/>
              <w:spacing w:before="2"/>
              <w:rPr>
                <w:sz w:val="25"/>
              </w:rPr>
            </w:pPr>
          </w:p>
          <w:p>
            <w:pPr>
              <w:pStyle w:val="TableParagraph"/>
              <w:ind w:left="595" w:right="355"/>
              <w:rPr>
                <w:sz w:val="18"/>
              </w:rPr>
            </w:pPr>
            <w:r>
              <w:rPr>
                <w:sz w:val="18"/>
              </w:rPr>
              <w:t>The amounts within receivables do not contain impaired assets and are not past due. Based on credit history, it it is expected that these amounts will be received when due.</w:t>
            </w:r>
          </w:p>
        </w:tc>
      </w:tr>
    </w:tbl>
    <w:p>
      <w:pPr>
        <w:spacing w:after="0"/>
        <w:rPr>
          <w:sz w:val="18"/>
        </w:rPr>
        <w:sectPr>
          <w:pgSz w:w="11960" w:h="16850"/>
          <w:pgMar w:header="743" w:footer="507" w:top="1180" w:bottom="700" w:left="700" w:right="900"/>
        </w:sectPr>
      </w:pPr>
    </w:p>
    <w:p>
      <w:pPr>
        <w:pStyle w:val="BodyText"/>
        <w:spacing w:before="8"/>
        <w:rPr>
          <w:sz w:val="23"/>
        </w:rPr>
      </w:pPr>
    </w:p>
    <w:p>
      <w:pPr>
        <w:pStyle w:val="Heading6"/>
        <w:spacing w:before="73"/>
        <w:ind w:left="307" w:right="3233"/>
      </w:pPr>
      <w:r>
        <w:rPr/>
        <w:t>Notes to the Financial Statements</w:t>
      </w:r>
    </w:p>
    <w:p>
      <w:pPr>
        <w:spacing w:before="54"/>
        <w:ind w:left="308" w:right="3233" w:firstLine="0"/>
        <w:jc w:val="left"/>
        <w:rPr>
          <w:b/>
          <w:sz w:val="22"/>
        </w:rPr>
      </w:pPr>
      <w:r>
        <w:rPr>
          <w:b/>
          <w:sz w:val="22"/>
        </w:rPr>
        <w:t>For the period from 2 March 2012 to 31 December 2012</w:t>
      </w:r>
    </w:p>
    <w:p>
      <w:pPr>
        <w:pStyle w:val="BodyText"/>
        <w:rPr>
          <w:b/>
          <w:sz w:val="20"/>
        </w:rPr>
      </w:pPr>
    </w:p>
    <w:p>
      <w:pPr>
        <w:pStyle w:val="BodyText"/>
        <w:rPr>
          <w:b/>
          <w:sz w:val="20"/>
        </w:rPr>
      </w:pPr>
    </w:p>
    <w:p>
      <w:pPr>
        <w:pStyle w:val="BodyText"/>
        <w:spacing w:before="9"/>
        <w:rPr>
          <w:b/>
          <w:sz w:val="13"/>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823"/>
        <w:gridCol w:w="1298"/>
      </w:tblGrid>
      <w:tr>
        <w:trPr>
          <w:trHeight w:val="211" w:hRule="exact"/>
        </w:trPr>
        <w:tc>
          <w:tcPr>
            <w:tcW w:w="8823" w:type="dxa"/>
          </w:tcPr>
          <w:p>
            <w:pPr>
              <w:pStyle w:val="TableParagraph"/>
              <w:tabs>
                <w:tab w:pos="595" w:val="left" w:leader="none"/>
              </w:tabs>
              <w:spacing w:line="184" w:lineRule="exact"/>
              <w:ind w:left="200"/>
              <w:rPr>
                <w:b/>
                <w:sz w:val="18"/>
              </w:rPr>
            </w:pPr>
            <w:r>
              <w:rPr>
                <w:b/>
                <w:sz w:val="18"/>
              </w:rPr>
              <w:t>6</w:t>
              <w:tab/>
              <w:t>Trade and other</w:t>
            </w:r>
            <w:r>
              <w:rPr>
                <w:b/>
                <w:spacing w:val="-10"/>
                <w:sz w:val="18"/>
              </w:rPr>
              <w:t> </w:t>
            </w:r>
            <w:r>
              <w:rPr>
                <w:b/>
                <w:sz w:val="18"/>
              </w:rPr>
              <w:t>payables</w:t>
            </w:r>
          </w:p>
        </w:tc>
        <w:tc>
          <w:tcPr>
            <w:tcW w:w="1298" w:type="dxa"/>
          </w:tcPr>
          <w:p>
            <w:pPr/>
          </w:p>
        </w:tc>
      </w:tr>
      <w:tr>
        <w:trPr>
          <w:trHeight w:val="542" w:hRule="exact"/>
        </w:trPr>
        <w:tc>
          <w:tcPr>
            <w:tcW w:w="8823" w:type="dxa"/>
          </w:tcPr>
          <w:p>
            <w:pPr/>
          </w:p>
        </w:tc>
        <w:tc>
          <w:tcPr>
            <w:tcW w:w="1298" w:type="dxa"/>
          </w:tcPr>
          <w:p>
            <w:pPr>
              <w:pStyle w:val="TableParagraph"/>
              <w:spacing w:before="8"/>
              <w:ind w:left="417" w:right="372"/>
              <w:jc w:val="center"/>
              <w:rPr>
                <w:b/>
                <w:sz w:val="18"/>
              </w:rPr>
            </w:pPr>
            <w:r>
              <w:rPr>
                <w:b/>
                <w:sz w:val="18"/>
              </w:rPr>
              <w:t>2012</w:t>
            </w:r>
          </w:p>
          <w:p>
            <w:pPr>
              <w:pStyle w:val="TableParagraph"/>
              <w:spacing w:before="35"/>
              <w:ind w:left="40"/>
              <w:jc w:val="center"/>
              <w:rPr>
                <w:b/>
                <w:sz w:val="18"/>
              </w:rPr>
            </w:pPr>
            <w:r>
              <w:rPr>
                <w:b/>
                <w:w w:val="99"/>
                <w:sz w:val="18"/>
              </w:rPr>
              <w:t>$</w:t>
            </w:r>
          </w:p>
        </w:tc>
      </w:tr>
      <w:tr>
        <w:trPr>
          <w:trHeight w:val="293" w:hRule="exact"/>
        </w:trPr>
        <w:tc>
          <w:tcPr>
            <w:tcW w:w="8823" w:type="dxa"/>
          </w:tcPr>
          <w:p>
            <w:pPr>
              <w:pStyle w:val="TableParagraph"/>
              <w:spacing w:before="65"/>
              <w:ind w:left="641"/>
              <w:rPr>
                <w:sz w:val="18"/>
              </w:rPr>
            </w:pPr>
            <w:r>
              <w:rPr>
                <w:sz w:val="18"/>
              </w:rPr>
              <w:t>CURRENT</w:t>
            </w:r>
          </w:p>
        </w:tc>
        <w:tc>
          <w:tcPr>
            <w:tcW w:w="1298" w:type="dxa"/>
          </w:tcPr>
          <w:p>
            <w:pPr/>
          </w:p>
        </w:tc>
      </w:tr>
      <w:tr>
        <w:trPr>
          <w:trHeight w:val="248" w:hRule="exact"/>
        </w:trPr>
        <w:tc>
          <w:tcPr>
            <w:tcW w:w="8823" w:type="dxa"/>
          </w:tcPr>
          <w:p>
            <w:pPr>
              <w:pStyle w:val="TableParagraph"/>
              <w:spacing w:before="6"/>
              <w:ind w:left="641"/>
              <w:rPr>
                <w:sz w:val="18"/>
              </w:rPr>
            </w:pPr>
            <w:r>
              <w:rPr>
                <w:sz w:val="18"/>
              </w:rPr>
              <w:t>Trade payables</w:t>
            </w:r>
          </w:p>
        </w:tc>
        <w:tc>
          <w:tcPr>
            <w:tcW w:w="1298" w:type="dxa"/>
          </w:tcPr>
          <w:p>
            <w:pPr>
              <w:pStyle w:val="TableParagraph"/>
              <w:spacing w:before="1"/>
              <w:ind w:right="50"/>
              <w:jc w:val="right"/>
              <w:rPr>
                <w:b/>
                <w:sz w:val="18"/>
              </w:rPr>
            </w:pPr>
            <w:r>
              <w:rPr>
                <w:b/>
                <w:w w:val="95"/>
                <w:sz w:val="18"/>
              </w:rPr>
              <w:t>8,763</w:t>
            </w:r>
          </w:p>
        </w:tc>
      </w:tr>
      <w:tr>
        <w:trPr>
          <w:trHeight w:val="263" w:hRule="exact"/>
        </w:trPr>
        <w:tc>
          <w:tcPr>
            <w:tcW w:w="8823" w:type="dxa"/>
          </w:tcPr>
          <w:p>
            <w:pPr>
              <w:pStyle w:val="TableParagraph"/>
              <w:spacing w:before="21"/>
              <w:ind w:left="641"/>
              <w:rPr>
                <w:sz w:val="18"/>
              </w:rPr>
            </w:pPr>
            <w:r>
              <w:rPr>
                <w:sz w:val="18"/>
              </w:rPr>
              <w:t>Enrolment deposits</w:t>
            </w:r>
          </w:p>
        </w:tc>
        <w:tc>
          <w:tcPr>
            <w:tcW w:w="1298" w:type="dxa"/>
          </w:tcPr>
          <w:p>
            <w:pPr>
              <w:pStyle w:val="TableParagraph"/>
              <w:spacing w:before="16"/>
              <w:ind w:right="50"/>
              <w:jc w:val="right"/>
              <w:rPr>
                <w:b/>
                <w:sz w:val="18"/>
              </w:rPr>
            </w:pPr>
            <w:r>
              <w:rPr>
                <w:b/>
                <w:sz w:val="18"/>
              </w:rPr>
              <w:t>152,168</w:t>
            </w:r>
          </w:p>
        </w:tc>
      </w:tr>
      <w:tr>
        <w:trPr>
          <w:trHeight w:val="263" w:hRule="exact"/>
        </w:trPr>
        <w:tc>
          <w:tcPr>
            <w:tcW w:w="8823" w:type="dxa"/>
          </w:tcPr>
          <w:p>
            <w:pPr>
              <w:pStyle w:val="TableParagraph"/>
              <w:spacing w:before="20"/>
              <w:ind w:left="641"/>
              <w:rPr>
                <w:sz w:val="18"/>
              </w:rPr>
            </w:pPr>
            <w:r>
              <w:rPr>
                <w:sz w:val="18"/>
              </w:rPr>
              <w:t>Accrued expenses</w:t>
            </w:r>
          </w:p>
        </w:tc>
        <w:tc>
          <w:tcPr>
            <w:tcW w:w="1298" w:type="dxa"/>
          </w:tcPr>
          <w:p>
            <w:pPr>
              <w:pStyle w:val="TableParagraph"/>
              <w:spacing w:before="15"/>
              <w:ind w:right="51"/>
              <w:jc w:val="right"/>
              <w:rPr>
                <w:b/>
                <w:sz w:val="18"/>
              </w:rPr>
            </w:pPr>
            <w:r>
              <w:rPr>
                <w:b/>
                <w:sz w:val="18"/>
              </w:rPr>
              <w:t>13,500</w:t>
            </w:r>
          </w:p>
        </w:tc>
      </w:tr>
      <w:tr>
        <w:trPr>
          <w:trHeight w:val="269" w:hRule="exact"/>
        </w:trPr>
        <w:tc>
          <w:tcPr>
            <w:tcW w:w="8823" w:type="dxa"/>
          </w:tcPr>
          <w:p>
            <w:pPr>
              <w:pStyle w:val="TableParagraph"/>
              <w:spacing w:before="21"/>
              <w:ind w:left="641"/>
              <w:rPr>
                <w:sz w:val="18"/>
              </w:rPr>
            </w:pPr>
            <w:r>
              <w:rPr>
                <w:sz w:val="18"/>
              </w:rPr>
              <w:t>Other payables</w:t>
            </w:r>
          </w:p>
        </w:tc>
        <w:tc>
          <w:tcPr>
            <w:tcW w:w="1298" w:type="dxa"/>
            <w:tcBorders>
              <w:bottom w:val="single" w:sz="8" w:space="0" w:color="000000"/>
            </w:tcBorders>
          </w:tcPr>
          <w:p>
            <w:pPr>
              <w:pStyle w:val="TableParagraph"/>
              <w:spacing w:before="16"/>
              <w:ind w:right="51"/>
              <w:jc w:val="right"/>
              <w:rPr>
                <w:b/>
                <w:sz w:val="18"/>
              </w:rPr>
            </w:pPr>
            <w:r>
              <w:rPr>
                <w:b/>
                <w:sz w:val="18"/>
              </w:rPr>
              <w:t>66,935</w:t>
            </w:r>
          </w:p>
        </w:tc>
      </w:tr>
      <w:tr>
        <w:trPr>
          <w:trHeight w:val="350" w:hRule="exact"/>
        </w:trPr>
        <w:tc>
          <w:tcPr>
            <w:tcW w:w="8823" w:type="dxa"/>
          </w:tcPr>
          <w:p>
            <w:pPr/>
          </w:p>
        </w:tc>
        <w:tc>
          <w:tcPr>
            <w:tcW w:w="1298" w:type="dxa"/>
            <w:tcBorders>
              <w:top w:val="single" w:sz="8" w:space="0" w:color="000000"/>
              <w:bottom w:val="single" w:sz="17" w:space="0" w:color="000000"/>
            </w:tcBorders>
          </w:tcPr>
          <w:p>
            <w:pPr>
              <w:pStyle w:val="TableParagraph"/>
              <w:spacing w:before="107"/>
              <w:ind w:right="50"/>
              <w:jc w:val="right"/>
              <w:rPr>
                <w:b/>
                <w:sz w:val="18"/>
              </w:rPr>
            </w:pPr>
            <w:r>
              <w:rPr>
                <w:b/>
                <w:sz w:val="18"/>
              </w:rPr>
              <w:t>241,366</w:t>
            </w:r>
          </w:p>
        </w:tc>
      </w:tr>
      <w:tr>
        <w:trPr>
          <w:trHeight w:val="541" w:hRule="exact"/>
        </w:trPr>
        <w:tc>
          <w:tcPr>
            <w:tcW w:w="8823" w:type="dxa"/>
          </w:tcPr>
          <w:p>
            <w:pPr>
              <w:pStyle w:val="TableParagraph"/>
              <w:spacing w:before="7"/>
              <w:rPr>
                <w:b/>
                <w:sz w:val="26"/>
              </w:rPr>
            </w:pPr>
          </w:p>
          <w:p>
            <w:pPr>
              <w:pStyle w:val="TableParagraph"/>
              <w:tabs>
                <w:tab w:pos="595" w:val="left" w:leader="none"/>
              </w:tabs>
              <w:ind w:left="200"/>
              <w:rPr>
                <w:b/>
                <w:sz w:val="18"/>
              </w:rPr>
            </w:pPr>
            <w:r>
              <w:rPr>
                <w:b/>
                <w:sz w:val="18"/>
              </w:rPr>
              <w:t>7</w:t>
              <w:tab/>
              <w:t>Provisions</w:t>
            </w:r>
          </w:p>
        </w:tc>
        <w:tc>
          <w:tcPr>
            <w:tcW w:w="1298" w:type="dxa"/>
            <w:tcBorders>
              <w:top w:val="single" w:sz="17" w:space="0" w:color="000000"/>
            </w:tcBorders>
          </w:tcPr>
          <w:p>
            <w:pPr/>
          </w:p>
        </w:tc>
      </w:tr>
      <w:tr>
        <w:trPr>
          <w:trHeight w:val="496" w:hRule="exact"/>
        </w:trPr>
        <w:tc>
          <w:tcPr>
            <w:tcW w:w="8823" w:type="dxa"/>
          </w:tcPr>
          <w:p>
            <w:pPr/>
          </w:p>
        </w:tc>
        <w:tc>
          <w:tcPr>
            <w:tcW w:w="1298" w:type="dxa"/>
          </w:tcPr>
          <w:p>
            <w:pPr>
              <w:pStyle w:val="TableParagraph"/>
              <w:spacing w:before="8"/>
              <w:ind w:left="406" w:right="404"/>
              <w:jc w:val="center"/>
              <w:rPr>
                <w:b/>
                <w:sz w:val="18"/>
              </w:rPr>
            </w:pPr>
            <w:r>
              <w:rPr>
                <w:b/>
                <w:sz w:val="18"/>
              </w:rPr>
              <w:t>2012</w:t>
            </w:r>
          </w:p>
          <w:p>
            <w:pPr>
              <w:pStyle w:val="TableParagraph"/>
              <w:spacing w:before="33"/>
              <w:ind w:left="1"/>
              <w:jc w:val="center"/>
              <w:rPr>
                <w:b/>
                <w:sz w:val="18"/>
              </w:rPr>
            </w:pPr>
            <w:r>
              <w:rPr>
                <w:b/>
                <w:w w:val="99"/>
                <w:sz w:val="18"/>
              </w:rPr>
              <w:t>$</w:t>
            </w:r>
          </w:p>
        </w:tc>
      </w:tr>
      <w:tr>
        <w:trPr>
          <w:trHeight w:val="311" w:hRule="exact"/>
        </w:trPr>
        <w:tc>
          <w:tcPr>
            <w:tcW w:w="8823" w:type="dxa"/>
          </w:tcPr>
          <w:p>
            <w:pPr>
              <w:pStyle w:val="TableParagraph"/>
              <w:spacing w:before="21"/>
              <w:ind w:left="598"/>
              <w:rPr>
                <w:b/>
                <w:sz w:val="18"/>
              </w:rPr>
            </w:pPr>
            <w:r>
              <w:rPr>
                <w:b/>
                <w:sz w:val="18"/>
              </w:rPr>
              <w:t>Current provisions expected to be settled within 12 months</w:t>
            </w:r>
          </w:p>
        </w:tc>
        <w:tc>
          <w:tcPr>
            <w:tcW w:w="1298" w:type="dxa"/>
          </w:tcPr>
          <w:p>
            <w:pPr/>
          </w:p>
        </w:tc>
      </w:tr>
      <w:tr>
        <w:trPr>
          <w:trHeight w:val="292" w:hRule="exact"/>
        </w:trPr>
        <w:tc>
          <w:tcPr>
            <w:tcW w:w="8823" w:type="dxa"/>
          </w:tcPr>
          <w:p>
            <w:pPr>
              <w:pStyle w:val="TableParagraph"/>
              <w:spacing w:before="63"/>
              <w:ind w:left="814"/>
              <w:rPr>
                <w:sz w:val="18"/>
              </w:rPr>
            </w:pPr>
            <w:r>
              <w:rPr>
                <w:sz w:val="18"/>
              </w:rPr>
              <w:t>Employee benefits</w:t>
            </w:r>
          </w:p>
        </w:tc>
        <w:tc>
          <w:tcPr>
            <w:tcW w:w="1298" w:type="dxa"/>
          </w:tcPr>
          <w:p>
            <w:pPr/>
          </w:p>
        </w:tc>
      </w:tr>
      <w:tr>
        <w:trPr>
          <w:trHeight w:val="253" w:hRule="exact"/>
        </w:trPr>
        <w:tc>
          <w:tcPr>
            <w:tcW w:w="8823" w:type="dxa"/>
          </w:tcPr>
          <w:p>
            <w:pPr>
              <w:pStyle w:val="TableParagraph"/>
              <w:spacing w:before="7"/>
              <w:ind w:left="956"/>
              <w:rPr>
                <w:sz w:val="18"/>
              </w:rPr>
            </w:pPr>
            <w:r>
              <w:rPr>
                <w:sz w:val="18"/>
              </w:rPr>
              <w:t>Annual leave</w:t>
            </w:r>
          </w:p>
        </w:tc>
        <w:tc>
          <w:tcPr>
            <w:tcW w:w="1298" w:type="dxa"/>
            <w:tcBorders>
              <w:bottom w:val="single" w:sz="8" w:space="0" w:color="000000"/>
            </w:tcBorders>
          </w:tcPr>
          <w:p>
            <w:pPr>
              <w:pStyle w:val="TableParagraph"/>
              <w:spacing w:before="2"/>
              <w:ind w:right="48"/>
              <w:jc w:val="right"/>
              <w:rPr>
                <w:b/>
                <w:sz w:val="18"/>
              </w:rPr>
            </w:pPr>
            <w:r>
              <w:rPr>
                <w:b/>
                <w:sz w:val="18"/>
              </w:rPr>
              <w:t>117,110</w:t>
            </w:r>
          </w:p>
        </w:tc>
      </w:tr>
      <w:tr>
        <w:trPr>
          <w:trHeight w:val="353" w:hRule="exact"/>
        </w:trPr>
        <w:tc>
          <w:tcPr>
            <w:tcW w:w="8823" w:type="dxa"/>
          </w:tcPr>
          <w:p>
            <w:pPr/>
          </w:p>
        </w:tc>
        <w:tc>
          <w:tcPr>
            <w:tcW w:w="1298" w:type="dxa"/>
            <w:tcBorders>
              <w:top w:val="single" w:sz="8" w:space="0" w:color="000000"/>
              <w:bottom w:val="single" w:sz="17" w:space="0" w:color="000000"/>
            </w:tcBorders>
          </w:tcPr>
          <w:p>
            <w:pPr>
              <w:pStyle w:val="TableParagraph"/>
              <w:spacing w:before="109"/>
              <w:ind w:right="48"/>
              <w:jc w:val="right"/>
              <w:rPr>
                <w:b/>
                <w:sz w:val="18"/>
              </w:rPr>
            </w:pPr>
            <w:r>
              <w:rPr>
                <w:b/>
                <w:sz w:val="18"/>
              </w:rPr>
              <w:t>117,110</w:t>
            </w:r>
          </w:p>
        </w:tc>
      </w:tr>
      <w:tr>
        <w:trPr>
          <w:trHeight w:val="334" w:hRule="exact"/>
        </w:trPr>
        <w:tc>
          <w:tcPr>
            <w:tcW w:w="8823" w:type="dxa"/>
          </w:tcPr>
          <w:p>
            <w:pPr>
              <w:pStyle w:val="TableParagraph"/>
              <w:spacing w:before="44"/>
              <w:ind w:left="598"/>
              <w:rPr>
                <w:b/>
                <w:sz w:val="18"/>
              </w:rPr>
            </w:pPr>
            <w:r>
              <w:rPr>
                <w:b/>
                <w:sz w:val="18"/>
              </w:rPr>
              <w:t>Non-current provisions</w:t>
            </w:r>
          </w:p>
        </w:tc>
        <w:tc>
          <w:tcPr>
            <w:tcW w:w="1298" w:type="dxa"/>
            <w:tcBorders>
              <w:top w:val="single" w:sz="17" w:space="0" w:color="000000"/>
            </w:tcBorders>
          </w:tcPr>
          <w:p>
            <w:pPr/>
          </w:p>
        </w:tc>
      </w:tr>
      <w:tr>
        <w:trPr>
          <w:trHeight w:val="290" w:hRule="exact"/>
        </w:trPr>
        <w:tc>
          <w:tcPr>
            <w:tcW w:w="8823" w:type="dxa"/>
          </w:tcPr>
          <w:p>
            <w:pPr>
              <w:pStyle w:val="TableParagraph"/>
              <w:spacing w:before="63"/>
              <w:ind w:left="814"/>
              <w:rPr>
                <w:sz w:val="18"/>
              </w:rPr>
            </w:pPr>
            <w:r>
              <w:rPr>
                <w:sz w:val="18"/>
              </w:rPr>
              <w:t>Employee benefits</w:t>
            </w:r>
          </w:p>
        </w:tc>
        <w:tc>
          <w:tcPr>
            <w:tcW w:w="1298" w:type="dxa"/>
          </w:tcPr>
          <w:p>
            <w:pPr/>
          </w:p>
        </w:tc>
      </w:tr>
      <w:tr>
        <w:trPr>
          <w:trHeight w:val="254" w:hRule="exact"/>
        </w:trPr>
        <w:tc>
          <w:tcPr>
            <w:tcW w:w="8823" w:type="dxa"/>
          </w:tcPr>
          <w:p>
            <w:pPr>
              <w:pStyle w:val="TableParagraph"/>
              <w:spacing w:before="6"/>
              <w:ind w:left="956"/>
              <w:rPr>
                <w:sz w:val="18"/>
              </w:rPr>
            </w:pPr>
            <w:r>
              <w:rPr>
                <w:sz w:val="18"/>
              </w:rPr>
              <w:t>Long service leave</w:t>
            </w:r>
          </w:p>
        </w:tc>
        <w:tc>
          <w:tcPr>
            <w:tcW w:w="1298" w:type="dxa"/>
            <w:tcBorders>
              <w:bottom w:val="single" w:sz="8" w:space="0" w:color="000000"/>
            </w:tcBorders>
          </w:tcPr>
          <w:p>
            <w:pPr>
              <w:pStyle w:val="TableParagraph"/>
              <w:spacing w:before="1"/>
              <w:ind w:right="48"/>
              <w:jc w:val="right"/>
              <w:rPr>
                <w:b/>
                <w:sz w:val="18"/>
              </w:rPr>
            </w:pPr>
            <w:r>
              <w:rPr>
                <w:b/>
                <w:sz w:val="18"/>
              </w:rPr>
              <w:t>112,267</w:t>
            </w:r>
          </w:p>
        </w:tc>
      </w:tr>
      <w:tr>
        <w:trPr>
          <w:trHeight w:val="353" w:hRule="exact"/>
        </w:trPr>
        <w:tc>
          <w:tcPr>
            <w:tcW w:w="8823" w:type="dxa"/>
          </w:tcPr>
          <w:p>
            <w:pPr/>
          </w:p>
        </w:tc>
        <w:tc>
          <w:tcPr>
            <w:tcW w:w="1298" w:type="dxa"/>
            <w:tcBorders>
              <w:top w:val="single" w:sz="8" w:space="0" w:color="000000"/>
              <w:bottom w:val="single" w:sz="17" w:space="0" w:color="000000"/>
            </w:tcBorders>
          </w:tcPr>
          <w:p>
            <w:pPr>
              <w:pStyle w:val="TableParagraph"/>
              <w:spacing w:before="107"/>
              <w:ind w:right="48"/>
              <w:jc w:val="right"/>
              <w:rPr>
                <w:b/>
                <w:sz w:val="18"/>
              </w:rPr>
            </w:pPr>
            <w:r>
              <w:rPr>
                <w:b/>
                <w:sz w:val="18"/>
              </w:rPr>
              <w:t>112,267</w:t>
            </w:r>
          </w:p>
        </w:tc>
      </w:tr>
      <w:tr>
        <w:trPr>
          <w:trHeight w:val="668" w:hRule="exact"/>
        </w:trPr>
        <w:tc>
          <w:tcPr>
            <w:tcW w:w="8823" w:type="dxa"/>
          </w:tcPr>
          <w:p>
            <w:pPr>
              <w:pStyle w:val="TableParagraph"/>
              <w:spacing w:before="5"/>
              <w:rPr>
                <w:b/>
                <w:sz w:val="26"/>
              </w:rPr>
            </w:pPr>
          </w:p>
          <w:p>
            <w:pPr>
              <w:pStyle w:val="TableParagraph"/>
              <w:tabs>
                <w:tab w:pos="595" w:val="left" w:leader="none"/>
              </w:tabs>
              <w:ind w:left="200"/>
              <w:rPr>
                <w:b/>
                <w:sz w:val="18"/>
              </w:rPr>
            </w:pPr>
            <w:r>
              <w:rPr>
                <w:b/>
                <w:sz w:val="18"/>
              </w:rPr>
              <w:t>8</w:t>
              <w:tab/>
              <w:t>Retained</w:t>
            </w:r>
            <w:r>
              <w:rPr>
                <w:b/>
                <w:spacing w:val="-6"/>
                <w:sz w:val="18"/>
              </w:rPr>
              <w:t> </w:t>
            </w:r>
            <w:r>
              <w:rPr>
                <w:b/>
                <w:sz w:val="18"/>
              </w:rPr>
              <w:t>earnings</w:t>
            </w:r>
          </w:p>
        </w:tc>
        <w:tc>
          <w:tcPr>
            <w:tcW w:w="1298" w:type="dxa"/>
            <w:tcBorders>
              <w:top w:val="single" w:sz="17" w:space="0" w:color="000000"/>
            </w:tcBorders>
          </w:tcPr>
          <w:p>
            <w:pPr/>
          </w:p>
        </w:tc>
      </w:tr>
      <w:tr>
        <w:trPr>
          <w:trHeight w:val="370" w:hRule="exact"/>
        </w:trPr>
        <w:tc>
          <w:tcPr>
            <w:tcW w:w="8823" w:type="dxa"/>
          </w:tcPr>
          <w:p>
            <w:pPr>
              <w:pStyle w:val="TableParagraph"/>
              <w:spacing w:before="138"/>
              <w:ind w:left="596"/>
              <w:rPr>
                <w:sz w:val="18"/>
              </w:rPr>
            </w:pPr>
            <w:r>
              <w:rPr>
                <w:sz w:val="18"/>
              </w:rPr>
              <w:t>Movements in retained earnings were as follows:</w:t>
            </w:r>
          </w:p>
        </w:tc>
        <w:tc>
          <w:tcPr>
            <w:tcW w:w="1298" w:type="dxa"/>
          </w:tcPr>
          <w:p>
            <w:pPr/>
          </w:p>
        </w:tc>
      </w:tr>
      <w:tr>
        <w:trPr>
          <w:trHeight w:val="493" w:hRule="exact"/>
        </w:trPr>
        <w:tc>
          <w:tcPr>
            <w:tcW w:w="8823" w:type="dxa"/>
          </w:tcPr>
          <w:p>
            <w:pPr/>
          </w:p>
        </w:tc>
        <w:tc>
          <w:tcPr>
            <w:tcW w:w="1298" w:type="dxa"/>
          </w:tcPr>
          <w:p>
            <w:pPr>
              <w:pStyle w:val="TableParagraph"/>
              <w:spacing w:before="6"/>
              <w:ind w:left="406" w:right="404"/>
              <w:jc w:val="center"/>
              <w:rPr>
                <w:b/>
                <w:sz w:val="18"/>
              </w:rPr>
            </w:pPr>
            <w:r>
              <w:rPr>
                <w:b/>
                <w:sz w:val="18"/>
              </w:rPr>
              <w:t>2012</w:t>
            </w:r>
          </w:p>
          <w:p>
            <w:pPr>
              <w:pStyle w:val="TableParagraph"/>
              <w:spacing w:before="33"/>
              <w:ind w:left="1"/>
              <w:jc w:val="center"/>
              <w:rPr>
                <w:b/>
                <w:sz w:val="18"/>
              </w:rPr>
            </w:pPr>
            <w:r>
              <w:rPr>
                <w:b/>
                <w:w w:val="99"/>
                <w:sz w:val="18"/>
              </w:rPr>
              <w:t>$</w:t>
            </w:r>
          </w:p>
        </w:tc>
      </w:tr>
      <w:tr>
        <w:trPr>
          <w:trHeight w:val="268" w:hRule="exact"/>
        </w:trPr>
        <w:tc>
          <w:tcPr>
            <w:tcW w:w="8823" w:type="dxa"/>
          </w:tcPr>
          <w:p>
            <w:pPr>
              <w:pStyle w:val="TableParagraph"/>
              <w:spacing w:before="26"/>
              <w:ind w:left="598"/>
              <w:rPr>
                <w:sz w:val="18"/>
              </w:rPr>
            </w:pPr>
            <w:r>
              <w:rPr>
                <w:sz w:val="18"/>
              </w:rPr>
              <w:t>Retained earnings at 2 March 2012</w:t>
            </w:r>
          </w:p>
        </w:tc>
        <w:tc>
          <w:tcPr>
            <w:tcW w:w="1298" w:type="dxa"/>
          </w:tcPr>
          <w:p>
            <w:pPr>
              <w:pStyle w:val="TableParagraph"/>
              <w:spacing w:before="21"/>
              <w:ind w:right="84"/>
              <w:jc w:val="right"/>
              <w:rPr>
                <w:b/>
                <w:sz w:val="18"/>
              </w:rPr>
            </w:pPr>
            <w:r>
              <w:rPr>
                <w:b/>
                <w:w w:val="99"/>
                <w:sz w:val="18"/>
              </w:rPr>
              <w:t>-</w:t>
            </w:r>
          </w:p>
        </w:tc>
      </w:tr>
      <w:tr>
        <w:trPr>
          <w:trHeight w:val="268" w:hRule="exact"/>
        </w:trPr>
        <w:tc>
          <w:tcPr>
            <w:tcW w:w="8823" w:type="dxa"/>
          </w:tcPr>
          <w:p>
            <w:pPr>
              <w:pStyle w:val="TableParagraph"/>
              <w:spacing w:before="20"/>
              <w:ind w:left="598"/>
              <w:rPr>
                <w:sz w:val="18"/>
              </w:rPr>
            </w:pPr>
            <w:r>
              <w:rPr>
                <w:sz w:val="18"/>
              </w:rPr>
              <w:t>Surplus for the period</w:t>
            </w:r>
          </w:p>
        </w:tc>
        <w:tc>
          <w:tcPr>
            <w:tcW w:w="1298" w:type="dxa"/>
            <w:tcBorders>
              <w:bottom w:val="single" w:sz="8" w:space="0" w:color="000000"/>
            </w:tcBorders>
          </w:tcPr>
          <w:p>
            <w:pPr>
              <w:pStyle w:val="TableParagraph"/>
              <w:spacing w:before="15"/>
              <w:ind w:right="48"/>
              <w:jc w:val="right"/>
              <w:rPr>
                <w:b/>
                <w:sz w:val="18"/>
              </w:rPr>
            </w:pPr>
            <w:r>
              <w:rPr>
                <w:b/>
                <w:sz w:val="18"/>
              </w:rPr>
              <w:t>404,365</w:t>
            </w:r>
          </w:p>
        </w:tc>
      </w:tr>
      <w:tr>
        <w:trPr>
          <w:trHeight w:val="362" w:hRule="exact"/>
        </w:trPr>
        <w:tc>
          <w:tcPr>
            <w:tcW w:w="8823" w:type="dxa"/>
          </w:tcPr>
          <w:p>
            <w:pPr>
              <w:pStyle w:val="TableParagraph"/>
              <w:spacing w:before="121"/>
              <w:ind w:left="598"/>
              <w:rPr>
                <w:sz w:val="18"/>
              </w:rPr>
            </w:pPr>
            <w:r>
              <w:rPr>
                <w:sz w:val="18"/>
              </w:rPr>
              <w:t>Balance at 31 December</w:t>
            </w:r>
          </w:p>
        </w:tc>
        <w:tc>
          <w:tcPr>
            <w:tcW w:w="1298" w:type="dxa"/>
            <w:tcBorders>
              <w:top w:val="single" w:sz="8" w:space="0" w:color="000000"/>
              <w:bottom w:val="single" w:sz="23" w:space="0" w:color="000000"/>
            </w:tcBorders>
          </w:tcPr>
          <w:p>
            <w:pPr>
              <w:pStyle w:val="TableParagraph"/>
              <w:spacing w:before="107"/>
              <w:ind w:right="48"/>
              <w:jc w:val="right"/>
              <w:rPr>
                <w:b/>
                <w:sz w:val="18"/>
              </w:rPr>
            </w:pPr>
            <w:r>
              <w:rPr>
                <w:b/>
                <w:sz w:val="18"/>
              </w:rPr>
              <w:t>404,365</w:t>
            </w:r>
          </w:p>
        </w:tc>
      </w:tr>
    </w:tbl>
    <w:p>
      <w:pPr>
        <w:spacing w:after="0"/>
        <w:jc w:val="right"/>
        <w:rPr>
          <w:sz w:val="18"/>
        </w:rPr>
        <w:sectPr>
          <w:pgSz w:w="11960" w:h="16850"/>
          <w:pgMar w:header="743" w:footer="507" w:top="1180" w:bottom="700" w:left="700" w:right="920"/>
        </w:sectPr>
      </w:pPr>
    </w:p>
    <w:p>
      <w:pPr>
        <w:pStyle w:val="BodyText"/>
        <w:spacing w:before="8"/>
        <w:rPr>
          <w:b/>
          <w:sz w:val="23"/>
        </w:rPr>
      </w:pPr>
    </w:p>
    <w:p>
      <w:pPr>
        <w:spacing w:before="73"/>
        <w:ind w:left="307" w:right="181" w:firstLine="0"/>
        <w:jc w:val="left"/>
        <w:rPr>
          <w:b/>
          <w:sz w:val="22"/>
        </w:rPr>
      </w:pPr>
      <w:r>
        <w:rPr>
          <w:b/>
          <w:sz w:val="22"/>
        </w:rPr>
        <w:t>Notes to the Financial Statements</w:t>
      </w:r>
    </w:p>
    <w:p>
      <w:pPr>
        <w:spacing w:before="54"/>
        <w:ind w:left="308" w:right="181" w:firstLine="0"/>
        <w:jc w:val="left"/>
        <w:rPr>
          <w:b/>
          <w:sz w:val="22"/>
        </w:rPr>
      </w:pPr>
      <w:r>
        <w:rPr>
          <w:b/>
          <w:sz w:val="22"/>
        </w:rPr>
        <w:t>For the period from 2 March 2012 to 31 December 2012</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7"/>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323"/>
      </w:tblGrid>
      <w:tr>
        <w:trPr>
          <w:trHeight w:val="338" w:hRule="exact"/>
        </w:trPr>
        <w:tc>
          <w:tcPr>
            <w:tcW w:w="10323" w:type="dxa"/>
          </w:tcPr>
          <w:p>
            <w:pPr>
              <w:pStyle w:val="TableParagraph"/>
              <w:tabs>
                <w:tab w:pos="595" w:val="left" w:leader="none"/>
              </w:tabs>
              <w:spacing w:line="184" w:lineRule="exact"/>
              <w:ind w:left="200" w:right="134"/>
              <w:rPr>
                <w:b/>
                <w:sz w:val="18"/>
              </w:rPr>
            </w:pPr>
            <w:r>
              <w:rPr>
                <w:b/>
                <w:sz w:val="18"/>
              </w:rPr>
              <w:t>9</w:t>
              <w:tab/>
              <w:t>Key management personnel</w:t>
            </w:r>
            <w:r>
              <w:rPr>
                <w:b/>
                <w:spacing w:val="-16"/>
                <w:sz w:val="18"/>
              </w:rPr>
              <w:t> </w:t>
            </w:r>
            <w:r>
              <w:rPr>
                <w:b/>
                <w:sz w:val="18"/>
              </w:rPr>
              <w:t>disclosures</w:t>
            </w:r>
          </w:p>
        </w:tc>
      </w:tr>
      <w:tr>
        <w:trPr>
          <w:trHeight w:val="498" w:hRule="exact"/>
        </w:trPr>
        <w:tc>
          <w:tcPr>
            <w:tcW w:w="10323" w:type="dxa"/>
          </w:tcPr>
          <w:p>
            <w:pPr>
              <w:pStyle w:val="TableParagraph"/>
              <w:tabs>
                <w:tab w:pos="1162" w:val="left" w:leader="none"/>
              </w:tabs>
              <w:spacing w:before="135"/>
              <w:ind w:left="596" w:right="134"/>
              <w:rPr>
                <w:b/>
                <w:sz w:val="18"/>
              </w:rPr>
            </w:pPr>
            <w:r>
              <w:rPr>
                <w:b/>
                <w:sz w:val="18"/>
              </w:rPr>
              <w:t>(a)</w:t>
              <w:tab/>
              <w:t>Names of responsible persons and executive</w:t>
            </w:r>
            <w:r>
              <w:rPr>
                <w:b/>
                <w:spacing w:val="-17"/>
                <w:sz w:val="18"/>
              </w:rPr>
              <w:t> </w:t>
            </w:r>
            <w:r>
              <w:rPr>
                <w:b/>
                <w:sz w:val="18"/>
              </w:rPr>
              <w:t>officers</w:t>
            </w:r>
          </w:p>
        </w:tc>
      </w:tr>
      <w:tr>
        <w:trPr>
          <w:trHeight w:val="3886" w:hRule="exact"/>
        </w:trPr>
        <w:tc>
          <w:tcPr>
            <w:tcW w:w="10323" w:type="dxa"/>
          </w:tcPr>
          <w:p>
            <w:pPr>
              <w:pStyle w:val="TableParagraph"/>
              <w:spacing w:before="136"/>
              <w:ind w:left="1164" w:right="134"/>
              <w:rPr>
                <w:sz w:val="18"/>
              </w:rPr>
            </w:pPr>
            <w:r>
              <w:rPr>
                <w:sz w:val="18"/>
              </w:rPr>
              <w:t>The following persons were responsible persons and executive officers of UWS Early Learning Limited during the financial period.</w:t>
            </w:r>
          </w:p>
          <w:p>
            <w:pPr>
              <w:pStyle w:val="TableParagraph"/>
              <w:spacing w:before="11"/>
              <w:rPr>
                <w:b/>
                <w:sz w:val="24"/>
              </w:rPr>
            </w:pPr>
          </w:p>
          <w:p>
            <w:pPr>
              <w:pStyle w:val="TableParagraph"/>
              <w:ind w:left="1164" w:right="134"/>
              <w:rPr>
                <w:sz w:val="18"/>
              </w:rPr>
            </w:pPr>
            <w:r>
              <w:rPr>
                <w:sz w:val="18"/>
              </w:rPr>
              <w:t>Responsible Persons:</w:t>
            </w:r>
          </w:p>
          <w:p>
            <w:pPr>
              <w:pStyle w:val="TableParagraph"/>
              <w:spacing w:before="2"/>
              <w:rPr>
                <w:b/>
                <w:sz w:val="25"/>
              </w:rPr>
            </w:pPr>
          </w:p>
          <w:p>
            <w:pPr>
              <w:pStyle w:val="TableParagraph"/>
              <w:spacing w:line="576" w:lineRule="auto"/>
              <w:ind w:left="1164" w:right="5248"/>
              <w:rPr>
                <w:sz w:val="18"/>
              </w:rPr>
            </w:pPr>
            <w:r>
              <w:rPr>
                <w:sz w:val="18"/>
              </w:rPr>
              <w:t>Mr Kerry Michael O’Reilly – Finance Manager Mrs Linda Williams - Operations Manager</w:t>
            </w:r>
          </w:p>
          <w:p>
            <w:pPr>
              <w:pStyle w:val="TableParagraph"/>
              <w:spacing w:before="6"/>
              <w:ind w:left="1164" w:right="995"/>
              <w:rPr>
                <w:sz w:val="18"/>
              </w:rPr>
            </w:pPr>
            <w:r>
              <w:rPr>
                <w:sz w:val="18"/>
              </w:rPr>
              <w:t>All responsible persons and executive officers are employees of the University of Western Sydney and remunerated directly by the University.</w:t>
            </w:r>
          </w:p>
          <w:p>
            <w:pPr>
              <w:pStyle w:val="TableParagraph"/>
              <w:spacing w:before="6"/>
              <w:rPr>
                <w:b/>
                <w:sz w:val="24"/>
              </w:rPr>
            </w:pPr>
          </w:p>
          <w:p>
            <w:pPr>
              <w:pStyle w:val="TableParagraph"/>
              <w:tabs>
                <w:tab w:pos="1162" w:val="left" w:leader="none"/>
              </w:tabs>
              <w:ind w:left="595" w:right="134"/>
              <w:rPr>
                <w:b/>
                <w:sz w:val="18"/>
              </w:rPr>
            </w:pPr>
            <w:r>
              <w:rPr>
                <w:b/>
                <w:sz w:val="18"/>
              </w:rPr>
              <w:t>(b)</w:t>
              <w:tab/>
              <w:t>Remuneration of Board</w:t>
            </w:r>
            <w:r>
              <w:rPr>
                <w:b/>
                <w:spacing w:val="-14"/>
                <w:sz w:val="18"/>
              </w:rPr>
              <w:t> </w:t>
            </w:r>
            <w:r>
              <w:rPr>
                <w:b/>
                <w:sz w:val="18"/>
              </w:rPr>
              <w:t>Members</w:t>
            </w:r>
          </w:p>
          <w:p>
            <w:pPr>
              <w:pStyle w:val="TableParagraph"/>
              <w:spacing w:before="7"/>
              <w:rPr>
                <w:b/>
                <w:sz w:val="25"/>
              </w:rPr>
            </w:pPr>
          </w:p>
          <w:p>
            <w:pPr>
              <w:pStyle w:val="TableParagraph"/>
              <w:ind w:left="1162" w:right="134"/>
              <w:rPr>
                <w:sz w:val="18"/>
              </w:rPr>
            </w:pPr>
            <w:r>
              <w:rPr>
                <w:sz w:val="18"/>
              </w:rPr>
              <w:t>No Board Member is remunerated for their services.</w:t>
            </w:r>
          </w:p>
        </w:tc>
      </w:tr>
      <w:tr>
        <w:trPr>
          <w:trHeight w:val="335" w:hRule="exact"/>
        </w:trPr>
        <w:tc>
          <w:tcPr>
            <w:tcW w:w="10323" w:type="dxa"/>
          </w:tcPr>
          <w:p>
            <w:pPr>
              <w:pStyle w:val="TableParagraph"/>
              <w:spacing w:before="132"/>
              <w:ind w:left="200" w:right="134"/>
              <w:rPr>
                <w:b/>
                <w:sz w:val="18"/>
              </w:rPr>
            </w:pPr>
            <w:r>
              <w:rPr>
                <w:b/>
                <w:sz w:val="18"/>
              </w:rPr>
              <w:t>10    Remuneration of auditors</w:t>
            </w:r>
          </w:p>
        </w:tc>
      </w:tr>
    </w:tbl>
    <w:p>
      <w:pPr>
        <w:pStyle w:val="BodyText"/>
        <w:spacing w:before="3"/>
        <w:rPr>
          <w:b/>
          <w:sz w:val="19"/>
        </w:rPr>
      </w:pPr>
    </w:p>
    <w:p>
      <w:pPr>
        <w:pStyle w:val="BodyText"/>
        <w:spacing w:before="77" w:after="54"/>
        <w:ind w:left="704" w:right="181"/>
      </w:pPr>
      <w:r>
        <w:rPr/>
        <w:t>During the period, the following fees were paid for services provided by the auditor of UWS Early Learning Limited:</w:t>
      </w: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823"/>
        <w:gridCol w:w="1298"/>
      </w:tblGrid>
      <w:tr>
        <w:trPr>
          <w:trHeight w:val="464" w:hRule="exact"/>
        </w:trPr>
        <w:tc>
          <w:tcPr>
            <w:tcW w:w="8823" w:type="dxa"/>
          </w:tcPr>
          <w:p>
            <w:pPr/>
          </w:p>
        </w:tc>
        <w:tc>
          <w:tcPr>
            <w:tcW w:w="1298" w:type="dxa"/>
          </w:tcPr>
          <w:p>
            <w:pPr>
              <w:pStyle w:val="TableParagraph"/>
              <w:spacing w:line="184" w:lineRule="exact"/>
              <w:ind w:left="417" w:right="367"/>
              <w:jc w:val="center"/>
              <w:rPr>
                <w:b/>
                <w:sz w:val="18"/>
              </w:rPr>
            </w:pPr>
            <w:r>
              <w:rPr>
                <w:b/>
                <w:sz w:val="18"/>
              </w:rPr>
              <w:t>2012</w:t>
            </w:r>
          </w:p>
          <w:p>
            <w:pPr>
              <w:pStyle w:val="TableParagraph"/>
              <w:spacing w:before="33"/>
              <w:ind w:left="45"/>
              <w:jc w:val="center"/>
              <w:rPr>
                <w:b/>
                <w:sz w:val="18"/>
              </w:rPr>
            </w:pPr>
            <w:r>
              <w:rPr>
                <w:b/>
                <w:w w:val="99"/>
                <w:sz w:val="18"/>
              </w:rPr>
              <w:t>$</w:t>
            </w:r>
          </w:p>
        </w:tc>
      </w:tr>
      <w:tr>
        <w:trPr>
          <w:trHeight w:val="265" w:hRule="exact"/>
        </w:trPr>
        <w:tc>
          <w:tcPr>
            <w:tcW w:w="8823" w:type="dxa"/>
          </w:tcPr>
          <w:p>
            <w:pPr>
              <w:pStyle w:val="TableParagraph"/>
              <w:spacing w:before="21"/>
              <w:ind w:left="641"/>
              <w:rPr>
                <w:b/>
                <w:sz w:val="18"/>
              </w:rPr>
            </w:pPr>
            <w:r>
              <w:rPr>
                <w:b/>
                <w:sz w:val="18"/>
              </w:rPr>
              <w:t>Audit and review of the financial statements</w:t>
            </w:r>
          </w:p>
        </w:tc>
        <w:tc>
          <w:tcPr>
            <w:tcW w:w="1298" w:type="dxa"/>
          </w:tcPr>
          <w:p>
            <w:pPr/>
          </w:p>
        </w:tc>
      </w:tr>
      <w:tr>
        <w:trPr>
          <w:trHeight w:val="283" w:hRule="exact"/>
        </w:trPr>
        <w:tc>
          <w:tcPr>
            <w:tcW w:w="8823" w:type="dxa"/>
          </w:tcPr>
          <w:p>
            <w:pPr>
              <w:pStyle w:val="TableParagraph"/>
              <w:spacing w:before="22"/>
              <w:ind w:left="641"/>
              <w:rPr>
                <w:sz w:val="18"/>
              </w:rPr>
            </w:pPr>
            <w:r>
              <w:rPr>
                <w:sz w:val="18"/>
              </w:rPr>
              <w:t>Fees paid to The Audit Office of New South Wales (incl. of GST)</w:t>
            </w:r>
          </w:p>
        </w:tc>
        <w:tc>
          <w:tcPr>
            <w:tcW w:w="1298" w:type="dxa"/>
            <w:tcBorders>
              <w:bottom w:val="single" w:sz="17" w:space="0" w:color="000000"/>
            </w:tcBorders>
          </w:tcPr>
          <w:p>
            <w:pPr>
              <w:pStyle w:val="TableParagraph"/>
              <w:spacing w:before="18"/>
              <w:ind w:left="696"/>
              <w:rPr>
                <w:b/>
                <w:sz w:val="18"/>
              </w:rPr>
            </w:pPr>
            <w:r>
              <w:rPr>
                <w:b/>
                <w:sz w:val="18"/>
              </w:rPr>
              <w:t>14,850</w:t>
            </w:r>
          </w:p>
        </w:tc>
      </w:tr>
      <w:tr>
        <w:trPr>
          <w:trHeight w:val="509" w:hRule="exact"/>
        </w:trPr>
        <w:tc>
          <w:tcPr>
            <w:tcW w:w="8823" w:type="dxa"/>
          </w:tcPr>
          <w:p>
            <w:pPr>
              <w:pStyle w:val="TableParagraph"/>
              <w:spacing w:before="7"/>
              <w:rPr>
                <w:sz w:val="26"/>
              </w:rPr>
            </w:pPr>
          </w:p>
          <w:p>
            <w:pPr>
              <w:pStyle w:val="TableParagraph"/>
              <w:ind w:left="200"/>
              <w:rPr>
                <w:b/>
                <w:sz w:val="18"/>
              </w:rPr>
            </w:pPr>
            <w:r>
              <w:rPr>
                <w:b/>
                <w:sz w:val="18"/>
              </w:rPr>
              <w:t>11   Contingencies</w:t>
            </w:r>
          </w:p>
        </w:tc>
        <w:tc>
          <w:tcPr>
            <w:tcW w:w="1298" w:type="dxa"/>
            <w:tcBorders>
              <w:top w:val="single" w:sz="17" w:space="0" w:color="000000"/>
            </w:tcBorders>
          </w:tcPr>
          <w:p>
            <w:pPr/>
          </w:p>
        </w:tc>
      </w:tr>
    </w:tbl>
    <w:p>
      <w:pPr>
        <w:pStyle w:val="BodyText"/>
        <w:rPr>
          <w:sz w:val="19"/>
        </w:rPr>
      </w:pPr>
    </w:p>
    <w:p>
      <w:pPr>
        <w:pStyle w:val="BodyText"/>
        <w:spacing w:before="77"/>
        <w:ind w:left="704" w:right="181"/>
      </w:pPr>
      <w:r>
        <w:rPr/>
        <w:t>The Company had no contingent liabilities at 31 December 2012.</w:t>
      </w:r>
    </w:p>
    <w:p>
      <w:pPr>
        <w:pStyle w:val="BodyText"/>
        <w:spacing w:before="9"/>
        <w:rPr>
          <w:sz w:val="26"/>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81"/>
      </w:tblGrid>
      <w:tr>
        <w:trPr>
          <w:trHeight w:val="341" w:hRule="exact"/>
        </w:trPr>
        <w:tc>
          <w:tcPr>
            <w:tcW w:w="5481" w:type="dxa"/>
          </w:tcPr>
          <w:p>
            <w:pPr>
              <w:pStyle w:val="TableParagraph"/>
              <w:spacing w:line="184" w:lineRule="exact"/>
              <w:ind w:left="200"/>
              <w:rPr>
                <w:b/>
                <w:sz w:val="18"/>
              </w:rPr>
            </w:pPr>
            <w:r>
              <w:rPr>
                <w:b/>
                <w:sz w:val="18"/>
              </w:rPr>
              <w:t>12   Commitments</w:t>
            </w:r>
          </w:p>
        </w:tc>
      </w:tr>
      <w:tr>
        <w:trPr>
          <w:trHeight w:val="341" w:hRule="exact"/>
        </w:trPr>
        <w:tc>
          <w:tcPr>
            <w:tcW w:w="5481" w:type="dxa"/>
          </w:tcPr>
          <w:p>
            <w:pPr>
              <w:pStyle w:val="TableParagraph"/>
              <w:spacing w:before="138"/>
              <w:ind w:left="596"/>
              <w:rPr>
                <w:sz w:val="18"/>
              </w:rPr>
            </w:pPr>
            <w:r>
              <w:rPr>
                <w:sz w:val="18"/>
              </w:rPr>
              <w:t>The Company had no commitments at 31 December 2012.</w:t>
            </w:r>
          </w:p>
        </w:tc>
      </w:tr>
    </w:tbl>
    <w:p>
      <w:pPr>
        <w:spacing w:after="0"/>
        <w:rPr>
          <w:sz w:val="18"/>
        </w:rPr>
        <w:sectPr>
          <w:pgSz w:w="11960" w:h="16850"/>
          <w:pgMar w:header="743" w:footer="507" w:top="1180" w:bottom="700" w:left="700" w:right="720"/>
        </w:sectPr>
      </w:pPr>
    </w:p>
    <w:p>
      <w:pPr>
        <w:pStyle w:val="BodyText"/>
        <w:spacing w:before="8"/>
        <w:rPr>
          <w:sz w:val="23"/>
        </w:rPr>
      </w:pPr>
    </w:p>
    <w:p>
      <w:pPr>
        <w:pStyle w:val="Heading6"/>
        <w:spacing w:before="73"/>
        <w:ind w:left="307" w:right="25"/>
      </w:pPr>
      <w:r>
        <w:rPr/>
        <w:t>Notes to the Financial Statements</w:t>
      </w:r>
    </w:p>
    <w:p>
      <w:pPr>
        <w:spacing w:before="54"/>
        <w:ind w:left="308" w:right="25" w:firstLine="0"/>
        <w:jc w:val="left"/>
        <w:rPr>
          <w:b/>
          <w:sz w:val="22"/>
        </w:rPr>
      </w:pPr>
      <w:r>
        <w:rPr>
          <w:b/>
          <w:sz w:val="22"/>
        </w:rPr>
        <w:t>For the period from 2 March 2012 to 31 December 2012</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7"/>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237"/>
      </w:tblGrid>
      <w:tr>
        <w:trPr>
          <w:trHeight w:val="338" w:hRule="exact"/>
        </w:trPr>
        <w:tc>
          <w:tcPr>
            <w:tcW w:w="5237" w:type="dxa"/>
          </w:tcPr>
          <w:p>
            <w:pPr>
              <w:pStyle w:val="TableParagraph"/>
              <w:spacing w:line="184" w:lineRule="exact"/>
              <w:ind w:left="200"/>
              <w:rPr>
                <w:b/>
                <w:sz w:val="18"/>
              </w:rPr>
            </w:pPr>
            <w:r>
              <w:rPr>
                <w:b/>
                <w:sz w:val="18"/>
              </w:rPr>
              <w:t>13    Related Parties</w:t>
            </w:r>
          </w:p>
        </w:tc>
      </w:tr>
      <w:tr>
        <w:trPr>
          <w:trHeight w:val="338" w:hRule="exact"/>
        </w:trPr>
        <w:tc>
          <w:tcPr>
            <w:tcW w:w="5237" w:type="dxa"/>
          </w:tcPr>
          <w:p>
            <w:pPr>
              <w:pStyle w:val="TableParagraph"/>
              <w:tabs>
                <w:tab w:pos="1162" w:val="left" w:leader="none"/>
              </w:tabs>
              <w:spacing w:before="135"/>
              <w:ind w:left="596"/>
              <w:rPr>
                <w:b/>
                <w:sz w:val="18"/>
              </w:rPr>
            </w:pPr>
            <w:r>
              <w:rPr>
                <w:b/>
                <w:sz w:val="18"/>
              </w:rPr>
              <w:t>(a)</w:t>
              <w:tab/>
              <w:t>Entities exercising control over the</w:t>
            </w:r>
            <w:r>
              <w:rPr>
                <w:b/>
                <w:spacing w:val="-12"/>
                <w:sz w:val="18"/>
              </w:rPr>
              <w:t> </w:t>
            </w:r>
            <w:r>
              <w:rPr>
                <w:b/>
                <w:sz w:val="18"/>
              </w:rPr>
              <w:t>Company</w:t>
            </w:r>
          </w:p>
        </w:tc>
      </w:tr>
    </w:tbl>
    <w:p>
      <w:pPr>
        <w:pStyle w:val="BodyText"/>
        <w:rPr>
          <w:b/>
          <w:sz w:val="19"/>
        </w:rPr>
      </w:pPr>
    </w:p>
    <w:p>
      <w:pPr>
        <w:pStyle w:val="BodyText"/>
        <w:spacing w:before="77"/>
        <w:ind w:left="1272" w:right="25"/>
      </w:pPr>
      <w:r>
        <w:rPr/>
        <w:t>The ultimate parent entity of the Company is the University of Western Sydney.</w:t>
      </w:r>
    </w:p>
    <w:p>
      <w:pPr>
        <w:pStyle w:val="BodyText"/>
        <w:spacing w:before="9"/>
        <w:rPr>
          <w:sz w:val="24"/>
        </w:rPr>
      </w:pPr>
    </w:p>
    <w:p>
      <w:pPr>
        <w:pStyle w:val="Heading9"/>
        <w:numPr>
          <w:ilvl w:val="0"/>
          <w:numId w:val="119"/>
        </w:numPr>
        <w:tabs>
          <w:tab w:pos="1271" w:val="left" w:leader="none"/>
        </w:tabs>
        <w:spacing w:line="240" w:lineRule="auto" w:before="0" w:after="0"/>
        <w:ind w:left="1270" w:right="0" w:hanging="566"/>
        <w:jc w:val="left"/>
      </w:pPr>
      <w:r>
        <w:rPr/>
        <w:t>Transactions with related</w:t>
      </w:r>
      <w:r>
        <w:rPr>
          <w:spacing w:val="-13"/>
        </w:rPr>
        <w:t> </w:t>
      </w:r>
      <w:r>
        <w:rPr/>
        <w:t>parties</w:t>
      </w:r>
    </w:p>
    <w:p>
      <w:pPr>
        <w:pStyle w:val="BodyText"/>
        <w:spacing w:before="7"/>
        <w:rPr>
          <w:b/>
          <w:sz w:val="25"/>
        </w:rPr>
      </w:pPr>
    </w:p>
    <w:p>
      <w:pPr>
        <w:pStyle w:val="BodyText"/>
        <w:spacing w:after="51"/>
        <w:ind w:left="1272" w:right="25"/>
      </w:pPr>
      <w:r>
        <w:rPr/>
        <w:t>The following transactions occurred with related parties:</w:t>
      </w: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823"/>
        <w:gridCol w:w="1298"/>
      </w:tblGrid>
      <w:tr>
        <w:trPr>
          <w:trHeight w:val="511" w:hRule="exact"/>
        </w:trPr>
        <w:tc>
          <w:tcPr>
            <w:tcW w:w="8823" w:type="dxa"/>
          </w:tcPr>
          <w:p>
            <w:pPr/>
          </w:p>
        </w:tc>
        <w:tc>
          <w:tcPr>
            <w:tcW w:w="1298" w:type="dxa"/>
          </w:tcPr>
          <w:p>
            <w:pPr>
              <w:pStyle w:val="TableParagraph"/>
              <w:spacing w:line="184" w:lineRule="exact"/>
              <w:ind w:left="417" w:right="367"/>
              <w:jc w:val="center"/>
              <w:rPr>
                <w:b/>
                <w:sz w:val="18"/>
              </w:rPr>
            </w:pPr>
            <w:r>
              <w:rPr>
                <w:b/>
                <w:sz w:val="18"/>
              </w:rPr>
              <w:t>2012</w:t>
            </w:r>
          </w:p>
          <w:p>
            <w:pPr>
              <w:pStyle w:val="TableParagraph"/>
              <w:spacing w:before="35"/>
              <w:ind w:left="45"/>
              <w:jc w:val="center"/>
              <w:rPr>
                <w:b/>
                <w:sz w:val="18"/>
              </w:rPr>
            </w:pPr>
            <w:r>
              <w:rPr>
                <w:b/>
                <w:w w:val="99"/>
                <w:sz w:val="18"/>
              </w:rPr>
              <w:t>$</w:t>
            </w:r>
          </w:p>
        </w:tc>
      </w:tr>
      <w:tr>
        <w:trPr>
          <w:trHeight w:val="294" w:hRule="exact"/>
        </w:trPr>
        <w:tc>
          <w:tcPr>
            <w:tcW w:w="8823" w:type="dxa"/>
          </w:tcPr>
          <w:p>
            <w:pPr>
              <w:pStyle w:val="TableParagraph"/>
              <w:spacing w:before="65"/>
              <w:ind w:left="1294"/>
              <w:rPr>
                <w:sz w:val="18"/>
              </w:rPr>
            </w:pPr>
            <w:r>
              <w:rPr>
                <w:sz w:val="18"/>
              </w:rPr>
              <w:t>Subsidies</w:t>
            </w:r>
          </w:p>
        </w:tc>
        <w:tc>
          <w:tcPr>
            <w:tcW w:w="1298" w:type="dxa"/>
          </w:tcPr>
          <w:p>
            <w:pPr/>
          </w:p>
        </w:tc>
      </w:tr>
      <w:tr>
        <w:trPr>
          <w:trHeight w:val="265" w:hRule="exact"/>
        </w:trPr>
        <w:tc>
          <w:tcPr>
            <w:tcW w:w="8823" w:type="dxa"/>
          </w:tcPr>
          <w:p>
            <w:pPr>
              <w:pStyle w:val="TableParagraph"/>
              <w:spacing w:before="7"/>
              <w:ind w:left="1510"/>
              <w:rPr>
                <w:sz w:val="18"/>
              </w:rPr>
            </w:pPr>
            <w:r>
              <w:rPr>
                <w:sz w:val="18"/>
              </w:rPr>
              <w:t>The University of Western Sydney</w:t>
            </w:r>
          </w:p>
        </w:tc>
        <w:tc>
          <w:tcPr>
            <w:tcW w:w="1298" w:type="dxa"/>
            <w:tcBorders>
              <w:bottom w:val="single" w:sz="17" w:space="0" w:color="000000"/>
            </w:tcBorders>
          </w:tcPr>
          <w:p>
            <w:pPr>
              <w:pStyle w:val="TableParagraph"/>
              <w:spacing w:before="2"/>
              <w:ind w:left="595"/>
              <w:rPr>
                <w:b/>
                <w:sz w:val="18"/>
              </w:rPr>
            </w:pPr>
            <w:r>
              <w:rPr>
                <w:b/>
                <w:sz w:val="18"/>
              </w:rPr>
              <w:t>139,389</w:t>
            </w:r>
          </w:p>
        </w:tc>
      </w:tr>
      <w:tr>
        <w:trPr>
          <w:trHeight w:val="509" w:hRule="exact"/>
        </w:trPr>
        <w:tc>
          <w:tcPr>
            <w:tcW w:w="8823" w:type="dxa"/>
          </w:tcPr>
          <w:p>
            <w:pPr>
              <w:pStyle w:val="TableParagraph"/>
              <w:spacing w:before="7"/>
              <w:rPr>
                <w:sz w:val="26"/>
              </w:rPr>
            </w:pPr>
          </w:p>
          <w:p>
            <w:pPr>
              <w:pStyle w:val="TableParagraph"/>
              <w:ind w:left="200"/>
              <w:rPr>
                <w:b/>
                <w:sz w:val="18"/>
              </w:rPr>
            </w:pPr>
            <w:r>
              <w:rPr>
                <w:b/>
                <w:sz w:val="18"/>
              </w:rPr>
              <w:t>14    Donation from UWS Early Learning Incorporated</w:t>
            </w:r>
          </w:p>
        </w:tc>
        <w:tc>
          <w:tcPr>
            <w:tcW w:w="1298" w:type="dxa"/>
            <w:tcBorders>
              <w:top w:val="single" w:sz="17" w:space="0" w:color="000000"/>
            </w:tcBorders>
          </w:tcPr>
          <w:p>
            <w:pPr/>
          </w:p>
        </w:tc>
      </w:tr>
    </w:tbl>
    <w:p>
      <w:pPr>
        <w:pStyle w:val="BodyText"/>
        <w:spacing w:before="3"/>
        <w:rPr>
          <w:sz w:val="19"/>
        </w:rPr>
      </w:pPr>
    </w:p>
    <w:p>
      <w:pPr>
        <w:pStyle w:val="BodyText"/>
        <w:spacing w:before="77"/>
        <w:ind w:left="732" w:right="25"/>
      </w:pPr>
      <w:r>
        <w:rPr/>
        <w:t>The</w:t>
      </w:r>
      <w:r>
        <w:rPr>
          <w:spacing w:val="-9"/>
        </w:rPr>
        <w:t> </w:t>
      </w:r>
      <w:r>
        <w:rPr/>
        <w:t>child</w:t>
      </w:r>
      <w:r>
        <w:rPr>
          <w:spacing w:val="-9"/>
        </w:rPr>
        <w:t> </w:t>
      </w:r>
      <w:r>
        <w:rPr/>
        <w:t>care</w:t>
      </w:r>
      <w:r>
        <w:rPr>
          <w:spacing w:val="-11"/>
        </w:rPr>
        <w:t> </w:t>
      </w:r>
      <w:r>
        <w:rPr/>
        <w:t>centres</w:t>
      </w:r>
      <w:r>
        <w:rPr>
          <w:spacing w:val="-10"/>
        </w:rPr>
        <w:t> </w:t>
      </w:r>
      <w:r>
        <w:rPr/>
        <w:t>located</w:t>
      </w:r>
      <w:r>
        <w:rPr>
          <w:spacing w:val="-13"/>
        </w:rPr>
        <w:t> </w:t>
      </w:r>
      <w:r>
        <w:rPr/>
        <w:t>on</w:t>
      </w:r>
      <w:r>
        <w:rPr>
          <w:spacing w:val="-9"/>
        </w:rPr>
        <w:t> </w:t>
      </w:r>
      <w:r>
        <w:rPr/>
        <w:t>the</w:t>
      </w:r>
      <w:r>
        <w:rPr>
          <w:spacing w:val="-11"/>
        </w:rPr>
        <w:t> </w:t>
      </w:r>
      <w:r>
        <w:rPr/>
        <w:t>campuses</w:t>
      </w:r>
      <w:r>
        <w:rPr>
          <w:spacing w:val="-8"/>
        </w:rPr>
        <w:t> </w:t>
      </w:r>
      <w:r>
        <w:rPr/>
        <w:t>of</w:t>
      </w:r>
      <w:r>
        <w:rPr>
          <w:spacing w:val="-11"/>
        </w:rPr>
        <w:t> </w:t>
      </w:r>
      <w:r>
        <w:rPr/>
        <w:t>Hawkesbury,</w:t>
      </w:r>
      <w:r>
        <w:rPr>
          <w:spacing w:val="-9"/>
        </w:rPr>
        <w:t> </w:t>
      </w:r>
      <w:r>
        <w:rPr/>
        <w:t>Penrith,</w:t>
      </w:r>
      <w:r>
        <w:rPr>
          <w:spacing w:val="-11"/>
        </w:rPr>
        <w:t> </w:t>
      </w:r>
      <w:r>
        <w:rPr/>
        <w:t>Campbelltown</w:t>
      </w:r>
      <w:r>
        <w:rPr>
          <w:spacing w:val="-9"/>
        </w:rPr>
        <w:t> </w:t>
      </w:r>
      <w:r>
        <w:rPr/>
        <w:t>and</w:t>
      </w:r>
      <w:r>
        <w:rPr>
          <w:spacing w:val="-11"/>
        </w:rPr>
        <w:t> </w:t>
      </w:r>
      <w:r>
        <w:rPr/>
        <w:t>Blacktown</w:t>
      </w:r>
      <w:r>
        <w:rPr>
          <w:spacing w:val="-9"/>
        </w:rPr>
        <w:t> </w:t>
      </w:r>
      <w:r>
        <w:rPr/>
        <w:t>that</w:t>
      </w:r>
      <w:r>
        <w:rPr>
          <w:spacing w:val="-11"/>
        </w:rPr>
        <w:t> </w:t>
      </w:r>
      <w:r>
        <w:rPr/>
        <w:t>formed</w:t>
      </w:r>
      <w:r>
        <w:rPr>
          <w:spacing w:val="-13"/>
        </w:rPr>
        <w:t> </w:t>
      </w:r>
      <w:r>
        <w:rPr/>
        <w:t>UWS Early Learning Incorporated merged to become UWS Early Learning Ltd as from 2 March 2012. Upon this date the Incorporated Association (a controlled entity of the University) deregistered and was replaced with the new company UWS</w:t>
      </w:r>
      <w:r>
        <w:rPr>
          <w:spacing w:val="-13"/>
        </w:rPr>
        <w:t> </w:t>
      </w:r>
      <w:r>
        <w:rPr/>
        <w:t>Early</w:t>
      </w:r>
      <w:r>
        <w:rPr>
          <w:spacing w:val="-14"/>
        </w:rPr>
        <w:t> </w:t>
      </w:r>
      <w:r>
        <w:rPr/>
        <w:t>Learning</w:t>
      </w:r>
      <w:r>
        <w:rPr>
          <w:spacing w:val="-12"/>
        </w:rPr>
        <w:t> </w:t>
      </w:r>
      <w:r>
        <w:rPr/>
        <w:t>Ltd.</w:t>
      </w:r>
      <w:r>
        <w:rPr>
          <w:spacing w:val="-12"/>
        </w:rPr>
        <w:t> </w:t>
      </w:r>
      <w:r>
        <w:rPr/>
        <w:t>Upon</w:t>
      </w:r>
      <w:r>
        <w:rPr>
          <w:spacing w:val="-14"/>
        </w:rPr>
        <w:t> </w:t>
      </w:r>
      <w:r>
        <w:rPr/>
        <w:t>deregistration</w:t>
      </w:r>
      <w:r>
        <w:rPr>
          <w:spacing w:val="-12"/>
        </w:rPr>
        <w:t> </w:t>
      </w:r>
      <w:r>
        <w:rPr/>
        <w:t>the</w:t>
      </w:r>
      <w:r>
        <w:rPr>
          <w:spacing w:val="-12"/>
        </w:rPr>
        <w:t> </w:t>
      </w:r>
      <w:r>
        <w:rPr/>
        <w:t>Incorporated</w:t>
      </w:r>
      <w:r>
        <w:rPr>
          <w:spacing w:val="-12"/>
        </w:rPr>
        <w:t> </w:t>
      </w:r>
      <w:r>
        <w:rPr/>
        <w:t>Association</w:t>
      </w:r>
      <w:r>
        <w:rPr>
          <w:spacing w:val="-12"/>
        </w:rPr>
        <w:t> </w:t>
      </w:r>
      <w:r>
        <w:rPr/>
        <w:t>donated</w:t>
      </w:r>
      <w:r>
        <w:rPr>
          <w:spacing w:val="-14"/>
        </w:rPr>
        <w:t> </w:t>
      </w:r>
      <w:r>
        <w:rPr/>
        <w:t>its</w:t>
      </w:r>
      <w:r>
        <w:rPr>
          <w:spacing w:val="-14"/>
        </w:rPr>
        <w:t> </w:t>
      </w:r>
      <w:r>
        <w:rPr/>
        <w:t>net</w:t>
      </w:r>
      <w:r>
        <w:rPr>
          <w:spacing w:val="-15"/>
        </w:rPr>
        <w:t> </w:t>
      </w:r>
      <w:r>
        <w:rPr/>
        <w:t>proceeds</w:t>
      </w:r>
      <w:r>
        <w:rPr>
          <w:spacing w:val="-14"/>
        </w:rPr>
        <w:t> </w:t>
      </w:r>
      <w:r>
        <w:rPr/>
        <w:t>to</w:t>
      </w:r>
      <w:r>
        <w:rPr>
          <w:spacing w:val="-12"/>
        </w:rPr>
        <w:t> </w:t>
      </w:r>
      <w:r>
        <w:rPr/>
        <w:t>the</w:t>
      </w:r>
      <w:r>
        <w:rPr>
          <w:spacing w:val="-12"/>
        </w:rPr>
        <w:t> </w:t>
      </w:r>
      <w:r>
        <w:rPr/>
        <w:t>new</w:t>
      </w:r>
      <w:r>
        <w:rPr>
          <w:spacing w:val="-15"/>
        </w:rPr>
        <w:t> </w:t>
      </w:r>
      <w:r>
        <w:rPr/>
        <w:t>company. The net proceeds amounted to $207,632 which was recorded as the opening balance in the accounting records of the company.</w:t>
      </w:r>
    </w:p>
    <w:p>
      <w:pPr>
        <w:pStyle w:val="BodyText"/>
      </w:pPr>
    </w:p>
    <w:p>
      <w:pPr>
        <w:pStyle w:val="BodyText"/>
      </w:pPr>
    </w:p>
    <w:p>
      <w:pPr>
        <w:pStyle w:val="Heading9"/>
        <w:spacing w:before="144"/>
        <w:ind w:left="307" w:right="25"/>
      </w:pPr>
      <w:r>
        <w:rPr/>
        <w:t>15    Events occurring after the reporting date</w:t>
      </w:r>
    </w:p>
    <w:p>
      <w:pPr>
        <w:pStyle w:val="BodyText"/>
        <w:spacing w:before="7"/>
        <w:rPr>
          <w:b/>
          <w:sz w:val="25"/>
        </w:rPr>
      </w:pPr>
    </w:p>
    <w:p>
      <w:pPr>
        <w:pStyle w:val="BodyText"/>
        <w:ind w:left="703" w:right="25"/>
      </w:pPr>
      <w:r>
        <w:rPr/>
        <w:t>No matters or circumstances have arisen since the end of the financial period which significantly affected or may significantly</w:t>
      </w:r>
      <w:r>
        <w:rPr>
          <w:spacing w:val="-11"/>
        </w:rPr>
        <w:t> </w:t>
      </w:r>
      <w:r>
        <w:rPr/>
        <w:t>affect</w:t>
      </w:r>
      <w:r>
        <w:rPr>
          <w:spacing w:val="-11"/>
        </w:rPr>
        <w:t> </w:t>
      </w:r>
      <w:r>
        <w:rPr/>
        <w:t>the</w:t>
      </w:r>
      <w:r>
        <w:rPr>
          <w:spacing w:val="-10"/>
        </w:rPr>
        <w:t> </w:t>
      </w:r>
      <w:r>
        <w:rPr/>
        <w:t>operations</w:t>
      </w:r>
      <w:r>
        <w:rPr>
          <w:spacing w:val="-11"/>
        </w:rPr>
        <w:t> </w:t>
      </w:r>
      <w:r>
        <w:rPr/>
        <w:t>of</w:t>
      </w:r>
      <w:r>
        <w:rPr>
          <w:spacing w:val="-10"/>
        </w:rPr>
        <w:t> </w:t>
      </w:r>
      <w:r>
        <w:rPr/>
        <w:t>the</w:t>
      </w:r>
      <w:r>
        <w:rPr>
          <w:spacing w:val="-10"/>
        </w:rPr>
        <w:t> </w:t>
      </w:r>
      <w:r>
        <w:rPr/>
        <w:t>Company,</w:t>
      </w:r>
      <w:r>
        <w:rPr>
          <w:spacing w:val="-10"/>
        </w:rPr>
        <w:t> </w:t>
      </w:r>
      <w:r>
        <w:rPr/>
        <w:t>the</w:t>
      </w:r>
      <w:r>
        <w:rPr>
          <w:spacing w:val="-10"/>
        </w:rPr>
        <w:t> </w:t>
      </w:r>
      <w:r>
        <w:rPr/>
        <w:t>results</w:t>
      </w:r>
      <w:r>
        <w:rPr>
          <w:spacing w:val="-13"/>
        </w:rPr>
        <w:t> </w:t>
      </w:r>
      <w:r>
        <w:rPr/>
        <w:t>of</w:t>
      </w:r>
      <w:r>
        <w:rPr>
          <w:spacing w:val="-10"/>
        </w:rPr>
        <w:t> </w:t>
      </w:r>
      <w:r>
        <w:rPr/>
        <w:t>those</w:t>
      </w:r>
      <w:r>
        <w:rPr>
          <w:spacing w:val="-11"/>
        </w:rPr>
        <w:t> </w:t>
      </w:r>
      <w:r>
        <w:rPr/>
        <w:t>operations,</w:t>
      </w:r>
      <w:r>
        <w:rPr>
          <w:spacing w:val="-11"/>
        </w:rPr>
        <w:t> </w:t>
      </w:r>
      <w:r>
        <w:rPr/>
        <w:t>or</w:t>
      </w:r>
      <w:r>
        <w:rPr>
          <w:spacing w:val="-10"/>
        </w:rPr>
        <w:t> </w:t>
      </w:r>
      <w:r>
        <w:rPr/>
        <w:t>the</w:t>
      </w:r>
      <w:r>
        <w:rPr>
          <w:spacing w:val="-11"/>
        </w:rPr>
        <w:t> </w:t>
      </w:r>
      <w:r>
        <w:rPr/>
        <w:t>state</w:t>
      </w:r>
      <w:r>
        <w:rPr>
          <w:spacing w:val="-10"/>
        </w:rPr>
        <w:t> </w:t>
      </w:r>
      <w:r>
        <w:rPr/>
        <w:t>of</w:t>
      </w:r>
      <w:r>
        <w:rPr>
          <w:spacing w:val="-11"/>
        </w:rPr>
        <w:t> </w:t>
      </w:r>
      <w:r>
        <w:rPr/>
        <w:t>affairs</w:t>
      </w:r>
      <w:r>
        <w:rPr>
          <w:spacing w:val="-11"/>
        </w:rPr>
        <w:t> </w:t>
      </w:r>
      <w:r>
        <w:rPr/>
        <w:t>of</w:t>
      </w:r>
      <w:r>
        <w:rPr>
          <w:spacing w:val="-11"/>
        </w:rPr>
        <w:t> </w:t>
      </w:r>
      <w:r>
        <w:rPr/>
        <w:t>the</w:t>
      </w:r>
      <w:r>
        <w:rPr>
          <w:spacing w:val="-10"/>
        </w:rPr>
        <w:t> </w:t>
      </w:r>
      <w:r>
        <w:rPr/>
        <w:t>Company</w:t>
      </w:r>
      <w:r>
        <w:rPr>
          <w:spacing w:val="-13"/>
        </w:rPr>
        <w:t> </w:t>
      </w:r>
      <w:r>
        <w:rPr/>
        <w:t>in future financial</w:t>
      </w:r>
      <w:r>
        <w:rPr>
          <w:spacing w:val="-10"/>
        </w:rPr>
        <w:t> </w:t>
      </w:r>
      <w:r>
        <w:rPr/>
        <w:t>years.</w:t>
      </w:r>
    </w:p>
    <w:p>
      <w:pPr>
        <w:pStyle w:val="BodyText"/>
        <w:spacing w:before="6"/>
        <w:rPr>
          <w:sz w:val="26"/>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766"/>
        <w:gridCol w:w="1356"/>
      </w:tblGrid>
      <w:tr>
        <w:trPr>
          <w:trHeight w:val="211" w:hRule="exact"/>
        </w:trPr>
        <w:tc>
          <w:tcPr>
            <w:tcW w:w="10122" w:type="dxa"/>
            <w:gridSpan w:val="2"/>
          </w:tcPr>
          <w:p>
            <w:pPr>
              <w:pStyle w:val="TableParagraph"/>
              <w:spacing w:line="184" w:lineRule="exact"/>
              <w:ind w:left="200"/>
              <w:rPr>
                <w:b/>
                <w:sz w:val="18"/>
              </w:rPr>
            </w:pPr>
            <w:r>
              <w:rPr>
                <w:b/>
                <w:sz w:val="18"/>
              </w:rPr>
              <w:t>16   Reconciliation of operating surplus to net cash provided by / (used in) operating activities</w:t>
            </w:r>
          </w:p>
        </w:tc>
      </w:tr>
      <w:tr>
        <w:trPr>
          <w:trHeight w:val="496" w:hRule="exact"/>
        </w:trPr>
        <w:tc>
          <w:tcPr>
            <w:tcW w:w="8766" w:type="dxa"/>
          </w:tcPr>
          <w:p>
            <w:pPr/>
          </w:p>
        </w:tc>
        <w:tc>
          <w:tcPr>
            <w:tcW w:w="1356" w:type="dxa"/>
          </w:tcPr>
          <w:p>
            <w:pPr>
              <w:pStyle w:val="TableParagraph"/>
              <w:spacing w:before="8"/>
              <w:ind w:left="480" w:right="435"/>
              <w:jc w:val="center"/>
              <w:rPr>
                <w:b/>
                <w:sz w:val="18"/>
              </w:rPr>
            </w:pPr>
            <w:r>
              <w:rPr>
                <w:b/>
                <w:sz w:val="18"/>
              </w:rPr>
              <w:t>2012</w:t>
            </w:r>
          </w:p>
          <w:p>
            <w:pPr>
              <w:pStyle w:val="TableParagraph"/>
              <w:spacing w:before="33"/>
              <w:ind w:left="45"/>
              <w:jc w:val="center"/>
              <w:rPr>
                <w:b/>
                <w:sz w:val="18"/>
              </w:rPr>
            </w:pPr>
            <w:r>
              <w:rPr>
                <w:b/>
                <w:w w:val="99"/>
                <w:sz w:val="18"/>
              </w:rPr>
              <w:t>$</w:t>
            </w:r>
          </w:p>
        </w:tc>
      </w:tr>
      <w:tr>
        <w:trPr>
          <w:trHeight w:val="313" w:hRule="exact"/>
        </w:trPr>
        <w:tc>
          <w:tcPr>
            <w:tcW w:w="8766" w:type="dxa"/>
          </w:tcPr>
          <w:p>
            <w:pPr>
              <w:pStyle w:val="TableParagraph"/>
              <w:spacing w:before="26"/>
              <w:ind w:left="641"/>
              <w:rPr>
                <w:sz w:val="18"/>
              </w:rPr>
            </w:pPr>
            <w:r>
              <w:rPr>
                <w:sz w:val="18"/>
              </w:rPr>
              <w:t>Surplus for the period</w:t>
            </w:r>
          </w:p>
        </w:tc>
        <w:tc>
          <w:tcPr>
            <w:tcW w:w="1356" w:type="dxa"/>
          </w:tcPr>
          <w:p>
            <w:pPr>
              <w:pStyle w:val="TableParagraph"/>
              <w:spacing w:before="21"/>
              <w:ind w:right="50"/>
              <w:jc w:val="right"/>
              <w:rPr>
                <w:b/>
                <w:sz w:val="18"/>
              </w:rPr>
            </w:pPr>
            <w:r>
              <w:rPr>
                <w:b/>
                <w:sz w:val="18"/>
              </w:rPr>
              <w:t>404,365</w:t>
            </w:r>
          </w:p>
        </w:tc>
      </w:tr>
      <w:tr>
        <w:trPr>
          <w:trHeight w:val="288" w:hRule="exact"/>
        </w:trPr>
        <w:tc>
          <w:tcPr>
            <w:tcW w:w="8766" w:type="dxa"/>
          </w:tcPr>
          <w:p>
            <w:pPr>
              <w:pStyle w:val="TableParagraph"/>
              <w:spacing w:before="61"/>
              <w:ind w:left="641"/>
              <w:rPr>
                <w:sz w:val="18"/>
              </w:rPr>
            </w:pPr>
            <w:r>
              <w:rPr>
                <w:sz w:val="18"/>
              </w:rPr>
              <w:t>Change in operating assets and liabilities:</w:t>
            </w:r>
          </w:p>
        </w:tc>
        <w:tc>
          <w:tcPr>
            <w:tcW w:w="1356" w:type="dxa"/>
          </w:tcPr>
          <w:p>
            <w:pPr/>
          </w:p>
        </w:tc>
      </w:tr>
      <w:tr>
        <w:trPr>
          <w:trHeight w:val="248" w:hRule="exact"/>
        </w:trPr>
        <w:tc>
          <w:tcPr>
            <w:tcW w:w="8766" w:type="dxa"/>
          </w:tcPr>
          <w:p>
            <w:pPr>
              <w:pStyle w:val="TableParagraph"/>
              <w:spacing w:before="6"/>
              <w:ind w:left="857"/>
              <w:rPr>
                <w:sz w:val="18"/>
              </w:rPr>
            </w:pPr>
            <w:r>
              <w:rPr>
                <w:sz w:val="18"/>
              </w:rPr>
              <w:t>(Increase) / decrease in trade debtors</w:t>
            </w:r>
          </w:p>
        </w:tc>
        <w:tc>
          <w:tcPr>
            <w:tcW w:w="1356" w:type="dxa"/>
          </w:tcPr>
          <w:p>
            <w:pPr>
              <w:pStyle w:val="TableParagraph"/>
              <w:spacing w:before="1"/>
              <w:ind w:right="50"/>
              <w:jc w:val="right"/>
              <w:rPr>
                <w:b/>
                <w:sz w:val="18"/>
              </w:rPr>
            </w:pPr>
            <w:r>
              <w:rPr>
                <w:b/>
                <w:sz w:val="18"/>
              </w:rPr>
              <w:t>(28,218)</w:t>
            </w:r>
          </w:p>
        </w:tc>
      </w:tr>
      <w:tr>
        <w:trPr>
          <w:trHeight w:val="264" w:hRule="exact"/>
        </w:trPr>
        <w:tc>
          <w:tcPr>
            <w:tcW w:w="8766" w:type="dxa"/>
          </w:tcPr>
          <w:p>
            <w:pPr>
              <w:pStyle w:val="TableParagraph"/>
              <w:spacing w:before="21"/>
              <w:ind w:left="857"/>
              <w:rPr>
                <w:sz w:val="18"/>
              </w:rPr>
            </w:pPr>
            <w:r>
              <w:rPr>
                <w:sz w:val="18"/>
              </w:rPr>
              <w:t>Increase / (decrease) in trade creditors</w:t>
            </w:r>
          </w:p>
        </w:tc>
        <w:tc>
          <w:tcPr>
            <w:tcW w:w="1356" w:type="dxa"/>
          </w:tcPr>
          <w:p>
            <w:pPr>
              <w:pStyle w:val="TableParagraph"/>
              <w:spacing w:before="16"/>
              <w:ind w:right="50"/>
              <w:jc w:val="right"/>
              <w:rPr>
                <w:b/>
                <w:sz w:val="18"/>
              </w:rPr>
            </w:pPr>
            <w:r>
              <w:rPr>
                <w:b/>
                <w:sz w:val="18"/>
              </w:rPr>
              <w:t>241,366</w:t>
            </w:r>
          </w:p>
        </w:tc>
      </w:tr>
      <w:tr>
        <w:trPr>
          <w:trHeight w:val="263" w:hRule="exact"/>
        </w:trPr>
        <w:tc>
          <w:tcPr>
            <w:tcW w:w="8766" w:type="dxa"/>
          </w:tcPr>
          <w:p>
            <w:pPr>
              <w:pStyle w:val="TableParagraph"/>
              <w:spacing w:before="21"/>
              <w:ind w:right="4020"/>
              <w:jc w:val="right"/>
              <w:rPr>
                <w:sz w:val="18"/>
              </w:rPr>
            </w:pPr>
            <w:r>
              <w:rPr>
                <w:sz w:val="18"/>
              </w:rPr>
              <w:t>Increase / (decrease) in other operating liabilities</w:t>
            </w:r>
          </w:p>
        </w:tc>
        <w:tc>
          <w:tcPr>
            <w:tcW w:w="1356" w:type="dxa"/>
          </w:tcPr>
          <w:p>
            <w:pPr>
              <w:pStyle w:val="TableParagraph"/>
              <w:spacing w:before="16"/>
              <w:ind w:right="51"/>
              <w:jc w:val="right"/>
              <w:rPr>
                <w:b/>
                <w:sz w:val="18"/>
              </w:rPr>
            </w:pPr>
            <w:r>
              <w:rPr>
                <w:b/>
                <w:sz w:val="18"/>
              </w:rPr>
              <w:t>26,380</w:t>
            </w:r>
          </w:p>
        </w:tc>
      </w:tr>
      <w:tr>
        <w:trPr>
          <w:trHeight w:val="268" w:hRule="exact"/>
        </w:trPr>
        <w:tc>
          <w:tcPr>
            <w:tcW w:w="8766" w:type="dxa"/>
          </w:tcPr>
          <w:p>
            <w:pPr>
              <w:pStyle w:val="TableParagraph"/>
              <w:spacing w:before="20"/>
              <w:ind w:left="857"/>
              <w:rPr>
                <w:sz w:val="18"/>
              </w:rPr>
            </w:pPr>
            <w:r>
              <w:rPr>
                <w:sz w:val="18"/>
              </w:rPr>
              <w:t>Increase / (decrease) in other provisions</w:t>
            </w:r>
          </w:p>
        </w:tc>
        <w:tc>
          <w:tcPr>
            <w:tcW w:w="1356" w:type="dxa"/>
            <w:tcBorders>
              <w:bottom w:val="single" w:sz="8" w:space="0" w:color="000000"/>
            </w:tcBorders>
          </w:tcPr>
          <w:p>
            <w:pPr>
              <w:pStyle w:val="TableParagraph"/>
              <w:spacing w:before="15"/>
              <w:ind w:right="50"/>
              <w:jc w:val="right"/>
              <w:rPr>
                <w:b/>
                <w:sz w:val="18"/>
              </w:rPr>
            </w:pPr>
            <w:r>
              <w:rPr>
                <w:b/>
                <w:sz w:val="18"/>
              </w:rPr>
              <w:t>229,377</w:t>
            </w:r>
          </w:p>
        </w:tc>
      </w:tr>
      <w:tr>
        <w:trPr>
          <w:trHeight w:val="350" w:hRule="exact"/>
        </w:trPr>
        <w:tc>
          <w:tcPr>
            <w:tcW w:w="8766" w:type="dxa"/>
          </w:tcPr>
          <w:p>
            <w:pPr>
              <w:pStyle w:val="TableParagraph"/>
              <w:spacing w:before="35"/>
              <w:ind w:right="4037"/>
              <w:jc w:val="right"/>
              <w:rPr>
                <w:sz w:val="18"/>
              </w:rPr>
            </w:pPr>
            <w:r>
              <w:rPr>
                <w:sz w:val="18"/>
              </w:rPr>
              <w:t>Net cash provided by / (used in) operating activities</w:t>
            </w:r>
          </w:p>
        </w:tc>
        <w:tc>
          <w:tcPr>
            <w:tcW w:w="1356" w:type="dxa"/>
            <w:tcBorders>
              <w:top w:val="single" w:sz="8" w:space="0" w:color="000000"/>
              <w:bottom w:val="single" w:sz="17" w:space="0" w:color="000000"/>
            </w:tcBorders>
          </w:tcPr>
          <w:p>
            <w:pPr>
              <w:pStyle w:val="TableParagraph"/>
              <w:spacing w:before="107"/>
              <w:ind w:right="50"/>
              <w:jc w:val="right"/>
              <w:rPr>
                <w:b/>
                <w:sz w:val="18"/>
              </w:rPr>
            </w:pPr>
            <w:r>
              <w:rPr>
                <w:b/>
                <w:sz w:val="18"/>
              </w:rPr>
              <w:t>873,270</w:t>
            </w:r>
          </w:p>
        </w:tc>
      </w:tr>
      <w:tr>
        <w:trPr>
          <w:trHeight w:val="509" w:hRule="exact"/>
        </w:trPr>
        <w:tc>
          <w:tcPr>
            <w:tcW w:w="8766" w:type="dxa"/>
          </w:tcPr>
          <w:p>
            <w:pPr>
              <w:pStyle w:val="TableParagraph"/>
              <w:spacing w:before="7"/>
              <w:rPr>
                <w:sz w:val="26"/>
              </w:rPr>
            </w:pPr>
          </w:p>
          <w:p>
            <w:pPr>
              <w:pStyle w:val="TableParagraph"/>
              <w:ind w:left="200"/>
              <w:rPr>
                <w:b/>
                <w:sz w:val="18"/>
              </w:rPr>
            </w:pPr>
            <w:r>
              <w:rPr>
                <w:b/>
                <w:sz w:val="18"/>
              </w:rPr>
              <w:t>17    Financial risk management</w:t>
            </w:r>
          </w:p>
        </w:tc>
        <w:tc>
          <w:tcPr>
            <w:tcW w:w="1356" w:type="dxa"/>
            <w:tcBorders>
              <w:top w:val="single" w:sz="17" w:space="0" w:color="000000"/>
            </w:tcBorders>
          </w:tcPr>
          <w:p>
            <w:pPr/>
          </w:p>
        </w:tc>
      </w:tr>
    </w:tbl>
    <w:p>
      <w:pPr>
        <w:pStyle w:val="BodyText"/>
        <w:spacing w:before="3"/>
        <w:rPr>
          <w:sz w:val="19"/>
        </w:rPr>
      </w:pPr>
    </w:p>
    <w:p>
      <w:pPr>
        <w:pStyle w:val="BodyText"/>
        <w:spacing w:before="77"/>
        <w:ind w:left="704" w:right="98"/>
      </w:pPr>
      <w:r>
        <w:rPr/>
        <w:t>The Company's activities expose it to a variety of financial risks: market risk (including fair value interest rate risk), credit risk and liquidity risk. The Company's overall risk management program focuses on the unpredictability of financial markets and seeks to minimise potential adverse effects on the financial performance of the Company. The Company uses different methods to measure different types of risk to which it is exposed. These methods include sensitivity analysis in the case of interest rate and aging analysis for credit risk to determine market risk.</w:t>
      </w:r>
    </w:p>
    <w:p>
      <w:pPr>
        <w:spacing w:after="0"/>
        <w:sectPr>
          <w:pgSz w:w="11960" w:h="16850"/>
          <w:pgMar w:header="743" w:footer="507" w:top="1180" w:bottom="700" w:left="700" w:right="900"/>
        </w:sectPr>
      </w:pPr>
    </w:p>
    <w:p>
      <w:pPr>
        <w:pStyle w:val="BodyText"/>
        <w:spacing w:before="8"/>
        <w:rPr>
          <w:sz w:val="23"/>
        </w:rPr>
      </w:pPr>
    </w:p>
    <w:p>
      <w:pPr>
        <w:pStyle w:val="Heading6"/>
        <w:spacing w:before="73"/>
        <w:ind w:right="210"/>
      </w:pPr>
      <w:r>
        <w:rPr/>
        <w:t>Notes to the Financial Statements</w:t>
      </w:r>
    </w:p>
    <w:p>
      <w:pPr>
        <w:spacing w:before="54"/>
        <w:ind w:left="108" w:right="210" w:firstLine="0"/>
        <w:jc w:val="left"/>
        <w:rPr>
          <w:b/>
          <w:sz w:val="22"/>
        </w:rPr>
      </w:pPr>
      <w:r>
        <w:rPr>
          <w:b/>
          <w:sz w:val="22"/>
        </w:rPr>
        <w:t>For the period from 2 March 2012 to 31 December 2012</w:t>
      </w:r>
    </w:p>
    <w:p>
      <w:pPr>
        <w:pStyle w:val="BodyText"/>
        <w:rPr>
          <w:b/>
          <w:sz w:val="22"/>
        </w:rPr>
      </w:pPr>
    </w:p>
    <w:p>
      <w:pPr>
        <w:pStyle w:val="BodyText"/>
        <w:spacing w:before="9"/>
        <w:rPr>
          <w:b/>
          <w:sz w:val="29"/>
        </w:rPr>
      </w:pPr>
    </w:p>
    <w:p>
      <w:pPr>
        <w:pStyle w:val="Heading9"/>
        <w:ind w:left="107" w:right="210"/>
      </w:pPr>
      <w:r>
        <w:rPr/>
        <w:t>17    Financial risk management continued</w:t>
      </w:r>
    </w:p>
    <w:p>
      <w:pPr>
        <w:pStyle w:val="BodyText"/>
        <w:spacing w:before="7"/>
        <w:rPr>
          <w:b/>
          <w:sz w:val="25"/>
        </w:rPr>
      </w:pPr>
    </w:p>
    <w:p>
      <w:pPr>
        <w:pStyle w:val="BodyText"/>
        <w:spacing w:after="54"/>
        <w:ind w:left="504" w:right="210"/>
      </w:pPr>
      <w:r>
        <w:rPr/>
        <w:t>The Company holds the following financial instruments:</w:t>
      </w:r>
    </w:p>
    <w:tbl>
      <w:tblPr>
        <w:tblW w:w="0" w:type="auto"/>
        <w:jc w:val="left"/>
        <w:tblInd w:w="3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427"/>
        <w:gridCol w:w="1298"/>
      </w:tblGrid>
      <w:tr>
        <w:trPr>
          <w:trHeight w:val="508" w:hRule="exact"/>
        </w:trPr>
        <w:tc>
          <w:tcPr>
            <w:tcW w:w="8427" w:type="dxa"/>
          </w:tcPr>
          <w:p>
            <w:pPr/>
          </w:p>
        </w:tc>
        <w:tc>
          <w:tcPr>
            <w:tcW w:w="1298" w:type="dxa"/>
          </w:tcPr>
          <w:p>
            <w:pPr>
              <w:pStyle w:val="TableParagraph"/>
              <w:spacing w:line="184" w:lineRule="exact"/>
              <w:ind w:left="417" w:right="372"/>
              <w:jc w:val="center"/>
              <w:rPr>
                <w:b/>
                <w:sz w:val="18"/>
              </w:rPr>
            </w:pPr>
            <w:r>
              <w:rPr>
                <w:b/>
                <w:sz w:val="18"/>
              </w:rPr>
              <w:t>2012</w:t>
            </w:r>
          </w:p>
          <w:p>
            <w:pPr>
              <w:pStyle w:val="TableParagraph"/>
              <w:spacing w:before="33"/>
              <w:ind w:left="40"/>
              <w:jc w:val="center"/>
              <w:rPr>
                <w:b/>
                <w:sz w:val="18"/>
              </w:rPr>
            </w:pPr>
            <w:r>
              <w:rPr>
                <w:b/>
                <w:w w:val="99"/>
                <w:sz w:val="18"/>
              </w:rPr>
              <w:t>$</w:t>
            </w:r>
          </w:p>
        </w:tc>
      </w:tr>
      <w:tr>
        <w:trPr>
          <w:trHeight w:val="294" w:hRule="exact"/>
        </w:trPr>
        <w:tc>
          <w:tcPr>
            <w:tcW w:w="8427" w:type="dxa"/>
          </w:tcPr>
          <w:p>
            <w:pPr>
              <w:pStyle w:val="TableParagraph"/>
              <w:spacing w:before="64"/>
              <w:ind w:left="245"/>
              <w:rPr>
                <w:b/>
                <w:sz w:val="18"/>
              </w:rPr>
            </w:pPr>
            <w:r>
              <w:rPr>
                <w:b/>
                <w:sz w:val="18"/>
              </w:rPr>
              <w:t>Financial Assets</w:t>
            </w:r>
          </w:p>
        </w:tc>
        <w:tc>
          <w:tcPr>
            <w:tcW w:w="1298" w:type="dxa"/>
          </w:tcPr>
          <w:p>
            <w:pPr/>
          </w:p>
        </w:tc>
      </w:tr>
      <w:tr>
        <w:trPr>
          <w:trHeight w:val="251" w:hRule="exact"/>
        </w:trPr>
        <w:tc>
          <w:tcPr>
            <w:tcW w:w="8427" w:type="dxa"/>
          </w:tcPr>
          <w:p>
            <w:pPr>
              <w:pStyle w:val="TableParagraph"/>
              <w:spacing w:before="8"/>
              <w:ind w:left="245"/>
              <w:rPr>
                <w:sz w:val="18"/>
              </w:rPr>
            </w:pPr>
            <w:r>
              <w:rPr>
                <w:sz w:val="18"/>
              </w:rPr>
              <w:t>Cash and cash equivalents</w:t>
            </w:r>
          </w:p>
        </w:tc>
        <w:tc>
          <w:tcPr>
            <w:tcW w:w="1298" w:type="dxa"/>
          </w:tcPr>
          <w:p>
            <w:pPr>
              <w:pStyle w:val="TableParagraph"/>
              <w:spacing w:before="3"/>
              <w:ind w:right="50"/>
              <w:jc w:val="right"/>
              <w:rPr>
                <w:b/>
                <w:sz w:val="18"/>
              </w:rPr>
            </w:pPr>
            <w:r>
              <w:rPr>
                <w:b/>
                <w:sz w:val="18"/>
              </w:rPr>
              <w:t>873,270</w:t>
            </w:r>
          </w:p>
        </w:tc>
      </w:tr>
      <w:tr>
        <w:trPr>
          <w:trHeight w:val="267" w:hRule="exact"/>
        </w:trPr>
        <w:tc>
          <w:tcPr>
            <w:tcW w:w="8427" w:type="dxa"/>
          </w:tcPr>
          <w:p>
            <w:pPr>
              <w:pStyle w:val="TableParagraph"/>
              <w:spacing w:before="21"/>
              <w:ind w:left="245"/>
              <w:rPr>
                <w:sz w:val="18"/>
              </w:rPr>
            </w:pPr>
            <w:r>
              <w:rPr>
                <w:sz w:val="18"/>
              </w:rPr>
              <w:t>Receivables</w:t>
            </w:r>
          </w:p>
        </w:tc>
        <w:tc>
          <w:tcPr>
            <w:tcW w:w="1298" w:type="dxa"/>
            <w:tcBorders>
              <w:bottom w:val="single" w:sz="8" w:space="0" w:color="000000"/>
            </w:tcBorders>
          </w:tcPr>
          <w:p>
            <w:pPr>
              <w:pStyle w:val="TableParagraph"/>
              <w:spacing w:before="16"/>
              <w:ind w:right="51"/>
              <w:jc w:val="right"/>
              <w:rPr>
                <w:b/>
                <w:sz w:val="18"/>
              </w:rPr>
            </w:pPr>
            <w:r>
              <w:rPr>
                <w:b/>
                <w:sz w:val="18"/>
              </w:rPr>
              <w:t>22,042</w:t>
            </w:r>
          </w:p>
        </w:tc>
      </w:tr>
      <w:tr>
        <w:trPr>
          <w:trHeight w:val="353" w:hRule="exact"/>
        </w:trPr>
        <w:tc>
          <w:tcPr>
            <w:tcW w:w="8427" w:type="dxa"/>
          </w:tcPr>
          <w:p>
            <w:pPr>
              <w:pStyle w:val="TableParagraph"/>
              <w:spacing w:before="116"/>
              <w:ind w:left="245"/>
              <w:rPr>
                <w:b/>
                <w:sz w:val="18"/>
              </w:rPr>
            </w:pPr>
            <w:r>
              <w:rPr>
                <w:b/>
                <w:sz w:val="18"/>
              </w:rPr>
              <w:t>Total financial assets</w:t>
            </w:r>
          </w:p>
        </w:tc>
        <w:tc>
          <w:tcPr>
            <w:tcW w:w="1298" w:type="dxa"/>
            <w:tcBorders>
              <w:top w:val="single" w:sz="8" w:space="0" w:color="000000"/>
              <w:bottom w:val="single" w:sz="17" w:space="0" w:color="000000"/>
            </w:tcBorders>
          </w:tcPr>
          <w:p>
            <w:pPr>
              <w:pStyle w:val="TableParagraph"/>
              <w:spacing w:before="107"/>
              <w:ind w:right="50"/>
              <w:jc w:val="right"/>
              <w:rPr>
                <w:b/>
                <w:sz w:val="18"/>
              </w:rPr>
            </w:pPr>
            <w:r>
              <w:rPr>
                <w:b/>
                <w:sz w:val="18"/>
              </w:rPr>
              <w:t>895,312</w:t>
            </w:r>
          </w:p>
        </w:tc>
      </w:tr>
      <w:tr>
        <w:trPr>
          <w:trHeight w:val="509" w:hRule="exact"/>
        </w:trPr>
        <w:tc>
          <w:tcPr>
            <w:tcW w:w="8427" w:type="dxa"/>
          </w:tcPr>
          <w:p>
            <w:pPr>
              <w:pStyle w:val="TableParagraph"/>
              <w:spacing w:before="7"/>
              <w:rPr>
                <w:sz w:val="26"/>
              </w:rPr>
            </w:pPr>
          </w:p>
          <w:p>
            <w:pPr>
              <w:pStyle w:val="TableParagraph"/>
              <w:tabs>
                <w:tab w:pos="766" w:val="left" w:leader="none"/>
              </w:tabs>
              <w:ind w:left="200"/>
              <w:rPr>
                <w:b/>
                <w:sz w:val="18"/>
              </w:rPr>
            </w:pPr>
            <w:r>
              <w:rPr>
                <w:b/>
                <w:sz w:val="18"/>
              </w:rPr>
              <w:t>(a)</w:t>
              <w:tab/>
              <w:t>Market</w:t>
            </w:r>
            <w:r>
              <w:rPr>
                <w:b/>
                <w:spacing w:val="-4"/>
                <w:sz w:val="18"/>
              </w:rPr>
              <w:t> </w:t>
            </w:r>
            <w:r>
              <w:rPr>
                <w:b/>
                <w:sz w:val="18"/>
              </w:rPr>
              <w:t>risk</w:t>
            </w:r>
          </w:p>
        </w:tc>
        <w:tc>
          <w:tcPr>
            <w:tcW w:w="1298" w:type="dxa"/>
            <w:tcBorders>
              <w:top w:val="single" w:sz="17" w:space="0" w:color="000000"/>
            </w:tcBorders>
          </w:tcPr>
          <w:p>
            <w:pPr/>
          </w:p>
        </w:tc>
      </w:tr>
    </w:tbl>
    <w:p>
      <w:pPr>
        <w:pStyle w:val="BodyText"/>
        <w:spacing w:before="9"/>
      </w:pPr>
    </w:p>
    <w:p>
      <w:pPr>
        <w:pStyle w:val="ListParagraph"/>
        <w:numPr>
          <w:ilvl w:val="0"/>
          <w:numId w:val="120"/>
        </w:numPr>
        <w:tabs>
          <w:tab w:pos="1472" w:val="left" w:leader="none"/>
        </w:tabs>
        <w:spacing w:line="240" w:lineRule="auto" w:before="78" w:after="0"/>
        <w:ind w:left="1471" w:right="0" w:hanging="399"/>
        <w:jc w:val="left"/>
        <w:rPr>
          <w:i/>
          <w:sz w:val="18"/>
        </w:rPr>
      </w:pPr>
      <w:r>
        <w:rPr>
          <w:i/>
          <w:sz w:val="18"/>
        </w:rPr>
        <w:t>Cash flow and fair value interest rate</w:t>
      </w:r>
      <w:r>
        <w:rPr>
          <w:i/>
          <w:spacing w:val="-13"/>
          <w:sz w:val="18"/>
        </w:rPr>
        <w:t> </w:t>
      </w:r>
      <w:r>
        <w:rPr>
          <w:i/>
          <w:sz w:val="18"/>
        </w:rPr>
        <w:t>risk</w:t>
      </w:r>
    </w:p>
    <w:p>
      <w:pPr>
        <w:pStyle w:val="BodyText"/>
        <w:spacing w:before="4"/>
        <w:rPr>
          <w:i/>
          <w:sz w:val="25"/>
        </w:rPr>
      </w:pPr>
    </w:p>
    <w:p>
      <w:pPr>
        <w:pStyle w:val="BodyText"/>
        <w:ind w:left="1072" w:right="210"/>
      </w:pPr>
      <w:r>
        <w:rPr/>
        <w:t>The Company's exposure to interest rate risk is minimal as it has no borrowings.</w:t>
      </w:r>
    </w:p>
    <w:p>
      <w:pPr>
        <w:pStyle w:val="BodyText"/>
        <w:rPr>
          <w:sz w:val="25"/>
        </w:rPr>
      </w:pPr>
    </w:p>
    <w:p>
      <w:pPr>
        <w:pStyle w:val="ListParagraph"/>
        <w:numPr>
          <w:ilvl w:val="0"/>
          <w:numId w:val="120"/>
        </w:numPr>
        <w:tabs>
          <w:tab w:pos="1510" w:val="left" w:leader="none"/>
        </w:tabs>
        <w:spacing w:line="240" w:lineRule="auto" w:before="0" w:after="0"/>
        <w:ind w:left="1509" w:right="0" w:hanging="439"/>
        <w:jc w:val="left"/>
        <w:rPr>
          <w:i/>
          <w:sz w:val="18"/>
        </w:rPr>
      </w:pPr>
      <w:r>
        <w:rPr>
          <w:i/>
          <w:sz w:val="18"/>
        </w:rPr>
        <w:t>Summarised sensitivity</w:t>
      </w:r>
      <w:r>
        <w:rPr>
          <w:i/>
          <w:spacing w:val="-16"/>
          <w:sz w:val="18"/>
        </w:rPr>
        <w:t> </w:t>
      </w:r>
      <w:r>
        <w:rPr>
          <w:i/>
          <w:sz w:val="18"/>
        </w:rPr>
        <w:t>analysis</w:t>
      </w:r>
    </w:p>
    <w:p>
      <w:pPr>
        <w:pStyle w:val="BodyText"/>
        <w:spacing w:before="2"/>
        <w:rPr>
          <w:i/>
          <w:sz w:val="25"/>
        </w:rPr>
      </w:pPr>
    </w:p>
    <w:p>
      <w:pPr>
        <w:pStyle w:val="BodyText"/>
        <w:spacing w:after="54"/>
        <w:ind w:left="1077" w:right="210"/>
      </w:pPr>
      <w:r>
        <w:rPr/>
        <w:t>The following table summarises the sensitivity of the Company's financial assets to interest rate risk.</w:t>
      </w:r>
    </w:p>
    <w:tbl>
      <w:tblPr>
        <w:tblW w:w="0" w:type="auto"/>
        <w:jc w:val="left"/>
        <w:tblInd w:w="3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34"/>
        <w:gridCol w:w="1423"/>
        <w:gridCol w:w="1436"/>
        <w:gridCol w:w="1161"/>
        <w:gridCol w:w="1335"/>
        <w:gridCol w:w="1136"/>
      </w:tblGrid>
      <w:tr>
        <w:trPr>
          <w:trHeight w:val="434" w:hRule="exact"/>
        </w:trPr>
        <w:tc>
          <w:tcPr>
            <w:tcW w:w="3234" w:type="dxa"/>
          </w:tcPr>
          <w:p>
            <w:pPr/>
          </w:p>
        </w:tc>
        <w:tc>
          <w:tcPr>
            <w:tcW w:w="1423" w:type="dxa"/>
          </w:tcPr>
          <w:p>
            <w:pPr>
              <w:pStyle w:val="TableParagraph"/>
              <w:spacing w:line="184" w:lineRule="exact"/>
              <w:ind w:left="311" w:hanging="46"/>
              <w:rPr>
                <w:b/>
                <w:sz w:val="18"/>
              </w:rPr>
            </w:pPr>
            <w:r>
              <w:rPr>
                <w:b/>
                <w:sz w:val="18"/>
              </w:rPr>
              <w:t>Carrying</w:t>
            </w:r>
          </w:p>
          <w:p>
            <w:pPr>
              <w:pStyle w:val="TableParagraph"/>
              <w:spacing w:line="207" w:lineRule="exact"/>
              <w:ind w:left="311"/>
              <w:rPr>
                <w:b/>
                <w:sz w:val="18"/>
              </w:rPr>
            </w:pPr>
            <w:r>
              <w:rPr>
                <w:b/>
                <w:sz w:val="18"/>
              </w:rPr>
              <w:t>amount</w:t>
            </w:r>
          </w:p>
        </w:tc>
        <w:tc>
          <w:tcPr>
            <w:tcW w:w="1436" w:type="dxa"/>
          </w:tcPr>
          <w:p>
            <w:pPr>
              <w:pStyle w:val="TableParagraph"/>
              <w:spacing w:before="11"/>
              <w:rPr>
                <w:sz w:val="15"/>
              </w:rPr>
            </w:pPr>
          </w:p>
          <w:p>
            <w:pPr>
              <w:pStyle w:val="TableParagraph"/>
              <w:ind w:right="109"/>
              <w:jc w:val="right"/>
              <w:rPr>
                <w:b/>
                <w:sz w:val="18"/>
              </w:rPr>
            </w:pPr>
            <w:r>
              <w:rPr>
                <w:b/>
                <w:sz w:val="18"/>
              </w:rPr>
              <w:t>-1%</w:t>
            </w:r>
          </w:p>
        </w:tc>
        <w:tc>
          <w:tcPr>
            <w:tcW w:w="1161" w:type="dxa"/>
          </w:tcPr>
          <w:p>
            <w:pPr/>
          </w:p>
        </w:tc>
        <w:tc>
          <w:tcPr>
            <w:tcW w:w="1335" w:type="dxa"/>
          </w:tcPr>
          <w:p>
            <w:pPr>
              <w:pStyle w:val="TableParagraph"/>
              <w:spacing w:before="11"/>
              <w:rPr>
                <w:sz w:val="15"/>
              </w:rPr>
            </w:pPr>
          </w:p>
          <w:p>
            <w:pPr>
              <w:pStyle w:val="TableParagraph"/>
              <w:ind w:right="-10"/>
              <w:jc w:val="right"/>
              <w:rPr>
                <w:b/>
                <w:sz w:val="18"/>
              </w:rPr>
            </w:pPr>
            <w:r>
              <w:rPr>
                <w:b/>
                <w:sz w:val="18"/>
              </w:rPr>
              <w:t>+1%</w:t>
            </w:r>
          </w:p>
        </w:tc>
        <w:tc>
          <w:tcPr>
            <w:tcW w:w="1136" w:type="dxa"/>
          </w:tcPr>
          <w:p>
            <w:pPr/>
          </w:p>
        </w:tc>
      </w:tr>
      <w:tr>
        <w:trPr>
          <w:trHeight w:val="556" w:hRule="exact"/>
        </w:trPr>
        <w:tc>
          <w:tcPr>
            <w:tcW w:w="3234" w:type="dxa"/>
          </w:tcPr>
          <w:p>
            <w:pPr/>
          </w:p>
        </w:tc>
        <w:tc>
          <w:tcPr>
            <w:tcW w:w="1423" w:type="dxa"/>
          </w:tcPr>
          <w:p>
            <w:pPr>
              <w:pStyle w:val="TableParagraph"/>
              <w:rPr>
                <w:sz w:val="23"/>
              </w:rPr>
            </w:pPr>
          </w:p>
          <w:p>
            <w:pPr>
              <w:pStyle w:val="TableParagraph"/>
              <w:ind w:left="585"/>
              <w:rPr>
                <w:b/>
                <w:sz w:val="18"/>
              </w:rPr>
            </w:pPr>
            <w:r>
              <w:rPr>
                <w:b/>
                <w:w w:val="99"/>
                <w:sz w:val="18"/>
              </w:rPr>
              <w:t>$</w:t>
            </w:r>
          </w:p>
        </w:tc>
        <w:tc>
          <w:tcPr>
            <w:tcW w:w="1436" w:type="dxa"/>
          </w:tcPr>
          <w:p>
            <w:pPr>
              <w:pStyle w:val="TableParagraph"/>
              <w:spacing w:before="25"/>
              <w:ind w:left="157" w:right="569"/>
              <w:jc w:val="center"/>
              <w:rPr>
                <w:b/>
                <w:sz w:val="18"/>
              </w:rPr>
            </w:pPr>
            <w:r>
              <w:rPr>
                <w:b/>
                <w:sz w:val="18"/>
              </w:rPr>
              <w:t>Surplus</w:t>
            </w:r>
          </w:p>
          <w:p>
            <w:pPr>
              <w:pStyle w:val="TableParagraph"/>
              <w:spacing w:before="33"/>
              <w:ind w:right="417"/>
              <w:jc w:val="center"/>
              <w:rPr>
                <w:b/>
                <w:sz w:val="18"/>
              </w:rPr>
            </w:pPr>
            <w:r>
              <w:rPr>
                <w:b/>
                <w:w w:val="99"/>
                <w:sz w:val="18"/>
              </w:rPr>
              <w:t>$</w:t>
            </w:r>
          </w:p>
        </w:tc>
        <w:tc>
          <w:tcPr>
            <w:tcW w:w="1161" w:type="dxa"/>
          </w:tcPr>
          <w:p>
            <w:pPr>
              <w:pStyle w:val="TableParagraph"/>
              <w:spacing w:before="25"/>
              <w:ind w:left="94" w:right="475"/>
              <w:jc w:val="center"/>
              <w:rPr>
                <w:b/>
                <w:sz w:val="18"/>
              </w:rPr>
            </w:pPr>
            <w:r>
              <w:rPr>
                <w:b/>
                <w:sz w:val="18"/>
              </w:rPr>
              <w:t>Equity</w:t>
            </w:r>
          </w:p>
          <w:p>
            <w:pPr>
              <w:pStyle w:val="TableParagraph"/>
              <w:spacing w:before="33"/>
              <w:ind w:right="384"/>
              <w:jc w:val="center"/>
              <w:rPr>
                <w:b/>
                <w:sz w:val="18"/>
              </w:rPr>
            </w:pPr>
            <w:r>
              <w:rPr>
                <w:b/>
                <w:w w:val="99"/>
                <w:sz w:val="18"/>
              </w:rPr>
              <w:t>$</w:t>
            </w:r>
          </w:p>
        </w:tc>
        <w:tc>
          <w:tcPr>
            <w:tcW w:w="1335" w:type="dxa"/>
          </w:tcPr>
          <w:p>
            <w:pPr>
              <w:pStyle w:val="TableParagraph"/>
              <w:spacing w:before="25"/>
              <w:ind w:left="156" w:right="468"/>
              <w:jc w:val="center"/>
              <w:rPr>
                <w:b/>
                <w:sz w:val="18"/>
              </w:rPr>
            </w:pPr>
            <w:r>
              <w:rPr>
                <w:b/>
                <w:sz w:val="18"/>
              </w:rPr>
              <w:t>Surplus</w:t>
            </w:r>
          </w:p>
          <w:p>
            <w:pPr>
              <w:pStyle w:val="TableParagraph"/>
              <w:spacing w:before="33"/>
              <w:ind w:right="312"/>
              <w:jc w:val="center"/>
              <w:rPr>
                <w:b/>
                <w:sz w:val="18"/>
              </w:rPr>
            </w:pPr>
            <w:r>
              <w:rPr>
                <w:b/>
                <w:w w:val="99"/>
                <w:sz w:val="18"/>
              </w:rPr>
              <w:t>$</w:t>
            </w:r>
          </w:p>
        </w:tc>
        <w:tc>
          <w:tcPr>
            <w:tcW w:w="1136" w:type="dxa"/>
          </w:tcPr>
          <w:p>
            <w:pPr>
              <w:pStyle w:val="TableParagraph"/>
              <w:spacing w:before="25"/>
              <w:ind w:left="195" w:right="350"/>
              <w:jc w:val="center"/>
              <w:rPr>
                <w:b/>
                <w:sz w:val="18"/>
              </w:rPr>
            </w:pPr>
            <w:r>
              <w:rPr>
                <w:b/>
                <w:sz w:val="18"/>
              </w:rPr>
              <w:t>Equity</w:t>
            </w:r>
          </w:p>
          <w:p>
            <w:pPr>
              <w:pStyle w:val="TableParagraph"/>
              <w:spacing w:before="33"/>
              <w:ind w:right="158"/>
              <w:jc w:val="center"/>
              <w:rPr>
                <w:b/>
                <w:sz w:val="18"/>
              </w:rPr>
            </w:pPr>
            <w:r>
              <w:rPr>
                <w:b/>
                <w:w w:val="99"/>
                <w:sz w:val="18"/>
              </w:rPr>
              <w:t>$</w:t>
            </w:r>
          </w:p>
        </w:tc>
      </w:tr>
      <w:tr>
        <w:trPr>
          <w:trHeight w:val="294" w:hRule="exact"/>
        </w:trPr>
        <w:tc>
          <w:tcPr>
            <w:tcW w:w="3234" w:type="dxa"/>
          </w:tcPr>
          <w:p>
            <w:pPr>
              <w:pStyle w:val="TableParagraph"/>
              <w:spacing w:before="64"/>
              <w:ind w:left="768"/>
              <w:rPr>
                <w:b/>
                <w:sz w:val="18"/>
              </w:rPr>
            </w:pPr>
            <w:r>
              <w:rPr>
                <w:b/>
                <w:sz w:val="18"/>
              </w:rPr>
              <w:t>Financial Assets:</w:t>
            </w:r>
          </w:p>
        </w:tc>
        <w:tc>
          <w:tcPr>
            <w:tcW w:w="1423" w:type="dxa"/>
          </w:tcPr>
          <w:p>
            <w:pPr/>
          </w:p>
        </w:tc>
        <w:tc>
          <w:tcPr>
            <w:tcW w:w="1436" w:type="dxa"/>
          </w:tcPr>
          <w:p>
            <w:pPr/>
          </w:p>
        </w:tc>
        <w:tc>
          <w:tcPr>
            <w:tcW w:w="1161" w:type="dxa"/>
          </w:tcPr>
          <w:p>
            <w:pPr/>
          </w:p>
        </w:tc>
        <w:tc>
          <w:tcPr>
            <w:tcW w:w="1335" w:type="dxa"/>
          </w:tcPr>
          <w:p>
            <w:pPr/>
          </w:p>
        </w:tc>
        <w:tc>
          <w:tcPr>
            <w:tcW w:w="1136" w:type="dxa"/>
          </w:tcPr>
          <w:p>
            <w:pPr/>
          </w:p>
        </w:tc>
      </w:tr>
      <w:tr>
        <w:trPr>
          <w:trHeight w:val="256" w:hRule="exact"/>
        </w:trPr>
        <w:tc>
          <w:tcPr>
            <w:tcW w:w="3234" w:type="dxa"/>
          </w:tcPr>
          <w:p>
            <w:pPr>
              <w:pStyle w:val="TableParagraph"/>
              <w:spacing w:before="8"/>
              <w:ind w:left="768"/>
              <w:rPr>
                <w:sz w:val="18"/>
              </w:rPr>
            </w:pPr>
            <w:r>
              <w:rPr>
                <w:sz w:val="18"/>
              </w:rPr>
              <w:t>Cash and cash equivalents</w:t>
            </w:r>
          </w:p>
        </w:tc>
        <w:tc>
          <w:tcPr>
            <w:tcW w:w="1423" w:type="dxa"/>
            <w:tcBorders>
              <w:bottom w:val="single" w:sz="8" w:space="0" w:color="000000"/>
            </w:tcBorders>
          </w:tcPr>
          <w:p>
            <w:pPr>
              <w:pStyle w:val="TableParagraph"/>
              <w:spacing w:before="3"/>
              <w:ind w:left="595"/>
              <w:rPr>
                <w:b/>
                <w:sz w:val="18"/>
              </w:rPr>
            </w:pPr>
            <w:r>
              <w:rPr>
                <w:b/>
                <w:sz w:val="18"/>
              </w:rPr>
              <w:t>873,270</w:t>
            </w:r>
          </w:p>
        </w:tc>
        <w:tc>
          <w:tcPr>
            <w:tcW w:w="1436" w:type="dxa"/>
            <w:tcBorders>
              <w:bottom w:val="single" w:sz="8" w:space="0" w:color="000000"/>
            </w:tcBorders>
          </w:tcPr>
          <w:p>
            <w:pPr>
              <w:pStyle w:val="TableParagraph"/>
              <w:spacing w:before="3"/>
              <w:ind w:left="547"/>
              <w:rPr>
                <w:b/>
                <w:sz w:val="18"/>
              </w:rPr>
            </w:pPr>
            <w:r>
              <w:rPr>
                <w:b/>
                <w:sz w:val="18"/>
              </w:rPr>
              <w:t>(8,733)</w:t>
            </w:r>
          </w:p>
        </w:tc>
        <w:tc>
          <w:tcPr>
            <w:tcW w:w="1161" w:type="dxa"/>
            <w:tcBorders>
              <w:bottom w:val="single" w:sz="8" w:space="0" w:color="000000"/>
            </w:tcBorders>
          </w:tcPr>
          <w:p>
            <w:pPr>
              <w:pStyle w:val="TableParagraph"/>
              <w:spacing w:before="3"/>
              <w:ind w:right="172"/>
              <w:jc w:val="right"/>
              <w:rPr>
                <w:b/>
                <w:sz w:val="18"/>
              </w:rPr>
            </w:pPr>
            <w:r>
              <w:rPr>
                <w:b/>
                <w:w w:val="95"/>
                <w:sz w:val="18"/>
              </w:rPr>
              <w:t>(8,733)</w:t>
            </w:r>
          </w:p>
        </w:tc>
        <w:tc>
          <w:tcPr>
            <w:tcW w:w="1335" w:type="dxa"/>
            <w:tcBorders>
              <w:bottom w:val="single" w:sz="8" w:space="0" w:color="000000"/>
            </w:tcBorders>
          </w:tcPr>
          <w:p>
            <w:pPr>
              <w:pStyle w:val="TableParagraph"/>
              <w:spacing w:before="3"/>
              <w:ind w:left="669"/>
              <w:rPr>
                <w:b/>
                <w:sz w:val="18"/>
              </w:rPr>
            </w:pPr>
            <w:r>
              <w:rPr>
                <w:b/>
                <w:sz w:val="18"/>
              </w:rPr>
              <w:t>8,733</w:t>
            </w:r>
          </w:p>
        </w:tc>
        <w:tc>
          <w:tcPr>
            <w:tcW w:w="1136" w:type="dxa"/>
            <w:tcBorders>
              <w:bottom w:val="single" w:sz="8" w:space="0" w:color="000000"/>
            </w:tcBorders>
          </w:tcPr>
          <w:p>
            <w:pPr>
              <w:pStyle w:val="TableParagraph"/>
              <w:spacing w:before="3"/>
              <w:ind w:right="48"/>
              <w:jc w:val="right"/>
              <w:rPr>
                <w:b/>
                <w:sz w:val="18"/>
              </w:rPr>
            </w:pPr>
            <w:r>
              <w:rPr>
                <w:b/>
                <w:sz w:val="18"/>
              </w:rPr>
              <w:t>8,733</w:t>
            </w:r>
          </w:p>
        </w:tc>
      </w:tr>
      <w:tr>
        <w:trPr>
          <w:trHeight w:val="293" w:hRule="exact"/>
        </w:trPr>
        <w:tc>
          <w:tcPr>
            <w:tcW w:w="3234" w:type="dxa"/>
          </w:tcPr>
          <w:p>
            <w:pPr>
              <w:pStyle w:val="TableParagraph"/>
              <w:spacing w:before="30"/>
              <w:ind w:left="768"/>
              <w:rPr>
                <w:b/>
                <w:sz w:val="18"/>
              </w:rPr>
            </w:pPr>
            <w:r>
              <w:rPr>
                <w:b/>
                <w:sz w:val="18"/>
              </w:rPr>
              <w:t>Total increase/(decrease)</w:t>
            </w:r>
          </w:p>
        </w:tc>
        <w:tc>
          <w:tcPr>
            <w:tcW w:w="1423" w:type="dxa"/>
            <w:tcBorders>
              <w:top w:val="single" w:sz="8" w:space="0" w:color="000000"/>
              <w:bottom w:val="single" w:sz="17" w:space="0" w:color="000000"/>
            </w:tcBorders>
          </w:tcPr>
          <w:p>
            <w:pPr>
              <w:pStyle w:val="TableParagraph"/>
              <w:spacing w:before="20"/>
              <w:ind w:left="595"/>
              <w:rPr>
                <w:b/>
                <w:sz w:val="18"/>
              </w:rPr>
            </w:pPr>
            <w:r>
              <w:rPr>
                <w:b/>
                <w:sz w:val="18"/>
              </w:rPr>
              <w:t>873,270</w:t>
            </w:r>
          </w:p>
        </w:tc>
        <w:tc>
          <w:tcPr>
            <w:tcW w:w="1436" w:type="dxa"/>
            <w:tcBorders>
              <w:top w:val="single" w:sz="8" w:space="0" w:color="000000"/>
              <w:bottom w:val="single" w:sz="17" w:space="0" w:color="000000"/>
            </w:tcBorders>
          </w:tcPr>
          <w:p>
            <w:pPr>
              <w:pStyle w:val="TableParagraph"/>
              <w:spacing w:before="20"/>
              <w:ind w:left="547"/>
              <w:rPr>
                <w:b/>
                <w:sz w:val="18"/>
              </w:rPr>
            </w:pPr>
            <w:r>
              <w:rPr>
                <w:b/>
                <w:sz w:val="18"/>
              </w:rPr>
              <w:t>(8,733)</w:t>
            </w:r>
          </w:p>
        </w:tc>
        <w:tc>
          <w:tcPr>
            <w:tcW w:w="1161" w:type="dxa"/>
            <w:tcBorders>
              <w:top w:val="single" w:sz="8" w:space="0" w:color="000000"/>
              <w:bottom w:val="single" w:sz="17" w:space="0" w:color="000000"/>
            </w:tcBorders>
          </w:tcPr>
          <w:p>
            <w:pPr>
              <w:pStyle w:val="TableParagraph"/>
              <w:spacing w:before="20"/>
              <w:ind w:right="172"/>
              <w:jc w:val="right"/>
              <w:rPr>
                <w:b/>
                <w:sz w:val="18"/>
              </w:rPr>
            </w:pPr>
            <w:r>
              <w:rPr>
                <w:b/>
                <w:w w:val="95"/>
                <w:sz w:val="18"/>
              </w:rPr>
              <w:t>(8,733)</w:t>
            </w:r>
          </w:p>
        </w:tc>
        <w:tc>
          <w:tcPr>
            <w:tcW w:w="1335" w:type="dxa"/>
            <w:tcBorders>
              <w:top w:val="single" w:sz="8" w:space="0" w:color="000000"/>
              <w:bottom w:val="single" w:sz="17" w:space="0" w:color="000000"/>
            </w:tcBorders>
          </w:tcPr>
          <w:p>
            <w:pPr>
              <w:pStyle w:val="TableParagraph"/>
              <w:spacing w:before="20"/>
              <w:ind w:left="669"/>
              <w:rPr>
                <w:b/>
                <w:sz w:val="18"/>
              </w:rPr>
            </w:pPr>
            <w:r>
              <w:rPr>
                <w:b/>
                <w:sz w:val="18"/>
              </w:rPr>
              <w:t>8,733</w:t>
            </w:r>
          </w:p>
        </w:tc>
        <w:tc>
          <w:tcPr>
            <w:tcW w:w="1136" w:type="dxa"/>
            <w:tcBorders>
              <w:top w:val="single" w:sz="8" w:space="0" w:color="000000"/>
              <w:bottom w:val="single" w:sz="17" w:space="0" w:color="000000"/>
            </w:tcBorders>
          </w:tcPr>
          <w:p>
            <w:pPr>
              <w:pStyle w:val="TableParagraph"/>
              <w:spacing w:before="20"/>
              <w:ind w:right="48"/>
              <w:jc w:val="right"/>
              <w:rPr>
                <w:b/>
                <w:sz w:val="18"/>
              </w:rPr>
            </w:pPr>
            <w:r>
              <w:rPr>
                <w:b/>
                <w:sz w:val="18"/>
              </w:rPr>
              <w:t>8,733</w:t>
            </w:r>
          </w:p>
        </w:tc>
      </w:tr>
      <w:tr>
        <w:trPr>
          <w:trHeight w:val="1006" w:hRule="exact"/>
        </w:trPr>
        <w:tc>
          <w:tcPr>
            <w:tcW w:w="7254" w:type="dxa"/>
            <w:gridSpan w:val="4"/>
          </w:tcPr>
          <w:p>
            <w:pPr>
              <w:pStyle w:val="TableParagraph"/>
              <w:rPr>
                <w:sz w:val="18"/>
              </w:rPr>
            </w:pPr>
          </w:p>
          <w:p>
            <w:pPr>
              <w:pStyle w:val="TableParagraph"/>
              <w:spacing w:before="104"/>
              <w:ind w:left="766"/>
              <w:rPr>
                <w:sz w:val="18"/>
              </w:rPr>
            </w:pPr>
            <w:r>
              <w:rPr>
                <w:sz w:val="18"/>
              </w:rPr>
              <w:t>None of the Company's financial liabilities are subject to interest rate risk.</w:t>
            </w:r>
          </w:p>
          <w:p>
            <w:pPr>
              <w:pStyle w:val="TableParagraph"/>
              <w:spacing w:before="9"/>
              <w:rPr>
                <w:sz w:val="24"/>
              </w:rPr>
            </w:pPr>
          </w:p>
          <w:p>
            <w:pPr>
              <w:pStyle w:val="TableParagraph"/>
              <w:tabs>
                <w:tab w:pos="766" w:val="left" w:leader="none"/>
              </w:tabs>
              <w:ind w:left="200"/>
              <w:rPr>
                <w:b/>
                <w:sz w:val="18"/>
              </w:rPr>
            </w:pPr>
            <w:r>
              <w:rPr>
                <w:b/>
                <w:sz w:val="18"/>
              </w:rPr>
              <w:t>(b)</w:t>
              <w:tab/>
              <w:t>Credit</w:t>
            </w:r>
            <w:r>
              <w:rPr>
                <w:b/>
                <w:spacing w:val="-4"/>
                <w:sz w:val="18"/>
              </w:rPr>
              <w:t> </w:t>
            </w:r>
            <w:r>
              <w:rPr>
                <w:b/>
                <w:sz w:val="18"/>
              </w:rPr>
              <w:t>risk</w:t>
            </w:r>
          </w:p>
        </w:tc>
        <w:tc>
          <w:tcPr>
            <w:tcW w:w="1335" w:type="dxa"/>
            <w:tcBorders>
              <w:top w:val="single" w:sz="17" w:space="0" w:color="000000"/>
            </w:tcBorders>
          </w:tcPr>
          <w:p>
            <w:pPr/>
          </w:p>
        </w:tc>
        <w:tc>
          <w:tcPr>
            <w:tcW w:w="1136" w:type="dxa"/>
            <w:tcBorders>
              <w:top w:val="single" w:sz="17" w:space="0" w:color="000000"/>
            </w:tcBorders>
          </w:tcPr>
          <w:p>
            <w:pPr/>
          </w:p>
        </w:tc>
      </w:tr>
    </w:tbl>
    <w:p>
      <w:pPr>
        <w:pStyle w:val="BodyText"/>
        <w:spacing w:before="3"/>
        <w:rPr>
          <w:sz w:val="19"/>
        </w:rPr>
      </w:pPr>
    </w:p>
    <w:p>
      <w:pPr>
        <w:pStyle w:val="BodyText"/>
        <w:spacing w:before="77"/>
        <w:ind w:left="1072" w:right="17"/>
      </w:pPr>
      <w:r>
        <w:rPr/>
        <w:t>The credit risk on financial assets of the Company which have been recognised on the statement of financial position</w:t>
      </w:r>
      <w:r>
        <w:rPr>
          <w:spacing w:val="-9"/>
        </w:rPr>
        <w:t> </w:t>
      </w:r>
      <w:r>
        <w:rPr/>
        <w:t>is</w:t>
      </w:r>
      <w:r>
        <w:rPr>
          <w:spacing w:val="-7"/>
        </w:rPr>
        <w:t> </w:t>
      </w:r>
      <w:r>
        <w:rPr/>
        <w:t>generally</w:t>
      </w:r>
      <w:r>
        <w:rPr>
          <w:spacing w:val="-8"/>
        </w:rPr>
        <w:t> </w:t>
      </w:r>
      <w:r>
        <w:rPr/>
        <w:t>the</w:t>
      </w:r>
      <w:r>
        <w:rPr>
          <w:spacing w:val="-9"/>
        </w:rPr>
        <w:t> </w:t>
      </w:r>
      <w:r>
        <w:rPr/>
        <w:t>carrying</w:t>
      </w:r>
      <w:r>
        <w:rPr>
          <w:spacing w:val="-7"/>
        </w:rPr>
        <w:t> </w:t>
      </w:r>
      <w:r>
        <w:rPr/>
        <w:t>amount,</w:t>
      </w:r>
      <w:r>
        <w:rPr>
          <w:spacing w:val="-9"/>
        </w:rPr>
        <w:t> </w:t>
      </w:r>
      <w:r>
        <w:rPr/>
        <w:t>net</w:t>
      </w:r>
      <w:r>
        <w:rPr>
          <w:spacing w:val="-9"/>
        </w:rPr>
        <w:t> </w:t>
      </w:r>
      <w:r>
        <w:rPr/>
        <w:t>of</w:t>
      </w:r>
      <w:r>
        <w:rPr>
          <w:spacing w:val="-9"/>
        </w:rPr>
        <w:t> </w:t>
      </w:r>
      <w:r>
        <w:rPr/>
        <w:t>provision</w:t>
      </w:r>
      <w:r>
        <w:rPr>
          <w:spacing w:val="-9"/>
        </w:rPr>
        <w:t> </w:t>
      </w:r>
      <w:r>
        <w:rPr/>
        <w:t>for</w:t>
      </w:r>
      <w:r>
        <w:rPr>
          <w:spacing w:val="-7"/>
        </w:rPr>
        <w:t> </w:t>
      </w:r>
      <w:r>
        <w:rPr/>
        <w:t>loss.</w:t>
      </w:r>
      <w:r>
        <w:rPr>
          <w:spacing w:val="-9"/>
        </w:rPr>
        <w:t> </w:t>
      </w:r>
      <w:r>
        <w:rPr/>
        <w:t>Credit</w:t>
      </w:r>
      <w:r>
        <w:rPr>
          <w:spacing w:val="-7"/>
        </w:rPr>
        <w:t> </w:t>
      </w:r>
      <w:r>
        <w:rPr/>
        <w:t>risk</w:t>
      </w:r>
      <w:r>
        <w:rPr>
          <w:spacing w:val="-8"/>
        </w:rPr>
        <w:t> </w:t>
      </w:r>
      <w:r>
        <w:rPr/>
        <w:t>arises</w:t>
      </w:r>
      <w:r>
        <w:rPr>
          <w:spacing w:val="-8"/>
        </w:rPr>
        <w:t> </w:t>
      </w:r>
      <w:r>
        <w:rPr/>
        <w:t>when</w:t>
      </w:r>
      <w:r>
        <w:rPr>
          <w:spacing w:val="-7"/>
        </w:rPr>
        <w:t> </w:t>
      </w:r>
      <w:r>
        <w:rPr/>
        <w:t>there</w:t>
      </w:r>
      <w:r>
        <w:rPr>
          <w:spacing w:val="-7"/>
        </w:rPr>
        <w:t> </w:t>
      </w:r>
      <w:r>
        <w:rPr/>
        <w:t>is</w:t>
      </w:r>
      <w:r>
        <w:rPr>
          <w:spacing w:val="-7"/>
        </w:rPr>
        <w:t> </w:t>
      </w:r>
      <w:r>
        <w:rPr/>
        <w:t>the</w:t>
      </w:r>
      <w:r>
        <w:rPr>
          <w:spacing w:val="-7"/>
        </w:rPr>
        <w:t> </w:t>
      </w:r>
      <w:r>
        <w:rPr/>
        <w:t>possibility</w:t>
      </w:r>
      <w:r>
        <w:rPr>
          <w:spacing w:val="-8"/>
        </w:rPr>
        <w:t> </w:t>
      </w:r>
      <w:r>
        <w:rPr/>
        <w:t>of the Company's debtors defaulting on their contractual obligations, resulting in financial loss to the Company. The Company does not have any significant exposure to any unrelated</w:t>
      </w:r>
      <w:r>
        <w:rPr>
          <w:spacing w:val="-30"/>
        </w:rPr>
        <w:t> </w:t>
      </w:r>
      <w:r>
        <w:rPr/>
        <w:t>customer.</w:t>
      </w:r>
    </w:p>
    <w:p>
      <w:pPr>
        <w:pStyle w:val="BodyText"/>
        <w:spacing w:before="6"/>
        <w:rPr>
          <w:sz w:val="24"/>
        </w:rPr>
      </w:pPr>
    </w:p>
    <w:p>
      <w:pPr>
        <w:pStyle w:val="Heading9"/>
        <w:numPr>
          <w:ilvl w:val="0"/>
          <w:numId w:val="119"/>
        </w:numPr>
        <w:tabs>
          <w:tab w:pos="1071" w:val="left" w:leader="none"/>
        </w:tabs>
        <w:spacing w:line="240" w:lineRule="auto" w:before="0" w:after="0"/>
        <w:ind w:left="1070" w:right="0" w:hanging="566"/>
        <w:jc w:val="left"/>
      </w:pPr>
      <w:r>
        <w:rPr/>
        <w:t>Liquidity</w:t>
      </w:r>
      <w:r>
        <w:rPr>
          <w:spacing w:val="-6"/>
        </w:rPr>
        <w:t> </w:t>
      </w:r>
      <w:r>
        <w:rPr/>
        <w:t>risk</w:t>
      </w:r>
    </w:p>
    <w:p>
      <w:pPr>
        <w:pStyle w:val="BodyText"/>
        <w:spacing w:before="7"/>
        <w:rPr>
          <w:b/>
          <w:sz w:val="25"/>
        </w:rPr>
      </w:pPr>
    </w:p>
    <w:p>
      <w:pPr>
        <w:pStyle w:val="BodyText"/>
        <w:ind w:left="1072" w:right="17"/>
      </w:pPr>
      <w:r>
        <w:rPr/>
        <w:t>Liquidity</w:t>
      </w:r>
      <w:r>
        <w:rPr>
          <w:spacing w:val="-14"/>
        </w:rPr>
        <w:t> </w:t>
      </w:r>
      <w:r>
        <w:rPr/>
        <w:t>risk</w:t>
      </w:r>
      <w:r>
        <w:rPr>
          <w:spacing w:val="-14"/>
        </w:rPr>
        <w:t> </w:t>
      </w:r>
      <w:r>
        <w:rPr/>
        <w:t>arises</w:t>
      </w:r>
      <w:r>
        <w:rPr>
          <w:spacing w:val="-14"/>
        </w:rPr>
        <w:t> </w:t>
      </w:r>
      <w:r>
        <w:rPr/>
        <w:t>from</w:t>
      </w:r>
      <w:r>
        <w:rPr>
          <w:spacing w:val="-11"/>
        </w:rPr>
        <w:t> </w:t>
      </w:r>
      <w:r>
        <w:rPr/>
        <w:t>the</w:t>
      </w:r>
      <w:r>
        <w:rPr>
          <w:spacing w:val="-12"/>
        </w:rPr>
        <w:t> </w:t>
      </w:r>
      <w:r>
        <w:rPr/>
        <w:t>possibility</w:t>
      </w:r>
      <w:r>
        <w:rPr>
          <w:spacing w:val="-14"/>
        </w:rPr>
        <w:t> </w:t>
      </w:r>
      <w:r>
        <w:rPr/>
        <w:t>that</w:t>
      </w:r>
      <w:r>
        <w:rPr>
          <w:spacing w:val="-15"/>
        </w:rPr>
        <w:t> </w:t>
      </w:r>
      <w:r>
        <w:rPr/>
        <w:t>the</w:t>
      </w:r>
      <w:r>
        <w:rPr>
          <w:spacing w:val="-12"/>
        </w:rPr>
        <w:t> </w:t>
      </w:r>
      <w:r>
        <w:rPr/>
        <w:t>Company</w:t>
      </w:r>
      <w:r>
        <w:rPr>
          <w:spacing w:val="-14"/>
        </w:rPr>
        <w:t> </w:t>
      </w:r>
      <w:r>
        <w:rPr/>
        <w:t>might</w:t>
      </w:r>
      <w:r>
        <w:rPr>
          <w:spacing w:val="-12"/>
        </w:rPr>
        <w:t> </w:t>
      </w:r>
      <w:r>
        <w:rPr/>
        <w:t>encounter</w:t>
      </w:r>
      <w:r>
        <w:rPr>
          <w:spacing w:val="-13"/>
        </w:rPr>
        <w:t> </w:t>
      </w:r>
      <w:r>
        <w:rPr/>
        <w:t>difficulty</w:t>
      </w:r>
      <w:r>
        <w:rPr>
          <w:spacing w:val="-14"/>
        </w:rPr>
        <w:t> </w:t>
      </w:r>
      <w:r>
        <w:rPr/>
        <w:t>in</w:t>
      </w:r>
      <w:r>
        <w:rPr>
          <w:spacing w:val="-12"/>
        </w:rPr>
        <w:t> </w:t>
      </w:r>
      <w:r>
        <w:rPr/>
        <w:t>settling</w:t>
      </w:r>
      <w:r>
        <w:rPr>
          <w:spacing w:val="-14"/>
        </w:rPr>
        <w:t> </w:t>
      </w:r>
      <w:r>
        <w:rPr/>
        <w:t>its</w:t>
      </w:r>
      <w:r>
        <w:rPr>
          <w:spacing w:val="-11"/>
        </w:rPr>
        <w:t> </w:t>
      </w:r>
      <w:r>
        <w:rPr/>
        <w:t>debts</w:t>
      </w:r>
      <w:r>
        <w:rPr>
          <w:spacing w:val="-14"/>
        </w:rPr>
        <w:t> </w:t>
      </w:r>
      <w:r>
        <w:rPr/>
        <w:t>or</w:t>
      </w:r>
      <w:r>
        <w:rPr>
          <w:spacing w:val="-13"/>
        </w:rPr>
        <w:t> </w:t>
      </w:r>
      <w:r>
        <w:rPr/>
        <w:t>otherwise meeting its obligations related to financial liabilities. The Company manages this risk through the following mechanisms:</w:t>
      </w:r>
    </w:p>
    <w:p>
      <w:pPr>
        <w:pStyle w:val="BodyText"/>
        <w:spacing w:before="2"/>
        <w:rPr>
          <w:sz w:val="25"/>
        </w:rPr>
      </w:pPr>
    </w:p>
    <w:p>
      <w:pPr>
        <w:pStyle w:val="ListParagraph"/>
        <w:numPr>
          <w:ilvl w:val="1"/>
          <w:numId w:val="119"/>
        </w:numPr>
        <w:tabs>
          <w:tab w:pos="1640" w:val="left" w:leader="none"/>
        </w:tabs>
        <w:spacing w:line="240" w:lineRule="auto" w:before="0" w:after="0"/>
        <w:ind w:left="1639" w:right="152" w:hanging="567"/>
        <w:jc w:val="left"/>
        <w:rPr>
          <w:sz w:val="18"/>
        </w:rPr>
      </w:pPr>
      <w:r>
        <w:rPr>
          <w:sz w:val="18"/>
        </w:rPr>
        <w:t>preparing forward-looking cash flow analysis in relation to its operational, investing and financial activities which are monitored on a monthly</w:t>
      </w:r>
      <w:r>
        <w:rPr>
          <w:spacing w:val="-15"/>
          <w:sz w:val="18"/>
        </w:rPr>
        <w:t> </w:t>
      </w:r>
      <w:r>
        <w:rPr>
          <w:sz w:val="18"/>
        </w:rPr>
        <w:t>basis;</w:t>
      </w:r>
    </w:p>
    <w:p>
      <w:pPr>
        <w:pStyle w:val="BodyText"/>
        <w:spacing w:before="2"/>
        <w:rPr>
          <w:sz w:val="25"/>
        </w:rPr>
      </w:pPr>
    </w:p>
    <w:p>
      <w:pPr>
        <w:pStyle w:val="ListParagraph"/>
        <w:numPr>
          <w:ilvl w:val="1"/>
          <w:numId w:val="119"/>
        </w:numPr>
        <w:tabs>
          <w:tab w:pos="1639" w:val="left" w:leader="none"/>
        </w:tabs>
        <w:spacing w:line="240" w:lineRule="auto" w:before="0" w:after="0"/>
        <w:ind w:left="1638" w:right="0" w:hanging="566"/>
        <w:jc w:val="left"/>
        <w:rPr>
          <w:sz w:val="18"/>
        </w:rPr>
      </w:pPr>
      <w:r>
        <w:rPr>
          <w:sz w:val="18"/>
        </w:rPr>
        <w:t>obtaining funding from a variety of</w:t>
      </w:r>
      <w:r>
        <w:rPr>
          <w:spacing w:val="-17"/>
          <w:sz w:val="18"/>
        </w:rPr>
        <w:t> </w:t>
      </w:r>
      <w:r>
        <w:rPr>
          <w:sz w:val="18"/>
        </w:rPr>
        <w:t>sources;</w:t>
      </w:r>
    </w:p>
    <w:p>
      <w:pPr>
        <w:pStyle w:val="BodyText"/>
        <w:spacing w:before="9"/>
        <w:rPr>
          <w:sz w:val="24"/>
        </w:rPr>
      </w:pPr>
    </w:p>
    <w:p>
      <w:pPr>
        <w:pStyle w:val="ListParagraph"/>
        <w:numPr>
          <w:ilvl w:val="1"/>
          <w:numId w:val="119"/>
        </w:numPr>
        <w:tabs>
          <w:tab w:pos="1639" w:val="left" w:leader="none"/>
        </w:tabs>
        <w:spacing w:line="240" w:lineRule="auto" w:before="1" w:after="0"/>
        <w:ind w:left="1638" w:right="0" w:hanging="566"/>
        <w:jc w:val="left"/>
        <w:rPr>
          <w:sz w:val="18"/>
        </w:rPr>
      </w:pPr>
      <w:r>
        <w:rPr>
          <w:sz w:val="18"/>
        </w:rPr>
        <w:t>maintaining a reputable credit</w:t>
      </w:r>
      <w:r>
        <w:rPr>
          <w:spacing w:val="-16"/>
          <w:sz w:val="18"/>
        </w:rPr>
        <w:t> </w:t>
      </w:r>
      <w:r>
        <w:rPr>
          <w:sz w:val="18"/>
        </w:rPr>
        <w:t>profile;</w:t>
      </w:r>
    </w:p>
    <w:p>
      <w:pPr>
        <w:spacing w:after="0" w:line="240" w:lineRule="auto"/>
        <w:jc w:val="left"/>
        <w:rPr>
          <w:sz w:val="18"/>
        </w:rPr>
        <w:sectPr>
          <w:pgSz w:w="11960" w:h="16850"/>
          <w:pgMar w:header="743" w:footer="507" w:top="1180" w:bottom="700" w:left="900" w:right="900"/>
        </w:sectPr>
      </w:pPr>
    </w:p>
    <w:p>
      <w:pPr>
        <w:pStyle w:val="BodyText"/>
        <w:spacing w:before="8"/>
        <w:rPr>
          <w:sz w:val="23"/>
        </w:rPr>
      </w:pPr>
    </w:p>
    <w:p>
      <w:pPr>
        <w:pStyle w:val="Heading6"/>
        <w:spacing w:before="73"/>
        <w:ind w:left="307" w:right="25"/>
      </w:pPr>
      <w:r>
        <w:rPr/>
        <w:t>Notes to the Financial Statements</w:t>
      </w:r>
    </w:p>
    <w:p>
      <w:pPr>
        <w:spacing w:before="54"/>
        <w:ind w:left="308" w:right="25" w:firstLine="0"/>
        <w:jc w:val="left"/>
        <w:rPr>
          <w:b/>
          <w:sz w:val="22"/>
        </w:rPr>
      </w:pPr>
      <w:r>
        <w:rPr>
          <w:b/>
          <w:sz w:val="22"/>
        </w:rPr>
        <w:t>For the period from 2 March 2012 to 31 December 2012</w:t>
      </w:r>
    </w:p>
    <w:p>
      <w:pPr>
        <w:pStyle w:val="BodyText"/>
        <w:rPr>
          <w:b/>
          <w:sz w:val="22"/>
        </w:rPr>
      </w:pPr>
    </w:p>
    <w:p>
      <w:pPr>
        <w:pStyle w:val="BodyText"/>
        <w:spacing w:before="9"/>
        <w:rPr>
          <w:b/>
          <w:sz w:val="29"/>
        </w:rPr>
      </w:pPr>
    </w:p>
    <w:p>
      <w:pPr>
        <w:pStyle w:val="Heading9"/>
        <w:ind w:left="307" w:right="25"/>
      </w:pPr>
      <w:r>
        <w:rPr/>
        <w:t>17    Financial risk management continued</w:t>
      </w:r>
    </w:p>
    <w:p>
      <w:pPr>
        <w:pStyle w:val="BodyText"/>
        <w:spacing w:before="2"/>
        <w:rPr>
          <w:b/>
          <w:sz w:val="25"/>
        </w:rPr>
      </w:pPr>
    </w:p>
    <w:p>
      <w:pPr>
        <w:pStyle w:val="ListParagraph"/>
        <w:numPr>
          <w:ilvl w:val="0"/>
          <w:numId w:val="121"/>
        </w:numPr>
        <w:tabs>
          <w:tab w:pos="1271" w:val="left" w:leader="none"/>
        </w:tabs>
        <w:spacing w:line="240" w:lineRule="auto" w:before="0" w:after="0"/>
        <w:ind w:left="1270" w:right="0" w:hanging="566"/>
        <w:jc w:val="left"/>
        <w:rPr>
          <w:b/>
          <w:sz w:val="18"/>
        </w:rPr>
      </w:pPr>
      <w:r>
        <w:rPr>
          <w:b/>
          <w:sz w:val="18"/>
        </w:rPr>
        <w:t>Liquidity risk</w:t>
      </w:r>
      <w:r>
        <w:rPr>
          <w:b/>
          <w:spacing w:val="-7"/>
          <w:sz w:val="18"/>
        </w:rPr>
        <w:t> </w:t>
      </w:r>
      <w:r>
        <w:rPr>
          <w:b/>
          <w:sz w:val="18"/>
        </w:rPr>
        <w:t>continued</w:t>
      </w:r>
    </w:p>
    <w:p>
      <w:pPr>
        <w:pStyle w:val="BodyText"/>
        <w:spacing w:before="7"/>
        <w:rPr>
          <w:b/>
          <w:sz w:val="25"/>
        </w:rPr>
      </w:pPr>
    </w:p>
    <w:p>
      <w:pPr>
        <w:pStyle w:val="ListParagraph"/>
        <w:numPr>
          <w:ilvl w:val="1"/>
          <w:numId w:val="121"/>
        </w:numPr>
        <w:tabs>
          <w:tab w:pos="1840" w:val="left" w:leader="none"/>
        </w:tabs>
        <w:spacing w:line="240" w:lineRule="auto" w:before="0" w:after="0"/>
        <w:ind w:left="1839" w:right="0" w:hanging="567"/>
        <w:jc w:val="left"/>
        <w:rPr>
          <w:sz w:val="18"/>
        </w:rPr>
      </w:pPr>
      <w:r>
        <w:rPr>
          <w:sz w:val="18"/>
        </w:rPr>
        <w:t>managing credit risk related to financial</w:t>
      </w:r>
      <w:r>
        <w:rPr>
          <w:spacing w:val="-21"/>
          <w:sz w:val="18"/>
        </w:rPr>
        <w:t> </w:t>
      </w:r>
      <w:r>
        <w:rPr>
          <w:sz w:val="18"/>
        </w:rPr>
        <w:t>assets;</w:t>
      </w:r>
    </w:p>
    <w:p>
      <w:pPr>
        <w:pStyle w:val="BodyText"/>
        <w:spacing w:before="9"/>
        <w:rPr>
          <w:sz w:val="24"/>
        </w:rPr>
      </w:pPr>
    </w:p>
    <w:p>
      <w:pPr>
        <w:pStyle w:val="ListParagraph"/>
        <w:numPr>
          <w:ilvl w:val="1"/>
          <w:numId w:val="121"/>
        </w:numPr>
        <w:tabs>
          <w:tab w:pos="1840" w:val="left" w:leader="none"/>
        </w:tabs>
        <w:spacing w:line="240" w:lineRule="auto" w:before="1" w:after="0"/>
        <w:ind w:left="1839" w:right="0" w:hanging="567"/>
        <w:jc w:val="left"/>
        <w:rPr>
          <w:sz w:val="18"/>
        </w:rPr>
      </w:pPr>
      <w:r>
        <w:rPr>
          <w:sz w:val="18"/>
        </w:rPr>
        <w:t>only investing surplus cash with major financial institutions;</w:t>
      </w:r>
      <w:r>
        <w:rPr>
          <w:spacing w:val="-27"/>
          <w:sz w:val="18"/>
        </w:rPr>
        <w:t> </w:t>
      </w:r>
      <w:r>
        <w:rPr>
          <w:sz w:val="18"/>
        </w:rPr>
        <w:t>and</w:t>
      </w:r>
    </w:p>
    <w:p>
      <w:pPr>
        <w:pStyle w:val="BodyText"/>
        <w:rPr>
          <w:sz w:val="25"/>
        </w:rPr>
      </w:pPr>
    </w:p>
    <w:p>
      <w:pPr>
        <w:pStyle w:val="ListParagraph"/>
        <w:numPr>
          <w:ilvl w:val="1"/>
          <w:numId w:val="121"/>
        </w:numPr>
        <w:tabs>
          <w:tab w:pos="1839" w:val="left" w:leader="none"/>
        </w:tabs>
        <w:spacing w:line="240" w:lineRule="auto" w:before="1" w:after="0"/>
        <w:ind w:left="1838" w:right="0" w:hanging="566"/>
        <w:jc w:val="left"/>
        <w:rPr>
          <w:sz w:val="18"/>
        </w:rPr>
      </w:pPr>
      <w:r>
        <w:rPr>
          <w:sz w:val="18"/>
        </w:rPr>
        <w:t>comparing</w:t>
      </w:r>
      <w:r>
        <w:rPr>
          <w:spacing w:val="-3"/>
          <w:sz w:val="18"/>
        </w:rPr>
        <w:t> </w:t>
      </w:r>
      <w:r>
        <w:rPr>
          <w:sz w:val="18"/>
        </w:rPr>
        <w:t>the</w:t>
      </w:r>
      <w:r>
        <w:rPr>
          <w:spacing w:val="-3"/>
          <w:sz w:val="18"/>
        </w:rPr>
        <w:t> </w:t>
      </w:r>
      <w:r>
        <w:rPr>
          <w:sz w:val="18"/>
        </w:rPr>
        <w:t>maturity</w:t>
      </w:r>
      <w:r>
        <w:rPr>
          <w:spacing w:val="-5"/>
          <w:sz w:val="18"/>
        </w:rPr>
        <w:t> </w:t>
      </w:r>
      <w:r>
        <w:rPr>
          <w:sz w:val="18"/>
        </w:rPr>
        <w:t>profile</w:t>
      </w:r>
      <w:r>
        <w:rPr>
          <w:spacing w:val="-6"/>
          <w:sz w:val="18"/>
        </w:rPr>
        <w:t> </w:t>
      </w:r>
      <w:r>
        <w:rPr>
          <w:sz w:val="18"/>
        </w:rPr>
        <w:t>of</w:t>
      </w:r>
      <w:r>
        <w:rPr>
          <w:spacing w:val="-4"/>
          <w:sz w:val="18"/>
        </w:rPr>
        <w:t> </w:t>
      </w:r>
      <w:r>
        <w:rPr>
          <w:sz w:val="18"/>
        </w:rPr>
        <w:t>financial</w:t>
      </w:r>
      <w:r>
        <w:rPr>
          <w:spacing w:val="-6"/>
          <w:sz w:val="18"/>
        </w:rPr>
        <w:t> </w:t>
      </w:r>
      <w:r>
        <w:rPr>
          <w:sz w:val="18"/>
        </w:rPr>
        <w:t>liabilities</w:t>
      </w:r>
      <w:r>
        <w:rPr>
          <w:spacing w:val="-3"/>
          <w:sz w:val="18"/>
        </w:rPr>
        <w:t> </w:t>
      </w:r>
      <w:r>
        <w:rPr>
          <w:sz w:val="18"/>
        </w:rPr>
        <w:t>with</w:t>
      </w:r>
      <w:r>
        <w:rPr>
          <w:spacing w:val="-3"/>
          <w:sz w:val="18"/>
        </w:rPr>
        <w:t> </w:t>
      </w:r>
      <w:r>
        <w:rPr>
          <w:sz w:val="18"/>
        </w:rPr>
        <w:t>the</w:t>
      </w:r>
      <w:r>
        <w:rPr>
          <w:spacing w:val="-3"/>
          <w:sz w:val="18"/>
        </w:rPr>
        <w:t> </w:t>
      </w:r>
      <w:r>
        <w:rPr>
          <w:sz w:val="18"/>
        </w:rPr>
        <w:t>realisation</w:t>
      </w:r>
      <w:r>
        <w:rPr>
          <w:spacing w:val="-6"/>
          <w:sz w:val="18"/>
        </w:rPr>
        <w:t> </w:t>
      </w:r>
      <w:r>
        <w:rPr>
          <w:sz w:val="18"/>
        </w:rPr>
        <w:t>profile</w:t>
      </w:r>
      <w:r>
        <w:rPr>
          <w:spacing w:val="-3"/>
          <w:sz w:val="18"/>
        </w:rPr>
        <w:t> </w:t>
      </w:r>
      <w:r>
        <w:rPr>
          <w:sz w:val="18"/>
        </w:rPr>
        <w:t>of</w:t>
      </w:r>
      <w:r>
        <w:rPr>
          <w:spacing w:val="-4"/>
          <w:sz w:val="18"/>
        </w:rPr>
        <w:t> </w:t>
      </w:r>
      <w:r>
        <w:rPr>
          <w:sz w:val="18"/>
        </w:rPr>
        <w:t>financial</w:t>
      </w:r>
      <w:r>
        <w:rPr>
          <w:spacing w:val="-3"/>
          <w:sz w:val="18"/>
        </w:rPr>
        <w:t> </w:t>
      </w:r>
      <w:r>
        <w:rPr>
          <w:sz w:val="18"/>
        </w:rPr>
        <w:t>assets.</w:t>
      </w:r>
    </w:p>
    <w:p>
      <w:pPr>
        <w:pStyle w:val="BodyText"/>
        <w:rPr>
          <w:sz w:val="25"/>
        </w:rPr>
      </w:pPr>
    </w:p>
    <w:p>
      <w:pPr>
        <w:pStyle w:val="BodyText"/>
        <w:spacing w:before="1"/>
        <w:ind w:left="1272" w:right="82"/>
      </w:pPr>
      <w:r>
        <w:rPr/>
        <w:t>Typically, the Company ensures that it has sufficient cash on demand to meet expected operational expenses for a period of 60 days. Therefore the liquidity risk is considered to be minimal.</w:t>
      </w:r>
    </w:p>
    <w:p>
      <w:pPr>
        <w:pStyle w:val="BodyText"/>
        <w:spacing w:before="2"/>
        <w:rPr>
          <w:sz w:val="25"/>
        </w:rPr>
      </w:pPr>
    </w:p>
    <w:p>
      <w:pPr>
        <w:pStyle w:val="BodyText"/>
        <w:ind w:left="1272" w:right="25"/>
      </w:pPr>
      <w:r>
        <w:rPr/>
        <w:t>The following tables summarise the maturity of the Company's financial assets and financial liabilities.</w:t>
      </w:r>
    </w:p>
    <w:p>
      <w:pPr>
        <w:pStyle w:val="BodyText"/>
        <w:rPr>
          <w:sz w:val="25"/>
        </w:rPr>
      </w:pPr>
    </w:p>
    <w:p>
      <w:pPr>
        <w:pStyle w:val="BodyText"/>
        <w:spacing w:after="51"/>
        <w:ind w:left="1272" w:right="232"/>
      </w:pPr>
      <w:r>
        <w:rPr/>
        <w:t>The amounts disclosed in the table are the contractual undiscounted cash flows. Balance due within 12 months equal their carrying balances as the impact of discounting is not significant.</w:t>
      </w:r>
    </w:p>
    <w:tbl>
      <w:tblPr>
        <w:tblW w:w="0" w:type="auto"/>
        <w:jc w:val="left"/>
        <w:tblInd w:w="5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04"/>
        <w:gridCol w:w="1537"/>
        <w:gridCol w:w="1348"/>
        <w:gridCol w:w="1435"/>
        <w:gridCol w:w="1100"/>
      </w:tblGrid>
      <w:tr>
        <w:trPr>
          <w:trHeight w:val="436" w:hRule="exact"/>
        </w:trPr>
        <w:tc>
          <w:tcPr>
            <w:tcW w:w="4304" w:type="dxa"/>
          </w:tcPr>
          <w:p>
            <w:pPr/>
          </w:p>
        </w:tc>
        <w:tc>
          <w:tcPr>
            <w:tcW w:w="1537" w:type="dxa"/>
          </w:tcPr>
          <w:p>
            <w:pPr>
              <w:pStyle w:val="TableParagraph"/>
              <w:spacing w:line="184" w:lineRule="exact"/>
              <w:ind w:left="234" w:right="172"/>
              <w:jc w:val="center"/>
              <w:rPr>
                <w:b/>
                <w:sz w:val="18"/>
              </w:rPr>
            </w:pPr>
            <w:r>
              <w:rPr>
                <w:b/>
                <w:sz w:val="18"/>
              </w:rPr>
              <w:t>Less than 12</w:t>
            </w:r>
          </w:p>
          <w:p>
            <w:pPr>
              <w:pStyle w:val="TableParagraph"/>
              <w:spacing w:before="2"/>
              <w:ind w:left="234" w:right="169"/>
              <w:jc w:val="center"/>
              <w:rPr>
                <w:b/>
                <w:sz w:val="18"/>
              </w:rPr>
            </w:pPr>
            <w:r>
              <w:rPr>
                <w:b/>
                <w:sz w:val="18"/>
              </w:rPr>
              <w:t>months</w:t>
            </w:r>
          </w:p>
        </w:tc>
        <w:tc>
          <w:tcPr>
            <w:tcW w:w="1348" w:type="dxa"/>
          </w:tcPr>
          <w:p>
            <w:pPr>
              <w:pStyle w:val="TableParagraph"/>
              <w:spacing w:line="184" w:lineRule="exact"/>
              <w:ind w:left="13" w:right="35"/>
              <w:jc w:val="center"/>
              <w:rPr>
                <w:b/>
                <w:sz w:val="18"/>
              </w:rPr>
            </w:pPr>
            <w:r>
              <w:rPr>
                <w:b/>
                <w:sz w:val="18"/>
              </w:rPr>
              <w:t>Between 1 to 5</w:t>
            </w:r>
          </w:p>
          <w:p>
            <w:pPr>
              <w:pStyle w:val="TableParagraph"/>
              <w:spacing w:before="2"/>
              <w:ind w:left="13" w:right="35"/>
              <w:jc w:val="center"/>
              <w:rPr>
                <w:b/>
                <w:sz w:val="18"/>
              </w:rPr>
            </w:pPr>
            <w:r>
              <w:rPr>
                <w:b/>
                <w:sz w:val="18"/>
              </w:rPr>
              <w:t>Years</w:t>
            </w:r>
          </w:p>
        </w:tc>
        <w:tc>
          <w:tcPr>
            <w:tcW w:w="1435" w:type="dxa"/>
          </w:tcPr>
          <w:p>
            <w:pPr>
              <w:pStyle w:val="TableParagraph"/>
              <w:spacing w:before="1"/>
              <w:rPr>
                <w:sz w:val="16"/>
              </w:rPr>
            </w:pPr>
          </w:p>
          <w:p>
            <w:pPr>
              <w:pStyle w:val="TableParagraph"/>
              <w:spacing w:before="1"/>
              <w:ind w:right="273"/>
              <w:jc w:val="right"/>
              <w:rPr>
                <w:b/>
                <w:sz w:val="18"/>
              </w:rPr>
            </w:pPr>
            <w:r>
              <w:rPr>
                <w:b/>
                <w:sz w:val="18"/>
              </w:rPr>
              <w:t>Over 5 Years</w:t>
            </w:r>
          </w:p>
        </w:tc>
        <w:tc>
          <w:tcPr>
            <w:tcW w:w="1100" w:type="dxa"/>
          </w:tcPr>
          <w:p>
            <w:pPr>
              <w:pStyle w:val="TableParagraph"/>
              <w:spacing w:before="1"/>
              <w:rPr>
                <w:sz w:val="16"/>
              </w:rPr>
            </w:pPr>
          </w:p>
          <w:p>
            <w:pPr>
              <w:pStyle w:val="TableParagraph"/>
              <w:spacing w:before="1"/>
              <w:ind w:left="258"/>
              <w:rPr>
                <w:b/>
                <w:sz w:val="18"/>
              </w:rPr>
            </w:pPr>
            <w:r>
              <w:rPr>
                <w:b/>
                <w:sz w:val="18"/>
              </w:rPr>
              <w:t>Total</w:t>
            </w:r>
          </w:p>
        </w:tc>
      </w:tr>
      <w:tr>
        <w:trPr>
          <w:trHeight w:val="556" w:hRule="exact"/>
        </w:trPr>
        <w:tc>
          <w:tcPr>
            <w:tcW w:w="4304" w:type="dxa"/>
          </w:tcPr>
          <w:p>
            <w:pPr/>
          </w:p>
        </w:tc>
        <w:tc>
          <w:tcPr>
            <w:tcW w:w="1537" w:type="dxa"/>
          </w:tcPr>
          <w:p>
            <w:pPr>
              <w:pStyle w:val="TableParagraph"/>
              <w:spacing w:before="24"/>
              <w:ind w:left="234" w:right="169"/>
              <w:jc w:val="center"/>
              <w:rPr>
                <w:b/>
                <w:sz w:val="18"/>
              </w:rPr>
            </w:pPr>
            <w:r>
              <w:rPr>
                <w:b/>
                <w:sz w:val="18"/>
              </w:rPr>
              <w:t>2012</w:t>
            </w:r>
          </w:p>
          <w:p>
            <w:pPr>
              <w:pStyle w:val="TableParagraph"/>
              <w:spacing w:before="35"/>
              <w:ind w:left="60"/>
              <w:jc w:val="center"/>
              <w:rPr>
                <w:b/>
                <w:sz w:val="18"/>
              </w:rPr>
            </w:pPr>
            <w:r>
              <w:rPr>
                <w:b/>
                <w:w w:val="99"/>
                <w:sz w:val="18"/>
              </w:rPr>
              <w:t>$</w:t>
            </w:r>
          </w:p>
        </w:tc>
        <w:tc>
          <w:tcPr>
            <w:tcW w:w="1348" w:type="dxa"/>
          </w:tcPr>
          <w:p>
            <w:pPr>
              <w:pStyle w:val="TableParagraph"/>
              <w:spacing w:before="24"/>
              <w:ind w:left="11" w:right="35"/>
              <w:jc w:val="center"/>
              <w:rPr>
                <w:b/>
                <w:sz w:val="18"/>
              </w:rPr>
            </w:pPr>
            <w:r>
              <w:rPr>
                <w:b/>
                <w:sz w:val="18"/>
              </w:rPr>
              <w:t>2012</w:t>
            </w:r>
          </w:p>
          <w:p>
            <w:pPr>
              <w:pStyle w:val="TableParagraph"/>
              <w:spacing w:before="35"/>
              <w:ind w:right="24"/>
              <w:jc w:val="center"/>
              <w:rPr>
                <w:b/>
                <w:sz w:val="18"/>
              </w:rPr>
            </w:pPr>
            <w:r>
              <w:rPr>
                <w:b/>
                <w:w w:val="99"/>
                <w:sz w:val="18"/>
              </w:rPr>
              <w:t>$</w:t>
            </w:r>
          </w:p>
        </w:tc>
        <w:tc>
          <w:tcPr>
            <w:tcW w:w="1435" w:type="dxa"/>
          </w:tcPr>
          <w:p>
            <w:pPr>
              <w:pStyle w:val="TableParagraph"/>
              <w:spacing w:before="24"/>
              <w:ind w:left="392" w:right="603"/>
              <w:jc w:val="center"/>
              <w:rPr>
                <w:b/>
                <w:sz w:val="18"/>
              </w:rPr>
            </w:pPr>
            <w:r>
              <w:rPr>
                <w:b/>
                <w:sz w:val="18"/>
              </w:rPr>
              <w:t>2012</w:t>
            </w:r>
          </w:p>
          <w:p>
            <w:pPr>
              <w:pStyle w:val="TableParagraph"/>
              <w:spacing w:before="35"/>
              <w:ind w:right="212"/>
              <w:jc w:val="center"/>
              <w:rPr>
                <w:b/>
                <w:sz w:val="18"/>
              </w:rPr>
            </w:pPr>
            <w:r>
              <w:rPr>
                <w:b/>
                <w:w w:val="99"/>
                <w:sz w:val="18"/>
              </w:rPr>
              <w:t>$</w:t>
            </w:r>
          </w:p>
        </w:tc>
        <w:tc>
          <w:tcPr>
            <w:tcW w:w="1100" w:type="dxa"/>
          </w:tcPr>
          <w:p>
            <w:pPr>
              <w:pStyle w:val="TableParagraph"/>
              <w:spacing w:before="24"/>
              <w:ind w:left="255" w:right="405"/>
              <w:jc w:val="center"/>
              <w:rPr>
                <w:b/>
                <w:sz w:val="18"/>
              </w:rPr>
            </w:pPr>
            <w:r>
              <w:rPr>
                <w:b/>
                <w:sz w:val="18"/>
              </w:rPr>
              <w:t>2012</w:t>
            </w:r>
          </w:p>
          <w:p>
            <w:pPr>
              <w:pStyle w:val="TableParagraph"/>
              <w:spacing w:before="35"/>
              <w:ind w:right="151"/>
              <w:jc w:val="center"/>
              <w:rPr>
                <w:b/>
                <w:sz w:val="18"/>
              </w:rPr>
            </w:pPr>
            <w:r>
              <w:rPr>
                <w:b/>
                <w:w w:val="99"/>
                <w:sz w:val="18"/>
              </w:rPr>
              <w:t>$</w:t>
            </w:r>
          </w:p>
        </w:tc>
      </w:tr>
      <w:tr>
        <w:trPr>
          <w:trHeight w:val="293" w:hRule="exact"/>
        </w:trPr>
        <w:tc>
          <w:tcPr>
            <w:tcW w:w="4304" w:type="dxa"/>
          </w:tcPr>
          <w:p>
            <w:pPr>
              <w:pStyle w:val="TableParagraph"/>
              <w:spacing w:before="63"/>
              <w:ind w:left="840"/>
              <w:rPr>
                <w:b/>
                <w:sz w:val="18"/>
              </w:rPr>
            </w:pPr>
            <w:r>
              <w:rPr>
                <w:b/>
                <w:sz w:val="18"/>
              </w:rPr>
              <w:t>Financial assets</w:t>
            </w:r>
          </w:p>
        </w:tc>
        <w:tc>
          <w:tcPr>
            <w:tcW w:w="1537" w:type="dxa"/>
          </w:tcPr>
          <w:p>
            <w:pPr/>
          </w:p>
        </w:tc>
        <w:tc>
          <w:tcPr>
            <w:tcW w:w="1348" w:type="dxa"/>
          </w:tcPr>
          <w:p>
            <w:pPr/>
          </w:p>
        </w:tc>
        <w:tc>
          <w:tcPr>
            <w:tcW w:w="1435" w:type="dxa"/>
          </w:tcPr>
          <w:p>
            <w:pPr/>
          </w:p>
        </w:tc>
        <w:tc>
          <w:tcPr>
            <w:tcW w:w="1100" w:type="dxa"/>
          </w:tcPr>
          <w:p>
            <w:pPr/>
          </w:p>
        </w:tc>
      </w:tr>
      <w:tr>
        <w:trPr>
          <w:trHeight w:val="251" w:hRule="exact"/>
        </w:trPr>
        <w:tc>
          <w:tcPr>
            <w:tcW w:w="4304" w:type="dxa"/>
          </w:tcPr>
          <w:p>
            <w:pPr>
              <w:pStyle w:val="TableParagraph"/>
              <w:spacing w:before="8"/>
              <w:ind w:left="840"/>
              <w:rPr>
                <w:sz w:val="18"/>
              </w:rPr>
            </w:pPr>
            <w:r>
              <w:rPr>
                <w:sz w:val="18"/>
              </w:rPr>
              <w:t>Cash and cash equivalents</w:t>
            </w:r>
          </w:p>
        </w:tc>
        <w:tc>
          <w:tcPr>
            <w:tcW w:w="1537" w:type="dxa"/>
          </w:tcPr>
          <w:p>
            <w:pPr>
              <w:pStyle w:val="TableParagraph"/>
              <w:spacing w:before="3"/>
              <w:ind w:right="32"/>
              <w:jc w:val="right"/>
              <w:rPr>
                <w:b/>
                <w:sz w:val="18"/>
              </w:rPr>
            </w:pPr>
            <w:r>
              <w:rPr>
                <w:b/>
                <w:sz w:val="18"/>
              </w:rPr>
              <w:t>873,270</w:t>
            </w:r>
          </w:p>
        </w:tc>
        <w:tc>
          <w:tcPr>
            <w:tcW w:w="1348" w:type="dxa"/>
          </w:tcPr>
          <w:p>
            <w:pPr>
              <w:pStyle w:val="TableParagraph"/>
              <w:spacing w:before="3"/>
              <w:ind w:right="119"/>
              <w:jc w:val="right"/>
              <w:rPr>
                <w:b/>
                <w:sz w:val="18"/>
              </w:rPr>
            </w:pPr>
            <w:r>
              <w:rPr>
                <w:b/>
                <w:w w:val="99"/>
                <w:sz w:val="18"/>
              </w:rPr>
              <w:t>-</w:t>
            </w:r>
          </w:p>
        </w:tc>
        <w:tc>
          <w:tcPr>
            <w:tcW w:w="1435" w:type="dxa"/>
          </w:tcPr>
          <w:p>
            <w:pPr>
              <w:pStyle w:val="TableParagraph"/>
              <w:spacing w:before="3"/>
              <w:ind w:right="256"/>
              <w:jc w:val="right"/>
              <w:rPr>
                <w:b/>
                <w:sz w:val="18"/>
              </w:rPr>
            </w:pPr>
            <w:r>
              <w:rPr>
                <w:b/>
                <w:w w:val="99"/>
                <w:sz w:val="18"/>
              </w:rPr>
              <w:t>-</w:t>
            </w:r>
          </w:p>
        </w:tc>
        <w:tc>
          <w:tcPr>
            <w:tcW w:w="1100" w:type="dxa"/>
          </w:tcPr>
          <w:p>
            <w:pPr>
              <w:pStyle w:val="TableParagraph"/>
              <w:spacing w:before="3"/>
              <w:ind w:right="21"/>
              <w:jc w:val="right"/>
              <w:rPr>
                <w:b/>
                <w:sz w:val="18"/>
              </w:rPr>
            </w:pPr>
            <w:r>
              <w:rPr>
                <w:b/>
                <w:sz w:val="18"/>
              </w:rPr>
              <w:t>873,270</w:t>
            </w:r>
          </w:p>
        </w:tc>
      </w:tr>
      <w:tr>
        <w:trPr>
          <w:trHeight w:val="269" w:hRule="exact"/>
        </w:trPr>
        <w:tc>
          <w:tcPr>
            <w:tcW w:w="4304" w:type="dxa"/>
          </w:tcPr>
          <w:p>
            <w:pPr>
              <w:pStyle w:val="TableParagraph"/>
              <w:spacing w:before="21"/>
              <w:ind w:left="840"/>
              <w:rPr>
                <w:sz w:val="18"/>
              </w:rPr>
            </w:pPr>
            <w:r>
              <w:rPr>
                <w:sz w:val="18"/>
              </w:rPr>
              <w:t>Receivables</w:t>
            </w:r>
          </w:p>
        </w:tc>
        <w:tc>
          <w:tcPr>
            <w:tcW w:w="1537" w:type="dxa"/>
            <w:tcBorders>
              <w:bottom w:val="single" w:sz="8" w:space="0" w:color="000000"/>
            </w:tcBorders>
          </w:tcPr>
          <w:p>
            <w:pPr>
              <w:pStyle w:val="TableParagraph"/>
              <w:spacing w:before="16"/>
              <w:ind w:right="33"/>
              <w:jc w:val="right"/>
              <w:rPr>
                <w:b/>
                <w:sz w:val="18"/>
              </w:rPr>
            </w:pPr>
            <w:r>
              <w:rPr>
                <w:b/>
                <w:sz w:val="18"/>
              </w:rPr>
              <w:t>28,218</w:t>
            </w:r>
          </w:p>
        </w:tc>
        <w:tc>
          <w:tcPr>
            <w:tcW w:w="1348" w:type="dxa"/>
            <w:tcBorders>
              <w:bottom w:val="single" w:sz="8" w:space="0" w:color="000000"/>
            </w:tcBorders>
          </w:tcPr>
          <w:p>
            <w:pPr>
              <w:pStyle w:val="TableParagraph"/>
              <w:spacing w:before="16"/>
              <w:ind w:right="119"/>
              <w:jc w:val="right"/>
              <w:rPr>
                <w:b/>
                <w:sz w:val="18"/>
              </w:rPr>
            </w:pPr>
            <w:r>
              <w:rPr>
                <w:b/>
                <w:w w:val="99"/>
                <w:sz w:val="18"/>
              </w:rPr>
              <w:t>-</w:t>
            </w:r>
          </w:p>
        </w:tc>
        <w:tc>
          <w:tcPr>
            <w:tcW w:w="1435" w:type="dxa"/>
            <w:tcBorders>
              <w:bottom w:val="single" w:sz="8" w:space="0" w:color="000000"/>
            </w:tcBorders>
          </w:tcPr>
          <w:p>
            <w:pPr>
              <w:pStyle w:val="TableParagraph"/>
              <w:spacing w:before="16"/>
              <w:ind w:right="256"/>
              <w:jc w:val="right"/>
              <w:rPr>
                <w:b/>
                <w:sz w:val="18"/>
              </w:rPr>
            </w:pPr>
            <w:r>
              <w:rPr>
                <w:b/>
                <w:w w:val="99"/>
                <w:sz w:val="18"/>
              </w:rPr>
              <w:t>-</w:t>
            </w:r>
          </w:p>
        </w:tc>
        <w:tc>
          <w:tcPr>
            <w:tcW w:w="1100" w:type="dxa"/>
            <w:tcBorders>
              <w:bottom w:val="single" w:sz="8" w:space="0" w:color="000000"/>
            </w:tcBorders>
          </w:tcPr>
          <w:p>
            <w:pPr>
              <w:pStyle w:val="TableParagraph"/>
              <w:spacing w:before="16"/>
              <w:ind w:right="22"/>
              <w:jc w:val="right"/>
              <w:rPr>
                <w:b/>
                <w:sz w:val="18"/>
              </w:rPr>
            </w:pPr>
            <w:r>
              <w:rPr>
                <w:b/>
                <w:sz w:val="18"/>
              </w:rPr>
              <w:t>28,218</w:t>
            </w:r>
          </w:p>
        </w:tc>
      </w:tr>
      <w:tr>
        <w:trPr>
          <w:trHeight w:val="338" w:hRule="exact"/>
        </w:trPr>
        <w:tc>
          <w:tcPr>
            <w:tcW w:w="4304" w:type="dxa"/>
          </w:tcPr>
          <w:p>
            <w:pPr>
              <w:pStyle w:val="TableParagraph"/>
              <w:spacing w:before="116"/>
              <w:ind w:left="840"/>
              <w:rPr>
                <w:b/>
                <w:sz w:val="18"/>
              </w:rPr>
            </w:pPr>
            <w:r>
              <w:rPr>
                <w:b/>
                <w:sz w:val="18"/>
              </w:rPr>
              <w:t>Total financial assets</w:t>
            </w:r>
          </w:p>
        </w:tc>
        <w:tc>
          <w:tcPr>
            <w:tcW w:w="1537" w:type="dxa"/>
            <w:tcBorders>
              <w:top w:val="single" w:sz="8" w:space="0" w:color="000000"/>
              <w:bottom w:val="single" w:sz="8" w:space="0" w:color="000000"/>
            </w:tcBorders>
          </w:tcPr>
          <w:p>
            <w:pPr>
              <w:pStyle w:val="TableParagraph"/>
              <w:spacing w:before="107"/>
              <w:ind w:right="32"/>
              <w:jc w:val="right"/>
              <w:rPr>
                <w:b/>
                <w:sz w:val="18"/>
              </w:rPr>
            </w:pPr>
            <w:r>
              <w:rPr>
                <w:b/>
                <w:sz w:val="18"/>
              </w:rPr>
              <w:t>901,488</w:t>
            </w:r>
          </w:p>
        </w:tc>
        <w:tc>
          <w:tcPr>
            <w:tcW w:w="1348" w:type="dxa"/>
            <w:tcBorders>
              <w:top w:val="single" w:sz="8" w:space="0" w:color="000000"/>
              <w:bottom w:val="single" w:sz="8" w:space="0" w:color="000000"/>
            </w:tcBorders>
          </w:tcPr>
          <w:p>
            <w:pPr>
              <w:pStyle w:val="TableParagraph"/>
              <w:spacing w:before="107"/>
              <w:ind w:right="118"/>
              <w:jc w:val="right"/>
              <w:rPr>
                <w:b/>
                <w:sz w:val="18"/>
              </w:rPr>
            </w:pPr>
            <w:r>
              <w:rPr>
                <w:b/>
                <w:w w:val="99"/>
                <w:sz w:val="18"/>
              </w:rPr>
              <w:t>-</w:t>
            </w:r>
          </w:p>
        </w:tc>
        <w:tc>
          <w:tcPr>
            <w:tcW w:w="1435" w:type="dxa"/>
            <w:tcBorders>
              <w:top w:val="single" w:sz="8" w:space="0" w:color="000000"/>
              <w:bottom w:val="single" w:sz="8" w:space="0" w:color="000000"/>
            </w:tcBorders>
          </w:tcPr>
          <w:p>
            <w:pPr>
              <w:pStyle w:val="TableParagraph"/>
              <w:spacing w:before="107"/>
              <w:ind w:right="256"/>
              <w:jc w:val="right"/>
              <w:rPr>
                <w:b/>
                <w:sz w:val="18"/>
              </w:rPr>
            </w:pPr>
            <w:r>
              <w:rPr>
                <w:b/>
                <w:w w:val="99"/>
                <w:sz w:val="18"/>
              </w:rPr>
              <w:t>-</w:t>
            </w:r>
          </w:p>
        </w:tc>
        <w:tc>
          <w:tcPr>
            <w:tcW w:w="1100" w:type="dxa"/>
            <w:tcBorders>
              <w:top w:val="single" w:sz="8" w:space="0" w:color="000000"/>
              <w:bottom w:val="single" w:sz="8" w:space="0" w:color="000000"/>
            </w:tcBorders>
          </w:tcPr>
          <w:p>
            <w:pPr>
              <w:pStyle w:val="TableParagraph"/>
              <w:spacing w:before="107"/>
              <w:ind w:right="21"/>
              <w:jc w:val="right"/>
              <w:rPr>
                <w:b/>
                <w:sz w:val="18"/>
              </w:rPr>
            </w:pPr>
            <w:r>
              <w:rPr>
                <w:b/>
                <w:sz w:val="18"/>
              </w:rPr>
              <w:t>901,488</w:t>
            </w:r>
          </w:p>
        </w:tc>
      </w:tr>
      <w:tr>
        <w:trPr>
          <w:trHeight w:val="668" w:hRule="exact"/>
        </w:trPr>
        <w:tc>
          <w:tcPr>
            <w:tcW w:w="4304" w:type="dxa"/>
          </w:tcPr>
          <w:p>
            <w:pPr>
              <w:pStyle w:val="TableParagraph"/>
              <w:rPr>
                <w:sz w:val="18"/>
              </w:rPr>
            </w:pPr>
          </w:p>
          <w:p>
            <w:pPr>
              <w:pStyle w:val="TableParagraph"/>
              <w:spacing w:before="1"/>
              <w:rPr>
                <w:sz w:val="20"/>
              </w:rPr>
            </w:pPr>
          </w:p>
          <w:p>
            <w:pPr>
              <w:pStyle w:val="TableParagraph"/>
              <w:ind w:left="840"/>
              <w:rPr>
                <w:b/>
                <w:sz w:val="18"/>
              </w:rPr>
            </w:pPr>
            <w:r>
              <w:rPr>
                <w:b/>
                <w:sz w:val="18"/>
              </w:rPr>
              <w:t>Financial liabilities</w:t>
            </w:r>
          </w:p>
        </w:tc>
        <w:tc>
          <w:tcPr>
            <w:tcW w:w="1537" w:type="dxa"/>
            <w:tcBorders>
              <w:top w:val="single" w:sz="8" w:space="0" w:color="000000"/>
            </w:tcBorders>
          </w:tcPr>
          <w:p>
            <w:pPr/>
          </w:p>
        </w:tc>
        <w:tc>
          <w:tcPr>
            <w:tcW w:w="1348" w:type="dxa"/>
            <w:tcBorders>
              <w:top w:val="single" w:sz="8" w:space="0" w:color="000000"/>
            </w:tcBorders>
          </w:tcPr>
          <w:p>
            <w:pPr/>
          </w:p>
        </w:tc>
        <w:tc>
          <w:tcPr>
            <w:tcW w:w="1435" w:type="dxa"/>
            <w:tcBorders>
              <w:top w:val="single" w:sz="8" w:space="0" w:color="000000"/>
            </w:tcBorders>
          </w:tcPr>
          <w:p>
            <w:pPr/>
          </w:p>
        </w:tc>
        <w:tc>
          <w:tcPr>
            <w:tcW w:w="1100" w:type="dxa"/>
            <w:tcBorders>
              <w:top w:val="single" w:sz="8" w:space="0" w:color="000000"/>
            </w:tcBorders>
          </w:tcPr>
          <w:p>
            <w:pPr/>
          </w:p>
        </w:tc>
      </w:tr>
      <w:tr>
        <w:trPr>
          <w:trHeight w:val="251" w:hRule="exact"/>
        </w:trPr>
        <w:tc>
          <w:tcPr>
            <w:tcW w:w="4304" w:type="dxa"/>
          </w:tcPr>
          <w:p>
            <w:pPr>
              <w:pStyle w:val="TableParagraph"/>
              <w:spacing w:before="8"/>
              <w:ind w:left="840"/>
              <w:rPr>
                <w:sz w:val="18"/>
              </w:rPr>
            </w:pPr>
            <w:r>
              <w:rPr>
                <w:sz w:val="18"/>
              </w:rPr>
              <w:t>Trade and other payables</w:t>
            </w:r>
          </w:p>
        </w:tc>
        <w:tc>
          <w:tcPr>
            <w:tcW w:w="1537" w:type="dxa"/>
          </w:tcPr>
          <w:p>
            <w:pPr>
              <w:pStyle w:val="TableParagraph"/>
              <w:spacing w:before="3"/>
              <w:ind w:right="32"/>
              <w:jc w:val="right"/>
              <w:rPr>
                <w:b/>
                <w:sz w:val="18"/>
              </w:rPr>
            </w:pPr>
            <w:r>
              <w:rPr>
                <w:b/>
                <w:sz w:val="18"/>
              </w:rPr>
              <w:t>241,366</w:t>
            </w:r>
          </w:p>
        </w:tc>
        <w:tc>
          <w:tcPr>
            <w:tcW w:w="1348" w:type="dxa"/>
          </w:tcPr>
          <w:p>
            <w:pPr>
              <w:pStyle w:val="TableParagraph"/>
              <w:spacing w:before="3"/>
              <w:ind w:right="119"/>
              <w:jc w:val="right"/>
              <w:rPr>
                <w:b/>
                <w:sz w:val="18"/>
              </w:rPr>
            </w:pPr>
            <w:r>
              <w:rPr>
                <w:b/>
                <w:w w:val="99"/>
                <w:sz w:val="18"/>
              </w:rPr>
              <w:t>-</w:t>
            </w:r>
          </w:p>
        </w:tc>
        <w:tc>
          <w:tcPr>
            <w:tcW w:w="1435" w:type="dxa"/>
          </w:tcPr>
          <w:p>
            <w:pPr>
              <w:pStyle w:val="TableParagraph"/>
              <w:spacing w:before="3"/>
              <w:ind w:right="256"/>
              <w:jc w:val="right"/>
              <w:rPr>
                <w:b/>
                <w:sz w:val="18"/>
              </w:rPr>
            </w:pPr>
            <w:r>
              <w:rPr>
                <w:b/>
                <w:w w:val="99"/>
                <w:sz w:val="18"/>
              </w:rPr>
              <w:t>-</w:t>
            </w:r>
          </w:p>
        </w:tc>
        <w:tc>
          <w:tcPr>
            <w:tcW w:w="1100" w:type="dxa"/>
          </w:tcPr>
          <w:p>
            <w:pPr>
              <w:pStyle w:val="TableParagraph"/>
              <w:spacing w:before="3"/>
              <w:ind w:right="21"/>
              <w:jc w:val="right"/>
              <w:rPr>
                <w:b/>
                <w:sz w:val="18"/>
              </w:rPr>
            </w:pPr>
            <w:r>
              <w:rPr>
                <w:b/>
                <w:sz w:val="18"/>
              </w:rPr>
              <w:t>241,366</w:t>
            </w:r>
          </w:p>
        </w:tc>
      </w:tr>
      <w:tr>
        <w:trPr>
          <w:trHeight w:val="267" w:hRule="exact"/>
        </w:trPr>
        <w:tc>
          <w:tcPr>
            <w:tcW w:w="4304" w:type="dxa"/>
          </w:tcPr>
          <w:p>
            <w:pPr>
              <w:pStyle w:val="TableParagraph"/>
              <w:spacing w:before="21"/>
              <w:ind w:left="840"/>
              <w:rPr>
                <w:sz w:val="18"/>
              </w:rPr>
            </w:pPr>
            <w:r>
              <w:rPr>
                <w:sz w:val="18"/>
              </w:rPr>
              <w:t>Deferred income</w:t>
            </w:r>
          </w:p>
        </w:tc>
        <w:tc>
          <w:tcPr>
            <w:tcW w:w="1537" w:type="dxa"/>
            <w:tcBorders>
              <w:bottom w:val="single" w:sz="8" w:space="0" w:color="000000"/>
            </w:tcBorders>
          </w:tcPr>
          <w:p>
            <w:pPr>
              <w:pStyle w:val="TableParagraph"/>
              <w:spacing w:before="16"/>
              <w:ind w:right="33"/>
              <w:jc w:val="right"/>
              <w:rPr>
                <w:b/>
                <w:sz w:val="18"/>
              </w:rPr>
            </w:pPr>
            <w:r>
              <w:rPr>
                <w:b/>
                <w:sz w:val="18"/>
              </w:rPr>
              <w:t>26,380</w:t>
            </w:r>
          </w:p>
        </w:tc>
        <w:tc>
          <w:tcPr>
            <w:tcW w:w="1348" w:type="dxa"/>
            <w:tcBorders>
              <w:bottom w:val="single" w:sz="8" w:space="0" w:color="000000"/>
            </w:tcBorders>
          </w:tcPr>
          <w:p>
            <w:pPr>
              <w:pStyle w:val="TableParagraph"/>
              <w:spacing w:before="16"/>
              <w:ind w:right="119"/>
              <w:jc w:val="right"/>
              <w:rPr>
                <w:b/>
                <w:sz w:val="18"/>
              </w:rPr>
            </w:pPr>
            <w:r>
              <w:rPr>
                <w:b/>
                <w:w w:val="99"/>
                <w:sz w:val="18"/>
              </w:rPr>
              <w:t>-</w:t>
            </w:r>
          </w:p>
        </w:tc>
        <w:tc>
          <w:tcPr>
            <w:tcW w:w="1435" w:type="dxa"/>
            <w:tcBorders>
              <w:bottom w:val="single" w:sz="8" w:space="0" w:color="000000"/>
            </w:tcBorders>
          </w:tcPr>
          <w:p>
            <w:pPr>
              <w:pStyle w:val="TableParagraph"/>
              <w:spacing w:before="16"/>
              <w:ind w:right="256"/>
              <w:jc w:val="right"/>
              <w:rPr>
                <w:b/>
                <w:sz w:val="18"/>
              </w:rPr>
            </w:pPr>
            <w:r>
              <w:rPr>
                <w:b/>
                <w:w w:val="99"/>
                <w:sz w:val="18"/>
              </w:rPr>
              <w:t>-</w:t>
            </w:r>
          </w:p>
        </w:tc>
        <w:tc>
          <w:tcPr>
            <w:tcW w:w="1100" w:type="dxa"/>
            <w:tcBorders>
              <w:bottom w:val="single" w:sz="8" w:space="0" w:color="000000"/>
            </w:tcBorders>
          </w:tcPr>
          <w:p>
            <w:pPr>
              <w:pStyle w:val="TableParagraph"/>
              <w:spacing w:before="16"/>
              <w:ind w:right="22"/>
              <w:jc w:val="right"/>
              <w:rPr>
                <w:b/>
                <w:sz w:val="18"/>
              </w:rPr>
            </w:pPr>
            <w:r>
              <w:rPr>
                <w:b/>
                <w:sz w:val="18"/>
              </w:rPr>
              <w:t>26,380</w:t>
            </w:r>
          </w:p>
        </w:tc>
      </w:tr>
      <w:tr>
        <w:trPr>
          <w:trHeight w:val="341" w:hRule="exact"/>
        </w:trPr>
        <w:tc>
          <w:tcPr>
            <w:tcW w:w="4304" w:type="dxa"/>
          </w:tcPr>
          <w:p>
            <w:pPr>
              <w:pStyle w:val="TableParagraph"/>
              <w:spacing w:before="119"/>
              <w:ind w:left="840"/>
              <w:rPr>
                <w:b/>
                <w:sz w:val="18"/>
              </w:rPr>
            </w:pPr>
            <w:r>
              <w:rPr>
                <w:b/>
                <w:sz w:val="18"/>
              </w:rPr>
              <w:t>Total financial liabilities</w:t>
            </w:r>
          </w:p>
        </w:tc>
        <w:tc>
          <w:tcPr>
            <w:tcW w:w="1537" w:type="dxa"/>
            <w:tcBorders>
              <w:top w:val="single" w:sz="8" w:space="0" w:color="000000"/>
              <w:bottom w:val="single" w:sz="8" w:space="0" w:color="000000"/>
            </w:tcBorders>
          </w:tcPr>
          <w:p>
            <w:pPr>
              <w:pStyle w:val="TableParagraph"/>
              <w:spacing w:before="109"/>
              <w:ind w:right="32"/>
              <w:jc w:val="right"/>
              <w:rPr>
                <w:b/>
                <w:sz w:val="18"/>
              </w:rPr>
            </w:pPr>
            <w:r>
              <w:rPr>
                <w:b/>
                <w:sz w:val="18"/>
              </w:rPr>
              <w:t>267,746</w:t>
            </w:r>
          </w:p>
        </w:tc>
        <w:tc>
          <w:tcPr>
            <w:tcW w:w="1348" w:type="dxa"/>
            <w:tcBorders>
              <w:top w:val="single" w:sz="8" w:space="0" w:color="000000"/>
              <w:bottom w:val="single" w:sz="8" w:space="0" w:color="000000"/>
            </w:tcBorders>
          </w:tcPr>
          <w:p>
            <w:pPr>
              <w:pStyle w:val="TableParagraph"/>
              <w:spacing w:before="109"/>
              <w:ind w:right="118"/>
              <w:jc w:val="right"/>
              <w:rPr>
                <w:b/>
                <w:sz w:val="18"/>
              </w:rPr>
            </w:pPr>
            <w:r>
              <w:rPr>
                <w:b/>
                <w:w w:val="99"/>
                <w:sz w:val="18"/>
              </w:rPr>
              <w:t>-</w:t>
            </w:r>
          </w:p>
        </w:tc>
        <w:tc>
          <w:tcPr>
            <w:tcW w:w="1435" w:type="dxa"/>
            <w:tcBorders>
              <w:top w:val="single" w:sz="8" w:space="0" w:color="000000"/>
              <w:bottom w:val="single" w:sz="8" w:space="0" w:color="000000"/>
            </w:tcBorders>
          </w:tcPr>
          <w:p>
            <w:pPr>
              <w:pStyle w:val="TableParagraph"/>
              <w:spacing w:before="109"/>
              <w:ind w:right="256"/>
              <w:jc w:val="right"/>
              <w:rPr>
                <w:b/>
                <w:sz w:val="18"/>
              </w:rPr>
            </w:pPr>
            <w:r>
              <w:rPr>
                <w:b/>
                <w:w w:val="99"/>
                <w:sz w:val="18"/>
              </w:rPr>
              <w:t>-</w:t>
            </w:r>
          </w:p>
        </w:tc>
        <w:tc>
          <w:tcPr>
            <w:tcW w:w="1100" w:type="dxa"/>
            <w:tcBorders>
              <w:top w:val="single" w:sz="8" w:space="0" w:color="000000"/>
              <w:bottom w:val="single" w:sz="8" w:space="0" w:color="000000"/>
            </w:tcBorders>
          </w:tcPr>
          <w:p>
            <w:pPr>
              <w:pStyle w:val="TableParagraph"/>
              <w:spacing w:before="109"/>
              <w:ind w:right="21"/>
              <w:jc w:val="right"/>
              <w:rPr>
                <w:b/>
                <w:sz w:val="18"/>
              </w:rPr>
            </w:pPr>
            <w:r>
              <w:rPr>
                <w:b/>
                <w:sz w:val="18"/>
              </w:rPr>
              <w:t>267,746</w:t>
            </w:r>
          </w:p>
        </w:tc>
      </w:tr>
      <w:tr>
        <w:trPr>
          <w:trHeight w:val="495" w:hRule="exact"/>
        </w:trPr>
        <w:tc>
          <w:tcPr>
            <w:tcW w:w="4304" w:type="dxa"/>
          </w:tcPr>
          <w:p>
            <w:pPr>
              <w:pStyle w:val="TableParagraph"/>
              <w:spacing w:before="4"/>
              <w:rPr>
                <w:sz w:val="25"/>
              </w:rPr>
            </w:pPr>
          </w:p>
          <w:p>
            <w:pPr>
              <w:pStyle w:val="TableParagraph"/>
              <w:tabs>
                <w:tab w:pos="766" w:val="left" w:leader="none"/>
              </w:tabs>
              <w:ind w:left="200"/>
              <w:rPr>
                <w:b/>
                <w:sz w:val="18"/>
              </w:rPr>
            </w:pPr>
            <w:r>
              <w:rPr>
                <w:b/>
                <w:sz w:val="18"/>
              </w:rPr>
              <w:t>(d)</w:t>
              <w:tab/>
              <w:t>Fair value</w:t>
            </w:r>
            <w:r>
              <w:rPr>
                <w:b/>
                <w:spacing w:val="-5"/>
                <w:sz w:val="18"/>
              </w:rPr>
              <w:t> </w:t>
            </w:r>
            <w:r>
              <w:rPr>
                <w:b/>
                <w:sz w:val="18"/>
              </w:rPr>
              <w:t>estimation</w:t>
            </w:r>
          </w:p>
        </w:tc>
        <w:tc>
          <w:tcPr>
            <w:tcW w:w="1537" w:type="dxa"/>
            <w:tcBorders>
              <w:top w:val="single" w:sz="8" w:space="0" w:color="000000"/>
            </w:tcBorders>
          </w:tcPr>
          <w:p>
            <w:pPr/>
          </w:p>
        </w:tc>
        <w:tc>
          <w:tcPr>
            <w:tcW w:w="1348" w:type="dxa"/>
            <w:tcBorders>
              <w:top w:val="single" w:sz="8" w:space="0" w:color="000000"/>
            </w:tcBorders>
          </w:tcPr>
          <w:p>
            <w:pPr/>
          </w:p>
        </w:tc>
        <w:tc>
          <w:tcPr>
            <w:tcW w:w="1435" w:type="dxa"/>
            <w:tcBorders>
              <w:top w:val="single" w:sz="8" w:space="0" w:color="000000"/>
            </w:tcBorders>
          </w:tcPr>
          <w:p>
            <w:pPr/>
          </w:p>
        </w:tc>
        <w:tc>
          <w:tcPr>
            <w:tcW w:w="1100" w:type="dxa"/>
            <w:tcBorders>
              <w:top w:val="single" w:sz="8" w:space="0" w:color="000000"/>
            </w:tcBorders>
          </w:tcPr>
          <w:p>
            <w:pPr/>
          </w:p>
        </w:tc>
      </w:tr>
    </w:tbl>
    <w:p>
      <w:pPr>
        <w:pStyle w:val="BodyText"/>
        <w:spacing w:before="3"/>
        <w:rPr>
          <w:sz w:val="19"/>
        </w:rPr>
      </w:pPr>
    </w:p>
    <w:p>
      <w:pPr>
        <w:pStyle w:val="BodyText"/>
        <w:spacing w:before="77"/>
        <w:ind w:left="732" w:right="563"/>
      </w:pPr>
      <w:r>
        <w:rPr/>
        <w:t>The fair value of financial assets and financial liabilities must be estimated for recognition and measurement or for disclosure purposes.</w:t>
      </w:r>
    </w:p>
    <w:p>
      <w:pPr>
        <w:pStyle w:val="BodyText"/>
        <w:rPr>
          <w:sz w:val="25"/>
        </w:rPr>
      </w:pPr>
    </w:p>
    <w:p>
      <w:pPr>
        <w:pStyle w:val="BodyText"/>
        <w:ind w:left="732" w:right="25"/>
      </w:pPr>
      <w:r>
        <w:rPr/>
        <w:t>Due</w:t>
      </w:r>
      <w:r>
        <w:rPr>
          <w:spacing w:val="-12"/>
        </w:rPr>
        <w:t> </w:t>
      </w:r>
      <w:r>
        <w:rPr/>
        <w:t>to</w:t>
      </w:r>
      <w:r>
        <w:rPr>
          <w:spacing w:val="-12"/>
        </w:rPr>
        <w:t> </w:t>
      </w:r>
      <w:r>
        <w:rPr/>
        <w:t>the</w:t>
      </w:r>
      <w:r>
        <w:rPr>
          <w:spacing w:val="-12"/>
        </w:rPr>
        <w:t> </w:t>
      </w:r>
      <w:r>
        <w:rPr/>
        <w:t>Company's</w:t>
      </w:r>
      <w:r>
        <w:rPr>
          <w:spacing w:val="-11"/>
        </w:rPr>
        <w:t> </w:t>
      </w:r>
      <w:r>
        <w:rPr/>
        <w:t>financial</w:t>
      </w:r>
      <w:r>
        <w:rPr>
          <w:spacing w:val="-14"/>
        </w:rPr>
        <w:t> </w:t>
      </w:r>
      <w:r>
        <w:rPr/>
        <w:t>instruments</w:t>
      </w:r>
      <w:r>
        <w:rPr>
          <w:spacing w:val="-14"/>
        </w:rPr>
        <w:t> </w:t>
      </w:r>
      <w:r>
        <w:rPr/>
        <w:t>short-term</w:t>
      </w:r>
      <w:r>
        <w:rPr>
          <w:spacing w:val="-11"/>
        </w:rPr>
        <w:t> </w:t>
      </w:r>
      <w:r>
        <w:rPr/>
        <w:t>nature,</w:t>
      </w:r>
      <w:r>
        <w:rPr>
          <w:spacing w:val="-15"/>
        </w:rPr>
        <w:t> </w:t>
      </w:r>
      <w:r>
        <w:rPr/>
        <w:t>the</w:t>
      </w:r>
      <w:r>
        <w:rPr>
          <w:spacing w:val="-12"/>
        </w:rPr>
        <w:t> </w:t>
      </w:r>
      <w:r>
        <w:rPr/>
        <w:t>carrying</w:t>
      </w:r>
      <w:r>
        <w:rPr>
          <w:spacing w:val="-12"/>
        </w:rPr>
        <w:t> </w:t>
      </w:r>
      <w:r>
        <w:rPr/>
        <w:t>value</w:t>
      </w:r>
      <w:r>
        <w:rPr>
          <w:spacing w:val="-12"/>
        </w:rPr>
        <w:t> </w:t>
      </w:r>
      <w:r>
        <w:rPr/>
        <w:t>of</w:t>
      </w:r>
      <w:r>
        <w:rPr>
          <w:spacing w:val="-15"/>
        </w:rPr>
        <w:t> </w:t>
      </w:r>
      <w:r>
        <w:rPr/>
        <w:t>all</w:t>
      </w:r>
      <w:r>
        <w:rPr>
          <w:spacing w:val="-14"/>
        </w:rPr>
        <w:t> </w:t>
      </w:r>
      <w:r>
        <w:rPr/>
        <w:t>financial</w:t>
      </w:r>
      <w:r>
        <w:rPr>
          <w:spacing w:val="-12"/>
        </w:rPr>
        <w:t> </w:t>
      </w:r>
      <w:r>
        <w:rPr/>
        <w:t>instruments</w:t>
      </w:r>
      <w:r>
        <w:rPr>
          <w:spacing w:val="-11"/>
        </w:rPr>
        <w:t> </w:t>
      </w:r>
      <w:r>
        <w:rPr/>
        <w:t>recognised</w:t>
      </w:r>
      <w:r>
        <w:rPr>
          <w:spacing w:val="-14"/>
        </w:rPr>
        <w:t> </w:t>
      </w:r>
      <w:r>
        <w:rPr/>
        <w:t>in the statement of financial position approximates their fair</w:t>
      </w:r>
      <w:r>
        <w:rPr>
          <w:spacing w:val="-31"/>
        </w:rPr>
        <w:t> </w:t>
      </w:r>
      <w:r>
        <w:rPr/>
        <w:t>value.</w:t>
      </w:r>
    </w:p>
    <w:p>
      <w:pPr>
        <w:pStyle w:val="BodyText"/>
        <w:spacing w:before="6"/>
        <w:rPr>
          <w:sz w:val="26"/>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823"/>
        <w:gridCol w:w="1298"/>
      </w:tblGrid>
      <w:tr>
        <w:trPr>
          <w:trHeight w:val="788" w:hRule="exact"/>
        </w:trPr>
        <w:tc>
          <w:tcPr>
            <w:tcW w:w="10122" w:type="dxa"/>
            <w:gridSpan w:val="2"/>
          </w:tcPr>
          <w:p>
            <w:pPr>
              <w:pStyle w:val="TableParagraph"/>
              <w:spacing w:line="184" w:lineRule="exact"/>
              <w:ind w:left="200"/>
              <w:rPr>
                <w:b/>
                <w:sz w:val="18"/>
              </w:rPr>
            </w:pPr>
            <w:r>
              <w:rPr>
                <w:b/>
                <w:sz w:val="18"/>
              </w:rPr>
              <w:t>18    Fundraising activities</w:t>
            </w:r>
          </w:p>
          <w:p>
            <w:pPr>
              <w:pStyle w:val="TableParagraph"/>
              <w:spacing w:before="4"/>
              <w:rPr>
                <w:sz w:val="25"/>
              </w:rPr>
            </w:pPr>
          </w:p>
          <w:p>
            <w:pPr>
              <w:pStyle w:val="TableParagraph"/>
              <w:ind w:left="596"/>
              <w:rPr>
                <w:sz w:val="18"/>
              </w:rPr>
            </w:pPr>
            <w:r>
              <w:rPr>
                <w:sz w:val="18"/>
              </w:rPr>
              <w:t>The Company holds fundraising authority CFN 22492 under section 13A of the Charitable Fundraising Act 1991.</w:t>
            </w:r>
          </w:p>
        </w:tc>
      </w:tr>
      <w:tr>
        <w:trPr>
          <w:trHeight w:val="575" w:hRule="exact"/>
        </w:trPr>
        <w:tc>
          <w:tcPr>
            <w:tcW w:w="8823" w:type="dxa"/>
          </w:tcPr>
          <w:p>
            <w:pPr/>
          </w:p>
        </w:tc>
        <w:tc>
          <w:tcPr>
            <w:tcW w:w="1298" w:type="dxa"/>
          </w:tcPr>
          <w:p>
            <w:pPr>
              <w:pStyle w:val="TableParagraph"/>
              <w:spacing w:before="86"/>
              <w:ind w:left="380" w:right="404"/>
              <w:jc w:val="center"/>
              <w:rPr>
                <w:b/>
                <w:sz w:val="18"/>
              </w:rPr>
            </w:pPr>
            <w:r>
              <w:rPr>
                <w:b/>
                <w:sz w:val="18"/>
              </w:rPr>
              <w:t>2012</w:t>
            </w:r>
          </w:p>
          <w:p>
            <w:pPr>
              <w:pStyle w:val="TableParagraph"/>
              <w:spacing w:before="35"/>
              <w:ind w:right="25"/>
              <w:jc w:val="center"/>
              <w:rPr>
                <w:b/>
                <w:sz w:val="18"/>
              </w:rPr>
            </w:pPr>
            <w:r>
              <w:rPr>
                <w:b/>
                <w:w w:val="99"/>
                <w:sz w:val="18"/>
              </w:rPr>
              <w:t>$</w:t>
            </w:r>
          </w:p>
        </w:tc>
      </w:tr>
      <w:tr>
        <w:trPr>
          <w:trHeight w:val="268" w:hRule="exact"/>
        </w:trPr>
        <w:tc>
          <w:tcPr>
            <w:tcW w:w="8823" w:type="dxa"/>
          </w:tcPr>
          <w:p>
            <w:pPr>
              <w:pStyle w:val="TableParagraph"/>
              <w:spacing w:before="25"/>
              <w:ind w:left="596"/>
              <w:rPr>
                <w:sz w:val="18"/>
              </w:rPr>
            </w:pPr>
            <w:r>
              <w:rPr>
                <w:sz w:val="18"/>
              </w:rPr>
              <w:t>Fundraising income</w:t>
            </w:r>
          </w:p>
        </w:tc>
        <w:tc>
          <w:tcPr>
            <w:tcW w:w="1298" w:type="dxa"/>
          </w:tcPr>
          <w:p>
            <w:pPr>
              <w:pStyle w:val="TableParagraph"/>
              <w:spacing w:before="20"/>
              <w:ind w:right="48"/>
              <w:jc w:val="right"/>
              <w:rPr>
                <w:b/>
                <w:sz w:val="18"/>
              </w:rPr>
            </w:pPr>
            <w:r>
              <w:rPr>
                <w:b/>
                <w:sz w:val="18"/>
              </w:rPr>
              <w:t>7,534</w:t>
            </w:r>
          </w:p>
        </w:tc>
      </w:tr>
      <w:tr>
        <w:trPr>
          <w:trHeight w:val="267" w:hRule="exact"/>
        </w:trPr>
        <w:tc>
          <w:tcPr>
            <w:tcW w:w="8823" w:type="dxa"/>
          </w:tcPr>
          <w:p>
            <w:pPr>
              <w:pStyle w:val="TableParagraph"/>
              <w:spacing w:before="21"/>
              <w:ind w:left="596"/>
              <w:rPr>
                <w:sz w:val="18"/>
              </w:rPr>
            </w:pPr>
            <w:r>
              <w:rPr>
                <w:sz w:val="18"/>
              </w:rPr>
              <w:t>Fundraising expenses</w:t>
            </w:r>
          </w:p>
        </w:tc>
        <w:tc>
          <w:tcPr>
            <w:tcW w:w="1298" w:type="dxa"/>
            <w:tcBorders>
              <w:bottom w:val="single" w:sz="8" w:space="0" w:color="000000"/>
            </w:tcBorders>
          </w:tcPr>
          <w:p>
            <w:pPr>
              <w:pStyle w:val="TableParagraph"/>
              <w:spacing w:before="16"/>
              <w:ind w:right="47"/>
              <w:jc w:val="right"/>
              <w:rPr>
                <w:b/>
                <w:sz w:val="18"/>
              </w:rPr>
            </w:pPr>
            <w:r>
              <w:rPr>
                <w:b/>
                <w:w w:val="95"/>
                <w:sz w:val="18"/>
              </w:rPr>
              <w:t>(3,983)</w:t>
            </w:r>
          </w:p>
        </w:tc>
      </w:tr>
      <w:tr>
        <w:trPr>
          <w:trHeight w:val="355" w:hRule="exact"/>
        </w:trPr>
        <w:tc>
          <w:tcPr>
            <w:tcW w:w="8823" w:type="dxa"/>
          </w:tcPr>
          <w:p>
            <w:pPr>
              <w:pStyle w:val="TableParagraph"/>
              <w:spacing w:before="124"/>
              <w:ind w:left="596"/>
              <w:rPr>
                <w:sz w:val="18"/>
              </w:rPr>
            </w:pPr>
            <w:r>
              <w:rPr>
                <w:sz w:val="18"/>
              </w:rPr>
              <w:t>Net surplus from fundraising appeals</w:t>
            </w:r>
          </w:p>
        </w:tc>
        <w:tc>
          <w:tcPr>
            <w:tcW w:w="1298" w:type="dxa"/>
            <w:tcBorders>
              <w:top w:val="single" w:sz="8" w:space="0" w:color="000000"/>
              <w:bottom w:val="single" w:sz="17" w:space="0" w:color="000000"/>
            </w:tcBorders>
          </w:tcPr>
          <w:p>
            <w:pPr>
              <w:pStyle w:val="TableParagraph"/>
              <w:spacing w:before="109"/>
              <w:ind w:right="48"/>
              <w:jc w:val="right"/>
              <w:rPr>
                <w:b/>
                <w:sz w:val="18"/>
              </w:rPr>
            </w:pPr>
            <w:r>
              <w:rPr>
                <w:b/>
                <w:sz w:val="18"/>
              </w:rPr>
              <w:t>3,551</w:t>
            </w:r>
          </w:p>
        </w:tc>
      </w:tr>
    </w:tbl>
    <w:p>
      <w:pPr>
        <w:spacing w:after="0"/>
        <w:jc w:val="right"/>
        <w:rPr>
          <w:sz w:val="18"/>
        </w:rPr>
        <w:sectPr>
          <w:pgSz w:w="11960" w:h="16850"/>
          <w:pgMar w:header="743" w:footer="507" w:top="1180" w:bottom="700" w:left="700" w:right="900"/>
        </w:sectPr>
      </w:pPr>
    </w:p>
    <w:p>
      <w:pPr>
        <w:pStyle w:val="BodyText"/>
        <w:spacing w:before="8"/>
        <w:rPr>
          <w:sz w:val="23"/>
        </w:rPr>
      </w:pPr>
    </w:p>
    <w:p>
      <w:pPr>
        <w:pStyle w:val="Heading6"/>
        <w:spacing w:before="73"/>
        <w:ind w:right="101"/>
      </w:pPr>
      <w:r>
        <w:rPr/>
        <w:t>Notes to the Financial Statements</w:t>
      </w:r>
    </w:p>
    <w:p>
      <w:pPr>
        <w:spacing w:before="54"/>
        <w:ind w:left="108" w:right="101" w:firstLine="0"/>
        <w:jc w:val="left"/>
        <w:rPr>
          <w:b/>
          <w:sz w:val="22"/>
        </w:rPr>
      </w:pPr>
      <w:r>
        <w:rPr>
          <w:b/>
          <w:sz w:val="22"/>
        </w:rPr>
        <w:t>For the period from 2 March 2012 to 31 December 2012</w:t>
      </w:r>
    </w:p>
    <w:p>
      <w:pPr>
        <w:pStyle w:val="BodyText"/>
        <w:rPr>
          <w:b/>
          <w:sz w:val="22"/>
        </w:rPr>
      </w:pPr>
    </w:p>
    <w:p>
      <w:pPr>
        <w:pStyle w:val="BodyText"/>
        <w:spacing w:before="9"/>
        <w:rPr>
          <w:b/>
          <w:sz w:val="29"/>
        </w:rPr>
      </w:pPr>
    </w:p>
    <w:p>
      <w:pPr>
        <w:pStyle w:val="Heading9"/>
        <w:ind w:left="107" w:right="101"/>
      </w:pPr>
      <w:r>
        <w:rPr/>
        <w:t>19    Economic dependency</w:t>
      </w:r>
    </w:p>
    <w:p>
      <w:pPr>
        <w:pStyle w:val="BodyText"/>
        <w:spacing w:before="7"/>
        <w:rPr>
          <w:b/>
          <w:sz w:val="25"/>
        </w:rPr>
      </w:pPr>
    </w:p>
    <w:p>
      <w:pPr>
        <w:pStyle w:val="BodyText"/>
        <w:ind w:left="504" w:right="101"/>
      </w:pPr>
      <w:r>
        <w:rPr/>
        <w:t>The Company is economically dependent on the University of Western Sydney for the provision of accommodation for each centre and support activities.</w:t>
      </w:r>
    </w:p>
    <w:p>
      <w:pPr>
        <w:spacing w:after="0"/>
        <w:sectPr>
          <w:pgSz w:w="11960" w:h="16850"/>
          <w:pgMar w:header="743" w:footer="507" w:top="1180" w:bottom="700" w:left="900" w:right="1060"/>
        </w:sectPr>
      </w:pPr>
    </w:p>
    <w:p>
      <w:pPr>
        <w:pStyle w:val="BodyText"/>
        <w:spacing w:before="8"/>
        <w:rPr>
          <w:sz w:val="23"/>
        </w:rPr>
      </w:pPr>
    </w:p>
    <w:p>
      <w:pPr>
        <w:pStyle w:val="Heading6"/>
        <w:spacing w:before="73"/>
        <w:ind w:right="0"/>
      </w:pPr>
      <w:r>
        <w:rPr/>
        <w:t>Directors' Declaration</w:t>
      </w:r>
    </w:p>
    <w:p>
      <w:pPr>
        <w:pStyle w:val="BodyText"/>
        <w:spacing w:before="3"/>
        <w:rPr>
          <w:b/>
          <w:sz w:val="25"/>
        </w:rPr>
      </w:pPr>
    </w:p>
    <w:p>
      <w:pPr>
        <w:pStyle w:val="BodyText"/>
        <w:ind w:left="107"/>
      </w:pPr>
      <w:r>
        <w:rPr/>
        <w:t>The Directors of the Company declare that:</w:t>
      </w:r>
    </w:p>
    <w:p>
      <w:pPr>
        <w:pStyle w:val="BodyText"/>
        <w:spacing w:before="10"/>
        <w:rPr>
          <w:sz w:val="17"/>
        </w:rPr>
      </w:pPr>
    </w:p>
    <w:p>
      <w:pPr>
        <w:pStyle w:val="ListParagraph"/>
        <w:numPr>
          <w:ilvl w:val="0"/>
          <w:numId w:val="122"/>
        </w:numPr>
        <w:tabs>
          <w:tab w:pos="504" w:val="left" w:leader="none"/>
        </w:tabs>
        <w:spacing w:line="240" w:lineRule="auto" w:before="0" w:after="0"/>
        <w:ind w:left="503" w:right="0" w:hanging="395"/>
        <w:jc w:val="left"/>
        <w:rPr>
          <w:sz w:val="18"/>
        </w:rPr>
      </w:pPr>
      <w:r>
        <w:rPr>
          <w:sz w:val="18"/>
        </w:rPr>
        <w:t>The financial statements and notes are in accordance with the </w:t>
      </w:r>
      <w:r>
        <w:rPr>
          <w:i/>
          <w:sz w:val="18"/>
        </w:rPr>
        <w:t>Corporations Act 2001</w:t>
      </w:r>
      <w:r>
        <w:rPr>
          <w:i/>
          <w:spacing w:val="-33"/>
          <w:sz w:val="18"/>
        </w:rPr>
        <w:t> </w:t>
      </w:r>
      <w:r>
        <w:rPr>
          <w:sz w:val="18"/>
        </w:rPr>
        <w:t>and:</w:t>
      </w:r>
    </w:p>
    <w:p>
      <w:pPr>
        <w:pStyle w:val="BodyText"/>
        <w:spacing w:before="2"/>
        <w:rPr>
          <w:sz w:val="25"/>
        </w:rPr>
      </w:pPr>
    </w:p>
    <w:p>
      <w:pPr>
        <w:pStyle w:val="ListParagraph"/>
        <w:numPr>
          <w:ilvl w:val="1"/>
          <w:numId w:val="122"/>
        </w:numPr>
        <w:tabs>
          <w:tab w:pos="900" w:val="left" w:leader="none"/>
        </w:tabs>
        <w:spacing w:line="240" w:lineRule="auto" w:before="0" w:after="0"/>
        <w:ind w:left="899" w:right="145" w:hanging="396"/>
        <w:jc w:val="left"/>
        <w:rPr>
          <w:sz w:val="18"/>
        </w:rPr>
      </w:pPr>
      <w:r>
        <w:rPr>
          <w:sz w:val="18"/>
        </w:rPr>
        <w:t>comply with Australian Accounting Standards, the Public Finance and Audit Act 1983, the Public Finance and Audit Regulation 2010 and the mandatory profesional reporting requirements;</w:t>
      </w:r>
      <w:r>
        <w:rPr>
          <w:spacing w:val="-28"/>
          <w:sz w:val="18"/>
        </w:rPr>
        <w:t> </w:t>
      </w:r>
      <w:r>
        <w:rPr>
          <w:sz w:val="18"/>
        </w:rPr>
        <w:t>and</w:t>
      </w:r>
    </w:p>
    <w:p>
      <w:pPr>
        <w:pStyle w:val="BodyText"/>
        <w:rPr>
          <w:sz w:val="25"/>
        </w:rPr>
      </w:pPr>
    </w:p>
    <w:p>
      <w:pPr>
        <w:pStyle w:val="ListParagraph"/>
        <w:numPr>
          <w:ilvl w:val="1"/>
          <w:numId w:val="122"/>
        </w:numPr>
        <w:tabs>
          <w:tab w:pos="900" w:val="left" w:leader="none"/>
        </w:tabs>
        <w:spacing w:line="240" w:lineRule="auto" w:before="0" w:after="0"/>
        <w:ind w:left="899" w:right="459" w:hanging="396"/>
        <w:jc w:val="left"/>
        <w:rPr>
          <w:sz w:val="18"/>
        </w:rPr>
      </w:pPr>
      <w:r>
        <w:rPr>
          <w:sz w:val="18"/>
        </w:rPr>
        <w:t>give a true and fair view of the financial position as at 31 December 2012 and of the performance for the period ended on that date of the</w:t>
      </w:r>
      <w:r>
        <w:rPr>
          <w:spacing w:val="-16"/>
          <w:sz w:val="18"/>
        </w:rPr>
        <w:t> </w:t>
      </w:r>
      <w:r>
        <w:rPr>
          <w:sz w:val="18"/>
        </w:rPr>
        <w:t>Company.</w:t>
      </w:r>
    </w:p>
    <w:p>
      <w:pPr>
        <w:pStyle w:val="BodyText"/>
        <w:spacing w:before="10"/>
        <w:rPr>
          <w:sz w:val="17"/>
        </w:rPr>
      </w:pPr>
    </w:p>
    <w:p>
      <w:pPr>
        <w:pStyle w:val="ListParagraph"/>
        <w:numPr>
          <w:ilvl w:val="0"/>
          <w:numId w:val="122"/>
        </w:numPr>
        <w:tabs>
          <w:tab w:pos="504" w:val="left" w:leader="none"/>
        </w:tabs>
        <w:spacing w:line="240" w:lineRule="auto" w:before="0" w:after="0"/>
        <w:ind w:left="503" w:right="252" w:hanging="396"/>
        <w:jc w:val="left"/>
        <w:rPr>
          <w:sz w:val="18"/>
        </w:rPr>
      </w:pPr>
      <w:r>
        <w:rPr>
          <w:sz w:val="18"/>
        </w:rPr>
        <w:t>In the Directors' opinion, there are reasonable grounds to believe that the Company will be able to pay its debts as and when they become due and</w:t>
      </w:r>
      <w:r>
        <w:rPr>
          <w:spacing w:val="-15"/>
          <w:sz w:val="18"/>
        </w:rPr>
        <w:t> </w:t>
      </w:r>
      <w:r>
        <w:rPr>
          <w:sz w:val="18"/>
        </w:rPr>
        <w:t>payable.</w:t>
      </w:r>
    </w:p>
    <w:p>
      <w:pPr>
        <w:pStyle w:val="BodyText"/>
        <w:spacing w:before="2"/>
        <w:rPr>
          <w:sz w:val="25"/>
        </w:rPr>
      </w:pPr>
    </w:p>
    <w:p>
      <w:pPr>
        <w:pStyle w:val="BodyText"/>
        <w:ind w:left="107"/>
      </w:pPr>
      <w:r>
        <w:rPr/>
        <w:t>This declaration is made in accordance with a resolution of the Board of Directors.</w:t>
      </w:r>
    </w:p>
    <w:p>
      <w:pPr>
        <w:pStyle w:val="BodyText"/>
        <w:ind w:left="109"/>
        <w:rPr>
          <w:sz w:val="20"/>
        </w:rPr>
      </w:pPr>
      <w:r>
        <w:rPr>
          <w:sz w:val="20"/>
        </w:rPr>
        <w:drawing>
          <wp:inline distT="0" distB="0" distL="0" distR="0">
            <wp:extent cx="6201458" cy="1800225"/>
            <wp:effectExtent l="0" t="0" r="0" b="0"/>
            <wp:docPr id="101" name="image76.png" descr=""/>
            <wp:cNvGraphicFramePr>
              <a:graphicFrameLocks noChangeAspect="1"/>
            </wp:cNvGraphicFramePr>
            <a:graphic>
              <a:graphicData uri="http://schemas.openxmlformats.org/drawingml/2006/picture">
                <pic:pic>
                  <pic:nvPicPr>
                    <pic:cNvPr id="102" name="image76.png"/>
                    <pic:cNvPicPr/>
                  </pic:nvPicPr>
                  <pic:blipFill>
                    <a:blip r:embed="rId227" cstate="print"/>
                    <a:stretch>
                      <a:fillRect/>
                    </a:stretch>
                  </pic:blipFill>
                  <pic:spPr>
                    <a:xfrm>
                      <a:off x="0" y="0"/>
                      <a:ext cx="6201458" cy="1800225"/>
                    </a:xfrm>
                    <a:prstGeom prst="rect">
                      <a:avLst/>
                    </a:prstGeom>
                  </pic:spPr>
                </pic:pic>
              </a:graphicData>
            </a:graphic>
          </wp:inline>
        </w:drawing>
      </w:r>
      <w:r>
        <w:rPr>
          <w:sz w:val="20"/>
        </w:rPr>
      </w:r>
    </w:p>
    <w:p>
      <w:pPr>
        <w:pStyle w:val="BodyText"/>
      </w:pPr>
    </w:p>
    <w:p>
      <w:pPr>
        <w:pStyle w:val="Heading6"/>
        <w:spacing w:before="144"/>
        <w:ind w:left="151" w:right="0"/>
      </w:pPr>
      <w:r>
        <w:rPr/>
        <w:t>Directors' Declaration in Respect of Fundraising Appeals</w:t>
      </w:r>
    </w:p>
    <w:p>
      <w:pPr>
        <w:pStyle w:val="BodyText"/>
        <w:spacing w:before="2"/>
        <w:rPr>
          <w:b/>
          <w:sz w:val="27"/>
        </w:rPr>
      </w:pPr>
    </w:p>
    <w:p>
      <w:pPr>
        <w:pStyle w:val="BodyText"/>
        <w:ind w:left="107"/>
      </w:pPr>
      <w:r>
        <w:rPr/>
        <w:t>The Directors of the Company declare that:</w:t>
      </w:r>
    </w:p>
    <w:p>
      <w:pPr>
        <w:pStyle w:val="BodyText"/>
        <w:spacing w:before="10"/>
        <w:rPr>
          <w:sz w:val="17"/>
        </w:rPr>
      </w:pPr>
    </w:p>
    <w:p>
      <w:pPr>
        <w:pStyle w:val="ListParagraph"/>
        <w:numPr>
          <w:ilvl w:val="0"/>
          <w:numId w:val="123"/>
        </w:numPr>
        <w:tabs>
          <w:tab w:pos="504" w:val="left" w:leader="none"/>
        </w:tabs>
        <w:spacing w:line="240" w:lineRule="auto" w:before="0" w:after="0"/>
        <w:ind w:left="504" w:right="147" w:hanging="396"/>
        <w:jc w:val="left"/>
        <w:rPr>
          <w:sz w:val="18"/>
        </w:rPr>
      </w:pPr>
      <w:r>
        <w:rPr>
          <w:sz w:val="18"/>
        </w:rPr>
        <w:t>the</w:t>
      </w:r>
      <w:r>
        <w:rPr>
          <w:spacing w:val="-6"/>
          <w:sz w:val="18"/>
        </w:rPr>
        <w:t> </w:t>
      </w:r>
      <w:r>
        <w:rPr>
          <w:sz w:val="18"/>
        </w:rPr>
        <w:t>statement</w:t>
      </w:r>
      <w:r>
        <w:rPr>
          <w:spacing w:val="-7"/>
          <w:sz w:val="18"/>
        </w:rPr>
        <w:t> </w:t>
      </w:r>
      <w:r>
        <w:rPr>
          <w:sz w:val="18"/>
        </w:rPr>
        <w:t>of</w:t>
      </w:r>
      <w:r>
        <w:rPr>
          <w:spacing w:val="-9"/>
          <w:sz w:val="18"/>
        </w:rPr>
        <w:t> </w:t>
      </w:r>
      <w:r>
        <w:rPr>
          <w:sz w:val="18"/>
        </w:rPr>
        <w:t>comprehensive</w:t>
      </w:r>
      <w:r>
        <w:rPr>
          <w:spacing w:val="-6"/>
          <w:sz w:val="18"/>
        </w:rPr>
        <w:t> </w:t>
      </w:r>
      <w:r>
        <w:rPr>
          <w:sz w:val="18"/>
        </w:rPr>
        <w:t>income</w:t>
      </w:r>
      <w:r>
        <w:rPr>
          <w:spacing w:val="-6"/>
          <w:sz w:val="18"/>
        </w:rPr>
        <w:t> </w:t>
      </w:r>
      <w:r>
        <w:rPr>
          <w:sz w:val="18"/>
        </w:rPr>
        <w:t>for</w:t>
      </w:r>
      <w:r>
        <w:rPr>
          <w:spacing w:val="-7"/>
          <w:sz w:val="18"/>
        </w:rPr>
        <w:t> </w:t>
      </w:r>
      <w:r>
        <w:rPr>
          <w:sz w:val="18"/>
        </w:rPr>
        <w:t>the</w:t>
      </w:r>
      <w:r>
        <w:rPr>
          <w:spacing w:val="-6"/>
          <w:sz w:val="18"/>
        </w:rPr>
        <w:t> </w:t>
      </w:r>
      <w:r>
        <w:rPr>
          <w:sz w:val="18"/>
        </w:rPr>
        <w:t>financial</w:t>
      </w:r>
      <w:r>
        <w:rPr>
          <w:spacing w:val="-6"/>
          <w:sz w:val="18"/>
        </w:rPr>
        <w:t> </w:t>
      </w:r>
      <w:r>
        <w:rPr>
          <w:sz w:val="18"/>
        </w:rPr>
        <w:t>period</w:t>
      </w:r>
      <w:r>
        <w:rPr>
          <w:spacing w:val="-6"/>
          <w:sz w:val="18"/>
        </w:rPr>
        <w:t> </w:t>
      </w:r>
      <w:r>
        <w:rPr>
          <w:sz w:val="18"/>
        </w:rPr>
        <w:t>ended</w:t>
      </w:r>
      <w:r>
        <w:rPr>
          <w:spacing w:val="-9"/>
          <w:sz w:val="18"/>
        </w:rPr>
        <w:t> </w:t>
      </w:r>
      <w:r>
        <w:rPr>
          <w:sz w:val="18"/>
        </w:rPr>
        <w:t>31</w:t>
      </w:r>
      <w:r>
        <w:rPr>
          <w:spacing w:val="-6"/>
          <w:sz w:val="18"/>
        </w:rPr>
        <w:t> </w:t>
      </w:r>
      <w:r>
        <w:rPr>
          <w:sz w:val="18"/>
        </w:rPr>
        <w:t>December</w:t>
      </w:r>
      <w:r>
        <w:rPr>
          <w:spacing w:val="-7"/>
          <w:sz w:val="18"/>
        </w:rPr>
        <w:t> </w:t>
      </w:r>
      <w:r>
        <w:rPr>
          <w:sz w:val="18"/>
        </w:rPr>
        <w:t>2012</w:t>
      </w:r>
      <w:r>
        <w:rPr>
          <w:spacing w:val="-6"/>
          <w:sz w:val="18"/>
        </w:rPr>
        <w:t> </w:t>
      </w:r>
      <w:r>
        <w:rPr>
          <w:sz w:val="18"/>
        </w:rPr>
        <w:t>gives</w:t>
      </w:r>
      <w:r>
        <w:rPr>
          <w:spacing w:val="-6"/>
          <w:sz w:val="18"/>
        </w:rPr>
        <w:t> </w:t>
      </w:r>
      <w:r>
        <w:rPr>
          <w:sz w:val="18"/>
        </w:rPr>
        <w:t>a</w:t>
      </w:r>
      <w:r>
        <w:rPr>
          <w:spacing w:val="-6"/>
          <w:sz w:val="18"/>
        </w:rPr>
        <w:t> </w:t>
      </w:r>
      <w:r>
        <w:rPr>
          <w:sz w:val="18"/>
        </w:rPr>
        <w:t>true</w:t>
      </w:r>
      <w:r>
        <w:rPr>
          <w:spacing w:val="-6"/>
          <w:sz w:val="18"/>
        </w:rPr>
        <w:t> </w:t>
      </w:r>
      <w:r>
        <w:rPr>
          <w:sz w:val="18"/>
        </w:rPr>
        <w:t>and</w:t>
      </w:r>
      <w:r>
        <w:rPr>
          <w:spacing w:val="-6"/>
          <w:sz w:val="18"/>
        </w:rPr>
        <w:t> </w:t>
      </w:r>
      <w:r>
        <w:rPr>
          <w:sz w:val="18"/>
        </w:rPr>
        <w:t>fair</w:t>
      </w:r>
      <w:r>
        <w:rPr>
          <w:spacing w:val="-7"/>
          <w:sz w:val="18"/>
        </w:rPr>
        <w:t> </w:t>
      </w:r>
      <w:r>
        <w:rPr>
          <w:sz w:val="18"/>
        </w:rPr>
        <w:t>view</w:t>
      </w:r>
      <w:r>
        <w:rPr>
          <w:spacing w:val="-10"/>
          <w:sz w:val="18"/>
        </w:rPr>
        <w:t> </w:t>
      </w:r>
      <w:r>
        <w:rPr>
          <w:sz w:val="18"/>
        </w:rPr>
        <w:t>of</w:t>
      </w:r>
      <w:r>
        <w:rPr>
          <w:spacing w:val="-7"/>
          <w:sz w:val="18"/>
        </w:rPr>
        <w:t> </w:t>
      </w:r>
      <w:r>
        <w:rPr>
          <w:sz w:val="18"/>
        </w:rPr>
        <w:t>all income</w:t>
      </w:r>
      <w:r>
        <w:rPr>
          <w:spacing w:val="-5"/>
          <w:sz w:val="18"/>
        </w:rPr>
        <w:t> </w:t>
      </w:r>
      <w:r>
        <w:rPr>
          <w:sz w:val="18"/>
        </w:rPr>
        <w:t>and</w:t>
      </w:r>
      <w:r>
        <w:rPr>
          <w:spacing w:val="-5"/>
          <w:sz w:val="18"/>
        </w:rPr>
        <w:t> </w:t>
      </w:r>
      <w:r>
        <w:rPr>
          <w:sz w:val="18"/>
        </w:rPr>
        <w:t>expenditure</w:t>
      </w:r>
      <w:r>
        <w:rPr>
          <w:spacing w:val="-5"/>
          <w:sz w:val="18"/>
        </w:rPr>
        <w:t> </w:t>
      </w:r>
      <w:r>
        <w:rPr>
          <w:sz w:val="18"/>
        </w:rPr>
        <w:t>of</w:t>
      </w:r>
      <w:r>
        <w:rPr>
          <w:spacing w:val="-3"/>
          <w:sz w:val="18"/>
        </w:rPr>
        <w:t> </w:t>
      </w:r>
      <w:r>
        <w:rPr>
          <w:sz w:val="18"/>
        </w:rPr>
        <w:t>UWS</w:t>
      </w:r>
      <w:r>
        <w:rPr>
          <w:spacing w:val="-6"/>
          <w:sz w:val="18"/>
        </w:rPr>
        <w:t> </w:t>
      </w:r>
      <w:r>
        <w:rPr>
          <w:sz w:val="18"/>
        </w:rPr>
        <w:t>Early</w:t>
      </w:r>
      <w:r>
        <w:rPr>
          <w:spacing w:val="-4"/>
          <w:sz w:val="18"/>
        </w:rPr>
        <w:t> </w:t>
      </w:r>
      <w:r>
        <w:rPr>
          <w:sz w:val="18"/>
        </w:rPr>
        <w:t>Learning</w:t>
      </w:r>
      <w:r>
        <w:rPr>
          <w:spacing w:val="-2"/>
          <w:sz w:val="18"/>
        </w:rPr>
        <w:t> </w:t>
      </w:r>
      <w:r>
        <w:rPr>
          <w:sz w:val="18"/>
        </w:rPr>
        <w:t>Ltd</w:t>
      </w:r>
      <w:r>
        <w:rPr>
          <w:spacing w:val="-2"/>
          <w:sz w:val="18"/>
        </w:rPr>
        <w:t> </w:t>
      </w:r>
      <w:r>
        <w:rPr>
          <w:sz w:val="18"/>
        </w:rPr>
        <w:t>with</w:t>
      </w:r>
      <w:r>
        <w:rPr>
          <w:spacing w:val="-2"/>
          <w:sz w:val="18"/>
        </w:rPr>
        <w:t> </w:t>
      </w:r>
      <w:r>
        <w:rPr>
          <w:sz w:val="18"/>
        </w:rPr>
        <w:t>respect</w:t>
      </w:r>
      <w:r>
        <w:rPr>
          <w:spacing w:val="-3"/>
          <w:sz w:val="18"/>
        </w:rPr>
        <w:t> </w:t>
      </w:r>
      <w:r>
        <w:rPr>
          <w:sz w:val="18"/>
        </w:rPr>
        <w:t>to</w:t>
      </w:r>
      <w:r>
        <w:rPr>
          <w:spacing w:val="-5"/>
          <w:sz w:val="18"/>
        </w:rPr>
        <w:t> </w:t>
      </w:r>
      <w:r>
        <w:rPr>
          <w:sz w:val="18"/>
        </w:rPr>
        <w:t>fundraising</w:t>
      </w:r>
      <w:r>
        <w:rPr>
          <w:spacing w:val="-2"/>
          <w:sz w:val="18"/>
        </w:rPr>
        <w:t> </w:t>
      </w:r>
      <w:r>
        <w:rPr>
          <w:sz w:val="18"/>
        </w:rPr>
        <w:t>appeals;</w:t>
      </w:r>
      <w:r>
        <w:rPr>
          <w:spacing w:val="-5"/>
          <w:sz w:val="18"/>
        </w:rPr>
        <w:t> </w:t>
      </w:r>
      <w:r>
        <w:rPr>
          <w:sz w:val="18"/>
        </w:rPr>
        <w:t>and</w:t>
      </w:r>
    </w:p>
    <w:p>
      <w:pPr>
        <w:pStyle w:val="BodyText"/>
        <w:spacing w:before="1"/>
      </w:pPr>
    </w:p>
    <w:p>
      <w:pPr>
        <w:pStyle w:val="ListParagraph"/>
        <w:numPr>
          <w:ilvl w:val="0"/>
          <w:numId w:val="123"/>
        </w:numPr>
        <w:tabs>
          <w:tab w:pos="504" w:val="left" w:leader="none"/>
        </w:tabs>
        <w:spacing w:line="240" w:lineRule="auto" w:before="0" w:after="0"/>
        <w:ind w:left="504" w:right="143" w:hanging="396"/>
        <w:jc w:val="left"/>
        <w:rPr>
          <w:sz w:val="18"/>
        </w:rPr>
      </w:pPr>
      <w:r>
        <w:rPr>
          <w:sz w:val="18"/>
        </w:rPr>
        <w:t>the statement of financial position as at 31 December 2012 gives a true and fair view of the state of affairs of UWS Early Learning Ltd with respect to fundraising appeal conducted by</w:t>
      </w:r>
      <w:r>
        <w:rPr>
          <w:spacing w:val="-36"/>
          <w:sz w:val="18"/>
        </w:rPr>
        <w:t> </w:t>
      </w:r>
      <w:r>
        <w:rPr>
          <w:sz w:val="18"/>
        </w:rPr>
        <w:t>UWS Early Learning Ltd; and</w:t>
      </w:r>
    </w:p>
    <w:p>
      <w:pPr>
        <w:pStyle w:val="BodyText"/>
        <w:spacing w:before="10"/>
        <w:rPr>
          <w:sz w:val="17"/>
        </w:rPr>
      </w:pPr>
    </w:p>
    <w:p>
      <w:pPr>
        <w:pStyle w:val="ListParagraph"/>
        <w:numPr>
          <w:ilvl w:val="0"/>
          <w:numId w:val="123"/>
        </w:numPr>
        <w:tabs>
          <w:tab w:pos="504" w:val="left" w:leader="none"/>
        </w:tabs>
        <w:spacing w:line="240" w:lineRule="auto" w:before="0" w:after="0"/>
        <w:ind w:left="504" w:right="169" w:hanging="396"/>
        <w:jc w:val="left"/>
        <w:rPr>
          <w:sz w:val="18"/>
        </w:rPr>
      </w:pPr>
      <w:r>
        <w:rPr>
          <w:sz w:val="18"/>
        </w:rPr>
        <w:t>the provisions of the Charitable Fundraising Act 1991 and Regulations and the conditions attached to the authority have been complied with by UWS Early Learning Ltd;</w:t>
      </w:r>
      <w:r>
        <w:rPr>
          <w:spacing w:val="-19"/>
          <w:sz w:val="18"/>
        </w:rPr>
        <w:t> </w:t>
      </w:r>
      <w:r>
        <w:rPr>
          <w:sz w:val="18"/>
        </w:rPr>
        <w:t>and</w:t>
      </w:r>
    </w:p>
    <w:p>
      <w:pPr>
        <w:pStyle w:val="BodyText"/>
        <w:spacing w:before="10"/>
        <w:rPr>
          <w:sz w:val="17"/>
        </w:rPr>
      </w:pPr>
    </w:p>
    <w:p>
      <w:pPr>
        <w:pStyle w:val="ListParagraph"/>
        <w:numPr>
          <w:ilvl w:val="0"/>
          <w:numId w:val="123"/>
        </w:numPr>
        <w:tabs>
          <w:tab w:pos="504" w:val="left" w:leader="none"/>
        </w:tabs>
        <w:spacing w:line="240" w:lineRule="auto" w:before="0" w:after="0"/>
        <w:ind w:left="504" w:right="498" w:hanging="396"/>
        <w:jc w:val="left"/>
        <w:rPr>
          <w:sz w:val="18"/>
        </w:rPr>
      </w:pPr>
      <w:r>
        <w:rPr>
          <w:sz w:val="18"/>
        </w:rPr>
        <w:t>the internal controls exercised by UWS Early Learning Ltd are appropriate and effective in accounting for all income received and applied by UWS</w:t>
      </w:r>
      <w:r>
        <w:rPr>
          <w:spacing w:val="-35"/>
          <w:sz w:val="18"/>
        </w:rPr>
        <w:t> </w:t>
      </w:r>
      <w:r>
        <w:rPr>
          <w:sz w:val="18"/>
        </w:rPr>
        <w:t>Early Learning Ltd from any of its fundraising appeals.</w:t>
      </w:r>
    </w:p>
    <w:p>
      <w:pPr>
        <w:pStyle w:val="BodyText"/>
        <w:spacing w:before="2"/>
        <w:rPr>
          <w:sz w:val="25"/>
        </w:rPr>
      </w:pPr>
    </w:p>
    <w:p>
      <w:pPr>
        <w:pStyle w:val="BodyText"/>
        <w:ind w:left="107"/>
      </w:pPr>
      <w:r>
        <w:rPr/>
        <w:t>This declaration is made in accordance with a resolution of the Board of Directors.</w:t>
      </w:r>
    </w:p>
    <w:p>
      <w:pPr>
        <w:pStyle w:val="BodyText"/>
        <w:spacing w:before="9"/>
        <w:rPr>
          <w:sz w:val="21"/>
        </w:rPr>
      </w:pPr>
      <w:r>
        <w:rPr/>
        <w:drawing>
          <wp:anchor distT="0" distB="0" distL="0" distR="0" allowOverlap="1" layoutInCell="1" locked="0" behindDoc="0" simplePos="0" relativeHeight="5896">
            <wp:simplePos x="0" y="0"/>
            <wp:positionH relativeFrom="page">
              <wp:posOffset>640715</wp:posOffset>
            </wp:positionH>
            <wp:positionV relativeFrom="paragraph">
              <wp:posOffset>183853</wp:posOffset>
            </wp:positionV>
            <wp:extent cx="6217034" cy="2000250"/>
            <wp:effectExtent l="0" t="0" r="0" b="0"/>
            <wp:wrapTopAndBottom/>
            <wp:docPr id="103" name="image76.png" descr=""/>
            <wp:cNvGraphicFramePr>
              <a:graphicFrameLocks noChangeAspect="1"/>
            </wp:cNvGraphicFramePr>
            <a:graphic>
              <a:graphicData uri="http://schemas.openxmlformats.org/drawingml/2006/picture">
                <pic:pic>
                  <pic:nvPicPr>
                    <pic:cNvPr id="104" name="image76.png"/>
                    <pic:cNvPicPr/>
                  </pic:nvPicPr>
                  <pic:blipFill>
                    <a:blip r:embed="rId227" cstate="print"/>
                    <a:stretch>
                      <a:fillRect/>
                    </a:stretch>
                  </pic:blipFill>
                  <pic:spPr>
                    <a:xfrm>
                      <a:off x="0" y="0"/>
                      <a:ext cx="6217034" cy="2000250"/>
                    </a:xfrm>
                    <a:prstGeom prst="rect">
                      <a:avLst/>
                    </a:prstGeom>
                  </pic:spPr>
                </pic:pic>
              </a:graphicData>
            </a:graphic>
          </wp:anchor>
        </w:drawing>
      </w:r>
    </w:p>
    <w:p>
      <w:pPr>
        <w:spacing w:after="0"/>
        <w:rPr>
          <w:sz w:val="21"/>
        </w:rPr>
        <w:sectPr>
          <w:pgSz w:w="11960" w:h="16850"/>
          <w:pgMar w:header="743" w:footer="507" w:top="1180" w:bottom="700" w:left="900" w:right="860"/>
        </w:sectPr>
      </w:pPr>
    </w:p>
    <w:p>
      <w:pPr>
        <w:pStyle w:val="BodyText"/>
        <w:ind w:left="4427"/>
        <w:rPr>
          <w:sz w:val="20"/>
        </w:rPr>
      </w:pPr>
      <w:r>
        <w:rPr>
          <w:sz w:val="20"/>
        </w:rPr>
        <w:drawing>
          <wp:inline distT="0" distB="0" distL="0" distR="0">
            <wp:extent cx="1011936" cy="1048511"/>
            <wp:effectExtent l="0" t="0" r="0" b="0"/>
            <wp:docPr id="105" name="image78.jpeg" descr=""/>
            <wp:cNvGraphicFramePr>
              <a:graphicFrameLocks noChangeAspect="1"/>
            </wp:cNvGraphicFramePr>
            <a:graphic>
              <a:graphicData uri="http://schemas.openxmlformats.org/drawingml/2006/picture">
                <pic:pic>
                  <pic:nvPicPr>
                    <pic:cNvPr id="106" name="image78.jpeg"/>
                    <pic:cNvPicPr/>
                  </pic:nvPicPr>
                  <pic:blipFill>
                    <a:blip r:embed="rId236" cstate="print"/>
                    <a:stretch>
                      <a:fillRect/>
                    </a:stretch>
                  </pic:blipFill>
                  <pic:spPr>
                    <a:xfrm>
                      <a:off x="0" y="0"/>
                      <a:ext cx="1011936" cy="1048511"/>
                    </a:xfrm>
                    <a:prstGeom prst="rect">
                      <a:avLst/>
                    </a:prstGeom>
                  </pic:spPr>
                </pic:pic>
              </a:graphicData>
            </a:graphic>
          </wp:inline>
        </w:drawing>
      </w:r>
      <w:r>
        <w:rPr>
          <w:sz w:val="20"/>
        </w:rPr>
      </w:r>
    </w:p>
    <w:p>
      <w:pPr>
        <w:pStyle w:val="BodyText"/>
        <w:spacing w:before="5"/>
        <w:rPr>
          <w:sz w:val="23"/>
        </w:rPr>
      </w:pPr>
    </w:p>
    <w:p>
      <w:pPr>
        <w:spacing w:before="70"/>
        <w:ind w:left="113" w:right="0" w:firstLine="0"/>
        <w:jc w:val="center"/>
        <w:rPr>
          <w:b/>
          <w:sz w:val="23"/>
        </w:rPr>
      </w:pPr>
      <w:r>
        <w:rPr>
          <w:b/>
          <w:color w:val="0F0F11"/>
          <w:w w:val="105"/>
          <w:sz w:val="23"/>
        </w:rPr>
        <w:t>INDEPENDENT AUDITOR'S REPORT</w:t>
      </w:r>
    </w:p>
    <w:p>
      <w:pPr>
        <w:pStyle w:val="BodyText"/>
        <w:spacing w:before="1"/>
        <w:rPr>
          <w:b/>
          <w:sz w:val="21"/>
        </w:rPr>
      </w:pPr>
    </w:p>
    <w:p>
      <w:pPr>
        <w:spacing w:before="1"/>
        <w:ind w:left="114" w:right="0" w:firstLine="0"/>
        <w:jc w:val="center"/>
        <w:rPr>
          <w:b/>
          <w:sz w:val="19"/>
        </w:rPr>
      </w:pPr>
      <w:r>
        <w:rPr>
          <w:b/>
          <w:color w:val="0F0F11"/>
          <w:w w:val="105"/>
          <w:sz w:val="19"/>
        </w:rPr>
        <w:t>UWS Early Learning Limited</w:t>
      </w:r>
    </w:p>
    <w:p>
      <w:pPr>
        <w:pStyle w:val="BodyText"/>
        <w:rPr>
          <w:b/>
        </w:rPr>
      </w:pPr>
    </w:p>
    <w:p>
      <w:pPr>
        <w:pStyle w:val="BodyText"/>
        <w:spacing w:before="3"/>
        <w:rPr>
          <w:b/>
          <w:sz w:val="22"/>
        </w:rPr>
      </w:pPr>
    </w:p>
    <w:p>
      <w:pPr>
        <w:spacing w:before="0"/>
        <w:ind w:left="707" w:right="0" w:firstLine="0"/>
        <w:jc w:val="both"/>
        <w:rPr>
          <w:sz w:val="20"/>
        </w:rPr>
      </w:pPr>
      <w:r>
        <w:rPr>
          <w:color w:val="0F0F11"/>
          <w:sz w:val="20"/>
        </w:rPr>
        <w:t>To Members of the New South Wales Parliament and Members of UWS Early Learning Limited</w:t>
      </w:r>
    </w:p>
    <w:p>
      <w:pPr>
        <w:pStyle w:val="BodyText"/>
        <w:rPr>
          <w:sz w:val="20"/>
        </w:rPr>
      </w:pPr>
    </w:p>
    <w:p>
      <w:pPr>
        <w:spacing w:line="240" w:lineRule="auto" w:before="1"/>
        <w:ind w:left="702" w:right="621" w:firstLine="14"/>
        <w:jc w:val="both"/>
        <w:rPr>
          <w:sz w:val="20"/>
        </w:rPr>
      </w:pPr>
      <w:r>
        <w:rPr>
          <w:color w:val="0F0F11"/>
          <w:sz w:val="20"/>
        </w:rPr>
        <w:t>I have aud</w:t>
      </w:r>
      <w:r>
        <w:rPr>
          <w:color w:val="2D2D2D"/>
          <w:sz w:val="20"/>
        </w:rPr>
        <w:t>i</w:t>
      </w:r>
      <w:r>
        <w:rPr>
          <w:color w:val="0F0F11"/>
          <w:sz w:val="20"/>
        </w:rPr>
        <w:t>ted the accompany </w:t>
      </w:r>
      <w:r>
        <w:rPr>
          <w:color w:val="2D2D2D"/>
          <w:sz w:val="20"/>
        </w:rPr>
        <w:t>i</w:t>
      </w:r>
      <w:r>
        <w:rPr>
          <w:color w:val="0F0F11"/>
          <w:sz w:val="20"/>
        </w:rPr>
        <w:t>ng financial statements of UWS Early Learning Limited (the Company}, which comprise the statement of financial position as at 31 December 2012, the statement of comprehensive income, statement of changes in equity and statement of cash flows for the year then ended</w:t>
      </w:r>
      <w:r>
        <w:rPr>
          <w:color w:val="2D2D2D"/>
          <w:sz w:val="20"/>
        </w:rPr>
        <w:t>, </w:t>
      </w:r>
      <w:r>
        <w:rPr>
          <w:color w:val="0F0F11"/>
          <w:sz w:val="20"/>
        </w:rPr>
        <w:t>notes comprising a summary of significant accounting policies and other explanatory information and the Directors</w:t>
      </w:r>
      <w:r>
        <w:rPr>
          <w:color w:val="2D2D2D"/>
          <w:sz w:val="20"/>
        </w:rPr>
        <w:t>' </w:t>
      </w:r>
      <w:r>
        <w:rPr>
          <w:color w:val="0F0F11"/>
          <w:sz w:val="20"/>
        </w:rPr>
        <w:t>declaration </w:t>
      </w:r>
      <w:r>
        <w:rPr>
          <w:color w:val="2D2D2D"/>
          <w:sz w:val="20"/>
        </w:rPr>
        <w:t>.</w:t>
      </w:r>
    </w:p>
    <w:p>
      <w:pPr>
        <w:pStyle w:val="BodyText"/>
        <w:spacing w:before="11"/>
        <w:rPr>
          <w:sz w:val="20"/>
        </w:rPr>
      </w:pPr>
    </w:p>
    <w:p>
      <w:pPr>
        <w:spacing w:before="0"/>
        <w:ind w:left="721" w:right="0" w:firstLine="0"/>
        <w:jc w:val="both"/>
        <w:rPr>
          <w:b/>
          <w:sz w:val="23"/>
        </w:rPr>
      </w:pPr>
      <w:r>
        <w:rPr>
          <w:b/>
          <w:color w:val="0F0F11"/>
          <w:w w:val="105"/>
          <w:sz w:val="23"/>
        </w:rPr>
        <w:t>Basis for Qualified Opinion</w:t>
      </w:r>
    </w:p>
    <w:p>
      <w:pPr>
        <w:pStyle w:val="BodyText"/>
        <w:spacing w:before="10"/>
        <w:rPr>
          <w:b/>
          <w:sz w:val="19"/>
        </w:rPr>
      </w:pPr>
    </w:p>
    <w:p>
      <w:pPr>
        <w:spacing w:line="240" w:lineRule="auto" w:before="0"/>
        <w:ind w:left="707" w:right="616" w:hanging="5"/>
        <w:jc w:val="both"/>
        <w:rPr>
          <w:sz w:val="20"/>
        </w:rPr>
      </w:pPr>
      <w:r>
        <w:rPr>
          <w:color w:val="0F0F11"/>
          <w:sz w:val="20"/>
        </w:rPr>
        <w:t>As is common for entities that have donations and fund</w:t>
      </w:r>
      <w:r>
        <w:rPr>
          <w:color w:val="2D2D2D"/>
          <w:sz w:val="20"/>
        </w:rPr>
        <w:t>r</w:t>
      </w:r>
      <w:r>
        <w:rPr>
          <w:color w:val="0F0F11"/>
          <w:sz w:val="20"/>
        </w:rPr>
        <w:t>ais</w:t>
      </w:r>
      <w:r>
        <w:rPr>
          <w:color w:val="2D2D2D"/>
          <w:sz w:val="20"/>
        </w:rPr>
        <w:t>i</w:t>
      </w:r>
      <w:r>
        <w:rPr>
          <w:color w:val="0F0F11"/>
          <w:sz w:val="20"/>
        </w:rPr>
        <w:t>ng as a source of revenue, it is impractical for the Company to maintain an effective system of internal controls over fundraising revenue and voluntary donations it receives until their init</w:t>
      </w:r>
      <w:r>
        <w:rPr>
          <w:color w:val="2D2D2D"/>
          <w:sz w:val="20"/>
        </w:rPr>
        <w:t>i</w:t>
      </w:r>
      <w:r>
        <w:rPr>
          <w:color w:val="0F0F11"/>
          <w:sz w:val="20"/>
        </w:rPr>
        <w:t>al entry in the financial records</w:t>
      </w:r>
      <w:r>
        <w:rPr>
          <w:color w:val="2D2D2D"/>
          <w:sz w:val="20"/>
        </w:rPr>
        <w:t>. </w:t>
      </w:r>
      <w:r>
        <w:rPr>
          <w:color w:val="0F0F11"/>
          <w:sz w:val="20"/>
        </w:rPr>
        <w:t>Accordingly </w:t>
      </w:r>
      <w:r>
        <w:rPr>
          <w:color w:val="2D2D2D"/>
          <w:sz w:val="20"/>
        </w:rPr>
        <w:t>, </w:t>
      </w:r>
      <w:r>
        <w:rPr>
          <w:color w:val="0F0F11"/>
          <w:sz w:val="20"/>
        </w:rPr>
        <w:t>as the evidence ava</w:t>
      </w:r>
      <w:r>
        <w:rPr>
          <w:color w:val="2D2D2D"/>
          <w:sz w:val="20"/>
        </w:rPr>
        <w:t>i</w:t>
      </w:r>
      <w:r>
        <w:rPr>
          <w:color w:val="0F0F11"/>
          <w:sz w:val="20"/>
        </w:rPr>
        <w:t>lable to me regarding revenue from these sources was limited, my audit procedures with respect to these revenues were restricted to the amounts recorded in the financial records</w:t>
      </w:r>
      <w:r>
        <w:rPr>
          <w:color w:val="2D2D2D"/>
          <w:sz w:val="20"/>
        </w:rPr>
        <w:t>. </w:t>
      </w:r>
      <w:r>
        <w:rPr>
          <w:color w:val="0F0F11"/>
          <w:sz w:val="20"/>
        </w:rPr>
        <w:t>I am therefore unable to express an opinion on whether all fundraising revenue and voluntary donations received by the Company during the year ended 31 December 2012 have been recorded in  its financial records</w:t>
      </w:r>
      <w:r>
        <w:rPr>
          <w:color w:val="4B4B4B"/>
          <w:sz w:val="20"/>
        </w:rPr>
        <w:t>.</w:t>
      </w:r>
    </w:p>
    <w:p>
      <w:pPr>
        <w:pStyle w:val="BodyText"/>
        <w:spacing w:before="6"/>
        <w:rPr>
          <w:sz w:val="20"/>
        </w:rPr>
      </w:pPr>
    </w:p>
    <w:p>
      <w:pPr>
        <w:spacing w:before="0"/>
        <w:ind w:left="712" w:right="0" w:firstLine="0"/>
        <w:jc w:val="both"/>
        <w:rPr>
          <w:b/>
          <w:sz w:val="23"/>
        </w:rPr>
      </w:pPr>
      <w:r>
        <w:rPr>
          <w:b/>
          <w:color w:val="0F0F11"/>
          <w:w w:val="105"/>
          <w:sz w:val="23"/>
        </w:rPr>
        <w:t>Qualified Opinion</w:t>
      </w:r>
    </w:p>
    <w:p>
      <w:pPr>
        <w:pStyle w:val="BodyText"/>
        <w:spacing w:before="4"/>
        <w:rPr>
          <w:b/>
          <w:sz w:val="20"/>
        </w:rPr>
      </w:pPr>
    </w:p>
    <w:p>
      <w:pPr>
        <w:spacing w:before="0"/>
        <w:ind w:left="712" w:right="632" w:firstLine="4"/>
        <w:jc w:val="both"/>
        <w:rPr>
          <w:sz w:val="20"/>
        </w:rPr>
      </w:pPr>
      <w:r>
        <w:rPr>
          <w:color w:val="0F0F11"/>
          <w:sz w:val="20"/>
        </w:rPr>
        <w:t>In my opinion, except for the possible effects of the matters described in the Basis for Qualified  Opinion paragraph, the financial statements</w:t>
      </w:r>
      <w:r>
        <w:rPr>
          <w:color w:val="0F0F11"/>
          <w:spacing w:val="-47"/>
          <w:sz w:val="20"/>
        </w:rPr>
        <w:t> </w:t>
      </w:r>
      <w:r>
        <w:rPr>
          <w:color w:val="2D2D2D"/>
          <w:sz w:val="20"/>
        </w:rPr>
        <w:t>:</w:t>
      </w:r>
    </w:p>
    <w:p>
      <w:pPr>
        <w:pStyle w:val="BodyText"/>
        <w:spacing w:before="2"/>
        <w:rPr>
          <w:sz w:val="24"/>
        </w:rPr>
      </w:pPr>
    </w:p>
    <w:p>
      <w:pPr>
        <w:pStyle w:val="ListParagraph"/>
        <w:numPr>
          <w:ilvl w:val="1"/>
          <w:numId w:val="123"/>
        </w:numPr>
        <w:tabs>
          <w:tab w:pos="1274" w:val="left" w:leader="none"/>
        </w:tabs>
        <w:spacing w:line="240" w:lineRule="auto" w:before="1" w:after="0"/>
        <w:ind w:left="1273" w:right="0" w:hanging="566"/>
        <w:jc w:val="both"/>
        <w:rPr>
          <w:sz w:val="20"/>
        </w:rPr>
      </w:pPr>
      <w:r>
        <w:rPr>
          <w:color w:val="0F0F11"/>
          <w:sz w:val="20"/>
        </w:rPr>
        <w:t>are in accordance with the </w:t>
      </w:r>
      <w:r>
        <w:rPr>
          <w:i/>
          <w:color w:val="0F0F11"/>
          <w:sz w:val="19"/>
        </w:rPr>
        <w:t>Corporations Act </w:t>
      </w:r>
      <w:r>
        <w:rPr>
          <w:i/>
          <w:color w:val="0F0F11"/>
          <w:spacing w:val="3"/>
          <w:sz w:val="19"/>
        </w:rPr>
        <w:t>2001</w:t>
      </w:r>
      <w:r>
        <w:rPr>
          <w:i/>
          <w:color w:val="2D2D2D"/>
          <w:spacing w:val="3"/>
          <w:sz w:val="19"/>
        </w:rPr>
        <w:t>, </w:t>
      </w:r>
      <w:r>
        <w:rPr>
          <w:i/>
          <w:color w:val="2D2D2D"/>
          <w:spacing w:val="51"/>
          <w:sz w:val="19"/>
        </w:rPr>
        <w:t> </w:t>
      </w:r>
      <w:r>
        <w:rPr>
          <w:color w:val="0F0F11"/>
          <w:sz w:val="20"/>
        </w:rPr>
        <w:t>including</w:t>
      </w:r>
      <w:r>
        <w:rPr>
          <w:color w:val="4B4B4B"/>
          <w:sz w:val="20"/>
        </w:rPr>
        <w:t>:</w:t>
      </w:r>
    </w:p>
    <w:p>
      <w:pPr>
        <w:spacing w:line="244" w:lineRule="auto" w:before="63"/>
        <w:ind w:left="1844" w:right="658" w:firstLine="0"/>
        <w:jc w:val="left"/>
        <w:rPr>
          <w:sz w:val="20"/>
        </w:rPr>
      </w:pPr>
      <w:r>
        <w:rPr>
          <w:color w:val="0F0F11"/>
          <w:sz w:val="20"/>
        </w:rPr>
        <w:t>g</w:t>
      </w:r>
      <w:r>
        <w:rPr>
          <w:color w:val="2D2D2D"/>
          <w:sz w:val="20"/>
        </w:rPr>
        <w:t>i</w:t>
      </w:r>
      <w:r>
        <w:rPr>
          <w:color w:val="0F0F11"/>
          <w:sz w:val="20"/>
        </w:rPr>
        <w:t>ving a true and fair view of the Company's financial position as at 31 December 2012 and </w:t>
      </w:r>
      <w:r>
        <w:rPr>
          <w:color w:val="2D2D2D"/>
          <w:sz w:val="20"/>
        </w:rPr>
        <w:t>i</w:t>
      </w:r>
      <w:r>
        <w:rPr>
          <w:color w:val="0F0F11"/>
          <w:sz w:val="20"/>
        </w:rPr>
        <w:t>ts performance and its cash flows for the year ended on that date</w:t>
      </w:r>
    </w:p>
    <w:p>
      <w:pPr>
        <w:spacing w:before="53"/>
        <w:ind w:left="1840" w:right="118" w:firstLine="0"/>
        <w:jc w:val="left"/>
        <w:rPr>
          <w:sz w:val="20"/>
        </w:rPr>
      </w:pPr>
      <w:r>
        <w:rPr>
          <w:color w:val="0F0F11"/>
          <w:sz w:val="20"/>
        </w:rPr>
        <w:t>complying with Australian Accounting Standards and the Corporations Regulations 2001</w:t>
      </w:r>
    </w:p>
    <w:p>
      <w:pPr>
        <w:pStyle w:val="ListParagraph"/>
        <w:numPr>
          <w:ilvl w:val="1"/>
          <w:numId w:val="123"/>
        </w:numPr>
        <w:tabs>
          <w:tab w:pos="1274" w:val="left" w:leader="none"/>
        </w:tabs>
        <w:spacing w:line="244" w:lineRule="auto" w:before="53" w:after="0"/>
        <w:ind w:left="1273" w:right="992" w:hanging="566"/>
        <w:jc w:val="left"/>
        <w:rPr>
          <w:sz w:val="20"/>
        </w:rPr>
      </w:pPr>
      <w:r>
        <w:rPr>
          <w:color w:val="0F0F11"/>
          <w:sz w:val="20"/>
        </w:rPr>
        <w:t>are in accordance with section </w:t>
      </w:r>
      <w:r>
        <w:rPr>
          <w:color w:val="0F0F11"/>
          <w:spacing w:val="5"/>
          <w:sz w:val="20"/>
        </w:rPr>
        <w:t>41B </w:t>
      </w:r>
      <w:r>
        <w:rPr>
          <w:color w:val="0F0F11"/>
          <w:sz w:val="20"/>
        </w:rPr>
        <w:t>of the </w:t>
      </w:r>
      <w:r>
        <w:rPr>
          <w:i/>
          <w:color w:val="0F0F11"/>
          <w:sz w:val="19"/>
        </w:rPr>
        <w:t>Public Finance and Audit Act 1983 </w:t>
      </w:r>
      <w:r>
        <w:rPr>
          <w:color w:val="0F0F11"/>
          <w:sz w:val="20"/>
        </w:rPr>
        <w:t>(the PF&amp;A Act) and the Public Finance and Audit Regulation</w:t>
      </w:r>
      <w:r>
        <w:rPr>
          <w:color w:val="0F0F11"/>
          <w:spacing w:val="-16"/>
          <w:sz w:val="20"/>
        </w:rPr>
        <w:t> </w:t>
      </w:r>
      <w:r>
        <w:rPr>
          <w:color w:val="0F0F11"/>
          <w:sz w:val="20"/>
        </w:rPr>
        <w:t>2010</w:t>
      </w:r>
    </w:p>
    <w:p>
      <w:pPr>
        <w:pStyle w:val="BodyText"/>
        <w:spacing w:before="1"/>
        <w:rPr>
          <w:sz w:val="25"/>
        </w:rPr>
      </w:pPr>
    </w:p>
    <w:p>
      <w:pPr>
        <w:pStyle w:val="Heading8"/>
        <w:ind w:left="707"/>
      </w:pPr>
      <w:r>
        <w:rPr>
          <w:color w:val="0F0F11"/>
        </w:rPr>
        <w:t>My qualified opinion should be read </w:t>
      </w:r>
      <w:r>
        <w:rPr>
          <w:color w:val="2D2D2D"/>
        </w:rPr>
        <w:t>i</w:t>
      </w:r>
      <w:r>
        <w:rPr>
          <w:color w:val="0F0F11"/>
        </w:rPr>
        <w:t>n conjunction with the rest of this report</w:t>
      </w:r>
      <w:r>
        <w:rPr>
          <w:color w:val="4B4B4B"/>
        </w:rPr>
        <w:t>.</w:t>
      </w:r>
    </w:p>
    <w:p>
      <w:pPr>
        <w:pStyle w:val="BodyText"/>
        <w:spacing w:before="3"/>
        <w:rPr>
          <w:sz w:val="24"/>
        </w:rPr>
      </w:pPr>
    </w:p>
    <w:p>
      <w:pPr>
        <w:spacing w:before="0"/>
        <w:ind w:left="712" w:right="0" w:firstLine="0"/>
        <w:jc w:val="both"/>
        <w:rPr>
          <w:b/>
          <w:sz w:val="23"/>
        </w:rPr>
      </w:pPr>
      <w:r>
        <w:rPr>
          <w:b/>
          <w:color w:val="0F0F11"/>
          <w:sz w:val="23"/>
        </w:rPr>
        <w:t>Directors'  Responsibility  for  the  Financial Statements</w:t>
      </w:r>
    </w:p>
    <w:p>
      <w:pPr>
        <w:pStyle w:val="BodyText"/>
        <w:spacing w:before="4"/>
        <w:rPr>
          <w:b/>
          <w:sz w:val="20"/>
        </w:rPr>
      </w:pPr>
    </w:p>
    <w:p>
      <w:pPr>
        <w:spacing w:line="240" w:lineRule="auto" w:before="0"/>
        <w:ind w:left="697" w:right="632" w:firstLine="0"/>
        <w:jc w:val="both"/>
        <w:rPr>
          <w:sz w:val="20"/>
        </w:rPr>
      </w:pPr>
      <w:r>
        <w:rPr>
          <w:color w:val="0F0F11"/>
          <w:sz w:val="20"/>
        </w:rPr>
        <w:t>The Directors of the Company are responsible for the preparation of the financial statements that give a true and fair view in accordance w</w:t>
      </w:r>
      <w:r>
        <w:rPr>
          <w:color w:val="2D2D2D"/>
          <w:sz w:val="20"/>
        </w:rPr>
        <w:t>i</w:t>
      </w:r>
      <w:r>
        <w:rPr>
          <w:color w:val="0F0F11"/>
          <w:sz w:val="20"/>
        </w:rPr>
        <w:t>th Australian Accounting Standards</w:t>
      </w:r>
      <w:r>
        <w:rPr>
          <w:color w:val="2D2D2D"/>
          <w:sz w:val="20"/>
        </w:rPr>
        <w:t>, </w:t>
      </w:r>
      <w:r>
        <w:rPr>
          <w:color w:val="0F0F11"/>
          <w:sz w:val="20"/>
        </w:rPr>
        <w:t>the PF&amp;A Act and the </w:t>
      </w:r>
      <w:r>
        <w:rPr>
          <w:i/>
          <w:color w:val="0F0F11"/>
          <w:sz w:val="19"/>
        </w:rPr>
        <w:t>Corporations Act 2001 </w:t>
      </w:r>
      <w:r>
        <w:rPr>
          <w:color w:val="0F0F11"/>
          <w:sz w:val="20"/>
        </w:rPr>
        <w:t>and for such internal control as the Directors determine is necessary to enable the preparation of the financial statements that are free from material misstatement, whether due to fraud or error</w:t>
      </w:r>
      <w:r>
        <w:rPr>
          <w:color w:val="2D2D2D"/>
          <w:sz w:val="20"/>
        </w:rPr>
        <w:t>.</w:t>
      </w:r>
    </w:p>
    <w:p>
      <w:pPr>
        <w:pStyle w:val="BodyText"/>
        <w:spacing w:before="6"/>
        <w:rPr>
          <w:sz w:val="20"/>
        </w:rPr>
      </w:pPr>
    </w:p>
    <w:p>
      <w:pPr>
        <w:spacing w:before="0"/>
        <w:ind w:left="692" w:right="0" w:firstLine="0"/>
        <w:jc w:val="both"/>
        <w:rPr>
          <w:b/>
          <w:sz w:val="23"/>
        </w:rPr>
      </w:pPr>
      <w:r>
        <w:rPr>
          <w:b/>
          <w:color w:val="0F0F11"/>
          <w:w w:val="105"/>
          <w:sz w:val="23"/>
        </w:rPr>
        <w:t>Auditor's Responsibility</w:t>
      </w:r>
    </w:p>
    <w:p>
      <w:pPr>
        <w:pStyle w:val="BodyText"/>
        <w:spacing w:before="5"/>
        <w:rPr>
          <w:b/>
          <w:sz w:val="20"/>
        </w:rPr>
      </w:pPr>
    </w:p>
    <w:p>
      <w:pPr>
        <w:spacing w:line="237" w:lineRule="auto" w:before="1"/>
        <w:ind w:left="702" w:right="644" w:firstLine="0"/>
        <w:jc w:val="both"/>
        <w:rPr>
          <w:sz w:val="20"/>
        </w:rPr>
      </w:pPr>
      <w:r>
        <w:rPr>
          <w:color w:val="0F0F11"/>
          <w:sz w:val="20"/>
        </w:rPr>
        <w:t>My respons</w:t>
      </w:r>
      <w:r>
        <w:rPr>
          <w:color w:val="2D2D2D"/>
          <w:sz w:val="20"/>
        </w:rPr>
        <w:t>i</w:t>
      </w:r>
      <w:r>
        <w:rPr>
          <w:color w:val="0F0F11"/>
          <w:sz w:val="20"/>
        </w:rPr>
        <w:t>bility is to express an opinion on the financial statements based on my audit. I conducted my audit in accordance with Australian Auditing Standards. Those Standards require that I comply</w:t>
      </w:r>
      <w:r>
        <w:rPr>
          <w:color w:val="0F0F11"/>
          <w:spacing w:val="-21"/>
          <w:sz w:val="20"/>
        </w:rPr>
        <w:t> </w:t>
      </w:r>
      <w:r>
        <w:rPr>
          <w:color w:val="0F0F11"/>
          <w:sz w:val="20"/>
        </w:rPr>
        <w:t>with relevant ethical requirements relating to audit engagements and plan and perform the audit to obtain reasonable  assurance  about whether  the financial  statements  are free from  material</w:t>
      </w:r>
      <w:r>
        <w:rPr>
          <w:color w:val="0F0F11"/>
          <w:spacing w:val="-10"/>
          <w:sz w:val="20"/>
        </w:rPr>
        <w:t> </w:t>
      </w:r>
      <w:r>
        <w:rPr>
          <w:color w:val="0F0F11"/>
          <w:sz w:val="20"/>
        </w:rPr>
        <w:t>misstatement.</w:t>
      </w:r>
    </w:p>
    <w:p>
      <w:pPr>
        <w:pStyle w:val="BodyText"/>
        <w:rPr>
          <w:sz w:val="20"/>
        </w:rPr>
      </w:pPr>
    </w:p>
    <w:p>
      <w:pPr>
        <w:pStyle w:val="BodyText"/>
        <w:spacing w:before="4"/>
        <w:rPr>
          <w:sz w:val="13"/>
        </w:rPr>
      </w:pPr>
      <w:r>
        <w:rPr/>
        <w:pict>
          <v:line style="position:absolute;mso-position-horizontal-relative:page;mso-position-vertical-relative:paragraph;z-index:5920;mso-wrap-distance-left:0;mso-wrap-distance-right:0" from="39.600014pt,9.923038pt" to="548.880014pt,9.923038pt" stroked="true" strokeweight=".48pt" strokecolor="#2f2f2f">
            <w10:wrap type="topAndBottom"/>
          </v:line>
        </w:pict>
      </w:r>
    </w:p>
    <w:p>
      <w:pPr>
        <w:spacing w:after="0"/>
        <w:rPr>
          <w:sz w:val="13"/>
        </w:rPr>
        <w:sectPr>
          <w:headerReference w:type="default" r:id="rId234"/>
          <w:footerReference w:type="default" r:id="rId235"/>
          <w:pgSz w:w="11910" w:h="16840"/>
          <w:pgMar w:header="0" w:footer="559" w:top="980" w:bottom="740" w:left="680" w:right="820"/>
        </w:sectPr>
      </w:pPr>
    </w:p>
    <w:p>
      <w:pPr>
        <w:pStyle w:val="Heading8"/>
        <w:spacing w:before="51"/>
        <w:ind w:left="333" w:right="104" w:hanging="5"/>
      </w:pPr>
      <w:r>
        <w:rPr>
          <w:color w:val="0F0F11"/>
        </w:rPr>
        <w:t>An audit involves performing procedures to obtain audit evidence about the amounts and disclosures in the financial statements. The procedures selected depend on the auditor's judgement, including the assessment of the risks of material misstatement of the financial statements </w:t>
      </w:r>
      <w:r>
        <w:rPr>
          <w:color w:val="343434"/>
        </w:rPr>
        <w:t>, </w:t>
      </w:r>
      <w:r>
        <w:rPr>
          <w:color w:val="0F0F11"/>
        </w:rPr>
        <w:t>whether due to fraud or </w:t>
      </w:r>
      <w:r>
        <w:rPr>
          <w:color w:val="0F0F11"/>
          <w:spacing w:val="2"/>
        </w:rPr>
        <w:t>error</w:t>
      </w:r>
      <w:r>
        <w:rPr>
          <w:color w:val="343434"/>
          <w:spacing w:val="2"/>
        </w:rPr>
        <w:t>. </w:t>
      </w:r>
      <w:r>
        <w:rPr>
          <w:color w:val="0F0F11"/>
        </w:rPr>
        <w:t>In making those risk assessments, the auditor considers internal control relevant to the Company's preparation of the financial statements that give a true and fair view in order to design  audit procedures that are appropriate in the circumstances, but not for the purpose of expressing an opinion on the effectiveness of the Company's internal control. An audit also includes evaluating the appropriateness of accounting policies used and the reasonableness of accounting estimates made by the Directors, as well as evaluating the overall presentation of the financial</w:t>
      </w:r>
      <w:r>
        <w:rPr>
          <w:color w:val="0F0F11"/>
          <w:spacing w:val="-15"/>
        </w:rPr>
        <w:t> </w:t>
      </w:r>
      <w:r>
        <w:rPr>
          <w:color w:val="0F0F11"/>
        </w:rPr>
        <w:t>statements.</w:t>
      </w:r>
    </w:p>
    <w:p>
      <w:pPr>
        <w:pStyle w:val="BodyText"/>
        <w:spacing w:before="5"/>
        <w:rPr>
          <w:sz w:val="20"/>
        </w:rPr>
      </w:pPr>
    </w:p>
    <w:p>
      <w:pPr>
        <w:spacing w:before="0"/>
        <w:ind w:left="333" w:right="117" w:firstLine="9"/>
        <w:jc w:val="both"/>
        <w:rPr>
          <w:sz w:val="20"/>
        </w:rPr>
      </w:pPr>
      <w:r>
        <w:rPr>
          <w:color w:val="0F0F11"/>
          <w:sz w:val="20"/>
        </w:rPr>
        <w:t>I believe the audit evidence I have obtained is sufficient and appropriate to provide a basis for my</w:t>
      </w:r>
      <w:r>
        <w:rPr>
          <w:color w:val="0F0F11"/>
          <w:spacing w:val="-35"/>
          <w:sz w:val="20"/>
        </w:rPr>
        <w:t> </w:t>
      </w:r>
      <w:r>
        <w:rPr>
          <w:color w:val="0F0F11"/>
          <w:sz w:val="20"/>
        </w:rPr>
        <w:t>audit opinion.</w:t>
      </w:r>
    </w:p>
    <w:p>
      <w:pPr>
        <w:pStyle w:val="BodyText"/>
        <w:spacing w:before="7"/>
        <w:rPr>
          <w:sz w:val="19"/>
        </w:rPr>
      </w:pPr>
    </w:p>
    <w:p>
      <w:pPr>
        <w:spacing w:before="0"/>
        <w:ind w:left="338" w:right="0" w:firstLine="0"/>
        <w:jc w:val="both"/>
        <w:rPr>
          <w:sz w:val="20"/>
        </w:rPr>
      </w:pPr>
      <w:r>
        <w:rPr>
          <w:color w:val="0F0F11"/>
          <w:sz w:val="20"/>
        </w:rPr>
        <w:t>My opinion does </w:t>
      </w:r>
      <w:r>
        <w:rPr>
          <w:i/>
          <w:color w:val="0F0F11"/>
          <w:sz w:val="20"/>
        </w:rPr>
        <w:t>not </w:t>
      </w:r>
      <w:r>
        <w:rPr>
          <w:color w:val="0F0F11"/>
          <w:sz w:val="20"/>
        </w:rPr>
        <w:t>provide assurance:</w:t>
      </w:r>
    </w:p>
    <w:p>
      <w:pPr>
        <w:pStyle w:val="BodyText"/>
        <w:spacing w:before="5"/>
        <w:rPr>
          <w:sz w:val="25"/>
        </w:rPr>
      </w:pPr>
    </w:p>
    <w:p>
      <w:pPr>
        <w:pStyle w:val="ListParagraph"/>
        <w:numPr>
          <w:ilvl w:val="0"/>
          <w:numId w:val="124"/>
        </w:numPr>
        <w:tabs>
          <w:tab w:pos="900" w:val="left" w:leader="none"/>
        </w:tabs>
        <w:spacing w:line="240" w:lineRule="auto" w:before="0" w:after="0"/>
        <w:ind w:left="900" w:right="0" w:hanging="567"/>
        <w:jc w:val="both"/>
        <w:rPr>
          <w:sz w:val="20"/>
        </w:rPr>
      </w:pPr>
      <w:r>
        <w:rPr>
          <w:color w:val="0F0F11"/>
          <w:sz w:val="20"/>
        </w:rPr>
        <w:t>about the future viability of the</w:t>
      </w:r>
      <w:r>
        <w:rPr>
          <w:color w:val="0F0F11"/>
          <w:spacing w:val="-13"/>
          <w:sz w:val="20"/>
        </w:rPr>
        <w:t> </w:t>
      </w:r>
      <w:r>
        <w:rPr>
          <w:color w:val="0F0F11"/>
          <w:sz w:val="20"/>
        </w:rPr>
        <w:t>Company</w:t>
      </w:r>
    </w:p>
    <w:p>
      <w:pPr>
        <w:pStyle w:val="ListParagraph"/>
        <w:numPr>
          <w:ilvl w:val="0"/>
          <w:numId w:val="124"/>
        </w:numPr>
        <w:tabs>
          <w:tab w:pos="900" w:val="left" w:leader="none"/>
        </w:tabs>
        <w:spacing w:line="240" w:lineRule="auto" w:before="58" w:after="0"/>
        <w:ind w:left="900" w:right="0" w:hanging="567"/>
        <w:jc w:val="both"/>
        <w:rPr>
          <w:sz w:val="20"/>
        </w:rPr>
      </w:pPr>
      <w:r>
        <w:rPr>
          <w:color w:val="0F0F11"/>
          <w:sz w:val="20"/>
        </w:rPr>
        <w:t>that it has carried out its activities effectively, efficiently and</w:t>
      </w:r>
      <w:r>
        <w:rPr>
          <w:color w:val="0F0F11"/>
          <w:spacing w:val="-18"/>
          <w:sz w:val="20"/>
        </w:rPr>
        <w:t> </w:t>
      </w:r>
      <w:r>
        <w:rPr>
          <w:color w:val="0F0F11"/>
          <w:sz w:val="20"/>
        </w:rPr>
        <w:t>economically</w:t>
      </w:r>
    </w:p>
    <w:p>
      <w:pPr>
        <w:pStyle w:val="ListParagraph"/>
        <w:numPr>
          <w:ilvl w:val="0"/>
          <w:numId w:val="124"/>
        </w:numPr>
        <w:tabs>
          <w:tab w:pos="900" w:val="left" w:leader="none"/>
        </w:tabs>
        <w:spacing w:line="240" w:lineRule="auto" w:before="58" w:after="0"/>
        <w:ind w:left="900" w:right="0" w:hanging="567"/>
        <w:jc w:val="both"/>
        <w:rPr>
          <w:sz w:val="20"/>
        </w:rPr>
      </w:pPr>
      <w:r>
        <w:rPr>
          <w:color w:val="0F0F11"/>
          <w:sz w:val="20"/>
        </w:rPr>
        <w:t>about the effectiveness of its internal</w:t>
      </w:r>
      <w:r>
        <w:rPr>
          <w:color w:val="0F0F11"/>
          <w:spacing w:val="-11"/>
          <w:sz w:val="20"/>
        </w:rPr>
        <w:t> </w:t>
      </w:r>
      <w:r>
        <w:rPr>
          <w:color w:val="0F0F11"/>
          <w:sz w:val="20"/>
        </w:rPr>
        <w:t>control</w:t>
      </w:r>
    </w:p>
    <w:p>
      <w:pPr>
        <w:pStyle w:val="ListParagraph"/>
        <w:numPr>
          <w:ilvl w:val="0"/>
          <w:numId w:val="124"/>
        </w:numPr>
        <w:tabs>
          <w:tab w:pos="900" w:val="left" w:leader="none"/>
        </w:tabs>
        <w:spacing w:line="244" w:lineRule="auto" w:before="63" w:after="0"/>
        <w:ind w:left="900" w:right="1129" w:hanging="567"/>
        <w:jc w:val="left"/>
        <w:rPr>
          <w:sz w:val="20"/>
        </w:rPr>
      </w:pPr>
      <w:r>
        <w:rPr>
          <w:color w:val="0F0F11"/>
          <w:sz w:val="20"/>
        </w:rPr>
        <w:t>about the security and controls over the electronic publication of the audited</w:t>
      </w:r>
      <w:r>
        <w:rPr>
          <w:color w:val="0F0F11"/>
          <w:spacing w:val="-14"/>
          <w:sz w:val="20"/>
        </w:rPr>
        <w:t> </w:t>
      </w:r>
      <w:r>
        <w:rPr>
          <w:color w:val="0F0F11"/>
          <w:sz w:val="20"/>
        </w:rPr>
        <w:t>financial statements on any website where they may be</w:t>
      </w:r>
      <w:r>
        <w:rPr>
          <w:color w:val="0F0F11"/>
          <w:spacing w:val="-11"/>
          <w:sz w:val="20"/>
        </w:rPr>
        <w:t> </w:t>
      </w:r>
      <w:r>
        <w:rPr>
          <w:color w:val="0F0F11"/>
          <w:sz w:val="20"/>
        </w:rPr>
        <w:t>presented</w:t>
      </w:r>
    </w:p>
    <w:p>
      <w:pPr>
        <w:pStyle w:val="ListParagraph"/>
        <w:numPr>
          <w:ilvl w:val="0"/>
          <w:numId w:val="124"/>
        </w:numPr>
        <w:tabs>
          <w:tab w:pos="900" w:val="left" w:leader="none"/>
        </w:tabs>
        <w:spacing w:line="240" w:lineRule="auto" w:before="48" w:after="0"/>
        <w:ind w:left="900" w:right="0" w:hanging="567"/>
        <w:jc w:val="both"/>
        <w:rPr>
          <w:sz w:val="20"/>
        </w:rPr>
      </w:pPr>
      <w:r>
        <w:rPr>
          <w:color w:val="0F0F11"/>
          <w:sz w:val="20"/>
        </w:rPr>
        <w:t>about</w:t>
      </w:r>
      <w:r>
        <w:rPr>
          <w:color w:val="0F0F11"/>
          <w:spacing w:val="-7"/>
          <w:sz w:val="20"/>
        </w:rPr>
        <w:t> </w:t>
      </w:r>
      <w:r>
        <w:rPr>
          <w:color w:val="0F0F11"/>
          <w:sz w:val="20"/>
        </w:rPr>
        <w:t>other</w:t>
      </w:r>
      <w:r>
        <w:rPr>
          <w:color w:val="0F0F11"/>
          <w:spacing w:val="1"/>
          <w:sz w:val="20"/>
        </w:rPr>
        <w:t> </w:t>
      </w:r>
      <w:r>
        <w:rPr>
          <w:color w:val="0F0F11"/>
          <w:sz w:val="20"/>
        </w:rPr>
        <w:t>information</w:t>
      </w:r>
      <w:r>
        <w:rPr>
          <w:color w:val="0F0F11"/>
          <w:spacing w:val="2"/>
          <w:sz w:val="20"/>
        </w:rPr>
        <w:t> </w:t>
      </w:r>
      <w:r>
        <w:rPr>
          <w:color w:val="0F0F11"/>
          <w:sz w:val="20"/>
        </w:rPr>
        <w:t>that</w:t>
      </w:r>
      <w:r>
        <w:rPr>
          <w:color w:val="0F0F11"/>
          <w:spacing w:val="-2"/>
          <w:sz w:val="20"/>
        </w:rPr>
        <w:t> </w:t>
      </w:r>
      <w:r>
        <w:rPr>
          <w:color w:val="0F0F11"/>
          <w:sz w:val="20"/>
        </w:rPr>
        <w:t>may</w:t>
      </w:r>
      <w:r>
        <w:rPr>
          <w:color w:val="0F0F11"/>
          <w:spacing w:val="-5"/>
          <w:sz w:val="20"/>
        </w:rPr>
        <w:t> </w:t>
      </w:r>
      <w:r>
        <w:rPr>
          <w:color w:val="0F0F11"/>
          <w:sz w:val="20"/>
        </w:rPr>
        <w:t>have</w:t>
      </w:r>
      <w:r>
        <w:rPr>
          <w:color w:val="0F0F11"/>
          <w:spacing w:val="-1"/>
          <w:sz w:val="20"/>
        </w:rPr>
        <w:t> </w:t>
      </w:r>
      <w:r>
        <w:rPr>
          <w:color w:val="0F0F11"/>
          <w:sz w:val="20"/>
        </w:rPr>
        <w:t>been</w:t>
      </w:r>
      <w:r>
        <w:rPr>
          <w:color w:val="0F0F11"/>
          <w:spacing w:val="-2"/>
          <w:sz w:val="20"/>
        </w:rPr>
        <w:t> </w:t>
      </w:r>
      <w:r>
        <w:rPr>
          <w:color w:val="0F0F11"/>
          <w:sz w:val="20"/>
        </w:rPr>
        <w:t>hyperlinked</w:t>
      </w:r>
      <w:r>
        <w:rPr>
          <w:color w:val="0F0F11"/>
          <w:spacing w:val="-2"/>
          <w:sz w:val="20"/>
        </w:rPr>
        <w:t> </w:t>
      </w:r>
      <w:r>
        <w:rPr>
          <w:color w:val="0F0F11"/>
          <w:sz w:val="20"/>
        </w:rPr>
        <w:t>to/from</w:t>
      </w:r>
      <w:r>
        <w:rPr>
          <w:color w:val="0F0F11"/>
          <w:spacing w:val="-4"/>
          <w:sz w:val="20"/>
        </w:rPr>
        <w:t> </w:t>
      </w:r>
      <w:r>
        <w:rPr>
          <w:color w:val="0F0F11"/>
          <w:sz w:val="20"/>
        </w:rPr>
        <w:t>the</w:t>
      </w:r>
      <w:r>
        <w:rPr>
          <w:color w:val="0F0F11"/>
          <w:spacing w:val="-8"/>
          <w:sz w:val="20"/>
        </w:rPr>
        <w:t> </w:t>
      </w:r>
      <w:r>
        <w:rPr>
          <w:color w:val="0F0F11"/>
          <w:sz w:val="20"/>
        </w:rPr>
        <w:t>financial</w:t>
      </w:r>
      <w:r>
        <w:rPr>
          <w:color w:val="0F0F11"/>
          <w:spacing w:val="2"/>
          <w:sz w:val="20"/>
        </w:rPr>
        <w:t> </w:t>
      </w:r>
      <w:r>
        <w:rPr>
          <w:color w:val="0F0F11"/>
          <w:sz w:val="20"/>
        </w:rPr>
        <w:t>statements</w:t>
      </w:r>
      <w:r>
        <w:rPr>
          <w:color w:val="0F0F11"/>
          <w:spacing w:val="-32"/>
          <w:sz w:val="20"/>
        </w:rPr>
        <w:t> </w:t>
      </w:r>
      <w:r>
        <w:rPr>
          <w:color w:val="343434"/>
          <w:sz w:val="20"/>
        </w:rPr>
        <w:t>.</w:t>
      </w:r>
    </w:p>
    <w:p>
      <w:pPr>
        <w:pStyle w:val="BodyText"/>
        <w:spacing w:before="11"/>
        <w:rPr>
          <w:sz w:val="25"/>
        </w:rPr>
      </w:pPr>
    </w:p>
    <w:p>
      <w:pPr>
        <w:spacing w:before="0"/>
        <w:ind w:left="338" w:right="0" w:firstLine="0"/>
        <w:jc w:val="both"/>
        <w:rPr>
          <w:b/>
          <w:sz w:val="23"/>
        </w:rPr>
      </w:pPr>
      <w:r>
        <w:rPr>
          <w:b/>
          <w:color w:val="0F0F11"/>
          <w:w w:val="105"/>
          <w:sz w:val="23"/>
        </w:rPr>
        <w:t>Independence</w:t>
      </w:r>
    </w:p>
    <w:p>
      <w:pPr>
        <w:pStyle w:val="BodyText"/>
        <w:spacing w:before="4"/>
        <w:rPr>
          <w:b/>
          <w:sz w:val="20"/>
        </w:rPr>
      </w:pPr>
    </w:p>
    <w:p>
      <w:pPr>
        <w:spacing w:before="0"/>
        <w:ind w:left="333" w:right="121" w:firstLine="4"/>
        <w:jc w:val="both"/>
        <w:rPr>
          <w:sz w:val="20"/>
        </w:rPr>
      </w:pPr>
      <w:r>
        <w:rPr>
          <w:color w:val="0F0F11"/>
          <w:sz w:val="20"/>
        </w:rPr>
        <w:t>In</w:t>
      </w:r>
      <w:r>
        <w:rPr>
          <w:color w:val="0F0F11"/>
          <w:spacing w:val="-45"/>
          <w:sz w:val="20"/>
        </w:rPr>
        <w:t> </w:t>
      </w:r>
      <w:r>
        <w:rPr>
          <w:color w:val="0F0F11"/>
          <w:sz w:val="20"/>
        </w:rPr>
        <w:t>conducting my audit, I have complied with the independence requirements of the Australian Auditing Standards, the </w:t>
      </w:r>
      <w:r>
        <w:rPr>
          <w:i/>
          <w:color w:val="0F0F11"/>
          <w:sz w:val="20"/>
        </w:rPr>
        <w:t>Corporations Act 2001 </w:t>
      </w:r>
      <w:r>
        <w:rPr>
          <w:color w:val="0F0F11"/>
          <w:sz w:val="20"/>
        </w:rPr>
        <w:t>and relevant ethical pronouncements. The PF&amp;A Act further promotes independence</w:t>
      </w:r>
      <w:r>
        <w:rPr>
          <w:color w:val="0F0F11"/>
          <w:spacing w:val="8"/>
          <w:sz w:val="20"/>
        </w:rPr>
        <w:t> </w:t>
      </w:r>
      <w:r>
        <w:rPr>
          <w:color w:val="0F0F11"/>
          <w:spacing w:val="2"/>
          <w:sz w:val="20"/>
        </w:rPr>
        <w:t>by</w:t>
      </w:r>
      <w:r>
        <w:rPr>
          <w:color w:val="343434"/>
          <w:spacing w:val="2"/>
          <w:sz w:val="20"/>
        </w:rPr>
        <w:t>:</w:t>
      </w:r>
    </w:p>
    <w:p>
      <w:pPr>
        <w:pStyle w:val="BodyText"/>
        <w:rPr>
          <w:sz w:val="25"/>
        </w:rPr>
      </w:pPr>
    </w:p>
    <w:p>
      <w:pPr>
        <w:pStyle w:val="ListParagraph"/>
        <w:numPr>
          <w:ilvl w:val="0"/>
          <w:numId w:val="124"/>
        </w:numPr>
        <w:tabs>
          <w:tab w:pos="905" w:val="left" w:leader="none"/>
        </w:tabs>
        <w:spacing w:line="240" w:lineRule="auto" w:before="1" w:after="0"/>
        <w:ind w:left="890" w:right="1404" w:hanging="562"/>
        <w:jc w:val="left"/>
        <w:rPr>
          <w:sz w:val="20"/>
        </w:rPr>
      </w:pPr>
      <w:r>
        <w:rPr>
          <w:color w:val="0F0F11"/>
          <w:sz w:val="20"/>
        </w:rPr>
        <w:t>providing that only Parliament, and not the executive government, can remove an Auditor-General</w:t>
      </w:r>
    </w:p>
    <w:p>
      <w:pPr>
        <w:pStyle w:val="ListParagraph"/>
        <w:numPr>
          <w:ilvl w:val="0"/>
          <w:numId w:val="124"/>
        </w:numPr>
        <w:tabs>
          <w:tab w:pos="905" w:val="left" w:leader="none"/>
        </w:tabs>
        <w:spacing w:line="240" w:lineRule="auto" w:before="58" w:after="0"/>
        <w:ind w:left="895" w:right="139" w:hanging="567"/>
        <w:jc w:val="left"/>
        <w:rPr>
          <w:sz w:val="20"/>
        </w:rPr>
      </w:pPr>
      <w:r>
        <w:rPr>
          <w:color w:val="0F0F11"/>
          <w:sz w:val="20"/>
        </w:rPr>
        <w:t>mandating the Auditor-General as auditor of public sector agencies, but precluding the</w:t>
      </w:r>
      <w:r>
        <w:rPr>
          <w:color w:val="0F0F11"/>
          <w:spacing w:val="-29"/>
          <w:sz w:val="20"/>
        </w:rPr>
        <w:t> </w:t>
      </w:r>
      <w:r>
        <w:rPr>
          <w:color w:val="0F0F11"/>
          <w:sz w:val="20"/>
        </w:rPr>
        <w:t>provision of non-audit services, thus ensuring the Auditor-General and the Audit Office of New South Wales are not compromised in their roles by the possibility of losing clients or</w:t>
      </w:r>
      <w:r>
        <w:rPr>
          <w:color w:val="0F0F11"/>
          <w:spacing w:val="10"/>
          <w:sz w:val="20"/>
        </w:rPr>
        <w:t> </w:t>
      </w:r>
      <w:r>
        <w:rPr>
          <w:color w:val="0F0F11"/>
          <w:sz w:val="20"/>
        </w:rPr>
        <w:t>income</w:t>
      </w:r>
      <w:r>
        <w:rPr>
          <w:color w:val="545454"/>
          <w:sz w:val="20"/>
        </w:rPr>
        <w:t>.</w:t>
      </w:r>
    </w:p>
    <w:p>
      <w:pPr>
        <w:pStyle w:val="BodyText"/>
        <w:spacing w:before="7"/>
        <w:rPr>
          <w:sz w:val="24"/>
        </w:rPr>
      </w:pPr>
    </w:p>
    <w:p>
      <w:pPr>
        <w:spacing w:line="242" w:lineRule="auto" w:before="0"/>
        <w:ind w:left="324" w:right="112" w:firstLine="14"/>
        <w:jc w:val="both"/>
        <w:rPr>
          <w:sz w:val="20"/>
        </w:rPr>
      </w:pPr>
      <w:r>
        <w:rPr>
          <w:color w:val="0F0F11"/>
          <w:sz w:val="20"/>
        </w:rPr>
        <w:t>I confirm that the independence declaration required by the </w:t>
      </w:r>
      <w:r>
        <w:rPr>
          <w:i/>
          <w:color w:val="0F0F11"/>
          <w:sz w:val="20"/>
        </w:rPr>
        <w:t>Corporations Act 2001, </w:t>
      </w:r>
      <w:r>
        <w:rPr>
          <w:color w:val="0F0F11"/>
          <w:sz w:val="20"/>
        </w:rPr>
        <w:t>provided to the </w:t>
      </w:r>
      <w:r>
        <w:rPr>
          <w:color w:val="0F0F11"/>
          <w:w w:val="88"/>
          <w:sz w:val="20"/>
        </w:rPr>
        <w:t>Dire</w:t>
      </w:r>
      <w:r>
        <w:rPr>
          <w:color w:val="AFAFB1"/>
          <w:w w:val="88"/>
          <w:sz w:val="20"/>
        </w:rPr>
        <w:t>_</w:t>
      </w:r>
      <w:r>
        <w:rPr>
          <w:color w:val="0F0F11"/>
          <w:w w:val="88"/>
          <w:sz w:val="20"/>
        </w:rPr>
        <w:t>ctors </w:t>
      </w:r>
      <w:r>
        <w:rPr>
          <w:color w:val="0F0F11"/>
          <w:w w:val="98"/>
          <w:sz w:val="20"/>
        </w:rPr>
        <w:t>of </w:t>
      </w:r>
      <w:r>
        <w:rPr>
          <w:color w:val="0F0F11"/>
          <w:w w:val="97"/>
          <w:sz w:val="20"/>
        </w:rPr>
        <w:t>UWS </w:t>
      </w:r>
      <w:r>
        <w:rPr>
          <w:color w:val="0F0F11"/>
          <w:w w:val="96"/>
          <w:sz w:val="20"/>
        </w:rPr>
        <w:t>Early </w:t>
      </w:r>
      <w:r>
        <w:rPr>
          <w:color w:val="0F0F11"/>
          <w:w w:val="97"/>
          <w:sz w:val="20"/>
        </w:rPr>
        <w:t>Learning </w:t>
      </w:r>
      <w:r>
        <w:rPr>
          <w:color w:val="0F0F11"/>
          <w:w w:val="97"/>
          <w:sz w:val="20"/>
        </w:rPr>
        <w:t>Limited </w:t>
      </w:r>
      <w:r>
        <w:rPr>
          <w:color w:val="0F0F11"/>
          <w:w w:val="94"/>
          <w:sz w:val="20"/>
        </w:rPr>
        <w:t>on </w:t>
      </w:r>
      <w:r>
        <w:rPr>
          <w:color w:val="0F0F11"/>
          <w:w w:val="97"/>
          <w:sz w:val="20"/>
        </w:rPr>
        <w:t>19 </w:t>
      </w:r>
      <w:r>
        <w:rPr>
          <w:color w:val="0F0F11"/>
          <w:w w:val="98"/>
          <w:sz w:val="20"/>
        </w:rPr>
        <w:t>April </w:t>
      </w:r>
      <w:r>
        <w:rPr>
          <w:color w:val="0F0F11"/>
          <w:w w:val="96"/>
          <w:sz w:val="20"/>
        </w:rPr>
        <w:t>2013 </w:t>
      </w:r>
      <w:r>
        <w:rPr>
          <w:color w:val="343434"/>
          <w:w w:val="88"/>
          <w:sz w:val="20"/>
        </w:rPr>
        <w:t>, </w:t>
      </w:r>
      <w:r>
        <w:rPr>
          <w:color w:val="0F0F11"/>
          <w:w w:val="98"/>
          <w:sz w:val="20"/>
        </w:rPr>
        <w:t>would  </w:t>
      </w:r>
      <w:r>
        <w:rPr>
          <w:color w:val="0F0F11"/>
          <w:w w:val="97"/>
          <w:sz w:val="20"/>
        </w:rPr>
        <w:t>be </w:t>
      </w:r>
      <w:r>
        <w:rPr>
          <w:color w:val="0F0F11"/>
          <w:w w:val="94"/>
          <w:sz w:val="20"/>
        </w:rPr>
        <w:t>in </w:t>
      </w:r>
      <w:r>
        <w:rPr>
          <w:color w:val="0F0F11"/>
          <w:w w:val="98"/>
          <w:sz w:val="20"/>
        </w:rPr>
        <w:t>the </w:t>
      </w:r>
      <w:r>
        <w:rPr>
          <w:color w:val="0F0F11"/>
          <w:w w:val="97"/>
          <w:sz w:val="20"/>
        </w:rPr>
        <w:t>same </w:t>
      </w:r>
      <w:r>
        <w:rPr>
          <w:color w:val="0F0F11"/>
          <w:w w:val="97"/>
          <w:sz w:val="20"/>
        </w:rPr>
        <w:t>terms  </w:t>
      </w:r>
      <w:r>
        <w:rPr>
          <w:color w:val="0F0F11"/>
          <w:w w:val="94"/>
          <w:sz w:val="20"/>
        </w:rPr>
        <w:t>if </w:t>
      </w:r>
      <w:r>
        <w:rPr>
          <w:color w:val="0F0F11"/>
          <w:w w:val="94"/>
          <w:sz w:val="20"/>
        </w:rPr>
        <w:t>provided </w:t>
      </w:r>
      <w:r>
        <w:rPr>
          <w:color w:val="0F0F11"/>
          <w:w w:val="99"/>
          <w:sz w:val="20"/>
        </w:rPr>
        <w:t>to </w:t>
      </w:r>
      <w:r>
        <w:rPr>
          <w:color w:val="0F0F11"/>
          <w:sz w:val="20"/>
        </w:rPr>
        <w:t>the Directors as at the time of this auditor's report.</w:t>
      </w:r>
    </w:p>
    <w:p>
      <w:pPr>
        <w:pStyle w:val="BodyText"/>
        <w:rPr>
          <w:sz w:val="20"/>
        </w:rPr>
      </w:pPr>
    </w:p>
    <w:p>
      <w:pPr>
        <w:pStyle w:val="BodyText"/>
        <w:spacing w:before="1"/>
        <w:rPr>
          <w:sz w:val="21"/>
        </w:rPr>
      </w:pPr>
      <w:r>
        <w:rPr/>
        <w:drawing>
          <wp:anchor distT="0" distB="0" distL="0" distR="0" allowOverlap="1" layoutInCell="1" locked="0" behindDoc="0" simplePos="0" relativeHeight="5944">
            <wp:simplePos x="0" y="0"/>
            <wp:positionH relativeFrom="page">
              <wp:posOffset>853440</wp:posOffset>
            </wp:positionH>
            <wp:positionV relativeFrom="paragraph">
              <wp:posOffset>179198</wp:posOffset>
            </wp:positionV>
            <wp:extent cx="1950720" cy="390144"/>
            <wp:effectExtent l="0" t="0" r="0" b="0"/>
            <wp:wrapTopAndBottom/>
            <wp:docPr id="107" name="image79.jpeg" descr=""/>
            <wp:cNvGraphicFramePr>
              <a:graphicFrameLocks noChangeAspect="1"/>
            </wp:cNvGraphicFramePr>
            <a:graphic>
              <a:graphicData uri="http://schemas.openxmlformats.org/drawingml/2006/picture">
                <pic:pic>
                  <pic:nvPicPr>
                    <pic:cNvPr id="108" name="image79.jpeg"/>
                    <pic:cNvPicPr/>
                  </pic:nvPicPr>
                  <pic:blipFill>
                    <a:blip r:embed="rId239" cstate="print"/>
                    <a:stretch>
                      <a:fillRect/>
                    </a:stretch>
                  </pic:blipFill>
                  <pic:spPr>
                    <a:xfrm>
                      <a:off x="0" y="0"/>
                      <a:ext cx="1950720" cy="390144"/>
                    </a:xfrm>
                    <a:prstGeom prst="rect">
                      <a:avLst/>
                    </a:prstGeom>
                  </pic:spPr>
                </pic:pic>
              </a:graphicData>
            </a:graphic>
          </wp:anchor>
        </w:drawing>
      </w:r>
    </w:p>
    <w:p>
      <w:pPr>
        <w:pStyle w:val="BodyText"/>
        <w:spacing w:before="1"/>
        <w:rPr>
          <w:sz w:val="19"/>
        </w:rPr>
      </w:pPr>
    </w:p>
    <w:p>
      <w:pPr>
        <w:spacing w:before="0"/>
        <w:ind w:left="319" w:right="7534" w:firstLine="14"/>
        <w:jc w:val="left"/>
        <w:rPr>
          <w:sz w:val="20"/>
        </w:rPr>
      </w:pPr>
      <w:r>
        <w:rPr>
          <w:color w:val="0F0F11"/>
          <w:sz w:val="20"/>
        </w:rPr>
        <w:t>Peter Achterstraat Auditor-General</w:t>
      </w:r>
    </w:p>
    <w:p>
      <w:pPr>
        <w:spacing w:line="225" w:lineRule="auto" w:before="168"/>
        <w:ind w:left="324" w:right="7534" w:hanging="212"/>
        <w:jc w:val="left"/>
        <w:rPr>
          <w:sz w:val="20"/>
        </w:rPr>
      </w:pPr>
      <w:r>
        <w:rPr>
          <w:rFonts w:ascii="Times New Roman"/>
          <w:color w:val="3321A5"/>
          <w:sz w:val="28"/>
        </w:rPr>
        <w:t>2... </w:t>
      </w:r>
      <w:r>
        <w:rPr>
          <w:color w:val="0F0F11"/>
          <w:sz w:val="20"/>
        </w:rPr>
        <w:t>April 2013 SYDNEY</w:t>
      </w:r>
    </w:p>
    <w:p>
      <w:pPr>
        <w:spacing w:after="0" w:line="225" w:lineRule="auto"/>
        <w:jc w:val="left"/>
        <w:rPr>
          <w:sz w:val="20"/>
        </w:rPr>
        <w:sectPr>
          <w:headerReference w:type="default" r:id="rId237"/>
          <w:footerReference w:type="default" r:id="rId238"/>
          <w:pgSz w:w="11910" w:h="16840"/>
          <w:pgMar w:header="0" w:footer="501" w:top="1480" w:bottom="700" w:left="1020" w:right="1380"/>
          <w:pgNumType w:start="25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before="56"/>
        <w:ind w:left="2883" w:right="2884" w:firstLine="0"/>
        <w:jc w:val="center"/>
        <w:rPr>
          <w:rFonts w:ascii="Calibri"/>
          <w:sz w:val="22"/>
        </w:rPr>
      </w:pPr>
      <w:r>
        <w:rPr>
          <w:rFonts w:ascii="Calibri"/>
          <w:sz w:val="22"/>
        </w:rPr>
        <w:t>This page is intentionally blank</w:t>
      </w:r>
    </w:p>
    <w:p>
      <w:pPr>
        <w:spacing w:after="0"/>
        <w:jc w:val="center"/>
        <w:rPr>
          <w:rFonts w:ascii="Calibri"/>
          <w:sz w:val="22"/>
        </w:rPr>
        <w:sectPr>
          <w:headerReference w:type="default" r:id="rId240"/>
          <w:footerReference w:type="default" r:id="rId241"/>
          <w:pgSz w:w="11910" w:h="16840"/>
          <w:pgMar w:header="0" w:footer="507" w:top="1580" w:bottom="700" w:left="1680" w:right="1680"/>
          <w:pgNumType w:start="252"/>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
        <w:rPr>
          <w:rFonts w:ascii="Calibri"/>
          <w:sz w:val="26"/>
        </w:rPr>
      </w:pPr>
    </w:p>
    <w:p>
      <w:pPr>
        <w:pStyle w:val="Heading1"/>
        <w:ind w:left="109" w:right="2116"/>
      </w:pPr>
      <w:r>
        <w:rPr/>
        <w:t>Whitlam Institute within the University of Western Sydney Limited</w:t>
      </w:r>
    </w:p>
    <w:p>
      <w:pPr>
        <w:spacing w:line="228" w:lineRule="exact" w:before="0"/>
        <w:ind w:left="109" w:right="125" w:firstLine="0"/>
        <w:jc w:val="left"/>
        <w:rPr>
          <w:b/>
          <w:sz w:val="20"/>
        </w:rPr>
      </w:pPr>
      <w:r>
        <w:rPr>
          <w:b/>
          <w:sz w:val="20"/>
        </w:rPr>
        <w:t>ABN: 50 100 342 309</w:t>
      </w:r>
    </w:p>
    <w:p>
      <w:pPr>
        <w:pStyle w:val="BodyText"/>
        <w:rPr>
          <w:b/>
          <w:sz w:val="20"/>
        </w:rPr>
      </w:pPr>
    </w:p>
    <w:p>
      <w:pPr>
        <w:pStyle w:val="BodyText"/>
        <w:rPr>
          <w:b/>
          <w:sz w:val="20"/>
        </w:rPr>
      </w:pPr>
    </w:p>
    <w:p>
      <w:pPr>
        <w:pStyle w:val="BodyText"/>
        <w:spacing w:before="1"/>
        <w:rPr>
          <w:b/>
          <w:sz w:val="16"/>
        </w:rPr>
      </w:pPr>
    </w:p>
    <w:p>
      <w:pPr>
        <w:spacing w:before="0"/>
        <w:ind w:left="109" w:right="125" w:firstLine="0"/>
        <w:jc w:val="left"/>
        <w:rPr>
          <w:b/>
          <w:sz w:val="28"/>
        </w:rPr>
      </w:pPr>
      <w:r>
        <w:rPr>
          <w:b/>
          <w:sz w:val="28"/>
        </w:rPr>
        <w:t>Financial statements</w:t>
      </w:r>
    </w:p>
    <w:p>
      <w:pPr>
        <w:spacing w:before="229"/>
        <w:ind w:left="109" w:right="125" w:firstLine="0"/>
        <w:jc w:val="left"/>
        <w:rPr>
          <w:b/>
          <w:sz w:val="20"/>
        </w:rPr>
      </w:pPr>
      <w:r>
        <w:rPr>
          <w:b/>
          <w:sz w:val="20"/>
        </w:rPr>
        <w:t>For the Year Ended 31 December 2012</w:t>
      </w:r>
    </w:p>
    <w:p>
      <w:pPr>
        <w:pStyle w:val="BodyText"/>
        <w:rPr>
          <w:b/>
          <w:sz w:val="20"/>
        </w:rPr>
      </w:pPr>
    </w:p>
    <w:p>
      <w:pPr>
        <w:pStyle w:val="BodyText"/>
        <w:spacing w:before="128"/>
        <w:ind w:left="109" w:right="125"/>
      </w:pPr>
      <w:r>
        <w:rPr/>
        <w:t>These financial statements of the Whitlam Institute W ithin the University of Western Sydney Limited are presented as an individual entity. The financial statements are presented in Australian currency.</w:t>
      </w:r>
    </w:p>
    <w:p>
      <w:pPr>
        <w:pStyle w:val="BodyText"/>
        <w:spacing w:before="7"/>
        <w:rPr>
          <w:sz w:val="14"/>
        </w:rPr>
      </w:pPr>
    </w:p>
    <w:p>
      <w:pPr>
        <w:pStyle w:val="BodyText"/>
        <w:ind w:left="109" w:right="96"/>
      </w:pPr>
      <w:r>
        <w:rPr/>
        <w:t>The registered office and principal place of business of the Whitlam Institute Within the University of Western Sydney Limited is:</w:t>
      </w:r>
    </w:p>
    <w:p>
      <w:pPr>
        <w:pStyle w:val="BodyText"/>
        <w:spacing w:before="7"/>
        <w:rPr>
          <w:sz w:val="14"/>
        </w:rPr>
      </w:pPr>
    </w:p>
    <w:p>
      <w:pPr>
        <w:pStyle w:val="BodyText"/>
        <w:ind w:left="109" w:right="4799"/>
      </w:pPr>
      <w:r>
        <w:rPr/>
        <w:t>Whitlam Institute Within the University of Western Sydney Limited University of Western Sydney</w:t>
      </w:r>
    </w:p>
    <w:p>
      <w:pPr>
        <w:pStyle w:val="BodyText"/>
        <w:ind w:left="109" w:right="7353"/>
        <w:jc w:val="both"/>
      </w:pPr>
      <w:r>
        <w:rPr/>
        <w:t>Building EZ, Parramatta Campus Cnr James Ruse Dr &amp; Victoria Rd Rydalmere NSW 2116</w:t>
      </w:r>
    </w:p>
    <w:p>
      <w:pPr>
        <w:pStyle w:val="BodyText"/>
      </w:pPr>
    </w:p>
    <w:p>
      <w:pPr>
        <w:pStyle w:val="BodyText"/>
        <w:spacing w:before="3"/>
        <w:rPr>
          <w:sz w:val="21"/>
        </w:rPr>
      </w:pPr>
    </w:p>
    <w:p>
      <w:pPr>
        <w:pStyle w:val="BodyText"/>
        <w:ind w:left="109" w:right="125"/>
      </w:pPr>
      <w:r>
        <w:rPr/>
        <w:t>Registered postal address is:</w:t>
      </w:r>
    </w:p>
    <w:p>
      <w:pPr>
        <w:pStyle w:val="BodyText"/>
        <w:spacing w:before="8"/>
        <w:rPr>
          <w:sz w:val="14"/>
        </w:rPr>
      </w:pPr>
    </w:p>
    <w:p>
      <w:pPr>
        <w:pStyle w:val="BodyText"/>
        <w:ind w:left="109" w:right="4799"/>
      </w:pPr>
      <w:r>
        <w:rPr/>
        <w:t>Whitlam Institute Within the University of Western Sydney Limited Locked Bag 1797</w:t>
      </w:r>
    </w:p>
    <w:p>
      <w:pPr>
        <w:pStyle w:val="BodyText"/>
        <w:spacing w:line="206" w:lineRule="exact"/>
        <w:ind w:left="109" w:right="125"/>
      </w:pPr>
      <w:r>
        <w:rPr/>
        <w:t>Penrith NSW 2751</w:t>
      </w:r>
    </w:p>
    <w:p>
      <w:pPr>
        <w:pStyle w:val="BodyText"/>
        <w:spacing w:before="8"/>
        <w:rPr>
          <w:sz w:val="14"/>
        </w:rPr>
      </w:pPr>
    </w:p>
    <w:p>
      <w:pPr>
        <w:pStyle w:val="BodyText"/>
        <w:ind w:left="109" w:right="775"/>
      </w:pPr>
      <w:r>
        <w:rPr/>
        <w:t>A description of the nature of the Com pany's operations and it principal activities is included in the director's report which is not part of these financial statements.</w:t>
      </w:r>
    </w:p>
    <w:p>
      <w:pPr>
        <w:pStyle w:val="BodyText"/>
        <w:spacing w:before="7"/>
        <w:rPr>
          <w:sz w:val="14"/>
        </w:rPr>
      </w:pPr>
    </w:p>
    <w:p>
      <w:pPr>
        <w:pStyle w:val="BodyText"/>
        <w:ind w:left="109" w:right="405"/>
      </w:pPr>
      <w:r>
        <w:rPr/>
        <w:t>These financial statements were authorised for issue by the directors on 28 March 2013. The directors have the power to amend and reissue the financial statements.</w:t>
      </w:r>
    </w:p>
    <w:p>
      <w:pPr>
        <w:spacing w:after="0"/>
        <w:sectPr>
          <w:headerReference w:type="default" r:id="rId242"/>
          <w:footerReference w:type="default" r:id="rId243"/>
          <w:pgSz w:w="11910" w:h="16840"/>
          <w:pgMar w:header="0" w:footer="507" w:top="1600" w:bottom="700" w:left="900" w:right="860"/>
          <w:pgNumType w:start="253"/>
        </w:sectPr>
      </w:pPr>
    </w:p>
    <w:p>
      <w:pPr>
        <w:pStyle w:val="BodyText"/>
        <w:spacing w:before="2"/>
        <w:rPr>
          <w:sz w:val="24"/>
        </w:rPr>
      </w:pPr>
    </w:p>
    <w:p>
      <w:pPr>
        <w:spacing w:before="64"/>
        <w:ind w:left="107" w:right="125" w:firstLine="0"/>
        <w:jc w:val="left"/>
        <w:rPr>
          <w:b/>
          <w:sz w:val="28"/>
        </w:rPr>
      </w:pPr>
      <w:r>
        <w:rPr>
          <w:b/>
          <w:sz w:val="28"/>
        </w:rPr>
        <w:t>Director's report</w:t>
      </w:r>
    </w:p>
    <w:p>
      <w:pPr>
        <w:pStyle w:val="Heading6"/>
      </w:pPr>
      <w:r>
        <w:rPr/>
        <w:t>31 December 2012</w:t>
      </w:r>
    </w:p>
    <w:p>
      <w:pPr>
        <w:pStyle w:val="BodyText"/>
        <w:spacing w:before="145"/>
        <w:ind w:left="504" w:right="125" w:hanging="1"/>
      </w:pPr>
      <w:r>
        <w:rPr/>
        <w:t>Your directors present their report on Whitlam Institute within the University of Western Sydney Limited for the financial year ended  31 December 2012.</w:t>
      </w:r>
    </w:p>
    <w:p>
      <w:pPr>
        <w:pStyle w:val="Heading9"/>
        <w:spacing w:before="146"/>
        <w:ind w:left="503" w:right="125"/>
      </w:pPr>
      <w:r>
        <w:rPr/>
        <w:t>Directors</w:t>
      </w:r>
    </w:p>
    <w:p>
      <w:pPr>
        <w:pStyle w:val="BodyText"/>
        <w:spacing w:line="340" w:lineRule="atLeast" w:before="13"/>
        <w:ind w:left="504" w:right="1391"/>
      </w:pPr>
      <w:r>
        <w:rPr/>
        <w:t>The names of each person who has been a director during the year and to the date of this report are: Senator The Hon. John Faulkner</w:t>
      </w:r>
    </w:p>
    <w:p>
      <w:pPr>
        <w:pStyle w:val="BodyText"/>
        <w:spacing w:line="206" w:lineRule="exact"/>
        <w:ind w:left="504" w:right="125"/>
      </w:pPr>
      <w:r>
        <w:rPr/>
        <w:t>Mr Geoffrey Roberson</w:t>
      </w:r>
    </w:p>
    <w:p>
      <w:pPr>
        <w:pStyle w:val="BodyText"/>
        <w:ind w:left="504" w:right="7515"/>
      </w:pPr>
      <w:r>
        <w:rPr/>
        <w:t>Ms Patricia Amphlett OAM Prof. Janice Reid AM</w:t>
      </w:r>
    </w:p>
    <w:p>
      <w:pPr>
        <w:pStyle w:val="BodyText"/>
        <w:ind w:left="504" w:right="7825"/>
      </w:pPr>
      <w:r>
        <w:rPr/>
        <w:t>Ms Gabrielle Trainor Mr Talal Yassine OAM Mr John Wells</w:t>
      </w:r>
    </w:p>
    <w:p>
      <w:pPr>
        <w:pStyle w:val="BodyText"/>
        <w:ind w:left="504" w:right="7975"/>
      </w:pPr>
      <w:r>
        <w:rPr/>
        <w:t>Mr Nicholas Whitlam Dr Kerry Schott</w:t>
      </w:r>
    </w:p>
    <w:p>
      <w:pPr>
        <w:pStyle w:val="BodyText"/>
        <w:spacing w:before="145"/>
        <w:ind w:left="504" w:right="125"/>
      </w:pPr>
      <w:r>
        <w:rPr/>
        <w:t>Directors have been in office since the start of the financial year to the date of this report unless otherwise stated.</w:t>
      </w:r>
    </w:p>
    <w:p>
      <w:pPr>
        <w:pStyle w:val="Heading9"/>
        <w:spacing w:line="207" w:lineRule="exact" w:before="146"/>
        <w:ind w:left="503" w:right="125"/>
      </w:pPr>
      <w:r>
        <w:rPr/>
        <w:t>Company secretary</w:t>
      </w:r>
    </w:p>
    <w:p>
      <w:pPr>
        <w:pStyle w:val="BodyText"/>
        <w:ind w:left="503" w:right="125"/>
      </w:pPr>
      <w:r>
        <w:rPr/>
        <w:t>Ms Sandra Stevenson held the poi tion of Company Secretary for the w hole of the financial year and to the date of this report.</w:t>
      </w:r>
    </w:p>
    <w:p>
      <w:pPr>
        <w:pStyle w:val="Heading9"/>
        <w:spacing w:line="207" w:lineRule="exact" w:before="146"/>
        <w:ind w:left="502" w:right="125"/>
      </w:pPr>
      <w:r>
        <w:rPr/>
        <w:t>Principal activities</w:t>
      </w:r>
    </w:p>
    <w:p>
      <w:pPr>
        <w:pStyle w:val="BodyText"/>
        <w:ind w:left="504" w:right="111"/>
        <w:jc w:val="both"/>
      </w:pPr>
      <w:r>
        <w:rPr/>
        <w:t>The principal activity of the Company is to manage the W hitlam Institute within the Universit y of W estern Sydney Limited and to act as Trustee of the Trust. The main function of the Company is fundraising in support of the University, and the effective management control of all Trust funds held within the Whitlam Institute Trust account.</w:t>
      </w:r>
    </w:p>
    <w:p>
      <w:pPr>
        <w:pStyle w:val="BodyText"/>
        <w:spacing w:before="146"/>
        <w:ind w:left="504" w:right="125" w:hanging="1"/>
      </w:pPr>
      <w:r>
        <w:rPr/>
        <w:t>The Whitlam Institute works as an educator, policy influencer and research instit ute. The Institute bridges the historical legacy of Gough W htilam's years in public life and the contemporar y relevance of the W hitlam Program to public discourse and policy. It links policies w ith people - connecting communities with the decisions and policies that affect their lives. The Whitlam Institute is guided by the 'three great aims' that drove the Whitlam Program of 1972.  They are to promote equality, to involve the people of Australia in the decision-making proc esses of our land, and to liberate the talents and uplift the horizons of the Australian people.</w:t>
      </w:r>
    </w:p>
    <w:p>
      <w:pPr>
        <w:pStyle w:val="BodyText"/>
        <w:spacing w:before="146"/>
        <w:ind w:left="504" w:right="113"/>
        <w:jc w:val="both"/>
      </w:pPr>
      <w:r>
        <w:rPr/>
        <w:t>The Whitlam Institute supports Universi ty of Western Sydney development by working with schools to bring know ledge to life in the community . In a range of practical w ays we make scholarship relevant to everyday lives. We are inspired by the E.G W hitlam Prime Ministerial Collection which represents the life's work of an Au stralian statesmen who has pursued his convictions w ith a constant commitment to community engagement and a determination to put w ords into action.</w:t>
      </w:r>
    </w:p>
    <w:p>
      <w:pPr>
        <w:pStyle w:val="BodyText"/>
        <w:spacing w:before="146"/>
        <w:ind w:left="504" w:right="125"/>
      </w:pPr>
      <w:r>
        <w:rPr/>
        <w:t>No significant changes in the nature of the Company's activity occurred during the financial year.</w:t>
      </w:r>
    </w:p>
    <w:p>
      <w:pPr>
        <w:pStyle w:val="Heading9"/>
        <w:spacing w:line="207" w:lineRule="exact" w:before="145"/>
        <w:ind w:left="502" w:right="125"/>
      </w:pPr>
      <w:r>
        <w:rPr/>
        <w:t>Review of operations</w:t>
      </w:r>
    </w:p>
    <w:p>
      <w:pPr>
        <w:pStyle w:val="BodyText"/>
        <w:spacing w:line="207" w:lineRule="exact"/>
        <w:ind w:left="504" w:right="125"/>
      </w:pPr>
      <w:r>
        <w:rPr/>
        <w:t>The profit for the year ended 31 December 2012 is $nil (2011: $nil).</w:t>
      </w:r>
    </w:p>
    <w:p>
      <w:pPr>
        <w:pStyle w:val="Heading9"/>
        <w:spacing w:line="207" w:lineRule="exact" w:before="146"/>
        <w:ind w:left="502" w:right="125"/>
      </w:pPr>
      <w:r>
        <w:rPr/>
        <w:t>Dividends</w:t>
      </w:r>
    </w:p>
    <w:p>
      <w:pPr>
        <w:pStyle w:val="BodyText"/>
        <w:ind w:left="504" w:right="125" w:hanging="1"/>
      </w:pPr>
      <w:r>
        <w:rPr/>
        <w:t>No dividend is paid or pay able since the commencement of the financial year and up to and including the date of signing this report (2011: $nil).</w:t>
      </w:r>
    </w:p>
    <w:p>
      <w:pPr>
        <w:pStyle w:val="Heading9"/>
        <w:spacing w:line="207" w:lineRule="exact" w:before="146"/>
        <w:ind w:left="502" w:right="125"/>
      </w:pPr>
      <w:r>
        <w:rPr/>
        <w:t>Events after the reporting date</w:t>
      </w:r>
    </w:p>
    <w:p>
      <w:pPr>
        <w:pStyle w:val="BodyText"/>
        <w:tabs>
          <w:tab w:pos="6623" w:val="left" w:leader="none"/>
        </w:tabs>
        <w:ind w:left="503" w:right="110"/>
      </w:pPr>
      <w:r>
        <w:rPr/>
        <w:t>No  matters or circumstances have   arisen since the end of</w:t>
      </w:r>
      <w:r>
        <w:rPr>
          <w:spacing w:val="42"/>
        </w:rPr>
        <w:t> </w:t>
      </w:r>
      <w:r>
        <w:rPr/>
        <w:t>the</w:t>
      </w:r>
      <w:r>
        <w:rPr>
          <w:spacing w:val="-4"/>
        </w:rPr>
        <w:t> </w:t>
      </w:r>
      <w:r>
        <w:rPr/>
        <w:t>financial</w:t>
        <w:tab/>
        <w:t>year which  significantly affected</w:t>
      </w:r>
      <w:r>
        <w:rPr>
          <w:spacing w:val="33"/>
        </w:rPr>
        <w:t> </w:t>
      </w:r>
      <w:r>
        <w:rPr/>
        <w:t>or</w:t>
      </w:r>
      <w:r>
        <w:rPr>
          <w:spacing w:val="-6"/>
        </w:rPr>
        <w:t> </w:t>
      </w:r>
      <w:r>
        <w:rPr/>
        <w:t>could</w:t>
      </w:r>
      <w:r>
        <w:rPr>
          <w:spacing w:val="-1"/>
          <w:w w:val="99"/>
        </w:rPr>
        <w:t> </w:t>
      </w:r>
      <w:r>
        <w:rPr/>
        <w:t>significantly affect the operations of the Compan </w:t>
      </w:r>
      <w:r>
        <w:rPr>
          <w:spacing w:val="-3"/>
        </w:rPr>
        <w:t>y, </w:t>
      </w:r>
      <w:r>
        <w:rPr/>
        <w:t>the results of those operations or the state of affairs of the Company in future financial</w:t>
      </w:r>
      <w:r>
        <w:rPr>
          <w:spacing w:val="-1"/>
        </w:rPr>
        <w:t> </w:t>
      </w:r>
      <w:r>
        <w:rPr/>
        <w:t>years.</w:t>
      </w:r>
    </w:p>
    <w:p>
      <w:pPr>
        <w:pStyle w:val="Heading9"/>
        <w:spacing w:line="207" w:lineRule="exact" w:before="146"/>
        <w:ind w:left="502" w:right="125"/>
      </w:pPr>
      <w:r>
        <w:rPr/>
        <w:t>Future developments</w:t>
      </w:r>
    </w:p>
    <w:p>
      <w:pPr>
        <w:pStyle w:val="BodyText"/>
        <w:spacing w:line="207" w:lineRule="exact"/>
        <w:ind w:left="503" w:right="125"/>
      </w:pPr>
      <w:r>
        <w:rPr/>
        <w:t>Future developments are not expected to significantly affect the future operations of the Company.</w:t>
      </w:r>
    </w:p>
    <w:p>
      <w:pPr>
        <w:pStyle w:val="Heading9"/>
        <w:spacing w:line="207" w:lineRule="exact" w:before="145"/>
        <w:ind w:left="502" w:right="125"/>
      </w:pPr>
      <w:r>
        <w:rPr/>
        <w:t>Environmental matters</w:t>
      </w:r>
    </w:p>
    <w:p>
      <w:pPr>
        <w:pStyle w:val="BodyText"/>
        <w:tabs>
          <w:tab w:pos="9514" w:val="left" w:leader="none"/>
        </w:tabs>
        <w:ind w:left="503" w:right="179"/>
      </w:pPr>
      <w:r>
        <w:rPr/>
        <w:t>The  Company's  operations  are not r  egulated  by  any  significant environment al  regulations under </w:t>
      </w:r>
      <w:r>
        <w:rPr>
          <w:spacing w:val="28"/>
        </w:rPr>
        <w:t> </w:t>
      </w:r>
      <w:r>
        <w:rPr/>
        <w:t>a</w:t>
      </w:r>
      <w:r>
        <w:rPr>
          <w:spacing w:val="-4"/>
        </w:rPr>
        <w:t> </w:t>
      </w:r>
      <w:r>
        <w:rPr/>
        <w:t>law</w:t>
        <w:tab/>
        <w:t>of</w:t>
      </w:r>
      <w:r>
        <w:rPr>
          <w:spacing w:val="-5"/>
        </w:rPr>
        <w:t> </w:t>
      </w:r>
      <w:r>
        <w:rPr/>
        <w:t>the</w:t>
      </w:r>
      <w:r>
        <w:rPr>
          <w:spacing w:val="-1"/>
        </w:rPr>
        <w:t> </w:t>
      </w:r>
      <w:r>
        <w:rPr/>
        <w:t>Commonwealth or of a state or</w:t>
      </w:r>
      <w:r>
        <w:rPr>
          <w:spacing w:val="-1"/>
        </w:rPr>
        <w:t> </w:t>
      </w:r>
      <w:r>
        <w:rPr/>
        <w:t>territory.</w:t>
      </w:r>
    </w:p>
    <w:p>
      <w:pPr>
        <w:pStyle w:val="Heading9"/>
        <w:spacing w:line="207" w:lineRule="exact" w:before="146"/>
        <w:ind w:left="502" w:right="125"/>
      </w:pPr>
      <w:r>
        <w:rPr/>
        <w:t>Auditors independence declaration</w:t>
      </w:r>
    </w:p>
    <w:p>
      <w:pPr>
        <w:pStyle w:val="BodyText"/>
        <w:spacing w:line="207" w:lineRule="exact"/>
        <w:ind w:left="504" w:right="125" w:hanging="1"/>
      </w:pPr>
      <w:r>
        <w:rPr/>
        <w:t>The Audit Office of New South Wales continues in office in accordance with section 327 of the </w:t>
      </w:r>
      <w:r>
        <w:rPr>
          <w:i/>
        </w:rPr>
        <w:t>Corporations Act 2001</w:t>
      </w:r>
      <w:r>
        <w:rPr/>
        <w:t>.</w:t>
      </w:r>
    </w:p>
    <w:p>
      <w:pPr>
        <w:pStyle w:val="BodyText"/>
        <w:spacing w:before="146"/>
        <w:ind w:left="503" w:right="334"/>
      </w:pPr>
      <w:r>
        <w:rPr/>
        <w:t>The lead auditors independence declaration for the year ended 31 December 2012 has been received and can be found on page 259 of the financial statements.</w:t>
      </w:r>
    </w:p>
    <w:p>
      <w:pPr>
        <w:spacing w:after="0"/>
        <w:sectPr>
          <w:headerReference w:type="default" r:id="rId244"/>
          <w:pgSz w:w="11910" w:h="16840"/>
          <w:pgMar w:header="1038" w:footer="507" w:top="1460" w:bottom="700" w:left="900" w:right="860"/>
        </w:sectPr>
      </w:pPr>
    </w:p>
    <w:p>
      <w:pPr>
        <w:pStyle w:val="BodyText"/>
        <w:spacing w:before="2"/>
        <w:rPr>
          <w:sz w:val="24"/>
        </w:rPr>
      </w:pPr>
    </w:p>
    <w:p>
      <w:pPr>
        <w:pStyle w:val="Heading3"/>
        <w:spacing w:before="64"/>
        <w:ind w:right="115"/>
      </w:pPr>
      <w:r>
        <w:rPr/>
        <w:t>Director's report</w:t>
      </w:r>
    </w:p>
    <w:p>
      <w:pPr>
        <w:pStyle w:val="Heading6"/>
        <w:ind w:right="115"/>
      </w:pPr>
      <w:r>
        <w:rPr/>
        <w:t>31 December 2012</w:t>
      </w:r>
    </w:p>
    <w:p>
      <w:pPr>
        <w:pStyle w:val="BodyText"/>
        <w:spacing w:before="11"/>
        <w:rPr>
          <w:b/>
          <w:sz w:val="24"/>
        </w:rPr>
      </w:pPr>
    </w:p>
    <w:p>
      <w:pPr>
        <w:pStyle w:val="Heading9"/>
        <w:ind w:left="502" w:right="115"/>
      </w:pPr>
      <w:r>
        <w:rPr/>
        <w:t>Information on directors</w:t>
      </w:r>
    </w:p>
    <w:p>
      <w:pPr>
        <w:pStyle w:val="BodyText"/>
        <w:tabs>
          <w:tab w:pos="3813" w:val="left" w:leader="none"/>
        </w:tabs>
        <w:spacing w:before="140"/>
        <w:ind w:left="504" w:right="115"/>
      </w:pPr>
      <w:r>
        <w:rPr/>
        <w:t>Senator The Hon.</w:t>
      </w:r>
      <w:r>
        <w:rPr>
          <w:spacing w:val="-1"/>
        </w:rPr>
        <w:t> </w:t>
      </w:r>
      <w:r>
        <w:rPr/>
        <w:t>John</w:t>
      </w:r>
      <w:r>
        <w:rPr>
          <w:spacing w:val="-1"/>
        </w:rPr>
        <w:t> </w:t>
      </w:r>
      <w:r>
        <w:rPr/>
        <w:t>Faulkner</w:t>
        <w:tab/>
        <w:t>BA, DipEd (MacQuarie).</w:t>
      </w:r>
      <w:r>
        <w:rPr>
          <w:spacing w:val="49"/>
        </w:rPr>
        <w:t> </w:t>
      </w:r>
      <w:r>
        <w:rPr/>
        <w:t>Chair.</w:t>
      </w:r>
    </w:p>
    <w:p>
      <w:pPr>
        <w:pStyle w:val="BodyText"/>
        <w:tabs>
          <w:tab w:pos="3813" w:val="left" w:leader="none"/>
        </w:tabs>
        <w:spacing w:before="83"/>
        <w:ind w:left="3813" w:right="175" w:hanging="3310"/>
      </w:pPr>
      <w:r>
        <w:rPr/>
        <w:t>Experience</w:t>
        <w:tab/>
        <w:t>Appointed as Director 8 March 2011. Senator the Hon. John Faulkner</w:t>
      </w:r>
      <w:r>
        <w:rPr>
          <w:spacing w:val="-1"/>
        </w:rPr>
        <w:t> </w:t>
      </w:r>
      <w:r>
        <w:rPr/>
        <w:t>is</w:t>
      </w:r>
      <w:r>
        <w:rPr>
          <w:spacing w:val="-1"/>
        </w:rPr>
        <w:t> </w:t>
      </w:r>
      <w:r>
        <w:rPr/>
        <w:t>a</w:t>
      </w:r>
      <w:r>
        <w:rPr>
          <w:w w:val="99"/>
        </w:rPr>
        <w:t> </w:t>
      </w:r>
      <w:r>
        <w:rPr/>
        <w:t>Labor Senator for New South Wales. Since his election to the Senate in 1989, Senator Faulkner has held a number of ministries, serving as Minister for Veterans' Affairs, Minister for Defence Science and Personnel, Minister for the Environment, Sport and Territories, Cabinet Secretary, Special Minister of State and Minister for Defence. He served as Leader of the Opposition in the Senate from 1996 to 2004. He has also held a range of senior positions within the Australian Labor Party, including Nationa President of the party, twenty years as a member of its National Executive and nine years as Assistant General Secretary of the New South Wales Branch. Senator Faulkner is well versed in, and passionate about the history of the Australian Labor Party. Prior to his political career, Senator Faulkner worked as a teacher of children with severe</w:t>
      </w:r>
      <w:r>
        <w:rPr>
          <w:spacing w:val="-1"/>
        </w:rPr>
        <w:t> </w:t>
      </w:r>
      <w:r>
        <w:rPr/>
        <w:t>disabilities.</w:t>
      </w:r>
    </w:p>
    <w:p>
      <w:pPr>
        <w:pStyle w:val="BodyText"/>
        <w:tabs>
          <w:tab w:pos="3813" w:val="left" w:leader="none"/>
        </w:tabs>
        <w:spacing w:before="140"/>
        <w:ind w:left="504" w:right="115"/>
      </w:pPr>
      <w:r>
        <w:rPr/>
        <w:t>Mr</w:t>
      </w:r>
      <w:r>
        <w:rPr>
          <w:spacing w:val="-1"/>
        </w:rPr>
        <w:t> </w:t>
      </w:r>
      <w:r>
        <w:rPr/>
        <w:t>Geoffrey</w:t>
      </w:r>
      <w:r>
        <w:rPr>
          <w:spacing w:val="-1"/>
        </w:rPr>
        <w:t> </w:t>
      </w:r>
      <w:r>
        <w:rPr/>
        <w:t>Roberson</w:t>
        <w:tab/>
        <w:t>HonDLitt (UWS).</w:t>
      </w:r>
      <w:r>
        <w:rPr>
          <w:spacing w:val="49"/>
        </w:rPr>
        <w:t> </w:t>
      </w:r>
      <w:r>
        <w:rPr/>
        <w:t>Non-Executive.</w:t>
      </w:r>
    </w:p>
    <w:p>
      <w:pPr>
        <w:pStyle w:val="BodyText"/>
        <w:tabs>
          <w:tab w:pos="3813" w:val="left" w:leader="none"/>
        </w:tabs>
        <w:spacing w:before="83"/>
        <w:ind w:left="3813" w:right="235" w:hanging="3310"/>
      </w:pPr>
      <w:r>
        <w:rPr/>
        <w:t>Experience</w:t>
        <w:tab/>
        <w:t>Appointed as Director 26 April 2002. Mr Geoffrey Roberson is a</w:t>
      </w:r>
      <w:r>
        <w:rPr>
          <w:spacing w:val="-1"/>
        </w:rPr>
        <w:t> </w:t>
      </w:r>
      <w:r>
        <w:rPr/>
        <w:t>solicitor,</w:t>
      </w:r>
      <w:r>
        <w:rPr>
          <w:spacing w:val="-1"/>
        </w:rPr>
        <w:t> </w:t>
      </w:r>
      <w:r>
        <w:rPr/>
        <w:t>an</w:t>
      </w:r>
      <w:r>
        <w:rPr>
          <w:w w:val="99"/>
        </w:rPr>
        <w:t> </w:t>
      </w:r>
      <w:r>
        <w:rPr/>
        <w:t>Accredited Specialist in Commercial Litigation and Chairman of Champion Legal Pty Limited, a Sydney-based law firm. He chairs and serves on a number of company</w:t>
      </w:r>
      <w:r>
        <w:rPr>
          <w:spacing w:val="-1"/>
        </w:rPr>
        <w:t> </w:t>
      </w:r>
      <w:r>
        <w:rPr/>
        <w:t>Boards.</w:t>
      </w:r>
    </w:p>
    <w:p>
      <w:pPr>
        <w:pStyle w:val="BodyText"/>
        <w:tabs>
          <w:tab w:pos="3813" w:val="left" w:leader="none"/>
        </w:tabs>
        <w:spacing w:before="140"/>
        <w:ind w:left="503" w:right="115"/>
      </w:pPr>
      <w:r>
        <w:rPr/>
        <w:t>Ms Patricia</w:t>
      </w:r>
      <w:r>
        <w:rPr>
          <w:spacing w:val="-1"/>
        </w:rPr>
        <w:t> </w:t>
      </w:r>
      <w:r>
        <w:rPr/>
        <w:t>Amphlett OAM</w:t>
        <w:tab/>
        <w:t>Non-Executive</w:t>
      </w:r>
    </w:p>
    <w:p>
      <w:pPr>
        <w:pStyle w:val="BodyText"/>
        <w:tabs>
          <w:tab w:pos="3813" w:val="left" w:leader="none"/>
        </w:tabs>
        <w:spacing w:before="83"/>
        <w:ind w:left="3813" w:right="115" w:hanging="3310"/>
      </w:pPr>
      <w:r>
        <w:rPr/>
        <w:t>Experience</w:t>
        <w:tab/>
        <w:t>Appointed as Director 29 June 2010. Ms Patricia Amphlett OAM</w:t>
      </w:r>
      <w:r>
        <w:rPr>
          <w:spacing w:val="-1"/>
        </w:rPr>
        <w:t> </w:t>
      </w:r>
      <w:r>
        <w:rPr/>
        <w:t>is</w:t>
      </w:r>
      <w:r>
        <w:rPr>
          <w:spacing w:val="-1"/>
        </w:rPr>
        <w:t> </w:t>
      </w:r>
      <w:r>
        <w:rPr/>
        <w:t>the</w:t>
      </w:r>
      <w:r>
        <w:rPr>
          <w:w w:val="99"/>
        </w:rPr>
        <w:t> </w:t>
      </w:r>
      <w:r>
        <w:rPr/>
        <w:t>Federal President of the Media, Entertainment and Arts Alliance, a position she has held since 2002. With a succession of hits and as a long standing member of the Bandstand Family, she established herself as a prominent force in the Australian music industry. Her musical talents are credited with many industry awards including Best Female Singer, Most Popular Female Performer, TV Logie for Best Teenage Personality and a succession of Gold Records. A definite 'all rounder' in the music and entertainment industry, Ms Amphlett’s talent spans a broad spectrum from writing, producing and performing shows for children, and hosting charity and corporate events. She maintains a high profile in the music industry, with many live performances at Festivals, Corporate Events, Clubs and Television shows. Ms Amphlett has a strong commitment to music education. She is a consultant for the NSW Government’s Talent Development Project. She is a member of the Board of the National Film &amp; Sound</w:t>
      </w:r>
      <w:r>
        <w:rPr>
          <w:spacing w:val="-1"/>
        </w:rPr>
        <w:t> </w:t>
      </w:r>
      <w:r>
        <w:rPr/>
        <w:t>Archives.</w:t>
      </w:r>
    </w:p>
    <w:p>
      <w:pPr>
        <w:pStyle w:val="BodyText"/>
        <w:tabs>
          <w:tab w:pos="3813" w:val="left" w:leader="none"/>
        </w:tabs>
        <w:spacing w:line="290" w:lineRule="atLeast" w:before="57"/>
        <w:ind w:left="504" w:right="295" w:hanging="1"/>
      </w:pPr>
      <w:r>
        <w:rPr/>
        <w:t>Prof. Janice</w:t>
      </w:r>
      <w:r>
        <w:rPr>
          <w:spacing w:val="-1"/>
        </w:rPr>
        <w:t> </w:t>
      </w:r>
      <w:r>
        <w:rPr/>
        <w:t>Reid</w:t>
      </w:r>
      <w:r>
        <w:rPr>
          <w:spacing w:val="-1"/>
        </w:rPr>
        <w:t> </w:t>
      </w:r>
      <w:r>
        <w:rPr/>
        <w:t>AM</w:t>
        <w:tab/>
        <w:t>BSc (ADel), MA (Hawaii), PhD (Stan), MA</w:t>
      </w:r>
      <w:r>
        <w:rPr>
          <w:spacing w:val="-3"/>
        </w:rPr>
        <w:t> </w:t>
      </w:r>
      <w:r>
        <w:rPr/>
        <w:t>(Stan).</w:t>
      </w:r>
      <w:r>
        <w:rPr>
          <w:spacing w:val="49"/>
        </w:rPr>
        <w:t> </w:t>
      </w:r>
      <w:r>
        <w:rPr/>
        <w:t>Non-Executive</w:t>
      </w:r>
      <w:r>
        <w:rPr>
          <w:w w:val="99"/>
        </w:rPr>
        <w:t> </w:t>
      </w:r>
      <w:r>
        <w:rPr/>
        <w:t>Experience</w:t>
        <w:tab/>
        <w:t>Appointed as Director 26 April 2002. Professor Janice Reid has been</w:t>
      </w:r>
      <w:r>
        <w:rPr>
          <w:spacing w:val="-1"/>
        </w:rPr>
        <w:t> </w:t>
      </w:r>
      <w:r>
        <w:rPr/>
        <w:t>Vice-</w:t>
      </w:r>
    </w:p>
    <w:p>
      <w:pPr>
        <w:pStyle w:val="BodyText"/>
        <w:ind w:left="3813" w:right="114"/>
      </w:pPr>
      <w:r>
        <w:rPr/>
        <w:t>Chancellor and President of the University of Western Sydney since 1998. She is a recipient of several awards and honours both in Australia and overseas, and has been a member of the boards of public agencies and non- profit organisations at State and Federal levels in the health, welfare, schools, higher education, energy, pension fund, international relations, arts and heritage</w:t>
      </w:r>
      <w:r>
        <w:rPr>
          <w:spacing w:val="-1"/>
        </w:rPr>
        <w:t> </w:t>
      </w:r>
      <w:r>
        <w:rPr/>
        <w:t>fields.</w:t>
      </w:r>
    </w:p>
    <w:p>
      <w:pPr>
        <w:spacing w:after="0"/>
        <w:sectPr>
          <w:pgSz w:w="11910" w:h="16840"/>
          <w:pgMar w:header="1038" w:footer="507" w:top="1460" w:bottom="700" w:left="900" w:right="940"/>
        </w:sectPr>
      </w:pPr>
    </w:p>
    <w:p>
      <w:pPr>
        <w:pStyle w:val="BodyText"/>
        <w:spacing w:before="2"/>
        <w:rPr>
          <w:sz w:val="24"/>
        </w:rPr>
      </w:pPr>
    </w:p>
    <w:p>
      <w:pPr>
        <w:pStyle w:val="Heading3"/>
        <w:spacing w:before="64"/>
        <w:ind w:right="86"/>
      </w:pPr>
      <w:r>
        <w:rPr/>
        <w:t>Director's report</w:t>
      </w:r>
    </w:p>
    <w:p>
      <w:pPr>
        <w:pStyle w:val="Heading6"/>
        <w:ind w:right="86"/>
      </w:pPr>
      <w:r>
        <w:rPr/>
        <w:t>31 December 2012</w:t>
      </w:r>
    </w:p>
    <w:p>
      <w:pPr>
        <w:pStyle w:val="BodyText"/>
        <w:spacing w:before="11"/>
        <w:rPr>
          <w:b/>
          <w:sz w:val="24"/>
        </w:rPr>
      </w:pPr>
    </w:p>
    <w:p>
      <w:pPr>
        <w:pStyle w:val="Heading9"/>
        <w:ind w:left="502" w:right="86"/>
      </w:pPr>
      <w:r>
        <w:rPr/>
        <w:t>Information on directors (continued)</w:t>
      </w:r>
    </w:p>
    <w:p>
      <w:pPr>
        <w:pStyle w:val="BodyText"/>
        <w:tabs>
          <w:tab w:pos="3813" w:val="left" w:leader="none"/>
        </w:tabs>
        <w:spacing w:before="140"/>
        <w:ind w:left="504" w:right="86"/>
      </w:pPr>
      <w:r>
        <w:rPr/>
        <w:t>Ms</w:t>
      </w:r>
      <w:r>
        <w:rPr>
          <w:spacing w:val="-1"/>
        </w:rPr>
        <w:t> </w:t>
      </w:r>
      <w:r>
        <w:rPr/>
        <w:t>Gabrielle</w:t>
      </w:r>
      <w:r>
        <w:rPr>
          <w:spacing w:val="-1"/>
        </w:rPr>
        <w:t> </w:t>
      </w:r>
      <w:r>
        <w:rPr/>
        <w:t>Trainor</w:t>
        <w:tab/>
        <w:t>LLB (Melb).</w:t>
      </w:r>
      <w:r>
        <w:rPr>
          <w:spacing w:val="49"/>
        </w:rPr>
        <w:t> </w:t>
      </w:r>
      <w:r>
        <w:rPr/>
        <w:t>Non-Executive.</w:t>
      </w:r>
    </w:p>
    <w:p>
      <w:pPr>
        <w:pStyle w:val="BodyText"/>
        <w:tabs>
          <w:tab w:pos="3813" w:val="left" w:leader="none"/>
        </w:tabs>
        <w:spacing w:before="83"/>
        <w:ind w:left="3813" w:right="115" w:hanging="3310"/>
      </w:pPr>
      <w:r>
        <w:rPr/>
        <w:t>Experience</w:t>
        <w:tab/>
        <w:t>Appointed as Director 29 June 2010. Ms Gabrielle Trainor is</w:t>
      </w:r>
      <w:r>
        <w:rPr>
          <w:spacing w:val="-1"/>
        </w:rPr>
        <w:t> </w:t>
      </w:r>
      <w:r>
        <w:rPr/>
        <w:t>a</w:t>
      </w:r>
      <w:r>
        <w:rPr>
          <w:spacing w:val="-1"/>
        </w:rPr>
        <w:t> </w:t>
      </w:r>
      <w:r>
        <w:rPr/>
        <w:t>non-executive</w:t>
      </w:r>
      <w:r>
        <w:rPr>
          <w:w w:val="99"/>
        </w:rPr>
        <w:t> </w:t>
      </w:r>
      <w:r>
        <w:rPr/>
        <w:t>director and advisor. Her chair and director roles have spanned organisations in urban development, transport, education, public interest law, tourism, culture and sport. She was a founding partner and co-owner of specialist consultancy John Connolly &amp; Partners and over 25 years advised large listed companies on the management of major transactions and significant issues across stakeholder groups including in capital markets, government, NGO’s and other influencers. Ms Trainor is a member of the board of Leighton Contractors (advisory board), a director of the Barangaroo Delivery Authority, Business Events Sydney, Cape York Group, the Aurora Education Foundation and is a trustee of the Charlie Perkins Education Trust. She is a member of the board of trustees of the University of Western Sydney. She is Chair of the National Film and Sound Archive and Chair of Barnardo’s Australia. She co-chaired the 2012 Federal Government review of the Australia Council for the Arts. She has had a long term involvement in indigenous affairs, including as director of Cape York Partnerships and a member of the Victorian Government’s Aboriginal Economic Development Group which reported in 2010. Ms Trainor was educated as Ll.B at the University of Melbourne and was awarded a 1986 Churchill Fellowship. She studied in the USA and UK, including as a visiting scholar at Stanford University. She is an Honorary Associate in the Graduate School of Government at Sydney University and a Fellow of the Australian Institute of Company</w:t>
      </w:r>
      <w:r>
        <w:rPr>
          <w:spacing w:val="-1"/>
        </w:rPr>
        <w:t> </w:t>
      </w:r>
      <w:r>
        <w:rPr/>
        <w:t>Directors.</w:t>
      </w:r>
    </w:p>
    <w:p>
      <w:pPr>
        <w:pStyle w:val="BodyText"/>
        <w:tabs>
          <w:tab w:pos="3813" w:val="left" w:leader="none"/>
        </w:tabs>
        <w:spacing w:line="206" w:lineRule="exact" w:before="140"/>
        <w:ind w:left="504" w:right="86"/>
      </w:pPr>
      <w:r>
        <w:rPr/>
        <w:t>Mr Talal</w:t>
      </w:r>
      <w:r>
        <w:rPr>
          <w:spacing w:val="-1"/>
        </w:rPr>
        <w:t> </w:t>
      </w:r>
      <w:r>
        <w:rPr/>
        <w:t>Yassine</w:t>
      </w:r>
      <w:r>
        <w:rPr>
          <w:spacing w:val="-1"/>
        </w:rPr>
        <w:t> </w:t>
      </w:r>
      <w:r>
        <w:rPr/>
        <w:t>OAM</w:t>
        <w:tab/>
        <w:t>BA Lib (Macquarie), Master of Laws (Sydney), MBA (Deakin).</w:t>
      </w:r>
      <w:r>
        <w:rPr>
          <w:spacing w:val="49"/>
        </w:rPr>
        <w:t> </w:t>
      </w:r>
      <w:r>
        <w:rPr/>
        <w:t>Non-</w:t>
      </w:r>
    </w:p>
    <w:p>
      <w:pPr>
        <w:pStyle w:val="BodyText"/>
        <w:spacing w:line="206" w:lineRule="exact"/>
        <w:ind w:left="3797" w:right="5421"/>
        <w:jc w:val="center"/>
      </w:pPr>
      <w:r>
        <w:rPr/>
        <w:t>Executive.</w:t>
      </w:r>
    </w:p>
    <w:p>
      <w:pPr>
        <w:pStyle w:val="BodyText"/>
        <w:tabs>
          <w:tab w:pos="3813" w:val="left" w:leader="none"/>
        </w:tabs>
        <w:spacing w:before="83"/>
        <w:ind w:left="3813" w:right="115" w:hanging="3310"/>
      </w:pPr>
      <w:r>
        <w:rPr/>
        <w:t>Experience</w:t>
        <w:tab/>
        <w:t>Appointed as Director 8 October 2010. Mr Talal Yassine is</w:t>
      </w:r>
      <w:r>
        <w:rPr>
          <w:spacing w:val="-1"/>
        </w:rPr>
        <w:t> </w:t>
      </w:r>
      <w:r>
        <w:rPr/>
        <w:t>an</w:t>
      </w:r>
      <w:r>
        <w:rPr>
          <w:spacing w:val="-1"/>
        </w:rPr>
        <w:t> </w:t>
      </w:r>
      <w:r>
        <w:rPr/>
        <w:t>experienced</w:t>
      </w:r>
      <w:r>
        <w:rPr>
          <w:w w:val="99"/>
        </w:rPr>
        <w:t> </w:t>
      </w:r>
      <w:r>
        <w:rPr/>
        <w:t>lawyer, banker and Non-Executive Director. After 10 years at PricewaterhouseCoopers as a Director and strategist, he joined investment firm Babcock &amp; Brown Ltd in the Corporate Finance Group and later in the Technical Real Estate Division. Later he held leadership positions in Better Place Australia and is currently the Managing Director of Crescent Wealth. Mr Yassine currently serves on the Board of Australia Post, Sydney Ports, the Whitlam Institute, The Australian Multicultural Council and as Deputy Chairman of the Gulf Australia Business Council. He has also served on the Board of Macquarie University; and as the Deputy Chairman of a government regulator, and as Chairman as Platinum Sound Pty Ltd. Mr Yassine holds a Master of Laws, a Master of Business Administration which was focused on international business strategy, as well as holding degrees in law and diplomas from the AICD and UNE in directorship. In November 2012, he was appointed as a Professorial Fellow at the Crawford School of Public Policy, at the Australian National University. On Australia Day 2010, he was awarded a Medal of the Order of Australia (OAM) for his service to business and to the community through a range of</w:t>
      </w:r>
      <w:r>
        <w:rPr>
          <w:spacing w:val="-1"/>
        </w:rPr>
        <w:t> </w:t>
      </w:r>
      <w:r>
        <w:rPr/>
        <w:t>education.</w:t>
      </w:r>
    </w:p>
    <w:p>
      <w:pPr>
        <w:pStyle w:val="BodyText"/>
        <w:tabs>
          <w:tab w:pos="3813" w:val="left" w:leader="none"/>
        </w:tabs>
        <w:spacing w:before="140"/>
        <w:ind w:left="504" w:right="86"/>
      </w:pPr>
      <w:r>
        <w:rPr/>
        <w:t>Mr</w:t>
      </w:r>
      <w:r>
        <w:rPr>
          <w:spacing w:val="-1"/>
        </w:rPr>
        <w:t> </w:t>
      </w:r>
      <w:r>
        <w:rPr/>
        <w:t>John</w:t>
      </w:r>
      <w:r>
        <w:rPr>
          <w:spacing w:val="-1"/>
        </w:rPr>
        <w:t> </w:t>
      </w:r>
      <w:r>
        <w:rPr/>
        <w:t>Wells</w:t>
        <w:tab/>
        <w:t>Non-Executive.</w:t>
      </w:r>
    </w:p>
    <w:p>
      <w:pPr>
        <w:pStyle w:val="BodyText"/>
        <w:tabs>
          <w:tab w:pos="3813" w:val="left" w:leader="none"/>
        </w:tabs>
        <w:spacing w:before="82"/>
        <w:ind w:left="3813" w:right="146" w:hanging="3310"/>
      </w:pPr>
      <w:r>
        <w:rPr/>
        <w:t>Experience</w:t>
        <w:tab/>
        <w:t>Appointed as Director 15 June 2005. Mr John Wells is Chairman</w:t>
      </w:r>
      <w:r>
        <w:rPr>
          <w:spacing w:val="-1"/>
        </w:rPr>
        <w:t> </w:t>
      </w:r>
      <w:r>
        <w:rPr/>
        <w:t>of</w:t>
      </w:r>
      <w:r>
        <w:rPr>
          <w:spacing w:val="-1"/>
        </w:rPr>
        <w:t> </w:t>
      </w:r>
      <w:r>
        <w:rPr/>
        <w:t>Wells Haslem Pty Ltd. His career has embraced journalism at the most senior levels in Australia and overseas, senior media involvement in newspapers, television and radio, policy advice to Federal political leaders and public affairs consulting. His major interests are in government and media and the operational elements of strategic communication campaigns. He works for all of Wells Haslem’s major clients in these and many other</w:t>
      </w:r>
      <w:r>
        <w:rPr>
          <w:spacing w:val="-1"/>
        </w:rPr>
        <w:t> </w:t>
      </w:r>
      <w:r>
        <w:rPr/>
        <w:t>roles.</w:t>
      </w:r>
    </w:p>
    <w:p>
      <w:pPr>
        <w:spacing w:after="0"/>
        <w:sectPr>
          <w:pgSz w:w="11910" w:h="16840"/>
          <w:pgMar w:header="1038" w:footer="507" w:top="1460" w:bottom="700" w:left="900" w:right="920"/>
        </w:sectPr>
      </w:pPr>
    </w:p>
    <w:p>
      <w:pPr>
        <w:pStyle w:val="BodyText"/>
        <w:spacing w:before="2"/>
        <w:rPr>
          <w:sz w:val="24"/>
        </w:rPr>
      </w:pPr>
    </w:p>
    <w:p>
      <w:pPr>
        <w:pStyle w:val="Heading3"/>
        <w:spacing w:before="64"/>
        <w:ind w:right="86"/>
      </w:pPr>
      <w:r>
        <w:rPr/>
        <w:t>Director's report</w:t>
      </w:r>
    </w:p>
    <w:p>
      <w:pPr>
        <w:pStyle w:val="Heading6"/>
        <w:ind w:right="86"/>
      </w:pPr>
      <w:r>
        <w:rPr/>
        <w:t>31 December 2012</w:t>
      </w:r>
    </w:p>
    <w:p>
      <w:pPr>
        <w:pStyle w:val="BodyText"/>
        <w:spacing w:before="11"/>
        <w:rPr>
          <w:b/>
          <w:sz w:val="24"/>
        </w:rPr>
      </w:pPr>
    </w:p>
    <w:p>
      <w:pPr>
        <w:pStyle w:val="Heading9"/>
        <w:ind w:left="502" w:right="86"/>
      </w:pPr>
      <w:r>
        <w:rPr/>
        <w:t>Information on directors (continued)</w:t>
      </w:r>
    </w:p>
    <w:p>
      <w:pPr>
        <w:pStyle w:val="BodyText"/>
        <w:tabs>
          <w:tab w:pos="3813" w:val="left" w:leader="none"/>
        </w:tabs>
        <w:spacing w:line="290" w:lineRule="atLeast" w:before="57"/>
        <w:ind w:left="504" w:right="326" w:hanging="1"/>
      </w:pPr>
      <w:r>
        <w:rPr/>
        <w:t>Mr</w:t>
      </w:r>
      <w:r>
        <w:rPr>
          <w:spacing w:val="-1"/>
        </w:rPr>
        <w:t> </w:t>
      </w:r>
      <w:r>
        <w:rPr/>
        <w:t>Nicholas</w:t>
      </w:r>
      <w:r>
        <w:rPr>
          <w:spacing w:val="-1"/>
        </w:rPr>
        <w:t> </w:t>
      </w:r>
      <w:r>
        <w:rPr/>
        <w:t>Whitlam</w:t>
        <w:tab/>
        <w:t>AB (Hons) (Harv), MSc (Lon), Hon D. Univ</w:t>
      </w:r>
      <w:r>
        <w:rPr>
          <w:spacing w:val="-1"/>
        </w:rPr>
        <w:t> </w:t>
      </w:r>
      <w:r>
        <w:rPr/>
        <w:t>(UNSW).</w:t>
      </w:r>
      <w:r>
        <w:rPr>
          <w:spacing w:val="49"/>
        </w:rPr>
        <w:t> </w:t>
      </w:r>
      <w:r>
        <w:rPr/>
        <w:t>Non-Executive.</w:t>
      </w:r>
      <w:r>
        <w:rPr>
          <w:w w:val="99"/>
        </w:rPr>
        <w:t> </w:t>
      </w:r>
      <w:r>
        <w:rPr/>
        <w:t>Experience</w:t>
        <w:tab/>
        <w:t>Appointed as Director 2 October 2003. Mr Nicholas Whitlam is chairman</w:t>
      </w:r>
      <w:r>
        <w:rPr>
          <w:spacing w:val="-1"/>
        </w:rPr>
        <w:t> </w:t>
      </w:r>
      <w:r>
        <w:rPr/>
        <w:t>of</w:t>
      </w:r>
    </w:p>
    <w:p>
      <w:pPr>
        <w:pStyle w:val="BodyText"/>
        <w:ind w:left="3813" w:right="105"/>
      </w:pPr>
      <w:r>
        <w:rPr/>
        <w:t>Port Kembla Port Corporation and Sydney Ports Corporation.  In a career that has embraced most aspects of banking and finance, he was CEO of the State Bank of New South Wales from 1981 to 1987, and was joint CEO of the investment bank Whitlam Turnbull from 1987 to 1990. He is a former President of the NRMA; in 2000, as chairman of NRMA Insurance/IAG, he supervised its demutualization and listing on the ASX. Mr Whitlam was the inaugural Chairman of the Whitlam Institute between 2000 and 2002. He holds degrees from Harvard College (AB cum laude, 1967) and London Business School (MSc, 1969), and an honorary doctorate (Hon DUniv) from The University of New South</w:t>
      </w:r>
      <w:r>
        <w:rPr>
          <w:spacing w:val="-1"/>
        </w:rPr>
        <w:t> </w:t>
      </w:r>
      <w:r>
        <w:rPr/>
        <w:t>Wales.</w:t>
      </w:r>
    </w:p>
    <w:p>
      <w:pPr>
        <w:pStyle w:val="BodyText"/>
        <w:tabs>
          <w:tab w:pos="3813" w:val="left" w:leader="none"/>
        </w:tabs>
        <w:spacing w:before="140"/>
        <w:ind w:left="504" w:right="86"/>
      </w:pPr>
      <w:r>
        <w:rPr/>
        <w:t>Dr Kerry Schott</w:t>
        <w:tab/>
        <w:t>BA (Hons) (UNE), MA (British Columbia), DPhil (Oxon).</w:t>
      </w:r>
      <w:r>
        <w:rPr>
          <w:spacing w:val="49"/>
        </w:rPr>
        <w:t> </w:t>
      </w:r>
      <w:r>
        <w:rPr/>
        <w:t>Non-Executive.</w:t>
      </w:r>
    </w:p>
    <w:p>
      <w:pPr>
        <w:pStyle w:val="BodyText"/>
        <w:tabs>
          <w:tab w:pos="3813" w:val="left" w:leader="none"/>
        </w:tabs>
        <w:spacing w:before="83"/>
        <w:ind w:left="3813" w:right="156" w:hanging="3310"/>
      </w:pPr>
      <w:r>
        <w:rPr/>
        <w:t>Experience</w:t>
        <w:tab/>
        <w:t>Appointed as Director 11 September 2009. Dr Kerry Schott is</w:t>
      </w:r>
      <w:r>
        <w:rPr>
          <w:spacing w:val="-1"/>
        </w:rPr>
        <w:t> </w:t>
      </w:r>
      <w:r>
        <w:rPr/>
        <w:t>Chairman</w:t>
      </w:r>
      <w:r>
        <w:rPr>
          <w:spacing w:val="-1"/>
        </w:rPr>
        <w:t> </w:t>
      </w:r>
      <w:r>
        <w:rPr/>
        <w:t>of</w:t>
      </w:r>
      <w:r>
        <w:rPr>
          <w:w w:val="100"/>
        </w:rPr>
        <w:t> </w:t>
      </w:r>
      <w:r>
        <w:rPr/>
        <w:t>the Moorebank Intermodal Company Ltd, a Director of NBN Co, a Director of the TCorp Board in NSW, a member of the Infrastructure Australia Board, Patron and Board member of Infrastructure Partnerships Australia and a member of the Whitlam Institute Board. Dr Schott is the Project Director for the NSW Treasury managing the current sales of the government owned electricity generating plants. She was previously the Project Director of the successful sale and lease of the Sydney desalination plant. She completed her role as CEO of the Commission of Audit for the NSW Government early in 2012. Previously she was Managing Director and CEO of Sydney Water from 2006 to 2011. Dr Schott spent 15 years as an investment banker, including as Managing Director of Deutsche Bank and Executive Vice President of Bankers Trust Australia. During this time she specialised in privatisation, restructuring, and infrastructure provision. Dr Schott holds a doctorate from Oxford University (Nuffield College), a Master of Arts from the University of British Columbia, Vancouver and a Bachelor of Arts (first class Honours) from the University of New</w:t>
      </w:r>
      <w:r>
        <w:rPr>
          <w:spacing w:val="-1"/>
        </w:rPr>
        <w:t> </w:t>
      </w:r>
      <w:r>
        <w:rPr/>
        <w:t>England.</w:t>
      </w:r>
    </w:p>
    <w:p>
      <w:pPr>
        <w:pStyle w:val="BodyText"/>
        <w:spacing w:before="1"/>
        <w:rPr>
          <w:sz w:val="25"/>
        </w:rPr>
      </w:pPr>
    </w:p>
    <w:p>
      <w:pPr>
        <w:pStyle w:val="Heading9"/>
        <w:spacing w:line="207" w:lineRule="exact"/>
        <w:ind w:left="502" w:right="86"/>
      </w:pPr>
      <w:r>
        <w:rPr/>
        <w:t>Meetings of directors</w:t>
      </w:r>
    </w:p>
    <w:p>
      <w:pPr>
        <w:pStyle w:val="BodyText"/>
        <w:ind w:left="504" w:right="86"/>
      </w:pPr>
      <w:r>
        <w:rPr/>
        <w:t>During the financial year, 4 meetings of directors (including committees of directors) were held. Attendances by each director during the year were as follows:</w:t>
      </w:r>
    </w:p>
    <w:p>
      <w:pPr>
        <w:pStyle w:val="BodyText"/>
        <w:rPr>
          <w:sz w:val="20"/>
        </w:rPr>
      </w:pPr>
    </w:p>
    <w:p>
      <w:pPr>
        <w:pStyle w:val="BodyText"/>
        <w:spacing w:before="5"/>
        <w:rPr>
          <w:sz w:val="12"/>
        </w:rPr>
      </w:pPr>
    </w:p>
    <w:tbl>
      <w:tblPr>
        <w:tblW w:w="0" w:type="auto"/>
        <w:jc w:val="left"/>
        <w:tblInd w:w="5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0"/>
        <w:gridCol w:w="1133"/>
        <w:gridCol w:w="1128"/>
      </w:tblGrid>
      <w:tr>
        <w:trPr>
          <w:trHeight w:val="283" w:hRule="exact"/>
        </w:trPr>
        <w:tc>
          <w:tcPr>
            <w:tcW w:w="2830" w:type="dxa"/>
            <w:vMerge w:val="restart"/>
            <w:tcBorders>
              <w:right w:val="single" w:sz="0" w:space="0" w:color="000000"/>
            </w:tcBorders>
          </w:tcPr>
          <w:p>
            <w:pPr/>
          </w:p>
        </w:tc>
        <w:tc>
          <w:tcPr>
            <w:tcW w:w="2261" w:type="dxa"/>
            <w:gridSpan w:val="2"/>
            <w:tcBorders>
              <w:top w:val="single" w:sz="0" w:space="0" w:color="000000"/>
              <w:left w:val="single" w:sz="0" w:space="0" w:color="000000"/>
              <w:bottom w:val="single" w:sz="0" w:space="0" w:color="000000"/>
              <w:right w:val="single" w:sz="0" w:space="0" w:color="000000"/>
            </w:tcBorders>
          </w:tcPr>
          <w:p>
            <w:pPr>
              <w:pStyle w:val="TableParagraph"/>
              <w:spacing w:before="57"/>
              <w:ind w:left="416"/>
              <w:rPr>
                <w:b/>
                <w:sz w:val="16"/>
              </w:rPr>
            </w:pPr>
            <w:r>
              <w:rPr>
                <w:b/>
                <w:sz w:val="16"/>
              </w:rPr>
              <w:t>Directors' Meetings</w:t>
            </w:r>
          </w:p>
        </w:tc>
      </w:tr>
      <w:tr>
        <w:trPr>
          <w:trHeight w:val="490" w:hRule="exact"/>
        </w:trPr>
        <w:tc>
          <w:tcPr>
            <w:tcW w:w="2830" w:type="dxa"/>
            <w:vMerge/>
            <w:tcBorders>
              <w:bottom w:val="single" w:sz="0" w:space="0" w:color="000000"/>
              <w:right w:val="single" w:sz="0" w:space="0" w:color="000000"/>
            </w:tcBorders>
          </w:tcPr>
          <w:p>
            <w:pPr/>
          </w:p>
        </w:tc>
        <w:tc>
          <w:tcPr>
            <w:tcW w:w="1133" w:type="dxa"/>
            <w:tcBorders>
              <w:top w:val="single" w:sz="0" w:space="0" w:color="000000"/>
              <w:left w:val="single" w:sz="0" w:space="0" w:color="000000"/>
              <w:bottom w:val="single" w:sz="0" w:space="0" w:color="000000"/>
              <w:right w:val="single" w:sz="0" w:space="0" w:color="000000"/>
            </w:tcBorders>
          </w:tcPr>
          <w:p>
            <w:pPr>
              <w:pStyle w:val="TableParagraph"/>
              <w:spacing w:line="307" w:lineRule="auto" w:before="76"/>
              <w:ind w:left="290" w:right="3" w:hanging="232"/>
              <w:rPr>
                <w:b/>
                <w:sz w:val="14"/>
              </w:rPr>
            </w:pPr>
            <w:r>
              <w:rPr>
                <w:b/>
                <w:sz w:val="14"/>
              </w:rPr>
              <w:t>Number eligible to attend</w:t>
            </w:r>
          </w:p>
        </w:tc>
        <w:tc>
          <w:tcPr>
            <w:tcW w:w="1128" w:type="dxa"/>
            <w:tcBorders>
              <w:top w:val="single" w:sz="0" w:space="0" w:color="000000"/>
              <w:left w:val="single" w:sz="0" w:space="0" w:color="000000"/>
              <w:bottom w:val="single" w:sz="0" w:space="0" w:color="000000"/>
              <w:right w:val="single" w:sz="0" w:space="0" w:color="000000"/>
            </w:tcBorders>
          </w:tcPr>
          <w:p>
            <w:pPr>
              <w:pStyle w:val="TableParagraph"/>
              <w:spacing w:line="307" w:lineRule="auto" w:before="76"/>
              <w:ind w:left="297" w:right="226" w:firstLine="27"/>
              <w:rPr>
                <w:b/>
                <w:sz w:val="14"/>
              </w:rPr>
            </w:pPr>
            <w:r>
              <w:rPr>
                <w:b/>
                <w:sz w:val="14"/>
              </w:rPr>
              <w:t>Number attended</w:t>
            </w:r>
          </w:p>
        </w:tc>
      </w:tr>
      <w:tr>
        <w:trPr>
          <w:trHeight w:val="256" w:hRule="exact"/>
        </w:trPr>
        <w:tc>
          <w:tcPr>
            <w:tcW w:w="2830" w:type="dxa"/>
            <w:tcBorders>
              <w:top w:val="single" w:sz="0" w:space="0" w:color="000000"/>
              <w:left w:val="single" w:sz="0" w:space="0" w:color="000000"/>
              <w:right w:val="single" w:sz="0" w:space="0" w:color="000000"/>
            </w:tcBorders>
          </w:tcPr>
          <w:p>
            <w:pPr>
              <w:pStyle w:val="TableParagraph"/>
              <w:spacing w:before="34"/>
              <w:ind w:left="68"/>
              <w:rPr>
                <w:sz w:val="16"/>
              </w:rPr>
            </w:pPr>
            <w:r>
              <w:rPr>
                <w:sz w:val="16"/>
              </w:rPr>
              <w:t>Senator The Hon. John Faulkner</w:t>
            </w:r>
          </w:p>
        </w:tc>
        <w:tc>
          <w:tcPr>
            <w:tcW w:w="1133" w:type="dxa"/>
            <w:tcBorders>
              <w:top w:val="single" w:sz="0" w:space="0" w:color="000000"/>
              <w:left w:val="single" w:sz="0" w:space="0" w:color="000000"/>
              <w:right w:val="single" w:sz="0" w:space="0" w:color="000000"/>
            </w:tcBorders>
          </w:tcPr>
          <w:p>
            <w:pPr>
              <w:pStyle w:val="TableParagraph"/>
              <w:spacing w:before="33"/>
              <w:ind w:right="444"/>
              <w:jc w:val="right"/>
              <w:rPr>
                <w:sz w:val="16"/>
              </w:rPr>
            </w:pPr>
            <w:r>
              <w:rPr>
                <w:w w:val="99"/>
                <w:sz w:val="16"/>
              </w:rPr>
              <w:t>4</w:t>
            </w:r>
          </w:p>
        </w:tc>
        <w:tc>
          <w:tcPr>
            <w:tcW w:w="1128" w:type="dxa"/>
            <w:tcBorders>
              <w:top w:val="single" w:sz="0" w:space="0" w:color="000000"/>
              <w:left w:val="single" w:sz="0" w:space="0" w:color="000000"/>
              <w:right w:val="single" w:sz="0" w:space="0" w:color="000000"/>
            </w:tcBorders>
          </w:tcPr>
          <w:p>
            <w:pPr>
              <w:pStyle w:val="TableParagraph"/>
              <w:spacing w:before="33"/>
              <w:ind w:right="436"/>
              <w:jc w:val="right"/>
              <w:rPr>
                <w:sz w:val="16"/>
              </w:rPr>
            </w:pPr>
            <w:r>
              <w:rPr>
                <w:w w:val="99"/>
                <w:sz w:val="16"/>
              </w:rPr>
              <w:t>4</w:t>
            </w:r>
          </w:p>
        </w:tc>
      </w:tr>
      <w:tr>
        <w:trPr>
          <w:trHeight w:val="241" w:hRule="exact"/>
        </w:trPr>
        <w:tc>
          <w:tcPr>
            <w:tcW w:w="2830" w:type="dxa"/>
            <w:tcBorders>
              <w:left w:val="single" w:sz="0" w:space="0" w:color="000000"/>
              <w:right w:val="single" w:sz="0" w:space="0" w:color="000000"/>
            </w:tcBorders>
          </w:tcPr>
          <w:p>
            <w:pPr>
              <w:pStyle w:val="TableParagraph"/>
              <w:spacing w:before="20"/>
              <w:ind w:left="68"/>
              <w:rPr>
                <w:sz w:val="16"/>
              </w:rPr>
            </w:pPr>
            <w:r>
              <w:rPr>
                <w:sz w:val="16"/>
              </w:rPr>
              <w:t>Mr Geoffrey Roberson</w:t>
            </w:r>
          </w:p>
        </w:tc>
        <w:tc>
          <w:tcPr>
            <w:tcW w:w="1133" w:type="dxa"/>
            <w:tcBorders>
              <w:left w:val="single" w:sz="0" w:space="0" w:color="000000"/>
              <w:right w:val="single" w:sz="0" w:space="0" w:color="000000"/>
            </w:tcBorders>
          </w:tcPr>
          <w:p>
            <w:pPr>
              <w:pStyle w:val="TableParagraph"/>
              <w:spacing w:before="19"/>
              <w:ind w:right="444"/>
              <w:jc w:val="right"/>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36"/>
              <w:jc w:val="right"/>
              <w:rPr>
                <w:sz w:val="16"/>
              </w:rPr>
            </w:pPr>
            <w:r>
              <w:rPr>
                <w:w w:val="99"/>
                <w:sz w:val="16"/>
              </w:rPr>
              <w:t>2</w:t>
            </w:r>
          </w:p>
        </w:tc>
      </w:tr>
      <w:tr>
        <w:trPr>
          <w:trHeight w:val="241" w:hRule="exact"/>
        </w:trPr>
        <w:tc>
          <w:tcPr>
            <w:tcW w:w="2830" w:type="dxa"/>
            <w:tcBorders>
              <w:left w:val="single" w:sz="0" w:space="0" w:color="000000"/>
              <w:right w:val="single" w:sz="0" w:space="0" w:color="000000"/>
            </w:tcBorders>
          </w:tcPr>
          <w:p>
            <w:pPr>
              <w:pStyle w:val="TableParagraph"/>
              <w:spacing w:before="20"/>
              <w:ind w:left="68"/>
              <w:rPr>
                <w:sz w:val="16"/>
              </w:rPr>
            </w:pPr>
            <w:r>
              <w:rPr>
                <w:sz w:val="16"/>
              </w:rPr>
              <w:t>Ms Patricia Amphlett OAM</w:t>
            </w:r>
          </w:p>
        </w:tc>
        <w:tc>
          <w:tcPr>
            <w:tcW w:w="1133" w:type="dxa"/>
            <w:tcBorders>
              <w:left w:val="single" w:sz="0" w:space="0" w:color="000000"/>
              <w:right w:val="single" w:sz="0" w:space="0" w:color="000000"/>
            </w:tcBorders>
          </w:tcPr>
          <w:p>
            <w:pPr>
              <w:pStyle w:val="TableParagraph"/>
              <w:spacing w:before="19"/>
              <w:ind w:right="444"/>
              <w:jc w:val="right"/>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36"/>
              <w:jc w:val="right"/>
              <w:rPr>
                <w:sz w:val="16"/>
              </w:rPr>
            </w:pPr>
            <w:r>
              <w:rPr>
                <w:w w:val="99"/>
                <w:sz w:val="16"/>
              </w:rPr>
              <w:t>3</w:t>
            </w:r>
          </w:p>
        </w:tc>
      </w:tr>
      <w:tr>
        <w:trPr>
          <w:trHeight w:val="241" w:hRule="exact"/>
        </w:trPr>
        <w:tc>
          <w:tcPr>
            <w:tcW w:w="2830" w:type="dxa"/>
            <w:tcBorders>
              <w:left w:val="single" w:sz="0" w:space="0" w:color="000000"/>
              <w:right w:val="single" w:sz="0" w:space="0" w:color="000000"/>
            </w:tcBorders>
          </w:tcPr>
          <w:p>
            <w:pPr>
              <w:pStyle w:val="TableParagraph"/>
              <w:spacing w:before="20"/>
              <w:ind w:left="68"/>
              <w:rPr>
                <w:sz w:val="16"/>
              </w:rPr>
            </w:pPr>
            <w:r>
              <w:rPr>
                <w:sz w:val="16"/>
              </w:rPr>
              <w:t>Prof. Janice Reid AM</w:t>
            </w:r>
          </w:p>
        </w:tc>
        <w:tc>
          <w:tcPr>
            <w:tcW w:w="1133" w:type="dxa"/>
            <w:tcBorders>
              <w:left w:val="single" w:sz="0" w:space="0" w:color="000000"/>
              <w:right w:val="single" w:sz="0" w:space="0" w:color="000000"/>
            </w:tcBorders>
          </w:tcPr>
          <w:p>
            <w:pPr>
              <w:pStyle w:val="TableParagraph"/>
              <w:spacing w:before="19"/>
              <w:ind w:right="444"/>
              <w:jc w:val="right"/>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36"/>
              <w:jc w:val="right"/>
              <w:rPr>
                <w:sz w:val="16"/>
              </w:rPr>
            </w:pPr>
            <w:r>
              <w:rPr>
                <w:w w:val="99"/>
                <w:sz w:val="16"/>
              </w:rPr>
              <w:t>4</w:t>
            </w:r>
          </w:p>
        </w:tc>
      </w:tr>
      <w:tr>
        <w:trPr>
          <w:trHeight w:val="241" w:hRule="exact"/>
        </w:trPr>
        <w:tc>
          <w:tcPr>
            <w:tcW w:w="2830" w:type="dxa"/>
            <w:tcBorders>
              <w:left w:val="single" w:sz="0" w:space="0" w:color="000000"/>
              <w:right w:val="single" w:sz="0" w:space="0" w:color="000000"/>
            </w:tcBorders>
          </w:tcPr>
          <w:p>
            <w:pPr>
              <w:pStyle w:val="TableParagraph"/>
              <w:spacing w:before="20"/>
              <w:ind w:left="68"/>
              <w:rPr>
                <w:sz w:val="16"/>
              </w:rPr>
            </w:pPr>
            <w:r>
              <w:rPr>
                <w:sz w:val="16"/>
              </w:rPr>
              <w:t>Ms Gabrielle Trainor</w:t>
            </w:r>
          </w:p>
        </w:tc>
        <w:tc>
          <w:tcPr>
            <w:tcW w:w="1133" w:type="dxa"/>
            <w:tcBorders>
              <w:left w:val="single" w:sz="0" w:space="0" w:color="000000"/>
              <w:right w:val="single" w:sz="0" w:space="0" w:color="000000"/>
            </w:tcBorders>
          </w:tcPr>
          <w:p>
            <w:pPr>
              <w:pStyle w:val="TableParagraph"/>
              <w:spacing w:before="19"/>
              <w:ind w:right="444"/>
              <w:jc w:val="right"/>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36"/>
              <w:jc w:val="right"/>
              <w:rPr>
                <w:sz w:val="16"/>
              </w:rPr>
            </w:pPr>
            <w:r>
              <w:rPr>
                <w:w w:val="99"/>
                <w:sz w:val="16"/>
              </w:rPr>
              <w:t>3</w:t>
            </w:r>
          </w:p>
        </w:tc>
      </w:tr>
      <w:tr>
        <w:trPr>
          <w:trHeight w:val="241" w:hRule="exact"/>
        </w:trPr>
        <w:tc>
          <w:tcPr>
            <w:tcW w:w="2830" w:type="dxa"/>
            <w:tcBorders>
              <w:left w:val="single" w:sz="0" w:space="0" w:color="000000"/>
              <w:right w:val="single" w:sz="0" w:space="0" w:color="000000"/>
            </w:tcBorders>
          </w:tcPr>
          <w:p>
            <w:pPr>
              <w:pStyle w:val="TableParagraph"/>
              <w:spacing w:before="20"/>
              <w:ind w:left="68"/>
              <w:rPr>
                <w:sz w:val="16"/>
              </w:rPr>
            </w:pPr>
            <w:r>
              <w:rPr>
                <w:sz w:val="16"/>
              </w:rPr>
              <w:t>Mr Talal Yassine OAM</w:t>
            </w:r>
          </w:p>
        </w:tc>
        <w:tc>
          <w:tcPr>
            <w:tcW w:w="1133" w:type="dxa"/>
            <w:tcBorders>
              <w:left w:val="single" w:sz="0" w:space="0" w:color="000000"/>
              <w:right w:val="single" w:sz="0" w:space="0" w:color="000000"/>
            </w:tcBorders>
          </w:tcPr>
          <w:p>
            <w:pPr>
              <w:pStyle w:val="TableParagraph"/>
              <w:spacing w:before="19"/>
              <w:ind w:right="444"/>
              <w:jc w:val="right"/>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36"/>
              <w:jc w:val="right"/>
              <w:rPr>
                <w:sz w:val="16"/>
              </w:rPr>
            </w:pPr>
            <w:r>
              <w:rPr>
                <w:w w:val="99"/>
                <w:sz w:val="16"/>
              </w:rPr>
              <w:t>1</w:t>
            </w:r>
          </w:p>
        </w:tc>
      </w:tr>
      <w:tr>
        <w:trPr>
          <w:trHeight w:val="241" w:hRule="exact"/>
        </w:trPr>
        <w:tc>
          <w:tcPr>
            <w:tcW w:w="2830" w:type="dxa"/>
            <w:tcBorders>
              <w:left w:val="single" w:sz="0" w:space="0" w:color="000000"/>
              <w:right w:val="single" w:sz="0" w:space="0" w:color="000000"/>
            </w:tcBorders>
          </w:tcPr>
          <w:p>
            <w:pPr>
              <w:pStyle w:val="TableParagraph"/>
              <w:spacing w:before="20"/>
              <w:ind w:left="68"/>
              <w:rPr>
                <w:sz w:val="16"/>
              </w:rPr>
            </w:pPr>
            <w:r>
              <w:rPr>
                <w:sz w:val="16"/>
              </w:rPr>
              <w:t>Mr John Wells</w:t>
            </w:r>
          </w:p>
        </w:tc>
        <w:tc>
          <w:tcPr>
            <w:tcW w:w="1133" w:type="dxa"/>
            <w:tcBorders>
              <w:left w:val="single" w:sz="0" w:space="0" w:color="000000"/>
              <w:right w:val="single" w:sz="0" w:space="0" w:color="000000"/>
            </w:tcBorders>
          </w:tcPr>
          <w:p>
            <w:pPr>
              <w:pStyle w:val="TableParagraph"/>
              <w:spacing w:before="19"/>
              <w:ind w:right="444"/>
              <w:jc w:val="right"/>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36"/>
              <w:jc w:val="right"/>
              <w:rPr>
                <w:sz w:val="16"/>
              </w:rPr>
            </w:pPr>
            <w:r>
              <w:rPr>
                <w:w w:val="99"/>
                <w:sz w:val="16"/>
              </w:rPr>
              <w:t>3</w:t>
            </w:r>
          </w:p>
        </w:tc>
      </w:tr>
      <w:tr>
        <w:trPr>
          <w:trHeight w:val="241" w:hRule="exact"/>
        </w:trPr>
        <w:tc>
          <w:tcPr>
            <w:tcW w:w="2830" w:type="dxa"/>
            <w:tcBorders>
              <w:left w:val="single" w:sz="0" w:space="0" w:color="000000"/>
              <w:right w:val="single" w:sz="0" w:space="0" w:color="000000"/>
            </w:tcBorders>
          </w:tcPr>
          <w:p>
            <w:pPr>
              <w:pStyle w:val="TableParagraph"/>
              <w:spacing w:before="20"/>
              <w:ind w:left="68"/>
              <w:rPr>
                <w:sz w:val="16"/>
              </w:rPr>
            </w:pPr>
            <w:r>
              <w:rPr>
                <w:sz w:val="16"/>
              </w:rPr>
              <w:t>Mr Nicholas Whitlam</w:t>
            </w:r>
          </w:p>
        </w:tc>
        <w:tc>
          <w:tcPr>
            <w:tcW w:w="1133" w:type="dxa"/>
            <w:tcBorders>
              <w:left w:val="single" w:sz="0" w:space="0" w:color="000000"/>
              <w:right w:val="single" w:sz="0" w:space="0" w:color="000000"/>
            </w:tcBorders>
          </w:tcPr>
          <w:p>
            <w:pPr>
              <w:pStyle w:val="TableParagraph"/>
              <w:spacing w:before="19"/>
              <w:ind w:right="444"/>
              <w:jc w:val="right"/>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36"/>
              <w:jc w:val="right"/>
              <w:rPr>
                <w:sz w:val="16"/>
              </w:rPr>
            </w:pPr>
            <w:r>
              <w:rPr>
                <w:w w:val="99"/>
                <w:sz w:val="16"/>
              </w:rPr>
              <w:t>4</w:t>
            </w:r>
          </w:p>
        </w:tc>
      </w:tr>
      <w:tr>
        <w:trPr>
          <w:trHeight w:val="477" w:hRule="exact"/>
        </w:trPr>
        <w:tc>
          <w:tcPr>
            <w:tcW w:w="2830" w:type="dxa"/>
            <w:tcBorders>
              <w:left w:val="single" w:sz="0" w:space="0" w:color="000000"/>
              <w:bottom w:val="single" w:sz="0" w:space="0" w:color="000000"/>
              <w:right w:val="single" w:sz="0" w:space="0" w:color="000000"/>
            </w:tcBorders>
          </w:tcPr>
          <w:p>
            <w:pPr>
              <w:pStyle w:val="TableParagraph"/>
              <w:spacing w:before="20"/>
              <w:ind w:left="68"/>
              <w:rPr>
                <w:sz w:val="16"/>
              </w:rPr>
            </w:pPr>
            <w:r>
              <w:rPr>
                <w:sz w:val="16"/>
              </w:rPr>
              <w:t>Dr Kerry Schott</w:t>
            </w:r>
          </w:p>
        </w:tc>
        <w:tc>
          <w:tcPr>
            <w:tcW w:w="1133" w:type="dxa"/>
            <w:tcBorders>
              <w:left w:val="single" w:sz="0" w:space="0" w:color="000000"/>
              <w:bottom w:val="single" w:sz="0" w:space="0" w:color="000000"/>
              <w:right w:val="single" w:sz="0" w:space="0" w:color="000000"/>
            </w:tcBorders>
          </w:tcPr>
          <w:p>
            <w:pPr>
              <w:pStyle w:val="TableParagraph"/>
              <w:spacing w:before="19"/>
              <w:ind w:right="444"/>
              <w:jc w:val="right"/>
              <w:rPr>
                <w:sz w:val="16"/>
              </w:rPr>
            </w:pPr>
            <w:r>
              <w:rPr>
                <w:w w:val="99"/>
                <w:sz w:val="16"/>
              </w:rPr>
              <w:t>4</w:t>
            </w:r>
          </w:p>
        </w:tc>
        <w:tc>
          <w:tcPr>
            <w:tcW w:w="1128" w:type="dxa"/>
            <w:tcBorders>
              <w:left w:val="single" w:sz="0" w:space="0" w:color="000000"/>
              <w:bottom w:val="single" w:sz="0" w:space="0" w:color="000000"/>
              <w:right w:val="single" w:sz="0" w:space="0" w:color="000000"/>
            </w:tcBorders>
          </w:tcPr>
          <w:p>
            <w:pPr>
              <w:pStyle w:val="TableParagraph"/>
              <w:spacing w:before="19"/>
              <w:ind w:right="436"/>
              <w:jc w:val="right"/>
              <w:rPr>
                <w:sz w:val="16"/>
              </w:rPr>
            </w:pPr>
            <w:r>
              <w:rPr>
                <w:w w:val="99"/>
                <w:sz w:val="16"/>
              </w:rPr>
              <w:t>3</w:t>
            </w:r>
          </w:p>
        </w:tc>
      </w:tr>
    </w:tbl>
    <w:p>
      <w:pPr>
        <w:spacing w:after="0"/>
        <w:jc w:val="right"/>
        <w:rPr>
          <w:sz w:val="16"/>
        </w:rPr>
        <w:sectPr>
          <w:pgSz w:w="11910" w:h="16840"/>
          <w:pgMar w:header="1038" w:footer="507" w:top="1460" w:bottom="700" w:left="900" w:right="920"/>
        </w:sectPr>
      </w:pPr>
    </w:p>
    <w:p>
      <w:pPr>
        <w:pStyle w:val="Heading6"/>
        <w:spacing w:before="47"/>
        <w:ind w:right="3233"/>
      </w:pPr>
      <w:r>
        <w:rPr/>
        <w:t>Whitlam Institute within the University of Western Sydney Limited</w:t>
      </w:r>
    </w:p>
    <w:p>
      <w:pPr>
        <w:spacing w:before="55"/>
        <w:ind w:left="107" w:right="3233" w:firstLine="0"/>
        <w:jc w:val="left"/>
        <w:rPr>
          <w:b/>
          <w:sz w:val="14"/>
        </w:rPr>
      </w:pPr>
      <w:r>
        <w:rPr>
          <w:b/>
          <w:sz w:val="14"/>
        </w:rPr>
        <w:t>ABN: 50 100 342 309</w:t>
      </w:r>
    </w:p>
    <w:p>
      <w:pPr>
        <w:pStyle w:val="BodyText"/>
        <w:rPr>
          <w:b/>
          <w:sz w:val="14"/>
        </w:rPr>
      </w:pPr>
    </w:p>
    <w:p>
      <w:pPr>
        <w:pStyle w:val="BodyText"/>
        <w:spacing w:before="7"/>
        <w:rPr>
          <w:b/>
          <w:sz w:val="15"/>
        </w:rPr>
      </w:pPr>
    </w:p>
    <w:p>
      <w:pPr>
        <w:pStyle w:val="Heading3"/>
        <w:spacing w:before="1"/>
        <w:ind w:right="3233"/>
      </w:pPr>
      <w:r>
        <w:rPr/>
        <w:t>Director's report</w:t>
      </w:r>
    </w:p>
    <w:p>
      <w:pPr>
        <w:pStyle w:val="Heading6"/>
        <w:spacing w:before="56"/>
        <w:ind w:right="3233"/>
      </w:pPr>
      <w:r>
        <w:rPr/>
        <w:t>31 December 2012</w:t>
      </w:r>
    </w:p>
    <w:p>
      <w:pPr>
        <w:pStyle w:val="BodyText"/>
        <w:rPr>
          <w:b/>
          <w:sz w:val="22"/>
        </w:rPr>
      </w:pPr>
    </w:p>
    <w:p>
      <w:pPr>
        <w:pStyle w:val="BodyText"/>
        <w:rPr>
          <w:b/>
          <w:sz w:val="22"/>
        </w:rPr>
      </w:pPr>
    </w:p>
    <w:p>
      <w:pPr>
        <w:pStyle w:val="BodyText"/>
        <w:spacing w:before="1"/>
        <w:rPr>
          <w:b/>
          <w:sz w:val="24"/>
        </w:rPr>
      </w:pPr>
    </w:p>
    <w:p>
      <w:pPr>
        <w:pStyle w:val="Heading9"/>
        <w:ind w:left="504"/>
        <w:jc w:val="both"/>
      </w:pPr>
      <w:r>
        <w:rPr/>
        <w:t>Indemnification of Directors and Officers</w:t>
      </w:r>
    </w:p>
    <w:p>
      <w:pPr>
        <w:pStyle w:val="BodyText"/>
        <w:spacing w:before="6"/>
        <w:ind w:left="503" w:right="285"/>
        <w:jc w:val="both"/>
      </w:pPr>
      <w:r>
        <w:rPr/>
        <w:t>Whitlam Institute within the University of Western Sydney Limited is insured externally and in line with the University of Western Sydney policies for all significant areas of risk exposure and accordingly, is not a self-insurer and makes no provision in its financial statements for internal coverage.</w:t>
      </w:r>
    </w:p>
    <w:p>
      <w:pPr>
        <w:pStyle w:val="BodyText"/>
        <w:spacing w:before="6"/>
        <w:rPr>
          <w:sz w:val="24"/>
        </w:rPr>
      </w:pPr>
    </w:p>
    <w:p>
      <w:pPr>
        <w:pStyle w:val="Heading9"/>
        <w:ind w:left="504"/>
        <w:jc w:val="both"/>
      </w:pPr>
      <w:r>
        <w:rPr/>
        <w:t>Proceedings on behalf of company</w:t>
      </w:r>
    </w:p>
    <w:p>
      <w:pPr>
        <w:pStyle w:val="BodyText"/>
        <w:spacing w:before="4"/>
        <w:ind w:left="503" w:right="285"/>
        <w:jc w:val="both"/>
      </w:pPr>
      <w:r>
        <w:rPr/>
        <w:t>No person has applied to the Court under section 237 of the </w:t>
      </w:r>
      <w:r>
        <w:rPr>
          <w:i/>
        </w:rPr>
        <w:t>Corporations Act 2001 </w:t>
      </w:r>
      <w:r>
        <w:rPr/>
        <w:t>for leave to bring proceedings on behalf of the Company or to intervene in any proceedings to which the Company is a party, for the purpose of taking responsibility on behalf of the Company for all or any part of those proceedings.</w:t>
      </w:r>
    </w:p>
    <w:p>
      <w:pPr>
        <w:pStyle w:val="BodyText"/>
        <w:rPr>
          <w:sz w:val="25"/>
        </w:rPr>
      </w:pPr>
    </w:p>
    <w:p>
      <w:pPr>
        <w:pStyle w:val="BodyText"/>
        <w:ind w:left="503"/>
        <w:jc w:val="both"/>
      </w:pPr>
      <w:r>
        <w:rPr/>
        <w:t>Signed in accordance with a resolution of the Board of Directors'.</w:t>
      </w:r>
    </w:p>
    <w:p>
      <w:pPr>
        <w:pStyle w:val="BodyText"/>
        <w:spacing w:before="1"/>
        <w:rPr>
          <w:sz w:val="22"/>
        </w:rPr>
      </w:pPr>
      <w:r>
        <w:rPr/>
        <w:drawing>
          <wp:anchor distT="0" distB="0" distL="0" distR="0" allowOverlap="1" layoutInCell="1" locked="0" behindDoc="0" simplePos="0" relativeHeight="5968">
            <wp:simplePos x="0" y="0"/>
            <wp:positionH relativeFrom="page">
              <wp:posOffset>895587</wp:posOffset>
            </wp:positionH>
            <wp:positionV relativeFrom="paragraph">
              <wp:posOffset>186066</wp:posOffset>
            </wp:positionV>
            <wp:extent cx="6172226" cy="1163288"/>
            <wp:effectExtent l="0" t="0" r="0" b="0"/>
            <wp:wrapTopAndBottom/>
            <wp:docPr id="109" name="image80.jpeg" descr=""/>
            <wp:cNvGraphicFramePr>
              <a:graphicFrameLocks noChangeAspect="1"/>
            </wp:cNvGraphicFramePr>
            <a:graphic>
              <a:graphicData uri="http://schemas.openxmlformats.org/drawingml/2006/picture">
                <pic:pic>
                  <pic:nvPicPr>
                    <pic:cNvPr id="110" name="image80.jpeg"/>
                    <pic:cNvPicPr/>
                  </pic:nvPicPr>
                  <pic:blipFill>
                    <a:blip r:embed="rId247" cstate="print"/>
                    <a:stretch>
                      <a:fillRect/>
                    </a:stretch>
                  </pic:blipFill>
                  <pic:spPr>
                    <a:xfrm>
                      <a:off x="0" y="0"/>
                      <a:ext cx="6172226" cy="1163288"/>
                    </a:xfrm>
                    <a:prstGeom prst="rect">
                      <a:avLst/>
                    </a:prstGeom>
                  </pic:spPr>
                </pic:pic>
              </a:graphicData>
            </a:graphic>
          </wp:anchor>
        </w:drawing>
      </w:r>
    </w:p>
    <w:p>
      <w:pPr>
        <w:pStyle w:val="BodyText"/>
        <w:tabs>
          <w:tab w:pos="5316" w:val="left" w:leader="none"/>
        </w:tabs>
        <w:spacing w:line="285" w:lineRule="auto"/>
        <w:ind w:left="575" w:right="3233"/>
      </w:pPr>
      <w:r>
        <w:rPr/>
        <w:t>Prof. Janice</w:t>
      </w:r>
      <w:r>
        <w:rPr>
          <w:spacing w:val="-2"/>
        </w:rPr>
        <w:t> </w:t>
      </w:r>
      <w:r>
        <w:rPr/>
        <w:t>Reid</w:t>
      </w:r>
      <w:r>
        <w:rPr>
          <w:spacing w:val="-1"/>
        </w:rPr>
        <w:t> </w:t>
      </w:r>
      <w:r>
        <w:rPr/>
        <w:t>AM</w:t>
        <w:tab/>
        <w:t>Mr</w:t>
      </w:r>
      <w:r>
        <w:rPr>
          <w:spacing w:val="-5"/>
        </w:rPr>
        <w:t> </w:t>
      </w:r>
      <w:r>
        <w:rPr/>
        <w:t>Geoffrey</w:t>
      </w:r>
      <w:r>
        <w:rPr>
          <w:spacing w:val="-5"/>
        </w:rPr>
        <w:t> </w:t>
      </w:r>
      <w:r>
        <w:rPr/>
        <w:t>Roberson</w:t>
      </w:r>
      <w:r>
        <w:rPr>
          <w:spacing w:val="-1"/>
        </w:rPr>
        <w:t> </w:t>
      </w:r>
      <w:r>
        <w:rPr/>
        <w:t>Dated 28 March</w:t>
      </w:r>
      <w:r>
        <w:rPr>
          <w:spacing w:val="-9"/>
        </w:rPr>
        <w:t> </w:t>
      </w:r>
      <w:r>
        <w:rPr/>
        <w:t>2013</w:t>
      </w:r>
    </w:p>
    <w:p>
      <w:pPr>
        <w:spacing w:after="0" w:line="285" w:lineRule="auto"/>
        <w:sectPr>
          <w:headerReference w:type="default" r:id="rId245"/>
          <w:footerReference w:type="default" r:id="rId246"/>
          <w:pgSz w:w="11960" w:h="16850"/>
          <w:pgMar w:header="0" w:footer="507" w:top="660" w:bottom="700" w:left="900" w:right="720"/>
        </w:sectPr>
      </w:pPr>
    </w:p>
    <w:p>
      <w:pPr>
        <w:pStyle w:val="BodyText"/>
        <w:ind w:left="4448"/>
        <w:rPr>
          <w:sz w:val="20"/>
        </w:rPr>
      </w:pPr>
      <w:r>
        <w:rPr>
          <w:sz w:val="20"/>
        </w:rPr>
        <w:drawing>
          <wp:inline distT="0" distB="0" distL="0" distR="0">
            <wp:extent cx="1024128" cy="1060703"/>
            <wp:effectExtent l="0" t="0" r="0" b="0"/>
            <wp:docPr id="111" name="image81.jpeg" descr=""/>
            <wp:cNvGraphicFramePr>
              <a:graphicFrameLocks noChangeAspect="1"/>
            </wp:cNvGraphicFramePr>
            <a:graphic>
              <a:graphicData uri="http://schemas.openxmlformats.org/drawingml/2006/picture">
                <pic:pic>
                  <pic:nvPicPr>
                    <pic:cNvPr id="112" name="image81.jpeg"/>
                    <pic:cNvPicPr/>
                  </pic:nvPicPr>
                  <pic:blipFill>
                    <a:blip r:embed="rId250" cstate="print"/>
                    <a:stretch>
                      <a:fillRect/>
                    </a:stretch>
                  </pic:blipFill>
                  <pic:spPr>
                    <a:xfrm>
                      <a:off x="0" y="0"/>
                      <a:ext cx="1024128" cy="1060703"/>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1"/>
        <w:rPr>
          <w:sz w:val="23"/>
        </w:rPr>
      </w:pPr>
    </w:p>
    <w:p>
      <w:pPr>
        <w:spacing w:line="228" w:lineRule="exact" w:before="75"/>
        <w:ind w:left="713" w:right="0" w:firstLine="0"/>
        <w:jc w:val="both"/>
        <w:rPr>
          <w:sz w:val="20"/>
        </w:rPr>
      </w:pPr>
      <w:r>
        <w:rPr>
          <w:color w:val="110F11"/>
          <w:sz w:val="20"/>
        </w:rPr>
        <w:t>To the Directors</w:t>
      </w:r>
    </w:p>
    <w:p>
      <w:pPr>
        <w:spacing w:line="228" w:lineRule="exact" w:before="0"/>
        <w:ind w:left="713" w:right="0" w:firstLine="0"/>
        <w:jc w:val="both"/>
        <w:rPr>
          <w:sz w:val="20"/>
        </w:rPr>
      </w:pPr>
      <w:r>
        <w:rPr>
          <w:color w:val="110F11"/>
          <w:sz w:val="20"/>
        </w:rPr>
        <w:t>Whitlam Institute within the University of Western Sydney Limited</w:t>
      </w:r>
    </w:p>
    <w:p>
      <w:pPr>
        <w:pStyle w:val="BodyText"/>
        <w:rPr>
          <w:sz w:val="20"/>
        </w:rPr>
      </w:pPr>
    </w:p>
    <w:p>
      <w:pPr>
        <w:pStyle w:val="BodyText"/>
        <w:spacing w:before="1"/>
        <w:rPr>
          <w:sz w:val="20"/>
        </w:rPr>
      </w:pPr>
    </w:p>
    <w:p>
      <w:pPr>
        <w:spacing w:before="1"/>
        <w:ind w:left="3200" w:right="894" w:firstLine="0"/>
        <w:jc w:val="left"/>
        <w:rPr>
          <w:b/>
          <w:sz w:val="23"/>
        </w:rPr>
      </w:pPr>
      <w:r>
        <w:rPr>
          <w:b/>
          <w:color w:val="110F11"/>
          <w:sz w:val="23"/>
        </w:rPr>
        <w:t>Auditor's  Independence  Declaration</w:t>
      </w:r>
    </w:p>
    <w:p>
      <w:pPr>
        <w:pStyle w:val="BodyText"/>
        <w:rPr>
          <w:b/>
          <w:sz w:val="22"/>
        </w:rPr>
      </w:pPr>
    </w:p>
    <w:p>
      <w:pPr>
        <w:pStyle w:val="BodyText"/>
        <w:spacing w:before="11"/>
        <w:rPr>
          <w:b/>
          <w:sz w:val="17"/>
        </w:rPr>
      </w:pPr>
    </w:p>
    <w:p>
      <w:pPr>
        <w:spacing w:line="242" w:lineRule="auto" w:before="0"/>
        <w:ind w:left="718" w:right="644" w:hanging="10"/>
        <w:jc w:val="both"/>
        <w:rPr>
          <w:sz w:val="20"/>
        </w:rPr>
      </w:pPr>
      <w:r>
        <w:rPr>
          <w:color w:val="110F11"/>
          <w:sz w:val="20"/>
        </w:rPr>
        <w:t>As auditor for the audit of the financial statements of Whitlam Institute within the University of Western Sydney Limited for the year ended 31 December 2012</w:t>
      </w:r>
      <w:r>
        <w:rPr>
          <w:color w:val="2D2D2D"/>
          <w:sz w:val="20"/>
        </w:rPr>
        <w:t>, </w:t>
      </w:r>
      <w:r>
        <w:rPr>
          <w:color w:val="110F11"/>
          <w:sz w:val="20"/>
        </w:rPr>
        <w:t>I declare, to the best of my knowledge and belief</w:t>
      </w:r>
      <w:r>
        <w:rPr>
          <w:color w:val="2D2D2D"/>
          <w:sz w:val="20"/>
        </w:rPr>
        <w:t>, </w:t>
      </w:r>
      <w:r>
        <w:rPr>
          <w:color w:val="110F11"/>
          <w:sz w:val="20"/>
        </w:rPr>
        <w:t>there have been no contraventions of</w:t>
      </w:r>
      <w:r>
        <w:rPr>
          <w:color w:val="2D2D2D"/>
          <w:sz w:val="20"/>
        </w:rPr>
        <w:t>:</w:t>
      </w:r>
    </w:p>
    <w:p>
      <w:pPr>
        <w:pStyle w:val="BodyText"/>
        <w:spacing w:before="5"/>
        <w:rPr>
          <w:sz w:val="24"/>
        </w:rPr>
      </w:pPr>
    </w:p>
    <w:p>
      <w:pPr>
        <w:pStyle w:val="ListParagraph"/>
        <w:numPr>
          <w:ilvl w:val="0"/>
          <w:numId w:val="125"/>
        </w:numPr>
        <w:tabs>
          <w:tab w:pos="1285" w:val="left" w:leader="none"/>
        </w:tabs>
        <w:spacing w:line="240" w:lineRule="auto" w:before="0" w:after="0"/>
        <w:ind w:left="1284" w:right="0" w:hanging="571"/>
        <w:jc w:val="both"/>
        <w:rPr>
          <w:sz w:val="20"/>
        </w:rPr>
      </w:pPr>
      <w:r>
        <w:rPr>
          <w:color w:val="110F11"/>
          <w:sz w:val="20"/>
        </w:rPr>
        <w:t>the auditor independence requirements of the </w:t>
      </w:r>
      <w:r>
        <w:rPr>
          <w:i/>
          <w:color w:val="110F11"/>
          <w:sz w:val="19"/>
        </w:rPr>
        <w:t>Corporations Act 2001 </w:t>
      </w:r>
      <w:r>
        <w:rPr>
          <w:color w:val="110F11"/>
          <w:sz w:val="20"/>
        </w:rPr>
        <w:t>in relation to the </w:t>
      </w:r>
      <w:r>
        <w:rPr>
          <w:color w:val="110F11"/>
          <w:spacing w:val="29"/>
          <w:sz w:val="20"/>
        </w:rPr>
        <w:t> </w:t>
      </w:r>
      <w:r>
        <w:rPr>
          <w:color w:val="110F11"/>
          <w:sz w:val="20"/>
        </w:rPr>
        <w:t>audit</w:t>
      </w:r>
    </w:p>
    <w:p>
      <w:pPr>
        <w:pStyle w:val="Heading8"/>
        <w:numPr>
          <w:ilvl w:val="0"/>
          <w:numId w:val="125"/>
        </w:numPr>
        <w:tabs>
          <w:tab w:pos="1290" w:val="left" w:leader="none"/>
        </w:tabs>
        <w:spacing w:line="240" w:lineRule="auto" w:before="63" w:after="0"/>
        <w:ind w:left="1289" w:right="0" w:hanging="571"/>
        <w:jc w:val="both"/>
      </w:pPr>
      <w:r>
        <w:rPr>
          <w:color w:val="110F11"/>
        </w:rPr>
        <w:t>any applicable code of professional conduct in relation to the</w:t>
      </w:r>
      <w:r>
        <w:rPr>
          <w:color w:val="110F11"/>
          <w:spacing w:val="-16"/>
        </w:rPr>
        <w:t> </w:t>
      </w:r>
      <w:r>
        <w:rPr>
          <w:color w:val="110F11"/>
        </w:rPr>
        <w:t>audit.</w:t>
      </w:r>
    </w:p>
    <w:p>
      <w:pPr>
        <w:spacing w:line="887" w:lineRule="exact" w:before="143"/>
        <w:ind w:left="1721" w:right="894" w:firstLine="0"/>
        <w:jc w:val="left"/>
        <w:rPr>
          <w:sz w:val="82"/>
        </w:rPr>
      </w:pPr>
      <w:r>
        <w:rPr>
          <w:color w:val="110F11"/>
          <w:w w:val="80"/>
          <w:sz w:val="82"/>
        </w:rPr>
        <w:t>--IL</w:t>
      </w:r>
      <w:r>
        <w:rPr>
          <w:color w:val="110F11"/>
          <w:spacing w:val="-57"/>
          <w:w w:val="80"/>
          <w:sz w:val="82"/>
        </w:rPr>
        <w:t> </w:t>
      </w:r>
      <w:r>
        <w:rPr>
          <w:color w:val="110F11"/>
          <w:w w:val="55"/>
          <w:sz w:val="82"/>
        </w:rPr>
        <w:t>-</w:t>
      </w:r>
    </w:p>
    <w:p>
      <w:pPr>
        <w:pStyle w:val="Heading8"/>
        <w:spacing w:line="174" w:lineRule="exact"/>
        <w:ind w:left="723"/>
      </w:pPr>
      <w:r>
        <w:rPr>
          <w:color w:val="110F11"/>
        </w:rPr>
        <w:t>Renee Meimaroglou</w:t>
      </w:r>
    </w:p>
    <w:p>
      <w:pPr>
        <w:spacing w:before="0"/>
        <w:ind w:left="728" w:right="0" w:firstLine="0"/>
        <w:jc w:val="both"/>
        <w:rPr>
          <w:sz w:val="20"/>
        </w:rPr>
      </w:pPr>
      <w:r>
        <w:rPr>
          <w:color w:val="110F11"/>
          <w:sz w:val="20"/>
        </w:rPr>
        <w:t>Director, Financial Aud</w:t>
      </w:r>
      <w:r>
        <w:rPr>
          <w:color w:val="2D2D2D"/>
          <w:sz w:val="20"/>
        </w:rPr>
        <w:t>i</w:t>
      </w:r>
      <w:r>
        <w:rPr>
          <w:color w:val="110F11"/>
          <w:sz w:val="20"/>
        </w:rPr>
        <w:t>t Services</w:t>
      </w:r>
    </w:p>
    <w:p>
      <w:pPr>
        <w:pStyle w:val="BodyText"/>
        <w:rPr>
          <w:sz w:val="20"/>
        </w:rPr>
      </w:pPr>
    </w:p>
    <w:p>
      <w:pPr>
        <w:spacing w:before="1"/>
        <w:ind w:left="713" w:right="0" w:firstLine="0"/>
        <w:jc w:val="both"/>
        <w:rPr>
          <w:sz w:val="20"/>
        </w:rPr>
      </w:pPr>
      <w:r>
        <w:rPr>
          <w:color w:val="110F11"/>
          <w:sz w:val="20"/>
        </w:rPr>
        <w:t>26 March 2013</w:t>
      </w:r>
    </w:p>
    <w:p>
      <w:pPr>
        <w:spacing w:before="5"/>
        <w:ind w:left="718" w:right="0" w:firstLine="0"/>
        <w:jc w:val="both"/>
        <w:rPr>
          <w:b/>
          <w:sz w:val="19"/>
        </w:rPr>
      </w:pPr>
      <w:r>
        <w:rPr>
          <w:b/>
          <w:color w:val="110F11"/>
          <w:w w:val="105"/>
          <w:sz w:val="19"/>
        </w:rPr>
        <w:t>SYDNEY</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5"/>
        </w:rPr>
      </w:pPr>
      <w:r>
        <w:rPr/>
        <w:pict>
          <v:line style="position:absolute;mso-position-horizontal-relative:page;mso-position-vertical-relative:paragraph;z-index:5992;mso-wrap-distance-left:0;mso-wrap-distance-right:0" from="37.680012pt,17.096111pt" to="547.200012pt,17.096111pt" stroked="true" strokeweight=".48pt" strokecolor="#3b3b3b">
            <w10:wrap type="topAndBottom"/>
          </v:line>
        </w:pict>
      </w:r>
    </w:p>
    <w:p>
      <w:pPr>
        <w:spacing w:after="0"/>
        <w:rPr>
          <w:sz w:val="25"/>
        </w:rPr>
        <w:sectPr>
          <w:headerReference w:type="default" r:id="rId248"/>
          <w:footerReference w:type="default" r:id="rId249"/>
          <w:pgSz w:w="11910" w:h="16840"/>
          <w:pgMar w:header="0" w:footer="623" w:top="860" w:bottom="820" w:left="640" w:right="840"/>
        </w:sectPr>
      </w:pPr>
    </w:p>
    <w:p>
      <w:pPr>
        <w:spacing w:line="60" w:lineRule="exact" w:before="59"/>
        <w:ind w:left="741" w:right="0" w:firstLine="0"/>
        <w:jc w:val="center"/>
        <w:rPr>
          <w:sz w:val="17"/>
        </w:rPr>
      </w:pPr>
      <w:r>
        <w:rPr>
          <w:color w:val="0F0F11"/>
          <w:spacing w:val="-1"/>
          <w:w w:val="396"/>
          <w:sz w:val="17"/>
        </w:rPr>
        <w:t>,</w:t>
      </w:r>
      <w:r>
        <w:rPr>
          <w:color w:val="0F0F11"/>
          <w:w w:val="164"/>
          <w:sz w:val="17"/>
        </w:rPr>
        <w:t>oR-</w:t>
      </w:r>
      <w:r>
        <w:rPr>
          <w:color w:val="0F0F11"/>
          <w:spacing w:val="-13"/>
          <w:w w:val="164"/>
          <w:sz w:val="17"/>
        </w:rPr>
        <w:t>G</w:t>
      </w:r>
      <w:r>
        <w:rPr>
          <w:color w:val="0F0F11"/>
          <w:w w:val="90"/>
          <w:sz w:val="17"/>
        </w:rPr>
        <w:t>,t.,</w:t>
      </w:r>
    </w:p>
    <w:p>
      <w:pPr>
        <w:tabs>
          <w:tab w:pos="6604" w:val="left" w:leader="none"/>
        </w:tabs>
        <w:spacing w:line="657" w:lineRule="exact" w:before="0"/>
        <w:ind w:left="-4872" w:right="902" w:firstLine="0"/>
        <w:jc w:val="left"/>
        <w:rPr>
          <w:rFonts w:ascii="Times New Roman"/>
          <w:i/>
          <w:sz w:val="12"/>
        </w:rPr>
      </w:pPr>
      <w:r>
        <w:rPr>
          <w:rFonts w:ascii="Times New Roman"/>
          <w:color w:val="2D2D2D"/>
          <w:spacing w:val="-11806"/>
          <w:w w:val="600"/>
          <w:position w:val="1"/>
          <w:sz w:val="69"/>
        </w:rPr>
        <w:t>-</w:t>
      </w:r>
      <w:r>
        <w:rPr>
          <w:rFonts w:ascii="Times New Roman"/>
          <w:color w:val="0F0F11"/>
          <w:w w:val="43"/>
          <w:position w:val="1"/>
          <w:sz w:val="69"/>
        </w:rPr>
        <w:t>o</w:t>
      </w:r>
      <w:r>
        <w:rPr>
          <w:rFonts w:ascii="Times New Roman"/>
          <w:color w:val="0F0F11"/>
          <w:spacing w:val="-24"/>
          <w:position w:val="1"/>
          <w:sz w:val="69"/>
        </w:rPr>
        <w:t> </w:t>
      </w:r>
      <w:r>
        <w:rPr>
          <w:color w:val="494949"/>
          <w:w w:val="157"/>
          <w:sz w:val="9"/>
        </w:rPr>
        <w:t>.</w:t>
      </w:r>
      <w:r>
        <w:rPr>
          <w:color w:val="494949"/>
          <w:sz w:val="9"/>
        </w:rPr>
        <w:t>    </w:t>
      </w:r>
      <w:r>
        <w:rPr>
          <w:color w:val="494949"/>
          <w:spacing w:val="-6"/>
          <w:sz w:val="9"/>
        </w:rPr>
        <w:t> </w:t>
      </w:r>
      <w:r>
        <w:rPr>
          <w:color w:val="2D2D2D"/>
          <w:w w:val="93"/>
          <w:position w:val="-13"/>
          <w:sz w:val="50"/>
        </w:rPr>
        <w:t>.</w:t>
      </w:r>
      <w:r>
        <w:rPr>
          <w:color w:val="2D2D2D"/>
          <w:spacing w:val="-1"/>
          <w:position w:val="-13"/>
          <w:sz w:val="50"/>
        </w:rPr>
        <w:t> </w:t>
      </w:r>
      <w:r>
        <w:rPr>
          <w:color w:val="0F0F11"/>
          <w:w w:val="91"/>
          <w:position w:val="-13"/>
          <w:sz w:val="46"/>
        </w:rPr>
        <w:t>.</w:t>
      </w:r>
      <w:r>
        <w:rPr>
          <w:color w:val="0F0F11"/>
          <w:position w:val="-13"/>
          <w:sz w:val="46"/>
        </w:rPr>
        <w:tab/>
      </w:r>
      <w:r>
        <w:rPr>
          <w:rFonts w:ascii="Times New Roman"/>
          <w:i/>
          <w:color w:val="0F0F11"/>
          <w:w w:val="125"/>
          <w:sz w:val="12"/>
        </w:rPr>
        <w:t>(</w:t>
      </w:r>
      <w:r>
        <w:rPr>
          <w:rFonts w:ascii="Times New Roman"/>
          <w:i/>
          <w:color w:val="0F0F11"/>
          <w:w w:val="125"/>
          <w:sz w:val="12"/>
        </w:rPr>
        <w:t>"</w:t>
      </w:r>
    </w:p>
    <w:p>
      <w:pPr>
        <w:spacing w:line="72" w:lineRule="exact" w:before="0"/>
        <w:ind w:left="698" w:right="0" w:firstLine="0"/>
        <w:jc w:val="center"/>
        <w:rPr>
          <w:sz w:val="7"/>
        </w:rPr>
      </w:pPr>
      <w:r>
        <w:rPr>
          <w:color w:val="898C8E"/>
          <w:w w:val="75"/>
          <w:sz w:val="7"/>
        </w:rPr>
        <w:t>'  '</w:t>
      </w:r>
    </w:p>
    <w:p>
      <w:pPr>
        <w:pStyle w:val="BodyText"/>
        <w:spacing w:before="6"/>
        <w:rPr>
          <w:sz w:val="13"/>
        </w:rPr>
      </w:pPr>
    </w:p>
    <w:p>
      <w:pPr>
        <w:tabs>
          <w:tab w:pos="847" w:val="left" w:leader="none"/>
          <w:tab w:pos="1370" w:val="left" w:leader="none"/>
        </w:tabs>
        <w:spacing w:line="111" w:lineRule="exact" w:before="0"/>
        <w:ind w:left="626" w:right="0" w:firstLine="0"/>
        <w:jc w:val="center"/>
        <w:rPr>
          <w:rFonts w:ascii="Times New Roman"/>
          <w:sz w:val="11"/>
        </w:rPr>
      </w:pPr>
      <w:r>
        <w:rPr>
          <w:rFonts w:ascii="Times New Roman"/>
          <w:color w:val="7B7C7C"/>
          <w:w w:val="95"/>
          <w:sz w:val="8"/>
        </w:rPr>
        <w:t>.</w:t>
        <w:tab/>
      </w:r>
      <w:r>
        <w:rPr>
          <w:rFonts w:ascii="Times New Roman"/>
          <w:color w:val="2D2D2D"/>
          <w:w w:val="105"/>
          <w:sz w:val="8"/>
        </w:rPr>
        <w:t>.,.1.u </w:t>
      </w:r>
      <w:r>
        <w:rPr>
          <w:rFonts w:ascii="Times New Roman"/>
          <w:color w:val="2D2D2D"/>
          <w:spacing w:val="12"/>
          <w:w w:val="105"/>
          <w:sz w:val="8"/>
        </w:rPr>
        <w:t> </w:t>
      </w:r>
      <w:r>
        <w:rPr>
          <w:rFonts w:ascii="Times New Roman"/>
          <w:color w:val="2D2D2D"/>
          <w:w w:val="130"/>
          <w:sz w:val="8"/>
        </w:rPr>
        <w:t>l</w:t>
        <w:tab/>
      </w:r>
      <w:r>
        <w:rPr>
          <w:rFonts w:ascii="Times New Roman"/>
          <w:color w:val="2D2D2D"/>
          <w:w w:val="105"/>
          <w:sz w:val="11"/>
        </w:rPr>
        <w:t>u""   </w:t>
      </w:r>
      <w:r>
        <w:rPr>
          <w:rFonts w:ascii="Times New Roman"/>
          <w:color w:val="2D2D2D"/>
          <w:spacing w:val="23"/>
          <w:w w:val="105"/>
          <w:sz w:val="11"/>
        </w:rPr>
        <w:t> </w:t>
      </w:r>
      <w:r>
        <w:rPr>
          <w:rFonts w:ascii="Times New Roman"/>
          <w:color w:val="898C8E"/>
          <w:w w:val="105"/>
          <w:sz w:val="11"/>
        </w:rPr>
        <w:t>.</w:t>
      </w:r>
    </w:p>
    <w:p>
      <w:pPr>
        <w:tabs>
          <w:tab w:pos="1120" w:val="left" w:leader="none"/>
          <w:tab w:pos="1562" w:val="left" w:leader="none"/>
        </w:tabs>
        <w:spacing w:line="100" w:lineRule="exact" w:before="0"/>
        <w:ind w:left="702" w:right="0" w:firstLine="0"/>
        <w:jc w:val="center"/>
        <w:rPr>
          <w:rFonts w:ascii="Times New Roman" w:hAnsi="Times New Roman"/>
          <w:sz w:val="10"/>
        </w:rPr>
      </w:pPr>
      <w:r>
        <w:rPr/>
        <w:drawing>
          <wp:anchor distT="0" distB="0" distL="0" distR="0" allowOverlap="1" layoutInCell="1" locked="0" behindDoc="0" simplePos="0" relativeHeight="6016">
            <wp:simplePos x="0" y="0"/>
            <wp:positionH relativeFrom="page">
              <wp:posOffset>3328416</wp:posOffset>
            </wp:positionH>
            <wp:positionV relativeFrom="paragraph">
              <wp:posOffset>128767</wp:posOffset>
            </wp:positionV>
            <wp:extent cx="841247" cy="243840"/>
            <wp:effectExtent l="0" t="0" r="0" b="0"/>
            <wp:wrapTopAndBottom/>
            <wp:docPr id="113" name="image82.jpeg" descr=""/>
            <wp:cNvGraphicFramePr>
              <a:graphicFrameLocks noChangeAspect="1"/>
            </wp:cNvGraphicFramePr>
            <a:graphic>
              <a:graphicData uri="http://schemas.openxmlformats.org/drawingml/2006/picture">
                <pic:pic>
                  <pic:nvPicPr>
                    <pic:cNvPr id="114" name="image82.jpeg"/>
                    <pic:cNvPicPr/>
                  </pic:nvPicPr>
                  <pic:blipFill>
                    <a:blip r:embed="rId253" cstate="print"/>
                    <a:stretch>
                      <a:fillRect/>
                    </a:stretch>
                  </pic:blipFill>
                  <pic:spPr>
                    <a:xfrm>
                      <a:off x="0" y="0"/>
                      <a:ext cx="841247" cy="243840"/>
                    </a:xfrm>
                    <a:prstGeom prst="rect">
                      <a:avLst/>
                    </a:prstGeom>
                  </pic:spPr>
                </pic:pic>
              </a:graphicData>
            </a:graphic>
          </wp:anchor>
        </w:drawing>
      </w:r>
      <w:r>
        <w:rPr>
          <w:rFonts w:ascii="Times New Roman" w:hAnsi="Times New Roman"/>
          <w:color w:val="2D2D2D"/>
          <w:sz w:val="10"/>
        </w:rPr>
        <w:t>o"''"'</w:t>
        <w:tab/>
      </w:r>
      <w:r>
        <w:rPr>
          <w:rFonts w:ascii="Times New Roman" w:hAnsi="Times New Roman"/>
          <w:color w:val="494949"/>
          <w:sz w:val="10"/>
        </w:rPr>
        <w:t>ov</w:t>
      </w:r>
      <w:r>
        <w:rPr>
          <w:rFonts w:ascii="Times New Roman" w:hAnsi="Times New Roman"/>
          <w:color w:val="494949"/>
          <w:spacing w:val="-13"/>
          <w:sz w:val="10"/>
        </w:rPr>
        <w:t> </w:t>
      </w:r>
      <w:r>
        <w:rPr>
          <w:rFonts w:ascii="Times New Roman" w:hAnsi="Times New Roman"/>
          <w:color w:val="2D2D2D"/>
          <w:sz w:val="10"/>
        </w:rPr>
        <w:t>a</w:t>
      </w:r>
      <w:r>
        <w:rPr>
          <w:rFonts w:ascii="Times New Roman" w:hAnsi="Times New Roman"/>
          <w:color w:val="2D2D2D"/>
          <w:spacing w:val="-9"/>
          <w:sz w:val="10"/>
        </w:rPr>
        <w:t> </w:t>
      </w:r>
      <w:r>
        <w:rPr>
          <w:rFonts w:ascii="Times New Roman" w:hAnsi="Times New Roman"/>
          <w:color w:val="0F0F11"/>
          <w:w w:val="180"/>
          <w:sz w:val="10"/>
        </w:rPr>
        <w:t>-</w:t>
        <w:tab/>
      </w:r>
      <w:r>
        <w:rPr>
          <w:rFonts w:ascii="Times New Roman" w:hAnsi="Times New Roman"/>
          <w:color w:val="2D2D2D"/>
          <w:w w:val="125"/>
          <w:sz w:val="10"/>
        </w:rPr>
        <w:t>';•,.</w:t>
      </w:r>
    </w:p>
    <w:p>
      <w:pPr>
        <w:pStyle w:val="BodyText"/>
        <w:rPr>
          <w:rFonts w:ascii="Times New Roman"/>
          <w:sz w:val="10"/>
        </w:rPr>
      </w:pPr>
    </w:p>
    <w:p>
      <w:pPr>
        <w:pStyle w:val="BodyText"/>
        <w:rPr>
          <w:rFonts w:ascii="Times New Roman"/>
          <w:sz w:val="10"/>
        </w:rPr>
      </w:pPr>
    </w:p>
    <w:p>
      <w:pPr>
        <w:spacing w:before="87"/>
        <w:ind w:left="792" w:right="0" w:firstLine="0"/>
        <w:jc w:val="center"/>
        <w:rPr>
          <w:b/>
          <w:sz w:val="23"/>
        </w:rPr>
      </w:pPr>
      <w:r>
        <w:rPr>
          <w:b/>
          <w:color w:val="0F0F11"/>
          <w:w w:val="105"/>
          <w:sz w:val="23"/>
        </w:rPr>
        <w:t>INDEPENDENT AUDITOR'S REPORT</w:t>
      </w:r>
    </w:p>
    <w:p>
      <w:pPr>
        <w:pStyle w:val="BodyText"/>
        <w:spacing w:before="1"/>
        <w:rPr>
          <w:b/>
          <w:sz w:val="21"/>
        </w:rPr>
      </w:pPr>
    </w:p>
    <w:p>
      <w:pPr>
        <w:spacing w:before="1"/>
        <w:ind w:left="770" w:right="0" w:firstLine="0"/>
        <w:jc w:val="center"/>
        <w:rPr>
          <w:b/>
          <w:sz w:val="19"/>
        </w:rPr>
      </w:pPr>
      <w:r>
        <w:rPr>
          <w:b/>
          <w:color w:val="0F0F11"/>
          <w:w w:val="105"/>
          <w:sz w:val="19"/>
        </w:rPr>
        <w:t>Whitlam Institute within the University of Western Sydney Limited</w:t>
      </w:r>
    </w:p>
    <w:p>
      <w:pPr>
        <w:pStyle w:val="BodyText"/>
        <w:rPr>
          <w:b/>
        </w:rPr>
      </w:pPr>
    </w:p>
    <w:p>
      <w:pPr>
        <w:pStyle w:val="BodyText"/>
        <w:spacing w:before="3"/>
        <w:rPr>
          <w:b/>
          <w:sz w:val="22"/>
        </w:rPr>
      </w:pPr>
    </w:p>
    <w:p>
      <w:pPr>
        <w:spacing w:line="244" w:lineRule="auto" w:before="0"/>
        <w:ind w:left="1406" w:right="647" w:hanging="15"/>
        <w:jc w:val="both"/>
        <w:rPr>
          <w:sz w:val="20"/>
        </w:rPr>
      </w:pPr>
      <w:r>
        <w:rPr>
          <w:color w:val="0F0F11"/>
          <w:sz w:val="20"/>
        </w:rPr>
        <w:t>To Members of the New South Wales Parliament and Members of Whitlam Institute within the University of Western Sydney Limited</w:t>
      </w:r>
    </w:p>
    <w:p>
      <w:pPr>
        <w:pStyle w:val="BodyText"/>
        <w:spacing w:before="7"/>
        <w:rPr>
          <w:sz w:val="19"/>
        </w:rPr>
      </w:pPr>
    </w:p>
    <w:p>
      <w:pPr>
        <w:spacing w:line="240" w:lineRule="auto" w:before="1"/>
        <w:ind w:left="1392" w:right="641" w:firstLine="14"/>
        <w:jc w:val="both"/>
        <w:rPr>
          <w:sz w:val="20"/>
        </w:rPr>
      </w:pPr>
      <w:r>
        <w:rPr>
          <w:color w:val="0F0F11"/>
          <w:sz w:val="20"/>
        </w:rPr>
        <w:t>I have audited the accompanying financial statements of Whitlam Institute within the University of Western Sydney  Limited (the Company) </w:t>
      </w:r>
      <w:r>
        <w:rPr>
          <w:color w:val="2D2D2D"/>
          <w:sz w:val="20"/>
        </w:rPr>
        <w:t>, </w:t>
      </w:r>
      <w:r>
        <w:rPr>
          <w:color w:val="0F0F11"/>
          <w:sz w:val="20"/>
        </w:rPr>
        <w:t>which  comprise the statement  of financial  position as at  31 December 2012 </w:t>
      </w:r>
      <w:r>
        <w:rPr>
          <w:color w:val="2D2D2D"/>
          <w:sz w:val="20"/>
        </w:rPr>
        <w:t>, </w:t>
      </w:r>
      <w:r>
        <w:rPr>
          <w:color w:val="0F0F11"/>
          <w:sz w:val="20"/>
        </w:rPr>
        <w:t>the statement of comprehensive income, statement of changes in equity and statement of cash flows for the year then ended, notes comprising a summary of  significant  accounting policies and other explanatory information and the directors' declaration</w:t>
      </w:r>
      <w:r>
        <w:rPr>
          <w:color w:val="0F0F11"/>
          <w:spacing w:val="-30"/>
          <w:sz w:val="20"/>
        </w:rPr>
        <w:t> </w:t>
      </w:r>
      <w:r>
        <w:rPr>
          <w:color w:val="2D2D2D"/>
          <w:sz w:val="20"/>
        </w:rPr>
        <w:t>.</w:t>
      </w:r>
    </w:p>
    <w:p>
      <w:pPr>
        <w:pStyle w:val="BodyText"/>
        <w:spacing w:before="11"/>
        <w:rPr>
          <w:sz w:val="20"/>
        </w:rPr>
      </w:pPr>
    </w:p>
    <w:p>
      <w:pPr>
        <w:spacing w:before="0"/>
        <w:ind w:left="1396" w:right="0" w:firstLine="0"/>
        <w:jc w:val="both"/>
        <w:rPr>
          <w:b/>
          <w:sz w:val="23"/>
        </w:rPr>
      </w:pPr>
      <w:r>
        <w:rPr>
          <w:b/>
          <w:color w:val="0F0F11"/>
          <w:w w:val="105"/>
          <w:sz w:val="23"/>
        </w:rPr>
        <w:t>Opinion</w:t>
      </w:r>
    </w:p>
    <w:p>
      <w:pPr>
        <w:pStyle w:val="BodyText"/>
        <w:spacing w:before="4"/>
        <w:rPr>
          <w:b/>
          <w:sz w:val="20"/>
        </w:rPr>
      </w:pPr>
    </w:p>
    <w:p>
      <w:pPr>
        <w:spacing w:before="0"/>
        <w:ind w:left="1401" w:right="0" w:firstLine="0"/>
        <w:jc w:val="both"/>
        <w:rPr>
          <w:sz w:val="20"/>
        </w:rPr>
      </w:pPr>
      <w:r>
        <w:rPr>
          <w:color w:val="0F0F11"/>
          <w:sz w:val="20"/>
        </w:rPr>
        <w:t>In my opinion the financial statements </w:t>
      </w:r>
      <w:r>
        <w:rPr>
          <w:color w:val="494949"/>
          <w:sz w:val="20"/>
        </w:rPr>
        <w:t>:</w:t>
      </w:r>
    </w:p>
    <w:p>
      <w:pPr>
        <w:pStyle w:val="BodyText"/>
        <w:rPr>
          <w:sz w:val="25"/>
        </w:rPr>
      </w:pPr>
    </w:p>
    <w:p>
      <w:pPr>
        <w:pStyle w:val="ListParagraph"/>
        <w:numPr>
          <w:ilvl w:val="0"/>
          <w:numId w:val="126"/>
        </w:numPr>
        <w:tabs>
          <w:tab w:pos="1964" w:val="left" w:leader="none"/>
        </w:tabs>
        <w:spacing w:line="240" w:lineRule="auto" w:before="1" w:after="0"/>
        <w:ind w:left="1958" w:right="0" w:hanging="562"/>
        <w:jc w:val="both"/>
        <w:rPr>
          <w:sz w:val="20"/>
        </w:rPr>
      </w:pPr>
      <w:r>
        <w:rPr>
          <w:color w:val="0F0F11"/>
          <w:sz w:val="20"/>
        </w:rPr>
        <w:t>are in accordance with the </w:t>
      </w:r>
      <w:r>
        <w:rPr>
          <w:i/>
          <w:color w:val="0F0F11"/>
          <w:sz w:val="19"/>
        </w:rPr>
        <w:t>Corporations Act 2001,  </w:t>
      </w:r>
      <w:r>
        <w:rPr>
          <w:i/>
          <w:color w:val="0F0F11"/>
          <w:spacing w:val="17"/>
          <w:sz w:val="19"/>
        </w:rPr>
        <w:t> </w:t>
      </w:r>
      <w:r>
        <w:rPr>
          <w:color w:val="0F0F11"/>
          <w:sz w:val="20"/>
        </w:rPr>
        <w:t>including</w:t>
      </w:r>
      <w:r>
        <w:rPr>
          <w:color w:val="494949"/>
          <w:sz w:val="20"/>
        </w:rPr>
        <w:t>:</w:t>
      </w:r>
    </w:p>
    <w:p>
      <w:pPr>
        <w:spacing w:before="63"/>
        <w:ind w:left="2534" w:right="902" w:firstLine="0"/>
        <w:jc w:val="left"/>
        <w:rPr>
          <w:sz w:val="20"/>
        </w:rPr>
      </w:pPr>
      <w:r>
        <w:rPr>
          <w:color w:val="0F0F11"/>
          <w:sz w:val="20"/>
        </w:rPr>
        <w:t>giving a true and fair view of the Company's financ</w:t>
      </w:r>
      <w:r>
        <w:rPr>
          <w:color w:val="2D2D2D"/>
          <w:sz w:val="20"/>
        </w:rPr>
        <w:t>i</w:t>
      </w:r>
      <w:r>
        <w:rPr>
          <w:color w:val="0F0F11"/>
          <w:sz w:val="20"/>
        </w:rPr>
        <w:t>al position as at 31 December 2012 and its performance for the year ended on that date</w:t>
      </w:r>
    </w:p>
    <w:p>
      <w:pPr>
        <w:spacing w:before="53"/>
        <w:ind w:left="2534" w:right="0" w:firstLine="0"/>
        <w:jc w:val="left"/>
        <w:rPr>
          <w:sz w:val="20"/>
        </w:rPr>
      </w:pPr>
      <w:r>
        <w:rPr>
          <w:color w:val="0F0F11"/>
          <w:sz w:val="20"/>
        </w:rPr>
        <w:t>complying with Australian Accounting Standards and the Corporations Regulations 2001</w:t>
      </w:r>
    </w:p>
    <w:p>
      <w:pPr>
        <w:pStyle w:val="ListParagraph"/>
        <w:numPr>
          <w:ilvl w:val="0"/>
          <w:numId w:val="126"/>
        </w:numPr>
        <w:tabs>
          <w:tab w:pos="1964" w:val="left" w:leader="none"/>
        </w:tabs>
        <w:spacing w:line="240" w:lineRule="auto" w:before="58" w:after="0"/>
        <w:ind w:left="1958" w:right="659" w:hanging="566"/>
        <w:jc w:val="left"/>
        <w:rPr>
          <w:sz w:val="20"/>
        </w:rPr>
      </w:pPr>
      <w:r>
        <w:rPr>
          <w:color w:val="0F0F11"/>
          <w:sz w:val="20"/>
        </w:rPr>
        <w:t>are in accordance with section 41 (B) of the </w:t>
      </w:r>
      <w:r>
        <w:rPr>
          <w:i/>
          <w:color w:val="0F0F11"/>
          <w:sz w:val="19"/>
        </w:rPr>
        <w:t>Public Finance and Audit Act 1983 </w:t>
      </w:r>
      <w:r>
        <w:rPr>
          <w:color w:val="0F0F11"/>
          <w:sz w:val="20"/>
        </w:rPr>
        <w:t>(the PF&amp;A Act) and the Public Finance and Audit Regulation</w:t>
      </w:r>
      <w:r>
        <w:rPr>
          <w:color w:val="0F0F11"/>
          <w:spacing w:val="-11"/>
          <w:sz w:val="20"/>
        </w:rPr>
        <w:t> </w:t>
      </w:r>
      <w:r>
        <w:rPr>
          <w:color w:val="0F0F11"/>
          <w:sz w:val="20"/>
        </w:rPr>
        <w:t>2010</w:t>
      </w:r>
    </w:p>
    <w:p>
      <w:pPr>
        <w:pStyle w:val="BodyText"/>
        <w:spacing w:before="5"/>
        <w:rPr>
          <w:sz w:val="25"/>
        </w:rPr>
      </w:pPr>
    </w:p>
    <w:p>
      <w:pPr>
        <w:pStyle w:val="Heading8"/>
        <w:ind w:left="1396"/>
      </w:pPr>
      <w:r>
        <w:rPr>
          <w:color w:val="0F0F11"/>
        </w:rPr>
        <w:t>My opinion should be read in conjunction with the rest of this report</w:t>
      </w:r>
    </w:p>
    <w:p>
      <w:pPr>
        <w:pStyle w:val="BodyText"/>
        <w:spacing w:before="3"/>
        <w:rPr>
          <w:sz w:val="24"/>
        </w:rPr>
      </w:pPr>
    </w:p>
    <w:p>
      <w:pPr>
        <w:spacing w:before="0"/>
        <w:ind w:left="1401" w:right="0" w:firstLine="0"/>
        <w:jc w:val="both"/>
        <w:rPr>
          <w:b/>
          <w:sz w:val="23"/>
        </w:rPr>
      </w:pPr>
      <w:r>
        <w:rPr>
          <w:b/>
          <w:color w:val="0F0F11"/>
          <w:w w:val="105"/>
          <w:sz w:val="23"/>
        </w:rPr>
        <w:t>Directors' Responsibility for the Financial Statements</w:t>
      </w:r>
    </w:p>
    <w:p>
      <w:pPr>
        <w:pStyle w:val="BodyText"/>
        <w:spacing w:before="4"/>
        <w:rPr>
          <w:b/>
          <w:sz w:val="20"/>
        </w:rPr>
      </w:pPr>
    </w:p>
    <w:p>
      <w:pPr>
        <w:spacing w:before="0"/>
        <w:ind w:left="1387" w:right="648" w:firstLine="0"/>
        <w:jc w:val="both"/>
        <w:rPr>
          <w:sz w:val="20"/>
        </w:rPr>
      </w:pPr>
      <w:r>
        <w:rPr>
          <w:color w:val="0F0F11"/>
          <w:sz w:val="20"/>
        </w:rPr>
        <w:t>The d</w:t>
      </w:r>
      <w:r>
        <w:rPr>
          <w:color w:val="2D2D2D"/>
          <w:sz w:val="20"/>
        </w:rPr>
        <w:t>i</w:t>
      </w:r>
      <w:r>
        <w:rPr>
          <w:color w:val="0F0F11"/>
          <w:sz w:val="20"/>
        </w:rPr>
        <w:t>rectors of the Company are responsible for the preparation of the financial statements that give  a </w:t>
      </w:r>
      <w:r>
        <w:rPr>
          <w:color w:val="0F0F11"/>
          <w:spacing w:val="3"/>
          <w:sz w:val="20"/>
        </w:rPr>
        <w:t>t</w:t>
      </w:r>
      <w:r>
        <w:rPr>
          <w:color w:val="2D2D2D"/>
          <w:spacing w:val="3"/>
          <w:sz w:val="20"/>
        </w:rPr>
        <w:t>r</w:t>
      </w:r>
      <w:r>
        <w:rPr>
          <w:color w:val="0F0F11"/>
          <w:spacing w:val="3"/>
          <w:sz w:val="20"/>
        </w:rPr>
        <w:t>ue </w:t>
      </w:r>
      <w:r>
        <w:rPr>
          <w:color w:val="0F0F11"/>
          <w:sz w:val="20"/>
        </w:rPr>
        <w:t>and fair view in accordance with Australian Accounting </w:t>
      </w:r>
      <w:r>
        <w:rPr>
          <w:color w:val="0F0F11"/>
          <w:spacing w:val="2"/>
          <w:sz w:val="20"/>
        </w:rPr>
        <w:t>Standards</w:t>
      </w:r>
      <w:r>
        <w:rPr>
          <w:color w:val="2D2D2D"/>
          <w:spacing w:val="2"/>
          <w:sz w:val="20"/>
        </w:rPr>
        <w:t>, </w:t>
      </w:r>
      <w:r>
        <w:rPr>
          <w:color w:val="0F0F11"/>
          <w:sz w:val="20"/>
        </w:rPr>
        <w:t>the PF&amp;A Act and the </w:t>
      </w:r>
      <w:r>
        <w:rPr>
          <w:i/>
          <w:color w:val="0F0F11"/>
          <w:sz w:val="19"/>
        </w:rPr>
        <w:t>Corporations Act 2001 </w:t>
      </w:r>
      <w:r>
        <w:rPr>
          <w:color w:val="0F0F11"/>
          <w:sz w:val="20"/>
        </w:rPr>
        <w:t>and for such internal control as the directors determine is necessary to enable the preparation of the financial statements that give a true and fair view and that are free from material misstatement, whether due to fraud or</w:t>
      </w:r>
      <w:r>
        <w:rPr>
          <w:color w:val="0F0F11"/>
          <w:spacing w:val="-6"/>
          <w:sz w:val="20"/>
        </w:rPr>
        <w:t> </w:t>
      </w:r>
      <w:r>
        <w:rPr>
          <w:color w:val="0F0F11"/>
          <w:spacing w:val="2"/>
          <w:sz w:val="20"/>
        </w:rPr>
        <w:t>error</w:t>
      </w:r>
      <w:r>
        <w:rPr>
          <w:color w:val="2D2D2D"/>
          <w:spacing w:val="2"/>
          <w:sz w:val="20"/>
        </w:rPr>
        <w:t>.</w:t>
      </w:r>
    </w:p>
    <w:p>
      <w:pPr>
        <w:pStyle w:val="BodyText"/>
        <w:spacing w:before="6"/>
        <w:rPr>
          <w:sz w:val="20"/>
        </w:rPr>
      </w:pPr>
    </w:p>
    <w:p>
      <w:pPr>
        <w:spacing w:before="0"/>
        <w:ind w:left="1377" w:right="0" w:firstLine="0"/>
        <w:jc w:val="both"/>
        <w:rPr>
          <w:b/>
          <w:sz w:val="23"/>
        </w:rPr>
      </w:pPr>
      <w:r>
        <w:rPr>
          <w:b/>
          <w:color w:val="0F0F11"/>
          <w:w w:val="105"/>
          <w:sz w:val="23"/>
        </w:rPr>
        <w:t>Auditor's Responsibility</w:t>
      </w:r>
    </w:p>
    <w:p>
      <w:pPr>
        <w:pStyle w:val="BodyText"/>
        <w:spacing w:before="8"/>
        <w:rPr>
          <w:b/>
          <w:sz w:val="20"/>
        </w:rPr>
      </w:pPr>
    </w:p>
    <w:p>
      <w:pPr>
        <w:spacing w:line="240" w:lineRule="auto" w:before="1"/>
        <w:ind w:left="1377" w:right="651" w:firstLine="14"/>
        <w:jc w:val="both"/>
        <w:rPr>
          <w:sz w:val="20"/>
        </w:rPr>
      </w:pPr>
      <w:r>
        <w:rPr>
          <w:color w:val="0F0F11"/>
          <w:sz w:val="20"/>
        </w:rPr>
        <w:t>My responsibility is to express an opinion on the financial statements based on my audit. I conducted my audit in accordance with Australian Auditing Standards. Those Standards require that  I comply  with relevant ethical requirements relating to audit engagements and plan and perform the audit to obtain reasonable assurance about whether the financ </w:t>
      </w:r>
      <w:r>
        <w:rPr>
          <w:color w:val="2D2D2D"/>
          <w:spacing w:val="-8"/>
          <w:sz w:val="20"/>
        </w:rPr>
        <w:t>i</w:t>
      </w:r>
      <w:r>
        <w:rPr>
          <w:color w:val="0F0F11"/>
          <w:spacing w:val="-8"/>
          <w:sz w:val="20"/>
        </w:rPr>
        <w:t>al </w:t>
      </w:r>
      <w:r>
        <w:rPr>
          <w:color w:val="0F0F11"/>
          <w:sz w:val="20"/>
        </w:rPr>
        <w:t>statements are free from material misstatement.</w:t>
      </w:r>
    </w:p>
    <w:p>
      <w:pPr>
        <w:pStyle w:val="BodyText"/>
        <w:spacing w:before="7"/>
        <w:rPr>
          <w:sz w:val="19"/>
        </w:rPr>
      </w:pPr>
    </w:p>
    <w:p>
      <w:pPr>
        <w:spacing w:line="240" w:lineRule="auto" w:before="0"/>
        <w:ind w:left="1377" w:right="650" w:firstLine="0"/>
        <w:jc w:val="both"/>
        <w:rPr>
          <w:sz w:val="20"/>
        </w:rPr>
      </w:pPr>
      <w:r>
        <w:rPr>
          <w:color w:val="0F0F11"/>
          <w:sz w:val="20"/>
        </w:rPr>
        <w:t>An audit involves performing procedures to obtain audit evidence about the amounts and disclosures in</w:t>
      </w:r>
      <w:r>
        <w:rPr>
          <w:color w:val="0F0F11"/>
          <w:spacing w:val="-14"/>
          <w:sz w:val="20"/>
        </w:rPr>
        <w:t> </w:t>
      </w:r>
      <w:r>
        <w:rPr>
          <w:color w:val="0F0F11"/>
          <w:sz w:val="20"/>
        </w:rPr>
        <w:t>the</w:t>
      </w:r>
      <w:r>
        <w:rPr>
          <w:color w:val="0F0F11"/>
          <w:spacing w:val="-2"/>
          <w:sz w:val="20"/>
        </w:rPr>
        <w:t> </w:t>
      </w:r>
      <w:r>
        <w:rPr>
          <w:color w:val="0F0F11"/>
          <w:sz w:val="20"/>
        </w:rPr>
        <w:t>financial</w:t>
      </w:r>
      <w:r>
        <w:rPr>
          <w:color w:val="0F0F11"/>
          <w:spacing w:val="12"/>
          <w:sz w:val="20"/>
        </w:rPr>
        <w:t> </w:t>
      </w:r>
      <w:r>
        <w:rPr>
          <w:color w:val="0F0F11"/>
          <w:sz w:val="20"/>
        </w:rPr>
        <w:t>statements</w:t>
      </w:r>
      <w:r>
        <w:rPr>
          <w:color w:val="0F0F11"/>
          <w:spacing w:val="-35"/>
          <w:sz w:val="20"/>
        </w:rPr>
        <w:t> </w:t>
      </w:r>
      <w:r>
        <w:rPr>
          <w:color w:val="2D2D2D"/>
          <w:sz w:val="20"/>
        </w:rPr>
        <w:t>.</w:t>
      </w:r>
      <w:r>
        <w:rPr>
          <w:color w:val="2D2D2D"/>
          <w:spacing w:val="-20"/>
          <w:sz w:val="20"/>
        </w:rPr>
        <w:t> </w:t>
      </w:r>
      <w:r>
        <w:rPr>
          <w:color w:val="0F0F11"/>
          <w:sz w:val="20"/>
        </w:rPr>
        <w:t>The</w:t>
      </w:r>
      <w:r>
        <w:rPr>
          <w:color w:val="0F0F11"/>
          <w:spacing w:val="7"/>
          <w:sz w:val="20"/>
        </w:rPr>
        <w:t> </w:t>
      </w:r>
      <w:r>
        <w:rPr>
          <w:color w:val="0F0F11"/>
          <w:sz w:val="20"/>
        </w:rPr>
        <w:t>p</w:t>
      </w:r>
      <w:r>
        <w:rPr>
          <w:color w:val="2D2D2D"/>
          <w:sz w:val="20"/>
        </w:rPr>
        <w:t>r</w:t>
      </w:r>
      <w:r>
        <w:rPr>
          <w:color w:val="0F0F11"/>
          <w:sz w:val="20"/>
        </w:rPr>
        <w:t>ocedures</w:t>
      </w:r>
      <w:r>
        <w:rPr>
          <w:color w:val="0F0F11"/>
          <w:spacing w:val="9"/>
          <w:sz w:val="20"/>
        </w:rPr>
        <w:t> </w:t>
      </w:r>
      <w:r>
        <w:rPr>
          <w:color w:val="0F0F11"/>
          <w:sz w:val="20"/>
        </w:rPr>
        <w:t>selected</w:t>
      </w:r>
      <w:r>
        <w:rPr>
          <w:color w:val="0F0F11"/>
          <w:spacing w:val="8"/>
          <w:sz w:val="20"/>
        </w:rPr>
        <w:t> </w:t>
      </w:r>
      <w:r>
        <w:rPr>
          <w:color w:val="0F0F11"/>
          <w:sz w:val="20"/>
        </w:rPr>
        <w:t>depend</w:t>
      </w:r>
      <w:r>
        <w:rPr>
          <w:color w:val="0F0F11"/>
          <w:spacing w:val="6"/>
          <w:sz w:val="20"/>
        </w:rPr>
        <w:t> </w:t>
      </w:r>
      <w:r>
        <w:rPr>
          <w:color w:val="0F0F11"/>
          <w:sz w:val="20"/>
        </w:rPr>
        <w:t>on</w:t>
      </w:r>
      <w:r>
        <w:rPr>
          <w:color w:val="0F0F11"/>
          <w:spacing w:val="-3"/>
          <w:sz w:val="20"/>
        </w:rPr>
        <w:t> </w:t>
      </w:r>
      <w:r>
        <w:rPr>
          <w:color w:val="0F0F11"/>
          <w:sz w:val="20"/>
        </w:rPr>
        <w:t>the</w:t>
      </w:r>
      <w:r>
        <w:rPr>
          <w:color w:val="0F0F11"/>
          <w:spacing w:val="-2"/>
          <w:sz w:val="20"/>
        </w:rPr>
        <w:t> </w:t>
      </w:r>
      <w:r>
        <w:rPr>
          <w:color w:val="0F0F11"/>
          <w:spacing w:val="2"/>
          <w:sz w:val="20"/>
        </w:rPr>
        <w:t>auditor</w:t>
      </w:r>
      <w:r>
        <w:rPr>
          <w:color w:val="2D2D2D"/>
          <w:spacing w:val="2"/>
          <w:sz w:val="20"/>
        </w:rPr>
        <w:t>'</w:t>
      </w:r>
      <w:r>
        <w:rPr>
          <w:color w:val="0F0F11"/>
          <w:spacing w:val="2"/>
          <w:sz w:val="20"/>
        </w:rPr>
        <w:t>s</w:t>
      </w:r>
      <w:r>
        <w:rPr>
          <w:color w:val="0F0F11"/>
          <w:spacing w:val="-15"/>
          <w:sz w:val="20"/>
        </w:rPr>
        <w:t> </w:t>
      </w:r>
      <w:r>
        <w:rPr>
          <w:color w:val="0F0F11"/>
          <w:sz w:val="20"/>
        </w:rPr>
        <w:t>judgement</w:t>
      </w:r>
      <w:r>
        <w:rPr>
          <w:color w:val="0F0F11"/>
          <w:spacing w:val="-20"/>
          <w:sz w:val="20"/>
        </w:rPr>
        <w:t> </w:t>
      </w:r>
      <w:r>
        <w:rPr>
          <w:color w:val="2D2D2D"/>
          <w:sz w:val="20"/>
        </w:rPr>
        <w:t>,</w:t>
      </w:r>
      <w:r>
        <w:rPr>
          <w:color w:val="2D2D2D"/>
          <w:spacing w:val="-2"/>
          <w:sz w:val="20"/>
        </w:rPr>
        <w:t> </w:t>
      </w:r>
      <w:r>
        <w:rPr>
          <w:color w:val="2D2D2D"/>
          <w:sz w:val="20"/>
        </w:rPr>
        <w:t>i</w:t>
      </w:r>
      <w:r>
        <w:rPr>
          <w:color w:val="0F0F11"/>
          <w:sz w:val="20"/>
        </w:rPr>
        <w:t>ncluding</w:t>
      </w:r>
      <w:r>
        <w:rPr>
          <w:color w:val="0F0F11"/>
          <w:spacing w:val="3"/>
          <w:sz w:val="20"/>
        </w:rPr>
        <w:t> </w:t>
      </w:r>
      <w:r>
        <w:rPr>
          <w:color w:val="0F0F11"/>
          <w:sz w:val="20"/>
        </w:rPr>
        <w:t>the assessment of the risks of material misstatement of the financial statements </w:t>
      </w:r>
      <w:r>
        <w:rPr>
          <w:color w:val="2D2D2D"/>
          <w:sz w:val="20"/>
        </w:rPr>
        <w:t>, </w:t>
      </w:r>
      <w:r>
        <w:rPr>
          <w:color w:val="0F0F11"/>
          <w:sz w:val="20"/>
        </w:rPr>
        <w:t>whether due to fraud or </w:t>
      </w:r>
      <w:r>
        <w:rPr>
          <w:color w:val="0F0F11"/>
          <w:spacing w:val="2"/>
          <w:sz w:val="20"/>
        </w:rPr>
        <w:t>error</w:t>
      </w:r>
      <w:r>
        <w:rPr>
          <w:color w:val="595959"/>
          <w:spacing w:val="2"/>
          <w:sz w:val="20"/>
        </w:rPr>
        <w:t>. </w:t>
      </w:r>
      <w:r>
        <w:rPr>
          <w:color w:val="0F0F11"/>
          <w:sz w:val="20"/>
        </w:rPr>
        <w:t>In making those risk assessments, the auditor considers internal control relevant to the Company's preparation of the financial statements that give a true and fair view in order to design  aud</w:t>
      </w:r>
      <w:r>
        <w:rPr>
          <w:color w:val="2D2D2D"/>
          <w:sz w:val="20"/>
        </w:rPr>
        <w:t>i</w:t>
      </w:r>
      <w:r>
        <w:rPr>
          <w:color w:val="0F0F11"/>
          <w:sz w:val="20"/>
        </w:rPr>
        <w:t>t procedures that are appropriate in the circumstances, but not for the purpose of expressing an opinion on the effectiveness of the company's internal control. An audit also includes evaluat</w:t>
      </w:r>
      <w:r>
        <w:rPr>
          <w:color w:val="2D2D2D"/>
          <w:sz w:val="20"/>
        </w:rPr>
        <w:t>i</w:t>
      </w:r>
      <w:r>
        <w:rPr>
          <w:color w:val="0F0F11"/>
          <w:sz w:val="20"/>
        </w:rPr>
        <w:t>ng the appropriateness of accounting policies used and the reasonableness of accounting estimates made by the directors, as well as evaluating the overall presentation of the financial statements</w:t>
      </w:r>
      <w:r>
        <w:rPr>
          <w:color w:val="0F0F11"/>
          <w:spacing w:val="-42"/>
          <w:sz w:val="20"/>
        </w:rPr>
        <w:t> </w:t>
      </w:r>
      <w:r>
        <w:rPr>
          <w:color w:val="2D2D2D"/>
          <w:sz w:val="20"/>
        </w:rPr>
        <w:t>.</w:t>
      </w:r>
    </w:p>
    <w:p>
      <w:pPr>
        <w:pStyle w:val="BodyText"/>
        <w:rPr>
          <w:sz w:val="20"/>
        </w:rPr>
      </w:pPr>
    </w:p>
    <w:p>
      <w:pPr>
        <w:pStyle w:val="BodyText"/>
        <w:spacing w:before="1"/>
        <w:rPr>
          <w:sz w:val="17"/>
        </w:rPr>
      </w:pPr>
      <w:r>
        <w:rPr/>
        <w:pict>
          <v:line style="position:absolute;mso-position-horizontal-relative:page;mso-position-vertical-relative:paragraph;z-index:6040;mso-wrap-distance-left:0;mso-wrap-distance-right:0" from="38.400013pt,12.061846pt" to="549.120013pt,12.061846pt" stroked="true" strokeweight=".48pt" strokecolor="#343434">
            <w10:wrap type="topAndBottom"/>
          </v:line>
        </w:pict>
      </w:r>
    </w:p>
    <w:p>
      <w:pPr>
        <w:spacing w:before="109"/>
        <w:ind w:left="663" w:right="0" w:firstLine="0"/>
        <w:jc w:val="center"/>
        <w:rPr>
          <w:sz w:val="13"/>
        </w:rPr>
      </w:pPr>
      <w:r>
        <w:rPr>
          <w:color w:val="0F0F11"/>
          <w:sz w:val="13"/>
        </w:rPr>
        <w:t>Level 15</w:t>
      </w:r>
      <w:r>
        <w:rPr>
          <w:color w:val="2D2D2D"/>
          <w:sz w:val="13"/>
        </w:rPr>
        <w:t>, </w:t>
      </w:r>
      <w:r>
        <w:rPr>
          <w:b/>
          <w:color w:val="0F0F11"/>
          <w:sz w:val="13"/>
        </w:rPr>
        <w:t>1  </w:t>
      </w:r>
      <w:r>
        <w:rPr>
          <w:color w:val="0F0F11"/>
          <w:sz w:val="13"/>
        </w:rPr>
        <w:t>M</w:t>
      </w:r>
      <w:r>
        <w:rPr>
          <w:color w:val="2D2D2D"/>
          <w:sz w:val="13"/>
        </w:rPr>
        <w:t>a</w:t>
      </w:r>
      <w:r>
        <w:rPr>
          <w:color w:val="0F0F11"/>
          <w:sz w:val="13"/>
        </w:rPr>
        <w:t>rg</w:t>
      </w:r>
      <w:r>
        <w:rPr>
          <w:color w:val="2D2D2D"/>
          <w:sz w:val="13"/>
        </w:rPr>
        <w:t>a</w:t>
      </w:r>
      <w:r>
        <w:rPr>
          <w:color w:val="0F0F11"/>
          <w:sz w:val="13"/>
        </w:rPr>
        <w:t>ret Street</w:t>
      </w:r>
      <w:r>
        <w:rPr>
          <w:color w:val="494949"/>
          <w:sz w:val="13"/>
        </w:rPr>
        <w:t>,</w:t>
      </w:r>
      <w:r>
        <w:rPr>
          <w:color w:val="0F0F11"/>
          <w:sz w:val="13"/>
        </w:rPr>
        <w:t>Sydney  </w:t>
      </w:r>
      <w:r>
        <w:rPr>
          <w:b/>
          <w:color w:val="0F0F11"/>
          <w:sz w:val="13"/>
        </w:rPr>
        <w:t>NSW </w:t>
      </w:r>
      <w:r>
        <w:rPr>
          <w:color w:val="2D2D2D"/>
          <w:sz w:val="13"/>
        </w:rPr>
        <w:t>2</w:t>
      </w:r>
      <w:r>
        <w:rPr>
          <w:color w:val="0F0F11"/>
          <w:sz w:val="13"/>
        </w:rPr>
        <w:t>000   </w:t>
      </w:r>
      <w:r>
        <w:rPr>
          <w:color w:val="2D2D2D"/>
          <w:w w:val="95"/>
          <w:sz w:val="18"/>
        </w:rPr>
        <w:t>I  </w:t>
      </w:r>
      <w:r>
        <w:rPr>
          <w:color w:val="2D2D2D"/>
          <w:sz w:val="13"/>
        </w:rPr>
        <w:t>G</w:t>
      </w:r>
      <w:r>
        <w:rPr>
          <w:color w:val="0F0F11"/>
          <w:sz w:val="13"/>
        </w:rPr>
        <w:t>P</w:t>
      </w:r>
      <w:r>
        <w:rPr>
          <w:color w:val="2D2D2D"/>
          <w:sz w:val="13"/>
        </w:rPr>
        <w:t>O  Box  12. Sydney  NSW 2001   </w:t>
      </w:r>
      <w:r>
        <w:rPr>
          <w:color w:val="0F0F11"/>
          <w:sz w:val="18"/>
        </w:rPr>
        <w:t>I </w:t>
      </w:r>
      <w:r>
        <w:rPr>
          <w:rFonts w:ascii="Times New Roman"/>
          <w:color w:val="0F0F11"/>
          <w:sz w:val="15"/>
        </w:rPr>
        <w:t>t </w:t>
      </w:r>
      <w:r>
        <w:rPr>
          <w:color w:val="2D2D2D"/>
          <w:sz w:val="13"/>
        </w:rPr>
        <w:t>02 9275 7</w:t>
      </w:r>
      <w:r>
        <w:rPr>
          <w:color w:val="0F0F11"/>
          <w:sz w:val="13"/>
        </w:rPr>
        <w:t>1</w:t>
      </w:r>
      <w:r>
        <w:rPr>
          <w:color w:val="2D2D2D"/>
          <w:sz w:val="13"/>
        </w:rPr>
        <w:t>0</w:t>
      </w:r>
      <w:r>
        <w:rPr>
          <w:color w:val="0F0F11"/>
          <w:sz w:val="13"/>
        </w:rPr>
        <w:t>1  </w:t>
      </w:r>
      <w:r>
        <w:rPr>
          <w:color w:val="2D2D2D"/>
          <w:w w:val="95"/>
          <w:sz w:val="18"/>
        </w:rPr>
        <w:t>I  </w:t>
      </w:r>
      <w:r>
        <w:rPr>
          <w:color w:val="0F0F11"/>
          <w:sz w:val="13"/>
        </w:rPr>
        <w:t>f </w:t>
      </w:r>
      <w:r>
        <w:rPr>
          <w:color w:val="2D2D2D"/>
          <w:sz w:val="13"/>
        </w:rPr>
        <w:t>02 9275 7</w:t>
      </w:r>
      <w:r>
        <w:rPr>
          <w:color w:val="0F0F11"/>
          <w:sz w:val="13"/>
        </w:rPr>
        <w:t>1</w:t>
      </w:r>
      <w:r>
        <w:rPr>
          <w:color w:val="2D2D2D"/>
          <w:sz w:val="13"/>
        </w:rPr>
        <w:t>79   </w:t>
      </w:r>
      <w:r>
        <w:rPr>
          <w:color w:val="2D2D2D"/>
          <w:sz w:val="18"/>
        </w:rPr>
        <w:t>I </w:t>
      </w:r>
      <w:r>
        <w:rPr>
          <w:color w:val="2D2D2D"/>
          <w:sz w:val="13"/>
        </w:rPr>
        <w:t>e </w:t>
      </w:r>
      <w:hyperlink r:id="rId113">
        <w:r>
          <w:rPr>
            <w:color w:val="2D2D2D"/>
            <w:sz w:val="13"/>
          </w:rPr>
          <w:t>ma</w:t>
        </w:r>
        <w:r>
          <w:rPr>
            <w:color w:val="0F0F11"/>
            <w:sz w:val="13"/>
          </w:rPr>
          <w:t>i</w:t>
        </w:r>
        <w:r>
          <w:rPr>
            <w:color w:val="2D2D2D"/>
            <w:sz w:val="13"/>
          </w:rPr>
          <w:t>l</w:t>
        </w:r>
        <w:r>
          <w:rPr>
            <w:color w:val="494949"/>
            <w:sz w:val="13"/>
          </w:rPr>
          <w:t>@</w:t>
        </w:r>
        <w:r>
          <w:rPr>
            <w:color w:val="2D2D2D"/>
            <w:sz w:val="13"/>
          </w:rPr>
          <w:t>aud</w:t>
        </w:r>
        <w:r>
          <w:rPr>
            <w:color w:val="0F0F11"/>
            <w:sz w:val="13"/>
          </w:rPr>
          <w:t>i</w:t>
        </w:r>
        <w:r>
          <w:rPr>
            <w:color w:val="2D2D2D"/>
            <w:sz w:val="13"/>
          </w:rPr>
          <w:t>t.nsw.go</w:t>
        </w:r>
        <w:r>
          <w:rPr>
            <w:color w:val="494949"/>
            <w:sz w:val="13"/>
          </w:rPr>
          <w:t>v</w:t>
        </w:r>
        <w:r>
          <w:rPr>
            <w:color w:val="2D2D2D"/>
            <w:sz w:val="13"/>
          </w:rPr>
          <w:t>.au</w:t>
        </w:r>
      </w:hyperlink>
      <w:r>
        <w:rPr>
          <w:color w:val="2D2D2D"/>
          <w:sz w:val="13"/>
        </w:rPr>
        <w:t>   </w:t>
      </w:r>
      <w:r>
        <w:rPr>
          <w:color w:val="0F0F11"/>
          <w:sz w:val="18"/>
        </w:rPr>
        <w:t>I    </w:t>
      </w:r>
      <w:r>
        <w:rPr>
          <w:color w:val="0F0F11"/>
          <w:sz w:val="13"/>
        </w:rPr>
        <w:t>audit.nsw</w:t>
      </w:r>
      <w:r>
        <w:rPr>
          <w:color w:val="2D2D2D"/>
          <w:sz w:val="13"/>
        </w:rPr>
        <w:t>.</w:t>
      </w:r>
      <w:r>
        <w:rPr>
          <w:color w:val="0F0F11"/>
          <w:sz w:val="13"/>
        </w:rPr>
        <w:t>gov</w:t>
      </w:r>
      <w:r>
        <w:rPr>
          <w:color w:val="2D2D2D"/>
          <w:sz w:val="13"/>
        </w:rPr>
        <w:t>.</w:t>
      </w:r>
      <w:r>
        <w:rPr>
          <w:color w:val="0F0F11"/>
          <w:sz w:val="13"/>
        </w:rPr>
        <w:t>au</w:t>
      </w:r>
    </w:p>
    <w:p>
      <w:pPr>
        <w:spacing w:after="0"/>
        <w:jc w:val="center"/>
        <w:rPr>
          <w:sz w:val="13"/>
        </w:rPr>
        <w:sectPr>
          <w:headerReference w:type="default" r:id="rId251"/>
          <w:footerReference w:type="default" r:id="rId252"/>
          <w:pgSz w:w="11910" w:h="16840"/>
          <w:pgMar w:header="0" w:footer="455" w:top="780" w:bottom="640" w:left="0" w:right="800"/>
          <w:pgNumType w:start="260"/>
        </w:sectPr>
      </w:pPr>
    </w:p>
    <w:p>
      <w:pPr>
        <w:pStyle w:val="Heading8"/>
        <w:spacing w:line="244" w:lineRule="auto" w:before="56"/>
        <w:ind w:left="353" w:right="111" w:firstLine="9"/>
        <w:jc w:val="left"/>
      </w:pPr>
      <w:r>
        <w:rPr>
          <w:color w:val="111113"/>
        </w:rPr>
        <w:t>I believe the audit evidence I have obtained is sufficient and appropriate to provide a basis for my audit</w:t>
      </w:r>
      <w:r>
        <w:rPr>
          <w:color w:val="111113"/>
          <w:spacing w:val="-1"/>
        </w:rPr>
        <w:t> </w:t>
      </w:r>
      <w:r>
        <w:rPr>
          <w:color w:val="111113"/>
          <w:spacing w:val="2"/>
        </w:rPr>
        <w:t>opinion</w:t>
      </w:r>
      <w:r>
        <w:rPr>
          <w:color w:val="2D2D2F"/>
          <w:spacing w:val="2"/>
        </w:rPr>
        <w:t>.</w:t>
      </w:r>
    </w:p>
    <w:p>
      <w:pPr>
        <w:pStyle w:val="BodyText"/>
        <w:spacing w:before="1"/>
        <w:rPr>
          <w:sz w:val="19"/>
        </w:rPr>
      </w:pPr>
    </w:p>
    <w:p>
      <w:pPr>
        <w:spacing w:before="0"/>
        <w:ind w:left="362" w:right="111" w:firstLine="0"/>
        <w:jc w:val="left"/>
        <w:rPr>
          <w:sz w:val="20"/>
        </w:rPr>
      </w:pPr>
      <w:r>
        <w:rPr>
          <w:color w:val="111113"/>
          <w:sz w:val="20"/>
        </w:rPr>
        <w:t>My opinion does </w:t>
      </w:r>
      <w:r>
        <w:rPr>
          <w:i/>
          <w:color w:val="111113"/>
          <w:sz w:val="20"/>
        </w:rPr>
        <w:t>not </w:t>
      </w:r>
      <w:r>
        <w:rPr>
          <w:color w:val="111113"/>
          <w:sz w:val="20"/>
        </w:rPr>
        <w:t>provide assurance</w:t>
      </w:r>
      <w:r>
        <w:rPr>
          <w:color w:val="464848"/>
          <w:sz w:val="20"/>
        </w:rPr>
        <w:t>:</w:t>
      </w:r>
    </w:p>
    <w:p>
      <w:pPr>
        <w:pStyle w:val="BodyText"/>
        <w:spacing w:before="10"/>
        <w:rPr>
          <w:sz w:val="24"/>
        </w:rPr>
      </w:pPr>
    </w:p>
    <w:p>
      <w:pPr>
        <w:pStyle w:val="ListParagraph"/>
        <w:numPr>
          <w:ilvl w:val="0"/>
          <w:numId w:val="127"/>
        </w:numPr>
        <w:tabs>
          <w:tab w:pos="917" w:val="left" w:leader="none"/>
        </w:tabs>
        <w:spacing w:line="240" w:lineRule="auto" w:before="1" w:after="0"/>
        <w:ind w:left="916" w:right="0" w:hanging="563"/>
        <w:jc w:val="left"/>
        <w:rPr>
          <w:sz w:val="20"/>
        </w:rPr>
      </w:pPr>
      <w:r>
        <w:rPr>
          <w:color w:val="111113"/>
          <w:sz w:val="20"/>
        </w:rPr>
        <w:t>about the future viability of</w:t>
      </w:r>
      <w:r>
        <w:rPr>
          <w:color w:val="111113"/>
          <w:spacing w:val="-40"/>
          <w:sz w:val="20"/>
        </w:rPr>
        <w:t> </w:t>
      </w:r>
      <w:r>
        <w:rPr>
          <w:color w:val="111113"/>
          <w:sz w:val="20"/>
        </w:rPr>
        <w:t>the Company</w:t>
      </w:r>
    </w:p>
    <w:p>
      <w:pPr>
        <w:pStyle w:val="ListParagraph"/>
        <w:numPr>
          <w:ilvl w:val="0"/>
          <w:numId w:val="127"/>
        </w:numPr>
        <w:tabs>
          <w:tab w:pos="917" w:val="left" w:leader="none"/>
        </w:tabs>
        <w:spacing w:line="240" w:lineRule="auto" w:before="26" w:after="0"/>
        <w:ind w:left="916" w:right="0" w:hanging="563"/>
        <w:jc w:val="left"/>
        <w:rPr>
          <w:sz w:val="20"/>
        </w:rPr>
      </w:pPr>
      <w:r>
        <w:rPr>
          <w:color w:val="111113"/>
          <w:sz w:val="20"/>
        </w:rPr>
        <w:t>tha</w:t>
      </w:r>
      <w:r>
        <w:rPr>
          <w:color w:val="2D2D2F"/>
          <w:sz w:val="20"/>
        </w:rPr>
        <w:t>t</w:t>
      </w:r>
      <w:r>
        <w:rPr>
          <w:color w:val="2D2D2F"/>
          <w:spacing w:val="-4"/>
          <w:sz w:val="20"/>
        </w:rPr>
        <w:t> </w:t>
      </w:r>
      <w:r>
        <w:rPr>
          <w:color w:val="111113"/>
          <w:sz w:val="20"/>
        </w:rPr>
        <w:t>it</w:t>
      </w:r>
      <w:r>
        <w:rPr>
          <w:color w:val="111113"/>
          <w:spacing w:val="-13"/>
          <w:sz w:val="20"/>
        </w:rPr>
        <w:t> </w:t>
      </w:r>
      <w:r>
        <w:rPr>
          <w:color w:val="111113"/>
          <w:sz w:val="20"/>
        </w:rPr>
        <w:t>has</w:t>
      </w:r>
      <w:r>
        <w:rPr>
          <w:color w:val="111113"/>
          <w:spacing w:val="-13"/>
          <w:sz w:val="20"/>
        </w:rPr>
        <w:t> </w:t>
      </w:r>
      <w:r>
        <w:rPr>
          <w:color w:val="111113"/>
          <w:sz w:val="20"/>
        </w:rPr>
        <w:t>carried</w:t>
      </w:r>
      <w:r>
        <w:rPr>
          <w:color w:val="111113"/>
          <w:spacing w:val="-4"/>
          <w:sz w:val="20"/>
        </w:rPr>
        <w:t> </w:t>
      </w:r>
      <w:r>
        <w:rPr>
          <w:color w:val="111113"/>
          <w:sz w:val="20"/>
        </w:rPr>
        <w:t>out</w:t>
      </w:r>
      <w:r>
        <w:rPr>
          <w:color w:val="111113"/>
          <w:spacing w:val="-4"/>
          <w:sz w:val="20"/>
        </w:rPr>
        <w:t> </w:t>
      </w:r>
      <w:r>
        <w:rPr>
          <w:color w:val="111113"/>
          <w:sz w:val="20"/>
        </w:rPr>
        <w:t>its</w:t>
      </w:r>
      <w:r>
        <w:rPr>
          <w:color w:val="111113"/>
          <w:spacing w:val="-15"/>
          <w:sz w:val="20"/>
        </w:rPr>
        <w:t> </w:t>
      </w:r>
      <w:r>
        <w:rPr>
          <w:color w:val="111113"/>
          <w:sz w:val="20"/>
        </w:rPr>
        <w:t>activities</w:t>
      </w:r>
      <w:r>
        <w:rPr>
          <w:color w:val="111113"/>
          <w:spacing w:val="-3"/>
          <w:sz w:val="20"/>
        </w:rPr>
        <w:t> </w:t>
      </w:r>
      <w:r>
        <w:rPr>
          <w:color w:val="111113"/>
          <w:sz w:val="20"/>
        </w:rPr>
        <w:t>effect</w:t>
      </w:r>
      <w:r>
        <w:rPr>
          <w:color w:val="2D2D2F"/>
          <w:sz w:val="20"/>
        </w:rPr>
        <w:t>i</w:t>
      </w:r>
      <w:r>
        <w:rPr>
          <w:color w:val="111113"/>
          <w:sz w:val="20"/>
        </w:rPr>
        <w:t>vely,</w:t>
      </w:r>
      <w:r>
        <w:rPr>
          <w:color w:val="111113"/>
          <w:spacing w:val="1"/>
          <w:sz w:val="20"/>
        </w:rPr>
        <w:t> </w:t>
      </w:r>
      <w:r>
        <w:rPr>
          <w:color w:val="111113"/>
          <w:sz w:val="20"/>
        </w:rPr>
        <w:t>efficiently</w:t>
      </w:r>
      <w:r>
        <w:rPr>
          <w:color w:val="111113"/>
          <w:spacing w:val="3"/>
          <w:sz w:val="20"/>
        </w:rPr>
        <w:t> </w:t>
      </w:r>
      <w:r>
        <w:rPr>
          <w:color w:val="111113"/>
          <w:sz w:val="20"/>
        </w:rPr>
        <w:t>and</w:t>
      </w:r>
      <w:r>
        <w:rPr>
          <w:color w:val="111113"/>
          <w:spacing w:val="-6"/>
          <w:sz w:val="20"/>
        </w:rPr>
        <w:t> </w:t>
      </w:r>
      <w:r>
        <w:rPr>
          <w:color w:val="111113"/>
          <w:sz w:val="20"/>
        </w:rPr>
        <w:t>economically</w:t>
      </w:r>
    </w:p>
    <w:p>
      <w:pPr>
        <w:pStyle w:val="ListParagraph"/>
        <w:numPr>
          <w:ilvl w:val="0"/>
          <w:numId w:val="127"/>
        </w:numPr>
        <w:tabs>
          <w:tab w:pos="917" w:val="left" w:leader="none"/>
        </w:tabs>
        <w:spacing w:line="240" w:lineRule="auto" w:before="22" w:after="0"/>
        <w:ind w:left="916" w:right="0" w:hanging="563"/>
        <w:jc w:val="left"/>
        <w:rPr>
          <w:sz w:val="20"/>
        </w:rPr>
      </w:pPr>
      <w:r>
        <w:rPr>
          <w:color w:val="111113"/>
          <w:sz w:val="20"/>
        </w:rPr>
        <w:t>about the effectiveness of its internal</w:t>
      </w:r>
      <w:r>
        <w:rPr>
          <w:color w:val="111113"/>
          <w:spacing w:val="-21"/>
          <w:sz w:val="20"/>
        </w:rPr>
        <w:t> </w:t>
      </w:r>
      <w:r>
        <w:rPr>
          <w:color w:val="111113"/>
          <w:sz w:val="20"/>
        </w:rPr>
        <w:t>control</w:t>
      </w:r>
    </w:p>
    <w:p>
      <w:pPr>
        <w:pStyle w:val="ListParagraph"/>
        <w:numPr>
          <w:ilvl w:val="0"/>
          <w:numId w:val="127"/>
        </w:numPr>
        <w:tabs>
          <w:tab w:pos="917" w:val="left" w:leader="none"/>
        </w:tabs>
        <w:spacing w:line="230" w:lineRule="exact" w:before="25" w:after="0"/>
        <w:ind w:left="916" w:right="1123" w:hanging="563"/>
        <w:jc w:val="left"/>
        <w:rPr>
          <w:sz w:val="20"/>
        </w:rPr>
      </w:pPr>
      <w:r>
        <w:rPr>
          <w:color w:val="111113"/>
          <w:sz w:val="20"/>
        </w:rPr>
        <w:t>about</w:t>
      </w:r>
      <w:r>
        <w:rPr>
          <w:color w:val="111113"/>
          <w:spacing w:val="-9"/>
          <w:sz w:val="20"/>
        </w:rPr>
        <w:t> </w:t>
      </w:r>
      <w:r>
        <w:rPr>
          <w:color w:val="111113"/>
          <w:sz w:val="20"/>
        </w:rPr>
        <w:t>the</w:t>
      </w:r>
      <w:r>
        <w:rPr>
          <w:color w:val="111113"/>
          <w:spacing w:val="-6"/>
          <w:sz w:val="20"/>
        </w:rPr>
        <w:t> </w:t>
      </w:r>
      <w:r>
        <w:rPr>
          <w:color w:val="111113"/>
          <w:sz w:val="20"/>
        </w:rPr>
        <w:t>security and</w:t>
      </w:r>
      <w:r>
        <w:rPr>
          <w:color w:val="111113"/>
          <w:spacing w:val="-7"/>
          <w:sz w:val="20"/>
        </w:rPr>
        <w:t> </w:t>
      </w:r>
      <w:r>
        <w:rPr>
          <w:color w:val="111113"/>
          <w:sz w:val="20"/>
        </w:rPr>
        <w:t>controls</w:t>
      </w:r>
      <w:r>
        <w:rPr>
          <w:color w:val="111113"/>
          <w:spacing w:val="-5"/>
          <w:sz w:val="20"/>
        </w:rPr>
        <w:t> </w:t>
      </w:r>
      <w:r>
        <w:rPr>
          <w:color w:val="111113"/>
          <w:sz w:val="20"/>
        </w:rPr>
        <w:t>over</w:t>
      </w:r>
      <w:r>
        <w:rPr>
          <w:color w:val="111113"/>
          <w:spacing w:val="-6"/>
          <w:sz w:val="20"/>
        </w:rPr>
        <w:t> </w:t>
      </w:r>
      <w:r>
        <w:rPr>
          <w:color w:val="111113"/>
          <w:sz w:val="20"/>
        </w:rPr>
        <w:t>the</w:t>
      </w:r>
      <w:r>
        <w:rPr>
          <w:color w:val="111113"/>
          <w:spacing w:val="-4"/>
          <w:sz w:val="20"/>
        </w:rPr>
        <w:t> </w:t>
      </w:r>
      <w:r>
        <w:rPr>
          <w:color w:val="111113"/>
          <w:sz w:val="20"/>
        </w:rPr>
        <w:t>electronic</w:t>
      </w:r>
      <w:r>
        <w:rPr>
          <w:color w:val="111113"/>
          <w:spacing w:val="10"/>
          <w:sz w:val="20"/>
        </w:rPr>
        <w:t> </w:t>
      </w:r>
      <w:r>
        <w:rPr>
          <w:color w:val="111113"/>
          <w:sz w:val="20"/>
        </w:rPr>
        <w:t>publication</w:t>
      </w:r>
      <w:r>
        <w:rPr>
          <w:color w:val="111113"/>
          <w:spacing w:val="-3"/>
          <w:sz w:val="20"/>
        </w:rPr>
        <w:t> </w:t>
      </w:r>
      <w:r>
        <w:rPr>
          <w:color w:val="111113"/>
          <w:sz w:val="20"/>
        </w:rPr>
        <w:t>of</w:t>
      </w:r>
      <w:r>
        <w:rPr>
          <w:color w:val="111113"/>
          <w:spacing w:val="-11"/>
          <w:sz w:val="20"/>
        </w:rPr>
        <w:t> </w:t>
      </w:r>
      <w:r>
        <w:rPr>
          <w:color w:val="111113"/>
          <w:sz w:val="20"/>
        </w:rPr>
        <w:t>the</w:t>
      </w:r>
      <w:r>
        <w:rPr>
          <w:color w:val="111113"/>
          <w:spacing w:val="-2"/>
          <w:sz w:val="20"/>
        </w:rPr>
        <w:t> </w:t>
      </w:r>
      <w:r>
        <w:rPr>
          <w:color w:val="111113"/>
          <w:sz w:val="20"/>
        </w:rPr>
        <w:t>audited</w:t>
      </w:r>
      <w:r>
        <w:rPr>
          <w:color w:val="111113"/>
          <w:spacing w:val="-3"/>
          <w:sz w:val="20"/>
        </w:rPr>
        <w:t> </w:t>
      </w:r>
      <w:r>
        <w:rPr>
          <w:color w:val="111113"/>
          <w:sz w:val="20"/>
        </w:rPr>
        <w:t>financial statements on any website where they may be</w:t>
      </w:r>
      <w:r>
        <w:rPr>
          <w:color w:val="111113"/>
          <w:spacing w:val="-32"/>
          <w:sz w:val="20"/>
        </w:rPr>
        <w:t> </w:t>
      </w:r>
      <w:r>
        <w:rPr>
          <w:color w:val="111113"/>
          <w:sz w:val="20"/>
        </w:rPr>
        <w:t>presented</w:t>
      </w:r>
    </w:p>
    <w:p>
      <w:pPr>
        <w:pStyle w:val="ListParagraph"/>
        <w:numPr>
          <w:ilvl w:val="0"/>
          <w:numId w:val="127"/>
        </w:numPr>
        <w:tabs>
          <w:tab w:pos="917" w:val="left" w:leader="none"/>
        </w:tabs>
        <w:spacing w:line="240" w:lineRule="auto" w:before="58" w:after="0"/>
        <w:ind w:left="916" w:right="0" w:hanging="563"/>
        <w:jc w:val="left"/>
        <w:rPr>
          <w:sz w:val="20"/>
        </w:rPr>
      </w:pPr>
      <w:r>
        <w:rPr>
          <w:color w:val="111113"/>
          <w:sz w:val="20"/>
        </w:rPr>
        <w:t>about other information that may have been hyperlinked to/from the financ</w:t>
      </w:r>
      <w:r>
        <w:rPr>
          <w:color w:val="2D2D2F"/>
          <w:sz w:val="20"/>
        </w:rPr>
        <w:t>i</w:t>
      </w:r>
      <w:r>
        <w:rPr>
          <w:color w:val="111113"/>
          <w:sz w:val="20"/>
        </w:rPr>
        <w:t>al</w:t>
      </w:r>
      <w:r>
        <w:rPr>
          <w:color w:val="111113"/>
          <w:spacing w:val="-30"/>
          <w:sz w:val="20"/>
        </w:rPr>
        <w:t> </w:t>
      </w:r>
      <w:r>
        <w:rPr>
          <w:color w:val="111113"/>
          <w:sz w:val="20"/>
        </w:rPr>
        <w:t>statements</w:t>
      </w:r>
      <w:r>
        <w:rPr>
          <w:color w:val="5D5B62"/>
          <w:sz w:val="20"/>
        </w:rPr>
        <w:t>.</w:t>
      </w:r>
    </w:p>
    <w:p>
      <w:pPr>
        <w:pStyle w:val="BodyText"/>
        <w:spacing w:before="7"/>
        <w:rPr>
          <w:sz w:val="16"/>
        </w:rPr>
      </w:pPr>
    </w:p>
    <w:p>
      <w:pPr>
        <w:spacing w:before="71"/>
        <w:ind w:left="362" w:right="0" w:firstLine="0"/>
        <w:jc w:val="both"/>
        <w:rPr>
          <w:b/>
          <w:sz w:val="23"/>
        </w:rPr>
      </w:pPr>
      <w:r>
        <w:rPr>
          <w:b/>
          <w:color w:val="111113"/>
          <w:sz w:val="23"/>
        </w:rPr>
        <w:t>Independence</w:t>
      </w:r>
    </w:p>
    <w:p>
      <w:pPr>
        <w:pStyle w:val="BodyText"/>
        <w:spacing w:before="2"/>
        <w:rPr>
          <w:b/>
          <w:sz w:val="20"/>
        </w:rPr>
      </w:pPr>
    </w:p>
    <w:p>
      <w:pPr>
        <w:spacing w:line="240" w:lineRule="auto" w:before="0"/>
        <w:ind w:left="343" w:right="118" w:firstLine="14"/>
        <w:jc w:val="both"/>
        <w:rPr>
          <w:sz w:val="20"/>
        </w:rPr>
      </w:pPr>
      <w:r>
        <w:rPr>
          <w:color w:val="111113"/>
          <w:sz w:val="20"/>
        </w:rPr>
        <w:t>In conducting my audit</w:t>
      </w:r>
      <w:r>
        <w:rPr>
          <w:color w:val="2D2D2F"/>
          <w:sz w:val="20"/>
        </w:rPr>
        <w:t>, </w:t>
      </w:r>
      <w:r>
        <w:rPr>
          <w:color w:val="111113"/>
          <w:sz w:val="20"/>
        </w:rPr>
        <w:t>I have complied with the independence requirements of the Australian Auditing Standards, the </w:t>
      </w:r>
      <w:r>
        <w:rPr>
          <w:i/>
          <w:color w:val="111113"/>
          <w:sz w:val="20"/>
        </w:rPr>
        <w:t>Corporations Act 2001 </w:t>
      </w:r>
      <w:r>
        <w:rPr>
          <w:color w:val="111113"/>
          <w:sz w:val="20"/>
        </w:rPr>
        <w:t>and relevant ethical pronouncements </w:t>
      </w:r>
      <w:r>
        <w:rPr>
          <w:color w:val="464848"/>
          <w:sz w:val="20"/>
        </w:rPr>
        <w:t>. </w:t>
      </w:r>
      <w:r>
        <w:rPr>
          <w:color w:val="111113"/>
          <w:sz w:val="20"/>
        </w:rPr>
        <w:t>The PF&amp;A Act further promotes independence by</w:t>
      </w:r>
      <w:r>
        <w:rPr>
          <w:color w:val="464848"/>
          <w:sz w:val="20"/>
        </w:rPr>
        <w:t>:</w:t>
      </w:r>
    </w:p>
    <w:p>
      <w:pPr>
        <w:pStyle w:val="BodyText"/>
        <w:spacing w:before="10"/>
        <w:rPr>
          <w:sz w:val="24"/>
        </w:rPr>
      </w:pPr>
    </w:p>
    <w:p>
      <w:pPr>
        <w:pStyle w:val="ListParagraph"/>
        <w:numPr>
          <w:ilvl w:val="0"/>
          <w:numId w:val="128"/>
        </w:numPr>
        <w:tabs>
          <w:tab w:pos="922" w:val="left" w:leader="none"/>
        </w:tabs>
        <w:spacing w:line="240" w:lineRule="auto" w:before="1" w:after="0"/>
        <w:ind w:left="907" w:right="1399" w:hanging="559"/>
        <w:jc w:val="left"/>
        <w:rPr>
          <w:sz w:val="20"/>
        </w:rPr>
      </w:pPr>
      <w:r>
        <w:rPr>
          <w:color w:val="111113"/>
          <w:sz w:val="20"/>
        </w:rPr>
        <w:t>providing that only Parliament</w:t>
      </w:r>
      <w:r>
        <w:rPr>
          <w:color w:val="2D2D2F"/>
          <w:sz w:val="20"/>
        </w:rPr>
        <w:t>, </w:t>
      </w:r>
      <w:r>
        <w:rPr>
          <w:color w:val="111113"/>
          <w:sz w:val="20"/>
        </w:rPr>
        <w:t>and not the executive government, can remove</w:t>
      </w:r>
      <w:r>
        <w:rPr>
          <w:color w:val="111113"/>
          <w:spacing w:val="-36"/>
          <w:sz w:val="20"/>
        </w:rPr>
        <w:t> </w:t>
      </w:r>
      <w:r>
        <w:rPr>
          <w:color w:val="111113"/>
          <w:sz w:val="20"/>
        </w:rPr>
        <w:t>an Auditor-General</w:t>
      </w:r>
    </w:p>
    <w:p>
      <w:pPr>
        <w:pStyle w:val="ListParagraph"/>
        <w:numPr>
          <w:ilvl w:val="0"/>
          <w:numId w:val="128"/>
        </w:numPr>
        <w:tabs>
          <w:tab w:pos="922" w:val="left" w:leader="none"/>
        </w:tabs>
        <w:spacing w:line="242" w:lineRule="auto" w:before="57" w:after="0"/>
        <w:ind w:left="912" w:right="137" w:hanging="564"/>
        <w:jc w:val="left"/>
        <w:rPr>
          <w:sz w:val="20"/>
        </w:rPr>
      </w:pPr>
      <w:r>
        <w:rPr>
          <w:color w:val="111113"/>
          <w:sz w:val="20"/>
        </w:rPr>
        <w:t>mandating</w:t>
      </w:r>
      <w:r>
        <w:rPr>
          <w:color w:val="111113"/>
          <w:spacing w:val="-9"/>
          <w:sz w:val="20"/>
        </w:rPr>
        <w:t> </w:t>
      </w:r>
      <w:r>
        <w:rPr>
          <w:color w:val="111113"/>
          <w:sz w:val="20"/>
        </w:rPr>
        <w:t>the</w:t>
      </w:r>
      <w:r>
        <w:rPr>
          <w:color w:val="111113"/>
          <w:spacing w:val="-14"/>
          <w:sz w:val="20"/>
        </w:rPr>
        <w:t> </w:t>
      </w:r>
      <w:r>
        <w:rPr>
          <w:color w:val="111113"/>
          <w:sz w:val="20"/>
        </w:rPr>
        <w:t>Auditor-General</w:t>
      </w:r>
      <w:r>
        <w:rPr>
          <w:color w:val="111113"/>
          <w:spacing w:val="9"/>
          <w:sz w:val="20"/>
        </w:rPr>
        <w:t> </w:t>
      </w:r>
      <w:r>
        <w:rPr>
          <w:color w:val="111113"/>
          <w:sz w:val="20"/>
        </w:rPr>
        <w:t>as</w:t>
      </w:r>
      <w:r>
        <w:rPr>
          <w:color w:val="111113"/>
          <w:spacing w:val="-12"/>
          <w:sz w:val="20"/>
        </w:rPr>
        <w:t> </w:t>
      </w:r>
      <w:r>
        <w:rPr>
          <w:color w:val="111113"/>
          <w:sz w:val="20"/>
        </w:rPr>
        <w:t>auditor</w:t>
      </w:r>
      <w:r>
        <w:rPr>
          <w:color w:val="111113"/>
          <w:spacing w:val="-3"/>
          <w:sz w:val="20"/>
        </w:rPr>
        <w:t> </w:t>
      </w:r>
      <w:r>
        <w:rPr>
          <w:color w:val="111113"/>
          <w:sz w:val="20"/>
        </w:rPr>
        <w:t>of</w:t>
      </w:r>
      <w:r>
        <w:rPr>
          <w:color w:val="111113"/>
          <w:spacing w:val="-7"/>
          <w:sz w:val="20"/>
        </w:rPr>
        <w:t> </w:t>
      </w:r>
      <w:r>
        <w:rPr>
          <w:color w:val="111113"/>
          <w:sz w:val="20"/>
        </w:rPr>
        <w:t>public</w:t>
      </w:r>
      <w:r>
        <w:rPr>
          <w:color w:val="111113"/>
          <w:spacing w:val="-11"/>
          <w:sz w:val="20"/>
        </w:rPr>
        <w:t> </w:t>
      </w:r>
      <w:r>
        <w:rPr>
          <w:color w:val="111113"/>
          <w:sz w:val="20"/>
        </w:rPr>
        <w:t>sector</w:t>
      </w:r>
      <w:r>
        <w:rPr>
          <w:color w:val="111113"/>
          <w:spacing w:val="-6"/>
          <w:sz w:val="20"/>
        </w:rPr>
        <w:t> </w:t>
      </w:r>
      <w:r>
        <w:rPr>
          <w:color w:val="111113"/>
          <w:spacing w:val="2"/>
          <w:sz w:val="20"/>
        </w:rPr>
        <w:t>agencies</w:t>
      </w:r>
      <w:r>
        <w:rPr>
          <w:color w:val="2D2D2F"/>
          <w:spacing w:val="2"/>
          <w:sz w:val="20"/>
        </w:rPr>
        <w:t>,</w:t>
      </w:r>
      <w:r>
        <w:rPr>
          <w:color w:val="2D2D2F"/>
          <w:spacing w:val="-11"/>
          <w:sz w:val="20"/>
        </w:rPr>
        <w:t> </w:t>
      </w:r>
      <w:r>
        <w:rPr>
          <w:color w:val="111113"/>
          <w:sz w:val="20"/>
        </w:rPr>
        <w:t>but</w:t>
      </w:r>
      <w:r>
        <w:rPr>
          <w:color w:val="111113"/>
          <w:spacing w:val="-10"/>
          <w:sz w:val="20"/>
        </w:rPr>
        <w:t> </w:t>
      </w:r>
      <w:r>
        <w:rPr>
          <w:color w:val="111113"/>
          <w:sz w:val="20"/>
        </w:rPr>
        <w:t>precluding</w:t>
      </w:r>
      <w:r>
        <w:rPr>
          <w:color w:val="111113"/>
          <w:spacing w:val="-12"/>
          <w:sz w:val="20"/>
        </w:rPr>
        <w:t> </w:t>
      </w:r>
      <w:r>
        <w:rPr>
          <w:color w:val="111113"/>
          <w:sz w:val="20"/>
        </w:rPr>
        <w:t>the</w:t>
      </w:r>
      <w:r>
        <w:rPr>
          <w:color w:val="111113"/>
          <w:spacing w:val="-4"/>
          <w:sz w:val="20"/>
        </w:rPr>
        <w:t> </w:t>
      </w:r>
      <w:r>
        <w:rPr>
          <w:color w:val="111113"/>
          <w:sz w:val="20"/>
        </w:rPr>
        <w:t>provision of non-audit services, thus ensuring the Auditor-General and the Audit Office of New South Wales are not compromised in their roles by the possibility of losing clients or</w:t>
      </w:r>
      <w:r>
        <w:rPr>
          <w:color w:val="111113"/>
          <w:spacing w:val="-35"/>
          <w:sz w:val="20"/>
        </w:rPr>
        <w:t> </w:t>
      </w:r>
      <w:r>
        <w:rPr>
          <w:color w:val="111113"/>
          <w:sz w:val="20"/>
        </w:rPr>
        <w:t>income.</w:t>
      </w:r>
    </w:p>
    <w:p>
      <w:pPr>
        <w:pStyle w:val="BodyText"/>
        <w:spacing w:before="3"/>
        <w:rPr>
          <w:sz w:val="24"/>
        </w:rPr>
      </w:pPr>
    </w:p>
    <w:p>
      <w:pPr>
        <w:spacing w:before="1"/>
        <w:ind w:left="348" w:right="118" w:firstLine="9"/>
        <w:jc w:val="both"/>
        <w:rPr>
          <w:sz w:val="20"/>
        </w:rPr>
      </w:pPr>
      <w:r>
        <w:rPr>
          <w:color w:val="111113"/>
          <w:sz w:val="20"/>
        </w:rPr>
        <w:t>I confirm that the independence declaration required by the </w:t>
      </w:r>
      <w:r>
        <w:rPr>
          <w:i/>
          <w:color w:val="111113"/>
          <w:sz w:val="20"/>
        </w:rPr>
        <w:t>Corporations Act 2001, </w:t>
      </w:r>
      <w:r>
        <w:rPr>
          <w:color w:val="111113"/>
          <w:sz w:val="20"/>
        </w:rPr>
        <w:t>provided to the directors of the Company on 26 March 2013 </w:t>
      </w:r>
      <w:r>
        <w:rPr>
          <w:color w:val="2D2D2F"/>
          <w:sz w:val="20"/>
        </w:rPr>
        <w:t>, </w:t>
      </w:r>
      <w:r>
        <w:rPr>
          <w:color w:val="111113"/>
          <w:sz w:val="20"/>
        </w:rPr>
        <w:t>would be in the same terms if provided to the directors as at the time of this auditor</w:t>
      </w:r>
      <w:r>
        <w:rPr>
          <w:color w:val="2D2D2F"/>
          <w:sz w:val="20"/>
        </w:rPr>
        <w:t>'</w:t>
      </w:r>
      <w:r>
        <w:rPr>
          <w:color w:val="111113"/>
          <w:sz w:val="20"/>
        </w:rPr>
        <w:t>s report</w:t>
      </w:r>
      <w:r>
        <w:rPr>
          <w:color w:val="2D2D2F"/>
          <w:sz w:val="20"/>
        </w:rPr>
        <w:t>.</w:t>
      </w:r>
    </w:p>
    <w:p>
      <w:pPr>
        <w:pStyle w:val="BodyText"/>
        <w:rPr>
          <w:sz w:val="20"/>
        </w:rPr>
      </w:pPr>
    </w:p>
    <w:p>
      <w:pPr>
        <w:pStyle w:val="BodyText"/>
        <w:rPr>
          <w:sz w:val="15"/>
        </w:rPr>
      </w:pPr>
      <w:r>
        <w:rPr/>
        <w:drawing>
          <wp:anchor distT="0" distB="0" distL="0" distR="0" allowOverlap="1" layoutInCell="1" locked="0" behindDoc="0" simplePos="0" relativeHeight="6064">
            <wp:simplePos x="0" y="0"/>
            <wp:positionH relativeFrom="page">
              <wp:posOffset>865632</wp:posOffset>
            </wp:positionH>
            <wp:positionV relativeFrom="paragraph">
              <wp:posOffset>134529</wp:posOffset>
            </wp:positionV>
            <wp:extent cx="1524000" cy="573024"/>
            <wp:effectExtent l="0" t="0" r="0" b="0"/>
            <wp:wrapTopAndBottom/>
            <wp:docPr id="115" name="image83.jpeg" descr=""/>
            <wp:cNvGraphicFramePr>
              <a:graphicFrameLocks noChangeAspect="1"/>
            </wp:cNvGraphicFramePr>
            <a:graphic>
              <a:graphicData uri="http://schemas.openxmlformats.org/drawingml/2006/picture">
                <pic:pic>
                  <pic:nvPicPr>
                    <pic:cNvPr id="116" name="image83.jpeg"/>
                    <pic:cNvPicPr/>
                  </pic:nvPicPr>
                  <pic:blipFill>
                    <a:blip r:embed="rId256" cstate="print"/>
                    <a:stretch>
                      <a:fillRect/>
                    </a:stretch>
                  </pic:blipFill>
                  <pic:spPr>
                    <a:xfrm>
                      <a:off x="0" y="0"/>
                      <a:ext cx="1524000" cy="573024"/>
                    </a:xfrm>
                    <a:prstGeom prst="rect">
                      <a:avLst/>
                    </a:prstGeom>
                  </pic:spPr>
                </pic:pic>
              </a:graphicData>
            </a:graphic>
          </wp:anchor>
        </w:drawing>
      </w:r>
    </w:p>
    <w:p>
      <w:pPr>
        <w:spacing w:before="0"/>
        <w:ind w:left="353" w:right="6242" w:firstLine="4"/>
        <w:jc w:val="left"/>
        <w:rPr>
          <w:sz w:val="20"/>
        </w:rPr>
      </w:pPr>
      <w:r>
        <w:rPr>
          <w:color w:val="111113"/>
          <w:sz w:val="20"/>
        </w:rPr>
        <w:t>Renee Meimaroglou</w:t>
      </w:r>
      <w:r>
        <w:rPr>
          <w:color w:val="2D2D2F"/>
          <w:sz w:val="20"/>
        </w:rPr>
        <w:t>, </w:t>
      </w:r>
      <w:r>
        <w:rPr>
          <w:color w:val="111113"/>
          <w:sz w:val="20"/>
        </w:rPr>
        <w:t>CA Director Financial Audit Services</w:t>
      </w:r>
    </w:p>
    <w:p>
      <w:pPr>
        <w:spacing w:line="362" w:lineRule="exact" w:before="112"/>
        <w:ind w:left="105" w:right="8071" w:firstLine="0"/>
        <w:jc w:val="center"/>
        <w:rPr>
          <w:sz w:val="20"/>
        </w:rPr>
      </w:pPr>
      <w:r>
        <w:rPr>
          <w:b/>
          <w:color w:val="111113"/>
          <w:sz w:val="32"/>
        </w:rPr>
        <w:t>4- </w:t>
      </w:r>
      <w:r>
        <w:rPr>
          <w:color w:val="111113"/>
          <w:sz w:val="20"/>
        </w:rPr>
        <w:t>April 2013</w:t>
      </w:r>
    </w:p>
    <w:p>
      <w:pPr>
        <w:spacing w:line="213" w:lineRule="exact" w:before="0"/>
        <w:ind w:left="348" w:right="0" w:firstLine="0"/>
        <w:jc w:val="both"/>
        <w:rPr>
          <w:b/>
          <w:sz w:val="19"/>
        </w:rPr>
      </w:pPr>
      <w:r>
        <w:rPr>
          <w:b/>
          <w:color w:val="111113"/>
          <w:sz w:val="19"/>
        </w:rPr>
        <w:t>SYDNEY</w:t>
      </w:r>
    </w:p>
    <w:p>
      <w:pPr>
        <w:spacing w:after="0" w:line="213" w:lineRule="exact"/>
        <w:jc w:val="both"/>
        <w:rPr>
          <w:sz w:val="19"/>
        </w:rPr>
        <w:sectPr>
          <w:headerReference w:type="default" r:id="rId254"/>
          <w:footerReference w:type="default" r:id="rId255"/>
          <w:pgSz w:w="11910" w:h="16840"/>
          <w:pgMar w:header="0" w:footer="571" w:top="1360" w:bottom="760" w:left="1060" w:right="1360"/>
          <w:pgNumType w:start="261"/>
        </w:sectPr>
      </w:pPr>
    </w:p>
    <w:p>
      <w:pPr>
        <w:pStyle w:val="BodyText"/>
        <w:spacing w:before="2"/>
        <w:rPr>
          <w:b/>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61"/>
        <w:gridCol w:w="1453"/>
        <w:gridCol w:w="2585"/>
      </w:tblGrid>
      <w:tr>
        <w:trPr>
          <w:trHeight w:val="911" w:hRule="exact"/>
        </w:trPr>
        <w:tc>
          <w:tcPr>
            <w:tcW w:w="5861" w:type="dxa"/>
          </w:tcPr>
          <w:p>
            <w:pPr>
              <w:pStyle w:val="TableParagraph"/>
              <w:spacing w:before="64"/>
              <w:ind w:left="35"/>
              <w:rPr>
                <w:b/>
                <w:sz w:val="28"/>
              </w:rPr>
            </w:pPr>
            <w:r>
              <w:rPr>
                <w:b/>
                <w:sz w:val="28"/>
              </w:rPr>
              <w:t>Statement of comprehensive income</w:t>
            </w:r>
          </w:p>
          <w:p>
            <w:pPr>
              <w:pStyle w:val="TableParagraph"/>
              <w:spacing w:before="57"/>
              <w:ind w:left="35"/>
              <w:rPr>
                <w:b/>
                <w:sz w:val="22"/>
              </w:rPr>
            </w:pPr>
            <w:r>
              <w:rPr>
                <w:b/>
                <w:sz w:val="22"/>
              </w:rPr>
              <w:t>For the Year Ended 31 December 2012</w:t>
            </w:r>
          </w:p>
        </w:tc>
        <w:tc>
          <w:tcPr>
            <w:tcW w:w="4038" w:type="dxa"/>
            <w:gridSpan w:val="2"/>
          </w:tcPr>
          <w:p>
            <w:pPr/>
          </w:p>
        </w:tc>
      </w:tr>
      <w:tr>
        <w:trPr>
          <w:trHeight w:val="447" w:hRule="exact"/>
        </w:trPr>
        <w:tc>
          <w:tcPr>
            <w:tcW w:w="5861" w:type="dxa"/>
          </w:tcPr>
          <w:p>
            <w:pPr/>
          </w:p>
        </w:tc>
        <w:tc>
          <w:tcPr>
            <w:tcW w:w="1453" w:type="dxa"/>
          </w:tcPr>
          <w:p>
            <w:pPr/>
          </w:p>
        </w:tc>
        <w:tc>
          <w:tcPr>
            <w:tcW w:w="2585" w:type="dxa"/>
          </w:tcPr>
          <w:p>
            <w:pPr>
              <w:pStyle w:val="TableParagraph"/>
              <w:spacing w:before="1"/>
              <w:rPr>
                <w:b/>
                <w:sz w:val="17"/>
              </w:rPr>
            </w:pPr>
          </w:p>
          <w:p>
            <w:pPr>
              <w:pStyle w:val="TableParagraph"/>
              <w:tabs>
                <w:tab w:pos="1790" w:val="left" w:leader="none"/>
              </w:tabs>
              <w:ind w:left="493"/>
              <w:rPr>
                <w:b/>
                <w:sz w:val="18"/>
              </w:rPr>
            </w:pPr>
            <w:r>
              <w:rPr>
                <w:b/>
                <w:sz w:val="18"/>
              </w:rPr>
              <w:t>2012</w:t>
              <w:tab/>
              <w:t>2011</w:t>
            </w:r>
          </w:p>
        </w:tc>
      </w:tr>
      <w:tr>
        <w:trPr>
          <w:trHeight w:val="313" w:hRule="exact"/>
        </w:trPr>
        <w:tc>
          <w:tcPr>
            <w:tcW w:w="5861" w:type="dxa"/>
          </w:tcPr>
          <w:p>
            <w:pPr/>
          </w:p>
        </w:tc>
        <w:tc>
          <w:tcPr>
            <w:tcW w:w="1453" w:type="dxa"/>
          </w:tcPr>
          <w:p>
            <w:pPr>
              <w:pStyle w:val="TableParagraph"/>
              <w:spacing w:before="24"/>
              <w:ind w:right="42"/>
              <w:jc w:val="right"/>
              <w:rPr>
                <w:b/>
                <w:sz w:val="18"/>
              </w:rPr>
            </w:pPr>
            <w:r>
              <w:rPr>
                <w:b/>
                <w:w w:val="95"/>
                <w:sz w:val="18"/>
              </w:rPr>
              <w:t>Note</w:t>
            </w:r>
          </w:p>
        </w:tc>
        <w:tc>
          <w:tcPr>
            <w:tcW w:w="2585" w:type="dxa"/>
          </w:tcPr>
          <w:p>
            <w:pPr>
              <w:pStyle w:val="TableParagraph"/>
              <w:tabs>
                <w:tab w:pos="1940" w:val="left" w:leader="none"/>
              </w:tabs>
              <w:spacing w:before="24"/>
              <w:ind w:left="643"/>
              <w:rPr>
                <w:b/>
                <w:sz w:val="18"/>
              </w:rPr>
            </w:pPr>
            <w:r>
              <w:rPr>
                <w:b/>
                <w:sz w:val="18"/>
              </w:rPr>
              <w:t>$</w:t>
              <w:tab/>
              <w:t>$</w:t>
            </w:r>
          </w:p>
        </w:tc>
      </w:tr>
      <w:tr>
        <w:trPr>
          <w:trHeight w:val="350" w:hRule="exact"/>
        </w:trPr>
        <w:tc>
          <w:tcPr>
            <w:tcW w:w="5861" w:type="dxa"/>
          </w:tcPr>
          <w:p>
            <w:pPr>
              <w:pStyle w:val="TableParagraph"/>
              <w:spacing w:before="63"/>
              <w:ind w:left="62"/>
              <w:rPr>
                <w:b/>
                <w:sz w:val="18"/>
              </w:rPr>
            </w:pPr>
            <w:r>
              <w:rPr>
                <w:b/>
                <w:sz w:val="18"/>
              </w:rPr>
              <w:t>Revenue</w:t>
            </w:r>
          </w:p>
        </w:tc>
        <w:tc>
          <w:tcPr>
            <w:tcW w:w="1453" w:type="dxa"/>
          </w:tcPr>
          <w:p>
            <w:pPr/>
          </w:p>
        </w:tc>
        <w:tc>
          <w:tcPr>
            <w:tcW w:w="2585" w:type="dxa"/>
          </w:tcPr>
          <w:p>
            <w:pPr/>
          </w:p>
        </w:tc>
      </w:tr>
      <w:tr>
        <w:trPr>
          <w:trHeight w:val="644" w:hRule="exact"/>
        </w:trPr>
        <w:tc>
          <w:tcPr>
            <w:tcW w:w="5861" w:type="dxa"/>
          </w:tcPr>
          <w:p>
            <w:pPr>
              <w:pStyle w:val="TableParagraph"/>
              <w:spacing w:before="60"/>
              <w:ind w:left="62"/>
              <w:rPr>
                <w:sz w:val="18"/>
              </w:rPr>
            </w:pPr>
            <w:r>
              <w:rPr>
                <w:sz w:val="18"/>
              </w:rPr>
              <w:t>Other revenue</w:t>
            </w:r>
          </w:p>
          <w:p>
            <w:pPr>
              <w:pStyle w:val="TableParagraph"/>
              <w:spacing w:before="9"/>
              <w:ind w:left="62"/>
              <w:rPr>
                <w:b/>
                <w:sz w:val="18"/>
              </w:rPr>
            </w:pPr>
            <w:r>
              <w:rPr>
                <w:b/>
                <w:sz w:val="18"/>
              </w:rPr>
              <w:t>Total revenue</w:t>
            </w:r>
          </w:p>
        </w:tc>
        <w:tc>
          <w:tcPr>
            <w:tcW w:w="1453" w:type="dxa"/>
          </w:tcPr>
          <w:p>
            <w:pPr/>
          </w:p>
        </w:tc>
        <w:tc>
          <w:tcPr>
            <w:tcW w:w="2585" w:type="dxa"/>
          </w:tcPr>
          <w:p>
            <w:pPr>
              <w:pStyle w:val="TableParagraph"/>
              <w:tabs>
                <w:tab w:pos="1192" w:val="left" w:leader="none"/>
                <w:tab w:pos="2489" w:val="left" w:leader="none"/>
              </w:tabs>
              <w:spacing w:before="60"/>
              <w:ind w:left="44"/>
              <w:rPr>
                <w:sz w:val="18"/>
              </w:rPr>
            </w:pPr>
            <w:r>
              <w:rPr>
                <w:b/>
                <w:w w:val="100"/>
                <w:sz w:val="18"/>
                <w:u w:val="single"/>
              </w:rPr>
              <w:t> </w:t>
            </w:r>
            <w:r>
              <w:rPr>
                <w:b/>
                <w:sz w:val="18"/>
                <w:u w:val="single"/>
              </w:rPr>
              <w:tab/>
              <w:t>-</w:t>
              <w:tab/>
            </w:r>
            <w:r>
              <w:rPr>
                <w:sz w:val="18"/>
                <w:u w:val="single"/>
              </w:rPr>
              <w:t>-</w:t>
            </w:r>
          </w:p>
          <w:p>
            <w:pPr>
              <w:pStyle w:val="TableParagraph"/>
              <w:tabs>
                <w:tab w:pos="1192" w:val="left" w:leader="none"/>
                <w:tab w:pos="2489" w:val="left" w:leader="none"/>
              </w:tabs>
              <w:spacing w:before="9"/>
              <w:ind w:left="44"/>
              <w:rPr>
                <w:sz w:val="18"/>
              </w:rPr>
            </w:pPr>
            <w:r>
              <w:rPr>
                <w:b/>
                <w:w w:val="100"/>
                <w:sz w:val="18"/>
                <w:u w:val="single"/>
              </w:rPr>
              <w:t> </w:t>
            </w:r>
            <w:r>
              <w:rPr>
                <w:b/>
                <w:sz w:val="18"/>
                <w:u w:val="single"/>
              </w:rPr>
              <w:tab/>
              <w:t>-</w:t>
              <w:tab/>
            </w:r>
            <w:r>
              <w:rPr>
                <w:sz w:val="18"/>
                <w:u w:val="single"/>
              </w:rPr>
              <w:t>-</w:t>
            </w:r>
          </w:p>
        </w:tc>
      </w:tr>
      <w:tr>
        <w:trPr>
          <w:trHeight w:val="509" w:hRule="exact"/>
        </w:trPr>
        <w:tc>
          <w:tcPr>
            <w:tcW w:w="5861" w:type="dxa"/>
          </w:tcPr>
          <w:p>
            <w:pPr>
              <w:pStyle w:val="TableParagraph"/>
              <w:spacing w:before="141"/>
              <w:ind w:left="62"/>
              <w:rPr>
                <w:b/>
                <w:sz w:val="18"/>
              </w:rPr>
            </w:pPr>
            <w:r>
              <w:rPr>
                <w:b/>
                <w:sz w:val="18"/>
              </w:rPr>
              <w:t>Total income</w:t>
            </w:r>
          </w:p>
        </w:tc>
        <w:tc>
          <w:tcPr>
            <w:tcW w:w="1453" w:type="dxa"/>
          </w:tcPr>
          <w:p>
            <w:pPr/>
          </w:p>
        </w:tc>
        <w:tc>
          <w:tcPr>
            <w:tcW w:w="2585" w:type="dxa"/>
          </w:tcPr>
          <w:p>
            <w:pPr>
              <w:pStyle w:val="TableParagraph"/>
              <w:tabs>
                <w:tab w:pos="1148" w:val="left" w:leader="none"/>
                <w:tab w:pos="2445" w:val="left" w:leader="none"/>
              </w:tabs>
              <w:spacing w:before="141"/>
              <w:ind w:right="33"/>
              <w:jc w:val="right"/>
              <w:rPr>
                <w:sz w:val="18"/>
              </w:rPr>
            </w:pPr>
            <w:r>
              <w:rPr>
                <w:b/>
                <w:w w:val="100"/>
                <w:sz w:val="18"/>
                <w:u w:val="single"/>
              </w:rPr>
              <w:t> </w:t>
            </w:r>
            <w:r>
              <w:rPr>
                <w:b/>
                <w:sz w:val="18"/>
                <w:u w:val="single"/>
              </w:rPr>
              <w:tab/>
              <w:t>-</w:t>
              <w:tab/>
            </w:r>
            <w:r>
              <w:rPr>
                <w:sz w:val="18"/>
                <w:u w:val="single"/>
              </w:rPr>
              <w:t>-</w:t>
            </w:r>
          </w:p>
        </w:tc>
      </w:tr>
      <w:tr>
        <w:trPr>
          <w:trHeight w:val="428" w:hRule="exact"/>
        </w:trPr>
        <w:tc>
          <w:tcPr>
            <w:tcW w:w="5861" w:type="dxa"/>
          </w:tcPr>
          <w:p>
            <w:pPr>
              <w:pStyle w:val="TableParagraph"/>
              <w:spacing w:before="141"/>
              <w:ind w:left="62"/>
              <w:rPr>
                <w:b/>
                <w:sz w:val="18"/>
              </w:rPr>
            </w:pPr>
            <w:r>
              <w:rPr>
                <w:b/>
                <w:sz w:val="18"/>
              </w:rPr>
              <w:t>Expenses</w:t>
            </w:r>
          </w:p>
        </w:tc>
        <w:tc>
          <w:tcPr>
            <w:tcW w:w="1453" w:type="dxa"/>
          </w:tcPr>
          <w:p>
            <w:pPr/>
          </w:p>
        </w:tc>
        <w:tc>
          <w:tcPr>
            <w:tcW w:w="2585" w:type="dxa"/>
          </w:tcPr>
          <w:p>
            <w:pPr/>
          </w:p>
        </w:tc>
      </w:tr>
      <w:tr>
        <w:trPr>
          <w:trHeight w:val="644" w:hRule="exact"/>
        </w:trPr>
        <w:tc>
          <w:tcPr>
            <w:tcW w:w="5861" w:type="dxa"/>
          </w:tcPr>
          <w:p>
            <w:pPr>
              <w:pStyle w:val="TableParagraph"/>
              <w:spacing w:before="60"/>
              <w:ind w:left="62"/>
              <w:rPr>
                <w:sz w:val="18"/>
              </w:rPr>
            </w:pPr>
            <w:r>
              <w:rPr>
                <w:sz w:val="18"/>
              </w:rPr>
              <w:t>Finance costs</w:t>
            </w:r>
          </w:p>
          <w:p>
            <w:pPr>
              <w:pStyle w:val="TableParagraph"/>
              <w:spacing w:before="9"/>
              <w:ind w:left="62"/>
              <w:rPr>
                <w:b/>
                <w:sz w:val="18"/>
              </w:rPr>
            </w:pPr>
            <w:r>
              <w:rPr>
                <w:b/>
                <w:sz w:val="18"/>
              </w:rPr>
              <w:t>Total expenses</w:t>
            </w:r>
          </w:p>
        </w:tc>
        <w:tc>
          <w:tcPr>
            <w:tcW w:w="1453" w:type="dxa"/>
          </w:tcPr>
          <w:p>
            <w:pPr/>
          </w:p>
        </w:tc>
        <w:tc>
          <w:tcPr>
            <w:tcW w:w="2585" w:type="dxa"/>
          </w:tcPr>
          <w:p>
            <w:pPr>
              <w:pStyle w:val="TableParagraph"/>
              <w:tabs>
                <w:tab w:pos="1192" w:val="left" w:leader="none"/>
                <w:tab w:pos="2489" w:val="left" w:leader="none"/>
              </w:tabs>
              <w:spacing w:before="60"/>
              <w:ind w:left="44"/>
              <w:rPr>
                <w:sz w:val="18"/>
              </w:rPr>
            </w:pPr>
            <w:r>
              <w:rPr>
                <w:b/>
                <w:w w:val="100"/>
                <w:sz w:val="18"/>
                <w:u w:val="single"/>
              </w:rPr>
              <w:t> </w:t>
            </w:r>
            <w:r>
              <w:rPr>
                <w:b/>
                <w:sz w:val="18"/>
                <w:u w:val="single"/>
              </w:rPr>
              <w:tab/>
              <w:t>-</w:t>
              <w:tab/>
            </w:r>
            <w:r>
              <w:rPr>
                <w:sz w:val="18"/>
                <w:u w:val="single"/>
              </w:rPr>
              <w:t>-</w:t>
            </w:r>
          </w:p>
          <w:p>
            <w:pPr>
              <w:pStyle w:val="TableParagraph"/>
              <w:tabs>
                <w:tab w:pos="1192" w:val="left" w:leader="none"/>
                <w:tab w:pos="2489" w:val="left" w:leader="none"/>
              </w:tabs>
              <w:spacing w:before="9"/>
              <w:ind w:left="44"/>
              <w:rPr>
                <w:sz w:val="18"/>
              </w:rPr>
            </w:pPr>
            <w:r>
              <w:rPr>
                <w:b/>
                <w:w w:val="100"/>
                <w:sz w:val="18"/>
                <w:u w:val="single"/>
              </w:rPr>
              <w:t> </w:t>
            </w:r>
            <w:r>
              <w:rPr>
                <w:b/>
                <w:sz w:val="18"/>
                <w:u w:val="single"/>
              </w:rPr>
              <w:tab/>
              <w:t>-</w:t>
              <w:tab/>
            </w:r>
            <w:r>
              <w:rPr>
                <w:sz w:val="18"/>
                <w:u w:val="single"/>
              </w:rPr>
              <w:t>-</w:t>
            </w:r>
          </w:p>
        </w:tc>
      </w:tr>
      <w:tr>
        <w:trPr>
          <w:trHeight w:val="499" w:hRule="exact"/>
        </w:trPr>
        <w:tc>
          <w:tcPr>
            <w:tcW w:w="5861" w:type="dxa"/>
          </w:tcPr>
          <w:p>
            <w:pPr>
              <w:pStyle w:val="TableParagraph"/>
              <w:spacing w:before="141"/>
              <w:ind w:left="62"/>
              <w:rPr>
                <w:b/>
                <w:sz w:val="18"/>
              </w:rPr>
            </w:pPr>
            <w:r>
              <w:rPr>
                <w:b/>
                <w:sz w:val="18"/>
              </w:rPr>
              <w:t>Surplus/(deficit) before income tax</w:t>
            </w:r>
          </w:p>
        </w:tc>
        <w:tc>
          <w:tcPr>
            <w:tcW w:w="1453" w:type="dxa"/>
          </w:tcPr>
          <w:p>
            <w:pPr/>
          </w:p>
        </w:tc>
        <w:tc>
          <w:tcPr>
            <w:tcW w:w="2585" w:type="dxa"/>
          </w:tcPr>
          <w:p>
            <w:pPr>
              <w:pStyle w:val="TableParagraph"/>
              <w:tabs>
                <w:tab w:pos="1297" w:val="left" w:leader="none"/>
              </w:tabs>
              <w:spacing w:before="141"/>
              <w:ind w:right="33"/>
              <w:jc w:val="right"/>
              <w:rPr>
                <w:sz w:val="18"/>
              </w:rPr>
            </w:pPr>
            <w:r>
              <w:rPr>
                <w:b/>
                <w:sz w:val="18"/>
              </w:rPr>
              <w:t>-</w:t>
              <w:tab/>
            </w:r>
            <w:r>
              <w:rPr>
                <w:spacing w:val="-1"/>
                <w:sz w:val="18"/>
              </w:rPr>
              <w:t>-</w:t>
            </w:r>
          </w:p>
        </w:tc>
      </w:tr>
      <w:tr>
        <w:trPr>
          <w:trHeight w:val="358" w:hRule="exact"/>
        </w:trPr>
        <w:tc>
          <w:tcPr>
            <w:tcW w:w="5861" w:type="dxa"/>
          </w:tcPr>
          <w:p>
            <w:pPr>
              <w:pStyle w:val="TableParagraph"/>
              <w:spacing w:before="132"/>
              <w:ind w:left="62"/>
              <w:rPr>
                <w:sz w:val="18"/>
              </w:rPr>
            </w:pPr>
            <w:r>
              <w:rPr>
                <w:sz w:val="18"/>
              </w:rPr>
              <w:t>Income tax expense</w:t>
            </w:r>
          </w:p>
        </w:tc>
        <w:tc>
          <w:tcPr>
            <w:tcW w:w="1453" w:type="dxa"/>
          </w:tcPr>
          <w:p>
            <w:pPr>
              <w:pStyle w:val="TableParagraph"/>
              <w:spacing w:before="132"/>
              <w:ind w:left="947"/>
              <w:rPr>
                <w:sz w:val="18"/>
              </w:rPr>
            </w:pPr>
            <w:r>
              <w:rPr>
                <w:sz w:val="18"/>
              </w:rPr>
              <w:t>1(d)</w:t>
            </w:r>
          </w:p>
        </w:tc>
        <w:tc>
          <w:tcPr>
            <w:tcW w:w="2585" w:type="dxa"/>
          </w:tcPr>
          <w:p>
            <w:pPr>
              <w:pStyle w:val="TableParagraph"/>
              <w:tabs>
                <w:tab w:pos="1148" w:val="left" w:leader="none"/>
                <w:tab w:pos="2445" w:val="left" w:leader="none"/>
              </w:tabs>
              <w:spacing w:before="132"/>
              <w:ind w:right="33"/>
              <w:jc w:val="right"/>
              <w:rPr>
                <w:sz w:val="18"/>
              </w:rPr>
            </w:pPr>
            <w:r>
              <w:rPr>
                <w:b/>
                <w:w w:val="100"/>
                <w:sz w:val="18"/>
                <w:u w:val="single"/>
              </w:rPr>
              <w:t> </w:t>
            </w:r>
            <w:r>
              <w:rPr>
                <w:b/>
                <w:sz w:val="18"/>
                <w:u w:val="single"/>
              </w:rPr>
              <w:tab/>
              <w:t>-</w:t>
              <w:tab/>
            </w:r>
            <w:r>
              <w:rPr>
                <w:sz w:val="18"/>
                <w:u w:val="single"/>
              </w:rPr>
              <w:t>-</w:t>
            </w:r>
          </w:p>
        </w:tc>
      </w:tr>
      <w:tr>
        <w:trPr>
          <w:trHeight w:val="338" w:hRule="exact"/>
        </w:trPr>
        <w:tc>
          <w:tcPr>
            <w:tcW w:w="5861" w:type="dxa"/>
          </w:tcPr>
          <w:p>
            <w:pPr>
              <w:pStyle w:val="TableParagraph"/>
              <w:spacing w:line="207" w:lineRule="exact"/>
              <w:ind w:left="62"/>
              <w:rPr>
                <w:b/>
                <w:sz w:val="18"/>
              </w:rPr>
            </w:pPr>
            <w:r>
              <w:rPr>
                <w:b/>
                <w:sz w:val="18"/>
              </w:rPr>
              <w:t>Surplus/(deficit) for the year</w:t>
            </w:r>
          </w:p>
        </w:tc>
        <w:tc>
          <w:tcPr>
            <w:tcW w:w="1453" w:type="dxa"/>
          </w:tcPr>
          <w:p>
            <w:pPr/>
          </w:p>
        </w:tc>
        <w:tc>
          <w:tcPr>
            <w:tcW w:w="2585" w:type="dxa"/>
          </w:tcPr>
          <w:p>
            <w:pPr>
              <w:pStyle w:val="TableParagraph"/>
              <w:tabs>
                <w:tab w:pos="1148" w:val="left" w:leader="none"/>
                <w:tab w:pos="2445" w:val="left" w:leader="none"/>
              </w:tabs>
              <w:ind w:right="33"/>
              <w:jc w:val="right"/>
              <w:rPr>
                <w:sz w:val="18"/>
              </w:rPr>
            </w:pPr>
            <w:r>
              <w:rPr>
                <w:b/>
                <w:w w:val="100"/>
                <w:sz w:val="18"/>
                <w:u w:val="single"/>
              </w:rPr>
              <w:t> </w:t>
            </w:r>
            <w:r>
              <w:rPr>
                <w:b/>
                <w:sz w:val="18"/>
                <w:u w:val="single"/>
              </w:rPr>
              <w:tab/>
              <w:t>-</w:t>
              <w:tab/>
            </w:r>
            <w:r>
              <w:rPr>
                <w:sz w:val="18"/>
                <w:u w:val="single"/>
              </w:rPr>
              <w:t>-</w:t>
            </w:r>
          </w:p>
        </w:tc>
      </w:tr>
      <w:tr>
        <w:trPr>
          <w:trHeight w:val="632" w:hRule="exact"/>
        </w:trPr>
        <w:tc>
          <w:tcPr>
            <w:tcW w:w="5861" w:type="dxa"/>
          </w:tcPr>
          <w:p>
            <w:pPr>
              <w:pStyle w:val="TableParagraph"/>
              <w:spacing w:before="112"/>
              <w:ind w:left="62"/>
              <w:rPr>
                <w:sz w:val="18"/>
              </w:rPr>
            </w:pPr>
            <w:r>
              <w:rPr>
                <w:sz w:val="18"/>
              </w:rPr>
              <w:t>Other comprehensive income for the year, net of tax</w:t>
            </w:r>
          </w:p>
          <w:p>
            <w:pPr>
              <w:pStyle w:val="TableParagraph"/>
              <w:spacing w:before="9"/>
              <w:ind w:left="62"/>
              <w:rPr>
                <w:b/>
                <w:sz w:val="18"/>
              </w:rPr>
            </w:pPr>
            <w:r>
              <w:rPr>
                <w:b/>
                <w:sz w:val="18"/>
              </w:rPr>
              <w:t>Total comprehensive income for the year</w:t>
            </w:r>
          </w:p>
        </w:tc>
        <w:tc>
          <w:tcPr>
            <w:tcW w:w="1453" w:type="dxa"/>
          </w:tcPr>
          <w:p>
            <w:pPr/>
          </w:p>
        </w:tc>
        <w:tc>
          <w:tcPr>
            <w:tcW w:w="2585" w:type="dxa"/>
          </w:tcPr>
          <w:p>
            <w:pPr>
              <w:pStyle w:val="TableParagraph"/>
              <w:tabs>
                <w:tab w:pos="1192" w:val="left" w:leader="none"/>
                <w:tab w:pos="2489" w:val="left" w:leader="none"/>
              </w:tabs>
              <w:spacing w:before="112"/>
              <w:ind w:left="44"/>
              <w:rPr>
                <w:sz w:val="18"/>
              </w:rPr>
            </w:pPr>
            <w:r>
              <w:rPr>
                <w:b/>
                <w:w w:val="100"/>
                <w:sz w:val="18"/>
                <w:u w:val="single"/>
              </w:rPr>
              <w:t> </w:t>
            </w:r>
            <w:r>
              <w:rPr>
                <w:b/>
                <w:sz w:val="18"/>
                <w:u w:val="single"/>
              </w:rPr>
              <w:tab/>
              <w:t>-</w:t>
              <w:tab/>
            </w:r>
            <w:r>
              <w:rPr>
                <w:sz w:val="18"/>
                <w:u w:val="single"/>
              </w:rPr>
              <w:t>-</w:t>
            </w:r>
          </w:p>
          <w:p>
            <w:pPr>
              <w:pStyle w:val="TableParagraph"/>
              <w:tabs>
                <w:tab w:pos="1192" w:val="left" w:leader="none"/>
                <w:tab w:pos="2489" w:val="left" w:leader="none"/>
              </w:tabs>
              <w:spacing w:before="9"/>
              <w:ind w:left="44"/>
              <w:rPr>
                <w:sz w:val="18"/>
              </w:rPr>
            </w:pPr>
            <w:r>
              <w:rPr>
                <w:b/>
                <w:w w:val="100"/>
                <w:sz w:val="18"/>
                <w:u w:val="single"/>
              </w:rPr>
              <w:t> </w:t>
            </w:r>
            <w:r>
              <w:rPr>
                <w:b/>
                <w:sz w:val="18"/>
                <w:u w:val="single"/>
              </w:rPr>
              <w:tab/>
              <w:t>-</w:t>
              <w:tab/>
            </w:r>
            <w:r>
              <w:rPr>
                <w:sz w:val="18"/>
                <w:u w:val="single"/>
              </w:rPr>
              <w:t>-</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0"/>
        </w:rPr>
      </w:pPr>
    </w:p>
    <w:p>
      <w:pPr>
        <w:pStyle w:val="BodyText"/>
        <w:ind w:left="147" w:right="128"/>
      </w:pPr>
      <w:r>
        <w:rPr/>
        <w:t>The accompanying notes form part of these financial statements.</w:t>
      </w:r>
    </w:p>
    <w:p>
      <w:pPr>
        <w:spacing w:after="0"/>
        <w:sectPr>
          <w:headerReference w:type="default" r:id="rId257"/>
          <w:pgSz w:w="11910" w:h="16840"/>
          <w:pgMar w:header="1038" w:footer="571" w:top="1460" w:bottom="700" w:left="860" w:right="92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56"/>
        <w:gridCol w:w="1857"/>
        <w:gridCol w:w="2585"/>
      </w:tblGrid>
      <w:tr>
        <w:trPr>
          <w:trHeight w:val="911" w:hRule="exact"/>
        </w:trPr>
        <w:tc>
          <w:tcPr>
            <w:tcW w:w="5456" w:type="dxa"/>
          </w:tcPr>
          <w:p>
            <w:pPr>
              <w:pStyle w:val="TableParagraph"/>
              <w:spacing w:before="64"/>
              <w:ind w:left="35"/>
              <w:rPr>
                <w:b/>
                <w:sz w:val="28"/>
              </w:rPr>
            </w:pPr>
            <w:r>
              <w:rPr>
                <w:b/>
                <w:sz w:val="28"/>
              </w:rPr>
              <w:t>Statement of financial position</w:t>
            </w:r>
          </w:p>
          <w:p>
            <w:pPr>
              <w:pStyle w:val="TableParagraph"/>
              <w:spacing w:before="57"/>
              <w:ind w:left="35"/>
              <w:rPr>
                <w:b/>
                <w:sz w:val="22"/>
              </w:rPr>
            </w:pPr>
            <w:r>
              <w:rPr>
                <w:b/>
                <w:sz w:val="22"/>
              </w:rPr>
              <w:t>As at 31 December 2012</w:t>
            </w:r>
          </w:p>
        </w:tc>
        <w:tc>
          <w:tcPr>
            <w:tcW w:w="4442" w:type="dxa"/>
            <w:gridSpan w:val="2"/>
          </w:tcPr>
          <w:p>
            <w:pPr/>
          </w:p>
        </w:tc>
      </w:tr>
      <w:tr>
        <w:trPr>
          <w:trHeight w:val="447" w:hRule="exact"/>
        </w:trPr>
        <w:tc>
          <w:tcPr>
            <w:tcW w:w="5456" w:type="dxa"/>
          </w:tcPr>
          <w:p>
            <w:pPr/>
          </w:p>
        </w:tc>
        <w:tc>
          <w:tcPr>
            <w:tcW w:w="1857" w:type="dxa"/>
          </w:tcPr>
          <w:p>
            <w:pPr/>
          </w:p>
        </w:tc>
        <w:tc>
          <w:tcPr>
            <w:tcW w:w="2585" w:type="dxa"/>
          </w:tcPr>
          <w:p>
            <w:pPr>
              <w:pStyle w:val="TableParagraph"/>
              <w:spacing w:before="1"/>
              <w:rPr>
                <w:sz w:val="17"/>
              </w:rPr>
            </w:pPr>
          </w:p>
          <w:p>
            <w:pPr>
              <w:pStyle w:val="TableParagraph"/>
              <w:tabs>
                <w:tab w:pos="1790" w:val="left" w:leader="none"/>
              </w:tabs>
              <w:ind w:left="493"/>
              <w:rPr>
                <w:b/>
                <w:sz w:val="18"/>
              </w:rPr>
            </w:pPr>
            <w:r>
              <w:rPr>
                <w:b/>
                <w:sz w:val="18"/>
              </w:rPr>
              <w:t>2012</w:t>
              <w:tab/>
              <w:t>2011</w:t>
            </w:r>
          </w:p>
        </w:tc>
      </w:tr>
      <w:tr>
        <w:trPr>
          <w:trHeight w:val="313" w:hRule="exact"/>
        </w:trPr>
        <w:tc>
          <w:tcPr>
            <w:tcW w:w="5456" w:type="dxa"/>
          </w:tcPr>
          <w:p>
            <w:pPr/>
          </w:p>
        </w:tc>
        <w:tc>
          <w:tcPr>
            <w:tcW w:w="1857" w:type="dxa"/>
          </w:tcPr>
          <w:p>
            <w:pPr>
              <w:pStyle w:val="TableParagraph"/>
              <w:spacing w:before="24"/>
              <w:ind w:right="42"/>
              <w:jc w:val="right"/>
              <w:rPr>
                <w:b/>
                <w:sz w:val="18"/>
              </w:rPr>
            </w:pPr>
            <w:r>
              <w:rPr>
                <w:b/>
                <w:w w:val="95"/>
                <w:sz w:val="18"/>
              </w:rPr>
              <w:t>Note</w:t>
            </w:r>
          </w:p>
        </w:tc>
        <w:tc>
          <w:tcPr>
            <w:tcW w:w="2585" w:type="dxa"/>
          </w:tcPr>
          <w:p>
            <w:pPr>
              <w:pStyle w:val="TableParagraph"/>
              <w:tabs>
                <w:tab w:pos="1940" w:val="left" w:leader="none"/>
              </w:tabs>
              <w:spacing w:before="24"/>
              <w:ind w:left="643"/>
              <w:rPr>
                <w:b/>
                <w:sz w:val="18"/>
              </w:rPr>
            </w:pPr>
            <w:r>
              <w:rPr>
                <w:b/>
                <w:sz w:val="18"/>
              </w:rPr>
              <w:t>$</w:t>
              <w:tab/>
              <w:t>$</w:t>
            </w:r>
          </w:p>
        </w:tc>
      </w:tr>
      <w:tr>
        <w:trPr>
          <w:trHeight w:val="697" w:hRule="exact"/>
        </w:trPr>
        <w:tc>
          <w:tcPr>
            <w:tcW w:w="5456" w:type="dxa"/>
          </w:tcPr>
          <w:p>
            <w:pPr>
              <w:pStyle w:val="TableParagraph"/>
              <w:spacing w:line="207" w:lineRule="exact" w:before="63"/>
              <w:ind w:left="62"/>
              <w:rPr>
                <w:b/>
                <w:sz w:val="18"/>
              </w:rPr>
            </w:pPr>
            <w:r>
              <w:rPr>
                <w:b/>
                <w:sz w:val="18"/>
              </w:rPr>
              <w:t>ASSETS</w:t>
            </w:r>
          </w:p>
          <w:p>
            <w:pPr>
              <w:pStyle w:val="TableParagraph"/>
              <w:spacing w:line="206" w:lineRule="exact"/>
              <w:ind w:left="62"/>
              <w:rPr>
                <w:b/>
                <w:sz w:val="18"/>
              </w:rPr>
            </w:pPr>
            <w:r>
              <w:rPr>
                <w:b/>
                <w:sz w:val="18"/>
              </w:rPr>
              <w:t>Current assets</w:t>
            </w:r>
          </w:p>
          <w:p>
            <w:pPr>
              <w:pStyle w:val="TableParagraph"/>
              <w:spacing w:line="207" w:lineRule="exact"/>
              <w:ind w:left="62"/>
              <w:rPr>
                <w:sz w:val="18"/>
              </w:rPr>
            </w:pPr>
            <w:r>
              <w:rPr>
                <w:sz w:val="18"/>
              </w:rPr>
              <w:t>Cash and cash equivalents</w:t>
            </w:r>
          </w:p>
        </w:tc>
        <w:tc>
          <w:tcPr>
            <w:tcW w:w="1857" w:type="dxa"/>
          </w:tcPr>
          <w:p>
            <w:pPr>
              <w:pStyle w:val="TableParagraph"/>
              <w:rPr>
                <w:sz w:val="18"/>
              </w:rPr>
            </w:pPr>
          </w:p>
          <w:p>
            <w:pPr>
              <w:pStyle w:val="TableParagraph"/>
              <w:spacing w:before="4"/>
              <w:rPr>
                <w:sz w:val="23"/>
              </w:rPr>
            </w:pPr>
          </w:p>
          <w:p>
            <w:pPr>
              <w:pStyle w:val="TableParagraph"/>
              <w:spacing w:before="1"/>
              <w:ind w:right="403"/>
              <w:jc w:val="right"/>
              <w:rPr>
                <w:sz w:val="18"/>
              </w:rPr>
            </w:pPr>
            <w:r>
              <w:rPr>
                <w:w w:val="99"/>
                <w:sz w:val="18"/>
              </w:rPr>
              <w:t>5</w:t>
            </w:r>
          </w:p>
        </w:tc>
        <w:tc>
          <w:tcPr>
            <w:tcW w:w="2585" w:type="dxa"/>
          </w:tcPr>
          <w:p>
            <w:pPr>
              <w:pStyle w:val="TableParagraph"/>
              <w:rPr>
                <w:sz w:val="18"/>
              </w:rPr>
            </w:pPr>
          </w:p>
          <w:p>
            <w:pPr>
              <w:pStyle w:val="TableParagraph"/>
              <w:spacing w:before="4"/>
              <w:rPr>
                <w:sz w:val="23"/>
              </w:rPr>
            </w:pPr>
          </w:p>
          <w:p>
            <w:pPr>
              <w:pStyle w:val="TableParagraph"/>
              <w:tabs>
                <w:tab w:pos="1108" w:val="left" w:leader="none"/>
                <w:tab w:pos="2405" w:val="left" w:leader="none"/>
              </w:tabs>
              <w:spacing w:before="1"/>
              <w:ind w:right="33"/>
              <w:jc w:val="right"/>
              <w:rPr>
                <w:sz w:val="18"/>
              </w:rPr>
            </w:pPr>
            <w:r>
              <w:rPr>
                <w:b/>
                <w:w w:val="100"/>
                <w:sz w:val="18"/>
                <w:u w:val="single"/>
              </w:rPr>
              <w:t> </w:t>
            </w:r>
            <w:r>
              <w:rPr>
                <w:b/>
                <w:sz w:val="18"/>
                <w:u w:val="single"/>
              </w:rPr>
              <w:tab/>
              <w:t>1</w:t>
              <w:tab/>
            </w:r>
            <w:r>
              <w:rPr>
                <w:spacing w:val="-1"/>
                <w:sz w:val="18"/>
                <w:u w:val="single"/>
              </w:rPr>
              <w:t>1</w:t>
            </w:r>
          </w:p>
        </w:tc>
      </w:tr>
      <w:tr>
        <w:trPr>
          <w:trHeight w:val="362" w:hRule="exact"/>
        </w:trPr>
        <w:tc>
          <w:tcPr>
            <w:tcW w:w="5456" w:type="dxa"/>
          </w:tcPr>
          <w:p>
            <w:pPr>
              <w:pStyle w:val="TableParagraph"/>
              <w:spacing w:line="202" w:lineRule="exact"/>
              <w:ind w:left="62"/>
              <w:rPr>
                <w:sz w:val="18"/>
              </w:rPr>
            </w:pPr>
            <w:r>
              <w:rPr>
                <w:sz w:val="18"/>
              </w:rPr>
              <w:t>Total current assets</w:t>
            </w:r>
          </w:p>
        </w:tc>
        <w:tc>
          <w:tcPr>
            <w:tcW w:w="1857" w:type="dxa"/>
          </w:tcPr>
          <w:p>
            <w:pPr/>
          </w:p>
        </w:tc>
        <w:tc>
          <w:tcPr>
            <w:tcW w:w="2585" w:type="dxa"/>
          </w:tcPr>
          <w:p>
            <w:pPr>
              <w:pStyle w:val="TableParagraph"/>
              <w:tabs>
                <w:tab w:pos="1108" w:val="left" w:leader="none"/>
                <w:tab w:pos="2405" w:val="left" w:leader="none"/>
              </w:tabs>
              <w:spacing w:line="202" w:lineRule="exact"/>
              <w:ind w:right="33"/>
              <w:jc w:val="right"/>
              <w:rPr>
                <w:sz w:val="18"/>
              </w:rPr>
            </w:pPr>
            <w:r>
              <w:rPr>
                <w:b/>
                <w:w w:val="100"/>
                <w:sz w:val="18"/>
                <w:u w:val="single"/>
              </w:rPr>
              <w:t> </w:t>
            </w:r>
            <w:r>
              <w:rPr>
                <w:b/>
                <w:sz w:val="18"/>
                <w:u w:val="single"/>
              </w:rPr>
              <w:tab/>
              <w:t>1</w:t>
              <w:tab/>
            </w:r>
            <w:r>
              <w:rPr>
                <w:spacing w:val="-1"/>
                <w:sz w:val="18"/>
                <w:u w:val="single"/>
              </w:rPr>
              <w:t>1</w:t>
            </w:r>
          </w:p>
        </w:tc>
      </w:tr>
      <w:tr>
        <w:trPr>
          <w:trHeight w:val="580" w:hRule="exact"/>
        </w:trPr>
        <w:tc>
          <w:tcPr>
            <w:tcW w:w="5456" w:type="dxa"/>
          </w:tcPr>
          <w:p>
            <w:pPr>
              <w:pStyle w:val="TableParagraph"/>
              <w:spacing w:before="141"/>
              <w:ind w:left="62"/>
              <w:rPr>
                <w:b/>
                <w:sz w:val="18"/>
              </w:rPr>
            </w:pPr>
            <w:r>
              <w:rPr>
                <w:b/>
                <w:sz w:val="18"/>
              </w:rPr>
              <w:t>Total assets</w:t>
            </w:r>
          </w:p>
        </w:tc>
        <w:tc>
          <w:tcPr>
            <w:tcW w:w="1857" w:type="dxa"/>
          </w:tcPr>
          <w:p>
            <w:pPr/>
          </w:p>
        </w:tc>
        <w:tc>
          <w:tcPr>
            <w:tcW w:w="2585" w:type="dxa"/>
          </w:tcPr>
          <w:p>
            <w:pPr>
              <w:pStyle w:val="TableParagraph"/>
              <w:tabs>
                <w:tab w:pos="1108" w:val="left" w:leader="none"/>
                <w:tab w:pos="2406" w:val="left" w:leader="none"/>
              </w:tabs>
              <w:spacing w:before="141"/>
              <w:ind w:right="33"/>
              <w:jc w:val="right"/>
              <w:rPr>
                <w:sz w:val="18"/>
              </w:rPr>
            </w:pPr>
            <w:r>
              <w:rPr>
                <w:b/>
                <w:w w:val="100"/>
                <w:sz w:val="18"/>
                <w:u w:val="single"/>
              </w:rPr>
              <w:t> </w:t>
            </w:r>
            <w:r>
              <w:rPr>
                <w:b/>
                <w:sz w:val="18"/>
                <w:u w:val="single"/>
              </w:rPr>
              <w:tab/>
              <w:t>1</w:t>
              <w:tab/>
            </w:r>
            <w:r>
              <w:rPr>
                <w:spacing w:val="-1"/>
                <w:sz w:val="18"/>
                <w:u w:val="single"/>
              </w:rPr>
              <w:t>1</w:t>
            </w:r>
          </w:p>
        </w:tc>
      </w:tr>
      <w:tr>
        <w:trPr>
          <w:trHeight w:val="846" w:hRule="exact"/>
        </w:trPr>
        <w:tc>
          <w:tcPr>
            <w:tcW w:w="5456" w:type="dxa"/>
          </w:tcPr>
          <w:p>
            <w:pPr>
              <w:pStyle w:val="TableParagraph"/>
              <w:spacing w:before="5"/>
              <w:rPr>
                <w:sz w:val="18"/>
              </w:rPr>
            </w:pPr>
          </w:p>
          <w:p>
            <w:pPr>
              <w:pStyle w:val="TableParagraph"/>
              <w:spacing w:line="207" w:lineRule="exact"/>
              <w:ind w:left="62"/>
              <w:rPr>
                <w:b/>
                <w:sz w:val="18"/>
              </w:rPr>
            </w:pPr>
            <w:r>
              <w:rPr>
                <w:b/>
                <w:sz w:val="18"/>
              </w:rPr>
              <w:t>LIABILITIES</w:t>
            </w:r>
          </w:p>
          <w:p>
            <w:pPr>
              <w:pStyle w:val="TableParagraph"/>
              <w:spacing w:line="206" w:lineRule="exact"/>
              <w:ind w:left="62"/>
              <w:rPr>
                <w:b/>
                <w:sz w:val="18"/>
              </w:rPr>
            </w:pPr>
            <w:r>
              <w:rPr>
                <w:b/>
                <w:sz w:val="18"/>
              </w:rPr>
              <w:t>Current liabilities</w:t>
            </w:r>
          </w:p>
          <w:p>
            <w:pPr>
              <w:pStyle w:val="TableParagraph"/>
              <w:spacing w:line="207" w:lineRule="exact"/>
              <w:ind w:left="62"/>
              <w:rPr>
                <w:sz w:val="18"/>
              </w:rPr>
            </w:pPr>
            <w:r>
              <w:rPr>
                <w:sz w:val="18"/>
              </w:rPr>
              <w:t>Trade and other payables</w:t>
            </w:r>
          </w:p>
        </w:tc>
        <w:tc>
          <w:tcPr>
            <w:tcW w:w="1857" w:type="dxa"/>
          </w:tcPr>
          <w:p>
            <w:pPr/>
          </w:p>
        </w:tc>
        <w:tc>
          <w:tcPr>
            <w:tcW w:w="2585" w:type="dxa"/>
          </w:tcPr>
          <w:p>
            <w:pPr>
              <w:pStyle w:val="TableParagraph"/>
              <w:rPr>
                <w:sz w:val="18"/>
              </w:rPr>
            </w:pPr>
          </w:p>
          <w:p>
            <w:pPr>
              <w:pStyle w:val="TableParagraph"/>
              <w:rPr>
                <w:sz w:val="18"/>
              </w:rPr>
            </w:pPr>
          </w:p>
          <w:p>
            <w:pPr>
              <w:pStyle w:val="TableParagraph"/>
              <w:spacing w:before="4"/>
              <w:rPr>
                <w:sz w:val="18"/>
              </w:rPr>
            </w:pPr>
          </w:p>
          <w:p>
            <w:pPr>
              <w:pStyle w:val="TableParagraph"/>
              <w:tabs>
                <w:tab w:pos="1148" w:val="left" w:leader="none"/>
                <w:tab w:pos="2445" w:val="left" w:leader="none"/>
              </w:tabs>
              <w:ind w:right="33"/>
              <w:jc w:val="right"/>
              <w:rPr>
                <w:sz w:val="18"/>
              </w:rPr>
            </w:pPr>
            <w:r>
              <w:rPr>
                <w:b/>
                <w:w w:val="100"/>
                <w:sz w:val="18"/>
                <w:u w:val="single"/>
              </w:rPr>
              <w:t> </w:t>
            </w:r>
            <w:r>
              <w:rPr>
                <w:b/>
                <w:sz w:val="18"/>
                <w:u w:val="single"/>
              </w:rPr>
              <w:tab/>
              <w:t>-</w:t>
              <w:tab/>
            </w:r>
            <w:r>
              <w:rPr>
                <w:sz w:val="18"/>
                <w:u w:val="single"/>
              </w:rPr>
              <w:t>-</w:t>
            </w:r>
          </w:p>
        </w:tc>
      </w:tr>
      <w:tr>
        <w:trPr>
          <w:trHeight w:val="362" w:hRule="exact"/>
        </w:trPr>
        <w:tc>
          <w:tcPr>
            <w:tcW w:w="5456" w:type="dxa"/>
          </w:tcPr>
          <w:p>
            <w:pPr>
              <w:pStyle w:val="TableParagraph"/>
              <w:spacing w:line="202" w:lineRule="exact"/>
              <w:ind w:left="62"/>
              <w:rPr>
                <w:sz w:val="18"/>
              </w:rPr>
            </w:pPr>
            <w:r>
              <w:rPr>
                <w:sz w:val="18"/>
              </w:rPr>
              <w:t>Total current liabilities</w:t>
            </w:r>
          </w:p>
        </w:tc>
        <w:tc>
          <w:tcPr>
            <w:tcW w:w="1857" w:type="dxa"/>
          </w:tcPr>
          <w:p>
            <w:pPr/>
          </w:p>
        </w:tc>
        <w:tc>
          <w:tcPr>
            <w:tcW w:w="2585" w:type="dxa"/>
          </w:tcPr>
          <w:p>
            <w:pPr>
              <w:pStyle w:val="TableParagraph"/>
              <w:tabs>
                <w:tab w:pos="1148" w:val="left" w:leader="none"/>
                <w:tab w:pos="2445" w:val="left" w:leader="none"/>
              </w:tabs>
              <w:spacing w:line="202" w:lineRule="exact"/>
              <w:ind w:right="33"/>
              <w:jc w:val="right"/>
              <w:rPr>
                <w:sz w:val="18"/>
              </w:rPr>
            </w:pPr>
            <w:r>
              <w:rPr>
                <w:b/>
                <w:w w:val="100"/>
                <w:sz w:val="18"/>
                <w:u w:val="single"/>
              </w:rPr>
              <w:t> </w:t>
            </w:r>
            <w:r>
              <w:rPr>
                <w:b/>
                <w:sz w:val="18"/>
                <w:u w:val="single"/>
              </w:rPr>
              <w:tab/>
              <w:t>-</w:t>
              <w:tab/>
            </w:r>
            <w:r>
              <w:rPr>
                <w:sz w:val="18"/>
                <w:u w:val="single"/>
              </w:rPr>
              <w:t>-</w:t>
            </w:r>
          </w:p>
        </w:tc>
      </w:tr>
      <w:tr>
        <w:trPr>
          <w:trHeight w:val="509" w:hRule="exact"/>
        </w:trPr>
        <w:tc>
          <w:tcPr>
            <w:tcW w:w="5456" w:type="dxa"/>
          </w:tcPr>
          <w:p>
            <w:pPr>
              <w:pStyle w:val="TableParagraph"/>
              <w:spacing w:before="141"/>
              <w:ind w:left="62"/>
              <w:rPr>
                <w:b/>
                <w:sz w:val="18"/>
              </w:rPr>
            </w:pPr>
            <w:r>
              <w:rPr>
                <w:b/>
                <w:sz w:val="18"/>
              </w:rPr>
              <w:t>Total liabilities</w:t>
            </w:r>
          </w:p>
        </w:tc>
        <w:tc>
          <w:tcPr>
            <w:tcW w:w="1857" w:type="dxa"/>
          </w:tcPr>
          <w:p>
            <w:pPr/>
          </w:p>
        </w:tc>
        <w:tc>
          <w:tcPr>
            <w:tcW w:w="2585" w:type="dxa"/>
          </w:tcPr>
          <w:p>
            <w:pPr>
              <w:pStyle w:val="TableParagraph"/>
              <w:tabs>
                <w:tab w:pos="1148" w:val="left" w:leader="none"/>
                <w:tab w:pos="2445" w:val="left" w:leader="none"/>
              </w:tabs>
              <w:spacing w:before="141"/>
              <w:ind w:right="33"/>
              <w:jc w:val="right"/>
              <w:rPr>
                <w:sz w:val="18"/>
              </w:rPr>
            </w:pPr>
            <w:r>
              <w:rPr>
                <w:b/>
                <w:w w:val="100"/>
                <w:sz w:val="18"/>
                <w:u w:val="single"/>
              </w:rPr>
              <w:t> </w:t>
            </w:r>
            <w:r>
              <w:rPr>
                <w:b/>
                <w:sz w:val="18"/>
                <w:u w:val="single"/>
              </w:rPr>
              <w:tab/>
              <w:t>-</w:t>
              <w:tab/>
            </w:r>
            <w:r>
              <w:rPr>
                <w:sz w:val="18"/>
                <w:u w:val="single"/>
              </w:rPr>
              <w:t>-</w:t>
            </w:r>
          </w:p>
        </w:tc>
      </w:tr>
      <w:tr>
        <w:trPr>
          <w:trHeight w:val="580" w:hRule="exact"/>
        </w:trPr>
        <w:tc>
          <w:tcPr>
            <w:tcW w:w="5456" w:type="dxa"/>
          </w:tcPr>
          <w:p>
            <w:pPr>
              <w:pStyle w:val="TableParagraph"/>
              <w:spacing w:before="141"/>
              <w:ind w:left="62"/>
              <w:rPr>
                <w:b/>
                <w:sz w:val="18"/>
              </w:rPr>
            </w:pPr>
            <w:r>
              <w:rPr>
                <w:b/>
                <w:sz w:val="18"/>
              </w:rPr>
              <w:t>Net assets</w:t>
            </w:r>
          </w:p>
        </w:tc>
        <w:tc>
          <w:tcPr>
            <w:tcW w:w="1857" w:type="dxa"/>
          </w:tcPr>
          <w:p>
            <w:pPr/>
          </w:p>
        </w:tc>
        <w:tc>
          <w:tcPr>
            <w:tcW w:w="2585" w:type="dxa"/>
          </w:tcPr>
          <w:p>
            <w:pPr>
              <w:pStyle w:val="TableParagraph"/>
              <w:tabs>
                <w:tab w:pos="1108" w:val="left" w:leader="none"/>
                <w:tab w:pos="2405" w:val="left" w:leader="none"/>
              </w:tabs>
              <w:spacing w:before="141"/>
              <w:ind w:right="33"/>
              <w:jc w:val="right"/>
              <w:rPr>
                <w:sz w:val="18"/>
              </w:rPr>
            </w:pPr>
            <w:r>
              <w:rPr>
                <w:b/>
                <w:w w:val="100"/>
                <w:sz w:val="18"/>
                <w:u w:val="single"/>
              </w:rPr>
              <w:t> </w:t>
            </w:r>
            <w:r>
              <w:rPr>
                <w:b/>
                <w:sz w:val="18"/>
                <w:u w:val="single"/>
              </w:rPr>
              <w:tab/>
              <w:t>1</w:t>
              <w:tab/>
            </w:r>
            <w:r>
              <w:rPr>
                <w:spacing w:val="-1"/>
                <w:sz w:val="18"/>
                <w:u w:val="single"/>
              </w:rPr>
              <w:t>1</w:t>
            </w:r>
          </w:p>
        </w:tc>
      </w:tr>
      <w:tr>
        <w:trPr>
          <w:trHeight w:val="635" w:hRule="exact"/>
        </w:trPr>
        <w:tc>
          <w:tcPr>
            <w:tcW w:w="5456" w:type="dxa"/>
          </w:tcPr>
          <w:p>
            <w:pPr>
              <w:pStyle w:val="TableParagraph"/>
              <w:spacing w:before="5"/>
              <w:rPr>
                <w:sz w:val="18"/>
              </w:rPr>
            </w:pPr>
          </w:p>
          <w:p>
            <w:pPr>
              <w:pStyle w:val="TableParagraph"/>
              <w:spacing w:line="207" w:lineRule="exact"/>
              <w:ind w:left="62"/>
              <w:rPr>
                <w:b/>
                <w:sz w:val="18"/>
              </w:rPr>
            </w:pPr>
            <w:r>
              <w:rPr>
                <w:b/>
                <w:sz w:val="18"/>
              </w:rPr>
              <w:t>EQUITY</w:t>
            </w:r>
          </w:p>
          <w:p>
            <w:pPr>
              <w:pStyle w:val="TableParagraph"/>
              <w:spacing w:line="207" w:lineRule="exact"/>
              <w:ind w:left="62"/>
              <w:rPr>
                <w:sz w:val="18"/>
              </w:rPr>
            </w:pPr>
            <w:r>
              <w:rPr>
                <w:sz w:val="18"/>
              </w:rPr>
              <w:t>Contributed equity</w:t>
            </w:r>
          </w:p>
        </w:tc>
        <w:tc>
          <w:tcPr>
            <w:tcW w:w="1857" w:type="dxa"/>
          </w:tcPr>
          <w:p>
            <w:pPr/>
          </w:p>
        </w:tc>
        <w:tc>
          <w:tcPr>
            <w:tcW w:w="2585" w:type="dxa"/>
          </w:tcPr>
          <w:p>
            <w:pPr>
              <w:pStyle w:val="TableParagraph"/>
              <w:rPr>
                <w:sz w:val="18"/>
              </w:rPr>
            </w:pPr>
          </w:p>
          <w:p>
            <w:pPr>
              <w:pStyle w:val="TableParagraph"/>
              <w:spacing w:before="4"/>
              <w:rPr>
                <w:sz w:val="18"/>
              </w:rPr>
            </w:pPr>
          </w:p>
          <w:p>
            <w:pPr>
              <w:pStyle w:val="TableParagraph"/>
              <w:tabs>
                <w:tab w:pos="1297" w:val="left" w:leader="none"/>
              </w:tabs>
              <w:ind w:right="33"/>
              <w:jc w:val="right"/>
              <w:rPr>
                <w:sz w:val="18"/>
              </w:rPr>
            </w:pPr>
            <w:r>
              <w:rPr>
                <w:b/>
                <w:sz w:val="18"/>
              </w:rPr>
              <w:t>1</w:t>
              <w:tab/>
            </w:r>
            <w:r>
              <w:rPr>
                <w:spacing w:val="-1"/>
                <w:sz w:val="18"/>
              </w:rPr>
              <w:t>1</w:t>
            </w:r>
          </w:p>
        </w:tc>
      </w:tr>
      <w:tr>
        <w:trPr>
          <w:trHeight w:val="211" w:hRule="exact"/>
        </w:trPr>
        <w:tc>
          <w:tcPr>
            <w:tcW w:w="5456" w:type="dxa"/>
          </w:tcPr>
          <w:p>
            <w:pPr>
              <w:pStyle w:val="TableParagraph"/>
              <w:spacing w:line="197" w:lineRule="exact"/>
              <w:ind w:left="62"/>
              <w:rPr>
                <w:sz w:val="18"/>
              </w:rPr>
            </w:pPr>
            <w:r>
              <w:rPr>
                <w:sz w:val="18"/>
              </w:rPr>
              <w:t>Retained earnings</w:t>
            </w:r>
          </w:p>
        </w:tc>
        <w:tc>
          <w:tcPr>
            <w:tcW w:w="1857" w:type="dxa"/>
          </w:tcPr>
          <w:p>
            <w:pPr/>
          </w:p>
        </w:tc>
        <w:tc>
          <w:tcPr>
            <w:tcW w:w="2585" w:type="dxa"/>
          </w:tcPr>
          <w:p>
            <w:pPr>
              <w:pStyle w:val="TableParagraph"/>
              <w:tabs>
                <w:tab w:pos="1148" w:val="left" w:leader="none"/>
                <w:tab w:pos="2445" w:val="left" w:leader="none"/>
              </w:tabs>
              <w:spacing w:line="197" w:lineRule="exact"/>
              <w:ind w:right="33"/>
              <w:jc w:val="right"/>
              <w:rPr>
                <w:sz w:val="18"/>
              </w:rPr>
            </w:pPr>
            <w:r>
              <w:rPr>
                <w:b/>
                <w:w w:val="100"/>
                <w:sz w:val="18"/>
                <w:u w:val="single"/>
              </w:rPr>
              <w:t> </w:t>
            </w:r>
            <w:r>
              <w:rPr>
                <w:b/>
                <w:sz w:val="18"/>
                <w:u w:val="single"/>
              </w:rPr>
              <w:tab/>
              <w:t>-</w:t>
              <w:tab/>
            </w:r>
            <w:r>
              <w:rPr>
                <w:sz w:val="18"/>
                <w:u w:val="single"/>
              </w:rPr>
              <w:t>-</w:t>
            </w:r>
          </w:p>
        </w:tc>
      </w:tr>
      <w:tr>
        <w:trPr>
          <w:trHeight w:val="298" w:hRule="exact"/>
        </w:trPr>
        <w:tc>
          <w:tcPr>
            <w:tcW w:w="5456" w:type="dxa"/>
          </w:tcPr>
          <w:p>
            <w:pPr>
              <w:pStyle w:val="TableParagraph"/>
              <w:spacing w:line="202" w:lineRule="exact"/>
              <w:ind w:left="62"/>
              <w:rPr>
                <w:b/>
                <w:sz w:val="18"/>
              </w:rPr>
            </w:pPr>
            <w:r>
              <w:rPr>
                <w:b/>
                <w:sz w:val="18"/>
              </w:rPr>
              <w:t>Total equity</w:t>
            </w:r>
          </w:p>
        </w:tc>
        <w:tc>
          <w:tcPr>
            <w:tcW w:w="1857" w:type="dxa"/>
          </w:tcPr>
          <w:p>
            <w:pPr/>
          </w:p>
        </w:tc>
        <w:tc>
          <w:tcPr>
            <w:tcW w:w="2585" w:type="dxa"/>
          </w:tcPr>
          <w:p>
            <w:pPr>
              <w:pStyle w:val="TableParagraph"/>
              <w:tabs>
                <w:tab w:pos="1108" w:val="left" w:leader="none"/>
                <w:tab w:pos="2405" w:val="left" w:leader="none"/>
              </w:tabs>
              <w:spacing w:line="202" w:lineRule="exact"/>
              <w:ind w:right="33"/>
              <w:jc w:val="right"/>
              <w:rPr>
                <w:sz w:val="18"/>
              </w:rPr>
            </w:pPr>
            <w:r>
              <w:rPr>
                <w:b/>
                <w:w w:val="100"/>
                <w:sz w:val="18"/>
                <w:u w:val="single"/>
              </w:rPr>
              <w:t> </w:t>
            </w:r>
            <w:r>
              <w:rPr>
                <w:b/>
                <w:sz w:val="18"/>
                <w:u w:val="single"/>
              </w:rPr>
              <w:tab/>
              <w:t>1</w:t>
              <w:tab/>
            </w:r>
            <w:r>
              <w:rPr>
                <w:spacing w:val="-1"/>
                <w:sz w:val="18"/>
                <w:u w:val="single"/>
              </w:rPr>
              <w:t>1</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pStyle w:val="BodyText"/>
        <w:spacing w:before="1"/>
        <w:ind w:left="147" w:right="128"/>
      </w:pPr>
      <w:r>
        <w:rPr/>
        <w:t>The accompanying notes form part of these financial statements.</w:t>
      </w:r>
    </w:p>
    <w:p>
      <w:pPr>
        <w:spacing w:after="0"/>
        <w:sectPr>
          <w:pgSz w:w="11910" w:h="16840"/>
          <w:pgMar w:header="1038" w:footer="571" w:top="1460" w:bottom="700" w:left="860" w:right="920"/>
        </w:sectPr>
      </w:pPr>
    </w:p>
    <w:p>
      <w:pPr>
        <w:pStyle w:val="BodyText"/>
        <w:spacing w:before="2"/>
        <w:rPr>
          <w:sz w:val="24"/>
        </w:rPr>
      </w:pPr>
    </w:p>
    <w:p>
      <w:pPr>
        <w:pStyle w:val="Heading3"/>
        <w:spacing w:before="64"/>
      </w:pPr>
      <w:r>
        <w:rPr/>
        <w:t>Statement of changes in equity</w:t>
      </w:r>
    </w:p>
    <w:p>
      <w:pPr>
        <w:pStyle w:val="Heading6"/>
      </w:pPr>
      <w:r>
        <w:rPr/>
        <w:t>For the Year Ended 31 December 2012</w:t>
      </w:r>
    </w:p>
    <w:p>
      <w:pPr>
        <w:pStyle w:val="BodyText"/>
        <w:spacing w:before="1"/>
        <w:rPr>
          <w:b/>
          <w:sz w:val="29"/>
        </w:rPr>
      </w:pPr>
    </w:p>
    <w:p>
      <w:pPr>
        <w:spacing w:after="0"/>
        <w:rPr>
          <w:sz w:val="29"/>
        </w:rPr>
        <w:sectPr>
          <w:pgSz w:w="11910" w:h="16840"/>
          <w:pgMar w:header="1038" w:footer="571" w:top="1460" w:bottom="700" w:left="900" w:right="860"/>
        </w:sectPr>
      </w:pPr>
    </w:p>
    <w:p>
      <w:pPr>
        <w:pStyle w:val="Heading9"/>
        <w:spacing w:before="77"/>
        <w:ind w:left="7423"/>
        <w:jc w:val="center"/>
      </w:pPr>
      <w:r>
        <w:rPr/>
        <w:t>Contributed</w:t>
      </w:r>
      <w:r>
        <w:rPr>
          <w:w w:val="100"/>
        </w:rPr>
        <w:t> </w:t>
      </w:r>
      <w:r>
        <w:rPr/>
        <w:t>equity</w:t>
      </w:r>
    </w:p>
    <w:p>
      <w:pPr>
        <w:spacing w:before="66"/>
        <w:ind w:left="0" w:right="457" w:firstLine="0"/>
        <w:jc w:val="right"/>
        <w:rPr>
          <w:b/>
          <w:sz w:val="18"/>
        </w:rPr>
      </w:pPr>
      <w:r>
        <w:rPr>
          <w:b/>
          <w:w w:val="99"/>
          <w:sz w:val="18"/>
        </w:rPr>
        <w:t>$</w:t>
      </w:r>
    </w:p>
    <w:p>
      <w:pPr>
        <w:pStyle w:val="BodyText"/>
        <w:spacing w:before="8"/>
        <w:rPr>
          <w:b/>
          <w:sz w:val="24"/>
        </w:rPr>
      </w:pPr>
      <w:r>
        <w:rPr/>
        <w:br w:type="column"/>
      </w:r>
      <w:r>
        <w:rPr>
          <w:b/>
          <w:sz w:val="24"/>
        </w:rPr>
      </w:r>
    </w:p>
    <w:p>
      <w:pPr>
        <w:spacing w:before="0"/>
        <w:ind w:left="308" w:right="307" w:firstLine="0"/>
        <w:jc w:val="center"/>
        <w:rPr>
          <w:b/>
          <w:sz w:val="18"/>
        </w:rPr>
      </w:pPr>
      <w:r>
        <w:rPr>
          <w:b/>
          <w:sz w:val="18"/>
        </w:rPr>
        <w:t>Total equity</w:t>
      </w:r>
    </w:p>
    <w:p>
      <w:pPr>
        <w:spacing w:before="66"/>
        <w:ind w:left="2" w:right="0" w:firstLine="0"/>
        <w:jc w:val="center"/>
        <w:rPr>
          <w:b/>
          <w:sz w:val="18"/>
        </w:rPr>
      </w:pPr>
      <w:r>
        <w:rPr>
          <w:b/>
          <w:w w:val="99"/>
          <w:sz w:val="18"/>
        </w:rPr>
        <w:t>$</w:t>
      </w:r>
    </w:p>
    <w:p>
      <w:pPr>
        <w:spacing w:after="0"/>
        <w:jc w:val="center"/>
        <w:rPr>
          <w:sz w:val="18"/>
        </w:rPr>
        <w:sectPr>
          <w:type w:val="continuous"/>
          <w:pgSz w:w="11910" w:h="16840"/>
          <w:pgMar w:top="0" w:bottom="280" w:left="900" w:right="860"/>
          <w:cols w:num="2" w:equalWidth="0">
            <w:col w:w="8444" w:space="40"/>
            <w:col w:w="1666"/>
          </w:cols>
        </w:sectPr>
      </w:pPr>
    </w:p>
    <w:p>
      <w:pPr>
        <w:pStyle w:val="Heading9"/>
        <w:tabs>
          <w:tab w:pos="8443" w:val="left" w:leader="none"/>
          <w:tab w:pos="9937" w:val="right" w:leader="none"/>
        </w:tabs>
        <w:spacing w:before="90"/>
        <w:ind w:left="135"/>
      </w:pPr>
      <w:r>
        <w:rPr/>
        <w:t>Balance at 1</w:t>
      </w:r>
      <w:r>
        <w:rPr>
          <w:spacing w:val="-1"/>
        </w:rPr>
        <w:t> </w:t>
      </w:r>
      <w:r>
        <w:rPr/>
        <w:t>January</w:t>
      </w:r>
      <w:r>
        <w:rPr>
          <w:spacing w:val="-1"/>
        </w:rPr>
        <w:t> </w:t>
      </w:r>
      <w:r>
        <w:rPr/>
        <w:t>2011</w:t>
        <w:tab/>
        <w:t>1</w:t>
        <w:tab/>
        <w:t>1</w:t>
      </w:r>
    </w:p>
    <w:p>
      <w:pPr>
        <w:pStyle w:val="BodyText"/>
        <w:tabs>
          <w:tab w:pos="7237" w:val="left" w:leader="none"/>
          <w:tab w:pos="8482" w:val="left" w:leader="none"/>
          <w:tab w:pos="9877" w:val="left" w:leader="none"/>
          <w:tab w:pos="10025" w:val="left" w:leader="none"/>
        </w:tabs>
        <w:spacing w:before="187"/>
        <w:ind w:left="135" w:right="75"/>
        <w:rPr>
          <w:b/>
        </w:rPr>
      </w:pPr>
      <w:r>
        <w:rPr/>
        <w:t>Total comprehensive income for</w:t>
      </w:r>
      <w:r>
        <w:rPr>
          <w:spacing w:val="-1"/>
        </w:rPr>
        <w:t> </w:t>
      </w:r>
      <w:r>
        <w:rPr/>
        <w:t>the</w:t>
      </w:r>
      <w:r>
        <w:rPr>
          <w:spacing w:val="-1"/>
        </w:rPr>
        <w:t> </w:t>
      </w:r>
      <w:r>
        <w:rPr/>
        <w:t>year</w:t>
        <w:tab/>
      </w:r>
      <w:r>
        <w:rPr>
          <w:b/>
          <w:u w:val="single"/>
        </w:rPr>
        <w:t> </w:t>
        <w:tab/>
        <w:t>-</w:t>
        <w:tab/>
        <w:t>-</w:t>
        <w:tab/>
      </w:r>
    </w:p>
    <w:p>
      <w:pPr>
        <w:pStyle w:val="Heading9"/>
        <w:tabs>
          <w:tab w:pos="7237" w:val="left" w:leader="none"/>
          <w:tab w:pos="8443" w:val="left" w:leader="none"/>
          <w:tab w:pos="9837" w:val="left" w:leader="none"/>
          <w:tab w:pos="10025" w:val="left" w:leader="none"/>
        </w:tabs>
        <w:spacing w:before="121"/>
        <w:ind w:left="135" w:right="75"/>
      </w:pPr>
      <w:r>
        <w:rPr/>
        <w:t>Balance at 31</w:t>
      </w:r>
      <w:r>
        <w:rPr>
          <w:spacing w:val="-1"/>
        </w:rPr>
        <w:t> </w:t>
      </w:r>
      <w:r>
        <w:rPr/>
        <w:t>December</w:t>
      </w:r>
      <w:r>
        <w:rPr>
          <w:spacing w:val="-1"/>
        </w:rPr>
        <w:t> </w:t>
      </w:r>
      <w:r>
        <w:rPr/>
        <w:t>2011</w:t>
        <w:tab/>
      </w:r>
      <w:r>
        <w:rPr>
          <w:u w:val="single"/>
        </w:rPr>
        <w:t> </w:t>
        <w:tab/>
        <w:t>1</w:t>
        <w:tab/>
        <w:t>1</w:t>
        <w:tab/>
      </w:r>
    </w:p>
    <w:p>
      <w:pPr>
        <w:spacing w:after="0"/>
        <w:sectPr>
          <w:type w:val="continuous"/>
          <w:pgSz w:w="11910" w:h="16840"/>
          <w:pgMar w:top="0" w:bottom="280" w:left="900" w:right="860"/>
        </w:sectPr>
      </w:pPr>
    </w:p>
    <w:p>
      <w:pPr>
        <w:pStyle w:val="Heading9"/>
        <w:spacing w:before="347"/>
        <w:ind w:left="7423"/>
        <w:jc w:val="center"/>
      </w:pPr>
      <w:r>
        <w:rPr/>
        <w:t>Contributed</w:t>
      </w:r>
      <w:r>
        <w:rPr>
          <w:w w:val="100"/>
        </w:rPr>
        <w:t> </w:t>
      </w:r>
      <w:r>
        <w:rPr/>
        <w:t>equity</w:t>
      </w:r>
    </w:p>
    <w:p>
      <w:pPr>
        <w:pStyle w:val="Heading9"/>
        <w:spacing w:before="66"/>
        <w:ind w:left="0" w:right="457"/>
        <w:jc w:val="right"/>
      </w:pPr>
      <w:r>
        <w:rPr>
          <w:w w:val="99"/>
        </w:rPr>
        <w:t>$</w:t>
      </w:r>
    </w:p>
    <w:p>
      <w:pPr>
        <w:pStyle w:val="Heading9"/>
        <w:spacing w:before="554"/>
        <w:ind w:left="308" w:right="307"/>
        <w:jc w:val="center"/>
      </w:pPr>
      <w:r>
        <w:rPr>
          <w:b w:val="0"/>
        </w:rPr>
        <w:br w:type="column"/>
      </w:r>
      <w:r>
        <w:rPr/>
        <w:t>Total equity</w:t>
      </w:r>
    </w:p>
    <w:p>
      <w:pPr>
        <w:pStyle w:val="Heading9"/>
        <w:spacing w:before="66"/>
        <w:ind w:left="2"/>
        <w:jc w:val="center"/>
      </w:pPr>
      <w:r>
        <w:rPr>
          <w:w w:val="99"/>
        </w:rPr>
        <w:t>$</w:t>
      </w:r>
    </w:p>
    <w:p>
      <w:pPr>
        <w:spacing w:after="0"/>
        <w:jc w:val="center"/>
        <w:sectPr>
          <w:type w:val="continuous"/>
          <w:pgSz w:w="11910" w:h="16840"/>
          <w:pgMar w:top="0" w:bottom="280" w:left="900" w:right="860"/>
          <w:cols w:num="2" w:equalWidth="0">
            <w:col w:w="8444" w:space="40"/>
            <w:col w:w="1666"/>
          </w:cols>
        </w:sectPr>
      </w:pPr>
    </w:p>
    <w:p>
      <w:pPr>
        <w:pStyle w:val="Heading9"/>
        <w:tabs>
          <w:tab w:pos="8443" w:val="left" w:leader="none"/>
          <w:tab w:pos="9937" w:val="right" w:leader="none"/>
        </w:tabs>
        <w:spacing w:before="90"/>
        <w:ind w:left="135"/>
        <w:rPr>
          <w:b w:val="0"/>
        </w:rPr>
      </w:pPr>
      <w:r>
        <w:rPr/>
        <w:t>Balance at 1</w:t>
      </w:r>
      <w:r>
        <w:rPr>
          <w:spacing w:val="-1"/>
        </w:rPr>
        <w:t> </w:t>
      </w:r>
      <w:r>
        <w:rPr/>
        <w:t>January</w:t>
      </w:r>
      <w:r>
        <w:rPr>
          <w:spacing w:val="-1"/>
        </w:rPr>
        <w:t> </w:t>
      </w:r>
      <w:r>
        <w:rPr/>
        <w:t>2012</w:t>
        <w:tab/>
      </w:r>
      <w:r>
        <w:rPr>
          <w:b w:val="0"/>
        </w:rPr>
        <w:t>1</w:t>
      </w:r>
      <w:r>
        <w:rPr>
          <w:rFonts w:ascii="Times New Roman"/>
          <w:b w:val="0"/>
        </w:rPr>
        <w:tab/>
      </w:r>
      <w:r>
        <w:rPr>
          <w:b w:val="0"/>
        </w:rPr>
        <w:t>1</w:t>
      </w:r>
    </w:p>
    <w:p>
      <w:pPr>
        <w:pStyle w:val="BodyText"/>
        <w:tabs>
          <w:tab w:pos="7237" w:val="left" w:leader="none"/>
          <w:tab w:pos="8482" w:val="left" w:leader="none"/>
          <w:tab w:pos="9877" w:val="left" w:leader="none"/>
        </w:tabs>
        <w:spacing w:before="187"/>
        <w:ind w:left="135" w:right="125"/>
      </w:pPr>
      <w:r>
        <w:rPr/>
        <w:t>Total comprehensive income for</w:t>
      </w:r>
      <w:r>
        <w:rPr>
          <w:spacing w:val="-1"/>
        </w:rPr>
        <w:t> </w:t>
      </w:r>
      <w:r>
        <w:rPr/>
        <w:t>the</w:t>
      </w:r>
      <w:r>
        <w:rPr>
          <w:spacing w:val="-1"/>
        </w:rPr>
        <w:t> </w:t>
      </w:r>
      <w:r>
        <w:rPr/>
        <w:t>year</w:t>
        <w:tab/>
      </w:r>
      <w:r>
        <w:rPr>
          <w:rFonts w:ascii="Times New Roman"/>
          <w:u w:val="single"/>
        </w:rPr>
        <w:t> </w:t>
        <w:tab/>
      </w:r>
      <w:r>
        <w:rPr>
          <w:u w:val="single"/>
        </w:rPr>
        <w:t>-</w:t>
        <w:tab/>
        <w:t>-</w:t>
      </w:r>
    </w:p>
    <w:p>
      <w:pPr>
        <w:pStyle w:val="Heading9"/>
        <w:tabs>
          <w:tab w:pos="7237" w:val="left" w:leader="none"/>
          <w:tab w:pos="8443" w:val="left" w:leader="none"/>
          <w:tab w:pos="9837" w:val="left" w:leader="none"/>
        </w:tabs>
        <w:spacing w:before="131"/>
        <w:ind w:left="135" w:right="125"/>
        <w:rPr>
          <w:b w:val="0"/>
        </w:rPr>
      </w:pPr>
      <w:r>
        <w:rPr/>
        <w:t>Balance at 31</w:t>
      </w:r>
      <w:r>
        <w:rPr>
          <w:spacing w:val="-1"/>
        </w:rPr>
        <w:t> </w:t>
      </w:r>
      <w:r>
        <w:rPr/>
        <w:t>December</w:t>
      </w:r>
      <w:r>
        <w:rPr>
          <w:spacing w:val="-1"/>
        </w:rPr>
        <w:t> </w:t>
      </w:r>
      <w:r>
        <w:rPr/>
        <w:t>2012</w:t>
        <w:tab/>
      </w:r>
      <w:r>
        <w:rPr>
          <w:rFonts w:ascii="Times New Roman"/>
          <w:b w:val="0"/>
          <w:u w:val="single"/>
        </w:rPr>
        <w:t> </w:t>
        <w:tab/>
      </w:r>
      <w:r>
        <w:rPr>
          <w:b w:val="0"/>
          <w:u w:val="single"/>
        </w:rPr>
        <w:t>1</w:t>
        <w:tab/>
        <w:t>1</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6"/>
        </w:rPr>
      </w:pPr>
    </w:p>
    <w:p>
      <w:pPr>
        <w:pStyle w:val="BodyText"/>
        <w:ind w:left="107" w:right="125"/>
      </w:pPr>
      <w:r>
        <w:rPr/>
        <w:t>The accompanying notes form part of these financial statements.</w:t>
      </w:r>
    </w:p>
    <w:p>
      <w:pPr>
        <w:spacing w:after="0"/>
        <w:sectPr>
          <w:type w:val="continuous"/>
          <w:pgSz w:w="11910" w:h="16840"/>
          <w:pgMar w:top="0" w:bottom="280" w:left="900" w:right="86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55"/>
        <w:gridCol w:w="1685"/>
        <w:gridCol w:w="2421"/>
      </w:tblGrid>
      <w:tr>
        <w:trPr>
          <w:trHeight w:val="911" w:hRule="exact"/>
        </w:trPr>
        <w:tc>
          <w:tcPr>
            <w:tcW w:w="5855" w:type="dxa"/>
          </w:tcPr>
          <w:p>
            <w:pPr>
              <w:pStyle w:val="TableParagraph"/>
              <w:spacing w:before="64"/>
              <w:ind w:left="35"/>
              <w:rPr>
                <w:b/>
                <w:sz w:val="28"/>
              </w:rPr>
            </w:pPr>
            <w:r>
              <w:rPr>
                <w:b/>
                <w:sz w:val="28"/>
              </w:rPr>
              <w:t>Statement of cash flows</w:t>
            </w:r>
          </w:p>
          <w:p>
            <w:pPr>
              <w:pStyle w:val="TableParagraph"/>
              <w:spacing w:before="57"/>
              <w:ind w:left="35"/>
              <w:rPr>
                <w:b/>
                <w:sz w:val="22"/>
              </w:rPr>
            </w:pPr>
            <w:r>
              <w:rPr>
                <w:b/>
                <w:sz w:val="22"/>
              </w:rPr>
              <w:t>For the Year Ended 31 December 2012</w:t>
            </w:r>
          </w:p>
        </w:tc>
        <w:tc>
          <w:tcPr>
            <w:tcW w:w="4106" w:type="dxa"/>
            <w:gridSpan w:val="2"/>
          </w:tcPr>
          <w:p>
            <w:pPr/>
          </w:p>
        </w:tc>
      </w:tr>
      <w:tr>
        <w:trPr>
          <w:trHeight w:val="447" w:hRule="exact"/>
        </w:trPr>
        <w:tc>
          <w:tcPr>
            <w:tcW w:w="5855" w:type="dxa"/>
          </w:tcPr>
          <w:p>
            <w:pPr/>
          </w:p>
        </w:tc>
        <w:tc>
          <w:tcPr>
            <w:tcW w:w="1685" w:type="dxa"/>
          </w:tcPr>
          <w:p>
            <w:pPr/>
          </w:p>
        </w:tc>
        <w:tc>
          <w:tcPr>
            <w:tcW w:w="2421" w:type="dxa"/>
          </w:tcPr>
          <w:p>
            <w:pPr>
              <w:pStyle w:val="TableParagraph"/>
              <w:spacing w:before="1"/>
              <w:rPr>
                <w:sz w:val="17"/>
              </w:rPr>
            </w:pPr>
          </w:p>
          <w:p>
            <w:pPr>
              <w:pStyle w:val="TableParagraph"/>
              <w:tabs>
                <w:tab w:pos="1620" w:val="left" w:leader="none"/>
              </w:tabs>
              <w:ind w:left="436"/>
              <w:rPr>
                <w:b/>
                <w:sz w:val="18"/>
              </w:rPr>
            </w:pPr>
            <w:r>
              <w:rPr>
                <w:b/>
                <w:sz w:val="18"/>
              </w:rPr>
              <w:t>2012</w:t>
              <w:tab/>
              <w:t>2011</w:t>
            </w:r>
          </w:p>
        </w:tc>
      </w:tr>
      <w:tr>
        <w:trPr>
          <w:trHeight w:val="313" w:hRule="exact"/>
        </w:trPr>
        <w:tc>
          <w:tcPr>
            <w:tcW w:w="5855" w:type="dxa"/>
          </w:tcPr>
          <w:p>
            <w:pPr/>
          </w:p>
        </w:tc>
        <w:tc>
          <w:tcPr>
            <w:tcW w:w="1685" w:type="dxa"/>
          </w:tcPr>
          <w:p>
            <w:pPr>
              <w:pStyle w:val="TableParagraph"/>
              <w:spacing w:before="24"/>
              <w:ind w:left="1241"/>
              <w:rPr>
                <w:b/>
                <w:sz w:val="18"/>
              </w:rPr>
            </w:pPr>
            <w:r>
              <w:rPr>
                <w:b/>
                <w:sz w:val="18"/>
              </w:rPr>
              <w:t>Note</w:t>
            </w:r>
          </w:p>
        </w:tc>
        <w:tc>
          <w:tcPr>
            <w:tcW w:w="2421" w:type="dxa"/>
          </w:tcPr>
          <w:p>
            <w:pPr>
              <w:pStyle w:val="TableParagraph"/>
              <w:tabs>
                <w:tab w:pos="1770" w:val="left" w:leader="none"/>
              </w:tabs>
              <w:spacing w:before="24"/>
              <w:ind w:left="586"/>
              <w:rPr>
                <w:b/>
                <w:sz w:val="18"/>
              </w:rPr>
            </w:pPr>
            <w:r>
              <w:rPr>
                <w:b/>
                <w:sz w:val="18"/>
              </w:rPr>
              <w:t>$</w:t>
              <w:tab/>
              <w:t>$</w:t>
            </w:r>
          </w:p>
        </w:tc>
      </w:tr>
      <w:tr>
        <w:trPr>
          <w:trHeight w:val="491" w:hRule="exact"/>
        </w:trPr>
        <w:tc>
          <w:tcPr>
            <w:tcW w:w="5855" w:type="dxa"/>
          </w:tcPr>
          <w:p>
            <w:pPr>
              <w:pStyle w:val="TableParagraph"/>
              <w:spacing w:line="207" w:lineRule="exact" w:before="63"/>
              <w:ind w:left="62"/>
              <w:rPr>
                <w:b/>
                <w:sz w:val="18"/>
              </w:rPr>
            </w:pPr>
            <w:r>
              <w:rPr>
                <w:b/>
                <w:sz w:val="18"/>
              </w:rPr>
              <w:t>Cash flows from operating activities</w:t>
            </w:r>
          </w:p>
          <w:p>
            <w:pPr>
              <w:pStyle w:val="TableParagraph"/>
              <w:spacing w:line="207" w:lineRule="exact"/>
              <w:ind w:left="62"/>
              <w:rPr>
                <w:sz w:val="18"/>
              </w:rPr>
            </w:pPr>
            <w:r>
              <w:rPr>
                <w:sz w:val="18"/>
              </w:rPr>
              <w:t>Payments to suppliers and employees</w:t>
            </w:r>
          </w:p>
        </w:tc>
        <w:tc>
          <w:tcPr>
            <w:tcW w:w="1685" w:type="dxa"/>
          </w:tcPr>
          <w:p>
            <w:pPr/>
          </w:p>
        </w:tc>
        <w:tc>
          <w:tcPr>
            <w:tcW w:w="2421" w:type="dxa"/>
          </w:tcPr>
          <w:p>
            <w:pPr>
              <w:pStyle w:val="TableParagraph"/>
              <w:spacing w:before="5"/>
              <w:rPr>
                <w:sz w:val="23"/>
              </w:rPr>
            </w:pPr>
          </w:p>
          <w:p>
            <w:pPr>
              <w:pStyle w:val="TableParagraph"/>
              <w:tabs>
                <w:tab w:pos="1079" w:val="left" w:leader="none"/>
                <w:tab w:pos="1815" w:val="left" w:leader="none"/>
              </w:tabs>
              <w:ind w:left="44"/>
              <w:rPr>
                <w:sz w:val="18"/>
              </w:rPr>
            </w:pPr>
            <w:r>
              <w:rPr>
                <w:b/>
                <w:w w:val="100"/>
                <w:sz w:val="18"/>
                <w:u w:val="single"/>
              </w:rPr>
              <w:t> </w:t>
            </w:r>
            <w:r>
              <w:rPr>
                <w:b/>
                <w:sz w:val="18"/>
                <w:u w:val="single"/>
              </w:rPr>
              <w:tab/>
              <w:t>-</w:t>
              <w:tab/>
            </w:r>
            <w:r>
              <w:rPr>
                <w:sz w:val="18"/>
                <w:u w:val="single"/>
              </w:rPr>
              <w:t>(1,360)</w:t>
            </w:r>
          </w:p>
        </w:tc>
      </w:tr>
      <w:tr>
        <w:trPr>
          <w:trHeight w:val="362" w:hRule="exact"/>
        </w:trPr>
        <w:tc>
          <w:tcPr>
            <w:tcW w:w="5855" w:type="dxa"/>
          </w:tcPr>
          <w:p>
            <w:pPr>
              <w:pStyle w:val="TableParagraph"/>
              <w:spacing w:line="202" w:lineRule="exact"/>
              <w:ind w:left="62"/>
              <w:rPr>
                <w:b/>
                <w:sz w:val="18"/>
              </w:rPr>
            </w:pPr>
            <w:r>
              <w:rPr>
                <w:b/>
                <w:sz w:val="18"/>
              </w:rPr>
              <w:t>Net cash inflow/(outflow) from operating activities</w:t>
            </w:r>
          </w:p>
        </w:tc>
        <w:tc>
          <w:tcPr>
            <w:tcW w:w="1685" w:type="dxa"/>
          </w:tcPr>
          <w:p>
            <w:pPr>
              <w:pStyle w:val="TableParagraph"/>
              <w:spacing w:line="202" w:lineRule="exact"/>
              <w:ind w:left="1179"/>
              <w:rPr>
                <w:sz w:val="18"/>
              </w:rPr>
            </w:pPr>
            <w:r>
              <w:rPr>
                <w:sz w:val="18"/>
              </w:rPr>
              <w:t>13</w:t>
            </w:r>
          </w:p>
        </w:tc>
        <w:tc>
          <w:tcPr>
            <w:tcW w:w="2421" w:type="dxa"/>
          </w:tcPr>
          <w:p>
            <w:pPr>
              <w:pStyle w:val="TableParagraph"/>
              <w:tabs>
                <w:tab w:pos="1079" w:val="left" w:leader="none"/>
                <w:tab w:pos="1815" w:val="left" w:leader="none"/>
              </w:tabs>
              <w:spacing w:line="202" w:lineRule="exact"/>
              <w:ind w:left="44"/>
              <w:rPr>
                <w:sz w:val="18"/>
              </w:rPr>
            </w:pPr>
            <w:r>
              <w:rPr>
                <w:b/>
                <w:w w:val="100"/>
                <w:sz w:val="18"/>
                <w:u w:val="single"/>
              </w:rPr>
              <w:t> </w:t>
            </w:r>
            <w:r>
              <w:rPr>
                <w:b/>
                <w:sz w:val="18"/>
                <w:u w:val="single"/>
              </w:rPr>
              <w:tab/>
              <w:t>-</w:t>
              <w:tab/>
            </w:r>
            <w:r>
              <w:rPr>
                <w:sz w:val="18"/>
                <w:u w:val="single"/>
              </w:rPr>
              <w:t>(1,360)</w:t>
            </w:r>
          </w:p>
        </w:tc>
      </w:tr>
      <w:tr>
        <w:trPr>
          <w:trHeight w:val="362" w:hRule="exact"/>
        </w:trPr>
        <w:tc>
          <w:tcPr>
            <w:tcW w:w="5855" w:type="dxa"/>
          </w:tcPr>
          <w:p>
            <w:pPr>
              <w:pStyle w:val="TableParagraph"/>
              <w:spacing w:before="141"/>
              <w:ind w:left="62"/>
              <w:rPr>
                <w:b/>
                <w:sz w:val="18"/>
              </w:rPr>
            </w:pPr>
            <w:r>
              <w:rPr>
                <w:b/>
                <w:sz w:val="18"/>
              </w:rPr>
              <w:t>Cash flows from investing activities</w:t>
            </w:r>
          </w:p>
        </w:tc>
        <w:tc>
          <w:tcPr>
            <w:tcW w:w="1685" w:type="dxa"/>
          </w:tcPr>
          <w:p>
            <w:pPr/>
          </w:p>
        </w:tc>
        <w:tc>
          <w:tcPr>
            <w:tcW w:w="2421" w:type="dxa"/>
          </w:tcPr>
          <w:p>
            <w:pPr/>
          </w:p>
        </w:tc>
      </w:tr>
      <w:tr>
        <w:trPr>
          <w:trHeight w:val="362" w:hRule="exact"/>
        </w:trPr>
        <w:tc>
          <w:tcPr>
            <w:tcW w:w="5855" w:type="dxa"/>
          </w:tcPr>
          <w:p>
            <w:pPr>
              <w:pStyle w:val="TableParagraph"/>
              <w:spacing w:line="202" w:lineRule="exact"/>
              <w:ind w:left="62"/>
              <w:rPr>
                <w:b/>
                <w:sz w:val="18"/>
              </w:rPr>
            </w:pPr>
            <w:r>
              <w:rPr>
                <w:b/>
                <w:sz w:val="18"/>
              </w:rPr>
              <w:t>Net cash (outflow)/inflow from investing activities</w:t>
            </w:r>
          </w:p>
        </w:tc>
        <w:tc>
          <w:tcPr>
            <w:tcW w:w="1685" w:type="dxa"/>
          </w:tcPr>
          <w:p>
            <w:pPr/>
          </w:p>
        </w:tc>
        <w:tc>
          <w:tcPr>
            <w:tcW w:w="2421" w:type="dxa"/>
          </w:tcPr>
          <w:p>
            <w:pPr>
              <w:pStyle w:val="TableParagraph"/>
              <w:tabs>
                <w:tab w:pos="1079" w:val="left" w:leader="none"/>
                <w:tab w:pos="2264" w:val="left" w:leader="none"/>
              </w:tabs>
              <w:spacing w:line="202" w:lineRule="exact"/>
              <w:ind w:left="44"/>
              <w:rPr>
                <w:sz w:val="18"/>
              </w:rPr>
            </w:pPr>
            <w:r>
              <w:rPr>
                <w:b/>
                <w:w w:val="100"/>
                <w:sz w:val="18"/>
                <w:u w:val="single"/>
              </w:rPr>
              <w:t> </w:t>
            </w:r>
            <w:r>
              <w:rPr>
                <w:b/>
                <w:sz w:val="18"/>
                <w:u w:val="single"/>
              </w:rPr>
              <w:tab/>
              <w:t>-</w:t>
              <w:tab/>
            </w:r>
            <w:r>
              <w:rPr>
                <w:sz w:val="18"/>
                <w:u w:val="single"/>
              </w:rPr>
              <w:t>-</w:t>
            </w:r>
          </w:p>
        </w:tc>
      </w:tr>
      <w:tr>
        <w:trPr>
          <w:trHeight w:val="367" w:hRule="exact"/>
        </w:trPr>
        <w:tc>
          <w:tcPr>
            <w:tcW w:w="5855" w:type="dxa"/>
          </w:tcPr>
          <w:p>
            <w:pPr>
              <w:pStyle w:val="TableParagraph"/>
              <w:spacing w:before="141"/>
              <w:ind w:left="62"/>
              <w:rPr>
                <w:b/>
                <w:sz w:val="18"/>
              </w:rPr>
            </w:pPr>
            <w:r>
              <w:rPr>
                <w:b/>
                <w:sz w:val="18"/>
              </w:rPr>
              <w:t>Cash flows from financing activities</w:t>
            </w:r>
          </w:p>
        </w:tc>
        <w:tc>
          <w:tcPr>
            <w:tcW w:w="1685" w:type="dxa"/>
          </w:tcPr>
          <w:p>
            <w:pPr/>
          </w:p>
        </w:tc>
        <w:tc>
          <w:tcPr>
            <w:tcW w:w="2421" w:type="dxa"/>
          </w:tcPr>
          <w:p>
            <w:pPr/>
          </w:p>
        </w:tc>
      </w:tr>
      <w:tr>
        <w:trPr>
          <w:trHeight w:val="367" w:hRule="exact"/>
        </w:trPr>
        <w:tc>
          <w:tcPr>
            <w:tcW w:w="5855" w:type="dxa"/>
          </w:tcPr>
          <w:p>
            <w:pPr>
              <w:pStyle w:val="TableParagraph"/>
              <w:ind w:left="62"/>
              <w:rPr>
                <w:b/>
                <w:sz w:val="18"/>
              </w:rPr>
            </w:pPr>
            <w:r>
              <w:rPr>
                <w:b/>
                <w:sz w:val="18"/>
              </w:rPr>
              <w:t>Net cash inflow/(outflow) from financing activities</w:t>
            </w:r>
          </w:p>
        </w:tc>
        <w:tc>
          <w:tcPr>
            <w:tcW w:w="1685" w:type="dxa"/>
          </w:tcPr>
          <w:p>
            <w:pPr/>
          </w:p>
        </w:tc>
        <w:tc>
          <w:tcPr>
            <w:tcW w:w="2421" w:type="dxa"/>
          </w:tcPr>
          <w:p>
            <w:pPr>
              <w:pStyle w:val="TableParagraph"/>
              <w:tabs>
                <w:tab w:pos="1079" w:val="left" w:leader="none"/>
                <w:tab w:pos="2264" w:val="left" w:leader="none"/>
              </w:tabs>
              <w:ind w:left="44"/>
              <w:rPr>
                <w:sz w:val="18"/>
              </w:rPr>
            </w:pPr>
            <w:r>
              <w:rPr>
                <w:b/>
                <w:w w:val="100"/>
                <w:sz w:val="18"/>
                <w:u w:val="single"/>
              </w:rPr>
              <w:t> </w:t>
            </w:r>
            <w:r>
              <w:rPr>
                <w:b/>
                <w:sz w:val="18"/>
                <w:u w:val="single"/>
              </w:rPr>
              <w:tab/>
              <w:t>-</w:t>
              <w:tab/>
            </w:r>
            <w:r>
              <w:rPr>
                <w:sz w:val="18"/>
                <w:u w:val="single"/>
              </w:rPr>
              <w:t>-</w:t>
            </w:r>
          </w:p>
        </w:tc>
      </w:tr>
      <w:tr>
        <w:trPr>
          <w:trHeight w:val="358" w:hRule="exact"/>
        </w:trPr>
        <w:tc>
          <w:tcPr>
            <w:tcW w:w="5855" w:type="dxa"/>
          </w:tcPr>
          <w:p>
            <w:pPr>
              <w:pStyle w:val="TableParagraph"/>
              <w:spacing w:before="141"/>
              <w:ind w:left="62"/>
              <w:rPr>
                <w:b/>
                <w:sz w:val="18"/>
              </w:rPr>
            </w:pPr>
            <w:r>
              <w:rPr>
                <w:b/>
                <w:sz w:val="18"/>
              </w:rPr>
              <w:t>Net increase/(decrease) in cash  and cash equivalents</w:t>
            </w:r>
          </w:p>
        </w:tc>
        <w:tc>
          <w:tcPr>
            <w:tcW w:w="1685" w:type="dxa"/>
          </w:tcPr>
          <w:p>
            <w:pPr/>
          </w:p>
        </w:tc>
        <w:tc>
          <w:tcPr>
            <w:tcW w:w="2421" w:type="dxa"/>
          </w:tcPr>
          <w:p>
            <w:pPr>
              <w:pStyle w:val="TableParagraph"/>
              <w:tabs>
                <w:tab w:pos="1815" w:val="left" w:leader="none"/>
              </w:tabs>
              <w:spacing w:before="141"/>
              <w:ind w:left="1079"/>
              <w:rPr>
                <w:sz w:val="18"/>
              </w:rPr>
            </w:pPr>
            <w:r>
              <w:rPr>
                <w:b/>
                <w:sz w:val="18"/>
              </w:rPr>
              <w:t>-</w:t>
              <w:tab/>
            </w:r>
            <w:r>
              <w:rPr>
                <w:sz w:val="18"/>
              </w:rPr>
              <w:t>(1,360)</w:t>
            </w:r>
          </w:p>
        </w:tc>
      </w:tr>
      <w:tr>
        <w:trPr>
          <w:trHeight w:val="211" w:hRule="exact"/>
        </w:trPr>
        <w:tc>
          <w:tcPr>
            <w:tcW w:w="5855" w:type="dxa"/>
          </w:tcPr>
          <w:p>
            <w:pPr>
              <w:pStyle w:val="TableParagraph"/>
              <w:spacing w:line="197" w:lineRule="exact"/>
              <w:ind w:left="62"/>
              <w:rPr>
                <w:sz w:val="18"/>
              </w:rPr>
            </w:pPr>
            <w:r>
              <w:rPr>
                <w:sz w:val="18"/>
              </w:rPr>
              <w:t>Cash and cash equivalents at beginning of year</w:t>
            </w:r>
          </w:p>
        </w:tc>
        <w:tc>
          <w:tcPr>
            <w:tcW w:w="1685" w:type="dxa"/>
          </w:tcPr>
          <w:p>
            <w:pPr/>
          </w:p>
        </w:tc>
        <w:tc>
          <w:tcPr>
            <w:tcW w:w="2421" w:type="dxa"/>
          </w:tcPr>
          <w:p>
            <w:pPr>
              <w:pStyle w:val="TableParagraph"/>
              <w:tabs>
                <w:tab w:pos="1040" w:val="left" w:leader="none"/>
                <w:tab w:pos="1875" w:val="left" w:leader="none"/>
              </w:tabs>
              <w:spacing w:line="197" w:lineRule="exact"/>
              <w:ind w:left="44"/>
              <w:rPr>
                <w:sz w:val="18"/>
              </w:rPr>
            </w:pPr>
            <w:r>
              <w:rPr>
                <w:b/>
                <w:w w:val="100"/>
                <w:sz w:val="18"/>
                <w:u w:val="single"/>
              </w:rPr>
              <w:t> </w:t>
            </w:r>
            <w:r>
              <w:rPr>
                <w:b/>
                <w:sz w:val="18"/>
                <w:u w:val="single"/>
              </w:rPr>
              <w:tab/>
              <w:t>1</w:t>
              <w:tab/>
            </w:r>
            <w:r>
              <w:rPr>
                <w:sz w:val="18"/>
                <w:u w:val="single"/>
              </w:rPr>
              <w:t>1,361</w:t>
            </w:r>
          </w:p>
        </w:tc>
      </w:tr>
      <w:tr>
        <w:trPr>
          <w:trHeight w:val="298" w:hRule="exact"/>
        </w:trPr>
        <w:tc>
          <w:tcPr>
            <w:tcW w:w="5855" w:type="dxa"/>
          </w:tcPr>
          <w:p>
            <w:pPr>
              <w:pStyle w:val="TableParagraph"/>
              <w:spacing w:line="202" w:lineRule="exact"/>
              <w:ind w:left="62"/>
              <w:rPr>
                <w:b/>
                <w:sz w:val="18"/>
              </w:rPr>
            </w:pPr>
            <w:r>
              <w:rPr>
                <w:b/>
                <w:sz w:val="18"/>
              </w:rPr>
              <w:t>Cash and cash equivalents at end of year</w:t>
            </w:r>
          </w:p>
        </w:tc>
        <w:tc>
          <w:tcPr>
            <w:tcW w:w="1685" w:type="dxa"/>
          </w:tcPr>
          <w:p>
            <w:pPr>
              <w:pStyle w:val="TableParagraph"/>
              <w:spacing w:line="202" w:lineRule="exact"/>
              <w:ind w:left="1179"/>
              <w:rPr>
                <w:sz w:val="18"/>
              </w:rPr>
            </w:pPr>
            <w:r>
              <w:rPr>
                <w:w w:val="99"/>
                <w:sz w:val="18"/>
              </w:rPr>
              <w:t>5</w:t>
            </w:r>
          </w:p>
        </w:tc>
        <w:tc>
          <w:tcPr>
            <w:tcW w:w="2421" w:type="dxa"/>
          </w:tcPr>
          <w:p>
            <w:pPr>
              <w:pStyle w:val="TableParagraph"/>
              <w:tabs>
                <w:tab w:pos="1040" w:val="left" w:leader="none"/>
                <w:tab w:pos="2224" w:val="left" w:leader="none"/>
              </w:tabs>
              <w:spacing w:line="202" w:lineRule="exact"/>
              <w:ind w:left="44"/>
              <w:rPr>
                <w:sz w:val="18"/>
              </w:rPr>
            </w:pPr>
            <w:r>
              <w:rPr>
                <w:b/>
                <w:w w:val="100"/>
                <w:sz w:val="18"/>
                <w:u w:val="single"/>
              </w:rPr>
              <w:t> </w:t>
            </w:r>
            <w:r>
              <w:rPr>
                <w:b/>
                <w:sz w:val="18"/>
                <w:u w:val="single"/>
              </w:rPr>
              <w:tab/>
              <w:t>1</w:t>
              <w:tab/>
            </w:r>
            <w:r>
              <w:rPr>
                <w:sz w:val="18"/>
                <w:u w:val="single"/>
              </w:rPr>
              <w:t>1</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BodyText"/>
        <w:spacing w:before="77"/>
        <w:ind w:left="147" w:right="685"/>
      </w:pPr>
      <w:r>
        <w:rPr/>
        <w:t>The accompanying notes form part of these financial statements.</w:t>
      </w:r>
    </w:p>
    <w:p>
      <w:pPr>
        <w:spacing w:after="0"/>
        <w:sectPr>
          <w:pgSz w:w="11910" w:h="16840"/>
          <w:pgMar w:header="1038" w:footer="571" w:top="1460" w:bottom="700" w:left="860" w:right="860"/>
        </w:sectPr>
      </w:pPr>
    </w:p>
    <w:p>
      <w:pPr>
        <w:pStyle w:val="BodyText"/>
        <w:spacing w:before="2"/>
        <w:rPr>
          <w:sz w:val="24"/>
        </w:rPr>
      </w:pPr>
    </w:p>
    <w:p>
      <w:pPr>
        <w:pStyle w:val="Heading3"/>
        <w:spacing w:before="64"/>
      </w:pPr>
      <w:r>
        <w:rPr/>
        <w:t>Notes to the financial statements</w:t>
      </w:r>
    </w:p>
    <w:p>
      <w:pPr>
        <w:pStyle w:val="Heading6"/>
      </w:pPr>
      <w:r>
        <w:rPr/>
        <w:t>For the Year Ended 31 December 2012</w:t>
      </w:r>
    </w:p>
    <w:p>
      <w:pPr>
        <w:pStyle w:val="BodyText"/>
        <w:rPr>
          <w:b/>
          <w:sz w:val="22"/>
        </w:rPr>
      </w:pPr>
    </w:p>
    <w:p>
      <w:pPr>
        <w:pStyle w:val="BodyText"/>
        <w:rPr>
          <w:b/>
          <w:sz w:val="22"/>
        </w:rPr>
      </w:pPr>
    </w:p>
    <w:p>
      <w:pPr>
        <w:pStyle w:val="Heading9"/>
        <w:tabs>
          <w:tab w:pos="503" w:val="left" w:leader="none"/>
        </w:tabs>
        <w:spacing w:before="160"/>
        <w:ind w:left="109" w:right="125"/>
      </w:pPr>
      <w:r>
        <w:rPr/>
        <w:t>1</w:t>
        <w:tab/>
        <w:t>Summary of Significant Accounting</w:t>
      </w:r>
      <w:r>
        <w:rPr>
          <w:spacing w:val="-3"/>
        </w:rPr>
        <w:t> </w:t>
      </w:r>
      <w:r>
        <w:rPr/>
        <w:t>Policies</w:t>
      </w:r>
    </w:p>
    <w:p>
      <w:pPr>
        <w:pStyle w:val="ListParagraph"/>
        <w:numPr>
          <w:ilvl w:val="0"/>
          <w:numId w:val="129"/>
        </w:numPr>
        <w:tabs>
          <w:tab w:pos="1071" w:val="left" w:leader="none"/>
        </w:tabs>
        <w:spacing w:line="240" w:lineRule="auto" w:before="146" w:after="0"/>
        <w:ind w:left="1070" w:right="0" w:hanging="566"/>
        <w:jc w:val="left"/>
        <w:rPr>
          <w:b/>
          <w:sz w:val="18"/>
        </w:rPr>
      </w:pPr>
      <w:r>
        <w:rPr>
          <w:b/>
          <w:sz w:val="18"/>
        </w:rPr>
        <w:t>Basis of</w:t>
      </w:r>
      <w:r>
        <w:rPr>
          <w:b/>
          <w:spacing w:val="-1"/>
          <w:sz w:val="18"/>
        </w:rPr>
        <w:t> </w:t>
      </w:r>
      <w:r>
        <w:rPr>
          <w:b/>
          <w:sz w:val="18"/>
        </w:rPr>
        <w:t>Preparation</w:t>
      </w:r>
    </w:p>
    <w:p>
      <w:pPr>
        <w:spacing w:before="146"/>
        <w:ind w:left="1070" w:right="144" w:firstLine="0"/>
        <w:jc w:val="left"/>
        <w:rPr>
          <w:sz w:val="18"/>
        </w:rPr>
      </w:pPr>
      <w:r>
        <w:rPr>
          <w:sz w:val="18"/>
        </w:rPr>
        <w:t>These financial statements are general purpose financial statements that have been prepared in accordance with</w:t>
      </w:r>
      <w:r>
        <w:rPr>
          <w:spacing w:val="-6"/>
          <w:sz w:val="18"/>
        </w:rPr>
        <w:t> </w:t>
      </w:r>
      <w:r>
        <w:rPr>
          <w:sz w:val="18"/>
        </w:rPr>
        <w:t>Australian</w:t>
      </w:r>
      <w:r>
        <w:rPr>
          <w:spacing w:val="-8"/>
          <w:sz w:val="18"/>
        </w:rPr>
        <w:t> </w:t>
      </w:r>
      <w:r>
        <w:rPr>
          <w:sz w:val="18"/>
        </w:rPr>
        <w:t>Accounting</w:t>
      </w:r>
      <w:r>
        <w:rPr>
          <w:spacing w:val="-8"/>
          <w:sz w:val="18"/>
        </w:rPr>
        <w:t> </w:t>
      </w:r>
      <w:r>
        <w:rPr>
          <w:sz w:val="18"/>
        </w:rPr>
        <w:t>Standards</w:t>
      </w:r>
      <w:r>
        <w:rPr>
          <w:spacing w:val="-2"/>
          <w:sz w:val="18"/>
        </w:rPr>
        <w:t> </w:t>
      </w:r>
      <w:r>
        <w:rPr>
          <w:sz w:val="18"/>
        </w:rPr>
        <w:t>(including</w:t>
      </w:r>
      <w:r>
        <w:rPr>
          <w:spacing w:val="-6"/>
          <w:sz w:val="18"/>
        </w:rPr>
        <w:t> </w:t>
      </w:r>
      <w:r>
        <w:rPr>
          <w:sz w:val="18"/>
        </w:rPr>
        <w:t>Australian</w:t>
      </w:r>
      <w:r>
        <w:rPr>
          <w:spacing w:val="-8"/>
          <w:sz w:val="18"/>
        </w:rPr>
        <w:t> </w:t>
      </w:r>
      <w:r>
        <w:rPr>
          <w:sz w:val="18"/>
        </w:rPr>
        <w:t>Accounting</w:t>
      </w:r>
      <w:r>
        <w:rPr>
          <w:spacing w:val="-6"/>
          <w:sz w:val="18"/>
        </w:rPr>
        <w:t> </w:t>
      </w:r>
      <w:r>
        <w:rPr>
          <w:sz w:val="18"/>
        </w:rPr>
        <w:t>Interpretations)</w:t>
      </w:r>
      <w:r>
        <w:rPr>
          <w:spacing w:val="-7"/>
          <w:sz w:val="18"/>
        </w:rPr>
        <w:t> </w:t>
      </w:r>
      <w:r>
        <w:rPr>
          <w:sz w:val="18"/>
        </w:rPr>
        <w:t>adopted</w:t>
      </w:r>
      <w:r>
        <w:rPr>
          <w:spacing w:val="-8"/>
          <w:sz w:val="18"/>
        </w:rPr>
        <w:t> </w:t>
      </w:r>
      <w:r>
        <w:rPr>
          <w:sz w:val="18"/>
        </w:rPr>
        <w:t>by</w:t>
      </w:r>
      <w:r>
        <w:rPr>
          <w:spacing w:val="-9"/>
          <w:sz w:val="18"/>
        </w:rPr>
        <w:t> </w:t>
      </w:r>
      <w:r>
        <w:rPr>
          <w:sz w:val="18"/>
        </w:rPr>
        <w:t>the</w:t>
      </w:r>
      <w:r>
        <w:rPr>
          <w:spacing w:val="-8"/>
          <w:sz w:val="18"/>
        </w:rPr>
        <w:t> </w:t>
      </w:r>
      <w:r>
        <w:rPr>
          <w:sz w:val="18"/>
        </w:rPr>
        <w:t>AASB,</w:t>
      </w:r>
      <w:r>
        <w:rPr>
          <w:spacing w:val="-8"/>
          <w:sz w:val="18"/>
        </w:rPr>
        <w:t> </w:t>
      </w:r>
      <w:r>
        <w:rPr>
          <w:sz w:val="18"/>
        </w:rPr>
        <w:t>the </w:t>
      </w:r>
      <w:r>
        <w:rPr>
          <w:i/>
          <w:sz w:val="18"/>
        </w:rPr>
        <w:t>Corporations Act 2001</w:t>
      </w:r>
      <w:r>
        <w:rPr>
          <w:sz w:val="18"/>
        </w:rPr>
        <w:t>, the requirements of the </w:t>
      </w:r>
      <w:r>
        <w:rPr>
          <w:i/>
          <w:sz w:val="18"/>
        </w:rPr>
        <w:t>Public Finance &amp; Audit Act 1983</w:t>
      </w:r>
      <w:r>
        <w:rPr>
          <w:sz w:val="18"/>
        </w:rPr>
        <w:t>, </w:t>
      </w:r>
      <w:r>
        <w:rPr>
          <w:i/>
          <w:sz w:val="18"/>
        </w:rPr>
        <w:t>Public Finance and Audit </w:t>
      </w:r>
      <w:r>
        <w:rPr>
          <w:i/>
          <w:sz w:val="18"/>
        </w:rPr>
        <w:t>Regulation 2010</w:t>
      </w:r>
      <w:r>
        <w:rPr>
          <w:sz w:val="18"/>
        </w:rPr>
        <w:t>, and other authoritative pronouncements of the Australian  Accounting Standards Board (AASB).</w:t>
      </w:r>
    </w:p>
    <w:p>
      <w:pPr>
        <w:pStyle w:val="BodyText"/>
        <w:spacing w:before="146"/>
        <w:ind w:left="1070" w:right="125"/>
      </w:pPr>
      <w:r>
        <w:rPr/>
        <w:t>These financial statements of the Whitlam Institute within the University of Western Sydney Limited comply with Australian Accounting Standards some of which contain requirements specific to not for profit entities that are inconsistent with International Financial Reporting Standards (IFRS) requirements.</w:t>
      </w:r>
    </w:p>
    <w:p>
      <w:pPr>
        <w:pStyle w:val="BodyText"/>
        <w:spacing w:before="146"/>
        <w:ind w:left="1070" w:right="125" w:hanging="1"/>
      </w:pPr>
      <w:r>
        <w:rPr/>
        <w:t>Material accounting policies adopted in the preparation of these financial statements are presented below and have been consistently applied unless otherwise stated.</w:t>
      </w:r>
    </w:p>
    <w:p>
      <w:pPr>
        <w:pStyle w:val="BodyText"/>
        <w:spacing w:before="146"/>
        <w:ind w:left="1070" w:right="134"/>
        <w:jc w:val="both"/>
      </w:pPr>
      <w:r>
        <w:rPr/>
        <w:t>The financial statements have been prepared on an accruals basis and are based on historical costs, modified, where applicable, by the measurement at fair value of selected non-current assets, financial assets and financial liabilities.</w:t>
      </w:r>
    </w:p>
    <w:p>
      <w:pPr>
        <w:pStyle w:val="Heading9"/>
        <w:numPr>
          <w:ilvl w:val="0"/>
          <w:numId w:val="129"/>
        </w:numPr>
        <w:tabs>
          <w:tab w:pos="1071" w:val="left" w:leader="none"/>
        </w:tabs>
        <w:spacing w:line="240" w:lineRule="auto" w:before="145" w:after="0"/>
        <w:ind w:left="1070" w:right="0" w:hanging="566"/>
        <w:jc w:val="left"/>
      </w:pPr>
      <w:r>
        <w:rPr/>
        <w:t>Revenue recognition</w:t>
      </w:r>
    </w:p>
    <w:p>
      <w:pPr>
        <w:pStyle w:val="BodyText"/>
        <w:spacing w:before="146"/>
        <w:ind w:left="1070" w:right="125"/>
      </w:pPr>
      <w:r>
        <w:rPr/>
        <w:t>The Company recognises revenue when the amount of revenue can be reliably measured, it is probable that future economic benefits will flow to the entity and specific criteria have been met for each of the Company's activities. The Company bases its estimates on historical results, taking into consider ation the type of customer, the type of transaction and the specifics of each arrangement.</w:t>
      </w:r>
    </w:p>
    <w:p>
      <w:pPr>
        <w:pStyle w:val="Heading9"/>
        <w:numPr>
          <w:ilvl w:val="0"/>
          <w:numId w:val="129"/>
        </w:numPr>
        <w:tabs>
          <w:tab w:pos="1071" w:val="left" w:leader="none"/>
        </w:tabs>
        <w:spacing w:line="240" w:lineRule="auto" w:before="145" w:after="0"/>
        <w:ind w:left="1070" w:right="0" w:hanging="566"/>
        <w:jc w:val="left"/>
      </w:pPr>
      <w:r>
        <w:rPr/>
        <w:t>Cash and cash</w:t>
      </w:r>
      <w:r>
        <w:rPr>
          <w:spacing w:val="-1"/>
        </w:rPr>
        <w:t> </w:t>
      </w:r>
      <w:r>
        <w:rPr/>
        <w:t>equivalents</w:t>
      </w:r>
    </w:p>
    <w:p>
      <w:pPr>
        <w:pStyle w:val="BodyText"/>
        <w:spacing w:before="146"/>
        <w:ind w:left="1070" w:right="125"/>
      </w:pPr>
      <w:r>
        <w:rPr/>
        <w:t>Cash and cash equivalents includes cash on hand, deposits held at call with financial institutions, other short term, highly liquid investments with original maturities of three months or less that are readily convertible to known amounts of cash and which are subject to an insignficant risk of changes in value.</w:t>
      </w:r>
    </w:p>
    <w:p>
      <w:pPr>
        <w:pStyle w:val="Heading9"/>
        <w:numPr>
          <w:ilvl w:val="0"/>
          <w:numId w:val="129"/>
        </w:numPr>
        <w:tabs>
          <w:tab w:pos="1071" w:val="left" w:leader="none"/>
        </w:tabs>
        <w:spacing w:line="240" w:lineRule="auto" w:before="145" w:after="0"/>
        <w:ind w:left="1070" w:right="0" w:hanging="566"/>
        <w:jc w:val="left"/>
      </w:pPr>
      <w:r>
        <w:rPr/>
        <w:t>Income tax</w:t>
      </w:r>
      <w:r>
        <w:rPr>
          <w:spacing w:val="-1"/>
        </w:rPr>
        <w:t> </w:t>
      </w:r>
      <w:r>
        <w:rPr/>
        <w:t>exemption</w:t>
      </w:r>
    </w:p>
    <w:p>
      <w:pPr>
        <w:spacing w:before="146"/>
        <w:ind w:left="1071" w:right="125" w:firstLine="0"/>
        <w:jc w:val="left"/>
        <w:rPr>
          <w:sz w:val="18"/>
        </w:rPr>
      </w:pPr>
      <w:r>
        <w:rPr>
          <w:sz w:val="18"/>
        </w:rPr>
        <w:t>The Company is exempt from the payment of tax by virtue of section 50 B of the </w:t>
      </w:r>
      <w:r>
        <w:rPr>
          <w:i/>
          <w:sz w:val="18"/>
        </w:rPr>
        <w:t>Income Tax Assessment Act </w:t>
      </w:r>
      <w:r>
        <w:rPr>
          <w:i/>
          <w:sz w:val="18"/>
        </w:rPr>
        <w:t>1997</w:t>
      </w:r>
      <w:r>
        <w:rPr>
          <w:sz w:val="18"/>
        </w:rPr>
        <w:t>.</w:t>
      </w:r>
    </w:p>
    <w:p>
      <w:pPr>
        <w:pStyle w:val="Heading9"/>
        <w:numPr>
          <w:ilvl w:val="0"/>
          <w:numId w:val="129"/>
        </w:numPr>
        <w:tabs>
          <w:tab w:pos="1071" w:val="left" w:leader="none"/>
        </w:tabs>
        <w:spacing w:line="240" w:lineRule="auto" w:before="145" w:after="0"/>
        <w:ind w:left="1070" w:right="0" w:hanging="566"/>
        <w:jc w:val="left"/>
      </w:pPr>
      <w:r>
        <w:rPr/>
        <w:t>Goods and Services Tax</w:t>
      </w:r>
      <w:r>
        <w:rPr>
          <w:spacing w:val="-2"/>
        </w:rPr>
        <w:t> </w:t>
      </w:r>
      <w:r>
        <w:rPr/>
        <w:t>(GST)</w:t>
      </w:r>
    </w:p>
    <w:p>
      <w:pPr>
        <w:pStyle w:val="BodyText"/>
        <w:spacing w:before="146"/>
        <w:ind w:left="1070" w:right="114"/>
        <w:jc w:val="both"/>
      </w:pPr>
      <w:r>
        <w:rPr/>
        <w:t>Revenues, expenses and assets are rec ognised net of the amount of associated GST, unless the GST incurred is not recoverable from the taxation authority. In this case it is recognised as part of the cost of acquisition of the asset or as part of the expense.</w:t>
      </w:r>
    </w:p>
    <w:p>
      <w:pPr>
        <w:pStyle w:val="BodyText"/>
        <w:spacing w:before="146"/>
        <w:ind w:left="1070" w:right="114" w:hanging="1"/>
        <w:jc w:val="both"/>
      </w:pPr>
      <w:r>
        <w:rPr/>
        <w:t>Receivables and payables are stated in clusive of the amount of GST receivable or payable. The net amount of GST recoverable from, or pay able to, the taxation authority is included with other receivables or pay ables in the statement of financial position.</w:t>
      </w:r>
    </w:p>
    <w:p>
      <w:pPr>
        <w:pStyle w:val="BodyText"/>
        <w:spacing w:before="146"/>
        <w:ind w:left="1070" w:right="125"/>
      </w:pPr>
      <w:r>
        <w:rPr/>
        <w:t>Cash flows are presented on a gross basis. The GST components of cash flows arising from investing or financing activities which are recoverable from, or payable to the taxation authority, are presented as operating cash flows.</w:t>
      </w:r>
    </w:p>
    <w:p>
      <w:pPr>
        <w:pStyle w:val="Heading9"/>
        <w:numPr>
          <w:ilvl w:val="0"/>
          <w:numId w:val="129"/>
        </w:numPr>
        <w:tabs>
          <w:tab w:pos="1071" w:val="left" w:leader="none"/>
        </w:tabs>
        <w:spacing w:line="240" w:lineRule="auto" w:before="145" w:after="0"/>
        <w:ind w:left="1070" w:right="0" w:hanging="567"/>
        <w:jc w:val="left"/>
      </w:pPr>
      <w:r>
        <w:rPr/>
        <w:t>Comparative</w:t>
      </w:r>
      <w:r>
        <w:rPr>
          <w:spacing w:val="-1"/>
        </w:rPr>
        <w:t> </w:t>
      </w:r>
      <w:r>
        <w:rPr/>
        <w:t>amounts</w:t>
      </w:r>
    </w:p>
    <w:p>
      <w:pPr>
        <w:pStyle w:val="BodyText"/>
        <w:spacing w:before="146"/>
        <w:ind w:left="1070" w:right="125"/>
      </w:pPr>
      <w:r>
        <w:rPr/>
        <w:t>Comparative figures have been reclassified and repositioned in the financial statements, where necessary, to conform with the basis of preparation and classification used in the current year.</w:t>
      </w:r>
    </w:p>
    <w:p>
      <w:pPr>
        <w:pStyle w:val="Heading9"/>
        <w:numPr>
          <w:ilvl w:val="0"/>
          <w:numId w:val="129"/>
        </w:numPr>
        <w:tabs>
          <w:tab w:pos="1071" w:val="left" w:leader="none"/>
        </w:tabs>
        <w:spacing w:line="240" w:lineRule="auto" w:before="146" w:after="0"/>
        <w:ind w:left="1070" w:right="0" w:hanging="567"/>
        <w:jc w:val="left"/>
      </w:pPr>
      <w:r>
        <w:rPr/>
        <w:t>New accounting standards and interpretations</w:t>
      </w:r>
    </w:p>
    <w:p>
      <w:pPr>
        <w:pStyle w:val="BodyText"/>
        <w:spacing w:before="146"/>
        <w:ind w:left="1070" w:right="125"/>
      </w:pPr>
      <w:r>
        <w:rPr/>
        <w:t>Certain new accounting standards and interpretations have been published that are not mandatory for 31 December 2012 reporting periods and have not yet been app lied in the financial statements. T he Company's assessment of the impact of t hese new standards and interpretations is that they will not materially affect any of the amounts recognised in the financial statements or significantly impact the disclosures in relation to the Company.</w:t>
      </w:r>
    </w:p>
    <w:p>
      <w:pPr>
        <w:spacing w:after="0"/>
        <w:sectPr>
          <w:pgSz w:w="11910" w:h="16840"/>
          <w:pgMar w:header="1038" w:footer="571" w:top="1460" w:bottom="700" w:left="900" w:right="860"/>
        </w:sectPr>
      </w:pPr>
    </w:p>
    <w:p>
      <w:pPr>
        <w:pStyle w:val="BodyText"/>
        <w:spacing w:before="2"/>
        <w:rPr>
          <w:sz w:val="24"/>
        </w:rPr>
      </w:pPr>
    </w:p>
    <w:p>
      <w:pPr>
        <w:pStyle w:val="Heading3"/>
        <w:spacing w:before="64"/>
      </w:pPr>
      <w:r>
        <w:rPr/>
        <w:t>Notes to the financial statements</w:t>
      </w:r>
    </w:p>
    <w:p>
      <w:pPr>
        <w:pStyle w:val="Heading6"/>
      </w:pPr>
      <w:r>
        <w:rPr/>
        <w:t>For the Year Ended 31 December 2012</w:t>
      </w:r>
    </w:p>
    <w:p>
      <w:pPr>
        <w:pStyle w:val="BodyText"/>
        <w:rPr>
          <w:b/>
          <w:sz w:val="22"/>
        </w:rPr>
      </w:pPr>
    </w:p>
    <w:p>
      <w:pPr>
        <w:pStyle w:val="BodyText"/>
        <w:rPr>
          <w:b/>
          <w:sz w:val="22"/>
        </w:rPr>
      </w:pPr>
    </w:p>
    <w:p>
      <w:pPr>
        <w:pStyle w:val="Heading9"/>
        <w:numPr>
          <w:ilvl w:val="0"/>
          <w:numId w:val="130"/>
        </w:numPr>
        <w:tabs>
          <w:tab w:pos="504" w:val="left" w:leader="none"/>
        </w:tabs>
        <w:spacing w:line="240" w:lineRule="auto" w:before="160" w:after="0"/>
        <w:ind w:left="503" w:right="0" w:hanging="394"/>
        <w:jc w:val="left"/>
      </w:pPr>
      <w:r>
        <w:rPr/>
        <w:t>Summary of Significant Accounting Policies</w:t>
      </w:r>
      <w:r>
        <w:rPr>
          <w:spacing w:val="-5"/>
        </w:rPr>
        <w:t> </w:t>
      </w:r>
      <w:r>
        <w:rPr/>
        <w:t>(continued)</w:t>
      </w:r>
    </w:p>
    <w:p>
      <w:pPr>
        <w:pStyle w:val="ListParagraph"/>
        <w:numPr>
          <w:ilvl w:val="0"/>
          <w:numId w:val="129"/>
        </w:numPr>
        <w:tabs>
          <w:tab w:pos="1071" w:val="left" w:leader="none"/>
        </w:tabs>
        <w:spacing w:line="240" w:lineRule="auto" w:before="146" w:after="0"/>
        <w:ind w:left="1070" w:right="0" w:hanging="566"/>
        <w:jc w:val="left"/>
        <w:rPr>
          <w:b/>
          <w:sz w:val="18"/>
        </w:rPr>
      </w:pPr>
      <w:r>
        <w:rPr>
          <w:b/>
          <w:sz w:val="18"/>
        </w:rPr>
        <w:t>Critical accounting estimates and</w:t>
      </w:r>
      <w:r>
        <w:rPr>
          <w:b/>
          <w:spacing w:val="-1"/>
          <w:sz w:val="18"/>
        </w:rPr>
        <w:t> </w:t>
      </w:r>
      <w:r>
        <w:rPr>
          <w:b/>
          <w:sz w:val="18"/>
        </w:rPr>
        <w:t>judgments</w:t>
      </w:r>
    </w:p>
    <w:p>
      <w:pPr>
        <w:pStyle w:val="BodyText"/>
        <w:spacing w:before="146"/>
        <w:ind w:left="1070" w:right="125"/>
      </w:pPr>
      <w:r>
        <w:rPr/>
        <w:t>The preparation of financial statements requires the use of certain critical accounting estimates. It also requires management to exercise its judgement in the process of applying the Company's accounting policies. Estimates and judgements are continually evaluated and are based on historic experience and other factors, including expectations of future events that may have a financial impact on the Company and that are believed to be reasonable under the circumstances.</w:t>
      </w:r>
    </w:p>
    <w:p>
      <w:pPr>
        <w:pStyle w:val="BodyText"/>
        <w:spacing w:before="146"/>
        <w:ind w:left="1070"/>
      </w:pPr>
      <w:r>
        <w:rPr/>
        <w:t>There are no areas which involve a high degree of judgement or complexity or where assumptions and estimates are significant to the financial statements of the Whitlam Institute within the University  of W estern  Sydney Limited.</w:t>
      </w:r>
    </w:p>
    <w:p>
      <w:pPr>
        <w:pStyle w:val="BodyText"/>
        <w:rPr>
          <w:sz w:val="25"/>
        </w:rPr>
      </w:pPr>
    </w:p>
    <w:p>
      <w:pPr>
        <w:pStyle w:val="Heading9"/>
        <w:numPr>
          <w:ilvl w:val="0"/>
          <w:numId w:val="130"/>
        </w:numPr>
        <w:tabs>
          <w:tab w:pos="506" w:val="left" w:leader="none"/>
        </w:tabs>
        <w:spacing w:line="240" w:lineRule="auto" w:before="0" w:after="0"/>
        <w:ind w:left="505" w:right="0" w:hanging="396"/>
        <w:jc w:val="left"/>
      </w:pPr>
      <w:r>
        <w:rPr/>
        <w:t>Financial Risk</w:t>
      </w:r>
      <w:r>
        <w:rPr>
          <w:spacing w:val="-1"/>
        </w:rPr>
        <w:t> </w:t>
      </w:r>
      <w:r>
        <w:rPr/>
        <w:t>Management</w:t>
      </w:r>
    </w:p>
    <w:p>
      <w:pPr>
        <w:pStyle w:val="BodyText"/>
        <w:spacing w:before="145"/>
        <w:ind w:left="505" w:right="110"/>
      </w:pPr>
      <w:r>
        <w:rPr/>
        <w:t>The main risks Whitlam Institute within the University of W estern Sydney Limited is exposed to through its financial instruments are credit risk, liquidity risk and market risk (interest rate risk). The Company's overall risk management program forcusses on the unpredictability of financial markets and seeks to minimise potential adverse effects on the financial performance of the Company. The Company uses different methods to measure different types of risk to which it is exposed. These methods include sensitivity analysis in the case of interest rate and ageing analysis for credit risk.</w:t>
      </w:r>
    </w:p>
    <w:p>
      <w:pPr>
        <w:pStyle w:val="BodyText"/>
        <w:spacing w:before="146"/>
        <w:ind w:left="505" w:right="125"/>
      </w:pPr>
      <w:r>
        <w:rPr/>
        <w:t>The totals for each category of financ ial instruments, measured in accordance with AASB 139 as detailed in the accounting policies to these financial statements, are as follows:</w:t>
      </w:r>
    </w:p>
    <w:p>
      <w:pPr>
        <w:pStyle w:val="BodyText"/>
        <w:spacing w:before="10"/>
        <w:rPr>
          <w:sz w:val="23"/>
        </w:rPr>
      </w:pPr>
    </w:p>
    <w:p>
      <w:pPr>
        <w:spacing w:after="0"/>
        <w:rPr>
          <w:sz w:val="23"/>
        </w:rPr>
        <w:sectPr>
          <w:pgSz w:w="11910" w:h="16840"/>
          <w:pgMar w:header="1038" w:footer="571" w:top="1460" w:bottom="700" w:left="900" w:right="860"/>
        </w:sectPr>
      </w:pPr>
    </w:p>
    <w:p>
      <w:pPr>
        <w:pStyle w:val="BodyText"/>
      </w:pPr>
    </w:p>
    <w:p>
      <w:pPr>
        <w:pStyle w:val="BodyText"/>
        <w:spacing w:before="7"/>
        <w:rPr>
          <w:sz w:val="24"/>
        </w:rPr>
      </w:pPr>
    </w:p>
    <w:p>
      <w:pPr>
        <w:pStyle w:val="Heading9"/>
        <w:ind w:left="503" w:right="-19"/>
      </w:pPr>
      <w:r>
        <w:rPr/>
        <w:t>Financial Assets</w:t>
      </w:r>
    </w:p>
    <w:p>
      <w:pPr>
        <w:spacing w:line="207" w:lineRule="exact" w:before="77"/>
        <w:ind w:left="503" w:right="0" w:firstLine="0"/>
        <w:jc w:val="center"/>
        <w:rPr>
          <w:b/>
          <w:sz w:val="18"/>
        </w:rPr>
      </w:pPr>
      <w:r>
        <w:rPr/>
        <w:br w:type="column"/>
      </w:r>
      <w:r>
        <w:rPr>
          <w:b/>
          <w:sz w:val="18"/>
        </w:rPr>
        <w:t>2012</w:t>
      </w:r>
    </w:p>
    <w:p>
      <w:pPr>
        <w:spacing w:line="207" w:lineRule="exact" w:before="0"/>
        <w:ind w:left="0" w:right="148" w:firstLine="0"/>
        <w:jc w:val="right"/>
        <w:rPr>
          <w:b/>
          <w:sz w:val="18"/>
        </w:rPr>
      </w:pPr>
      <w:r>
        <w:rPr>
          <w:b/>
          <w:w w:val="99"/>
          <w:sz w:val="18"/>
        </w:rPr>
        <w:t>$</w:t>
      </w:r>
    </w:p>
    <w:p>
      <w:pPr>
        <w:spacing w:line="207" w:lineRule="exact" w:before="77"/>
        <w:ind w:left="487" w:right="562" w:firstLine="0"/>
        <w:jc w:val="center"/>
        <w:rPr>
          <w:b/>
          <w:sz w:val="18"/>
        </w:rPr>
      </w:pPr>
      <w:r>
        <w:rPr/>
        <w:br w:type="column"/>
      </w:r>
      <w:r>
        <w:rPr>
          <w:b/>
          <w:sz w:val="18"/>
        </w:rPr>
        <w:t>2011</w:t>
      </w:r>
    </w:p>
    <w:p>
      <w:pPr>
        <w:spacing w:line="207" w:lineRule="exact" w:before="0"/>
        <w:ind w:left="0" w:right="75"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1925" w:space="5450"/>
            <w:col w:w="905" w:space="379"/>
            <w:col w:w="1491"/>
          </w:cols>
        </w:sectPr>
      </w:pPr>
    </w:p>
    <w:p>
      <w:pPr>
        <w:pStyle w:val="BodyText"/>
        <w:tabs>
          <w:tab w:pos="6926" w:val="left" w:leader="none"/>
          <w:tab w:pos="8035" w:val="left" w:leader="none"/>
          <w:tab w:pos="9333" w:val="left" w:leader="none"/>
        </w:tabs>
        <w:spacing w:line="206" w:lineRule="exact"/>
        <w:ind w:right="204"/>
        <w:jc w:val="right"/>
      </w:pPr>
      <w:r>
        <w:rPr/>
        <w:t>Cash and</w:t>
      </w:r>
      <w:r>
        <w:rPr>
          <w:spacing w:val="-1"/>
        </w:rPr>
        <w:t> </w:t>
      </w:r>
      <w:r>
        <w:rPr/>
        <w:t>cash</w:t>
      </w:r>
      <w:r>
        <w:rPr>
          <w:spacing w:val="-1"/>
        </w:rPr>
        <w:t> </w:t>
      </w:r>
      <w:r>
        <w:rPr/>
        <w:t>equivalents</w:t>
        <w:tab/>
      </w:r>
      <w:r>
        <w:rPr>
          <w:b/>
          <w:u w:val="single"/>
        </w:rPr>
        <w:t> </w:t>
        <w:tab/>
        <w:t>1</w:t>
        <w:tab/>
      </w:r>
      <w:r>
        <w:rPr>
          <w:spacing w:val="-1"/>
          <w:u w:val="single"/>
        </w:rPr>
        <w:t>1</w:t>
      </w:r>
    </w:p>
    <w:p>
      <w:pPr>
        <w:pStyle w:val="Heading9"/>
        <w:tabs>
          <w:tab w:pos="1108" w:val="left" w:leader="none"/>
          <w:tab w:pos="2407" w:val="left" w:leader="none"/>
        </w:tabs>
        <w:spacing w:before="8"/>
        <w:ind w:left="0" w:right="204"/>
        <w:jc w:val="right"/>
        <w:rPr>
          <w:b w:val="0"/>
        </w:rPr>
      </w:pPr>
      <w:r>
        <w:rPr>
          <w:w w:val="100"/>
          <w:u w:val="single"/>
        </w:rPr>
        <w:t> </w:t>
      </w:r>
      <w:r>
        <w:rPr>
          <w:u w:val="single"/>
        </w:rPr>
        <w:tab/>
        <w:t>1</w:t>
        <w:tab/>
      </w:r>
      <w:r>
        <w:rPr>
          <w:b w:val="0"/>
          <w:spacing w:val="-1"/>
          <w:u w:val="single"/>
        </w:rPr>
        <w:t>1</w:t>
      </w:r>
    </w:p>
    <w:p>
      <w:pPr>
        <w:spacing w:line="207" w:lineRule="exact" w:before="131"/>
        <w:ind w:left="504" w:right="125" w:firstLine="0"/>
        <w:jc w:val="left"/>
        <w:rPr>
          <w:b/>
          <w:sz w:val="18"/>
        </w:rPr>
      </w:pPr>
      <w:r>
        <w:rPr>
          <w:b/>
          <w:sz w:val="18"/>
        </w:rPr>
        <w:t>Financial Liabilities</w:t>
      </w:r>
    </w:p>
    <w:p>
      <w:pPr>
        <w:pStyle w:val="BodyText"/>
        <w:tabs>
          <w:tab w:pos="6926" w:val="left" w:leader="none"/>
          <w:tab w:pos="8074" w:val="left" w:leader="none"/>
          <w:tab w:pos="9373" w:val="left" w:leader="none"/>
        </w:tabs>
        <w:spacing w:line="207" w:lineRule="exact"/>
        <w:ind w:right="205"/>
        <w:jc w:val="right"/>
      </w:pPr>
      <w:r>
        <w:rPr/>
        <w:t>Trade and</w:t>
      </w:r>
      <w:r>
        <w:rPr>
          <w:spacing w:val="-1"/>
        </w:rPr>
        <w:t> </w:t>
      </w:r>
      <w:r>
        <w:rPr/>
        <w:t>other</w:t>
      </w:r>
      <w:r>
        <w:rPr>
          <w:spacing w:val="-1"/>
        </w:rPr>
        <w:t> </w:t>
      </w:r>
      <w:r>
        <w:rPr/>
        <w:t>payables</w:t>
        <w:tab/>
      </w:r>
      <w:r>
        <w:rPr>
          <w:b/>
          <w:u w:val="single"/>
        </w:rPr>
        <w:t> </w:t>
        <w:tab/>
        <w:t>-</w:t>
        <w:tab/>
      </w:r>
      <w:r>
        <w:rPr>
          <w:u w:val="single"/>
        </w:rPr>
        <w:t>-</w:t>
      </w:r>
    </w:p>
    <w:p>
      <w:pPr>
        <w:pStyle w:val="Heading9"/>
        <w:tabs>
          <w:tab w:pos="1148" w:val="left" w:leader="none"/>
          <w:tab w:pos="2446" w:val="left" w:leader="none"/>
        </w:tabs>
        <w:spacing w:before="9"/>
        <w:ind w:left="0" w:right="205"/>
        <w:jc w:val="right"/>
        <w:rPr>
          <w:b w:val="0"/>
        </w:rPr>
      </w:pPr>
      <w:r>
        <w:rPr>
          <w:w w:val="100"/>
          <w:u w:val="single"/>
        </w:rPr>
        <w:t> </w:t>
      </w:r>
      <w:r>
        <w:rPr>
          <w:u w:val="single"/>
        </w:rPr>
        <w:tab/>
        <w:t>-</w:t>
        <w:tab/>
      </w:r>
      <w:r>
        <w:rPr>
          <w:b w:val="0"/>
          <w:u w:val="single"/>
        </w:rPr>
        <w:t>-</w:t>
      </w:r>
    </w:p>
    <w:p>
      <w:pPr>
        <w:pStyle w:val="BodyText"/>
        <w:spacing w:before="4"/>
        <w:rPr>
          <w:sz w:val="14"/>
        </w:rPr>
      </w:pPr>
    </w:p>
    <w:p>
      <w:pPr>
        <w:pStyle w:val="ListParagraph"/>
        <w:numPr>
          <w:ilvl w:val="1"/>
          <w:numId w:val="130"/>
        </w:numPr>
        <w:tabs>
          <w:tab w:pos="1072" w:val="left" w:leader="none"/>
        </w:tabs>
        <w:spacing w:line="240" w:lineRule="auto" w:before="0" w:after="0"/>
        <w:ind w:left="1071" w:right="0" w:hanging="566"/>
        <w:jc w:val="left"/>
        <w:rPr>
          <w:b/>
          <w:sz w:val="18"/>
        </w:rPr>
      </w:pPr>
      <w:r>
        <w:rPr>
          <w:b/>
          <w:sz w:val="18"/>
        </w:rPr>
        <w:t>Credit</w:t>
      </w:r>
      <w:r>
        <w:rPr>
          <w:b/>
          <w:spacing w:val="-1"/>
          <w:sz w:val="18"/>
        </w:rPr>
        <w:t> </w:t>
      </w:r>
      <w:r>
        <w:rPr>
          <w:b/>
          <w:sz w:val="18"/>
        </w:rPr>
        <w:t>risk</w:t>
      </w:r>
    </w:p>
    <w:p>
      <w:pPr>
        <w:pStyle w:val="BodyText"/>
        <w:spacing w:before="146"/>
        <w:ind w:left="1072" w:right="125"/>
      </w:pPr>
      <w:r>
        <w:rPr/>
        <w:t>The credit risk on financial assets of the Company which have been recognised on the statement of financial position is generally the carrying amount, net of provision for loss. Credit risk arises when there is the possibility of the Company's debtors defaulting on their contractual obligations, resulting in financial loss to the Company . The Company does not have any significant exposure to any unrelated debtor.</w:t>
      </w:r>
    </w:p>
    <w:p>
      <w:pPr>
        <w:pStyle w:val="Heading9"/>
        <w:numPr>
          <w:ilvl w:val="1"/>
          <w:numId w:val="130"/>
        </w:numPr>
        <w:tabs>
          <w:tab w:pos="1072" w:val="left" w:leader="none"/>
        </w:tabs>
        <w:spacing w:line="240" w:lineRule="auto" w:before="145" w:after="0"/>
        <w:ind w:left="1071" w:right="0" w:hanging="566"/>
        <w:jc w:val="left"/>
      </w:pPr>
      <w:r>
        <w:rPr/>
        <w:t>Liquidity</w:t>
      </w:r>
      <w:r>
        <w:rPr>
          <w:spacing w:val="-1"/>
        </w:rPr>
        <w:t> </w:t>
      </w:r>
      <w:r>
        <w:rPr/>
        <w:t>risk</w:t>
      </w:r>
    </w:p>
    <w:p>
      <w:pPr>
        <w:pStyle w:val="BodyText"/>
        <w:spacing w:before="146"/>
        <w:ind w:left="1073" w:right="171" w:hanging="1"/>
      </w:pPr>
      <w:r>
        <w:rPr/>
        <w:t>Prudent liquidity risk management implies maintaining sufficient cash and the availability of funding through an adequate amount of committed credit facilities to meet obligations w hen due. At the end of t he reporting period the Company held deposits at call of $1 (2011: $1) that are expected to readily generate cash inflows for managing liquidity risk.</w:t>
      </w:r>
    </w:p>
    <w:p>
      <w:pPr>
        <w:pStyle w:val="BodyText"/>
        <w:spacing w:before="11"/>
        <w:rPr>
          <w:sz w:val="24"/>
        </w:rPr>
      </w:pPr>
    </w:p>
    <w:p>
      <w:pPr>
        <w:pStyle w:val="Heading9"/>
        <w:numPr>
          <w:ilvl w:val="1"/>
          <w:numId w:val="130"/>
        </w:numPr>
        <w:tabs>
          <w:tab w:pos="1072" w:val="left" w:leader="none"/>
        </w:tabs>
        <w:spacing w:line="240" w:lineRule="auto" w:before="0" w:after="0"/>
        <w:ind w:left="1071" w:right="0" w:hanging="566"/>
        <w:jc w:val="left"/>
      </w:pPr>
      <w:r>
        <w:rPr/>
        <w:t>Market</w:t>
      </w:r>
      <w:r>
        <w:rPr>
          <w:spacing w:val="-1"/>
        </w:rPr>
        <w:t> </w:t>
      </w:r>
      <w:r>
        <w:rPr/>
        <w:t>risk</w:t>
      </w:r>
    </w:p>
    <w:p>
      <w:pPr>
        <w:pStyle w:val="BodyText"/>
        <w:spacing w:before="146"/>
        <w:ind w:left="1072" w:right="125"/>
      </w:pPr>
      <w:r>
        <w:rPr/>
        <w:t>Market risk is the risk that the fair value or future cash flows of a financial instrument will fluctuate because of changes in market prices.</w:t>
      </w:r>
    </w:p>
    <w:p>
      <w:pPr>
        <w:pStyle w:val="ListParagraph"/>
        <w:numPr>
          <w:ilvl w:val="2"/>
          <w:numId w:val="130"/>
        </w:numPr>
        <w:tabs>
          <w:tab w:pos="1213" w:val="left" w:leader="none"/>
        </w:tabs>
        <w:spacing w:line="207" w:lineRule="exact" w:before="146" w:after="0"/>
        <w:ind w:left="1212" w:right="0" w:hanging="140"/>
        <w:jc w:val="left"/>
        <w:rPr>
          <w:i/>
          <w:sz w:val="18"/>
        </w:rPr>
      </w:pPr>
      <w:r>
        <w:rPr>
          <w:i/>
          <w:sz w:val="18"/>
        </w:rPr>
        <w:t>Cash flow and fair value interest</w:t>
      </w:r>
      <w:r>
        <w:rPr>
          <w:i/>
          <w:spacing w:val="-1"/>
          <w:sz w:val="18"/>
        </w:rPr>
        <w:t> </w:t>
      </w:r>
      <w:r>
        <w:rPr>
          <w:i/>
          <w:sz w:val="18"/>
        </w:rPr>
        <w:t>rate</w:t>
      </w:r>
    </w:p>
    <w:p>
      <w:pPr>
        <w:pStyle w:val="BodyText"/>
        <w:spacing w:line="207" w:lineRule="exact"/>
        <w:ind w:left="1072" w:right="125"/>
      </w:pPr>
      <w:r>
        <w:rPr/>
        <w:t>The Company's exposure to interest rate risk is minimal as it has no borrowings.</w:t>
      </w:r>
    </w:p>
    <w:p>
      <w:pPr>
        <w:spacing w:after="0" w:line="207" w:lineRule="exact"/>
        <w:sectPr>
          <w:type w:val="continuous"/>
          <w:pgSz w:w="11910" w:h="16840"/>
          <w:pgMar w:top="0" w:bottom="280" w:left="900" w:right="860"/>
        </w:sectPr>
      </w:pPr>
    </w:p>
    <w:p>
      <w:pPr>
        <w:pStyle w:val="BodyText"/>
        <w:spacing w:before="2"/>
        <w:rPr>
          <w:sz w:val="24"/>
        </w:rPr>
      </w:pPr>
    </w:p>
    <w:p>
      <w:pPr>
        <w:pStyle w:val="Heading3"/>
        <w:spacing w:before="64"/>
        <w:ind w:right="93"/>
      </w:pPr>
      <w:r>
        <w:rPr/>
        <w:t>Notes to the financial statements</w:t>
      </w:r>
    </w:p>
    <w:p>
      <w:pPr>
        <w:pStyle w:val="Heading6"/>
        <w:ind w:right="93"/>
      </w:pPr>
      <w:r>
        <w:rPr/>
        <w:t>For the Year Ended 31 December 2012</w:t>
      </w:r>
    </w:p>
    <w:p>
      <w:pPr>
        <w:pStyle w:val="BodyText"/>
        <w:rPr>
          <w:b/>
          <w:sz w:val="22"/>
        </w:rPr>
      </w:pPr>
    </w:p>
    <w:p>
      <w:pPr>
        <w:pStyle w:val="BodyText"/>
        <w:rPr>
          <w:b/>
          <w:sz w:val="22"/>
        </w:rPr>
      </w:pPr>
    </w:p>
    <w:p>
      <w:pPr>
        <w:pStyle w:val="Heading9"/>
        <w:tabs>
          <w:tab w:pos="1071" w:val="left" w:leader="none"/>
        </w:tabs>
        <w:spacing w:before="160"/>
        <w:ind w:left="504" w:right="93"/>
      </w:pPr>
      <w:r>
        <w:rPr/>
        <w:t>2</w:t>
        <w:tab/>
        <w:t>Financial Risk Management</w:t>
      </w:r>
      <w:r>
        <w:rPr>
          <w:spacing w:val="-2"/>
        </w:rPr>
        <w:t> </w:t>
      </w:r>
      <w:r>
        <w:rPr/>
        <w:t>(continued)</w:t>
      </w:r>
    </w:p>
    <w:p>
      <w:pPr>
        <w:pStyle w:val="BodyText"/>
        <w:spacing w:before="11"/>
        <w:rPr>
          <w:b/>
          <w:sz w:val="24"/>
        </w:rPr>
      </w:pPr>
    </w:p>
    <w:p>
      <w:pPr>
        <w:tabs>
          <w:tab w:pos="1637" w:val="left" w:leader="none"/>
        </w:tabs>
        <w:spacing w:before="0"/>
        <w:ind w:left="1071" w:right="93" w:firstLine="0"/>
        <w:jc w:val="left"/>
        <w:rPr>
          <w:b/>
          <w:sz w:val="18"/>
        </w:rPr>
      </w:pPr>
      <w:r>
        <w:rPr>
          <w:b/>
          <w:sz w:val="18"/>
        </w:rPr>
        <w:t>(c)</w:t>
        <w:tab/>
        <w:t>Market risk</w:t>
      </w:r>
      <w:r>
        <w:rPr>
          <w:b/>
          <w:spacing w:val="-2"/>
          <w:sz w:val="18"/>
        </w:rPr>
        <w:t> </w:t>
      </w:r>
      <w:r>
        <w:rPr>
          <w:b/>
          <w:sz w:val="18"/>
        </w:rPr>
        <w:t>(continued)</w:t>
      </w:r>
    </w:p>
    <w:p>
      <w:pPr>
        <w:pStyle w:val="BodyText"/>
        <w:spacing w:before="10"/>
        <w:rPr>
          <w:b/>
          <w:sz w:val="17"/>
        </w:rPr>
      </w:pPr>
    </w:p>
    <w:p>
      <w:pPr>
        <w:pStyle w:val="ListParagraph"/>
        <w:numPr>
          <w:ilvl w:val="2"/>
          <w:numId w:val="130"/>
        </w:numPr>
        <w:tabs>
          <w:tab w:pos="1252" w:val="left" w:leader="none"/>
        </w:tabs>
        <w:spacing w:line="207" w:lineRule="exact" w:before="0" w:after="0"/>
        <w:ind w:left="1251" w:right="0" w:hanging="180"/>
        <w:jc w:val="left"/>
        <w:rPr>
          <w:i/>
          <w:sz w:val="18"/>
        </w:rPr>
      </w:pPr>
      <w:r>
        <w:rPr>
          <w:i/>
          <w:sz w:val="18"/>
        </w:rPr>
        <w:t>Summarised sensitivity</w:t>
      </w:r>
      <w:r>
        <w:rPr>
          <w:i/>
          <w:spacing w:val="-1"/>
          <w:sz w:val="18"/>
        </w:rPr>
        <w:t> </w:t>
      </w:r>
      <w:r>
        <w:rPr>
          <w:i/>
          <w:sz w:val="18"/>
        </w:rPr>
        <w:t>analysis</w:t>
      </w:r>
    </w:p>
    <w:p>
      <w:pPr>
        <w:pStyle w:val="BodyText"/>
        <w:ind w:left="1071"/>
      </w:pPr>
      <w:r>
        <w:rPr/>
        <w:t>The following table summarises the sensitivity of the  Company's  financial assets and financial liabilities to interest rate risk. The Company's financial assets and fi nancial liabilities are not subject to foreign exchange risk and other price risk.</w:t>
      </w:r>
    </w:p>
    <w:p>
      <w:pPr>
        <w:tabs>
          <w:tab w:pos="8699" w:val="left" w:leader="none"/>
        </w:tabs>
        <w:spacing w:before="83"/>
        <w:ind w:left="6735" w:right="93" w:firstLine="0"/>
        <w:jc w:val="left"/>
        <w:rPr>
          <w:sz w:val="16"/>
        </w:rPr>
      </w:pPr>
      <w:r>
        <w:rPr>
          <w:sz w:val="16"/>
        </w:rPr>
        <w:t>-100bps</w:t>
        <w:tab/>
        <w:t>+100bps</w:t>
      </w:r>
    </w:p>
    <w:p>
      <w:pPr>
        <w:spacing w:after="0"/>
        <w:jc w:val="left"/>
        <w:rPr>
          <w:sz w:val="16"/>
        </w:rPr>
        <w:sectPr>
          <w:pgSz w:w="11910" w:h="16840"/>
          <w:pgMar w:header="1038" w:footer="571" w:top="1460" w:bottom="700" w:left="900" w:right="900"/>
        </w:sectPr>
      </w:pPr>
    </w:p>
    <w:p>
      <w:pPr>
        <w:tabs>
          <w:tab w:pos="4031" w:val="left" w:leader="none"/>
        </w:tabs>
        <w:spacing w:line="222" w:lineRule="exact" w:before="33"/>
        <w:ind w:left="0" w:right="0" w:firstLine="0"/>
        <w:jc w:val="right"/>
        <w:rPr>
          <w:sz w:val="16"/>
        </w:rPr>
      </w:pPr>
      <w:r>
        <w:rPr>
          <w:b/>
          <w:sz w:val="16"/>
        </w:rPr>
        <w:t>31</w:t>
      </w:r>
      <w:r>
        <w:rPr>
          <w:b/>
          <w:spacing w:val="-2"/>
          <w:sz w:val="16"/>
        </w:rPr>
        <w:t> </w:t>
      </w:r>
      <w:r>
        <w:rPr>
          <w:b/>
          <w:sz w:val="16"/>
        </w:rPr>
        <w:t>December</w:t>
      </w:r>
      <w:r>
        <w:rPr>
          <w:b/>
          <w:spacing w:val="-2"/>
          <w:sz w:val="16"/>
        </w:rPr>
        <w:t> </w:t>
      </w:r>
      <w:r>
        <w:rPr>
          <w:b/>
          <w:sz w:val="16"/>
        </w:rPr>
        <w:t>2012</w:t>
        <w:tab/>
      </w:r>
      <w:r>
        <w:rPr>
          <w:w w:val="95"/>
          <w:position w:val="8"/>
          <w:sz w:val="16"/>
        </w:rPr>
        <w:t>Carrying</w:t>
      </w:r>
    </w:p>
    <w:p>
      <w:pPr>
        <w:spacing w:line="142" w:lineRule="exact" w:before="0"/>
        <w:ind w:left="0" w:right="35" w:firstLine="0"/>
        <w:jc w:val="right"/>
        <w:rPr>
          <w:sz w:val="16"/>
        </w:rPr>
      </w:pPr>
      <w:r>
        <w:rPr>
          <w:w w:val="95"/>
          <w:sz w:val="16"/>
        </w:rPr>
        <w:t>amount</w:t>
      </w:r>
    </w:p>
    <w:p>
      <w:pPr>
        <w:spacing w:line="184" w:lineRule="exact" w:before="0"/>
        <w:ind w:left="0" w:right="256" w:firstLine="0"/>
        <w:jc w:val="right"/>
        <w:rPr>
          <w:sz w:val="16"/>
        </w:rPr>
      </w:pPr>
      <w:r>
        <w:rPr>
          <w:w w:val="99"/>
          <w:sz w:val="16"/>
        </w:rPr>
        <w:t>$</w:t>
      </w:r>
    </w:p>
    <w:p>
      <w:pPr>
        <w:spacing w:before="29"/>
        <w:ind w:left="435" w:right="0" w:firstLine="0"/>
        <w:jc w:val="center"/>
        <w:rPr>
          <w:sz w:val="16"/>
        </w:rPr>
      </w:pPr>
      <w:r>
        <w:rPr/>
        <w:br w:type="column"/>
      </w:r>
      <w:r>
        <w:rPr>
          <w:w w:val="95"/>
          <w:sz w:val="16"/>
        </w:rPr>
        <w:t>Surplus/ </w:t>
      </w:r>
      <w:r>
        <w:rPr>
          <w:sz w:val="16"/>
        </w:rPr>
        <w:t>(deficit)</w:t>
      </w:r>
    </w:p>
    <w:p>
      <w:pPr>
        <w:spacing w:line="184" w:lineRule="exact" w:before="0"/>
        <w:ind w:left="0" w:right="246" w:firstLine="0"/>
        <w:jc w:val="right"/>
        <w:rPr>
          <w:sz w:val="16"/>
        </w:rPr>
      </w:pPr>
      <w:r>
        <w:rPr>
          <w:w w:val="99"/>
          <w:sz w:val="16"/>
        </w:rPr>
        <w:t>$</w:t>
      </w:r>
    </w:p>
    <w:p>
      <w:pPr>
        <w:pStyle w:val="BodyText"/>
        <w:spacing w:before="6"/>
      </w:pPr>
      <w:r>
        <w:rPr/>
        <w:br w:type="column"/>
      </w:r>
      <w:r>
        <w:rPr/>
      </w:r>
    </w:p>
    <w:p>
      <w:pPr>
        <w:spacing w:line="184" w:lineRule="exact" w:before="0"/>
        <w:ind w:left="460" w:right="0" w:firstLine="0"/>
        <w:jc w:val="center"/>
        <w:rPr>
          <w:sz w:val="16"/>
        </w:rPr>
      </w:pPr>
      <w:r>
        <w:rPr>
          <w:w w:val="95"/>
          <w:sz w:val="16"/>
        </w:rPr>
        <w:t>Equity</w:t>
      </w:r>
    </w:p>
    <w:p>
      <w:pPr>
        <w:spacing w:line="184" w:lineRule="exact" w:before="0"/>
        <w:ind w:left="0" w:right="176" w:firstLine="0"/>
        <w:jc w:val="right"/>
        <w:rPr>
          <w:sz w:val="16"/>
        </w:rPr>
      </w:pPr>
      <w:r>
        <w:rPr>
          <w:w w:val="99"/>
          <w:sz w:val="16"/>
        </w:rPr>
        <w:t>$</w:t>
      </w:r>
    </w:p>
    <w:p>
      <w:pPr>
        <w:spacing w:before="29"/>
        <w:ind w:left="458" w:right="0" w:firstLine="0"/>
        <w:jc w:val="center"/>
        <w:rPr>
          <w:sz w:val="16"/>
        </w:rPr>
      </w:pPr>
      <w:r>
        <w:rPr/>
        <w:br w:type="column"/>
      </w:r>
      <w:r>
        <w:rPr>
          <w:w w:val="95"/>
          <w:sz w:val="16"/>
        </w:rPr>
        <w:t>Surplus/ </w:t>
      </w:r>
      <w:r>
        <w:rPr>
          <w:sz w:val="16"/>
        </w:rPr>
        <w:t>(deficit)</w:t>
      </w:r>
    </w:p>
    <w:p>
      <w:pPr>
        <w:spacing w:line="184" w:lineRule="exact" w:before="0"/>
        <w:ind w:left="0" w:right="246" w:firstLine="0"/>
        <w:jc w:val="right"/>
        <w:rPr>
          <w:sz w:val="16"/>
        </w:rPr>
      </w:pPr>
      <w:r>
        <w:rPr>
          <w:w w:val="99"/>
          <w:sz w:val="16"/>
        </w:rPr>
        <w:t>$</w:t>
      </w:r>
    </w:p>
    <w:p>
      <w:pPr>
        <w:pStyle w:val="BodyText"/>
        <w:spacing w:before="5"/>
      </w:pPr>
      <w:r>
        <w:rPr/>
        <w:br w:type="column"/>
      </w:r>
      <w:r>
        <w:rPr/>
      </w:r>
    </w:p>
    <w:p>
      <w:pPr>
        <w:spacing w:line="184" w:lineRule="exact" w:before="1"/>
        <w:ind w:left="441" w:right="346" w:firstLine="0"/>
        <w:jc w:val="center"/>
        <w:rPr>
          <w:sz w:val="16"/>
        </w:rPr>
      </w:pPr>
      <w:r>
        <w:rPr>
          <w:sz w:val="16"/>
        </w:rPr>
        <w:t>Equity</w:t>
      </w:r>
    </w:p>
    <w:p>
      <w:pPr>
        <w:spacing w:line="184" w:lineRule="exact" w:before="0"/>
        <w:ind w:left="93" w:right="0" w:firstLine="0"/>
        <w:jc w:val="center"/>
        <w:rPr>
          <w:sz w:val="16"/>
        </w:rPr>
      </w:pPr>
      <w:r>
        <w:rPr>
          <w:w w:val="99"/>
          <w:sz w:val="16"/>
        </w:rPr>
        <w:t>$</w:t>
      </w:r>
    </w:p>
    <w:p>
      <w:pPr>
        <w:spacing w:after="0" w:line="184" w:lineRule="exact"/>
        <w:jc w:val="center"/>
        <w:rPr>
          <w:sz w:val="16"/>
        </w:rPr>
        <w:sectPr>
          <w:type w:val="continuous"/>
          <w:pgSz w:w="11910" w:h="16840"/>
          <w:pgMar w:top="0" w:bottom="280" w:left="900" w:right="900"/>
          <w:cols w:num="5" w:equalWidth="0">
            <w:col w:w="5707" w:space="40"/>
            <w:col w:w="1022" w:space="40"/>
            <w:col w:w="905" w:space="40"/>
            <w:col w:w="1044" w:space="40"/>
            <w:col w:w="1272"/>
          </w:cols>
        </w:sectPr>
      </w:pPr>
    </w:p>
    <w:p>
      <w:pPr>
        <w:spacing w:line="184" w:lineRule="exact" w:before="29"/>
        <w:ind w:left="1071" w:right="93" w:firstLine="0"/>
        <w:jc w:val="left"/>
        <w:rPr>
          <w:b/>
          <w:sz w:val="16"/>
        </w:rPr>
      </w:pPr>
      <w:r>
        <w:rPr>
          <w:b/>
          <w:sz w:val="16"/>
        </w:rPr>
        <w:t>Financial assets</w:t>
      </w:r>
    </w:p>
    <w:p>
      <w:pPr>
        <w:tabs>
          <w:tab w:pos="4840" w:val="left" w:leader="none"/>
          <w:tab w:pos="5797" w:val="left" w:leader="none"/>
          <w:tab w:pos="5968" w:val="left" w:leader="none"/>
          <w:tab w:pos="6848" w:val="left" w:leader="none"/>
          <w:tab w:pos="7862" w:val="left" w:leader="none"/>
          <w:tab w:pos="8876" w:val="left" w:leader="none"/>
          <w:tab w:pos="9890" w:val="left" w:leader="none"/>
        </w:tabs>
        <w:spacing w:line="264" w:lineRule="auto" w:before="0"/>
        <w:ind w:left="1071" w:right="158" w:hanging="1"/>
        <w:jc w:val="left"/>
        <w:rPr>
          <w:sz w:val="16"/>
        </w:rPr>
      </w:pPr>
      <w:r>
        <w:rPr>
          <w:sz w:val="16"/>
        </w:rPr>
        <w:t>Cash and</w:t>
      </w:r>
      <w:r>
        <w:rPr>
          <w:spacing w:val="-4"/>
          <w:sz w:val="16"/>
        </w:rPr>
        <w:t> </w:t>
      </w:r>
      <w:r>
        <w:rPr>
          <w:sz w:val="16"/>
        </w:rPr>
        <w:t>cash</w:t>
      </w:r>
      <w:r>
        <w:rPr>
          <w:spacing w:val="-2"/>
          <w:sz w:val="16"/>
        </w:rPr>
        <w:t> </w:t>
      </w:r>
      <w:r>
        <w:rPr>
          <w:sz w:val="16"/>
        </w:rPr>
        <w:t>equivalents</w:t>
        <w:tab/>
      </w:r>
      <w:r>
        <w:rPr>
          <w:rFonts w:ascii="Times New Roman"/>
          <w:sz w:val="16"/>
          <w:u w:val="single"/>
        </w:rPr>
        <w:t> </w:t>
        <w:tab/>
      </w:r>
      <w:r>
        <w:rPr>
          <w:sz w:val="16"/>
          <w:u w:val="single"/>
        </w:rPr>
        <w:t>1</w:t>
        <w:tab/>
        <w:tab/>
        <w:t>-</w:t>
        <w:tab/>
        <w:t>-</w:t>
        <w:tab/>
        <w:t>-</w:t>
        <w:tab/>
        <w:t>- </w:t>
      </w:r>
      <w:r>
        <w:rPr>
          <w:sz w:val="16"/>
        </w:rPr>
        <w:t>Total increase/(decrease) in</w:t>
      </w:r>
      <w:r>
        <w:rPr>
          <w:spacing w:val="-7"/>
          <w:sz w:val="16"/>
        </w:rPr>
        <w:t> </w:t>
      </w:r>
      <w:r>
        <w:rPr>
          <w:sz w:val="16"/>
        </w:rPr>
        <w:t>financial</w:t>
      </w:r>
      <w:r>
        <w:rPr>
          <w:spacing w:val="-3"/>
          <w:sz w:val="16"/>
        </w:rPr>
        <w:t> </w:t>
      </w:r>
      <w:r>
        <w:rPr>
          <w:sz w:val="16"/>
        </w:rPr>
        <w:t>assets</w:t>
        <w:tab/>
        <w:tab/>
        <w:tab/>
      </w:r>
      <w:r>
        <w:rPr>
          <w:rFonts w:ascii="Times New Roman"/>
          <w:sz w:val="16"/>
          <w:u w:val="single"/>
        </w:rPr>
        <w:t> </w:t>
        <w:tab/>
      </w:r>
      <w:r>
        <w:rPr>
          <w:sz w:val="16"/>
          <w:u w:val="single"/>
        </w:rPr>
        <w:t>-</w:t>
        <w:tab/>
        <w:t>-</w:t>
        <w:tab/>
        <w:t>-</w:t>
        <w:tab/>
        <w:t>-</w:t>
      </w:r>
    </w:p>
    <w:p>
      <w:pPr>
        <w:spacing w:line="184" w:lineRule="exact" w:before="104"/>
        <w:ind w:left="1071" w:right="93" w:firstLine="0"/>
        <w:jc w:val="left"/>
        <w:rPr>
          <w:b/>
          <w:sz w:val="16"/>
        </w:rPr>
      </w:pPr>
      <w:r>
        <w:rPr>
          <w:b/>
          <w:sz w:val="16"/>
        </w:rPr>
        <w:t>Financial liabilities</w:t>
      </w:r>
    </w:p>
    <w:p>
      <w:pPr>
        <w:tabs>
          <w:tab w:pos="4840" w:val="left" w:leader="none"/>
          <w:tab w:pos="5834" w:val="left" w:leader="none"/>
          <w:tab w:pos="6848" w:val="left" w:leader="none"/>
          <w:tab w:pos="7862" w:val="left" w:leader="none"/>
          <w:tab w:pos="8876" w:val="left" w:leader="none"/>
          <w:tab w:pos="9890" w:val="left" w:leader="none"/>
        </w:tabs>
        <w:spacing w:line="252" w:lineRule="auto" w:before="0"/>
        <w:ind w:left="1071" w:right="158" w:firstLine="0"/>
        <w:jc w:val="left"/>
        <w:rPr>
          <w:sz w:val="16"/>
        </w:rPr>
      </w:pPr>
      <w:r>
        <w:rPr>
          <w:sz w:val="16"/>
        </w:rPr>
        <w:t>Trade</w:t>
      </w:r>
      <w:r>
        <w:rPr>
          <w:spacing w:val="-2"/>
          <w:sz w:val="16"/>
        </w:rPr>
        <w:t> </w:t>
      </w:r>
      <w:r>
        <w:rPr>
          <w:sz w:val="16"/>
        </w:rPr>
        <w:t>payables</w:t>
        <w:tab/>
      </w:r>
      <w:r>
        <w:rPr>
          <w:rFonts w:ascii="Times New Roman"/>
          <w:sz w:val="16"/>
          <w:u w:val="single"/>
        </w:rPr>
        <w:t> </w:t>
        <w:tab/>
      </w:r>
      <w:r>
        <w:rPr>
          <w:sz w:val="16"/>
          <w:u w:val="single"/>
        </w:rPr>
        <w:t>-</w:t>
        <w:tab/>
        <w:t>-</w:t>
        <w:tab/>
        <w:t>-</w:t>
        <w:tab/>
        <w:t>-</w:t>
        <w:tab/>
        <w:t>- </w:t>
      </w:r>
      <w:r>
        <w:rPr>
          <w:sz w:val="16"/>
        </w:rPr>
        <w:t>Total increase/(decrease) in</w:t>
      </w:r>
      <w:r>
        <w:rPr>
          <w:spacing w:val="-8"/>
          <w:sz w:val="16"/>
        </w:rPr>
        <w:t> </w:t>
      </w:r>
      <w:r>
        <w:rPr>
          <w:sz w:val="16"/>
        </w:rPr>
        <w:t>financial</w:t>
      </w:r>
      <w:r>
        <w:rPr>
          <w:spacing w:val="-3"/>
          <w:sz w:val="16"/>
        </w:rPr>
        <w:t> </w:t>
      </w:r>
      <w:r>
        <w:rPr>
          <w:sz w:val="16"/>
        </w:rPr>
        <w:t>liabilities</w:t>
        <w:tab/>
        <w:tab/>
        <w:t>-</w:t>
      </w:r>
      <w:r>
        <w:rPr>
          <w:rFonts w:ascii="Times New Roman"/>
          <w:sz w:val="16"/>
          <w:u w:val="single"/>
        </w:rPr>
        <w:t> </w:t>
        <w:tab/>
      </w:r>
      <w:r>
        <w:rPr>
          <w:sz w:val="16"/>
          <w:u w:val="single"/>
        </w:rPr>
        <w:t>-</w:t>
        <w:tab/>
        <w:t>-</w:t>
        <w:tab/>
        <w:t>-</w:t>
        <w:tab/>
        <w:t>-</w:t>
      </w:r>
    </w:p>
    <w:p>
      <w:pPr>
        <w:tabs>
          <w:tab w:pos="5968" w:val="left" w:leader="none"/>
          <w:tab w:pos="6848" w:val="left" w:leader="none"/>
          <w:tab w:pos="7862" w:val="left" w:leader="none"/>
          <w:tab w:pos="8876" w:val="left" w:leader="none"/>
          <w:tab w:pos="9890" w:val="left" w:leader="none"/>
        </w:tabs>
        <w:spacing w:before="140"/>
        <w:ind w:left="1071" w:right="93" w:firstLine="0"/>
        <w:jc w:val="left"/>
        <w:rPr>
          <w:sz w:val="16"/>
        </w:rPr>
      </w:pPr>
      <w:r>
        <w:rPr>
          <w:sz w:val="16"/>
        </w:rPr>
        <w:t>Total</w:t>
      </w:r>
      <w:r>
        <w:rPr>
          <w:spacing w:val="-3"/>
          <w:sz w:val="16"/>
        </w:rPr>
        <w:t> </w:t>
      </w:r>
      <w:r>
        <w:rPr>
          <w:sz w:val="16"/>
        </w:rPr>
        <w:t>increase/(decrease)</w:t>
        <w:tab/>
      </w:r>
      <w:r>
        <w:rPr>
          <w:rFonts w:ascii="Times New Roman"/>
          <w:sz w:val="16"/>
          <w:u w:val="single"/>
        </w:rPr>
        <w:t> </w:t>
        <w:tab/>
      </w:r>
      <w:r>
        <w:rPr>
          <w:sz w:val="16"/>
          <w:u w:val="single"/>
        </w:rPr>
        <w:t>-</w:t>
        <w:tab/>
        <w:t>-</w:t>
        <w:tab/>
        <w:t>-</w:t>
        <w:tab/>
        <w:t>-</w:t>
      </w:r>
    </w:p>
    <w:p>
      <w:pPr>
        <w:pStyle w:val="BodyText"/>
        <w:rPr>
          <w:sz w:val="19"/>
        </w:rPr>
      </w:pPr>
    </w:p>
    <w:p>
      <w:pPr>
        <w:tabs>
          <w:tab w:pos="8699" w:val="left" w:leader="none"/>
        </w:tabs>
        <w:spacing w:before="80"/>
        <w:ind w:left="6735" w:right="93" w:firstLine="0"/>
        <w:jc w:val="left"/>
        <w:rPr>
          <w:sz w:val="16"/>
        </w:rPr>
      </w:pPr>
      <w:r>
        <w:rPr>
          <w:sz w:val="16"/>
        </w:rPr>
        <w:t>-100bps</w:t>
        <w:tab/>
        <w:t>+100bps</w:t>
      </w:r>
    </w:p>
    <w:p>
      <w:pPr>
        <w:spacing w:after="0"/>
        <w:jc w:val="left"/>
        <w:rPr>
          <w:sz w:val="16"/>
        </w:rPr>
        <w:sectPr>
          <w:type w:val="continuous"/>
          <w:pgSz w:w="11910" w:h="16840"/>
          <w:pgMar w:top="0" w:bottom="280" w:left="900" w:right="900"/>
        </w:sectPr>
      </w:pPr>
    </w:p>
    <w:p>
      <w:pPr>
        <w:tabs>
          <w:tab w:pos="4031" w:val="left" w:leader="none"/>
        </w:tabs>
        <w:spacing w:line="222" w:lineRule="exact" w:before="33"/>
        <w:ind w:left="0" w:right="0" w:firstLine="0"/>
        <w:jc w:val="right"/>
        <w:rPr>
          <w:sz w:val="16"/>
        </w:rPr>
      </w:pPr>
      <w:r>
        <w:rPr>
          <w:b/>
          <w:sz w:val="16"/>
        </w:rPr>
        <w:t>31</w:t>
      </w:r>
      <w:r>
        <w:rPr>
          <w:b/>
          <w:spacing w:val="-2"/>
          <w:sz w:val="16"/>
        </w:rPr>
        <w:t> </w:t>
      </w:r>
      <w:r>
        <w:rPr>
          <w:b/>
          <w:sz w:val="16"/>
        </w:rPr>
        <w:t>December</w:t>
      </w:r>
      <w:r>
        <w:rPr>
          <w:b/>
          <w:spacing w:val="-2"/>
          <w:sz w:val="16"/>
        </w:rPr>
        <w:t> </w:t>
      </w:r>
      <w:r>
        <w:rPr>
          <w:b/>
          <w:sz w:val="16"/>
        </w:rPr>
        <w:t>2011</w:t>
        <w:tab/>
      </w:r>
      <w:r>
        <w:rPr>
          <w:w w:val="95"/>
          <w:position w:val="8"/>
          <w:sz w:val="16"/>
        </w:rPr>
        <w:t>Carrying</w:t>
      </w:r>
    </w:p>
    <w:p>
      <w:pPr>
        <w:spacing w:line="142" w:lineRule="exact" w:before="0"/>
        <w:ind w:left="0" w:right="35" w:firstLine="0"/>
        <w:jc w:val="right"/>
        <w:rPr>
          <w:sz w:val="16"/>
        </w:rPr>
      </w:pPr>
      <w:r>
        <w:rPr>
          <w:w w:val="95"/>
          <w:sz w:val="16"/>
        </w:rPr>
        <w:t>amount</w:t>
      </w:r>
    </w:p>
    <w:p>
      <w:pPr>
        <w:spacing w:line="184" w:lineRule="exact" w:before="0"/>
        <w:ind w:left="0" w:right="256" w:firstLine="0"/>
        <w:jc w:val="right"/>
        <w:rPr>
          <w:sz w:val="16"/>
        </w:rPr>
      </w:pPr>
      <w:r>
        <w:rPr>
          <w:w w:val="99"/>
          <w:sz w:val="16"/>
        </w:rPr>
        <w:t>$</w:t>
      </w:r>
    </w:p>
    <w:p>
      <w:pPr>
        <w:spacing w:before="29"/>
        <w:ind w:left="435" w:right="0" w:firstLine="0"/>
        <w:jc w:val="center"/>
        <w:rPr>
          <w:sz w:val="16"/>
        </w:rPr>
      </w:pPr>
      <w:r>
        <w:rPr/>
        <w:br w:type="column"/>
      </w:r>
      <w:r>
        <w:rPr>
          <w:w w:val="95"/>
          <w:sz w:val="16"/>
        </w:rPr>
        <w:t>Surplus/ </w:t>
      </w:r>
      <w:r>
        <w:rPr>
          <w:sz w:val="16"/>
        </w:rPr>
        <w:t>(deficit)</w:t>
      </w:r>
    </w:p>
    <w:p>
      <w:pPr>
        <w:spacing w:line="184" w:lineRule="exact" w:before="0"/>
        <w:ind w:left="0" w:right="246" w:firstLine="0"/>
        <w:jc w:val="right"/>
        <w:rPr>
          <w:sz w:val="16"/>
        </w:rPr>
      </w:pPr>
      <w:r>
        <w:rPr>
          <w:w w:val="99"/>
          <w:sz w:val="16"/>
        </w:rPr>
        <w:t>$</w:t>
      </w:r>
    </w:p>
    <w:p>
      <w:pPr>
        <w:pStyle w:val="BodyText"/>
        <w:spacing w:before="6"/>
      </w:pPr>
      <w:r>
        <w:rPr/>
        <w:br w:type="column"/>
      </w:r>
      <w:r>
        <w:rPr/>
      </w:r>
    </w:p>
    <w:p>
      <w:pPr>
        <w:spacing w:line="184" w:lineRule="exact" w:before="0"/>
        <w:ind w:left="460" w:right="0" w:firstLine="0"/>
        <w:jc w:val="center"/>
        <w:rPr>
          <w:sz w:val="16"/>
        </w:rPr>
      </w:pPr>
      <w:r>
        <w:rPr>
          <w:w w:val="95"/>
          <w:sz w:val="16"/>
        </w:rPr>
        <w:t>Equity</w:t>
      </w:r>
    </w:p>
    <w:p>
      <w:pPr>
        <w:spacing w:line="184" w:lineRule="exact" w:before="0"/>
        <w:ind w:left="0" w:right="176" w:firstLine="0"/>
        <w:jc w:val="right"/>
        <w:rPr>
          <w:sz w:val="16"/>
        </w:rPr>
      </w:pPr>
      <w:r>
        <w:rPr>
          <w:w w:val="99"/>
          <w:sz w:val="16"/>
        </w:rPr>
        <w:t>$</w:t>
      </w:r>
    </w:p>
    <w:p>
      <w:pPr>
        <w:spacing w:before="29"/>
        <w:ind w:left="458" w:right="0" w:firstLine="0"/>
        <w:jc w:val="center"/>
        <w:rPr>
          <w:sz w:val="16"/>
        </w:rPr>
      </w:pPr>
      <w:r>
        <w:rPr/>
        <w:br w:type="column"/>
      </w:r>
      <w:r>
        <w:rPr>
          <w:w w:val="95"/>
          <w:sz w:val="16"/>
        </w:rPr>
        <w:t>Surplus/ </w:t>
      </w:r>
      <w:r>
        <w:rPr>
          <w:sz w:val="16"/>
        </w:rPr>
        <w:t>(deficit)</w:t>
      </w:r>
    </w:p>
    <w:p>
      <w:pPr>
        <w:spacing w:line="184" w:lineRule="exact" w:before="0"/>
        <w:ind w:left="0" w:right="246" w:firstLine="0"/>
        <w:jc w:val="right"/>
        <w:rPr>
          <w:sz w:val="16"/>
        </w:rPr>
      </w:pPr>
      <w:r>
        <w:rPr>
          <w:w w:val="99"/>
          <w:sz w:val="16"/>
        </w:rPr>
        <w:t>$</w:t>
      </w:r>
    </w:p>
    <w:p>
      <w:pPr>
        <w:pStyle w:val="BodyText"/>
        <w:spacing w:before="5"/>
      </w:pPr>
      <w:r>
        <w:rPr/>
        <w:br w:type="column"/>
      </w:r>
      <w:r>
        <w:rPr/>
      </w:r>
    </w:p>
    <w:p>
      <w:pPr>
        <w:spacing w:line="184" w:lineRule="exact" w:before="1"/>
        <w:ind w:left="441" w:right="346" w:firstLine="0"/>
        <w:jc w:val="center"/>
        <w:rPr>
          <w:sz w:val="16"/>
        </w:rPr>
      </w:pPr>
      <w:r>
        <w:rPr>
          <w:sz w:val="16"/>
        </w:rPr>
        <w:t>Equity</w:t>
      </w:r>
    </w:p>
    <w:p>
      <w:pPr>
        <w:spacing w:line="184" w:lineRule="exact" w:before="0"/>
        <w:ind w:left="93" w:right="0" w:firstLine="0"/>
        <w:jc w:val="center"/>
        <w:rPr>
          <w:sz w:val="16"/>
        </w:rPr>
      </w:pPr>
      <w:r>
        <w:rPr>
          <w:w w:val="99"/>
          <w:sz w:val="16"/>
        </w:rPr>
        <w:t>$</w:t>
      </w:r>
    </w:p>
    <w:p>
      <w:pPr>
        <w:spacing w:after="0" w:line="184" w:lineRule="exact"/>
        <w:jc w:val="center"/>
        <w:rPr>
          <w:sz w:val="16"/>
        </w:rPr>
        <w:sectPr>
          <w:type w:val="continuous"/>
          <w:pgSz w:w="11910" w:h="16840"/>
          <w:pgMar w:top="0" w:bottom="280" w:left="900" w:right="900"/>
          <w:cols w:num="5" w:equalWidth="0">
            <w:col w:w="5707" w:space="40"/>
            <w:col w:w="1022" w:space="40"/>
            <w:col w:w="905" w:space="40"/>
            <w:col w:w="1044" w:space="40"/>
            <w:col w:w="1272"/>
          </w:cols>
        </w:sectPr>
      </w:pPr>
    </w:p>
    <w:p>
      <w:pPr>
        <w:spacing w:line="184" w:lineRule="exact" w:before="29"/>
        <w:ind w:left="1071" w:right="93" w:firstLine="0"/>
        <w:jc w:val="left"/>
        <w:rPr>
          <w:b/>
          <w:sz w:val="16"/>
        </w:rPr>
      </w:pPr>
      <w:r>
        <w:rPr>
          <w:b/>
          <w:sz w:val="16"/>
        </w:rPr>
        <w:t>Financial assets</w:t>
      </w:r>
    </w:p>
    <w:p>
      <w:pPr>
        <w:tabs>
          <w:tab w:pos="4840" w:val="left" w:leader="none"/>
          <w:tab w:pos="5797" w:val="left" w:leader="none"/>
          <w:tab w:pos="5968" w:val="left" w:leader="none"/>
          <w:tab w:pos="6848" w:val="left" w:leader="none"/>
          <w:tab w:pos="7862" w:val="left" w:leader="none"/>
          <w:tab w:pos="8876" w:val="left" w:leader="none"/>
          <w:tab w:pos="9890" w:val="left" w:leader="none"/>
        </w:tabs>
        <w:spacing w:line="252" w:lineRule="auto" w:before="0"/>
        <w:ind w:left="1071" w:right="158" w:hanging="1"/>
        <w:jc w:val="left"/>
        <w:rPr>
          <w:sz w:val="16"/>
        </w:rPr>
      </w:pPr>
      <w:r>
        <w:rPr>
          <w:sz w:val="16"/>
        </w:rPr>
        <w:t>Cash and</w:t>
      </w:r>
      <w:r>
        <w:rPr>
          <w:spacing w:val="-4"/>
          <w:sz w:val="16"/>
        </w:rPr>
        <w:t> </w:t>
      </w:r>
      <w:r>
        <w:rPr>
          <w:sz w:val="16"/>
        </w:rPr>
        <w:t>cash</w:t>
      </w:r>
      <w:r>
        <w:rPr>
          <w:spacing w:val="-2"/>
          <w:sz w:val="16"/>
        </w:rPr>
        <w:t> </w:t>
      </w:r>
      <w:r>
        <w:rPr>
          <w:sz w:val="16"/>
        </w:rPr>
        <w:t>equivalents</w:t>
        <w:tab/>
      </w:r>
      <w:r>
        <w:rPr>
          <w:rFonts w:ascii="Times New Roman"/>
          <w:sz w:val="16"/>
          <w:u w:val="single"/>
        </w:rPr>
        <w:t> </w:t>
        <w:tab/>
      </w:r>
      <w:r>
        <w:rPr>
          <w:sz w:val="16"/>
          <w:u w:val="single"/>
        </w:rPr>
        <w:t>1</w:t>
        <w:tab/>
        <w:tab/>
        <w:t>-</w:t>
        <w:tab/>
        <w:t>-</w:t>
        <w:tab/>
        <w:t>-</w:t>
        <w:tab/>
        <w:t>- </w:t>
      </w:r>
      <w:r>
        <w:rPr>
          <w:sz w:val="16"/>
        </w:rPr>
        <w:t>Total increase/(decrease) in</w:t>
      </w:r>
      <w:r>
        <w:rPr>
          <w:spacing w:val="-7"/>
          <w:sz w:val="16"/>
        </w:rPr>
        <w:t> </w:t>
      </w:r>
      <w:r>
        <w:rPr>
          <w:sz w:val="16"/>
        </w:rPr>
        <w:t>financial</w:t>
      </w:r>
      <w:r>
        <w:rPr>
          <w:spacing w:val="-3"/>
          <w:sz w:val="16"/>
        </w:rPr>
        <w:t> </w:t>
      </w:r>
      <w:r>
        <w:rPr>
          <w:sz w:val="16"/>
        </w:rPr>
        <w:t>assets</w:t>
        <w:tab/>
        <w:tab/>
        <w:tab/>
      </w:r>
      <w:r>
        <w:rPr>
          <w:rFonts w:ascii="Times New Roman"/>
          <w:sz w:val="16"/>
          <w:u w:val="single"/>
        </w:rPr>
        <w:t> </w:t>
        <w:tab/>
      </w:r>
      <w:r>
        <w:rPr>
          <w:sz w:val="16"/>
          <w:u w:val="single"/>
        </w:rPr>
        <w:t>-</w:t>
        <w:tab/>
        <w:t>-</w:t>
        <w:tab/>
        <w:t>-</w:t>
        <w:tab/>
        <w:t>-</w:t>
      </w:r>
    </w:p>
    <w:p>
      <w:pPr>
        <w:spacing w:line="184" w:lineRule="exact" w:before="113"/>
        <w:ind w:left="1071" w:right="93" w:firstLine="0"/>
        <w:jc w:val="left"/>
        <w:rPr>
          <w:b/>
          <w:sz w:val="16"/>
        </w:rPr>
      </w:pPr>
      <w:r>
        <w:rPr>
          <w:b/>
          <w:sz w:val="16"/>
        </w:rPr>
        <w:t>Financial liabilities</w:t>
      </w:r>
    </w:p>
    <w:p>
      <w:pPr>
        <w:tabs>
          <w:tab w:pos="4840" w:val="left" w:leader="none"/>
          <w:tab w:pos="5834" w:val="left" w:leader="none"/>
          <w:tab w:pos="6848" w:val="left" w:leader="none"/>
          <w:tab w:pos="7862" w:val="left" w:leader="none"/>
          <w:tab w:pos="8876" w:val="left" w:leader="none"/>
          <w:tab w:pos="9890" w:val="left" w:leader="none"/>
        </w:tabs>
        <w:spacing w:line="252" w:lineRule="auto" w:before="0"/>
        <w:ind w:left="1071" w:right="158" w:firstLine="0"/>
        <w:jc w:val="left"/>
        <w:rPr>
          <w:sz w:val="16"/>
        </w:rPr>
      </w:pPr>
      <w:r>
        <w:rPr>
          <w:sz w:val="16"/>
        </w:rPr>
        <w:t>Trade</w:t>
      </w:r>
      <w:r>
        <w:rPr>
          <w:spacing w:val="-2"/>
          <w:sz w:val="16"/>
        </w:rPr>
        <w:t> </w:t>
      </w:r>
      <w:r>
        <w:rPr>
          <w:sz w:val="16"/>
        </w:rPr>
        <w:t>payables</w:t>
        <w:tab/>
      </w:r>
      <w:r>
        <w:rPr>
          <w:rFonts w:ascii="Times New Roman"/>
          <w:sz w:val="16"/>
          <w:u w:val="single"/>
        </w:rPr>
        <w:t> </w:t>
        <w:tab/>
      </w:r>
      <w:r>
        <w:rPr>
          <w:sz w:val="16"/>
          <w:u w:val="single"/>
        </w:rPr>
        <w:t>-</w:t>
        <w:tab/>
        <w:t>-</w:t>
        <w:tab/>
        <w:t>-</w:t>
        <w:tab/>
        <w:t>-</w:t>
        <w:tab/>
        <w:t>- </w:t>
      </w:r>
      <w:r>
        <w:rPr>
          <w:sz w:val="16"/>
        </w:rPr>
        <w:t>Total increase/(decrease) in</w:t>
      </w:r>
      <w:r>
        <w:rPr>
          <w:spacing w:val="-8"/>
          <w:sz w:val="16"/>
        </w:rPr>
        <w:t> </w:t>
      </w:r>
      <w:r>
        <w:rPr>
          <w:sz w:val="16"/>
        </w:rPr>
        <w:t>financial</w:t>
      </w:r>
      <w:r>
        <w:rPr>
          <w:spacing w:val="-3"/>
          <w:sz w:val="16"/>
        </w:rPr>
        <w:t> </w:t>
      </w:r>
      <w:r>
        <w:rPr>
          <w:sz w:val="16"/>
        </w:rPr>
        <w:t>liabilities</w:t>
        <w:tab/>
        <w:tab/>
        <w:t>-</w:t>
      </w:r>
      <w:r>
        <w:rPr>
          <w:rFonts w:ascii="Times New Roman"/>
          <w:sz w:val="16"/>
          <w:u w:val="single"/>
        </w:rPr>
        <w:t> </w:t>
        <w:tab/>
      </w:r>
      <w:r>
        <w:rPr>
          <w:sz w:val="16"/>
          <w:u w:val="single"/>
        </w:rPr>
        <w:t>-</w:t>
        <w:tab/>
        <w:t>-</w:t>
        <w:tab/>
        <w:t>-</w:t>
        <w:tab/>
        <w:t>-</w:t>
      </w:r>
    </w:p>
    <w:p>
      <w:pPr>
        <w:tabs>
          <w:tab w:pos="5968" w:val="left" w:leader="none"/>
          <w:tab w:pos="6848" w:val="left" w:leader="none"/>
          <w:tab w:pos="7862" w:val="left" w:leader="none"/>
          <w:tab w:pos="8876" w:val="left" w:leader="none"/>
          <w:tab w:pos="9890" w:val="left" w:leader="none"/>
        </w:tabs>
        <w:spacing w:before="140"/>
        <w:ind w:left="1071" w:right="93" w:firstLine="0"/>
        <w:jc w:val="left"/>
        <w:rPr>
          <w:sz w:val="16"/>
        </w:rPr>
      </w:pPr>
      <w:r>
        <w:rPr>
          <w:sz w:val="16"/>
        </w:rPr>
        <w:t>Total</w:t>
      </w:r>
      <w:r>
        <w:rPr>
          <w:spacing w:val="-3"/>
          <w:sz w:val="16"/>
        </w:rPr>
        <w:t> </w:t>
      </w:r>
      <w:r>
        <w:rPr>
          <w:sz w:val="16"/>
        </w:rPr>
        <w:t>increase/(decrease)</w:t>
        <w:tab/>
      </w:r>
      <w:r>
        <w:rPr>
          <w:rFonts w:ascii="Times New Roman"/>
          <w:sz w:val="16"/>
          <w:u w:val="single"/>
        </w:rPr>
        <w:t> </w:t>
        <w:tab/>
      </w:r>
      <w:r>
        <w:rPr>
          <w:sz w:val="16"/>
          <w:u w:val="single"/>
        </w:rPr>
        <w:t>-</w:t>
        <w:tab/>
        <w:t>-</w:t>
        <w:tab/>
        <w:t>-</w:t>
        <w:tab/>
        <w:t>-</w:t>
      </w:r>
    </w:p>
    <w:p>
      <w:pPr>
        <w:pStyle w:val="BodyText"/>
        <w:spacing w:before="2"/>
        <w:rPr>
          <w:sz w:val="19"/>
        </w:rPr>
      </w:pPr>
    </w:p>
    <w:p>
      <w:pPr>
        <w:pStyle w:val="Heading9"/>
        <w:numPr>
          <w:ilvl w:val="0"/>
          <w:numId w:val="130"/>
        </w:numPr>
        <w:tabs>
          <w:tab w:pos="504" w:val="left" w:leader="none"/>
        </w:tabs>
        <w:spacing w:line="240" w:lineRule="auto" w:before="77" w:after="0"/>
        <w:ind w:left="503" w:right="0" w:hanging="394"/>
        <w:jc w:val="left"/>
      </w:pPr>
      <w:r>
        <w:rPr/>
        <w:t>Expenses</w:t>
      </w:r>
    </w:p>
    <w:p>
      <w:pPr>
        <w:pStyle w:val="BodyText"/>
        <w:spacing w:before="146"/>
        <w:ind w:left="505" w:right="93"/>
      </w:pPr>
      <w:r>
        <w:rPr/>
        <w:t>Administration expenses for 2012 totalling $1,830 (2011: $4,336) was paid by the ultimate parent entity.</w:t>
      </w:r>
    </w:p>
    <w:p>
      <w:pPr>
        <w:pStyle w:val="BodyText"/>
        <w:rPr>
          <w:sz w:val="25"/>
        </w:rPr>
      </w:pPr>
    </w:p>
    <w:p>
      <w:pPr>
        <w:pStyle w:val="Heading9"/>
        <w:numPr>
          <w:ilvl w:val="0"/>
          <w:numId w:val="130"/>
        </w:numPr>
        <w:tabs>
          <w:tab w:pos="506" w:val="left" w:leader="none"/>
        </w:tabs>
        <w:spacing w:line="240" w:lineRule="auto" w:before="0" w:after="0"/>
        <w:ind w:left="505" w:right="0" w:hanging="396"/>
        <w:jc w:val="left"/>
      </w:pPr>
      <w:r>
        <w:rPr/>
        <w:t>Remuneration of Auditors</w:t>
      </w:r>
    </w:p>
    <w:p>
      <w:pPr>
        <w:pStyle w:val="BodyText"/>
        <w:spacing w:before="146"/>
        <w:ind w:left="505" w:right="93"/>
      </w:pPr>
      <w:r>
        <w:rPr/>
        <w:t>Audit fees of $1,350 for 2012 (2011: $1,211) will be paid by the ultimate parent entity.</w:t>
      </w:r>
    </w:p>
    <w:p>
      <w:pPr>
        <w:pStyle w:val="BodyText"/>
        <w:spacing w:before="3"/>
      </w:pPr>
    </w:p>
    <w:p>
      <w:pPr>
        <w:spacing w:after="0"/>
        <w:sectPr>
          <w:type w:val="continuous"/>
          <w:pgSz w:w="11910" w:h="16840"/>
          <w:pgMar w:top="0" w:bottom="280" w:left="900" w:right="900"/>
        </w:sectPr>
      </w:pPr>
    </w:p>
    <w:p>
      <w:pPr>
        <w:pStyle w:val="Heading9"/>
        <w:numPr>
          <w:ilvl w:val="0"/>
          <w:numId w:val="130"/>
        </w:numPr>
        <w:tabs>
          <w:tab w:pos="506" w:val="left" w:leader="none"/>
        </w:tabs>
        <w:spacing w:line="240" w:lineRule="auto" w:before="77" w:after="0"/>
        <w:ind w:left="505" w:right="0" w:hanging="396"/>
        <w:jc w:val="left"/>
      </w:pPr>
      <w:r>
        <w:rPr/>
        <w:t>Cash and cash</w:t>
      </w:r>
      <w:r>
        <w:rPr>
          <w:spacing w:val="-1"/>
        </w:rPr>
        <w:t> </w:t>
      </w:r>
      <w:r>
        <w:rPr/>
        <w:t>equivalents</w:t>
      </w:r>
    </w:p>
    <w:p>
      <w:pPr>
        <w:pStyle w:val="BodyText"/>
        <w:spacing w:before="7"/>
        <w:rPr>
          <w:b/>
          <w:sz w:val="24"/>
        </w:rPr>
      </w:pPr>
      <w:r>
        <w:rPr/>
        <w:br w:type="column"/>
      </w:r>
      <w:r>
        <w:rPr>
          <w:b/>
          <w:sz w:val="24"/>
        </w:rPr>
      </w:r>
    </w:p>
    <w:p>
      <w:pPr>
        <w:spacing w:line="207" w:lineRule="exact" w:before="1"/>
        <w:ind w:left="109" w:right="0" w:firstLine="0"/>
        <w:jc w:val="center"/>
        <w:rPr>
          <w:b/>
          <w:sz w:val="18"/>
        </w:rPr>
      </w:pPr>
      <w:r>
        <w:rPr>
          <w:b/>
          <w:sz w:val="18"/>
        </w:rPr>
        <w:t>2012</w:t>
      </w:r>
    </w:p>
    <w:p>
      <w:pPr>
        <w:spacing w:line="207" w:lineRule="exact" w:before="0"/>
        <w:ind w:left="108" w:right="0" w:firstLine="0"/>
        <w:jc w:val="center"/>
        <w:rPr>
          <w:b/>
          <w:sz w:val="18"/>
        </w:rPr>
      </w:pPr>
      <w:r>
        <w:rPr>
          <w:b/>
          <w:w w:val="99"/>
          <w:sz w:val="18"/>
        </w:rPr>
        <w:t>$</w:t>
      </w:r>
    </w:p>
    <w:p>
      <w:pPr>
        <w:pStyle w:val="BodyText"/>
        <w:spacing w:before="7"/>
        <w:rPr>
          <w:b/>
          <w:sz w:val="24"/>
        </w:rPr>
      </w:pPr>
      <w:r>
        <w:rPr/>
        <w:br w:type="column"/>
      </w:r>
      <w:r>
        <w:rPr>
          <w:b/>
          <w:sz w:val="24"/>
        </w:rPr>
      </w:r>
    </w:p>
    <w:p>
      <w:pPr>
        <w:spacing w:line="207" w:lineRule="exact" w:before="1"/>
        <w:ind w:left="92" w:right="521" w:firstLine="0"/>
        <w:jc w:val="center"/>
        <w:rPr>
          <w:b/>
          <w:sz w:val="18"/>
        </w:rPr>
      </w:pPr>
      <w:r>
        <w:rPr>
          <w:b/>
          <w:sz w:val="18"/>
        </w:rPr>
        <w:t>2011</w:t>
      </w:r>
    </w:p>
    <w:p>
      <w:pPr>
        <w:spacing w:line="207" w:lineRule="exact" w:before="0"/>
        <w:ind w:left="0" w:right="430"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900"/>
          <w:cols w:num="3" w:equalWidth="0">
            <w:col w:w="2817" w:space="4954"/>
            <w:col w:w="510" w:space="774"/>
            <w:col w:w="1055"/>
          </w:cols>
        </w:sectPr>
      </w:pPr>
    </w:p>
    <w:p>
      <w:pPr>
        <w:pStyle w:val="BodyText"/>
        <w:tabs>
          <w:tab w:pos="6925" w:val="left" w:leader="none"/>
          <w:tab w:pos="8033" w:val="left" w:leader="none"/>
          <w:tab w:pos="9332" w:val="left" w:leader="none"/>
        </w:tabs>
        <w:spacing w:before="84"/>
        <w:ind w:right="164"/>
        <w:jc w:val="right"/>
      </w:pPr>
      <w:r>
        <w:rPr/>
        <w:t>Cash at bank and</w:t>
      </w:r>
      <w:r>
        <w:rPr>
          <w:spacing w:val="-1"/>
        </w:rPr>
        <w:t> </w:t>
      </w:r>
      <w:r>
        <w:rPr/>
        <w:t>in</w:t>
      </w:r>
      <w:r>
        <w:rPr>
          <w:spacing w:val="-1"/>
        </w:rPr>
        <w:t> </w:t>
      </w:r>
      <w:r>
        <w:rPr/>
        <w:t>hand</w:t>
        <w:tab/>
      </w:r>
      <w:r>
        <w:rPr>
          <w:b/>
          <w:position w:val="-2"/>
          <w:u w:val="single"/>
        </w:rPr>
        <w:t> </w:t>
        <w:tab/>
        <w:t>1</w:t>
        <w:tab/>
      </w:r>
      <w:r>
        <w:rPr>
          <w:spacing w:val="-1"/>
          <w:position w:val="-2"/>
          <w:u w:val="single"/>
        </w:rPr>
        <w:t>1</w:t>
      </w:r>
    </w:p>
    <w:p>
      <w:pPr>
        <w:pStyle w:val="Heading9"/>
        <w:tabs>
          <w:tab w:pos="1108" w:val="left" w:leader="none"/>
          <w:tab w:pos="2407" w:val="left" w:leader="none"/>
        </w:tabs>
        <w:spacing w:before="6"/>
        <w:ind w:left="0" w:right="164"/>
        <w:jc w:val="right"/>
        <w:rPr>
          <w:b w:val="0"/>
        </w:rPr>
      </w:pPr>
      <w:r>
        <w:rPr>
          <w:w w:val="100"/>
          <w:u w:val="single"/>
        </w:rPr>
        <w:t> </w:t>
      </w:r>
      <w:r>
        <w:rPr>
          <w:u w:val="single"/>
        </w:rPr>
        <w:tab/>
        <w:t>1</w:t>
        <w:tab/>
      </w:r>
      <w:r>
        <w:rPr>
          <w:b w:val="0"/>
          <w:spacing w:val="-1"/>
          <w:u w:val="single"/>
        </w:rPr>
        <w:t>1</w:t>
      </w:r>
    </w:p>
    <w:p>
      <w:pPr>
        <w:pStyle w:val="BodyText"/>
        <w:spacing w:before="4"/>
        <w:rPr>
          <w:sz w:val="14"/>
        </w:rPr>
      </w:pPr>
    </w:p>
    <w:p>
      <w:pPr>
        <w:pStyle w:val="ListParagraph"/>
        <w:numPr>
          <w:ilvl w:val="1"/>
          <w:numId w:val="130"/>
        </w:numPr>
        <w:tabs>
          <w:tab w:pos="1072" w:val="left" w:leader="none"/>
        </w:tabs>
        <w:spacing w:line="207" w:lineRule="exact" w:before="0" w:after="0"/>
        <w:ind w:left="1071" w:right="0" w:hanging="566"/>
        <w:jc w:val="left"/>
        <w:rPr>
          <w:b/>
          <w:sz w:val="18"/>
        </w:rPr>
      </w:pPr>
      <w:r>
        <w:rPr>
          <w:b/>
          <w:sz w:val="18"/>
        </w:rPr>
        <w:t>Risk</w:t>
      </w:r>
      <w:r>
        <w:rPr>
          <w:b/>
          <w:spacing w:val="-1"/>
          <w:sz w:val="18"/>
        </w:rPr>
        <w:t> </w:t>
      </w:r>
      <w:r>
        <w:rPr>
          <w:b/>
          <w:sz w:val="18"/>
        </w:rPr>
        <w:t>exposure</w:t>
      </w:r>
    </w:p>
    <w:p>
      <w:pPr>
        <w:pStyle w:val="BodyText"/>
        <w:ind w:left="1072"/>
      </w:pPr>
      <w:r>
        <w:rPr/>
        <w:t>The Company's exposure to interest rate risk is discuss ed in note 2. The maximum exposure to credit risk at the end of each reporting period is the carrying amount of  each class of  cash  and cash equivalents mentioned above.</w:t>
      </w:r>
    </w:p>
    <w:p>
      <w:pPr>
        <w:pStyle w:val="Heading9"/>
        <w:numPr>
          <w:ilvl w:val="1"/>
          <w:numId w:val="130"/>
        </w:numPr>
        <w:tabs>
          <w:tab w:pos="1072" w:val="left" w:leader="none"/>
        </w:tabs>
        <w:spacing w:line="207" w:lineRule="exact" w:before="112" w:after="0"/>
        <w:ind w:left="1071" w:right="0" w:hanging="566"/>
        <w:jc w:val="left"/>
      </w:pPr>
      <w:r>
        <w:rPr/>
        <w:t>Cash at bank and on hand</w:t>
      </w:r>
    </w:p>
    <w:p>
      <w:pPr>
        <w:pStyle w:val="BodyText"/>
        <w:spacing w:line="207" w:lineRule="exact"/>
        <w:ind w:left="1072" w:right="93"/>
      </w:pPr>
      <w:r>
        <w:rPr/>
        <w:t>These are non-interest bearing.</w:t>
      </w:r>
    </w:p>
    <w:p>
      <w:pPr>
        <w:pStyle w:val="Heading9"/>
        <w:numPr>
          <w:ilvl w:val="1"/>
          <w:numId w:val="130"/>
        </w:numPr>
        <w:tabs>
          <w:tab w:pos="1072" w:val="left" w:leader="none"/>
        </w:tabs>
        <w:spacing w:line="207" w:lineRule="exact" w:before="112" w:after="0"/>
        <w:ind w:left="1071" w:right="0" w:hanging="566"/>
        <w:jc w:val="left"/>
      </w:pPr>
      <w:r>
        <w:rPr/>
        <w:t>Fair value</w:t>
      </w:r>
    </w:p>
    <w:p>
      <w:pPr>
        <w:pStyle w:val="BodyText"/>
        <w:spacing w:line="207" w:lineRule="exact"/>
        <w:ind w:left="1073" w:right="93"/>
      </w:pPr>
      <w:r>
        <w:rPr/>
        <w:t>The carrying amount for cash and cash equivalents equals the fair value.</w:t>
      </w:r>
    </w:p>
    <w:p>
      <w:pPr>
        <w:spacing w:after="0" w:line="207" w:lineRule="exact"/>
        <w:sectPr>
          <w:type w:val="continuous"/>
          <w:pgSz w:w="11910" w:h="16840"/>
          <w:pgMar w:top="0" w:bottom="280" w:left="900" w:right="900"/>
        </w:sectPr>
      </w:pPr>
    </w:p>
    <w:p>
      <w:pPr>
        <w:pStyle w:val="BodyText"/>
        <w:spacing w:before="2"/>
        <w:rPr>
          <w:sz w:val="24"/>
        </w:rPr>
      </w:pPr>
    </w:p>
    <w:p>
      <w:pPr>
        <w:pStyle w:val="Heading3"/>
        <w:spacing w:before="64"/>
      </w:pPr>
      <w:r>
        <w:rPr/>
        <w:t>Notes to the financial statements</w:t>
      </w:r>
    </w:p>
    <w:p>
      <w:pPr>
        <w:pStyle w:val="Heading6"/>
      </w:pPr>
      <w:r>
        <w:rPr/>
        <w:t>For the Year Ended 31 December 2012</w:t>
      </w:r>
    </w:p>
    <w:p>
      <w:pPr>
        <w:pStyle w:val="BodyText"/>
        <w:rPr>
          <w:b/>
          <w:sz w:val="22"/>
        </w:rPr>
      </w:pPr>
    </w:p>
    <w:p>
      <w:pPr>
        <w:pStyle w:val="BodyText"/>
        <w:spacing w:before="6"/>
        <w:rPr>
          <w:b/>
          <w:sz w:val="30"/>
        </w:rPr>
      </w:pPr>
    </w:p>
    <w:p>
      <w:pPr>
        <w:pStyle w:val="Heading9"/>
        <w:numPr>
          <w:ilvl w:val="0"/>
          <w:numId w:val="130"/>
        </w:numPr>
        <w:tabs>
          <w:tab w:pos="504" w:val="left" w:leader="none"/>
        </w:tabs>
        <w:spacing w:line="240" w:lineRule="auto" w:before="0" w:after="0"/>
        <w:ind w:left="503" w:right="0" w:hanging="394"/>
        <w:jc w:val="left"/>
      </w:pPr>
      <w:r>
        <w:rPr/>
        <w:t>Contributed</w:t>
      </w:r>
      <w:r>
        <w:rPr>
          <w:spacing w:val="-1"/>
        </w:rPr>
        <w:t> </w:t>
      </w:r>
      <w:r>
        <w:rPr/>
        <w:t>equity</w:t>
      </w:r>
    </w:p>
    <w:p>
      <w:pPr>
        <w:tabs>
          <w:tab w:pos="8512" w:val="left" w:leader="none"/>
        </w:tabs>
        <w:spacing w:before="160"/>
        <w:ind w:left="5847" w:right="125" w:firstLine="0"/>
        <w:jc w:val="left"/>
        <w:rPr>
          <w:b/>
          <w:sz w:val="18"/>
        </w:rPr>
      </w:pPr>
      <w:r>
        <w:rPr>
          <w:b/>
          <w:sz w:val="18"/>
        </w:rPr>
        <w:t>Shares</w:t>
        <w:tab/>
        <w:t>Total</w:t>
      </w:r>
    </w:p>
    <w:p>
      <w:pPr>
        <w:spacing w:after="0"/>
        <w:jc w:val="left"/>
        <w:rPr>
          <w:sz w:val="18"/>
        </w:rPr>
        <w:sectPr>
          <w:pgSz w:w="11910" w:h="16840"/>
          <w:pgMar w:header="1038" w:footer="571" w:top="1460" w:bottom="700" w:left="900" w:right="860"/>
        </w:sectPr>
      </w:pPr>
    </w:p>
    <w:p>
      <w:pPr>
        <w:pStyle w:val="BodyText"/>
        <w:rPr>
          <w:b/>
        </w:rPr>
      </w:pPr>
    </w:p>
    <w:p>
      <w:pPr>
        <w:pStyle w:val="BodyText"/>
        <w:spacing w:before="9"/>
        <w:rPr>
          <w:b/>
          <w:sz w:val="17"/>
        </w:rPr>
      </w:pPr>
    </w:p>
    <w:p>
      <w:pPr>
        <w:pStyle w:val="BodyText"/>
        <w:ind w:left="531" w:right="-19"/>
      </w:pPr>
      <w:r>
        <w:rPr/>
        <w:t>Ordinary shares</w:t>
      </w:r>
    </w:p>
    <w:p>
      <w:pPr>
        <w:pStyle w:val="Heading9"/>
        <w:spacing w:line="206" w:lineRule="exact"/>
        <w:ind w:left="531"/>
        <w:jc w:val="center"/>
      </w:pPr>
      <w:r>
        <w:rPr>
          <w:b w:val="0"/>
        </w:rPr>
        <w:br w:type="column"/>
      </w:r>
      <w:r>
        <w:rPr/>
        <w:t>2012</w:t>
      </w:r>
    </w:p>
    <w:p>
      <w:pPr>
        <w:spacing w:line="207" w:lineRule="exact" w:before="0"/>
        <w:ind w:left="0" w:right="148" w:firstLine="0"/>
        <w:jc w:val="right"/>
        <w:rPr>
          <w:b/>
          <w:sz w:val="18"/>
        </w:rPr>
      </w:pPr>
      <w:r>
        <w:rPr>
          <w:b/>
          <w:w w:val="99"/>
          <w:sz w:val="18"/>
        </w:rPr>
        <w:t>$</w:t>
      </w:r>
    </w:p>
    <w:p>
      <w:pPr>
        <w:pStyle w:val="BodyText"/>
        <w:spacing w:line="206" w:lineRule="exact"/>
        <w:ind w:left="531"/>
        <w:jc w:val="center"/>
      </w:pPr>
      <w:r>
        <w:rPr/>
        <w:br w:type="column"/>
      </w:r>
      <w:r>
        <w:rPr/>
        <w:t>2011</w:t>
      </w:r>
    </w:p>
    <w:p>
      <w:pPr>
        <w:pStyle w:val="BodyText"/>
        <w:spacing w:line="207" w:lineRule="exact"/>
        <w:ind w:right="148"/>
        <w:jc w:val="right"/>
      </w:pPr>
      <w:r>
        <w:rPr>
          <w:w w:val="99"/>
        </w:rPr>
        <w:t>$</w:t>
      </w:r>
    </w:p>
    <w:p>
      <w:pPr>
        <w:pStyle w:val="Heading9"/>
        <w:spacing w:line="206" w:lineRule="exact"/>
        <w:ind w:left="531"/>
        <w:jc w:val="center"/>
      </w:pPr>
      <w:r>
        <w:rPr>
          <w:b w:val="0"/>
        </w:rPr>
        <w:br w:type="column"/>
      </w:r>
      <w:r>
        <w:rPr/>
        <w:t>2012</w:t>
      </w:r>
    </w:p>
    <w:p>
      <w:pPr>
        <w:spacing w:line="207" w:lineRule="exact" w:before="0"/>
        <w:ind w:left="0" w:right="148" w:firstLine="0"/>
        <w:jc w:val="right"/>
        <w:rPr>
          <w:b/>
          <w:sz w:val="18"/>
        </w:rPr>
      </w:pPr>
      <w:r>
        <w:rPr>
          <w:b/>
          <w:w w:val="99"/>
          <w:sz w:val="18"/>
        </w:rPr>
        <w:t>$</w:t>
      </w:r>
    </w:p>
    <w:p>
      <w:pPr>
        <w:pStyle w:val="BodyText"/>
        <w:spacing w:line="206" w:lineRule="exact"/>
        <w:ind w:left="515" w:right="550"/>
        <w:jc w:val="center"/>
      </w:pPr>
      <w:r>
        <w:rPr/>
        <w:br w:type="column"/>
      </w:r>
      <w:r>
        <w:rPr/>
        <w:t>2011</w:t>
      </w:r>
    </w:p>
    <w:p>
      <w:pPr>
        <w:pStyle w:val="BodyText"/>
        <w:spacing w:line="207" w:lineRule="exact"/>
        <w:ind w:right="35"/>
        <w:jc w:val="center"/>
      </w:pPr>
      <w:r>
        <w:rPr>
          <w:w w:val="99"/>
        </w:rPr>
        <w:t>$</w:t>
      </w:r>
    </w:p>
    <w:p>
      <w:pPr>
        <w:spacing w:after="0" w:line="207" w:lineRule="exact"/>
        <w:jc w:val="center"/>
        <w:sectPr>
          <w:type w:val="continuous"/>
          <w:pgSz w:w="11910" w:h="16840"/>
          <w:pgMar w:top="0" w:bottom="280" w:left="900" w:right="860"/>
          <w:cols w:num="5" w:equalWidth="0">
            <w:col w:w="1813" w:space="2954"/>
            <w:col w:w="932" w:space="350"/>
            <w:col w:w="932" w:space="366"/>
            <w:col w:w="932" w:space="364"/>
            <w:col w:w="1507"/>
          </w:cols>
        </w:sectPr>
      </w:pPr>
    </w:p>
    <w:p>
      <w:pPr>
        <w:tabs>
          <w:tab w:pos="4834" w:val="left" w:leader="none"/>
          <w:tab w:pos="5972" w:val="left" w:leader="none"/>
          <w:tab w:pos="7240" w:val="left" w:leader="none"/>
          <w:tab w:pos="7429" w:val="left" w:leader="none"/>
          <w:tab w:pos="8567" w:val="left" w:leader="none"/>
          <w:tab w:pos="9835" w:val="left" w:leader="none"/>
        </w:tabs>
        <w:spacing w:line="249" w:lineRule="auto" w:before="0"/>
        <w:ind w:left="531" w:right="207" w:firstLine="214"/>
        <w:jc w:val="left"/>
        <w:rPr>
          <w:sz w:val="18"/>
        </w:rPr>
      </w:pPr>
      <w:r>
        <w:rPr>
          <w:sz w:val="18"/>
        </w:rPr>
        <w:t>Fully</w:t>
      </w:r>
      <w:r>
        <w:rPr>
          <w:spacing w:val="-1"/>
          <w:sz w:val="18"/>
        </w:rPr>
        <w:t> </w:t>
      </w:r>
      <w:r>
        <w:rPr>
          <w:sz w:val="18"/>
        </w:rPr>
        <w:t>paid</w:t>
        <w:tab/>
      </w:r>
      <w:r>
        <w:rPr>
          <w:b/>
          <w:sz w:val="18"/>
          <w:u w:val="single"/>
        </w:rPr>
        <w:t> </w:t>
        <w:tab/>
        <w:t>1</w:t>
        <w:tab/>
      </w:r>
      <w:r>
        <w:rPr>
          <w:sz w:val="18"/>
          <w:u w:val="single"/>
        </w:rPr>
        <w:t>1</w:t>
        <w:tab/>
        <w:tab/>
      </w:r>
      <w:r>
        <w:rPr>
          <w:b/>
          <w:sz w:val="18"/>
          <w:u w:val="single"/>
        </w:rPr>
        <w:t>1</w:t>
        <w:tab/>
      </w:r>
      <w:r>
        <w:rPr>
          <w:sz w:val="18"/>
          <w:u w:val="single"/>
        </w:rPr>
        <w:t>1 </w:t>
      </w:r>
      <w:r>
        <w:rPr>
          <w:b/>
          <w:sz w:val="18"/>
        </w:rPr>
        <w:t>Total</w:t>
      </w:r>
      <w:r>
        <w:rPr>
          <w:b/>
          <w:spacing w:val="-1"/>
          <w:sz w:val="18"/>
        </w:rPr>
        <w:t> </w:t>
      </w:r>
      <w:r>
        <w:rPr>
          <w:b/>
          <w:sz w:val="18"/>
        </w:rPr>
        <w:t>contributed</w:t>
      </w:r>
      <w:r>
        <w:rPr>
          <w:b/>
          <w:spacing w:val="-1"/>
          <w:sz w:val="18"/>
        </w:rPr>
        <w:t> </w:t>
      </w:r>
      <w:r>
        <w:rPr>
          <w:b/>
          <w:sz w:val="18"/>
        </w:rPr>
        <w:t>equity</w:t>
        <w:tab/>
        <w:tab/>
        <w:tab/>
        <w:tab/>
      </w:r>
      <w:r>
        <w:rPr>
          <w:b/>
          <w:sz w:val="18"/>
          <w:u w:val="single"/>
        </w:rPr>
        <w:t> </w:t>
        <w:tab/>
        <w:t>1</w:t>
        <w:tab/>
      </w:r>
      <w:r>
        <w:rPr>
          <w:sz w:val="18"/>
          <w:u w:val="single"/>
        </w:rPr>
        <w:t>1</w:t>
      </w:r>
    </w:p>
    <w:p>
      <w:pPr>
        <w:pStyle w:val="Heading9"/>
        <w:numPr>
          <w:ilvl w:val="1"/>
          <w:numId w:val="130"/>
        </w:numPr>
        <w:tabs>
          <w:tab w:pos="1071" w:val="left" w:leader="none"/>
        </w:tabs>
        <w:spacing w:line="240" w:lineRule="auto" w:before="113" w:after="0"/>
        <w:ind w:left="1070" w:right="0" w:hanging="566"/>
        <w:jc w:val="left"/>
      </w:pPr>
      <w:r>
        <w:rPr/>
        <w:t>Movements in ordinary share</w:t>
      </w:r>
      <w:r>
        <w:rPr>
          <w:spacing w:val="-1"/>
        </w:rPr>
        <w:t> </w:t>
      </w:r>
      <w:r>
        <w:rPr/>
        <w:t>capital</w:t>
      </w:r>
    </w:p>
    <w:p>
      <w:pPr>
        <w:pStyle w:val="BodyText"/>
        <w:spacing w:before="146"/>
        <w:ind w:left="1070" w:right="125"/>
      </w:pPr>
      <w:r>
        <w:rPr/>
        <w:t>There were no movements in contributed equity during the financial year.</w:t>
      </w:r>
    </w:p>
    <w:p>
      <w:pPr>
        <w:pStyle w:val="BodyText"/>
        <w:spacing w:before="6"/>
        <w:rPr>
          <w:sz w:val="19"/>
        </w:rPr>
      </w:pPr>
    </w:p>
    <w:p>
      <w:pPr>
        <w:pStyle w:val="Heading9"/>
        <w:numPr>
          <w:ilvl w:val="0"/>
          <w:numId w:val="130"/>
        </w:numPr>
        <w:tabs>
          <w:tab w:pos="506" w:val="left" w:leader="none"/>
        </w:tabs>
        <w:spacing w:line="240" w:lineRule="auto" w:before="0" w:after="0"/>
        <w:ind w:left="505" w:right="0" w:hanging="396"/>
        <w:jc w:val="left"/>
      </w:pPr>
      <w:r>
        <w:rPr/>
        <w:t>Commitments</w:t>
      </w:r>
    </w:p>
    <w:p>
      <w:pPr>
        <w:pStyle w:val="BodyText"/>
        <w:spacing w:before="112"/>
        <w:ind w:left="505" w:right="125"/>
      </w:pPr>
      <w:r>
        <w:rPr/>
        <w:t>The Company had no commitments at 31 December 2012 (31 December 2011: nil).</w:t>
      </w:r>
    </w:p>
    <w:p>
      <w:pPr>
        <w:pStyle w:val="BodyText"/>
        <w:spacing w:before="6"/>
        <w:rPr>
          <w:sz w:val="19"/>
        </w:rPr>
      </w:pPr>
    </w:p>
    <w:p>
      <w:pPr>
        <w:pStyle w:val="Heading9"/>
        <w:numPr>
          <w:ilvl w:val="0"/>
          <w:numId w:val="130"/>
        </w:numPr>
        <w:tabs>
          <w:tab w:pos="506" w:val="left" w:leader="none"/>
        </w:tabs>
        <w:spacing w:line="240" w:lineRule="auto" w:before="0" w:after="0"/>
        <w:ind w:left="505" w:right="0" w:hanging="396"/>
        <w:jc w:val="left"/>
      </w:pPr>
      <w:r>
        <w:rPr/>
        <w:t>Contingencies</w:t>
      </w:r>
    </w:p>
    <w:p>
      <w:pPr>
        <w:pStyle w:val="BodyText"/>
        <w:spacing w:before="112"/>
        <w:ind w:left="505" w:right="334" w:hanging="1"/>
      </w:pPr>
      <w:r>
        <w:rPr/>
        <w:t>In the opinion of the Director's, the Company did not have any contingencies at 31 December 2012 (31 December 2011: nil).</w:t>
      </w:r>
    </w:p>
    <w:p>
      <w:pPr>
        <w:pStyle w:val="BodyText"/>
        <w:spacing w:before="6"/>
        <w:rPr>
          <w:sz w:val="19"/>
        </w:rPr>
      </w:pPr>
    </w:p>
    <w:p>
      <w:pPr>
        <w:pStyle w:val="Heading9"/>
        <w:numPr>
          <w:ilvl w:val="0"/>
          <w:numId w:val="130"/>
        </w:numPr>
        <w:tabs>
          <w:tab w:pos="506" w:val="left" w:leader="none"/>
        </w:tabs>
        <w:spacing w:line="240" w:lineRule="auto" w:before="0" w:after="0"/>
        <w:ind w:left="505" w:right="0" w:hanging="396"/>
        <w:jc w:val="left"/>
      </w:pPr>
      <w:r>
        <w:rPr/>
        <w:t>Key Management Personnel</w:t>
      </w:r>
      <w:r>
        <w:rPr>
          <w:spacing w:val="-2"/>
        </w:rPr>
        <w:t> </w:t>
      </w:r>
      <w:r>
        <w:rPr/>
        <w:t>Disclosures</w:t>
      </w:r>
    </w:p>
    <w:p>
      <w:pPr>
        <w:pStyle w:val="BodyText"/>
        <w:spacing w:before="112"/>
        <w:ind w:left="505" w:right="92" w:hanging="1"/>
      </w:pPr>
      <w:r>
        <w:rPr/>
        <w:t>No remuneration has been paid to the key management personnel of W hitlam Institute within the University of Western Sydney Limited during the year (2011: nil).</w:t>
      </w:r>
    </w:p>
    <w:p>
      <w:pPr>
        <w:pStyle w:val="BodyText"/>
        <w:spacing w:before="6"/>
        <w:rPr>
          <w:sz w:val="19"/>
        </w:rPr>
      </w:pPr>
    </w:p>
    <w:p>
      <w:pPr>
        <w:pStyle w:val="Heading9"/>
        <w:numPr>
          <w:ilvl w:val="0"/>
          <w:numId w:val="130"/>
        </w:numPr>
        <w:tabs>
          <w:tab w:pos="506" w:val="left" w:leader="none"/>
        </w:tabs>
        <w:spacing w:line="240" w:lineRule="auto" w:before="0" w:after="0"/>
        <w:ind w:left="505" w:right="0" w:hanging="396"/>
        <w:jc w:val="left"/>
      </w:pPr>
      <w:r>
        <w:rPr/>
        <w:t>Related party</w:t>
      </w:r>
      <w:r>
        <w:rPr>
          <w:spacing w:val="-1"/>
        </w:rPr>
        <w:t> </w:t>
      </w:r>
      <w:r>
        <w:rPr/>
        <w:t>transactions</w:t>
      </w:r>
    </w:p>
    <w:p>
      <w:pPr>
        <w:pStyle w:val="ListParagraph"/>
        <w:numPr>
          <w:ilvl w:val="1"/>
          <w:numId w:val="130"/>
        </w:numPr>
        <w:tabs>
          <w:tab w:pos="1072" w:val="left" w:leader="none"/>
        </w:tabs>
        <w:spacing w:line="240" w:lineRule="auto" w:before="112" w:after="0"/>
        <w:ind w:left="1071" w:right="0" w:hanging="566"/>
        <w:jc w:val="left"/>
        <w:rPr>
          <w:b/>
          <w:sz w:val="18"/>
        </w:rPr>
      </w:pPr>
      <w:r>
        <w:rPr>
          <w:b/>
          <w:sz w:val="18"/>
        </w:rPr>
        <w:t>Parent</w:t>
      </w:r>
      <w:r>
        <w:rPr>
          <w:b/>
          <w:spacing w:val="-1"/>
          <w:sz w:val="18"/>
        </w:rPr>
        <w:t> </w:t>
      </w:r>
      <w:r>
        <w:rPr>
          <w:b/>
          <w:sz w:val="18"/>
        </w:rPr>
        <w:t>entity</w:t>
      </w:r>
    </w:p>
    <w:p>
      <w:pPr>
        <w:pStyle w:val="BodyText"/>
        <w:spacing w:before="112"/>
        <w:ind w:left="1072" w:right="125"/>
      </w:pPr>
      <w:r>
        <w:rPr/>
        <w:t>The ultimate parent entity of the Trust is University of Western Sydney.</w:t>
      </w:r>
    </w:p>
    <w:p>
      <w:pPr>
        <w:pStyle w:val="Heading9"/>
        <w:numPr>
          <w:ilvl w:val="1"/>
          <w:numId w:val="130"/>
        </w:numPr>
        <w:tabs>
          <w:tab w:pos="1072" w:val="left" w:leader="none"/>
        </w:tabs>
        <w:spacing w:line="240" w:lineRule="auto" w:before="112" w:after="0"/>
        <w:ind w:left="1071" w:right="0" w:hanging="566"/>
        <w:jc w:val="left"/>
      </w:pPr>
      <w:r>
        <w:rPr/>
        <w:t>Transactions with related parties</w:t>
      </w:r>
    </w:p>
    <w:p>
      <w:pPr>
        <w:pStyle w:val="BodyText"/>
        <w:spacing w:before="112"/>
        <w:ind w:left="1072" w:right="125"/>
      </w:pPr>
      <w:r>
        <w:rPr/>
        <w:t>There were no transactions with related parties in 2012.</w:t>
      </w:r>
    </w:p>
    <w:p>
      <w:pPr>
        <w:pStyle w:val="BodyText"/>
        <w:spacing w:before="6"/>
        <w:rPr>
          <w:sz w:val="19"/>
        </w:rPr>
      </w:pPr>
    </w:p>
    <w:p>
      <w:pPr>
        <w:pStyle w:val="Heading9"/>
        <w:numPr>
          <w:ilvl w:val="0"/>
          <w:numId w:val="130"/>
        </w:numPr>
        <w:tabs>
          <w:tab w:pos="505" w:val="left" w:leader="none"/>
        </w:tabs>
        <w:spacing w:line="240" w:lineRule="auto" w:before="0" w:after="0"/>
        <w:ind w:left="504" w:right="0" w:hanging="395"/>
        <w:jc w:val="left"/>
      </w:pPr>
      <w:r>
        <w:rPr/>
        <w:t>Economic</w:t>
      </w:r>
      <w:r>
        <w:rPr>
          <w:spacing w:val="-2"/>
        </w:rPr>
        <w:t> </w:t>
      </w:r>
      <w:r>
        <w:rPr/>
        <w:t>dependency</w:t>
      </w:r>
    </w:p>
    <w:p>
      <w:pPr>
        <w:pStyle w:val="BodyText"/>
        <w:spacing w:before="112"/>
        <w:ind w:left="505" w:right="125"/>
      </w:pPr>
      <w:r>
        <w:rPr/>
        <w:t>The Company is economically dependent on the University of Western Sydney for the provision of office accommodation and support activities.</w:t>
      </w:r>
    </w:p>
    <w:p>
      <w:pPr>
        <w:pStyle w:val="BodyText"/>
        <w:spacing w:before="6"/>
        <w:rPr>
          <w:sz w:val="19"/>
        </w:rPr>
      </w:pPr>
    </w:p>
    <w:p>
      <w:pPr>
        <w:pStyle w:val="Heading9"/>
        <w:numPr>
          <w:ilvl w:val="0"/>
          <w:numId w:val="130"/>
        </w:numPr>
        <w:tabs>
          <w:tab w:pos="506" w:val="left" w:leader="none"/>
        </w:tabs>
        <w:spacing w:line="240" w:lineRule="auto" w:before="0" w:after="0"/>
        <w:ind w:left="505" w:right="0" w:hanging="396"/>
        <w:jc w:val="left"/>
      </w:pPr>
      <w:r>
        <w:rPr/>
        <w:t>Events occurring after the reporting</w:t>
      </w:r>
      <w:r>
        <w:rPr>
          <w:spacing w:val="-1"/>
        </w:rPr>
        <w:t> </w:t>
      </w:r>
      <w:r>
        <w:rPr/>
        <w:t>date</w:t>
      </w:r>
    </w:p>
    <w:p>
      <w:pPr>
        <w:pStyle w:val="BodyText"/>
        <w:spacing w:before="112"/>
        <w:ind w:left="505" w:right="92" w:hanging="1"/>
      </w:pPr>
      <w:r>
        <w:rPr/>
        <w:t>No matters or circumstances have arisen since the end of the financial year which significantly affected or may significantly affect the operations of the Company, the results of those operations, or the state of affairs of the Company in future financial years (2011: nil).</w:t>
      </w:r>
    </w:p>
    <w:p>
      <w:pPr>
        <w:pStyle w:val="BodyText"/>
        <w:spacing w:before="9"/>
        <w:rPr>
          <w:sz w:val="12"/>
        </w:rPr>
      </w:pPr>
    </w:p>
    <w:p>
      <w:pPr>
        <w:spacing w:after="0"/>
        <w:rPr>
          <w:sz w:val="12"/>
        </w:rPr>
        <w:sectPr>
          <w:type w:val="continuous"/>
          <w:pgSz w:w="11910" w:h="16840"/>
          <w:pgMar w:top="0" w:bottom="280" w:left="900" w:right="860"/>
        </w:sectPr>
      </w:pPr>
    </w:p>
    <w:p>
      <w:pPr>
        <w:pStyle w:val="Heading9"/>
        <w:numPr>
          <w:ilvl w:val="0"/>
          <w:numId w:val="130"/>
        </w:numPr>
        <w:tabs>
          <w:tab w:pos="505" w:val="left" w:leader="none"/>
        </w:tabs>
        <w:spacing w:line="240" w:lineRule="auto" w:before="78" w:after="0"/>
        <w:ind w:left="504" w:right="0" w:hanging="395"/>
        <w:jc w:val="left"/>
      </w:pPr>
      <w:r>
        <w:rPr/>
        <w:t>Reconciliation of surplus/(deficit) to net cash inflow from operating</w:t>
      </w:r>
      <w:r>
        <w:rPr>
          <w:spacing w:val="-2"/>
        </w:rPr>
        <w:t> </w:t>
      </w:r>
      <w:r>
        <w:rPr/>
        <w:t>activities</w:t>
      </w:r>
    </w:p>
    <w:p>
      <w:pPr>
        <w:pStyle w:val="BodyText"/>
        <w:spacing w:before="8"/>
        <w:rPr>
          <w:b/>
          <w:sz w:val="24"/>
        </w:rPr>
      </w:pPr>
      <w:r>
        <w:rPr/>
        <w:br w:type="column"/>
      </w:r>
      <w:r>
        <w:rPr>
          <w:b/>
          <w:sz w:val="24"/>
        </w:rPr>
      </w:r>
    </w:p>
    <w:p>
      <w:pPr>
        <w:spacing w:line="207" w:lineRule="exact" w:before="0"/>
        <w:ind w:left="109" w:right="0" w:firstLine="0"/>
        <w:jc w:val="center"/>
        <w:rPr>
          <w:b/>
          <w:sz w:val="18"/>
        </w:rPr>
      </w:pPr>
      <w:r>
        <w:rPr>
          <w:b/>
          <w:sz w:val="18"/>
        </w:rPr>
        <w:t>2012</w:t>
      </w:r>
    </w:p>
    <w:p>
      <w:pPr>
        <w:spacing w:line="207" w:lineRule="exact" w:before="0"/>
        <w:ind w:left="108" w:right="0" w:firstLine="0"/>
        <w:jc w:val="center"/>
        <w:rPr>
          <w:b/>
          <w:sz w:val="18"/>
        </w:rPr>
      </w:pPr>
      <w:r>
        <w:rPr>
          <w:b/>
          <w:w w:val="99"/>
          <w:sz w:val="18"/>
        </w:rPr>
        <w:t>$</w:t>
      </w:r>
    </w:p>
    <w:p>
      <w:pPr>
        <w:pStyle w:val="BodyText"/>
        <w:spacing w:before="8"/>
        <w:rPr>
          <w:b/>
          <w:sz w:val="24"/>
        </w:rPr>
      </w:pPr>
      <w:r>
        <w:rPr/>
        <w:br w:type="column"/>
      </w:r>
      <w:r>
        <w:rPr>
          <w:b/>
          <w:sz w:val="24"/>
        </w:rPr>
      </w:r>
    </w:p>
    <w:p>
      <w:pPr>
        <w:spacing w:line="207" w:lineRule="exact" w:before="0"/>
        <w:ind w:left="93" w:right="561" w:firstLine="0"/>
        <w:jc w:val="center"/>
        <w:rPr>
          <w:b/>
          <w:sz w:val="18"/>
        </w:rPr>
      </w:pPr>
      <w:r>
        <w:rPr>
          <w:b/>
          <w:sz w:val="18"/>
        </w:rPr>
        <w:t>2011</w:t>
      </w:r>
    </w:p>
    <w:p>
      <w:pPr>
        <w:spacing w:line="207" w:lineRule="exact" w:before="0"/>
        <w:ind w:left="0" w:right="468"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7065" w:space="706"/>
            <w:col w:w="510" w:space="774"/>
            <w:col w:w="1095"/>
          </w:cols>
        </w:sectPr>
      </w:pPr>
    </w:p>
    <w:p>
      <w:pPr>
        <w:pStyle w:val="BodyText"/>
        <w:tabs>
          <w:tab w:pos="8580" w:val="left" w:leader="none"/>
          <w:tab w:pos="9878" w:val="left" w:leader="none"/>
        </w:tabs>
        <w:spacing w:line="206" w:lineRule="exact"/>
        <w:ind w:left="505" w:right="125"/>
      </w:pPr>
      <w:r>
        <w:rPr/>
        <w:t>Surplus for</w:t>
      </w:r>
      <w:r>
        <w:rPr>
          <w:spacing w:val="-1"/>
        </w:rPr>
        <w:t> </w:t>
      </w:r>
      <w:r>
        <w:rPr/>
        <w:t>the</w:t>
      </w:r>
      <w:r>
        <w:rPr>
          <w:spacing w:val="-1"/>
        </w:rPr>
        <w:t> </w:t>
      </w:r>
      <w:r>
        <w:rPr/>
        <w:t>year</w:t>
        <w:tab/>
      </w:r>
      <w:r>
        <w:rPr>
          <w:b/>
        </w:rPr>
        <w:t>-</w:t>
        <w:tab/>
      </w:r>
      <w:r>
        <w:rPr/>
        <w:t>-</w:t>
      </w:r>
    </w:p>
    <w:p>
      <w:pPr>
        <w:pStyle w:val="BodyText"/>
        <w:spacing w:line="206" w:lineRule="exact"/>
        <w:ind w:left="505" w:right="125"/>
      </w:pPr>
      <w:r>
        <w:rPr/>
        <w:t>Change in operating assets and liabilities:</w:t>
      </w:r>
    </w:p>
    <w:p>
      <w:pPr>
        <w:pStyle w:val="BodyText"/>
        <w:tabs>
          <w:tab w:pos="7431" w:val="left" w:leader="none"/>
          <w:tab w:pos="8579" w:val="left" w:leader="none"/>
          <w:tab w:pos="9429" w:val="left" w:leader="none"/>
        </w:tabs>
        <w:spacing w:line="249" w:lineRule="auto"/>
        <w:ind w:left="505" w:right="142" w:firstLine="264"/>
      </w:pPr>
      <w:r>
        <w:rPr/>
        <w:t>- increase/(decrease) in trade and</w:t>
      </w:r>
      <w:r>
        <w:rPr>
          <w:spacing w:val="-1"/>
        </w:rPr>
        <w:t> </w:t>
      </w:r>
      <w:r>
        <w:rPr/>
        <w:t>other</w:t>
      </w:r>
      <w:r>
        <w:rPr>
          <w:spacing w:val="-1"/>
        </w:rPr>
        <w:t> </w:t>
      </w:r>
      <w:r>
        <w:rPr/>
        <w:t>payables</w:t>
        <w:tab/>
      </w:r>
      <w:r>
        <w:rPr>
          <w:b/>
          <w:u w:val="single"/>
        </w:rPr>
        <w:t> </w:t>
        <w:tab/>
        <w:t>-</w:t>
        <w:tab/>
      </w:r>
      <w:r>
        <w:rPr>
          <w:u w:val="single"/>
        </w:rPr>
        <w:t>(1,360) </w:t>
      </w:r>
      <w:r>
        <w:rPr/>
        <w:t>Cashflow</w:t>
      </w:r>
      <w:r>
        <w:rPr>
          <w:spacing w:val="-1"/>
        </w:rPr>
        <w:t> </w:t>
      </w:r>
      <w:r>
        <w:rPr/>
        <w:t>from</w:t>
      </w:r>
      <w:r>
        <w:rPr>
          <w:spacing w:val="-1"/>
        </w:rPr>
        <w:t> </w:t>
      </w:r>
      <w:r>
        <w:rPr/>
        <w:t>operations</w:t>
        <w:tab/>
      </w:r>
      <w:r>
        <w:rPr>
          <w:b/>
          <w:u w:val="single"/>
        </w:rPr>
        <w:t> </w:t>
        <w:tab/>
        <w:t>-</w:t>
        <w:tab/>
      </w:r>
      <w:r>
        <w:rPr>
          <w:u w:val="single"/>
        </w:rPr>
        <w:t>(1,360)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p>
    <w:p>
      <w:pPr>
        <w:pStyle w:val="Heading9"/>
        <w:spacing w:before="78"/>
        <w:ind w:left="3649" w:right="125"/>
      </w:pPr>
      <w:r>
        <w:rPr/>
        <w:t>END OF AUDITED FINANCIAL STATEMENTS</w:t>
      </w:r>
    </w:p>
    <w:p>
      <w:pPr>
        <w:spacing w:after="0"/>
        <w:sectPr>
          <w:type w:val="continuous"/>
          <w:pgSz w:w="11910" w:h="16840"/>
          <w:pgMar w:top="0" w:bottom="280" w:left="900" w:right="860"/>
        </w:sectPr>
      </w:pPr>
    </w:p>
    <w:p>
      <w:pPr>
        <w:pStyle w:val="Heading6"/>
        <w:spacing w:before="47"/>
        <w:ind w:right="210"/>
      </w:pPr>
      <w:r>
        <w:rPr/>
        <w:t>Whitlam Institute within the University of Western Sydney Limited</w:t>
      </w:r>
    </w:p>
    <w:p>
      <w:pPr>
        <w:spacing w:before="55"/>
        <w:ind w:left="107" w:right="210" w:firstLine="0"/>
        <w:jc w:val="left"/>
        <w:rPr>
          <w:b/>
          <w:sz w:val="14"/>
        </w:rPr>
      </w:pPr>
      <w:r>
        <w:rPr>
          <w:b/>
          <w:sz w:val="14"/>
        </w:rPr>
        <w:t>ABN: 50 100 342 309</w:t>
      </w:r>
    </w:p>
    <w:p>
      <w:pPr>
        <w:pStyle w:val="BodyText"/>
        <w:rPr>
          <w:b/>
          <w:sz w:val="14"/>
        </w:rPr>
      </w:pPr>
    </w:p>
    <w:p>
      <w:pPr>
        <w:pStyle w:val="BodyText"/>
        <w:spacing w:before="7"/>
        <w:rPr>
          <w:b/>
          <w:sz w:val="15"/>
        </w:rPr>
      </w:pPr>
    </w:p>
    <w:p>
      <w:pPr>
        <w:pStyle w:val="Heading3"/>
        <w:spacing w:before="1"/>
        <w:ind w:right="210"/>
      </w:pPr>
      <w:r>
        <w:rPr/>
        <w:t>Director's declaration</w:t>
      </w:r>
    </w:p>
    <w:p>
      <w:pPr>
        <w:pStyle w:val="BodyText"/>
        <w:spacing w:before="5"/>
        <w:rPr>
          <w:b/>
          <w:sz w:val="25"/>
        </w:rPr>
      </w:pPr>
    </w:p>
    <w:p>
      <w:pPr>
        <w:pStyle w:val="BodyText"/>
        <w:ind w:left="107" w:right="210"/>
      </w:pPr>
      <w:r>
        <w:rPr/>
        <w:t>In the Director's opinion:</w:t>
      </w:r>
    </w:p>
    <w:p>
      <w:pPr>
        <w:pStyle w:val="BodyText"/>
        <w:spacing w:before="10"/>
        <w:rPr>
          <w:sz w:val="17"/>
        </w:rPr>
      </w:pPr>
    </w:p>
    <w:p>
      <w:pPr>
        <w:pStyle w:val="ListParagraph"/>
        <w:numPr>
          <w:ilvl w:val="0"/>
          <w:numId w:val="131"/>
        </w:numPr>
        <w:tabs>
          <w:tab w:pos="504" w:val="left" w:leader="none"/>
        </w:tabs>
        <w:spacing w:line="240" w:lineRule="auto" w:before="0" w:after="0"/>
        <w:ind w:left="503" w:right="0" w:hanging="395"/>
        <w:jc w:val="left"/>
        <w:rPr>
          <w:sz w:val="18"/>
        </w:rPr>
      </w:pPr>
      <w:r>
        <w:rPr>
          <w:sz w:val="18"/>
        </w:rPr>
        <w:t>The financial statements and notes are in accordance with the </w:t>
      </w:r>
      <w:r>
        <w:rPr>
          <w:i/>
          <w:sz w:val="18"/>
        </w:rPr>
        <w:t>Corporations Act 2001</w:t>
      </w:r>
      <w:r>
        <w:rPr>
          <w:i/>
          <w:spacing w:val="-34"/>
          <w:sz w:val="18"/>
        </w:rPr>
        <w:t> </w:t>
      </w:r>
      <w:r>
        <w:rPr>
          <w:sz w:val="18"/>
        </w:rPr>
        <w:t>and:</w:t>
      </w:r>
    </w:p>
    <w:p>
      <w:pPr>
        <w:pStyle w:val="BodyText"/>
        <w:rPr>
          <w:sz w:val="25"/>
        </w:rPr>
      </w:pPr>
    </w:p>
    <w:p>
      <w:pPr>
        <w:pStyle w:val="ListParagraph"/>
        <w:numPr>
          <w:ilvl w:val="1"/>
          <w:numId w:val="131"/>
        </w:numPr>
        <w:tabs>
          <w:tab w:pos="900" w:val="left" w:leader="none"/>
        </w:tabs>
        <w:spacing w:line="242" w:lineRule="auto" w:before="0" w:after="0"/>
        <w:ind w:left="899" w:right="106" w:hanging="396"/>
        <w:jc w:val="both"/>
        <w:rPr>
          <w:sz w:val="18"/>
        </w:rPr>
      </w:pPr>
      <w:r>
        <w:rPr>
          <w:sz w:val="18"/>
        </w:rPr>
        <w:t>comply with Australian Accounting Standards and other interpretations, the </w:t>
      </w:r>
      <w:r>
        <w:rPr>
          <w:i/>
          <w:sz w:val="18"/>
        </w:rPr>
        <w:t>Corporations Regulations 2001, Public </w:t>
      </w:r>
      <w:r>
        <w:rPr>
          <w:i/>
          <w:sz w:val="18"/>
        </w:rPr>
        <w:t>Finance and Audit Act 1983 the Public Finance and Audit Regulation 2010 </w:t>
      </w:r>
      <w:r>
        <w:rPr>
          <w:sz w:val="18"/>
        </w:rPr>
        <w:t>and other mandatory professional reporting requirements;</w:t>
      </w:r>
      <w:r>
        <w:rPr>
          <w:spacing w:val="-12"/>
          <w:sz w:val="18"/>
        </w:rPr>
        <w:t> </w:t>
      </w:r>
      <w:r>
        <w:rPr>
          <w:sz w:val="18"/>
        </w:rPr>
        <w:t>and</w:t>
      </w:r>
    </w:p>
    <w:p>
      <w:pPr>
        <w:pStyle w:val="BodyText"/>
        <w:spacing w:before="9"/>
        <w:rPr>
          <w:sz w:val="24"/>
        </w:rPr>
      </w:pPr>
    </w:p>
    <w:p>
      <w:pPr>
        <w:pStyle w:val="ListParagraph"/>
        <w:numPr>
          <w:ilvl w:val="1"/>
          <w:numId w:val="131"/>
        </w:numPr>
        <w:tabs>
          <w:tab w:pos="900" w:val="left" w:leader="none"/>
        </w:tabs>
        <w:spacing w:line="240" w:lineRule="auto" w:before="0" w:after="0"/>
        <w:ind w:left="899" w:right="104" w:hanging="396"/>
        <w:jc w:val="both"/>
        <w:rPr>
          <w:sz w:val="18"/>
        </w:rPr>
      </w:pPr>
      <w:r>
        <w:rPr>
          <w:sz w:val="18"/>
        </w:rPr>
        <w:t>give a t rue and fair view of the financial position as at 31 December 2012 and of the performance for the year ended on that date of the</w:t>
      </w:r>
      <w:r>
        <w:rPr>
          <w:spacing w:val="-17"/>
          <w:sz w:val="18"/>
        </w:rPr>
        <w:t> </w:t>
      </w:r>
      <w:r>
        <w:rPr>
          <w:sz w:val="18"/>
        </w:rPr>
        <w:t>Company.</w:t>
      </w:r>
    </w:p>
    <w:p>
      <w:pPr>
        <w:pStyle w:val="BodyText"/>
        <w:spacing w:before="10"/>
        <w:rPr>
          <w:sz w:val="17"/>
        </w:rPr>
      </w:pPr>
    </w:p>
    <w:p>
      <w:pPr>
        <w:pStyle w:val="ListParagraph"/>
        <w:numPr>
          <w:ilvl w:val="0"/>
          <w:numId w:val="131"/>
        </w:numPr>
        <w:tabs>
          <w:tab w:pos="504" w:val="left" w:leader="none"/>
        </w:tabs>
        <w:spacing w:line="240" w:lineRule="auto" w:before="0" w:after="0"/>
        <w:ind w:left="503" w:right="104" w:hanging="396"/>
        <w:jc w:val="left"/>
        <w:rPr>
          <w:sz w:val="18"/>
        </w:rPr>
      </w:pPr>
      <w:r>
        <w:rPr>
          <w:sz w:val="18"/>
        </w:rPr>
        <w:t>There are reasonable grounds to believe that the Company will be able to pay its debts as and when they become due and</w:t>
      </w:r>
      <w:r>
        <w:rPr>
          <w:spacing w:val="-4"/>
          <w:sz w:val="18"/>
        </w:rPr>
        <w:t> </w:t>
      </w:r>
      <w:r>
        <w:rPr>
          <w:sz w:val="18"/>
        </w:rPr>
        <w:t>payable.</w:t>
      </w:r>
    </w:p>
    <w:p>
      <w:pPr>
        <w:pStyle w:val="BodyText"/>
        <w:spacing w:before="2"/>
        <w:rPr>
          <w:sz w:val="25"/>
        </w:rPr>
      </w:pPr>
    </w:p>
    <w:p>
      <w:pPr>
        <w:pStyle w:val="BodyText"/>
        <w:ind w:left="107" w:right="210"/>
      </w:pPr>
      <w:r>
        <w:rPr/>
        <w:t>This declaration is made in accordance with a resolution of the Directors.</w:t>
      </w:r>
    </w:p>
    <w:p>
      <w:pPr>
        <w:pStyle w:val="BodyText"/>
        <w:rPr>
          <w:sz w:val="22"/>
        </w:rPr>
      </w:pPr>
      <w:r>
        <w:rPr/>
        <w:drawing>
          <wp:anchor distT="0" distB="0" distL="0" distR="0" allowOverlap="1" layoutInCell="1" locked="0" behindDoc="0" simplePos="0" relativeHeight="6088">
            <wp:simplePos x="0" y="0"/>
            <wp:positionH relativeFrom="page">
              <wp:posOffset>643794</wp:posOffset>
            </wp:positionH>
            <wp:positionV relativeFrom="paragraph">
              <wp:posOffset>185935</wp:posOffset>
            </wp:positionV>
            <wp:extent cx="5658937" cy="1360455"/>
            <wp:effectExtent l="0" t="0" r="0" b="0"/>
            <wp:wrapTopAndBottom/>
            <wp:docPr id="117" name="image80.jpeg" descr=""/>
            <wp:cNvGraphicFramePr>
              <a:graphicFrameLocks noChangeAspect="1"/>
            </wp:cNvGraphicFramePr>
            <a:graphic>
              <a:graphicData uri="http://schemas.openxmlformats.org/drawingml/2006/picture">
                <pic:pic>
                  <pic:nvPicPr>
                    <pic:cNvPr id="118" name="image80.jpeg"/>
                    <pic:cNvPicPr/>
                  </pic:nvPicPr>
                  <pic:blipFill>
                    <a:blip r:embed="rId247" cstate="print"/>
                    <a:stretch>
                      <a:fillRect/>
                    </a:stretch>
                  </pic:blipFill>
                  <pic:spPr>
                    <a:xfrm>
                      <a:off x="0" y="0"/>
                      <a:ext cx="5658937" cy="1360455"/>
                    </a:xfrm>
                    <a:prstGeom prst="rect">
                      <a:avLst/>
                    </a:prstGeom>
                  </pic:spPr>
                </pic:pic>
              </a:graphicData>
            </a:graphic>
          </wp:anchor>
        </w:drawing>
      </w:r>
    </w:p>
    <w:p>
      <w:pPr>
        <w:pStyle w:val="BodyText"/>
      </w:pPr>
    </w:p>
    <w:p>
      <w:pPr>
        <w:pStyle w:val="BodyText"/>
      </w:pPr>
    </w:p>
    <w:p>
      <w:pPr>
        <w:pStyle w:val="BodyText"/>
      </w:pPr>
    </w:p>
    <w:p>
      <w:pPr>
        <w:pStyle w:val="BodyText"/>
      </w:pPr>
    </w:p>
    <w:p>
      <w:pPr>
        <w:tabs>
          <w:tab w:pos="4479" w:val="left" w:leader="none"/>
        </w:tabs>
        <w:spacing w:line="708" w:lineRule="auto" w:before="128"/>
        <w:ind w:left="107" w:right="4080" w:firstLine="0"/>
        <w:jc w:val="left"/>
        <w:rPr>
          <w:sz w:val="16"/>
        </w:rPr>
      </w:pPr>
      <w:r>
        <w:rPr>
          <w:sz w:val="16"/>
        </w:rPr>
        <w:t>Prof. Janice</w:t>
      </w:r>
      <w:r>
        <w:rPr>
          <w:spacing w:val="2"/>
          <w:sz w:val="16"/>
        </w:rPr>
        <w:t> </w:t>
      </w:r>
      <w:r>
        <w:rPr>
          <w:sz w:val="16"/>
        </w:rPr>
        <w:t>Reid</w:t>
      </w:r>
      <w:r>
        <w:rPr>
          <w:spacing w:val="1"/>
          <w:sz w:val="16"/>
        </w:rPr>
        <w:t> </w:t>
      </w:r>
      <w:r>
        <w:rPr>
          <w:sz w:val="16"/>
        </w:rPr>
        <w:t>AM</w:t>
        <w:tab/>
        <w:t>Mr</w:t>
      </w:r>
      <w:r>
        <w:rPr>
          <w:spacing w:val="3"/>
          <w:sz w:val="16"/>
        </w:rPr>
        <w:t> </w:t>
      </w:r>
      <w:r>
        <w:rPr>
          <w:sz w:val="16"/>
        </w:rPr>
        <w:t>Geoffrey</w:t>
      </w:r>
      <w:r>
        <w:rPr>
          <w:spacing w:val="3"/>
          <w:sz w:val="16"/>
        </w:rPr>
        <w:t> </w:t>
      </w:r>
      <w:r>
        <w:rPr>
          <w:sz w:val="16"/>
        </w:rPr>
        <w:t>Roberson</w:t>
      </w:r>
      <w:r>
        <w:rPr>
          <w:w w:val="100"/>
          <w:sz w:val="16"/>
        </w:rPr>
        <w:t> </w:t>
      </w:r>
      <w:r>
        <w:rPr>
          <w:sz w:val="16"/>
        </w:rPr>
        <w:t>Dated  28 March</w:t>
      </w:r>
      <w:r>
        <w:rPr>
          <w:spacing w:val="6"/>
          <w:sz w:val="16"/>
        </w:rPr>
        <w:t> </w:t>
      </w:r>
      <w:r>
        <w:rPr>
          <w:sz w:val="16"/>
        </w:rPr>
        <w:t>2013</w:t>
      </w:r>
    </w:p>
    <w:p>
      <w:pPr>
        <w:spacing w:after="0" w:line="708" w:lineRule="auto"/>
        <w:jc w:val="left"/>
        <w:rPr>
          <w:sz w:val="16"/>
        </w:rPr>
        <w:sectPr>
          <w:headerReference w:type="default" r:id="rId258"/>
          <w:footerReference w:type="default" r:id="rId259"/>
          <w:pgSz w:w="11960" w:h="16850"/>
          <w:pgMar w:header="0" w:footer="507" w:top="660" w:bottom="700" w:left="900" w:right="900"/>
          <w:pgNumType w:start="27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8"/>
        </w:rPr>
      </w:pPr>
    </w:p>
    <w:p>
      <w:pPr>
        <w:pStyle w:val="Heading1"/>
        <w:spacing w:before="28"/>
        <w:ind w:right="392"/>
      </w:pPr>
      <w:r>
        <w:rPr/>
        <w:t>Whitlam Institute Within the University of Western Sydney Trust</w:t>
      </w:r>
    </w:p>
    <w:p>
      <w:pPr>
        <w:spacing w:line="226" w:lineRule="exact" w:before="0"/>
        <w:ind w:left="107" w:right="0" w:firstLine="0"/>
        <w:jc w:val="both"/>
        <w:rPr>
          <w:b/>
          <w:sz w:val="20"/>
        </w:rPr>
      </w:pPr>
      <w:r>
        <w:rPr>
          <w:b/>
          <w:sz w:val="20"/>
        </w:rPr>
        <w:t>ABN: 42 247 216 279</w:t>
      </w:r>
    </w:p>
    <w:p>
      <w:pPr>
        <w:pStyle w:val="BodyText"/>
        <w:rPr>
          <w:b/>
          <w:sz w:val="20"/>
        </w:rPr>
      </w:pPr>
    </w:p>
    <w:p>
      <w:pPr>
        <w:pStyle w:val="BodyText"/>
        <w:rPr>
          <w:b/>
          <w:sz w:val="20"/>
        </w:rPr>
      </w:pPr>
    </w:p>
    <w:p>
      <w:pPr>
        <w:pStyle w:val="BodyText"/>
        <w:spacing w:before="3"/>
        <w:rPr>
          <w:b/>
          <w:sz w:val="16"/>
        </w:rPr>
      </w:pPr>
    </w:p>
    <w:p>
      <w:pPr>
        <w:spacing w:before="0"/>
        <w:ind w:left="107" w:right="0" w:firstLine="0"/>
        <w:jc w:val="both"/>
        <w:rPr>
          <w:b/>
          <w:sz w:val="28"/>
        </w:rPr>
      </w:pPr>
      <w:r>
        <w:rPr>
          <w:b/>
          <w:sz w:val="28"/>
        </w:rPr>
        <w:t>Financial Statements</w:t>
      </w:r>
    </w:p>
    <w:p>
      <w:pPr>
        <w:spacing w:before="226"/>
        <w:ind w:left="107" w:right="0" w:firstLine="0"/>
        <w:jc w:val="both"/>
        <w:rPr>
          <w:b/>
          <w:sz w:val="20"/>
        </w:rPr>
      </w:pPr>
      <w:r>
        <w:rPr>
          <w:b/>
          <w:sz w:val="20"/>
        </w:rPr>
        <w:t>For the Year Ended 31 December 2012</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rPr>
      </w:pPr>
    </w:p>
    <w:p>
      <w:pPr>
        <w:pStyle w:val="BodyText"/>
        <w:ind w:left="107" w:right="458"/>
      </w:pPr>
      <w:r>
        <w:rPr/>
        <w:t>These financial statements of the Whitlam Institute Within the University of Western Sydney Trust are presented as an individual entity. The financial statements are presented in Australian currency.</w:t>
      </w:r>
    </w:p>
    <w:p>
      <w:pPr>
        <w:pStyle w:val="BodyText"/>
        <w:spacing w:before="6"/>
        <w:rPr>
          <w:sz w:val="14"/>
        </w:rPr>
      </w:pPr>
    </w:p>
    <w:p>
      <w:pPr>
        <w:pStyle w:val="BodyText"/>
        <w:ind w:left="107" w:right="98"/>
      </w:pPr>
      <w:r>
        <w:rPr/>
        <w:t>The registered office and principal place of business of the Whitlam Institute Within the University of Western Sydney Trust is:</w:t>
      </w:r>
    </w:p>
    <w:p>
      <w:pPr>
        <w:pStyle w:val="BodyText"/>
        <w:spacing w:before="6"/>
        <w:rPr>
          <w:sz w:val="14"/>
        </w:rPr>
      </w:pPr>
    </w:p>
    <w:p>
      <w:pPr>
        <w:pStyle w:val="BodyText"/>
        <w:ind w:left="107" w:right="4801"/>
      </w:pPr>
      <w:r>
        <w:rPr/>
        <w:t>Whitlam Institute Within the University of Western Sydney Trust University of Western Sydney</w:t>
      </w:r>
    </w:p>
    <w:p>
      <w:pPr>
        <w:pStyle w:val="BodyText"/>
        <w:spacing w:before="2"/>
        <w:ind w:left="107" w:right="7181"/>
        <w:jc w:val="both"/>
      </w:pPr>
      <w:r>
        <w:rPr/>
        <w:t>Building EZ, Parramatta Campus Cnr James Ruse Dr &amp; Victoria Rd Rydalmere NSW 2116</w:t>
      </w:r>
    </w:p>
    <w:p>
      <w:pPr>
        <w:pStyle w:val="BodyText"/>
      </w:pPr>
    </w:p>
    <w:p>
      <w:pPr>
        <w:pStyle w:val="BodyText"/>
        <w:spacing w:before="2"/>
        <w:rPr>
          <w:sz w:val="21"/>
        </w:rPr>
      </w:pPr>
    </w:p>
    <w:p>
      <w:pPr>
        <w:pStyle w:val="BodyText"/>
        <w:ind w:left="107"/>
        <w:jc w:val="both"/>
      </w:pPr>
      <w:r>
        <w:rPr/>
        <w:t>Registered postal address is:</w:t>
      </w:r>
    </w:p>
    <w:p>
      <w:pPr>
        <w:pStyle w:val="BodyText"/>
        <w:spacing w:before="8"/>
        <w:rPr>
          <w:sz w:val="14"/>
        </w:rPr>
      </w:pPr>
    </w:p>
    <w:p>
      <w:pPr>
        <w:pStyle w:val="BodyText"/>
        <w:ind w:left="107" w:right="4801"/>
      </w:pPr>
      <w:r>
        <w:rPr/>
        <w:t>Whitlam Institute Within the University of Western Sydney Trust Locked Bag 1797</w:t>
      </w:r>
    </w:p>
    <w:p>
      <w:pPr>
        <w:pStyle w:val="BodyText"/>
        <w:spacing w:line="206" w:lineRule="exact"/>
        <w:ind w:left="107"/>
        <w:jc w:val="both"/>
      </w:pPr>
      <w:r>
        <w:rPr/>
        <w:t>Penrith NSW 2751</w:t>
      </w:r>
    </w:p>
    <w:p>
      <w:pPr>
        <w:pStyle w:val="BodyText"/>
        <w:spacing w:before="8"/>
        <w:rPr>
          <w:sz w:val="14"/>
        </w:rPr>
      </w:pPr>
    </w:p>
    <w:p>
      <w:pPr>
        <w:pStyle w:val="BodyText"/>
        <w:ind w:left="107" w:right="1129"/>
      </w:pPr>
      <w:r>
        <w:rPr/>
        <w:t>A description of the nature of the Trust's operations and it principal activities is included in the Trustees' report which is not part of these financial statements.</w:t>
      </w:r>
    </w:p>
    <w:p>
      <w:pPr>
        <w:pStyle w:val="BodyText"/>
        <w:spacing w:before="6"/>
        <w:rPr>
          <w:sz w:val="14"/>
        </w:rPr>
      </w:pPr>
    </w:p>
    <w:p>
      <w:pPr>
        <w:pStyle w:val="BodyText"/>
        <w:ind w:left="107" w:right="183"/>
      </w:pPr>
      <w:r>
        <w:rPr/>
        <w:t>These financial statements were authorised for issue by the Trustees' on 28 March 2013. The Trustees have the power to amend and reissue the financial statements.</w:t>
      </w:r>
    </w:p>
    <w:p>
      <w:pPr>
        <w:spacing w:after="0"/>
        <w:sectPr>
          <w:headerReference w:type="default" r:id="rId260"/>
          <w:footerReference w:type="default" r:id="rId261"/>
          <w:pgSz w:w="11960" w:h="16850"/>
          <w:pgMar w:header="0" w:footer="507" w:top="1600" w:bottom="700" w:left="900" w:right="1080"/>
          <w:pgNumType w:start="271"/>
        </w:sectPr>
      </w:pPr>
    </w:p>
    <w:p>
      <w:pPr>
        <w:spacing w:before="47"/>
        <w:ind w:left="107" w:right="210" w:firstLine="0"/>
        <w:jc w:val="left"/>
        <w:rPr>
          <w:b/>
          <w:sz w:val="22"/>
        </w:rPr>
      </w:pPr>
      <w:r>
        <w:rPr>
          <w:b/>
          <w:sz w:val="22"/>
        </w:rPr>
        <w:t>Whitlam Institute Within the University of Western Sydney Trust</w:t>
      </w:r>
    </w:p>
    <w:p>
      <w:pPr>
        <w:spacing w:before="55"/>
        <w:ind w:left="107" w:right="210" w:firstLine="0"/>
        <w:jc w:val="left"/>
        <w:rPr>
          <w:b/>
          <w:sz w:val="14"/>
        </w:rPr>
      </w:pPr>
      <w:r>
        <w:rPr>
          <w:b/>
          <w:sz w:val="14"/>
        </w:rPr>
        <w:t>ABN: 42 247 216 279</w:t>
      </w:r>
    </w:p>
    <w:p>
      <w:pPr>
        <w:pStyle w:val="BodyText"/>
        <w:rPr>
          <w:b/>
          <w:sz w:val="14"/>
        </w:rPr>
      </w:pPr>
    </w:p>
    <w:p>
      <w:pPr>
        <w:pStyle w:val="BodyText"/>
        <w:spacing w:before="7"/>
        <w:rPr>
          <w:b/>
          <w:sz w:val="15"/>
        </w:rPr>
      </w:pPr>
    </w:p>
    <w:p>
      <w:pPr>
        <w:spacing w:before="1"/>
        <w:ind w:left="107" w:right="210" w:firstLine="0"/>
        <w:jc w:val="left"/>
        <w:rPr>
          <w:b/>
          <w:sz w:val="28"/>
        </w:rPr>
      </w:pPr>
      <w:r>
        <w:rPr>
          <w:b/>
          <w:sz w:val="28"/>
        </w:rPr>
        <w:t>Trustees' report</w:t>
      </w:r>
    </w:p>
    <w:p>
      <w:pPr>
        <w:pStyle w:val="Heading6"/>
        <w:spacing w:before="56"/>
        <w:ind w:right="210"/>
      </w:pPr>
      <w:r>
        <w:rPr/>
        <w:t>31 December 2012</w:t>
      </w:r>
    </w:p>
    <w:p>
      <w:pPr>
        <w:pStyle w:val="BodyText"/>
        <w:rPr>
          <w:b/>
          <w:sz w:val="22"/>
        </w:rPr>
      </w:pPr>
    </w:p>
    <w:p>
      <w:pPr>
        <w:pStyle w:val="BodyText"/>
        <w:spacing w:before="2"/>
        <w:rPr>
          <w:b/>
          <w:sz w:val="30"/>
        </w:rPr>
      </w:pPr>
    </w:p>
    <w:p>
      <w:pPr>
        <w:pStyle w:val="BodyText"/>
        <w:ind w:left="504" w:right="210"/>
      </w:pPr>
      <w:r>
        <w:rPr/>
        <w:t>Your Trustees present their report on Whitlam Institute Within the University of Western Sydney Trust for the financial year ended 31 December 2012.</w:t>
      </w:r>
    </w:p>
    <w:p>
      <w:pPr>
        <w:pStyle w:val="BodyText"/>
        <w:spacing w:before="6"/>
        <w:rPr>
          <w:sz w:val="24"/>
        </w:rPr>
      </w:pPr>
    </w:p>
    <w:p>
      <w:pPr>
        <w:pStyle w:val="Heading9"/>
        <w:ind w:left="503"/>
        <w:jc w:val="both"/>
      </w:pPr>
      <w:r>
        <w:rPr/>
        <w:t>Trustees</w:t>
      </w:r>
    </w:p>
    <w:p>
      <w:pPr>
        <w:pStyle w:val="BodyText"/>
        <w:spacing w:before="6"/>
        <w:ind w:left="503" w:right="104"/>
        <w:jc w:val="both"/>
      </w:pPr>
      <w:r>
        <w:rPr/>
        <w:t>The Whitlam Institute Within the University of Western Sydney Limited (referred to hereafter as the Trustee Company) has been appointed as the Trustee of the Trust. The following persons have been directors of the Trustee Company during the whole of the financial year and to the date of this report:</w:t>
      </w:r>
    </w:p>
    <w:p>
      <w:pPr>
        <w:pStyle w:val="BodyText"/>
        <w:spacing w:before="11"/>
        <w:rPr>
          <w:sz w:val="19"/>
        </w:rPr>
      </w:pPr>
    </w:p>
    <w:p>
      <w:pPr>
        <w:pStyle w:val="BodyText"/>
        <w:ind w:left="504" w:right="7024"/>
      </w:pPr>
      <w:r>
        <w:rPr/>
        <w:t>Senator The Hon. John Faulkner Mr Geoffrey Roberson</w:t>
      </w:r>
    </w:p>
    <w:p>
      <w:pPr>
        <w:pStyle w:val="BodyText"/>
        <w:spacing w:before="2"/>
        <w:ind w:left="504" w:right="7525"/>
      </w:pPr>
      <w:r>
        <w:rPr/>
        <w:t>Ms Patricia Amphlett OAM Prof. Janice Reid AM</w:t>
      </w:r>
    </w:p>
    <w:p>
      <w:pPr>
        <w:pStyle w:val="BodyText"/>
        <w:ind w:left="504" w:right="7835"/>
      </w:pPr>
      <w:r>
        <w:rPr/>
        <w:t>Ms Gabrielle Trainor Mr Talal Yassine OAM Mr John Wells</w:t>
      </w:r>
    </w:p>
    <w:p>
      <w:pPr>
        <w:pStyle w:val="BodyText"/>
        <w:ind w:left="504" w:right="7985"/>
      </w:pPr>
      <w:r>
        <w:rPr/>
        <w:t>Mr Nicholas Whitlam Dr Kerry Schott</w:t>
      </w:r>
    </w:p>
    <w:p>
      <w:pPr>
        <w:pStyle w:val="BodyText"/>
        <w:spacing w:before="146"/>
        <w:ind w:left="504"/>
        <w:jc w:val="both"/>
      </w:pPr>
      <w:r>
        <w:rPr/>
        <w:t>Directors have been in office since the start of the financial year to the date of this report unless otherwise stated.</w:t>
      </w:r>
    </w:p>
    <w:p>
      <w:pPr>
        <w:pStyle w:val="BodyText"/>
        <w:spacing w:before="6"/>
        <w:rPr>
          <w:sz w:val="24"/>
        </w:rPr>
      </w:pPr>
    </w:p>
    <w:p>
      <w:pPr>
        <w:pStyle w:val="Heading9"/>
        <w:ind w:left="503"/>
        <w:jc w:val="both"/>
      </w:pPr>
      <w:r>
        <w:rPr/>
        <w:t>Principal activities</w:t>
      </w:r>
    </w:p>
    <w:p>
      <w:pPr>
        <w:pStyle w:val="BodyText"/>
        <w:spacing w:before="6"/>
        <w:ind w:left="504"/>
        <w:jc w:val="both"/>
      </w:pPr>
      <w:r>
        <w:rPr/>
        <w:t>There were no significant changes in the nature of the Trust's activities during the year.</w:t>
      </w:r>
    </w:p>
    <w:p>
      <w:pPr>
        <w:pStyle w:val="BodyText"/>
        <w:spacing w:before="146"/>
        <w:ind w:left="503" w:right="103"/>
        <w:jc w:val="both"/>
      </w:pPr>
      <w:r>
        <w:rPr/>
        <w:t>The Whitlam Institute Within the University of Western Sydney Trust Fund exists to support (through the provision of money, property or benefits) the University of Western Sydney, specifically the work of the Whitlam Institute with  respect</w:t>
      </w:r>
      <w:r>
        <w:rPr>
          <w:spacing w:val="-3"/>
        </w:rPr>
        <w:t> </w:t>
      </w:r>
      <w:r>
        <w:rPr/>
        <w:t>to</w:t>
      </w:r>
      <w:r>
        <w:rPr>
          <w:spacing w:val="-2"/>
        </w:rPr>
        <w:t> </w:t>
      </w:r>
      <w:r>
        <w:rPr/>
        <w:t>the</w:t>
      </w:r>
      <w:r>
        <w:rPr>
          <w:spacing w:val="-7"/>
        </w:rPr>
        <w:t> </w:t>
      </w:r>
      <w:r>
        <w:rPr/>
        <w:t>Whitlam</w:t>
      </w:r>
      <w:r>
        <w:rPr>
          <w:spacing w:val="-2"/>
        </w:rPr>
        <w:t> </w:t>
      </w:r>
      <w:r>
        <w:rPr/>
        <w:t>Prime</w:t>
      </w:r>
      <w:r>
        <w:rPr>
          <w:spacing w:val="-5"/>
        </w:rPr>
        <w:t> </w:t>
      </w:r>
      <w:r>
        <w:rPr/>
        <w:t>Ministerial</w:t>
      </w:r>
      <w:r>
        <w:rPr>
          <w:spacing w:val="-5"/>
        </w:rPr>
        <w:t> </w:t>
      </w:r>
      <w:r>
        <w:rPr/>
        <w:t>Collection</w:t>
      </w:r>
      <w:r>
        <w:rPr>
          <w:spacing w:val="-5"/>
        </w:rPr>
        <w:t> </w:t>
      </w:r>
      <w:r>
        <w:rPr/>
        <w:t>and</w:t>
      </w:r>
      <w:r>
        <w:rPr>
          <w:spacing w:val="-5"/>
        </w:rPr>
        <w:t> </w:t>
      </w:r>
      <w:r>
        <w:rPr/>
        <w:t>the</w:t>
      </w:r>
      <w:r>
        <w:rPr>
          <w:spacing w:val="-2"/>
        </w:rPr>
        <w:t> </w:t>
      </w:r>
      <w:r>
        <w:rPr/>
        <w:t>Institute's</w:t>
      </w:r>
      <w:r>
        <w:rPr>
          <w:spacing w:val="-4"/>
        </w:rPr>
        <w:t> </w:t>
      </w:r>
      <w:r>
        <w:rPr/>
        <w:t>research,</w:t>
      </w:r>
      <w:r>
        <w:rPr>
          <w:spacing w:val="-3"/>
        </w:rPr>
        <w:t> </w:t>
      </w:r>
      <w:r>
        <w:rPr/>
        <w:t>educational</w:t>
      </w:r>
      <w:r>
        <w:rPr>
          <w:spacing w:val="-2"/>
        </w:rPr>
        <w:t> </w:t>
      </w:r>
      <w:r>
        <w:rPr/>
        <w:t>and</w:t>
      </w:r>
      <w:r>
        <w:rPr>
          <w:spacing w:val="-5"/>
        </w:rPr>
        <w:t> </w:t>
      </w:r>
      <w:r>
        <w:rPr/>
        <w:t>policy</w:t>
      </w:r>
      <w:r>
        <w:rPr>
          <w:spacing w:val="-4"/>
        </w:rPr>
        <w:t> </w:t>
      </w:r>
      <w:r>
        <w:rPr/>
        <w:t>activity.</w:t>
      </w:r>
    </w:p>
    <w:p>
      <w:pPr>
        <w:pStyle w:val="BodyText"/>
        <w:rPr>
          <w:sz w:val="25"/>
        </w:rPr>
      </w:pPr>
    </w:p>
    <w:p>
      <w:pPr>
        <w:pStyle w:val="BodyText"/>
        <w:ind w:left="504"/>
        <w:jc w:val="both"/>
      </w:pPr>
      <w:r>
        <w:rPr/>
        <w:t>This report is made in accordance with a resolution of the Trustee.</w:t>
      </w:r>
    </w:p>
    <w:p>
      <w:pPr>
        <w:pStyle w:val="BodyText"/>
        <w:spacing w:before="2"/>
        <w:rPr>
          <w:sz w:val="22"/>
        </w:rPr>
      </w:pPr>
      <w:r>
        <w:rPr/>
        <w:drawing>
          <wp:anchor distT="0" distB="0" distL="0" distR="0" allowOverlap="1" layoutInCell="1" locked="0" behindDoc="0" simplePos="0" relativeHeight="6112">
            <wp:simplePos x="0" y="0"/>
            <wp:positionH relativeFrom="page">
              <wp:posOffset>895506</wp:posOffset>
            </wp:positionH>
            <wp:positionV relativeFrom="paragraph">
              <wp:posOffset>186895</wp:posOffset>
            </wp:positionV>
            <wp:extent cx="5917222" cy="1399317"/>
            <wp:effectExtent l="0" t="0" r="0" b="0"/>
            <wp:wrapTopAndBottom/>
            <wp:docPr id="119" name="image84.jpeg" descr=""/>
            <wp:cNvGraphicFramePr>
              <a:graphicFrameLocks noChangeAspect="1"/>
            </wp:cNvGraphicFramePr>
            <a:graphic>
              <a:graphicData uri="http://schemas.openxmlformats.org/drawingml/2006/picture">
                <pic:pic>
                  <pic:nvPicPr>
                    <pic:cNvPr id="120" name="image84.jpeg"/>
                    <pic:cNvPicPr/>
                  </pic:nvPicPr>
                  <pic:blipFill>
                    <a:blip r:embed="rId264" cstate="print"/>
                    <a:stretch>
                      <a:fillRect/>
                    </a:stretch>
                  </pic:blipFill>
                  <pic:spPr>
                    <a:xfrm>
                      <a:off x="0" y="0"/>
                      <a:ext cx="5917222" cy="1399317"/>
                    </a:xfrm>
                    <a:prstGeom prst="rect">
                      <a:avLst/>
                    </a:prstGeom>
                  </pic:spPr>
                </pic:pic>
              </a:graphicData>
            </a:graphic>
          </wp:anchor>
        </w:drawing>
      </w:r>
    </w:p>
    <w:p>
      <w:pPr>
        <w:pStyle w:val="BodyText"/>
        <w:spacing w:before="10"/>
        <w:rPr>
          <w:sz w:val="22"/>
        </w:rPr>
      </w:pPr>
    </w:p>
    <w:p>
      <w:pPr>
        <w:pStyle w:val="BodyText"/>
        <w:tabs>
          <w:tab w:pos="4946" w:val="left" w:leader="none"/>
        </w:tabs>
        <w:spacing w:line="278" w:lineRule="auto"/>
        <w:ind w:left="512" w:right="3422" w:hanging="9"/>
      </w:pPr>
      <w:r>
        <w:rPr/>
        <w:t>Prof. Janice</w:t>
      </w:r>
      <w:r>
        <w:rPr>
          <w:spacing w:val="-1"/>
        </w:rPr>
        <w:t> </w:t>
      </w:r>
      <w:r>
        <w:rPr/>
        <w:t>Reid</w:t>
      </w:r>
      <w:r>
        <w:rPr>
          <w:spacing w:val="-1"/>
        </w:rPr>
        <w:t> </w:t>
      </w:r>
      <w:r>
        <w:rPr/>
        <w:t>AM</w:t>
        <w:tab/>
        <w:t>Mr</w:t>
      </w:r>
      <w:r>
        <w:rPr>
          <w:spacing w:val="-1"/>
        </w:rPr>
        <w:t> </w:t>
      </w:r>
      <w:r>
        <w:rPr/>
        <w:t>Geoffrey</w:t>
      </w:r>
      <w:r>
        <w:rPr>
          <w:spacing w:val="-1"/>
        </w:rPr>
        <w:t> </w:t>
      </w:r>
      <w:r>
        <w:rPr/>
        <w:t>Roberson</w:t>
      </w:r>
      <w:r>
        <w:rPr>
          <w:w w:val="99"/>
        </w:rPr>
        <w:t> </w:t>
      </w:r>
      <w:r>
        <w:rPr/>
        <w:t>Dated 28 March</w:t>
      </w:r>
      <w:r>
        <w:rPr>
          <w:spacing w:val="-1"/>
        </w:rPr>
        <w:t> </w:t>
      </w:r>
      <w:r>
        <w:rPr/>
        <w:t>2013</w:t>
      </w:r>
    </w:p>
    <w:p>
      <w:pPr>
        <w:spacing w:after="0" w:line="278" w:lineRule="auto"/>
        <w:sectPr>
          <w:headerReference w:type="default" r:id="rId262"/>
          <w:footerReference w:type="default" r:id="rId263"/>
          <w:pgSz w:w="11960" w:h="16850"/>
          <w:pgMar w:header="0" w:footer="507" w:top="660" w:bottom="700" w:left="900" w:right="900"/>
          <w:pgNumType w:start="272"/>
        </w:sectPr>
      </w:pPr>
    </w:p>
    <w:p>
      <w:pPr>
        <w:spacing w:before="52"/>
        <w:ind w:left="10" w:right="0" w:firstLine="0"/>
        <w:jc w:val="center"/>
        <w:rPr>
          <w:sz w:val="16"/>
        </w:rPr>
      </w:pPr>
      <w:r>
        <w:rPr>
          <w:rFonts w:ascii="Times New Roman"/>
          <w:spacing w:val="-162"/>
          <w:w w:val="258"/>
          <w:sz w:val="19"/>
        </w:rPr>
        <w:t>,</w:t>
      </w:r>
      <w:r>
        <w:rPr>
          <w:rFonts w:ascii="Times New Roman"/>
          <w:w w:val="76"/>
          <w:sz w:val="19"/>
        </w:rPr>
        <w:t>-1</w:t>
      </w:r>
      <w:r>
        <w:rPr>
          <w:rFonts w:ascii="Times New Roman"/>
          <w:spacing w:val="-26"/>
          <w:sz w:val="19"/>
        </w:rPr>
        <w:t> </w:t>
      </w:r>
      <w:r>
        <w:rPr>
          <w:w w:val="144"/>
          <w:sz w:val="16"/>
        </w:rPr>
        <w:t>oR-Gt</w:t>
      </w:r>
      <w:r>
        <w:rPr>
          <w:spacing w:val="-28"/>
          <w:w w:val="144"/>
          <w:sz w:val="16"/>
        </w:rPr>
        <w:t>,</w:t>
      </w:r>
      <w:r>
        <w:rPr>
          <w:w w:val="142"/>
          <w:sz w:val="16"/>
        </w:rPr>
        <w:t>I\,</w:t>
      </w:r>
    </w:p>
    <w:p>
      <w:pPr>
        <w:tabs>
          <w:tab w:pos="1299" w:val="left" w:leader="none"/>
        </w:tabs>
        <w:spacing w:line="323" w:lineRule="exact" w:before="56"/>
        <w:ind w:left="54" w:right="0" w:firstLine="0"/>
        <w:jc w:val="center"/>
        <w:rPr>
          <w:rFonts w:ascii="Times New Roman"/>
          <w:sz w:val="22"/>
        </w:rPr>
      </w:pPr>
      <w:r>
        <w:rPr>
          <w:rFonts w:ascii="Times New Roman"/>
          <w:w w:val="68"/>
          <w:sz w:val="32"/>
        </w:rPr>
        <w:t>.;</w:t>
      </w:r>
      <w:r>
        <w:rPr>
          <w:rFonts w:ascii="Times New Roman"/>
          <w:spacing w:val="-56"/>
          <w:w w:val="68"/>
          <w:sz w:val="32"/>
        </w:rPr>
        <w:t>?</w:t>
      </w:r>
      <w:r>
        <w:rPr>
          <w:rFonts w:ascii="Times New Roman"/>
          <w:w w:val="93"/>
          <w:sz w:val="32"/>
        </w:rPr>
        <w:t>0</w:t>
      </w:r>
      <w:r>
        <w:rPr>
          <w:rFonts w:ascii="Times New Roman"/>
          <w:sz w:val="32"/>
        </w:rPr>
        <w:tab/>
      </w:r>
      <w:r>
        <w:rPr>
          <w:rFonts w:ascii="Times New Roman"/>
          <w:spacing w:val="-24"/>
          <w:w w:val="88"/>
          <w:sz w:val="22"/>
        </w:rPr>
        <w:t>&lt;</w:t>
      </w:r>
      <w:r>
        <w:rPr>
          <w:rFonts w:ascii="Times New Roman"/>
          <w:spacing w:val="-48"/>
          <w:w w:val="65"/>
          <w:sz w:val="22"/>
        </w:rPr>
        <w:t>1</w:t>
      </w:r>
      <w:r>
        <w:rPr>
          <w:rFonts w:ascii="Times New Roman"/>
          <w:spacing w:val="12"/>
          <w:w w:val="88"/>
          <w:sz w:val="22"/>
        </w:rPr>
        <w:t>'</w:t>
      </w:r>
      <w:r>
        <w:rPr>
          <w:rFonts w:ascii="Times New Roman"/>
          <w:spacing w:val="-80"/>
          <w:w w:val="64"/>
          <w:sz w:val="22"/>
        </w:rPr>
        <w:t>&gt;</w:t>
      </w:r>
      <w:r>
        <w:rPr>
          <w:rFonts w:ascii="Times New Roman"/>
          <w:w w:val="92"/>
          <w:sz w:val="22"/>
        </w:rPr>
        <w:t>.,,</w:t>
      </w:r>
    </w:p>
    <w:p>
      <w:pPr>
        <w:tabs>
          <w:tab w:pos="1557" w:val="left" w:leader="none"/>
        </w:tabs>
        <w:spacing w:line="139" w:lineRule="exact" w:before="0"/>
        <w:ind w:left="808" w:right="0" w:firstLine="0"/>
        <w:jc w:val="center"/>
        <w:rPr>
          <w:b/>
          <w:sz w:val="16"/>
        </w:rPr>
      </w:pPr>
      <w:r>
        <w:rPr>
          <w:b/>
          <w:i/>
          <w:w w:val="95"/>
          <w:sz w:val="16"/>
        </w:rPr>
        <w:t>ti </w:t>
      </w:r>
      <w:r>
        <w:rPr>
          <w:b/>
          <w:i/>
          <w:spacing w:val="39"/>
          <w:w w:val="95"/>
          <w:sz w:val="16"/>
        </w:rPr>
        <w:t> </w:t>
      </w:r>
      <w:r>
        <w:rPr>
          <w:b/>
          <w:w w:val="95"/>
          <w:sz w:val="16"/>
        </w:rPr>
        <w:t>:</w:t>
        <w:tab/>
        <w:t>r"</w:t>
      </w:r>
    </w:p>
    <w:p>
      <w:pPr>
        <w:pStyle w:val="BodyText"/>
        <w:spacing w:before="10"/>
        <w:rPr>
          <w:b/>
          <w:sz w:val="20"/>
        </w:rPr>
      </w:pPr>
    </w:p>
    <w:p>
      <w:pPr>
        <w:spacing w:before="1"/>
        <w:ind w:left="79" w:right="0" w:firstLine="0"/>
        <w:jc w:val="center"/>
        <w:rPr>
          <w:sz w:val="14"/>
        </w:rPr>
      </w:pPr>
      <w:r>
        <w:rPr/>
        <w:drawing>
          <wp:anchor distT="0" distB="0" distL="0" distR="0" allowOverlap="1" layoutInCell="1" locked="0" behindDoc="0" simplePos="0" relativeHeight="6136">
            <wp:simplePos x="0" y="0"/>
            <wp:positionH relativeFrom="page">
              <wp:posOffset>3328415</wp:posOffset>
            </wp:positionH>
            <wp:positionV relativeFrom="paragraph">
              <wp:posOffset>201090</wp:posOffset>
            </wp:positionV>
            <wp:extent cx="841247" cy="237744"/>
            <wp:effectExtent l="0" t="0" r="0" b="0"/>
            <wp:wrapTopAndBottom/>
            <wp:docPr id="121" name="image85.png" descr=""/>
            <wp:cNvGraphicFramePr>
              <a:graphicFrameLocks noChangeAspect="1"/>
            </wp:cNvGraphicFramePr>
            <a:graphic>
              <a:graphicData uri="http://schemas.openxmlformats.org/drawingml/2006/picture">
                <pic:pic>
                  <pic:nvPicPr>
                    <pic:cNvPr id="122" name="image85.png"/>
                    <pic:cNvPicPr/>
                  </pic:nvPicPr>
                  <pic:blipFill>
                    <a:blip r:embed="rId267" cstate="print"/>
                    <a:stretch>
                      <a:fillRect/>
                    </a:stretch>
                  </pic:blipFill>
                  <pic:spPr>
                    <a:xfrm>
                      <a:off x="0" y="0"/>
                      <a:ext cx="841247" cy="237744"/>
                    </a:xfrm>
                    <a:prstGeom prst="rect">
                      <a:avLst/>
                    </a:prstGeom>
                  </pic:spPr>
                </pic:pic>
              </a:graphicData>
            </a:graphic>
          </wp:anchor>
        </w:drawing>
      </w:r>
      <w:r>
        <w:rPr>
          <w:w w:val="101"/>
          <w:sz w:val="14"/>
        </w:rPr>
        <w:t>,•</w:t>
      </w:r>
      <w:r>
        <w:rPr>
          <w:spacing w:val="1"/>
          <w:sz w:val="14"/>
        </w:rPr>
        <w:t> </w:t>
      </w:r>
      <w:r>
        <w:rPr>
          <w:w w:val="132"/>
          <w:sz w:val="16"/>
        </w:rPr>
        <w:t>'</w:t>
      </w:r>
      <w:r>
        <w:rPr>
          <w:spacing w:val="1"/>
          <w:sz w:val="16"/>
        </w:rPr>
        <w:t> </w:t>
      </w:r>
      <w:r>
        <w:rPr>
          <w:w w:val="111"/>
          <w:sz w:val="14"/>
        </w:rPr>
        <w:t>'"</w:t>
      </w:r>
      <w:r>
        <w:rPr>
          <w:spacing w:val="-9"/>
          <w:sz w:val="14"/>
        </w:rPr>
        <w:t> </w:t>
      </w:r>
      <w:r>
        <w:rPr>
          <w:rFonts w:ascii="Times New Roman" w:hAnsi="Times New Roman"/>
          <w:w w:val="114"/>
          <w:sz w:val="10"/>
        </w:rPr>
        <w:t>"'</w:t>
      </w:r>
      <w:r>
        <w:rPr>
          <w:rFonts w:ascii="Times New Roman" w:hAnsi="Times New Roman"/>
          <w:spacing w:val="-21"/>
          <w:w w:val="114"/>
          <w:sz w:val="10"/>
        </w:rPr>
        <w:t>;</w:t>
      </w:r>
      <w:r>
        <w:rPr>
          <w:rFonts w:ascii="Times New Roman" w:hAnsi="Times New Roman"/>
          <w:spacing w:val="-12"/>
          <w:w w:val="294"/>
          <w:sz w:val="10"/>
        </w:rPr>
        <w:t>·</w:t>
      </w:r>
      <w:r>
        <w:rPr>
          <w:rFonts w:ascii="Times New Roman" w:hAnsi="Times New Roman"/>
          <w:w w:val="196"/>
          <w:sz w:val="10"/>
        </w:rPr>
        <w:t>-</w:t>
      </w:r>
      <w:r>
        <w:rPr>
          <w:rFonts w:ascii="Times New Roman" w:hAnsi="Times New Roman"/>
          <w:sz w:val="10"/>
        </w:rPr>
        <w:t> </w:t>
      </w:r>
      <w:r>
        <w:rPr>
          <w:rFonts w:ascii="Times New Roman" w:hAnsi="Times New Roman"/>
          <w:spacing w:val="-1"/>
          <w:sz w:val="10"/>
        </w:rPr>
        <w:t> </w:t>
      </w:r>
      <w:r>
        <w:rPr>
          <w:w w:val="113"/>
          <w:sz w:val="13"/>
        </w:rPr>
        <w:t>"</w:t>
      </w:r>
      <w:r>
        <w:rPr>
          <w:spacing w:val="-9"/>
          <w:w w:val="113"/>
          <w:sz w:val="13"/>
        </w:rPr>
        <w:t>·</w:t>
      </w:r>
      <w:r>
        <w:rPr>
          <w:w w:val="109"/>
          <w:sz w:val="13"/>
        </w:rPr>
        <w:t>•</w:t>
      </w:r>
      <w:r>
        <w:rPr>
          <w:sz w:val="13"/>
        </w:rPr>
        <w:t> </w:t>
      </w:r>
      <w:r>
        <w:rPr>
          <w:spacing w:val="7"/>
          <w:sz w:val="13"/>
        </w:rPr>
        <w:t> </w:t>
      </w:r>
      <w:r>
        <w:rPr>
          <w:w w:val="107"/>
          <w:sz w:val="14"/>
        </w:rPr>
        <w:t>.,</w:t>
      </w:r>
    </w:p>
    <w:p>
      <w:pPr>
        <w:pStyle w:val="BodyText"/>
        <w:rPr>
          <w:sz w:val="16"/>
        </w:rPr>
      </w:pPr>
    </w:p>
    <w:p>
      <w:pPr>
        <w:spacing w:before="111"/>
        <w:ind w:left="89" w:right="0" w:firstLine="0"/>
        <w:jc w:val="center"/>
        <w:rPr>
          <w:b/>
          <w:sz w:val="23"/>
        </w:rPr>
      </w:pPr>
      <w:r>
        <w:rPr>
          <w:b/>
          <w:sz w:val="23"/>
        </w:rPr>
        <w:t>INDEPENDENT  AUDITOR'S  REPORT</w:t>
      </w:r>
    </w:p>
    <w:p>
      <w:pPr>
        <w:pStyle w:val="BodyText"/>
        <w:spacing w:before="6"/>
        <w:rPr>
          <w:b/>
          <w:sz w:val="21"/>
        </w:rPr>
      </w:pPr>
    </w:p>
    <w:p>
      <w:pPr>
        <w:spacing w:before="0"/>
        <w:ind w:left="2228" w:right="118" w:firstLine="0"/>
        <w:jc w:val="left"/>
        <w:rPr>
          <w:b/>
          <w:sz w:val="19"/>
        </w:rPr>
      </w:pPr>
      <w:r>
        <w:rPr>
          <w:b/>
          <w:sz w:val="19"/>
        </w:rPr>
        <w:t>Whitlam  Institute within  the  University  of Western  Sydney Trust</w:t>
      </w:r>
    </w:p>
    <w:p>
      <w:pPr>
        <w:pStyle w:val="BodyText"/>
        <w:rPr>
          <w:b/>
        </w:rPr>
      </w:pPr>
    </w:p>
    <w:p>
      <w:pPr>
        <w:pStyle w:val="BodyText"/>
        <w:spacing w:before="10"/>
        <w:rPr>
          <w:b/>
          <w:sz w:val="22"/>
        </w:rPr>
      </w:pPr>
    </w:p>
    <w:p>
      <w:pPr>
        <w:spacing w:before="0"/>
        <w:ind w:left="709" w:right="0" w:firstLine="0"/>
        <w:jc w:val="both"/>
        <w:rPr>
          <w:sz w:val="20"/>
        </w:rPr>
      </w:pPr>
      <w:r>
        <w:rPr>
          <w:sz w:val="20"/>
        </w:rPr>
        <w:t>To Members of the New South Wales Parliament.</w:t>
      </w:r>
    </w:p>
    <w:p>
      <w:pPr>
        <w:pStyle w:val="BodyText"/>
        <w:spacing w:before="10"/>
        <w:rPr>
          <w:sz w:val="23"/>
        </w:rPr>
      </w:pPr>
    </w:p>
    <w:p>
      <w:pPr>
        <w:spacing w:before="0"/>
        <w:ind w:left="716" w:right="0" w:firstLine="0"/>
        <w:jc w:val="both"/>
        <w:rPr>
          <w:b/>
          <w:sz w:val="23"/>
        </w:rPr>
      </w:pPr>
      <w:r>
        <w:rPr>
          <w:b/>
          <w:sz w:val="23"/>
        </w:rPr>
        <w:t>Report on the  Financial  Statements</w:t>
      </w:r>
    </w:p>
    <w:p>
      <w:pPr>
        <w:pStyle w:val="BodyText"/>
        <w:spacing w:before="3"/>
        <w:rPr>
          <w:b/>
          <w:sz w:val="23"/>
        </w:rPr>
      </w:pPr>
    </w:p>
    <w:p>
      <w:pPr>
        <w:spacing w:line="242" w:lineRule="auto" w:before="0"/>
        <w:ind w:left="702" w:right="622" w:firstLine="14"/>
        <w:jc w:val="both"/>
        <w:rPr>
          <w:sz w:val="20"/>
        </w:rPr>
      </w:pPr>
      <w:r>
        <w:rPr>
          <w:sz w:val="20"/>
        </w:rPr>
        <w:t>I have audited the accompanying financial statements Whitlam Institute within the University of Western  Sydney  Trust  (the  Trust),  which  comprise  the  statement   of  financial   position  as  at   31 December 2012, the statement of comprehensive income, statement of changes in equity and statement of cash flows, for the year then ended, notes comprising a summary of significant  accounting policies and other explanatory</w:t>
      </w:r>
      <w:r>
        <w:rPr>
          <w:spacing w:val="-24"/>
          <w:sz w:val="20"/>
        </w:rPr>
        <w:t> </w:t>
      </w:r>
      <w:r>
        <w:rPr>
          <w:sz w:val="20"/>
        </w:rPr>
        <w:t>information.</w:t>
      </w:r>
    </w:p>
    <w:p>
      <w:pPr>
        <w:pStyle w:val="BodyText"/>
        <w:spacing w:before="7"/>
        <w:rPr>
          <w:sz w:val="23"/>
        </w:rPr>
      </w:pPr>
    </w:p>
    <w:p>
      <w:pPr>
        <w:spacing w:before="1"/>
        <w:ind w:left="716" w:right="0" w:firstLine="0"/>
        <w:jc w:val="both"/>
        <w:rPr>
          <w:b/>
          <w:sz w:val="23"/>
        </w:rPr>
      </w:pPr>
      <w:r>
        <w:rPr>
          <w:b/>
          <w:sz w:val="23"/>
        </w:rPr>
        <w:t>Basis for  Qualified Opinion</w:t>
      </w:r>
    </w:p>
    <w:p>
      <w:pPr>
        <w:pStyle w:val="BodyText"/>
        <w:spacing w:before="3"/>
        <w:rPr>
          <w:b/>
          <w:sz w:val="23"/>
        </w:rPr>
      </w:pPr>
    </w:p>
    <w:p>
      <w:pPr>
        <w:spacing w:line="242" w:lineRule="auto" w:before="0"/>
        <w:ind w:left="702" w:right="620" w:firstLine="0"/>
        <w:jc w:val="both"/>
        <w:rPr>
          <w:sz w:val="20"/>
        </w:rPr>
      </w:pPr>
      <w:r>
        <w:rPr>
          <w:sz w:val="20"/>
        </w:rPr>
        <w:t>As is common for entities that have donations and fundraising as sources of revenue, it is  impracticable for the Trust to maintain an effective system of internal control over donated and fundraising revenues it receives until their initial entry into the financial records. Accordingly, as the evidence available to me regarding revenue from these sources was limited, my audit procedures with respect to these revenues were restricted to the amounts recorded in the financial records. I am therefore unable to express an opinion on whether all donated and fundraising revenues received by the Trust during the year ended 31 December 2012 have been recorded in its financial records. My auditor's report for the year ended 31 December 2011 was similarly</w:t>
      </w:r>
      <w:r>
        <w:rPr>
          <w:spacing w:val="-20"/>
          <w:sz w:val="20"/>
        </w:rPr>
        <w:t> </w:t>
      </w:r>
      <w:r>
        <w:rPr>
          <w:sz w:val="20"/>
        </w:rPr>
        <w:t>qualified.</w:t>
      </w:r>
    </w:p>
    <w:p>
      <w:pPr>
        <w:pStyle w:val="BodyText"/>
        <w:spacing w:before="3"/>
        <w:rPr>
          <w:sz w:val="24"/>
        </w:rPr>
      </w:pPr>
    </w:p>
    <w:p>
      <w:pPr>
        <w:spacing w:before="0"/>
        <w:ind w:left="709" w:right="0" w:firstLine="0"/>
        <w:jc w:val="both"/>
        <w:rPr>
          <w:b/>
          <w:sz w:val="23"/>
        </w:rPr>
      </w:pPr>
      <w:r>
        <w:rPr>
          <w:b/>
          <w:sz w:val="23"/>
        </w:rPr>
        <w:t>Qualified</w:t>
      </w:r>
      <w:r>
        <w:rPr>
          <w:b/>
          <w:spacing w:val="62"/>
          <w:sz w:val="23"/>
        </w:rPr>
        <w:t> </w:t>
      </w:r>
      <w:r>
        <w:rPr>
          <w:b/>
          <w:sz w:val="23"/>
        </w:rPr>
        <w:t>Opinion</w:t>
      </w:r>
    </w:p>
    <w:p>
      <w:pPr>
        <w:pStyle w:val="BodyText"/>
        <w:spacing w:before="7"/>
        <w:rPr>
          <w:b/>
          <w:sz w:val="22"/>
        </w:rPr>
      </w:pPr>
    </w:p>
    <w:p>
      <w:pPr>
        <w:spacing w:line="247" w:lineRule="auto" w:before="0"/>
        <w:ind w:left="702" w:right="620" w:firstLine="7"/>
        <w:jc w:val="both"/>
        <w:rPr>
          <w:sz w:val="20"/>
        </w:rPr>
      </w:pPr>
      <w:r>
        <w:rPr>
          <w:sz w:val="20"/>
        </w:rPr>
        <w:t>In my opinion, except for the effects of such adjustments, if any, as might have been necessary had I been able to satisfy myself as to the completeness of donated and fundraising revenue, the financial statements:</w:t>
      </w:r>
    </w:p>
    <w:p>
      <w:pPr>
        <w:pStyle w:val="BodyText"/>
        <w:spacing w:before="2"/>
        <w:rPr>
          <w:sz w:val="23"/>
        </w:rPr>
      </w:pPr>
    </w:p>
    <w:p>
      <w:pPr>
        <w:pStyle w:val="ListParagraph"/>
        <w:numPr>
          <w:ilvl w:val="0"/>
          <w:numId w:val="132"/>
        </w:numPr>
        <w:tabs>
          <w:tab w:pos="1264" w:val="left" w:leader="none"/>
        </w:tabs>
        <w:spacing w:line="247" w:lineRule="auto" w:before="1" w:after="0"/>
        <w:ind w:left="1278" w:right="628" w:hanging="576"/>
        <w:jc w:val="left"/>
        <w:rPr>
          <w:sz w:val="20"/>
        </w:rPr>
      </w:pPr>
      <w:r>
        <w:rPr>
          <w:sz w:val="20"/>
        </w:rPr>
        <w:t>give a true and fair view of the Trust's financial position as at 31 December 2012, and its performance for the year ended on that</w:t>
      </w:r>
      <w:r>
        <w:rPr>
          <w:spacing w:val="-22"/>
          <w:sz w:val="20"/>
        </w:rPr>
        <w:t> </w:t>
      </w:r>
      <w:r>
        <w:rPr>
          <w:sz w:val="20"/>
        </w:rPr>
        <w:t>date</w:t>
      </w:r>
    </w:p>
    <w:p>
      <w:pPr>
        <w:pStyle w:val="ListParagraph"/>
        <w:numPr>
          <w:ilvl w:val="0"/>
          <w:numId w:val="132"/>
        </w:numPr>
        <w:tabs>
          <w:tab w:pos="1264" w:val="left" w:leader="none"/>
        </w:tabs>
        <w:spacing w:line="240" w:lineRule="auto" w:before="51" w:after="0"/>
        <w:ind w:left="1264" w:right="0" w:hanging="562"/>
        <w:jc w:val="both"/>
        <w:rPr>
          <w:sz w:val="20"/>
        </w:rPr>
      </w:pPr>
      <w:r>
        <w:rPr>
          <w:sz w:val="20"/>
        </w:rPr>
        <w:t>comply with Australian Accounting</w:t>
      </w:r>
      <w:r>
        <w:rPr>
          <w:spacing w:val="-16"/>
          <w:sz w:val="20"/>
        </w:rPr>
        <w:t> </w:t>
      </w:r>
      <w:r>
        <w:rPr>
          <w:sz w:val="20"/>
        </w:rPr>
        <w:t>Standards</w:t>
      </w:r>
    </w:p>
    <w:p>
      <w:pPr>
        <w:pStyle w:val="ListParagraph"/>
        <w:numPr>
          <w:ilvl w:val="0"/>
          <w:numId w:val="132"/>
        </w:numPr>
        <w:tabs>
          <w:tab w:pos="1264" w:val="left" w:leader="none"/>
        </w:tabs>
        <w:spacing w:line="247" w:lineRule="auto" w:before="58" w:after="0"/>
        <w:ind w:left="1264" w:right="655" w:hanging="562"/>
        <w:jc w:val="left"/>
        <w:rPr>
          <w:sz w:val="20"/>
        </w:rPr>
      </w:pPr>
      <w:r>
        <w:rPr>
          <w:sz w:val="20"/>
        </w:rPr>
        <w:t>are in accordance with section 41B of the </w:t>
      </w:r>
      <w:r>
        <w:rPr>
          <w:i/>
          <w:sz w:val="20"/>
        </w:rPr>
        <w:t>Public Finance and Audit Act 1983 </w:t>
      </w:r>
      <w:r>
        <w:rPr>
          <w:sz w:val="20"/>
        </w:rPr>
        <w:t>(the PF&amp;A Act) and the Public Finance and Audit Regulation</w:t>
      </w:r>
      <w:r>
        <w:rPr>
          <w:spacing w:val="-15"/>
          <w:sz w:val="20"/>
        </w:rPr>
        <w:t> </w:t>
      </w:r>
      <w:r>
        <w:rPr>
          <w:sz w:val="20"/>
        </w:rPr>
        <w:t>2010.</w:t>
      </w:r>
    </w:p>
    <w:p>
      <w:pPr>
        <w:pStyle w:val="BodyText"/>
        <w:spacing w:before="10"/>
        <w:rPr>
          <w:sz w:val="23"/>
        </w:rPr>
      </w:pPr>
    </w:p>
    <w:p>
      <w:pPr>
        <w:spacing w:before="0"/>
        <w:ind w:left="709" w:right="0" w:firstLine="0"/>
        <w:jc w:val="both"/>
        <w:rPr>
          <w:sz w:val="20"/>
        </w:rPr>
      </w:pPr>
      <w:r>
        <w:rPr>
          <w:sz w:val="20"/>
        </w:rPr>
        <w:t>My qualified opinion should be read in conjunction with the rest of this report.</w:t>
      </w:r>
    </w:p>
    <w:p>
      <w:pPr>
        <w:pStyle w:val="BodyText"/>
        <w:spacing w:before="8"/>
        <w:rPr>
          <w:sz w:val="20"/>
        </w:rPr>
      </w:pPr>
    </w:p>
    <w:p>
      <w:pPr>
        <w:spacing w:before="0"/>
        <w:ind w:left="702" w:right="0" w:firstLine="0"/>
        <w:jc w:val="both"/>
        <w:rPr>
          <w:b/>
          <w:sz w:val="23"/>
        </w:rPr>
      </w:pPr>
      <w:r>
        <w:rPr>
          <w:b/>
          <w:sz w:val="23"/>
        </w:rPr>
        <w:t>The  Directors'  Responsibility  for the  Financial Statements</w:t>
      </w:r>
    </w:p>
    <w:p>
      <w:pPr>
        <w:pStyle w:val="BodyText"/>
        <w:spacing w:before="1"/>
        <w:rPr>
          <w:b/>
          <w:sz w:val="20"/>
        </w:rPr>
      </w:pPr>
    </w:p>
    <w:p>
      <w:pPr>
        <w:spacing w:line="240" w:lineRule="auto" w:before="0"/>
        <w:ind w:left="695" w:right="640" w:firstLine="7"/>
        <w:jc w:val="both"/>
        <w:rPr>
          <w:sz w:val="20"/>
        </w:rPr>
      </w:pPr>
      <w:r>
        <w:rPr>
          <w:sz w:val="20"/>
        </w:rPr>
        <w:t>The Directors of the Trust are responsible for the preparation of the financial statements that give a true and fair view in accordance with Australian Accounting Standards and the PF&amp;A Act and for such internal control as the Directors determine is necessary to enable the preparation of the financial statements that are free from material misstatement, whether due to fraud or error.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5"/>
        </w:rPr>
      </w:pPr>
      <w:r>
        <w:rPr/>
        <w:pict>
          <v:line style="position:absolute;mso-position-horizontal-relative:page;mso-position-vertical-relative:paragraph;z-index:6160;mso-wrap-distance-left:0;mso-wrap-distance-right:0" from="39.959999pt,16.906715pt" to="548.999999pt,16.906715pt" stroked="true" strokeweight=".36pt" strokecolor="#000000">
            <w10:wrap type="topAndBottom"/>
          </v:line>
        </w:pict>
      </w:r>
    </w:p>
    <w:p>
      <w:pPr>
        <w:spacing w:before="94"/>
        <w:ind w:left="5" w:right="0" w:firstLine="0"/>
        <w:jc w:val="center"/>
        <w:rPr>
          <w:b/>
          <w:sz w:val="13"/>
        </w:rPr>
      </w:pPr>
      <w:r>
        <w:rPr>
          <w:b/>
          <w:sz w:val="13"/>
        </w:rPr>
        <w:t>Level 15, 1 Margaret Street, Sydney NSW 2000  </w:t>
      </w:r>
      <w:r>
        <w:rPr>
          <w:b/>
          <w:w w:val="90"/>
          <w:sz w:val="19"/>
        </w:rPr>
        <w:t>I </w:t>
      </w:r>
      <w:r>
        <w:rPr>
          <w:b/>
          <w:sz w:val="13"/>
        </w:rPr>
        <w:t>GPO Box 12, Sydney NSW 2001  </w:t>
      </w:r>
      <w:r>
        <w:rPr>
          <w:b/>
          <w:w w:val="90"/>
          <w:sz w:val="19"/>
        </w:rPr>
        <w:t>I </w:t>
      </w:r>
      <w:r>
        <w:rPr>
          <w:rFonts w:ascii="Times New Roman"/>
          <w:b/>
          <w:sz w:val="14"/>
        </w:rPr>
        <w:t>t </w:t>
      </w:r>
      <w:r>
        <w:rPr>
          <w:b/>
          <w:sz w:val="13"/>
        </w:rPr>
        <w:t>02 9275 </w:t>
      </w:r>
      <w:r>
        <w:rPr>
          <w:rFonts w:ascii="Times New Roman"/>
          <w:sz w:val="15"/>
        </w:rPr>
        <w:t>7101  </w:t>
      </w:r>
      <w:r>
        <w:rPr>
          <w:sz w:val="19"/>
        </w:rPr>
        <w:t>I </w:t>
      </w:r>
      <w:r>
        <w:rPr>
          <w:b/>
          <w:sz w:val="13"/>
        </w:rPr>
        <w:t>f </w:t>
      </w:r>
      <w:r>
        <w:rPr>
          <w:rFonts w:ascii="Times New Roman"/>
          <w:sz w:val="15"/>
        </w:rPr>
        <w:t>02 9275 </w:t>
      </w:r>
      <w:r>
        <w:rPr>
          <w:b/>
          <w:sz w:val="13"/>
        </w:rPr>
        <w:t>7179  </w:t>
      </w:r>
      <w:r>
        <w:rPr>
          <w:b/>
          <w:w w:val="90"/>
          <w:sz w:val="19"/>
        </w:rPr>
        <w:t>I </w:t>
      </w:r>
      <w:r>
        <w:rPr>
          <w:b/>
          <w:sz w:val="13"/>
        </w:rPr>
        <w:t>e </w:t>
      </w:r>
      <w:hyperlink r:id="rId125">
        <w:r>
          <w:rPr>
            <w:b/>
            <w:sz w:val="13"/>
          </w:rPr>
          <w:t>mail@aud1t.nsw.gov.au</w:t>
        </w:r>
      </w:hyperlink>
      <w:r>
        <w:rPr>
          <w:b/>
          <w:sz w:val="13"/>
        </w:rPr>
        <w:t>  </w:t>
      </w:r>
      <w:r>
        <w:rPr>
          <w:b/>
          <w:w w:val="90"/>
          <w:sz w:val="19"/>
        </w:rPr>
        <w:t>I  </w:t>
      </w:r>
      <w:r>
        <w:rPr>
          <w:b/>
          <w:sz w:val="13"/>
        </w:rPr>
        <w:t>audit.nsw.gov.au</w:t>
      </w:r>
    </w:p>
    <w:p>
      <w:pPr>
        <w:spacing w:after="0"/>
        <w:jc w:val="center"/>
        <w:rPr>
          <w:sz w:val="13"/>
        </w:rPr>
        <w:sectPr>
          <w:headerReference w:type="default" r:id="rId265"/>
          <w:footerReference w:type="default" r:id="rId266"/>
          <w:pgSz w:w="11910" w:h="16850"/>
          <w:pgMar w:header="0" w:footer="487" w:top="720" w:bottom="680" w:left="680" w:right="820"/>
          <w:pgNumType w:start="273"/>
        </w:sectPr>
      </w:pPr>
    </w:p>
    <w:p>
      <w:pPr>
        <w:pStyle w:val="Heading5"/>
        <w:spacing w:before="51"/>
        <w:ind w:left="198"/>
      </w:pPr>
      <w:r>
        <w:rPr>
          <w:w w:val="105"/>
        </w:rPr>
        <w:t>Auditor's Responsibility</w:t>
      </w:r>
    </w:p>
    <w:p>
      <w:pPr>
        <w:pStyle w:val="BodyText"/>
        <w:spacing w:before="1"/>
        <w:rPr>
          <w:b/>
          <w:sz w:val="20"/>
        </w:rPr>
      </w:pPr>
    </w:p>
    <w:p>
      <w:pPr>
        <w:pStyle w:val="Heading8"/>
        <w:spacing w:line="242" w:lineRule="auto"/>
        <w:ind w:left="191" w:right="109" w:firstLine="14"/>
      </w:pPr>
      <w:r>
        <w:rPr/>
        <w:t>My responsibility is to express an opinion on the financial statements based on my audit. I conducted my audit in accordance with Australian Auditing Standards.  Those Standards  require that  I comply with relevant ethical requirements relating to audit engagements and plan and perform the audit to obtain reasonable assurance about whether the financial statements are free from material misstatement.</w:t>
      </w:r>
    </w:p>
    <w:p>
      <w:pPr>
        <w:pStyle w:val="BodyText"/>
        <w:spacing w:before="2"/>
        <w:rPr>
          <w:sz w:val="19"/>
        </w:rPr>
      </w:pPr>
    </w:p>
    <w:p>
      <w:pPr>
        <w:spacing w:before="1"/>
        <w:ind w:left="184" w:right="115" w:firstLine="7"/>
        <w:jc w:val="both"/>
        <w:rPr>
          <w:sz w:val="20"/>
        </w:rPr>
      </w:pPr>
      <w:r>
        <w:rPr>
          <w:sz w:val="20"/>
        </w:rPr>
        <w:t>An audit involves performing procedures to obtain audit evidence about the amounts and disclosures  in the financial statements. The procedures selected depend on the auditor's judgement, including the assessment of the risks of material misstatement of the financial statements, whether due to fraud or error. In making those risk assessments, the auditor considers internal contrCll relevant to the Trust's preparation of the financial statements that give a true and fair view in order to design  audit  procedures that are appropriate in the circumstances, but not for the purpose of expressing an opinion on the effectiveness of the Trust's internal control. An audit also includes evaluating the appropriateness of accounting policies used and the reasonableness of accounting estimates made by the Directors, as well as evaluating the overall presentation of the financial</w:t>
      </w:r>
      <w:r>
        <w:rPr>
          <w:spacing w:val="-5"/>
          <w:sz w:val="20"/>
        </w:rPr>
        <w:t> </w:t>
      </w:r>
      <w:r>
        <w:rPr>
          <w:sz w:val="20"/>
        </w:rPr>
        <w:t>statements.</w:t>
      </w:r>
    </w:p>
    <w:p>
      <w:pPr>
        <w:pStyle w:val="BodyText"/>
        <w:rPr>
          <w:sz w:val="20"/>
        </w:rPr>
      </w:pPr>
    </w:p>
    <w:p>
      <w:pPr>
        <w:spacing w:line="247" w:lineRule="auto" w:before="1"/>
        <w:ind w:left="191" w:right="139" w:firstLine="7"/>
        <w:jc w:val="left"/>
        <w:rPr>
          <w:sz w:val="20"/>
        </w:rPr>
      </w:pPr>
      <w:r>
        <w:rPr>
          <w:sz w:val="20"/>
        </w:rPr>
        <w:t>I believe the audit evidence I have obtained is sufficient and appropriate to provide a basis for  my  audit</w:t>
      </w:r>
      <w:r>
        <w:rPr>
          <w:spacing w:val="-23"/>
          <w:sz w:val="20"/>
        </w:rPr>
        <w:t> </w:t>
      </w:r>
      <w:r>
        <w:rPr>
          <w:sz w:val="20"/>
        </w:rPr>
        <w:t>opinion.</w:t>
      </w:r>
    </w:p>
    <w:p>
      <w:pPr>
        <w:spacing w:before="171"/>
        <w:ind w:left="191" w:right="0" w:firstLine="0"/>
        <w:jc w:val="both"/>
        <w:rPr>
          <w:sz w:val="20"/>
        </w:rPr>
      </w:pPr>
      <w:r>
        <w:rPr>
          <w:sz w:val="20"/>
        </w:rPr>
        <w:t>My opinion does </w:t>
      </w:r>
      <w:r>
        <w:rPr>
          <w:rFonts w:ascii="Times New Roman"/>
          <w:i/>
          <w:sz w:val="25"/>
        </w:rPr>
        <w:t>not </w:t>
      </w:r>
      <w:r>
        <w:rPr>
          <w:sz w:val="20"/>
        </w:rPr>
        <w:t>provide assurance:</w:t>
      </w:r>
    </w:p>
    <w:p>
      <w:pPr>
        <w:pStyle w:val="BodyText"/>
        <w:rPr>
          <w:sz w:val="24"/>
        </w:rPr>
      </w:pPr>
    </w:p>
    <w:p>
      <w:pPr>
        <w:spacing w:before="0"/>
        <w:ind w:left="191" w:right="0" w:firstLine="0"/>
        <w:jc w:val="both"/>
        <w:rPr>
          <w:sz w:val="20"/>
        </w:rPr>
      </w:pPr>
      <w:r>
        <w:rPr>
          <w:w w:val="240"/>
          <w:sz w:val="20"/>
        </w:rPr>
        <w:t>, </w:t>
      </w:r>
      <w:r>
        <w:rPr>
          <w:w w:val="110"/>
          <w:sz w:val="20"/>
        </w:rPr>
        <w:t>about the future viability of the Trust</w:t>
      </w:r>
    </w:p>
    <w:p>
      <w:pPr>
        <w:spacing w:before="65"/>
        <w:ind w:left="184" w:right="0" w:firstLine="0"/>
        <w:jc w:val="both"/>
        <w:rPr>
          <w:sz w:val="20"/>
        </w:rPr>
      </w:pPr>
      <w:r>
        <w:rPr>
          <w:w w:val="275"/>
          <w:sz w:val="20"/>
        </w:rPr>
        <w:t>, </w:t>
      </w:r>
      <w:r>
        <w:rPr>
          <w:w w:val="110"/>
          <w:sz w:val="20"/>
        </w:rPr>
        <w:t>that it has carried out its activities effectively, efficiently and economically</w:t>
      </w:r>
    </w:p>
    <w:p>
      <w:pPr>
        <w:spacing w:before="58"/>
        <w:ind w:left="184" w:right="0" w:firstLine="0"/>
        <w:jc w:val="both"/>
        <w:rPr>
          <w:sz w:val="20"/>
        </w:rPr>
      </w:pPr>
      <w:r>
        <w:rPr>
          <w:w w:val="275"/>
          <w:sz w:val="20"/>
        </w:rPr>
        <w:t>, </w:t>
      </w:r>
      <w:r>
        <w:rPr>
          <w:w w:val="110"/>
          <w:sz w:val="20"/>
        </w:rPr>
        <w:t>about the effectiveness of its internal control</w:t>
      </w:r>
    </w:p>
    <w:p>
      <w:pPr>
        <w:tabs>
          <w:tab w:pos="752" w:val="left" w:leader="none"/>
        </w:tabs>
        <w:spacing w:line="247" w:lineRule="auto" w:before="58"/>
        <w:ind w:left="752" w:right="137" w:hanging="569"/>
        <w:jc w:val="left"/>
        <w:rPr>
          <w:sz w:val="20"/>
        </w:rPr>
      </w:pPr>
      <w:r>
        <w:rPr>
          <w:w w:val="275"/>
          <w:sz w:val="20"/>
        </w:rPr>
        <w:t>,</w:t>
        <w:tab/>
      </w:r>
      <w:r>
        <w:rPr>
          <w:w w:val="105"/>
          <w:sz w:val="20"/>
        </w:rPr>
        <w:t>about  the  security  and  controls  over  the  electronic  publication  of  the</w:t>
      </w:r>
      <w:r>
        <w:rPr>
          <w:spacing w:val="11"/>
          <w:w w:val="105"/>
          <w:sz w:val="20"/>
        </w:rPr>
        <w:t> </w:t>
      </w:r>
      <w:r>
        <w:rPr>
          <w:w w:val="105"/>
          <w:sz w:val="20"/>
        </w:rPr>
        <w:t>audited</w:t>
      </w:r>
      <w:r>
        <w:rPr>
          <w:spacing w:val="57"/>
          <w:w w:val="105"/>
          <w:sz w:val="20"/>
        </w:rPr>
        <w:t> </w:t>
      </w:r>
      <w:r>
        <w:rPr>
          <w:w w:val="105"/>
          <w:sz w:val="20"/>
        </w:rPr>
        <w:t>financial</w:t>
      </w:r>
      <w:r>
        <w:rPr>
          <w:w w:val="99"/>
          <w:sz w:val="20"/>
        </w:rPr>
        <w:t> </w:t>
      </w:r>
      <w:r>
        <w:rPr>
          <w:w w:val="105"/>
          <w:sz w:val="20"/>
        </w:rPr>
        <w:t>statements</w:t>
      </w:r>
      <w:r>
        <w:rPr>
          <w:spacing w:val="-31"/>
          <w:w w:val="105"/>
          <w:sz w:val="20"/>
        </w:rPr>
        <w:t> </w:t>
      </w:r>
      <w:r>
        <w:rPr>
          <w:w w:val="105"/>
          <w:sz w:val="20"/>
        </w:rPr>
        <w:t>on</w:t>
      </w:r>
      <w:r>
        <w:rPr>
          <w:spacing w:val="-37"/>
          <w:w w:val="105"/>
          <w:sz w:val="20"/>
        </w:rPr>
        <w:t> </w:t>
      </w:r>
      <w:r>
        <w:rPr>
          <w:w w:val="105"/>
          <w:sz w:val="20"/>
        </w:rPr>
        <w:t>any</w:t>
      </w:r>
      <w:r>
        <w:rPr>
          <w:spacing w:val="-40"/>
          <w:w w:val="105"/>
          <w:sz w:val="20"/>
        </w:rPr>
        <w:t> </w:t>
      </w:r>
      <w:r>
        <w:rPr>
          <w:w w:val="105"/>
          <w:sz w:val="20"/>
        </w:rPr>
        <w:t>website</w:t>
      </w:r>
      <w:r>
        <w:rPr>
          <w:spacing w:val="-34"/>
          <w:w w:val="105"/>
          <w:sz w:val="20"/>
        </w:rPr>
        <w:t> </w:t>
      </w:r>
      <w:r>
        <w:rPr>
          <w:w w:val="105"/>
          <w:sz w:val="20"/>
        </w:rPr>
        <w:t>where</w:t>
      </w:r>
      <w:r>
        <w:rPr>
          <w:spacing w:val="-35"/>
          <w:w w:val="105"/>
          <w:sz w:val="20"/>
        </w:rPr>
        <w:t> </w:t>
      </w:r>
      <w:r>
        <w:rPr>
          <w:w w:val="105"/>
          <w:sz w:val="20"/>
        </w:rPr>
        <w:t>they</w:t>
      </w:r>
      <w:r>
        <w:rPr>
          <w:spacing w:val="-31"/>
          <w:w w:val="105"/>
          <w:sz w:val="20"/>
        </w:rPr>
        <w:t> </w:t>
      </w:r>
      <w:r>
        <w:rPr>
          <w:w w:val="105"/>
          <w:sz w:val="20"/>
        </w:rPr>
        <w:t>may</w:t>
      </w:r>
      <w:r>
        <w:rPr>
          <w:spacing w:val="-36"/>
          <w:w w:val="105"/>
          <w:sz w:val="20"/>
        </w:rPr>
        <w:t> </w:t>
      </w:r>
      <w:r>
        <w:rPr>
          <w:w w:val="105"/>
          <w:sz w:val="20"/>
        </w:rPr>
        <w:t>be</w:t>
      </w:r>
      <w:r>
        <w:rPr>
          <w:spacing w:val="-37"/>
          <w:w w:val="105"/>
          <w:sz w:val="20"/>
        </w:rPr>
        <w:t> </w:t>
      </w:r>
      <w:r>
        <w:rPr>
          <w:w w:val="105"/>
          <w:sz w:val="20"/>
        </w:rPr>
        <w:t>presented</w:t>
      </w:r>
    </w:p>
    <w:p>
      <w:pPr>
        <w:spacing w:before="44"/>
        <w:ind w:left="184" w:right="0" w:firstLine="0"/>
        <w:jc w:val="both"/>
        <w:rPr>
          <w:sz w:val="20"/>
        </w:rPr>
      </w:pPr>
      <w:r>
        <w:rPr>
          <w:w w:val="105"/>
          <w:sz w:val="20"/>
        </w:rPr>
        <w:t>,    about any other information which may have been hyperlinked to/from the financial statements</w:t>
      </w:r>
    </w:p>
    <w:p>
      <w:pPr>
        <w:pStyle w:val="BodyText"/>
        <w:rPr>
          <w:sz w:val="27"/>
        </w:rPr>
      </w:pPr>
    </w:p>
    <w:p>
      <w:pPr>
        <w:spacing w:before="0"/>
        <w:ind w:left="191" w:right="0" w:firstLine="0"/>
        <w:jc w:val="both"/>
        <w:rPr>
          <w:b/>
          <w:sz w:val="23"/>
        </w:rPr>
      </w:pPr>
      <w:r>
        <w:rPr>
          <w:b/>
          <w:sz w:val="23"/>
        </w:rPr>
        <w:t>Independence</w:t>
      </w:r>
    </w:p>
    <w:p>
      <w:pPr>
        <w:pStyle w:val="BodyText"/>
        <w:spacing w:before="6"/>
        <w:rPr>
          <w:b/>
          <w:sz w:val="19"/>
        </w:rPr>
      </w:pPr>
    </w:p>
    <w:p>
      <w:pPr>
        <w:spacing w:line="244" w:lineRule="auto" w:before="0"/>
        <w:ind w:left="176" w:right="124" w:firstLine="14"/>
        <w:jc w:val="both"/>
        <w:rPr>
          <w:sz w:val="20"/>
        </w:rPr>
      </w:pPr>
      <w:r>
        <w:rPr>
          <w:sz w:val="20"/>
        </w:rPr>
        <w:t>In conducting my audit, I have complied with the independence requirements of  the  Australian Auditing Standards and relevant ethical pronouncements. The PF&amp;A Act further promotes </w:t>
      </w:r>
      <w:r>
        <w:rPr>
          <w:w w:val="95"/>
          <w:sz w:val="20"/>
        </w:rPr>
        <w:t>independence by:</w:t>
      </w:r>
    </w:p>
    <w:p>
      <w:pPr>
        <w:pStyle w:val="BodyText"/>
        <w:spacing w:before="7"/>
        <w:rPr>
          <w:sz w:val="24"/>
        </w:rPr>
      </w:pPr>
    </w:p>
    <w:p>
      <w:pPr>
        <w:tabs>
          <w:tab w:pos="752" w:val="left" w:leader="none"/>
        </w:tabs>
        <w:spacing w:line="247" w:lineRule="auto" w:before="1"/>
        <w:ind w:left="745" w:right="125" w:hanging="569"/>
        <w:jc w:val="left"/>
        <w:rPr>
          <w:sz w:val="20"/>
        </w:rPr>
      </w:pPr>
      <w:r>
        <w:rPr>
          <w:w w:val="275"/>
          <w:sz w:val="20"/>
        </w:rPr>
        <w:t>,</w:t>
        <w:tab/>
        <w:tab/>
      </w:r>
      <w:r>
        <w:rPr>
          <w:w w:val="105"/>
          <w:sz w:val="20"/>
        </w:rPr>
        <w:t>providing  that  only   Parliament,   and   not  the  executive   government,   can </w:t>
      </w:r>
      <w:r>
        <w:rPr>
          <w:spacing w:val="10"/>
          <w:w w:val="105"/>
          <w:sz w:val="20"/>
        </w:rPr>
        <w:t> </w:t>
      </w:r>
      <w:r>
        <w:rPr>
          <w:w w:val="105"/>
          <w:sz w:val="20"/>
        </w:rPr>
        <w:t>remove </w:t>
      </w:r>
      <w:r>
        <w:rPr>
          <w:spacing w:val="27"/>
          <w:w w:val="105"/>
          <w:sz w:val="20"/>
        </w:rPr>
        <w:t> </w:t>
      </w:r>
      <w:r>
        <w:rPr>
          <w:w w:val="105"/>
          <w:sz w:val="20"/>
        </w:rPr>
        <w:t>an</w:t>
      </w:r>
      <w:r>
        <w:rPr>
          <w:w w:val="101"/>
          <w:sz w:val="20"/>
        </w:rPr>
        <w:t> </w:t>
      </w:r>
      <w:r>
        <w:rPr>
          <w:w w:val="105"/>
          <w:sz w:val="20"/>
        </w:rPr>
        <w:t>Auditor-General</w:t>
      </w:r>
    </w:p>
    <w:p>
      <w:pPr>
        <w:spacing w:before="44"/>
        <w:ind w:left="745" w:right="129" w:hanging="569"/>
        <w:jc w:val="both"/>
        <w:rPr>
          <w:sz w:val="20"/>
        </w:rPr>
      </w:pPr>
      <w:r>
        <w:rPr>
          <w:w w:val="275"/>
          <w:sz w:val="20"/>
        </w:rPr>
        <w:t>,</w:t>
      </w:r>
      <w:r>
        <w:rPr>
          <w:spacing w:val="-60"/>
          <w:w w:val="275"/>
          <w:sz w:val="20"/>
        </w:rPr>
        <w:t> </w:t>
      </w:r>
      <w:r>
        <w:rPr>
          <w:w w:val="105"/>
          <w:sz w:val="20"/>
        </w:rPr>
        <w:t>mandating the Auditor-General as auditor of public sector agencies but precluding the provision of non-audit services, thus ensuring the Auditor-General and the Audit Office of New South Wales are not compromised in their role by the possibility of losing clients or income.</w:t>
      </w:r>
    </w:p>
    <w:p>
      <w:pPr>
        <w:pStyle w:val="BodyText"/>
        <w:rPr>
          <w:sz w:val="20"/>
        </w:rPr>
      </w:pPr>
    </w:p>
    <w:p>
      <w:pPr>
        <w:pStyle w:val="BodyText"/>
        <w:spacing w:before="2"/>
        <w:rPr>
          <w:sz w:val="14"/>
        </w:rPr>
      </w:pPr>
      <w:r>
        <w:rPr/>
        <w:drawing>
          <wp:anchor distT="0" distB="0" distL="0" distR="0" allowOverlap="1" layoutInCell="1" locked="0" behindDoc="0" simplePos="0" relativeHeight="6184">
            <wp:simplePos x="0" y="0"/>
            <wp:positionH relativeFrom="page">
              <wp:posOffset>841247</wp:posOffset>
            </wp:positionH>
            <wp:positionV relativeFrom="paragraph">
              <wp:posOffset>128801</wp:posOffset>
            </wp:positionV>
            <wp:extent cx="1920239" cy="402336"/>
            <wp:effectExtent l="0" t="0" r="0" b="0"/>
            <wp:wrapTopAndBottom/>
            <wp:docPr id="123" name="image86.png" descr=""/>
            <wp:cNvGraphicFramePr>
              <a:graphicFrameLocks noChangeAspect="1"/>
            </wp:cNvGraphicFramePr>
            <a:graphic>
              <a:graphicData uri="http://schemas.openxmlformats.org/drawingml/2006/picture">
                <pic:pic>
                  <pic:nvPicPr>
                    <pic:cNvPr id="124" name="image86.png"/>
                    <pic:cNvPicPr/>
                  </pic:nvPicPr>
                  <pic:blipFill>
                    <a:blip r:embed="rId270" cstate="print"/>
                    <a:stretch>
                      <a:fillRect/>
                    </a:stretch>
                  </pic:blipFill>
                  <pic:spPr>
                    <a:xfrm>
                      <a:off x="0" y="0"/>
                      <a:ext cx="1920239" cy="402336"/>
                    </a:xfrm>
                    <a:prstGeom prst="rect">
                      <a:avLst/>
                    </a:prstGeom>
                  </pic:spPr>
                </pic:pic>
              </a:graphicData>
            </a:graphic>
          </wp:anchor>
        </w:drawing>
      </w:r>
    </w:p>
    <w:p>
      <w:pPr>
        <w:pStyle w:val="BodyText"/>
        <w:rPr>
          <w:sz w:val="20"/>
        </w:rPr>
      </w:pPr>
    </w:p>
    <w:p>
      <w:pPr>
        <w:spacing w:before="115"/>
        <w:ind w:left="176" w:right="7652" w:firstLine="7"/>
        <w:jc w:val="left"/>
        <w:rPr>
          <w:sz w:val="20"/>
        </w:rPr>
      </w:pPr>
      <w:r>
        <w:rPr>
          <w:w w:val="95"/>
          <w:sz w:val="20"/>
        </w:rPr>
        <w:t>Peter Achterstraat </w:t>
      </w:r>
      <w:r>
        <w:rPr>
          <w:sz w:val="20"/>
        </w:rPr>
        <w:t>Auditor-General</w:t>
      </w:r>
    </w:p>
    <w:p>
      <w:pPr>
        <w:spacing w:line="235" w:lineRule="auto" w:before="163"/>
        <w:ind w:left="176" w:right="7652" w:hanging="65"/>
        <w:jc w:val="left"/>
        <w:rPr>
          <w:sz w:val="20"/>
        </w:rPr>
      </w:pPr>
      <w:r>
        <w:rPr>
          <w:b/>
          <w:w w:val="105"/>
          <w:sz w:val="27"/>
        </w:rPr>
        <w:t>S </w:t>
      </w:r>
      <w:r>
        <w:rPr>
          <w:w w:val="105"/>
          <w:sz w:val="20"/>
        </w:rPr>
        <w:t>April 2013 SYDNEY</w:t>
      </w:r>
    </w:p>
    <w:p>
      <w:pPr>
        <w:spacing w:after="0" w:line="235" w:lineRule="auto"/>
        <w:jc w:val="left"/>
        <w:rPr>
          <w:sz w:val="20"/>
        </w:rPr>
        <w:sectPr>
          <w:headerReference w:type="default" r:id="rId268"/>
          <w:footerReference w:type="default" r:id="rId269"/>
          <w:pgSz w:w="11910" w:h="16850"/>
          <w:pgMar w:header="0" w:footer="508" w:top="1280" w:bottom="700" w:left="1220" w:right="1280"/>
          <w:pgNumType w:start="274"/>
        </w:sectPr>
      </w:pPr>
    </w:p>
    <w:p>
      <w:pPr>
        <w:pStyle w:val="BodyText"/>
        <w:spacing w:before="1"/>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68"/>
        <w:gridCol w:w="1444"/>
        <w:gridCol w:w="2583"/>
      </w:tblGrid>
      <w:tr>
        <w:trPr>
          <w:trHeight w:val="909" w:hRule="exact"/>
        </w:trPr>
        <w:tc>
          <w:tcPr>
            <w:tcW w:w="5868" w:type="dxa"/>
          </w:tcPr>
          <w:p>
            <w:pPr>
              <w:pStyle w:val="TableParagraph"/>
              <w:spacing w:before="65"/>
              <w:ind w:left="35"/>
              <w:rPr>
                <w:b/>
                <w:sz w:val="28"/>
              </w:rPr>
            </w:pPr>
            <w:r>
              <w:rPr>
                <w:b/>
                <w:sz w:val="28"/>
              </w:rPr>
              <w:t>Statement of comprehensive income</w:t>
            </w:r>
          </w:p>
          <w:p>
            <w:pPr>
              <w:pStyle w:val="TableParagraph"/>
              <w:spacing w:before="53"/>
              <w:ind w:left="35"/>
              <w:rPr>
                <w:b/>
                <w:sz w:val="22"/>
              </w:rPr>
            </w:pPr>
            <w:r>
              <w:rPr>
                <w:b/>
                <w:sz w:val="22"/>
              </w:rPr>
              <w:t>For the Year Ended 31 December 2012</w:t>
            </w:r>
          </w:p>
        </w:tc>
        <w:tc>
          <w:tcPr>
            <w:tcW w:w="4027" w:type="dxa"/>
            <w:gridSpan w:val="2"/>
          </w:tcPr>
          <w:p>
            <w:pPr/>
          </w:p>
        </w:tc>
      </w:tr>
      <w:tr>
        <w:trPr>
          <w:trHeight w:val="447" w:hRule="exact"/>
        </w:trPr>
        <w:tc>
          <w:tcPr>
            <w:tcW w:w="5868" w:type="dxa"/>
          </w:tcPr>
          <w:p>
            <w:pPr/>
          </w:p>
        </w:tc>
        <w:tc>
          <w:tcPr>
            <w:tcW w:w="1444" w:type="dxa"/>
          </w:tcPr>
          <w:p>
            <w:pPr/>
          </w:p>
        </w:tc>
        <w:tc>
          <w:tcPr>
            <w:tcW w:w="2583" w:type="dxa"/>
          </w:tcPr>
          <w:p>
            <w:pPr>
              <w:pStyle w:val="TableParagraph"/>
              <w:spacing w:before="2"/>
              <w:rPr>
                <w:sz w:val="17"/>
              </w:rPr>
            </w:pPr>
          </w:p>
          <w:p>
            <w:pPr>
              <w:pStyle w:val="TableParagraph"/>
              <w:tabs>
                <w:tab w:pos="1784" w:val="left" w:leader="none"/>
              </w:tabs>
              <w:ind w:left="488"/>
              <w:rPr>
                <w:b/>
                <w:sz w:val="18"/>
              </w:rPr>
            </w:pPr>
            <w:r>
              <w:rPr>
                <w:b/>
                <w:sz w:val="18"/>
              </w:rPr>
              <w:t>2012</w:t>
              <w:tab/>
              <w:t>2011</w:t>
            </w:r>
          </w:p>
        </w:tc>
      </w:tr>
      <w:tr>
        <w:trPr>
          <w:trHeight w:val="257" w:hRule="exact"/>
        </w:trPr>
        <w:tc>
          <w:tcPr>
            <w:tcW w:w="5868" w:type="dxa"/>
          </w:tcPr>
          <w:p>
            <w:pPr/>
          </w:p>
        </w:tc>
        <w:tc>
          <w:tcPr>
            <w:tcW w:w="1444" w:type="dxa"/>
          </w:tcPr>
          <w:p>
            <w:pPr>
              <w:pStyle w:val="TableParagraph"/>
              <w:spacing w:before="24"/>
              <w:ind w:right="42"/>
              <w:jc w:val="right"/>
              <w:rPr>
                <w:b/>
                <w:sz w:val="18"/>
              </w:rPr>
            </w:pPr>
            <w:r>
              <w:rPr>
                <w:b/>
                <w:w w:val="95"/>
                <w:sz w:val="18"/>
              </w:rPr>
              <w:t>Note</w:t>
            </w:r>
          </w:p>
        </w:tc>
        <w:tc>
          <w:tcPr>
            <w:tcW w:w="2583" w:type="dxa"/>
          </w:tcPr>
          <w:p>
            <w:pPr>
              <w:pStyle w:val="TableParagraph"/>
              <w:tabs>
                <w:tab w:pos="1935" w:val="left" w:leader="none"/>
              </w:tabs>
              <w:spacing w:before="24"/>
              <w:ind w:left="639"/>
              <w:rPr>
                <w:b/>
                <w:sz w:val="18"/>
              </w:rPr>
            </w:pPr>
            <w:r>
              <w:rPr>
                <w:b/>
                <w:sz w:val="18"/>
              </w:rPr>
              <w:t>$</w:t>
              <w:tab/>
              <w:t>$</w:t>
            </w:r>
          </w:p>
        </w:tc>
      </w:tr>
      <w:tr>
        <w:trPr>
          <w:trHeight w:val="293" w:hRule="exact"/>
        </w:trPr>
        <w:tc>
          <w:tcPr>
            <w:tcW w:w="5868" w:type="dxa"/>
          </w:tcPr>
          <w:p>
            <w:pPr>
              <w:pStyle w:val="TableParagraph"/>
              <w:spacing w:before="7"/>
              <w:ind w:left="61"/>
              <w:rPr>
                <w:b/>
                <w:sz w:val="18"/>
              </w:rPr>
            </w:pPr>
            <w:r>
              <w:rPr>
                <w:b/>
                <w:sz w:val="18"/>
              </w:rPr>
              <w:t>Revenue</w:t>
            </w:r>
          </w:p>
        </w:tc>
        <w:tc>
          <w:tcPr>
            <w:tcW w:w="1444" w:type="dxa"/>
          </w:tcPr>
          <w:p>
            <w:pPr/>
          </w:p>
        </w:tc>
        <w:tc>
          <w:tcPr>
            <w:tcW w:w="2583" w:type="dxa"/>
          </w:tcPr>
          <w:p>
            <w:pPr/>
          </w:p>
        </w:tc>
      </w:tr>
      <w:tr>
        <w:trPr>
          <w:trHeight w:val="276" w:hRule="exact"/>
        </w:trPr>
        <w:tc>
          <w:tcPr>
            <w:tcW w:w="5868" w:type="dxa"/>
          </w:tcPr>
          <w:p>
            <w:pPr>
              <w:pStyle w:val="TableParagraph"/>
              <w:spacing w:before="60"/>
              <w:ind w:left="61"/>
              <w:rPr>
                <w:sz w:val="18"/>
              </w:rPr>
            </w:pPr>
            <w:r>
              <w:rPr>
                <w:sz w:val="18"/>
              </w:rPr>
              <w:t>Services</w:t>
            </w:r>
          </w:p>
        </w:tc>
        <w:tc>
          <w:tcPr>
            <w:tcW w:w="1444" w:type="dxa"/>
          </w:tcPr>
          <w:p>
            <w:pPr>
              <w:pStyle w:val="TableParagraph"/>
              <w:spacing w:before="60"/>
              <w:ind w:left="939"/>
              <w:rPr>
                <w:sz w:val="18"/>
              </w:rPr>
            </w:pPr>
            <w:r>
              <w:rPr>
                <w:w w:val="99"/>
                <w:sz w:val="18"/>
              </w:rPr>
              <w:t>3</w:t>
            </w:r>
          </w:p>
        </w:tc>
        <w:tc>
          <w:tcPr>
            <w:tcW w:w="2583" w:type="dxa"/>
          </w:tcPr>
          <w:p>
            <w:pPr>
              <w:pStyle w:val="TableParagraph"/>
              <w:tabs>
                <w:tab w:pos="1295" w:val="left" w:leader="none"/>
              </w:tabs>
              <w:spacing w:before="60"/>
              <w:ind w:right="33"/>
              <w:jc w:val="right"/>
              <w:rPr>
                <w:sz w:val="18"/>
              </w:rPr>
            </w:pPr>
            <w:r>
              <w:rPr>
                <w:b/>
                <w:sz w:val="18"/>
              </w:rPr>
              <w:t>63,590</w:t>
              <w:tab/>
            </w:r>
            <w:r>
              <w:rPr>
                <w:w w:val="95"/>
                <w:sz w:val="18"/>
              </w:rPr>
              <w:t>43,648</w:t>
            </w:r>
          </w:p>
        </w:tc>
      </w:tr>
      <w:tr>
        <w:trPr>
          <w:trHeight w:val="212" w:hRule="exact"/>
        </w:trPr>
        <w:tc>
          <w:tcPr>
            <w:tcW w:w="5868" w:type="dxa"/>
          </w:tcPr>
          <w:p>
            <w:pPr>
              <w:pStyle w:val="TableParagraph"/>
              <w:spacing w:line="197" w:lineRule="exact"/>
              <w:ind w:left="61"/>
              <w:rPr>
                <w:sz w:val="18"/>
              </w:rPr>
            </w:pPr>
            <w:r>
              <w:rPr>
                <w:sz w:val="18"/>
              </w:rPr>
              <w:t>Other revenue</w:t>
            </w:r>
          </w:p>
        </w:tc>
        <w:tc>
          <w:tcPr>
            <w:tcW w:w="1444" w:type="dxa"/>
          </w:tcPr>
          <w:p>
            <w:pPr>
              <w:pStyle w:val="TableParagraph"/>
              <w:spacing w:line="197" w:lineRule="exact"/>
              <w:ind w:left="939"/>
              <w:rPr>
                <w:sz w:val="18"/>
              </w:rPr>
            </w:pPr>
            <w:r>
              <w:rPr>
                <w:w w:val="99"/>
                <w:sz w:val="18"/>
              </w:rPr>
              <w:t>3</w:t>
            </w:r>
          </w:p>
        </w:tc>
        <w:tc>
          <w:tcPr>
            <w:tcW w:w="2583" w:type="dxa"/>
          </w:tcPr>
          <w:p>
            <w:pPr>
              <w:pStyle w:val="TableParagraph"/>
              <w:tabs>
                <w:tab w:pos="652" w:val="left" w:leader="none"/>
                <w:tab w:pos="1948" w:val="left" w:leader="none"/>
              </w:tabs>
              <w:spacing w:line="197" w:lineRule="exact"/>
              <w:ind w:right="33"/>
              <w:jc w:val="right"/>
              <w:rPr>
                <w:sz w:val="18"/>
              </w:rPr>
            </w:pPr>
            <w:r>
              <w:rPr>
                <w:rFonts w:ascii="Times New Roman"/>
                <w:sz w:val="18"/>
                <w:u w:val="single"/>
              </w:rPr>
              <w:t> </w:t>
              <w:tab/>
            </w:r>
            <w:r>
              <w:rPr>
                <w:b/>
                <w:sz w:val="18"/>
                <w:u w:val="single"/>
              </w:rPr>
              <w:t>15,932</w:t>
              <w:tab/>
            </w:r>
            <w:r>
              <w:rPr>
                <w:w w:val="95"/>
                <w:sz w:val="18"/>
                <w:u w:val="single"/>
              </w:rPr>
              <w:t>16,046</w:t>
            </w:r>
          </w:p>
        </w:tc>
      </w:tr>
      <w:tr>
        <w:trPr>
          <w:trHeight w:val="362" w:hRule="exact"/>
        </w:trPr>
        <w:tc>
          <w:tcPr>
            <w:tcW w:w="5868" w:type="dxa"/>
          </w:tcPr>
          <w:p>
            <w:pPr>
              <w:pStyle w:val="TableParagraph"/>
              <w:spacing w:line="201" w:lineRule="exact"/>
              <w:ind w:left="61"/>
              <w:rPr>
                <w:b/>
                <w:sz w:val="18"/>
              </w:rPr>
            </w:pPr>
            <w:r>
              <w:rPr>
                <w:b/>
                <w:sz w:val="18"/>
              </w:rPr>
              <w:t>Total revenue</w:t>
            </w:r>
          </w:p>
        </w:tc>
        <w:tc>
          <w:tcPr>
            <w:tcW w:w="1444" w:type="dxa"/>
          </w:tcPr>
          <w:p>
            <w:pPr/>
          </w:p>
        </w:tc>
        <w:tc>
          <w:tcPr>
            <w:tcW w:w="2583" w:type="dxa"/>
          </w:tcPr>
          <w:p>
            <w:pPr>
              <w:pStyle w:val="TableParagraph"/>
              <w:tabs>
                <w:tab w:pos="652" w:val="left" w:leader="none"/>
                <w:tab w:pos="1948" w:val="left" w:leader="none"/>
              </w:tabs>
              <w:spacing w:line="201" w:lineRule="exact"/>
              <w:ind w:right="33"/>
              <w:jc w:val="right"/>
              <w:rPr>
                <w:sz w:val="18"/>
              </w:rPr>
            </w:pPr>
            <w:r>
              <w:rPr>
                <w:rFonts w:ascii="Times New Roman"/>
                <w:sz w:val="18"/>
                <w:u w:val="single"/>
              </w:rPr>
              <w:t> </w:t>
              <w:tab/>
            </w:r>
            <w:r>
              <w:rPr>
                <w:b/>
                <w:sz w:val="18"/>
                <w:u w:val="single"/>
              </w:rPr>
              <w:t>79,522</w:t>
              <w:tab/>
            </w:r>
            <w:r>
              <w:rPr>
                <w:w w:val="95"/>
                <w:sz w:val="18"/>
                <w:u w:val="single"/>
              </w:rPr>
              <w:t>59,694</w:t>
            </w:r>
          </w:p>
        </w:tc>
      </w:tr>
      <w:tr>
        <w:trPr>
          <w:trHeight w:val="504" w:hRule="exact"/>
        </w:trPr>
        <w:tc>
          <w:tcPr>
            <w:tcW w:w="5868" w:type="dxa"/>
          </w:tcPr>
          <w:p>
            <w:pPr>
              <w:pStyle w:val="TableParagraph"/>
              <w:spacing w:before="141"/>
              <w:ind w:left="61"/>
              <w:rPr>
                <w:sz w:val="18"/>
              </w:rPr>
            </w:pPr>
            <w:r>
              <w:rPr>
                <w:sz w:val="18"/>
              </w:rPr>
              <w:t>Contribution of assets</w:t>
            </w:r>
          </w:p>
        </w:tc>
        <w:tc>
          <w:tcPr>
            <w:tcW w:w="1444" w:type="dxa"/>
          </w:tcPr>
          <w:p>
            <w:pPr/>
          </w:p>
        </w:tc>
        <w:tc>
          <w:tcPr>
            <w:tcW w:w="2583" w:type="dxa"/>
          </w:tcPr>
          <w:p>
            <w:pPr>
              <w:pStyle w:val="TableParagraph"/>
              <w:tabs>
                <w:tab w:pos="551" w:val="left" w:leader="none"/>
                <w:tab w:pos="2443" w:val="left" w:leader="none"/>
              </w:tabs>
              <w:spacing w:before="141"/>
              <w:ind w:right="33"/>
              <w:jc w:val="right"/>
              <w:rPr>
                <w:sz w:val="18"/>
              </w:rPr>
            </w:pPr>
            <w:r>
              <w:rPr>
                <w:rFonts w:ascii="Times New Roman"/>
                <w:sz w:val="18"/>
                <w:u w:val="single"/>
              </w:rPr>
              <w:t> </w:t>
              <w:tab/>
            </w:r>
            <w:r>
              <w:rPr>
                <w:b/>
                <w:sz w:val="18"/>
                <w:u w:val="single"/>
              </w:rPr>
              <w:t>198,117</w:t>
              <w:tab/>
            </w:r>
            <w:r>
              <w:rPr>
                <w:sz w:val="18"/>
                <w:u w:val="single"/>
              </w:rPr>
              <w:t>-</w:t>
            </w:r>
          </w:p>
        </w:tc>
      </w:tr>
      <w:tr>
        <w:trPr>
          <w:trHeight w:val="504" w:hRule="exact"/>
        </w:trPr>
        <w:tc>
          <w:tcPr>
            <w:tcW w:w="5868" w:type="dxa"/>
          </w:tcPr>
          <w:p>
            <w:pPr>
              <w:pStyle w:val="TableParagraph"/>
              <w:spacing w:before="136"/>
              <w:ind w:left="61"/>
              <w:rPr>
                <w:b/>
                <w:sz w:val="18"/>
              </w:rPr>
            </w:pPr>
            <w:r>
              <w:rPr>
                <w:b/>
                <w:sz w:val="18"/>
              </w:rPr>
              <w:t>Total income</w:t>
            </w:r>
          </w:p>
        </w:tc>
        <w:tc>
          <w:tcPr>
            <w:tcW w:w="1444" w:type="dxa"/>
          </w:tcPr>
          <w:p>
            <w:pPr/>
          </w:p>
        </w:tc>
        <w:tc>
          <w:tcPr>
            <w:tcW w:w="2583" w:type="dxa"/>
          </w:tcPr>
          <w:p>
            <w:pPr>
              <w:pStyle w:val="TableParagraph"/>
              <w:tabs>
                <w:tab w:pos="551" w:val="left" w:leader="none"/>
                <w:tab w:pos="1948" w:val="left" w:leader="none"/>
              </w:tabs>
              <w:spacing w:before="136"/>
              <w:ind w:right="33"/>
              <w:jc w:val="right"/>
              <w:rPr>
                <w:sz w:val="18"/>
              </w:rPr>
            </w:pPr>
            <w:r>
              <w:rPr>
                <w:rFonts w:ascii="Times New Roman"/>
                <w:sz w:val="18"/>
                <w:u w:val="single"/>
              </w:rPr>
              <w:t> </w:t>
              <w:tab/>
            </w:r>
            <w:r>
              <w:rPr>
                <w:b/>
                <w:sz w:val="18"/>
                <w:u w:val="single"/>
              </w:rPr>
              <w:t>277,639</w:t>
              <w:tab/>
            </w:r>
            <w:r>
              <w:rPr>
                <w:w w:val="95"/>
                <w:sz w:val="18"/>
                <w:u w:val="single"/>
              </w:rPr>
              <w:t>59,694</w:t>
            </w:r>
          </w:p>
        </w:tc>
      </w:tr>
      <w:tr>
        <w:trPr>
          <w:trHeight w:val="427" w:hRule="exact"/>
        </w:trPr>
        <w:tc>
          <w:tcPr>
            <w:tcW w:w="5868" w:type="dxa"/>
          </w:tcPr>
          <w:p>
            <w:pPr>
              <w:pStyle w:val="TableParagraph"/>
              <w:spacing w:before="141"/>
              <w:ind w:left="61"/>
              <w:rPr>
                <w:b/>
                <w:sz w:val="18"/>
              </w:rPr>
            </w:pPr>
            <w:r>
              <w:rPr>
                <w:b/>
                <w:sz w:val="18"/>
              </w:rPr>
              <w:t>Expenses</w:t>
            </w:r>
          </w:p>
        </w:tc>
        <w:tc>
          <w:tcPr>
            <w:tcW w:w="1444" w:type="dxa"/>
          </w:tcPr>
          <w:p>
            <w:pPr/>
          </w:p>
        </w:tc>
        <w:tc>
          <w:tcPr>
            <w:tcW w:w="2583" w:type="dxa"/>
          </w:tcPr>
          <w:p>
            <w:pPr/>
          </w:p>
        </w:tc>
      </w:tr>
      <w:tr>
        <w:trPr>
          <w:trHeight w:val="850" w:hRule="exact"/>
        </w:trPr>
        <w:tc>
          <w:tcPr>
            <w:tcW w:w="5868" w:type="dxa"/>
          </w:tcPr>
          <w:p>
            <w:pPr>
              <w:pStyle w:val="TableParagraph"/>
              <w:spacing w:line="244" w:lineRule="auto" w:before="60"/>
              <w:ind w:left="61" w:right="4226"/>
              <w:rPr>
                <w:b/>
                <w:sz w:val="18"/>
              </w:rPr>
            </w:pPr>
            <w:r>
              <w:rPr>
                <w:sz w:val="18"/>
              </w:rPr>
              <w:t>Distributions - other Finance  costs </w:t>
            </w:r>
            <w:r>
              <w:rPr>
                <w:b/>
                <w:sz w:val="18"/>
              </w:rPr>
              <w:t>Total expenses</w:t>
            </w:r>
          </w:p>
        </w:tc>
        <w:tc>
          <w:tcPr>
            <w:tcW w:w="1444" w:type="dxa"/>
          </w:tcPr>
          <w:p>
            <w:pPr>
              <w:pStyle w:val="TableParagraph"/>
              <w:spacing w:before="60"/>
              <w:ind w:left="939"/>
              <w:rPr>
                <w:sz w:val="18"/>
              </w:rPr>
            </w:pPr>
            <w:r>
              <w:rPr>
                <w:w w:val="99"/>
                <w:sz w:val="18"/>
              </w:rPr>
              <w:t>4</w:t>
            </w:r>
          </w:p>
        </w:tc>
        <w:tc>
          <w:tcPr>
            <w:tcW w:w="2583" w:type="dxa"/>
          </w:tcPr>
          <w:p>
            <w:pPr>
              <w:pStyle w:val="TableParagraph"/>
              <w:tabs>
                <w:tab w:pos="2487" w:val="left" w:leader="none"/>
              </w:tabs>
              <w:spacing w:line="207" w:lineRule="exact" w:before="60"/>
              <w:ind w:left="738"/>
              <w:rPr>
                <w:sz w:val="18"/>
              </w:rPr>
            </w:pPr>
            <w:r>
              <w:rPr>
                <w:b/>
                <w:sz w:val="18"/>
              </w:rPr>
              <w:t>(9,000)</w:t>
              <w:tab/>
            </w:r>
            <w:r>
              <w:rPr>
                <w:sz w:val="18"/>
              </w:rPr>
              <w:t>-</w:t>
            </w:r>
          </w:p>
          <w:p>
            <w:pPr>
              <w:pStyle w:val="TableParagraph"/>
              <w:tabs>
                <w:tab w:pos="1191" w:val="left" w:leader="none"/>
                <w:tab w:pos="2487" w:val="left" w:leader="none"/>
              </w:tabs>
              <w:spacing w:line="207" w:lineRule="exact"/>
              <w:ind w:left="44"/>
              <w:rPr>
                <w:sz w:val="18"/>
              </w:rPr>
            </w:pPr>
            <w:r>
              <w:rPr>
                <w:rFonts w:ascii="Times New Roman"/>
                <w:sz w:val="18"/>
                <w:u w:val="single"/>
              </w:rPr>
              <w:t> </w:t>
              <w:tab/>
            </w:r>
            <w:r>
              <w:rPr>
                <w:b/>
                <w:sz w:val="18"/>
                <w:u w:val="single"/>
              </w:rPr>
              <w:t>-</w:t>
              <w:tab/>
            </w:r>
            <w:r>
              <w:rPr>
                <w:sz w:val="18"/>
                <w:u w:val="single"/>
              </w:rPr>
              <w:t>-</w:t>
            </w:r>
          </w:p>
          <w:p>
            <w:pPr>
              <w:pStyle w:val="TableParagraph"/>
              <w:tabs>
                <w:tab w:pos="738" w:val="left" w:leader="none"/>
                <w:tab w:pos="2487" w:val="left" w:leader="none"/>
              </w:tabs>
              <w:spacing w:before="9"/>
              <w:ind w:left="44"/>
              <w:rPr>
                <w:sz w:val="18"/>
              </w:rPr>
            </w:pPr>
            <w:r>
              <w:rPr>
                <w:rFonts w:ascii="Times New Roman"/>
                <w:sz w:val="18"/>
                <w:u w:val="single"/>
              </w:rPr>
              <w:t> </w:t>
              <w:tab/>
            </w:r>
            <w:r>
              <w:rPr>
                <w:b/>
                <w:sz w:val="18"/>
                <w:u w:val="single"/>
              </w:rPr>
              <w:t>(9,000)</w:t>
              <w:tab/>
            </w:r>
            <w:r>
              <w:rPr>
                <w:sz w:val="18"/>
                <w:u w:val="single"/>
              </w:rPr>
              <w:t>-</w:t>
            </w:r>
          </w:p>
        </w:tc>
      </w:tr>
      <w:tr>
        <w:trPr>
          <w:trHeight w:val="499" w:hRule="exact"/>
        </w:trPr>
        <w:tc>
          <w:tcPr>
            <w:tcW w:w="5868" w:type="dxa"/>
          </w:tcPr>
          <w:p>
            <w:pPr>
              <w:pStyle w:val="TableParagraph"/>
              <w:spacing w:before="141"/>
              <w:ind w:left="61"/>
              <w:rPr>
                <w:b/>
                <w:sz w:val="18"/>
              </w:rPr>
            </w:pPr>
            <w:r>
              <w:rPr>
                <w:b/>
                <w:sz w:val="18"/>
              </w:rPr>
              <w:t>Surplus/(deficit) before income tax</w:t>
            </w:r>
          </w:p>
        </w:tc>
        <w:tc>
          <w:tcPr>
            <w:tcW w:w="1444" w:type="dxa"/>
          </w:tcPr>
          <w:p>
            <w:pPr/>
          </w:p>
        </w:tc>
        <w:tc>
          <w:tcPr>
            <w:tcW w:w="2583" w:type="dxa"/>
          </w:tcPr>
          <w:p>
            <w:pPr>
              <w:pStyle w:val="TableParagraph"/>
              <w:tabs>
                <w:tab w:pos="1396" w:val="left" w:leader="none"/>
              </w:tabs>
              <w:spacing w:before="141"/>
              <w:ind w:right="33"/>
              <w:jc w:val="right"/>
              <w:rPr>
                <w:sz w:val="18"/>
              </w:rPr>
            </w:pPr>
            <w:r>
              <w:rPr>
                <w:b/>
                <w:sz w:val="18"/>
              </w:rPr>
              <w:t>268,639</w:t>
              <w:tab/>
            </w:r>
            <w:r>
              <w:rPr>
                <w:w w:val="95"/>
                <w:sz w:val="18"/>
              </w:rPr>
              <w:t>59,694</w:t>
            </w:r>
          </w:p>
        </w:tc>
      </w:tr>
      <w:tr>
        <w:trPr>
          <w:trHeight w:val="358" w:hRule="exact"/>
        </w:trPr>
        <w:tc>
          <w:tcPr>
            <w:tcW w:w="5868" w:type="dxa"/>
          </w:tcPr>
          <w:p>
            <w:pPr>
              <w:pStyle w:val="TableParagraph"/>
              <w:spacing w:before="132"/>
              <w:ind w:left="61"/>
              <w:rPr>
                <w:sz w:val="18"/>
              </w:rPr>
            </w:pPr>
            <w:r>
              <w:rPr>
                <w:sz w:val="18"/>
              </w:rPr>
              <w:t>Income tax expense</w:t>
            </w:r>
          </w:p>
        </w:tc>
        <w:tc>
          <w:tcPr>
            <w:tcW w:w="1444" w:type="dxa"/>
          </w:tcPr>
          <w:p>
            <w:pPr>
              <w:pStyle w:val="TableParagraph"/>
              <w:spacing w:before="132"/>
              <w:ind w:left="939"/>
              <w:rPr>
                <w:sz w:val="18"/>
              </w:rPr>
            </w:pPr>
            <w:r>
              <w:rPr>
                <w:sz w:val="18"/>
              </w:rPr>
              <w:t>1(d)</w:t>
            </w:r>
          </w:p>
        </w:tc>
        <w:tc>
          <w:tcPr>
            <w:tcW w:w="2583" w:type="dxa"/>
          </w:tcPr>
          <w:p>
            <w:pPr>
              <w:pStyle w:val="TableParagraph"/>
              <w:tabs>
                <w:tab w:pos="1147" w:val="left" w:leader="none"/>
                <w:tab w:pos="2443" w:val="left" w:leader="none"/>
              </w:tabs>
              <w:spacing w:before="132"/>
              <w:ind w:right="33"/>
              <w:jc w:val="right"/>
              <w:rPr>
                <w:sz w:val="18"/>
              </w:rPr>
            </w:pPr>
            <w:r>
              <w:rPr>
                <w:rFonts w:ascii="Times New Roman"/>
                <w:sz w:val="18"/>
                <w:u w:val="single"/>
              </w:rPr>
              <w:t> </w:t>
              <w:tab/>
            </w:r>
            <w:r>
              <w:rPr>
                <w:b/>
                <w:sz w:val="18"/>
                <w:u w:val="single"/>
              </w:rPr>
              <w:t>-</w:t>
              <w:tab/>
            </w:r>
            <w:r>
              <w:rPr>
                <w:sz w:val="18"/>
                <w:u w:val="single"/>
              </w:rPr>
              <w:t>-</w:t>
            </w:r>
          </w:p>
        </w:tc>
      </w:tr>
      <w:tr>
        <w:trPr>
          <w:trHeight w:val="367" w:hRule="exact"/>
        </w:trPr>
        <w:tc>
          <w:tcPr>
            <w:tcW w:w="5868" w:type="dxa"/>
          </w:tcPr>
          <w:p>
            <w:pPr>
              <w:pStyle w:val="TableParagraph"/>
              <w:spacing w:line="206" w:lineRule="exact"/>
              <w:ind w:left="61"/>
              <w:rPr>
                <w:b/>
                <w:sz w:val="18"/>
              </w:rPr>
            </w:pPr>
            <w:r>
              <w:rPr>
                <w:b/>
                <w:sz w:val="18"/>
              </w:rPr>
              <w:t>Surplus/(deficit) for the year</w:t>
            </w:r>
          </w:p>
        </w:tc>
        <w:tc>
          <w:tcPr>
            <w:tcW w:w="1444" w:type="dxa"/>
          </w:tcPr>
          <w:p>
            <w:pPr/>
          </w:p>
        </w:tc>
        <w:tc>
          <w:tcPr>
            <w:tcW w:w="2583" w:type="dxa"/>
          </w:tcPr>
          <w:p>
            <w:pPr>
              <w:pStyle w:val="TableParagraph"/>
              <w:tabs>
                <w:tab w:pos="551" w:val="left" w:leader="none"/>
                <w:tab w:pos="1948" w:val="left" w:leader="none"/>
              </w:tabs>
              <w:spacing w:line="206" w:lineRule="exact"/>
              <w:ind w:right="33"/>
              <w:jc w:val="right"/>
              <w:rPr>
                <w:sz w:val="18"/>
              </w:rPr>
            </w:pPr>
            <w:r>
              <w:rPr>
                <w:rFonts w:ascii="Times New Roman"/>
                <w:sz w:val="18"/>
                <w:u w:val="single"/>
              </w:rPr>
              <w:t> </w:t>
              <w:tab/>
            </w:r>
            <w:r>
              <w:rPr>
                <w:b/>
                <w:sz w:val="18"/>
                <w:u w:val="single"/>
              </w:rPr>
              <w:t>268,639</w:t>
              <w:tab/>
            </w:r>
            <w:r>
              <w:rPr>
                <w:w w:val="95"/>
                <w:sz w:val="18"/>
                <w:u w:val="single"/>
              </w:rPr>
              <w:t>59,694</w:t>
            </w:r>
          </w:p>
        </w:tc>
      </w:tr>
      <w:tr>
        <w:trPr>
          <w:trHeight w:val="661" w:hRule="exact"/>
        </w:trPr>
        <w:tc>
          <w:tcPr>
            <w:tcW w:w="5868" w:type="dxa"/>
          </w:tcPr>
          <w:p>
            <w:pPr>
              <w:pStyle w:val="TableParagraph"/>
              <w:spacing w:before="141"/>
              <w:ind w:left="61"/>
              <w:rPr>
                <w:sz w:val="18"/>
              </w:rPr>
            </w:pPr>
            <w:r>
              <w:rPr>
                <w:sz w:val="18"/>
              </w:rPr>
              <w:t>Other comprehensive income for the year, net of tax</w:t>
            </w:r>
          </w:p>
          <w:p>
            <w:pPr>
              <w:pStyle w:val="TableParagraph"/>
              <w:spacing w:before="9"/>
              <w:ind w:left="61"/>
              <w:rPr>
                <w:b/>
                <w:sz w:val="18"/>
              </w:rPr>
            </w:pPr>
            <w:r>
              <w:rPr>
                <w:b/>
                <w:sz w:val="18"/>
              </w:rPr>
              <w:t>Total comprehensive income for the year</w:t>
            </w:r>
          </w:p>
        </w:tc>
        <w:tc>
          <w:tcPr>
            <w:tcW w:w="1444" w:type="dxa"/>
          </w:tcPr>
          <w:p>
            <w:pPr/>
          </w:p>
        </w:tc>
        <w:tc>
          <w:tcPr>
            <w:tcW w:w="2583" w:type="dxa"/>
          </w:tcPr>
          <w:p>
            <w:pPr>
              <w:pStyle w:val="TableParagraph"/>
              <w:tabs>
                <w:tab w:pos="1191" w:val="left" w:leader="none"/>
                <w:tab w:pos="2487" w:val="left" w:leader="none"/>
              </w:tabs>
              <w:spacing w:before="141"/>
              <w:ind w:left="44"/>
              <w:rPr>
                <w:sz w:val="18"/>
              </w:rPr>
            </w:pPr>
            <w:r>
              <w:rPr>
                <w:rFonts w:ascii="Times New Roman"/>
                <w:sz w:val="18"/>
                <w:u w:val="single"/>
              </w:rPr>
              <w:t> </w:t>
              <w:tab/>
            </w:r>
            <w:r>
              <w:rPr>
                <w:b/>
                <w:sz w:val="18"/>
                <w:u w:val="single"/>
              </w:rPr>
              <w:t>-</w:t>
              <w:tab/>
            </w:r>
            <w:r>
              <w:rPr>
                <w:sz w:val="18"/>
                <w:u w:val="single"/>
              </w:rPr>
              <w:t>-</w:t>
            </w:r>
          </w:p>
          <w:p>
            <w:pPr>
              <w:pStyle w:val="TableParagraph"/>
              <w:tabs>
                <w:tab w:pos="596" w:val="left" w:leader="none"/>
                <w:tab w:pos="1993" w:val="left" w:leader="none"/>
              </w:tabs>
              <w:spacing w:before="9"/>
              <w:ind w:left="44"/>
              <w:rPr>
                <w:sz w:val="18"/>
              </w:rPr>
            </w:pPr>
            <w:r>
              <w:rPr>
                <w:rFonts w:ascii="Times New Roman"/>
                <w:sz w:val="18"/>
                <w:u w:val="single"/>
              </w:rPr>
              <w:t> </w:t>
              <w:tab/>
            </w:r>
            <w:r>
              <w:rPr>
                <w:b/>
                <w:sz w:val="18"/>
                <w:u w:val="single"/>
              </w:rPr>
              <w:t>268,639</w:t>
              <w:tab/>
            </w:r>
            <w:r>
              <w:rPr>
                <w:sz w:val="18"/>
                <w:u w:val="single"/>
              </w:rPr>
              <w:t>59,694</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pStyle w:val="BodyText"/>
        <w:spacing w:before="77"/>
        <w:ind w:left="147" w:right="128"/>
      </w:pPr>
      <w:r>
        <w:rPr/>
        <w:t>The accompanying notes form part of these financial statements.</w:t>
      </w:r>
    </w:p>
    <w:p>
      <w:pPr>
        <w:spacing w:after="0"/>
        <w:sectPr>
          <w:headerReference w:type="default" r:id="rId271"/>
          <w:pgSz w:w="11910" w:h="16840"/>
          <w:pgMar w:header="1037" w:footer="508" w:top="1460" w:bottom="700" w:left="860" w:right="920"/>
        </w:sectPr>
      </w:pPr>
    </w:p>
    <w:p>
      <w:pPr>
        <w:pStyle w:val="BodyText"/>
        <w:spacing w:before="1"/>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64"/>
        <w:gridCol w:w="1846"/>
        <w:gridCol w:w="2583"/>
      </w:tblGrid>
      <w:tr>
        <w:trPr>
          <w:trHeight w:val="909" w:hRule="exact"/>
        </w:trPr>
        <w:tc>
          <w:tcPr>
            <w:tcW w:w="5464" w:type="dxa"/>
          </w:tcPr>
          <w:p>
            <w:pPr>
              <w:pStyle w:val="TableParagraph"/>
              <w:spacing w:before="65"/>
              <w:ind w:left="35"/>
              <w:rPr>
                <w:b/>
                <w:sz w:val="28"/>
              </w:rPr>
            </w:pPr>
            <w:r>
              <w:rPr>
                <w:b/>
                <w:sz w:val="28"/>
              </w:rPr>
              <w:t>Statement of financial position</w:t>
            </w:r>
          </w:p>
          <w:p>
            <w:pPr>
              <w:pStyle w:val="TableParagraph"/>
              <w:spacing w:before="53"/>
              <w:ind w:left="35"/>
              <w:rPr>
                <w:b/>
                <w:sz w:val="22"/>
              </w:rPr>
            </w:pPr>
            <w:r>
              <w:rPr>
                <w:b/>
                <w:sz w:val="22"/>
              </w:rPr>
              <w:t>As at 31 December 2012</w:t>
            </w:r>
          </w:p>
        </w:tc>
        <w:tc>
          <w:tcPr>
            <w:tcW w:w="4429" w:type="dxa"/>
            <w:gridSpan w:val="2"/>
          </w:tcPr>
          <w:p>
            <w:pPr/>
          </w:p>
        </w:tc>
      </w:tr>
      <w:tr>
        <w:trPr>
          <w:trHeight w:val="447" w:hRule="exact"/>
        </w:trPr>
        <w:tc>
          <w:tcPr>
            <w:tcW w:w="5464" w:type="dxa"/>
          </w:tcPr>
          <w:p>
            <w:pPr/>
          </w:p>
        </w:tc>
        <w:tc>
          <w:tcPr>
            <w:tcW w:w="1846" w:type="dxa"/>
          </w:tcPr>
          <w:p>
            <w:pPr/>
          </w:p>
        </w:tc>
        <w:tc>
          <w:tcPr>
            <w:tcW w:w="2583" w:type="dxa"/>
          </w:tcPr>
          <w:p>
            <w:pPr>
              <w:pStyle w:val="TableParagraph"/>
              <w:spacing w:before="2"/>
              <w:rPr>
                <w:sz w:val="17"/>
              </w:rPr>
            </w:pPr>
          </w:p>
          <w:p>
            <w:pPr>
              <w:pStyle w:val="TableParagraph"/>
              <w:tabs>
                <w:tab w:pos="1784" w:val="left" w:leader="none"/>
              </w:tabs>
              <w:ind w:left="488"/>
              <w:rPr>
                <w:b/>
                <w:sz w:val="18"/>
              </w:rPr>
            </w:pPr>
            <w:r>
              <w:rPr>
                <w:b/>
                <w:sz w:val="18"/>
              </w:rPr>
              <w:t>2012</w:t>
              <w:tab/>
              <w:t>2011</w:t>
            </w:r>
          </w:p>
        </w:tc>
      </w:tr>
      <w:tr>
        <w:trPr>
          <w:trHeight w:val="313" w:hRule="exact"/>
        </w:trPr>
        <w:tc>
          <w:tcPr>
            <w:tcW w:w="5464" w:type="dxa"/>
          </w:tcPr>
          <w:p>
            <w:pPr/>
          </w:p>
        </w:tc>
        <w:tc>
          <w:tcPr>
            <w:tcW w:w="1846" w:type="dxa"/>
          </w:tcPr>
          <w:p>
            <w:pPr>
              <w:pStyle w:val="TableParagraph"/>
              <w:spacing w:before="24"/>
              <w:ind w:left="1400"/>
              <w:rPr>
                <w:b/>
                <w:sz w:val="18"/>
              </w:rPr>
            </w:pPr>
            <w:r>
              <w:rPr>
                <w:b/>
                <w:sz w:val="18"/>
              </w:rPr>
              <w:t>Note</w:t>
            </w:r>
          </w:p>
        </w:tc>
        <w:tc>
          <w:tcPr>
            <w:tcW w:w="2583" w:type="dxa"/>
          </w:tcPr>
          <w:p>
            <w:pPr>
              <w:pStyle w:val="TableParagraph"/>
              <w:tabs>
                <w:tab w:pos="1935" w:val="left" w:leader="none"/>
              </w:tabs>
              <w:spacing w:before="24"/>
              <w:ind w:left="639"/>
              <w:rPr>
                <w:b/>
                <w:sz w:val="18"/>
              </w:rPr>
            </w:pPr>
            <w:r>
              <w:rPr>
                <w:b/>
                <w:sz w:val="18"/>
              </w:rPr>
              <w:t>$</w:t>
              <w:tab/>
              <w:t>$</w:t>
            </w:r>
          </w:p>
        </w:tc>
      </w:tr>
      <w:tr>
        <w:trPr>
          <w:trHeight w:val="692" w:hRule="exact"/>
        </w:trPr>
        <w:tc>
          <w:tcPr>
            <w:tcW w:w="5464" w:type="dxa"/>
          </w:tcPr>
          <w:p>
            <w:pPr>
              <w:pStyle w:val="TableParagraph"/>
              <w:spacing w:line="207" w:lineRule="exact" w:before="63"/>
              <w:ind w:left="61"/>
              <w:rPr>
                <w:b/>
                <w:sz w:val="18"/>
              </w:rPr>
            </w:pPr>
            <w:r>
              <w:rPr>
                <w:b/>
                <w:sz w:val="18"/>
              </w:rPr>
              <w:t>ASSETS</w:t>
            </w:r>
          </w:p>
          <w:p>
            <w:pPr>
              <w:pStyle w:val="TableParagraph"/>
              <w:spacing w:line="206" w:lineRule="exact"/>
              <w:ind w:left="61"/>
              <w:rPr>
                <w:b/>
                <w:sz w:val="18"/>
              </w:rPr>
            </w:pPr>
            <w:r>
              <w:rPr>
                <w:b/>
                <w:sz w:val="18"/>
              </w:rPr>
              <w:t>Current assets</w:t>
            </w:r>
          </w:p>
          <w:p>
            <w:pPr>
              <w:pStyle w:val="TableParagraph"/>
              <w:spacing w:line="207" w:lineRule="exact"/>
              <w:ind w:left="61"/>
              <w:rPr>
                <w:sz w:val="18"/>
              </w:rPr>
            </w:pPr>
            <w:r>
              <w:rPr>
                <w:sz w:val="18"/>
              </w:rPr>
              <w:t>Cash and cash equivalents</w:t>
            </w:r>
          </w:p>
        </w:tc>
        <w:tc>
          <w:tcPr>
            <w:tcW w:w="1846" w:type="dxa"/>
          </w:tcPr>
          <w:p>
            <w:pPr>
              <w:pStyle w:val="TableParagraph"/>
              <w:rPr>
                <w:sz w:val="18"/>
              </w:rPr>
            </w:pPr>
          </w:p>
          <w:p>
            <w:pPr>
              <w:pStyle w:val="TableParagraph"/>
              <w:spacing w:before="4"/>
              <w:rPr>
                <w:sz w:val="23"/>
              </w:rPr>
            </w:pPr>
          </w:p>
          <w:p>
            <w:pPr>
              <w:pStyle w:val="TableParagraph"/>
              <w:ind w:left="1340"/>
              <w:rPr>
                <w:sz w:val="18"/>
              </w:rPr>
            </w:pPr>
            <w:r>
              <w:rPr>
                <w:w w:val="99"/>
                <w:sz w:val="18"/>
              </w:rPr>
              <w:t>6</w:t>
            </w:r>
          </w:p>
        </w:tc>
        <w:tc>
          <w:tcPr>
            <w:tcW w:w="2583" w:type="dxa"/>
          </w:tcPr>
          <w:p>
            <w:pPr>
              <w:pStyle w:val="TableParagraph"/>
              <w:rPr>
                <w:sz w:val="18"/>
              </w:rPr>
            </w:pPr>
          </w:p>
          <w:p>
            <w:pPr>
              <w:pStyle w:val="TableParagraph"/>
              <w:spacing w:before="4"/>
              <w:rPr>
                <w:sz w:val="23"/>
              </w:rPr>
            </w:pPr>
          </w:p>
          <w:p>
            <w:pPr>
              <w:pStyle w:val="TableParagraph"/>
              <w:tabs>
                <w:tab w:pos="1295" w:val="left" w:leader="none"/>
              </w:tabs>
              <w:ind w:right="33"/>
              <w:jc w:val="right"/>
              <w:rPr>
                <w:sz w:val="18"/>
              </w:rPr>
            </w:pPr>
            <w:r>
              <w:rPr>
                <w:b/>
                <w:sz w:val="18"/>
              </w:rPr>
              <w:t>412,770</w:t>
              <w:tab/>
            </w:r>
            <w:r>
              <w:rPr>
                <w:w w:val="95"/>
                <w:sz w:val="18"/>
              </w:rPr>
              <w:t>347,375</w:t>
            </w:r>
          </w:p>
        </w:tc>
      </w:tr>
      <w:tr>
        <w:trPr>
          <w:trHeight w:val="212" w:hRule="exact"/>
        </w:trPr>
        <w:tc>
          <w:tcPr>
            <w:tcW w:w="5464" w:type="dxa"/>
          </w:tcPr>
          <w:p>
            <w:pPr>
              <w:pStyle w:val="TableParagraph"/>
              <w:spacing w:line="197" w:lineRule="exact"/>
              <w:ind w:left="61"/>
              <w:rPr>
                <w:sz w:val="18"/>
              </w:rPr>
            </w:pPr>
            <w:r>
              <w:rPr>
                <w:sz w:val="18"/>
              </w:rPr>
              <w:t>Trade and other receivables</w:t>
            </w:r>
          </w:p>
        </w:tc>
        <w:tc>
          <w:tcPr>
            <w:tcW w:w="1846" w:type="dxa"/>
          </w:tcPr>
          <w:p>
            <w:pPr>
              <w:pStyle w:val="TableParagraph"/>
              <w:spacing w:line="197" w:lineRule="exact"/>
              <w:ind w:left="1340"/>
              <w:rPr>
                <w:sz w:val="18"/>
              </w:rPr>
            </w:pPr>
            <w:r>
              <w:rPr>
                <w:w w:val="99"/>
                <w:sz w:val="18"/>
              </w:rPr>
              <w:t>7</w:t>
            </w:r>
          </w:p>
        </w:tc>
        <w:tc>
          <w:tcPr>
            <w:tcW w:w="2583" w:type="dxa"/>
          </w:tcPr>
          <w:p>
            <w:pPr>
              <w:pStyle w:val="TableParagraph"/>
              <w:tabs>
                <w:tab w:pos="753" w:val="left" w:leader="none"/>
                <w:tab w:pos="2443" w:val="left" w:leader="none"/>
              </w:tabs>
              <w:spacing w:line="197" w:lineRule="exact"/>
              <w:ind w:right="33"/>
              <w:jc w:val="right"/>
              <w:rPr>
                <w:sz w:val="18"/>
              </w:rPr>
            </w:pPr>
            <w:r>
              <w:rPr>
                <w:rFonts w:ascii="Times New Roman"/>
                <w:sz w:val="18"/>
                <w:u w:val="single"/>
              </w:rPr>
              <w:t> </w:t>
              <w:tab/>
            </w:r>
            <w:r>
              <w:rPr>
                <w:b/>
                <w:sz w:val="18"/>
                <w:u w:val="single"/>
              </w:rPr>
              <w:t>5,127</w:t>
              <w:tab/>
            </w:r>
            <w:r>
              <w:rPr>
                <w:sz w:val="18"/>
                <w:u w:val="single"/>
              </w:rPr>
              <w:t>-</w:t>
            </w:r>
          </w:p>
        </w:tc>
      </w:tr>
      <w:tr>
        <w:trPr>
          <w:trHeight w:val="290" w:hRule="exact"/>
        </w:trPr>
        <w:tc>
          <w:tcPr>
            <w:tcW w:w="5464" w:type="dxa"/>
          </w:tcPr>
          <w:p>
            <w:pPr>
              <w:pStyle w:val="TableParagraph"/>
              <w:spacing w:line="201" w:lineRule="exact"/>
              <w:ind w:left="61"/>
              <w:rPr>
                <w:sz w:val="18"/>
              </w:rPr>
            </w:pPr>
            <w:r>
              <w:rPr>
                <w:sz w:val="18"/>
              </w:rPr>
              <w:t>Total current assets</w:t>
            </w:r>
          </w:p>
        </w:tc>
        <w:tc>
          <w:tcPr>
            <w:tcW w:w="1846" w:type="dxa"/>
          </w:tcPr>
          <w:p>
            <w:pPr/>
          </w:p>
        </w:tc>
        <w:tc>
          <w:tcPr>
            <w:tcW w:w="2583" w:type="dxa"/>
          </w:tcPr>
          <w:p>
            <w:pPr>
              <w:pStyle w:val="TableParagraph"/>
              <w:tabs>
                <w:tab w:pos="551" w:val="left" w:leader="none"/>
                <w:tab w:pos="1847" w:val="left" w:leader="none"/>
              </w:tabs>
              <w:spacing w:line="201" w:lineRule="exact"/>
              <w:ind w:right="33"/>
              <w:jc w:val="right"/>
              <w:rPr>
                <w:sz w:val="18"/>
              </w:rPr>
            </w:pPr>
            <w:r>
              <w:rPr>
                <w:rFonts w:ascii="Times New Roman"/>
                <w:sz w:val="18"/>
                <w:u w:val="single"/>
              </w:rPr>
              <w:t> </w:t>
              <w:tab/>
            </w:r>
            <w:r>
              <w:rPr>
                <w:b/>
                <w:sz w:val="18"/>
                <w:u w:val="single"/>
              </w:rPr>
              <w:t>417,897</w:t>
              <w:tab/>
            </w:r>
            <w:r>
              <w:rPr>
                <w:w w:val="95"/>
                <w:sz w:val="18"/>
                <w:u w:val="single"/>
              </w:rPr>
              <w:t>347,375</w:t>
            </w:r>
          </w:p>
        </w:tc>
      </w:tr>
      <w:tr>
        <w:trPr>
          <w:trHeight w:val="497" w:hRule="exact"/>
        </w:trPr>
        <w:tc>
          <w:tcPr>
            <w:tcW w:w="5464" w:type="dxa"/>
          </w:tcPr>
          <w:p>
            <w:pPr>
              <w:pStyle w:val="TableParagraph"/>
              <w:spacing w:line="207" w:lineRule="exact" w:before="69"/>
              <w:ind w:left="61"/>
              <w:rPr>
                <w:b/>
                <w:sz w:val="18"/>
              </w:rPr>
            </w:pPr>
            <w:r>
              <w:rPr>
                <w:b/>
                <w:sz w:val="18"/>
              </w:rPr>
              <w:t>Non-current assets</w:t>
            </w:r>
          </w:p>
          <w:p>
            <w:pPr>
              <w:pStyle w:val="TableParagraph"/>
              <w:spacing w:line="207" w:lineRule="exact"/>
              <w:ind w:left="61"/>
              <w:rPr>
                <w:sz w:val="18"/>
              </w:rPr>
            </w:pPr>
            <w:r>
              <w:rPr>
                <w:sz w:val="18"/>
              </w:rPr>
              <w:t>Property, plant and equipment</w:t>
            </w:r>
          </w:p>
        </w:tc>
        <w:tc>
          <w:tcPr>
            <w:tcW w:w="1846" w:type="dxa"/>
          </w:tcPr>
          <w:p>
            <w:pPr>
              <w:pStyle w:val="TableParagraph"/>
              <w:spacing w:before="10"/>
              <w:rPr>
                <w:sz w:val="23"/>
              </w:rPr>
            </w:pPr>
          </w:p>
          <w:p>
            <w:pPr>
              <w:pStyle w:val="TableParagraph"/>
              <w:spacing w:before="1"/>
              <w:ind w:left="1340"/>
              <w:rPr>
                <w:sz w:val="18"/>
              </w:rPr>
            </w:pPr>
            <w:r>
              <w:rPr>
                <w:w w:val="99"/>
                <w:sz w:val="18"/>
              </w:rPr>
              <w:t>8</w:t>
            </w:r>
          </w:p>
        </w:tc>
        <w:tc>
          <w:tcPr>
            <w:tcW w:w="2583" w:type="dxa"/>
          </w:tcPr>
          <w:p>
            <w:pPr>
              <w:pStyle w:val="TableParagraph"/>
              <w:spacing w:before="10"/>
              <w:rPr>
                <w:sz w:val="23"/>
              </w:rPr>
            </w:pPr>
          </w:p>
          <w:p>
            <w:pPr>
              <w:pStyle w:val="TableParagraph"/>
              <w:tabs>
                <w:tab w:pos="551" w:val="left" w:leader="none"/>
                <w:tab w:pos="1847" w:val="left" w:leader="none"/>
              </w:tabs>
              <w:spacing w:before="1"/>
              <w:ind w:right="33"/>
              <w:jc w:val="right"/>
              <w:rPr>
                <w:sz w:val="18"/>
              </w:rPr>
            </w:pPr>
            <w:r>
              <w:rPr>
                <w:rFonts w:ascii="Times New Roman"/>
                <w:sz w:val="18"/>
                <w:u w:val="single"/>
              </w:rPr>
              <w:t> </w:t>
              <w:tab/>
            </w:r>
            <w:r>
              <w:rPr>
                <w:b/>
                <w:sz w:val="18"/>
                <w:u w:val="single"/>
              </w:rPr>
              <w:t>461,802</w:t>
              <w:tab/>
            </w:r>
            <w:r>
              <w:rPr>
                <w:w w:val="95"/>
                <w:sz w:val="18"/>
                <w:u w:val="single"/>
              </w:rPr>
              <w:t>263,685</w:t>
            </w:r>
          </w:p>
        </w:tc>
      </w:tr>
      <w:tr>
        <w:trPr>
          <w:trHeight w:val="362" w:hRule="exact"/>
        </w:trPr>
        <w:tc>
          <w:tcPr>
            <w:tcW w:w="5464" w:type="dxa"/>
          </w:tcPr>
          <w:p>
            <w:pPr>
              <w:pStyle w:val="TableParagraph"/>
              <w:spacing w:line="201" w:lineRule="exact"/>
              <w:ind w:left="61"/>
              <w:rPr>
                <w:sz w:val="18"/>
              </w:rPr>
            </w:pPr>
            <w:r>
              <w:rPr>
                <w:sz w:val="18"/>
              </w:rPr>
              <w:t>Total non-current assets</w:t>
            </w:r>
          </w:p>
        </w:tc>
        <w:tc>
          <w:tcPr>
            <w:tcW w:w="1846" w:type="dxa"/>
          </w:tcPr>
          <w:p>
            <w:pPr/>
          </w:p>
        </w:tc>
        <w:tc>
          <w:tcPr>
            <w:tcW w:w="2583" w:type="dxa"/>
          </w:tcPr>
          <w:p>
            <w:pPr>
              <w:pStyle w:val="TableParagraph"/>
              <w:tabs>
                <w:tab w:pos="551" w:val="left" w:leader="none"/>
                <w:tab w:pos="1847" w:val="left" w:leader="none"/>
              </w:tabs>
              <w:spacing w:line="201" w:lineRule="exact"/>
              <w:ind w:right="33"/>
              <w:jc w:val="right"/>
              <w:rPr>
                <w:sz w:val="18"/>
              </w:rPr>
            </w:pPr>
            <w:r>
              <w:rPr>
                <w:rFonts w:ascii="Times New Roman"/>
                <w:sz w:val="18"/>
                <w:u w:val="single"/>
              </w:rPr>
              <w:t> </w:t>
              <w:tab/>
            </w:r>
            <w:r>
              <w:rPr>
                <w:b/>
                <w:sz w:val="18"/>
                <w:u w:val="single"/>
              </w:rPr>
              <w:t>461,802</w:t>
              <w:tab/>
            </w:r>
            <w:r>
              <w:rPr>
                <w:w w:val="95"/>
                <w:sz w:val="18"/>
                <w:u w:val="single"/>
              </w:rPr>
              <w:t>263,685</w:t>
            </w:r>
          </w:p>
        </w:tc>
      </w:tr>
      <w:tr>
        <w:trPr>
          <w:trHeight w:val="580" w:hRule="exact"/>
        </w:trPr>
        <w:tc>
          <w:tcPr>
            <w:tcW w:w="5464" w:type="dxa"/>
          </w:tcPr>
          <w:p>
            <w:pPr>
              <w:pStyle w:val="TableParagraph"/>
              <w:spacing w:before="141"/>
              <w:ind w:left="61"/>
              <w:rPr>
                <w:b/>
                <w:sz w:val="18"/>
              </w:rPr>
            </w:pPr>
            <w:r>
              <w:rPr>
                <w:b/>
                <w:sz w:val="18"/>
              </w:rPr>
              <w:t>Total assets</w:t>
            </w:r>
          </w:p>
        </w:tc>
        <w:tc>
          <w:tcPr>
            <w:tcW w:w="1846" w:type="dxa"/>
          </w:tcPr>
          <w:p>
            <w:pPr/>
          </w:p>
        </w:tc>
        <w:tc>
          <w:tcPr>
            <w:tcW w:w="2583" w:type="dxa"/>
          </w:tcPr>
          <w:p>
            <w:pPr>
              <w:pStyle w:val="TableParagraph"/>
              <w:tabs>
                <w:tab w:pos="551" w:val="left" w:leader="none"/>
                <w:tab w:pos="1847" w:val="left" w:leader="none"/>
              </w:tabs>
              <w:spacing w:before="141"/>
              <w:ind w:right="33"/>
              <w:jc w:val="right"/>
              <w:rPr>
                <w:sz w:val="18"/>
              </w:rPr>
            </w:pPr>
            <w:r>
              <w:rPr>
                <w:rFonts w:ascii="Times New Roman"/>
                <w:sz w:val="18"/>
                <w:u w:val="single"/>
              </w:rPr>
              <w:t> </w:t>
              <w:tab/>
            </w:r>
            <w:r>
              <w:rPr>
                <w:b/>
                <w:sz w:val="18"/>
                <w:u w:val="single"/>
              </w:rPr>
              <w:t>879,699</w:t>
              <w:tab/>
            </w:r>
            <w:r>
              <w:rPr>
                <w:w w:val="95"/>
                <w:sz w:val="18"/>
                <w:u w:val="single"/>
              </w:rPr>
              <w:t>611,060</w:t>
            </w:r>
          </w:p>
        </w:tc>
      </w:tr>
      <w:tr>
        <w:trPr>
          <w:trHeight w:val="846" w:hRule="exact"/>
        </w:trPr>
        <w:tc>
          <w:tcPr>
            <w:tcW w:w="5464" w:type="dxa"/>
          </w:tcPr>
          <w:p>
            <w:pPr>
              <w:pStyle w:val="TableParagraph"/>
              <w:spacing w:before="4"/>
              <w:rPr>
                <w:sz w:val="18"/>
              </w:rPr>
            </w:pPr>
          </w:p>
          <w:p>
            <w:pPr>
              <w:pStyle w:val="TableParagraph"/>
              <w:spacing w:line="207" w:lineRule="exact"/>
              <w:ind w:left="61"/>
              <w:rPr>
                <w:b/>
                <w:sz w:val="18"/>
              </w:rPr>
            </w:pPr>
            <w:r>
              <w:rPr>
                <w:b/>
                <w:sz w:val="18"/>
              </w:rPr>
              <w:t>LIABILITIES</w:t>
            </w:r>
          </w:p>
          <w:p>
            <w:pPr>
              <w:pStyle w:val="TableParagraph"/>
              <w:spacing w:line="206" w:lineRule="exact"/>
              <w:ind w:left="61"/>
              <w:rPr>
                <w:b/>
                <w:sz w:val="18"/>
              </w:rPr>
            </w:pPr>
            <w:r>
              <w:rPr>
                <w:b/>
                <w:sz w:val="18"/>
              </w:rPr>
              <w:t>Current liabilities</w:t>
            </w:r>
          </w:p>
          <w:p>
            <w:pPr>
              <w:pStyle w:val="TableParagraph"/>
              <w:spacing w:line="207" w:lineRule="exact"/>
              <w:ind w:left="61"/>
              <w:rPr>
                <w:sz w:val="18"/>
              </w:rPr>
            </w:pPr>
            <w:r>
              <w:rPr>
                <w:sz w:val="18"/>
              </w:rPr>
              <w:t>Trade and other payables</w:t>
            </w:r>
          </w:p>
        </w:tc>
        <w:tc>
          <w:tcPr>
            <w:tcW w:w="1846" w:type="dxa"/>
          </w:tcPr>
          <w:p>
            <w:pPr/>
          </w:p>
        </w:tc>
        <w:tc>
          <w:tcPr>
            <w:tcW w:w="2583" w:type="dxa"/>
          </w:tcPr>
          <w:p>
            <w:pPr>
              <w:pStyle w:val="TableParagraph"/>
              <w:rPr>
                <w:sz w:val="18"/>
              </w:rPr>
            </w:pPr>
          </w:p>
          <w:p>
            <w:pPr>
              <w:pStyle w:val="TableParagraph"/>
              <w:rPr>
                <w:sz w:val="18"/>
              </w:rPr>
            </w:pPr>
          </w:p>
          <w:p>
            <w:pPr>
              <w:pStyle w:val="TableParagraph"/>
              <w:spacing w:before="3"/>
              <w:rPr>
                <w:sz w:val="18"/>
              </w:rPr>
            </w:pPr>
          </w:p>
          <w:p>
            <w:pPr>
              <w:pStyle w:val="TableParagraph"/>
              <w:tabs>
                <w:tab w:pos="1147" w:val="left" w:leader="none"/>
                <w:tab w:pos="2443" w:val="left" w:leader="none"/>
              </w:tabs>
              <w:ind w:right="33"/>
              <w:jc w:val="right"/>
              <w:rPr>
                <w:sz w:val="18"/>
              </w:rPr>
            </w:pPr>
            <w:r>
              <w:rPr>
                <w:rFonts w:ascii="Times New Roman"/>
                <w:sz w:val="18"/>
                <w:u w:val="single"/>
              </w:rPr>
              <w:t> </w:t>
              <w:tab/>
            </w:r>
            <w:r>
              <w:rPr>
                <w:b/>
                <w:sz w:val="18"/>
                <w:u w:val="single"/>
              </w:rPr>
              <w:t>-</w:t>
              <w:tab/>
            </w:r>
            <w:r>
              <w:rPr>
                <w:sz w:val="18"/>
                <w:u w:val="single"/>
              </w:rPr>
              <w:t>-</w:t>
            </w:r>
          </w:p>
        </w:tc>
      </w:tr>
      <w:tr>
        <w:trPr>
          <w:trHeight w:val="362" w:hRule="exact"/>
        </w:trPr>
        <w:tc>
          <w:tcPr>
            <w:tcW w:w="5464" w:type="dxa"/>
          </w:tcPr>
          <w:p>
            <w:pPr>
              <w:pStyle w:val="TableParagraph"/>
              <w:spacing w:line="201" w:lineRule="exact"/>
              <w:ind w:left="61"/>
              <w:rPr>
                <w:sz w:val="18"/>
              </w:rPr>
            </w:pPr>
            <w:r>
              <w:rPr>
                <w:sz w:val="18"/>
              </w:rPr>
              <w:t>Total current liabilities</w:t>
            </w:r>
          </w:p>
        </w:tc>
        <w:tc>
          <w:tcPr>
            <w:tcW w:w="1846" w:type="dxa"/>
          </w:tcPr>
          <w:p>
            <w:pPr/>
          </w:p>
        </w:tc>
        <w:tc>
          <w:tcPr>
            <w:tcW w:w="2583" w:type="dxa"/>
          </w:tcPr>
          <w:p>
            <w:pPr>
              <w:pStyle w:val="TableParagraph"/>
              <w:tabs>
                <w:tab w:pos="1147" w:val="left" w:leader="none"/>
                <w:tab w:pos="2443" w:val="left" w:leader="none"/>
              </w:tabs>
              <w:spacing w:line="201" w:lineRule="exact"/>
              <w:ind w:right="33"/>
              <w:jc w:val="right"/>
              <w:rPr>
                <w:sz w:val="18"/>
              </w:rPr>
            </w:pPr>
            <w:r>
              <w:rPr>
                <w:rFonts w:ascii="Times New Roman"/>
                <w:sz w:val="18"/>
                <w:u w:val="single"/>
              </w:rPr>
              <w:t> </w:t>
              <w:tab/>
            </w:r>
            <w:r>
              <w:rPr>
                <w:b/>
                <w:sz w:val="18"/>
                <w:u w:val="single"/>
              </w:rPr>
              <w:t>-</w:t>
              <w:tab/>
            </w:r>
            <w:r>
              <w:rPr>
                <w:sz w:val="18"/>
                <w:u w:val="single"/>
              </w:rPr>
              <w:t>-</w:t>
            </w:r>
          </w:p>
        </w:tc>
      </w:tr>
      <w:tr>
        <w:trPr>
          <w:trHeight w:val="509" w:hRule="exact"/>
        </w:trPr>
        <w:tc>
          <w:tcPr>
            <w:tcW w:w="5464" w:type="dxa"/>
          </w:tcPr>
          <w:p>
            <w:pPr>
              <w:pStyle w:val="TableParagraph"/>
              <w:spacing w:before="141"/>
              <w:ind w:left="61"/>
              <w:rPr>
                <w:b/>
                <w:sz w:val="18"/>
              </w:rPr>
            </w:pPr>
            <w:r>
              <w:rPr>
                <w:b/>
                <w:sz w:val="18"/>
              </w:rPr>
              <w:t>Total liabilities</w:t>
            </w:r>
          </w:p>
        </w:tc>
        <w:tc>
          <w:tcPr>
            <w:tcW w:w="1846" w:type="dxa"/>
          </w:tcPr>
          <w:p>
            <w:pPr/>
          </w:p>
        </w:tc>
        <w:tc>
          <w:tcPr>
            <w:tcW w:w="2583" w:type="dxa"/>
          </w:tcPr>
          <w:p>
            <w:pPr>
              <w:pStyle w:val="TableParagraph"/>
              <w:tabs>
                <w:tab w:pos="1147" w:val="left" w:leader="none"/>
                <w:tab w:pos="2443" w:val="left" w:leader="none"/>
              </w:tabs>
              <w:spacing w:before="141"/>
              <w:ind w:right="33"/>
              <w:jc w:val="right"/>
              <w:rPr>
                <w:sz w:val="18"/>
              </w:rPr>
            </w:pPr>
            <w:r>
              <w:rPr>
                <w:rFonts w:ascii="Times New Roman"/>
                <w:sz w:val="18"/>
                <w:u w:val="single"/>
              </w:rPr>
              <w:t> </w:t>
              <w:tab/>
            </w:r>
            <w:r>
              <w:rPr>
                <w:b/>
                <w:sz w:val="18"/>
                <w:u w:val="single"/>
              </w:rPr>
              <w:t>-</w:t>
              <w:tab/>
            </w:r>
            <w:r>
              <w:rPr>
                <w:sz w:val="18"/>
                <w:u w:val="single"/>
              </w:rPr>
              <w:t>-</w:t>
            </w:r>
          </w:p>
        </w:tc>
      </w:tr>
      <w:tr>
        <w:trPr>
          <w:trHeight w:val="580" w:hRule="exact"/>
        </w:trPr>
        <w:tc>
          <w:tcPr>
            <w:tcW w:w="5464" w:type="dxa"/>
          </w:tcPr>
          <w:p>
            <w:pPr>
              <w:pStyle w:val="TableParagraph"/>
              <w:spacing w:before="141"/>
              <w:ind w:left="61"/>
              <w:rPr>
                <w:b/>
                <w:sz w:val="18"/>
              </w:rPr>
            </w:pPr>
            <w:r>
              <w:rPr>
                <w:b/>
                <w:sz w:val="18"/>
              </w:rPr>
              <w:t>Net assets</w:t>
            </w:r>
          </w:p>
        </w:tc>
        <w:tc>
          <w:tcPr>
            <w:tcW w:w="1846" w:type="dxa"/>
          </w:tcPr>
          <w:p>
            <w:pPr/>
          </w:p>
        </w:tc>
        <w:tc>
          <w:tcPr>
            <w:tcW w:w="2583" w:type="dxa"/>
          </w:tcPr>
          <w:p>
            <w:pPr>
              <w:pStyle w:val="TableParagraph"/>
              <w:tabs>
                <w:tab w:pos="551" w:val="left" w:leader="none"/>
                <w:tab w:pos="1847" w:val="left" w:leader="none"/>
              </w:tabs>
              <w:spacing w:before="141"/>
              <w:ind w:right="33"/>
              <w:jc w:val="right"/>
              <w:rPr>
                <w:sz w:val="18"/>
              </w:rPr>
            </w:pPr>
            <w:r>
              <w:rPr>
                <w:rFonts w:ascii="Times New Roman"/>
                <w:sz w:val="18"/>
                <w:u w:val="single"/>
              </w:rPr>
              <w:t> </w:t>
              <w:tab/>
            </w:r>
            <w:r>
              <w:rPr>
                <w:b/>
                <w:sz w:val="18"/>
                <w:u w:val="single"/>
              </w:rPr>
              <w:t>879,699</w:t>
              <w:tab/>
            </w:r>
            <w:r>
              <w:rPr>
                <w:w w:val="95"/>
                <w:sz w:val="18"/>
                <w:u w:val="single"/>
              </w:rPr>
              <w:t>611,060</w:t>
            </w:r>
          </w:p>
        </w:tc>
      </w:tr>
      <w:tr>
        <w:trPr>
          <w:trHeight w:val="634" w:hRule="exact"/>
        </w:trPr>
        <w:tc>
          <w:tcPr>
            <w:tcW w:w="5464" w:type="dxa"/>
          </w:tcPr>
          <w:p>
            <w:pPr>
              <w:pStyle w:val="TableParagraph"/>
              <w:spacing w:before="4"/>
              <w:rPr>
                <w:sz w:val="18"/>
              </w:rPr>
            </w:pPr>
          </w:p>
          <w:p>
            <w:pPr>
              <w:pStyle w:val="TableParagraph"/>
              <w:spacing w:line="207" w:lineRule="exact"/>
              <w:ind w:left="61"/>
              <w:rPr>
                <w:b/>
                <w:sz w:val="18"/>
              </w:rPr>
            </w:pPr>
            <w:r>
              <w:rPr>
                <w:b/>
                <w:sz w:val="18"/>
              </w:rPr>
              <w:t>TRUST FUNDS</w:t>
            </w:r>
          </w:p>
          <w:p>
            <w:pPr>
              <w:pStyle w:val="TableParagraph"/>
              <w:spacing w:line="207" w:lineRule="exact"/>
              <w:ind w:left="61"/>
              <w:rPr>
                <w:sz w:val="18"/>
              </w:rPr>
            </w:pPr>
            <w:r>
              <w:rPr>
                <w:sz w:val="18"/>
              </w:rPr>
              <w:t>Settled fund</w:t>
            </w:r>
          </w:p>
        </w:tc>
        <w:tc>
          <w:tcPr>
            <w:tcW w:w="1846" w:type="dxa"/>
          </w:tcPr>
          <w:p>
            <w:pPr/>
          </w:p>
        </w:tc>
        <w:tc>
          <w:tcPr>
            <w:tcW w:w="2583" w:type="dxa"/>
          </w:tcPr>
          <w:p>
            <w:pPr>
              <w:pStyle w:val="TableParagraph"/>
              <w:rPr>
                <w:sz w:val="18"/>
              </w:rPr>
            </w:pPr>
          </w:p>
          <w:p>
            <w:pPr>
              <w:pStyle w:val="TableParagraph"/>
              <w:spacing w:before="4"/>
              <w:rPr>
                <w:sz w:val="18"/>
              </w:rPr>
            </w:pPr>
          </w:p>
          <w:p>
            <w:pPr>
              <w:pStyle w:val="TableParagraph"/>
              <w:tabs>
                <w:tab w:pos="1295" w:val="left" w:leader="none"/>
              </w:tabs>
              <w:ind w:right="33"/>
              <w:jc w:val="right"/>
              <w:rPr>
                <w:sz w:val="18"/>
              </w:rPr>
            </w:pPr>
            <w:r>
              <w:rPr>
                <w:b/>
                <w:sz w:val="18"/>
              </w:rPr>
              <w:t>1</w:t>
              <w:tab/>
            </w:r>
            <w:r>
              <w:rPr>
                <w:spacing w:val="-1"/>
                <w:sz w:val="18"/>
              </w:rPr>
              <w:t>1</w:t>
            </w:r>
          </w:p>
        </w:tc>
      </w:tr>
      <w:tr>
        <w:trPr>
          <w:trHeight w:val="206" w:hRule="exact"/>
        </w:trPr>
        <w:tc>
          <w:tcPr>
            <w:tcW w:w="5464" w:type="dxa"/>
          </w:tcPr>
          <w:p>
            <w:pPr>
              <w:pStyle w:val="TableParagraph"/>
              <w:spacing w:line="197" w:lineRule="exact"/>
              <w:ind w:left="61"/>
              <w:rPr>
                <w:sz w:val="18"/>
              </w:rPr>
            </w:pPr>
            <w:r>
              <w:rPr>
                <w:sz w:val="18"/>
              </w:rPr>
              <w:t>Reserves</w:t>
            </w:r>
          </w:p>
        </w:tc>
        <w:tc>
          <w:tcPr>
            <w:tcW w:w="1846" w:type="dxa"/>
          </w:tcPr>
          <w:p>
            <w:pPr>
              <w:pStyle w:val="TableParagraph"/>
              <w:spacing w:line="197" w:lineRule="exact"/>
              <w:ind w:left="1340"/>
              <w:rPr>
                <w:sz w:val="18"/>
              </w:rPr>
            </w:pPr>
            <w:r>
              <w:rPr>
                <w:w w:val="99"/>
                <w:sz w:val="18"/>
              </w:rPr>
              <w:t>9</w:t>
            </w:r>
          </w:p>
        </w:tc>
        <w:tc>
          <w:tcPr>
            <w:tcW w:w="2583" w:type="dxa"/>
          </w:tcPr>
          <w:p>
            <w:pPr>
              <w:pStyle w:val="TableParagraph"/>
              <w:tabs>
                <w:tab w:pos="1295" w:val="left" w:leader="none"/>
              </w:tabs>
              <w:spacing w:line="197" w:lineRule="exact"/>
              <w:ind w:right="33"/>
              <w:jc w:val="right"/>
              <w:rPr>
                <w:sz w:val="18"/>
              </w:rPr>
            </w:pPr>
            <w:r>
              <w:rPr>
                <w:b/>
                <w:sz w:val="18"/>
              </w:rPr>
              <w:t>13,136</w:t>
              <w:tab/>
            </w:r>
            <w:r>
              <w:rPr>
                <w:w w:val="95"/>
                <w:sz w:val="18"/>
              </w:rPr>
              <w:t>13,136</w:t>
            </w:r>
          </w:p>
        </w:tc>
      </w:tr>
      <w:tr>
        <w:trPr>
          <w:trHeight w:val="212" w:hRule="exact"/>
        </w:trPr>
        <w:tc>
          <w:tcPr>
            <w:tcW w:w="5464" w:type="dxa"/>
          </w:tcPr>
          <w:p>
            <w:pPr>
              <w:pStyle w:val="TableParagraph"/>
              <w:spacing w:line="197" w:lineRule="exact"/>
              <w:ind w:left="61"/>
              <w:rPr>
                <w:sz w:val="18"/>
              </w:rPr>
            </w:pPr>
            <w:r>
              <w:rPr>
                <w:sz w:val="18"/>
              </w:rPr>
              <w:t>Retained earnings</w:t>
            </w:r>
          </w:p>
        </w:tc>
        <w:tc>
          <w:tcPr>
            <w:tcW w:w="1846" w:type="dxa"/>
          </w:tcPr>
          <w:p>
            <w:pPr>
              <w:pStyle w:val="TableParagraph"/>
              <w:spacing w:line="197" w:lineRule="exact"/>
              <w:ind w:left="1340"/>
              <w:rPr>
                <w:sz w:val="18"/>
              </w:rPr>
            </w:pPr>
            <w:r>
              <w:rPr>
                <w:sz w:val="18"/>
              </w:rPr>
              <w:t>10</w:t>
            </w:r>
          </w:p>
        </w:tc>
        <w:tc>
          <w:tcPr>
            <w:tcW w:w="2583" w:type="dxa"/>
          </w:tcPr>
          <w:p>
            <w:pPr>
              <w:pStyle w:val="TableParagraph"/>
              <w:tabs>
                <w:tab w:pos="551" w:val="left" w:leader="none"/>
                <w:tab w:pos="1847" w:val="left" w:leader="none"/>
              </w:tabs>
              <w:spacing w:line="197" w:lineRule="exact"/>
              <w:ind w:right="33"/>
              <w:jc w:val="right"/>
              <w:rPr>
                <w:sz w:val="18"/>
              </w:rPr>
            </w:pPr>
            <w:r>
              <w:rPr>
                <w:rFonts w:ascii="Times New Roman"/>
                <w:sz w:val="18"/>
                <w:u w:val="single"/>
              </w:rPr>
              <w:t> </w:t>
              <w:tab/>
            </w:r>
            <w:r>
              <w:rPr>
                <w:b/>
                <w:sz w:val="18"/>
                <w:u w:val="single"/>
              </w:rPr>
              <w:t>866,562</w:t>
              <w:tab/>
            </w:r>
            <w:r>
              <w:rPr>
                <w:w w:val="95"/>
                <w:sz w:val="18"/>
                <w:u w:val="single"/>
              </w:rPr>
              <w:t>597,923</w:t>
            </w:r>
          </w:p>
        </w:tc>
      </w:tr>
      <w:tr>
        <w:trPr>
          <w:trHeight w:val="299" w:hRule="exact"/>
        </w:trPr>
        <w:tc>
          <w:tcPr>
            <w:tcW w:w="5464" w:type="dxa"/>
          </w:tcPr>
          <w:p>
            <w:pPr>
              <w:pStyle w:val="TableParagraph"/>
              <w:spacing w:line="201" w:lineRule="exact"/>
              <w:ind w:left="61"/>
              <w:rPr>
                <w:b/>
                <w:sz w:val="18"/>
              </w:rPr>
            </w:pPr>
            <w:r>
              <w:rPr>
                <w:b/>
                <w:sz w:val="18"/>
              </w:rPr>
              <w:t>Total trust funds</w:t>
            </w:r>
          </w:p>
        </w:tc>
        <w:tc>
          <w:tcPr>
            <w:tcW w:w="1846" w:type="dxa"/>
          </w:tcPr>
          <w:p>
            <w:pPr/>
          </w:p>
        </w:tc>
        <w:tc>
          <w:tcPr>
            <w:tcW w:w="2583" w:type="dxa"/>
          </w:tcPr>
          <w:p>
            <w:pPr>
              <w:pStyle w:val="TableParagraph"/>
              <w:tabs>
                <w:tab w:pos="551" w:val="left" w:leader="none"/>
                <w:tab w:pos="1847" w:val="left" w:leader="none"/>
              </w:tabs>
              <w:spacing w:line="201" w:lineRule="exact"/>
              <w:ind w:right="33"/>
              <w:jc w:val="right"/>
              <w:rPr>
                <w:sz w:val="18"/>
              </w:rPr>
            </w:pPr>
            <w:r>
              <w:rPr>
                <w:rFonts w:ascii="Times New Roman"/>
                <w:sz w:val="18"/>
                <w:u w:val="single"/>
              </w:rPr>
              <w:t> </w:t>
              <w:tab/>
            </w:r>
            <w:r>
              <w:rPr>
                <w:b/>
                <w:sz w:val="18"/>
                <w:u w:val="single"/>
              </w:rPr>
              <w:t>879,699</w:t>
              <w:tab/>
            </w:r>
            <w:r>
              <w:rPr>
                <w:w w:val="95"/>
                <w:sz w:val="18"/>
                <w:u w:val="single"/>
              </w:rPr>
              <w:t>611,060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pStyle w:val="BodyText"/>
        <w:ind w:left="147" w:right="128"/>
      </w:pPr>
      <w:r>
        <w:rPr/>
        <w:t>The accompanying notes form part of these financial statements.</w:t>
      </w:r>
    </w:p>
    <w:p>
      <w:pPr>
        <w:spacing w:after="0"/>
        <w:sectPr>
          <w:pgSz w:w="11910" w:h="16840"/>
          <w:pgMar w:header="1037" w:footer="508" w:top="1460" w:bottom="700" w:left="860" w:right="920"/>
        </w:sectPr>
      </w:pPr>
    </w:p>
    <w:p>
      <w:pPr>
        <w:pStyle w:val="BodyText"/>
        <w:spacing w:before="1"/>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65"/>
        <w:gridCol w:w="1512"/>
        <w:gridCol w:w="1375"/>
        <w:gridCol w:w="1345"/>
        <w:gridCol w:w="1301"/>
      </w:tblGrid>
      <w:tr>
        <w:trPr>
          <w:trHeight w:val="909" w:hRule="exact"/>
        </w:trPr>
        <w:tc>
          <w:tcPr>
            <w:tcW w:w="4365" w:type="dxa"/>
          </w:tcPr>
          <w:p>
            <w:pPr>
              <w:pStyle w:val="TableParagraph"/>
              <w:spacing w:before="65"/>
              <w:ind w:left="35"/>
              <w:rPr>
                <w:b/>
                <w:sz w:val="28"/>
              </w:rPr>
            </w:pPr>
            <w:r>
              <w:rPr>
                <w:b/>
                <w:sz w:val="28"/>
              </w:rPr>
              <w:t>Statement of changes in equity</w:t>
            </w:r>
          </w:p>
          <w:p>
            <w:pPr>
              <w:pStyle w:val="TableParagraph"/>
              <w:spacing w:before="53"/>
              <w:ind w:left="35"/>
              <w:rPr>
                <w:b/>
                <w:sz w:val="22"/>
              </w:rPr>
            </w:pPr>
            <w:r>
              <w:rPr>
                <w:b/>
                <w:sz w:val="22"/>
              </w:rPr>
              <w:t>For the Year Ended 31 December 2012</w:t>
            </w:r>
          </w:p>
        </w:tc>
        <w:tc>
          <w:tcPr>
            <w:tcW w:w="5533" w:type="dxa"/>
            <w:gridSpan w:val="4"/>
          </w:tcPr>
          <w:p>
            <w:pPr/>
          </w:p>
        </w:tc>
      </w:tr>
      <w:tr>
        <w:trPr>
          <w:trHeight w:val="637" w:hRule="exact"/>
        </w:trPr>
        <w:tc>
          <w:tcPr>
            <w:tcW w:w="4365" w:type="dxa"/>
          </w:tcPr>
          <w:p>
            <w:pPr/>
          </w:p>
        </w:tc>
        <w:tc>
          <w:tcPr>
            <w:tcW w:w="1512" w:type="dxa"/>
          </w:tcPr>
          <w:p>
            <w:pPr>
              <w:pStyle w:val="TableParagraph"/>
              <w:rPr>
                <w:sz w:val="18"/>
              </w:rPr>
            </w:pPr>
          </w:p>
          <w:p>
            <w:pPr>
              <w:pStyle w:val="TableParagraph"/>
              <w:spacing w:before="1"/>
              <w:rPr>
                <w:sz w:val="17"/>
              </w:rPr>
            </w:pPr>
          </w:p>
          <w:p>
            <w:pPr>
              <w:pStyle w:val="TableParagraph"/>
              <w:ind w:left="182"/>
              <w:rPr>
                <w:b/>
                <w:sz w:val="18"/>
              </w:rPr>
            </w:pPr>
            <w:r>
              <w:rPr>
                <w:b/>
                <w:sz w:val="18"/>
              </w:rPr>
              <w:t>Settled fund</w:t>
            </w:r>
          </w:p>
        </w:tc>
        <w:tc>
          <w:tcPr>
            <w:tcW w:w="1375" w:type="dxa"/>
          </w:tcPr>
          <w:p>
            <w:pPr>
              <w:pStyle w:val="TableParagraph"/>
              <w:spacing w:before="2"/>
              <w:rPr>
                <w:sz w:val="17"/>
              </w:rPr>
            </w:pPr>
          </w:p>
          <w:p>
            <w:pPr>
              <w:pStyle w:val="TableParagraph"/>
              <w:ind w:left="199" w:right="385" w:firstLine="4"/>
              <w:rPr>
                <w:b/>
                <w:sz w:val="18"/>
              </w:rPr>
            </w:pPr>
            <w:r>
              <w:rPr>
                <w:b/>
                <w:sz w:val="18"/>
              </w:rPr>
              <w:t>Retained Earnings</w:t>
            </w:r>
          </w:p>
        </w:tc>
        <w:tc>
          <w:tcPr>
            <w:tcW w:w="1345" w:type="dxa"/>
          </w:tcPr>
          <w:p>
            <w:pPr>
              <w:pStyle w:val="TableParagraph"/>
              <w:rPr>
                <w:sz w:val="18"/>
              </w:rPr>
            </w:pPr>
          </w:p>
          <w:p>
            <w:pPr>
              <w:pStyle w:val="TableParagraph"/>
              <w:spacing w:before="1"/>
              <w:rPr>
                <w:sz w:val="17"/>
              </w:rPr>
            </w:pPr>
          </w:p>
          <w:p>
            <w:pPr>
              <w:pStyle w:val="TableParagraph"/>
              <w:ind w:left="180"/>
              <w:rPr>
                <w:b/>
                <w:sz w:val="18"/>
              </w:rPr>
            </w:pPr>
            <w:r>
              <w:rPr>
                <w:b/>
                <w:sz w:val="18"/>
              </w:rPr>
              <w:t>Reserves</w:t>
            </w:r>
          </w:p>
        </w:tc>
        <w:tc>
          <w:tcPr>
            <w:tcW w:w="1301" w:type="dxa"/>
          </w:tcPr>
          <w:p>
            <w:pPr>
              <w:pStyle w:val="TableParagraph"/>
              <w:rPr>
                <w:sz w:val="18"/>
              </w:rPr>
            </w:pPr>
          </w:p>
          <w:p>
            <w:pPr>
              <w:pStyle w:val="TableParagraph"/>
              <w:spacing w:before="1"/>
              <w:rPr>
                <w:sz w:val="17"/>
              </w:rPr>
            </w:pPr>
          </w:p>
          <w:p>
            <w:pPr>
              <w:pStyle w:val="TableParagraph"/>
              <w:ind w:left="130"/>
              <w:rPr>
                <w:b/>
                <w:sz w:val="18"/>
              </w:rPr>
            </w:pPr>
            <w:r>
              <w:rPr>
                <w:b/>
                <w:sz w:val="18"/>
              </w:rPr>
              <w:t>Total Equity</w:t>
            </w:r>
          </w:p>
        </w:tc>
      </w:tr>
      <w:tr>
        <w:trPr>
          <w:trHeight w:val="233" w:hRule="exact"/>
        </w:trPr>
        <w:tc>
          <w:tcPr>
            <w:tcW w:w="4365" w:type="dxa"/>
          </w:tcPr>
          <w:p>
            <w:pPr/>
          </w:p>
        </w:tc>
        <w:tc>
          <w:tcPr>
            <w:tcW w:w="1512" w:type="dxa"/>
          </w:tcPr>
          <w:p>
            <w:pPr>
              <w:pStyle w:val="TableParagraph"/>
              <w:spacing w:before="7"/>
              <w:ind w:right="104"/>
              <w:jc w:val="center"/>
              <w:rPr>
                <w:b/>
                <w:sz w:val="18"/>
              </w:rPr>
            </w:pPr>
            <w:r>
              <w:rPr>
                <w:b/>
                <w:w w:val="99"/>
                <w:sz w:val="18"/>
              </w:rPr>
              <w:t>$</w:t>
            </w:r>
          </w:p>
        </w:tc>
        <w:tc>
          <w:tcPr>
            <w:tcW w:w="1375" w:type="dxa"/>
          </w:tcPr>
          <w:p>
            <w:pPr>
              <w:pStyle w:val="TableParagraph"/>
              <w:spacing w:before="7"/>
              <w:ind w:right="202"/>
              <w:jc w:val="center"/>
              <w:rPr>
                <w:b/>
                <w:sz w:val="18"/>
              </w:rPr>
            </w:pPr>
            <w:r>
              <w:rPr>
                <w:b/>
                <w:w w:val="99"/>
                <w:sz w:val="18"/>
              </w:rPr>
              <w:t>$</w:t>
            </w:r>
          </w:p>
        </w:tc>
        <w:tc>
          <w:tcPr>
            <w:tcW w:w="1345" w:type="dxa"/>
          </w:tcPr>
          <w:p>
            <w:pPr>
              <w:pStyle w:val="TableParagraph"/>
              <w:spacing w:before="7"/>
              <w:ind w:right="134"/>
              <w:jc w:val="center"/>
              <w:rPr>
                <w:b/>
                <w:sz w:val="18"/>
              </w:rPr>
            </w:pPr>
            <w:r>
              <w:rPr>
                <w:b/>
                <w:w w:val="99"/>
                <w:sz w:val="18"/>
              </w:rPr>
              <w:t>$</w:t>
            </w:r>
          </w:p>
        </w:tc>
        <w:tc>
          <w:tcPr>
            <w:tcW w:w="1301" w:type="dxa"/>
          </w:tcPr>
          <w:p>
            <w:pPr>
              <w:pStyle w:val="TableParagraph"/>
              <w:spacing w:before="7"/>
              <w:ind w:right="15"/>
              <w:jc w:val="center"/>
              <w:rPr>
                <w:b/>
                <w:sz w:val="18"/>
              </w:rPr>
            </w:pPr>
            <w:r>
              <w:rPr>
                <w:b/>
                <w:w w:val="99"/>
                <w:sz w:val="18"/>
              </w:rPr>
              <w:t>$</w:t>
            </w:r>
          </w:p>
        </w:tc>
      </w:tr>
      <w:tr>
        <w:trPr>
          <w:trHeight w:val="312" w:hRule="exact"/>
        </w:trPr>
        <w:tc>
          <w:tcPr>
            <w:tcW w:w="4365" w:type="dxa"/>
          </w:tcPr>
          <w:p>
            <w:pPr>
              <w:pStyle w:val="TableParagraph"/>
              <w:ind w:left="61"/>
              <w:rPr>
                <w:b/>
                <w:sz w:val="18"/>
              </w:rPr>
            </w:pPr>
            <w:r>
              <w:rPr>
                <w:b/>
                <w:sz w:val="18"/>
              </w:rPr>
              <w:t>Balance at 1 January 2011</w:t>
            </w:r>
          </w:p>
        </w:tc>
        <w:tc>
          <w:tcPr>
            <w:tcW w:w="1512" w:type="dxa"/>
          </w:tcPr>
          <w:p>
            <w:pPr>
              <w:pStyle w:val="TableParagraph"/>
              <w:ind w:right="197"/>
              <w:jc w:val="right"/>
              <w:rPr>
                <w:b/>
                <w:sz w:val="18"/>
              </w:rPr>
            </w:pPr>
            <w:r>
              <w:rPr>
                <w:b/>
                <w:w w:val="99"/>
                <w:sz w:val="18"/>
              </w:rPr>
              <w:t>1</w:t>
            </w:r>
          </w:p>
        </w:tc>
        <w:tc>
          <w:tcPr>
            <w:tcW w:w="1375" w:type="dxa"/>
          </w:tcPr>
          <w:p>
            <w:pPr>
              <w:pStyle w:val="TableParagraph"/>
              <w:ind w:right="178"/>
              <w:jc w:val="right"/>
              <w:rPr>
                <w:b/>
                <w:sz w:val="18"/>
              </w:rPr>
            </w:pPr>
            <w:r>
              <w:rPr>
                <w:b/>
                <w:w w:val="95"/>
                <w:sz w:val="18"/>
              </w:rPr>
              <w:t>538,229</w:t>
            </w:r>
          </w:p>
        </w:tc>
        <w:tc>
          <w:tcPr>
            <w:tcW w:w="1345" w:type="dxa"/>
          </w:tcPr>
          <w:p>
            <w:pPr>
              <w:pStyle w:val="TableParagraph"/>
              <w:ind w:right="129"/>
              <w:jc w:val="right"/>
              <w:rPr>
                <w:b/>
                <w:sz w:val="18"/>
              </w:rPr>
            </w:pPr>
            <w:r>
              <w:rPr>
                <w:b/>
                <w:w w:val="95"/>
                <w:sz w:val="18"/>
              </w:rPr>
              <w:t>13,136</w:t>
            </w:r>
          </w:p>
        </w:tc>
        <w:tc>
          <w:tcPr>
            <w:tcW w:w="1301" w:type="dxa"/>
          </w:tcPr>
          <w:p>
            <w:pPr>
              <w:pStyle w:val="TableParagraph"/>
              <w:ind w:right="33"/>
              <w:jc w:val="right"/>
              <w:rPr>
                <w:b/>
                <w:sz w:val="18"/>
              </w:rPr>
            </w:pPr>
            <w:r>
              <w:rPr>
                <w:b/>
                <w:w w:val="95"/>
                <w:sz w:val="18"/>
              </w:rPr>
              <w:t>551,366</w:t>
            </w:r>
          </w:p>
        </w:tc>
      </w:tr>
      <w:tr>
        <w:trPr>
          <w:trHeight w:val="289" w:hRule="exact"/>
        </w:trPr>
        <w:tc>
          <w:tcPr>
            <w:tcW w:w="4365" w:type="dxa"/>
          </w:tcPr>
          <w:p>
            <w:pPr>
              <w:pStyle w:val="TableParagraph"/>
              <w:spacing w:before="86"/>
              <w:ind w:left="61"/>
              <w:rPr>
                <w:sz w:val="18"/>
              </w:rPr>
            </w:pPr>
            <w:r>
              <w:rPr>
                <w:sz w:val="18"/>
              </w:rPr>
              <w:t>Total comprehensive income for the year</w:t>
            </w:r>
          </w:p>
        </w:tc>
        <w:tc>
          <w:tcPr>
            <w:tcW w:w="1512" w:type="dxa"/>
          </w:tcPr>
          <w:p>
            <w:pPr>
              <w:pStyle w:val="TableParagraph"/>
              <w:spacing w:before="86"/>
              <w:ind w:right="197"/>
              <w:jc w:val="right"/>
              <w:rPr>
                <w:sz w:val="18"/>
              </w:rPr>
            </w:pPr>
            <w:r>
              <w:rPr>
                <w:w w:val="99"/>
                <w:sz w:val="18"/>
              </w:rPr>
              <w:t>-</w:t>
            </w:r>
          </w:p>
        </w:tc>
        <w:tc>
          <w:tcPr>
            <w:tcW w:w="1375" w:type="dxa"/>
          </w:tcPr>
          <w:p>
            <w:pPr>
              <w:pStyle w:val="TableParagraph"/>
              <w:spacing w:before="86"/>
              <w:ind w:right="178"/>
              <w:jc w:val="right"/>
              <w:rPr>
                <w:sz w:val="18"/>
              </w:rPr>
            </w:pPr>
            <w:r>
              <w:rPr>
                <w:w w:val="95"/>
                <w:sz w:val="18"/>
              </w:rPr>
              <w:t>59,694</w:t>
            </w:r>
          </w:p>
        </w:tc>
        <w:tc>
          <w:tcPr>
            <w:tcW w:w="1345" w:type="dxa"/>
          </w:tcPr>
          <w:p>
            <w:pPr>
              <w:pStyle w:val="TableParagraph"/>
              <w:spacing w:before="86"/>
              <w:ind w:right="128"/>
              <w:jc w:val="right"/>
              <w:rPr>
                <w:sz w:val="18"/>
              </w:rPr>
            </w:pPr>
            <w:r>
              <w:rPr>
                <w:w w:val="99"/>
                <w:sz w:val="18"/>
              </w:rPr>
              <w:t>-</w:t>
            </w:r>
          </w:p>
        </w:tc>
        <w:tc>
          <w:tcPr>
            <w:tcW w:w="1301" w:type="dxa"/>
          </w:tcPr>
          <w:p>
            <w:pPr>
              <w:pStyle w:val="TableParagraph"/>
              <w:spacing w:before="86"/>
              <w:ind w:right="33"/>
              <w:jc w:val="right"/>
              <w:rPr>
                <w:sz w:val="18"/>
              </w:rPr>
            </w:pPr>
            <w:r>
              <w:rPr>
                <w:w w:val="95"/>
                <w:sz w:val="18"/>
              </w:rPr>
              <w:t>59,694</w:t>
            </w:r>
          </w:p>
        </w:tc>
      </w:tr>
    </w:tbl>
    <w:p>
      <w:pPr>
        <w:pStyle w:val="BodyText"/>
        <w:tabs>
          <w:tab w:pos="4487" w:val="left" w:leader="none"/>
          <w:tab w:pos="5730" w:val="left" w:leader="none"/>
          <w:tab w:pos="7124" w:val="left" w:leader="none"/>
          <w:tab w:pos="8519" w:val="left" w:leader="none"/>
          <w:tab w:pos="9915" w:val="left" w:leader="none"/>
        </w:tabs>
        <w:spacing w:before="3"/>
        <w:ind w:left="174" w:right="128"/>
      </w:pPr>
      <w:r>
        <w:rPr/>
        <w:t>Distributions</w:t>
        <w:tab/>
      </w:r>
      <w:r>
        <w:rPr>
          <w:rFonts w:ascii="Times New Roman"/>
          <w:u w:val="single"/>
        </w:rPr>
        <w:t> </w:t>
      </w:r>
      <w:r>
        <w:rPr>
          <w:u w:val="single"/>
        </w:rPr>
        <w:t>-</w:t>
        <w:tab/>
        <w:t>-</w:t>
        <w:tab/>
        <w:t>-</w:t>
        <w:tab/>
        <w:t>-</w:t>
      </w:r>
    </w:p>
    <w:p>
      <w:pPr>
        <w:pStyle w:val="Heading9"/>
        <w:tabs>
          <w:tab w:pos="4487" w:val="left" w:leader="none"/>
          <w:tab w:pos="5689" w:val="left" w:leader="none"/>
          <w:tab w:pos="6529" w:val="left" w:leader="none"/>
          <w:tab w:pos="8024" w:val="left" w:leader="none"/>
          <w:tab w:pos="9320" w:val="left" w:leader="none"/>
        </w:tabs>
        <w:spacing w:before="122"/>
        <w:ind w:left="174"/>
      </w:pPr>
      <w:r>
        <w:rPr/>
        <w:t>Balance at 31</w:t>
      </w:r>
      <w:r>
        <w:rPr>
          <w:spacing w:val="-1"/>
        </w:rPr>
        <w:t> </w:t>
      </w:r>
      <w:r>
        <w:rPr/>
        <w:t>December</w:t>
      </w:r>
      <w:r>
        <w:rPr>
          <w:spacing w:val="-1"/>
        </w:rPr>
        <w:t> </w:t>
      </w:r>
      <w:r>
        <w:rPr/>
        <w:t>2011</w:t>
        <w:tab/>
      </w:r>
      <w:r>
        <w:rPr>
          <w:rFonts w:ascii="Times New Roman"/>
          <w:b w:val="0"/>
          <w:u w:val="single"/>
        </w:rPr>
        <w:t> </w:t>
        <w:tab/>
      </w:r>
      <w:r>
        <w:rPr>
          <w:u w:val="single"/>
        </w:rPr>
        <w:t>1</w:t>
        <w:tab/>
        <w:t>597,923</w:t>
        <w:tab/>
        <w:t>13,136</w:t>
        <w:tab/>
        <w:t>611,060</w:t>
      </w:r>
    </w:p>
    <w:p>
      <w:pPr>
        <w:pStyle w:val="BodyText"/>
        <w:spacing w:before="3"/>
        <w:rPr>
          <w:b/>
          <w:sz w:val="23"/>
        </w:rPr>
      </w:pPr>
    </w:p>
    <w:tbl>
      <w:tblPr>
        <w:tblW w:w="0" w:type="auto"/>
        <w:jc w:val="left"/>
        <w:tblInd w:w="13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18"/>
        <w:gridCol w:w="1932"/>
        <w:gridCol w:w="1375"/>
        <w:gridCol w:w="1345"/>
        <w:gridCol w:w="1301"/>
      </w:tblGrid>
      <w:tr>
        <w:trPr>
          <w:trHeight w:val="533" w:hRule="exact"/>
        </w:trPr>
        <w:tc>
          <w:tcPr>
            <w:tcW w:w="3918" w:type="dxa"/>
            <w:vMerge w:val="restart"/>
          </w:tcPr>
          <w:p>
            <w:pPr/>
          </w:p>
        </w:tc>
        <w:tc>
          <w:tcPr>
            <w:tcW w:w="1932" w:type="dxa"/>
          </w:tcPr>
          <w:p>
            <w:pPr>
              <w:pStyle w:val="TableParagraph"/>
              <w:spacing w:before="7"/>
              <w:rPr>
                <w:b/>
                <w:sz w:val="24"/>
              </w:rPr>
            </w:pPr>
          </w:p>
          <w:p>
            <w:pPr>
              <w:pStyle w:val="TableParagraph"/>
              <w:ind w:right="283"/>
              <w:jc w:val="right"/>
              <w:rPr>
                <w:b/>
                <w:sz w:val="18"/>
              </w:rPr>
            </w:pPr>
            <w:r>
              <w:rPr>
                <w:b/>
                <w:sz w:val="18"/>
              </w:rPr>
              <w:t>Settled fund</w:t>
            </w:r>
          </w:p>
        </w:tc>
        <w:tc>
          <w:tcPr>
            <w:tcW w:w="1375" w:type="dxa"/>
          </w:tcPr>
          <w:p>
            <w:pPr>
              <w:pStyle w:val="TableParagraph"/>
              <w:spacing w:before="77"/>
              <w:ind w:left="199" w:right="385" w:firstLine="4"/>
              <w:rPr>
                <w:b/>
                <w:sz w:val="18"/>
              </w:rPr>
            </w:pPr>
            <w:r>
              <w:rPr>
                <w:b/>
                <w:sz w:val="18"/>
              </w:rPr>
              <w:t>Retained Earnings</w:t>
            </w:r>
          </w:p>
        </w:tc>
        <w:tc>
          <w:tcPr>
            <w:tcW w:w="1345" w:type="dxa"/>
          </w:tcPr>
          <w:p>
            <w:pPr>
              <w:pStyle w:val="TableParagraph"/>
              <w:spacing w:before="7"/>
              <w:rPr>
                <w:b/>
                <w:sz w:val="24"/>
              </w:rPr>
            </w:pPr>
          </w:p>
          <w:p>
            <w:pPr>
              <w:pStyle w:val="TableParagraph"/>
              <w:ind w:left="180"/>
              <w:rPr>
                <w:b/>
                <w:sz w:val="18"/>
              </w:rPr>
            </w:pPr>
            <w:r>
              <w:rPr>
                <w:b/>
                <w:sz w:val="18"/>
              </w:rPr>
              <w:t>Reserves</w:t>
            </w:r>
          </w:p>
        </w:tc>
        <w:tc>
          <w:tcPr>
            <w:tcW w:w="1301" w:type="dxa"/>
          </w:tcPr>
          <w:p>
            <w:pPr>
              <w:pStyle w:val="TableParagraph"/>
              <w:spacing w:before="7"/>
              <w:rPr>
                <w:b/>
                <w:sz w:val="24"/>
              </w:rPr>
            </w:pPr>
          </w:p>
          <w:p>
            <w:pPr>
              <w:pStyle w:val="TableParagraph"/>
              <w:ind w:left="130"/>
              <w:rPr>
                <w:b/>
                <w:sz w:val="18"/>
              </w:rPr>
            </w:pPr>
            <w:r>
              <w:rPr>
                <w:b/>
                <w:sz w:val="18"/>
              </w:rPr>
              <w:t>Total Equity</w:t>
            </w:r>
          </w:p>
        </w:tc>
      </w:tr>
      <w:tr>
        <w:trPr>
          <w:trHeight w:val="283" w:hRule="exact"/>
        </w:trPr>
        <w:tc>
          <w:tcPr>
            <w:tcW w:w="3918" w:type="dxa"/>
            <w:vMerge/>
          </w:tcPr>
          <w:p>
            <w:pPr/>
          </w:p>
        </w:tc>
        <w:tc>
          <w:tcPr>
            <w:tcW w:w="1932" w:type="dxa"/>
          </w:tcPr>
          <w:p>
            <w:pPr>
              <w:pStyle w:val="TableParagraph"/>
              <w:spacing w:before="24"/>
              <w:ind w:left="313"/>
              <w:jc w:val="center"/>
              <w:rPr>
                <w:b/>
                <w:sz w:val="18"/>
              </w:rPr>
            </w:pPr>
            <w:r>
              <w:rPr>
                <w:b/>
                <w:w w:val="99"/>
                <w:sz w:val="18"/>
              </w:rPr>
              <w:t>$</w:t>
            </w:r>
          </w:p>
        </w:tc>
        <w:tc>
          <w:tcPr>
            <w:tcW w:w="1375" w:type="dxa"/>
          </w:tcPr>
          <w:p>
            <w:pPr>
              <w:pStyle w:val="TableParagraph"/>
              <w:spacing w:before="24"/>
              <w:ind w:left="535"/>
              <w:rPr>
                <w:b/>
                <w:sz w:val="18"/>
              </w:rPr>
            </w:pPr>
            <w:r>
              <w:rPr>
                <w:b/>
                <w:w w:val="99"/>
                <w:sz w:val="18"/>
              </w:rPr>
              <w:t>$</w:t>
            </w:r>
          </w:p>
        </w:tc>
        <w:tc>
          <w:tcPr>
            <w:tcW w:w="1345" w:type="dxa"/>
          </w:tcPr>
          <w:p>
            <w:pPr>
              <w:pStyle w:val="TableParagraph"/>
              <w:spacing w:before="24"/>
              <w:ind w:right="134"/>
              <w:jc w:val="center"/>
              <w:rPr>
                <w:b/>
                <w:sz w:val="18"/>
              </w:rPr>
            </w:pPr>
            <w:r>
              <w:rPr>
                <w:b/>
                <w:w w:val="99"/>
                <w:sz w:val="18"/>
              </w:rPr>
              <w:t>$</w:t>
            </w:r>
          </w:p>
        </w:tc>
        <w:tc>
          <w:tcPr>
            <w:tcW w:w="1301" w:type="dxa"/>
          </w:tcPr>
          <w:p>
            <w:pPr>
              <w:pStyle w:val="TableParagraph"/>
              <w:spacing w:before="24"/>
              <w:ind w:right="15"/>
              <w:jc w:val="center"/>
              <w:rPr>
                <w:b/>
                <w:sz w:val="18"/>
              </w:rPr>
            </w:pPr>
            <w:r>
              <w:rPr>
                <w:b/>
                <w:w w:val="99"/>
                <w:sz w:val="18"/>
              </w:rPr>
              <w:t>$</w:t>
            </w:r>
          </w:p>
        </w:tc>
      </w:tr>
      <w:tr>
        <w:trPr>
          <w:trHeight w:val="348" w:hRule="exact"/>
        </w:trPr>
        <w:tc>
          <w:tcPr>
            <w:tcW w:w="3918" w:type="dxa"/>
          </w:tcPr>
          <w:p>
            <w:pPr>
              <w:pStyle w:val="TableParagraph"/>
              <w:spacing w:before="33"/>
              <w:ind w:left="35"/>
              <w:rPr>
                <w:b/>
                <w:sz w:val="18"/>
              </w:rPr>
            </w:pPr>
            <w:r>
              <w:rPr>
                <w:b/>
                <w:sz w:val="18"/>
              </w:rPr>
              <w:t>Balance at 1 January 2012</w:t>
            </w:r>
          </w:p>
        </w:tc>
        <w:tc>
          <w:tcPr>
            <w:tcW w:w="1932" w:type="dxa"/>
          </w:tcPr>
          <w:p>
            <w:pPr>
              <w:pStyle w:val="TableParagraph"/>
              <w:spacing w:before="38"/>
              <w:ind w:right="197"/>
              <w:jc w:val="right"/>
              <w:rPr>
                <w:b/>
                <w:sz w:val="18"/>
              </w:rPr>
            </w:pPr>
            <w:r>
              <w:rPr>
                <w:b/>
                <w:w w:val="99"/>
                <w:sz w:val="18"/>
              </w:rPr>
              <w:t>1</w:t>
            </w:r>
          </w:p>
        </w:tc>
        <w:tc>
          <w:tcPr>
            <w:tcW w:w="1375" w:type="dxa"/>
          </w:tcPr>
          <w:p>
            <w:pPr>
              <w:pStyle w:val="TableParagraph"/>
              <w:spacing w:before="38"/>
              <w:ind w:left="540"/>
              <w:rPr>
                <w:b/>
                <w:sz w:val="18"/>
              </w:rPr>
            </w:pPr>
            <w:r>
              <w:rPr>
                <w:b/>
                <w:sz w:val="18"/>
              </w:rPr>
              <w:t>597,923</w:t>
            </w:r>
          </w:p>
        </w:tc>
        <w:tc>
          <w:tcPr>
            <w:tcW w:w="1345" w:type="dxa"/>
          </w:tcPr>
          <w:p>
            <w:pPr>
              <w:pStyle w:val="TableParagraph"/>
              <w:spacing w:before="38"/>
              <w:ind w:right="129"/>
              <w:jc w:val="right"/>
              <w:rPr>
                <w:b/>
                <w:sz w:val="18"/>
              </w:rPr>
            </w:pPr>
            <w:r>
              <w:rPr>
                <w:b/>
                <w:w w:val="95"/>
                <w:sz w:val="18"/>
              </w:rPr>
              <w:t>13,136</w:t>
            </w:r>
          </w:p>
        </w:tc>
        <w:tc>
          <w:tcPr>
            <w:tcW w:w="1301" w:type="dxa"/>
          </w:tcPr>
          <w:p>
            <w:pPr>
              <w:pStyle w:val="TableParagraph"/>
              <w:spacing w:before="38"/>
              <w:ind w:right="33"/>
              <w:jc w:val="right"/>
              <w:rPr>
                <w:sz w:val="18"/>
              </w:rPr>
            </w:pPr>
            <w:r>
              <w:rPr>
                <w:w w:val="95"/>
                <w:sz w:val="18"/>
              </w:rPr>
              <w:t>611,060</w:t>
            </w:r>
          </w:p>
        </w:tc>
      </w:tr>
      <w:tr>
        <w:trPr>
          <w:trHeight w:val="287" w:hRule="exact"/>
        </w:trPr>
        <w:tc>
          <w:tcPr>
            <w:tcW w:w="3918" w:type="dxa"/>
          </w:tcPr>
          <w:p>
            <w:pPr>
              <w:pStyle w:val="TableParagraph"/>
              <w:spacing w:before="84"/>
              <w:ind w:left="35"/>
              <w:rPr>
                <w:sz w:val="18"/>
              </w:rPr>
            </w:pPr>
            <w:r>
              <w:rPr>
                <w:sz w:val="18"/>
              </w:rPr>
              <w:t>Total comprehensive income for the year</w:t>
            </w:r>
          </w:p>
        </w:tc>
        <w:tc>
          <w:tcPr>
            <w:tcW w:w="1932" w:type="dxa"/>
          </w:tcPr>
          <w:p>
            <w:pPr>
              <w:pStyle w:val="TableParagraph"/>
              <w:spacing w:before="84"/>
              <w:ind w:right="197"/>
              <w:jc w:val="right"/>
              <w:rPr>
                <w:sz w:val="18"/>
              </w:rPr>
            </w:pPr>
            <w:r>
              <w:rPr>
                <w:w w:val="99"/>
                <w:sz w:val="18"/>
              </w:rPr>
              <w:t>-</w:t>
            </w:r>
          </w:p>
        </w:tc>
        <w:tc>
          <w:tcPr>
            <w:tcW w:w="1375" w:type="dxa"/>
          </w:tcPr>
          <w:p>
            <w:pPr>
              <w:pStyle w:val="TableParagraph"/>
              <w:spacing w:before="84"/>
              <w:ind w:left="540"/>
              <w:rPr>
                <w:sz w:val="18"/>
              </w:rPr>
            </w:pPr>
            <w:r>
              <w:rPr>
                <w:sz w:val="18"/>
              </w:rPr>
              <w:t>268,639</w:t>
            </w:r>
          </w:p>
        </w:tc>
        <w:tc>
          <w:tcPr>
            <w:tcW w:w="1345" w:type="dxa"/>
          </w:tcPr>
          <w:p>
            <w:pPr>
              <w:pStyle w:val="TableParagraph"/>
              <w:spacing w:before="84"/>
              <w:ind w:right="128"/>
              <w:jc w:val="right"/>
              <w:rPr>
                <w:sz w:val="18"/>
              </w:rPr>
            </w:pPr>
            <w:r>
              <w:rPr>
                <w:w w:val="99"/>
                <w:sz w:val="18"/>
              </w:rPr>
              <w:t>-</w:t>
            </w:r>
          </w:p>
        </w:tc>
        <w:tc>
          <w:tcPr>
            <w:tcW w:w="1301" w:type="dxa"/>
          </w:tcPr>
          <w:p>
            <w:pPr>
              <w:pStyle w:val="TableParagraph"/>
              <w:spacing w:before="84"/>
              <w:ind w:right="33"/>
              <w:jc w:val="right"/>
              <w:rPr>
                <w:sz w:val="18"/>
              </w:rPr>
            </w:pPr>
            <w:r>
              <w:rPr>
                <w:w w:val="95"/>
                <w:sz w:val="18"/>
              </w:rPr>
              <w:t>268,639</w:t>
            </w:r>
          </w:p>
        </w:tc>
      </w:tr>
    </w:tbl>
    <w:p>
      <w:pPr>
        <w:pStyle w:val="BodyText"/>
        <w:tabs>
          <w:tab w:pos="4487" w:val="left" w:leader="none"/>
          <w:tab w:pos="5730" w:val="left" w:leader="none"/>
          <w:tab w:pos="7124" w:val="left" w:leader="none"/>
          <w:tab w:pos="8519" w:val="left" w:leader="none"/>
          <w:tab w:pos="9915" w:val="left" w:leader="none"/>
        </w:tabs>
        <w:spacing w:before="3"/>
        <w:ind w:left="174" w:right="128"/>
      </w:pPr>
      <w:r>
        <w:rPr/>
        <w:t>Distributions</w:t>
        <w:tab/>
      </w:r>
      <w:r>
        <w:rPr>
          <w:rFonts w:ascii="Times New Roman"/>
          <w:u w:val="single"/>
        </w:rPr>
        <w:t> </w:t>
      </w:r>
      <w:r>
        <w:rPr>
          <w:u w:val="single"/>
        </w:rPr>
        <w:t>-</w:t>
        <w:tab/>
        <w:t>-</w:t>
        <w:tab/>
        <w:t>-</w:t>
        <w:tab/>
        <w:t>-</w:t>
      </w:r>
    </w:p>
    <w:p>
      <w:pPr>
        <w:pStyle w:val="Heading9"/>
        <w:tabs>
          <w:tab w:pos="4487" w:val="left" w:leader="none"/>
          <w:tab w:pos="5689" w:val="left" w:leader="none"/>
          <w:tab w:pos="6529" w:val="left" w:leader="none"/>
          <w:tab w:pos="8024" w:val="left" w:leader="none"/>
          <w:tab w:pos="9320" w:val="left" w:leader="none"/>
        </w:tabs>
        <w:spacing w:before="122"/>
        <w:ind w:left="174"/>
      </w:pPr>
      <w:r>
        <w:rPr/>
        <w:t>Balance at 31</w:t>
      </w:r>
      <w:r>
        <w:rPr>
          <w:spacing w:val="-1"/>
        </w:rPr>
        <w:t> </w:t>
      </w:r>
      <w:r>
        <w:rPr/>
        <w:t>December</w:t>
      </w:r>
      <w:r>
        <w:rPr>
          <w:spacing w:val="-1"/>
        </w:rPr>
        <w:t> </w:t>
      </w:r>
      <w:r>
        <w:rPr/>
        <w:t>2012</w:t>
        <w:tab/>
      </w:r>
      <w:r>
        <w:rPr>
          <w:rFonts w:ascii="Times New Roman"/>
          <w:b w:val="0"/>
          <w:u w:val="single"/>
        </w:rPr>
        <w:t> </w:t>
        <w:tab/>
      </w:r>
      <w:r>
        <w:rPr>
          <w:u w:val="single"/>
        </w:rPr>
        <w:t>1</w:t>
        <w:tab/>
        <w:t>866,562</w:t>
        <w:tab/>
        <w:t>13,136</w:t>
        <w:tab/>
        <w:t>879,699</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9"/>
        </w:rPr>
      </w:pPr>
    </w:p>
    <w:p>
      <w:pPr>
        <w:pStyle w:val="BodyText"/>
        <w:ind w:left="147" w:right="128"/>
      </w:pPr>
      <w:r>
        <w:rPr/>
        <w:t>The accompanying notes form part of these financial statements.</w:t>
      </w:r>
    </w:p>
    <w:p>
      <w:pPr>
        <w:spacing w:after="0"/>
        <w:sectPr>
          <w:pgSz w:w="11910" w:h="16840"/>
          <w:pgMar w:header="1037" w:footer="508" w:top="1460" w:bottom="700" w:left="860" w:right="920"/>
        </w:sectPr>
      </w:pPr>
    </w:p>
    <w:p>
      <w:pPr>
        <w:pStyle w:val="BodyText"/>
        <w:spacing w:before="1"/>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725"/>
        <w:gridCol w:w="1585"/>
        <w:gridCol w:w="2712"/>
      </w:tblGrid>
      <w:tr>
        <w:trPr>
          <w:trHeight w:val="909" w:hRule="exact"/>
        </w:trPr>
        <w:tc>
          <w:tcPr>
            <w:tcW w:w="5725" w:type="dxa"/>
          </w:tcPr>
          <w:p>
            <w:pPr>
              <w:pStyle w:val="TableParagraph"/>
              <w:spacing w:before="65"/>
              <w:ind w:left="35"/>
              <w:rPr>
                <w:b/>
                <w:sz w:val="28"/>
              </w:rPr>
            </w:pPr>
            <w:r>
              <w:rPr>
                <w:b/>
                <w:sz w:val="28"/>
              </w:rPr>
              <w:t>Statement of cash flows</w:t>
            </w:r>
          </w:p>
          <w:p>
            <w:pPr>
              <w:pStyle w:val="TableParagraph"/>
              <w:spacing w:before="53"/>
              <w:ind w:left="35"/>
              <w:rPr>
                <w:b/>
                <w:sz w:val="22"/>
              </w:rPr>
            </w:pPr>
            <w:r>
              <w:rPr>
                <w:b/>
                <w:sz w:val="22"/>
              </w:rPr>
              <w:t>For the Year Ended 31 December 2012</w:t>
            </w:r>
          </w:p>
        </w:tc>
        <w:tc>
          <w:tcPr>
            <w:tcW w:w="4297" w:type="dxa"/>
            <w:gridSpan w:val="2"/>
          </w:tcPr>
          <w:p>
            <w:pPr/>
          </w:p>
        </w:tc>
      </w:tr>
      <w:tr>
        <w:trPr>
          <w:trHeight w:val="447" w:hRule="exact"/>
        </w:trPr>
        <w:tc>
          <w:tcPr>
            <w:tcW w:w="5725" w:type="dxa"/>
          </w:tcPr>
          <w:p>
            <w:pPr/>
          </w:p>
        </w:tc>
        <w:tc>
          <w:tcPr>
            <w:tcW w:w="1585" w:type="dxa"/>
          </w:tcPr>
          <w:p>
            <w:pPr/>
          </w:p>
        </w:tc>
        <w:tc>
          <w:tcPr>
            <w:tcW w:w="2712" w:type="dxa"/>
          </w:tcPr>
          <w:p>
            <w:pPr>
              <w:pStyle w:val="TableParagraph"/>
              <w:spacing w:before="2"/>
              <w:rPr>
                <w:sz w:val="17"/>
              </w:rPr>
            </w:pPr>
          </w:p>
          <w:p>
            <w:pPr>
              <w:pStyle w:val="TableParagraph"/>
              <w:tabs>
                <w:tab w:pos="1784" w:val="left" w:leader="none"/>
              </w:tabs>
              <w:ind w:left="488"/>
              <w:rPr>
                <w:b/>
                <w:sz w:val="18"/>
              </w:rPr>
            </w:pPr>
            <w:r>
              <w:rPr>
                <w:b/>
                <w:sz w:val="18"/>
              </w:rPr>
              <w:t>2012</w:t>
              <w:tab/>
              <w:t>2011</w:t>
            </w:r>
          </w:p>
        </w:tc>
      </w:tr>
      <w:tr>
        <w:trPr>
          <w:trHeight w:val="326" w:hRule="exact"/>
        </w:trPr>
        <w:tc>
          <w:tcPr>
            <w:tcW w:w="5725" w:type="dxa"/>
          </w:tcPr>
          <w:p>
            <w:pPr/>
          </w:p>
        </w:tc>
        <w:tc>
          <w:tcPr>
            <w:tcW w:w="1585" w:type="dxa"/>
          </w:tcPr>
          <w:p>
            <w:pPr>
              <w:pStyle w:val="TableParagraph"/>
              <w:spacing w:before="24"/>
              <w:ind w:left="1140"/>
              <w:rPr>
                <w:b/>
                <w:sz w:val="18"/>
              </w:rPr>
            </w:pPr>
            <w:r>
              <w:rPr>
                <w:b/>
                <w:sz w:val="18"/>
              </w:rPr>
              <w:t>Note</w:t>
            </w:r>
          </w:p>
        </w:tc>
        <w:tc>
          <w:tcPr>
            <w:tcW w:w="2712" w:type="dxa"/>
          </w:tcPr>
          <w:p>
            <w:pPr>
              <w:pStyle w:val="TableParagraph"/>
              <w:tabs>
                <w:tab w:pos="1935" w:val="left" w:leader="none"/>
              </w:tabs>
              <w:spacing w:before="24"/>
              <w:ind w:left="639"/>
              <w:rPr>
                <w:b/>
                <w:sz w:val="18"/>
              </w:rPr>
            </w:pPr>
            <w:r>
              <w:rPr>
                <w:b/>
                <w:sz w:val="18"/>
              </w:rPr>
              <w:t>$</w:t>
              <w:tab/>
              <w:t>$</w:t>
            </w:r>
          </w:p>
        </w:tc>
      </w:tr>
      <w:tr>
        <w:trPr>
          <w:trHeight w:val="499" w:hRule="exact"/>
        </w:trPr>
        <w:tc>
          <w:tcPr>
            <w:tcW w:w="5725" w:type="dxa"/>
          </w:tcPr>
          <w:p>
            <w:pPr>
              <w:pStyle w:val="TableParagraph"/>
              <w:spacing w:line="207" w:lineRule="exact" w:before="76"/>
              <w:ind w:left="61"/>
              <w:rPr>
                <w:b/>
                <w:sz w:val="18"/>
              </w:rPr>
            </w:pPr>
            <w:r>
              <w:rPr>
                <w:b/>
                <w:sz w:val="18"/>
              </w:rPr>
              <w:t>Cash flows from operating activities</w:t>
            </w:r>
          </w:p>
          <w:p>
            <w:pPr>
              <w:pStyle w:val="TableParagraph"/>
              <w:spacing w:line="207" w:lineRule="exact"/>
              <w:ind w:left="61"/>
              <w:rPr>
                <w:sz w:val="18"/>
              </w:rPr>
            </w:pPr>
            <w:r>
              <w:rPr>
                <w:sz w:val="18"/>
              </w:rPr>
              <w:t>Receipts from customers</w:t>
            </w:r>
          </w:p>
        </w:tc>
        <w:tc>
          <w:tcPr>
            <w:tcW w:w="1585" w:type="dxa"/>
          </w:tcPr>
          <w:p>
            <w:pPr/>
          </w:p>
        </w:tc>
        <w:tc>
          <w:tcPr>
            <w:tcW w:w="2712" w:type="dxa"/>
          </w:tcPr>
          <w:p>
            <w:pPr>
              <w:pStyle w:val="TableParagraph"/>
              <w:spacing w:before="7"/>
              <w:rPr>
                <w:sz w:val="24"/>
              </w:rPr>
            </w:pPr>
          </w:p>
          <w:p>
            <w:pPr>
              <w:pStyle w:val="TableParagraph"/>
              <w:tabs>
                <w:tab w:pos="1993" w:val="left" w:leader="none"/>
              </w:tabs>
              <w:ind w:left="697"/>
              <w:rPr>
                <w:sz w:val="18"/>
              </w:rPr>
            </w:pPr>
            <w:r>
              <w:rPr>
                <w:b/>
                <w:sz w:val="18"/>
              </w:rPr>
              <w:t>58,590</w:t>
              <w:tab/>
            </w:r>
            <w:r>
              <w:rPr>
                <w:sz w:val="18"/>
              </w:rPr>
              <w:t>43,647</w:t>
            </w:r>
          </w:p>
        </w:tc>
      </w:tr>
      <w:tr>
        <w:trPr>
          <w:trHeight w:val="206" w:hRule="exact"/>
        </w:trPr>
        <w:tc>
          <w:tcPr>
            <w:tcW w:w="5725" w:type="dxa"/>
          </w:tcPr>
          <w:p>
            <w:pPr>
              <w:pStyle w:val="TableParagraph"/>
              <w:spacing w:line="197" w:lineRule="exact"/>
              <w:ind w:left="61"/>
              <w:rPr>
                <w:sz w:val="18"/>
              </w:rPr>
            </w:pPr>
            <w:r>
              <w:rPr>
                <w:sz w:val="18"/>
              </w:rPr>
              <w:t>Payments to suppliers and employees</w:t>
            </w:r>
          </w:p>
        </w:tc>
        <w:tc>
          <w:tcPr>
            <w:tcW w:w="1585" w:type="dxa"/>
          </w:tcPr>
          <w:p>
            <w:pPr/>
          </w:p>
        </w:tc>
        <w:tc>
          <w:tcPr>
            <w:tcW w:w="2712" w:type="dxa"/>
          </w:tcPr>
          <w:p>
            <w:pPr>
              <w:pStyle w:val="TableParagraph"/>
              <w:tabs>
                <w:tab w:pos="2034" w:val="left" w:leader="none"/>
              </w:tabs>
              <w:spacing w:line="197" w:lineRule="exact"/>
              <w:ind w:left="738"/>
              <w:rPr>
                <w:sz w:val="18"/>
              </w:rPr>
            </w:pPr>
            <w:r>
              <w:rPr>
                <w:b/>
                <w:sz w:val="18"/>
              </w:rPr>
              <w:t>(9,000)</w:t>
              <w:tab/>
            </w:r>
            <w:r>
              <w:rPr>
                <w:sz w:val="18"/>
              </w:rPr>
              <w:t>(5,438)</w:t>
            </w:r>
          </w:p>
        </w:tc>
      </w:tr>
      <w:tr>
        <w:trPr>
          <w:trHeight w:val="217" w:hRule="exact"/>
        </w:trPr>
        <w:tc>
          <w:tcPr>
            <w:tcW w:w="5725" w:type="dxa"/>
          </w:tcPr>
          <w:p>
            <w:pPr>
              <w:pStyle w:val="TableParagraph"/>
              <w:spacing w:line="197" w:lineRule="exact"/>
              <w:ind w:left="61"/>
              <w:rPr>
                <w:sz w:val="18"/>
              </w:rPr>
            </w:pPr>
            <w:r>
              <w:rPr>
                <w:sz w:val="18"/>
              </w:rPr>
              <w:t>Investment income</w:t>
            </w:r>
          </w:p>
        </w:tc>
        <w:tc>
          <w:tcPr>
            <w:tcW w:w="1585" w:type="dxa"/>
          </w:tcPr>
          <w:p>
            <w:pPr/>
          </w:p>
        </w:tc>
        <w:tc>
          <w:tcPr>
            <w:tcW w:w="2712" w:type="dxa"/>
          </w:tcPr>
          <w:p>
            <w:pPr>
              <w:pStyle w:val="TableParagraph"/>
              <w:tabs>
                <w:tab w:pos="697" w:val="left" w:leader="none"/>
                <w:tab w:pos="1993" w:val="left" w:leader="none"/>
              </w:tabs>
              <w:spacing w:line="197" w:lineRule="exact"/>
              <w:ind w:left="44"/>
              <w:rPr>
                <w:sz w:val="18"/>
              </w:rPr>
            </w:pPr>
            <w:r>
              <w:rPr>
                <w:rFonts w:ascii="Times New Roman"/>
                <w:sz w:val="18"/>
                <w:u w:val="single"/>
              </w:rPr>
              <w:t> </w:t>
              <w:tab/>
            </w:r>
            <w:r>
              <w:rPr>
                <w:b/>
                <w:sz w:val="18"/>
                <w:u w:val="single"/>
              </w:rPr>
              <w:t>15,805</w:t>
              <w:tab/>
            </w:r>
            <w:r>
              <w:rPr>
                <w:sz w:val="18"/>
                <w:u w:val="single"/>
              </w:rPr>
              <w:t>16,047</w:t>
            </w:r>
          </w:p>
        </w:tc>
      </w:tr>
      <w:tr>
        <w:trPr>
          <w:trHeight w:val="367" w:hRule="exact"/>
        </w:trPr>
        <w:tc>
          <w:tcPr>
            <w:tcW w:w="5725" w:type="dxa"/>
          </w:tcPr>
          <w:p>
            <w:pPr>
              <w:pStyle w:val="TableParagraph"/>
              <w:spacing w:line="206" w:lineRule="exact"/>
              <w:ind w:left="61"/>
              <w:rPr>
                <w:b/>
                <w:sz w:val="18"/>
              </w:rPr>
            </w:pPr>
            <w:r>
              <w:rPr>
                <w:b/>
                <w:sz w:val="18"/>
              </w:rPr>
              <w:t>Net cash inflow/(outflow) from operating activities</w:t>
            </w:r>
          </w:p>
        </w:tc>
        <w:tc>
          <w:tcPr>
            <w:tcW w:w="1585" w:type="dxa"/>
          </w:tcPr>
          <w:p>
            <w:pPr>
              <w:pStyle w:val="TableParagraph"/>
              <w:spacing w:line="206" w:lineRule="exact"/>
              <w:ind w:left="1080"/>
              <w:rPr>
                <w:sz w:val="18"/>
              </w:rPr>
            </w:pPr>
            <w:r>
              <w:rPr>
                <w:sz w:val="18"/>
              </w:rPr>
              <w:t>17</w:t>
            </w:r>
          </w:p>
        </w:tc>
        <w:tc>
          <w:tcPr>
            <w:tcW w:w="2712" w:type="dxa"/>
          </w:tcPr>
          <w:p>
            <w:pPr>
              <w:pStyle w:val="TableParagraph"/>
              <w:tabs>
                <w:tab w:pos="697" w:val="left" w:leader="none"/>
                <w:tab w:pos="1993" w:val="left" w:leader="none"/>
              </w:tabs>
              <w:spacing w:line="206" w:lineRule="exact"/>
              <w:ind w:left="44"/>
              <w:rPr>
                <w:sz w:val="18"/>
              </w:rPr>
            </w:pPr>
            <w:r>
              <w:rPr>
                <w:rFonts w:ascii="Times New Roman"/>
                <w:sz w:val="18"/>
                <w:u w:val="single"/>
              </w:rPr>
              <w:t> </w:t>
              <w:tab/>
            </w:r>
            <w:r>
              <w:rPr>
                <w:b/>
                <w:sz w:val="18"/>
                <w:u w:val="single"/>
              </w:rPr>
              <w:t>65,395</w:t>
              <w:tab/>
            </w:r>
            <w:r>
              <w:rPr>
                <w:sz w:val="18"/>
                <w:u w:val="single"/>
              </w:rPr>
              <w:t>54,256</w:t>
            </w:r>
          </w:p>
        </w:tc>
      </w:tr>
      <w:tr>
        <w:trPr>
          <w:trHeight w:val="367" w:hRule="exact"/>
        </w:trPr>
        <w:tc>
          <w:tcPr>
            <w:tcW w:w="5725" w:type="dxa"/>
          </w:tcPr>
          <w:p>
            <w:pPr>
              <w:pStyle w:val="TableParagraph"/>
              <w:spacing w:before="141"/>
              <w:ind w:left="61"/>
              <w:rPr>
                <w:b/>
                <w:sz w:val="18"/>
              </w:rPr>
            </w:pPr>
            <w:r>
              <w:rPr>
                <w:b/>
                <w:sz w:val="18"/>
              </w:rPr>
              <w:t>Cash flows from investing activities</w:t>
            </w:r>
          </w:p>
        </w:tc>
        <w:tc>
          <w:tcPr>
            <w:tcW w:w="1585" w:type="dxa"/>
          </w:tcPr>
          <w:p>
            <w:pPr/>
          </w:p>
        </w:tc>
        <w:tc>
          <w:tcPr>
            <w:tcW w:w="2712" w:type="dxa"/>
          </w:tcPr>
          <w:p>
            <w:pPr>
              <w:pStyle w:val="TableParagraph"/>
              <w:tabs>
                <w:tab w:pos="2676" w:val="left" w:leader="none"/>
              </w:tabs>
              <w:spacing w:before="141"/>
              <w:ind w:left="44"/>
              <w:rPr>
                <w:rFonts w:ascii="Times New Roman"/>
                <w:sz w:val="18"/>
              </w:rPr>
            </w:pPr>
            <w:r>
              <w:rPr>
                <w:rFonts w:ascii="Times New Roman"/>
                <w:sz w:val="18"/>
                <w:u w:val="single"/>
              </w:rPr>
              <w:t> </w:t>
              <w:tab/>
            </w:r>
          </w:p>
        </w:tc>
      </w:tr>
      <w:tr>
        <w:trPr>
          <w:trHeight w:val="367" w:hRule="exact"/>
        </w:trPr>
        <w:tc>
          <w:tcPr>
            <w:tcW w:w="5725" w:type="dxa"/>
          </w:tcPr>
          <w:p>
            <w:pPr>
              <w:pStyle w:val="TableParagraph"/>
              <w:spacing w:line="206" w:lineRule="exact"/>
              <w:ind w:left="61"/>
              <w:rPr>
                <w:b/>
                <w:sz w:val="18"/>
              </w:rPr>
            </w:pPr>
            <w:r>
              <w:rPr>
                <w:b/>
                <w:sz w:val="18"/>
              </w:rPr>
              <w:t>Net cash (outflow)/inflow from investing activities</w:t>
            </w:r>
          </w:p>
        </w:tc>
        <w:tc>
          <w:tcPr>
            <w:tcW w:w="1585" w:type="dxa"/>
          </w:tcPr>
          <w:p>
            <w:pPr/>
          </w:p>
        </w:tc>
        <w:tc>
          <w:tcPr>
            <w:tcW w:w="2712" w:type="dxa"/>
          </w:tcPr>
          <w:p>
            <w:pPr>
              <w:pStyle w:val="TableParagraph"/>
              <w:tabs>
                <w:tab w:pos="1191" w:val="left" w:leader="none"/>
                <w:tab w:pos="2487" w:val="left" w:leader="none"/>
              </w:tabs>
              <w:spacing w:line="206" w:lineRule="exact"/>
              <w:ind w:left="44"/>
              <w:rPr>
                <w:sz w:val="18"/>
              </w:rPr>
            </w:pPr>
            <w:r>
              <w:rPr>
                <w:rFonts w:ascii="Times New Roman"/>
                <w:sz w:val="18"/>
                <w:u w:val="single"/>
              </w:rPr>
              <w:t> </w:t>
              <w:tab/>
            </w:r>
            <w:r>
              <w:rPr>
                <w:b/>
                <w:sz w:val="18"/>
                <w:u w:val="single"/>
              </w:rPr>
              <w:t>-</w:t>
              <w:tab/>
            </w:r>
            <w:r>
              <w:rPr>
                <w:sz w:val="18"/>
                <w:u w:val="single"/>
              </w:rPr>
              <w:t>-</w:t>
            </w:r>
          </w:p>
        </w:tc>
      </w:tr>
      <w:tr>
        <w:trPr>
          <w:trHeight w:val="367" w:hRule="exact"/>
        </w:trPr>
        <w:tc>
          <w:tcPr>
            <w:tcW w:w="5725" w:type="dxa"/>
          </w:tcPr>
          <w:p>
            <w:pPr>
              <w:pStyle w:val="TableParagraph"/>
              <w:spacing w:before="141"/>
              <w:ind w:left="61"/>
              <w:rPr>
                <w:b/>
                <w:sz w:val="18"/>
              </w:rPr>
            </w:pPr>
            <w:r>
              <w:rPr>
                <w:b/>
                <w:sz w:val="18"/>
              </w:rPr>
              <w:t>Cash flows from financing activities</w:t>
            </w:r>
          </w:p>
        </w:tc>
        <w:tc>
          <w:tcPr>
            <w:tcW w:w="1585" w:type="dxa"/>
          </w:tcPr>
          <w:p>
            <w:pPr/>
          </w:p>
        </w:tc>
        <w:tc>
          <w:tcPr>
            <w:tcW w:w="2712" w:type="dxa"/>
          </w:tcPr>
          <w:p>
            <w:pPr>
              <w:pStyle w:val="TableParagraph"/>
              <w:tabs>
                <w:tab w:pos="2676" w:val="left" w:leader="none"/>
              </w:tabs>
              <w:spacing w:before="141"/>
              <w:ind w:left="44"/>
              <w:rPr>
                <w:rFonts w:ascii="Times New Roman"/>
                <w:sz w:val="18"/>
              </w:rPr>
            </w:pPr>
            <w:r>
              <w:rPr>
                <w:rFonts w:ascii="Times New Roman"/>
                <w:sz w:val="18"/>
                <w:u w:val="single"/>
              </w:rPr>
              <w:t> </w:t>
              <w:tab/>
            </w:r>
          </w:p>
        </w:tc>
      </w:tr>
      <w:tr>
        <w:trPr>
          <w:trHeight w:val="367" w:hRule="exact"/>
        </w:trPr>
        <w:tc>
          <w:tcPr>
            <w:tcW w:w="5725" w:type="dxa"/>
          </w:tcPr>
          <w:p>
            <w:pPr>
              <w:pStyle w:val="TableParagraph"/>
              <w:spacing w:line="206" w:lineRule="exact"/>
              <w:ind w:left="61"/>
              <w:rPr>
                <w:b/>
                <w:sz w:val="18"/>
              </w:rPr>
            </w:pPr>
            <w:r>
              <w:rPr>
                <w:b/>
                <w:sz w:val="18"/>
              </w:rPr>
              <w:t>Net cash inflow/(outflow) from financing activities</w:t>
            </w:r>
          </w:p>
        </w:tc>
        <w:tc>
          <w:tcPr>
            <w:tcW w:w="1585" w:type="dxa"/>
          </w:tcPr>
          <w:p>
            <w:pPr/>
          </w:p>
        </w:tc>
        <w:tc>
          <w:tcPr>
            <w:tcW w:w="2712" w:type="dxa"/>
          </w:tcPr>
          <w:p>
            <w:pPr>
              <w:pStyle w:val="TableParagraph"/>
              <w:tabs>
                <w:tab w:pos="1191" w:val="left" w:leader="none"/>
                <w:tab w:pos="2487" w:val="left" w:leader="none"/>
              </w:tabs>
              <w:spacing w:line="206" w:lineRule="exact"/>
              <w:ind w:left="44"/>
              <w:rPr>
                <w:sz w:val="18"/>
              </w:rPr>
            </w:pPr>
            <w:r>
              <w:rPr>
                <w:rFonts w:ascii="Times New Roman"/>
                <w:sz w:val="18"/>
                <w:u w:val="single"/>
              </w:rPr>
              <w:t> </w:t>
              <w:tab/>
            </w:r>
            <w:r>
              <w:rPr>
                <w:b/>
                <w:sz w:val="18"/>
                <w:u w:val="single"/>
              </w:rPr>
              <w:t>-</w:t>
              <w:tab/>
            </w:r>
            <w:r>
              <w:rPr>
                <w:sz w:val="18"/>
                <w:u w:val="single"/>
              </w:rPr>
              <w:t>-</w:t>
            </w:r>
          </w:p>
        </w:tc>
      </w:tr>
      <w:tr>
        <w:trPr>
          <w:trHeight w:val="357" w:hRule="exact"/>
        </w:trPr>
        <w:tc>
          <w:tcPr>
            <w:tcW w:w="5725" w:type="dxa"/>
          </w:tcPr>
          <w:p>
            <w:pPr>
              <w:pStyle w:val="TableParagraph"/>
              <w:spacing w:before="141"/>
              <w:ind w:left="61"/>
              <w:rPr>
                <w:b/>
                <w:sz w:val="18"/>
              </w:rPr>
            </w:pPr>
            <w:r>
              <w:rPr>
                <w:b/>
                <w:sz w:val="18"/>
              </w:rPr>
              <w:t>Net increase/(decrease) in cash and cash equivalents</w:t>
            </w:r>
          </w:p>
        </w:tc>
        <w:tc>
          <w:tcPr>
            <w:tcW w:w="1585" w:type="dxa"/>
          </w:tcPr>
          <w:p>
            <w:pPr/>
          </w:p>
        </w:tc>
        <w:tc>
          <w:tcPr>
            <w:tcW w:w="2712" w:type="dxa"/>
          </w:tcPr>
          <w:p>
            <w:pPr>
              <w:pStyle w:val="TableParagraph"/>
              <w:tabs>
                <w:tab w:pos="1993" w:val="left" w:leader="none"/>
              </w:tabs>
              <w:spacing w:before="141"/>
              <w:ind w:left="697"/>
              <w:rPr>
                <w:sz w:val="18"/>
              </w:rPr>
            </w:pPr>
            <w:r>
              <w:rPr>
                <w:b/>
                <w:sz w:val="18"/>
              </w:rPr>
              <w:t>65,395</w:t>
              <w:tab/>
            </w:r>
            <w:r>
              <w:rPr>
                <w:sz w:val="18"/>
              </w:rPr>
              <w:t>54,256</w:t>
            </w:r>
          </w:p>
        </w:tc>
      </w:tr>
      <w:tr>
        <w:trPr>
          <w:trHeight w:val="217" w:hRule="exact"/>
        </w:trPr>
        <w:tc>
          <w:tcPr>
            <w:tcW w:w="5725" w:type="dxa"/>
          </w:tcPr>
          <w:p>
            <w:pPr>
              <w:pStyle w:val="TableParagraph"/>
              <w:spacing w:line="197" w:lineRule="exact"/>
              <w:ind w:left="61"/>
              <w:rPr>
                <w:sz w:val="18"/>
              </w:rPr>
            </w:pPr>
            <w:r>
              <w:rPr>
                <w:sz w:val="18"/>
              </w:rPr>
              <w:t>Cash and cash equivalents at beginning of year</w:t>
            </w:r>
          </w:p>
        </w:tc>
        <w:tc>
          <w:tcPr>
            <w:tcW w:w="1585" w:type="dxa"/>
          </w:tcPr>
          <w:p>
            <w:pPr/>
          </w:p>
        </w:tc>
        <w:tc>
          <w:tcPr>
            <w:tcW w:w="2712" w:type="dxa"/>
          </w:tcPr>
          <w:p>
            <w:pPr>
              <w:pStyle w:val="TableParagraph"/>
              <w:tabs>
                <w:tab w:pos="596" w:val="left" w:leader="none"/>
                <w:tab w:pos="1892" w:val="left" w:leader="none"/>
              </w:tabs>
              <w:spacing w:line="197" w:lineRule="exact"/>
              <w:ind w:left="44"/>
              <w:rPr>
                <w:sz w:val="18"/>
              </w:rPr>
            </w:pPr>
            <w:r>
              <w:rPr>
                <w:rFonts w:ascii="Times New Roman"/>
                <w:sz w:val="18"/>
                <w:u w:val="single"/>
              </w:rPr>
              <w:t> </w:t>
              <w:tab/>
            </w:r>
            <w:r>
              <w:rPr>
                <w:b/>
                <w:sz w:val="18"/>
                <w:u w:val="single"/>
              </w:rPr>
              <w:t>347,375</w:t>
              <w:tab/>
            </w:r>
            <w:r>
              <w:rPr>
                <w:sz w:val="18"/>
                <w:u w:val="single"/>
              </w:rPr>
              <w:t>293,119</w:t>
            </w:r>
          </w:p>
        </w:tc>
      </w:tr>
      <w:tr>
        <w:trPr>
          <w:trHeight w:val="303" w:hRule="exact"/>
        </w:trPr>
        <w:tc>
          <w:tcPr>
            <w:tcW w:w="5725" w:type="dxa"/>
          </w:tcPr>
          <w:p>
            <w:pPr>
              <w:pStyle w:val="TableParagraph"/>
              <w:spacing w:line="206" w:lineRule="exact"/>
              <w:ind w:left="61"/>
              <w:rPr>
                <w:b/>
                <w:sz w:val="18"/>
              </w:rPr>
            </w:pPr>
            <w:r>
              <w:rPr>
                <w:b/>
                <w:sz w:val="18"/>
              </w:rPr>
              <w:t>Cash and cash equivalents at end of year</w:t>
            </w:r>
          </w:p>
        </w:tc>
        <w:tc>
          <w:tcPr>
            <w:tcW w:w="1585" w:type="dxa"/>
          </w:tcPr>
          <w:p>
            <w:pPr>
              <w:pStyle w:val="TableParagraph"/>
              <w:spacing w:line="206" w:lineRule="exact"/>
              <w:ind w:left="1080"/>
              <w:rPr>
                <w:sz w:val="18"/>
              </w:rPr>
            </w:pPr>
            <w:r>
              <w:rPr>
                <w:w w:val="99"/>
                <w:sz w:val="18"/>
              </w:rPr>
              <w:t>6</w:t>
            </w:r>
          </w:p>
        </w:tc>
        <w:tc>
          <w:tcPr>
            <w:tcW w:w="2712" w:type="dxa"/>
          </w:tcPr>
          <w:p>
            <w:pPr>
              <w:pStyle w:val="TableParagraph"/>
              <w:tabs>
                <w:tab w:pos="596" w:val="left" w:leader="none"/>
                <w:tab w:pos="1892" w:val="left" w:leader="none"/>
              </w:tabs>
              <w:spacing w:line="206" w:lineRule="exact"/>
              <w:ind w:left="44"/>
              <w:rPr>
                <w:sz w:val="18"/>
              </w:rPr>
            </w:pPr>
            <w:r>
              <w:rPr>
                <w:rFonts w:ascii="Times New Roman"/>
                <w:sz w:val="18"/>
                <w:u w:val="single"/>
              </w:rPr>
              <w:t> </w:t>
              <w:tab/>
            </w:r>
            <w:r>
              <w:rPr>
                <w:b/>
                <w:sz w:val="18"/>
                <w:u w:val="single"/>
              </w:rPr>
              <w:t>412,770</w:t>
              <w:tab/>
            </w:r>
            <w:r>
              <w:rPr>
                <w:sz w:val="18"/>
                <w:u w:val="single"/>
              </w:rPr>
              <w:t>347,375</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pStyle w:val="BodyText"/>
        <w:spacing w:before="77"/>
        <w:ind w:left="147" w:right="500"/>
      </w:pPr>
      <w:r>
        <w:rPr/>
        <w:t>The accompanying notes form part of these financial statements.</w:t>
      </w:r>
    </w:p>
    <w:p>
      <w:pPr>
        <w:spacing w:after="0"/>
        <w:sectPr>
          <w:pgSz w:w="11910" w:h="16840"/>
          <w:pgMar w:header="1037" w:footer="508" w:top="1460" w:bottom="700" w:left="860" w:right="800"/>
        </w:sectPr>
      </w:pPr>
    </w:p>
    <w:p>
      <w:pPr>
        <w:pStyle w:val="BodyText"/>
        <w:spacing w:before="1"/>
        <w:rPr>
          <w:sz w:val="24"/>
        </w:rPr>
      </w:pPr>
    </w:p>
    <w:p>
      <w:pPr>
        <w:pStyle w:val="Heading3"/>
      </w:pPr>
      <w:r>
        <w:rPr/>
        <w:t>Notes to the financial statements</w:t>
      </w:r>
    </w:p>
    <w:p>
      <w:pPr>
        <w:pStyle w:val="Heading6"/>
        <w:spacing w:before="53"/>
      </w:pPr>
      <w:r>
        <w:rPr/>
        <w:t>For the Year Ended 31 December 2012</w:t>
      </w:r>
    </w:p>
    <w:p>
      <w:pPr>
        <w:pStyle w:val="BodyText"/>
        <w:rPr>
          <w:b/>
          <w:sz w:val="22"/>
        </w:rPr>
      </w:pPr>
    </w:p>
    <w:p>
      <w:pPr>
        <w:pStyle w:val="BodyText"/>
        <w:rPr>
          <w:b/>
          <w:sz w:val="22"/>
        </w:rPr>
      </w:pPr>
    </w:p>
    <w:p>
      <w:pPr>
        <w:pStyle w:val="Heading9"/>
        <w:tabs>
          <w:tab w:pos="503" w:val="left" w:leader="none"/>
        </w:tabs>
        <w:spacing w:before="161"/>
        <w:ind w:left="110" w:right="125"/>
      </w:pPr>
      <w:r>
        <w:rPr/>
        <w:t>1</w:t>
        <w:tab/>
        <w:t>Summary of Significant Accounting</w:t>
      </w:r>
      <w:r>
        <w:rPr>
          <w:spacing w:val="-9"/>
        </w:rPr>
        <w:t> </w:t>
      </w:r>
      <w:r>
        <w:rPr/>
        <w:t>Policies</w:t>
      </w:r>
    </w:p>
    <w:p>
      <w:pPr>
        <w:pStyle w:val="BodyText"/>
        <w:spacing w:before="11"/>
        <w:rPr>
          <w:b/>
          <w:sz w:val="24"/>
        </w:rPr>
      </w:pPr>
    </w:p>
    <w:p>
      <w:pPr>
        <w:pStyle w:val="ListParagraph"/>
        <w:numPr>
          <w:ilvl w:val="0"/>
          <w:numId w:val="133"/>
        </w:numPr>
        <w:tabs>
          <w:tab w:pos="1071" w:val="left" w:leader="none"/>
        </w:tabs>
        <w:spacing w:line="240" w:lineRule="auto" w:before="0" w:after="0"/>
        <w:ind w:left="1070" w:right="0" w:hanging="566"/>
        <w:jc w:val="left"/>
        <w:rPr>
          <w:b/>
          <w:sz w:val="18"/>
        </w:rPr>
      </w:pPr>
      <w:r>
        <w:rPr>
          <w:b/>
          <w:sz w:val="18"/>
        </w:rPr>
        <w:t>Basis of</w:t>
      </w:r>
      <w:r>
        <w:rPr>
          <w:b/>
          <w:spacing w:val="-1"/>
          <w:sz w:val="18"/>
        </w:rPr>
        <w:t> </w:t>
      </w:r>
      <w:r>
        <w:rPr>
          <w:b/>
          <w:sz w:val="18"/>
        </w:rPr>
        <w:t>Preparation</w:t>
      </w:r>
    </w:p>
    <w:p>
      <w:pPr>
        <w:pStyle w:val="BodyText"/>
        <w:spacing w:before="146"/>
        <w:ind w:left="1070" w:right="114"/>
        <w:jc w:val="both"/>
      </w:pPr>
      <w:r>
        <w:rPr/>
        <w:t>These financial statements are general purpose financial statements that have been prepared in accordance with Australian Accounting Standards (including Australian Accounting Interpretations) adopted by the AASB,  the requirements of the </w:t>
      </w:r>
      <w:r>
        <w:rPr>
          <w:i/>
        </w:rPr>
        <w:t>Public Finance &amp; Audit Act 1983</w:t>
      </w:r>
      <w:r>
        <w:rPr/>
        <w:t>, </w:t>
      </w:r>
      <w:r>
        <w:rPr>
          <w:i/>
        </w:rPr>
        <w:t>Public Finance and Audit Regulation 2010</w:t>
      </w:r>
      <w:r>
        <w:rPr/>
        <w:t>, and other authoritative pronouncements of the Australian Accounting Standards Board</w:t>
      </w:r>
      <w:r>
        <w:rPr>
          <w:spacing w:val="7"/>
        </w:rPr>
        <w:t> </w:t>
      </w:r>
      <w:r>
        <w:rPr/>
        <w:t>(AASB).</w:t>
      </w:r>
    </w:p>
    <w:p>
      <w:pPr>
        <w:pStyle w:val="BodyText"/>
        <w:spacing w:before="146"/>
        <w:ind w:left="1070" w:right="116"/>
        <w:jc w:val="both"/>
      </w:pPr>
      <w:r>
        <w:rPr/>
        <w:t>These financial statements of the Whitlam Institute within the University of Western Sydney Trust comply with Australian Accounting Standards some of which contain requirements specific to not for profit entities that are inconsistent with International Financial Reporting Standards (IFRS) requirements.</w:t>
      </w:r>
    </w:p>
    <w:p>
      <w:pPr>
        <w:pStyle w:val="BodyText"/>
        <w:spacing w:before="146"/>
        <w:ind w:left="1070" w:right="116"/>
        <w:jc w:val="both"/>
      </w:pPr>
      <w:r>
        <w:rPr/>
        <w:t>Material accounting policies adopted in the preparation of these financial statements are presented below and have been consistently applied unless otherwise stated.</w:t>
      </w:r>
    </w:p>
    <w:p>
      <w:pPr>
        <w:pStyle w:val="BodyText"/>
        <w:spacing w:before="146"/>
        <w:ind w:left="1070" w:right="116"/>
        <w:jc w:val="both"/>
      </w:pPr>
      <w:r>
        <w:rPr/>
        <w:t>The financial statements have been prepared on an accruals basis and are based on historical costs, modified, where applicable, by the measurement at fair value of selected non-current assets,  financial  assets  and financial liabilities.</w:t>
      </w:r>
    </w:p>
    <w:p>
      <w:pPr>
        <w:pStyle w:val="BodyText"/>
        <w:spacing w:before="11"/>
        <w:rPr>
          <w:sz w:val="24"/>
        </w:rPr>
      </w:pPr>
    </w:p>
    <w:p>
      <w:pPr>
        <w:pStyle w:val="Heading9"/>
        <w:numPr>
          <w:ilvl w:val="0"/>
          <w:numId w:val="133"/>
        </w:numPr>
        <w:tabs>
          <w:tab w:pos="1071" w:val="left" w:leader="none"/>
        </w:tabs>
        <w:spacing w:line="240" w:lineRule="auto" w:before="0" w:after="0"/>
        <w:ind w:left="1070" w:right="0" w:hanging="566"/>
        <w:jc w:val="left"/>
      </w:pPr>
      <w:r>
        <w:rPr/>
        <w:t>Revenue recognition</w:t>
      </w:r>
    </w:p>
    <w:p>
      <w:pPr>
        <w:pStyle w:val="BodyText"/>
        <w:spacing w:before="146"/>
        <w:ind w:left="1070" w:right="117"/>
        <w:jc w:val="both"/>
      </w:pPr>
      <w:r>
        <w:rPr/>
        <w:t>The Trust recognises revenue when the amount of revenue can be reliably measured, it is probable that future economic benefits will flow to the entity and specific criteria have been met for each of the Trust's activities as described below. The Trust bases its estimates on historical results, taking into consideration the type of customer, the type of transaction and the specifics of each arrangement.</w:t>
      </w:r>
    </w:p>
    <w:p>
      <w:pPr>
        <w:pStyle w:val="BodyText"/>
        <w:spacing w:before="146"/>
        <w:ind w:left="1070"/>
        <w:jc w:val="both"/>
      </w:pPr>
      <w:r>
        <w:rPr/>
        <w:t>Revenue is recognised for the major business activities as follows:</w:t>
      </w:r>
    </w:p>
    <w:p>
      <w:pPr>
        <w:pStyle w:val="ListParagraph"/>
        <w:numPr>
          <w:ilvl w:val="1"/>
          <w:numId w:val="133"/>
        </w:numPr>
        <w:tabs>
          <w:tab w:pos="1467" w:val="left" w:leader="none"/>
        </w:tabs>
        <w:spacing w:line="207" w:lineRule="exact" w:before="138" w:after="0"/>
        <w:ind w:left="1466" w:right="0" w:hanging="396"/>
        <w:jc w:val="both"/>
        <w:rPr>
          <w:i/>
          <w:sz w:val="18"/>
        </w:rPr>
      </w:pPr>
      <w:r>
        <w:rPr>
          <w:i/>
          <w:sz w:val="18"/>
        </w:rPr>
        <w:t>Donations, Scholarships and</w:t>
      </w:r>
      <w:r>
        <w:rPr>
          <w:i/>
          <w:spacing w:val="-4"/>
          <w:sz w:val="18"/>
        </w:rPr>
        <w:t> </w:t>
      </w:r>
      <w:r>
        <w:rPr>
          <w:i/>
          <w:sz w:val="18"/>
        </w:rPr>
        <w:t>Prizes</w:t>
      </w:r>
    </w:p>
    <w:p>
      <w:pPr>
        <w:pStyle w:val="BodyText"/>
        <w:spacing w:line="207" w:lineRule="exact"/>
        <w:ind w:left="1070"/>
        <w:jc w:val="both"/>
      </w:pPr>
      <w:r>
        <w:rPr/>
        <w:t>Donations, scholarships and prizes are recognised when they are received.</w:t>
      </w:r>
    </w:p>
    <w:p>
      <w:pPr>
        <w:pStyle w:val="ListParagraph"/>
        <w:numPr>
          <w:ilvl w:val="1"/>
          <w:numId w:val="133"/>
        </w:numPr>
        <w:tabs>
          <w:tab w:pos="1467" w:val="left" w:leader="none"/>
        </w:tabs>
        <w:spacing w:line="207" w:lineRule="exact" w:before="146" w:after="0"/>
        <w:ind w:left="1466" w:right="0" w:hanging="396"/>
        <w:jc w:val="both"/>
        <w:rPr>
          <w:i/>
          <w:sz w:val="18"/>
        </w:rPr>
      </w:pPr>
      <w:r>
        <w:rPr>
          <w:i/>
          <w:sz w:val="18"/>
        </w:rPr>
        <w:t>Sale of</w:t>
      </w:r>
      <w:r>
        <w:rPr>
          <w:i/>
          <w:spacing w:val="1"/>
          <w:sz w:val="18"/>
        </w:rPr>
        <w:t> </w:t>
      </w:r>
      <w:r>
        <w:rPr>
          <w:i/>
          <w:sz w:val="18"/>
        </w:rPr>
        <w:t>goods</w:t>
      </w:r>
    </w:p>
    <w:p>
      <w:pPr>
        <w:pStyle w:val="BodyText"/>
        <w:ind w:left="1070" w:right="117"/>
        <w:jc w:val="both"/>
      </w:pPr>
      <w:r>
        <w:rPr/>
        <w:t>A sale is recorded when goods have been delivered to the customer, the customer has accepted the goods and collectibility of the related receivables is probable.</w:t>
      </w:r>
    </w:p>
    <w:p>
      <w:pPr>
        <w:pStyle w:val="ListParagraph"/>
        <w:numPr>
          <w:ilvl w:val="1"/>
          <w:numId w:val="133"/>
        </w:numPr>
        <w:tabs>
          <w:tab w:pos="1517" w:val="left" w:leader="none"/>
        </w:tabs>
        <w:spacing w:line="207" w:lineRule="exact" w:before="146" w:after="0"/>
        <w:ind w:left="1516" w:right="0" w:hanging="446"/>
        <w:jc w:val="both"/>
        <w:rPr>
          <w:i/>
          <w:sz w:val="18"/>
        </w:rPr>
      </w:pPr>
      <w:r>
        <w:rPr>
          <w:i/>
          <w:sz w:val="18"/>
        </w:rPr>
        <w:t>Event income</w:t>
      </w:r>
    </w:p>
    <w:p>
      <w:pPr>
        <w:pStyle w:val="BodyText"/>
        <w:spacing w:line="207" w:lineRule="exact"/>
        <w:ind w:left="1070"/>
        <w:jc w:val="both"/>
      </w:pPr>
      <w:r>
        <w:rPr/>
        <w:t>Event income is only recognised when the economic benefits associated with the transaction flows to the entity.</w:t>
      </w:r>
    </w:p>
    <w:p>
      <w:pPr>
        <w:pStyle w:val="ListParagraph"/>
        <w:numPr>
          <w:ilvl w:val="1"/>
          <w:numId w:val="133"/>
        </w:numPr>
        <w:tabs>
          <w:tab w:pos="1467" w:val="left" w:leader="none"/>
        </w:tabs>
        <w:spacing w:line="207" w:lineRule="exact" w:before="146" w:after="0"/>
        <w:ind w:left="1466" w:right="0" w:hanging="396"/>
        <w:jc w:val="both"/>
        <w:rPr>
          <w:i/>
          <w:sz w:val="18"/>
        </w:rPr>
      </w:pPr>
      <w:r>
        <w:rPr>
          <w:i/>
          <w:sz w:val="18"/>
        </w:rPr>
        <w:t>Intvestment income</w:t>
      </w:r>
    </w:p>
    <w:p>
      <w:pPr>
        <w:pStyle w:val="BodyText"/>
        <w:spacing w:line="408" w:lineRule="auto"/>
        <w:ind w:left="1070" w:right="2376"/>
      </w:pPr>
      <w:r>
        <w:rPr/>
        <w:t>Investment income is recognised as it accrues using the effective interest method. All other material revenue is accounted for on an accrual basis.</w:t>
      </w:r>
    </w:p>
    <w:p>
      <w:pPr>
        <w:pStyle w:val="Heading9"/>
        <w:numPr>
          <w:ilvl w:val="0"/>
          <w:numId w:val="133"/>
        </w:numPr>
        <w:tabs>
          <w:tab w:pos="1071" w:val="left" w:leader="none"/>
        </w:tabs>
        <w:spacing w:line="240" w:lineRule="auto" w:before="146" w:after="0"/>
        <w:ind w:left="1070" w:right="0" w:hanging="566"/>
        <w:jc w:val="left"/>
      </w:pPr>
      <w:r>
        <w:rPr/>
        <w:t>Cash and cash</w:t>
      </w:r>
      <w:r>
        <w:rPr>
          <w:spacing w:val="-1"/>
        </w:rPr>
        <w:t> </w:t>
      </w:r>
      <w:r>
        <w:rPr/>
        <w:t>equivalents</w:t>
      </w:r>
    </w:p>
    <w:p>
      <w:pPr>
        <w:pStyle w:val="BodyText"/>
        <w:spacing w:before="146"/>
        <w:ind w:left="1070" w:right="116"/>
        <w:jc w:val="both"/>
      </w:pPr>
      <w:r>
        <w:rPr/>
        <w:t>Cash and cash equivalents includes cash on hand, deposits held at call with financial institutions, other short term, highly liquid investments with original maturities of three months or less that are readily convertible to known amounts of cash and which are subject to an insignficant risk of changes in value.</w:t>
      </w:r>
    </w:p>
    <w:p>
      <w:pPr>
        <w:pStyle w:val="BodyText"/>
        <w:spacing w:before="11"/>
        <w:rPr>
          <w:sz w:val="24"/>
        </w:rPr>
      </w:pPr>
    </w:p>
    <w:p>
      <w:pPr>
        <w:pStyle w:val="Heading9"/>
        <w:numPr>
          <w:ilvl w:val="0"/>
          <w:numId w:val="133"/>
        </w:numPr>
        <w:tabs>
          <w:tab w:pos="1071" w:val="left" w:leader="none"/>
        </w:tabs>
        <w:spacing w:line="240" w:lineRule="auto" w:before="0" w:after="0"/>
        <w:ind w:left="1070" w:right="0" w:hanging="566"/>
        <w:jc w:val="left"/>
      </w:pPr>
      <w:r>
        <w:rPr/>
        <w:t>Income tax</w:t>
      </w:r>
      <w:r>
        <w:rPr>
          <w:spacing w:val="1"/>
        </w:rPr>
        <w:t> </w:t>
      </w:r>
      <w:r>
        <w:rPr/>
        <w:t>exemption</w:t>
      </w:r>
    </w:p>
    <w:p>
      <w:pPr>
        <w:pStyle w:val="BodyText"/>
        <w:spacing w:before="146"/>
        <w:ind w:left="1070" w:right="116" w:hanging="53"/>
        <w:jc w:val="both"/>
      </w:pPr>
      <w:r>
        <w:rPr/>
        <w:t>The Trust is exempt from the payment of tax by virtue of section 50 B of the </w:t>
      </w:r>
      <w:r>
        <w:rPr>
          <w:i/>
        </w:rPr>
        <w:t>Income Tax Assessment Act 1997</w:t>
      </w:r>
      <w:r>
        <w:rPr/>
        <w:t>. Accordingly no provision for income tax liability or future income tax benefit has been included in the accounts.</w:t>
      </w:r>
    </w:p>
    <w:p>
      <w:pPr>
        <w:pStyle w:val="BodyText"/>
        <w:spacing w:before="11"/>
        <w:rPr>
          <w:sz w:val="24"/>
        </w:rPr>
      </w:pPr>
    </w:p>
    <w:p>
      <w:pPr>
        <w:pStyle w:val="Heading9"/>
        <w:numPr>
          <w:ilvl w:val="0"/>
          <w:numId w:val="133"/>
        </w:numPr>
        <w:tabs>
          <w:tab w:pos="1071" w:val="left" w:leader="none"/>
        </w:tabs>
        <w:spacing w:line="240" w:lineRule="auto" w:before="0" w:after="0"/>
        <w:ind w:left="1070" w:right="0" w:hanging="566"/>
        <w:jc w:val="left"/>
      </w:pPr>
      <w:r>
        <w:rPr/>
        <w:t>Government grants</w:t>
      </w:r>
    </w:p>
    <w:p>
      <w:pPr>
        <w:pStyle w:val="BodyText"/>
        <w:spacing w:before="146"/>
        <w:ind w:left="1070" w:right="116"/>
        <w:jc w:val="both"/>
      </w:pPr>
      <w:r>
        <w:rPr/>
        <w:t>Grants from the government are recognised at their fair value where there is a reasonable assurance that the grant will be received and the Trust will comply with all attached conditions.</w:t>
      </w:r>
    </w:p>
    <w:p>
      <w:pPr>
        <w:pStyle w:val="BodyText"/>
        <w:spacing w:before="146"/>
        <w:ind w:left="1070" w:right="116"/>
        <w:jc w:val="both"/>
      </w:pPr>
      <w:r>
        <w:rPr/>
        <w:t>Government grants relating to costs are deferred and recognised in the surplus or deficit over the period necessary to match them with the costs that they are intended to compensate.</w:t>
      </w:r>
    </w:p>
    <w:p>
      <w:pPr>
        <w:spacing w:after="0"/>
        <w:jc w:val="both"/>
        <w:sectPr>
          <w:pgSz w:w="11910" w:h="16840"/>
          <w:pgMar w:header="1037" w:footer="508" w:top="1460" w:bottom="700" w:left="900" w:right="860"/>
        </w:sectPr>
      </w:pPr>
    </w:p>
    <w:p>
      <w:pPr>
        <w:pStyle w:val="BodyText"/>
        <w:spacing w:before="1"/>
        <w:rPr>
          <w:sz w:val="24"/>
        </w:rPr>
      </w:pPr>
    </w:p>
    <w:p>
      <w:pPr>
        <w:pStyle w:val="Heading3"/>
      </w:pPr>
      <w:r>
        <w:rPr/>
        <w:t>Notes to the financial statements</w:t>
      </w:r>
    </w:p>
    <w:p>
      <w:pPr>
        <w:pStyle w:val="Heading6"/>
        <w:spacing w:before="53"/>
      </w:pPr>
      <w:r>
        <w:rPr/>
        <w:t>For the Year Ended 31 December 2012</w:t>
      </w:r>
    </w:p>
    <w:p>
      <w:pPr>
        <w:pStyle w:val="BodyText"/>
        <w:rPr>
          <w:b/>
          <w:sz w:val="22"/>
        </w:rPr>
      </w:pPr>
    </w:p>
    <w:p>
      <w:pPr>
        <w:pStyle w:val="BodyText"/>
        <w:rPr>
          <w:b/>
          <w:sz w:val="22"/>
        </w:rPr>
      </w:pPr>
    </w:p>
    <w:p>
      <w:pPr>
        <w:pStyle w:val="Heading9"/>
        <w:tabs>
          <w:tab w:pos="503" w:val="left" w:leader="none"/>
        </w:tabs>
        <w:spacing w:before="161"/>
        <w:ind w:left="110" w:right="125"/>
      </w:pPr>
      <w:r>
        <w:rPr/>
        <w:t>1</w:t>
        <w:tab/>
        <w:t>Summary of Significant Accounting Policies</w:t>
      </w:r>
      <w:r>
        <w:rPr>
          <w:spacing w:val="-9"/>
        </w:rPr>
        <w:t> </w:t>
      </w:r>
      <w:r>
        <w:rPr/>
        <w:t>(continued)</w:t>
      </w:r>
    </w:p>
    <w:p>
      <w:pPr>
        <w:pStyle w:val="BodyText"/>
        <w:spacing w:before="11"/>
        <w:rPr>
          <w:b/>
          <w:sz w:val="24"/>
        </w:rPr>
      </w:pPr>
    </w:p>
    <w:p>
      <w:pPr>
        <w:pStyle w:val="ListParagraph"/>
        <w:numPr>
          <w:ilvl w:val="0"/>
          <w:numId w:val="133"/>
        </w:numPr>
        <w:tabs>
          <w:tab w:pos="1071" w:val="left" w:leader="none"/>
        </w:tabs>
        <w:spacing w:line="240" w:lineRule="auto" w:before="0" w:after="0"/>
        <w:ind w:left="1070" w:right="0" w:hanging="566"/>
        <w:jc w:val="left"/>
        <w:rPr>
          <w:b/>
          <w:sz w:val="18"/>
        </w:rPr>
      </w:pPr>
      <w:r>
        <w:rPr>
          <w:b/>
          <w:sz w:val="18"/>
        </w:rPr>
        <w:t>Trade</w:t>
      </w:r>
      <w:r>
        <w:rPr>
          <w:b/>
          <w:spacing w:val="-1"/>
          <w:sz w:val="18"/>
        </w:rPr>
        <w:t> </w:t>
      </w:r>
      <w:r>
        <w:rPr>
          <w:b/>
          <w:sz w:val="18"/>
        </w:rPr>
        <w:t>receivables</w:t>
      </w:r>
    </w:p>
    <w:p>
      <w:pPr>
        <w:pStyle w:val="BodyText"/>
        <w:spacing w:before="146"/>
        <w:ind w:left="1070" w:right="116"/>
        <w:jc w:val="both"/>
      </w:pPr>
      <w:r>
        <w:rPr/>
        <w:t>Trade receivables are recognised initially at fair value and subsequently measured at amortised cost using the effective interest method, less provision for impairment. Trade receivables are generally due for settlement  within 30 days. They are presented as current assets unless collection is not expected for more than 12 months after the reporting</w:t>
      </w:r>
      <w:r>
        <w:rPr>
          <w:spacing w:val="2"/>
        </w:rPr>
        <w:t> </w:t>
      </w:r>
      <w:r>
        <w:rPr/>
        <w:t>date.</w:t>
      </w:r>
    </w:p>
    <w:p>
      <w:pPr>
        <w:pStyle w:val="BodyText"/>
        <w:spacing w:before="146"/>
        <w:ind w:left="1070" w:right="116"/>
        <w:jc w:val="both"/>
      </w:pPr>
      <w:r>
        <w:rPr/>
        <w:t>Collectability of trade receivables is reviewed on an ongoing basis. Debts which are known to be uncollectible  are written off by reducing the carrying amount directly. An allowance account (provision for impairment of trade receivables) is used when there is objective evidence that the Trust will not be able to collect all amounts due according to the original terms of the receivables. Significant financial difficulties of the debtor, probability that  the debtor will enter bankruptcy or financial reorganisation, and default or delinquency in payments (more than 30 days overdue) are considered indicators that the trade receivable is impaired. The amount of the impairment allowance is the difference between the asset's carrying amount and the present value of estimated future cash flows, discounted at the original effective interest rate. Cash flows relating to short term receivables are not discounted if the effect of discounting is</w:t>
      </w:r>
      <w:r>
        <w:rPr>
          <w:spacing w:val="6"/>
        </w:rPr>
        <w:t> </w:t>
      </w:r>
      <w:r>
        <w:rPr/>
        <w:t>immaterial.</w:t>
      </w:r>
    </w:p>
    <w:p>
      <w:pPr>
        <w:pStyle w:val="BodyText"/>
        <w:spacing w:before="146"/>
        <w:ind w:left="1070" w:right="116"/>
        <w:jc w:val="both"/>
      </w:pPr>
      <w:r>
        <w:rPr/>
        <w:t>The amount of the impairment loss is recognised in surplus/(deficit) within other expenses. When a trade receivable for which an impairment allowance had been recognised becomes uncollectible in a subsequent period, it is written off against the allowance account. Subsequent recoveries of amounts previously written off are credited against other expenses in surplus/(deficit).</w:t>
      </w:r>
    </w:p>
    <w:p>
      <w:pPr>
        <w:pStyle w:val="BodyText"/>
        <w:spacing w:before="11"/>
        <w:rPr>
          <w:sz w:val="24"/>
        </w:rPr>
      </w:pPr>
    </w:p>
    <w:p>
      <w:pPr>
        <w:pStyle w:val="Heading9"/>
        <w:numPr>
          <w:ilvl w:val="0"/>
          <w:numId w:val="133"/>
        </w:numPr>
        <w:tabs>
          <w:tab w:pos="1071" w:val="left" w:leader="none"/>
        </w:tabs>
        <w:spacing w:line="240" w:lineRule="auto" w:before="0" w:after="0"/>
        <w:ind w:left="1070" w:right="0" w:hanging="566"/>
        <w:jc w:val="left"/>
      </w:pPr>
      <w:r>
        <w:rPr/>
        <w:t>Other financial</w:t>
      </w:r>
      <w:r>
        <w:rPr>
          <w:spacing w:val="-1"/>
        </w:rPr>
        <w:t> </w:t>
      </w:r>
      <w:r>
        <w:rPr/>
        <w:t>assets</w:t>
      </w:r>
    </w:p>
    <w:p>
      <w:pPr>
        <w:pStyle w:val="ListParagraph"/>
        <w:numPr>
          <w:ilvl w:val="0"/>
          <w:numId w:val="134"/>
        </w:numPr>
        <w:tabs>
          <w:tab w:pos="1637" w:val="left" w:leader="none"/>
        </w:tabs>
        <w:spacing w:line="240" w:lineRule="auto" w:before="146" w:after="0"/>
        <w:ind w:left="1636" w:right="0" w:hanging="566"/>
        <w:jc w:val="both"/>
        <w:rPr>
          <w:b/>
          <w:sz w:val="18"/>
        </w:rPr>
      </w:pPr>
      <w:r>
        <w:rPr>
          <w:b/>
          <w:sz w:val="18"/>
        </w:rPr>
        <w:t>Classification</w:t>
      </w:r>
    </w:p>
    <w:p>
      <w:pPr>
        <w:pStyle w:val="BodyText"/>
        <w:spacing w:before="146"/>
        <w:ind w:left="1070" w:right="116"/>
        <w:jc w:val="both"/>
      </w:pPr>
      <w:r>
        <w:rPr/>
        <w:t>The Trust classifies its other financials assets in the following categories: financial assets at fair value through profit/(loss), loans and receivables, held-to-maturity investments and available-for-sale financial assets. The classification depends on the purpose for which the investments were acquired. Management determines the classification of its investments at initial recognition.</w:t>
      </w:r>
    </w:p>
    <w:p>
      <w:pPr>
        <w:spacing w:line="207" w:lineRule="exact" w:before="146"/>
        <w:ind w:left="1070" w:right="0" w:firstLine="0"/>
        <w:jc w:val="both"/>
        <w:rPr>
          <w:i/>
          <w:sz w:val="18"/>
        </w:rPr>
      </w:pPr>
      <w:r>
        <w:rPr>
          <w:i/>
          <w:sz w:val="18"/>
        </w:rPr>
        <w:t>Financial assets at fair value through profit/(loss)</w:t>
      </w:r>
    </w:p>
    <w:p>
      <w:pPr>
        <w:pStyle w:val="BodyText"/>
        <w:ind w:left="1070" w:right="116"/>
        <w:jc w:val="both"/>
      </w:pPr>
      <w:r>
        <w:rPr/>
        <w:t>Financial assets at fair value through profit/(loss) are financial assets held for trading. A financial asset is classified in this category if acquired principally for the purpose of selling in the short term. Derivatives are classified as held for trading unless they are designated as hedges. Assets in this category are classified as current assets if they are expected to be settled within 12 months; otherwise they are classified as non current.</w:t>
      </w:r>
    </w:p>
    <w:p>
      <w:pPr>
        <w:spacing w:line="207" w:lineRule="exact" w:before="146"/>
        <w:ind w:left="1070" w:right="0" w:firstLine="0"/>
        <w:jc w:val="both"/>
        <w:rPr>
          <w:i/>
          <w:sz w:val="18"/>
        </w:rPr>
      </w:pPr>
      <w:r>
        <w:rPr>
          <w:i/>
          <w:sz w:val="18"/>
        </w:rPr>
        <w:t>Loans and receivables</w:t>
      </w:r>
    </w:p>
    <w:p>
      <w:pPr>
        <w:pStyle w:val="BodyText"/>
        <w:ind w:left="1070" w:right="116"/>
        <w:jc w:val="both"/>
      </w:pPr>
      <w:r>
        <w:rPr/>
        <w:t>Loans and receivables are non derivative financial assets with fixed or determinable payments that are not quoted in an active market. They are included in current assets, except for those with maturities greater than 12 months after the reporting period which are classified as non current assets.</w:t>
      </w:r>
    </w:p>
    <w:p>
      <w:pPr>
        <w:spacing w:line="207" w:lineRule="exact" w:before="146"/>
        <w:ind w:left="1070" w:right="0" w:firstLine="0"/>
        <w:jc w:val="both"/>
        <w:rPr>
          <w:i/>
          <w:sz w:val="18"/>
        </w:rPr>
      </w:pPr>
      <w:r>
        <w:rPr>
          <w:i/>
          <w:sz w:val="18"/>
        </w:rPr>
        <w:t>Available-for-sale financial assets</w:t>
      </w:r>
    </w:p>
    <w:p>
      <w:pPr>
        <w:pStyle w:val="BodyText"/>
        <w:ind w:left="1070" w:right="116"/>
        <w:jc w:val="both"/>
      </w:pPr>
      <w:r>
        <w:rPr/>
        <w:t>Available-for-sale financial assets, comprising principally marketable equity securities, are non derivatives that are either designated in this category or not classified in any of the other categories. They are included in non current assets unless the investment matures or management intends to dispose of the investment within 12 months of the end of the reporting period. Investments are designated as available-for-sale if they do not have fixed maturities and fixed or determinable payments and management intends to hold them for the medium to long term.</w:t>
      </w:r>
    </w:p>
    <w:p>
      <w:pPr>
        <w:pStyle w:val="Heading9"/>
        <w:numPr>
          <w:ilvl w:val="0"/>
          <w:numId w:val="134"/>
        </w:numPr>
        <w:tabs>
          <w:tab w:pos="1637" w:val="left" w:leader="none"/>
        </w:tabs>
        <w:spacing w:line="240" w:lineRule="auto" w:before="146" w:after="0"/>
        <w:ind w:left="1636" w:right="0" w:hanging="566"/>
        <w:jc w:val="both"/>
      </w:pPr>
      <w:r>
        <w:rPr/>
        <w:t>Recognition and derecognition</w:t>
      </w:r>
    </w:p>
    <w:p>
      <w:pPr>
        <w:pStyle w:val="BodyText"/>
        <w:spacing w:before="146"/>
        <w:ind w:left="1070" w:right="116"/>
        <w:jc w:val="both"/>
      </w:pPr>
      <w:r>
        <w:rPr/>
        <w:t>Regular purchases and sales of financial assets are recognised on trade date, the date on which the Trust commits to purchase or sell the asset. Financial assets are derecognised when the rights to receive cash flows from the financial assets have expired or have been transferred and the Trust has transferred substantially all  the risks and rewards of</w:t>
      </w:r>
      <w:r>
        <w:rPr>
          <w:spacing w:val="-1"/>
        </w:rPr>
        <w:t> </w:t>
      </w:r>
      <w:r>
        <w:rPr/>
        <w:t>ownership.</w:t>
      </w:r>
    </w:p>
    <w:p>
      <w:pPr>
        <w:pStyle w:val="BodyText"/>
        <w:spacing w:before="146"/>
        <w:ind w:left="1070" w:right="116"/>
        <w:jc w:val="both"/>
      </w:pPr>
      <w:r>
        <w:rPr/>
        <w:t>When securities classified as available-for-sale are sold, the accumulated fair value adjustments recognised in other comprehensive income are reclassified to the statement of comprehensive income as gains and losses from investment securities.</w:t>
      </w:r>
    </w:p>
    <w:p>
      <w:pPr>
        <w:spacing w:after="0"/>
        <w:jc w:val="both"/>
        <w:sectPr>
          <w:pgSz w:w="11910" w:h="16840"/>
          <w:pgMar w:header="1037" w:footer="508" w:top="1460" w:bottom="700" w:left="900" w:right="860"/>
        </w:sectPr>
      </w:pPr>
    </w:p>
    <w:p>
      <w:pPr>
        <w:pStyle w:val="BodyText"/>
        <w:spacing w:before="1"/>
        <w:rPr>
          <w:sz w:val="24"/>
        </w:rPr>
      </w:pPr>
    </w:p>
    <w:p>
      <w:pPr>
        <w:pStyle w:val="Heading3"/>
      </w:pPr>
      <w:r>
        <w:rPr/>
        <w:t>Notes to the financial statements</w:t>
      </w:r>
    </w:p>
    <w:p>
      <w:pPr>
        <w:pStyle w:val="Heading6"/>
        <w:spacing w:before="53"/>
      </w:pPr>
      <w:r>
        <w:rPr/>
        <w:t>For the Year Ended 31 December 2012</w:t>
      </w:r>
    </w:p>
    <w:p>
      <w:pPr>
        <w:pStyle w:val="BodyText"/>
        <w:rPr>
          <w:b/>
          <w:sz w:val="22"/>
        </w:rPr>
      </w:pPr>
    </w:p>
    <w:p>
      <w:pPr>
        <w:pStyle w:val="BodyText"/>
        <w:rPr>
          <w:b/>
          <w:sz w:val="22"/>
        </w:rPr>
      </w:pPr>
    </w:p>
    <w:p>
      <w:pPr>
        <w:pStyle w:val="Heading9"/>
        <w:tabs>
          <w:tab w:pos="503" w:val="left" w:leader="none"/>
        </w:tabs>
        <w:spacing w:before="161"/>
        <w:ind w:left="110" w:right="125"/>
      </w:pPr>
      <w:r>
        <w:rPr/>
        <w:t>1</w:t>
        <w:tab/>
        <w:t>Summary of Significant Accounting Policies</w:t>
      </w:r>
      <w:r>
        <w:rPr>
          <w:spacing w:val="-9"/>
        </w:rPr>
        <w:t> </w:t>
      </w:r>
      <w:r>
        <w:rPr/>
        <w:t>(continued)</w:t>
      </w:r>
    </w:p>
    <w:p>
      <w:pPr>
        <w:pStyle w:val="BodyText"/>
        <w:spacing w:before="11"/>
        <w:rPr>
          <w:b/>
          <w:sz w:val="24"/>
        </w:rPr>
      </w:pPr>
    </w:p>
    <w:p>
      <w:pPr>
        <w:tabs>
          <w:tab w:pos="1070" w:val="left" w:leader="none"/>
        </w:tabs>
        <w:spacing w:before="0"/>
        <w:ind w:left="504" w:right="125" w:firstLine="0"/>
        <w:jc w:val="left"/>
        <w:rPr>
          <w:b/>
          <w:sz w:val="18"/>
        </w:rPr>
      </w:pPr>
      <w:r>
        <w:rPr>
          <w:b/>
          <w:sz w:val="18"/>
        </w:rPr>
        <w:t>(g)</w:t>
        <w:tab/>
        <w:t>Other financial assets</w:t>
      </w:r>
      <w:r>
        <w:rPr>
          <w:b/>
          <w:spacing w:val="-1"/>
          <w:sz w:val="18"/>
        </w:rPr>
        <w:t> </w:t>
      </w:r>
      <w:r>
        <w:rPr>
          <w:b/>
          <w:sz w:val="18"/>
        </w:rPr>
        <w:t>(continued)</w:t>
      </w:r>
    </w:p>
    <w:p>
      <w:pPr>
        <w:pStyle w:val="ListParagraph"/>
        <w:numPr>
          <w:ilvl w:val="0"/>
          <w:numId w:val="134"/>
        </w:numPr>
        <w:tabs>
          <w:tab w:pos="1637" w:val="left" w:leader="none"/>
        </w:tabs>
        <w:spacing w:line="240" w:lineRule="auto" w:before="146" w:after="0"/>
        <w:ind w:left="1636" w:right="0" w:hanging="566"/>
        <w:jc w:val="both"/>
        <w:rPr>
          <w:b/>
          <w:sz w:val="18"/>
        </w:rPr>
      </w:pPr>
      <w:r>
        <w:rPr>
          <w:b/>
          <w:sz w:val="18"/>
        </w:rPr>
        <w:t>Measurement</w:t>
      </w:r>
    </w:p>
    <w:p>
      <w:pPr>
        <w:pStyle w:val="BodyText"/>
        <w:spacing w:before="146"/>
        <w:ind w:left="1070" w:right="115"/>
        <w:jc w:val="both"/>
      </w:pPr>
      <w:r>
        <w:rPr/>
        <w:t>At initial recognition, the Trust measures a financial asset at its fair value plus, in the case of a financial asset  not at fair value through profit/(loss), transaction costs that are directly attributable to the acquisition of the financial asset. Transaction costs of financial assets carried at fair value through profit/(loss) are expensed in   the statement of comprehensive</w:t>
      </w:r>
      <w:r>
        <w:rPr>
          <w:spacing w:val="3"/>
        </w:rPr>
        <w:t> </w:t>
      </w:r>
      <w:r>
        <w:rPr/>
        <w:t>income.</w:t>
      </w:r>
    </w:p>
    <w:p>
      <w:pPr>
        <w:pStyle w:val="BodyText"/>
        <w:spacing w:before="146"/>
        <w:ind w:left="1070" w:right="116"/>
        <w:jc w:val="both"/>
      </w:pPr>
      <w:r>
        <w:rPr/>
        <w:t>Loans and receivables and held-to-maturity investments are subsequently carried at amortised cost using the effective interest method.</w:t>
      </w:r>
    </w:p>
    <w:p>
      <w:pPr>
        <w:pStyle w:val="BodyText"/>
        <w:spacing w:before="146"/>
        <w:ind w:left="1070" w:right="114"/>
        <w:jc w:val="both"/>
      </w:pPr>
      <w:r>
        <w:rPr/>
        <w:t>Available-for-sale financial assets and financial assets at fair value through  profit/(loss)  are  subsequently carried at fair value. Gains or losses arising from changes in the fair value of the 'financial assets at fair value through profit/(loss)' category are presented in the statement of comprehensive income within other income or other expenses in the period in which they arise. Dividend income from financial assets at fair value through profit/(loss) is recognised in the statement of comprehensive income as part of other revenue from continuing operations when the Trust's right  to receive payments is established. Interest income from these financial  assets is included in the net</w:t>
      </w:r>
      <w:r>
        <w:rPr>
          <w:spacing w:val="5"/>
        </w:rPr>
        <w:t> </w:t>
      </w:r>
      <w:r>
        <w:rPr/>
        <w:t>gains/(losses).</w:t>
      </w:r>
    </w:p>
    <w:p>
      <w:pPr>
        <w:pStyle w:val="BodyText"/>
        <w:spacing w:before="146"/>
        <w:ind w:left="1070" w:right="116"/>
        <w:jc w:val="both"/>
      </w:pPr>
      <w:r>
        <w:rPr/>
        <w:t>Changes in the fair value of other monetary and non monetary securities classified as available-for-sale are recognised in other comprehensive income.</w:t>
      </w:r>
    </w:p>
    <w:p>
      <w:pPr>
        <w:pStyle w:val="BodyText"/>
        <w:spacing w:before="146"/>
        <w:ind w:left="1070"/>
        <w:jc w:val="both"/>
      </w:pPr>
      <w:r>
        <w:rPr/>
        <w:t>Details on how the fair value of financial instruments is determined are disclosed in note 2.</w:t>
      </w:r>
    </w:p>
    <w:p>
      <w:pPr>
        <w:pStyle w:val="Heading9"/>
        <w:numPr>
          <w:ilvl w:val="0"/>
          <w:numId w:val="134"/>
        </w:numPr>
        <w:tabs>
          <w:tab w:pos="1637" w:val="left" w:leader="none"/>
        </w:tabs>
        <w:spacing w:line="240" w:lineRule="auto" w:before="146" w:after="0"/>
        <w:ind w:left="1636" w:right="0" w:hanging="566"/>
        <w:jc w:val="both"/>
      </w:pPr>
      <w:r>
        <w:rPr/>
        <w:t>Fair value</w:t>
      </w:r>
    </w:p>
    <w:p>
      <w:pPr>
        <w:pStyle w:val="BodyText"/>
        <w:spacing w:before="146"/>
        <w:ind w:left="1070" w:right="115"/>
        <w:jc w:val="both"/>
      </w:pPr>
      <w:r>
        <w:rPr/>
        <w:t>The fair values of quoted investments are based on current bid prices. If the market for a financial asset is not active (and for unlisted securities), the Trust establishes fair value by using valuation techniques. These include the use of recent arm's length transactions, reference to other instruments that are substantially the same, discounted cash flow analysis, and option pricing models making maximum use of market inputs and relying as little as possible on entity specific inputs.</w:t>
      </w:r>
    </w:p>
    <w:p>
      <w:pPr>
        <w:pStyle w:val="Heading9"/>
        <w:numPr>
          <w:ilvl w:val="0"/>
          <w:numId w:val="134"/>
        </w:numPr>
        <w:tabs>
          <w:tab w:pos="1637" w:val="left" w:leader="none"/>
        </w:tabs>
        <w:spacing w:line="240" w:lineRule="auto" w:before="146" w:after="0"/>
        <w:ind w:left="1636" w:right="0" w:hanging="566"/>
        <w:jc w:val="both"/>
      </w:pPr>
      <w:r>
        <w:rPr/>
        <w:t>Impairment</w:t>
      </w:r>
    </w:p>
    <w:p>
      <w:pPr>
        <w:pStyle w:val="BodyText"/>
        <w:spacing w:before="146"/>
        <w:ind w:left="1070" w:right="116"/>
        <w:jc w:val="both"/>
      </w:pPr>
      <w:r>
        <w:rPr/>
        <w:t>The Trust assesses  at the end of each reporting period whether there is objective evidence that a financial  asset or group of financial assets is impaired. A financial asset or a group of financial assets is impaired and impairment losses are incurred only if there is objective evidence of impairment as a result of one or more  events that occurred after the initial recognition of the asset (a ‘loss event’) and that loss event (or events) has  an impact on the estimated future cash flows of the financial asset or group of financial assets that can be reliably estimated. In the case of equity investments classified as available-for-sale, a significant or prolonged decline in the fair value of the security below its cost is considered an indicator that the assets are</w:t>
      </w:r>
      <w:r>
        <w:rPr>
          <w:spacing w:val="17"/>
        </w:rPr>
        <w:t> </w:t>
      </w:r>
      <w:r>
        <w:rPr/>
        <w:t>impaired.</w:t>
      </w:r>
    </w:p>
    <w:p>
      <w:pPr>
        <w:pStyle w:val="BodyText"/>
        <w:spacing w:before="146"/>
        <w:ind w:left="1070" w:right="116"/>
        <w:jc w:val="both"/>
      </w:pPr>
      <w:r>
        <w:rPr/>
        <w:t>If there is evidence of impairment for any of the Trust's financial assets carried at amortised cost, the loss is measured as the difference between the asset's carrying amount and the present value of estimated future   cash flows, excluding future credit losses that have not been incurred. The cash flows are discounted at the financial asset's original effective interest rate. The loss is recognised in the statement of comprehensive income.</w:t>
      </w:r>
    </w:p>
    <w:p>
      <w:pPr>
        <w:pStyle w:val="BodyText"/>
        <w:spacing w:before="138"/>
        <w:ind w:left="1070" w:right="114" w:firstLine="91"/>
        <w:jc w:val="both"/>
      </w:pPr>
      <w:r>
        <w:rPr/>
        <w:t>If a loan or held-to-maturity investment has a variable interest rate, the discount rate for measuring any impairment loss is the current effective interest rate determined under the contract. As a practical expedient, the Trust may measure impairment on the basis of an instrument’s fair value using an observable market price.</w:t>
      </w:r>
    </w:p>
    <w:p>
      <w:pPr>
        <w:pStyle w:val="BodyText"/>
        <w:spacing w:before="146"/>
        <w:ind w:left="1070" w:right="117"/>
        <w:jc w:val="both"/>
      </w:pPr>
      <w:r>
        <w:rPr/>
        <w:t>If, in a subsequent period, the amount of the impairment loss decreases and the decrease can be related objectively to an event occurring after the impairment was recognised (such as an improvement in the debtor’s credit rating), the reversal of the previously recognised impairment loss is recognised in the statement of comprehensive income.</w:t>
      </w:r>
    </w:p>
    <w:p>
      <w:pPr>
        <w:pStyle w:val="BodyText"/>
        <w:spacing w:before="146"/>
        <w:ind w:left="1070"/>
        <w:jc w:val="both"/>
      </w:pPr>
      <w:r>
        <w:rPr/>
        <w:t>Impairment testing of trade receivables is described in note 1(f).</w:t>
      </w:r>
    </w:p>
    <w:p>
      <w:pPr>
        <w:spacing w:after="0"/>
        <w:jc w:val="both"/>
        <w:sectPr>
          <w:pgSz w:w="11910" w:h="16840"/>
          <w:pgMar w:header="1037" w:footer="508" w:top="1460" w:bottom="700" w:left="900" w:right="860"/>
        </w:sectPr>
      </w:pPr>
    </w:p>
    <w:p>
      <w:pPr>
        <w:pStyle w:val="BodyText"/>
        <w:spacing w:before="1"/>
        <w:rPr>
          <w:sz w:val="24"/>
        </w:rPr>
      </w:pPr>
    </w:p>
    <w:p>
      <w:pPr>
        <w:pStyle w:val="Heading3"/>
      </w:pPr>
      <w:r>
        <w:rPr/>
        <w:t>Notes to the financial statements</w:t>
      </w:r>
    </w:p>
    <w:p>
      <w:pPr>
        <w:pStyle w:val="Heading6"/>
        <w:spacing w:before="53"/>
      </w:pPr>
      <w:r>
        <w:rPr/>
        <w:t>For the Year Ended 31 December 2012</w:t>
      </w:r>
    </w:p>
    <w:p>
      <w:pPr>
        <w:pStyle w:val="BodyText"/>
        <w:rPr>
          <w:b/>
          <w:sz w:val="22"/>
        </w:rPr>
      </w:pPr>
    </w:p>
    <w:p>
      <w:pPr>
        <w:pStyle w:val="BodyText"/>
        <w:rPr>
          <w:b/>
          <w:sz w:val="22"/>
        </w:rPr>
      </w:pPr>
    </w:p>
    <w:p>
      <w:pPr>
        <w:pStyle w:val="Heading9"/>
        <w:tabs>
          <w:tab w:pos="503" w:val="left" w:leader="none"/>
        </w:tabs>
        <w:spacing w:before="161"/>
        <w:ind w:left="110" w:right="125"/>
      </w:pPr>
      <w:r>
        <w:rPr/>
        <w:t>1</w:t>
        <w:tab/>
        <w:t>Summary of Significant Accounting Policies</w:t>
      </w:r>
      <w:r>
        <w:rPr>
          <w:spacing w:val="-9"/>
        </w:rPr>
        <w:t> </w:t>
      </w:r>
      <w:r>
        <w:rPr/>
        <w:t>(continued)</w:t>
      </w:r>
    </w:p>
    <w:p>
      <w:pPr>
        <w:pStyle w:val="BodyText"/>
        <w:spacing w:before="11"/>
        <w:rPr>
          <w:b/>
          <w:sz w:val="24"/>
        </w:rPr>
      </w:pPr>
    </w:p>
    <w:p>
      <w:pPr>
        <w:pStyle w:val="ListParagraph"/>
        <w:numPr>
          <w:ilvl w:val="0"/>
          <w:numId w:val="135"/>
        </w:numPr>
        <w:tabs>
          <w:tab w:pos="1071" w:val="left" w:leader="none"/>
        </w:tabs>
        <w:spacing w:line="240" w:lineRule="auto" w:before="0" w:after="0"/>
        <w:ind w:left="1070" w:right="0" w:hanging="566"/>
        <w:jc w:val="left"/>
        <w:rPr>
          <w:b/>
          <w:sz w:val="18"/>
        </w:rPr>
      </w:pPr>
      <w:r>
        <w:rPr>
          <w:b/>
          <w:sz w:val="18"/>
        </w:rPr>
        <w:t>Other financial assets</w:t>
      </w:r>
      <w:r>
        <w:rPr>
          <w:b/>
          <w:spacing w:val="-1"/>
          <w:sz w:val="18"/>
        </w:rPr>
        <w:t> </w:t>
      </w:r>
      <w:r>
        <w:rPr>
          <w:b/>
          <w:sz w:val="18"/>
        </w:rPr>
        <w:t>(continued)</w:t>
      </w:r>
    </w:p>
    <w:p>
      <w:pPr>
        <w:pStyle w:val="BodyText"/>
        <w:spacing w:before="11"/>
        <w:rPr>
          <w:b/>
          <w:sz w:val="24"/>
        </w:rPr>
      </w:pPr>
    </w:p>
    <w:p>
      <w:pPr>
        <w:spacing w:before="0"/>
        <w:ind w:left="1070" w:right="0" w:firstLine="0"/>
        <w:jc w:val="both"/>
        <w:rPr>
          <w:b/>
          <w:sz w:val="18"/>
        </w:rPr>
      </w:pPr>
      <w:r>
        <w:rPr>
          <w:b/>
          <w:sz w:val="18"/>
        </w:rPr>
        <w:t>(v)       Impairment (continued)</w:t>
      </w:r>
    </w:p>
    <w:p>
      <w:pPr>
        <w:spacing w:line="207" w:lineRule="exact" w:before="146"/>
        <w:ind w:left="1070" w:right="0" w:firstLine="0"/>
        <w:jc w:val="both"/>
        <w:rPr>
          <w:i/>
          <w:sz w:val="18"/>
        </w:rPr>
      </w:pPr>
      <w:r>
        <w:rPr>
          <w:i/>
          <w:sz w:val="18"/>
        </w:rPr>
        <w:t>Assets classified as available-for-sale</w:t>
      </w:r>
    </w:p>
    <w:p>
      <w:pPr>
        <w:pStyle w:val="BodyText"/>
        <w:ind w:left="1070" w:right="114"/>
        <w:jc w:val="both"/>
      </w:pPr>
      <w:r>
        <w:rPr/>
        <w:t>If there is objective evidence of impairment for available-for-sale financial assets, the cumulative loss –  measured as the difference between the acquisition cost and the current fair value, less any impairment loss on that financial asset previously recognised in the statement of comprehensive income is removed from equity   and recognised in the statement of comprehensive</w:t>
      </w:r>
      <w:r>
        <w:rPr>
          <w:spacing w:val="6"/>
        </w:rPr>
        <w:t> </w:t>
      </w:r>
      <w:r>
        <w:rPr/>
        <w:t>income.</w:t>
      </w:r>
    </w:p>
    <w:p>
      <w:pPr>
        <w:pStyle w:val="BodyText"/>
        <w:spacing w:before="146"/>
        <w:ind w:left="1070" w:right="116"/>
        <w:jc w:val="both"/>
      </w:pPr>
      <w:r>
        <w:rPr/>
        <w:t>Impairment losses on equity instruments that were recognised in the statement of comprehensive income are  not reversed through the statement of comprehensive income in a subsequent</w:t>
      </w:r>
      <w:r>
        <w:rPr>
          <w:spacing w:val="10"/>
        </w:rPr>
        <w:t> </w:t>
      </w:r>
      <w:r>
        <w:rPr/>
        <w:t>period.</w:t>
      </w:r>
    </w:p>
    <w:p>
      <w:pPr>
        <w:pStyle w:val="BodyText"/>
        <w:spacing w:before="146"/>
        <w:ind w:left="1070" w:right="116"/>
        <w:jc w:val="both"/>
      </w:pPr>
      <w:r>
        <w:rPr/>
        <w:t>If the fair value of a debt instrument classified as available-for-sale increases in a subsequent period and the increase can be objectively related to an event occurring after the impairment loss was recognised in the statement of comprehensive income, the impairment loss is reversed through the statement of comprehensive income.</w:t>
      </w:r>
    </w:p>
    <w:p>
      <w:pPr>
        <w:pStyle w:val="BodyText"/>
        <w:spacing w:before="11"/>
        <w:rPr>
          <w:sz w:val="24"/>
        </w:rPr>
      </w:pPr>
    </w:p>
    <w:p>
      <w:pPr>
        <w:pStyle w:val="Heading9"/>
        <w:numPr>
          <w:ilvl w:val="0"/>
          <w:numId w:val="135"/>
        </w:numPr>
        <w:tabs>
          <w:tab w:pos="1071" w:val="left" w:leader="none"/>
        </w:tabs>
        <w:spacing w:line="240" w:lineRule="auto" w:before="0" w:after="0"/>
        <w:ind w:left="1070" w:right="0" w:hanging="566"/>
        <w:jc w:val="left"/>
      </w:pPr>
      <w:r>
        <w:rPr/>
        <w:t>Fair value estimation</w:t>
      </w:r>
    </w:p>
    <w:p>
      <w:pPr>
        <w:pStyle w:val="BodyText"/>
        <w:spacing w:before="146"/>
        <w:ind w:left="1070" w:right="115"/>
        <w:jc w:val="both"/>
      </w:pPr>
      <w:r>
        <w:rPr/>
        <w:t>The fair value of financial assets and financial liabilities must be estimated for recognition and measurement or for disclosure purposes.</w:t>
      </w:r>
    </w:p>
    <w:p>
      <w:pPr>
        <w:pStyle w:val="BodyText"/>
        <w:spacing w:before="146"/>
        <w:ind w:left="1070" w:right="115"/>
        <w:jc w:val="both"/>
      </w:pPr>
      <w:r>
        <w:rPr/>
        <w:t>The fair value of financial instruments that are not traded in an active market (for example, over the counter derivatives) is determined using valuation techniques. The Trust uses a variety of methods and makes assumptions that are based on market conditions existing at each balance date. Quoted market prices or dealer quotes for similar instruments are used for long term debt instruments held. Other techniques, such  as estimated discounted cash flows, are used to determine fair value for the remaining financial instruments. The fair value of interest rate swaps is calculated as the present value of the estimated future cash flows. The fair value of forward exchange contracts is determined using forward exchange market rates at the statement of financial position</w:t>
      </w:r>
      <w:r>
        <w:rPr>
          <w:spacing w:val="1"/>
        </w:rPr>
        <w:t> </w:t>
      </w:r>
      <w:r>
        <w:rPr/>
        <w:t>date.</w:t>
      </w:r>
    </w:p>
    <w:p>
      <w:pPr>
        <w:pStyle w:val="BodyText"/>
        <w:spacing w:before="146"/>
        <w:ind w:left="1070" w:right="116"/>
        <w:jc w:val="both"/>
      </w:pPr>
      <w:r>
        <w:rPr/>
        <w:t>The carrying value less impairment provision of trade receivables and payables are assumed to approximate their fair values due to their short term nature. The fair value of financial liabilities for disclosure purposes is estimated by discounting the future contractual cash flows at the current market interest rate that is available to the Trust for similar financial instruments.</w:t>
      </w:r>
    </w:p>
    <w:p>
      <w:pPr>
        <w:pStyle w:val="BodyText"/>
        <w:spacing w:before="11"/>
        <w:rPr>
          <w:sz w:val="24"/>
        </w:rPr>
      </w:pPr>
    </w:p>
    <w:p>
      <w:pPr>
        <w:pStyle w:val="Heading9"/>
        <w:numPr>
          <w:ilvl w:val="0"/>
          <w:numId w:val="135"/>
        </w:numPr>
        <w:tabs>
          <w:tab w:pos="1071" w:val="left" w:leader="none"/>
        </w:tabs>
        <w:spacing w:line="240" w:lineRule="auto" w:before="0" w:after="0"/>
        <w:ind w:left="1070" w:right="0" w:hanging="566"/>
        <w:jc w:val="left"/>
      </w:pPr>
      <w:r>
        <w:rPr/>
        <w:t>Property, plant and</w:t>
      </w:r>
      <w:r>
        <w:rPr>
          <w:spacing w:val="-9"/>
        </w:rPr>
        <w:t> </w:t>
      </w:r>
      <w:r>
        <w:rPr/>
        <w:t>equipment</w:t>
      </w:r>
    </w:p>
    <w:p>
      <w:pPr>
        <w:pStyle w:val="BodyText"/>
        <w:spacing w:before="146"/>
        <w:ind w:left="1070" w:right="114"/>
        <w:jc w:val="both"/>
      </w:pPr>
      <w:r>
        <w:rPr/>
        <w:t>Property, plant and equipment is stated at historical cost less depreciation. Historical cost includes expenditure that is directly attributable to the acquisition of the items. Cost may also include transfers from equity of any gains/losses on qualifying cash flow hedges of foreign currency purchases of property, plant and equipment.</w:t>
      </w:r>
    </w:p>
    <w:p>
      <w:pPr>
        <w:pStyle w:val="BodyText"/>
        <w:spacing w:before="146"/>
        <w:ind w:left="1070" w:right="115"/>
        <w:jc w:val="both"/>
      </w:pPr>
      <w:r>
        <w:rPr/>
        <w:t>Subsequent costs are included in the asset's carrying amount or recognised as a separate asset,  as  appropriate, only when it is probable that future economic benefits associated witht he item will flow to the Trust and the cost of the item can be measured reliably. The carrying amount of any component accounted for as a separate asset is derecognised when replaced. All other repairs and maintenance are charged to surplus or deficit during the reporting period in which they are</w:t>
      </w:r>
      <w:r>
        <w:rPr>
          <w:spacing w:val="8"/>
        </w:rPr>
        <w:t> </w:t>
      </w:r>
      <w:r>
        <w:rPr/>
        <w:t>incurred.</w:t>
      </w:r>
    </w:p>
    <w:p>
      <w:pPr>
        <w:pStyle w:val="BodyText"/>
        <w:spacing w:before="146"/>
        <w:ind w:left="1070" w:right="115"/>
        <w:jc w:val="both"/>
      </w:pPr>
      <w:r>
        <w:rPr/>
        <w:t>Depreciation is calculated using the straight-line method to allocate their cost or revalued amounts, net of their residual values, over their estimated useful lives or, in the case of leasehold improvements and certain leased plant and equipment.</w:t>
      </w:r>
    </w:p>
    <w:p>
      <w:pPr>
        <w:pStyle w:val="BodyText"/>
        <w:spacing w:before="146"/>
        <w:ind w:left="1070" w:right="116"/>
        <w:jc w:val="both"/>
      </w:pPr>
      <w:r>
        <w:rPr/>
        <w:t>The assets' residual values and useful lives are reviewed, and adjusted if appropriate, at the end of each reporting period.</w:t>
      </w:r>
    </w:p>
    <w:p>
      <w:pPr>
        <w:pStyle w:val="BodyText"/>
        <w:spacing w:before="146"/>
        <w:ind w:left="1070" w:right="116"/>
        <w:jc w:val="both"/>
      </w:pPr>
      <w:r>
        <w:rPr/>
        <w:t>An asset's carrying amount is written down immediately to its recoverable amount if the asset's carrying amount is greater than its estimated recoverable amount.</w:t>
      </w:r>
    </w:p>
    <w:p>
      <w:pPr>
        <w:spacing w:after="0"/>
        <w:jc w:val="both"/>
        <w:sectPr>
          <w:pgSz w:w="11910" w:h="16840"/>
          <w:pgMar w:header="1037" w:footer="508" w:top="1460" w:bottom="700" w:left="900" w:right="860"/>
        </w:sectPr>
      </w:pPr>
    </w:p>
    <w:p>
      <w:pPr>
        <w:pStyle w:val="BodyText"/>
        <w:spacing w:before="1"/>
        <w:rPr>
          <w:sz w:val="24"/>
        </w:rPr>
      </w:pPr>
    </w:p>
    <w:p>
      <w:pPr>
        <w:pStyle w:val="Heading3"/>
      </w:pPr>
      <w:r>
        <w:rPr/>
        <w:t>Notes to the financial statements</w:t>
      </w:r>
    </w:p>
    <w:p>
      <w:pPr>
        <w:pStyle w:val="Heading6"/>
        <w:spacing w:before="53"/>
      </w:pPr>
      <w:r>
        <w:rPr/>
        <w:t>For the Year Ended 31 December 2012</w:t>
      </w:r>
    </w:p>
    <w:p>
      <w:pPr>
        <w:pStyle w:val="BodyText"/>
        <w:rPr>
          <w:b/>
          <w:sz w:val="22"/>
        </w:rPr>
      </w:pPr>
    </w:p>
    <w:p>
      <w:pPr>
        <w:pStyle w:val="BodyText"/>
        <w:rPr>
          <w:b/>
          <w:sz w:val="22"/>
        </w:rPr>
      </w:pPr>
    </w:p>
    <w:p>
      <w:pPr>
        <w:pStyle w:val="Heading9"/>
        <w:numPr>
          <w:ilvl w:val="0"/>
          <w:numId w:val="136"/>
        </w:numPr>
        <w:tabs>
          <w:tab w:pos="504" w:val="left" w:leader="none"/>
        </w:tabs>
        <w:spacing w:line="240" w:lineRule="auto" w:before="161" w:after="0"/>
        <w:ind w:left="504" w:right="0" w:hanging="394"/>
        <w:jc w:val="left"/>
      </w:pPr>
      <w:r>
        <w:rPr/>
        <w:t>Summary of Significant Accounting Policies</w:t>
      </w:r>
      <w:r>
        <w:rPr>
          <w:spacing w:val="-9"/>
        </w:rPr>
        <w:t> </w:t>
      </w:r>
      <w:r>
        <w:rPr/>
        <w:t>(continued)</w:t>
      </w:r>
    </w:p>
    <w:p>
      <w:pPr>
        <w:pStyle w:val="BodyText"/>
        <w:spacing w:before="11"/>
        <w:rPr>
          <w:b/>
          <w:sz w:val="24"/>
        </w:rPr>
      </w:pPr>
    </w:p>
    <w:p>
      <w:pPr>
        <w:pStyle w:val="ListParagraph"/>
        <w:numPr>
          <w:ilvl w:val="1"/>
          <w:numId w:val="136"/>
        </w:numPr>
        <w:tabs>
          <w:tab w:pos="1071" w:val="left" w:leader="none"/>
        </w:tabs>
        <w:spacing w:line="240" w:lineRule="auto" w:before="0" w:after="0"/>
        <w:ind w:left="1070" w:right="0" w:hanging="566"/>
        <w:jc w:val="left"/>
        <w:rPr>
          <w:b/>
          <w:sz w:val="18"/>
        </w:rPr>
      </w:pPr>
      <w:r>
        <w:rPr>
          <w:b/>
          <w:sz w:val="18"/>
        </w:rPr>
        <w:t>Property, plant and equipment</w:t>
      </w:r>
      <w:r>
        <w:rPr>
          <w:b/>
          <w:spacing w:val="-9"/>
          <w:sz w:val="18"/>
        </w:rPr>
        <w:t> </w:t>
      </w:r>
      <w:r>
        <w:rPr>
          <w:b/>
          <w:sz w:val="18"/>
        </w:rPr>
        <w:t>(continued)</w:t>
      </w:r>
    </w:p>
    <w:p>
      <w:pPr>
        <w:pStyle w:val="BodyText"/>
        <w:spacing w:before="146"/>
        <w:ind w:left="1070" w:right="116"/>
        <w:jc w:val="both"/>
      </w:pPr>
      <w:r>
        <w:rPr/>
        <w:t>Gains and losses on disposals are determined by comparing proceeds with carrying amount.  These  are included in the statement of comprehensive income.</w:t>
      </w:r>
    </w:p>
    <w:p>
      <w:pPr>
        <w:spacing w:line="207" w:lineRule="exact" w:before="146"/>
        <w:ind w:left="1070" w:right="0" w:firstLine="0"/>
        <w:jc w:val="both"/>
        <w:rPr>
          <w:i/>
          <w:sz w:val="18"/>
        </w:rPr>
      </w:pPr>
      <w:r>
        <w:rPr>
          <w:i/>
          <w:sz w:val="18"/>
        </w:rPr>
        <w:t>Whitlam collection</w:t>
      </w:r>
    </w:p>
    <w:p>
      <w:pPr>
        <w:pStyle w:val="BodyText"/>
        <w:ind w:left="1070" w:right="116"/>
        <w:jc w:val="both"/>
      </w:pPr>
      <w:r>
        <w:rPr/>
        <w:t>Assets comprising the Whitlam Collection have been donated to the Trust. Market valuations  have  been obtained at the time of contribution in order to determine the fair value of the contribution at acquisition date in accordance with AASB116 "Property, Plant &amp; Equipment".</w:t>
      </w:r>
    </w:p>
    <w:p>
      <w:pPr>
        <w:pStyle w:val="BodyText"/>
        <w:spacing w:before="11"/>
        <w:rPr>
          <w:sz w:val="24"/>
        </w:rPr>
      </w:pPr>
    </w:p>
    <w:p>
      <w:pPr>
        <w:pStyle w:val="Heading9"/>
        <w:numPr>
          <w:ilvl w:val="0"/>
          <w:numId w:val="135"/>
        </w:numPr>
        <w:tabs>
          <w:tab w:pos="1071" w:val="left" w:leader="none"/>
        </w:tabs>
        <w:spacing w:line="240" w:lineRule="auto" w:before="0" w:after="0"/>
        <w:ind w:left="1070" w:right="0" w:hanging="566"/>
        <w:jc w:val="left"/>
      </w:pPr>
      <w:r>
        <w:rPr/>
        <w:t>Goods and Services Tax (GST)</w:t>
      </w:r>
    </w:p>
    <w:p>
      <w:pPr>
        <w:pStyle w:val="BodyText"/>
        <w:spacing w:before="146"/>
        <w:ind w:left="1070" w:right="117"/>
        <w:jc w:val="both"/>
      </w:pPr>
      <w:r>
        <w:rPr/>
        <w:t>Revenues, expenses and assets are recognised net of the amount of associated GST, unless the GST incurred is not recoverable from the taxation authority. In this case it is recognised as part of the cost of acquisition of    the asset or as part of the</w:t>
      </w:r>
      <w:r>
        <w:rPr>
          <w:spacing w:val="6"/>
        </w:rPr>
        <w:t> </w:t>
      </w:r>
      <w:r>
        <w:rPr/>
        <w:t>expense.</w:t>
      </w:r>
    </w:p>
    <w:p>
      <w:pPr>
        <w:pStyle w:val="BodyText"/>
        <w:spacing w:before="146"/>
        <w:ind w:left="1070" w:right="115"/>
        <w:jc w:val="both"/>
      </w:pPr>
      <w:r>
        <w:rPr/>
        <w:t>Receivables and payables are stated inclusive of the amount of GST receivable or payable. The net amount of GST recoverable from, or payable to, the taxation authority is included with other receivables or payables in the statement of financial position.</w:t>
      </w:r>
    </w:p>
    <w:p>
      <w:pPr>
        <w:pStyle w:val="BodyText"/>
        <w:spacing w:before="146"/>
        <w:ind w:left="1070" w:right="115"/>
        <w:jc w:val="both"/>
      </w:pPr>
      <w:r>
        <w:rPr/>
        <w:t>Cash flows are presented on a gross basis. The GST components of cash flows arising from investing or financing activities which are recoverable from, or payable to the taxation authority, are presented as operating cash flows.</w:t>
      </w:r>
    </w:p>
    <w:p>
      <w:pPr>
        <w:pStyle w:val="BodyText"/>
        <w:spacing w:before="11"/>
        <w:rPr>
          <w:sz w:val="24"/>
        </w:rPr>
      </w:pPr>
    </w:p>
    <w:p>
      <w:pPr>
        <w:pStyle w:val="Heading9"/>
        <w:numPr>
          <w:ilvl w:val="0"/>
          <w:numId w:val="135"/>
        </w:numPr>
        <w:tabs>
          <w:tab w:pos="1071" w:val="left" w:leader="none"/>
        </w:tabs>
        <w:spacing w:line="240" w:lineRule="auto" w:before="0" w:after="0"/>
        <w:ind w:left="1070" w:right="0" w:hanging="566"/>
        <w:jc w:val="left"/>
      </w:pPr>
      <w:r>
        <w:rPr/>
        <w:t>Comparative</w:t>
      </w:r>
      <w:r>
        <w:rPr>
          <w:spacing w:val="-1"/>
        </w:rPr>
        <w:t> </w:t>
      </w:r>
      <w:r>
        <w:rPr/>
        <w:t>amounts</w:t>
      </w:r>
    </w:p>
    <w:p>
      <w:pPr>
        <w:pStyle w:val="BodyText"/>
        <w:spacing w:before="146"/>
        <w:ind w:left="1070" w:right="116"/>
        <w:jc w:val="both"/>
      </w:pPr>
      <w:r>
        <w:rPr/>
        <w:t>Comparative figures have been reclassified and repositioned in the financial statements, where necessary, to conform with the basis of preparation and classification used in the current year.</w:t>
      </w:r>
    </w:p>
    <w:p>
      <w:pPr>
        <w:pStyle w:val="BodyText"/>
        <w:spacing w:before="11"/>
        <w:rPr>
          <w:sz w:val="24"/>
        </w:rPr>
      </w:pPr>
    </w:p>
    <w:p>
      <w:pPr>
        <w:pStyle w:val="Heading9"/>
        <w:numPr>
          <w:ilvl w:val="0"/>
          <w:numId w:val="135"/>
        </w:numPr>
        <w:tabs>
          <w:tab w:pos="1071" w:val="left" w:leader="none"/>
        </w:tabs>
        <w:spacing w:line="240" w:lineRule="auto" w:before="0" w:after="0"/>
        <w:ind w:left="1070" w:right="0" w:hanging="566"/>
        <w:jc w:val="left"/>
      </w:pPr>
      <w:r>
        <w:rPr/>
        <w:t>New accounting standards and interpretations</w:t>
      </w:r>
    </w:p>
    <w:p>
      <w:pPr>
        <w:pStyle w:val="BodyText"/>
        <w:spacing w:before="146"/>
        <w:ind w:left="1070" w:right="116"/>
        <w:jc w:val="both"/>
      </w:pPr>
      <w:r>
        <w:rPr/>
        <w:t>Certain new accounting standards and interpretations have been published that are not mandatory for 31 December 2012 reporting periods and have not yet been applied in the financial report. The Trust's assessment of the impact of these new standards and interpretations is that they will not materially affect any of the amounts recognised in the financial statements or significantly impact the disclosures in relation to the Trust.</w:t>
      </w:r>
    </w:p>
    <w:p>
      <w:pPr>
        <w:pStyle w:val="BodyText"/>
        <w:spacing w:before="11"/>
        <w:rPr>
          <w:sz w:val="24"/>
        </w:rPr>
      </w:pPr>
    </w:p>
    <w:p>
      <w:pPr>
        <w:pStyle w:val="Heading9"/>
        <w:numPr>
          <w:ilvl w:val="0"/>
          <w:numId w:val="135"/>
        </w:numPr>
        <w:tabs>
          <w:tab w:pos="1071" w:val="left" w:leader="none"/>
        </w:tabs>
        <w:spacing w:line="240" w:lineRule="auto" w:before="0" w:after="0"/>
        <w:ind w:left="1070" w:right="0" w:hanging="566"/>
        <w:jc w:val="left"/>
      </w:pPr>
      <w:r>
        <w:rPr/>
        <w:t>Critical accounting estimates and</w:t>
      </w:r>
      <w:r>
        <w:rPr>
          <w:spacing w:val="-1"/>
        </w:rPr>
        <w:t> </w:t>
      </w:r>
      <w:r>
        <w:rPr/>
        <w:t>judgments</w:t>
      </w:r>
    </w:p>
    <w:p>
      <w:pPr>
        <w:pStyle w:val="BodyText"/>
        <w:spacing w:before="146"/>
        <w:ind w:left="1070" w:right="116"/>
        <w:jc w:val="both"/>
      </w:pPr>
      <w:r>
        <w:rPr/>
        <w:t>The preparation of financial statements requires the use of certain critical accounting estimates. It also requires management to exercise its judgement in the process of applying the Trust's accounting policies. Estimates and judgements are continually evaluated and are based on historic experience and other factors, including expectations of future events that may have a financial impact on the Trust and that are believed to be reasonable under the circumstances.</w:t>
      </w:r>
    </w:p>
    <w:p>
      <w:pPr>
        <w:pStyle w:val="BodyText"/>
        <w:spacing w:before="146"/>
        <w:ind w:left="1070" w:right="116"/>
        <w:jc w:val="both"/>
      </w:pPr>
      <w:r>
        <w:rPr/>
        <w:t>There are no areas which involve a high degree of judgement or complexity or where assumptions  and estimates are significant to the financial statements of the Whitlam Institute within the University of Western Sydney Trust.</w:t>
      </w:r>
    </w:p>
    <w:p>
      <w:pPr>
        <w:spacing w:after="0"/>
        <w:jc w:val="both"/>
        <w:sectPr>
          <w:pgSz w:w="11910" w:h="16840"/>
          <w:pgMar w:header="1037" w:footer="508" w:top="1460" w:bottom="700" w:left="900" w:right="860"/>
        </w:sectPr>
      </w:pPr>
    </w:p>
    <w:p>
      <w:pPr>
        <w:pStyle w:val="BodyText"/>
        <w:spacing w:before="1"/>
        <w:rPr>
          <w:sz w:val="24"/>
        </w:rPr>
      </w:pPr>
    </w:p>
    <w:p>
      <w:pPr>
        <w:pStyle w:val="Heading3"/>
      </w:pPr>
      <w:r>
        <w:rPr/>
        <w:t>Notes to the financial statements</w:t>
      </w:r>
    </w:p>
    <w:p>
      <w:pPr>
        <w:pStyle w:val="Heading6"/>
        <w:spacing w:before="53"/>
      </w:pPr>
      <w:r>
        <w:rPr/>
        <w:t>For the Year Ended 31 December 2012</w:t>
      </w:r>
    </w:p>
    <w:p>
      <w:pPr>
        <w:pStyle w:val="BodyText"/>
        <w:rPr>
          <w:b/>
          <w:sz w:val="22"/>
        </w:rPr>
      </w:pPr>
    </w:p>
    <w:p>
      <w:pPr>
        <w:pStyle w:val="BodyText"/>
        <w:rPr>
          <w:b/>
          <w:sz w:val="22"/>
        </w:rPr>
      </w:pPr>
    </w:p>
    <w:p>
      <w:pPr>
        <w:pStyle w:val="Heading9"/>
        <w:numPr>
          <w:ilvl w:val="0"/>
          <w:numId w:val="136"/>
        </w:numPr>
        <w:tabs>
          <w:tab w:pos="504" w:val="left" w:leader="none"/>
        </w:tabs>
        <w:spacing w:line="240" w:lineRule="auto" w:before="161" w:after="0"/>
        <w:ind w:left="504" w:right="0" w:hanging="394"/>
        <w:jc w:val="left"/>
      </w:pPr>
      <w:r>
        <w:rPr/>
        <w:t>Financial Risk</w:t>
      </w:r>
      <w:r>
        <w:rPr>
          <w:spacing w:val="2"/>
        </w:rPr>
        <w:t> </w:t>
      </w:r>
      <w:r>
        <w:rPr/>
        <w:t>Management</w:t>
      </w:r>
    </w:p>
    <w:p>
      <w:pPr>
        <w:pStyle w:val="BodyText"/>
        <w:spacing w:before="146"/>
        <w:ind w:left="503" w:right="116"/>
        <w:jc w:val="both"/>
      </w:pPr>
      <w:r>
        <w:rPr/>
        <w:t>The main risks Whitlam Institute Within the University of Western Sydney Trust is exposed to through its financial instruments are credit risk, liquidity risk and market risk (interest rate risk). The Trust's overall risk management program focuses on the unpredictability of financial markets and seeks to minimise potential adverse effects on the financial performance of the Trust. The Trust uses different methods to measure different types of risk to which it is exposed. These methods include sensitivity analysis in the case of interest rate and ageing analysis for credit</w:t>
      </w:r>
      <w:r>
        <w:rPr>
          <w:spacing w:val="15"/>
        </w:rPr>
        <w:t> </w:t>
      </w:r>
      <w:r>
        <w:rPr/>
        <w:t>risk.</w:t>
      </w:r>
    </w:p>
    <w:p>
      <w:pPr>
        <w:pStyle w:val="BodyText"/>
        <w:spacing w:before="146"/>
        <w:ind w:left="503" w:right="116"/>
        <w:jc w:val="both"/>
      </w:pPr>
      <w:r>
        <w:rPr/>
        <w:t>The totals for each category of financial instruments, measured in accordance with AASB 139 as detailed in the accounting policies to these financial statements, are as follows:</w:t>
      </w:r>
    </w:p>
    <w:p>
      <w:pPr>
        <w:spacing w:after="0"/>
        <w:jc w:val="both"/>
        <w:sectPr>
          <w:pgSz w:w="11910" w:h="16840"/>
          <w:pgMar w:header="1037" w:footer="508" w:top="1460" w:bottom="700" w:left="900" w:right="860"/>
        </w:sectPr>
      </w:pPr>
    </w:p>
    <w:p>
      <w:pPr>
        <w:pStyle w:val="BodyText"/>
      </w:pPr>
    </w:p>
    <w:p>
      <w:pPr>
        <w:pStyle w:val="BodyText"/>
      </w:pPr>
    </w:p>
    <w:p>
      <w:pPr>
        <w:pStyle w:val="Heading9"/>
        <w:spacing w:before="132"/>
        <w:ind w:left="504" w:right="-15"/>
      </w:pPr>
      <w:r>
        <w:rPr/>
        <w:t>Financial Assets</w:t>
      </w:r>
    </w:p>
    <w:p>
      <w:pPr>
        <w:pStyle w:val="BodyText"/>
        <w:spacing w:before="7"/>
        <w:rPr>
          <w:b/>
          <w:sz w:val="26"/>
        </w:rPr>
      </w:pPr>
      <w:r>
        <w:rPr/>
        <w:br w:type="column"/>
      </w:r>
      <w:r>
        <w:rPr>
          <w:b/>
          <w:sz w:val="26"/>
        </w:rPr>
      </w:r>
    </w:p>
    <w:p>
      <w:pPr>
        <w:spacing w:before="0"/>
        <w:ind w:left="503" w:right="-18" w:firstLine="0"/>
        <w:jc w:val="left"/>
        <w:rPr>
          <w:b/>
          <w:sz w:val="18"/>
        </w:rPr>
      </w:pPr>
      <w:r>
        <w:rPr>
          <w:b/>
          <w:sz w:val="18"/>
        </w:rPr>
        <w:t>Note</w:t>
      </w:r>
    </w:p>
    <w:p>
      <w:pPr>
        <w:spacing w:before="33"/>
        <w:ind w:left="503" w:right="0" w:firstLine="0"/>
        <w:jc w:val="center"/>
        <w:rPr>
          <w:b/>
          <w:sz w:val="18"/>
        </w:rPr>
      </w:pPr>
      <w:r>
        <w:rPr/>
        <w:br w:type="column"/>
      </w:r>
      <w:r>
        <w:rPr>
          <w:b/>
          <w:sz w:val="18"/>
        </w:rPr>
        <w:t>2012</w:t>
      </w:r>
    </w:p>
    <w:p>
      <w:pPr>
        <w:spacing w:before="66"/>
        <w:ind w:left="0" w:right="149" w:firstLine="0"/>
        <w:jc w:val="right"/>
        <w:rPr>
          <w:b/>
          <w:sz w:val="18"/>
        </w:rPr>
      </w:pPr>
      <w:r>
        <w:rPr>
          <w:b/>
          <w:w w:val="99"/>
          <w:sz w:val="18"/>
        </w:rPr>
        <w:t>$</w:t>
      </w:r>
    </w:p>
    <w:p>
      <w:pPr>
        <w:spacing w:before="33"/>
        <w:ind w:left="488" w:right="570" w:firstLine="0"/>
        <w:jc w:val="center"/>
        <w:rPr>
          <w:b/>
          <w:sz w:val="18"/>
        </w:rPr>
      </w:pPr>
      <w:r>
        <w:rPr/>
        <w:br w:type="column"/>
      </w:r>
      <w:r>
        <w:rPr>
          <w:b/>
          <w:sz w:val="18"/>
        </w:rPr>
        <w:t>2011</w:t>
      </w:r>
    </w:p>
    <w:p>
      <w:pPr>
        <w:spacing w:before="66"/>
        <w:ind w:left="0" w:right="83" w:firstLine="0"/>
        <w:jc w:val="center"/>
        <w:rPr>
          <w:b/>
          <w:sz w:val="18"/>
        </w:rPr>
      </w:pPr>
      <w:r>
        <w:rPr>
          <w:b/>
          <w:w w:val="99"/>
          <w:sz w:val="18"/>
        </w:rPr>
        <w:t>$</w:t>
      </w:r>
    </w:p>
    <w:p>
      <w:pPr>
        <w:spacing w:after="0"/>
        <w:jc w:val="center"/>
        <w:rPr>
          <w:sz w:val="18"/>
        </w:rPr>
        <w:sectPr>
          <w:type w:val="continuous"/>
          <w:pgSz w:w="11910" w:h="16840"/>
          <w:pgMar w:top="0" w:bottom="280" w:left="900" w:right="860"/>
          <w:cols w:num="4" w:equalWidth="0">
            <w:col w:w="1930" w:space="4490"/>
            <w:col w:w="905" w:space="41"/>
            <w:col w:w="908" w:space="376"/>
            <w:col w:w="1500"/>
          </w:cols>
        </w:sectPr>
      </w:pPr>
    </w:p>
    <w:p>
      <w:pPr>
        <w:pStyle w:val="BodyText"/>
        <w:tabs>
          <w:tab w:pos="6345" w:val="left" w:leader="none"/>
          <w:tab w:pos="7473" w:val="left" w:leader="none"/>
          <w:tab w:pos="8771" w:val="left" w:leader="none"/>
        </w:tabs>
        <w:spacing w:line="206" w:lineRule="exact"/>
        <w:ind w:right="212"/>
        <w:jc w:val="right"/>
      </w:pPr>
      <w:r>
        <w:rPr/>
        <w:t>Cash and</w:t>
      </w:r>
      <w:r>
        <w:rPr>
          <w:spacing w:val="1"/>
        </w:rPr>
        <w:t> </w:t>
      </w:r>
      <w:r>
        <w:rPr/>
        <w:t>cash equivalents</w:t>
        <w:tab/>
        <w:t>6</w:t>
        <w:tab/>
      </w:r>
      <w:r>
        <w:rPr>
          <w:b/>
        </w:rPr>
        <w:t>412,770</w:t>
        <w:tab/>
      </w:r>
      <w:r>
        <w:rPr>
          <w:spacing w:val="-1"/>
        </w:rPr>
        <w:t>347,375</w:t>
      </w:r>
    </w:p>
    <w:p>
      <w:pPr>
        <w:pStyle w:val="BodyText"/>
        <w:tabs>
          <w:tab w:pos="6345" w:val="left" w:leader="none"/>
          <w:tab w:pos="6921" w:val="left" w:leader="none"/>
          <w:tab w:pos="7675" w:val="left" w:leader="none"/>
          <w:tab w:pos="9367" w:val="left" w:leader="none"/>
        </w:tabs>
        <w:spacing w:before="26"/>
        <w:ind w:right="212"/>
        <w:jc w:val="right"/>
      </w:pPr>
      <w:r>
        <w:rPr/>
        <w:t>Trade and</w:t>
      </w:r>
      <w:r>
        <w:rPr>
          <w:spacing w:val="-1"/>
        </w:rPr>
        <w:t> </w:t>
      </w:r>
      <w:r>
        <w:rPr/>
        <w:t>other</w:t>
      </w:r>
      <w:r>
        <w:rPr>
          <w:spacing w:val="-1"/>
        </w:rPr>
        <w:t> </w:t>
      </w:r>
      <w:r>
        <w:rPr/>
        <w:t>receivables</w:t>
        <w:tab/>
      </w:r>
      <w:r>
        <w:rPr>
          <w:position w:val="-2"/>
        </w:rPr>
        <w:t>7</w:t>
        <w:tab/>
      </w:r>
      <w:r>
        <w:rPr>
          <w:rFonts w:ascii="Times New Roman"/>
          <w:position w:val="-2"/>
          <w:u w:val="single"/>
        </w:rPr>
        <w:t> </w:t>
        <w:tab/>
      </w:r>
      <w:r>
        <w:rPr>
          <w:b/>
          <w:position w:val="-2"/>
          <w:u w:val="single"/>
        </w:rPr>
        <w:t>5,127</w:t>
        <w:tab/>
      </w:r>
      <w:r>
        <w:rPr>
          <w:position w:val="-2"/>
          <w:u w:val="single"/>
        </w:rPr>
        <w:t>-</w:t>
      </w:r>
    </w:p>
    <w:p>
      <w:pPr>
        <w:tabs>
          <w:tab w:pos="551" w:val="left" w:leader="none"/>
          <w:tab w:pos="1850" w:val="left" w:leader="none"/>
        </w:tabs>
        <w:spacing w:before="5"/>
        <w:ind w:left="0" w:right="212" w:firstLine="0"/>
        <w:jc w:val="right"/>
        <w:rPr>
          <w:sz w:val="18"/>
        </w:rPr>
      </w:pPr>
      <w:r>
        <w:rPr>
          <w:rFonts w:ascii="Times New Roman"/>
          <w:sz w:val="18"/>
          <w:u w:val="single"/>
        </w:rPr>
        <w:t> </w:t>
        <w:tab/>
      </w:r>
      <w:r>
        <w:rPr>
          <w:b/>
          <w:sz w:val="18"/>
          <w:u w:val="single"/>
        </w:rPr>
        <w:t>417,897</w:t>
        <w:tab/>
      </w:r>
      <w:r>
        <w:rPr>
          <w:w w:val="95"/>
          <w:sz w:val="18"/>
          <w:u w:val="single"/>
        </w:rPr>
        <w:t>347,375</w:t>
      </w:r>
    </w:p>
    <w:p>
      <w:pPr>
        <w:pStyle w:val="Heading9"/>
        <w:spacing w:before="158"/>
        <w:ind w:left="504" w:right="125"/>
      </w:pPr>
      <w:r>
        <w:rPr/>
        <w:t>Financial Liabilities</w:t>
      </w:r>
    </w:p>
    <w:p>
      <w:pPr>
        <w:pStyle w:val="BodyText"/>
        <w:tabs>
          <w:tab w:pos="6921" w:val="left" w:leader="none"/>
          <w:tab w:pos="8068" w:val="left" w:leader="none"/>
          <w:tab w:pos="9367" w:val="left" w:leader="none"/>
        </w:tabs>
        <w:spacing w:before="26"/>
        <w:ind w:right="212"/>
        <w:jc w:val="right"/>
      </w:pPr>
      <w:r>
        <w:rPr/>
        <w:t>Trade and</w:t>
      </w:r>
      <w:r>
        <w:rPr>
          <w:spacing w:val="-1"/>
        </w:rPr>
        <w:t> </w:t>
      </w:r>
      <w:r>
        <w:rPr/>
        <w:t>other</w:t>
      </w:r>
      <w:r>
        <w:rPr>
          <w:spacing w:val="-1"/>
        </w:rPr>
        <w:t> </w:t>
      </w:r>
      <w:r>
        <w:rPr/>
        <w:t>payables</w:t>
        <w:tab/>
      </w:r>
      <w:r>
        <w:rPr>
          <w:rFonts w:ascii="Times New Roman"/>
          <w:position w:val="-2"/>
          <w:u w:val="single"/>
        </w:rPr>
        <w:t> </w:t>
        <w:tab/>
      </w:r>
      <w:r>
        <w:rPr>
          <w:b/>
          <w:position w:val="-2"/>
          <w:u w:val="single"/>
        </w:rPr>
        <w:t>-</w:t>
        <w:tab/>
      </w:r>
      <w:r>
        <w:rPr>
          <w:position w:val="-2"/>
          <w:u w:val="single"/>
        </w:rPr>
        <w:t>-</w:t>
      </w:r>
    </w:p>
    <w:p>
      <w:pPr>
        <w:tabs>
          <w:tab w:pos="1147" w:val="left" w:leader="none"/>
          <w:tab w:pos="2445" w:val="left" w:leader="none"/>
        </w:tabs>
        <w:spacing w:before="5"/>
        <w:ind w:left="0" w:right="212" w:firstLine="0"/>
        <w:jc w:val="right"/>
        <w:rPr>
          <w:sz w:val="18"/>
        </w:rPr>
      </w:pPr>
      <w:r>
        <w:rPr>
          <w:rFonts w:ascii="Times New Roman"/>
          <w:sz w:val="18"/>
          <w:u w:val="single"/>
        </w:rPr>
        <w:t> </w:t>
        <w:tab/>
      </w:r>
      <w:r>
        <w:rPr>
          <w:b/>
          <w:sz w:val="18"/>
          <w:u w:val="single"/>
        </w:rPr>
        <w:t>-</w:t>
        <w:tab/>
      </w:r>
      <w:r>
        <w:rPr>
          <w:sz w:val="18"/>
          <w:u w:val="single"/>
        </w:rPr>
        <w:t>-</w:t>
      </w:r>
    </w:p>
    <w:p>
      <w:pPr>
        <w:pStyle w:val="BodyText"/>
        <w:spacing w:before="11"/>
        <w:rPr>
          <w:sz w:val="19"/>
        </w:rPr>
      </w:pPr>
    </w:p>
    <w:p>
      <w:pPr>
        <w:pStyle w:val="Heading9"/>
        <w:numPr>
          <w:ilvl w:val="0"/>
          <w:numId w:val="137"/>
        </w:numPr>
        <w:tabs>
          <w:tab w:pos="1071" w:val="left" w:leader="none"/>
        </w:tabs>
        <w:spacing w:line="240" w:lineRule="auto" w:before="77" w:after="0"/>
        <w:ind w:left="1070" w:right="0" w:hanging="566"/>
        <w:jc w:val="left"/>
      </w:pPr>
      <w:r>
        <w:rPr/>
        <w:t>Credit</w:t>
      </w:r>
      <w:r>
        <w:rPr>
          <w:spacing w:val="-1"/>
        </w:rPr>
        <w:t> </w:t>
      </w:r>
      <w:r>
        <w:rPr/>
        <w:t>risk</w:t>
      </w:r>
    </w:p>
    <w:p>
      <w:pPr>
        <w:pStyle w:val="BodyText"/>
        <w:spacing w:before="146"/>
        <w:ind w:left="1072" w:right="115"/>
        <w:jc w:val="both"/>
      </w:pPr>
      <w:r>
        <w:rPr/>
        <w:t>The credit risk on financial assets of the Trust which have been recognised on the statement of financial  position is generally the carrying amount, net of provision for loss. Credit risk arises when there is the possibility of the Trust's debtors defaulting on their contractual obligations, resulting in financial loss to the Trust. The Trust does not have any significant exposure to any unrelated</w:t>
      </w:r>
      <w:r>
        <w:rPr>
          <w:spacing w:val="-1"/>
        </w:rPr>
        <w:t> </w:t>
      </w:r>
      <w:r>
        <w:rPr/>
        <w:t>debtor.</w:t>
      </w:r>
    </w:p>
    <w:p>
      <w:pPr>
        <w:pStyle w:val="BodyText"/>
        <w:spacing w:before="146"/>
        <w:ind w:left="1072"/>
        <w:jc w:val="both"/>
      </w:pPr>
      <w:r>
        <w:rPr/>
        <w:t>The following table details the Trust's trade and other receivables exposure to credit risk with ageing analysis.</w:t>
      </w:r>
    </w:p>
    <w:p>
      <w:pPr>
        <w:pStyle w:val="BodyText"/>
        <w:spacing w:before="4"/>
        <w:rPr>
          <w:sz w:val="5"/>
        </w:rPr>
      </w:pPr>
    </w:p>
    <w:tbl>
      <w:tblPr>
        <w:tblW w:w="0" w:type="auto"/>
        <w:jc w:val="left"/>
        <w:tblInd w:w="10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45"/>
        <w:gridCol w:w="3819"/>
        <w:gridCol w:w="820"/>
        <w:gridCol w:w="252"/>
      </w:tblGrid>
      <w:tr>
        <w:trPr>
          <w:trHeight w:val="293" w:hRule="exact"/>
        </w:trPr>
        <w:tc>
          <w:tcPr>
            <w:tcW w:w="4045" w:type="dxa"/>
            <w:vMerge w:val="restart"/>
          </w:tcPr>
          <w:p>
            <w:pPr/>
          </w:p>
        </w:tc>
        <w:tc>
          <w:tcPr>
            <w:tcW w:w="3819" w:type="dxa"/>
          </w:tcPr>
          <w:p>
            <w:pPr>
              <w:pStyle w:val="TableParagraph"/>
              <w:spacing w:before="77"/>
              <w:ind w:right="631"/>
              <w:jc w:val="right"/>
              <w:rPr>
                <w:b/>
                <w:sz w:val="18"/>
              </w:rPr>
            </w:pPr>
            <w:r>
              <w:rPr>
                <w:b/>
                <w:w w:val="95"/>
                <w:sz w:val="18"/>
              </w:rPr>
              <w:t>2012</w:t>
            </w:r>
          </w:p>
        </w:tc>
        <w:tc>
          <w:tcPr>
            <w:tcW w:w="820" w:type="dxa"/>
          </w:tcPr>
          <w:p>
            <w:pPr>
              <w:pStyle w:val="TableParagraph"/>
              <w:spacing w:before="77"/>
              <w:ind w:left="240" w:right="139"/>
              <w:jc w:val="center"/>
              <w:rPr>
                <w:b/>
                <w:sz w:val="18"/>
              </w:rPr>
            </w:pPr>
            <w:r>
              <w:rPr>
                <w:b/>
                <w:sz w:val="18"/>
              </w:rPr>
              <w:t>2011</w:t>
            </w:r>
          </w:p>
        </w:tc>
        <w:tc>
          <w:tcPr>
            <w:tcW w:w="252" w:type="dxa"/>
            <w:vMerge w:val="restart"/>
          </w:tcPr>
          <w:p>
            <w:pPr/>
          </w:p>
        </w:tc>
      </w:tr>
      <w:tr>
        <w:trPr>
          <w:trHeight w:val="206" w:hRule="exact"/>
        </w:trPr>
        <w:tc>
          <w:tcPr>
            <w:tcW w:w="4045" w:type="dxa"/>
            <w:vMerge/>
          </w:tcPr>
          <w:p>
            <w:pPr/>
          </w:p>
        </w:tc>
        <w:tc>
          <w:tcPr>
            <w:tcW w:w="3819" w:type="dxa"/>
          </w:tcPr>
          <w:p>
            <w:pPr>
              <w:pStyle w:val="TableParagraph"/>
              <w:spacing w:line="197" w:lineRule="exact"/>
              <w:ind w:right="783"/>
              <w:jc w:val="right"/>
              <w:rPr>
                <w:b/>
                <w:sz w:val="18"/>
              </w:rPr>
            </w:pPr>
            <w:r>
              <w:rPr>
                <w:b/>
                <w:w w:val="99"/>
                <w:sz w:val="18"/>
              </w:rPr>
              <w:t>$</w:t>
            </w:r>
          </w:p>
        </w:tc>
        <w:tc>
          <w:tcPr>
            <w:tcW w:w="820" w:type="dxa"/>
          </w:tcPr>
          <w:p>
            <w:pPr>
              <w:pStyle w:val="TableParagraph"/>
              <w:spacing w:line="197" w:lineRule="exact"/>
              <w:ind w:left="101"/>
              <w:jc w:val="center"/>
              <w:rPr>
                <w:b/>
                <w:sz w:val="18"/>
              </w:rPr>
            </w:pPr>
            <w:r>
              <w:rPr>
                <w:b/>
                <w:w w:val="99"/>
                <w:sz w:val="18"/>
              </w:rPr>
              <w:t>$</w:t>
            </w:r>
          </w:p>
        </w:tc>
        <w:tc>
          <w:tcPr>
            <w:tcW w:w="252" w:type="dxa"/>
            <w:vMerge/>
          </w:tcPr>
          <w:p>
            <w:pPr/>
          </w:p>
        </w:tc>
      </w:tr>
      <w:tr>
        <w:trPr>
          <w:trHeight w:val="206" w:hRule="exact"/>
        </w:trPr>
        <w:tc>
          <w:tcPr>
            <w:tcW w:w="4045" w:type="dxa"/>
          </w:tcPr>
          <w:p>
            <w:pPr>
              <w:pStyle w:val="TableParagraph"/>
              <w:spacing w:line="197" w:lineRule="exact"/>
              <w:ind w:left="35"/>
              <w:rPr>
                <w:sz w:val="18"/>
              </w:rPr>
            </w:pPr>
            <w:r>
              <w:rPr>
                <w:sz w:val="18"/>
              </w:rPr>
              <w:t>Up to 3 months</w:t>
            </w:r>
          </w:p>
        </w:tc>
        <w:tc>
          <w:tcPr>
            <w:tcW w:w="3819" w:type="dxa"/>
          </w:tcPr>
          <w:p>
            <w:pPr>
              <w:pStyle w:val="TableParagraph"/>
              <w:spacing w:line="197" w:lineRule="exact"/>
              <w:ind w:right="257"/>
              <w:jc w:val="right"/>
              <w:rPr>
                <w:b/>
                <w:sz w:val="18"/>
              </w:rPr>
            </w:pPr>
            <w:r>
              <w:rPr>
                <w:b/>
                <w:w w:val="95"/>
                <w:sz w:val="18"/>
              </w:rPr>
              <w:t>5,127</w:t>
            </w:r>
          </w:p>
        </w:tc>
        <w:tc>
          <w:tcPr>
            <w:tcW w:w="820" w:type="dxa"/>
          </w:tcPr>
          <w:p>
            <w:pPr/>
          </w:p>
        </w:tc>
        <w:tc>
          <w:tcPr>
            <w:tcW w:w="252" w:type="dxa"/>
          </w:tcPr>
          <w:p>
            <w:pPr>
              <w:pStyle w:val="TableParagraph"/>
              <w:spacing w:line="197" w:lineRule="exact"/>
              <w:ind w:right="33"/>
              <w:jc w:val="right"/>
              <w:rPr>
                <w:sz w:val="18"/>
              </w:rPr>
            </w:pPr>
            <w:r>
              <w:rPr>
                <w:w w:val="99"/>
                <w:sz w:val="18"/>
              </w:rPr>
              <w:t>-</w:t>
            </w:r>
          </w:p>
        </w:tc>
      </w:tr>
      <w:tr>
        <w:trPr>
          <w:trHeight w:val="193" w:hRule="exact"/>
        </w:trPr>
        <w:tc>
          <w:tcPr>
            <w:tcW w:w="4045" w:type="dxa"/>
          </w:tcPr>
          <w:p>
            <w:pPr>
              <w:pStyle w:val="TableParagraph"/>
              <w:spacing w:line="197" w:lineRule="exact"/>
              <w:ind w:left="35"/>
              <w:rPr>
                <w:sz w:val="18"/>
              </w:rPr>
            </w:pPr>
            <w:r>
              <w:rPr>
                <w:sz w:val="18"/>
              </w:rPr>
              <w:t>3 to 6 months</w:t>
            </w:r>
          </w:p>
        </w:tc>
        <w:tc>
          <w:tcPr>
            <w:tcW w:w="3819" w:type="dxa"/>
          </w:tcPr>
          <w:p>
            <w:pPr>
              <w:pStyle w:val="TableParagraph"/>
              <w:spacing w:line="197" w:lineRule="exact"/>
              <w:ind w:right="257"/>
              <w:jc w:val="right"/>
              <w:rPr>
                <w:b/>
                <w:sz w:val="18"/>
              </w:rPr>
            </w:pPr>
            <w:r>
              <w:rPr>
                <w:b/>
                <w:w w:val="99"/>
                <w:sz w:val="18"/>
              </w:rPr>
              <w:t>-</w:t>
            </w:r>
          </w:p>
        </w:tc>
        <w:tc>
          <w:tcPr>
            <w:tcW w:w="820" w:type="dxa"/>
          </w:tcPr>
          <w:p>
            <w:pPr/>
          </w:p>
        </w:tc>
        <w:tc>
          <w:tcPr>
            <w:tcW w:w="252" w:type="dxa"/>
          </w:tcPr>
          <w:p>
            <w:pPr>
              <w:pStyle w:val="TableParagraph"/>
              <w:spacing w:line="197" w:lineRule="exact"/>
              <w:ind w:right="33"/>
              <w:jc w:val="right"/>
              <w:rPr>
                <w:sz w:val="18"/>
              </w:rPr>
            </w:pPr>
            <w:r>
              <w:rPr>
                <w:w w:val="99"/>
                <w:sz w:val="18"/>
              </w:rPr>
              <w:t>-</w:t>
            </w:r>
          </w:p>
        </w:tc>
      </w:tr>
    </w:tbl>
    <w:p>
      <w:pPr>
        <w:pStyle w:val="BodyText"/>
        <w:tabs>
          <w:tab w:pos="7430" w:val="left" w:leader="none"/>
          <w:tab w:pos="8579" w:val="left" w:leader="none"/>
          <w:tab w:pos="9875" w:val="left" w:leader="none"/>
        </w:tabs>
        <w:spacing w:before="3"/>
        <w:ind w:left="1070" w:right="125"/>
      </w:pPr>
      <w:r>
        <w:rPr/>
        <w:t>Over 6 months</w:t>
        <w:tab/>
      </w:r>
      <w:r>
        <w:rPr>
          <w:rFonts w:ascii="Times New Roman"/>
          <w:u w:val="single"/>
        </w:rPr>
        <w:t> </w:t>
        <w:tab/>
      </w:r>
      <w:r>
        <w:rPr>
          <w:b/>
          <w:u w:val="single"/>
        </w:rPr>
        <w:t>-</w:t>
        <w:tab/>
      </w:r>
      <w:r>
        <w:rPr>
          <w:u w:val="single"/>
        </w:rPr>
        <w:t>-</w:t>
      </w:r>
    </w:p>
    <w:p>
      <w:pPr>
        <w:pStyle w:val="Heading9"/>
        <w:tabs>
          <w:tab w:pos="7430" w:val="left" w:leader="none"/>
          <w:tab w:pos="8186" w:val="left" w:leader="none"/>
          <w:tab w:pos="9875" w:val="left" w:leader="none"/>
        </w:tabs>
        <w:spacing w:before="9"/>
        <w:ind w:right="125"/>
        <w:rPr>
          <w:b w:val="0"/>
        </w:rPr>
      </w:pPr>
      <w:r>
        <w:rPr/>
        <w:t>Total</w:t>
        <w:tab/>
      </w:r>
      <w:r>
        <w:rPr>
          <w:rFonts w:ascii="Times New Roman"/>
          <w:b w:val="0"/>
          <w:u w:val="single"/>
        </w:rPr>
        <w:t> </w:t>
        <w:tab/>
      </w:r>
      <w:r>
        <w:rPr>
          <w:u w:val="single"/>
        </w:rPr>
        <w:t>5,127</w:t>
        <w:tab/>
      </w:r>
      <w:r>
        <w:rPr>
          <w:b w:val="0"/>
          <w:u w:val="single"/>
        </w:rPr>
        <w:t>-</w:t>
      </w:r>
    </w:p>
    <w:p>
      <w:pPr>
        <w:pStyle w:val="BodyText"/>
        <w:spacing w:before="11"/>
        <w:rPr>
          <w:sz w:val="19"/>
        </w:rPr>
      </w:pPr>
    </w:p>
    <w:p>
      <w:pPr>
        <w:pStyle w:val="ListParagraph"/>
        <w:numPr>
          <w:ilvl w:val="0"/>
          <w:numId w:val="137"/>
        </w:numPr>
        <w:tabs>
          <w:tab w:pos="1071" w:val="left" w:leader="none"/>
        </w:tabs>
        <w:spacing w:line="240" w:lineRule="auto" w:before="77" w:after="0"/>
        <w:ind w:left="1070" w:right="0" w:hanging="566"/>
        <w:jc w:val="left"/>
        <w:rPr>
          <w:b/>
          <w:sz w:val="18"/>
        </w:rPr>
      </w:pPr>
      <w:r>
        <w:rPr>
          <w:b/>
          <w:sz w:val="18"/>
        </w:rPr>
        <w:t>Liquidity</w:t>
      </w:r>
      <w:r>
        <w:rPr>
          <w:b/>
          <w:spacing w:val="-9"/>
          <w:sz w:val="18"/>
        </w:rPr>
        <w:t> </w:t>
      </w:r>
      <w:r>
        <w:rPr>
          <w:b/>
          <w:sz w:val="18"/>
        </w:rPr>
        <w:t>risk</w:t>
      </w:r>
    </w:p>
    <w:p>
      <w:pPr>
        <w:pStyle w:val="BodyText"/>
        <w:spacing w:before="146"/>
        <w:ind w:left="1072" w:right="116"/>
        <w:jc w:val="both"/>
      </w:pPr>
      <w:r>
        <w:rPr/>
        <w:t>Prudent liquidity risk management implies maintaining sufficient cash and the availability of funding through an adequate amount of committed credit facilities to meet obligations when due. At the end of the reporting period the Trust held deposits at call of $412,770 (2011: $347,375) that are expected to readily generate cash inflows for managing liquidity risk.</w:t>
      </w:r>
    </w:p>
    <w:p>
      <w:pPr>
        <w:spacing w:after="0"/>
        <w:jc w:val="both"/>
        <w:sectPr>
          <w:type w:val="continuous"/>
          <w:pgSz w:w="11910" w:h="16840"/>
          <w:pgMar w:top="0" w:bottom="280" w:left="900" w:right="860"/>
        </w:sectPr>
      </w:pPr>
    </w:p>
    <w:p>
      <w:pPr>
        <w:pStyle w:val="BodyText"/>
        <w:spacing w:before="1"/>
        <w:rPr>
          <w:sz w:val="24"/>
        </w:rPr>
      </w:pPr>
    </w:p>
    <w:p>
      <w:pPr>
        <w:pStyle w:val="Heading3"/>
      </w:pPr>
      <w:r>
        <w:rPr/>
        <w:t>Notes to the financial statements</w:t>
      </w:r>
    </w:p>
    <w:p>
      <w:pPr>
        <w:pStyle w:val="Heading6"/>
        <w:spacing w:before="53"/>
      </w:pPr>
      <w:r>
        <w:rPr/>
        <w:t>For the Year Ended 31 December 2012</w:t>
      </w:r>
    </w:p>
    <w:p>
      <w:pPr>
        <w:pStyle w:val="BodyText"/>
        <w:rPr>
          <w:b/>
          <w:sz w:val="22"/>
        </w:rPr>
      </w:pPr>
    </w:p>
    <w:p>
      <w:pPr>
        <w:pStyle w:val="BodyText"/>
        <w:rPr>
          <w:b/>
          <w:sz w:val="22"/>
        </w:rPr>
      </w:pPr>
    </w:p>
    <w:p>
      <w:pPr>
        <w:pStyle w:val="Heading9"/>
        <w:tabs>
          <w:tab w:pos="1070" w:val="left" w:leader="none"/>
        </w:tabs>
        <w:spacing w:before="161"/>
        <w:ind w:left="504" w:right="125"/>
      </w:pPr>
      <w:r>
        <w:rPr/>
        <w:t>2</w:t>
        <w:tab/>
        <w:t>Financial Risk Management</w:t>
      </w:r>
      <w:r>
        <w:rPr>
          <w:spacing w:val="3"/>
        </w:rPr>
        <w:t> </w:t>
      </w:r>
      <w:r>
        <w:rPr/>
        <w:t>(continued)</w:t>
      </w:r>
    </w:p>
    <w:p>
      <w:pPr>
        <w:pStyle w:val="ListParagraph"/>
        <w:numPr>
          <w:ilvl w:val="0"/>
          <w:numId w:val="137"/>
        </w:numPr>
        <w:tabs>
          <w:tab w:pos="1071" w:val="left" w:leader="none"/>
        </w:tabs>
        <w:spacing w:line="240" w:lineRule="auto" w:before="146" w:after="0"/>
        <w:ind w:left="1070" w:right="0" w:hanging="566"/>
        <w:jc w:val="left"/>
        <w:rPr>
          <w:b/>
          <w:sz w:val="18"/>
        </w:rPr>
      </w:pPr>
      <w:r>
        <w:rPr>
          <w:b/>
          <w:sz w:val="18"/>
        </w:rPr>
        <w:t>Market</w:t>
      </w:r>
      <w:r>
        <w:rPr>
          <w:b/>
          <w:spacing w:val="-1"/>
          <w:sz w:val="18"/>
        </w:rPr>
        <w:t> </w:t>
      </w:r>
      <w:r>
        <w:rPr>
          <w:b/>
          <w:sz w:val="18"/>
        </w:rPr>
        <w:t>risk</w:t>
      </w:r>
    </w:p>
    <w:p>
      <w:pPr>
        <w:pStyle w:val="BodyText"/>
        <w:spacing w:before="146"/>
        <w:ind w:left="1072" w:right="125"/>
      </w:pPr>
      <w:r>
        <w:rPr/>
        <w:t>Market risk is the risk that the fair value or future cash flows of a financial instrument will fluctuate because of changes in market prices.</w:t>
      </w:r>
    </w:p>
    <w:p>
      <w:pPr>
        <w:pStyle w:val="ListParagraph"/>
        <w:numPr>
          <w:ilvl w:val="1"/>
          <w:numId w:val="137"/>
        </w:numPr>
        <w:tabs>
          <w:tab w:pos="1215" w:val="left" w:leader="none"/>
        </w:tabs>
        <w:spacing w:line="207" w:lineRule="exact" w:before="146" w:after="0"/>
        <w:ind w:left="1214" w:right="0" w:hanging="142"/>
        <w:jc w:val="both"/>
        <w:rPr>
          <w:i/>
          <w:sz w:val="18"/>
        </w:rPr>
      </w:pPr>
      <w:r>
        <w:rPr>
          <w:i/>
          <w:sz w:val="18"/>
        </w:rPr>
        <w:t>Cash flow and fair value interest</w:t>
      </w:r>
      <w:r>
        <w:rPr>
          <w:i/>
          <w:spacing w:val="5"/>
          <w:sz w:val="18"/>
        </w:rPr>
        <w:t> </w:t>
      </w:r>
      <w:r>
        <w:rPr>
          <w:i/>
          <w:sz w:val="18"/>
        </w:rPr>
        <w:t>rate</w:t>
      </w:r>
    </w:p>
    <w:p>
      <w:pPr>
        <w:pStyle w:val="BodyText"/>
        <w:spacing w:line="207" w:lineRule="exact"/>
        <w:ind w:left="1072"/>
        <w:jc w:val="both"/>
      </w:pPr>
      <w:r>
        <w:rPr/>
        <w:t>The Trust's exposure to interest rate risk is minimal as it has no borrowings.</w:t>
      </w:r>
    </w:p>
    <w:p>
      <w:pPr>
        <w:pStyle w:val="ListParagraph"/>
        <w:numPr>
          <w:ilvl w:val="1"/>
          <w:numId w:val="137"/>
        </w:numPr>
        <w:tabs>
          <w:tab w:pos="1254" w:val="left" w:leader="none"/>
        </w:tabs>
        <w:spacing w:line="207" w:lineRule="exact" w:before="146" w:after="0"/>
        <w:ind w:left="1253" w:right="0" w:hanging="183"/>
        <w:jc w:val="both"/>
        <w:rPr>
          <w:i/>
          <w:sz w:val="18"/>
        </w:rPr>
      </w:pPr>
      <w:r>
        <w:rPr>
          <w:i/>
          <w:sz w:val="18"/>
        </w:rPr>
        <w:t>Summarised sensitivity</w:t>
      </w:r>
      <w:r>
        <w:rPr>
          <w:i/>
          <w:spacing w:val="1"/>
          <w:sz w:val="18"/>
        </w:rPr>
        <w:t> </w:t>
      </w:r>
      <w:r>
        <w:rPr>
          <w:i/>
          <w:sz w:val="18"/>
        </w:rPr>
        <w:t>analysis</w:t>
      </w:r>
    </w:p>
    <w:p>
      <w:pPr>
        <w:pStyle w:val="BodyText"/>
        <w:ind w:left="1070" w:right="115"/>
        <w:jc w:val="both"/>
      </w:pPr>
      <w:r>
        <w:rPr/>
        <w:t>The following table summarises the sensitivity of the Trust's financial assets and financial liabilities to interest rate risk. The Trust's financial assets and financial liabilities are not subject to foreign exchange risk and other price risk.</w:t>
      </w:r>
    </w:p>
    <w:p>
      <w:pPr>
        <w:pStyle w:val="BodyText"/>
      </w:pPr>
    </w:p>
    <w:p>
      <w:pPr>
        <w:tabs>
          <w:tab w:pos="8697" w:val="left" w:leader="none"/>
        </w:tabs>
        <w:spacing w:before="123"/>
        <w:ind w:left="6734" w:right="125" w:firstLine="0"/>
        <w:jc w:val="left"/>
        <w:rPr>
          <w:sz w:val="16"/>
        </w:rPr>
      </w:pPr>
      <w:r>
        <w:rPr>
          <w:sz w:val="16"/>
        </w:rPr>
        <w:t>-100bps</w:t>
        <w:tab/>
        <w:t>+100bps</w:t>
      </w:r>
    </w:p>
    <w:p>
      <w:pPr>
        <w:spacing w:after="0"/>
        <w:jc w:val="left"/>
        <w:rPr>
          <w:sz w:val="16"/>
        </w:rPr>
        <w:sectPr>
          <w:pgSz w:w="11910" w:h="16840"/>
          <w:pgMar w:header="1037" w:footer="508" w:top="1460" w:bottom="700" w:left="900" w:right="860"/>
        </w:sectPr>
      </w:pPr>
    </w:p>
    <w:p>
      <w:pPr>
        <w:tabs>
          <w:tab w:pos="4029" w:val="left" w:leader="none"/>
        </w:tabs>
        <w:spacing w:line="231" w:lineRule="exact" w:before="26"/>
        <w:ind w:left="0" w:right="0" w:firstLine="0"/>
        <w:jc w:val="right"/>
        <w:rPr>
          <w:sz w:val="16"/>
        </w:rPr>
      </w:pPr>
      <w:r>
        <w:rPr>
          <w:b/>
          <w:sz w:val="16"/>
        </w:rPr>
        <w:t>31</w:t>
      </w:r>
      <w:r>
        <w:rPr>
          <w:b/>
          <w:spacing w:val="-2"/>
          <w:sz w:val="16"/>
        </w:rPr>
        <w:t> </w:t>
      </w:r>
      <w:r>
        <w:rPr>
          <w:b/>
          <w:sz w:val="16"/>
        </w:rPr>
        <w:t>December</w:t>
      </w:r>
      <w:r>
        <w:rPr>
          <w:b/>
          <w:spacing w:val="-2"/>
          <w:sz w:val="16"/>
        </w:rPr>
        <w:t> </w:t>
      </w:r>
      <w:r>
        <w:rPr>
          <w:b/>
          <w:sz w:val="16"/>
        </w:rPr>
        <w:t>2012</w:t>
        <w:tab/>
      </w:r>
      <w:r>
        <w:rPr>
          <w:spacing w:val="-1"/>
          <w:position w:val="9"/>
          <w:sz w:val="16"/>
        </w:rPr>
        <w:t>Carrying</w:t>
      </w:r>
    </w:p>
    <w:p>
      <w:pPr>
        <w:spacing w:line="141" w:lineRule="exact" w:before="0"/>
        <w:ind w:left="0" w:right="32" w:firstLine="0"/>
        <w:jc w:val="right"/>
        <w:rPr>
          <w:sz w:val="16"/>
        </w:rPr>
      </w:pPr>
      <w:r>
        <w:rPr>
          <w:sz w:val="16"/>
        </w:rPr>
        <w:t>amount</w:t>
      </w:r>
    </w:p>
    <w:p>
      <w:pPr>
        <w:spacing w:before="1"/>
        <w:ind w:left="0" w:right="254" w:firstLine="0"/>
        <w:jc w:val="right"/>
        <w:rPr>
          <w:sz w:val="16"/>
        </w:rPr>
      </w:pPr>
      <w:r>
        <w:rPr>
          <w:w w:val="100"/>
          <w:sz w:val="16"/>
        </w:rPr>
        <w:t>$</w:t>
      </w:r>
    </w:p>
    <w:p>
      <w:pPr>
        <w:spacing w:before="29"/>
        <w:ind w:left="432" w:right="0" w:firstLine="0"/>
        <w:jc w:val="center"/>
        <w:rPr>
          <w:sz w:val="16"/>
        </w:rPr>
      </w:pPr>
      <w:r>
        <w:rPr/>
        <w:br w:type="column"/>
      </w:r>
      <w:r>
        <w:rPr>
          <w:sz w:val="16"/>
        </w:rPr>
        <w:t>Surplus/ (deficit)</w:t>
      </w:r>
    </w:p>
    <w:p>
      <w:pPr>
        <w:spacing w:before="1"/>
        <w:ind w:left="0" w:right="246" w:firstLine="0"/>
        <w:jc w:val="right"/>
        <w:rPr>
          <w:sz w:val="16"/>
        </w:rPr>
      </w:pPr>
      <w:r>
        <w:rPr>
          <w:w w:val="100"/>
          <w:sz w:val="16"/>
        </w:rPr>
        <w:t>$</w:t>
      </w:r>
    </w:p>
    <w:p>
      <w:pPr>
        <w:pStyle w:val="BodyText"/>
        <w:spacing w:before="7"/>
      </w:pPr>
      <w:r>
        <w:rPr/>
        <w:br w:type="column"/>
      </w:r>
      <w:r>
        <w:rPr/>
      </w:r>
    </w:p>
    <w:p>
      <w:pPr>
        <w:spacing w:before="0"/>
        <w:ind w:left="275" w:right="0" w:firstLine="0"/>
        <w:jc w:val="center"/>
        <w:rPr>
          <w:sz w:val="16"/>
        </w:rPr>
      </w:pPr>
      <w:r>
        <w:rPr>
          <w:sz w:val="16"/>
        </w:rPr>
        <w:t>Trust funds</w:t>
      </w:r>
    </w:p>
    <w:p>
      <w:pPr>
        <w:spacing w:before="1"/>
        <w:ind w:left="279" w:right="0" w:firstLine="0"/>
        <w:jc w:val="center"/>
        <w:rPr>
          <w:sz w:val="16"/>
        </w:rPr>
      </w:pPr>
      <w:r>
        <w:rPr>
          <w:w w:val="100"/>
          <w:sz w:val="16"/>
        </w:rPr>
        <w:t>$</w:t>
      </w:r>
    </w:p>
    <w:p>
      <w:pPr>
        <w:spacing w:before="29"/>
        <w:ind w:left="275" w:right="0" w:firstLine="0"/>
        <w:jc w:val="center"/>
        <w:rPr>
          <w:sz w:val="16"/>
        </w:rPr>
      </w:pPr>
      <w:r>
        <w:rPr/>
        <w:br w:type="column"/>
      </w:r>
      <w:r>
        <w:rPr>
          <w:sz w:val="16"/>
        </w:rPr>
        <w:t>Surplus/ (deficit)</w:t>
      </w:r>
    </w:p>
    <w:p>
      <w:pPr>
        <w:spacing w:before="1"/>
        <w:ind w:left="279" w:right="0" w:firstLine="0"/>
        <w:jc w:val="center"/>
        <w:rPr>
          <w:sz w:val="16"/>
        </w:rPr>
      </w:pPr>
      <w:r>
        <w:rPr>
          <w:w w:val="100"/>
          <w:sz w:val="16"/>
        </w:rPr>
        <w:t>$</w:t>
      </w:r>
    </w:p>
    <w:p>
      <w:pPr>
        <w:pStyle w:val="BodyText"/>
        <w:spacing w:before="7"/>
      </w:pPr>
      <w:r>
        <w:rPr/>
        <w:br w:type="column"/>
      </w:r>
      <w:r>
        <w:rPr/>
      </w:r>
    </w:p>
    <w:p>
      <w:pPr>
        <w:spacing w:before="0"/>
        <w:ind w:left="258" w:right="218" w:firstLine="0"/>
        <w:jc w:val="center"/>
        <w:rPr>
          <w:sz w:val="16"/>
        </w:rPr>
      </w:pPr>
      <w:r>
        <w:rPr>
          <w:sz w:val="16"/>
        </w:rPr>
        <w:t>Trust funds</w:t>
      </w:r>
    </w:p>
    <w:p>
      <w:pPr>
        <w:spacing w:before="1"/>
        <w:ind w:left="44" w:right="0" w:firstLine="0"/>
        <w:jc w:val="center"/>
        <w:rPr>
          <w:sz w:val="16"/>
        </w:rPr>
      </w:pPr>
      <w:r>
        <w:rPr>
          <w:w w:val="100"/>
          <w:sz w:val="16"/>
        </w:rPr>
        <w:t>$</w:t>
      </w:r>
    </w:p>
    <w:p>
      <w:pPr>
        <w:spacing w:after="0"/>
        <w:jc w:val="center"/>
        <w:rPr>
          <w:sz w:val="16"/>
        </w:rPr>
        <w:sectPr>
          <w:type w:val="continuous"/>
          <w:pgSz w:w="11910" w:h="16840"/>
          <w:pgMar w:top="0" w:bottom="280" w:left="900" w:right="860"/>
          <w:cols w:num="5" w:equalWidth="0">
            <w:col w:w="5703" w:space="40"/>
            <w:col w:w="1023" w:space="40"/>
            <w:col w:w="1081" w:space="40"/>
            <w:col w:w="866" w:space="40"/>
            <w:col w:w="1317"/>
          </w:cols>
        </w:sectPr>
      </w:pPr>
    </w:p>
    <w:p>
      <w:pPr>
        <w:spacing w:before="29"/>
        <w:ind w:left="1070" w:right="125" w:firstLine="0"/>
        <w:jc w:val="left"/>
        <w:rPr>
          <w:b/>
          <w:sz w:val="16"/>
        </w:rPr>
      </w:pPr>
      <w:r>
        <w:rPr>
          <w:b/>
          <w:sz w:val="16"/>
        </w:rPr>
        <w:t>Financial assets</w:t>
      </w:r>
    </w:p>
    <w:p>
      <w:pPr>
        <w:tabs>
          <w:tab w:pos="4838" w:val="left" w:leader="none"/>
          <w:tab w:pos="5303" w:val="left" w:leader="none"/>
          <w:tab w:pos="5481" w:val="left" w:leader="none"/>
          <w:tab w:pos="5966" w:val="left" w:leader="none"/>
          <w:tab w:pos="6443" w:val="left" w:leader="none"/>
          <w:tab w:pos="6844" w:val="left" w:leader="none"/>
          <w:tab w:pos="7456" w:val="left" w:leader="none"/>
          <w:tab w:pos="7857" w:val="left" w:leader="none"/>
          <w:tab w:pos="8522" w:val="left" w:leader="none"/>
          <w:tab w:pos="8870" w:val="left" w:leader="none"/>
          <w:tab w:pos="9482" w:val="left" w:leader="none"/>
          <w:tab w:pos="9883" w:val="left" w:leader="none"/>
        </w:tabs>
        <w:spacing w:line="247" w:lineRule="auto" w:before="1"/>
        <w:ind w:left="1070" w:right="154" w:firstLine="0"/>
        <w:jc w:val="left"/>
        <w:rPr>
          <w:sz w:val="16"/>
        </w:rPr>
      </w:pPr>
      <w:r>
        <w:rPr>
          <w:sz w:val="16"/>
        </w:rPr>
        <w:t>Cash and</w:t>
      </w:r>
      <w:r>
        <w:rPr>
          <w:spacing w:val="-4"/>
          <w:sz w:val="16"/>
        </w:rPr>
        <w:t> </w:t>
      </w:r>
      <w:r>
        <w:rPr>
          <w:sz w:val="16"/>
        </w:rPr>
        <w:t>cash</w:t>
      </w:r>
      <w:r>
        <w:rPr>
          <w:spacing w:val="-2"/>
          <w:sz w:val="16"/>
        </w:rPr>
        <w:t> </w:t>
      </w:r>
      <w:r>
        <w:rPr>
          <w:sz w:val="16"/>
        </w:rPr>
        <w:t>equivalents</w:t>
        <w:tab/>
        <w:tab/>
        <w:t>412,770</w:t>
        <w:tab/>
        <w:tab/>
        <w:t>(4,128)</w:t>
        <w:tab/>
        <w:t>(4,128)</w:t>
        <w:tab/>
        <w:t>4,128</w:t>
        <w:tab/>
        <w:t>(4,128) Trade</w:t>
      </w:r>
      <w:r>
        <w:rPr>
          <w:spacing w:val="-4"/>
          <w:sz w:val="16"/>
        </w:rPr>
        <w:t> </w:t>
      </w:r>
      <w:r>
        <w:rPr>
          <w:sz w:val="16"/>
        </w:rPr>
        <w:t>receivables</w:t>
        <w:tab/>
      </w:r>
      <w:r>
        <w:rPr>
          <w:rFonts w:ascii="Times New Roman"/>
          <w:sz w:val="16"/>
          <w:u w:val="single"/>
        </w:rPr>
        <w:t> </w:t>
        <w:tab/>
        <w:tab/>
      </w:r>
      <w:r>
        <w:rPr>
          <w:sz w:val="16"/>
          <w:u w:val="single"/>
        </w:rPr>
        <w:t>5,127</w:t>
        <w:tab/>
        <w:tab/>
        <w:tab/>
        <w:t>-</w:t>
        <w:tab/>
        <w:tab/>
        <w:t>-</w:t>
        <w:tab/>
        <w:tab/>
        <w:t>-</w:t>
        <w:tab/>
        <w:tab/>
        <w:t>- </w:t>
      </w:r>
      <w:r>
        <w:rPr>
          <w:sz w:val="16"/>
        </w:rPr>
        <w:t>Total increase/(decrease) in</w:t>
      </w:r>
      <w:r>
        <w:rPr>
          <w:spacing w:val="7"/>
          <w:sz w:val="16"/>
        </w:rPr>
        <w:t> </w:t>
      </w:r>
      <w:r>
        <w:rPr>
          <w:sz w:val="16"/>
        </w:rPr>
        <w:t>financial</w:t>
      </w:r>
      <w:r>
        <w:rPr>
          <w:spacing w:val="2"/>
          <w:sz w:val="16"/>
        </w:rPr>
        <w:t> </w:t>
      </w:r>
      <w:r>
        <w:rPr>
          <w:sz w:val="16"/>
        </w:rPr>
        <w:t>assets</w:t>
        <w:tab/>
        <w:tab/>
        <w:tab/>
        <w:tab/>
      </w:r>
      <w:r>
        <w:rPr>
          <w:rFonts w:ascii="Times New Roman"/>
          <w:sz w:val="16"/>
          <w:u w:val="single"/>
        </w:rPr>
        <w:t> </w:t>
        <w:tab/>
      </w:r>
      <w:r>
        <w:rPr>
          <w:sz w:val="16"/>
          <w:u w:val="single"/>
        </w:rPr>
        <w:t>(4,128)</w:t>
        <w:tab/>
        <w:t>(4,128)</w:t>
        <w:tab/>
        <w:t>4,128</w:t>
        <w:tab/>
        <w:t>(4,128)</w:t>
      </w:r>
    </w:p>
    <w:p>
      <w:pPr>
        <w:spacing w:before="118"/>
        <w:ind w:left="1070" w:right="125" w:firstLine="0"/>
        <w:jc w:val="left"/>
        <w:rPr>
          <w:b/>
          <w:sz w:val="16"/>
        </w:rPr>
      </w:pPr>
      <w:r>
        <w:rPr>
          <w:b/>
          <w:sz w:val="16"/>
        </w:rPr>
        <w:t>Financial liabilities</w:t>
      </w:r>
    </w:p>
    <w:p>
      <w:pPr>
        <w:tabs>
          <w:tab w:pos="4838" w:val="left" w:leader="none"/>
          <w:tab w:pos="5829" w:val="left" w:leader="none"/>
          <w:tab w:pos="6844" w:val="left" w:leader="none"/>
          <w:tab w:pos="7857" w:val="left" w:leader="none"/>
          <w:tab w:pos="8870" w:val="left" w:leader="none"/>
          <w:tab w:pos="9883" w:val="left" w:leader="none"/>
        </w:tabs>
        <w:spacing w:line="254" w:lineRule="auto" w:before="1"/>
        <w:ind w:left="1070" w:right="206" w:firstLine="0"/>
        <w:jc w:val="left"/>
        <w:rPr>
          <w:sz w:val="16"/>
        </w:rPr>
      </w:pPr>
      <w:r>
        <w:rPr>
          <w:sz w:val="16"/>
        </w:rPr>
        <w:t>Trade</w:t>
      </w:r>
      <w:r>
        <w:rPr>
          <w:spacing w:val="-3"/>
          <w:sz w:val="16"/>
        </w:rPr>
        <w:t> </w:t>
      </w:r>
      <w:r>
        <w:rPr>
          <w:sz w:val="16"/>
        </w:rPr>
        <w:t>payables</w:t>
        <w:tab/>
      </w:r>
      <w:r>
        <w:rPr>
          <w:rFonts w:ascii="Times New Roman"/>
          <w:sz w:val="16"/>
          <w:u w:val="single"/>
        </w:rPr>
        <w:t> </w:t>
        <w:tab/>
      </w:r>
      <w:r>
        <w:rPr>
          <w:sz w:val="16"/>
          <w:u w:val="single"/>
        </w:rPr>
        <w:t>-</w:t>
        <w:tab/>
        <w:t>-</w:t>
        <w:tab/>
        <w:t>-</w:t>
        <w:tab/>
        <w:t>-</w:t>
        <w:tab/>
        <w:t>- </w:t>
      </w:r>
      <w:r>
        <w:rPr>
          <w:sz w:val="16"/>
        </w:rPr>
        <w:t>Total increase/(decrease) in</w:t>
      </w:r>
      <w:r>
        <w:rPr>
          <w:spacing w:val="7"/>
          <w:sz w:val="16"/>
        </w:rPr>
        <w:t> </w:t>
      </w:r>
      <w:r>
        <w:rPr>
          <w:sz w:val="16"/>
        </w:rPr>
        <w:t>financial</w:t>
      </w:r>
      <w:r>
        <w:rPr>
          <w:spacing w:val="2"/>
          <w:sz w:val="16"/>
        </w:rPr>
        <w:t> </w:t>
      </w:r>
      <w:r>
        <w:rPr>
          <w:sz w:val="16"/>
        </w:rPr>
        <w:t>liabilities</w:t>
        <w:tab/>
        <w:tab/>
        <w:t>-</w:t>
      </w:r>
      <w:r>
        <w:rPr>
          <w:rFonts w:ascii="Times New Roman"/>
          <w:sz w:val="16"/>
          <w:u w:val="single"/>
        </w:rPr>
        <w:t> </w:t>
        <w:tab/>
      </w:r>
      <w:r>
        <w:rPr>
          <w:sz w:val="16"/>
          <w:u w:val="single"/>
        </w:rPr>
        <w:t>-</w:t>
        <w:tab/>
        <w:t>-</w:t>
        <w:tab/>
        <w:t>-</w:t>
        <w:tab/>
        <w:t>-</w:t>
      </w:r>
    </w:p>
    <w:p>
      <w:pPr>
        <w:tabs>
          <w:tab w:pos="5966" w:val="left" w:leader="none"/>
          <w:tab w:pos="6443" w:val="left" w:leader="none"/>
          <w:tab w:pos="7456" w:val="left" w:leader="none"/>
          <w:tab w:pos="8522" w:val="left" w:leader="none"/>
          <w:tab w:pos="9482" w:val="left" w:leader="none"/>
        </w:tabs>
        <w:spacing w:before="139"/>
        <w:ind w:left="1070" w:right="92" w:firstLine="0"/>
        <w:jc w:val="left"/>
        <w:rPr>
          <w:sz w:val="16"/>
        </w:rPr>
      </w:pPr>
      <w:r>
        <w:rPr>
          <w:sz w:val="16"/>
        </w:rPr>
        <w:t>Total</w:t>
      </w:r>
      <w:r>
        <w:rPr>
          <w:spacing w:val="2"/>
          <w:sz w:val="16"/>
        </w:rPr>
        <w:t> </w:t>
      </w:r>
      <w:r>
        <w:rPr>
          <w:sz w:val="16"/>
        </w:rPr>
        <w:t>increase/(decrease)</w:t>
        <w:tab/>
      </w:r>
      <w:r>
        <w:rPr>
          <w:rFonts w:ascii="Times New Roman"/>
          <w:sz w:val="16"/>
          <w:u w:val="single"/>
        </w:rPr>
        <w:t> </w:t>
        <w:tab/>
      </w:r>
      <w:r>
        <w:rPr>
          <w:sz w:val="16"/>
          <w:u w:val="single"/>
        </w:rPr>
        <w:t>(4,128)</w:t>
        <w:tab/>
        <w:t>(4,128)</w:t>
        <w:tab/>
        <w:t>4,128</w:t>
        <w:tab/>
        <w:t>(4,128)</w:t>
      </w:r>
    </w:p>
    <w:p>
      <w:pPr>
        <w:pStyle w:val="BodyText"/>
        <w:rPr>
          <w:sz w:val="20"/>
        </w:rPr>
      </w:pPr>
    </w:p>
    <w:p>
      <w:pPr>
        <w:pStyle w:val="BodyText"/>
        <w:rPr>
          <w:sz w:val="22"/>
        </w:rPr>
      </w:pPr>
    </w:p>
    <w:p>
      <w:pPr>
        <w:tabs>
          <w:tab w:pos="8697" w:val="left" w:leader="none"/>
        </w:tabs>
        <w:spacing w:before="0"/>
        <w:ind w:left="6734" w:right="125" w:firstLine="0"/>
        <w:jc w:val="left"/>
        <w:rPr>
          <w:sz w:val="16"/>
        </w:rPr>
      </w:pPr>
      <w:r>
        <w:rPr>
          <w:sz w:val="16"/>
        </w:rPr>
        <w:t>-100bps</w:t>
        <w:tab/>
        <w:t>+100bps</w:t>
      </w:r>
    </w:p>
    <w:p>
      <w:pPr>
        <w:spacing w:after="0"/>
        <w:jc w:val="left"/>
        <w:rPr>
          <w:sz w:val="16"/>
        </w:rPr>
        <w:sectPr>
          <w:type w:val="continuous"/>
          <w:pgSz w:w="11910" w:h="16840"/>
          <w:pgMar w:top="0" w:bottom="280" w:left="900" w:right="860"/>
        </w:sectPr>
      </w:pPr>
    </w:p>
    <w:p>
      <w:pPr>
        <w:tabs>
          <w:tab w:pos="4029" w:val="left" w:leader="none"/>
        </w:tabs>
        <w:spacing w:line="231" w:lineRule="exact" w:before="26"/>
        <w:ind w:left="0" w:right="0" w:firstLine="0"/>
        <w:jc w:val="right"/>
        <w:rPr>
          <w:sz w:val="16"/>
        </w:rPr>
      </w:pPr>
      <w:r>
        <w:rPr>
          <w:b/>
          <w:sz w:val="16"/>
        </w:rPr>
        <w:t>31</w:t>
      </w:r>
      <w:r>
        <w:rPr>
          <w:b/>
          <w:spacing w:val="-2"/>
          <w:sz w:val="16"/>
        </w:rPr>
        <w:t> </w:t>
      </w:r>
      <w:r>
        <w:rPr>
          <w:b/>
          <w:sz w:val="16"/>
        </w:rPr>
        <w:t>December</w:t>
      </w:r>
      <w:r>
        <w:rPr>
          <w:b/>
          <w:spacing w:val="-2"/>
          <w:sz w:val="16"/>
        </w:rPr>
        <w:t> </w:t>
      </w:r>
      <w:r>
        <w:rPr>
          <w:b/>
          <w:sz w:val="16"/>
        </w:rPr>
        <w:t>2011</w:t>
        <w:tab/>
      </w:r>
      <w:r>
        <w:rPr>
          <w:spacing w:val="-1"/>
          <w:position w:val="9"/>
          <w:sz w:val="16"/>
        </w:rPr>
        <w:t>Carrying</w:t>
      </w:r>
    </w:p>
    <w:p>
      <w:pPr>
        <w:spacing w:line="141" w:lineRule="exact" w:before="0"/>
        <w:ind w:left="0" w:right="32" w:firstLine="0"/>
        <w:jc w:val="right"/>
        <w:rPr>
          <w:sz w:val="16"/>
        </w:rPr>
      </w:pPr>
      <w:r>
        <w:rPr>
          <w:sz w:val="16"/>
        </w:rPr>
        <w:t>amount</w:t>
      </w:r>
    </w:p>
    <w:p>
      <w:pPr>
        <w:spacing w:before="1"/>
        <w:ind w:left="0" w:right="254" w:firstLine="0"/>
        <w:jc w:val="right"/>
        <w:rPr>
          <w:sz w:val="16"/>
        </w:rPr>
      </w:pPr>
      <w:r>
        <w:rPr>
          <w:w w:val="100"/>
          <w:sz w:val="16"/>
        </w:rPr>
        <w:t>$</w:t>
      </w:r>
    </w:p>
    <w:p>
      <w:pPr>
        <w:spacing w:before="29"/>
        <w:ind w:left="432" w:right="0" w:firstLine="0"/>
        <w:jc w:val="center"/>
        <w:rPr>
          <w:sz w:val="16"/>
        </w:rPr>
      </w:pPr>
      <w:r>
        <w:rPr/>
        <w:br w:type="column"/>
      </w:r>
      <w:r>
        <w:rPr>
          <w:sz w:val="16"/>
        </w:rPr>
        <w:t>Surplus/ (deficit)</w:t>
      </w:r>
    </w:p>
    <w:p>
      <w:pPr>
        <w:spacing w:before="1"/>
        <w:ind w:left="0" w:right="246" w:firstLine="0"/>
        <w:jc w:val="right"/>
        <w:rPr>
          <w:sz w:val="16"/>
        </w:rPr>
      </w:pPr>
      <w:r>
        <w:rPr>
          <w:w w:val="100"/>
          <w:sz w:val="16"/>
        </w:rPr>
        <w:t>$</w:t>
      </w:r>
    </w:p>
    <w:p>
      <w:pPr>
        <w:pStyle w:val="BodyText"/>
        <w:spacing w:before="7"/>
      </w:pPr>
      <w:r>
        <w:rPr/>
        <w:br w:type="column"/>
      </w:r>
      <w:r>
        <w:rPr/>
      </w:r>
    </w:p>
    <w:p>
      <w:pPr>
        <w:spacing w:before="0"/>
        <w:ind w:left="275" w:right="0" w:firstLine="0"/>
        <w:jc w:val="center"/>
        <w:rPr>
          <w:sz w:val="16"/>
        </w:rPr>
      </w:pPr>
      <w:r>
        <w:rPr>
          <w:sz w:val="16"/>
        </w:rPr>
        <w:t>Trust funds</w:t>
      </w:r>
    </w:p>
    <w:p>
      <w:pPr>
        <w:spacing w:before="1"/>
        <w:ind w:left="279" w:right="0" w:firstLine="0"/>
        <w:jc w:val="center"/>
        <w:rPr>
          <w:sz w:val="16"/>
        </w:rPr>
      </w:pPr>
      <w:r>
        <w:rPr>
          <w:w w:val="100"/>
          <w:sz w:val="16"/>
        </w:rPr>
        <w:t>$</w:t>
      </w:r>
    </w:p>
    <w:p>
      <w:pPr>
        <w:spacing w:before="29"/>
        <w:ind w:left="275" w:right="0" w:firstLine="0"/>
        <w:jc w:val="center"/>
        <w:rPr>
          <w:sz w:val="16"/>
        </w:rPr>
      </w:pPr>
      <w:r>
        <w:rPr/>
        <w:br w:type="column"/>
      </w:r>
      <w:r>
        <w:rPr>
          <w:sz w:val="16"/>
        </w:rPr>
        <w:t>Surplus/ (deficit)</w:t>
      </w:r>
    </w:p>
    <w:p>
      <w:pPr>
        <w:spacing w:before="1"/>
        <w:ind w:left="279" w:right="0" w:firstLine="0"/>
        <w:jc w:val="center"/>
        <w:rPr>
          <w:sz w:val="16"/>
        </w:rPr>
      </w:pPr>
      <w:r>
        <w:rPr>
          <w:w w:val="100"/>
          <w:sz w:val="16"/>
        </w:rPr>
        <w:t>$</w:t>
      </w:r>
    </w:p>
    <w:p>
      <w:pPr>
        <w:pStyle w:val="BodyText"/>
        <w:spacing w:before="7"/>
      </w:pPr>
      <w:r>
        <w:rPr/>
        <w:br w:type="column"/>
      </w:r>
      <w:r>
        <w:rPr/>
      </w:r>
    </w:p>
    <w:p>
      <w:pPr>
        <w:spacing w:before="0"/>
        <w:ind w:left="258" w:right="218" w:firstLine="0"/>
        <w:jc w:val="center"/>
        <w:rPr>
          <w:sz w:val="16"/>
        </w:rPr>
      </w:pPr>
      <w:r>
        <w:rPr>
          <w:sz w:val="16"/>
        </w:rPr>
        <w:t>Trust funds</w:t>
      </w:r>
    </w:p>
    <w:p>
      <w:pPr>
        <w:spacing w:before="1"/>
        <w:ind w:left="44" w:right="0" w:firstLine="0"/>
        <w:jc w:val="center"/>
        <w:rPr>
          <w:sz w:val="16"/>
        </w:rPr>
      </w:pPr>
      <w:r>
        <w:rPr>
          <w:w w:val="100"/>
          <w:sz w:val="16"/>
        </w:rPr>
        <w:t>$</w:t>
      </w:r>
    </w:p>
    <w:p>
      <w:pPr>
        <w:spacing w:after="0"/>
        <w:jc w:val="center"/>
        <w:rPr>
          <w:sz w:val="16"/>
        </w:rPr>
        <w:sectPr>
          <w:type w:val="continuous"/>
          <w:pgSz w:w="11910" w:h="16840"/>
          <w:pgMar w:top="0" w:bottom="280" w:left="900" w:right="860"/>
          <w:cols w:num="5" w:equalWidth="0">
            <w:col w:w="5703" w:space="40"/>
            <w:col w:w="1023" w:space="40"/>
            <w:col w:w="1081" w:space="40"/>
            <w:col w:w="866" w:space="40"/>
            <w:col w:w="1317"/>
          </w:cols>
        </w:sectPr>
      </w:pPr>
    </w:p>
    <w:p>
      <w:pPr>
        <w:spacing w:before="29"/>
        <w:ind w:left="1070" w:right="0" w:firstLine="0"/>
        <w:jc w:val="both"/>
        <w:rPr>
          <w:b/>
          <w:sz w:val="16"/>
        </w:rPr>
      </w:pPr>
      <w:r>
        <w:rPr>
          <w:b/>
          <w:sz w:val="16"/>
        </w:rPr>
        <w:t>Financial assets</w:t>
      </w:r>
    </w:p>
    <w:p>
      <w:pPr>
        <w:tabs>
          <w:tab w:pos="4838" w:val="left" w:leader="none"/>
          <w:tab w:pos="5303" w:val="left" w:leader="none"/>
          <w:tab w:pos="5829" w:val="left" w:leader="none"/>
          <w:tab w:pos="6443" w:val="left" w:leader="none"/>
          <w:tab w:pos="6844" w:val="left" w:leader="none"/>
          <w:tab w:pos="7456" w:val="left" w:leader="none"/>
          <w:tab w:pos="7857" w:val="left" w:leader="none"/>
          <w:tab w:pos="8522" w:val="left" w:leader="none"/>
          <w:tab w:pos="8870" w:val="left" w:leader="none"/>
          <w:tab w:pos="9535" w:val="left" w:leader="none"/>
          <w:tab w:pos="9883" w:val="left" w:leader="none"/>
        </w:tabs>
        <w:spacing w:line="254" w:lineRule="auto" w:before="1"/>
        <w:ind w:left="1070" w:right="206" w:firstLine="0"/>
        <w:jc w:val="both"/>
        <w:rPr>
          <w:sz w:val="16"/>
        </w:rPr>
      </w:pPr>
      <w:r>
        <w:rPr>
          <w:sz w:val="16"/>
        </w:rPr>
        <w:t>Cash and</w:t>
      </w:r>
      <w:r>
        <w:rPr>
          <w:spacing w:val="-4"/>
          <w:sz w:val="16"/>
        </w:rPr>
        <w:t> </w:t>
      </w:r>
      <w:r>
        <w:rPr>
          <w:sz w:val="16"/>
        </w:rPr>
        <w:t>cash</w:t>
      </w:r>
      <w:r>
        <w:rPr>
          <w:spacing w:val="-2"/>
          <w:sz w:val="16"/>
        </w:rPr>
        <w:t> </w:t>
      </w:r>
      <w:r>
        <w:rPr>
          <w:sz w:val="16"/>
        </w:rPr>
        <w:t>equivalents</w:t>
        <w:tab/>
        <w:tab/>
        <w:t>347,375</w:t>
        <w:tab/>
        <w:t>(3,474)</w:t>
        <w:tab/>
        <w:t>(3,474)</w:t>
        <w:tab/>
        <w:t>3,474</w:t>
        <w:tab/>
        <w:t>3,474 Trade</w:t>
      </w:r>
      <w:r>
        <w:rPr>
          <w:spacing w:val="-4"/>
          <w:sz w:val="16"/>
        </w:rPr>
        <w:t> </w:t>
      </w:r>
      <w:r>
        <w:rPr>
          <w:sz w:val="16"/>
        </w:rPr>
        <w:t>receivables</w:t>
        <w:tab/>
      </w:r>
      <w:r>
        <w:rPr>
          <w:rFonts w:ascii="Times New Roman"/>
          <w:sz w:val="16"/>
          <w:u w:val="single"/>
        </w:rPr>
        <w:t> </w:t>
        <w:tab/>
        <w:tab/>
      </w:r>
      <w:r>
        <w:rPr>
          <w:sz w:val="16"/>
          <w:u w:val="single"/>
        </w:rPr>
        <w:t>-</w:t>
        <w:tab/>
        <w:tab/>
        <w:t>-</w:t>
        <w:tab/>
        <w:tab/>
        <w:t>-</w:t>
        <w:tab/>
        <w:tab/>
        <w:t>-</w:t>
        <w:tab/>
        <w:tab/>
        <w:t>- </w:t>
      </w:r>
      <w:r>
        <w:rPr>
          <w:sz w:val="16"/>
        </w:rPr>
        <w:t>Total increase/(decrease) in</w:t>
      </w:r>
      <w:r>
        <w:rPr>
          <w:spacing w:val="7"/>
          <w:sz w:val="16"/>
        </w:rPr>
        <w:t> </w:t>
      </w:r>
      <w:r>
        <w:rPr>
          <w:sz w:val="16"/>
        </w:rPr>
        <w:t>financial</w:t>
      </w:r>
      <w:r>
        <w:rPr>
          <w:spacing w:val="2"/>
          <w:sz w:val="16"/>
        </w:rPr>
        <w:t> </w:t>
      </w:r>
      <w:r>
        <w:rPr>
          <w:sz w:val="16"/>
        </w:rPr>
        <w:t>assets</w:t>
        <w:tab/>
        <w:tab/>
        <w:tab/>
      </w:r>
      <w:r>
        <w:rPr>
          <w:rFonts w:ascii="Times New Roman"/>
          <w:sz w:val="16"/>
          <w:u w:val="single"/>
        </w:rPr>
        <w:t> </w:t>
        <w:tab/>
      </w:r>
      <w:r>
        <w:rPr>
          <w:sz w:val="16"/>
          <w:u w:val="single"/>
        </w:rPr>
        <w:t>(3,474)</w:t>
        <w:tab/>
        <w:t>(3,474)</w:t>
        <w:tab/>
        <w:t>3,474</w:t>
        <w:tab/>
        <w:t>3,474</w:t>
      </w:r>
    </w:p>
    <w:p>
      <w:pPr>
        <w:spacing w:before="112"/>
        <w:ind w:left="1070" w:right="0" w:firstLine="0"/>
        <w:jc w:val="both"/>
        <w:rPr>
          <w:b/>
          <w:sz w:val="16"/>
        </w:rPr>
      </w:pPr>
      <w:r>
        <w:rPr>
          <w:b/>
          <w:sz w:val="16"/>
        </w:rPr>
        <w:t>Financial liabilities</w:t>
      </w:r>
    </w:p>
    <w:p>
      <w:pPr>
        <w:tabs>
          <w:tab w:pos="4838" w:val="left" w:leader="none"/>
          <w:tab w:pos="5829" w:val="left" w:leader="none"/>
          <w:tab w:pos="6844" w:val="left" w:leader="none"/>
          <w:tab w:pos="7857" w:val="left" w:leader="none"/>
          <w:tab w:pos="8870" w:val="left" w:leader="none"/>
          <w:tab w:pos="9883" w:val="left" w:leader="none"/>
        </w:tabs>
        <w:spacing w:line="254" w:lineRule="auto" w:before="1"/>
        <w:ind w:left="1070" w:right="206" w:firstLine="0"/>
        <w:jc w:val="both"/>
        <w:rPr>
          <w:sz w:val="16"/>
        </w:rPr>
      </w:pPr>
      <w:r>
        <w:rPr>
          <w:sz w:val="16"/>
        </w:rPr>
        <w:t>Trade</w:t>
      </w:r>
      <w:r>
        <w:rPr>
          <w:spacing w:val="-3"/>
          <w:sz w:val="16"/>
        </w:rPr>
        <w:t> </w:t>
      </w:r>
      <w:r>
        <w:rPr>
          <w:sz w:val="16"/>
        </w:rPr>
        <w:t>payables</w:t>
        <w:tab/>
      </w:r>
      <w:r>
        <w:rPr>
          <w:rFonts w:ascii="Times New Roman"/>
          <w:sz w:val="16"/>
          <w:u w:val="single"/>
        </w:rPr>
        <w:t> </w:t>
        <w:tab/>
      </w:r>
      <w:r>
        <w:rPr>
          <w:sz w:val="16"/>
          <w:u w:val="single"/>
        </w:rPr>
        <w:t>-</w:t>
        <w:tab/>
        <w:t>-</w:t>
        <w:tab/>
        <w:t>-</w:t>
        <w:tab/>
        <w:t>-</w:t>
        <w:tab/>
        <w:t>- </w:t>
      </w:r>
      <w:r>
        <w:rPr>
          <w:sz w:val="16"/>
        </w:rPr>
        <w:t>Total increase/(decrease) in</w:t>
      </w:r>
      <w:r>
        <w:rPr>
          <w:spacing w:val="7"/>
          <w:sz w:val="16"/>
        </w:rPr>
        <w:t> </w:t>
      </w:r>
      <w:r>
        <w:rPr>
          <w:sz w:val="16"/>
        </w:rPr>
        <w:t>financial</w:t>
      </w:r>
      <w:r>
        <w:rPr>
          <w:spacing w:val="2"/>
          <w:sz w:val="16"/>
        </w:rPr>
        <w:t> </w:t>
      </w:r>
      <w:r>
        <w:rPr>
          <w:sz w:val="16"/>
        </w:rPr>
        <w:t>liabilities</w:t>
        <w:tab/>
        <w:tab/>
        <w:t>-</w:t>
      </w:r>
      <w:r>
        <w:rPr>
          <w:rFonts w:ascii="Times New Roman"/>
          <w:sz w:val="16"/>
          <w:u w:val="single"/>
        </w:rPr>
        <w:t> </w:t>
        <w:tab/>
      </w:r>
      <w:r>
        <w:rPr>
          <w:sz w:val="16"/>
          <w:u w:val="single"/>
        </w:rPr>
        <w:t>-</w:t>
        <w:tab/>
        <w:t>-</w:t>
        <w:tab/>
        <w:t>-</w:t>
        <w:tab/>
        <w:t>-</w:t>
      </w:r>
    </w:p>
    <w:p>
      <w:pPr>
        <w:tabs>
          <w:tab w:pos="5966" w:val="left" w:leader="none"/>
          <w:tab w:pos="6443" w:val="left" w:leader="none"/>
          <w:tab w:pos="7456" w:val="left" w:leader="none"/>
          <w:tab w:pos="8522" w:val="left" w:leader="none"/>
          <w:tab w:pos="9535" w:val="left" w:leader="none"/>
        </w:tabs>
        <w:spacing w:before="139"/>
        <w:ind w:left="1070" w:right="125" w:firstLine="0"/>
        <w:jc w:val="left"/>
        <w:rPr>
          <w:sz w:val="16"/>
        </w:rPr>
      </w:pPr>
      <w:r>
        <w:rPr>
          <w:sz w:val="16"/>
        </w:rPr>
        <w:t>Total</w:t>
      </w:r>
      <w:r>
        <w:rPr>
          <w:spacing w:val="2"/>
          <w:sz w:val="16"/>
        </w:rPr>
        <w:t> </w:t>
      </w:r>
      <w:r>
        <w:rPr>
          <w:sz w:val="16"/>
        </w:rPr>
        <w:t>increase/(decrease)</w:t>
        <w:tab/>
      </w:r>
      <w:r>
        <w:rPr>
          <w:rFonts w:ascii="Times New Roman"/>
          <w:sz w:val="16"/>
          <w:u w:val="single"/>
        </w:rPr>
        <w:t> </w:t>
        <w:tab/>
      </w:r>
      <w:r>
        <w:rPr>
          <w:sz w:val="16"/>
          <w:u w:val="single"/>
        </w:rPr>
        <w:t>(3,474)</w:t>
        <w:tab/>
        <w:t>(3,474)</w:t>
        <w:tab/>
        <w:t>3,474</w:t>
        <w:tab/>
        <w:t>3,474</w:t>
      </w:r>
    </w:p>
    <w:p>
      <w:pPr>
        <w:spacing w:after="0"/>
        <w:jc w:val="left"/>
        <w:rPr>
          <w:sz w:val="16"/>
        </w:rPr>
        <w:sectPr>
          <w:type w:val="continuous"/>
          <w:pgSz w:w="11910" w:h="16840"/>
          <w:pgMar w:top="0" w:bottom="280" w:left="900" w:right="860"/>
        </w:sectPr>
      </w:pPr>
    </w:p>
    <w:p>
      <w:pPr>
        <w:pStyle w:val="BodyText"/>
        <w:spacing w:before="1"/>
        <w:rPr>
          <w:sz w:val="24"/>
        </w:rPr>
      </w:pPr>
    </w:p>
    <w:p>
      <w:pPr>
        <w:pStyle w:val="Heading3"/>
        <w:ind w:left="147" w:right="685"/>
      </w:pPr>
      <w:r>
        <w:rPr/>
        <w:t>Notes to the financial statements</w:t>
      </w:r>
    </w:p>
    <w:p>
      <w:pPr>
        <w:pStyle w:val="Heading6"/>
        <w:spacing w:before="53"/>
        <w:ind w:left="147" w:right="685"/>
      </w:pPr>
      <w:r>
        <w:rPr/>
        <w:t>For the Year Ended 31 December 2012</w:t>
      </w:r>
    </w:p>
    <w:p>
      <w:pPr>
        <w:pStyle w:val="BodyText"/>
        <w:rPr>
          <w:b/>
          <w:sz w:val="20"/>
        </w:rPr>
      </w:pPr>
    </w:p>
    <w:p>
      <w:pPr>
        <w:pStyle w:val="BodyText"/>
        <w:rPr>
          <w:b/>
          <w:sz w:val="20"/>
        </w:rPr>
      </w:pPr>
    </w:p>
    <w:p>
      <w:pPr>
        <w:pStyle w:val="BodyText"/>
        <w:spacing w:before="4"/>
        <w:rPr>
          <w:b/>
          <w:sz w:val="1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5019"/>
        <w:gridCol w:w="4592"/>
      </w:tblGrid>
      <w:tr>
        <w:trPr>
          <w:trHeight w:val="567" w:hRule="exact"/>
        </w:trPr>
        <w:tc>
          <w:tcPr>
            <w:tcW w:w="282" w:type="dxa"/>
          </w:tcPr>
          <w:p>
            <w:pPr>
              <w:pStyle w:val="TableParagraph"/>
              <w:spacing w:before="77"/>
              <w:ind w:left="35"/>
              <w:rPr>
                <w:b/>
                <w:sz w:val="18"/>
              </w:rPr>
            </w:pPr>
            <w:r>
              <w:rPr>
                <w:b/>
                <w:w w:val="99"/>
                <w:sz w:val="18"/>
              </w:rPr>
              <w:t>3</w:t>
            </w:r>
          </w:p>
        </w:tc>
        <w:tc>
          <w:tcPr>
            <w:tcW w:w="5019" w:type="dxa"/>
          </w:tcPr>
          <w:p>
            <w:pPr>
              <w:pStyle w:val="TableParagraph"/>
              <w:spacing w:before="77"/>
              <w:ind w:left="146"/>
              <w:rPr>
                <w:b/>
                <w:sz w:val="18"/>
              </w:rPr>
            </w:pPr>
            <w:r>
              <w:rPr>
                <w:b/>
                <w:sz w:val="18"/>
              </w:rPr>
              <w:t>Revenue</w:t>
            </w:r>
          </w:p>
        </w:tc>
        <w:tc>
          <w:tcPr>
            <w:tcW w:w="4592" w:type="dxa"/>
          </w:tcPr>
          <w:p>
            <w:pPr>
              <w:pStyle w:val="TableParagraph"/>
              <w:rPr>
                <w:b/>
                <w:sz w:val="18"/>
              </w:rPr>
            </w:pPr>
          </w:p>
          <w:p>
            <w:pPr>
              <w:pStyle w:val="TableParagraph"/>
              <w:tabs>
                <w:tab w:pos="3779" w:val="left" w:leader="none"/>
              </w:tabs>
              <w:spacing w:before="110"/>
              <w:ind w:left="2495"/>
              <w:rPr>
                <w:b/>
                <w:sz w:val="18"/>
              </w:rPr>
            </w:pPr>
            <w:r>
              <w:rPr>
                <w:b/>
                <w:sz w:val="18"/>
              </w:rPr>
              <w:t>2012</w:t>
              <w:tab/>
              <w:t>2011</w:t>
            </w:r>
          </w:p>
        </w:tc>
      </w:tr>
      <w:tr>
        <w:trPr>
          <w:trHeight w:val="266" w:hRule="exact"/>
        </w:trPr>
        <w:tc>
          <w:tcPr>
            <w:tcW w:w="282" w:type="dxa"/>
          </w:tcPr>
          <w:p>
            <w:pPr/>
          </w:p>
        </w:tc>
        <w:tc>
          <w:tcPr>
            <w:tcW w:w="5019" w:type="dxa"/>
          </w:tcPr>
          <w:p>
            <w:pPr/>
          </w:p>
        </w:tc>
        <w:tc>
          <w:tcPr>
            <w:tcW w:w="4592" w:type="dxa"/>
          </w:tcPr>
          <w:p>
            <w:pPr>
              <w:pStyle w:val="TableParagraph"/>
              <w:tabs>
                <w:tab w:pos="3930" w:val="left" w:leader="none"/>
              </w:tabs>
              <w:spacing w:before="24"/>
              <w:ind w:left="2646"/>
              <w:rPr>
                <w:b/>
                <w:sz w:val="18"/>
              </w:rPr>
            </w:pPr>
            <w:r>
              <w:rPr>
                <w:b/>
                <w:sz w:val="18"/>
              </w:rPr>
              <w:t>$</w:t>
              <w:tab/>
              <w:t>$</w:t>
            </w:r>
          </w:p>
        </w:tc>
      </w:tr>
      <w:tr>
        <w:trPr>
          <w:trHeight w:val="436" w:hRule="exact"/>
        </w:trPr>
        <w:tc>
          <w:tcPr>
            <w:tcW w:w="282" w:type="dxa"/>
          </w:tcPr>
          <w:p>
            <w:pPr/>
          </w:p>
        </w:tc>
        <w:tc>
          <w:tcPr>
            <w:tcW w:w="5019" w:type="dxa"/>
          </w:tcPr>
          <w:p>
            <w:pPr>
              <w:pStyle w:val="TableParagraph"/>
              <w:spacing w:line="205" w:lineRule="exact" w:before="16"/>
              <w:ind w:left="146"/>
              <w:rPr>
                <w:sz w:val="18"/>
              </w:rPr>
            </w:pPr>
            <w:r>
              <w:rPr>
                <w:sz w:val="18"/>
              </w:rPr>
              <w:t>Services</w:t>
            </w:r>
          </w:p>
          <w:p>
            <w:pPr>
              <w:pStyle w:val="TableParagraph"/>
              <w:spacing w:line="209" w:lineRule="exact"/>
              <w:ind w:left="146"/>
              <w:rPr>
                <w:sz w:val="12"/>
              </w:rPr>
            </w:pPr>
            <w:r>
              <w:rPr>
                <w:sz w:val="18"/>
              </w:rPr>
              <w:t>- Donations </w:t>
            </w:r>
            <w:r>
              <w:rPr>
                <w:position w:val="6"/>
                <w:sz w:val="12"/>
              </w:rPr>
              <w:t>(a)</w:t>
            </w:r>
          </w:p>
        </w:tc>
        <w:tc>
          <w:tcPr>
            <w:tcW w:w="4592" w:type="dxa"/>
          </w:tcPr>
          <w:p>
            <w:pPr>
              <w:pStyle w:val="TableParagraph"/>
              <w:spacing w:before="4"/>
              <w:rPr>
                <w:b/>
                <w:sz w:val="19"/>
              </w:rPr>
            </w:pPr>
          </w:p>
          <w:p>
            <w:pPr>
              <w:pStyle w:val="TableParagraph"/>
              <w:tabs>
                <w:tab w:pos="1298" w:val="left" w:leader="none"/>
              </w:tabs>
              <w:ind w:right="33"/>
              <w:jc w:val="right"/>
              <w:rPr>
                <w:sz w:val="18"/>
              </w:rPr>
            </w:pPr>
            <w:r>
              <w:rPr>
                <w:b/>
                <w:sz w:val="18"/>
              </w:rPr>
              <w:t>38,335</w:t>
              <w:tab/>
            </w:r>
            <w:r>
              <w:rPr>
                <w:w w:val="95"/>
                <w:sz w:val="18"/>
              </w:rPr>
              <w:t>43,648</w:t>
            </w:r>
          </w:p>
        </w:tc>
      </w:tr>
      <w:tr>
        <w:trPr>
          <w:trHeight w:val="210" w:hRule="exact"/>
        </w:trPr>
        <w:tc>
          <w:tcPr>
            <w:tcW w:w="282" w:type="dxa"/>
          </w:tcPr>
          <w:p>
            <w:pPr/>
          </w:p>
        </w:tc>
        <w:tc>
          <w:tcPr>
            <w:tcW w:w="5019" w:type="dxa"/>
          </w:tcPr>
          <w:p>
            <w:pPr>
              <w:pStyle w:val="TableParagraph"/>
              <w:spacing w:line="200" w:lineRule="exact"/>
              <w:ind w:left="146"/>
              <w:rPr>
                <w:sz w:val="12"/>
              </w:rPr>
            </w:pPr>
            <w:r>
              <w:rPr>
                <w:sz w:val="18"/>
              </w:rPr>
              <w:t>- Government grants </w:t>
            </w:r>
            <w:r>
              <w:rPr>
                <w:position w:val="6"/>
                <w:sz w:val="12"/>
              </w:rPr>
              <w:t>(b)</w:t>
            </w:r>
          </w:p>
        </w:tc>
        <w:tc>
          <w:tcPr>
            <w:tcW w:w="4592" w:type="dxa"/>
          </w:tcPr>
          <w:p>
            <w:pPr>
              <w:pStyle w:val="TableParagraph"/>
              <w:tabs>
                <w:tab w:pos="1792" w:val="left" w:leader="none"/>
              </w:tabs>
              <w:spacing w:line="200" w:lineRule="exact"/>
              <w:ind w:right="33"/>
              <w:jc w:val="right"/>
              <w:rPr>
                <w:sz w:val="18"/>
              </w:rPr>
            </w:pPr>
            <w:r>
              <w:rPr>
                <w:b/>
                <w:sz w:val="18"/>
              </w:rPr>
              <w:t>25,000</w:t>
              <w:tab/>
            </w:r>
            <w:r>
              <w:rPr>
                <w:sz w:val="18"/>
              </w:rPr>
              <w:t>-</w:t>
            </w:r>
          </w:p>
        </w:tc>
      </w:tr>
      <w:tr>
        <w:trPr>
          <w:trHeight w:val="212" w:hRule="exact"/>
        </w:trPr>
        <w:tc>
          <w:tcPr>
            <w:tcW w:w="282" w:type="dxa"/>
          </w:tcPr>
          <w:p>
            <w:pPr/>
          </w:p>
        </w:tc>
        <w:tc>
          <w:tcPr>
            <w:tcW w:w="5019" w:type="dxa"/>
          </w:tcPr>
          <w:p>
            <w:pPr>
              <w:pStyle w:val="TableParagraph"/>
              <w:spacing w:line="197" w:lineRule="exact"/>
              <w:ind w:left="146"/>
              <w:rPr>
                <w:sz w:val="18"/>
              </w:rPr>
            </w:pPr>
            <w:r>
              <w:rPr>
                <w:sz w:val="18"/>
              </w:rPr>
              <w:t>- Fundraising</w:t>
            </w:r>
          </w:p>
        </w:tc>
        <w:tc>
          <w:tcPr>
            <w:tcW w:w="4592" w:type="dxa"/>
          </w:tcPr>
          <w:p>
            <w:pPr>
              <w:pStyle w:val="TableParagraph"/>
              <w:tabs>
                <w:tab w:pos="904" w:val="left" w:leader="none"/>
                <w:tab w:pos="2445" w:val="left" w:leader="none"/>
              </w:tabs>
              <w:spacing w:line="197" w:lineRule="exact"/>
              <w:ind w:right="33"/>
              <w:jc w:val="right"/>
              <w:rPr>
                <w:sz w:val="18"/>
              </w:rPr>
            </w:pPr>
            <w:r>
              <w:rPr>
                <w:rFonts w:ascii="Times New Roman"/>
                <w:sz w:val="18"/>
                <w:u w:val="single"/>
              </w:rPr>
              <w:t> </w:t>
              <w:tab/>
            </w:r>
            <w:r>
              <w:rPr>
                <w:b/>
                <w:sz w:val="18"/>
                <w:u w:val="single"/>
              </w:rPr>
              <w:t>255</w:t>
              <w:tab/>
            </w:r>
            <w:r>
              <w:rPr>
                <w:sz w:val="18"/>
                <w:u w:val="single"/>
              </w:rPr>
              <w:t>-</w:t>
            </w:r>
          </w:p>
        </w:tc>
      </w:tr>
      <w:tr>
        <w:trPr>
          <w:trHeight w:val="362" w:hRule="exact"/>
        </w:trPr>
        <w:tc>
          <w:tcPr>
            <w:tcW w:w="282" w:type="dxa"/>
          </w:tcPr>
          <w:p>
            <w:pPr/>
          </w:p>
        </w:tc>
        <w:tc>
          <w:tcPr>
            <w:tcW w:w="5019" w:type="dxa"/>
          </w:tcPr>
          <w:p>
            <w:pPr>
              <w:pStyle w:val="TableParagraph"/>
              <w:spacing w:line="201" w:lineRule="exact"/>
              <w:ind w:left="146"/>
              <w:rPr>
                <w:sz w:val="18"/>
              </w:rPr>
            </w:pPr>
            <w:r>
              <w:rPr>
                <w:sz w:val="18"/>
              </w:rPr>
              <w:t>Total services</w:t>
            </w:r>
          </w:p>
        </w:tc>
        <w:tc>
          <w:tcPr>
            <w:tcW w:w="4592" w:type="dxa"/>
          </w:tcPr>
          <w:p>
            <w:pPr>
              <w:pStyle w:val="TableParagraph"/>
              <w:tabs>
                <w:tab w:pos="652" w:val="left" w:leader="none"/>
                <w:tab w:pos="1951" w:val="left" w:leader="none"/>
              </w:tabs>
              <w:spacing w:line="201" w:lineRule="exact"/>
              <w:ind w:right="33"/>
              <w:jc w:val="right"/>
              <w:rPr>
                <w:sz w:val="18"/>
              </w:rPr>
            </w:pPr>
            <w:r>
              <w:rPr>
                <w:rFonts w:ascii="Times New Roman"/>
                <w:sz w:val="18"/>
                <w:u w:val="single"/>
              </w:rPr>
              <w:t> </w:t>
              <w:tab/>
            </w:r>
            <w:r>
              <w:rPr>
                <w:b/>
                <w:sz w:val="18"/>
                <w:u w:val="single"/>
              </w:rPr>
              <w:t>63,590</w:t>
              <w:tab/>
            </w:r>
            <w:r>
              <w:rPr>
                <w:spacing w:val="-1"/>
                <w:sz w:val="18"/>
                <w:u w:val="single"/>
              </w:rPr>
              <w:t>43,648</w:t>
            </w:r>
          </w:p>
        </w:tc>
      </w:tr>
      <w:tr>
        <w:trPr>
          <w:trHeight w:val="357" w:hRule="exact"/>
        </w:trPr>
        <w:tc>
          <w:tcPr>
            <w:tcW w:w="282" w:type="dxa"/>
          </w:tcPr>
          <w:p>
            <w:pPr/>
          </w:p>
        </w:tc>
        <w:tc>
          <w:tcPr>
            <w:tcW w:w="5019" w:type="dxa"/>
          </w:tcPr>
          <w:p>
            <w:pPr>
              <w:pStyle w:val="TableParagraph"/>
              <w:spacing w:before="141"/>
              <w:ind w:left="146"/>
              <w:rPr>
                <w:sz w:val="18"/>
              </w:rPr>
            </w:pPr>
            <w:r>
              <w:rPr>
                <w:sz w:val="18"/>
              </w:rPr>
              <w:t>Other revenue</w:t>
            </w:r>
          </w:p>
        </w:tc>
        <w:tc>
          <w:tcPr>
            <w:tcW w:w="4592" w:type="dxa"/>
          </w:tcPr>
          <w:p>
            <w:pPr/>
          </w:p>
        </w:tc>
      </w:tr>
      <w:tr>
        <w:trPr>
          <w:trHeight w:val="206" w:hRule="exact"/>
        </w:trPr>
        <w:tc>
          <w:tcPr>
            <w:tcW w:w="282" w:type="dxa"/>
          </w:tcPr>
          <w:p>
            <w:pPr/>
          </w:p>
        </w:tc>
        <w:tc>
          <w:tcPr>
            <w:tcW w:w="5019" w:type="dxa"/>
          </w:tcPr>
          <w:p>
            <w:pPr>
              <w:pStyle w:val="TableParagraph"/>
              <w:spacing w:line="197" w:lineRule="exact"/>
              <w:ind w:left="146"/>
              <w:rPr>
                <w:sz w:val="18"/>
              </w:rPr>
            </w:pPr>
            <w:r>
              <w:rPr>
                <w:sz w:val="18"/>
              </w:rPr>
              <w:t>- Interest</w:t>
            </w:r>
          </w:p>
        </w:tc>
        <w:tc>
          <w:tcPr>
            <w:tcW w:w="4592" w:type="dxa"/>
          </w:tcPr>
          <w:p>
            <w:pPr>
              <w:pStyle w:val="TableParagraph"/>
              <w:tabs>
                <w:tab w:pos="1298" w:val="left" w:leader="none"/>
              </w:tabs>
              <w:spacing w:line="197" w:lineRule="exact"/>
              <w:ind w:right="33"/>
              <w:jc w:val="right"/>
              <w:rPr>
                <w:sz w:val="18"/>
              </w:rPr>
            </w:pPr>
            <w:r>
              <w:rPr>
                <w:b/>
                <w:sz w:val="18"/>
              </w:rPr>
              <w:t>1,760</w:t>
              <w:tab/>
            </w:r>
            <w:r>
              <w:rPr>
                <w:w w:val="95"/>
                <w:sz w:val="18"/>
              </w:rPr>
              <w:t>2,072</w:t>
            </w:r>
          </w:p>
        </w:tc>
      </w:tr>
      <w:tr>
        <w:trPr>
          <w:trHeight w:val="212" w:hRule="exact"/>
        </w:trPr>
        <w:tc>
          <w:tcPr>
            <w:tcW w:w="282" w:type="dxa"/>
          </w:tcPr>
          <w:p>
            <w:pPr/>
          </w:p>
        </w:tc>
        <w:tc>
          <w:tcPr>
            <w:tcW w:w="5019" w:type="dxa"/>
          </w:tcPr>
          <w:p>
            <w:pPr>
              <w:pStyle w:val="TableParagraph"/>
              <w:spacing w:line="197" w:lineRule="exact"/>
              <w:ind w:left="146"/>
              <w:rPr>
                <w:sz w:val="18"/>
              </w:rPr>
            </w:pPr>
            <w:r>
              <w:rPr>
                <w:sz w:val="18"/>
              </w:rPr>
              <w:t>- Distributions from managed funds</w:t>
            </w:r>
          </w:p>
        </w:tc>
        <w:tc>
          <w:tcPr>
            <w:tcW w:w="4592" w:type="dxa"/>
          </w:tcPr>
          <w:p>
            <w:pPr>
              <w:pStyle w:val="TableParagraph"/>
              <w:tabs>
                <w:tab w:pos="652" w:val="left" w:leader="none"/>
                <w:tab w:pos="1951" w:val="left" w:leader="none"/>
              </w:tabs>
              <w:spacing w:line="197" w:lineRule="exact"/>
              <w:ind w:right="33"/>
              <w:jc w:val="right"/>
              <w:rPr>
                <w:sz w:val="18"/>
              </w:rPr>
            </w:pPr>
            <w:r>
              <w:rPr>
                <w:rFonts w:ascii="Times New Roman"/>
                <w:sz w:val="18"/>
                <w:u w:val="single"/>
              </w:rPr>
              <w:t> </w:t>
              <w:tab/>
            </w:r>
            <w:r>
              <w:rPr>
                <w:b/>
                <w:sz w:val="18"/>
                <w:u w:val="single"/>
              </w:rPr>
              <w:t>14,172</w:t>
              <w:tab/>
            </w:r>
            <w:r>
              <w:rPr>
                <w:spacing w:val="-1"/>
                <w:sz w:val="18"/>
                <w:u w:val="single"/>
              </w:rPr>
              <w:t>13,974</w:t>
            </w:r>
          </w:p>
        </w:tc>
      </w:tr>
      <w:tr>
        <w:trPr>
          <w:trHeight w:val="358" w:hRule="exact"/>
        </w:trPr>
        <w:tc>
          <w:tcPr>
            <w:tcW w:w="282" w:type="dxa"/>
          </w:tcPr>
          <w:p>
            <w:pPr/>
          </w:p>
        </w:tc>
        <w:tc>
          <w:tcPr>
            <w:tcW w:w="5019" w:type="dxa"/>
          </w:tcPr>
          <w:p>
            <w:pPr>
              <w:pStyle w:val="TableParagraph"/>
              <w:spacing w:line="201" w:lineRule="exact"/>
              <w:ind w:left="146"/>
              <w:rPr>
                <w:sz w:val="18"/>
              </w:rPr>
            </w:pPr>
            <w:r>
              <w:rPr>
                <w:sz w:val="18"/>
              </w:rPr>
              <w:t>Total other revenue</w:t>
            </w:r>
          </w:p>
        </w:tc>
        <w:tc>
          <w:tcPr>
            <w:tcW w:w="4592" w:type="dxa"/>
          </w:tcPr>
          <w:p>
            <w:pPr>
              <w:pStyle w:val="TableParagraph"/>
              <w:tabs>
                <w:tab w:pos="652" w:val="left" w:leader="none"/>
                <w:tab w:pos="1951" w:val="left" w:leader="none"/>
              </w:tabs>
              <w:spacing w:line="201" w:lineRule="exact"/>
              <w:ind w:right="33"/>
              <w:jc w:val="right"/>
              <w:rPr>
                <w:sz w:val="18"/>
              </w:rPr>
            </w:pPr>
            <w:r>
              <w:rPr>
                <w:rFonts w:ascii="Times New Roman"/>
                <w:sz w:val="18"/>
                <w:u w:val="single"/>
              </w:rPr>
              <w:t> </w:t>
              <w:tab/>
            </w:r>
            <w:r>
              <w:rPr>
                <w:b/>
                <w:sz w:val="18"/>
                <w:u w:val="single"/>
              </w:rPr>
              <w:t>15,932</w:t>
              <w:tab/>
            </w:r>
            <w:r>
              <w:rPr>
                <w:spacing w:val="-1"/>
                <w:sz w:val="18"/>
                <w:u w:val="single"/>
              </w:rPr>
              <w:t>16,046</w:t>
            </w:r>
          </w:p>
        </w:tc>
      </w:tr>
      <w:tr>
        <w:trPr>
          <w:trHeight w:val="440" w:hRule="exact"/>
        </w:trPr>
        <w:tc>
          <w:tcPr>
            <w:tcW w:w="282" w:type="dxa"/>
          </w:tcPr>
          <w:p>
            <w:pPr/>
          </w:p>
        </w:tc>
        <w:tc>
          <w:tcPr>
            <w:tcW w:w="5019" w:type="dxa"/>
          </w:tcPr>
          <w:p>
            <w:pPr>
              <w:pStyle w:val="TableParagraph"/>
              <w:spacing w:before="136"/>
              <w:ind w:left="146"/>
              <w:rPr>
                <w:b/>
                <w:sz w:val="18"/>
              </w:rPr>
            </w:pPr>
            <w:r>
              <w:rPr>
                <w:b/>
                <w:sz w:val="18"/>
              </w:rPr>
              <w:t>Total revenue</w:t>
            </w:r>
          </w:p>
        </w:tc>
        <w:tc>
          <w:tcPr>
            <w:tcW w:w="4592" w:type="dxa"/>
          </w:tcPr>
          <w:p>
            <w:pPr>
              <w:pStyle w:val="TableParagraph"/>
              <w:tabs>
                <w:tab w:pos="652" w:val="left" w:leader="none"/>
                <w:tab w:pos="1951" w:val="left" w:leader="none"/>
              </w:tabs>
              <w:spacing w:before="136"/>
              <w:ind w:right="33"/>
              <w:jc w:val="right"/>
              <w:rPr>
                <w:sz w:val="18"/>
              </w:rPr>
            </w:pPr>
            <w:r>
              <w:rPr>
                <w:rFonts w:ascii="Times New Roman"/>
                <w:sz w:val="18"/>
                <w:u w:val="single"/>
              </w:rPr>
              <w:t> </w:t>
              <w:tab/>
            </w:r>
            <w:r>
              <w:rPr>
                <w:b/>
                <w:sz w:val="18"/>
                <w:u w:val="single"/>
              </w:rPr>
              <w:t>79,522</w:t>
              <w:tab/>
            </w:r>
            <w:r>
              <w:rPr>
                <w:spacing w:val="-1"/>
                <w:sz w:val="18"/>
                <w:u w:val="single"/>
              </w:rPr>
              <w:t>59,694</w:t>
            </w:r>
          </w:p>
        </w:tc>
      </w:tr>
    </w:tbl>
    <w:p>
      <w:pPr>
        <w:pStyle w:val="BodyText"/>
        <w:spacing w:before="6"/>
        <w:rPr>
          <w:b/>
          <w:sz w:val="11"/>
        </w:rPr>
      </w:pPr>
    </w:p>
    <w:p>
      <w:pPr>
        <w:pStyle w:val="Heading9"/>
        <w:numPr>
          <w:ilvl w:val="0"/>
          <w:numId w:val="138"/>
        </w:numPr>
        <w:tabs>
          <w:tab w:pos="816" w:val="left" w:leader="none"/>
        </w:tabs>
        <w:spacing w:line="240" w:lineRule="auto" w:before="77" w:after="0"/>
        <w:ind w:left="815" w:right="0" w:hanging="271"/>
        <w:jc w:val="both"/>
      </w:pPr>
      <w:r>
        <w:rPr/>
        <w:t>Donations</w:t>
      </w:r>
    </w:p>
    <w:p>
      <w:pPr>
        <w:pStyle w:val="BodyText"/>
        <w:spacing w:before="4"/>
        <w:ind w:left="543" w:right="116"/>
        <w:jc w:val="both"/>
      </w:pPr>
      <w:r>
        <w:rPr/>
        <w:t>In 2012 the Trust received donations (including general donations, merchandise sales and ticket sales) of $38,335. Included in this amount were 4 significant donations totalling $33,341.</w:t>
      </w:r>
    </w:p>
    <w:p>
      <w:pPr>
        <w:pStyle w:val="Heading9"/>
        <w:numPr>
          <w:ilvl w:val="0"/>
          <w:numId w:val="138"/>
        </w:numPr>
        <w:tabs>
          <w:tab w:pos="825" w:val="left" w:leader="none"/>
        </w:tabs>
        <w:spacing w:line="240" w:lineRule="auto" w:before="146" w:after="0"/>
        <w:ind w:left="824" w:right="0" w:hanging="280"/>
        <w:jc w:val="both"/>
      </w:pPr>
      <w:r>
        <w:rPr/>
        <w:t>Government Grants</w:t>
      </w:r>
    </w:p>
    <w:p>
      <w:pPr>
        <w:pStyle w:val="BodyText"/>
        <w:spacing w:before="4"/>
        <w:ind w:left="543" w:right="114"/>
        <w:jc w:val="both"/>
      </w:pPr>
      <w:r>
        <w:rPr/>
        <w:t>A grant of $25,000 was received from the Department of Foreign Affairs and Trade to fund the project 'Gough Whitlam and the road to establishing formal relations with the People's Republic of China: the significance for contempary Australian-Chinese relations'.</w:t>
      </w:r>
    </w:p>
    <w:p>
      <w:pPr>
        <w:pStyle w:val="BodyText"/>
        <w:spacing w:before="3"/>
      </w:pPr>
    </w:p>
    <w:p>
      <w:pPr>
        <w:spacing w:after="0"/>
        <w:sectPr>
          <w:pgSz w:w="11910" w:h="16840"/>
          <w:pgMar w:header="1037" w:footer="508" w:top="1460" w:bottom="700" w:left="860" w:right="860"/>
        </w:sectPr>
      </w:pPr>
    </w:p>
    <w:p>
      <w:pPr>
        <w:pStyle w:val="Heading9"/>
        <w:numPr>
          <w:ilvl w:val="0"/>
          <w:numId w:val="139"/>
        </w:numPr>
        <w:tabs>
          <w:tab w:pos="544" w:val="left" w:leader="none"/>
        </w:tabs>
        <w:spacing w:line="240" w:lineRule="auto" w:before="77" w:after="0"/>
        <w:ind w:left="504" w:right="0" w:hanging="354"/>
        <w:jc w:val="left"/>
      </w:pPr>
      <w:r>
        <w:rPr/>
        <w:t>Expenses</w:t>
      </w:r>
    </w:p>
    <w:p>
      <w:pPr>
        <w:pStyle w:val="BodyText"/>
        <w:spacing w:before="7"/>
        <w:rPr>
          <w:b/>
          <w:sz w:val="24"/>
        </w:rPr>
      </w:pPr>
      <w:r>
        <w:rPr/>
        <w:br w:type="column"/>
      </w:r>
      <w:r>
        <w:rPr>
          <w:b/>
          <w:sz w:val="24"/>
        </w:rPr>
      </w:r>
    </w:p>
    <w:p>
      <w:pPr>
        <w:spacing w:line="207" w:lineRule="exact" w:before="1"/>
        <w:ind w:left="150" w:right="0" w:firstLine="0"/>
        <w:jc w:val="center"/>
        <w:rPr>
          <w:b/>
          <w:sz w:val="18"/>
        </w:rPr>
      </w:pPr>
      <w:r>
        <w:rPr>
          <w:b/>
          <w:sz w:val="18"/>
        </w:rPr>
        <w:t>2012</w:t>
      </w:r>
    </w:p>
    <w:p>
      <w:pPr>
        <w:spacing w:line="207" w:lineRule="exact" w:before="0"/>
        <w:ind w:left="149" w:right="0" w:firstLine="0"/>
        <w:jc w:val="center"/>
        <w:rPr>
          <w:b/>
          <w:sz w:val="18"/>
        </w:rPr>
      </w:pPr>
      <w:r>
        <w:rPr>
          <w:b/>
          <w:w w:val="99"/>
          <w:sz w:val="18"/>
        </w:rPr>
        <w:t>$</w:t>
      </w:r>
    </w:p>
    <w:p>
      <w:pPr>
        <w:pStyle w:val="BodyText"/>
        <w:spacing w:before="7"/>
        <w:rPr>
          <w:b/>
          <w:sz w:val="24"/>
        </w:rPr>
      </w:pPr>
      <w:r>
        <w:rPr/>
        <w:br w:type="column"/>
      </w:r>
      <w:r>
        <w:rPr>
          <w:b/>
          <w:sz w:val="24"/>
        </w:rPr>
      </w:r>
    </w:p>
    <w:p>
      <w:pPr>
        <w:pStyle w:val="BodyText"/>
        <w:spacing w:line="207" w:lineRule="exact" w:before="1"/>
        <w:ind w:left="134" w:right="556"/>
        <w:jc w:val="center"/>
      </w:pPr>
      <w:r>
        <w:rPr/>
        <w:t>2011</w:t>
      </w:r>
    </w:p>
    <w:p>
      <w:pPr>
        <w:pStyle w:val="BodyText"/>
        <w:spacing w:line="207" w:lineRule="exact"/>
        <w:ind w:right="422"/>
        <w:jc w:val="center"/>
      </w:pPr>
      <w:r>
        <w:rPr>
          <w:w w:val="99"/>
        </w:rPr>
        <w:t>$</w:t>
      </w:r>
    </w:p>
    <w:p>
      <w:pPr>
        <w:spacing w:after="0" w:line="207" w:lineRule="exact"/>
        <w:jc w:val="center"/>
        <w:sectPr>
          <w:type w:val="continuous"/>
          <w:pgSz w:w="11910" w:h="16840"/>
          <w:pgMar w:top="0" w:bottom="280" w:left="860" w:right="860"/>
          <w:cols w:num="3" w:equalWidth="0">
            <w:col w:w="1389" w:space="6373"/>
            <w:col w:w="554" w:space="742"/>
            <w:col w:w="1132"/>
          </w:cols>
        </w:sectPr>
      </w:pPr>
    </w:p>
    <w:p>
      <w:pPr>
        <w:pStyle w:val="BodyText"/>
        <w:tabs>
          <w:tab w:pos="7467" w:val="left" w:leader="none"/>
          <w:tab w:pos="8221" w:val="left" w:leader="none"/>
          <w:tab w:pos="9911" w:val="left" w:leader="none"/>
        </w:tabs>
        <w:spacing w:before="26"/>
        <w:ind w:left="544" w:right="59"/>
      </w:pPr>
      <w:r>
        <w:rPr/>
        <w:t>Distributions -</w:t>
      </w:r>
      <w:r>
        <w:rPr>
          <w:spacing w:val="1"/>
        </w:rPr>
        <w:t> </w:t>
      </w:r>
      <w:r>
        <w:rPr/>
        <w:t>government grants</w:t>
        <w:tab/>
      </w:r>
      <w:r>
        <w:rPr>
          <w:rFonts w:ascii="Times New Roman"/>
          <w:position w:val="-2"/>
          <w:u w:val="single"/>
        </w:rPr>
        <w:t> </w:t>
        <w:tab/>
      </w:r>
      <w:r>
        <w:rPr>
          <w:b/>
          <w:position w:val="-2"/>
          <w:u w:val="single"/>
        </w:rPr>
        <w:t>9,000</w:t>
        <w:tab/>
      </w:r>
      <w:r>
        <w:rPr>
          <w:position w:val="-2"/>
          <w:u w:val="single"/>
        </w:rPr>
        <w:t>-</w:t>
      </w:r>
    </w:p>
    <w:p>
      <w:pPr>
        <w:pStyle w:val="BodyText"/>
        <w:tabs>
          <w:tab w:pos="7467" w:val="left" w:leader="none"/>
          <w:tab w:pos="8221" w:val="left" w:leader="none"/>
          <w:tab w:pos="9911" w:val="left" w:leader="none"/>
        </w:tabs>
        <w:spacing w:before="5"/>
        <w:ind w:left="544" w:right="59"/>
      </w:pPr>
      <w:r>
        <w:rPr/>
        <w:t>Total distributions</w:t>
      </w:r>
      <w:r>
        <w:rPr>
          <w:spacing w:val="1"/>
        </w:rPr>
        <w:t> </w:t>
      </w:r>
      <w:r>
        <w:rPr/>
        <w:t>- other</w:t>
        <w:tab/>
      </w:r>
      <w:r>
        <w:rPr>
          <w:rFonts w:ascii="Times New Roman"/>
          <w:u w:val="single"/>
        </w:rPr>
        <w:t> </w:t>
        <w:tab/>
      </w:r>
      <w:r>
        <w:rPr>
          <w:b/>
          <w:u w:val="single"/>
        </w:rPr>
        <w:t>9,000</w:t>
        <w:tab/>
      </w:r>
      <w:r>
        <w:rPr>
          <w:u w:val="single"/>
        </w:rPr>
        <w:t>-</w:t>
      </w:r>
    </w:p>
    <w:p>
      <w:pPr>
        <w:pStyle w:val="BodyText"/>
        <w:spacing w:before="11"/>
        <w:rPr>
          <w:sz w:val="19"/>
        </w:rPr>
      </w:pPr>
    </w:p>
    <w:p>
      <w:pPr>
        <w:pStyle w:val="BodyText"/>
        <w:spacing w:before="77"/>
        <w:ind w:left="544" w:right="685"/>
      </w:pPr>
      <w:r>
        <w:rPr/>
        <w:t>Administration expenses for 2012 totalling $6,046 (2011: $5,094) was paid by the ultimate parent entity.</w:t>
      </w:r>
    </w:p>
    <w:p>
      <w:pPr>
        <w:pStyle w:val="BodyText"/>
        <w:spacing w:before="11"/>
        <w:rPr>
          <w:sz w:val="24"/>
        </w:rPr>
      </w:pPr>
    </w:p>
    <w:p>
      <w:pPr>
        <w:pStyle w:val="Heading9"/>
        <w:numPr>
          <w:ilvl w:val="0"/>
          <w:numId w:val="139"/>
        </w:numPr>
        <w:tabs>
          <w:tab w:pos="544" w:val="left" w:leader="none"/>
        </w:tabs>
        <w:spacing w:line="240" w:lineRule="auto" w:before="0" w:after="0"/>
        <w:ind w:left="544" w:right="0" w:hanging="394"/>
        <w:jc w:val="left"/>
      </w:pPr>
      <w:r>
        <w:rPr/>
        <w:t>Remuneration of Auditors</w:t>
      </w:r>
    </w:p>
    <w:p>
      <w:pPr>
        <w:pStyle w:val="BodyText"/>
        <w:spacing w:before="146"/>
        <w:ind w:left="544" w:right="685"/>
      </w:pPr>
      <w:r>
        <w:rPr/>
        <w:t>Audit fees of $5,400 for 2012 (2011: $4,844) will be paid by the ultimate parent entity.</w:t>
      </w:r>
    </w:p>
    <w:p>
      <w:pPr>
        <w:pStyle w:val="BodyText"/>
        <w:spacing w:before="3"/>
      </w:pPr>
    </w:p>
    <w:p>
      <w:pPr>
        <w:spacing w:after="0"/>
        <w:sectPr>
          <w:type w:val="continuous"/>
          <w:pgSz w:w="11910" w:h="16840"/>
          <w:pgMar w:top="0" w:bottom="280" w:left="860" w:right="860"/>
        </w:sectPr>
      </w:pPr>
    </w:p>
    <w:p>
      <w:pPr>
        <w:pStyle w:val="Heading9"/>
        <w:numPr>
          <w:ilvl w:val="0"/>
          <w:numId w:val="139"/>
        </w:numPr>
        <w:tabs>
          <w:tab w:pos="544" w:val="left" w:leader="none"/>
        </w:tabs>
        <w:spacing w:line="240" w:lineRule="auto" w:before="77" w:after="0"/>
        <w:ind w:left="544" w:right="0" w:hanging="394"/>
        <w:jc w:val="left"/>
      </w:pPr>
      <w:r>
        <w:rPr/>
        <w:t>Cash and cash</w:t>
      </w:r>
      <w:r>
        <w:rPr>
          <w:spacing w:val="-1"/>
        </w:rPr>
        <w:t> </w:t>
      </w:r>
      <w:r>
        <w:rPr/>
        <w:t>equivalents</w:t>
      </w:r>
    </w:p>
    <w:p>
      <w:pPr>
        <w:pStyle w:val="BodyText"/>
        <w:spacing w:before="7"/>
        <w:rPr>
          <w:b/>
          <w:sz w:val="24"/>
        </w:rPr>
      </w:pPr>
      <w:r>
        <w:rPr/>
        <w:br w:type="column"/>
      </w:r>
      <w:r>
        <w:rPr>
          <w:b/>
          <w:sz w:val="24"/>
        </w:rPr>
      </w:r>
    </w:p>
    <w:p>
      <w:pPr>
        <w:spacing w:line="207" w:lineRule="exact" w:before="1"/>
        <w:ind w:left="150" w:right="0" w:firstLine="0"/>
        <w:jc w:val="center"/>
        <w:rPr>
          <w:b/>
          <w:sz w:val="18"/>
        </w:rPr>
      </w:pPr>
      <w:r>
        <w:rPr>
          <w:b/>
          <w:sz w:val="18"/>
        </w:rPr>
        <w:t>2012</w:t>
      </w:r>
    </w:p>
    <w:p>
      <w:pPr>
        <w:spacing w:line="207" w:lineRule="exact" w:before="0"/>
        <w:ind w:left="149" w:right="0" w:firstLine="0"/>
        <w:jc w:val="center"/>
        <w:rPr>
          <w:b/>
          <w:sz w:val="18"/>
        </w:rPr>
      </w:pPr>
      <w:r>
        <w:rPr>
          <w:b/>
          <w:w w:val="99"/>
          <w:sz w:val="18"/>
        </w:rPr>
        <w:t>$</w:t>
      </w:r>
    </w:p>
    <w:p>
      <w:pPr>
        <w:pStyle w:val="BodyText"/>
        <w:spacing w:before="7"/>
        <w:rPr>
          <w:b/>
          <w:sz w:val="24"/>
        </w:rPr>
      </w:pPr>
      <w:r>
        <w:rPr/>
        <w:br w:type="column"/>
      </w:r>
      <w:r>
        <w:rPr>
          <w:b/>
          <w:sz w:val="24"/>
        </w:rPr>
      </w:r>
    </w:p>
    <w:p>
      <w:pPr>
        <w:spacing w:line="207" w:lineRule="exact" w:before="1"/>
        <w:ind w:left="134" w:right="568" w:firstLine="0"/>
        <w:jc w:val="center"/>
        <w:rPr>
          <w:b/>
          <w:sz w:val="18"/>
        </w:rPr>
      </w:pPr>
      <w:r>
        <w:rPr>
          <w:b/>
          <w:sz w:val="18"/>
        </w:rPr>
        <w:t>2011</w:t>
      </w:r>
    </w:p>
    <w:p>
      <w:pPr>
        <w:spacing w:line="207" w:lineRule="exact" w:before="0"/>
        <w:ind w:left="0" w:right="434" w:firstLine="0"/>
        <w:jc w:val="center"/>
        <w:rPr>
          <w:b/>
          <w:sz w:val="18"/>
        </w:rPr>
      </w:pPr>
      <w:r>
        <w:rPr>
          <w:b/>
          <w:w w:val="99"/>
          <w:sz w:val="18"/>
        </w:rPr>
        <w:t>$</w:t>
      </w:r>
    </w:p>
    <w:p>
      <w:pPr>
        <w:spacing w:after="0" w:line="207" w:lineRule="exact"/>
        <w:jc w:val="center"/>
        <w:rPr>
          <w:sz w:val="18"/>
        </w:rPr>
        <w:sectPr>
          <w:type w:val="continuous"/>
          <w:pgSz w:w="11910" w:h="16840"/>
          <w:pgMar w:top="0" w:bottom="280" w:left="860" w:right="860"/>
          <w:cols w:num="3" w:equalWidth="0">
            <w:col w:w="2865" w:space="4897"/>
            <w:col w:w="554" w:space="730"/>
            <w:col w:w="1144"/>
          </w:cols>
        </w:sectPr>
      </w:pPr>
    </w:p>
    <w:p>
      <w:pPr>
        <w:pStyle w:val="BodyText"/>
        <w:tabs>
          <w:tab w:pos="7576" w:val="left" w:leader="none"/>
          <w:tab w:pos="8875" w:val="left" w:leader="none"/>
        </w:tabs>
        <w:spacing w:line="206" w:lineRule="exact"/>
        <w:ind w:right="210"/>
        <w:jc w:val="right"/>
      </w:pPr>
      <w:r>
        <w:rPr/>
        <w:t>Cash at bank and</w:t>
      </w:r>
      <w:r>
        <w:rPr>
          <w:spacing w:val="3"/>
        </w:rPr>
        <w:t> </w:t>
      </w:r>
      <w:r>
        <w:rPr/>
        <w:t>on hand</w:t>
        <w:tab/>
      </w:r>
      <w:r>
        <w:rPr>
          <w:b/>
        </w:rPr>
        <w:t>54,986</w:t>
        <w:tab/>
      </w:r>
      <w:r>
        <w:rPr>
          <w:w w:val="95"/>
        </w:rPr>
        <w:t>33,004</w:t>
      </w:r>
    </w:p>
    <w:p>
      <w:pPr>
        <w:tabs>
          <w:tab w:pos="6923" w:val="left" w:leader="none"/>
          <w:tab w:pos="7475" w:val="left" w:leader="none"/>
          <w:tab w:pos="8774" w:val="left" w:leader="none"/>
        </w:tabs>
        <w:spacing w:line="207" w:lineRule="exact" w:before="0"/>
        <w:ind w:left="0" w:right="210" w:firstLine="0"/>
        <w:jc w:val="right"/>
        <w:rPr>
          <w:sz w:val="18"/>
        </w:rPr>
      </w:pPr>
      <w:r>
        <w:rPr>
          <w:sz w:val="18"/>
        </w:rPr>
        <w:t>T-Corp Investments</w:t>
        <w:tab/>
      </w:r>
      <w:r>
        <w:rPr>
          <w:rFonts w:ascii="Times New Roman"/>
          <w:sz w:val="18"/>
          <w:u w:val="single"/>
        </w:rPr>
        <w:t> </w:t>
        <w:tab/>
      </w:r>
      <w:r>
        <w:rPr>
          <w:b/>
          <w:sz w:val="18"/>
          <w:u w:val="single"/>
        </w:rPr>
        <w:t>357,784</w:t>
        <w:tab/>
      </w:r>
      <w:r>
        <w:rPr>
          <w:spacing w:val="-1"/>
          <w:sz w:val="18"/>
          <w:u w:val="single"/>
        </w:rPr>
        <w:t>314,371</w:t>
      </w:r>
    </w:p>
    <w:p>
      <w:pPr>
        <w:tabs>
          <w:tab w:pos="551" w:val="left" w:leader="none"/>
          <w:tab w:pos="1850" w:val="left" w:leader="none"/>
        </w:tabs>
        <w:spacing w:before="9"/>
        <w:ind w:left="0" w:right="210" w:firstLine="0"/>
        <w:jc w:val="right"/>
        <w:rPr>
          <w:sz w:val="18"/>
        </w:rPr>
      </w:pPr>
      <w:r>
        <w:rPr>
          <w:rFonts w:ascii="Times New Roman"/>
          <w:sz w:val="18"/>
          <w:u w:val="single"/>
        </w:rPr>
        <w:t> </w:t>
        <w:tab/>
      </w:r>
      <w:r>
        <w:rPr>
          <w:b/>
          <w:sz w:val="18"/>
          <w:u w:val="single"/>
        </w:rPr>
        <w:t>412,770</w:t>
        <w:tab/>
      </w:r>
      <w:r>
        <w:rPr>
          <w:w w:val="95"/>
          <w:sz w:val="18"/>
          <w:u w:val="single"/>
        </w:rPr>
        <w:t>347,375</w:t>
      </w:r>
    </w:p>
    <w:p>
      <w:pPr>
        <w:pStyle w:val="BodyText"/>
        <w:spacing w:before="4"/>
        <w:rPr>
          <w:sz w:val="14"/>
        </w:rPr>
      </w:pPr>
    </w:p>
    <w:p>
      <w:pPr>
        <w:pStyle w:val="Heading9"/>
        <w:numPr>
          <w:ilvl w:val="0"/>
          <w:numId w:val="140"/>
        </w:numPr>
        <w:tabs>
          <w:tab w:pos="1111" w:val="left" w:leader="none"/>
        </w:tabs>
        <w:spacing w:line="207" w:lineRule="exact" w:before="0" w:after="0"/>
        <w:ind w:left="1110" w:right="0" w:hanging="566"/>
        <w:jc w:val="left"/>
      </w:pPr>
      <w:r>
        <w:rPr/>
        <w:t>Risk</w:t>
      </w:r>
      <w:r>
        <w:rPr>
          <w:spacing w:val="-1"/>
        </w:rPr>
        <w:t> </w:t>
      </w:r>
      <w:r>
        <w:rPr/>
        <w:t>exposure</w:t>
      </w:r>
    </w:p>
    <w:p>
      <w:pPr>
        <w:pStyle w:val="BodyText"/>
        <w:ind w:left="1112" w:right="59"/>
      </w:pPr>
      <w:r>
        <w:rPr/>
        <w:t>The Trust's exposure to interest rate risk is discussed in note 2. The maximum exposure to credit risk at the end of each reporting period is the carrying amount of each class of cash and cash equivalents mentioned above.</w:t>
      </w:r>
    </w:p>
    <w:p>
      <w:pPr>
        <w:pStyle w:val="Heading9"/>
        <w:numPr>
          <w:ilvl w:val="0"/>
          <w:numId w:val="140"/>
        </w:numPr>
        <w:tabs>
          <w:tab w:pos="1111" w:val="left" w:leader="none"/>
        </w:tabs>
        <w:spacing w:line="207" w:lineRule="exact" w:before="146" w:after="0"/>
        <w:ind w:left="1110" w:right="0" w:hanging="566"/>
        <w:jc w:val="left"/>
      </w:pPr>
      <w:r>
        <w:rPr/>
        <w:t>Cash at bank and on hand</w:t>
      </w:r>
    </w:p>
    <w:p>
      <w:pPr>
        <w:pStyle w:val="BodyText"/>
        <w:spacing w:line="207" w:lineRule="exact"/>
        <w:ind w:left="1112" w:right="685"/>
      </w:pPr>
      <w:r>
        <w:rPr/>
        <w:t>These are non-interest bearing.</w:t>
      </w:r>
    </w:p>
    <w:p>
      <w:pPr>
        <w:pStyle w:val="Heading9"/>
        <w:numPr>
          <w:ilvl w:val="0"/>
          <w:numId w:val="140"/>
        </w:numPr>
        <w:tabs>
          <w:tab w:pos="1111" w:val="left" w:leader="none"/>
        </w:tabs>
        <w:spacing w:line="207" w:lineRule="exact" w:before="146" w:after="0"/>
        <w:ind w:left="1110" w:right="0" w:hanging="566"/>
        <w:jc w:val="left"/>
      </w:pPr>
      <w:r>
        <w:rPr/>
        <w:t>Fair value</w:t>
      </w:r>
    </w:p>
    <w:p>
      <w:pPr>
        <w:pStyle w:val="BodyText"/>
        <w:spacing w:line="207" w:lineRule="exact"/>
        <w:ind w:left="1112" w:right="685"/>
      </w:pPr>
      <w:r>
        <w:rPr/>
        <w:t>The carrying amount for cash and cash equivalents equals the fair value.</w:t>
      </w:r>
    </w:p>
    <w:p>
      <w:pPr>
        <w:spacing w:after="0" w:line="207" w:lineRule="exact"/>
        <w:sectPr>
          <w:type w:val="continuous"/>
          <w:pgSz w:w="11910" w:h="16840"/>
          <w:pgMar w:top="0" w:bottom="280" w:left="860" w:right="860"/>
        </w:sectPr>
      </w:pPr>
    </w:p>
    <w:p>
      <w:pPr>
        <w:pStyle w:val="BodyText"/>
        <w:spacing w:before="1"/>
        <w:rPr>
          <w:sz w:val="24"/>
        </w:rPr>
      </w:pPr>
    </w:p>
    <w:p>
      <w:pPr>
        <w:pStyle w:val="Heading3"/>
      </w:pPr>
      <w:r>
        <w:rPr/>
        <w:t>Notes to the financial statements</w:t>
      </w:r>
    </w:p>
    <w:p>
      <w:pPr>
        <w:pStyle w:val="Heading6"/>
        <w:spacing w:before="53"/>
      </w:pPr>
      <w:r>
        <w:rPr/>
        <w:t>For the Year Ended 31 December 2012</w:t>
      </w:r>
    </w:p>
    <w:p>
      <w:pPr>
        <w:pStyle w:val="BodyText"/>
        <w:rPr>
          <w:b/>
          <w:sz w:val="20"/>
        </w:rPr>
      </w:pPr>
    </w:p>
    <w:p>
      <w:pPr>
        <w:pStyle w:val="BodyText"/>
        <w:rPr>
          <w:b/>
          <w:sz w:val="20"/>
        </w:rPr>
      </w:pPr>
    </w:p>
    <w:p>
      <w:pPr>
        <w:spacing w:after="0"/>
        <w:rPr>
          <w:sz w:val="20"/>
        </w:rPr>
        <w:sectPr>
          <w:pgSz w:w="11910" w:h="16840"/>
          <w:pgMar w:header="1037" w:footer="508" w:top="1460" w:bottom="700" w:left="900" w:right="860"/>
        </w:sectPr>
      </w:pPr>
    </w:p>
    <w:p>
      <w:pPr>
        <w:pStyle w:val="BodyText"/>
        <w:rPr>
          <w:b/>
        </w:rPr>
      </w:pPr>
    </w:p>
    <w:p>
      <w:pPr>
        <w:pStyle w:val="Heading9"/>
        <w:numPr>
          <w:ilvl w:val="0"/>
          <w:numId w:val="139"/>
        </w:numPr>
        <w:tabs>
          <w:tab w:pos="504" w:val="left" w:leader="none"/>
        </w:tabs>
        <w:spacing w:line="240" w:lineRule="auto" w:before="0" w:after="0"/>
        <w:ind w:left="504" w:right="0" w:hanging="394"/>
        <w:jc w:val="left"/>
      </w:pPr>
      <w:r>
        <w:rPr/>
        <w:t>Trade and other</w:t>
      </w:r>
      <w:r>
        <w:rPr>
          <w:spacing w:val="-1"/>
        </w:rPr>
        <w:t> </w:t>
      </w:r>
      <w:r>
        <w:rPr/>
        <w:t>receivables</w:t>
      </w:r>
    </w:p>
    <w:p>
      <w:pPr>
        <w:pStyle w:val="BodyText"/>
        <w:rPr>
          <w:b/>
        </w:rPr>
      </w:pPr>
      <w:r>
        <w:rPr/>
        <w:br w:type="column"/>
      </w:r>
      <w:r>
        <w:rPr>
          <w:b/>
        </w:rPr>
      </w:r>
    </w:p>
    <w:p>
      <w:pPr>
        <w:pStyle w:val="BodyText"/>
        <w:rPr>
          <w:b/>
        </w:rPr>
      </w:pPr>
    </w:p>
    <w:p>
      <w:pPr>
        <w:spacing w:line="207" w:lineRule="exact" w:before="0"/>
        <w:ind w:left="110" w:right="0" w:firstLine="0"/>
        <w:jc w:val="center"/>
        <w:rPr>
          <w:b/>
          <w:sz w:val="18"/>
        </w:rPr>
      </w:pPr>
      <w:r>
        <w:rPr>
          <w:b/>
          <w:sz w:val="18"/>
        </w:rPr>
        <w:t>2012</w:t>
      </w:r>
    </w:p>
    <w:p>
      <w:pPr>
        <w:spacing w:line="207" w:lineRule="exact" w:before="0"/>
        <w:ind w:left="109" w:right="0" w:firstLine="0"/>
        <w:jc w:val="center"/>
        <w:rPr>
          <w:b/>
          <w:sz w:val="18"/>
        </w:rPr>
      </w:pPr>
      <w:r>
        <w:rPr>
          <w:b/>
          <w:w w:val="99"/>
          <w:sz w:val="18"/>
        </w:rPr>
        <w:t>$</w:t>
      </w:r>
    </w:p>
    <w:p>
      <w:pPr>
        <w:pStyle w:val="BodyText"/>
        <w:rPr>
          <w:b/>
        </w:rPr>
      </w:pPr>
      <w:r>
        <w:rPr/>
        <w:br w:type="column"/>
      </w:r>
      <w:r>
        <w:rPr>
          <w:b/>
        </w:rPr>
      </w:r>
    </w:p>
    <w:p>
      <w:pPr>
        <w:pStyle w:val="BodyText"/>
        <w:rPr>
          <w:b/>
        </w:rPr>
      </w:pPr>
    </w:p>
    <w:p>
      <w:pPr>
        <w:spacing w:line="207" w:lineRule="exact" w:before="0"/>
        <w:ind w:left="94" w:right="568" w:firstLine="0"/>
        <w:jc w:val="center"/>
        <w:rPr>
          <w:b/>
          <w:sz w:val="18"/>
        </w:rPr>
      </w:pPr>
      <w:r>
        <w:rPr>
          <w:b/>
          <w:sz w:val="18"/>
        </w:rPr>
        <w:t>2011</w:t>
      </w:r>
    </w:p>
    <w:p>
      <w:pPr>
        <w:spacing w:line="207" w:lineRule="exact" w:before="0"/>
        <w:ind w:left="0" w:right="474"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2904" w:space="4858"/>
            <w:col w:w="514" w:space="770"/>
            <w:col w:w="1104"/>
          </w:cols>
        </w:sectPr>
      </w:pPr>
    </w:p>
    <w:p>
      <w:pPr>
        <w:tabs>
          <w:tab w:pos="7427" w:val="left" w:leader="none"/>
          <w:tab w:pos="8181" w:val="left" w:leader="none"/>
          <w:tab w:pos="9873" w:val="left" w:leader="none"/>
        </w:tabs>
        <w:spacing w:line="206" w:lineRule="exact" w:before="0"/>
        <w:ind w:left="504" w:right="125" w:firstLine="0"/>
        <w:jc w:val="left"/>
        <w:rPr>
          <w:sz w:val="18"/>
        </w:rPr>
      </w:pPr>
      <w:r>
        <w:rPr>
          <w:sz w:val="18"/>
        </w:rPr>
        <w:t>Trade</w:t>
      </w:r>
      <w:r>
        <w:rPr>
          <w:spacing w:val="-1"/>
          <w:sz w:val="18"/>
        </w:rPr>
        <w:t> </w:t>
      </w:r>
      <w:r>
        <w:rPr>
          <w:sz w:val="18"/>
        </w:rPr>
        <w:t>receivables</w:t>
        <w:tab/>
      </w:r>
      <w:r>
        <w:rPr>
          <w:rFonts w:ascii="Times New Roman"/>
          <w:sz w:val="18"/>
          <w:u w:val="single"/>
        </w:rPr>
        <w:t> </w:t>
        <w:tab/>
      </w:r>
      <w:r>
        <w:rPr>
          <w:b/>
          <w:sz w:val="18"/>
          <w:u w:val="single"/>
        </w:rPr>
        <w:t>5,127</w:t>
        <w:tab/>
      </w:r>
      <w:r>
        <w:rPr>
          <w:sz w:val="18"/>
          <w:u w:val="single"/>
        </w:rPr>
        <w:t>-</w:t>
      </w:r>
    </w:p>
    <w:p>
      <w:pPr>
        <w:pStyle w:val="Heading9"/>
        <w:tabs>
          <w:tab w:pos="7427" w:val="left" w:leader="none"/>
          <w:tab w:pos="8181" w:val="left" w:leader="none"/>
          <w:tab w:pos="9873" w:val="left" w:leader="none"/>
        </w:tabs>
        <w:spacing w:before="9"/>
        <w:ind w:left="504" w:right="125"/>
        <w:rPr>
          <w:b w:val="0"/>
        </w:rPr>
      </w:pPr>
      <w:r>
        <w:rPr/>
        <w:t>Total current trade and</w:t>
      </w:r>
      <w:r>
        <w:rPr>
          <w:spacing w:val="-1"/>
        </w:rPr>
        <w:t> </w:t>
      </w:r>
      <w:r>
        <w:rPr/>
        <w:t>other receivables</w:t>
        <w:tab/>
      </w:r>
      <w:r>
        <w:rPr>
          <w:rFonts w:ascii="Times New Roman"/>
          <w:b w:val="0"/>
          <w:u w:val="single"/>
        </w:rPr>
        <w:t> </w:t>
        <w:tab/>
      </w:r>
      <w:r>
        <w:rPr>
          <w:u w:val="single"/>
        </w:rPr>
        <w:t>5,127</w:t>
        <w:tab/>
      </w:r>
      <w:r>
        <w:rPr>
          <w:b w:val="0"/>
          <w:u w:val="single"/>
        </w:rPr>
        <w:t>-</w:t>
      </w:r>
    </w:p>
    <w:p>
      <w:pPr>
        <w:pStyle w:val="BodyText"/>
        <w:spacing w:before="6"/>
        <w:rPr>
          <w:sz w:val="14"/>
        </w:rPr>
      </w:pPr>
    </w:p>
    <w:p>
      <w:pPr>
        <w:pStyle w:val="BodyText"/>
        <w:spacing w:before="77"/>
        <w:ind w:left="504" w:right="125"/>
      </w:pPr>
      <w:r>
        <w:rPr/>
        <w:t>Trade and other receivables are non-interest bearing.</w:t>
      </w:r>
    </w:p>
    <w:p>
      <w:pPr>
        <w:pStyle w:val="Heading9"/>
        <w:numPr>
          <w:ilvl w:val="1"/>
          <w:numId w:val="139"/>
        </w:numPr>
        <w:tabs>
          <w:tab w:pos="1071" w:val="left" w:leader="none"/>
        </w:tabs>
        <w:spacing w:line="240" w:lineRule="auto" w:before="138" w:after="0"/>
        <w:ind w:left="1070" w:right="0" w:hanging="566"/>
        <w:jc w:val="left"/>
      </w:pPr>
      <w:r>
        <w:rPr/>
        <w:t>Fair value and credit</w:t>
      </w:r>
      <w:r>
        <w:rPr>
          <w:spacing w:val="-1"/>
        </w:rPr>
        <w:t> </w:t>
      </w:r>
      <w:r>
        <w:rPr/>
        <w:t>risk</w:t>
      </w:r>
    </w:p>
    <w:p>
      <w:pPr>
        <w:pStyle w:val="BodyText"/>
        <w:spacing w:before="146"/>
        <w:ind w:left="1072" w:right="115"/>
        <w:jc w:val="both"/>
      </w:pPr>
      <w:r>
        <w:rPr/>
        <w:t>Due to the short-term nature of these receivables, their carrying amount is assumed to approximate their fair value.</w:t>
      </w:r>
    </w:p>
    <w:p>
      <w:pPr>
        <w:pStyle w:val="BodyText"/>
        <w:spacing w:before="146"/>
        <w:ind w:left="1072" w:right="116"/>
        <w:jc w:val="both"/>
      </w:pPr>
      <w:r>
        <w:rPr/>
        <w:t>The maximum exposure to credit risk at the end of each reporting period is the carrying amount of each class of receivables mentioned above. The fair value of securities held for certain trade receivables is insignificant as is the fair value of any collateral sold or re-pledged. Refer to note 2 for more informaiton on the risk management policy of the Trust and the credit quality of the entity's trade receivables.</w:t>
      </w:r>
    </w:p>
    <w:p>
      <w:pPr>
        <w:pStyle w:val="BodyText"/>
        <w:spacing w:before="3"/>
      </w:pPr>
    </w:p>
    <w:p>
      <w:pPr>
        <w:spacing w:after="0"/>
        <w:sectPr>
          <w:type w:val="continuous"/>
          <w:pgSz w:w="11910" w:h="16840"/>
          <w:pgMar w:top="0" w:bottom="280" w:left="900" w:right="860"/>
        </w:sectPr>
      </w:pPr>
    </w:p>
    <w:p>
      <w:pPr>
        <w:pStyle w:val="Heading9"/>
        <w:numPr>
          <w:ilvl w:val="0"/>
          <w:numId w:val="139"/>
        </w:numPr>
        <w:tabs>
          <w:tab w:pos="504" w:val="left" w:leader="none"/>
        </w:tabs>
        <w:spacing w:line="693" w:lineRule="auto" w:before="77" w:after="0"/>
        <w:ind w:left="504" w:right="0" w:hanging="394"/>
        <w:jc w:val="left"/>
      </w:pPr>
      <w:r>
        <w:rPr/>
        <w:pict>
          <v:shape style="position:absolute;margin-left:68.449997pt;margin-top:45.199066pt;width:475.1pt;height:214.25pt;mso-position-horizontal-relative:page;mso-position-vertical-relative:paragraph;z-index:620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800"/>
                    <w:gridCol w:w="4702"/>
                  </w:tblGrid>
                  <w:tr>
                    <w:trPr>
                      <w:trHeight w:val="199" w:hRule="exact"/>
                    </w:trPr>
                    <w:tc>
                      <w:tcPr>
                        <w:tcW w:w="4800" w:type="dxa"/>
                      </w:tcPr>
                      <w:p>
                        <w:pPr>
                          <w:pStyle w:val="TableParagraph"/>
                          <w:spacing w:line="184" w:lineRule="exact"/>
                          <w:ind w:left="35"/>
                          <w:rPr>
                            <w:sz w:val="18"/>
                          </w:rPr>
                        </w:pPr>
                        <w:r>
                          <w:rPr>
                            <w:sz w:val="18"/>
                          </w:rPr>
                          <w:t>Valuation</w:t>
                        </w:r>
                      </w:p>
                    </w:tc>
                    <w:tc>
                      <w:tcPr>
                        <w:tcW w:w="4702" w:type="dxa"/>
                      </w:tcPr>
                      <w:p>
                        <w:pPr>
                          <w:pStyle w:val="TableParagraph"/>
                          <w:tabs>
                            <w:tab w:pos="551" w:val="left" w:leader="none"/>
                            <w:tab w:pos="1850" w:val="left" w:leader="none"/>
                          </w:tabs>
                          <w:spacing w:line="184" w:lineRule="exact"/>
                          <w:ind w:right="33"/>
                          <w:jc w:val="right"/>
                          <w:rPr>
                            <w:sz w:val="18"/>
                          </w:rPr>
                        </w:pPr>
                        <w:r>
                          <w:rPr>
                            <w:rFonts w:ascii="Times New Roman"/>
                            <w:sz w:val="18"/>
                            <w:u w:val="single"/>
                          </w:rPr>
                          <w:t> </w:t>
                          <w:tab/>
                        </w:r>
                        <w:r>
                          <w:rPr>
                            <w:sz w:val="18"/>
                            <w:u w:val="single"/>
                          </w:rPr>
                          <w:t>263,685</w:t>
                          <w:tab/>
                        </w:r>
                        <w:r>
                          <w:rPr>
                            <w:w w:val="95"/>
                            <w:sz w:val="18"/>
                            <w:u w:val="single"/>
                          </w:rPr>
                          <w:t>263,685</w:t>
                        </w:r>
                      </w:p>
                    </w:tc>
                  </w:tr>
                  <w:tr>
                    <w:trPr>
                      <w:trHeight w:val="290" w:hRule="exact"/>
                    </w:trPr>
                    <w:tc>
                      <w:tcPr>
                        <w:tcW w:w="4800" w:type="dxa"/>
                      </w:tcPr>
                      <w:p>
                        <w:pPr>
                          <w:pStyle w:val="TableParagraph"/>
                          <w:spacing w:line="201" w:lineRule="exact"/>
                          <w:ind w:left="35"/>
                          <w:rPr>
                            <w:sz w:val="18"/>
                          </w:rPr>
                        </w:pPr>
                        <w:r>
                          <w:rPr>
                            <w:sz w:val="18"/>
                          </w:rPr>
                          <w:t>Net book amount</w:t>
                        </w:r>
                      </w:p>
                    </w:tc>
                    <w:tc>
                      <w:tcPr>
                        <w:tcW w:w="4702" w:type="dxa"/>
                      </w:tcPr>
                      <w:p>
                        <w:pPr>
                          <w:pStyle w:val="TableParagraph"/>
                          <w:tabs>
                            <w:tab w:pos="551" w:val="left" w:leader="none"/>
                            <w:tab w:pos="1850" w:val="left" w:leader="none"/>
                          </w:tabs>
                          <w:spacing w:line="201" w:lineRule="exact"/>
                          <w:ind w:right="33"/>
                          <w:jc w:val="right"/>
                          <w:rPr>
                            <w:sz w:val="18"/>
                          </w:rPr>
                        </w:pPr>
                        <w:r>
                          <w:rPr>
                            <w:rFonts w:ascii="Times New Roman"/>
                            <w:sz w:val="18"/>
                            <w:u w:val="single"/>
                          </w:rPr>
                          <w:t> </w:t>
                          <w:tab/>
                        </w:r>
                        <w:r>
                          <w:rPr>
                            <w:sz w:val="18"/>
                            <w:u w:val="single"/>
                          </w:rPr>
                          <w:t>263,685</w:t>
                          <w:tab/>
                        </w:r>
                        <w:r>
                          <w:rPr>
                            <w:w w:val="95"/>
                            <w:sz w:val="18"/>
                            <w:u w:val="single"/>
                          </w:rPr>
                          <w:t>263,685</w:t>
                        </w:r>
                      </w:p>
                    </w:tc>
                  </w:tr>
                  <w:tr>
                    <w:trPr>
                      <w:trHeight w:val="491" w:hRule="exact"/>
                    </w:trPr>
                    <w:tc>
                      <w:tcPr>
                        <w:tcW w:w="4800" w:type="dxa"/>
                      </w:tcPr>
                      <w:p>
                        <w:pPr>
                          <w:pStyle w:val="TableParagraph"/>
                          <w:spacing w:line="207" w:lineRule="exact" w:before="69"/>
                          <w:ind w:left="35"/>
                          <w:rPr>
                            <w:b/>
                            <w:sz w:val="18"/>
                          </w:rPr>
                        </w:pPr>
                        <w:r>
                          <w:rPr>
                            <w:b/>
                            <w:sz w:val="18"/>
                          </w:rPr>
                          <w:t>Year ended 31 December 2011</w:t>
                        </w:r>
                      </w:p>
                      <w:p>
                        <w:pPr>
                          <w:pStyle w:val="TableParagraph"/>
                          <w:spacing w:line="207" w:lineRule="exact"/>
                          <w:ind w:left="35"/>
                          <w:rPr>
                            <w:sz w:val="18"/>
                          </w:rPr>
                        </w:pPr>
                        <w:r>
                          <w:rPr>
                            <w:sz w:val="18"/>
                          </w:rPr>
                          <w:t>Opening net book amount</w:t>
                        </w:r>
                      </w:p>
                    </w:tc>
                    <w:tc>
                      <w:tcPr>
                        <w:tcW w:w="4702" w:type="dxa"/>
                      </w:tcPr>
                      <w:p>
                        <w:pPr>
                          <w:pStyle w:val="TableParagraph"/>
                          <w:spacing w:before="10"/>
                          <w:rPr>
                            <w:b/>
                            <w:sz w:val="23"/>
                          </w:rPr>
                        </w:pPr>
                      </w:p>
                      <w:p>
                        <w:pPr>
                          <w:pStyle w:val="TableParagraph"/>
                          <w:tabs>
                            <w:tab w:pos="1298" w:val="left" w:leader="none"/>
                          </w:tabs>
                          <w:spacing w:before="1"/>
                          <w:ind w:right="33"/>
                          <w:jc w:val="right"/>
                          <w:rPr>
                            <w:sz w:val="18"/>
                          </w:rPr>
                        </w:pPr>
                        <w:r>
                          <w:rPr>
                            <w:sz w:val="18"/>
                          </w:rPr>
                          <w:t>263,685</w:t>
                          <w:tab/>
                        </w:r>
                        <w:r>
                          <w:rPr>
                            <w:w w:val="95"/>
                            <w:sz w:val="18"/>
                          </w:rPr>
                          <w:t>263,685</w:t>
                        </w:r>
                      </w:p>
                    </w:tc>
                  </w:tr>
                  <w:tr>
                    <w:trPr>
                      <w:trHeight w:val="212" w:hRule="exact"/>
                    </w:trPr>
                    <w:tc>
                      <w:tcPr>
                        <w:tcW w:w="4800" w:type="dxa"/>
                      </w:tcPr>
                      <w:p>
                        <w:pPr>
                          <w:pStyle w:val="TableParagraph"/>
                          <w:spacing w:line="197" w:lineRule="exact"/>
                          <w:ind w:left="35"/>
                          <w:rPr>
                            <w:sz w:val="18"/>
                          </w:rPr>
                        </w:pPr>
                        <w:r>
                          <w:rPr>
                            <w:sz w:val="18"/>
                          </w:rPr>
                          <w:t>Revaluation</w:t>
                        </w:r>
                      </w:p>
                    </w:tc>
                    <w:tc>
                      <w:tcPr>
                        <w:tcW w:w="4702" w:type="dxa"/>
                      </w:tcPr>
                      <w:p>
                        <w:pPr>
                          <w:pStyle w:val="TableParagraph"/>
                          <w:tabs>
                            <w:tab w:pos="1147" w:val="left" w:leader="none"/>
                            <w:tab w:pos="2445" w:val="left" w:leader="none"/>
                          </w:tabs>
                          <w:spacing w:line="197" w:lineRule="exact"/>
                          <w:ind w:right="33"/>
                          <w:jc w:val="right"/>
                          <w:rPr>
                            <w:sz w:val="18"/>
                          </w:rPr>
                        </w:pPr>
                        <w:r>
                          <w:rPr>
                            <w:rFonts w:ascii="Times New Roman"/>
                            <w:sz w:val="18"/>
                            <w:u w:val="single"/>
                          </w:rPr>
                          <w:t> </w:t>
                          <w:tab/>
                        </w:r>
                        <w:r>
                          <w:rPr>
                            <w:sz w:val="18"/>
                            <w:u w:val="single"/>
                          </w:rPr>
                          <w:t>-</w:t>
                          <w:tab/>
                          <w:t>-</w:t>
                        </w:r>
                      </w:p>
                    </w:tc>
                  </w:tr>
                  <w:tr>
                    <w:trPr>
                      <w:trHeight w:val="290" w:hRule="exact"/>
                    </w:trPr>
                    <w:tc>
                      <w:tcPr>
                        <w:tcW w:w="4800" w:type="dxa"/>
                      </w:tcPr>
                      <w:p>
                        <w:pPr>
                          <w:pStyle w:val="TableParagraph"/>
                          <w:spacing w:line="201" w:lineRule="exact"/>
                          <w:ind w:left="35"/>
                          <w:rPr>
                            <w:sz w:val="18"/>
                          </w:rPr>
                        </w:pPr>
                        <w:r>
                          <w:rPr>
                            <w:sz w:val="18"/>
                          </w:rPr>
                          <w:t>Closing net book amount</w:t>
                        </w:r>
                      </w:p>
                    </w:tc>
                    <w:tc>
                      <w:tcPr>
                        <w:tcW w:w="4702" w:type="dxa"/>
                      </w:tcPr>
                      <w:p>
                        <w:pPr>
                          <w:pStyle w:val="TableParagraph"/>
                          <w:tabs>
                            <w:tab w:pos="551" w:val="left" w:leader="none"/>
                            <w:tab w:pos="1850" w:val="left" w:leader="none"/>
                          </w:tabs>
                          <w:spacing w:line="201" w:lineRule="exact"/>
                          <w:ind w:right="33"/>
                          <w:jc w:val="right"/>
                          <w:rPr>
                            <w:sz w:val="18"/>
                          </w:rPr>
                        </w:pPr>
                        <w:r>
                          <w:rPr>
                            <w:rFonts w:ascii="Times New Roman"/>
                            <w:sz w:val="18"/>
                            <w:u w:val="single"/>
                          </w:rPr>
                          <w:t> </w:t>
                          <w:tab/>
                        </w:r>
                        <w:r>
                          <w:rPr>
                            <w:sz w:val="18"/>
                            <w:u w:val="single"/>
                          </w:rPr>
                          <w:t>263,685</w:t>
                          <w:tab/>
                        </w:r>
                        <w:r>
                          <w:rPr>
                            <w:w w:val="95"/>
                            <w:sz w:val="18"/>
                            <w:u w:val="single"/>
                          </w:rPr>
                          <w:t>263,685</w:t>
                        </w:r>
                      </w:p>
                    </w:tc>
                  </w:tr>
                  <w:tr>
                    <w:trPr>
                      <w:trHeight w:val="497" w:hRule="exact"/>
                    </w:trPr>
                    <w:tc>
                      <w:tcPr>
                        <w:tcW w:w="4800" w:type="dxa"/>
                      </w:tcPr>
                      <w:p>
                        <w:pPr>
                          <w:pStyle w:val="TableParagraph"/>
                          <w:spacing w:line="207" w:lineRule="exact" w:before="69"/>
                          <w:ind w:left="35"/>
                          <w:rPr>
                            <w:b/>
                            <w:sz w:val="18"/>
                          </w:rPr>
                        </w:pPr>
                        <w:r>
                          <w:rPr>
                            <w:b/>
                            <w:sz w:val="18"/>
                          </w:rPr>
                          <w:t>At 31 December 2011</w:t>
                        </w:r>
                      </w:p>
                      <w:p>
                        <w:pPr>
                          <w:pStyle w:val="TableParagraph"/>
                          <w:spacing w:line="207" w:lineRule="exact"/>
                          <w:ind w:left="35"/>
                          <w:rPr>
                            <w:sz w:val="18"/>
                          </w:rPr>
                        </w:pPr>
                        <w:r>
                          <w:rPr>
                            <w:sz w:val="18"/>
                          </w:rPr>
                          <w:t>Valuation</w:t>
                        </w:r>
                      </w:p>
                    </w:tc>
                    <w:tc>
                      <w:tcPr>
                        <w:tcW w:w="4702" w:type="dxa"/>
                      </w:tcPr>
                      <w:p>
                        <w:pPr>
                          <w:pStyle w:val="TableParagraph"/>
                          <w:spacing w:before="10"/>
                          <w:rPr>
                            <w:b/>
                            <w:sz w:val="23"/>
                          </w:rPr>
                        </w:pPr>
                      </w:p>
                      <w:p>
                        <w:pPr>
                          <w:pStyle w:val="TableParagraph"/>
                          <w:tabs>
                            <w:tab w:pos="551" w:val="left" w:leader="none"/>
                            <w:tab w:pos="1850" w:val="left" w:leader="none"/>
                          </w:tabs>
                          <w:spacing w:before="1"/>
                          <w:ind w:right="33"/>
                          <w:jc w:val="right"/>
                          <w:rPr>
                            <w:sz w:val="18"/>
                          </w:rPr>
                        </w:pPr>
                        <w:r>
                          <w:rPr>
                            <w:rFonts w:ascii="Times New Roman"/>
                            <w:sz w:val="18"/>
                            <w:u w:val="single"/>
                          </w:rPr>
                          <w:t> </w:t>
                          <w:tab/>
                        </w:r>
                        <w:r>
                          <w:rPr>
                            <w:sz w:val="18"/>
                            <w:u w:val="single"/>
                          </w:rPr>
                          <w:t>263,685</w:t>
                          <w:tab/>
                        </w:r>
                        <w:r>
                          <w:rPr>
                            <w:w w:val="95"/>
                            <w:sz w:val="18"/>
                            <w:u w:val="single"/>
                          </w:rPr>
                          <w:t>263,685</w:t>
                        </w:r>
                      </w:p>
                    </w:tc>
                  </w:tr>
                  <w:tr>
                    <w:trPr>
                      <w:trHeight w:val="290" w:hRule="exact"/>
                    </w:trPr>
                    <w:tc>
                      <w:tcPr>
                        <w:tcW w:w="4800" w:type="dxa"/>
                      </w:tcPr>
                      <w:p>
                        <w:pPr>
                          <w:pStyle w:val="TableParagraph"/>
                          <w:spacing w:line="201" w:lineRule="exact"/>
                          <w:ind w:left="35"/>
                          <w:rPr>
                            <w:sz w:val="18"/>
                          </w:rPr>
                        </w:pPr>
                        <w:r>
                          <w:rPr>
                            <w:sz w:val="18"/>
                          </w:rPr>
                          <w:t>Net book amount</w:t>
                        </w:r>
                      </w:p>
                    </w:tc>
                    <w:tc>
                      <w:tcPr>
                        <w:tcW w:w="4702" w:type="dxa"/>
                      </w:tcPr>
                      <w:p>
                        <w:pPr>
                          <w:pStyle w:val="TableParagraph"/>
                          <w:tabs>
                            <w:tab w:pos="551" w:val="left" w:leader="none"/>
                            <w:tab w:pos="1850" w:val="left" w:leader="none"/>
                          </w:tabs>
                          <w:spacing w:line="201" w:lineRule="exact"/>
                          <w:ind w:right="33"/>
                          <w:jc w:val="right"/>
                          <w:rPr>
                            <w:sz w:val="18"/>
                          </w:rPr>
                        </w:pPr>
                        <w:r>
                          <w:rPr>
                            <w:rFonts w:ascii="Times New Roman"/>
                            <w:sz w:val="18"/>
                            <w:u w:val="single"/>
                          </w:rPr>
                          <w:t> </w:t>
                          <w:tab/>
                        </w:r>
                        <w:r>
                          <w:rPr>
                            <w:sz w:val="18"/>
                            <w:u w:val="single"/>
                          </w:rPr>
                          <w:t>263,685</w:t>
                          <w:tab/>
                        </w:r>
                        <w:r>
                          <w:rPr>
                            <w:w w:val="95"/>
                            <w:sz w:val="18"/>
                            <w:u w:val="single"/>
                          </w:rPr>
                          <w:t>263,685</w:t>
                        </w:r>
                      </w:p>
                    </w:tc>
                  </w:tr>
                  <w:tr>
                    <w:trPr>
                      <w:trHeight w:val="295" w:hRule="exact"/>
                    </w:trPr>
                    <w:tc>
                      <w:tcPr>
                        <w:tcW w:w="4800" w:type="dxa"/>
                      </w:tcPr>
                      <w:p>
                        <w:pPr>
                          <w:pStyle w:val="TableParagraph"/>
                          <w:spacing w:before="69"/>
                          <w:ind w:left="35"/>
                          <w:rPr>
                            <w:b/>
                            <w:sz w:val="18"/>
                          </w:rPr>
                        </w:pPr>
                        <w:r>
                          <w:rPr>
                            <w:b/>
                            <w:sz w:val="18"/>
                          </w:rPr>
                          <w:t>Year ended 31 December 2012</w:t>
                        </w:r>
                      </w:p>
                    </w:tc>
                    <w:tc>
                      <w:tcPr>
                        <w:tcW w:w="4702" w:type="dxa"/>
                      </w:tcPr>
                      <w:p>
                        <w:pPr/>
                      </w:p>
                    </w:tc>
                  </w:tr>
                  <w:tr>
                    <w:trPr>
                      <w:trHeight w:val="216" w:hRule="exact"/>
                    </w:trPr>
                    <w:tc>
                      <w:tcPr>
                        <w:tcW w:w="4800" w:type="dxa"/>
                      </w:tcPr>
                      <w:p>
                        <w:pPr>
                          <w:pStyle w:val="TableParagraph"/>
                          <w:ind w:left="35"/>
                          <w:rPr>
                            <w:sz w:val="18"/>
                          </w:rPr>
                        </w:pPr>
                        <w:r>
                          <w:rPr>
                            <w:sz w:val="18"/>
                          </w:rPr>
                          <w:t>Opening net book amount</w:t>
                        </w:r>
                      </w:p>
                    </w:tc>
                    <w:tc>
                      <w:tcPr>
                        <w:tcW w:w="4702" w:type="dxa"/>
                      </w:tcPr>
                      <w:p>
                        <w:pPr>
                          <w:pStyle w:val="TableParagraph"/>
                          <w:tabs>
                            <w:tab w:pos="1298" w:val="left" w:leader="none"/>
                          </w:tabs>
                          <w:ind w:right="33"/>
                          <w:jc w:val="right"/>
                          <w:rPr>
                            <w:sz w:val="18"/>
                          </w:rPr>
                        </w:pPr>
                        <w:r>
                          <w:rPr>
                            <w:sz w:val="18"/>
                          </w:rPr>
                          <w:t>263,685</w:t>
                          <w:tab/>
                        </w:r>
                        <w:r>
                          <w:rPr>
                            <w:w w:val="95"/>
                            <w:sz w:val="18"/>
                          </w:rPr>
                          <w:t>263,685</w:t>
                        </w:r>
                      </w:p>
                    </w:tc>
                  </w:tr>
                  <w:tr>
                    <w:trPr>
                      <w:trHeight w:val="206" w:hRule="exact"/>
                    </w:trPr>
                    <w:tc>
                      <w:tcPr>
                        <w:tcW w:w="4800" w:type="dxa"/>
                      </w:tcPr>
                      <w:p>
                        <w:pPr>
                          <w:pStyle w:val="TableParagraph"/>
                          <w:spacing w:line="197" w:lineRule="exact"/>
                          <w:ind w:left="35"/>
                          <w:rPr>
                            <w:sz w:val="18"/>
                          </w:rPr>
                        </w:pPr>
                        <w:r>
                          <w:rPr>
                            <w:sz w:val="18"/>
                          </w:rPr>
                          <w:t>Revaluation</w:t>
                        </w:r>
                      </w:p>
                    </w:tc>
                    <w:tc>
                      <w:tcPr>
                        <w:tcW w:w="4702" w:type="dxa"/>
                      </w:tcPr>
                      <w:p>
                        <w:pPr>
                          <w:pStyle w:val="TableParagraph"/>
                          <w:tabs>
                            <w:tab w:pos="1298" w:val="left" w:leader="none"/>
                          </w:tabs>
                          <w:spacing w:line="197" w:lineRule="exact"/>
                          <w:ind w:right="33"/>
                          <w:jc w:val="right"/>
                          <w:rPr>
                            <w:sz w:val="18"/>
                          </w:rPr>
                        </w:pPr>
                        <w:r>
                          <w:rPr>
                            <w:sz w:val="18"/>
                          </w:rPr>
                          <w:t>-</w:t>
                          <w:tab/>
                        </w:r>
                        <w:r>
                          <w:rPr>
                            <w:spacing w:val="-1"/>
                            <w:sz w:val="18"/>
                          </w:rPr>
                          <w:t>-</w:t>
                        </w:r>
                      </w:p>
                    </w:tc>
                  </w:tr>
                  <w:tr>
                    <w:trPr>
                      <w:trHeight w:val="212" w:hRule="exact"/>
                    </w:trPr>
                    <w:tc>
                      <w:tcPr>
                        <w:tcW w:w="4800" w:type="dxa"/>
                      </w:tcPr>
                      <w:p>
                        <w:pPr>
                          <w:pStyle w:val="TableParagraph"/>
                          <w:spacing w:line="197" w:lineRule="exact"/>
                          <w:ind w:left="35"/>
                          <w:rPr>
                            <w:sz w:val="18"/>
                          </w:rPr>
                        </w:pPr>
                        <w:r>
                          <w:rPr>
                            <w:sz w:val="18"/>
                          </w:rPr>
                          <w:t>Additions</w:t>
                        </w:r>
                      </w:p>
                    </w:tc>
                    <w:tc>
                      <w:tcPr>
                        <w:tcW w:w="4702" w:type="dxa"/>
                      </w:tcPr>
                      <w:p>
                        <w:pPr>
                          <w:pStyle w:val="TableParagraph"/>
                          <w:tabs>
                            <w:tab w:pos="551" w:val="left" w:leader="none"/>
                            <w:tab w:pos="1850" w:val="left" w:leader="none"/>
                          </w:tabs>
                          <w:spacing w:line="197" w:lineRule="exact"/>
                          <w:ind w:right="33"/>
                          <w:jc w:val="right"/>
                          <w:rPr>
                            <w:sz w:val="18"/>
                          </w:rPr>
                        </w:pPr>
                        <w:r>
                          <w:rPr>
                            <w:rFonts w:ascii="Times New Roman"/>
                            <w:sz w:val="18"/>
                            <w:u w:val="single"/>
                          </w:rPr>
                          <w:t> </w:t>
                          <w:tab/>
                        </w:r>
                        <w:r>
                          <w:rPr>
                            <w:sz w:val="18"/>
                            <w:u w:val="single"/>
                          </w:rPr>
                          <w:t>198,117</w:t>
                          <w:tab/>
                        </w:r>
                        <w:r>
                          <w:rPr>
                            <w:w w:val="95"/>
                            <w:sz w:val="18"/>
                            <w:u w:val="single"/>
                          </w:rPr>
                          <w:t>198,117</w:t>
                        </w:r>
                      </w:p>
                    </w:tc>
                  </w:tr>
                  <w:tr>
                    <w:trPr>
                      <w:trHeight w:val="290" w:hRule="exact"/>
                    </w:trPr>
                    <w:tc>
                      <w:tcPr>
                        <w:tcW w:w="4800" w:type="dxa"/>
                      </w:tcPr>
                      <w:p>
                        <w:pPr>
                          <w:pStyle w:val="TableParagraph"/>
                          <w:spacing w:line="201" w:lineRule="exact"/>
                          <w:ind w:left="35"/>
                          <w:rPr>
                            <w:sz w:val="18"/>
                          </w:rPr>
                        </w:pPr>
                        <w:r>
                          <w:rPr>
                            <w:sz w:val="18"/>
                          </w:rPr>
                          <w:t>Closing net book amount</w:t>
                        </w:r>
                      </w:p>
                    </w:tc>
                    <w:tc>
                      <w:tcPr>
                        <w:tcW w:w="4702" w:type="dxa"/>
                      </w:tcPr>
                      <w:p>
                        <w:pPr>
                          <w:pStyle w:val="TableParagraph"/>
                          <w:tabs>
                            <w:tab w:pos="551" w:val="left" w:leader="none"/>
                            <w:tab w:pos="1850" w:val="left" w:leader="none"/>
                          </w:tabs>
                          <w:spacing w:line="201" w:lineRule="exact"/>
                          <w:ind w:right="33"/>
                          <w:jc w:val="right"/>
                          <w:rPr>
                            <w:sz w:val="18"/>
                          </w:rPr>
                        </w:pPr>
                        <w:r>
                          <w:rPr>
                            <w:rFonts w:ascii="Times New Roman"/>
                            <w:sz w:val="18"/>
                            <w:u w:val="single"/>
                          </w:rPr>
                          <w:t> </w:t>
                          <w:tab/>
                        </w:r>
                        <w:r>
                          <w:rPr>
                            <w:sz w:val="18"/>
                            <w:u w:val="single"/>
                          </w:rPr>
                          <w:t>461,802</w:t>
                          <w:tab/>
                        </w:r>
                        <w:r>
                          <w:rPr>
                            <w:w w:val="95"/>
                            <w:sz w:val="18"/>
                            <w:u w:val="single"/>
                          </w:rPr>
                          <w:t>461,802</w:t>
                        </w:r>
                      </w:p>
                    </w:tc>
                  </w:tr>
                  <w:tr>
                    <w:trPr>
                      <w:trHeight w:val="497" w:hRule="exact"/>
                    </w:trPr>
                    <w:tc>
                      <w:tcPr>
                        <w:tcW w:w="4800" w:type="dxa"/>
                      </w:tcPr>
                      <w:p>
                        <w:pPr>
                          <w:pStyle w:val="TableParagraph"/>
                          <w:spacing w:line="207" w:lineRule="exact" w:before="69"/>
                          <w:ind w:left="35"/>
                          <w:rPr>
                            <w:b/>
                            <w:sz w:val="18"/>
                          </w:rPr>
                        </w:pPr>
                        <w:r>
                          <w:rPr>
                            <w:b/>
                            <w:sz w:val="18"/>
                          </w:rPr>
                          <w:t>At 31 December 2012</w:t>
                        </w:r>
                      </w:p>
                      <w:p>
                        <w:pPr>
                          <w:pStyle w:val="TableParagraph"/>
                          <w:spacing w:line="207" w:lineRule="exact"/>
                          <w:ind w:left="35"/>
                          <w:rPr>
                            <w:sz w:val="18"/>
                          </w:rPr>
                        </w:pPr>
                        <w:r>
                          <w:rPr>
                            <w:sz w:val="18"/>
                          </w:rPr>
                          <w:t>Valuation</w:t>
                        </w:r>
                      </w:p>
                    </w:tc>
                    <w:tc>
                      <w:tcPr>
                        <w:tcW w:w="4702" w:type="dxa"/>
                      </w:tcPr>
                      <w:p>
                        <w:pPr>
                          <w:pStyle w:val="TableParagraph"/>
                          <w:spacing w:before="10"/>
                          <w:rPr>
                            <w:b/>
                            <w:sz w:val="23"/>
                          </w:rPr>
                        </w:pPr>
                      </w:p>
                      <w:p>
                        <w:pPr>
                          <w:pStyle w:val="TableParagraph"/>
                          <w:tabs>
                            <w:tab w:pos="551" w:val="left" w:leader="none"/>
                            <w:tab w:pos="1850" w:val="left" w:leader="none"/>
                          </w:tabs>
                          <w:spacing w:before="1"/>
                          <w:ind w:right="33"/>
                          <w:jc w:val="right"/>
                          <w:rPr>
                            <w:sz w:val="18"/>
                          </w:rPr>
                        </w:pPr>
                        <w:r>
                          <w:rPr>
                            <w:rFonts w:ascii="Times New Roman"/>
                            <w:sz w:val="18"/>
                            <w:u w:val="single"/>
                          </w:rPr>
                          <w:t> </w:t>
                          <w:tab/>
                        </w:r>
                        <w:r>
                          <w:rPr>
                            <w:sz w:val="18"/>
                            <w:u w:val="single"/>
                          </w:rPr>
                          <w:t>461,802</w:t>
                          <w:tab/>
                        </w:r>
                        <w:r>
                          <w:rPr>
                            <w:w w:val="95"/>
                            <w:sz w:val="18"/>
                            <w:u w:val="single"/>
                          </w:rPr>
                          <w:t>461,802</w:t>
                        </w:r>
                      </w:p>
                    </w:tc>
                  </w:tr>
                  <w:tr>
                    <w:trPr>
                      <w:trHeight w:val="299" w:hRule="exact"/>
                    </w:trPr>
                    <w:tc>
                      <w:tcPr>
                        <w:tcW w:w="4800" w:type="dxa"/>
                      </w:tcPr>
                      <w:p>
                        <w:pPr>
                          <w:pStyle w:val="TableParagraph"/>
                          <w:spacing w:line="201" w:lineRule="exact"/>
                          <w:ind w:left="35"/>
                          <w:rPr>
                            <w:sz w:val="18"/>
                          </w:rPr>
                        </w:pPr>
                        <w:r>
                          <w:rPr>
                            <w:sz w:val="18"/>
                          </w:rPr>
                          <w:t>Net book amount</w:t>
                        </w:r>
                      </w:p>
                    </w:tc>
                    <w:tc>
                      <w:tcPr>
                        <w:tcW w:w="4702" w:type="dxa"/>
                      </w:tcPr>
                      <w:p>
                        <w:pPr>
                          <w:pStyle w:val="TableParagraph"/>
                          <w:tabs>
                            <w:tab w:pos="551" w:val="left" w:leader="none"/>
                            <w:tab w:pos="1850" w:val="left" w:leader="none"/>
                          </w:tabs>
                          <w:spacing w:line="201" w:lineRule="exact"/>
                          <w:ind w:right="33"/>
                          <w:jc w:val="right"/>
                          <w:rPr>
                            <w:sz w:val="18"/>
                          </w:rPr>
                        </w:pPr>
                        <w:r>
                          <w:rPr>
                            <w:rFonts w:ascii="Times New Roman"/>
                            <w:sz w:val="18"/>
                            <w:u w:val="single"/>
                          </w:rPr>
                          <w:t> </w:t>
                          <w:tab/>
                        </w:r>
                        <w:r>
                          <w:rPr>
                            <w:sz w:val="18"/>
                            <w:u w:val="single"/>
                          </w:rPr>
                          <w:t>461,802</w:t>
                          <w:tab/>
                        </w:r>
                        <w:r>
                          <w:rPr>
                            <w:w w:val="95"/>
                            <w:sz w:val="18"/>
                            <w:u w:val="single"/>
                          </w:rPr>
                          <w:t>461,802</w:t>
                        </w:r>
                      </w:p>
                    </w:tc>
                  </w:tr>
                </w:tbl>
                <w:p>
                  <w:pPr>
                    <w:pStyle w:val="BodyText"/>
                  </w:pPr>
                </w:p>
              </w:txbxContent>
            </v:textbox>
            <w10:wrap type="none"/>
          </v:shape>
        </w:pict>
      </w:r>
      <w:r>
        <w:rPr/>
        <w:t>Property, plant and</w:t>
      </w:r>
      <w:r>
        <w:rPr>
          <w:spacing w:val="-9"/>
        </w:rPr>
        <w:t> </w:t>
      </w:r>
      <w:r>
        <w:rPr/>
        <w:t>equipment At 1 January</w:t>
      </w:r>
      <w:r>
        <w:rPr>
          <w:spacing w:val="-10"/>
        </w:rPr>
        <w:t> </w:t>
      </w:r>
      <w:r>
        <w:rPr/>
        <w:t>2011</w:t>
      </w:r>
    </w:p>
    <w:p>
      <w:pPr>
        <w:pStyle w:val="BodyText"/>
        <w:spacing w:before="7"/>
        <w:rPr>
          <w:b/>
          <w:sz w:val="24"/>
        </w:rPr>
      </w:pPr>
      <w:r>
        <w:rPr/>
        <w:br w:type="column"/>
      </w:r>
      <w:r>
        <w:rPr>
          <w:b/>
          <w:sz w:val="24"/>
        </w:rPr>
      </w:r>
    </w:p>
    <w:p>
      <w:pPr>
        <w:spacing w:line="206" w:lineRule="exact" w:before="1"/>
        <w:ind w:left="110" w:right="0" w:firstLine="0"/>
        <w:jc w:val="center"/>
        <w:rPr>
          <w:b/>
          <w:sz w:val="18"/>
        </w:rPr>
      </w:pPr>
      <w:r>
        <w:rPr>
          <w:b/>
          <w:sz w:val="18"/>
        </w:rPr>
        <w:t>Library</w:t>
      </w:r>
    </w:p>
    <w:p>
      <w:pPr>
        <w:spacing w:line="183" w:lineRule="exact" w:before="0"/>
        <w:ind w:left="101" w:right="0" w:firstLine="0"/>
        <w:jc w:val="center"/>
        <w:rPr>
          <w:b/>
          <w:sz w:val="16"/>
        </w:rPr>
      </w:pPr>
      <w:r>
        <w:rPr>
          <w:b/>
          <w:w w:val="100"/>
          <w:sz w:val="16"/>
        </w:rPr>
        <w:t>$</w:t>
      </w:r>
    </w:p>
    <w:p>
      <w:pPr>
        <w:pStyle w:val="BodyText"/>
        <w:spacing w:before="7"/>
        <w:rPr>
          <w:b/>
          <w:sz w:val="24"/>
        </w:rPr>
      </w:pPr>
      <w:r>
        <w:rPr/>
        <w:br w:type="column"/>
      </w:r>
      <w:r>
        <w:rPr>
          <w:b/>
          <w:sz w:val="24"/>
        </w:rPr>
      </w:r>
    </w:p>
    <w:p>
      <w:pPr>
        <w:pStyle w:val="Heading9"/>
        <w:spacing w:line="206" w:lineRule="exact" w:before="1"/>
        <w:ind w:left="95" w:right="552"/>
        <w:jc w:val="center"/>
      </w:pPr>
      <w:r>
        <w:rPr/>
        <w:t>Total</w:t>
      </w:r>
    </w:p>
    <w:p>
      <w:pPr>
        <w:spacing w:line="183" w:lineRule="exact" w:before="0"/>
        <w:ind w:left="0" w:right="454" w:firstLine="0"/>
        <w:jc w:val="center"/>
        <w:rPr>
          <w:b/>
          <w:sz w:val="16"/>
        </w:rPr>
      </w:pPr>
      <w:r>
        <w:rPr>
          <w:b/>
          <w:w w:val="100"/>
          <w:sz w:val="16"/>
        </w:rPr>
        <w:t>$</w:t>
      </w:r>
    </w:p>
    <w:p>
      <w:pPr>
        <w:spacing w:after="0" w:line="183" w:lineRule="exact"/>
        <w:jc w:val="center"/>
        <w:rPr>
          <w:sz w:val="16"/>
        </w:rPr>
        <w:sectPr>
          <w:type w:val="continuous"/>
          <w:pgSz w:w="11910" w:h="16840"/>
          <w:pgMar w:top="0" w:bottom="280" w:left="900" w:right="860"/>
          <w:cols w:num="3" w:equalWidth="0">
            <w:col w:w="3106" w:space="4559"/>
            <w:col w:w="722" w:space="646"/>
            <w:col w:w="1117"/>
          </w:cols>
        </w:sectPr>
      </w:pPr>
    </w:p>
    <w:p>
      <w:pPr>
        <w:pStyle w:val="BodyText"/>
        <w:spacing w:before="1"/>
        <w:rPr>
          <w:b/>
          <w:sz w:val="24"/>
        </w:rPr>
      </w:pPr>
    </w:p>
    <w:p>
      <w:pPr>
        <w:pStyle w:val="Heading3"/>
      </w:pPr>
      <w:r>
        <w:rPr/>
        <w:t>Notes to the financial statements</w:t>
      </w:r>
    </w:p>
    <w:p>
      <w:pPr>
        <w:pStyle w:val="Heading6"/>
        <w:spacing w:before="53"/>
      </w:pPr>
      <w:r>
        <w:rPr/>
        <w:t>For the Year Ended 31 December 2012</w:t>
      </w:r>
    </w:p>
    <w:p>
      <w:pPr>
        <w:pStyle w:val="BodyText"/>
        <w:rPr>
          <w:b/>
          <w:sz w:val="20"/>
        </w:rPr>
      </w:pPr>
    </w:p>
    <w:p>
      <w:pPr>
        <w:pStyle w:val="BodyText"/>
        <w:rPr>
          <w:b/>
          <w:sz w:val="20"/>
        </w:rPr>
      </w:pPr>
    </w:p>
    <w:p>
      <w:pPr>
        <w:spacing w:after="0"/>
        <w:rPr>
          <w:sz w:val="20"/>
        </w:rPr>
        <w:sectPr>
          <w:pgSz w:w="11910" w:h="16840"/>
          <w:pgMar w:header="1037" w:footer="508" w:top="1460" w:bottom="700" w:left="900" w:right="860"/>
        </w:sectPr>
      </w:pPr>
    </w:p>
    <w:p>
      <w:pPr>
        <w:pStyle w:val="BodyText"/>
        <w:rPr>
          <w:b/>
        </w:rPr>
      </w:pPr>
    </w:p>
    <w:p>
      <w:pPr>
        <w:pStyle w:val="Heading9"/>
        <w:numPr>
          <w:ilvl w:val="0"/>
          <w:numId w:val="139"/>
        </w:numPr>
        <w:tabs>
          <w:tab w:pos="504" w:val="left" w:leader="none"/>
        </w:tabs>
        <w:spacing w:line="240" w:lineRule="auto" w:before="0" w:after="0"/>
        <w:ind w:left="504" w:right="0" w:hanging="394"/>
        <w:jc w:val="left"/>
      </w:pPr>
      <w:r>
        <w:rPr/>
        <w:t>Reserves</w:t>
      </w:r>
    </w:p>
    <w:p>
      <w:pPr>
        <w:pStyle w:val="BodyText"/>
        <w:rPr>
          <w:b/>
        </w:rPr>
      </w:pPr>
      <w:r>
        <w:rPr/>
        <w:br w:type="column"/>
      </w:r>
      <w:r>
        <w:rPr>
          <w:b/>
        </w:rPr>
      </w:r>
    </w:p>
    <w:p>
      <w:pPr>
        <w:pStyle w:val="BodyText"/>
        <w:spacing w:before="6"/>
        <w:rPr>
          <w:b/>
          <w:sz w:val="20"/>
        </w:rPr>
      </w:pPr>
    </w:p>
    <w:p>
      <w:pPr>
        <w:spacing w:line="207" w:lineRule="exact" w:before="0"/>
        <w:ind w:left="110" w:right="0" w:firstLine="0"/>
        <w:jc w:val="center"/>
        <w:rPr>
          <w:b/>
          <w:sz w:val="18"/>
        </w:rPr>
      </w:pPr>
      <w:r>
        <w:rPr>
          <w:b/>
          <w:sz w:val="18"/>
        </w:rPr>
        <w:t>2012</w:t>
      </w:r>
    </w:p>
    <w:p>
      <w:pPr>
        <w:spacing w:line="207" w:lineRule="exact" w:before="0"/>
        <w:ind w:left="109" w:right="0" w:firstLine="0"/>
        <w:jc w:val="center"/>
        <w:rPr>
          <w:b/>
          <w:sz w:val="18"/>
        </w:rPr>
      </w:pPr>
      <w:r>
        <w:rPr>
          <w:b/>
          <w:w w:val="99"/>
          <w:sz w:val="18"/>
        </w:rPr>
        <w:t>$</w:t>
      </w:r>
    </w:p>
    <w:p>
      <w:pPr>
        <w:pStyle w:val="BodyText"/>
        <w:rPr>
          <w:b/>
        </w:rPr>
      </w:pPr>
      <w:r>
        <w:rPr/>
        <w:br w:type="column"/>
      </w:r>
      <w:r>
        <w:rPr>
          <w:b/>
        </w:rPr>
      </w:r>
    </w:p>
    <w:p>
      <w:pPr>
        <w:pStyle w:val="BodyText"/>
        <w:spacing w:before="6"/>
        <w:rPr>
          <w:b/>
          <w:sz w:val="20"/>
        </w:rPr>
      </w:pPr>
    </w:p>
    <w:p>
      <w:pPr>
        <w:spacing w:line="207" w:lineRule="exact" w:before="0"/>
        <w:ind w:left="95" w:right="557" w:firstLine="0"/>
        <w:jc w:val="center"/>
        <w:rPr>
          <w:b/>
          <w:sz w:val="18"/>
        </w:rPr>
      </w:pPr>
      <w:r>
        <w:rPr>
          <w:b/>
          <w:sz w:val="18"/>
        </w:rPr>
        <w:t>2011</w:t>
      </w:r>
    </w:p>
    <w:p>
      <w:pPr>
        <w:spacing w:line="207" w:lineRule="exact" w:before="0"/>
        <w:ind w:left="0" w:right="462"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1305" w:space="6456"/>
            <w:col w:w="514" w:space="782"/>
            <w:col w:w="1093"/>
          </w:cols>
        </w:sectPr>
      </w:pPr>
    </w:p>
    <w:p>
      <w:pPr>
        <w:pStyle w:val="BodyText"/>
        <w:tabs>
          <w:tab w:pos="7576" w:val="left" w:leader="none"/>
          <w:tab w:pos="8872" w:val="left" w:leader="none"/>
        </w:tabs>
        <w:spacing w:before="30" w:after="23"/>
        <w:ind w:right="212"/>
        <w:jc w:val="right"/>
      </w:pPr>
      <w:r>
        <w:rPr/>
        <w:t>Revaluation surplus - property, plant</w:t>
      </w:r>
      <w:r>
        <w:rPr>
          <w:spacing w:val="4"/>
        </w:rPr>
        <w:t> </w:t>
      </w:r>
      <w:r>
        <w:rPr/>
        <w:t>and equipment</w:t>
        <w:tab/>
      </w:r>
      <w:r>
        <w:rPr>
          <w:b/>
        </w:rPr>
        <w:t>13,136</w:t>
        <w:tab/>
      </w:r>
      <w:r>
        <w:rPr>
          <w:w w:val="95"/>
        </w:rPr>
        <w:t>13,136</w:t>
      </w:r>
    </w:p>
    <w:p>
      <w:pPr>
        <w:pStyle w:val="BodyText"/>
        <w:spacing w:line="20" w:lineRule="exact"/>
        <w:ind w:left="7426"/>
        <w:rPr>
          <w:sz w:val="2"/>
        </w:rPr>
      </w:pPr>
      <w:r>
        <w:rPr>
          <w:sz w:val="2"/>
        </w:rPr>
        <w:pict>
          <v:group style="width:129.75pt;height:.550pt;mso-position-horizontal-relative:char;mso-position-vertical-relative:line" coordorigin="0,0" coordsize="2595,11">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group>
        </w:pict>
      </w:r>
      <w:r>
        <w:rPr>
          <w:sz w:val="2"/>
        </w:rPr>
      </w:r>
    </w:p>
    <w:p>
      <w:pPr>
        <w:tabs>
          <w:tab w:pos="1295" w:val="left" w:leader="none"/>
        </w:tabs>
        <w:spacing w:before="0"/>
        <w:ind w:left="0" w:right="212" w:firstLine="0"/>
        <w:jc w:val="right"/>
        <w:rPr>
          <w:sz w:val="18"/>
        </w:rPr>
      </w:pPr>
      <w:r>
        <w:rPr>
          <w:b/>
          <w:sz w:val="18"/>
        </w:rPr>
        <w:t>13,136</w:t>
        <w:tab/>
      </w:r>
      <w:r>
        <w:rPr>
          <w:w w:val="95"/>
          <w:sz w:val="18"/>
        </w:rPr>
        <w:t>13,136</w:t>
      </w:r>
    </w:p>
    <w:p>
      <w:pPr>
        <w:pStyle w:val="BodyText"/>
        <w:spacing w:line="20" w:lineRule="exact"/>
        <w:ind w:left="7426"/>
        <w:rPr>
          <w:sz w:val="2"/>
        </w:rPr>
      </w:pPr>
      <w:r>
        <w:rPr>
          <w:sz w:val="2"/>
        </w:rPr>
        <w:pict>
          <v:group style="width:129.75pt;height:1pt;mso-position-horizontal-relative:char;mso-position-vertical-relative:line" coordorigin="0,0" coordsize="2595,20">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16" to="1298,16" stroked="true" strokeweight=".12pt" strokecolor="#000000"/>
            <v:line style="position:absolute" from="2,18" to="1298,18"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16" to="2594,16" stroked="true" strokeweight=".12pt" strokecolor="#000000"/>
            <v:line style="position:absolute" from="1298,18" to="2594,18" stroked="true" strokeweight=".12pt" strokecolor="#000000"/>
          </v:group>
        </w:pict>
      </w:r>
      <w:r>
        <w:rPr>
          <w:sz w:val="2"/>
        </w:rPr>
      </w:r>
    </w:p>
    <w:p>
      <w:pPr>
        <w:pStyle w:val="BodyText"/>
        <w:spacing w:before="2"/>
      </w:pPr>
    </w:p>
    <w:p>
      <w:pPr>
        <w:spacing w:after="0"/>
        <w:sectPr>
          <w:type w:val="continuous"/>
          <w:pgSz w:w="11910" w:h="16840"/>
          <w:pgMar w:top="0" w:bottom="280" w:left="900" w:right="860"/>
        </w:sectPr>
      </w:pPr>
    </w:p>
    <w:p>
      <w:pPr>
        <w:pStyle w:val="Heading9"/>
        <w:spacing w:before="77"/>
        <w:ind w:left="504" w:right="-6"/>
      </w:pPr>
      <w:r>
        <w:rPr/>
        <w:t>Movements</w:t>
      </w:r>
    </w:p>
    <w:p>
      <w:pPr>
        <w:pStyle w:val="BodyText"/>
        <w:rPr>
          <w:b/>
        </w:rPr>
      </w:pPr>
    </w:p>
    <w:p>
      <w:pPr>
        <w:pStyle w:val="BodyText"/>
        <w:spacing w:before="9"/>
        <w:rPr>
          <w:b/>
          <w:sz w:val="17"/>
        </w:rPr>
      </w:pPr>
    </w:p>
    <w:p>
      <w:pPr>
        <w:spacing w:before="0"/>
        <w:ind w:left="504" w:right="-6" w:firstLine="0"/>
        <w:jc w:val="left"/>
        <w:rPr>
          <w:i/>
          <w:sz w:val="18"/>
        </w:rPr>
      </w:pPr>
      <w:r>
        <w:rPr>
          <w:i/>
          <w:sz w:val="18"/>
        </w:rPr>
        <w:t>Revaluation surplus - property, plant and equipment</w:t>
      </w:r>
    </w:p>
    <w:p>
      <w:pPr>
        <w:pStyle w:val="BodyText"/>
        <w:spacing w:before="8"/>
        <w:rPr>
          <w:i/>
          <w:sz w:val="24"/>
        </w:rPr>
      </w:pPr>
      <w:r>
        <w:rPr/>
        <w:br w:type="column"/>
      </w:r>
      <w:r>
        <w:rPr>
          <w:i/>
          <w:sz w:val="24"/>
        </w:rPr>
      </w:r>
    </w:p>
    <w:p>
      <w:pPr>
        <w:pStyle w:val="Heading9"/>
        <w:spacing w:line="207" w:lineRule="exact"/>
        <w:ind w:left="503"/>
        <w:jc w:val="center"/>
      </w:pPr>
      <w:r>
        <w:rPr/>
        <w:t>2012</w:t>
      </w:r>
    </w:p>
    <w:p>
      <w:pPr>
        <w:spacing w:line="207" w:lineRule="exact" w:before="0"/>
        <w:ind w:left="0" w:right="149" w:firstLine="0"/>
        <w:jc w:val="right"/>
        <w:rPr>
          <w:b/>
          <w:sz w:val="18"/>
        </w:rPr>
      </w:pPr>
      <w:r>
        <w:rPr>
          <w:b/>
          <w:w w:val="99"/>
          <w:sz w:val="18"/>
        </w:rPr>
        <w:t>$</w:t>
      </w:r>
    </w:p>
    <w:p>
      <w:pPr>
        <w:pStyle w:val="BodyText"/>
        <w:spacing w:before="8"/>
        <w:rPr>
          <w:b/>
          <w:sz w:val="24"/>
        </w:rPr>
      </w:pPr>
      <w:r>
        <w:rPr/>
        <w:br w:type="column"/>
      </w:r>
      <w:r>
        <w:rPr>
          <w:b/>
          <w:sz w:val="24"/>
        </w:rPr>
      </w:r>
    </w:p>
    <w:p>
      <w:pPr>
        <w:spacing w:line="207" w:lineRule="exact" w:before="0"/>
        <w:ind w:left="488" w:right="566" w:firstLine="0"/>
        <w:jc w:val="center"/>
        <w:rPr>
          <w:b/>
          <w:sz w:val="18"/>
        </w:rPr>
      </w:pPr>
      <w:r>
        <w:rPr>
          <w:b/>
          <w:sz w:val="18"/>
        </w:rPr>
        <w:t>2011</w:t>
      </w:r>
    </w:p>
    <w:p>
      <w:pPr>
        <w:spacing w:line="207" w:lineRule="exact" w:before="0"/>
        <w:ind w:left="0" w:right="78"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4651" w:space="2719"/>
            <w:col w:w="908" w:space="376"/>
            <w:col w:w="1496"/>
          </w:cols>
        </w:sectPr>
      </w:pPr>
    </w:p>
    <w:p>
      <w:pPr>
        <w:tabs>
          <w:tab w:pos="8083" w:val="left" w:leader="none"/>
          <w:tab w:pos="9381" w:val="left" w:leader="none"/>
        </w:tabs>
        <w:spacing w:line="206" w:lineRule="exact" w:before="0"/>
        <w:ind w:left="504" w:right="125" w:firstLine="0"/>
        <w:jc w:val="left"/>
        <w:rPr>
          <w:sz w:val="18"/>
        </w:rPr>
      </w:pPr>
      <w:r>
        <w:rPr>
          <w:sz w:val="18"/>
        </w:rPr>
        <w:t>Balance 1 January</w:t>
        <w:tab/>
      </w:r>
      <w:r>
        <w:rPr>
          <w:b/>
          <w:sz w:val="18"/>
        </w:rPr>
        <w:t>13,136</w:t>
        <w:tab/>
      </w:r>
      <w:r>
        <w:rPr>
          <w:sz w:val="18"/>
        </w:rPr>
        <w:t>13,136</w:t>
      </w:r>
    </w:p>
    <w:p>
      <w:pPr>
        <w:pStyle w:val="BodyText"/>
        <w:tabs>
          <w:tab w:pos="7430" w:val="left" w:leader="none"/>
          <w:tab w:pos="8577" w:val="left" w:leader="none"/>
          <w:tab w:pos="9875" w:val="left" w:leader="none"/>
        </w:tabs>
        <w:spacing w:line="207" w:lineRule="exact"/>
        <w:ind w:left="504" w:right="125"/>
      </w:pPr>
      <w:r>
        <w:rPr/>
        <w:t>Revaluation</w:t>
      </w:r>
      <w:r>
        <w:rPr>
          <w:spacing w:val="-1"/>
        </w:rPr>
        <w:t> </w:t>
      </w:r>
      <w:r>
        <w:rPr/>
        <w:t>-</w:t>
      </w:r>
      <w:r>
        <w:rPr>
          <w:spacing w:val="-1"/>
        </w:rPr>
        <w:t> </w:t>
      </w:r>
      <w:r>
        <w:rPr/>
        <w:t>gross</w:t>
        <w:tab/>
      </w:r>
      <w:r>
        <w:rPr>
          <w:rFonts w:ascii="Times New Roman"/>
          <w:u w:val="single"/>
        </w:rPr>
        <w:t> </w:t>
        <w:tab/>
      </w:r>
      <w:r>
        <w:rPr>
          <w:b/>
          <w:u w:val="single"/>
        </w:rPr>
        <w:t>-</w:t>
        <w:tab/>
      </w:r>
      <w:r>
        <w:rPr>
          <w:u w:val="single"/>
        </w:rPr>
        <w:t>-</w:t>
      </w:r>
    </w:p>
    <w:p>
      <w:pPr>
        <w:pStyle w:val="BodyText"/>
        <w:tabs>
          <w:tab w:pos="7430" w:val="left" w:leader="none"/>
          <w:tab w:pos="8083" w:val="left" w:leader="none"/>
          <w:tab w:pos="9381" w:val="left" w:leader="none"/>
        </w:tabs>
        <w:spacing w:before="9"/>
        <w:ind w:left="504" w:right="125"/>
      </w:pPr>
      <w:r>
        <w:rPr/>
        <w:t>Balance 31 December</w:t>
        <w:tab/>
      </w:r>
      <w:r>
        <w:rPr>
          <w:rFonts w:ascii="Times New Roman"/>
          <w:u w:val="single"/>
        </w:rPr>
        <w:t> </w:t>
        <w:tab/>
      </w:r>
      <w:r>
        <w:rPr>
          <w:b/>
          <w:u w:val="single"/>
        </w:rPr>
        <w:t>13,136</w:t>
        <w:tab/>
      </w:r>
      <w:r>
        <w:rPr>
          <w:u w:val="single"/>
        </w:rPr>
        <w:t>13,136</w:t>
      </w:r>
    </w:p>
    <w:p>
      <w:pPr>
        <w:pStyle w:val="BodyText"/>
        <w:spacing w:before="11"/>
        <w:rPr>
          <w:sz w:val="19"/>
        </w:rPr>
      </w:pPr>
    </w:p>
    <w:p>
      <w:pPr>
        <w:pStyle w:val="Heading9"/>
        <w:numPr>
          <w:ilvl w:val="1"/>
          <w:numId w:val="139"/>
        </w:numPr>
        <w:tabs>
          <w:tab w:pos="1071" w:val="left" w:leader="none"/>
        </w:tabs>
        <w:spacing w:line="240" w:lineRule="auto" w:before="77" w:after="0"/>
        <w:ind w:left="1070" w:right="0" w:hanging="566"/>
        <w:jc w:val="left"/>
      </w:pPr>
      <w:r>
        <w:rPr/>
        <w:t>Nature and purpose of</w:t>
      </w:r>
      <w:r>
        <w:rPr>
          <w:spacing w:val="-1"/>
        </w:rPr>
        <w:t> </w:t>
      </w:r>
      <w:r>
        <w:rPr/>
        <w:t>reserves</w:t>
      </w:r>
    </w:p>
    <w:p>
      <w:pPr>
        <w:pStyle w:val="ListParagraph"/>
        <w:numPr>
          <w:ilvl w:val="2"/>
          <w:numId w:val="139"/>
        </w:numPr>
        <w:tabs>
          <w:tab w:pos="1285" w:val="left" w:leader="none"/>
        </w:tabs>
        <w:spacing w:line="207" w:lineRule="exact" w:before="146" w:after="0"/>
        <w:ind w:left="1284" w:right="0" w:hanging="212"/>
        <w:jc w:val="both"/>
        <w:rPr>
          <w:i/>
          <w:sz w:val="18"/>
        </w:rPr>
      </w:pPr>
      <w:r>
        <w:rPr>
          <w:i/>
          <w:sz w:val="18"/>
        </w:rPr>
        <w:t>Revaluation surplus - property, plant and</w:t>
      </w:r>
      <w:r>
        <w:rPr>
          <w:i/>
          <w:spacing w:val="5"/>
          <w:sz w:val="18"/>
        </w:rPr>
        <w:t> </w:t>
      </w:r>
      <w:r>
        <w:rPr>
          <w:i/>
          <w:sz w:val="18"/>
        </w:rPr>
        <w:t>equipment</w:t>
      </w:r>
    </w:p>
    <w:p>
      <w:pPr>
        <w:pStyle w:val="BodyText"/>
        <w:ind w:left="1072" w:right="116"/>
        <w:jc w:val="both"/>
      </w:pPr>
      <w:r>
        <w:rPr/>
        <w:t>The property, plant and equipment revaluation reserve is used to record increments and decrements on the revaluation of non-current assets, as described in note 1(i). The balance standing to the credit of the surplus  may be used to satisfy the distribution of bonus shares to shareholders and is only available for the payment of cash dividends in limited circumstances as permitted by</w:t>
      </w:r>
      <w:r>
        <w:rPr>
          <w:spacing w:val="7"/>
        </w:rPr>
        <w:t> </w:t>
      </w:r>
      <w:r>
        <w:rPr/>
        <w:t>law.</w:t>
      </w:r>
    </w:p>
    <w:p>
      <w:pPr>
        <w:pStyle w:val="BodyText"/>
        <w:spacing w:before="3"/>
      </w:pPr>
    </w:p>
    <w:p>
      <w:pPr>
        <w:spacing w:after="0"/>
        <w:sectPr>
          <w:type w:val="continuous"/>
          <w:pgSz w:w="11910" w:h="16840"/>
          <w:pgMar w:top="0" w:bottom="280" w:left="900" w:right="860"/>
        </w:sectPr>
      </w:pPr>
    </w:p>
    <w:p>
      <w:pPr>
        <w:pStyle w:val="Heading9"/>
        <w:numPr>
          <w:ilvl w:val="0"/>
          <w:numId w:val="139"/>
        </w:numPr>
        <w:tabs>
          <w:tab w:pos="504" w:val="left" w:leader="none"/>
        </w:tabs>
        <w:spacing w:line="240" w:lineRule="auto" w:before="77" w:after="0"/>
        <w:ind w:left="504" w:right="0" w:hanging="394"/>
        <w:jc w:val="left"/>
      </w:pPr>
      <w:r>
        <w:rPr/>
        <w:t>Retained surplus</w:t>
      </w:r>
    </w:p>
    <w:p>
      <w:pPr>
        <w:pStyle w:val="BodyText"/>
        <w:spacing w:before="146"/>
        <w:ind w:left="504" w:right="-3"/>
      </w:pPr>
      <w:r>
        <w:rPr/>
        <w:t>Movements in retained surplus were as follows:</w:t>
      </w:r>
    </w:p>
    <w:p>
      <w:pPr>
        <w:pStyle w:val="BodyText"/>
      </w:pPr>
      <w:r>
        <w:rPr/>
        <w:br w:type="column"/>
      </w:r>
      <w:r>
        <w:rPr/>
      </w:r>
    </w:p>
    <w:p>
      <w:pPr>
        <w:pStyle w:val="BodyText"/>
      </w:pPr>
    </w:p>
    <w:p>
      <w:pPr>
        <w:pStyle w:val="BodyText"/>
        <w:spacing w:before="4"/>
        <w:rPr>
          <w:sz w:val="19"/>
        </w:rPr>
      </w:pPr>
    </w:p>
    <w:p>
      <w:pPr>
        <w:pStyle w:val="Heading9"/>
        <w:spacing w:line="207" w:lineRule="exact"/>
        <w:ind w:left="110"/>
        <w:jc w:val="center"/>
      </w:pPr>
      <w:r>
        <w:rPr/>
        <w:t>2012</w:t>
      </w:r>
    </w:p>
    <w:p>
      <w:pPr>
        <w:spacing w:line="207" w:lineRule="exact" w:before="0"/>
        <w:ind w:left="109" w:right="0" w:firstLine="0"/>
        <w:jc w:val="center"/>
        <w:rPr>
          <w:b/>
          <w:sz w:val="18"/>
        </w:rPr>
      </w:pPr>
      <w:r>
        <w:rPr>
          <w:b/>
          <w:w w:val="99"/>
          <w:sz w:val="18"/>
        </w:rPr>
        <w:t>$</w:t>
      </w:r>
    </w:p>
    <w:p>
      <w:pPr>
        <w:pStyle w:val="BodyText"/>
        <w:rPr>
          <w:b/>
        </w:rPr>
      </w:pPr>
      <w:r>
        <w:rPr/>
        <w:br w:type="column"/>
      </w:r>
      <w:r>
        <w:rPr>
          <w:b/>
        </w:rPr>
      </w:r>
    </w:p>
    <w:p>
      <w:pPr>
        <w:pStyle w:val="BodyText"/>
        <w:rPr>
          <w:b/>
        </w:rPr>
      </w:pPr>
    </w:p>
    <w:p>
      <w:pPr>
        <w:pStyle w:val="BodyText"/>
        <w:spacing w:before="4"/>
        <w:rPr>
          <w:b/>
          <w:sz w:val="19"/>
        </w:rPr>
      </w:pPr>
    </w:p>
    <w:p>
      <w:pPr>
        <w:spacing w:line="207" w:lineRule="exact" w:before="0"/>
        <w:ind w:left="95" w:right="569" w:firstLine="0"/>
        <w:jc w:val="center"/>
        <w:rPr>
          <w:b/>
          <w:sz w:val="18"/>
        </w:rPr>
      </w:pPr>
      <w:r>
        <w:rPr>
          <w:b/>
          <w:sz w:val="18"/>
        </w:rPr>
        <w:t>2011</w:t>
      </w:r>
    </w:p>
    <w:p>
      <w:pPr>
        <w:spacing w:line="207" w:lineRule="exact" w:before="0"/>
        <w:ind w:left="0" w:right="474"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4303" w:space="3458"/>
            <w:col w:w="514" w:space="770"/>
            <w:col w:w="1105"/>
          </w:cols>
        </w:sectPr>
      </w:pPr>
    </w:p>
    <w:p>
      <w:pPr>
        <w:tabs>
          <w:tab w:pos="7979" w:val="left" w:leader="none"/>
          <w:tab w:pos="9278" w:val="left" w:leader="none"/>
        </w:tabs>
        <w:spacing w:line="206" w:lineRule="exact" w:before="0"/>
        <w:ind w:left="504" w:right="125" w:firstLine="0"/>
        <w:jc w:val="left"/>
        <w:rPr>
          <w:sz w:val="18"/>
        </w:rPr>
      </w:pPr>
      <w:r>
        <w:rPr>
          <w:sz w:val="18"/>
        </w:rPr>
        <w:t>Balance as at</w:t>
      </w:r>
      <w:r>
        <w:rPr>
          <w:spacing w:val="2"/>
          <w:sz w:val="18"/>
        </w:rPr>
        <w:t> </w:t>
      </w:r>
      <w:r>
        <w:rPr>
          <w:sz w:val="18"/>
        </w:rPr>
        <w:t>1 January</w:t>
        <w:tab/>
      </w:r>
      <w:r>
        <w:rPr>
          <w:b/>
          <w:sz w:val="18"/>
        </w:rPr>
        <w:t>597,923</w:t>
        <w:tab/>
      </w:r>
      <w:r>
        <w:rPr>
          <w:sz w:val="18"/>
        </w:rPr>
        <w:t>538,229</w:t>
      </w:r>
    </w:p>
    <w:p>
      <w:pPr>
        <w:tabs>
          <w:tab w:pos="7979" w:val="left" w:leader="none"/>
          <w:tab w:pos="9379" w:val="left" w:leader="none"/>
        </w:tabs>
        <w:spacing w:line="206" w:lineRule="exact" w:before="0"/>
        <w:ind w:left="504" w:right="125" w:firstLine="0"/>
        <w:jc w:val="left"/>
        <w:rPr>
          <w:sz w:val="18"/>
        </w:rPr>
      </w:pPr>
      <w:r>
        <w:rPr>
          <w:sz w:val="18"/>
        </w:rPr>
        <w:t>Surplus for</w:t>
      </w:r>
      <w:r>
        <w:rPr>
          <w:spacing w:val="-1"/>
          <w:sz w:val="18"/>
        </w:rPr>
        <w:t> </w:t>
      </w:r>
      <w:r>
        <w:rPr>
          <w:sz w:val="18"/>
        </w:rPr>
        <w:t>the</w:t>
      </w:r>
      <w:r>
        <w:rPr>
          <w:spacing w:val="-1"/>
          <w:sz w:val="18"/>
        </w:rPr>
        <w:t> </w:t>
      </w:r>
      <w:r>
        <w:rPr>
          <w:sz w:val="18"/>
        </w:rPr>
        <w:t>year</w:t>
        <w:tab/>
      </w:r>
      <w:r>
        <w:rPr>
          <w:b/>
          <w:sz w:val="18"/>
        </w:rPr>
        <w:t>268,639</w:t>
        <w:tab/>
      </w:r>
      <w:r>
        <w:rPr>
          <w:sz w:val="18"/>
        </w:rPr>
        <w:t>59,694</w:t>
      </w:r>
    </w:p>
    <w:p>
      <w:pPr>
        <w:pStyle w:val="BodyText"/>
        <w:tabs>
          <w:tab w:pos="7427" w:val="left" w:leader="none"/>
          <w:tab w:pos="8575" w:val="left" w:leader="none"/>
          <w:tab w:pos="9873" w:val="left" w:leader="none"/>
        </w:tabs>
        <w:spacing w:line="207" w:lineRule="exact"/>
        <w:ind w:left="504" w:right="125"/>
      </w:pPr>
      <w:r>
        <w:rPr/>
        <w:t>Trust distributions for</w:t>
      </w:r>
      <w:r>
        <w:rPr>
          <w:spacing w:val="-1"/>
        </w:rPr>
        <w:t> </w:t>
      </w:r>
      <w:r>
        <w:rPr/>
        <w:t>the</w:t>
      </w:r>
      <w:r>
        <w:rPr>
          <w:spacing w:val="-1"/>
        </w:rPr>
        <w:t> </w:t>
      </w:r>
      <w:r>
        <w:rPr/>
        <w:t>year</w:t>
        <w:tab/>
      </w:r>
      <w:r>
        <w:rPr>
          <w:rFonts w:ascii="Times New Roman"/>
          <w:u w:val="single"/>
        </w:rPr>
        <w:t> </w:t>
        <w:tab/>
      </w:r>
      <w:r>
        <w:rPr>
          <w:b/>
          <w:u w:val="single"/>
        </w:rPr>
        <w:t>-</w:t>
        <w:tab/>
      </w:r>
      <w:r>
        <w:rPr>
          <w:u w:val="single"/>
        </w:rPr>
        <w:t>-</w:t>
      </w:r>
    </w:p>
    <w:p>
      <w:pPr>
        <w:pStyle w:val="BodyText"/>
        <w:tabs>
          <w:tab w:pos="7427" w:val="left" w:leader="none"/>
          <w:tab w:pos="7979" w:val="left" w:leader="none"/>
          <w:tab w:pos="9278" w:val="left" w:leader="none"/>
        </w:tabs>
        <w:spacing w:before="9"/>
        <w:ind w:left="504" w:right="125"/>
      </w:pPr>
      <w:r>
        <w:rPr/>
        <w:t>Balance as at</w:t>
      </w:r>
      <w:r>
        <w:rPr>
          <w:spacing w:val="2"/>
        </w:rPr>
        <w:t> </w:t>
      </w:r>
      <w:r>
        <w:rPr/>
        <w:t>31 December</w:t>
        <w:tab/>
      </w:r>
      <w:r>
        <w:rPr>
          <w:rFonts w:ascii="Times New Roman"/>
          <w:u w:val="single"/>
        </w:rPr>
        <w:t> </w:t>
        <w:tab/>
      </w:r>
      <w:r>
        <w:rPr>
          <w:b/>
          <w:u w:val="single"/>
        </w:rPr>
        <w:t>866,562</w:t>
        <w:tab/>
      </w:r>
      <w:r>
        <w:rPr>
          <w:u w:val="single"/>
        </w:rPr>
        <w:t>597,923</w:t>
      </w:r>
    </w:p>
    <w:p>
      <w:pPr>
        <w:pStyle w:val="BodyText"/>
        <w:spacing w:before="11"/>
        <w:rPr>
          <w:sz w:val="19"/>
        </w:rPr>
      </w:pPr>
    </w:p>
    <w:p>
      <w:pPr>
        <w:pStyle w:val="Heading9"/>
        <w:numPr>
          <w:ilvl w:val="0"/>
          <w:numId w:val="139"/>
        </w:numPr>
        <w:tabs>
          <w:tab w:pos="504" w:val="left" w:leader="none"/>
        </w:tabs>
        <w:spacing w:line="240" w:lineRule="auto" w:before="77" w:after="0"/>
        <w:ind w:left="504" w:right="0" w:hanging="394"/>
        <w:jc w:val="left"/>
      </w:pPr>
      <w:r>
        <w:rPr/>
        <w:t>Commitments</w:t>
      </w:r>
    </w:p>
    <w:p>
      <w:pPr>
        <w:pStyle w:val="BodyText"/>
        <w:spacing w:before="11"/>
        <w:rPr>
          <w:b/>
          <w:sz w:val="24"/>
        </w:rPr>
      </w:pPr>
    </w:p>
    <w:p>
      <w:pPr>
        <w:pStyle w:val="BodyText"/>
        <w:ind w:left="504" w:right="125"/>
      </w:pPr>
      <w:r>
        <w:rPr/>
        <w:t>The Trust had no commitments at 31 December 2012 (31 December 2011: nil).</w:t>
      </w:r>
    </w:p>
    <w:p>
      <w:pPr>
        <w:pStyle w:val="BodyText"/>
        <w:spacing w:before="11"/>
        <w:rPr>
          <w:sz w:val="24"/>
        </w:rPr>
      </w:pPr>
    </w:p>
    <w:p>
      <w:pPr>
        <w:pStyle w:val="Heading9"/>
        <w:numPr>
          <w:ilvl w:val="0"/>
          <w:numId w:val="139"/>
        </w:numPr>
        <w:tabs>
          <w:tab w:pos="504" w:val="left" w:leader="none"/>
        </w:tabs>
        <w:spacing w:line="240" w:lineRule="auto" w:before="0" w:after="0"/>
        <w:ind w:left="504" w:right="0" w:hanging="394"/>
        <w:jc w:val="left"/>
      </w:pPr>
      <w:r>
        <w:rPr/>
        <w:t>Contingencies</w:t>
      </w:r>
    </w:p>
    <w:p>
      <w:pPr>
        <w:pStyle w:val="BodyText"/>
        <w:spacing w:before="146"/>
        <w:ind w:left="504" w:right="125"/>
      </w:pPr>
      <w:r>
        <w:rPr/>
        <w:t>In the opinion of the Trustee's, the Trust did not have any contingencies at 31 December 2012 (31 December 2011:nil).</w:t>
      </w:r>
    </w:p>
    <w:p>
      <w:pPr>
        <w:pStyle w:val="BodyText"/>
        <w:spacing w:before="11"/>
        <w:rPr>
          <w:sz w:val="24"/>
        </w:rPr>
      </w:pPr>
    </w:p>
    <w:p>
      <w:pPr>
        <w:pStyle w:val="Heading9"/>
        <w:numPr>
          <w:ilvl w:val="0"/>
          <w:numId w:val="139"/>
        </w:numPr>
        <w:tabs>
          <w:tab w:pos="504" w:val="left" w:leader="none"/>
        </w:tabs>
        <w:spacing w:line="240" w:lineRule="auto" w:before="0" w:after="0"/>
        <w:ind w:left="504" w:right="0" w:hanging="394"/>
        <w:jc w:val="left"/>
      </w:pPr>
      <w:r>
        <w:rPr/>
        <w:t>Key Management Personnel</w:t>
      </w:r>
      <w:r>
        <w:rPr>
          <w:spacing w:val="-10"/>
        </w:rPr>
        <w:t> </w:t>
      </w:r>
      <w:r>
        <w:rPr/>
        <w:t>Disclosures</w:t>
      </w:r>
    </w:p>
    <w:p>
      <w:pPr>
        <w:pStyle w:val="BodyText"/>
        <w:spacing w:before="146"/>
        <w:ind w:left="504" w:right="334"/>
      </w:pPr>
      <w:r>
        <w:rPr/>
        <w:t>No remuneration has been paid to the key management personnel of  Whitlam Institute Within the University of  Western Sydney Trust during the year (2011:</w:t>
      </w:r>
      <w:r>
        <w:rPr>
          <w:spacing w:val="13"/>
        </w:rPr>
        <w:t> </w:t>
      </w:r>
      <w:r>
        <w:rPr/>
        <w:t>nil).</w:t>
      </w:r>
    </w:p>
    <w:p>
      <w:pPr>
        <w:pStyle w:val="BodyText"/>
        <w:spacing w:before="11"/>
        <w:rPr>
          <w:sz w:val="24"/>
        </w:rPr>
      </w:pPr>
    </w:p>
    <w:p>
      <w:pPr>
        <w:pStyle w:val="Heading9"/>
        <w:numPr>
          <w:ilvl w:val="0"/>
          <w:numId w:val="139"/>
        </w:numPr>
        <w:tabs>
          <w:tab w:pos="504" w:val="left" w:leader="none"/>
        </w:tabs>
        <w:spacing w:line="240" w:lineRule="auto" w:before="0" w:after="0"/>
        <w:ind w:left="504" w:right="0" w:hanging="394"/>
        <w:jc w:val="left"/>
      </w:pPr>
      <w:r>
        <w:rPr/>
        <w:t>Related party</w:t>
      </w:r>
      <w:r>
        <w:rPr>
          <w:spacing w:val="-10"/>
        </w:rPr>
        <w:t> </w:t>
      </w:r>
      <w:r>
        <w:rPr/>
        <w:t>transactions</w:t>
      </w:r>
    </w:p>
    <w:p>
      <w:pPr>
        <w:pStyle w:val="ListParagraph"/>
        <w:numPr>
          <w:ilvl w:val="1"/>
          <w:numId w:val="139"/>
        </w:numPr>
        <w:tabs>
          <w:tab w:pos="1071" w:val="left" w:leader="none"/>
        </w:tabs>
        <w:spacing w:line="240" w:lineRule="auto" w:before="146" w:after="0"/>
        <w:ind w:left="1070" w:right="0" w:hanging="566"/>
        <w:jc w:val="left"/>
        <w:rPr>
          <w:b/>
          <w:sz w:val="18"/>
        </w:rPr>
      </w:pPr>
      <w:r>
        <w:rPr>
          <w:b/>
          <w:sz w:val="18"/>
        </w:rPr>
        <w:t>Parent entity</w:t>
      </w:r>
    </w:p>
    <w:p>
      <w:pPr>
        <w:pStyle w:val="BodyText"/>
        <w:spacing w:before="146"/>
        <w:ind w:left="1072" w:right="125"/>
      </w:pPr>
      <w:r>
        <w:rPr/>
        <w:t>The ultimate parent entity of the Trust is University of Western Sydney.</w:t>
      </w:r>
    </w:p>
    <w:p>
      <w:pPr>
        <w:pStyle w:val="Heading9"/>
        <w:numPr>
          <w:ilvl w:val="1"/>
          <w:numId w:val="139"/>
        </w:numPr>
        <w:tabs>
          <w:tab w:pos="1071" w:val="left" w:leader="none"/>
        </w:tabs>
        <w:spacing w:line="240" w:lineRule="auto" w:before="146" w:after="0"/>
        <w:ind w:left="1070" w:right="0" w:hanging="566"/>
        <w:jc w:val="left"/>
      </w:pPr>
      <w:r>
        <w:rPr/>
        <w:t>Transactions with related</w:t>
      </w:r>
      <w:r>
        <w:rPr>
          <w:spacing w:val="3"/>
        </w:rPr>
        <w:t> </w:t>
      </w:r>
      <w:r>
        <w:rPr/>
        <w:t>parties</w:t>
      </w:r>
    </w:p>
    <w:p>
      <w:pPr>
        <w:pStyle w:val="BodyText"/>
        <w:spacing w:before="146"/>
        <w:ind w:left="1072" w:right="125"/>
      </w:pPr>
      <w:r>
        <w:rPr/>
        <w:t>There were no transactions with related parties in 2012.</w:t>
      </w:r>
    </w:p>
    <w:p>
      <w:pPr>
        <w:spacing w:after="0"/>
        <w:sectPr>
          <w:type w:val="continuous"/>
          <w:pgSz w:w="11910" w:h="16840"/>
          <w:pgMar w:top="0" w:bottom="280" w:left="900" w:right="860"/>
        </w:sectPr>
      </w:pPr>
    </w:p>
    <w:p>
      <w:pPr>
        <w:pStyle w:val="BodyText"/>
        <w:spacing w:before="1"/>
        <w:rPr>
          <w:sz w:val="24"/>
        </w:rPr>
      </w:pPr>
    </w:p>
    <w:p>
      <w:pPr>
        <w:pStyle w:val="Heading3"/>
      </w:pPr>
      <w:r>
        <w:rPr/>
        <w:t>Notes to the financial statements</w:t>
      </w:r>
    </w:p>
    <w:p>
      <w:pPr>
        <w:pStyle w:val="Heading6"/>
        <w:spacing w:before="53"/>
      </w:pPr>
      <w:r>
        <w:rPr/>
        <w:t>For the Year Ended 31 December 2012</w:t>
      </w:r>
    </w:p>
    <w:p>
      <w:pPr>
        <w:pStyle w:val="BodyText"/>
        <w:rPr>
          <w:b/>
          <w:sz w:val="22"/>
        </w:rPr>
      </w:pPr>
    </w:p>
    <w:p>
      <w:pPr>
        <w:pStyle w:val="BodyText"/>
        <w:rPr>
          <w:b/>
          <w:sz w:val="22"/>
        </w:rPr>
      </w:pPr>
    </w:p>
    <w:p>
      <w:pPr>
        <w:pStyle w:val="Heading9"/>
        <w:numPr>
          <w:ilvl w:val="0"/>
          <w:numId w:val="139"/>
        </w:numPr>
        <w:tabs>
          <w:tab w:pos="504" w:val="left" w:leader="none"/>
        </w:tabs>
        <w:spacing w:line="240" w:lineRule="auto" w:before="161" w:after="0"/>
        <w:ind w:left="504" w:right="0" w:hanging="394"/>
        <w:jc w:val="left"/>
      </w:pPr>
      <w:r>
        <w:rPr/>
        <w:t>Economic</w:t>
      </w:r>
      <w:r>
        <w:rPr>
          <w:spacing w:val="1"/>
        </w:rPr>
        <w:t> </w:t>
      </w:r>
      <w:r>
        <w:rPr/>
        <w:t>dependency</w:t>
      </w:r>
    </w:p>
    <w:p>
      <w:pPr>
        <w:pStyle w:val="BodyText"/>
        <w:spacing w:before="146"/>
        <w:ind w:left="504" w:right="116"/>
        <w:jc w:val="both"/>
      </w:pPr>
      <w:r>
        <w:rPr/>
        <w:t>The Trust is economically dependent on the University of Western Sydney for the provision of office accommodation and support activities.</w:t>
      </w:r>
    </w:p>
    <w:p>
      <w:pPr>
        <w:pStyle w:val="BodyText"/>
        <w:spacing w:before="11"/>
        <w:rPr>
          <w:sz w:val="24"/>
        </w:rPr>
      </w:pPr>
    </w:p>
    <w:p>
      <w:pPr>
        <w:pStyle w:val="Heading9"/>
        <w:numPr>
          <w:ilvl w:val="0"/>
          <w:numId w:val="139"/>
        </w:numPr>
        <w:tabs>
          <w:tab w:pos="504" w:val="left" w:leader="none"/>
        </w:tabs>
        <w:spacing w:line="240" w:lineRule="auto" w:before="0" w:after="0"/>
        <w:ind w:left="504" w:right="0" w:hanging="394"/>
        <w:jc w:val="left"/>
      </w:pPr>
      <w:r>
        <w:rPr/>
        <w:t>Events occurring after the reporting</w:t>
      </w:r>
      <w:r>
        <w:rPr>
          <w:spacing w:val="-1"/>
        </w:rPr>
        <w:t> </w:t>
      </w:r>
      <w:r>
        <w:rPr/>
        <w:t>date</w:t>
      </w:r>
    </w:p>
    <w:p>
      <w:pPr>
        <w:pStyle w:val="BodyText"/>
        <w:spacing w:before="146"/>
        <w:ind w:left="503" w:right="114"/>
        <w:jc w:val="both"/>
      </w:pPr>
      <w:r>
        <w:rPr/>
        <w:t>No matters or circumstances have arisen since the end of the financial year which significantly affected or may significantly  affect the operations of the Trust, the results of those operations, or the state of affairs of the Trust in  future financial years (2011:</w:t>
      </w:r>
      <w:r>
        <w:rPr>
          <w:spacing w:val="3"/>
        </w:rPr>
        <w:t> </w:t>
      </w:r>
      <w:r>
        <w:rPr/>
        <w:t>nil).</w:t>
      </w:r>
    </w:p>
    <w:p>
      <w:pPr>
        <w:pStyle w:val="BodyText"/>
        <w:spacing w:before="3"/>
      </w:pPr>
    </w:p>
    <w:p>
      <w:pPr>
        <w:spacing w:after="0"/>
        <w:sectPr>
          <w:pgSz w:w="11910" w:h="16840"/>
          <w:pgMar w:header="1037" w:footer="508" w:top="1460" w:bottom="700" w:left="900" w:right="860"/>
        </w:sectPr>
      </w:pPr>
    </w:p>
    <w:p>
      <w:pPr>
        <w:pStyle w:val="Heading9"/>
        <w:numPr>
          <w:ilvl w:val="0"/>
          <w:numId w:val="139"/>
        </w:numPr>
        <w:tabs>
          <w:tab w:pos="504" w:val="left" w:leader="none"/>
        </w:tabs>
        <w:spacing w:line="240" w:lineRule="auto" w:before="77" w:after="0"/>
        <w:ind w:left="504" w:right="0" w:hanging="394"/>
        <w:jc w:val="left"/>
      </w:pPr>
      <w:r>
        <w:rPr/>
        <w:t>Reconciliation of surplus/(deficit) to net cash inflow from operating activities</w:t>
      </w:r>
    </w:p>
    <w:p>
      <w:pPr>
        <w:pStyle w:val="BodyText"/>
        <w:spacing w:before="146"/>
        <w:ind w:left="504"/>
      </w:pPr>
      <w:r>
        <w:rPr/>
        <w:t>Reconciliation of net income to net cash provided by operating activities:</w:t>
      </w:r>
    </w:p>
    <w:p>
      <w:pPr>
        <w:pStyle w:val="BodyText"/>
      </w:pPr>
      <w:r>
        <w:rPr/>
        <w:br w:type="column"/>
      </w:r>
      <w:r>
        <w:rPr/>
      </w:r>
    </w:p>
    <w:p>
      <w:pPr>
        <w:pStyle w:val="BodyText"/>
      </w:pPr>
    </w:p>
    <w:p>
      <w:pPr>
        <w:pStyle w:val="BodyText"/>
        <w:spacing w:before="4"/>
        <w:rPr>
          <w:sz w:val="19"/>
        </w:rPr>
      </w:pPr>
    </w:p>
    <w:p>
      <w:pPr>
        <w:pStyle w:val="Heading9"/>
        <w:ind w:left="110" w:right="-17"/>
      </w:pPr>
      <w:r>
        <w:rPr/>
        <w:t>2012</w:t>
      </w:r>
    </w:p>
    <w:p>
      <w:pPr>
        <w:pStyle w:val="BodyText"/>
        <w:rPr>
          <w:b/>
        </w:rPr>
      </w:pPr>
      <w:r>
        <w:rPr/>
        <w:br w:type="column"/>
      </w:r>
      <w:r>
        <w:rPr>
          <w:b/>
        </w:rPr>
      </w:r>
    </w:p>
    <w:p>
      <w:pPr>
        <w:pStyle w:val="BodyText"/>
        <w:rPr>
          <w:b/>
        </w:rPr>
      </w:pPr>
    </w:p>
    <w:p>
      <w:pPr>
        <w:pStyle w:val="BodyText"/>
        <w:spacing w:before="4"/>
        <w:rPr>
          <w:b/>
          <w:sz w:val="19"/>
        </w:rPr>
      </w:pPr>
    </w:p>
    <w:p>
      <w:pPr>
        <w:spacing w:before="0"/>
        <w:ind w:left="110" w:right="0" w:firstLine="0"/>
        <w:jc w:val="left"/>
        <w:rPr>
          <w:b/>
          <w:sz w:val="18"/>
        </w:rPr>
      </w:pPr>
      <w:r>
        <w:rPr>
          <w:b/>
          <w:sz w:val="18"/>
        </w:rPr>
        <w:t>2011</w:t>
      </w:r>
    </w:p>
    <w:p>
      <w:pPr>
        <w:spacing w:after="0"/>
        <w:jc w:val="left"/>
        <w:rPr>
          <w:sz w:val="18"/>
        </w:rPr>
        <w:sectPr>
          <w:type w:val="continuous"/>
          <w:pgSz w:w="11910" w:h="16840"/>
          <w:pgMar w:top="0" w:bottom="280" w:left="900" w:right="860"/>
          <w:cols w:num="3" w:equalWidth="0">
            <w:col w:w="7096" w:space="665"/>
            <w:col w:w="514" w:space="770"/>
            <w:col w:w="1105"/>
          </w:cols>
        </w:sect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50"/>
        <w:gridCol w:w="2582"/>
        <w:gridCol w:w="967"/>
      </w:tblGrid>
      <w:tr>
        <w:trPr>
          <w:trHeight w:val="456" w:hRule="exact"/>
        </w:trPr>
        <w:tc>
          <w:tcPr>
            <w:tcW w:w="5950" w:type="dxa"/>
          </w:tcPr>
          <w:p>
            <w:pPr>
              <w:pStyle w:val="TableParagraph"/>
              <w:spacing w:before="10"/>
              <w:rPr>
                <w:b/>
                <w:sz w:val="15"/>
              </w:rPr>
            </w:pPr>
          </w:p>
          <w:p>
            <w:pPr>
              <w:pStyle w:val="TableParagraph"/>
              <w:spacing w:before="1"/>
              <w:ind w:left="35"/>
              <w:rPr>
                <w:sz w:val="18"/>
              </w:rPr>
            </w:pPr>
            <w:r>
              <w:rPr>
                <w:sz w:val="18"/>
              </w:rPr>
              <w:t>Surplus for the year</w:t>
            </w:r>
          </w:p>
        </w:tc>
        <w:tc>
          <w:tcPr>
            <w:tcW w:w="2582" w:type="dxa"/>
          </w:tcPr>
          <w:p>
            <w:pPr>
              <w:pStyle w:val="TableParagraph"/>
              <w:spacing w:line="184" w:lineRule="exact"/>
              <w:ind w:left="1604"/>
              <w:rPr>
                <w:b/>
                <w:sz w:val="18"/>
              </w:rPr>
            </w:pPr>
            <w:r>
              <w:rPr>
                <w:b/>
                <w:w w:val="99"/>
                <w:sz w:val="18"/>
              </w:rPr>
              <w:t>$</w:t>
            </w:r>
          </w:p>
          <w:p>
            <w:pPr>
              <w:pStyle w:val="TableParagraph"/>
              <w:spacing w:line="207" w:lineRule="exact"/>
              <w:ind w:left="1561"/>
              <w:rPr>
                <w:b/>
                <w:sz w:val="18"/>
              </w:rPr>
            </w:pPr>
            <w:r>
              <w:rPr>
                <w:b/>
                <w:sz w:val="18"/>
              </w:rPr>
              <w:t>268,639</w:t>
            </w:r>
          </w:p>
        </w:tc>
        <w:tc>
          <w:tcPr>
            <w:tcW w:w="967" w:type="dxa"/>
          </w:tcPr>
          <w:p>
            <w:pPr>
              <w:pStyle w:val="TableParagraph"/>
              <w:spacing w:line="184" w:lineRule="exact"/>
              <w:ind w:left="305"/>
              <w:rPr>
                <w:b/>
                <w:sz w:val="18"/>
              </w:rPr>
            </w:pPr>
            <w:r>
              <w:rPr>
                <w:b/>
                <w:w w:val="99"/>
                <w:sz w:val="18"/>
              </w:rPr>
              <w:t>$</w:t>
            </w:r>
          </w:p>
          <w:p>
            <w:pPr>
              <w:pStyle w:val="TableParagraph"/>
              <w:spacing w:line="207" w:lineRule="exact"/>
              <w:ind w:left="377"/>
              <w:rPr>
                <w:sz w:val="18"/>
              </w:rPr>
            </w:pPr>
            <w:r>
              <w:rPr>
                <w:sz w:val="18"/>
              </w:rPr>
              <w:t>59,694</w:t>
            </w:r>
          </w:p>
        </w:tc>
      </w:tr>
      <w:tr>
        <w:trPr>
          <w:trHeight w:val="482" w:hRule="exact"/>
        </w:trPr>
        <w:tc>
          <w:tcPr>
            <w:tcW w:w="5950" w:type="dxa"/>
          </w:tcPr>
          <w:p>
            <w:pPr>
              <w:pStyle w:val="TableParagraph"/>
              <w:spacing w:line="207" w:lineRule="exact" w:before="46"/>
              <w:ind w:left="35"/>
              <w:rPr>
                <w:b/>
                <w:sz w:val="18"/>
              </w:rPr>
            </w:pPr>
            <w:r>
              <w:rPr>
                <w:b/>
                <w:sz w:val="18"/>
              </w:rPr>
              <w:t>Changes in assets and liabilities:</w:t>
            </w:r>
          </w:p>
          <w:p>
            <w:pPr>
              <w:pStyle w:val="TableParagraph"/>
              <w:spacing w:line="207" w:lineRule="exact"/>
              <w:ind w:left="299"/>
              <w:rPr>
                <w:sz w:val="18"/>
              </w:rPr>
            </w:pPr>
            <w:r>
              <w:rPr>
                <w:sz w:val="18"/>
              </w:rPr>
              <w:t>- (increase)/decrease in trade and other receivables</w:t>
            </w:r>
          </w:p>
        </w:tc>
        <w:tc>
          <w:tcPr>
            <w:tcW w:w="2582" w:type="dxa"/>
          </w:tcPr>
          <w:p>
            <w:pPr>
              <w:pStyle w:val="TableParagraph"/>
              <w:rPr>
                <w:b/>
                <w:sz w:val="22"/>
              </w:rPr>
            </w:pPr>
          </w:p>
          <w:p>
            <w:pPr>
              <w:pStyle w:val="TableParagraph"/>
              <w:ind w:right="303"/>
              <w:jc w:val="right"/>
              <w:rPr>
                <w:b/>
                <w:sz w:val="18"/>
              </w:rPr>
            </w:pPr>
            <w:r>
              <w:rPr>
                <w:b/>
                <w:w w:val="95"/>
                <w:sz w:val="18"/>
              </w:rPr>
              <w:t>(5,127)</w:t>
            </w:r>
          </w:p>
        </w:tc>
        <w:tc>
          <w:tcPr>
            <w:tcW w:w="967" w:type="dxa"/>
          </w:tcPr>
          <w:p>
            <w:pPr>
              <w:pStyle w:val="TableParagraph"/>
              <w:rPr>
                <w:b/>
                <w:sz w:val="22"/>
              </w:rPr>
            </w:pPr>
          </w:p>
          <w:p>
            <w:pPr>
              <w:pStyle w:val="TableParagraph"/>
              <w:ind w:right="33"/>
              <w:jc w:val="right"/>
              <w:rPr>
                <w:sz w:val="18"/>
              </w:rPr>
            </w:pPr>
            <w:r>
              <w:rPr>
                <w:w w:val="99"/>
                <w:sz w:val="18"/>
              </w:rPr>
              <w:t>-</w:t>
            </w:r>
          </w:p>
        </w:tc>
      </w:tr>
      <w:tr>
        <w:trPr>
          <w:trHeight w:val="224" w:hRule="exact"/>
        </w:trPr>
        <w:tc>
          <w:tcPr>
            <w:tcW w:w="5950" w:type="dxa"/>
          </w:tcPr>
          <w:p>
            <w:pPr>
              <w:pStyle w:val="TableParagraph"/>
              <w:spacing w:before="3"/>
              <w:ind w:left="299"/>
              <w:rPr>
                <w:sz w:val="18"/>
              </w:rPr>
            </w:pPr>
            <w:r>
              <w:rPr>
                <w:sz w:val="18"/>
              </w:rPr>
              <w:t>- (increase)/decrease in assets</w:t>
            </w:r>
          </w:p>
        </w:tc>
        <w:tc>
          <w:tcPr>
            <w:tcW w:w="2582" w:type="dxa"/>
          </w:tcPr>
          <w:p>
            <w:pPr>
              <w:pStyle w:val="TableParagraph"/>
              <w:spacing w:before="6"/>
              <w:ind w:right="303"/>
              <w:jc w:val="right"/>
              <w:rPr>
                <w:b/>
                <w:sz w:val="18"/>
              </w:rPr>
            </w:pPr>
            <w:r>
              <w:rPr>
                <w:b/>
                <w:sz w:val="18"/>
              </w:rPr>
              <w:t>(198,117)</w:t>
            </w:r>
          </w:p>
        </w:tc>
        <w:tc>
          <w:tcPr>
            <w:tcW w:w="967" w:type="dxa"/>
          </w:tcPr>
          <w:p>
            <w:pPr>
              <w:pStyle w:val="TableParagraph"/>
              <w:spacing w:before="6"/>
              <w:ind w:right="33"/>
              <w:jc w:val="right"/>
              <w:rPr>
                <w:sz w:val="18"/>
              </w:rPr>
            </w:pPr>
            <w:r>
              <w:rPr>
                <w:w w:val="99"/>
                <w:sz w:val="18"/>
              </w:rPr>
              <w:t>-</w:t>
            </w:r>
          </w:p>
        </w:tc>
      </w:tr>
    </w:tbl>
    <w:p>
      <w:pPr>
        <w:pStyle w:val="BodyText"/>
        <w:tabs>
          <w:tab w:pos="7427" w:val="left" w:leader="none"/>
          <w:tab w:pos="8080" w:val="left" w:leader="none"/>
          <w:tab w:pos="8575" w:val="left" w:leader="none"/>
          <w:tab w:pos="9379" w:val="left" w:leader="none"/>
          <w:tab w:pos="9419" w:val="left" w:leader="none"/>
        </w:tabs>
        <w:spacing w:line="249" w:lineRule="auto" w:before="39"/>
        <w:ind w:left="504" w:right="149" w:firstLine="264"/>
      </w:pPr>
      <w:r>
        <w:rPr/>
        <w:t>- increase/(decrease) in trade and</w:t>
      </w:r>
      <w:r>
        <w:rPr>
          <w:spacing w:val="4"/>
        </w:rPr>
        <w:t> </w:t>
      </w:r>
      <w:r>
        <w:rPr/>
        <w:t>other payables</w:t>
        <w:tab/>
      </w:r>
      <w:r>
        <w:rPr>
          <w:rFonts w:ascii="Times New Roman"/>
          <w:u w:val="single"/>
        </w:rPr>
        <w:t> </w:t>
        <w:tab/>
        <w:tab/>
      </w:r>
      <w:r>
        <w:rPr>
          <w:b/>
          <w:u w:val="single"/>
        </w:rPr>
        <w:t>-</w:t>
        <w:tab/>
        <w:tab/>
      </w:r>
      <w:r>
        <w:rPr>
          <w:u w:val="single"/>
        </w:rPr>
        <w:t>(5,438) </w:t>
      </w:r>
      <w:r>
        <w:rPr/>
        <w:t>Cashflow</w:t>
      </w:r>
      <w:r>
        <w:rPr>
          <w:spacing w:val="-1"/>
        </w:rPr>
        <w:t> </w:t>
      </w:r>
      <w:r>
        <w:rPr/>
        <w:t>from</w:t>
      </w:r>
      <w:r>
        <w:rPr>
          <w:spacing w:val="-1"/>
        </w:rPr>
        <w:t> </w:t>
      </w:r>
      <w:r>
        <w:rPr/>
        <w:t>operations</w:t>
        <w:tab/>
      </w:r>
      <w:r>
        <w:rPr>
          <w:rFonts w:ascii="Times New Roman"/>
          <w:u w:val="single"/>
        </w:rPr>
        <w:t> </w:t>
        <w:tab/>
      </w:r>
      <w:r>
        <w:rPr>
          <w:b/>
          <w:u w:val="single"/>
        </w:rPr>
        <w:t>65,395</w:t>
        <w:tab/>
      </w:r>
      <w:r>
        <w:rPr>
          <w:u w:val="single"/>
        </w:rPr>
        <w:t>54,256</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p>
    <w:p>
      <w:pPr>
        <w:pStyle w:val="Heading9"/>
        <w:spacing w:before="78"/>
        <w:ind w:left="3643" w:right="125"/>
      </w:pPr>
      <w:r>
        <w:rPr/>
        <w:t>END OF AUDITED FINANCIAL STATEMENTS</w:t>
      </w:r>
    </w:p>
    <w:p>
      <w:pPr>
        <w:spacing w:after="0"/>
        <w:sectPr>
          <w:type w:val="continuous"/>
          <w:pgSz w:w="11910" w:h="16840"/>
          <w:pgMar w:top="0" w:bottom="280" w:left="900" w:right="860"/>
        </w:sectPr>
      </w:pPr>
    </w:p>
    <w:p>
      <w:pPr>
        <w:pStyle w:val="Heading6"/>
        <w:spacing w:before="47"/>
        <w:ind w:right="210"/>
      </w:pPr>
      <w:r>
        <w:rPr/>
        <w:t>Whitlam Institute Within the University of Western Sydney Trust</w:t>
      </w:r>
    </w:p>
    <w:p>
      <w:pPr>
        <w:spacing w:before="55"/>
        <w:ind w:left="107" w:right="210" w:firstLine="0"/>
        <w:jc w:val="left"/>
        <w:rPr>
          <w:b/>
          <w:sz w:val="14"/>
        </w:rPr>
      </w:pPr>
      <w:r>
        <w:rPr>
          <w:b/>
          <w:sz w:val="14"/>
        </w:rPr>
        <w:t>ABN: 42 247 216 279</w:t>
      </w:r>
    </w:p>
    <w:p>
      <w:pPr>
        <w:pStyle w:val="BodyText"/>
        <w:rPr>
          <w:b/>
          <w:sz w:val="14"/>
        </w:rPr>
      </w:pPr>
    </w:p>
    <w:p>
      <w:pPr>
        <w:pStyle w:val="BodyText"/>
        <w:spacing w:before="7"/>
        <w:rPr>
          <w:b/>
          <w:sz w:val="15"/>
        </w:rPr>
      </w:pPr>
    </w:p>
    <w:p>
      <w:pPr>
        <w:pStyle w:val="Heading3"/>
        <w:spacing w:before="1"/>
        <w:ind w:right="210"/>
      </w:pPr>
      <w:r>
        <w:rPr/>
        <w:t>Trustees' declaration</w:t>
      </w:r>
    </w:p>
    <w:p>
      <w:pPr>
        <w:pStyle w:val="BodyText"/>
        <w:rPr>
          <w:b/>
          <w:sz w:val="25"/>
        </w:rPr>
      </w:pPr>
    </w:p>
    <w:p>
      <w:pPr>
        <w:pStyle w:val="BodyText"/>
        <w:ind w:left="107" w:right="210"/>
      </w:pPr>
      <w:r>
        <w:rPr/>
        <w:t>In the Trustee's opinion:</w:t>
      </w:r>
    </w:p>
    <w:p>
      <w:pPr>
        <w:pStyle w:val="BodyText"/>
        <w:spacing w:before="10"/>
        <w:rPr>
          <w:sz w:val="17"/>
        </w:rPr>
      </w:pPr>
    </w:p>
    <w:p>
      <w:pPr>
        <w:pStyle w:val="ListParagraph"/>
        <w:numPr>
          <w:ilvl w:val="0"/>
          <w:numId w:val="141"/>
        </w:numPr>
        <w:tabs>
          <w:tab w:pos="504" w:val="left" w:leader="none"/>
        </w:tabs>
        <w:spacing w:line="240" w:lineRule="auto" w:before="0" w:after="0"/>
        <w:ind w:left="504" w:right="0" w:hanging="396"/>
        <w:jc w:val="left"/>
        <w:rPr>
          <w:sz w:val="18"/>
        </w:rPr>
      </w:pPr>
      <w:r>
        <w:rPr>
          <w:sz w:val="18"/>
        </w:rPr>
        <w:t>The financial statements and notes, as set out on pages 2 to</w:t>
      </w:r>
      <w:r>
        <w:rPr>
          <w:spacing w:val="-23"/>
          <w:sz w:val="18"/>
        </w:rPr>
        <w:t> </w:t>
      </w:r>
      <w:r>
        <w:rPr>
          <w:sz w:val="18"/>
        </w:rPr>
        <w:t>16:</w:t>
      </w:r>
    </w:p>
    <w:p>
      <w:pPr>
        <w:pStyle w:val="BodyText"/>
        <w:spacing w:before="9"/>
        <w:rPr>
          <w:sz w:val="24"/>
        </w:rPr>
      </w:pPr>
    </w:p>
    <w:p>
      <w:pPr>
        <w:pStyle w:val="ListParagraph"/>
        <w:numPr>
          <w:ilvl w:val="1"/>
          <w:numId w:val="141"/>
        </w:numPr>
        <w:tabs>
          <w:tab w:pos="900" w:val="left" w:leader="none"/>
        </w:tabs>
        <w:spacing w:line="240" w:lineRule="auto" w:before="0" w:after="0"/>
        <w:ind w:left="900" w:right="0" w:hanging="396"/>
        <w:jc w:val="left"/>
        <w:rPr>
          <w:i/>
          <w:sz w:val="18"/>
        </w:rPr>
      </w:pPr>
      <w:r>
        <w:rPr>
          <w:sz w:val="18"/>
        </w:rPr>
        <w:t>comply with Australian Accounting Standards and other interpretations,      </w:t>
      </w:r>
      <w:r>
        <w:rPr>
          <w:spacing w:val="40"/>
          <w:sz w:val="18"/>
        </w:rPr>
        <w:t> </w:t>
      </w:r>
      <w:r>
        <w:rPr>
          <w:sz w:val="18"/>
        </w:rPr>
        <w:t>the </w:t>
      </w:r>
      <w:r>
        <w:rPr>
          <w:i/>
          <w:sz w:val="18"/>
        </w:rPr>
        <w:t>Public Finance and Audit Act 1983</w:t>
      </w:r>
    </w:p>
    <w:p>
      <w:pPr>
        <w:spacing w:before="2"/>
        <w:ind w:left="886" w:right="588" w:firstLine="0"/>
        <w:jc w:val="center"/>
        <w:rPr>
          <w:sz w:val="18"/>
        </w:rPr>
      </w:pPr>
      <w:r>
        <w:rPr>
          <w:sz w:val="18"/>
        </w:rPr>
        <w:t>the </w:t>
      </w:r>
      <w:r>
        <w:rPr>
          <w:i/>
          <w:sz w:val="18"/>
        </w:rPr>
        <w:t>Public Finance and Audit Regulation 2010 </w:t>
      </w:r>
      <w:r>
        <w:rPr>
          <w:sz w:val="18"/>
        </w:rPr>
        <w:t>and other mandatory professional reporting requirements; and</w:t>
      </w:r>
    </w:p>
    <w:p>
      <w:pPr>
        <w:pStyle w:val="BodyText"/>
        <w:spacing w:before="2"/>
        <w:rPr>
          <w:sz w:val="25"/>
        </w:rPr>
      </w:pPr>
    </w:p>
    <w:p>
      <w:pPr>
        <w:pStyle w:val="ListParagraph"/>
        <w:numPr>
          <w:ilvl w:val="1"/>
          <w:numId w:val="141"/>
        </w:numPr>
        <w:tabs>
          <w:tab w:pos="900" w:val="left" w:leader="none"/>
        </w:tabs>
        <w:spacing w:line="240" w:lineRule="auto" w:before="0" w:after="0"/>
        <w:ind w:left="900" w:right="104" w:hanging="396"/>
        <w:jc w:val="left"/>
        <w:rPr>
          <w:sz w:val="18"/>
        </w:rPr>
      </w:pPr>
      <w:r>
        <w:rPr>
          <w:sz w:val="18"/>
        </w:rPr>
        <w:t>give a t rue and fair view of the financial position as at 31 December 2012 and of the performance for the year ended on that date of the</w:t>
      </w:r>
      <w:r>
        <w:rPr>
          <w:spacing w:val="-14"/>
          <w:sz w:val="18"/>
        </w:rPr>
        <w:t> </w:t>
      </w:r>
      <w:r>
        <w:rPr>
          <w:sz w:val="18"/>
        </w:rPr>
        <w:t>Trust.</w:t>
      </w:r>
    </w:p>
    <w:p>
      <w:pPr>
        <w:pStyle w:val="BodyText"/>
        <w:spacing w:before="10"/>
        <w:rPr>
          <w:sz w:val="17"/>
        </w:rPr>
      </w:pPr>
    </w:p>
    <w:p>
      <w:pPr>
        <w:pStyle w:val="ListParagraph"/>
        <w:numPr>
          <w:ilvl w:val="0"/>
          <w:numId w:val="141"/>
        </w:numPr>
        <w:tabs>
          <w:tab w:pos="504" w:val="left" w:leader="none"/>
        </w:tabs>
        <w:spacing w:line="240" w:lineRule="auto" w:before="0" w:after="0"/>
        <w:ind w:left="504" w:right="105" w:hanging="396"/>
        <w:jc w:val="left"/>
        <w:rPr>
          <w:sz w:val="18"/>
        </w:rPr>
      </w:pPr>
      <w:r>
        <w:rPr>
          <w:sz w:val="18"/>
        </w:rPr>
        <w:t>There are reasonable grounds to believe that the Trust will be able to pay its debts as and when they become due and payable.</w:t>
      </w:r>
    </w:p>
    <w:p>
      <w:pPr>
        <w:pStyle w:val="BodyText"/>
        <w:spacing w:before="6"/>
        <w:rPr>
          <w:sz w:val="24"/>
        </w:rPr>
      </w:pPr>
    </w:p>
    <w:p>
      <w:pPr>
        <w:pStyle w:val="BodyText"/>
        <w:ind w:left="108" w:right="157"/>
      </w:pPr>
      <w:r>
        <w:rPr/>
        <w:t>This declaration is made in accordance with a resolution of the Trustee Company, the Whitlam Institute within the University of Western Sydney Limited.</w:t>
      </w:r>
    </w:p>
    <w:p>
      <w:pPr>
        <w:pStyle w:val="BodyText"/>
        <w:spacing w:before="6"/>
        <w:rPr>
          <w:sz w:val="21"/>
        </w:rPr>
      </w:pPr>
      <w:r>
        <w:rPr/>
        <w:drawing>
          <wp:anchor distT="0" distB="0" distL="0" distR="0" allowOverlap="1" layoutInCell="1" locked="0" behindDoc="0" simplePos="0" relativeHeight="6280">
            <wp:simplePos x="0" y="0"/>
            <wp:positionH relativeFrom="page">
              <wp:posOffset>643803</wp:posOffset>
            </wp:positionH>
            <wp:positionV relativeFrom="paragraph">
              <wp:posOffset>182081</wp:posOffset>
            </wp:positionV>
            <wp:extent cx="5925315" cy="1069848"/>
            <wp:effectExtent l="0" t="0" r="0" b="0"/>
            <wp:wrapTopAndBottom/>
            <wp:docPr id="125" name="image87.jpeg" descr=""/>
            <wp:cNvGraphicFramePr>
              <a:graphicFrameLocks noChangeAspect="1"/>
            </wp:cNvGraphicFramePr>
            <a:graphic>
              <a:graphicData uri="http://schemas.openxmlformats.org/drawingml/2006/picture">
                <pic:pic>
                  <pic:nvPicPr>
                    <pic:cNvPr id="126" name="image87.jpeg"/>
                    <pic:cNvPicPr/>
                  </pic:nvPicPr>
                  <pic:blipFill>
                    <a:blip r:embed="rId274" cstate="print"/>
                    <a:stretch>
                      <a:fillRect/>
                    </a:stretch>
                  </pic:blipFill>
                  <pic:spPr>
                    <a:xfrm>
                      <a:off x="0" y="0"/>
                      <a:ext cx="5925315" cy="1069848"/>
                    </a:xfrm>
                    <a:prstGeom prst="rect">
                      <a:avLst/>
                    </a:prstGeom>
                  </pic:spPr>
                </pic:pic>
              </a:graphicData>
            </a:graphic>
          </wp:anchor>
        </w:drawing>
      </w:r>
    </w:p>
    <w:p>
      <w:pPr>
        <w:pStyle w:val="BodyText"/>
      </w:pPr>
    </w:p>
    <w:p>
      <w:pPr>
        <w:pStyle w:val="BodyText"/>
        <w:spacing w:before="7"/>
        <w:rPr>
          <w:sz w:val="20"/>
        </w:rPr>
      </w:pPr>
    </w:p>
    <w:p>
      <w:pPr>
        <w:pStyle w:val="BodyText"/>
        <w:tabs>
          <w:tab w:pos="4550" w:val="left" w:leader="none"/>
        </w:tabs>
        <w:spacing w:line="278" w:lineRule="auto"/>
        <w:ind w:left="107" w:right="3818"/>
      </w:pPr>
      <w:r>
        <w:rPr/>
        <w:t>Prof. Janice</w:t>
      </w:r>
      <w:r>
        <w:rPr>
          <w:spacing w:val="-1"/>
        </w:rPr>
        <w:t> </w:t>
      </w:r>
      <w:r>
        <w:rPr/>
        <w:t>Reid</w:t>
      </w:r>
      <w:r>
        <w:rPr>
          <w:spacing w:val="-1"/>
        </w:rPr>
        <w:t> </w:t>
      </w:r>
      <w:r>
        <w:rPr/>
        <w:t>AM</w:t>
        <w:tab/>
        <w:t>Mr</w:t>
      </w:r>
      <w:r>
        <w:rPr>
          <w:spacing w:val="-1"/>
        </w:rPr>
        <w:t> </w:t>
      </w:r>
      <w:r>
        <w:rPr/>
        <w:t>Geoffrey</w:t>
      </w:r>
      <w:r>
        <w:rPr>
          <w:spacing w:val="-1"/>
        </w:rPr>
        <w:t> </w:t>
      </w:r>
      <w:r>
        <w:rPr/>
        <w:t>Roberson</w:t>
      </w:r>
      <w:r>
        <w:rPr>
          <w:w w:val="99"/>
        </w:rPr>
        <w:t> </w:t>
      </w:r>
      <w:r>
        <w:rPr/>
        <w:t>Dated 28 March</w:t>
      </w:r>
      <w:r>
        <w:rPr>
          <w:spacing w:val="-1"/>
        </w:rPr>
        <w:t> </w:t>
      </w:r>
      <w:r>
        <w:rPr/>
        <w:t>2013</w:t>
      </w:r>
    </w:p>
    <w:p>
      <w:pPr>
        <w:spacing w:after="0" w:line="278" w:lineRule="auto"/>
        <w:sectPr>
          <w:headerReference w:type="default" r:id="rId272"/>
          <w:footerReference w:type="default" r:id="rId273"/>
          <w:pgSz w:w="11960" w:h="16850"/>
          <w:pgMar w:header="0" w:footer="507" w:top="660" w:bottom="700" w:left="900" w:right="9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spacing w:before="35"/>
        <w:ind w:left="100" w:right="1570" w:firstLine="0"/>
        <w:jc w:val="left"/>
        <w:rPr>
          <w:b/>
          <w:sz w:val="52"/>
        </w:rPr>
      </w:pPr>
      <w:r>
        <w:rPr>
          <w:b/>
          <w:sz w:val="52"/>
        </w:rPr>
        <w:t>University of Western Sydney And Controlled Entities</w:t>
      </w:r>
    </w:p>
    <w:p>
      <w:pPr>
        <w:pStyle w:val="BodyText"/>
        <w:spacing w:before="1"/>
        <w:rPr>
          <w:b/>
          <w:sz w:val="52"/>
        </w:rPr>
      </w:pPr>
    </w:p>
    <w:p>
      <w:pPr>
        <w:spacing w:before="0"/>
        <w:ind w:left="100" w:right="0" w:firstLine="0"/>
        <w:jc w:val="left"/>
        <w:rPr>
          <w:b/>
          <w:sz w:val="52"/>
        </w:rPr>
      </w:pPr>
      <w:r>
        <w:rPr>
          <w:b/>
          <w:sz w:val="52"/>
        </w:rPr>
        <w:t>Budget and Performance Indicators</w:t>
      </w:r>
    </w:p>
    <w:p>
      <w:pPr>
        <w:spacing w:after="0"/>
        <w:jc w:val="left"/>
        <w:rPr>
          <w:sz w:val="52"/>
        </w:rPr>
        <w:sectPr>
          <w:headerReference w:type="default" r:id="rId275"/>
          <w:footerReference w:type="default" r:id="rId276"/>
          <w:pgSz w:w="11910" w:h="16840"/>
          <w:pgMar w:header="0" w:footer="507" w:top="1580" w:bottom="700" w:left="1340" w:right="1540"/>
          <w:pgNumType w:start="291"/>
        </w:sectPr>
      </w:pPr>
    </w:p>
    <w:p>
      <w:pPr>
        <w:pStyle w:val="Heading9"/>
        <w:spacing w:before="60"/>
        <w:ind w:left="6343" w:right="99"/>
      </w:pPr>
      <w:r>
        <w:rPr/>
        <w:t>Budget and Performance Indicators</w:t>
      </w:r>
    </w:p>
    <w:p>
      <w:pPr>
        <w:pStyle w:val="BodyText"/>
        <w:rPr>
          <w:b/>
          <w:sz w:val="20"/>
        </w:rPr>
      </w:pPr>
    </w:p>
    <w:p>
      <w:pPr>
        <w:pStyle w:val="BodyText"/>
        <w:rPr>
          <w:b/>
          <w:sz w:val="20"/>
        </w:rPr>
      </w:pPr>
    </w:p>
    <w:p>
      <w:pPr>
        <w:pStyle w:val="BodyText"/>
        <w:spacing w:before="2"/>
        <w:rPr>
          <w:b/>
          <w:sz w:val="22"/>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07"/>
        <w:gridCol w:w="1416"/>
        <w:gridCol w:w="1286"/>
        <w:gridCol w:w="1193"/>
      </w:tblGrid>
      <w:tr>
        <w:trPr>
          <w:trHeight w:val="863" w:hRule="exact"/>
        </w:trPr>
        <w:tc>
          <w:tcPr>
            <w:tcW w:w="5407" w:type="dxa"/>
          </w:tcPr>
          <w:p>
            <w:pPr>
              <w:pStyle w:val="TableParagraph"/>
              <w:spacing w:before="72"/>
              <w:ind w:left="35"/>
              <w:rPr>
                <w:b/>
                <w:sz w:val="22"/>
              </w:rPr>
            </w:pPr>
            <w:r>
              <w:rPr>
                <w:b/>
                <w:sz w:val="22"/>
              </w:rPr>
              <w:t>2012 Actual to Budget Comparative Analysis</w:t>
            </w:r>
          </w:p>
        </w:tc>
        <w:tc>
          <w:tcPr>
            <w:tcW w:w="1416" w:type="dxa"/>
          </w:tcPr>
          <w:p>
            <w:pPr>
              <w:pStyle w:val="TableParagraph"/>
              <w:rPr>
                <w:b/>
                <w:sz w:val="18"/>
              </w:rPr>
            </w:pPr>
          </w:p>
          <w:p>
            <w:pPr>
              <w:pStyle w:val="TableParagraph"/>
              <w:rPr>
                <w:b/>
                <w:sz w:val="18"/>
              </w:rPr>
            </w:pPr>
          </w:p>
          <w:p>
            <w:pPr>
              <w:pStyle w:val="TableParagraph"/>
              <w:spacing w:before="6"/>
              <w:rPr>
                <w:b/>
                <w:sz w:val="16"/>
              </w:rPr>
            </w:pPr>
          </w:p>
          <w:p>
            <w:pPr>
              <w:pStyle w:val="TableParagraph"/>
              <w:ind w:right="334"/>
              <w:jc w:val="right"/>
              <w:rPr>
                <w:b/>
                <w:sz w:val="18"/>
              </w:rPr>
            </w:pPr>
            <w:r>
              <w:rPr>
                <w:b/>
                <w:w w:val="95"/>
                <w:sz w:val="18"/>
              </w:rPr>
              <w:t>2012</w:t>
            </w:r>
          </w:p>
        </w:tc>
        <w:tc>
          <w:tcPr>
            <w:tcW w:w="1286" w:type="dxa"/>
          </w:tcPr>
          <w:p>
            <w:pPr>
              <w:pStyle w:val="TableParagraph"/>
              <w:rPr>
                <w:b/>
                <w:sz w:val="18"/>
              </w:rPr>
            </w:pPr>
          </w:p>
          <w:p>
            <w:pPr>
              <w:pStyle w:val="TableParagraph"/>
              <w:rPr>
                <w:b/>
                <w:sz w:val="18"/>
              </w:rPr>
            </w:pPr>
          </w:p>
          <w:p>
            <w:pPr>
              <w:pStyle w:val="TableParagraph"/>
              <w:spacing w:before="6"/>
              <w:rPr>
                <w:b/>
                <w:sz w:val="16"/>
              </w:rPr>
            </w:pPr>
          </w:p>
          <w:p>
            <w:pPr>
              <w:pStyle w:val="TableParagraph"/>
              <w:ind w:right="215"/>
              <w:jc w:val="right"/>
              <w:rPr>
                <w:b/>
                <w:sz w:val="18"/>
              </w:rPr>
            </w:pPr>
            <w:r>
              <w:rPr>
                <w:b/>
                <w:w w:val="95"/>
                <w:sz w:val="18"/>
              </w:rPr>
              <w:t>2012</w:t>
            </w:r>
          </w:p>
        </w:tc>
        <w:tc>
          <w:tcPr>
            <w:tcW w:w="1193" w:type="dxa"/>
          </w:tcPr>
          <w:p>
            <w:pPr>
              <w:pStyle w:val="TableParagraph"/>
              <w:rPr>
                <w:b/>
                <w:sz w:val="18"/>
              </w:rPr>
            </w:pPr>
          </w:p>
          <w:p>
            <w:pPr>
              <w:pStyle w:val="TableParagraph"/>
              <w:rPr>
                <w:b/>
                <w:sz w:val="18"/>
              </w:rPr>
            </w:pPr>
          </w:p>
          <w:p>
            <w:pPr>
              <w:pStyle w:val="TableParagraph"/>
              <w:spacing w:before="6"/>
              <w:rPr>
                <w:b/>
                <w:sz w:val="16"/>
              </w:rPr>
            </w:pPr>
          </w:p>
          <w:p>
            <w:pPr>
              <w:pStyle w:val="TableParagraph"/>
              <w:ind w:right="36"/>
              <w:jc w:val="right"/>
              <w:rPr>
                <w:b/>
                <w:i/>
                <w:sz w:val="18"/>
              </w:rPr>
            </w:pPr>
            <w:r>
              <w:rPr>
                <w:b/>
                <w:i/>
                <w:w w:val="95"/>
                <w:sz w:val="18"/>
              </w:rPr>
              <w:t>2012</w:t>
            </w:r>
          </w:p>
        </w:tc>
      </w:tr>
      <w:tr>
        <w:trPr>
          <w:trHeight w:val="290" w:hRule="exact"/>
        </w:trPr>
        <w:tc>
          <w:tcPr>
            <w:tcW w:w="5407" w:type="dxa"/>
          </w:tcPr>
          <w:p>
            <w:pPr/>
          </w:p>
        </w:tc>
        <w:tc>
          <w:tcPr>
            <w:tcW w:w="1416" w:type="dxa"/>
          </w:tcPr>
          <w:p>
            <w:pPr>
              <w:pStyle w:val="TableParagraph"/>
              <w:spacing w:before="32"/>
              <w:ind w:right="333"/>
              <w:jc w:val="right"/>
              <w:rPr>
                <w:b/>
                <w:sz w:val="18"/>
              </w:rPr>
            </w:pPr>
            <w:r>
              <w:rPr>
                <w:b/>
                <w:w w:val="95"/>
                <w:sz w:val="18"/>
              </w:rPr>
              <w:t>BUDGET</w:t>
            </w:r>
          </w:p>
        </w:tc>
        <w:tc>
          <w:tcPr>
            <w:tcW w:w="1286" w:type="dxa"/>
          </w:tcPr>
          <w:p>
            <w:pPr>
              <w:pStyle w:val="TableParagraph"/>
              <w:spacing w:before="32"/>
              <w:ind w:right="215"/>
              <w:jc w:val="right"/>
              <w:rPr>
                <w:b/>
                <w:sz w:val="18"/>
              </w:rPr>
            </w:pPr>
            <w:r>
              <w:rPr>
                <w:b/>
                <w:sz w:val="18"/>
              </w:rPr>
              <w:t>ACTUAL</w:t>
            </w:r>
          </w:p>
        </w:tc>
        <w:tc>
          <w:tcPr>
            <w:tcW w:w="1193" w:type="dxa"/>
          </w:tcPr>
          <w:p>
            <w:pPr>
              <w:pStyle w:val="TableParagraph"/>
              <w:spacing w:before="32"/>
              <w:ind w:right="36"/>
              <w:jc w:val="right"/>
              <w:rPr>
                <w:b/>
                <w:i/>
                <w:sz w:val="18"/>
              </w:rPr>
            </w:pPr>
            <w:r>
              <w:rPr>
                <w:b/>
                <w:i/>
                <w:w w:val="95"/>
                <w:sz w:val="18"/>
              </w:rPr>
              <w:t>VARIANCE</w:t>
            </w:r>
          </w:p>
        </w:tc>
      </w:tr>
      <w:tr>
        <w:trPr>
          <w:trHeight w:val="319" w:hRule="exact"/>
        </w:trPr>
        <w:tc>
          <w:tcPr>
            <w:tcW w:w="5407" w:type="dxa"/>
          </w:tcPr>
          <w:p>
            <w:pPr/>
          </w:p>
        </w:tc>
        <w:tc>
          <w:tcPr>
            <w:tcW w:w="1416" w:type="dxa"/>
          </w:tcPr>
          <w:p>
            <w:pPr>
              <w:pStyle w:val="TableParagraph"/>
              <w:spacing w:before="32"/>
              <w:ind w:right="334"/>
              <w:jc w:val="right"/>
              <w:rPr>
                <w:b/>
                <w:sz w:val="18"/>
              </w:rPr>
            </w:pPr>
            <w:r>
              <w:rPr>
                <w:b/>
                <w:w w:val="95"/>
                <w:sz w:val="18"/>
              </w:rPr>
              <w:t>$'000</w:t>
            </w:r>
          </w:p>
        </w:tc>
        <w:tc>
          <w:tcPr>
            <w:tcW w:w="1286" w:type="dxa"/>
          </w:tcPr>
          <w:p>
            <w:pPr>
              <w:pStyle w:val="TableParagraph"/>
              <w:spacing w:before="32"/>
              <w:ind w:right="215"/>
              <w:jc w:val="right"/>
              <w:rPr>
                <w:b/>
                <w:sz w:val="18"/>
              </w:rPr>
            </w:pPr>
            <w:r>
              <w:rPr>
                <w:b/>
                <w:w w:val="95"/>
                <w:sz w:val="18"/>
              </w:rPr>
              <w:t>$'000</w:t>
            </w:r>
          </w:p>
        </w:tc>
        <w:tc>
          <w:tcPr>
            <w:tcW w:w="1193" w:type="dxa"/>
          </w:tcPr>
          <w:p>
            <w:pPr>
              <w:pStyle w:val="TableParagraph"/>
              <w:spacing w:before="32"/>
              <w:ind w:right="36"/>
              <w:jc w:val="right"/>
              <w:rPr>
                <w:b/>
                <w:i/>
                <w:sz w:val="18"/>
              </w:rPr>
            </w:pPr>
            <w:r>
              <w:rPr>
                <w:b/>
                <w:i/>
                <w:sz w:val="18"/>
              </w:rPr>
              <w:t>$'000</w:t>
            </w:r>
          </w:p>
        </w:tc>
      </w:tr>
      <w:tr>
        <w:trPr>
          <w:trHeight w:val="334" w:hRule="exact"/>
        </w:trPr>
        <w:tc>
          <w:tcPr>
            <w:tcW w:w="5407" w:type="dxa"/>
          </w:tcPr>
          <w:p>
            <w:pPr>
              <w:pStyle w:val="TableParagraph"/>
              <w:spacing w:before="61"/>
              <w:ind w:left="596"/>
              <w:rPr>
                <w:b/>
                <w:sz w:val="18"/>
              </w:rPr>
            </w:pPr>
            <w:r>
              <w:rPr>
                <w:b/>
                <w:sz w:val="18"/>
              </w:rPr>
              <w:t>INCOME FROM CONTINUING OPERATIONS</w:t>
            </w:r>
          </w:p>
        </w:tc>
        <w:tc>
          <w:tcPr>
            <w:tcW w:w="1416" w:type="dxa"/>
          </w:tcPr>
          <w:p>
            <w:pPr/>
          </w:p>
        </w:tc>
        <w:tc>
          <w:tcPr>
            <w:tcW w:w="1286" w:type="dxa"/>
          </w:tcPr>
          <w:p>
            <w:pPr/>
          </w:p>
        </w:tc>
        <w:tc>
          <w:tcPr>
            <w:tcW w:w="1193" w:type="dxa"/>
          </w:tcPr>
          <w:p>
            <w:pPr/>
          </w:p>
        </w:tc>
      </w:tr>
      <w:tr>
        <w:trPr>
          <w:trHeight w:val="341" w:hRule="exact"/>
        </w:trPr>
        <w:tc>
          <w:tcPr>
            <w:tcW w:w="5407" w:type="dxa"/>
          </w:tcPr>
          <w:p>
            <w:pPr>
              <w:pStyle w:val="TableParagraph"/>
              <w:spacing w:before="46"/>
              <w:ind w:left="910"/>
              <w:rPr>
                <w:b/>
                <w:sz w:val="18"/>
              </w:rPr>
            </w:pPr>
            <w:r>
              <w:rPr>
                <w:b/>
                <w:sz w:val="18"/>
              </w:rPr>
              <w:t>GOVERNMENT</w:t>
            </w:r>
          </w:p>
        </w:tc>
        <w:tc>
          <w:tcPr>
            <w:tcW w:w="1416" w:type="dxa"/>
          </w:tcPr>
          <w:p>
            <w:pPr>
              <w:pStyle w:val="TableParagraph"/>
              <w:spacing w:before="46"/>
              <w:ind w:right="333"/>
              <w:jc w:val="right"/>
              <w:rPr>
                <w:b/>
                <w:sz w:val="18"/>
              </w:rPr>
            </w:pPr>
            <w:r>
              <w:rPr>
                <w:b/>
                <w:w w:val="95"/>
                <w:sz w:val="18"/>
              </w:rPr>
              <w:t>490,025</w:t>
            </w:r>
          </w:p>
        </w:tc>
        <w:tc>
          <w:tcPr>
            <w:tcW w:w="1286" w:type="dxa"/>
          </w:tcPr>
          <w:p>
            <w:pPr>
              <w:pStyle w:val="TableParagraph"/>
              <w:spacing w:before="46"/>
              <w:ind w:right="216"/>
              <w:jc w:val="right"/>
              <w:rPr>
                <w:b/>
                <w:sz w:val="18"/>
              </w:rPr>
            </w:pPr>
            <w:r>
              <w:rPr>
                <w:b/>
                <w:w w:val="95"/>
                <w:sz w:val="18"/>
              </w:rPr>
              <w:t>489,952</w:t>
            </w:r>
          </w:p>
        </w:tc>
        <w:tc>
          <w:tcPr>
            <w:tcW w:w="1193" w:type="dxa"/>
          </w:tcPr>
          <w:p>
            <w:pPr>
              <w:pStyle w:val="TableParagraph"/>
              <w:spacing w:before="46"/>
              <w:ind w:right="33"/>
              <w:jc w:val="right"/>
              <w:rPr>
                <w:b/>
                <w:i/>
                <w:sz w:val="18"/>
              </w:rPr>
            </w:pPr>
            <w:r>
              <w:rPr>
                <w:b/>
                <w:i/>
                <w:w w:val="95"/>
                <w:sz w:val="18"/>
              </w:rPr>
              <w:t>(73)</w:t>
            </w:r>
          </w:p>
        </w:tc>
      </w:tr>
      <w:tr>
        <w:trPr>
          <w:trHeight w:val="530" w:hRule="exact"/>
        </w:trPr>
        <w:tc>
          <w:tcPr>
            <w:tcW w:w="5407" w:type="dxa"/>
          </w:tcPr>
          <w:p>
            <w:pPr>
              <w:pStyle w:val="TableParagraph"/>
              <w:spacing w:before="68"/>
              <w:ind w:left="910"/>
              <w:rPr>
                <w:b/>
                <w:sz w:val="18"/>
              </w:rPr>
            </w:pPr>
            <w:r>
              <w:rPr>
                <w:b/>
                <w:sz w:val="18"/>
              </w:rPr>
              <w:t>ACADEMIC ACTIVITIES</w:t>
            </w:r>
          </w:p>
          <w:p>
            <w:pPr>
              <w:pStyle w:val="TableParagraph"/>
              <w:spacing w:before="25"/>
              <w:ind w:left="1211"/>
              <w:rPr>
                <w:sz w:val="18"/>
              </w:rPr>
            </w:pPr>
            <w:r>
              <w:rPr>
                <w:sz w:val="18"/>
              </w:rPr>
              <w:t>International Onshore</w:t>
            </w:r>
          </w:p>
        </w:tc>
        <w:tc>
          <w:tcPr>
            <w:tcW w:w="1416" w:type="dxa"/>
          </w:tcPr>
          <w:p>
            <w:pPr>
              <w:pStyle w:val="TableParagraph"/>
              <w:spacing w:before="1"/>
              <w:rPr>
                <w:b/>
                <w:sz w:val="26"/>
              </w:rPr>
            </w:pPr>
          </w:p>
          <w:p>
            <w:pPr>
              <w:pStyle w:val="TableParagraph"/>
              <w:spacing w:before="1"/>
              <w:ind w:right="334"/>
              <w:jc w:val="right"/>
              <w:rPr>
                <w:sz w:val="18"/>
              </w:rPr>
            </w:pPr>
            <w:r>
              <w:rPr>
                <w:sz w:val="18"/>
              </w:rPr>
              <w:t>57,595</w:t>
            </w:r>
          </w:p>
        </w:tc>
        <w:tc>
          <w:tcPr>
            <w:tcW w:w="1286" w:type="dxa"/>
          </w:tcPr>
          <w:p>
            <w:pPr>
              <w:pStyle w:val="TableParagraph"/>
              <w:spacing w:before="1"/>
              <w:rPr>
                <w:b/>
                <w:sz w:val="26"/>
              </w:rPr>
            </w:pPr>
          </w:p>
          <w:p>
            <w:pPr>
              <w:pStyle w:val="TableParagraph"/>
              <w:spacing w:before="1"/>
              <w:ind w:right="216"/>
              <w:jc w:val="right"/>
              <w:rPr>
                <w:sz w:val="18"/>
              </w:rPr>
            </w:pPr>
            <w:r>
              <w:rPr>
                <w:sz w:val="18"/>
              </w:rPr>
              <w:t>57,102</w:t>
            </w:r>
          </w:p>
        </w:tc>
        <w:tc>
          <w:tcPr>
            <w:tcW w:w="1193" w:type="dxa"/>
          </w:tcPr>
          <w:p>
            <w:pPr>
              <w:pStyle w:val="TableParagraph"/>
              <w:spacing w:before="1"/>
              <w:rPr>
                <w:b/>
                <w:sz w:val="26"/>
              </w:rPr>
            </w:pPr>
          </w:p>
          <w:p>
            <w:pPr>
              <w:pStyle w:val="TableParagraph"/>
              <w:spacing w:before="1"/>
              <w:ind w:right="35"/>
              <w:jc w:val="right"/>
              <w:rPr>
                <w:i/>
                <w:sz w:val="18"/>
              </w:rPr>
            </w:pPr>
            <w:r>
              <w:rPr>
                <w:i/>
                <w:sz w:val="18"/>
              </w:rPr>
              <w:t>(493)</w:t>
            </w:r>
          </w:p>
        </w:tc>
      </w:tr>
      <w:tr>
        <w:trPr>
          <w:trHeight w:val="233" w:hRule="exact"/>
        </w:trPr>
        <w:tc>
          <w:tcPr>
            <w:tcW w:w="5407" w:type="dxa"/>
          </w:tcPr>
          <w:p>
            <w:pPr>
              <w:pStyle w:val="TableParagraph"/>
              <w:spacing w:before="3"/>
              <w:ind w:left="1211"/>
              <w:rPr>
                <w:sz w:val="18"/>
              </w:rPr>
            </w:pPr>
            <w:r>
              <w:rPr>
                <w:sz w:val="18"/>
              </w:rPr>
              <w:t>International Offshore</w:t>
            </w:r>
          </w:p>
        </w:tc>
        <w:tc>
          <w:tcPr>
            <w:tcW w:w="1416" w:type="dxa"/>
          </w:tcPr>
          <w:p>
            <w:pPr>
              <w:pStyle w:val="TableParagraph"/>
              <w:spacing w:before="3"/>
              <w:ind w:right="334"/>
              <w:jc w:val="right"/>
              <w:rPr>
                <w:sz w:val="18"/>
              </w:rPr>
            </w:pPr>
            <w:r>
              <w:rPr>
                <w:sz w:val="18"/>
              </w:rPr>
              <w:t>500</w:t>
            </w:r>
          </w:p>
        </w:tc>
        <w:tc>
          <w:tcPr>
            <w:tcW w:w="1286" w:type="dxa"/>
          </w:tcPr>
          <w:p>
            <w:pPr>
              <w:pStyle w:val="TableParagraph"/>
              <w:spacing w:before="3"/>
              <w:ind w:right="216"/>
              <w:jc w:val="right"/>
              <w:rPr>
                <w:sz w:val="18"/>
              </w:rPr>
            </w:pPr>
            <w:r>
              <w:rPr>
                <w:sz w:val="18"/>
              </w:rPr>
              <w:t>689</w:t>
            </w:r>
          </w:p>
        </w:tc>
        <w:tc>
          <w:tcPr>
            <w:tcW w:w="1193" w:type="dxa"/>
          </w:tcPr>
          <w:p>
            <w:pPr>
              <w:pStyle w:val="TableParagraph"/>
              <w:spacing w:before="3"/>
              <w:ind w:right="36"/>
              <w:jc w:val="right"/>
              <w:rPr>
                <w:i/>
                <w:sz w:val="18"/>
              </w:rPr>
            </w:pPr>
            <w:r>
              <w:rPr>
                <w:i/>
                <w:sz w:val="18"/>
              </w:rPr>
              <w:t>189</w:t>
            </w:r>
          </w:p>
        </w:tc>
      </w:tr>
      <w:tr>
        <w:trPr>
          <w:trHeight w:val="233" w:hRule="exact"/>
        </w:trPr>
        <w:tc>
          <w:tcPr>
            <w:tcW w:w="5407" w:type="dxa"/>
          </w:tcPr>
          <w:p>
            <w:pPr>
              <w:pStyle w:val="TableParagraph"/>
              <w:spacing w:before="3"/>
              <w:ind w:left="1211"/>
              <w:rPr>
                <w:sz w:val="18"/>
              </w:rPr>
            </w:pPr>
            <w:r>
              <w:rPr>
                <w:sz w:val="18"/>
              </w:rPr>
              <w:t>Local fee-paying</w:t>
            </w:r>
          </w:p>
        </w:tc>
        <w:tc>
          <w:tcPr>
            <w:tcW w:w="1416" w:type="dxa"/>
          </w:tcPr>
          <w:p>
            <w:pPr>
              <w:pStyle w:val="TableParagraph"/>
              <w:spacing w:before="3"/>
              <w:ind w:right="334"/>
              <w:jc w:val="right"/>
              <w:rPr>
                <w:sz w:val="18"/>
              </w:rPr>
            </w:pPr>
            <w:r>
              <w:rPr>
                <w:sz w:val="18"/>
              </w:rPr>
              <w:t>14,051</w:t>
            </w:r>
          </w:p>
        </w:tc>
        <w:tc>
          <w:tcPr>
            <w:tcW w:w="1286" w:type="dxa"/>
          </w:tcPr>
          <w:p>
            <w:pPr>
              <w:pStyle w:val="TableParagraph"/>
              <w:spacing w:before="3"/>
              <w:ind w:right="216"/>
              <w:jc w:val="right"/>
              <w:rPr>
                <w:sz w:val="18"/>
              </w:rPr>
            </w:pPr>
            <w:r>
              <w:rPr>
                <w:sz w:val="18"/>
              </w:rPr>
              <w:t>13,158</w:t>
            </w:r>
          </w:p>
        </w:tc>
        <w:tc>
          <w:tcPr>
            <w:tcW w:w="1193" w:type="dxa"/>
          </w:tcPr>
          <w:p>
            <w:pPr>
              <w:pStyle w:val="TableParagraph"/>
              <w:spacing w:before="3"/>
              <w:ind w:right="35"/>
              <w:jc w:val="right"/>
              <w:rPr>
                <w:i/>
                <w:sz w:val="18"/>
              </w:rPr>
            </w:pPr>
            <w:r>
              <w:rPr>
                <w:i/>
                <w:sz w:val="18"/>
              </w:rPr>
              <w:t>(893)</w:t>
            </w:r>
          </w:p>
        </w:tc>
      </w:tr>
      <w:tr>
        <w:trPr>
          <w:trHeight w:val="233" w:hRule="exact"/>
        </w:trPr>
        <w:tc>
          <w:tcPr>
            <w:tcW w:w="5407" w:type="dxa"/>
          </w:tcPr>
          <w:p>
            <w:pPr>
              <w:pStyle w:val="TableParagraph"/>
              <w:spacing w:before="3"/>
              <w:ind w:left="1211"/>
              <w:rPr>
                <w:sz w:val="18"/>
              </w:rPr>
            </w:pPr>
            <w:r>
              <w:rPr>
                <w:sz w:val="18"/>
              </w:rPr>
              <w:t>External Research Grants</w:t>
            </w:r>
          </w:p>
        </w:tc>
        <w:tc>
          <w:tcPr>
            <w:tcW w:w="1416" w:type="dxa"/>
          </w:tcPr>
          <w:p>
            <w:pPr>
              <w:pStyle w:val="TableParagraph"/>
              <w:spacing w:before="3"/>
              <w:ind w:right="334"/>
              <w:jc w:val="right"/>
              <w:rPr>
                <w:sz w:val="18"/>
              </w:rPr>
            </w:pPr>
            <w:r>
              <w:rPr>
                <w:sz w:val="18"/>
              </w:rPr>
              <w:t>22,600</w:t>
            </w:r>
          </w:p>
        </w:tc>
        <w:tc>
          <w:tcPr>
            <w:tcW w:w="1286" w:type="dxa"/>
          </w:tcPr>
          <w:p>
            <w:pPr>
              <w:pStyle w:val="TableParagraph"/>
              <w:spacing w:before="3"/>
              <w:ind w:right="217"/>
              <w:jc w:val="right"/>
              <w:rPr>
                <w:sz w:val="18"/>
              </w:rPr>
            </w:pPr>
            <w:r>
              <w:rPr>
                <w:sz w:val="18"/>
              </w:rPr>
              <w:t>19,077</w:t>
            </w:r>
          </w:p>
        </w:tc>
        <w:tc>
          <w:tcPr>
            <w:tcW w:w="1193" w:type="dxa"/>
          </w:tcPr>
          <w:p>
            <w:pPr>
              <w:pStyle w:val="TableParagraph"/>
              <w:spacing w:before="3"/>
              <w:ind w:right="35"/>
              <w:jc w:val="right"/>
              <w:rPr>
                <w:i/>
                <w:sz w:val="18"/>
              </w:rPr>
            </w:pPr>
            <w:r>
              <w:rPr>
                <w:i/>
                <w:w w:val="95"/>
                <w:sz w:val="18"/>
              </w:rPr>
              <w:t>(3,523)</w:t>
            </w:r>
          </w:p>
        </w:tc>
      </w:tr>
      <w:tr>
        <w:trPr>
          <w:trHeight w:val="233" w:hRule="exact"/>
        </w:trPr>
        <w:tc>
          <w:tcPr>
            <w:tcW w:w="5407" w:type="dxa"/>
          </w:tcPr>
          <w:p>
            <w:pPr>
              <w:pStyle w:val="TableParagraph"/>
              <w:spacing w:before="3"/>
              <w:ind w:left="1211"/>
              <w:rPr>
                <w:sz w:val="18"/>
              </w:rPr>
            </w:pPr>
            <w:r>
              <w:rPr>
                <w:sz w:val="18"/>
              </w:rPr>
              <w:t>Consulting, Contracting &amp; Royalties</w:t>
            </w:r>
          </w:p>
        </w:tc>
        <w:tc>
          <w:tcPr>
            <w:tcW w:w="1416" w:type="dxa"/>
          </w:tcPr>
          <w:p>
            <w:pPr>
              <w:pStyle w:val="TableParagraph"/>
              <w:spacing w:before="3"/>
              <w:ind w:right="335"/>
              <w:jc w:val="right"/>
              <w:rPr>
                <w:sz w:val="18"/>
              </w:rPr>
            </w:pPr>
            <w:r>
              <w:rPr>
                <w:w w:val="95"/>
                <w:sz w:val="18"/>
              </w:rPr>
              <w:t>1,924</w:t>
            </w:r>
          </w:p>
        </w:tc>
        <w:tc>
          <w:tcPr>
            <w:tcW w:w="1286" w:type="dxa"/>
          </w:tcPr>
          <w:p>
            <w:pPr>
              <w:pStyle w:val="TableParagraph"/>
              <w:spacing w:before="3"/>
              <w:ind w:right="216"/>
              <w:jc w:val="right"/>
              <w:rPr>
                <w:sz w:val="18"/>
              </w:rPr>
            </w:pPr>
            <w:r>
              <w:rPr>
                <w:w w:val="95"/>
                <w:sz w:val="18"/>
              </w:rPr>
              <w:t>2,016</w:t>
            </w:r>
          </w:p>
        </w:tc>
        <w:tc>
          <w:tcPr>
            <w:tcW w:w="1193" w:type="dxa"/>
          </w:tcPr>
          <w:p>
            <w:pPr>
              <w:pStyle w:val="TableParagraph"/>
              <w:spacing w:before="3"/>
              <w:ind w:right="36"/>
              <w:jc w:val="right"/>
              <w:rPr>
                <w:i/>
                <w:sz w:val="18"/>
              </w:rPr>
            </w:pPr>
            <w:r>
              <w:rPr>
                <w:i/>
                <w:w w:val="95"/>
                <w:sz w:val="18"/>
              </w:rPr>
              <w:t>92</w:t>
            </w:r>
          </w:p>
        </w:tc>
      </w:tr>
      <w:tr>
        <w:trPr>
          <w:trHeight w:val="283" w:hRule="exact"/>
        </w:trPr>
        <w:tc>
          <w:tcPr>
            <w:tcW w:w="5407" w:type="dxa"/>
          </w:tcPr>
          <w:p>
            <w:pPr>
              <w:pStyle w:val="TableParagraph"/>
              <w:spacing w:before="3"/>
              <w:ind w:left="1211"/>
              <w:rPr>
                <w:sz w:val="18"/>
              </w:rPr>
            </w:pPr>
            <w:r>
              <w:rPr>
                <w:sz w:val="18"/>
              </w:rPr>
              <w:t>Other Academic</w:t>
            </w:r>
          </w:p>
        </w:tc>
        <w:tc>
          <w:tcPr>
            <w:tcW w:w="1416" w:type="dxa"/>
          </w:tcPr>
          <w:p>
            <w:pPr>
              <w:pStyle w:val="TableParagraph"/>
              <w:spacing w:before="3"/>
              <w:ind w:right="334"/>
              <w:jc w:val="right"/>
              <w:rPr>
                <w:sz w:val="18"/>
              </w:rPr>
            </w:pPr>
            <w:r>
              <w:rPr>
                <w:sz w:val="18"/>
              </w:rPr>
              <w:t>26,505</w:t>
            </w:r>
          </w:p>
        </w:tc>
        <w:tc>
          <w:tcPr>
            <w:tcW w:w="1286" w:type="dxa"/>
          </w:tcPr>
          <w:p>
            <w:pPr>
              <w:pStyle w:val="TableParagraph"/>
              <w:spacing w:before="3"/>
              <w:ind w:right="216"/>
              <w:jc w:val="right"/>
              <w:rPr>
                <w:sz w:val="18"/>
              </w:rPr>
            </w:pPr>
            <w:r>
              <w:rPr>
                <w:sz w:val="18"/>
              </w:rPr>
              <w:t>23,847</w:t>
            </w:r>
          </w:p>
        </w:tc>
        <w:tc>
          <w:tcPr>
            <w:tcW w:w="1193" w:type="dxa"/>
          </w:tcPr>
          <w:p>
            <w:pPr>
              <w:pStyle w:val="TableParagraph"/>
              <w:spacing w:before="3"/>
              <w:ind w:right="35"/>
              <w:jc w:val="right"/>
              <w:rPr>
                <w:i/>
                <w:sz w:val="18"/>
              </w:rPr>
            </w:pPr>
            <w:r>
              <w:rPr>
                <w:i/>
                <w:w w:val="95"/>
                <w:sz w:val="18"/>
              </w:rPr>
              <w:t>(2,658)</w:t>
            </w:r>
          </w:p>
        </w:tc>
      </w:tr>
      <w:tr>
        <w:trPr>
          <w:trHeight w:val="257" w:hRule="exact"/>
        </w:trPr>
        <w:tc>
          <w:tcPr>
            <w:tcW w:w="5407" w:type="dxa"/>
          </w:tcPr>
          <w:p>
            <w:pPr>
              <w:pStyle w:val="TableParagraph"/>
              <w:spacing w:before="53"/>
              <w:ind w:right="320"/>
              <w:jc w:val="right"/>
              <w:rPr>
                <w:b/>
                <w:sz w:val="18"/>
              </w:rPr>
            </w:pPr>
            <w:r>
              <w:rPr>
                <w:b/>
                <w:sz w:val="18"/>
              </w:rPr>
              <w:t>Sub Total</w:t>
            </w:r>
          </w:p>
        </w:tc>
        <w:tc>
          <w:tcPr>
            <w:tcW w:w="1416" w:type="dxa"/>
          </w:tcPr>
          <w:p>
            <w:pPr>
              <w:pStyle w:val="TableParagraph"/>
              <w:spacing w:before="53"/>
              <w:ind w:right="333"/>
              <w:jc w:val="right"/>
              <w:rPr>
                <w:b/>
                <w:sz w:val="18"/>
              </w:rPr>
            </w:pPr>
            <w:r>
              <w:rPr>
                <w:b/>
                <w:w w:val="95"/>
                <w:sz w:val="18"/>
              </w:rPr>
              <w:t>123,175</w:t>
            </w:r>
          </w:p>
        </w:tc>
        <w:tc>
          <w:tcPr>
            <w:tcW w:w="1286" w:type="dxa"/>
          </w:tcPr>
          <w:p>
            <w:pPr>
              <w:pStyle w:val="TableParagraph"/>
              <w:spacing w:before="53"/>
              <w:ind w:right="215"/>
              <w:jc w:val="right"/>
              <w:rPr>
                <w:b/>
                <w:sz w:val="18"/>
              </w:rPr>
            </w:pPr>
            <w:r>
              <w:rPr>
                <w:b/>
                <w:w w:val="95"/>
                <w:sz w:val="18"/>
              </w:rPr>
              <w:t>115,889</w:t>
            </w:r>
          </w:p>
        </w:tc>
        <w:tc>
          <w:tcPr>
            <w:tcW w:w="1193" w:type="dxa"/>
          </w:tcPr>
          <w:p>
            <w:pPr>
              <w:pStyle w:val="TableParagraph"/>
              <w:spacing w:before="53"/>
              <w:ind w:right="33"/>
              <w:jc w:val="right"/>
              <w:rPr>
                <w:b/>
                <w:i/>
                <w:sz w:val="18"/>
              </w:rPr>
            </w:pPr>
            <w:r>
              <w:rPr>
                <w:b/>
                <w:i/>
                <w:w w:val="95"/>
                <w:sz w:val="18"/>
              </w:rPr>
              <w:t>(7,286)</w:t>
            </w:r>
          </w:p>
        </w:tc>
      </w:tr>
      <w:tr>
        <w:trPr>
          <w:trHeight w:val="389" w:hRule="exact"/>
        </w:trPr>
        <w:tc>
          <w:tcPr>
            <w:tcW w:w="5407" w:type="dxa"/>
          </w:tcPr>
          <w:p>
            <w:pPr>
              <w:pStyle w:val="TableParagraph"/>
              <w:spacing w:before="159"/>
              <w:ind w:left="910"/>
              <w:rPr>
                <w:b/>
                <w:sz w:val="18"/>
              </w:rPr>
            </w:pPr>
            <w:r>
              <w:rPr>
                <w:b/>
                <w:sz w:val="18"/>
              </w:rPr>
              <w:t>OTHER INCOME ACTIVITIES</w:t>
            </w:r>
          </w:p>
        </w:tc>
        <w:tc>
          <w:tcPr>
            <w:tcW w:w="1416" w:type="dxa"/>
          </w:tcPr>
          <w:p>
            <w:pPr/>
          </w:p>
        </w:tc>
        <w:tc>
          <w:tcPr>
            <w:tcW w:w="1286" w:type="dxa"/>
          </w:tcPr>
          <w:p>
            <w:pPr/>
          </w:p>
        </w:tc>
        <w:tc>
          <w:tcPr>
            <w:tcW w:w="1193" w:type="dxa"/>
          </w:tcPr>
          <w:p>
            <w:pPr/>
          </w:p>
        </w:tc>
      </w:tr>
      <w:tr>
        <w:trPr>
          <w:trHeight w:val="244" w:hRule="exact"/>
        </w:trPr>
        <w:tc>
          <w:tcPr>
            <w:tcW w:w="5407" w:type="dxa"/>
          </w:tcPr>
          <w:p>
            <w:pPr>
              <w:pStyle w:val="TableParagraph"/>
              <w:spacing w:before="3"/>
              <w:ind w:left="1211"/>
              <w:rPr>
                <w:sz w:val="18"/>
              </w:rPr>
            </w:pPr>
            <w:r>
              <w:rPr>
                <w:sz w:val="18"/>
              </w:rPr>
              <w:t>Leases &amp; Other Commercial</w:t>
            </w:r>
          </w:p>
        </w:tc>
        <w:tc>
          <w:tcPr>
            <w:tcW w:w="1416" w:type="dxa"/>
          </w:tcPr>
          <w:p>
            <w:pPr>
              <w:pStyle w:val="TableParagraph"/>
              <w:spacing w:before="3"/>
              <w:ind w:right="335"/>
              <w:jc w:val="right"/>
              <w:rPr>
                <w:sz w:val="18"/>
              </w:rPr>
            </w:pPr>
            <w:r>
              <w:rPr>
                <w:w w:val="95"/>
                <w:sz w:val="18"/>
              </w:rPr>
              <w:t>4,109</w:t>
            </w:r>
          </w:p>
        </w:tc>
        <w:tc>
          <w:tcPr>
            <w:tcW w:w="1286" w:type="dxa"/>
          </w:tcPr>
          <w:p>
            <w:pPr>
              <w:pStyle w:val="TableParagraph"/>
              <w:spacing w:before="3"/>
              <w:ind w:right="217"/>
              <w:jc w:val="right"/>
              <w:rPr>
                <w:sz w:val="18"/>
              </w:rPr>
            </w:pPr>
            <w:r>
              <w:rPr>
                <w:w w:val="95"/>
                <w:sz w:val="18"/>
              </w:rPr>
              <w:t>4,741</w:t>
            </w:r>
          </w:p>
        </w:tc>
        <w:tc>
          <w:tcPr>
            <w:tcW w:w="1193" w:type="dxa"/>
          </w:tcPr>
          <w:p>
            <w:pPr>
              <w:pStyle w:val="TableParagraph"/>
              <w:spacing w:before="3"/>
              <w:ind w:right="36"/>
              <w:jc w:val="right"/>
              <w:rPr>
                <w:i/>
                <w:sz w:val="18"/>
              </w:rPr>
            </w:pPr>
            <w:r>
              <w:rPr>
                <w:i/>
                <w:sz w:val="18"/>
              </w:rPr>
              <w:t>632</w:t>
            </w:r>
          </w:p>
        </w:tc>
      </w:tr>
      <w:tr>
        <w:trPr>
          <w:trHeight w:val="244" w:hRule="exact"/>
        </w:trPr>
        <w:tc>
          <w:tcPr>
            <w:tcW w:w="5407" w:type="dxa"/>
          </w:tcPr>
          <w:p>
            <w:pPr>
              <w:pStyle w:val="TableParagraph"/>
              <w:spacing w:before="14"/>
              <w:ind w:left="1211"/>
              <w:rPr>
                <w:sz w:val="18"/>
              </w:rPr>
            </w:pPr>
            <w:r>
              <w:rPr>
                <w:sz w:val="18"/>
              </w:rPr>
              <w:t>Investment Income</w:t>
            </w:r>
          </w:p>
        </w:tc>
        <w:tc>
          <w:tcPr>
            <w:tcW w:w="1416" w:type="dxa"/>
          </w:tcPr>
          <w:p>
            <w:pPr>
              <w:pStyle w:val="TableParagraph"/>
              <w:spacing w:before="14"/>
              <w:ind w:right="333"/>
              <w:jc w:val="right"/>
              <w:rPr>
                <w:sz w:val="18"/>
              </w:rPr>
            </w:pPr>
            <w:r>
              <w:rPr>
                <w:w w:val="95"/>
                <w:sz w:val="18"/>
              </w:rPr>
              <w:t>2,682</w:t>
            </w:r>
          </w:p>
        </w:tc>
        <w:tc>
          <w:tcPr>
            <w:tcW w:w="1286" w:type="dxa"/>
          </w:tcPr>
          <w:p>
            <w:pPr>
              <w:pStyle w:val="TableParagraph"/>
              <w:spacing w:before="14"/>
              <w:ind w:right="247"/>
              <w:jc w:val="right"/>
              <w:rPr>
                <w:i/>
                <w:sz w:val="18"/>
              </w:rPr>
            </w:pPr>
            <w:r>
              <w:rPr>
                <w:i/>
                <w:w w:val="95"/>
                <w:sz w:val="18"/>
              </w:rPr>
              <w:t>2,590</w:t>
            </w:r>
          </w:p>
        </w:tc>
        <w:tc>
          <w:tcPr>
            <w:tcW w:w="1193" w:type="dxa"/>
          </w:tcPr>
          <w:p>
            <w:pPr>
              <w:pStyle w:val="TableParagraph"/>
              <w:spacing w:before="14"/>
              <w:ind w:right="35"/>
              <w:jc w:val="right"/>
              <w:rPr>
                <w:i/>
                <w:sz w:val="18"/>
              </w:rPr>
            </w:pPr>
            <w:r>
              <w:rPr>
                <w:i/>
                <w:w w:val="95"/>
                <w:sz w:val="18"/>
              </w:rPr>
              <w:t>(92)</w:t>
            </w:r>
          </w:p>
        </w:tc>
      </w:tr>
      <w:tr>
        <w:trPr>
          <w:trHeight w:val="233" w:hRule="exact"/>
        </w:trPr>
        <w:tc>
          <w:tcPr>
            <w:tcW w:w="5407" w:type="dxa"/>
          </w:tcPr>
          <w:p>
            <w:pPr>
              <w:pStyle w:val="TableParagraph"/>
              <w:spacing w:before="3"/>
              <w:ind w:left="1210"/>
              <w:rPr>
                <w:sz w:val="18"/>
              </w:rPr>
            </w:pPr>
            <w:r>
              <w:rPr>
                <w:sz w:val="18"/>
              </w:rPr>
              <w:t>Deferred Superannuation</w:t>
            </w:r>
          </w:p>
        </w:tc>
        <w:tc>
          <w:tcPr>
            <w:tcW w:w="1416" w:type="dxa"/>
          </w:tcPr>
          <w:p>
            <w:pPr/>
          </w:p>
        </w:tc>
        <w:tc>
          <w:tcPr>
            <w:tcW w:w="1286" w:type="dxa"/>
          </w:tcPr>
          <w:p>
            <w:pPr>
              <w:pStyle w:val="TableParagraph"/>
              <w:spacing w:before="3"/>
              <w:ind w:right="246"/>
              <w:jc w:val="right"/>
              <w:rPr>
                <w:i/>
                <w:sz w:val="18"/>
              </w:rPr>
            </w:pPr>
            <w:r>
              <w:rPr>
                <w:i/>
                <w:w w:val="95"/>
                <w:sz w:val="18"/>
              </w:rPr>
              <w:t>(24,609)</w:t>
            </w:r>
          </w:p>
        </w:tc>
        <w:tc>
          <w:tcPr>
            <w:tcW w:w="1193" w:type="dxa"/>
          </w:tcPr>
          <w:p>
            <w:pPr>
              <w:pStyle w:val="TableParagraph"/>
              <w:spacing w:before="3"/>
              <w:ind w:right="35"/>
              <w:jc w:val="right"/>
              <w:rPr>
                <w:i/>
                <w:sz w:val="18"/>
              </w:rPr>
            </w:pPr>
            <w:r>
              <w:rPr>
                <w:i/>
                <w:w w:val="95"/>
                <w:sz w:val="18"/>
              </w:rPr>
              <w:t>(24,609)</w:t>
            </w:r>
          </w:p>
        </w:tc>
      </w:tr>
      <w:tr>
        <w:trPr>
          <w:trHeight w:val="290" w:hRule="exact"/>
        </w:trPr>
        <w:tc>
          <w:tcPr>
            <w:tcW w:w="5407" w:type="dxa"/>
          </w:tcPr>
          <w:p>
            <w:pPr>
              <w:pStyle w:val="TableParagraph"/>
              <w:spacing w:before="3"/>
              <w:ind w:left="1210"/>
              <w:rPr>
                <w:sz w:val="18"/>
              </w:rPr>
            </w:pPr>
            <w:r>
              <w:rPr>
                <w:sz w:val="18"/>
              </w:rPr>
              <w:t>Other Incidental</w:t>
            </w:r>
          </w:p>
        </w:tc>
        <w:tc>
          <w:tcPr>
            <w:tcW w:w="1416" w:type="dxa"/>
          </w:tcPr>
          <w:p>
            <w:pPr>
              <w:pStyle w:val="TableParagraph"/>
              <w:spacing w:before="3"/>
              <w:ind w:right="334"/>
              <w:jc w:val="right"/>
              <w:rPr>
                <w:sz w:val="18"/>
              </w:rPr>
            </w:pPr>
            <w:r>
              <w:rPr>
                <w:sz w:val="18"/>
              </w:rPr>
              <w:t>13,157</w:t>
            </w:r>
          </w:p>
        </w:tc>
        <w:tc>
          <w:tcPr>
            <w:tcW w:w="1286" w:type="dxa"/>
          </w:tcPr>
          <w:p>
            <w:pPr>
              <w:pStyle w:val="TableParagraph"/>
              <w:spacing w:before="3"/>
              <w:ind w:right="216"/>
              <w:jc w:val="right"/>
              <w:rPr>
                <w:sz w:val="18"/>
              </w:rPr>
            </w:pPr>
            <w:r>
              <w:rPr>
                <w:sz w:val="18"/>
              </w:rPr>
              <w:t>21,246</w:t>
            </w:r>
          </w:p>
        </w:tc>
        <w:tc>
          <w:tcPr>
            <w:tcW w:w="1193" w:type="dxa"/>
          </w:tcPr>
          <w:p>
            <w:pPr>
              <w:pStyle w:val="TableParagraph"/>
              <w:spacing w:before="3"/>
              <w:ind w:right="36"/>
              <w:jc w:val="right"/>
              <w:rPr>
                <w:i/>
                <w:sz w:val="18"/>
              </w:rPr>
            </w:pPr>
            <w:r>
              <w:rPr>
                <w:i/>
                <w:w w:val="95"/>
                <w:sz w:val="18"/>
              </w:rPr>
              <w:t>8,089</w:t>
            </w:r>
          </w:p>
        </w:tc>
      </w:tr>
      <w:tr>
        <w:trPr>
          <w:trHeight w:val="264" w:hRule="exact"/>
        </w:trPr>
        <w:tc>
          <w:tcPr>
            <w:tcW w:w="5407" w:type="dxa"/>
          </w:tcPr>
          <w:p>
            <w:pPr>
              <w:pStyle w:val="TableParagraph"/>
              <w:spacing w:before="61"/>
              <w:ind w:right="321"/>
              <w:jc w:val="right"/>
              <w:rPr>
                <w:b/>
                <w:sz w:val="18"/>
              </w:rPr>
            </w:pPr>
            <w:r>
              <w:rPr>
                <w:b/>
                <w:sz w:val="18"/>
              </w:rPr>
              <w:t>Sub Total</w:t>
            </w:r>
          </w:p>
        </w:tc>
        <w:tc>
          <w:tcPr>
            <w:tcW w:w="1416" w:type="dxa"/>
          </w:tcPr>
          <w:p>
            <w:pPr>
              <w:pStyle w:val="TableParagraph"/>
              <w:spacing w:before="61"/>
              <w:ind w:right="333"/>
              <w:jc w:val="right"/>
              <w:rPr>
                <w:b/>
                <w:sz w:val="18"/>
              </w:rPr>
            </w:pPr>
            <w:r>
              <w:rPr>
                <w:b/>
                <w:sz w:val="18"/>
              </w:rPr>
              <w:t>19,948</w:t>
            </w:r>
          </w:p>
        </w:tc>
        <w:tc>
          <w:tcPr>
            <w:tcW w:w="1286" w:type="dxa"/>
          </w:tcPr>
          <w:p>
            <w:pPr>
              <w:pStyle w:val="TableParagraph"/>
              <w:spacing w:before="61"/>
              <w:ind w:right="247"/>
              <w:jc w:val="right"/>
              <w:rPr>
                <w:b/>
                <w:i/>
                <w:sz w:val="18"/>
              </w:rPr>
            </w:pPr>
            <w:r>
              <w:rPr>
                <w:b/>
                <w:i/>
                <w:w w:val="95"/>
                <w:sz w:val="18"/>
              </w:rPr>
              <w:t>3,968</w:t>
            </w:r>
          </w:p>
        </w:tc>
        <w:tc>
          <w:tcPr>
            <w:tcW w:w="1193" w:type="dxa"/>
          </w:tcPr>
          <w:p>
            <w:pPr>
              <w:pStyle w:val="TableParagraph"/>
              <w:spacing w:before="61"/>
              <w:ind w:right="33"/>
              <w:jc w:val="right"/>
              <w:rPr>
                <w:b/>
                <w:i/>
                <w:sz w:val="18"/>
              </w:rPr>
            </w:pPr>
            <w:r>
              <w:rPr>
                <w:b/>
                <w:i/>
                <w:w w:val="95"/>
                <w:sz w:val="18"/>
              </w:rPr>
              <w:t>(15,980)</w:t>
            </w:r>
          </w:p>
        </w:tc>
      </w:tr>
      <w:tr>
        <w:trPr>
          <w:trHeight w:val="259" w:hRule="exact"/>
        </w:trPr>
        <w:tc>
          <w:tcPr>
            <w:tcW w:w="5407" w:type="dxa"/>
          </w:tcPr>
          <w:p>
            <w:pPr>
              <w:pStyle w:val="TableParagraph"/>
              <w:spacing w:before="29"/>
              <w:ind w:left="910"/>
              <w:rPr>
                <w:b/>
                <w:sz w:val="18"/>
              </w:rPr>
            </w:pPr>
            <w:r>
              <w:rPr>
                <w:b/>
                <w:sz w:val="18"/>
              </w:rPr>
              <w:t>UWS ENTITIES</w:t>
            </w:r>
          </w:p>
        </w:tc>
        <w:tc>
          <w:tcPr>
            <w:tcW w:w="1416" w:type="dxa"/>
          </w:tcPr>
          <w:p>
            <w:pPr/>
          </w:p>
        </w:tc>
        <w:tc>
          <w:tcPr>
            <w:tcW w:w="1286" w:type="dxa"/>
          </w:tcPr>
          <w:p>
            <w:pPr/>
          </w:p>
        </w:tc>
        <w:tc>
          <w:tcPr>
            <w:tcW w:w="1193" w:type="dxa"/>
          </w:tcPr>
          <w:p>
            <w:pPr/>
          </w:p>
        </w:tc>
      </w:tr>
      <w:tr>
        <w:trPr>
          <w:trHeight w:val="233" w:hRule="exact"/>
        </w:trPr>
        <w:tc>
          <w:tcPr>
            <w:tcW w:w="5407" w:type="dxa"/>
          </w:tcPr>
          <w:p>
            <w:pPr>
              <w:pStyle w:val="TableParagraph"/>
              <w:spacing w:before="3"/>
              <w:ind w:left="1211"/>
              <w:rPr>
                <w:sz w:val="18"/>
              </w:rPr>
            </w:pPr>
            <w:r>
              <w:rPr>
                <w:sz w:val="18"/>
              </w:rPr>
              <w:t>UWS College</w:t>
            </w:r>
          </w:p>
        </w:tc>
        <w:tc>
          <w:tcPr>
            <w:tcW w:w="1416" w:type="dxa"/>
          </w:tcPr>
          <w:p>
            <w:pPr>
              <w:pStyle w:val="TableParagraph"/>
              <w:spacing w:before="3"/>
              <w:ind w:right="334"/>
              <w:jc w:val="right"/>
              <w:rPr>
                <w:sz w:val="18"/>
              </w:rPr>
            </w:pPr>
            <w:r>
              <w:rPr>
                <w:sz w:val="18"/>
              </w:rPr>
              <w:t>28,550</w:t>
            </w:r>
          </w:p>
        </w:tc>
        <w:tc>
          <w:tcPr>
            <w:tcW w:w="1286" w:type="dxa"/>
          </w:tcPr>
          <w:p>
            <w:pPr>
              <w:pStyle w:val="TableParagraph"/>
              <w:spacing w:before="3"/>
              <w:ind w:right="216"/>
              <w:jc w:val="right"/>
              <w:rPr>
                <w:sz w:val="18"/>
              </w:rPr>
            </w:pPr>
            <w:r>
              <w:rPr>
                <w:sz w:val="18"/>
              </w:rPr>
              <w:t>25,778</w:t>
            </w:r>
          </w:p>
        </w:tc>
        <w:tc>
          <w:tcPr>
            <w:tcW w:w="1193" w:type="dxa"/>
          </w:tcPr>
          <w:p>
            <w:pPr>
              <w:pStyle w:val="TableParagraph"/>
              <w:spacing w:before="3"/>
              <w:ind w:right="35"/>
              <w:jc w:val="right"/>
              <w:rPr>
                <w:i/>
                <w:sz w:val="18"/>
              </w:rPr>
            </w:pPr>
            <w:r>
              <w:rPr>
                <w:i/>
                <w:w w:val="95"/>
                <w:sz w:val="18"/>
              </w:rPr>
              <w:t>(2,772)</w:t>
            </w:r>
          </w:p>
        </w:tc>
      </w:tr>
      <w:tr>
        <w:trPr>
          <w:trHeight w:val="233" w:hRule="exact"/>
        </w:trPr>
        <w:tc>
          <w:tcPr>
            <w:tcW w:w="5407" w:type="dxa"/>
          </w:tcPr>
          <w:p>
            <w:pPr>
              <w:pStyle w:val="TableParagraph"/>
              <w:spacing w:before="3"/>
              <w:ind w:left="1210"/>
              <w:rPr>
                <w:sz w:val="18"/>
              </w:rPr>
            </w:pPr>
            <w:r>
              <w:rPr>
                <w:sz w:val="18"/>
              </w:rPr>
              <w:t>UWS Foundation</w:t>
            </w:r>
          </w:p>
        </w:tc>
        <w:tc>
          <w:tcPr>
            <w:tcW w:w="1416" w:type="dxa"/>
          </w:tcPr>
          <w:p>
            <w:pPr>
              <w:pStyle w:val="TableParagraph"/>
              <w:spacing w:before="3"/>
              <w:ind w:right="334"/>
              <w:jc w:val="right"/>
              <w:rPr>
                <w:sz w:val="18"/>
              </w:rPr>
            </w:pPr>
            <w:r>
              <w:rPr>
                <w:w w:val="95"/>
                <w:sz w:val="18"/>
              </w:rPr>
              <w:t>4,134</w:t>
            </w:r>
          </w:p>
        </w:tc>
        <w:tc>
          <w:tcPr>
            <w:tcW w:w="1286" w:type="dxa"/>
          </w:tcPr>
          <w:p>
            <w:pPr>
              <w:pStyle w:val="TableParagraph"/>
              <w:spacing w:before="3"/>
              <w:ind w:right="216"/>
              <w:jc w:val="right"/>
              <w:rPr>
                <w:sz w:val="18"/>
              </w:rPr>
            </w:pPr>
            <w:r>
              <w:rPr>
                <w:w w:val="95"/>
                <w:sz w:val="18"/>
              </w:rPr>
              <w:t>3,173</w:t>
            </w:r>
          </w:p>
        </w:tc>
        <w:tc>
          <w:tcPr>
            <w:tcW w:w="1193" w:type="dxa"/>
          </w:tcPr>
          <w:p>
            <w:pPr>
              <w:pStyle w:val="TableParagraph"/>
              <w:spacing w:before="3"/>
              <w:ind w:right="35"/>
              <w:jc w:val="right"/>
              <w:rPr>
                <w:i/>
                <w:sz w:val="18"/>
              </w:rPr>
            </w:pPr>
            <w:r>
              <w:rPr>
                <w:i/>
                <w:sz w:val="18"/>
              </w:rPr>
              <w:t>(961)</w:t>
            </w:r>
          </w:p>
        </w:tc>
      </w:tr>
      <w:tr>
        <w:trPr>
          <w:trHeight w:val="233" w:hRule="exact"/>
        </w:trPr>
        <w:tc>
          <w:tcPr>
            <w:tcW w:w="5407" w:type="dxa"/>
          </w:tcPr>
          <w:p>
            <w:pPr>
              <w:pStyle w:val="TableParagraph"/>
              <w:spacing w:before="3"/>
              <w:ind w:left="1210"/>
              <w:rPr>
                <w:sz w:val="18"/>
              </w:rPr>
            </w:pPr>
            <w:r>
              <w:rPr>
                <w:sz w:val="18"/>
              </w:rPr>
              <w:t>Whitlam Institute</w:t>
            </w:r>
          </w:p>
        </w:tc>
        <w:tc>
          <w:tcPr>
            <w:tcW w:w="1416" w:type="dxa"/>
          </w:tcPr>
          <w:p>
            <w:pPr>
              <w:pStyle w:val="TableParagraph"/>
              <w:spacing w:before="3"/>
              <w:ind w:right="333"/>
              <w:jc w:val="right"/>
              <w:rPr>
                <w:sz w:val="18"/>
              </w:rPr>
            </w:pPr>
            <w:r>
              <w:rPr>
                <w:w w:val="95"/>
                <w:sz w:val="18"/>
              </w:rPr>
              <w:t>54</w:t>
            </w:r>
          </w:p>
        </w:tc>
        <w:tc>
          <w:tcPr>
            <w:tcW w:w="1286" w:type="dxa"/>
          </w:tcPr>
          <w:p>
            <w:pPr>
              <w:pStyle w:val="TableParagraph"/>
              <w:spacing w:before="3"/>
              <w:ind w:right="215"/>
              <w:jc w:val="right"/>
              <w:rPr>
                <w:sz w:val="18"/>
              </w:rPr>
            </w:pPr>
            <w:r>
              <w:rPr>
                <w:sz w:val="18"/>
              </w:rPr>
              <w:t>278</w:t>
            </w:r>
          </w:p>
        </w:tc>
        <w:tc>
          <w:tcPr>
            <w:tcW w:w="1193" w:type="dxa"/>
          </w:tcPr>
          <w:p>
            <w:pPr>
              <w:pStyle w:val="TableParagraph"/>
              <w:spacing w:before="3"/>
              <w:ind w:right="36"/>
              <w:jc w:val="right"/>
              <w:rPr>
                <w:i/>
                <w:sz w:val="18"/>
              </w:rPr>
            </w:pPr>
            <w:r>
              <w:rPr>
                <w:i/>
                <w:sz w:val="18"/>
              </w:rPr>
              <w:t>224</w:t>
            </w:r>
          </w:p>
        </w:tc>
      </w:tr>
      <w:tr>
        <w:trPr>
          <w:trHeight w:val="233" w:hRule="exact"/>
        </w:trPr>
        <w:tc>
          <w:tcPr>
            <w:tcW w:w="5407" w:type="dxa"/>
          </w:tcPr>
          <w:p>
            <w:pPr>
              <w:pStyle w:val="TableParagraph"/>
              <w:spacing w:before="3"/>
              <w:ind w:left="1210"/>
              <w:rPr>
                <w:sz w:val="18"/>
              </w:rPr>
            </w:pPr>
            <w:r>
              <w:rPr>
                <w:sz w:val="18"/>
              </w:rPr>
              <w:t>uwsconnect</w:t>
            </w:r>
          </w:p>
        </w:tc>
        <w:tc>
          <w:tcPr>
            <w:tcW w:w="1416" w:type="dxa"/>
          </w:tcPr>
          <w:p>
            <w:pPr>
              <w:pStyle w:val="TableParagraph"/>
              <w:spacing w:before="3"/>
              <w:ind w:right="335"/>
              <w:jc w:val="right"/>
              <w:rPr>
                <w:sz w:val="18"/>
              </w:rPr>
            </w:pPr>
            <w:r>
              <w:rPr>
                <w:sz w:val="18"/>
              </w:rPr>
              <w:t>31,838</w:t>
            </w:r>
          </w:p>
        </w:tc>
        <w:tc>
          <w:tcPr>
            <w:tcW w:w="1286" w:type="dxa"/>
          </w:tcPr>
          <w:p>
            <w:pPr>
              <w:pStyle w:val="TableParagraph"/>
              <w:spacing w:before="3"/>
              <w:ind w:right="216"/>
              <w:jc w:val="right"/>
              <w:rPr>
                <w:sz w:val="18"/>
              </w:rPr>
            </w:pPr>
            <w:r>
              <w:rPr>
                <w:sz w:val="18"/>
              </w:rPr>
              <w:t>25,797</w:t>
            </w:r>
          </w:p>
        </w:tc>
        <w:tc>
          <w:tcPr>
            <w:tcW w:w="1193" w:type="dxa"/>
          </w:tcPr>
          <w:p>
            <w:pPr>
              <w:pStyle w:val="TableParagraph"/>
              <w:spacing w:before="3"/>
              <w:ind w:right="35"/>
              <w:jc w:val="right"/>
              <w:rPr>
                <w:i/>
                <w:sz w:val="18"/>
              </w:rPr>
            </w:pPr>
            <w:r>
              <w:rPr>
                <w:i/>
                <w:w w:val="95"/>
                <w:sz w:val="18"/>
              </w:rPr>
              <w:t>(6,041)</w:t>
            </w:r>
          </w:p>
        </w:tc>
      </w:tr>
      <w:tr>
        <w:trPr>
          <w:trHeight w:val="233" w:hRule="exact"/>
        </w:trPr>
        <w:tc>
          <w:tcPr>
            <w:tcW w:w="5407" w:type="dxa"/>
          </w:tcPr>
          <w:p>
            <w:pPr>
              <w:pStyle w:val="TableParagraph"/>
              <w:spacing w:before="3"/>
              <w:ind w:left="1210"/>
              <w:rPr>
                <w:sz w:val="18"/>
              </w:rPr>
            </w:pPr>
            <w:r>
              <w:rPr>
                <w:sz w:val="18"/>
              </w:rPr>
              <w:t>Television Sydney (TVS)</w:t>
            </w:r>
          </w:p>
        </w:tc>
        <w:tc>
          <w:tcPr>
            <w:tcW w:w="1416" w:type="dxa"/>
          </w:tcPr>
          <w:p>
            <w:pPr>
              <w:pStyle w:val="TableParagraph"/>
              <w:spacing w:before="3"/>
              <w:ind w:right="335"/>
              <w:jc w:val="right"/>
              <w:rPr>
                <w:sz w:val="18"/>
              </w:rPr>
            </w:pPr>
            <w:r>
              <w:rPr>
                <w:w w:val="95"/>
                <w:sz w:val="18"/>
              </w:rPr>
              <w:t>1,065</w:t>
            </w:r>
          </w:p>
        </w:tc>
        <w:tc>
          <w:tcPr>
            <w:tcW w:w="1286" w:type="dxa"/>
          </w:tcPr>
          <w:p>
            <w:pPr>
              <w:pStyle w:val="TableParagraph"/>
              <w:spacing w:before="3"/>
              <w:ind w:right="217"/>
              <w:jc w:val="right"/>
              <w:rPr>
                <w:sz w:val="18"/>
              </w:rPr>
            </w:pPr>
            <w:r>
              <w:rPr>
                <w:w w:val="95"/>
                <w:sz w:val="18"/>
              </w:rPr>
              <w:t>2,471</w:t>
            </w:r>
          </w:p>
        </w:tc>
        <w:tc>
          <w:tcPr>
            <w:tcW w:w="1193" w:type="dxa"/>
          </w:tcPr>
          <w:p>
            <w:pPr>
              <w:pStyle w:val="TableParagraph"/>
              <w:spacing w:before="3"/>
              <w:ind w:right="36"/>
              <w:jc w:val="right"/>
              <w:rPr>
                <w:i/>
                <w:sz w:val="18"/>
              </w:rPr>
            </w:pPr>
            <w:r>
              <w:rPr>
                <w:i/>
                <w:w w:val="95"/>
                <w:sz w:val="18"/>
              </w:rPr>
              <w:t>1,406</w:t>
            </w:r>
          </w:p>
        </w:tc>
      </w:tr>
      <w:tr>
        <w:trPr>
          <w:trHeight w:val="233" w:hRule="exact"/>
        </w:trPr>
        <w:tc>
          <w:tcPr>
            <w:tcW w:w="5407" w:type="dxa"/>
          </w:tcPr>
          <w:p>
            <w:pPr>
              <w:pStyle w:val="TableParagraph"/>
              <w:spacing w:before="3"/>
              <w:ind w:left="1210"/>
              <w:rPr>
                <w:sz w:val="18"/>
              </w:rPr>
            </w:pPr>
            <w:r>
              <w:rPr>
                <w:sz w:val="18"/>
              </w:rPr>
              <w:t>UWS Early Learning</w:t>
            </w:r>
          </w:p>
        </w:tc>
        <w:tc>
          <w:tcPr>
            <w:tcW w:w="1416" w:type="dxa"/>
          </w:tcPr>
          <w:p>
            <w:pPr>
              <w:pStyle w:val="TableParagraph"/>
              <w:spacing w:before="3"/>
              <w:ind w:right="334"/>
              <w:jc w:val="right"/>
              <w:rPr>
                <w:sz w:val="18"/>
              </w:rPr>
            </w:pPr>
            <w:r>
              <w:rPr>
                <w:w w:val="95"/>
                <w:sz w:val="18"/>
              </w:rPr>
              <w:t>2,538</w:t>
            </w:r>
          </w:p>
        </w:tc>
        <w:tc>
          <w:tcPr>
            <w:tcW w:w="1286" w:type="dxa"/>
          </w:tcPr>
          <w:p>
            <w:pPr>
              <w:pStyle w:val="TableParagraph"/>
              <w:spacing w:before="3"/>
              <w:ind w:right="216"/>
              <w:jc w:val="right"/>
              <w:rPr>
                <w:sz w:val="18"/>
              </w:rPr>
            </w:pPr>
            <w:r>
              <w:rPr>
                <w:w w:val="95"/>
                <w:sz w:val="18"/>
              </w:rPr>
              <w:t>2,707</w:t>
            </w:r>
          </w:p>
        </w:tc>
        <w:tc>
          <w:tcPr>
            <w:tcW w:w="1193" w:type="dxa"/>
          </w:tcPr>
          <w:p>
            <w:pPr>
              <w:pStyle w:val="TableParagraph"/>
              <w:spacing w:before="3"/>
              <w:ind w:right="36"/>
              <w:jc w:val="right"/>
              <w:rPr>
                <w:i/>
                <w:sz w:val="18"/>
              </w:rPr>
            </w:pPr>
            <w:r>
              <w:rPr>
                <w:i/>
                <w:sz w:val="18"/>
              </w:rPr>
              <w:t>169</w:t>
            </w:r>
          </w:p>
        </w:tc>
      </w:tr>
      <w:tr>
        <w:trPr>
          <w:trHeight w:val="269" w:hRule="exact"/>
        </w:trPr>
        <w:tc>
          <w:tcPr>
            <w:tcW w:w="5407" w:type="dxa"/>
          </w:tcPr>
          <w:p>
            <w:pPr>
              <w:pStyle w:val="TableParagraph"/>
              <w:spacing w:before="3"/>
              <w:ind w:left="1210"/>
              <w:rPr>
                <w:sz w:val="18"/>
              </w:rPr>
            </w:pPr>
            <w:r>
              <w:rPr>
                <w:sz w:val="18"/>
              </w:rPr>
              <w:t>Adjustments on Consolidation</w:t>
            </w:r>
          </w:p>
        </w:tc>
        <w:tc>
          <w:tcPr>
            <w:tcW w:w="1416" w:type="dxa"/>
          </w:tcPr>
          <w:p>
            <w:pPr>
              <w:pStyle w:val="TableParagraph"/>
              <w:spacing w:before="3"/>
              <w:ind w:right="394"/>
              <w:jc w:val="right"/>
              <w:rPr>
                <w:sz w:val="18"/>
              </w:rPr>
            </w:pPr>
            <w:r>
              <w:rPr>
                <w:w w:val="99"/>
                <w:sz w:val="18"/>
              </w:rPr>
              <w:t>-</w:t>
            </w:r>
          </w:p>
        </w:tc>
        <w:tc>
          <w:tcPr>
            <w:tcW w:w="1286" w:type="dxa"/>
          </w:tcPr>
          <w:p>
            <w:pPr>
              <w:pStyle w:val="TableParagraph"/>
              <w:spacing w:before="3"/>
              <w:ind w:right="246"/>
              <w:jc w:val="right"/>
              <w:rPr>
                <w:i/>
                <w:sz w:val="18"/>
              </w:rPr>
            </w:pPr>
            <w:r>
              <w:rPr>
                <w:i/>
                <w:w w:val="95"/>
                <w:sz w:val="18"/>
              </w:rPr>
              <w:t>(10,323)</w:t>
            </w:r>
          </w:p>
        </w:tc>
        <w:tc>
          <w:tcPr>
            <w:tcW w:w="1193" w:type="dxa"/>
          </w:tcPr>
          <w:p>
            <w:pPr>
              <w:pStyle w:val="TableParagraph"/>
              <w:spacing w:before="3"/>
              <w:ind w:right="35"/>
              <w:jc w:val="right"/>
              <w:rPr>
                <w:i/>
                <w:sz w:val="18"/>
              </w:rPr>
            </w:pPr>
            <w:r>
              <w:rPr>
                <w:i/>
                <w:w w:val="95"/>
                <w:sz w:val="18"/>
              </w:rPr>
              <w:t>(10,323)</w:t>
            </w:r>
          </w:p>
        </w:tc>
      </w:tr>
      <w:tr>
        <w:trPr>
          <w:trHeight w:val="334" w:hRule="exact"/>
        </w:trPr>
        <w:tc>
          <w:tcPr>
            <w:tcW w:w="5407" w:type="dxa"/>
          </w:tcPr>
          <w:p>
            <w:pPr>
              <w:pStyle w:val="TableParagraph"/>
              <w:spacing w:before="39"/>
              <w:ind w:right="320"/>
              <w:jc w:val="right"/>
              <w:rPr>
                <w:b/>
                <w:sz w:val="18"/>
              </w:rPr>
            </w:pPr>
            <w:r>
              <w:rPr>
                <w:b/>
                <w:sz w:val="18"/>
              </w:rPr>
              <w:t>Sub Total</w:t>
            </w:r>
          </w:p>
        </w:tc>
        <w:tc>
          <w:tcPr>
            <w:tcW w:w="1416" w:type="dxa"/>
          </w:tcPr>
          <w:p>
            <w:pPr>
              <w:pStyle w:val="TableParagraph"/>
              <w:spacing w:before="39"/>
              <w:ind w:right="333"/>
              <w:jc w:val="right"/>
              <w:rPr>
                <w:b/>
                <w:sz w:val="18"/>
              </w:rPr>
            </w:pPr>
            <w:r>
              <w:rPr>
                <w:b/>
                <w:sz w:val="18"/>
              </w:rPr>
              <w:t>68,179</w:t>
            </w:r>
          </w:p>
        </w:tc>
        <w:tc>
          <w:tcPr>
            <w:tcW w:w="1286" w:type="dxa"/>
          </w:tcPr>
          <w:p>
            <w:pPr>
              <w:pStyle w:val="TableParagraph"/>
              <w:spacing w:before="39"/>
              <w:ind w:right="215"/>
              <w:jc w:val="right"/>
              <w:rPr>
                <w:b/>
                <w:sz w:val="18"/>
              </w:rPr>
            </w:pPr>
            <w:r>
              <w:rPr>
                <w:b/>
                <w:sz w:val="18"/>
              </w:rPr>
              <w:t>49,881</w:t>
            </w:r>
          </w:p>
        </w:tc>
        <w:tc>
          <w:tcPr>
            <w:tcW w:w="1193" w:type="dxa"/>
          </w:tcPr>
          <w:p>
            <w:pPr>
              <w:pStyle w:val="TableParagraph"/>
              <w:spacing w:before="39"/>
              <w:ind w:right="33"/>
              <w:jc w:val="right"/>
              <w:rPr>
                <w:b/>
                <w:i/>
                <w:sz w:val="18"/>
              </w:rPr>
            </w:pPr>
            <w:r>
              <w:rPr>
                <w:b/>
                <w:i/>
                <w:w w:val="95"/>
                <w:sz w:val="18"/>
              </w:rPr>
              <w:t>(18,298)</w:t>
            </w:r>
          </w:p>
        </w:tc>
      </w:tr>
      <w:tr>
        <w:trPr>
          <w:trHeight w:val="355" w:hRule="exact"/>
        </w:trPr>
        <w:tc>
          <w:tcPr>
            <w:tcW w:w="5407" w:type="dxa"/>
          </w:tcPr>
          <w:p>
            <w:pPr>
              <w:pStyle w:val="TableParagraph"/>
              <w:spacing w:before="68"/>
              <w:ind w:right="319"/>
              <w:jc w:val="right"/>
              <w:rPr>
                <w:b/>
                <w:sz w:val="18"/>
              </w:rPr>
            </w:pPr>
            <w:r>
              <w:rPr>
                <w:b/>
                <w:sz w:val="18"/>
              </w:rPr>
              <w:t>TOTAL SELF-GENERATED INCOME</w:t>
            </w:r>
          </w:p>
        </w:tc>
        <w:tc>
          <w:tcPr>
            <w:tcW w:w="1416" w:type="dxa"/>
          </w:tcPr>
          <w:p>
            <w:pPr>
              <w:pStyle w:val="TableParagraph"/>
              <w:spacing w:before="68"/>
              <w:ind w:right="332"/>
              <w:jc w:val="right"/>
              <w:rPr>
                <w:b/>
                <w:sz w:val="18"/>
              </w:rPr>
            </w:pPr>
            <w:r>
              <w:rPr>
                <w:b/>
                <w:w w:val="95"/>
                <w:sz w:val="18"/>
              </w:rPr>
              <w:t>211,302</w:t>
            </w:r>
          </w:p>
        </w:tc>
        <w:tc>
          <w:tcPr>
            <w:tcW w:w="1286" w:type="dxa"/>
          </w:tcPr>
          <w:p>
            <w:pPr>
              <w:pStyle w:val="TableParagraph"/>
              <w:spacing w:before="68"/>
              <w:ind w:right="214"/>
              <w:jc w:val="right"/>
              <w:rPr>
                <w:b/>
                <w:sz w:val="18"/>
              </w:rPr>
            </w:pPr>
            <w:r>
              <w:rPr>
                <w:b/>
                <w:w w:val="95"/>
                <w:sz w:val="18"/>
              </w:rPr>
              <w:t>169,738</w:t>
            </w:r>
          </w:p>
        </w:tc>
        <w:tc>
          <w:tcPr>
            <w:tcW w:w="1193" w:type="dxa"/>
          </w:tcPr>
          <w:p>
            <w:pPr>
              <w:pStyle w:val="TableParagraph"/>
              <w:spacing w:before="68"/>
              <w:ind w:right="33"/>
              <w:jc w:val="right"/>
              <w:rPr>
                <w:b/>
                <w:i/>
                <w:sz w:val="18"/>
              </w:rPr>
            </w:pPr>
            <w:r>
              <w:rPr>
                <w:b/>
                <w:i/>
                <w:w w:val="95"/>
                <w:sz w:val="18"/>
              </w:rPr>
              <w:t>(41,564)</w:t>
            </w:r>
          </w:p>
        </w:tc>
      </w:tr>
      <w:tr>
        <w:trPr>
          <w:trHeight w:val="264" w:hRule="exact"/>
        </w:trPr>
        <w:tc>
          <w:tcPr>
            <w:tcW w:w="5407" w:type="dxa"/>
          </w:tcPr>
          <w:p>
            <w:pPr>
              <w:pStyle w:val="TableParagraph"/>
              <w:spacing w:before="61"/>
              <w:ind w:right="321"/>
              <w:jc w:val="right"/>
              <w:rPr>
                <w:b/>
                <w:sz w:val="18"/>
              </w:rPr>
            </w:pPr>
            <w:r>
              <w:rPr>
                <w:b/>
                <w:sz w:val="18"/>
              </w:rPr>
              <w:t>TOTAL INCOME</w:t>
            </w:r>
          </w:p>
        </w:tc>
        <w:tc>
          <w:tcPr>
            <w:tcW w:w="1416" w:type="dxa"/>
          </w:tcPr>
          <w:p>
            <w:pPr>
              <w:pStyle w:val="TableParagraph"/>
              <w:spacing w:before="61"/>
              <w:ind w:right="334"/>
              <w:jc w:val="right"/>
              <w:rPr>
                <w:b/>
                <w:sz w:val="18"/>
              </w:rPr>
            </w:pPr>
            <w:r>
              <w:rPr>
                <w:b/>
                <w:w w:val="95"/>
                <w:sz w:val="18"/>
              </w:rPr>
              <w:t>701,327</w:t>
            </w:r>
          </w:p>
        </w:tc>
        <w:tc>
          <w:tcPr>
            <w:tcW w:w="1286" w:type="dxa"/>
          </w:tcPr>
          <w:p>
            <w:pPr>
              <w:pStyle w:val="TableParagraph"/>
              <w:spacing w:before="61"/>
              <w:ind w:right="216"/>
              <w:jc w:val="right"/>
              <w:rPr>
                <w:b/>
                <w:sz w:val="18"/>
              </w:rPr>
            </w:pPr>
            <w:r>
              <w:rPr>
                <w:b/>
                <w:w w:val="95"/>
                <w:sz w:val="18"/>
              </w:rPr>
              <w:t>659,690</w:t>
            </w:r>
          </w:p>
        </w:tc>
        <w:tc>
          <w:tcPr>
            <w:tcW w:w="1193" w:type="dxa"/>
          </w:tcPr>
          <w:p>
            <w:pPr>
              <w:pStyle w:val="TableParagraph"/>
              <w:spacing w:before="61"/>
              <w:ind w:right="33"/>
              <w:jc w:val="right"/>
              <w:rPr>
                <w:b/>
                <w:i/>
                <w:sz w:val="18"/>
              </w:rPr>
            </w:pPr>
            <w:r>
              <w:rPr>
                <w:b/>
                <w:i/>
                <w:w w:val="95"/>
                <w:sz w:val="18"/>
              </w:rPr>
              <w:t>(41,637)</w:t>
            </w:r>
          </w:p>
        </w:tc>
      </w:tr>
      <w:tr>
        <w:trPr>
          <w:trHeight w:val="374" w:hRule="exact"/>
        </w:trPr>
        <w:tc>
          <w:tcPr>
            <w:tcW w:w="5407" w:type="dxa"/>
          </w:tcPr>
          <w:p>
            <w:pPr>
              <w:pStyle w:val="TableParagraph"/>
              <w:spacing w:before="145"/>
              <w:ind w:left="596"/>
              <w:rPr>
                <w:b/>
                <w:sz w:val="18"/>
              </w:rPr>
            </w:pPr>
            <w:r>
              <w:rPr>
                <w:b/>
                <w:sz w:val="18"/>
              </w:rPr>
              <w:t>EXPENSES FROM CONTINUING OPERATIONS</w:t>
            </w:r>
          </w:p>
        </w:tc>
        <w:tc>
          <w:tcPr>
            <w:tcW w:w="1416" w:type="dxa"/>
          </w:tcPr>
          <w:p>
            <w:pPr/>
          </w:p>
        </w:tc>
        <w:tc>
          <w:tcPr>
            <w:tcW w:w="1286" w:type="dxa"/>
          </w:tcPr>
          <w:p>
            <w:pPr/>
          </w:p>
        </w:tc>
        <w:tc>
          <w:tcPr>
            <w:tcW w:w="1193" w:type="dxa"/>
          </w:tcPr>
          <w:p>
            <w:pPr/>
          </w:p>
        </w:tc>
      </w:tr>
      <w:tr>
        <w:trPr>
          <w:trHeight w:val="233" w:hRule="exact"/>
        </w:trPr>
        <w:tc>
          <w:tcPr>
            <w:tcW w:w="5407" w:type="dxa"/>
          </w:tcPr>
          <w:p>
            <w:pPr>
              <w:pStyle w:val="TableParagraph"/>
              <w:spacing w:before="3"/>
              <w:ind w:left="910"/>
              <w:rPr>
                <w:sz w:val="18"/>
              </w:rPr>
            </w:pPr>
            <w:r>
              <w:rPr>
                <w:sz w:val="18"/>
              </w:rPr>
              <w:t>Schools</w:t>
            </w:r>
          </w:p>
        </w:tc>
        <w:tc>
          <w:tcPr>
            <w:tcW w:w="1416" w:type="dxa"/>
          </w:tcPr>
          <w:p>
            <w:pPr>
              <w:pStyle w:val="TableParagraph"/>
              <w:spacing w:before="3"/>
              <w:ind w:right="334"/>
              <w:jc w:val="right"/>
              <w:rPr>
                <w:sz w:val="18"/>
              </w:rPr>
            </w:pPr>
            <w:r>
              <w:rPr>
                <w:w w:val="95"/>
                <w:sz w:val="18"/>
              </w:rPr>
              <w:t>184,851</w:t>
            </w:r>
          </w:p>
        </w:tc>
        <w:tc>
          <w:tcPr>
            <w:tcW w:w="1286" w:type="dxa"/>
          </w:tcPr>
          <w:p>
            <w:pPr>
              <w:pStyle w:val="TableParagraph"/>
              <w:spacing w:before="3"/>
              <w:ind w:right="215"/>
              <w:jc w:val="right"/>
              <w:rPr>
                <w:sz w:val="18"/>
              </w:rPr>
            </w:pPr>
            <w:r>
              <w:rPr>
                <w:w w:val="95"/>
                <w:sz w:val="18"/>
              </w:rPr>
              <w:t>180,529</w:t>
            </w:r>
          </w:p>
        </w:tc>
        <w:tc>
          <w:tcPr>
            <w:tcW w:w="1193" w:type="dxa"/>
          </w:tcPr>
          <w:p>
            <w:pPr>
              <w:pStyle w:val="TableParagraph"/>
              <w:spacing w:before="3"/>
              <w:ind w:right="36"/>
              <w:jc w:val="right"/>
              <w:rPr>
                <w:i/>
                <w:sz w:val="18"/>
              </w:rPr>
            </w:pPr>
            <w:r>
              <w:rPr>
                <w:i/>
                <w:w w:val="95"/>
                <w:sz w:val="18"/>
              </w:rPr>
              <w:t>4,322</w:t>
            </w:r>
          </w:p>
        </w:tc>
      </w:tr>
      <w:tr>
        <w:trPr>
          <w:trHeight w:val="233" w:hRule="exact"/>
        </w:trPr>
        <w:tc>
          <w:tcPr>
            <w:tcW w:w="5407" w:type="dxa"/>
          </w:tcPr>
          <w:p>
            <w:pPr>
              <w:pStyle w:val="TableParagraph"/>
              <w:spacing w:before="3"/>
              <w:ind w:left="910"/>
              <w:rPr>
                <w:sz w:val="18"/>
              </w:rPr>
            </w:pPr>
            <w:r>
              <w:rPr>
                <w:sz w:val="18"/>
              </w:rPr>
              <w:t>Research</w:t>
            </w:r>
          </w:p>
        </w:tc>
        <w:tc>
          <w:tcPr>
            <w:tcW w:w="1416" w:type="dxa"/>
          </w:tcPr>
          <w:p>
            <w:pPr>
              <w:pStyle w:val="TableParagraph"/>
              <w:spacing w:before="3"/>
              <w:ind w:right="334"/>
              <w:jc w:val="right"/>
              <w:rPr>
                <w:sz w:val="18"/>
              </w:rPr>
            </w:pPr>
            <w:r>
              <w:rPr>
                <w:sz w:val="18"/>
              </w:rPr>
              <w:t>84,600</w:t>
            </w:r>
          </w:p>
        </w:tc>
        <w:tc>
          <w:tcPr>
            <w:tcW w:w="1286" w:type="dxa"/>
          </w:tcPr>
          <w:p>
            <w:pPr>
              <w:pStyle w:val="TableParagraph"/>
              <w:spacing w:before="3"/>
              <w:ind w:right="216"/>
              <w:jc w:val="right"/>
              <w:rPr>
                <w:sz w:val="18"/>
              </w:rPr>
            </w:pPr>
            <w:r>
              <w:rPr>
                <w:sz w:val="18"/>
              </w:rPr>
              <w:t>71,133</w:t>
            </w:r>
          </w:p>
        </w:tc>
        <w:tc>
          <w:tcPr>
            <w:tcW w:w="1193" w:type="dxa"/>
          </w:tcPr>
          <w:p>
            <w:pPr>
              <w:pStyle w:val="TableParagraph"/>
              <w:spacing w:before="3"/>
              <w:ind w:right="36"/>
              <w:jc w:val="right"/>
              <w:rPr>
                <w:i/>
                <w:sz w:val="18"/>
              </w:rPr>
            </w:pPr>
            <w:r>
              <w:rPr>
                <w:i/>
                <w:sz w:val="18"/>
              </w:rPr>
              <w:t>13,467</w:t>
            </w:r>
          </w:p>
        </w:tc>
      </w:tr>
      <w:tr>
        <w:trPr>
          <w:trHeight w:val="233" w:hRule="exact"/>
        </w:trPr>
        <w:tc>
          <w:tcPr>
            <w:tcW w:w="5407" w:type="dxa"/>
          </w:tcPr>
          <w:p>
            <w:pPr>
              <w:pStyle w:val="TableParagraph"/>
              <w:spacing w:before="3"/>
              <w:ind w:left="910"/>
              <w:rPr>
                <w:sz w:val="18"/>
              </w:rPr>
            </w:pPr>
            <w:r>
              <w:rPr>
                <w:sz w:val="18"/>
              </w:rPr>
              <w:t>Divisions</w:t>
            </w:r>
          </w:p>
        </w:tc>
        <w:tc>
          <w:tcPr>
            <w:tcW w:w="1416" w:type="dxa"/>
          </w:tcPr>
          <w:p>
            <w:pPr>
              <w:pStyle w:val="TableParagraph"/>
              <w:spacing w:before="3"/>
              <w:ind w:right="334"/>
              <w:jc w:val="right"/>
              <w:rPr>
                <w:sz w:val="18"/>
              </w:rPr>
            </w:pPr>
            <w:r>
              <w:rPr>
                <w:w w:val="95"/>
                <w:sz w:val="18"/>
              </w:rPr>
              <w:t>145,693</w:t>
            </w:r>
          </w:p>
        </w:tc>
        <w:tc>
          <w:tcPr>
            <w:tcW w:w="1286" w:type="dxa"/>
          </w:tcPr>
          <w:p>
            <w:pPr>
              <w:pStyle w:val="TableParagraph"/>
              <w:spacing w:before="3"/>
              <w:ind w:right="216"/>
              <w:jc w:val="right"/>
              <w:rPr>
                <w:sz w:val="18"/>
              </w:rPr>
            </w:pPr>
            <w:r>
              <w:rPr>
                <w:w w:val="95"/>
                <w:sz w:val="18"/>
              </w:rPr>
              <w:t>139,572</w:t>
            </w:r>
          </w:p>
        </w:tc>
        <w:tc>
          <w:tcPr>
            <w:tcW w:w="1193" w:type="dxa"/>
          </w:tcPr>
          <w:p>
            <w:pPr>
              <w:pStyle w:val="TableParagraph"/>
              <w:spacing w:before="3"/>
              <w:ind w:right="36"/>
              <w:jc w:val="right"/>
              <w:rPr>
                <w:i/>
                <w:sz w:val="18"/>
              </w:rPr>
            </w:pPr>
            <w:r>
              <w:rPr>
                <w:i/>
                <w:w w:val="95"/>
                <w:sz w:val="18"/>
              </w:rPr>
              <w:t>6,121</w:t>
            </w:r>
          </w:p>
        </w:tc>
      </w:tr>
      <w:tr>
        <w:trPr>
          <w:trHeight w:val="233" w:hRule="exact"/>
        </w:trPr>
        <w:tc>
          <w:tcPr>
            <w:tcW w:w="5407" w:type="dxa"/>
          </w:tcPr>
          <w:p>
            <w:pPr>
              <w:pStyle w:val="TableParagraph"/>
              <w:spacing w:before="3"/>
              <w:ind w:left="910"/>
              <w:rPr>
                <w:sz w:val="18"/>
              </w:rPr>
            </w:pPr>
            <w:r>
              <w:rPr>
                <w:sz w:val="18"/>
              </w:rPr>
              <w:t>UWS Entities</w:t>
            </w:r>
          </w:p>
        </w:tc>
        <w:tc>
          <w:tcPr>
            <w:tcW w:w="1416" w:type="dxa"/>
          </w:tcPr>
          <w:p>
            <w:pPr>
              <w:pStyle w:val="TableParagraph"/>
              <w:spacing w:before="3"/>
              <w:ind w:right="334"/>
              <w:jc w:val="right"/>
              <w:rPr>
                <w:sz w:val="18"/>
              </w:rPr>
            </w:pPr>
            <w:r>
              <w:rPr>
                <w:sz w:val="18"/>
              </w:rPr>
              <w:t>64,751</w:t>
            </w:r>
          </w:p>
        </w:tc>
        <w:tc>
          <w:tcPr>
            <w:tcW w:w="1286" w:type="dxa"/>
          </w:tcPr>
          <w:p>
            <w:pPr>
              <w:pStyle w:val="TableParagraph"/>
              <w:spacing w:before="3"/>
              <w:ind w:right="216"/>
              <w:jc w:val="right"/>
              <w:rPr>
                <w:sz w:val="18"/>
              </w:rPr>
            </w:pPr>
            <w:r>
              <w:rPr>
                <w:sz w:val="18"/>
              </w:rPr>
              <w:t>55,730</w:t>
            </w:r>
          </w:p>
        </w:tc>
        <w:tc>
          <w:tcPr>
            <w:tcW w:w="1193" w:type="dxa"/>
          </w:tcPr>
          <w:p>
            <w:pPr>
              <w:pStyle w:val="TableParagraph"/>
              <w:spacing w:before="3"/>
              <w:ind w:right="36"/>
              <w:jc w:val="right"/>
              <w:rPr>
                <w:i/>
                <w:sz w:val="18"/>
              </w:rPr>
            </w:pPr>
            <w:r>
              <w:rPr>
                <w:i/>
                <w:w w:val="95"/>
                <w:sz w:val="18"/>
              </w:rPr>
              <w:t>9,021</w:t>
            </w:r>
          </w:p>
        </w:tc>
      </w:tr>
      <w:tr>
        <w:trPr>
          <w:trHeight w:val="233" w:hRule="exact"/>
        </w:trPr>
        <w:tc>
          <w:tcPr>
            <w:tcW w:w="5407" w:type="dxa"/>
          </w:tcPr>
          <w:p>
            <w:pPr>
              <w:pStyle w:val="TableParagraph"/>
              <w:spacing w:before="3"/>
              <w:ind w:left="910"/>
              <w:rPr>
                <w:sz w:val="18"/>
              </w:rPr>
            </w:pPr>
            <w:r>
              <w:rPr>
                <w:sz w:val="18"/>
              </w:rPr>
              <w:t>UWS Wide</w:t>
            </w:r>
          </w:p>
        </w:tc>
        <w:tc>
          <w:tcPr>
            <w:tcW w:w="1416" w:type="dxa"/>
          </w:tcPr>
          <w:p>
            <w:pPr>
              <w:pStyle w:val="TableParagraph"/>
              <w:spacing w:before="3"/>
              <w:ind w:right="334"/>
              <w:jc w:val="right"/>
              <w:rPr>
                <w:sz w:val="18"/>
              </w:rPr>
            </w:pPr>
            <w:r>
              <w:rPr>
                <w:sz w:val="18"/>
              </w:rPr>
              <w:t>80,111</w:t>
            </w:r>
          </w:p>
        </w:tc>
        <w:tc>
          <w:tcPr>
            <w:tcW w:w="1286" w:type="dxa"/>
          </w:tcPr>
          <w:p>
            <w:pPr>
              <w:pStyle w:val="TableParagraph"/>
              <w:spacing w:before="3"/>
              <w:ind w:right="216"/>
              <w:jc w:val="right"/>
              <w:rPr>
                <w:sz w:val="18"/>
              </w:rPr>
            </w:pPr>
            <w:r>
              <w:rPr>
                <w:sz w:val="18"/>
              </w:rPr>
              <w:t>82,091</w:t>
            </w:r>
          </w:p>
        </w:tc>
        <w:tc>
          <w:tcPr>
            <w:tcW w:w="1193" w:type="dxa"/>
          </w:tcPr>
          <w:p>
            <w:pPr>
              <w:pStyle w:val="TableParagraph"/>
              <w:spacing w:before="3"/>
              <w:ind w:right="35"/>
              <w:jc w:val="right"/>
              <w:rPr>
                <w:i/>
                <w:sz w:val="18"/>
              </w:rPr>
            </w:pPr>
            <w:r>
              <w:rPr>
                <w:i/>
                <w:w w:val="95"/>
                <w:sz w:val="18"/>
              </w:rPr>
              <w:t>(1,980)</w:t>
            </w:r>
          </w:p>
        </w:tc>
      </w:tr>
      <w:tr>
        <w:trPr>
          <w:trHeight w:val="233" w:hRule="exact"/>
        </w:trPr>
        <w:tc>
          <w:tcPr>
            <w:tcW w:w="5407" w:type="dxa"/>
          </w:tcPr>
          <w:p>
            <w:pPr>
              <w:pStyle w:val="TableParagraph"/>
              <w:spacing w:before="3"/>
              <w:ind w:left="910"/>
              <w:rPr>
                <w:sz w:val="18"/>
              </w:rPr>
            </w:pPr>
            <w:r>
              <w:rPr>
                <w:sz w:val="18"/>
              </w:rPr>
              <w:t>Strategic Initiatives</w:t>
            </w:r>
          </w:p>
        </w:tc>
        <w:tc>
          <w:tcPr>
            <w:tcW w:w="1416" w:type="dxa"/>
          </w:tcPr>
          <w:p>
            <w:pPr>
              <w:pStyle w:val="TableParagraph"/>
              <w:spacing w:before="3"/>
              <w:ind w:right="333"/>
              <w:jc w:val="right"/>
              <w:rPr>
                <w:sz w:val="18"/>
              </w:rPr>
            </w:pPr>
            <w:r>
              <w:rPr>
                <w:sz w:val="18"/>
              </w:rPr>
              <w:t>26,979</w:t>
            </w:r>
          </w:p>
        </w:tc>
        <w:tc>
          <w:tcPr>
            <w:tcW w:w="1286" w:type="dxa"/>
          </w:tcPr>
          <w:p>
            <w:pPr>
              <w:pStyle w:val="TableParagraph"/>
              <w:spacing w:before="3"/>
              <w:ind w:right="215"/>
              <w:jc w:val="right"/>
              <w:rPr>
                <w:sz w:val="18"/>
              </w:rPr>
            </w:pPr>
            <w:r>
              <w:rPr>
                <w:sz w:val="18"/>
              </w:rPr>
              <w:t>23,772</w:t>
            </w:r>
          </w:p>
        </w:tc>
        <w:tc>
          <w:tcPr>
            <w:tcW w:w="1193" w:type="dxa"/>
          </w:tcPr>
          <w:p>
            <w:pPr>
              <w:pStyle w:val="TableParagraph"/>
              <w:spacing w:before="3"/>
              <w:ind w:right="36"/>
              <w:jc w:val="right"/>
              <w:rPr>
                <w:i/>
                <w:sz w:val="18"/>
              </w:rPr>
            </w:pPr>
            <w:r>
              <w:rPr>
                <w:i/>
                <w:w w:val="95"/>
                <w:sz w:val="18"/>
              </w:rPr>
              <w:t>3,207</w:t>
            </w:r>
          </w:p>
        </w:tc>
      </w:tr>
      <w:tr>
        <w:trPr>
          <w:trHeight w:val="233" w:hRule="exact"/>
        </w:trPr>
        <w:tc>
          <w:tcPr>
            <w:tcW w:w="5407" w:type="dxa"/>
          </w:tcPr>
          <w:p>
            <w:pPr>
              <w:pStyle w:val="TableParagraph"/>
              <w:spacing w:before="3"/>
              <w:ind w:left="910"/>
              <w:rPr>
                <w:sz w:val="18"/>
              </w:rPr>
            </w:pPr>
            <w:r>
              <w:rPr>
                <w:sz w:val="18"/>
              </w:rPr>
              <w:t>Minor Works (Expensed)</w:t>
            </w:r>
          </w:p>
        </w:tc>
        <w:tc>
          <w:tcPr>
            <w:tcW w:w="1416" w:type="dxa"/>
          </w:tcPr>
          <w:p>
            <w:pPr>
              <w:pStyle w:val="TableParagraph"/>
              <w:spacing w:before="3"/>
              <w:ind w:right="334"/>
              <w:jc w:val="right"/>
              <w:rPr>
                <w:sz w:val="18"/>
              </w:rPr>
            </w:pPr>
            <w:r>
              <w:rPr>
                <w:w w:val="95"/>
                <w:sz w:val="18"/>
              </w:rPr>
              <w:t>7,400</w:t>
            </w:r>
          </w:p>
        </w:tc>
        <w:tc>
          <w:tcPr>
            <w:tcW w:w="1286" w:type="dxa"/>
          </w:tcPr>
          <w:p>
            <w:pPr>
              <w:pStyle w:val="TableParagraph"/>
              <w:spacing w:before="3"/>
              <w:ind w:right="215"/>
              <w:jc w:val="right"/>
              <w:rPr>
                <w:sz w:val="18"/>
              </w:rPr>
            </w:pPr>
            <w:r>
              <w:rPr>
                <w:w w:val="95"/>
                <w:sz w:val="18"/>
              </w:rPr>
              <w:t>6,476</w:t>
            </w:r>
          </w:p>
        </w:tc>
        <w:tc>
          <w:tcPr>
            <w:tcW w:w="1193" w:type="dxa"/>
          </w:tcPr>
          <w:p>
            <w:pPr>
              <w:pStyle w:val="TableParagraph"/>
              <w:spacing w:before="3"/>
              <w:ind w:right="36"/>
              <w:jc w:val="right"/>
              <w:rPr>
                <w:i/>
                <w:sz w:val="18"/>
              </w:rPr>
            </w:pPr>
            <w:r>
              <w:rPr>
                <w:i/>
                <w:sz w:val="18"/>
              </w:rPr>
              <w:t>924</w:t>
            </w:r>
          </w:p>
        </w:tc>
      </w:tr>
      <w:tr>
        <w:trPr>
          <w:trHeight w:val="233" w:hRule="exact"/>
        </w:trPr>
        <w:tc>
          <w:tcPr>
            <w:tcW w:w="5407" w:type="dxa"/>
          </w:tcPr>
          <w:p>
            <w:pPr>
              <w:pStyle w:val="TableParagraph"/>
              <w:spacing w:before="3"/>
              <w:ind w:left="910"/>
              <w:rPr>
                <w:sz w:val="18"/>
              </w:rPr>
            </w:pPr>
            <w:r>
              <w:rPr>
                <w:sz w:val="18"/>
              </w:rPr>
              <w:t>External Trust &amp; Tied Grants</w:t>
            </w:r>
          </w:p>
        </w:tc>
        <w:tc>
          <w:tcPr>
            <w:tcW w:w="1416" w:type="dxa"/>
          </w:tcPr>
          <w:p>
            <w:pPr>
              <w:pStyle w:val="TableParagraph"/>
              <w:spacing w:before="3"/>
              <w:ind w:right="335"/>
              <w:jc w:val="right"/>
              <w:rPr>
                <w:sz w:val="18"/>
              </w:rPr>
            </w:pPr>
            <w:r>
              <w:rPr>
                <w:sz w:val="18"/>
              </w:rPr>
              <w:t>20,854</w:t>
            </w:r>
          </w:p>
        </w:tc>
        <w:tc>
          <w:tcPr>
            <w:tcW w:w="1286" w:type="dxa"/>
          </w:tcPr>
          <w:p>
            <w:pPr>
              <w:pStyle w:val="TableParagraph"/>
              <w:spacing w:before="3"/>
              <w:ind w:right="217"/>
              <w:jc w:val="right"/>
              <w:rPr>
                <w:sz w:val="18"/>
              </w:rPr>
            </w:pPr>
            <w:r>
              <w:rPr>
                <w:sz w:val="18"/>
              </w:rPr>
              <w:t>24,652</w:t>
            </w:r>
          </w:p>
        </w:tc>
        <w:tc>
          <w:tcPr>
            <w:tcW w:w="1193" w:type="dxa"/>
          </w:tcPr>
          <w:p>
            <w:pPr>
              <w:pStyle w:val="TableParagraph"/>
              <w:spacing w:before="3"/>
              <w:ind w:right="35"/>
              <w:jc w:val="right"/>
              <w:rPr>
                <w:i/>
                <w:sz w:val="18"/>
              </w:rPr>
            </w:pPr>
            <w:r>
              <w:rPr>
                <w:i/>
                <w:w w:val="95"/>
                <w:sz w:val="18"/>
              </w:rPr>
              <w:t>(3,798)</w:t>
            </w:r>
          </w:p>
        </w:tc>
      </w:tr>
      <w:tr>
        <w:trPr>
          <w:trHeight w:val="233" w:hRule="exact"/>
        </w:trPr>
        <w:tc>
          <w:tcPr>
            <w:tcW w:w="5407" w:type="dxa"/>
          </w:tcPr>
          <w:p>
            <w:pPr>
              <w:pStyle w:val="TableParagraph"/>
              <w:spacing w:before="3"/>
              <w:ind w:left="910"/>
              <w:rPr>
                <w:sz w:val="18"/>
              </w:rPr>
            </w:pPr>
            <w:r>
              <w:rPr>
                <w:sz w:val="18"/>
              </w:rPr>
              <w:t>Investment Losses</w:t>
            </w:r>
          </w:p>
        </w:tc>
        <w:tc>
          <w:tcPr>
            <w:tcW w:w="1416" w:type="dxa"/>
          </w:tcPr>
          <w:p>
            <w:pPr/>
          </w:p>
        </w:tc>
        <w:tc>
          <w:tcPr>
            <w:tcW w:w="1286" w:type="dxa"/>
          </w:tcPr>
          <w:p>
            <w:pPr>
              <w:pStyle w:val="TableParagraph"/>
              <w:spacing w:before="3"/>
              <w:ind w:right="216"/>
              <w:jc w:val="right"/>
              <w:rPr>
                <w:sz w:val="18"/>
              </w:rPr>
            </w:pPr>
            <w:r>
              <w:rPr>
                <w:w w:val="95"/>
                <w:sz w:val="18"/>
              </w:rPr>
              <w:t>8,411</w:t>
            </w:r>
          </w:p>
        </w:tc>
        <w:tc>
          <w:tcPr>
            <w:tcW w:w="1193" w:type="dxa"/>
          </w:tcPr>
          <w:p>
            <w:pPr>
              <w:pStyle w:val="TableParagraph"/>
              <w:spacing w:before="3"/>
              <w:ind w:right="35"/>
              <w:jc w:val="right"/>
              <w:rPr>
                <w:i/>
                <w:sz w:val="18"/>
              </w:rPr>
            </w:pPr>
            <w:r>
              <w:rPr>
                <w:i/>
                <w:w w:val="95"/>
                <w:sz w:val="18"/>
              </w:rPr>
              <w:t>(8,411)</w:t>
            </w:r>
          </w:p>
        </w:tc>
      </w:tr>
      <w:tr>
        <w:trPr>
          <w:trHeight w:val="233" w:hRule="exact"/>
        </w:trPr>
        <w:tc>
          <w:tcPr>
            <w:tcW w:w="5407" w:type="dxa"/>
          </w:tcPr>
          <w:p>
            <w:pPr>
              <w:pStyle w:val="TableParagraph"/>
              <w:spacing w:before="3"/>
              <w:ind w:left="910"/>
              <w:rPr>
                <w:sz w:val="18"/>
              </w:rPr>
            </w:pPr>
            <w:r>
              <w:rPr>
                <w:sz w:val="18"/>
              </w:rPr>
              <w:t>Depreciation</w:t>
            </w:r>
          </w:p>
        </w:tc>
        <w:tc>
          <w:tcPr>
            <w:tcW w:w="1416" w:type="dxa"/>
          </w:tcPr>
          <w:p>
            <w:pPr>
              <w:pStyle w:val="TableParagraph"/>
              <w:spacing w:before="3"/>
              <w:ind w:right="334"/>
              <w:jc w:val="right"/>
              <w:rPr>
                <w:sz w:val="18"/>
              </w:rPr>
            </w:pPr>
            <w:r>
              <w:rPr>
                <w:sz w:val="18"/>
              </w:rPr>
              <w:t>35,100</w:t>
            </w:r>
          </w:p>
        </w:tc>
        <w:tc>
          <w:tcPr>
            <w:tcW w:w="1286" w:type="dxa"/>
          </w:tcPr>
          <w:p>
            <w:pPr>
              <w:pStyle w:val="TableParagraph"/>
              <w:spacing w:before="3"/>
              <w:ind w:right="216"/>
              <w:jc w:val="right"/>
              <w:rPr>
                <w:sz w:val="18"/>
              </w:rPr>
            </w:pPr>
            <w:r>
              <w:rPr>
                <w:sz w:val="18"/>
              </w:rPr>
              <w:t>41,903</w:t>
            </w:r>
          </w:p>
        </w:tc>
        <w:tc>
          <w:tcPr>
            <w:tcW w:w="1193" w:type="dxa"/>
          </w:tcPr>
          <w:p>
            <w:pPr>
              <w:pStyle w:val="TableParagraph"/>
              <w:spacing w:before="3"/>
              <w:ind w:right="35"/>
              <w:jc w:val="right"/>
              <w:rPr>
                <w:i/>
                <w:sz w:val="18"/>
              </w:rPr>
            </w:pPr>
            <w:r>
              <w:rPr>
                <w:i/>
                <w:w w:val="95"/>
                <w:sz w:val="18"/>
              </w:rPr>
              <w:t>(6,803)</w:t>
            </w:r>
          </w:p>
        </w:tc>
      </w:tr>
      <w:tr>
        <w:trPr>
          <w:trHeight w:val="233" w:hRule="exact"/>
        </w:trPr>
        <w:tc>
          <w:tcPr>
            <w:tcW w:w="5407" w:type="dxa"/>
          </w:tcPr>
          <w:p>
            <w:pPr>
              <w:pStyle w:val="TableParagraph"/>
              <w:spacing w:before="3"/>
              <w:ind w:left="910"/>
              <w:rPr>
                <w:sz w:val="18"/>
              </w:rPr>
            </w:pPr>
            <w:r>
              <w:rPr>
                <w:sz w:val="18"/>
              </w:rPr>
              <w:t>Land Development Projects</w:t>
            </w:r>
          </w:p>
        </w:tc>
        <w:tc>
          <w:tcPr>
            <w:tcW w:w="1416" w:type="dxa"/>
          </w:tcPr>
          <w:p>
            <w:pPr>
              <w:pStyle w:val="TableParagraph"/>
              <w:spacing w:before="3"/>
              <w:ind w:right="335"/>
              <w:jc w:val="right"/>
              <w:rPr>
                <w:sz w:val="18"/>
              </w:rPr>
            </w:pPr>
            <w:r>
              <w:rPr>
                <w:sz w:val="18"/>
              </w:rPr>
              <w:t>784</w:t>
            </w:r>
          </w:p>
        </w:tc>
        <w:tc>
          <w:tcPr>
            <w:tcW w:w="1286" w:type="dxa"/>
          </w:tcPr>
          <w:p>
            <w:pPr>
              <w:pStyle w:val="TableParagraph"/>
              <w:spacing w:before="3"/>
              <w:ind w:right="216"/>
              <w:jc w:val="right"/>
              <w:rPr>
                <w:sz w:val="18"/>
              </w:rPr>
            </w:pPr>
            <w:r>
              <w:rPr>
                <w:sz w:val="18"/>
              </w:rPr>
              <w:t>244</w:t>
            </w:r>
          </w:p>
        </w:tc>
        <w:tc>
          <w:tcPr>
            <w:tcW w:w="1193" w:type="dxa"/>
          </w:tcPr>
          <w:p>
            <w:pPr>
              <w:pStyle w:val="TableParagraph"/>
              <w:spacing w:before="3"/>
              <w:ind w:right="36"/>
              <w:jc w:val="right"/>
              <w:rPr>
                <w:i/>
                <w:sz w:val="18"/>
              </w:rPr>
            </w:pPr>
            <w:r>
              <w:rPr>
                <w:i/>
                <w:sz w:val="18"/>
              </w:rPr>
              <w:t>540</w:t>
            </w:r>
          </w:p>
        </w:tc>
      </w:tr>
      <w:tr>
        <w:trPr>
          <w:trHeight w:val="233" w:hRule="exact"/>
        </w:trPr>
        <w:tc>
          <w:tcPr>
            <w:tcW w:w="5407" w:type="dxa"/>
          </w:tcPr>
          <w:p>
            <w:pPr>
              <w:pStyle w:val="TableParagraph"/>
              <w:spacing w:before="3"/>
              <w:ind w:left="910"/>
              <w:rPr>
                <w:sz w:val="18"/>
              </w:rPr>
            </w:pPr>
            <w:r>
              <w:rPr>
                <w:sz w:val="18"/>
              </w:rPr>
              <w:t>Deferred Superannuation Expense</w:t>
            </w:r>
          </w:p>
        </w:tc>
        <w:tc>
          <w:tcPr>
            <w:tcW w:w="1416" w:type="dxa"/>
          </w:tcPr>
          <w:p>
            <w:pPr/>
          </w:p>
        </w:tc>
        <w:tc>
          <w:tcPr>
            <w:tcW w:w="1286" w:type="dxa"/>
          </w:tcPr>
          <w:p>
            <w:pPr>
              <w:pStyle w:val="TableParagraph"/>
              <w:spacing w:before="3"/>
              <w:ind w:right="246"/>
              <w:jc w:val="right"/>
              <w:rPr>
                <w:i/>
                <w:sz w:val="18"/>
              </w:rPr>
            </w:pPr>
            <w:r>
              <w:rPr>
                <w:i/>
                <w:w w:val="95"/>
                <w:sz w:val="18"/>
              </w:rPr>
              <w:t>(24,609)</w:t>
            </w:r>
          </w:p>
        </w:tc>
        <w:tc>
          <w:tcPr>
            <w:tcW w:w="1193" w:type="dxa"/>
          </w:tcPr>
          <w:p>
            <w:pPr>
              <w:pStyle w:val="TableParagraph"/>
              <w:spacing w:before="3"/>
              <w:ind w:right="36"/>
              <w:jc w:val="right"/>
              <w:rPr>
                <w:i/>
                <w:sz w:val="18"/>
              </w:rPr>
            </w:pPr>
            <w:r>
              <w:rPr>
                <w:i/>
                <w:sz w:val="18"/>
              </w:rPr>
              <w:t>24,609</w:t>
            </w:r>
          </w:p>
        </w:tc>
      </w:tr>
      <w:tr>
        <w:trPr>
          <w:trHeight w:val="306" w:hRule="exact"/>
        </w:trPr>
        <w:tc>
          <w:tcPr>
            <w:tcW w:w="5407" w:type="dxa"/>
          </w:tcPr>
          <w:p>
            <w:pPr>
              <w:pStyle w:val="TableParagraph"/>
              <w:spacing w:before="3"/>
              <w:ind w:left="910"/>
              <w:rPr>
                <w:sz w:val="18"/>
              </w:rPr>
            </w:pPr>
            <w:r>
              <w:rPr>
                <w:sz w:val="18"/>
              </w:rPr>
              <w:t>Adjustments on Consolidation</w:t>
            </w:r>
          </w:p>
        </w:tc>
        <w:tc>
          <w:tcPr>
            <w:tcW w:w="1416" w:type="dxa"/>
          </w:tcPr>
          <w:p>
            <w:pPr>
              <w:pStyle w:val="TableParagraph"/>
              <w:spacing w:before="3"/>
              <w:ind w:right="394"/>
              <w:jc w:val="right"/>
              <w:rPr>
                <w:sz w:val="18"/>
              </w:rPr>
            </w:pPr>
            <w:r>
              <w:rPr>
                <w:w w:val="99"/>
                <w:sz w:val="18"/>
              </w:rPr>
              <w:t>-</w:t>
            </w:r>
          </w:p>
        </w:tc>
        <w:tc>
          <w:tcPr>
            <w:tcW w:w="1286" w:type="dxa"/>
          </w:tcPr>
          <w:p>
            <w:pPr>
              <w:pStyle w:val="TableParagraph"/>
              <w:spacing w:before="3"/>
              <w:ind w:right="246"/>
              <w:jc w:val="right"/>
              <w:rPr>
                <w:i/>
                <w:sz w:val="18"/>
              </w:rPr>
            </w:pPr>
            <w:r>
              <w:rPr>
                <w:i/>
                <w:w w:val="95"/>
                <w:sz w:val="18"/>
              </w:rPr>
              <w:t>(11,186)</w:t>
            </w:r>
          </w:p>
        </w:tc>
        <w:tc>
          <w:tcPr>
            <w:tcW w:w="1193" w:type="dxa"/>
          </w:tcPr>
          <w:p>
            <w:pPr>
              <w:pStyle w:val="TableParagraph"/>
              <w:spacing w:before="3"/>
              <w:ind w:right="36"/>
              <w:jc w:val="right"/>
              <w:rPr>
                <w:i/>
                <w:sz w:val="18"/>
              </w:rPr>
            </w:pPr>
            <w:r>
              <w:rPr>
                <w:i/>
                <w:sz w:val="18"/>
              </w:rPr>
              <w:t>11,186</w:t>
            </w:r>
          </w:p>
        </w:tc>
      </w:tr>
    </w:tbl>
    <w:p>
      <w:pPr>
        <w:tabs>
          <w:tab w:pos="5945" w:val="left" w:leader="none"/>
          <w:tab w:pos="7347" w:val="left" w:leader="none"/>
          <w:tab w:pos="8819" w:val="left" w:leader="none"/>
        </w:tabs>
        <w:spacing w:before="59"/>
        <w:ind w:left="3266" w:right="99" w:firstLine="0"/>
        <w:jc w:val="left"/>
        <w:rPr>
          <w:b/>
          <w:i/>
          <w:sz w:val="18"/>
        </w:rPr>
      </w:pPr>
      <w:r>
        <w:rPr>
          <w:b/>
          <w:sz w:val="18"/>
        </w:rPr>
        <w:t>TOTAL</w:t>
      </w:r>
      <w:r>
        <w:rPr>
          <w:b/>
          <w:spacing w:val="-2"/>
          <w:sz w:val="18"/>
        </w:rPr>
        <w:t> </w:t>
      </w:r>
      <w:r>
        <w:rPr>
          <w:b/>
          <w:sz w:val="18"/>
        </w:rPr>
        <w:t>EXPENDITURE</w:t>
        <w:tab/>
        <w:t>651,123</w:t>
        <w:tab/>
        <w:t>598,718</w:t>
        <w:tab/>
      </w:r>
      <w:r>
        <w:rPr>
          <w:b/>
          <w:i/>
          <w:sz w:val="18"/>
        </w:rPr>
        <w:t>52,405</w:t>
      </w:r>
    </w:p>
    <w:p>
      <w:pPr>
        <w:pStyle w:val="BodyText"/>
        <w:rPr>
          <w:b/>
          <w:i/>
        </w:rPr>
      </w:pPr>
    </w:p>
    <w:p>
      <w:pPr>
        <w:pStyle w:val="BodyText"/>
        <w:spacing w:before="10"/>
        <w:rPr>
          <w:b/>
          <w:i/>
          <w:sz w:val="23"/>
        </w:rPr>
      </w:pPr>
    </w:p>
    <w:p>
      <w:pPr>
        <w:tabs>
          <w:tab w:pos="6044" w:val="left" w:leader="none"/>
          <w:tab w:pos="7447" w:val="left" w:leader="none"/>
          <w:tab w:pos="8819" w:val="left" w:leader="none"/>
        </w:tabs>
        <w:spacing w:before="0"/>
        <w:ind w:left="707" w:right="99" w:firstLine="0"/>
        <w:jc w:val="left"/>
        <w:rPr>
          <w:b/>
          <w:i/>
          <w:sz w:val="18"/>
        </w:rPr>
      </w:pPr>
      <w:r>
        <w:rPr>
          <w:b/>
          <w:sz w:val="18"/>
        </w:rPr>
        <w:t>NET</w:t>
      </w:r>
      <w:r>
        <w:rPr>
          <w:b/>
          <w:spacing w:val="-3"/>
          <w:sz w:val="18"/>
        </w:rPr>
        <w:t> </w:t>
      </w:r>
      <w:r>
        <w:rPr>
          <w:b/>
          <w:sz w:val="18"/>
        </w:rPr>
        <w:t>OPERATING</w:t>
      </w:r>
      <w:r>
        <w:rPr>
          <w:b/>
          <w:spacing w:val="-4"/>
          <w:sz w:val="18"/>
        </w:rPr>
        <w:t> </w:t>
      </w:r>
      <w:r>
        <w:rPr>
          <w:b/>
          <w:sz w:val="18"/>
        </w:rPr>
        <w:t>RESULT</w:t>
        <w:tab/>
        <w:t>50,204</w:t>
        <w:tab/>
        <w:t>60,972</w:t>
        <w:tab/>
      </w:r>
      <w:r>
        <w:rPr>
          <w:b/>
          <w:i/>
          <w:sz w:val="18"/>
        </w:rPr>
        <w:t>10,768</w:t>
      </w:r>
    </w:p>
    <w:p>
      <w:pPr>
        <w:spacing w:after="0"/>
        <w:jc w:val="left"/>
        <w:rPr>
          <w:sz w:val="18"/>
        </w:rPr>
        <w:sectPr>
          <w:headerReference w:type="default" r:id="rId277"/>
          <w:footerReference w:type="default" r:id="rId278"/>
          <w:pgSz w:w="11910" w:h="16840"/>
          <w:pgMar w:header="0" w:footer="507" w:top="580" w:bottom="700" w:left="300" w:right="1680"/>
          <w:pgNumType w:start="292"/>
        </w:sectPr>
      </w:pPr>
    </w:p>
    <w:p>
      <w:pPr>
        <w:pStyle w:val="Heading9"/>
        <w:spacing w:before="57"/>
        <w:ind w:left="0" w:right="157"/>
        <w:jc w:val="right"/>
      </w:pPr>
      <w:r>
        <w:rPr/>
        <w:t>Budget and Performance Indicators</w:t>
      </w:r>
    </w:p>
    <w:p>
      <w:pPr>
        <w:pStyle w:val="BodyText"/>
        <w:rPr>
          <w:b/>
          <w:sz w:val="20"/>
        </w:rPr>
      </w:pPr>
    </w:p>
    <w:p>
      <w:pPr>
        <w:pStyle w:val="BodyText"/>
        <w:rPr>
          <w:b/>
          <w:sz w:val="20"/>
        </w:rPr>
      </w:pPr>
    </w:p>
    <w:p>
      <w:pPr>
        <w:pStyle w:val="BodyText"/>
        <w:spacing w:before="2"/>
        <w:rPr>
          <w:b/>
          <w:sz w:val="22"/>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60"/>
        <w:gridCol w:w="3412"/>
        <w:gridCol w:w="3190"/>
      </w:tblGrid>
      <w:tr>
        <w:trPr>
          <w:trHeight w:val="863" w:hRule="exact"/>
        </w:trPr>
        <w:tc>
          <w:tcPr>
            <w:tcW w:w="7072" w:type="dxa"/>
            <w:gridSpan w:val="2"/>
          </w:tcPr>
          <w:p>
            <w:pPr>
              <w:pStyle w:val="TableParagraph"/>
              <w:spacing w:before="72"/>
              <w:ind w:left="35"/>
              <w:rPr>
                <w:b/>
                <w:sz w:val="22"/>
              </w:rPr>
            </w:pPr>
            <w:r>
              <w:rPr>
                <w:b/>
                <w:sz w:val="22"/>
              </w:rPr>
              <w:t>University of Western Sydney 2013 Budget</w:t>
            </w:r>
          </w:p>
        </w:tc>
        <w:tc>
          <w:tcPr>
            <w:tcW w:w="3190" w:type="dxa"/>
          </w:tcPr>
          <w:p>
            <w:pPr>
              <w:pStyle w:val="TableParagraph"/>
              <w:rPr>
                <w:b/>
                <w:sz w:val="18"/>
              </w:rPr>
            </w:pPr>
          </w:p>
          <w:p>
            <w:pPr>
              <w:pStyle w:val="TableParagraph"/>
              <w:rPr>
                <w:b/>
                <w:sz w:val="18"/>
              </w:rPr>
            </w:pPr>
          </w:p>
          <w:p>
            <w:pPr>
              <w:pStyle w:val="TableParagraph"/>
              <w:spacing w:before="6"/>
              <w:rPr>
                <w:b/>
                <w:sz w:val="16"/>
              </w:rPr>
            </w:pPr>
          </w:p>
          <w:p>
            <w:pPr>
              <w:pStyle w:val="TableParagraph"/>
              <w:ind w:right="37"/>
              <w:jc w:val="right"/>
              <w:rPr>
                <w:b/>
                <w:sz w:val="18"/>
              </w:rPr>
            </w:pPr>
            <w:r>
              <w:rPr>
                <w:b/>
                <w:w w:val="95"/>
                <w:sz w:val="18"/>
              </w:rPr>
              <w:t>2013</w:t>
            </w:r>
          </w:p>
        </w:tc>
      </w:tr>
      <w:tr>
        <w:trPr>
          <w:trHeight w:val="290" w:hRule="exact"/>
        </w:trPr>
        <w:tc>
          <w:tcPr>
            <w:tcW w:w="7072" w:type="dxa"/>
            <w:gridSpan w:val="2"/>
          </w:tcPr>
          <w:p>
            <w:pPr/>
          </w:p>
        </w:tc>
        <w:tc>
          <w:tcPr>
            <w:tcW w:w="3190" w:type="dxa"/>
          </w:tcPr>
          <w:p>
            <w:pPr>
              <w:pStyle w:val="TableParagraph"/>
              <w:spacing w:before="32"/>
              <w:ind w:right="33"/>
              <w:jc w:val="right"/>
              <w:rPr>
                <w:b/>
                <w:sz w:val="18"/>
              </w:rPr>
            </w:pPr>
            <w:r>
              <w:rPr>
                <w:b/>
                <w:w w:val="95"/>
                <w:sz w:val="18"/>
              </w:rPr>
              <w:t>BUDGET</w:t>
            </w:r>
          </w:p>
        </w:tc>
      </w:tr>
      <w:tr>
        <w:trPr>
          <w:trHeight w:val="319" w:hRule="exact"/>
        </w:trPr>
        <w:tc>
          <w:tcPr>
            <w:tcW w:w="7072" w:type="dxa"/>
            <w:gridSpan w:val="2"/>
          </w:tcPr>
          <w:p>
            <w:pPr/>
          </w:p>
        </w:tc>
        <w:tc>
          <w:tcPr>
            <w:tcW w:w="3190" w:type="dxa"/>
          </w:tcPr>
          <w:p>
            <w:pPr>
              <w:pStyle w:val="TableParagraph"/>
              <w:spacing w:before="32"/>
              <w:ind w:right="37"/>
              <w:jc w:val="right"/>
              <w:rPr>
                <w:b/>
                <w:sz w:val="18"/>
              </w:rPr>
            </w:pPr>
            <w:r>
              <w:rPr>
                <w:b/>
                <w:w w:val="95"/>
                <w:sz w:val="18"/>
              </w:rPr>
              <w:t>$'000</w:t>
            </w:r>
          </w:p>
        </w:tc>
      </w:tr>
      <w:tr>
        <w:trPr>
          <w:trHeight w:val="334" w:hRule="exact"/>
        </w:trPr>
        <w:tc>
          <w:tcPr>
            <w:tcW w:w="7072" w:type="dxa"/>
            <w:gridSpan w:val="2"/>
          </w:tcPr>
          <w:p>
            <w:pPr>
              <w:pStyle w:val="TableParagraph"/>
              <w:spacing w:before="61"/>
              <w:ind w:left="596"/>
              <w:rPr>
                <w:b/>
                <w:sz w:val="18"/>
              </w:rPr>
            </w:pPr>
            <w:r>
              <w:rPr>
                <w:b/>
                <w:sz w:val="18"/>
              </w:rPr>
              <w:t>INCOME FROM CONTINUING OPERATIONS</w:t>
            </w:r>
          </w:p>
        </w:tc>
        <w:tc>
          <w:tcPr>
            <w:tcW w:w="3190" w:type="dxa"/>
          </w:tcPr>
          <w:p>
            <w:pPr/>
          </w:p>
        </w:tc>
      </w:tr>
      <w:tr>
        <w:trPr>
          <w:trHeight w:val="341" w:hRule="exact"/>
        </w:trPr>
        <w:tc>
          <w:tcPr>
            <w:tcW w:w="7072" w:type="dxa"/>
            <w:gridSpan w:val="2"/>
          </w:tcPr>
          <w:p>
            <w:pPr>
              <w:pStyle w:val="TableParagraph"/>
              <w:spacing w:before="46"/>
              <w:ind w:left="911"/>
              <w:rPr>
                <w:b/>
                <w:sz w:val="18"/>
              </w:rPr>
            </w:pPr>
            <w:r>
              <w:rPr>
                <w:b/>
                <w:sz w:val="18"/>
              </w:rPr>
              <w:t>GOVERNMENT</w:t>
            </w:r>
          </w:p>
        </w:tc>
        <w:tc>
          <w:tcPr>
            <w:tcW w:w="3190" w:type="dxa"/>
          </w:tcPr>
          <w:p>
            <w:pPr>
              <w:pStyle w:val="TableParagraph"/>
              <w:spacing w:before="46"/>
              <w:ind w:right="39"/>
              <w:jc w:val="right"/>
              <w:rPr>
                <w:b/>
                <w:sz w:val="18"/>
              </w:rPr>
            </w:pPr>
            <w:r>
              <w:rPr>
                <w:b/>
                <w:w w:val="95"/>
                <w:sz w:val="18"/>
              </w:rPr>
              <w:t>489,125</w:t>
            </w:r>
          </w:p>
        </w:tc>
      </w:tr>
      <w:tr>
        <w:trPr>
          <w:trHeight w:val="530" w:hRule="exact"/>
        </w:trPr>
        <w:tc>
          <w:tcPr>
            <w:tcW w:w="7072" w:type="dxa"/>
            <w:gridSpan w:val="2"/>
          </w:tcPr>
          <w:p>
            <w:pPr>
              <w:pStyle w:val="TableParagraph"/>
              <w:spacing w:before="68"/>
              <w:ind w:left="911"/>
              <w:rPr>
                <w:b/>
                <w:sz w:val="18"/>
              </w:rPr>
            </w:pPr>
            <w:r>
              <w:rPr>
                <w:b/>
                <w:sz w:val="18"/>
              </w:rPr>
              <w:t>ACADEMIC ACTIVITIES</w:t>
            </w:r>
          </w:p>
          <w:p>
            <w:pPr>
              <w:pStyle w:val="TableParagraph"/>
              <w:spacing w:before="25"/>
              <w:ind w:left="1211"/>
              <w:rPr>
                <w:sz w:val="18"/>
              </w:rPr>
            </w:pPr>
            <w:r>
              <w:rPr>
                <w:sz w:val="18"/>
              </w:rPr>
              <w:t>International Onshore</w:t>
            </w:r>
          </w:p>
        </w:tc>
        <w:tc>
          <w:tcPr>
            <w:tcW w:w="3190" w:type="dxa"/>
          </w:tcPr>
          <w:p>
            <w:pPr>
              <w:pStyle w:val="TableParagraph"/>
              <w:spacing w:before="1"/>
              <w:rPr>
                <w:b/>
                <w:sz w:val="26"/>
              </w:rPr>
            </w:pPr>
          </w:p>
          <w:p>
            <w:pPr>
              <w:pStyle w:val="TableParagraph"/>
              <w:spacing w:before="1"/>
              <w:ind w:right="38"/>
              <w:jc w:val="right"/>
              <w:rPr>
                <w:sz w:val="18"/>
              </w:rPr>
            </w:pPr>
            <w:r>
              <w:rPr>
                <w:sz w:val="18"/>
              </w:rPr>
              <w:t>58,538</w:t>
            </w:r>
          </w:p>
        </w:tc>
      </w:tr>
      <w:tr>
        <w:trPr>
          <w:trHeight w:val="233" w:hRule="exact"/>
        </w:trPr>
        <w:tc>
          <w:tcPr>
            <w:tcW w:w="7072" w:type="dxa"/>
            <w:gridSpan w:val="2"/>
          </w:tcPr>
          <w:p>
            <w:pPr>
              <w:pStyle w:val="TableParagraph"/>
              <w:spacing w:before="3"/>
              <w:ind w:left="1211"/>
              <w:rPr>
                <w:sz w:val="18"/>
              </w:rPr>
            </w:pPr>
            <w:r>
              <w:rPr>
                <w:sz w:val="18"/>
              </w:rPr>
              <w:t>International Offshore</w:t>
            </w:r>
          </w:p>
        </w:tc>
        <w:tc>
          <w:tcPr>
            <w:tcW w:w="3190" w:type="dxa"/>
          </w:tcPr>
          <w:p>
            <w:pPr>
              <w:pStyle w:val="TableParagraph"/>
              <w:spacing w:before="3"/>
              <w:ind w:right="36"/>
              <w:jc w:val="right"/>
              <w:rPr>
                <w:sz w:val="18"/>
              </w:rPr>
            </w:pPr>
            <w:r>
              <w:rPr>
                <w:w w:val="95"/>
                <w:sz w:val="18"/>
              </w:rPr>
              <w:t>835</w:t>
            </w:r>
          </w:p>
        </w:tc>
      </w:tr>
      <w:tr>
        <w:trPr>
          <w:trHeight w:val="233" w:hRule="exact"/>
        </w:trPr>
        <w:tc>
          <w:tcPr>
            <w:tcW w:w="7072" w:type="dxa"/>
            <w:gridSpan w:val="2"/>
          </w:tcPr>
          <w:p>
            <w:pPr>
              <w:pStyle w:val="TableParagraph"/>
              <w:spacing w:before="3"/>
              <w:ind w:left="1211"/>
              <w:rPr>
                <w:sz w:val="18"/>
              </w:rPr>
            </w:pPr>
            <w:r>
              <w:rPr>
                <w:sz w:val="18"/>
              </w:rPr>
              <w:t>Local fee-paying</w:t>
            </w:r>
          </w:p>
        </w:tc>
        <w:tc>
          <w:tcPr>
            <w:tcW w:w="3190" w:type="dxa"/>
          </w:tcPr>
          <w:p>
            <w:pPr>
              <w:pStyle w:val="TableParagraph"/>
              <w:spacing w:before="3"/>
              <w:ind w:right="38"/>
              <w:jc w:val="right"/>
              <w:rPr>
                <w:sz w:val="18"/>
              </w:rPr>
            </w:pPr>
            <w:r>
              <w:rPr>
                <w:sz w:val="18"/>
              </w:rPr>
              <w:t>12,475</w:t>
            </w:r>
          </w:p>
        </w:tc>
      </w:tr>
      <w:tr>
        <w:trPr>
          <w:trHeight w:val="233" w:hRule="exact"/>
        </w:trPr>
        <w:tc>
          <w:tcPr>
            <w:tcW w:w="7072" w:type="dxa"/>
            <w:gridSpan w:val="2"/>
          </w:tcPr>
          <w:p>
            <w:pPr>
              <w:pStyle w:val="TableParagraph"/>
              <w:spacing w:before="3"/>
              <w:ind w:left="1211"/>
              <w:rPr>
                <w:sz w:val="18"/>
              </w:rPr>
            </w:pPr>
            <w:r>
              <w:rPr>
                <w:sz w:val="18"/>
              </w:rPr>
              <w:t>External Research Grants</w:t>
            </w:r>
          </w:p>
        </w:tc>
        <w:tc>
          <w:tcPr>
            <w:tcW w:w="3190" w:type="dxa"/>
          </w:tcPr>
          <w:p>
            <w:pPr>
              <w:pStyle w:val="TableParagraph"/>
              <w:spacing w:before="3"/>
              <w:ind w:right="38"/>
              <w:jc w:val="right"/>
              <w:rPr>
                <w:sz w:val="18"/>
              </w:rPr>
            </w:pPr>
            <w:r>
              <w:rPr>
                <w:sz w:val="18"/>
              </w:rPr>
              <w:t>21,900</w:t>
            </w:r>
          </w:p>
        </w:tc>
      </w:tr>
      <w:tr>
        <w:trPr>
          <w:trHeight w:val="233" w:hRule="exact"/>
        </w:trPr>
        <w:tc>
          <w:tcPr>
            <w:tcW w:w="7072" w:type="dxa"/>
            <w:gridSpan w:val="2"/>
          </w:tcPr>
          <w:p>
            <w:pPr>
              <w:pStyle w:val="TableParagraph"/>
              <w:spacing w:before="3"/>
              <w:ind w:left="1211"/>
              <w:rPr>
                <w:sz w:val="18"/>
              </w:rPr>
            </w:pPr>
            <w:r>
              <w:rPr>
                <w:sz w:val="18"/>
              </w:rPr>
              <w:t>Consulting, Contracting &amp; Royalties</w:t>
            </w:r>
          </w:p>
        </w:tc>
        <w:tc>
          <w:tcPr>
            <w:tcW w:w="3190" w:type="dxa"/>
          </w:tcPr>
          <w:p>
            <w:pPr>
              <w:pStyle w:val="TableParagraph"/>
              <w:spacing w:before="3"/>
              <w:ind w:right="38"/>
              <w:jc w:val="right"/>
              <w:rPr>
                <w:sz w:val="18"/>
              </w:rPr>
            </w:pPr>
            <w:r>
              <w:rPr>
                <w:w w:val="95"/>
                <w:sz w:val="18"/>
              </w:rPr>
              <w:t>1,874</w:t>
            </w:r>
          </w:p>
        </w:tc>
      </w:tr>
      <w:tr>
        <w:trPr>
          <w:trHeight w:val="283" w:hRule="exact"/>
        </w:trPr>
        <w:tc>
          <w:tcPr>
            <w:tcW w:w="7072" w:type="dxa"/>
            <w:gridSpan w:val="2"/>
          </w:tcPr>
          <w:p>
            <w:pPr>
              <w:pStyle w:val="TableParagraph"/>
              <w:spacing w:before="3"/>
              <w:ind w:left="1211"/>
              <w:rPr>
                <w:sz w:val="18"/>
              </w:rPr>
            </w:pPr>
            <w:r>
              <w:rPr>
                <w:sz w:val="18"/>
              </w:rPr>
              <w:t>Other</w:t>
            </w:r>
          </w:p>
        </w:tc>
        <w:tc>
          <w:tcPr>
            <w:tcW w:w="3190" w:type="dxa"/>
          </w:tcPr>
          <w:p>
            <w:pPr>
              <w:pStyle w:val="TableParagraph"/>
              <w:spacing w:before="3"/>
              <w:ind w:right="38"/>
              <w:jc w:val="right"/>
              <w:rPr>
                <w:sz w:val="18"/>
              </w:rPr>
            </w:pPr>
            <w:r>
              <w:rPr>
                <w:sz w:val="18"/>
              </w:rPr>
              <w:t>28,402</w:t>
            </w:r>
          </w:p>
        </w:tc>
      </w:tr>
      <w:tr>
        <w:trPr>
          <w:trHeight w:val="257" w:hRule="exact"/>
        </w:trPr>
        <w:tc>
          <w:tcPr>
            <w:tcW w:w="7072" w:type="dxa"/>
            <w:gridSpan w:val="2"/>
          </w:tcPr>
          <w:p>
            <w:pPr>
              <w:pStyle w:val="TableParagraph"/>
              <w:spacing w:before="53"/>
              <w:ind w:left="3283" w:right="1838"/>
              <w:jc w:val="center"/>
              <w:rPr>
                <w:b/>
                <w:sz w:val="18"/>
              </w:rPr>
            </w:pPr>
            <w:r>
              <w:rPr>
                <w:b/>
                <w:sz w:val="18"/>
              </w:rPr>
              <w:t>Sub Total</w:t>
            </w:r>
          </w:p>
        </w:tc>
        <w:tc>
          <w:tcPr>
            <w:tcW w:w="3190" w:type="dxa"/>
          </w:tcPr>
          <w:p>
            <w:pPr>
              <w:pStyle w:val="TableParagraph"/>
              <w:spacing w:before="53"/>
              <w:ind w:right="39"/>
              <w:jc w:val="right"/>
              <w:rPr>
                <w:b/>
                <w:sz w:val="18"/>
              </w:rPr>
            </w:pPr>
            <w:r>
              <w:rPr>
                <w:b/>
                <w:w w:val="95"/>
                <w:sz w:val="18"/>
              </w:rPr>
              <w:t>124,024</w:t>
            </w:r>
          </w:p>
        </w:tc>
      </w:tr>
      <w:tr>
        <w:trPr>
          <w:trHeight w:val="389" w:hRule="exact"/>
        </w:trPr>
        <w:tc>
          <w:tcPr>
            <w:tcW w:w="7072" w:type="dxa"/>
            <w:gridSpan w:val="2"/>
          </w:tcPr>
          <w:p>
            <w:pPr>
              <w:pStyle w:val="TableParagraph"/>
              <w:spacing w:before="159"/>
              <w:ind w:left="911"/>
              <w:rPr>
                <w:b/>
                <w:sz w:val="18"/>
              </w:rPr>
            </w:pPr>
            <w:r>
              <w:rPr>
                <w:b/>
                <w:sz w:val="18"/>
              </w:rPr>
              <w:t>OTHER INCOME ACTIVITIES</w:t>
            </w:r>
          </w:p>
        </w:tc>
        <w:tc>
          <w:tcPr>
            <w:tcW w:w="3190" w:type="dxa"/>
          </w:tcPr>
          <w:p>
            <w:pPr/>
          </w:p>
        </w:tc>
      </w:tr>
      <w:tr>
        <w:trPr>
          <w:trHeight w:val="244" w:hRule="exact"/>
        </w:trPr>
        <w:tc>
          <w:tcPr>
            <w:tcW w:w="3660" w:type="dxa"/>
          </w:tcPr>
          <w:p>
            <w:pPr>
              <w:pStyle w:val="TableParagraph"/>
              <w:spacing w:before="3"/>
              <w:ind w:right="186"/>
              <w:jc w:val="right"/>
              <w:rPr>
                <w:sz w:val="18"/>
              </w:rPr>
            </w:pPr>
            <w:r>
              <w:rPr>
                <w:sz w:val="18"/>
              </w:rPr>
              <w:t>Leases &amp; Other Commercial</w:t>
            </w:r>
          </w:p>
        </w:tc>
        <w:tc>
          <w:tcPr>
            <w:tcW w:w="3412" w:type="dxa"/>
          </w:tcPr>
          <w:p>
            <w:pPr/>
          </w:p>
        </w:tc>
        <w:tc>
          <w:tcPr>
            <w:tcW w:w="3190" w:type="dxa"/>
          </w:tcPr>
          <w:p>
            <w:pPr>
              <w:pStyle w:val="TableParagraph"/>
              <w:spacing w:before="3"/>
              <w:ind w:right="37"/>
              <w:jc w:val="right"/>
              <w:rPr>
                <w:sz w:val="18"/>
              </w:rPr>
            </w:pPr>
            <w:r>
              <w:rPr>
                <w:w w:val="95"/>
                <w:sz w:val="18"/>
              </w:rPr>
              <w:t>2,719</w:t>
            </w:r>
          </w:p>
        </w:tc>
      </w:tr>
      <w:tr>
        <w:trPr>
          <w:trHeight w:val="254" w:hRule="exact"/>
        </w:trPr>
        <w:tc>
          <w:tcPr>
            <w:tcW w:w="3660" w:type="dxa"/>
          </w:tcPr>
          <w:p>
            <w:pPr>
              <w:pStyle w:val="TableParagraph"/>
              <w:spacing w:before="14"/>
              <w:ind w:left="1211"/>
              <w:rPr>
                <w:sz w:val="18"/>
              </w:rPr>
            </w:pPr>
            <w:r>
              <w:rPr>
                <w:sz w:val="18"/>
              </w:rPr>
              <w:t>Investment Income</w:t>
            </w:r>
          </w:p>
        </w:tc>
        <w:tc>
          <w:tcPr>
            <w:tcW w:w="3412" w:type="dxa"/>
          </w:tcPr>
          <w:p>
            <w:pPr/>
          </w:p>
        </w:tc>
        <w:tc>
          <w:tcPr>
            <w:tcW w:w="3190" w:type="dxa"/>
          </w:tcPr>
          <w:p>
            <w:pPr>
              <w:pStyle w:val="TableParagraph"/>
              <w:spacing w:before="14"/>
              <w:ind w:right="37"/>
              <w:jc w:val="right"/>
              <w:rPr>
                <w:sz w:val="18"/>
              </w:rPr>
            </w:pPr>
            <w:r>
              <w:rPr>
                <w:w w:val="95"/>
                <w:sz w:val="18"/>
              </w:rPr>
              <w:t>2,313</w:t>
            </w:r>
          </w:p>
        </w:tc>
      </w:tr>
      <w:tr>
        <w:trPr>
          <w:trHeight w:val="244" w:hRule="exact"/>
        </w:trPr>
        <w:tc>
          <w:tcPr>
            <w:tcW w:w="3660" w:type="dxa"/>
          </w:tcPr>
          <w:p>
            <w:pPr>
              <w:pStyle w:val="TableParagraph"/>
              <w:spacing w:before="14"/>
              <w:ind w:right="236"/>
              <w:jc w:val="right"/>
              <w:rPr>
                <w:sz w:val="18"/>
              </w:rPr>
            </w:pPr>
            <w:r>
              <w:rPr>
                <w:sz w:val="18"/>
              </w:rPr>
              <w:t>Land Development Projects</w:t>
            </w:r>
          </w:p>
        </w:tc>
        <w:tc>
          <w:tcPr>
            <w:tcW w:w="3412" w:type="dxa"/>
          </w:tcPr>
          <w:p>
            <w:pPr/>
          </w:p>
        </w:tc>
        <w:tc>
          <w:tcPr>
            <w:tcW w:w="3190" w:type="dxa"/>
          </w:tcPr>
          <w:p>
            <w:pPr>
              <w:pStyle w:val="TableParagraph"/>
              <w:spacing w:before="14"/>
              <w:ind w:right="37"/>
              <w:jc w:val="right"/>
              <w:rPr>
                <w:sz w:val="18"/>
              </w:rPr>
            </w:pPr>
            <w:r>
              <w:rPr>
                <w:w w:val="95"/>
                <w:sz w:val="18"/>
              </w:rPr>
              <w:t>6,717</w:t>
            </w:r>
          </w:p>
        </w:tc>
      </w:tr>
      <w:tr>
        <w:trPr>
          <w:trHeight w:val="262" w:hRule="exact"/>
        </w:trPr>
        <w:tc>
          <w:tcPr>
            <w:tcW w:w="3660" w:type="dxa"/>
          </w:tcPr>
          <w:p>
            <w:pPr>
              <w:pStyle w:val="TableParagraph"/>
              <w:spacing w:before="3"/>
              <w:ind w:left="1211"/>
              <w:rPr>
                <w:sz w:val="18"/>
              </w:rPr>
            </w:pPr>
            <w:r>
              <w:rPr>
                <w:sz w:val="18"/>
              </w:rPr>
              <w:t>Other Incidental</w:t>
            </w:r>
          </w:p>
        </w:tc>
        <w:tc>
          <w:tcPr>
            <w:tcW w:w="3412" w:type="dxa"/>
          </w:tcPr>
          <w:p>
            <w:pPr/>
          </w:p>
        </w:tc>
        <w:tc>
          <w:tcPr>
            <w:tcW w:w="3190" w:type="dxa"/>
          </w:tcPr>
          <w:p>
            <w:pPr>
              <w:pStyle w:val="TableParagraph"/>
              <w:spacing w:before="3"/>
              <w:ind w:right="38"/>
              <w:jc w:val="right"/>
              <w:rPr>
                <w:sz w:val="18"/>
              </w:rPr>
            </w:pPr>
            <w:r>
              <w:rPr>
                <w:sz w:val="18"/>
              </w:rPr>
              <w:t>10,276</w:t>
            </w:r>
          </w:p>
        </w:tc>
      </w:tr>
      <w:tr>
        <w:trPr>
          <w:trHeight w:val="494" w:hRule="exact"/>
        </w:trPr>
        <w:tc>
          <w:tcPr>
            <w:tcW w:w="3660" w:type="dxa"/>
          </w:tcPr>
          <w:p>
            <w:pPr>
              <w:pStyle w:val="TableParagraph"/>
              <w:rPr>
                <w:b/>
                <w:sz w:val="23"/>
              </w:rPr>
            </w:pPr>
          </w:p>
          <w:p>
            <w:pPr>
              <w:pStyle w:val="TableParagraph"/>
              <w:ind w:left="911"/>
              <w:rPr>
                <w:b/>
                <w:sz w:val="18"/>
              </w:rPr>
            </w:pPr>
            <w:r>
              <w:rPr>
                <w:b/>
                <w:sz w:val="18"/>
              </w:rPr>
              <w:t>UWS ENTITIES</w:t>
            </w:r>
          </w:p>
        </w:tc>
        <w:tc>
          <w:tcPr>
            <w:tcW w:w="3412" w:type="dxa"/>
          </w:tcPr>
          <w:p>
            <w:pPr>
              <w:pStyle w:val="TableParagraph"/>
              <w:spacing w:before="32"/>
              <w:ind w:left="188"/>
              <w:rPr>
                <w:b/>
                <w:sz w:val="18"/>
              </w:rPr>
            </w:pPr>
            <w:r>
              <w:rPr>
                <w:b/>
                <w:sz w:val="18"/>
              </w:rPr>
              <w:t>Sub Total</w:t>
            </w:r>
          </w:p>
        </w:tc>
        <w:tc>
          <w:tcPr>
            <w:tcW w:w="3190" w:type="dxa"/>
          </w:tcPr>
          <w:p>
            <w:pPr>
              <w:pStyle w:val="TableParagraph"/>
              <w:spacing w:before="32"/>
              <w:ind w:right="38"/>
              <w:jc w:val="right"/>
              <w:rPr>
                <w:b/>
                <w:sz w:val="18"/>
              </w:rPr>
            </w:pPr>
            <w:r>
              <w:rPr>
                <w:b/>
                <w:sz w:val="18"/>
              </w:rPr>
              <w:t>22,025</w:t>
            </w:r>
          </w:p>
        </w:tc>
      </w:tr>
      <w:tr>
        <w:trPr>
          <w:trHeight w:val="233" w:hRule="exact"/>
        </w:trPr>
        <w:tc>
          <w:tcPr>
            <w:tcW w:w="7072" w:type="dxa"/>
            <w:gridSpan w:val="2"/>
          </w:tcPr>
          <w:p>
            <w:pPr>
              <w:pStyle w:val="TableParagraph"/>
              <w:spacing w:before="3"/>
              <w:ind w:left="1211"/>
              <w:rPr>
                <w:sz w:val="18"/>
              </w:rPr>
            </w:pPr>
            <w:r>
              <w:rPr>
                <w:sz w:val="18"/>
              </w:rPr>
              <w:t>UWS College</w:t>
            </w:r>
          </w:p>
        </w:tc>
        <w:tc>
          <w:tcPr>
            <w:tcW w:w="3190" w:type="dxa"/>
          </w:tcPr>
          <w:p>
            <w:pPr>
              <w:pStyle w:val="TableParagraph"/>
              <w:spacing w:before="3"/>
              <w:ind w:right="38"/>
              <w:jc w:val="right"/>
              <w:rPr>
                <w:sz w:val="18"/>
              </w:rPr>
            </w:pPr>
            <w:r>
              <w:rPr>
                <w:sz w:val="18"/>
              </w:rPr>
              <w:t>31,354</w:t>
            </w:r>
          </w:p>
        </w:tc>
      </w:tr>
      <w:tr>
        <w:trPr>
          <w:trHeight w:val="233" w:hRule="exact"/>
        </w:trPr>
        <w:tc>
          <w:tcPr>
            <w:tcW w:w="7072" w:type="dxa"/>
            <w:gridSpan w:val="2"/>
          </w:tcPr>
          <w:p>
            <w:pPr>
              <w:pStyle w:val="TableParagraph"/>
              <w:spacing w:before="3"/>
              <w:ind w:left="1211"/>
              <w:rPr>
                <w:sz w:val="18"/>
              </w:rPr>
            </w:pPr>
            <w:r>
              <w:rPr>
                <w:sz w:val="18"/>
              </w:rPr>
              <w:t>UWS Foundation</w:t>
            </w:r>
          </w:p>
        </w:tc>
        <w:tc>
          <w:tcPr>
            <w:tcW w:w="3190" w:type="dxa"/>
          </w:tcPr>
          <w:p>
            <w:pPr>
              <w:pStyle w:val="TableParagraph"/>
              <w:spacing w:before="3"/>
              <w:ind w:right="37"/>
              <w:jc w:val="right"/>
              <w:rPr>
                <w:sz w:val="18"/>
              </w:rPr>
            </w:pPr>
            <w:r>
              <w:rPr>
                <w:w w:val="95"/>
                <w:sz w:val="18"/>
              </w:rPr>
              <w:t>3,674</w:t>
            </w:r>
          </w:p>
        </w:tc>
      </w:tr>
      <w:tr>
        <w:trPr>
          <w:trHeight w:val="233" w:hRule="exact"/>
        </w:trPr>
        <w:tc>
          <w:tcPr>
            <w:tcW w:w="7072" w:type="dxa"/>
            <w:gridSpan w:val="2"/>
          </w:tcPr>
          <w:p>
            <w:pPr>
              <w:pStyle w:val="TableParagraph"/>
              <w:spacing w:before="3"/>
              <w:ind w:left="1211"/>
              <w:rPr>
                <w:sz w:val="18"/>
              </w:rPr>
            </w:pPr>
            <w:r>
              <w:rPr>
                <w:sz w:val="18"/>
              </w:rPr>
              <w:t>Whitlam Institute</w:t>
            </w:r>
          </w:p>
        </w:tc>
        <w:tc>
          <w:tcPr>
            <w:tcW w:w="3190" w:type="dxa"/>
          </w:tcPr>
          <w:p>
            <w:pPr>
              <w:pStyle w:val="TableParagraph"/>
              <w:spacing w:before="3"/>
              <w:ind w:right="35"/>
              <w:jc w:val="right"/>
              <w:rPr>
                <w:sz w:val="18"/>
              </w:rPr>
            </w:pPr>
            <w:r>
              <w:rPr>
                <w:sz w:val="18"/>
              </w:rPr>
              <w:t>67</w:t>
            </w:r>
          </w:p>
        </w:tc>
      </w:tr>
      <w:tr>
        <w:trPr>
          <w:trHeight w:val="233" w:hRule="exact"/>
        </w:trPr>
        <w:tc>
          <w:tcPr>
            <w:tcW w:w="7072" w:type="dxa"/>
            <w:gridSpan w:val="2"/>
          </w:tcPr>
          <w:p>
            <w:pPr>
              <w:pStyle w:val="TableParagraph"/>
              <w:spacing w:before="3"/>
              <w:ind w:left="1211"/>
              <w:rPr>
                <w:sz w:val="18"/>
              </w:rPr>
            </w:pPr>
            <w:r>
              <w:rPr>
                <w:sz w:val="18"/>
              </w:rPr>
              <w:t>UWS Early Learning</w:t>
            </w:r>
          </w:p>
        </w:tc>
        <w:tc>
          <w:tcPr>
            <w:tcW w:w="3190" w:type="dxa"/>
          </w:tcPr>
          <w:p>
            <w:pPr>
              <w:pStyle w:val="TableParagraph"/>
              <w:spacing w:before="3"/>
              <w:ind w:right="37"/>
              <w:jc w:val="right"/>
              <w:rPr>
                <w:sz w:val="18"/>
              </w:rPr>
            </w:pPr>
            <w:r>
              <w:rPr>
                <w:w w:val="95"/>
                <w:sz w:val="18"/>
              </w:rPr>
              <w:t>3,024</w:t>
            </w:r>
          </w:p>
        </w:tc>
      </w:tr>
      <w:tr>
        <w:trPr>
          <w:trHeight w:val="233" w:hRule="exact"/>
        </w:trPr>
        <w:tc>
          <w:tcPr>
            <w:tcW w:w="7072" w:type="dxa"/>
            <w:gridSpan w:val="2"/>
          </w:tcPr>
          <w:p>
            <w:pPr>
              <w:pStyle w:val="TableParagraph"/>
              <w:spacing w:before="3"/>
              <w:ind w:left="1211"/>
              <w:rPr>
                <w:sz w:val="18"/>
              </w:rPr>
            </w:pPr>
            <w:r>
              <w:rPr>
                <w:sz w:val="18"/>
              </w:rPr>
              <w:t>uwsconnect</w:t>
            </w:r>
          </w:p>
        </w:tc>
        <w:tc>
          <w:tcPr>
            <w:tcW w:w="3190" w:type="dxa"/>
          </w:tcPr>
          <w:p>
            <w:pPr>
              <w:pStyle w:val="TableParagraph"/>
              <w:spacing w:before="3"/>
              <w:ind w:right="38"/>
              <w:jc w:val="right"/>
              <w:rPr>
                <w:sz w:val="18"/>
              </w:rPr>
            </w:pPr>
            <w:r>
              <w:rPr>
                <w:sz w:val="18"/>
              </w:rPr>
              <w:t>27,284</w:t>
            </w:r>
          </w:p>
        </w:tc>
      </w:tr>
      <w:tr>
        <w:trPr>
          <w:trHeight w:val="269" w:hRule="exact"/>
        </w:trPr>
        <w:tc>
          <w:tcPr>
            <w:tcW w:w="7072" w:type="dxa"/>
            <w:gridSpan w:val="2"/>
          </w:tcPr>
          <w:p>
            <w:pPr>
              <w:pStyle w:val="TableParagraph"/>
              <w:spacing w:before="3"/>
              <w:ind w:left="1211"/>
              <w:rPr>
                <w:sz w:val="18"/>
              </w:rPr>
            </w:pPr>
            <w:r>
              <w:rPr>
                <w:sz w:val="18"/>
              </w:rPr>
              <w:t>TVS</w:t>
            </w:r>
          </w:p>
        </w:tc>
        <w:tc>
          <w:tcPr>
            <w:tcW w:w="3190" w:type="dxa"/>
          </w:tcPr>
          <w:p>
            <w:pPr>
              <w:pStyle w:val="TableParagraph"/>
              <w:spacing w:before="3"/>
              <w:ind w:right="37"/>
              <w:jc w:val="right"/>
              <w:rPr>
                <w:sz w:val="18"/>
              </w:rPr>
            </w:pPr>
            <w:r>
              <w:rPr>
                <w:w w:val="95"/>
                <w:sz w:val="18"/>
              </w:rPr>
              <w:t>1,243</w:t>
            </w:r>
          </w:p>
        </w:tc>
      </w:tr>
      <w:tr>
        <w:trPr>
          <w:trHeight w:val="334" w:hRule="exact"/>
        </w:trPr>
        <w:tc>
          <w:tcPr>
            <w:tcW w:w="7072" w:type="dxa"/>
            <w:gridSpan w:val="2"/>
          </w:tcPr>
          <w:p>
            <w:pPr>
              <w:pStyle w:val="TableParagraph"/>
              <w:spacing w:before="39"/>
              <w:ind w:left="3283" w:right="1838"/>
              <w:jc w:val="center"/>
              <w:rPr>
                <w:b/>
                <w:sz w:val="18"/>
              </w:rPr>
            </w:pPr>
            <w:r>
              <w:rPr>
                <w:b/>
                <w:sz w:val="18"/>
              </w:rPr>
              <w:t>Sub Total</w:t>
            </w:r>
          </w:p>
        </w:tc>
        <w:tc>
          <w:tcPr>
            <w:tcW w:w="3190" w:type="dxa"/>
          </w:tcPr>
          <w:p>
            <w:pPr>
              <w:pStyle w:val="TableParagraph"/>
              <w:spacing w:before="39"/>
              <w:ind w:right="38"/>
              <w:jc w:val="right"/>
              <w:rPr>
                <w:b/>
                <w:sz w:val="18"/>
              </w:rPr>
            </w:pPr>
            <w:r>
              <w:rPr>
                <w:b/>
                <w:sz w:val="18"/>
              </w:rPr>
              <w:t>66,646</w:t>
            </w:r>
          </w:p>
        </w:tc>
      </w:tr>
      <w:tr>
        <w:trPr>
          <w:trHeight w:val="355" w:hRule="exact"/>
        </w:trPr>
        <w:tc>
          <w:tcPr>
            <w:tcW w:w="7072" w:type="dxa"/>
            <w:gridSpan w:val="2"/>
          </w:tcPr>
          <w:p>
            <w:pPr>
              <w:pStyle w:val="TableParagraph"/>
              <w:spacing w:before="68"/>
              <w:ind w:left="1607"/>
              <w:rPr>
                <w:b/>
                <w:sz w:val="18"/>
              </w:rPr>
            </w:pPr>
            <w:r>
              <w:rPr>
                <w:b/>
                <w:sz w:val="18"/>
              </w:rPr>
              <w:t>TOTAL SELF-GENERATED INCOME</w:t>
            </w:r>
          </w:p>
        </w:tc>
        <w:tc>
          <w:tcPr>
            <w:tcW w:w="3190" w:type="dxa"/>
          </w:tcPr>
          <w:p>
            <w:pPr>
              <w:pStyle w:val="TableParagraph"/>
              <w:spacing w:before="68"/>
              <w:ind w:right="38"/>
              <w:jc w:val="right"/>
              <w:rPr>
                <w:b/>
                <w:sz w:val="18"/>
              </w:rPr>
            </w:pPr>
            <w:r>
              <w:rPr>
                <w:b/>
                <w:w w:val="95"/>
                <w:sz w:val="18"/>
              </w:rPr>
              <w:t>212,695</w:t>
            </w:r>
          </w:p>
        </w:tc>
      </w:tr>
      <w:tr>
        <w:trPr>
          <w:trHeight w:val="364" w:hRule="exact"/>
        </w:trPr>
        <w:tc>
          <w:tcPr>
            <w:tcW w:w="7072" w:type="dxa"/>
            <w:gridSpan w:val="2"/>
          </w:tcPr>
          <w:p>
            <w:pPr>
              <w:pStyle w:val="TableParagraph"/>
              <w:spacing w:before="61"/>
              <w:ind w:left="3283" w:right="2378"/>
              <w:jc w:val="center"/>
              <w:rPr>
                <w:b/>
                <w:sz w:val="18"/>
              </w:rPr>
            </w:pPr>
            <w:r>
              <w:rPr>
                <w:b/>
                <w:sz w:val="18"/>
              </w:rPr>
              <w:t>TOTAL INCOME</w:t>
            </w:r>
          </w:p>
        </w:tc>
        <w:tc>
          <w:tcPr>
            <w:tcW w:w="3190" w:type="dxa"/>
          </w:tcPr>
          <w:p>
            <w:pPr>
              <w:pStyle w:val="TableParagraph"/>
              <w:spacing w:before="61"/>
              <w:ind w:right="38"/>
              <w:jc w:val="right"/>
              <w:rPr>
                <w:b/>
                <w:sz w:val="18"/>
              </w:rPr>
            </w:pPr>
            <w:r>
              <w:rPr>
                <w:b/>
                <w:w w:val="95"/>
                <w:sz w:val="18"/>
              </w:rPr>
              <w:t>701,820</w:t>
            </w:r>
          </w:p>
        </w:tc>
      </w:tr>
    </w:tbl>
    <w:p>
      <w:pPr>
        <w:pStyle w:val="BodyText"/>
        <w:spacing w:before="8"/>
        <w:rPr>
          <w:b/>
        </w:rPr>
      </w:pPr>
    </w:p>
    <w:p>
      <w:pPr>
        <w:spacing w:before="77" w:after="38"/>
        <w:ind w:left="708" w:right="0" w:firstLine="0"/>
        <w:jc w:val="left"/>
        <w:rPr>
          <w:b/>
          <w:sz w:val="18"/>
        </w:rPr>
      </w:pPr>
      <w:r>
        <w:rPr>
          <w:b/>
          <w:sz w:val="18"/>
        </w:rPr>
        <w:t>EXPENSES FROM CONTINUING OPERATIONS</w:t>
      </w:r>
    </w:p>
    <w:tbl>
      <w:tblPr>
        <w:tblW w:w="0" w:type="auto"/>
        <w:jc w:val="left"/>
        <w:tblInd w:w="9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505"/>
        <w:gridCol w:w="3876"/>
      </w:tblGrid>
      <w:tr>
        <w:trPr>
          <w:trHeight w:val="306" w:hRule="exact"/>
        </w:trPr>
        <w:tc>
          <w:tcPr>
            <w:tcW w:w="5505" w:type="dxa"/>
          </w:tcPr>
          <w:p>
            <w:pPr>
              <w:pStyle w:val="TableParagraph"/>
              <w:spacing w:before="77"/>
              <w:ind w:left="35"/>
              <w:rPr>
                <w:sz w:val="18"/>
              </w:rPr>
            </w:pPr>
            <w:r>
              <w:rPr>
                <w:sz w:val="18"/>
              </w:rPr>
              <w:t>Schools</w:t>
            </w:r>
          </w:p>
        </w:tc>
        <w:tc>
          <w:tcPr>
            <w:tcW w:w="3876" w:type="dxa"/>
          </w:tcPr>
          <w:p>
            <w:pPr>
              <w:pStyle w:val="TableParagraph"/>
              <w:spacing w:before="77"/>
              <w:ind w:right="34"/>
              <w:jc w:val="right"/>
              <w:rPr>
                <w:sz w:val="18"/>
              </w:rPr>
            </w:pPr>
            <w:r>
              <w:rPr>
                <w:w w:val="95"/>
                <w:sz w:val="18"/>
              </w:rPr>
              <w:t>189,054</w:t>
            </w:r>
          </w:p>
        </w:tc>
      </w:tr>
      <w:tr>
        <w:trPr>
          <w:trHeight w:val="233" w:hRule="exact"/>
        </w:trPr>
        <w:tc>
          <w:tcPr>
            <w:tcW w:w="5505" w:type="dxa"/>
          </w:tcPr>
          <w:p>
            <w:pPr>
              <w:pStyle w:val="TableParagraph"/>
              <w:spacing w:before="3"/>
              <w:ind w:left="35"/>
              <w:rPr>
                <w:sz w:val="18"/>
              </w:rPr>
            </w:pPr>
            <w:r>
              <w:rPr>
                <w:sz w:val="18"/>
              </w:rPr>
              <w:t>Research</w:t>
            </w:r>
          </w:p>
        </w:tc>
        <w:tc>
          <w:tcPr>
            <w:tcW w:w="3876" w:type="dxa"/>
          </w:tcPr>
          <w:p>
            <w:pPr>
              <w:pStyle w:val="TableParagraph"/>
              <w:spacing w:before="3"/>
              <w:ind w:right="33"/>
              <w:jc w:val="right"/>
              <w:rPr>
                <w:sz w:val="18"/>
              </w:rPr>
            </w:pPr>
            <w:r>
              <w:rPr>
                <w:sz w:val="18"/>
              </w:rPr>
              <w:t>76,900</w:t>
            </w:r>
          </w:p>
        </w:tc>
      </w:tr>
      <w:tr>
        <w:trPr>
          <w:trHeight w:val="233" w:hRule="exact"/>
        </w:trPr>
        <w:tc>
          <w:tcPr>
            <w:tcW w:w="5505" w:type="dxa"/>
          </w:tcPr>
          <w:p>
            <w:pPr>
              <w:pStyle w:val="TableParagraph"/>
              <w:spacing w:before="3"/>
              <w:ind w:left="35"/>
              <w:rPr>
                <w:sz w:val="18"/>
              </w:rPr>
            </w:pPr>
            <w:r>
              <w:rPr>
                <w:sz w:val="18"/>
              </w:rPr>
              <w:t>Divisions</w:t>
            </w:r>
          </w:p>
        </w:tc>
        <w:tc>
          <w:tcPr>
            <w:tcW w:w="3876" w:type="dxa"/>
          </w:tcPr>
          <w:p>
            <w:pPr>
              <w:pStyle w:val="TableParagraph"/>
              <w:spacing w:before="3"/>
              <w:ind w:right="34"/>
              <w:jc w:val="right"/>
              <w:rPr>
                <w:sz w:val="18"/>
              </w:rPr>
            </w:pPr>
            <w:r>
              <w:rPr>
                <w:w w:val="95"/>
                <w:sz w:val="18"/>
              </w:rPr>
              <w:t>147,906</w:t>
            </w:r>
          </w:p>
        </w:tc>
      </w:tr>
      <w:tr>
        <w:trPr>
          <w:trHeight w:val="233" w:hRule="exact"/>
        </w:trPr>
        <w:tc>
          <w:tcPr>
            <w:tcW w:w="5505" w:type="dxa"/>
          </w:tcPr>
          <w:p>
            <w:pPr>
              <w:pStyle w:val="TableParagraph"/>
              <w:spacing w:before="3"/>
              <w:ind w:left="35"/>
              <w:rPr>
                <w:sz w:val="18"/>
              </w:rPr>
            </w:pPr>
            <w:r>
              <w:rPr>
                <w:sz w:val="18"/>
              </w:rPr>
              <w:t>UWS Entities</w:t>
            </w:r>
          </w:p>
        </w:tc>
        <w:tc>
          <w:tcPr>
            <w:tcW w:w="3876" w:type="dxa"/>
          </w:tcPr>
          <w:p>
            <w:pPr>
              <w:pStyle w:val="TableParagraph"/>
              <w:spacing w:before="3"/>
              <w:ind w:right="33"/>
              <w:jc w:val="right"/>
              <w:rPr>
                <w:sz w:val="18"/>
              </w:rPr>
            </w:pPr>
            <w:r>
              <w:rPr>
                <w:sz w:val="18"/>
              </w:rPr>
              <w:t>63,503</w:t>
            </w:r>
          </w:p>
        </w:tc>
      </w:tr>
      <w:tr>
        <w:trPr>
          <w:trHeight w:val="233" w:hRule="exact"/>
        </w:trPr>
        <w:tc>
          <w:tcPr>
            <w:tcW w:w="5505" w:type="dxa"/>
          </w:tcPr>
          <w:p>
            <w:pPr>
              <w:pStyle w:val="TableParagraph"/>
              <w:spacing w:before="3"/>
              <w:ind w:left="35"/>
              <w:rPr>
                <w:sz w:val="18"/>
              </w:rPr>
            </w:pPr>
            <w:r>
              <w:rPr>
                <w:sz w:val="18"/>
              </w:rPr>
              <w:t>UWS Wide</w:t>
            </w:r>
          </w:p>
        </w:tc>
        <w:tc>
          <w:tcPr>
            <w:tcW w:w="3876" w:type="dxa"/>
          </w:tcPr>
          <w:p>
            <w:pPr>
              <w:pStyle w:val="TableParagraph"/>
              <w:spacing w:before="3"/>
              <w:ind w:right="33"/>
              <w:jc w:val="right"/>
              <w:rPr>
                <w:sz w:val="18"/>
              </w:rPr>
            </w:pPr>
            <w:r>
              <w:rPr>
                <w:sz w:val="18"/>
              </w:rPr>
              <w:t>88,162</w:t>
            </w:r>
          </w:p>
        </w:tc>
      </w:tr>
      <w:tr>
        <w:trPr>
          <w:trHeight w:val="233" w:hRule="exact"/>
        </w:trPr>
        <w:tc>
          <w:tcPr>
            <w:tcW w:w="5505" w:type="dxa"/>
          </w:tcPr>
          <w:p>
            <w:pPr>
              <w:pStyle w:val="TableParagraph"/>
              <w:spacing w:before="3"/>
              <w:ind w:left="35"/>
              <w:rPr>
                <w:sz w:val="18"/>
              </w:rPr>
            </w:pPr>
            <w:r>
              <w:rPr>
                <w:sz w:val="18"/>
              </w:rPr>
              <w:t>Strategic Initiatives</w:t>
            </w:r>
          </w:p>
        </w:tc>
        <w:tc>
          <w:tcPr>
            <w:tcW w:w="3876" w:type="dxa"/>
          </w:tcPr>
          <w:p>
            <w:pPr>
              <w:pStyle w:val="TableParagraph"/>
              <w:spacing w:before="3"/>
              <w:ind w:right="33"/>
              <w:jc w:val="right"/>
              <w:rPr>
                <w:sz w:val="18"/>
              </w:rPr>
            </w:pPr>
            <w:r>
              <w:rPr>
                <w:sz w:val="18"/>
              </w:rPr>
              <w:t>40,942</w:t>
            </w:r>
          </w:p>
        </w:tc>
      </w:tr>
      <w:tr>
        <w:trPr>
          <w:trHeight w:val="233" w:hRule="exact"/>
        </w:trPr>
        <w:tc>
          <w:tcPr>
            <w:tcW w:w="5505" w:type="dxa"/>
          </w:tcPr>
          <w:p>
            <w:pPr>
              <w:pStyle w:val="TableParagraph"/>
              <w:spacing w:before="3"/>
              <w:ind w:left="35"/>
              <w:rPr>
                <w:sz w:val="18"/>
              </w:rPr>
            </w:pPr>
            <w:r>
              <w:rPr>
                <w:sz w:val="18"/>
              </w:rPr>
              <w:t>Minor Works (Expensed)</w:t>
            </w:r>
          </w:p>
        </w:tc>
        <w:tc>
          <w:tcPr>
            <w:tcW w:w="3876" w:type="dxa"/>
          </w:tcPr>
          <w:p>
            <w:pPr>
              <w:pStyle w:val="TableParagraph"/>
              <w:spacing w:before="3"/>
              <w:ind w:right="33"/>
              <w:jc w:val="right"/>
              <w:rPr>
                <w:sz w:val="18"/>
              </w:rPr>
            </w:pPr>
            <w:r>
              <w:rPr>
                <w:w w:val="95"/>
                <w:sz w:val="18"/>
              </w:rPr>
              <w:t>7,000</w:t>
            </w:r>
          </w:p>
        </w:tc>
      </w:tr>
      <w:tr>
        <w:trPr>
          <w:trHeight w:val="233" w:hRule="exact"/>
        </w:trPr>
        <w:tc>
          <w:tcPr>
            <w:tcW w:w="5505" w:type="dxa"/>
          </w:tcPr>
          <w:p>
            <w:pPr>
              <w:pStyle w:val="TableParagraph"/>
              <w:spacing w:before="3"/>
              <w:ind w:left="35"/>
              <w:rPr>
                <w:sz w:val="18"/>
              </w:rPr>
            </w:pPr>
            <w:r>
              <w:rPr>
                <w:sz w:val="18"/>
              </w:rPr>
              <w:t>External Trust &amp; Tied Grants</w:t>
            </w:r>
          </w:p>
        </w:tc>
        <w:tc>
          <w:tcPr>
            <w:tcW w:w="3876" w:type="dxa"/>
          </w:tcPr>
          <w:p>
            <w:pPr>
              <w:pStyle w:val="TableParagraph"/>
              <w:spacing w:before="3"/>
              <w:ind w:right="33"/>
              <w:jc w:val="right"/>
              <w:rPr>
                <w:sz w:val="18"/>
              </w:rPr>
            </w:pPr>
            <w:r>
              <w:rPr>
                <w:sz w:val="18"/>
              </w:rPr>
              <w:t>24,832</w:t>
            </w:r>
          </w:p>
        </w:tc>
      </w:tr>
      <w:tr>
        <w:trPr>
          <w:trHeight w:val="233" w:hRule="exact"/>
        </w:trPr>
        <w:tc>
          <w:tcPr>
            <w:tcW w:w="5505" w:type="dxa"/>
          </w:tcPr>
          <w:p>
            <w:pPr>
              <w:pStyle w:val="TableParagraph"/>
              <w:spacing w:before="3"/>
              <w:ind w:left="35"/>
              <w:rPr>
                <w:sz w:val="18"/>
              </w:rPr>
            </w:pPr>
            <w:r>
              <w:rPr>
                <w:sz w:val="18"/>
              </w:rPr>
              <w:t>Depreciation</w:t>
            </w:r>
          </w:p>
        </w:tc>
        <w:tc>
          <w:tcPr>
            <w:tcW w:w="3876" w:type="dxa"/>
          </w:tcPr>
          <w:p>
            <w:pPr>
              <w:pStyle w:val="TableParagraph"/>
              <w:spacing w:before="3"/>
              <w:ind w:right="33"/>
              <w:jc w:val="right"/>
              <w:rPr>
                <w:sz w:val="18"/>
              </w:rPr>
            </w:pPr>
            <w:r>
              <w:rPr>
                <w:sz w:val="18"/>
              </w:rPr>
              <w:t>37,420</w:t>
            </w:r>
          </w:p>
        </w:tc>
      </w:tr>
      <w:tr>
        <w:trPr>
          <w:trHeight w:val="306" w:hRule="exact"/>
        </w:trPr>
        <w:tc>
          <w:tcPr>
            <w:tcW w:w="5505" w:type="dxa"/>
          </w:tcPr>
          <w:p>
            <w:pPr>
              <w:pStyle w:val="TableParagraph"/>
              <w:spacing w:before="3"/>
              <w:ind w:left="35"/>
              <w:rPr>
                <w:sz w:val="18"/>
              </w:rPr>
            </w:pPr>
            <w:r>
              <w:rPr>
                <w:sz w:val="18"/>
              </w:rPr>
              <w:t>Land Development Projects</w:t>
            </w:r>
          </w:p>
        </w:tc>
        <w:tc>
          <w:tcPr>
            <w:tcW w:w="3876" w:type="dxa"/>
          </w:tcPr>
          <w:p>
            <w:pPr>
              <w:pStyle w:val="TableParagraph"/>
              <w:spacing w:before="3"/>
              <w:ind w:right="33"/>
              <w:jc w:val="right"/>
              <w:rPr>
                <w:sz w:val="18"/>
              </w:rPr>
            </w:pPr>
            <w:r>
              <w:rPr>
                <w:w w:val="95"/>
                <w:sz w:val="18"/>
              </w:rPr>
              <w:t>5,851</w:t>
            </w:r>
          </w:p>
        </w:tc>
      </w:tr>
    </w:tbl>
    <w:p>
      <w:pPr>
        <w:tabs>
          <w:tab w:pos="9681" w:val="left" w:leader="none"/>
        </w:tabs>
        <w:spacing w:before="59"/>
        <w:ind w:left="2856" w:right="0" w:firstLine="0"/>
        <w:jc w:val="left"/>
        <w:rPr>
          <w:b/>
          <w:sz w:val="18"/>
        </w:rPr>
      </w:pPr>
      <w:r>
        <w:rPr>
          <w:b/>
          <w:sz w:val="18"/>
        </w:rPr>
        <w:t>TOTAL EXPENDITURE</w:t>
        <w:tab/>
        <w:t>681,570</w:t>
      </w:r>
    </w:p>
    <w:p>
      <w:pPr>
        <w:pStyle w:val="BodyText"/>
        <w:rPr>
          <w:b/>
        </w:rPr>
      </w:pPr>
    </w:p>
    <w:p>
      <w:pPr>
        <w:pStyle w:val="BodyText"/>
        <w:spacing w:before="10"/>
        <w:rPr>
          <w:b/>
          <w:sz w:val="23"/>
        </w:rPr>
      </w:pPr>
    </w:p>
    <w:p>
      <w:pPr>
        <w:tabs>
          <w:tab w:pos="9782" w:val="left" w:leader="none"/>
        </w:tabs>
        <w:spacing w:before="0"/>
        <w:ind w:left="708" w:right="0" w:firstLine="0"/>
        <w:jc w:val="left"/>
        <w:rPr>
          <w:b/>
          <w:sz w:val="18"/>
        </w:rPr>
      </w:pPr>
      <w:r>
        <w:rPr>
          <w:b/>
          <w:sz w:val="18"/>
        </w:rPr>
        <w:t>NET REPORTED RESULT</w:t>
        <w:tab/>
        <w:t>20,250</w:t>
      </w:r>
    </w:p>
    <w:p>
      <w:pPr>
        <w:spacing w:after="0"/>
        <w:jc w:val="left"/>
        <w:rPr>
          <w:sz w:val="18"/>
        </w:rPr>
        <w:sectPr>
          <w:headerReference w:type="default" r:id="rId279"/>
          <w:footerReference w:type="default" r:id="rId280"/>
          <w:pgSz w:w="11910" w:h="16840"/>
          <w:pgMar w:header="0" w:footer="507" w:top="580" w:bottom="700" w:left="300" w:right="1120"/>
          <w:pgNumType w:start="293"/>
        </w:sectPr>
      </w:pPr>
    </w:p>
    <w:p>
      <w:pPr>
        <w:spacing w:before="75"/>
        <w:ind w:left="6216" w:right="0" w:firstLine="0"/>
        <w:jc w:val="left"/>
        <w:rPr>
          <w:b/>
          <w:sz w:val="15"/>
        </w:rPr>
      </w:pPr>
      <w:r>
        <w:rPr>
          <w:b/>
          <w:w w:val="105"/>
          <w:sz w:val="15"/>
        </w:rPr>
        <w:t>Budget and Performance Indicators</w:t>
      </w:r>
    </w:p>
    <w:p>
      <w:pPr>
        <w:pStyle w:val="BodyText"/>
        <w:rPr>
          <w:b/>
          <w:sz w:val="16"/>
        </w:rPr>
      </w:pPr>
    </w:p>
    <w:p>
      <w:pPr>
        <w:pStyle w:val="BodyText"/>
        <w:rPr>
          <w:b/>
          <w:sz w:val="16"/>
        </w:rPr>
      </w:pPr>
    </w:p>
    <w:p>
      <w:pPr>
        <w:pStyle w:val="BodyText"/>
        <w:spacing w:before="3"/>
        <w:rPr>
          <w:b/>
          <w:sz w:val="21"/>
        </w:rPr>
      </w:pPr>
    </w:p>
    <w:p>
      <w:pPr>
        <w:spacing w:before="0"/>
        <w:ind w:left="163" w:right="0" w:firstLine="0"/>
        <w:jc w:val="left"/>
        <w:rPr>
          <w:b/>
          <w:sz w:val="27"/>
        </w:rPr>
      </w:pPr>
      <w:r>
        <w:rPr>
          <w:b/>
          <w:sz w:val="27"/>
        </w:rPr>
        <w:t>Accounts Payable Performance Indicators - </w:t>
      </w:r>
      <w:r>
        <w:rPr>
          <w:b/>
          <w:spacing w:val="60"/>
          <w:sz w:val="27"/>
        </w:rPr>
        <w:t> </w:t>
      </w:r>
      <w:r>
        <w:rPr>
          <w:b/>
          <w:sz w:val="27"/>
        </w:rPr>
        <w:t>2012</w:t>
      </w:r>
    </w:p>
    <w:p>
      <w:pPr>
        <w:pStyle w:val="BodyText"/>
        <w:rPr>
          <w:b/>
          <w:sz w:val="20"/>
        </w:rPr>
      </w:pPr>
    </w:p>
    <w:p>
      <w:pPr>
        <w:pStyle w:val="BodyText"/>
        <w:spacing w:before="10" w:after="1"/>
        <w:rPr>
          <w:b/>
          <w:sz w:val="25"/>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25"/>
        <w:gridCol w:w="1768"/>
        <w:gridCol w:w="1056"/>
        <w:gridCol w:w="1056"/>
        <w:gridCol w:w="974"/>
      </w:tblGrid>
      <w:tr>
        <w:trPr>
          <w:trHeight w:val="514" w:hRule="exact"/>
        </w:trPr>
        <w:tc>
          <w:tcPr>
            <w:tcW w:w="3925" w:type="dxa"/>
          </w:tcPr>
          <w:p>
            <w:pPr>
              <w:pStyle w:val="TableParagraph"/>
              <w:rPr>
                <w:b/>
                <w:sz w:val="16"/>
              </w:rPr>
            </w:pPr>
          </w:p>
          <w:p>
            <w:pPr>
              <w:pStyle w:val="TableParagraph"/>
              <w:spacing w:before="120"/>
              <w:ind w:left="33"/>
              <w:rPr>
                <w:b/>
                <w:sz w:val="17"/>
              </w:rPr>
            </w:pPr>
            <w:r>
              <w:rPr>
                <w:b/>
                <w:sz w:val="17"/>
              </w:rPr>
              <w:t>Category</w:t>
            </w:r>
          </w:p>
        </w:tc>
        <w:tc>
          <w:tcPr>
            <w:tcW w:w="1768" w:type="dxa"/>
          </w:tcPr>
          <w:p>
            <w:pPr>
              <w:pStyle w:val="TableParagraph"/>
              <w:spacing w:line="273" w:lineRule="auto" w:before="80"/>
              <w:ind w:left="846" w:right="288" w:firstLine="124"/>
              <w:rPr>
                <w:b/>
                <w:sz w:val="17"/>
              </w:rPr>
            </w:pPr>
            <w:r>
              <w:rPr>
                <w:b/>
                <w:sz w:val="17"/>
              </w:rPr>
              <w:t>First Quarter</w:t>
            </w:r>
          </w:p>
        </w:tc>
        <w:tc>
          <w:tcPr>
            <w:tcW w:w="1056" w:type="dxa"/>
          </w:tcPr>
          <w:p>
            <w:pPr>
              <w:pStyle w:val="TableParagraph"/>
              <w:spacing w:line="273" w:lineRule="auto" w:before="80"/>
              <w:ind w:left="134" w:right="287"/>
              <w:rPr>
                <w:b/>
                <w:sz w:val="17"/>
              </w:rPr>
            </w:pPr>
            <w:r>
              <w:rPr>
                <w:b/>
                <w:sz w:val="17"/>
              </w:rPr>
              <w:t>Second Quarter</w:t>
            </w:r>
          </w:p>
        </w:tc>
        <w:tc>
          <w:tcPr>
            <w:tcW w:w="1056" w:type="dxa"/>
          </w:tcPr>
          <w:p>
            <w:pPr>
              <w:pStyle w:val="TableParagraph"/>
              <w:spacing w:line="273" w:lineRule="auto" w:before="80"/>
              <w:ind w:left="134" w:right="287" w:firstLine="96"/>
              <w:rPr>
                <w:b/>
                <w:sz w:val="17"/>
              </w:rPr>
            </w:pPr>
            <w:r>
              <w:rPr>
                <w:b/>
                <w:sz w:val="17"/>
              </w:rPr>
              <w:t>Third Quarter</w:t>
            </w:r>
          </w:p>
        </w:tc>
        <w:tc>
          <w:tcPr>
            <w:tcW w:w="974" w:type="dxa"/>
          </w:tcPr>
          <w:p>
            <w:pPr>
              <w:pStyle w:val="TableParagraph"/>
              <w:spacing w:line="273" w:lineRule="auto" w:before="80"/>
              <w:ind w:left="134" w:right="206" w:firstLine="38"/>
              <w:rPr>
                <w:b/>
                <w:sz w:val="17"/>
              </w:rPr>
            </w:pPr>
            <w:r>
              <w:rPr>
                <w:b/>
                <w:sz w:val="17"/>
              </w:rPr>
              <w:t>Fourth Quarter</w:t>
            </w:r>
          </w:p>
        </w:tc>
      </w:tr>
      <w:tr>
        <w:trPr>
          <w:trHeight w:val="207" w:hRule="exact"/>
        </w:trPr>
        <w:tc>
          <w:tcPr>
            <w:tcW w:w="3925" w:type="dxa"/>
            <w:tcBorders>
              <w:bottom w:val="single" w:sz="7" w:space="0" w:color="000000"/>
            </w:tcBorders>
          </w:tcPr>
          <w:p>
            <w:pPr/>
          </w:p>
        </w:tc>
        <w:tc>
          <w:tcPr>
            <w:tcW w:w="1768" w:type="dxa"/>
            <w:tcBorders>
              <w:bottom w:val="single" w:sz="7" w:space="0" w:color="000000"/>
            </w:tcBorders>
          </w:tcPr>
          <w:p>
            <w:pPr>
              <w:pStyle w:val="TableParagraph"/>
              <w:spacing w:line="194" w:lineRule="exact"/>
              <w:ind w:left="1117"/>
              <w:rPr>
                <w:b/>
                <w:sz w:val="17"/>
              </w:rPr>
            </w:pPr>
            <w:r>
              <w:rPr>
                <w:b/>
                <w:w w:val="101"/>
                <w:sz w:val="17"/>
              </w:rPr>
              <w:t>$</w:t>
            </w:r>
          </w:p>
        </w:tc>
        <w:tc>
          <w:tcPr>
            <w:tcW w:w="1056" w:type="dxa"/>
            <w:tcBorders>
              <w:bottom w:val="single" w:sz="7" w:space="0" w:color="000000"/>
            </w:tcBorders>
          </w:tcPr>
          <w:p>
            <w:pPr>
              <w:pStyle w:val="TableParagraph"/>
              <w:spacing w:line="194" w:lineRule="exact"/>
              <w:ind w:right="147"/>
              <w:jc w:val="center"/>
              <w:rPr>
                <w:b/>
                <w:sz w:val="17"/>
              </w:rPr>
            </w:pPr>
            <w:r>
              <w:rPr>
                <w:b/>
                <w:w w:val="101"/>
                <w:sz w:val="17"/>
              </w:rPr>
              <w:t>$</w:t>
            </w:r>
          </w:p>
        </w:tc>
        <w:tc>
          <w:tcPr>
            <w:tcW w:w="1056" w:type="dxa"/>
            <w:tcBorders>
              <w:bottom w:val="single" w:sz="7" w:space="0" w:color="000000"/>
            </w:tcBorders>
          </w:tcPr>
          <w:p>
            <w:pPr>
              <w:pStyle w:val="TableParagraph"/>
              <w:spacing w:line="194" w:lineRule="exact"/>
              <w:ind w:right="147"/>
              <w:jc w:val="center"/>
              <w:rPr>
                <w:b/>
                <w:sz w:val="17"/>
              </w:rPr>
            </w:pPr>
            <w:r>
              <w:rPr>
                <w:b/>
                <w:w w:val="101"/>
                <w:sz w:val="17"/>
              </w:rPr>
              <w:t>$</w:t>
            </w:r>
          </w:p>
        </w:tc>
        <w:tc>
          <w:tcPr>
            <w:tcW w:w="974" w:type="dxa"/>
            <w:tcBorders>
              <w:bottom w:val="single" w:sz="7" w:space="0" w:color="000000"/>
            </w:tcBorders>
          </w:tcPr>
          <w:p>
            <w:pPr>
              <w:pStyle w:val="TableParagraph"/>
              <w:spacing w:line="194" w:lineRule="exact"/>
              <w:ind w:right="65"/>
              <w:jc w:val="center"/>
              <w:rPr>
                <w:b/>
                <w:sz w:val="17"/>
              </w:rPr>
            </w:pPr>
            <w:r>
              <w:rPr>
                <w:b/>
                <w:w w:val="101"/>
                <w:sz w:val="17"/>
              </w:rPr>
              <w:t>$</w:t>
            </w:r>
          </w:p>
        </w:tc>
      </w:tr>
      <w:tr>
        <w:trPr>
          <w:trHeight w:val="603" w:hRule="exact"/>
        </w:trPr>
        <w:tc>
          <w:tcPr>
            <w:tcW w:w="3925" w:type="dxa"/>
            <w:tcBorders>
              <w:top w:val="single" w:sz="7" w:space="0" w:color="000000"/>
            </w:tcBorders>
          </w:tcPr>
          <w:p>
            <w:pPr>
              <w:pStyle w:val="TableParagraph"/>
              <w:spacing w:before="4"/>
              <w:rPr>
                <w:b/>
                <w:sz w:val="16"/>
              </w:rPr>
            </w:pPr>
          </w:p>
          <w:p>
            <w:pPr>
              <w:pStyle w:val="TableParagraph"/>
              <w:ind w:left="33"/>
              <w:rPr>
                <w:b/>
                <w:sz w:val="17"/>
              </w:rPr>
            </w:pPr>
            <w:r>
              <w:rPr>
                <w:b/>
                <w:sz w:val="17"/>
              </w:rPr>
              <w:t>1. Schedule of Accounts Payable</w:t>
            </w:r>
          </w:p>
          <w:p>
            <w:pPr>
              <w:pStyle w:val="TableParagraph"/>
              <w:spacing w:before="20"/>
              <w:ind w:left="31"/>
              <w:rPr>
                <w:sz w:val="15"/>
              </w:rPr>
            </w:pPr>
            <w:r>
              <w:rPr>
                <w:w w:val="105"/>
                <w:sz w:val="15"/>
              </w:rPr>
              <w:t>Paid within 30 days</w:t>
            </w:r>
          </w:p>
        </w:tc>
        <w:tc>
          <w:tcPr>
            <w:tcW w:w="1768" w:type="dxa"/>
            <w:tcBorders>
              <w:top w:val="single" w:sz="7" w:space="0" w:color="000000"/>
            </w:tcBorders>
          </w:tcPr>
          <w:p>
            <w:pPr>
              <w:pStyle w:val="TableParagraph"/>
              <w:rPr>
                <w:b/>
                <w:sz w:val="16"/>
              </w:rPr>
            </w:pPr>
          </w:p>
          <w:p>
            <w:pPr>
              <w:pStyle w:val="TableParagraph"/>
              <w:spacing w:before="1"/>
              <w:rPr>
                <w:b/>
                <w:sz w:val="19"/>
              </w:rPr>
            </w:pPr>
          </w:p>
          <w:p>
            <w:pPr>
              <w:pStyle w:val="TableParagraph"/>
              <w:ind w:right="160"/>
              <w:jc w:val="right"/>
              <w:rPr>
                <w:sz w:val="15"/>
              </w:rPr>
            </w:pPr>
            <w:r>
              <w:rPr>
                <w:sz w:val="15"/>
              </w:rPr>
              <w:t>44,289,151</w:t>
            </w:r>
          </w:p>
        </w:tc>
        <w:tc>
          <w:tcPr>
            <w:tcW w:w="1056" w:type="dxa"/>
            <w:tcBorders>
              <w:top w:val="single" w:sz="7" w:space="0" w:color="000000"/>
            </w:tcBorders>
          </w:tcPr>
          <w:p>
            <w:pPr>
              <w:pStyle w:val="TableParagraph"/>
              <w:rPr>
                <w:b/>
                <w:sz w:val="16"/>
              </w:rPr>
            </w:pPr>
          </w:p>
          <w:p>
            <w:pPr>
              <w:pStyle w:val="TableParagraph"/>
              <w:spacing w:before="1"/>
              <w:rPr>
                <w:b/>
                <w:sz w:val="19"/>
              </w:rPr>
            </w:pPr>
          </w:p>
          <w:p>
            <w:pPr>
              <w:pStyle w:val="TableParagraph"/>
              <w:ind w:right="160"/>
              <w:jc w:val="right"/>
              <w:rPr>
                <w:sz w:val="15"/>
              </w:rPr>
            </w:pPr>
            <w:r>
              <w:rPr>
                <w:sz w:val="15"/>
              </w:rPr>
              <w:t>34,433,544</w:t>
            </w:r>
          </w:p>
        </w:tc>
        <w:tc>
          <w:tcPr>
            <w:tcW w:w="1056" w:type="dxa"/>
            <w:tcBorders>
              <w:top w:val="single" w:sz="7" w:space="0" w:color="000000"/>
            </w:tcBorders>
          </w:tcPr>
          <w:p>
            <w:pPr>
              <w:pStyle w:val="TableParagraph"/>
              <w:rPr>
                <w:b/>
                <w:sz w:val="16"/>
              </w:rPr>
            </w:pPr>
          </w:p>
          <w:p>
            <w:pPr>
              <w:pStyle w:val="TableParagraph"/>
              <w:spacing w:before="1"/>
              <w:rPr>
                <w:b/>
                <w:sz w:val="19"/>
              </w:rPr>
            </w:pPr>
          </w:p>
          <w:p>
            <w:pPr>
              <w:pStyle w:val="TableParagraph"/>
              <w:ind w:right="160"/>
              <w:jc w:val="right"/>
              <w:rPr>
                <w:sz w:val="15"/>
              </w:rPr>
            </w:pPr>
            <w:r>
              <w:rPr>
                <w:sz w:val="15"/>
              </w:rPr>
              <w:t>36,123,071</w:t>
            </w:r>
          </w:p>
        </w:tc>
        <w:tc>
          <w:tcPr>
            <w:tcW w:w="974" w:type="dxa"/>
            <w:tcBorders>
              <w:top w:val="single" w:sz="7" w:space="0" w:color="000000"/>
            </w:tcBorders>
          </w:tcPr>
          <w:p>
            <w:pPr>
              <w:pStyle w:val="TableParagraph"/>
              <w:rPr>
                <w:b/>
                <w:sz w:val="16"/>
              </w:rPr>
            </w:pPr>
          </w:p>
          <w:p>
            <w:pPr>
              <w:pStyle w:val="TableParagraph"/>
              <w:spacing w:before="1"/>
              <w:rPr>
                <w:b/>
                <w:sz w:val="19"/>
              </w:rPr>
            </w:pPr>
          </w:p>
          <w:p>
            <w:pPr>
              <w:pStyle w:val="TableParagraph"/>
              <w:ind w:left="112"/>
              <w:rPr>
                <w:sz w:val="15"/>
              </w:rPr>
            </w:pPr>
            <w:r>
              <w:rPr>
                <w:w w:val="105"/>
                <w:sz w:val="15"/>
              </w:rPr>
              <w:t>42,292,672</w:t>
            </w:r>
          </w:p>
        </w:tc>
      </w:tr>
      <w:tr>
        <w:trPr>
          <w:trHeight w:val="197" w:hRule="exact"/>
        </w:trPr>
        <w:tc>
          <w:tcPr>
            <w:tcW w:w="3925" w:type="dxa"/>
          </w:tcPr>
          <w:p>
            <w:pPr>
              <w:pStyle w:val="TableParagraph"/>
              <w:spacing w:before="6"/>
              <w:ind w:left="31"/>
              <w:rPr>
                <w:sz w:val="15"/>
              </w:rPr>
            </w:pPr>
            <w:r>
              <w:rPr>
                <w:w w:val="105"/>
                <w:sz w:val="15"/>
              </w:rPr>
              <w:t>Paid between 31-60 days</w:t>
            </w:r>
          </w:p>
        </w:tc>
        <w:tc>
          <w:tcPr>
            <w:tcW w:w="1768" w:type="dxa"/>
          </w:tcPr>
          <w:p>
            <w:pPr>
              <w:pStyle w:val="TableParagraph"/>
              <w:spacing w:before="6"/>
              <w:ind w:right="160"/>
              <w:jc w:val="right"/>
              <w:rPr>
                <w:sz w:val="15"/>
              </w:rPr>
            </w:pPr>
            <w:r>
              <w:rPr>
                <w:sz w:val="15"/>
              </w:rPr>
              <w:t>44,655,949</w:t>
            </w:r>
          </w:p>
        </w:tc>
        <w:tc>
          <w:tcPr>
            <w:tcW w:w="1056" w:type="dxa"/>
          </w:tcPr>
          <w:p>
            <w:pPr>
              <w:pStyle w:val="TableParagraph"/>
              <w:spacing w:before="6"/>
              <w:ind w:right="160"/>
              <w:jc w:val="right"/>
              <w:rPr>
                <w:sz w:val="15"/>
              </w:rPr>
            </w:pPr>
            <w:r>
              <w:rPr>
                <w:sz w:val="15"/>
              </w:rPr>
              <w:t>35,176,078</w:t>
            </w:r>
          </w:p>
        </w:tc>
        <w:tc>
          <w:tcPr>
            <w:tcW w:w="1056" w:type="dxa"/>
          </w:tcPr>
          <w:p>
            <w:pPr>
              <w:pStyle w:val="TableParagraph"/>
              <w:spacing w:before="6"/>
              <w:ind w:right="160"/>
              <w:jc w:val="right"/>
              <w:rPr>
                <w:sz w:val="15"/>
              </w:rPr>
            </w:pPr>
            <w:r>
              <w:rPr>
                <w:sz w:val="15"/>
              </w:rPr>
              <w:t>36,737,698</w:t>
            </w:r>
          </w:p>
        </w:tc>
        <w:tc>
          <w:tcPr>
            <w:tcW w:w="974" w:type="dxa"/>
          </w:tcPr>
          <w:p>
            <w:pPr>
              <w:pStyle w:val="TableParagraph"/>
              <w:spacing w:before="6"/>
              <w:ind w:left="112"/>
              <w:rPr>
                <w:sz w:val="15"/>
              </w:rPr>
            </w:pPr>
            <w:r>
              <w:rPr>
                <w:w w:val="105"/>
                <w:sz w:val="15"/>
              </w:rPr>
              <w:t>29,703,097</w:t>
            </w:r>
          </w:p>
        </w:tc>
      </w:tr>
      <w:tr>
        <w:trPr>
          <w:trHeight w:val="197" w:hRule="exact"/>
        </w:trPr>
        <w:tc>
          <w:tcPr>
            <w:tcW w:w="3925" w:type="dxa"/>
          </w:tcPr>
          <w:p>
            <w:pPr>
              <w:pStyle w:val="TableParagraph"/>
              <w:spacing w:before="6"/>
              <w:ind w:left="31"/>
              <w:rPr>
                <w:sz w:val="15"/>
              </w:rPr>
            </w:pPr>
            <w:r>
              <w:rPr>
                <w:w w:val="105"/>
                <w:sz w:val="15"/>
              </w:rPr>
              <w:t>Paid between 61-90 days</w:t>
            </w:r>
          </w:p>
        </w:tc>
        <w:tc>
          <w:tcPr>
            <w:tcW w:w="1768" w:type="dxa"/>
          </w:tcPr>
          <w:p>
            <w:pPr>
              <w:pStyle w:val="TableParagraph"/>
              <w:spacing w:before="6"/>
              <w:ind w:right="161"/>
              <w:jc w:val="right"/>
              <w:rPr>
                <w:sz w:val="15"/>
              </w:rPr>
            </w:pPr>
            <w:r>
              <w:rPr>
                <w:sz w:val="15"/>
              </w:rPr>
              <w:t>3,264,290</w:t>
            </w:r>
          </w:p>
        </w:tc>
        <w:tc>
          <w:tcPr>
            <w:tcW w:w="1056" w:type="dxa"/>
          </w:tcPr>
          <w:p>
            <w:pPr>
              <w:pStyle w:val="TableParagraph"/>
              <w:spacing w:before="6"/>
              <w:ind w:right="162"/>
              <w:jc w:val="right"/>
              <w:rPr>
                <w:sz w:val="15"/>
              </w:rPr>
            </w:pPr>
            <w:r>
              <w:rPr>
                <w:sz w:val="15"/>
              </w:rPr>
              <w:t>1,831,658</w:t>
            </w:r>
          </w:p>
        </w:tc>
        <w:tc>
          <w:tcPr>
            <w:tcW w:w="1056" w:type="dxa"/>
          </w:tcPr>
          <w:p>
            <w:pPr>
              <w:pStyle w:val="TableParagraph"/>
              <w:spacing w:before="6"/>
              <w:ind w:right="162"/>
              <w:jc w:val="right"/>
              <w:rPr>
                <w:sz w:val="15"/>
              </w:rPr>
            </w:pPr>
            <w:r>
              <w:rPr>
                <w:sz w:val="15"/>
              </w:rPr>
              <w:t>1,671,346</w:t>
            </w:r>
          </w:p>
        </w:tc>
        <w:tc>
          <w:tcPr>
            <w:tcW w:w="974" w:type="dxa"/>
          </w:tcPr>
          <w:p>
            <w:pPr>
              <w:pStyle w:val="TableParagraph"/>
              <w:spacing w:before="6"/>
              <w:ind w:left="328"/>
              <w:rPr>
                <w:sz w:val="15"/>
              </w:rPr>
            </w:pPr>
            <w:r>
              <w:rPr>
                <w:w w:val="105"/>
                <w:sz w:val="15"/>
              </w:rPr>
              <w:t>395,108</w:t>
            </w:r>
          </w:p>
        </w:tc>
      </w:tr>
      <w:tr>
        <w:trPr>
          <w:trHeight w:val="197" w:hRule="exact"/>
        </w:trPr>
        <w:tc>
          <w:tcPr>
            <w:tcW w:w="3925" w:type="dxa"/>
          </w:tcPr>
          <w:p>
            <w:pPr>
              <w:pStyle w:val="TableParagraph"/>
              <w:spacing w:before="6"/>
              <w:ind w:left="31"/>
              <w:rPr>
                <w:sz w:val="15"/>
              </w:rPr>
            </w:pPr>
            <w:r>
              <w:rPr>
                <w:w w:val="105"/>
                <w:sz w:val="15"/>
              </w:rPr>
              <w:t>Paid between 91-120 days</w:t>
            </w:r>
          </w:p>
        </w:tc>
        <w:tc>
          <w:tcPr>
            <w:tcW w:w="1768" w:type="dxa"/>
          </w:tcPr>
          <w:p>
            <w:pPr>
              <w:pStyle w:val="TableParagraph"/>
              <w:spacing w:before="6"/>
              <w:ind w:right="161"/>
              <w:jc w:val="right"/>
              <w:rPr>
                <w:sz w:val="15"/>
              </w:rPr>
            </w:pPr>
            <w:r>
              <w:rPr>
                <w:sz w:val="15"/>
              </w:rPr>
              <w:t>1,913,399</w:t>
            </w:r>
          </w:p>
        </w:tc>
        <w:tc>
          <w:tcPr>
            <w:tcW w:w="1056" w:type="dxa"/>
          </w:tcPr>
          <w:p>
            <w:pPr>
              <w:pStyle w:val="TableParagraph"/>
              <w:spacing w:before="6"/>
              <w:ind w:right="161"/>
              <w:jc w:val="right"/>
              <w:rPr>
                <w:sz w:val="15"/>
              </w:rPr>
            </w:pPr>
            <w:r>
              <w:rPr>
                <w:sz w:val="15"/>
              </w:rPr>
              <w:t>712,142</w:t>
            </w:r>
          </w:p>
        </w:tc>
        <w:tc>
          <w:tcPr>
            <w:tcW w:w="1056" w:type="dxa"/>
          </w:tcPr>
          <w:p>
            <w:pPr>
              <w:pStyle w:val="TableParagraph"/>
              <w:spacing w:before="6"/>
              <w:ind w:right="161"/>
              <w:jc w:val="right"/>
              <w:rPr>
                <w:sz w:val="15"/>
              </w:rPr>
            </w:pPr>
            <w:r>
              <w:rPr>
                <w:sz w:val="15"/>
              </w:rPr>
              <w:t>662,430</w:t>
            </w:r>
          </w:p>
        </w:tc>
        <w:tc>
          <w:tcPr>
            <w:tcW w:w="974" w:type="dxa"/>
          </w:tcPr>
          <w:p>
            <w:pPr>
              <w:pStyle w:val="TableParagraph"/>
              <w:spacing w:before="6"/>
              <w:ind w:right="80"/>
              <w:jc w:val="right"/>
              <w:rPr>
                <w:sz w:val="15"/>
              </w:rPr>
            </w:pPr>
            <w:r>
              <w:rPr>
                <w:sz w:val="15"/>
              </w:rPr>
              <w:t>7,401</w:t>
            </w:r>
          </w:p>
        </w:tc>
      </w:tr>
      <w:tr>
        <w:trPr>
          <w:trHeight w:val="197" w:hRule="exact"/>
        </w:trPr>
        <w:tc>
          <w:tcPr>
            <w:tcW w:w="3925" w:type="dxa"/>
          </w:tcPr>
          <w:p>
            <w:pPr>
              <w:pStyle w:val="TableParagraph"/>
              <w:spacing w:before="6"/>
              <w:ind w:left="31"/>
              <w:rPr>
                <w:sz w:val="15"/>
              </w:rPr>
            </w:pPr>
            <w:r>
              <w:rPr>
                <w:w w:val="105"/>
                <w:sz w:val="15"/>
              </w:rPr>
              <w:t>Paid more than 120 days</w:t>
            </w:r>
          </w:p>
        </w:tc>
        <w:tc>
          <w:tcPr>
            <w:tcW w:w="1768" w:type="dxa"/>
          </w:tcPr>
          <w:p>
            <w:pPr>
              <w:pStyle w:val="TableParagraph"/>
              <w:spacing w:before="6"/>
              <w:ind w:right="161"/>
              <w:jc w:val="right"/>
              <w:rPr>
                <w:sz w:val="15"/>
              </w:rPr>
            </w:pPr>
            <w:r>
              <w:rPr>
                <w:sz w:val="15"/>
              </w:rPr>
              <w:t>2,012,569</w:t>
            </w:r>
          </w:p>
        </w:tc>
        <w:tc>
          <w:tcPr>
            <w:tcW w:w="1056" w:type="dxa"/>
          </w:tcPr>
          <w:p>
            <w:pPr>
              <w:pStyle w:val="TableParagraph"/>
              <w:spacing w:before="6"/>
              <w:ind w:right="161"/>
              <w:jc w:val="right"/>
              <w:rPr>
                <w:sz w:val="15"/>
              </w:rPr>
            </w:pPr>
            <w:r>
              <w:rPr>
                <w:sz w:val="15"/>
              </w:rPr>
              <w:t>522,835</w:t>
            </w:r>
          </w:p>
        </w:tc>
        <w:tc>
          <w:tcPr>
            <w:tcW w:w="1056" w:type="dxa"/>
          </w:tcPr>
          <w:p>
            <w:pPr>
              <w:pStyle w:val="TableParagraph"/>
              <w:spacing w:before="6"/>
              <w:ind w:right="161"/>
              <w:jc w:val="right"/>
              <w:rPr>
                <w:sz w:val="15"/>
              </w:rPr>
            </w:pPr>
            <w:r>
              <w:rPr>
                <w:sz w:val="15"/>
              </w:rPr>
              <w:t>218,187</w:t>
            </w:r>
          </w:p>
        </w:tc>
        <w:tc>
          <w:tcPr>
            <w:tcW w:w="974" w:type="dxa"/>
          </w:tcPr>
          <w:p>
            <w:pPr>
              <w:pStyle w:val="TableParagraph"/>
              <w:spacing w:before="6"/>
              <w:ind w:right="255"/>
              <w:jc w:val="right"/>
              <w:rPr>
                <w:sz w:val="15"/>
              </w:rPr>
            </w:pPr>
            <w:r>
              <w:rPr>
                <w:w w:val="103"/>
                <w:sz w:val="15"/>
              </w:rPr>
              <w:t>-</w:t>
            </w:r>
          </w:p>
        </w:tc>
      </w:tr>
      <w:tr>
        <w:trPr>
          <w:trHeight w:val="294" w:hRule="exact"/>
        </w:trPr>
        <w:tc>
          <w:tcPr>
            <w:tcW w:w="3925" w:type="dxa"/>
          </w:tcPr>
          <w:p>
            <w:pPr>
              <w:pStyle w:val="TableParagraph"/>
              <w:spacing w:before="6"/>
              <w:ind w:left="31"/>
              <w:rPr>
                <w:b/>
                <w:sz w:val="15"/>
              </w:rPr>
            </w:pPr>
            <w:r>
              <w:rPr>
                <w:b/>
                <w:w w:val="105"/>
                <w:sz w:val="15"/>
              </w:rPr>
              <w:t>Total</w:t>
            </w:r>
          </w:p>
        </w:tc>
        <w:tc>
          <w:tcPr>
            <w:tcW w:w="1768" w:type="dxa"/>
          </w:tcPr>
          <w:p>
            <w:pPr>
              <w:pStyle w:val="TableParagraph"/>
              <w:spacing w:before="6"/>
              <w:ind w:right="160"/>
              <w:jc w:val="right"/>
              <w:rPr>
                <w:b/>
                <w:sz w:val="15"/>
              </w:rPr>
            </w:pPr>
            <w:r>
              <w:rPr>
                <w:b/>
                <w:sz w:val="15"/>
              </w:rPr>
              <w:t>96,135,358</w:t>
            </w:r>
          </w:p>
        </w:tc>
        <w:tc>
          <w:tcPr>
            <w:tcW w:w="1056" w:type="dxa"/>
          </w:tcPr>
          <w:p>
            <w:pPr>
              <w:pStyle w:val="TableParagraph"/>
              <w:spacing w:before="6"/>
              <w:ind w:right="160"/>
              <w:jc w:val="right"/>
              <w:rPr>
                <w:b/>
                <w:sz w:val="15"/>
              </w:rPr>
            </w:pPr>
            <w:r>
              <w:rPr>
                <w:b/>
                <w:sz w:val="15"/>
              </w:rPr>
              <w:t>72,676,258</w:t>
            </w:r>
          </w:p>
        </w:tc>
        <w:tc>
          <w:tcPr>
            <w:tcW w:w="1056" w:type="dxa"/>
          </w:tcPr>
          <w:p>
            <w:pPr>
              <w:pStyle w:val="TableParagraph"/>
              <w:spacing w:before="6"/>
              <w:ind w:right="160"/>
              <w:jc w:val="right"/>
              <w:rPr>
                <w:b/>
                <w:sz w:val="15"/>
              </w:rPr>
            </w:pPr>
            <w:r>
              <w:rPr>
                <w:b/>
                <w:sz w:val="15"/>
              </w:rPr>
              <w:t>75,412,733</w:t>
            </w:r>
          </w:p>
        </w:tc>
        <w:tc>
          <w:tcPr>
            <w:tcW w:w="974" w:type="dxa"/>
          </w:tcPr>
          <w:p>
            <w:pPr>
              <w:pStyle w:val="TableParagraph"/>
              <w:spacing w:before="6"/>
              <w:ind w:left="112"/>
              <w:rPr>
                <w:b/>
                <w:sz w:val="15"/>
              </w:rPr>
            </w:pPr>
            <w:r>
              <w:rPr>
                <w:b/>
                <w:w w:val="105"/>
                <w:sz w:val="15"/>
              </w:rPr>
              <w:t>72,398,277</w:t>
            </w:r>
          </w:p>
        </w:tc>
      </w:tr>
      <w:tr>
        <w:trPr>
          <w:trHeight w:val="505" w:hRule="exact"/>
        </w:trPr>
        <w:tc>
          <w:tcPr>
            <w:tcW w:w="3925" w:type="dxa"/>
          </w:tcPr>
          <w:p>
            <w:pPr>
              <w:pStyle w:val="TableParagraph"/>
              <w:spacing w:before="98"/>
              <w:ind w:left="33"/>
              <w:rPr>
                <w:b/>
                <w:sz w:val="17"/>
              </w:rPr>
            </w:pPr>
            <w:r>
              <w:rPr>
                <w:b/>
                <w:sz w:val="17"/>
              </w:rPr>
              <w:t>2. Accounts Paid on Time</w:t>
            </w:r>
          </w:p>
          <w:p>
            <w:pPr>
              <w:pStyle w:val="TableParagraph"/>
              <w:spacing w:before="20"/>
              <w:ind w:left="31"/>
              <w:rPr>
                <w:sz w:val="15"/>
              </w:rPr>
            </w:pPr>
            <w:r>
              <w:rPr>
                <w:w w:val="105"/>
                <w:sz w:val="15"/>
              </w:rPr>
              <w:t>Target percentage of accounts paid on time</w:t>
            </w:r>
          </w:p>
        </w:tc>
        <w:tc>
          <w:tcPr>
            <w:tcW w:w="1768" w:type="dxa"/>
          </w:tcPr>
          <w:p>
            <w:pPr>
              <w:pStyle w:val="TableParagraph"/>
              <w:rPr>
                <w:b/>
                <w:sz w:val="16"/>
              </w:rPr>
            </w:pPr>
          </w:p>
          <w:p>
            <w:pPr>
              <w:pStyle w:val="TableParagraph"/>
              <w:spacing w:before="130"/>
              <w:ind w:right="110"/>
              <w:jc w:val="right"/>
              <w:rPr>
                <w:sz w:val="15"/>
              </w:rPr>
            </w:pPr>
            <w:r>
              <w:rPr>
                <w:w w:val="105"/>
                <w:sz w:val="15"/>
              </w:rPr>
              <w:t>100.0%</w:t>
            </w:r>
          </w:p>
        </w:tc>
        <w:tc>
          <w:tcPr>
            <w:tcW w:w="1056" w:type="dxa"/>
          </w:tcPr>
          <w:p>
            <w:pPr>
              <w:pStyle w:val="TableParagraph"/>
              <w:rPr>
                <w:b/>
                <w:sz w:val="16"/>
              </w:rPr>
            </w:pPr>
          </w:p>
          <w:p>
            <w:pPr>
              <w:pStyle w:val="TableParagraph"/>
              <w:spacing w:before="130"/>
              <w:ind w:right="110"/>
              <w:jc w:val="right"/>
              <w:rPr>
                <w:sz w:val="15"/>
              </w:rPr>
            </w:pPr>
            <w:r>
              <w:rPr>
                <w:sz w:val="15"/>
              </w:rPr>
              <w:t>100.0%</w:t>
            </w:r>
          </w:p>
        </w:tc>
        <w:tc>
          <w:tcPr>
            <w:tcW w:w="1056" w:type="dxa"/>
          </w:tcPr>
          <w:p>
            <w:pPr>
              <w:pStyle w:val="TableParagraph"/>
              <w:rPr>
                <w:b/>
                <w:sz w:val="16"/>
              </w:rPr>
            </w:pPr>
          </w:p>
          <w:p>
            <w:pPr>
              <w:pStyle w:val="TableParagraph"/>
              <w:spacing w:before="130"/>
              <w:ind w:right="110"/>
              <w:jc w:val="right"/>
              <w:rPr>
                <w:sz w:val="15"/>
              </w:rPr>
            </w:pPr>
            <w:r>
              <w:rPr>
                <w:sz w:val="15"/>
              </w:rPr>
              <w:t>100.0%</w:t>
            </w:r>
          </w:p>
        </w:tc>
        <w:tc>
          <w:tcPr>
            <w:tcW w:w="974" w:type="dxa"/>
          </w:tcPr>
          <w:p>
            <w:pPr>
              <w:pStyle w:val="TableParagraph"/>
              <w:rPr>
                <w:b/>
                <w:sz w:val="16"/>
              </w:rPr>
            </w:pPr>
          </w:p>
          <w:p>
            <w:pPr>
              <w:pStyle w:val="TableParagraph"/>
              <w:spacing w:before="130"/>
              <w:ind w:right="28"/>
              <w:jc w:val="right"/>
              <w:rPr>
                <w:sz w:val="15"/>
              </w:rPr>
            </w:pPr>
            <w:r>
              <w:rPr>
                <w:sz w:val="15"/>
              </w:rPr>
              <w:t>100.0%</w:t>
            </w:r>
          </w:p>
        </w:tc>
      </w:tr>
      <w:tr>
        <w:trPr>
          <w:trHeight w:val="197" w:hRule="exact"/>
        </w:trPr>
        <w:tc>
          <w:tcPr>
            <w:tcW w:w="3925" w:type="dxa"/>
          </w:tcPr>
          <w:p>
            <w:pPr>
              <w:pStyle w:val="TableParagraph"/>
              <w:spacing w:before="6"/>
              <w:ind w:left="31"/>
              <w:rPr>
                <w:sz w:val="15"/>
              </w:rPr>
            </w:pPr>
            <w:r>
              <w:rPr>
                <w:w w:val="105"/>
                <w:sz w:val="15"/>
              </w:rPr>
              <w:t>Actual percentage of accounts paid on time</w:t>
            </w:r>
          </w:p>
        </w:tc>
        <w:tc>
          <w:tcPr>
            <w:tcW w:w="1768" w:type="dxa"/>
          </w:tcPr>
          <w:p>
            <w:pPr>
              <w:pStyle w:val="TableParagraph"/>
              <w:spacing w:before="6"/>
              <w:ind w:right="110"/>
              <w:jc w:val="right"/>
              <w:rPr>
                <w:sz w:val="15"/>
              </w:rPr>
            </w:pPr>
            <w:r>
              <w:rPr>
                <w:sz w:val="15"/>
              </w:rPr>
              <w:t>46.1%</w:t>
            </w:r>
          </w:p>
        </w:tc>
        <w:tc>
          <w:tcPr>
            <w:tcW w:w="1056" w:type="dxa"/>
          </w:tcPr>
          <w:p>
            <w:pPr>
              <w:pStyle w:val="TableParagraph"/>
              <w:spacing w:before="6"/>
              <w:ind w:right="110"/>
              <w:jc w:val="right"/>
              <w:rPr>
                <w:sz w:val="15"/>
              </w:rPr>
            </w:pPr>
            <w:r>
              <w:rPr>
                <w:sz w:val="15"/>
              </w:rPr>
              <w:t>47.4%</w:t>
            </w:r>
          </w:p>
        </w:tc>
        <w:tc>
          <w:tcPr>
            <w:tcW w:w="1056" w:type="dxa"/>
          </w:tcPr>
          <w:p>
            <w:pPr>
              <w:pStyle w:val="TableParagraph"/>
              <w:spacing w:before="6"/>
              <w:ind w:right="110"/>
              <w:jc w:val="right"/>
              <w:rPr>
                <w:sz w:val="15"/>
              </w:rPr>
            </w:pPr>
            <w:r>
              <w:rPr>
                <w:sz w:val="15"/>
              </w:rPr>
              <w:t>47.9%</w:t>
            </w:r>
          </w:p>
        </w:tc>
        <w:tc>
          <w:tcPr>
            <w:tcW w:w="974" w:type="dxa"/>
          </w:tcPr>
          <w:p>
            <w:pPr>
              <w:pStyle w:val="TableParagraph"/>
              <w:spacing w:before="6"/>
              <w:ind w:right="28"/>
              <w:jc w:val="right"/>
              <w:rPr>
                <w:sz w:val="15"/>
              </w:rPr>
            </w:pPr>
            <w:r>
              <w:rPr>
                <w:sz w:val="15"/>
              </w:rPr>
              <w:t>58.4%</w:t>
            </w:r>
          </w:p>
        </w:tc>
      </w:tr>
      <w:tr>
        <w:trPr>
          <w:trHeight w:val="197" w:hRule="exact"/>
        </w:trPr>
        <w:tc>
          <w:tcPr>
            <w:tcW w:w="3925" w:type="dxa"/>
          </w:tcPr>
          <w:p>
            <w:pPr>
              <w:pStyle w:val="TableParagraph"/>
              <w:spacing w:before="6"/>
              <w:ind w:left="31"/>
              <w:rPr>
                <w:sz w:val="15"/>
              </w:rPr>
            </w:pPr>
            <w:r>
              <w:rPr>
                <w:w w:val="105"/>
                <w:sz w:val="15"/>
              </w:rPr>
              <w:t>Total dollar amount of accounts paid on time</w:t>
            </w:r>
          </w:p>
        </w:tc>
        <w:tc>
          <w:tcPr>
            <w:tcW w:w="1768" w:type="dxa"/>
          </w:tcPr>
          <w:p>
            <w:pPr>
              <w:pStyle w:val="TableParagraph"/>
              <w:spacing w:before="6"/>
              <w:ind w:right="161"/>
              <w:jc w:val="right"/>
              <w:rPr>
                <w:sz w:val="15"/>
              </w:rPr>
            </w:pPr>
            <w:r>
              <w:rPr>
                <w:sz w:val="15"/>
              </w:rPr>
              <w:t>44,289,151</w:t>
            </w:r>
          </w:p>
        </w:tc>
        <w:tc>
          <w:tcPr>
            <w:tcW w:w="1056" w:type="dxa"/>
          </w:tcPr>
          <w:p>
            <w:pPr>
              <w:pStyle w:val="TableParagraph"/>
              <w:spacing w:before="6"/>
              <w:ind w:right="160"/>
              <w:jc w:val="right"/>
              <w:rPr>
                <w:sz w:val="15"/>
              </w:rPr>
            </w:pPr>
            <w:r>
              <w:rPr>
                <w:sz w:val="15"/>
              </w:rPr>
              <w:t>34,433,544</w:t>
            </w:r>
          </w:p>
        </w:tc>
        <w:tc>
          <w:tcPr>
            <w:tcW w:w="1056" w:type="dxa"/>
          </w:tcPr>
          <w:p>
            <w:pPr>
              <w:pStyle w:val="TableParagraph"/>
              <w:spacing w:before="6"/>
              <w:ind w:right="160"/>
              <w:jc w:val="right"/>
              <w:rPr>
                <w:sz w:val="15"/>
              </w:rPr>
            </w:pPr>
            <w:r>
              <w:rPr>
                <w:sz w:val="15"/>
              </w:rPr>
              <w:t>36,123,071</w:t>
            </w:r>
          </w:p>
        </w:tc>
        <w:tc>
          <w:tcPr>
            <w:tcW w:w="974" w:type="dxa"/>
          </w:tcPr>
          <w:p>
            <w:pPr>
              <w:pStyle w:val="TableParagraph"/>
              <w:spacing w:before="6"/>
              <w:ind w:left="112"/>
              <w:rPr>
                <w:sz w:val="15"/>
              </w:rPr>
            </w:pPr>
            <w:r>
              <w:rPr>
                <w:w w:val="105"/>
                <w:sz w:val="15"/>
              </w:rPr>
              <w:t>42,292,672</w:t>
            </w:r>
          </w:p>
        </w:tc>
      </w:tr>
      <w:tr>
        <w:trPr>
          <w:trHeight w:val="276" w:hRule="exact"/>
        </w:trPr>
        <w:tc>
          <w:tcPr>
            <w:tcW w:w="3925" w:type="dxa"/>
          </w:tcPr>
          <w:p>
            <w:pPr>
              <w:pStyle w:val="TableParagraph"/>
              <w:spacing w:before="6"/>
              <w:ind w:left="30"/>
              <w:rPr>
                <w:b/>
                <w:sz w:val="15"/>
              </w:rPr>
            </w:pPr>
            <w:r>
              <w:rPr>
                <w:b/>
                <w:w w:val="105"/>
                <w:sz w:val="15"/>
              </w:rPr>
              <w:t>Total dollar amount of accounts paid</w:t>
            </w:r>
          </w:p>
        </w:tc>
        <w:tc>
          <w:tcPr>
            <w:tcW w:w="1768" w:type="dxa"/>
          </w:tcPr>
          <w:p>
            <w:pPr>
              <w:pStyle w:val="TableParagraph"/>
              <w:spacing w:before="6"/>
              <w:ind w:right="160"/>
              <w:jc w:val="right"/>
              <w:rPr>
                <w:b/>
                <w:sz w:val="15"/>
              </w:rPr>
            </w:pPr>
            <w:r>
              <w:rPr>
                <w:b/>
                <w:sz w:val="15"/>
              </w:rPr>
              <w:t>96,135,358</w:t>
            </w:r>
          </w:p>
        </w:tc>
        <w:tc>
          <w:tcPr>
            <w:tcW w:w="1056" w:type="dxa"/>
          </w:tcPr>
          <w:p>
            <w:pPr>
              <w:pStyle w:val="TableParagraph"/>
              <w:spacing w:before="6"/>
              <w:ind w:right="161"/>
              <w:jc w:val="right"/>
              <w:rPr>
                <w:b/>
                <w:sz w:val="15"/>
              </w:rPr>
            </w:pPr>
            <w:r>
              <w:rPr>
                <w:b/>
                <w:sz w:val="15"/>
              </w:rPr>
              <w:t>72,676,258</w:t>
            </w:r>
          </w:p>
        </w:tc>
        <w:tc>
          <w:tcPr>
            <w:tcW w:w="1056" w:type="dxa"/>
          </w:tcPr>
          <w:p>
            <w:pPr>
              <w:pStyle w:val="TableParagraph"/>
              <w:spacing w:before="6"/>
              <w:ind w:right="161"/>
              <w:jc w:val="right"/>
              <w:rPr>
                <w:b/>
                <w:sz w:val="15"/>
              </w:rPr>
            </w:pPr>
            <w:r>
              <w:rPr>
                <w:b/>
                <w:sz w:val="15"/>
              </w:rPr>
              <w:t>75,412,733</w:t>
            </w:r>
          </w:p>
        </w:tc>
        <w:tc>
          <w:tcPr>
            <w:tcW w:w="974" w:type="dxa"/>
          </w:tcPr>
          <w:p>
            <w:pPr>
              <w:pStyle w:val="TableParagraph"/>
              <w:spacing w:before="6"/>
              <w:ind w:left="112"/>
              <w:rPr>
                <w:b/>
                <w:sz w:val="15"/>
              </w:rPr>
            </w:pPr>
            <w:r>
              <w:rPr>
                <w:b/>
                <w:w w:val="105"/>
                <w:sz w:val="15"/>
              </w:rPr>
              <w:t>72,398,277</w:t>
            </w:r>
          </w:p>
        </w:tc>
      </w:tr>
    </w:tbl>
    <w:p>
      <w:pPr>
        <w:pStyle w:val="BodyText"/>
        <w:spacing w:before="9"/>
        <w:rPr>
          <w:b/>
          <w:sz w:val="6"/>
        </w:rPr>
      </w:pPr>
    </w:p>
    <w:p>
      <w:pPr>
        <w:spacing w:line="273" w:lineRule="auto" w:before="86"/>
        <w:ind w:left="146" w:right="451" w:firstLine="0"/>
        <w:jc w:val="both"/>
        <w:rPr>
          <w:sz w:val="15"/>
        </w:rPr>
      </w:pPr>
      <w:r>
        <w:rPr>
          <w:w w:val="105"/>
          <w:sz w:val="15"/>
        </w:rPr>
        <w:t>The University's accepted practice is to pay accounts 30 days from the date of recognition. The University endevaours to pay all accounts on time but recognises that account queries can lead to the payment of invoices outside the normal terms of trade. In some instances the receipt of acquittals from decentralised campuses for such payments may also delay the payment process.</w:t>
      </w:r>
    </w:p>
    <w:p>
      <w:pPr>
        <w:spacing w:before="1"/>
        <w:ind w:left="146" w:right="0" w:firstLine="0"/>
        <w:jc w:val="both"/>
        <w:rPr>
          <w:sz w:val="15"/>
        </w:rPr>
      </w:pPr>
      <w:r>
        <w:rPr>
          <w:w w:val="105"/>
          <w:sz w:val="15"/>
        </w:rPr>
        <w:t>No interest was paid on overdue accounts.</w:t>
      </w:r>
    </w:p>
    <w:p>
      <w:pPr>
        <w:pStyle w:val="BodyText"/>
        <w:rPr>
          <w:sz w:val="20"/>
        </w:rPr>
      </w:pPr>
    </w:p>
    <w:p>
      <w:pPr>
        <w:pStyle w:val="Heading4"/>
        <w:spacing w:before="185"/>
      </w:pPr>
      <w:r>
        <w:rPr/>
        <w:t>Investment</w:t>
      </w:r>
      <w:r>
        <w:rPr>
          <w:spacing w:val="69"/>
        </w:rPr>
        <w:t> </w:t>
      </w:r>
      <w:r>
        <w:rPr/>
        <w:t>Performance</w:t>
      </w:r>
    </w:p>
    <w:p>
      <w:pPr>
        <w:pStyle w:val="BodyText"/>
        <w:rPr>
          <w:b/>
          <w:sz w:val="20"/>
        </w:rPr>
      </w:pPr>
    </w:p>
    <w:p>
      <w:pPr>
        <w:pStyle w:val="BodyText"/>
        <w:spacing w:before="1"/>
        <w:rPr>
          <w:b/>
          <w:sz w:val="22"/>
        </w:rPr>
      </w:pPr>
    </w:p>
    <w:p>
      <w:pPr>
        <w:spacing w:line="273" w:lineRule="auto" w:before="0"/>
        <w:ind w:left="146" w:right="247" w:firstLine="0"/>
        <w:jc w:val="left"/>
        <w:rPr>
          <w:sz w:val="15"/>
        </w:rPr>
      </w:pPr>
      <w:r>
        <w:rPr>
          <w:w w:val="105"/>
          <w:sz w:val="15"/>
        </w:rPr>
        <w:t>The University of Western Sydney invests its surplus funds with New South Wales Treasury Corporation Ltd (T-Corp) and Acadian Australian Equity High Yield Fund. A comparison of the performance during 2012 of its surplus investment funds with the benchmarks determined in accordance with the requirements of the Annual reporting legislation is set out below:</w:t>
      </w:r>
    </w:p>
    <w:p>
      <w:pPr>
        <w:pStyle w:val="BodyText"/>
        <w:spacing w:before="9"/>
        <w:rPr>
          <w:sz w:val="13"/>
        </w:rPr>
      </w:pPr>
    </w:p>
    <w:p>
      <w:pPr>
        <w:tabs>
          <w:tab w:pos="7094" w:val="left" w:leader="none"/>
          <w:tab w:pos="7857" w:val="left" w:leader="none"/>
        </w:tabs>
        <w:spacing w:before="75" w:after="12"/>
        <w:ind w:left="151" w:right="0" w:firstLine="0"/>
        <w:jc w:val="left"/>
        <w:rPr>
          <w:b/>
          <w:sz w:val="19"/>
        </w:rPr>
      </w:pPr>
      <w:r>
        <w:rPr>
          <w:b/>
          <w:sz w:val="19"/>
        </w:rPr>
        <w:t>2012 Investment Performance as an Annual</w:t>
      </w:r>
      <w:r>
        <w:rPr>
          <w:b/>
          <w:spacing w:val="-15"/>
          <w:sz w:val="19"/>
        </w:rPr>
        <w:t> </w:t>
      </w:r>
      <w:r>
        <w:rPr>
          <w:b/>
          <w:sz w:val="19"/>
        </w:rPr>
        <w:t>Compound</w:t>
      </w:r>
      <w:r>
        <w:rPr>
          <w:b/>
          <w:spacing w:val="-3"/>
          <w:sz w:val="19"/>
        </w:rPr>
        <w:t> </w:t>
      </w:r>
      <w:r>
        <w:rPr>
          <w:b/>
          <w:sz w:val="19"/>
        </w:rPr>
        <w:t>Percentage</w:t>
        <w:tab/>
        <w:t>UWS</w:t>
        <w:tab/>
        <w:t>Benchmark</w:t>
      </w:r>
    </w:p>
    <w:p>
      <w:pPr>
        <w:pStyle w:val="BodyText"/>
        <w:spacing w:line="20" w:lineRule="exact"/>
        <w:ind w:left="106"/>
        <w:rPr>
          <w:sz w:val="2"/>
        </w:rPr>
      </w:pPr>
      <w:r>
        <w:rPr>
          <w:sz w:val="2"/>
        </w:rPr>
        <w:pict>
          <v:group style="width:439.85pt;height:.85pt;mso-position-horizontal-relative:char;mso-position-vertical-relative:line" coordorigin="0,0" coordsize="8797,17">
            <v:line style="position:absolute" from="9,9" to="8788,9" stroked="true" strokeweight=".84pt" strokecolor="#000000"/>
          </v:group>
        </w:pict>
      </w:r>
      <w:r>
        <w:rPr>
          <w:sz w:val="2"/>
        </w:rPr>
      </w:r>
    </w:p>
    <w:p>
      <w:pPr>
        <w:pStyle w:val="ListParagraph"/>
        <w:numPr>
          <w:ilvl w:val="1"/>
          <w:numId w:val="142"/>
        </w:numPr>
        <w:tabs>
          <w:tab w:pos="408" w:val="left" w:leader="none"/>
          <w:tab w:pos="7365" w:val="left" w:leader="none"/>
          <w:tab w:pos="8421" w:val="left" w:leader="none"/>
        </w:tabs>
        <w:spacing w:line="240" w:lineRule="auto" w:before="0" w:after="0"/>
        <w:ind w:left="407" w:right="0" w:hanging="261"/>
        <w:jc w:val="left"/>
        <w:rPr>
          <w:sz w:val="15"/>
        </w:rPr>
      </w:pPr>
      <w:r>
        <w:rPr>
          <w:w w:val="105"/>
          <w:sz w:val="15"/>
        </w:rPr>
        <w:t>orp</w:t>
      </w:r>
      <w:r>
        <w:rPr>
          <w:spacing w:val="-4"/>
          <w:w w:val="105"/>
          <w:sz w:val="15"/>
        </w:rPr>
        <w:t> </w:t>
      </w:r>
      <w:r>
        <w:rPr>
          <w:w w:val="105"/>
          <w:sz w:val="15"/>
        </w:rPr>
        <w:t>Cash</w:t>
      </w:r>
      <w:r>
        <w:rPr>
          <w:spacing w:val="-4"/>
          <w:w w:val="105"/>
          <w:sz w:val="15"/>
        </w:rPr>
        <w:t> </w:t>
      </w:r>
      <w:r>
        <w:rPr>
          <w:w w:val="105"/>
          <w:sz w:val="15"/>
        </w:rPr>
        <w:t>Facility</w:t>
        <w:tab/>
        <w:t>4.42%</w:t>
        <w:tab/>
        <w:t>3.97%</w:t>
      </w:r>
    </w:p>
    <w:p>
      <w:pPr>
        <w:tabs>
          <w:tab w:pos="7346" w:val="right" w:leader="none"/>
        </w:tabs>
        <w:spacing w:before="36"/>
        <w:ind w:left="146" w:right="0" w:firstLine="0"/>
        <w:jc w:val="left"/>
        <w:rPr>
          <w:sz w:val="10"/>
        </w:rPr>
      </w:pPr>
      <w:r>
        <w:rPr>
          <w:w w:val="105"/>
          <w:sz w:val="15"/>
        </w:rPr>
        <w:t>Acadian Australian Equity High</w:t>
      </w:r>
      <w:r>
        <w:rPr>
          <w:spacing w:val="-6"/>
          <w:w w:val="105"/>
          <w:sz w:val="15"/>
        </w:rPr>
        <w:t> </w:t>
      </w:r>
      <w:r>
        <w:rPr>
          <w:w w:val="105"/>
          <w:sz w:val="15"/>
        </w:rPr>
        <w:t>Yield</w:t>
      </w:r>
      <w:r>
        <w:rPr>
          <w:spacing w:val="-2"/>
          <w:w w:val="105"/>
          <w:sz w:val="15"/>
        </w:rPr>
        <w:t> </w:t>
      </w:r>
      <w:r>
        <w:rPr>
          <w:w w:val="105"/>
          <w:sz w:val="15"/>
        </w:rPr>
        <w:t>Fund</w:t>
      </w:r>
      <w:r>
        <w:rPr>
          <w:w w:val="105"/>
          <w:position w:val="-2"/>
          <w:sz w:val="10"/>
        </w:rPr>
        <w:tab/>
        <w:t>1</w:t>
      </w:r>
    </w:p>
    <w:p>
      <w:pPr>
        <w:spacing w:line="273" w:lineRule="auto" w:before="331"/>
        <w:ind w:left="146" w:right="455" w:hanging="1"/>
        <w:jc w:val="both"/>
        <w:rPr>
          <w:sz w:val="15"/>
        </w:rPr>
      </w:pPr>
      <w:r>
        <w:rPr>
          <w:w w:val="105"/>
          <w:sz w:val="12"/>
        </w:rPr>
        <w:t>1 </w:t>
      </w:r>
      <w:r>
        <w:rPr>
          <w:w w:val="105"/>
          <w:sz w:val="15"/>
        </w:rPr>
        <w:t>The Acadian Australian Equity High Yield fund's inception date is 29 August 2012. The Group started its investments in this fund on the same date. Given the short life so far of this fund and how it's performance can be affected either positively or negatively by short term and possibly abnormal fluctuations in the Australian equity market, it is considered misleading at this stage to recalculate and declare the fund's performance since inception of 7.45% as an annualised average interest rate.</w:t>
      </w:r>
    </w:p>
    <w:p>
      <w:pPr>
        <w:spacing w:line="273" w:lineRule="auto" w:before="382"/>
        <w:ind w:left="146" w:right="455" w:firstLine="0"/>
        <w:jc w:val="both"/>
        <w:rPr>
          <w:sz w:val="15"/>
        </w:rPr>
      </w:pPr>
      <w:r>
        <w:rPr>
          <w:w w:val="105"/>
          <w:sz w:val="15"/>
        </w:rPr>
        <w:t>The investment of funds in different facilities is based upon the underlying nature of the funds available for investment (e.g. Cash Facility - surplus working funds, Acadian Fund - core elements of working funds, including Long Service Leave Payments).</w:t>
      </w:r>
    </w:p>
    <w:p>
      <w:pPr>
        <w:spacing w:after="0" w:line="273" w:lineRule="auto"/>
        <w:jc w:val="both"/>
        <w:rPr>
          <w:sz w:val="15"/>
        </w:rPr>
        <w:sectPr>
          <w:headerReference w:type="default" r:id="rId281"/>
          <w:footerReference w:type="default" r:id="rId282"/>
          <w:pgSz w:w="11910" w:h="16840"/>
          <w:pgMar w:header="0" w:footer="507" w:top="1020" w:bottom="700" w:left="900" w:right="1680"/>
          <w:pgNumType w:start="294"/>
        </w:sectPr>
      </w:pPr>
    </w:p>
    <w:p>
      <w:pPr>
        <w:pStyle w:val="BodyText"/>
        <w:rPr>
          <w:sz w:val="28"/>
        </w:rPr>
      </w:pPr>
    </w:p>
    <w:p>
      <w:pPr>
        <w:spacing w:before="208"/>
        <w:ind w:left="140" w:right="653" w:firstLine="0"/>
        <w:jc w:val="left"/>
        <w:rPr>
          <w:b/>
          <w:sz w:val="28"/>
        </w:rPr>
      </w:pPr>
      <w:r>
        <w:rPr>
          <w:b/>
          <w:color w:val="0D0D0D"/>
          <w:sz w:val="28"/>
        </w:rPr>
        <w:t>Television Sydney (TVS) Ltd</w:t>
      </w:r>
    </w:p>
    <w:p>
      <w:pPr>
        <w:pStyle w:val="BodyText"/>
        <w:spacing w:line="207" w:lineRule="exact" w:before="206"/>
        <w:ind w:left="140" w:right="6648"/>
      </w:pPr>
      <w:r>
        <w:rPr>
          <w:u w:val="single"/>
        </w:rPr>
        <w:t>Principal Objectives</w:t>
      </w:r>
    </w:p>
    <w:p>
      <w:pPr>
        <w:pStyle w:val="BodyText"/>
        <w:ind w:left="139" w:right="317"/>
      </w:pPr>
      <w:r>
        <w:rPr/>
        <w:t>Television Sydney (TVS) Ltd is a not-for-profit Community Television Station which seeks to engage community involvement in content production and programming while developing opportunities for students in the areas of media production, design, visual communication and journalism training and internships. In partnership with the University of Western Sydney, TVS showcases the research and engaged learning outcomes of students and academics at UWS.</w:t>
      </w:r>
    </w:p>
    <w:p>
      <w:pPr>
        <w:pStyle w:val="BodyText"/>
      </w:pPr>
    </w:p>
    <w:p>
      <w:pPr>
        <w:pStyle w:val="BodyText"/>
        <w:ind w:left="139" w:right="653"/>
      </w:pPr>
      <w:r>
        <w:rPr>
          <w:u w:val="single"/>
        </w:rPr>
        <w:t>Principal Activities and Strategic Projects</w:t>
      </w:r>
    </w:p>
    <w:p>
      <w:pPr>
        <w:pStyle w:val="BodyText"/>
        <w:spacing w:line="207" w:lineRule="exact"/>
        <w:ind w:left="185" w:right="653"/>
      </w:pPr>
      <w:r>
        <w:rPr>
          <w:color w:val="0D0D0D"/>
        </w:rPr>
        <w:t>The principal activities of the company include:</w:t>
      </w:r>
    </w:p>
    <w:p>
      <w:pPr>
        <w:pStyle w:val="ListParagraph"/>
        <w:numPr>
          <w:ilvl w:val="2"/>
          <w:numId w:val="142"/>
        </w:numPr>
        <w:tabs>
          <w:tab w:pos="906" w:val="left" w:leader="none"/>
        </w:tabs>
        <w:spacing w:line="240" w:lineRule="auto" w:before="0" w:after="0"/>
        <w:ind w:left="905" w:right="344" w:hanging="360"/>
        <w:jc w:val="left"/>
        <w:rPr>
          <w:sz w:val="18"/>
        </w:rPr>
      </w:pPr>
      <w:r>
        <w:rPr>
          <w:color w:val="0D0D0D"/>
          <w:sz w:val="18"/>
        </w:rPr>
        <w:t>Maintaining a community television license in Western Sydney and providing programs relevant to the people of the Sydney broadcast</w:t>
      </w:r>
      <w:r>
        <w:rPr>
          <w:color w:val="0D0D0D"/>
          <w:spacing w:val="-20"/>
          <w:sz w:val="18"/>
        </w:rPr>
        <w:t> </w:t>
      </w:r>
      <w:r>
        <w:rPr>
          <w:color w:val="0D0D0D"/>
          <w:sz w:val="18"/>
        </w:rPr>
        <w:t>area.</w:t>
      </w:r>
    </w:p>
    <w:p>
      <w:pPr>
        <w:pStyle w:val="ListParagraph"/>
        <w:numPr>
          <w:ilvl w:val="2"/>
          <w:numId w:val="142"/>
        </w:numPr>
        <w:tabs>
          <w:tab w:pos="906" w:val="left" w:leader="none"/>
        </w:tabs>
        <w:spacing w:line="219" w:lineRule="exact" w:before="0" w:after="0"/>
        <w:ind w:left="905" w:right="0" w:hanging="360"/>
        <w:jc w:val="left"/>
        <w:rPr>
          <w:sz w:val="18"/>
        </w:rPr>
      </w:pPr>
      <w:r>
        <w:rPr>
          <w:color w:val="0D0D0D"/>
          <w:sz w:val="18"/>
        </w:rPr>
        <w:t>Promoting</w:t>
      </w:r>
      <w:r>
        <w:rPr>
          <w:color w:val="0D0D0D"/>
          <w:spacing w:val="-6"/>
          <w:sz w:val="18"/>
        </w:rPr>
        <w:t> </w:t>
      </w:r>
      <w:r>
        <w:rPr>
          <w:color w:val="0D0D0D"/>
          <w:sz w:val="18"/>
        </w:rPr>
        <w:t>the</w:t>
      </w:r>
      <w:r>
        <w:rPr>
          <w:color w:val="0D0D0D"/>
          <w:spacing w:val="-6"/>
          <w:sz w:val="18"/>
        </w:rPr>
        <w:t> </w:t>
      </w:r>
      <w:r>
        <w:rPr>
          <w:color w:val="0D0D0D"/>
          <w:sz w:val="18"/>
        </w:rPr>
        <w:t>provision</w:t>
      </w:r>
      <w:r>
        <w:rPr>
          <w:color w:val="0D0D0D"/>
          <w:spacing w:val="-6"/>
          <w:sz w:val="18"/>
        </w:rPr>
        <w:t> </w:t>
      </w:r>
      <w:r>
        <w:rPr>
          <w:color w:val="0D0D0D"/>
          <w:sz w:val="18"/>
        </w:rPr>
        <w:t>of</w:t>
      </w:r>
      <w:r>
        <w:rPr>
          <w:color w:val="0D0D0D"/>
          <w:spacing w:val="-6"/>
          <w:sz w:val="18"/>
        </w:rPr>
        <w:t> </w:t>
      </w:r>
      <w:r>
        <w:rPr>
          <w:color w:val="0D0D0D"/>
          <w:sz w:val="18"/>
        </w:rPr>
        <w:t>programs</w:t>
      </w:r>
      <w:r>
        <w:rPr>
          <w:color w:val="0D0D0D"/>
          <w:spacing w:val="-4"/>
          <w:sz w:val="18"/>
        </w:rPr>
        <w:t> </w:t>
      </w:r>
      <w:r>
        <w:rPr>
          <w:color w:val="0D0D0D"/>
          <w:sz w:val="18"/>
        </w:rPr>
        <w:t>with</w:t>
      </w:r>
      <w:r>
        <w:rPr>
          <w:color w:val="0D0D0D"/>
          <w:spacing w:val="-7"/>
          <w:sz w:val="18"/>
        </w:rPr>
        <w:t> </w:t>
      </w:r>
      <w:r>
        <w:rPr>
          <w:color w:val="0D0D0D"/>
          <w:sz w:val="18"/>
        </w:rPr>
        <w:t>Australian</w:t>
      </w:r>
      <w:r>
        <w:rPr>
          <w:color w:val="0D0D0D"/>
          <w:spacing w:val="-6"/>
          <w:sz w:val="18"/>
        </w:rPr>
        <w:t> </w:t>
      </w:r>
      <w:r>
        <w:rPr>
          <w:color w:val="0D0D0D"/>
          <w:sz w:val="18"/>
        </w:rPr>
        <w:t>content.</w:t>
      </w:r>
    </w:p>
    <w:p>
      <w:pPr>
        <w:pStyle w:val="ListParagraph"/>
        <w:numPr>
          <w:ilvl w:val="2"/>
          <w:numId w:val="142"/>
        </w:numPr>
        <w:tabs>
          <w:tab w:pos="906" w:val="left" w:leader="none"/>
        </w:tabs>
        <w:spacing w:line="240" w:lineRule="auto" w:before="0" w:after="0"/>
        <w:ind w:left="905" w:right="184" w:hanging="360"/>
        <w:jc w:val="left"/>
        <w:rPr>
          <w:sz w:val="18"/>
        </w:rPr>
      </w:pPr>
      <w:r>
        <w:rPr>
          <w:color w:val="0D0D0D"/>
          <w:sz w:val="18"/>
        </w:rPr>
        <w:t>Promoting the provision of culturally relevant programs (including without limitation programs relevant to people of non-English speaking backgrounds and programs relevant to Aborigines and Torres Strait Islanders).</w:t>
      </w:r>
    </w:p>
    <w:p>
      <w:pPr>
        <w:pStyle w:val="ListParagraph"/>
        <w:numPr>
          <w:ilvl w:val="2"/>
          <w:numId w:val="142"/>
        </w:numPr>
        <w:tabs>
          <w:tab w:pos="906" w:val="left" w:leader="none"/>
        </w:tabs>
        <w:spacing w:line="219" w:lineRule="exact" w:before="0" w:after="0"/>
        <w:ind w:left="905" w:right="0" w:hanging="360"/>
        <w:jc w:val="left"/>
        <w:rPr>
          <w:sz w:val="18"/>
        </w:rPr>
      </w:pPr>
      <w:r>
        <w:rPr>
          <w:color w:val="0D0D0D"/>
          <w:sz w:val="18"/>
        </w:rPr>
        <w:t>Providing</w:t>
      </w:r>
      <w:r>
        <w:rPr>
          <w:color w:val="0D0D0D"/>
          <w:spacing w:val="-5"/>
          <w:sz w:val="18"/>
        </w:rPr>
        <w:t> </w:t>
      </w:r>
      <w:r>
        <w:rPr>
          <w:color w:val="0D0D0D"/>
          <w:sz w:val="18"/>
        </w:rPr>
        <w:t>opportunities</w:t>
      </w:r>
      <w:r>
        <w:rPr>
          <w:color w:val="0D0D0D"/>
          <w:spacing w:val="-5"/>
          <w:sz w:val="18"/>
        </w:rPr>
        <w:t> </w:t>
      </w:r>
      <w:r>
        <w:rPr>
          <w:color w:val="0D0D0D"/>
          <w:sz w:val="18"/>
        </w:rPr>
        <w:t>for</w:t>
      </w:r>
      <w:r>
        <w:rPr>
          <w:color w:val="0D0D0D"/>
          <w:spacing w:val="-5"/>
          <w:sz w:val="18"/>
        </w:rPr>
        <w:t> </w:t>
      </w:r>
      <w:r>
        <w:rPr>
          <w:color w:val="0D0D0D"/>
          <w:sz w:val="18"/>
        </w:rPr>
        <w:t>the</w:t>
      </w:r>
      <w:r>
        <w:rPr>
          <w:color w:val="0D0D0D"/>
          <w:spacing w:val="-4"/>
          <w:sz w:val="18"/>
        </w:rPr>
        <w:t> </w:t>
      </w:r>
      <w:r>
        <w:rPr>
          <w:color w:val="0D0D0D"/>
          <w:sz w:val="18"/>
        </w:rPr>
        <w:t>broadcast</w:t>
      </w:r>
      <w:r>
        <w:rPr>
          <w:color w:val="0D0D0D"/>
          <w:spacing w:val="-5"/>
          <w:sz w:val="18"/>
        </w:rPr>
        <w:t> </w:t>
      </w:r>
      <w:r>
        <w:rPr>
          <w:color w:val="0D0D0D"/>
          <w:sz w:val="18"/>
        </w:rPr>
        <w:t>of</w:t>
      </w:r>
      <w:r>
        <w:rPr>
          <w:color w:val="0D0D0D"/>
          <w:spacing w:val="-5"/>
          <w:sz w:val="18"/>
        </w:rPr>
        <w:t> </w:t>
      </w:r>
      <w:r>
        <w:rPr>
          <w:color w:val="0D0D0D"/>
          <w:sz w:val="18"/>
        </w:rPr>
        <w:t>programs</w:t>
      </w:r>
      <w:r>
        <w:rPr>
          <w:color w:val="0D0D0D"/>
          <w:spacing w:val="-5"/>
          <w:sz w:val="18"/>
        </w:rPr>
        <w:t> </w:t>
      </w:r>
      <w:r>
        <w:rPr>
          <w:color w:val="0D0D0D"/>
          <w:sz w:val="18"/>
        </w:rPr>
        <w:t>produced</w:t>
      </w:r>
      <w:r>
        <w:rPr>
          <w:color w:val="0D0D0D"/>
          <w:spacing w:val="-5"/>
          <w:sz w:val="18"/>
        </w:rPr>
        <w:t> </w:t>
      </w:r>
      <w:r>
        <w:rPr>
          <w:color w:val="0D0D0D"/>
          <w:sz w:val="18"/>
        </w:rPr>
        <w:t>by</w:t>
      </w:r>
      <w:r>
        <w:rPr>
          <w:color w:val="0D0D0D"/>
          <w:spacing w:val="-6"/>
          <w:sz w:val="18"/>
        </w:rPr>
        <w:t> </w:t>
      </w:r>
      <w:r>
        <w:rPr>
          <w:color w:val="0D0D0D"/>
          <w:sz w:val="18"/>
        </w:rPr>
        <w:t>community</w:t>
      </w:r>
      <w:r>
        <w:rPr>
          <w:color w:val="0D0D0D"/>
          <w:spacing w:val="-6"/>
          <w:sz w:val="18"/>
        </w:rPr>
        <w:t> </w:t>
      </w:r>
      <w:r>
        <w:rPr>
          <w:color w:val="0D0D0D"/>
          <w:sz w:val="18"/>
        </w:rPr>
        <w:t>groups</w:t>
      </w:r>
      <w:r>
        <w:rPr>
          <w:color w:val="0D0D0D"/>
          <w:spacing w:val="-5"/>
          <w:sz w:val="18"/>
        </w:rPr>
        <w:t> </w:t>
      </w:r>
      <w:r>
        <w:rPr>
          <w:color w:val="0D0D0D"/>
          <w:sz w:val="18"/>
        </w:rPr>
        <w:t>and</w:t>
      </w:r>
      <w:r>
        <w:rPr>
          <w:color w:val="0D0D0D"/>
          <w:spacing w:val="-5"/>
          <w:sz w:val="18"/>
        </w:rPr>
        <w:t> </w:t>
      </w:r>
      <w:r>
        <w:rPr>
          <w:color w:val="0D0D0D"/>
          <w:sz w:val="18"/>
        </w:rPr>
        <w:t>students.</w:t>
      </w:r>
    </w:p>
    <w:p>
      <w:pPr>
        <w:pStyle w:val="ListParagraph"/>
        <w:numPr>
          <w:ilvl w:val="2"/>
          <w:numId w:val="142"/>
        </w:numPr>
        <w:tabs>
          <w:tab w:pos="906" w:val="left" w:leader="none"/>
        </w:tabs>
        <w:spacing w:line="240" w:lineRule="auto" w:before="0" w:after="0"/>
        <w:ind w:left="905" w:right="161" w:hanging="360"/>
        <w:jc w:val="left"/>
        <w:rPr>
          <w:sz w:val="18"/>
        </w:rPr>
      </w:pPr>
      <w:r>
        <w:rPr>
          <w:color w:val="0D0D0D"/>
          <w:sz w:val="18"/>
        </w:rPr>
        <w:t>Providing television industry training opportunities for community groups and students within the Sydney community.</w:t>
      </w:r>
    </w:p>
    <w:p>
      <w:pPr>
        <w:pStyle w:val="BodyText"/>
      </w:pPr>
    </w:p>
    <w:p>
      <w:pPr>
        <w:pStyle w:val="BodyText"/>
        <w:ind w:left="185" w:right="720"/>
      </w:pPr>
      <w:r>
        <w:rPr>
          <w:color w:val="0D0D0D"/>
        </w:rPr>
        <w:t>In order to achieve the principal activities of the company the Board of Directors has adopted the following strategies:</w:t>
      </w:r>
    </w:p>
    <w:p>
      <w:pPr>
        <w:pStyle w:val="ListParagraph"/>
        <w:numPr>
          <w:ilvl w:val="2"/>
          <w:numId w:val="142"/>
        </w:numPr>
        <w:tabs>
          <w:tab w:pos="906" w:val="left" w:leader="none"/>
        </w:tabs>
        <w:spacing w:line="240" w:lineRule="auto" w:before="0" w:after="0"/>
        <w:ind w:left="905" w:right="794" w:hanging="360"/>
        <w:jc w:val="left"/>
        <w:rPr>
          <w:sz w:val="18"/>
        </w:rPr>
      </w:pPr>
      <w:r>
        <w:rPr>
          <w:color w:val="0D0D0D"/>
          <w:sz w:val="18"/>
        </w:rPr>
        <w:t>Provided dedicated airtime access for screening UWS student works, for community groups and program</w:t>
      </w:r>
      <w:r>
        <w:rPr>
          <w:color w:val="0D0D0D"/>
          <w:spacing w:val="-8"/>
          <w:sz w:val="18"/>
        </w:rPr>
        <w:t> </w:t>
      </w:r>
      <w:r>
        <w:rPr>
          <w:color w:val="0D0D0D"/>
          <w:sz w:val="18"/>
        </w:rPr>
        <w:t>makers.</w:t>
      </w:r>
    </w:p>
    <w:p>
      <w:pPr>
        <w:pStyle w:val="ListParagraph"/>
        <w:numPr>
          <w:ilvl w:val="2"/>
          <w:numId w:val="142"/>
        </w:numPr>
        <w:tabs>
          <w:tab w:pos="906" w:val="left" w:leader="none"/>
        </w:tabs>
        <w:spacing w:line="240" w:lineRule="auto" w:before="0" w:after="0"/>
        <w:ind w:left="905" w:right="893" w:hanging="360"/>
        <w:jc w:val="left"/>
        <w:rPr>
          <w:sz w:val="18"/>
        </w:rPr>
      </w:pPr>
      <w:r>
        <w:rPr>
          <w:color w:val="0D0D0D"/>
          <w:sz w:val="18"/>
        </w:rPr>
        <w:t>Negotiated agreed sharing of intellectual property rights with UWS for all programs it funds and produces.</w:t>
      </w:r>
    </w:p>
    <w:p>
      <w:pPr>
        <w:pStyle w:val="ListParagraph"/>
        <w:numPr>
          <w:ilvl w:val="2"/>
          <w:numId w:val="142"/>
        </w:numPr>
        <w:tabs>
          <w:tab w:pos="906" w:val="left" w:leader="none"/>
        </w:tabs>
        <w:spacing w:line="240" w:lineRule="auto" w:before="0" w:after="0"/>
        <w:ind w:left="905" w:right="794" w:hanging="360"/>
        <w:jc w:val="left"/>
        <w:rPr>
          <w:sz w:val="18"/>
        </w:rPr>
      </w:pPr>
      <w:r>
        <w:rPr>
          <w:color w:val="0D0D0D"/>
          <w:sz w:val="18"/>
        </w:rPr>
        <w:t>Maintaining a small TV production unit with access to a dedicated studio at the UWS Werrington campus.</w:t>
      </w:r>
    </w:p>
    <w:p>
      <w:pPr>
        <w:pStyle w:val="ListParagraph"/>
        <w:numPr>
          <w:ilvl w:val="2"/>
          <w:numId w:val="142"/>
        </w:numPr>
        <w:tabs>
          <w:tab w:pos="906" w:val="left" w:leader="none"/>
        </w:tabs>
        <w:spacing w:line="240" w:lineRule="auto" w:before="0" w:after="0"/>
        <w:ind w:left="905" w:right="464" w:hanging="360"/>
        <w:jc w:val="left"/>
        <w:rPr>
          <w:sz w:val="18"/>
        </w:rPr>
      </w:pPr>
      <w:r>
        <w:rPr>
          <w:color w:val="0D0D0D"/>
          <w:sz w:val="18"/>
        </w:rPr>
        <w:t>Determined agreements between UWS and Metro Screen, and TVS and Metro Screen, in relation to program</w:t>
      </w:r>
      <w:r>
        <w:rPr>
          <w:color w:val="0D0D0D"/>
          <w:spacing w:val="-4"/>
          <w:sz w:val="18"/>
        </w:rPr>
        <w:t> </w:t>
      </w:r>
      <w:r>
        <w:rPr>
          <w:color w:val="0D0D0D"/>
          <w:sz w:val="18"/>
        </w:rPr>
        <w:t>making</w:t>
      </w:r>
      <w:r>
        <w:rPr>
          <w:color w:val="0D0D0D"/>
          <w:spacing w:val="-5"/>
          <w:sz w:val="18"/>
        </w:rPr>
        <w:t> </w:t>
      </w:r>
      <w:r>
        <w:rPr>
          <w:color w:val="0D0D0D"/>
          <w:sz w:val="18"/>
        </w:rPr>
        <w:t>and</w:t>
      </w:r>
      <w:r>
        <w:rPr>
          <w:color w:val="0D0D0D"/>
          <w:spacing w:val="-4"/>
          <w:sz w:val="18"/>
        </w:rPr>
        <w:t> </w:t>
      </w:r>
      <w:r>
        <w:rPr>
          <w:color w:val="0D0D0D"/>
          <w:sz w:val="18"/>
        </w:rPr>
        <w:t>the</w:t>
      </w:r>
      <w:r>
        <w:rPr>
          <w:color w:val="0D0D0D"/>
          <w:spacing w:val="-4"/>
          <w:sz w:val="18"/>
        </w:rPr>
        <w:t> </w:t>
      </w:r>
      <w:r>
        <w:rPr>
          <w:color w:val="0D0D0D"/>
          <w:sz w:val="18"/>
        </w:rPr>
        <w:t>support</w:t>
      </w:r>
      <w:r>
        <w:rPr>
          <w:color w:val="0D0D0D"/>
          <w:spacing w:val="-4"/>
          <w:sz w:val="18"/>
        </w:rPr>
        <w:t> </w:t>
      </w:r>
      <w:r>
        <w:rPr>
          <w:color w:val="0D0D0D"/>
          <w:sz w:val="18"/>
        </w:rPr>
        <w:t>of</w:t>
      </w:r>
      <w:r>
        <w:rPr>
          <w:color w:val="0D0D0D"/>
          <w:spacing w:val="-4"/>
          <w:sz w:val="18"/>
        </w:rPr>
        <w:t> </w:t>
      </w:r>
      <w:r>
        <w:rPr>
          <w:color w:val="0D0D0D"/>
          <w:sz w:val="18"/>
        </w:rPr>
        <w:t>community</w:t>
      </w:r>
      <w:r>
        <w:rPr>
          <w:color w:val="0D0D0D"/>
          <w:spacing w:val="-6"/>
          <w:sz w:val="18"/>
        </w:rPr>
        <w:t> </w:t>
      </w:r>
      <w:r>
        <w:rPr>
          <w:color w:val="0D0D0D"/>
          <w:sz w:val="18"/>
        </w:rPr>
        <w:t>groups</w:t>
      </w:r>
      <w:r>
        <w:rPr>
          <w:color w:val="0D0D0D"/>
          <w:spacing w:val="-4"/>
          <w:sz w:val="18"/>
        </w:rPr>
        <w:t> </w:t>
      </w:r>
      <w:r>
        <w:rPr>
          <w:color w:val="0D0D0D"/>
          <w:sz w:val="18"/>
        </w:rPr>
        <w:t>and</w:t>
      </w:r>
      <w:r>
        <w:rPr>
          <w:color w:val="0D0D0D"/>
          <w:spacing w:val="-3"/>
          <w:sz w:val="18"/>
        </w:rPr>
        <w:t> </w:t>
      </w:r>
      <w:r>
        <w:rPr>
          <w:color w:val="0D0D0D"/>
          <w:sz w:val="18"/>
        </w:rPr>
        <w:t>program</w:t>
      </w:r>
      <w:r>
        <w:rPr>
          <w:color w:val="0D0D0D"/>
          <w:spacing w:val="-4"/>
          <w:sz w:val="18"/>
        </w:rPr>
        <w:t> </w:t>
      </w:r>
      <w:r>
        <w:rPr>
          <w:color w:val="0D0D0D"/>
          <w:sz w:val="18"/>
        </w:rPr>
        <w:t>makers.</w:t>
      </w:r>
    </w:p>
    <w:p>
      <w:pPr>
        <w:pStyle w:val="ListParagraph"/>
        <w:numPr>
          <w:ilvl w:val="2"/>
          <w:numId w:val="142"/>
        </w:numPr>
        <w:tabs>
          <w:tab w:pos="906" w:val="left" w:leader="none"/>
        </w:tabs>
        <w:spacing w:line="240" w:lineRule="auto" w:before="0" w:after="0"/>
        <w:ind w:left="905" w:right="182" w:hanging="360"/>
        <w:jc w:val="left"/>
        <w:rPr>
          <w:sz w:val="18"/>
        </w:rPr>
      </w:pPr>
      <w:r>
        <w:rPr>
          <w:color w:val="0D0D0D"/>
          <w:sz w:val="18"/>
        </w:rPr>
        <w:t>Developed a strong focus on building and nurturing relationships and collaborative partnerships with the community by both UWS and</w:t>
      </w:r>
      <w:r>
        <w:rPr>
          <w:color w:val="0D0D0D"/>
          <w:spacing w:val="-14"/>
          <w:sz w:val="18"/>
        </w:rPr>
        <w:t> </w:t>
      </w:r>
      <w:r>
        <w:rPr>
          <w:color w:val="0D0D0D"/>
          <w:sz w:val="18"/>
        </w:rPr>
        <w:t>TVS.</w:t>
      </w:r>
    </w:p>
    <w:p>
      <w:pPr>
        <w:pStyle w:val="ListParagraph"/>
        <w:numPr>
          <w:ilvl w:val="2"/>
          <w:numId w:val="142"/>
        </w:numPr>
        <w:tabs>
          <w:tab w:pos="906" w:val="left" w:leader="none"/>
        </w:tabs>
        <w:spacing w:line="240" w:lineRule="auto" w:before="0" w:after="0"/>
        <w:ind w:left="905" w:right="244" w:hanging="360"/>
        <w:jc w:val="left"/>
        <w:rPr>
          <w:sz w:val="18"/>
        </w:rPr>
      </w:pPr>
      <w:r>
        <w:rPr>
          <w:color w:val="0D0D0D"/>
          <w:sz w:val="18"/>
        </w:rPr>
        <w:t>Developed a funding model for TVS and the production unit that builds the financial sustainability of the station</w:t>
      </w:r>
      <w:r>
        <w:rPr>
          <w:color w:val="0D0D0D"/>
          <w:spacing w:val="-4"/>
          <w:sz w:val="18"/>
        </w:rPr>
        <w:t> </w:t>
      </w:r>
      <w:r>
        <w:rPr>
          <w:color w:val="0D0D0D"/>
          <w:sz w:val="18"/>
        </w:rPr>
        <w:t>and</w:t>
      </w:r>
      <w:r>
        <w:rPr>
          <w:color w:val="0D0D0D"/>
          <w:spacing w:val="-4"/>
          <w:sz w:val="18"/>
        </w:rPr>
        <w:t> </w:t>
      </w:r>
      <w:r>
        <w:rPr>
          <w:color w:val="0D0D0D"/>
          <w:sz w:val="18"/>
        </w:rPr>
        <w:t>the</w:t>
      </w:r>
      <w:r>
        <w:rPr>
          <w:color w:val="0D0D0D"/>
          <w:spacing w:val="-4"/>
          <w:sz w:val="18"/>
        </w:rPr>
        <w:t> </w:t>
      </w:r>
      <w:r>
        <w:rPr>
          <w:color w:val="0D0D0D"/>
          <w:sz w:val="18"/>
        </w:rPr>
        <w:t>production</w:t>
      </w:r>
      <w:r>
        <w:rPr>
          <w:color w:val="0D0D0D"/>
          <w:spacing w:val="-4"/>
          <w:sz w:val="18"/>
        </w:rPr>
        <w:t> </w:t>
      </w:r>
      <w:r>
        <w:rPr>
          <w:color w:val="0D0D0D"/>
          <w:sz w:val="18"/>
        </w:rPr>
        <w:t>services</w:t>
      </w:r>
      <w:r>
        <w:rPr>
          <w:color w:val="0D0D0D"/>
          <w:spacing w:val="-4"/>
          <w:sz w:val="18"/>
        </w:rPr>
        <w:t> </w:t>
      </w:r>
      <w:r>
        <w:rPr>
          <w:color w:val="0D0D0D"/>
          <w:sz w:val="18"/>
        </w:rPr>
        <w:t>to</w:t>
      </w:r>
      <w:r>
        <w:rPr>
          <w:color w:val="0D0D0D"/>
          <w:spacing w:val="-4"/>
          <w:sz w:val="18"/>
        </w:rPr>
        <w:t> </w:t>
      </w:r>
      <w:r>
        <w:rPr>
          <w:color w:val="0D0D0D"/>
          <w:sz w:val="18"/>
        </w:rPr>
        <w:t>support</w:t>
      </w:r>
      <w:r>
        <w:rPr>
          <w:color w:val="0D0D0D"/>
          <w:spacing w:val="-4"/>
          <w:sz w:val="18"/>
        </w:rPr>
        <w:t> </w:t>
      </w:r>
      <w:r>
        <w:rPr>
          <w:color w:val="0D0D0D"/>
          <w:sz w:val="18"/>
        </w:rPr>
        <w:t>the</w:t>
      </w:r>
      <w:r>
        <w:rPr>
          <w:color w:val="0D0D0D"/>
          <w:spacing w:val="-4"/>
          <w:sz w:val="18"/>
        </w:rPr>
        <w:t> </w:t>
      </w:r>
      <w:r>
        <w:rPr>
          <w:color w:val="0D0D0D"/>
          <w:sz w:val="18"/>
        </w:rPr>
        <w:t>academic</w:t>
      </w:r>
      <w:r>
        <w:rPr>
          <w:color w:val="0D0D0D"/>
          <w:spacing w:val="-4"/>
          <w:sz w:val="18"/>
        </w:rPr>
        <w:t> </w:t>
      </w:r>
      <w:r>
        <w:rPr>
          <w:color w:val="0D0D0D"/>
          <w:sz w:val="18"/>
        </w:rPr>
        <w:t>and</w:t>
      </w:r>
      <w:r>
        <w:rPr>
          <w:color w:val="0D0D0D"/>
          <w:spacing w:val="-4"/>
          <w:sz w:val="18"/>
        </w:rPr>
        <w:t> </w:t>
      </w:r>
      <w:r>
        <w:rPr>
          <w:color w:val="0D0D0D"/>
          <w:sz w:val="18"/>
        </w:rPr>
        <w:t>engagement</w:t>
      </w:r>
      <w:r>
        <w:rPr>
          <w:color w:val="0D0D0D"/>
          <w:spacing w:val="-4"/>
          <w:sz w:val="18"/>
        </w:rPr>
        <w:t> </w:t>
      </w:r>
      <w:r>
        <w:rPr>
          <w:color w:val="0D0D0D"/>
          <w:sz w:val="18"/>
        </w:rPr>
        <w:t>goals</w:t>
      </w:r>
      <w:r>
        <w:rPr>
          <w:color w:val="0D0D0D"/>
          <w:spacing w:val="-4"/>
          <w:sz w:val="18"/>
        </w:rPr>
        <w:t> </w:t>
      </w:r>
      <w:r>
        <w:rPr>
          <w:color w:val="0D0D0D"/>
          <w:sz w:val="18"/>
        </w:rPr>
        <w:t>of</w:t>
      </w:r>
      <w:r>
        <w:rPr>
          <w:color w:val="0D0D0D"/>
          <w:spacing w:val="-4"/>
          <w:sz w:val="18"/>
        </w:rPr>
        <w:t> </w:t>
      </w:r>
      <w:r>
        <w:rPr>
          <w:color w:val="0D0D0D"/>
          <w:sz w:val="18"/>
        </w:rPr>
        <w:t>the</w:t>
      </w:r>
      <w:r>
        <w:rPr>
          <w:color w:val="0D0D0D"/>
          <w:spacing w:val="-4"/>
          <w:sz w:val="18"/>
        </w:rPr>
        <w:t> </w:t>
      </w:r>
      <w:r>
        <w:rPr>
          <w:color w:val="0D0D0D"/>
          <w:sz w:val="18"/>
        </w:rPr>
        <w:t>University.</w:t>
      </w:r>
    </w:p>
    <w:p>
      <w:pPr>
        <w:pStyle w:val="BodyText"/>
        <w:spacing w:before="10"/>
        <w:rPr>
          <w:sz w:val="17"/>
        </w:rPr>
      </w:pPr>
    </w:p>
    <w:p>
      <w:pPr>
        <w:pStyle w:val="BodyText"/>
        <w:ind w:left="185" w:right="6648"/>
      </w:pPr>
      <w:r>
        <w:rPr>
          <w:color w:val="0D0D0D"/>
          <w:u w:val="single" w:color="0D0D0D"/>
        </w:rPr>
        <w:t>Performance Measures</w:t>
      </w:r>
    </w:p>
    <w:p>
      <w:pPr>
        <w:pStyle w:val="BodyText"/>
        <w:ind w:left="185" w:right="135"/>
      </w:pPr>
      <w:r>
        <w:rPr>
          <w:color w:val="0D0D0D"/>
        </w:rPr>
        <w:t>The performance measures of the company are financial, quantitative and qualitative. The company has adopted the following key performance indicators:</w:t>
      </w:r>
    </w:p>
    <w:p>
      <w:pPr>
        <w:pStyle w:val="ListParagraph"/>
        <w:numPr>
          <w:ilvl w:val="2"/>
          <w:numId w:val="142"/>
        </w:numPr>
        <w:tabs>
          <w:tab w:pos="906" w:val="left" w:leader="none"/>
        </w:tabs>
        <w:spacing w:line="220" w:lineRule="exact" w:before="0" w:after="0"/>
        <w:ind w:left="905" w:right="0" w:hanging="360"/>
        <w:jc w:val="left"/>
        <w:rPr>
          <w:sz w:val="18"/>
        </w:rPr>
      </w:pPr>
      <w:r>
        <w:rPr>
          <w:color w:val="0D0D0D"/>
          <w:sz w:val="18"/>
        </w:rPr>
        <w:t>Financial</w:t>
      </w:r>
      <w:r>
        <w:rPr>
          <w:color w:val="0D0D0D"/>
          <w:spacing w:val="-16"/>
          <w:sz w:val="18"/>
        </w:rPr>
        <w:t> </w:t>
      </w:r>
      <w:r>
        <w:rPr>
          <w:color w:val="0D0D0D"/>
          <w:sz w:val="18"/>
        </w:rPr>
        <w:t>statements.</w:t>
      </w:r>
    </w:p>
    <w:p>
      <w:pPr>
        <w:pStyle w:val="ListParagraph"/>
        <w:numPr>
          <w:ilvl w:val="2"/>
          <w:numId w:val="142"/>
        </w:numPr>
        <w:tabs>
          <w:tab w:pos="906" w:val="left" w:leader="none"/>
        </w:tabs>
        <w:spacing w:line="219" w:lineRule="exact" w:before="0" w:after="0"/>
        <w:ind w:left="905" w:right="0" w:hanging="360"/>
        <w:jc w:val="left"/>
        <w:rPr>
          <w:sz w:val="18"/>
        </w:rPr>
      </w:pPr>
      <w:r>
        <w:rPr>
          <w:color w:val="0D0D0D"/>
          <w:sz w:val="18"/>
        </w:rPr>
        <w:t>Advertising and sponsorship</w:t>
      </w:r>
      <w:r>
        <w:rPr>
          <w:color w:val="0D0D0D"/>
          <w:spacing w:val="-25"/>
          <w:sz w:val="18"/>
        </w:rPr>
        <w:t> </w:t>
      </w:r>
      <w:r>
        <w:rPr>
          <w:color w:val="0D0D0D"/>
          <w:sz w:val="18"/>
        </w:rPr>
        <w:t>revenues.</w:t>
      </w:r>
    </w:p>
    <w:p>
      <w:pPr>
        <w:pStyle w:val="ListParagraph"/>
        <w:numPr>
          <w:ilvl w:val="2"/>
          <w:numId w:val="142"/>
        </w:numPr>
        <w:tabs>
          <w:tab w:pos="906" w:val="left" w:leader="none"/>
        </w:tabs>
        <w:spacing w:line="219" w:lineRule="exact" w:before="0" w:after="0"/>
        <w:ind w:left="905" w:right="0" w:hanging="360"/>
        <w:jc w:val="left"/>
        <w:rPr>
          <w:sz w:val="18"/>
        </w:rPr>
      </w:pPr>
      <w:r>
        <w:rPr>
          <w:color w:val="0D0D0D"/>
          <w:sz w:val="18"/>
        </w:rPr>
        <w:t>Audience</w:t>
      </w:r>
      <w:r>
        <w:rPr>
          <w:color w:val="0D0D0D"/>
          <w:spacing w:val="-14"/>
          <w:sz w:val="18"/>
        </w:rPr>
        <w:t> </w:t>
      </w:r>
      <w:r>
        <w:rPr>
          <w:color w:val="0D0D0D"/>
          <w:sz w:val="18"/>
        </w:rPr>
        <w:t>estimate.</w:t>
      </w:r>
    </w:p>
    <w:p>
      <w:pPr>
        <w:pStyle w:val="ListParagraph"/>
        <w:numPr>
          <w:ilvl w:val="2"/>
          <w:numId w:val="142"/>
        </w:numPr>
        <w:tabs>
          <w:tab w:pos="906" w:val="left" w:leader="none"/>
        </w:tabs>
        <w:spacing w:line="220" w:lineRule="exact" w:before="0" w:after="0"/>
        <w:ind w:left="905" w:right="0" w:hanging="360"/>
        <w:jc w:val="left"/>
        <w:rPr>
          <w:sz w:val="18"/>
        </w:rPr>
      </w:pPr>
      <w:r>
        <w:rPr>
          <w:color w:val="0D0D0D"/>
          <w:sz w:val="18"/>
        </w:rPr>
        <w:t>ACMA feedback and decisions on compliance</w:t>
      </w:r>
      <w:r>
        <w:rPr>
          <w:color w:val="0D0D0D"/>
          <w:spacing w:val="-28"/>
          <w:sz w:val="18"/>
        </w:rPr>
        <w:t> </w:t>
      </w:r>
      <w:r>
        <w:rPr>
          <w:color w:val="0D0D0D"/>
          <w:sz w:val="18"/>
        </w:rPr>
        <w:t>measures.</w:t>
      </w:r>
    </w:p>
    <w:p>
      <w:pPr>
        <w:pStyle w:val="BodyText"/>
        <w:rPr>
          <w:sz w:val="20"/>
        </w:rPr>
      </w:pPr>
    </w:p>
    <w:p>
      <w:pPr>
        <w:pStyle w:val="BodyText"/>
        <w:rPr>
          <w:sz w:val="16"/>
        </w:rPr>
      </w:pPr>
    </w:p>
    <w:tbl>
      <w:tblPr>
        <w:tblW w:w="0" w:type="auto"/>
        <w:jc w:val="left"/>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16"/>
        <w:gridCol w:w="1985"/>
        <w:gridCol w:w="1985"/>
        <w:gridCol w:w="1700"/>
      </w:tblGrid>
      <w:tr>
        <w:trPr>
          <w:trHeight w:val="601" w:hRule="exact"/>
        </w:trPr>
        <w:tc>
          <w:tcPr>
            <w:tcW w:w="3416" w:type="dxa"/>
          </w:tcPr>
          <w:p>
            <w:pPr>
              <w:pStyle w:val="TableParagraph"/>
              <w:spacing w:before="2"/>
              <w:rPr>
                <w:sz w:val="16"/>
              </w:rPr>
            </w:pPr>
          </w:p>
          <w:p>
            <w:pPr>
              <w:pStyle w:val="TableParagraph"/>
              <w:ind w:left="98"/>
              <w:rPr>
                <w:b/>
                <w:i/>
                <w:sz w:val="18"/>
              </w:rPr>
            </w:pPr>
            <w:r>
              <w:rPr>
                <w:b/>
                <w:i/>
                <w:sz w:val="18"/>
              </w:rPr>
              <w:t>Category</w:t>
            </w:r>
          </w:p>
        </w:tc>
        <w:tc>
          <w:tcPr>
            <w:tcW w:w="1985" w:type="dxa"/>
          </w:tcPr>
          <w:p>
            <w:pPr>
              <w:pStyle w:val="TableParagraph"/>
              <w:spacing w:before="2"/>
              <w:rPr>
                <w:sz w:val="16"/>
              </w:rPr>
            </w:pPr>
          </w:p>
          <w:p>
            <w:pPr>
              <w:pStyle w:val="TableParagraph"/>
              <w:ind w:right="96"/>
              <w:jc w:val="right"/>
              <w:rPr>
                <w:b/>
                <w:i/>
                <w:sz w:val="18"/>
              </w:rPr>
            </w:pPr>
            <w:r>
              <w:rPr>
                <w:b/>
                <w:i/>
                <w:sz w:val="18"/>
              </w:rPr>
              <w:t>FY 2012 Actual</w:t>
            </w:r>
          </w:p>
        </w:tc>
        <w:tc>
          <w:tcPr>
            <w:tcW w:w="1985" w:type="dxa"/>
          </w:tcPr>
          <w:p>
            <w:pPr>
              <w:pStyle w:val="TableParagraph"/>
              <w:spacing w:before="2"/>
              <w:rPr>
                <w:sz w:val="16"/>
              </w:rPr>
            </w:pPr>
          </w:p>
          <w:p>
            <w:pPr>
              <w:pStyle w:val="TableParagraph"/>
              <w:ind w:right="97"/>
              <w:jc w:val="right"/>
              <w:rPr>
                <w:b/>
                <w:i/>
                <w:sz w:val="18"/>
              </w:rPr>
            </w:pPr>
            <w:r>
              <w:rPr>
                <w:b/>
                <w:i/>
                <w:sz w:val="18"/>
              </w:rPr>
              <w:t>Annual 2012 Budget</w:t>
            </w:r>
          </w:p>
        </w:tc>
        <w:tc>
          <w:tcPr>
            <w:tcW w:w="1700" w:type="dxa"/>
          </w:tcPr>
          <w:p>
            <w:pPr>
              <w:pStyle w:val="TableParagraph"/>
              <w:spacing w:before="83"/>
              <w:ind w:left="812" w:right="77" w:hanging="179"/>
              <w:rPr>
                <w:b/>
                <w:i/>
                <w:sz w:val="18"/>
              </w:rPr>
            </w:pPr>
            <w:r>
              <w:rPr>
                <w:b/>
                <w:i/>
                <w:sz w:val="18"/>
              </w:rPr>
              <w:t>% Full year </w:t>
            </w:r>
            <w:r>
              <w:rPr>
                <w:b/>
                <w:i/>
                <w:sz w:val="18"/>
              </w:rPr>
              <w:t>achieved</w:t>
            </w:r>
          </w:p>
        </w:tc>
      </w:tr>
      <w:tr>
        <w:trPr>
          <w:trHeight w:val="290" w:hRule="exact"/>
        </w:trPr>
        <w:tc>
          <w:tcPr>
            <w:tcW w:w="3416" w:type="dxa"/>
          </w:tcPr>
          <w:p>
            <w:pPr>
              <w:pStyle w:val="TableParagraph"/>
              <w:spacing w:before="61"/>
              <w:ind w:left="98"/>
              <w:rPr>
                <w:sz w:val="18"/>
              </w:rPr>
            </w:pPr>
            <w:r>
              <w:rPr>
                <w:sz w:val="18"/>
              </w:rPr>
              <w:t>Revenue</w:t>
            </w:r>
          </w:p>
        </w:tc>
        <w:tc>
          <w:tcPr>
            <w:tcW w:w="1985" w:type="dxa"/>
          </w:tcPr>
          <w:p>
            <w:pPr>
              <w:pStyle w:val="TableParagraph"/>
              <w:spacing w:before="61"/>
              <w:ind w:right="97"/>
              <w:jc w:val="right"/>
              <w:rPr>
                <w:sz w:val="18"/>
              </w:rPr>
            </w:pPr>
            <w:r>
              <w:rPr>
                <w:sz w:val="18"/>
              </w:rPr>
              <w:t>$2,471,226</w:t>
            </w:r>
          </w:p>
        </w:tc>
        <w:tc>
          <w:tcPr>
            <w:tcW w:w="1985" w:type="dxa"/>
          </w:tcPr>
          <w:p>
            <w:pPr>
              <w:pStyle w:val="TableParagraph"/>
              <w:spacing w:before="61"/>
              <w:ind w:right="98"/>
              <w:jc w:val="right"/>
              <w:rPr>
                <w:sz w:val="18"/>
              </w:rPr>
            </w:pPr>
            <w:r>
              <w:rPr>
                <w:sz w:val="18"/>
              </w:rPr>
              <w:t>$1,065,000</w:t>
            </w:r>
          </w:p>
        </w:tc>
        <w:tc>
          <w:tcPr>
            <w:tcW w:w="1700" w:type="dxa"/>
          </w:tcPr>
          <w:p>
            <w:pPr>
              <w:pStyle w:val="TableParagraph"/>
              <w:spacing w:before="61"/>
              <w:ind w:right="97"/>
              <w:jc w:val="right"/>
              <w:rPr>
                <w:sz w:val="18"/>
              </w:rPr>
            </w:pPr>
            <w:r>
              <w:rPr>
                <w:sz w:val="18"/>
              </w:rPr>
              <w:t>232%</w:t>
            </w:r>
          </w:p>
        </w:tc>
      </w:tr>
      <w:tr>
        <w:trPr>
          <w:trHeight w:val="289" w:hRule="exact"/>
        </w:trPr>
        <w:tc>
          <w:tcPr>
            <w:tcW w:w="3416" w:type="dxa"/>
          </w:tcPr>
          <w:p>
            <w:pPr>
              <w:pStyle w:val="TableParagraph"/>
              <w:spacing w:before="61"/>
              <w:ind w:left="98"/>
              <w:rPr>
                <w:sz w:val="18"/>
              </w:rPr>
            </w:pPr>
            <w:r>
              <w:rPr>
                <w:sz w:val="18"/>
              </w:rPr>
              <w:t>Expenses</w:t>
            </w:r>
          </w:p>
        </w:tc>
        <w:tc>
          <w:tcPr>
            <w:tcW w:w="1985" w:type="dxa"/>
          </w:tcPr>
          <w:p>
            <w:pPr>
              <w:pStyle w:val="TableParagraph"/>
              <w:spacing w:before="61"/>
              <w:ind w:right="97"/>
              <w:jc w:val="right"/>
              <w:rPr>
                <w:sz w:val="18"/>
              </w:rPr>
            </w:pPr>
            <w:r>
              <w:rPr>
                <w:sz w:val="18"/>
              </w:rPr>
              <w:t>$1,985,334</w:t>
            </w:r>
          </w:p>
        </w:tc>
        <w:tc>
          <w:tcPr>
            <w:tcW w:w="1985" w:type="dxa"/>
          </w:tcPr>
          <w:p>
            <w:pPr>
              <w:pStyle w:val="TableParagraph"/>
              <w:spacing w:before="61"/>
              <w:ind w:right="98"/>
              <w:jc w:val="right"/>
              <w:rPr>
                <w:sz w:val="18"/>
              </w:rPr>
            </w:pPr>
            <w:r>
              <w:rPr>
                <w:sz w:val="18"/>
              </w:rPr>
              <w:t>$1,772,000</w:t>
            </w:r>
          </w:p>
        </w:tc>
        <w:tc>
          <w:tcPr>
            <w:tcW w:w="1700" w:type="dxa"/>
          </w:tcPr>
          <w:p>
            <w:pPr>
              <w:pStyle w:val="TableParagraph"/>
              <w:spacing w:before="61"/>
              <w:ind w:right="97"/>
              <w:jc w:val="right"/>
              <w:rPr>
                <w:sz w:val="18"/>
              </w:rPr>
            </w:pPr>
            <w:r>
              <w:rPr>
                <w:sz w:val="18"/>
              </w:rPr>
              <w:t>112%</w:t>
            </w:r>
          </w:p>
        </w:tc>
      </w:tr>
      <w:tr>
        <w:trPr>
          <w:trHeight w:val="290" w:hRule="exact"/>
        </w:trPr>
        <w:tc>
          <w:tcPr>
            <w:tcW w:w="3416" w:type="dxa"/>
          </w:tcPr>
          <w:p>
            <w:pPr>
              <w:pStyle w:val="TableParagraph"/>
              <w:spacing w:before="61"/>
              <w:ind w:left="98"/>
              <w:rPr>
                <w:b/>
                <w:sz w:val="18"/>
              </w:rPr>
            </w:pPr>
            <w:r>
              <w:rPr>
                <w:b/>
                <w:sz w:val="18"/>
              </w:rPr>
              <w:t>Operating Surplus/(Deficit)</w:t>
            </w:r>
          </w:p>
        </w:tc>
        <w:tc>
          <w:tcPr>
            <w:tcW w:w="1985" w:type="dxa"/>
          </w:tcPr>
          <w:p>
            <w:pPr>
              <w:pStyle w:val="TableParagraph"/>
              <w:spacing w:before="61"/>
              <w:ind w:right="97"/>
              <w:jc w:val="right"/>
              <w:rPr>
                <w:b/>
                <w:sz w:val="18"/>
              </w:rPr>
            </w:pPr>
            <w:r>
              <w:rPr>
                <w:b/>
                <w:sz w:val="18"/>
              </w:rPr>
              <w:t>$485,892</w:t>
            </w:r>
          </w:p>
        </w:tc>
        <w:tc>
          <w:tcPr>
            <w:tcW w:w="1985" w:type="dxa"/>
          </w:tcPr>
          <w:p>
            <w:pPr>
              <w:pStyle w:val="TableParagraph"/>
              <w:spacing w:before="61"/>
              <w:ind w:right="99"/>
              <w:jc w:val="right"/>
              <w:rPr>
                <w:b/>
                <w:sz w:val="18"/>
              </w:rPr>
            </w:pPr>
            <w:r>
              <w:rPr>
                <w:b/>
                <w:sz w:val="18"/>
              </w:rPr>
              <w:t>($707,000)</w:t>
            </w:r>
          </w:p>
        </w:tc>
        <w:tc>
          <w:tcPr>
            <w:tcW w:w="1700" w:type="dxa"/>
          </w:tcPr>
          <w:p>
            <w:pPr>
              <w:pStyle w:val="TableParagraph"/>
              <w:spacing w:before="62"/>
              <w:ind w:right="97"/>
              <w:jc w:val="right"/>
              <w:rPr>
                <w:sz w:val="18"/>
              </w:rPr>
            </w:pPr>
            <w:r>
              <w:rPr>
                <w:sz w:val="18"/>
              </w:rPr>
              <w:t>221%</w:t>
            </w:r>
          </w:p>
        </w:tc>
      </w:tr>
      <w:tr>
        <w:trPr>
          <w:trHeight w:val="227" w:hRule="exact"/>
        </w:trPr>
        <w:tc>
          <w:tcPr>
            <w:tcW w:w="3416" w:type="dxa"/>
          </w:tcPr>
          <w:p>
            <w:pPr>
              <w:pStyle w:val="TableParagraph"/>
              <w:spacing w:line="206" w:lineRule="exact"/>
              <w:ind w:left="98"/>
              <w:rPr>
                <w:sz w:val="18"/>
              </w:rPr>
            </w:pPr>
            <w:r>
              <w:rPr>
                <w:sz w:val="18"/>
              </w:rPr>
              <w:t>Accumulated Retained Earnings</w:t>
            </w:r>
          </w:p>
        </w:tc>
        <w:tc>
          <w:tcPr>
            <w:tcW w:w="1985" w:type="dxa"/>
          </w:tcPr>
          <w:p>
            <w:pPr>
              <w:pStyle w:val="TableParagraph"/>
              <w:spacing w:line="206" w:lineRule="exact"/>
              <w:ind w:right="98"/>
              <w:jc w:val="right"/>
              <w:rPr>
                <w:sz w:val="18"/>
              </w:rPr>
            </w:pPr>
            <w:r>
              <w:rPr>
                <w:sz w:val="18"/>
              </w:rPr>
              <w:t>($4,197,200)</w:t>
            </w:r>
          </w:p>
        </w:tc>
        <w:tc>
          <w:tcPr>
            <w:tcW w:w="1985" w:type="dxa"/>
          </w:tcPr>
          <w:p>
            <w:pPr/>
          </w:p>
        </w:tc>
        <w:tc>
          <w:tcPr>
            <w:tcW w:w="1700" w:type="dxa"/>
          </w:tcPr>
          <w:p>
            <w:pPr/>
          </w:p>
        </w:tc>
      </w:tr>
    </w:tbl>
    <w:p>
      <w:pPr>
        <w:pStyle w:val="BodyText"/>
        <w:spacing w:before="2"/>
        <w:rPr>
          <w:sz w:val="11"/>
        </w:rPr>
      </w:pPr>
    </w:p>
    <w:p>
      <w:pPr>
        <w:pStyle w:val="BodyText"/>
        <w:spacing w:before="77"/>
        <w:ind w:left="139" w:right="164"/>
      </w:pPr>
      <w:r>
        <w:rPr/>
        <w:t>Revenue exceeded budget in the year as a direct result of the HEPP – Building Bridges grant received. Expenditure has been largely contained within budgeted levels even though there has been an overall increase in costs in both brokerage commission and channel promotion.</w:t>
      </w:r>
    </w:p>
    <w:p>
      <w:pPr>
        <w:pStyle w:val="BodyText"/>
        <w:spacing w:line="410" w:lineRule="atLeast" w:before="4"/>
        <w:ind w:left="139" w:right="2357"/>
      </w:pPr>
      <w:r>
        <w:rPr/>
        <w:t>The University of Western Sydney provides ongoing financial support to the company. </w:t>
      </w:r>
      <w:r>
        <w:rPr>
          <w:u w:val="single"/>
        </w:rPr>
        <w:t>Management and Operations</w:t>
      </w:r>
    </w:p>
    <w:p>
      <w:pPr>
        <w:pStyle w:val="BodyText"/>
        <w:ind w:left="139" w:right="285"/>
      </w:pPr>
      <w:r>
        <w:rPr>
          <w:color w:val="0D0D0D"/>
        </w:rPr>
        <w:t>The University of Western Sydney holds 75% of the voting rights in Television Sydney (TVS) Ltd with the remaining 25% being held by Metro Screen Ltd. </w:t>
      </w:r>
      <w:r>
        <w:rPr/>
        <w:t>An independent Board of Directors is responsible for the overall operations of the company and the day to day activities are managed by a part time Chief Executive Officer provided by the University.</w:t>
      </w:r>
    </w:p>
    <w:p>
      <w:pPr>
        <w:spacing w:after="0"/>
        <w:sectPr>
          <w:headerReference w:type="default" r:id="rId283"/>
          <w:footerReference w:type="default" r:id="rId284"/>
          <w:pgSz w:w="11910" w:h="16840"/>
          <w:pgMar w:header="709" w:footer="1023" w:top="900" w:bottom="1220" w:left="1300" w:right="1260"/>
          <w:pgNumType w:start="295"/>
        </w:sectPr>
      </w:pPr>
    </w:p>
    <w:p>
      <w:pPr>
        <w:pStyle w:val="BodyText"/>
        <w:rPr>
          <w:sz w:val="20"/>
        </w:rPr>
      </w:pPr>
    </w:p>
    <w:p>
      <w:pPr>
        <w:pStyle w:val="BodyText"/>
        <w:spacing w:before="6"/>
        <w:rPr>
          <w:sz w:val="20"/>
        </w:rPr>
      </w:pPr>
    </w:p>
    <w:p>
      <w:pPr>
        <w:pStyle w:val="Heading3"/>
        <w:spacing w:before="64"/>
        <w:ind w:left="140" w:right="653"/>
      </w:pPr>
      <w:r>
        <w:rPr>
          <w:color w:val="0D0D0D"/>
        </w:rPr>
        <w:t>University of Western Sydney Foundation Ltd</w:t>
      </w:r>
    </w:p>
    <w:p>
      <w:pPr>
        <w:pStyle w:val="BodyText"/>
        <w:spacing w:line="207" w:lineRule="exact" w:before="206"/>
        <w:ind w:left="140" w:right="6648"/>
      </w:pPr>
      <w:r>
        <w:rPr>
          <w:u w:val="single"/>
        </w:rPr>
        <w:t>Principal Objectives</w:t>
      </w:r>
    </w:p>
    <w:p>
      <w:pPr>
        <w:pStyle w:val="BodyText"/>
        <w:ind w:left="140" w:right="235"/>
      </w:pPr>
      <w:r>
        <w:rPr/>
        <w:t>The UWS Foundation is a trustee of the </w:t>
      </w:r>
      <w:r>
        <w:rPr>
          <w:color w:val="0D0D0D"/>
        </w:rPr>
        <w:t>University of Western Sydney Foundation Trust whose objective is to raise funds in support of the University of Western Sydney by developing relationships with community, business and individuals.</w:t>
      </w:r>
    </w:p>
    <w:p>
      <w:pPr>
        <w:pStyle w:val="BodyText"/>
      </w:pPr>
    </w:p>
    <w:p>
      <w:pPr>
        <w:pStyle w:val="BodyText"/>
      </w:pPr>
    </w:p>
    <w:p>
      <w:pPr>
        <w:pStyle w:val="BodyText"/>
        <w:spacing w:line="207" w:lineRule="exact"/>
        <w:ind w:left="139" w:right="653"/>
      </w:pPr>
      <w:r>
        <w:rPr>
          <w:u w:val="single"/>
        </w:rPr>
        <w:t>Principal Activities and Strategic Projects</w:t>
      </w:r>
    </w:p>
    <w:p>
      <w:pPr>
        <w:pStyle w:val="BodyText"/>
        <w:ind w:left="139" w:right="336"/>
      </w:pPr>
      <w:r>
        <w:rPr/>
        <w:t>In partnership with the local community and the business world, the Foundation Trust delivers educational opportunities by fundraising for scholarships, prizes, research, academic programs, teaching facilities and other special projects.</w:t>
      </w:r>
    </w:p>
    <w:p>
      <w:pPr>
        <w:pStyle w:val="BodyText"/>
      </w:pPr>
    </w:p>
    <w:p>
      <w:pPr>
        <w:pStyle w:val="BodyText"/>
        <w:ind w:left="139" w:right="6648"/>
      </w:pPr>
      <w:r>
        <w:rPr>
          <w:u w:val="single"/>
        </w:rPr>
        <w:t>Performance Measures</w:t>
      </w:r>
    </w:p>
    <w:p>
      <w:pPr>
        <w:pStyle w:val="BodyText"/>
        <w:ind w:left="140" w:right="106"/>
      </w:pPr>
      <w:r>
        <w:rPr/>
        <w:t>The financial performance measure for the entity for 2012 was a funding target for the Trust of $4,134,000. For the year ended 31 December 2012 the Trust only achieved funding of $3,172,576. Whilst this result fell short of the ambitious budget target there was a significant increase in total overall income, as a result of the improved return on investments.  Distributions of $854,608 were passed onto the University to fund scholarships and prizes, to fund endowed chairs and academic positions and to pass on donations supporting UWS research project. There were</w:t>
      </w:r>
      <w:r>
        <w:rPr>
          <w:spacing w:val="-4"/>
        </w:rPr>
        <w:t> </w:t>
      </w:r>
      <w:r>
        <w:rPr/>
        <w:t>no</w:t>
      </w:r>
      <w:r>
        <w:rPr>
          <w:spacing w:val="-4"/>
        </w:rPr>
        <w:t> </w:t>
      </w:r>
      <w:r>
        <w:rPr/>
        <w:t>transactions</w:t>
      </w:r>
      <w:r>
        <w:rPr>
          <w:spacing w:val="-4"/>
        </w:rPr>
        <w:t> </w:t>
      </w:r>
      <w:r>
        <w:rPr/>
        <w:t>for</w:t>
      </w:r>
      <w:r>
        <w:rPr>
          <w:spacing w:val="-4"/>
        </w:rPr>
        <w:t> </w:t>
      </w:r>
      <w:r>
        <w:rPr/>
        <w:t>the</w:t>
      </w:r>
      <w:r>
        <w:rPr>
          <w:spacing w:val="-4"/>
        </w:rPr>
        <w:t> </w:t>
      </w:r>
      <w:r>
        <w:rPr/>
        <w:t>University</w:t>
      </w:r>
      <w:r>
        <w:rPr>
          <w:spacing w:val="-5"/>
        </w:rPr>
        <w:t> </w:t>
      </w:r>
      <w:r>
        <w:rPr/>
        <w:t>of</w:t>
      </w:r>
      <w:r>
        <w:rPr>
          <w:spacing w:val="-4"/>
        </w:rPr>
        <w:t> </w:t>
      </w:r>
      <w:r>
        <w:rPr/>
        <w:t>Western</w:t>
      </w:r>
      <w:r>
        <w:rPr>
          <w:spacing w:val="-4"/>
        </w:rPr>
        <w:t> </w:t>
      </w:r>
      <w:r>
        <w:rPr/>
        <w:t>Sydney</w:t>
      </w:r>
      <w:r>
        <w:rPr>
          <w:spacing w:val="-4"/>
        </w:rPr>
        <w:t> </w:t>
      </w:r>
      <w:r>
        <w:rPr/>
        <w:t>Foundation</w:t>
      </w:r>
      <w:r>
        <w:rPr>
          <w:spacing w:val="-4"/>
        </w:rPr>
        <w:t> </w:t>
      </w:r>
      <w:r>
        <w:rPr/>
        <w:t>Limited</w:t>
      </w:r>
      <w:r>
        <w:rPr>
          <w:spacing w:val="-4"/>
        </w:rPr>
        <w:t> </w:t>
      </w:r>
      <w:r>
        <w:rPr/>
        <w:t>during</w:t>
      </w:r>
      <w:r>
        <w:rPr>
          <w:spacing w:val="-4"/>
        </w:rPr>
        <w:t> </w:t>
      </w:r>
      <w:r>
        <w:rPr/>
        <w:t>the</w:t>
      </w:r>
      <w:r>
        <w:rPr>
          <w:spacing w:val="-4"/>
        </w:rPr>
        <w:t> </w:t>
      </w:r>
      <w:r>
        <w:rPr/>
        <w:t>year.</w:t>
      </w:r>
    </w:p>
    <w:p>
      <w:pPr>
        <w:pStyle w:val="BodyText"/>
        <w:rPr>
          <w:sz w:val="20"/>
        </w:rPr>
      </w:pPr>
    </w:p>
    <w:p>
      <w:pPr>
        <w:pStyle w:val="BodyText"/>
        <w:spacing w:before="2"/>
        <w:rPr>
          <w:sz w:val="16"/>
        </w:rPr>
      </w:pPr>
    </w:p>
    <w:tbl>
      <w:tblPr>
        <w:tblW w:w="0" w:type="auto"/>
        <w:jc w:val="left"/>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33"/>
        <w:gridCol w:w="1843"/>
        <w:gridCol w:w="2126"/>
        <w:gridCol w:w="1984"/>
      </w:tblGrid>
      <w:tr>
        <w:trPr>
          <w:trHeight w:val="502" w:hRule="exact"/>
        </w:trPr>
        <w:tc>
          <w:tcPr>
            <w:tcW w:w="3133" w:type="dxa"/>
          </w:tcPr>
          <w:p>
            <w:pPr>
              <w:pStyle w:val="TableParagraph"/>
              <w:spacing w:before="136"/>
              <w:ind w:left="98"/>
              <w:rPr>
                <w:b/>
                <w:i/>
                <w:sz w:val="18"/>
              </w:rPr>
            </w:pPr>
            <w:r>
              <w:rPr>
                <w:b/>
                <w:i/>
                <w:sz w:val="18"/>
              </w:rPr>
              <w:t>Category</w:t>
            </w:r>
          </w:p>
        </w:tc>
        <w:tc>
          <w:tcPr>
            <w:tcW w:w="1843" w:type="dxa"/>
          </w:tcPr>
          <w:p>
            <w:pPr>
              <w:pStyle w:val="TableParagraph"/>
              <w:spacing w:before="136"/>
              <w:ind w:right="50"/>
              <w:jc w:val="right"/>
              <w:rPr>
                <w:b/>
                <w:i/>
                <w:sz w:val="18"/>
              </w:rPr>
            </w:pPr>
            <w:r>
              <w:rPr>
                <w:b/>
                <w:i/>
                <w:sz w:val="18"/>
              </w:rPr>
              <w:t>FY 2012 Actual</w:t>
            </w:r>
          </w:p>
        </w:tc>
        <w:tc>
          <w:tcPr>
            <w:tcW w:w="2126" w:type="dxa"/>
          </w:tcPr>
          <w:p>
            <w:pPr>
              <w:pStyle w:val="TableParagraph"/>
              <w:spacing w:before="136"/>
              <w:ind w:right="50"/>
              <w:jc w:val="right"/>
              <w:rPr>
                <w:b/>
                <w:i/>
                <w:sz w:val="18"/>
              </w:rPr>
            </w:pPr>
            <w:r>
              <w:rPr>
                <w:b/>
                <w:i/>
                <w:sz w:val="18"/>
              </w:rPr>
              <w:t>Annual 2012 Budget</w:t>
            </w:r>
          </w:p>
        </w:tc>
        <w:tc>
          <w:tcPr>
            <w:tcW w:w="1984" w:type="dxa"/>
          </w:tcPr>
          <w:p>
            <w:pPr>
              <w:pStyle w:val="TableParagraph"/>
              <w:spacing w:before="136"/>
              <w:ind w:right="49"/>
              <w:jc w:val="right"/>
              <w:rPr>
                <w:b/>
                <w:i/>
                <w:sz w:val="18"/>
              </w:rPr>
            </w:pPr>
            <w:r>
              <w:rPr>
                <w:b/>
                <w:i/>
                <w:sz w:val="18"/>
              </w:rPr>
              <w:t>% Full year achieved</w:t>
            </w:r>
          </w:p>
        </w:tc>
      </w:tr>
      <w:tr>
        <w:trPr>
          <w:trHeight w:val="290" w:hRule="exact"/>
        </w:trPr>
        <w:tc>
          <w:tcPr>
            <w:tcW w:w="3133" w:type="dxa"/>
          </w:tcPr>
          <w:p>
            <w:pPr>
              <w:pStyle w:val="TableParagraph"/>
              <w:spacing w:before="61"/>
              <w:ind w:left="98"/>
              <w:rPr>
                <w:sz w:val="18"/>
              </w:rPr>
            </w:pPr>
            <w:r>
              <w:rPr>
                <w:sz w:val="18"/>
              </w:rPr>
              <w:t>Revenue</w:t>
            </w:r>
          </w:p>
        </w:tc>
        <w:tc>
          <w:tcPr>
            <w:tcW w:w="1843" w:type="dxa"/>
          </w:tcPr>
          <w:p>
            <w:pPr>
              <w:pStyle w:val="TableParagraph"/>
              <w:spacing w:before="61"/>
              <w:ind w:right="52"/>
              <w:jc w:val="right"/>
              <w:rPr>
                <w:sz w:val="18"/>
              </w:rPr>
            </w:pPr>
            <w:r>
              <w:rPr>
                <w:sz w:val="18"/>
              </w:rPr>
              <w:t>$3,172,576</w:t>
            </w:r>
          </w:p>
        </w:tc>
        <w:tc>
          <w:tcPr>
            <w:tcW w:w="2126" w:type="dxa"/>
          </w:tcPr>
          <w:p>
            <w:pPr>
              <w:pStyle w:val="TableParagraph"/>
              <w:spacing w:before="61"/>
              <w:ind w:right="52"/>
              <w:jc w:val="right"/>
              <w:rPr>
                <w:sz w:val="18"/>
              </w:rPr>
            </w:pPr>
            <w:r>
              <w:rPr>
                <w:sz w:val="18"/>
              </w:rPr>
              <w:t>$4,134,000</w:t>
            </w:r>
          </w:p>
        </w:tc>
        <w:tc>
          <w:tcPr>
            <w:tcW w:w="1984" w:type="dxa"/>
          </w:tcPr>
          <w:p>
            <w:pPr>
              <w:pStyle w:val="TableParagraph"/>
              <w:spacing w:before="61"/>
              <w:ind w:right="50"/>
              <w:jc w:val="right"/>
              <w:rPr>
                <w:sz w:val="18"/>
              </w:rPr>
            </w:pPr>
            <w:r>
              <w:rPr>
                <w:sz w:val="18"/>
              </w:rPr>
              <w:t>77%</w:t>
            </w:r>
          </w:p>
        </w:tc>
      </w:tr>
      <w:tr>
        <w:trPr>
          <w:trHeight w:val="289" w:hRule="exact"/>
        </w:trPr>
        <w:tc>
          <w:tcPr>
            <w:tcW w:w="3133" w:type="dxa"/>
          </w:tcPr>
          <w:p>
            <w:pPr>
              <w:pStyle w:val="TableParagraph"/>
              <w:spacing w:before="61"/>
              <w:ind w:left="98"/>
              <w:rPr>
                <w:sz w:val="18"/>
              </w:rPr>
            </w:pPr>
            <w:r>
              <w:rPr>
                <w:sz w:val="18"/>
              </w:rPr>
              <w:t>Expenses</w:t>
            </w:r>
          </w:p>
        </w:tc>
        <w:tc>
          <w:tcPr>
            <w:tcW w:w="1843" w:type="dxa"/>
          </w:tcPr>
          <w:p>
            <w:pPr>
              <w:pStyle w:val="TableParagraph"/>
              <w:spacing w:before="61"/>
              <w:ind w:right="52"/>
              <w:jc w:val="right"/>
              <w:rPr>
                <w:sz w:val="18"/>
              </w:rPr>
            </w:pPr>
            <w:r>
              <w:rPr>
                <w:sz w:val="18"/>
              </w:rPr>
              <w:t>$0</w:t>
            </w:r>
          </w:p>
        </w:tc>
        <w:tc>
          <w:tcPr>
            <w:tcW w:w="2126" w:type="dxa"/>
          </w:tcPr>
          <w:p>
            <w:pPr>
              <w:pStyle w:val="TableParagraph"/>
              <w:spacing w:before="61"/>
              <w:ind w:right="52"/>
              <w:jc w:val="right"/>
              <w:rPr>
                <w:sz w:val="18"/>
              </w:rPr>
            </w:pPr>
            <w:r>
              <w:rPr>
                <w:sz w:val="18"/>
              </w:rPr>
              <w:t>$0</w:t>
            </w:r>
          </w:p>
        </w:tc>
        <w:tc>
          <w:tcPr>
            <w:tcW w:w="1984" w:type="dxa"/>
          </w:tcPr>
          <w:p>
            <w:pPr>
              <w:pStyle w:val="TableParagraph"/>
              <w:spacing w:before="61"/>
              <w:ind w:right="50"/>
              <w:jc w:val="right"/>
              <w:rPr>
                <w:sz w:val="18"/>
              </w:rPr>
            </w:pPr>
            <w:r>
              <w:rPr>
                <w:sz w:val="18"/>
              </w:rPr>
              <w:t>0%</w:t>
            </w:r>
          </w:p>
        </w:tc>
      </w:tr>
      <w:tr>
        <w:trPr>
          <w:trHeight w:val="290" w:hRule="exact"/>
        </w:trPr>
        <w:tc>
          <w:tcPr>
            <w:tcW w:w="3133" w:type="dxa"/>
          </w:tcPr>
          <w:p>
            <w:pPr>
              <w:pStyle w:val="TableParagraph"/>
              <w:spacing w:before="60"/>
              <w:ind w:left="98"/>
              <w:rPr>
                <w:b/>
                <w:sz w:val="18"/>
              </w:rPr>
            </w:pPr>
            <w:r>
              <w:rPr>
                <w:b/>
                <w:sz w:val="18"/>
              </w:rPr>
              <w:t>Operating Surplus</w:t>
            </w:r>
          </w:p>
        </w:tc>
        <w:tc>
          <w:tcPr>
            <w:tcW w:w="1843" w:type="dxa"/>
          </w:tcPr>
          <w:p>
            <w:pPr>
              <w:pStyle w:val="TableParagraph"/>
              <w:spacing w:before="60"/>
              <w:ind w:right="52"/>
              <w:jc w:val="right"/>
              <w:rPr>
                <w:b/>
                <w:sz w:val="18"/>
              </w:rPr>
            </w:pPr>
            <w:r>
              <w:rPr>
                <w:b/>
                <w:sz w:val="18"/>
              </w:rPr>
              <w:t>$3,172,576</w:t>
            </w:r>
          </w:p>
        </w:tc>
        <w:tc>
          <w:tcPr>
            <w:tcW w:w="2126" w:type="dxa"/>
          </w:tcPr>
          <w:p>
            <w:pPr>
              <w:pStyle w:val="TableParagraph"/>
              <w:spacing w:before="60"/>
              <w:ind w:right="52"/>
              <w:jc w:val="right"/>
              <w:rPr>
                <w:b/>
                <w:sz w:val="18"/>
              </w:rPr>
            </w:pPr>
            <w:r>
              <w:rPr>
                <w:b/>
                <w:sz w:val="18"/>
              </w:rPr>
              <w:t>$4,134,000</w:t>
            </w:r>
          </w:p>
        </w:tc>
        <w:tc>
          <w:tcPr>
            <w:tcW w:w="1984" w:type="dxa"/>
          </w:tcPr>
          <w:p>
            <w:pPr>
              <w:pStyle w:val="TableParagraph"/>
              <w:spacing w:before="61"/>
              <w:ind w:right="50"/>
              <w:jc w:val="right"/>
              <w:rPr>
                <w:sz w:val="18"/>
              </w:rPr>
            </w:pPr>
            <w:r>
              <w:rPr>
                <w:sz w:val="18"/>
              </w:rPr>
              <w:t>77%</w:t>
            </w:r>
          </w:p>
        </w:tc>
      </w:tr>
      <w:tr>
        <w:trPr>
          <w:trHeight w:val="227" w:hRule="exact"/>
        </w:trPr>
        <w:tc>
          <w:tcPr>
            <w:tcW w:w="3133" w:type="dxa"/>
          </w:tcPr>
          <w:p>
            <w:pPr>
              <w:pStyle w:val="TableParagraph"/>
              <w:spacing w:line="206" w:lineRule="exact"/>
              <w:ind w:left="98"/>
              <w:rPr>
                <w:sz w:val="18"/>
              </w:rPr>
            </w:pPr>
            <w:r>
              <w:rPr>
                <w:sz w:val="18"/>
              </w:rPr>
              <w:t>Distributions to UWS</w:t>
            </w:r>
          </w:p>
        </w:tc>
        <w:tc>
          <w:tcPr>
            <w:tcW w:w="1843" w:type="dxa"/>
          </w:tcPr>
          <w:p>
            <w:pPr>
              <w:pStyle w:val="TableParagraph"/>
              <w:spacing w:line="206" w:lineRule="exact"/>
              <w:ind w:right="51"/>
              <w:jc w:val="right"/>
              <w:rPr>
                <w:sz w:val="18"/>
              </w:rPr>
            </w:pPr>
            <w:r>
              <w:rPr>
                <w:sz w:val="18"/>
              </w:rPr>
              <w:t>$854,608</w:t>
            </w:r>
          </w:p>
        </w:tc>
        <w:tc>
          <w:tcPr>
            <w:tcW w:w="2126" w:type="dxa"/>
          </w:tcPr>
          <w:p>
            <w:pPr/>
          </w:p>
        </w:tc>
        <w:tc>
          <w:tcPr>
            <w:tcW w:w="1984" w:type="dxa"/>
          </w:tcPr>
          <w:p>
            <w:pPr/>
          </w:p>
        </w:tc>
      </w:tr>
      <w:tr>
        <w:trPr>
          <w:trHeight w:val="227" w:hRule="exact"/>
        </w:trPr>
        <w:tc>
          <w:tcPr>
            <w:tcW w:w="3133" w:type="dxa"/>
          </w:tcPr>
          <w:p>
            <w:pPr>
              <w:pStyle w:val="TableParagraph"/>
              <w:spacing w:line="206" w:lineRule="exact"/>
              <w:ind w:left="98"/>
              <w:rPr>
                <w:sz w:val="18"/>
              </w:rPr>
            </w:pPr>
            <w:r>
              <w:rPr>
                <w:sz w:val="18"/>
              </w:rPr>
              <w:t>Accumulated Retained Earnings</w:t>
            </w:r>
          </w:p>
        </w:tc>
        <w:tc>
          <w:tcPr>
            <w:tcW w:w="1843" w:type="dxa"/>
          </w:tcPr>
          <w:p>
            <w:pPr>
              <w:pStyle w:val="TableParagraph"/>
              <w:spacing w:line="206" w:lineRule="exact"/>
              <w:ind w:right="51"/>
              <w:jc w:val="right"/>
              <w:rPr>
                <w:sz w:val="18"/>
              </w:rPr>
            </w:pPr>
            <w:r>
              <w:rPr>
                <w:sz w:val="18"/>
              </w:rPr>
              <w:t>$31,461,277</w:t>
            </w:r>
          </w:p>
        </w:tc>
        <w:tc>
          <w:tcPr>
            <w:tcW w:w="2126" w:type="dxa"/>
          </w:tcPr>
          <w:p>
            <w:pPr/>
          </w:p>
        </w:tc>
        <w:tc>
          <w:tcPr>
            <w:tcW w:w="1984" w:type="dxa"/>
          </w:tcPr>
          <w:p>
            <w:pPr/>
          </w:p>
        </w:tc>
      </w:tr>
    </w:tbl>
    <w:p>
      <w:pPr>
        <w:pStyle w:val="BodyText"/>
        <w:spacing w:before="2"/>
        <w:rPr>
          <w:sz w:val="11"/>
        </w:rPr>
      </w:pPr>
    </w:p>
    <w:p>
      <w:pPr>
        <w:pStyle w:val="BodyText"/>
        <w:spacing w:before="77"/>
        <w:ind w:left="140"/>
        <w:jc w:val="both"/>
      </w:pPr>
      <w:r>
        <w:rPr>
          <w:u w:val="single"/>
        </w:rPr>
        <w:t>Management and Operations</w:t>
      </w:r>
    </w:p>
    <w:p>
      <w:pPr>
        <w:pStyle w:val="BodyText"/>
        <w:ind w:left="140" w:right="315"/>
      </w:pPr>
      <w:r>
        <w:rPr/>
        <w:t>The </w:t>
      </w:r>
      <w:r>
        <w:rPr>
          <w:color w:val="0D0D0D"/>
        </w:rPr>
        <w:t>University of Western Sydney Foundation Ltd </w:t>
      </w:r>
      <w:r>
        <w:rPr/>
        <w:t>is a wholly owned entity of the University of Western Sydney. An independent Board of Directors is responsible for the overall operations of the company and trust.</w:t>
      </w:r>
    </w:p>
    <w:p>
      <w:pPr>
        <w:pStyle w:val="BodyText"/>
      </w:pPr>
    </w:p>
    <w:p>
      <w:pPr>
        <w:pStyle w:val="BodyText"/>
      </w:pPr>
    </w:p>
    <w:p>
      <w:pPr>
        <w:pStyle w:val="Heading3"/>
        <w:spacing w:before="149"/>
        <w:ind w:left="140" w:right="0"/>
        <w:jc w:val="both"/>
      </w:pPr>
      <w:r>
        <w:rPr/>
        <w:t>UWS College Pty Ltd</w:t>
      </w:r>
    </w:p>
    <w:p>
      <w:pPr>
        <w:pStyle w:val="BodyText"/>
        <w:spacing w:before="238"/>
        <w:ind w:left="140"/>
        <w:jc w:val="both"/>
      </w:pPr>
      <w:r>
        <w:rPr>
          <w:u w:val="single"/>
        </w:rPr>
        <w:t>Principal Objectives</w:t>
      </w:r>
    </w:p>
    <w:p>
      <w:pPr>
        <w:pStyle w:val="BodyText"/>
        <w:spacing w:before="60"/>
        <w:ind w:left="140" w:right="230"/>
        <w:jc w:val="both"/>
      </w:pPr>
      <w:r>
        <w:rPr/>
        <w:t>The principal objective of the company is to provide English and Academic Pathways programs to the University, complemented by other professional and community programs, consistent with the University of Western Sydney imperatives.</w:t>
      </w:r>
    </w:p>
    <w:p>
      <w:pPr>
        <w:pStyle w:val="BodyText"/>
      </w:pPr>
    </w:p>
    <w:p>
      <w:pPr>
        <w:pStyle w:val="BodyText"/>
        <w:spacing w:before="120"/>
        <w:ind w:left="140"/>
        <w:jc w:val="both"/>
      </w:pPr>
      <w:r>
        <w:rPr>
          <w:u w:val="single"/>
        </w:rPr>
        <w:t>Principal Activities and Strategic Projects</w:t>
      </w:r>
    </w:p>
    <w:p>
      <w:pPr>
        <w:pStyle w:val="BodyText"/>
        <w:spacing w:before="59"/>
        <w:ind w:left="140"/>
        <w:jc w:val="both"/>
      </w:pPr>
      <w:r>
        <w:rPr/>
        <w:t>The principal activities of the company are structured into the following four key areas:</w:t>
      </w:r>
    </w:p>
    <w:p>
      <w:pPr>
        <w:pStyle w:val="BodyText"/>
        <w:spacing w:before="11"/>
        <w:rPr>
          <w:sz w:val="17"/>
        </w:rPr>
      </w:pPr>
    </w:p>
    <w:p>
      <w:pPr>
        <w:pStyle w:val="ListParagraph"/>
        <w:numPr>
          <w:ilvl w:val="0"/>
          <w:numId w:val="143"/>
        </w:numPr>
        <w:tabs>
          <w:tab w:pos="861" w:val="left" w:leader="none"/>
        </w:tabs>
        <w:spacing w:line="240" w:lineRule="auto" w:before="0" w:after="0"/>
        <w:ind w:left="860" w:right="228" w:hanging="360"/>
        <w:jc w:val="left"/>
        <w:rPr>
          <w:sz w:val="18"/>
        </w:rPr>
      </w:pPr>
      <w:r>
        <w:rPr>
          <w:sz w:val="18"/>
        </w:rPr>
        <w:t>Academic Pathways which provides Foundation Studies and a variety of Diploma programs for students proceeding</w:t>
      </w:r>
      <w:r>
        <w:rPr>
          <w:spacing w:val="-4"/>
          <w:sz w:val="18"/>
        </w:rPr>
        <w:t> </w:t>
      </w:r>
      <w:r>
        <w:rPr>
          <w:sz w:val="18"/>
        </w:rPr>
        <w:t>to</w:t>
      </w:r>
      <w:r>
        <w:rPr>
          <w:spacing w:val="-3"/>
          <w:sz w:val="18"/>
        </w:rPr>
        <w:t> </w:t>
      </w:r>
      <w:r>
        <w:rPr>
          <w:sz w:val="18"/>
        </w:rPr>
        <w:t>an</w:t>
      </w:r>
      <w:r>
        <w:rPr>
          <w:spacing w:val="-4"/>
          <w:sz w:val="18"/>
        </w:rPr>
        <w:t> </w:t>
      </w:r>
      <w:r>
        <w:rPr>
          <w:sz w:val="18"/>
        </w:rPr>
        <w:t>academic</w:t>
      </w:r>
      <w:r>
        <w:rPr>
          <w:spacing w:val="-3"/>
          <w:sz w:val="18"/>
        </w:rPr>
        <w:t> </w:t>
      </w:r>
      <w:r>
        <w:rPr>
          <w:sz w:val="18"/>
        </w:rPr>
        <w:t>degree</w:t>
      </w:r>
      <w:r>
        <w:rPr>
          <w:spacing w:val="-5"/>
          <w:sz w:val="18"/>
        </w:rPr>
        <w:t> </w:t>
      </w:r>
      <w:r>
        <w:rPr>
          <w:sz w:val="18"/>
        </w:rPr>
        <w:t>at</w:t>
      </w:r>
      <w:r>
        <w:rPr>
          <w:spacing w:val="-5"/>
          <w:sz w:val="18"/>
        </w:rPr>
        <w:t> </w:t>
      </w:r>
      <w:r>
        <w:rPr>
          <w:sz w:val="18"/>
        </w:rPr>
        <w:t>the</w:t>
      </w:r>
      <w:r>
        <w:rPr>
          <w:spacing w:val="-4"/>
          <w:sz w:val="18"/>
        </w:rPr>
        <w:t> </w:t>
      </w:r>
      <w:r>
        <w:rPr>
          <w:sz w:val="18"/>
        </w:rPr>
        <w:t>University</w:t>
      </w:r>
      <w:r>
        <w:rPr>
          <w:spacing w:val="-5"/>
          <w:sz w:val="18"/>
        </w:rPr>
        <w:t> </w:t>
      </w:r>
      <w:r>
        <w:rPr>
          <w:sz w:val="18"/>
        </w:rPr>
        <w:t>of</w:t>
      </w:r>
      <w:r>
        <w:rPr>
          <w:spacing w:val="-4"/>
          <w:sz w:val="18"/>
        </w:rPr>
        <w:t> </w:t>
      </w:r>
      <w:r>
        <w:rPr>
          <w:sz w:val="18"/>
        </w:rPr>
        <w:t>Western</w:t>
      </w:r>
      <w:r>
        <w:rPr>
          <w:spacing w:val="-4"/>
          <w:sz w:val="18"/>
        </w:rPr>
        <w:t> </w:t>
      </w:r>
      <w:r>
        <w:rPr>
          <w:sz w:val="18"/>
        </w:rPr>
        <w:t>Sydney.</w:t>
      </w:r>
    </w:p>
    <w:p>
      <w:pPr>
        <w:pStyle w:val="ListParagraph"/>
        <w:numPr>
          <w:ilvl w:val="0"/>
          <w:numId w:val="143"/>
        </w:numPr>
        <w:tabs>
          <w:tab w:pos="861" w:val="left" w:leader="none"/>
        </w:tabs>
        <w:spacing w:line="240" w:lineRule="auto" w:before="103" w:after="0"/>
        <w:ind w:left="860" w:right="312" w:hanging="360"/>
        <w:jc w:val="left"/>
        <w:rPr>
          <w:sz w:val="18"/>
        </w:rPr>
      </w:pPr>
      <w:r>
        <w:rPr>
          <w:sz w:val="18"/>
        </w:rPr>
        <w:t>English Programs which enable international students to gain the academic English skills essential for university entrance. This unit also provides a diversity of programmes for international groups including industry</w:t>
      </w:r>
      <w:r>
        <w:rPr>
          <w:spacing w:val="-7"/>
          <w:sz w:val="18"/>
        </w:rPr>
        <w:t> </w:t>
      </w:r>
      <w:r>
        <w:rPr>
          <w:sz w:val="18"/>
        </w:rPr>
        <w:t>visits</w:t>
      </w:r>
      <w:r>
        <w:rPr>
          <w:spacing w:val="-5"/>
          <w:sz w:val="18"/>
        </w:rPr>
        <w:t> </w:t>
      </w:r>
      <w:r>
        <w:rPr>
          <w:sz w:val="18"/>
        </w:rPr>
        <w:t>and</w:t>
      </w:r>
      <w:r>
        <w:rPr>
          <w:spacing w:val="-5"/>
          <w:sz w:val="18"/>
        </w:rPr>
        <w:t> </w:t>
      </w:r>
      <w:r>
        <w:rPr>
          <w:sz w:val="18"/>
        </w:rPr>
        <w:t>cultural</w:t>
      </w:r>
      <w:r>
        <w:rPr>
          <w:spacing w:val="-5"/>
          <w:sz w:val="18"/>
        </w:rPr>
        <w:t> </w:t>
      </w:r>
      <w:r>
        <w:rPr>
          <w:sz w:val="18"/>
        </w:rPr>
        <w:t>immersion,</w:t>
      </w:r>
      <w:r>
        <w:rPr>
          <w:spacing w:val="-5"/>
          <w:sz w:val="18"/>
        </w:rPr>
        <w:t> </w:t>
      </w:r>
      <w:r>
        <w:rPr>
          <w:sz w:val="18"/>
        </w:rPr>
        <w:t>as</w:t>
      </w:r>
      <w:r>
        <w:rPr>
          <w:spacing w:val="-3"/>
          <w:sz w:val="18"/>
        </w:rPr>
        <w:t> </w:t>
      </w:r>
      <w:r>
        <w:rPr>
          <w:sz w:val="18"/>
        </w:rPr>
        <w:t>well</w:t>
      </w:r>
      <w:r>
        <w:rPr>
          <w:spacing w:val="-5"/>
          <w:sz w:val="18"/>
        </w:rPr>
        <w:t> </w:t>
      </w:r>
      <w:r>
        <w:rPr>
          <w:sz w:val="18"/>
        </w:rPr>
        <w:t>is</w:t>
      </w:r>
      <w:r>
        <w:rPr>
          <w:spacing w:val="-6"/>
          <w:sz w:val="18"/>
        </w:rPr>
        <w:t> </w:t>
      </w:r>
      <w:r>
        <w:rPr>
          <w:sz w:val="18"/>
        </w:rPr>
        <w:t>IELTS</w:t>
      </w:r>
      <w:r>
        <w:rPr>
          <w:spacing w:val="-5"/>
          <w:sz w:val="18"/>
        </w:rPr>
        <w:t> </w:t>
      </w:r>
      <w:r>
        <w:rPr>
          <w:sz w:val="18"/>
        </w:rPr>
        <w:t>and</w:t>
      </w:r>
      <w:r>
        <w:rPr>
          <w:spacing w:val="-5"/>
          <w:sz w:val="18"/>
        </w:rPr>
        <w:t> </w:t>
      </w:r>
      <w:r>
        <w:rPr>
          <w:sz w:val="18"/>
        </w:rPr>
        <w:t>other</w:t>
      </w:r>
      <w:r>
        <w:rPr>
          <w:spacing w:val="-5"/>
          <w:sz w:val="18"/>
        </w:rPr>
        <w:t> </w:t>
      </w:r>
      <w:r>
        <w:rPr>
          <w:sz w:val="18"/>
        </w:rPr>
        <w:t>English-language</w:t>
      </w:r>
      <w:r>
        <w:rPr>
          <w:spacing w:val="-5"/>
          <w:sz w:val="18"/>
        </w:rPr>
        <w:t> </w:t>
      </w:r>
      <w:r>
        <w:rPr>
          <w:sz w:val="18"/>
        </w:rPr>
        <w:t>assessment</w:t>
      </w:r>
      <w:r>
        <w:rPr>
          <w:spacing w:val="-5"/>
          <w:sz w:val="18"/>
        </w:rPr>
        <w:t> </w:t>
      </w:r>
      <w:r>
        <w:rPr>
          <w:sz w:val="18"/>
        </w:rPr>
        <w:t>tests.</w:t>
      </w:r>
    </w:p>
    <w:p>
      <w:pPr>
        <w:pStyle w:val="ListParagraph"/>
        <w:numPr>
          <w:ilvl w:val="0"/>
          <w:numId w:val="143"/>
        </w:numPr>
        <w:tabs>
          <w:tab w:pos="861" w:val="left" w:leader="none"/>
        </w:tabs>
        <w:spacing w:line="240" w:lineRule="auto" w:before="0" w:after="0"/>
        <w:ind w:left="860" w:right="148" w:hanging="360"/>
        <w:jc w:val="left"/>
        <w:rPr>
          <w:sz w:val="18"/>
        </w:rPr>
      </w:pPr>
      <w:r>
        <w:rPr>
          <w:sz w:val="18"/>
        </w:rPr>
        <w:t>Professional and Community Programs which delivers VET sector courses; acts as the College Registered Training Organisation (RTO), and conducts Property and Trust Management, SKILLMAX and HSC preparation</w:t>
      </w:r>
      <w:r>
        <w:rPr>
          <w:spacing w:val="-17"/>
          <w:sz w:val="18"/>
        </w:rPr>
        <w:t> </w:t>
      </w:r>
      <w:r>
        <w:rPr>
          <w:sz w:val="18"/>
        </w:rPr>
        <w:t>courses.</w:t>
      </w:r>
    </w:p>
    <w:p>
      <w:pPr>
        <w:pStyle w:val="ListParagraph"/>
        <w:numPr>
          <w:ilvl w:val="0"/>
          <w:numId w:val="143"/>
        </w:numPr>
        <w:tabs>
          <w:tab w:pos="861" w:val="left" w:leader="none"/>
        </w:tabs>
        <w:spacing w:line="240" w:lineRule="auto" w:before="0" w:after="0"/>
        <w:ind w:left="860" w:right="428" w:hanging="360"/>
        <w:jc w:val="left"/>
        <w:rPr>
          <w:sz w:val="18"/>
        </w:rPr>
      </w:pPr>
      <w:r>
        <w:rPr>
          <w:sz w:val="18"/>
        </w:rPr>
        <w:t>Corporate and Business Services, including organisational development which provides the planning, operational support and infrastructure to enable the efficient and effective delivery of the company’s teaching and learning</w:t>
      </w:r>
      <w:r>
        <w:rPr>
          <w:spacing w:val="-17"/>
          <w:sz w:val="18"/>
        </w:rPr>
        <w:t> </w:t>
      </w:r>
      <w:r>
        <w:rPr>
          <w:sz w:val="18"/>
        </w:rPr>
        <w:t>services.</w:t>
      </w:r>
    </w:p>
    <w:p>
      <w:pPr>
        <w:pStyle w:val="BodyText"/>
      </w:pPr>
    </w:p>
    <w:p>
      <w:pPr>
        <w:pStyle w:val="BodyText"/>
        <w:ind w:left="140" w:right="765"/>
      </w:pPr>
      <w:r>
        <w:rPr/>
        <w:t>During the 2012 financial year the company undertook numerous strategic projects in accordance with the company’s overall objectives and principal activities.</w:t>
      </w:r>
    </w:p>
    <w:p>
      <w:pPr>
        <w:spacing w:after="0"/>
        <w:sectPr>
          <w:pgSz w:w="11910" w:h="16840"/>
          <w:pgMar w:header="709" w:footer="1023" w:top="900" w:bottom="1220" w:left="1300" w:right="1260"/>
        </w:sectPr>
      </w:pPr>
    </w:p>
    <w:p>
      <w:pPr>
        <w:pStyle w:val="BodyText"/>
        <w:rPr>
          <w:sz w:val="20"/>
        </w:rPr>
      </w:pPr>
    </w:p>
    <w:p>
      <w:pPr>
        <w:pStyle w:val="BodyText"/>
        <w:spacing w:before="3"/>
        <w:rPr>
          <w:sz w:val="19"/>
        </w:rPr>
      </w:pPr>
    </w:p>
    <w:p>
      <w:pPr>
        <w:pStyle w:val="BodyText"/>
        <w:spacing w:line="207" w:lineRule="exact" w:before="77"/>
        <w:ind w:left="140" w:right="6648"/>
      </w:pPr>
      <w:r>
        <w:rPr>
          <w:u w:val="single"/>
        </w:rPr>
        <w:t>Performance Measures</w:t>
      </w:r>
    </w:p>
    <w:p>
      <w:pPr>
        <w:pStyle w:val="BodyText"/>
        <w:spacing w:line="207" w:lineRule="exact"/>
        <w:ind w:left="140" w:right="653"/>
      </w:pPr>
      <w:r>
        <w:rPr/>
        <w:t>The performance measures of the Company are both financial and non-financial.</w:t>
      </w:r>
    </w:p>
    <w:p>
      <w:pPr>
        <w:pStyle w:val="ListParagraph"/>
        <w:numPr>
          <w:ilvl w:val="0"/>
          <w:numId w:val="144"/>
        </w:numPr>
        <w:tabs>
          <w:tab w:pos="861" w:val="left" w:leader="none"/>
        </w:tabs>
        <w:spacing w:line="240" w:lineRule="auto" w:before="104" w:after="0"/>
        <w:ind w:left="860" w:right="339" w:hanging="360"/>
        <w:jc w:val="left"/>
        <w:rPr>
          <w:sz w:val="18"/>
        </w:rPr>
      </w:pPr>
      <w:r>
        <w:rPr>
          <w:sz w:val="18"/>
        </w:rPr>
        <w:t>The results show that while income has not been at the level budgeted, due to the downturn in international students and local fee paying students in Foundation Studies, expenditure has been carefully managed to deliver a surplus commensurate with the lower income. The operating surplus at year end is slightly better than full year budget, which can be attributed to a number of factors which include tight control on salaries and other expenditure, and the winning of the SAF-EIF grant which enabled the College’s expansion</w:t>
      </w:r>
      <w:r>
        <w:rPr>
          <w:spacing w:val="-23"/>
          <w:sz w:val="18"/>
        </w:rPr>
        <w:t> </w:t>
      </w:r>
      <w:r>
        <w:rPr>
          <w:sz w:val="18"/>
        </w:rPr>
        <w:t>plans.</w:t>
      </w:r>
    </w:p>
    <w:p>
      <w:pPr>
        <w:pStyle w:val="ListParagraph"/>
        <w:numPr>
          <w:ilvl w:val="0"/>
          <w:numId w:val="144"/>
        </w:numPr>
        <w:tabs>
          <w:tab w:pos="861" w:val="left" w:leader="none"/>
        </w:tabs>
        <w:spacing w:line="240" w:lineRule="auto" w:before="0" w:after="0"/>
        <w:ind w:left="860" w:right="247" w:hanging="360"/>
        <w:jc w:val="left"/>
        <w:rPr>
          <w:sz w:val="18"/>
        </w:rPr>
      </w:pPr>
      <w:r>
        <w:rPr>
          <w:sz w:val="18"/>
        </w:rPr>
        <w:t>Total Academic Pathways student enrolments for Term 3 were 859, as at census date, which compares favourably with 670 at the same time last year. While local enrolments in Terms 2 and 3 are similar or better than last year, nevertheless it did not compensate for the less than budgeted enrolments in International and local fee paying students in Term</w:t>
      </w:r>
      <w:r>
        <w:rPr>
          <w:spacing w:val="-28"/>
          <w:sz w:val="18"/>
        </w:rPr>
        <w:t> </w:t>
      </w:r>
      <w:r>
        <w:rPr>
          <w:sz w:val="18"/>
        </w:rPr>
        <w:t>1.</w:t>
      </w:r>
    </w:p>
    <w:p>
      <w:pPr>
        <w:pStyle w:val="ListParagraph"/>
        <w:numPr>
          <w:ilvl w:val="0"/>
          <w:numId w:val="144"/>
        </w:numPr>
        <w:tabs>
          <w:tab w:pos="861" w:val="left" w:leader="none"/>
        </w:tabs>
        <w:spacing w:line="240" w:lineRule="auto" w:before="0" w:after="0"/>
        <w:ind w:left="860" w:right="227" w:hanging="360"/>
        <w:jc w:val="left"/>
        <w:rPr>
          <w:sz w:val="18"/>
        </w:rPr>
      </w:pPr>
      <w:r>
        <w:rPr>
          <w:sz w:val="18"/>
        </w:rPr>
        <w:t>English Programs have improving student numbers, which are better than the comparative period last year; however the increase in student numbers has been mitigated by lower fees having to be offered in a highly competitive</w:t>
      </w:r>
      <w:r>
        <w:rPr>
          <w:spacing w:val="-20"/>
          <w:sz w:val="18"/>
        </w:rPr>
        <w:t> </w:t>
      </w:r>
      <w:r>
        <w:rPr>
          <w:sz w:val="18"/>
        </w:rPr>
        <w:t>environment.</w:t>
      </w:r>
    </w:p>
    <w:p>
      <w:pPr>
        <w:pStyle w:val="ListParagraph"/>
        <w:numPr>
          <w:ilvl w:val="0"/>
          <w:numId w:val="144"/>
        </w:numPr>
        <w:tabs>
          <w:tab w:pos="861" w:val="left" w:leader="none"/>
        </w:tabs>
        <w:spacing w:line="240" w:lineRule="auto" w:before="0" w:after="0"/>
        <w:ind w:left="860" w:right="309" w:hanging="360"/>
        <w:jc w:val="left"/>
        <w:rPr>
          <w:sz w:val="18"/>
        </w:rPr>
      </w:pPr>
      <w:r>
        <w:rPr>
          <w:sz w:val="18"/>
        </w:rPr>
        <w:t>IELTS has performed well, with all test dates being fully and sometimes oversubscribed, and additional test dates</w:t>
      </w:r>
      <w:r>
        <w:rPr>
          <w:spacing w:val="-15"/>
          <w:sz w:val="18"/>
        </w:rPr>
        <w:t> </w:t>
      </w:r>
      <w:r>
        <w:rPr>
          <w:sz w:val="18"/>
        </w:rPr>
        <w:t>arranged.</w:t>
      </w:r>
    </w:p>
    <w:p>
      <w:pPr>
        <w:pStyle w:val="BodyText"/>
        <w:rPr>
          <w:sz w:val="20"/>
        </w:rPr>
      </w:pPr>
    </w:p>
    <w:p>
      <w:pPr>
        <w:pStyle w:val="BodyText"/>
        <w:spacing w:before="2"/>
        <w:rPr>
          <w:sz w:val="16"/>
        </w:rPr>
      </w:pPr>
    </w:p>
    <w:tbl>
      <w:tblPr>
        <w:tblW w:w="0" w:type="auto"/>
        <w:jc w:val="left"/>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16"/>
        <w:gridCol w:w="1985"/>
        <w:gridCol w:w="1985"/>
        <w:gridCol w:w="1700"/>
      </w:tblGrid>
      <w:tr>
        <w:trPr>
          <w:trHeight w:val="601" w:hRule="exact"/>
        </w:trPr>
        <w:tc>
          <w:tcPr>
            <w:tcW w:w="3416" w:type="dxa"/>
          </w:tcPr>
          <w:p>
            <w:pPr>
              <w:pStyle w:val="TableParagraph"/>
              <w:spacing w:before="1"/>
              <w:rPr>
                <w:sz w:val="16"/>
              </w:rPr>
            </w:pPr>
          </w:p>
          <w:p>
            <w:pPr>
              <w:pStyle w:val="TableParagraph"/>
              <w:ind w:left="98"/>
              <w:rPr>
                <w:b/>
                <w:i/>
                <w:sz w:val="18"/>
              </w:rPr>
            </w:pPr>
            <w:r>
              <w:rPr>
                <w:b/>
                <w:i/>
                <w:sz w:val="18"/>
              </w:rPr>
              <w:t>Category</w:t>
            </w:r>
          </w:p>
        </w:tc>
        <w:tc>
          <w:tcPr>
            <w:tcW w:w="1985" w:type="dxa"/>
          </w:tcPr>
          <w:p>
            <w:pPr>
              <w:pStyle w:val="TableParagraph"/>
              <w:spacing w:before="1"/>
              <w:rPr>
                <w:sz w:val="16"/>
              </w:rPr>
            </w:pPr>
          </w:p>
          <w:p>
            <w:pPr>
              <w:pStyle w:val="TableParagraph"/>
              <w:ind w:right="49"/>
              <w:jc w:val="right"/>
              <w:rPr>
                <w:b/>
                <w:i/>
                <w:sz w:val="18"/>
              </w:rPr>
            </w:pPr>
            <w:r>
              <w:rPr>
                <w:b/>
                <w:i/>
                <w:sz w:val="18"/>
              </w:rPr>
              <w:t>FY 2012 Actual</w:t>
            </w:r>
          </w:p>
        </w:tc>
        <w:tc>
          <w:tcPr>
            <w:tcW w:w="1985" w:type="dxa"/>
          </w:tcPr>
          <w:p>
            <w:pPr>
              <w:pStyle w:val="TableParagraph"/>
              <w:spacing w:before="1"/>
              <w:rPr>
                <w:sz w:val="16"/>
              </w:rPr>
            </w:pPr>
          </w:p>
          <w:p>
            <w:pPr>
              <w:pStyle w:val="TableParagraph"/>
              <w:ind w:right="50"/>
              <w:jc w:val="right"/>
              <w:rPr>
                <w:b/>
                <w:i/>
                <w:sz w:val="18"/>
              </w:rPr>
            </w:pPr>
            <w:r>
              <w:rPr>
                <w:b/>
                <w:i/>
                <w:sz w:val="18"/>
              </w:rPr>
              <w:t>Annual 2012 Budget</w:t>
            </w:r>
          </w:p>
        </w:tc>
        <w:tc>
          <w:tcPr>
            <w:tcW w:w="1700" w:type="dxa"/>
          </w:tcPr>
          <w:p>
            <w:pPr>
              <w:pStyle w:val="TableParagraph"/>
              <w:spacing w:before="82"/>
              <w:ind w:left="857" w:right="32" w:hanging="179"/>
              <w:rPr>
                <w:b/>
                <w:i/>
                <w:sz w:val="18"/>
              </w:rPr>
            </w:pPr>
            <w:r>
              <w:rPr>
                <w:b/>
                <w:i/>
                <w:sz w:val="18"/>
              </w:rPr>
              <w:t>% Full year </w:t>
            </w:r>
            <w:r>
              <w:rPr>
                <w:b/>
                <w:i/>
                <w:sz w:val="18"/>
              </w:rPr>
              <w:t>achieved</w:t>
            </w:r>
          </w:p>
        </w:tc>
      </w:tr>
      <w:tr>
        <w:trPr>
          <w:trHeight w:val="289" w:hRule="exact"/>
        </w:trPr>
        <w:tc>
          <w:tcPr>
            <w:tcW w:w="3416" w:type="dxa"/>
          </w:tcPr>
          <w:p>
            <w:pPr>
              <w:pStyle w:val="TableParagraph"/>
              <w:spacing w:before="61"/>
              <w:ind w:left="98"/>
              <w:rPr>
                <w:sz w:val="18"/>
              </w:rPr>
            </w:pPr>
            <w:r>
              <w:rPr>
                <w:sz w:val="18"/>
              </w:rPr>
              <w:t>Revenue</w:t>
            </w:r>
          </w:p>
        </w:tc>
        <w:tc>
          <w:tcPr>
            <w:tcW w:w="1985" w:type="dxa"/>
          </w:tcPr>
          <w:p>
            <w:pPr>
              <w:pStyle w:val="TableParagraph"/>
              <w:spacing w:before="61"/>
              <w:ind w:right="50"/>
              <w:jc w:val="right"/>
              <w:rPr>
                <w:sz w:val="18"/>
              </w:rPr>
            </w:pPr>
            <w:r>
              <w:rPr>
                <w:sz w:val="18"/>
              </w:rPr>
              <w:t>$25,581,882</w:t>
            </w:r>
          </w:p>
        </w:tc>
        <w:tc>
          <w:tcPr>
            <w:tcW w:w="1985" w:type="dxa"/>
          </w:tcPr>
          <w:p>
            <w:pPr>
              <w:pStyle w:val="TableParagraph"/>
              <w:spacing w:before="61"/>
              <w:ind w:right="51"/>
              <w:jc w:val="right"/>
              <w:rPr>
                <w:sz w:val="18"/>
              </w:rPr>
            </w:pPr>
            <w:r>
              <w:rPr>
                <w:sz w:val="18"/>
              </w:rPr>
              <w:t>$28,550,149</w:t>
            </w:r>
          </w:p>
        </w:tc>
        <w:tc>
          <w:tcPr>
            <w:tcW w:w="1700" w:type="dxa"/>
          </w:tcPr>
          <w:p>
            <w:pPr>
              <w:pStyle w:val="TableParagraph"/>
              <w:spacing w:before="61"/>
              <w:ind w:right="52"/>
              <w:jc w:val="right"/>
              <w:rPr>
                <w:sz w:val="18"/>
              </w:rPr>
            </w:pPr>
            <w:r>
              <w:rPr>
                <w:sz w:val="18"/>
              </w:rPr>
              <w:t>90%</w:t>
            </w:r>
          </w:p>
        </w:tc>
      </w:tr>
      <w:tr>
        <w:trPr>
          <w:trHeight w:val="290" w:hRule="exact"/>
        </w:trPr>
        <w:tc>
          <w:tcPr>
            <w:tcW w:w="3416" w:type="dxa"/>
          </w:tcPr>
          <w:p>
            <w:pPr>
              <w:pStyle w:val="TableParagraph"/>
              <w:spacing w:before="62"/>
              <w:ind w:left="98"/>
              <w:rPr>
                <w:sz w:val="18"/>
              </w:rPr>
            </w:pPr>
            <w:r>
              <w:rPr>
                <w:sz w:val="18"/>
              </w:rPr>
              <w:t>Expenses</w:t>
            </w:r>
          </w:p>
        </w:tc>
        <w:tc>
          <w:tcPr>
            <w:tcW w:w="1985" w:type="dxa"/>
          </w:tcPr>
          <w:p>
            <w:pPr>
              <w:pStyle w:val="TableParagraph"/>
              <w:spacing w:before="62"/>
              <w:ind w:right="50"/>
              <w:jc w:val="right"/>
              <w:rPr>
                <w:sz w:val="18"/>
              </w:rPr>
            </w:pPr>
            <w:r>
              <w:rPr>
                <w:sz w:val="18"/>
              </w:rPr>
              <w:t>$24,454,815</w:t>
            </w:r>
          </w:p>
        </w:tc>
        <w:tc>
          <w:tcPr>
            <w:tcW w:w="1985" w:type="dxa"/>
          </w:tcPr>
          <w:p>
            <w:pPr>
              <w:pStyle w:val="TableParagraph"/>
              <w:spacing w:before="62"/>
              <w:ind w:right="51"/>
              <w:jc w:val="right"/>
              <w:rPr>
                <w:sz w:val="18"/>
              </w:rPr>
            </w:pPr>
            <w:r>
              <w:rPr>
                <w:sz w:val="18"/>
              </w:rPr>
              <w:t>$27,448,529</w:t>
            </w:r>
          </w:p>
        </w:tc>
        <w:tc>
          <w:tcPr>
            <w:tcW w:w="1700" w:type="dxa"/>
          </w:tcPr>
          <w:p>
            <w:pPr>
              <w:pStyle w:val="TableParagraph"/>
              <w:spacing w:before="62"/>
              <w:ind w:right="52"/>
              <w:jc w:val="right"/>
              <w:rPr>
                <w:sz w:val="18"/>
              </w:rPr>
            </w:pPr>
            <w:r>
              <w:rPr>
                <w:sz w:val="18"/>
              </w:rPr>
              <w:t>89%</w:t>
            </w:r>
          </w:p>
        </w:tc>
      </w:tr>
      <w:tr>
        <w:trPr>
          <w:trHeight w:val="290" w:hRule="exact"/>
        </w:trPr>
        <w:tc>
          <w:tcPr>
            <w:tcW w:w="3416" w:type="dxa"/>
          </w:tcPr>
          <w:p>
            <w:pPr>
              <w:pStyle w:val="TableParagraph"/>
              <w:spacing w:before="60"/>
              <w:ind w:left="98"/>
              <w:rPr>
                <w:b/>
                <w:sz w:val="18"/>
              </w:rPr>
            </w:pPr>
            <w:r>
              <w:rPr>
                <w:b/>
                <w:sz w:val="18"/>
              </w:rPr>
              <w:t>Operating Surplus</w:t>
            </w:r>
          </w:p>
        </w:tc>
        <w:tc>
          <w:tcPr>
            <w:tcW w:w="1985" w:type="dxa"/>
          </w:tcPr>
          <w:p>
            <w:pPr>
              <w:pStyle w:val="TableParagraph"/>
              <w:spacing w:before="60"/>
              <w:ind w:right="51"/>
              <w:jc w:val="right"/>
              <w:rPr>
                <w:b/>
                <w:sz w:val="18"/>
              </w:rPr>
            </w:pPr>
            <w:r>
              <w:rPr>
                <w:b/>
                <w:sz w:val="18"/>
              </w:rPr>
              <w:t>$1,127,067</w:t>
            </w:r>
          </w:p>
        </w:tc>
        <w:tc>
          <w:tcPr>
            <w:tcW w:w="1985" w:type="dxa"/>
          </w:tcPr>
          <w:p>
            <w:pPr>
              <w:pStyle w:val="TableParagraph"/>
              <w:spacing w:before="60"/>
              <w:ind w:right="52"/>
              <w:jc w:val="right"/>
              <w:rPr>
                <w:b/>
                <w:sz w:val="18"/>
              </w:rPr>
            </w:pPr>
            <w:r>
              <w:rPr>
                <w:b/>
                <w:sz w:val="18"/>
              </w:rPr>
              <w:t>$1,101,620</w:t>
            </w:r>
          </w:p>
        </w:tc>
        <w:tc>
          <w:tcPr>
            <w:tcW w:w="1700" w:type="dxa"/>
          </w:tcPr>
          <w:p>
            <w:pPr>
              <w:pStyle w:val="TableParagraph"/>
              <w:spacing w:before="61"/>
              <w:ind w:right="51"/>
              <w:jc w:val="right"/>
              <w:rPr>
                <w:sz w:val="18"/>
              </w:rPr>
            </w:pPr>
            <w:r>
              <w:rPr>
                <w:sz w:val="18"/>
              </w:rPr>
              <w:t>102%</w:t>
            </w:r>
          </w:p>
        </w:tc>
      </w:tr>
      <w:tr>
        <w:trPr>
          <w:trHeight w:val="227" w:hRule="exact"/>
        </w:trPr>
        <w:tc>
          <w:tcPr>
            <w:tcW w:w="3416" w:type="dxa"/>
          </w:tcPr>
          <w:p>
            <w:pPr>
              <w:pStyle w:val="TableParagraph"/>
              <w:spacing w:line="205" w:lineRule="exact"/>
              <w:ind w:left="98"/>
              <w:rPr>
                <w:sz w:val="18"/>
              </w:rPr>
            </w:pPr>
            <w:r>
              <w:rPr>
                <w:sz w:val="18"/>
              </w:rPr>
              <w:t>Accumulated Retained Earnings</w:t>
            </w:r>
          </w:p>
        </w:tc>
        <w:tc>
          <w:tcPr>
            <w:tcW w:w="1985" w:type="dxa"/>
          </w:tcPr>
          <w:p>
            <w:pPr>
              <w:pStyle w:val="TableParagraph"/>
              <w:spacing w:line="205" w:lineRule="exact"/>
              <w:ind w:right="51"/>
              <w:jc w:val="right"/>
              <w:rPr>
                <w:sz w:val="18"/>
              </w:rPr>
            </w:pPr>
            <w:r>
              <w:rPr>
                <w:sz w:val="18"/>
              </w:rPr>
              <w:t>$4,264,604</w:t>
            </w:r>
          </w:p>
        </w:tc>
        <w:tc>
          <w:tcPr>
            <w:tcW w:w="1985" w:type="dxa"/>
          </w:tcPr>
          <w:p>
            <w:pPr/>
          </w:p>
        </w:tc>
        <w:tc>
          <w:tcPr>
            <w:tcW w:w="1700" w:type="dxa"/>
          </w:tcPr>
          <w:p>
            <w:pPr/>
          </w:p>
        </w:tc>
      </w:tr>
    </w:tbl>
    <w:p>
      <w:pPr>
        <w:pStyle w:val="BodyText"/>
        <w:spacing w:before="7"/>
        <w:rPr>
          <w:sz w:val="21"/>
        </w:rPr>
      </w:pPr>
    </w:p>
    <w:p>
      <w:pPr>
        <w:pStyle w:val="BodyText"/>
        <w:spacing w:before="77"/>
        <w:ind w:left="140" w:right="6648"/>
      </w:pPr>
      <w:r>
        <w:rPr>
          <w:u w:val="single"/>
        </w:rPr>
        <w:t>Management and Operations</w:t>
      </w:r>
    </w:p>
    <w:p>
      <w:pPr>
        <w:pStyle w:val="BodyText"/>
        <w:ind w:left="140" w:right="250"/>
      </w:pPr>
      <w:r>
        <w:rPr/>
        <w:t>UWS College Pty Ltd is a wholly owned entity of the University of Western Sydney. An independent Board of Directors is responsible for the overall operations of the company and the day to day activities are managed by a full-time chief executive officer.</w:t>
      </w:r>
    </w:p>
    <w:p>
      <w:pPr>
        <w:pStyle w:val="BodyText"/>
        <w:spacing w:before="120"/>
        <w:ind w:left="140" w:right="235"/>
      </w:pPr>
      <w:r>
        <w:rPr/>
        <w:t>The Board has oversight of the Academic Advisory Committee and the English and Professional and Community Programs Academic Advisory Committee. An Audit Committee of the Board was established in 2010 and has made a significant contribution to financial monitoring and reporting within the organisation.</w:t>
      </w:r>
    </w:p>
    <w:p>
      <w:pPr>
        <w:pStyle w:val="BodyText"/>
      </w:pPr>
    </w:p>
    <w:p>
      <w:pPr>
        <w:pStyle w:val="Heading3"/>
        <w:spacing w:before="116"/>
        <w:ind w:left="140" w:right="6648"/>
      </w:pPr>
      <w:r>
        <w:rPr>
          <w:color w:val="0D0D0D"/>
        </w:rPr>
        <w:t>uwsconnect Ltd</w:t>
      </w:r>
    </w:p>
    <w:p>
      <w:pPr>
        <w:pStyle w:val="BodyText"/>
        <w:spacing w:line="207" w:lineRule="exact" w:before="206"/>
        <w:ind w:left="140" w:right="6648"/>
      </w:pPr>
      <w:r>
        <w:rPr>
          <w:color w:val="0D0D0D"/>
          <w:u w:val="single" w:color="0D0D0D"/>
        </w:rPr>
        <w:t>Principal Objectives</w:t>
      </w:r>
    </w:p>
    <w:p>
      <w:pPr>
        <w:pStyle w:val="BodyText"/>
        <w:ind w:left="140" w:right="315"/>
      </w:pPr>
      <w:r>
        <w:rPr>
          <w:color w:val="0D0D0D"/>
        </w:rPr>
        <w:t>The principal objective of the company is to provide food and beverage, retail, sporting and campus life facilities and services across all six of the University of Western Sydney campuses.</w:t>
      </w:r>
    </w:p>
    <w:p>
      <w:pPr>
        <w:pStyle w:val="BodyText"/>
        <w:spacing w:before="10"/>
        <w:rPr>
          <w:sz w:val="17"/>
        </w:rPr>
      </w:pPr>
    </w:p>
    <w:p>
      <w:pPr>
        <w:pStyle w:val="BodyText"/>
        <w:ind w:left="140" w:right="653"/>
      </w:pPr>
      <w:r>
        <w:rPr>
          <w:color w:val="0D0D0D"/>
          <w:u w:val="single" w:color="0D0D0D"/>
        </w:rPr>
        <w:t>Principal Activities and Strategic Projects</w:t>
      </w:r>
    </w:p>
    <w:p>
      <w:pPr>
        <w:pStyle w:val="BodyText"/>
        <w:ind w:left="139" w:right="216"/>
      </w:pPr>
      <w:r>
        <w:rPr>
          <w:color w:val="0D0D0D"/>
        </w:rPr>
        <w:t>The principal activity of the company during the 2012 financial year was the provision of sports and leisure, retail, food and beverage, and other services to the University of Western Sydney community including students, staff, alumni and residents of greater Western Sydney.</w:t>
      </w:r>
    </w:p>
    <w:p>
      <w:pPr>
        <w:pStyle w:val="BodyText"/>
      </w:pPr>
    </w:p>
    <w:p>
      <w:pPr>
        <w:pStyle w:val="BodyText"/>
        <w:spacing w:line="207" w:lineRule="exact"/>
        <w:ind w:left="139" w:right="6648"/>
      </w:pPr>
      <w:r>
        <w:rPr>
          <w:color w:val="0D0D0D"/>
          <w:u w:val="single" w:color="0D0D0D"/>
        </w:rPr>
        <w:t>Performance measures</w:t>
      </w:r>
    </w:p>
    <w:p>
      <w:pPr>
        <w:pStyle w:val="BodyText"/>
        <w:ind w:left="140" w:right="204"/>
      </w:pPr>
      <w:r>
        <w:rPr>
          <w:color w:val="0D0D0D"/>
        </w:rPr>
        <w:t>The performance measures of the company are financial and non-financial related to trading in community services. During 2012 uwsconnect experienced a decrease in actual revenue to budget, reflected in trading sales as a result of lower than budgeted commencing student numbers.</w:t>
      </w:r>
    </w:p>
    <w:p>
      <w:pPr>
        <w:pStyle w:val="BodyText"/>
        <w:spacing w:before="2"/>
      </w:pPr>
    </w:p>
    <w:tbl>
      <w:tblPr>
        <w:tblW w:w="0" w:type="auto"/>
        <w:jc w:val="left"/>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16"/>
        <w:gridCol w:w="1985"/>
        <w:gridCol w:w="1985"/>
        <w:gridCol w:w="1700"/>
      </w:tblGrid>
      <w:tr>
        <w:trPr>
          <w:trHeight w:val="601" w:hRule="exact"/>
        </w:trPr>
        <w:tc>
          <w:tcPr>
            <w:tcW w:w="3416" w:type="dxa"/>
          </w:tcPr>
          <w:p>
            <w:pPr>
              <w:pStyle w:val="TableParagraph"/>
              <w:spacing w:before="2"/>
              <w:rPr>
                <w:sz w:val="16"/>
              </w:rPr>
            </w:pPr>
          </w:p>
          <w:p>
            <w:pPr>
              <w:pStyle w:val="TableParagraph"/>
              <w:ind w:left="98"/>
              <w:rPr>
                <w:b/>
                <w:i/>
                <w:sz w:val="18"/>
              </w:rPr>
            </w:pPr>
            <w:r>
              <w:rPr>
                <w:b/>
                <w:i/>
                <w:sz w:val="18"/>
              </w:rPr>
              <w:t>Category</w:t>
            </w:r>
          </w:p>
        </w:tc>
        <w:tc>
          <w:tcPr>
            <w:tcW w:w="1985" w:type="dxa"/>
          </w:tcPr>
          <w:p>
            <w:pPr>
              <w:pStyle w:val="TableParagraph"/>
              <w:spacing w:before="2"/>
              <w:rPr>
                <w:sz w:val="16"/>
              </w:rPr>
            </w:pPr>
          </w:p>
          <w:p>
            <w:pPr>
              <w:pStyle w:val="TableParagraph"/>
              <w:ind w:right="49"/>
              <w:jc w:val="right"/>
              <w:rPr>
                <w:b/>
                <w:i/>
                <w:sz w:val="18"/>
              </w:rPr>
            </w:pPr>
            <w:r>
              <w:rPr>
                <w:b/>
                <w:i/>
                <w:sz w:val="18"/>
              </w:rPr>
              <w:t>FY 2012 Actual</w:t>
            </w:r>
          </w:p>
        </w:tc>
        <w:tc>
          <w:tcPr>
            <w:tcW w:w="1985" w:type="dxa"/>
          </w:tcPr>
          <w:p>
            <w:pPr>
              <w:pStyle w:val="TableParagraph"/>
              <w:spacing w:before="2"/>
              <w:rPr>
                <w:sz w:val="16"/>
              </w:rPr>
            </w:pPr>
          </w:p>
          <w:p>
            <w:pPr>
              <w:pStyle w:val="TableParagraph"/>
              <w:ind w:right="50"/>
              <w:jc w:val="right"/>
              <w:rPr>
                <w:b/>
                <w:i/>
                <w:sz w:val="18"/>
              </w:rPr>
            </w:pPr>
            <w:r>
              <w:rPr>
                <w:b/>
                <w:i/>
                <w:sz w:val="18"/>
              </w:rPr>
              <w:t>Annual 2012 Budget</w:t>
            </w:r>
          </w:p>
        </w:tc>
        <w:tc>
          <w:tcPr>
            <w:tcW w:w="1700" w:type="dxa"/>
          </w:tcPr>
          <w:p>
            <w:pPr>
              <w:pStyle w:val="TableParagraph"/>
              <w:spacing w:before="83"/>
              <w:ind w:left="857" w:right="32" w:hanging="179"/>
              <w:rPr>
                <w:b/>
                <w:i/>
                <w:sz w:val="18"/>
              </w:rPr>
            </w:pPr>
            <w:r>
              <w:rPr>
                <w:b/>
                <w:i/>
                <w:sz w:val="18"/>
              </w:rPr>
              <w:t>% Full year </w:t>
            </w:r>
            <w:r>
              <w:rPr>
                <w:b/>
                <w:i/>
                <w:sz w:val="18"/>
              </w:rPr>
              <w:t>achieved</w:t>
            </w:r>
          </w:p>
        </w:tc>
      </w:tr>
      <w:tr>
        <w:trPr>
          <w:trHeight w:val="290" w:hRule="exact"/>
        </w:trPr>
        <w:tc>
          <w:tcPr>
            <w:tcW w:w="3416" w:type="dxa"/>
          </w:tcPr>
          <w:p>
            <w:pPr>
              <w:pStyle w:val="TableParagraph"/>
              <w:spacing w:before="61"/>
              <w:ind w:left="98"/>
              <w:rPr>
                <w:sz w:val="18"/>
              </w:rPr>
            </w:pPr>
            <w:r>
              <w:rPr>
                <w:sz w:val="18"/>
              </w:rPr>
              <w:t>Revenue</w:t>
            </w:r>
          </w:p>
        </w:tc>
        <w:tc>
          <w:tcPr>
            <w:tcW w:w="1985" w:type="dxa"/>
          </w:tcPr>
          <w:p>
            <w:pPr>
              <w:pStyle w:val="TableParagraph"/>
              <w:spacing w:before="61"/>
              <w:ind w:right="50"/>
              <w:jc w:val="right"/>
              <w:rPr>
                <w:sz w:val="18"/>
              </w:rPr>
            </w:pPr>
            <w:r>
              <w:rPr>
                <w:sz w:val="18"/>
              </w:rPr>
              <w:t>$25,796,677</w:t>
            </w:r>
          </w:p>
        </w:tc>
        <w:tc>
          <w:tcPr>
            <w:tcW w:w="1985" w:type="dxa"/>
          </w:tcPr>
          <w:p>
            <w:pPr>
              <w:pStyle w:val="TableParagraph"/>
              <w:spacing w:before="61"/>
              <w:ind w:right="51"/>
              <w:jc w:val="right"/>
              <w:rPr>
                <w:sz w:val="18"/>
              </w:rPr>
            </w:pPr>
            <w:r>
              <w:rPr>
                <w:sz w:val="18"/>
              </w:rPr>
              <w:t>$28,368,993</w:t>
            </w:r>
          </w:p>
        </w:tc>
        <w:tc>
          <w:tcPr>
            <w:tcW w:w="1700" w:type="dxa"/>
          </w:tcPr>
          <w:p>
            <w:pPr>
              <w:pStyle w:val="TableParagraph"/>
              <w:spacing w:before="61"/>
              <w:ind w:right="52"/>
              <w:jc w:val="right"/>
              <w:rPr>
                <w:sz w:val="18"/>
              </w:rPr>
            </w:pPr>
            <w:r>
              <w:rPr>
                <w:sz w:val="18"/>
              </w:rPr>
              <w:t>91%</w:t>
            </w:r>
          </w:p>
        </w:tc>
      </w:tr>
      <w:tr>
        <w:trPr>
          <w:trHeight w:val="289" w:hRule="exact"/>
        </w:trPr>
        <w:tc>
          <w:tcPr>
            <w:tcW w:w="3416" w:type="dxa"/>
          </w:tcPr>
          <w:p>
            <w:pPr>
              <w:pStyle w:val="TableParagraph"/>
              <w:spacing w:before="61"/>
              <w:ind w:left="98"/>
              <w:rPr>
                <w:sz w:val="18"/>
              </w:rPr>
            </w:pPr>
            <w:r>
              <w:rPr>
                <w:sz w:val="18"/>
              </w:rPr>
              <w:t>Expenses</w:t>
            </w:r>
          </w:p>
        </w:tc>
        <w:tc>
          <w:tcPr>
            <w:tcW w:w="1985" w:type="dxa"/>
          </w:tcPr>
          <w:p>
            <w:pPr>
              <w:pStyle w:val="TableParagraph"/>
              <w:spacing w:before="61"/>
              <w:ind w:right="50"/>
              <w:jc w:val="right"/>
              <w:rPr>
                <w:sz w:val="18"/>
              </w:rPr>
            </w:pPr>
            <w:r>
              <w:rPr>
                <w:sz w:val="18"/>
              </w:rPr>
              <w:t>$25,638,450</w:t>
            </w:r>
          </w:p>
        </w:tc>
        <w:tc>
          <w:tcPr>
            <w:tcW w:w="1985" w:type="dxa"/>
          </w:tcPr>
          <w:p>
            <w:pPr>
              <w:pStyle w:val="TableParagraph"/>
              <w:spacing w:before="61"/>
              <w:ind w:right="51"/>
              <w:jc w:val="right"/>
              <w:rPr>
                <w:sz w:val="18"/>
              </w:rPr>
            </w:pPr>
            <w:r>
              <w:rPr>
                <w:sz w:val="18"/>
              </w:rPr>
              <w:t>$28,220,737</w:t>
            </w:r>
          </w:p>
        </w:tc>
        <w:tc>
          <w:tcPr>
            <w:tcW w:w="1700" w:type="dxa"/>
          </w:tcPr>
          <w:p>
            <w:pPr>
              <w:pStyle w:val="TableParagraph"/>
              <w:spacing w:before="61"/>
              <w:ind w:right="52"/>
              <w:jc w:val="right"/>
              <w:rPr>
                <w:sz w:val="18"/>
              </w:rPr>
            </w:pPr>
            <w:r>
              <w:rPr>
                <w:sz w:val="18"/>
              </w:rPr>
              <w:t>91%</w:t>
            </w:r>
          </w:p>
        </w:tc>
      </w:tr>
      <w:tr>
        <w:trPr>
          <w:trHeight w:val="290" w:hRule="exact"/>
        </w:trPr>
        <w:tc>
          <w:tcPr>
            <w:tcW w:w="3416" w:type="dxa"/>
          </w:tcPr>
          <w:p>
            <w:pPr>
              <w:pStyle w:val="TableParagraph"/>
              <w:spacing w:before="61"/>
              <w:ind w:left="98"/>
              <w:rPr>
                <w:b/>
                <w:sz w:val="18"/>
              </w:rPr>
            </w:pPr>
            <w:r>
              <w:rPr>
                <w:b/>
                <w:sz w:val="18"/>
              </w:rPr>
              <w:t>Operating Surplus</w:t>
            </w:r>
          </w:p>
        </w:tc>
        <w:tc>
          <w:tcPr>
            <w:tcW w:w="1985" w:type="dxa"/>
          </w:tcPr>
          <w:p>
            <w:pPr>
              <w:pStyle w:val="TableParagraph"/>
              <w:spacing w:before="61"/>
              <w:ind w:right="50"/>
              <w:jc w:val="right"/>
              <w:rPr>
                <w:b/>
                <w:sz w:val="18"/>
              </w:rPr>
            </w:pPr>
            <w:r>
              <w:rPr>
                <w:b/>
                <w:sz w:val="18"/>
              </w:rPr>
              <w:t>$158,277</w:t>
            </w:r>
          </w:p>
        </w:tc>
        <w:tc>
          <w:tcPr>
            <w:tcW w:w="1985" w:type="dxa"/>
          </w:tcPr>
          <w:p>
            <w:pPr>
              <w:pStyle w:val="TableParagraph"/>
              <w:spacing w:before="61"/>
              <w:ind w:right="51"/>
              <w:jc w:val="right"/>
              <w:rPr>
                <w:b/>
                <w:sz w:val="18"/>
              </w:rPr>
            </w:pPr>
            <w:r>
              <w:rPr>
                <w:b/>
                <w:sz w:val="18"/>
              </w:rPr>
              <w:t>$148,256</w:t>
            </w:r>
          </w:p>
        </w:tc>
        <w:tc>
          <w:tcPr>
            <w:tcW w:w="1700" w:type="dxa"/>
          </w:tcPr>
          <w:p>
            <w:pPr>
              <w:pStyle w:val="TableParagraph"/>
              <w:spacing w:before="62"/>
              <w:ind w:right="51"/>
              <w:jc w:val="right"/>
              <w:rPr>
                <w:sz w:val="18"/>
              </w:rPr>
            </w:pPr>
            <w:r>
              <w:rPr>
                <w:sz w:val="18"/>
              </w:rPr>
              <w:t>107%</w:t>
            </w:r>
          </w:p>
        </w:tc>
      </w:tr>
      <w:tr>
        <w:trPr>
          <w:trHeight w:val="227" w:hRule="exact"/>
        </w:trPr>
        <w:tc>
          <w:tcPr>
            <w:tcW w:w="3416" w:type="dxa"/>
          </w:tcPr>
          <w:p>
            <w:pPr>
              <w:pStyle w:val="TableParagraph"/>
              <w:spacing w:line="206" w:lineRule="exact"/>
              <w:ind w:left="98"/>
              <w:rPr>
                <w:sz w:val="18"/>
              </w:rPr>
            </w:pPr>
            <w:r>
              <w:rPr>
                <w:sz w:val="18"/>
              </w:rPr>
              <w:t>Accumulated Retained Earnings</w:t>
            </w:r>
          </w:p>
        </w:tc>
        <w:tc>
          <w:tcPr>
            <w:tcW w:w="1985" w:type="dxa"/>
          </w:tcPr>
          <w:p>
            <w:pPr>
              <w:pStyle w:val="TableParagraph"/>
              <w:spacing w:line="206" w:lineRule="exact"/>
              <w:ind w:right="51"/>
              <w:jc w:val="right"/>
              <w:rPr>
                <w:sz w:val="18"/>
              </w:rPr>
            </w:pPr>
            <w:r>
              <w:rPr>
                <w:sz w:val="18"/>
              </w:rPr>
              <w:t>$1,518,374</w:t>
            </w:r>
          </w:p>
        </w:tc>
        <w:tc>
          <w:tcPr>
            <w:tcW w:w="1985" w:type="dxa"/>
          </w:tcPr>
          <w:p>
            <w:pPr/>
          </w:p>
        </w:tc>
        <w:tc>
          <w:tcPr>
            <w:tcW w:w="1700" w:type="dxa"/>
          </w:tcPr>
          <w:p>
            <w:pPr/>
          </w:p>
        </w:tc>
      </w:tr>
    </w:tbl>
    <w:p>
      <w:pPr>
        <w:pStyle w:val="BodyText"/>
        <w:spacing w:before="2"/>
        <w:rPr>
          <w:sz w:val="11"/>
        </w:rPr>
      </w:pPr>
    </w:p>
    <w:p>
      <w:pPr>
        <w:pStyle w:val="BodyText"/>
        <w:spacing w:before="77"/>
        <w:ind w:left="139" w:right="135"/>
      </w:pPr>
      <w:r>
        <w:rPr/>
        <w:t>Financial KPI’s were achieved with actual operating surplus in line with budget. The variation to budget in revenue reflects that there were fewer commencing students than what was budgeted which impacted trading revenue,</w:t>
      </w:r>
    </w:p>
    <w:p>
      <w:pPr>
        <w:spacing w:after="0"/>
        <w:sectPr>
          <w:pgSz w:w="11910" w:h="16840"/>
          <w:pgMar w:header="709" w:footer="1023" w:top="900" w:bottom="1220" w:left="1300" w:right="1260"/>
        </w:sectPr>
      </w:pPr>
    </w:p>
    <w:p>
      <w:pPr>
        <w:pStyle w:val="BodyText"/>
        <w:rPr>
          <w:sz w:val="20"/>
        </w:rPr>
      </w:pPr>
    </w:p>
    <w:p>
      <w:pPr>
        <w:pStyle w:val="BodyText"/>
        <w:spacing w:before="3"/>
        <w:rPr>
          <w:sz w:val="19"/>
        </w:rPr>
      </w:pPr>
    </w:p>
    <w:p>
      <w:pPr>
        <w:pStyle w:val="BodyText"/>
        <w:spacing w:before="77"/>
        <w:ind w:left="140" w:right="317"/>
      </w:pPr>
      <w:r>
        <w:rPr/>
        <w:t>with commencing students being the primary market for text books. uwsconnect was still able to achieve the budgeted operating surplus as a result of cost control, while still delivering key services to students.</w:t>
      </w:r>
    </w:p>
    <w:p>
      <w:pPr>
        <w:pStyle w:val="BodyText"/>
      </w:pPr>
    </w:p>
    <w:p>
      <w:pPr>
        <w:pStyle w:val="BodyText"/>
        <w:ind w:left="140" w:right="375"/>
      </w:pPr>
      <w:r>
        <w:rPr/>
        <w:t>Non-financial KPI’s related primarily to Campus Life Activities with continual increases in the number of events, participation and satisfaction levels.</w:t>
      </w:r>
    </w:p>
    <w:p>
      <w:pPr>
        <w:pStyle w:val="BodyText"/>
        <w:spacing w:line="410" w:lineRule="atLeast" w:before="4"/>
        <w:ind w:left="140" w:right="385"/>
      </w:pPr>
      <w:r>
        <w:rPr>
          <w:color w:val="0D0D0D"/>
        </w:rPr>
        <w:t>As a key provider of student services uwsconnect receives some ongoing financial support from the University. </w:t>
      </w:r>
      <w:r>
        <w:rPr>
          <w:u w:val="single"/>
        </w:rPr>
        <w:t>Management and Operations</w:t>
      </w:r>
    </w:p>
    <w:p>
      <w:pPr>
        <w:pStyle w:val="BodyText"/>
        <w:ind w:left="140" w:right="250"/>
      </w:pPr>
      <w:r>
        <w:rPr/>
        <w:t>UWS connect Ltd is a wholly owned entity of the University of Western Sydney. An independent Board of Directors is responsible for the overall operations of the company and the day to day activities are managed by a full-time General Manager.</w:t>
      </w:r>
    </w:p>
    <w:p>
      <w:pPr>
        <w:pStyle w:val="BodyText"/>
      </w:pPr>
    </w:p>
    <w:p>
      <w:pPr>
        <w:pStyle w:val="Heading3"/>
        <w:spacing w:before="116"/>
        <w:ind w:left="140" w:right="653"/>
      </w:pPr>
      <w:r>
        <w:rPr>
          <w:color w:val="0D0D0D"/>
        </w:rPr>
        <w:t>UWS Early Learning Ltd</w:t>
      </w:r>
    </w:p>
    <w:p>
      <w:pPr>
        <w:pStyle w:val="BodyText"/>
        <w:spacing w:line="207" w:lineRule="exact" w:before="206"/>
        <w:ind w:left="140" w:right="6648"/>
      </w:pPr>
      <w:r>
        <w:rPr>
          <w:u w:val="single"/>
        </w:rPr>
        <w:t>Principal Objectives</w:t>
      </w:r>
    </w:p>
    <w:p>
      <w:pPr>
        <w:pStyle w:val="BodyText"/>
        <w:ind w:left="139" w:right="355"/>
      </w:pPr>
      <w:r>
        <w:rPr/>
        <w:t>The principal objective of the Company is to provide affordable, high quality early childhood care and education for the children of UWS staff, students and the local community.</w:t>
      </w:r>
    </w:p>
    <w:p>
      <w:pPr>
        <w:pStyle w:val="BodyText"/>
      </w:pPr>
    </w:p>
    <w:p>
      <w:pPr>
        <w:pStyle w:val="BodyText"/>
        <w:spacing w:line="207" w:lineRule="exact"/>
        <w:ind w:left="139" w:right="653"/>
      </w:pPr>
      <w:r>
        <w:rPr>
          <w:u w:val="single"/>
        </w:rPr>
        <w:t>Principal Activities and Strategic Projects</w:t>
      </w:r>
    </w:p>
    <w:p>
      <w:pPr>
        <w:pStyle w:val="BodyText"/>
        <w:ind w:left="185" w:right="159"/>
      </w:pPr>
      <w:r>
        <w:rPr>
          <w:color w:val="0D0D0D"/>
        </w:rPr>
        <w:t>To provide affordable, high quality early childhood care and education for the children of UWS staff, students and the local community. The provision of this service is campus based to enable staff, students and the local community the greatest opportunity to balance work and study commitments with childrearing.</w:t>
      </w:r>
    </w:p>
    <w:p>
      <w:pPr>
        <w:pStyle w:val="BodyText"/>
      </w:pPr>
    </w:p>
    <w:p>
      <w:pPr>
        <w:pStyle w:val="BodyText"/>
        <w:ind w:left="185" w:right="6648"/>
      </w:pPr>
      <w:r>
        <w:rPr>
          <w:color w:val="0D0D0D"/>
          <w:u w:val="single" w:color="0D0D0D"/>
        </w:rPr>
        <w:t>Performance Measures</w:t>
      </w:r>
    </w:p>
    <w:p>
      <w:pPr>
        <w:pStyle w:val="BodyText"/>
        <w:ind w:left="185" w:right="135"/>
      </w:pPr>
      <w:r>
        <w:rPr>
          <w:color w:val="0D0D0D"/>
        </w:rPr>
        <w:t>The performance measures of the company are both financial and non-financial. The Company has adopted the following key performance indicators</w:t>
      </w:r>
    </w:p>
    <w:p>
      <w:pPr>
        <w:pStyle w:val="ListParagraph"/>
        <w:numPr>
          <w:ilvl w:val="0"/>
          <w:numId w:val="144"/>
        </w:numPr>
        <w:tabs>
          <w:tab w:pos="906" w:val="left" w:leader="none"/>
        </w:tabs>
        <w:spacing w:line="219" w:lineRule="exact" w:before="0" w:after="0"/>
        <w:ind w:left="905" w:right="0" w:hanging="360"/>
        <w:jc w:val="left"/>
        <w:rPr>
          <w:color w:val="0D0D0D"/>
          <w:sz w:val="18"/>
        </w:rPr>
      </w:pPr>
      <w:r>
        <w:rPr>
          <w:color w:val="0D0D0D"/>
          <w:sz w:val="18"/>
        </w:rPr>
        <w:t>Implementation of standardised child care</w:t>
      </w:r>
      <w:r>
        <w:rPr>
          <w:color w:val="0D0D0D"/>
          <w:spacing w:val="-33"/>
          <w:sz w:val="18"/>
        </w:rPr>
        <w:t> </w:t>
      </w:r>
      <w:r>
        <w:rPr>
          <w:color w:val="0D0D0D"/>
          <w:sz w:val="18"/>
        </w:rPr>
        <w:t>systems</w:t>
      </w:r>
    </w:p>
    <w:p>
      <w:pPr>
        <w:pStyle w:val="ListParagraph"/>
        <w:numPr>
          <w:ilvl w:val="0"/>
          <w:numId w:val="144"/>
        </w:numPr>
        <w:tabs>
          <w:tab w:pos="906" w:val="left" w:leader="none"/>
        </w:tabs>
        <w:spacing w:line="219" w:lineRule="exact" w:before="0" w:after="0"/>
        <w:ind w:left="905" w:right="0" w:hanging="360"/>
        <w:jc w:val="left"/>
        <w:rPr>
          <w:color w:val="0D0D0D"/>
          <w:sz w:val="18"/>
        </w:rPr>
      </w:pPr>
      <w:r>
        <w:rPr>
          <w:color w:val="0D0D0D"/>
          <w:sz w:val="18"/>
        </w:rPr>
        <w:t>Implementation of standardised award</w:t>
      </w:r>
      <w:r>
        <w:rPr>
          <w:color w:val="0D0D0D"/>
          <w:spacing w:val="-31"/>
          <w:sz w:val="18"/>
        </w:rPr>
        <w:t> </w:t>
      </w:r>
      <w:r>
        <w:rPr>
          <w:color w:val="0D0D0D"/>
          <w:sz w:val="18"/>
        </w:rPr>
        <w:t>conditions</w:t>
      </w:r>
    </w:p>
    <w:p>
      <w:pPr>
        <w:pStyle w:val="ListParagraph"/>
        <w:numPr>
          <w:ilvl w:val="0"/>
          <w:numId w:val="144"/>
        </w:numPr>
        <w:tabs>
          <w:tab w:pos="906" w:val="left" w:leader="none"/>
        </w:tabs>
        <w:spacing w:line="220" w:lineRule="exact" w:before="0" w:after="0"/>
        <w:ind w:left="905" w:right="0" w:hanging="360"/>
        <w:jc w:val="left"/>
        <w:rPr>
          <w:color w:val="0D0D0D"/>
          <w:sz w:val="18"/>
        </w:rPr>
      </w:pPr>
      <w:r>
        <w:rPr>
          <w:color w:val="0D0D0D"/>
          <w:sz w:val="18"/>
        </w:rPr>
        <w:t>Consolidation</w:t>
      </w:r>
      <w:r>
        <w:rPr>
          <w:color w:val="0D0D0D"/>
          <w:spacing w:val="-5"/>
          <w:sz w:val="18"/>
        </w:rPr>
        <w:t> </w:t>
      </w:r>
      <w:r>
        <w:rPr>
          <w:color w:val="0D0D0D"/>
          <w:sz w:val="18"/>
        </w:rPr>
        <w:t>of</w:t>
      </w:r>
      <w:r>
        <w:rPr>
          <w:color w:val="0D0D0D"/>
          <w:spacing w:val="-6"/>
          <w:sz w:val="18"/>
        </w:rPr>
        <w:t> </w:t>
      </w:r>
      <w:r>
        <w:rPr>
          <w:color w:val="0D0D0D"/>
          <w:sz w:val="18"/>
        </w:rPr>
        <w:t>financial</w:t>
      </w:r>
      <w:r>
        <w:rPr>
          <w:color w:val="0D0D0D"/>
          <w:spacing w:val="-6"/>
          <w:sz w:val="18"/>
        </w:rPr>
        <w:t> </w:t>
      </w:r>
      <w:r>
        <w:rPr>
          <w:color w:val="0D0D0D"/>
          <w:sz w:val="18"/>
        </w:rPr>
        <w:t>operations</w:t>
      </w:r>
      <w:r>
        <w:rPr>
          <w:color w:val="0D0D0D"/>
          <w:spacing w:val="-6"/>
          <w:sz w:val="18"/>
        </w:rPr>
        <w:t> </w:t>
      </w:r>
      <w:r>
        <w:rPr>
          <w:color w:val="0D0D0D"/>
          <w:sz w:val="18"/>
        </w:rPr>
        <w:t>into</w:t>
      </w:r>
      <w:r>
        <w:rPr>
          <w:color w:val="0D0D0D"/>
          <w:spacing w:val="-7"/>
          <w:sz w:val="18"/>
        </w:rPr>
        <w:t> </w:t>
      </w:r>
      <w:r>
        <w:rPr>
          <w:color w:val="0D0D0D"/>
          <w:sz w:val="18"/>
        </w:rPr>
        <w:t>the</w:t>
      </w:r>
      <w:r>
        <w:rPr>
          <w:color w:val="0D0D0D"/>
          <w:spacing w:val="-5"/>
          <w:sz w:val="18"/>
        </w:rPr>
        <w:t> </w:t>
      </w:r>
      <w:r>
        <w:rPr>
          <w:color w:val="0D0D0D"/>
          <w:sz w:val="18"/>
        </w:rPr>
        <w:t>University’s</w:t>
      </w:r>
      <w:r>
        <w:rPr>
          <w:color w:val="0D0D0D"/>
          <w:spacing w:val="-6"/>
          <w:sz w:val="18"/>
        </w:rPr>
        <w:t> </w:t>
      </w:r>
      <w:r>
        <w:rPr>
          <w:color w:val="0D0D0D"/>
          <w:sz w:val="18"/>
        </w:rPr>
        <w:t>financial</w:t>
      </w:r>
      <w:r>
        <w:rPr>
          <w:color w:val="0D0D0D"/>
          <w:spacing w:val="-6"/>
          <w:sz w:val="18"/>
        </w:rPr>
        <w:t> </w:t>
      </w:r>
      <w:r>
        <w:rPr>
          <w:color w:val="0D0D0D"/>
          <w:sz w:val="18"/>
        </w:rPr>
        <w:t>reporting</w:t>
      </w:r>
      <w:r>
        <w:rPr>
          <w:color w:val="0D0D0D"/>
          <w:spacing w:val="-6"/>
          <w:sz w:val="18"/>
        </w:rPr>
        <w:t> </w:t>
      </w:r>
      <w:r>
        <w:rPr>
          <w:color w:val="0D0D0D"/>
          <w:sz w:val="18"/>
        </w:rPr>
        <w:t>cycle</w:t>
      </w:r>
    </w:p>
    <w:p>
      <w:pPr>
        <w:pStyle w:val="ListParagraph"/>
        <w:numPr>
          <w:ilvl w:val="0"/>
          <w:numId w:val="144"/>
        </w:numPr>
        <w:tabs>
          <w:tab w:pos="906" w:val="left" w:leader="none"/>
        </w:tabs>
        <w:spacing w:line="220" w:lineRule="exact" w:before="0" w:after="0"/>
        <w:ind w:left="905" w:right="0" w:hanging="360"/>
        <w:jc w:val="left"/>
        <w:rPr>
          <w:color w:val="0D0D0D"/>
          <w:sz w:val="18"/>
        </w:rPr>
      </w:pPr>
      <w:r>
        <w:rPr>
          <w:color w:val="0D0D0D"/>
          <w:sz w:val="18"/>
        </w:rPr>
        <w:t>Opening of new Bankstown</w:t>
      </w:r>
      <w:r>
        <w:rPr>
          <w:color w:val="0D0D0D"/>
          <w:spacing w:val="-21"/>
          <w:sz w:val="18"/>
        </w:rPr>
        <w:t> </w:t>
      </w:r>
      <w:r>
        <w:rPr>
          <w:color w:val="0D0D0D"/>
          <w:sz w:val="18"/>
        </w:rPr>
        <w:t>centre</w:t>
      </w:r>
    </w:p>
    <w:p>
      <w:pPr>
        <w:pStyle w:val="BodyText"/>
        <w:rPr>
          <w:sz w:val="20"/>
        </w:rPr>
      </w:pPr>
    </w:p>
    <w:p>
      <w:pPr>
        <w:pStyle w:val="BodyText"/>
        <w:rPr>
          <w:sz w:val="16"/>
        </w:rPr>
      </w:pPr>
    </w:p>
    <w:tbl>
      <w:tblPr>
        <w:tblW w:w="0" w:type="auto"/>
        <w:jc w:val="left"/>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16"/>
        <w:gridCol w:w="1985"/>
        <w:gridCol w:w="1985"/>
        <w:gridCol w:w="1700"/>
      </w:tblGrid>
      <w:tr>
        <w:trPr>
          <w:trHeight w:val="601" w:hRule="exact"/>
        </w:trPr>
        <w:tc>
          <w:tcPr>
            <w:tcW w:w="3416" w:type="dxa"/>
          </w:tcPr>
          <w:p>
            <w:pPr>
              <w:pStyle w:val="TableParagraph"/>
              <w:spacing w:before="2"/>
              <w:rPr>
                <w:sz w:val="16"/>
              </w:rPr>
            </w:pPr>
          </w:p>
          <w:p>
            <w:pPr>
              <w:pStyle w:val="TableParagraph"/>
              <w:ind w:left="98"/>
              <w:rPr>
                <w:b/>
                <w:i/>
                <w:sz w:val="18"/>
              </w:rPr>
            </w:pPr>
            <w:r>
              <w:rPr>
                <w:b/>
                <w:i/>
                <w:sz w:val="18"/>
              </w:rPr>
              <w:t>Category</w:t>
            </w:r>
          </w:p>
        </w:tc>
        <w:tc>
          <w:tcPr>
            <w:tcW w:w="1985" w:type="dxa"/>
          </w:tcPr>
          <w:p>
            <w:pPr>
              <w:pStyle w:val="TableParagraph"/>
              <w:spacing w:before="2"/>
              <w:rPr>
                <w:sz w:val="16"/>
              </w:rPr>
            </w:pPr>
          </w:p>
          <w:p>
            <w:pPr>
              <w:pStyle w:val="TableParagraph"/>
              <w:ind w:right="96"/>
              <w:jc w:val="right"/>
              <w:rPr>
                <w:b/>
                <w:i/>
                <w:sz w:val="18"/>
              </w:rPr>
            </w:pPr>
            <w:r>
              <w:rPr>
                <w:b/>
                <w:i/>
                <w:sz w:val="18"/>
              </w:rPr>
              <w:t>FY 2012 Actual</w:t>
            </w:r>
          </w:p>
        </w:tc>
        <w:tc>
          <w:tcPr>
            <w:tcW w:w="1985" w:type="dxa"/>
          </w:tcPr>
          <w:p>
            <w:pPr>
              <w:pStyle w:val="TableParagraph"/>
              <w:spacing w:before="2"/>
              <w:rPr>
                <w:sz w:val="16"/>
              </w:rPr>
            </w:pPr>
          </w:p>
          <w:p>
            <w:pPr>
              <w:pStyle w:val="TableParagraph"/>
              <w:ind w:right="97"/>
              <w:jc w:val="right"/>
              <w:rPr>
                <w:b/>
                <w:i/>
                <w:sz w:val="18"/>
              </w:rPr>
            </w:pPr>
            <w:r>
              <w:rPr>
                <w:b/>
                <w:i/>
                <w:sz w:val="18"/>
              </w:rPr>
              <w:t>Annual 2012 Budget</w:t>
            </w:r>
          </w:p>
        </w:tc>
        <w:tc>
          <w:tcPr>
            <w:tcW w:w="1700" w:type="dxa"/>
          </w:tcPr>
          <w:p>
            <w:pPr>
              <w:pStyle w:val="TableParagraph"/>
              <w:spacing w:before="82"/>
              <w:ind w:left="812" w:right="77" w:hanging="179"/>
              <w:rPr>
                <w:b/>
                <w:i/>
                <w:sz w:val="18"/>
              </w:rPr>
            </w:pPr>
            <w:r>
              <w:rPr>
                <w:b/>
                <w:i/>
                <w:sz w:val="18"/>
              </w:rPr>
              <w:t>% Full year </w:t>
            </w:r>
            <w:r>
              <w:rPr>
                <w:b/>
                <w:i/>
                <w:sz w:val="18"/>
              </w:rPr>
              <w:t>achieved</w:t>
            </w:r>
          </w:p>
        </w:tc>
      </w:tr>
      <w:tr>
        <w:trPr>
          <w:trHeight w:val="290" w:hRule="exact"/>
        </w:trPr>
        <w:tc>
          <w:tcPr>
            <w:tcW w:w="3416" w:type="dxa"/>
          </w:tcPr>
          <w:p>
            <w:pPr>
              <w:pStyle w:val="TableParagraph"/>
              <w:spacing w:before="61"/>
              <w:ind w:left="98"/>
              <w:rPr>
                <w:sz w:val="18"/>
              </w:rPr>
            </w:pPr>
            <w:r>
              <w:rPr>
                <w:sz w:val="18"/>
              </w:rPr>
              <w:t>Revenue</w:t>
            </w:r>
          </w:p>
        </w:tc>
        <w:tc>
          <w:tcPr>
            <w:tcW w:w="1985" w:type="dxa"/>
          </w:tcPr>
          <w:p>
            <w:pPr>
              <w:pStyle w:val="TableParagraph"/>
              <w:spacing w:before="61"/>
              <w:ind w:right="97"/>
              <w:jc w:val="right"/>
              <w:rPr>
                <w:sz w:val="18"/>
              </w:rPr>
            </w:pPr>
            <w:r>
              <w:rPr>
                <w:sz w:val="18"/>
              </w:rPr>
              <w:t>$2,616,641</w:t>
            </w:r>
          </w:p>
        </w:tc>
        <w:tc>
          <w:tcPr>
            <w:tcW w:w="1985" w:type="dxa"/>
          </w:tcPr>
          <w:p>
            <w:pPr>
              <w:pStyle w:val="TableParagraph"/>
              <w:spacing w:before="61"/>
              <w:ind w:right="98"/>
              <w:jc w:val="right"/>
              <w:rPr>
                <w:sz w:val="18"/>
              </w:rPr>
            </w:pPr>
            <w:r>
              <w:rPr>
                <w:sz w:val="18"/>
              </w:rPr>
              <w:t>$2,538,152</w:t>
            </w:r>
          </w:p>
        </w:tc>
        <w:tc>
          <w:tcPr>
            <w:tcW w:w="1700" w:type="dxa"/>
          </w:tcPr>
          <w:p>
            <w:pPr>
              <w:pStyle w:val="TableParagraph"/>
              <w:spacing w:before="61"/>
              <w:ind w:right="97"/>
              <w:jc w:val="right"/>
              <w:rPr>
                <w:sz w:val="18"/>
              </w:rPr>
            </w:pPr>
            <w:r>
              <w:rPr>
                <w:sz w:val="18"/>
              </w:rPr>
              <w:t>103%</w:t>
            </w:r>
          </w:p>
        </w:tc>
      </w:tr>
      <w:tr>
        <w:trPr>
          <w:trHeight w:val="289" w:hRule="exact"/>
        </w:trPr>
        <w:tc>
          <w:tcPr>
            <w:tcW w:w="3416" w:type="dxa"/>
          </w:tcPr>
          <w:p>
            <w:pPr>
              <w:pStyle w:val="TableParagraph"/>
              <w:spacing w:before="61"/>
              <w:ind w:left="98"/>
              <w:rPr>
                <w:sz w:val="18"/>
              </w:rPr>
            </w:pPr>
            <w:r>
              <w:rPr>
                <w:sz w:val="18"/>
              </w:rPr>
              <w:t>Expenses</w:t>
            </w:r>
          </w:p>
        </w:tc>
        <w:tc>
          <w:tcPr>
            <w:tcW w:w="1985" w:type="dxa"/>
          </w:tcPr>
          <w:p>
            <w:pPr>
              <w:pStyle w:val="TableParagraph"/>
              <w:spacing w:before="61"/>
              <w:ind w:right="97"/>
              <w:jc w:val="right"/>
              <w:rPr>
                <w:sz w:val="18"/>
              </w:rPr>
            </w:pPr>
            <w:r>
              <w:rPr>
                <w:sz w:val="18"/>
              </w:rPr>
              <w:t>$2,212,276</w:t>
            </w:r>
          </w:p>
        </w:tc>
        <w:tc>
          <w:tcPr>
            <w:tcW w:w="1985" w:type="dxa"/>
          </w:tcPr>
          <w:p>
            <w:pPr>
              <w:pStyle w:val="TableParagraph"/>
              <w:spacing w:before="61"/>
              <w:ind w:right="98"/>
              <w:jc w:val="right"/>
              <w:rPr>
                <w:sz w:val="18"/>
              </w:rPr>
            </w:pPr>
            <w:r>
              <w:rPr>
                <w:sz w:val="18"/>
              </w:rPr>
              <w:t>$2,397,355</w:t>
            </w:r>
          </w:p>
        </w:tc>
        <w:tc>
          <w:tcPr>
            <w:tcW w:w="1700" w:type="dxa"/>
          </w:tcPr>
          <w:p>
            <w:pPr>
              <w:pStyle w:val="TableParagraph"/>
              <w:spacing w:before="61"/>
              <w:ind w:right="97"/>
              <w:jc w:val="right"/>
              <w:rPr>
                <w:sz w:val="18"/>
              </w:rPr>
            </w:pPr>
            <w:r>
              <w:rPr>
                <w:sz w:val="18"/>
              </w:rPr>
              <w:t>92%</w:t>
            </w:r>
          </w:p>
        </w:tc>
      </w:tr>
      <w:tr>
        <w:trPr>
          <w:trHeight w:val="290" w:hRule="exact"/>
        </w:trPr>
        <w:tc>
          <w:tcPr>
            <w:tcW w:w="3416" w:type="dxa"/>
          </w:tcPr>
          <w:p>
            <w:pPr>
              <w:pStyle w:val="TableParagraph"/>
              <w:spacing w:before="60"/>
              <w:ind w:left="98"/>
              <w:rPr>
                <w:b/>
                <w:sz w:val="18"/>
              </w:rPr>
            </w:pPr>
            <w:r>
              <w:rPr>
                <w:b/>
                <w:sz w:val="18"/>
              </w:rPr>
              <w:t>Operating Surplus</w:t>
            </w:r>
          </w:p>
        </w:tc>
        <w:tc>
          <w:tcPr>
            <w:tcW w:w="1985" w:type="dxa"/>
          </w:tcPr>
          <w:p>
            <w:pPr>
              <w:pStyle w:val="TableParagraph"/>
              <w:spacing w:before="60"/>
              <w:ind w:right="97"/>
              <w:jc w:val="right"/>
              <w:rPr>
                <w:b/>
                <w:sz w:val="18"/>
              </w:rPr>
            </w:pPr>
            <w:r>
              <w:rPr>
                <w:b/>
                <w:sz w:val="18"/>
              </w:rPr>
              <w:t>$404,365</w:t>
            </w:r>
          </w:p>
        </w:tc>
        <w:tc>
          <w:tcPr>
            <w:tcW w:w="1985" w:type="dxa"/>
          </w:tcPr>
          <w:p>
            <w:pPr>
              <w:pStyle w:val="TableParagraph"/>
              <w:spacing w:before="60"/>
              <w:ind w:right="98"/>
              <w:jc w:val="right"/>
              <w:rPr>
                <w:b/>
                <w:sz w:val="18"/>
              </w:rPr>
            </w:pPr>
            <w:r>
              <w:rPr>
                <w:b/>
                <w:sz w:val="18"/>
              </w:rPr>
              <w:t>$140,797</w:t>
            </w:r>
          </w:p>
        </w:tc>
        <w:tc>
          <w:tcPr>
            <w:tcW w:w="1700" w:type="dxa"/>
          </w:tcPr>
          <w:p>
            <w:pPr>
              <w:pStyle w:val="TableParagraph"/>
              <w:spacing w:before="61"/>
              <w:ind w:right="97"/>
              <w:jc w:val="right"/>
              <w:rPr>
                <w:sz w:val="18"/>
              </w:rPr>
            </w:pPr>
            <w:r>
              <w:rPr>
                <w:sz w:val="18"/>
              </w:rPr>
              <w:t>287%</w:t>
            </w:r>
          </w:p>
        </w:tc>
      </w:tr>
      <w:tr>
        <w:trPr>
          <w:trHeight w:val="227" w:hRule="exact"/>
        </w:trPr>
        <w:tc>
          <w:tcPr>
            <w:tcW w:w="3416" w:type="dxa"/>
          </w:tcPr>
          <w:p>
            <w:pPr>
              <w:pStyle w:val="TableParagraph"/>
              <w:spacing w:line="206" w:lineRule="exact"/>
              <w:ind w:left="98"/>
              <w:rPr>
                <w:sz w:val="18"/>
              </w:rPr>
            </w:pPr>
            <w:r>
              <w:rPr>
                <w:sz w:val="18"/>
              </w:rPr>
              <w:t>Accumulated Retained Earnings</w:t>
            </w:r>
          </w:p>
        </w:tc>
        <w:tc>
          <w:tcPr>
            <w:tcW w:w="1985" w:type="dxa"/>
          </w:tcPr>
          <w:p>
            <w:pPr>
              <w:pStyle w:val="TableParagraph"/>
              <w:spacing w:line="206" w:lineRule="exact"/>
              <w:ind w:right="97"/>
              <w:jc w:val="right"/>
              <w:rPr>
                <w:sz w:val="18"/>
              </w:rPr>
            </w:pPr>
            <w:r>
              <w:rPr>
                <w:sz w:val="18"/>
              </w:rPr>
              <w:t>$404,365</w:t>
            </w:r>
          </w:p>
        </w:tc>
        <w:tc>
          <w:tcPr>
            <w:tcW w:w="1985" w:type="dxa"/>
          </w:tcPr>
          <w:p>
            <w:pPr/>
          </w:p>
        </w:tc>
        <w:tc>
          <w:tcPr>
            <w:tcW w:w="1700" w:type="dxa"/>
          </w:tcPr>
          <w:p>
            <w:pPr/>
          </w:p>
        </w:tc>
      </w:tr>
    </w:tbl>
    <w:p>
      <w:pPr>
        <w:pStyle w:val="BodyText"/>
        <w:spacing w:before="2"/>
        <w:rPr>
          <w:sz w:val="11"/>
        </w:rPr>
      </w:pPr>
    </w:p>
    <w:p>
      <w:pPr>
        <w:pStyle w:val="BodyText"/>
        <w:spacing w:before="77"/>
        <w:ind w:left="140" w:right="6648"/>
      </w:pPr>
      <w:r>
        <w:rPr>
          <w:u w:val="single"/>
        </w:rPr>
        <w:t>Management and Operations</w:t>
      </w:r>
    </w:p>
    <w:p>
      <w:pPr>
        <w:pStyle w:val="BodyText"/>
        <w:ind w:left="140" w:right="185"/>
      </w:pPr>
      <w:r>
        <w:rPr/>
        <w:t>UWS Early Learning Limited is a wholly owned entity of the University of Western Sydney. An independent Board of Directors is responsible for the overall operations of the Company.</w:t>
      </w:r>
    </w:p>
    <w:p>
      <w:pPr>
        <w:pStyle w:val="BodyText"/>
      </w:pPr>
    </w:p>
    <w:p>
      <w:pPr>
        <w:pStyle w:val="BodyText"/>
        <w:spacing w:before="6"/>
        <w:rPr>
          <w:sz w:val="20"/>
        </w:rPr>
      </w:pPr>
    </w:p>
    <w:p>
      <w:pPr>
        <w:pStyle w:val="Heading3"/>
        <w:spacing w:before="0"/>
        <w:ind w:left="140" w:right="653"/>
      </w:pPr>
      <w:r>
        <w:rPr/>
        <w:t>Whitlam Institute within the University of Western Sydney Ltd</w:t>
      </w:r>
    </w:p>
    <w:p>
      <w:pPr>
        <w:pStyle w:val="BodyText"/>
        <w:spacing w:before="118"/>
        <w:ind w:left="140" w:right="6648"/>
      </w:pPr>
      <w:r>
        <w:rPr>
          <w:u w:val="single"/>
        </w:rPr>
        <w:t>Principal Objectives</w:t>
      </w:r>
    </w:p>
    <w:p>
      <w:pPr>
        <w:pStyle w:val="BodyText"/>
        <w:ind w:left="139" w:right="116"/>
        <w:jc w:val="both"/>
      </w:pPr>
      <w:r>
        <w:rPr/>
        <w:t>The Whitlam Institute is a trustee of the Whitlam Institute within the University of Western Sydney Trust which was established by agreement between the University of Western Sydney and the Hon EG Whitlam in 2000. Its spirit is best captured in Gough’s own words when signing the Deed of Gift:</w:t>
      </w:r>
    </w:p>
    <w:p>
      <w:pPr>
        <w:pStyle w:val="BodyText"/>
      </w:pPr>
    </w:p>
    <w:p>
      <w:pPr>
        <w:spacing w:before="121"/>
        <w:ind w:left="139" w:right="136" w:firstLine="0"/>
        <w:jc w:val="left"/>
        <w:rPr>
          <w:i/>
          <w:sz w:val="18"/>
        </w:rPr>
      </w:pPr>
      <w:r>
        <w:rPr>
          <w:i/>
          <w:sz w:val="18"/>
        </w:rPr>
        <w:t>‘The greatest contribution that I hope to bestow is inspiration. That the work and causes championed in my </w:t>
      </w:r>
      <w:r>
        <w:rPr>
          <w:i/>
          <w:sz w:val="18"/>
        </w:rPr>
        <w:t>parliamentary career and the statesman service that followed, will provide the basis for ongoing research and advocacy from this university into the contemporary challenges that confront and can improve the quality of life for all Australians.’[December 2003]</w:t>
      </w:r>
    </w:p>
    <w:p>
      <w:pPr>
        <w:pStyle w:val="BodyText"/>
        <w:rPr>
          <w:i/>
        </w:rPr>
      </w:pPr>
    </w:p>
    <w:p>
      <w:pPr>
        <w:pStyle w:val="BodyText"/>
        <w:spacing w:before="119"/>
        <w:ind w:left="139" w:right="653"/>
      </w:pPr>
      <w:r>
        <w:rPr>
          <w:u w:val="single"/>
        </w:rPr>
        <w:t>Principal Activities and Strategic Projects</w:t>
      </w:r>
    </w:p>
    <w:p>
      <w:pPr>
        <w:pStyle w:val="BodyText"/>
        <w:ind w:left="140" w:right="115"/>
      </w:pPr>
      <w:r>
        <w:rPr/>
        <w:t>The Whitlam Institute works as an educator, policy influencer and research institute. It is also home to the Whitlam Prime Ministerial Collection and the Whitlam Reading Room which houses selected books and papers donated by Mr. Whitlam. The collection provides on-line access to papers held both at the Institute and in the National Archives. It maintains an active public education program.</w:t>
      </w:r>
    </w:p>
    <w:p>
      <w:pPr>
        <w:spacing w:after="0"/>
        <w:sectPr>
          <w:pgSz w:w="11910" w:h="16840"/>
          <w:pgMar w:header="709" w:footer="1023" w:top="900" w:bottom="1220" w:left="1300" w:right="1260"/>
        </w:sectPr>
      </w:pPr>
    </w:p>
    <w:p>
      <w:pPr>
        <w:pStyle w:val="BodyText"/>
        <w:rPr>
          <w:sz w:val="20"/>
        </w:rPr>
      </w:pPr>
    </w:p>
    <w:p>
      <w:pPr>
        <w:pStyle w:val="BodyText"/>
        <w:rPr>
          <w:sz w:val="20"/>
        </w:rPr>
      </w:pPr>
    </w:p>
    <w:p>
      <w:pPr>
        <w:pStyle w:val="BodyText"/>
        <w:spacing w:before="2"/>
        <w:rPr>
          <w:sz w:val="17"/>
        </w:rPr>
      </w:pPr>
    </w:p>
    <w:p>
      <w:pPr>
        <w:pStyle w:val="BodyText"/>
        <w:spacing w:before="78"/>
        <w:ind w:left="140" w:right="204"/>
      </w:pPr>
      <w:r>
        <w:rPr/>
        <w:t>The Institute's strategic program continues to expand in accordance with the intentions outlined in its current Strategic Plan 2010-2013. The 2012 highlights that follow are indicative of the strength of what is still but a young Program:</w:t>
      </w:r>
    </w:p>
    <w:p>
      <w:pPr>
        <w:pStyle w:val="BodyText"/>
        <w:spacing w:before="11"/>
        <w:rPr>
          <w:sz w:val="17"/>
        </w:rPr>
      </w:pPr>
    </w:p>
    <w:p>
      <w:pPr>
        <w:pStyle w:val="ListParagraph"/>
        <w:numPr>
          <w:ilvl w:val="0"/>
          <w:numId w:val="145"/>
        </w:numPr>
        <w:tabs>
          <w:tab w:pos="850" w:val="left" w:leader="none"/>
        </w:tabs>
        <w:spacing w:line="240" w:lineRule="auto" w:before="0" w:after="0"/>
        <w:ind w:left="849" w:right="141" w:hanging="283"/>
        <w:jc w:val="left"/>
        <w:rPr>
          <w:sz w:val="18"/>
        </w:rPr>
      </w:pPr>
      <w:r>
        <w:rPr>
          <w:sz w:val="18"/>
        </w:rPr>
        <w:t>Secured funding of $7m from the Australian Government for the completed restoration of the East Wing of the Female Orphan School. The restored East Wing will become the permanent home for the Whitlam Institute within the University of Western Sydney, and the Whitlam Prime Ministerial Library – a collection that spans thousands of papers, books, letters and other important items belonging to former Prime Minister Gough</w:t>
      </w:r>
      <w:r>
        <w:rPr>
          <w:spacing w:val="-17"/>
          <w:sz w:val="18"/>
        </w:rPr>
        <w:t> </w:t>
      </w:r>
      <w:r>
        <w:rPr>
          <w:sz w:val="18"/>
        </w:rPr>
        <w:t>Whitlam.</w:t>
      </w:r>
    </w:p>
    <w:p>
      <w:pPr>
        <w:pStyle w:val="ListParagraph"/>
        <w:numPr>
          <w:ilvl w:val="0"/>
          <w:numId w:val="145"/>
        </w:numPr>
        <w:tabs>
          <w:tab w:pos="850" w:val="left" w:leader="none"/>
        </w:tabs>
        <w:spacing w:line="240" w:lineRule="auto" w:before="0" w:after="0"/>
        <w:ind w:left="849" w:right="191" w:hanging="283"/>
        <w:jc w:val="left"/>
        <w:rPr>
          <w:sz w:val="18"/>
        </w:rPr>
      </w:pPr>
      <w:r>
        <w:rPr>
          <w:sz w:val="18"/>
        </w:rPr>
        <w:t>Malcolm Fraser delivers the 2012 Gough Whitlam Oration titled “</w:t>
      </w:r>
      <w:r>
        <w:rPr>
          <w:i/>
          <w:sz w:val="18"/>
        </w:rPr>
        <w:t>Politics, Independence and the National </w:t>
      </w:r>
      <w:r>
        <w:rPr>
          <w:i/>
          <w:sz w:val="18"/>
        </w:rPr>
        <w:t>Interest:</w:t>
      </w:r>
      <w:r>
        <w:rPr>
          <w:i/>
          <w:spacing w:val="-4"/>
          <w:sz w:val="18"/>
        </w:rPr>
        <w:t> </w:t>
      </w:r>
      <w:r>
        <w:rPr>
          <w:i/>
          <w:sz w:val="18"/>
        </w:rPr>
        <w:t>the</w:t>
      </w:r>
      <w:r>
        <w:rPr>
          <w:i/>
          <w:spacing w:val="-4"/>
          <w:sz w:val="18"/>
        </w:rPr>
        <w:t> </w:t>
      </w:r>
      <w:r>
        <w:rPr>
          <w:i/>
          <w:sz w:val="18"/>
        </w:rPr>
        <w:t>legacy</w:t>
      </w:r>
      <w:r>
        <w:rPr>
          <w:i/>
          <w:spacing w:val="-4"/>
          <w:sz w:val="18"/>
        </w:rPr>
        <w:t> </w:t>
      </w:r>
      <w:r>
        <w:rPr>
          <w:i/>
          <w:sz w:val="18"/>
        </w:rPr>
        <w:t>of</w:t>
      </w:r>
      <w:r>
        <w:rPr>
          <w:i/>
          <w:spacing w:val="-4"/>
          <w:sz w:val="18"/>
        </w:rPr>
        <w:t> </w:t>
      </w:r>
      <w:r>
        <w:rPr>
          <w:i/>
          <w:sz w:val="18"/>
        </w:rPr>
        <w:t>power</w:t>
      </w:r>
      <w:r>
        <w:rPr>
          <w:i/>
          <w:spacing w:val="-4"/>
          <w:sz w:val="18"/>
        </w:rPr>
        <w:t> </w:t>
      </w:r>
      <w:r>
        <w:rPr>
          <w:i/>
          <w:sz w:val="18"/>
        </w:rPr>
        <w:t>and</w:t>
      </w:r>
      <w:r>
        <w:rPr>
          <w:i/>
          <w:spacing w:val="-4"/>
          <w:sz w:val="18"/>
        </w:rPr>
        <w:t> </w:t>
      </w:r>
      <w:r>
        <w:rPr>
          <w:i/>
          <w:sz w:val="18"/>
        </w:rPr>
        <w:t>how</w:t>
      </w:r>
      <w:r>
        <w:rPr>
          <w:i/>
          <w:spacing w:val="-3"/>
          <w:sz w:val="18"/>
        </w:rPr>
        <w:t> </w:t>
      </w:r>
      <w:r>
        <w:rPr>
          <w:i/>
          <w:sz w:val="18"/>
        </w:rPr>
        <w:t>to</w:t>
      </w:r>
      <w:r>
        <w:rPr>
          <w:i/>
          <w:spacing w:val="-4"/>
          <w:sz w:val="18"/>
        </w:rPr>
        <w:t> </w:t>
      </w:r>
      <w:r>
        <w:rPr>
          <w:i/>
          <w:sz w:val="18"/>
        </w:rPr>
        <w:t>achieve</w:t>
      </w:r>
      <w:r>
        <w:rPr>
          <w:i/>
          <w:spacing w:val="-4"/>
          <w:sz w:val="18"/>
        </w:rPr>
        <w:t> </w:t>
      </w:r>
      <w:r>
        <w:rPr>
          <w:i/>
          <w:sz w:val="18"/>
        </w:rPr>
        <w:t>a</w:t>
      </w:r>
      <w:r>
        <w:rPr>
          <w:i/>
          <w:spacing w:val="-4"/>
          <w:sz w:val="18"/>
        </w:rPr>
        <w:t> </w:t>
      </w:r>
      <w:r>
        <w:rPr>
          <w:i/>
          <w:sz w:val="18"/>
        </w:rPr>
        <w:t>peaceful</w:t>
      </w:r>
      <w:r>
        <w:rPr>
          <w:i/>
          <w:spacing w:val="-3"/>
          <w:sz w:val="18"/>
        </w:rPr>
        <w:t> </w:t>
      </w:r>
      <w:r>
        <w:rPr>
          <w:i/>
          <w:sz w:val="18"/>
        </w:rPr>
        <w:t>Western</w:t>
      </w:r>
      <w:r>
        <w:rPr>
          <w:i/>
          <w:spacing w:val="-4"/>
          <w:sz w:val="18"/>
        </w:rPr>
        <w:t> </w:t>
      </w:r>
      <w:r>
        <w:rPr>
          <w:i/>
          <w:sz w:val="18"/>
        </w:rPr>
        <w:t>Pacific</w:t>
      </w:r>
      <w:r>
        <w:rPr>
          <w:sz w:val="18"/>
        </w:rPr>
        <w:t>”.</w:t>
      </w:r>
    </w:p>
    <w:p>
      <w:pPr>
        <w:pStyle w:val="ListParagraph"/>
        <w:numPr>
          <w:ilvl w:val="0"/>
          <w:numId w:val="145"/>
        </w:numPr>
        <w:tabs>
          <w:tab w:pos="850" w:val="left" w:leader="none"/>
        </w:tabs>
        <w:spacing w:line="240" w:lineRule="auto" w:before="0" w:after="0"/>
        <w:ind w:left="849" w:right="301" w:hanging="283"/>
        <w:jc w:val="left"/>
        <w:rPr>
          <w:sz w:val="18"/>
        </w:rPr>
      </w:pPr>
      <w:r>
        <w:rPr>
          <w:i/>
          <w:sz w:val="18"/>
        </w:rPr>
        <w:t>What Matters? </w:t>
      </w:r>
      <w:r>
        <w:rPr>
          <w:sz w:val="18"/>
        </w:rPr>
        <w:t>writing competition attracting a record breaking 3,500 entries from students in NSW and ACT – finalists acknowledged at Awards</w:t>
      </w:r>
      <w:r>
        <w:rPr>
          <w:spacing w:val="-25"/>
          <w:sz w:val="18"/>
        </w:rPr>
        <w:t> </w:t>
      </w:r>
      <w:r>
        <w:rPr>
          <w:sz w:val="18"/>
        </w:rPr>
        <w:t>Ceremony</w:t>
      </w:r>
    </w:p>
    <w:p>
      <w:pPr>
        <w:pStyle w:val="ListParagraph"/>
        <w:numPr>
          <w:ilvl w:val="0"/>
          <w:numId w:val="145"/>
        </w:numPr>
        <w:tabs>
          <w:tab w:pos="850" w:val="left" w:leader="none"/>
        </w:tabs>
        <w:spacing w:line="240" w:lineRule="auto" w:before="0" w:after="0"/>
        <w:ind w:left="849" w:right="235" w:hanging="283"/>
        <w:jc w:val="left"/>
        <w:rPr>
          <w:sz w:val="18"/>
        </w:rPr>
      </w:pPr>
      <w:r>
        <w:rPr>
          <w:sz w:val="18"/>
        </w:rPr>
        <w:t>A grant of $25,000 was received from the Department of Foreign Affairs and Trade to fund the project 'Gough</w:t>
      </w:r>
      <w:r>
        <w:rPr>
          <w:spacing w:val="-4"/>
          <w:sz w:val="18"/>
        </w:rPr>
        <w:t> </w:t>
      </w:r>
      <w:r>
        <w:rPr>
          <w:sz w:val="18"/>
        </w:rPr>
        <w:t>Whitlam</w:t>
      </w:r>
      <w:r>
        <w:rPr>
          <w:spacing w:val="-4"/>
          <w:sz w:val="18"/>
        </w:rPr>
        <w:t> </w:t>
      </w:r>
      <w:r>
        <w:rPr>
          <w:sz w:val="18"/>
        </w:rPr>
        <w:t>and</w:t>
      </w:r>
      <w:r>
        <w:rPr>
          <w:spacing w:val="-4"/>
          <w:sz w:val="18"/>
        </w:rPr>
        <w:t> </w:t>
      </w:r>
      <w:r>
        <w:rPr>
          <w:sz w:val="18"/>
        </w:rPr>
        <w:t>the</w:t>
      </w:r>
      <w:r>
        <w:rPr>
          <w:spacing w:val="-4"/>
          <w:sz w:val="18"/>
        </w:rPr>
        <w:t> </w:t>
      </w:r>
      <w:r>
        <w:rPr>
          <w:sz w:val="18"/>
        </w:rPr>
        <w:t>road</w:t>
      </w:r>
      <w:r>
        <w:rPr>
          <w:spacing w:val="-3"/>
          <w:sz w:val="18"/>
        </w:rPr>
        <w:t> </w:t>
      </w:r>
      <w:r>
        <w:rPr>
          <w:sz w:val="18"/>
        </w:rPr>
        <w:t>to</w:t>
      </w:r>
      <w:r>
        <w:rPr>
          <w:spacing w:val="-4"/>
          <w:sz w:val="18"/>
        </w:rPr>
        <w:t> </w:t>
      </w:r>
      <w:r>
        <w:rPr>
          <w:sz w:val="18"/>
        </w:rPr>
        <w:t>establishing</w:t>
      </w:r>
      <w:r>
        <w:rPr>
          <w:spacing w:val="-3"/>
          <w:sz w:val="18"/>
        </w:rPr>
        <w:t> </w:t>
      </w:r>
      <w:r>
        <w:rPr>
          <w:sz w:val="18"/>
        </w:rPr>
        <w:t>formal</w:t>
      </w:r>
      <w:r>
        <w:rPr>
          <w:spacing w:val="-4"/>
          <w:sz w:val="18"/>
        </w:rPr>
        <w:t> </w:t>
      </w:r>
      <w:r>
        <w:rPr>
          <w:sz w:val="18"/>
        </w:rPr>
        <w:t>relations</w:t>
      </w:r>
      <w:r>
        <w:rPr>
          <w:spacing w:val="-3"/>
          <w:sz w:val="18"/>
        </w:rPr>
        <w:t> </w:t>
      </w:r>
      <w:r>
        <w:rPr>
          <w:sz w:val="18"/>
        </w:rPr>
        <w:t>with</w:t>
      </w:r>
      <w:r>
        <w:rPr>
          <w:spacing w:val="-4"/>
          <w:sz w:val="18"/>
        </w:rPr>
        <w:t> </w:t>
      </w:r>
      <w:r>
        <w:rPr>
          <w:sz w:val="18"/>
        </w:rPr>
        <w:t>the</w:t>
      </w:r>
      <w:r>
        <w:rPr>
          <w:spacing w:val="-4"/>
          <w:sz w:val="18"/>
        </w:rPr>
        <w:t> </w:t>
      </w:r>
      <w:r>
        <w:rPr>
          <w:sz w:val="18"/>
        </w:rPr>
        <w:t>People's</w:t>
      </w:r>
      <w:r>
        <w:rPr>
          <w:spacing w:val="-4"/>
          <w:sz w:val="18"/>
        </w:rPr>
        <w:t> </w:t>
      </w:r>
      <w:r>
        <w:rPr>
          <w:sz w:val="18"/>
        </w:rPr>
        <w:t>Republic</w:t>
      </w:r>
      <w:r>
        <w:rPr>
          <w:spacing w:val="-3"/>
          <w:sz w:val="18"/>
        </w:rPr>
        <w:t> </w:t>
      </w:r>
      <w:r>
        <w:rPr>
          <w:sz w:val="18"/>
        </w:rPr>
        <w:t>of</w:t>
      </w:r>
      <w:r>
        <w:rPr>
          <w:spacing w:val="-4"/>
          <w:sz w:val="18"/>
        </w:rPr>
        <w:t> </w:t>
      </w:r>
      <w:r>
        <w:rPr>
          <w:sz w:val="18"/>
        </w:rPr>
        <w:t>China:</w:t>
      </w:r>
      <w:r>
        <w:rPr>
          <w:spacing w:val="-4"/>
          <w:sz w:val="18"/>
        </w:rPr>
        <w:t> </w:t>
      </w:r>
      <w:r>
        <w:rPr>
          <w:sz w:val="18"/>
        </w:rPr>
        <w:t>the</w:t>
      </w:r>
    </w:p>
    <w:p>
      <w:pPr>
        <w:pStyle w:val="BodyText"/>
        <w:spacing w:line="208" w:lineRule="exact" w:before="2"/>
        <w:ind w:left="849" w:right="135" w:hanging="1"/>
      </w:pPr>
      <w:r>
        <w:rPr/>
        <w:t>significance for contemporary Australian-Chinese relations', marking the 40</w:t>
      </w:r>
      <w:r>
        <w:rPr>
          <w:position w:val="9"/>
          <w:sz w:val="12"/>
        </w:rPr>
        <w:t>th </w:t>
      </w:r>
      <w:r>
        <w:rPr/>
        <w:t>anniversary of establishing diplomatic relations with China by the Whitlam Government.</w:t>
      </w:r>
    </w:p>
    <w:p>
      <w:pPr>
        <w:pStyle w:val="ListParagraph"/>
        <w:numPr>
          <w:ilvl w:val="0"/>
          <w:numId w:val="145"/>
        </w:numPr>
        <w:tabs>
          <w:tab w:pos="850" w:val="left" w:leader="none"/>
        </w:tabs>
        <w:spacing w:line="216" w:lineRule="exact" w:before="0" w:after="0"/>
        <w:ind w:left="849" w:right="0" w:hanging="283"/>
        <w:jc w:val="left"/>
        <w:rPr>
          <w:sz w:val="18"/>
        </w:rPr>
      </w:pPr>
      <w:r>
        <w:rPr>
          <w:sz w:val="18"/>
        </w:rPr>
        <w:t>Primary research in the </w:t>
      </w:r>
      <w:r>
        <w:rPr>
          <w:i/>
          <w:sz w:val="18"/>
        </w:rPr>
        <w:t>High Stakes Testing Project </w:t>
      </w:r>
      <w:r>
        <w:rPr>
          <w:sz w:val="18"/>
        </w:rPr>
        <w:t>was</w:t>
      </w:r>
      <w:r>
        <w:rPr>
          <w:spacing w:val="-33"/>
          <w:sz w:val="18"/>
        </w:rPr>
        <w:t> </w:t>
      </w:r>
      <w:r>
        <w:rPr>
          <w:sz w:val="18"/>
        </w:rPr>
        <w:t>completed</w:t>
      </w:r>
    </w:p>
    <w:p>
      <w:pPr>
        <w:pStyle w:val="ListParagraph"/>
        <w:numPr>
          <w:ilvl w:val="0"/>
          <w:numId w:val="145"/>
        </w:numPr>
        <w:tabs>
          <w:tab w:pos="850" w:val="left" w:leader="none"/>
        </w:tabs>
        <w:spacing w:line="219" w:lineRule="exact" w:before="0" w:after="0"/>
        <w:ind w:left="849" w:right="0" w:hanging="283"/>
        <w:jc w:val="left"/>
        <w:rPr>
          <w:sz w:val="18"/>
        </w:rPr>
      </w:pPr>
      <w:r>
        <w:rPr>
          <w:sz w:val="18"/>
        </w:rPr>
        <w:t>Institute</w:t>
      </w:r>
      <w:r>
        <w:rPr>
          <w:spacing w:val="-5"/>
          <w:sz w:val="18"/>
        </w:rPr>
        <w:t> </w:t>
      </w:r>
      <w:r>
        <w:rPr>
          <w:sz w:val="18"/>
        </w:rPr>
        <w:t>hosts</w:t>
      </w:r>
      <w:r>
        <w:rPr>
          <w:spacing w:val="-5"/>
          <w:sz w:val="18"/>
        </w:rPr>
        <w:t> </w:t>
      </w:r>
      <w:r>
        <w:rPr>
          <w:sz w:val="18"/>
        </w:rPr>
        <w:t>the</w:t>
      </w:r>
      <w:r>
        <w:rPr>
          <w:spacing w:val="-5"/>
          <w:sz w:val="18"/>
        </w:rPr>
        <w:t> </w:t>
      </w:r>
      <w:r>
        <w:rPr>
          <w:i/>
          <w:sz w:val="18"/>
        </w:rPr>
        <w:t>Frank</w:t>
      </w:r>
      <w:r>
        <w:rPr>
          <w:i/>
          <w:spacing w:val="-5"/>
          <w:sz w:val="18"/>
        </w:rPr>
        <w:t> </w:t>
      </w:r>
      <w:r>
        <w:rPr>
          <w:i/>
          <w:sz w:val="18"/>
        </w:rPr>
        <w:t>Hurley:</w:t>
      </w:r>
      <w:r>
        <w:rPr>
          <w:i/>
          <w:spacing w:val="-5"/>
          <w:sz w:val="18"/>
        </w:rPr>
        <w:t> </w:t>
      </w:r>
      <w:r>
        <w:rPr>
          <w:i/>
          <w:sz w:val="18"/>
        </w:rPr>
        <w:t>journeys</w:t>
      </w:r>
      <w:r>
        <w:rPr>
          <w:i/>
          <w:spacing w:val="-5"/>
          <w:sz w:val="18"/>
        </w:rPr>
        <w:t> </w:t>
      </w:r>
      <w:r>
        <w:rPr>
          <w:i/>
          <w:sz w:val="18"/>
        </w:rPr>
        <w:t>into</w:t>
      </w:r>
      <w:r>
        <w:rPr>
          <w:i/>
          <w:spacing w:val="-4"/>
          <w:sz w:val="18"/>
        </w:rPr>
        <w:t> </w:t>
      </w:r>
      <w:r>
        <w:rPr>
          <w:i/>
          <w:sz w:val="18"/>
        </w:rPr>
        <w:t>Papua</w:t>
      </w:r>
      <w:r>
        <w:rPr>
          <w:i/>
          <w:spacing w:val="-7"/>
          <w:sz w:val="18"/>
        </w:rPr>
        <w:t> </w:t>
      </w:r>
      <w:r>
        <w:rPr>
          <w:sz w:val="18"/>
        </w:rPr>
        <w:t>exhibition</w:t>
      </w:r>
      <w:r>
        <w:rPr>
          <w:spacing w:val="-5"/>
          <w:sz w:val="18"/>
        </w:rPr>
        <w:t> </w:t>
      </w:r>
      <w:r>
        <w:rPr>
          <w:sz w:val="18"/>
        </w:rPr>
        <w:t>in</w:t>
      </w:r>
      <w:r>
        <w:rPr>
          <w:spacing w:val="-5"/>
          <w:sz w:val="18"/>
        </w:rPr>
        <w:t> </w:t>
      </w:r>
      <w:r>
        <w:rPr>
          <w:sz w:val="18"/>
        </w:rPr>
        <w:t>the</w:t>
      </w:r>
      <w:r>
        <w:rPr>
          <w:spacing w:val="-5"/>
          <w:sz w:val="18"/>
        </w:rPr>
        <w:t> </w:t>
      </w:r>
      <w:r>
        <w:rPr>
          <w:sz w:val="18"/>
        </w:rPr>
        <w:t>Margaret</w:t>
      </w:r>
      <w:r>
        <w:rPr>
          <w:spacing w:val="-5"/>
          <w:sz w:val="18"/>
        </w:rPr>
        <w:t> </w:t>
      </w:r>
      <w:r>
        <w:rPr>
          <w:sz w:val="18"/>
        </w:rPr>
        <w:t>Whitlam</w:t>
      </w:r>
      <w:r>
        <w:rPr>
          <w:spacing w:val="-5"/>
          <w:sz w:val="18"/>
        </w:rPr>
        <w:t> </w:t>
      </w:r>
      <w:r>
        <w:rPr>
          <w:sz w:val="18"/>
        </w:rPr>
        <w:t>Galleries</w:t>
      </w:r>
    </w:p>
    <w:p>
      <w:pPr>
        <w:pStyle w:val="ListParagraph"/>
        <w:numPr>
          <w:ilvl w:val="0"/>
          <w:numId w:val="145"/>
        </w:numPr>
        <w:tabs>
          <w:tab w:pos="850" w:val="left" w:leader="none"/>
        </w:tabs>
        <w:spacing w:line="240" w:lineRule="auto" w:before="0" w:after="0"/>
        <w:ind w:left="849" w:right="130" w:hanging="283"/>
        <w:jc w:val="left"/>
        <w:rPr>
          <w:sz w:val="18"/>
        </w:rPr>
      </w:pPr>
      <w:r>
        <w:rPr>
          <w:sz w:val="18"/>
        </w:rPr>
        <w:t>Institute hosts a day-long roundtable of other PM centres and the major national cultural institutions, such as the National</w:t>
      </w:r>
      <w:r>
        <w:rPr>
          <w:spacing w:val="-16"/>
          <w:sz w:val="18"/>
        </w:rPr>
        <w:t> </w:t>
      </w:r>
      <w:r>
        <w:rPr>
          <w:sz w:val="18"/>
        </w:rPr>
        <w:t>Archives</w:t>
      </w:r>
    </w:p>
    <w:p>
      <w:pPr>
        <w:pStyle w:val="BodyText"/>
      </w:pPr>
    </w:p>
    <w:p>
      <w:pPr>
        <w:pStyle w:val="BodyText"/>
        <w:spacing w:line="207" w:lineRule="exact"/>
        <w:ind w:left="140" w:right="6648"/>
      </w:pPr>
      <w:r>
        <w:rPr>
          <w:u w:val="single"/>
        </w:rPr>
        <w:t>Performance Measures</w:t>
      </w:r>
    </w:p>
    <w:p>
      <w:pPr>
        <w:pStyle w:val="BodyText"/>
        <w:ind w:left="140" w:right="895"/>
      </w:pPr>
      <w:r>
        <w:rPr/>
        <w:t>The performance measures of the Company are primarily of a non-financial nature and are driven by the philanthropic nature of the trust and the role of the trustee.</w:t>
      </w:r>
    </w:p>
    <w:p>
      <w:pPr>
        <w:pStyle w:val="BodyText"/>
      </w:pPr>
    </w:p>
    <w:p>
      <w:pPr>
        <w:pStyle w:val="BodyText"/>
        <w:spacing w:line="207" w:lineRule="exact"/>
        <w:ind w:left="140" w:right="653"/>
      </w:pPr>
      <w:r>
        <w:rPr/>
        <w:t>The Whitlam Institute is guided by the ‘three great aims’ that drove the Whitlam Program of 1972. They are</w:t>
      </w:r>
    </w:p>
    <w:p>
      <w:pPr>
        <w:pStyle w:val="ListParagraph"/>
        <w:numPr>
          <w:ilvl w:val="0"/>
          <w:numId w:val="146"/>
        </w:numPr>
        <w:tabs>
          <w:tab w:pos="861" w:val="left" w:leader="none"/>
        </w:tabs>
        <w:spacing w:line="220" w:lineRule="exact" w:before="0" w:after="0"/>
        <w:ind w:left="860" w:right="0" w:hanging="360"/>
        <w:jc w:val="left"/>
        <w:rPr>
          <w:sz w:val="18"/>
        </w:rPr>
      </w:pPr>
      <w:r>
        <w:rPr>
          <w:sz w:val="18"/>
        </w:rPr>
        <w:t>to promote</w:t>
      </w:r>
      <w:r>
        <w:rPr>
          <w:spacing w:val="-11"/>
          <w:sz w:val="18"/>
        </w:rPr>
        <w:t> </w:t>
      </w:r>
      <w:r>
        <w:rPr>
          <w:sz w:val="18"/>
        </w:rPr>
        <w:t>equality</w:t>
      </w:r>
    </w:p>
    <w:p>
      <w:pPr>
        <w:pStyle w:val="ListParagraph"/>
        <w:numPr>
          <w:ilvl w:val="0"/>
          <w:numId w:val="146"/>
        </w:numPr>
        <w:tabs>
          <w:tab w:pos="861" w:val="left" w:leader="none"/>
        </w:tabs>
        <w:spacing w:line="220" w:lineRule="exact" w:before="0" w:after="0"/>
        <w:ind w:left="860" w:right="0" w:hanging="360"/>
        <w:jc w:val="left"/>
        <w:rPr>
          <w:sz w:val="18"/>
        </w:rPr>
      </w:pPr>
      <w:r>
        <w:rPr>
          <w:sz w:val="18"/>
        </w:rPr>
        <w:t>to</w:t>
      </w:r>
      <w:r>
        <w:rPr>
          <w:spacing w:val="-4"/>
          <w:sz w:val="18"/>
        </w:rPr>
        <w:t> </w:t>
      </w:r>
      <w:r>
        <w:rPr>
          <w:sz w:val="18"/>
        </w:rPr>
        <w:t>involve</w:t>
      </w:r>
      <w:r>
        <w:rPr>
          <w:spacing w:val="-4"/>
          <w:sz w:val="18"/>
        </w:rPr>
        <w:t> </w:t>
      </w:r>
      <w:r>
        <w:rPr>
          <w:sz w:val="18"/>
        </w:rPr>
        <w:t>the</w:t>
      </w:r>
      <w:r>
        <w:rPr>
          <w:spacing w:val="-4"/>
          <w:sz w:val="18"/>
        </w:rPr>
        <w:t> </w:t>
      </w:r>
      <w:r>
        <w:rPr>
          <w:sz w:val="18"/>
        </w:rPr>
        <w:t>people</w:t>
      </w:r>
      <w:r>
        <w:rPr>
          <w:spacing w:val="-4"/>
          <w:sz w:val="18"/>
        </w:rPr>
        <w:t> </w:t>
      </w:r>
      <w:r>
        <w:rPr>
          <w:sz w:val="18"/>
        </w:rPr>
        <w:t>of</w:t>
      </w:r>
      <w:r>
        <w:rPr>
          <w:spacing w:val="-4"/>
          <w:sz w:val="18"/>
        </w:rPr>
        <w:t> </w:t>
      </w:r>
      <w:r>
        <w:rPr>
          <w:sz w:val="18"/>
        </w:rPr>
        <w:t>Australia</w:t>
      </w:r>
      <w:r>
        <w:rPr>
          <w:spacing w:val="-4"/>
          <w:sz w:val="18"/>
        </w:rPr>
        <w:t> </w:t>
      </w:r>
      <w:r>
        <w:rPr>
          <w:sz w:val="18"/>
        </w:rPr>
        <w:t>in</w:t>
      </w:r>
      <w:r>
        <w:rPr>
          <w:spacing w:val="-4"/>
          <w:sz w:val="18"/>
        </w:rPr>
        <w:t> </w:t>
      </w:r>
      <w:r>
        <w:rPr>
          <w:sz w:val="18"/>
        </w:rPr>
        <w:t>the</w:t>
      </w:r>
      <w:r>
        <w:rPr>
          <w:spacing w:val="-4"/>
          <w:sz w:val="18"/>
        </w:rPr>
        <w:t> </w:t>
      </w:r>
      <w:r>
        <w:rPr>
          <w:sz w:val="18"/>
        </w:rPr>
        <w:t>decision-making</w:t>
      </w:r>
      <w:r>
        <w:rPr>
          <w:spacing w:val="-4"/>
          <w:sz w:val="18"/>
        </w:rPr>
        <w:t> </w:t>
      </w:r>
      <w:r>
        <w:rPr>
          <w:sz w:val="18"/>
        </w:rPr>
        <w:t>processes</w:t>
      </w:r>
      <w:r>
        <w:rPr>
          <w:spacing w:val="-4"/>
          <w:sz w:val="18"/>
        </w:rPr>
        <w:t> </w:t>
      </w:r>
      <w:r>
        <w:rPr>
          <w:sz w:val="18"/>
        </w:rPr>
        <w:t>of</w:t>
      </w:r>
      <w:r>
        <w:rPr>
          <w:spacing w:val="-4"/>
          <w:sz w:val="18"/>
        </w:rPr>
        <w:t> </w:t>
      </w:r>
      <w:r>
        <w:rPr>
          <w:sz w:val="18"/>
        </w:rPr>
        <w:t>our</w:t>
      </w:r>
      <w:r>
        <w:rPr>
          <w:spacing w:val="-4"/>
          <w:sz w:val="18"/>
        </w:rPr>
        <w:t> </w:t>
      </w:r>
      <w:r>
        <w:rPr>
          <w:sz w:val="18"/>
        </w:rPr>
        <w:t>land,</w:t>
      </w:r>
      <w:r>
        <w:rPr>
          <w:spacing w:val="-4"/>
          <w:sz w:val="18"/>
        </w:rPr>
        <w:t> </w:t>
      </w:r>
      <w:r>
        <w:rPr>
          <w:sz w:val="18"/>
        </w:rPr>
        <w:t>and</w:t>
      </w:r>
    </w:p>
    <w:p>
      <w:pPr>
        <w:pStyle w:val="ListParagraph"/>
        <w:numPr>
          <w:ilvl w:val="0"/>
          <w:numId w:val="146"/>
        </w:numPr>
        <w:tabs>
          <w:tab w:pos="861" w:val="left" w:leader="none"/>
        </w:tabs>
        <w:spacing w:line="220" w:lineRule="exact" w:before="0" w:after="0"/>
        <w:ind w:left="860" w:right="0" w:hanging="360"/>
        <w:jc w:val="left"/>
        <w:rPr>
          <w:sz w:val="18"/>
        </w:rPr>
      </w:pPr>
      <w:r>
        <w:rPr>
          <w:sz w:val="18"/>
        </w:rPr>
        <w:t>to</w:t>
      </w:r>
      <w:r>
        <w:rPr>
          <w:spacing w:val="-4"/>
          <w:sz w:val="18"/>
        </w:rPr>
        <w:t> </w:t>
      </w:r>
      <w:r>
        <w:rPr>
          <w:sz w:val="18"/>
        </w:rPr>
        <w:t>liberate</w:t>
      </w:r>
      <w:r>
        <w:rPr>
          <w:spacing w:val="-4"/>
          <w:sz w:val="18"/>
        </w:rPr>
        <w:t> </w:t>
      </w:r>
      <w:r>
        <w:rPr>
          <w:sz w:val="18"/>
        </w:rPr>
        <w:t>the</w:t>
      </w:r>
      <w:r>
        <w:rPr>
          <w:spacing w:val="-4"/>
          <w:sz w:val="18"/>
        </w:rPr>
        <w:t> </w:t>
      </w:r>
      <w:r>
        <w:rPr>
          <w:sz w:val="18"/>
        </w:rPr>
        <w:t>talents</w:t>
      </w:r>
      <w:r>
        <w:rPr>
          <w:spacing w:val="-4"/>
          <w:sz w:val="18"/>
        </w:rPr>
        <w:t> </w:t>
      </w:r>
      <w:r>
        <w:rPr>
          <w:sz w:val="18"/>
        </w:rPr>
        <w:t>and</w:t>
      </w:r>
      <w:r>
        <w:rPr>
          <w:spacing w:val="-4"/>
          <w:sz w:val="18"/>
        </w:rPr>
        <w:t> </w:t>
      </w:r>
      <w:r>
        <w:rPr>
          <w:sz w:val="18"/>
        </w:rPr>
        <w:t>uplift</w:t>
      </w:r>
      <w:r>
        <w:rPr>
          <w:spacing w:val="-4"/>
          <w:sz w:val="18"/>
        </w:rPr>
        <w:t> </w:t>
      </w:r>
      <w:r>
        <w:rPr>
          <w:sz w:val="18"/>
        </w:rPr>
        <w:t>the</w:t>
      </w:r>
      <w:r>
        <w:rPr>
          <w:spacing w:val="-4"/>
          <w:sz w:val="18"/>
        </w:rPr>
        <w:t> </w:t>
      </w:r>
      <w:r>
        <w:rPr>
          <w:sz w:val="18"/>
        </w:rPr>
        <w:t>horizons</w:t>
      </w:r>
      <w:r>
        <w:rPr>
          <w:spacing w:val="-3"/>
          <w:sz w:val="18"/>
        </w:rPr>
        <w:t> </w:t>
      </w:r>
      <w:r>
        <w:rPr>
          <w:sz w:val="18"/>
        </w:rPr>
        <w:t>of</w:t>
      </w:r>
      <w:r>
        <w:rPr>
          <w:spacing w:val="-4"/>
          <w:sz w:val="18"/>
        </w:rPr>
        <w:t> </w:t>
      </w:r>
      <w:r>
        <w:rPr>
          <w:sz w:val="18"/>
        </w:rPr>
        <w:t>the</w:t>
      </w:r>
      <w:r>
        <w:rPr>
          <w:spacing w:val="-4"/>
          <w:sz w:val="18"/>
        </w:rPr>
        <w:t> </w:t>
      </w:r>
      <w:r>
        <w:rPr>
          <w:sz w:val="18"/>
        </w:rPr>
        <w:t>Australian</w:t>
      </w:r>
      <w:r>
        <w:rPr>
          <w:spacing w:val="-5"/>
          <w:sz w:val="18"/>
        </w:rPr>
        <w:t> </w:t>
      </w:r>
      <w:r>
        <w:rPr>
          <w:sz w:val="18"/>
        </w:rPr>
        <w:t>people.</w:t>
      </w:r>
    </w:p>
    <w:p>
      <w:pPr>
        <w:pStyle w:val="BodyText"/>
        <w:spacing w:before="10"/>
        <w:rPr>
          <w:sz w:val="17"/>
        </w:rPr>
      </w:pPr>
    </w:p>
    <w:p>
      <w:pPr>
        <w:pStyle w:val="BodyText"/>
        <w:ind w:left="140" w:right="95" w:hanging="1"/>
      </w:pPr>
      <w:r>
        <w:rPr/>
        <w:t>The principal financial performance measure for the entity for 2012 was the funding target for the Trust of $33,650, which was exceeded. For the year ended 31 December 2012 the Trust achieved a surplus of $268,639. This included a donation of assets, valued at $198,117. There were no transactions for the Whitlam Institute within the University of Western Sydney Limited during the year.</w:t>
      </w:r>
    </w:p>
    <w:p>
      <w:pPr>
        <w:pStyle w:val="BodyText"/>
        <w:spacing w:before="2"/>
      </w:pPr>
    </w:p>
    <w:tbl>
      <w:tblPr>
        <w:tblW w:w="0" w:type="auto"/>
        <w:jc w:val="left"/>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33"/>
        <w:gridCol w:w="1843"/>
        <w:gridCol w:w="2126"/>
        <w:gridCol w:w="1984"/>
      </w:tblGrid>
      <w:tr>
        <w:trPr>
          <w:trHeight w:val="502" w:hRule="exact"/>
        </w:trPr>
        <w:tc>
          <w:tcPr>
            <w:tcW w:w="3133" w:type="dxa"/>
          </w:tcPr>
          <w:p>
            <w:pPr>
              <w:pStyle w:val="TableParagraph"/>
              <w:spacing w:before="136"/>
              <w:ind w:left="98"/>
              <w:rPr>
                <w:b/>
                <w:i/>
                <w:sz w:val="18"/>
              </w:rPr>
            </w:pPr>
            <w:r>
              <w:rPr>
                <w:b/>
                <w:i/>
                <w:sz w:val="18"/>
              </w:rPr>
              <w:t>Category</w:t>
            </w:r>
          </w:p>
        </w:tc>
        <w:tc>
          <w:tcPr>
            <w:tcW w:w="1843" w:type="dxa"/>
          </w:tcPr>
          <w:p>
            <w:pPr>
              <w:pStyle w:val="TableParagraph"/>
              <w:spacing w:before="136"/>
              <w:ind w:right="50"/>
              <w:jc w:val="right"/>
              <w:rPr>
                <w:b/>
                <w:i/>
                <w:sz w:val="18"/>
              </w:rPr>
            </w:pPr>
            <w:r>
              <w:rPr>
                <w:b/>
                <w:i/>
                <w:sz w:val="18"/>
              </w:rPr>
              <w:t>FY 2012 Actual</w:t>
            </w:r>
          </w:p>
        </w:tc>
        <w:tc>
          <w:tcPr>
            <w:tcW w:w="2126" w:type="dxa"/>
          </w:tcPr>
          <w:p>
            <w:pPr>
              <w:pStyle w:val="TableParagraph"/>
              <w:spacing w:before="136"/>
              <w:ind w:right="50"/>
              <w:jc w:val="right"/>
              <w:rPr>
                <w:b/>
                <w:i/>
                <w:sz w:val="18"/>
              </w:rPr>
            </w:pPr>
            <w:r>
              <w:rPr>
                <w:b/>
                <w:i/>
                <w:sz w:val="18"/>
              </w:rPr>
              <w:t>Annual 2012 Budget</w:t>
            </w:r>
          </w:p>
        </w:tc>
        <w:tc>
          <w:tcPr>
            <w:tcW w:w="1984" w:type="dxa"/>
          </w:tcPr>
          <w:p>
            <w:pPr>
              <w:pStyle w:val="TableParagraph"/>
              <w:spacing w:before="136"/>
              <w:ind w:right="49"/>
              <w:jc w:val="right"/>
              <w:rPr>
                <w:b/>
                <w:i/>
                <w:sz w:val="18"/>
              </w:rPr>
            </w:pPr>
            <w:r>
              <w:rPr>
                <w:b/>
                <w:i/>
                <w:sz w:val="18"/>
              </w:rPr>
              <w:t>% Full year achieved</w:t>
            </w:r>
          </w:p>
        </w:tc>
      </w:tr>
      <w:tr>
        <w:trPr>
          <w:trHeight w:val="290" w:hRule="exact"/>
        </w:trPr>
        <w:tc>
          <w:tcPr>
            <w:tcW w:w="3133" w:type="dxa"/>
          </w:tcPr>
          <w:p>
            <w:pPr>
              <w:pStyle w:val="TableParagraph"/>
              <w:spacing w:before="62"/>
              <w:ind w:left="98"/>
              <w:rPr>
                <w:sz w:val="18"/>
              </w:rPr>
            </w:pPr>
            <w:r>
              <w:rPr>
                <w:sz w:val="18"/>
              </w:rPr>
              <w:t>Revenue</w:t>
            </w:r>
          </w:p>
        </w:tc>
        <w:tc>
          <w:tcPr>
            <w:tcW w:w="1843" w:type="dxa"/>
          </w:tcPr>
          <w:p>
            <w:pPr>
              <w:pStyle w:val="TableParagraph"/>
              <w:spacing w:before="62"/>
              <w:ind w:right="51"/>
              <w:jc w:val="right"/>
              <w:rPr>
                <w:sz w:val="18"/>
              </w:rPr>
            </w:pPr>
            <w:r>
              <w:rPr>
                <w:sz w:val="18"/>
              </w:rPr>
              <w:t>$277,639</w:t>
            </w:r>
          </w:p>
        </w:tc>
        <w:tc>
          <w:tcPr>
            <w:tcW w:w="2126" w:type="dxa"/>
          </w:tcPr>
          <w:p>
            <w:pPr>
              <w:pStyle w:val="TableParagraph"/>
              <w:spacing w:before="62"/>
              <w:ind w:right="51"/>
              <w:jc w:val="right"/>
              <w:rPr>
                <w:sz w:val="18"/>
              </w:rPr>
            </w:pPr>
            <w:r>
              <w:rPr>
                <w:sz w:val="18"/>
              </w:rPr>
              <w:t>$53,500</w:t>
            </w:r>
          </w:p>
        </w:tc>
        <w:tc>
          <w:tcPr>
            <w:tcW w:w="1984" w:type="dxa"/>
          </w:tcPr>
          <w:p>
            <w:pPr>
              <w:pStyle w:val="TableParagraph"/>
              <w:spacing w:before="62"/>
              <w:ind w:right="50"/>
              <w:jc w:val="right"/>
              <w:rPr>
                <w:sz w:val="18"/>
              </w:rPr>
            </w:pPr>
            <w:r>
              <w:rPr>
                <w:sz w:val="18"/>
              </w:rPr>
              <w:t>519%</w:t>
            </w:r>
          </w:p>
        </w:tc>
      </w:tr>
      <w:tr>
        <w:trPr>
          <w:trHeight w:val="290" w:hRule="exact"/>
        </w:trPr>
        <w:tc>
          <w:tcPr>
            <w:tcW w:w="3133" w:type="dxa"/>
          </w:tcPr>
          <w:p>
            <w:pPr>
              <w:pStyle w:val="TableParagraph"/>
              <w:spacing w:before="61"/>
              <w:ind w:left="98"/>
              <w:rPr>
                <w:sz w:val="18"/>
              </w:rPr>
            </w:pPr>
            <w:r>
              <w:rPr>
                <w:sz w:val="18"/>
              </w:rPr>
              <w:t>Expenses</w:t>
            </w:r>
          </w:p>
        </w:tc>
        <w:tc>
          <w:tcPr>
            <w:tcW w:w="1843" w:type="dxa"/>
          </w:tcPr>
          <w:p>
            <w:pPr>
              <w:pStyle w:val="TableParagraph"/>
              <w:spacing w:before="61"/>
              <w:ind w:right="51"/>
              <w:jc w:val="right"/>
              <w:rPr>
                <w:sz w:val="18"/>
              </w:rPr>
            </w:pPr>
            <w:r>
              <w:rPr>
                <w:sz w:val="18"/>
              </w:rPr>
              <w:t>$9,000</w:t>
            </w:r>
          </w:p>
        </w:tc>
        <w:tc>
          <w:tcPr>
            <w:tcW w:w="2126" w:type="dxa"/>
          </w:tcPr>
          <w:p>
            <w:pPr>
              <w:pStyle w:val="TableParagraph"/>
              <w:spacing w:before="61"/>
              <w:ind w:right="51"/>
              <w:jc w:val="right"/>
              <w:rPr>
                <w:sz w:val="18"/>
              </w:rPr>
            </w:pPr>
            <w:r>
              <w:rPr>
                <w:sz w:val="18"/>
              </w:rPr>
              <w:t>$19,850</w:t>
            </w:r>
          </w:p>
        </w:tc>
        <w:tc>
          <w:tcPr>
            <w:tcW w:w="1984" w:type="dxa"/>
          </w:tcPr>
          <w:p>
            <w:pPr>
              <w:pStyle w:val="TableParagraph"/>
              <w:spacing w:before="61"/>
              <w:ind w:right="50"/>
              <w:jc w:val="right"/>
              <w:rPr>
                <w:sz w:val="18"/>
              </w:rPr>
            </w:pPr>
            <w:r>
              <w:rPr>
                <w:sz w:val="18"/>
              </w:rPr>
              <w:t>45%</w:t>
            </w:r>
          </w:p>
        </w:tc>
      </w:tr>
      <w:tr>
        <w:trPr>
          <w:trHeight w:val="289" w:hRule="exact"/>
        </w:trPr>
        <w:tc>
          <w:tcPr>
            <w:tcW w:w="3133" w:type="dxa"/>
          </w:tcPr>
          <w:p>
            <w:pPr>
              <w:pStyle w:val="TableParagraph"/>
              <w:spacing w:before="60"/>
              <w:ind w:left="98"/>
              <w:rPr>
                <w:b/>
                <w:sz w:val="18"/>
              </w:rPr>
            </w:pPr>
            <w:r>
              <w:rPr>
                <w:b/>
                <w:sz w:val="18"/>
              </w:rPr>
              <w:t>Operating Surplus</w:t>
            </w:r>
          </w:p>
        </w:tc>
        <w:tc>
          <w:tcPr>
            <w:tcW w:w="1843" w:type="dxa"/>
          </w:tcPr>
          <w:p>
            <w:pPr>
              <w:pStyle w:val="TableParagraph"/>
              <w:spacing w:before="60"/>
              <w:ind w:right="51"/>
              <w:jc w:val="right"/>
              <w:rPr>
                <w:b/>
                <w:sz w:val="18"/>
              </w:rPr>
            </w:pPr>
            <w:r>
              <w:rPr>
                <w:b/>
                <w:sz w:val="18"/>
              </w:rPr>
              <w:t>$268,639</w:t>
            </w:r>
          </w:p>
        </w:tc>
        <w:tc>
          <w:tcPr>
            <w:tcW w:w="2126" w:type="dxa"/>
          </w:tcPr>
          <w:p>
            <w:pPr>
              <w:pStyle w:val="TableParagraph"/>
              <w:spacing w:before="60"/>
              <w:ind w:right="51"/>
              <w:jc w:val="right"/>
              <w:rPr>
                <w:b/>
                <w:sz w:val="18"/>
              </w:rPr>
            </w:pPr>
            <w:r>
              <w:rPr>
                <w:b/>
                <w:sz w:val="18"/>
              </w:rPr>
              <w:t>$33,650</w:t>
            </w:r>
          </w:p>
        </w:tc>
        <w:tc>
          <w:tcPr>
            <w:tcW w:w="1984" w:type="dxa"/>
          </w:tcPr>
          <w:p>
            <w:pPr>
              <w:pStyle w:val="TableParagraph"/>
              <w:spacing w:before="61"/>
              <w:ind w:right="50"/>
              <w:jc w:val="right"/>
              <w:rPr>
                <w:sz w:val="18"/>
              </w:rPr>
            </w:pPr>
            <w:r>
              <w:rPr>
                <w:sz w:val="18"/>
              </w:rPr>
              <w:t>798%</w:t>
            </w:r>
          </w:p>
        </w:tc>
      </w:tr>
      <w:tr>
        <w:trPr>
          <w:trHeight w:val="227" w:hRule="exact"/>
        </w:trPr>
        <w:tc>
          <w:tcPr>
            <w:tcW w:w="3133" w:type="dxa"/>
          </w:tcPr>
          <w:p>
            <w:pPr>
              <w:pStyle w:val="TableParagraph"/>
              <w:spacing w:line="206" w:lineRule="exact"/>
              <w:ind w:left="98"/>
              <w:rPr>
                <w:sz w:val="18"/>
              </w:rPr>
            </w:pPr>
            <w:r>
              <w:rPr>
                <w:sz w:val="18"/>
              </w:rPr>
              <w:t>Accumulated Retained Earnings</w:t>
            </w:r>
          </w:p>
        </w:tc>
        <w:tc>
          <w:tcPr>
            <w:tcW w:w="1843" w:type="dxa"/>
          </w:tcPr>
          <w:p>
            <w:pPr>
              <w:pStyle w:val="TableParagraph"/>
              <w:spacing w:line="206" w:lineRule="exact"/>
              <w:ind w:right="51"/>
              <w:jc w:val="right"/>
              <w:rPr>
                <w:sz w:val="18"/>
              </w:rPr>
            </w:pPr>
            <w:r>
              <w:rPr>
                <w:sz w:val="18"/>
              </w:rPr>
              <w:t>$866,562</w:t>
            </w:r>
          </w:p>
        </w:tc>
        <w:tc>
          <w:tcPr>
            <w:tcW w:w="2126" w:type="dxa"/>
          </w:tcPr>
          <w:p>
            <w:pPr/>
          </w:p>
        </w:tc>
        <w:tc>
          <w:tcPr>
            <w:tcW w:w="1984" w:type="dxa"/>
          </w:tcPr>
          <w:p>
            <w:pPr/>
          </w:p>
        </w:tc>
      </w:tr>
    </w:tbl>
    <w:p>
      <w:pPr>
        <w:pStyle w:val="BodyText"/>
        <w:spacing w:before="2"/>
        <w:rPr>
          <w:sz w:val="29"/>
        </w:rPr>
      </w:pPr>
    </w:p>
    <w:p>
      <w:pPr>
        <w:pStyle w:val="BodyText"/>
        <w:spacing w:before="77"/>
        <w:ind w:left="140" w:right="6648"/>
      </w:pPr>
      <w:r>
        <w:rPr>
          <w:u w:val="single"/>
        </w:rPr>
        <w:t>Management and Operations</w:t>
      </w:r>
    </w:p>
    <w:p>
      <w:pPr>
        <w:pStyle w:val="BodyText"/>
        <w:ind w:left="139" w:right="497"/>
      </w:pPr>
      <w:r>
        <w:rPr/>
        <w:t>The Whitlam Institute within the University of Western Sydney Ltd is a wholly owned entity of the University of Western Sydney.</w:t>
      </w:r>
    </w:p>
    <w:p>
      <w:pPr>
        <w:pStyle w:val="BodyText"/>
        <w:spacing w:before="120"/>
        <w:ind w:left="139" w:right="1056"/>
      </w:pPr>
      <w:r>
        <w:rPr/>
        <w:t>The Whitlam Institute Board is politically bipartisan and consists of leaders in academia, business, and government organisations. The Board participates in the strategic development of the Institute.</w:t>
      </w:r>
    </w:p>
    <w:p>
      <w:pPr>
        <w:pStyle w:val="BodyText"/>
        <w:spacing w:before="120"/>
        <w:ind w:left="139" w:right="187"/>
      </w:pPr>
      <w:r>
        <w:rPr/>
        <w:t>The Whitlam Institute is led by its Director Eric Sidoti. Its small secretariat is committed to the highest quality in all its activity whether that might be its policy and research work, outreach activity, public information program or events.</w:t>
      </w:r>
    </w:p>
    <w:p>
      <w:pPr>
        <w:spacing w:after="0"/>
        <w:sectPr>
          <w:pgSz w:w="11910" w:h="16840"/>
          <w:pgMar w:header="709" w:footer="1023" w:top="900" w:bottom="1220" w:left="1300" w:right="1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pStyle w:val="Heading7"/>
      </w:pPr>
      <w:bookmarkStart w:name="Blank Page" w:id="9"/>
      <w:bookmarkEnd w:id="9"/>
      <w:r>
        <w:rPr/>
      </w:r>
      <w:r>
        <w:rPr/>
        <w:t>This page is intentionally blank</w:t>
      </w:r>
    </w:p>
    <w:p>
      <w:pPr>
        <w:spacing w:after="0"/>
        <w:sectPr>
          <w:headerReference w:type="default" r:id="rId285"/>
          <w:footerReference w:type="default" r:id="rId286"/>
          <w:pgSz w:w="11910" w:h="16840"/>
          <w:pgMar w:header="0" w:footer="507" w:top="1580" w:bottom="700" w:left="1680" w:right="1680"/>
        </w:sectPr>
      </w:pPr>
    </w:p>
    <w:p>
      <w:pPr>
        <w:pStyle w:val="BodyText"/>
        <w:rPr>
          <w:rFonts w:ascii="Calibri"/>
          <w:sz w:val="20"/>
        </w:rPr>
      </w:pPr>
      <w:r>
        <w:rPr/>
        <w:pict>
          <v:group style="position:absolute;margin-left:269.277008pt;margin-top:38.254013pt;width:281.55pt;height:764pt;mso-position-horizontal-relative:page;mso-position-vertical-relative:page;z-index:-1307872" coordorigin="5386,765" coordsize="5631,15280">
            <v:shape style="position:absolute;left:5421;top:5142;width:1869;height:2168" type="#_x0000_t75" stroked="false">
              <v:imagedata r:id="rId289" o:title=""/>
            </v:shape>
            <v:rect style="position:absolute;left:5421;top:5142;width:1869;height:2168" filled="false" stroked="true" strokeweight="3.071pt" strokecolor="#414042"/>
            <v:shape style="position:absolute;left:5421;top:2969;width:1869;height:2168" type="#_x0000_t75" stroked="false">
              <v:imagedata r:id="rId290" o:title=""/>
            </v:shape>
            <v:rect style="position:absolute;left:5421;top:2969;width:1869;height:2168" filled="false" stroked="true" strokeweight="3.071pt" strokecolor="#414042"/>
            <v:shape style="position:absolute;left:9132;top:2969;width:1853;height:2168" type="#_x0000_t75" stroked="false">
              <v:imagedata r:id="rId291" o:title=""/>
            </v:shape>
            <v:rect style="position:absolute;left:9132;top:2969;width:1853;height:2168" filled="false" stroked="true" strokeweight="3.071pt" strokecolor="#414042"/>
            <v:shape style="position:absolute;left:7289;top:2969;width:1848;height:2142" type="#_x0000_t75" stroked="false">
              <v:imagedata r:id="rId292" o:title=""/>
            </v:shape>
            <v:rect style="position:absolute;left:7289;top:2969;width:1848;height:2168" filled="false" stroked="true" strokeweight="3.071pt" strokecolor="#414042"/>
            <v:shape style="position:absolute;left:7289;top:5142;width:1848;height:2168" type="#_x0000_t75" stroked="false">
              <v:imagedata r:id="rId293" o:title=""/>
            </v:shape>
            <v:rect style="position:absolute;left:7289;top:5142;width:1848;height:2168" filled="false" stroked="true" strokeweight="3.071pt" strokecolor="#414042"/>
            <v:shape style="position:absolute;left:9137;top:5142;width:1848;height:2168" type="#_x0000_t75" stroked="false">
              <v:imagedata r:id="rId294" o:title=""/>
            </v:shape>
            <v:rect style="position:absolute;left:9137;top:5142;width:1848;height:2168" filled="false" stroked="true" strokeweight="3.071pt" strokecolor="#414042"/>
            <v:shape style="position:absolute;left:9137;top:7319;width:1848;height:2163" type="#_x0000_t75" stroked="false">
              <v:imagedata r:id="rId295" o:title=""/>
            </v:shape>
            <v:rect style="position:absolute;left:9137;top:7315;width:1848;height:2168" filled="false" stroked="true" strokeweight="3.071pt" strokecolor="#414042"/>
            <v:shape style="position:absolute;left:9137;top:796;width:1848;height:2168" type="#_x0000_t75" stroked="false">
              <v:imagedata r:id="rId296" o:title=""/>
            </v:shape>
            <v:rect style="position:absolute;left:9137;top:796;width:1848;height:2168" filled="false" stroked="true" strokeweight="3.071pt" strokecolor="#414042"/>
            <v:shape style="position:absolute;left:5421;top:9487;width:1869;height:2168" type="#_x0000_t75" stroked="false">
              <v:imagedata r:id="rId297" o:title=""/>
            </v:shape>
            <v:rect style="position:absolute;left:5421;top:9487;width:1869;height:2168" filled="false" stroked="true" strokeweight="3.071pt" strokecolor="#414042"/>
            <v:shape style="position:absolute;left:9137;top:13846;width:1848;height:2168" type="#_x0000_t75" stroked="false">
              <v:imagedata r:id="rId298" o:title=""/>
            </v:shape>
            <v:rect style="position:absolute;left:9137;top:13846;width:1848;height:2168" filled="false" stroked="true" strokeweight="3.071pt" strokecolor="#414042"/>
            <v:shape style="position:absolute;left:7290;top:9485;width:3694;height:4341" type="#_x0000_t75" stroked="false">
              <v:imagedata r:id="rId299" o:title=""/>
            </v:shape>
            <v:rect style="position:absolute;left:7290;top:9485;width:3694;height:4341" filled="false" stroked="true" strokeweight="3.071pt" strokecolor="#414042"/>
            <v:shape style="position:absolute;left:5448;top:796;width:3689;height:2168" type="#_x0000_t75" stroked="false">
              <v:imagedata r:id="rId300" o:title=""/>
            </v:shape>
            <v:rect style="position:absolute;left:5448;top:796;width:3689;height:2168" filled="false" stroked="true" strokeweight="3.071pt" strokecolor="#414042"/>
            <v:shape style="position:absolute;left:5448;top:13855;width:3709;height:2159" type="#_x0000_t75" stroked="false">
              <v:imagedata r:id="rId301" o:title=""/>
            </v:shape>
            <v:rect style="position:absolute;left:5417;top:13846;width:3741;height:2168" filled="false" stroked="true" strokeweight="3.071pt" strokecolor="#414042"/>
            <v:shape style="position:absolute;left:5417;top:11658;width:1874;height:2164" type="#_x0000_t75" stroked="false">
              <v:imagedata r:id="rId302" o:title=""/>
            </v:shape>
            <v:rect style="position:absolute;left:5417;top:11658;width:1874;height:2168" filled="false" stroked="true" strokeweight="3.071pt" strokecolor="#414042"/>
            <v:shape style="position:absolute;left:5421;top:7315;width:3722;height:2140" type="#_x0000_t75" stroked="false">
              <v:imagedata r:id="rId303" o:title=""/>
            </v:shape>
            <v:rect style="position:absolute;left:5421;top:7315;width:3722;height:2166" filled="false" stroked="true" strokeweight="3.071pt" strokecolor="#414042"/>
            <w10:wrap type="none"/>
          </v:group>
        </w:pic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7"/>
        <w:rPr>
          <w:rFonts w:ascii="Calibri"/>
          <w:sz w:val="17"/>
        </w:rPr>
      </w:pPr>
    </w:p>
    <w:p>
      <w:pPr>
        <w:spacing w:before="69"/>
        <w:ind w:left="113" w:right="0" w:firstLine="0"/>
        <w:jc w:val="left"/>
        <w:rPr>
          <w:sz w:val="26"/>
        </w:rPr>
      </w:pPr>
      <w:r>
        <w:rPr/>
        <w:pict>
          <v:shape style="position:absolute;margin-left:573.070984pt;margin-top:-27.902851pt;width:22.25pt;height:120.95pt;mso-position-horizontal-relative:page;mso-position-vertical-relative:paragraph;z-index:-1307896" coordorigin="11461,-558" coordsize="445,2419" path="m11461,1861l11906,1861m11906,-558l11461,-558,11461,1861e" filled="false" stroked="true" strokeweight="1pt" strokecolor="#414042">
            <v:path arrowok="t"/>
            <w10:wrap type="none"/>
          </v:shape>
        </w:pict>
      </w:r>
      <w:r>
        <w:rPr>
          <w:color w:val="FFFFFF"/>
          <w:w w:val="85"/>
          <w:sz w:val="26"/>
        </w:rPr>
        <w:t>University of Western Sydney</w:t>
      </w:r>
    </w:p>
    <w:p>
      <w:pPr>
        <w:pStyle w:val="BodyText"/>
        <w:spacing w:before="216"/>
        <w:ind w:left="113"/>
      </w:pPr>
      <w:r>
        <w:rPr>
          <w:color w:val="FFFFFF"/>
        </w:rPr>
        <w:t>Locked Bag 1797</w:t>
      </w:r>
    </w:p>
    <w:p>
      <w:pPr>
        <w:pStyle w:val="BodyText"/>
        <w:spacing w:before="33"/>
        <w:ind w:left="113"/>
      </w:pPr>
      <w:r>
        <w:rPr>
          <w:color w:val="FFFFFF"/>
        </w:rPr>
        <w:t>Penrith NSW 2751 Australia</w:t>
      </w:r>
    </w:p>
    <w:p>
      <w:pPr>
        <w:pStyle w:val="BodyText"/>
        <w:spacing w:before="33"/>
        <w:ind w:left="113"/>
      </w:pPr>
      <w:r>
        <w:rPr/>
        <w:pict>
          <v:shape style="position:absolute;margin-left:572.443359pt;margin-top:8.656491pt;width:6pt;height:33.35pt;mso-position-horizontal-relative:page;mso-position-vertical-relative:paragraph;z-index:-1307848" type="#_x0000_t202" filled="false" stroked="false">
            <v:textbox inset="0,0,0,0" style="layout-flow:vertical;mso-layout-flow-alt:bottom-to-top">
              <w:txbxContent>
                <w:p>
                  <w:pPr>
                    <w:spacing w:before="10"/>
                    <w:ind w:left="20" w:right="-244" w:firstLine="0"/>
                    <w:jc w:val="left"/>
                    <w:rPr>
                      <w:sz w:val="8"/>
                    </w:rPr>
                  </w:pPr>
                  <w:r>
                    <w:rPr>
                      <w:color w:val="FFFFFF"/>
                      <w:spacing w:val="-2"/>
                      <w:w w:val="97"/>
                      <w:sz w:val="8"/>
                    </w:rPr>
                    <w:t>SCS371</w:t>
                  </w:r>
                  <w:r>
                    <w:rPr>
                      <w:color w:val="FFFFFF"/>
                      <w:w w:val="97"/>
                      <w:sz w:val="8"/>
                    </w:rPr>
                    <w:t>6</w:t>
                  </w:r>
                  <w:r>
                    <w:rPr>
                      <w:color w:val="FFFFFF"/>
                      <w:spacing w:val="-4"/>
                      <w:sz w:val="8"/>
                    </w:rPr>
                    <w:t> </w:t>
                  </w:r>
                  <w:r>
                    <w:rPr>
                      <w:color w:val="FFFFFF"/>
                      <w:spacing w:val="-2"/>
                      <w:w w:val="101"/>
                      <w:sz w:val="8"/>
                    </w:rPr>
                    <w:t>04/2013</w:t>
                  </w:r>
                </w:p>
              </w:txbxContent>
            </v:textbox>
            <w10:wrap type="none"/>
          </v:shape>
        </w:pict>
      </w:r>
      <w:r>
        <w:rPr>
          <w:color w:val="FFFFFF"/>
        </w:rPr>
        <w:t>+61 2 9852 5222</w:t>
      </w:r>
    </w:p>
    <w:p>
      <w:pPr>
        <w:pStyle w:val="BodyText"/>
        <w:spacing w:before="33"/>
        <w:ind w:left="113"/>
      </w:pPr>
      <w:hyperlink r:id="rId304">
        <w:r>
          <w:rPr>
            <w:color w:val="FFFFFF"/>
          </w:rPr>
          <w:t>www.uws.edu.au</w:t>
        </w:r>
      </w:hyperlink>
    </w:p>
    <w:sectPr>
      <w:headerReference w:type="default" r:id="rId287"/>
      <w:footerReference w:type="default" r:id="rId288"/>
      <w:pgSz w:w="11910" w:h="16840"/>
      <w:pgMar w:header="0" w:footer="0" w:top="0" w:bottom="0" w:left="68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Microsoft Sans Serif">
    <w:altName w:val="Microsoft Sans Serif"/>
    <w:charset w:val="0"/>
    <w:family w:val="swiss"/>
    <w:pitch w:val="variable"/>
  </w:font>
  <w:font w:name="Symbol">
    <w:altName w:val="Symbol"/>
    <w:charset w:val="2"/>
    <w:family w:val="roman"/>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3.384979pt;margin-top:805.553528pt;width:8.5pt;height:10pt;mso-position-horizontal-relative:page;mso-position-vertical-relative:page;z-index:-1313176" type="#_x0000_t202" filled="false" stroked="false">
          <v:textbox inset="0,0,0,0">
            <w:txbxContent>
              <w:p>
                <w:pPr>
                  <w:spacing w:line="184" w:lineRule="exact" w:before="0"/>
                  <w:ind w:left="41" w:right="0" w:firstLine="0"/>
                  <w:jc w:val="left"/>
                  <w:rPr>
                    <w:sz w:val="16"/>
                  </w:rPr>
                </w:pPr>
                <w:r>
                  <w:rPr/>
                  <w:fldChar w:fldCharType="begin"/>
                </w:r>
                <w:r>
                  <w:rPr>
                    <w:sz w:val="16"/>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60492pt;margin-top:805.633545pt;width:12.9pt;height:10pt;mso-position-horizontal-relative:page;mso-position-vertical-relative:page;z-index:-131257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160492pt;margin-top:805.633545pt;width:10.9pt;height:10pt;mso-position-horizontal-relative:page;mso-position-vertical-relative:page;z-index:-1312504" type="#_x0000_t202" filled="false" stroked="false">
          <v:textbox inset="0,0,0,0">
            <w:txbxContent>
              <w:p>
                <w:pPr>
                  <w:spacing w:line="184" w:lineRule="exact" w:before="0"/>
                  <w:ind w:left="20" w:right="0" w:firstLine="0"/>
                  <w:jc w:val="left"/>
                  <w:rPr>
                    <w:sz w:val="16"/>
                  </w:rPr>
                </w:pPr>
                <w:r>
                  <w:rPr>
                    <w:sz w:val="16"/>
                  </w:rPr>
                  <w:t>20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60492pt;margin-top:805.633545pt;width:12.9pt;height:10pt;mso-position-horizontal-relative:page;mso-position-vertical-relative:page;z-index:-131248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160492pt;margin-top:805.633545pt;width:10.9pt;height:10pt;mso-position-horizontal-relative:page;mso-position-vertical-relative:page;z-index:-1312456" type="#_x0000_t202" filled="false" stroked="false">
          <v:textbox inset="0,0,0,0">
            <w:txbxContent>
              <w:p>
                <w:pPr>
                  <w:spacing w:line="184" w:lineRule="exact" w:before="0"/>
                  <w:ind w:left="20" w:right="0" w:firstLine="0"/>
                  <w:jc w:val="left"/>
                  <w:rPr>
                    <w:sz w:val="16"/>
                  </w:rPr>
                </w:pPr>
                <w:r>
                  <w:rPr>
                    <w:sz w:val="16"/>
                  </w:rPr>
                  <w:t>30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60492pt;margin-top:805.633545pt;width:12.9pt;height:10pt;mso-position-horizontal-relative:page;mso-position-vertical-relative:page;z-index:-131243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31</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550507pt;margin-top:558.853516pt;width:12.9pt;height:10pt;mso-position-horizontal-relative:page;mso-position-vertical-relative:page;z-index:-131236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40</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60492pt;margin-top:805.633545pt;width:12.9pt;height:10pt;mso-position-horizontal-relative:page;mso-position-vertical-relative:page;z-index:-131228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44</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160492pt;margin-top:805.633545pt;width:10.9pt;height:10pt;mso-position-horizontal-relative:page;mso-position-vertical-relative:page;z-index:-1312264" type="#_x0000_t202" filled="false" stroked="false">
          <v:textbox inset="0,0,0,0">
            <w:txbxContent>
              <w:p>
                <w:pPr>
                  <w:spacing w:line="184" w:lineRule="exact" w:before="0"/>
                  <w:ind w:left="20" w:right="0" w:firstLine="0"/>
                  <w:jc w:val="left"/>
                  <w:rPr>
                    <w:sz w:val="16"/>
                  </w:rPr>
                </w:pPr>
                <w:r>
                  <w:rPr>
                    <w:sz w:val="16"/>
                  </w:rPr>
                  <w:t>50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60492pt;margin-top:805.633545pt;width:12.9pt;height:10pt;mso-position-horizontal-relative:page;mso-position-vertical-relative:page;z-index:-131224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51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160492pt;margin-top:805.633545pt;width:10.9pt;height:10pt;mso-position-horizontal-relative:page;mso-position-vertical-relative:page;z-index:-1312216" type="#_x0000_t202" filled="false" stroked="false">
          <v:textbox inset="0,0,0,0">
            <w:txbxContent>
              <w:p>
                <w:pPr>
                  <w:spacing w:line="184" w:lineRule="exact" w:before="0"/>
                  <w:ind w:left="20" w:right="0" w:firstLine="0"/>
                  <w:jc w:val="left"/>
                  <w:rPr>
                    <w:sz w:val="16"/>
                  </w:rPr>
                </w:pPr>
                <w:r>
                  <w:rPr>
                    <w:sz w:val="16"/>
                  </w:rPr>
                  <w:t>60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434998pt;margin-top:805.553528pt;width:8.450pt;height:10pt;mso-position-horizontal-relative:page;mso-position-vertical-relative:page;z-index:-131315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60492pt;margin-top:805.633545pt;width:12.9pt;height:10pt;mso-position-horizontal-relative:page;mso-position-vertical-relative:page;z-index:-131214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62</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550507pt;margin-top:558.853516pt;width:12.9pt;height:10pt;mso-position-horizontal-relative:page;mso-position-vertical-relative:page;z-index:-131207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67</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550507pt;margin-top:558.853516pt;width:10.9pt;height:10pt;mso-position-horizontal-relative:page;mso-position-vertical-relative:page;z-index:-1312048" type="#_x0000_t202" filled="false" stroked="false">
          <v:textbox inset="0,0,0,0">
            <w:txbxContent>
              <w:p>
                <w:pPr>
                  <w:spacing w:line="184" w:lineRule="exact" w:before="0"/>
                  <w:ind w:left="20" w:right="0" w:firstLine="0"/>
                  <w:jc w:val="left"/>
                  <w:rPr>
                    <w:sz w:val="16"/>
                  </w:rPr>
                </w:pPr>
                <w:r>
                  <w:rPr>
                    <w:sz w:val="16"/>
                  </w:rPr>
                  <w:t>70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550507pt;margin-top:558.853516pt;width:12.9pt;height:10pt;mso-position-horizontal-relative:page;mso-position-vertical-relative:page;z-index:-131202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71</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60492pt;margin-top:805.633545pt;width:12.9pt;height:10pt;mso-position-horizontal-relative:page;mso-position-vertical-relative:page;z-index:-131195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77</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160492pt;margin-top:805.633545pt;width:10.9pt;height:10pt;mso-position-horizontal-relative:page;mso-position-vertical-relative:page;z-index:-1311928" type="#_x0000_t202" filled="false" stroked="false">
          <v:textbox inset="0,0,0,0">
            <w:txbxContent>
              <w:p>
                <w:pPr>
                  <w:spacing w:line="184" w:lineRule="exact" w:before="0"/>
                  <w:ind w:left="20" w:right="0" w:firstLine="0"/>
                  <w:jc w:val="left"/>
                  <w:rPr>
                    <w:sz w:val="16"/>
                  </w:rPr>
                </w:pPr>
                <w:r>
                  <w:rPr>
                    <w:sz w:val="16"/>
                  </w:rPr>
                  <w:t>80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160492pt;margin-top:805.633545pt;width:10.9pt;height:10pt;mso-position-horizontal-relative:page;mso-position-vertical-relative:page;z-index:-1311904" type="#_x0000_t202" filled="false" stroked="false">
          <v:textbox inset="0,0,0,0">
            <w:txbxContent>
              <w:p>
                <w:pPr>
                  <w:spacing w:line="184" w:lineRule="exact" w:before="0"/>
                  <w:ind w:left="20" w:right="0" w:firstLine="0"/>
                  <w:jc w:val="left"/>
                  <w:rPr>
                    <w:sz w:val="16"/>
                  </w:rPr>
                </w:pPr>
                <w:r>
                  <w:rPr>
                    <w:sz w:val="16"/>
                  </w:rPr>
                  <w:t>81</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600014pt;margin-top:802.336853pt;width:511.15pt;height:12pt;mso-position-horizontal-relative:page;mso-position-vertical-relative:page;z-index:-1311880" type="#_x0000_t202" filled="false" stroked="false">
          <v:textbox inset="0,0,0,0">
            <w:txbxContent>
              <w:p>
                <w:pPr>
                  <w:spacing w:line="224" w:lineRule="exact" w:before="0"/>
                  <w:ind w:left="20" w:right="0" w:firstLine="0"/>
                  <w:jc w:val="left"/>
                  <w:rPr>
                    <w:sz w:val="13"/>
                  </w:rPr>
                </w:pPr>
                <w:r>
                  <w:rPr>
                    <w:color w:val="0F0F11"/>
                    <w:w w:val="105"/>
                    <w:sz w:val="13"/>
                  </w:rPr>
                  <w:t>Leve</w:t>
                </w:r>
                <w:r>
                  <w:rPr>
                    <w:color w:val="2D2D2D"/>
                    <w:w w:val="105"/>
                    <w:sz w:val="13"/>
                  </w:rPr>
                  <w:t>l </w:t>
                </w:r>
                <w:r>
                  <w:rPr>
                    <w:color w:val="0F0F11"/>
                    <w:w w:val="105"/>
                    <w:sz w:val="13"/>
                  </w:rPr>
                  <w:t>15</w:t>
                </w:r>
                <w:r>
                  <w:rPr>
                    <w:color w:val="2D2D2D"/>
                    <w:w w:val="105"/>
                    <w:sz w:val="13"/>
                  </w:rPr>
                  <w:t>, </w:t>
                </w:r>
                <w:r>
                  <w:rPr>
                    <w:color w:val="0F0F11"/>
                    <w:w w:val="105"/>
                    <w:sz w:val="13"/>
                  </w:rPr>
                  <w:t>1 Margaret Street, Sydney </w:t>
                </w:r>
                <w:r>
                  <w:rPr>
                    <w:b/>
                    <w:color w:val="0F0F11"/>
                    <w:w w:val="105"/>
                    <w:sz w:val="13"/>
                  </w:rPr>
                  <w:t>NSW </w:t>
                </w:r>
                <w:r>
                  <w:rPr>
                    <w:color w:val="0F0F11"/>
                    <w:w w:val="105"/>
                    <w:sz w:val="13"/>
                  </w:rPr>
                  <w:t>2000  </w:t>
                </w:r>
                <w:r>
                  <w:rPr>
                    <w:color w:val="2D2D2D"/>
                    <w:w w:val="105"/>
                    <w:sz w:val="20"/>
                  </w:rPr>
                  <w:t>I </w:t>
                </w:r>
                <w:r>
                  <w:rPr>
                    <w:color w:val="2D2D2D"/>
                    <w:w w:val="105"/>
                    <w:sz w:val="13"/>
                  </w:rPr>
                  <w:t>G</w:t>
                </w:r>
                <w:r>
                  <w:rPr>
                    <w:color w:val="0F0F11"/>
                    <w:w w:val="105"/>
                    <w:sz w:val="13"/>
                  </w:rPr>
                  <w:t>P</w:t>
                </w:r>
                <w:r>
                  <w:rPr>
                    <w:color w:val="2D2D2D"/>
                    <w:w w:val="105"/>
                    <w:sz w:val="13"/>
                  </w:rPr>
                  <w:t>O </w:t>
                </w:r>
                <w:r>
                  <w:rPr>
                    <w:color w:val="0F0F11"/>
                    <w:w w:val="105"/>
                    <w:sz w:val="13"/>
                  </w:rPr>
                  <w:t>B</w:t>
                </w:r>
                <w:r>
                  <w:rPr>
                    <w:color w:val="2D2D2D"/>
                    <w:w w:val="105"/>
                    <w:sz w:val="13"/>
                  </w:rPr>
                  <w:t>ox </w:t>
                </w:r>
                <w:r>
                  <w:rPr>
                    <w:color w:val="0F0F11"/>
                    <w:w w:val="105"/>
                    <w:sz w:val="13"/>
                  </w:rPr>
                  <w:t>1</w:t>
                </w:r>
                <w:r>
                  <w:rPr>
                    <w:color w:val="2D2D2D"/>
                    <w:w w:val="105"/>
                    <w:sz w:val="13"/>
                  </w:rPr>
                  <w:t>2</w:t>
                </w:r>
                <w:r>
                  <w:rPr>
                    <w:color w:val="525252"/>
                    <w:w w:val="105"/>
                    <w:sz w:val="13"/>
                  </w:rPr>
                  <w:t>, </w:t>
                </w:r>
                <w:r>
                  <w:rPr>
                    <w:color w:val="2D2D2D"/>
                    <w:w w:val="105"/>
                    <w:sz w:val="13"/>
                  </w:rPr>
                  <w:t>Syd</w:t>
                </w:r>
                <w:r>
                  <w:rPr>
                    <w:color w:val="0F0F11"/>
                    <w:w w:val="105"/>
                    <w:sz w:val="13"/>
                  </w:rPr>
                  <w:t>n</w:t>
                </w:r>
                <w:r>
                  <w:rPr>
                    <w:color w:val="2D2D2D"/>
                    <w:w w:val="105"/>
                    <w:sz w:val="13"/>
                  </w:rPr>
                  <w:t>ey </w:t>
                </w:r>
                <w:r>
                  <w:rPr>
                    <w:color w:val="0F0F11"/>
                    <w:w w:val="105"/>
                    <w:sz w:val="13"/>
                  </w:rPr>
                  <w:t>N</w:t>
                </w:r>
                <w:r>
                  <w:rPr>
                    <w:color w:val="2D2D2D"/>
                    <w:w w:val="105"/>
                    <w:sz w:val="13"/>
                  </w:rPr>
                  <w:t>SW 200 </w:t>
                </w:r>
                <w:r>
                  <w:rPr>
                    <w:color w:val="0F0F11"/>
                    <w:sz w:val="13"/>
                  </w:rPr>
                  <w:t>"'6:£ </w:t>
                </w:r>
                <w:r>
                  <w:rPr>
                    <w:color w:val="0F0F11"/>
                    <w:w w:val="105"/>
                    <w:sz w:val="13"/>
                  </w:rPr>
                  <w:t>t </w:t>
                </w:r>
                <w:r>
                  <w:rPr>
                    <w:color w:val="2D2D2D"/>
                    <w:w w:val="105"/>
                    <w:sz w:val="13"/>
                  </w:rPr>
                  <w:t>02 9275 7</w:t>
                </w:r>
                <w:r>
                  <w:rPr>
                    <w:color w:val="0F0F11"/>
                    <w:w w:val="105"/>
                    <w:sz w:val="13"/>
                  </w:rPr>
                  <w:t>1</w:t>
                </w:r>
                <w:r>
                  <w:rPr>
                    <w:color w:val="2D2D2D"/>
                    <w:w w:val="105"/>
                    <w:sz w:val="13"/>
                  </w:rPr>
                  <w:t>0</w:t>
                </w:r>
                <w:r>
                  <w:rPr>
                    <w:color w:val="0F0F11"/>
                    <w:w w:val="105"/>
                    <w:sz w:val="13"/>
                  </w:rPr>
                  <w:t>1 </w:t>
                </w:r>
                <w:r>
                  <w:rPr>
                    <w:color w:val="2D2D2D"/>
                    <w:w w:val="105"/>
                    <w:sz w:val="20"/>
                  </w:rPr>
                  <w:t>I </w:t>
                </w:r>
                <w:r>
                  <w:rPr>
                    <w:b/>
                    <w:color w:val="0F0F11"/>
                    <w:sz w:val="13"/>
                  </w:rPr>
                  <w:t>f </w:t>
                </w:r>
                <w:r>
                  <w:rPr>
                    <w:color w:val="2D2D2D"/>
                    <w:w w:val="105"/>
                    <w:sz w:val="13"/>
                  </w:rPr>
                  <w:t>02 9275 7</w:t>
                </w:r>
                <w:r>
                  <w:rPr>
                    <w:color w:val="0F0F11"/>
                    <w:w w:val="105"/>
                    <w:sz w:val="13"/>
                  </w:rPr>
                  <w:t>1</w:t>
                </w:r>
                <w:r>
                  <w:rPr>
                    <w:color w:val="2D2D2D"/>
                    <w:w w:val="105"/>
                    <w:sz w:val="13"/>
                  </w:rPr>
                  <w:t>79 </w:t>
                </w:r>
                <w:r>
                  <w:rPr>
                    <w:color w:val="2D2D2D"/>
                    <w:w w:val="105"/>
                    <w:sz w:val="20"/>
                  </w:rPr>
                  <w:t>I </w:t>
                </w:r>
                <w:r>
                  <w:rPr>
                    <w:color w:val="0F0F11"/>
                    <w:w w:val="105"/>
                    <w:sz w:val="13"/>
                  </w:rPr>
                  <w:t>e </w:t>
                </w:r>
                <w:hyperlink r:id="rId1">
                  <w:r>
                    <w:rPr>
                      <w:color w:val="0F0F11"/>
                      <w:w w:val="105"/>
                      <w:sz w:val="13"/>
                    </w:rPr>
                    <w:t>m</w:t>
                  </w:r>
                  <w:r>
                    <w:rPr>
                      <w:color w:val="2D2D2D"/>
                      <w:w w:val="105"/>
                      <w:sz w:val="13"/>
                    </w:rPr>
                    <w:t>ai</w:t>
                  </w:r>
                  <w:r>
                    <w:rPr>
                      <w:color w:val="0F0F11"/>
                      <w:w w:val="105"/>
                      <w:sz w:val="13"/>
                    </w:rPr>
                    <w:t>l</w:t>
                  </w:r>
                  <w:r>
                    <w:rPr>
                      <w:color w:val="424242"/>
                      <w:w w:val="105"/>
                      <w:sz w:val="13"/>
                    </w:rPr>
                    <w:t>@a</w:t>
                  </w:r>
                  <w:r>
                    <w:rPr>
                      <w:color w:val="0F0F11"/>
                      <w:w w:val="105"/>
                      <w:sz w:val="13"/>
                    </w:rPr>
                    <w:t>u</w:t>
                  </w:r>
                  <w:r>
                    <w:rPr>
                      <w:color w:val="2D2D2D"/>
                      <w:w w:val="105"/>
                      <w:sz w:val="13"/>
                    </w:rPr>
                    <w:t>dit.nsw.gov.a</w:t>
                  </w:r>
                  <w:r>
                    <w:rPr>
                      <w:color w:val="0F0F11"/>
                      <w:w w:val="105"/>
                      <w:sz w:val="13"/>
                    </w:rPr>
                    <w:t>u</w:t>
                  </w:r>
                </w:hyperlink>
                <w:r>
                  <w:rPr>
                    <w:color w:val="0F0F11"/>
                    <w:w w:val="105"/>
                    <w:sz w:val="13"/>
                  </w:rPr>
                  <w:t> </w:t>
                </w:r>
                <w:r>
                  <w:rPr>
                    <w:color w:val="0F0F11"/>
                    <w:w w:val="105"/>
                    <w:sz w:val="20"/>
                  </w:rPr>
                  <w:t>I </w:t>
                </w:r>
                <w:r>
                  <w:rPr>
                    <w:color w:val="0F0F11"/>
                    <w:w w:val="105"/>
                    <w:sz w:val="13"/>
                  </w:rPr>
                  <w:t>audit.nsw</w:t>
                </w:r>
                <w:r>
                  <w:rPr>
                    <w:color w:val="525252"/>
                    <w:w w:val="105"/>
                    <w:sz w:val="13"/>
                  </w:rPr>
                  <w:t>.</w:t>
                </w:r>
                <w:r>
                  <w:rPr>
                    <w:color w:val="0F0F11"/>
                    <w:w w:val="105"/>
                    <w:sz w:val="13"/>
                  </w:rPr>
                  <w:t>gov.au</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289.345978pt;margin-top:803.239258pt;width:17.350pt;height:12.1pt;mso-position-horizontal-relative:page;mso-position-vertical-relative:page;z-index:-1311856" type="#_x0000_t202" filled="false" stroked="false">
          <v:textbox inset="0,0,0,0">
            <w:txbxContent>
              <w:p>
                <w:pPr>
                  <w:spacing w:before="41"/>
                  <w:ind w:left="40" w:right="0" w:firstLine="0"/>
                  <w:jc w:val="left"/>
                  <w:rPr>
                    <w:sz w:val="16"/>
                  </w:rPr>
                </w:pPr>
                <w:r>
                  <w:rPr/>
                  <w:fldChar w:fldCharType="begin"/>
                </w:r>
                <w:r>
                  <w:rPr>
                    <w:sz w:val="16"/>
                  </w:rPr>
                  <w:instrText> PAGE </w:instrText>
                </w:r>
                <w:r>
                  <w:rPr/>
                  <w:fldChar w:fldCharType="separate"/>
                </w:r>
                <w:r>
                  <w:rPr/>
                  <w:t>100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384979pt;margin-top:805.633545pt;width:8.450pt;height:10pt;mso-position-horizontal-relative:page;mso-position-vertical-relative:page;z-index:-131312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3</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21051pt;margin-top:805.553528pt;width:12.9pt;height:10pt;mso-position-horizontal-relative:page;mso-position-vertical-relative:page;z-index:-131183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84</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570496pt;margin-top:805.673523pt;width:12.9pt;height:10pt;mso-position-horizontal-relative:page;mso-position-vertical-relative:page;z-index:-131180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85</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570496pt;margin-top:805.673523pt;width:12.9pt;height:10pt;mso-position-horizontal-relative:page;mso-position-vertical-relative:page;z-index:-131176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92</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4.837891pt;width:18.2pt;height:11.1pt;mso-position-horizontal-relative:page;mso-position-vertical-relative:page;z-index:-1311688" type="#_x0000_t202" filled="false" stroked="false">
          <v:textbox inset="0,0,0,0">
            <w:txbxContent>
              <w:p>
                <w:pPr>
                  <w:spacing w:line="194" w:lineRule="exact" w:before="0"/>
                  <w:ind w:left="42" w:right="0" w:firstLine="0"/>
                  <w:jc w:val="left"/>
                  <w:rPr>
                    <w:rFonts w:ascii="Times New Roman"/>
                    <w:sz w:val="17"/>
                  </w:rPr>
                </w:pPr>
                <w:r>
                  <w:rPr/>
                  <w:fldChar w:fldCharType="begin"/>
                </w:r>
                <w:r>
                  <w:rPr>
                    <w:rFonts w:ascii="Times New Roman"/>
                    <w:w w:val="105"/>
                    <w:sz w:val="17"/>
                  </w:rPr>
                  <w:instrText> PAGE </w:instrText>
                </w:r>
                <w:r>
                  <w:rPr/>
                  <w:fldChar w:fldCharType="separate"/>
                </w:r>
                <w:r>
                  <w:rPr/>
                  <w:t>116</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345978pt;margin-top:805.673523pt;width:17.350pt;height:10pt;mso-position-horizontal-relative:page;mso-position-vertical-relative:page;z-index:-131166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115</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077393pt;margin-top:805.197937pt;width:17.4pt;height:10.5pt;mso-position-horizontal-relative:page;mso-position-vertical-relative:page;z-index:-1311640" type="#_x0000_t202" filled="false" stroked="false">
          <v:textbox inset="0,0,0,0">
            <w:txbxContent>
              <w:p>
                <w:pPr>
                  <w:spacing w:line="194" w:lineRule="exact" w:before="0"/>
                  <w:ind w:left="40" w:right="0" w:firstLine="0"/>
                  <w:jc w:val="left"/>
                  <w:rPr>
                    <w:rFonts w:ascii="Times New Roman"/>
                    <w:sz w:val="17"/>
                  </w:rPr>
                </w:pPr>
                <w:r>
                  <w:rPr/>
                  <w:fldChar w:fldCharType="begin"/>
                </w:r>
                <w:r>
                  <w:rPr>
                    <w:rFonts w:ascii="Times New Roman"/>
                    <w:w w:val="105"/>
                    <w:sz w:val="17"/>
                  </w:rPr>
                  <w:instrText> PAGE </w:instrText>
                </w:r>
                <w:r>
                  <w:rPr/>
                  <w:fldChar w:fldCharType="separate"/>
                </w:r>
                <w:r>
                  <w:rPr/>
                  <w:t>116</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600006pt;margin-top:805.760315pt;width:17.55pt;height:10.5pt;mso-position-horizontal-relative:page;mso-position-vertical-relative:page;z-index:-1311616" type="#_x0000_t202" filled="false" stroked="false">
          <v:textbox inset="0,0,0,0">
            <w:txbxContent>
              <w:p>
                <w:pPr>
                  <w:spacing w:line="194" w:lineRule="exact" w:before="0"/>
                  <w:ind w:left="40" w:right="0" w:firstLine="0"/>
                  <w:jc w:val="left"/>
                  <w:rPr>
                    <w:rFonts w:ascii="Times New Roman"/>
                    <w:sz w:val="17"/>
                  </w:rPr>
                </w:pPr>
                <w:r>
                  <w:rPr/>
                  <w:fldChar w:fldCharType="begin"/>
                </w:r>
                <w:r>
                  <w:rPr>
                    <w:rFonts w:ascii="Times New Roman"/>
                    <w:w w:val="105"/>
                    <w:sz w:val="17"/>
                  </w:rPr>
                  <w:instrText> PAGE </w:instrText>
                </w:r>
                <w:r>
                  <w:rPr/>
                  <w:fldChar w:fldCharType="separate"/>
                </w:r>
                <w:r>
                  <w:rPr/>
                  <w:t>117</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85992pt;margin-top:805.553528pt;width:17.350pt;height:10pt;mso-position-horizontal-relative:page;mso-position-vertical-relative:page;z-index:-131159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118</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31156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119</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574982pt;margin-top:806.033569pt;width:8.450pt;height:10pt;mso-position-horizontal-relative:page;mso-position-vertical-relative:page;z-index:-131310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4</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25977pt;margin-top:806.033569pt;width:15.35pt;height:10pt;mso-position-horizontal-relative:page;mso-position-vertical-relative:page;z-index:-1311520" type="#_x0000_t202" filled="false" stroked="false">
          <v:textbox inset="0,0,0,0">
            <w:txbxContent>
              <w:p>
                <w:pPr>
                  <w:spacing w:line="184" w:lineRule="exact" w:before="0"/>
                  <w:ind w:left="20" w:right="0" w:firstLine="0"/>
                  <w:jc w:val="left"/>
                  <w:rPr>
                    <w:sz w:val="16"/>
                  </w:rPr>
                </w:pPr>
                <w:r>
                  <w:rPr>
                    <w:sz w:val="16"/>
                  </w:rPr>
                  <w:t>123</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504414pt;margin-top:794.526428pt;width:510.7pt;height:20.8pt;mso-position-horizontal-relative:page;mso-position-vertical-relative:page;z-index:-1311472" type="#_x0000_t202" filled="false" stroked="false">
          <v:textbox inset="0,0,0,0">
            <w:txbxContent>
              <w:p>
                <w:pPr>
                  <w:spacing w:line="398" w:lineRule="exact" w:before="0"/>
                  <w:ind w:left="20" w:right="0" w:firstLine="0"/>
                  <w:jc w:val="left"/>
                  <w:rPr>
                    <w:sz w:val="13"/>
                  </w:rPr>
                </w:pPr>
                <w:r>
                  <w:rPr>
                    <w:color w:val="131313"/>
                    <w:w w:val="107"/>
                    <w:sz w:val="13"/>
                  </w:rPr>
                  <w:t>Level</w:t>
                </w:r>
                <w:r>
                  <w:rPr>
                    <w:color w:val="131313"/>
                    <w:spacing w:val="1"/>
                    <w:sz w:val="13"/>
                  </w:rPr>
                  <w:t> </w:t>
                </w:r>
                <w:r>
                  <w:rPr>
                    <w:color w:val="131313"/>
                    <w:w w:val="111"/>
                    <w:sz w:val="13"/>
                  </w:rPr>
                  <w:t>15,</w:t>
                </w:r>
                <w:r>
                  <w:rPr>
                    <w:color w:val="131313"/>
                    <w:spacing w:val="-9"/>
                    <w:sz w:val="13"/>
                  </w:rPr>
                  <w:t> </w:t>
                </w:r>
                <w:r>
                  <w:rPr>
                    <w:color w:val="131313"/>
                    <w:w w:val="137"/>
                    <w:sz w:val="13"/>
                  </w:rPr>
                  <w:t>1</w:t>
                </w:r>
                <w:r>
                  <w:rPr>
                    <w:color w:val="131313"/>
                    <w:spacing w:val="-17"/>
                    <w:sz w:val="13"/>
                  </w:rPr>
                  <w:t> </w:t>
                </w:r>
                <w:r>
                  <w:rPr>
                    <w:color w:val="131313"/>
                    <w:w w:val="108"/>
                    <w:sz w:val="13"/>
                  </w:rPr>
                  <w:t>Margaret</w:t>
                </w:r>
                <w:r>
                  <w:rPr>
                    <w:color w:val="131313"/>
                    <w:spacing w:val="5"/>
                    <w:sz w:val="13"/>
                  </w:rPr>
                  <w:t> </w:t>
                </w:r>
                <w:r>
                  <w:rPr>
                    <w:color w:val="131313"/>
                    <w:w w:val="108"/>
                    <w:sz w:val="13"/>
                  </w:rPr>
                  <w:t>Stree</w:t>
                </w:r>
                <w:r>
                  <w:rPr>
                    <w:color w:val="131313"/>
                    <w:spacing w:val="10"/>
                    <w:w w:val="108"/>
                    <w:sz w:val="13"/>
                  </w:rPr>
                  <w:t>t</w:t>
                </w:r>
                <w:r>
                  <w:rPr>
                    <w:color w:val="424242"/>
                    <w:w w:val="136"/>
                    <w:sz w:val="13"/>
                  </w:rPr>
                  <w:t>,</w:t>
                </w:r>
                <w:r>
                  <w:rPr>
                    <w:color w:val="424242"/>
                    <w:spacing w:val="-14"/>
                    <w:sz w:val="13"/>
                  </w:rPr>
                  <w:t> </w:t>
                </w:r>
                <w:r>
                  <w:rPr>
                    <w:color w:val="131313"/>
                    <w:w w:val="106"/>
                    <w:sz w:val="13"/>
                  </w:rPr>
                  <w:t>Sydney</w:t>
                </w:r>
                <w:r>
                  <w:rPr>
                    <w:color w:val="131313"/>
                    <w:spacing w:val="12"/>
                    <w:sz w:val="13"/>
                  </w:rPr>
                  <w:t> </w:t>
                </w:r>
                <w:r>
                  <w:rPr>
                    <w:b/>
                    <w:color w:val="131313"/>
                    <w:w w:val="103"/>
                    <w:sz w:val="13"/>
                  </w:rPr>
                  <w:t>NSW</w:t>
                </w:r>
                <w:r>
                  <w:rPr>
                    <w:b/>
                    <w:color w:val="131313"/>
                    <w:spacing w:val="3"/>
                    <w:sz w:val="13"/>
                  </w:rPr>
                  <w:t> </w:t>
                </w:r>
                <w:r>
                  <w:rPr>
                    <w:color w:val="131313"/>
                    <w:w w:val="103"/>
                    <w:sz w:val="13"/>
                  </w:rPr>
                  <w:t>2000</w:t>
                </w:r>
                <w:r>
                  <w:rPr>
                    <w:color w:val="131313"/>
                    <w:sz w:val="13"/>
                  </w:rPr>
                  <w:t> </w:t>
                </w:r>
                <w:r>
                  <w:rPr>
                    <w:color w:val="131313"/>
                    <w:spacing w:val="14"/>
                    <w:sz w:val="13"/>
                  </w:rPr>
                  <w:t> </w:t>
                </w:r>
                <w:r>
                  <w:rPr>
                    <w:color w:val="2A2A2A"/>
                    <w:w w:val="77"/>
                    <w:sz w:val="19"/>
                  </w:rPr>
                  <w:t>I</w:t>
                </w:r>
                <w:r>
                  <w:rPr>
                    <w:color w:val="2A2A2A"/>
                    <w:spacing w:val="6"/>
                    <w:sz w:val="19"/>
                  </w:rPr>
                  <w:t> </w:t>
                </w:r>
                <w:r>
                  <w:rPr>
                    <w:color w:val="2A2A2A"/>
                    <w:w w:val="99"/>
                    <w:sz w:val="13"/>
                  </w:rPr>
                  <w:t>GPO</w:t>
                </w:r>
                <w:r>
                  <w:rPr>
                    <w:color w:val="2A2A2A"/>
                    <w:spacing w:val="10"/>
                    <w:sz w:val="13"/>
                  </w:rPr>
                  <w:t> </w:t>
                </w:r>
                <w:r>
                  <w:rPr>
                    <w:color w:val="2A2A2A"/>
                    <w:w w:val="100"/>
                    <w:sz w:val="13"/>
                  </w:rPr>
                  <w:t>Box</w:t>
                </w:r>
                <w:r>
                  <w:rPr>
                    <w:color w:val="2A2A2A"/>
                    <w:spacing w:val="15"/>
                    <w:sz w:val="13"/>
                  </w:rPr>
                  <w:t> </w:t>
                </w:r>
                <w:r>
                  <w:rPr>
                    <w:color w:val="424242"/>
                    <w:w w:val="105"/>
                    <w:sz w:val="13"/>
                  </w:rPr>
                  <w:t>12,</w:t>
                </w:r>
                <w:r>
                  <w:rPr>
                    <w:color w:val="424242"/>
                    <w:spacing w:val="-8"/>
                    <w:sz w:val="13"/>
                  </w:rPr>
                  <w:t> </w:t>
                </w:r>
                <w:r>
                  <w:rPr>
                    <w:color w:val="424242"/>
                    <w:w w:val="103"/>
                    <w:sz w:val="13"/>
                  </w:rPr>
                  <w:t>Sy</w:t>
                </w:r>
                <w:r>
                  <w:rPr>
                    <w:color w:val="424242"/>
                    <w:spacing w:val="-3"/>
                    <w:w w:val="103"/>
                    <w:sz w:val="13"/>
                  </w:rPr>
                  <w:t>d</w:t>
                </w:r>
                <w:r>
                  <w:rPr>
                    <w:color w:val="131313"/>
                    <w:spacing w:val="-10"/>
                    <w:w w:val="111"/>
                    <w:sz w:val="13"/>
                  </w:rPr>
                  <w:t>n</w:t>
                </w:r>
                <w:r>
                  <w:rPr>
                    <w:color w:val="424242"/>
                    <w:w w:val="95"/>
                    <w:sz w:val="13"/>
                  </w:rPr>
                  <w:t>ey</w:t>
                </w:r>
                <w:r>
                  <w:rPr>
                    <w:color w:val="424242"/>
                    <w:spacing w:val="9"/>
                    <w:sz w:val="13"/>
                  </w:rPr>
                  <w:t> </w:t>
                </w:r>
                <w:r>
                  <w:rPr>
                    <w:color w:val="131313"/>
                    <w:spacing w:val="-7"/>
                    <w:w w:val="108"/>
                    <w:sz w:val="13"/>
                  </w:rPr>
                  <w:t>N</w:t>
                </w:r>
                <w:r>
                  <w:rPr>
                    <w:color w:val="424242"/>
                    <w:w w:val="99"/>
                    <w:sz w:val="13"/>
                  </w:rPr>
                  <w:t>SW</w:t>
                </w:r>
                <w:r>
                  <w:rPr>
                    <w:color w:val="424242"/>
                    <w:spacing w:val="3"/>
                    <w:sz w:val="13"/>
                  </w:rPr>
                  <w:t> </w:t>
                </w:r>
                <w:r>
                  <w:rPr>
                    <w:color w:val="424242"/>
                    <w:w w:val="103"/>
                    <w:sz w:val="13"/>
                  </w:rPr>
                  <w:t>20</w:t>
                </w:r>
                <w:r>
                  <w:rPr>
                    <w:color w:val="424242"/>
                    <w:spacing w:val="9"/>
                    <w:w w:val="103"/>
                    <w:sz w:val="13"/>
                  </w:rPr>
                  <w:t>0</w:t>
                </w:r>
                <w:r>
                  <w:rPr>
                    <w:color w:val="131313"/>
                    <w:spacing w:val="-24"/>
                    <w:w w:val="76"/>
                    <w:position w:val="-11"/>
                    <w:sz w:val="30"/>
                  </w:rPr>
                  <w:t>1</w:t>
                </w:r>
                <w:r>
                  <w:rPr>
                    <w:i/>
                    <w:color w:val="131313"/>
                    <w:w w:val="125"/>
                    <w:sz w:val="24"/>
                  </w:rPr>
                  <w:t>ji</w:t>
                </w:r>
                <w:r>
                  <w:rPr>
                    <w:i/>
                    <w:color w:val="131313"/>
                    <w:spacing w:val="28"/>
                    <w:sz w:val="24"/>
                  </w:rPr>
                  <w:t> </w:t>
                </w:r>
                <w:r>
                  <w:rPr>
                    <w:color w:val="424242"/>
                    <w:w w:val="106"/>
                    <w:sz w:val="13"/>
                  </w:rPr>
                  <w:t>02</w:t>
                </w:r>
                <w:r>
                  <w:rPr>
                    <w:color w:val="424242"/>
                    <w:sz w:val="13"/>
                  </w:rPr>
                  <w:t> </w:t>
                </w:r>
                <w:r>
                  <w:rPr>
                    <w:color w:val="424242"/>
                    <w:w w:val="102"/>
                    <w:sz w:val="13"/>
                  </w:rPr>
                  <w:t>9275</w:t>
                </w:r>
                <w:r>
                  <w:rPr>
                    <w:color w:val="424242"/>
                    <w:spacing w:val="10"/>
                    <w:sz w:val="13"/>
                  </w:rPr>
                  <w:t> </w:t>
                </w:r>
                <w:r>
                  <w:rPr>
                    <w:color w:val="424242"/>
                    <w:w w:val="102"/>
                    <w:sz w:val="13"/>
                  </w:rPr>
                  <w:t>7101</w:t>
                </w:r>
                <w:r>
                  <w:rPr>
                    <w:color w:val="424242"/>
                    <w:sz w:val="13"/>
                  </w:rPr>
                  <w:t> </w:t>
                </w:r>
                <w:r>
                  <w:rPr>
                    <w:color w:val="424242"/>
                    <w:spacing w:val="13"/>
                    <w:sz w:val="13"/>
                  </w:rPr>
                  <w:t> </w:t>
                </w:r>
                <w:r>
                  <w:rPr>
                    <w:color w:val="424242"/>
                    <w:w w:val="77"/>
                    <w:sz w:val="19"/>
                  </w:rPr>
                  <w:t>I</w:t>
                </w:r>
                <w:r>
                  <w:rPr>
                    <w:color w:val="424242"/>
                    <w:spacing w:val="1"/>
                    <w:sz w:val="19"/>
                  </w:rPr>
                  <w:t> </w:t>
                </w:r>
                <w:r>
                  <w:rPr>
                    <w:color w:val="131313"/>
                    <w:w w:val="106"/>
                    <w:sz w:val="13"/>
                  </w:rPr>
                  <w:t>f</w:t>
                </w:r>
                <w:r>
                  <w:rPr>
                    <w:color w:val="131313"/>
                    <w:spacing w:val="6"/>
                    <w:sz w:val="13"/>
                  </w:rPr>
                  <w:t> </w:t>
                </w:r>
                <w:r>
                  <w:rPr>
                    <w:color w:val="424242"/>
                    <w:w w:val="106"/>
                    <w:sz w:val="13"/>
                  </w:rPr>
                  <w:t>02</w:t>
                </w:r>
                <w:r>
                  <w:rPr>
                    <w:color w:val="424242"/>
                    <w:sz w:val="13"/>
                  </w:rPr>
                  <w:t> </w:t>
                </w:r>
                <w:r>
                  <w:rPr>
                    <w:color w:val="424242"/>
                    <w:w w:val="104"/>
                    <w:sz w:val="13"/>
                  </w:rPr>
                  <w:t>9275</w:t>
                </w:r>
                <w:r>
                  <w:rPr>
                    <w:color w:val="424242"/>
                    <w:spacing w:val="9"/>
                    <w:sz w:val="13"/>
                  </w:rPr>
                  <w:t> </w:t>
                </w:r>
                <w:r>
                  <w:rPr>
                    <w:color w:val="424242"/>
                    <w:w w:val="102"/>
                    <w:sz w:val="13"/>
                  </w:rPr>
                  <w:t>7179</w:t>
                </w:r>
                <w:r>
                  <w:rPr>
                    <w:color w:val="424242"/>
                    <w:sz w:val="13"/>
                  </w:rPr>
                  <w:t> </w:t>
                </w:r>
                <w:r>
                  <w:rPr>
                    <w:color w:val="424242"/>
                    <w:spacing w:val="13"/>
                    <w:sz w:val="13"/>
                  </w:rPr>
                  <w:t> </w:t>
                </w:r>
                <w:r>
                  <w:rPr>
                    <w:color w:val="424242"/>
                    <w:w w:val="77"/>
                    <w:sz w:val="19"/>
                  </w:rPr>
                  <w:t>I</w:t>
                </w:r>
                <w:r>
                  <w:rPr>
                    <w:color w:val="424242"/>
                    <w:spacing w:val="6"/>
                    <w:sz w:val="19"/>
                  </w:rPr>
                  <w:t> </w:t>
                </w:r>
                <w:r>
                  <w:rPr>
                    <w:color w:val="2A2A2A"/>
                    <w:w w:val="105"/>
                    <w:sz w:val="13"/>
                  </w:rPr>
                  <w:t>e</w:t>
                </w:r>
                <w:r>
                  <w:rPr>
                    <w:color w:val="2A2A2A"/>
                    <w:spacing w:val="2"/>
                    <w:sz w:val="13"/>
                  </w:rPr>
                  <w:t> </w:t>
                </w:r>
                <w:hyperlink r:id="rId1">
                  <w:r>
                    <w:rPr>
                      <w:color w:val="424242"/>
                      <w:w w:val="97"/>
                      <w:sz w:val="13"/>
                    </w:rPr>
                    <w:t>mail@audit.nsw.gov.au</w:t>
                  </w:r>
                </w:hyperlink>
                <w:r>
                  <w:rPr>
                    <w:color w:val="424242"/>
                    <w:sz w:val="13"/>
                  </w:rPr>
                  <w:t> </w:t>
                </w:r>
                <w:r>
                  <w:rPr>
                    <w:color w:val="424242"/>
                    <w:spacing w:val="17"/>
                    <w:sz w:val="13"/>
                  </w:rPr>
                  <w:t> </w:t>
                </w:r>
                <w:r>
                  <w:rPr>
                    <w:color w:val="424242"/>
                    <w:w w:val="77"/>
                    <w:sz w:val="19"/>
                  </w:rPr>
                  <w:t>I</w:t>
                </w:r>
                <w:r>
                  <w:rPr>
                    <w:color w:val="424242"/>
                    <w:spacing w:val="11"/>
                    <w:sz w:val="19"/>
                  </w:rPr>
                  <w:t> </w:t>
                </w:r>
                <w:r>
                  <w:rPr>
                    <w:color w:val="131313"/>
                    <w:w w:val="106"/>
                    <w:sz w:val="13"/>
                  </w:rPr>
                  <w:t>audit.nsw.go</w:t>
                </w:r>
                <w:r>
                  <w:rPr>
                    <w:color w:val="131313"/>
                    <w:spacing w:val="11"/>
                    <w:w w:val="106"/>
                    <w:sz w:val="13"/>
                  </w:rPr>
                  <w:t>v</w:t>
                </w:r>
                <w:r>
                  <w:rPr>
                    <w:color w:val="424242"/>
                    <w:spacing w:val="-32"/>
                    <w:w w:val="181"/>
                    <w:sz w:val="13"/>
                  </w:rPr>
                  <w:t>.</w:t>
                </w:r>
                <w:r>
                  <w:rPr>
                    <w:color w:val="131313"/>
                    <w:w w:val="107"/>
                    <w:sz w:val="13"/>
                  </w:rPr>
                  <w:t>au</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62494pt;margin-top:802.527222pt;width:19.4pt;height:13.05pt;mso-position-horizontal-relative:page;mso-position-vertical-relative:page;z-index:-1311448" type="#_x0000_t202" filled="false" stroked="false">
          <v:textbox inset="0,0,0,0">
            <w:txbxContent>
              <w:p>
                <w:pPr>
                  <w:spacing w:before="71"/>
                  <w:ind w:left="52" w:right="0" w:firstLine="0"/>
                  <w:jc w:val="left"/>
                  <w:rPr>
                    <w:sz w:val="15"/>
                  </w:rPr>
                </w:pPr>
                <w:r>
                  <w:rPr/>
                  <w:fldChar w:fldCharType="begin"/>
                </w:r>
                <w:r>
                  <w:rPr>
                    <w:color w:val="0F0F11"/>
                    <w:w w:val="105"/>
                    <w:sz w:val="15"/>
                  </w:rPr>
                  <w:instrText> PAGE </w:instrText>
                </w:r>
                <w:r>
                  <w:rPr/>
                  <w:fldChar w:fldCharType="separate"/>
                </w:r>
                <w:r>
                  <w:rPr/>
                  <w:t>125</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83197pt;margin-top:802.527222pt;width:17.150pt;height:9.5pt;mso-position-horizontal-relative:page;mso-position-vertical-relative:page;z-index:-1311424" type="#_x0000_t202" filled="false" stroked="false">
          <v:textbox inset="0,0,0,0">
            <w:txbxContent>
              <w:p>
                <w:pPr>
                  <w:spacing w:before="1"/>
                  <w:ind w:left="40" w:right="0" w:firstLine="0"/>
                  <w:jc w:val="left"/>
                  <w:rPr>
                    <w:sz w:val="15"/>
                  </w:rPr>
                </w:pPr>
                <w:r>
                  <w:rPr/>
                  <w:fldChar w:fldCharType="begin"/>
                </w:r>
                <w:r>
                  <w:rPr>
                    <w:color w:val="111113"/>
                    <w:w w:val="105"/>
                    <w:sz w:val="15"/>
                  </w:rPr>
                  <w:instrText> PAGE </w:instrText>
                </w:r>
                <w:r>
                  <w:rPr/>
                  <w:fldChar w:fldCharType="separate"/>
                </w:r>
                <w:r>
                  <w:rPr/>
                  <w:t>126</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25977pt;margin-top:806.033569pt;width:15.35pt;height:10pt;mso-position-horizontal-relative:page;mso-position-vertical-relative:page;z-index:-1311376" type="#_x0000_t202" filled="false" stroked="false">
          <v:textbox inset="0,0,0,0">
            <w:txbxContent>
              <w:p>
                <w:pPr>
                  <w:spacing w:line="184" w:lineRule="exact" w:before="0"/>
                  <w:ind w:left="20" w:right="0" w:firstLine="0"/>
                  <w:jc w:val="left"/>
                  <w:rPr>
                    <w:sz w:val="16"/>
                  </w:rPr>
                </w:pPr>
                <w:r>
                  <w:rPr>
                    <w:sz w:val="16"/>
                  </w:rPr>
                  <w:t>135</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553528pt;width:17.4pt;height:10pt;mso-position-horizontal-relative:page;mso-position-vertical-relative:page;z-index:-1311352" type="#_x0000_t202" filled="false" stroked="false">
          <v:textbox inset="0,0,0,0">
            <w:txbxContent>
              <w:p>
                <w:pPr>
                  <w:spacing w:line="184" w:lineRule="exact" w:before="0"/>
                  <w:ind w:left="41" w:right="0" w:firstLine="0"/>
                  <w:jc w:val="left"/>
                  <w:rPr>
                    <w:sz w:val="16"/>
                  </w:rPr>
                </w:pPr>
                <w:r>
                  <w:rPr/>
                  <w:fldChar w:fldCharType="begin"/>
                </w:r>
                <w:r>
                  <w:rPr>
                    <w:sz w:val="16"/>
                  </w:rPr>
                  <w:instrText> PAGE </w:instrText>
                </w:r>
                <w:r>
                  <w:rPr/>
                  <w:fldChar w:fldCharType="separate"/>
                </w:r>
                <w:r>
                  <w:rPr/>
                  <w:t>136</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31132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137</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25977pt;margin-top:806.033569pt;width:15.35pt;height:10pt;mso-position-horizontal-relative:page;mso-position-vertical-relative:page;z-index:-1311304" type="#_x0000_t202" filled="false" stroked="false">
          <v:textbox inset="0,0,0,0">
            <w:txbxContent>
              <w:p>
                <w:pPr>
                  <w:spacing w:line="184" w:lineRule="exact" w:before="0"/>
                  <w:ind w:left="20" w:right="0" w:firstLine="0"/>
                  <w:jc w:val="left"/>
                  <w:rPr>
                    <w:sz w:val="16"/>
                  </w:rPr>
                </w:pPr>
                <w:r>
                  <w:rPr>
                    <w:sz w:val="16"/>
                  </w:rPr>
                  <w:t>138</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180313pt;margin-top:801.824707pt;width:510.05pt;height:11.5pt;mso-position-horizontal-relative:page;mso-position-vertical-relative:page;z-index:-1311280" type="#_x0000_t202" filled="false" stroked="false">
          <v:textbox inset="0,0,0,0">
            <w:txbxContent>
              <w:p>
                <w:pPr>
                  <w:spacing w:line="214" w:lineRule="exact" w:before="0"/>
                  <w:ind w:left="20" w:right="0" w:firstLine="0"/>
                  <w:jc w:val="left"/>
                  <w:rPr>
                    <w:sz w:val="13"/>
                  </w:rPr>
                </w:pPr>
                <w:r>
                  <w:rPr>
                    <w:color w:val="131113"/>
                    <w:sz w:val="13"/>
                  </w:rPr>
                  <w:t>Level 15</w:t>
                </w:r>
                <w:r>
                  <w:rPr>
                    <w:color w:val="2F2F2F"/>
                    <w:sz w:val="13"/>
                  </w:rPr>
                  <w:t>, </w:t>
                </w:r>
                <w:r>
                  <w:rPr>
                    <w:color w:val="131113"/>
                    <w:sz w:val="13"/>
                  </w:rPr>
                  <w:t>1 Margaret  Street</w:t>
                </w:r>
                <w:r>
                  <w:rPr>
                    <w:color w:val="3F3F3F"/>
                    <w:sz w:val="13"/>
                  </w:rPr>
                  <w:t>,</w:t>
                </w:r>
                <w:r>
                  <w:rPr>
                    <w:color w:val="131113"/>
                    <w:sz w:val="13"/>
                  </w:rPr>
                  <w:t>Sydney  NSW 2000   </w:t>
                </w:r>
                <w:r>
                  <w:rPr>
                    <w:color w:val="131113"/>
                    <w:sz w:val="19"/>
                  </w:rPr>
                  <w:t>I  </w:t>
                </w:r>
                <w:r>
                  <w:rPr>
                    <w:color w:val="2F2F2F"/>
                    <w:sz w:val="13"/>
                  </w:rPr>
                  <w:t>GPO Box  </w:t>
                </w:r>
                <w:r>
                  <w:rPr>
                    <w:color w:val="3F3F3F"/>
                    <w:sz w:val="13"/>
                  </w:rPr>
                  <w:t>12, Syd</w:t>
                </w:r>
                <w:r>
                  <w:rPr>
                    <w:color w:val="131113"/>
                    <w:sz w:val="13"/>
                  </w:rPr>
                  <w:t>n</w:t>
                </w:r>
                <w:r>
                  <w:rPr>
                    <w:color w:val="3F3F3F"/>
                    <w:sz w:val="13"/>
                  </w:rPr>
                  <w:t>ey  </w:t>
                </w:r>
                <w:r>
                  <w:rPr>
                    <w:color w:val="2F2F2F"/>
                    <w:sz w:val="13"/>
                  </w:rPr>
                  <w:t>NSW </w:t>
                </w:r>
                <w:r>
                  <w:rPr>
                    <w:color w:val="3F3F3F"/>
                    <w:sz w:val="13"/>
                  </w:rPr>
                  <w:t>2001</w:t>
                </w:r>
                <w:r>
                  <w:rPr>
                    <w:color w:val="131113"/>
                    <w:sz w:val="13"/>
                  </w:rPr>
                  <w:t>391</w:t>
                </w:r>
                <w:r>
                  <w:rPr>
                    <w:color w:val="2F2F2F"/>
                    <w:sz w:val="13"/>
                  </w:rPr>
                  <w:t>02 </w:t>
                </w:r>
                <w:r>
                  <w:rPr>
                    <w:color w:val="3F3F3F"/>
                    <w:sz w:val="13"/>
                  </w:rPr>
                  <w:t>9275 7</w:t>
                </w:r>
                <w:r>
                  <w:rPr>
                    <w:color w:val="131113"/>
                    <w:sz w:val="13"/>
                  </w:rPr>
                  <w:t>1</w:t>
                </w:r>
                <w:r>
                  <w:rPr>
                    <w:color w:val="3F3F3F"/>
                    <w:sz w:val="13"/>
                  </w:rPr>
                  <w:t>0</w:t>
                </w:r>
                <w:r>
                  <w:rPr>
                    <w:color w:val="131113"/>
                    <w:sz w:val="13"/>
                  </w:rPr>
                  <w:t>1  </w:t>
                </w:r>
                <w:r>
                  <w:rPr>
                    <w:color w:val="131113"/>
                    <w:sz w:val="19"/>
                  </w:rPr>
                  <w:t>I </w:t>
                </w:r>
                <w:r>
                  <w:rPr>
                    <w:color w:val="131113"/>
                    <w:sz w:val="14"/>
                  </w:rPr>
                  <w:t>f  </w:t>
                </w:r>
                <w:r>
                  <w:rPr>
                    <w:color w:val="3F3F3F"/>
                    <w:sz w:val="13"/>
                  </w:rPr>
                  <w:t>02 </w:t>
                </w:r>
                <w:r>
                  <w:rPr>
                    <w:color w:val="2F2F2F"/>
                    <w:sz w:val="13"/>
                  </w:rPr>
                  <w:t>9275 </w:t>
                </w:r>
                <w:r>
                  <w:rPr>
                    <w:color w:val="3F3F3F"/>
                    <w:sz w:val="13"/>
                  </w:rPr>
                  <w:t>7179   </w:t>
                </w:r>
                <w:r>
                  <w:rPr>
                    <w:color w:val="3F3F3F"/>
                    <w:sz w:val="19"/>
                  </w:rPr>
                  <w:t>I  </w:t>
                </w:r>
                <w:r>
                  <w:rPr>
                    <w:color w:val="131113"/>
                    <w:sz w:val="13"/>
                  </w:rPr>
                  <w:t>e </w:t>
                </w:r>
                <w:hyperlink r:id="rId1">
                  <w:r>
                    <w:rPr>
                      <w:color w:val="2F2F2F"/>
                      <w:sz w:val="13"/>
                    </w:rPr>
                    <w:t>mai</w:t>
                  </w:r>
                  <w:r>
                    <w:rPr>
                      <w:color w:val="131113"/>
                      <w:sz w:val="13"/>
                    </w:rPr>
                    <w:t>l</w:t>
                  </w:r>
                  <w:r>
                    <w:rPr>
                      <w:color w:val="646664"/>
                      <w:sz w:val="13"/>
                    </w:rPr>
                    <w:t>@</w:t>
                  </w:r>
                  <w:r>
                    <w:rPr>
                      <w:color w:val="3F3F3F"/>
                      <w:sz w:val="13"/>
                    </w:rPr>
                    <w:t>audit.nsw.gov.au</w:t>
                  </w:r>
                </w:hyperlink>
                <w:r>
                  <w:rPr>
                    <w:color w:val="3F3F3F"/>
                    <w:sz w:val="13"/>
                  </w:rPr>
                  <w:t>    </w:t>
                </w:r>
                <w:r>
                  <w:rPr>
                    <w:color w:val="2F2F2F"/>
                    <w:sz w:val="19"/>
                  </w:rPr>
                  <w:t>I  </w:t>
                </w:r>
                <w:r>
                  <w:rPr>
                    <w:color w:val="131113"/>
                    <w:sz w:val="13"/>
                  </w:rPr>
                  <w:t>audit.nsw.gov.au</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288.962494pt;margin-top:802.527222pt;width:19pt;height:12.8pt;mso-position-horizontal-relative:page;mso-position-vertical-relative:page;z-index:-1311256" type="#_x0000_t202" filled="false" stroked="false">
          <v:textbox inset="0,0,0,0">
            <w:txbxContent>
              <w:p>
                <w:pPr>
                  <w:spacing w:before="55"/>
                  <w:ind w:left="40" w:right="0" w:firstLine="0"/>
                  <w:jc w:val="left"/>
                  <w:rPr>
                    <w:sz w:val="16"/>
                  </w:rPr>
                </w:pPr>
                <w:r>
                  <w:rPr/>
                  <w:fldChar w:fldCharType="begin"/>
                </w:r>
                <w:r>
                  <w:rPr>
                    <w:sz w:val="16"/>
                  </w:rPr>
                  <w:instrText> PAGE </w:instrText>
                </w:r>
                <w:r>
                  <w:rPr/>
                  <w:fldChar w:fldCharType="separate"/>
                </w:r>
                <w:r>
                  <w:rPr/>
                  <w:t>143</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574982pt;margin-top:806.033569pt;width:8.450pt;height:10pt;mso-position-horizontal-relative:page;mso-position-vertical-relative:page;z-index:-131308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5</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83197pt;margin-top:802.527222pt;width:16.8pt;height:9.5pt;mso-position-horizontal-relative:page;mso-position-vertical-relative:page;z-index:-1311232" type="#_x0000_t202" filled="false" stroked="false">
          <v:textbox inset="0,0,0,0">
            <w:txbxContent>
              <w:p>
                <w:pPr>
                  <w:spacing w:before="1"/>
                  <w:ind w:left="40" w:right="0" w:firstLine="0"/>
                  <w:jc w:val="left"/>
                  <w:rPr>
                    <w:sz w:val="15"/>
                  </w:rPr>
                </w:pPr>
                <w:r>
                  <w:rPr/>
                  <w:fldChar w:fldCharType="begin"/>
                </w:r>
                <w:r>
                  <w:rPr>
                    <w:color w:val="111113"/>
                    <w:sz w:val="15"/>
                  </w:rPr>
                  <w:instrText> PAGE </w:instrText>
                </w:r>
                <w:r>
                  <w:rPr/>
                  <w:fldChar w:fldCharType="separate"/>
                </w:r>
                <w:r>
                  <w:rPr/>
                  <w:t>141</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572205pt;margin-top:804.403992pt;width:16.6pt;height:9.5pt;mso-position-horizontal-relative:page;mso-position-vertical-relative:page;z-index:-1311208" type="#_x0000_t202" filled="false" stroked="false">
          <v:textbox inset="0,0,0,0">
            <w:txbxContent>
              <w:p>
                <w:pPr>
                  <w:spacing w:before="1"/>
                  <w:ind w:left="40" w:right="0" w:firstLine="0"/>
                  <w:jc w:val="left"/>
                  <w:rPr>
                    <w:b/>
                    <w:sz w:val="15"/>
                  </w:rPr>
                </w:pPr>
                <w:r>
                  <w:rPr/>
                  <w:fldChar w:fldCharType="begin"/>
                </w:r>
                <w:r>
                  <w:rPr>
                    <w:b/>
                    <w:color w:val="111113"/>
                    <w:w w:val="90"/>
                    <w:sz w:val="15"/>
                  </w:rPr>
                  <w:instrText> PAGE </w:instrText>
                </w:r>
                <w:r>
                  <w:rPr/>
                  <w:fldChar w:fldCharType="separate"/>
                </w:r>
                <w:r>
                  <w:rPr/>
                  <w:t>142</w:t>
                </w:r>
                <w:r>
                  <w:rPr/>
                  <w:fldChar w:fldCharType="end"/>
                </w:r>
                <w:r>
                  <w:rPr>
                    <w:b/>
                    <w:color w:val="111113"/>
                    <w:sz w:val="15"/>
                  </w:rPr>
                  <w:t> </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25977pt;margin-top:806.033569pt;width:15.35pt;height:10pt;mso-position-horizontal-relative:page;mso-position-vertical-relative:page;z-index:-1311160" type="#_x0000_t202" filled="false" stroked="false">
          <v:textbox inset="0,0,0,0">
            <w:txbxContent>
              <w:p>
                <w:pPr>
                  <w:spacing w:line="184" w:lineRule="exact" w:before="0"/>
                  <w:ind w:left="20" w:right="0" w:firstLine="0"/>
                  <w:jc w:val="left"/>
                  <w:rPr>
                    <w:sz w:val="16"/>
                  </w:rPr>
                </w:pPr>
                <w:r>
                  <w:rPr>
                    <w:sz w:val="16"/>
                  </w:rPr>
                  <w:t>159</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553528pt;width:17.4pt;height:10pt;mso-position-horizontal-relative:page;mso-position-vertical-relative:page;z-index:-1311136" type="#_x0000_t202" filled="false" stroked="false">
          <v:textbox inset="0,0,0,0">
            <w:txbxContent>
              <w:p>
                <w:pPr>
                  <w:spacing w:line="184" w:lineRule="exact" w:before="0"/>
                  <w:ind w:left="41" w:right="0" w:firstLine="0"/>
                  <w:jc w:val="left"/>
                  <w:rPr>
                    <w:sz w:val="16"/>
                  </w:rPr>
                </w:pPr>
                <w:r>
                  <w:rPr/>
                  <w:fldChar w:fldCharType="begin"/>
                </w:r>
                <w:r>
                  <w:rPr>
                    <w:sz w:val="16"/>
                  </w:rPr>
                  <w:instrText> PAGE </w:instrText>
                </w:r>
                <w:r>
                  <w:rPr/>
                  <w:fldChar w:fldCharType="separate"/>
                </w:r>
                <w:r>
                  <w:rPr/>
                  <w:t>160</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31111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161</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25977pt;margin-top:806.033569pt;width:17.350pt;height:10pt;mso-position-horizontal-relative:page;mso-position-vertical-relative:page;z-index:-131106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164</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25977pt;margin-top:806.033569pt;width:17.350pt;height:10pt;mso-position-horizontal-relative:page;mso-position-vertical-relative:page;z-index:-131104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165</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 style="position:absolute;margin-left:288.935974pt;margin-top:801.764893pt;width:19.650pt;height:13.55pt;mso-position-horizontal-relative:page;mso-position-vertical-relative:page;z-index:-1311016" type="#_x0000_t202" filled="false" stroked="false">
          <v:textbox inset="0,0,0,0">
            <w:txbxContent>
              <w:p>
                <w:pPr>
                  <w:spacing w:before="70"/>
                  <w:ind w:left="40" w:right="0" w:firstLine="0"/>
                  <w:jc w:val="left"/>
                  <w:rPr>
                    <w:sz w:val="16"/>
                  </w:rPr>
                </w:pPr>
                <w:r>
                  <w:rPr/>
                  <w:fldChar w:fldCharType="begin"/>
                </w:r>
                <w:r>
                  <w:rPr>
                    <w:sz w:val="16"/>
                  </w:rPr>
                  <w:instrText> PAGE </w:instrText>
                </w:r>
                <w:r>
                  <w:rPr/>
                  <w:fldChar w:fldCharType="separate"/>
                </w:r>
                <w:r>
                  <w:rPr/>
                  <w:t>168</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384979pt;margin-top:805.633545pt;width:8.450pt;height:10pt;mso-position-horizontal-relative:page;mso-position-vertical-relative:page;z-index:-131305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6</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4.318848pt;width:18.75pt;height:11.35pt;mso-position-horizontal-relative:page;mso-position-vertical-relative:page;z-index:-1310944" type="#_x0000_t202" filled="false" stroked="false">
          <v:textbox inset="0,0,0,0">
            <w:txbxContent>
              <w:p>
                <w:pPr>
                  <w:spacing w:line="184" w:lineRule="exact" w:before="0"/>
                  <w:ind w:left="72" w:right="0" w:firstLine="0"/>
                  <w:jc w:val="left"/>
                  <w:rPr>
                    <w:sz w:val="16"/>
                  </w:rPr>
                </w:pPr>
                <w:r>
                  <w:rPr/>
                  <w:fldChar w:fldCharType="begin"/>
                </w:r>
                <w:r>
                  <w:rPr>
                    <w:color w:val="131315"/>
                    <w:sz w:val="16"/>
                  </w:rPr>
                  <w:instrText> PAGE </w:instrText>
                </w:r>
                <w:r>
                  <w:rPr/>
                  <w:fldChar w:fldCharType="separate"/>
                </w:r>
                <w:r>
                  <w:rPr/>
                  <w:t>195</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572205pt;margin-top:803.99884pt;width:17.1pt;height:10pt;mso-position-horizontal-relative:page;mso-position-vertical-relative:page;z-index:-1310920" type="#_x0000_t202" filled="false" stroked="false">
          <v:textbox inset="0,0,0,0">
            <w:txbxContent>
              <w:p>
                <w:pPr>
                  <w:spacing w:line="184" w:lineRule="exact" w:before="0"/>
                  <w:ind w:left="40" w:right="0" w:firstLine="0"/>
                  <w:jc w:val="left"/>
                  <w:rPr>
                    <w:sz w:val="16"/>
                  </w:rPr>
                </w:pPr>
                <w:r>
                  <w:rPr/>
                  <w:fldChar w:fldCharType="begin"/>
                </w:r>
                <w:r>
                  <w:rPr>
                    <w:color w:val="131315"/>
                    <w:sz w:val="16"/>
                  </w:rPr>
                  <w:instrText> PAGE </w:instrText>
                </w:r>
                <w:r>
                  <w:rPr/>
                  <w:fldChar w:fldCharType="separate"/>
                </w:r>
                <w:r>
                  <w:rPr/>
                  <w:t>195</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85992pt;margin-top:805.553528pt;width:17.350pt;height:10pt;mso-position-horizontal-relative:page;mso-position-vertical-relative:page;z-index:-131089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196</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31087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197</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25977pt;margin-top:806.033569pt;width:15.35pt;height:10pt;mso-position-horizontal-relative:page;mso-position-vertical-relative:page;z-index:-1310800" type="#_x0000_t202" filled="false" stroked="false">
          <v:textbox inset="0,0,0,0">
            <w:txbxContent>
              <w:p>
                <w:pPr>
                  <w:spacing w:line="184" w:lineRule="exact" w:before="0"/>
                  <w:ind w:left="20" w:right="0" w:firstLine="0"/>
                  <w:jc w:val="left"/>
                  <w:rPr>
                    <w:sz w:val="16"/>
                  </w:rPr>
                </w:pPr>
                <w:r>
                  <w:rPr>
                    <w:sz w:val="16"/>
                  </w:rPr>
                  <w:t>200</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983311pt;margin-top:795.304382pt;width:510.7pt;height:19.850pt;mso-position-horizontal-relative:page;mso-position-vertical-relative:page;z-index:-1310776" type="#_x0000_t202" filled="false" stroked="false">
          <v:textbox inset="0,0,0,0">
            <w:txbxContent>
              <w:p>
                <w:pPr>
                  <w:spacing w:line="386" w:lineRule="exact" w:before="0"/>
                  <w:ind w:left="20" w:right="0" w:firstLine="0"/>
                  <w:jc w:val="left"/>
                  <w:rPr>
                    <w:sz w:val="13"/>
                  </w:rPr>
                </w:pPr>
                <w:r>
                  <w:rPr>
                    <w:color w:val="131315"/>
                    <w:w w:val="107"/>
                    <w:sz w:val="13"/>
                  </w:rPr>
                  <w:t>Level</w:t>
                </w:r>
                <w:r>
                  <w:rPr>
                    <w:color w:val="131315"/>
                    <w:spacing w:val="1"/>
                    <w:sz w:val="13"/>
                  </w:rPr>
                  <w:t> </w:t>
                </w:r>
                <w:r>
                  <w:rPr>
                    <w:color w:val="131315"/>
                    <w:w w:val="112"/>
                    <w:sz w:val="13"/>
                  </w:rPr>
                  <w:t>1</w:t>
                </w:r>
                <w:r>
                  <w:rPr>
                    <w:color w:val="131315"/>
                    <w:spacing w:val="-6"/>
                    <w:w w:val="112"/>
                    <w:sz w:val="13"/>
                  </w:rPr>
                  <w:t>5</w:t>
                </w:r>
                <w:r>
                  <w:rPr>
                    <w:color w:val="3A3A3A"/>
                    <w:w w:val="136"/>
                    <w:sz w:val="13"/>
                  </w:rPr>
                  <w:t>,</w:t>
                </w:r>
                <w:r>
                  <w:rPr>
                    <w:color w:val="3A3A3A"/>
                    <w:spacing w:val="-14"/>
                    <w:sz w:val="13"/>
                  </w:rPr>
                  <w:t> </w:t>
                </w:r>
                <w:r>
                  <w:rPr>
                    <w:b/>
                    <w:color w:val="131315"/>
                    <w:w w:val="103"/>
                    <w:sz w:val="13"/>
                  </w:rPr>
                  <w:t>1</w:t>
                </w:r>
                <w:r>
                  <w:rPr>
                    <w:b/>
                    <w:color w:val="131315"/>
                    <w:spacing w:val="8"/>
                    <w:sz w:val="13"/>
                  </w:rPr>
                  <w:t> </w:t>
                </w:r>
                <w:r>
                  <w:rPr>
                    <w:color w:val="131315"/>
                    <w:w w:val="107"/>
                    <w:sz w:val="13"/>
                  </w:rPr>
                  <w:t>Margaret</w:t>
                </w:r>
                <w:r>
                  <w:rPr>
                    <w:color w:val="131315"/>
                    <w:spacing w:val="10"/>
                    <w:sz w:val="13"/>
                  </w:rPr>
                  <w:t> </w:t>
                </w:r>
                <w:r>
                  <w:rPr>
                    <w:color w:val="131315"/>
                    <w:w w:val="107"/>
                    <w:sz w:val="13"/>
                  </w:rPr>
                  <w:t>Stree</w:t>
                </w:r>
                <w:r>
                  <w:rPr>
                    <w:color w:val="131315"/>
                    <w:spacing w:val="8"/>
                    <w:w w:val="107"/>
                    <w:sz w:val="13"/>
                  </w:rPr>
                  <w:t>t</w:t>
                </w:r>
                <w:r>
                  <w:rPr>
                    <w:color w:val="3A3A3A"/>
                    <w:w w:val="171"/>
                    <w:sz w:val="13"/>
                  </w:rPr>
                  <w:t>,</w:t>
                </w:r>
                <w:r>
                  <w:rPr>
                    <w:color w:val="3A3A3A"/>
                    <w:spacing w:val="-22"/>
                    <w:sz w:val="13"/>
                  </w:rPr>
                  <w:t> </w:t>
                </w:r>
                <w:r>
                  <w:rPr>
                    <w:color w:val="131315"/>
                    <w:w w:val="105"/>
                    <w:sz w:val="13"/>
                  </w:rPr>
                  <w:t>Sydney</w:t>
                </w:r>
                <w:r>
                  <w:rPr>
                    <w:color w:val="131315"/>
                    <w:spacing w:val="16"/>
                    <w:sz w:val="13"/>
                  </w:rPr>
                  <w:t> </w:t>
                </w:r>
                <w:r>
                  <w:rPr>
                    <w:b/>
                    <w:color w:val="131315"/>
                    <w:w w:val="101"/>
                    <w:sz w:val="13"/>
                  </w:rPr>
                  <w:t>NSW</w:t>
                </w:r>
                <w:r>
                  <w:rPr>
                    <w:b/>
                    <w:color w:val="131315"/>
                    <w:spacing w:val="9"/>
                    <w:sz w:val="13"/>
                  </w:rPr>
                  <w:t> </w:t>
                </w:r>
                <w:r>
                  <w:rPr>
                    <w:color w:val="131315"/>
                    <w:w w:val="103"/>
                    <w:sz w:val="13"/>
                  </w:rPr>
                  <w:t>2000</w:t>
                </w:r>
                <w:r>
                  <w:rPr>
                    <w:color w:val="131315"/>
                    <w:sz w:val="13"/>
                  </w:rPr>
                  <w:t> </w:t>
                </w:r>
                <w:r>
                  <w:rPr>
                    <w:color w:val="131315"/>
                    <w:spacing w:val="10"/>
                    <w:sz w:val="13"/>
                  </w:rPr>
                  <w:t> </w:t>
                </w:r>
                <w:r>
                  <w:rPr>
                    <w:color w:val="131315"/>
                    <w:w w:val="77"/>
                    <w:sz w:val="19"/>
                  </w:rPr>
                  <w:t>I</w:t>
                </w:r>
                <w:r>
                  <w:rPr>
                    <w:color w:val="131315"/>
                    <w:spacing w:val="6"/>
                    <w:sz w:val="19"/>
                  </w:rPr>
                  <w:t> </w:t>
                </w:r>
                <w:r>
                  <w:rPr>
                    <w:color w:val="3A3A3A"/>
                    <w:w w:val="108"/>
                    <w:sz w:val="13"/>
                  </w:rPr>
                  <w:t>G</w:t>
                </w:r>
                <w:r>
                  <w:rPr>
                    <w:color w:val="131315"/>
                    <w:spacing w:val="-5"/>
                    <w:w w:val="98"/>
                    <w:sz w:val="13"/>
                  </w:rPr>
                  <w:t>P</w:t>
                </w:r>
                <w:r>
                  <w:rPr>
                    <w:color w:val="3A3A3A"/>
                    <w:w w:val="105"/>
                    <w:sz w:val="13"/>
                  </w:rPr>
                  <w:t>O</w:t>
                </w:r>
                <w:r>
                  <w:rPr>
                    <w:color w:val="3A3A3A"/>
                    <w:sz w:val="13"/>
                  </w:rPr>
                  <w:t> </w:t>
                </w:r>
                <w:r>
                  <w:rPr>
                    <w:color w:val="131315"/>
                    <w:spacing w:val="-7"/>
                    <w:w w:val="106"/>
                    <w:sz w:val="13"/>
                  </w:rPr>
                  <w:t>B</w:t>
                </w:r>
                <w:r>
                  <w:rPr>
                    <w:color w:val="3A3A3A"/>
                    <w:w w:val="99"/>
                    <w:sz w:val="13"/>
                  </w:rPr>
                  <w:t>ox</w:t>
                </w:r>
                <w:r>
                  <w:rPr>
                    <w:color w:val="3A3A3A"/>
                    <w:sz w:val="13"/>
                  </w:rPr>
                  <w:t> </w:t>
                </w:r>
                <w:r>
                  <w:rPr>
                    <w:color w:val="3A3A3A"/>
                    <w:spacing w:val="-18"/>
                    <w:sz w:val="13"/>
                  </w:rPr>
                  <w:t> </w:t>
                </w:r>
                <w:r>
                  <w:rPr>
                    <w:color w:val="3A3A3A"/>
                    <w:w w:val="102"/>
                    <w:sz w:val="13"/>
                  </w:rPr>
                  <w:t>12,</w:t>
                </w:r>
                <w:r>
                  <w:rPr>
                    <w:color w:val="3A3A3A"/>
                    <w:spacing w:val="-2"/>
                    <w:sz w:val="13"/>
                  </w:rPr>
                  <w:t> </w:t>
                </w:r>
                <w:r>
                  <w:rPr>
                    <w:color w:val="3A3A3A"/>
                    <w:w w:val="96"/>
                    <w:sz w:val="13"/>
                  </w:rPr>
                  <w:t>S</w:t>
                </w:r>
                <w:r>
                  <w:rPr>
                    <w:color w:val="3A3A3A"/>
                    <w:spacing w:val="1"/>
                    <w:w w:val="96"/>
                    <w:sz w:val="13"/>
                  </w:rPr>
                  <w:t>y</w:t>
                </w:r>
                <w:r>
                  <w:rPr>
                    <w:color w:val="131315"/>
                    <w:spacing w:val="-1"/>
                    <w:w w:val="112"/>
                    <w:sz w:val="13"/>
                  </w:rPr>
                  <w:t>d</w:t>
                </w:r>
                <w:r>
                  <w:rPr>
                    <w:color w:val="3A3A3A"/>
                    <w:w w:val="98"/>
                    <w:sz w:val="13"/>
                  </w:rPr>
                  <w:t>ney</w:t>
                </w:r>
                <w:r>
                  <w:rPr>
                    <w:color w:val="3A3A3A"/>
                    <w:spacing w:val="5"/>
                    <w:sz w:val="13"/>
                  </w:rPr>
                  <w:t> </w:t>
                </w:r>
                <w:r>
                  <w:rPr>
                    <w:color w:val="131315"/>
                    <w:spacing w:val="-12"/>
                    <w:w w:val="108"/>
                    <w:sz w:val="13"/>
                  </w:rPr>
                  <w:t>N</w:t>
                </w:r>
                <w:r>
                  <w:rPr>
                    <w:color w:val="3A3A3A"/>
                    <w:w w:val="101"/>
                    <w:sz w:val="13"/>
                  </w:rPr>
                  <w:t>SW</w:t>
                </w:r>
                <w:r>
                  <w:rPr>
                    <w:color w:val="3A3A3A"/>
                    <w:spacing w:val="4"/>
                    <w:sz w:val="13"/>
                  </w:rPr>
                  <w:t> </w:t>
                </w:r>
                <w:r>
                  <w:rPr>
                    <w:color w:val="3A3A3A"/>
                    <w:w w:val="103"/>
                    <w:sz w:val="13"/>
                  </w:rPr>
                  <w:t>20</w:t>
                </w:r>
                <w:r>
                  <w:rPr>
                    <w:color w:val="3A3A3A"/>
                    <w:spacing w:val="9"/>
                    <w:w w:val="103"/>
                    <w:sz w:val="13"/>
                  </w:rPr>
                  <w:t>0</w:t>
                </w:r>
                <w:r>
                  <w:rPr>
                    <w:rFonts w:ascii="Times New Roman"/>
                    <w:color w:val="131315"/>
                    <w:spacing w:val="-1"/>
                    <w:w w:val="71"/>
                    <w:position w:val="-8"/>
                    <w:sz w:val="27"/>
                  </w:rPr>
                  <w:t>2</w:t>
                </w:r>
                <w:r>
                  <w:rPr>
                    <w:rFonts w:ascii="Times New Roman"/>
                    <w:color w:val="131315"/>
                    <w:spacing w:val="16"/>
                    <w:w w:val="62"/>
                    <w:sz w:val="27"/>
                  </w:rPr>
                  <w:t>d</w:t>
                </w:r>
                <w:r>
                  <w:rPr>
                    <w:color w:val="131315"/>
                    <w:spacing w:val="-26"/>
                    <w:w w:val="73"/>
                    <w:position w:val="-8"/>
                    <w:sz w:val="19"/>
                  </w:rPr>
                  <w:t>1</w:t>
                </w:r>
                <w:r>
                  <w:rPr>
                    <w:color w:val="131315"/>
                    <w:w w:val="128"/>
                    <w:sz w:val="13"/>
                  </w:rPr>
                  <w:t>t</w:t>
                </w:r>
                <w:r>
                  <w:rPr>
                    <w:color w:val="131315"/>
                    <w:spacing w:val="-2"/>
                    <w:sz w:val="13"/>
                  </w:rPr>
                  <w:t> </w:t>
                </w:r>
                <w:r>
                  <w:rPr>
                    <w:color w:val="3A3A3A"/>
                    <w:w w:val="106"/>
                    <w:sz w:val="13"/>
                  </w:rPr>
                  <w:t>02</w:t>
                </w:r>
                <w:r>
                  <w:rPr>
                    <w:color w:val="3A3A3A"/>
                    <w:sz w:val="13"/>
                  </w:rPr>
                  <w:t> </w:t>
                </w:r>
                <w:r>
                  <w:rPr>
                    <w:color w:val="3A3A3A"/>
                    <w:w w:val="104"/>
                    <w:sz w:val="13"/>
                  </w:rPr>
                  <w:t>9275</w:t>
                </w:r>
                <w:r>
                  <w:rPr>
                    <w:color w:val="3A3A3A"/>
                    <w:spacing w:val="9"/>
                    <w:sz w:val="13"/>
                  </w:rPr>
                  <w:t> </w:t>
                </w:r>
                <w:r>
                  <w:rPr>
                    <w:color w:val="3A3A3A"/>
                    <w:spacing w:val="13"/>
                    <w:w w:val="100"/>
                    <w:sz w:val="13"/>
                  </w:rPr>
                  <w:t>7</w:t>
                </w:r>
                <w:r>
                  <w:rPr>
                    <w:color w:val="131315"/>
                    <w:w w:val="101"/>
                    <w:sz w:val="13"/>
                  </w:rPr>
                  <w:t>101</w:t>
                </w:r>
                <w:r>
                  <w:rPr>
                    <w:color w:val="131315"/>
                    <w:sz w:val="13"/>
                  </w:rPr>
                  <w:t> </w:t>
                </w:r>
                <w:r>
                  <w:rPr>
                    <w:color w:val="131315"/>
                    <w:spacing w:val="3"/>
                    <w:sz w:val="13"/>
                  </w:rPr>
                  <w:t> </w:t>
                </w:r>
                <w:r>
                  <w:rPr>
                    <w:color w:val="131315"/>
                    <w:w w:val="77"/>
                    <w:sz w:val="19"/>
                  </w:rPr>
                  <w:t>I</w:t>
                </w:r>
                <w:r>
                  <w:rPr>
                    <w:color w:val="131315"/>
                    <w:spacing w:val="6"/>
                    <w:sz w:val="19"/>
                  </w:rPr>
                  <w:t> </w:t>
                </w:r>
                <w:r>
                  <w:rPr>
                    <w:b/>
                    <w:color w:val="131315"/>
                    <w:w w:val="91"/>
                    <w:sz w:val="13"/>
                  </w:rPr>
                  <w:t>f</w:t>
                </w:r>
                <w:r>
                  <w:rPr>
                    <w:b/>
                    <w:color w:val="131315"/>
                    <w:spacing w:val="5"/>
                    <w:sz w:val="13"/>
                  </w:rPr>
                  <w:t> </w:t>
                </w:r>
                <w:r>
                  <w:rPr>
                    <w:color w:val="3A3A3A"/>
                    <w:w w:val="106"/>
                    <w:sz w:val="13"/>
                  </w:rPr>
                  <w:t>02</w:t>
                </w:r>
                <w:r>
                  <w:rPr>
                    <w:color w:val="3A3A3A"/>
                    <w:sz w:val="13"/>
                  </w:rPr>
                  <w:t> </w:t>
                </w:r>
                <w:r>
                  <w:rPr>
                    <w:color w:val="3A3A3A"/>
                    <w:w w:val="104"/>
                    <w:sz w:val="13"/>
                  </w:rPr>
                  <w:t>9275</w:t>
                </w:r>
                <w:r>
                  <w:rPr>
                    <w:color w:val="3A3A3A"/>
                    <w:spacing w:val="5"/>
                    <w:sz w:val="13"/>
                  </w:rPr>
                  <w:t> </w:t>
                </w:r>
                <w:r>
                  <w:rPr>
                    <w:color w:val="3A3A3A"/>
                    <w:spacing w:val="8"/>
                    <w:w w:val="100"/>
                    <w:sz w:val="13"/>
                  </w:rPr>
                  <w:t>7</w:t>
                </w:r>
                <w:r>
                  <w:rPr>
                    <w:color w:val="131315"/>
                    <w:spacing w:val="-8"/>
                    <w:w w:val="109"/>
                    <w:sz w:val="13"/>
                  </w:rPr>
                  <w:t>1</w:t>
                </w:r>
                <w:r>
                  <w:rPr>
                    <w:color w:val="3A3A3A"/>
                    <w:w w:val="102"/>
                    <w:sz w:val="13"/>
                  </w:rPr>
                  <w:t>79</w:t>
                </w:r>
                <w:r>
                  <w:rPr>
                    <w:color w:val="3A3A3A"/>
                    <w:sz w:val="13"/>
                  </w:rPr>
                  <w:t> </w:t>
                </w:r>
                <w:r>
                  <w:rPr>
                    <w:color w:val="3A3A3A"/>
                    <w:spacing w:val="8"/>
                    <w:sz w:val="13"/>
                  </w:rPr>
                  <w:t> </w:t>
                </w:r>
                <w:r>
                  <w:rPr>
                    <w:color w:val="4D4D4D"/>
                    <w:w w:val="50"/>
                    <w:sz w:val="19"/>
                  </w:rPr>
                  <w:t>I</w:t>
                </w:r>
                <w:r>
                  <w:rPr>
                    <w:color w:val="4D4D4D"/>
                    <w:spacing w:val="20"/>
                    <w:sz w:val="19"/>
                  </w:rPr>
                  <w:t> </w:t>
                </w:r>
                <w:r>
                  <w:rPr>
                    <w:color w:val="131315"/>
                    <w:w w:val="105"/>
                    <w:sz w:val="13"/>
                  </w:rPr>
                  <w:t>e</w:t>
                </w:r>
                <w:r>
                  <w:rPr>
                    <w:color w:val="131315"/>
                    <w:spacing w:val="2"/>
                    <w:sz w:val="13"/>
                  </w:rPr>
                  <w:t> </w:t>
                </w:r>
                <w:hyperlink r:id="rId1">
                  <w:r>
                    <w:rPr>
                      <w:color w:val="3A3A3A"/>
                      <w:w w:val="102"/>
                      <w:sz w:val="13"/>
                    </w:rPr>
                    <w:t>ma</w:t>
                  </w:r>
                  <w:r>
                    <w:rPr>
                      <w:color w:val="3A3A3A"/>
                      <w:spacing w:val="-6"/>
                      <w:w w:val="102"/>
                      <w:sz w:val="13"/>
                    </w:rPr>
                    <w:t>i</w:t>
                  </w:r>
                  <w:r>
                    <w:rPr>
                      <w:color w:val="131315"/>
                      <w:spacing w:val="-12"/>
                      <w:w w:val="123"/>
                      <w:sz w:val="13"/>
                    </w:rPr>
                    <w:t>l</w:t>
                  </w:r>
                  <w:r>
                    <w:rPr>
                      <w:color w:val="4D4D4D"/>
                      <w:w w:val="94"/>
                      <w:sz w:val="13"/>
                    </w:rPr>
                    <w:t>@au</w:t>
                  </w:r>
                  <w:r>
                    <w:rPr>
                      <w:color w:val="4D4D4D"/>
                      <w:spacing w:val="3"/>
                      <w:w w:val="94"/>
                      <w:sz w:val="13"/>
                    </w:rPr>
                    <w:t>d</w:t>
                  </w:r>
                  <w:r>
                    <w:rPr>
                      <w:color w:val="131315"/>
                      <w:w w:val="103"/>
                      <w:sz w:val="13"/>
                    </w:rPr>
                    <w:t>it.</w:t>
                  </w:r>
                  <w:r>
                    <w:rPr>
                      <w:color w:val="3A3A3A"/>
                      <w:w w:val="97"/>
                      <w:sz w:val="13"/>
                    </w:rPr>
                    <w:t>nsw.gov.au</w:t>
                  </w:r>
                </w:hyperlink>
                <w:r>
                  <w:rPr>
                    <w:color w:val="3A3A3A"/>
                    <w:sz w:val="13"/>
                  </w:rPr>
                  <w:t> </w:t>
                </w:r>
                <w:r>
                  <w:rPr>
                    <w:color w:val="3A3A3A"/>
                    <w:spacing w:val="16"/>
                    <w:sz w:val="13"/>
                  </w:rPr>
                  <w:t> </w:t>
                </w:r>
                <w:r>
                  <w:rPr>
                    <w:color w:val="4D4D4D"/>
                    <w:w w:val="77"/>
                    <w:sz w:val="19"/>
                  </w:rPr>
                  <w:t>I</w:t>
                </w:r>
                <w:r>
                  <w:rPr>
                    <w:color w:val="4D4D4D"/>
                    <w:spacing w:val="6"/>
                    <w:sz w:val="19"/>
                  </w:rPr>
                  <w:t> </w:t>
                </w:r>
                <w:r>
                  <w:rPr>
                    <w:color w:val="131315"/>
                    <w:w w:val="109"/>
                    <w:sz w:val="13"/>
                  </w:rPr>
                  <w:t>audit.ns</w:t>
                </w:r>
                <w:r>
                  <w:rPr>
                    <w:color w:val="131315"/>
                    <w:spacing w:val="9"/>
                    <w:w w:val="109"/>
                    <w:sz w:val="13"/>
                  </w:rPr>
                  <w:t>w</w:t>
                </w:r>
                <w:r>
                  <w:rPr>
                    <w:color w:val="3A3A3A"/>
                    <w:spacing w:val="-24"/>
                    <w:w w:val="144"/>
                    <w:sz w:val="13"/>
                  </w:rPr>
                  <w:t>.</w:t>
                </w:r>
                <w:r>
                  <w:rPr>
                    <w:color w:val="131315"/>
                    <w:w w:val="110"/>
                    <w:sz w:val="13"/>
                  </w:rPr>
                  <w:t>go</w:t>
                </w:r>
                <w:r>
                  <w:rPr>
                    <w:color w:val="131315"/>
                    <w:spacing w:val="-3"/>
                    <w:w w:val="110"/>
                    <w:sz w:val="13"/>
                  </w:rPr>
                  <w:t>v</w:t>
                </w:r>
                <w:r>
                  <w:rPr>
                    <w:color w:val="4D4D4D"/>
                    <w:spacing w:val="-19"/>
                    <w:w w:val="144"/>
                    <w:sz w:val="13"/>
                  </w:rPr>
                  <w:t>.</w:t>
                </w:r>
                <w:r>
                  <w:rPr>
                    <w:color w:val="131315"/>
                    <w:w w:val="107"/>
                    <w:sz w:val="13"/>
                  </w:rPr>
                  <w:t>au</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288.935974pt;margin-top:801.764893pt;width:18.8pt;height:13.55pt;mso-position-horizontal-relative:page;mso-position-vertical-relative:page;z-index:-1310752" type="#_x0000_t202" filled="false" stroked="false">
          <v:textbox inset="0,0,0,0">
            <w:txbxContent>
              <w:p>
                <w:pPr>
                  <w:spacing w:before="70"/>
                  <w:ind w:left="40" w:right="0" w:firstLine="0"/>
                  <w:jc w:val="left"/>
                  <w:rPr>
                    <w:sz w:val="16"/>
                  </w:rPr>
                </w:pPr>
                <w:r>
                  <w:rPr/>
                  <w:fldChar w:fldCharType="begin"/>
                </w:r>
                <w:r>
                  <w:rPr>
                    <w:sz w:val="16"/>
                  </w:rPr>
                  <w:instrText> PAGE </w:instrText>
                </w:r>
                <w:r>
                  <w:rPr/>
                  <w:fldChar w:fldCharType="separate"/>
                </w:r>
                <w:r>
                  <w:rPr/>
                  <w:t>204</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093323pt;margin-top:804.403992pt;width:17.05pt;height:9.5pt;mso-position-horizontal-relative:page;mso-position-vertical-relative:page;z-index:-1310728" type="#_x0000_t202" filled="false" stroked="false">
          <v:textbox inset="0,0,0,0">
            <w:txbxContent>
              <w:p>
                <w:pPr>
                  <w:spacing w:before="1"/>
                  <w:ind w:left="40" w:right="0" w:firstLine="0"/>
                  <w:jc w:val="left"/>
                  <w:rPr>
                    <w:sz w:val="15"/>
                  </w:rPr>
                </w:pPr>
                <w:r>
                  <w:rPr/>
                  <w:fldChar w:fldCharType="begin"/>
                </w:r>
                <w:r>
                  <w:rPr>
                    <w:color w:val="111113"/>
                    <w:w w:val="105"/>
                    <w:sz w:val="15"/>
                  </w:rPr>
                  <w:instrText> PAGE </w:instrText>
                </w:r>
                <w:r>
                  <w:rPr/>
                  <w:fldChar w:fldCharType="separate"/>
                </w:r>
                <w:r>
                  <w:rPr/>
                  <w:t>203</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384979pt;margin-top:805.633545pt;width:8.450pt;height:10pt;mso-position-horizontal-relative:page;mso-position-vertical-relative:page;z-index:-131303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7</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25977pt;margin-top:806.033569pt;width:15.35pt;height:10pt;mso-position-horizontal-relative:page;mso-position-vertical-relative:page;z-index:-1310632" type="#_x0000_t202" filled="false" stroked="false">
          <v:textbox inset="0,0,0,0">
            <w:txbxContent>
              <w:p>
                <w:pPr>
                  <w:spacing w:line="184" w:lineRule="exact" w:before="0"/>
                  <w:ind w:left="20" w:right="0" w:firstLine="0"/>
                  <w:jc w:val="left"/>
                  <w:rPr>
                    <w:sz w:val="16"/>
                  </w:rPr>
                </w:pPr>
                <w:r>
                  <w:rPr>
                    <w:sz w:val="16"/>
                  </w:rPr>
                  <w:t>225</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985992pt;margin-top:805.553528pt;width:15.35pt;height:10pt;mso-position-horizontal-relative:page;mso-position-vertical-relative:page;z-index:-1310608" type="#_x0000_t202" filled="false" stroked="false">
          <v:textbox inset="0,0,0,0">
            <w:txbxContent>
              <w:p>
                <w:pPr>
                  <w:spacing w:line="184" w:lineRule="exact" w:before="0"/>
                  <w:ind w:left="20" w:right="0" w:firstLine="0"/>
                  <w:jc w:val="left"/>
                  <w:rPr>
                    <w:sz w:val="16"/>
                  </w:rPr>
                </w:pPr>
                <w:r>
                  <w:rPr>
                    <w:sz w:val="16"/>
                  </w:rPr>
                  <w:t>226</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25977pt;margin-top:806.033569pt;width:17.350pt;height:10pt;mso-position-horizontal-relative:page;mso-position-vertical-relative:page;z-index:-131058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227</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25977pt;margin-top:806.033569pt;width:17.350pt;height:10pt;mso-position-horizontal-relative:page;mso-position-vertical-relative:page;z-index:-131053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232</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8.677002pt;margin-top:785.864197pt;width:260.3pt;height:11pt;mso-position-horizontal-relative:page;mso-position-vertical-relative:page;z-index:-1310488" type="#_x0000_t202" filled="false" stroked="false">
          <v:textbox inset="0,0,0,0">
            <w:txbxContent>
              <w:p>
                <w:pPr>
                  <w:pStyle w:val="BodyText"/>
                  <w:spacing w:line="204" w:lineRule="exact"/>
                  <w:ind w:left="20"/>
                </w:pPr>
                <w:r>
                  <w:rPr/>
                  <w:t>The accompanying notes form part of these financial statements.</w:t>
                </w:r>
              </w:p>
            </w:txbxContent>
          </v:textbox>
          <w10:wrap type="none"/>
        </v:shape>
      </w:pict>
    </w:r>
    <w:r>
      <w:rPr/>
      <w:pict>
        <v:shape style="position:absolute;margin-left:290.125977pt;margin-top:806.033569pt;width:17.350pt;height:10pt;mso-position-horizontal-relative:page;mso-position-vertical-relative:page;z-index:-131046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233</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25977pt;margin-top:806.033569pt;width:17.350pt;height:10pt;mso-position-horizontal-relative:page;mso-position-vertical-relative:page;z-index:-131044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237</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080013pt;margin-top:802.742004pt;width:510.2pt;height:11.5pt;mso-position-horizontal-relative:page;mso-position-vertical-relative:page;z-index:-1310416" type="#_x0000_t202" filled="false" stroked="false">
          <v:textbox inset="0,0,0,0">
            <w:txbxContent>
              <w:p>
                <w:pPr>
                  <w:spacing w:line="214" w:lineRule="exact" w:before="0"/>
                  <w:ind w:left="20" w:right="0" w:firstLine="0"/>
                  <w:jc w:val="left"/>
                  <w:rPr>
                    <w:sz w:val="13"/>
                  </w:rPr>
                </w:pPr>
                <w:r>
                  <w:rPr>
                    <w:color w:val="0F0F11"/>
                    <w:w w:val="105"/>
                    <w:sz w:val="13"/>
                  </w:rPr>
                  <w:t>Level</w:t>
                </w:r>
                <w:r>
                  <w:rPr>
                    <w:color w:val="0F0F11"/>
                    <w:spacing w:val="4"/>
                    <w:sz w:val="13"/>
                  </w:rPr>
                  <w:t> </w:t>
                </w:r>
                <w:r>
                  <w:rPr>
                    <w:color w:val="0F0F11"/>
                    <w:w w:val="112"/>
                    <w:sz w:val="13"/>
                  </w:rPr>
                  <w:t>1</w:t>
                </w:r>
                <w:r>
                  <w:rPr>
                    <w:color w:val="0F0F11"/>
                    <w:spacing w:val="-5"/>
                    <w:w w:val="112"/>
                    <w:sz w:val="13"/>
                  </w:rPr>
                  <w:t>5</w:t>
                </w:r>
                <w:r>
                  <w:rPr>
                    <w:color w:val="2D2D2D"/>
                    <w:w w:val="136"/>
                    <w:sz w:val="13"/>
                  </w:rPr>
                  <w:t>,</w:t>
                </w:r>
                <w:r>
                  <w:rPr>
                    <w:color w:val="2D2D2D"/>
                    <w:spacing w:val="-14"/>
                    <w:sz w:val="13"/>
                  </w:rPr>
                  <w:t> </w:t>
                </w:r>
                <w:r>
                  <w:rPr>
                    <w:color w:val="0F0F11"/>
                    <w:w w:val="123"/>
                    <w:sz w:val="13"/>
                  </w:rPr>
                  <w:t>1</w:t>
                </w:r>
                <w:r>
                  <w:rPr>
                    <w:color w:val="0F0F11"/>
                    <w:spacing w:val="-6"/>
                    <w:sz w:val="13"/>
                  </w:rPr>
                  <w:t> </w:t>
                </w:r>
                <w:r>
                  <w:rPr>
                    <w:color w:val="0F0F11"/>
                    <w:w w:val="107"/>
                    <w:sz w:val="13"/>
                  </w:rPr>
                  <w:t>Margaret</w:t>
                </w:r>
                <w:r>
                  <w:rPr>
                    <w:color w:val="0F0F11"/>
                    <w:spacing w:val="7"/>
                    <w:sz w:val="13"/>
                  </w:rPr>
                  <w:t> </w:t>
                </w:r>
                <w:r>
                  <w:rPr>
                    <w:color w:val="0F0F11"/>
                    <w:w w:val="109"/>
                    <w:sz w:val="13"/>
                  </w:rPr>
                  <w:t>Street,</w:t>
                </w:r>
                <w:r>
                  <w:rPr>
                    <w:color w:val="0F0F11"/>
                    <w:spacing w:val="3"/>
                    <w:sz w:val="13"/>
                  </w:rPr>
                  <w:t> </w:t>
                </w:r>
                <w:r>
                  <w:rPr>
                    <w:color w:val="0F0F11"/>
                    <w:w w:val="106"/>
                    <w:sz w:val="13"/>
                  </w:rPr>
                  <w:t>Sydney</w:t>
                </w:r>
                <w:r>
                  <w:rPr>
                    <w:color w:val="0F0F11"/>
                    <w:spacing w:val="13"/>
                    <w:sz w:val="13"/>
                  </w:rPr>
                  <w:t> </w:t>
                </w:r>
                <w:r>
                  <w:rPr>
                    <w:b/>
                    <w:color w:val="0F0F11"/>
                    <w:w w:val="102"/>
                    <w:sz w:val="13"/>
                  </w:rPr>
                  <w:t>NSW</w:t>
                </w:r>
                <w:r>
                  <w:rPr>
                    <w:b/>
                    <w:color w:val="0F0F11"/>
                    <w:spacing w:val="6"/>
                    <w:sz w:val="13"/>
                  </w:rPr>
                  <w:t> </w:t>
                </w:r>
                <w:r>
                  <w:rPr>
                    <w:color w:val="0F0F11"/>
                    <w:w w:val="104"/>
                    <w:sz w:val="13"/>
                  </w:rPr>
                  <w:t>2000</w:t>
                </w:r>
                <w:r>
                  <w:rPr>
                    <w:color w:val="0F0F11"/>
                    <w:sz w:val="13"/>
                  </w:rPr>
                  <w:t> </w:t>
                </w:r>
                <w:r>
                  <w:rPr>
                    <w:color w:val="0F0F11"/>
                    <w:spacing w:val="13"/>
                    <w:sz w:val="13"/>
                  </w:rPr>
                  <w:t> </w:t>
                </w:r>
                <w:r>
                  <w:rPr>
                    <w:color w:val="2D2D2D"/>
                    <w:w w:val="77"/>
                    <w:sz w:val="19"/>
                  </w:rPr>
                  <w:t>I</w:t>
                </w:r>
                <w:r>
                  <w:rPr>
                    <w:color w:val="2D2D2D"/>
                    <w:spacing w:val="6"/>
                    <w:sz w:val="19"/>
                  </w:rPr>
                  <w:t> </w:t>
                </w:r>
                <w:r>
                  <w:rPr>
                    <w:color w:val="2D2D2D"/>
                    <w:w w:val="103"/>
                    <w:sz w:val="13"/>
                  </w:rPr>
                  <w:t>G</w:t>
                </w:r>
                <w:r>
                  <w:rPr>
                    <w:color w:val="0F0F11"/>
                    <w:spacing w:val="-6"/>
                    <w:w w:val="105"/>
                    <w:sz w:val="13"/>
                  </w:rPr>
                  <w:t>P</w:t>
                </w:r>
                <w:r>
                  <w:rPr>
                    <w:color w:val="2D2D2D"/>
                    <w:w w:val="99"/>
                    <w:sz w:val="13"/>
                  </w:rPr>
                  <w:t>O</w:t>
                </w:r>
                <w:r>
                  <w:rPr>
                    <w:color w:val="2D2D2D"/>
                    <w:spacing w:val="6"/>
                    <w:sz w:val="13"/>
                  </w:rPr>
                  <w:t> </w:t>
                </w:r>
                <w:r>
                  <w:rPr>
                    <w:color w:val="0F0F11"/>
                    <w:spacing w:val="-7"/>
                    <w:w w:val="106"/>
                    <w:sz w:val="13"/>
                  </w:rPr>
                  <w:t>B</w:t>
                </w:r>
                <w:r>
                  <w:rPr>
                    <w:color w:val="2D2D2D"/>
                    <w:w w:val="99"/>
                    <w:sz w:val="13"/>
                  </w:rPr>
                  <w:t>ox</w:t>
                </w:r>
                <w:r>
                  <w:rPr>
                    <w:color w:val="2D2D2D"/>
                    <w:spacing w:val="13"/>
                    <w:sz w:val="13"/>
                  </w:rPr>
                  <w:t> </w:t>
                </w:r>
                <w:r>
                  <w:rPr>
                    <w:color w:val="0F0F11"/>
                    <w:spacing w:val="-13"/>
                    <w:w w:val="109"/>
                    <w:sz w:val="13"/>
                  </w:rPr>
                  <w:t>1</w:t>
                </w:r>
                <w:r>
                  <w:rPr>
                    <w:color w:val="2D2D2D"/>
                    <w:w w:val="105"/>
                    <w:sz w:val="13"/>
                  </w:rPr>
                  <w:t>2,</w:t>
                </w:r>
                <w:r>
                  <w:rPr>
                    <w:color w:val="2D2D2D"/>
                    <w:spacing w:val="2"/>
                    <w:sz w:val="13"/>
                  </w:rPr>
                  <w:t> </w:t>
                </w:r>
                <w:r>
                  <w:rPr>
                    <w:color w:val="2D2D2D"/>
                    <w:w w:val="103"/>
                    <w:sz w:val="13"/>
                  </w:rPr>
                  <w:t>Sy</w:t>
                </w:r>
                <w:r>
                  <w:rPr>
                    <w:color w:val="2D2D2D"/>
                    <w:spacing w:val="2"/>
                    <w:w w:val="103"/>
                    <w:sz w:val="13"/>
                  </w:rPr>
                  <w:t>d</w:t>
                </w:r>
                <w:r>
                  <w:rPr>
                    <w:color w:val="0F0F11"/>
                    <w:spacing w:val="-3"/>
                    <w:w w:val="102"/>
                    <w:sz w:val="13"/>
                  </w:rPr>
                  <w:t>n</w:t>
                </w:r>
                <w:r>
                  <w:rPr>
                    <w:color w:val="2D2D2D"/>
                    <w:w w:val="96"/>
                    <w:sz w:val="13"/>
                  </w:rPr>
                  <w:t>ey</w:t>
                </w:r>
                <w:r>
                  <w:rPr>
                    <w:color w:val="2D2D2D"/>
                    <w:spacing w:val="3"/>
                    <w:sz w:val="13"/>
                  </w:rPr>
                  <w:t> </w:t>
                </w:r>
                <w:r>
                  <w:rPr>
                    <w:color w:val="0F0F11"/>
                    <w:spacing w:val="-7"/>
                    <w:w w:val="108"/>
                    <w:sz w:val="13"/>
                  </w:rPr>
                  <w:t>N</w:t>
                </w:r>
                <w:r>
                  <w:rPr>
                    <w:color w:val="2D2D2D"/>
                    <w:w w:val="97"/>
                    <w:sz w:val="13"/>
                  </w:rPr>
                  <w:t>SW</w:t>
                </w:r>
                <w:r>
                  <w:rPr>
                    <w:color w:val="2D2D2D"/>
                    <w:spacing w:val="3"/>
                    <w:sz w:val="13"/>
                  </w:rPr>
                  <w:t> </w:t>
                </w:r>
                <w:r>
                  <w:rPr>
                    <w:color w:val="2D2D2D"/>
                    <w:w w:val="104"/>
                    <w:sz w:val="13"/>
                  </w:rPr>
                  <w:t>20</w:t>
                </w:r>
                <w:r>
                  <w:rPr>
                    <w:color w:val="2D2D2D"/>
                    <w:spacing w:val="-3"/>
                    <w:w w:val="104"/>
                    <w:sz w:val="13"/>
                  </w:rPr>
                  <w:t>0</w:t>
                </w:r>
                <w:r>
                  <w:rPr>
                    <w:color w:val="0F0F11"/>
                    <w:spacing w:val="-8"/>
                    <w:w w:val="368"/>
                    <w:sz w:val="13"/>
                  </w:rPr>
                  <w:t>2</w:t>
                </w:r>
                <w:r>
                  <w:rPr>
                    <w:color w:val="0F0F11"/>
                    <w:w w:val="128"/>
                    <w:sz w:val="13"/>
                  </w:rPr>
                  <w:t>t</w:t>
                </w:r>
                <w:r>
                  <w:rPr>
                    <w:color w:val="0F0F11"/>
                    <w:spacing w:val="3"/>
                    <w:sz w:val="13"/>
                  </w:rPr>
                  <w:t> </w:t>
                </w:r>
                <w:r>
                  <w:rPr>
                    <w:color w:val="2D2D2D"/>
                    <w:w w:val="106"/>
                    <w:sz w:val="13"/>
                  </w:rPr>
                  <w:t>02</w:t>
                </w:r>
                <w:r>
                  <w:rPr>
                    <w:color w:val="2D2D2D"/>
                    <w:spacing w:val="1"/>
                    <w:sz w:val="13"/>
                  </w:rPr>
                  <w:t> </w:t>
                </w:r>
                <w:r>
                  <w:rPr>
                    <w:color w:val="2D2D2D"/>
                    <w:w w:val="104"/>
                    <w:sz w:val="13"/>
                  </w:rPr>
                  <w:t>9275</w:t>
                </w:r>
                <w:r>
                  <w:rPr>
                    <w:color w:val="2D2D2D"/>
                    <w:spacing w:val="5"/>
                    <w:sz w:val="13"/>
                  </w:rPr>
                  <w:t> </w:t>
                </w:r>
                <w:r>
                  <w:rPr>
                    <w:color w:val="2D2D2D"/>
                    <w:w w:val="105"/>
                    <w:sz w:val="13"/>
                  </w:rPr>
                  <w:t>71</w:t>
                </w:r>
                <w:r>
                  <w:rPr>
                    <w:color w:val="2D2D2D"/>
                    <w:spacing w:val="10"/>
                    <w:w w:val="105"/>
                    <w:sz w:val="13"/>
                  </w:rPr>
                  <w:t>0</w:t>
                </w:r>
                <w:r>
                  <w:rPr>
                    <w:color w:val="0F0F11"/>
                    <w:w w:val="95"/>
                    <w:sz w:val="13"/>
                  </w:rPr>
                  <w:t>1</w:t>
                </w:r>
                <w:r>
                  <w:rPr>
                    <w:color w:val="0F0F11"/>
                    <w:sz w:val="13"/>
                  </w:rPr>
                  <w:t> </w:t>
                </w:r>
                <w:r>
                  <w:rPr>
                    <w:color w:val="0F0F11"/>
                    <w:spacing w:val="2"/>
                    <w:sz w:val="13"/>
                  </w:rPr>
                  <w:t> </w:t>
                </w:r>
                <w:r>
                  <w:rPr>
                    <w:color w:val="2D2D2D"/>
                    <w:w w:val="77"/>
                    <w:sz w:val="19"/>
                  </w:rPr>
                  <w:t>I</w:t>
                </w:r>
                <w:r>
                  <w:rPr>
                    <w:color w:val="2D2D2D"/>
                    <w:spacing w:val="6"/>
                    <w:sz w:val="19"/>
                  </w:rPr>
                  <w:t> </w:t>
                </w:r>
                <w:r>
                  <w:rPr>
                    <w:color w:val="0F0F11"/>
                    <w:w w:val="107"/>
                    <w:sz w:val="13"/>
                  </w:rPr>
                  <w:t>f</w:t>
                </w:r>
                <w:r>
                  <w:rPr>
                    <w:color w:val="0F0F11"/>
                    <w:spacing w:val="11"/>
                    <w:sz w:val="13"/>
                  </w:rPr>
                  <w:t> </w:t>
                </w:r>
                <w:r>
                  <w:rPr>
                    <w:color w:val="2D2D2D"/>
                    <w:w w:val="102"/>
                    <w:sz w:val="13"/>
                  </w:rPr>
                  <w:t>02</w:t>
                </w:r>
                <w:r>
                  <w:rPr>
                    <w:color w:val="2D2D2D"/>
                    <w:spacing w:val="2"/>
                    <w:sz w:val="13"/>
                  </w:rPr>
                  <w:t> </w:t>
                </w:r>
                <w:r>
                  <w:rPr>
                    <w:color w:val="2D2D2D"/>
                    <w:w w:val="104"/>
                    <w:sz w:val="13"/>
                  </w:rPr>
                  <w:t>9275</w:t>
                </w:r>
                <w:r>
                  <w:rPr>
                    <w:color w:val="2D2D2D"/>
                    <w:spacing w:val="10"/>
                    <w:sz w:val="13"/>
                  </w:rPr>
                  <w:t> </w:t>
                </w:r>
                <w:r>
                  <w:rPr>
                    <w:color w:val="2D2D2D"/>
                    <w:spacing w:val="7"/>
                    <w:w w:val="101"/>
                    <w:sz w:val="13"/>
                  </w:rPr>
                  <w:t>7</w:t>
                </w:r>
                <w:r>
                  <w:rPr>
                    <w:color w:val="0F0F11"/>
                    <w:spacing w:val="-8"/>
                    <w:w w:val="109"/>
                    <w:sz w:val="13"/>
                  </w:rPr>
                  <w:t>1</w:t>
                </w:r>
                <w:r>
                  <w:rPr>
                    <w:color w:val="2D2D2D"/>
                    <w:w w:val="102"/>
                    <w:sz w:val="13"/>
                  </w:rPr>
                  <w:t>79</w:t>
                </w:r>
                <w:r>
                  <w:rPr>
                    <w:color w:val="2D2D2D"/>
                    <w:sz w:val="13"/>
                  </w:rPr>
                  <w:t> </w:t>
                </w:r>
                <w:r>
                  <w:rPr>
                    <w:color w:val="2D2D2D"/>
                    <w:spacing w:val="9"/>
                    <w:sz w:val="13"/>
                  </w:rPr>
                  <w:t> </w:t>
                </w:r>
                <w:r>
                  <w:rPr>
                    <w:color w:val="2D2D2D"/>
                    <w:w w:val="50"/>
                    <w:sz w:val="19"/>
                  </w:rPr>
                  <w:t>I</w:t>
                </w:r>
                <w:r>
                  <w:rPr>
                    <w:color w:val="2D2D2D"/>
                    <w:spacing w:val="21"/>
                    <w:sz w:val="19"/>
                  </w:rPr>
                  <w:t> </w:t>
                </w:r>
                <w:r>
                  <w:rPr>
                    <w:color w:val="0F0F11"/>
                    <w:w w:val="105"/>
                    <w:sz w:val="13"/>
                  </w:rPr>
                  <w:t>e</w:t>
                </w:r>
                <w:r>
                  <w:rPr>
                    <w:color w:val="0F0F11"/>
                    <w:spacing w:val="2"/>
                    <w:sz w:val="13"/>
                  </w:rPr>
                  <w:t> </w:t>
                </w:r>
                <w:hyperlink r:id="rId1">
                  <w:r>
                    <w:rPr>
                      <w:color w:val="0F0F11"/>
                      <w:spacing w:val="-2"/>
                      <w:w w:val="107"/>
                      <w:sz w:val="13"/>
                    </w:rPr>
                    <w:t>m</w:t>
                  </w:r>
                  <w:r>
                    <w:rPr>
                      <w:color w:val="2D2D2D"/>
                      <w:w w:val="92"/>
                      <w:sz w:val="13"/>
                    </w:rPr>
                    <w:t>ai</w:t>
                  </w:r>
                  <w:r>
                    <w:rPr>
                      <w:color w:val="2D2D2D"/>
                      <w:spacing w:val="-1"/>
                      <w:w w:val="92"/>
                      <w:sz w:val="13"/>
                    </w:rPr>
                    <w:t>l</w:t>
                  </w:r>
                  <w:r>
                    <w:rPr>
                      <w:color w:val="4B4B4B"/>
                      <w:spacing w:val="2"/>
                      <w:w w:val="81"/>
                      <w:sz w:val="13"/>
                    </w:rPr>
                    <w:t>@</w:t>
                  </w:r>
                  <w:r>
                    <w:rPr>
                      <w:color w:val="2D2D2D"/>
                      <w:w w:val="100"/>
                      <w:sz w:val="13"/>
                    </w:rPr>
                    <w:t>audit</w:t>
                  </w:r>
                  <w:r>
                    <w:rPr>
                      <w:color w:val="2D2D2D"/>
                      <w:spacing w:val="10"/>
                      <w:w w:val="100"/>
                      <w:sz w:val="13"/>
                    </w:rPr>
                    <w:t>.</w:t>
                  </w:r>
                  <w:r>
                    <w:rPr>
                      <w:color w:val="0F0F11"/>
                      <w:spacing w:val="-3"/>
                      <w:w w:val="102"/>
                      <w:sz w:val="13"/>
                    </w:rPr>
                    <w:t>n</w:t>
                  </w:r>
                  <w:r>
                    <w:rPr>
                      <w:color w:val="2D2D2D"/>
                      <w:spacing w:val="-4"/>
                      <w:w w:val="101"/>
                      <w:sz w:val="13"/>
                    </w:rPr>
                    <w:t>s</w:t>
                  </w:r>
                  <w:r>
                    <w:rPr>
                      <w:color w:val="4B4B4B"/>
                      <w:spacing w:val="9"/>
                      <w:w w:val="101"/>
                      <w:sz w:val="13"/>
                    </w:rPr>
                    <w:t>w</w:t>
                  </w:r>
                  <w:r>
                    <w:rPr>
                      <w:color w:val="0F0F11"/>
                      <w:spacing w:val="-11"/>
                      <w:w w:val="108"/>
                      <w:sz w:val="13"/>
                    </w:rPr>
                    <w:t>.</w:t>
                  </w:r>
                  <w:r>
                    <w:rPr>
                      <w:color w:val="2D2D2D"/>
                      <w:w w:val="103"/>
                      <w:sz w:val="13"/>
                    </w:rPr>
                    <w:t>g</w:t>
                  </w:r>
                  <w:r>
                    <w:rPr>
                      <w:color w:val="2D2D2D"/>
                      <w:spacing w:val="-2"/>
                      <w:w w:val="103"/>
                      <w:sz w:val="13"/>
                    </w:rPr>
                    <w:t>o</w:t>
                  </w:r>
                  <w:r>
                    <w:rPr>
                      <w:color w:val="4B4B4B"/>
                      <w:w w:val="84"/>
                      <w:sz w:val="13"/>
                    </w:rPr>
                    <w:t>v</w:t>
                  </w:r>
                  <w:r>
                    <w:rPr>
                      <w:color w:val="4B4B4B"/>
                      <w:spacing w:val="5"/>
                      <w:w w:val="84"/>
                      <w:sz w:val="13"/>
                    </w:rPr>
                    <w:t>.</w:t>
                  </w:r>
                  <w:r>
                    <w:rPr>
                      <w:color w:val="2D2D2D"/>
                      <w:w w:val="96"/>
                      <w:sz w:val="13"/>
                    </w:rPr>
                    <w:t>au</w:t>
                  </w:r>
                </w:hyperlink>
                <w:r>
                  <w:rPr>
                    <w:color w:val="2D2D2D"/>
                    <w:sz w:val="13"/>
                  </w:rPr>
                  <w:t> </w:t>
                </w:r>
                <w:r>
                  <w:rPr>
                    <w:color w:val="2D2D2D"/>
                    <w:spacing w:val="8"/>
                    <w:sz w:val="13"/>
                  </w:rPr>
                  <w:t> </w:t>
                </w:r>
                <w:r>
                  <w:rPr>
                    <w:color w:val="2D2D2D"/>
                    <w:w w:val="50"/>
                    <w:sz w:val="19"/>
                  </w:rPr>
                  <w:t>I</w:t>
                </w:r>
                <w:r>
                  <w:rPr>
                    <w:color w:val="2D2D2D"/>
                    <w:spacing w:val="21"/>
                    <w:sz w:val="19"/>
                  </w:rPr>
                  <w:t> </w:t>
                </w:r>
                <w:r>
                  <w:rPr>
                    <w:color w:val="0F0F11"/>
                    <w:w w:val="106"/>
                    <w:sz w:val="13"/>
                  </w:rPr>
                  <w:t>audit.nsw.gov.au</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313538pt;width:17.4pt;height:10.35pt;mso-position-horizontal-relative:page;mso-position-vertical-relative:page;z-index:-1310392" type="#_x0000_t202" filled="false" stroked="false">
          <v:textbox inset="0,0,0,0">
            <w:txbxContent>
              <w:p>
                <w:pPr>
                  <w:spacing w:line="184" w:lineRule="exact" w:before="0"/>
                  <w:ind w:left="41" w:right="0" w:firstLine="0"/>
                  <w:jc w:val="left"/>
                  <w:rPr>
                    <w:sz w:val="16"/>
                  </w:rPr>
                </w:pPr>
                <w:r>
                  <w:rPr/>
                  <w:fldChar w:fldCharType="begin"/>
                </w:r>
                <w:r>
                  <w:rPr>
                    <w:sz w:val="16"/>
                  </w:rPr>
                  <w:instrText> PAGE </w:instrText>
                </w:r>
                <w:r>
                  <w:rPr/>
                  <w:fldChar w:fldCharType="separate"/>
                </w:r>
                <w:r>
                  <w:rPr/>
                  <w:t>252</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85992pt;margin-top:805.553528pt;width:17.350pt;height:10pt;mso-position-horizontal-relative:page;mso-position-vertical-relative:page;z-index:-131036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252</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31034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253</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384979pt;margin-top:805.633545pt;width:8.450pt;height:10pt;mso-position-horizontal-relative:page;mso-position-vertical-relative:page;z-index:-131300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8</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25977pt;margin-top:806.033569pt;width:15.35pt;height:10pt;mso-position-horizontal-relative:page;mso-position-vertical-relative:page;z-index:-1310296" type="#_x0000_t202" filled="false" stroked="false">
          <v:textbox inset="0,0,0,0">
            <w:txbxContent>
              <w:p>
                <w:pPr>
                  <w:spacing w:line="184" w:lineRule="exact" w:before="0"/>
                  <w:ind w:left="20" w:right="0" w:firstLine="0"/>
                  <w:jc w:val="left"/>
                  <w:rPr>
                    <w:sz w:val="16"/>
                  </w:rPr>
                </w:pPr>
                <w:r>
                  <w:rPr>
                    <w:sz w:val="16"/>
                  </w:rPr>
                  <w:t>258</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160011pt;margin-top:799.54718pt;width:511.65pt;height:17.45pt;mso-position-horizontal-relative:page;mso-position-vertical-relative:page;z-index:-1310272" type="#_x0000_t202" filled="false" stroked="false">
          <v:textbox inset="0,0,0,0">
            <w:txbxContent>
              <w:p>
                <w:pPr>
                  <w:spacing w:line="339" w:lineRule="exact" w:before="0"/>
                  <w:ind w:left="20" w:right="0" w:firstLine="0"/>
                  <w:jc w:val="left"/>
                  <w:rPr>
                    <w:sz w:val="13"/>
                  </w:rPr>
                </w:pPr>
                <w:r>
                  <w:rPr>
                    <w:color w:val="110F11"/>
                    <w:w w:val="105"/>
                    <w:sz w:val="13"/>
                  </w:rPr>
                  <w:t>Level</w:t>
                </w:r>
                <w:r>
                  <w:rPr>
                    <w:color w:val="110F11"/>
                    <w:spacing w:val="4"/>
                    <w:sz w:val="13"/>
                  </w:rPr>
                  <w:t> </w:t>
                </w:r>
                <w:r>
                  <w:rPr>
                    <w:color w:val="110F11"/>
                    <w:w w:val="112"/>
                    <w:sz w:val="13"/>
                  </w:rPr>
                  <w:t>15,</w:t>
                </w:r>
                <w:r>
                  <w:rPr>
                    <w:color w:val="110F11"/>
                    <w:spacing w:val="-5"/>
                    <w:sz w:val="13"/>
                  </w:rPr>
                  <w:t> </w:t>
                </w:r>
                <w:r>
                  <w:rPr>
                    <w:color w:val="110F11"/>
                    <w:w w:val="109"/>
                    <w:sz w:val="13"/>
                  </w:rPr>
                  <w:t>1</w:t>
                </w:r>
                <w:r>
                  <w:rPr>
                    <w:color w:val="110F11"/>
                    <w:spacing w:val="-1"/>
                    <w:sz w:val="13"/>
                  </w:rPr>
                  <w:t> </w:t>
                </w:r>
                <w:r>
                  <w:rPr>
                    <w:color w:val="110F11"/>
                    <w:w w:val="111"/>
                    <w:sz w:val="13"/>
                  </w:rPr>
                  <w:t>Mar</w:t>
                </w:r>
                <w:r>
                  <w:rPr>
                    <w:color w:val="110F11"/>
                    <w:spacing w:val="-6"/>
                    <w:w w:val="111"/>
                    <w:sz w:val="13"/>
                  </w:rPr>
                  <w:t>g</w:t>
                </w:r>
                <w:r>
                  <w:rPr>
                    <w:color w:val="2D2D2D"/>
                    <w:spacing w:val="-1"/>
                    <w:w w:val="113"/>
                    <w:sz w:val="13"/>
                  </w:rPr>
                  <w:t>a</w:t>
                </w:r>
                <w:r>
                  <w:rPr>
                    <w:color w:val="110F11"/>
                    <w:w w:val="108"/>
                    <w:sz w:val="13"/>
                  </w:rPr>
                  <w:t>ret</w:t>
                </w:r>
                <w:r>
                  <w:rPr>
                    <w:color w:val="110F11"/>
                    <w:spacing w:val="5"/>
                    <w:sz w:val="13"/>
                  </w:rPr>
                  <w:t> </w:t>
                </w:r>
                <w:r>
                  <w:rPr>
                    <w:color w:val="110F11"/>
                    <w:w w:val="107"/>
                    <w:sz w:val="13"/>
                  </w:rPr>
                  <w:t>Stree</w:t>
                </w:r>
                <w:r>
                  <w:rPr>
                    <w:color w:val="110F11"/>
                    <w:spacing w:val="9"/>
                    <w:w w:val="107"/>
                    <w:sz w:val="13"/>
                  </w:rPr>
                  <w:t>t</w:t>
                </w:r>
                <w:r>
                  <w:rPr>
                    <w:color w:val="2D2D2D"/>
                    <w:w w:val="136"/>
                    <w:sz w:val="13"/>
                  </w:rPr>
                  <w:t>,</w:t>
                </w:r>
                <w:r>
                  <w:rPr>
                    <w:color w:val="2D2D2D"/>
                    <w:spacing w:val="-14"/>
                    <w:sz w:val="13"/>
                  </w:rPr>
                  <w:t> </w:t>
                </w:r>
                <w:r>
                  <w:rPr>
                    <w:color w:val="110F11"/>
                    <w:w w:val="106"/>
                    <w:sz w:val="13"/>
                  </w:rPr>
                  <w:t>Sydney</w:t>
                </w:r>
                <w:r>
                  <w:rPr>
                    <w:color w:val="110F11"/>
                    <w:spacing w:val="13"/>
                    <w:sz w:val="13"/>
                  </w:rPr>
                  <w:t> </w:t>
                </w:r>
                <w:r>
                  <w:rPr>
                    <w:b/>
                    <w:color w:val="110F11"/>
                    <w:w w:val="103"/>
                    <w:sz w:val="13"/>
                  </w:rPr>
                  <w:t>NSW</w:t>
                </w:r>
                <w:r>
                  <w:rPr>
                    <w:b/>
                    <w:color w:val="110F11"/>
                    <w:spacing w:val="3"/>
                    <w:sz w:val="13"/>
                  </w:rPr>
                  <w:t> </w:t>
                </w:r>
                <w:r>
                  <w:rPr>
                    <w:color w:val="110F11"/>
                    <w:w w:val="104"/>
                    <w:sz w:val="13"/>
                  </w:rPr>
                  <w:t>2000</w:t>
                </w:r>
                <w:r>
                  <w:rPr>
                    <w:color w:val="110F11"/>
                    <w:sz w:val="13"/>
                  </w:rPr>
                  <w:t> </w:t>
                </w:r>
                <w:r>
                  <w:rPr>
                    <w:color w:val="110F11"/>
                    <w:spacing w:val="13"/>
                    <w:sz w:val="13"/>
                  </w:rPr>
                  <w:t> </w:t>
                </w:r>
                <w:r>
                  <w:rPr>
                    <w:color w:val="2D2D2D"/>
                    <w:w w:val="81"/>
                    <w:sz w:val="18"/>
                  </w:rPr>
                  <w:t>I</w:t>
                </w:r>
                <w:r>
                  <w:rPr>
                    <w:color w:val="2D2D2D"/>
                    <w:spacing w:val="9"/>
                    <w:sz w:val="18"/>
                  </w:rPr>
                  <w:t> </w:t>
                </w:r>
                <w:r>
                  <w:rPr>
                    <w:color w:val="2D2D2D"/>
                    <w:w w:val="103"/>
                    <w:sz w:val="13"/>
                  </w:rPr>
                  <w:t>G</w:t>
                </w:r>
                <w:r>
                  <w:rPr>
                    <w:color w:val="110F11"/>
                    <w:spacing w:val="-6"/>
                    <w:w w:val="105"/>
                    <w:sz w:val="13"/>
                  </w:rPr>
                  <w:t>P</w:t>
                </w:r>
                <w:r>
                  <w:rPr>
                    <w:color w:val="2D2D2D"/>
                    <w:w w:val="99"/>
                    <w:sz w:val="13"/>
                  </w:rPr>
                  <w:t>O</w:t>
                </w:r>
                <w:r>
                  <w:rPr>
                    <w:color w:val="2D2D2D"/>
                    <w:spacing w:val="6"/>
                    <w:sz w:val="13"/>
                  </w:rPr>
                  <w:t> </w:t>
                </w:r>
                <w:r>
                  <w:rPr>
                    <w:color w:val="110F11"/>
                    <w:spacing w:val="-7"/>
                    <w:w w:val="106"/>
                    <w:sz w:val="13"/>
                  </w:rPr>
                  <w:t>B</w:t>
                </w:r>
                <w:r>
                  <w:rPr>
                    <w:color w:val="2D2D2D"/>
                    <w:w w:val="99"/>
                    <w:sz w:val="13"/>
                  </w:rPr>
                  <w:t>ox</w:t>
                </w:r>
                <w:r>
                  <w:rPr>
                    <w:color w:val="2D2D2D"/>
                    <w:spacing w:val="13"/>
                    <w:sz w:val="13"/>
                  </w:rPr>
                  <w:t> </w:t>
                </w:r>
                <w:r>
                  <w:rPr>
                    <w:color w:val="110F11"/>
                    <w:spacing w:val="-8"/>
                    <w:w w:val="109"/>
                    <w:sz w:val="13"/>
                  </w:rPr>
                  <w:t>1</w:t>
                </w:r>
                <w:r>
                  <w:rPr>
                    <w:color w:val="2D2D2D"/>
                    <w:w w:val="100"/>
                    <w:sz w:val="13"/>
                  </w:rPr>
                  <w:t>2,</w:t>
                </w:r>
                <w:r>
                  <w:rPr>
                    <w:color w:val="2D2D2D"/>
                    <w:spacing w:val="3"/>
                    <w:sz w:val="13"/>
                  </w:rPr>
                  <w:t> </w:t>
                </w:r>
                <w:r>
                  <w:rPr>
                    <w:color w:val="2D2D2D"/>
                    <w:w w:val="103"/>
                    <w:sz w:val="13"/>
                  </w:rPr>
                  <w:t>Sy</w:t>
                </w:r>
                <w:r>
                  <w:rPr>
                    <w:color w:val="2D2D2D"/>
                    <w:spacing w:val="2"/>
                    <w:w w:val="103"/>
                    <w:sz w:val="13"/>
                  </w:rPr>
                  <w:t>d</w:t>
                </w:r>
                <w:r>
                  <w:rPr>
                    <w:color w:val="110F11"/>
                    <w:spacing w:val="-9"/>
                    <w:w w:val="111"/>
                    <w:sz w:val="13"/>
                  </w:rPr>
                  <w:t>n</w:t>
                </w:r>
                <w:r>
                  <w:rPr>
                    <w:color w:val="2D2D2D"/>
                    <w:w w:val="96"/>
                    <w:sz w:val="13"/>
                  </w:rPr>
                  <w:t>ey</w:t>
                </w:r>
                <w:r>
                  <w:rPr>
                    <w:color w:val="2D2D2D"/>
                    <w:spacing w:val="8"/>
                    <w:sz w:val="13"/>
                  </w:rPr>
                  <w:t> </w:t>
                </w:r>
                <w:r>
                  <w:rPr>
                    <w:color w:val="2D2D2D"/>
                    <w:w w:val="101"/>
                    <w:sz w:val="13"/>
                  </w:rPr>
                  <w:t>NSW</w:t>
                </w:r>
                <w:r>
                  <w:rPr>
                    <w:color w:val="2D2D2D"/>
                    <w:sz w:val="13"/>
                  </w:rPr>
                  <w:t> </w:t>
                </w:r>
                <w:r>
                  <w:rPr>
                    <w:color w:val="2D2D2D"/>
                    <w:w w:val="104"/>
                    <w:sz w:val="13"/>
                  </w:rPr>
                  <w:t>20</w:t>
                </w:r>
                <w:r>
                  <w:rPr>
                    <w:color w:val="2D2D2D"/>
                    <w:spacing w:val="7"/>
                    <w:w w:val="104"/>
                    <w:sz w:val="13"/>
                  </w:rPr>
                  <w:t>0</w:t>
                </w:r>
                <w:r>
                  <w:rPr>
                    <w:rFonts w:ascii="Times New Roman"/>
                    <w:color w:val="110F11"/>
                    <w:w w:val="63"/>
                    <w:position w:val="-10"/>
                    <w:sz w:val="29"/>
                  </w:rPr>
                  <w:t>25</w:t>
                </w:r>
                <w:r>
                  <w:rPr>
                    <w:rFonts w:ascii="Times New Roman"/>
                    <w:color w:val="110F11"/>
                    <w:spacing w:val="-25"/>
                    <w:w w:val="63"/>
                    <w:position w:val="-10"/>
                    <w:sz w:val="29"/>
                  </w:rPr>
                  <w:t>9</w:t>
                </w:r>
                <w:r>
                  <w:rPr>
                    <w:color w:val="110F11"/>
                    <w:w w:val="128"/>
                    <w:sz w:val="13"/>
                  </w:rPr>
                  <w:t>t</w:t>
                </w:r>
                <w:r>
                  <w:rPr>
                    <w:color w:val="110F11"/>
                    <w:spacing w:val="3"/>
                    <w:sz w:val="13"/>
                  </w:rPr>
                  <w:t> </w:t>
                </w:r>
                <w:r>
                  <w:rPr>
                    <w:color w:val="2D2D2D"/>
                    <w:w w:val="102"/>
                    <w:sz w:val="13"/>
                  </w:rPr>
                  <w:t>02</w:t>
                </w:r>
                <w:r>
                  <w:rPr>
                    <w:color w:val="2D2D2D"/>
                    <w:spacing w:val="7"/>
                    <w:sz w:val="13"/>
                  </w:rPr>
                  <w:t> </w:t>
                </w:r>
                <w:r>
                  <w:rPr>
                    <w:color w:val="2D2D2D"/>
                    <w:w w:val="102"/>
                    <w:sz w:val="13"/>
                  </w:rPr>
                  <w:t>9275</w:t>
                </w:r>
                <w:r>
                  <w:rPr>
                    <w:color w:val="2D2D2D"/>
                    <w:spacing w:val="11"/>
                    <w:sz w:val="13"/>
                  </w:rPr>
                  <w:t> </w:t>
                </w:r>
                <w:r>
                  <w:rPr>
                    <w:color w:val="2D2D2D"/>
                    <w:w w:val="101"/>
                    <w:sz w:val="13"/>
                  </w:rPr>
                  <w:t>7101</w:t>
                </w:r>
                <w:r>
                  <w:rPr>
                    <w:color w:val="2D2D2D"/>
                    <w:sz w:val="13"/>
                  </w:rPr>
                  <w:t> </w:t>
                </w:r>
                <w:r>
                  <w:rPr>
                    <w:color w:val="2D2D2D"/>
                    <w:spacing w:val="16"/>
                    <w:sz w:val="13"/>
                  </w:rPr>
                  <w:t> </w:t>
                </w:r>
                <w:r>
                  <w:rPr>
                    <w:color w:val="110F11"/>
                    <w:w w:val="53"/>
                    <w:sz w:val="18"/>
                  </w:rPr>
                  <w:t>I</w:t>
                </w:r>
                <w:r>
                  <w:rPr>
                    <w:color w:val="110F11"/>
                    <w:spacing w:val="23"/>
                    <w:sz w:val="18"/>
                  </w:rPr>
                  <w:t> </w:t>
                </w:r>
                <w:r>
                  <w:rPr>
                    <w:color w:val="110F11"/>
                    <w:w w:val="103"/>
                    <w:sz w:val="12"/>
                  </w:rPr>
                  <w:t>f</w:t>
                </w:r>
                <w:r>
                  <w:rPr>
                    <w:color w:val="110F11"/>
                    <w:spacing w:val="13"/>
                    <w:sz w:val="12"/>
                  </w:rPr>
                  <w:t> </w:t>
                </w:r>
                <w:r>
                  <w:rPr>
                    <w:color w:val="2D2D2D"/>
                    <w:w w:val="102"/>
                    <w:sz w:val="13"/>
                  </w:rPr>
                  <w:t>02</w:t>
                </w:r>
                <w:r>
                  <w:rPr>
                    <w:color w:val="2D2D2D"/>
                    <w:spacing w:val="2"/>
                    <w:sz w:val="13"/>
                  </w:rPr>
                  <w:t> </w:t>
                </w:r>
                <w:r>
                  <w:rPr>
                    <w:color w:val="2D2D2D"/>
                    <w:w w:val="104"/>
                    <w:sz w:val="13"/>
                  </w:rPr>
                  <w:t>9275</w:t>
                </w:r>
                <w:r>
                  <w:rPr>
                    <w:color w:val="2D2D2D"/>
                    <w:spacing w:val="5"/>
                    <w:sz w:val="13"/>
                  </w:rPr>
                  <w:t> </w:t>
                </w:r>
                <w:r>
                  <w:rPr>
                    <w:color w:val="2D2D2D"/>
                    <w:spacing w:val="6"/>
                    <w:w w:val="109"/>
                    <w:sz w:val="13"/>
                  </w:rPr>
                  <w:t>7</w:t>
                </w:r>
                <w:r>
                  <w:rPr>
                    <w:color w:val="110F11"/>
                    <w:spacing w:val="2"/>
                    <w:w w:val="95"/>
                    <w:sz w:val="13"/>
                  </w:rPr>
                  <w:t>1</w:t>
                </w:r>
                <w:r>
                  <w:rPr>
                    <w:color w:val="2D2D2D"/>
                    <w:w w:val="102"/>
                    <w:sz w:val="13"/>
                  </w:rPr>
                  <w:t>79</w:t>
                </w:r>
                <w:r>
                  <w:rPr>
                    <w:color w:val="2D2D2D"/>
                    <w:sz w:val="13"/>
                  </w:rPr>
                  <w:t> </w:t>
                </w:r>
                <w:r>
                  <w:rPr>
                    <w:color w:val="2D2D2D"/>
                    <w:spacing w:val="9"/>
                    <w:sz w:val="13"/>
                  </w:rPr>
                  <w:t> </w:t>
                </w:r>
                <w:r>
                  <w:rPr>
                    <w:color w:val="2D2D2D"/>
                    <w:w w:val="53"/>
                    <w:sz w:val="18"/>
                  </w:rPr>
                  <w:t>I</w:t>
                </w:r>
                <w:r>
                  <w:rPr>
                    <w:color w:val="2D2D2D"/>
                    <w:spacing w:val="23"/>
                    <w:sz w:val="18"/>
                  </w:rPr>
                  <w:t> </w:t>
                </w:r>
                <w:r>
                  <w:rPr>
                    <w:color w:val="110F11"/>
                    <w:w w:val="105"/>
                    <w:sz w:val="13"/>
                  </w:rPr>
                  <w:t>e</w:t>
                </w:r>
                <w:r>
                  <w:rPr>
                    <w:color w:val="110F11"/>
                    <w:spacing w:val="2"/>
                    <w:sz w:val="13"/>
                  </w:rPr>
                  <w:t> </w:t>
                </w:r>
                <w:hyperlink r:id="rId1">
                  <w:r>
                    <w:rPr>
                      <w:color w:val="2D2D2D"/>
                      <w:w w:val="95"/>
                      <w:sz w:val="13"/>
                    </w:rPr>
                    <w:t>mail@aud</w:t>
                  </w:r>
                  <w:r>
                    <w:rPr>
                      <w:color w:val="2D2D2D"/>
                      <w:spacing w:val="3"/>
                      <w:w w:val="95"/>
                      <w:sz w:val="13"/>
                    </w:rPr>
                    <w:t>i</w:t>
                  </w:r>
                  <w:r>
                    <w:rPr>
                      <w:color w:val="110F11"/>
                      <w:w w:val="103"/>
                      <w:sz w:val="13"/>
                    </w:rPr>
                    <w:t>t</w:t>
                  </w:r>
                  <w:r>
                    <w:rPr>
                      <w:color w:val="110F11"/>
                      <w:spacing w:val="6"/>
                      <w:w w:val="103"/>
                      <w:sz w:val="13"/>
                    </w:rPr>
                    <w:t>.</w:t>
                  </w:r>
                  <w:r>
                    <w:rPr>
                      <w:color w:val="2D2D2D"/>
                      <w:w w:val="98"/>
                      <w:sz w:val="13"/>
                    </w:rPr>
                    <w:t>nsw.gov.au</w:t>
                  </w:r>
                </w:hyperlink>
                <w:r>
                  <w:rPr>
                    <w:color w:val="2D2D2D"/>
                    <w:sz w:val="13"/>
                  </w:rPr>
                  <w:t> </w:t>
                </w:r>
                <w:r>
                  <w:rPr>
                    <w:color w:val="2D2D2D"/>
                    <w:spacing w:val="11"/>
                    <w:sz w:val="13"/>
                  </w:rPr>
                  <w:t> </w:t>
                </w:r>
                <w:r>
                  <w:rPr>
                    <w:color w:val="110F11"/>
                    <w:w w:val="81"/>
                    <w:sz w:val="18"/>
                  </w:rPr>
                  <w:t>I</w:t>
                </w:r>
                <w:r>
                  <w:rPr>
                    <w:color w:val="110F11"/>
                    <w:spacing w:val="14"/>
                    <w:sz w:val="18"/>
                  </w:rPr>
                  <w:t> </w:t>
                </w:r>
                <w:r>
                  <w:rPr>
                    <w:color w:val="110F11"/>
                    <w:w w:val="107"/>
                    <w:sz w:val="13"/>
                  </w:rPr>
                  <w:t>audit.ns</w:t>
                </w:r>
                <w:r>
                  <w:rPr>
                    <w:color w:val="110F11"/>
                    <w:spacing w:val="12"/>
                    <w:w w:val="107"/>
                    <w:sz w:val="13"/>
                  </w:rPr>
                  <w:t>w</w:t>
                </w:r>
                <w:r>
                  <w:rPr>
                    <w:color w:val="2D2D2D"/>
                    <w:spacing w:val="-19"/>
                    <w:w w:val="145"/>
                    <w:sz w:val="13"/>
                  </w:rPr>
                  <w:t>.</w:t>
                </w:r>
                <w:r>
                  <w:rPr>
                    <w:color w:val="110F11"/>
                    <w:w w:val="108"/>
                    <w:sz w:val="13"/>
                  </w:rPr>
                  <w:t>go</w:t>
                </w:r>
                <w:r>
                  <w:rPr>
                    <w:color w:val="110F11"/>
                    <w:spacing w:val="-3"/>
                    <w:w w:val="108"/>
                    <w:sz w:val="13"/>
                  </w:rPr>
                  <w:t>v</w:t>
                </w:r>
                <w:r>
                  <w:rPr>
                    <w:color w:val="2D2D2D"/>
                    <w:spacing w:val="-33"/>
                    <w:w w:val="182"/>
                    <w:sz w:val="13"/>
                  </w:rPr>
                  <w:t>.</w:t>
                </w:r>
                <w:r>
                  <w:rPr>
                    <w:color w:val="110F11"/>
                    <w:w w:val="107"/>
                    <w:sz w:val="13"/>
                  </w:rPr>
                  <w:t>au</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2.12207pt;width:18.350pt;height:13.7pt;mso-position-horizontal-relative:page;mso-position-vertical-relative:page;z-index:-1310248" type="#_x0000_t202" filled="false" stroked="false">
          <v:textbox inset="0,0,0,0">
            <w:txbxContent>
              <w:p>
                <w:pPr>
                  <w:spacing w:before="61"/>
                  <w:ind w:left="43" w:right="0" w:firstLine="0"/>
                  <w:jc w:val="left"/>
                  <w:rPr>
                    <w:rFonts w:ascii="Times New Roman"/>
                    <w:sz w:val="17"/>
                  </w:rPr>
                </w:pPr>
                <w:r>
                  <w:rPr/>
                  <w:fldChar w:fldCharType="begin"/>
                </w:r>
                <w:r>
                  <w:rPr>
                    <w:rFonts w:ascii="Times New Roman"/>
                    <w:color w:val="0F0F11"/>
                    <w:sz w:val="17"/>
                  </w:rPr>
                  <w:instrText> PAGE </w:instrText>
                </w:r>
                <w:r>
                  <w:rPr/>
                  <w:fldChar w:fldCharType="separate"/>
                </w:r>
                <w:r>
                  <w:rPr/>
                  <w:t>260</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705627pt;margin-top:802.12207pt;width:16.55pt;height:10pt;mso-position-horizontal-relative:page;mso-position-vertical-relative:page;z-index:-1310224" type="#_x0000_t202" filled="false" stroked="false">
          <v:textbox inset="0,0,0,0">
            <w:txbxContent>
              <w:p>
                <w:pPr>
                  <w:spacing w:line="184" w:lineRule="exact" w:before="0"/>
                  <w:ind w:left="40" w:right="0" w:firstLine="0"/>
                  <w:jc w:val="left"/>
                  <w:rPr>
                    <w:sz w:val="16"/>
                  </w:rPr>
                </w:pPr>
                <w:r>
                  <w:rPr/>
                  <w:fldChar w:fldCharType="begin"/>
                </w:r>
                <w:r>
                  <w:rPr>
                    <w:color w:val="111113"/>
                    <w:sz w:val="16"/>
                  </w:rPr>
                  <w:instrText> PAGE </w:instrText>
                </w:r>
                <w:r>
                  <w:rPr/>
                  <w:fldChar w:fldCharType="separate"/>
                </w:r>
                <w:r>
                  <w:rPr/>
                  <w:t>261</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25977pt;margin-top:806.033569pt;width:17.350pt;height:10pt;mso-position-horizontal-relative:page;mso-position-vertical-relative:page;z-index:-131017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270</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25977pt;margin-top:806.033569pt;width:17.350pt;height:10pt;mso-position-horizontal-relative:page;mso-position-vertical-relative:page;z-index:-131015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271</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25977pt;margin-top:806.033569pt;width:17.350pt;height:10pt;mso-position-horizontal-relative:page;mso-position-vertical-relative:page;z-index:-131012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272</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62494pt;margin-top:805.985779pt;width:18.95pt;height:11pt;mso-position-horizontal-relative:page;mso-position-vertical-relative:page;z-index:-1310104" type="#_x0000_t202" filled="false" stroked="false">
          <v:textbox inset="0,0,0,0">
            <w:txbxContent>
              <w:p>
                <w:pPr>
                  <w:pStyle w:val="BodyText"/>
                  <w:spacing w:before="2"/>
                  <w:ind w:left="45"/>
                  <w:rPr>
                    <w:rFonts w:ascii="Courier New"/>
                  </w:rPr>
                </w:pPr>
                <w:r>
                  <w:rPr/>
                  <w:fldChar w:fldCharType="begin"/>
                </w:r>
                <w:r>
                  <w:rPr>
                    <w:rFonts w:ascii="Courier New"/>
                    <w:w w:val="95"/>
                  </w:rPr>
                  <w:instrText> PAGE </w:instrText>
                </w:r>
                <w:r>
                  <w:rPr/>
                  <w:fldChar w:fldCharType="separate"/>
                </w:r>
                <w:r>
                  <w:rPr/>
                  <w:t>274</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239990pt;margin-top:805.985779pt;width:18.7pt;height:11pt;mso-position-horizontal-relative:page;mso-position-vertical-relative:page;z-index:-1310080" type="#_x0000_t202" filled="false" stroked="false">
          <v:textbox inset="0,0,0,0">
            <w:txbxContent>
              <w:p>
                <w:pPr>
                  <w:pStyle w:val="BodyText"/>
                  <w:spacing w:before="2"/>
                  <w:ind w:left="40"/>
                  <w:rPr>
                    <w:rFonts w:ascii="Courier New"/>
                  </w:rPr>
                </w:pPr>
                <w:r>
                  <w:rPr/>
                  <w:fldChar w:fldCharType="begin"/>
                </w:r>
                <w:r>
                  <w:rPr>
                    <w:rFonts w:ascii="Courier New"/>
                    <w:w w:val="95"/>
                  </w:rPr>
                  <w:instrText> PAGE </w:instrText>
                </w:r>
                <w:r>
                  <w:rPr/>
                  <w:fldChar w:fldCharType="separate"/>
                </w:r>
                <w:r>
                  <w:rPr/>
                  <w:t>274</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25977pt;margin-top:806.033569pt;width:15.35pt;height:10pt;mso-position-horizontal-relative:page;mso-position-vertical-relative:page;z-index:-1310032" type="#_x0000_t202" filled="false" stroked="false">
          <v:textbox inset="0,0,0,0">
            <w:txbxContent>
              <w:p>
                <w:pPr>
                  <w:spacing w:line="184" w:lineRule="exact" w:before="0"/>
                  <w:ind w:left="20" w:right="0" w:firstLine="0"/>
                  <w:jc w:val="left"/>
                  <w:rPr>
                    <w:sz w:val="16"/>
                  </w:rPr>
                </w:pPr>
                <w:r>
                  <w:rPr>
                    <w:sz w:val="16"/>
                  </w:rPr>
                  <w:t>290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160492pt;margin-top:805.633545pt;width:10.9pt;height:10pt;mso-position-horizontal-relative:page;mso-position-vertical-relative:page;z-index:-1312648" type="#_x0000_t202" filled="false" stroked="false">
          <v:textbox inset="0,0,0,0">
            <w:txbxContent>
              <w:p>
                <w:pPr>
                  <w:spacing w:line="184" w:lineRule="exact" w:before="0"/>
                  <w:ind w:left="20" w:right="0" w:firstLine="0"/>
                  <w:jc w:val="left"/>
                  <w:rPr>
                    <w:sz w:val="16"/>
                  </w:rPr>
                </w:pPr>
                <w:r>
                  <w:rPr>
                    <w:sz w:val="16"/>
                  </w:rPr>
                  <w:t>10</w:t>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553528pt;width:17.4pt;height:10pt;mso-position-horizontal-relative:page;mso-position-vertical-relative:page;z-index:-1310008" type="#_x0000_t202" filled="false" stroked="false">
          <v:textbox inset="0,0,0,0">
            <w:txbxContent>
              <w:p>
                <w:pPr>
                  <w:spacing w:line="184" w:lineRule="exact" w:before="0"/>
                  <w:ind w:left="41" w:right="0" w:firstLine="0"/>
                  <w:jc w:val="left"/>
                  <w:rPr>
                    <w:sz w:val="16"/>
                  </w:rPr>
                </w:pPr>
                <w:r>
                  <w:rPr/>
                  <w:fldChar w:fldCharType="begin"/>
                </w:r>
                <w:r>
                  <w:rPr>
                    <w:sz w:val="16"/>
                  </w:rPr>
                  <w:instrText> PAGE </w:instrText>
                </w:r>
                <w:r>
                  <w:rPr/>
                  <w:fldChar w:fldCharType="separate"/>
                </w:r>
                <w:r>
                  <w:rPr/>
                  <w:t>291</w:t>
                </w:r>
                <w:r>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30998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292</w:t>
                </w:r>
                <w:r>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30996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293</w:t>
                </w:r>
                <w:r>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30993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294</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763pt;margin-top:779.863892pt;width:18.95pt;height:11pt;mso-position-horizontal-relative:page;mso-position-vertical-relative:page;z-index:-1309888" type="#_x0000_t202" filled="false" stroked="false">
          <v:textbox inset="0,0,0,0">
            <w:txbxContent>
              <w:p>
                <w:pPr>
                  <w:pStyle w:val="BodyText"/>
                  <w:spacing w:line="204" w:lineRule="exact"/>
                  <w:ind w:left="40"/>
                </w:pPr>
                <w:r>
                  <w:rPr/>
                  <w:fldChar w:fldCharType="begin"/>
                </w:r>
                <w:r>
                  <w:rPr/>
                  <w:instrText> PAGE </w:instrText>
                </w:r>
                <w:r>
                  <w:rPr/>
                  <w:fldChar w:fldCharType="separate"/>
                </w:r>
                <w:r>
                  <w:rPr/>
                  <w:t>295</w:t>
                </w:r>
                <w:r>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985992pt;margin-top:805.553528pt;width:15.35pt;height:10pt;mso-position-horizontal-relative:page;mso-position-vertical-relative:page;z-index:-1309864" type="#_x0000_t202" filled="false" stroked="false">
          <v:textbox inset="0,0,0,0">
            <w:txbxContent>
              <w:p>
                <w:pPr>
                  <w:spacing w:line="184" w:lineRule="exact" w:before="0"/>
                  <w:ind w:left="20" w:right="0" w:firstLine="0"/>
                  <w:jc w:val="left"/>
                  <w:rPr>
                    <w:sz w:val="16"/>
                  </w:rPr>
                </w:pPr>
                <w:r>
                  <w:rPr>
                    <w:sz w:val="16"/>
                  </w:rPr>
                  <w:t>300</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1313200" filled="true" fillcolor="#414042"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60.070007pt;margin-top:181.889999pt;width:192.15pt;height:1pt;mso-position-horizontal-relative:page;mso-position-vertical-relative:page;z-index:-1312984" coordorigin="5201,3638" coordsize="3843,20">
          <v:line style="position:absolute" from="5202,3638" to="5371,3638" stroked="true" strokeweight=".06pt" strokecolor="#000000"/>
          <v:line style="position:absolute" from="5202,3640" to="5371,3640" stroked="true" strokeweight=".06pt" strokecolor="#000000"/>
          <v:line style="position:absolute" from="5202,3641" to="5371,3641" stroked="true" strokeweight=".06pt" strokecolor="#000000"/>
          <v:line style="position:absolute" from="5202,3642" to="5371,3642" stroked="true" strokeweight=".06pt" strokecolor="#000000"/>
          <v:line style="position:absolute" from="5202,3643" to="5371,3643" stroked="true" strokeweight=".06pt" strokecolor="#000000"/>
          <v:line style="position:absolute" from="5202,3644" to="5371,3644" stroked="true" strokeweight=".06pt" strokecolor="#000000"/>
          <v:line style="position:absolute" from="5202,3646" to="5371,3646" stroked="true" strokeweight=".06pt" strokecolor="#000000"/>
          <v:line style="position:absolute" from="5202,3647" to="5371,3647" stroked="true" strokeweight=".06pt" strokecolor="#000000"/>
          <v:line style="position:absolute" from="5202,3648" to="5371,3648" stroked="true" strokeweight=".06pt" strokecolor="#000000"/>
          <v:line style="position:absolute" from="5202,3649" to="5371,3649" stroked="true" strokeweight=".06pt" strokecolor="#000000"/>
          <v:line style="position:absolute" from="5202,3650" to="5371,3650" stroked="true" strokeweight=".06pt" strokecolor="#000000"/>
          <v:line style="position:absolute" from="5202,3652" to="5371,3652" stroked="true" strokeweight=".06pt" strokecolor="#000000"/>
          <v:line style="position:absolute" from="5202,3653" to="5371,3653" stroked="true" strokeweight=".06pt" strokecolor="#000000"/>
          <v:line style="position:absolute" from="5202,3654" to="5371,3654" stroked="true" strokeweight=".06pt" strokecolor="#000000"/>
          <v:line style="position:absolute" from="5202,3655" to="5371,3655" stroked="true" strokeweight=".06pt" strokecolor="#000000"/>
          <v:line style="position:absolute" from="5202,3656" to="5371,3656" stroked="true" strokeweight=".06pt" strokecolor="#000000"/>
          <v:line style="position:absolute" from="5371,3638" to="6595,3638" stroked="true" strokeweight=".06pt" strokecolor="#000000"/>
          <v:line style="position:absolute" from="5371,3640" to="6595,3640" stroked="true" strokeweight=".06pt" strokecolor="#000000"/>
          <v:line style="position:absolute" from="5371,3641" to="6595,3641" stroked="true" strokeweight=".06pt" strokecolor="#000000"/>
          <v:line style="position:absolute" from="5371,3642" to="6595,3642" stroked="true" strokeweight=".06pt" strokecolor="#000000"/>
          <v:line style="position:absolute" from="5371,3643" to="6595,3643" stroked="true" strokeweight=".06pt" strokecolor="#000000"/>
          <v:line style="position:absolute" from="5371,3644" to="6595,3644" stroked="true" strokeweight=".06pt" strokecolor="#000000"/>
          <v:line style="position:absolute" from="5371,3646" to="6595,3646" stroked="true" strokeweight=".06pt" strokecolor="#000000"/>
          <v:line style="position:absolute" from="5371,3647" to="6595,3647" stroked="true" strokeweight=".06pt" strokecolor="#000000"/>
          <v:line style="position:absolute" from="5371,3648" to="6595,3648" stroked="true" strokeweight=".06pt" strokecolor="#000000"/>
          <v:line style="position:absolute" from="5371,3649" to="6595,3649" stroked="true" strokeweight=".06pt" strokecolor="#000000"/>
          <v:line style="position:absolute" from="5371,3650" to="6595,3650" stroked="true" strokeweight=".06pt" strokecolor="#000000"/>
          <v:line style="position:absolute" from="5371,3652" to="6595,3652" stroked="true" strokeweight=".06pt" strokecolor="#000000"/>
          <v:line style="position:absolute" from="5371,3653" to="6595,3653" stroked="true" strokeweight=".06pt" strokecolor="#000000"/>
          <v:line style="position:absolute" from="5371,3654" to="6595,3654" stroked="true" strokeweight=".06pt" strokecolor="#000000"/>
          <v:line style="position:absolute" from="5371,3655" to="6595,3655" stroked="true" strokeweight=".06pt" strokecolor="#000000"/>
          <v:line style="position:absolute" from="5371,3656" to="6595,3656" stroked="true" strokeweight=".06pt" strokecolor="#000000"/>
          <v:line style="position:absolute" from="6595,3638" to="7819,3638" stroked="true" strokeweight=".06pt" strokecolor="#000000"/>
          <v:line style="position:absolute" from="6595,3640" to="7819,3640" stroked="true" strokeweight=".06pt" strokecolor="#000000"/>
          <v:line style="position:absolute" from="6595,3641" to="7819,3641" stroked="true" strokeweight=".06pt" strokecolor="#000000"/>
          <v:line style="position:absolute" from="6595,3642" to="7819,3642" stroked="true" strokeweight=".06pt" strokecolor="#000000"/>
          <v:line style="position:absolute" from="6595,3643" to="7819,3643" stroked="true" strokeweight=".06pt" strokecolor="#000000"/>
          <v:line style="position:absolute" from="6595,3644" to="7819,3644" stroked="true" strokeweight=".06pt" strokecolor="#000000"/>
          <v:line style="position:absolute" from="6595,3646" to="7819,3646" stroked="true" strokeweight=".06pt" strokecolor="#000000"/>
          <v:line style="position:absolute" from="6595,3647" to="7819,3647" stroked="true" strokeweight=".06pt" strokecolor="#000000"/>
          <v:line style="position:absolute" from="6595,3648" to="7819,3648" stroked="true" strokeweight=".06pt" strokecolor="#000000"/>
          <v:line style="position:absolute" from="6595,3649" to="7819,3649" stroked="true" strokeweight=".06pt" strokecolor="#000000"/>
          <v:line style="position:absolute" from="6595,3650" to="7819,3650" stroked="true" strokeweight=".06pt" strokecolor="#000000"/>
          <v:line style="position:absolute" from="6595,3652" to="7819,3652" stroked="true" strokeweight=".06pt" strokecolor="#000000"/>
          <v:line style="position:absolute" from="6595,3653" to="7819,3653" stroked="true" strokeweight=".06pt" strokecolor="#000000"/>
          <v:line style="position:absolute" from="6595,3654" to="7819,3654" stroked="true" strokeweight=".06pt" strokecolor="#000000"/>
          <v:line style="position:absolute" from="6595,3655" to="7819,3655" stroked="true" strokeweight=".06pt" strokecolor="#000000"/>
          <v:line style="position:absolute" from="6595,3656" to="7819,3656" stroked="true" strokeweight=".06pt" strokecolor="#000000"/>
          <v:line style="position:absolute" from="7819,3638" to="9043,3638" stroked="true" strokeweight=".06pt" strokecolor="#000000"/>
          <v:line style="position:absolute" from="7819,3640" to="9043,3640" stroked="true" strokeweight=".06pt" strokecolor="#000000"/>
          <v:line style="position:absolute" from="7819,3641" to="9043,3641" stroked="true" strokeweight=".06pt" strokecolor="#000000"/>
          <v:line style="position:absolute" from="7819,3642" to="9043,3642" stroked="true" strokeweight=".06pt" strokecolor="#000000"/>
          <v:line style="position:absolute" from="7819,3643" to="9043,3643" stroked="true" strokeweight=".06pt" strokecolor="#000000"/>
          <v:line style="position:absolute" from="7819,3644" to="9043,3644" stroked="true" strokeweight=".06pt" strokecolor="#000000"/>
          <v:line style="position:absolute" from="7819,3646" to="9043,3646" stroked="true" strokeweight=".06pt" strokecolor="#000000"/>
          <v:line style="position:absolute" from="7819,3647" to="9043,3647" stroked="true" strokeweight=".06pt" strokecolor="#000000"/>
          <v:line style="position:absolute" from="7819,3648" to="9043,3648" stroked="true" strokeweight=".06pt" strokecolor="#000000"/>
          <v:line style="position:absolute" from="7819,3649" to="9043,3649" stroked="true" strokeweight=".06pt" strokecolor="#000000"/>
          <v:line style="position:absolute" from="7819,3650" to="9043,3650" stroked="true" strokeweight=".06pt" strokecolor="#000000"/>
          <v:line style="position:absolute" from="7819,3652" to="9043,3652" stroked="true" strokeweight=".06pt" strokecolor="#000000"/>
          <v:line style="position:absolute" from="7819,3653" to="9043,3653" stroked="true" strokeweight=".06pt" strokecolor="#000000"/>
          <v:line style="position:absolute" from="7819,3654" to="9043,3654" stroked="true" strokeweight=".06pt" strokecolor="#000000"/>
          <v:line style="position:absolute" from="7819,3655" to="9043,3655" stroked="true" strokeweight=".06pt" strokecolor="#000000"/>
          <v:line style="position:absolute" from="7819,3656" to="9043,3656" stroked="true" strokeweight=".06pt" strokecolor="#000000"/>
          <v:line style="position:absolute" from="5202,3638" to="5371,3638" stroked="true" strokeweight=".06pt" strokecolor="#000000"/>
          <v:line style="position:absolute" from="5202,3640" to="5371,3640" stroked="true" strokeweight=".06pt" strokecolor="#000000"/>
          <v:line style="position:absolute" from="5202,3641" to="5371,3641" stroked="true" strokeweight=".06pt" strokecolor="#000000"/>
          <v:line style="position:absolute" from="5202,3642" to="5371,3642" stroked="true" strokeweight=".06pt" strokecolor="#000000"/>
          <v:line style="position:absolute" from="5202,3643" to="5371,3643" stroked="true" strokeweight=".06pt" strokecolor="#000000"/>
          <v:line style="position:absolute" from="5202,3644" to="5371,3644" stroked="true" strokeweight=".06pt" strokecolor="#000000"/>
          <v:line style="position:absolute" from="5202,3646" to="5371,3646" stroked="true" strokeweight=".06pt" strokecolor="#000000"/>
          <v:line style="position:absolute" from="5202,3647" to="5371,3647" stroked="true" strokeweight=".06pt" strokecolor="#000000"/>
          <v:line style="position:absolute" from="5202,3648" to="5371,3648" stroked="true" strokeweight=".06pt" strokecolor="#000000"/>
          <v:line style="position:absolute" from="5202,3649" to="5371,3649" stroked="true" strokeweight=".06pt" strokecolor="#000000"/>
          <v:line style="position:absolute" from="5202,3650" to="5371,3650" stroked="true" strokeweight=".06pt" strokecolor="#000000"/>
          <v:line style="position:absolute" from="5202,3652" to="5371,3652" stroked="true" strokeweight=".06pt" strokecolor="#000000"/>
          <v:line style="position:absolute" from="5202,3653" to="5371,3653" stroked="true" strokeweight=".06pt" strokecolor="#000000"/>
          <v:line style="position:absolute" from="5202,3654" to="5371,3654" stroked="true" strokeweight=".06pt" strokecolor="#000000"/>
          <v:line style="position:absolute" from="5202,3655" to="5371,3655" stroked="true" strokeweight=".06pt" strokecolor="#000000"/>
          <v:line style="position:absolute" from="5202,3656" to="5371,3656" stroked="true" strokeweight=".06pt" strokecolor="#000000"/>
          <v:line style="position:absolute" from="5371,3638" to="6595,3638" stroked="true" strokeweight=".06pt" strokecolor="#000000"/>
          <v:line style="position:absolute" from="5371,3640" to="6595,3640" stroked="true" strokeweight=".06pt" strokecolor="#000000"/>
          <v:line style="position:absolute" from="5371,3641" to="6595,3641" stroked="true" strokeweight=".06pt" strokecolor="#000000"/>
          <v:line style="position:absolute" from="5371,3642" to="6595,3642" stroked="true" strokeweight=".06pt" strokecolor="#000000"/>
          <v:line style="position:absolute" from="5371,3643" to="6595,3643" stroked="true" strokeweight=".06pt" strokecolor="#000000"/>
          <v:line style="position:absolute" from="5371,3644" to="6595,3644" stroked="true" strokeweight=".06pt" strokecolor="#000000"/>
          <v:line style="position:absolute" from="5371,3646" to="6595,3646" stroked="true" strokeweight=".06pt" strokecolor="#000000"/>
          <v:line style="position:absolute" from="5371,3647" to="6595,3647" stroked="true" strokeweight=".06pt" strokecolor="#000000"/>
          <v:line style="position:absolute" from="5371,3648" to="6595,3648" stroked="true" strokeweight=".06pt" strokecolor="#000000"/>
          <v:line style="position:absolute" from="5371,3649" to="6595,3649" stroked="true" strokeweight=".06pt" strokecolor="#000000"/>
          <v:line style="position:absolute" from="5371,3650" to="6595,3650" stroked="true" strokeweight=".06pt" strokecolor="#000000"/>
          <v:line style="position:absolute" from="5371,3652" to="6595,3652" stroked="true" strokeweight=".06pt" strokecolor="#000000"/>
          <v:line style="position:absolute" from="5371,3653" to="6595,3653" stroked="true" strokeweight=".06pt" strokecolor="#000000"/>
          <v:line style="position:absolute" from="5371,3654" to="6595,3654" stroked="true" strokeweight=".06pt" strokecolor="#000000"/>
          <v:line style="position:absolute" from="5371,3655" to="6595,3655" stroked="true" strokeweight=".06pt" strokecolor="#000000"/>
          <v:line style="position:absolute" from="5371,3656" to="6595,3656" stroked="true" strokeweight=".06pt" strokecolor="#000000"/>
          <v:line style="position:absolute" from="6595,3638" to="7819,3638" stroked="true" strokeweight=".06pt" strokecolor="#000000"/>
          <v:line style="position:absolute" from="6595,3640" to="7819,3640" stroked="true" strokeweight=".06pt" strokecolor="#000000"/>
          <v:line style="position:absolute" from="6595,3641" to="7819,3641" stroked="true" strokeweight=".06pt" strokecolor="#000000"/>
          <v:line style="position:absolute" from="6595,3642" to="7819,3642" stroked="true" strokeweight=".06pt" strokecolor="#000000"/>
          <v:line style="position:absolute" from="6595,3643" to="7819,3643" stroked="true" strokeweight=".06pt" strokecolor="#000000"/>
          <v:line style="position:absolute" from="6595,3644" to="7819,3644" stroked="true" strokeweight=".06pt" strokecolor="#000000"/>
          <v:line style="position:absolute" from="6595,3646" to="7819,3646" stroked="true" strokeweight=".06pt" strokecolor="#000000"/>
          <v:line style="position:absolute" from="6595,3647" to="7819,3647" stroked="true" strokeweight=".06pt" strokecolor="#000000"/>
          <v:line style="position:absolute" from="6595,3648" to="7819,3648" stroked="true" strokeweight=".06pt" strokecolor="#000000"/>
          <v:line style="position:absolute" from="6595,3649" to="7819,3649" stroked="true" strokeweight=".06pt" strokecolor="#000000"/>
          <v:line style="position:absolute" from="6595,3650" to="7819,3650" stroked="true" strokeweight=".06pt" strokecolor="#000000"/>
          <v:line style="position:absolute" from="6595,3652" to="7819,3652" stroked="true" strokeweight=".06pt" strokecolor="#000000"/>
          <v:line style="position:absolute" from="6595,3653" to="7819,3653" stroked="true" strokeweight=".06pt" strokecolor="#000000"/>
          <v:line style="position:absolute" from="6595,3654" to="7819,3654" stroked="true" strokeweight=".06pt" strokecolor="#000000"/>
          <v:line style="position:absolute" from="6595,3655" to="7819,3655" stroked="true" strokeweight=".06pt" strokecolor="#000000"/>
          <v:line style="position:absolute" from="6595,3656" to="7819,3656" stroked="true" strokeweight=".06pt" strokecolor="#000000"/>
          <v:line style="position:absolute" from="7819,3638" to="9043,3638" stroked="true" strokeweight=".06pt" strokecolor="#000000"/>
          <v:line style="position:absolute" from="7819,3640" to="9043,3640" stroked="true" strokeweight=".06pt" strokecolor="#000000"/>
          <v:line style="position:absolute" from="7819,3641" to="9043,3641" stroked="true" strokeweight=".06pt" strokecolor="#000000"/>
          <v:line style="position:absolute" from="7819,3642" to="9043,3642" stroked="true" strokeweight=".06pt" strokecolor="#000000"/>
          <v:line style="position:absolute" from="7819,3643" to="9043,3643" stroked="true" strokeweight=".06pt" strokecolor="#000000"/>
          <v:line style="position:absolute" from="7819,3644" to="9043,3644" stroked="true" strokeweight=".06pt" strokecolor="#000000"/>
          <v:line style="position:absolute" from="7819,3646" to="9043,3646" stroked="true" strokeweight=".06pt" strokecolor="#000000"/>
          <v:line style="position:absolute" from="7819,3647" to="9043,3647" stroked="true" strokeweight=".06pt" strokecolor="#000000"/>
          <v:line style="position:absolute" from="7819,3648" to="9043,3648" stroked="true" strokeweight=".06pt" strokecolor="#000000"/>
          <v:line style="position:absolute" from="7819,3649" to="9043,3649" stroked="true" strokeweight=".06pt" strokecolor="#000000"/>
          <v:line style="position:absolute" from="7819,3650" to="9043,3650" stroked="true" strokeweight=".06pt" strokecolor="#000000"/>
          <v:line style="position:absolute" from="7819,3652" to="9043,3652" stroked="true" strokeweight=".06pt" strokecolor="#000000"/>
          <v:line style="position:absolute" from="7819,3653" to="9043,3653" stroked="true" strokeweight=".06pt" strokecolor="#000000"/>
          <v:line style="position:absolute" from="7819,3654" to="9043,3654" stroked="true" strokeweight=".06pt" strokecolor="#000000"/>
          <v:line style="position:absolute" from="7819,3655" to="9043,3655" stroked="true" strokeweight=".06pt" strokecolor="#000000"/>
          <v:line style="position:absolute" from="7819,3656" to="9043,3656" stroked="true" strokeweight=".06pt" strokecolor="#000000"/>
          <w10:wrap type="none"/>
        </v:group>
      </w:pict>
    </w:r>
    <w:r>
      <w:rPr/>
      <w:pict>
        <v:shape style="position:absolute;margin-left:49.400002pt;margin-top:50.882446pt;width:157pt;height:13pt;mso-position-horizontal-relative:page;mso-position-vertical-relative:page;z-index:-1312960" type="#_x0000_t202" filled="false" stroked="false">
          <v:textbox inset="0,0,0,0">
            <w:txbxContent>
              <w:p>
                <w:pPr>
                  <w:spacing w:line="245" w:lineRule="exact" w:before="0"/>
                  <w:ind w:left="20" w:right="-6" w:firstLine="0"/>
                  <w:jc w:val="left"/>
                  <w:rPr>
                    <w:b/>
                    <w:sz w:val="22"/>
                  </w:rPr>
                </w:pPr>
                <w:r>
                  <w:rPr>
                    <w:b/>
                    <w:sz w:val="22"/>
                  </w:rPr>
                  <w:t>University of Western Sydney</w:t>
                </w:r>
              </w:p>
            </w:txbxContent>
          </v:textbox>
          <w10:wrap type="none"/>
        </v:shape>
      </w:pict>
    </w:r>
    <w:r>
      <w:rPr/>
      <w:pict>
        <v:shape style="position:absolute;margin-left:49.400002pt;margin-top:80.851501pt;width:212.5pt;height:31.55pt;mso-position-horizontal-relative:page;mso-position-vertical-relative:page;z-index:-1312936" type="#_x0000_t202" filled="false" stroked="false">
          <v:textbox inset="0,0,0,0">
            <w:txbxContent>
              <w:p>
                <w:pPr>
                  <w:spacing w:line="306" w:lineRule="exact" w:before="0"/>
                  <w:ind w:left="20" w:right="-6" w:firstLine="0"/>
                  <w:jc w:val="left"/>
                  <w:rPr>
                    <w:b/>
                    <w:sz w:val="28"/>
                  </w:rPr>
                </w:pPr>
                <w:r>
                  <w:rPr>
                    <w:b/>
                    <w:sz w:val="28"/>
                  </w:rPr>
                  <w:t>Statement of Changes in Equity</w:t>
                </w:r>
              </w:p>
              <w:p>
                <w:pPr>
                  <w:spacing w:before="57"/>
                  <w:ind w:left="20" w:right="-6" w:firstLine="0"/>
                  <w:jc w:val="left"/>
                  <w:rPr>
                    <w:b/>
                    <w:sz w:val="22"/>
                  </w:rPr>
                </w:pPr>
                <w:r>
                  <w:rPr>
                    <w:b/>
                    <w:sz w:val="22"/>
                  </w:rPr>
                  <w:t>For the Year Ended 31 December 2012</w:t>
                </w:r>
              </w:p>
            </w:txbxContent>
          </v:textbox>
          <w10:wrap type="none"/>
        </v:shape>
      </w:pict>
    </w:r>
    <w:r>
      <w:rPr/>
      <w:pict>
        <v:shape style="position:absolute;margin-left:259.100006pt;margin-top:132.40686pt;width:30.05pt;height:11pt;mso-position-horizontal-relative:page;mso-position-vertical-relative:page;z-index:-1312912" type="#_x0000_t202" filled="false" stroked="false">
          <v:textbox inset="0,0,0,0">
            <w:txbxContent>
              <w:p>
                <w:pPr>
                  <w:spacing w:line="204" w:lineRule="exact" w:before="0"/>
                  <w:ind w:left="20" w:right="0" w:firstLine="0"/>
                  <w:jc w:val="left"/>
                  <w:rPr>
                    <w:b/>
                    <w:sz w:val="18"/>
                  </w:rPr>
                </w:pPr>
                <w:r>
                  <w:rPr>
                    <w:b/>
                    <w:sz w:val="18"/>
                  </w:rPr>
                  <w:t>Parent</w:t>
                </w:r>
              </w:p>
            </w:txbxContent>
          </v:textbox>
          <w10:wrap type="none"/>
        </v:shape>
      </w:pict>
    </w:r>
    <w:r>
      <w:rPr/>
      <w:pict>
        <v:shape style="position:absolute;margin-left:330.136993pt;margin-top:146.086868pt;width:40.550pt;height:35.050pt;mso-position-horizontal-relative:page;mso-position-vertical-relative:page;z-index:-1312888" type="#_x0000_t202" filled="false" stroked="false">
          <v:textbox inset="0,0,0,0">
            <w:txbxContent>
              <w:p>
                <w:pPr>
                  <w:spacing w:line="206" w:lineRule="exact" w:before="1"/>
                  <w:ind w:left="20" w:right="0" w:firstLine="0"/>
                  <w:jc w:val="left"/>
                  <w:rPr>
                    <w:b/>
                    <w:sz w:val="18"/>
                  </w:rPr>
                </w:pPr>
                <w:r>
                  <w:rPr>
                    <w:b/>
                    <w:sz w:val="18"/>
                  </w:rPr>
                  <w:t>Retained Earnings</w:t>
                </w:r>
              </w:p>
              <w:p>
                <w:pPr>
                  <w:spacing w:before="63"/>
                  <w:ind w:left="20" w:right="0" w:firstLine="0"/>
                  <w:jc w:val="left"/>
                  <w:rPr>
                    <w:b/>
                    <w:sz w:val="18"/>
                  </w:rPr>
                </w:pPr>
                <w:r>
                  <w:rPr>
                    <w:b/>
                    <w:sz w:val="18"/>
                  </w:rPr>
                  <w:t>$'000</w:t>
                </w:r>
              </w:p>
            </w:txbxContent>
          </v:textbox>
          <w10:wrap type="none"/>
        </v:shape>
      </w:pict>
    </w:r>
    <w:r>
      <w:rPr/>
      <w:pict>
        <v:shape style="position:absolute;margin-left:268.937012pt;margin-top:156.409866pt;width:42.05pt;height:24.7pt;mso-position-horizontal-relative:page;mso-position-vertical-relative:page;z-index:-1312864" type="#_x0000_t202" filled="false" stroked="false">
          <v:textbox inset="0,0,0,0">
            <w:txbxContent>
              <w:p>
                <w:pPr>
                  <w:spacing w:line="204" w:lineRule="exact" w:before="0"/>
                  <w:ind w:left="20" w:right="0" w:firstLine="0"/>
                  <w:jc w:val="left"/>
                  <w:rPr>
                    <w:b/>
                    <w:sz w:val="18"/>
                  </w:rPr>
                </w:pPr>
                <w:r>
                  <w:rPr>
                    <w:b/>
                    <w:sz w:val="18"/>
                  </w:rPr>
                  <w:t>Reserves</w:t>
                </w:r>
              </w:p>
              <w:p>
                <w:pPr>
                  <w:spacing w:before="66"/>
                  <w:ind w:left="20" w:right="0" w:firstLine="0"/>
                  <w:jc w:val="left"/>
                  <w:rPr>
                    <w:b/>
                    <w:sz w:val="18"/>
                  </w:rPr>
                </w:pPr>
                <w:r>
                  <w:rPr>
                    <w:b/>
                    <w:sz w:val="18"/>
                  </w:rPr>
                  <w:t>$'000</w:t>
                </w:r>
              </w:p>
            </w:txbxContent>
          </v:textbox>
          <w10:wrap type="none"/>
        </v:shape>
      </w:pict>
    </w:r>
    <w:r>
      <w:rPr/>
      <w:pict>
        <v:shape style="position:absolute;margin-left:389.959991pt;margin-top:156.409866pt;width:24.2pt;height:24.7pt;mso-position-horizontal-relative:page;mso-position-vertical-relative:page;z-index:-1312840" type="#_x0000_t202" filled="false" stroked="false">
          <v:textbox inset="0,0,0,0">
            <w:txbxContent>
              <w:p>
                <w:pPr>
                  <w:spacing w:line="204" w:lineRule="exact" w:before="0"/>
                  <w:ind w:left="20" w:right="0" w:firstLine="0"/>
                  <w:jc w:val="left"/>
                  <w:rPr>
                    <w:b/>
                    <w:sz w:val="18"/>
                  </w:rPr>
                </w:pPr>
                <w:r>
                  <w:rPr>
                    <w:b/>
                    <w:sz w:val="18"/>
                  </w:rPr>
                  <w:t>Total</w:t>
                </w:r>
              </w:p>
              <w:p>
                <w:pPr>
                  <w:spacing w:before="66"/>
                  <w:ind w:left="20" w:right="0" w:firstLine="0"/>
                  <w:jc w:val="left"/>
                  <w:rPr>
                    <w:b/>
                    <w:sz w:val="18"/>
                  </w:rPr>
                </w:pPr>
                <w:r>
                  <w:rPr>
                    <w:b/>
                    <w:sz w:val="18"/>
                  </w:rPr>
                  <w:t>$'000</w:t>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1309840" filled="true" fillcolor="#414042" stroked="false">
          <v:fill type="solid"/>
          <w10:wrap type="none"/>
        </v:rect>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60.070007pt;margin-top:181.889999pt;width:192.15pt;height:1pt;mso-position-horizontal-relative:page;mso-position-vertical-relative:page;z-index:-1312816" coordorigin="5201,3638" coordsize="3843,20">
          <v:line style="position:absolute" from="5202,3638" to="5371,3638" stroked="true" strokeweight=".06pt" strokecolor="#000000"/>
          <v:line style="position:absolute" from="5202,3640" to="5371,3640" stroked="true" strokeweight=".06pt" strokecolor="#000000"/>
          <v:line style="position:absolute" from="5202,3641" to="5371,3641" stroked="true" strokeweight=".06pt" strokecolor="#000000"/>
          <v:line style="position:absolute" from="5202,3642" to="5371,3642" stroked="true" strokeweight=".06pt" strokecolor="#000000"/>
          <v:line style="position:absolute" from="5202,3643" to="5371,3643" stroked="true" strokeweight=".06pt" strokecolor="#000000"/>
          <v:line style="position:absolute" from="5202,3644" to="5371,3644" stroked="true" strokeweight=".06pt" strokecolor="#000000"/>
          <v:line style="position:absolute" from="5202,3646" to="5371,3646" stroked="true" strokeweight=".06pt" strokecolor="#000000"/>
          <v:line style="position:absolute" from="5202,3647" to="5371,3647" stroked="true" strokeweight=".06pt" strokecolor="#000000"/>
          <v:line style="position:absolute" from="5202,3648" to="5371,3648" stroked="true" strokeweight=".06pt" strokecolor="#000000"/>
          <v:line style="position:absolute" from="5202,3649" to="5371,3649" stroked="true" strokeweight=".06pt" strokecolor="#000000"/>
          <v:line style="position:absolute" from="5202,3650" to="5371,3650" stroked="true" strokeweight=".06pt" strokecolor="#000000"/>
          <v:line style="position:absolute" from="5202,3652" to="5371,3652" stroked="true" strokeweight=".06pt" strokecolor="#000000"/>
          <v:line style="position:absolute" from="5202,3653" to="5371,3653" stroked="true" strokeweight=".06pt" strokecolor="#000000"/>
          <v:line style="position:absolute" from="5202,3654" to="5371,3654" stroked="true" strokeweight=".06pt" strokecolor="#000000"/>
          <v:line style="position:absolute" from="5202,3655" to="5371,3655" stroked="true" strokeweight=".06pt" strokecolor="#000000"/>
          <v:line style="position:absolute" from="5202,3656" to="5371,3656" stroked="true" strokeweight=".06pt" strokecolor="#000000"/>
          <v:line style="position:absolute" from="5371,3638" to="6595,3638" stroked="true" strokeweight=".06pt" strokecolor="#000000"/>
          <v:line style="position:absolute" from="5371,3640" to="6595,3640" stroked="true" strokeweight=".06pt" strokecolor="#000000"/>
          <v:line style="position:absolute" from="5371,3641" to="6595,3641" stroked="true" strokeweight=".06pt" strokecolor="#000000"/>
          <v:line style="position:absolute" from="5371,3642" to="6595,3642" stroked="true" strokeweight=".06pt" strokecolor="#000000"/>
          <v:line style="position:absolute" from="5371,3643" to="6595,3643" stroked="true" strokeweight=".06pt" strokecolor="#000000"/>
          <v:line style="position:absolute" from="5371,3644" to="6595,3644" stroked="true" strokeweight=".06pt" strokecolor="#000000"/>
          <v:line style="position:absolute" from="5371,3646" to="6595,3646" stroked="true" strokeweight=".06pt" strokecolor="#000000"/>
          <v:line style="position:absolute" from="5371,3647" to="6595,3647" stroked="true" strokeweight=".06pt" strokecolor="#000000"/>
          <v:line style="position:absolute" from="5371,3648" to="6595,3648" stroked="true" strokeweight=".06pt" strokecolor="#000000"/>
          <v:line style="position:absolute" from="5371,3649" to="6595,3649" stroked="true" strokeweight=".06pt" strokecolor="#000000"/>
          <v:line style="position:absolute" from="5371,3650" to="6595,3650" stroked="true" strokeweight=".06pt" strokecolor="#000000"/>
          <v:line style="position:absolute" from="5371,3652" to="6595,3652" stroked="true" strokeweight=".06pt" strokecolor="#000000"/>
          <v:line style="position:absolute" from="5371,3653" to="6595,3653" stroked="true" strokeweight=".06pt" strokecolor="#000000"/>
          <v:line style="position:absolute" from="5371,3654" to="6595,3654" stroked="true" strokeweight=".06pt" strokecolor="#000000"/>
          <v:line style="position:absolute" from="5371,3655" to="6595,3655" stroked="true" strokeweight=".06pt" strokecolor="#000000"/>
          <v:line style="position:absolute" from="5371,3656" to="6595,3656" stroked="true" strokeweight=".06pt" strokecolor="#000000"/>
          <v:line style="position:absolute" from="6595,3638" to="7819,3638" stroked="true" strokeweight=".06pt" strokecolor="#000000"/>
          <v:line style="position:absolute" from="6595,3640" to="7819,3640" stroked="true" strokeweight=".06pt" strokecolor="#000000"/>
          <v:line style="position:absolute" from="6595,3641" to="7819,3641" stroked="true" strokeweight=".06pt" strokecolor="#000000"/>
          <v:line style="position:absolute" from="6595,3642" to="7819,3642" stroked="true" strokeweight=".06pt" strokecolor="#000000"/>
          <v:line style="position:absolute" from="6595,3643" to="7819,3643" stroked="true" strokeweight=".06pt" strokecolor="#000000"/>
          <v:line style="position:absolute" from="6595,3644" to="7819,3644" stroked="true" strokeweight=".06pt" strokecolor="#000000"/>
          <v:line style="position:absolute" from="6595,3646" to="7819,3646" stroked="true" strokeweight=".06pt" strokecolor="#000000"/>
          <v:line style="position:absolute" from="6595,3647" to="7819,3647" stroked="true" strokeweight=".06pt" strokecolor="#000000"/>
          <v:line style="position:absolute" from="6595,3648" to="7819,3648" stroked="true" strokeweight=".06pt" strokecolor="#000000"/>
          <v:line style="position:absolute" from="6595,3649" to="7819,3649" stroked="true" strokeweight=".06pt" strokecolor="#000000"/>
          <v:line style="position:absolute" from="6595,3650" to="7819,3650" stroked="true" strokeweight=".06pt" strokecolor="#000000"/>
          <v:line style="position:absolute" from="6595,3652" to="7819,3652" stroked="true" strokeweight=".06pt" strokecolor="#000000"/>
          <v:line style="position:absolute" from="6595,3653" to="7819,3653" stroked="true" strokeweight=".06pt" strokecolor="#000000"/>
          <v:line style="position:absolute" from="6595,3654" to="7819,3654" stroked="true" strokeweight=".06pt" strokecolor="#000000"/>
          <v:line style="position:absolute" from="6595,3655" to="7819,3655" stroked="true" strokeweight=".06pt" strokecolor="#000000"/>
          <v:line style="position:absolute" from="6595,3656" to="7819,3656" stroked="true" strokeweight=".06pt" strokecolor="#000000"/>
          <v:line style="position:absolute" from="7819,3638" to="9043,3638" stroked="true" strokeweight=".06pt" strokecolor="#000000"/>
          <v:line style="position:absolute" from="7819,3640" to="9043,3640" stroked="true" strokeweight=".06pt" strokecolor="#000000"/>
          <v:line style="position:absolute" from="7819,3641" to="9043,3641" stroked="true" strokeweight=".06pt" strokecolor="#000000"/>
          <v:line style="position:absolute" from="7819,3642" to="9043,3642" stroked="true" strokeweight=".06pt" strokecolor="#000000"/>
          <v:line style="position:absolute" from="7819,3643" to="9043,3643" stroked="true" strokeweight=".06pt" strokecolor="#000000"/>
          <v:line style="position:absolute" from="7819,3644" to="9043,3644" stroked="true" strokeweight=".06pt" strokecolor="#000000"/>
          <v:line style="position:absolute" from="7819,3646" to="9043,3646" stroked="true" strokeweight=".06pt" strokecolor="#000000"/>
          <v:line style="position:absolute" from="7819,3647" to="9043,3647" stroked="true" strokeweight=".06pt" strokecolor="#000000"/>
          <v:line style="position:absolute" from="7819,3648" to="9043,3648" stroked="true" strokeweight=".06pt" strokecolor="#000000"/>
          <v:line style="position:absolute" from="7819,3649" to="9043,3649" stroked="true" strokeweight=".06pt" strokecolor="#000000"/>
          <v:line style="position:absolute" from="7819,3650" to="9043,3650" stroked="true" strokeweight=".06pt" strokecolor="#000000"/>
          <v:line style="position:absolute" from="7819,3652" to="9043,3652" stroked="true" strokeweight=".06pt" strokecolor="#000000"/>
          <v:line style="position:absolute" from="7819,3653" to="9043,3653" stroked="true" strokeweight=".06pt" strokecolor="#000000"/>
          <v:line style="position:absolute" from="7819,3654" to="9043,3654" stroked="true" strokeweight=".06pt" strokecolor="#000000"/>
          <v:line style="position:absolute" from="7819,3655" to="9043,3655" stroked="true" strokeweight=".06pt" strokecolor="#000000"/>
          <v:line style="position:absolute" from="7819,3656" to="9043,3656" stroked="true" strokeweight=".06pt" strokecolor="#000000"/>
          <v:line style="position:absolute" from="5202,3638" to="5371,3638" stroked="true" strokeweight=".06pt" strokecolor="#000000"/>
          <v:line style="position:absolute" from="5202,3640" to="5371,3640" stroked="true" strokeweight=".06pt" strokecolor="#000000"/>
          <v:line style="position:absolute" from="5202,3641" to="5371,3641" stroked="true" strokeweight=".06pt" strokecolor="#000000"/>
          <v:line style="position:absolute" from="5202,3642" to="5371,3642" stroked="true" strokeweight=".06pt" strokecolor="#000000"/>
          <v:line style="position:absolute" from="5202,3643" to="5371,3643" stroked="true" strokeweight=".06pt" strokecolor="#000000"/>
          <v:line style="position:absolute" from="5202,3644" to="5371,3644" stroked="true" strokeweight=".06pt" strokecolor="#000000"/>
          <v:line style="position:absolute" from="5202,3646" to="5371,3646" stroked="true" strokeweight=".06pt" strokecolor="#000000"/>
          <v:line style="position:absolute" from="5202,3647" to="5371,3647" stroked="true" strokeweight=".06pt" strokecolor="#000000"/>
          <v:line style="position:absolute" from="5202,3648" to="5371,3648" stroked="true" strokeweight=".06pt" strokecolor="#000000"/>
          <v:line style="position:absolute" from="5202,3649" to="5371,3649" stroked="true" strokeweight=".06pt" strokecolor="#000000"/>
          <v:line style="position:absolute" from="5202,3650" to="5371,3650" stroked="true" strokeweight=".06pt" strokecolor="#000000"/>
          <v:line style="position:absolute" from="5202,3652" to="5371,3652" stroked="true" strokeweight=".06pt" strokecolor="#000000"/>
          <v:line style="position:absolute" from="5202,3653" to="5371,3653" stroked="true" strokeweight=".06pt" strokecolor="#000000"/>
          <v:line style="position:absolute" from="5202,3654" to="5371,3654" stroked="true" strokeweight=".06pt" strokecolor="#000000"/>
          <v:line style="position:absolute" from="5202,3655" to="5371,3655" stroked="true" strokeweight=".06pt" strokecolor="#000000"/>
          <v:line style="position:absolute" from="5202,3656" to="5371,3656" stroked="true" strokeweight=".06pt" strokecolor="#000000"/>
          <v:line style="position:absolute" from="5371,3638" to="6595,3638" stroked="true" strokeweight=".06pt" strokecolor="#000000"/>
          <v:line style="position:absolute" from="5371,3640" to="6595,3640" stroked="true" strokeweight=".06pt" strokecolor="#000000"/>
          <v:line style="position:absolute" from="5371,3641" to="6595,3641" stroked="true" strokeweight=".06pt" strokecolor="#000000"/>
          <v:line style="position:absolute" from="5371,3642" to="6595,3642" stroked="true" strokeweight=".06pt" strokecolor="#000000"/>
          <v:line style="position:absolute" from="5371,3643" to="6595,3643" stroked="true" strokeweight=".06pt" strokecolor="#000000"/>
          <v:line style="position:absolute" from="5371,3644" to="6595,3644" stroked="true" strokeweight=".06pt" strokecolor="#000000"/>
          <v:line style="position:absolute" from="5371,3646" to="6595,3646" stroked="true" strokeweight=".06pt" strokecolor="#000000"/>
          <v:line style="position:absolute" from="5371,3647" to="6595,3647" stroked="true" strokeweight=".06pt" strokecolor="#000000"/>
          <v:line style="position:absolute" from="5371,3648" to="6595,3648" stroked="true" strokeweight=".06pt" strokecolor="#000000"/>
          <v:line style="position:absolute" from="5371,3649" to="6595,3649" stroked="true" strokeweight=".06pt" strokecolor="#000000"/>
          <v:line style="position:absolute" from="5371,3650" to="6595,3650" stroked="true" strokeweight=".06pt" strokecolor="#000000"/>
          <v:line style="position:absolute" from="5371,3652" to="6595,3652" stroked="true" strokeweight=".06pt" strokecolor="#000000"/>
          <v:line style="position:absolute" from="5371,3653" to="6595,3653" stroked="true" strokeweight=".06pt" strokecolor="#000000"/>
          <v:line style="position:absolute" from="5371,3654" to="6595,3654" stroked="true" strokeweight=".06pt" strokecolor="#000000"/>
          <v:line style="position:absolute" from="5371,3655" to="6595,3655" stroked="true" strokeweight=".06pt" strokecolor="#000000"/>
          <v:line style="position:absolute" from="5371,3656" to="6595,3656" stroked="true" strokeweight=".06pt" strokecolor="#000000"/>
          <v:line style="position:absolute" from="6595,3638" to="7819,3638" stroked="true" strokeweight=".06pt" strokecolor="#000000"/>
          <v:line style="position:absolute" from="6595,3640" to="7819,3640" stroked="true" strokeweight=".06pt" strokecolor="#000000"/>
          <v:line style="position:absolute" from="6595,3641" to="7819,3641" stroked="true" strokeweight=".06pt" strokecolor="#000000"/>
          <v:line style="position:absolute" from="6595,3642" to="7819,3642" stroked="true" strokeweight=".06pt" strokecolor="#000000"/>
          <v:line style="position:absolute" from="6595,3643" to="7819,3643" stroked="true" strokeweight=".06pt" strokecolor="#000000"/>
          <v:line style="position:absolute" from="6595,3644" to="7819,3644" stroked="true" strokeweight=".06pt" strokecolor="#000000"/>
          <v:line style="position:absolute" from="6595,3646" to="7819,3646" stroked="true" strokeweight=".06pt" strokecolor="#000000"/>
          <v:line style="position:absolute" from="6595,3647" to="7819,3647" stroked="true" strokeweight=".06pt" strokecolor="#000000"/>
          <v:line style="position:absolute" from="6595,3648" to="7819,3648" stroked="true" strokeweight=".06pt" strokecolor="#000000"/>
          <v:line style="position:absolute" from="6595,3649" to="7819,3649" stroked="true" strokeweight=".06pt" strokecolor="#000000"/>
          <v:line style="position:absolute" from="6595,3650" to="7819,3650" stroked="true" strokeweight=".06pt" strokecolor="#000000"/>
          <v:line style="position:absolute" from="6595,3652" to="7819,3652" stroked="true" strokeweight=".06pt" strokecolor="#000000"/>
          <v:line style="position:absolute" from="6595,3653" to="7819,3653" stroked="true" strokeweight=".06pt" strokecolor="#000000"/>
          <v:line style="position:absolute" from="6595,3654" to="7819,3654" stroked="true" strokeweight=".06pt" strokecolor="#000000"/>
          <v:line style="position:absolute" from="6595,3655" to="7819,3655" stroked="true" strokeweight=".06pt" strokecolor="#000000"/>
          <v:line style="position:absolute" from="6595,3656" to="7819,3656" stroked="true" strokeweight=".06pt" strokecolor="#000000"/>
          <v:line style="position:absolute" from="7819,3638" to="9043,3638" stroked="true" strokeweight=".06pt" strokecolor="#000000"/>
          <v:line style="position:absolute" from="7819,3640" to="9043,3640" stroked="true" strokeweight=".06pt" strokecolor="#000000"/>
          <v:line style="position:absolute" from="7819,3641" to="9043,3641" stroked="true" strokeweight=".06pt" strokecolor="#000000"/>
          <v:line style="position:absolute" from="7819,3642" to="9043,3642" stroked="true" strokeweight=".06pt" strokecolor="#000000"/>
          <v:line style="position:absolute" from="7819,3643" to="9043,3643" stroked="true" strokeweight=".06pt" strokecolor="#000000"/>
          <v:line style="position:absolute" from="7819,3644" to="9043,3644" stroked="true" strokeweight=".06pt" strokecolor="#000000"/>
          <v:line style="position:absolute" from="7819,3646" to="9043,3646" stroked="true" strokeweight=".06pt" strokecolor="#000000"/>
          <v:line style="position:absolute" from="7819,3647" to="9043,3647" stroked="true" strokeweight=".06pt" strokecolor="#000000"/>
          <v:line style="position:absolute" from="7819,3648" to="9043,3648" stroked="true" strokeweight=".06pt" strokecolor="#000000"/>
          <v:line style="position:absolute" from="7819,3649" to="9043,3649" stroked="true" strokeweight=".06pt" strokecolor="#000000"/>
          <v:line style="position:absolute" from="7819,3650" to="9043,3650" stroked="true" strokeweight=".06pt" strokecolor="#000000"/>
          <v:line style="position:absolute" from="7819,3652" to="9043,3652" stroked="true" strokeweight=".06pt" strokecolor="#000000"/>
          <v:line style="position:absolute" from="7819,3653" to="9043,3653" stroked="true" strokeweight=".06pt" strokecolor="#000000"/>
          <v:line style="position:absolute" from="7819,3654" to="9043,3654" stroked="true" strokeweight=".06pt" strokecolor="#000000"/>
          <v:line style="position:absolute" from="7819,3655" to="9043,3655" stroked="true" strokeweight=".06pt" strokecolor="#000000"/>
          <v:line style="position:absolute" from="7819,3656" to="9043,3656" stroked="true" strokeweight=".06pt" strokecolor="#000000"/>
          <w10:wrap type="none"/>
        </v:group>
      </w:pict>
    </w:r>
    <w:r>
      <w:rPr/>
      <w:pict>
        <v:shape style="position:absolute;margin-left:49.400002pt;margin-top:50.882446pt;width:157pt;height:13pt;mso-position-horizontal-relative:page;mso-position-vertical-relative:page;z-index:-1312792" type="#_x0000_t202" filled="false" stroked="false">
          <v:textbox inset="0,0,0,0">
            <w:txbxContent>
              <w:p>
                <w:pPr>
                  <w:spacing w:line="245" w:lineRule="exact" w:before="0"/>
                  <w:ind w:left="20" w:right="-6" w:firstLine="0"/>
                  <w:jc w:val="left"/>
                  <w:rPr>
                    <w:b/>
                    <w:sz w:val="22"/>
                  </w:rPr>
                </w:pPr>
                <w:r>
                  <w:rPr>
                    <w:b/>
                    <w:sz w:val="22"/>
                  </w:rPr>
                  <w:t>University of Western Sydney</w:t>
                </w:r>
              </w:p>
            </w:txbxContent>
          </v:textbox>
          <w10:wrap type="none"/>
        </v:shape>
      </w:pict>
    </w:r>
    <w:r>
      <w:rPr/>
      <w:pict>
        <v:shape style="position:absolute;margin-left:49.400002pt;margin-top:80.851501pt;width:212.5pt;height:31.55pt;mso-position-horizontal-relative:page;mso-position-vertical-relative:page;z-index:-1312768" type="#_x0000_t202" filled="false" stroked="false">
          <v:textbox inset="0,0,0,0">
            <w:txbxContent>
              <w:p>
                <w:pPr>
                  <w:spacing w:line="306" w:lineRule="exact" w:before="0"/>
                  <w:ind w:left="20" w:right="-6" w:firstLine="0"/>
                  <w:jc w:val="left"/>
                  <w:rPr>
                    <w:b/>
                    <w:sz w:val="28"/>
                  </w:rPr>
                </w:pPr>
                <w:r>
                  <w:rPr>
                    <w:b/>
                    <w:sz w:val="28"/>
                  </w:rPr>
                  <w:t>Statement of Changes in Equity</w:t>
                </w:r>
              </w:p>
              <w:p>
                <w:pPr>
                  <w:spacing w:before="57"/>
                  <w:ind w:left="20" w:right="-6" w:firstLine="0"/>
                  <w:jc w:val="left"/>
                  <w:rPr>
                    <w:b/>
                    <w:sz w:val="22"/>
                  </w:rPr>
                </w:pPr>
                <w:r>
                  <w:rPr>
                    <w:b/>
                    <w:sz w:val="22"/>
                  </w:rPr>
                  <w:t>For the Year Ended 31 December 2012</w:t>
                </w:r>
              </w:p>
            </w:txbxContent>
          </v:textbox>
          <w10:wrap type="none"/>
        </v:shape>
      </w:pict>
    </w:r>
    <w:r>
      <w:rPr/>
      <w:pict>
        <v:shape style="position:absolute;margin-left:259.100006pt;margin-top:132.40686pt;width:59.05pt;height:11pt;mso-position-horizontal-relative:page;mso-position-vertical-relative:page;z-index:-1312744" type="#_x0000_t202" filled="false" stroked="false">
          <v:textbox inset="0,0,0,0">
            <w:txbxContent>
              <w:p>
                <w:pPr>
                  <w:spacing w:line="204" w:lineRule="exact" w:before="0"/>
                  <w:ind w:left="20" w:right="0" w:firstLine="0"/>
                  <w:jc w:val="left"/>
                  <w:rPr>
                    <w:b/>
                    <w:sz w:val="18"/>
                  </w:rPr>
                </w:pPr>
                <w:r>
                  <w:rPr>
                    <w:b/>
                    <w:sz w:val="18"/>
                  </w:rPr>
                  <w:t>Consolidated</w:t>
                </w:r>
              </w:p>
            </w:txbxContent>
          </v:textbox>
          <w10:wrap type="none"/>
        </v:shape>
      </w:pict>
    </w:r>
    <w:r>
      <w:rPr/>
      <w:pict>
        <v:shape style="position:absolute;margin-left:330.136993pt;margin-top:146.086868pt;width:40.550pt;height:35.050pt;mso-position-horizontal-relative:page;mso-position-vertical-relative:page;z-index:-1312720" type="#_x0000_t202" filled="false" stroked="false">
          <v:textbox inset="0,0,0,0">
            <w:txbxContent>
              <w:p>
                <w:pPr>
                  <w:spacing w:line="206" w:lineRule="exact" w:before="1"/>
                  <w:ind w:left="20" w:right="0" w:firstLine="0"/>
                  <w:jc w:val="left"/>
                  <w:rPr>
                    <w:b/>
                    <w:sz w:val="18"/>
                  </w:rPr>
                </w:pPr>
                <w:r>
                  <w:rPr>
                    <w:b/>
                    <w:sz w:val="18"/>
                  </w:rPr>
                  <w:t>Retained Earnings</w:t>
                </w:r>
              </w:p>
              <w:p>
                <w:pPr>
                  <w:spacing w:before="63"/>
                  <w:ind w:left="20" w:right="0" w:firstLine="0"/>
                  <w:jc w:val="left"/>
                  <w:rPr>
                    <w:b/>
                    <w:sz w:val="18"/>
                  </w:rPr>
                </w:pPr>
                <w:r>
                  <w:rPr>
                    <w:b/>
                    <w:sz w:val="18"/>
                  </w:rPr>
                  <w:t>$'000</w:t>
                </w:r>
              </w:p>
            </w:txbxContent>
          </v:textbox>
          <w10:wrap type="none"/>
        </v:shape>
      </w:pict>
    </w:r>
    <w:r>
      <w:rPr/>
      <w:pict>
        <v:shape style="position:absolute;margin-left:268.937012pt;margin-top:156.409866pt;width:42.05pt;height:24.7pt;mso-position-horizontal-relative:page;mso-position-vertical-relative:page;z-index:-1312696" type="#_x0000_t202" filled="false" stroked="false">
          <v:textbox inset="0,0,0,0">
            <w:txbxContent>
              <w:p>
                <w:pPr>
                  <w:spacing w:line="204" w:lineRule="exact" w:before="0"/>
                  <w:ind w:left="20" w:right="0" w:firstLine="0"/>
                  <w:jc w:val="left"/>
                  <w:rPr>
                    <w:b/>
                    <w:sz w:val="18"/>
                  </w:rPr>
                </w:pPr>
                <w:r>
                  <w:rPr>
                    <w:b/>
                    <w:sz w:val="18"/>
                  </w:rPr>
                  <w:t>Reserves</w:t>
                </w:r>
              </w:p>
              <w:p>
                <w:pPr>
                  <w:spacing w:before="66"/>
                  <w:ind w:left="20" w:right="0" w:firstLine="0"/>
                  <w:jc w:val="left"/>
                  <w:rPr>
                    <w:b/>
                    <w:sz w:val="18"/>
                  </w:rPr>
                </w:pPr>
                <w:r>
                  <w:rPr>
                    <w:b/>
                    <w:sz w:val="18"/>
                  </w:rPr>
                  <w:t>$'000</w:t>
                </w:r>
              </w:p>
            </w:txbxContent>
          </v:textbox>
          <w10:wrap type="none"/>
        </v:shape>
      </w:pict>
    </w:r>
    <w:r>
      <w:rPr/>
      <w:pict>
        <v:shape style="position:absolute;margin-left:389.959991pt;margin-top:156.409866pt;width:24.2pt;height:24.7pt;mso-position-horizontal-relative:page;mso-position-vertical-relative:page;z-index:-1312672" type="#_x0000_t202" filled="false" stroked="false">
          <v:textbox inset="0,0,0,0">
            <w:txbxContent>
              <w:p>
                <w:pPr>
                  <w:spacing w:line="204" w:lineRule="exact" w:before="0"/>
                  <w:ind w:left="20" w:right="0" w:firstLine="0"/>
                  <w:jc w:val="left"/>
                  <w:rPr>
                    <w:b/>
                    <w:sz w:val="18"/>
                  </w:rPr>
                </w:pPr>
                <w:r>
                  <w:rPr>
                    <w:b/>
                    <w:sz w:val="18"/>
                  </w:rPr>
                  <w:t>Total</w:t>
                </w:r>
              </w:p>
              <w:p>
                <w:pPr>
                  <w:spacing w:before="66"/>
                  <w:ind w:left="20" w:right="0" w:firstLine="0"/>
                  <w:jc w:val="left"/>
                  <w:rPr>
                    <w:b/>
                    <w:sz w:val="18"/>
                  </w:rPr>
                </w:pPr>
                <w:r>
                  <w:rPr>
                    <w:b/>
                    <w:sz w:val="18"/>
                  </w:rPr>
                  <w:t>$'000</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57pt;height:13pt;mso-position-horizontal-relative:page;mso-position-vertical-relative:page;z-index:-1312624" type="#_x0000_t202" filled="false" stroked="false">
          <v:textbox inset="0,0,0,0">
            <w:txbxContent>
              <w:p>
                <w:pPr>
                  <w:spacing w:line="245" w:lineRule="exact" w:before="0"/>
                  <w:ind w:left="20" w:right="-6" w:firstLine="0"/>
                  <w:jc w:val="left"/>
                  <w:rPr>
                    <w:b/>
                    <w:sz w:val="22"/>
                  </w:rPr>
                </w:pPr>
                <w:r>
                  <w:rPr>
                    <w:b/>
                    <w:sz w:val="22"/>
                  </w:rPr>
                  <w:t>University of Western Sydney</w:t>
                </w:r>
              </w:p>
            </w:txbxContent>
          </v:textbox>
          <w10:wrap type="none"/>
        </v:shape>
      </w:pict>
    </w:r>
    <w:r>
      <w:rPr/>
      <w:pict>
        <v:shape style="position:absolute;margin-left:49.400002pt;margin-top:80.851501pt;width:201.7pt;height:31.55pt;mso-position-horizontal-relative:page;mso-position-vertical-relative:page;z-index:-1312600" type="#_x0000_t202" filled="false" stroked="false">
          <v:textbox inset="0,0,0,0">
            <w:txbxContent>
              <w:p>
                <w:pPr>
                  <w:spacing w:line="306" w:lineRule="exact" w:before="0"/>
                  <w:ind w:left="20" w:right="-5" w:firstLine="0"/>
                  <w:jc w:val="left"/>
                  <w:rPr>
                    <w:b/>
                    <w:sz w:val="28"/>
                  </w:rPr>
                </w:pPr>
                <w:r>
                  <w:rPr>
                    <w:b/>
                    <w:sz w:val="28"/>
                  </w:rPr>
                  <w:t>Statement of Cash Flows</w:t>
                </w:r>
              </w:p>
              <w:p>
                <w:pPr>
                  <w:spacing w:before="57"/>
                  <w:ind w:left="20" w:right="-5" w:firstLine="0"/>
                  <w:jc w:val="left"/>
                  <w:rPr>
                    <w:b/>
                    <w:sz w:val="22"/>
                  </w:rPr>
                </w:pPr>
                <w:r>
                  <w:rPr>
                    <w:b/>
                    <w:sz w:val="22"/>
                  </w:rPr>
                  <w:t>For the Year Ended 31 December 2012</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57pt;height:13pt;mso-position-horizontal-relative:page;mso-position-vertical-relative:page;z-index:-1312552" type="#_x0000_t202" filled="false" stroked="false">
          <v:textbox inset="0,0,0,0">
            <w:txbxContent>
              <w:p>
                <w:pPr>
                  <w:spacing w:line="245" w:lineRule="exact" w:before="0"/>
                  <w:ind w:left="20" w:right="-6" w:firstLine="0"/>
                  <w:jc w:val="left"/>
                  <w:rPr>
                    <w:b/>
                    <w:sz w:val="22"/>
                  </w:rPr>
                </w:pPr>
                <w:r>
                  <w:rPr>
                    <w:b/>
                    <w:sz w:val="22"/>
                  </w:rPr>
                  <w:t>University of Western Sydney</w:t>
                </w:r>
              </w:p>
            </w:txbxContent>
          </v:textbox>
          <w10:wrap type="none"/>
        </v:shape>
      </w:pict>
    </w:r>
    <w:r>
      <w:rPr/>
      <w:pict>
        <v:shape style="position:absolute;margin-left:49.400002pt;margin-top:80.851501pt;width:226.55pt;height:31.55pt;mso-position-horizontal-relative:page;mso-position-vertical-relative:page;z-index:-1312528"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2012</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90499pt;margin-top:50.882744pt;width:157pt;height:13pt;mso-position-horizontal-relative:page;mso-position-vertical-relative:page;z-index:-1312408" type="#_x0000_t202" filled="false" stroked="false">
          <v:textbox inset="0,0,0,0">
            <w:txbxContent>
              <w:p>
                <w:pPr>
                  <w:spacing w:line="245" w:lineRule="exact" w:before="0"/>
                  <w:ind w:left="20" w:right="-6" w:firstLine="0"/>
                  <w:jc w:val="left"/>
                  <w:rPr>
                    <w:b/>
                    <w:sz w:val="22"/>
                  </w:rPr>
                </w:pPr>
                <w:r>
                  <w:rPr>
                    <w:b/>
                    <w:sz w:val="22"/>
                  </w:rPr>
                  <w:t>University of Western Sydney</w:t>
                </w:r>
              </w:p>
            </w:txbxContent>
          </v:textbox>
          <w10:wrap type="none"/>
        </v:shape>
      </w:pict>
    </w:r>
    <w:r>
      <w:rPr/>
      <w:pict>
        <v:shape style="position:absolute;margin-left:49.390499pt;margin-top:80.851799pt;width:222.8pt;height:31.55pt;mso-position-horizontal-relative:page;mso-position-vertical-relative:page;z-index:-1312384" type="#_x0000_t202" filled="false" stroked="false">
          <v:textbox inset="0,0,0,0">
            <w:txbxContent>
              <w:p>
                <w:pPr>
                  <w:spacing w:line="306" w:lineRule="exact" w:before="0"/>
                  <w:ind w:left="20" w:right="-3" w:firstLine="0"/>
                  <w:jc w:val="left"/>
                  <w:rPr>
                    <w:b/>
                    <w:sz w:val="28"/>
                  </w:rPr>
                </w:pPr>
                <w:r>
                  <w:rPr>
                    <w:b/>
                    <w:spacing w:val="-3"/>
                    <w:sz w:val="28"/>
                  </w:rPr>
                  <w:t>Notes </w:t>
                </w:r>
                <w:r>
                  <w:rPr>
                    <w:b/>
                    <w:sz w:val="28"/>
                  </w:rPr>
                  <w:t>to the </w:t>
                </w:r>
                <w:r>
                  <w:rPr>
                    <w:b/>
                    <w:spacing w:val="-3"/>
                    <w:sz w:val="28"/>
                  </w:rPr>
                  <w:t>Financial Statements</w:t>
                </w:r>
              </w:p>
              <w:p>
                <w:pPr>
                  <w:spacing w:before="57"/>
                  <w:ind w:left="20" w:right="-3" w:firstLine="0"/>
                  <w:jc w:val="left"/>
                  <w:rPr>
                    <w:b/>
                    <w:sz w:val="22"/>
                  </w:rPr>
                </w:pPr>
                <w:r>
                  <w:rPr>
                    <w:b/>
                    <w:sz w:val="22"/>
                  </w:rPr>
                  <w:t>For the Year Ended 31 December 2012</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57pt;height:13pt;mso-position-horizontal-relative:page;mso-position-vertical-relative:page;z-index:-1312336" type="#_x0000_t202" filled="false" stroked="false">
          <v:textbox inset="0,0,0,0">
            <w:txbxContent>
              <w:p>
                <w:pPr>
                  <w:spacing w:line="245" w:lineRule="exact" w:before="0"/>
                  <w:ind w:left="20" w:right="-6" w:firstLine="0"/>
                  <w:jc w:val="left"/>
                  <w:rPr>
                    <w:b/>
                    <w:sz w:val="22"/>
                  </w:rPr>
                </w:pPr>
                <w:r>
                  <w:rPr>
                    <w:b/>
                    <w:sz w:val="22"/>
                  </w:rPr>
                  <w:t>University of Western Sydney</w:t>
                </w:r>
              </w:p>
            </w:txbxContent>
          </v:textbox>
          <w10:wrap type="none"/>
        </v:shape>
      </w:pict>
    </w:r>
    <w:r>
      <w:rPr/>
      <w:pict>
        <v:shape style="position:absolute;margin-left:49.400002pt;margin-top:80.851501pt;width:226.55pt;height:31.55pt;mso-position-horizontal-relative:page;mso-position-vertical-relative:page;z-index:-1312312"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2012</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57pt;height:13pt;mso-position-horizontal-relative:page;mso-position-vertical-relative:page;z-index:-1312192" type="#_x0000_t202" filled="false" stroked="false">
          <v:textbox inset="0,0,0,0">
            <w:txbxContent>
              <w:p>
                <w:pPr>
                  <w:spacing w:line="245" w:lineRule="exact" w:before="0"/>
                  <w:ind w:left="20" w:right="-6" w:firstLine="0"/>
                  <w:jc w:val="left"/>
                  <w:rPr>
                    <w:b/>
                    <w:sz w:val="22"/>
                  </w:rPr>
                </w:pPr>
                <w:r>
                  <w:rPr>
                    <w:b/>
                    <w:sz w:val="22"/>
                  </w:rPr>
                  <w:t>University of Western Sydney</w:t>
                </w:r>
              </w:p>
            </w:txbxContent>
          </v:textbox>
          <w10:wrap type="none"/>
        </v:shape>
      </w:pict>
    </w:r>
    <w:r>
      <w:rPr/>
      <w:pict>
        <v:shape style="position:absolute;margin-left:49.400002pt;margin-top:80.851501pt;width:226.55pt;height:31.55pt;mso-position-horizontal-relative:page;mso-position-vertical-relative:page;z-index:-1312168"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2012</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90499pt;margin-top:50.882744pt;width:157pt;height:13pt;mso-position-horizontal-relative:page;mso-position-vertical-relative:page;z-index:-1312120" type="#_x0000_t202" filled="false" stroked="false">
          <v:textbox inset="0,0,0,0">
            <w:txbxContent>
              <w:p>
                <w:pPr>
                  <w:spacing w:line="245" w:lineRule="exact" w:before="0"/>
                  <w:ind w:left="20" w:right="-6" w:firstLine="0"/>
                  <w:jc w:val="left"/>
                  <w:rPr>
                    <w:b/>
                    <w:sz w:val="22"/>
                  </w:rPr>
                </w:pPr>
                <w:r>
                  <w:rPr>
                    <w:b/>
                    <w:sz w:val="22"/>
                  </w:rPr>
                  <w:t>University of Western Sydney</w:t>
                </w:r>
              </w:p>
            </w:txbxContent>
          </v:textbox>
          <w10:wrap type="none"/>
        </v:shape>
      </w:pict>
    </w:r>
    <w:r>
      <w:rPr/>
      <w:pict>
        <v:shape style="position:absolute;margin-left:49.390499pt;margin-top:80.851799pt;width:226.55pt;height:31.55pt;mso-position-horizontal-relative:page;mso-position-vertical-relative:page;z-index:-1312096"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2012</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57pt;height:13pt;mso-position-horizontal-relative:page;mso-position-vertical-relative:page;z-index:-1312000" type="#_x0000_t202" filled="false" stroked="false">
          <v:textbox inset="0,0,0,0">
            <w:txbxContent>
              <w:p>
                <w:pPr>
                  <w:spacing w:line="245" w:lineRule="exact" w:before="0"/>
                  <w:ind w:left="20" w:right="-6" w:firstLine="0"/>
                  <w:jc w:val="left"/>
                  <w:rPr>
                    <w:b/>
                    <w:sz w:val="22"/>
                  </w:rPr>
                </w:pPr>
                <w:r>
                  <w:rPr>
                    <w:b/>
                    <w:sz w:val="22"/>
                  </w:rPr>
                  <w:t>University of Western Sydney</w:t>
                </w:r>
              </w:p>
            </w:txbxContent>
          </v:textbox>
          <w10:wrap type="none"/>
        </v:shape>
      </w:pict>
    </w:r>
    <w:r>
      <w:rPr/>
      <w:pict>
        <v:shape style="position:absolute;margin-left:49.400002pt;margin-top:80.851501pt;width:226.55pt;height:31.55pt;mso-position-horizontal-relative:page;mso-position-vertical-relative:page;z-index:-1311976"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2012</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774105pt;width:170.85pt;height:24.05pt;mso-position-horizontal-relative:page;mso-position-vertical-relative:page;z-index:-1311784" type="#_x0000_t202" filled="false" stroked="false">
          <v:textbox inset="0,0,0,0">
            <w:txbxContent>
              <w:p>
                <w:pPr>
                  <w:spacing w:line="246" w:lineRule="exact" w:before="0"/>
                  <w:ind w:left="20" w:right="0" w:firstLine="0"/>
                  <w:jc w:val="left"/>
                  <w:rPr>
                    <w:b/>
                    <w:sz w:val="22"/>
                  </w:rPr>
                </w:pPr>
                <w:r>
                  <w:rPr>
                    <w:b/>
                    <w:sz w:val="22"/>
                  </w:rPr>
                  <w:t>Television Sydney (TVS)</w:t>
                </w:r>
                <w:r>
                  <w:rPr>
                    <w:b/>
                    <w:spacing w:val="-34"/>
                    <w:sz w:val="22"/>
                  </w:rPr>
                  <w:t> </w:t>
                </w:r>
                <w:r>
                  <w:rPr>
                    <w:b/>
                    <w:sz w:val="22"/>
                  </w:rPr>
                  <w:t>Limited</w:t>
                </w:r>
              </w:p>
              <w:p>
                <w:pPr>
                  <w:spacing w:before="57"/>
                  <w:ind w:left="20" w:right="0" w:firstLine="0"/>
                  <w:jc w:val="left"/>
                  <w:rPr>
                    <w:b/>
                    <w:sz w:val="14"/>
                  </w:rPr>
                </w:pPr>
                <w:r>
                  <w:rPr>
                    <w:b/>
                    <w:sz w:val="14"/>
                  </w:rPr>
                  <w:t>ABN 27104674124</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774105pt;width:170.85pt;height:24.05pt;mso-position-horizontal-relative:page;mso-position-vertical-relative:page;z-index:-1311736" type="#_x0000_t202" filled="false" stroked="false">
          <v:textbox inset="0,0,0,0">
            <w:txbxContent>
              <w:p>
                <w:pPr>
                  <w:spacing w:line="246" w:lineRule="exact" w:before="0"/>
                  <w:ind w:left="20" w:right="0" w:firstLine="0"/>
                  <w:jc w:val="left"/>
                  <w:rPr>
                    <w:b/>
                    <w:sz w:val="22"/>
                  </w:rPr>
                </w:pPr>
                <w:r>
                  <w:rPr>
                    <w:b/>
                    <w:sz w:val="22"/>
                  </w:rPr>
                  <w:t>Television Sydney (TVS)</w:t>
                </w:r>
                <w:r>
                  <w:rPr>
                    <w:b/>
                    <w:spacing w:val="-34"/>
                    <w:sz w:val="22"/>
                  </w:rPr>
                  <w:t> </w:t>
                </w:r>
                <w:r>
                  <w:rPr>
                    <w:b/>
                    <w:sz w:val="22"/>
                  </w:rPr>
                  <w:t>Limited</w:t>
                </w:r>
              </w:p>
              <w:p>
                <w:pPr>
                  <w:spacing w:before="57"/>
                  <w:ind w:left="20" w:right="0" w:firstLine="0"/>
                  <w:jc w:val="left"/>
                  <w:rPr>
                    <w:b/>
                    <w:sz w:val="14"/>
                  </w:rPr>
                </w:pPr>
                <w:r>
                  <w:rPr>
                    <w:b/>
                    <w:sz w:val="14"/>
                  </w:rPr>
                  <w:t>ABN 27104674124</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400002pt;margin-top:62.774105pt;width:170.85pt;height:24.05pt;mso-position-horizontal-relative:page;mso-position-vertical-relative:page;z-index:-1311712" type="#_x0000_t202" filled="false" stroked="false">
          <v:textbox inset="0,0,0,0">
            <w:txbxContent>
              <w:p>
                <w:pPr>
                  <w:spacing w:line="246" w:lineRule="exact" w:before="0"/>
                  <w:ind w:left="20" w:right="0" w:firstLine="0"/>
                  <w:jc w:val="left"/>
                  <w:rPr>
                    <w:b/>
                    <w:sz w:val="22"/>
                  </w:rPr>
                </w:pPr>
                <w:r>
                  <w:rPr>
                    <w:b/>
                    <w:sz w:val="22"/>
                  </w:rPr>
                  <w:t>Television Sydney (TVS)</w:t>
                </w:r>
                <w:r>
                  <w:rPr>
                    <w:b/>
                    <w:spacing w:val="-34"/>
                    <w:sz w:val="22"/>
                  </w:rPr>
                  <w:t> </w:t>
                </w:r>
                <w:r>
                  <w:rPr>
                    <w:b/>
                    <w:sz w:val="22"/>
                  </w:rPr>
                  <w:t>Limited</w:t>
                </w:r>
              </w:p>
              <w:p>
                <w:pPr>
                  <w:spacing w:before="57"/>
                  <w:ind w:left="20" w:right="0" w:firstLine="0"/>
                  <w:jc w:val="left"/>
                  <w:rPr>
                    <w:b/>
                    <w:sz w:val="14"/>
                  </w:rPr>
                </w:pPr>
                <w:r>
                  <w:rPr>
                    <w:b/>
                    <w:sz w:val="14"/>
                  </w:rPr>
                  <w:t>ABN 27104674124</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262.7pt;height:23.95pt;mso-position-horizontal-relative:page;mso-position-vertical-relative:page;z-index:-1311544" type="#_x0000_t202" filled="false" stroked="false">
          <v:textbox inset="0,0,0,0">
            <w:txbxContent>
              <w:p>
                <w:pPr>
                  <w:spacing w:line="246" w:lineRule="exact" w:before="0"/>
                  <w:ind w:left="20" w:right="0" w:firstLine="0"/>
                  <w:jc w:val="left"/>
                  <w:rPr>
                    <w:b/>
                    <w:sz w:val="22"/>
                  </w:rPr>
                </w:pPr>
                <w:r>
                  <w:rPr>
                    <w:b/>
                    <w:sz w:val="22"/>
                  </w:rPr>
                  <w:t>University of Western Sydney Foundation Limited</w:t>
                </w:r>
              </w:p>
              <w:p>
                <w:pPr>
                  <w:spacing w:before="55"/>
                  <w:ind w:left="20" w:right="0" w:firstLine="0"/>
                  <w:jc w:val="left"/>
                  <w:rPr>
                    <w:b/>
                    <w:sz w:val="14"/>
                  </w:rPr>
                </w:pPr>
                <w:r>
                  <w:rPr>
                    <w:b/>
                    <w:sz w:val="14"/>
                  </w:rPr>
                  <w:t>ABN: 43 050 679 671</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123959">
          <wp:simplePos x="0" y="0"/>
          <wp:positionH relativeFrom="page">
            <wp:posOffset>3243072</wp:posOffset>
          </wp:positionH>
          <wp:positionV relativeFrom="page">
            <wp:posOffset>557783</wp:posOffset>
          </wp:positionV>
          <wp:extent cx="1011936" cy="1048511"/>
          <wp:effectExtent l="0" t="0" r="0" b="0"/>
          <wp:wrapNone/>
          <wp:docPr id="57" name="image56.jpeg" descr=""/>
          <wp:cNvGraphicFramePr>
            <a:graphicFrameLocks noChangeAspect="1"/>
          </wp:cNvGraphicFramePr>
          <a:graphic>
            <a:graphicData uri="http://schemas.openxmlformats.org/drawingml/2006/picture">
              <pic:pic>
                <pic:nvPicPr>
                  <pic:cNvPr id="58" name="image56.jpeg"/>
                  <pic:cNvPicPr/>
                </pic:nvPicPr>
                <pic:blipFill>
                  <a:blip r:embed="rId1" cstate="print"/>
                  <a:stretch>
                    <a:fillRect/>
                  </a:stretch>
                </pic:blipFill>
                <pic:spPr>
                  <a:xfrm>
                    <a:off x="0" y="0"/>
                    <a:ext cx="1011936" cy="1048511"/>
                  </a:xfrm>
                  <a:prstGeom prst="rect">
                    <a:avLst/>
                  </a:prstGeom>
                </pic:spPr>
              </pic:pic>
            </a:graphicData>
          </a:graphic>
        </wp:anchor>
      </w:drawing>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262.7pt;height:23.95pt;mso-position-horizontal-relative:page;mso-position-vertical-relative:page;z-index:-1311400" type="#_x0000_t202" filled="false" stroked="false">
          <v:textbox inset="0,0,0,0">
            <w:txbxContent>
              <w:p>
                <w:pPr>
                  <w:spacing w:line="246" w:lineRule="exact" w:before="0"/>
                  <w:ind w:left="20" w:right="0" w:firstLine="0"/>
                  <w:jc w:val="left"/>
                  <w:rPr>
                    <w:b/>
                    <w:sz w:val="22"/>
                  </w:rPr>
                </w:pPr>
                <w:r>
                  <w:rPr>
                    <w:b/>
                    <w:sz w:val="22"/>
                  </w:rPr>
                  <w:t>University of Western Sydney Foundation Limited</w:t>
                </w:r>
              </w:p>
              <w:p>
                <w:pPr>
                  <w:spacing w:before="55"/>
                  <w:ind w:left="20" w:right="0" w:firstLine="0"/>
                  <w:jc w:val="left"/>
                  <w:rPr>
                    <w:b/>
                    <w:sz w:val="14"/>
                  </w:rPr>
                </w:pPr>
                <w:r>
                  <w:rPr>
                    <w:b/>
                    <w:sz w:val="14"/>
                  </w:rPr>
                  <w:t>ABN: 43 050 679 671</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250.75pt;height:23.95pt;mso-position-horizontal-relative:page;mso-position-vertical-relative:page;z-index:-1311184" type="#_x0000_t202" filled="false" stroked="false">
          <v:textbox inset="0,0,0,0">
            <w:txbxContent>
              <w:p>
                <w:pPr>
                  <w:spacing w:line="246" w:lineRule="exact" w:before="0"/>
                  <w:ind w:left="20" w:right="-1" w:firstLine="0"/>
                  <w:jc w:val="left"/>
                  <w:rPr>
                    <w:b/>
                    <w:sz w:val="22"/>
                  </w:rPr>
                </w:pPr>
                <w:r>
                  <w:rPr>
                    <w:b/>
                    <w:sz w:val="22"/>
                  </w:rPr>
                  <w:t>University of Western Sydney Foundation Trust</w:t>
                </w:r>
              </w:p>
              <w:p>
                <w:pPr>
                  <w:spacing w:before="55"/>
                  <w:ind w:left="20" w:right="-1" w:firstLine="0"/>
                  <w:jc w:val="left"/>
                  <w:rPr>
                    <w:b/>
                    <w:sz w:val="14"/>
                  </w:rPr>
                </w:pPr>
                <w:r>
                  <w:rPr>
                    <w:b/>
                    <w:sz w:val="14"/>
                  </w:rPr>
                  <w:t>ABN: 13 921 771 681</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32.6pt;height:23.95pt;mso-position-horizontal-relative:page;mso-position-vertical-relative:page;z-index:-1311088" type="#_x0000_t202" filled="false" stroked="false">
          <v:textbox inset="0,0,0,0">
            <w:txbxContent>
              <w:p>
                <w:pPr>
                  <w:spacing w:line="245" w:lineRule="exact" w:before="0"/>
                  <w:ind w:left="20" w:right="-4" w:firstLine="0"/>
                  <w:jc w:val="left"/>
                  <w:rPr>
                    <w:b/>
                    <w:sz w:val="22"/>
                  </w:rPr>
                </w:pPr>
                <w:r>
                  <w:rPr>
                    <w:b/>
                    <w:sz w:val="22"/>
                  </w:rPr>
                  <w:t>UWS College Pty Limited</w:t>
                </w:r>
              </w:p>
              <w:p>
                <w:pPr>
                  <w:spacing w:before="56"/>
                  <w:ind w:left="20" w:right="-4" w:firstLine="0"/>
                  <w:jc w:val="left"/>
                  <w:rPr>
                    <w:b/>
                    <w:sz w:val="14"/>
                  </w:rPr>
                </w:pPr>
                <w:r>
                  <w:rPr>
                    <w:b/>
                    <w:sz w:val="14"/>
                  </w:rPr>
                  <w:t>ABN: 44 003 474 468</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32.6pt;height:23.95pt;mso-position-horizontal-relative:page;mso-position-vertical-relative:page;z-index:-1310992" type="#_x0000_t202" filled="false" stroked="false">
          <v:textbox inset="0,0,0,0">
            <w:txbxContent>
              <w:p>
                <w:pPr>
                  <w:spacing w:line="245" w:lineRule="exact" w:before="0"/>
                  <w:ind w:left="20" w:right="-4" w:firstLine="0"/>
                  <w:jc w:val="left"/>
                  <w:rPr>
                    <w:b/>
                    <w:sz w:val="22"/>
                  </w:rPr>
                </w:pPr>
                <w:r>
                  <w:rPr>
                    <w:b/>
                    <w:sz w:val="22"/>
                  </w:rPr>
                  <w:t>UWS College Pty Limited</w:t>
                </w:r>
              </w:p>
              <w:p>
                <w:pPr>
                  <w:spacing w:before="56"/>
                  <w:ind w:left="20" w:right="-4" w:firstLine="0"/>
                  <w:jc w:val="left"/>
                  <w:rPr>
                    <w:b/>
                    <w:sz w:val="14"/>
                  </w:rPr>
                </w:pPr>
                <w:r>
                  <w:rPr>
                    <w:b/>
                    <w:sz w:val="14"/>
                  </w:rPr>
                  <w:t>ABN: 44 003 474 468</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32.6pt;height:23.95pt;mso-position-horizontal-relative:page;mso-position-vertical-relative:page;z-index:-1310968" type="#_x0000_t202" filled="false" stroked="false">
          <v:textbox inset="0,0,0,0">
            <w:txbxContent>
              <w:p>
                <w:pPr>
                  <w:spacing w:line="245" w:lineRule="exact" w:before="0"/>
                  <w:ind w:left="20" w:right="-4" w:firstLine="0"/>
                  <w:jc w:val="left"/>
                  <w:rPr>
                    <w:b/>
                    <w:sz w:val="22"/>
                  </w:rPr>
                </w:pPr>
                <w:r>
                  <w:rPr>
                    <w:b/>
                    <w:sz w:val="22"/>
                  </w:rPr>
                  <w:t>UWS College Pty Limited</w:t>
                </w:r>
              </w:p>
              <w:p>
                <w:pPr>
                  <w:spacing w:before="56"/>
                  <w:ind w:left="20" w:right="-4" w:firstLine="0"/>
                  <w:jc w:val="left"/>
                  <w:rPr>
                    <w:b/>
                    <w:sz w:val="14"/>
                  </w:rPr>
                </w:pPr>
                <w:r>
                  <w:rPr>
                    <w:b/>
                    <w:sz w:val="14"/>
                  </w:rPr>
                  <w:t>ABN: 44 003 474 468</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299999pt;margin-top:45.782444pt;width:107.55pt;height:21.15pt;mso-position-horizontal-relative:page;mso-position-vertical-relative:page;z-index:-1310848" type="#_x0000_t202" filled="false" stroked="false">
          <v:textbox inset="0,0,0,0">
            <w:txbxContent>
              <w:p>
                <w:pPr>
                  <w:spacing w:line="244" w:lineRule="exact" w:before="0"/>
                  <w:ind w:left="20" w:right="-4" w:firstLine="0"/>
                  <w:jc w:val="left"/>
                  <w:rPr>
                    <w:b/>
                    <w:sz w:val="22"/>
                  </w:rPr>
                </w:pPr>
                <w:r>
                  <w:rPr>
                    <w:b/>
                    <w:sz w:val="22"/>
                  </w:rPr>
                  <w:t>uwsconnect Limited</w:t>
                </w:r>
              </w:p>
              <w:p>
                <w:pPr>
                  <w:spacing w:before="0"/>
                  <w:ind w:left="20" w:right="-4" w:firstLine="0"/>
                  <w:jc w:val="left"/>
                  <w:rPr>
                    <w:sz w:val="14"/>
                  </w:rPr>
                </w:pPr>
                <w:r>
                  <w:rPr>
                    <w:sz w:val="14"/>
                  </w:rPr>
                  <w:t>ABN: 45 107 759 197</w:t>
                </w:r>
              </w:p>
            </w:txbxContent>
          </v:textbox>
          <w10:wrap type="none"/>
        </v:shape>
      </w:pict>
    </w:r>
    <w:r>
      <w:rPr/>
      <w:pict>
        <v:shape style="position:absolute;margin-left:44.299999pt;margin-top:74.851501pt;width:115.65pt;height:28.75pt;mso-position-horizontal-relative:page;mso-position-vertical-relative:page;z-index:-1310824" type="#_x0000_t202" filled="false" stroked="false">
          <v:textbox inset="0,0,0,0">
            <w:txbxContent>
              <w:p>
                <w:pPr>
                  <w:spacing w:line="306" w:lineRule="exact" w:before="0"/>
                  <w:ind w:left="20" w:right="-3" w:firstLine="0"/>
                  <w:jc w:val="left"/>
                  <w:rPr>
                    <w:b/>
                    <w:sz w:val="28"/>
                  </w:rPr>
                </w:pPr>
                <w:r>
                  <w:rPr>
                    <w:b/>
                    <w:sz w:val="28"/>
                  </w:rPr>
                  <w:t>Directors' Report</w:t>
                </w:r>
              </w:p>
              <w:p>
                <w:pPr>
                  <w:spacing w:before="0"/>
                  <w:ind w:left="20" w:right="-3" w:firstLine="0"/>
                  <w:jc w:val="left"/>
                  <w:rPr>
                    <w:b/>
                    <w:sz w:val="22"/>
                  </w:rPr>
                </w:pPr>
                <w:r>
                  <w:rPr>
                    <w:b/>
                    <w:sz w:val="22"/>
                  </w:rPr>
                  <w:t>31 December 2012</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299999pt;margin-top:45.782444pt;width:107.55pt;height:21.15pt;mso-position-horizontal-relative:page;mso-position-vertical-relative:page;z-index:-1310704" type="#_x0000_t202" filled="false" stroked="false">
          <v:textbox inset="0,0,0,0">
            <w:txbxContent>
              <w:p>
                <w:pPr>
                  <w:spacing w:line="244" w:lineRule="exact" w:before="0"/>
                  <w:ind w:left="20" w:right="-4" w:firstLine="0"/>
                  <w:jc w:val="left"/>
                  <w:rPr>
                    <w:b/>
                    <w:sz w:val="22"/>
                  </w:rPr>
                </w:pPr>
                <w:r>
                  <w:rPr>
                    <w:b/>
                    <w:sz w:val="22"/>
                  </w:rPr>
                  <w:t>uwsconnect Limited</w:t>
                </w:r>
              </w:p>
              <w:p>
                <w:pPr>
                  <w:spacing w:before="0"/>
                  <w:ind w:left="20" w:right="-4" w:firstLine="0"/>
                  <w:jc w:val="left"/>
                  <w:rPr>
                    <w:sz w:val="14"/>
                  </w:rPr>
                </w:pPr>
                <w:r>
                  <w:rPr>
                    <w:sz w:val="14"/>
                  </w:rPr>
                  <w:t>ABN: 45 107 759 197</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299999pt;margin-top:45.782444pt;width:107.55pt;height:21.15pt;mso-position-horizontal-relative:page;mso-position-vertical-relative:page;z-index:-1310680" type="#_x0000_t202" filled="false" stroked="false">
          <v:textbox inset="0,0,0,0">
            <w:txbxContent>
              <w:p>
                <w:pPr>
                  <w:spacing w:line="244" w:lineRule="exact" w:before="0"/>
                  <w:ind w:left="20" w:right="-4" w:firstLine="0"/>
                  <w:jc w:val="left"/>
                  <w:rPr>
                    <w:b/>
                    <w:sz w:val="22"/>
                  </w:rPr>
                </w:pPr>
                <w:r>
                  <w:rPr>
                    <w:b/>
                    <w:sz w:val="22"/>
                  </w:rPr>
                  <w:t>uwsconnect Limited</w:t>
                </w:r>
              </w:p>
              <w:p>
                <w:pPr>
                  <w:spacing w:before="0"/>
                  <w:ind w:left="20" w:right="-4" w:firstLine="0"/>
                  <w:jc w:val="left"/>
                  <w:rPr>
                    <w:sz w:val="14"/>
                  </w:rPr>
                </w:pPr>
                <w:r>
                  <w:rPr>
                    <w:sz w:val="14"/>
                  </w:rPr>
                  <w:t>ABN: 45 107 759 197</w:t>
                </w:r>
              </w:p>
            </w:txbxContent>
          </v:textbox>
          <w10:wrap type="none"/>
        </v:shape>
      </w:pict>
    </w:r>
    <w:r>
      <w:rPr/>
      <w:pict>
        <v:shape style="position:absolute;margin-left:44.299999pt;margin-top:74.851501pt;width:221.1pt;height:28.75pt;mso-position-horizontal-relative:page;mso-position-vertical-relative:page;z-index:-1310656"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0"/>
                  <w:ind w:left="20" w:right="-6" w:firstLine="0"/>
                  <w:jc w:val="left"/>
                  <w:rPr>
                    <w:b/>
                    <w:sz w:val="22"/>
                  </w:rPr>
                </w:pPr>
                <w:r>
                  <w:rPr>
                    <w:b/>
                    <w:sz w:val="22"/>
                  </w:rPr>
                  <w:t>For the year ended  31 December 2012</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36.134251pt;width:149.4pt;height:23.95pt;mso-position-horizontal-relative:page;mso-position-vertical-relative:page;z-index:-1310560" type="#_x0000_t202" filled="false" stroked="false">
          <v:textbox inset="0,0,0,0">
            <w:txbxContent>
              <w:p>
                <w:pPr>
                  <w:spacing w:line="246" w:lineRule="exact" w:before="0"/>
                  <w:ind w:left="20" w:right="0" w:firstLine="0"/>
                  <w:jc w:val="left"/>
                  <w:rPr>
                    <w:b/>
                    <w:sz w:val="22"/>
                  </w:rPr>
                </w:pPr>
                <w:r>
                  <w:rPr>
                    <w:b/>
                    <w:sz w:val="22"/>
                  </w:rPr>
                  <w:t>UWS Early Learning Limited</w:t>
                </w:r>
              </w:p>
              <w:p>
                <w:pPr>
                  <w:spacing w:before="55"/>
                  <w:ind w:left="20" w:right="0" w:firstLine="0"/>
                  <w:jc w:val="left"/>
                  <w:rPr>
                    <w:b/>
                    <w:sz w:val="14"/>
                  </w:rPr>
                </w:pPr>
                <w:r>
                  <w:rPr>
                    <w:b/>
                    <w:sz w:val="14"/>
                  </w:rPr>
                  <w:t>ABN 39155993445</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36.134251pt;width:149.4pt;height:23.95pt;mso-position-horizontal-relative:page;mso-position-vertical-relative:page;z-index:-1310512" type="#_x0000_t202" filled="false" stroked="false">
          <v:textbox inset="0,0,0,0">
            <w:txbxContent>
              <w:p>
                <w:pPr>
                  <w:spacing w:line="246" w:lineRule="exact" w:before="0"/>
                  <w:ind w:left="20" w:right="0" w:firstLine="0"/>
                  <w:jc w:val="left"/>
                  <w:rPr>
                    <w:b/>
                    <w:sz w:val="22"/>
                  </w:rPr>
                </w:pPr>
                <w:r>
                  <w:rPr>
                    <w:b/>
                    <w:sz w:val="22"/>
                  </w:rPr>
                  <w:t>UWS Early Learning Limited</w:t>
                </w:r>
              </w:p>
              <w:p>
                <w:pPr>
                  <w:spacing w:before="55"/>
                  <w:ind w:left="20" w:right="0" w:firstLine="0"/>
                  <w:jc w:val="left"/>
                  <w:rPr>
                    <w:b/>
                    <w:sz w:val="14"/>
                  </w:rPr>
                </w:pPr>
                <w:r>
                  <w:rPr>
                    <w:b/>
                    <w:sz w:val="14"/>
                  </w:rPr>
                  <w:t>ABN 39155993445</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344.9pt;height:23.95pt;mso-position-horizontal-relative:page;mso-position-vertical-relative:page;z-index:-1310320" type="#_x0000_t202" filled="false" stroked="false">
          <v:textbox inset="0,0,0,0">
            <w:txbxContent>
              <w:p>
                <w:pPr>
                  <w:spacing w:line="245" w:lineRule="exact" w:before="0"/>
                  <w:ind w:left="20" w:right="-12" w:firstLine="0"/>
                  <w:jc w:val="left"/>
                  <w:rPr>
                    <w:b/>
                    <w:sz w:val="22"/>
                  </w:rPr>
                </w:pPr>
                <w:r>
                  <w:rPr>
                    <w:b/>
                    <w:sz w:val="22"/>
                  </w:rPr>
                  <w:t>Whitlam Institute within the University of Western Sydney Limited</w:t>
                </w:r>
              </w:p>
              <w:p>
                <w:pPr>
                  <w:spacing w:before="56"/>
                  <w:ind w:left="20" w:right="-12" w:firstLine="0"/>
                  <w:jc w:val="left"/>
                  <w:rPr>
                    <w:b/>
                    <w:sz w:val="14"/>
                  </w:rPr>
                </w:pPr>
                <w:r>
                  <w:rPr>
                    <w:b/>
                    <w:sz w:val="14"/>
                  </w:rPr>
                  <w:t>ABN: 50 100 342 309</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344.9pt;height:23.95pt;mso-position-horizontal-relative:page;mso-position-vertical-relative:page;z-index:-1310200" type="#_x0000_t202" filled="false" stroked="false">
          <v:textbox inset="0,0,0,0">
            <w:txbxContent>
              <w:p>
                <w:pPr>
                  <w:spacing w:line="245" w:lineRule="exact" w:before="0"/>
                  <w:ind w:left="20" w:right="-12" w:firstLine="0"/>
                  <w:jc w:val="left"/>
                  <w:rPr>
                    <w:b/>
                    <w:sz w:val="22"/>
                  </w:rPr>
                </w:pPr>
                <w:r>
                  <w:rPr>
                    <w:b/>
                    <w:sz w:val="22"/>
                  </w:rPr>
                  <w:t>Whitlam Institute within the University of Western Sydney Limited</w:t>
                </w:r>
              </w:p>
              <w:p>
                <w:pPr>
                  <w:spacing w:before="56"/>
                  <w:ind w:left="20" w:right="-12" w:firstLine="0"/>
                  <w:jc w:val="left"/>
                  <w:rPr>
                    <w:b/>
                    <w:sz w:val="14"/>
                  </w:rPr>
                </w:pPr>
                <w:r>
                  <w:rPr>
                    <w:b/>
                    <w:sz w:val="14"/>
                  </w:rPr>
                  <w:t>ABN: 50 100 342 309</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336.6pt;height:23.95pt;mso-position-horizontal-relative:page;mso-position-vertical-relative:page;z-index:-1310056" type="#_x0000_t202" filled="false" stroked="false">
          <v:textbox inset="0,0,0,0">
            <w:txbxContent>
              <w:p>
                <w:pPr>
                  <w:spacing w:line="246" w:lineRule="exact" w:before="0"/>
                  <w:ind w:left="20" w:right="0" w:firstLine="0"/>
                  <w:jc w:val="left"/>
                  <w:rPr>
                    <w:b/>
                    <w:sz w:val="22"/>
                  </w:rPr>
                </w:pPr>
                <w:r>
                  <w:rPr>
                    <w:b/>
                    <w:sz w:val="22"/>
                  </w:rPr>
                  <w:t>Whitlam Institute Within the University of Western Sydney Trust</w:t>
                </w:r>
              </w:p>
              <w:p>
                <w:pPr>
                  <w:spacing w:before="55"/>
                  <w:ind w:left="20" w:right="0" w:firstLine="0"/>
                  <w:jc w:val="left"/>
                  <w:rPr>
                    <w:b/>
                    <w:sz w:val="14"/>
                  </w:rPr>
                </w:pPr>
                <w:r>
                  <w:rPr>
                    <w:b/>
                    <w:sz w:val="14"/>
                  </w:rPr>
                  <w:t>ABN: 42 247 216 279</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1.97699pt;margin-top:35.446869pt;width:143.550pt;height:11pt;mso-position-horizontal-relative:page;mso-position-vertical-relative:page;z-index:-1309912" type="#_x0000_t202" filled="false" stroked="false">
          <v:textbox inset="0,0,0,0">
            <w:txbxContent>
              <w:p>
                <w:pPr>
                  <w:pStyle w:val="BodyText"/>
                  <w:spacing w:line="204" w:lineRule="exact"/>
                  <w:ind w:left="20" w:right="-1"/>
                </w:pPr>
                <w:r>
                  <w:rPr/>
                  <w:t>Budget and Performance Indicators</w:t>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2">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lowerRoman"/>
      <w:lvlText w:val="(%2)"/>
      <w:lvlJc w:val="left"/>
      <w:pPr>
        <w:ind w:left="1466" w:hanging="396"/>
        <w:jc w:val="left"/>
      </w:pPr>
      <w:rPr>
        <w:rFonts w:hint="default" w:ascii="Arial" w:hAnsi="Arial" w:eastAsia="Arial" w:cs="Arial"/>
        <w:i/>
        <w:w w:val="99"/>
        <w:sz w:val="18"/>
        <w:szCs w:val="18"/>
      </w:rPr>
    </w:lvl>
    <w:lvl w:ilvl="2">
      <w:start w:val="1"/>
      <w:numFmt w:val="bullet"/>
      <w:lvlText w:val="•"/>
      <w:lvlJc w:val="left"/>
      <w:pPr>
        <w:ind w:left="2425" w:hanging="396"/>
      </w:pPr>
      <w:rPr>
        <w:rFonts w:hint="default"/>
      </w:rPr>
    </w:lvl>
    <w:lvl w:ilvl="3">
      <w:start w:val="1"/>
      <w:numFmt w:val="bullet"/>
      <w:lvlText w:val="•"/>
      <w:lvlJc w:val="left"/>
      <w:pPr>
        <w:ind w:left="3390" w:hanging="396"/>
      </w:pPr>
      <w:rPr>
        <w:rFonts w:hint="default"/>
      </w:rPr>
    </w:lvl>
    <w:lvl w:ilvl="4">
      <w:start w:val="1"/>
      <w:numFmt w:val="bullet"/>
      <w:lvlText w:val="•"/>
      <w:lvlJc w:val="left"/>
      <w:pPr>
        <w:ind w:left="4355" w:hanging="396"/>
      </w:pPr>
      <w:rPr>
        <w:rFonts w:hint="default"/>
      </w:rPr>
    </w:lvl>
    <w:lvl w:ilvl="5">
      <w:start w:val="1"/>
      <w:numFmt w:val="bullet"/>
      <w:lvlText w:val="•"/>
      <w:lvlJc w:val="left"/>
      <w:pPr>
        <w:ind w:left="5320" w:hanging="396"/>
      </w:pPr>
      <w:rPr>
        <w:rFonts w:hint="default"/>
      </w:rPr>
    </w:lvl>
    <w:lvl w:ilvl="6">
      <w:start w:val="1"/>
      <w:numFmt w:val="bullet"/>
      <w:lvlText w:val="•"/>
      <w:lvlJc w:val="left"/>
      <w:pPr>
        <w:ind w:left="6285" w:hanging="396"/>
      </w:pPr>
      <w:rPr>
        <w:rFonts w:hint="default"/>
      </w:rPr>
    </w:lvl>
    <w:lvl w:ilvl="7">
      <w:start w:val="1"/>
      <w:numFmt w:val="bullet"/>
      <w:lvlText w:val="•"/>
      <w:lvlJc w:val="left"/>
      <w:pPr>
        <w:ind w:left="7250" w:hanging="396"/>
      </w:pPr>
      <w:rPr>
        <w:rFonts w:hint="default"/>
      </w:rPr>
    </w:lvl>
    <w:lvl w:ilvl="8">
      <w:start w:val="1"/>
      <w:numFmt w:val="bullet"/>
      <w:lvlText w:val="•"/>
      <w:lvlJc w:val="left"/>
      <w:pPr>
        <w:ind w:left="8215" w:hanging="396"/>
      </w:pPr>
      <w:rPr>
        <w:rFonts w:hint="default"/>
      </w:rPr>
    </w:lvl>
  </w:abstractNum>
  <w:abstractNum w:abstractNumId="131">
    <w:multiLevelType w:val="hybridMultilevel"/>
    <w:lvl w:ilvl="0">
      <w:start w:val="1"/>
      <w:numFmt w:val="bullet"/>
      <w:lvlText w:val="•"/>
      <w:lvlJc w:val="left"/>
      <w:pPr>
        <w:ind w:left="1278" w:hanging="562"/>
      </w:pPr>
      <w:rPr>
        <w:rFonts w:hint="default" w:ascii="Arial" w:hAnsi="Arial" w:eastAsia="Arial" w:cs="Arial"/>
        <w:w w:val="128"/>
        <w:sz w:val="20"/>
        <w:szCs w:val="20"/>
      </w:rPr>
    </w:lvl>
    <w:lvl w:ilvl="1">
      <w:start w:val="1"/>
      <w:numFmt w:val="bullet"/>
      <w:lvlText w:val="•"/>
      <w:lvlJc w:val="left"/>
      <w:pPr>
        <w:ind w:left="2192" w:hanging="562"/>
      </w:pPr>
      <w:rPr>
        <w:rFonts w:hint="default"/>
      </w:rPr>
    </w:lvl>
    <w:lvl w:ilvl="2">
      <w:start w:val="1"/>
      <w:numFmt w:val="bullet"/>
      <w:lvlText w:val="•"/>
      <w:lvlJc w:val="left"/>
      <w:pPr>
        <w:ind w:left="3105" w:hanging="562"/>
      </w:pPr>
      <w:rPr>
        <w:rFonts w:hint="default"/>
      </w:rPr>
    </w:lvl>
    <w:lvl w:ilvl="3">
      <w:start w:val="1"/>
      <w:numFmt w:val="bullet"/>
      <w:lvlText w:val="•"/>
      <w:lvlJc w:val="left"/>
      <w:pPr>
        <w:ind w:left="4018" w:hanging="562"/>
      </w:pPr>
      <w:rPr>
        <w:rFonts w:hint="default"/>
      </w:rPr>
    </w:lvl>
    <w:lvl w:ilvl="4">
      <w:start w:val="1"/>
      <w:numFmt w:val="bullet"/>
      <w:lvlText w:val="•"/>
      <w:lvlJc w:val="left"/>
      <w:pPr>
        <w:ind w:left="4931" w:hanging="562"/>
      </w:pPr>
      <w:rPr>
        <w:rFonts w:hint="default"/>
      </w:rPr>
    </w:lvl>
    <w:lvl w:ilvl="5">
      <w:start w:val="1"/>
      <w:numFmt w:val="bullet"/>
      <w:lvlText w:val="•"/>
      <w:lvlJc w:val="left"/>
      <w:pPr>
        <w:ind w:left="5844" w:hanging="562"/>
      </w:pPr>
      <w:rPr>
        <w:rFonts w:hint="default"/>
      </w:rPr>
    </w:lvl>
    <w:lvl w:ilvl="6">
      <w:start w:val="1"/>
      <w:numFmt w:val="bullet"/>
      <w:lvlText w:val="•"/>
      <w:lvlJc w:val="left"/>
      <w:pPr>
        <w:ind w:left="6757" w:hanging="562"/>
      </w:pPr>
      <w:rPr>
        <w:rFonts w:hint="default"/>
      </w:rPr>
    </w:lvl>
    <w:lvl w:ilvl="7">
      <w:start w:val="1"/>
      <w:numFmt w:val="bullet"/>
      <w:lvlText w:val="•"/>
      <w:lvlJc w:val="left"/>
      <w:pPr>
        <w:ind w:left="7670" w:hanging="562"/>
      </w:pPr>
      <w:rPr>
        <w:rFonts w:hint="default"/>
      </w:rPr>
    </w:lvl>
    <w:lvl w:ilvl="8">
      <w:start w:val="1"/>
      <w:numFmt w:val="bullet"/>
      <w:lvlText w:val="•"/>
      <w:lvlJc w:val="left"/>
      <w:pPr>
        <w:ind w:left="8583" w:hanging="562"/>
      </w:pPr>
      <w:rPr>
        <w:rFonts w:hint="default"/>
      </w:rPr>
    </w:lvl>
  </w:abstractNum>
  <w:abstractNum w:abstractNumId="128">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bullet"/>
      <w:lvlText w:val="•"/>
      <w:lvlJc w:val="left"/>
      <w:pPr>
        <w:ind w:left="1986" w:hanging="567"/>
      </w:pPr>
      <w:rPr>
        <w:rFonts w:hint="default"/>
      </w:rPr>
    </w:lvl>
    <w:lvl w:ilvl="2">
      <w:start w:val="1"/>
      <w:numFmt w:val="bullet"/>
      <w:lvlText w:val="•"/>
      <w:lvlJc w:val="left"/>
      <w:pPr>
        <w:ind w:left="2892" w:hanging="567"/>
      </w:pPr>
      <w:rPr>
        <w:rFonts w:hint="default"/>
      </w:rPr>
    </w:lvl>
    <w:lvl w:ilvl="3">
      <w:start w:val="1"/>
      <w:numFmt w:val="bullet"/>
      <w:lvlText w:val="•"/>
      <w:lvlJc w:val="left"/>
      <w:pPr>
        <w:ind w:left="3799" w:hanging="567"/>
      </w:pPr>
      <w:rPr>
        <w:rFonts w:hint="default"/>
      </w:rPr>
    </w:lvl>
    <w:lvl w:ilvl="4">
      <w:start w:val="1"/>
      <w:numFmt w:val="bullet"/>
      <w:lvlText w:val="•"/>
      <w:lvlJc w:val="left"/>
      <w:pPr>
        <w:ind w:left="4705" w:hanging="567"/>
      </w:pPr>
      <w:rPr>
        <w:rFonts w:hint="default"/>
      </w:rPr>
    </w:lvl>
    <w:lvl w:ilvl="5">
      <w:start w:val="1"/>
      <w:numFmt w:val="bullet"/>
      <w:lvlText w:val="•"/>
      <w:lvlJc w:val="left"/>
      <w:pPr>
        <w:ind w:left="5612" w:hanging="567"/>
      </w:pPr>
      <w:rPr>
        <w:rFonts w:hint="default"/>
      </w:rPr>
    </w:lvl>
    <w:lvl w:ilvl="6">
      <w:start w:val="1"/>
      <w:numFmt w:val="bullet"/>
      <w:lvlText w:val="•"/>
      <w:lvlJc w:val="left"/>
      <w:pPr>
        <w:ind w:left="6518" w:hanging="567"/>
      </w:pPr>
      <w:rPr>
        <w:rFonts w:hint="default"/>
      </w:rPr>
    </w:lvl>
    <w:lvl w:ilvl="7">
      <w:start w:val="1"/>
      <w:numFmt w:val="bullet"/>
      <w:lvlText w:val="•"/>
      <w:lvlJc w:val="left"/>
      <w:pPr>
        <w:ind w:left="7425" w:hanging="567"/>
      </w:pPr>
      <w:rPr>
        <w:rFonts w:hint="default"/>
      </w:rPr>
    </w:lvl>
    <w:lvl w:ilvl="8">
      <w:start w:val="1"/>
      <w:numFmt w:val="bullet"/>
      <w:lvlText w:val="•"/>
      <w:lvlJc w:val="left"/>
      <w:pPr>
        <w:ind w:left="8331" w:hanging="567"/>
      </w:pPr>
      <w:rPr>
        <w:rFonts w:hint="default"/>
      </w:rPr>
    </w:lvl>
  </w:abstractNum>
  <w:abstractNum w:abstractNumId="125">
    <w:multiLevelType w:val="hybridMultilevel"/>
    <w:lvl w:ilvl="0">
      <w:start w:val="1"/>
      <w:numFmt w:val="bullet"/>
      <w:lvlText w:val="•"/>
      <w:lvlJc w:val="left"/>
      <w:pPr>
        <w:ind w:left="1958" w:hanging="567"/>
      </w:pPr>
      <w:rPr>
        <w:rFonts w:hint="default" w:ascii="Arial" w:hAnsi="Arial" w:eastAsia="Arial" w:cs="Arial"/>
        <w:color w:val="0F0F11"/>
        <w:w w:val="103"/>
        <w:sz w:val="20"/>
        <w:szCs w:val="20"/>
      </w:rPr>
    </w:lvl>
    <w:lvl w:ilvl="1">
      <w:start w:val="1"/>
      <w:numFmt w:val="bullet"/>
      <w:lvlText w:val="•"/>
      <w:lvlJc w:val="left"/>
      <w:pPr>
        <w:ind w:left="2874" w:hanging="567"/>
      </w:pPr>
      <w:rPr>
        <w:rFonts w:hint="default"/>
      </w:rPr>
    </w:lvl>
    <w:lvl w:ilvl="2">
      <w:start w:val="1"/>
      <w:numFmt w:val="bullet"/>
      <w:lvlText w:val="•"/>
      <w:lvlJc w:val="left"/>
      <w:pPr>
        <w:ind w:left="3788" w:hanging="567"/>
      </w:pPr>
      <w:rPr>
        <w:rFonts w:hint="default"/>
      </w:rPr>
    </w:lvl>
    <w:lvl w:ilvl="3">
      <w:start w:val="1"/>
      <w:numFmt w:val="bullet"/>
      <w:lvlText w:val="•"/>
      <w:lvlJc w:val="left"/>
      <w:pPr>
        <w:ind w:left="4703" w:hanging="567"/>
      </w:pPr>
      <w:rPr>
        <w:rFonts w:hint="default"/>
      </w:rPr>
    </w:lvl>
    <w:lvl w:ilvl="4">
      <w:start w:val="1"/>
      <w:numFmt w:val="bullet"/>
      <w:lvlText w:val="•"/>
      <w:lvlJc w:val="left"/>
      <w:pPr>
        <w:ind w:left="5617" w:hanging="567"/>
      </w:pPr>
      <w:rPr>
        <w:rFonts w:hint="default"/>
      </w:rPr>
    </w:lvl>
    <w:lvl w:ilvl="5">
      <w:start w:val="1"/>
      <w:numFmt w:val="bullet"/>
      <w:lvlText w:val="•"/>
      <w:lvlJc w:val="left"/>
      <w:pPr>
        <w:ind w:left="6532" w:hanging="567"/>
      </w:pPr>
      <w:rPr>
        <w:rFonts w:hint="default"/>
      </w:rPr>
    </w:lvl>
    <w:lvl w:ilvl="6">
      <w:start w:val="1"/>
      <w:numFmt w:val="bullet"/>
      <w:lvlText w:val="•"/>
      <w:lvlJc w:val="left"/>
      <w:pPr>
        <w:ind w:left="7446" w:hanging="567"/>
      </w:pPr>
      <w:rPr>
        <w:rFonts w:hint="default"/>
      </w:rPr>
    </w:lvl>
    <w:lvl w:ilvl="7">
      <w:start w:val="1"/>
      <w:numFmt w:val="bullet"/>
      <w:lvlText w:val="•"/>
      <w:lvlJc w:val="left"/>
      <w:pPr>
        <w:ind w:left="8360" w:hanging="567"/>
      </w:pPr>
      <w:rPr>
        <w:rFonts w:hint="default"/>
      </w:rPr>
    </w:lvl>
    <w:lvl w:ilvl="8">
      <w:start w:val="1"/>
      <w:numFmt w:val="bullet"/>
      <w:lvlText w:val="•"/>
      <w:lvlJc w:val="left"/>
      <w:pPr>
        <w:ind w:left="9275" w:hanging="567"/>
      </w:pPr>
      <w:rPr>
        <w:rFonts w:hint="default"/>
      </w:rPr>
    </w:lvl>
  </w:abstractNum>
  <w:abstractNum w:abstractNumId="124">
    <w:multiLevelType w:val="hybridMultilevel"/>
    <w:lvl w:ilvl="0">
      <w:start w:val="1"/>
      <w:numFmt w:val="bullet"/>
      <w:lvlText w:val="•"/>
      <w:lvlJc w:val="left"/>
      <w:pPr>
        <w:ind w:left="1284" w:hanging="572"/>
      </w:pPr>
      <w:rPr>
        <w:rFonts w:hint="default" w:ascii="Arial" w:hAnsi="Arial" w:eastAsia="Arial" w:cs="Arial"/>
        <w:color w:val="110F11"/>
        <w:w w:val="113"/>
        <w:sz w:val="20"/>
        <w:szCs w:val="20"/>
      </w:rPr>
    </w:lvl>
    <w:lvl w:ilvl="1">
      <w:start w:val="1"/>
      <w:numFmt w:val="bullet"/>
      <w:lvlText w:val="•"/>
      <w:lvlJc w:val="left"/>
      <w:pPr>
        <w:ind w:left="2194" w:hanging="572"/>
      </w:pPr>
      <w:rPr>
        <w:rFonts w:hint="default"/>
      </w:rPr>
    </w:lvl>
    <w:lvl w:ilvl="2">
      <w:start w:val="1"/>
      <w:numFmt w:val="bullet"/>
      <w:lvlText w:val="•"/>
      <w:lvlJc w:val="left"/>
      <w:pPr>
        <w:ind w:left="3108" w:hanging="572"/>
      </w:pPr>
      <w:rPr>
        <w:rFonts w:hint="default"/>
      </w:rPr>
    </w:lvl>
    <w:lvl w:ilvl="3">
      <w:start w:val="1"/>
      <w:numFmt w:val="bullet"/>
      <w:lvlText w:val="•"/>
      <w:lvlJc w:val="left"/>
      <w:pPr>
        <w:ind w:left="4023" w:hanging="572"/>
      </w:pPr>
      <w:rPr>
        <w:rFonts w:hint="default"/>
      </w:rPr>
    </w:lvl>
    <w:lvl w:ilvl="4">
      <w:start w:val="1"/>
      <w:numFmt w:val="bullet"/>
      <w:lvlText w:val="•"/>
      <w:lvlJc w:val="left"/>
      <w:pPr>
        <w:ind w:left="4937" w:hanging="572"/>
      </w:pPr>
      <w:rPr>
        <w:rFonts w:hint="default"/>
      </w:rPr>
    </w:lvl>
    <w:lvl w:ilvl="5">
      <w:start w:val="1"/>
      <w:numFmt w:val="bullet"/>
      <w:lvlText w:val="•"/>
      <w:lvlJc w:val="left"/>
      <w:pPr>
        <w:ind w:left="5852" w:hanging="572"/>
      </w:pPr>
      <w:rPr>
        <w:rFonts w:hint="default"/>
      </w:rPr>
    </w:lvl>
    <w:lvl w:ilvl="6">
      <w:start w:val="1"/>
      <w:numFmt w:val="bullet"/>
      <w:lvlText w:val="•"/>
      <w:lvlJc w:val="left"/>
      <w:pPr>
        <w:ind w:left="6766" w:hanging="572"/>
      </w:pPr>
      <w:rPr>
        <w:rFonts w:hint="default"/>
      </w:rPr>
    </w:lvl>
    <w:lvl w:ilvl="7">
      <w:start w:val="1"/>
      <w:numFmt w:val="bullet"/>
      <w:lvlText w:val="•"/>
      <w:lvlJc w:val="left"/>
      <w:pPr>
        <w:ind w:left="7680" w:hanging="572"/>
      </w:pPr>
      <w:rPr>
        <w:rFonts w:hint="default"/>
      </w:rPr>
    </w:lvl>
    <w:lvl w:ilvl="8">
      <w:start w:val="1"/>
      <w:numFmt w:val="bullet"/>
      <w:lvlText w:val="•"/>
      <w:lvlJc w:val="left"/>
      <w:pPr>
        <w:ind w:left="8595" w:hanging="572"/>
      </w:pPr>
      <w:rPr>
        <w:rFonts w:hint="default"/>
      </w:rPr>
    </w:lvl>
  </w:abstractNum>
  <w:abstractNum w:abstractNumId="119">
    <w:multiLevelType w:val="hybridMultilevel"/>
    <w:lvl w:ilvl="0">
      <w:start w:val="1"/>
      <w:numFmt w:val="lowerRoman"/>
      <w:lvlText w:val="(%1)"/>
      <w:lvlJc w:val="left"/>
      <w:pPr>
        <w:ind w:left="1471" w:hanging="399"/>
        <w:jc w:val="left"/>
      </w:pPr>
      <w:rPr>
        <w:rFonts w:hint="default" w:ascii="Arial" w:hAnsi="Arial" w:eastAsia="Arial" w:cs="Arial"/>
        <w:i/>
        <w:spacing w:val="-2"/>
        <w:w w:val="99"/>
        <w:sz w:val="18"/>
        <w:szCs w:val="18"/>
      </w:rPr>
    </w:lvl>
    <w:lvl w:ilvl="1">
      <w:start w:val="1"/>
      <w:numFmt w:val="bullet"/>
      <w:lvlText w:val="•"/>
      <w:lvlJc w:val="left"/>
      <w:pPr>
        <w:ind w:left="2347" w:hanging="399"/>
      </w:pPr>
      <w:rPr>
        <w:rFonts w:hint="default"/>
      </w:rPr>
    </w:lvl>
    <w:lvl w:ilvl="2">
      <w:start w:val="1"/>
      <w:numFmt w:val="bullet"/>
      <w:lvlText w:val="•"/>
      <w:lvlJc w:val="left"/>
      <w:pPr>
        <w:ind w:left="3214" w:hanging="399"/>
      </w:pPr>
      <w:rPr>
        <w:rFonts w:hint="default"/>
      </w:rPr>
    </w:lvl>
    <w:lvl w:ilvl="3">
      <w:start w:val="1"/>
      <w:numFmt w:val="bullet"/>
      <w:lvlText w:val="•"/>
      <w:lvlJc w:val="left"/>
      <w:pPr>
        <w:ind w:left="4081" w:hanging="399"/>
      </w:pPr>
      <w:rPr>
        <w:rFonts w:hint="default"/>
      </w:rPr>
    </w:lvl>
    <w:lvl w:ilvl="4">
      <w:start w:val="1"/>
      <w:numFmt w:val="bullet"/>
      <w:lvlText w:val="•"/>
      <w:lvlJc w:val="left"/>
      <w:pPr>
        <w:ind w:left="4948" w:hanging="399"/>
      </w:pPr>
      <w:rPr>
        <w:rFonts w:hint="default"/>
      </w:rPr>
    </w:lvl>
    <w:lvl w:ilvl="5">
      <w:start w:val="1"/>
      <w:numFmt w:val="bullet"/>
      <w:lvlText w:val="•"/>
      <w:lvlJc w:val="left"/>
      <w:pPr>
        <w:ind w:left="5816" w:hanging="399"/>
      </w:pPr>
      <w:rPr>
        <w:rFonts w:hint="default"/>
      </w:rPr>
    </w:lvl>
    <w:lvl w:ilvl="6">
      <w:start w:val="1"/>
      <w:numFmt w:val="bullet"/>
      <w:lvlText w:val="•"/>
      <w:lvlJc w:val="left"/>
      <w:pPr>
        <w:ind w:left="6683" w:hanging="399"/>
      </w:pPr>
      <w:rPr>
        <w:rFonts w:hint="default"/>
      </w:rPr>
    </w:lvl>
    <w:lvl w:ilvl="7">
      <w:start w:val="1"/>
      <w:numFmt w:val="bullet"/>
      <w:lvlText w:val="•"/>
      <w:lvlJc w:val="left"/>
      <w:pPr>
        <w:ind w:left="7550" w:hanging="399"/>
      </w:pPr>
      <w:rPr>
        <w:rFonts w:hint="default"/>
      </w:rPr>
    </w:lvl>
    <w:lvl w:ilvl="8">
      <w:start w:val="1"/>
      <w:numFmt w:val="bullet"/>
      <w:lvlText w:val="•"/>
      <w:lvlJc w:val="left"/>
      <w:pPr>
        <w:ind w:left="8417" w:hanging="399"/>
      </w:pPr>
      <w:rPr>
        <w:rFonts w:hint="default"/>
      </w:rPr>
    </w:lvl>
  </w:abstractNum>
  <w:abstractNum w:abstractNumId="117">
    <w:multiLevelType w:val="hybridMultilevel"/>
    <w:lvl w:ilvl="0">
      <w:start w:val="1"/>
      <w:numFmt w:val="lowerRoman"/>
      <w:lvlText w:val="(%1)"/>
      <w:lvlJc w:val="left"/>
      <w:pPr>
        <w:ind w:left="1270" w:hanging="567"/>
        <w:jc w:val="left"/>
      </w:pPr>
      <w:rPr>
        <w:rFonts w:hint="default" w:ascii="Arial" w:hAnsi="Arial" w:eastAsia="Arial" w:cs="Arial"/>
        <w:b/>
        <w:bCs/>
        <w:spacing w:val="-7"/>
        <w:w w:val="99"/>
        <w:sz w:val="18"/>
        <w:szCs w:val="18"/>
      </w:rPr>
    </w:lvl>
    <w:lvl w:ilvl="1">
      <w:start w:val="1"/>
      <w:numFmt w:val="bullet"/>
      <w:lvlText w:val="•"/>
      <w:lvlJc w:val="left"/>
      <w:pPr>
        <w:ind w:left="1660" w:hanging="567"/>
      </w:pPr>
      <w:rPr>
        <w:rFonts w:hint="default"/>
      </w:rPr>
    </w:lvl>
    <w:lvl w:ilvl="2">
      <w:start w:val="1"/>
      <w:numFmt w:val="bullet"/>
      <w:lvlText w:val="•"/>
      <w:lvlJc w:val="left"/>
      <w:pPr>
        <w:ind w:left="2625" w:hanging="567"/>
      </w:pPr>
      <w:rPr>
        <w:rFonts w:hint="default"/>
      </w:rPr>
    </w:lvl>
    <w:lvl w:ilvl="3">
      <w:start w:val="1"/>
      <w:numFmt w:val="bullet"/>
      <w:lvlText w:val="•"/>
      <w:lvlJc w:val="left"/>
      <w:pPr>
        <w:ind w:left="3591" w:hanging="567"/>
      </w:pPr>
      <w:rPr>
        <w:rFonts w:hint="default"/>
      </w:rPr>
    </w:lvl>
    <w:lvl w:ilvl="4">
      <w:start w:val="1"/>
      <w:numFmt w:val="bullet"/>
      <w:lvlText w:val="•"/>
      <w:lvlJc w:val="left"/>
      <w:pPr>
        <w:ind w:left="4557" w:hanging="567"/>
      </w:pPr>
      <w:rPr>
        <w:rFonts w:hint="default"/>
      </w:rPr>
    </w:lvl>
    <w:lvl w:ilvl="5">
      <w:start w:val="1"/>
      <w:numFmt w:val="bullet"/>
      <w:lvlText w:val="•"/>
      <w:lvlJc w:val="left"/>
      <w:pPr>
        <w:ind w:left="5523" w:hanging="567"/>
      </w:pPr>
      <w:rPr>
        <w:rFonts w:hint="default"/>
      </w:rPr>
    </w:lvl>
    <w:lvl w:ilvl="6">
      <w:start w:val="1"/>
      <w:numFmt w:val="bullet"/>
      <w:lvlText w:val="•"/>
      <w:lvlJc w:val="left"/>
      <w:pPr>
        <w:ind w:left="6488" w:hanging="567"/>
      </w:pPr>
      <w:rPr>
        <w:rFonts w:hint="default"/>
      </w:rPr>
    </w:lvl>
    <w:lvl w:ilvl="7">
      <w:start w:val="1"/>
      <w:numFmt w:val="bullet"/>
      <w:lvlText w:val="•"/>
      <w:lvlJc w:val="left"/>
      <w:pPr>
        <w:ind w:left="7454" w:hanging="567"/>
      </w:pPr>
      <w:rPr>
        <w:rFonts w:hint="default"/>
      </w:rPr>
    </w:lvl>
    <w:lvl w:ilvl="8">
      <w:start w:val="1"/>
      <w:numFmt w:val="bullet"/>
      <w:lvlText w:val="•"/>
      <w:lvlJc w:val="left"/>
      <w:pPr>
        <w:ind w:left="8420" w:hanging="567"/>
      </w:pPr>
      <w:rPr>
        <w:rFonts w:hint="default"/>
      </w:rPr>
    </w:lvl>
  </w:abstractNum>
  <w:abstractNum w:abstractNumId="116">
    <w:multiLevelType w:val="hybridMultilevel"/>
    <w:lvl w:ilvl="0">
      <w:start w:val="1"/>
      <w:numFmt w:val="lowerRoman"/>
      <w:lvlText w:val="(%1)"/>
      <w:lvlJc w:val="left"/>
      <w:pPr>
        <w:ind w:left="1468" w:hanging="399"/>
        <w:jc w:val="left"/>
      </w:pPr>
      <w:rPr>
        <w:rFonts w:hint="default" w:ascii="Arial" w:hAnsi="Arial" w:eastAsia="Arial" w:cs="Arial"/>
        <w:i/>
        <w:spacing w:val="-2"/>
        <w:w w:val="99"/>
        <w:sz w:val="18"/>
        <w:szCs w:val="18"/>
      </w:rPr>
    </w:lvl>
    <w:lvl w:ilvl="1">
      <w:start w:val="1"/>
      <w:numFmt w:val="bullet"/>
      <w:lvlText w:val="•"/>
      <w:lvlJc w:val="left"/>
      <w:pPr>
        <w:ind w:left="2329" w:hanging="399"/>
      </w:pPr>
      <w:rPr>
        <w:rFonts w:hint="default"/>
      </w:rPr>
    </w:lvl>
    <w:lvl w:ilvl="2">
      <w:start w:val="1"/>
      <w:numFmt w:val="bullet"/>
      <w:lvlText w:val="•"/>
      <w:lvlJc w:val="left"/>
      <w:pPr>
        <w:ind w:left="3198" w:hanging="399"/>
      </w:pPr>
      <w:rPr>
        <w:rFonts w:hint="default"/>
      </w:rPr>
    </w:lvl>
    <w:lvl w:ilvl="3">
      <w:start w:val="1"/>
      <w:numFmt w:val="bullet"/>
      <w:lvlText w:val="•"/>
      <w:lvlJc w:val="left"/>
      <w:pPr>
        <w:ind w:left="4067" w:hanging="399"/>
      </w:pPr>
      <w:rPr>
        <w:rFonts w:hint="default"/>
      </w:rPr>
    </w:lvl>
    <w:lvl w:ilvl="4">
      <w:start w:val="1"/>
      <w:numFmt w:val="bullet"/>
      <w:lvlText w:val="•"/>
      <w:lvlJc w:val="left"/>
      <w:pPr>
        <w:ind w:left="4936" w:hanging="399"/>
      </w:pPr>
      <w:rPr>
        <w:rFonts w:hint="default"/>
      </w:rPr>
    </w:lvl>
    <w:lvl w:ilvl="5">
      <w:start w:val="1"/>
      <w:numFmt w:val="bullet"/>
      <w:lvlText w:val="•"/>
      <w:lvlJc w:val="left"/>
      <w:pPr>
        <w:ind w:left="5806" w:hanging="399"/>
      </w:pPr>
      <w:rPr>
        <w:rFonts w:hint="default"/>
      </w:rPr>
    </w:lvl>
    <w:lvl w:ilvl="6">
      <w:start w:val="1"/>
      <w:numFmt w:val="bullet"/>
      <w:lvlText w:val="•"/>
      <w:lvlJc w:val="left"/>
      <w:pPr>
        <w:ind w:left="6675" w:hanging="399"/>
      </w:pPr>
      <w:rPr>
        <w:rFonts w:hint="default"/>
      </w:rPr>
    </w:lvl>
    <w:lvl w:ilvl="7">
      <w:start w:val="1"/>
      <w:numFmt w:val="bullet"/>
      <w:lvlText w:val="•"/>
      <w:lvlJc w:val="left"/>
      <w:pPr>
        <w:ind w:left="7544" w:hanging="399"/>
      </w:pPr>
      <w:rPr>
        <w:rFonts w:hint="default"/>
      </w:rPr>
    </w:lvl>
    <w:lvl w:ilvl="8">
      <w:start w:val="1"/>
      <w:numFmt w:val="bullet"/>
      <w:lvlText w:val="•"/>
      <w:lvlJc w:val="left"/>
      <w:pPr>
        <w:ind w:left="8413" w:hanging="399"/>
      </w:pPr>
      <w:rPr>
        <w:rFonts w:hint="default"/>
      </w:rPr>
    </w:lvl>
  </w:abstractNum>
  <w:abstractNum w:abstractNumId="115">
    <w:multiLevelType w:val="hybridMultilevel"/>
    <w:lvl w:ilvl="0">
      <w:start w:val="1"/>
      <w:numFmt w:val="lowerRoman"/>
      <w:lvlText w:val="(%1)"/>
      <w:lvlJc w:val="left"/>
      <w:pPr>
        <w:ind w:left="1468" w:hanging="399"/>
        <w:jc w:val="left"/>
      </w:pPr>
      <w:rPr>
        <w:rFonts w:hint="default" w:ascii="Arial" w:hAnsi="Arial" w:eastAsia="Arial" w:cs="Arial"/>
        <w:i/>
        <w:spacing w:val="-3"/>
        <w:w w:val="99"/>
        <w:sz w:val="18"/>
        <w:szCs w:val="18"/>
      </w:rPr>
    </w:lvl>
    <w:lvl w:ilvl="1">
      <w:start w:val="1"/>
      <w:numFmt w:val="bullet"/>
      <w:lvlText w:val="•"/>
      <w:lvlJc w:val="left"/>
      <w:pPr>
        <w:ind w:left="2329" w:hanging="399"/>
      </w:pPr>
      <w:rPr>
        <w:rFonts w:hint="default"/>
      </w:rPr>
    </w:lvl>
    <w:lvl w:ilvl="2">
      <w:start w:val="1"/>
      <w:numFmt w:val="bullet"/>
      <w:lvlText w:val="•"/>
      <w:lvlJc w:val="left"/>
      <w:pPr>
        <w:ind w:left="3198" w:hanging="399"/>
      </w:pPr>
      <w:rPr>
        <w:rFonts w:hint="default"/>
      </w:rPr>
    </w:lvl>
    <w:lvl w:ilvl="3">
      <w:start w:val="1"/>
      <w:numFmt w:val="bullet"/>
      <w:lvlText w:val="•"/>
      <w:lvlJc w:val="left"/>
      <w:pPr>
        <w:ind w:left="4067" w:hanging="399"/>
      </w:pPr>
      <w:rPr>
        <w:rFonts w:hint="default"/>
      </w:rPr>
    </w:lvl>
    <w:lvl w:ilvl="4">
      <w:start w:val="1"/>
      <w:numFmt w:val="bullet"/>
      <w:lvlText w:val="•"/>
      <w:lvlJc w:val="left"/>
      <w:pPr>
        <w:ind w:left="4936" w:hanging="399"/>
      </w:pPr>
      <w:rPr>
        <w:rFonts w:hint="default"/>
      </w:rPr>
    </w:lvl>
    <w:lvl w:ilvl="5">
      <w:start w:val="1"/>
      <w:numFmt w:val="bullet"/>
      <w:lvlText w:val="•"/>
      <w:lvlJc w:val="left"/>
      <w:pPr>
        <w:ind w:left="5806" w:hanging="399"/>
      </w:pPr>
      <w:rPr>
        <w:rFonts w:hint="default"/>
      </w:rPr>
    </w:lvl>
    <w:lvl w:ilvl="6">
      <w:start w:val="1"/>
      <w:numFmt w:val="bullet"/>
      <w:lvlText w:val="•"/>
      <w:lvlJc w:val="left"/>
      <w:pPr>
        <w:ind w:left="6675" w:hanging="399"/>
      </w:pPr>
      <w:rPr>
        <w:rFonts w:hint="default"/>
      </w:rPr>
    </w:lvl>
    <w:lvl w:ilvl="7">
      <w:start w:val="1"/>
      <w:numFmt w:val="bullet"/>
      <w:lvlText w:val="•"/>
      <w:lvlJc w:val="left"/>
      <w:pPr>
        <w:ind w:left="7544" w:hanging="399"/>
      </w:pPr>
      <w:rPr>
        <w:rFonts w:hint="default"/>
      </w:rPr>
    </w:lvl>
    <w:lvl w:ilvl="8">
      <w:start w:val="1"/>
      <w:numFmt w:val="bullet"/>
      <w:lvlText w:val="•"/>
      <w:lvlJc w:val="left"/>
      <w:pPr>
        <w:ind w:left="8413" w:hanging="399"/>
      </w:pPr>
      <w:rPr>
        <w:rFonts w:hint="default"/>
      </w:rPr>
    </w:lvl>
  </w:abstractNum>
  <w:abstractNum w:abstractNumId="113">
    <w:multiLevelType w:val="hybridMultilevel"/>
    <w:lvl w:ilvl="0">
      <w:start w:val="1"/>
      <w:numFmt w:val="lowerRoman"/>
      <w:lvlText w:val="(%1)"/>
      <w:lvlJc w:val="left"/>
      <w:pPr>
        <w:ind w:left="1481" w:hanging="212"/>
        <w:jc w:val="left"/>
      </w:pPr>
      <w:rPr>
        <w:rFonts w:hint="default" w:ascii="Arial" w:hAnsi="Arial" w:eastAsia="Arial" w:cs="Arial"/>
        <w:i/>
        <w:spacing w:val="-2"/>
        <w:w w:val="99"/>
        <w:sz w:val="18"/>
        <w:szCs w:val="18"/>
      </w:rPr>
    </w:lvl>
    <w:lvl w:ilvl="1">
      <w:start w:val="1"/>
      <w:numFmt w:val="bullet"/>
      <w:lvlText w:val="•"/>
      <w:lvlJc w:val="left"/>
      <w:pPr>
        <w:ind w:left="2385" w:hanging="212"/>
      </w:pPr>
      <w:rPr>
        <w:rFonts w:hint="default"/>
      </w:rPr>
    </w:lvl>
    <w:lvl w:ilvl="2">
      <w:start w:val="1"/>
      <w:numFmt w:val="bullet"/>
      <w:lvlText w:val="•"/>
      <w:lvlJc w:val="left"/>
      <w:pPr>
        <w:ind w:left="3290" w:hanging="212"/>
      </w:pPr>
      <w:rPr>
        <w:rFonts w:hint="default"/>
      </w:rPr>
    </w:lvl>
    <w:lvl w:ilvl="3">
      <w:start w:val="1"/>
      <w:numFmt w:val="bullet"/>
      <w:lvlText w:val="•"/>
      <w:lvlJc w:val="left"/>
      <w:pPr>
        <w:ind w:left="4195" w:hanging="212"/>
      </w:pPr>
      <w:rPr>
        <w:rFonts w:hint="default"/>
      </w:rPr>
    </w:lvl>
    <w:lvl w:ilvl="4">
      <w:start w:val="1"/>
      <w:numFmt w:val="bullet"/>
      <w:lvlText w:val="•"/>
      <w:lvlJc w:val="left"/>
      <w:pPr>
        <w:ind w:left="5100" w:hanging="212"/>
      </w:pPr>
      <w:rPr>
        <w:rFonts w:hint="default"/>
      </w:rPr>
    </w:lvl>
    <w:lvl w:ilvl="5">
      <w:start w:val="1"/>
      <w:numFmt w:val="bullet"/>
      <w:lvlText w:val="•"/>
      <w:lvlJc w:val="left"/>
      <w:pPr>
        <w:ind w:left="6006" w:hanging="212"/>
      </w:pPr>
      <w:rPr>
        <w:rFonts w:hint="default"/>
      </w:rPr>
    </w:lvl>
    <w:lvl w:ilvl="6">
      <w:start w:val="1"/>
      <w:numFmt w:val="bullet"/>
      <w:lvlText w:val="•"/>
      <w:lvlJc w:val="left"/>
      <w:pPr>
        <w:ind w:left="6911" w:hanging="212"/>
      </w:pPr>
      <w:rPr>
        <w:rFonts w:hint="default"/>
      </w:rPr>
    </w:lvl>
    <w:lvl w:ilvl="7">
      <w:start w:val="1"/>
      <w:numFmt w:val="bullet"/>
      <w:lvlText w:val="•"/>
      <w:lvlJc w:val="left"/>
      <w:pPr>
        <w:ind w:left="7816" w:hanging="212"/>
      </w:pPr>
      <w:rPr>
        <w:rFonts w:hint="default"/>
      </w:rPr>
    </w:lvl>
    <w:lvl w:ilvl="8">
      <w:start w:val="1"/>
      <w:numFmt w:val="bullet"/>
      <w:lvlText w:val="•"/>
      <w:lvlJc w:val="left"/>
      <w:pPr>
        <w:ind w:left="8721" w:hanging="212"/>
      </w:pPr>
      <w:rPr>
        <w:rFonts w:hint="default"/>
      </w:rPr>
    </w:lvl>
  </w:abstractNum>
  <w:abstractNum w:abstractNumId="92">
    <w:multiLevelType w:val="hybridMultilevel"/>
    <w:lvl w:ilvl="0">
      <w:start w:val="1"/>
      <w:numFmt w:val="bullet"/>
      <w:lvlText w:val="•"/>
      <w:lvlJc w:val="left"/>
      <w:pPr>
        <w:ind w:left="1237" w:hanging="566"/>
      </w:pPr>
      <w:rPr>
        <w:rFonts w:hint="default" w:ascii="Arial" w:hAnsi="Arial" w:eastAsia="Arial" w:cs="Arial"/>
        <w:w w:val="113"/>
      </w:rPr>
    </w:lvl>
    <w:lvl w:ilvl="1">
      <w:start w:val="1"/>
      <w:numFmt w:val="bullet"/>
      <w:lvlText w:val="•"/>
      <w:lvlJc w:val="left"/>
      <w:pPr>
        <w:ind w:left="2156" w:hanging="566"/>
      </w:pPr>
      <w:rPr>
        <w:rFonts w:hint="default"/>
      </w:rPr>
    </w:lvl>
    <w:lvl w:ilvl="2">
      <w:start w:val="1"/>
      <w:numFmt w:val="bullet"/>
      <w:lvlText w:val="•"/>
      <w:lvlJc w:val="left"/>
      <w:pPr>
        <w:ind w:left="3072" w:hanging="566"/>
      </w:pPr>
      <w:rPr>
        <w:rFonts w:hint="default"/>
      </w:rPr>
    </w:lvl>
    <w:lvl w:ilvl="3">
      <w:start w:val="1"/>
      <w:numFmt w:val="bullet"/>
      <w:lvlText w:val="•"/>
      <w:lvlJc w:val="left"/>
      <w:pPr>
        <w:ind w:left="3989" w:hanging="566"/>
      </w:pPr>
      <w:rPr>
        <w:rFonts w:hint="default"/>
      </w:rPr>
    </w:lvl>
    <w:lvl w:ilvl="4">
      <w:start w:val="1"/>
      <w:numFmt w:val="bullet"/>
      <w:lvlText w:val="•"/>
      <w:lvlJc w:val="left"/>
      <w:pPr>
        <w:ind w:left="4905" w:hanging="566"/>
      </w:pPr>
      <w:rPr>
        <w:rFonts w:hint="default"/>
      </w:rPr>
    </w:lvl>
    <w:lvl w:ilvl="5">
      <w:start w:val="1"/>
      <w:numFmt w:val="bullet"/>
      <w:lvlText w:val="•"/>
      <w:lvlJc w:val="left"/>
      <w:pPr>
        <w:ind w:left="5822" w:hanging="566"/>
      </w:pPr>
      <w:rPr>
        <w:rFonts w:hint="default"/>
      </w:rPr>
    </w:lvl>
    <w:lvl w:ilvl="6">
      <w:start w:val="1"/>
      <w:numFmt w:val="bullet"/>
      <w:lvlText w:val="•"/>
      <w:lvlJc w:val="left"/>
      <w:pPr>
        <w:ind w:left="6738" w:hanging="566"/>
      </w:pPr>
      <w:rPr>
        <w:rFonts w:hint="default"/>
      </w:rPr>
    </w:lvl>
    <w:lvl w:ilvl="7">
      <w:start w:val="1"/>
      <w:numFmt w:val="bullet"/>
      <w:lvlText w:val="•"/>
      <w:lvlJc w:val="left"/>
      <w:pPr>
        <w:ind w:left="7654" w:hanging="566"/>
      </w:pPr>
      <w:rPr>
        <w:rFonts w:hint="default"/>
      </w:rPr>
    </w:lvl>
    <w:lvl w:ilvl="8">
      <w:start w:val="1"/>
      <w:numFmt w:val="bullet"/>
      <w:lvlText w:val="•"/>
      <w:lvlJc w:val="left"/>
      <w:pPr>
        <w:ind w:left="8571" w:hanging="566"/>
      </w:pPr>
      <w:rPr>
        <w:rFonts w:hint="default"/>
      </w:rPr>
    </w:lvl>
  </w:abstractNum>
  <w:abstractNum w:abstractNumId="88">
    <w:multiLevelType w:val="hybridMultilevel"/>
    <w:lvl w:ilvl="0">
      <w:start w:val="1"/>
      <w:numFmt w:val="lowerLetter"/>
      <w:lvlText w:val="(%1)"/>
      <w:lvlJc w:val="left"/>
      <w:pPr>
        <w:ind w:left="1071" w:hanging="567"/>
        <w:jc w:val="left"/>
      </w:pPr>
      <w:rPr>
        <w:rFonts w:hint="default" w:ascii="Arial" w:hAnsi="Arial" w:eastAsia="Arial" w:cs="Arial"/>
        <w:b/>
        <w:bCs/>
        <w:w w:val="99"/>
        <w:sz w:val="18"/>
        <w:szCs w:val="18"/>
      </w:rPr>
    </w:lvl>
    <w:lvl w:ilvl="1">
      <w:start w:val="1"/>
      <w:numFmt w:val="bullet"/>
      <w:lvlText w:val=""/>
      <w:lvlJc w:val="left"/>
      <w:pPr>
        <w:ind w:left="1639" w:hanging="567"/>
      </w:pPr>
      <w:rPr>
        <w:rFonts w:hint="default" w:ascii="Symbol" w:hAnsi="Symbol" w:eastAsia="Symbol" w:cs="Symbol"/>
        <w:w w:val="100"/>
        <w:sz w:val="18"/>
        <w:szCs w:val="18"/>
      </w:rPr>
    </w:lvl>
    <w:lvl w:ilvl="2">
      <w:start w:val="1"/>
      <w:numFmt w:val="bullet"/>
      <w:lvlText w:val="•"/>
      <w:lvlJc w:val="left"/>
      <w:pPr>
        <w:ind w:left="2580" w:hanging="567"/>
      </w:pPr>
      <w:rPr>
        <w:rFonts w:hint="default"/>
      </w:rPr>
    </w:lvl>
    <w:lvl w:ilvl="3">
      <w:start w:val="1"/>
      <w:numFmt w:val="bullet"/>
      <w:lvlText w:val="•"/>
      <w:lvlJc w:val="left"/>
      <w:pPr>
        <w:ind w:left="3520" w:hanging="567"/>
      </w:pPr>
      <w:rPr>
        <w:rFonts w:hint="default"/>
      </w:rPr>
    </w:lvl>
    <w:lvl w:ilvl="4">
      <w:start w:val="1"/>
      <w:numFmt w:val="bullet"/>
      <w:lvlText w:val="•"/>
      <w:lvlJc w:val="left"/>
      <w:pPr>
        <w:ind w:left="4461" w:hanging="567"/>
      </w:pPr>
      <w:rPr>
        <w:rFonts w:hint="default"/>
      </w:rPr>
    </w:lvl>
    <w:lvl w:ilvl="5">
      <w:start w:val="1"/>
      <w:numFmt w:val="bullet"/>
      <w:lvlText w:val="•"/>
      <w:lvlJc w:val="left"/>
      <w:pPr>
        <w:ind w:left="5401" w:hanging="567"/>
      </w:pPr>
      <w:rPr>
        <w:rFonts w:hint="default"/>
      </w:rPr>
    </w:lvl>
    <w:lvl w:ilvl="6">
      <w:start w:val="1"/>
      <w:numFmt w:val="bullet"/>
      <w:lvlText w:val="•"/>
      <w:lvlJc w:val="left"/>
      <w:pPr>
        <w:ind w:left="6342" w:hanging="567"/>
      </w:pPr>
      <w:rPr>
        <w:rFonts w:hint="default"/>
      </w:rPr>
    </w:lvl>
    <w:lvl w:ilvl="7">
      <w:start w:val="1"/>
      <w:numFmt w:val="bullet"/>
      <w:lvlText w:val="•"/>
      <w:lvlJc w:val="left"/>
      <w:pPr>
        <w:ind w:left="7282" w:hanging="567"/>
      </w:pPr>
      <w:rPr>
        <w:rFonts w:hint="default"/>
      </w:rPr>
    </w:lvl>
    <w:lvl w:ilvl="8">
      <w:start w:val="1"/>
      <w:numFmt w:val="bullet"/>
      <w:lvlText w:val="•"/>
      <w:lvlJc w:val="left"/>
      <w:pPr>
        <w:ind w:left="8223" w:hanging="567"/>
      </w:pPr>
      <w:rPr>
        <w:rFonts w:hint="default"/>
      </w:rPr>
    </w:lvl>
  </w:abstractNum>
  <w:abstractNum w:abstractNumId="85">
    <w:multiLevelType w:val="hybridMultilevel"/>
    <w:lvl w:ilvl="0">
      <w:start w:val="1"/>
      <w:numFmt w:val="lowerRoman"/>
      <w:lvlText w:val="(%1)"/>
      <w:lvlJc w:val="left"/>
      <w:pPr>
        <w:ind w:left="1070" w:hanging="567"/>
        <w:jc w:val="left"/>
      </w:pPr>
      <w:rPr>
        <w:rFonts w:hint="default" w:ascii="Arial" w:hAnsi="Arial" w:eastAsia="Arial" w:cs="Arial"/>
        <w:b/>
        <w:bCs/>
        <w:spacing w:val="-1"/>
        <w:w w:val="99"/>
        <w:sz w:val="18"/>
        <w:szCs w:val="18"/>
      </w:rPr>
    </w:lvl>
    <w:lvl w:ilvl="1">
      <w:start w:val="1"/>
      <w:numFmt w:val="bullet"/>
      <w:lvlText w:val="•"/>
      <w:lvlJc w:val="left"/>
      <w:pPr>
        <w:ind w:left="1982" w:hanging="567"/>
      </w:pPr>
      <w:rPr>
        <w:rFonts w:hint="default"/>
      </w:rPr>
    </w:lvl>
    <w:lvl w:ilvl="2">
      <w:start w:val="1"/>
      <w:numFmt w:val="bullet"/>
      <w:lvlText w:val="•"/>
      <w:lvlJc w:val="left"/>
      <w:pPr>
        <w:ind w:left="2884" w:hanging="567"/>
      </w:pPr>
      <w:rPr>
        <w:rFonts w:hint="default"/>
      </w:rPr>
    </w:lvl>
    <w:lvl w:ilvl="3">
      <w:start w:val="1"/>
      <w:numFmt w:val="bullet"/>
      <w:lvlText w:val="•"/>
      <w:lvlJc w:val="left"/>
      <w:pPr>
        <w:ind w:left="3787" w:hanging="567"/>
      </w:pPr>
      <w:rPr>
        <w:rFonts w:hint="default"/>
      </w:rPr>
    </w:lvl>
    <w:lvl w:ilvl="4">
      <w:start w:val="1"/>
      <w:numFmt w:val="bullet"/>
      <w:lvlText w:val="•"/>
      <w:lvlJc w:val="left"/>
      <w:pPr>
        <w:ind w:left="4689" w:hanging="567"/>
      </w:pPr>
      <w:rPr>
        <w:rFonts w:hint="default"/>
      </w:rPr>
    </w:lvl>
    <w:lvl w:ilvl="5">
      <w:start w:val="1"/>
      <w:numFmt w:val="bullet"/>
      <w:lvlText w:val="•"/>
      <w:lvlJc w:val="left"/>
      <w:pPr>
        <w:ind w:left="5592" w:hanging="567"/>
      </w:pPr>
      <w:rPr>
        <w:rFonts w:hint="default"/>
      </w:rPr>
    </w:lvl>
    <w:lvl w:ilvl="6">
      <w:start w:val="1"/>
      <w:numFmt w:val="bullet"/>
      <w:lvlText w:val="•"/>
      <w:lvlJc w:val="left"/>
      <w:pPr>
        <w:ind w:left="6494" w:hanging="567"/>
      </w:pPr>
      <w:rPr>
        <w:rFonts w:hint="default"/>
      </w:rPr>
    </w:lvl>
    <w:lvl w:ilvl="7">
      <w:start w:val="1"/>
      <w:numFmt w:val="bullet"/>
      <w:lvlText w:val="•"/>
      <w:lvlJc w:val="left"/>
      <w:pPr>
        <w:ind w:left="7397" w:hanging="567"/>
      </w:pPr>
      <w:rPr>
        <w:rFonts w:hint="default"/>
      </w:rPr>
    </w:lvl>
    <w:lvl w:ilvl="8">
      <w:start w:val="1"/>
      <w:numFmt w:val="bullet"/>
      <w:lvlText w:val="•"/>
      <w:lvlJc w:val="left"/>
      <w:pPr>
        <w:ind w:left="8299" w:hanging="567"/>
      </w:pPr>
      <w:rPr>
        <w:rFonts w:hint="default"/>
      </w:rPr>
    </w:lvl>
  </w:abstractNum>
  <w:abstractNum w:abstractNumId="83">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bullet"/>
      <w:lvlText w:val="•"/>
      <w:lvlJc w:val="left"/>
      <w:pPr>
        <w:ind w:left="1986" w:hanging="567"/>
      </w:pPr>
      <w:rPr>
        <w:rFonts w:hint="default"/>
      </w:rPr>
    </w:lvl>
    <w:lvl w:ilvl="2">
      <w:start w:val="1"/>
      <w:numFmt w:val="bullet"/>
      <w:lvlText w:val="•"/>
      <w:lvlJc w:val="left"/>
      <w:pPr>
        <w:ind w:left="2892" w:hanging="567"/>
      </w:pPr>
      <w:rPr>
        <w:rFonts w:hint="default"/>
      </w:rPr>
    </w:lvl>
    <w:lvl w:ilvl="3">
      <w:start w:val="1"/>
      <w:numFmt w:val="bullet"/>
      <w:lvlText w:val="•"/>
      <w:lvlJc w:val="left"/>
      <w:pPr>
        <w:ind w:left="3799" w:hanging="567"/>
      </w:pPr>
      <w:rPr>
        <w:rFonts w:hint="default"/>
      </w:rPr>
    </w:lvl>
    <w:lvl w:ilvl="4">
      <w:start w:val="1"/>
      <w:numFmt w:val="bullet"/>
      <w:lvlText w:val="•"/>
      <w:lvlJc w:val="left"/>
      <w:pPr>
        <w:ind w:left="4705" w:hanging="567"/>
      </w:pPr>
      <w:rPr>
        <w:rFonts w:hint="default"/>
      </w:rPr>
    </w:lvl>
    <w:lvl w:ilvl="5">
      <w:start w:val="1"/>
      <w:numFmt w:val="bullet"/>
      <w:lvlText w:val="•"/>
      <w:lvlJc w:val="left"/>
      <w:pPr>
        <w:ind w:left="5612" w:hanging="567"/>
      </w:pPr>
      <w:rPr>
        <w:rFonts w:hint="default"/>
      </w:rPr>
    </w:lvl>
    <w:lvl w:ilvl="6">
      <w:start w:val="1"/>
      <w:numFmt w:val="bullet"/>
      <w:lvlText w:val="•"/>
      <w:lvlJc w:val="left"/>
      <w:pPr>
        <w:ind w:left="6518" w:hanging="567"/>
      </w:pPr>
      <w:rPr>
        <w:rFonts w:hint="default"/>
      </w:rPr>
    </w:lvl>
    <w:lvl w:ilvl="7">
      <w:start w:val="1"/>
      <w:numFmt w:val="bullet"/>
      <w:lvlText w:val="•"/>
      <w:lvlJc w:val="left"/>
      <w:pPr>
        <w:ind w:left="7425" w:hanging="567"/>
      </w:pPr>
      <w:rPr>
        <w:rFonts w:hint="default"/>
      </w:rPr>
    </w:lvl>
    <w:lvl w:ilvl="8">
      <w:start w:val="1"/>
      <w:numFmt w:val="bullet"/>
      <w:lvlText w:val="•"/>
      <w:lvlJc w:val="left"/>
      <w:pPr>
        <w:ind w:left="8331" w:hanging="567"/>
      </w:pPr>
      <w:rPr>
        <w:rFonts w:hint="default"/>
      </w:rPr>
    </w:lvl>
  </w:abstractNum>
  <w:abstractNum w:abstractNumId="58">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lowerRoman"/>
      <w:lvlText w:val="(%2)"/>
      <w:lvlJc w:val="left"/>
      <w:pPr>
        <w:ind w:left="1466" w:hanging="396"/>
        <w:jc w:val="left"/>
      </w:pPr>
      <w:rPr>
        <w:rFonts w:hint="default" w:ascii="Arial" w:hAnsi="Arial" w:eastAsia="Arial" w:cs="Arial"/>
        <w:i/>
        <w:w w:val="99"/>
        <w:sz w:val="18"/>
        <w:szCs w:val="18"/>
      </w:rPr>
    </w:lvl>
    <w:lvl w:ilvl="2">
      <w:start w:val="1"/>
      <w:numFmt w:val="bullet"/>
      <w:lvlText w:val="•"/>
      <w:lvlJc w:val="left"/>
      <w:pPr>
        <w:ind w:left="2425" w:hanging="396"/>
      </w:pPr>
      <w:rPr>
        <w:rFonts w:hint="default"/>
      </w:rPr>
    </w:lvl>
    <w:lvl w:ilvl="3">
      <w:start w:val="1"/>
      <w:numFmt w:val="bullet"/>
      <w:lvlText w:val="•"/>
      <w:lvlJc w:val="left"/>
      <w:pPr>
        <w:ind w:left="3390" w:hanging="396"/>
      </w:pPr>
      <w:rPr>
        <w:rFonts w:hint="default"/>
      </w:rPr>
    </w:lvl>
    <w:lvl w:ilvl="4">
      <w:start w:val="1"/>
      <w:numFmt w:val="bullet"/>
      <w:lvlText w:val="•"/>
      <w:lvlJc w:val="left"/>
      <w:pPr>
        <w:ind w:left="4355" w:hanging="396"/>
      </w:pPr>
      <w:rPr>
        <w:rFonts w:hint="default"/>
      </w:rPr>
    </w:lvl>
    <w:lvl w:ilvl="5">
      <w:start w:val="1"/>
      <w:numFmt w:val="bullet"/>
      <w:lvlText w:val="•"/>
      <w:lvlJc w:val="left"/>
      <w:pPr>
        <w:ind w:left="5320" w:hanging="396"/>
      </w:pPr>
      <w:rPr>
        <w:rFonts w:hint="default"/>
      </w:rPr>
    </w:lvl>
    <w:lvl w:ilvl="6">
      <w:start w:val="1"/>
      <w:numFmt w:val="bullet"/>
      <w:lvlText w:val="•"/>
      <w:lvlJc w:val="left"/>
      <w:pPr>
        <w:ind w:left="6285" w:hanging="396"/>
      </w:pPr>
      <w:rPr>
        <w:rFonts w:hint="default"/>
      </w:rPr>
    </w:lvl>
    <w:lvl w:ilvl="7">
      <w:start w:val="1"/>
      <w:numFmt w:val="bullet"/>
      <w:lvlText w:val="•"/>
      <w:lvlJc w:val="left"/>
      <w:pPr>
        <w:ind w:left="7250" w:hanging="396"/>
      </w:pPr>
      <w:rPr>
        <w:rFonts w:hint="default"/>
      </w:rPr>
    </w:lvl>
    <w:lvl w:ilvl="8">
      <w:start w:val="1"/>
      <w:numFmt w:val="bullet"/>
      <w:lvlText w:val="•"/>
      <w:lvlJc w:val="left"/>
      <w:pPr>
        <w:ind w:left="8215" w:hanging="396"/>
      </w:pPr>
      <w:rPr>
        <w:rFonts w:hint="default"/>
      </w:rPr>
    </w:lvl>
  </w:abstractNum>
  <w:abstractNum w:abstractNumId="56">
    <w:multiLevelType w:val="hybridMultilevel"/>
    <w:lvl w:ilvl="0">
      <w:start w:val="1"/>
      <w:numFmt w:val="bullet"/>
      <w:lvlText w:val="•"/>
      <w:lvlJc w:val="left"/>
      <w:pPr>
        <w:ind w:left="1287" w:hanging="566"/>
      </w:pPr>
      <w:rPr>
        <w:rFonts w:hint="default" w:ascii="Arial" w:hAnsi="Arial" w:eastAsia="Arial" w:cs="Arial"/>
        <w:color w:val="131113"/>
        <w:w w:val="123"/>
        <w:sz w:val="20"/>
        <w:szCs w:val="20"/>
      </w:rPr>
    </w:lvl>
    <w:lvl w:ilvl="1">
      <w:start w:val="1"/>
      <w:numFmt w:val="bullet"/>
      <w:lvlText w:val="•"/>
      <w:lvlJc w:val="left"/>
      <w:pPr>
        <w:ind w:left="2192" w:hanging="566"/>
      </w:pPr>
      <w:rPr>
        <w:rFonts w:hint="default"/>
      </w:rPr>
    </w:lvl>
    <w:lvl w:ilvl="2">
      <w:start w:val="1"/>
      <w:numFmt w:val="bullet"/>
      <w:lvlText w:val="•"/>
      <w:lvlJc w:val="left"/>
      <w:pPr>
        <w:ind w:left="3104" w:hanging="566"/>
      </w:pPr>
      <w:rPr>
        <w:rFonts w:hint="default"/>
      </w:rPr>
    </w:lvl>
    <w:lvl w:ilvl="3">
      <w:start w:val="1"/>
      <w:numFmt w:val="bullet"/>
      <w:lvlText w:val="•"/>
      <w:lvlJc w:val="left"/>
      <w:pPr>
        <w:ind w:left="4017" w:hanging="566"/>
      </w:pPr>
      <w:rPr>
        <w:rFonts w:hint="default"/>
      </w:rPr>
    </w:lvl>
    <w:lvl w:ilvl="4">
      <w:start w:val="1"/>
      <w:numFmt w:val="bullet"/>
      <w:lvlText w:val="•"/>
      <w:lvlJc w:val="left"/>
      <w:pPr>
        <w:ind w:left="4929" w:hanging="566"/>
      </w:pPr>
      <w:rPr>
        <w:rFonts w:hint="default"/>
      </w:rPr>
    </w:lvl>
    <w:lvl w:ilvl="5">
      <w:start w:val="1"/>
      <w:numFmt w:val="bullet"/>
      <w:lvlText w:val="•"/>
      <w:lvlJc w:val="left"/>
      <w:pPr>
        <w:ind w:left="5842" w:hanging="566"/>
      </w:pPr>
      <w:rPr>
        <w:rFonts w:hint="default"/>
      </w:rPr>
    </w:lvl>
    <w:lvl w:ilvl="6">
      <w:start w:val="1"/>
      <w:numFmt w:val="bullet"/>
      <w:lvlText w:val="•"/>
      <w:lvlJc w:val="left"/>
      <w:pPr>
        <w:ind w:left="6754" w:hanging="566"/>
      </w:pPr>
      <w:rPr>
        <w:rFonts w:hint="default"/>
      </w:rPr>
    </w:lvl>
    <w:lvl w:ilvl="7">
      <w:start w:val="1"/>
      <w:numFmt w:val="bullet"/>
      <w:lvlText w:val="•"/>
      <w:lvlJc w:val="left"/>
      <w:pPr>
        <w:ind w:left="7666" w:hanging="566"/>
      </w:pPr>
      <w:rPr>
        <w:rFonts w:hint="default"/>
      </w:rPr>
    </w:lvl>
    <w:lvl w:ilvl="8">
      <w:start w:val="1"/>
      <w:numFmt w:val="bullet"/>
      <w:lvlText w:val="•"/>
      <w:lvlJc w:val="left"/>
      <w:pPr>
        <w:ind w:left="8579" w:hanging="566"/>
      </w:pPr>
      <w:rPr>
        <w:rFonts w:hint="default"/>
      </w:rPr>
    </w:lvl>
  </w:abstractNum>
  <w:abstractNum w:abstractNumId="52">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bullet"/>
      <w:lvlText w:val="•"/>
      <w:lvlJc w:val="left"/>
      <w:pPr>
        <w:ind w:left="1986" w:hanging="567"/>
      </w:pPr>
      <w:rPr>
        <w:rFonts w:hint="default"/>
      </w:rPr>
    </w:lvl>
    <w:lvl w:ilvl="2">
      <w:start w:val="1"/>
      <w:numFmt w:val="bullet"/>
      <w:lvlText w:val="•"/>
      <w:lvlJc w:val="left"/>
      <w:pPr>
        <w:ind w:left="2893" w:hanging="567"/>
      </w:pPr>
      <w:rPr>
        <w:rFonts w:hint="default"/>
      </w:rPr>
    </w:lvl>
    <w:lvl w:ilvl="3">
      <w:start w:val="1"/>
      <w:numFmt w:val="bullet"/>
      <w:lvlText w:val="•"/>
      <w:lvlJc w:val="left"/>
      <w:pPr>
        <w:ind w:left="3799" w:hanging="567"/>
      </w:pPr>
      <w:rPr>
        <w:rFonts w:hint="default"/>
      </w:rPr>
    </w:lvl>
    <w:lvl w:ilvl="4">
      <w:start w:val="1"/>
      <w:numFmt w:val="bullet"/>
      <w:lvlText w:val="•"/>
      <w:lvlJc w:val="left"/>
      <w:pPr>
        <w:ind w:left="4706" w:hanging="567"/>
      </w:pPr>
      <w:rPr>
        <w:rFonts w:hint="default"/>
      </w:rPr>
    </w:lvl>
    <w:lvl w:ilvl="5">
      <w:start w:val="1"/>
      <w:numFmt w:val="bullet"/>
      <w:lvlText w:val="•"/>
      <w:lvlJc w:val="left"/>
      <w:pPr>
        <w:ind w:left="5612" w:hanging="567"/>
      </w:pPr>
      <w:rPr>
        <w:rFonts w:hint="default"/>
      </w:rPr>
    </w:lvl>
    <w:lvl w:ilvl="6">
      <w:start w:val="1"/>
      <w:numFmt w:val="bullet"/>
      <w:lvlText w:val="•"/>
      <w:lvlJc w:val="left"/>
      <w:pPr>
        <w:ind w:left="6519" w:hanging="567"/>
      </w:pPr>
      <w:rPr>
        <w:rFonts w:hint="default"/>
      </w:rPr>
    </w:lvl>
    <w:lvl w:ilvl="7">
      <w:start w:val="1"/>
      <w:numFmt w:val="bullet"/>
      <w:lvlText w:val="•"/>
      <w:lvlJc w:val="left"/>
      <w:pPr>
        <w:ind w:left="7425" w:hanging="567"/>
      </w:pPr>
      <w:rPr>
        <w:rFonts w:hint="default"/>
      </w:rPr>
    </w:lvl>
    <w:lvl w:ilvl="8">
      <w:start w:val="1"/>
      <w:numFmt w:val="bullet"/>
      <w:lvlText w:val="•"/>
      <w:lvlJc w:val="left"/>
      <w:pPr>
        <w:ind w:left="8332" w:hanging="567"/>
      </w:pPr>
      <w:rPr>
        <w:rFonts w:hint="default"/>
      </w:rPr>
    </w:lvl>
  </w:abstractNum>
  <w:abstractNum w:abstractNumId="47">
    <w:multiLevelType w:val="hybridMultilevel"/>
    <w:lvl w:ilvl="0">
      <w:start w:val="1"/>
      <w:numFmt w:val="bullet"/>
      <w:lvlText w:val="•"/>
      <w:lvlJc w:val="left"/>
      <w:pPr>
        <w:ind w:left="1303" w:hanging="566"/>
      </w:pPr>
      <w:rPr>
        <w:rFonts w:hint="default" w:ascii="Arial" w:hAnsi="Arial" w:eastAsia="Arial" w:cs="Arial"/>
        <w:w w:val="103"/>
      </w:rPr>
    </w:lvl>
    <w:lvl w:ilvl="1">
      <w:start w:val="1"/>
      <w:numFmt w:val="bullet"/>
      <w:lvlText w:val="•"/>
      <w:lvlJc w:val="left"/>
      <w:pPr>
        <w:ind w:left="2210" w:hanging="566"/>
      </w:pPr>
      <w:rPr>
        <w:rFonts w:hint="default"/>
      </w:rPr>
    </w:lvl>
    <w:lvl w:ilvl="2">
      <w:start w:val="1"/>
      <w:numFmt w:val="bullet"/>
      <w:lvlText w:val="•"/>
      <w:lvlJc w:val="left"/>
      <w:pPr>
        <w:ind w:left="3120" w:hanging="566"/>
      </w:pPr>
      <w:rPr>
        <w:rFonts w:hint="default"/>
      </w:rPr>
    </w:lvl>
    <w:lvl w:ilvl="3">
      <w:start w:val="1"/>
      <w:numFmt w:val="bullet"/>
      <w:lvlText w:val="•"/>
      <w:lvlJc w:val="left"/>
      <w:pPr>
        <w:ind w:left="4031" w:hanging="566"/>
      </w:pPr>
      <w:rPr>
        <w:rFonts w:hint="default"/>
      </w:rPr>
    </w:lvl>
    <w:lvl w:ilvl="4">
      <w:start w:val="1"/>
      <w:numFmt w:val="bullet"/>
      <w:lvlText w:val="•"/>
      <w:lvlJc w:val="left"/>
      <w:pPr>
        <w:ind w:left="4941" w:hanging="566"/>
      </w:pPr>
      <w:rPr>
        <w:rFonts w:hint="default"/>
      </w:rPr>
    </w:lvl>
    <w:lvl w:ilvl="5">
      <w:start w:val="1"/>
      <w:numFmt w:val="bullet"/>
      <w:lvlText w:val="•"/>
      <w:lvlJc w:val="left"/>
      <w:pPr>
        <w:ind w:left="5852" w:hanging="566"/>
      </w:pPr>
      <w:rPr>
        <w:rFonts w:hint="default"/>
      </w:rPr>
    </w:lvl>
    <w:lvl w:ilvl="6">
      <w:start w:val="1"/>
      <w:numFmt w:val="bullet"/>
      <w:lvlText w:val="•"/>
      <w:lvlJc w:val="left"/>
      <w:pPr>
        <w:ind w:left="6762" w:hanging="566"/>
      </w:pPr>
      <w:rPr>
        <w:rFonts w:hint="default"/>
      </w:rPr>
    </w:lvl>
    <w:lvl w:ilvl="7">
      <w:start w:val="1"/>
      <w:numFmt w:val="bullet"/>
      <w:lvlText w:val="•"/>
      <w:lvlJc w:val="left"/>
      <w:pPr>
        <w:ind w:left="7672" w:hanging="566"/>
      </w:pPr>
      <w:rPr>
        <w:rFonts w:hint="default"/>
      </w:rPr>
    </w:lvl>
    <w:lvl w:ilvl="8">
      <w:start w:val="1"/>
      <w:numFmt w:val="bullet"/>
      <w:lvlText w:val="•"/>
      <w:lvlJc w:val="left"/>
      <w:pPr>
        <w:ind w:left="8583" w:hanging="566"/>
      </w:pPr>
      <w:rPr>
        <w:rFonts w:hint="default"/>
      </w:rPr>
    </w:lvl>
  </w:abstractNum>
  <w:abstractNum w:abstractNumId="41">
    <w:multiLevelType w:val="hybridMultilevel"/>
    <w:lvl w:ilvl="0">
      <w:start w:val="1"/>
      <w:numFmt w:val="lowerLetter"/>
      <w:lvlText w:val="(%1)"/>
      <w:lvlJc w:val="left"/>
      <w:pPr>
        <w:ind w:left="1060" w:hanging="557"/>
        <w:jc w:val="left"/>
      </w:pPr>
      <w:rPr>
        <w:rFonts w:hint="default" w:ascii="Arial" w:hAnsi="Arial" w:eastAsia="Arial" w:cs="Arial"/>
        <w:b/>
        <w:bCs/>
        <w:spacing w:val="-1"/>
        <w:w w:val="99"/>
        <w:sz w:val="18"/>
        <w:szCs w:val="18"/>
      </w:rPr>
    </w:lvl>
    <w:lvl w:ilvl="1">
      <w:start w:val="1"/>
      <w:numFmt w:val="lowerRoman"/>
      <w:lvlText w:val="%2."/>
      <w:lvlJc w:val="left"/>
      <w:pPr>
        <w:ind w:left="1214" w:hanging="142"/>
        <w:jc w:val="left"/>
      </w:pPr>
      <w:rPr>
        <w:rFonts w:hint="default" w:ascii="Arial" w:hAnsi="Arial" w:eastAsia="Arial" w:cs="Arial"/>
        <w:i/>
        <w:w w:val="99"/>
        <w:sz w:val="18"/>
        <w:szCs w:val="18"/>
      </w:rPr>
    </w:lvl>
    <w:lvl w:ilvl="2">
      <w:start w:val="1"/>
      <w:numFmt w:val="bullet"/>
      <w:lvlText w:val="•"/>
      <w:lvlJc w:val="left"/>
      <w:pPr>
        <w:ind w:left="2211" w:hanging="142"/>
      </w:pPr>
      <w:rPr>
        <w:rFonts w:hint="default"/>
      </w:rPr>
    </w:lvl>
    <w:lvl w:ilvl="3">
      <w:start w:val="1"/>
      <w:numFmt w:val="bullet"/>
      <w:lvlText w:val="•"/>
      <w:lvlJc w:val="left"/>
      <w:pPr>
        <w:ind w:left="3202" w:hanging="142"/>
      </w:pPr>
      <w:rPr>
        <w:rFonts w:hint="default"/>
      </w:rPr>
    </w:lvl>
    <w:lvl w:ilvl="4">
      <w:start w:val="1"/>
      <w:numFmt w:val="bullet"/>
      <w:lvlText w:val="•"/>
      <w:lvlJc w:val="left"/>
      <w:pPr>
        <w:ind w:left="4193" w:hanging="142"/>
      </w:pPr>
      <w:rPr>
        <w:rFonts w:hint="default"/>
      </w:rPr>
    </w:lvl>
    <w:lvl w:ilvl="5">
      <w:start w:val="1"/>
      <w:numFmt w:val="bullet"/>
      <w:lvlText w:val="•"/>
      <w:lvlJc w:val="left"/>
      <w:pPr>
        <w:ind w:left="5184" w:hanging="142"/>
      </w:pPr>
      <w:rPr>
        <w:rFonts w:hint="default"/>
      </w:rPr>
    </w:lvl>
    <w:lvl w:ilvl="6">
      <w:start w:val="1"/>
      <w:numFmt w:val="bullet"/>
      <w:lvlText w:val="•"/>
      <w:lvlJc w:val="left"/>
      <w:pPr>
        <w:ind w:left="6176" w:hanging="142"/>
      </w:pPr>
      <w:rPr>
        <w:rFonts w:hint="default"/>
      </w:rPr>
    </w:lvl>
    <w:lvl w:ilvl="7">
      <w:start w:val="1"/>
      <w:numFmt w:val="bullet"/>
      <w:lvlText w:val="•"/>
      <w:lvlJc w:val="left"/>
      <w:pPr>
        <w:ind w:left="7167" w:hanging="142"/>
      </w:pPr>
      <w:rPr>
        <w:rFonts w:hint="default"/>
      </w:rPr>
    </w:lvl>
    <w:lvl w:ilvl="8">
      <w:start w:val="1"/>
      <w:numFmt w:val="bullet"/>
      <w:lvlText w:val="•"/>
      <w:lvlJc w:val="left"/>
      <w:pPr>
        <w:ind w:left="8158" w:hanging="142"/>
      </w:pPr>
      <w:rPr>
        <w:rFonts w:hint="default"/>
      </w:rPr>
    </w:lvl>
  </w:abstractNum>
  <w:abstractNum w:abstractNumId="37">
    <w:multiLevelType w:val="hybridMultilevel"/>
    <w:lvl w:ilvl="0">
      <w:start w:val="1"/>
      <w:numFmt w:val="lowerRoman"/>
      <w:lvlText w:val="(%1)"/>
      <w:lvlJc w:val="left"/>
      <w:pPr>
        <w:ind w:left="1060" w:hanging="557"/>
        <w:jc w:val="left"/>
      </w:pPr>
      <w:rPr>
        <w:rFonts w:hint="default" w:ascii="Arial" w:hAnsi="Arial" w:eastAsia="Arial" w:cs="Arial"/>
        <w:b/>
        <w:bCs/>
        <w:spacing w:val="-7"/>
        <w:w w:val="99"/>
        <w:sz w:val="18"/>
        <w:szCs w:val="18"/>
      </w:rPr>
    </w:lvl>
    <w:lvl w:ilvl="1">
      <w:start w:val="1"/>
      <w:numFmt w:val="bullet"/>
      <w:lvlText w:val="•"/>
      <w:lvlJc w:val="left"/>
      <w:pPr>
        <w:ind w:left="1360" w:hanging="557"/>
      </w:pPr>
      <w:rPr>
        <w:rFonts w:hint="default"/>
      </w:rPr>
    </w:lvl>
    <w:lvl w:ilvl="2">
      <w:start w:val="1"/>
      <w:numFmt w:val="bullet"/>
      <w:lvlText w:val="•"/>
      <w:lvlJc w:val="left"/>
      <w:pPr>
        <w:ind w:left="2342" w:hanging="557"/>
      </w:pPr>
      <w:rPr>
        <w:rFonts w:hint="default"/>
      </w:rPr>
    </w:lvl>
    <w:lvl w:ilvl="3">
      <w:start w:val="1"/>
      <w:numFmt w:val="bullet"/>
      <w:lvlText w:val="•"/>
      <w:lvlJc w:val="left"/>
      <w:pPr>
        <w:ind w:left="3324" w:hanging="557"/>
      </w:pPr>
      <w:rPr>
        <w:rFonts w:hint="default"/>
      </w:rPr>
    </w:lvl>
    <w:lvl w:ilvl="4">
      <w:start w:val="1"/>
      <w:numFmt w:val="bullet"/>
      <w:lvlText w:val="•"/>
      <w:lvlJc w:val="left"/>
      <w:pPr>
        <w:ind w:left="4306" w:hanging="557"/>
      </w:pPr>
      <w:rPr>
        <w:rFonts w:hint="default"/>
      </w:rPr>
    </w:lvl>
    <w:lvl w:ilvl="5">
      <w:start w:val="1"/>
      <w:numFmt w:val="bullet"/>
      <w:lvlText w:val="•"/>
      <w:lvlJc w:val="left"/>
      <w:pPr>
        <w:ind w:left="5289" w:hanging="557"/>
      </w:pPr>
      <w:rPr>
        <w:rFonts w:hint="default"/>
      </w:rPr>
    </w:lvl>
    <w:lvl w:ilvl="6">
      <w:start w:val="1"/>
      <w:numFmt w:val="bullet"/>
      <w:lvlText w:val="•"/>
      <w:lvlJc w:val="left"/>
      <w:pPr>
        <w:ind w:left="6271" w:hanging="557"/>
      </w:pPr>
      <w:rPr>
        <w:rFonts w:hint="default"/>
      </w:rPr>
    </w:lvl>
    <w:lvl w:ilvl="7">
      <w:start w:val="1"/>
      <w:numFmt w:val="bullet"/>
      <w:lvlText w:val="•"/>
      <w:lvlJc w:val="left"/>
      <w:pPr>
        <w:ind w:left="7253" w:hanging="557"/>
      </w:pPr>
      <w:rPr>
        <w:rFonts w:hint="default"/>
      </w:rPr>
    </w:lvl>
    <w:lvl w:ilvl="8">
      <w:start w:val="1"/>
      <w:numFmt w:val="bullet"/>
      <w:lvlText w:val="•"/>
      <w:lvlJc w:val="left"/>
      <w:pPr>
        <w:ind w:left="8236" w:hanging="557"/>
      </w:pPr>
      <w:rPr>
        <w:rFonts w:hint="default"/>
      </w:rPr>
    </w:lvl>
  </w:abstractNum>
  <w:abstractNum w:abstractNumId="36">
    <w:multiLevelType w:val="hybridMultilevel"/>
    <w:lvl w:ilvl="0">
      <w:start w:val="1"/>
      <w:numFmt w:val="lowerRoman"/>
      <w:lvlText w:val="(%1)"/>
      <w:lvlJc w:val="left"/>
      <w:pPr>
        <w:ind w:left="1281" w:hanging="212"/>
        <w:jc w:val="left"/>
      </w:pPr>
      <w:rPr>
        <w:rFonts w:hint="default" w:ascii="Arial" w:hAnsi="Arial" w:eastAsia="Arial" w:cs="Arial"/>
        <w:i/>
        <w:spacing w:val="-3"/>
        <w:w w:val="99"/>
        <w:sz w:val="18"/>
        <w:szCs w:val="18"/>
      </w:rPr>
    </w:lvl>
    <w:lvl w:ilvl="1">
      <w:start w:val="1"/>
      <w:numFmt w:val="bullet"/>
      <w:lvlText w:val="•"/>
      <w:lvlJc w:val="left"/>
      <w:pPr>
        <w:ind w:left="2168" w:hanging="212"/>
      </w:pPr>
      <w:rPr>
        <w:rFonts w:hint="default"/>
      </w:rPr>
    </w:lvl>
    <w:lvl w:ilvl="2">
      <w:start w:val="1"/>
      <w:numFmt w:val="bullet"/>
      <w:lvlText w:val="•"/>
      <w:lvlJc w:val="left"/>
      <w:pPr>
        <w:ind w:left="3056" w:hanging="212"/>
      </w:pPr>
      <w:rPr>
        <w:rFonts w:hint="default"/>
      </w:rPr>
    </w:lvl>
    <w:lvl w:ilvl="3">
      <w:start w:val="1"/>
      <w:numFmt w:val="bullet"/>
      <w:lvlText w:val="•"/>
      <w:lvlJc w:val="left"/>
      <w:pPr>
        <w:ind w:left="3944" w:hanging="212"/>
      </w:pPr>
      <w:rPr>
        <w:rFonts w:hint="default"/>
      </w:rPr>
    </w:lvl>
    <w:lvl w:ilvl="4">
      <w:start w:val="1"/>
      <w:numFmt w:val="bullet"/>
      <w:lvlText w:val="•"/>
      <w:lvlJc w:val="left"/>
      <w:pPr>
        <w:ind w:left="4832" w:hanging="212"/>
      </w:pPr>
      <w:rPr>
        <w:rFonts w:hint="default"/>
      </w:rPr>
    </w:lvl>
    <w:lvl w:ilvl="5">
      <w:start w:val="1"/>
      <w:numFmt w:val="bullet"/>
      <w:lvlText w:val="•"/>
      <w:lvlJc w:val="left"/>
      <w:pPr>
        <w:ind w:left="5720" w:hanging="212"/>
      </w:pPr>
      <w:rPr>
        <w:rFonts w:hint="default"/>
      </w:rPr>
    </w:lvl>
    <w:lvl w:ilvl="6">
      <w:start w:val="1"/>
      <w:numFmt w:val="bullet"/>
      <w:lvlText w:val="•"/>
      <w:lvlJc w:val="left"/>
      <w:pPr>
        <w:ind w:left="6608" w:hanging="212"/>
      </w:pPr>
      <w:rPr>
        <w:rFonts w:hint="default"/>
      </w:rPr>
    </w:lvl>
    <w:lvl w:ilvl="7">
      <w:start w:val="1"/>
      <w:numFmt w:val="bullet"/>
      <w:lvlText w:val="•"/>
      <w:lvlJc w:val="left"/>
      <w:pPr>
        <w:ind w:left="7496" w:hanging="212"/>
      </w:pPr>
      <w:rPr>
        <w:rFonts w:hint="default"/>
      </w:rPr>
    </w:lvl>
    <w:lvl w:ilvl="8">
      <w:start w:val="1"/>
      <w:numFmt w:val="bullet"/>
      <w:lvlText w:val="•"/>
      <w:lvlJc w:val="left"/>
      <w:pPr>
        <w:ind w:left="8384" w:hanging="212"/>
      </w:pPr>
      <w:rPr>
        <w:rFonts w:hint="default"/>
      </w:rPr>
    </w:lvl>
  </w:abstractNum>
  <w:abstractNum w:abstractNumId="35">
    <w:multiLevelType w:val="hybridMultilevel"/>
    <w:lvl w:ilvl="0">
      <w:start w:val="1"/>
      <w:numFmt w:val="lowerLetter"/>
      <w:lvlText w:val="(%1)"/>
      <w:lvlJc w:val="left"/>
      <w:pPr>
        <w:ind w:left="1060" w:hanging="557"/>
        <w:jc w:val="left"/>
      </w:pPr>
      <w:rPr>
        <w:rFonts w:hint="default" w:ascii="Arial" w:hAnsi="Arial" w:eastAsia="Arial" w:cs="Arial"/>
        <w:b/>
        <w:bCs/>
        <w:spacing w:val="-2"/>
        <w:w w:val="99"/>
        <w:sz w:val="18"/>
        <w:szCs w:val="18"/>
      </w:rPr>
    </w:lvl>
    <w:lvl w:ilvl="1">
      <w:start w:val="1"/>
      <w:numFmt w:val="lowerRoman"/>
      <w:lvlText w:val="(%2)"/>
      <w:lvlJc w:val="left"/>
      <w:pPr>
        <w:ind w:left="1281" w:hanging="212"/>
        <w:jc w:val="left"/>
      </w:pPr>
      <w:rPr>
        <w:rFonts w:hint="default" w:ascii="Arial" w:hAnsi="Arial" w:eastAsia="Arial" w:cs="Arial"/>
        <w:i/>
        <w:spacing w:val="-2"/>
        <w:w w:val="99"/>
        <w:sz w:val="18"/>
        <w:szCs w:val="18"/>
      </w:rPr>
    </w:lvl>
    <w:lvl w:ilvl="2">
      <w:start w:val="1"/>
      <w:numFmt w:val="bullet"/>
      <w:lvlText w:val="•"/>
      <w:lvlJc w:val="left"/>
      <w:pPr>
        <w:ind w:left="2271" w:hanging="212"/>
      </w:pPr>
      <w:rPr>
        <w:rFonts w:hint="default"/>
      </w:rPr>
    </w:lvl>
    <w:lvl w:ilvl="3">
      <w:start w:val="1"/>
      <w:numFmt w:val="bullet"/>
      <w:lvlText w:val="•"/>
      <w:lvlJc w:val="left"/>
      <w:pPr>
        <w:ind w:left="3262" w:hanging="212"/>
      </w:pPr>
      <w:rPr>
        <w:rFonts w:hint="default"/>
      </w:rPr>
    </w:lvl>
    <w:lvl w:ilvl="4">
      <w:start w:val="1"/>
      <w:numFmt w:val="bullet"/>
      <w:lvlText w:val="•"/>
      <w:lvlJc w:val="left"/>
      <w:pPr>
        <w:ind w:left="4253" w:hanging="212"/>
      </w:pPr>
      <w:rPr>
        <w:rFonts w:hint="default"/>
      </w:rPr>
    </w:lvl>
    <w:lvl w:ilvl="5">
      <w:start w:val="1"/>
      <w:numFmt w:val="bullet"/>
      <w:lvlText w:val="•"/>
      <w:lvlJc w:val="left"/>
      <w:pPr>
        <w:ind w:left="5244" w:hanging="212"/>
      </w:pPr>
      <w:rPr>
        <w:rFonts w:hint="default"/>
      </w:rPr>
    </w:lvl>
    <w:lvl w:ilvl="6">
      <w:start w:val="1"/>
      <w:numFmt w:val="bullet"/>
      <w:lvlText w:val="•"/>
      <w:lvlJc w:val="left"/>
      <w:pPr>
        <w:ind w:left="6236" w:hanging="212"/>
      </w:pPr>
      <w:rPr>
        <w:rFonts w:hint="default"/>
      </w:rPr>
    </w:lvl>
    <w:lvl w:ilvl="7">
      <w:start w:val="1"/>
      <w:numFmt w:val="bullet"/>
      <w:lvlText w:val="•"/>
      <w:lvlJc w:val="left"/>
      <w:pPr>
        <w:ind w:left="7227" w:hanging="212"/>
      </w:pPr>
      <w:rPr>
        <w:rFonts w:hint="default"/>
      </w:rPr>
    </w:lvl>
    <w:lvl w:ilvl="8">
      <w:start w:val="1"/>
      <w:numFmt w:val="bullet"/>
      <w:lvlText w:val="•"/>
      <w:lvlJc w:val="left"/>
      <w:pPr>
        <w:ind w:left="8218" w:hanging="212"/>
      </w:pPr>
      <w:rPr>
        <w:rFonts w:hint="default"/>
      </w:rPr>
    </w:lvl>
  </w:abstractNum>
  <w:abstractNum w:abstractNumId="27">
    <w:multiLevelType w:val="hybridMultilevel"/>
    <w:lvl w:ilvl="0">
      <w:start w:val="1"/>
      <w:numFmt w:val="lowerLetter"/>
      <w:lvlText w:val="(%1)"/>
      <w:lvlJc w:val="left"/>
      <w:pPr>
        <w:ind w:left="1071" w:hanging="567"/>
        <w:jc w:val="left"/>
      </w:pPr>
      <w:rPr>
        <w:rFonts w:hint="default" w:ascii="Arial" w:hAnsi="Arial" w:eastAsia="Arial" w:cs="Arial"/>
        <w:spacing w:val="-1"/>
        <w:w w:val="99"/>
        <w:sz w:val="18"/>
        <w:szCs w:val="18"/>
      </w:rPr>
    </w:lvl>
    <w:lvl w:ilvl="1">
      <w:start w:val="1"/>
      <w:numFmt w:val="bullet"/>
      <w:lvlText w:val="•"/>
      <w:lvlJc w:val="left"/>
      <w:pPr>
        <w:ind w:left="2478" w:hanging="567"/>
      </w:pPr>
      <w:rPr>
        <w:rFonts w:hint="default"/>
      </w:rPr>
    </w:lvl>
    <w:lvl w:ilvl="2">
      <w:start w:val="1"/>
      <w:numFmt w:val="bullet"/>
      <w:lvlText w:val="•"/>
      <w:lvlJc w:val="left"/>
      <w:pPr>
        <w:ind w:left="3876" w:hanging="567"/>
      </w:pPr>
      <w:rPr>
        <w:rFonts w:hint="default"/>
      </w:rPr>
    </w:lvl>
    <w:lvl w:ilvl="3">
      <w:start w:val="1"/>
      <w:numFmt w:val="bullet"/>
      <w:lvlText w:val="•"/>
      <w:lvlJc w:val="left"/>
      <w:pPr>
        <w:ind w:left="5274" w:hanging="567"/>
      </w:pPr>
      <w:rPr>
        <w:rFonts w:hint="default"/>
      </w:rPr>
    </w:lvl>
    <w:lvl w:ilvl="4">
      <w:start w:val="1"/>
      <w:numFmt w:val="bullet"/>
      <w:lvlText w:val="•"/>
      <w:lvlJc w:val="left"/>
      <w:pPr>
        <w:ind w:left="6672" w:hanging="567"/>
      </w:pPr>
      <w:rPr>
        <w:rFonts w:hint="default"/>
      </w:rPr>
    </w:lvl>
    <w:lvl w:ilvl="5">
      <w:start w:val="1"/>
      <w:numFmt w:val="bullet"/>
      <w:lvlText w:val="•"/>
      <w:lvlJc w:val="left"/>
      <w:pPr>
        <w:ind w:left="8070" w:hanging="567"/>
      </w:pPr>
      <w:rPr>
        <w:rFonts w:hint="default"/>
      </w:rPr>
    </w:lvl>
    <w:lvl w:ilvl="6">
      <w:start w:val="1"/>
      <w:numFmt w:val="bullet"/>
      <w:lvlText w:val="•"/>
      <w:lvlJc w:val="left"/>
      <w:pPr>
        <w:ind w:left="9468" w:hanging="567"/>
      </w:pPr>
      <w:rPr>
        <w:rFonts w:hint="default"/>
      </w:rPr>
    </w:lvl>
    <w:lvl w:ilvl="7">
      <w:start w:val="1"/>
      <w:numFmt w:val="bullet"/>
      <w:lvlText w:val="•"/>
      <w:lvlJc w:val="left"/>
      <w:pPr>
        <w:ind w:left="10866" w:hanging="567"/>
      </w:pPr>
      <w:rPr>
        <w:rFonts w:hint="default"/>
      </w:rPr>
    </w:lvl>
    <w:lvl w:ilvl="8">
      <w:start w:val="1"/>
      <w:numFmt w:val="bullet"/>
      <w:lvlText w:val="•"/>
      <w:lvlJc w:val="left"/>
      <w:pPr>
        <w:ind w:left="12264" w:hanging="567"/>
      </w:pPr>
      <w:rPr>
        <w:rFonts w:hint="default"/>
      </w:rPr>
    </w:lvl>
  </w:abstractNum>
  <w:abstractNum w:abstractNumId="18">
    <w:multiLevelType w:val="hybridMultilevel"/>
    <w:lvl w:ilvl="0">
      <w:start w:val="1"/>
      <w:numFmt w:val="lowerLetter"/>
      <w:lvlText w:val="(%1)"/>
      <w:lvlJc w:val="left"/>
      <w:pPr>
        <w:ind w:left="1072" w:hanging="567"/>
        <w:jc w:val="left"/>
      </w:pPr>
      <w:rPr>
        <w:rFonts w:hint="default" w:ascii="Arial" w:hAnsi="Arial" w:eastAsia="Arial" w:cs="Arial"/>
        <w:w w:val="99"/>
        <w:sz w:val="18"/>
        <w:szCs w:val="18"/>
      </w:rPr>
    </w:lvl>
    <w:lvl w:ilvl="1">
      <w:start w:val="1"/>
      <w:numFmt w:val="bullet"/>
      <w:lvlText w:val="•"/>
      <w:lvlJc w:val="left"/>
      <w:pPr>
        <w:ind w:left="1968" w:hanging="567"/>
      </w:pPr>
      <w:rPr>
        <w:rFonts w:hint="default"/>
      </w:rPr>
    </w:lvl>
    <w:lvl w:ilvl="2">
      <w:start w:val="1"/>
      <w:numFmt w:val="bullet"/>
      <w:lvlText w:val="•"/>
      <w:lvlJc w:val="left"/>
      <w:pPr>
        <w:ind w:left="2856" w:hanging="567"/>
      </w:pPr>
      <w:rPr>
        <w:rFonts w:hint="default"/>
      </w:rPr>
    </w:lvl>
    <w:lvl w:ilvl="3">
      <w:start w:val="1"/>
      <w:numFmt w:val="bullet"/>
      <w:lvlText w:val="•"/>
      <w:lvlJc w:val="left"/>
      <w:pPr>
        <w:ind w:left="3745" w:hanging="567"/>
      </w:pPr>
      <w:rPr>
        <w:rFonts w:hint="default"/>
      </w:rPr>
    </w:lvl>
    <w:lvl w:ilvl="4">
      <w:start w:val="1"/>
      <w:numFmt w:val="bullet"/>
      <w:lvlText w:val="•"/>
      <w:lvlJc w:val="left"/>
      <w:pPr>
        <w:ind w:left="4633" w:hanging="567"/>
      </w:pPr>
      <w:rPr>
        <w:rFonts w:hint="default"/>
      </w:rPr>
    </w:lvl>
    <w:lvl w:ilvl="5">
      <w:start w:val="1"/>
      <w:numFmt w:val="bullet"/>
      <w:lvlText w:val="•"/>
      <w:lvlJc w:val="left"/>
      <w:pPr>
        <w:ind w:left="5522" w:hanging="567"/>
      </w:pPr>
      <w:rPr>
        <w:rFonts w:hint="default"/>
      </w:rPr>
    </w:lvl>
    <w:lvl w:ilvl="6">
      <w:start w:val="1"/>
      <w:numFmt w:val="bullet"/>
      <w:lvlText w:val="•"/>
      <w:lvlJc w:val="left"/>
      <w:pPr>
        <w:ind w:left="6410" w:hanging="567"/>
      </w:pPr>
      <w:rPr>
        <w:rFonts w:hint="default"/>
      </w:rPr>
    </w:lvl>
    <w:lvl w:ilvl="7">
      <w:start w:val="1"/>
      <w:numFmt w:val="bullet"/>
      <w:lvlText w:val="•"/>
      <w:lvlJc w:val="left"/>
      <w:pPr>
        <w:ind w:left="7299" w:hanging="567"/>
      </w:pPr>
      <w:rPr>
        <w:rFonts w:hint="default"/>
      </w:rPr>
    </w:lvl>
    <w:lvl w:ilvl="8">
      <w:start w:val="1"/>
      <w:numFmt w:val="bullet"/>
      <w:lvlText w:val="•"/>
      <w:lvlJc w:val="left"/>
      <w:pPr>
        <w:ind w:left="8187" w:hanging="567"/>
      </w:pPr>
      <w:rPr>
        <w:rFonts w:hint="default"/>
      </w:rPr>
    </w:lvl>
  </w:abstractNum>
  <w:abstractNum w:abstractNumId="2">
    <w:multiLevelType w:val="hybridMultilevel"/>
    <w:lvl w:ilvl="0">
      <w:start w:val="1"/>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lowerRoman"/>
      <w:lvlText w:val="%2."/>
      <w:lvlJc w:val="left"/>
      <w:pPr>
        <w:ind w:left="1070" w:hanging="298"/>
        <w:jc w:val="left"/>
      </w:pPr>
      <w:rPr>
        <w:rFonts w:hint="default" w:ascii="Arial" w:hAnsi="Arial" w:eastAsia="Arial" w:cs="Arial"/>
        <w:spacing w:val="-24"/>
        <w:w w:val="99"/>
        <w:sz w:val="18"/>
        <w:szCs w:val="18"/>
      </w:rPr>
    </w:lvl>
    <w:lvl w:ilvl="2">
      <w:start w:val="1"/>
      <w:numFmt w:val="bullet"/>
      <w:lvlText w:val="•"/>
      <w:lvlJc w:val="left"/>
      <w:pPr>
        <w:ind w:left="2892" w:hanging="298"/>
      </w:pPr>
      <w:rPr>
        <w:rFonts w:hint="default"/>
      </w:rPr>
    </w:lvl>
    <w:lvl w:ilvl="3">
      <w:start w:val="1"/>
      <w:numFmt w:val="bullet"/>
      <w:lvlText w:val="•"/>
      <w:lvlJc w:val="left"/>
      <w:pPr>
        <w:ind w:left="3799" w:hanging="298"/>
      </w:pPr>
      <w:rPr>
        <w:rFonts w:hint="default"/>
      </w:rPr>
    </w:lvl>
    <w:lvl w:ilvl="4">
      <w:start w:val="1"/>
      <w:numFmt w:val="bullet"/>
      <w:lvlText w:val="•"/>
      <w:lvlJc w:val="left"/>
      <w:pPr>
        <w:ind w:left="4705" w:hanging="298"/>
      </w:pPr>
      <w:rPr>
        <w:rFonts w:hint="default"/>
      </w:rPr>
    </w:lvl>
    <w:lvl w:ilvl="5">
      <w:start w:val="1"/>
      <w:numFmt w:val="bullet"/>
      <w:lvlText w:val="•"/>
      <w:lvlJc w:val="left"/>
      <w:pPr>
        <w:ind w:left="5612" w:hanging="298"/>
      </w:pPr>
      <w:rPr>
        <w:rFonts w:hint="default"/>
      </w:rPr>
    </w:lvl>
    <w:lvl w:ilvl="6">
      <w:start w:val="1"/>
      <w:numFmt w:val="bullet"/>
      <w:lvlText w:val="•"/>
      <w:lvlJc w:val="left"/>
      <w:pPr>
        <w:ind w:left="6518" w:hanging="298"/>
      </w:pPr>
      <w:rPr>
        <w:rFonts w:hint="default"/>
      </w:rPr>
    </w:lvl>
    <w:lvl w:ilvl="7">
      <w:start w:val="1"/>
      <w:numFmt w:val="bullet"/>
      <w:lvlText w:val="•"/>
      <w:lvlJc w:val="left"/>
      <w:pPr>
        <w:ind w:left="7425" w:hanging="298"/>
      </w:pPr>
      <w:rPr>
        <w:rFonts w:hint="default"/>
      </w:rPr>
    </w:lvl>
    <w:lvl w:ilvl="8">
      <w:start w:val="1"/>
      <w:numFmt w:val="bullet"/>
      <w:lvlText w:val="•"/>
      <w:lvlJc w:val="left"/>
      <w:pPr>
        <w:ind w:left="8331" w:hanging="298"/>
      </w:pPr>
      <w:rPr>
        <w:rFonts w:hint="default"/>
      </w:rPr>
    </w:lvl>
  </w:abstractNum>
  <w:abstractNum w:abstractNumId="1">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bullet"/>
      <w:lvlText w:val="-"/>
      <w:lvlJc w:val="left"/>
      <w:pPr>
        <w:ind w:left="1070" w:hanging="111"/>
      </w:pPr>
      <w:rPr>
        <w:rFonts w:hint="default" w:ascii="Arial" w:hAnsi="Arial" w:eastAsia="Arial" w:cs="Arial"/>
        <w:spacing w:val="-17"/>
        <w:w w:val="99"/>
        <w:sz w:val="18"/>
        <w:szCs w:val="18"/>
      </w:rPr>
    </w:lvl>
    <w:lvl w:ilvl="2">
      <w:start w:val="1"/>
      <w:numFmt w:val="bullet"/>
      <w:lvlText w:val="•"/>
      <w:lvlJc w:val="left"/>
      <w:pPr>
        <w:ind w:left="2884" w:hanging="111"/>
      </w:pPr>
      <w:rPr>
        <w:rFonts w:hint="default"/>
      </w:rPr>
    </w:lvl>
    <w:lvl w:ilvl="3">
      <w:start w:val="1"/>
      <w:numFmt w:val="bullet"/>
      <w:lvlText w:val="•"/>
      <w:lvlJc w:val="left"/>
      <w:pPr>
        <w:ind w:left="3787" w:hanging="111"/>
      </w:pPr>
      <w:rPr>
        <w:rFonts w:hint="default"/>
      </w:rPr>
    </w:lvl>
    <w:lvl w:ilvl="4">
      <w:start w:val="1"/>
      <w:numFmt w:val="bullet"/>
      <w:lvlText w:val="•"/>
      <w:lvlJc w:val="left"/>
      <w:pPr>
        <w:ind w:left="4689" w:hanging="111"/>
      </w:pPr>
      <w:rPr>
        <w:rFonts w:hint="default"/>
      </w:rPr>
    </w:lvl>
    <w:lvl w:ilvl="5">
      <w:start w:val="1"/>
      <w:numFmt w:val="bullet"/>
      <w:lvlText w:val="•"/>
      <w:lvlJc w:val="left"/>
      <w:pPr>
        <w:ind w:left="5592" w:hanging="111"/>
      </w:pPr>
      <w:rPr>
        <w:rFonts w:hint="default"/>
      </w:rPr>
    </w:lvl>
    <w:lvl w:ilvl="6">
      <w:start w:val="1"/>
      <w:numFmt w:val="bullet"/>
      <w:lvlText w:val="•"/>
      <w:lvlJc w:val="left"/>
      <w:pPr>
        <w:ind w:left="6494" w:hanging="111"/>
      </w:pPr>
      <w:rPr>
        <w:rFonts w:hint="default"/>
      </w:rPr>
    </w:lvl>
    <w:lvl w:ilvl="7">
      <w:start w:val="1"/>
      <w:numFmt w:val="bullet"/>
      <w:lvlText w:val="•"/>
      <w:lvlJc w:val="left"/>
      <w:pPr>
        <w:ind w:left="7397" w:hanging="111"/>
      </w:pPr>
      <w:rPr>
        <w:rFonts w:hint="default"/>
      </w:rPr>
    </w:lvl>
    <w:lvl w:ilvl="8">
      <w:start w:val="1"/>
      <w:numFmt w:val="bullet"/>
      <w:lvlText w:val="•"/>
      <w:lvlJc w:val="left"/>
      <w:pPr>
        <w:ind w:left="8299" w:hanging="111"/>
      </w:pPr>
      <w:rPr>
        <w:rFonts w:hint="default"/>
      </w:rPr>
    </w:lvl>
  </w:abstractNum>
  <w:abstractNum w:abstractNumId="145">
    <w:multiLevelType w:val="hybridMultilevel"/>
    <w:lvl w:ilvl="0">
      <w:start w:val="1"/>
      <w:numFmt w:val="bullet"/>
      <w:lvlText w:val=""/>
      <w:lvlJc w:val="left"/>
      <w:pPr>
        <w:ind w:left="860" w:hanging="361"/>
      </w:pPr>
      <w:rPr>
        <w:rFonts w:hint="default" w:ascii="Symbol" w:hAnsi="Symbol" w:eastAsia="Symbol" w:cs="Symbol"/>
        <w:w w:val="100"/>
        <w:sz w:val="18"/>
        <w:szCs w:val="18"/>
      </w:rPr>
    </w:lvl>
    <w:lvl w:ilvl="1">
      <w:start w:val="1"/>
      <w:numFmt w:val="bullet"/>
      <w:lvlText w:val="•"/>
      <w:lvlJc w:val="left"/>
      <w:pPr>
        <w:ind w:left="1708" w:hanging="361"/>
      </w:pPr>
      <w:rPr>
        <w:rFonts w:hint="default"/>
      </w:rPr>
    </w:lvl>
    <w:lvl w:ilvl="2">
      <w:start w:val="1"/>
      <w:numFmt w:val="bullet"/>
      <w:lvlText w:val="•"/>
      <w:lvlJc w:val="left"/>
      <w:pPr>
        <w:ind w:left="2556" w:hanging="361"/>
      </w:pPr>
      <w:rPr>
        <w:rFonts w:hint="default"/>
      </w:rPr>
    </w:lvl>
    <w:lvl w:ilvl="3">
      <w:start w:val="1"/>
      <w:numFmt w:val="bullet"/>
      <w:lvlText w:val="•"/>
      <w:lvlJc w:val="left"/>
      <w:pPr>
        <w:ind w:left="3405" w:hanging="361"/>
      </w:pPr>
      <w:rPr>
        <w:rFonts w:hint="default"/>
      </w:rPr>
    </w:lvl>
    <w:lvl w:ilvl="4">
      <w:start w:val="1"/>
      <w:numFmt w:val="bullet"/>
      <w:lvlText w:val="•"/>
      <w:lvlJc w:val="left"/>
      <w:pPr>
        <w:ind w:left="4253" w:hanging="361"/>
      </w:pPr>
      <w:rPr>
        <w:rFonts w:hint="default"/>
      </w:rPr>
    </w:lvl>
    <w:lvl w:ilvl="5">
      <w:start w:val="1"/>
      <w:numFmt w:val="bullet"/>
      <w:lvlText w:val="•"/>
      <w:lvlJc w:val="left"/>
      <w:pPr>
        <w:ind w:left="5102" w:hanging="361"/>
      </w:pPr>
      <w:rPr>
        <w:rFonts w:hint="default"/>
      </w:rPr>
    </w:lvl>
    <w:lvl w:ilvl="6">
      <w:start w:val="1"/>
      <w:numFmt w:val="bullet"/>
      <w:lvlText w:val="•"/>
      <w:lvlJc w:val="left"/>
      <w:pPr>
        <w:ind w:left="5950" w:hanging="361"/>
      </w:pPr>
      <w:rPr>
        <w:rFonts w:hint="default"/>
      </w:rPr>
    </w:lvl>
    <w:lvl w:ilvl="7">
      <w:start w:val="1"/>
      <w:numFmt w:val="bullet"/>
      <w:lvlText w:val="•"/>
      <w:lvlJc w:val="left"/>
      <w:pPr>
        <w:ind w:left="6799" w:hanging="361"/>
      </w:pPr>
      <w:rPr>
        <w:rFonts w:hint="default"/>
      </w:rPr>
    </w:lvl>
    <w:lvl w:ilvl="8">
      <w:start w:val="1"/>
      <w:numFmt w:val="bullet"/>
      <w:lvlText w:val="•"/>
      <w:lvlJc w:val="left"/>
      <w:pPr>
        <w:ind w:left="7647" w:hanging="361"/>
      </w:pPr>
      <w:rPr>
        <w:rFonts w:hint="default"/>
      </w:rPr>
    </w:lvl>
  </w:abstractNum>
  <w:abstractNum w:abstractNumId="144">
    <w:multiLevelType w:val="hybridMultilevel"/>
    <w:lvl w:ilvl="0">
      <w:start w:val="1"/>
      <w:numFmt w:val="bullet"/>
      <w:lvlText w:val=""/>
      <w:lvlJc w:val="left"/>
      <w:pPr>
        <w:ind w:left="849" w:hanging="284"/>
      </w:pPr>
      <w:rPr>
        <w:rFonts w:hint="default" w:ascii="Symbol" w:hAnsi="Symbol" w:eastAsia="Symbol" w:cs="Symbol"/>
        <w:w w:val="100"/>
        <w:sz w:val="18"/>
        <w:szCs w:val="18"/>
      </w:rPr>
    </w:lvl>
    <w:lvl w:ilvl="1">
      <w:start w:val="1"/>
      <w:numFmt w:val="bullet"/>
      <w:lvlText w:val="•"/>
      <w:lvlJc w:val="left"/>
      <w:pPr>
        <w:ind w:left="1690" w:hanging="284"/>
      </w:pPr>
      <w:rPr>
        <w:rFonts w:hint="default"/>
      </w:rPr>
    </w:lvl>
    <w:lvl w:ilvl="2">
      <w:start w:val="1"/>
      <w:numFmt w:val="bullet"/>
      <w:lvlText w:val="•"/>
      <w:lvlJc w:val="left"/>
      <w:pPr>
        <w:ind w:left="2540" w:hanging="284"/>
      </w:pPr>
      <w:rPr>
        <w:rFonts w:hint="default"/>
      </w:rPr>
    </w:lvl>
    <w:lvl w:ilvl="3">
      <w:start w:val="1"/>
      <w:numFmt w:val="bullet"/>
      <w:lvlText w:val="•"/>
      <w:lvlJc w:val="left"/>
      <w:pPr>
        <w:ind w:left="3391" w:hanging="284"/>
      </w:pPr>
      <w:rPr>
        <w:rFonts w:hint="default"/>
      </w:rPr>
    </w:lvl>
    <w:lvl w:ilvl="4">
      <w:start w:val="1"/>
      <w:numFmt w:val="bullet"/>
      <w:lvlText w:val="•"/>
      <w:lvlJc w:val="left"/>
      <w:pPr>
        <w:ind w:left="4241" w:hanging="284"/>
      </w:pPr>
      <w:rPr>
        <w:rFonts w:hint="default"/>
      </w:rPr>
    </w:lvl>
    <w:lvl w:ilvl="5">
      <w:start w:val="1"/>
      <w:numFmt w:val="bullet"/>
      <w:lvlText w:val="•"/>
      <w:lvlJc w:val="left"/>
      <w:pPr>
        <w:ind w:left="5092" w:hanging="284"/>
      </w:pPr>
      <w:rPr>
        <w:rFonts w:hint="default"/>
      </w:rPr>
    </w:lvl>
    <w:lvl w:ilvl="6">
      <w:start w:val="1"/>
      <w:numFmt w:val="bullet"/>
      <w:lvlText w:val="•"/>
      <w:lvlJc w:val="left"/>
      <w:pPr>
        <w:ind w:left="5942" w:hanging="284"/>
      </w:pPr>
      <w:rPr>
        <w:rFonts w:hint="default"/>
      </w:rPr>
    </w:lvl>
    <w:lvl w:ilvl="7">
      <w:start w:val="1"/>
      <w:numFmt w:val="bullet"/>
      <w:lvlText w:val="•"/>
      <w:lvlJc w:val="left"/>
      <w:pPr>
        <w:ind w:left="6793" w:hanging="284"/>
      </w:pPr>
      <w:rPr>
        <w:rFonts w:hint="default"/>
      </w:rPr>
    </w:lvl>
    <w:lvl w:ilvl="8">
      <w:start w:val="1"/>
      <w:numFmt w:val="bullet"/>
      <w:lvlText w:val="•"/>
      <w:lvlJc w:val="left"/>
      <w:pPr>
        <w:ind w:left="7643" w:hanging="284"/>
      </w:pPr>
      <w:rPr>
        <w:rFonts w:hint="default"/>
      </w:rPr>
    </w:lvl>
  </w:abstractNum>
  <w:abstractNum w:abstractNumId="143">
    <w:multiLevelType w:val="hybridMultilevel"/>
    <w:lvl w:ilvl="0">
      <w:start w:val="1"/>
      <w:numFmt w:val="bullet"/>
      <w:lvlText w:val=""/>
      <w:lvlJc w:val="left"/>
      <w:pPr>
        <w:ind w:left="860" w:hanging="361"/>
      </w:pPr>
      <w:rPr>
        <w:rFonts w:hint="default" w:ascii="Symbol" w:hAnsi="Symbol" w:eastAsia="Symbol" w:cs="Symbol"/>
        <w:w w:val="100"/>
      </w:rPr>
    </w:lvl>
    <w:lvl w:ilvl="1">
      <w:start w:val="1"/>
      <w:numFmt w:val="bullet"/>
      <w:lvlText w:val="•"/>
      <w:lvlJc w:val="left"/>
      <w:pPr>
        <w:ind w:left="1708" w:hanging="361"/>
      </w:pPr>
      <w:rPr>
        <w:rFonts w:hint="default"/>
      </w:rPr>
    </w:lvl>
    <w:lvl w:ilvl="2">
      <w:start w:val="1"/>
      <w:numFmt w:val="bullet"/>
      <w:lvlText w:val="•"/>
      <w:lvlJc w:val="left"/>
      <w:pPr>
        <w:ind w:left="2556" w:hanging="361"/>
      </w:pPr>
      <w:rPr>
        <w:rFonts w:hint="default"/>
      </w:rPr>
    </w:lvl>
    <w:lvl w:ilvl="3">
      <w:start w:val="1"/>
      <w:numFmt w:val="bullet"/>
      <w:lvlText w:val="•"/>
      <w:lvlJc w:val="left"/>
      <w:pPr>
        <w:ind w:left="3405" w:hanging="361"/>
      </w:pPr>
      <w:rPr>
        <w:rFonts w:hint="default"/>
      </w:rPr>
    </w:lvl>
    <w:lvl w:ilvl="4">
      <w:start w:val="1"/>
      <w:numFmt w:val="bullet"/>
      <w:lvlText w:val="•"/>
      <w:lvlJc w:val="left"/>
      <w:pPr>
        <w:ind w:left="4253" w:hanging="361"/>
      </w:pPr>
      <w:rPr>
        <w:rFonts w:hint="default"/>
      </w:rPr>
    </w:lvl>
    <w:lvl w:ilvl="5">
      <w:start w:val="1"/>
      <w:numFmt w:val="bullet"/>
      <w:lvlText w:val="•"/>
      <w:lvlJc w:val="left"/>
      <w:pPr>
        <w:ind w:left="5102" w:hanging="361"/>
      </w:pPr>
      <w:rPr>
        <w:rFonts w:hint="default"/>
      </w:rPr>
    </w:lvl>
    <w:lvl w:ilvl="6">
      <w:start w:val="1"/>
      <w:numFmt w:val="bullet"/>
      <w:lvlText w:val="•"/>
      <w:lvlJc w:val="left"/>
      <w:pPr>
        <w:ind w:left="5950" w:hanging="361"/>
      </w:pPr>
      <w:rPr>
        <w:rFonts w:hint="default"/>
      </w:rPr>
    </w:lvl>
    <w:lvl w:ilvl="7">
      <w:start w:val="1"/>
      <w:numFmt w:val="bullet"/>
      <w:lvlText w:val="•"/>
      <w:lvlJc w:val="left"/>
      <w:pPr>
        <w:ind w:left="6799" w:hanging="361"/>
      </w:pPr>
      <w:rPr>
        <w:rFonts w:hint="default"/>
      </w:rPr>
    </w:lvl>
    <w:lvl w:ilvl="8">
      <w:start w:val="1"/>
      <w:numFmt w:val="bullet"/>
      <w:lvlText w:val="•"/>
      <w:lvlJc w:val="left"/>
      <w:pPr>
        <w:ind w:left="7647" w:hanging="361"/>
      </w:pPr>
      <w:rPr>
        <w:rFonts w:hint="default"/>
      </w:rPr>
    </w:lvl>
  </w:abstractNum>
  <w:abstractNum w:abstractNumId="142">
    <w:multiLevelType w:val="hybridMultilevel"/>
    <w:lvl w:ilvl="0">
      <w:start w:val="1"/>
      <w:numFmt w:val="bullet"/>
      <w:lvlText w:val=""/>
      <w:lvlJc w:val="left"/>
      <w:pPr>
        <w:ind w:left="860" w:hanging="361"/>
      </w:pPr>
      <w:rPr>
        <w:rFonts w:hint="default" w:ascii="Symbol" w:hAnsi="Symbol" w:eastAsia="Symbol" w:cs="Symbol"/>
        <w:w w:val="100"/>
        <w:sz w:val="18"/>
        <w:szCs w:val="18"/>
      </w:rPr>
    </w:lvl>
    <w:lvl w:ilvl="1">
      <w:start w:val="1"/>
      <w:numFmt w:val="bullet"/>
      <w:lvlText w:val="•"/>
      <w:lvlJc w:val="left"/>
      <w:pPr>
        <w:ind w:left="1708" w:hanging="361"/>
      </w:pPr>
      <w:rPr>
        <w:rFonts w:hint="default"/>
      </w:rPr>
    </w:lvl>
    <w:lvl w:ilvl="2">
      <w:start w:val="1"/>
      <w:numFmt w:val="bullet"/>
      <w:lvlText w:val="•"/>
      <w:lvlJc w:val="left"/>
      <w:pPr>
        <w:ind w:left="2556" w:hanging="361"/>
      </w:pPr>
      <w:rPr>
        <w:rFonts w:hint="default"/>
      </w:rPr>
    </w:lvl>
    <w:lvl w:ilvl="3">
      <w:start w:val="1"/>
      <w:numFmt w:val="bullet"/>
      <w:lvlText w:val="•"/>
      <w:lvlJc w:val="left"/>
      <w:pPr>
        <w:ind w:left="3405" w:hanging="361"/>
      </w:pPr>
      <w:rPr>
        <w:rFonts w:hint="default"/>
      </w:rPr>
    </w:lvl>
    <w:lvl w:ilvl="4">
      <w:start w:val="1"/>
      <w:numFmt w:val="bullet"/>
      <w:lvlText w:val="•"/>
      <w:lvlJc w:val="left"/>
      <w:pPr>
        <w:ind w:left="4253" w:hanging="361"/>
      </w:pPr>
      <w:rPr>
        <w:rFonts w:hint="default"/>
      </w:rPr>
    </w:lvl>
    <w:lvl w:ilvl="5">
      <w:start w:val="1"/>
      <w:numFmt w:val="bullet"/>
      <w:lvlText w:val="•"/>
      <w:lvlJc w:val="left"/>
      <w:pPr>
        <w:ind w:left="5102" w:hanging="361"/>
      </w:pPr>
      <w:rPr>
        <w:rFonts w:hint="default"/>
      </w:rPr>
    </w:lvl>
    <w:lvl w:ilvl="6">
      <w:start w:val="1"/>
      <w:numFmt w:val="bullet"/>
      <w:lvlText w:val="•"/>
      <w:lvlJc w:val="left"/>
      <w:pPr>
        <w:ind w:left="5950" w:hanging="361"/>
      </w:pPr>
      <w:rPr>
        <w:rFonts w:hint="default"/>
      </w:rPr>
    </w:lvl>
    <w:lvl w:ilvl="7">
      <w:start w:val="1"/>
      <w:numFmt w:val="bullet"/>
      <w:lvlText w:val="•"/>
      <w:lvlJc w:val="left"/>
      <w:pPr>
        <w:ind w:left="6799" w:hanging="361"/>
      </w:pPr>
      <w:rPr>
        <w:rFonts w:hint="default"/>
      </w:rPr>
    </w:lvl>
    <w:lvl w:ilvl="8">
      <w:start w:val="1"/>
      <w:numFmt w:val="bullet"/>
      <w:lvlText w:val="•"/>
      <w:lvlJc w:val="left"/>
      <w:pPr>
        <w:ind w:left="7647" w:hanging="361"/>
      </w:pPr>
      <w:rPr>
        <w:rFonts w:hint="default"/>
      </w:rPr>
    </w:lvl>
  </w:abstractNum>
  <w:abstractNum w:abstractNumId="141">
    <w:multiLevelType w:val="hybridMultilevel"/>
    <w:lvl w:ilvl="0">
      <w:start w:val="20"/>
      <w:numFmt w:val="upperLetter"/>
      <w:lvlText w:val="%1"/>
      <w:lvlJc w:val="left"/>
      <w:pPr>
        <w:ind w:left="407" w:hanging="261"/>
        <w:jc w:val="left"/>
      </w:pPr>
      <w:rPr>
        <w:rFonts w:hint="default"/>
      </w:rPr>
    </w:lvl>
    <w:lvl w:ilvl="1">
      <w:start w:val="3"/>
      <w:numFmt w:val="upperLetter"/>
      <w:lvlText w:val="%1-%2"/>
      <w:lvlJc w:val="left"/>
      <w:pPr>
        <w:ind w:left="407" w:hanging="261"/>
        <w:jc w:val="left"/>
      </w:pPr>
      <w:rPr>
        <w:rFonts w:hint="default" w:ascii="Arial" w:hAnsi="Arial" w:eastAsia="Arial" w:cs="Arial"/>
        <w:w w:val="103"/>
        <w:sz w:val="15"/>
        <w:szCs w:val="15"/>
      </w:rPr>
    </w:lvl>
    <w:lvl w:ilvl="2">
      <w:start w:val="1"/>
      <w:numFmt w:val="bullet"/>
      <w:lvlText w:val=""/>
      <w:lvlJc w:val="left"/>
      <w:pPr>
        <w:ind w:left="905" w:hanging="361"/>
      </w:pPr>
      <w:rPr>
        <w:rFonts w:hint="default" w:ascii="Symbol" w:hAnsi="Symbol" w:eastAsia="Symbol" w:cs="Symbol"/>
        <w:color w:val="0D0D0D"/>
        <w:w w:val="100"/>
        <w:sz w:val="18"/>
        <w:szCs w:val="18"/>
      </w:rPr>
    </w:lvl>
    <w:lvl w:ilvl="3">
      <w:start w:val="1"/>
      <w:numFmt w:val="bullet"/>
      <w:lvlText w:val="•"/>
      <w:lvlJc w:val="left"/>
      <w:pPr>
        <w:ind w:left="2683" w:hanging="361"/>
      </w:pPr>
      <w:rPr>
        <w:rFonts w:hint="default"/>
      </w:rPr>
    </w:lvl>
    <w:lvl w:ilvl="4">
      <w:start w:val="1"/>
      <w:numFmt w:val="bullet"/>
      <w:lvlText w:val="•"/>
      <w:lvlJc w:val="left"/>
      <w:pPr>
        <w:ind w:left="3574" w:hanging="361"/>
      </w:pPr>
      <w:rPr>
        <w:rFonts w:hint="default"/>
      </w:rPr>
    </w:lvl>
    <w:lvl w:ilvl="5">
      <w:start w:val="1"/>
      <w:numFmt w:val="bullet"/>
      <w:lvlText w:val="•"/>
      <w:lvlJc w:val="left"/>
      <w:pPr>
        <w:ind w:left="4466" w:hanging="361"/>
      </w:pPr>
      <w:rPr>
        <w:rFonts w:hint="default"/>
      </w:rPr>
    </w:lvl>
    <w:lvl w:ilvl="6">
      <w:start w:val="1"/>
      <w:numFmt w:val="bullet"/>
      <w:lvlText w:val="•"/>
      <w:lvlJc w:val="left"/>
      <w:pPr>
        <w:ind w:left="5358" w:hanging="361"/>
      </w:pPr>
      <w:rPr>
        <w:rFonts w:hint="default"/>
      </w:rPr>
    </w:lvl>
    <w:lvl w:ilvl="7">
      <w:start w:val="1"/>
      <w:numFmt w:val="bullet"/>
      <w:lvlText w:val="•"/>
      <w:lvlJc w:val="left"/>
      <w:pPr>
        <w:ind w:left="6249" w:hanging="361"/>
      </w:pPr>
      <w:rPr>
        <w:rFonts w:hint="default"/>
      </w:rPr>
    </w:lvl>
    <w:lvl w:ilvl="8">
      <w:start w:val="1"/>
      <w:numFmt w:val="bullet"/>
      <w:lvlText w:val="•"/>
      <w:lvlJc w:val="left"/>
      <w:pPr>
        <w:ind w:left="7141" w:hanging="361"/>
      </w:pPr>
      <w:rPr>
        <w:rFonts w:hint="default"/>
      </w:rPr>
    </w:lvl>
  </w:abstractNum>
  <w:abstractNum w:abstractNumId="140">
    <w:multiLevelType w:val="hybridMultilevel"/>
    <w:lvl w:ilvl="0">
      <w:start w:val="1"/>
      <w:numFmt w:val="decimal"/>
      <w:lvlText w:val="%1."/>
      <w:lvlJc w:val="left"/>
      <w:pPr>
        <w:ind w:left="504" w:hanging="396"/>
        <w:jc w:val="left"/>
      </w:pPr>
      <w:rPr>
        <w:rFonts w:hint="default" w:ascii="Arial" w:hAnsi="Arial" w:eastAsia="Arial" w:cs="Arial"/>
        <w:w w:val="99"/>
        <w:sz w:val="18"/>
        <w:szCs w:val="18"/>
      </w:rPr>
    </w:lvl>
    <w:lvl w:ilvl="1">
      <w:start w:val="1"/>
      <w:numFmt w:val="lowerLetter"/>
      <w:lvlText w:val="%2."/>
      <w:lvlJc w:val="left"/>
      <w:pPr>
        <w:ind w:left="900" w:hanging="396"/>
        <w:jc w:val="left"/>
      </w:pPr>
      <w:rPr>
        <w:rFonts w:hint="default" w:ascii="Arial" w:hAnsi="Arial" w:eastAsia="Arial" w:cs="Arial"/>
        <w:spacing w:val="-3"/>
        <w:w w:val="99"/>
        <w:sz w:val="18"/>
        <w:szCs w:val="18"/>
      </w:rPr>
    </w:lvl>
    <w:lvl w:ilvl="2">
      <w:start w:val="1"/>
      <w:numFmt w:val="bullet"/>
      <w:lvlText w:val="•"/>
      <w:lvlJc w:val="left"/>
      <w:pPr>
        <w:ind w:left="1928" w:hanging="396"/>
      </w:pPr>
      <w:rPr>
        <w:rFonts w:hint="default"/>
      </w:rPr>
    </w:lvl>
    <w:lvl w:ilvl="3">
      <w:start w:val="1"/>
      <w:numFmt w:val="bullet"/>
      <w:lvlText w:val="•"/>
      <w:lvlJc w:val="left"/>
      <w:pPr>
        <w:ind w:left="2956" w:hanging="396"/>
      </w:pPr>
      <w:rPr>
        <w:rFonts w:hint="default"/>
      </w:rPr>
    </w:lvl>
    <w:lvl w:ilvl="4">
      <w:start w:val="1"/>
      <w:numFmt w:val="bullet"/>
      <w:lvlText w:val="•"/>
      <w:lvlJc w:val="left"/>
      <w:pPr>
        <w:ind w:left="3984" w:hanging="396"/>
      </w:pPr>
      <w:rPr>
        <w:rFonts w:hint="default"/>
      </w:rPr>
    </w:lvl>
    <w:lvl w:ilvl="5">
      <w:start w:val="1"/>
      <w:numFmt w:val="bullet"/>
      <w:lvlText w:val="•"/>
      <w:lvlJc w:val="left"/>
      <w:pPr>
        <w:ind w:left="5012" w:hanging="396"/>
      </w:pPr>
      <w:rPr>
        <w:rFonts w:hint="default"/>
      </w:rPr>
    </w:lvl>
    <w:lvl w:ilvl="6">
      <w:start w:val="1"/>
      <w:numFmt w:val="bullet"/>
      <w:lvlText w:val="•"/>
      <w:lvlJc w:val="left"/>
      <w:pPr>
        <w:ind w:left="6040" w:hanging="396"/>
      </w:pPr>
      <w:rPr>
        <w:rFonts w:hint="default"/>
      </w:rPr>
    </w:lvl>
    <w:lvl w:ilvl="7">
      <w:start w:val="1"/>
      <w:numFmt w:val="bullet"/>
      <w:lvlText w:val="•"/>
      <w:lvlJc w:val="left"/>
      <w:pPr>
        <w:ind w:left="7068" w:hanging="396"/>
      </w:pPr>
      <w:rPr>
        <w:rFonts w:hint="default"/>
      </w:rPr>
    </w:lvl>
    <w:lvl w:ilvl="8">
      <w:start w:val="1"/>
      <w:numFmt w:val="bullet"/>
      <w:lvlText w:val="•"/>
      <w:lvlJc w:val="left"/>
      <w:pPr>
        <w:ind w:left="8096" w:hanging="396"/>
      </w:pPr>
      <w:rPr>
        <w:rFonts w:hint="default"/>
      </w:rPr>
    </w:lvl>
  </w:abstractNum>
  <w:abstractNum w:abstractNumId="139">
    <w:multiLevelType w:val="hybridMultilevel"/>
    <w:lvl w:ilvl="0">
      <w:start w:val="1"/>
      <w:numFmt w:val="lowerLetter"/>
      <w:lvlText w:val="(%1)"/>
      <w:lvlJc w:val="left"/>
      <w:pPr>
        <w:ind w:left="1110" w:hanging="567"/>
        <w:jc w:val="left"/>
      </w:pPr>
      <w:rPr>
        <w:rFonts w:hint="default" w:ascii="Arial" w:hAnsi="Arial" w:eastAsia="Arial" w:cs="Arial"/>
        <w:b/>
        <w:bCs/>
        <w:w w:val="99"/>
        <w:sz w:val="18"/>
        <w:szCs w:val="18"/>
      </w:rPr>
    </w:lvl>
    <w:lvl w:ilvl="1">
      <w:start w:val="1"/>
      <w:numFmt w:val="bullet"/>
      <w:lvlText w:val="•"/>
      <w:lvlJc w:val="left"/>
      <w:pPr>
        <w:ind w:left="2026" w:hanging="567"/>
      </w:pPr>
      <w:rPr>
        <w:rFonts w:hint="default"/>
      </w:rPr>
    </w:lvl>
    <w:lvl w:ilvl="2">
      <w:start w:val="1"/>
      <w:numFmt w:val="bullet"/>
      <w:lvlText w:val="•"/>
      <w:lvlJc w:val="left"/>
      <w:pPr>
        <w:ind w:left="2933" w:hanging="567"/>
      </w:pPr>
      <w:rPr>
        <w:rFonts w:hint="default"/>
      </w:rPr>
    </w:lvl>
    <w:lvl w:ilvl="3">
      <w:start w:val="1"/>
      <w:numFmt w:val="bullet"/>
      <w:lvlText w:val="•"/>
      <w:lvlJc w:val="left"/>
      <w:pPr>
        <w:ind w:left="3839" w:hanging="567"/>
      </w:pPr>
      <w:rPr>
        <w:rFonts w:hint="default"/>
      </w:rPr>
    </w:lvl>
    <w:lvl w:ilvl="4">
      <w:start w:val="1"/>
      <w:numFmt w:val="bullet"/>
      <w:lvlText w:val="•"/>
      <w:lvlJc w:val="left"/>
      <w:pPr>
        <w:ind w:left="4746" w:hanging="567"/>
      </w:pPr>
      <w:rPr>
        <w:rFonts w:hint="default"/>
      </w:rPr>
    </w:lvl>
    <w:lvl w:ilvl="5">
      <w:start w:val="1"/>
      <w:numFmt w:val="bullet"/>
      <w:lvlText w:val="•"/>
      <w:lvlJc w:val="left"/>
      <w:pPr>
        <w:ind w:left="5652" w:hanging="567"/>
      </w:pPr>
      <w:rPr>
        <w:rFonts w:hint="default"/>
      </w:rPr>
    </w:lvl>
    <w:lvl w:ilvl="6">
      <w:start w:val="1"/>
      <w:numFmt w:val="bullet"/>
      <w:lvlText w:val="•"/>
      <w:lvlJc w:val="left"/>
      <w:pPr>
        <w:ind w:left="6559" w:hanging="567"/>
      </w:pPr>
      <w:rPr>
        <w:rFonts w:hint="default"/>
      </w:rPr>
    </w:lvl>
    <w:lvl w:ilvl="7">
      <w:start w:val="1"/>
      <w:numFmt w:val="bullet"/>
      <w:lvlText w:val="•"/>
      <w:lvlJc w:val="left"/>
      <w:pPr>
        <w:ind w:left="7465" w:hanging="567"/>
      </w:pPr>
      <w:rPr>
        <w:rFonts w:hint="default"/>
      </w:rPr>
    </w:lvl>
    <w:lvl w:ilvl="8">
      <w:start w:val="1"/>
      <w:numFmt w:val="bullet"/>
      <w:lvlText w:val="•"/>
      <w:lvlJc w:val="left"/>
      <w:pPr>
        <w:ind w:left="8372" w:hanging="567"/>
      </w:pPr>
      <w:rPr>
        <w:rFonts w:hint="default"/>
      </w:rPr>
    </w:lvl>
  </w:abstractNum>
  <w:abstractNum w:abstractNumId="138">
    <w:multiLevelType w:val="hybridMultilevel"/>
    <w:lvl w:ilvl="0">
      <w:start w:val="4"/>
      <w:numFmt w:val="decimal"/>
      <w:lvlText w:val="%1"/>
      <w:lvlJc w:val="left"/>
      <w:pPr>
        <w:ind w:left="504" w:hanging="394"/>
        <w:jc w:val="left"/>
      </w:pPr>
      <w:rPr>
        <w:rFonts w:hint="default" w:ascii="Arial" w:hAnsi="Arial" w:eastAsia="Arial" w:cs="Arial"/>
        <w:b/>
        <w:bCs/>
        <w:w w:val="99"/>
        <w:sz w:val="18"/>
        <w:szCs w:val="18"/>
      </w:rPr>
    </w:lvl>
    <w:lvl w:ilvl="1">
      <w:start w:val="1"/>
      <w:numFmt w:val="lowerLetter"/>
      <w:lvlText w:val="(%2)"/>
      <w:lvlJc w:val="left"/>
      <w:pPr>
        <w:ind w:left="1070" w:hanging="567"/>
        <w:jc w:val="left"/>
      </w:pPr>
      <w:rPr>
        <w:rFonts w:hint="default" w:ascii="Arial" w:hAnsi="Arial" w:eastAsia="Arial" w:cs="Arial"/>
        <w:b/>
        <w:bCs/>
        <w:w w:val="99"/>
        <w:sz w:val="18"/>
        <w:szCs w:val="18"/>
      </w:rPr>
    </w:lvl>
    <w:lvl w:ilvl="2">
      <w:start w:val="1"/>
      <w:numFmt w:val="lowerRoman"/>
      <w:lvlText w:val="(%3)"/>
      <w:lvlJc w:val="left"/>
      <w:pPr>
        <w:ind w:left="1284" w:hanging="213"/>
        <w:jc w:val="left"/>
      </w:pPr>
      <w:rPr>
        <w:rFonts w:hint="default" w:ascii="Arial" w:hAnsi="Arial" w:eastAsia="Arial" w:cs="Arial"/>
        <w:i/>
        <w:w w:val="99"/>
        <w:sz w:val="18"/>
        <w:szCs w:val="18"/>
      </w:rPr>
    </w:lvl>
    <w:lvl w:ilvl="3">
      <w:start w:val="1"/>
      <w:numFmt w:val="bullet"/>
      <w:lvlText w:val="•"/>
      <w:lvlJc w:val="left"/>
      <w:pPr>
        <w:ind w:left="1288" w:hanging="213"/>
      </w:pPr>
      <w:rPr>
        <w:rFonts w:hint="default"/>
      </w:rPr>
    </w:lvl>
    <w:lvl w:ilvl="4">
      <w:start w:val="1"/>
      <w:numFmt w:val="bullet"/>
      <w:lvlText w:val="•"/>
      <w:lvlJc w:val="left"/>
      <w:pPr>
        <w:ind w:left="1297" w:hanging="213"/>
      </w:pPr>
      <w:rPr>
        <w:rFonts w:hint="default"/>
      </w:rPr>
    </w:lvl>
    <w:lvl w:ilvl="5">
      <w:start w:val="1"/>
      <w:numFmt w:val="bullet"/>
      <w:lvlText w:val="•"/>
      <w:lvlJc w:val="left"/>
      <w:pPr>
        <w:ind w:left="1305" w:hanging="213"/>
      </w:pPr>
      <w:rPr>
        <w:rFonts w:hint="default"/>
      </w:rPr>
    </w:lvl>
    <w:lvl w:ilvl="6">
      <w:start w:val="1"/>
      <w:numFmt w:val="bullet"/>
      <w:lvlText w:val="•"/>
      <w:lvlJc w:val="left"/>
      <w:pPr>
        <w:ind w:left="1314" w:hanging="213"/>
      </w:pPr>
      <w:rPr>
        <w:rFonts w:hint="default"/>
      </w:rPr>
    </w:lvl>
    <w:lvl w:ilvl="7">
      <w:start w:val="1"/>
      <w:numFmt w:val="bullet"/>
      <w:lvlText w:val="•"/>
      <w:lvlJc w:val="left"/>
      <w:pPr>
        <w:ind w:left="1322" w:hanging="213"/>
      </w:pPr>
      <w:rPr>
        <w:rFonts w:hint="default"/>
      </w:rPr>
    </w:lvl>
    <w:lvl w:ilvl="8">
      <w:start w:val="1"/>
      <w:numFmt w:val="bullet"/>
      <w:lvlText w:val="•"/>
      <w:lvlJc w:val="left"/>
      <w:pPr>
        <w:ind w:left="1331" w:hanging="213"/>
      </w:pPr>
      <w:rPr>
        <w:rFonts w:hint="default"/>
      </w:rPr>
    </w:lvl>
  </w:abstractNum>
  <w:abstractNum w:abstractNumId="137">
    <w:multiLevelType w:val="hybridMultilevel"/>
    <w:lvl w:ilvl="0">
      <w:start w:val="1"/>
      <w:numFmt w:val="lowerLetter"/>
      <w:lvlText w:val="(%1)"/>
      <w:lvlJc w:val="left"/>
      <w:pPr>
        <w:ind w:left="815" w:hanging="272"/>
        <w:jc w:val="left"/>
      </w:pPr>
      <w:rPr>
        <w:rFonts w:hint="default" w:ascii="Arial" w:hAnsi="Arial" w:eastAsia="Arial" w:cs="Arial"/>
        <w:b/>
        <w:bCs/>
        <w:w w:val="99"/>
        <w:sz w:val="18"/>
        <w:szCs w:val="18"/>
      </w:rPr>
    </w:lvl>
    <w:lvl w:ilvl="1">
      <w:start w:val="1"/>
      <w:numFmt w:val="bullet"/>
      <w:lvlText w:val="•"/>
      <w:lvlJc w:val="left"/>
      <w:pPr>
        <w:ind w:left="1756" w:hanging="272"/>
      </w:pPr>
      <w:rPr>
        <w:rFonts w:hint="default"/>
      </w:rPr>
    </w:lvl>
    <w:lvl w:ilvl="2">
      <w:start w:val="1"/>
      <w:numFmt w:val="bullet"/>
      <w:lvlText w:val="•"/>
      <w:lvlJc w:val="left"/>
      <w:pPr>
        <w:ind w:left="2693" w:hanging="272"/>
      </w:pPr>
      <w:rPr>
        <w:rFonts w:hint="default"/>
      </w:rPr>
    </w:lvl>
    <w:lvl w:ilvl="3">
      <w:start w:val="1"/>
      <w:numFmt w:val="bullet"/>
      <w:lvlText w:val="•"/>
      <w:lvlJc w:val="left"/>
      <w:pPr>
        <w:ind w:left="3629" w:hanging="272"/>
      </w:pPr>
      <w:rPr>
        <w:rFonts w:hint="default"/>
      </w:rPr>
    </w:lvl>
    <w:lvl w:ilvl="4">
      <w:start w:val="1"/>
      <w:numFmt w:val="bullet"/>
      <w:lvlText w:val="•"/>
      <w:lvlJc w:val="left"/>
      <w:pPr>
        <w:ind w:left="4566" w:hanging="272"/>
      </w:pPr>
      <w:rPr>
        <w:rFonts w:hint="default"/>
      </w:rPr>
    </w:lvl>
    <w:lvl w:ilvl="5">
      <w:start w:val="1"/>
      <w:numFmt w:val="bullet"/>
      <w:lvlText w:val="•"/>
      <w:lvlJc w:val="left"/>
      <w:pPr>
        <w:ind w:left="5502" w:hanging="272"/>
      </w:pPr>
      <w:rPr>
        <w:rFonts w:hint="default"/>
      </w:rPr>
    </w:lvl>
    <w:lvl w:ilvl="6">
      <w:start w:val="1"/>
      <w:numFmt w:val="bullet"/>
      <w:lvlText w:val="•"/>
      <w:lvlJc w:val="left"/>
      <w:pPr>
        <w:ind w:left="6439" w:hanging="272"/>
      </w:pPr>
      <w:rPr>
        <w:rFonts w:hint="default"/>
      </w:rPr>
    </w:lvl>
    <w:lvl w:ilvl="7">
      <w:start w:val="1"/>
      <w:numFmt w:val="bullet"/>
      <w:lvlText w:val="•"/>
      <w:lvlJc w:val="left"/>
      <w:pPr>
        <w:ind w:left="7375" w:hanging="272"/>
      </w:pPr>
      <w:rPr>
        <w:rFonts w:hint="default"/>
      </w:rPr>
    </w:lvl>
    <w:lvl w:ilvl="8">
      <w:start w:val="1"/>
      <w:numFmt w:val="bullet"/>
      <w:lvlText w:val="•"/>
      <w:lvlJc w:val="left"/>
      <w:pPr>
        <w:ind w:left="8312" w:hanging="272"/>
      </w:pPr>
      <w:rPr>
        <w:rFonts w:hint="default"/>
      </w:rPr>
    </w:lvl>
  </w:abstractNum>
  <w:abstractNum w:abstractNumId="136">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lowerRoman"/>
      <w:lvlText w:val="%2."/>
      <w:lvlJc w:val="left"/>
      <w:pPr>
        <w:ind w:left="1214" w:hanging="142"/>
        <w:jc w:val="left"/>
      </w:pPr>
      <w:rPr>
        <w:rFonts w:hint="default" w:ascii="Arial" w:hAnsi="Arial" w:eastAsia="Arial" w:cs="Arial"/>
        <w:i/>
        <w:w w:val="99"/>
        <w:sz w:val="18"/>
        <w:szCs w:val="18"/>
      </w:rPr>
    </w:lvl>
    <w:lvl w:ilvl="2">
      <w:start w:val="1"/>
      <w:numFmt w:val="bullet"/>
      <w:lvlText w:val="•"/>
      <w:lvlJc w:val="left"/>
      <w:pPr>
        <w:ind w:left="2211" w:hanging="142"/>
      </w:pPr>
      <w:rPr>
        <w:rFonts w:hint="default"/>
      </w:rPr>
    </w:lvl>
    <w:lvl w:ilvl="3">
      <w:start w:val="1"/>
      <w:numFmt w:val="bullet"/>
      <w:lvlText w:val="•"/>
      <w:lvlJc w:val="left"/>
      <w:pPr>
        <w:ind w:left="3203" w:hanging="142"/>
      </w:pPr>
      <w:rPr>
        <w:rFonts w:hint="default"/>
      </w:rPr>
    </w:lvl>
    <w:lvl w:ilvl="4">
      <w:start w:val="1"/>
      <w:numFmt w:val="bullet"/>
      <w:lvlText w:val="•"/>
      <w:lvlJc w:val="left"/>
      <w:pPr>
        <w:ind w:left="4195" w:hanging="142"/>
      </w:pPr>
      <w:rPr>
        <w:rFonts w:hint="default"/>
      </w:rPr>
    </w:lvl>
    <w:lvl w:ilvl="5">
      <w:start w:val="1"/>
      <w:numFmt w:val="bullet"/>
      <w:lvlText w:val="•"/>
      <w:lvlJc w:val="left"/>
      <w:pPr>
        <w:ind w:left="5186" w:hanging="142"/>
      </w:pPr>
      <w:rPr>
        <w:rFonts w:hint="default"/>
      </w:rPr>
    </w:lvl>
    <w:lvl w:ilvl="6">
      <w:start w:val="1"/>
      <w:numFmt w:val="bullet"/>
      <w:lvlText w:val="•"/>
      <w:lvlJc w:val="left"/>
      <w:pPr>
        <w:ind w:left="6178" w:hanging="142"/>
      </w:pPr>
      <w:rPr>
        <w:rFonts w:hint="default"/>
      </w:rPr>
    </w:lvl>
    <w:lvl w:ilvl="7">
      <w:start w:val="1"/>
      <w:numFmt w:val="bullet"/>
      <w:lvlText w:val="•"/>
      <w:lvlJc w:val="left"/>
      <w:pPr>
        <w:ind w:left="7170" w:hanging="142"/>
      </w:pPr>
      <w:rPr>
        <w:rFonts w:hint="default"/>
      </w:rPr>
    </w:lvl>
    <w:lvl w:ilvl="8">
      <w:start w:val="1"/>
      <w:numFmt w:val="bullet"/>
      <w:lvlText w:val="•"/>
      <w:lvlJc w:val="left"/>
      <w:pPr>
        <w:ind w:left="8162" w:hanging="142"/>
      </w:pPr>
      <w:rPr>
        <w:rFonts w:hint="default"/>
      </w:rPr>
    </w:lvl>
  </w:abstractNum>
  <w:abstractNum w:abstractNumId="135">
    <w:multiLevelType w:val="hybridMultilevel"/>
    <w:lvl w:ilvl="0">
      <w:start w:val="1"/>
      <w:numFmt w:val="decimal"/>
      <w:lvlText w:val="%1"/>
      <w:lvlJc w:val="left"/>
      <w:pPr>
        <w:ind w:left="504" w:hanging="394"/>
        <w:jc w:val="left"/>
      </w:pPr>
      <w:rPr>
        <w:rFonts w:hint="default" w:ascii="Arial" w:hAnsi="Arial" w:eastAsia="Arial" w:cs="Arial"/>
        <w:b/>
        <w:bCs/>
        <w:w w:val="99"/>
        <w:sz w:val="18"/>
        <w:szCs w:val="18"/>
      </w:rPr>
    </w:lvl>
    <w:lvl w:ilvl="1">
      <w:start w:val="1"/>
      <w:numFmt w:val="lowerRoman"/>
      <w:lvlText w:val="(%2)"/>
      <w:lvlJc w:val="left"/>
      <w:pPr>
        <w:ind w:left="1070" w:hanging="567"/>
        <w:jc w:val="left"/>
      </w:pPr>
      <w:rPr>
        <w:rFonts w:hint="default" w:ascii="Arial" w:hAnsi="Arial" w:eastAsia="Arial" w:cs="Arial"/>
        <w:b/>
        <w:bCs/>
        <w:w w:val="100"/>
        <w:sz w:val="18"/>
        <w:szCs w:val="18"/>
      </w:rPr>
    </w:lvl>
    <w:lvl w:ilvl="2">
      <w:start w:val="1"/>
      <w:numFmt w:val="bullet"/>
      <w:lvlText w:val="•"/>
      <w:lvlJc w:val="left"/>
      <w:pPr>
        <w:ind w:left="2087" w:hanging="567"/>
      </w:pPr>
      <w:rPr>
        <w:rFonts w:hint="default"/>
      </w:rPr>
    </w:lvl>
    <w:lvl w:ilvl="3">
      <w:start w:val="1"/>
      <w:numFmt w:val="bullet"/>
      <w:lvlText w:val="•"/>
      <w:lvlJc w:val="left"/>
      <w:pPr>
        <w:ind w:left="3094" w:hanging="567"/>
      </w:pPr>
      <w:rPr>
        <w:rFonts w:hint="default"/>
      </w:rPr>
    </w:lvl>
    <w:lvl w:ilvl="4">
      <w:start w:val="1"/>
      <w:numFmt w:val="bullet"/>
      <w:lvlText w:val="•"/>
      <w:lvlJc w:val="left"/>
      <w:pPr>
        <w:ind w:left="4101" w:hanging="567"/>
      </w:pPr>
      <w:rPr>
        <w:rFonts w:hint="default"/>
      </w:rPr>
    </w:lvl>
    <w:lvl w:ilvl="5">
      <w:start w:val="1"/>
      <w:numFmt w:val="bullet"/>
      <w:lvlText w:val="•"/>
      <w:lvlJc w:val="left"/>
      <w:pPr>
        <w:ind w:left="5109" w:hanging="567"/>
      </w:pPr>
      <w:rPr>
        <w:rFonts w:hint="default"/>
      </w:rPr>
    </w:lvl>
    <w:lvl w:ilvl="6">
      <w:start w:val="1"/>
      <w:numFmt w:val="bullet"/>
      <w:lvlText w:val="•"/>
      <w:lvlJc w:val="left"/>
      <w:pPr>
        <w:ind w:left="6116" w:hanging="567"/>
      </w:pPr>
      <w:rPr>
        <w:rFonts w:hint="default"/>
      </w:rPr>
    </w:lvl>
    <w:lvl w:ilvl="7">
      <w:start w:val="1"/>
      <w:numFmt w:val="bullet"/>
      <w:lvlText w:val="•"/>
      <w:lvlJc w:val="left"/>
      <w:pPr>
        <w:ind w:left="7123" w:hanging="567"/>
      </w:pPr>
      <w:rPr>
        <w:rFonts w:hint="default"/>
      </w:rPr>
    </w:lvl>
    <w:lvl w:ilvl="8">
      <w:start w:val="1"/>
      <w:numFmt w:val="bullet"/>
      <w:lvlText w:val="•"/>
      <w:lvlJc w:val="left"/>
      <w:pPr>
        <w:ind w:left="8130" w:hanging="567"/>
      </w:pPr>
      <w:rPr>
        <w:rFonts w:hint="default"/>
      </w:rPr>
    </w:lvl>
  </w:abstractNum>
  <w:abstractNum w:abstractNumId="134">
    <w:multiLevelType w:val="hybridMultilevel"/>
    <w:lvl w:ilvl="0">
      <w:start w:val="7"/>
      <w:numFmt w:val="lowerLetter"/>
      <w:lvlText w:val="(%1)"/>
      <w:lvlJc w:val="left"/>
      <w:pPr>
        <w:ind w:left="1070" w:hanging="567"/>
        <w:jc w:val="left"/>
      </w:pPr>
      <w:rPr>
        <w:rFonts w:hint="default" w:ascii="Arial" w:hAnsi="Arial" w:eastAsia="Arial" w:cs="Arial"/>
        <w:b/>
        <w:bCs/>
        <w:w w:val="100"/>
        <w:sz w:val="18"/>
        <w:szCs w:val="18"/>
      </w:rPr>
    </w:lvl>
    <w:lvl w:ilvl="1">
      <w:start w:val="1"/>
      <w:numFmt w:val="bullet"/>
      <w:lvlText w:val="•"/>
      <w:lvlJc w:val="left"/>
      <w:pPr>
        <w:ind w:left="1986" w:hanging="567"/>
      </w:pPr>
      <w:rPr>
        <w:rFonts w:hint="default"/>
      </w:rPr>
    </w:lvl>
    <w:lvl w:ilvl="2">
      <w:start w:val="1"/>
      <w:numFmt w:val="bullet"/>
      <w:lvlText w:val="•"/>
      <w:lvlJc w:val="left"/>
      <w:pPr>
        <w:ind w:left="2893" w:hanging="567"/>
      </w:pPr>
      <w:rPr>
        <w:rFonts w:hint="default"/>
      </w:rPr>
    </w:lvl>
    <w:lvl w:ilvl="3">
      <w:start w:val="1"/>
      <w:numFmt w:val="bullet"/>
      <w:lvlText w:val="•"/>
      <w:lvlJc w:val="left"/>
      <w:pPr>
        <w:ind w:left="3799" w:hanging="567"/>
      </w:pPr>
      <w:rPr>
        <w:rFonts w:hint="default"/>
      </w:rPr>
    </w:lvl>
    <w:lvl w:ilvl="4">
      <w:start w:val="1"/>
      <w:numFmt w:val="bullet"/>
      <w:lvlText w:val="•"/>
      <w:lvlJc w:val="left"/>
      <w:pPr>
        <w:ind w:left="4706" w:hanging="567"/>
      </w:pPr>
      <w:rPr>
        <w:rFonts w:hint="default"/>
      </w:rPr>
    </w:lvl>
    <w:lvl w:ilvl="5">
      <w:start w:val="1"/>
      <w:numFmt w:val="bullet"/>
      <w:lvlText w:val="•"/>
      <w:lvlJc w:val="left"/>
      <w:pPr>
        <w:ind w:left="5612" w:hanging="567"/>
      </w:pPr>
      <w:rPr>
        <w:rFonts w:hint="default"/>
      </w:rPr>
    </w:lvl>
    <w:lvl w:ilvl="6">
      <w:start w:val="1"/>
      <w:numFmt w:val="bullet"/>
      <w:lvlText w:val="•"/>
      <w:lvlJc w:val="left"/>
      <w:pPr>
        <w:ind w:left="6519" w:hanging="567"/>
      </w:pPr>
      <w:rPr>
        <w:rFonts w:hint="default"/>
      </w:rPr>
    </w:lvl>
    <w:lvl w:ilvl="7">
      <w:start w:val="1"/>
      <w:numFmt w:val="bullet"/>
      <w:lvlText w:val="•"/>
      <w:lvlJc w:val="left"/>
      <w:pPr>
        <w:ind w:left="7425" w:hanging="567"/>
      </w:pPr>
      <w:rPr>
        <w:rFonts w:hint="default"/>
      </w:rPr>
    </w:lvl>
    <w:lvl w:ilvl="8">
      <w:start w:val="1"/>
      <w:numFmt w:val="bullet"/>
      <w:lvlText w:val="•"/>
      <w:lvlJc w:val="left"/>
      <w:pPr>
        <w:ind w:left="8332" w:hanging="567"/>
      </w:pPr>
      <w:rPr>
        <w:rFonts w:hint="default"/>
      </w:rPr>
    </w:lvl>
  </w:abstractNum>
  <w:abstractNum w:abstractNumId="133">
    <w:multiLevelType w:val="hybridMultilevel"/>
    <w:lvl w:ilvl="0">
      <w:start w:val="1"/>
      <w:numFmt w:val="lowerRoman"/>
      <w:lvlText w:val="(%1)"/>
      <w:lvlJc w:val="left"/>
      <w:pPr>
        <w:ind w:left="1636" w:hanging="567"/>
        <w:jc w:val="left"/>
      </w:pPr>
      <w:rPr>
        <w:rFonts w:hint="default" w:ascii="Arial" w:hAnsi="Arial" w:eastAsia="Arial" w:cs="Arial"/>
        <w:b/>
        <w:bCs/>
        <w:w w:val="100"/>
        <w:sz w:val="18"/>
        <w:szCs w:val="18"/>
      </w:rPr>
    </w:lvl>
    <w:lvl w:ilvl="1">
      <w:start w:val="1"/>
      <w:numFmt w:val="bullet"/>
      <w:lvlText w:val="•"/>
      <w:lvlJc w:val="left"/>
      <w:pPr>
        <w:ind w:left="2490" w:hanging="567"/>
      </w:pPr>
      <w:rPr>
        <w:rFonts w:hint="default"/>
      </w:rPr>
    </w:lvl>
    <w:lvl w:ilvl="2">
      <w:start w:val="1"/>
      <w:numFmt w:val="bullet"/>
      <w:lvlText w:val="•"/>
      <w:lvlJc w:val="left"/>
      <w:pPr>
        <w:ind w:left="3341" w:hanging="567"/>
      </w:pPr>
      <w:rPr>
        <w:rFonts w:hint="default"/>
      </w:rPr>
    </w:lvl>
    <w:lvl w:ilvl="3">
      <w:start w:val="1"/>
      <w:numFmt w:val="bullet"/>
      <w:lvlText w:val="•"/>
      <w:lvlJc w:val="left"/>
      <w:pPr>
        <w:ind w:left="4191" w:hanging="567"/>
      </w:pPr>
      <w:rPr>
        <w:rFonts w:hint="default"/>
      </w:rPr>
    </w:lvl>
    <w:lvl w:ilvl="4">
      <w:start w:val="1"/>
      <w:numFmt w:val="bullet"/>
      <w:lvlText w:val="•"/>
      <w:lvlJc w:val="left"/>
      <w:pPr>
        <w:ind w:left="5042" w:hanging="567"/>
      </w:pPr>
      <w:rPr>
        <w:rFonts w:hint="default"/>
      </w:rPr>
    </w:lvl>
    <w:lvl w:ilvl="5">
      <w:start w:val="1"/>
      <w:numFmt w:val="bullet"/>
      <w:lvlText w:val="•"/>
      <w:lvlJc w:val="left"/>
      <w:pPr>
        <w:ind w:left="5892" w:hanging="567"/>
      </w:pPr>
      <w:rPr>
        <w:rFonts w:hint="default"/>
      </w:rPr>
    </w:lvl>
    <w:lvl w:ilvl="6">
      <w:start w:val="1"/>
      <w:numFmt w:val="bullet"/>
      <w:lvlText w:val="•"/>
      <w:lvlJc w:val="left"/>
      <w:pPr>
        <w:ind w:left="6743" w:hanging="567"/>
      </w:pPr>
      <w:rPr>
        <w:rFonts w:hint="default"/>
      </w:rPr>
    </w:lvl>
    <w:lvl w:ilvl="7">
      <w:start w:val="1"/>
      <w:numFmt w:val="bullet"/>
      <w:lvlText w:val="•"/>
      <w:lvlJc w:val="left"/>
      <w:pPr>
        <w:ind w:left="7593" w:hanging="567"/>
      </w:pPr>
      <w:rPr>
        <w:rFonts w:hint="default"/>
      </w:rPr>
    </w:lvl>
    <w:lvl w:ilvl="8">
      <w:start w:val="1"/>
      <w:numFmt w:val="bullet"/>
      <w:lvlText w:val="•"/>
      <w:lvlJc w:val="left"/>
      <w:pPr>
        <w:ind w:left="8444" w:hanging="567"/>
      </w:pPr>
      <w:rPr>
        <w:rFonts w:hint="default"/>
      </w:rPr>
    </w:lvl>
  </w:abstractNum>
  <w:abstractNum w:abstractNumId="130">
    <w:multiLevelType w:val="hybridMultilevel"/>
    <w:lvl w:ilvl="0">
      <w:start w:val="1"/>
      <w:numFmt w:val="decimal"/>
      <w:lvlText w:val="%1."/>
      <w:lvlJc w:val="left"/>
      <w:pPr>
        <w:ind w:left="503" w:hanging="396"/>
        <w:jc w:val="left"/>
      </w:pPr>
      <w:rPr>
        <w:rFonts w:hint="default" w:ascii="Arial" w:hAnsi="Arial" w:eastAsia="Arial" w:cs="Arial"/>
        <w:w w:val="99"/>
        <w:sz w:val="18"/>
        <w:szCs w:val="18"/>
      </w:rPr>
    </w:lvl>
    <w:lvl w:ilvl="1">
      <w:start w:val="1"/>
      <w:numFmt w:val="lowerLetter"/>
      <w:lvlText w:val="%2."/>
      <w:lvlJc w:val="left"/>
      <w:pPr>
        <w:ind w:left="899" w:hanging="396"/>
        <w:jc w:val="left"/>
      </w:pPr>
      <w:rPr>
        <w:rFonts w:hint="default" w:ascii="Arial" w:hAnsi="Arial" w:eastAsia="Arial" w:cs="Arial"/>
        <w:spacing w:val="-21"/>
        <w:w w:val="99"/>
        <w:sz w:val="18"/>
        <w:szCs w:val="18"/>
      </w:rPr>
    </w:lvl>
    <w:lvl w:ilvl="2">
      <w:start w:val="1"/>
      <w:numFmt w:val="bullet"/>
      <w:lvlText w:val="•"/>
      <w:lvlJc w:val="left"/>
      <w:pPr>
        <w:ind w:left="1928" w:hanging="396"/>
      </w:pPr>
      <w:rPr>
        <w:rFonts w:hint="default"/>
      </w:rPr>
    </w:lvl>
    <w:lvl w:ilvl="3">
      <w:start w:val="1"/>
      <w:numFmt w:val="bullet"/>
      <w:lvlText w:val="•"/>
      <w:lvlJc w:val="left"/>
      <w:pPr>
        <w:ind w:left="2956" w:hanging="396"/>
      </w:pPr>
      <w:rPr>
        <w:rFonts w:hint="default"/>
      </w:rPr>
    </w:lvl>
    <w:lvl w:ilvl="4">
      <w:start w:val="1"/>
      <w:numFmt w:val="bullet"/>
      <w:lvlText w:val="•"/>
      <w:lvlJc w:val="left"/>
      <w:pPr>
        <w:ind w:left="3984" w:hanging="396"/>
      </w:pPr>
      <w:rPr>
        <w:rFonts w:hint="default"/>
      </w:rPr>
    </w:lvl>
    <w:lvl w:ilvl="5">
      <w:start w:val="1"/>
      <w:numFmt w:val="bullet"/>
      <w:lvlText w:val="•"/>
      <w:lvlJc w:val="left"/>
      <w:pPr>
        <w:ind w:left="5012" w:hanging="396"/>
      </w:pPr>
      <w:rPr>
        <w:rFonts w:hint="default"/>
      </w:rPr>
    </w:lvl>
    <w:lvl w:ilvl="6">
      <w:start w:val="1"/>
      <w:numFmt w:val="bullet"/>
      <w:lvlText w:val="•"/>
      <w:lvlJc w:val="left"/>
      <w:pPr>
        <w:ind w:left="6040" w:hanging="396"/>
      </w:pPr>
      <w:rPr>
        <w:rFonts w:hint="default"/>
      </w:rPr>
    </w:lvl>
    <w:lvl w:ilvl="7">
      <w:start w:val="1"/>
      <w:numFmt w:val="bullet"/>
      <w:lvlText w:val="•"/>
      <w:lvlJc w:val="left"/>
      <w:pPr>
        <w:ind w:left="7068" w:hanging="396"/>
      </w:pPr>
      <w:rPr>
        <w:rFonts w:hint="default"/>
      </w:rPr>
    </w:lvl>
    <w:lvl w:ilvl="8">
      <w:start w:val="1"/>
      <w:numFmt w:val="bullet"/>
      <w:lvlText w:val="•"/>
      <w:lvlJc w:val="left"/>
      <w:pPr>
        <w:ind w:left="8096" w:hanging="396"/>
      </w:pPr>
      <w:rPr>
        <w:rFonts w:hint="default"/>
      </w:rPr>
    </w:lvl>
  </w:abstractNum>
  <w:abstractNum w:abstractNumId="129">
    <w:multiLevelType w:val="hybridMultilevel"/>
    <w:lvl w:ilvl="0">
      <w:start w:val="1"/>
      <w:numFmt w:val="decimal"/>
      <w:lvlText w:val="%1"/>
      <w:lvlJc w:val="left"/>
      <w:pPr>
        <w:ind w:left="503" w:hanging="395"/>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b/>
        <w:bCs/>
        <w:w w:val="99"/>
        <w:sz w:val="18"/>
        <w:szCs w:val="18"/>
      </w:rPr>
    </w:lvl>
    <w:lvl w:ilvl="2">
      <w:start w:val="1"/>
      <w:numFmt w:val="lowerRoman"/>
      <w:lvlText w:val="%3."/>
      <w:lvlJc w:val="left"/>
      <w:pPr>
        <w:ind w:left="1212" w:hanging="141"/>
        <w:jc w:val="left"/>
      </w:pPr>
      <w:rPr>
        <w:rFonts w:hint="default" w:ascii="Arial" w:hAnsi="Arial" w:eastAsia="Arial" w:cs="Arial"/>
        <w:i/>
        <w:w w:val="99"/>
        <w:sz w:val="18"/>
        <w:szCs w:val="18"/>
      </w:rPr>
    </w:lvl>
    <w:lvl w:ilvl="3">
      <w:start w:val="1"/>
      <w:numFmt w:val="bullet"/>
      <w:lvlText w:val="•"/>
      <w:lvlJc w:val="left"/>
      <w:pPr>
        <w:ind w:left="2330" w:hanging="141"/>
      </w:pPr>
      <w:rPr>
        <w:rFonts w:hint="default"/>
      </w:rPr>
    </w:lvl>
    <w:lvl w:ilvl="4">
      <w:start w:val="1"/>
      <w:numFmt w:val="bullet"/>
      <w:lvlText w:val="•"/>
      <w:lvlJc w:val="left"/>
      <w:pPr>
        <w:ind w:left="3441" w:hanging="141"/>
      </w:pPr>
      <w:rPr>
        <w:rFonts w:hint="default"/>
      </w:rPr>
    </w:lvl>
    <w:lvl w:ilvl="5">
      <w:start w:val="1"/>
      <w:numFmt w:val="bullet"/>
      <w:lvlText w:val="•"/>
      <w:lvlJc w:val="left"/>
      <w:pPr>
        <w:ind w:left="4551" w:hanging="141"/>
      </w:pPr>
      <w:rPr>
        <w:rFonts w:hint="default"/>
      </w:rPr>
    </w:lvl>
    <w:lvl w:ilvl="6">
      <w:start w:val="1"/>
      <w:numFmt w:val="bullet"/>
      <w:lvlText w:val="•"/>
      <w:lvlJc w:val="left"/>
      <w:pPr>
        <w:ind w:left="5662" w:hanging="141"/>
      </w:pPr>
      <w:rPr>
        <w:rFonts w:hint="default"/>
      </w:rPr>
    </w:lvl>
    <w:lvl w:ilvl="7">
      <w:start w:val="1"/>
      <w:numFmt w:val="bullet"/>
      <w:lvlText w:val="•"/>
      <w:lvlJc w:val="left"/>
      <w:pPr>
        <w:ind w:left="6772" w:hanging="141"/>
      </w:pPr>
      <w:rPr>
        <w:rFonts w:hint="default"/>
      </w:rPr>
    </w:lvl>
    <w:lvl w:ilvl="8">
      <w:start w:val="1"/>
      <w:numFmt w:val="bullet"/>
      <w:lvlText w:val="•"/>
      <w:lvlJc w:val="left"/>
      <w:pPr>
        <w:ind w:left="7883" w:hanging="141"/>
      </w:pPr>
      <w:rPr>
        <w:rFonts w:hint="default"/>
      </w:rPr>
    </w:lvl>
  </w:abstractNum>
  <w:abstractNum w:abstractNumId="127">
    <w:multiLevelType w:val="hybridMultilevel"/>
    <w:lvl w:ilvl="0">
      <w:start w:val="1"/>
      <w:numFmt w:val="bullet"/>
      <w:lvlText w:val="•"/>
      <w:lvlJc w:val="left"/>
      <w:pPr>
        <w:ind w:left="907" w:hanging="573"/>
      </w:pPr>
      <w:rPr>
        <w:rFonts w:hint="default" w:ascii="Arial" w:hAnsi="Arial" w:eastAsia="Arial" w:cs="Arial"/>
        <w:color w:val="111113"/>
        <w:w w:val="113"/>
        <w:sz w:val="20"/>
        <w:szCs w:val="20"/>
      </w:rPr>
    </w:lvl>
    <w:lvl w:ilvl="1">
      <w:start w:val="1"/>
      <w:numFmt w:val="bullet"/>
      <w:lvlText w:val="•"/>
      <w:lvlJc w:val="left"/>
      <w:pPr>
        <w:ind w:left="1758" w:hanging="573"/>
      </w:pPr>
      <w:rPr>
        <w:rFonts w:hint="default"/>
      </w:rPr>
    </w:lvl>
    <w:lvl w:ilvl="2">
      <w:start w:val="1"/>
      <w:numFmt w:val="bullet"/>
      <w:lvlText w:val="•"/>
      <w:lvlJc w:val="left"/>
      <w:pPr>
        <w:ind w:left="2616" w:hanging="573"/>
      </w:pPr>
      <w:rPr>
        <w:rFonts w:hint="default"/>
      </w:rPr>
    </w:lvl>
    <w:lvl w:ilvl="3">
      <w:start w:val="1"/>
      <w:numFmt w:val="bullet"/>
      <w:lvlText w:val="•"/>
      <w:lvlJc w:val="left"/>
      <w:pPr>
        <w:ind w:left="3475" w:hanging="573"/>
      </w:pPr>
      <w:rPr>
        <w:rFonts w:hint="default"/>
      </w:rPr>
    </w:lvl>
    <w:lvl w:ilvl="4">
      <w:start w:val="1"/>
      <w:numFmt w:val="bullet"/>
      <w:lvlText w:val="•"/>
      <w:lvlJc w:val="left"/>
      <w:pPr>
        <w:ind w:left="4333" w:hanging="573"/>
      </w:pPr>
      <w:rPr>
        <w:rFonts w:hint="default"/>
      </w:rPr>
    </w:lvl>
    <w:lvl w:ilvl="5">
      <w:start w:val="1"/>
      <w:numFmt w:val="bullet"/>
      <w:lvlText w:val="•"/>
      <w:lvlJc w:val="left"/>
      <w:pPr>
        <w:ind w:left="5192" w:hanging="573"/>
      </w:pPr>
      <w:rPr>
        <w:rFonts w:hint="default"/>
      </w:rPr>
    </w:lvl>
    <w:lvl w:ilvl="6">
      <w:start w:val="1"/>
      <w:numFmt w:val="bullet"/>
      <w:lvlText w:val="•"/>
      <w:lvlJc w:val="left"/>
      <w:pPr>
        <w:ind w:left="6050" w:hanging="573"/>
      </w:pPr>
      <w:rPr>
        <w:rFonts w:hint="default"/>
      </w:rPr>
    </w:lvl>
    <w:lvl w:ilvl="7">
      <w:start w:val="1"/>
      <w:numFmt w:val="bullet"/>
      <w:lvlText w:val="•"/>
      <w:lvlJc w:val="left"/>
      <w:pPr>
        <w:ind w:left="6908" w:hanging="573"/>
      </w:pPr>
      <w:rPr>
        <w:rFonts w:hint="default"/>
      </w:rPr>
    </w:lvl>
    <w:lvl w:ilvl="8">
      <w:start w:val="1"/>
      <w:numFmt w:val="bullet"/>
      <w:lvlText w:val="•"/>
      <w:lvlJc w:val="left"/>
      <w:pPr>
        <w:ind w:left="7767" w:hanging="573"/>
      </w:pPr>
      <w:rPr>
        <w:rFonts w:hint="default"/>
      </w:rPr>
    </w:lvl>
  </w:abstractNum>
  <w:abstractNum w:abstractNumId="126">
    <w:multiLevelType w:val="hybridMultilevel"/>
    <w:lvl w:ilvl="0">
      <w:start w:val="1"/>
      <w:numFmt w:val="bullet"/>
      <w:lvlText w:val="•"/>
      <w:lvlJc w:val="left"/>
      <w:pPr>
        <w:ind w:left="916" w:hanging="564"/>
      </w:pPr>
      <w:rPr>
        <w:rFonts w:hint="default" w:ascii="Times New Roman" w:hAnsi="Times New Roman" w:eastAsia="Times New Roman" w:cs="Times New Roman"/>
        <w:color w:val="111113"/>
        <w:w w:val="103"/>
        <w:position w:val="-2"/>
        <w:sz w:val="22"/>
        <w:szCs w:val="22"/>
      </w:rPr>
    </w:lvl>
    <w:lvl w:ilvl="1">
      <w:start w:val="1"/>
      <w:numFmt w:val="bullet"/>
      <w:lvlText w:val="•"/>
      <w:lvlJc w:val="left"/>
      <w:pPr>
        <w:ind w:left="1776" w:hanging="564"/>
      </w:pPr>
      <w:rPr>
        <w:rFonts w:hint="default"/>
      </w:rPr>
    </w:lvl>
    <w:lvl w:ilvl="2">
      <w:start w:val="1"/>
      <w:numFmt w:val="bullet"/>
      <w:lvlText w:val="•"/>
      <w:lvlJc w:val="left"/>
      <w:pPr>
        <w:ind w:left="2632" w:hanging="564"/>
      </w:pPr>
      <w:rPr>
        <w:rFonts w:hint="default"/>
      </w:rPr>
    </w:lvl>
    <w:lvl w:ilvl="3">
      <w:start w:val="1"/>
      <w:numFmt w:val="bullet"/>
      <w:lvlText w:val="•"/>
      <w:lvlJc w:val="left"/>
      <w:pPr>
        <w:ind w:left="3489" w:hanging="564"/>
      </w:pPr>
      <w:rPr>
        <w:rFonts w:hint="default"/>
      </w:rPr>
    </w:lvl>
    <w:lvl w:ilvl="4">
      <w:start w:val="1"/>
      <w:numFmt w:val="bullet"/>
      <w:lvlText w:val="•"/>
      <w:lvlJc w:val="left"/>
      <w:pPr>
        <w:ind w:left="4345" w:hanging="564"/>
      </w:pPr>
      <w:rPr>
        <w:rFonts w:hint="default"/>
      </w:rPr>
    </w:lvl>
    <w:lvl w:ilvl="5">
      <w:start w:val="1"/>
      <w:numFmt w:val="bullet"/>
      <w:lvlText w:val="•"/>
      <w:lvlJc w:val="left"/>
      <w:pPr>
        <w:ind w:left="5202" w:hanging="564"/>
      </w:pPr>
      <w:rPr>
        <w:rFonts w:hint="default"/>
      </w:rPr>
    </w:lvl>
    <w:lvl w:ilvl="6">
      <w:start w:val="1"/>
      <w:numFmt w:val="bullet"/>
      <w:lvlText w:val="•"/>
      <w:lvlJc w:val="left"/>
      <w:pPr>
        <w:ind w:left="6058" w:hanging="564"/>
      </w:pPr>
      <w:rPr>
        <w:rFonts w:hint="default"/>
      </w:rPr>
    </w:lvl>
    <w:lvl w:ilvl="7">
      <w:start w:val="1"/>
      <w:numFmt w:val="bullet"/>
      <w:lvlText w:val="•"/>
      <w:lvlJc w:val="left"/>
      <w:pPr>
        <w:ind w:left="6914" w:hanging="564"/>
      </w:pPr>
      <w:rPr>
        <w:rFonts w:hint="default"/>
      </w:rPr>
    </w:lvl>
    <w:lvl w:ilvl="8">
      <w:start w:val="1"/>
      <w:numFmt w:val="bullet"/>
      <w:lvlText w:val="•"/>
      <w:lvlJc w:val="left"/>
      <w:pPr>
        <w:ind w:left="7771" w:hanging="564"/>
      </w:pPr>
      <w:rPr>
        <w:rFonts w:hint="default"/>
      </w:rPr>
    </w:lvl>
  </w:abstractNum>
  <w:abstractNum w:abstractNumId="123">
    <w:multiLevelType w:val="hybridMultilevel"/>
    <w:lvl w:ilvl="0">
      <w:start w:val="1"/>
      <w:numFmt w:val="bullet"/>
      <w:lvlText w:val="•"/>
      <w:lvlJc w:val="left"/>
      <w:pPr>
        <w:ind w:left="900" w:hanging="567"/>
      </w:pPr>
      <w:rPr>
        <w:rFonts w:hint="default" w:ascii="Arial" w:hAnsi="Arial" w:eastAsia="Arial" w:cs="Arial"/>
        <w:color w:val="0F0F11"/>
        <w:w w:val="113"/>
        <w:sz w:val="20"/>
        <w:szCs w:val="20"/>
      </w:rPr>
    </w:lvl>
    <w:lvl w:ilvl="1">
      <w:start w:val="1"/>
      <w:numFmt w:val="bullet"/>
      <w:lvlText w:val="•"/>
      <w:lvlJc w:val="left"/>
      <w:pPr>
        <w:ind w:left="1760" w:hanging="567"/>
      </w:pPr>
      <w:rPr>
        <w:rFonts w:hint="default"/>
      </w:rPr>
    </w:lvl>
    <w:lvl w:ilvl="2">
      <w:start w:val="1"/>
      <w:numFmt w:val="bullet"/>
      <w:lvlText w:val="•"/>
      <w:lvlJc w:val="left"/>
      <w:pPr>
        <w:ind w:left="2620" w:hanging="567"/>
      </w:pPr>
      <w:rPr>
        <w:rFonts w:hint="default"/>
      </w:rPr>
    </w:lvl>
    <w:lvl w:ilvl="3">
      <w:start w:val="1"/>
      <w:numFmt w:val="bullet"/>
      <w:lvlText w:val="•"/>
      <w:lvlJc w:val="left"/>
      <w:pPr>
        <w:ind w:left="3481" w:hanging="567"/>
      </w:pPr>
      <w:rPr>
        <w:rFonts w:hint="default"/>
      </w:rPr>
    </w:lvl>
    <w:lvl w:ilvl="4">
      <w:start w:val="1"/>
      <w:numFmt w:val="bullet"/>
      <w:lvlText w:val="•"/>
      <w:lvlJc w:val="left"/>
      <w:pPr>
        <w:ind w:left="4341" w:hanging="567"/>
      </w:pPr>
      <w:rPr>
        <w:rFonts w:hint="default"/>
      </w:rPr>
    </w:lvl>
    <w:lvl w:ilvl="5">
      <w:start w:val="1"/>
      <w:numFmt w:val="bullet"/>
      <w:lvlText w:val="•"/>
      <w:lvlJc w:val="left"/>
      <w:pPr>
        <w:ind w:left="5202" w:hanging="567"/>
      </w:pPr>
      <w:rPr>
        <w:rFonts w:hint="default"/>
      </w:rPr>
    </w:lvl>
    <w:lvl w:ilvl="6">
      <w:start w:val="1"/>
      <w:numFmt w:val="bullet"/>
      <w:lvlText w:val="•"/>
      <w:lvlJc w:val="left"/>
      <w:pPr>
        <w:ind w:left="6062" w:hanging="567"/>
      </w:pPr>
      <w:rPr>
        <w:rFonts w:hint="default"/>
      </w:rPr>
    </w:lvl>
    <w:lvl w:ilvl="7">
      <w:start w:val="1"/>
      <w:numFmt w:val="bullet"/>
      <w:lvlText w:val="•"/>
      <w:lvlJc w:val="left"/>
      <w:pPr>
        <w:ind w:left="6922" w:hanging="567"/>
      </w:pPr>
      <w:rPr>
        <w:rFonts w:hint="default"/>
      </w:rPr>
    </w:lvl>
    <w:lvl w:ilvl="8">
      <w:start w:val="1"/>
      <w:numFmt w:val="bullet"/>
      <w:lvlText w:val="•"/>
      <w:lvlJc w:val="left"/>
      <w:pPr>
        <w:ind w:left="7783" w:hanging="567"/>
      </w:pPr>
      <w:rPr>
        <w:rFonts w:hint="default"/>
      </w:rPr>
    </w:lvl>
  </w:abstractNum>
  <w:abstractNum w:abstractNumId="122">
    <w:multiLevelType w:val="hybridMultilevel"/>
    <w:lvl w:ilvl="0">
      <w:start w:val="1"/>
      <w:numFmt w:val="lowerLetter"/>
      <w:lvlText w:val="(%1)"/>
      <w:lvlJc w:val="left"/>
      <w:pPr>
        <w:ind w:left="504" w:hanging="396"/>
        <w:jc w:val="left"/>
      </w:pPr>
      <w:rPr>
        <w:rFonts w:hint="default" w:ascii="Arial" w:hAnsi="Arial" w:eastAsia="Arial" w:cs="Arial"/>
        <w:spacing w:val="-25"/>
        <w:w w:val="99"/>
        <w:sz w:val="18"/>
        <w:szCs w:val="18"/>
      </w:rPr>
    </w:lvl>
    <w:lvl w:ilvl="1">
      <w:start w:val="1"/>
      <w:numFmt w:val="bullet"/>
      <w:lvlText w:val="•"/>
      <w:lvlJc w:val="left"/>
      <w:pPr>
        <w:ind w:left="1273" w:hanging="567"/>
      </w:pPr>
      <w:rPr>
        <w:rFonts w:hint="default" w:ascii="Arial" w:hAnsi="Arial" w:eastAsia="Arial" w:cs="Arial"/>
        <w:color w:val="0F0F11"/>
        <w:w w:val="113"/>
        <w:sz w:val="20"/>
        <w:szCs w:val="20"/>
      </w:rPr>
    </w:lvl>
    <w:lvl w:ilvl="2">
      <w:start w:val="1"/>
      <w:numFmt w:val="bullet"/>
      <w:lvlText w:val="•"/>
      <w:lvlJc w:val="left"/>
      <w:pPr>
        <w:ind w:left="1280" w:hanging="567"/>
      </w:pPr>
      <w:rPr>
        <w:rFonts w:hint="default"/>
      </w:rPr>
    </w:lvl>
    <w:lvl w:ilvl="3">
      <w:start w:val="1"/>
      <w:numFmt w:val="bullet"/>
      <w:lvlText w:val="•"/>
      <w:lvlJc w:val="left"/>
      <w:pPr>
        <w:ind w:left="2393" w:hanging="567"/>
      </w:pPr>
      <w:rPr>
        <w:rFonts w:hint="default"/>
      </w:rPr>
    </w:lvl>
    <w:lvl w:ilvl="4">
      <w:start w:val="1"/>
      <w:numFmt w:val="bullet"/>
      <w:lvlText w:val="•"/>
      <w:lvlJc w:val="left"/>
      <w:pPr>
        <w:ind w:left="3506" w:hanging="567"/>
      </w:pPr>
      <w:rPr>
        <w:rFonts w:hint="default"/>
      </w:rPr>
    </w:lvl>
    <w:lvl w:ilvl="5">
      <w:start w:val="1"/>
      <w:numFmt w:val="bullet"/>
      <w:lvlText w:val="•"/>
      <w:lvlJc w:val="left"/>
      <w:pPr>
        <w:ind w:left="4619" w:hanging="567"/>
      </w:pPr>
      <w:rPr>
        <w:rFonts w:hint="default"/>
      </w:rPr>
    </w:lvl>
    <w:lvl w:ilvl="6">
      <w:start w:val="1"/>
      <w:numFmt w:val="bullet"/>
      <w:lvlText w:val="•"/>
      <w:lvlJc w:val="left"/>
      <w:pPr>
        <w:ind w:left="5732" w:hanging="567"/>
      </w:pPr>
      <w:rPr>
        <w:rFonts w:hint="default"/>
      </w:rPr>
    </w:lvl>
    <w:lvl w:ilvl="7">
      <w:start w:val="1"/>
      <w:numFmt w:val="bullet"/>
      <w:lvlText w:val="•"/>
      <w:lvlJc w:val="left"/>
      <w:pPr>
        <w:ind w:left="6845" w:hanging="567"/>
      </w:pPr>
      <w:rPr>
        <w:rFonts w:hint="default"/>
      </w:rPr>
    </w:lvl>
    <w:lvl w:ilvl="8">
      <w:start w:val="1"/>
      <w:numFmt w:val="bullet"/>
      <w:lvlText w:val="•"/>
      <w:lvlJc w:val="left"/>
      <w:pPr>
        <w:ind w:left="7958" w:hanging="567"/>
      </w:pPr>
      <w:rPr>
        <w:rFonts w:hint="default"/>
      </w:rPr>
    </w:lvl>
  </w:abstractNum>
  <w:abstractNum w:abstractNumId="121">
    <w:multiLevelType w:val="hybridMultilevel"/>
    <w:lvl w:ilvl="0">
      <w:start w:val="1"/>
      <w:numFmt w:val="decimal"/>
      <w:lvlText w:val="%1."/>
      <w:lvlJc w:val="left"/>
      <w:pPr>
        <w:ind w:left="503" w:hanging="396"/>
        <w:jc w:val="left"/>
      </w:pPr>
      <w:rPr>
        <w:rFonts w:hint="default" w:ascii="Arial" w:hAnsi="Arial" w:eastAsia="Arial" w:cs="Arial"/>
        <w:w w:val="99"/>
        <w:sz w:val="18"/>
        <w:szCs w:val="18"/>
      </w:rPr>
    </w:lvl>
    <w:lvl w:ilvl="1">
      <w:start w:val="1"/>
      <w:numFmt w:val="lowerLetter"/>
      <w:lvlText w:val="(%2)"/>
      <w:lvlJc w:val="left"/>
      <w:pPr>
        <w:ind w:left="899" w:hanging="396"/>
        <w:jc w:val="left"/>
      </w:pPr>
      <w:rPr>
        <w:rFonts w:hint="default" w:ascii="Arial" w:hAnsi="Arial" w:eastAsia="Arial" w:cs="Arial"/>
        <w:spacing w:val="-25"/>
        <w:w w:val="99"/>
        <w:sz w:val="18"/>
        <w:szCs w:val="18"/>
      </w:rPr>
    </w:lvl>
    <w:lvl w:ilvl="2">
      <w:start w:val="1"/>
      <w:numFmt w:val="bullet"/>
      <w:lvlText w:val="•"/>
      <w:lvlJc w:val="left"/>
      <w:pPr>
        <w:ind w:left="1932" w:hanging="396"/>
      </w:pPr>
      <w:rPr>
        <w:rFonts w:hint="default"/>
      </w:rPr>
    </w:lvl>
    <w:lvl w:ilvl="3">
      <w:start w:val="1"/>
      <w:numFmt w:val="bullet"/>
      <w:lvlText w:val="•"/>
      <w:lvlJc w:val="left"/>
      <w:pPr>
        <w:ind w:left="2964" w:hanging="396"/>
      </w:pPr>
      <w:rPr>
        <w:rFonts w:hint="default"/>
      </w:rPr>
    </w:lvl>
    <w:lvl w:ilvl="4">
      <w:start w:val="1"/>
      <w:numFmt w:val="bullet"/>
      <w:lvlText w:val="•"/>
      <w:lvlJc w:val="left"/>
      <w:pPr>
        <w:ind w:left="3997" w:hanging="396"/>
      </w:pPr>
      <w:rPr>
        <w:rFonts w:hint="default"/>
      </w:rPr>
    </w:lvl>
    <w:lvl w:ilvl="5">
      <w:start w:val="1"/>
      <w:numFmt w:val="bullet"/>
      <w:lvlText w:val="•"/>
      <w:lvlJc w:val="left"/>
      <w:pPr>
        <w:ind w:left="5029" w:hanging="396"/>
      </w:pPr>
      <w:rPr>
        <w:rFonts w:hint="default"/>
      </w:rPr>
    </w:lvl>
    <w:lvl w:ilvl="6">
      <w:start w:val="1"/>
      <w:numFmt w:val="bullet"/>
      <w:lvlText w:val="•"/>
      <w:lvlJc w:val="left"/>
      <w:pPr>
        <w:ind w:left="6062" w:hanging="396"/>
      </w:pPr>
      <w:rPr>
        <w:rFonts w:hint="default"/>
      </w:rPr>
    </w:lvl>
    <w:lvl w:ilvl="7">
      <w:start w:val="1"/>
      <w:numFmt w:val="bullet"/>
      <w:lvlText w:val="•"/>
      <w:lvlJc w:val="left"/>
      <w:pPr>
        <w:ind w:left="7094" w:hanging="396"/>
      </w:pPr>
      <w:rPr>
        <w:rFonts w:hint="default"/>
      </w:rPr>
    </w:lvl>
    <w:lvl w:ilvl="8">
      <w:start w:val="1"/>
      <w:numFmt w:val="bullet"/>
      <w:lvlText w:val="•"/>
      <w:lvlJc w:val="left"/>
      <w:pPr>
        <w:ind w:left="8127" w:hanging="396"/>
      </w:pPr>
      <w:rPr>
        <w:rFonts w:hint="default"/>
      </w:rPr>
    </w:lvl>
  </w:abstractNum>
  <w:abstractNum w:abstractNumId="120">
    <w:multiLevelType w:val="hybridMultilevel"/>
    <w:lvl w:ilvl="0">
      <w:start w:val="3"/>
      <w:numFmt w:val="lowerLetter"/>
      <w:lvlText w:val="(%1)"/>
      <w:lvlJc w:val="left"/>
      <w:pPr>
        <w:ind w:left="1270" w:hanging="567"/>
        <w:jc w:val="left"/>
      </w:pPr>
      <w:rPr>
        <w:rFonts w:hint="default" w:ascii="Arial" w:hAnsi="Arial" w:eastAsia="Arial" w:cs="Arial"/>
        <w:b/>
        <w:bCs/>
        <w:spacing w:val="-7"/>
        <w:w w:val="99"/>
        <w:sz w:val="18"/>
        <w:szCs w:val="18"/>
      </w:rPr>
    </w:lvl>
    <w:lvl w:ilvl="1">
      <w:start w:val="1"/>
      <w:numFmt w:val="bullet"/>
      <w:lvlText w:val=""/>
      <w:lvlJc w:val="left"/>
      <w:pPr>
        <w:ind w:left="1839" w:hanging="567"/>
      </w:pPr>
      <w:rPr>
        <w:rFonts w:hint="default" w:ascii="Symbol" w:hAnsi="Symbol" w:eastAsia="Symbol" w:cs="Symbol"/>
        <w:w w:val="100"/>
        <w:sz w:val="18"/>
        <w:szCs w:val="18"/>
      </w:rPr>
    </w:lvl>
    <w:lvl w:ilvl="2">
      <w:start w:val="1"/>
      <w:numFmt w:val="bullet"/>
      <w:lvlText w:val="•"/>
      <w:lvlJc w:val="left"/>
      <w:pPr>
        <w:ind w:left="2785" w:hanging="567"/>
      </w:pPr>
      <w:rPr>
        <w:rFonts w:hint="default"/>
      </w:rPr>
    </w:lvl>
    <w:lvl w:ilvl="3">
      <w:start w:val="1"/>
      <w:numFmt w:val="bullet"/>
      <w:lvlText w:val="•"/>
      <w:lvlJc w:val="left"/>
      <w:pPr>
        <w:ind w:left="3731" w:hanging="567"/>
      </w:pPr>
      <w:rPr>
        <w:rFonts w:hint="default"/>
      </w:rPr>
    </w:lvl>
    <w:lvl w:ilvl="4">
      <w:start w:val="1"/>
      <w:numFmt w:val="bullet"/>
      <w:lvlText w:val="•"/>
      <w:lvlJc w:val="left"/>
      <w:pPr>
        <w:ind w:left="4677" w:hanging="567"/>
      </w:pPr>
      <w:rPr>
        <w:rFonts w:hint="default"/>
      </w:rPr>
    </w:lvl>
    <w:lvl w:ilvl="5">
      <w:start w:val="1"/>
      <w:numFmt w:val="bullet"/>
      <w:lvlText w:val="•"/>
      <w:lvlJc w:val="left"/>
      <w:pPr>
        <w:ind w:left="5623" w:hanging="567"/>
      </w:pPr>
      <w:rPr>
        <w:rFonts w:hint="default"/>
      </w:rPr>
    </w:lvl>
    <w:lvl w:ilvl="6">
      <w:start w:val="1"/>
      <w:numFmt w:val="bullet"/>
      <w:lvlText w:val="•"/>
      <w:lvlJc w:val="left"/>
      <w:pPr>
        <w:ind w:left="6568" w:hanging="567"/>
      </w:pPr>
      <w:rPr>
        <w:rFonts w:hint="default"/>
      </w:rPr>
    </w:lvl>
    <w:lvl w:ilvl="7">
      <w:start w:val="1"/>
      <w:numFmt w:val="bullet"/>
      <w:lvlText w:val="•"/>
      <w:lvlJc w:val="left"/>
      <w:pPr>
        <w:ind w:left="7514" w:hanging="567"/>
      </w:pPr>
      <w:rPr>
        <w:rFonts w:hint="default"/>
      </w:rPr>
    </w:lvl>
    <w:lvl w:ilvl="8">
      <w:start w:val="1"/>
      <w:numFmt w:val="bullet"/>
      <w:lvlText w:val="•"/>
      <w:lvlJc w:val="left"/>
      <w:pPr>
        <w:ind w:left="8460" w:hanging="567"/>
      </w:pPr>
      <w:rPr>
        <w:rFonts w:hint="default"/>
      </w:rPr>
    </w:lvl>
  </w:abstractNum>
  <w:abstractNum w:abstractNumId="118">
    <w:multiLevelType w:val="hybridMultilevel"/>
    <w:lvl w:ilvl="0">
      <w:start w:val="2"/>
      <w:numFmt w:val="lowerLetter"/>
      <w:lvlText w:val="(%1)"/>
      <w:lvlJc w:val="left"/>
      <w:pPr>
        <w:ind w:left="1270" w:hanging="567"/>
        <w:jc w:val="right"/>
      </w:pPr>
      <w:rPr>
        <w:rFonts w:hint="default" w:ascii="Arial" w:hAnsi="Arial" w:eastAsia="Arial" w:cs="Arial"/>
        <w:b/>
        <w:bCs/>
        <w:spacing w:val="-3"/>
        <w:w w:val="99"/>
        <w:sz w:val="18"/>
        <w:szCs w:val="18"/>
      </w:rPr>
    </w:lvl>
    <w:lvl w:ilvl="1">
      <w:start w:val="1"/>
      <w:numFmt w:val="bullet"/>
      <w:lvlText w:val=""/>
      <w:lvlJc w:val="left"/>
      <w:pPr>
        <w:ind w:left="1639" w:hanging="567"/>
      </w:pPr>
      <w:rPr>
        <w:rFonts w:hint="default" w:ascii="Symbol" w:hAnsi="Symbol" w:eastAsia="Symbol" w:cs="Symbol"/>
        <w:w w:val="100"/>
        <w:sz w:val="18"/>
        <w:szCs w:val="18"/>
      </w:rPr>
    </w:lvl>
    <w:lvl w:ilvl="2">
      <w:start w:val="1"/>
      <w:numFmt w:val="bullet"/>
      <w:lvlText w:val="•"/>
      <w:lvlJc w:val="left"/>
      <w:pPr>
        <w:ind w:left="2585" w:hanging="567"/>
      </w:pPr>
      <w:rPr>
        <w:rFonts w:hint="default"/>
      </w:rPr>
    </w:lvl>
    <w:lvl w:ilvl="3">
      <w:start w:val="1"/>
      <w:numFmt w:val="bullet"/>
      <w:lvlText w:val="•"/>
      <w:lvlJc w:val="left"/>
      <w:pPr>
        <w:ind w:left="3531" w:hanging="567"/>
      </w:pPr>
      <w:rPr>
        <w:rFonts w:hint="default"/>
      </w:rPr>
    </w:lvl>
    <w:lvl w:ilvl="4">
      <w:start w:val="1"/>
      <w:numFmt w:val="bullet"/>
      <w:lvlText w:val="•"/>
      <w:lvlJc w:val="left"/>
      <w:pPr>
        <w:ind w:left="4477" w:hanging="567"/>
      </w:pPr>
      <w:rPr>
        <w:rFonts w:hint="default"/>
      </w:rPr>
    </w:lvl>
    <w:lvl w:ilvl="5">
      <w:start w:val="1"/>
      <w:numFmt w:val="bullet"/>
      <w:lvlText w:val="•"/>
      <w:lvlJc w:val="left"/>
      <w:pPr>
        <w:ind w:left="5423" w:hanging="567"/>
      </w:pPr>
      <w:rPr>
        <w:rFonts w:hint="default"/>
      </w:rPr>
    </w:lvl>
    <w:lvl w:ilvl="6">
      <w:start w:val="1"/>
      <w:numFmt w:val="bullet"/>
      <w:lvlText w:val="•"/>
      <w:lvlJc w:val="left"/>
      <w:pPr>
        <w:ind w:left="6368" w:hanging="567"/>
      </w:pPr>
      <w:rPr>
        <w:rFonts w:hint="default"/>
      </w:rPr>
    </w:lvl>
    <w:lvl w:ilvl="7">
      <w:start w:val="1"/>
      <w:numFmt w:val="bullet"/>
      <w:lvlText w:val="•"/>
      <w:lvlJc w:val="left"/>
      <w:pPr>
        <w:ind w:left="7314" w:hanging="567"/>
      </w:pPr>
      <w:rPr>
        <w:rFonts w:hint="default"/>
      </w:rPr>
    </w:lvl>
    <w:lvl w:ilvl="8">
      <w:start w:val="1"/>
      <w:numFmt w:val="bullet"/>
      <w:lvlText w:val="•"/>
      <w:lvlJc w:val="left"/>
      <w:pPr>
        <w:ind w:left="8260" w:hanging="567"/>
      </w:pPr>
      <w:rPr>
        <w:rFonts w:hint="default"/>
      </w:rPr>
    </w:lvl>
  </w:abstractNum>
  <w:abstractNum w:abstractNumId="114">
    <w:multiLevelType w:val="hybridMultilevel"/>
    <w:lvl w:ilvl="0">
      <w:start w:val="2"/>
      <w:numFmt w:val="lowerLetter"/>
      <w:lvlText w:val="(%1)"/>
      <w:lvlJc w:val="left"/>
      <w:pPr>
        <w:ind w:left="1270" w:hanging="567"/>
        <w:jc w:val="right"/>
      </w:pPr>
      <w:rPr>
        <w:rFonts w:hint="default" w:ascii="Arial" w:hAnsi="Arial" w:eastAsia="Arial" w:cs="Arial"/>
        <w:b/>
        <w:bCs/>
        <w:spacing w:val="-2"/>
        <w:w w:val="99"/>
        <w:sz w:val="18"/>
        <w:szCs w:val="18"/>
      </w:rPr>
    </w:lvl>
    <w:lvl w:ilvl="1">
      <w:start w:val="1"/>
      <w:numFmt w:val="lowerRoman"/>
      <w:lvlText w:val="(%2)"/>
      <w:lvlJc w:val="left"/>
      <w:pPr>
        <w:ind w:left="1547" w:hanging="478"/>
        <w:jc w:val="left"/>
      </w:pPr>
      <w:rPr>
        <w:rFonts w:hint="default" w:ascii="Arial" w:hAnsi="Arial" w:eastAsia="Arial" w:cs="Arial"/>
        <w:i/>
        <w:spacing w:val="-2"/>
        <w:w w:val="99"/>
        <w:sz w:val="18"/>
        <w:szCs w:val="18"/>
      </w:rPr>
    </w:lvl>
    <w:lvl w:ilvl="2">
      <w:start w:val="1"/>
      <w:numFmt w:val="bullet"/>
      <w:lvlText w:val="•"/>
      <w:lvlJc w:val="left"/>
      <w:pPr>
        <w:ind w:left="1540" w:hanging="478"/>
      </w:pPr>
      <w:rPr>
        <w:rFonts w:hint="default"/>
      </w:rPr>
    </w:lvl>
    <w:lvl w:ilvl="3">
      <w:start w:val="1"/>
      <w:numFmt w:val="bullet"/>
      <w:lvlText w:val="•"/>
      <w:lvlJc w:val="left"/>
      <w:pPr>
        <w:ind w:left="2616" w:hanging="478"/>
      </w:pPr>
      <w:rPr>
        <w:rFonts w:hint="default"/>
      </w:rPr>
    </w:lvl>
    <w:lvl w:ilvl="4">
      <w:start w:val="1"/>
      <w:numFmt w:val="bullet"/>
      <w:lvlText w:val="•"/>
      <w:lvlJc w:val="left"/>
      <w:pPr>
        <w:ind w:left="3693" w:hanging="478"/>
      </w:pPr>
      <w:rPr>
        <w:rFonts w:hint="default"/>
      </w:rPr>
    </w:lvl>
    <w:lvl w:ilvl="5">
      <w:start w:val="1"/>
      <w:numFmt w:val="bullet"/>
      <w:lvlText w:val="•"/>
      <w:lvlJc w:val="left"/>
      <w:pPr>
        <w:ind w:left="4769" w:hanging="478"/>
      </w:pPr>
      <w:rPr>
        <w:rFonts w:hint="default"/>
      </w:rPr>
    </w:lvl>
    <w:lvl w:ilvl="6">
      <w:start w:val="1"/>
      <w:numFmt w:val="bullet"/>
      <w:lvlText w:val="•"/>
      <w:lvlJc w:val="left"/>
      <w:pPr>
        <w:ind w:left="5846" w:hanging="478"/>
      </w:pPr>
      <w:rPr>
        <w:rFonts w:hint="default"/>
      </w:rPr>
    </w:lvl>
    <w:lvl w:ilvl="7">
      <w:start w:val="1"/>
      <w:numFmt w:val="bullet"/>
      <w:lvlText w:val="•"/>
      <w:lvlJc w:val="left"/>
      <w:pPr>
        <w:ind w:left="6922" w:hanging="478"/>
      </w:pPr>
      <w:rPr>
        <w:rFonts w:hint="default"/>
      </w:rPr>
    </w:lvl>
    <w:lvl w:ilvl="8">
      <w:start w:val="1"/>
      <w:numFmt w:val="bullet"/>
      <w:lvlText w:val="•"/>
      <w:lvlJc w:val="left"/>
      <w:pPr>
        <w:ind w:left="7999" w:hanging="478"/>
      </w:pPr>
      <w:rPr>
        <w:rFonts w:hint="default"/>
      </w:rPr>
    </w:lvl>
  </w:abstractNum>
  <w:abstractNum w:abstractNumId="112">
    <w:multiLevelType w:val="hybridMultilevel"/>
    <w:lvl w:ilvl="0">
      <w:start w:val="1"/>
      <w:numFmt w:val="bullet"/>
      <w:lvlText w:val=""/>
      <w:lvlJc w:val="left"/>
      <w:pPr>
        <w:ind w:left="674" w:hanging="567"/>
      </w:pPr>
      <w:rPr>
        <w:rFonts w:hint="default" w:ascii="Symbol" w:hAnsi="Symbol" w:eastAsia="Symbol" w:cs="Symbol"/>
        <w:w w:val="100"/>
        <w:sz w:val="18"/>
        <w:szCs w:val="18"/>
      </w:rPr>
    </w:lvl>
    <w:lvl w:ilvl="1">
      <w:start w:val="1"/>
      <w:numFmt w:val="bullet"/>
      <w:lvlText w:val=""/>
      <w:lvlJc w:val="left"/>
      <w:pPr>
        <w:ind w:left="874" w:hanging="567"/>
      </w:pPr>
      <w:rPr>
        <w:rFonts w:hint="default" w:ascii="Symbol" w:hAnsi="Symbol" w:eastAsia="Symbol" w:cs="Symbol"/>
        <w:w w:val="100"/>
        <w:sz w:val="18"/>
        <w:szCs w:val="18"/>
      </w:rPr>
    </w:lvl>
    <w:lvl w:ilvl="2">
      <w:start w:val="1"/>
      <w:numFmt w:val="bullet"/>
      <w:lvlText w:val="•"/>
      <w:lvlJc w:val="left"/>
      <w:pPr>
        <w:ind w:left="1910" w:hanging="567"/>
      </w:pPr>
      <w:rPr>
        <w:rFonts w:hint="default"/>
      </w:rPr>
    </w:lvl>
    <w:lvl w:ilvl="3">
      <w:start w:val="1"/>
      <w:numFmt w:val="bullet"/>
      <w:lvlText w:val="•"/>
      <w:lvlJc w:val="left"/>
      <w:pPr>
        <w:ind w:left="2940" w:hanging="567"/>
      </w:pPr>
      <w:rPr>
        <w:rFonts w:hint="default"/>
      </w:rPr>
    </w:lvl>
    <w:lvl w:ilvl="4">
      <w:start w:val="1"/>
      <w:numFmt w:val="bullet"/>
      <w:lvlText w:val="•"/>
      <w:lvlJc w:val="left"/>
      <w:pPr>
        <w:ind w:left="3970" w:hanging="567"/>
      </w:pPr>
      <w:rPr>
        <w:rFonts w:hint="default"/>
      </w:rPr>
    </w:lvl>
    <w:lvl w:ilvl="5">
      <w:start w:val="1"/>
      <w:numFmt w:val="bullet"/>
      <w:lvlText w:val="•"/>
      <w:lvlJc w:val="left"/>
      <w:pPr>
        <w:ind w:left="5000" w:hanging="567"/>
      </w:pPr>
      <w:rPr>
        <w:rFonts w:hint="default"/>
      </w:rPr>
    </w:lvl>
    <w:lvl w:ilvl="6">
      <w:start w:val="1"/>
      <w:numFmt w:val="bullet"/>
      <w:lvlText w:val="•"/>
      <w:lvlJc w:val="left"/>
      <w:pPr>
        <w:ind w:left="6031" w:hanging="567"/>
      </w:pPr>
      <w:rPr>
        <w:rFonts w:hint="default"/>
      </w:rPr>
    </w:lvl>
    <w:lvl w:ilvl="7">
      <w:start w:val="1"/>
      <w:numFmt w:val="bullet"/>
      <w:lvlText w:val="•"/>
      <w:lvlJc w:val="left"/>
      <w:pPr>
        <w:ind w:left="7061" w:hanging="567"/>
      </w:pPr>
      <w:rPr>
        <w:rFonts w:hint="default"/>
      </w:rPr>
    </w:lvl>
    <w:lvl w:ilvl="8">
      <w:start w:val="1"/>
      <w:numFmt w:val="bullet"/>
      <w:lvlText w:val="•"/>
      <w:lvlJc w:val="left"/>
      <w:pPr>
        <w:ind w:left="8091" w:hanging="567"/>
      </w:pPr>
      <w:rPr>
        <w:rFonts w:hint="default"/>
      </w:rPr>
    </w:lvl>
  </w:abstractNum>
  <w:abstractNum w:abstractNumId="111">
    <w:multiLevelType w:val="hybridMultilevel"/>
    <w:lvl w:ilvl="0">
      <w:start w:val="1"/>
      <w:numFmt w:val="lowerLetter"/>
      <w:lvlText w:val="(%1)"/>
      <w:lvlJc w:val="left"/>
      <w:pPr>
        <w:ind w:left="786" w:hanging="680"/>
        <w:jc w:val="left"/>
      </w:pPr>
      <w:rPr>
        <w:rFonts w:hint="default" w:ascii="Arial" w:hAnsi="Arial" w:eastAsia="Arial" w:cs="Arial"/>
        <w:spacing w:val="-3"/>
        <w:w w:val="99"/>
        <w:sz w:val="18"/>
        <w:szCs w:val="18"/>
      </w:rPr>
    </w:lvl>
    <w:lvl w:ilvl="1">
      <w:start w:val="1"/>
      <w:numFmt w:val="lowerRoman"/>
      <w:lvlText w:val="(%2)"/>
      <w:lvlJc w:val="left"/>
      <w:pPr>
        <w:ind w:left="1468" w:hanging="682"/>
        <w:jc w:val="left"/>
      </w:pPr>
      <w:rPr>
        <w:rFonts w:hint="default" w:ascii="Arial" w:hAnsi="Arial" w:eastAsia="Arial" w:cs="Arial"/>
        <w:spacing w:val="-3"/>
        <w:w w:val="99"/>
        <w:sz w:val="18"/>
        <w:szCs w:val="18"/>
      </w:rPr>
    </w:lvl>
    <w:lvl w:ilvl="2">
      <w:start w:val="1"/>
      <w:numFmt w:val="bullet"/>
      <w:lvlText w:val="•"/>
      <w:lvlJc w:val="left"/>
      <w:pPr>
        <w:ind w:left="2448" w:hanging="682"/>
      </w:pPr>
      <w:rPr>
        <w:rFonts w:hint="default"/>
      </w:rPr>
    </w:lvl>
    <w:lvl w:ilvl="3">
      <w:start w:val="1"/>
      <w:numFmt w:val="bullet"/>
      <w:lvlText w:val="•"/>
      <w:lvlJc w:val="left"/>
      <w:pPr>
        <w:ind w:left="3436" w:hanging="682"/>
      </w:pPr>
      <w:rPr>
        <w:rFonts w:hint="default"/>
      </w:rPr>
    </w:lvl>
    <w:lvl w:ilvl="4">
      <w:start w:val="1"/>
      <w:numFmt w:val="bullet"/>
      <w:lvlText w:val="•"/>
      <w:lvlJc w:val="left"/>
      <w:pPr>
        <w:ind w:left="4424" w:hanging="682"/>
      </w:pPr>
      <w:rPr>
        <w:rFonts w:hint="default"/>
      </w:rPr>
    </w:lvl>
    <w:lvl w:ilvl="5">
      <w:start w:val="1"/>
      <w:numFmt w:val="bullet"/>
      <w:lvlText w:val="•"/>
      <w:lvlJc w:val="left"/>
      <w:pPr>
        <w:ind w:left="5412" w:hanging="682"/>
      </w:pPr>
      <w:rPr>
        <w:rFonts w:hint="default"/>
      </w:rPr>
    </w:lvl>
    <w:lvl w:ilvl="6">
      <w:start w:val="1"/>
      <w:numFmt w:val="bullet"/>
      <w:lvlText w:val="•"/>
      <w:lvlJc w:val="left"/>
      <w:pPr>
        <w:ind w:left="6400" w:hanging="682"/>
      </w:pPr>
      <w:rPr>
        <w:rFonts w:hint="default"/>
      </w:rPr>
    </w:lvl>
    <w:lvl w:ilvl="7">
      <w:start w:val="1"/>
      <w:numFmt w:val="bullet"/>
      <w:lvlText w:val="•"/>
      <w:lvlJc w:val="left"/>
      <w:pPr>
        <w:ind w:left="7388" w:hanging="682"/>
      </w:pPr>
      <w:rPr>
        <w:rFonts w:hint="default"/>
      </w:rPr>
    </w:lvl>
    <w:lvl w:ilvl="8">
      <w:start w:val="1"/>
      <w:numFmt w:val="bullet"/>
      <w:lvlText w:val="•"/>
      <w:lvlJc w:val="left"/>
      <w:pPr>
        <w:ind w:left="8376" w:hanging="682"/>
      </w:pPr>
      <w:rPr>
        <w:rFonts w:hint="default"/>
      </w:rPr>
    </w:lvl>
  </w:abstractNum>
  <w:abstractNum w:abstractNumId="110">
    <w:multiLevelType w:val="hybridMultilevel"/>
    <w:lvl w:ilvl="0">
      <w:start w:val="18"/>
      <w:numFmt w:val="decimal"/>
      <w:lvlText w:val="%1"/>
      <w:lvlJc w:val="left"/>
      <w:pPr>
        <w:ind w:left="502" w:hanging="396"/>
        <w:jc w:val="left"/>
      </w:pPr>
      <w:rPr>
        <w:rFonts w:hint="default" w:ascii="Arial" w:hAnsi="Arial" w:eastAsia="Arial" w:cs="Arial"/>
        <w:b/>
        <w:bCs/>
        <w:w w:val="99"/>
        <w:sz w:val="18"/>
        <w:szCs w:val="18"/>
      </w:rPr>
    </w:lvl>
    <w:lvl w:ilvl="1">
      <w:start w:val="1"/>
      <w:numFmt w:val="bullet"/>
      <w:lvlText w:val="•"/>
      <w:lvlJc w:val="left"/>
      <w:pPr>
        <w:ind w:left="1492" w:hanging="396"/>
      </w:pPr>
      <w:rPr>
        <w:rFonts w:hint="default"/>
      </w:rPr>
    </w:lvl>
    <w:lvl w:ilvl="2">
      <w:start w:val="1"/>
      <w:numFmt w:val="bullet"/>
      <w:lvlText w:val="•"/>
      <w:lvlJc w:val="left"/>
      <w:pPr>
        <w:ind w:left="2484" w:hanging="396"/>
      </w:pPr>
      <w:rPr>
        <w:rFonts w:hint="default"/>
      </w:rPr>
    </w:lvl>
    <w:lvl w:ilvl="3">
      <w:start w:val="1"/>
      <w:numFmt w:val="bullet"/>
      <w:lvlText w:val="•"/>
      <w:lvlJc w:val="left"/>
      <w:pPr>
        <w:ind w:left="3477" w:hanging="396"/>
      </w:pPr>
      <w:rPr>
        <w:rFonts w:hint="default"/>
      </w:rPr>
    </w:lvl>
    <w:lvl w:ilvl="4">
      <w:start w:val="1"/>
      <w:numFmt w:val="bullet"/>
      <w:lvlText w:val="•"/>
      <w:lvlJc w:val="left"/>
      <w:pPr>
        <w:ind w:left="4469" w:hanging="396"/>
      </w:pPr>
      <w:rPr>
        <w:rFonts w:hint="default"/>
      </w:rPr>
    </w:lvl>
    <w:lvl w:ilvl="5">
      <w:start w:val="1"/>
      <w:numFmt w:val="bullet"/>
      <w:lvlText w:val="•"/>
      <w:lvlJc w:val="left"/>
      <w:pPr>
        <w:ind w:left="5462" w:hanging="396"/>
      </w:pPr>
      <w:rPr>
        <w:rFonts w:hint="default"/>
      </w:rPr>
    </w:lvl>
    <w:lvl w:ilvl="6">
      <w:start w:val="1"/>
      <w:numFmt w:val="bullet"/>
      <w:lvlText w:val="•"/>
      <w:lvlJc w:val="left"/>
      <w:pPr>
        <w:ind w:left="6454" w:hanging="396"/>
      </w:pPr>
      <w:rPr>
        <w:rFonts w:hint="default"/>
      </w:rPr>
    </w:lvl>
    <w:lvl w:ilvl="7">
      <w:start w:val="1"/>
      <w:numFmt w:val="bullet"/>
      <w:lvlText w:val="•"/>
      <w:lvlJc w:val="left"/>
      <w:pPr>
        <w:ind w:left="7447" w:hanging="396"/>
      </w:pPr>
      <w:rPr>
        <w:rFonts w:hint="default"/>
      </w:rPr>
    </w:lvl>
    <w:lvl w:ilvl="8">
      <w:start w:val="1"/>
      <w:numFmt w:val="bullet"/>
      <w:lvlText w:val="•"/>
      <w:lvlJc w:val="left"/>
      <w:pPr>
        <w:ind w:left="8439" w:hanging="396"/>
      </w:pPr>
      <w:rPr>
        <w:rFonts w:hint="default"/>
      </w:rPr>
    </w:lvl>
  </w:abstractNum>
  <w:abstractNum w:abstractNumId="109">
    <w:multiLevelType w:val="hybridMultilevel"/>
    <w:lvl w:ilvl="0">
      <w:start w:val="17"/>
      <w:numFmt w:val="decimal"/>
      <w:lvlText w:val="%1"/>
      <w:lvlJc w:val="left"/>
      <w:pPr>
        <w:ind w:left="542" w:hanging="396"/>
        <w:jc w:val="left"/>
      </w:pPr>
      <w:rPr>
        <w:rFonts w:hint="default" w:ascii="Arial" w:hAnsi="Arial" w:eastAsia="Arial" w:cs="Arial"/>
        <w:b/>
        <w:bCs/>
        <w:w w:val="99"/>
        <w:sz w:val="18"/>
        <w:szCs w:val="18"/>
      </w:rPr>
    </w:lvl>
    <w:lvl w:ilvl="1">
      <w:start w:val="1"/>
      <w:numFmt w:val="bullet"/>
      <w:lvlText w:val="•"/>
      <w:lvlJc w:val="left"/>
      <w:pPr>
        <w:ind w:left="1532" w:hanging="396"/>
      </w:pPr>
      <w:rPr>
        <w:rFonts w:hint="default"/>
      </w:rPr>
    </w:lvl>
    <w:lvl w:ilvl="2">
      <w:start w:val="1"/>
      <w:numFmt w:val="bullet"/>
      <w:lvlText w:val="•"/>
      <w:lvlJc w:val="left"/>
      <w:pPr>
        <w:ind w:left="2524" w:hanging="396"/>
      </w:pPr>
      <w:rPr>
        <w:rFonts w:hint="default"/>
      </w:rPr>
    </w:lvl>
    <w:lvl w:ilvl="3">
      <w:start w:val="1"/>
      <w:numFmt w:val="bullet"/>
      <w:lvlText w:val="•"/>
      <w:lvlJc w:val="left"/>
      <w:pPr>
        <w:ind w:left="3517" w:hanging="396"/>
      </w:pPr>
      <w:rPr>
        <w:rFonts w:hint="default"/>
      </w:rPr>
    </w:lvl>
    <w:lvl w:ilvl="4">
      <w:start w:val="1"/>
      <w:numFmt w:val="bullet"/>
      <w:lvlText w:val="•"/>
      <w:lvlJc w:val="left"/>
      <w:pPr>
        <w:ind w:left="4509" w:hanging="396"/>
      </w:pPr>
      <w:rPr>
        <w:rFonts w:hint="default"/>
      </w:rPr>
    </w:lvl>
    <w:lvl w:ilvl="5">
      <w:start w:val="1"/>
      <w:numFmt w:val="bullet"/>
      <w:lvlText w:val="•"/>
      <w:lvlJc w:val="left"/>
      <w:pPr>
        <w:ind w:left="5502" w:hanging="396"/>
      </w:pPr>
      <w:rPr>
        <w:rFonts w:hint="default"/>
      </w:rPr>
    </w:lvl>
    <w:lvl w:ilvl="6">
      <w:start w:val="1"/>
      <w:numFmt w:val="bullet"/>
      <w:lvlText w:val="•"/>
      <w:lvlJc w:val="left"/>
      <w:pPr>
        <w:ind w:left="6494" w:hanging="396"/>
      </w:pPr>
      <w:rPr>
        <w:rFonts w:hint="default"/>
      </w:rPr>
    </w:lvl>
    <w:lvl w:ilvl="7">
      <w:start w:val="1"/>
      <w:numFmt w:val="bullet"/>
      <w:lvlText w:val="•"/>
      <w:lvlJc w:val="left"/>
      <w:pPr>
        <w:ind w:left="7487" w:hanging="396"/>
      </w:pPr>
      <w:rPr>
        <w:rFonts w:hint="default"/>
      </w:rPr>
    </w:lvl>
    <w:lvl w:ilvl="8">
      <w:start w:val="1"/>
      <w:numFmt w:val="bullet"/>
      <w:lvlText w:val="•"/>
      <w:lvlJc w:val="left"/>
      <w:pPr>
        <w:ind w:left="8479" w:hanging="396"/>
      </w:pPr>
      <w:rPr>
        <w:rFonts w:hint="default"/>
      </w:rPr>
    </w:lvl>
  </w:abstractNum>
  <w:abstractNum w:abstractNumId="108">
    <w:multiLevelType w:val="hybridMultilevel"/>
    <w:lvl w:ilvl="0">
      <w:start w:val="1"/>
      <w:numFmt w:val="lowerLetter"/>
      <w:lvlText w:val="(%1)"/>
      <w:lvlJc w:val="left"/>
      <w:pPr>
        <w:ind w:left="825" w:hanging="680"/>
        <w:jc w:val="left"/>
      </w:pPr>
      <w:rPr>
        <w:rFonts w:hint="default" w:ascii="Arial" w:hAnsi="Arial" w:eastAsia="Arial" w:cs="Arial"/>
        <w:b/>
        <w:bCs/>
        <w:spacing w:val="-1"/>
        <w:w w:val="99"/>
        <w:sz w:val="18"/>
        <w:szCs w:val="18"/>
      </w:rPr>
    </w:lvl>
    <w:lvl w:ilvl="1">
      <w:start w:val="1"/>
      <w:numFmt w:val="bullet"/>
      <w:lvlText w:val="•"/>
      <w:lvlJc w:val="left"/>
      <w:pPr>
        <w:ind w:left="1784" w:hanging="680"/>
      </w:pPr>
      <w:rPr>
        <w:rFonts w:hint="default"/>
      </w:rPr>
    </w:lvl>
    <w:lvl w:ilvl="2">
      <w:start w:val="1"/>
      <w:numFmt w:val="bullet"/>
      <w:lvlText w:val="•"/>
      <w:lvlJc w:val="left"/>
      <w:pPr>
        <w:ind w:left="2748" w:hanging="680"/>
      </w:pPr>
      <w:rPr>
        <w:rFonts w:hint="default"/>
      </w:rPr>
    </w:lvl>
    <w:lvl w:ilvl="3">
      <w:start w:val="1"/>
      <w:numFmt w:val="bullet"/>
      <w:lvlText w:val="•"/>
      <w:lvlJc w:val="left"/>
      <w:pPr>
        <w:ind w:left="3713" w:hanging="680"/>
      </w:pPr>
      <w:rPr>
        <w:rFonts w:hint="default"/>
      </w:rPr>
    </w:lvl>
    <w:lvl w:ilvl="4">
      <w:start w:val="1"/>
      <w:numFmt w:val="bullet"/>
      <w:lvlText w:val="•"/>
      <w:lvlJc w:val="left"/>
      <w:pPr>
        <w:ind w:left="4677" w:hanging="680"/>
      </w:pPr>
      <w:rPr>
        <w:rFonts w:hint="default"/>
      </w:rPr>
    </w:lvl>
    <w:lvl w:ilvl="5">
      <w:start w:val="1"/>
      <w:numFmt w:val="bullet"/>
      <w:lvlText w:val="•"/>
      <w:lvlJc w:val="left"/>
      <w:pPr>
        <w:ind w:left="5642" w:hanging="680"/>
      </w:pPr>
      <w:rPr>
        <w:rFonts w:hint="default"/>
      </w:rPr>
    </w:lvl>
    <w:lvl w:ilvl="6">
      <w:start w:val="1"/>
      <w:numFmt w:val="bullet"/>
      <w:lvlText w:val="•"/>
      <w:lvlJc w:val="left"/>
      <w:pPr>
        <w:ind w:left="6606" w:hanging="680"/>
      </w:pPr>
      <w:rPr>
        <w:rFonts w:hint="default"/>
      </w:rPr>
    </w:lvl>
    <w:lvl w:ilvl="7">
      <w:start w:val="1"/>
      <w:numFmt w:val="bullet"/>
      <w:lvlText w:val="•"/>
      <w:lvlJc w:val="left"/>
      <w:pPr>
        <w:ind w:left="7571" w:hanging="680"/>
      </w:pPr>
      <w:rPr>
        <w:rFonts w:hint="default"/>
      </w:rPr>
    </w:lvl>
    <w:lvl w:ilvl="8">
      <w:start w:val="1"/>
      <w:numFmt w:val="bullet"/>
      <w:lvlText w:val="•"/>
      <w:lvlJc w:val="left"/>
      <w:pPr>
        <w:ind w:left="8535" w:hanging="680"/>
      </w:pPr>
      <w:rPr>
        <w:rFonts w:hint="default"/>
      </w:rPr>
    </w:lvl>
  </w:abstractNum>
  <w:abstractNum w:abstractNumId="107">
    <w:multiLevelType w:val="hybridMultilevel"/>
    <w:lvl w:ilvl="0">
      <w:start w:val="1"/>
      <w:numFmt w:val="lowerLetter"/>
      <w:lvlText w:val="(%1)"/>
      <w:lvlJc w:val="left"/>
      <w:pPr>
        <w:ind w:left="785" w:hanging="680"/>
        <w:jc w:val="left"/>
      </w:pPr>
      <w:rPr>
        <w:rFonts w:hint="default" w:ascii="Arial" w:hAnsi="Arial" w:eastAsia="Arial" w:cs="Arial"/>
        <w:b/>
        <w:bCs/>
        <w:w w:val="99"/>
        <w:sz w:val="18"/>
        <w:szCs w:val="18"/>
      </w:rPr>
    </w:lvl>
    <w:lvl w:ilvl="1">
      <w:start w:val="1"/>
      <w:numFmt w:val="bullet"/>
      <w:lvlText w:val="•"/>
      <w:lvlJc w:val="left"/>
      <w:pPr>
        <w:ind w:left="1756" w:hanging="680"/>
      </w:pPr>
      <w:rPr>
        <w:rFonts w:hint="default"/>
      </w:rPr>
    </w:lvl>
    <w:lvl w:ilvl="2">
      <w:start w:val="1"/>
      <w:numFmt w:val="bullet"/>
      <w:lvlText w:val="•"/>
      <w:lvlJc w:val="left"/>
      <w:pPr>
        <w:ind w:left="2732" w:hanging="680"/>
      </w:pPr>
      <w:rPr>
        <w:rFonts w:hint="default"/>
      </w:rPr>
    </w:lvl>
    <w:lvl w:ilvl="3">
      <w:start w:val="1"/>
      <w:numFmt w:val="bullet"/>
      <w:lvlText w:val="•"/>
      <w:lvlJc w:val="left"/>
      <w:pPr>
        <w:ind w:left="3709" w:hanging="680"/>
      </w:pPr>
      <w:rPr>
        <w:rFonts w:hint="default"/>
      </w:rPr>
    </w:lvl>
    <w:lvl w:ilvl="4">
      <w:start w:val="1"/>
      <w:numFmt w:val="bullet"/>
      <w:lvlText w:val="•"/>
      <w:lvlJc w:val="left"/>
      <w:pPr>
        <w:ind w:left="4685" w:hanging="680"/>
      </w:pPr>
      <w:rPr>
        <w:rFonts w:hint="default"/>
      </w:rPr>
    </w:lvl>
    <w:lvl w:ilvl="5">
      <w:start w:val="1"/>
      <w:numFmt w:val="bullet"/>
      <w:lvlText w:val="•"/>
      <w:lvlJc w:val="left"/>
      <w:pPr>
        <w:ind w:left="5662" w:hanging="680"/>
      </w:pPr>
      <w:rPr>
        <w:rFonts w:hint="default"/>
      </w:rPr>
    </w:lvl>
    <w:lvl w:ilvl="6">
      <w:start w:val="1"/>
      <w:numFmt w:val="bullet"/>
      <w:lvlText w:val="•"/>
      <w:lvlJc w:val="left"/>
      <w:pPr>
        <w:ind w:left="6638" w:hanging="680"/>
      </w:pPr>
      <w:rPr>
        <w:rFonts w:hint="default"/>
      </w:rPr>
    </w:lvl>
    <w:lvl w:ilvl="7">
      <w:start w:val="1"/>
      <w:numFmt w:val="bullet"/>
      <w:lvlText w:val="•"/>
      <w:lvlJc w:val="left"/>
      <w:pPr>
        <w:ind w:left="7615" w:hanging="680"/>
      </w:pPr>
      <w:rPr>
        <w:rFonts w:hint="default"/>
      </w:rPr>
    </w:lvl>
    <w:lvl w:ilvl="8">
      <w:start w:val="1"/>
      <w:numFmt w:val="bullet"/>
      <w:lvlText w:val="•"/>
      <w:lvlJc w:val="left"/>
      <w:pPr>
        <w:ind w:left="8591" w:hanging="680"/>
      </w:pPr>
      <w:rPr>
        <w:rFonts w:hint="default"/>
      </w:rPr>
    </w:lvl>
  </w:abstractNum>
  <w:abstractNum w:abstractNumId="106">
    <w:multiLevelType w:val="hybridMultilevel"/>
    <w:lvl w:ilvl="0">
      <w:start w:val="1"/>
      <w:numFmt w:val="lowerRoman"/>
      <w:lvlText w:val="(%1)"/>
      <w:lvlJc w:val="left"/>
      <w:pPr>
        <w:ind w:left="542" w:hanging="396"/>
        <w:jc w:val="left"/>
      </w:pPr>
      <w:rPr>
        <w:rFonts w:hint="default" w:ascii="Arial" w:hAnsi="Arial" w:eastAsia="Arial" w:cs="Arial"/>
        <w:i/>
        <w:w w:val="99"/>
        <w:sz w:val="18"/>
        <w:szCs w:val="18"/>
      </w:rPr>
    </w:lvl>
    <w:lvl w:ilvl="1">
      <w:start w:val="1"/>
      <w:numFmt w:val="bullet"/>
      <w:lvlText w:val="•"/>
      <w:lvlJc w:val="left"/>
      <w:pPr>
        <w:ind w:left="1532" w:hanging="396"/>
      </w:pPr>
      <w:rPr>
        <w:rFonts w:hint="default"/>
      </w:rPr>
    </w:lvl>
    <w:lvl w:ilvl="2">
      <w:start w:val="1"/>
      <w:numFmt w:val="bullet"/>
      <w:lvlText w:val="•"/>
      <w:lvlJc w:val="left"/>
      <w:pPr>
        <w:ind w:left="2524" w:hanging="396"/>
      </w:pPr>
      <w:rPr>
        <w:rFonts w:hint="default"/>
      </w:rPr>
    </w:lvl>
    <w:lvl w:ilvl="3">
      <w:start w:val="1"/>
      <w:numFmt w:val="bullet"/>
      <w:lvlText w:val="•"/>
      <w:lvlJc w:val="left"/>
      <w:pPr>
        <w:ind w:left="3517" w:hanging="396"/>
      </w:pPr>
      <w:rPr>
        <w:rFonts w:hint="default"/>
      </w:rPr>
    </w:lvl>
    <w:lvl w:ilvl="4">
      <w:start w:val="1"/>
      <w:numFmt w:val="bullet"/>
      <w:lvlText w:val="•"/>
      <w:lvlJc w:val="left"/>
      <w:pPr>
        <w:ind w:left="4509" w:hanging="396"/>
      </w:pPr>
      <w:rPr>
        <w:rFonts w:hint="default"/>
      </w:rPr>
    </w:lvl>
    <w:lvl w:ilvl="5">
      <w:start w:val="1"/>
      <w:numFmt w:val="bullet"/>
      <w:lvlText w:val="•"/>
      <w:lvlJc w:val="left"/>
      <w:pPr>
        <w:ind w:left="5502" w:hanging="396"/>
      </w:pPr>
      <w:rPr>
        <w:rFonts w:hint="default"/>
      </w:rPr>
    </w:lvl>
    <w:lvl w:ilvl="6">
      <w:start w:val="1"/>
      <w:numFmt w:val="bullet"/>
      <w:lvlText w:val="•"/>
      <w:lvlJc w:val="left"/>
      <w:pPr>
        <w:ind w:left="6494" w:hanging="396"/>
      </w:pPr>
      <w:rPr>
        <w:rFonts w:hint="default"/>
      </w:rPr>
    </w:lvl>
    <w:lvl w:ilvl="7">
      <w:start w:val="1"/>
      <w:numFmt w:val="bullet"/>
      <w:lvlText w:val="•"/>
      <w:lvlJc w:val="left"/>
      <w:pPr>
        <w:ind w:left="7487" w:hanging="396"/>
      </w:pPr>
      <w:rPr>
        <w:rFonts w:hint="default"/>
      </w:rPr>
    </w:lvl>
    <w:lvl w:ilvl="8">
      <w:start w:val="1"/>
      <w:numFmt w:val="bullet"/>
      <w:lvlText w:val="•"/>
      <w:lvlJc w:val="left"/>
      <w:pPr>
        <w:ind w:left="8479" w:hanging="396"/>
      </w:pPr>
      <w:rPr>
        <w:rFonts w:hint="default"/>
      </w:rPr>
    </w:lvl>
  </w:abstractNum>
  <w:abstractNum w:abstractNumId="105">
    <w:multiLevelType w:val="hybridMultilevel"/>
    <w:lvl w:ilvl="0">
      <w:start w:val="13"/>
      <w:numFmt w:val="lowerLetter"/>
      <w:lvlText w:val="(%1)"/>
      <w:lvlJc w:val="left"/>
      <w:pPr>
        <w:ind w:left="502" w:hanging="396"/>
        <w:jc w:val="left"/>
      </w:pPr>
      <w:rPr>
        <w:rFonts w:hint="default" w:ascii="Arial" w:hAnsi="Arial" w:eastAsia="Arial" w:cs="Arial"/>
        <w:b/>
        <w:bCs/>
        <w:w w:val="99"/>
        <w:sz w:val="18"/>
        <w:szCs w:val="18"/>
      </w:rPr>
    </w:lvl>
    <w:lvl w:ilvl="1">
      <w:start w:val="1"/>
      <w:numFmt w:val="bullet"/>
      <w:lvlText w:val="•"/>
      <w:lvlJc w:val="left"/>
      <w:pPr>
        <w:ind w:left="1492" w:hanging="396"/>
      </w:pPr>
      <w:rPr>
        <w:rFonts w:hint="default"/>
      </w:rPr>
    </w:lvl>
    <w:lvl w:ilvl="2">
      <w:start w:val="1"/>
      <w:numFmt w:val="bullet"/>
      <w:lvlText w:val="•"/>
      <w:lvlJc w:val="left"/>
      <w:pPr>
        <w:ind w:left="2484" w:hanging="396"/>
      </w:pPr>
      <w:rPr>
        <w:rFonts w:hint="default"/>
      </w:rPr>
    </w:lvl>
    <w:lvl w:ilvl="3">
      <w:start w:val="1"/>
      <w:numFmt w:val="bullet"/>
      <w:lvlText w:val="•"/>
      <w:lvlJc w:val="left"/>
      <w:pPr>
        <w:ind w:left="3477" w:hanging="396"/>
      </w:pPr>
      <w:rPr>
        <w:rFonts w:hint="default"/>
      </w:rPr>
    </w:lvl>
    <w:lvl w:ilvl="4">
      <w:start w:val="1"/>
      <w:numFmt w:val="bullet"/>
      <w:lvlText w:val="•"/>
      <w:lvlJc w:val="left"/>
      <w:pPr>
        <w:ind w:left="4469" w:hanging="396"/>
      </w:pPr>
      <w:rPr>
        <w:rFonts w:hint="default"/>
      </w:rPr>
    </w:lvl>
    <w:lvl w:ilvl="5">
      <w:start w:val="1"/>
      <w:numFmt w:val="bullet"/>
      <w:lvlText w:val="•"/>
      <w:lvlJc w:val="left"/>
      <w:pPr>
        <w:ind w:left="5462" w:hanging="396"/>
      </w:pPr>
      <w:rPr>
        <w:rFonts w:hint="default"/>
      </w:rPr>
    </w:lvl>
    <w:lvl w:ilvl="6">
      <w:start w:val="1"/>
      <w:numFmt w:val="bullet"/>
      <w:lvlText w:val="•"/>
      <w:lvlJc w:val="left"/>
      <w:pPr>
        <w:ind w:left="6454" w:hanging="396"/>
      </w:pPr>
      <w:rPr>
        <w:rFonts w:hint="default"/>
      </w:rPr>
    </w:lvl>
    <w:lvl w:ilvl="7">
      <w:start w:val="1"/>
      <w:numFmt w:val="bullet"/>
      <w:lvlText w:val="•"/>
      <w:lvlJc w:val="left"/>
      <w:pPr>
        <w:ind w:left="7447" w:hanging="396"/>
      </w:pPr>
      <w:rPr>
        <w:rFonts w:hint="default"/>
      </w:rPr>
    </w:lvl>
    <w:lvl w:ilvl="8">
      <w:start w:val="1"/>
      <w:numFmt w:val="bullet"/>
      <w:lvlText w:val="•"/>
      <w:lvlJc w:val="left"/>
      <w:pPr>
        <w:ind w:left="8439" w:hanging="396"/>
      </w:pPr>
      <w:rPr>
        <w:rFonts w:hint="default"/>
      </w:rPr>
    </w:lvl>
  </w:abstractNum>
  <w:abstractNum w:abstractNumId="104">
    <w:multiLevelType w:val="hybridMultilevel"/>
    <w:lvl w:ilvl="0">
      <w:start w:val="1"/>
      <w:numFmt w:val="decimal"/>
      <w:lvlText w:val="%1"/>
      <w:lvlJc w:val="left"/>
      <w:pPr>
        <w:ind w:left="502" w:hanging="396"/>
        <w:jc w:val="left"/>
      </w:pPr>
      <w:rPr>
        <w:rFonts w:hint="default" w:ascii="Arial" w:hAnsi="Arial" w:eastAsia="Arial" w:cs="Arial"/>
        <w:b/>
        <w:bCs/>
        <w:w w:val="99"/>
        <w:sz w:val="18"/>
        <w:szCs w:val="18"/>
      </w:rPr>
    </w:lvl>
    <w:lvl w:ilvl="1">
      <w:start w:val="1"/>
      <w:numFmt w:val="bullet"/>
      <w:lvlText w:val="•"/>
      <w:lvlJc w:val="left"/>
      <w:pPr>
        <w:ind w:left="5560" w:hanging="396"/>
      </w:pPr>
      <w:rPr>
        <w:rFonts w:hint="default"/>
      </w:rPr>
    </w:lvl>
    <w:lvl w:ilvl="2">
      <w:start w:val="1"/>
      <w:numFmt w:val="bullet"/>
      <w:lvlText w:val="•"/>
      <w:lvlJc w:val="left"/>
      <w:pPr>
        <w:ind w:left="6100" w:hanging="396"/>
      </w:pPr>
      <w:rPr>
        <w:rFonts w:hint="default"/>
      </w:rPr>
    </w:lvl>
    <w:lvl w:ilvl="3">
      <w:start w:val="1"/>
      <w:numFmt w:val="bullet"/>
      <w:lvlText w:val="•"/>
      <w:lvlJc w:val="left"/>
      <w:pPr>
        <w:ind w:left="6640" w:hanging="396"/>
      </w:pPr>
      <w:rPr>
        <w:rFonts w:hint="default"/>
      </w:rPr>
    </w:lvl>
    <w:lvl w:ilvl="4">
      <w:start w:val="1"/>
      <w:numFmt w:val="bullet"/>
      <w:lvlText w:val="•"/>
      <w:lvlJc w:val="left"/>
      <w:pPr>
        <w:ind w:left="7181" w:hanging="396"/>
      </w:pPr>
      <w:rPr>
        <w:rFonts w:hint="default"/>
      </w:rPr>
    </w:lvl>
    <w:lvl w:ilvl="5">
      <w:start w:val="1"/>
      <w:numFmt w:val="bullet"/>
      <w:lvlText w:val="•"/>
      <w:lvlJc w:val="left"/>
      <w:pPr>
        <w:ind w:left="7721" w:hanging="396"/>
      </w:pPr>
      <w:rPr>
        <w:rFonts w:hint="default"/>
      </w:rPr>
    </w:lvl>
    <w:lvl w:ilvl="6">
      <w:start w:val="1"/>
      <w:numFmt w:val="bullet"/>
      <w:lvlText w:val="•"/>
      <w:lvlJc w:val="left"/>
      <w:pPr>
        <w:ind w:left="8262" w:hanging="396"/>
      </w:pPr>
      <w:rPr>
        <w:rFonts w:hint="default"/>
      </w:rPr>
    </w:lvl>
    <w:lvl w:ilvl="7">
      <w:start w:val="1"/>
      <w:numFmt w:val="bullet"/>
      <w:lvlText w:val="•"/>
      <w:lvlJc w:val="left"/>
      <w:pPr>
        <w:ind w:left="8802" w:hanging="396"/>
      </w:pPr>
      <w:rPr>
        <w:rFonts w:hint="default"/>
      </w:rPr>
    </w:lvl>
    <w:lvl w:ilvl="8">
      <w:start w:val="1"/>
      <w:numFmt w:val="bullet"/>
      <w:lvlText w:val="•"/>
      <w:lvlJc w:val="left"/>
      <w:pPr>
        <w:ind w:left="9343" w:hanging="396"/>
      </w:pPr>
      <w:rPr>
        <w:rFonts w:hint="default"/>
      </w:rPr>
    </w:lvl>
  </w:abstractNum>
  <w:abstractNum w:abstractNumId="103">
    <w:multiLevelType w:val="hybridMultilevel"/>
    <w:lvl w:ilvl="0">
      <w:start w:val="1"/>
      <w:numFmt w:val="lowerRoman"/>
      <w:lvlText w:val="(%1)"/>
      <w:lvlJc w:val="left"/>
      <w:pPr>
        <w:ind w:left="315" w:hanging="210"/>
        <w:jc w:val="left"/>
      </w:pPr>
      <w:rPr>
        <w:rFonts w:hint="default" w:ascii="Arial" w:hAnsi="Arial" w:eastAsia="Arial" w:cs="Arial"/>
        <w:i/>
        <w:w w:val="99"/>
        <w:sz w:val="18"/>
        <w:szCs w:val="18"/>
      </w:rPr>
    </w:lvl>
    <w:lvl w:ilvl="1">
      <w:start w:val="1"/>
      <w:numFmt w:val="bullet"/>
      <w:lvlText w:val="•"/>
      <w:lvlJc w:val="left"/>
      <w:pPr>
        <w:ind w:left="1328" w:hanging="210"/>
      </w:pPr>
      <w:rPr>
        <w:rFonts w:hint="default"/>
      </w:rPr>
    </w:lvl>
    <w:lvl w:ilvl="2">
      <w:start w:val="1"/>
      <w:numFmt w:val="bullet"/>
      <w:lvlText w:val="•"/>
      <w:lvlJc w:val="left"/>
      <w:pPr>
        <w:ind w:left="2336" w:hanging="210"/>
      </w:pPr>
      <w:rPr>
        <w:rFonts w:hint="default"/>
      </w:rPr>
    </w:lvl>
    <w:lvl w:ilvl="3">
      <w:start w:val="1"/>
      <w:numFmt w:val="bullet"/>
      <w:lvlText w:val="•"/>
      <w:lvlJc w:val="left"/>
      <w:pPr>
        <w:ind w:left="3345" w:hanging="210"/>
      </w:pPr>
      <w:rPr>
        <w:rFonts w:hint="default"/>
      </w:rPr>
    </w:lvl>
    <w:lvl w:ilvl="4">
      <w:start w:val="1"/>
      <w:numFmt w:val="bullet"/>
      <w:lvlText w:val="•"/>
      <w:lvlJc w:val="left"/>
      <w:pPr>
        <w:ind w:left="4353" w:hanging="210"/>
      </w:pPr>
      <w:rPr>
        <w:rFonts w:hint="default"/>
      </w:rPr>
    </w:lvl>
    <w:lvl w:ilvl="5">
      <w:start w:val="1"/>
      <w:numFmt w:val="bullet"/>
      <w:lvlText w:val="•"/>
      <w:lvlJc w:val="left"/>
      <w:pPr>
        <w:ind w:left="5362" w:hanging="210"/>
      </w:pPr>
      <w:rPr>
        <w:rFonts w:hint="default"/>
      </w:rPr>
    </w:lvl>
    <w:lvl w:ilvl="6">
      <w:start w:val="1"/>
      <w:numFmt w:val="bullet"/>
      <w:lvlText w:val="•"/>
      <w:lvlJc w:val="left"/>
      <w:pPr>
        <w:ind w:left="6370" w:hanging="210"/>
      </w:pPr>
      <w:rPr>
        <w:rFonts w:hint="default"/>
      </w:rPr>
    </w:lvl>
    <w:lvl w:ilvl="7">
      <w:start w:val="1"/>
      <w:numFmt w:val="bullet"/>
      <w:lvlText w:val="•"/>
      <w:lvlJc w:val="left"/>
      <w:pPr>
        <w:ind w:left="7379" w:hanging="210"/>
      </w:pPr>
      <w:rPr>
        <w:rFonts w:hint="default"/>
      </w:rPr>
    </w:lvl>
    <w:lvl w:ilvl="8">
      <w:start w:val="1"/>
      <w:numFmt w:val="bullet"/>
      <w:lvlText w:val="•"/>
      <w:lvlJc w:val="left"/>
      <w:pPr>
        <w:ind w:left="8387" w:hanging="210"/>
      </w:pPr>
      <w:rPr>
        <w:rFonts w:hint="default"/>
      </w:rPr>
    </w:lvl>
  </w:abstractNum>
  <w:abstractNum w:abstractNumId="102">
    <w:multiLevelType w:val="hybridMultilevel"/>
    <w:lvl w:ilvl="0">
      <w:start w:val="1"/>
      <w:numFmt w:val="lowerRoman"/>
      <w:lvlText w:val="(%1)"/>
      <w:lvlJc w:val="left"/>
      <w:pPr>
        <w:ind w:left="315" w:hanging="210"/>
        <w:jc w:val="left"/>
      </w:pPr>
      <w:rPr>
        <w:rFonts w:hint="default" w:ascii="Arial" w:hAnsi="Arial" w:eastAsia="Arial" w:cs="Arial"/>
        <w:i/>
        <w:w w:val="99"/>
        <w:sz w:val="18"/>
        <w:szCs w:val="18"/>
      </w:rPr>
    </w:lvl>
    <w:lvl w:ilvl="1">
      <w:start w:val="1"/>
      <w:numFmt w:val="bullet"/>
      <w:lvlText w:val="•"/>
      <w:lvlJc w:val="left"/>
      <w:pPr>
        <w:ind w:left="1328" w:hanging="210"/>
      </w:pPr>
      <w:rPr>
        <w:rFonts w:hint="default"/>
      </w:rPr>
    </w:lvl>
    <w:lvl w:ilvl="2">
      <w:start w:val="1"/>
      <w:numFmt w:val="bullet"/>
      <w:lvlText w:val="•"/>
      <w:lvlJc w:val="left"/>
      <w:pPr>
        <w:ind w:left="2336" w:hanging="210"/>
      </w:pPr>
      <w:rPr>
        <w:rFonts w:hint="default"/>
      </w:rPr>
    </w:lvl>
    <w:lvl w:ilvl="3">
      <w:start w:val="1"/>
      <w:numFmt w:val="bullet"/>
      <w:lvlText w:val="•"/>
      <w:lvlJc w:val="left"/>
      <w:pPr>
        <w:ind w:left="3345" w:hanging="210"/>
      </w:pPr>
      <w:rPr>
        <w:rFonts w:hint="default"/>
      </w:rPr>
    </w:lvl>
    <w:lvl w:ilvl="4">
      <w:start w:val="1"/>
      <w:numFmt w:val="bullet"/>
      <w:lvlText w:val="•"/>
      <w:lvlJc w:val="left"/>
      <w:pPr>
        <w:ind w:left="4353" w:hanging="210"/>
      </w:pPr>
      <w:rPr>
        <w:rFonts w:hint="default"/>
      </w:rPr>
    </w:lvl>
    <w:lvl w:ilvl="5">
      <w:start w:val="1"/>
      <w:numFmt w:val="bullet"/>
      <w:lvlText w:val="•"/>
      <w:lvlJc w:val="left"/>
      <w:pPr>
        <w:ind w:left="5362" w:hanging="210"/>
      </w:pPr>
      <w:rPr>
        <w:rFonts w:hint="default"/>
      </w:rPr>
    </w:lvl>
    <w:lvl w:ilvl="6">
      <w:start w:val="1"/>
      <w:numFmt w:val="bullet"/>
      <w:lvlText w:val="•"/>
      <w:lvlJc w:val="left"/>
      <w:pPr>
        <w:ind w:left="6370" w:hanging="210"/>
      </w:pPr>
      <w:rPr>
        <w:rFonts w:hint="default"/>
      </w:rPr>
    </w:lvl>
    <w:lvl w:ilvl="7">
      <w:start w:val="1"/>
      <w:numFmt w:val="bullet"/>
      <w:lvlText w:val="•"/>
      <w:lvlJc w:val="left"/>
      <w:pPr>
        <w:ind w:left="7379" w:hanging="210"/>
      </w:pPr>
      <w:rPr>
        <w:rFonts w:hint="default"/>
      </w:rPr>
    </w:lvl>
    <w:lvl w:ilvl="8">
      <w:start w:val="1"/>
      <w:numFmt w:val="bullet"/>
      <w:lvlText w:val="•"/>
      <w:lvlJc w:val="left"/>
      <w:pPr>
        <w:ind w:left="8387" w:hanging="210"/>
      </w:pPr>
      <w:rPr>
        <w:rFonts w:hint="default"/>
      </w:rPr>
    </w:lvl>
  </w:abstractNum>
  <w:abstractNum w:abstractNumId="101">
    <w:multiLevelType w:val="hybridMultilevel"/>
    <w:lvl w:ilvl="0">
      <w:start w:val="1"/>
      <w:numFmt w:val="bullet"/>
      <w:lvlText w:val="-"/>
      <w:lvlJc w:val="left"/>
      <w:pPr>
        <w:ind w:left="255" w:hanging="110"/>
      </w:pPr>
      <w:rPr>
        <w:rFonts w:hint="default" w:ascii="Arial" w:hAnsi="Arial" w:eastAsia="Arial" w:cs="Arial"/>
        <w:w w:val="99"/>
        <w:sz w:val="18"/>
        <w:szCs w:val="18"/>
      </w:rPr>
    </w:lvl>
    <w:lvl w:ilvl="1">
      <w:start w:val="1"/>
      <w:numFmt w:val="bullet"/>
      <w:lvlText w:val="•"/>
      <w:lvlJc w:val="left"/>
      <w:pPr>
        <w:ind w:left="1274" w:hanging="110"/>
      </w:pPr>
      <w:rPr>
        <w:rFonts w:hint="default"/>
      </w:rPr>
    </w:lvl>
    <w:lvl w:ilvl="2">
      <w:start w:val="1"/>
      <w:numFmt w:val="bullet"/>
      <w:lvlText w:val="•"/>
      <w:lvlJc w:val="left"/>
      <w:pPr>
        <w:ind w:left="2288" w:hanging="110"/>
      </w:pPr>
      <w:rPr>
        <w:rFonts w:hint="default"/>
      </w:rPr>
    </w:lvl>
    <w:lvl w:ilvl="3">
      <w:start w:val="1"/>
      <w:numFmt w:val="bullet"/>
      <w:lvlText w:val="•"/>
      <w:lvlJc w:val="left"/>
      <w:pPr>
        <w:ind w:left="3303" w:hanging="110"/>
      </w:pPr>
      <w:rPr>
        <w:rFonts w:hint="default"/>
      </w:rPr>
    </w:lvl>
    <w:lvl w:ilvl="4">
      <w:start w:val="1"/>
      <w:numFmt w:val="bullet"/>
      <w:lvlText w:val="•"/>
      <w:lvlJc w:val="left"/>
      <w:pPr>
        <w:ind w:left="4317" w:hanging="110"/>
      </w:pPr>
      <w:rPr>
        <w:rFonts w:hint="default"/>
      </w:rPr>
    </w:lvl>
    <w:lvl w:ilvl="5">
      <w:start w:val="1"/>
      <w:numFmt w:val="bullet"/>
      <w:lvlText w:val="•"/>
      <w:lvlJc w:val="left"/>
      <w:pPr>
        <w:ind w:left="5332" w:hanging="110"/>
      </w:pPr>
      <w:rPr>
        <w:rFonts w:hint="default"/>
      </w:rPr>
    </w:lvl>
    <w:lvl w:ilvl="6">
      <w:start w:val="1"/>
      <w:numFmt w:val="bullet"/>
      <w:lvlText w:val="•"/>
      <w:lvlJc w:val="left"/>
      <w:pPr>
        <w:ind w:left="6346" w:hanging="110"/>
      </w:pPr>
      <w:rPr>
        <w:rFonts w:hint="default"/>
      </w:rPr>
    </w:lvl>
    <w:lvl w:ilvl="7">
      <w:start w:val="1"/>
      <w:numFmt w:val="bullet"/>
      <w:lvlText w:val="•"/>
      <w:lvlJc w:val="left"/>
      <w:pPr>
        <w:ind w:left="7361" w:hanging="110"/>
      </w:pPr>
      <w:rPr>
        <w:rFonts w:hint="default"/>
      </w:rPr>
    </w:lvl>
    <w:lvl w:ilvl="8">
      <w:start w:val="1"/>
      <w:numFmt w:val="bullet"/>
      <w:lvlText w:val="•"/>
      <w:lvlJc w:val="left"/>
      <w:pPr>
        <w:ind w:left="8375" w:hanging="110"/>
      </w:pPr>
      <w:rPr>
        <w:rFonts w:hint="default"/>
      </w:rPr>
    </w:lvl>
  </w:abstractNum>
  <w:abstractNum w:abstractNumId="100">
    <w:multiLevelType w:val="hybridMultilevel"/>
    <w:lvl w:ilvl="0">
      <w:start w:val="9"/>
      <w:numFmt w:val="lowerLetter"/>
      <w:lvlText w:val="(%1)"/>
      <w:lvlJc w:val="left"/>
      <w:pPr>
        <w:ind w:left="502" w:hanging="396"/>
        <w:jc w:val="left"/>
      </w:pPr>
      <w:rPr>
        <w:rFonts w:hint="default" w:ascii="Arial" w:hAnsi="Arial" w:eastAsia="Arial" w:cs="Arial"/>
        <w:b/>
        <w:bCs/>
        <w:w w:val="100"/>
        <w:sz w:val="18"/>
        <w:szCs w:val="18"/>
      </w:rPr>
    </w:lvl>
    <w:lvl w:ilvl="1">
      <w:start w:val="1"/>
      <w:numFmt w:val="bullet"/>
      <w:lvlText w:val="•"/>
      <w:lvlJc w:val="left"/>
      <w:pPr>
        <w:ind w:left="1490" w:hanging="396"/>
      </w:pPr>
      <w:rPr>
        <w:rFonts w:hint="default"/>
      </w:rPr>
    </w:lvl>
    <w:lvl w:ilvl="2">
      <w:start w:val="1"/>
      <w:numFmt w:val="bullet"/>
      <w:lvlText w:val="•"/>
      <w:lvlJc w:val="left"/>
      <w:pPr>
        <w:ind w:left="2480" w:hanging="396"/>
      </w:pPr>
      <w:rPr>
        <w:rFonts w:hint="default"/>
      </w:rPr>
    </w:lvl>
    <w:lvl w:ilvl="3">
      <w:start w:val="1"/>
      <w:numFmt w:val="bullet"/>
      <w:lvlText w:val="•"/>
      <w:lvlJc w:val="left"/>
      <w:pPr>
        <w:ind w:left="3471" w:hanging="396"/>
      </w:pPr>
      <w:rPr>
        <w:rFonts w:hint="default"/>
      </w:rPr>
    </w:lvl>
    <w:lvl w:ilvl="4">
      <w:start w:val="1"/>
      <w:numFmt w:val="bullet"/>
      <w:lvlText w:val="•"/>
      <w:lvlJc w:val="left"/>
      <w:pPr>
        <w:ind w:left="4461" w:hanging="396"/>
      </w:pPr>
      <w:rPr>
        <w:rFonts w:hint="default"/>
      </w:rPr>
    </w:lvl>
    <w:lvl w:ilvl="5">
      <w:start w:val="1"/>
      <w:numFmt w:val="bullet"/>
      <w:lvlText w:val="•"/>
      <w:lvlJc w:val="left"/>
      <w:pPr>
        <w:ind w:left="5452" w:hanging="396"/>
      </w:pPr>
      <w:rPr>
        <w:rFonts w:hint="default"/>
      </w:rPr>
    </w:lvl>
    <w:lvl w:ilvl="6">
      <w:start w:val="1"/>
      <w:numFmt w:val="bullet"/>
      <w:lvlText w:val="•"/>
      <w:lvlJc w:val="left"/>
      <w:pPr>
        <w:ind w:left="6442" w:hanging="396"/>
      </w:pPr>
      <w:rPr>
        <w:rFonts w:hint="default"/>
      </w:rPr>
    </w:lvl>
    <w:lvl w:ilvl="7">
      <w:start w:val="1"/>
      <w:numFmt w:val="bullet"/>
      <w:lvlText w:val="•"/>
      <w:lvlJc w:val="left"/>
      <w:pPr>
        <w:ind w:left="7433" w:hanging="396"/>
      </w:pPr>
      <w:rPr>
        <w:rFonts w:hint="default"/>
      </w:rPr>
    </w:lvl>
    <w:lvl w:ilvl="8">
      <w:start w:val="1"/>
      <w:numFmt w:val="bullet"/>
      <w:lvlText w:val="•"/>
      <w:lvlJc w:val="left"/>
      <w:pPr>
        <w:ind w:left="8423" w:hanging="396"/>
      </w:pPr>
      <w:rPr>
        <w:rFonts w:hint="default"/>
      </w:rPr>
    </w:lvl>
  </w:abstractNum>
  <w:abstractNum w:abstractNumId="99">
    <w:multiLevelType w:val="hybridMultilevel"/>
    <w:lvl w:ilvl="0">
      <w:start w:val="1"/>
      <w:numFmt w:val="lowerRoman"/>
      <w:lvlText w:val="(%1)"/>
      <w:lvlJc w:val="left"/>
      <w:pPr>
        <w:ind w:left="501" w:hanging="396"/>
        <w:jc w:val="left"/>
      </w:pPr>
      <w:rPr>
        <w:rFonts w:hint="default" w:ascii="Arial" w:hAnsi="Arial" w:eastAsia="Arial" w:cs="Arial"/>
        <w:i/>
        <w:w w:val="99"/>
        <w:sz w:val="18"/>
        <w:szCs w:val="18"/>
      </w:rPr>
    </w:lvl>
    <w:lvl w:ilvl="1">
      <w:start w:val="1"/>
      <w:numFmt w:val="bullet"/>
      <w:lvlText w:val="•"/>
      <w:lvlJc w:val="left"/>
      <w:pPr>
        <w:ind w:left="1490" w:hanging="396"/>
      </w:pPr>
      <w:rPr>
        <w:rFonts w:hint="default"/>
      </w:rPr>
    </w:lvl>
    <w:lvl w:ilvl="2">
      <w:start w:val="1"/>
      <w:numFmt w:val="bullet"/>
      <w:lvlText w:val="•"/>
      <w:lvlJc w:val="left"/>
      <w:pPr>
        <w:ind w:left="2480" w:hanging="396"/>
      </w:pPr>
      <w:rPr>
        <w:rFonts w:hint="default"/>
      </w:rPr>
    </w:lvl>
    <w:lvl w:ilvl="3">
      <w:start w:val="1"/>
      <w:numFmt w:val="bullet"/>
      <w:lvlText w:val="•"/>
      <w:lvlJc w:val="left"/>
      <w:pPr>
        <w:ind w:left="3471" w:hanging="396"/>
      </w:pPr>
      <w:rPr>
        <w:rFonts w:hint="default"/>
      </w:rPr>
    </w:lvl>
    <w:lvl w:ilvl="4">
      <w:start w:val="1"/>
      <w:numFmt w:val="bullet"/>
      <w:lvlText w:val="•"/>
      <w:lvlJc w:val="left"/>
      <w:pPr>
        <w:ind w:left="4461" w:hanging="396"/>
      </w:pPr>
      <w:rPr>
        <w:rFonts w:hint="default"/>
      </w:rPr>
    </w:lvl>
    <w:lvl w:ilvl="5">
      <w:start w:val="1"/>
      <w:numFmt w:val="bullet"/>
      <w:lvlText w:val="•"/>
      <w:lvlJc w:val="left"/>
      <w:pPr>
        <w:ind w:left="5452" w:hanging="396"/>
      </w:pPr>
      <w:rPr>
        <w:rFonts w:hint="default"/>
      </w:rPr>
    </w:lvl>
    <w:lvl w:ilvl="6">
      <w:start w:val="1"/>
      <w:numFmt w:val="bullet"/>
      <w:lvlText w:val="•"/>
      <w:lvlJc w:val="left"/>
      <w:pPr>
        <w:ind w:left="6442" w:hanging="396"/>
      </w:pPr>
      <w:rPr>
        <w:rFonts w:hint="default"/>
      </w:rPr>
    </w:lvl>
    <w:lvl w:ilvl="7">
      <w:start w:val="1"/>
      <w:numFmt w:val="bullet"/>
      <w:lvlText w:val="•"/>
      <w:lvlJc w:val="left"/>
      <w:pPr>
        <w:ind w:left="7433" w:hanging="396"/>
      </w:pPr>
      <w:rPr>
        <w:rFonts w:hint="default"/>
      </w:rPr>
    </w:lvl>
    <w:lvl w:ilvl="8">
      <w:start w:val="1"/>
      <w:numFmt w:val="bullet"/>
      <w:lvlText w:val="•"/>
      <w:lvlJc w:val="left"/>
      <w:pPr>
        <w:ind w:left="8423" w:hanging="396"/>
      </w:pPr>
      <w:rPr>
        <w:rFonts w:hint="default"/>
      </w:rPr>
    </w:lvl>
  </w:abstractNum>
  <w:abstractNum w:abstractNumId="98">
    <w:multiLevelType w:val="hybridMultilevel"/>
    <w:lvl w:ilvl="0">
      <w:start w:val="1"/>
      <w:numFmt w:val="lowerRoman"/>
      <w:lvlText w:val="(%1)"/>
      <w:lvlJc w:val="left"/>
      <w:pPr>
        <w:ind w:left="502" w:hanging="396"/>
        <w:jc w:val="left"/>
      </w:pPr>
      <w:rPr>
        <w:rFonts w:hint="default" w:ascii="Arial" w:hAnsi="Arial" w:eastAsia="Arial" w:cs="Arial"/>
        <w:i/>
        <w:w w:val="99"/>
        <w:sz w:val="18"/>
        <w:szCs w:val="18"/>
      </w:rPr>
    </w:lvl>
    <w:lvl w:ilvl="1">
      <w:start w:val="1"/>
      <w:numFmt w:val="bullet"/>
      <w:lvlText w:val="•"/>
      <w:lvlJc w:val="left"/>
      <w:pPr>
        <w:ind w:left="1490" w:hanging="396"/>
      </w:pPr>
      <w:rPr>
        <w:rFonts w:hint="default"/>
      </w:rPr>
    </w:lvl>
    <w:lvl w:ilvl="2">
      <w:start w:val="1"/>
      <w:numFmt w:val="bullet"/>
      <w:lvlText w:val="•"/>
      <w:lvlJc w:val="left"/>
      <w:pPr>
        <w:ind w:left="2480" w:hanging="396"/>
      </w:pPr>
      <w:rPr>
        <w:rFonts w:hint="default"/>
      </w:rPr>
    </w:lvl>
    <w:lvl w:ilvl="3">
      <w:start w:val="1"/>
      <w:numFmt w:val="bullet"/>
      <w:lvlText w:val="•"/>
      <w:lvlJc w:val="left"/>
      <w:pPr>
        <w:ind w:left="3471" w:hanging="396"/>
      </w:pPr>
      <w:rPr>
        <w:rFonts w:hint="default"/>
      </w:rPr>
    </w:lvl>
    <w:lvl w:ilvl="4">
      <w:start w:val="1"/>
      <w:numFmt w:val="bullet"/>
      <w:lvlText w:val="•"/>
      <w:lvlJc w:val="left"/>
      <w:pPr>
        <w:ind w:left="4461" w:hanging="396"/>
      </w:pPr>
      <w:rPr>
        <w:rFonts w:hint="default"/>
      </w:rPr>
    </w:lvl>
    <w:lvl w:ilvl="5">
      <w:start w:val="1"/>
      <w:numFmt w:val="bullet"/>
      <w:lvlText w:val="•"/>
      <w:lvlJc w:val="left"/>
      <w:pPr>
        <w:ind w:left="5452" w:hanging="396"/>
      </w:pPr>
      <w:rPr>
        <w:rFonts w:hint="default"/>
      </w:rPr>
    </w:lvl>
    <w:lvl w:ilvl="6">
      <w:start w:val="1"/>
      <w:numFmt w:val="bullet"/>
      <w:lvlText w:val="•"/>
      <w:lvlJc w:val="left"/>
      <w:pPr>
        <w:ind w:left="6442" w:hanging="396"/>
      </w:pPr>
      <w:rPr>
        <w:rFonts w:hint="default"/>
      </w:rPr>
    </w:lvl>
    <w:lvl w:ilvl="7">
      <w:start w:val="1"/>
      <w:numFmt w:val="bullet"/>
      <w:lvlText w:val="•"/>
      <w:lvlJc w:val="left"/>
      <w:pPr>
        <w:ind w:left="7433" w:hanging="396"/>
      </w:pPr>
      <w:rPr>
        <w:rFonts w:hint="default"/>
      </w:rPr>
    </w:lvl>
    <w:lvl w:ilvl="8">
      <w:start w:val="1"/>
      <w:numFmt w:val="bullet"/>
      <w:lvlText w:val="•"/>
      <w:lvlJc w:val="left"/>
      <w:pPr>
        <w:ind w:left="8423" w:hanging="396"/>
      </w:pPr>
      <w:rPr>
        <w:rFonts w:hint="default"/>
      </w:rPr>
    </w:lvl>
  </w:abstractNum>
  <w:abstractNum w:abstractNumId="97">
    <w:multiLevelType w:val="hybridMultilevel"/>
    <w:lvl w:ilvl="0">
      <w:start w:val="1"/>
      <w:numFmt w:val="lowerLetter"/>
      <w:lvlText w:val="(%1)"/>
      <w:lvlJc w:val="left"/>
      <w:pPr>
        <w:ind w:left="502" w:hanging="396"/>
        <w:jc w:val="left"/>
      </w:pPr>
      <w:rPr>
        <w:rFonts w:hint="default" w:ascii="Arial" w:hAnsi="Arial" w:eastAsia="Arial" w:cs="Arial"/>
        <w:b/>
        <w:bCs/>
        <w:spacing w:val="-25"/>
        <w:w w:val="99"/>
        <w:sz w:val="18"/>
        <w:szCs w:val="18"/>
      </w:rPr>
    </w:lvl>
    <w:lvl w:ilvl="1">
      <w:start w:val="1"/>
      <w:numFmt w:val="bullet"/>
      <w:lvlText w:val="•"/>
      <w:lvlJc w:val="left"/>
      <w:pPr>
        <w:ind w:left="1490" w:hanging="396"/>
      </w:pPr>
      <w:rPr>
        <w:rFonts w:hint="default"/>
      </w:rPr>
    </w:lvl>
    <w:lvl w:ilvl="2">
      <w:start w:val="1"/>
      <w:numFmt w:val="bullet"/>
      <w:lvlText w:val="•"/>
      <w:lvlJc w:val="left"/>
      <w:pPr>
        <w:ind w:left="2480" w:hanging="396"/>
      </w:pPr>
      <w:rPr>
        <w:rFonts w:hint="default"/>
      </w:rPr>
    </w:lvl>
    <w:lvl w:ilvl="3">
      <w:start w:val="1"/>
      <w:numFmt w:val="bullet"/>
      <w:lvlText w:val="•"/>
      <w:lvlJc w:val="left"/>
      <w:pPr>
        <w:ind w:left="3471" w:hanging="396"/>
      </w:pPr>
      <w:rPr>
        <w:rFonts w:hint="default"/>
      </w:rPr>
    </w:lvl>
    <w:lvl w:ilvl="4">
      <w:start w:val="1"/>
      <w:numFmt w:val="bullet"/>
      <w:lvlText w:val="•"/>
      <w:lvlJc w:val="left"/>
      <w:pPr>
        <w:ind w:left="4461" w:hanging="396"/>
      </w:pPr>
      <w:rPr>
        <w:rFonts w:hint="default"/>
      </w:rPr>
    </w:lvl>
    <w:lvl w:ilvl="5">
      <w:start w:val="1"/>
      <w:numFmt w:val="bullet"/>
      <w:lvlText w:val="•"/>
      <w:lvlJc w:val="left"/>
      <w:pPr>
        <w:ind w:left="5452" w:hanging="396"/>
      </w:pPr>
      <w:rPr>
        <w:rFonts w:hint="default"/>
      </w:rPr>
    </w:lvl>
    <w:lvl w:ilvl="6">
      <w:start w:val="1"/>
      <w:numFmt w:val="bullet"/>
      <w:lvlText w:val="•"/>
      <w:lvlJc w:val="left"/>
      <w:pPr>
        <w:ind w:left="6442" w:hanging="396"/>
      </w:pPr>
      <w:rPr>
        <w:rFonts w:hint="default"/>
      </w:rPr>
    </w:lvl>
    <w:lvl w:ilvl="7">
      <w:start w:val="1"/>
      <w:numFmt w:val="bullet"/>
      <w:lvlText w:val="•"/>
      <w:lvlJc w:val="left"/>
      <w:pPr>
        <w:ind w:left="7433" w:hanging="396"/>
      </w:pPr>
      <w:rPr>
        <w:rFonts w:hint="default"/>
      </w:rPr>
    </w:lvl>
    <w:lvl w:ilvl="8">
      <w:start w:val="1"/>
      <w:numFmt w:val="bullet"/>
      <w:lvlText w:val="•"/>
      <w:lvlJc w:val="left"/>
      <w:pPr>
        <w:ind w:left="8423" w:hanging="396"/>
      </w:pPr>
      <w:rPr>
        <w:rFonts w:hint="default"/>
      </w:rPr>
    </w:lvl>
  </w:abstractNum>
  <w:abstractNum w:abstractNumId="96">
    <w:multiLevelType w:val="hybridMultilevel"/>
    <w:lvl w:ilvl="0">
      <w:start w:val="1"/>
      <w:numFmt w:val="bullet"/>
      <w:lvlText w:val="•"/>
      <w:lvlJc w:val="left"/>
      <w:pPr>
        <w:ind w:left="812" w:hanging="575"/>
      </w:pPr>
      <w:rPr>
        <w:rFonts w:hint="default" w:ascii="Arial" w:hAnsi="Arial" w:eastAsia="Arial" w:cs="Arial"/>
        <w:color w:val="111113"/>
        <w:w w:val="113"/>
        <w:sz w:val="20"/>
        <w:szCs w:val="20"/>
      </w:rPr>
    </w:lvl>
    <w:lvl w:ilvl="1">
      <w:start w:val="1"/>
      <w:numFmt w:val="bullet"/>
      <w:lvlText w:val="•"/>
      <w:lvlJc w:val="left"/>
      <w:pPr>
        <w:ind w:left="1680" w:hanging="575"/>
      </w:pPr>
      <w:rPr>
        <w:rFonts w:hint="default"/>
      </w:rPr>
    </w:lvl>
    <w:lvl w:ilvl="2">
      <w:start w:val="1"/>
      <w:numFmt w:val="bullet"/>
      <w:lvlText w:val="•"/>
      <w:lvlJc w:val="left"/>
      <w:pPr>
        <w:ind w:left="2540" w:hanging="575"/>
      </w:pPr>
      <w:rPr>
        <w:rFonts w:hint="default"/>
      </w:rPr>
    </w:lvl>
    <w:lvl w:ilvl="3">
      <w:start w:val="1"/>
      <w:numFmt w:val="bullet"/>
      <w:lvlText w:val="•"/>
      <w:lvlJc w:val="left"/>
      <w:pPr>
        <w:ind w:left="3401" w:hanging="575"/>
      </w:pPr>
      <w:rPr>
        <w:rFonts w:hint="default"/>
      </w:rPr>
    </w:lvl>
    <w:lvl w:ilvl="4">
      <w:start w:val="1"/>
      <w:numFmt w:val="bullet"/>
      <w:lvlText w:val="•"/>
      <w:lvlJc w:val="left"/>
      <w:pPr>
        <w:ind w:left="4261" w:hanging="575"/>
      </w:pPr>
      <w:rPr>
        <w:rFonts w:hint="default"/>
      </w:rPr>
    </w:lvl>
    <w:lvl w:ilvl="5">
      <w:start w:val="1"/>
      <w:numFmt w:val="bullet"/>
      <w:lvlText w:val="•"/>
      <w:lvlJc w:val="left"/>
      <w:pPr>
        <w:ind w:left="5122" w:hanging="575"/>
      </w:pPr>
      <w:rPr>
        <w:rFonts w:hint="default"/>
      </w:rPr>
    </w:lvl>
    <w:lvl w:ilvl="6">
      <w:start w:val="1"/>
      <w:numFmt w:val="bullet"/>
      <w:lvlText w:val="•"/>
      <w:lvlJc w:val="left"/>
      <w:pPr>
        <w:ind w:left="5982" w:hanging="575"/>
      </w:pPr>
      <w:rPr>
        <w:rFonts w:hint="default"/>
      </w:rPr>
    </w:lvl>
    <w:lvl w:ilvl="7">
      <w:start w:val="1"/>
      <w:numFmt w:val="bullet"/>
      <w:lvlText w:val="•"/>
      <w:lvlJc w:val="left"/>
      <w:pPr>
        <w:ind w:left="6842" w:hanging="575"/>
      </w:pPr>
      <w:rPr>
        <w:rFonts w:hint="default"/>
      </w:rPr>
    </w:lvl>
    <w:lvl w:ilvl="8">
      <w:start w:val="1"/>
      <w:numFmt w:val="bullet"/>
      <w:lvlText w:val="•"/>
      <w:lvlJc w:val="left"/>
      <w:pPr>
        <w:ind w:left="7703" w:hanging="575"/>
      </w:pPr>
      <w:rPr>
        <w:rFonts w:hint="default"/>
      </w:rPr>
    </w:lvl>
  </w:abstractNum>
  <w:abstractNum w:abstractNumId="95">
    <w:multiLevelType w:val="hybridMultilevel"/>
    <w:lvl w:ilvl="0">
      <w:start w:val="1"/>
      <w:numFmt w:val="bullet"/>
      <w:lvlText w:val="•"/>
      <w:lvlJc w:val="left"/>
      <w:pPr>
        <w:ind w:left="822" w:hanging="570"/>
      </w:pPr>
      <w:rPr>
        <w:rFonts w:hint="default" w:ascii="Times New Roman" w:hAnsi="Times New Roman" w:eastAsia="Times New Roman" w:cs="Times New Roman"/>
        <w:color w:val="111113"/>
        <w:w w:val="104"/>
        <w:position w:val="-2"/>
        <w:sz w:val="22"/>
        <w:szCs w:val="22"/>
      </w:rPr>
    </w:lvl>
    <w:lvl w:ilvl="1">
      <w:start w:val="1"/>
      <w:numFmt w:val="bullet"/>
      <w:lvlText w:val="•"/>
      <w:lvlJc w:val="left"/>
      <w:pPr>
        <w:ind w:left="1680" w:hanging="570"/>
      </w:pPr>
      <w:rPr>
        <w:rFonts w:hint="default"/>
      </w:rPr>
    </w:lvl>
    <w:lvl w:ilvl="2">
      <w:start w:val="1"/>
      <w:numFmt w:val="bullet"/>
      <w:lvlText w:val="•"/>
      <w:lvlJc w:val="left"/>
      <w:pPr>
        <w:ind w:left="2540" w:hanging="570"/>
      </w:pPr>
      <w:rPr>
        <w:rFonts w:hint="default"/>
      </w:rPr>
    </w:lvl>
    <w:lvl w:ilvl="3">
      <w:start w:val="1"/>
      <w:numFmt w:val="bullet"/>
      <w:lvlText w:val="•"/>
      <w:lvlJc w:val="left"/>
      <w:pPr>
        <w:ind w:left="3401" w:hanging="570"/>
      </w:pPr>
      <w:rPr>
        <w:rFonts w:hint="default"/>
      </w:rPr>
    </w:lvl>
    <w:lvl w:ilvl="4">
      <w:start w:val="1"/>
      <w:numFmt w:val="bullet"/>
      <w:lvlText w:val="•"/>
      <w:lvlJc w:val="left"/>
      <w:pPr>
        <w:ind w:left="4261" w:hanging="570"/>
      </w:pPr>
      <w:rPr>
        <w:rFonts w:hint="default"/>
      </w:rPr>
    </w:lvl>
    <w:lvl w:ilvl="5">
      <w:start w:val="1"/>
      <w:numFmt w:val="bullet"/>
      <w:lvlText w:val="•"/>
      <w:lvlJc w:val="left"/>
      <w:pPr>
        <w:ind w:left="5122" w:hanging="570"/>
      </w:pPr>
      <w:rPr>
        <w:rFonts w:hint="default"/>
      </w:rPr>
    </w:lvl>
    <w:lvl w:ilvl="6">
      <w:start w:val="1"/>
      <w:numFmt w:val="bullet"/>
      <w:lvlText w:val="•"/>
      <w:lvlJc w:val="left"/>
      <w:pPr>
        <w:ind w:left="5982" w:hanging="570"/>
      </w:pPr>
      <w:rPr>
        <w:rFonts w:hint="default"/>
      </w:rPr>
    </w:lvl>
    <w:lvl w:ilvl="7">
      <w:start w:val="1"/>
      <w:numFmt w:val="bullet"/>
      <w:lvlText w:val="•"/>
      <w:lvlJc w:val="left"/>
      <w:pPr>
        <w:ind w:left="6842" w:hanging="570"/>
      </w:pPr>
      <w:rPr>
        <w:rFonts w:hint="default"/>
      </w:rPr>
    </w:lvl>
    <w:lvl w:ilvl="8">
      <w:start w:val="1"/>
      <w:numFmt w:val="bullet"/>
      <w:lvlText w:val="•"/>
      <w:lvlJc w:val="left"/>
      <w:pPr>
        <w:ind w:left="7703" w:hanging="570"/>
      </w:pPr>
      <w:rPr>
        <w:rFonts w:hint="default"/>
      </w:rPr>
    </w:lvl>
  </w:abstractNum>
  <w:abstractNum w:abstractNumId="94">
    <w:multiLevelType w:val="hybridMultilevel"/>
    <w:lvl w:ilvl="0">
      <w:start w:val="1"/>
      <w:numFmt w:val="bullet"/>
      <w:lvlText w:val="•"/>
      <w:lvlJc w:val="left"/>
      <w:pPr>
        <w:ind w:left="822" w:hanging="570"/>
      </w:pPr>
      <w:rPr>
        <w:rFonts w:hint="default" w:ascii="Arial" w:hAnsi="Arial" w:eastAsia="Arial" w:cs="Arial"/>
        <w:color w:val="111113"/>
        <w:w w:val="94"/>
        <w:position w:val="-3"/>
        <w:sz w:val="24"/>
        <w:szCs w:val="24"/>
      </w:rPr>
    </w:lvl>
    <w:lvl w:ilvl="1">
      <w:start w:val="1"/>
      <w:numFmt w:val="bullet"/>
      <w:lvlText w:val="•"/>
      <w:lvlJc w:val="left"/>
      <w:pPr>
        <w:ind w:left="1680" w:hanging="570"/>
      </w:pPr>
      <w:rPr>
        <w:rFonts w:hint="default"/>
      </w:rPr>
    </w:lvl>
    <w:lvl w:ilvl="2">
      <w:start w:val="1"/>
      <w:numFmt w:val="bullet"/>
      <w:lvlText w:val="•"/>
      <w:lvlJc w:val="left"/>
      <w:pPr>
        <w:ind w:left="2540" w:hanging="570"/>
      </w:pPr>
      <w:rPr>
        <w:rFonts w:hint="default"/>
      </w:rPr>
    </w:lvl>
    <w:lvl w:ilvl="3">
      <w:start w:val="1"/>
      <w:numFmt w:val="bullet"/>
      <w:lvlText w:val="•"/>
      <w:lvlJc w:val="left"/>
      <w:pPr>
        <w:ind w:left="3401" w:hanging="570"/>
      </w:pPr>
      <w:rPr>
        <w:rFonts w:hint="default"/>
      </w:rPr>
    </w:lvl>
    <w:lvl w:ilvl="4">
      <w:start w:val="1"/>
      <w:numFmt w:val="bullet"/>
      <w:lvlText w:val="•"/>
      <w:lvlJc w:val="left"/>
      <w:pPr>
        <w:ind w:left="4261" w:hanging="570"/>
      </w:pPr>
      <w:rPr>
        <w:rFonts w:hint="default"/>
      </w:rPr>
    </w:lvl>
    <w:lvl w:ilvl="5">
      <w:start w:val="1"/>
      <w:numFmt w:val="bullet"/>
      <w:lvlText w:val="•"/>
      <w:lvlJc w:val="left"/>
      <w:pPr>
        <w:ind w:left="5122" w:hanging="570"/>
      </w:pPr>
      <w:rPr>
        <w:rFonts w:hint="default"/>
      </w:rPr>
    </w:lvl>
    <w:lvl w:ilvl="6">
      <w:start w:val="1"/>
      <w:numFmt w:val="bullet"/>
      <w:lvlText w:val="•"/>
      <w:lvlJc w:val="left"/>
      <w:pPr>
        <w:ind w:left="5982" w:hanging="570"/>
      </w:pPr>
      <w:rPr>
        <w:rFonts w:hint="default"/>
      </w:rPr>
    </w:lvl>
    <w:lvl w:ilvl="7">
      <w:start w:val="1"/>
      <w:numFmt w:val="bullet"/>
      <w:lvlText w:val="•"/>
      <w:lvlJc w:val="left"/>
      <w:pPr>
        <w:ind w:left="6842" w:hanging="570"/>
      </w:pPr>
      <w:rPr>
        <w:rFonts w:hint="default"/>
      </w:rPr>
    </w:lvl>
    <w:lvl w:ilvl="8">
      <w:start w:val="1"/>
      <w:numFmt w:val="bullet"/>
      <w:lvlText w:val="•"/>
      <w:lvlJc w:val="left"/>
      <w:pPr>
        <w:ind w:left="7703" w:hanging="570"/>
      </w:pPr>
      <w:rPr>
        <w:rFonts w:hint="default"/>
      </w:rPr>
    </w:lvl>
  </w:abstractNum>
  <w:abstractNum w:abstractNumId="93">
    <w:multiLevelType w:val="hybridMultilevel"/>
    <w:lvl w:ilvl="0">
      <w:start w:val="1"/>
      <w:numFmt w:val="bullet"/>
      <w:lvlText w:val="•"/>
      <w:lvlJc w:val="left"/>
      <w:pPr>
        <w:ind w:left="822" w:hanging="570"/>
      </w:pPr>
      <w:rPr>
        <w:rFonts w:hint="default" w:ascii="Times New Roman" w:hAnsi="Times New Roman" w:eastAsia="Times New Roman" w:cs="Times New Roman"/>
        <w:color w:val="111113"/>
        <w:w w:val="104"/>
        <w:position w:val="-2"/>
        <w:sz w:val="22"/>
        <w:szCs w:val="22"/>
      </w:rPr>
    </w:lvl>
    <w:lvl w:ilvl="1">
      <w:start w:val="1"/>
      <w:numFmt w:val="bullet"/>
      <w:lvlText w:val="•"/>
      <w:lvlJc w:val="left"/>
      <w:pPr>
        <w:ind w:left="1680" w:hanging="570"/>
      </w:pPr>
      <w:rPr>
        <w:rFonts w:hint="default"/>
      </w:rPr>
    </w:lvl>
    <w:lvl w:ilvl="2">
      <w:start w:val="1"/>
      <w:numFmt w:val="bullet"/>
      <w:lvlText w:val="•"/>
      <w:lvlJc w:val="left"/>
      <w:pPr>
        <w:ind w:left="2540" w:hanging="570"/>
      </w:pPr>
      <w:rPr>
        <w:rFonts w:hint="default"/>
      </w:rPr>
    </w:lvl>
    <w:lvl w:ilvl="3">
      <w:start w:val="1"/>
      <w:numFmt w:val="bullet"/>
      <w:lvlText w:val="•"/>
      <w:lvlJc w:val="left"/>
      <w:pPr>
        <w:ind w:left="3401" w:hanging="570"/>
      </w:pPr>
      <w:rPr>
        <w:rFonts w:hint="default"/>
      </w:rPr>
    </w:lvl>
    <w:lvl w:ilvl="4">
      <w:start w:val="1"/>
      <w:numFmt w:val="bullet"/>
      <w:lvlText w:val="•"/>
      <w:lvlJc w:val="left"/>
      <w:pPr>
        <w:ind w:left="4261" w:hanging="570"/>
      </w:pPr>
      <w:rPr>
        <w:rFonts w:hint="default"/>
      </w:rPr>
    </w:lvl>
    <w:lvl w:ilvl="5">
      <w:start w:val="1"/>
      <w:numFmt w:val="bullet"/>
      <w:lvlText w:val="•"/>
      <w:lvlJc w:val="left"/>
      <w:pPr>
        <w:ind w:left="5122" w:hanging="570"/>
      </w:pPr>
      <w:rPr>
        <w:rFonts w:hint="default"/>
      </w:rPr>
    </w:lvl>
    <w:lvl w:ilvl="6">
      <w:start w:val="1"/>
      <w:numFmt w:val="bullet"/>
      <w:lvlText w:val="•"/>
      <w:lvlJc w:val="left"/>
      <w:pPr>
        <w:ind w:left="5982" w:hanging="570"/>
      </w:pPr>
      <w:rPr>
        <w:rFonts w:hint="default"/>
      </w:rPr>
    </w:lvl>
    <w:lvl w:ilvl="7">
      <w:start w:val="1"/>
      <w:numFmt w:val="bullet"/>
      <w:lvlText w:val="•"/>
      <w:lvlJc w:val="left"/>
      <w:pPr>
        <w:ind w:left="6842" w:hanging="570"/>
      </w:pPr>
      <w:rPr>
        <w:rFonts w:hint="default"/>
      </w:rPr>
    </w:lvl>
    <w:lvl w:ilvl="8">
      <w:start w:val="1"/>
      <w:numFmt w:val="bullet"/>
      <w:lvlText w:val="•"/>
      <w:lvlJc w:val="left"/>
      <w:pPr>
        <w:ind w:left="7703" w:hanging="570"/>
      </w:pPr>
      <w:rPr>
        <w:rFonts w:hint="default"/>
      </w:rPr>
    </w:lvl>
  </w:abstractNum>
  <w:abstractNum w:abstractNumId="91">
    <w:multiLevelType w:val="hybridMultilevel"/>
    <w:lvl w:ilvl="0">
      <w:start w:val="1"/>
      <w:numFmt w:val="bullet"/>
      <w:lvlText w:val="•"/>
      <w:lvlJc w:val="left"/>
      <w:pPr>
        <w:ind w:left="1279" w:hanging="570"/>
      </w:pPr>
      <w:rPr>
        <w:rFonts w:hint="default" w:ascii="Arial" w:hAnsi="Arial" w:eastAsia="Arial" w:cs="Arial"/>
        <w:color w:val="131315"/>
        <w:w w:val="113"/>
        <w:sz w:val="20"/>
        <w:szCs w:val="20"/>
      </w:rPr>
    </w:lvl>
    <w:lvl w:ilvl="1">
      <w:start w:val="1"/>
      <w:numFmt w:val="bullet"/>
      <w:lvlText w:val="•"/>
      <w:lvlJc w:val="left"/>
      <w:pPr>
        <w:ind w:left="2192" w:hanging="570"/>
      </w:pPr>
      <w:rPr>
        <w:rFonts w:hint="default"/>
      </w:rPr>
    </w:lvl>
    <w:lvl w:ilvl="2">
      <w:start w:val="1"/>
      <w:numFmt w:val="bullet"/>
      <w:lvlText w:val="•"/>
      <w:lvlJc w:val="left"/>
      <w:pPr>
        <w:ind w:left="3104" w:hanging="570"/>
      </w:pPr>
      <w:rPr>
        <w:rFonts w:hint="default"/>
      </w:rPr>
    </w:lvl>
    <w:lvl w:ilvl="3">
      <w:start w:val="1"/>
      <w:numFmt w:val="bullet"/>
      <w:lvlText w:val="•"/>
      <w:lvlJc w:val="left"/>
      <w:pPr>
        <w:ind w:left="4017" w:hanging="570"/>
      </w:pPr>
      <w:rPr>
        <w:rFonts w:hint="default"/>
      </w:rPr>
    </w:lvl>
    <w:lvl w:ilvl="4">
      <w:start w:val="1"/>
      <w:numFmt w:val="bullet"/>
      <w:lvlText w:val="•"/>
      <w:lvlJc w:val="left"/>
      <w:pPr>
        <w:ind w:left="4929" w:hanging="570"/>
      </w:pPr>
      <w:rPr>
        <w:rFonts w:hint="default"/>
      </w:rPr>
    </w:lvl>
    <w:lvl w:ilvl="5">
      <w:start w:val="1"/>
      <w:numFmt w:val="bullet"/>
      <w:lvlText w:val="•"/>
      <w:lvlJc w:val="left"/>
      <w:pPr>
        <w:ind w:left="5842" w:hanging="570"/>
      </w:pPr>
      <w:rPr>
        <w:rFonts w:hint="default"/>
      </w:rPr>
    </w:lvl>
    <w:lvl w:ilvl="6">
      <w:start w:val="1"/>
      <w:numFmt w:val="bullet"/>
      <w:lvlText w:val="•"/>
      <w:lvlJc w:val="left"/>
      <w:pPr>
        <w:ind w:left="6754" w:hanging="570"/>
      </w:pPr>
      <w:rPr>
        <w:rFonts w:hint="default"/>
      </w:rPr>
    </w:lvl>
    <w:lvl w:ilvl="7">
      <w:start w:val="1"/>
      <w:numFmt w:val="bullet"/>
      <w:lvlText w:val="•"/>
      <w:lvlJc w:val="left"/>
      <w:pPr>
        <w:ind w:left="7666" w:hanging="570"/>
      </w:pPr>
      <w:rPr>
        <w:rFonts w:hint="default"/>
      </w:rPr>
    </w:lvl>
    <w:lvl w:ilvl="8">
      <w:start w:val="1"/>
      <w:numFmt w:val="bullet"/>
      <w:lvlText w:val="•"/>
      <w:lvlJc w:val="left"/>
      <w:pPr>
        <w:ind w:left="8579" w:hanging="570"/>
      </w:pPr>
      <w:rPr>
        <w:rFonts w:hint="default"/>
      </w:rPr>
    </w:lvl>
  </w:abstractNum>
  <w:abstractNum w:abstractNumId="90">
    <w:multiLevelType w:val="hybridMultilevel"/>
    <w:lvl w:ilvl="0">
      <w:start w:val="14"/>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b/>
        <w:bCs/>
        <w:spacing w:val="-1"/>
        <w:w w:val="99"/>
        <w:sz w:val="18"/>
        <w:szCs w:val="18"/>
      </w:rPr>
    </w:lvl>
    <w:lvl w:ilvl="2">
      <w:start w:val="1"/>
      <w:numFmt w:val="lowerRoman"/>
      <w:lvlText w:val="(%3)"/>
      <w:lvlJc w:val="left"/>
      <w:pPr>
        <w:ind w:left="1286" w:hanging="210"/>
        <w:jc w:val="left"/>
      </w:pPr>
      <w:rPr>
        <w:rFonts w:hint="default" w:ascii="Arial" w:hAnsi="Arial" w:eastAsia="Arial" w:cs="Arial"/>
        <w:i/>
        <w:w w:val="99"/>
        <w:sz w:val="18"/>
        <w:szCs w:val="18"/>
      </w:rPr>
    </w:lvl>
    <w:lvl w:ilvl="3">
      <w:start w:val="1"/>
      <w:numFmt w:val="bullet"/>
      <w:lvlText w:val="•"/>
      <w:lvlJc w:val="left"/>
      <w:pPr>
        <w:ind w:left="1583" w:hanging="210"/>
      </w:pPr>
      <w:rPr>
        <w:rFonts w:hint="default"/>
      </w:rPr>
    </w:lvl>
    <w:lvl w:ilvl="4">
      <w:start w:val="1"/>
      <w:numFmt w:val="bullet"/>
      <w:lvlText w:val="•"/>
      <w:lvlJc w:val="left"/>
      <w:pPr>
        <w:ind w:left="1887" w:hanging="210"/>
      </w:pPr>
      <w:rPr>
        <w:rFonts w:hint="default"/>
      </w:rPr>
    </w:lvl>
    <w:lvl w:ilvl="5">
      <w:start w:val="1"/>
      <w:numFmt w:val="bullet"/>
      <w:lvlText w:val="•"/>
      <w:lvlJc w:val="left"/>
      <w:pPr>
        <w:ind w:left="2190" w:hanging="210"/>
      </w:pPr>
      <w:rPr>
        <w:rFonts w:hint="default"/>
      </w:rPr>
    </w:lvl>
    <w:lvl w:ilvl="6">
      <w:start w:val="1"/>
      <w:numFmt w:val="bullet"/>
      <w:lvlText w:val="•"/>
      <w:lvlJc w:val="left"/>
      <w:pPr>
        <w:ind w:left="2494" w:hanging="210"/>
      </w:pPr>
      <w:rPr>
        <w:rFonts w:hint="default"/>
      </w:rPr>
    </w:lvl>
    <w:lvl w:ilvl="7">
      <w:start w:val="1"/>
      <w:numFmt w:val="bullet"/>
      <w:lvlText w:val="•"/>
      <w:lvlJc w:val="left"/>
      <w:pPr>
        <w:ind w:left="2797" w:hanging="210"/>
      </w:pPr>
      <w:rPr>
        <w:rFonts w:hint="default"/>
      </w:rPr>
    </w:lvl>
    <w:lvl w:ilvl="8">
      <w:start w:val="1"/>
      <w:numFmt w:val="bullet"/>
      <w:lvlText w:val="•"/>
      <w:lvlJc w:val="left"/>
      <w:pPr>
        <w:ind w:left="3101" w:hanging="210"/>
      </w:pPr>
      <w:rPr>
        <w:rFonts w:hint="default"/>
      </w:rPr>
    </w:lvl>
  </w:abstractNum>
  <w:abstractNum w:abstractNumId="89">
    <w:multiLevelType w:val="hybridMultilevel"/>
    <w:lvl w:ilvl="0">
      <w:start w:val="1"/>
      <w:numFmt w:val="lowerRoman"/>
      <w:lvlText w:val="%1."/>
      <w:lvlJc w:val="left"/>
      <w:pPr>
        <w:ind w:left="1212" w:hanging="141"/>
        <w:jc w:val="left"/>
      </w:pPr>
      <w:rPr>
        <w:rFonts w:hint="default" w:ascii="Arial" w:hAnsi="Arial" w:eastAsia="Arial" w:cs="Arial"/>
        <w:i/>
        <w:w w:val="99"/>
        <w:sz w:val="18"/>
        <w:szCs w:val="18"/>
      </w:rPr>
    </w:lvl>
    <w:lvl w:ilvl="1">
      <w:start w:val="1"/>
      <w:numFmt w:val="bullet"/>
      <w:lvlText w:val="•"/>
      <w:lvlJc w:val="left"/>
      <w:pPr>
        <w:ind w:left="2108" w:hanging="141"/>
      </w:pPr>
      <w:rPr>
        <w:rFonts w:hint="default"/>
      </w:rPr>
    </w:lvl>
    <w:lvl w:ilvl="2">
      <w:start w:val="1"/>
      <w:numFmt w:val="bullet"/>
      <w:lvlText w:val="•"/>
      <w:lvlJc w:val="left"/>
      <w:pPr>
        <w:ind w:left="2996" w:hanging="141"/>
      </w:pPr>
      <w:rPr>
        <w:rFonts w:hint="default"/>
      </w:rPr>
    </w:lvl>
    <w:lvl w:ilvl="3">
      <w:start w:val="1"/>
      <w:numFmt w:val="bullet"/>
      <w:lvlText w:val="•"/>
      <w:lvlJc w:val="left"/>
      <w:pPr>
        <w:ind w:left="3885" w:hanging="141"/>
      </w:pPr>
      <w:rPr>
        <w:rFonts w:hint="default"/>
      </w:rPr>
    </w:lvl>
    <w:lvl w:ilvl="4">
      <w:start w:val="1"/>
      <w:numFmt w:val="bullet"/>
      <w:lvlText w:val="•"/>
      <w:lvlJc w:val="left"/>
      <w:pPr>
        <w:ind w:left="4773" w:hanging="141"/>
      </w:pPr>
      <w:rPr>
        <w:rFonts w:hint="default"/>
      </w:rPr>
    </w:lvl>
    <w:lvl w:ilvl="5">
      <w:start w:val="1"/>
      <w:numFmt w:val="bullet"/>
      <w:lvlText w:val="•"/>
      <w:lvlJc w:val="left"/>
      <w:pPr>
        <w:ind w:left="5662" w:hanging="141"/>
      </w:pPr>
      <w:rPr>
        <w:rFonts w:hint="default"/>
      </w:rPr>
    </w:lvl>
    <w:lvl w:ilvl="6">
      <w:start w:val="1"/>
      <w:numFmt w:val="bullet"/>
      <w:lvlText w:val="•"/>
      <w:lvlJc w:val="left"/>
      <w:pPr>
        <w:ind w:left="6550" w:hanging="141"/>
      </w:pPr>
      <w:rPr>
        <w:rFonts w:hint="default"/>
      </w:rPr>
    </w:lvl>
    <w:lvl w:ilvl="7">
      <w:start w:val="1"/>
      <w:numFmt w:val="bullet"/>
      <w:lvlText w:val="•"/>
      <w:lvlJc w:val="left"/>
      <w:pPr>
        <w:ind w:left="7439" w:hanging="141"/>
      </w:pPr>
      <w:rPr>
        <w:rFonts w:hint="default"/>
      </w:rPr>
    </w:lvl>
    <w:lvl w:ilvl="8">
      <w:start w:val="1"/>
      <w:numFmt w:val="bullet"/>
      <w:lvlText w:val="•"/>
      <w:lvlJc w:val="left"/>
      <w:pPr>
        <w:ind w:left="8327" w:hanging="141"/>
      </w:pPr>
      <w:rPr>
        <w:rFonts w:hint="default"/>
      </w:rPr>
    </w:lvl>
  </w:abstractNum>
  <w:abstractNum w:abstractNumId="87">
    <w:multiLevelType w:val="hybridMultilevel"/>
    <w:lvl w:ilvl="0">
      <w:start w:val="10"/>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b/>
        <w:bCs/>
        <w:spacing w:val="-1"/>
        <w:w w:val="99"/>
        <w:sz w:val="18"/>
        <w:szCs w:val="18"/>
      </w:rPr>
    </w:lvl>
    <w:lvl w:ilvl="2">
      <w:start w:val="1"/>
      <w:numFmt w:val="bullet"/>
      <w:lvlText w:val="•"/>
      <w:lvlJc w:val="left"/>
      <w:pPr>
        <w:ind w:left="2087" w:hanging="567"/>
      </w:pPr>
      <w:rPr>
        <w:rFonts w:hint="default"/>
      </w:rPr>
    </w:lvl>
    <w:lvl w:ilvl="3">
      <w:start w:val="1"/>
      <w:numFmt w:val="bullet"/>
      <w:lvlText w:val="•"/>
      <w:lvlJc w:val="left"/>
      <w:pPr>
        <w:ind w:left="3094" w:hanging="567"/>
      </w:pPr>
      <w:rPr>
        <w:rFonts w:hint="default"/>
      </w:rPr>
    </w:lvl>
    <w:lvl w:ilvl="4">
      <w:start w:val="1"/>
      <w:numFmt w:val="bullet"/>
      <w:lvlText w:val="•"/>
      <w:lvlJc w:val="left"/>
      <w:pPr>
        <w:ind w:left="4101" w:hanging="567"/>
      </w:pPr>
      <w:rPr>
        <w:rFonts w:hint="default"/>
      </w:rPr>
    </w:lvl>
    <w:lvl w:ilvl="5">
      <w:start w:val="1"/>
      <w:numFmt w:val="bullet"/>
      <w:lvlText w:val="•"/>
      <w:lvlJc w:val="left"/>
      <w:pPr>
        <w:ind w:left="5108" w:hanging="567"/>
      </w:pPr>
      <w:rPr>
        <w:rFonts w:hint="default"/>
      </w:rPr>
    </w:lvl>
    <w:lvl w:ilvl="6">
      <w:start w:val="1"/>
      <w:numFmt w:val="bullet"/>
      <w:lvlText w:val="•"/>
      <w:lvlJc w:val="left"/>
      <w:pPr>
        <w:ind w:left="6115" w:hanging="567"/>
      </w:pPr>
      <w:rPr>
        <w:rFonts w:hint="default"/>
      </w:rPr>
    </w:lvl>
    <w:lvl w:ilvl="7">
      <w:start w:val="1"/>
      <w:numFmt w:val="bullet"/>
      <w:lvlText w:val="•"/>
      <w:lvlJc w:val="left"/>
      <w:pPr>
        <w:ind w:left="7122" w:hanging="567"/>
      </w:pPr>
      <w:rPr>
        <w:rFonts w:hint="default"/>
      </w:rPr>
    </w:lvl>
    <w:lvl w:ilvl="8">
      <w:start w:val="1"/>
      <w:numFmt w:val="bullet"/>
      <w:lvlText w:val="•"/>
      <w:lvlJc w:val="left"/>
      <w:pPr>
        <w:ind w:left="8130" w:hanging="567"/>
      </w:pPr>
      <w:rPr>
        <w:rFonts w:hint="default"/>
      </w:rPr>
    </w:lvl>
  </w:abstractNum>
  <w:abstractNum w:abstractNumId="86">
    <w:multiLevelType w:val="hybridMultilevel"/>
    <w:lvl w:ilvl="0">
      <w:start w:val="3"/>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111" w:hanging="567"/>
        <w:jc w:val="left"/>
      </w:pPr>
      <w:rPr>
        <w:rFonts w:hint="default" w:ascii="Arial" w:hAnsi="Arial" w:eastAsia="Arial" w:cs="Arial"/>
        <w:b/>
        <w:bCs/>
        <w:spacing w:val="-1"/>
        <w:w w:val="99"/>
        <w:sz w:val="18"/>
        <w:szCs w:val="18"/>
      </w:rPr>
    </w:lvl>
    <w:lvl w:ilvl="2">
      <w:start w:val="1"/>
      <w:numFmt w:val="bullet"/>
      <w:lvlText w:val="•"/>
      <w:lvlJc w:val="left"/>
      <w:pPr>
        <w:ind w:left="2122" w:hanging="567"/>
      </w:pPr>
      <w:rPr>
        <w:rFonts w:hint="default"/>
      </w:rPr>
    </w:lvl>
    <w:lvl w:ilvl="3">
      <w:start w:val="1"/>
      <w:numFmt w:val="bullet"/>
      <w:lvlText w:val="•"/>
      <w:lvlJc w:val="left"/>
      <w:pPr>
        <w:ind w:left="3125" w:hanging="567"/>
      </w:pPr>
      <w:rPr>
        <w:rFonts w:hint="default"/>
      </w:rPr>
    </w:lvl>
    <w:lvl w:ilvl="4">
      <w:start w:val="1"/>
      <w:numFmt w:val="bullet"/>
      <w:lvlText w:val="•"/>
      <w:lvlJc w:val="left"/>
      <w:pPr>
        <w:ind w:left="4128" w:hanging="567"/>
      </w:pPr>
      <w:rPr>
        <w:rFonts w:hint="default"/>
      </w:rPr>
    </w:lvl>
    <w:lvl w:ilvl="5">
      <w:start w:val="1"/>
      <w:numFmt w:val="bullet"/>
      <w:lvlText w:val="•"/>
      <w:lvlJc w:val="left"/>
      <w:pPr>
        <w:ind w:left="5130" w:hanging="567"/>
      </w:pPr>
      <w:rPr>
        <w:rFonts w:hint="default"/>
      </w:rPr>
    </w:lvl>
    <w:lvl w:ilvl="6">
      <w:start w:val="1"/>
      <w:numFmt w:val="bullet"/>
      <w:lvlText w:val="•"/>
      <w:lvlJc w:val="left"/>
      <w:pPr>
        <w:ind w:left="6133" w:hanging="567"/>
      </w:pPr>
      <w:rPr>
        <w:rFonts w:hint="default"/>
      </w:rPr>
    </w:lvl>
    <w:lvl w:ilvl="7">
      <w:start w:val="1"/>
      <w:numFmt w:val="bullet"/>
      <w:lvlText w:val="•"/>
      <w:lvlJc w:val="left"/>
      <w:pPr>
        <w:ind w:left="7136" w:hanging="567"/>
      </w:pPr>
      <w:rPr>
        <w:rFonts w:hint="default"/>
      </w:rPr>
    </w:lvl>
    <w:lvl w:ilvl="8">
      <w:start w:val="1"/>
      <w:numFmt w:val="bullet"/>
      <w:lvlText w:val="•"/>
      <w:lvlJc w:val="left"/>
      <w:pPr>
        <w:ind w:left="8138" w:hanging="567"/>
      </w:pPr>
      <w:rPr>
        <w:rFonts w:hint="default"/>
      </w:rPr>
    </w:lvl>
  </w:abstractNum>
  <w:abstractNum w:abstractNumId="84">
    <w:multiLevelType w:val="hybridMultilevel"/>
    <w:lvl w:ilvl="0">
      <w:start w:val="5"/>
      <w:numFmt w:val="lowerLetter"/>
      <w:lvlText w:val="(%1)"/>
      <w:lvlJc w:val="left"/>
      <w:pPr>
        <w:ind w:left="1070" w:hanging="567"/>
        <w:jc w:val="left"/>
      </w:pPr>
      <w:rPr>
        <w:rFonts w:hint="default" w:ascii="Arial" w:hAnsi="Arial" w:eastAsia="Arial" w:cs="Arial"/>
        <w:b/>
        <w:bCs/>
        <w:w w:val="99"/>
        <w:sz w:val="18"/>
        <w:szCs w:val="18"/>
      </w:rPr>
    </w:lvl>
    <w:lvl w:ilvl="1">
      <w:start w:val="1"/>
      <w:numFmt w:val="lowerRoman"/>
      <w:lvlText w:val="(%2)"/>
      <w:lvlJc w:val="left"/>
      <w:pPr>
        <w:ind w:left="1517" w:hanging="448"/>
        <w:jc w:val="left"/>
      </w:pPr>
      <w:rPr>
        <w:rFonts w:hint="default" w:ascii="Arial" w:hAnsi="Arial" w:eastAsia="Arial" w:cs="Arial"/>
        <w:b/>
        <w:bCs/>
        <w:i/>
        <w:w w:val="100"/>
        <w:sz w:val="18"/>
        <w:szCs w:val="18"/>
      </w:rPr>
    </w:lvl>
    <w:lvl w:ilvl="2">
      <w:start w:val="1"/>
      <w:numFmt w:val="bullet"/>
      <w:lvlText w:val="•"/>
      <w:lvlJc w:val="left"/>
      <w:pPr>
        <w:ind w:left="2478" w:hanging="448"/>
      </w:pPr>
      <w:rPr>
        <w:rFonts w:hint="default"/>
      </w:rPr>
    </w:lvl>
    <w:lvl w:ilvl="3">
      <w:start w:val="1"/>
      <w:numFmt w:val="bullet"/>
      <w:lvlText w:val="•"/>
      <w:lvlJc w:val="left"/>
      <w:pPr>
        <w:ind w:left="3436" w:hanging="448"/>
      </w:pPr>
      <w:rPr>
        <w:rFonts w:hint="default"/>
      </w:rPr>
    </w:lvl>
    <w:lvl w:ilvl="4">
      <w:start w:val="1"/>
      <w:numFmt w:val="bullet"/>
      <w:lvlText w:val="•"/>
      <w:lvlJc w:val="left"/>
      <w:pPr>
        <w:ind w:left="4394" w:hanging="448"/>
      </w:pPr>
      <w:rPr>
        <w:rFonts w:hint="default"/>
      </w:rPr>
    </w:lvl>
    <w:lvl w:ilvl="5">
      <w:start w:val="1"/>
      <w:numFmt w:val="bullet"/>
      <w:lvlText w:val="•"/>
      <w:lvlJc w:val="left"/>
      <w:pPr>
        <w:ind w:left="5353" w:hanging="448"/>
      </w:pPr>
      <w:rPr>
        <w:rFonts w:hint="default"/>
      </w:rPr>
    </w:lvl>
    <w:lvl w:ilvl="6">
      <w:start w:val="1"/>
      <w:numFmt w:val="bullet"/>
      <w:lvlText w:val="•"/>
      <w:lvlJc w:val="left"/>
      <w:pPr>
        <w:ind w:left="6311" w:hanging="448"/>
      </w:pPr>
      <w:rPr>
        <w:rFonts w:hint="default"/>
      </w:rPr>
    </w:lvl>
    <w:lvl w:ilvl="7">
      <w:start w:val="1"/>
      <w:numFmt w:val="bullet"/>
      <w:lvlText w:val="•"/>
      <w:lvlJc w:val="left"/>
      <w:pPr>
        <w:ind w:left="7269" w:hanging="448"/>
      </w:pPr>
      <w:rPr>
        <w:rFonts w:hint="default"/>
      </w:rPr>
    </w:lvl>
    <w:lvl w:ilvl="8">
      <w:start w:val="1"/>
      <w:numFmt w:val="bullet"/>
      <w:lvlText w:val="•"/>
      <w:lvlJc w:val="left"/>
      <w:pPr>
        <w:ind w:left="8227" w:hanging="448"/>
      </w:pPr>
      <w:rPr>
        <w:rFonts w:hint="default"/>
      </w:rPr>
    </w:lvl>
  </w:abstractNum>
  <w:abstractNum w:abstractNumId="82">
    <w:multiLevelType w:val="hybridMultilevel"/>
    <w:lvl w:ilvl="0">
      <w:start w:val="1"/>
      <w:numFmt w:val="bullet"/>
      <w:lvlText w:val="•"/>
      <w:lvlJc w:val="left"/>
      <w:pPr>
        <w:ind w:left="752" w:hanging="573"/>
      </w:pPr>
      <w:rPr>
        <w:rFonts w:hint="default" w:ascii="Arial" w:hAnsi="Arial" w:eastAsia="Arial" w:cs="Arial"/>
        <w:color w:val="111113"/>
        <w:w w:val="113"/>
        <w:sz w:val="20"/>
        <w:szCs w:val="20"/>
      </w:rPr>
    </w:lvl>
    <w:lvl w:ilvl="1">
      <w:start w:val="1"/>
      <w:numFmt w:val="bullet"/>
      <w:lvlText w:val="•"/>
      <w:lvlJc w:val="left"/>
      <w:pPr>
        <w:ind w:left="1618" w:hanging="573"/>
      </w:pPr>
      <w:rPr>
        <w:rFonts w:hint="default"/>
      </w:rPr>
    </w:lvl>
    <w:lvl w:ilvl="2">
      <w:start w:val="1"/>
      <w:numFmt w:val="bullet"/>
      <w:lvlText w:val="•"/>
      <w:lvlJc w:val="left"/>
      <w:pPr>
        <w:ind w:left="2476" w:hanging="573"/>
      </w:pPr>
      <w:rPr>
        <w:rFonts w:hint="default"/>
      </w:rPr>
    </w:lvl>
    <w:lvl w:ilvl="3">
      <w:start w:val="1"/>
      <w:numFmt w:val="bullet"/>
      <w:lvlText w:val="•"/>
      <w:lvlJc w:val="left"/>
      <w:pPr>
        <w:ind w:left="3335" w:hanging="573"/>
      </w:pPr>
      <w:rPr>
        <w:rFonts w:hint="default"/>
      </w:rPr>
    </w:lvl>
    <w:lvl w:ilvl="4">
      <w:start w:val="1"/>
      <w:numFmt w:val="bullet"/>
      <w:lvlText w:val="•"/>
      <w:lvlJc w:val="left"/>
      <w:pPr>
        <w:ind w:left="4193" w:hanging="573"/>
      </w:pPr>
      <w:rPr>
        <w:rFonts w:hint="default"/>
      </w:rPr>
    </w:lvl>
    <w:lvl w:ilvl="5">
      <w:start w:val="1"/>
      <w:numFmt w:val="bullet"/>
      <w:lvlText w:val="•"/>
      <w:lvlJc w:val="left"/>
      <w:pPr>
        <w:ind w:left="5052" w:hanging="573"/>
      </w:pPr>
      <w:rPr>
        <w:rFonts w:hint="default"/>
      </w:rPr>
    </w:lvl>
    <w:lvl w:ilvl="6">
      <w:start w:val="1"/>
      <w:numFmt w:val="bullet"/>
      <w:lvlText w:val="•"/>
      <w:lvlJc w:val="left"/>
      <w:pPr>
        <w:ind w:left="5910" w:hanging="573"/>
      </w:pPr>
      <w:rPr>
        <w:rFonts w:hint="default"/>
      </w:rPr>
    </w:lvl>
    <w:lvl w:ilvl="7">
      <w:start w:val="1"/>
      <w:numFmt w:val="bullet"/>
      <w:lvlText w:val="•"/>
      <w:lvlJc w:val="left"/>
      <w:pPr>
        <w:ind w:left="6768" w:hanging="573"/>
      </w:pPr>
      <w:rPr>
        <w:rFonts w:hint="default"/>
      </w:rPr>
    </w:lvl>
    <w:lvl w:ilvl="8">
      <w:start w:val="1"/>
      <w:numFmt w:val="bullet"/>
      <w:lvlText w:val="•"/>
      <w:lvlJc w:val="left"/>
      <w:pPr>
        <w:ind w:left="7627" w:hanging="573"/>
      </w:pPr>
      <w:rPr>
        <w:rFonts w:hint="default"/>
      </w:rPr>
    </w:lvl>
  </w:abstractNum>
  <w:abstractNum w:abstractNumId="81">
    <w:multiLevelType w:val="hybridMultilevel"/>
    <w:lvl w:ilvl="0">
      <w:start w:val="1"/>
      <w:numFmt w:val="bullet"/>
      <w:lvlText w:val="•"/>
      <w:lvlJc w:val="left"/>
      <w:pPr>
        <w:ind w:left="761" w:hanging="569"/>
      </w:pPr>
      <w:rPr>
        <w:rFonts w:hint="default" w:ascii="Times New Roman" w:hAnsi="Times New Roman" w:eastAsia="Times New Roman" w:cs="Times New Roman"/>
        <w:color w:val="111113"/>
        <w:w w:val="103"/>
        <w:position w:val="-2"/>
        <w:sz w:val="22"/>
        <w:szCs w:val="22"/>
      </w:rPr>
    </w:lvl>
    <w:lvl w:ilvl="1">
      <w:start w:val="1"/>
      <w:numFmt w:val="bullet"/>
      <w:lvlText w:val="•"/>
      <w:lvlJc w:val="left"/>
      <w:pPr>
        <w:ind w:left="1618" w:hanging="569"/>
      </w:pPr>
      <w:rPr>
        <w:rFonts w:hint="default"/>
      </w:rPr>
    </w:lvl>
    <w:lvl w:ilvl="2">
      <w:start w:val="1"/>
      <w:numFmt w:val="bullet"/>
      <w:lvlText w:val="•"/>
      <w:lvlJc w:val="left"/>
      <w:pPr>
        <w:ind w:left="2476" w:hanging="569"/>
      </w:pPr>
      <w:rPr>
        <w:rFonts w:hint="default"/>
      </w:rPr>
    </w:lvl>
    <w:lvl w:ilvl="3">
      <w:start w:val="1"/>
      <w:numFmt w:val="bullet"/>
      <w:lvlText w:val="•"/>
      <w:lvlJc w:val="left"/>
      <w:pPr>
        <w:ind w:left="3335" w:hanging="569"/>
      </w:pPr>
      <w:rPr>
        <w:rFonts w:hint="default"/>
      </w:rPr>
    </w:lvl>
    <w:lvl w:ilvl="4">
      <w:start w:val="1"/>
      <w:numFmt w:val="bullet"/>
      <w:lvlText w:val="•"/>
      <w:lvlJc w:val="left"/>
      <w:pPr>
        <w:ind w:left="4193" w:hanging="569"/>
      </w:pPr>
      <w:rPr>
        <w:rFonts w:hint="default"/>
      </w:rPr>
    </w:lvl>
    <w:lvl w:ilvl="5">
      <w:start w:val="1"/>
      <w:numFmt w:val="bullet"/>
      <w:lvlText w:val="•"/>
      <w:lvlJc w:val="left"/>
      <w:pPr>
        <w:ind w:left="5052" w:hanging="569"/>
      </w:pPr>
      <w:rPr>
        <w:rFonts w:hint="default"/>
      </w:rPr>
    </w:lvl>
    <w:lvl w:ilvl="6">
      <w:start w:val="1"/>
      <w:numFmt w:val="bullet"/>
      <w:lvlText w:val="•"/>
      <w:lvlJc w:val="left"/>
      <w:pPr>
        <w:ind w:left="5910" w:hanging="569"/>
      </w:pPr>
      <w:rPr>
        <w:rFonts w:hint="default"/>
      </w:rPr>
    </w:lvl>
    <w:lvl w:ilvl="7">
      <w:start w:val="1"/>
      <w:numFmt w:val="bullet"/>
      <w:lvlText w:val="•"/>
      <w:lvlJc w:val="left"/>
      <w:pPr>
        <w:ind w:left="6768" w:hanging="569"/>
      </w:pPr>
      <w:rPr>
        <w:rFonts w:hint="default"/>
      </w:rPr>
    </w:lvl>
    <w:lvl w:ilvl="8">
      <w:start w:val="1"/>
      <w:numFmt w:val="bullet"/>
      <w:lvlText w:val="•"/>
      <w:lvlJc w:val="left"/>
      <w:pPr>
        <w:ind w:left="7627" w:hanging="569"/>
      </w:pPr>
      <w:rPr>
        <w:rFonts w:hint="default"/>
      </w:rPr>
    </w:lvl>
  </w:abstractNum>
  <w:abstractNum w:abstractNumId="80">
    <w:multiLevelType w:val="hybridMultilevel"/>
    <w:lvl w:ilvl="0">
      <w:start w:val="1"/>
      <w:numFmt w:val="bullet"/>
      <w:lvlText w:val="•"/>
      <w:lvlJc w:val="left"/>
      <w:pPr>
        <w:ind w:left="761" w:hanging="564"/>
      </w:pPr>
      <w:rPr>
        <w:rFonts w:hint="default" w:ascii="Arial" w:hAnsi="Arial" w:eastAsia="Arial" w:cs="Arial"/>
        <w:color w:val="111113"/>
        <w:w w:val="93"/>
        <w:position w:val="-3"/>
        <w:sz w:val="24"/>
        <w:szCs w:val="24"/>
      </w:rPr>
    </w:lvl>
    <w:lvl w:ilvl="1">
      <w:start w:val="1"/>
      <w:numFmt w:val="bullet"/>
      <w:lvlText w:val="•"/>
      <w:lvlJc w:val="left"/>
      <w:pPr>
        <w:ind w:left="1618" w:hanging="564"/>
      </w:pPr>
      <w:rPr>
        <w:rFonts w:hint="default"/>
      </w:rPr>
    </w:lvl>
    <w:lvl w:ilvl="2">
      <w:start w:val="1"/>
      <w:numFmt w:val="bullet"/>
      <w:lvlText w:val="•"/>
      <w:lvlJc w:val="left"/>
      <w:pPr>
        <w:ind w:left="2476" w:hanging="564"/>
      </w:pPr>
      <w:rPr>
        <w:rFonts w:hint="default"/>
      </w:rPr>
    </w:lvl>
    <w:lvl w:ilvl="3">
      <w:start w:val="1"/>
      <w:numFmt w:val="bullet"/>
      <w:lvlText w:val="•"/>
      <w:lvlJc w:val="left"/>
      <w:pPr>
        <w:ind w:left="3335" w:hanging="564"/>
      </w:pPr>
      <w:rPr>
        <w:rFonts w:hint="default"/>
      </w:rPr>
    </w:lvl>
    <w:lvl w:ilvl="4">
      <w:start w:val="1"/>
      <w:numFmt w:val="bullet"/>
      <w:lvlText w:val="•"/>
      <w:lvlJc w:val="left"/>
      <w:pPr>
        <w:ind w:left="4193" w:hanging="564"/>
      </w:pPr>
      <w:rPr>
        <w:rFonts w:hint="default"/>
      </w:rPr>
    </w:lvl>
    <w:lvl w:ilvl="5">
      <w:start w:val="1"/>
      <w:numFmt w:val="bullet"/>
      <w:lvlText w:val="•"/>
      <w:lvlJc w:val="left"/>
      <w:pPr>
        <w:ind w:left="5052" w:hanging="564"/>
      </w:pPr>
      <w:rPr>
        <w:rFonts w:hint="default"/>
      </w:rPr>
    </w:lvl>
    <w:lvl w:ilvl="6">
      <w:start w:val="1"/>
      <w:numFmt w:val="bullet"/>
      <w:lvlText w:val="•"/>
      <w:lvlJc w:val="left"/>
      <w:pPr>
        <w:ind w:left="5910" w:hanging="564"/>
      </w:pPr>
      <w:rPr>
        <w:rFonts w:hint="default"/>
      </w:rPr>
    </w:lvl>
    <w:lvl w:ilvl="7">
      <w:start w:val="1"/>
      <w:numFmt w:val="bullet"/>
      <w:lvlText w:val="•"/>
      <w:lvlJc w:val="left"/>
      <w:pPr>
        <w:ind w:left="6768" w:hanging="564"/>
      </w:pPr>
      <w:rPr>
        <w:rFonts w:hint="default"/>
      </w:rPr>
    </w:lvl>
    <w:lvl w:ilvl="8">
      <w:start w:val="1"/>
      <w:numFmt w:val="bullet"/>
      <w:lvlText w:val="•"/>
      <w:lvlJc w:val="left"/>
      <w:pPr>
        <w:ind w:left="7627" w:hanging="564"/>
      </w:pPr>
      <w:rPr>
        <w:rFonts w:hint="default"/>
      </w:rPr>
    </w:lvl>
  </w:abstractNum>
  <w:abstractNum w:abstractNumId="79">
    <w:multiLevelType w:val="hybridMultilevel"/>
    <w:lvl w:ilvl="0">
      <w:start w:val="1"/>
      <w:numFmt w:val="bullet"/>
      <w:lvlText w:val="•"/>
      <w:lvlJc w:val="left"/>
      <w:pPr>
        <w:ind w:left="761" w:hanging="569"/>
      </w:pPr>
      <w:rPr>
        <w:rFonts w:hint="default" w:ascii="Times New Roman" w:hAnsi="Times New Roman" w:eastAsia="Times New Roman" w:cs="Times New Roman"/>
        <w:color w:val="111113"/>
        <w:w w:val="103"/>
        <w:position w:val="-2"/>
        <w:sz w:val="22"/>
        <w:szCs w:val="22"/>
      </w:rPr>
    </w:lvl>
    <w:lvl w:ilvl="1">
      <w:start w:val="1"/>
      <w:numFmt w:val="bullet"/>
      <w:lvlText w:val="•"/>
      <w:lvlJc w:val="left"/>
      <w:pPr>
        <w:ind w:left="1618" w:hanging="569"/>
      </w:pPr>
      <w:rPr>
        <w:rFonts w:hint="default"/>
      </w:rPr>
    </w:lvl>
    <w:lvl w:ilvl="2">
      <w:start w:val="1"/>
      <w:numFmt w:val="bullet"/>
      <w:lvlText w:val="•"/>
      <w:lvlJc w:val="left"/>
      <w:pPr>
        <w:ind w:left="2476" w:hanging="569"/>
      </w:pPr>
      <w:rPr>
        <w:rFonts w:hint="default"/>
      </w:rPr>
    </w:lvl>
    <w:lvl w:ilvl="3">
      <w:start w:val="1"/>
      <w:numFmt w:val="bullet"/>
      <w:lvlText w:val="•"/>
      <w:lvlJc w:val="left"/>
      <w:pPr>
        <w:ind w:left="3335" w:hanging="569"/>
      </w:pPr>
      <w:rPr>
        <w:rFonts w:hint="default"/>
      </w:rPr>
    </w:lvl>
    <w:lvl w:ilvl="4">
      <w:start w:val="1"/>
      <w:numFmt w:val="bullet"/>
      <w:lvlText w:val="•"/>
      <w:lvlJc w:val="left"/>
      <w:pPr>
        <w:ind w:left="4193" w:hanging="569"/>
      </w:pPr>
      <w:rPr>
        <w:rFonts w:hint="default"/>
      </w:rPr>
    </w:lvl>
    <w:lvl w:ilvl="5">
      <w:start w:val="1"/>
      <w:numFmt w:val="bullet"/>
      <w:lvlText w:val="•"/>
      <w:lvlJc w:val="left"/>
      <w:pPr>
        <w:ind w:left="5052" w:hanging="569"/>
      </w:pPr>
      <w:rPr>
        <w:rFonts w:hint="default"/>
      </w:rPr>
    </w:lvl>
    <w:lvl w:ilvl="6">
      <w:start w:val="1"/>
      <w:numFmt w:val="bullet"/>
      <w:lvlText w:val="•"/>
      <w:lvlJc w:val="left"/>
      <w:pPr>
        <w:ind w:left="5910" w:hanging="569"/>
      </w:pPr>
      <w:rPr>
        <w:rFonts w:hint="default"/>
      </w:rPr>
    </w:lvl>
    <w:lvl w:ilvl="7">
      <w:start w:val="1"/>
      <w:numFmt w:val="bullet"/>
      <w:lvlText w:val="•"/>
      <w:lvlJc w:val="left"/>
      <w:pPr>
        <w:ind w:left="6768" w:hanging="569"/>
      </w:pPr>
      <w:rPr>
        <w:rFonts w:hint="default"/>
      </w:rPr>
    </w:lvl>
    <w:lvl w:ilvl="8">
      <w:start w:val="1"/>
      <w:numFmt w:val="bullet"/>
      <w:lvlText w:val="•"/>
      <w:lvlJc w:val="left"/>
      <w:pPr>
        <w:ind w:left="7627" w:hanging="569"/>
      </w:pPr>
      <w:rPr>
        <w:rFonts w:hint="default"/>
      </w:rPr>
    </w:lvl>
  </w:abstractNum>
  <w:abstractNum w:abstractNumId="78">
    <w:multiLevelType w:val="hybridMultilevel"/>
    <w:lvl w:ilvl="0">
      <w:start w:val="1"/>
      <w:numFmt w:val="bullet"/>
      <w:lvlText w:val="•"/>
      <w:lvlJc w:val="left"/>
      <w:pPr>
        <w:ind w:left="1303" w:hanging="572"/>
      </w:pPr>
      <w:rPr>
        <w:rFonts w:hint="default" w:ascii="Arial" w:hAnsi="Arial" w:eastAsia="Arial" w:cs="Arial"/>
        <w:color w:val="0F0F11"/>
        <w:w w:val="113"/>
        <w:sz w:val="20"/>
        <w:szCs w:val="20"/>
      </w:rPr>
    </w:lvl>
    <w:lvl w:ilvl="1">
      <w:start w:val="1"/>
      <w:numFmt w:val="bullet"/>
      <w:lvlText w:val="•"/>
      <w:lvlJc w:val="left"/>
      <w:pPr>
        <w:ind w:left="2212" w:hanging="572"/>
      </w:pPr>
      <w:rPr>
        <w:rFonts w:hint="default"/>
      </w:rPr>
    </w:lvl>
    <w:lvl w:ilvl="2">
      <w:start w:val="1"/>
      <w:numFmt w:val="bullet"/>
      <w:lvlText w:val="•"/>
      <w:lvlJc w:val="left"/>
      <w:pPr>
        <w:ind w:left="3124" w:hanging="572"/>
      </w:pPr>
      <w:rPr>
        <w:rFonts w:hint="default"/>
      </w:rPr>
    </w:lvl>
    <w:lvl w:ilvl="3">
      <w:start w:val="1"/>
      <w:numFmt w:val="bullet"/>
      <w:lvlText w:val="•"/>
      <w:lvlJc w:val="left"/>
      <w:pPr>
        <w:ind w:left="4037" w:hanging="572"/>
      </w:pPr>
      <w:rPr>
        <w:rFonts w:hint="default"/>
      </w:rPr>
    </w:lvl>
    <w:lvl w:ilvl="4">
      <w:start w:val="1"/>
      <w:numFmt w:val="bullet"/>
      <w:lvlText w:val="•"/>
      <w:lvlJc w:val="left"/>
      <w:pPr>
        <w:ind w:left="4949" w:hanging="572"/>
      </w:pPr>
      <w:rPr>
        <w:rFonts w:hint="default"/>
      </w:rPr>
    </w:lvl>
    <w:lvl w:ilvl="5">
      <w:start w:val="1"/>
      <w:numFmt w:val="bullet"/>
      <w:lvlText w:val="•"/>
      <w:lvlJc w:val="left"/>
      <w:pPr>
        <w:ind w:left="5862" w:hanging="572"/>
      </w:pPr>
      <w:rPr>
        <w:rFonts w:hint="default"/>
      </w:rPr>
    </w:lvl>
    <w:lvl w:ilvl="6">
      <w:start w:val="1"/>
      <w:numFmt w:val="bullet"/>
      <w:lvlText w:val="•"/>
      <w:lvlJc w:val="left"/>
      <w:pPr>
        <w:ind w:left="6774" w:hanging="572"/>
      </w:pPr>
      <w:rPr>
        <w:rFonts w:hint="default"/>
      </w:rPr>
    </w:lvl>
    <w:lvl w:ilvl="7">
      <w:start w:val="1"/>
      <w:numFmt w:val="bullet"/>
      <w:lvlText w:val="•"/>
      <w:lvlJc w:val="left"/>
      <w:pPr>
        <w:ind w:left="7686" w:hanging="572"/>
      </w:pPr>
      <w:rPr>
        <w:rFonts w:hint="default"/>
      </w:rPr>
    </w:lvl>
    <w:lvl w:ilvl="8">
      <w:start w:val="1"/>
      <w:numFmt w:val="bullet"/>
      <w:lvlText w:val="•"/>
      <w:lvlJc w:val="left"/>
      <w:pPr>
        <w:ind w:left="8599" w:hanging="572"/>
      </w:pPr>
      <w:rPr>
        <w:rFonts w:hint="default"/>
      </w:rPr>
    </w:lvl>
  </w:abstractNum>
  <w:abstractNum w:abstractNumId="77">
    <w:multiLevelType w:val="hybridMultilevel"/>
    <w:lvl w:ilvl="0">
      <w:start w:val="1"/>
      <w:numFmt w:val="decimal"/>
      <w:lvlText w:val="%1."/>
      <w:lvlJc w:val="left"/>
      <w:pPr>
        <w:ind w:left="503" w:hanging="396"/>
        <w:jc w:val="left"/>
      </w:pPr>
      <w:rPr>
        <w:rFonts w:hint="default" w:ascii="Arial" w:hAnsi="Arial" w:eastAsia="Arial" w:cs="Arial"/>
        <w:w w:val="99"/>
        <w:sz w:val="18"/>
        <w:szCs w:val="18"/>
      </w:rPr>
    </w:lvl>
    <w:lvl w:ilvl="1">
      <w:start w:val="1"/>
      <w:numFmt w:val="lowerLetter"/>
      <w:lvlText w:val="%2."/>
      <w:lvlJc w:val="left"/>
      <w:pPr>
        <w:ind w:left="899" w:hanging="396"/>
        <w:jc w:val="left"/>
      </w:pPr>
      <w:rPr>
        <w:rFonts w:hint="default" w:ascii="Arial" w:hAnsi="Arial" w:eastAsia="Arial" w:cs="Arial"/>
        <w:spacing w:val="-3"/>
        <w:w w:val="99"/>
        <w:sz w:val="18"/>
        <w:szCs w:val="18"/>
      </w:rPr>
    </w:lvl>
    <w:lvl w:ilvl="2">
      <w:start w:val="1"/>
      <w:numFmt w:val="bullet"/>
      <w:lvlText w:val="•"/>
      <w:lvlJc w:val="left"/>
      <w:pPr>
        <w:ind w:left="1908" w:hanging="396"/>
      </w:pPr>
      <w:rPr>
        <w:rFonts w:hint="default"/>
      </w:rPr>
    </w:lvl>
    <w:lvl w:ilvl="3">
      <w:start w:val="1"/>
      <w:numFmt w:val="bullet"/>
      <w:lvlText w:val="•"/>
      <w:lvlJc w:val="left"/>
      <w:pPr>
        <w:ind w:left="2916" w:hanging="396"/>
      </w:pPr>
      <w:rPr>
        <w:rFonts w:hint="default"/>
      </w:rPr>
    </w:lvl>
    <w:lvl w:ilvl="4">
      <w:start w:val="1"/>
      <w:numFmt w:val="bullet"/>
      <w:lvlText w:val="•"/>
      <w:lvlJc w:val="left"/>
      <w:pPr>
        <w:ind w:left="3924" w:hanging="396"/>
      </w:pPr>
      <w:rPr>
        <w:rFonts w:hint="default"/>
      </w:rPr>
    </w:lvl>
    <w:lvl w:ilvl="5">
      <w:start w:val="1"/>
      <w:numFmt w:val="bullet"/>
      <w:lvlText w:val="•"/>
      <w:lvlJc w:val="left"/>
      <w:pPr>
        <w:ind w:left="4932" w:hanging="396"/>
      </w:pPr>
      <w:rPr>
        <w:rFonts w:hint="default"/>
      </w:rPr>
    </w:lvl>
    <w:lvl w:ilvl="6">
      <w:start w:val="1"/>
      <w:numFmt w:val="bullet"/>
      <w:lvlText w:val="•"/>
      <w:lvlJc w:val="left"/>
      <w:pPr>
        <w:ind w:left="5940" w:hanging="396"/>
      </w:pPr>
      <w:rPr>
        <w:rFonts w:hint="default"/>
      </w:rPr>
    </w:lvl>
    <w:lvl w:ilvl="7">
      <w:start w:val="1"/>
      <w:numFmt w:val="bullet"/>
      <w:lvlText w:val="•"/>
      <w:lvlJc w:val="left"/>
      <w:pPr>
        <w:ind w:left="6948" w:hanging="396"/>
      </w:pPr>
      <w:rPr>
        <w:rFonts w:hint="default"/>
      </w:rPr>
    </w:lvl>
    <w:lvl w:ilvl="8">
      <w:start w:val="1"/>
      <w:numFmt w:val="bullet"/>
      <w:lvlText w:val="•"/>
      <w:lvlJc w:val="left"/>
      <w:pPr>
        <w:ind w:left="7956" w:hanging="396"/>
      </w:pPr>
      <w:rPr>
        <w:rFonts w:hint="default"/>
      </w:rPr>
    </w:lvl>
  </w:abstractNum>
  <w:abstractNum w:abstractNumId="76">
    <w:multiLevelType w:val="hybridMultilevel"/>
    <w:lvl w:ilvl="0">
      <w:start w:val="1"/>
      <w:numFmt w:val="decimal"/>
      <w:lvlText w:val="%1."/>
      <w:lvlJc w:val="left"/>
      <w:pPr>
        <w:ind w:left="502" w:hanging="395"/>
        <w:jc w:val="left"/>
      </w:pPr>
      <w:rPr>
        <w:rFonts w:hint="default" w:ascii="Arial" w:hAnsi="Arial" w:eastAsia="Arial" w:cs="Arial"/>
        <w:b/>
        <w:bCs/>
        <w:w w:val="100"/>
        <w:sz w:val="18"/>
        <w:szCs w:val="18"/>
      </w:rPr>
    </w:lvl>
    <w:lvl w:ilvl="1">
      <w:start w:val="1"/>
      <w:numFmt w:val="bullet"/>
      <w:lvlText w:val=""/>
      <w:lvlJc w:val="left"/>
      <w:pPr>
        <w:ind w:left="1070" w:hanging="567"/>
      </w:pPr>
      <w:rPr>
        <w:rFonts w:hint="default" w:ascii="Symbol" w:hAnsi="Symbol" w:eastAsia="Symbol" w:cs="Symbol"/>
        <w:w w:val="100"/>
        <w:sz w:val="18"/>
        <w:szCs w:val="18"/>
      </w:rPr>
    </w:lvl>
    <w:lvl w:ilvl="2">
      <w:start w:val="1"/>
      <w:numFmt w:val="bullet"/>
      <w:lvlText w:val="•"/>
      <w:lvlJc w:val="left"/>
      <w:pPr>
        <w:ind w:left="2076" w:hanging="567"/>
      </w:pPr>
      <w:rPr>
        <w:rFonts w:hint="default"/>
      </w:rPr>
    </w:lvl>
    <w:lvl w:ilvl="3">
      <w:start w:val="1"/>
      <w:numFmt w:val="bullet"/>
      <w:lvlText w:val="•"/>
      <w:lvlJc w:val="left"/>
      <w:pPr>
        <w:ind w:left="3072" w:hanging="567"/>
      </w:pPr>
      <w:rPr>
        <w:rFonts w:hint="default"/>
      </w:rPr>
    </w:lvl>
    <w:lvl w:ilvl="4">
      <w:start w:val="1"/>
      <w:numFmt w:val="bullet"/>
      <w:lvlText w:val="•"/>
      <w:lvlJc w:val="left"/>
      <w:pPr>
        <w:ind w:left="4068" w:hanging="567"/>
      </w:pPr>
      <w:rPr>
        <w:rFonts w:hint="default"/>
      </w:rPr>
    </w:lvl>
    <w:lvl w:ilvl="5">
      <w:start w:val="1"/>
      <w:numFmt w:val="bullet"/>
      <w:lvlText w:val="•"/>
      <w:lvlJc w:val="left"/>
      <w:pPr>
        <w:ind w:left="5064" w:hanging="567"/>
      </w:pPr>
      <w:rPr>
        <w:rFonts w:hint="default"/>
      </w:rPr>
    </w:lvl>
    <w:lvl w:ilvl="6">
      <w:start w:val="1"/>
      <w:numFmt w:val="bullet"/>
      <w:lvlText w:val="•"/>
      <w:lvlJc w:val="left"/>
      <w:pPr>
        <w:ind w:left="6060" w:hanging="567"/>
      </w:pPr>
      <w:rPr>
        <w:rFonts w:hint="default"/>
      </w:rPr>
    </w:lvl>
    <w:lvl w:ilvl="7">
      <w:start w:val="1"/>
      <w:numFmt w:val="bullet"/>
      <w:lvlText w:val="•"/>
      <w:lvlJc w:val="left"/>
      <w:pPr>
        <w:ind w:left="7056" w:hanging="567"/>
      </w:pPr>
      <w:rPr>
        <w:rFonts w:hint="default"/>
      </w:rPr>
    </w:lvl>
    <w:lvl w:ilvl="8">
      <w:start w:val="1"/>
      <w:numFmt w:val="bullet"/>
      <w:lvlText w:val="•"/>
      <w:lvlJc w:val="left"/>
      <w:pPr>
        <w:ind w:left="8052" w:hanging="567"/>
      </w:pPr>
      <w:rPr>
        <w:rFonts w:hint="default"/>
      </w:rPr>
    </w:lvl>
  </w:abstractNum>
  <w:abstractNum w:abstractNumId="75">
    <w:multiLevelType w:val="hybridMultilevel"/>
    <w:lvl w:ilvl="0">
      <w:start w:val="1"/>
      <w:numFmt w:val="decimal"/>
      <w:lvlText w:val="%1."/>
      <w:lvlJc w:val="left"/>
      <w:pPr>
        <w:ind w:left="504" w:hanging="396"/>
        <w:jc w:val="left"/>
      </w:pPr>
      <w:rPr>
        <w:rFonts w:hint="default" w:ascii="Arial" w:hAnsi="Arial" w:eastAsia="Arial" w:cs="Arial"/>
        <w:w w:val="99"/>
        <w:sz w:val="18"/>
        <w:szCs w:val="18"/>
      </w:rPr>
    </w:lvl>
    <w:lvl w:ilvl="1">
      <w:start w:val="1"/>
      <w:numFmt w:val="lowerLetter"/>
      <w:lvlText w:val="%2."/>
      <w:lvlJc w:val="left"/>
      <w:pPr>
        <w:ind w:left="900" w:hanging="396"/>
        <w:jc w:val="left"/>
      </w:pPr>
      <w:rPr>
        <w:rFonts w:hint="default" w:ascii="Arial" w:hAnsi="Arial" w:eastAsia="Arial" w:cs="Arial"/>
        <w:spacing w:val="-3"/>
        <w:w w:val="99"/>
        <w:sz w:val="18"/>
        <w:szCs w:val="18"/>
      </w:rPr>
    </w:lvl>
    <w:lvl w:ilvl="2">
      <w:start w:val="1"/>
      <w:numFmt w:val="bullet"/>
      <w:lvlText w:val="•"/>
      <w:lvlJc w:val="left"/>
      <w:pPr>
        <w:ind w:left="2028" w:hanging="396"/>
      </w:pPr>
      <w:rPr>
        <w:rFonts w:hint="default"/>
      </w:rPr>
    </w:lvl>
    <w:lvl w:ilvl="3">
      <w:start w:val="1"/>
      <w:numFmt w:val="bullet"/>
      <w:lvlText w:val="•"/>
      <w:lvlJc w:val="left"/>
      <w:pPr>
        <w:ind w:left="3156" w:hanging="396"/>
      </w:pPr>
      <w:rPr>
        <w:rFonts w:hint="default"/>
      </w:rPr>
    </w:lvl>
    <w:lvl w:ilvl="4">
      <w:start w:val="1"/>
      <w:numFmt w:val="bullet"/>
      <w:lvlText w:val="•"/>
      <w:lvlJc w:val="left"/>
      <w:pPr>
        <w:ind w:left="4284" w:hanging="396"/>
      </w:pPr>
      <w:rPr>
        <w:rFonts w:hint="default"/>
      </w:rPr>
    </w:lvl>
    <w:lvl w:ilvl="5">
      <w:start w:val="1"/>
      <w:numFmt w:val="bullet"/>
      <w:lvlText w:val="•"/>
      <w:lvlJc w:val="left"/>
      <w:pPr>
        <w:ind w:left="5412" w:hanging="396"/>
      </w:pPr>
      <w:rPr>
        <w:rFonts w:hint="default"/>
      </w:rPr>
    </w:lvl>
    <w:lvl w:ilvl="6">
      <w:start w:val="1"/>
      <w:numFmt w:val="bullet"/>
      <w:lvlText w:val="•"/>
      <w:lvlJc w:val="left"/>
      <w:pPr>
        <w:ind w:left="6540" w:hanging="396"/>
      </w:pPr>
      <w:rPr>
        <w:rFonts w:hint="default"/>
      </w:rPr>
    </w:lvl>
    <w:lvl w:ilvl="7">
      <w:start w:val="1"/>
      <w:numFmt w:val="bullet"/>
      <w:lvlText w:val="•"/>
      <w:lvlJc w:val="left"/>
      <w:pPr>
        <w:ind w:left="7668" w:hanging="396"/>
      </w:pPr>
      <w:rPr>
        <w:rFonts w:hint="default"/>
      </w:rPr>
    </w:lvl>
    <w:lvl w:ilvl="8">
      <w:start w:val="1"/>
      <w:numFmt w:val="bullet"/>
      <w:lvlText w:val="•"/>
      <w:lvlJc w:val="left"/>
      <w:pPr>
        <w:ind w:left="8796" w:hanging="396"/>
      </w:pPr>
      <w:rPr>
        <w:rFonts w:hint="default"/>
      </w:rPr>
    </w:lvl>
  </w:abstractNum>
  <w:abstractNum w:abstractNumId="74">
    <w:multiLevelType w:val="hybridMultilevel"/>
    <w:lvl w:ilvl="0">
      <w:start w:val="1"/>
      <w:numFmt w:val="bullet"/>
      <w:lvlText w:val="-"/>
      <w:lvlJc w:val="left"/>
      <w:pPr>
        <w:ind w:left="1181" w:hanging="111"/>
      </w:pPr>
      <w:rPr>
        <w:rFonts w:hint="default" w:ascii="Arial" w:hAnsi="Arial" w:eastAsia="Arial" w:cs="Arial"/>
        <w:w w:val="99"/>
        <w:sz w:val="18"/>
        <w:szCs w:val="18"/>
      </w:rPr>
    </w:lvl>
    <w:lvl w:ilvl="1">
      <w:start w:val="1"/>
      <w:numFmt w:val="bullet"/>
      <w:lvlText w:val="•"/>
      <w:lvlJc w:val="left"/>
      <w:pPr>
        <w:ind w:left="1994" w:hanging="111"/>
      </w:pPr>
      <w:rPr>
        <w:rFonts w:hint="default"/>
      </w:rPr>
    </w:lvl>
    <w:lvl w:ilvl="2">
      <w:start w:val="1"/>
      <w:numFmt w:val="bullet"/>
      <w:lvlText w:val="•"/>
      <w:lvlJc w:val="left"/>
      <w:pPr>
        <w:ind w:left="2809" w:hanging="111"/>
      </w:pPr>
      <w:rPr>
        <w:rFonts w:hint="default"/>
      </w:rPr>
    </w:lvl>
    <w:lvl w:ilvl="3">
      <w:start w:val="1"/>
      <w:numFmt w:val="bullet"/>
      <w:lvlText w:val="•"/>
      <w:lvlJc w:val="left"/>
      <w:pPr>
        <w:ind w:left="3623" w:hanging="111"/>
      </w:pPr>
      <w:rPr>
        <w:rFonts w:hint="default"/>
      </w:rPr>
    </w:lvl>
    <w:lvl w:ilvl="4">
      <w:start w:val="1"/>
      <w:numFmt w:val="bullet"/>
      <w:lvlText w:val="•"/>
      <w:lvlJc w:val="left"/>
      <w:pPr>
        <w:ind w:left="4438" w:hanging="111"/>
      </w:pPr>
      <w:rPr>
        <w:rFonts w:hint="default"/>
      </w:rPr>
    </w:lvl>
    <w:lvl w:ilvl="5">
      <w:start w:val="1"/>
      <w:numFmt w:val="bullet"/>
      <w:lvlText w:val="•"/>
      <w:lvlJc w:val="left"/>
      <w:pPr>
        <w:ind w:left="5252" w:hanging="111"/>
      </w:pPr>
      <w:rPr>
        <w:rFonts w:hint="default"/>
      </w:rPr>
    </w:lvl>
    <w:lvl w:ilvl="6">
      <w:start w:val="1"/>
      <w:numFmt w:val="bullet"/>
      <w:lvlText w:val="•"/>
      <w:lvlJc w:val="left"/>
      <w:pPr>
        <w:ind w:left="6067" w:hanging="111"/>
      </w:pPr>
      <w:rPr>
        <w:rFonts w:hint="default"/>
      </w:rPr>
    </w:lvl>
    <w:lvl w:ilvl="7">
      <w:start w:val="1"/>
      <w:numFmt w:val="bullet"/>
      <w:lvlText w:val="•"/>
      <w:lvlJc w:val="left"/>
      <w:pPr>
        <w:ind w:left="6881" w:hanging="111"/>
      </w:pPr>
      <w:rPr>
        <w:rFonts w:hint="default"/>
      </w:rPr>
    </w:lvl>
    <w:lvl w:ilvl="8">
      <w:start w:val="1"/>
      <w:numFmt w:val="bullet"/>
      <w:lvlText w:val="•"/>
      <w:lvlJc w:val="left"/>
      <w:pPr>
        <w:ind w:left="7696" w:hanging="111"/>
      </w:pPr>
      <w:rPr>
        <w:rFonts w:hint="default"/>
      </w:rPr>
    </w:lvl>
  </w:abstractNum>
  <w:abstractNum w:abstractNumId="73">
    <w:multiLevelType w:val="hybridMultilevel"/>
    <w:lvl w:ilvl="0">
      <w:start w:val="1"/>
      <w:numFmt w:val="bullet"/>
      <w:lvlText w:val="-"/>
      <w:lvlJc w:val="left"/>
      <w:pPr>
        <w:ind w:left="1181" w:hanging="111"/>
      </w:pPr>
      <w:rPr>
        <w:rFonts w:hint="default" w:ascii="Arial" w:hAnsi="Arial" w:eastAsia="Arial" w:cs="Arial"/>
        <w:w w:val="99"/>
        <w:sz w:val="18"/>
        <w:szCs w:val="18"/>
      </w:rPr>
    </w:lvl>
    <w:lvl w:ilvl="1">
      <w:start w:val="1"/>
      <w:numFmt w:val="bullet"/>
      <w:lvlText w:val="•"/>
      <w:lvlJc w:val="left"/>
      <w:pPr>
        <w:ind w:left="1994" w:hanging="111"/>
      </w:pPr>
      <w:rPr>
        <w:rFonts w:hint="default"/>
      </w:rPr>
    </w:lvl>
    <w:lvl w:ilvl="2">
      <w:start w:val="1"/>
      <w:numFmt w:val="bullet"/>
      <w:lvlText w:val="•"/>
      <w:lvlJc w:val="left"/>
      <w:pPr>
        <w:ind w:left="2809" w:hanging="111"/>
      </w:pPr>
      <w:rPr>
        <w:rFonts w:hint="default"/>
      </w:rPr>
    </w:lvl>
    <w:lvl w:ilvl="3">
      <w:start w:val="1"/>
      <w:numFmt w:val="bullet"/>
      <w:lvlText w:val="•"/>
      <w:lvlJc w:val="left"/>
      <w:pPr>
        <w:ind w:left="3623" w:hanging="111"/>
      </w:pPr>
      <w:rPr>
        <w:rFonts w:hint="default"/>
      </w:rPr>
    </w:lvl>
    <w:lvl w:ilvl="4">
      <w:start w:val="1"/>
      <w:numFmt w:val="bullet"/>
      <w:lvlText w:val="•"/>
      <w:lvlJc w:val="left"/>
      <w:pPr>
        <w:ind w:left="4438" w:hanging="111"/>
      </w:pPr>
      <w:rPr>
        <w:rFonts w:hint="default"/>
      </w:rPr>
    </w:lvl>
    <w:lvl w:ilvl="5">
      <w:start w:val="1"/>
      <w:numFmt w:val="bullet"/>
      <w:lvlText w:val="•"/>
      <w:lvlJc w:val="left"/>
      <w:pPr>
        <w:ind w:left="5252" w:hanging="111"/>
      </w:pPr>
      <w:rPr>
        <w:rFonts w:hint="default"/>
      </w:rPr>
    </w:lvl>
    <w:lvl w:ilvl="6">
      <w:start w:val="1"/>
      <w:numFmt w:val="bullet"/>
      <w:lvlText w:val="•"/>
      <w:lvlJc w:val="left"/>
      <w:pPr>
        <w:ind w:left="6067" w:hanging="111"/>
      </w:pPr>
      <w:rPr>
        <w:rFonts w:hint="default"/>
      </w:rPr>
    </w:lvl>
    <w:lvl w:ilvl="7">
      <w:start w:val="1"/>
      <w:numFmt w:val="bullet"/>
      <w:lvlText w:val="•"/>
      <w:lvlJc w:val="left"/>
      <w:pPr>
        <w:ind w:left="6881" w:hanging="111"/>
      </w:pPr>
      <w:rPr>
        <w:rFonts w:hint="default"/>
      </w:rPr>
    </w:lvl>
    <w:lvl w:ilvl="8">
      <w:start w:val="1"/>
      <w:numFmt w:val="bullet"/>
      <w:lvlText w:val="•"/>
      <w:lvlJc w:val="left"/>
      <w:pPr>
        <w:ind w:left="7696" w:hanging="111"/>
      </w:pPr>
      <w:rPr>
        <w:rFonts w:hint="default"/>
      </w:rPr>
    </w:lvl>
  </w:abstractNum>
  <w:abstractNum w:abstractNumId="72">
    <w:multiLevelType w:val="hybridMultilevel"/>
    <w:lvl w:ilvl="0">
      <w:start w:val="1"/>
      <w:numFmt w:val="bullet"/>
      <w:lvlText w:val="-"/>
      <w:lvlJc w:val="left"/>
      <w:pPr>
        <w:ind w:left="1180" w:hanging="111"/>
      </w:pPr>
      <w:rPr>
        <w:rFonts w:hint="default" w:ascii="Arial" w:hAnsi="Arial" w:eastAsia="Arial" w:cs="Arial"/>
        <w:w w:val="99"/>
        <w:sz w:val="18"/>
        <w:szCs w:val="18"/>
      </w:rPr>
    </w:lvl>
    <w:lvl w:ilvl="1">
      <w:start w:val="1"/>
      <w:numFmt w:val="bullet"/>
      <w:lvlText w:val="•"/>
      <w:lvlJc w:val="left"/>
      <w:pPr>
        <w:ind w:left="1994" w:hanging="111"/>
      </w:pPr>
      <w:rPr>
        <w:rFonts w:hint="default"/>
      </w:rPr>
    </w:lvl>
    <w:lvl w:ilvl="2">
      <w:start w:val="1"/>
      <w:numFmt w:val="bullet"/>
      <w:lvlText w:val="•"/>
      <w:lvlJc w:val="left"/>
      <w:pPr>
        <w:ind w:left="2809" w:hanging="111"/>
      </w:pPr>
      <w:rPr>
        <w:rFonts w:hint="default"/>
      </w:rPr>
    </w:lvl>
    <w:lvl w:ilvl="3">
      <w:start w:val="1"/>
      <w:numFmt w:val="bullet"/>
      <w:lvlText w:val="•"/>
      <w:lvlJc w:val="left"/>
      <w:pPr>
        <w:ind w:left="3623" w:hanging="111"/>
      </w:pPr>
      <w:rPr>
        <w:rFonts w:hint="default"/>
      </w:rPr>
    </w:lvl>
    <w:lvl w:ilvl="4">
      <w:start w:val="1"/>
      <w:numFmt w:val="bullet"/>
      <w:lvlText w:val="•"/>
      <w:lvlJc w:val="left"/>
      <w:pPr>
        <w:ind w:left="4438" w:hanging="111"/>
      </w:pPr>
      <w:rPr>
        <w:rFonts w:hint="default"/>
      </w:rPr>
    </w:lvl>
    <w:lvl w:ilvl="5">
      <w:start w:val="1"/>
      <w:numFmt w:val="bullet"/>
      <w:lvlText w:val="•"/>
      <w:lvlJc w:val="left"/>
      <w:pPr>
        <w:ind w:left="5252" w:hanging="111"/>
      </w:pPr>
      <w:rPr>
        <w:rFonts w:hint="default"/>
      </w:rPr>
    </w:lvl>
    <w:lvl w:ilvl="6">
      <w:start w:val="1"/>
      <w:numFmt w:val="bullet"/>
      <w:lvlText w:val="•"/>
      <w:lvlJc w:val="left"/>
      <w:pPr>
        <w:ind w:left="6067" w:hanging="111"/>
      </w:pPr>
      <w:rPr>
        <w:rFonts w:hint="default"/>
      </w:rPr>
    </w:lvl>
    <w:lvl w:ilvl="7">
      <w:start w:val="1"/>
      <w:numFmt w:val="bullet"/>
      <w:lvlText w:val="•"/>
      <w:lvlJc w:val="left"/>
      <w:pPr>
        <w:ind w:left="6881" w:hanging="111"/>
      </w:pPr>
      <w:rPr>
        <w:rFonts w:hint="default"/>
      </w:rPr>
    </w:lvl>
    <w:lvl w:ilvl="8">
      <w:start w:val="1"/>
      <w:numFmt w:val="bullet"/>
      <w:lvlText w:val="•"/>
      <w:lvlJc w:val="left"/>
      <w:pPr>
        <w:ind w:left="7696" w:hanging="111"/>
      </w:pPr>
      <w:rPr>
        <w:rFonts w:hint="default"/>
      </w:rPr>
    </w:lvl>
  </w:abstractNum>
  <w:abstractNum w:abstractNumId="71">
    <w:multiLevelType w:val="hybridMultilevel"/>
    <w:lvl w:ilvl="0">
      <w:start w:val="1"/>
      <w:numFmt w:val="bullet"/>
      <w:lvlText w:val="-"/>
      <w:lvlJc w:val="left"/>
      <w:pPr>
        <w:ind w:left="1181" w:hanging="112"/>
      </w:pPr>
      <w:rPr>
        <w:rFonts w:hint="default" w:ascii="Arial" w:hAnsi="Arial" w:eastAsia="Arial" w:cs="Arial"/>
        <w:w w:val="99"/>
        <w:sz w:val="18"/>
        <w:szCs w:val="18"/>
      </w:rPr>
    </w:lvl>
    <w:lvl w:ilvl="1">
      <w:start w:val="1"/>
      <w:numFmt w:val="bullet"/>
      <w:lvlText w:val="•"/>
      <w:lvlJc w:val="left"/>
      <w:pPr>
        <w:ind w:left="1994" w:hanging="112"/>
      </w:pPr>
      <w:rPr>
        <w:rFonts w:hint="default"/>
      </w:rPr>
    </w:lvl>
    <w:lvl w:ilvl="2">
      <w:start w:val="1"/>
      <w:numFmt w:val="bullet"/>
      <w:lvlText w:val="•"/>
      <w:lvlJc w:val="left"/>
      <w:pPr>
        <w:ind w:left="2809" w:hanging="112"/>
      </w:pPr>
      <w:rPr>
        <w:rFonts w:hint="default"/>
      </w:rPr>
    </w:lvl>
    <w:lvl w:ilvl="3">
      <w:start w:val="1"/>
      <w:numFmt w:val="bullet"/>
      <w:lvlText w:val="•"/>
      <w:lvlJc w:val="left"/>
      <w:pPr>
        <w:ind w:left="3623" w:hanging="112"/>
      </w:pPr>
      <w:rPr>
        <w:rFonts w:hint="default"/>
      </w:rPr>
    </w:lvl>
    <w:lvl w:ilvl="4">
      <w:start w:val="1"/>
      <w:numFmt w:val="bullet"/>
      <w:lvlText w:val="•"/>
      <w:lvlJc w:val="left"/>
      <w:pPr>
        <w:ind w:left="4438" w:hanging="112"/>
      </w:pPr>
      <w:rPr>
        <w:rFonts w:hint="default"/>
      </w:rPr>
    </w:lvl>
    <w:lvl w:ilvl="5">
      <w:start w:val="1"/>
      <w:numFmt w:val="bullet"/>
      <w:lvlText w:val="•"/>
      <w:lvlJc w:val="left"/>
      <w:pPr>
        <w:ind w:left="5252" w:hanging="112"/>
      </w:pPr>
      <w:rPr>
        <w:rFonts w:hint="default"/>
      </w:rPr>
    </w:lvl>
    <w:lvl w:ilvl="6">
      <w:start w:val="1"/>
      <w:numFmt w:val="bullet"/>
      <w:lvlText w:val="•"/>
      <w:lvlJc w:val="left"/>
      <w:pPr>
        <w:ind w:left="6067" w:hanging="112"/>
      </w:pPr>
      <w:rPr>
        <w:rFonts w:hint="default"/>
      </w:rPr>
    </w:lvl>
    <w:lvl w:ilvl="7">
      <w:start w:val="1"/>
      <w:numFmt w:val="bullet"/>
      <w:lvlText w:val="•"/>
      <w:lvlJc w:val="left"/>
      <w:pPr>
        <w:ind w:left="6881" w:hanging="112"/>
      </w:pPr>
      <w:rPr>
        <w:rFonts w:hint="default"/>
      </w:rPr>
    </w:lvl>
    <w:lvl w:ilvl="8">
      <w:start w:val="1"/>
      <w:numFmt w:val="bullet"/>
      <w:lvlText w:val="•"/>
      <w:lvlJc w:val="left"/>
      <w:pPr>
        <w:ind w:left="7696" w:hanging="112"/>
      </w:pPr>
      <w:rPr>
        <w:rFonts w:hint="default"/>
      </w:rPr>
    </w:lvl>
  </w:abstractNum>
  <w:abstractNum w:abstractNumId="70">
    <w:multiLevelType w:val="hybridMultilevel"/>
    <w:lvl w:ilvl="0">
      <w:start w:val="1"/>
      <w:numFmt w:val="bullet"/>
      <w:lvlText w:val="-"/>
      <w:lvlJc w:val="left"/>
      <w:pPr>
        <w:ind w:left="1181" w:hanging="111"/>
      </w:pPr>
      <w:rPr>
        <w:rFonts w:hint="default" w:ascii="Arial" w:hAnsi="Arial" w:eastAsia="Arial" w:cs="Arial"/>
        <w:w w:val="99"/>
        <w:sz w:val="18"/>
        <w:szCs w:val="18"/>
      </w:rPr>
    </w:lvl>
    <w:lvl w:ilvl="1">
      <w:start w:val="1"/>
      <w:numFmt w:val="bullet"/>
      <w:lvlText w:val="•"/>
      <w:lvlJc w:val="left"/>
      <w:pPr>
        <w:ind w:left="1994" w:hanging="111"/>
      </w:pPr>
      <w:rPr>
        <w:rFonts w:hint="default"/>
      </w:rPr>
    </w:lvl>
    <w:lvl w:ilvl="2">
      <w:start w:val="1"/>
      <w:numFmt w:val="bullet"/>
      <w:lvlText w:val="•"/>
      <w:lvlJc w:val="left"/>
      <w:pPr>
        <w:ind w:left="2809" w:hanging="111"/>
      </w:pPr>
      <w:rPr>
        <w:rFonts w:hint="default"/>
      </w:rPr>
    </w:lvl>
    <w:lvl w:ilvl="3">
      <w:start w:val="1"/>
      <w:numFmt w:val="bullet"/>
      <w:lvlText w:val="•"/>
      <w:lvlJc w:val="left"/>
      <w:pPr>
        <w:ind w:left="3623" w:hanging="111"/>
      </w:pPr>
      <w:rPr>
        <w:rFonts w:hint="default"/>
      </w:rPr>
    </w:lvl>
    <w:lvl w:ilvl="4">
      <w:start w:val="1"/>
      <w:numFmt w:val="bullet"/>
      <w:lvlText w:val="•"/>
      <w:lvlJc w:val="left"/>
      <w:pPr>
        <w:ind w:left="4438" w:hanging="111"/>
      </w:pPr>
      <w:rPr>
        <w:rFonts w:hint="default"/>
      </w:rPr>
    </w:lvl>
    <w:lvl w:ilvl="5">
      <w:start w:val="1"/>
      <w:numFmt w:val="bullet"/>
      <w:lvlText w:val="•"/>
      <w:lvlJc w:val="left"/>
      <w:pPr>
        <w:ind w:left="5252" w:hanging="111"/>
      </w:pPr>
      <w:rPr>
        <w:rFonts w:hint="default"/>
      </w:rPr>
    </w:lvl>
    <w:lvl w:ilvl="6">
      <w:start w:val="1"/>
      <w:numFmt w:val="bullet"/>
      <w:lvlText w:val="•"/>
      <w:lvlJc w:val="left"/>
      <w:pPr>
        <w:ind w:left="6067" w:hanging="111"/>
      </w:pPr>
      <w:rPr>
        <w:rFonts w:hint="default"/>
      </w:rPr>
    </w:lvl>
    <w:lvl w:ilvl="7">
      <w:start w:val="1"/>
      <w:numFmt w:val="bullet"/>
      <w:lvlText w:val="•"/>
      <w:lvlJc w:val="left"/>
      <w:pPr>
        <w:ind w:left="6881" w:hanging="111"/>
      </w:pPr>
      <w:rPr>
        <w:rFonts w:hint="default"/>
      </w:rPr>
    </w:lvl>
    <w:lvl w:ilvl="8">
      <w:start w:val="1"/>
      <w:numFmt w:val="bullet"/>
      <w:lvlText w:val="•"/>
      <w:lvlJc w:val="left"/>
      <w:pPr>
        <w:ind w:left="7696" w:hanging="111"/>
      </w:pPr>
      <w:rPr>
        <w:rFonts w:hint="default"/>
      </w:rPr>
    </w:lvl>
  </w:abstractNum>
  <w:abstractNum w:abstractNumId="69">
    <w:multiLevelType w:val="hybridMultilevel"/>
    <w:lvl w:ilvl="0">
      <w:start w:val="1"/>
      <w:numFmt w:val="bullet"/>
      <w:lvlText w:val="-"/>
      <w:lvlJc w:val="left"/>
      <w:pPr>
        <w:ind w:left="1181" w:hanging="111"/>
      </w:pPr>
      <w:rPr>
        <w:rFonts w:hint="default" w:ascii="Arial" w:hAnsi="Arial" w:eastAsia="Arial" w:cs="Arial"/>
        <w:w w:val="99"/>
        <w:sz w:val="18"/>
        <w:szCs w:val="18"/>
      </w:rPr>
    </w:lvl>
    <w:lvl w:ilvl="1">
      <w:start w:val="1"/>
      <w:numFmt w:val="bullet"/>
      <w:lvlText w:val="•"/>
      <w:lvlJc w:val="left"/>
      <w:pPr>
        <w:ind w:left="1994" w:hanging="111"/>
      </w:pPr>
      <w:rPr>
        <w:rFonts w:hint="default"/>
      </w:rPr>
    </w:lvl>
    <w:lvl w:ilvl="2">
      <w:start w:val="1"/>
      <w:numFmt w:val="bullet"/>
      <w:lvlText w:val="•"/>
      <w:lvlJc w:val="left"/>
      <w:pPr>
        <w:ind w:left="2809" w:hanging="111"/>
      </w:pPr>
      <w:rPr>
        <w:rFonts w:hint="default"/>
      </w:rPr>
    </w:lvl>
    <w:lvl w:ilvl="3">
      <w:start w:val="1"/>
      <w:numFmt w:val="bullet"/>
      <w:lvlText w:val="•"/>
      <w:lvlJc w:val="left"/>
      <w:pPr>
        <w:ind w:left="3623" w:hanging="111"/>
      </w:pPr>
      <w:rPr>
        <w:rFonts w:hint="default"/>
      </w:rPr>
    </w:lvl>
    <w:lvl w:ilvl="4">
      <w:start w:val="1"/>
      <w:numFmt w:val="bullet"/>
      <w:lvlText w:val="•"/>
      <w:lvlJc w:val="left"/>
      <w:pPr>
        <w:ind w:left="4438" w:hanging="111"/>
      </w:pPr>
      <w:rPr>
        <w:rFonts w:hint="default"/>
      </w:rPr>
    </w:lvl>
    <w:lvl w:ilvl="5">
      <w:start w:val="1"/>
      <w:numFmt w:val="bullet"/>
      <w:lvlText w:val="•"/>
      <w:lvlJc w:val="left"/>
      <w:pPr>
        <w:ind w:left="5252" w:hanging="111"/>
      </w:pPr>
      <w:rPr>
        <w:rFonts w:hint="default"/>
      </w:rPr>
    </w:lvl>
    <w:lvl w:ilvl="6">
      <w:start w:val="1"/>
      <w:numFmt w:val="bullet"/>
      <w:lvlText w:val="•"/>
      <w:lvlJc w:val="left"/>
      <w:pPr>
        <w:ind w:left="6067" w:hanging="111"/>
      </w:pPr>
      <w:rPr>
        <w:rFonts w:hint="default"/>
      </w:rPr>
    </w:lvl>
    <w:lvl w:ilvl="7">
      <w:start w:val="1"/>
      <w:numFmt w:val="bullet"/>
      <w:lvlText w:val="•"/>
      <w:lvlJc w:val="left"/>
      <w:pPr>
        <w:ind w:left="6881" w:hanging="111"/>
      </w:pPr>
      <w:rPr>
        <w:rFonts w:hint="default"/>
      </w:rPr>
    </w:lvl>
    <w:lvl w:ilvl="8">
      <w:start w:val="1"/>
      <w:numFmt w:val="bullet"/>
      <w:lvlText w:val="•"/>
      <w:lvlJc w:val="left"/>
      <w:pPr>
        <w:ind w:left="7696" w:hanging="111"/>
      </w:pPr>
      <w:rPr>
        <w:rFonts w:hint="default"/>
      </w:rPr>
    </w:lvl>
  </w:abstractNum>
  <w:abstractNum w:abstractNumId="68">
    <w:multiLevelType w:val="hybridMultilevel"/>
    <w:lvl w:ilvl="0">
      <w:start w:val="1"/>
      <w:numFmt w:val="bullet"/>
      <w:lvlText w:val="-"/>
      <w:lvlJc w:val="left"/>
      <w:pPr>
        <w:ind w:left="879" w:hanging="112"/>
      </w:pPr>
      <w:rPr>
        <w:rFonts w:hint="default" w:ascii="Arial" w:hAnsi="Arial" w:eastAsia="Arial" w:cs="Arial"/>
        <w:w w:val="99"/>
        <w:sz w:val="18"/>
        <w:szCs w:val="18"/>
      </w:rPr>
    </w:lvl>
    <w:lvl w:ilvl="1">
      <w:start w:val="1"/>
      <w:numFmt w:val="bullet"/>
      <w:lvlText w:val="•"/>
      <w:lvlJc w:val="left"/>
      <w:pPr>
        <w:ind w:left="1806" w:hanging="112"/>
      </w:pPr>
      <w:rPr>
        <w:rFonts w:hint="default"/>
      </w:rPr>
    </w:lvl>
    <w:lvl w:ilvl="2">
      <w:start w:val="1"/>
      <w:numFmt w:val="bullet"/>
      <w:lvlText w:val="•"/>
      <w:lvlJc w:val="left"/>
      <w:pPr>
        <w:ind w:left="2733" w:hanging="112"/>
      </w:pPr>
      <w:rPr>
        <w:rFonts w:hint="default"/>
      </w:rPr>
    </w:lvl>
    <w:lvl w:ilvl="3">
      <w:start w:val="1"/>
      <w:numFmt w:val="bullet"/>
      <w:lvlText w:val="•"/>
      <w:lvlJc w:val="left"/>
      <w:pPr>
        <w:ind w:left="3659" w:hanging="112"/>
      </w:pPr>
      <w:rPr>
        <w:rFonts w:hint="default"/>
      </w:rPr>
    </w:lvl>
    <w:lvl w:ilvl="4">
      <w:start w:val="1"/>
      <w:numFmt w:val="bullet"/>
      <w:lvlText w:val="•"/>
      <w:lvlJc w:val="left"/>
      <w:pPr>
        <w:ind w:left="4586" w:hanging="112"/>
      </w:pPr>
      <w:rPr>
        <w:rFonts w:hint="default"/>
      </w:rPr>
    </w:lvl>
    <w:lvl w:ilvl="5">
      <w:start w:val="1"/>
      <w:numFmt w:val="bullet"/>
      <w:lvlText w:val="•"/>
      <w:lvlJc w:val="left"/>
      <w:pPr>
        <w:ind w:left="5512" w:hanging="112"/>
      </w:pPr>
      <w:rPr>
        <w:rFonts w:hint="default"/>
      </w:rPr>
    </w:lvl>
    <w:lvl w:ilvl="6">
      <w:start w:val="1"/>
      <w:numFmt w:val="bullet"/>
      <w:lvlText w:val="•"/>
      <w:lvlJc w:val="left"/>
      <w:pPr>
        <w:ind w:left="6439" w:hanging="112"/>
      </w:pPr>
      <w:rPr>
        <w:rFonts w:hint="default"/>
      </w:rPr>
    </w:lvl>
    <w:lvl w:ilvl="7">
      <w:start w:val="1"/>
      <w:numFmt w:val="bullet"/>
      <w:lvlText w:val="•"/>
      <w:lvlJc w:val="left"/>
      <w:pPr>
        <w:ind w:left="7365" w:hanging="112"/>
      </w:pPr>
      <w:rPr>
        <w:rFonts w:hint="default"/>
      </w:rPr>
    </w:lvl>
    <w:lvl w:ilvl="8">
      <w:start w:val="1"/>
      <w:numFmt w:val="bullet"/>
      <w:lvlText w:val="•"/>
      <w:lvlJc w:val="left"/>
      <w:pPr>
        <w:ind w:left="8292" w:hanging="112"/>
      </w:pPr>
      <w:rPr>
        <w:rFonts w:hint="default"/>
      </w:rPr>
    </w:lvl>
  </w:abstractNum>
  <w:abstractNum w:abstractNumId="67">
    <w:multiLevelType w:val="hybridMultilevel"/>
    <w:lvl w:ilvl="0">
      <w:start w:val="1"/>
      <w:numFmt w:val="bullet"/>
      <w:lvlText w:val="•"/>
      <w:lvlJc w:val="left"/>
      <w:pPr>
        <w:ind w:left="1466" w:hanging="396"/>
      </w:pPr>
      <w:rPr>
        <w:rFonts w:hint="default" w:ascii="Arial" w:hAnsi="Arial" w:eastAsia="Arial" w:cs="Arial"/>
        <w:w w:val="99"/>
        <w:sz w:val="18"/>
        <w:szCs w:val="18"/>
      </w:rPr>
    </w:lvl>
    <w:lvl w:ilvl="1">
      <w:start w:val="1"/>
      <w:numFmt w:val="bullet"/>
      <w:lvlText w:val="•"/>
      <w:lvlJc w:val="left"/>
      <w:pPr>
        <w:ind w:left="2328" w:hanging="396"/>
      </w:pPr>
      <w:rPr>
        <w:rFonts w:hint="default"/>
      </w:rPr>
    </w:lvl>
    <w:lvl w:ilvl="2">
      <w:start w:val="1"/>
      <w:numFmt w:val="bullet"/>
      <w:lvlText w:val="•"/>
      <w:lvlJc w:val="left"/>
      <w:pPr>
        <w:ind w:left="3197" w:hanging="396"/>
      </w:pPr>
      <w:rPr>
        <w:rFonts w:hint="default"/>
      </w:rPr>
    </w:lvl>
    <w:lvl w:ilvl="3">
      <w:start w:val="1"/>
      <w:numFmt w:val="bullet"/>
      <w:lvlText w:val="•"/>
      <w:lvlJc w:val="left"/>
      <w:pPr>
        <w:ind w:left="4065" w:hanging="396"/>
      </w:pPr>
      <w:rPr>
        <w:rFonts w:hint="default"/>
      </w:rPr>
    </w:lvl>
    <w:lvl w:ilvl="4">
      <w:start w:val="1"/>
      <w:numFmt w:val="bullet"/>
      <w:lvlText w:val="•"/>
      <w:lvlJc w:val="left"/>
      <w:pPr>
        <w:ind w:left="4934" w:hanging="396"/>
      </w:pPr>
      <w:rPr>
        <w:rFonts w:hint="default"/>
      </w:rPr>
    </w:lvl>
    <w:lvl w:ilvl="5">
      <w:start w:val="1"/>
      <w:numFmt w:val="bullet"/>
      <w:lvlText w:val="•"/>
      <w:lvlJc w:val="left"/>
      <w:pPr>
        <w:ind w:left="5802" w:hanging="396"/>
      </w:pPr>
      <w:rPr>
        <w:rFonts w:hint="default"/>
      </w:rPr>
    </w:lvl>
    <w:lvl w:ilvl="6">
      <w:start w:val="1"/>
      <w:numFmt w:val="bullet"/>
      <w:lvlText w:val="•"/>
      <w:lvlJc w:val="left"/>
      <w:pPr>
        <w:ind w:left="6671" w:hanging="396"/>
      </w:pPr>
      <w:rPr>
        <w:rFonts w:hint="default"/>
      </w:rPr>
    </w:lvl>
    <w:lvl w:ilvl="7">
      <w:start w:val="1"/>
      <w:numFmt w:val="bullet"/>
      <w:lvlText w:val="•"/>
      <w:lvlJc w:val="left"/>
      <w:pPr>
        <w:ind w:left="7539" w:hanging="396"/>
      </w:pPr>
      <w:rPr>
        <w:rFonts w:hint="default"/>
      </w:rPr>
    </w:lvl>
    <w:lvl w:ilvl="8">
      <w:start w:val="1"/>
      <w:numFmt w:val="bullet"/>
      <w:lvlText w:val="•"/>
      <w:lvlJc w:val="left"/>
      <w:pPr>
        <w:ind w:left="8408" w:hanging="396"/>
      </w:pPr>
      <w:rPr>
        <w:rFonts w:hint="default"/>
      </w:rPr>
    </w:lvl>
  </w:abstractNum>
  <w:abstractNum w:abstractNumId="66">
    <w:multiLevelType w:val="hybridMultilevel"/>
    <w:lvl w:ilvl="0">
      <w:start w:val="1"/>
      <w:numFmt w:val="bullet"/>
      <w:lvlText w:val="•"/>
      <w:lvlJc w:val="left"/>
      <w:pPr>
        <w:ind w:left="1466" w:hanging="396"/>
      </w:pPr>
      <w:rPr>
        <w:rFonts w:hint="default" w:ascii="Arial" w:hAnsi="Arial" w:eastAsia="Arial" w:cs="Arial"/>
        <w:b/>
        <w:bCs/>
        <w:w w:val="99"/>
        <w:sz w:val="18"/>
        <w:szCs w:val="18"/>
      </w:rPr>
    </w:lvl>
    <w:lvl w:ilvl="1">
      <w:start w:val="1"/>
      <w:numFmt w:val="bullet"/>
      <w:lvlText w:val="•"/>
      <w:lvlJc w:val="left"/>
      <w:pPr>
        <w:ind w:left="2328" w:hanging="396"/>
      </w:pPr>
      <w:rPr>
        <w:rFonts w:hint="default"/>
      </w:rPr>
    </w:lvl>
    <w:lvl w:ilvl="2">
      <w:start w:val="1"/>
      <w:numFmt w:val="bullet"/>
      <w:lvlText w:val="•"/>
      <w:lvlJc w:val="left"/>
      <w:pPr>
        <w:ind w:left="3197" w:hanging="396"/>
      </w:pPr>
      <w:rPr>
        <w:rFonts w:hint="default"/>
      </w:rPr>
    </w:lvl>
    <w:lvl w:ilvl="3">
      <w:start w:val="1"/>
      <w:numFmt w:val="bullet"/>
      <w:lvlText w:val="•"/>
      <w:lvlJc w:val="left"/>
      <w:pPr>
        <w:ind w:left="4065" w:hanging="396"/>
      </w:pPr>
      <w:rPr>
        <w:rFonts w:hint="default"/>
      </w:rPr>
    </w:lvl>
    <w:lvl w:ilvl="4">
      <w:start w:val="1"/>
      <w:numFmt w:val="bullet"/>
      <w:lvlText w:val="•"/>
      <w:lvlJc w:val="left"/>
      <w:pPr>
        <w:ind w:left="4934" w:hanging="396"/>
      </w:pPr>
      <w:rPr>
        <w:rFonts w:hint="default"/>
      </w:rPr>
    </w:lvl>
    <w:lvl w:ilvl="5">
      <w:start w:val="1"/>
      <w:numFmt w:val="bullet"/>
      <w:lvlText w:val="•"/>
      <w:lvlJc w:val="left"/>
      <w:pPr>
        <w:ind w:left="5802" w:hanging="396"/>
      </w:pPr>
      <w:rPr>
        <w:rFonts w:hint="default"/>
      </w:rPr>
    </w:lvl>
    <w:lvl w:ilvl="6">
      <w:start w:val="1"/>
      <w:numFmt w:val="bullet"/>
      <w:lvlText w:val="•"/>
      <w:lvlJc w:val="left"/>
      <w:pPr>
        <w:ind w:left="6671" w:hanging="396"/>
      </w:pPr>
      <w:rPr>
        <w:rFonts w:hint="default"/>
      </w:rPr>
    </w:lvl>
    <w:lvl w:ilvl="7">
      <w:start w:val="1"/>
      <w:numFmt w:val="bullet"/>
      <w:lvlText w:val="•"/>
      <w:lvlJc w:val="left"/>
      <w:pPr>
        <w:ind w:left="7539" w:hanging="396"/>
      </w:pPr>
      <w:rPr>
        <w:rFonts w:hint="default"/>
      </w:rPr>
    </w:lvl>
    <w:lvl w:ilvl="8">
      <w:start w:val="1"/>
      <w:numFmt w:val="bullet"/>
      <w:lvlText w:val="•"/>
      <w:lvlJc w:val="left"/>
      <w:pPr>
        <w:ind w:left="8408" w:hanging="396"/>
      </w:pPr>
      <w:rPr>
        <w:rFonts w:hint="default"/>
      </w:rPr>
    </w:lvl>
  </w:abstractNum>
  <w:abstractNum w:abstractNumId="65">
    <w:multiLevelType w:val="hybridMultilevel"/>
    <w:lvl w:ilvl="0">
      <w:start w:val="1"/>
      <w:numFmt w:val="bullet"/>
      <w:lvlText w:val="•"/>
      <w:lvlJc w:val="left"/>
      <w:pPr>
        <w:ind w:left="1466" w:hanging="396"/>
      </w:pPr>
      <w:rPr>
        <w:rFonts w:hint="default" w:ascii="Arial" w:hAnsi="Arial" w:eastAsia="Arial" w:cs="Arial"/>
        <w:w w:val="99"/>
        <w:sz w:val="18"/>
        <w:szCs w:val="18"/>
      </w:rPr>
    </w:lvl>
    <w:lvl w:ilvl="1">
      <w:start w:val="1"/>
      <w:numFmt w:val="bullet"/>
      <w:lvlText w:val="•"/>
      <w:lvlJc w:val="left"/>
      <w:pPr>
        <w:ind w:left="2328" w:hanging="396"/>
      </w:pPr>
      <w:rPr>
        <w:rFonts w:hint="default"/>
      </w:rPr>
    </w:lvl>
    <w:lvl w:ilvl="2">
      <w:start w:val="1"/>
      <w:numFmt w:val="bullet"/>
      <w:lvlText w:val="•"/>
      <w:lvlJc w:val="left"/>
      <w:pPr>
        <w:ind w:left="3197" w:hanging="396"/>
      </w:pPr>
      <w:rPr>
        <w:rFonts w:hint="default"/>
      </w:rPr>
    </w:lvl>
    <w:lvl w:ilvl="3">
      <w:start w:val="1"/>
      <w:numFmt w:val="bullet"/>
      <w:lvlText w:val="•"/>
      <w:lvlJc w:val="left"/>
      <w:pPr>
        <w:ind w:left="4065" w:hanging="396"/>
      </w:pPr>
      <w:rPr>
        <w:rFonts w:hint="default"/>
      </w:rPr>
    </w:lvl>
    <w:lvl w:ilvl="4">
      <w:start w:val="1"/>
      <w:numFmt w:val="bullet"/>
      <w:lvlText w:val="•"/>
      <w:lvlJc w:val="left"/>
      <w:pPr>
        <w:ind w:left="4934" w:hanging="396"/>
      </w:pPr>
      <w:rPr>
        <w:rFonts w:hint="default"/>
      </w:rPr>
    </w:lvl>
    <w:lvl w:ilvl="5">
      <w:start w:val="1"/>
      <w:numFmt w:val="bullet"/>
      <w:lvlText w:val="•"/>
      <w:lvlJc w:val="left"/>
      <w:pPr>
        <w:ind w:left="5802" w:hanging="396"/>
      </w:pPr>
      <w:rPr>
        <w:rFonts w:hint="default"/>
      </w:rPr>
    </w:lvl>
    <w:lvl w:ilvl="6">
      <w:start w:val="1"/>
      <w:numFmt w:val="bullet"/>
      <w:lvlText w:val="•"/>
      <w:lvlJc w:val="left"/>
      <w:pPr>
        <w:ind w:left="6671" w:hanging="396"/>
      </w:pPr>
      <w:rPr>
        <w:rFonts w:hint="default"/>
      </w:rPr>
    </w:lvl>
    <w:lvl w:ilvl="7">
      <w:start w:val="1"/>
      <w:numFmt w:val="bullet"/>
      <w:lvlText w:val="•"/>
      <w:lvlJc w:val="left"/>
      <w:pPr>
        <w:ind w:left="7539" w:hanging="396"/>
      </w:pPr>
      <w:rPr>
        <w:rFonts w:hint="default"/>
      </w:rPr>
    </w:lvl>
    <w:lvl w:ilvl="8">
      <w:start w:val="1"/>
      <w:numFmt w:val="bullet"/>
      <w:lvlText w:val="•"/>
      <w:lvlJc w:val="left"/>
      <w:pPr>
        <w:ind w:left="8408" w:hanging="396"/>
      </w:pPr>
      <w:rPr>
        <w:rFonts w:hint="default"/>
      </w:rPr>
    </w:lvl>
  </w:abstractNum>
  <w:abstractNum w:abstractNumId="64">
    <w:multiLevelType w:val="hybridMultilevel"/>
    <w:lvl w:ilvl="0">
      <w:start w:val="1"/>
      <w:numFmt w:val="bullet"/>
      <w:lvlText w:val="-"/>
      <w:lvlJc w:val="left"/>
      <w:pPr>
        <w:ind w:left="716" w:hanging="212"/>
      </w:pPr>
      <w:rPr>
        <w:rFonts w:hint="default" w:ascii="Arial" w:hAnsi="Arial" w:eastAsia="Arial" w:cs="Arial"/>
        <w:w w:val="99"/>
        <w:sz w:val="18"/>
        <w:szCs w:val="18"/>
      </w:rPr>
    </w:lvl>
    <w:lvl w:ilvl="1">
      <w:start w:val="1"/>
      <w:numFmt w:val="bullet"/>
      <w:lvlText w:val="•"/>
      <w:lvlJc w:val="left"/>
      <w:pPr>
        <w:ind w:left="1662" w:hanging="212"/>
      </w:pPr>
      <w:rPr>
        <w:rFonts w:hint="default"/>
      </w:rPr>
    </w:lvl>
    <w:lvl w:ilvl="2">
      <w:start w:val="1"/>
      <w:numFmt w:val="bullet"/>
      <w:lvlText w:val="•"/>
      <w:lvlJc w:val="left"/>
      <w:pPr>
        <w:ind w:left="2605" w:hanging="212"/>
      </w:pPr>
      <w:rPr>
        <w:rFonts w:hint="default"/>
      </w:rPr>
    </w:lvl>
    <w:lvl w:ilvl="3">
      <w:start w:val="1"/>
      <w:numFmt w:val="bullet"/>
      <w:lvlText w:val="•"/>
      <w:lvlJc w:val="left"/>
      <w:pPr>
        <w:ind w:left="3547" w:hanging="212"/>
      </w:pPr>
      <w:rPr>
        <w:rFonts w:hint="default"/>
      </w:rPr>
    </w:lvl>
    <w:lvl w:ilvl="4">
      <w:start w:val="1"/>
      <w:numFmt w:val="bullet"/>
      <w:lvlText w:val="•"/>
      <w:lvlJc w:val="left"/>
      <w:pPr>
        <w:ind w:left="4490" w:hanging="212"/>
      </w:pPr>
      <w:rPr>
        <w:rFonts w:hint="default"/>
      </w:rPr>
    </w:lvl>
    <w:lvl w:ilvl="5">
      <w:start w:val="1"/>
      <w:numFmt w:val="bullet"/>
      <w:lvlText w:val="•"/>
      <w:lvlJc w:val="left"/>
      <w:pPr>
        <w:ind w:left="5432" w:hanging="212"/>
      </w:pPr>
      <w:rPr>
        <w:rFonts w:hint="default"/>
      </w:rPr>
    </w:lvl>
    <w:lvl w:ilvl="6">
      <w:start w:val="1"/>
      <w:numFmt w:val="bullet"/>
      <w:lvlText w:val="•"/>
      <w:lvlJc w:val="left"/>
      <w:pPr>
        <w:ind w:left="6375" w:hanging="212"/>
      </w:pPr>
      <w:rPr>
        <w:rFonts w:hint="default"/>
      </w:rPr>
    </w:lvl>
    <w:lvl w:ilvl="7">
      <w:start w:val="1"/>
      <w:numFmt w:val="bullet"/>
      <w:lvlText w:val="•"/>
      <w:lvlJc w:val="left"/>
      <w:pPr>
        <w:ind w:left="7317" w:hanging="212"/>
      </w:pPr>
      <w:rPr>
        <w:rFonts w:hint="default"/>
      </w:rPr>
    </w:lvl>
    <w:lvl w:ilvl="8">
      <w:start w:val="1"/>
      <w:numFmt w:val="bullet"/>
      <w:lvlText w:val="•"/>
      <w:lvlJc w:val="left"/>
      <w:pPr>
        <w:ind w:left="8260" w:hanging="212"/>
      </w:pPr>
      <w:rPr>
        <w:rFonts w:hint="default"/>
      </w:rPr>
    </w:lvl>
  </w:abstractNum>
  <w:abstractNum w:abstractNumId="63">
    <w:multiLevelType w:val="hybridMultilevel"/>
    <w:lvl w:ilvl="0">
      <w:start w:val="1"/>
      <w:numFmt w:val="bullet"/>
      <w:lvlText w:val=""/>
      <w:lvlJc w:val="left"/>
      <w:pPr>
        <w:ind w:left="2359" w:hanging="720"/>
      </w:pPr>
      <w:rPr>
        <w:rFonts w:hint="default" w:ascii="Symbol" w:hAnsi="Symbol" w:eastAsia="Symbol" w:cs="Symbol"/>
        <w:w w:val="100"/>
        <w:sz w:val="18"/>
        <w:szCs w:val="18"/>
      </w:rPr>
    </w:lvl>
    <w:lvl w:ilvl="1">
      <w:start w:val="1"/>
      <w:numFmt w:val="bullet"/>
      <w:lvlText w:val="•"/>
      <w:lvlJc w:val="left"/>
      <w:pPr>
        <w:ind w:left="3138" w:hanging="720"/>
      </w:pPr>
      <w:rPr>
        <w:rFonts w:hint="default"/>
      </w:rPr>
    </w:lvl>
    <w:lvl w:ilvl="2">
      <w:start w:val="1"/>
      <w:numFmt w:val="bullet"/>
      <w:lvlText w:val="•"/>
      <w:lvlJc w:val="left"/>
      <w:pPr>
        <w:ind w:left="3917" w:hanging="720"/>
      </w:pPr>
      <w:rPr>
        <w:rFonts w:hint="default"/>
      </w:rPr>
    </w:lvl>
    <w:lvl w:ilvl="3">
      <w:start w:val="1"/>
      <w:numFmt w:val="bullet"/>
      <w:lvlText w:val="•"/>
      <w:lvlJc w:val="left"/>
      <w:pPr>
        <w:ind w:left="4695" w:hanging="720"/>
      </w:pPr>
      <w:rPr>
        <w:rFonts w:hint="default"/>
      </w:rPr>
    </w:lvl>
    <w:lvl w:ilvl="4">
      <w:start w:val="1"/>
      <w:numFmt w:val="bullet"/>
      <w:lvlText w:val="•"/>
      <w:lvlJc w:val="left"/>
      <w:pPr>
        <w:ind w:left="5474" w:hanging="720"/>
      </w:pPr>
      <w:rPr>
        <w:rFonts w:hint="default"/>
      </w:rPr>
    </w:lvl>
    <w:lvl w:ilvl="5">
      <w:start w:val="1"/>
      <w:numFmt w:val="bullet"/>
      <w:lvlText w:val="•"/>
      <w:lvlJc w:val="left"/>
      <w:pPr>
        <w:ind w:left="6252" w:hanging="720"/>
      </w:pPr>
      <w:rPr>
        <w:rFonts w:hint="default"/>
      </w:rPr>
    </w:lvl>
    <w:lvl w:ilvl="6">
      <w:start w:val="1"/>
      <w:numFmt w:val="bullet"/>
      <w:lvlText w:val="•"/>
      <w:lvlJc w:val="left"/>
      <w:pPr>
        <w:ind w:left="7031" w:hanging="720"/>
      </w:pPr>
      <w:rPr>
        <w:rFonts w:hint="default"/>
      </w:rPr>
    </w:lvl>
    <w:lvl w:ilvl="7">
      <w:start w:val="1"/>
      <w:numFmt w:val="bullet"/>
      <w:lvlText w:val="•"/>
      <w:lvlJc w:val="left"/>
      <w:pPr>
        <w:ind w:left="7809" w:hanging="720"/>
      </w:pPr>
      <w:rPr>
        <w:rFonts w:hint="default"/>
      </w:rPr>
    </w:lvl>
    <w:lvl w:ilvl="8">
      <w:start w:val="1"/>
      <w:numFmt w:val="bullet"/>
      <w:lvlText w:val="•"/>
      <w:lvlJc w:val="left"/>
      <w:pPr>
        <w:ind w:left="8588" w:hanging="720"/>
      </w:pPr>
      <w:rPr>
        <w:rFonts w:hint="default"/>
      </w:rPr>
    </w:lvl>
  </w:abstractNum>
  <w:abstractNum w:abstractNumId="62">
    <w:multiLevelType w:val="hybridMultilevel"/>
    <w:lvl w:ilvl="0">
      <w:start w:val="1"/>
      <w:numFmt w:val="decimal"/>
      <w:lvlText w:val="%1"/>
      <w:lvlJc w:val="left"/>
      <w:pPr>
        <w:ind w:left="504" w:hanging="394"/>
        <w:jc w:val="left"/>
      </w:pPr>
      <w:rPr>
        <w:rFonts w:hint="default" w:ascii="Arial" w:hAnsi="Arial" w:eastAsia="Arial" w:cs="Arial"/>
        <w:b/>
        <w:bCs/>
        <w:w w:val="99"/>
        <w:sz w:val="18"/>
        <w:szCs w:val="18"/>
      </w:rPr>
    </w:lvl>
    <w:lvl w:ilvl="1">
      <w:start w:val="1"/>
      <w:numFmt w:val="lowerLetter"/>
      <w:lvlText w:val="(%2)"/>
      <w:lvlJc w:val="left"/>
      <w:pPr>
        <w:ind w:left="1070" w:hanging="567"/>
        <w:jc w:val="left"/>
      </w:pPr>
      <w:rPr>
        <w:rFonts w:hint="default" w:ascii="Arial" w:hAnsi="Arial" w:eastAsia="Arial" w:cs="Arial"/>
        <w:b/>
        <w:bCs/>
        <w:w w:val="99"/>
        <w:sz w:val="18"/>
        <w:szCs w:val="18"/>
      </w:rPr>
    </w:lvl>
    <w:lvl w:ilvl="2">
      <w:start w:val="1"/>
      <w:numFmt w:val="lowerRoman"/>
      <w:lvlText w:val="%3."/>
      <w:lvlJc w:val="left"/>
      <w:pPr>
        <w:ind w:left="1214" w:hanging="142"/>
        <w:jc w:val="left"/>
      </w:pPr>
      <w:rPr>
        <w:rFonts w:hint="default" w:ascii="Arial" w:hAnsi="Arial" w:eastAsia="Arial" w:cs="Arial"/>
        <w:i/>
        <w:w w:val="99"/>
        <w:sz w:val="18"/>
        <w:szCs w:val="18"/>
      </w:rPr>
    </w:lvl>
    <w:lvl w:ilvl="3">
      <w:start w:val="1"/>
      <w:numFmt w:val="bullet"/>
      <w:lvlText w:val="•"/>
      <w:lvlJc w:val="left"/>
      <w:pPr>
        <w:ind w:left="2233" w:hanging="142"/>
      </w:pPr>
      <w:rPr>
        <w:rFonts w:hint="default"/>
      </w:rPr>
    </w:lvl>
    <w:lvl w:ilvl="4">
      <w:start w:val="1"/>
      <w:numFmt w:val="bullet"/>
      <w:lvlText w:val="•"/>
      <w:lvlJc w:val="left"/>
      <w:pPr>
        <w:ind w:left="3246" w:hanging="142"/>
      </w:pPr>
      <w:rPr>
        <w:rFonts w:hint="default"/>
      </w:rPr>
    </w:lvl>
    <w:lvl w:ilvl="5">
      <w:start w:val="1"/>
      <w:numFmt w:val="bullet"/>
      <w:lvlText w:val="•"/>
      <w:lvlJc w:val="left"/>
      <w:pPr>
        <w:ind w:left="4259" w:hanging="142"/>
      </w:pPr>
      <w:rPr>
        <w:rFonts w:hint="default"/>
      </w:rPr>
    </w:lvl>
    <w:lvl w:ilvl="6">
      <w:start w:val="1"/>
      <w:numFmt w:val="bullet"/>
      <w:lvlText w:val="•"/>
      <w:lvlJc w:val="left"/>
      <w:pPr>
        <w:ind w:left="5272" w:hanging="142"/>
      </w:pPr>
      <w:rPr>
        <w:rFonts w:hint="default"/>
      </w:rPr>
    </w:lvl>
    <w:lvl w:ilvl="7">
      <w:start w:val="1"/>
      <w:numFmt w:val="bullet"/>
      <w:lvlText w:val="•"/>
      <w:lvlJc w:val="left"/>
      <w:pPr>
        <w:ind w:left="6285" w:hanging="142"/>
      </w:pPr>
      <w:rPr>
        <w:rFonts w:hint="default"/>
      </w:rPr>
    </w:lvl>
    <w:lvl w:ilvl="8">
      <w:start w:val="1"/>
      <w:numFmt w:val="bullet"/>
      <w:lvlText w:val="•"/>
      <w:lvlJc w:val="left"/>
      <w:pPr>
        <w:ind w:left="7299" w:hanging="142"/>
      </w:pPr>
      <w:rPr>
        <w:rFonts w:hint="default"/>
      </w:rPr>
    </w:lvl>
  </w:abstractNum>
  <w:abstractNum w:abstractNumId="61">
    <w:multiLevelType w:val="hybridMultilevel"/>
    <w:lvl w:ilvl="0">
      <w:start w:val="6"/>
      <w:numFmt w:val="lowerLetter"/>
      <w:lvlText w:val="(%1)"/>
      <w:lvlJc w:val="left"/>
      <w:pPr>
        <w:ind w:left="1070" w:hanging="567"/>
        <w:jc w:val="left"/>
      </w:pPr>
      <w:rPr>
        <w:rFonts w:hint="default" w:ascii="Arial" w:hAnsi="Arial" w:eastAsia="Arial" w:cs="Arial"/>
        <w:b/>
        <w:bCs/>
        <w:w w:val="99"/>
        <w:sz w:val="18"/>
        <w:szCs w:val="18"/>
      </w:rPr>
    </w:lvl>
    <w:lvl w:ilvl="1">
      <w:start w:val="1"/>
      <w:numFmt w:val="bullet"/>
      <w:lvlText w:val="•"/>
      <w:lvlJc w:val="left"/>
      <w:pPr>
        <w:ind w:left="1986" w:hanging="567"/>
      </w:pPr>
      <w:rPr>
        <w:rFonts w:hint="default"/>
      </w:rPr>
    </w:lvl>
    <w:lvl w:ilvl="2">
      <w:start w:val="1"/>
      <w:numFmt w:val="bullet"/>
      <w:lvlText w:val="•"/>
      <w:lvlJc w:val="left"/>
      <w:pPr>
        <w:ind w:left="2893" w:hanging="567"/>
      </w:pPr>
      <w:rPr>
        <w:rFonts w:hint="default"/>
      </w:rPr>
    </w:lvl>
    <w:lvl w:ilvl="3">
      <w:start w:val="1"/>
      <w:numFmt w:val="bullet"/>
      <w:lvlText w:val="•"/>
      <w:lvlJc w:val="left"/>
      <w:pPr>
        <w:ind w:left="3799" w:hanging="567"/>
      </w:pPr>
      <w:rPr>
        <w:rFonts w:hint="default"/>
      </w:rPr>
    </w:lvl>
    <w:lvl w:ilvl="4">
      <w:start w:val="1"/>
      <w:numFmt w:val="bullet"/>
      <w:lvlText w:val="•"/>
      <w:lvlJc w:val="left"/>
      <w:pPr>
        <w:ind w:left="4706" w:hanging="567"/>
      </w:pPr>
      <w:rPr>
        <w:rFonts w:hint="default"/>
      </w:rPr>
    </w:lvl>
    <w:lvl w:ilvl="5">
      <w:start w:val="1"/>
      <w:numFmt w:val="bullet"/>
      <w:lvlText w:val="•"/>
      <w:lvlJc w:val="left"/>
      <w:pPr>
        <w:ind w:left="5612" w:hanging="567"/>
      </w:pPr>
      <w:rPr>
        <w:rFonts w:hint="default"/>
      </w:rPr>
    </w:lvl>
    <w:lvl w:ilvl="6">
      <w:start w:val="1"/>
      <w:numFmt w:val="bullet"/>
      <w:lvlText w:val="•"/>
      <w:lvlJc w:val="left"/>
      <w:pPr>
        <w:ind w:left="6519" w:hanging="567"/>
      </w:pPr>
      <w:rPr>
        <w:rFonts w:hint="default"/>
      </w:rPr>
    </w:lvl>
    <w:lvl w:ilvl="7">
      <w:start w:val="1"/>
      <w:numFmt w:val="bullet"/>
      <w:lvlText w:val="•"/>
      <w:lvlJc w:val="left"/>
      <w:pPr>
        <w:ind w:left="7425" w:hanging="567"/>
      </w:pPr>
      <w:rPr>
        <w:rFonts w:hint="default"/>
      </w:rPr>
    </w:lvl>
    <w:lvl w:ilvl="8">
      <w:start w:val="1"/>
      <w:numFmt w:val="bullet"/>
      <w:lvlText w:val="•"/>
      <w:lvlJc w:val="left"/>
      <w:pPr>
        <w:ind w:left="8332" w:hanging="567"/>
      </w:pPr>
      <w:rPr>
        <w:rFonts w:hint="default"/>
      </w:rPr>
    </w:lvl>
  </w:abstractNum>
  <w:abstractNum w:abstractNumId="60">
    <w:multiLevelType w:val="hybridMultilevel"/>
    <w:lvl w:ilvl="0">
      <w:start w:val="3"/>
      <w:numFmt w:val="lowerRoman"/>
      <w:lvlText w:val="(%1)"/>
      <w:lvlJc w:val="left"/>
      <w:pPr>
        <w:ind w:left="1636" w:hanging="567"/>
        <w:jc w:val="left"/>
      </w:pPr>
      <w:rPr>
        <w:rFonts w:hint="default" w:ascii="Arial" w:hAnsi="Arial" w:eastAsia="Arial" w:cs="Arial"/>
        <w:b/>
        <w:bCs/>
        <w:w w:val="100"/>
        <w:sz w:val="18"/>
        <w:szCs w:val="18"/>
      </w:rPr>
    </w:lvl>
    <w:lvl w:ilvl="1">
      <w:start w:val="1"/>
      <w:numFmt w:val="bullet"/>
      <w:lvlText w:val="•"/>
      <w:lvlJc w:val="left"/>
      <w:pPr>
        <w:ind w:left="2490" w:hanging="567"/>
      </w:pPr>
      <w:rPr>
        <w:rFonts w:hint="default"/>
      </w:rPr>
    </w:lvl>
    <w:lvl w:ilvl="2">
      <w:start w:val="1"/>
      <w:numFmt w:val="bullet"/>
      <w:lvlText w:val="•"/>
      <w:lvlJc w:val="left"/>
      <w:pPr>
        <w:ind w:left="3341" w:hanging="567"/>
      </w:pPr>
      <w:rPr>
        <w:rFonts w:hint="default"/>
      </w:rPr>
    </w:lvl>
    <w:lvl w:ilvl="3">
      <w:start w:val="1"/>
      <w:numFmt w:val="bullet"/>
      <w:lvlText w:val="•"/>
      <w:lvlJc w:val="left"/>
      <w:pPr>
        <w:ind w:left="4191" w:hanging="567"/>
      </w:pPr>
      <w:rPr>
        <w:rFonts w:hint="default"/>
      </w:rPr>
    </w:lvl>
    <w:lvl w:ilvl="4">
      <w:start w:val="1"/>
      <w:numFmt w:val="bullet"/>
      <w:lvlText w:val="•"/>
      <w:lvlJc w:val="left"/>
      <w:pPr>
        <w:ind w:left="5042" w:hanging="567"/>
      </w:pPr>
      <w:rPr>
        <w:rFonts w:hint="default"/>
      </w:rPr>
    </w:lvl>
    <w:lvl w:ilvl="5">
      <w:start w:val="1"/>
      <w:numFmt w:val="bullet"/>
      <w:lvlText w:val="•"/>
      <w:lvlJc w:val="left"/>
      <w:pPr>
        <w:ind w:left="5892" w:hanging="567"/>
      </w:pPr>
      <w:rPr>
        <w:rFonts w:hint="default"/>
      </w:rPr>
    </w:lvl>
    <w:lvl w:ilvl="6">
      <w:start w:val="1"/>
      <w:numFmt w:val="bullet"/>
      <w:lvlText w:val="•"/>
      <w:lvlJc w:val="left"/>
      <w:pPr>
        <w:ind w:left="6743" w:hanging="567"/>
      </w:pPr>
      <w:rPr>
        <w:rFonts w:hint="default"/>
      </w:rPr>
    </w:lvl>
    <w:lvl w:ilvl="7">
      <w:start w:val="1"/>
      <w:numFmt w:val="bullet"/>
      <w:lvlText w:val="•"/>
      <w:lvlJc w:val="left"/>
      <w:pPr>
        <w:ind w:left="7593" w:hanging="567"/>
      </w:pPr>
      <w:rPr>
        <w:rFonts w:hint="default"/>
      </w:rPr>
    </w:lvl>
    <w:lvl w:ilvl="8">
      <w:start w:val="1"/>
      <w:numFmt w:val="bullet"/>
      <w:lvlText w:val="•"/>
      <w:lvlJc w:val="left"/>
      <w:pPr>
        <w:ind w:left="8444" w:hanging="567"/>
      </w:pPr>
      <w:rPr>
        <w:rFonts w:hint="default"/>
      </w:rPr>
    </w:lvl>
  </w:abstractNum>
  <w:abstractNum w:abstractNumId="59">
    <w:multiLevelType w:val="hybridMultilevel"/>
    <w:lvl w:ilvl="0">
      <w:start w:val="5"/>
      <w:numFmt w:val="lowerLetter"/>
      <w:lvlText w:val="(%1)"/>
      <w:lvlJc w:val="left"/>
      <w:pPr>
        <w:ind w:left="1070" w:hanging="567"/>
        <w:jc w:val="left"/>
      </w:pPr>
      <w:rPr>
        <w:rFonts w:hint="default" w:ascii="Arial" w:hAnsi="Arial" w:eastAsia="Arial" w:cs="Arial"/>
        <w:b/>
        <w:bCs/>
        <w:w w:val="99"/>
        <w:sz w:val="18"/>
        <w:szCs w:val="18"/>
      </w:rPr>
    </w:lvl>
    <w:lvl w:ilvl="1">
      <w:start w:val="1"/>
      <w:numFmt w:val="lowerRoman"/>
      <w:lvlText w:val="(%2)"/>
      <w:lvlJc w:val="left"/>
      <w:pPr>
        <w:ind w:left="1636" w:hanging="567"/>
        <w:jc w:val="left"/>
      </w:pPr>
      <w:rPr>
        <w:rFonts w:hint="default" w:ascii="Arial" w:hAnsi="Arial" w:eastAsia="Arial" w:cs="Arial"/>
        <w:b/>
        <w:bCs/>
        <w:w w:val="100"/>
        <w:sz w:val="18"/>
        <w:szCs w:val="18"/>
      </w:rPr>
    </w:lvl>
    <w:lvl w:ilvl="2">
      <w:start w:val="1"/>
      <w:numFmt w:val="bullet"/>
      <w:lvlText w:val="•"/>
      <w:lvlJc w:val="left"/>
      <w:pPr>
        <w:ind w:left="2585" w:hanging="567"/>
      </w:pPr>
      <w:rPr>
        <w:rFonts w:hint="default"/>
      </w:rPr>
    </w:lvl>
    <w:lvl w:ilvl="3">
      <w:start w:val="1"/>
      <w:numFmt w:val="bullet"/>
      <w:lvlText w:val="•"/>
      <w:lvlJc w:val="left"/>
      <w:pPr>
        <w:ind w:left="3530" w:hanging="567"/>
      </w:pPr>
      <w:rPr>
        <w:rFonts w:hint="default"/>
      </w:rPr>
    </w:lvl>
    <w:lvl w:ilvl="4">
      <w:start w:val="1"/>
      <w:numFmt w:val="bullet"/>
      <w:lvlText w:val="•"/>
      <w:lvlJc w:val="left"/>
      <w:pPr>
        <w:ind w:left="4475" w:hanging="567"/>
      </w:pPr>
      <w:rPr>
        <w:rFonts w:hint="default"/>
      </w:rPr>
    </w:lvl>
    <w:lvl w:ilvl="5">
      <w:start w:val="1"/>
      <w:numFmt w:val="bullet"/>
      <w:lvlText w:val="•"/>
      <w:lvlJc w:val="left"/>
      <w:pPr>
        <w:ind w:left="5420" w:hanging="567"/>
      </w:pPr>
      <w:rPr>
        <w:rFonts w:hint="default"/>
      </w:rPr>
    </w:lvl>
    <w:lvl w:ilvl="6">
      <w:start w:val="1"/>
      <w:numFmt w:val="bullet"/>
      <w:lvlText w:val="•"/>
      <w:lvlJc w:val="left"/>
      <w:pPr>
        <w:ind w:left="6365" w:hanging="567"/>
      </w:pPr>
      <w:rPr>
        <w:rFonts w:hint="default"/>
      </w:rPr>
    </w:lvl>
    <w:lvl w:ilvl="7">
      <w:start w:val="1"/>
      <w:numFmt w:val="bullet"/>
      <w:lvlText w:val="•"/>
      <w:lvlJc w:val="left"/>
      <w:pPr>
        <w:ind w:left="7310" w:hanging="567"/>
      </w:pPr>
      <w:rPr>
        <w:rFonts w:hint="default"/>
      </w:rPr>
    </w:lvl>
    <w:lvl w:ilvl="8">
      <w:start w:val="1"/>
      <w:numFmt w:val="bullet"/>
      <w:lvlText w:val="•"/>
      <w:lvlJc w:val="left"/>
      <w:pPr>
        <w:ind w:left="8255" w:hanging="567"/>
      </w:pPr>
      <w:rPr>
        <w:rFonts w:hint="default"/>
      </w:rPr>
    </w:lvl>
  </w:abstractNum>
  <w:abstractNum w:abstractNumId="57">
    <w:multiLevelType w:val="hybridMultilevel"/>
    <w:lvl w:ilvl="0">
      <w:start w:val="1"/>
      <w:numFmt w:val="bullet"/>
      <w:lvlText w:val="•"/>
      <w:lvlJc w:val="left"/>
      <w:pPr>
        <w:ind w:left="756" w:hanging="575"/>
      </w:pPr>
      <w:rPr>
        <w:rFonts w:hint="default" w:ascii="Arial" w:hAnsi="Arial" w:eastAsia="Arial" w:cs="Arial"/>
        <w:color w:val="111113"/>
        <w:w w:val="123"/>
        <w:sz w:val="20"/>
        <w:szCs w:val="20"/>
      </w:rPr>
    </w:lvl>
    <w:lvl w:ilvl="1">
      <w:start w:val="1"/>
      <w:numFmt w:val="bullet"/>
      <w:lvlText w:val="•"/>
      <w:lvlJc w:val="left"/>
      <w:pPr>
        <w:ind w:left="1620" w:hanging="575"/>
      </w:pPr>
      <w:rPr>
        <w:rFonts w:hint="default"/>
      </w:rPr>
    </w:lvl>
    <w:lvl w:ilvl="2">
      <w:start w:val="1"/>
      <w:numFmt w:val="bullet"/>
      <w:lvlText w:val="•"/>
      <w:lvlJc w:val="left"/>
      <w:pPr>
        <w:ind w:left="2480" w:hanging="575"/>
      </w:pPr>
      <w:rPr>
        <w:rFonts w:hint="default"/>
      </w:rPr>
    </w:lvl>
    <w:lvl w:ilvl="3">
      <w:start w:val="1"/>
      <w:numFmt w:val="bullet"/>
      <w:lvlText w:val="•"/>
      <w:lvlJc w:val="left"/>
      <w:pPr>
        <w:ind w:left="3341" w:hanging="575"/>
      </w:pPr>
      <w:rPr>
        <w:rFonts w:hint="default"/>
      </w:rPr>
    </w:lvl>
    <w:lvl w:ilvl="4">
      <w:start w:val="1"/>
      <w:numFmt w:val="bullet"/>
      <w:lvlText w:val="•"/>
      <w:lvlJc w:val="left"/>
      <w:pPr>
        <w:ind w:left="4201" w:hanging="575"/>
      </w:pPr>
      <w:rPr>
        <w:rFonts w:hint="default"/>
      </w:rPr>
    </w:lvl>
    <w:lvl w:ilvl="5">
      <w:start w:val="1"/>
      <w:numFmt w:val="bullet"/>
      <w:lvlText w:val="•"/>
      <w:lvlJc w:val="left"/>
      <w:pPr>
        <w:ind w:left="5062" w:hanging="575"/>
      </w:pPr>
      <w:rPr>
        <w:rFonts w:hint="default"/>
      </w:rPr>
    </w:lvl>
    <w:lvl w:ilvl="6">
      <w:start w:val="1"/>
      <w:numFmt w:val="bullet"/>
      <w:lvlText w:val="•"/>
      <w:lvlJc w:val="left"/>
      <w:pPr>
        <w:ind w:left="5922" w:hanging="575"/>
      </w:pPr>
      <w:rPr>
        <w:rFonts w:hint="default"/>
      </w:rPr>
    </w:lvl>
    <w:lvl w:ilvl="7">
      <w:start w:val="1"/>
      <w:numFmt w:val="bullet"/>
      <w:lvlText w:val="•"/>
      <w:lvlJc w:val="left"/>
      <w:pPr>
        <w:ind w:left="6782" w:hanging="575"/>
      </w:pPr>
      <w:rPr>
        <w:rFonts w:hint="default"/>
      </w:rPr>
    </w:lvl>
    <w:lvl w:ilvl="8">
      <w:start w:val="1"/>
      <w:numFmt w:val="bullet"/>
      <w:lvlText w:val="•"/>
      <w:lvlJc w:val="left"/>
      <w:pPr>
        <w:ind w:left="7643" w:hanging="575"/>
      </w:pPr>
      <w:rPr>
        <w:rFonts w:hint="default"/>
      </w:rPr>
    </w:lvl>
  </w:abstractNum>
  <w:abstractNum w:abstractNumId="55">
    <w:multiLevelType w:val="hybridMultilevel"/>
    <w:lvl w:ilvl="0">
      <w:start w:val="1"/>
      <w:numFmt w:val="decimal"/>
      <w:lvlText w:val="%1."/>
      <w:lvlJc w:val="left"/>
      <w:pPr>
        <w:ind w:left="504" w:hanging="397"/>
        <w:jc w:val="left"/>
      </w:pPr>
      <w:rPr>
        <w:rFonts w:hint="default" w:ascii="Arial" w:hAnsi="Arial" w:eastAsia="Arial" w:cs="Arial"/>
        <w:w w:val="99"/>
        <w:sz w:val="18"/>
        <w:szCs w:val="18"/>
      </w:rPr>
    </w:lvl>
    <w:lvl w:ilvl="1">
      <w:start w:val="1"/>
      <w:numFmt w:val="lowerLetter"/>
      <w:lvlText w:val="%2."/>
      <w:lvlJc w:val="left"/>
      <w:pPr>
        <w:ind w:left="900" w:hanging="396"/>
        <w:jc w:val="left"/>
      </w:pPr>
      <w:rPr>
        <w:rFonts w:hint="default" w:ascii="Arial" w:hAnsi="Arial" w:eastAsia="Arial" w:cs="Arial"/>
        <w:spacing w:val="-3"/>
        <w:w w:val="99"/>
        <w:sz w:val="18"/>
        <w:szCs w:val="18"/>
      </w:rPr>
    </w:lvl>
    <w:lvl w:ilvl="2">
      <w:start w:val="1"/>
      <w:numFmt w:val="bullet"/>
      <w:lvlText w:val="•"/>
      <w:lvlJc w:val="left"/>
      <w:pPr>
        <w:ind w:left="1928" w:hanging="396"/>
      </w:pPr>
      <w:rPr>
        <w:rFonts w:hint="default"/>
      </w:rPr>
    </w:lvl>
    <w:lvl w:ilvl="3">
      <w:start w:val="1"/>
      <w:numFmt w:val="bullet"/>
      <w:lvlText w:val="•"/>
      <w:lvlJc w:val="left"/>
      <w:pPr>
        <w:ind w:left="2956" w:hanging="396"/>
      </w:pPr>
      <w:rPr>
        <w:rFonts w:hint="default"/>
      </w:rPr>
    </w:lvl>
    <w:lvl w:ilvl="4">
      <w:start w:val="1"/>
      <w:numFmt w:val="bullet"/>
      <w:lvlText w:val="•"/>
      <w:lvlJc w:val="left"/>
      <w:pPr>
        <w:ind w:left="3984" w:hanging="396"/>
      </w:pPr>
      <w:rPr>
        <w:rFonts w:hint="default"/>
      </w:rPr>
    </w:lvl>
    <w:lvl w:ilvl="5">
      <w:start w:val="1"/>
      <w:numFmt w:val="bullet"/>
      <w:lvlText w:val="•"/>
      <w:lvlJc w:val="left"/>
      <w:pPr>
        <w:ind w:left="5012" w:hanging="396"/>
      </w:pPr>
      <w:rPr>
        <w:rFonts w:hint="default"/>
      </w:rPr>
    </w:lvl>
    <w:lvl w:ilvl="6">
      <w:start w:val="1"/>
      <w:numFmt w:val="bullet"/>
      <w:lvlText w:val="•"/>
      <w:lvlJc w:val="left"/>
      <w:pPr>
        <w:ind w:left="6040" w:hanging="396"/>
      </w:pPr>
      <w:rPr>
        <w:rFonts w:hint="default"/>
      </w:rPr>
    </w:lvl>
    <w:lvl w:ilvl="7">
      <w:start w:val="1"/>
      <w:numFmt w:val="bullet"/>
      <w:lvlText w:val="•"/>
      <w:lvlJc w:val="left"/>
      <w:pPr>
        <w:ind w:left="7068" w:hanging="396"/>
      </w:pPr>
      <w:rPr>
        <w:rFonts w:hint="default"/>
      </w:rPr>
    </w:lvl>
    <w:lvl w:ilvl="8">
      <w:start w:val="1"/>
      <w:numFmt w:val="bullet"/>
      <w:lvlText w:val="•"/>
      <w:lvlJc w:val="left"/>
      <w:pPr>
        <w:ind w:left="8096" w:hanging="396"/>
      </w:pPr>
      <w:rPr>
        <w:rFonts w:hint="default"/>
      </w:rPr>
    </w:lvl>
  </w:abstractNum>
  <w:abstractNum w:abstractNumId="54">
    <w:multiLevelType w:val="hybridMultilevel"/>
    <w:lvl w:ilvl="0">
      <w:start w:val="10"/>
      <w:numFmt w:val="decimal"/>
      <w:lvlText w:val="%1"/>
      <w:lvlJc w:val="left"/>
      <w:pPr>
        <w:ind w:left="504" w:hanging="394"/>
        <w:jc w:val="left"/>
      </w:pPr>
      <w:rPr>
        <w:rFonts w:hint="default" w:ascii="Arial" w:hAnsi="Arial" w:eastAsia="Arial" w:cs="Arial"/>
        <w:b/>
        <w:bCs/>
        <w:w w:val="99"/>
        <w:sz w:val="18"/>
        <w:szCs w:val="18"/>
      </w:rPr>
    </w:lvl>
    <w:lvl w:ilvl="1">
      <w:start w:val="1"/>
      <w:numFmt w:val="bullet"/>
      <w:lvlText w:val="•"/>
      <w:lvlJc w:val="left"/>
      <w:pPr>
        <w:ind w:left="1464" w:hanging="394"/>
      </w:pPr>
      <w:rPr>
        <w:rFonts w:hint="default"/>
      </w:rPr>
    </w:lvl>
    <w:lvl w:ilvl="2">
      <w:start w:val="1"/>
      <w:numFmt w:val="bullet"/>
      <w:lvlText w:val="•"/>
      <w:lvlJc w:val="left"/>
      <w:pPr>
        <w:ind w:left="2429" w:hanging="394"/>
      </w:pPr>
      <w:rPr>
        <w:rFonts w:hint="default"/>
      </w:rPr>
    </w:lvl>
    <w:lvl w:ilvl="3">
      <w:start w:val="1"/>
      <w:numFmt w:val="bullet"/>
      <w:lvlText w:val="•"/>
      <w:lvlJc w:val="left"/>
      <w:pPr>
        <w:ind w:left="3393" w:hanging="394"/>
      </w:pPr>
      <w:rPr>
        <w:rFonts w:hint="default"/>
      </w:rPr>
    </w:lvl>
    <w:lvl w:ilvl="4">
      <w:start w:val="1"/>
      <w:numFmt w:val="bullet"/>
      <w:lvlText w:val="•"/>
      <w:lvlJc w:val="left"/>
      <w:pPr>
        <w:ind w:left="4358" w:hanging="394"/>
      </w:pPr>
      <w:rPr>
        <w:rFonts w:hint="default"/>
      </w:rPr>
    </w:lvl>
    <w:lvl w:ilvl="5">
      <w:start w:val="1"/>
      <w:numFmt w:val="bullet"/>
      <w:lvlText w:val="•"/>
      <w:lvlJc w:val="left"/>
      <w:pPr>
        <w:ind w:left="5322" w:hanging="394"/>
      </w:pPr>
      <w:rPr>
        <w:rFonts w:hint="default"/>
      </w:rPr>
    </w:lvl>
    <w:lvl w:ilvl="6">
      <w:start w:val="1"/>
      <w:numFmt w:val="bullet"/>
      <w:lvlText w:val="•"/>
      <w:lvlJc w:val="left"/>
      <w:pPr>
        <w:ind w:left="6287" w:hanging="394"/>
      </w:pPr>
      <w:rPr>
        <w:rFonts w:hint="default"/>
      </w:rPr>
    </w:lvl>
    <w:lvl w:ilvl="7">
      <w:start w:val="1"/>
      <w:numFmt w:val="bullet"/>
      <w:lvlText w:val="•"/>
      <w:lvlJc w:val="left"/>
      <w:pPr>
        <w:ind w:left="7251" w:hanging="394"/>
      </w:pPr>
      <w:rPr>
        <w:rFonts w:hint="default"/>
      </w:rPr>
    </w:lvl>
    <w:lvl w:ilvl="8">
      <w:start w:val="1"/>
      <w:numFmt w:val="bullet"/>
      <w:lvlText w:val="•"/>
      <w:lvlJc w:val="left"/>
      <w:pPr>
        <w:ind w:left="8216" w:hanging="394"/>
      </w:pPr>
      <w:rPr>
        <w:rFonts w:hint="default"/>
      </w:rPr>
    </w:lvl>
  </w:abstractNum>
  <w:abstractNum w:abstractNumId="53">
    <w:multiLevelType w:val="hybridMultilevel"/>
    <w:lvl w:ilvl="0">
      <w:start w:val="2"/>
      <w:numFmt w:val="decimal"/>
      <w:lvlText w:val="%1"/>
      <w:lvlJc w:val="left"/>
      <w:pPr>
        <w:ind w:left="504" w:hanging="394"/>
        <w:jc w:val="left"/>
      </w:pPr>
      <w:rPr>
        <w:rFonts w:hint="default" w:ascii="Arial" w:hAnsi="Arial" w:eastAsia="Arial" w:cs="Arial"/>
        <w:b/>
        <w:bCs/>
        <w:w w:val="99"/>
        <w:sz w:val="18"/>
        <w:szCs w:val="18"/>
      </w:rPr>
    </w:lvl>
    <w:lvl w:ilvl="1">
      <w:start w:val="1"/>
      <w:numFmt w:val="lowerLetter"/>
      <w:lvlText w:val="(%2)"/>
      <w:lvlJc w:val="left"/>
      <w:pPr>
        <w:ind w:left="1070" w:hanging="567"/>
        <w:jc w:val="left"/>
      </w:pPr>
      <w:rPr>
        <w:rFonts w:hint="default" w:ascii="Arial" w:hAnsi="Arial" w:eastAsia="Arial" w:cs="Arial"/>
        <w:b/>
        <w:bCs/>
        <w:w w:val="99"/>
        <w:sz w:val="18"/>
        <w:szCs w:val="18"/>
      </w:rPr>
    </w:lvl>
    <w:lvl w:ilvl="2">
      <w:start w:val="1"/>
      <w:numFmt w:val="lowerRoman"/>
      <w:lvlText w:val="%3."/>
      <w:lvlJc w:val="left"/>
      <w:pPr>
        <w:ind w:left="1214" w:hanging="142"/>
        <w:jc w:val="left"/>
      </w:pPr>
      <w:rPr>
        <w:rFonts w:hint="default" w:ascii="Arial" w:hAnsi="Arial" w:eastAsia="Arial" w:cs="Arial"/>
        <w:i/>
        <w:w w:val="99"/>
        <w:sz w:val="18"/>
        <w:szCs w:val="18"/>
      </w:rPr>
    </w:lvl>
    <w:lvl w:ilvl="3">
      <w:start w:val="1"/>
      <w:numFmt w:val="bullet"/>
      <w:lvlText w:val="•"/>
      <w:lvlJc w:val="left"/>
      <w:pPr>
        <w:ind w:left="2335" w:hanging="142"/>
      </w:pPr>
      <w:rPr>
        <w:rFonts w:hint="default"/>
      </w:rPr>
    </w:lvl>
    <w:lvl w:ilvl="4">
      <w:start w:val="1"/>
      <w:numFmt w:val="bullet"/>
      <w:lvlText w:val="•"/>
      <w:lvlJc w:val="left"/>
      <w:pPr>
        <w:ind w:left="3451" w:hanging="142"/>
      </w:pPr>
      <w:rPr>
        <w:rFonts w:hint="default"/>
      </w:rPr>
    </w:lvl>
    <w:lvl w:ilvl="5">
      <w:start w:val="1"/>
      <w:numFmt w:val="bullet"/>
      <w:lvlText w:val="•"/>
      <w:lvlJc w:val="left"/>
      <w:pPr>
        <w:ind w:left="4567" w:hanging="142"/>
      </w:pPr>
      <w:rPr>
        <w:rFonts w:hint="default"/>
      </w:rPr>
    </w:lvl>
    <w:lvl w:ilvl="6">
      <w:start w:val="1"/>
      <w:numFmt w:val="bullet"/>
      <w:lvlText w:val="•"/>
      <w:lvlJc w:val="left"/>
      <w:pPr>
        <w:ind w:left="5682" w:hanging="142"/>
      </w:pPr>
      <w:rPr>
        <w:rFonts w:hint="default"/>
      </w:rPr>
    </w:lvl>
    <w:lvl w:ilvl="7">
      <w:start w:val="1"/>
      <w:numFmt w:val="bullet"/>
      <w:lvlText w:val="•"/>
      <w:lvlJc w:val="left"/>
      <w:pPr>
        <w:ind w:left="6798" w:hanging="142"/>
      </w:pPr>
      <w:rPr>
        <w:rFonts w:hint="default"/>
      </w:rPr>
    </w:lvl>
    <w:lvl w:ilvl="8">
      <w:start w:val="1"/>
      <w:numFmt w:val="bullet"/>
      <w:lvlText w:val="•"/>
      <w:lvlJc w:val="left"/>
      <w:pPr>
        <w:ind w:left="7914" w:hanging="142"/>
      </w:pPr>
      <w:rPr>
        <w:rFonts w:hint="default"/>
      </w:rPr>
    </w:lvl>
  </w:abstractNum>
  <w:abstractNum w:abstractNumId="51">
    <w:multiLevelType w:val="hybridMultilevel"/>
    <w:lvl w:ilvl="0">
      <w:start w:val="1"/>
      <w:numFmt w:val="bullet"/>
      <w:lvlText w:val="•"/>
      <w:lvlJc w:val="left"/>
      <w:pPr>
        <w:ind w:left="680" w:hanging="578"/>
      </w:pPr>
      <w:rPr>
        <w:rFonts w:hint="default" w:ascii="Arial" w:hAnsi="Arial" w:eastAsia="Arial" w:cs="Arial"/>
        <w:color w:val="111113"/>
        <w:w w:val="113"/>
        <w:sz w:val="20"/>
        <w:szCs w:val="20"/>
      </w:rPr>
    </w:lvl>
    <w:lvl w:ilvl="1">
      <w:start w:val="1"/>
      <w:numFmt w:val="bullet"/>
      <w:lvlText w:val="·"/>
      <w:lvlJc w:val="left"/>
      <w:pPr>
        <w:ind w:left="684" w:hanging="91"/>
      </w:pPr>
      <w:rPr>
        <w:rFonts w:hint="default" w:ascii="Arial" w:hAnsi="Arial" w:eastAsia="Arial" w:cs="Arial"/>
        <w:color w:val="494949"/>
        <w:w w:val="93"/>
        <w:sz w:val="20"/>
        <w:szCs w:val="20"/>
      </w:rPr>
    </w:lvl>
    <w:lvl w:ilvl="2">
      <w:start w:val="1"/>
      <w:numFmt w:val="bullet"/>
      <w:lvlText w:val="•"/>
      <w:lvlJc w:val="left"/>
      <w:pPr>
        <w:ind w:left="2392" w:hanging="91"/>
      </w:pPr>
      <w:rPr>
        <w:rFonts w:hint="default"/>
      </w:rPr>
    </w:lvl>
    <w:lvl w:ilvl="3">
      <w:start w:val="1"/>
      <w:numFmt w:val="bullet"/>
      <w:lvlText w:val="•"/>
      <w:lvlJc w:val="left"/>
      <w:pPr>
        <w:ind w:left="3249" w:hanging="91"/>
      </w:pPr>
      <w:rPr>
        <w:rFonts w:hint="default"/>
      </w:rPr>
    </w:lvl>
    <w:lvl w:ilvl="4">
      <w:start w:val="1"/>
      <w:numFmt w:val="bullet"/>
      <w:lvlText w:val="•"/>
      <w:lvlJc w:val="left"/>
      <w:pPr>
        <w:ind w:left="4105" w:hanging="91"/>
      </w:pPr>
      <w:rPr>
        <w:rFonts w:hint="default"/>
      </w:rPr>
    </w:lvl>
    <w:lvl w:ilvl="5">
      <w:start w:val="1"/>
      <w:numFmt w:val="bullet"/>
      <w:lvlText w:val="•"/>
      <w:lvlJc w:val="left"/>
      <w:pPr>
        <w:ind w:left="4962" w:hanging="91"/>
      </w:pPr>
      <w:rPr>
        <w:rFonts w:hint="default"/>
      </w:rPr>
    </w:lvl>
    <w:lvl w:ilvl="6">
      <w:start w:val="1"/>
      <w:numFmt w:val="bullet"/>
      <w:lvlText w:val="•"/>
      <w:lvlJc w:val="left"/>
      <w:pPr>
        <w:ind w:left="5818" w:hanging="91"/>
      </w:pPr>
      <w:rPr>
        <w:rFonts w:hint="default"/>
      </w:rPr>
    </w:lvl>
    <w:lvl w:ilvl="7">
      <w:start w:val="1"/>
      <w:numFmt w:val="bullet"/>
      <w:lvlText w:val="•"/>
      <w:lvlJc w:val="left"/>
      <w:pPr>
        <w:ind w:left="6674" w:hanging="91"/>
      </w:pPr>
      <w:rPr>
        <w:rFonts w:hint="default"/>
      </w:rPr>
    </w:lvl>
    <w:lvl w:ilvl="8">
      <w:start w:val="1"/>
      <w:numFmt w:val="bullet"/>
      <w:lvlText w:val="•"/>
      <w:lvlJc w:val="left"/>
      <w:pPr>
        <w:ind w:left="7531" w:hanging="91"/>
      </w:pPr>
      <w:rPr>
        <w:rFonts w:hint="default"/>
      </w:rPr>
    </w:lvl>
  </w:abstractNum>
  <w:abstractNum w:abstractNumId="50">
    <w:multiLevelType w:val="hybridMultilevel"/>
    <w:lvl w:ilvl="0">
      <w:start w:val="1"/>
      <w:numFmt w:val="bullet"/>
      <w:lvlText w:val="•"/>
      <w:lvlJc w:val="left"/>
      <w:pPr>
        <w:ind w:left="690" w:hanging="569"/>
      </w:pPr>
      <w:rPr>
        <w:rFonts w:hint="default" w:ascii="Times New Roman" w:hAnsi="Times New Roman" w:eastAsia="Times New Roman" w:cs="Times New Roman"/>
        <w:color w:val="111113"/>
        <w:w w:val="103"/>
        <w:position w:val="-2"/>
        <w:sz w:val="22"/>
        <w:szCs w:val="22"/>
      </w:rPr>
    </w:lvl>
    <w:lvl w:ilvl="1">
      <w:start w:val="1"/>
      <w:numFmt w:val="bullet"/>
      <w:lvlText w:val="•"/>
      <w:lvlJc w:val="left"/>
      <w:pPr>
        <w:ind w:left="1556" w:hanging="569"/>
      </w:pPr>
      <w:rPr>
        <w:rFonts w:hint="default"/>
      </w:rPr>
    </w:lvl>
    <w:lvl w:ilvl="2">
      <w:start w:val="1"/>
      <w:numFmt w:val="bullet"/>
      <w:lvlText w:val="•"/>
      <w:lvlJc w:val="left"/>
      <w:pPr>
        <w:ind w:left="2412" w:hanging="569"/>
      </w:pPr>
      <w:rPr>
        <w:rFonts w:hint="default"/>
      </w:rPr>
    </w:lvl>
    <w:lvl w:ilvl="3">
      <w:start w:val="1"/>
      <w:numFmt w:val="bullet"/>
      <w:lvlText w:val="•"/>
      <w:lvlJc w:val="left"/>
      <w:pPr>
        <w:ind w:left="3269" w:hanging="569"/>
      </w:pPr>
      <w:rPr>
        <w:rFonts w:hint="default"/>
      </w:rPr>
    </w:lvl>
    <w:lvl w:ilvl="4">
      <w:start w:val="1"/>
      <w:numFmt w:val="bullet"/>
      <w:lvlText w:val="•"/>
      <w:lvlJc w:val="left"/>
      <w:pPr>
        <w:ind w:left="4125" w:hanging="569"/>
      </w:pPr>
      <w:rPr>
        <w:rFonts w:hint="default"/>
      </w:rPr>
    </w:lvl>
    <w:lvl w:ilvl="5">
      <w:start w:val="1"/>
      <w:numFmt w:val="bullet"/>
      <w:lvlText w:val="•"/>
      <w:lvlJc w:val="left"/>
      <w:pPr>
        <w:ind w:left="4982" w:hanging="569"/>
      </w:pPr>
      <w:rPr>
        <w:rFonts w:hint="default"/>
      </w:rPr>
    </w:lvl>
    <w:lvl w:ilvl="6">
      <w:start w:val="1"/>
      <w:numFmt w:val="bullet"/>
      <w:lvlText w:val="•"/>
      <w:lvlJc w:val="left"/>
      <w:pPr>
        <w:ind w:left="5838" w:hanging="569"/>
      </w:pPr>
      <w:rPr>
        <w:rFonts w:hint="default"/>
      </w:rPr>
    </w:lvl>
    <w:lvl w:ilvl="7">
      <w:start w:val="1"/>
      <w:numFmt w:val="bullet"/>
      <w:lvlText w:val="•"/>
      <w:lvlJc w:val="left"/>
      <w:pPr>
        <w:ind w:left="6694" w:hanging="569"/>
      </w:pPr>
      <w:rPr>
        <w:rFonts w:hint="default"/>
      </w:rPr>
    </w:lvl>
    <w:lvl w:ilvl="8">
      <w:start w:val="1"/>
      <w:numFmt w:val="bullet"/>
      <w:lvlText w:val="•"/>
      <w:lvlJc w:val="left"/>
      <w:pPr>
        <w:ind w:left="7551" w:hanging="569"/>
      </w:pPr>
      <w:rPr>
        <w:rFonts w:hint="default"/>
      </w:rPr>
    </w:lvl>
  </w:abstractNum>
  <w:abstractNum w:abstractNumId="49">
    <w:multiLevelType w:val="hybridMultilevel"/>
    <w:lvl w:ilvl="0">
      <w:start w:val="1"/>
      <w:numFmt w:val="bullet"/>
      <w:lvlText w:val="•"/>
      <w:lvlJc w:val="left"/>
      <w:pPr>
        <w:ind w:left="690" w:hanging="569"/>
      </w:pPr>
      <w:rPr>
        <w:rFonts w:hint="default" w:ascii="Arial" w:hAnsi="Arial" w:eastAsia="Arial" w:cs="Arial"/>
        <w:color w:val="111113"/>
        <w:w w:val="93"/>
        <w:position w:val="-3"/>
        <w:sz w:val="24"/>
        <w:szCs w:val="24"/>
      </w:rPr>
    </w:lvl>
    <w:lvl w:ilvl="1">
      <w:start w:val="1"/>
      <w:numFmt w:val="bullet"/>
      <w:lvlText w:val="•"/>
      <w:lvlJc w:val="left"/>
      <w:pPr>
        <w:ind w:left="1556" w:hanging="569"/>
      </w:pPr>
      <w:rPr>
        <w:rFonts w:hint="default"/>
      </w:rPr>
    </w:lvl>
    <w:lvl w:ilvl="2">
      <w:start w:val="1"/>
      <w:numFmt w:val="bullet"/>
      <w:lvlText w:val="•"/>
      <w:lvlJc w:val="left"/>
      <w:pPr>
        <w:ind w:left="2412" w:hanging="569"/>
      </w:pPr>
      <w:rPr>
        <w:rFonts w:hint="default"/>
      </w:rPr>
    </w:lvl>
    <w:lvl w:ilvl="3">
      <w:start w:val="1"/>
      <w:numFmt w:val="bullet"/>
      <w:lvlText w:val="•"/>
      <w:lvlJc w:val="left"/>
      <w:pPr>
        <w:ind w:left="3269" w:hanging="569"/>
      </w:pPr>
      <w:rPr>
        <w:rFonts w:hint="default"/>
      </w:rPr>
    </w:lvl>
    <w:lvl w:ilvl="4">
      <w:start w:val="1"/>
      <w:numFmt w:val="bullet"/>
      <w:lvlText w:val="•"/>
      <w:lvlJc w:val="left"/>
      <w:pPr>
        <w:ind w:left="4125" w:hanging="569"/>
      </w:pPr>
      <w:rPr>
        <w:rFonts w:hint="default"/>
      </w:rPr>
    </w:lvl>
    <w:lvl w:ilvl="5">
      <w:start w:val="1"/>
      <w:numFmt w:val="bullet"/>
      <w:lvlText w:val="•"/>
      <w:lvlJc w:val="left"/>
      <w:pPr>
        <w:ind w:left="4982" w:hanging="569"/>
      </w:pPr>
      <w:rPr>
        <w:rFonts w:hint="default"/>
      </w:rPr>
    </w:lvl>
    <w:lvl w:ilvl="6">
      <w:start w:val="1"/>
      <w:numFmt w:val="bullet"/>
      <w:lvlText w:val="•"/>
      <w:lvlJc w:val="left"/>
      <w:pPr>
        <w:ind w:left="5838" w:hanging="569"/>
      </w:pPr>
      <w:rPr>
        <w:rFonts w:hint="default"/>
      </w:rPr>
    </w:lvl>
    <w:lvl w:ilvl="7">
      <w:start w:val="1"/>
      <w:numFmt w:val="bullet"/>
      <w:lvlText w:val="•"/>
      <w:lvlJc w:val="left"/>
      <w:pPr>
        <w:ind w:left="6694" w:hanging="569"/>
      </w:pPr>
      <w:rPr>
        <w:rFonts w:hint="default"/>
      </w:rPr>
    </w:lvl>
    <w:lvl w:ilvl="8">
      <w:start w:val="1"/>
      <w:numFmt w:val="bullet"/>
      <w:lvlText w:val="•"/>
      <w:lvlJc w:val="left"/>
      <w:pPr>
        <w:ind w:left="7551" w:hanging="569"/>
      </w:pPr>
      <w:rPr>
        <w:rFonts w:hint="default"/>
      </w:rPr>
    </w:lvl>
  </w:abstractNum>
  <w:abstractNum w:abstractNumId="48">
    <w:multiLevelType w:val="hybridMultilevel"/>
    <w:lvl w:ilvl="0">
      <w:start w:val="1"/>
      <w:numFmt w:val="bullet"/>
      <w:lvlText w:val="•"/>
      <w:lvlJc w:val="left"/>
      <w:pPr>
        <w:ind w:left="690" w:hanging="569"/>
      </w:pPr>
      <w:rPr>
        <w:rFonts w:hint="default" w:ascii="Times New Roman" w:hAnsi="Times New Roman" w:eastAsia="Times New Roman" w:cs="Times New Roman"/>
        <w:color w:val="111113"/>
        <w:w w:val="103"/>
        <w:position w:val="-2"/>
        <w:sz w:val="22"/>
        <w:szCs w:val="22"/>
      </w:rPr>
    </w:lvl>
    <w:lvl w:ilvl="1">
      <w:start w:val="1"/>
      <w:numFmt w:val="bullet"/>
      <w:lvlText w:val="•"/>
      <w:lvlJc w:val="left"/>
      <w:pPr>
        <w:ind w:left="1556" w:hanging="569"/>
      </w:pPr>
      <w:rPr>
        <w:rFonts w:hint="default"/>
      </w:rPr>
    </w:lvl>
    <w:lvl w:ilvl="2">
      <w:start w:val="1"/>
      <w:numFmt w:val="bullet"/>
      <w:lvlText w:val="•"/>
      <w:lvlJc w:val="left"/>
      <w:pPr>
        <w:ind w:left="2412" w:hanging="569"/>
      </w:pPr>
      <w:rPr>
        <w:rFonts w:hint="default"/>
      </w:rPr>
    </w:lvl>
    <w:lvl w:ilvl="3">
      <w:start w:val="1"/>
      <w:numFmt w:val="bullet"/>
      <w:lvlText w:val="•"/>
      <w:lvlJc w:val="left"/>
      <w:pPr>
        <w:ind w:left="3269" w:hanging="569"/>
      </w:pPr>
      <w:rPr>
        <w:rFonts w:hint="default"/>
      </w:rPr>
    </w:lvl>
    <w:lvl w:ilvl="4">
      <w:start w:val="1"/>
      <w:numFmt w:val="bullet"/>
      <w:lvlText w:val="•"/>
      <w:lvlJc w:val="left"/>
      <w:pPr>
        <w:ind w:left="4125" w:hanging="569"/>
      </w:pPr>
      <w:rPr>
        <w:rFonts w:hint="default"/>
      </w:rPr>
    </w:lvl>
    <w:lvl w:ilvl="5">
      <w:start w:val="1"/>
      <w:numFmt w:val="bullet"/>
      <w:lvlText w:val="•"/>
      <w:lvlJc w:val="left"/>
      <w:pPr>
        <w:ind w:left="4982" w:hanging="569"/>
      </w:pPr>
      <w:rPr>
        <w:rFonts w:hint="default"/>
      </w:rPr>
    </w:lvl>
    <w:lvl w:ilvl="6">
      <w:start w:val="1"/>
      <w:numFmt w:val="bullet"/>
      <w:lvlText w:val="•"/>
      <w:lvlJc w:val="left"/>
      <w:pPr>
        <w:ind w:left="5838" w:hanging="569"/>
      </w:pPr>
      <w:rPr>
        <w:rFonts w:hint="default"/>
      </w:rPr>
    </w:lvl>
    <w:lvl w:ilvl="7">
      <w:start w:val="1"/>
      <w:numFmt w:val="bullet"/>
      <w:lvlText w:val="•"/>
      <w:lvlJc w:val="left"/>
      <w:pPr>
        <w:ind w:left="6694" w:hanging="569"/>
      </w:pPr>
      <w:rPr>
        <w:rFonts w:hint="default"/>
      </w:rPr>
    </w:lvl>
    <w:lvl w:ilvl="8">
      <w:start w:val="1"/>
      <w:numFmt w:val="bullet"/>
      <w:lvlText w:val="•"/>
      <w:lvlJc w:val="left"/>
      <w:pPr>
        <w:ind w:left="7551" w:hanging="569"/>
      </w:pPr>
      <w:rPr>
        <w:rFonts w:hint="default"/>
      </w:rPr>
    </w:lvl>
  </w:abstractNum>
  <w:abstractNum w:abstractNumId="46">
    <w:multiLevelType w:val="hybridMultilevel"/>
    <w:lvl w:ilvl="0">
      <w:start w:val="1"/>
      <w:numFmt w:val="bullet"/>
      <w:lvlText w:val="•"/>
      <w:lvlJc w:val="left"/>
      <w:pPr>
        <w:ind w:left="776" w:hanging="569"/>
      </w:pPr>
      <w:rPr>
        <w:rFonts w:hint="default" w:ascii="Arial" w:hAnsi="Arial" w:eastAsia="Arial" w:cs="Arial"/>
        <w:w w:val="103"/>
        <w:position w:val="-2"/>
      </w:rPr>
    </w:lvl>
    <w:lvl w:ilvl="1">
      <w:start w:val="1"/>
      <w:numFmt w:val="bullet"/>
      <w:lvlText w:val="•"/>
      <w:lvlJc w:val="left"/>
      <w:pPr>
        <w:ind w:left="1646" w:hanging="569"/>
      </w:pPr>
      <w:rPr>
        <w:rFonts w:hint="default"/>
      </w:rPr>
    </w:lvl>
    <w:lvl w:ilvl="2">
      <w:start w:val="1"/>
      <w:numFmt w:val="bullet"/>
      <w:lvlText w:val="•"/>
      <w:lvlJc w:val="left"/>
      <w:pPr>
        <w:ind w:left="2513" w:hanging="569"/>
      </w:pPr>
      <w:rPr>
        <w:rFonts w:hint="default"/>
      </w:rPr>
    </w:lvl>
    <w:lvl w:ilvl="3">
      <w:start w:val="1"/>
      <w:numFmt w:val="bullet"/>
      <w:lvlText w:val="•"/>
      <w:lvlJc w:val="left"/>
      <w:pPr>
        <w:ind w:left="3380" w:hanging="569"/>
      </w:pPr>
      <w:rPr>
        <w:rFonts w:hint="default"/>
      </w:rPr>
    </w:lvl>
    <w:lvl w:ilvl="4">
      <w:start w:val="1"/>
      <w:numFmt w:val="bullet"/>
      <w:lvlText w:val="•"/>
      <w:lvlJc w:val="left"/>
      <w:pPr>
        <w:ind w:left="4247" w:hanging="569"/>
      </w:pPr>
      <w:rPr>
        <w:rFonts w:hint="default"/>
      </w:rPr>
    </w:lvl>
    <w:lvl w:ilvl="5">
      <w:start w:val="1"/>
      <w:numFmt w:val="bullet"/>
      <w:lvlText w:val="•"/>
      <w:lvlJc w:val="left"/>
      <w:pPr>
        <w:ind w:left="5114" w:hanging="569"/>
      </w:pPr>
      <w:rPr>
        <w:rFonts w:hint="default"/>
      </w:rPr>
    </w:lvl>
    <w:lvl w:ilvl="6">
      <w:start w:val="1"/>
      <w:numFmt w:val="bullet"/>
      <w:lvlText w:val="•"/>
      <w:lvlJc w:val="left"/>
      <w:pPr>
        <w:ind w:left="5981" w:hanging="569"/>
      </w:pPr>
      <w:rPr>
        <w:rFonts w:hint="default"/>
      </w:rPr>
    </w:lvl>
    <w:lvl w:ilvl="7">
      <w:start w:val="1"/>
      <w:numFmt w:val="bullet"/>
      <w:lvlText w:val="•"/>
      <w:lvlJc w:val="left"/>
      <w:pPr>
        <w:ind w:left="6848" w:hanging="569"/>
      </w:pPr>
      <w:rPr>
        <w:rFonts w:hint="default"/>
      </w:rPr>
    </w:lvl>
    <w:lvl w:ilvl="8">
      <w:start w:val="1"/>
      <w:numFmt w:val="bullet"/>
      <w:lvlText w:val="•"/>
      <w:lvlJc w:val="left"/>
      <w:pPr>
        <w:ind w:left="7715" w:hanging="569"/>
      </w:pPr>
      <w:rPr>
        <w:rFonts w:hint="default"/>
      </w:rPr>
    </w:lvl>
  </w:abstractNum>
  <w:abstractNum w:abstractNumId="45">
    <w:multiLevelType w:val="hybridMultilevel"/>
    <w:lvl w:ilvl="0">
      <w:start w:val="1"/>
      <w:numFmt w:val="bullet"/>
      <w:lvlText w:val="•"/>
      <w:lvlJc w:val="left"/>
      <w:pPr>
        <w:ind w:left="1292" w:hanging="565"/>
      </w:pPr>
      <w:rPr>
        <w:rFonts w:hint="default" w:ascii="Arial" w:hAnsi="Arial" w:eastAsia="Arial" w:cs="Arial"/>
        <w:w w:val="113"/>
        <w:sz w:val="20"/>
        <w:szCs w:val="20"/>
      </w:rPr>
    </w:lvl>
    <w:lvl w:ilvl="1">
      <w:start w:val="1"/>
      <w:numFmt w:val="bullet"/>
      <w:lvlText w:val="•"/>
      <w:lvlJc w:val="left"/>
      <w:pPr>
        <w:ind w:left="2212" w:hanging="565"/>
      </w:pPr>
      <w:rPr>
        <w:rFonts w:hint="default"/>
      </w:rPr>
    </w:lvl>
    <w:lvl w:ilvl="2">
      <w:start w:val="1"/>
      <w:numFmt w:val="bullet"/>
      <w:lvlText w:val="•"/>
      <w:lvlJc w:val="left"/>
      <w:pPr>
        <w:ind w:left="3125" w:hanging="565"/>
      </w:pPr>
      <w:rPr>
        <w:rFonts w:hint="default"/>
      </w:rPr>
    </w:lvl>
    <w:lvl w:ilvl="3">
      <w:start w:val="1"/>
      <w:numFmt w:val="bullet"/>
      <w:lvlText w:val="•"/>
      <w:lvlJc w:val="left"/>
      <w:pPr>
        <w:ind w:left="4038" w:hanging="565"/>
      </w:pPr>
      <w:rPr>
        <w:rFonts w:hint="default"/>
      </w:rPr>
    </w:lvl>
    <w:lvl w:ilvl="4">
      <w:start w:val="1"/>
      <w:numFmt w:val="bullet"/>
      <w:lvlText w:val="•"/>
      <w:lvlJc w:val="left"/>
      <w:pPr>
        <w:ind w:left="4951" w:hanging="565"/>
      </w:pPr>
      <w:rPr>
        <w:rFonts w:hint="default"/>
      </w:rPr>
    </w:lvl>
    <w:lvl w:ilvl="5">
      <w:start w:val="1"/>
      <w:numFmt w:val="bullet"/>
      <w:lvlText w:val="•"/>
      <w:lvlJc w:val="left"/>
      <w:pPr>
        <w:ind w:left="5864" w:hanging="565"/>
      </w:pPr>
      <w:rPr>
        <w:rFonts w:hint="default"/>
      </w:rPr>
    </w:lvl>
    <w:lvl w:ilvl="6">
      <w:start w:val="1"/>
      <w:numFmt w:val="bullet"/>
      <w:lvlText w:val="•"/>
      <w:lvlJc w:val="left"/>
      <w:pPr>
        <w:ind w:left="6777" w:hanging="565"/>
      </w:pPr>
      <w:rPr>
        <w:rFonts w:hint="default"/>
      </w:rPr>
    </w:lvl>
    <w:lvl w:ilvl="7">
      <w:start w:val="1"/>
      <w:numFmt w:val="bullet"/>
      <w:lvlText w:val="•"/>
      <w:lvlJc w:val="left"/>
      <w:pPr>
        <w:ind w:left="7690" w:hanging="565"/>
      </w:pPr>
      <w:rPr>
        <w:rFonts w:hint="default"/>
      </w:rPr>
    </w:lvl>
    <w:lvl w:ilvl="8">
      <w:start w:val="1"/>
      <w:numFmt w:val="bullet"/>
      <w:lvlText w:val="•"/>
      <w:lvlJc w:val="left"/>
      <w:pPr>
        <w:ind w:left="8603" w:hanging="565"/>
      </w:pPr>
      <w:rPr>
        <w:rFonts w:hint="default"/>
      </w:rPr>
    </w:lvl>
  </w:abstractNum>
  <w:abstractNum w:abstractNumId="44">
    <w:multiLevelType w:val="hybridMultilevel"/>
    <w:lvl w:ilvl="0">
      <w:start w:val="1"/>
      <w:numFmt w:val="decimal"/>
      <w:lvlText w:val="%1."/>
      <w:lvlJc w:val="left"/>
      <w:pPr>
        <w:ind w:left="603" w:hanging="392"/>
        <w:jc w:val="left"/>
      </w:pPr>
      <w:rPr>
        <w:rFonts w:hint="default" w:ascii="Arial" w:hAnsi="Arial" w:eastAsia="Arial" w:cs="Arial"/>
        <w:spacing w:val="-7"/>
        <w:w w:val="99"/>
        <w:sz w:val="18"/>
        <w:szCs w:val="18"/>
      </w:rPr>
    </w:lvl>
    <w:lvl w:ilvl="1">
      <w:start w:val="1"/>
      <w:numFmt w:val="lowerLetter"/>
      <w:lvlText w:val="(%2)"/>
      <w:lvlJc w:val="left"/>
      <w:pPr>
        <w:ind w:left="1000" w:hanging="399"/>
        <w:jc w:val="left"/>
      </w:pPr>
      <w:rPr>
        <w:rFonts w:hint="default" w:ascii="Arial" w:hAnsi="Arial" w:eastAsia="Arial" w:cs="Arial"/>
        <w:spacing w:val="-23"/>
        <w:w w:val="99"/>
        <w:sz w:val="18"/>
        <w:szCs w:val="18"/>
      </w:rPr>
    </w:lvl>
    <w:lvl w:ilvl="2">
      <w:start w:val="1"/>
      <w:numFmt w:val="bullet"/>
      <w:lvlText w:val="•"/>
      <w:lvlJc w:val="left"/>
      <w:pPr>
        <w:ind w:left="2028" w:hanging="399"/>
      </w:pPr>
      <w:rPr>
        <w:rFonts w:hint="default"/>
      </w:rPr>
    </w:lvl>
    <w:lvl w:ilvl="3">
      <w:start w:val="1"/>
      <w:numFmt w:val="bullet"/>
      <w:lvlText w:val="•"/>
      <w:lvlJc w:val="left"/>
      <w:pPr>
        <w:ind w:left="3057" w:hanging="399"/>
      </w:pPr>
      <w:rPr>
        <w:rFonts w:hint="default"/>
      </w:rPr>
    </w:lvl>
    <w:lvl w:ilvl="4">
      <w:start w:val="1"/>
      <w:numFmt w:val="bullet"/>
      <w:lvlText w:val="•"/>
      <w:lvlJc w:val="left"/>
      <w:pPr>
        <w:ind w:left="4086" w:hanging="399"/>
      </w:pPr>
      <w:rPr>
        <w:rFonts w:hint="default"/>
      </w:rPr>
    </w:lvl>
    <w:lvl w:ilvl="5">
      <w:start w:val="1"/>
      <w:numFmt w:val="bullet"/>
      <w:lvlText w:val="•"/>
      <w:lvlJc w:val="left"/>
      <w:pPr>
        <w:ind w:left="5115" w:hanging="399"/>
      </w:pPr>
      <w:rPr>
        <w:rFonts w:hint="default"/>
      </w:rPr>
    </w:lvl>
    <w:lvl w:ilvl="6">
      <w:start w:val="1"/>
      <w:numFmt w:val="bullet"/>
      <w:lvlText w:val="•"/>
      <w:lvlJc w:val="left"/>
      <w:pPr>
        <w:ind w:left="6144" w:hanging="399"/>
      </w:pPr>
      <w:rPr>
        <w:rFonts w:hint="default"/>
      </w:rPr>
    </w:lvl>
    <w:lvl w:ilvl="7">
      <w:start w:val="1"/>
      <w:numFmt w:val="bullet"/>
      <w:lvlText w:val="•"/>
      <w:lvlJc w:val="left"/>
      <w:pPr>
        <w:ind w:left="7173" w:hanging="399"/>
      </w:pPr>
      <w:rPr>
        <w:rFonts w:hint="default"/>
      </w:rPr>
    </w:lvl>
    <w:lvl w:ilvl="8">
      <w:start w:val="1"/>
      <w:numFmt w:val="bullet"/>
      <w:lvlText w:val="•"/>
      <w:lvlJc w:val="left"/>
      <w:pPr>
        <w:ind w:left="8202" w:hanging="399"/>
      </w:pPr>
      <w:rPr>
        <w:rFonts w:hint="default"/>
      </w:rPr>
    </w:lvl>
  </w:abstractNum>
  <w:abstractNum w:abstractNumId="43">
    <w:multiLevelType w:val="hybridMultilevel"/>
    <w:lvl w:ilvl="0">
      <w:start w:val="1"/>
      <w:numFmt w:val="bullet"/>
      <w:lvlText w:val="-"/>
      <w:lvlJc w:val="left"/>
      <w:pPr>
        <w:ind w:left="1490" w:hanging="111"/>
      </w:pPr>
      <w:rPr>
        <w:rFonts w:hint="default" w:ascii="Arial" w:hAnsi="Arial" w:eastAsia="Arial" w:cs="Arial"/>
        <w:spacing w:val="-2"/>
        <w:w w:val="99"/>
        <w:sz w:val="18"/>
        <w:szCs w:val="18"/>
      </w:rPr>
    </w:lvl>
    <w:lvl w:ilvl="1">
      <w:start w:val="1"/>
      <w:numFmt w:val="bullet"/>
      <w:lvlText w:val="•"/>
      <w:lvlJc w:val="left"/>
      <w:pPr>
        <w:ind w:left="2364" w:hanging="111"/>
      </w:pPr>
      <w:rPr>
        <w:rFonts w:hint="default"/>
      </w:rPr>
    </w:lvl>
    <w:lvl w:ilvl="2">
      <w:start w:val="1"/>
      <w:numFmt w:val="bullet"/>
      <w:lvlText w:val="•"/>
      <w:lvlJc w:val="left"/>
      <w:pPr>
        <w:ind w:left="3228" w:hanging="111"/>
      </w:pPr>
      <w:rPr>
        <w:rFonts w:hint="default"/>
      </w:rPr>
    </w:lvl>
    <w:lvl w:ilvl="3">
      <w:start w:val="1"/>
      <w:numFmt w:val="bullet"/>
      <w:lvlText w:val="•"/>
      <w:lvlJc w:val="left"/>
      <w:pPr>
        <w:ind w:left="4092" w:hanging="111"/>
      </w:pPr>
      <w:rPr>
        <w:rFonts w:hint="default"/>
      </w:rPr>
    </w:lvl>
    <w:lvl w:ilvl="4">
      <w:start w:val="1"/>
      <w:numFmt w:val="bullet"/>
      <w:lvlText w:val="•"/>
      <w:lvlJc w:val="left"/>
      <w:pPr>
        <w:ind w:left="4956" w:hanging="111"/>
      </w:pPr>
      <w:rPr>
        <w:rFonts w:hint="default"/>
      </w:rPr>
    </w:lvl>
    <w:lvl w:ilvl="5">
      <w:start w:val="1"/>
      <w:numFmt w:val="bullet"/>
      <w:lvlText w:val="•"/>
      <w:lvlJc w:val="left"/>
      <w:pPr>
        <w:ind w:left="5820" w:hanging="111"/>
      </w:pPr>
      <w:rPr>
        <w:rFonts w:hint="default"/>
      </w:rPr>
    </w:lvl>
    <w:lvl w:ilvl="6">
      <w:start w:val="1"/>
      <w:numFmt w:val="bullet"/>
      <w:lvlText w:val="•"/>
      <w:lvlJc w:val="left"/>
      <w:pPr>
        <w:ind w:left="6684" w:hanging="111"/>
      </w:pPr>
      <w:rPr>
        <w:rFonts w:hint="default"/>
      </w:rPr>
    </w:lvl>
    <w:lvl w:ilvl="7">
      <w:start w:val="1"/>
      <w:numFmt w:val="bullet"/>
      <w:lvlText w:val="•"/>
      <w:lvlJc w:val="left"/>
      <w:pPr>
        <w:ind w:left="7548" w:hanging="111"/>
      </w:pPr>
      <w:rPr>
        <w:rFonts w:hint="default"/>
      </w:rPr>
    </w:lvl>
    <w:lvl w:ilvl="8">
      <w:start w:val="1"/>
      <w:numFmt w:val="bullet"/>
      <w:lvlText w:val="•"/>
      <w:lvlJc w:val="left"/>
      <w:pPr>
        <w:ind w:left="8412" w:hanging="111"/>
      </w:pPr>
      <w:rPr>
        <w:rFonts w:hint="default"/>
      </w:rPr>
    </w:lvl>
  </w:abstractNum>
  <w:abstractNum w:abstractNumId="42">
    <w:multiLevelType w:val="hybridMultilevel"/>
    <w:lvl w:ilvl="0">
      <w:start w:val="13"/>
      <w:numFmt w:val="decimal"/>
      <w:lvlText w:val="%1"/>
      <w:lvlJc w:val="left"/>
      <w:pPr>
        <w:ind w:left="506" w:hanging="399"/>
        <w:jc w:val="left"/>
      </w:pPr>
      <w:rPr>
        <w:rFonts w:hint="default" w:ascii="Arial" w:hAnsi="Arial" w:eastAsia="Arial" w:cs="Arial"/>
        <w:b/>
        <w:bCs/>
        <w:w w:val="99"/>
        <w:sz w:val="18"/>
        <w:szCs w:val="18"/>
      </w:rPr>
    </w:lvl>
    <w:lvl w:ilvl="1">
      <w:start w:val="1"/>
      <w:numFmt w:val="lowerLetter"/>
      <w:lvlText w:val="(%2)"/>
      <w:lvlJc w:val="left"/>
      <w:pPr>
        <w:ind w:left="1060" w:hanging="557"/>
        <w:jc w:val="left"/>
      </w:pPr>
      <w:rPr>
        <w:rFonts w:hint="default" w:ascii="Arial" w:hAnsi="Arial" w:eastAsia="Arial" w:cs="Arial"/>
        <w:b/>
        <w:bCs/>
        <w:spacing w:val="-2"/>
        <w:w w:val="99"/>
        <w:sz w:val="18"/>
        <w:szCs w:val="18"/>
      </w:rPr>
    </w:lvl>
    <w:lvl w:ilvl="2">
      <w:start w:val="1"/>
      <w:numFmt w:val="lowerRoman"/>
      <w:lvlText w:val="(%3)"/>
      <w:lvlJc w:val="left"/>
      <w:pPr>
        <w:ind w:left="1286" w:hanging="212"/>
        <w:jc w:val="left"/>
      </w:pPr>
      <w:rPr>
        <w:rFonts w:hint="default" w:ascii="Arial" w:hAnsi="Arial" w:eastAsia="Arial" w:cs="Arial"/>
        <w:i/>
        <w:spacing w:val="-3"/>
        <w:w w:val="99"/>
        <w:sz w:val="18"/>
        <w:szCs w:val="18"/>
      </w:rPr>
    </w:lvl>
    <w:lvl w:ilvl="3">
      <w:start w:val="1"/>
      <w:numFmt w:val="bullet"/>
      <w:lvlText w:val="•"/>
      <w:lvlJc w:val="left"/>
      <w:pPr>
        <w:ind w:left="1600" w:hanging="212"/>
      </w:pPr>
      <w:rPr>
        <w:rFonts w:hint="default"/>
      </w:rPr>
    </w:lvl>
    <w:lvl w:ilvl="4">
      <w:start w:val="1"/>
      <w:numFmt w:val="bullet"/>
      <w:lvlText w:val="•"/>
      <w:lvlJc w:val="left"/>
      <w:pPr>
        <w:ind w:left="1921" w:hanging="212"/>
      </w:pPr>
      <w:rPr>
        <w:rFonts w:hint="default"/>
      </w:rPr>
    </w:lvl>
    <w:lvl w:ilvl="5">
      <w:start w:val="1"/>
      <w:numFmt w:val="bullet"/>
      <w:lvlText w:val="•"/>
      <w:lvlJc w:val="left"/>
      <w:pPr>
        <w:ind w:left="2242" w:hanging="212"/>
      </w:pPr>
      <w:rPr>
        <w:rFonts w:hint="default"/>
      </w:rPr>
    </w:lvl>
    <w:lvl w:ilvl="6">
      <w:start w:val="1"/>
      <w:numFmt w:val="bullet"/>
      <w:lvlText w:val="•"/>
      <w:lvlJc w:val="left"/>
      <w:pPr>
        <w:ind w:left="2563" w:hanging="212"/>
      </w:pPr>
      <w:rPr>
        <w:rFonts w:hint="default"/>
      </w:rPr>
    </w:lvl>
    <w:lvl w:ilvl="7">
      <w:start w:val="1"/>
      <w:numFmt w:val="bullet"/>
      <w:lvlText w:val="•"/>
      <w:lvlJc w:val="left"/>
      <w:pPr>
        <w:ind w:left="2883" w:hanging="212"/>
      </w:pPr>
      <w:rPr>
        <w:rFonts w:hint="default"/>
      </w:rPr>
    </w:lvl>
    <w:lvl w:ilvl="8">
      <w:start w:val="1"/>
      <w:numFmt w:val="bullet"/>
      <w:lvlText w:val="•"/>
      <w:lvlJc w:val="left"/>
      <w:pPr>
        <w:ind w:left="3204" w:hanging="212"/>
      </w:pPr>
      <w:rPr>
        <w:rFonts w:hint="default"/>
      </w:rPr>
    </w:lvl>
  </w:abstractNum>
  <w:abstractNum w:abstractNumId="40">
    <w:multiLevelType w:val="hybridMultilevel"/>
    <w:lvl w:ilvl="0">
      <w:start w:val="6"/>
      <w:numFmt w:val="decimal"/>
      <w:lvlText w:val="%1"/>
      <w:lvlJc w:val="left"/>
      <w:pPr>
        <w:ind w:left="504" w:hanging="396"/>
        <w:jc w:val="left"/>
      </w:pPr>
      <w:rPr>
        <w:rFonts w:hint="default" w:ascii="Arial" w:hAnsi="Arial" w:eastAsia="Arial" w:cs="Arial"/>
        <w:b/>
        <w:bCs/>
        <w:w w:val="99"/>
        <w:sz w:val="18"/>
        <w:szCs w:val="18"/>
      </w:rPr>
    </w:lvl>
    <w:lvl w:ilvl="1">
      <w:start w:val="1"/>
      <w:numFmt w:val="bullet"/>
      <w:lvlText w:val="•"/>
      <w:lvlJc w:val="left"/>
      <w:pPr>
        <w:ind w:left="739" w:hanging="396"/>
      </w:pPr>
      <w:rPr>
        <w:rFonts w:hint="default"/>
      </w:rPr>
    </w:lvl>
    <w:lvl w:ilvl="2">
      <w:start w:val="1"/>
      <w:numFmt w:val="bullet"/>
      <w:lvlText w:val="•"/>
      <w:lvlJc w:val="left"/>
      <w:pPr>
        <w:ind w:left="979" w:hanging="396"/>
      </w:pPr>
      <w:rPr>
        <w:rFonts w:hint="default"/>
      </w:rPr>
    </w:lvl>
    <w:lvl w:ilvl="3">
      <w:start w:val="1"/>
      <w:numFmt w:val="bullet"/>
      <w:lvlText w:val="•"/>
      <w:lvlJc w:val="left"/>
      <w:pPr>
        <w:ind w:left="1218" w:hanging="396"/>
      </w:pPr>
      <w:rPr>
        <w:rFonts w:hint="default"/>
      </w:rPr>
    </w:lvl>
    <w:lvl w:ilvl="4">
      <w:start w:val="1"/>
      <w:numFmt w:val="bullet"/>
      <w:lvlText w:val="•"/>
      <w:lvlJc w:val="left"/>
      <w:pPr>
        <w:ind w:left="1458" w:hanging="396"/>
      </w:pPr>
      <w:rPr>
        <w:rFonts w:hint="default"/>
      </w:rPr>
    </w:lvl>
    <w:lvl w:ilvl="5">
      <w:start w:val="1"/>
      <w:numFmt w:val="bullet"/>
      <w:lvlText w:val="•"/>
      <w:lvlJc w:val="left"/>
      <w:pPr>
        <w:ind w:left="1698" w:hanging="396"/>
      </w:pPr>
      <w:rPr>
        <w:rFonts w:hint="default"/>
      </w:rPr>
    </w:lvl>
    <w:lvl w:ilvl="6">
      <w:start w:val="1"/>
      <w:numFmt w:val="bullet"/>
      <w:lvlText w:val="•"/>
      <w:lvlJc w:val="left"/>
      <w:pPr>
        <w:ind w:left="1937" w:hanging="396"/>
      </w:pPr>
      <w:rPr>
        <w:rFonts w:hint="default"/>
      </w:rPr>
    </w:lvl>
    <w:lvl w:ilvl="7">
      <w:start w:val="1"/>
      <w:numFmt w:val="bullet"/>
      <w:lvlText w:val="•"/>
      <w:lvlJc w:val="left"/>
      <w:pPr>
        <w:ind w:left="2177" w:hanging="396"/>
      </w:pPr>
      <w:rPr>
        <w:rFonts w:hint="default"/>
      </w:rPr>
    </w:lvl>
    <w:lvl w:ilvl="8">
      <w:start w:val="1"/>
      <w:numFmt w:val="bullet"/>
      <w:lvlText w:val="•"/>
      <w:lvlJc w:val="left"/>
      <w:pPr>
        <w:ind w:left="2416" w:hanging="396"/>
      </w:pPr>
      <w:rPr>
        <w:rFonts w:hint="default"/>
      </w:rPr>
    </w:lvl>
  </w:abstractNum>
  <w:abstractNum w:abstractNumId="39">
    <w:multiLevelType w:val="hybridMultilevel"/>
    <w:lvl w:ilvl="0">
      <w:start w:val="3"/>
      <w:numFmt w:val="decimal"/>
      <w:lvlText w:val="%1"/>
      <w:lvlJc w:val="left"/>
      <w:pPr>
        <w:ind w:left="539" w:hanging="392"/>
        <w:jc w:val="left"/>
      </w:pPr>
      <w:rPr>
        <w:rFonts w:hint="default" w:ascii="Arial" w:hAnsi="Arial" w:eastAsia="Arial" w:cs="Arial"/>
        <w:b/>
        <w:bCs/>
        <w:w w:val="99"/>
        <w:sz w:val="18"/>
        <w:szCs w:val="18"/>
      </w:rPr>
    </w:lvl>
    <w:lvl w:ilvl="1">
      <w:start w:val="1"/>
      <w:numFmt w:val="bullet"/>
      <w:lvlText w:val="•"/>
      <w:lvlJc w:val="left"/>
      <w:pPr>
        <w:ind w:left="624" w:hanging="392"/>
      </w:pPr>
      <w:rPr>
        <w:rFonts w:hint="default"/>
      </w:rPr>
    </w:lvl>
    <w:lvl w:ilvl="2">
      <w:start w:val="1"/>
      <w:numFmt w:val="bullet"/>
      <w:lvlText w:val="•"/>
      <w:lvlJc w:val="left"/>
      <w:pPr>
        <w:ind w:left="708" w:hanging="392"/>
      </w:pPr>
      <w:rPr>
        <w:rFonts w:hint="default"/>
      </w:rPr>
    </w:lvl>
    <w:lvl w:ilvl="3">
      <w:start w:val="1"/>
      <w:numFmt w:val="bullet"/>
      <w:lvlText w:val="•"/>
      <w:lvlJc w:val="left"/>
      <w:pPr>
        <w:ind w:left="792" w:hanging="392"/>
      </w:pPr>
      <w:rPr>
        <w:rFonts w:hint="default"/>
      </w:rPr>
    </w:lvl>
    <w:lvl w:ilvl="4">
      <w:start w:val="1"/>
      <w:numFmt w:val="bullet"/>
      <w:lvlText w:val="•"/>
      <w:lvlJc w:val="left"/>
      <w:pPr>
        <w:ind w:left="876" w:hanging="392"/>
      </w:pPr>
      <w:rPr>
        <w:rFonts w:hint="default"/>
      </w:rPr>
    </w:lvl>
    <w:lvl w:ilvl="5">
      <w:start w:val="1"/>
      <w:numFmt w:val="bullet"/>
      <w:lvlText w:val="•"/>
      <w:lvlJc w:val="left"/>
      <w:pPr>
        <w:ind w:left="960" w:hanging="392"/>
      </w:pPr>
      <w:rPr>
        <w:rFonts w:hint="default"/>
      </w:rPr>
    </w:lvl>
    <w:lvl w:ilvl="6">
      <w:start w:val="1"/>
      <w:numFmt w:val="bullet"/>
      <w:lvlText w:val="•"/>
      <w:lvlJc w:val="left"/>
      <w:pPr>
        <w:ind w:left="1044" w:hanging="392"/>
      </w:pPr>
      <w:rPr>
        <w:rFonts w:hint="default"/>
      </w:rPr>
    </w:lvl>
    <w:lvl w:ilvl="7">
      <w:start w:val="1"/>
      <w:numFmt w:val="bullet"/>
      <w:lvlText w:val="•"/>
      <w:lvlJc w:val="left"/>
      <w:pPr>
        <w:ind w:left="1128" w:hanging="392"/>
      </w:pPr>
      <w:rPr>
        <w:rFonts w:hint="default"/>
      </w:rPr>
    </w:lvl>
    <w:lvl w:ilvl="8">
      <w:start w:val="1"/>
      <w:numFmt w:val="bullet"/>
      <w:lvlText w:val="•"/>
      <w:lvlJc w:val="left"/>
      <w:pPr>
        <w:ind w:left="1212" w:hanging="392"/>
      </w:pPr>
      <w:rPr>
        <w:rFonts w:hint="default"/>
      </w:rPr>
    </w:lvl>
  </w:abstractNum>
  <w:abstractNum w:abstractNumId="38">
    <w:multiLevelType w:val="hybridMultilevel"/>
    <w:lvl w:ilvl="0">
      <w:start w:val="13"/>
      <w:numFmt w:val="lowerLetter"/>
      <w:lvlText w:val="(%1)"/>
      <w:lvlJc w:val="left"/>
      <w:pPr>
        <w:ind w:left="1070" w:hanging="557"/>
        <w:jc w:val="left"/>
      </w:pPr>
      <w:rPr>
        <w:rFonts w:hint="default" w:ascii="Arial" w:hAnsi="Arial" w:eastAsia="Arial" w:cs="Arial"/>
        <w:b/>
        <w:bCs/>
        <w:spacing w:val="-9"/>
        <w:w w:val="99"/>
        <w:sz w:val="18"/>
        <w:szCs w:val="18"/>
      </w:rPr>
    </w:lvl>
    <w:lvl w:ilvl="1">
      <w:start w:val="1"/>
      <w:numFmt w:val="bullet"/>
      <w:lvlText w:val="•"/>
      <w:lvlJc w:val="left"/>
      <w:pPr>
        <w:ind w:left="1992" w:hanging="557"/>
      </w:pPr>
      <w:rPr>
        <w:rFonts w:hint="default"/>
      </w:rPr>
    </w:lvl>
    <w:lvl w:ilvl="2">
      <w:start w:val="1"/>
      <w:numFmt w:val="bullet"/>
      <w:lvlText w:val="•"/>
      <w:lvlJc w:val="left"/>
      <w:pPr>
        <w:ind w:left="2904" w:hanging="557"/>
      </w:pPr>
      <w:rPr>
        <w:rFonts w:hint="default"/>
      </w:rPr>
    </w:lvl>
    <w:lvl w:ilvl="3">
      <w:start w:val="1"/>
      <w:numFmt w:val="bullet"/>
      <w:lvlText w:val="•"/>
      <w:lvlJc w:val="left"/>
      <w:pPr>
        <w:ind w:left="3816" w:hanging="557"/>
      </w:pPr>
      <w:rPr>
        <w:rFonts w:hint="default"/>
      </w:rPr>
    </w:lvl>
    <w:lvl w:ilvl="4">
      <w:start w:val="1"/>
      <w:numFmt w:val="bullet"/>
      <w:lvlText w:val="•"/>
      <w:lvlJc w:val="left"/>
      <w:pPr>
        <w:ind w:left="4728" w:hanging="557"/>
      </w:pPr>
      <w:rPr>
        <w:rFonts w:hint="default"/>
      </w:rPr>
    </w:lvl>
    <w:lvl w:ilvl="5">
      <w:start w:val="1"/>
      <w:numFmt w:val="bullet"/>
      <w:lvlText w:val="•"/>
      <w:lvlJc w:val="left"/>
      <w:pPr>
        <w:ind w:left="5640" w:hanging="557"/>
      </w:pPr>
      <w:rPr>
        <w:rFonts w:hint="default"/>
      </w:rPr>
    </w:lvl>
    <w:lvl w:ilvl="6">
      <w:start w:val="1"/>
      <w:numFmt w:val="bullet"/>
      <w:lvlText w:val="•"/>
      <w:lvlJc w:val="left"/>
      <w:pPr>
        <w:ind w:left="6552" w:hanging="557"/>
      </w:pPr>
      <w:rPr>
        <w:rFonts w:hint="default"/>
      </w:rPr>
    </w:lvl>
    <w:lvl w:ilvl="7">
      <w:start w:val="1"/>
      <w:numFmt w:val="bullet"/>
      <w:lvlText w:val="•"/>
      <w:lvlJc w:val="left"/>
      <w:pPr>
        <w:ind w:left="7464" w:hanging="557"/>
      </w:pPr>
      <w:rPr>
        <w:rFonts w:hint="default"/>
      </w:rPr>
    </w:lvl>
    <w:lvl w:ilvl="8">
      <w:start w:val="1"/>
      <w:numFmt w:val="bullet"/>
      <w:lvlText w:val="•"/>
      <w:lvlJc w:val="left"/>
      <w:pPr>
        <w:ind w:left="8376" w:hanging="557"/>
      </w:pPr>
      <w:rPr>
        <w:rFonts w:hint="default"/>
      </w:rPr>
    </w:lvl>
  </w:abstractNum>
  <w:abstractNum w:abstractNumId="34">
    <w:multiLevelType w:val="hybridMultilevel"/>
    <w:lvl w:ilvl="0">
      <w:start w:val="1"/>
      <w:numFmt w:val="bullet"/>
      <w:lvlText w:val="-"/>
      <w:lvlJc w:val="left"/>
      <w:pPr>
        <w:ind w:left="789" w:hanging="286"/>
      </w:pPr>
      <w:rPr>
        <w:rFonts w:hint="default" w:ascii="Arial" w:hAnsi="Arial" w:eastAsia="Arial" w:cs="Arial"/>
        <w:spacing w:val="-25"/>
        <w:w w:val="99"/>
        <w:sz w:val="18"/>
        <w:szCs w:val="18"/>
      </w:rPr>
    </w:lvl>
    <w:lvl w:ilvl="1">
      <w:start w:val="1"/>
      <w:numFmt w:val="bullet"/>
      <w:lvlText w:val="•"/>
      <w:lvlJc w:val="left"/>
      <w:pPr>
        <w:ind w:left="1248" w:hanging="291"/>
      </w:pPr>
      <w:rPr>
        <w:rFonts w:hint="default" w:ascii="Arial" w:hAnsi="Arial" w:eastAsia="Arial" w:cs="Arial"/>
        <w:color w:val="0F0F15"/>
        <w:w w:val="99"/>
        <w:sz w:val="20"/>
        <w:szCs w:val="20"/>
      </w:rPr>
    </w:lvl>
    <w:lvl w:ilvl="2">
      <w:start w:val="1"/>
      <w:numFmt w:val="bullet"/>
      <w:lvlText w:val="•"/>
      <w:lvlJc w:val="left"/>
      <w:pPr>
        <w:ind w:left="2233" w:hanging="291"/>
      </w:pPr>
      <w:rPr>
        <w:rFonts w:hint="default"/>
      </w:rPr>
    </w:lvl>
    <w:lvl w:ilvl="3">
      <w:start w:val="1"/>
      <w:numFmt w:val="bullet"/>
      <w:lvlText w:val="•"/>
      <w:lvlJc w:val="left"/>
      <w:pPr>
        <w:ind w:left="3226" w:hanging="291"/>
      </w:pPr>
      <w:rPr>
        <w:rFonts w:hint="default"/>
      </w:rPr>
    </w:lvl>
    <w:lvl w:ilvl="4">
      <w:start w:val="1"/>
      <w:numFmt w:val="bullet"/>
      <w:lvlText w:val="•"/>
      <w:lvlJc w:val="left"/>
      <w:pPr>
        <w:ind w:left="4220" w:hanging="291"/>
      </w:pPr>
      <w:rPr>
        <w:rFonts w:hint="default"/>
      </w:rPr>
    </w:lvl>
    <w:lvl w:ilvl="5">
      <w:start w:val="1"/>
      <w:numFmt w:val="bullet"/>
      <w:lvlText w:val="•"/>
      <w:lvlJc w:val="left"/>
      <w:pPr>
        <w:ind w:left="5213" w:hanging="291"/>
      </w:pPr>
      <w:rPr>
        <w:rFonts w:hint="default"/>
      </w:rPr>
    </w:lvl>
    <w:lvl w:ilvl="6">
      <w:start w:val="1"/>
      <w:numFmt w:val="bullet"/>
      <w:lvlText w:val="•"/>
      <w:lvlJc w:val="left"/>
      <w:pPr>
        <w:ind w:left="6207" w:hanging="291"/>
      </w:pPr>
      <w:rPr>
        <w:rFonts w:hint="default"/>
      </w:rPr>
    </w:lvl>
    <w:lvl w:ilvl="7">
      <w:start w:val="1"/>
      <w:numFmt w:val="bullet"/>
      <w:lvlText w:val="•"/>
      <w:lvlJc w:val="left"/>
      <w:pPr>
        <w:ind w:left="7200" w:hanging="291"/>
      </w:pPr>
      <w:rPr>
        <w:rFonts w:hint="default"/>
      </w:rPr>
    </w:lvl>
    <w:lvl w:ilvl="8">
      <w:start w:val="1"/>
      <w:numFmt w:val="bullet"/>
      <w:lvlText w:val="•"/>
      <w:lvlJc w:val="left"/>
      <w:pPr>
        <w:ind w:left="8193" w:hanging="291"/>
      </w:pPr>
      <w:rPr>
        <w:rFonts w:hint="default"/>
      </w:rPr>
    </w:lvl>
  </w:abstractNum>
  <w:abstractNum w:abstractNumId="33">
    <w:multiLevelType w:val="hybridMultilevel"/>
    <w:lvl w:ilvl="0">
      <w:start w:val="1"/>
      <w:numFmt w:val="bullet"/>
      <w:lvlText w:val="-"/>
      <w:lvlJc w:val="left"/>
      <w:pPr>
        <w:ind w:left="504" w:hanging="111"/>
      </w:pPr>
      <w:rPr>
        <w:rFonts w:hint="default" w:ascii="Arial" w:hAnsi="Arial" w:eastAsia="Arial" w:cs="Arial"/>
        <w:spacing w:val="-6"/>
        <w:w w:val="99"/>
        <w:sz w:val="18"/>
        <w:szCs w:val="18"/>
      </w:rPr>
    </w:lvl>
    <w:lvl w:ilvl="1">
      <w:start w:val="1"/>
      <w:numFmt w:val="bullet"/>
      <w:lvlText w:val="•"/>
      <w:lvlJc w:val="left"/>
      <w:pPr>
        <w:ind w:left="1472" w:hanging="111"/>
      </w:pPr>
      <w:rPr>
        <w:rFonts w:hint="default"/>
      </w:rPr>
    </w:lvl>
    <w:lvl w:ilvl="2">
      <w:start w:val="1"/>
      <w:numFmt w:val="bullet"/>
      <w:lvlText w:val="•"/>
      <w:lvlJc w:val="left"/>
      <w:pPr>
        <w:ind w:left="2444" w:hanging="111"/>
      </w:pPr>
      <w:rPr>
        <w:rFonts w:hint="default"/>
      </w:rPr>
    </w:lvl>
    <w:lvl w:ilvl="3">
      <w:start w:val="1"/>
      <w:numFmt w:val="bullet"/>
      <w:lvlText w:val="•"/>
      <w:lvlJc w:val="left"/>
      <w:pPr>
        <w:ind w:left="3416" w:hanging="111"/>
      </w:pPr>
      <w:rPr>
        <w:rFonts w:hint="default"/>
      </w:rPr>
    </w:lvl>
    <w:lvl w:ilvl="4">
      <w:start w:val="1"/>
      <w:numFmt w:val="bullet"/>
      <w:lvlText w:val="•"/>
      <w:lvlJc w:val="left"/>
      <w:pPr>
        <w:ind w:left="4388" w:hanging="111"/>
      </w:pPr>
      <w:rPr>
        <w:rFonts w:hint="default"/>
      </w:rPr>
    </w:lvl>
    <w:lvl w:ilvl="5">
      <w:start w:val="1"/>
      <w:numFmt w:val="bullet"/>
      <w:lvlText w:val="•"/>
      <w:lvlJc w:val="left"/>
      <w:pPr>
        <w:ind w:left="5360" w:hanging="111"/>
      </w:pPr>
      <w:rPr>
        <w:rFonts w:hint="default"/>
      </w:rPr>
    </w:lvl>
    <w:lvl w:ilvl="6">
      <w:start w:val="1"/>
      <w:numFmt w:val="bullet"/>
      <w:lvlText w:val="•"/>
      <w:lvlJc w:val="left"/>
      <w:pPr>
        <w:ind w:left="6332" w:hanging="111"/>
      </w:pPr>
      <w:rPr>
        <w:rFonts w:hint="default"/>
      </w:rPr>
    </w:lvl>
    <w:lvl w:ilvl="7">
      <w:start w:val="1"/>
      <w:numFmt w:val="bullet"/>
      <w:lvlText w:val="•"/>
      <w:lvlJc w:val="left"/>
      <w:pPr>
        <w:ind w:left="7304" w:hanging="111"/>
      </w:pPr>
      <w:rPr>
        <w:rFonts w:hint="default"/>
      </w:rPr>
    </w:lvl>
    <w:lvl w:ilvl="8">
      <w:start w:val="1"/>
      <w:numFmt w:val="bullet"/>
      <w:lvlText w:val="•"/>
      <w:lvlJc w:val="left"/>
      <w:pPr>
        <w:ind w:left="8276" w:hanging="111"/>
      </w:pPr>
      <w:rPr>
        <w:rFonts w:hint="default"/>
      </w:rPr>
    </w:lvl>
  </w:abstractNum>
  <w:abstractNum w:abstractNumId="32">
    <w:multiLevelType w:val="hybridMultilevel"/>
    <w:lvl w:ilvl="0">
      <w:start w:val="1"/>
      <w:numFmt w:val="bullet"/>
      <w:lvlText w:val="•"/>
      <w:lvlJc w:val="left"/>
      <w:pPr>
        <w:ind w:left="978" w:hanging="575"/>
      </w:pPr>
      <w:rPr>
        <w:rFonts w:hint="default" w:ascii="Arial" w:hAnsi="Arial" w:eastAsia="Arial" w:cs="Arial"/>
        <w:color w:val="111113"/>
        <w:w w:val="113"/>
        <w:sz w:val="20"/>
        <w:szCs w:val="20"/>
      </w:rPr>
    </w:lvl>
    <w:lvl w:ilvl="1">
      <w:start w:val="1"/>
      <w:numFmt w:val="bullet"/>
      <w:lvlText w:val="•"/>
      <w:lvlJc w:val="left"/>
      <w:pPr>
        <w:ind w:left="1840" w:hanging="575"/>
      </w:pPr>
      <w:rPr>
        <w:rFonts w:hint="default"/>
      </w:rPr>
    </w:lvl>
    <w:lvl w:ilvl="2">
      <w:start w:val="1"/>
      <w:numFmt w:val="bullet"/>
      <w:lvlText w:val="•"/>
      <w:lvlJc w:val="left"/>
      <w:pPr>
        <w:ind w:left="2700" w:hanging="575"/>
      </w:pPr>
      <w:rPr>
        <w:rFonts w:hint="default"/>
      </w:rPr>
    </w:lvl>
    <w:lvl w:ilvl="3">
      <w:start w:val="1"/>
      <w:numFmt w:val="bullet"/>
      <w:lvlText w:val="•"/>
      <w:lvlJc w:val="left"/>
      <w:pPr>
        <w:ind w:left="3561" w:hanging="575"/>
      </w:pPr>
      <w:rPr>
        <w:rFonts w:hint="default"/>
      </w:rPr>
    </w:lvl>
    <w:lvl w:ilvl="4">
      <w:start w:val="1"/>
      <w:numFmt w:val="bullet"/>
      <w:lvlText w:val="•"/>
      <w:lvlJc w:val="left"/>
      <w:pPr>
        <w:ind w:left="4421" w:hanging="575"/>
      </w:pPr>
      <w:rPr>
        <w:rFonts w:hint="default"/>
      </w:rPr>
    </w:lvl>
    <w:lvl w:ilvl="5">
      <w:start w:val="1"/>
      <w:numFmt w:val="bullet"/>
      <w:lvlText w:val="•"/>
      <w:lvlJc w:val="left"/>
      <w:pPr>
        <w:ind w:left="5282" w:hanging="575"/>
      </w:pPr>
      <w:rPr>
        <w:rFonts w:hint="default"/>
      </w:rPr>
    </w:lvl>
    <w:lvl w:ilvl="6">
      <w:start w:val="1"/>
      <w:numFmt w:val="bullet"/>
      <w:lvlText w:val="•"/>
      <w:lvlJc w:val="left"/>
      <w:pPr>
        <w:ind w:left="6142" w:hanging="575"/>
      </w:pPr>
      <w:rPr>
        <w:rFonts w:hint="default"/>
      </w:rPr>
    </w:lvl>
    <w:lvl w:ilvl="7">
      <w:start w:val="1"/>
      <w:numFmt w:val="bullet"/>
      <w:lvlText w:val="•"/>
      <w:lvlJc w:val="left"/>
      <w:pPr>
        <w:ind w:left="7002" w:hanging="575"/>
      </w:pPr>
      <w:rPr>
        <w:rFonts w:hint="default"/>
      </w:rPr>
    </w:lvl>
    <w:lvl w:ilvl="8">
      <w:start w:val="1"/>
      <w:numFmt w:val="bullet"/>
      <w:lvlText w:val="•"/>
      <w:lvlJc w:val="left"/>
      <w:pPr>
        <w:ind w:left="7863" w:hanging="575"/>
      </w:pPr>
      <w:rPr>
        <w:rFonts w:hint="default"/>
      </w:rPr>
    </w:lvl>
  </w:abstractNum>
  <w:abstractNum w:abstractNumId="31">
    <w:multiLevelType w:val="hybridMultilevel"/>
    <w:lvl w:ilvl="0">
      <w:start w:val="1"/>
      <w:numFmt w:val="bullet"/>
      <w:lvlText w:val="•"/>
      <w:lvlJc w:val="left"/>
      <w:pPr>
        <w:ind w:left="983" w:hanging="566"/>
      </w:pPr>
      <w:rPr>
        <w:rFonts w:hint="default" w:ascii="Times New Roman" w:hAnsi="Times New Roman" w:eastAsia="Times New Roman" w:cs="Times New Roman"/>
        <w:w w:val="104"/>
        <w:position w:val="-2"/>
      </w:rPr>
    </w:lvl>
    <w:lvl w:ilvl="1">
      <w:start w:val="1"/>
      <w:numFmt w:val="bullet"/>
      <w:lvlText w:val="•"/>
      <w:lvlJc w:val="left"/>
      <w:pPr>
        <w:ind w:left="1840" w:hanging="566"/>
      </w:pPr>
      <w:rPr>
        <w:rFonts w:hint="default"/>
      </w:rPr>
    </w:lvl>
    <w:lvl w:ilvl="2">
      <w:start w:val="1"/>
      <w:numFmt w:val="bullet"/>
      <w:lvlText w:val="•"/>
      <w:lvlJc w:val="left"/>
      <w:pPr>
        <w:ind w:left="2700" w:hanging="566"/>
      </w:pPr>
      <w:rPr>
        <w:rFonts w:hint="default"/>
      </w:rPr>
    </w:lvl>
    <w:lvl w:ilvl="3">
      <w:start w:val="1"/>
      <w:numFmt w:val="bullet"/>
      <w:lvlText w:val="•"/>
      <w:lvlJc w:val="left"/>
      <w:pPr>
        <w:ind w:left="3561" w:hanging="566"/>
      </w:pPr>
      <w:rPr>
        <w:rFonts w:hint="default"/>
      </w:rPr>
    </w:lvl>
    <w:lvl w:ilvl="4">
      <w:start w:val="1"/>
      <w:numFmt w:val="bullet"/>
      <w:lvlText w:val="•"/>
      <w:lvlJc w:val="left"/>
      <w:pPr>
        <w:ind w:left="4421" w:hanging="566"/>
      </w:pPr>
      <w:rPr>
        <w:rFonts w:hint="default"/>
      </w:rPr>
    </w:lvl>
    <w:lvl w:ilvl="5">
      <w:start w:val="1"/>
      <w:numFmt w:val="bullet"/>
      <w:lvlText w:val="•"/>
      <w:lvlJc w:val="left"/>
      <w:pPr>
        <w:ind w:left="5282" w:hanging="566"/>
      </w:pPr>
      <w:rPr>
        <w:rFonts w:hint="default"/>
      </w:rPr>
    </w:lvl>
    <w:lvl w:ilvl="6">
      <w:start w:val="1"/>
      <w:numFmt w:val="bullet"/>
      <w:lvlText w:val="•"/>
      <w:lvlJc w:val="left"/>
      <w:pPr>
        <w:ind w:left="6142" w:hanging="566"/>
      </w:pPr>
      <w:rPr>
        <w:rFonts w:hint="default"/>
      </w:rPr>
    </w:lvl>
    <w:lvl w:ilvl="7">
      <w:start w:val="1"/>
      <w:numFmt w:val="bullet"/>
      <w:lvlText w:val="•"/>
      <w:lvlJc w:val="left"/>
      <w:pPr>
        <w:ind w:left="7002" w:hanging="566"/>
      </w:pPr>
      <w:rPr>
        <w:rFonts w:hint="default"/>
      </w:rPr>
    </w:lvl>
    <w:lvl w:ilvl="8">
      <w:start w:val="1"/>
      <w:numFmt w:val="bullet"/>
      <w:lvlText w:val="•"/>
      <w:lvlJc w:val="left"/>
      <w:pPr>
        <w:ind w:left="7863" w:hanging="566"/>
      </w:pPr>
      <w:rPr>
        <w:rFonts w:hint="default"/>
      </w:rPr>
    </w:lvl>
  </w:abstractNum>
  <w:abstractNum w:abstractNumId="30">
    <w:multiLevelType w:val="hybridMultilevel"/>
    <w:lvl w:ilvl="0">
      <w:start w:val="36"/>
      <w:numFmt w:val="decimal"/>
      <w:lvlText w:val="%1"/>
      <w:lvlJc w:val="left"/>
      <w:pPr>
        <w:ind w:left="505" w:hanging="396"/>
        <w:jc w:val="left"/>
      </w:pPr>
      <w:rPr>
        <w:rFonts w:hint="default" w:ascii="Arial" w:hAnsi="Arial" w:eastAsia="Arial" w:cs="Arial"/>
        <w:b/>
        <w:bCs/>
        <w:w w:val="99"/>
        <w:sz w:val="18"/>
        <w:szCs w:val="18"/>
      </w:rPr>
    </w:lvl>
    <w:lvl w:ilvl="1">
      <w:start w:val="1"/>
      <w:numFmt w:val="bullet"/>
      <w:lvlText w:val="•"/>
      <w:lvlJc w:val="left"/>
      <w:pPr>
        <w:ind w:left="1298" w:hanging="567"/>
      </w:pPr>
      <w:rPr>
        <w:rFonts w:hint="default" w:ascii="Arial" w:hAnsi="Arial" w:eastAsia="Arial" w:cs="Arial"/>
        <w:color w:val="0F0F11"/>
        <w:w w:val="103"/>
        <w:sz w:val="20"/>
        <w:szCs w:val="20"/>
      </w:rPr>
    </w:lvl>
    <w:lvl w:ilvl="2">
      <w:start w:val="1"/>
      <w:numFmt w:val="bullet"/>
      <w:lvlText w:val="•"/>
      <w:lvlJc w:val="left"/>
      <w:pPr>
        <w:ind w:left="1300" w:hanging="567"/>
      </w:pPr>
      <w:rPr>
        <w:rFonts w:hint="default"/>
      </w:rPr>
    </w:lvl>
    <w:lvl w:ilvl="3">
      <w:start w:val="1"/>
      <w:numFmt w:val="bullet"/>
      <w:lvlText w:val="•"/>
      <w:lvlJc w:val="left"/>
      <w:pPr>
        <w:ind w:left="2405" w:hanging="567"/>
      </w:pPr>
      <w:rPr>
        <w:rFonts w:hint="default"/>
      </w:rPr>
    </w:lvl>
    <w:lvl w:ilvl="4">
      <w:start w:val="1"/>
      <w:numFmt w:val="bullet"/>
      <w:lvlText w:val="•"/>
      <w:lvlJc w:val="left"/>
      <w:pPr>
        <w:ind w:left="3511" w:hanging="567"/>
      </w:pPr>
      <w:rPr>
        <w:rFonts w:hint="default"/>
      </w:rPr>
    </w:lvl>
    <w:lvl w:ilvl="5">
      <w:start w:val="1"/>
      <w:numFmt w:val="bullet"/>
      <w:lvlText w:val="•"/>
      <w:lvlJc w:val="left"/>
      <w:pPr>
        <w:ind w:left="4616" w:hanging="567"/>
      </w:pPr>
      <w:rPr>
        <w:rFonts w:hint="default"/>
      </w:rPr>
    </w:lvl>
    <w:lvl w:ilvl="6">
      <w:start w:val="1"/>
      <w:numFmt w:val="bullet"/>
      <w:lvlText w:val="•"/>
      <w:lvlJc w:val="left"/>
      <w:pPr>
        <w:ind w:left="5722" w:hanging="567"/>
      </w:pPr>
      <w:rPr>
        <w:rFonts w:hint="default"/>
      </w:rPr>
    </w:lvl>
    <w:lvl w:ilvl="7">
      <w:start w:val="1"/>
      <w:numFmt w:val="bullet"/>
      <w:lvlText w:val="•"/>
      <w:lvlJc w:val="left"/>
      <w:pPr>
        <w:ind w:left="6827" w:hanging="567"/>
      </w:pPr>
      <w:rPr>
        <w:rFonts w:hint="default"/>
      </w:rPr>
    </w:lvl>
    <w:lvl w:ilvl="8">
      <w:start w:val="1"/>
      <w:numFmt w:val="bullet"/>
      <w:lvlText w:val="•"/>
      <w:lvlJc w:val="left"/>
      <w:pPr>
        <w:ind w:left="7933" w:hanging="567"/>
      </w:pPr>
      <w:rPr>
        <w:rFonts w:hint="default"/>
      </w:rPr>
    </w:lvl>
  </w:abstractNum>
  <w:abstractNum w:abstractNumId="29">
    <w:multiLevelType w:val="hybridMultilevel"/>
    <w:lvl w:ilvl="0">
      <w:start w:val="35"/>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w w:val="99"/>
        <w:sz w:val="18"/>
        <w:szCs w:val="18"/>
      </w:rPr>
    </w:lvl>
    <w:lvl w:ilvl="2">
      <w:start w:val="1"/>
      <w:numFmt w:val="bullet"/>
      <w:lvlText w:val="•"/>
      <w:lvlJc w:val="left"/>
      <w:pPr>
        <w:ind w:left="2084" w:hanging="567"/>
      </w:pPr>
      <w:rPr>
        <w:rFonts w:hint="default"/>
      </w:rPr>
    </w:lvl>
    <w:lvl w:ilvl="3">
      <w:start w:val="1"/>
      <w:numFmt w:val="bullet"/>
      <w:lvlText w:val="•"/>
      <w:lvlJc w:val="left"/>
      <w:pPr>
        <w:ind w:left="3089" w:hanging="567"/>
      </w:pPr>
      <w:rPr>
        <w:rFonts w:hint="default"/>
      </w:rPr>
    </w:lvl>
    <w:lvl w:ilvl="4">
      <w:start w:val="1"/>
      <w:numFmt w:val="bullet"/>
      <w:lvlText w:val="•"/>
      <w:lvlJc w:val="left"/>
      <w:pPr>
        <w:ind w:left="4094" w:hanging="567"/>
      </w:pPr>
      <w:rPr>
        <w:rFonts w:hint="default"/>
      </w:rPr>
    </w:lvl>
    <w:lvl w:ilvl="5">
      <w:start w:val="1"/>
      <w:numFmt w:val="bullet"/>
      <w:lvlText w:val="•"/>
      <w:lvlJc w:val="left"/>
      <w:pPr>
        <w:ind w:left="5099" w:hanging="567"/>
      </w:pPr>
      <w:rPr>
        <w:rFonts w:hint="default"/>
      </w:rPr>
    </w:lvl>
    <w:lvl w:ilvl="6">
      <w:start w:val="1"/>
      <w:numFmt w:val="bullet"/>
      <w:lvlText w:val="•"/>
      <w:lvlJc w:val="left"/>
      <w:pPr>
        <w:ind w:left="6104" w:hanging="567"/>
      </w:pPr>
      <w:rPr>
        <w:rFonts w:hint="default"/>
      </w:rPr>
    </w:lvl>
    <w:lvl w:ilvl="7">
      <w:start w:val="1"/>
      <w:numFmt w:val="bullet"/>
      <w:lvlText w:val="•"/>
      <w:lvlJc w:val="left"/>
      <w:pPr>
        <w:ind w:left="7109" w:hanging="567"/>
      </w:pPr>
      <w:rPr>
        <w:rFonts w:hint="default"/>
      </w:rPr>
    </w:lvl>
    <w:lvl w:ilvl="8">
      <w:start w:val="1"/>
      <w:numFmt w:val="bullet"/>
      <w:lvlText w:val="•"/>
      <w:lvlJc w:val="left"/>
      <w:pPr>
        <w:ind w:left="8114" w:hanging="567"/>
      </w:pPr>
      <w:rPr>
        <w:rFonts w:hint="default"/>
      </w:rPr>
    </w:lvl>
  </w:abstractNum>
  <w:abstractNum w:abstractNumId="28">
    <w:multiLevelType w:val="hybridMultilevel"/>
    <w:lvl w:ilvl="0">
      <w:start w:val="6"/>
      <w:numFmt w:val="lowerLetter"/>
      <w:lvlText w:val="(%1)"/>
      <w:lvlJc w:val="left"/>
      <w:pPr>
        <w:ind w:left="1071" w:hanging="567"/>
        <w:jc w:val="left"/>
      </w:pPr>
      <w:rPr>
        <w:rFonts w:hint="default" w:ascii="Arial" w:hAnsi="Arial" w:eastAsia="Arial" w:cs="Arial"/>
        <w:spacing w:val="-1"/>
        <w:w w:val="99"/>
        <w:sz w:val="18"/>
        <w:szCs w:val="18"/>
      </w:rPr>
    </w:lvl>
    <w:lvl w:ilvl="1">
      <w:start w:val="1"/>
      <w:numFmt w:val="bullet"/>
      <w:lvlText w:val="•"/>
      <w:lvlJc w:val="left"/>
      <w:pPr>
        <w:ind w:left="1460" w:hanging="567"/>
      </w:pPr>
      <w:rPr>
        <w:rFonts w:hint="default"/>
      </w:rPr>
    </w:lvl>
    <w:lvl w:ilvl="2">
      <w:start w:val="1"/>
      <w:numFmt w:val="bullet"/>
      <w:lvlText w:val="•"/>
      <w:lvlJc w:val="left"/>
      <w:pPr>
        <w:ind w:left="1840" w:hanging="567"/>
      </w:pPr>
      <w:rPr>
        <w:rFonts w:hint="default"/>
      </w:rPr>
    </w:lvl>
    <w:lvl w:ilvl="3">
      <w:start w:val="1"/>
      <w:numFmt w:val="bullet"/>
      <w:lvlText w:val="•"/>
      <w:lvlJc w:val="left"/>
      <w:pPr>
        <w:ind w:left="2220" w:hanging="567"/>
      </w:pPr>
      <w:rPr>
        <w:rFonts w:hint="default"/>
      </w:rPr>
    </w:lvl>
    <w:lvl w:ilvl="4">
      <w:start w:val="1"/>
      <w:numFmt w:val="bullet"/>
      <w:lvlText w:val="•"/>
      <w:lvlJc w:val="left"/>
      <w:pPr>
        <w:ind w:left="2601" w:hanging="567"/>
      </w:pPr>
      <w:rPr>
        <w:rFonts w:hint="default"/>
      </w:rPr>
    </w:lvl>
    <w:lvl w:ilvl="5">
      <w:start w:val="1"/>
      <w:numFmt w:val="bullet"/>
      <w:lvlText w:val="•"/>
      <w:lvlJc w:val="left"/>
      <w:pPr>
        <w:ind w:left="2981" w:hanging="567"/>
      </w:pPr>
      <w:rPr>
        <w:rFonts w:hint="default"/>
      </w:rPr>
    </w:lvl>
    <w:lvl w:ilvl="6">
      <w:start w:val="1"/>
      <w:numFmt w:val="bullet"/>
      <w:lvlText w:val="•"/>
      <w:lvlJc w:val="left"/>
      <w:pPr>
        <w:ind w:left="3361" w:hanging="567"/>
      </w:pPr>
      <w:rPr>
        <w:rFonts w:hint="default"/>
      </w:rPr>
    </w:lvl>
    <w:lvl w:ilvl="7">
      <w:start w:val="1"/>
      <w:numFmt w:val="bullet"/>
      <w:lvlText w:val="•"/>
      <w:lvlJc w:val="left"/>
      <w:pPr>
        <w:ind w:left="3742" w:hanging="567"/>
      </w:pPr>
      <w:rPr>
        <w:rFonts w:hint="default"/>
      </w:rPr>
    </w:lvl>
    <w:lvl w:ilvl="8">
      <w:start w:val="1"/>
      <w:numFmt w:val="bullet"/>
      <w:lvlText w:val="•"/>
      <w:lvlJc w:val="left"/>
      <w:pPr>
        <w:ind w:left="4122" w:hanging="567"/>
      </w:pPr>
      <w:rPr>
        <w:rFonts w:hint="default"/>
      </w:rPr>
    </w:lvl>
  </w:abstractNum>
  <w:abstractNum w:abstractNumId="26">
    <w:multiLevelType w:val="hybridMultilevel"/>
    <w:lvl w:ilvl="0">
      <w:start w:val="32"/>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w w:val="99"/>
        <w:sz w:val="18"/>
        <w:szCs w:val="18"/>
      </w:rPr>
    </w:lvl>
    <w:lvl w:ilvl="2">
      <w:start w:val="1"/>
      <w:numFmt w:val="bullet"/>
      <w:lvlText w:val="•"/>
      <w:lvlJc w:val="left"/>
      <w:pPr>
        <w:ind w:left="1316" w:hanging="567"/>
      </w:pPr>
      <w:rPr>
        <w:rFonts w:hint="default"/>
      </w:rPr>
    </w:lvl>
    <w:lvl w:ilvl="3">
      <w:start w:val="1"/>
      <w:numFmt w:val="bullet"/>
      <w:lvlText w:val="•"/>
      <w:lvlJc w:val="left"/>
      <w:pPr>
        <w:ind w:left="1553" w:hanging="567"/>
      </w:pPr>
      <w:rPr>
        <w:rFonts w:hint="default"/>
      </w:rPr>
    </w:lvl>
    <w:lvl w:ilvl="4">
      <w:start w:val="1"/>
      <w:numFmt w:val="bullet"/>
      <w:lvlText w:val="•"/>
      <w:lvlJc w:val="left"/>
      <w:pPr>
        <w:ind w:left="1790" w:hanging="567"/>
      </w:pPr>
      <w:rPr>
        <w:rFonts w:hint="default"/>
      </w:rPr>
    </w:lvl>
    <w:lvl w:ilvl="5">
      <w:start w:val="1"/>
      <w:numFmt w:val="bullet"/>
      <w:lvlText w:val="•"/>
      <w:lvlJc w:val="left"/>
      <w:pPr>
        <w:ind w:left="2027" w:hanging="567"/>
      </w:pPr>
      <w:rPr>
        <w:rFonts w:hint="default"/>
      </w:rPr>
    </w:lvl>
    <w:lvl w:ilvl="6">
      <w:start w:val="1"/>
      <w:numFmt w:val="bullet"/>
      <w:lvlText w:val="•"/>
      <w:lvlJc w:val="left"/>
      <w:pPr>
        <w:ind w:left="2264" w:hanging="567"/>
      </w:pPr>
      <w:rPr>
        <w:rFonts w:hint="default"/>
      </w:rPr>
    </w:lvl>
    <w:lvl w:ilvl="7">
      <w:start w:val="1"/>
      <w:numFmt w:val="bullet"/>
      <w:lvlText w:val="•"/>
      <w:lvlJc w:val="left"/>
      <w:pPr>
        <w:ind w:left="2501" w:hanging="567"/>
      </w:pPr>
      <w:rPr>
        <w:rFonts w:hint="default"/>
      </w:rPr>
    </w:lvl>
    <w:lvl w:ilvl="8">
      <w:start w:val="1"/>
      <w:numFmt w:val="bullet"/>
      <w:lvlText w:val="•"/>
      <w:lvlJc w:val="left"/>
      <w:pPr>
        <w:ind w:left="2738" w:hanging="567"/>
      </w:pPr>
      <w:rPr>
        <w:rFonts w:hint="default"/>
      </w:rPr>
    </w:lvl>
  </w:abstractNum>
  <w:abstractNum w:abstractNumId="25">
    <w:multiLevelType w:val="hybridMultilevel"/>
    <w:lvl w:ilvl="0">
      <w:start w:val="4"/>
      <w:numFmt w:val="lowerLetter"/>
      <w:lvlText w:val="(%1)"/>
      <w:lvlJc w:val="left"/>
      <w:pPr>
        <w:ind w:left="1071" w:hanging="567"/>
        <w:jc w:val="left"/>
      </w:pPr>
      <w:rPr>
        <w:rFonts w:hint="default" w:ascii="Arial" w:hAnsi="Arial" w:eastAsia="Arial" w:cs="Arial"/>
        <w:w w:val="99"/>
        <w:sz w:val="18"/>
        <w:szCs w:val="18"/>
      </w:rPr>
    </w:lvl>
    <w:lvl w:ilvl="1">
      <w:start w:val="1"/>
      <w:numFmt w:val="lowerLetter"/>
      <w:lvlText w:val="(%2)"/>
      <w:lvlJc w:val="left"/>
      <w:pPr>
        <w:ind w:left="1070" w:hanging="211"/>
        <w:jc w:val="left"/>
      </w:pPr>
      <w:rPr>
        <w:rFonts w:hint="default" w:ascii="Arial" w:hAnsi="Arial" w:eastAsia="Arial" w:cs="Arial"/>
        <w:w w:val="100"/>
        <w:sz w:val="14"/>
        <w:szCs w:val="14"/>
      </w:rPr>
    </w:lvl>
    <w:lvl w:ilvl="2">
      <w:start w:val="1"/>
      <w:numFmt w:val="bullet"/>
      <w:lvlText w:val="•"/>
      <w:lvlJc w:val="left"/>
      <w:pPr>
        <w:ind w:left="3880" w:hanging="211"/>
      </w:pPr>
      <w:rPr>
        <w:rFonts w:hint="default"/>
      </w:rPr>
    </w:lvl>
    <w:lvl w:ilvl="3">
      <w:start w:val="1"/>
      <w:numFmt w:val="bullet"/>
      <w:lvlText w:val="•"/>
      <w:lvlJc w:val="left"/>
      <w:pPr>
        <w:ind w:left="5280" w:hanging="211"/>
      </w:pPr>
      <w:rPr>
        <w:rFonts w:hint="default"/>
      </w:rPr>
    </w:lvl>
    <w:lvl w:ilvl="4">
      <w:start w:val="1"/>
      <w:numFmt w:val="bullet"/>
      <w:lvlText w:val="•"/>
      <w:lvlJc w:val="left"/>
      <w:pPr>
        <w:ind w:left="6680" w:hanging="211"/>
      </w:pPr>
      <w:rPr>
        <w:rFonts w:hint="default"/>
      </w:rPr>
    </w:lvl>
    <w:lvl w:ilvl="5">
      <w:start w:val="1"/>
      <w:numFmt w:val="bullet"/>
      <w:lvlText w:val="•"/>
      <w:lvlJc w:val="left"/>
      <w:pPr>
        <w:ind w:left="8080" w:hanging="211"/>
      </w:pPr>
      <w:rPr>
        <w:rFonts w:hint="default"/>
      </w:rPr>
    </w:lvl>
    <w:lvl w:ilvl="6">
      <w:start w:val="1"/>
      <w:numFmt w:val="bullet"/>
      <w:lvlText w:val="•"/>
      <w:lvlJc w:val="left"/>
      <w:pPr>
        <w:ind w:left="9480" w:hanging="211"/>
      </w:pPr>
      <w:rPr>
        <w:rFonts w:hint="default"/>
      </w:rPr>
    </w:lvl>
    <w:lvl w:ilvl="7">
      <w:start w:val="1"/>
      <w:numFmt w:val="bullet"/>
      <w:lvlText w:val="•"/>
      <w:lvlJc w:val="left"/>
      <w:pPr>
        <w:ind w:left="10880" w:hanging="211"/>
      </w:pPr>
      <w:rPr>
        <w:rFonts w:hint="default"/>
      </w:rPr>
    </w:lvl>
    <w:lvl w:ilvl="8">
      <w:start w:val="1"/>
      <w:numFmt w:val="bullet"/>
      <w:lvlText w:val="•"/>
      <w:lvlJc w:val="left"/>
      <w:pPr>
        <w:ind w:left="12280" w:hanging="211"/>
      </w:pPr>
      <w:rPr>
        <w:rFonts w:hint="default"/>
      </w:rPr>
    </w:lvl>
  </w:abstractNum>
  <w:abstractNum w:abstractNumId="24">
    <w:multiLevelType w:val="hybridMultilevel"/>
    <w:lvl w:ilvl="0">
      <w:start w:val="2"/>
      <w:numFmt w:val="lowerLetter"/>
      <w:lvlText w:val="(%1)"/>
      <w:lvlJc w:val="left"/>
      <w:pPr>
        <w:ind w:left="1071" w:hanging="567"/>
        <w:jc w:val="left"/>
      </w:pPr>
      <w:rPr>
        <w:rFonts w:hint="default" w:ascii="Arial" w:hAnsi="Arial" w:eastAsia="Arial" w:cs="Arial"/>
        <w:w w:val="99"/>
        <w:sz w:val="18"/>
        <w:szCs w:val="18"/>
      </w:rPr>
    </w:lvl>
    <w:lvl w:ilvl="1">
      <w:start w:val="1"/>
      <w:numFmt w:val="bullet"/>
      <w:lvlText w:val="•"/>
      <w:lvlJc w:val="left"/>
      <w:pPr>
        <w:ind w:left="2024" w:hanging="567"/>
      </w:pPr>
      <w:rPr>
        <w:rFonts w:hint="default"/>
      </w:rPr>
    </w:lvl>
    <w:lvl w:ilvl="2">
      <w:start w:val="1"/>
      <w:numFmt w:val="bullet"/>
      <w:lvlText w:val="•"/>
      <w:lvlJc w:val="left"/>
      <w:pPr>
        <w:ind w:left="2968" w:hanging="567"/>
      </w:pPr>
      <w:rPr>
        <w:rFonts w:hint="default"/>
      </w:rPr>
    </w:lvl>
    <w:lvl w:ilvl="3">
      <w:start w:val="1"/>
      <w:numFmt w:val="bullet"/>
      <w:lvlText w:val="•"/>
      <w:lvlJc w:val="left"/>
      <w:pPr>
        <w:ind w:left="3913" w:hanging="567"/>
      </w:pPr>
      <w:rPr>
        <w:rFonts w:hint="default"/>
      </w:rPr>
    </w:lvl>
    <w:lvl w:ilvl="4">
      <w:start w:val="1"/>
      <w:numFmt w:val="bullet"/>
      <w:lvlText w:val="•"/>
      <w:lvlJc w:val="left"/>
      <w:pPr>
        <w:ind w:left="4857" w:hanging="567"/>
      </w:pPr>
      <w:rPr>
        <w:rFonts w:hint="default"/>
      </w:rPr>
    </w:lvl>
    <w:lvl w:ilvl="5">
      <w:start w:val="1"/>
      <w:numFmt w:val="bullet"/>
      <w:lvlText w:val="•"/>
      <w:lvlJc w:val="left"/>
      <w:pPr>
        <w:ind w:left="5802" w:hanging="567"/>
      </w:pPr>
      <w:rPr>
        <w:rFonts w:hint="default"/>
      </w:rPr>
    </w:lvl>
    <w:lvl w:ilvl="6">
      <w:start w:val="1"/>
      <w:numFmt w:val="bullet"/>
      <w:lvlText w:val="•"/>
      <w:lvlJc w:val="left"/>
      <w:pPr>
        <w:ind w:left="6746" w:hanging="567"/>
      </w:pPr>
      <w:rPr>
        <w:rFonts w:hint="default"/>
      </w:rPr>
    </w:lvl>
    <w:lvl w:ilvl="7">
      <w:start w:val="1"/>
      <w:numFmt w:val="bullet"/>
      <w:lvlText w:val="•"/>
      <w:lvlJc w:val="left"/>
      <w:pPr>
        <w:ind w:left="7691" w:hanging="567"/>
      </w:pPr>
      <w:rPr>
        <w:rFonts w:hint="default"/>
      </w:rPr>
    </w:lvl>
    <w:lvl w:ilvl="8">
      <w:start w:val="1"/>
      <w:numFmt w:val="bullet"/>
      <w:lvlText w:val="•"/>
      <w:lvlJc w:val="left"/>
      <w:pPr>
        <w:ind w:left="8635" w:hanging="567"/>
      </w:pPr>
      <w:rPr>
        <w:rFonts w:hint="default"/>
      </w:rPr>
    </w:lvl>
  </w:abstractNum>
  <w:abstractNum w:abstractNumId="23">
    <w:multiLevelType w:val="hybridMultilevel"/>
    <w:lvl w:ilvl="0">
      <w:start w:val="1"/>
      <w:numFmt w:val="lowerRoman"/>
      <w:lvlText w:val="(%1)"/>
      <w:lvlJc w:val="left"/>
      <w:pPr>
        <w:ind w:left="1282" w:hanging="210"/>
        <w:jc w:val="left"/>
      </w:pPr>
      <w:rPr>
        <w:rFonts w:hint="default" w:ascii="Arial" w:hAnsi="Arial" w:eastAsia="Arial" w:cs="Arial"/>
        <w:w w:val="99"/>
        <w:sz w:val="18"/>
        <w:szCs w:val="18"/>
      </w:rPr>
    </w:lvl>
    <w:lvl w:ilvl="1">
      <w:start w:val="1"/>
      <w:numFmt w:val="bullet"/>
      <w:lvlText w:val="•"/>
      <w:lvlJc w:val="left"/>
      <w:pPr>
        <w:ind w:left="2168" w:hanging="210"/>
      </w:pPr>
      <w:rPr>
        <w:rFonts w:hint="default"/>
      </w:rPr>
    </w:lvl>
    <w:lvl w:ilvl="2">
      <w:start w:val="1"/>
      <w:numFmt w:val="bullet"/>
      <w:lvlText w:val="•"/>
      <w:lvlJc w:val="left"/>
      <w:pPr>
        <w:ind w:left="3056" w:hanging="210"/>
      </w:pPr>
      <w:rPr>
        <w:rFonts w:hint="default"/>
      </w:rPr>
    </w:lvl>
    <w:lvl w:ilvl="3">
      <w:start w:val="1"/>
      <w:numFmt w:val="bullet"/>
      <w:lvlText w:val="•"/>
      <w:lvlJc w:val="left"/>
      <w:pPr>
        <w:ind w:left="3945" w:hanging="210"/>
      </w:pPr>
      <w:rPr>
        <w:rFonts w:hint="default"/>
      </w:rPr>
    </w:lvl>
    <w:lvl w:ilvl="4">
      <w:start w:val="1"/>
      <w:numFmt w:val="bullet"/>
      <w:lvlText w:val="•"/>
      <w:lvlJc w:val="left"/>
      <w:pPr>
        <w:ind w:left="4833" w:hanging="210"/>
      </w:pPr>
      <w:rPr>
        <w:rFonts w:hint="default"/>
      </w:rPr>
    </w:lvl>
    <w:lvl w:ilvl="5">
      <w:start w:val="1"/>
      <w:numFmt w:val="bullet"/>
      <w:lvlText w:val="•"/>
      <w:lvlJc w:val="left"/>
      <w:pPr>
        <w:ind w:left="5722" w:hanging="210"/>
      </w:pPr>
      <w:rPr>
        <w:rFonts w:hint="default"/>
      </w:rPr>
    </w:lvl>
    <w:lvl w:ilvl="6">
      <w:start w:val="1"/>
      <w:numFmt w:val="bullet"/>
      <w:lvlText w:val="•"/>
      <w:lvlJc w:val="left"/>
      <w:pPr>
        <w:ind w:left="6610" w:hanging="210"/>
      </w:pPr>
      <w:rPr>
        <w:rFonts w:hint="default"/>
      </w:rPr>
    </w:lvl>
    <w:lvl w:ilvl="7">
      <w:start w:val="1"/>
      <w:numFmt w:val="bullet"/>
      <w:lvlText w:val="•"/>
      <w:lvlJc w:val="left"/>
      <w:pPr>
        <w:ind w:left="7499" w:hanging="210"/>
      </w:pPr>
      <w:rPr>
        <w:rFonts w:hint="default"/>
      </w:rPr>
    </w:lvl>
    <w:lvl w:ilvl="8">
      <w:start w:val="1"/>
      <w:numFmt w:val="bullet"/>
      <w:lvlText w:val="•"/>
      <w:lvlJc w:val="left"/>
      <w:pPr>
        <w:ind w:left="8387" w:hanging="210"/>
      </w:pPr>
      <w:rPr>
        <w:rFonts w:hint="default"/>
      </w:rPr>
    </w:lvl>
  </w:abstractNum>
  <w:abstractNum w:abstractNumId="22">
    <w:multiLevelType w:val="hybridMultilevel"/>
    <w:lvl w:ilvl="0">
      <w:start w:val="31"/>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w w:val="99"/>
        <w:sz w:val="18"/>
        <w:szCs w:val="18"/>
      </w:rPr>
    </w:lvl>
    <w:lvl w:ilvl="2">
      <w:start w:val="1"/>
      <w:numFmt w:val="lowerRoman"/>
      <w:lvlText w:val="%3)"/>
      <w:lvlJc w:val="left"/>
      <w:pPr>
        <w:ind w:left="1072" w:hanging="150"/>
        <w:jc w:val="left"/>
      </w:pPr>
      <w:rPr>
        <w:rFonts w:hint="default" w:ascii="Arial" w:hAnsi="Arial" w:eastAsia="Arial" w:cs="Arial"/>
        <w:w w:val="99"/>
        <w:sz w:val="18"/>
        <w:szCs w:val="18"/>
      </w:rPr>
    </w:lvl>
    <w:lvl w:ilvl="3">
      <w:start w:val="1"/>
      <w:numFmt w:val="bullet"/>
      <w:lvlText w:val="•"/>
      <w:lvlJc w:val="left"/>
      <w:pPr>
        <w:ind w:left="3089" w:hanging="150"/>
      </w:pPr>
      <w:rPr>
        <w:rFonts w:hint="default"/>
      </w:rPr>
    </w:lvl>
    <w:lvl w:ilvl="4">
      <w:start w:val="1"/>
      <w:numFmt w:val="bullet"/>
      <w:lvlText w:val="•"/>
      <w:lvlJc w:val="left"/>
      <w:pPr>
        <w:ind w:left="4094" w:hanging="150"/>
      </w:pPr>
      <w:rPr>
        <w:rFonts w:hint="default"/>
      </w:rPr>
    </w:lvl>
    <w:lvl w:ilvl="5">
      <w:start w:val="1"/>
      <w:numFmt w:val="bullet"/>
      <w:lvlText w:val="•"/>
      <w:lvlJc w:val="left"/>
      <w:pPr>
        <w:ind w:left="5099" w:hanging="150"/>
      </w:pPr>
      <w:rPr>
        <w:rFonts w:hint="default"/>
      </w:rPr>
    </w:lvl>
    <w:lvl w:ilvl="6">
      <w:start w:val="1"/>
      <w:numFmt w:val="bullet"/>
      <w:lvlText w:val="•"/>
      <w:lvlJc w:val="left"/>
      <w:pPr>
        <w:ind w:left="6104" w:hanging="150"/>
      </w:pPr>
      <w:rPr>
        <w:rFonts w:hint="default"/>
      </w:rPr>
    </w:lvl>
    <w:lvl w:ilvl="7">
      <w:start w:val="1"/>
      <w:numFmt w:val="bullet"/>
      <w:lvlText w:val="•"/>
      <w:lvlJc w:val="left"/>
      <w:pPr>
        <w:ind w:left="7109" w:hanging="150"/>
      </w:pPr>
      <w:rPr>
        <w:rFonts w:hint="default"/>
      </w:rPr>
    </w:lvl>
    <w:lvl w:ilvl="8">
      <w:start w:val="1"/>
      <w:numFmt w:val="bullet"/>
      <w:lvlText w:val="•"/>
      <w:lvlJc w:val="left"/>
      <w:pPr>
        <w:ind w:left="8114" w:hanging="150"/>
      </w:pPr>
      <w:rPr>
        <w:rFonts w:hint="default"/>
      </w:rPr>
    </w:lvl>
  </w:abstractNum>
  <w:abstractNum w:abstractNumId="21">
    <w:multiLevelType w:val="hybridMultilevel"/>
    <w:lvl w:ilvl="0">
      <w:start w:val="30"/>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w w:val="99"/>
        <w:sz w:val="18"/>
        <w:szCs w:val="18"/>
      </w:rPr>
    </w:lvl>
    <w:lvl w:ilvl="2">
      <w:start w:val="1"/>
      <w:numFmt w:val="lowerRoman"/>
      <w:lvlText w:val="(%3)"/>
      <w:lvlJc w:val="left"/>
      <w:pPr>
        <w:ind w:left="1224" w:hanging="210"/>
        <w:jc w:val="left"/>
      </w:pPr>
      <w:rPr>
        <w:rFonts w:hint="default" w:ascii="Arial" w:hAnsi="Arial" w:eastAsia="Arial" w:cs="Arial"/>
        <w:i/>
        <w:w w:val="99"/>
        <w:sz w:val="18"/>
        <w:szCs w:val="18"/>
      </w:rPr>
    </w:lvl>
    <w:lvl w:ilvl="3">
      <w:start w:val="1"/>
      <w:numFmt w:val="bullet"/>
      <w:lvlText w:val="•"/>
      <w:lvlJc w:val="left"/>
      <w:pPr>
        <w:ind w:left="2333" w:hanging="210"/>
      </w:pPr>
      <w:rPr>
        <w:rFonts w:hint="default"/>
      </w:rPr>
    </w:lvl>
    <w:lvl w:ilvl="4">
      <w:start w:val="1"/>
      <w:numFmt w:val="bullet"/>
      <w:lvlText w:val="•"/>
      <w:lvlJc w:val="left"/>
      <w:pPr>
        <w:ind w:left="3446" w:hanging="210"/>
      </w:pPr>
      <w:rPr>
        <w:rFonts w:hint="default"/>
      </w:rPr>
    </w:lvl>
    <w:lvl w:ilvl="5">
      <w:start w:val="1"/>
      <w:numFmt w:val="bullet"/>
      <w:lvlText w:val="•"/>
      <w:lvlJc w:val="left"/>
      <w:pPr>
        <w:ind w:left="4559" w:hanging="210"/>
      </w:pPr>
      <w:rPr>
        <w:rFonts w:hint="default"/>
      </w:rPr>
    </w:lvl>
    <w:lvl w:ilvl="6">
      <w:start w:val="1"/>
      <w:numFmt w:val="bullet"/>
      <w:lvlText w:val="•"/>
      <w:lvlJc w:val="left"/>
      <w:pPr>
        <w:ind w:left="5672" w:hanging="210"/>
      </w:pPr>
      <w:rPr>
        <w:rFonts w:hint="default"/>
      </w:rPr>
    </w:lvl>
    <w:lvl w:ilvl="7">
      <w:start w:val="1"/>
      <w:numFmt w:val="bullet"/>
      <w:lvlText w:val="•"/>
      <w:lvlJc w:val="left"/>
      <w:pPr>
        <w:ind w:left="6785" w:hanging="210"/>
      </w:pPr>
      <w:rPr>
        <w:rFonts w:hint="default"/>
      </w:rPr>
    </w:lvl>
    <w:lvl w:ilvl="8">
      <w:start w:val="1"/>
      <w:numFmt w:val="bullet"/>
      <w:lvlText w:val="•"/>
      <w:lvlJc w:val="left"/>
      <w:pPr>
        <w:ind w:left="7898" w:hanging="210"/>
      </w:pPr>
      <w:rPr>
        <w:rFonts w:hint="default"/>
      </w:rPr>
    </w:lvl>
  </w:abstractNum>
  <w:abstractNum w:abstractNumId="20">
    <w:multiLevelType w:val="hybridMultilevel"/>
    <w:lvl w:ilvl="0">
      <w:start w:val="1"/>
      <w:numFmt w:val="lowerRoman"/>
      <w:lvlText w:val="(%1)"/>
      <w:lvlJc w:val="left"/>
      <w:pPr>
        <w:ind w:left="827" w:hanging="283"/>
        <w:jc w:val="left"/>
      </w:pPr>
      <w:rPr>
        <w:rFonts w:hint="default" w:ascii="Arial" w:hAnsi="Arial" w:eastAsia="Arial" w:cs="Arial"/>
        <w:w w:val="99"/>
        <w:sz w:val="18"/>
        <w:szCs w:val="18"/>
      </w:rPr>
    </w:lvl>
    <w:lvl w:ilvl="1">
      <w:start w:val="1"/>
      <w:numFmt w:val="bullet"/>
      <w:lvlText w:val="•"/>
      <w:lvlJc w:val="left"/>
      <w:pPr>
        <w:ind w:left="1754" w:hanging="283"/>
      </w:pPr>
      <w:rPr>
        <w:rFonts w:hint="default"/>
      </w:rPr>
    </w:lvl>
    <w:lvl w:ilvl="2">
      <w:start w:val="1"/>
      <w:numFmt w:val="bullet"/>
      <w:lvlText w:val="•"/>
      <w:lvlJc w:val="left"/>
      <w:pPr>
        <w:ind w:left="2688" w:hanging="283"/>
      </w:pPr>
      <w:rPr>
        <w:rFonts w:hint="default"/>
      </w:rPr>
    </w:lvl>
    <w:lvl w:ilvl="3">
      <w:start w:val="1"/>
      <w:numFmt w:val="bullet"/>
      <w:lvlText w:val="•"/>
      <w:lvlJc w:val="left"/>
      <w:pPr>
        <w:ind w:left="3623" w:hanging="283"/>
      </w:pPr>
      <w:rPr>
        <w:rFonts w:hint="default"/>
      </w:rPr>
    </w:lvl>
    <w:lvl w:ilvl="4">
      <w:start w:val="1"/>
      <w:numFmt w:val="bullet"/>
      <w:lvlText w:val="•"/>
      <w:lvlJc w:val="left"/>
      <w:pPr>
        <w:ind w:left="4557" w:hanging="283"/>
      </w:pPr>
      <w:rPr>
        <w:rFonts w:hint="default"/>
      </w:rPr>
    </w:lvl>
    <w:lvl w:ilvl="5">
      <w:start w:val="1"/>
      <w:numFmt w:val="bullet"/>
      <w:lvlText w:val="•"/>
      <w:lvlJc w:val="left"/>
      <w:pPr>
        <w:ind w:left="5492" w:hanging="283"/>
      </w:pPr>
      <w:rPr>
        <w:rFonts w:hint="default"/>
      </w:rPr>
    </w:lvl>
    <w:lvl w:ilvl="6">
      <w:start w:val="1"/>
      <w:numFmt w:val="bullet"/>
      <w:lvlText w:val="•"/>
      <w:lvlJc w:val="left"/>
      <w:pPr>
        <w:ind w:left="6426" w:hanging="283"/>
      </w:pPr>
      <w:rPr>
        <w:rFonts w:hint="default"/>
      </w:rPr>
    </w:lvl>
    <w:lvl w:ilvl="7">
      <w:start w:val="1"/>
      <w:numFmt w:val="bullet"/>
      <w:lvlText w:val="•"/>
      <w:lvlJc w:val="left"/>
      <w:pPr>
        <w:ind w:left="7361" w:hanging="283"/>
      </w:pPr>
      <w:rPr>
        <w:rFonts w:hint="default"/>
      </w:rPr>
    </w:lvl>
    <w:lvl w:ilvl="8">
      <w:start w:val="1"/>
      <w:numFmt w:val="bullet"/>
      <w:lvlText w:val="•"/>
      <w:lvlJc w:val="left"/>
      <w:pPr>
        <w:ind w:left="8295" w:hanging="283"/>
      </w:pPr>
      <w:rPr>
        <w:rFonts w:hint="default"/>
      </w:rPr>
    </w:lvl>
  </w:abstractNum>
  <w:abstractNum w:abstractNumId="19">
    <w:multiLevelType w:val="hybridMultilevel"/>
    <w:lvl w:ilvl="0">
      <w:start w:val="28"/>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111" w:hanging="567"/>
        <w:jc w:val="left"/>
      </w:pPr>
      <w:rPr>
        <w:rFonts w:hint="default" w:ascii="Arial" w:hAnsi="Arial" w:eastAsia="Arial" w:cs="Arial"/>
        <w:w w:val="99"/>
        <w:sz w:val="18"/>
        <w:szCs w:val="18"/>
      </w:rPr>
    </w:lvl>
    <w:lvl w:ilvl="2">
      <w:start w:val="1"/>
      <w:numFmt w:val="bullet"/>
      <w:lvlText w:val="•"/>
      <w:lvlJc w:val="left"/>
      <w:pPr>
        <w:ind w:left="2120" w:hanging="567"/>
      </w:pPr>
      <w:rPr>
        <w:rFonts w:hint="default"/>
      </w:rPr>
    </w:lvl>
    <w:lvl w:ilvl="3">
      <w:start w:val="1"/>
      <w:numFmt w:val="bullet"/>
      <w:lvlText w:val="•"/>
      <w:lvlJc w:val="left"/>
      <w:pPr>
        <w:ind w:left="3120" w:hanging="567"/>
      </w:pPr>
      <w:rPr>
        <w:rFonts w:hint="default"/>
      </w:rPr>
    </w:lvl>
    <w:lvl w:ilvl="4">
      <w:start w:val="1"/>
      <w:numFmt w:val="bullet"/>
      <w:lvlText w:val="•"/>
      <w:lvlJc w:val="left"/>
      <w:pPr>
        <w:ind w:left="4121" w:hanging="567"/>
      </w:pPr>
      <w:rPr>
        <w:rFonts w:hint="default"/>
      </w:rPr>
    </w:lvl>
    <w:lvl w:ilvl="5">
      <w:start w:val="1"/>
      <w:numFmt w:val="bullet"/>
      <w:lvlText w:val="•"/>
      <w:lvlJc w:val="left"/>
      <w:pPr>
        <w:ind w:left="5121" w:hanging="567"/>
      </w:pPr>
      <w:rPr>
        <w:rFonts w:hint="default"/>
      </w:rPr>
    </w:lvl>
    <w:lvl w:ilvl="6">
      <w:start w:val="1"/>
      <w:numFmt w:val="bullet"/>
      <w:lvlText w:val="•"/>
      <w:lvlJc w:val="left"/>
      <w:pPr>
        <w:ind w:left="6122" w:hanging="567"/>
      </w:pPr>
      <w:rPr>
        <w:rFonts w:hint="default"/>
      </w:rPr>
    </w:lvl>
    <w:lvl w:ilvl="7">
      <w:start w:val="1"/>
      <w:numFmt w:val="bullet"/>
      <w:lvlText w:val="•"/>
      <w:lvlJc w:val="left"/>
      <w:pPr>
        <w:ind w:left="7122" w:hanging="567"/>
      </w:pPr>
      <w:rPr>
        <w:rFonts w:hint="default"/>
      </w:rPr>
    </w:lvl>
    <w:lvl w:ilvl="8">
      <w:start w:val="1"/>
      <w:numFmt w:val="bullet"/>
      <w:lvlText w:val="•"/>
      <w:lvlJc w:val="left"/>
      <w:pPr>
        <w:ind w:left="8123" w:hanging="567"/>
      </w:pPr>
      <w:rPr>
        <w:rFonts w:hint="default"/>
      </w:rPr>
    </w:lvl>
  </w:abstractNum>
  <w:abstractNum w:abstractNumId="17">
    <w:multiLevelType w:val="hybridMultilevel"/>
    <w:lvl w:ilvl="0">
      <w:start w:val="27"/>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w w:val="99"/>
        <w:sz w:val="18"/>
        <w:szCs w:val="18"/>
      </w:rPr>
    </w:lvl>
    <w:lvl w:ilvl="2">
      <w:start w:val="1"/>
      <w:numFmt w:val="lowerRoman"/>
      <w:lvlText w:val="(%3)"/>
      <w:lvlJc w:val="left"/>
      <w:pPr>
        <w:ind w:left="1282" w:hanging="210"/>
        <w:jc w:val="left"/>
      </w:pPr>
      <w:rPr>
        <w:rFonts w:hint="default" w:ascii="Arial" w:hAnsi="Arial" w:eastAsia="Arial" w:cs="Arial"/>
        <w:w w:val="99"/>
        <w:sz w:val="18"/>
        <w:szCs w:val="18"/>
      </w:rPr>
    </w:lvl>
    <w:lvl w:ilvl="3">
      <w:start w:val="1"/>
      <w:numFmt w:val="bullet"/>
      <w:lvlText w:val="•"/>
      <w:lvlJc w:val="left"/>
      <w:pPr>
        <w:ind w:left="2390" w:hanging="210"/>
      </w:pPr>
      <w:rPr>
        <w:rFonts w:hint="default"/>
      </w:rPr>
    </w:lvl>
    <w:lvl w:ilvl="4">
      <w:start w:val="1"/>
      <w:numFmt w:val="bullet"/>
      <w:lvlText w:val="•"/>
      <w:lvlJc w:val="left"/>
      <w:pPr>
        <w:ind w:left="3501" w:hanging="210"/>
      </w:pPr>
      <w:rPr>
        <w:rFonts w:hint="default"/>
      </w:rPr>
    </w:lvl>
    <w:lvl w:ilvl="5">
      <w:start w:val="1"/>
      <w:numFmt w:val="bullet"/>
      <w:lvlText w:val="•"/>
      <w:lvlJc w:val="left"/>
      <w:pPr>
        <w:ind w:left="4611" w:hanging="210"/>
      </w:pPr>
      <w:rPr>
        <w:rFonts w:hint="default"/>
      </w:rPr>
    </w:lvl>
    <w:lvl w:ilvl="6">
      <w:start w:val="1"/>
      <w:numFmt w:val="bullet"/>
      <w:lvlText w:val="•"/>
      <w:lvlJc w:val="left"/>
      <w:pPr>
        <w:ind w:left="5722" w:hanging="210"/>
      </w:pPr>
      <w:rPr>
        <w:rFonts w:hint="default"/>
      </w:rPr>
    </w:lvl>
    <w:lvl w:ilvl="7">
      <w:start w:val="1"/>
      <w:numFmt w:val="bullet"/>
      <w:lvlText w:val="•"/>
      <w:lvlJc w:val="left"/>
      <w:pPr>
        <w:ind w:left="6832" w:hanging="210"/>
      </w:pPr>
      <w:rPr>
        <w:rFonts w:hint="default"/>
      </w:rPr>
    </w:lvl>
    <w:lvl w:ilvl="8">
      <w:start w:val="1"/>
      <w:numFmt w:val="bullet"/>
      <w:lvlText w:val="•"/>
      <w:lvlJc w:val="left"/>
      <w:pPr>
        <w:ind w:left="7943" w:hanging="210"/>
      </w:pPr>
      <w:rPr>
        <w:rFonts w:hint="default"/>
      </w:rPr>
    </w:lvl>
  </w:abstractNum>
  <w:abstractNum w:abstractNumId="16">
    <w:multiLevelType w:val="hybridMultilevel"/>
    <w:lvl w:ilvl="0">
      <w:start w:val="1"/>
      <w:numFmt w:val="lowerRoman"/>
      <w:lvlText w:val="(%1)"/>
      <w:lvlJc w:val="left"/>
      <w:pPr>
        <w:ind w:left="787" w:hanging="283"/>
        <w:jc w:val="left"/>
      </w:pPr>
      <w:rPr>
        <w:rFonts w:hint="default" w:ascii="Arial" w:hAnsi="Arial" w:eastAsia="Arial" w:cs="Arial"/>
        <w:w w:val="99"/>
        <w:sz w:val="18"/>
        <w:szCs w:val="18"/>
      </w:rPr>
    </w:lvl>
    <w:lvl w:ilvl="1">
      <w:start w:val="1"/>
      <w:numFmt w:val="bullet"/>
      <w:lvlText w:val="•"/>
      <w:lvlJc w:val="left"/>
      <w:pPr>
        <w:ind w:left="1714" w:hanging="283"/>
      </w:pPr>
      <w:rPr>
        <w:rFonts w:hint="default"/>
      </w:rPr>
    </w:lvl>
    <w:lvl w:ilvl="2">
      <w:start w:val="1"/>
      <w:numFmt w:val="bullet"/>
      <w:lvlText w:val="•"/>
      <w:lvlJc w:val="left"/>
      <w:pPr>
        <w:ind w:left="2648" w:hanging="283"/>
      </w:pPr>
      <w:rPr>
        <w:rFonts w:hint="default"/>
      </w:rPr>
    </w:lvl>
    <w:lvl w:ilvl="3">
      <w:start w:val="1"/>
      <w:numFmt w:val="bullet"/>
      <w:lvlText w:val="•"/>
      <w:lvlJc w:val="left"/>
      <w:pPr>
        <w:ind w:left="3583" w:hanging="283"/>
      </w:pPr>
      <w:rPr>
        <w:rFonts w:hint="default"/>
      </w:rPr>
    </w:lvl>
    <w:lvl w:ilvl="4">
      <w:start w:val="1"/>
      <w:numFmt w:val="bullet"/>
      <w:lvlText w:val="•"/>
      <w:lvlJc w:val="left"/>
      <w:pPr>
        <w:ind w:left="4517" w:hanging="283"/>
      </w:pPr>
      <w:rPr>
        <w:rFonts w:hint="default"/>
      </w:rPr>
    </w:lvl>
    <w:lvl w:ilvl="5">
      <w:start w:val="1"/>
      <w:numFmt w:val="bullet"/>
      <w:lvlText w:val="•"/>
      <w:lvlJc w:val="left"/>
      <w:pPr>
        <w:ind w:left="5452" w:hanging="283"/>
      </w:pPr>
      <w:rPr>
        <w:rFonts w:hint="default"/>
      </w:rPr>
    </w:lvl>
    <w:lvl w:ilvl="6">
      <w:start w:val="1"/>
      <w:numFmt w:val="bullet"/>
      <w:lvlText w:val="•"/>
      <w:lvlJc w:val="left"/>
      <w:pPr>
        <w:ind w:left="6386" w:hanging="283"/>
      </w:pPr>
      <w:rPr>
        <w:rFonts w:hint="default"/>
      </w:rPr>
    </w:lvl>
    <w:lvl w:ilvl="7">
      <w:start w:val="1"/>
      <w:numFmt w:val="bullet"/>
      <w:lvlText w:val="•"/>
      <w:lvlJc w:val="left"/>
      <w:pPr>
        <w:ind w:left="7321" w:hanging="283"/>
      </w:pPr>
      <w:rPr>
        <w:rFonts w:hint="default"/>
      </w:rPr>
    </w:lvl>
    <w:lvl w:ilvl="8">
      <w:start w:val="1"/>
      <w:numFmt w:val="bullet"/>
      <w:lvlText w:val="•"/>
      <w:lvlJc w:val="left"/>
      <w:pPr>
        <w:ind w:left="8255" w:hanging="283"/>
      </w:pPr>
      <w:rPr>
        <w:rFonts w:hint="default"/>
      </w:rPr>
    </w:lvl>
  </w:abstractNum>
  <w:abstractNum w:abstractNumId="15">
    <w:multiLevelType w:val="hybridMultilevel"/>
    <w:lvl w:ilvl="0">
      <w:start w:val="21"/>
      <w:numFmt w:val="decimal"/>
      <w:lvlText w:val="%1"/>
      <w:lvlJc w:val="left"/>
      <w:pPr>
        <w:ind w:left="54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w w:val="99"/>
        <w:sz w:val="18"/>
        <w:szCs w:val="18"/>
      </w:rPr>
    </w:lvl>
    <w:lvl w:ilvl="2">
      <w:start w:val="1"/>
      <w:numFmt w:val="bullet"/>
      <w:lvlText w:val="•"/>
      <w:lvlJc w:val="left"/>
      <w:pPr>
        <w:ind w:left="2084" w:hanging="567"/>
      </w:pPr>
      <w:rPr>
        <w:rFonts w:hint="default"/>
      </w:rPr>
    </w:lvl>
    <w:lvl w:ilvl="3">
      <w:start w:val="1"/>
      <w:numFmt w:val="bullet"/>
      <w:lvlText w:val="•"/>
      <w:lvlJc w:val="left"/>
      <w:pPr>
        <w:ind w:left="3089" w:hanging="567"/>
      </w:pPr>
      <w:rPr>
        <w:rFonts w:hint="default"/>
      </w:rPr>
    </w:lvl>
    <w:lvl w:ilvl="4">
      <w:start w:val="1"/>
      <w:numFmt w:val="bullet"/>
      <w:lvlText w:val="•"/>
      <w:lvlJc w:val="left"/>
      <w:pPr>
        <w:ind w:left="4094" w:hanging="567"/>
      </w:pPr>
      <w:rPr>
        <w:rFonts w:hint="default"/>
      </w:rPr>
    </w:lvl>
    <w:lvl w:ilvl="5">
      <w:start w:val="1"/>
      <w:numFmt w:val="bullet"/>
      <w:lvlText w:val="•"/>
      <w:lvlJc w:val="left"/>
      <w:pPr>
        <w:ind w:left="5099" w:hanging="567"/>
      </w:pPr>
      <w:rPr>
        <w:rFonts w:hint="default"/>
      </w:rPr>
    </w:lvl>
    <w:lvl w:ilvl="6">
      <w:start w:val="1"/>
      <w:numFmt w:val="bullet"/>
      <w:lvlText w:val="•"/>
      <w:lvlJc w:val="left"/>
      <w:pPr>
        <w:ind w:left="6104" w:hanging="567"/>
      </w:pPr>
      <w:rPr>
        <w:rFonts w:hint="default"/>
      </w:rPr>
    </w:lvl>
    <w:lvl w:ilvl="7">
      <w:start w:val="1"/>
      <w:numFmt w:val="bullet"/>
      <w:lvlText w:val="•"/>
      <w:lvlJc w:val="left"/>
      <w:pPr>
        <w:ind w:left="7109" w:hanging="567"/>
      </w:pPr>
      <w:rPr>
        <w:rFonts w:hint="default"/>
      </w:rPr>
    </w:lvl>
    <w:lvl w:ilvl="8">
      <w:start w:val="1"/>
      <w:numFmt w:val="bullet"/>
      <w:lvlText w:val="•"/>
      <w:lvlJc w:val="left"/>
      <w:pPr>
        <w:ind w:left="8114" w:hanging="567"/>
      </w:pPr>
      <w:rPr>
        <w:rFonts w:hint="default"/>
      </w:rPr>
    </w:lvl>
  </w:abstractNum>
  <w:abstractNum w:abstractNumId="14">
    <w:multiLevelType w:val="hybridMultilevel"/>
    <w:lvl w:ilvl="0">
      <w:start w:val="18"/>
      <w:numFmt w:val="decimal"/>
      <w:lvlText w:val="%1"/>
      <w:lvlJc w:val="left"/>
      <w:pPr>
        <w:ind w:left="488" w:hanging="380"/>
        <w:jc w:val="left"/>
      </w:pPr>
      <w:rPr>
        <w:rFonts w:hint="default" w:ascii="Arial" w:hAnsi="Arial" w:eastAsia="Arial" w:cs="Arial"/>
        <w:b/>
        <w:bCs/>
        <w:spacing w:val="-8"/>
        <w:w w:val="99"/>
        <w:sz w:val="18"/>
        <w:szCs w:val="18"/>
      </w:rPr>
    </w:lvl>
    <w:lvl w:ilvl="1">
      <w:start w:val="1"/>
      <w:numFmt w:val="lowerLetter"/>
      <w:lvlText w:val="(%2)"/>
      <w:lvlJc w:val="left"/>
      <w:pPr>
        <w:ind w:left="1071" w:hanging="567"/>
        <w:jc w:val="left"/>
      </w:pPr>
      <w:rPr>
        <w:rFonts w:hint="default" w:ascii="Arial" w:hAnsi="Arial" w:eastAsia="Arial" w:cs="Arial"/>
        <w:w w:val="99"/>
        <w:sz w:val="18"/>
        <w:szCs w:val="18"/>
      </w:rPr>
    </w:lvl>
    <w:lvl w:ilvl="2">
      <w:start w:val="1"/>
      <w:numFmt w:val="bullet"/>
      <w:lvlText w:val="•"/>
      <w:lvlJc w:val="left"/>
      <w:pPr>
        <w:ind w:left="1367" w:hanging="567"/>
      </w:pPr>
      <w:rPr>
        <w:rFonts w:hint="default"/>
      </w:rPr>
    </w:lvl>
    <w:lvl w:ilvl="3">
      <w:start w:val="1"/>
      <w:numFmt w:val="bullet"/>
      <w:lvlText w:val="•"/>
      <w:lvlJc w:val="left"/>
      <w:pPr>
        <w:ind w:left="1653" w:hanging="567"/>
      </w:pPr>
      <w:rPr>
        <w:rFonts w:hint="default"/>
      </w:rPr>
    </w:lvl>
    <w:lvl w:ilvl="4">
      <w:start w:val="1"/>
      <w:numFmt w:val="bullet"/>
      <w:lvlText w:val="•"/>
      <w:lvlJc w:val="left"/>
      <w:pPr>
        <w:ind w:left="1940" w:hanging="567"/>
      </w:pPr>
      <w:rPr>
        <w:rFonts w:hint="default"/>
      </w:rPr>
    </w:lvl>
    <w:lvl w:ilvl="5">
      <w:start w:val="1"/>
      <w:numFmt w:val="bullet"/>
      <w:lvlText w:val="•"/>
      <w:lvlJc w:val="left"/>
      <w:pPr>
        <w:ind w:left="2227" w:hanging="567"/>
      </w:pPr>
      <w:rPr>
        <w:rFonts w:hint="default"/>
      </w:rPr>
    </w:lvl>
    <w:lvl w:ilvl="6">
      <w:start w:val="1"/>
      <w:numFmt w:val="bullet"/>
      <w:lvlText w:val="•"/>
      <w:lvlJc w:val="left"/>
      <w:pPr>
        <w:ind w:left="2514" w:hanging="567"/>
      </w:pPr>
      <w:rPr>
        <w:rFonts w:hint="default"/>
      </w:rPr>
    </w:lvl>
    <w:lvl w:ilvl="7">
      <w:start w:val="1"/>
      <w:numFmt w:val="bullet"/>
      <w:lvlText w:val="•"/>
      <w:lvlJc w:val="left"/>
      <w:pPr>
        <w:ind w:left="2801" w:hanging="567"/>
      </w:pPr>
      <w:rPr>
        <w:rFonts w:hint="default"/>
      </w:rPr>
    </w:lvl>
    <w:lvl w:ilvl="8">
      <w:start w:val="1"/>
      <w:numFmt w:val="bullet"/>
      <w:lvlText w:val="•"/>
      <w:lvlJc w:val="left"/>
      <w:pPr>
        <w:ind w:left="3088" w:hanging="567"/>
      </w:pPr>
      <w:rPr>
        <w:rFonts w:hint="default"/>
      </w:rPr>
    </w:lvl>
  </w:abstractNum>
  <w:abstractNum w:abstractNumId="13">
    <w:multiLevelType w:val="hybridMultilevel"/>
    <w:lvl w:ilvl="0">
      <w:start w:val="16"/>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w w:val="99"/>
        <w:sz w:val="18"/>
        <w:szCs w:val="18"/>
      </w:rPr>
    </w:lvl>
    <w:lvl w:ilvl="2">
      <w:start w:val="1"/>
      <w:numFmt w:val="bullet"/>
      <w:lvlText w:val="•"/>
      <w:lvlJc w:val="left"/>
      <w:pPr>
        <w:ind w:left="2084" w:hanging="567"/>
      </w:pPr>
      <w:rPr>
        <w:rFonts w:hint="default"/>
      </w:rPr>
    </w:lvl>
    <w:lvl w:ilvl="3">
      <w:start w:val="1"/>
      <w:numFmt w:val="bullet"/>
      <w:lvlText w:val="•"/>
      <w:lvlJc w:val="left"/>
      <w:pPr>
        <w:ind w:left="3089" w:hanging="567"/>
      </w:pPr>
      <w:rPr>
        <w:rFonts w:hint="default"/>
      </w:rPr>
    </w:lvl>
    <w:lvl w:ilvl="4">
      <w:start w:val="1"/>
      <w:numFmt w:val="bullet"/>
      <w:lvlText w:val="•"/>
      <w:lvlJc w:val="left"/>
      <w:pPr>
        <w:ind w:left="4094" w:hanging="567"/>
      </w:pPr>
      <w:rPr>
        <w:rFonts w:hint="default"/>
      </w:rPr>
    </w:lvl>
    <w:lvl w:ilvl="5">
      <w:start w:val="1"/>
      <w:numFmt w:val="bullet"/>
      <w:lvlText w:val="•"/>
      <w:lvlJc w:val="left"/>
      <w:pPr>
        <w:ind w:left="5099" w:hanging="567"/>
      </w:pPr>
      <w:rPr>
        <w:rFonts w:hint="default"/>
      </w:rPr>
    </w:lvl>
    <w:lvl w:ilvl="6">
      <w:start w:val="1"/>
      <w:numFmt w:val="bullet"/>
      <w:lvlText w:val="•"/>
      <w:lvlJc w:val="left"/>
      <w:pPr>
        <w:ind w:left="6104" w:hanging="567"/>
      </w:pPr>
      <w:rPr>
        <w:rFonts w:hint="default"/>
      </w:rPr>
    </w:lvl>
    <w:lvl w:ilvl="7">
      <w:start w:val="1"/>
      <w:numFmt w:val="bullet"/>
      <w:lvlText w:val="•"/>
      <w:lvlJc w:val="left"/>
      <w:pPr>
        <w:ind w:left="7109" w:hanging="567"/>
      </w:pPr>
      <w:rPr>
        <w:rFonts w:hint="default"/>
      </w:rPr>
    </w:lvl>
    <w:lvl w:ilvl="8">
      <w:start w:val="1"/>
      <w:numFmt w:val="bullet"/>
      <w:lvlText w:val="•"/>
      <w:lvlJc w:val="left"/>
      <w:pPr>
        <w:ind w:left="8114" w:hanging="567"/>
      </w:pPr>
      <w:rPr>
        <w:rFonts w:hint="default"/>
      </w:rPr>
    </w:lvl>
  </w:abstractNum>
  <w:abstractNum w:abstractNumId="12">
    <w:multiLevelType w:val="hybridMultilevel"/>
    <w:lvl w:ilvl="0">
      <w:start w:val="15"/>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w w:val="99"/>
        <w:sz w:val="18"/>
        <w:szCs w:val="18"/>
      </w:rPr>
    </w:lvl>
    <w:lvl w:ilvl="2">
      <w:start w:val="1"/>
      <w:numFmt w:val="bullet"/>
      <w:lvlText w:val="•"/>
      <w:lvlJc w:val="left"/>
      <w:pPr>
        <w:ind w:left="2084" w:hanging="567"/>
      </w:pPr>
      <w:rPr>
        <w:rFonts w:hint="default"/>
      </w:rPr>
    </w:lvl>
    <w:lvl w:ilvl="3">
      <w:start w:val="1"/>
      <w:numFmt w:val="bullet"/>
      <w:lvlText w:val="•"/>
      <w:lvlJc w:val="left"/>
      <w:pPr>
        <w:ind w:left="3089" w:hanging="567"/>
      </w:pPr>
      <w:rPr>
        <w:rFonts w:hint="default"/>
      </w:rPr>
    </w:lvl>
    <w:lvl w:ilvl="4">
      <w:start w:val="1"/>
      <w:numFmt w:val="bullet"/>
      <w:lvlText w:val="•"/>
      <w:lvlJc w:val="left"/>
      <w:pPr>
        <w:ind w:left="4094" w:hanging="567"/>
      </w:pPr>
      <w:rPr>
        <w:rFonts w:hint="default"/>
      </w:rPr>
    </w:lvl>
    <w:lvl w:ilvl="5">
      <w:start w:val="1"/>
      <w:numFmt w:val="bullet"/>
      <w:lvlText w:val="•"/>
      <w:lvlJc w:val="left"/>
      <w:pPr>
        <w:ind w:left="5099" w:hanging="567"/>
      </w:pPr>
      <w:rPr>
        <w:rFonts w:hint="default"/>
      </w:rPr>
    </w:lvl>
    <w:lvl w:ilvl="6">
      <w:start w:val="1"/>
      <w:numFmt w:val="bullet"/>
      <w:lvlText w:val="•"/>
      <w:lvlJc w:val="left"/>
      <w:pPr>
        <w:ind w:left="6104" w:hanging="567"/>
      </w:pPr>
      <w:rPr>
        <w:rFonts w:hint="default"/>
      </w:rPr>
    </w:lvl>
    <w:lvl w:ilvl="7">
      <w:start w:val="1"/>
      <w:numFmt w:val="bullet"/>
      <w:lvlText w:val="•"/>
      <w:lvlJc w:val="left"/>
      <w:pPr>
        <w:ind w:left="7109" w:hanging="567"/>
      </w:pPr>
      <w:rPr>
        <w:rFonts w:hint="default"/>
      </w:rPr>
    </w:lvl>
    <w:lvl w:ilvl="8">
      <w:start w:val="1"/>
      <w:numFmt w:val="bullet"/>
      <w:lvlText w:val="•"/>
      <w:lvlJc w:val="left"/>
      <w:pPr>
        <w:ind w:left="8114" w:hanging="567"/>
      </w:pPr>
      <w:rPr>
        <w:rFonts w:hint="default"/>
      </w:rPr>
    </w:lvl>
  </w:abstractNum>
  <w:abstractNum w:abstractNumId="11">
    <w:multiLevelType w:val="hybridMultilevel"/>
    <w:lvl w:ilvl="0">
      <w:start w:val="10"/>
      <w:numFmt w:val="decimal"/>
      <w:lvlText w:val="%1"/>
      <w:lvlJc w:val="left"/>
      <w:pPr>
        <w:ind w:left="505" w:hanging="396"/>
        <w:jc w:val="left"/>
      </w:pPr>
      <w:rPr>
        <w:rFonts w:hint="default" w:ascii="Arial" w:hAnsi="Arial" w:eastAsia="Arial" w:cs="Arial"/>
        <w:b/>
        <w:bCs/>
        <w:w w:val="99"/>
        <w:sz w:val="18"/>
        <w:szCs w:val="18"/>
      </w:rPr>
    </w:lvl>
    <w:lvl w:ilvl="1">
      <w:start w:val="1"/>
      <w:numFmt w:val="bullet"/>
      <w:lvlText w:val="•"/>
      <w:lvlJc w:val="left"/>
      <w:pPr>
        <w:ind w:left="1462" w:hanging="396"/>
      </w:pPr>
      <w:rPr>
        <w:rFonts w:hint="default"/>
      </w:rPr>
    </w:lvl>
    <w:lvl w:ilvl="2">
      <w:start w:val="1"/>
      <w:numFmt w:val="bullet"/>
      <w:lvlText w:val="•"/>
      <w:lvlJc w:val="left"/>
      <w:pPr>
        <w:ind w:left="2424" w:hanging="396"/>
      </w:pPr>
      <w:rPr>
        <w:rFonts w:hint="default"/>
      </w:rPr>
    </w:lvl>
    <w:lvl w:ilvl="3">
      <w:start w:val="1"/>
      <w:numFmt w:val="bullet"/>
      <w:lvlText w:val="•"/>
      <w:lvlJc w:val="left"/>
      <w:pPr>
        <w:ind w:left="3387" w:hanging="396"/>
      </w:pPr>
      <w:rPr>
        <w:rFonts w:hint="default"/>
      </w:rPr>
    </w:lvl>
    <w:lvl w:ilvl="4">
      <w:start w:val="1"/>
      <w:numFmt w:val="bullet"/>
      <w:lvlText w:val="•"/>
      <w:lvlJc w:val="left"/>
      <w:pPr>
        <w:ind w:left="4349" w:hanging="396"/>
      </w:pPr>
      <w:rPr>
        <w:rFonts w:hint="default"/>
      </w:rPr>
    </w:lvl>
    <w:lvl w:ilvl="5">
      <w:start w:val="1"/>
      <w:numFmt w:val="bullet"/>
      <w:lvlText w:val="•"/>
      <w:lvlJc w:val="left"/>
      <w:pPr>
        <w:ind w:left="5312" w:hanging="396"/>
      </w:pPr>
      <w:rPr>
        <w:rFonts w:hint="default"/>
      </w:rPr>
    </w:lvl>
    <w:lvl w:ilvl="6">
      <w:start w:val="1"/>
      <w:numFmt w:val="bullet"/>
      <w:lvlText w:val="•"/>
      <w:lvlJc w:val="left"/>
      <w:pPr>
        <w:ind w:left="6274" w:hanging="396"/>
      </w:pPr>
      <w:rPr>
        <w:rFonts w:hint="default"/>
      </w:rPr>
    </w:lvl>
    <w:lvl w:ilvl="7">
      <w:start w:val="1"/>
      <w:numFmt w:val="bullet"/>
      <w:lvlText w:val="•"/>
      <w:lvlJc w:val="left"/>
      <w:pPr>
        <w:ind w:left="7237" w:hanging="396"/>
      </w:pPr>
      <w:rPr>
        <w:rFonts w:hint="default"/>
      </w:rPr>
    </w:lvl>
    <w:lvl w:ilvl="8">
      <w:start w:val="1"/>
      <w:numFmt w:val="bullet"/>
      <w:lvlText w:val="•"/>
      <w:lvlJc w:val="left"/>
      <w:pPr>
        <w:ind w:left="8199" w:hanging="396"/>
      </w:pPr>
      <w:rPr>
        <w:rFonts w:hint="default"/>
      </w:rPr>
    </w:lvl>
  </w:abstractNum>
  <w:abstractNum w:abstractNumId="10">
    <w:multiLevelType w:val="hybridMultilevel"/>
    <w:lvl w:ilvl="0">
      <w:start w:val="1"/>
      <w:numFmt w:val="decimal"/>
      <w:lvlText w:val="%1"/>
      <w:lvlJc w:val="left"/>
      <w:pPr>
        <w:ind w:left="505" w:hanging="395"/>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w w:val="99"/>
        <w:sz w:val="18"/>
        <w:szCs w:val="18"/>
      </w:rPr>
    </w:lvl>
    <w:lvl w:ilvl="2">
      <w:start w:val="1"/>
      <w:numFmt w:val="lowerRoman"/>
      <w:lvlText w:val="(%3)"/>
      <w:lvlJc w:val="left"/>
      <w:pPr>
        <w:ind w:left="1248" w:hanging="196"/>
        <w:jc w:val="left"/>
      </w:pPr>
      <w:rPr>
        <w:rFonts w:hint="default" w:ascii="Arial" w:hAnsi="Arial" w:eastAsia="Arial" w:cs="Arial"/>
        <w:b/>
        <w:bCs/>
        <w:w w:val="99"/>
        <w:sz w:val="16"/>
        <w:szCs w:val="16"/>
      </w:rPr>
    </w:lvl>
    <w:lvl w:ilvl="3">
      <w:start w:val="1"/>
      <w:numFmt w:val="bullet"/>
      <w:lvlText w:val="•"/>
      <w:lvlJc w:val="left"/>
      <w:pPr>
        <w:ind w:left="4460" w:hanging="196"/>
      </w:pPr>
      <w:rPr>
        <w:rFonts w:hint="default"/>
      </w:rPr>
    </w:lvl>
    <w:lvl w:ilvl="4">
      <w:start w:val="1"/>
      <w:numFmt w:val="bullet"/>
      <w:lvlText w:val="•"/>
      <w:lvlJc w:val="left"/>
      <w:pPr>
        <w:ind w:left="4546" w:hanging="196"/>
      </w:pPr>
      <w:rPr>
        <w:rFonts w:hint="default"/>
      </w:rPr>
    </w:lvl>
    <w:lvl w:ilvl="5">
      <w:start w:val="1"/>
      <w:numFmt w:val="bullet"/>
      <w:lvlText w:val="•"/>
      <w:lvlJc w:val="left"/>
      <w:pPr>
        <w:ind w:left="4632" w:hanging="196"/>
      </w:pPr>
      <w:rPr>
        <w:rFonts w:hint="default"/>
      </w:rPr>
    </w:lvl>
    <w:lvl w:ilvl="6">
      <w:start w:val="1"/>
      <w:numFmt w:val="bullet"/>
      <w:lvlText w:val="•"/>
      <w:lvlJc w:val="left"/>
      <w:pPr>
        <w:ind w:left="4718" w:hanging="196"/>
      </w:pPr>
      <w:rPr>
        <w:rFonts w:hint="default"/>
      </w:rPr>
    </w:lvl>
    <w:lvl w:ilvl="7">
      <w:start w:val="1"/>
      <w:numFmt w:val="bullet"/>
      <w:lvlText w:val="•"/>
      <w:lvlJc w:val="left"/>
      <w:pPr>
        <w:ind w:left="4804" w:hanging="196"/>
      </w:pPr>
      <w:rPr>
        <w:rFonts w:hint="default"/>
      </w:rPr>
    </w:lvl>
    <w:lvl w:ilvl="8">
      <w:start w:val="1"/>
      <w:numFmt w:val="bullet"/>
      <w:lvlText w:val="•"/>
      <w:lvlJc w:val="left"/>
      <w:pPr>
        <w:ind w:left="4890" w:hanging="196"/>
      </w:pPr>
      <w:rPr>
        <w:rFonts w:hint="default"/>
      </w:rPr>
    </w:lvl>
  </w:abstractNum>
  <w:abstractNum w:abstractNumId="9">
    <w:multiLevelType w:val="hybridMultilevel"/>
    <w:lvl w:ilvl="0">
      <w:start w:val="24"/>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bullet"/>
      <w:lvlText w:val="•"/>
      <w:lvlJc w:val="left"/>
      <w:pPr>
        <w:ind w:left="1280" w:hanging="567"/>
      </w:pPr>
      <w:rPr>
        <w:rFonts w:hint="default"/>
      </w:rPr>
    </w:lvl>
    <w:lvl w:ilvl="2">
      <w:start w:val="1"/>
      <w:numFmt w:val="bullet"/>
      <w:lvlText w:val="•"/>
      <w:lvlJc w:val="left"/>
      <w:pPr>
        <w:ind w:left="2264" w:hanging="567"/>
      </w:pPr>
      <w:rPr>
        <w:rFonts w:hint="default"/>
      </w:rPr>
    </w:lvl>
    <w:lvl w:ilvl="3">
      <w:start w:val="1"/>
      <w:numFmt w:val="bullet"/>
      <w:lvlText w:val="•"/>
      <w:lvlJc w:val="left"/>
      <w:pPr>
        <w:ind w:left="3249" w:hanging="567"/>
      </w:pPr>
      <w:rPr>
        <w:rFonts w:hint="default"/>
      </w:rPr>
    </w:lvl>
    <w:lvl w:ilvl="4">
      <w:start w:val="1"/>
      <w:numFmt w:val="bullet"/>
      <w:lvlText w:val="•"/>
      <w:lvlJc w:val="left"/>
      <w:pPr>
        <w:ind w:left="4234" w:hanging="567"/>
      </w:pPr>
      <w:rPr>
        <w:rFonts w:hint="default"/>
      </w:rPr>
    </w:lvl>
    <w:lvl w:ilvl="5">
      <w:start w:val="1"/>
      <w:numFmt w:val="bullet"/>
      <w:lvlText w:val="•"/>
      <w:lvlJc w:val="left"/>
      <w:pPr>
        <w:ind w:left="5219" w:hanging="567"/>
      </w:pPr>
      <w:rPr>
        <w:rFonts w:hint="default"/>
      </w:rPr>
    </w:lvl>
    <w:lvl w:ilvl="6">
      <w:start w:val="1"/>
      <w:numFmt w:val="bullet"/>
      <w:lvlText w:val="•"/>
      <w:lvlJc w:val="left"/>
      <w:pPr>
        <w:ind w:left="6204" w:hanging="567"/>
      </w:pPr>
      <w:rPr>
        <w:rFonts w:hint="default"/>
      </w:rPr>
    </w:lvl>
    <w:lvl w:ilvl="7">
      <w:start w:val="1"/>
      <w:numFmt w:val="bullet"/>
      <w:lvlText w:val="•"/>
      <w:lvlJc w:val="left"/>
      <w:pPr>
        <w:ind w:left="7189" w:hanging="567"/>
      </w:pPr>
      <w:rPr>
        <w:rFonts w:hint="default"/>
      </w:rPr>
    </w:lvl>
    <w:lvl w:ilvl="8">
      <w:start w:val="1"/>
      <w:numFmt w:val="bullet"/>
      <w:lvlText w:val="•"/>
      <w:lvlJc w:val="left"/>
      <w:pPr>
        <w:ind w:left="8174" w:hanging="567"/>
      </w:pPr>
      <w:rPr>
        <w:rFonts w:hint="default"/>
      </w:rPr>
    </w:lvl>
  </w:abstractNum>
  <w:abstractNum w:abstractNumId="8">
    <w:multiLevelType w:val="hybridMultilevel"/>
    <w:lvl w:ilvl="0">
      <w:start w:val="10"/>
      <w:numFmt w:val="lowerRoman"/>
      <w:lvlText w:val="(%1)"/>
      <w:lvlJc w:val="left"/>
      <w:pPr>
        <w:ind w:left="1070" w:hanging="567"/>
        <w:jc w:val="left"/>
      </w:pPr>
      <w:rPr>
        <w:rFonts w:hint="default" w:ascii="Arial" w:hAnsi="Arial" w:eastAsia="Arial" w:cs="Arial"/>
        <w:b/>
        <w:bCs/>
        <w:spacing w:val="-1"/>
        <w:w w:val="99"/>
        <w:sz w:val="18"/>
        <w:szCs w:val="18"/>
      </w:rPr>
    </w:lvl>
    <w:lvl w:ilvl="1">
      <w:start w:val="2"/>
      <w:numFmt w:val="lowerRoman"/>
      <w:lvlText w:val="(%2)"/>
      <w:lvlJc w:val="left"/>
      <w:pPr>
        <w:ind w:left="1263" w:hanging="250"/>
        <w:jc w:val="left"/>
      </w:pPr>
      <w:rPr>
        <w:rFonts w:hint="default" w:ascii="Arial" w:hAnsi="Arial" w:eastAsia="Arial" w:cs="Arial"/>
        <w:i/>
        <w:spacing w:val="-1"/>
        <w:w w:val="99"/>
        <w:sz w:val="18"/>
        <w:szCs w:val="18"/>
      </w:rPr>
    </w:lvl>
    <w:lvl w:ilvl="2">
      <w:start w:val="1"/>
      <w:numFmt w:val="bullet"/>
      <w:lvlText w:val="•"/>
      <w:lvlJc w:val="left"/>
      <w:pPr>
        <w:ind w:left="2249" w:hanging="250"/>
      </w:pPr>
      <w:rPr>
        <w:rFonts w:hint="default"/>
      </w:rPr>
    </w:lvl>
    <w:lvl w:ilvl="3">
      <w:start w:val="1"/>
      <w:numFmt w:val="bullet"/>
      <w:lvlText w:val="•"/>
      <w:lvlJc w:val="left"/>
      <w:pPr>
        <w:ind w:left="3238" w:hanging="250"/>
      </w:pPr>
      <w:rPr>
        <w:rFonts w:hint="default"/>
      </w:rPr>
    </w:lvl>
    <w:lvl w:ilvl="4">
      <w:start w:val="1"/>
      <w:numFmt w:val="bullet"/>
      <w:lvlText w:val="•"/>
      <w:lvlJc w:val="left"/>
      <w:pPr>
        <w:ind w:left="4228" w:hanging="250"/>
      </w:pPr>
      <w:rPr>
        <w:rFonts w:hint="default"/>
      </w:rPr>
    </w:lvl>
    <w:lvl w:ilvl="5">
      <w:start w:val="1"/>
      <w:numFmt w:val="bullet"/>
      <w:lvlText w:val="•"/>
      <w:lvlJc w:val="left"/>
      <w:pPr>
        <w:ind w:left="5217" w:hanging="250"/>
      </w:pPr>
      <w:rPr>
        <w:rFonts w:hint="default"/>
      </w:rPr>
    </w:lvl>
    <w:lvl w:ilvl="6">
      <w:start w:val="1"/>
      <w:numFmt w:val="bullet"/>
      <w:lvlText w:val="•"/>
      <w:lvlJc w:val="left"/>
      <w:pPr>
        <w:ind w:left="6206" w:hanging="250"/>
      </w:pPr>
      <w:rPr>
        <w:rFonts w:hint="default"/>
      </w:rPr>
    </w:lvl>
    <w:lvl w:ilvl="7">
      <w:start w:val="1"/>
      <w:numFmt w:val="bullet"/>
      <w:lvlText w:val="•"/>
      <w:lvlJc w:val="left"/>
      <w:pPr>
        <w:ind w:left="7196" w:hanging="250"/>
      </w:pPr>
      <w:rPr>
        <w:rFonts w:hint="default"/>
      </w:rPr>
    </w:lvl>
    <w:lvl w:ilvl="8">
      <w:start w:val="1"/>
      <w:numFmt w:val="bullet"/>
      <w:lvlText w:val="•"/>
      <w:lvlJc w:val="left"/>
      <w:pPr>
        <w:ind w:left="8185" w:hanging="250"/>
      </w:pPr>
      <w:rPr>
        <w:rFonts w:hint="default"/>
      </w:rPr>
    </w:lvl>
  </w:abstractNum>
  <w:abstractNum w:abstractNumId="7">
    <w:multiLevelType w:val="hybridMultilevel"/>
    <w:lvl w:ilvl="0">
      <w:start w:val="16"/>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lowerRoman"/>
      <w:lvlText w:val="(%2)"/>
      <w:lvlJc w:val="left"/>
      <w:pPr>
        <w:ind w:left="1223" w:hanging="210"/>
        <w:jc w:val="left"/>
      </w:pPr>
      <w:rPr>
        <w:rFonts w:hint="default" w:ascii="Arial" w:hAnsi="Arial" w:eastAsia="Arial" w:cs="Arial"/>
        <w:i/>
        <w:spacing w:val="-1"/>
        <w:w w:val="99"/>
        <w:sz w:val="18"/>
        <w:szCs w:val="18"/>
      </w:rPr>
    </w:lvl>
    <w:lvl w:ilvl="2">
      <w:start w:val="1"/>
      <w:numFmt w:val="bullet"/>
      <w:lvlText w:val="•"/>
      <w:lvlJc w:val="left"/>
      <w:pPr>
        <w:ind w:left="2204" w:hanging="210"/>
      </w:pPr>
      <w:rPr>
        <w:rFonts w:hint="default"/>
      </w:rPr>
    </w:lvl>
    <w:lvl w:ilvl="3">
      <w:start w:val="1"/>
      <w:numFmt w:val="bullet"/>
      <w:lvlText w:val="•"/>
      <w:lvlJc w:val="left"/>
      <w:pPr>
        <w:ind w:left="3189" w:hanging="210"/>
      </w:pPr>
      <w:rPr>
        <w:rFonts w:hint="default"/>
      </w:rPr>
    </w:lvl>
    <w:lvl w:ilvl="4">
      <w:start w:val="1"/>
      <w:numFmt w:val="bullet"/>
      <w:lvlText w:val="•"/>
      <w:lvlJc w:val="left"/>
      <w:pPr>
        <w:ind w:left="4174" w:hanging="210"/>
      </w:pPr>
      <w:rPr>
        <w:rFonts w:hint="default"/>
      </w:rPr>
    </w:lvl>
    <w:lvl w:ilvl="5">
      <w:start w:val="1"/>
      <w:numFmt w:val="bullet"/>
      <w:lvlText w:val="•"/>
      <w:lvlJc w:val="left"/>
      <w:pPr>
        <w:ind w:left="5159" w:hanging="210"/>
      </w:pPr>
      <w:rPr>
        <w:rFonts w:hint="default"/>
      </w:rPr>
    </w:lvl>
    <w:lvl w:ilvl="6">
      <w:start w:val="1"/>
      <w:numFmt w:val="bullet"/>
      <w:lvlText w:val="•"/>
      <w:lvlJc w:val="left"/>
      <w:pPr>
        <w:ind w:left="6144" w:hanging="210"/>
      </w:pPr>
      <w:rPr>
        <w:rFonts w:hint="default"/>
      </w:rPr>
    </w:lvl>
    <w:lvl w:ilvl="7">
      <w:start w:val="1"/>
      <w:numFmt w:val="bullet"/>
      <w:lvlText w:val="•"/>
      <w:lvlJc w:val="left"/>
      <w:pPr>
        <w:ind w:left="7129" w:hanging="210"/>
      </w:pPr>
      <w:rPr>
        <w:rFonts w:hint="default"/>
      </w:rPr>
    </w:lvl>
    <w:lvl w:ilvl="8">
      <w:start w:val="1"/>
      <w:numFmt w:val="bullet"/>
      <w:lvlText w:val="•"/>
      <w:lvlJc w:val="left"/>
      <w:pPr>
        <w:ind w:left="8114" w:hanging="210"/>
      </w:pPr>
      <w:rPr>
        <w:rFonts w:hint="default"/>
      </w:rPr>
    </w:lvl>
  </w:abstractNum>
  <w:abstractNum w:abstractNumId="6">
    <w:multiLevelType w:val="hybridMultilevel"/>
    <w:lvl w:ilvl="0">
      <w:start w:val="14"/>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bullet"/>
      <w:lvlText w:val="•"/>
      <w:lvlJc w:val="left"/>
      <w:pPr>
        <w:ind w:left="1988" w:hanging="567"/>
      </w:pPr>
      <w:rPr>
        <w:rFonts w:hint="default"/>
      </w:rPr>
    </w:lvl>
    <w:lvl w:ilvl="2">
      <w:start w:val="1"/>
      <w:numFmt w:val="bullet"/>
      <w:lvlText w:val="•"/>
      <w:lvlJc w:val="left"/>
      <w:pPr>
        <w:ind w:left="2896" w:hanging="567"/>
      </w:pPr>
      <w:rPr>
        <w:rFonts w:hint="default"/>
      </w:rPr>
    </w:lvl>
    <w:lvl w:ilvl="3">
      <w:start w:val="1"/>
      <w:numFmt w:val="bullet"/>
      <w:lvlText w:val="•"/>
      <w:lvlJc w:val="left"/>
      <w:pPr>
        <w:ind w:left="3805" w:hanging="567"/>
      </w:pPr>
      <w:rPr>
        <w:rFonts w:hint="default"/>
      </w:rPr>
    </w:lvl>
    <w:lvl w:ilvl="4">
      <w:start w:val="1"/>
      <w:numFmt w:val="bullet"/>
      <w:lvlText w:val="•"/>
      <w:lvlJc w:val="left"/>
      <w:pPr>
        <w:ind w:left="4713" w:hanging="567"/>
      </w:pPr>
      <w:rPr>
        <w:rFonts w:hint="default"/>
      </w:rPr>
    </w:lvl>
    <w:lvl w:ilvl="5">
      <w:start w:val="1"/>
      <w:numFmt w:val="bullet"/>
      <w:lvlText w:val="•"/>
      <w:lvlJc w:val="left"/>
      <w:pPr>
        <w:ind w:left="5622" w:hanging="567"/>
      </w:pPr>
      <w:rPr>
        <w:rFonts w:hint="default"/>
      </w:rPr>
    </w:lvl>
    <w:lvl w:ilvl="6">
      <w:start w:val="1"/>
      <w:numFmt w:val="bullet"/>
      <w:lvlText w:val="•"/>
      <w:lvlJc w:val="left"/>
      <w:pPr>
        <w:ind w:left="6530" w:hanging="567"/>
      </w:pPr>
      <w:rPr>
        <w:rFonts w:hint="default"/>
      </w:rPr>
    </w:lvl>
    <w:lvl w:ilvl="7">
      <w:start w:val="1"/>
      <w:numFmt w:val="bullet"/>
      <w:lvlText w:val="•"/>
      <w:lvlJc w:val="left"/>
      <w:pPr>
        <w:ind w:left="7439" w:hanging="567"/>
      </w:pPr>
      <w:rPr>
        <w:rFonts w:hint="default"/>
      </w:rPr>
    </w:lvl>
    <w:lvl w:ilvl="8">
      <w:start w:val="1"/>
      <w:numFmt w:val="bullet"/>
      <w:lvlText w:val="•"/>
      <w:lvlJc w:val="left"/>
      <w:pPr>
        <w:ind w:left="8347" w:hanging="567"/>
      </w:pPr>
      <w:rPr>
        <w:rFonts w:hint="default"/>
      </w:rPr>
    </w:lvl>
  </w:abstractNum>
  <w:abstractNum w:abstractNumId="5">
    <w:multiLevelType w:val="hybridMultilevel"/>
    <w:lvl w:ilvl="0">
      <w:start w:val="13"/>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bullet"/>
      <w:lvlText w:val="•"/>
      <w:lvlJc w:val="left"/>
      <w:pPr>
        <w:ind w:left="1986" w:hanging="567"/>
      </w:pPr>
      <w:rPr>
        <w:rFonts w:hint="default"/>
      </w:rPr>
    </w:lvl>
    <w:lvl w:ilvl="2">
      <w:start w:val="1"/>
      <w:numFmt w:val="bullet"/>
      <w:lvlText w:val="•"/>
      <w:lvlJc w:val="left"/>
      <w:pPr>
        <w:ind w:left="2892" w:hanging="567"/>
      </w:pPr>
      <w:rPr>
        <w:rFonts w:hint="default"/>
      </w:rPr>
    </w:lvl>
    <w:lvl w:ilvl="3">
      <w:start w:val="1"/>
      <w:numFmt w:val="bullet"/>
      <w:lvlText w:val="•"/>
      <w:lvlJc w:val="left"/>
      <w:pPr>
        <w:ind w:left="3799" w:hanging="567"/>
      </w:pPr>
      <w:rPr>
        <w:rFonts w:hint="default"/>
      </w:rPr>
    </w:lvl>
    <w:lvl w:ilvl="4">
      <w:start w:val="1"/>
      <w:numFmt w:val="bullet"/>
      <w:lvlText w:val="•"/>
      <w:lvlJc w:val="left"/>
      <w:pPr>
        <w:ind w:left="4705" w:hanging="567"/>
      </w:pPr>
      <w:rPr>
        <w:rFonts w:hint="default"/>
      </w:rPr>
    </w:lvl>
    <w:lvl w:ilvl="5">
      <w:start w:val="1"/>
      <w:numFmt w:val="bullet"/>
      <w:lvlText w:val="•"/>
      <w:lvlJc w:val="left"/>
      <w:pPr>
        <w:ind w:left="5612" w:hanging="567"/>
      </w:pPr>
      <w:rPr>
        <w:rFonts w:hint="default"/>
      </w:rPr>
    </w:lvl>
    <w:lvl w:ilvl="6">
      <w:start w:val="1"/>
      <w:numFmt w:val="bullet"/>
      <w:lvlText w:val="•"/>
      <w:lvlJc w:val="left"/>
      <w:pPr>
        <w:ind w:left="6518" w:hanging="567"/>
      </w:pPr>
      <w:rPr>
        <w:rFonts w:hint="default"/>
      </w:rPr>
    </w:lvl>
    <w:lvl w:ilvl="7">
      <w:start w:val="1"/>
      <w:numFmt w:val="bullet"/>
      <w:lvlText w:val="•"/>
      <w:lvlJc w:val="left"/>
      <w:pPr>
        <w:ind w:left="7425" w:hanging="567"/>
      </w:pPr>
      <w:rPr>
        <w:rFonts w:hint="default"/>
      </w:rPr>
    </w:lvl>
    <w:lvl w:ilvl="8">
      <w:start w:val="1"/>
      <w:numFmt w:val="bullet"/>
      <w:lvlText w:val="•"/>
      <w:lvlJc w:val="left"/>
      <w:pPr>
        <w:ind w:left="8331" w:hanging="567"/>
      </w:pPr>
      <w:rPr>
        <w:rFonts w:hint="default"/>
      </w:rPr>
    </w:lvl>
  </w:abstractNum>
  <w:abstractNum w:abstractNumId="4">
    <w:multiLevelType w:val="hybridMultilevel"/>
    <w:lvl w:ilvl="0">
      <w:start w:val="4"/>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lowerRoman"/>
      <w:lvlText w:val="(%2)"/>
      <w:lvlJc w:val="left"/>
      <w:pPr>
        <w:ind w:left="1222" w:hanging="210"/>
        <w:jc w:val="left"/>
      </w:pPr>
      <w:rPr>
        <w:rFonts w:hint="default" w:ascii="Arial" w:hAnsi="Arial" w:eastAsia="Arial" w:cs="Arial"/>
        <w:i/>
        <w:spacing w:val="-1"/>
        <w:w w:val="99"/>
        <w:sz w:val="18"/>
        <w:szCs w:val="18"/>
      </w:rPr>
    </w:lvl>
    <w:lvl w:ilvl="2">
      <w:start w:val="1"/>
      <w:numFmt w:val="bullet"/>
      <w:lvlText w:val="•"/>
      <w:lvlJc w:val="left"/>
      <w:pPr>
        <w:ind w:left="2209" w:hanging="210"/>
      </w:pPr>
      <w:rPr>
        <w:rFonts w:hint="default"/>
      </w:rPr>
    </w:lvl>
    <w:lvl w:ilvl="3">
      <w:start w:val="1"/>
      <w:numFmt w:val="bullet"/>
      <w:lvlText w:val="•"/>
      <w:lvlJc w:val="left"/>
      <w:pPr>
        <w:ind w:left="3198" w:hanging="210"/>
      </w:pPr>
      <w:rPr>
        <w:rFonts w:hint="default"/>
      </w:rPr>
    </w:lvl>
    <w:lvl w:ilvl="4">
      <w:start w:val="1"/>
      <w:numFmt w:val="bullet"/>
      <w:lvlText w:val="•"/>
      <w:lvlJc w:val="left"/>
      <w:pPr>
        <w:ind w:left="4188" w:hanging="210"/>
      </w:pPr>
      <w:rPr>
        <w:rFonts w:hint="default"/>
      </w:rPr>
    </w:lvl>
    <w:lvl w:ilvl="5">
      <w:start w:val="1"/>
      <w:numFmt w:val="bullet"/>
      <w:lvlText w:val="•"/>
      <w:lvlJc w:val="left"/>
      <w:pPr>
        <w:ind w:left="5177" w:hanging="210"/>
      </w:pPr>
      <w:rPr>
        <w:rFonts w:hint="default"/>
      </w:rPr>
    </w:lvl>
    <w:lvl w:ilvl="6">
      <w:start w:val="1"/>
      <w:numFmt w:val="bullet"/>
      <w:lvlText w:val="•"/>
      <w:lvlJc w:val="left"/>
      <w:pPr>
        <w:ind w:left="6166" w:hanging="210"/>
      </w:pPr>
      <w:rPr>
        <w:rFonts w:hint="default"/>
      </w:rPr>
    </w:lvl>
    <w:lvl w:ilvl="7">
      <w:start w:val="1"/>
      <w:numFmt w:val="bullet"/>
      <w:lvlText w:val="•"/>
      <w:lvlJc w:val="left"/>
      <w:pPr>
        <w:ind w:left="7156" w:hanging="210"/>
      </w:pPr>
      <w:rPr>
        <w:rFonts w:hint="default"/>
      </w:rPr>
    </w:lvl>
    <w:lvl w:ilvl="8">
      <w:start w:val="1"/>
      <w:numFmt w:val="bullet"/>
      <w:lvlText w:val="•"/>
      <w:lvlJc w:val="left"/>
      <w:pPr>
        <w:ind w:left="8145" w:hanging="210"/>
      </w:pPr>
      <w:rPr>
        <w:rFonts w:hint="default"/>
      </w:rPr>
    </w:lvl>
  </w:abstractNum>
  <w:abstractNum w:abstractNumId="3">
    <w:multiLevelType w:val="hybridMultilevel"/>
    <w:lvl w:ilvl="0">
      <w:start w:val="2"/>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bullet"/>
      <w:lvlText w:val="-"/>
      <w:lvlJc w:val="left"/>
      <w:pPr>
        <w:ind w:left="1467" w:hanging="398"/>
      </w:pPr>
      <w:rPr>
        <w:rFonts w:hint="default" w:ascii="Arial" w:hAnsi="Arial" w:eastAsia="Arial" w:cs="Arial"/>
        <w:w w:val="99"/>
        <w:sz w:val="18"/>
        <w:szCs w:val="18"/>
      </w:rPr>
    </w:lvl>
    <w:lvl w:ilvl="2">
      <w:start w:val="1"/>
      <w:numFmt w:val="bullet"/>
      <w:lvlText w:val="•"/>
      <w:lvlJc w:val="left"/>
      <w:pPr>
        <w:ind w:left="2420" w:hanging="398"/>
      </w:pPr>
      <w:rPr>
        <w:rFonts w:hint="default"/>
      </w:rPr>
    </w:lvl>
    <w:lvl w:ilvl="3">
      <w:start w:val="1"/>
      <w:numFmt w:val="bullet"/>
      <w:lvlText w:val="•"/>
      <w:lvlJc w:val="left"/>
      <w:pPr>
        <w:ind w:left="3380" w:hanging="398"/>
      </w:pPr>
      <w:rPr>
        <w:rFonts w:hint="default"/>
      </w:rPr>
    </w:lvl>
    <w:lvl w:ilvl="4">
      <w:start w:val="1"/>
      <w:numFmt w:val="bullet"/>
      <w:lvlText w:val="•"/>
      <w:lvlJc w:val="left"/>
      <w:pPr>
        <w:ind w:left="4341" w:hanging="398"/>
      </w:pPr>
      <w:rPr>
        <w:rFonts w:hint="default"/>
      </w:rPr>
    </w:lvl>
    <w:lvl w:ilvl="5">
      <w:start w:val="1"/>
      <w:numFmt w:val="bullet"/>
      <w:lvlText w:val="•"/>
      <w:lvlJc w:val="left"/>
      <w:pPr>
        <w:ind w:left="5301" w:hanging="398"/>
      </w:pPr>
      <w:rPr>
        <w:rFonts w:hint="default"/>
      </w:rPr>
    </w:lvl>
    <w:lvl w:ilvl="6">
      <w:start w:val="1"/>
      <w:numFmt w:val="bullet"/>
      <w:lvlText w:val="•"/>
      <w:lvlJc w:val="left"/>
      <w:pPr>
        <w:ind w:left="6262" w:hanging="398"/>
      </w:pPr>
      <w:rPr>
        <w:rFonts w:hint="default"/>
      </w:rPr>
    </w:lvl>
    <w:lvl w:ilvl="7">
      <w:start w:val="1"/>
      <w:numFmt w:val="bullet"/>
      <w:lvlText w:val="•"/>
      <w:lvlJc w:val="left"/>
      <w:pPr>
        <w:ind w:left="7222" w:hanging="398"/>
      </w:pPr>
      <w:rPr>
        <w:rFonts w:hint="default"/>
      </w:rPr>
    </w:lvl>
    <w:lvl w:ilvl="8">
      <w:start w:val="1"/>
      <w:numFmt w:val="bullet"/>
      <w:lvlText w:val="•"/>
      <w:lvlJc w:val="left"/>
      <w:pPr>
        <w:ind w:left="8183" w:hanging="398"/>
      </w:pPr>
      <w:rPr>
        <w:rFonts w:hint="default"/>
      </w:rPr>
    </w:lvl>
  </w:abstractNum>
  <w:abstractNum w:abstractNumId="0">
    <w:multiLevelType w:val="hybridMultilevel"/>
    <w:lvl w:ilvl="0">
      <w:start w:val="1"/>
      <w:numFmt w:val="lowerLetter"/>
      <w:lvlText w:val="(%1)"/>
      <w:lvlJc w:val="left"/>
      <w:pPr>
        <w:ind w:left="108" w:hanging="276"/>
        <w:jc w:val="left"/>
      </w:pPr>
      <w:rPr>
        <w:rFonts w:hint="default" w:ascii="Arial" w:hAnsi="Arial" w:eastAsia="Arial" w:cs="Arial"/>
        <w:w w:val="99"/>
        <w:sz w:val="18"/>
        <w:szCs w:val="18"/>
      </w:rPr>
    </w:lvl>
    <w:lvl w:ilvl="1">
      <w:start w:val="1"/>
      <w:numFmt w:val="bullet"/>
      <w:lvlText w:val="•"/>
      <w:lvlJc w:val="left"/>
      <w:pPr>
        <w:ind w:left="1159" w:hanging="276"/>
      </w:pPr>
      <w:rPr>
        <w:rFonts w:hint="default"/>
      </w:rPr>
    </w:lvl>
    <w:lvl w:ilvl="2">
      <w:start w:val="1"/>
      <w:numFmt w:val="bullet"/>
      <w:lvlText w:val="•"/>
      <w:lvlJc w:val="left"/>
      <w:pPr>
        <w:ind w:left="2218" w:hanging="276"/>
      </w:pPr>
      <w:rPr>
        <w:rFonts w:hint="default"/>
      </w:rPr>
    </w:lvl>
    <w:lvl w:ilvl="3">
      <w:start w:val="1"/>
      <w:numFmt w:val="bullet"/>
      <w:lvlText w:val="•"/>
      <w:lvlJc w:val="left"/>
      <w:pPr>
        <w:ind w:left="3277" w:hanging="276"/>
      </w:pPr>
      <w:rPr>
        <w:rFonts w:hint="default"/>
      </w:rPr>
    </w:lvl>
    <w:lvl w:ilvl="4">
      <w:start w:val="1"/>
      <w:numFmt w:val="bullet"/>
      <w:lvlText w:val="•"/>
      <w:lvlJc w:val="left"/>
      <w:pPr>
        <w:ind w:left="4336" w:hanging="276"/>
      </w:pPr>
      <w:rPr>
        <w:rFonts w:hint="default"/>
      </w:rPr>
    </w:lvl>
    <w:lvl w:ilvl="5">
      <w:start w:val="1"/>
      <w:numFmt w:val="bullet"/>
      <w:lvlText w:val="•"/>
      <w:lvlJc w:val="left"/>
      <w:pPr>
        <w:ind w:left="5396" w:hanging="276"/>
      </w:pPr>
      <w:rPr>
        <w:rFonts w:hint="default"/>
      </w:rPr>
    </w:lvl>
    <w:lvl w:ilvl="6">
      <w:start w:val="1"/>
      <w:numFmt w:val="bullet"/>
      <w:lvlText w:val="•"/>
      <w:lvlJc w:val="left"/>
      <w:pPr>
        <w:ind w:left="6455" w:hanging="276"/>
      </w:pPr>
      <w:rPr>
        <w:rFonts w:hint="default"/>
      </w:rPr>
    </w:lvl>
    <w:lvl w:ilvl="7">
      <w:start w:val="1"/>
      <w:numFmt w:val="bullet"/>
      <w:lvlText w:val="•"/>
      <w:lvlJc w:val="left"/>
      <w:pPr>
        <w:ind w:left="7514" w:hanging="276"/>
      </w:pPr>
      <w:rPr>
        <w:rFonts w:hint="default"/>
      </w:rPr>
    </w:lvl>
    <w:lvl w:ilvl="8">
      <w:start w:val="1"/>
      <w:numFmt w:val="bullet"/>
      <w:lvlText w:val="•"/>
      <w:lvlJc w:val="left"/>
      <w:pPr>
        <w:ind w:left="8573" w:hanging="276"/>
      </w:pPr>
      <w:rPr>
        <w:rFonts w:hint="default"/>
      </w:rPr>
    </w:lvl>
  </w:abstractNum>
  <w:num w:numId="133">
    <w:abstractNumId w:val="132"/>
  </w:num>
  <w:num w:numId="132">
    <w:abstractNumId w:val="131"/>
  </w:num>
  <w:num w:numId="129">
    <w:abstractNumId w:val="128"/>
  </w:num>
  <w:num w:numId="126">
    <w:abstractNumId w:val="125"/>
  </w:num>
  <w:num w:numId="125">
    <w:abstractNumId w:val="124"/>
  </w:num>
  <w:num w:numId="120">
    <w:abstractNumId w:val="119"/>
  </w:num>
  <w:num w:numId="118">
    <w:abstractNumId w:val="117"/>
  </w:num>
  <w:num w:numId="117">
    <w:abstractNumId w:val="116"/>
  </w:num>
  <w:num w:numId="116">
    <w:abstractNumId w:val="115"/>
  </w:num>
  <w:num w:numId="114">
    <w:abstractNumId w:val="113"/>
  </w:num>
  <w:num w:numId="93">
    <w:abstractNumId w:val="92"/>
  </w:num>
  <w:num w:numId="89">
    <w:abstractNumId w:val="88"/>
  </w:num>
  <w:num w:numId="86">
    <w:abstractNumId w:val="85"/>
  </w:num>
  <w:num w:numId="84">
    <w:abstractNumId w:val="83"/>
  </w:num>
  <w:num w:numId="59">
    <w:abstractNumId w:val="58"/>
  </w:num>
  <w:num w:numId="57">
    <w:abstractNumId w:val="56"/>
  </w:num>
  <w:num w:numId="53">
    <w:abstractNumId w:val="52"/>
  </w:num>
  <w:num w:numId="48">
    <w:abstractNumId w:val="47"/>
  </w:num>
  <w:num w:numId="42">
    <w:abstractNumId w:val="41"/>
  </w:num>
  <w:num w:numId="38">
    <w:abstractNumId w:val="37"/>
  </w:num>
  <w:num w:numId="37">
    <w:abstractNumId w:val="36"/>
  </w:num>
  <w:num w:numId="36">
    <w:abstractNumId w:val="35"/>
  </w:num>
  <w:num w:numId="28">
    <w:abstractNumId w:val="27"/>
  </w:num>
  <w:num w:numId="19">
    <w:abstractNumId w:val="18"/>
  </w:num>
  <w:num w:numId="3">
    <w:abstractNumId w:val="2"/>
  </w:num>
  <w:num w:numId="2">
    <w:abstractNumId w:val="1"/>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1">
    <w:abstractNumId w:val="130"/>
  </w:num>
  <w:num w:numId="130">
    <w:abstractNumId w:val="129"/>
  </w:num>
  <w:num w:numId="128">
    <w:abstractNumId w:val="127"/>
  </w:num>
  <w:num w:numId="127">
    <w:abstractNumId w:val="126"/>
  </w:num>
  <w:num w:numId="124">
    <w:abstractNumId w:val="123"/>
  </w:num>
  <w:num w:numId="123">
    <w:abstractNumId w:val="122"/>
  </w:num>
  <w:num w:numId="122">
    <w:abstractNumId w:val="121"/>
  </w:num>
  <w:num w:numId="121">
    <w:abstractNumId w:val="120"/>
  </w:num>
  <w:num w:numId="119">
    <w:abstractNumId w:val="118"/>
  </w:num>
  <w:num w:numId="115">
    <w:abstractNumId w:val="114"/>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2">
    <w:abstractNumId w:val="91"/>
  </w:num>
  <w:num w:numId="91">
    <w:abstractNumId w:val="90"/>
  </w:num>
  <w:num w:numId="90">
    <w:abstractNumId w:val="89"/>
  </w:num>
  <w:num w:numId="88">
    <w:abstractNumId w:val="87"/>
  </w:num>
  <w:num w:numId="87">
    <w:abstractNumId w:val="86"/>
  </w:num>
  <w:num w:numId="85">
    <w:abstractNumId w:val="84"/>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8">
    <w:abstractNumId w:val="57"/>
  </w:num>
  <w:num w:numId="56">
    <w:abstractNumId w:val="55"/>
  </w:num>
  <w:num w:numId="55">
    <w:abstractNumId w:val="54"/>
  </w:num>
  <w:num w:numId="54">
    <w:abstractNumId w:val="53"/>
  </w:num>
  <w:num w:numId="52">
    <w:abstractNumId w:val="51"/>
  </w:num>
  <w:num w:numId="51">
    <w:abstractNumId w:val="50"/>
  </w:num>
  <w:num w:numId="50">
    <w:abstractNumId w:val="49"/>
  </w:num>
  <w:num w:numId="49">
    <w:abstractNumId w:val="48"/>
  </w:num>
  <w:num w:numId="47">
    <w:abstractNumId w:val="46"/>
  </w:num>
  <w:num w:numId="46">
    <w:abstractNumId w:val="45"/>
  </w:num>
  <w:num w:numId="45">
    <w:abstractNumId w:val="44"/>
  </w:num>
  <w:num w:numId="44">
    <w:abstractNumId w:val="43"/>
  </w:num>
  <w:num w:numId="43">
    <w:abstractNumId w:val="42"/>
  </w:num>
  <w:num w:numId="41">
    <w:abstractNumId w:val="40"/>
  </w:num>
  <w:num w:numId="40">
    <w:abstractNumId w:val="39"/>
  </w:num>
  <w:num w:numId="39">
    <w:abstractNumId w:val="38"/>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66"/>
      <w:ind w:left="505" w:right="-20"/>
    </w:pPr>
    <w:rPr>
      <w:rFonts w:ascii="Arial" w:hAnsi="Arial" w:eastAsia="Arial" w:cs="Arial"/>
      <w:b/>
      <w:bCs/>
      <w:sz w:val="18"/>
      <w:szCs w:val="18"/>
    </w:rPr>
  </w:style>
  <w:style w:styleId="TOC2" w:type="paragraph">
    <w:name w:val="TOC 2"/>
    <w:basedOn w:val="Normal"/>
    <w:uiPriority w:val="1"/>
    <w:qFormat/>
    <w:pPr>
      <w:spacing w:before="287"/>
      <w:ind w:left="1071" w:hanging="566"/>
    </w:pPr>
    <w:rPr>
      <w:rFonts w:ascii="Arial" w:hAnsi="Arial" w:eastAsia="Arial" w:cs="Arial"/>
      <w:sz w:val="18"/>
      <w:szCs w:val="18"/>
    </w:rPr>
  </w:style>
  <w:style w:styleId="BodyText" w:type="paragraph">
    <w:name w:val="Body Text"/>
    <w:basedOn w:val="Normal"/>
    <w:uiPriority w:val="1"/>
    <w:qFormat/>
    <w:pPr/>
    <w:rPr>
      <w:rFonts w:ascii="Arial" w:hAnsi="Arial" w:eastAsia="Arial" w:cs="Arial"/>
      <w:sz w:val="18"/>
      <w:szCs w:val="18"/>
    </w:rPr>
  </w:style>
  <w:style w:styleId="Heading1" w:type="paragraph">
    <w:name w:val="Heading 1"/>
    <w:basedOn w:val="Normal"/>
    <w:uiPriority w:val="1"/>
    <w:qFormat/>
    <w:pPr>
      <w:spacing w:before="29"/>
      <w:ind w:left="107"/>
      <w:outlineLvl w:val="1"/>
    </w:pPr>
    <w:rPr>
      <w:rFonts w:ascii="Arial" w:hAnsi="Arial" w:eastAsia="Arial" w:cs="Arial"/>
      <w:b/>
      <w:bCs/>
      <w:sz w:val="56"/>
      <w:szCs w:val="56"/>
    </w:rPr>
  </w:style>
  <w:style w:styleId="Heading2" w:type="paragraph">
    <w:name w:val="Heading 2"/>
    <w:basedOn w:val="Normal"/>
    <w:uiPriority w:val="1"/>
    <w:qFormat/>
    <w:pPr>
      <w:ind w:left="100"/>
      <w:outlineLvl w:val="2"/>
    </w:pPr>
    <w:rPr>
      <w:rFonts w:ascii="Arial" w:hAnsi="Arial" w:eastAsia="Arial" w:cs="Arial"/>
      <w:b/>
      <w:bCs/>
      <w:sz w:val="52"/>
      <w:szCs w:val="52"/>
    </w:rPr>
  </w:style>
  <w:style w:styleId="Heading3" w:type="paragraph">
    <w:name w:val="Heading 3"/>
    <w:basedOn w:val="Normal"/>
    <w:uiPriority w:val="1"/>
    <w:qFormat/>
    <w:pPr>
      <w:spacing w:before="65"/>
      <w:ind w:left="107" w:right="125"/>
      <w:outlineLvl w:val="3"/>
    </w:pPr>
    <w:rPr>
      <w:rFonts w:ascii="Arial" w:hAnsi="Arial" w:eastAsia="Arial" w:cs="Arial"/>
      <w:b/>
      <w:bCs/>
      <w:sz w:val="28"/>
      <w:szCs w:val="28"/>
    </w:rPr>
  </w:style>
  <w:style w:styleId="Heading4" w:type="paragraph">
    <w:name w:val="Heading 4"/>
    <w:basedOn w:val="Normal"/>
    <w:uiPriority w:val="1"/>
    <w:qFormat/>
    <w:pPr>
      <w:ind w:left="163"/>
      <w:outlineLvl w:val="4"/>
    </w:pPr>
    <w:rPr>
      <w:rFonts w:ascii="Arial" w:hAnsi="Arial" w:eastAsia="Arial" w:cs="Arial"/>
      <w:b/>
      <w:bCs/>
      <w:sz w:val="27"/>
      <w:szCs w:val="27"/>
    </w:rPr>
  </w:style>
  <w:style w:styleId="Heading5" w:type="paragraph">
    <w:name w:val="Heading 5"/>
    <w:basedOn w:val="Normal"/>
    <w:uiPriority w:val="1"/>
    <w:qFormat/>
    <w:pPr>
      <w:ind w:left="727"/>
      <w:jc w:val="both"/>
      <w:outlineLvl w:val="5"/>
    </w:pPr>
    <w:rPr>
      <w:rFonts w:ascii="Arial" w:hAnsi="Arial" w:eastAsia="Arial" w:cs="Arial"/>
      <w:b/>
      <w:bCs/>
      <w:sz w:val="23"/>
      <w:szCs w:val="23"/>
    </w:rPr>
  </w:style>
  <w:style w:styleId="Heading6" w:type="paragraph">
    <w:name w:val="Heading 6"/>
    <w:basedOn w:val="Normal"/>
    <w:uiPriority w:val="1"/>
    <w:qFormat/>
    <w:pPr>
      <w:spacing w:before="57"/>
      <w:ind w:left="107" w:right="125"/>
      <w:outlineLvl w:val="6"/>
    </w:pPr>
    <w:rPr>
      <w:rFonts w:ascii="Arial" w:hAnsi="Arial" w:eastAsia="Arial" w:cs="Arial"/>
      <w:b/>
      <w:bCs/>
      <w:sz w:val="22"/>
      <w:szCs w:val="22"/>
    </w:rPr>
  </w:style>
  <w:style w:styleId="Heading7" w:type="paragraph">
    <w:name w:val="Heading 7"/>
    <w:basedOn w:val="Normal"/>
    <w:uiPriority w:val="1"/>
    <w:qFormat/>
    <w:pPr>
      <w:spacing w:before="56"/>
      <w:ind w:left="2883" w:right="2884"/>
      <w:jc w:val="center"/>
      <w:outlineLvl w:val="7"/>
    </w:pPr>
    <w:rPr>
      <w:rFonts w:ascii="Calibri" w:hAnsi="Calibri" w:eastAsia="Calibri" w:cs="Calibri"/>
      <w:sz w:val="22"/>
      <w:szCs w:val="22"/>
    </w:rPr>
  </w:style>
  <w:style w:styleId="Heading8" w:type="paragraph">
    <w:name w:val="Heading 8"/>
    <w:basedOn w:val="Normal"/>
    <w:uiPriority w:val="1"/>
    <w:qFormat/>
    <w:pPr>
      <w:ind w:left="107"/>
      <w:jc w:val="both"/>
      <w:outlineLvl w:val="8"/>
    </w:pPr>
    <w:rPr>
      <w:rFonts w:ascii="Arial" w:hAnsi="Arial" w:eastAsia="Arial" w:cs="Arial"/>
      <w:sz w:val="20"/>
      <w:szCs w:val="20"/>
    </w:rPr>
  </w:style>
  <w:style w:styleId="Heading9" w:type="paragraph">
    <w:name w:val="Heading 9"/>
    <w:basedOn w:val="Normal"/>
    <w:uiPriority w:val="1"/>
    <w:qFormat/>
    <w:pPr>
      <w:ind w:left="1070"/>
      <w:outlineLvl w:val="9"/>
    </w:pPr>
    <w:rPr>
      <w:rFonts w:ascii="Arial" w:hAnsi="Arial" w:eastAsia="Arial" w:cs="Arial"/>
      <w:b/>
      <w:bCs/>
      <w:sz w:val="18"/>
      <w:szCs w:val="18"/>
    </w:rPr>
  </w:style>
  <w:style w:styleId="ListParagraph" w:type="paragraph">
    <w:name w:val="List Paragraph"/>
    <w:basedOn w:val="Normal"/>
    <w:uiPriority w:val="1"/>
    <w:qFormat/>
    <w:pPr>
      <w:ind w:left="1070" w:hanging="566"/>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header" Target="header2.xml"/><Relationship Id="rId41" Type="http://schemas.openxmlformats.org/officeDocument/2006/relationships/footer" Target="footer1.xml"/><Relationship Id="rId42" Type="http://schemas.openxmlformats.org/officeDocument/2006/relationships/header" Target="header3.xml"/><Relationship Id="rId43" Type="http://schemas.openxmlformats.org/officeDocument/2006/relationships/footer" Target="footer2.xml"/><Relationship Id="rId44" Type="http://schemas.openxmlformats.org/officeDocument/2006/relationships/header" Target="header4.xml"/><Relationship Id="rId45" Type="http://schemas.openxmlformats.org/officeDocument/2006/relationships/footer" Target="footer3.xml"/><Relationship Id="rId46" Type="http://schemas.openxmlformats.org/officeDocument/2006/relationships/header" Target="header5.xml"/><Relationship Id="rId47" Type="http://schemas.openxmlformats.org/officeDocument/2006/relationships/footer" Target="footer4.xml"/><Relationship Id="rId48" Type="http://schemas.openxmlformats.org/officeDocument/2006/relationships/image" Target="media/image35.png"/><Relationship Id="rId49" Type="http://schemas.openxmlformats.org/officeDocument/2006/relationships/header" Target="header6.xml"/><Relationship Id="rId50" Type="http://schemas.openxmlformats.org/officeDocument/2006/relationships/footer" Target="footer5.xml"/><Relationship Id="rId51" Type="http://schemas.openxmlformats.org/officeDocument/2006/relationships/image" Target="media/image36.png"/><Relationship Id="rId52" Type="http://schemas.openxmlformats.org/officeDocument/2006/relationships/header" Target="header7.xml"/><Relationship Id="rId53" Type="http://schemas.openxmlformats.org/officeDocument/2006/relationships/footer" Target="footer6.xml"/><Relationship Id="rId54" Type="http://schemas.openxmlformats.org/officeDocument/2006/relationships/header" Target="header8.xml"/><Relationship Id="rId55" Type="http://schemas.openxmlformats.org/officeDocument/2006/relationships/footer" Target="footer7.xml"/><Relationship Id="rId56" Type="http://schemas.openxmlformats.org/officeDocument/2006/relationships/header" Target="header9.xml"/><Relationship Id="rId57" Type="http://schemas.openxmlformats.org/officeDocument/2006/relationships/footer" Target="footer8.xml"/><Relationship Id="rId58" Type="http://schemas.openxmlformats.org/officeDocument/2006/relationships/header" Target="header10.xml"/><Relationship Id="rId59" Type="http://schemas.openxmlformats.org/officeDocument/2006/relationships/header" Target="header11.xml"/><Relationship Id="rId60" Type="http://schemas.openxmlformats.org/officeDocument/2006/relationships/footer" Target="footer9.xml"/><Relationship Id="rId61" Type="http://schemas.openxmlformats.org/officeDocument/2006/relationships/header" Target="header12.xml"/><Relationship Id="rId62" Type="http://schemas.openxmlformats.org/officeDocument/2006/relationships/footer" Target="footer10.xml"/><Relationship Id="rId63" Type="http://schemas.openxmlformats.org/officeDocument/2006/relationships/header" Target="header13.xml"/><Relationship Id="rId64" Type="http://schemas.openxmlformats.org/officeDocument/2006/relationships/footer" Target="footer11.xml"/><Relationship Id="rId65" Type="http://schemas.openxmlformats.org/officeDocument/2006/relationships/footer" Target="footer12.xml"/><Relationship Id="rId66" Type="http://schemas.openxmlformats.org/officeDocument/2006/relationships/image" Target="media/image37.png"/><Relationship Id="rId67" Type="http://schemas.openxmlformats.org/officeDocument/2006/relationships/image" Target="media/image38.png"/><Relationship Id="rId68" Type="http://schemas.openxmlformats.org/officeDocument/2006/relationships/image" Target="media/image39.png"/><Relationship Id="rId69" Type="http://schemas.openxmlformats.org/officeDocument/2006/relationships/image" Target="media/image40.png"/><Relationship Id="rId70" Type="http://schemas.openxmlformats.org/officeDocument/2006/relationships/footer" Target="footer13.xml"/><Relationship Id="rId71" Type="http://schemas.openxmlformats.org/officeDocument/2006/relationships/footer" Target="footer14.xml"/><Relationship Id="rId72" Type="http://schemas.openxmlformats.org/officeDocument/2006/relationships/image" Target="media/image41.png"/><Relationship Id="rId73" Type="http://schemas.openxmlformats.org/officeDocument/2006/relationships/image" Target="media/image42.png"/><Relationship Id="rId74" Type="http://schemas.openxmlformats.org/officeDocument/2006/relationships/image" Target="media/image43.png"/><Relationship Id="rId75" Type="http://schemas.openxmlformats.org/officeDocument/2006/relationships/image" Target="media/image44.png"/><Relationship Id="rId76" Type="http://schemas.openxmlformats.org/officeDocument/2006/relationships/image" Target="media/image45.png"/><Relationship Id="rId77" Type="http://schemas.openxmlformats.org/officeDocument/2006/relationships/image" Target="media/image46.png"/><Relationship Id="rId78" Type="http://schemas.openxmlformats.org/officeDocument/2006/relationships/header" Target="header14.xml"/><Relationship Id="rId79" Type="http://schemas.openxmlformats.org/officeDocument/2006/relationships/footer" Target="footer15.xml"/><Relationship Id="rId80" Type="http://schemas.openxmlformats.org/officeDocument/2006/relationships/header" Target="header15.xml"/><Relationship Id="rId81" Type="http://schemas.openxmlformats.org/officeDocument/2006/relationships/footer" Target="footer16.xml"/><Relationship Id="rId82" Type="http://schemas.openxmlformats.org/officeDocument/2006/relationships/footer" Target="footer17.xml"/><Relationship Id="rId83" Type="http://schemas.openxmlformats.org/officeDocument/2006/relationships/footer" Target="footer18.xml"/><Relationship Id="rId84" Type="http://schemas.openxmlformats.org/officeDocument/2006/relationships/footer" Target="footer19.xml"/><Relationship Id="rId85" Type="http://schemas.openxmlformats.org/officeDocument/2006/relationships/header" Target="header16.xml"/><Relationship Id="rId86" Type="http://schemas.openxmlformats.org/officeDocument/2006/relationships/footer" Target="footer20.xml"/><Relationship Id="rId87" Type="http://schemas.openxmlformats.org/officeDocument/2006/relationships/header" Target="header17.xml"/><Relationship Id="rId88" Type="http://schemas.openxmlformats.org/officeDocument/2006/relationships/footer" Target="footer21.xml"/><Relationship Id="rId89" Type="http://schemas.openxmlformats.org/officeDocument/2006/relationships/header" Target="header18.xml"/><Relationship Id="rId90" Type="http://schemas.openxmlformats.org/officeDocument/2006/relationships/footer" Target="footer22.xml"/><Relationship Id="rId91" Type="http://schemas.openxmlformats.org/officeDocument/2006/relationships/footer" Target="footer23.xml"/><Relationship Id="rId92" Type="http://schemas.openxmlformats.org/officeDocument/2006/relationships/footer" Target="footer24.xml"/><Relationship Id="rId93" Type="http://schemas.openxmlformats.org/officeDocument/2006/relationships/header" Target="header19.xml"/><Relationship Id="rId94" Type="http://schemas.openxmlformats.org/officeDocument/2006/relationships/footer" Target="footer25.xml"/><Relationship Id="rId95" Type="http://schemas.openxmlformats.org/officeDocument/2006/relationships/footer" Target="footer26.xml"/><Relationship Id="rId96" Type="http://schemas.openxmlformats.org/officeDocument/2006/relationships/footer" Target="footer27.xml"/><Relationship Id="rId97" Type="http://schemas.openxmlformats.org/officeDocument/2006/relationships/header" Target="header20.xml"/><Relationship Id="rId98" Type="http://schemas.openxmlformats.org/officeDocument/2006/relationships/footer" Target="footer28.xml"/><Relationship Id="rId99" Type="http://schemas.openxmlformats.org/officeDocument/2006/relationships/image" Target="media/image47.jpeg"/><Relationship Id="rId100" Type="http://schemas.openxmlformats.org/officeDocument/2006/relationships/header" Target="header21.xml"/><Relationship Id="rId101" Type="http://schemas.openxmlformats.org/officeDocument/2006/relationships/footer" Target="footer29.xml"/><Relationship Id="rId102" Type="http://schemas.openxmlformats.org/officeDocument/2006/relationships/image" Target="media/image48.jpeg"/><Relationship Id="rId103" Type="http://schemas.openxmlformats.org/officeDocument/2006/relationships/header" Target="header22.xml"/><Relationship Id="rId104" Type="http://schemas.openxmlformats.org/officeDocument/2006/relationships/footer" Target="footer30.xml"/><Relationship Id="rId105" Type="http://schemas.openxmlformats.org/officeDocument/2006/relationships/header" Target="header23.xml"/><Relationship Id="rId106" Type="http://schemas.openxmlformats.org/officeDocument/2006/relationships/footer" Target="footer31.xml"/><Relationship Id="rId107" Type="http://schemas.openxmlformats.org/officeDocument/2006/relationships/header" Target="header24.xml"/><Relationship Id="rId108" Type="http://schemas.openxmlformats.org/officeDocument/2006/relationships/image" Target="media/image49.png"/><Relationship Id="rId109" Type="http://schemas.openxmlformats.org/officeDocument/2006/relationships/header" Target="header25.xml"/><Relationship Id="rId110" Type="http://schemas.openxmlformats.org/officeDocument/2006/relationships/footer" Target="footer32.xml"/><Relationship Id="rId111" Type="http://schemas.openxmlformats.org/officeDocument/2006/relationships/image" Target="media/image50.jpeg"/><Relationship Id="rId112" Type="http://schemas.openxmlformats.org/officeDocument/2006/relationships/image" Target="media/image51.jpeg"/><Relationship Id="rId113" Type="http://schemas.openxmlformats.org/officeDocument/2006/relationships/hyperlink" Target="mailto:mail@audit.nsw.gov.au" TargetMode="External"/><Relationship Id="rId114" Type="http://schemas.openxmlformats.org/officeDocument/2006/relationships/header" Target="header26.xml"/><Relationship Id="rId115" Type="http://schemas.openxmlformats.org/officeDocument/2006/relationships/header" Target="header27.xml"/><Relationship Id="rId116" Type="http://schemas.openxmlformats.org/officeDocument/2006/relationships/footer" Target="footer33.xml"/><Relationship Id="rId117" Type="http://schemas.openxmlformats.org/officeDocument/2006/relationships/header" Target="header28.xml"/><Relationship Id="rId118" Type="http://schemas.openxmlformats.org/officeDocument/2006/relationships/footer" Target="footer34.xml"/><Relationship Id="rId119" Type="http://schemas.openxmlformats.org/officeDocument/2006/relationships/header" Target="header29.xml"/><Relationship Id="rId120" Type="http://schemas.openxmlformats.org/officeDocument/2006/relationships/footer" Target="footer35.xml"/><Relationship Id="rId121" Type="http://schemas.openxmlformats.org/officeDocument/2006/relationships/image" Target="media/image52.png"/><Relationship Id="rId122" Type="http://schemas.openxmlformats.org/officeDocument/2006/relationships/header" Target="header30.xml"/><Relationship Id="rId123" Type="http://schemas.openxmlformats.org/officeDocument/2006/relationships/footer" Target="footer36.xml"/><Relationship Id="rId124" Type="http://schemas.openxmlformats.org/officeDocument/2006/relationships/image" Target="media/image53.png"/><Relationship Id="rId125" Type="http://schemas.openxmlformats.org/officeDocument/2006/relationships/hyperlink" Target="mailto:mail@aud1t.nsw.gov.au" TargetMode="External"/><Relationship Id="rId126" Type="http://schemas.openxmlformats.org/officeDocument/2006/relationships/header" Target="header31.xml"/><Relationship Id="rId127" Type="http://schemas.openxmlformats.org/officeDocument/2006/relationships/footer" Target="footer37.xml"/><Relationship Id="rId128" Type="http://schemas.openxmlformats.org/officeDocument/2006/relationships/image" Target="media/image54.png"/><Relationship Id="rId129" Type="http://schemas.openxmlformats.org/officeDocument/2006/relationships/header" Target="header32.xml"/><Relationship Id="rId130" Type="http://schemas.openxmlformats.org/officeDocument/2006/relationships/footer" Target="footer38.xml"/><Relationship Id="rId131" Type="http://schemas.openxmlformats.org/officeDocument/2006/relationships/header" Target="header33.xml"/><Relationship Id="rId132" Type="http://schemas.openxmlformats.org/officeDocument/2006/relationships/footer" Target="footer39.xml"/><Relationship Id="rId133" Type="http://schemas.openxmlformats.org/officeDocument/2006/relationships/header" Target="header34.xml"/><Relationship Id="rId134" Type="http://schemas.openxmlformats.org/officeDocument/2006/relationships/header" Target="header35.xml"/><Relationship Id="rId135" Type="http://schemas.openxmlformats.org/officeDocument/2006/relationships/footer" Target="footer40.xml"/><Relationship Id="rId136" Type="http://schemas.openxmlformats.org/officeDocument/2006/relationships/image" Target="media/image55.png"/><Relationship Id="rId137" Type="http://schemas.openxmlformats.org/officeDocument/2006/relationships/header" Target="header36.xml"/><Relationship Id="rId138" Type="http://schemas.openxmlformats.org/officeDocument/2006/relationships/footer" Target="footer41.xml"/><Relationship Id="rId139" Type="http://schemas.openxmlformats.org/officeDocument/2006/relationships/image" Target="media/image57.jpeg"/><Relationship Id="rId140" Type="http://schemas.openxmlformats.org/officeDocument/2006/relationships/footer" Target="footer42.xml"/><Relationship Id="rId141" Type="http://schemas.openxmlformats.org/officeDocument/2006/relationships/header" Target="header37.xml"/><Relationship Id="rId142" Type="http://schemas.openxmlformats.org/officeDocument/2006/relationships/footer" Target="footer43.xml"/><Relationship Id="rId143" Type="http://schemas.openxmlformats.org/officeDocument/2006/relationships/header" Target="header38.xml"/><Relationship Id="rId144" Type="http://schemas.openxmlformats.org/officeDocument/2006/relationships/header" Target="header39.xml"/><Relationship Id="rId145" Type="http://schemas.openxmlformats.org/officeDocument/2006/relationships/footer" Target="footer44.xml"/><Relationship Id="rId146" Type="http://schemas.openxmlformats.org/officeDocument/2006/relationships/image" Target="media/image58.png"/><Relationship Id="rId147" Type="http://schemas.openxmlformats.org/officeDocument/2006/relationships/header" Target="header40.xml"/><Relationship Id="rId148" Type="http://schemas.openxmlformats.org/officeDocument/2006/relationships/footer" Target="footer45.xml"/><Relationship Id="rId149" Type="http://schemas.openxmlformats.org/officeDocument/2006/relationships/header" Target="header41.xml"/><Relationship Id="rId150" Type="http://schemas.openxmlformats.org/officeDocument/2006/relationships/footer" Target="footer46.xml"/><Relationship Id="rId151" Type="http://schemas.openxmlformats.org/officeDocument/2006/relationships/header" Target="header42.xml"/><Relationship Id="rId152" Type="http://schemas.openxmlformats.org/officeDocument/2006/relationships/footer" Target="footer47.xml"/><Relationship Id="rId153" Type="http://schemas.openxmlformats.org/officeDocument/2006/relationships/image" Target="media/image59.png"/><Relationship Id="rId154" Type="http://schemas.openxmlformats.org/officeDocument/2006/relationships/header" Target="header43.xml"/><Relationship Id="rId155" Type="http://schemas.openxmlformats.org/officeDocument/2006/relationships/footer" Target="footer48.xml"/><Relationship Id="rId156" Type="http://schemas.openxmlformats.org/officeDocument/2006/relationships/image" Target="media/image60.jpeg"/><Relationship Id="rId157" Type="http://schemas.openxmlformats.org/officeDocument/2006/relationships/header" Target="header44.xml"/><Relationship Id="rId158" Type="http://schemas.openxmlformats.org/officeDocument/2006/relationships/footer" Target="footer49.xml"/><Relationship Id="rId159" Type="http://schemas.openxmlformats.org/officeDocument/2006/relationships/header" Target="header45.xml"/><Relationship Id="rId160" Type="http://schemas.openxmlformats.org/officeDocument/2006/relationships/footer" Target="footer50.xml"/><Relationship Id="rId161" Type="http://schemas.openxmlformats.org/officeDocument/2006/relationships/header" Target="header46.xml"/><Relationship Id="rId162" Type="http://schemas.openxmlformats.org/officeDocument/2006/relationships/footer" Target="footer51.xml"/><Relationship Id="rId163" Type="http://schemas.openxmlformats.org/officeDocument/2006/relationships/image" Target="media/image61.jpeg"/><Relationship Id="rId164" Type="http://schemas.openxmlformats.org/officeDocument/2006/relationships/header" Target="header47.xml"/><Relationship Id="rId165" Type="http://schemas.openxmlformats.org/officeDocument/2006/relationships/header" Target="header48.xml"/><Relationship Id="rId166" Type="http://schemas.openxmlformats.org/officeDocument/2006/relationships/footer" Target="footer52.xml"/><Relationship Id="rId167" Type="http://schemas.openxmlformats.org/officeDocument/2006/relationships/image" Target="media/image62.png"/><Relationship Id="rId168" Type="http://schemas.openxmlformats.org/officeDocument/2006/relationships/header" Target="header49.xml"/><Relationship Id="rId169" Type="http://schemas.openxmlformats.org/officeDocument/2006/relationships/footer" Target="footer53.xml"/><Relationship Id="rId170" Type="http://schemas.openxmlformats.org/officeDocument/2006/relationships/header" Target="header50.xml"/><Relationship Id="rId171" Type="http://schemas.openxmlformats.org/officeDocument/2006/relationships/footer" Target="footer54.xml"/><Relationship Id="rId172" Type="http://schemas.openxmlformats.org/officeDocument/2006/relationships/header" Target="header51.xml"/><Relationship Id="rId173" Type="http://schemas.openxmlformats.org/officeDocument/2006/relationships/header" Target="header52.xml"/><Relationship Id="rId174" Type="http://schemas.openxmlformats.org/officeDocument/2006/relationships/footer" Target="footer55.xml"/><Relationship Id="rId175" Type="http://schemas.openxmlformats.org/officeDocument/2006/relationships/image" Target="media/image63.jpeg"/><Relationship Id="rId176" Type="http://schemas.openxmlformats.org/officeDocument/2006/relationships/header" Target="header53.xml"/><Relationship Id="rId177" Type="http://schemas.openxmlformats.org/officeDocument/2006/relationships/footer" Target="footer56.xml"/><Relationship Id="rId178" Type="http://schemas.openxmlformats.org/officeDocument/2006/relationships/image" Target="media/image64.jpeg"/><Relationship Id="rId179" Type="http://schemas.openxmlformats.org/officeDocument/2006/relationships/header" Target="header54.xml"/><Relationship Id="rId180" Type="http://schemas.openxmlformats.org/officeDocument/2006/relationships/footer" Target="footer57.xml"/><Relationship Id="rId181" Type="http://schemas.openxmlformats.org/officeDocument/2006/relationships/image" Target="media/image65.jpeg"/><Relationship Id="rId182" Type="http://schemas.openxmlformats.org/officeDocument/2006/relationships/header" Target="header55.xml"/><Relationship Id="rId183" Type="http://schemas.openxmlformats.org/officeDocument/2006/relationships/footer" Target="footer58.xml"/><Relationship Id="rId184" Type="http://schemas.openxmlformats.org/officeDocument/2006/relationships/image" Target="media/image66.jpeg"/><Relationship Id="rId185" Type="http://schemas.openxmlformats.org/officeDocument/2006/relationships/header" Target="header56.xml"/><Relationship Id="rId186" Type="http://schemas.openxmlformats.org/officeDocument/2006/relationships/header" Target="header57.xml"/><Relationship Id="rId187" Type="http://schemas.openxmlformats.org/officeDocument/2006/relationships/footer" Target="footer59.xml"/><Relationship Id="rId188" Type="http://schemas.openxmlformats.org/officeDocument/2006/relationships/header" Target="header58.xml"/><Relationship Id="rId189" Type="http://schemas.openxmlformats.org/officeDocument/2006/relationships/footer" Target="footer60.xml"/><Relationship Id="rId190" Type="http://schemas.openxmlformats.org/officeDocument/2006/relationships/header" Target="header59.xml"/><Relationship Id="rId191" Type="http://schemas.openxmlformats.org/officeDocument/2006/relationships/footer" Target="footer61.xml"/><Relationship Id="rId192" Type="http://schemas.openxmlformats.org/officeDocument/2006/relationships/header" Target="header60.xml"/><Relationship Id="rId193" Type="http://schemas.openxmlformats.org/officeDocument/2006/relationships/footer" Target="footer62.xml"/><Relationship Id="rId194" Type="http://schemas.openxmlformats.org/officeDocument/2006/relationships/header" Target="header61.xml"/><Relationship Id="rId195" Type="http://schemas.openxmlformats.org/officeDocument/2006/relationships/footer" Target="footer63.xml"/><Relationship Id="rId196" Type="http://schemas.openxmlformats.org/officeDocument/2006/relationships/image" Target="media/image67.jpeg"/><Relationship Id="rId197" Type="http://schemas.openxmlformats.org/officeDocument/2006/relationships/header" Target="header62.xml"/><Relationship Id="rId198" Type="http://schemas.openxmlformats.org/officeDocument/2006/relationships/footer" Target="footer64.xml"/><Relationship Id="rId199" Type="http://schemas.openxmlformats.org/officeDocument/2006/relationships/header" Target="header63.xml"/><Relationship Id="rId200" Type="http://schemas.openxmlformats.org/officeDocument/2006/relationships/footer" Target="footer65.xml"/><Relationship Id="rId201" Type="http://schemas.openxmlformats.org/officeDocument/2006/relationships/header" Target="header64.xml"/><Relationship Id="rId202" Type="http://schemas.openxmlformats.org/officeDocument/2006/relationships/header" Target="header65.xml"/><Relationship Id="rId203" Type="http://schemas.openxmlformats.org/officeDocument/2006/relationships/footer" Target="footer66.xml"/><Relationship Id="rId204" Type="http://schemas.openxmlformats.org/officeDocument/2006/relationships/image" Target="media/image68.png"/><Relationship Id="rId205" Type="http://schemas.openxmlformats.org/officeDocument/2006/relationships/image" Target="media/image69.png"/><Relationship Id="rId206" Type="http://schemas.openxmlformats.org/officeDocument/2006/relationships/header" Target="header66.xml"/><Relationship Id="rId207" Type="http://schemas.openxmlformats.org/officeDocument/2006/relationships/footer" Target="footer67.xml"/><Relationship Id="rId208" Type="http://schemas.openxmlformats.org/officeDocument/2006/relationships/image" Target="media/image70.jpeg"/><Relationship Id="rId209" Type="http://schemas.openxmlformats.org/officeDocument/2006/relationships/image" Target="media/image71.jpeg"/><Relationship Id="rId210" Type="http://schemas.openxmlformats.org/officeDocument/2006/relationships/header" Target="header67.xml"/><Relationship Id="rId211" Type="http://schemas.openxmlformats.org/officeDocument/2006/relationships/footer" Target="footer68.xml"/><Relationship Id="rId212" Type="http://schemas.openxmlformats.org/officeDocument/2006/relationships/image" Target="media/image72.jpeg"/><Relationship Id="rId213" Type="http://schemas.openxmlformats.org/officeDocument/2006/relationships/header" Target="header68.xml"/><Relationship Id="rId214" Type="http://schemas.openxmlformats.org/officeDocument/2006/relationships/footer" Target="footer69.xml"/><Relationship Id="rId215" Type="http://schemas.openxmlformats.org/officeDocument/2006/relationships/image" Target="media/image73.jpeg"/><Relationship Id="rId216" Type="http://schemas.openxmlformats.org/officeDocument/2006/relationships/header" Target="header69.xml"/><Relationship Id="rId217" Type="http://schemas.openxmlformats.org/officeDocument/2006/relationships/header" Target="header70.xml"/><Relationship Id="rId218" Type="http://schemas.openxmlformats.org/officeDocument/2006/relationships/header" Target="header71.xml"/><Relationship Id="rId219" Type="http://schemas.openxmlformats.org/officeDocument/2006/relationships/footer" Target="footer70.xml"/><Relationship Id="rId220" Type="http://schemas.openxmlformats.org/officeDocument/2006/relationships/image" Target="media/image74.png"/><Relationship Id="rId221" Type="http://schemas.openxmlformats.org/officeDocument/2006/relationships/image" Target="media/image75.png"/><Relationship Id="rId222" Type="http://schemas.openxmlformats.org/officeDocument/2006/relationships/header" Target="header72.xml"/><Relationship Id="rId223" Type="http://schemas.openxmlformats.org/officeDocument/2006/relationships/footer" Target="footer71.xml"/><Relationship Id="rId224" Type="http://schemas.openxmlformats.org/officeDocument/2006/relationships/header" Target="header73.xml"/><Relationship Id="rId225" Type="http://schemas.openxmlformats.org/officeDocument/2006/relationships/footer" Target="footer72.xml"/><Relationship Id="rId226" Type="http://schemas.openxmlformats.org/officeDocument/2006/relationships/header" Target="header74.xml"/><Relationship Id="rId227" Type="http://schemas.openxmlformats.org/officeDocument/2006/relationships/image" Target="media/image76.png"/><Relationship Id="rId228" Type="http://schemas.openxmlformats.org/officeDocument/2006/relationships/header" Target="header75.xml"/><Relationship Id="rId229" Type="http://schemas.openxmlformats.org/officeDocument/2006/relationships/footer" Target="footer73.xml"/><Relationship Id="rId230" Type="http://schemas.openxmlformats.org/officeDocument/2006/relationships/image" Target="media/image77.jpeg"/><Relationship Id="rId231" Type="http://schemas.openxmlformats.org/officeDocument/2006/relationships/header" Target="header76.xml"/><Relationship Id="rId232" Type="http://schemas.openxmlformats.org/officeDocument/2006/relationships/footer" Target="footer74.xml"/><Relationship Id="rId233" Type="http://schemas.openxmlformats.org/officeDocument/2006/relationships/footer" Target="footer75.xml"/><Relationship Id="rId234" Type="http://schemas.openxmlformats.org/officeDocument/2006/relationships/header" Target="header77.xml"/><Relationship Id="rId235" Type="http://schemas.openxmlformats.org/officeDocument/2006/relationships/footer" Target="footer76.xml"/><Relationship Id="rId236" Type="http://schemas.openxmlformats.org/officeDocument/2006/relationships/image" Target="media/image78.jpeg"/><Relationship Id="rId237" Type="http://schemas.openxmlformats.org/officeDocument/2006/relationships/header" Target="header78.xml"/><Relationship Id="rId238" Type="http://schemas.openxmlformats.org/officeDocument/2006/relationships/footer" Target="footer77.xml"/><Relationship Id="rId239" Type="http://schemas.openxmlformats.org/officeDocument/2006/relationships/image" Target="media/image79.jpeg"/><Relationship Id="rId240" Type="http://schemas.openxmlformats.org/officeDocument/2006/relationships/header" Target="header79.xml"/><Relationship Id="rId241" Type="http://schemas.openxmlformats.org/officeDocument/2006/relationships/footer" Target="footer78.xml"/><Relationship Id="rId242" Type="http://schemas.openxmlformats.org/officeDocument/2006/relationships/header" Target="header80.xml"/><Relationship Id="rId243" Type="http://schemas.openxmlformats.org/officeDocument/2006/relationships/footer" Target="footer79.xml"/><Relationship Id="rId244" Type="http://schemas.openxmlformats.org/officeDocument/2006/relationships/header" Target="header81.xml"/><Relationship Id="rId245" Type="http://schemas.openxmlformats.org/officeDocument/2006/relationships/header" Target="header82.xml"/><Relationship Id="rId246" Type="http://schemas.openxmlformats.org/officeDocument/2006/relationships/footer" Target="footer80.xml"/><Relationship Id="rId247" Type="http://schemas.openxmlformats.org/officeDocument/2006/relationships/image" Target="media/image80.jpeg"/><Relationship Id="rId248" Type="http://schemas.openxmlformats.org/officeDocument/2006/relationships/header" Target="header83.xml"/><Relationship Id="rId249" Type="http://schemas.openxmlformats.org/officeDocument/2006/relationships/footer" Target="footer81.xml"/><Relationship Id="rId250" Type="http://schemas.openxmlformats.org/officeDocument/2006/relationships/image" Target="media/image81.jpeg"/><Relationship Id="rId251" Type="http://schemas.openxmlformats.org/officeDocument/2006/relationships/header" Target="header84.xml"/><Relationship Id="rId252" Type="http://schemas.openxmlformats.org/officeDocument/2006/relationships/footer" Target="footer82.xml"/><Relationship Id="rId253" Type="http://schemas.openxmlformats.org/officeDocument/2006/relationships/image" Target="media/image82.jpeg"/><Relationship Id="rId254" Type="http://schemas.openxmlformats.org/officeDocument/2006/relationships/header" Target="header85.xml"/><Relationship Id="rId255" Type="http://schemas.openxmlformats.org/officeDocument/2006/relationships/footer" Target="footer83.xml"/><Relationship Id="rId256" Type="http://schemas.openxmlformats.org/officeDocument/2006/relationships/image" Target="media/image83.jpeg"/><Relationship Id="rId257" Type="http://schemas.openxmlformats.org/officeDocument/2006/relationships/header" Target="header86.xml"/><Relationship Id="rId258" Type="http://schemas.openxmlformats.org/officeDocument/2006/relationships/header" Target="header87.xml"/><Relationship Id="rId259" Type="http://schemas.openxmlformats.org/officeDocument/2006/relationships/footer" Target="footer84.xml"/><Relationship Id="rId260" Type="http://schemas.openxmlformats.org/officeDocument/2006/relationships/header" Target="header88.xml"/><Relationship Id="rId261" Type="http://schemas.openxmlformats.org/officeDocument/2006/relationships/footer" Target="footer85.xml"/><Relationship Id="rId262" Type="http://schemas.openxmlformats.org/officeDocument/2006/relationships/header" Target="header89.xml"/><Relationship Id="rId263" Type="http://schemas.openxmlformats.org/officeDocument/2006/relationships/footer" Target="footer86.xml"/><Relationship Id="rId264" Type="http://schemas.openxmlformats.org/officeDocument/2006/relationships/image" Target="media/image84.jpeg"/><Relationship Id="rId265" Type="http://schemas.openxmlformats.org/officeDocument/2006/relationships/header" Target="header90.xml"/><Relationship Id="rId266" Type="http://schemas.openxmlformats.org/officeDocument/2006/relationships/footer" Target="footer87.xml"/><Relationship Id="rId267" Type="http://schemas.openxmlformats.org/officeDocument/2006/relationships/image" Target="media/image85.png"/><Relationship Id="rId268" Type="http://schemas.openxmlformats.org/officeDocument/2006/relationships/header" Target="header91.xml"/><Relationship Id="rId269" Type="http://schemas.openxmlformats.org/officeDocument/2006/relationships/footer" Target="footer88.xml"/><Relationship Id="rId270" Type="http://schemas.openxmlformats.org/officeDocument/2006/relationships/image" Target="media/image86.png"/><Relationship Id="rId271" Type="http://schemas.openxmlformats.org/officeDocument/2006/relationships/header" Target="header92.xml"/><Relationship Id="rId272" Type="http://schemas.openxmlformats.org/officeDocument/2006/relationships/header" Target="header93.xml"/><Relationship Id="rId273" Type="http://schemas.openxmlformats.org/officeDocument/2006/relationships/footer" Target="footer89.xml"/><Relationship Id="rId274" Type="http://schemas.openxmlformats.org/officeDocument/2006/relationships/image" Target="media/image87.jpeg"/><Relationship Id="rId275" Type="http://schemas.openxmlformats.org/officeDocument/2006/relationships/header" Target="header94.xml"/><Relationship Id="rId276" Type="http://schemas.openxmlformats.org/officeDocument/2006/relationships/footer" Target="footer90.xml"/><Relationship Id="rId277" Type="http://schemas.openxmlformats.org/officeDocument/2006/relationships/header" Target="header95.xml"/><Relationship Id="rId278" Type="http://schemas.openxmlformats.org/officeDocument/2006/relationships/footer" Target="footer91.xml"/><Relationship Id="rId279" Type="http://schemas.openxmlformats.org/officeDocument/2006/relationships/header" Target="header96.xml"/><Relationship Id="rId280" Type="http://schemas.openxmlformats.org/officeDocument/2006/relationships/footer" Target="footer92.xml"/><Relationship Id="rId281" Type="http://schemas.openxmlformats.org/officeDocument/2006/relationships/header" Target="header97.xml"/><Relationship Id="rId282" Type="http://schemas.openxmlformats.org/officeDocument/2006/relationships/footer" Target="footer93.xml"/><Relationship Id="rId283" Type="http://schemas.openxmlformats.org/officeDocument/2006/relationships/header" Target="header98.xml"/><Relationship Id="rId284" Type="http://schemas.openxmlformats.org/officeDocument/2006/relationships/footer" Target="footer94.xml"/><Relationship Id="rId285" Type="http://schemas.openxmlformats.org/officeDocument/2006/relationships/header" Target="header99.xml"/><Relationship Id="rId286" Type="http://schemas.openxmlformats.org/officeDocument/2006/relationships/footer" Target="footer95.xml"/><Relationship Id="rId287" Type="http://schemas.openxmlformats.org/officeDocument/2006/relationships/header" Target="header100.xml"/><Relationship Id="rId288" Type="http://schemas.openxmlformats.org/officeDocument/2006/relationships/footer" Target="footer96.xml"/><Relationship Id="rId289" Type="http://schemas.openxmlformats.org/officeDocument/2006/relationships/image" Target="media/image88.png"/><Relationship Id="rId290" Type="http://schemas.openxmlformats.org/officeDocument/2006/relationships/image" Target="media/image89.png"/><Relationship Id="rId291" Type="http://schemas.openxmlformats.org/officeDocument/2006/relationships/image" Target="media/image90.png"/><Relationship Id="rId292" Type="http://schemas.openxmlformats.org/officeDocument/2006/relationships/image" Target="media/image91.png"/><Relationship Id="rId293" Type="http://schemas.openxmlformats.org/officeDocument/2006/relationships/image" Target="media/image92.png"/><Relationship Id="rId294" Type="http://schemas.openxmlformats.org/officeDocument/2006/relationships/image" Target="media/image93.png"/><Relationship Id="rId295" Type="http://schemas.openxmlformats.org/officeDocument/2006/relationships/image" Target="media/image94.png"/><Relationship Id="rId296" Type="http://schemas.openxmlformats.org/officeDocument/2006/relationships/image" Target="media/image95.png"/><Relationship Id="rId297" Type="http://schemas.openxmlformats.org/officeDocument/2006/relationships/image" Target="media/image96.png"/><Relationship Id="rId298" Type="http://schemas.openxmlformats.org/officeDocument/2006/relationships/image" Target="media/image97.png"/><Relationship Id="rId299" Type="http://schemas.openxmlformats.org/officeDocument/2006/relationships/image" Target="media/image98.png"/><Relationship Id="rId300" Type="http://schemas.openxmlformats.org/officeDocument/2006/relationships/image" Target="media/image99.png"/><Relationship Id="rId301" Type="http://schemas.openxmlformats.org/officeDocument/2006/relationships/image" Target="media/image100.png"/><Relationship Id="rId302" Type="http://schemas.openxmlformats.org/officeDocument/2006/relationships/image" Target="media/image101.png"/><Relationship Id="rId303" Type="http://schemas.openxmlformats.org/officeDocument/2006/relationships/image" Target="media/image102.png"/><Relationship Id="rId304" Type="http://schemas.openxmlformats.org/officeDocument/2006/relationships/hyperlink" Target="http://www.uws.edu.au/" TargetMode="External"/><Relationship Id="rId305" Type="http://schemas.openxmlformats.org/officeDocument/2006/relationships/numbering" Target="numbering.xml"/></Relationships>

</file>

<file path=word/_rels/footer28.xml.rels><?xml version="1.0" encoding="UTF-8" standalone="yes"?>
<Relationships xmlns="http://schemas.openxmlformats.org/package/2006/relationships"><Relationship Id="rId1" Type="http://schemas.openxmlformats.org/officeDocument/2006/relationships/hyperlink" Target="mailto:mail@audit.nsw.gov.au" TargetMode="External"/></Relationships>

</file>

<file path=word/_rels/footer41.xml.rels><?xml version="1.0" encoding="UTF-8" standalone="yes"?>
<Relationships xmlns="http://schemas.openxmlformats.org/package/2006/relationships"><Relationship Id="rId1" Type="http://schemas.openxmlformats.org/officeDocument/2006/relationships/hyperlink" Target="mailto:mail@audit.nsw.gov.au" TargetMode="External"/></Relationships>

</file>

<file path=word/_rels/footer48.xml.rels><?xml version="1.0" encoding="UTF-8" standalone="yes"?>
<Relationships xmlns="http://schemas.openxmlformats.org/package/2006/relationships"><Relationship Id="rId1" Type="http://schemas.openxmlformats.org/officeDocument/2006/relationships/hyperlink" Target="mailto:mail@audit.nsw.gov.au" TargetMode="External"/></Relationships>

</file>

<file path=word/_rels/footer67.xml.rels><?xml version="1.0" encoding="UTF-8" standalone="yes"?>
<Relationships xmlns="http://schemas.openxmlformats.org/package/2006/relationships"><Relationship Id="rId1" Type="http://schemas.openxmlformats.org/officeDocument/2006/relationships/hyperlink" Target="mailto:mail@audit.nsw.gov.au" TargetMode="External"/></Relationships>

</file>

<file path=word/_rels/footer76.xml.rels><?xml version="1.0" encoding="UTF-8" standalone="yes"?>
<Relationships xmlns="http://schemas.openxmlformats.org/package/2006/relationships"><Relationship Id="rId1" Type="http://schemas.openxmlformats.org/officeDocument/2006/relationships/hyperlink" Target="mailto:mail@audit.nsw.gov.au" TargetMode="External"/></Relationships>

</file>

<file path=word/_rels/footer81.xml.rels><?xml version="1.0" encoding="UTF-8" standalone="yes"?>
<Relationships xmlns="http://schemas.openxmlformats.org/package/2006/relationships"><Relationship Id="rId1" Type="http://schemas.openxmlformats.org/officeDocument/2006/relationships/hyperlink" Target="mailto:mail@audit.nsw.gov.au" TargetMode="External"/></Relationships>

</file>

<file path=word/_rels/header36.xml.rels><?xml version="1.0" encoding="UTF-8" standalone="yes"?>
<Relationships xmlns="http://schemas.openxmlformats.org/package/2006/relationships"><Relationship Id="rId1"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30035366</dc:creator>
  <dc:title>University of Western Sydney 20120000002TCWIF.cvw</dc:title>
  <dcterms:created xsi:type="dcterms:W3CDTF">2020-01-15T15:44:47Z</dcterms:created>
  <dcterms:modified xsi:type="dcterms:W3CDTF">2020-01-15T15:44:47Z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2013-04-24T00:00:00Z</vt:filetime>
  </property>
  <property fmtid="{D5CDD505-2E9C-101B-9397-08002B2CF9AE}" pid="3" name="Creator">
    <vt:lpwstr>PScript5.dll Version 5.2.2</vt:lpwstr>
  </property>
  <property fmtid="{D5CDD505-2E9C-101B-9397-08002B2CF9AE}" pid="4" name="LastSaved">
    <vt:filetime>2020-01-15T00:00:00Z</vt:filetime>
  </property>
</Properties>
</file>